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16B27" w14:textId="4A789F8B" w:rsidR="009F7D22" w:rsidRPr="009918C6" w:rsidRDefault="009F7D22" w:rsidP="00D32D6A">
      <w:pPr>
        <w:spacing w:after="120"/>
        <w:ind w:right="-153"/>
        <w:rPr>
          <w:rFonts w:ascii="Times New Roman" w:hAnsi="Times New Roman" w:cs="Times New Roman"/>
          <w:lang w:val="bg-BG"/>
        </w:rPr>
      </w:pPr>
      <w:r w:rsidRPr="009918C6">
        <w:rPr>
          <w:rFonts w:ascii="Times New Roman" w:hAnsi="Times New Roman" w:cs="Times New Roman"/>
          <w:lang w:val="bg-BG"/>
        </w:rPr>
        <w:t xml:space="preserve"> </w:t>
      </w:r>
    </w:p>
    <w:sdt>
      <w:sdtPr>
        <w:rPr>
          <w:rFonts w:ascii="Times New Roman" w:hAnsi="Times New Roman" w:cs="Times New Roman"/>
          <w:lang w:val="bg-BG"/>
        </w:rPr>
        <w:id w:val="-920019547"/>
        <w:docPartObj>
          <w:docPartGallery w:val="Cover Pages"/>
          <w:docPartUnique/>
        </w:docPartObj>
      </w:sdtPr>
      <w:sdtEndPr>
        <w:rPr>
          <w:b/>
          <w:sz w:val="24"/>
          <w:szCs w:val="24"/>
        </w:rPr>
      </w:sdtEndPr>
      <w:sdtContent>
        <w:p w14:paraId="3C62BAD4" w14:textId="36754C6B" w:rsidR="009D7952" w:rsidRPr="00610B1B" w:rsidRDefault="00537D06" w:rsidP="00D32D6A">
          <w:pPr>
            <w:spacing w:after="120"/>
            <w:ind w:right="-153"/>
            <w:rPr>
              <w:rFonts w:ascii="Times New Roman" w:hAnsi="Times New Roman" w:cs="Times New Roman"/>
              <w:lang w:val="bg-BG"/>
            </w:rPr>
          </w:pPr>
          <w:r w:rsidRPr="00610B1B">
            <w:rPr>
              <w:rFonts w:ascii="Times New Roman" w:hAnsi="Times New Roman" w:cs="Times New Roman"/>
              <w:noProof/>
              <w:lang w:val="bg-BG" w:eastAsia="bg-BG"/>
            </w:rPr>
            <mc:AlternateContent>
              <mc:Choice Requires="wpg">
                <w:drawing>
                  <wp:anchor distT="0" distB="0" distL="114300" distR="114300" simplePos="0" relativeHeight="251721728" behindDoc="0" locked="0" layoutInCell="1" allowOverlap="1" wp14:anchorId="512142AF" wp14:editId="69AF82BF">
                    <wp:simplePos x="0" y="0"/>
                    <wp:positionH relativeFrom="margin">
                      <wp:posOffset>-914401</wp:posOffset>
                    </wp:positionH>
                    <wp:positionV relativeFrom="page">
                      <wp:posOffset>0</wp:posOffset>
                    </wp:positionV>
                    <wp:extent cx="7559675" cy="1433015"/>
                    <wp:effectExtent l="0" t="0" r="3175" b="0"/>
                    <wp:wrapNone/>
                    <wp:docPr id="149" name="Group 149"/>
                    <wp:cNvGraphicFramePr/>
                    <a:graphic xmlns:a="http://schemas.openxmlformats.org/drawingml/2006/main">
                      <a:graphicData uri="http://schemas.microsoft.com/office/word/2010/wordprocessingGroup">
                        <wpg:wgp>
                          <wpg:cNvGrpSpPr/>
                          <wpg:grpSpPr>
                            <a:xfrm>
                              <a:off x="0" y="0"/>
                              <a:ext cx="7559675" cy="143301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74C7D90" id="Group 149" o:spid="_x0000_s1026" style="position:absolute;margin-left:-1in;margin-top:0;width:595.25pt;height:112.85pt;z-index:251721728;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margin" anchory="page"/>
                  </v:group>
                </w:pict>
              </mc:Fallback>
            </mc:AlternateContent>
          </w:r>
        </w:p>
        <w:p w14:paraId="54973ED5" w14:textId="7CC40011" w:rsidR="009D7952" w:rsidRPr="00610B1B" w:rsidRDefault="00DE3A13" w:rsidP="00D32D6A">
          <w:pPr>
            <w:spacing w:after="120"/>
            <w:ind w:right="-153"/>
            <w:rPr>
              <w:rFonts w:ascii="Times New Roman" w:hAnsi="Times New Roman" w:cs="Times New Roman"/>
              <w:b/>
              <w:sz w:val="24"/>
              <w:szCs w:val="24"/>
              <w:lang w:val="bg-BG"/>
            </w:rPr>
          </w:pPr>
          <w:r w:rsidRPr="00610B1B">
            <w:rPr>
              <w:rFonts w:ascii="Times New Roman" w:hAnsi="Times New Roman" w:cs="Times New Roman"/>
              <w:noProof/>
              <w:lang w:val="bg-BG" w:eastAsia="bg-BG"/>
            </w:rPr>
            <mc:AlternateContent>
              <mc:Choice Requires="wpg">
                <w:drawing>
                  <wp:anchor distT="0" distB="0" distL="114300" distR="114300" simplePos="0" relativeHeight="251723776" behindDoc="0" locked="0" layoutInCell="1" allowOverlap="1" wp14:anchorId="68CFAD37" wp14:editId="0E6FB2BB">
                    <wp:simplePos x="0" y="0"/>
                    <wp:positionH relativeFrom="margin">
                      <wp:posOffset>-914400</wp:posOffset>
                    </wp:positionH>
                    <wp:positionV relativeFrom="page">
                      <wp:posOffset>9276715</wp:posOffset>
                    </wp:positionV>
                    <wp:extent cx="7559675" cy="1433015"/>
                    <wp:effectExtent l="0" t="0" r="3175" b="0"/>
                    <wp:wrapNone/>
                    <wp:docPr id="15" name="Group 15"/>
                    <wp:cNvGraphicFramePr/>
                    <a:graphic xmlns:a="http://schemas.openxmlformats.org/drawingml/2006/main">
                      <a:graphicData uri="http://schemas.microsoft.com/office/word/2010/wordprocessingGroup">
                        <wpg:wgp>
                          <wpg:cNvGrpSpPr/>
                          <wpg:grpSpPr>
                            <a:xfrm flipH="1" flipV="1">
                              <a:off x="0" y="0"/>
                              <a:ext cx="7559675" cy="1433015"/>
                              <a:chOff x="0" y="-1"/>
                              <a:chExt cx="7315200" cy="1216153"/>
                            </a:xfrm>
                          </wpg:grpSpPr>
                          <wps:wsp>
                            <wps:cNvPr id="17"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75CA919" id="Group 15" o:spid="_x0000_s1026" style="position:absolute;margin-left:-1in;margin-top:730.45pt;width:595.25pt;height:112.85pt;flip:x y;z-index:251723776;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" path="m,l7312660,r,1129665l3619500,733425,,1091565,,xe" fillcolor="#4f81bd [3204]" stroked="f" strokeweight="2pt">
                      <v:path arrowok="t" o:connecttype="custom" o:connectlocs="0,0;7315200,0;7315200,1130373;3620757,733885;0,1092249;0,0" o:connectangles="0,0,0,0,0,0"/>
                    </v:shape>
                    <v:rect id="Rectangle 224"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" stroked="f" strokeweight="2pt">
                      <v:fill r:id="rId10" o:title="" recolor="t" rotate="t" type="frame"/>
                    </v:rect>
                    <w10:wrap anchorx="margin" anchory="page"/>
                  </v:group>
                </w:pict>
              </mc:Fallback>
            </mc:AlternateContent>
          </w:r>
          <w:r w:rsidR="00537D06" w:rsidRPr="00610B1B">
            <w:rPr>
              <w:rFonts w:ascii="Times New Roman" w:hAnsi="Times New Roman" w:cs="Times New Roman"/>
              <w:noProof/>
              <w:color w:val="00B050"/>
              <w:sz w:val="28"/>
              <w:szCs w:val="28"/>
              <w:lang w:val="bg-BG" w:eastAsia="bg-BG"/>
            </w:rPr>
            <w:drawing>
              <wp:anchor distT="0" distB="0" distL="114300" distR="114300" simplePos="0" relativeHeight="251707392" behindDoc="0" locked="0" layoutInCell="1" allowOverlap="1" wp14:anchorId="1D38480F" wp14:editId="59B0579E">
                <wp:simplePos x="0" y="0"/>
                <wp:positionH relativeFrom="margin">
                  <wp:posOffset>107315</wp:posOffset>
                </wp:positionH>
                <wp:positionV relativeFrom="paragraph">
                  <wp:posOffset>4636002</wp:posOffset>
                </wp:positionV>
                <wp:extent cx="5573395" cy="3133725"/>
                <wp:effectExtent l="0" t="0" r="8255" b="9525"/>
                <wp:wrapSquare wrapText="bothSides"/>
                <wp:docPr id="24"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711_0906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3395" cy="3133725"/>
                        </a:xfrm>
                        <a:prstGeom prst="rect">
                          <a:avLst/>
                        </a:prstGeom>
                      </pic:spPr>
                    </pic:pic>
                  </a:graphicData>
                </a:graphic>
                <wp14:sizeRelH relativeFrom="margin">
                  <wp14:pctWidth>0</wp14:pctWidth>
                </wp14:sizeRelH>
                <wp14:sizeRelV relativeFrom="margin">
                  <wp14:pctHeight>0</wp14:pctHeight>
                </wp14:sizeRelV>
              </wp:anchor>
            </w:drawing>
          </w:r>
          <w:r w:rsidR="00537D06" w:rsidRPr="00610B1B">
            <w:rPr>
              <w:rFonts w:ascii="Times New Roman" w:hAnsi="Times New Roman" w:cs="Times New Roman"/>
              <w:noProof/>
              <w:lang w:val="bg-BG" w:eastAsia="bg-BG"/>
            </w:rPr>
            <mc:AlternateContent>
              <mc:Choice Requires="wps">
                <w:drawing>
                  <wp:anchor distT="0" distB="0" distL="114300" distR="114300" simplePos="0" relativeHeight="251702272" behindDoc="0" locked="0" layoutInCell="1" allowOverlap="1" wp14:anchorId="240378D9" wp14:editId="1AA20D22">
                    <wp:simplePos x="0" y="0"/>
                    <wp:positionH relativeFrom="page">
                      <wp:posOffset>332105</wp:posOffset>
                    </wp:positionH>
                    <wp:positionV relativeFrom="page">
                      <wp:posOffset>2334715</wp:posOffset>
                    </wp:positionV>
                    <wp:extent cx="7108190" cy="2599673"/>
                    <wp:effectExtent l="0" t="0" r="0" b="10795"/>
                    <wp:wrapSquare wrapText="bothSides"/>
                    <wp:docPr id="154" name="Text Box 154"/>
                    <wp:cNvGraphicFramePr/>
                    <a:graphic xmlns:a="http://schemas.openxmlformats.org/drawingml/2006/main">
                      <a:graphicData uri="http://schemas.microsoft.com/office/word/2010/wordprocessingShape">
                        <wps:wsp>
                          <wps:cNvSpPr txBox="1"/>
                          <wps:spPr>
                            <a:xfrm>
                              <a:off x="0" y="0"/>
                              <a:ext cx="7108190" cy="25996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81F4C" w14:textId="41483B78" w:rsidR="00215C86" w:rsidRPr="0088169A" w:rsidRDefault="002A152C" w:rsidP="00537D06">
                                <w:pPr>
                                  <w:ind w:left="-1134"/>
                                  <w:jc w:val="right"/>
                                  <w:rPr>
                                    <w:rFonts w:ascii="Times New Roman" w:hAnsi="Times New Roman" w:cs="Times New Roman"/>
                                    <w:color w:val="196181"/>
                                    <w:sz w:val="40"/>
                                    <w:szCs w:val="40"/>
                                  </w:rPr>
                                </w:pPr>
                                <w:sdt>
                                  <w:sdtPr>
                                    <w:rPr>
                                      <w:rFonts w:ascii="Times New Roman" w:hAnsi="Times New Roman" w:cs="Times New Roman"/>
                                      <w:b/>
                                      <w:bCs/>
                                      <w:caps/>
                                      <w:color w:val="19618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15C86" w:rsidRPr="0088169A">
                                      <w:rPr>
                                        <w:rFonts w:ascii="Times New Roman" w:hAnsi="Times New Roman" w:cs="Times New Roman"/>
                                        <w:b/>
                                        <w:bCs/>
                                        <w:caps/>
                                        <w:color w:val="196181"/>
                                        <w:sz w:val="40"/>
                                        <w:szCs w:val="40"/>
                                      </w:rPr>
                                      <w:t>морски пространствен план на република българия</w:t>
                                    </w:r>
                                    <w:r w:rsidR="00215C86">
                                      <w:rPr>
                                        <w:rFonts w:ascii="Times New Roman" w:hAnsi="Times New Roman" w:cs="Times New Roman"/>
                                        <w:b/>
                                        <w:bCs/>
                                        <w:caps/>
                                        <w:color w:val="196181"/>
                                        <w:sz w:val="40"/>
                                        <w:szCs w:val="40"/>
                                      </w:rPr>
                                      <w:br/>
                                      <w:t>2</w:t>
                                    </w:r>
                                    <w:r w:rsidR="00215C86" w:rsidRPr="0088169A">
                                      <w:rPr>
                                        <w:rFonts w:ascii="Times New Roman" w:hAnsi="Times New Roman" w:cs="Times New Roman"/>
                                        <w:b/>
                                        <w:bCs/>
                                        <w:caps/>
                                        <w:color w:val="196181"/>
                                        <w:sz w:val="40"/>
                                        <w:szCs w:val="40"/>
                                      </w:rPr>
                                      <w:t>021-2035</w:t>
                                    </w:r>
                                  </w:sdtContent>
                                </w:sdt>
                              </w:p>
                              <w:p w14:paraId="442C9FB3" w14:textId="5089D358" w:rsidR="00215C86" w:rsidRDefault="00215C86" w:rsidP="00537D06">
                                <w:pPr>
                                  <w:ind w:left="-1134"/>
                                  <w:jc w:val="right"/>
                                  <w:rPr>
                                    <w:rFonts w:ascii="Times New Roman" w:hAnsi="Times New Roman" w:cs="Times New Roman"/>
                                    <w:b/>
                                    <w:bCs/>
                                    <w:i/>
                                    <w:iCs/>
                                    <w:color w:val="196181"/>
                                    <w:sz w:val="28"/>
                                    <w:szCs w:val="28"/>
                                  </w:rPr>
                                </w:pPr>
                                <w:r w:rsidRPr="0088169A">
                                  <w:rPr>
                                    <w:rFonts w:ascii="Times New Roman" w:hAnsi="Times New Roman" w:cs="Times New Roman"/>
                                    <w:b/>
                                    <w:bCs/>
                                    <w:i/>
                                    <w:iCs/>
                                    <w:color w:val="196181"/>
                                    <w:sz w:val="28"/>
                                    <w:szCs w:val="28"/>
                                  </w:rPr>
                                  <w:t xml:space="preserve">Черно море – отворена врата към света, </w:t>
                                </w:r>
                                <w:r>
                                  <w:rPr>
                                    <w:rFonts w:ascii="Times New Roman" w:hAnsi="Times New Roman" w:cs="Times New Roman"/>
                                    <w:b/>
                                    <w:bCs/>
                                    <w:i/>
                                    <w:iCs/>
                                    <w:color w:val="196181"/>
                                    <w:sz w:val="28"/>
                                    <w:szCs w:val="28"/>
                                  </w:rPr>
                                  <w:br/>
                                </w:r>
                                <w:r w:rsidRPr="0088169A">
                                  <w:rPr>
                                    <w:rFonts w:ascii="Times New Roman" w:hAnsi="Times New Roman" w:cs="Times New Roman"/>
                                    <w:b/>
                                    <w:bCs/>
                                    <w:i/>
                                    <w:iCs/>
                                    <w:color w:val="196181"/>
                                    <w:sz w:val="28"/>
                                    <w:szCs w:val="28"/>
                                  </w:rPr>
                                  <w:t xml:space="preserve">българското Черноморско крайбрежие – </w:t>
                                </w:r>
                                <w:r w:rsidRPr="0088169A">
                                  <w:rPr>
                                    <w:rFonts w:ascii="Times New Roman" w:hAnsi="Times New Roman" w:cs="Times New Roman"/>
                                    <w:b/>
                                    <w:bCs/>
                                    <w:i/>
                                    <w:iCs/>
                                    <w:color w:val="196181"/>
                                    <w:sz w:val="28"/>
                                    <w:szCs w:val="28"/>
                                    <w:lang w:val="bg-BG"/>
                                  </w:rPr>
                                  <w:t>наша</w:t>
                                </w:r>
                                <w:r w:rsidRPr="0088169A">
                                  <w:rPr>
                                    <w:rFonts w:ascii="Times New Roman" w:hAnsi="Times New Roman" w:cs="Times New Roman"/>
                                    <w:b/>
                                    <w:bCs/>
                                    <w:i/>
                                    <w:iCs/>
                                    <w:color w:val="196181"/>
                                    <w:sz w:val="28"/>
                                    <w:szCs w:val="28"/>
                                  </w:rPr>
                                  <w:t xml:space="preserve"> отговорност и</w:t>
                                </w:r>
                                <w:r>
                                  <w:rPr>
                                    <w:rFonts w:ascii="Times New Roman" w:hAnsi="Times New Roman" w:cs="Times New Roman"/>
                                    <w:b/>
                                    <w:bCs/>
                                    <w:i/>
                                    <w:iCs/>
                                    <w:color w:val="196181"/>
                                    <w:sz w:val="28"/>
                                    <w:szCs w:val="28"/>
                                  </w:rPr>
                                  <w:br/>
                                </w:r>
                                <w:r w:rsidRPr="0088169A">
                                  <w:rPr>
                                    <w:rFonts w:ascii="Times New Roman" w:hAnsi="Times New Roman" w:cs="Times New Roman"/>
                                    <w:b/>
                                    <w:bCs/>
                                    <w:i/>
                                    <w:iCs/>
                                    <w:color w:val="196181"/>
                                    <w:sz w:val="28"/>
                                    <w:szCs w:val="28"/>
                                  </w:rPr>
                                  <w:t xml:space="preserve"> общо наследство</w:t>
                                </w:r>
                                <w:r>
                                  <w:rPr>
                                    <w:rFonts w:ascii="Times New Roman" w:hAnsi="Times New Roman" w:cs="Times New Roman"/>
                                    <w:b/>
                                    <w:bCs/>
                                    <w:i/>
                                    <w:iCs/>
                                    <w:color w:val="196181"/>
                                    <w:sz w:val="28"/>
                                    <w:szCs w:val="28"/>
                                  </w:rPr>
                                  <w:t xml:space="preserve"> </w:t>
                                </w:r>
                              </w:p>
                              <w:p w14:paraId="3A484EA2" w14:textId="5D356FBF" w:rsidR="00215C86" w:rsidRPr="00537D06" w:rsidRDefault="00215C86" w:rsidP="00537D06">
                                <w:pPr>
                                  <w:ind w:left="-1134" w:firstLine="1134"/>
                                  <w:jc w:val="right"/>
                                  <w:rPr>
                                    <w:rFonts w:ascii="Times New Roman" w:hAnsi="Times New Roman" w:cs="Times New Roman"/>
                                    <w:i/>
                                    <w:iCs/>
                                    <w:color w:val="196181"/>
                                    <w:sz w:val="28"/>
                                    <w:szCs w:val="28"/>
                                  </w:rPr>
                                </w:pPr>
                                <w:r w:rsidRPr="00537D06">
                                  <w:rPr>
                                    <w:rFonts w:ascii="Times New Roman" w:hAnsi="Times New Roman" w:cs="Times New Roman"/>
                                    <w:i/>
                                    <w:iCs/>
                                    <w:color w:val="196181"/>
                                    <w:sz w:val="28"/>
                                    <w:szCs w:val="28"/>
                                  </w:rPr>
                                  <w:t xml:space="preserve"> </w:t>
                                </w:r>
                                <w:r w:rsidR="00FD7A4C">
                                  <w:rPr>
                                    <w:rFonts w:ascii="Times New Roman" w:hAnsi="Times New Roman" w:cs="Times New Roman"/>
                                    <w:i/>
                                    <w:iCs/>
                                    <w:color w:val="196181"/>
                                    <w:sz w:val="28"/>
                                    <w:szCs w:val="28"/>
                                    <w:lang w:val="bg-BG"/>
                                  </w:rPr>
                                  <w:t>Февруари</w:t>
                                </w:r>
                                <w:r w:rsidR="00FD7A4C" w:rsidRPr="00537D06">
                                  <w:rPr>
                                    <w:rFonts w:ascii="Times New Roman" w:hAnsi="Times New Roman" w:cs="Times New Roman"/>
                                    <w:i/>
                                    <w:iCs/>
                                    <w:color w:val="196181"/>
                                    <w:sz w:val="28"/>
                                    <w:szCs w:val="28"/>
                                  </w:rPr>
                                  <w:t xml:space="preserve"> </w:t>
                                </w:r>
                                <w:r w:rsidRPr="00537D06">
                                  <w:rPr>
                                    <w:rFonts w:ascii="Times New Roman" w:hAnsi="Times New Roman" w:cs="Times New Roman"/>
                                    <w:i/>
                                    <w:iCs/>
                                    <w:color w:val="196181"/>
                                    <w:sz w:val="28"/>
                                    <w:szCs w:val="28"/>
                                  </w:rPr>
                                  <w:t>202</w:t>
                                </w:r>
                                <w:r w:rsidR="00FD7A4C">
                                  <w:rPr>
                                    <w:rFonts w:ascii="Times New Roman" w:hAnsi="Times New Roman" w:cs="Times New Roman"/>
                                    <w:i/>
                                    <w:iCs/>
                                    <w:color w:val="196181"/>
                                    <w:sz w:val="28"/>
                                    <w:szCs w:val="28"/>
                                    <w:lang w:val="en-US"/>
                                  </w:rPr>
                                  <w:t>3</w:t>
                                </w:r>
                                <w:r>
                                  <w:rPr>
                                    <w:rFonts w:ascii="Times New Roman" w:hAnsi="Times New Roman" w:cs="Times New Roman"/>
                                    <w:i/>
                                    <w:iCs/>
                                    <w:color w:val="196181"/>
                                    <w:sz w:val="28"/>
                                    <w:szCs w:val="28"/>
                                    <w:lang w:val="bg-BG"/>
                                  </w:rPr>
                                  <w:t> г.</w:t>
                                </w:r>
                                <w:r w:rsidRPr="00537D06">
                                  <w:rPr>
                                    <w:rFonts w:ascii="Times New Roman" w:hAnsi="Times New Roman" w:cs="Times New Roman"/>
                                    <w:i/>
                                    <w:iCs/>
                                    <w:color w:val="196181"/>
                                    <w:sz w:val="28"/>
                                    <w:szCs w:val="28"/>
                                  </w:rPr>
                                  <w:t xml:space="preserve">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0378D9" id="_x0000_t202" coordsize="21600,21600" o:spt="202" path="m,l,21600r21600,l21600,xe">
                    <v:stroke joinstyle="miter"/>
                    <v:path gradientshapeok="t" o:connecttype="rect"/>
                  </v:shapetype>
                  <v:shape id="Text Box 154" o:spid="_x0000_s1026" type="#_x0000_t202" style="position:absolute;margin-left:26.15pt;margin-top:183.85pt;width:559.7pt;height:204.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" filled="f" stroked="f" strokeweight=".5pt">
                    <v:textbox inset="126pt,0,54pt,0">
                      <w:txbxContent>
                        <w:p w14:paraId="2A781F4C" w14:textId="41483B78" w:rsidR="00215C86" w:rsidRPr="0088169A" w:rsidRDefault="002A152C" w:rsidP="00537D06">
                          <w:pPr>
                            <w:ind w:left="-1134"/>
                            <w:jc w:val="right"/>
                            <w:rPr>
                              <w:rFonts w:ascii="Times New Roman" w:hAnsi="Times New Roman" w:cs="Times New Roman"/>
                              <w:color w:val="196181"/>
                              <w:sz w:val="40"/>
                              <w:szCs w:val="40"/>
                            </w:rPr>
                          </w:pPr>
                          <w:sdt>
                            <w:sdtPr>
                              <w:rPr>
                                <w:rFonts w:ascii="Times New Roman" w:hAnsi="Times New Roman" w:cs="Times New Roman"/>
                                <w:b/>
                                <w:bCs/>
                                <w:caps/>
                                <w:color w:val="19618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15C86" w:rsidRPr="0088169A">
                                <w:rPr>
                                  <w:rFonts w:ascii="Times New Roman" w:hAnsi="Times New Roman" w:cs="Times New Roman"/>
                                  <w:b/>
                                  <w:bCs/>
                                  <w:caps/>
                                  <w:color w:val="196181"/>
                                  <w:sz w:val="40"/>
                                  <w:szCs w:val="40"/>
                                </w:rPr>
                                <w:t>морски пространствен план на република българия</w:t>
                              </w:r>
                              <w:r w:rsidR="00215C86">
                                <w:rPr>
                                  <w:rFonts w:ascii="Times New Roman" w:hAnsi="Times New Roman" w:cs="Times New Roman"/>
                                  <w:b/>
                                  <w:bCs/>
                                  <w:caps/>
                                  <w:color w:val="196181"/>
                                  <w:sz w:val="40"/>
                                  <w:szCs w:val="40"/>
                                </w:rPr>
                                <w:br/>
                                <w:t>2</w:t>
                              </w:r>
                              <w:r w:rsidR="00215C86" w:rsidRPr="0088169A">
                                <w:rPr>
                                  <w:rFonts w:ascii="Times New Roman" w:hAnsi="Times New Roman" w:cs="Times New Roman"/>
                                  <w:b/>
                                  <w:bCs/>
                                  <w:caps/>
                                  <w:color w:val="196181"/>
                                  <w:sz w:val="40"/>
                                  <w:szCs w:val="40"/>
                                </w:rPr>
                                <w:t>021-2035</w:t>
                              </w:r>
                            </w:sdtContent>
                          </w:sdt>
                        </w:p>
                        <w:p w14:paraId="442C9FB3" w14:textId="5089D358" w:rsidR="00215C86" w:rsidRDefault="00215C86" w:rsidP="00537D06">
                          <w:pPr>
                            <w:ind w:left="-1134"/>
                            <w:jc w:val="right"/>
                            <w:rPr>
                              <w:rFonts w:ascii="Times New Roman" w:hAnsi="Times New Roman" w:cs="Times New Roman"/>
                              <w:b/>
                              <w:bCs/>
                              <w:i/>
                              <w:iCs/>
                              <w:color w:val="196181"/>
                              <w:sz w:val="28"/>
                              <w:szCs w:val="28"/>
                            </w:rPr>
                          </w:pPr>
                          <w:r w:rsidRPr="0088169A">
                            <w:rPr>
                              <w:rFonts w:ascii="Times New Roman" w:hAnsi="Times New Roman" w:cs="Times New Roman"/>
                              <w:b/>
                              <w:bCs/>
                              <w:i/>
                              <w:iCs/>
                              <w:color w:val="196181"/>
                              <w:sz w:val="28"/>
                              <w:szCs w:val="28"/>
                            </w:rPr>
                            <w:t xml:space="preserve">Черно море – отворена врата към света, </w:t>
                          </w:r>
                          <w:r>
                            <w:rPr>
                              <w:rFonts w:ascii="Times New Roman" w:hAnsi="Times New Roman" w:cs="Times New Roman"/>
                              <w:b/>
                              <w:bCs/>
                              <w:i/>
                              <w:iCs/>
                              <w:color w:val="196181"/>
                              <w:sz w:val="28"/>
                              <w:szCs w:val="28"/>
                            </w:rPr>
                            <w:br/>
                          </w:r>
                          <w:r w:rsidRPr="0088169A">
                            <w:rPr>
                              <w:rFonts w:ascii="Times New Roman" w:hAnsi="Times New Roman" w:cs="Times New Roman"/>
                              <w:b/>
                              <w:bCs/>
                              <w:i/>
                              <w:iCs/>
                              <w:color w:val="196181"/>
                              <w:sz w:val="28"/>
                              <w:szCs w:val="28"/>
                            </w:rPr>
                            <w:t xml:space="preserve">българското Черноморско крайбрежие – </w:t>
                          </w:r>
                          <w:r w:rsidRPr="0088169A">
                            <w:rPr>
                              <w:rFonts w:ascii="Times New Roman" w:hAnsi="Times New Roman" w:cs="Times New Roman"/>
                              <w:b/>
                              <w:bCs/>
                              <w:i/>
                              <w:iCs/>
                              <w:color w:val="196181"/>
                              <w:sz w:val="28"/>
                              <w:szCs w:val="28"/>
                              <w:lang w:val="bg-BG"/>
                            </w:rPr>
                            <w:t>наша</w:t>
                          </w:r>
                          <w:r w:rsidRPr="0088169A">
                            <w:rPr>
                              <w:rFonts w:ascii="Times New Roman" w:hAnsi="Times New Roman" w:cs="Times New Roman"/>
                              <w:b/>
                              <w:bCs/>
                              <w:i/>
                              <w:iCs/>
                              <w:color w:val="196181"/>
                              <w:sz w:val="28"/>
                              <w:szCs w:val="28"/>
                            </w:rPr>
                            <w:t xml:space="preserve"> отговорност и</w:t>
                          </w:r>
                          <w:r>
                            <w:rPr>
                              <w:rFonts w:ascii="Times New Roman" w:hAnsi="Times New Roman" w:cs="Times New Roman"/>
                              <w:b/>
                              <w:bCs/>
                              <w:i/>
                              <w:iCs/>
                              <w:color w:val="196181"/>
                              <w:sz w:val="28"/>
                              <w:szCs w:val="28"/>
                            </w:rPr>
                            <w:br/>
                          </w:r>
                          <w:r w:rsidRPr="0088169A">
                            <w:rPr>
                              <w:rFonts w:ascii="Times New Roman" w:hAnsi="Times New Roman" w:cs="Times New Roman"/>
                              <w:b/>
                              <w:bCs/>
                              <w:i/>
                              <w:iCs/>
                              <w:color w:val="196181"/>
                              <w:sz w:val="28"/>
                              <w:szCs w:val="28"/>
                            </w:rPr>
                            <w:t xml:space="preserve"> общо наследство</w:t>
                          </w:r>
                          <w:r>
                            <w:rPr>
                              <w:rFonts w:ascii="Times New Roman" w:hAnsi="Times New Roman" w:cs="Times New Roman"/>
                              <w:b/>
                              <w:bCs/>
                              <w:i/>
                              <w:iCs/>
                              <w:color w:val="196181"/>
                              <w:sz w:val="28"/>
                              <w:szCs w:val="28"/>
                            </w:rPr>
                            <w:t xml:space="preserve"> </w:t>
                          </w:r>
                        </w:p>
                        <w:p w14:paraId="3A484EA2" w14:textId="5D356FBF" w:rsidR="00215C86" w:rsidRPr="00537D06" w:rsidRDefault="00215C86" w:rsidP="00537D06">
                          <w:pPr>
                            <w:ind w:left="-1134" w:firstLine="1134"/>
                            <w:jc w:val="right"/>
                            <w:rPr>
                              <w:rFonts w:ascii="Times New Roman" w:hAnsi="Times New Roman" w:cs="Times New Roman"/>
                              <w:i/>
                              <w:iCs/>
                              <w:color w:val="196181"/>
                              <w:sz w:val="28"/>
                              <w:szCs w:val="28"/>
                            </w:rPr>
                          </w:pPr>
                          <w:r w:rsidRPr="00537D06">
                            <w:rPr>
                              <w:rFonts w:ascii="Times New Roman" w:hAnsi="Times New Roman" w:cs="Times New Roman"/>
                              <w:i/>
                              <w:iCs/>
                              <w:color w:val="196181"/>
                              <w:sz w:val="28"/>
                              <w:szCs w:val="28"/>
                            </w:rPr>
                            <w:t xml:space="preserve"> </w:t>
                          </w:r>
                          <w:r w:rsidR="00FD7A4C">
                            <w:rPr>
                              <w:rFonts w:ascii="Times New Roman" w:hAnsi="Times New Roman" w:cs="Times New Roman"/>
                              <w:i/>
                              <w:iCs/>
                              <w:color w:val="196181"/>
                              <w:sz w:val="28"/>
                              <w:szCs w:val="28"/>
                              <w:lang w:val="bg-BG"/>
                            </w:rPr>
                            <w:t>Февруари</w:t>
                          </w:r>
                          <w:r w:rsidR="00FD7A4C" w:rsidRPr="00537D06">
                            <w:rPr>
                              <w:rFonts w:ascii="Times New Roman" w:hAnsi="Times New Roman" w:cs="Times New Roman"/>
                              <w:i/>
                              <w:iCs/>
                              <w:color w:val="196181"/>
                              <w:sz w:val="28"/>
                              <w:szCs w:val="28"/>
                            </w:rPr>
                            <w:t xml:space="preserve"> </w:t>
                          </w:r>
                          <w:r w:rsidRPr="00537D06">
                            <w:rPr>
                              <w:rFonts w:ascii="Times New Roman" w:hAnsi="Times New Roman" w:cs="Times New Roman"/>
                              <w:i/>
                              <w:iCs/>
                              <w:color w:val="196181"/>
                              <w:sz w:val="28"/>
                              <w:szCs w:val="28"/>
                            </w:rPr>
                            <w:t>202</w:t>
                          </w:r>
                          <w:r w:rsidR="00FD7A4C">
                            <w:rPr>
                              <w:rFonts w:ascii="Times New Roman" w:hAnsi="Times New Roman" w:cs="Times New Roman"/>
                              <w:i/>
                              <w:iCs/>
                              <w:color w:val="196181"/>
                              <w:sz w:val="28"/>
                              <w:szCs w:val="28"/>
                              <w:lang w:val="en-US"/>
                            </w:rPr>
                            <w:t>3</w:t>
                          </w:r>
                          <w:r>
                            <w:rPr>
                              <w:rFonts w:ascii="Times New Roman" w:hAnsi="Times New Roman" w:cs="Times New Roman"/>
                              <w:i/>
                              <w:iCs/>
                              <w:color w:val="196181"/>
                              <w:sz w:val="28"/>
                              <w:szCs w:val="28"/>
                              <w:lang w:val="bg-BG"/>
                            </w:rPr>
                            <w:t> г.</w:t>
                          </w:r>
                          <w:r w:rsidRPr="00537D06">
                            <w:rPr>
                              <w:rFonts w:ascii="Times New Roman" w:hAnsi="Times New Roman" w:cs="Times New Roman"/>
                              <w:i/>
                              <w:iCs/>
                              <w:color w:val="196181"/>
                              <w:sz w:val="28"/>
                              <w:szCs w:val="28"/>
                            </w:rPr>
                            <w:t xml:space="preserve"> </w:t>
                          </w:r>
                        </w:p>
                      </w:txbxContent>
                    </v:textbox>
                    <w10:wrap type="square" anchorx="page" anchory="page"/>
                  </v:shape>
                </w:pict>
              </mc:Fallback>
            </mc:AlternateContent>
          </w:r>
          <w:r w:rsidR="009D7952" w:rsidRPr="00610B1B">
            <w:rPr>
              <w:rFonts w:ascii="Times New Roman" w:hAnsi="Times New Roman" w:cs="Times New Roman"/>
              <w:b/>
              <w:sz w:val="24"/>
              <w:szCs w:val="24"/>
              <w:lang w:val="bg-BG"/>
            </w:rPr>
            <w:br w:type="page"/>
          </w:r>
        </w:p>
      </w:sdtContent>
    </w:sdt>
    <w:p w14:paraId="6805DBDB" w14:textId="7E684F3B" w:rsidR="00B862CF" w:rsidRPr="00610B1B" w:rsidRDefault="00B862CF" w:rsidP="00D32D6A">
      <w:pPr>
        <w:pStyle w:val="Heading1"/>
        <w:spacing w:before="0" w:line="276" w:lineRule="auto"/>
        <w:rPr>
          <w:rFonts w:cs="Times New Roman"/>
        </w:rPr>
      </w:pPr>
      <w:bookmarkStart w:id="0" w:name="_Toc46871428"/>
      <w:bookmarkStart w:id="1" w:name="_Toc83391345"/>
      <w:r w:rsidRPr="00610B1B">
        <w:rPr>
          <w:rFonts w:cs="Times New Roman"/>
        </w:rPr>
        <w:lastRenderedPageBreak/>
        <w:t>СЪДЪРЖАНИЕ</w:t>
      </w:r>
      <w:bookmarkEnd w:id="0"/>
      <w:bookmarkEnd w:id="1"/>
      <w:r w:rsidR="00E248B8" w:rsidRPr="00610B1B">
        <w:rPr>
          <w:rFonts w:cs="Times New Roman"/>
        </w:rPr>
        <w:t xml:space="preserve"> </w:t>
      </w:r>
    </w:p>
    <w:sdt>
      <w:sdtPr>
        <w:rPr>
          <w:rFonts w:eastAsiaTheme="minorEastAsia" w:cs="Times New Roman"/>
          <w:noProof/>
          <w:color w:val="auto"/>
          <w:sz w:val="22"/>
          <w:szCs w:val="22"/>
          <w:lang w:eastAsia="bg-BG" w:bidi="ar-SA"/>
        </w:rPr>
        <w:id w:val="-329065122"/>
        <w:docPartObj>
          <w:docPartGallery w:val="Table of Contents"/>
          <w:docPartUnique/>
        </w:docPartObj>
      </w:sdtPr>
      <w:sdtEndPr>
        <w:rPr>
          <w:rFonts w:eastAsia="Source Han Sans CN Regular"/>
          <w:lang w:eastAsia="zh-CN" w:bidi="hi-IN"/>
        </w:rPr>
      </w:sdtEndPr>
      <w:sdtContent>
        <w:p w14:paraId="62D63119" w14:textId="4BE71174" w:rsidR="00931C12" w:rsidRPr="00610B1B" w:rsidRDefault="00931C12" w:rsidP="00D32D6A">
          <w:pPr>
            <w:pStyle w:val="Caption"/>
            <w:spacing w:before="0" w:line="276" w:lineRule="auto"/>
            <w:ind w:right="-153"/>
            <w:rPr>
              <w:rFonts w:cs="Times New Roman"/>
              <w:sz w:val="2"/>
              <w:szCs w:val="2"/>
            </w:rPr>
          </w:pPr>
        </w:p>
        <w:p w14:paraId="20839592" w14:textId="13E35C05" w:rsidR="00260629" w:rsidRPr="00610B1B" w:rsidRDefault="00931C12" w:rsidP="00E8347C">
          <w:pPr>
            <w:pStyle w:val="TOC1"/>
            <w:tabs>
              <w:tab w:val="right" w:leader="dot" w:pos="9017"/>
            </w:tabs>
            <w:spacing w:afterLines="60" w:after="144"/>
            <w:rPr>
              <w:rFonts w:eastAsiaTheme="minorEastAsia" w:cs="Times New Roman"/>
              <w:noProof/>
              <w:sz w:val="22"/>
              <w:szCs w:val="22"/>
              <w:lang w:val="en-US" w:eastAsia="en-US" w:bidi="ar-SA"/>
            </w:rPr>
          </w:pPr>
          <w:r w:rsidRPr="00610B1B">
            <w:rPr>
              <w:rFonts w:cs="Times New Roman"/>
              <w:sz w:val="22"/>
              <w:szCs w:val="22"/>
              <w:lang w:val="bg-BG"/>
            </w:rPr>
            <w:fldChar w:fldCharType="begin"/>
          </w:r>
          <w:r w:rsidRPr="00610B1B">
            <w:rPr>
              <w:rFonts w:cs="Times New Roman"/>
              <w:sz w:val="22"/>
              <w:szCs w:val="22"/>
              <w:lang w:val="bg-BG"/>
            </w:rPr>
            <w:instrText xml:space="preserve"> TOC \o "1-3" \h \z \u </w:instrText>
          </w:r>
          <w:r w:rsidRPr="00610B1B">
            <w:rPr>
              <w:rFonts w:cs="Times New Roman"/>
              <w:sz w:val="22"/>
              <w:szCs w:val="22"/>
              <w:lang w:val="bg-BG"/>
            </w:rPr>
            <w:fldChar w:fldCharType="separate"/>
          </w:r>
          <w:hyperlink w:anchor="_Toc83391345" w:history="1">
            <w:r w:rsidR="00260629" w:rsidRPr="00610B1B">
              <w:rPr>
                <w:rStyle w:val="Hyperlink"/>
                <w:rFonts w:cs="Times New Roman"/>
                <w:noProof/>
                <w:sz w:val="22"/>
                <w:szCs w:val="22"/>
              </w:rPr>
              <w:t>СЪДЪРЖАНИЕ</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_Toc83391345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i</w:t>
            </w:r>
            <w:r w:rsidR="00260629" w:rsidRPr="00610B1B">
              <w:rPr>
                <w:rFonts w:cs="Times New Roman"/>
                <w:noProof/>
                <w:webHidden/>
                <w:sz w:val="22"/>
                <w:szCs w:val="22"/>
              </w:rPr>
              <w:fldChar w:fldCharType="end"/>
            </w:r>
          </w:hyperlink>
        </w:p>
        <w:p w14:paraId="730DBD74" w14:textId="23BED00F"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346" w:history="1">
            <w:r w:rsidR="00260629" w:rsidRPr="00610B1B">
              <w:rPr>
                <w:rStyle w:val="Hyperlink"/>
                <w:rFonts w:cs="Times New Roman"/>
                <w:noProof/>
                <w:sz w:val="22"/>
                <w:szCs w:val="22"/>
              </w:rPr>
              <w:t>СЪКРАЩЕНИЯ</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_Toc83391346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v</w:t>
            </w:r>
            <w:r w:rsidR="00260629" w:rsidRPr="00610B1B">
              <w:rPr>
                <w:rFonts w:cs="Times New Roman"/>
                <w:noProof/>
                <w:webHidden/>
                <w:sz w:val="22"/>
                <w:szCs w:val="22"/>
              </w:rPr>
              <w:fldChar w:fldCharType="end"/>
            </w:r>
          </w:hyperlink>
        </w:p>
        <w:p w14:paraId="712A0CEA" w14:textId="565E100B"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347" w:history="1">
            <w:r w:rsidR="00260629" w:rsidRPr="00610B1B">
              <w:rPr>
                <w:rStyle w:val="Hyperlink"/>
                <w:rFonts w:cs="Times New Roman"/>
                <w:noProof/>
                <w:sz w:val="22"/>
                <w:szCs w:val="22"/>
              </w:rPr>
              <w:t>СПИСЪК НА ФИГУРИТЕ</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_Toc83391347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viii</w:t>
            </w:r>
            <w:r w:rsidR="00260629" w:rsidRPr="00610B1B">
              <w:rPr>
                <w:rFonts w:cs="Times New Roman"/>
                <w:noProof/>
                <w:webHidden/>
                <w:sz w:val="22"/>
                <w:szCs w:val="22"/>
              </w:rPr>
              <w:fldChar w:fldCharType="end"/>
            </w:r>
          </w:hyperlink>
        </w:p>
        <w:p w14:paraId="753E5DEC" w14:textId="027382B7"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348" w:history="1">
            <w:r w:rsidR="00260629" w:rsidRPr="00610B1B">
              <w:rPr>
                <w:rStyle w:val="Hyperlink"/>
                <w:rFonts w:cs="Times New Roman"/>
                <w:noProof/>
                <w:sz w:val="22"/>
                <w:szCs w:val="22"/>
              </w:rPr>
              <w:t>СПИСЪК НА ТАБЛИЦИТЕ</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_Toc83391348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x</w:t>
            </w:r>
            <w:r w:rsidR="00260629" w:rsidRPr="00610B1B">
              <w:rPr>
                <w:rFonts w:cs="Times New Roman"/>
                <w:noProof/>
                <w:webHidden/>
                <w:sz w:val="22"/>
                <w:szCs w:val="22"/>
              </w:rPr>
              <w:fldChar w:fldCharType="end"/>
            </w:r>
          </w:hyperlink>
        </w:p>
        <w:p w14:paraId="74A61CBE" w14:textId="214A6716"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349" w:history="1">
            <w:r w:rsidR="00260629" w:rsidRPr="00610B1B">
              <w:rPr>
                <w:rStyle w:val="Hyperlink"/>
                <w:rFonts w:cs="Times New Roman"/>
                <w:noProof/>
                <w:sz w:val="22"/>
                <w:szCs w:val="22"/>
              </w:rPr>
              <w:t>РЕЗЮМЕ</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_Toc83391349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1</w:t>
            </w:r>
            <w:r w:rsidR="00260629" w:rsidRPr="00610B1B">
              <w:rPr>
                <w:rFonts w:cs="Times New Roman"/>
                <w:noProof/>
                <w:webHidden/>
                <w:sz w:val="22"/>
                <w:szCs w:val="22"/>
              </w:rPr>
              <w:fldChar w:fldCharType="end"/>
            </w:r>
          </w:hyperlink>
        </w:p>
        <w:p w14:paraId="23A9A886" w14:textId="09A80A81"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350" w:history="1">
            <w:r w:rsidR="00260629" w:rsidRPr="00610B1B">
              <w:rPr>
                <w:rStyle w:val="Hyperlink"/>
                <w:rFonts w:cs="Times New Roman"/>
                <w:noProof/>
                <w:sz w:val="22"/>
                <w:szCs w:val="22"/>
              </w:rPr>
              <w:t>1. ВЪВЕДЕНИЕ</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_Toc83391350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21</w:t>
            </w:r>
            <w:r w:rsidR="00260629" w:rsidRPr="00610B1B">
              <w:rPr>
                <w:rFonts w:cs="Times New Roman"/>
                <w:noProof/>
                <w:webHidden/>
                <w:sz w:val="22"/>
                <w:szCs w:val="22"/>
              </w:rPr>
              <w:fldChar w:fldCharType="end"/>
            </w:r>
          </w:hyperlink>
        </w:p>
        <w:p w14:paraId="3EB2EE21" w14:textId="5145345A" w:rsidR="00260629" w:rsidRPr="00610B1B" w:rsidRDefault="002A152C" w:rsidP="00E8347C">
          <w:pPr>
            <w:pStyle w:val="TOC2"/>
            <w:spacing w:afterLines="60" w:after="144"/>
            <w:rPr>
              <w:rFonts w:eastAsiaTheme="minorEastAsia"/>
              <w:lang w:val="en-US" w:eastAsia="en-US" w:bidi="ar-SA"/>
            </w:rPr>
          </w:pPr>
          <w:hyperlink w:anchor="_Toc83391351" w:history="1">
            <w:r w:rsidR="00260629" w:rsidRPr="00610B1B">
              <w:rPr>
                <w:rStyle w:val="Hyperlink"/>
              </w:rPr>
              <w:t>1.1. Обща рамка и връзка с други документи</w:t>
            </w:r>
            <w:r w:rsidR="00260629" w:rsidRPr="00610B1B">
              <w:rPr>
                <w:webHidden/>
              </w:rPr>
              <w:tab/>
            </w:r>
            <w:r w:rsidR="00260629" w:rsidRPr="00610B1B">
              <w:rPr>
                <w:webHidden/>
              </w:rPr>
              <w:fldChar w:fldCharType="begin"/>
            </w:r>
            <w:r w:rsidR="00260629" w:rsidRPr="00610B1B">
              <w:rPr>
                <w:webHidden/>
              </w:rPr>
              <w:instrText xml:space="preserve"> PAGEREF _Toc83391351 \h </w:instrText>
            </w:r>
            <w:r w:rsidR="00260629" w:rsidRPr="00610B1B">
              <w:rPr>
                <w:webHidden/>
              </w:rPr>
            </w:r>
            <w:r w:rsidR="00260629" w:rsidRPr="00610B1B">
              <w:rPr>
                <w:webHidden/>
              </w:rPr>
              <w:fldChar w:fldCharType="separate"/>
            </w:r>
            <w:r w:rsidR="00260629" w:rsidRPr="00610B1B">
              <w:rPr>
                <w:webHidden/>
              </w:rPr>
              <w:t>21</w:t>
            </w:r>
            <w:r w:rsidR="00260629" w:rsidRPr="00610B1B">
              <w:rPr>
                <w:webHidden/>
              </w:rPr>
              <w:fldChar w:fldCharType="end"/>
            </w:r>
          </w:hyperlink>
        </w:p>
        <w:p w14:paraId="71662C78" w14:textId="7560749D" w:rsidR="00260629" w:rsidRPr="00610B1B" w:rsidRDefault="002A152C">
          <w:pPr>
            <w:pStyle w:val="TOC3"/>
            <w:rPr>
              <w:noProof/>
              <w:lang w:val="en-US" w:eastAsia="en-US"/>
            </w:rPr>
          </w:pPr>
          <w:hyperlink w:anchor="_Toc83391352" w:history="1">
            <w:r w:rsidR="00260629" w:rsidRPr="00610B1B">
              <w:rPr>
                <w:rStyle w:val="Hyperlink"/>
                <w:rFonts w:ascii="Times New Roman" w:hAnsi="Times New Roman"/>
                <w:noProof/>
                <w:lang w:bidi="hi-IN"/>
              </w:rPr>
              <w:t>1.1.1. Методологична рамка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_Toc83391352 \h </w:instrText>
            </w:r>
            <w:r w:rsidR="00260629" w:rsidRPr="00610B1B">
              <w:rPr>
                <w:noProof/>
                <w:webHidden/>
              </w:rPr>
            </w:r>
            <w:r w:rsidR="00260629" w:rsidRPr="00610B1B">
              <w:rPr>
                <w:noProof/>
                <w:webHidden/>
              </w:rPr>
              <w:fldChar w:fldCharType="separate"/>
            </w:r>
            <w:r w:rsidR="00260629" w:rsidRPr="00610B1B">
              <w:rPr>
                <w:noProof/>
                <w:webHidden/>
              </w:rPr>
              <w:t>21</w:t>
            </w:r>
            <w:r w:rsidR="00260629" w:rsidRPr="00610B1B">
              <w:rPr>
                <w:noProof/>
                <w:webHidden/>
              </w:rPr>
              <w:fldChar w:fldCharType="end"/>
            </w:r>
          </w:hyperlink>
        </w:p>
        <w:p w14:paraId="77C4F88B" w14:textId="467F37D5" w:rsidR="00260629" w:rsidRPr="00610B1B" w:rsidRDefault="002A152C">
          <w:pPr>
            <w:pStyle w:val="TOC3"/>
            <w:rPr>
              <w:noProof/>
              <w:lang w:val="en-US" w:eastAsia="en-US"/>
            </w:rPr>
          </w:pPr>
          <w:hyperlink w:anchor="_Toc83391353" w:history="1">
            <w:r w:rsidR="00260629" w:rsidRPr="00610B1B">
              <w:rPr>
                <w:rStyle w:val="Hyperlink"/>
                <w:rFonts w:ascii="Times New Roman" w:hAnsi="Times New Roman"/>
                <w:noProof/>
                <w:lang w:bidi="hi-IN"/>
              </w:rPr>
              <w:t>1.1.2. Институционална рамка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_Toc83391353 \h </w:instrText>
            </w:r>
            <w:r w:rsidR="00260629" w:rsidRPr="00610B1B">
              <w:rPr>
                <w:noProof/>
                <w:webHidden/>
              </w:rPr>
            </w:r>
            <w:r w:rsidR="00260629" w:rsidRPr="00610B1B">
              <w:rPr>
                <w:noProof/>
                <w:webHidden/>
              </w:rPr>
              <w:fldChar w:fldCharType="separate"/>
            </w:r>
            <w:r w:rsidR="00260629" w:rsidRPr="00610B1B">
              <w:rPr>
                <w:noProof/>
                <w:webHidden/>
              </w:rPr>
              <w:t>24</w:t>
            </w:r>
            <w:r w:rsidR="00260629" w:rsidRPr="00610B1B">
              <w:rPr>
                <w:noProof/>
                <w:webHidden/>
              </w:rPr>
              <w:fldChar w:fldCharType="end"/>
            </w:r>
          </w:hyperlink>
        </w:p>
        <w:p w14:paraId="5A7FDD90" w14:textId="7AAAF1CE" w:rsidR="00260629" w:rsidRPr="00610B1B" w:rsidRDefault="002A152C">
          <w:pPr>
            <w:pStyle w:val="TOC3"/>
            <w:rPr>
              <w:noProof/>
              <w:lang w:val="en-US" w:eastAsia="en-US"/>
            </w:rPr>
          </w:pPr>
          <w:hyperlink w:anchor="_Toc83391354" w:history="1">
            <w:r w:rsidR="00260629" w:rsidRPr="00610B1B">
              <w:rPr>
                <w:rStyle w:val="Hyperlink"/>
                <w:rFonts w:ascii="Times New Roman" w:hAnsi="Times New Roman"/>
                <w:noProof/>
                <w:lang w:bidi="hi-IN"/>
              </w:rPr>
              <w:t>1.1.3. Законодателна рамка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_Toc83391354 \h </w:instrText>
            </w:r>
            <w:r w:rsidR="00260629" w:rsidRPr="00610B1B">
              <w:rPr>
                <w:noProof/>
                <w:webHidden/>
              </w:rPr>
            </w:r>
            <w:r w:rsidR="00260629" w:rsidRPr="00610B1B">
              <w:rPr>
                <w:noProof/>
                <w:webHidden/>
              </w:rPr>
              <w:fldChar w:fldCharType="separate"/>
            </w:r>
            <w:r w:rsidR="00260629" w:rsidRPr="00610B1B">
              <w:rPr>
                <w:noProof/>
                <w:webHidden/>
              </w:rPr>
              <w:t>27</w:t>
            </w:r>
            <w:r w:rsidR="00260629" w:rsidRPr="00610B1B">
              <w:rPr>
                <w:noProof/>
                <w:webHidden/>
              </w:rPr>
              <w:fldChar w:fldCharType="end"/>
            </w:r>
          </w:hyperlink>
        </w:p>
        <w:p w14:paraId="7663BAE5" w14:textId="69EF6668" w:rsidR="00260629" w:rsidRPr="00610B1B" w:rsidRDefault="002A152C">
          <w:pPr>
            <w:pStyle w:val="TOC3"/>
            <w:rPr>
              <w:noProof/>
              <w:lang w:val="en-US" w:eastAsia="en-US"/>
            </w:rPr>
          </w:pPr>
          <w:hyperlink w:anchor="_Toc83391355" w:history="1">
            <w:r w:rsidR="00260629" w:rsidRPr="00610B1B">
              <w:rPr>
                <w:rStyle w:val="Hyperlink"/>
                <w:rFonts w:ascii="Times New Roman" w:hAnsi="Times New Roman"/>
                <w:noProof/>
                <w:lang w:bidi="hi-IN"/>
              </w:rPr>
              <w:t>1.1.4. Пространствена, времева и тематична рамка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_Toc83391355 \h </w:instrText>
            </w:r>
            <w:r w:rsidR="00260629" w:rsidRPr="00610B1B">
              <w:rPr>
                <w:noProof/>
                <w:webHidden/>
              </w:rPr>
            </w:r>
            <w:r w:rsidR="00260629" w:rsidRPr="00610B1B">
              <w:rPr>
                <w:noProof/>
                <w:webHidden/>
              </w:rPr>
              <w:fldChar w:fldCharType="separate"/>
            </w:r>
            <w:r w:rsidR="00260629" w:rsidRPr="00610B1B">
              <w:rPr>
                <w:noProof/>
                <w:webHidden/>
              </w:rPr>
              <w:t>37</w:t>
            </w:r>
            <w:r w:rsidR="00260629" w:rsidRPr="00610B1B">
              <w:rPr>
                <w:noProof/>
                <w:webHidden/>
              </w:rPr>
              <w:fldChar w:fldCharType="end"/>
            </w:r>
          </w:hyperlink>
        </w:p>
        <w:p w14:paraId="6B05DE5F" w14:textId="78D000DD" w:rsidR="00260629" w:rsidRPr="00610B1B" w:rsidRDefault="002A152C">
          <w:pPr>
            <w:pStyle w:val="TOC3"/>
            <w:rPr>
              <w:noProof/>
              <w:lang w:val="en-US" w:eastAsia="en-US"/>
            </w:rPr>
          </w:pPr>
          <w:hyperlink w:anchor="_Toc83391356" w:history="1">
            <w:r w:rsidR="00260629" w:rsidRPr="00610B1B">
              <w:rPr>
                <w:rStyle w:val="Hyperlink"/>
                <w:rFonts w:ascii="Times New Roman" w:hAnsi="Times New Roman"/>
                <w:noProof/>
                <w:lang w:bidi="hi-IN"/>
              </w:rPr>
              <w:t>1.1.5. Връзка с други политики и документи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_Toc83391356 \h </w:instrText>
            </w:r>
            <w:r w:rsidR="00260629" w:rsidRPr="00610B1B">
              <w:rPr>
                <w:noProof/>
                <w:webHidden/>
              </w:rPr>
            </w:r>
            <w:r w:rsidR="00260629" w:rsidRPr="00610B1B">
              <w:rPr>
                <w:noProof/>
                <w:webHidden/>
              </w:rPr>
              <w:fldChar w:fldCharType="separate"/>
            </w:r>
            <w:r w:rsidR="00260629" w:rsidRPr="00610B1B">
              <w:rPr>
                <w:noProof/>
                <w:webHidden/>
              </w:rPr>
              <w:t>39</w:t>
            </w:r>
            <w:r w:rsidR="00260629" w:rsidRPr="00610B1B">
              <w:rPr>
                <w:noProof/>
                <w:webHidden/>
              </w:rPr>
              <w:fldChar w:fldCharType="end"/>
            </w:r>
          </w:hyperlink>
        </w:p>
        <w:p w14:paraId="5B30D407" w14:textId="20BF24E7" w:rsidR="00260629" w:rsidRPr="00610B1B" w:rsidRDefault="002A152C" w:rsidP="00E8347C">
          <w:pPr>
            <w:pStyle w:val="TOC2"/>
            <w:spacing w:afterLines="60" w:after="144"/>
            <w:rPr>
              <w:rFonts w:eastAsiaTheme="minorEastAsia"/>
              <w:lang w:val="en-US" w:eastAsia="en-US" w:bidi="ar-SA"/>
            </w:rPr>
          </w:pPr>
          <w:hyperlink w:anchor="_Toc83391357" w:history="1">
            <w:r w:rsidR="00260629" w:rsidRPr="00610B1B">
              <w:rPr>
                <w:rStyle w:val="Hyperlink"/>
              </w:rPr>
              <w:t>1.2. Главна и специфични цели и задачи при разработването на МППРБ</w:t>
            </w:r>
            <w:r w:rsidR="00260629" w:rsidRPr="00610B1B">
              <w:rPr>
                <w:webHidden/>
              </w:rPr>
              <w:tab/>
            </w:r>
            <w:r w:rsidR="00260629" w:rsidRPr="00610B1B">
              <w:rPr>
                <w:webHidden/>
              </w:rPr>
              <w:fldChar w:fldCharType="begin"/>
            </w:r>
            <w:r w:rsidR="00260629" w:rsidRPr="00610B1B">
              <w:rPr>
                <w:webHidden/>
              </w:rPr>
              <w:instrText xml:space="preserve"> PAGEREF _Toc83391357 \h </w:instrText>
            </w:r>
            <w:r w:rsidR="00260629" w:rsidRPr="00610B1B">
              <w:rPr>
                <w:webHidden/>
              </w:rPr>
            </w:r>
            <w:r w:rsidR="00260629" w:rsidRPr="00610B1B">
              <w:rPr>
                <w:webHidden/>
              </w:rPr>
              <w:fldChar w:fldCharType="separate"/>
            </w:r>
            <w:r w:rsidR="00260629" w:rsidRPr="00610B1B">
              <w:rPr>
                <w:webHidden/>
              </w:rPr>
              <w:t>46</w:t>
            </w:r>
            <w:r w:rsidR="00260629" w:rsidRPr="00610B1B">
              <w:rPr>
                <w:webHidden/>
              </w:rPr>
              <w:fldChar w:fldCharType="end"/>
            </w:r>
          </w:hyperlink>
        </w:p>
        <w:p w14:paraId="7B42F192" w14:textId="13D1477D"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358" w:history="1">
            <w:r w:rsidR="00260629" w:rsidRPr="00610B1B">
              <w:rPr>
                <w:rStyle w:val="Hyperlink"/>
                <w:rFonts w:cs="Times New Roman"/>
                <w:noProof/>
                <w:sz w:val="22"/>
                <w:szCs w:val="22"/>
              </w:rPr>
              <w:t>2. СЪСТОЯНИЕ НА НАЦИОНАЛНОТО МОРСКО ПРОСТРАНСТВО</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_Toc83391358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48</w:t>
            </w:r>
            <w:r w:rsidR="00260629" w:rsidRPr="00610B1B">
              <w:rPr>
                <w:rFonts w:cs="Times New Roman"/>
                <w:noProof/>
                <w:webHidden/>
                <w:sz w:val="22"/>
                <w:szCs w:val="22"/>
              </w:rPr>
              <w:fldChar w:fldCharType="end"/>
            </w:r>
          </w:hyperlink>
        </w:p>
        <w:p w14:paraId="523A76DB" w14:textId="3E402C4E" w:rsidR="00260629" w:rsidRPr="00610B1B" w:rsidRDefault="002A152C" w:rsidP="00E8347C">
          <w:pPr>
            <w:pStyle w:val="TOC2"/>
            <w:spacing w:afterLines="60" w:after="144"/>
            <w:rPr>
              <w:rFonts w:eastAsiaTheme="minorEastAsia"/>
              <w:lang w:val="en-US" w:eastAsia="en-US" w:bidi="ar-SA"/>
            </w:rPr>
          </w:pPr>
          <w:hyperlink w:anchor="_Toc83391359" w:history="1">
            <w:r w:rsidR="00260629" w:rsidRPr="00610B1B">
              <w:rPr>
                <w:rStyle w:val="Hyperlink"/>
              </w:rPr>
              <w:t>2.1. Особености на Черноморския регион</w:t>
            </w:r>
            <w:r w:rsidR="00260629" w:rsidRPr="00610B1B">
              <w:rPr>
                <w:webHidden/>
              </w:rPr>
              <w:tab/>
            </w:r>
            <w:r w:rsidR="00260629" w:rsidRPr="00610B1B">
              <w:rPr>
                <w:webHidden/>
              </w:rPr>
              <w:fldChar w:fldCharType="begin"/>
            </w:r>
            <w:r w:rsidR="00260629" w:rsidRPr="00610B1B">
              <w:rPr>
                <w:webHidden/>
              </w:rPr>
              <w:instrText xml:space="preserve"> PAGEREF _Toc83391359 \h </w:instrText>
            </w:r>
            <w:r w:rsidR="00260629" w:rsidRPr="00610B1B">
              <w:rPr>
                <w:webHidden/>
              </w:rPr>
            </w:r>
            <w:r w:rsidR="00260629" w:rsidRPr="00610B1B">
              <w:rPr>
                <w:webHidden/>
              </w:rPr>
              <w:fldChar w:fldCharType="separate"/>
            </w:r>
            <w:r w:rsidR="00260629" w:rsidRPr="00610B1B">
              <w:rPr>
                <w:webHidden/>
              </w:rPr>
              <w:t>48</w:t>
            </w:r>
            <w:r w:rsidR="00260629" w:rsidRPr="00610B1B">
              <w:rPr>
                <w:webHidden/>
              </w:rPr>
              <w:fldChar w:fldCharType="end"/>
            </w:r>
          </w:hyperlink>
        </w:p>
        <w:p w14:paraId="27EEA379" w14:textId="7F209677" w:rsidR="00260629" w:rsidRPr="00610B1B" w:rsidRDefault="002A152C" w:rsidP="00E8347C">
          <w:pPr>
            <w:pStyle w:val="TOC2"/>
            <w:spacing w:afterLines="60" w:after="144"/>
            <w:rPr>
              <w:rFonts w:eastAsiaTheme="minorEastAsia"/>
              <w:lang w:val="en-US" w:eastAsia="en-US" w:bidi="ar-SA"/>
            </w:rPr>
          </w:pPr>
          <w:hyperlink w:anchor="_Toc83391360" w:history="1">
            <w:r w:rsidR="00260629" w:rsidRPr="00610B1B">
              <w:rPr>
                <w:rStyle w:val="Hyperlink"/>
              </w:rPr>
              <w:t>2.2. Състояние на компонентите на морската среда и взаимодействия с прилежащата крайбрежна зона</w:t>
            </w:r>
            <w:r w:rsidR="00260629" w:rsidRPr="00610B1B">
              <w:rPr>
                <w:webHidden/>
              </w:rPr>
              <w:tab/>
            </w:r>
            <w:r w:rsidR="00260629" w:rsidRPr="00610B1B">
              <w:rPr>
                <w:webHidden/>
              </w:rPr>
              <w:fldChar w:fldCharType="begin"/>
            </w:r>
            <w:r w:rsidR="00260629" w:rsidRPr="00610B1B">
              <w:rPr>
                <w:webHidden/>
              </w:rPr>
              <w:instrText xml:space="preserve"> PAGEREF _Toc83391360 \h </w:instrText>
            </w:r>
            <w:r w:rsidR="00260629" w:rsidRPr="00610B1B">
              <w:rPr>
                <w:webHidden/>
              </w:rPr>
            </w:r>
            <w:r w:rsidR="00260629" w:rsidRPr="00610B1B">
              <w:rPr>
                <w:webHidden/>
              </w:rPr>
              <w:fldChar w:fldCharType="separate"/>
            </w:r>
            <w:r w:rsidR="00260629" w:rsidRPr="00610B1B">
              <w:rPr>
                <w:webHidden/>
              </w:rPr>
              <w:t>50</w:t>
            </w:r>
            <w:r w:rsidR="00260629" w:rsidRPr="00610B1B">
              <w:rPr>
                <w:webHidden/>
              </w:rPr>
              <w:fldChar w:fldCharType="end"/>
            </w:r>
          </w:hyperlink>
        </w:p>
        <w:p w14:paraId="090232BA" w14:textId="4D25603B" w:rsidR="00260629" w:rsidRPr="00610B1B" w:rsidRDefault="002A152C">
          <w:pPr>
            <w:pStyle w:val="TOC3"/>
            <w:rPr>
              <w:noProof/>
              <w:lang w:val="en-US" w:eastAsia="en-US"/>
            </w:rPr>
          </w:pPr>
          <w:hyperlink w:anchor="_Toc83391361" w:history="1">
            <w:r w:rsidR="00260629" w:rsidRPr="00610B1B">
              <w:rPr>
                <w:rStyle w:val="Hyperlink"/>
                <w:rFonts w:ascii="Times New Roman" w:hAnsi="Times New Roman"/>
                <w:noProof/>
                <w:lang w:bidi="hi-IN"/>
              </w:rPr>
              <w:t>2.2.1. Геология и геоморфология</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_Toc83391361 \h </w:instrText>
            </w:r>
            <w:r w:rsidR="00260629" w:rsidRPr="00610B1B">
              <w:rPr>
                <w:noProof/>
                <w:webHidden/>
              </w:rPr>
            </w:r>
            <w:r w:rsidR="00260629" w:rsidRPr="00610B1B">
              <w:rPr>
                <w:noProof/>
                <w:webHidden/>
              </w:rPr>
              <w:fldChar w:fldCharType="separate"/>
            </w:r>
            <w:r w:rsidR="00260629" w:rsidRPr="00610B1B">
              <w:rPr>
                <w:noProof/>
                <w:webHidden/>
              </w:rPr>
              <w:t>50</w:t>
            </w:r>
            <w:r w:rsidR="00260629" w:rsidRPr="00610B1B">
              <w:rPr>
                <w:noProof/>
                <w:webHidden/>
              </w:rPr>
              <w:fldChar w:fldCharType="end"/>
            </w:r>
          </w:hyperlink>
        </w:p>
        <w:p w14:paraId="3460ADE9" w14:textId="205D7829" w:rsidR="00260629" w:rsidRPr="00610B1B" w:rsidRDefault="002A152C">
          <w:pPr>
            <w:pStyle w:val="TOC3"/>
            <w:rPr>
              <w:noProof/>
              <w:lang w:val="en-US" w:eastAsia="en-US"/>
            </w:rPr>
          </w:pPr>
          <w:hyperlink w:anchor="_Toc83391362" w:history="1">
            <w:r w:rsidR="00260629" w:rsidRPr="00610B1B">
              <w:rPr>
                <w:rStyle w:val="Hyperlink"/>
                <w:rFonts w:ascii="Times New Roman" w:hAnsi="Times New Roman"/>
                <w:noProof/>
                <w:lang w:bidi="hi-IN"/>
              </w:rPr>
              <w:t>2.2.2. Хидрология</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_Toc83391362 \h </w:instrText>
            </w:r>
            <w:r w:rsidR="00260629" w:rsidRPr="00610B1B">
              <w:rPr>
                <w:noProof/>
                <w:webHidden/>
              </w:rPr>
            </w:r>
            <w:r w:rsidR="00260629" w:rsidRPr="00610B1B">
              <w:rPr>
                <w:noProof/>
                <w:webHidden/>
              </w:rPr>
              <w:fldChar w:fldCharType="separate"/>
            </w:r>
            <w:r w:rsidR="00260629" w:rsidRPr="00610B1B">
              <w:rPr>
                <w:noProof/>
                <w:webHidden/>
              </w:rPr>
              <w:t>58</w:t>
            </w:r>
            <w:r w:rsidR="00260629" w:rsidRPr="00610B1B">
              <w:rPr>
                <w:noProof/>
                <w:webHidden/>
              </w:rPr>
              <w:fldChar w:fldCharType="end"/>
            </w:r>
          </w:hyperlink>
        </w:p>
        <w:p w14:paraId="7BFCA127" w14:textId="45B6467D" w:rsidR="00260629" w:rsidRPr="00610B1B" w:rsidRDefault="002A152C">
          <w:pPr>
            <w:pStyle w:val="TOC3"/>
            <w:rPr>
              <w:noProof/>
              <w:lang w:val="en-US" w:eastAsia="en-US"/>
            </w:rPr>
          </w:pPr>
          <w:hyperlink w:anchor="_Toc83391363" w:history="1">
            <w:r w:rsidR="00260629" w:rsidRPr="00610B1B">
              <w:rPr>
                <w:rStyle w:val="Hyperlink"/>
                <w:rFonts w:ascii="Times New Roman" w:hAnsi="Times New Roman"/>
                <w:noProof/>
                <w:lang w:bidi="hi-IN"/>
              </w:rPr>
              <w:t>2.2.3. Климат</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_Toc83391363 \h </w:instrText>
            </w:r>
            <w:r w:rsidR="00260629" w:rsidRPr="00610B1B">
              <w:rPr>
                <w:noProof/>
                <w:webHidden/>
              </w:rPr>
            </w:r>
            <w:r w:rsidR="00260629" w:rsidRPr="00610B1B">
              <w:rPr>
                <w:noProof/>
                <w:webHidden/>
              </w:rPr>
              <w:fldChar w:fldCharType="separate"/>
            </w:r>
            <w:r w:rsidR="00260629" w:rsidRPr="00610B1B">
              <w:rPr>
                <w:noProof/>
                <w:webHidden/>
              </w:rPr>
              <w:t>72</w:t>
            </w:r>
            <w:r w:rsidR="00260629" w:rsidRPr="00610B1B">
              <w:rPr>
                <w:noProof/>
                <w:webHidden/>
              </w:rPr>
              <w:fldChar w:fldCharType="end"/>
            </w:r>
          </w:hyperlink>
        </w:p>
        <w:p w14:paraId="25BF4962" w14:textId="19A0B77D" w:rsidR="00260629" w:rsidRPr="00610B1B" w:rsidRDefault="002A152C">
          <w:pPr>
            <w:pStyle w:val="TOC3"/>
            <w:rPr>
              <w:noProof/>
              <w:lang w:val="en-US" w:eastAsia="en-US"/>
            </w:rPr>
          </w:pPr>
          <w:hyperlink w:anchor="_Toc83391364" w:history="1">
            <w:r w:rsidR="00260629" w:rsidRPr="00610B1B">
              <w:rPr>
                <w:rStyle w:val="Hyperlink"/>
                <w:rFonts w:ascii="Times New Roman" w:hAnsi="Times New Roman"/>
                <w:noProof/>
                <w:lang w:bidi="hi-IN"/>
              </w:rPr>
              <w:t>2.2.4. Биологично разнообразие</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_Toc83391364 \h </w:instrText>
            </w:r>
            <w:r w:rsidR="00260629" w:rsidRPr="00610B1B">
              <w:rPr>
                <w:noProof/>
                <w:webHidden/>
              </w:rPr>
            </w:r>
            <w:r w:rsidR="00260629" w:rsidRPr="00610B1B">
              <w:rPr>
                <w:noProof/>
                <w:webHidden/>
              </w:rPr>
              <w:fldChar w:fldCharType="separate"/>
            </w:r>
            <w:r w:rsidR="00260629" w:rsidRPr="00610B1B">
              <w:rPr>
                <w:noProof/>
                <w:webHidden/>
              </w:rPr>
              <w:t>77</w:t>
            </w:r>
            <w:r w:rsidR="00260629" w:rsidRPr="00610B1B">
              <w:rPr>
                <w:noProof/>
                <w:webHidden/>
              </w:rPr>
              <w:fldChar w:fldCharType="end"/>
            </w:r>
          </w:hyperlink>
        </w:p>
        <w:p w14:paraId="366F03F4" w14:textId="193A18E2" w:rsidR="00260629" w:rsidRPr="00610B1B" w:rsidRDefault="002A152C">
          <w:pPr>
            <w:pStyle w:val="TOC3"/>
            <w:rPr>
              <w:noProof/>
              <w:lang w:val="en-US" w:eastAsia="en-US"/>
            </w:rPr>
          </w:pPr>
          <w:hyperlink w:anchor="_Toc83391365" w:history="1">
            <w:r w:rsidR="00260629" w:rsidRPr="00610B1B">
              <w:rPr>
                <w:rStyle w:val="Hyperlink"/>
                <w:rFonts w:ascii="Times New Roman" w:hAnsi="Times New Roman"/>
                <w:noProof/>
                <w:lang w:bidi="hi-IN"/>
              </w:rPr>
              <w:t>2.2.5. Защитени територии и защитени зони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_Toc83391365 \h </w:instrText>
            </w:r>
            <w:r w:rsidR="00260629" w:rsidRPr="00610B1B">
              <w:rPr>
                <w:noProof/>
                <w:webHidden/>
              </w:rPr>
            </w:r>
            <w:r w:rsidR="00260629" w:rsidRPr="00610B1B">
              <w:rPr>
                <w:noProof/>
                <w:webHidden/>
              </w:rPr>
              <w:fldChar w:fldCharType="separate"/>
            </w:r>
            <w:r w:rsidR="00260629" w:rsidRPr="00610B1B">
              <w:rPr>
                <w:noProof/>
                <w:webHidden/>
              </w:rPr>
              <w:t>94</w:t>
            </w:r>
            <w:r w:rsidR="00260629" w:rsidRPr="00610B1B">
              <w:rPr>
                <w:noProof/>
                <w:webHidden/>
              </w:rPr>
              <w:fldChar w:fldCharType="end"/>
            </w:r>
          </w:hyperlink>
        </w:p>
        <w:p w14:paraId="5BF768D4" w14:textId="5618E44A" w:rsidR="00260629" w:rsidRPr="00610B1B" w:rsidRDefault="002A152C" w:rsidP="00E8347C">
          <w:pPr>
            <w:pStyle w:val="TOC2"/>
            <w:spacing w:afterLines="60" w:after="144"/>
            <w:rPr>
              <w:rFonts w:eastAsiaTheme="minorEastAsia"/>
              <w:lang w:val="en-US" w:eastAsia="en-US" w:bidi="ar-SA"/>
            </w:rPr>
          </w:pPr>
          <w:hyperlink w:anchor="_Toc83391366" w:history="1">
            <w:r w:rsidR="00260629" w:rsidRPr="00610B1B">
              <w:rPr>
                <w:rStyle w:val="Hyperlink"/>
              </w:rPr>
              <w:t>2.3. Урбанизация на българското Черноморско крайбрежие</w:t>
            </w:r>
            <w:r w:rsidR="00260629" w:rsidRPr="00610B1B">
              <w:rPr>
                <w:webHidden/>
              </w:rPr>
              <w:tab/>
            </w:r>
            <w:r w:rsidR="00260629" w:rsidRPr="00610B1B">
              <w:rPr>
                <w:webHidden/>
              </w:rPr>
              <w:fldChar w:fldCharType="begin"/>
            </w:r>
            <w:r w:rsidR="00260629" w:rsidRPr="00610B1B">
              <w:rPr>
                <w:webHidden/>
              </w:rPr>
              <w:instrText xml:space="preserve"> PAGEREF _Toc83391366 \h </w:instrText>
            </w:r>
            <w:r w:rsidR="00260629" w:rsidRPr="00610B1B">
              <w:rPr>
                <w:webHidden/>
              </w:rPr>
            </w:r>
            <w:r w:rsidR="00260629" w:rsidRPr="00610B1B">
              <w:rPr>
                <w:webHidden/>
              </w:rPr>
              <w:fldChar w:fldCharType="separate"/>
            </w:r>
            <w:r w:rsidR="00260629" w:rsidRPr="00610B1B">
              <w:rPr>
                <w:webHidden/>
              </w:rPr>
              <w:t>103</w:t>
            </w:r>
            <w:r w:rsidR="00260629" w:rsidRPr="00610B1B">
              <w:rPr>
                <w:webHidden/>
              </w:rPr>
              <w:fldChar w:fldCharType="end"/>
            </w:r>
          </w:hyperlink>
        </w:p>
        <w:p w14:paraId="3D7D67E7" w14:textId="230951E5" w:rsidR="00260629" w:rsidRPr="00610B1B" w:rsidRDefault="002A152C">
          <w:pPr>
            <w:pStyle w:val="TOC3"/>
            <w:rPr>
              <w:noProof/>
              <w:lang w:val="en-US" w:eastAsia="en-US"/>
            </w:rPr>
          </w:pPr>
          <w:hyperlink w:anchor="_Toc83391367" w:history="1">
            <w:r w:rsidR="00260629" w:rsidRPr="00610B1B">
              <w:rPr>
                <w:rStyle w:val="Hyperlink"/>
                <w:rFonts w:ascii="Times New Roman" w:hAnsi="Times New Roman"/>
                <w:noProof/>
                <w:lang w:bidi="hi-IN"/>
              </w:rPr>
              <w:t>2.3.1. Демография</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_Toc83391367 \h </w:instrText>
            </w:r>
            <w:r w:rsidR="00260629" w:rsidRPr="00610B1B">
              <w:rPr>
                <w:noProof/>
                <w:webHidden/>
              </w:rPr>
            </w:r>
            <w:r w:rsidR="00260629" w:rsidRPr="00610B1B">
              <w:rPr>
                <w:noProof/>
                <w:webHidden/>
              </w:rPr>
              <w:fldChar w:fldCharType="separate"/>
            </w:r>
            <w:r w:rsidR="00260629" w:rsidRPr="00610B1B">
              <w:rPr>
                <w:noProof/>
                <w:webHidden/>
              </w:rPr>
              <w:t>104</w:t>
            </w:r>
            <w:r w:rsidR="00260629" w:rsidRPr="00610B1B">
              <w:rPr>
                <w:noProof/>
                <w:webHidden/>
              </w:rPr>
              <w:fldChar w:fldCharType="end"/>
            </w:r>
          </w:hyperlink>
        </w:p>
        <w:p w14:paraId="0F07EF6C" w14:textId="33DB62C4" w:rsidR="00260629" w:rsidRPr="00610B1B" w:rsidRDefault="002A152C">
          <w:pPr>
            <w:pStyle w:val="TOC3"/>
            <w:rPr>
              <w:noProof/>
              <w:lang w:val="en-US" w:eastAsia="en-US"/>
            </w:rPr>
          </w:pPr>
          <w:hyperlink w:anchor="_Toc83391368" w:history="1">
            <w:r w:rsidR="00260629" w:rsidRPr="00610B1B">
              <w:rPr>
                <w:rStyle w:val="Hyperlink"/>
                <w:rFonts w:ascii="Times New Roman" w:hAnsi="Times New Roman"/>
                <w:noProof/>
                <w:lang w:bidi="hi-IN"/>
              </w:rPr>
              <w:t>2.3.2. Образование</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_Toc83391368 \h </w:instrText>
            </w:r>
            <w:r w:rsidR="00260629" w:rsidRPr="00610B1B">
              <w:rPr>
                <w:noProof/>
                <w:webHidden/>
              </w:rPr>
            </w:r>
            <w:r w:rsidR="00260629" w:rsidRPr="00610B1B">
              <w:rPr>
                <w:noProof/>
                <w:webHidden/>
              </w:rPr>
              <w:fldChar w:fldCharType="separate"/>
            </w:r>
            <w:r w:rsidR="00260629" w:rsidRPr="00610B1B">
              <w:rPr>
                <w:noProof/>
                <w:webHidden/>
              </w:rPr>
              <w:t>111</w:t>
            </w:r>
            <w:r w:rsidR="00260629" w:rsidRPr="00610B1B">
              <w:rPr>
                <w:noProof/>
                <w:webHidden/>
              </w:rPr>
              <w:fldChar w:fldCharType="end"/>
            </w:r>
          </w:hyperlink>
        </w:p>
        <w:p w14:paraId="3E78C84B" w14:textId="7A9AFAFC" w:rsidR="00260629" w:rsidRPr="00610B1B" w:rsidRDefault="002A152C">
          <w:pPr>
            <w:pStyle w:val="TOC3"/>
            <w:rPr>
              <w:noProof/>
              <w:lang w:val="en-US" w:eastAsia="en-US"/>
            </w:rPr>
          </w:pPr>
          <w:hyperlink w:anchor="_Toc83391369" w:history="1">
            <w:r w:rsidR="00260629" w:rsidRPr="00610B1B">
              <w:rPr>
                <w:rStyle w:val="Hyperlink"/>
                <w:rFonts w:ascii="Times New Roman" w:hAnsi="Times New Roman"/>
                <w:noProof/>
                <w:lang w:bidi="hi-IN"/>
              </w:rPr>
              <w:t>2.3.3. Здравеопазване</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_Toc83391369 \h </w:instrText>
            </w:r>
            <w:r w:rsidR="00260629" w:rsidRPr="00610B1B">
              <w:rPr>
                <w:noProof/>
                <w:webHidden/>
              </w:rPr>
            </w:r>
            <w:r w:rsidR="00260629" w:rsidRPr="00610B1B">
              <w:rPr>
                <w:noProof/>
                <w:webHidden/>
              </w:rPr>
              <w:fldChar w:fldCharType="separate"/>
            </w:r>
            <w:r w:rsidR="00260629" w:rsidRPr="00610B1B">
              <w:rPr>
                <w:noProof/>
                <w:webHidden/>
              </w:rPr>
              <w:t>113</w:t>
            </w:r>
            <w:r w:rsidR="00260629" w:rsidRPr="00610B1B">
              <w:rPr>
                <w:noProof/>
                <w:webHidden/>
              </w:rPr>
              <w:fldChar w:fldCharType="end"/>
            </w:r>
          </w:hyperlink>
        </w:p>
        <w:p w14:paraId="3AA8B8B8" w14:textId="49C0B626"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370" w:history="1">
            <w:r w:rsidR="00260629" w:rsidRPr="00610B1B">
              <w:rPr>
                <w:rStyle w:val="Hyperlink"/>
                <w:rFonts w:cs="Times New Roman"/>
                <w:noProof/>
                <w:sz w:val="22"/>
                <w:szCs w:val="22"/>
              </w:rPr>
              <w:t>3. ДЕЙНОСТИ В НАЦИОНАЛНИТЕ МОРСКИ ПРОСТРАНСТВА</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_Toc83391370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115</w:t>
            </w:r>
            <w:r w:rsidR="00260629" w:rsidRPr="00610B1B">
              <w:rPr>
                <w:rFonts w:cs="Times New Roman"/>
                <w:noProof/>
                <w:webHidden/>
                <w:sz w:val="22"/>
                <w:szCs w:val="22"/>
              </w:rPr>
              <w:fldChar w:fldCharType="end"/>
            </w:r>
          </w:hyperlink>
          <w:bookmarkStart w:id="2" w:name="_GoBack"/>
          <w:bookmarkEnd w:id="2"/>
        </w:p>
        <w:p w14:paraId="75C32BA7" w14:textId="4EEC6948" w:rsidR="00260629" w:rsidRPr="00610B1B" w:rsidRDefault="002A152C" w:rsidP="00E8347C">
          <w:pPr>
            <w:pStyle w:val="TOC2"/>
            <w:spacing w:afterLines="60" w:after="144"/>
            <w:rPr>
              <w:rFonts w:eastAsiaTheme="minorEastAsia"/>
              <w:lang w:val="en-US" w:eastAsia="en-US" w:bidi="ar-SA"/>
            </w:rPr>
          </w:pPr>
          <w:hyperlink w:anchor="_Toc83391371" w:history="1">
            <w:r w:rsidR="00260629" w:rsidRPr="00610B1B">
              <w:rPr>
                <w:rStyle w:val="Hyperlink"/>
              </w:rPr>
              <w:t>3.1. Морски транспорт</w:t>
            </w:r>
            <w:r w:rsidR="00260629" w:rsidRPr="00610B1B">
              <w:rPr>
                <w:webHidden/>
              </w:rPr>
              <w:tab/>
            </w:r>
            <w:r w:rsidR="00260629" w:rsidRPr="00610B1B">
              <w:rPr>
                <w:webHidden/>
              </w:rPr>
              <w:fldChar w:fldCharType="begin"/>
            </w:r>
            <w:r w:rsidR="00260629" w:rsidRPr="00610B1B">
              <w:rPr>
                <w:webHidden/>
              </w:rPr>
              <w:instrText xml:space="preserve"> PAGEREF _Toc83391371 \h </w:instrText>
            </w:r>
            <w:r w:rsidR="00260629" w:rsidRPr="00610B1B">
              <w:rPr>
                <w:webHidden/>
              </w:rPr>
            </w:r>
            <w:r w:rsidR="00260629" w:rsidRPr="00610B1B">
              <w:rPr>
                <w:webHidden/>
              </w:rPr>
              <w:fldChar w:fldCharType="separate"/>
            </w:r>
            <w:r w:rsidR="00260629" w:rsidRPr="00610B1B">
              <w:rPr>
                <w:webHidden/>
              </w:rPr>
              <w:t>115</w:t>
            </w:r>
            <w:r w:rsidR="00260629" w:rsidRPr="00610B1B">
              <w:rPr>
                <w:webHidden/>
              </w:rPr>
              <w:fldChar w:fldCharType="end"/>
            </w:r>
          </w:hyperlink>
        </w:p>
        <w:p w14:paraId="5B6EAA71" w14:textId="1DB11395" w:rsidR="00260629" w:rsidRPr="00610B1B" w:rsidRDefault="002A152C">
          <w:pPr>
            <w:pStyle w:val="TOC3"/>
            <w:rPr>
              <w:noProof/>
              <w:lang w:val="en-US" w:eastAsia="en-US"/>
            </w:rPr>
          </w:pPr>
          <w:hyperlink w:anchor="_Toc83391372" w:history="1">
            <w:r w:rsidR="00260629" w:rsidRPr="00610B1B">
              <w:rPr>
                <w:rStyle w:val="Hyperlink"/>
                <w:rFonts w:ascii="Times New Roman" w:hAnsi="Times New Roman"/>
                <w:noProof/>
                <w:lang w:bidi="hi-IN"/>
              </w:rPr>
              <w:t>3.1.1. Въведение</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_Toc83391372 \h </w:instrText>
            </w:r>
            <w:r w:rsidR="00260629" w:rsidRPr="00610B1B">
              <w:rPr>
                <w:noProof/>
                <w:webHidden/>
              </w:rPr>
            </w:r>
            <w:r w:rsidR="00260629" w:rsidRPr="00610B1B">
              <w:rPr>
                <w:noProof/>
                <w:webHidden/>
              </w:rPr>
              <w:fldChar w:fldCharType="separate"/>
            </w:r>
            <w:r w:rsidR="00260629" w:rsidRPr="00610B1B">
              <w:rPr>
                <w:noProof/>
                <w:webHidden/>
              </w:rPr>
              <w:t>115</w:t>
            </w:r>
            <w:r w:rsidR="00260629" w:rsidRPr="00610B1B">
              <w:rPr>
                <w:noProof/>
                <w:webHidden/>
              </w:rPr>
              <w:fldChar w:fldCharType="end"/>
            </w:r>
          </w:hyperlink>
        </w:p>
        <w:p w14:paraId="3F8D85CC" w14:textId="7EB2C9C7" w:rsidR="00260629" w:rsidRPr="00610B1B" w:rsidRDefault="002A152C">
          <w:pPr>
            <w:pStyle w:val="TOC3"/>
            <w:rPr>
              <w:noProof/>
              <w:lang w:val="en-US" w:eastAsia="en-US"/>
            </w:rPr>
          </w:pPr>
          <w:hyperlink w:anchor="_Toc83391373" w:history="1">
            <w:r w:rsidR="00260629" w:rsidRPr="00610B1B">
              <w:rPr>
                <w:rStyle w:val="Hyperlink"/>
                <w:rFonts w:ascii="Times New Roman" w:hAnsi="Times New Roman"/>
                <w:noProof/>
                <w:lang w:bidi="hi-IN"/>
              </w:rPr>
              <w:t>3.1.2. Въздействия на вътрешни и външни фактори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_Toc83391373 \h </w:instrText>
            </w:r>
            <w:r w:rsidR="00260629" w:rsidRPr="00610B1B">
              <w:rPr>
                <w:noProof/>
                <w:webHidden/>
              </w:rPr>
            </w:r>
            <w:r w:rsidR="00260629" w:rsidRPr="00610B1B">
              <w:rPr>
                <w:noProof/>
                <w:webHidden/>
              </w:rPr>
              <w:fldChar w:fldCharType="separate"/>
            </w:r>
            <w:r w:rsidR="00260629" w:rsidRPr="00610B1B">
              <w:rPr>
                <w:noProof/>
                <w:webHidden/>
              </w:rPr>
              <w:t>117</w:t>
            </w:r>
            <w:r w:rsidR="00260629" w:rsidRPr="00610B1B">
              <w:rPr>
                <w:noProof/>
                <w:webHidden/>
              </w:rPr>
              <w:fldChar w:fldCharType="end"/>
            </w:r>
          </w:hyperlink>
        </w:p>
        <w:p w14:paraId="3352A74C" w14:textId="1EFF3EF8" w:rsidR="00260629" w:rsidRPr="00610B1B" w:rsidRDefault="002A152C">
          <w:pPr>
            <w:pStyle w:val="TOC3"/>
            <w:rPr>
              <w:noProof/>
              <w:lang w:val="en-US" w:eastAsia="en-US"/>
            </w:rPr>
          </w:pPr>
          <w:hyperlink w:anchor="_Toc83391374" w:history="1">
            <w:r w:rsidR="00260629" w:rsidRPr="00610B1B">
              <w:rPr>
                <w:rStyle w:val="Hyperlink"/>
                <w:rFonts w:ascii="Times New Roman" w:hAnsi="Times New Roman"/>
                <w:noProof/>
                <w:lang w:bidi="hi-IN"/>
              </w:rPr>
              <w:t>3.1.3. Морски търговски дестинации. Типове кораби и количества товари.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_Toc83391374 \h </w:instrText>
            </w:r>
            <w:r w:rsidR="00260629" w:rsidRPr="00610B1B">
              <w:rPr>
                <w:noProof/>
                <w:webHidden/>
              </w:rPr>
            </w:r>
            <w:r w:rsidR="00260629" w:rsidRPr="00610B1B">
              <w:rPr>
                <w:noProof/>
                <w:webHidden/>
              </w:rPr>
              <w:fldChar w:fldCharType="separate"/>
            </w:r>
            <w:r w:rsidR="00260629" w:rsidRPr="00610B1B">
              <w:rPr>
                <w:noProof/>
                <w:webHidden/>
              </w:rPr>
              <w:t>121</w:t>
            </w:r>
            <w:r w:rsidR="00260629" w:rsidRPr="00610B1B">
              <w:rPr>
                <w:noProof/>
                <w:webHidden/>
              </w:rPr>
              <w:fldChar w:fldCharType="end"/>
            </w:r>
          </w:hyperlink>
        </w:p>
        <w:p w14:paraId="04E8CD54" w14:textId="744883C2" w:rsidR="00260629" w:rsidRPr="00610B1B" w:rsidRDefault="002A152C">
          <w:pPr>
            <w:pStyle w:val="TOC3"/>
            <w:rPr>
              <w:noProof/>
              <w:lang w:val="en-US" w:eastAsia="en-US"/>
            </w:rPr>
          </w:pPr>
          <w:hyperlink w:anchor="_Toc83391375" w:history="1">
            <w:r w:rsidR="00260629" w:rsidRPr="00610B1B">
              <w:rPr>
                <w:rStyle w:val="Hyperlink"/>
                <w:rFonts w:ascii="Times New Roman" w:hAnsi="Times New Roman"/>
                <w:noProof/>
                <w:lang w:bidi="hi-IN"/>
              </w:rPr>
              <w:t>3.1.4. Характеристика на морските пристанища на Р. България</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_Toc83391375 \h </w:instrText>
            </w:r>
            <w:r w:rsidR="00260629" w:rsidRPr="00610B1B">
              <w:rPr>
                <w:noProof/>
                <w:webHidden/>
              </w:rPr>
            </w:r>
            <w:r w:rsidR="00260629" w:rsidRPr="00610B1B">
              <w:rPr>
                <w:noProof/>
                <w:webHidden/>
              </w:rPr>
              <w:fldChar w:fldCharType="separate"/>
            </w:r>
            <w:r w:rsidR="00260629" w:rsidRPr="00610B1B">
              <w:rPr>
                <w:noProof/>
                <w:webHidden/>
              </w:rPr>
              <w:t>126</w:t>
            </w:r>
            <w:r w:rsidR="00260629" w:rsidRPr="00610B1B">
              <w:rPr>
                <w:noProof/>
                <w:webHidden/>
              </w:rPr>
              <w:fldChar w:fldCharType="end"/>
            </w:r>
          </w:hyperlink>
        </w:p>
        <w:p w14:paraId="7219C443" w14:textId="1D8E4B9D" w:rsidR="00260629" w:rsidRPr="00610B1B" w:rsidRDefault="002A152C" w:rsidP="00E8347C">
          <w:pPr>
            <w:pStyle w:val="TOC2"/>
            <w:spacing w:afterLines="60" w:after="144"/>
            <w:rPr>
              <w:rFonts w:eastAsiaTheme="minorEastAsia"/>
              <w:lang w:val="en-US" w:eastAsia="en-US" w:bidi="ar-SA"/>
            </w:rPr>
          </w:pPr>
          <w:hyperlink w:anchor="_Toc83391376" w:history="1">
            <w:r w:rsidR="00260629" w:rsidRPr="00610B1B">
              <w:rPr>
                <w:rStyle w:val="Hyperlink"/>
              </w:rPr>
              <w:t>3.2. Рибарство и аквакултури</w:t>
            </w:r>
            <w:r w:rsidR="00260629" w:rsidRPr="00610B1B">
              <w:rPr>
                <w:webHidden/>
              </w:rPr>
              <w:tab/>
            </w:r>
            <w:r w:rsidR="00260629" w:rsidRPr="00610B1B">
              <w:rPr>
                <w:webHidden/>
              </w:rPr>
              <w:fldChar w:fldCharType="begin"/>
            </w:r>
            <w:r w:rsidR="00260629" w:rsidRPr="00610B1B">
              <w:rPr>
                <w:webHidden/>
              </w:rPr>
              <w:instrText xml:space="preserve"> PAGEREF _Toc83391376 \h </w:instrText>
            </w:r>
            <w:r w:rsidR="00260629" w:rsidRPr="00610B1B">
              <w:rPr>
                <w:webHidden/>
              </w:rPr>
            </w:r>
            <w:r w:rsidR="00260629" w:rsidRPr="00610B1B">
              <w:rPr>
                <w:webHidden/>
              </w:rPr>
              <w:fldChar w:fldCharType="separate"/>
            </w:r>
            <w:r w:rsidR="00260629" w:rsidRPr="00610B1B">
              <w:rPr>
                <w:webHidden/>
              </w:rPr>
              <w:t>133</w:t>
            </w:r>
            <w:r w:rsidR="00260629" w:rsidRPr="00610B1B">
              <w:rPr>
                <w:webHidden/>
              </w:rPr>
              <w:fldChar w:fldCharType="end"/>
            </w:r>
          </w:hyperlink>
        </w:p>
        <w:p w14:paraId="618B39BF" w14:textId="1A457D57" w:rsidR="00260629" w:rsidRPr="00610B1B" w:rsidRDefault="002A152C">
          <w:pPr>
            <w:pStyle w:val="TOC3"/>
            <w:rPr>
              <w:noProof/>
              <w:lang w:val="en-US" w:eastAsia="en-US"/>
            </w:rPr>
          </w:pPr>
          <w:hyperlink w:anchor="_Toc83391377" w:history="1">
            <w:r w:rsidR="00260629" w:rsidRPr="00610B1B">
              <w:rPr>
                <w:rStyle w:val="Hyperlink"/>
                <w:rFonts w:ascii="Times New Roman" w:hAnsi="Times New Roman"/>
                <w:noProof/>
                <w:lang w:bidi="hi-IN"/>
              </w:rPr>
              <w:t>3.2.1. Сектор Рибарство</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_Toc83391377 \h </w:instrText>
            </w:r>
            <w:r w:rsidR="00260629" w:rsidRPr="00610B1B">
              <w:rPr>
                <w:noProof/>
                <w:webHidden/>
              </w:rPr>
            </w:r>
            <w:r w:rsidR="00260629" w:rsidRPr="00610B1B">
              <w:rPr>
                <w:noProof/>
                <w:webHidden/>
              </w:rPr>
              <w:fldChar w:fldCharType="separate"/>
            </w:r>
            <w:r w:rsidR="00260629" w:rsidRPr="00610B1B">
              <w:rPr>
                <w:noProof/>
                <w:webHidden/>
              </w:rPr>
              <w:t>133</w:t>
            </w:r>
            <w:r w:rsidR="00260629" w:rsidRPr="00610B1B">
              <w:rPr>
                <w:noProof/>
                <w:webHidden/>
              </w:rPr>
              <w:fldChar w:fldCharType="end"/>
            </w:r>
          </w:hyperlink>
        </w:p>
        <w:p w14:paraId="35333485" w14:textId="41618150" w:rsidR="00260629" w:rsidRPr="00610B1B" w:rsidRDefault="002A152C">
          <w:pPr>
            <w:pStyle w:val="TOC3"/>
            <w:rPr>
              <w:noProof/>
              <w:lang w:val="en-US" w:eastAsia="en-US"/>
            </w:rPr>
          </w:pPr>
          <w:hyperlink w:anchor="_Toc83391378" w:history="1">
            <w:r w:rsidR="00260629" w:rsidRPr="00610B1B">
              <w:rPr>
                <w:rStyle w:val="Hyperlink"/>
                <w:rFonts w:ascii="Times New Roman" w:hAnsi="Times New Roman"/>
                <w:noProof/>
                <w:lang w:bidi="hi-IN"/>
              </w:rPr>
              <w:t>3.2.2. Аквакултури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_Toc83391378 \h </w:instrText>
            </w:r>
            <w:r w:rsidR="00260629" w:rsidRPr="00610B1B">
              <w:rPr>
                <w:noProof/>
                <w:webHidden/>
              </w:rPr>
            </w:r>
            <w:r w:rsidR="00260629" w:rsidRPr="00610B1B">
              <w:rPr>
                <w:noProof/>
                <w:webHidden/>
              </w:rPr>
              <w:fldChar w:fldCharType="separate"/>
            </w:r>
            <w:r w:rsidR="00260629" w:rsidRPr="00610B1B">
              <w:rPr>
                <w:noProof/>
                <w:webHidden/>
              </w:rPr>
              <w:t>139</w:t>
            </w:r>
            <w:r w:rsidR="00260629" w:rsidRPr="00610B1B">
              <w:rPr>
                <w:noProof/>
                <w:webHidden/>
              </w:rPr>
              <w:fldChar w:fldCharType="end"/>
            </w:r>
          </w:hyperlink>
        </w:p>
        <w:p w14:paraId="0872ADE2" w14:textId="37CA9DAA" w:rsidR="00260629" w:rsidRPr="00610B1B" w:rsidRDefault="002A152C">
          <w:pPr>
            <w:pStyle w:val="TOC3"/>
            <w:rPr>
              <w:noProof/>
              <w:lang w:val="en-US" w:eastAsia="en-US"/>
            </w:rPr>
          </w:pPr>
          <w:hyperlink w:anchor="_Toc83391379" w:history="1">
            <w:r w:rsidR="00260629" w:rsidRPr="00610B1B">
              <w:rPr>
                <w:rStyle w:val="Hyperlink"/>
                <w:rFonts w:ascii="Times New Roman" w:hAnsi="Times New Roman"/>
                <w:noProof/>
                <w:lang w:bidi="hi-IN"/>
              </w:rPr>
              <w:t>3.2.3. Преработка на риба и рибни продукти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_Toc83391379 \h </w:instrText>
            </w:r>
            <w:r w:rsidR="00260629" w:rsidRPr="00610B1B">
              <w:rPr>
                <w:noProof/>
                <w:webHidden/>
              </w:rPr>
            </w:r>
            <w:r w:rsidR="00260629" w:rsidRPr="00610B1B">
              <w:rPr>
                <w:noProof/>
                <w:webHidden/>
              </w:rPr>
              <w:fldChar w:fldCharType="separate"/>
            </w:r>
            <w:r w:rsidR="00260629" w:rsidRPr="00610B1B">
              <w:rPr>
                <w:noProof/>
                <w:webHidden/>
              </w:rPr>
              <w:t>140</w:t>
            </w:r>
            <w:r w:rsidR="00260629" w:rsidRPr="00610B1B">
              <w:rPr>
                <w:noProof/>
                <w:webHidden/>
              </w:rPr>
              <w:fldChar w:fldCharType="end"/>
            </w:r>
          </w:hyperlink>
        </w:p>
        <w:p w14:paraId="3285693B" w14:textId="7707CFCD" w:rsidR="00260629" w:rsidRPr="00610B1B" w:rsidRDefault="002A152C" w:rsidP="00E8347C">
          <w:pPr>
            <w:pStyle w:val="TOC2"/>
            <w:spacing w:afterLines="60" w:after="144"/>
            <w:rPr>
              <w:rFonts w:eastAsiaTheme="minorEastAsia"/>
              <w:lang w:val="en-US" w:eastAsia="en-US" w:bidi="ar-SA"/>
            </w:rPr>
          </w:pPr>
          <w:hyperlink w:anchor="_Toc83391380" w:history="1">
            <w:r w:rsidR="00260629" w:rsidRPr="00610B1B">
              <w:rPr>
                <w:rStyle w:val="Hyperlink"/>
              </w:rPr>
              <w:t>3.3. Туризъм</w:t>
            </w:r>
            <w:r w:rsidR="00260629" w:rsidRPr="00610B1B">
              <w:rPr>
                <w:webHidden/>
              </w:rPr>
              <w:tab/>
            </w:r>
            <w:r w:rsidR="00260629" w:rsidRPr="00610B1B">
              <w:rPr>
                <w:webHidden/>
              </w:rPr>
              <w:fldChar w:fldCharType="begin"/>
            </w:r>
            <w:r w:rsidR="00260629" w:rsidRPr="00610B1B">
              <w:rPr>
                <w:webHidden/>
              </w:rPr>
              <w:instrText xml:space="preserve"> PAGEREF _Toc83391380 \h </w:instrText>
            </w:r>
            <w:r w:rsidR="00260629" w:rsidRPr="00610B1B">
              <w:rPr>
                <w:webHidden/>
              </w:rPr>
            </w:r>
            <w:r w:rsidR="00260629" w:rsidRPr="00610B1B">
              <w:rPr>
                <w:webHidden/>
              </w:rPr>
              <w:fldChar w:fldCharType="separate"/>
            </w:r>
            <w:r w:rsidR="00260629" w:rsidRPr="00610B1B">
              <w:rPr>
                <w:webHidden/>
              </w:rPr>
              <w:t>142</w:t>
            </w:r>
            <w:r w:rsidR="00260629" w:rsidRPr="00610B1B">
              <w:rPr>
                <w:webHidden/>
              </w:rPr>
              <w:fldChar w:fldCharType="end"/>
            </w:r>
          </w:hyperlink>
        </w:p>
        <w:p w14:paraId="4322C3C4" w14:textId="7B01E749" w:rsidR="00260629" w:rsidRPr="00610B1B" w:rsidRDefault="002A152C">
          <w:pPr>
            <w:pStyle w:val="TOC3"/>
            <w:rPr>
              <w:noProof/>
              <w:lang w:val="en-US" w:eastAsia="en-US"/>
            </w:rPr>
          </w:pPr>
          <w:hyperlink w:anchor="_Toc83391381" w:history="1">
            <w:r w:rsidR="00260629" w:rsidRPr="00610B1B">
              <w:rPr>
                <w:rStyle w:val="Hyperlink"/>
                <w:rFonts w:ascii="Times New Roman" w:hAnsi="Times New Roman"/>
                <w:noProof/>
                <w:lang w:bidi="hi-IN"/>
              </w:rPr>
              <w:t>3.3.1. Туристически ресурси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_Toc83391381 \h </w:instrText>
            </w:r>
            <w:r w:rsidR="00260629" w:rsidRPr="00610B1B">
              <w:rPr>
                <w:noProof/>
                <w:webHidden/>
              </w:rPr>
            </w:r>
            <w:r w:rsidR="00260629" w:rsidRPr="00610B1B">
              <w:rPr>
                <w:noProof/>
                <w:webHidden/>
              </w:rPr>
              <w:fldChar w:fldCharType="separate"/>
            </w:r>
            <w:r w:rsidR="00260629" w:rsidRPr="00610B1B">
              <w:rPr>
                <w:noProof/>
                <w:webHidden/>
              </w:rPr>
              <w:t>143</w:t>
            </w:r>
            <w:r w:rsidR="00260629" w:rsidRPr="00610B1B">
              <w:rPr>
                <w:noProof/>
                <w:webHidden/>
              </w:rPr>
              <w:fldChar w:fldCharType="end"/>
            </w:r>
          </w:hyperlink>
        </w:p>
        <w:p w14:paraId="27BD0D0C" w14:textId="1EDACF5B" w:rsidR="00260629" w:rsidRPr="00610B1B" w:rsidRDefault="002A152C">
          <w:pPr>
            <w:pStyle w:val="TOC3"/>
            <w:rPr>
              <w:noProof/>
              <w:lang w:val="en-US" w:eastAsia="en-US"/>
            </w:rPr>
          </w:pPr>
          <w:hyperlink w:anchor="_Toc83391382" w:history="1">
            <w:r w:rsidR="00260629" w:rsidRPr="00610B1B">
              <w:rPr>
                <w:rStyle w:val="Hyperlink"/>
                <w:rFonts w:ascii="Times New Roman" w:hAnsi="Times New Roman"/>
                <w:noProof/>
                <w:lang w:bidi="hi-IN"/>
              </w:rPr>
              <w:t>3.3.2. Курортни комплекси и образувания</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_Toc83391382 \h </w:instrText>
            </w:r>
            <w:r w:rsidR="00260629" w:rsidRPr="00610B1B">
              <w:rPr>
                <w:noProof/>
                <w:webHidden/>
              </w:rPr>
            </w:r>
            <w:r w:rsidR="00260629" w:rsidRPr="00610B1B">
              <w:rPr>
                <w:noProof/>
                <w:webHidden/>
              </w:rPr>
              <w:fldChar w:fldCharType="separate"/>
            </w:r>
            <w:r w:rsidR="00260629" w:rsidRPr="00610B1B">
              <w:rPr>
                <w:noProof/>
                <w:webHidden/>
              </w:rPr>
              <w:t>144</w:t>
            </w:r>
            <w:r w:rsidR="00260629" w:rsidRPr="00610B1B">
              <w:rPr>
                <w:noProof/>
                <w:webHidden/>
              </w:rPr>
              <w:fldChar w:fldCharType="end"/>
            </w:r>
          </w:hyperlink>
        </w:p>
        <w:p w14:paraId="1AAA4CD8" w14:textId="2FAF979F" w:rsidR="00260629" w:rsidRPr="00610B1B" w:rsidRDefault="002A152C">
          <w:pPr>
            <w:pStyle w:val="TOC3"/>
            <w:rPr>
              <w:noProof/>
              <w:lang w:val="en-US" w:eastAsia="en-US"/>
            </w:rPr>
          </w:pPr>
          <w:hyperlink w:anchor="_Toc83391383" w:history="1">
            <w:r w:rsidR="00260629" w:rsidRPr="00610B1B">
              <w:rPr>
                <w:rStyle w:val="Hyperlink"/>
                <w:rFonts w:ascii="Times New Roman" w:hAnsi="Times New Roman"/>
                <w:noProof/>
                <w:lang w:bidi="hi-IN"/>
              </w:rPr>
              <w:t>3.3.3. Яхтени пристанища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_Toc83391383 \h </w:instrText>
            </w:r>
            <w:r w:rsidR="00260629" w:rsidRPr="00610B1B">
              <w:rPr>
                <w:noProof/>
                <w:webHidden/>
              </w:rPr>
            </w:r>
            <w:r w:rsidR="00260629" w:rsidRPr="00610B1B">
              <w:rPr>
                <w:noProof/>
                <w:webHidden/>
              </w:rPr>
              <w:fldChar w:fldCharType="separate"/>
            </w:r>
            <w:r w:rsidR="00260629" w:rsidRPr="00610B1B">
              <w:rPr>
                <w:noProof/>
                <w:webHidden/>
              </w:rPr>
              <w:t>146</w:t>
            </w:r>
            <w:r w:rsidR="00260629" w:rsidRPr="00610B1B">
              <w:rPr>
                <w:noProof/>
                <w:webHidden/>
              </w:rPr>
              <w:fldChar w:fldCharType="end"/>
            </w:r>
          </w:hyperlink>
        </w:p>
        <w:p w14:paraId="1252B8E3" w14:textId="69472FC9" w:rsidR="00260629" w:rsidRPr="00610B1B" w:rsidRDefault="002A152C">
          <w:pPr>
            <w:pStyle w:val="TOC3"/>
            <w:rPr>
              <w:noProof/>
              <w:lang w:val="en-US" w:eastAsia="en-US"/>
            </w:rPr>
          </w:pPr>
          <w:hyperlink w:anchor="_Toc83391384" w:history="1">
            <w:r w:rsidR="00260629" w:rsidRPr="00610B1B">
              <w:rPr>
                <w:rStyle w:val="Hyperlink"/>
                <w:rFonts w:ascii="Times New Roman" w:hAnsi="Times New Roman"/>
                <w:noProof/>
                <w:lang w:bidi="hi-IN"/>
              </w:rPr>
              <w:t>3.3.4. Икономически измерения на туризма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_Toc83391384 \h </w:instrText>
            </w:r>
            <w:r w:rsidR="00260629" w:rsidRPr="00610B1B">
              <w:rPr>
                <w:noProof/>
                <w:webHidden/>
              </w:rPr>
            </w:r>
            <w:r w:rsidR="00260629" w:rsidRPr="00610B1B">
              <w:rPr>
                <w:noProof/>
                <w:webHidden/>
              </w:rPr>
              <w:fldChar w:fldCharType="separate"/>
            </w:r>
            <w:r w:rsidR="00260629" w:rsidRPr="00610B1B">
              <w:rPr>
                <w:noProof/>
                <w:webHidden/>
              </w:rPr>
              <w:t>151</w:t>
            </w:r>
            <w:r w:rsidR="00260629" w:rsidRPr="00610B1B">
              <w:rPr>
                <w:noProof/>
                <w:webHidden/>
              </w:rPr>
              <w:fldChar w:fldCharType="end"/>
            </w:r>
          </w:hyperlink>
        </w:p>
        <w:p w14:paraId="0A8B9BB5" w14:textId="72C6E382" w:rsidR="00260629" w:rsidRPr="00610B1B" w:rsidRDefault="002A152C" w:rsidP="00E8347C">
          <w:pPr>
            <w:pStyle w:val="TOC2"/>
            <w:spacing w:afterLines="60" w:after="144"/>
            <w:rPr>
              <w:rFonts w:eastAsiaTheme="minorEastAsia"/>
              <w:lang w:val="en-US" w:eastAsia="en-US" w:bidi="ar-SA"/>
            </w:rPr>
          </w:pPr>
          <w:hyperlink w:anchor="_Toc83391385" w:history="1">
            <w:r w:rsidR="00260629" w:rsidRPr="00610B1B">
              <w:rPr>
                <w:rStyle w:val="Hyperlink"/>
              </w:rPr>
              <w:t>3.4. Морски информационни и комуникационни технологии и инфраструктура</w:t>
            </w:r>
            <w:r w:rsidR="00260629" w:rsidRPr="00610B1B">
              <w:rPr>
                <w:webHidden/>
              </w:rPr>
              <w:tab/>
            </w:r>
            <w:r w:rsidR="00260629" w:rsidRPr="00610B1B">
              <w:rPr>
                <w:webHidden/>
              </w:rPr>
              <w:fldChar w:fldCharType="begin"/>
            </w:r>
            <w:r w:rsidR="00260629" w:rsidRPr="00610B1B">
              <w:rPr>
                <w:webHidden/>
              </w:rPr>
              <w:instrText xml:space="preserve"> PAGEREF _Toc83391385 \h </w:instrText>
            </w:r>
            <w:r w:rsidR="00260629" w:rsidRPr="00610B1B">
              <w:rPr>
                <w:webHidden/>
              </w:rPr>
            </w:r>
            <w:r w:rsidR="00260629" w:rsidRPr="00610B1B">
              <w:rPr>
                <w:webHidden/>
              </w:rPr>
              <w:fldChar w:fldCharType="separate"/>
            </w:r>
            <w:r w:rsidR="00260629" w:rsidRPr="00610B1B">
              <w:rPr>
                <w:webHidden/>
              </w:rPr>
              <w:t>152</w:t>
            </w:r>
            <w:r w:rsidR="00260629" w:rsidRPr="00610B1B">
              <w:rPr>
                <w:webHidden/>
              </w:rPr>
              <w:fldChar w:fldCharType="end"/>
            </w:r>
          </w:hyperlink>
        </w:p>
        <w:p w14:paraId="28E12DEC" w14:textId="4F84B9D2" w:rsidR="00260629" w:rsidRPr="00610B1B" w:rsidRDefault="002A152C">
          <w:pPr>
            <w:pStyle w:val="TOC3"/>
            <w:rPr>
              <w:noProof/>
              <w:lang w:val="en-US" w:eastAsia="en-US"/>
            </w:rPr>
          </w:pPr>
          <w:hyperlink w:anchor="_Toc83391386" w:history="1">
            <w:r w:rsidR="00260629" w:rsidRPr="00610B1B">
              <w:rPr>
                <w:rStyle w:val="Hyperlink"/>
                <w:rFonts w:ascii="Times New Roman" w:hAnsi="Times New Roman"/>
                <w:noProof/>
                <w:lang w:bidi="hi-IN"/>
              </w:rPr>
              <w:t>3.4.1. ИКТ и ТИ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_Toc83391386 \h </w:instrText>
            </w:r>
            <w:r w:rsidR="00260629" w:rsidRPr="00610B1B">
              <w:rPr>
                <w:noProof/>
                <w:webHidden/>
              </w:rPr>
            </w:r>
            <w:r w:rsidR="00260629" w:rsidRPr="00610B1B">
              <w:rPr>
                <w:noProof/>
                <w:webHidden/>
              </w:rPr>
              <w:fldChar w:fldCharType="separate"/>
            </w:r>
            <w:r w:rsidR="00260629" w:rsidRPr="00610B1B">
              <w:rPr>
                <w:noProof/>
                <w:webHidden/>
              </w:rPr>
              <w:t>152</w:t>
            </w:r>
            <w:r w:rsidR="00260629" w:rsidRPr="00610B1B">
              <w:rPr>
                <w:noProof/>
                <w:webHidden/>
              </w:rPr>
              <w:fldChar w:fldCharType="end"/>
            </w:r>
          </w:hyperlink>
        </w:p>
        <w:p w14:paraId="61AB6EEE" w14:textId="40662C79" w:rsidR="00260629" w:rsidRPr="00610B1B" w:rsidRDefault="002A152C">
          <w:pPr>
            <w:pStyle w:val="TOC3"/>
            <w:rPr>
              <w:noProof/>
              <w:lang w:val="en-US" w:eastAsia="en-US"/>
            </w:rPr>
          </w:pPr>
          <w:hyperlink w:anchor="_Toc83391387" w:history="1">
            <w:r w:rsidR="00260629" w:rsidRPr="00610B1B">
              <w:rPr>
                <w:rStyle w:val="Hyperlink"/>
                <w:rFonts w:ascii="Times New Roman" w:hAnsi="Times New Roman"/>
                <w:noProof/>
                <w:lang w:bidi="hi-IN"/>
              </w:rPr>
              <w:t>3.4.2. Широколентово покритие и достъп до високоскоростен Интернет</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_Toc83391387 \h </w:instrText>
            </w:r>
            <w:r w:rsidR="00260629" w:rsidRPr="00610B1B">
              <w:rPr>
                <w:noProof/>
                <w:webHidden/>
              </w:rPr>
            </w:r>
            <w:r w:rsidR="00260629" w:rsidRPr="00610B1B">
              <w:rPr>
                <w:noProof/>
                <w:webHidden/>
              </w:rPr>
              <w:fldChar w:fldCharType="separate"/>
            </w:r>
            <w:r w:rsidR="00260629" w:rsidRPr="00610B1B">
              <w:rPr>
                <w:noProof/>
                <w:webHidden/>
              </w:rPr>
              <w:t>155</w:t>
            </w:r>
            <w:r w:rsidR="00260629" w:rsidRPr="00610B1B">
              <w:rPr>
                <w:noProof/>
                <w:webHidden/>
              </w:rPr>
              <w:fldChar w:fldCharType="end"/>
            </w:r>
          </w:hyperlink>
        </w:p>
        <w:p w14:paraId="08CB8325" w14:textId="3F70DBE1" w:rsidR="00260629" w:rsidRPr="00610B1B" w:rsidRDefault="002A152C" w:rsidP="00E8347C">
          <w:pPr>
            <w:pStyle w:val="TOC2"/>
            <w:spacing w:afterLines="60" w:after="144"/>
            <w:rPr>
              <w:rFonts w:eastAsiaTheme="minorEastAsia"/>
              <w:lang w:val="en-US" w:eastAsia="en-US" w:bidi="ar-SA"/>
            </w:rPr>
          </w:pPr>
          <w:hyperlink w:anchor="_Toc83391388" w:history="1">
            <w:r w:rsidR="00260629" w:rsidRPr="00610B1B">
              <w:rPr>
                <w:rStyle w:val="Hyperlink"/>
              </w:rPr>
              <w:t>3.5. Военни зони, маршрути и пристанища</w:t>
            </w:r>
            <w:r w:rsidR="00260629" w:rsidRPr="00610B1B">
              <w:rPr>
                <w:webHidden/>
              </w:rPr>
              <w:tab/>
            </w:r>
            <w:r w:rsidR="00260629" w:rsidRPr="00610B1B">
              <w:rPr>
                <w:webHidden/>
              </w:rPr>
              <w:fldChar w:fldCharType="begin"/>
            </w:r>
            <w:r w:rsidR="00260629" w:rsidRPr="00610B1B">
              <w:rPr>
                <w:webHidden/>
              </w:rPr>
              <w:instrText xml:space="preserve"> PAGEREF _Toc83391388 \h </w:instrText>
            </w:r>
            <w:r w:rsidR="00260629" w:rsidRPr="00610B1B">
              <w:rPr>
                <w:webHidden/>
              </w:rPr>
            </w:r>
            <w:r w:rsidR="00260629" w:rsidRPr="00610B1B">
              <w:rPr>
                <w:webHidden/>
              </w:rPr>
              <w:fldChar w:fldCharType="separate"/>
            </w:r>
            <w:r w:rsidR="00260629" w:rsidRPr="00610B1B">
              <w:rPr>
                <w:webHidden/>
              </w:rPr>
              <w:t>156</w:t>
            </w:r>
            <w:r w:rsidR="00260629" w:rsidRPr="00610B1B">
              <w:rPr>
                <w:webHidden/>
              </w:rPr>
              <w:fldChar w:fldCharType="end"/>
            </w:r>
          </w:hyperlink>
        </w:p>
        <w:p w14:paraId="0272DE63" w14:textId="54A7320C" w:rsidR="00260629" w:rsidRPr="00610B1B" w:rsidRDefault="002A152C">
          <w:pPr>
            <w:pStyle w:val="TOC3"/>
            <w:rPr>
              <w:noProof/>
              <w:lang w:val="en-US" w:eastAsia="en-US"/>
            </w:rPr>
          </w:pPr>
          <w:hyperlink w:anchor="_Toc83391389" w:history="1">
            <w:r w:rsidR="00260629" w:rsidRPr="00610B1B">
              <w:rPr>
                <w:rStyle w:val="Hyperlink"/>
                <w:rFonts w:ascii="Times New Roman" w:hAnsi="Times New Roman"/>
                <w:noProof/>
                <w:lang w:bidi="hi-IN"/>
              </w:rPr>
              <w:t>3.5.1. Райони, свързани със сигурността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_Toc83391389 \h </w:instrText>
            </w:r>
            <w:r w:rsidR="00260629" w:rsidRPr="00610B1B">
              <w:rPr>
                <w:noProof/>
                <w:webHidden/>
              </w:rPr>
            </w:r>
            <w:r w:rsidR="00260629" w:rsidRPr="00610B1B">
              <w:rPr>
                <w:noProof/>
                <w:webHidden/>
              </w:rPr>
              <w:fldChar w:fldCharType="separate"/>
            </w:r>
            <w:r w:rsidR="00260629" w:rsidRPr="00610B1B">
              <w:rPr>
                <w:noProof/>
                <w:webHidden/>
              </w:rPr>
              <w:t>159</w:t>
            </w:r>
            <w:r w:rsidR="00260629" w:rsidRPr="00610B1B">
              <w:rPr>
                <w:noProof/>
                <w:webHidden/>
              </w:rPr>
              <w:fldChar w:fldCharType="end"/>
            </w:r>
          </w:hyperlink>
        </w:p>
        <w:p w14:paraId="0BCA3B6F" w14:textId="4A38CA16" w:rsidR="00260629" w:rsidRPr="00610B1B" w:rsidRDefault="002A152C">
          <w:pPr>
            <w:pStyle w:val="TOC3"/>
            <w:rPr>
              <w:noProof/>
              <w:lang w:val="en-US" w:eastAsia="en-US"/>
            </w:rPr>
          </w:pPr>
          <w:hyperlink w:anchor="_Toc83391390" w:history="1">
            <w:r w:rsidR="00260629" w:rsidRPr="00610B1B">
              <w:rPr>
                <w:rStyle w:val="Hyperlink"/>
                <w:rFonts w:ascii="Times New Roman" w:hAnsi="Times New Roman"/>
                <w:noProof/>
                <w:lang w:bidi="hi-IN"/>
              </w:rPr>
              <w:t>3.5.2. Организация на движението в морските пространства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_Toc83391390 \h </w:instrText>
            </w:r>
            <w:r w:rsidR="00260629" w:rsidRPr="00610B1B">
              <w:rPr>
                <w:noProof/>
                <w:webHidden/>
              </w:rPr>
            </w:r>
            <w:r w:rsidR="00260629" w:rsidRPr="00610B1B">
              <w:rPr>
                <w:noProof/>
                <w:webHidden/>
              </w:rPr>
              <w:fldChar w:fldCharType="separate"/>
            </w:r>
            <w:r w:rsidR="00260629" w:rsidRPr="00610B1B">
              <w:rPr>
                <w:noProof/>
                <w:webHidden/>
              </w:rPr>
              <w:t>161</w:t>
            </w:r>
            <w:r w:rsidR="00260629" w:rsidRPr="00610B1B">
              <w:rPr>
                <w:noProof/>
                <w:webHidden/>
              </w:rPr>
              <w:fldChar w:fldCharType="end"/>
            </w:r>
          </w:hyperlink>
        </w:p>
        <w:p w14:paraId="6856BF08" w14:textId="5F3213C3" w:rsidR="00260629" w:rsidRPr="00610B1B" w:rsidRDefault="002A152C" w:rsidP="00E8347C">
          <w:pPr>
            <w:pStyle w:val="TOC2"/>
            <w:spacing w:afterLines="60" w:after="144"/>
            <w:rPr>
              <w:rFonts w:eastAsiaTheme="minorEastAsia"/>
              <w:lang w:val="en-US" w:eastAsia="en-US" w:bidi="ar-SA"/>
            </w:rPr>
          </w:pPr>
          <w:hyperlink w:anchor="_Toc83391391" w:history="1">
            <w:r w:rsidR="00260629" w:rsidRPr="00610B1B">
              <w:rPr>
                <w:rStyle w:val="Hyperlink"/>
              </w:rPr>
              <w:t>3.6. Обобщен анализ на морските икономически дейности</w:t>
            </w:r>
            <w:r w:rsidR="00260629" w:rsidRPr="00610B1B">
              <w:rPr>
                <w:webHidden/>
              </w:rPr>
              <w:tab/>
            </w:r>
            <w:r w:rsidR="00260629" w:rsidRPr="00610B1B">
              <w:rPr>
                <w:webHidden/>
              </w:rPr>
              <w:fldChar w:fldCharType="begin"/>
            </w:r>
            <w:r w:rsidR="00260629" w:rsidRPr="00610B1B">
              <w:rPr>
                <w:webHidden/>
              </w:rPr>
              <w:instrText xml:space="preserve"> PAGEREF _Toc83391391 \h </w:instrText>
            </w:r>
            <w:r w:rsidR="00260629" w:rsidRPr="00610B1B">
              <w:rPr>
                <w:webHidden/>
              </w:rPr>
            </w:r>
            <w:r w:rsidR="00260629" w:rsidRPr="00610B1B">
              <w:rPr>
                <w:webHidden/>
              </w:rPr>
              <w:fldChar w:fldCharType="separate"/>
            </w:r>
            <w:r w:rsidR="00260629" w:rsidRPr="00610B1B">
              <w:rPr>
                <w:webHidden/>
              </w:rPr>
              <w:t>164</w:t>
            </w:r>
            <w:r w:rsidR="00260629" w:rsidRPr="00610B1B">
              <w:rPr>
                <w:webHidden/>
              </w:rPr>
              <w:fldChar w:fldCharType="end"/>
            </w:r>
          </w:hyperlink>
        </w:p>
        <w:p w14:paraId="62EB7F18" w14:textId="3DFB0C53" w:rsidR="00260629" w:rsidRPr="00610B1B" w:rsidRDefault="002A152C">
          <w:pPr>
            <w:pStyle w:val="TOC3"/>
            <w:rPr>
              <w:noProof/>
              <w:lang w:val="en-US" w:eastAsia="en-US"/>
            </w:rPr>
          </w:pPr>
          <w:hyperlink w:anchor="_Toc83391392" w:history="1">
            <w:r w:rsidR="00260629" w:rsidRPr="00610B1B">
              <w:rPr>
                <w:rStyle w:val="Hyperlink"/>
                <w:rFonts w:ascii="Times New Roman" w:hAnsi="Times New Roman"/>
                <w:noProof/>
                <w:lang w:bidi="hi-IN"/>
              </w:rPr>
              <w:t>3.6.1. Обща характеристика на морската икономика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_Toc83391392 \h </w:instrText>
            </w:r>
            <w:r w:rsidR="00260629" w:rsidRPr="00610B1B">
              <w:rPr>
                <w:noProof/>
                <w:webHidden/>
              </w:rPr>
            </w:r>
            <w:r w:rsidR="00260629" w:rsidRPr="00610B1B">
              <w:rPr>
                <w:noProof/>
                <w:webHidden/>
              </w:rPr>
              <w:fldChar w:fldCharType="separate"/>
            </w:r>
            <w:r w:rsidR="00260629" w:rsidRPr="00610B1B">
              <w:rPr>
                <w:noProof/>
                <w:webHidden/>
              </w:rPr>
              <w:t>164</w:t>
            </w:r>
            <w:r w:rsidR="00260629" w:rsidRPr="00610B1B">
              <w:rPr>
                <w:noProof/>
                <w:webHidden/>
              </w:rPr>
              <w:fldChar w:fldCharType="end"/>
            </w:r>
          </w:hyperlink>
        </w:p>
        <w:p w14:paraId="7F77AD88" w14:textId="1DAD6DEC" w:rsidR="00260629" w:rsidRPr="00610B1B" w:rsidRDefault="002A152C">
          <w:pPr>
            <w:pStyle w:val="TOC3"/>
            <w:rPr>
              <w:noProof/>
              <w:lang w:val="en-US" w:eastAsia="en-US"/>
            </w:rPr>
          </w:pPr>
          <w:hyperlink w:anchor="_Toc83391393" w:history="1">
            <w:r w:rsidR="00260629" w:rsidRPr="00610B1B">
              <w:rPr>
                <w:rStyle w:val="Hyperlink"/>
                <w:rFonts w:ascii="Times New Roman" w:hAnsi="Times New Roman"/>
                <w:caps/>
                <w:noProof/>
                <w:lang w:bidi="hi-IN"/>
              </w:rPr>
              <w:t xml:space="preserve">3.6.2. </w:t>
            </w:r>
            <w:r w:rsidR="00260629" w:rsidRPr="00610B1B">
              <w:rPr>
                <w:rStyle w:val="Hyperlink"/>
                <w:rFonts w:ascii="Times New Roman" w:hAnsi="Times New Roman"/>
                <w:noProof/>
                <w:lang w:bidi="hi-IN"/>
              </w:rPr>
              <w:t>Крайбрежен туризъм</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_Toc83391393 \h </w:instrText>
            </w:r>
            <w:r w:rsidR="00260629" w:rsidRPr="00610B1B">
              <w:rPr>
                <w:noProof/>
                <w:webHidden/>
              </w:rPr>
            </w:r>
            <w:r w:rsidR="00260629" w:rsidRPr="00610B1B">
              <w:rPr>
                <w:noProof/>
                <w:webHidden/>
              </w:rPr>
              <w:fldChar w:fldCharType="separate"/>
            </w:r>
            <w:r w:rsidR="00260629" w:rsidRPr="00610B1B">
              <w:rPr>
                <w:noProof/>
                <w:webHidden/>
              </w:rPr>
              <w:t>167</w:t>
            </w:r>
            <w:r w:rsidR="00260629" w:rsidRPr="00610B1B">
              <w:rPr>
                <w:noProof/>
                <w:webHidden/>
              </w:rPr>
              <w:fldChar w:fldCharType="end"/>
            </w:r>
          </w:hyperlink>
        </w:p>
        <w:p w14:paraId="2D49373D" w14:textId="657213A6" w:rsidR="00260629" w:rsidRPr="00610B1B" w:rsidRDefault="002A152C">
          <w:pPr>
            <w:pStyle w:val="TOC3"/>
            <w:rPr>
              <w:noProof/>
              <w:lang w:val="en-US" w:eastAsia="en-US"/>
            </w:rPr>
          </w:pPr>
          <w:hyperlink w:anchor="_Toc83391394" w:history="1">
            <w:r w:rsidR="00260629" w:rsidRPr="00610B1B">
              <w:rPr>
                <w:rStyle w:val="Hyperlink"/>
                <w:rFonts w:ascii="Times New Roman" w:hAnsi="Times New Roman"/>
                <w:noProof/>
                <w:lang w:bidi="hi-IN"/>
              </w:rPr>
              <w:t>3.6.3. Добив и комерсиализация на морски живи ресурси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_Toc83391394 \h </w:instrText>
            </w:r>
            <w:r w:rsidR="00260629" w:rsidRPr="00610B1B">
              <w:rPr>
                <w:noProof/>
                <w:webHidden/>
              </w:rPr>
            </w:r>
            <w:r w:rsidR="00260629" w:rsidRPr="00610B1B">
              <w:rPr>
                <w:noProof/>
                <w:webHidden/>
              </w:rPr>
              <w:fldChar w:fldCharType="separate"/>
            </w:r>
            <w:r w:rsidR="00260629" w:rsidRPr="00610B1B">
              <w:rPr>
                <w:noProof/>
                <w:webHidden/>
              </w:rPr>
              <w:t>168</w:t>
            </w:r>
            <w:r w:rsidR="00260629" w:rsidRPr="00610B1B">
              <w:rPr>
                <w:noProof/>
                <w:webHidden/>
              </w:rPr>
              <w:fldChar w:fldCharType="end"/>
            </w:r>
          </w:hyperlink>
        </w:p>
        <w:p w14:paraId="6CD8EA50" w14:textId="48A8BAA7" w:rsidR="00260629" w:rsidRPr="00610B1B" w:rsidRDefault="002A152C">
          <w:pPr>
            <w:pStyle w:val="TOC3"/>
            <w:rPr>
              <w:noProof/>
              <w:lang w:val="en-US" w:eastAsia="en-US"/>
            </w:rPr>
          </w:pPr>
          <w:hyperlink w:anchor="_Toc83391395" w:history="1">
            <w:r w:rsidR="00260629" w:rsidRPr="00610B1B">
              <w:rPr>
                <w:rStyle w:val="Hyperlink"/>
                <w:rFonts w:ascii="Times New Roman" w:hAnsi="Times New Roman"/>
                <w:noProof/>
                <w:lang w:bidi="hi-IN"/>
              </w:rPr>
              <w:t>3.6.4. Морски добив от минерали, нефт и газ (Добив на морски неживи ресурси)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_Toc83391395 \h </w:instrText>
            </w:r>
            <w:r w:rsidR="00260629" w:rsidRPr="00610B1B">
              <w:rPr>
                <w:noProof/>
                <w:webHidden/>
              </w:rPr>
            </w:r>
            <w:r w:rsidR="00260629" w:rsidRPr="00610B1B">
              <w:rPr>
                <w:noProof/>
                <w:webHidden/>
              </w:rPr>
              <w:fldChar w:fldCharType="separate"/>
            </w:r>
            <w:r w:rsidR="00260629" w:rsidRPr="00610B1B">
              <w:rPr>
                <w:noProof/>
                <w:webHidden/>
              </w:rPr>
              <w:t>170</w:t>
            </w:r>
            <w:r w:rsidR="00260629" w:rsidRPr="00610B1B">
              <w:rPr>
                <w:noProof/>
                <w:webHidden/>
              </w:rPr>
              <w:fldChar w:fldCharType="end"/>
            </w:r>
          </w:hyperlink>
        </w:p>
        <w:p w14:paraId="58A1E005" w14:textId="72807355" w:rsidR="00260629" w:rsidRPr="00610B1B" w:rsidRDefault="002A152C">
          <w:pPr>
            <w:pStyle w:val="TOC3"/>
            <w:rPr>
              <w:noProof/>
              <w:lang w:val="en-US" w:eastAsia="en-US"/>
            </w:rPr>
          </w:pPr>
          <w:hyperlink w:anchor="_Toc83391396" w:history="1">
            <w:r w:rsidR="00260629" w:rsidRPr="00610B1B">
              <w:rPr>
                <w:rStyle w:val="Hyperlink"/>
                <w:rFonts w:ascii="Times New Roman" w:hAnsi="Times New Roman"/>
                <w:noProof/>
                <w:lang w:bidi="hi-IN"/>
              </w:rPr>
              <w:t>3.6.5. Морски транспорт</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_Toc83391396 \h </w:instrText>
            </w:r>
            <w:r w:rsidR="00260629" w:rsidRPr="00610B1B">
              <w:rPr>
                <w:noProof/>
                <w:webHidden/>
              </w:rPr>
            </w:r>
            <w:r w:rsidR="00260629" w:rsidRPr="00610B1B">
              <w:rPr>
                <w:noProof/>
                <w:webHidden/>
              </w:rPr>
              <w:fldChar w:fldCharType="separate"/>
            </w:r>
            <w:r w:rsidR="00260629" w:rsidRPr="00610B1B">
              <w:rPr>
                <w:noProof/>
                <w:webHidden/>
              </w:rPr>
              <w:t>172</w:t>
            </w:r>
            <w:r w:rsidR="00260629" w:rsidRPr="00610B1B">
              <w:rPr>
                <w:noProof/>
                <w:webHidden/>
              </w:rPr>
              <w:fldChar w:fldCharType="end"/>
            </w:r>
          </w:hyperlink>
        </w:p>
        <w:p w14:paraId="551BFB74" w14:textId="6517BDBF" w:rsidR="00260629" w:rsidRPr="00610B1B" w:rsidRDefault="002A152C">
          <w:pPr>
            <w:pStyle w:val="TOC3"/>
            <w:rPr>
              <w:noProof/>
              <w:lang w:val="en-US" w:eastAsia="en-US"/>
            </w:rPr>
          </w:pPr>
          <w:hyperlink w:anchor="_Toc83391397" w:history="1">
            <w:r w:rsidR="00260629" w:rsidRPr="00610B1B">
              <w:rPr>
                <w:rStyle w:val="Hyperlink"/>
                <w:rFonts w:ascii="Times New Roman" w:hAnsi="Times New Roman"/>
                <w:noProof/>
                <w:lang w:bidi="hi-IN"/>
              </w:rPr>
              <w:t>3.6.6. Пристанищни дейности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_Toc83391397 \h </w:instrText>
            </w:r>
            <w:r w:rsidR="00260629" w:rsidRPr="00610B1B">
              <w:rPr>
                <w:noProof/>
                <w:webHidden/>
              </w:rPr>
            </w:r>
            <w:r w:rsidR="00260629" w:rsidRPr="00610B1B">
              <w:rPr>
                <w:noProof/>
                <w:webHidden/>
              </w:rPr>
              <w:fldChar w:fldCharType="separate"/>
            </w:r>
            <w:r w:rsidR="00260629" w:rsidRPr="00610B1B">
              <w:rPr>
                <w:noProof/>
                <w:webHidden/>
              </w:rPr>
              <w:t>173</w:t>
            </w:r>
            <w:r w:rsidR="00260629" w:rsidRPr="00610B1B">
              <w:rPr>
                <w:noProof/>
                <w:webHidden/>
              </w:rPr>
              <w:fldChar w:fldCharType="end"/>
            </w:r>
          </w:hyperlink>
        </w:p>
        <w:p w14:paraId="2D8A709A" w14:textId="05CC4A43" w:rsidR="00260629" w:rsidRPr="00610B1B" w:rsidRDefault="002A152C">
          <w:pPr>
            <w:pStyle w:val="TOC3"/>
            <w:rPr>
              <w:noProof/>
              <w:lang w:val="en-US" w:eastAsia="en-US"/>
            </w:rPr>
          </w:pPr>
          <w:hyperlink w:anchor="_Toc83391398" w:history="1">
            <w:r w:rsidR="00260629" w:rsidRPr="00610B1B">
              <w:rPr>
                <w:rStyle w:val="Hyperlink"/>
                <w:rFonts w:ascii="Times New Roman" w:hAnsi="Times New Roman"/>
                <w:noProof/>
                <w:lang w:bidi="hi-IN"/>
              </w:rPr>
              <w:t>3.6.7. Корабостроене и кораборемонт</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_Toc83391398 \h </w:instrText>
            </w:r>
            <w:r w:rsidR="00260629" w:rsidRPr="00610B1B">
              <w:rPr>
                <w:noProof/>
                <w:webHidden/>
              </w:rPr>
            </w:r>
            <w:r w:rsidR="00260629" w:rsidRPr="00610B1B">
              <w:rPr>
                <w:noProof/>
                <w:webHidden/>
              </w:rPr>
              <w:fldChar w:fldCharType="separate"/>
            </w:r>
            <w:r w:rsidR="00260629" w:rsidRPr="00610B1B">
              <w:rPr>
                <w:noProof/>
                <w:webHidden/>
              </w:rPr>
              <w:t>173</w:t>
            </w:r>
            <w:r w:rsidR="00260629" w:rsidRPr="00610B1B">
              <w:rPr>
                <w:noProof/>
                <w:webHidden/>
              </w:rPr>
              <w:fldChar w:fldCharType="end"/>
            </w:r>
          </w:hyperlink>
        </w:p>
        <w:p w14:paraId="330E8728" w14:textId="646DD29E" w:rsidR="00260629" w:rsidRPr="00610B1B" w:rsidRDefault="002A152C">
          <w:pPr>
            <w:pStyle w:val="TOC3"/>
            <w:rPr>
              <w:noProof/>
              <w:lang w:val="en-US" w:eastAsia="en-US"/>
            </w:rPr>
          </w:pPr>
          <w:hyperlink w:anchor="_Toc83391399" w:history="1">
            <w:r w:rsidR="00260629" w:rsidRPr="00610B1B">
              <w:rPr>
                <w:rStyle w:val="Hyperlink"/>
                <w:rFonts w:ascii="Times New Roman" w:hAnsi="Times New Roman"/>
                <w:noProof/>
                <w:lang w:bidi="hi-IN"/>
              </w:rPr>
              <w:t>3.6.8. Биотехнологии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_Toc83391399 \h </w:instrText>
            </w:r>
            <w:r w:rsidR="00260629" w:rsidRPr="00610B1B">
              <w:rPr>
                <w:noProof/>
                <w:webHidden/>
              </w:rPr>
            </w:r>
            <w:r w:rsidR="00260629" w:rsidRPr="00610B1B">
              <w:rPr>
                <w:noProof/>
                <w:webHidden/>
              </w:rPr>
              <w:fldChar w:fldCharType="separate"/>
            </w:r>
            <w:r w:rsidR="00260629" w:rsidRPr="00610B1B">
              <w:rPr>
                <w:noProof/>
                <w:webHidden/>
              </w:rPr>
              <w:t>175</w:t>
            </w:r>
            <w:r w:rsidR="00260629" w:rsidRPr="00610B1B">
              <w:rPr>
                <w:noProof/>
                <w:webHidden/>
              </w:rPr>
              <w:fldChar w:fldCharType="end"/>
            </w:r>
          </w:hyperlink>
        </w:p>
        <w:p w14:paraId="4F63E0BF" w14:textId="345B1DF9" w:rsidR="00260629" w:rsidRPr="00610B1B" w:rsidRDefault="002A152C" w:rsidP="00E8347C">
          <w:pPr>
            <w:pStyle w:val="TOC2"/>
            <w:spacing w:afterLines="60" w:after="144"/>
            <w:rPr>
              <w:rFonts w:eastAsiaTheme="minorEastAsia"/>
              <w:lang w:val="en-US" w:eastAsia="en-US" w:bidi="ar-SA"/>
            </w:rPr>
          </w:pPr>
          <w:hyperlink w:anchor="_Toc83391400" w:history="1">
            <w:r w:rsidR="00260629" w:rsidRPr="00610B1B">
              <w:rPr>
                <w:rStyle w:val="Hyperlink"/>
              </w:rPr>
              <w:t>3.7. Опазване на културното наследство</w:t>
            </w:r>
            <w:r w:rsidR="00260629" w:rsidRPr="00610B1B">
              <w:rPr>
                <w:webHidden/>
              </w:rPr>
              <w:tab/>
            </w:r>
            <w:r w:rsidR="00260629" w:rsidRPr="00610B1B">
              <w:rPr>
                <w:webHidden/>
              </w:rPr>
              <w:fldChar w:fldCharType="begin"/>
            </w:r>
            <w:r w:rsidR="00260629" w:rsidRPr="00610B1B">
              <w:rPr>
                <w:webHidden/>
              </w:rPr>
              <w:instrText xml:space="preserve"> PAGEREF _Toc83391400 \h </w:instrText>
            </w:r>
            <w:r w:rsidR="00260629" w:rsidRPr="00610B1B">
              <w:rPr>
                <w:webHidden/>
              </w:rPr>
            </w:r>
            <w:r w:rsidR="00260629" w:rsidRPr="00610B1B">
              <w:rPr>
                <w:webHidden/>
              </w:rPr>
              <w:fldChar w:fldCharType="separate"/>
            </w:r>
            <w:r w:rsidR="00260629" w:rsidRPr="00610B1B">
              <w:rPr>
                <w:webHidden/>
              </w:rPr>
              <w:t>176</w:t>
            </w:r>
            <w:r w:rsidR="00260629" w:rsidRPr="00610B1B">
              <w:rPr>
                <w:webHidden/>
              </w:rPr>
              <w:fldChar w:fldCharType="end"/>
            </w:r>
          </w:hyperlink>
        </w:p>
        <w:p w14:paraId="45B1E9B6" w14:textId="02FB0DEB" w:rsidR="00260629" w:rsidRPr="00610B1B" w:rsidRDefault="002A152C">
          <w:pPr>
            <w:pStyle w:val="TOC3"/>
            <w:rPr>
              <w:noProof/>
              <w:lang w:val="en-US" w:eastAsia="en-US"/>
            </w:rPr>
          </w:pPr>
          <w:hyperlink w:anchor="_Toc83391401" w:history="1">
            <w:r w:rsidR="00260629" w:rsidRPr="00610B1B">
              <w:rPr>
                <w:rStyle w:val="Hyperlink"/>
                <w:rFonts w:ascii="Times New Roman" w:hAnsi="Times New Roman"/>
                <w:noProof/>
                <w:lang w:bidi="hi-IN"/>
              </w:rPr>
              <w:t>3.7.1. Недвижими културни ценности (НКЦ) и музейна инфраструктура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_Toc83391401 \h </w:instrText>
            </w:r>
            <w:r w:rsidR="00260629" w:rsidRPr="00610B1B">
              <w:rPr>
                <w:noProof/>
                <w:webHidden/>
              </w:rPr>
            </w:r>
            <w:r w:rsidR="00260629" w:rsidRPr="00610B1B">
              <w:rPr>
                <w:noProof/>
                <w:webHidden/>
              </w:rPr>
              <w:fldChar w:fldCharType="separate"/>
            </w:r>
            <w:r w:rsidR="00260629" w:rsidRPr="00610B1B">
              <w:rPr>
                <w:noProof/>
                <w:webHidden/>
              </w:rPr>
              <w:t>177</w:t>
            </w:r>
            <w:r w:rsidR="00260629" w:rsidRPr="00610B1B">
              <w:rPr>
                <w:noProof/>
                <w:webHidden/>
              </w:rPr>
              <w:fldChar w:fldCharType="end"/>
            </w:r>
          </w:hyperlink>
        </w:p>
        <w:p w14:paraId="555FBB4A" w14:textId="0FF600CE" w:rsidR="00260629" w:rsidRPr="00610B1B" w:rsidRDefault="002A152C">
          <w:pPr>
            <w:pStyle w:val="TOC3"/>
            <w:rPr>
              <w:noProof/>
              <w:lang w:val="en-US" w:eastAsia="en-US"/>
            </w:rPr>
          </w:pPr>
          <w:hyperlink w:anchor="_Toc83391402" w:history="1">
            <w:r w:rsidR="00260629" w:rsidRPr="00610B1B">
              <w:rPr>
                <w:rStyle w:val="Hyperlink"/>
                <w:rFonts w:ascii="Times New Roman" w:hAnsi="Times New Roman"/>
                <w:noProof/>
                <w:lang w:bidi="hi-IN"/>
              </w:rPr>
              <w:t>3.7.2. НКЦ с категория „национално значение”</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_Toc83391402 \h </w:instrText>
            </w:r>
            <w:r w:rsidR="00260629" w:rsidRPr="00610B1B">
              <w:rPr>
                <w:noProof/>
                <w:webHidden/>
              </w:rPr>
            </w:r>
            <w:r w:rsidR="00260629" w:rsidRPr="00610B1B">
              <w:rPr>
                <w:noProof/>
                <w:webHidden/>
              </w:rPr>
              <w:fldChar w:fldCharType="separate"/>
            </w:r>
            <w:r w:rsidR="00260629" w:rsidRPr="00610B1B">
              <w:rPr>
                <w:noProof/>
                <w:webHidden/>
              </w:rPr>
              <w:t>180</w:t>
            </w:r>
            <w:r w:rsidR="00260629" w:rsidRPr="00610B1B">
              <w:rPr>
                <w:noProof/>
                <w:webHidden/>
              </w:rPr>
              <w:fldChar w:fldCharType="end"/>
            </w:r>
          </w:hyperlink>
        </w:p>
        <w:p w14:paraId="54A0ED5C" w14:textId="248FE5B5" w:rsidR="00260629" w:rsidRPr="00610B1B" w:rsidRDefault="002A152C" w:rsidP="00E8347C">
          <w:pPr>
            <w:pStyle w:val="TOC2"/>
            <w:spacing w:afterLines="60" w:after="144"/>
            <w:rPr>
              <w:rFonts w:eastAsiaTheme="minorEastAsia"/>
              <w:lang w:val="en-US" w:eastAsia="en-US" w:bidi="ar-SA"/>
            </w:rPr>
          </w:pPr>
          <w:hyperlink w:anchor="_Toc83391403" w:history="1">
            <w:r w:rsidR="00260629" w:rsidRPr="00610B1B">
              <w:rPr>
                <w:rStyle w:val="Hyperlink"/>
              </w:rPr>
              <w:t>3.8. Обобщени изводи за използването на морските пространства и взаимодействията между морето и крайбрежната зона</w:t>
            </w:r>
            <w:r w:rsidR="00260629" w:rsidRPr="00610B1B">
              <w:rPr>
                <w:webHidden/>
              </w:rPr>
              <w:tab/>
            </w:r>
            <w:r w:rsidR="00260629" w:rsidRPr="00610B1B">
              <w:rPr>
                <w:webHidden/>
              </w:rPr>
              <w:fldChar w:fldCharType="begin"/>
            </w:r>
            <w:r w:rsidR="00260629" w:rsidRPr="00610B1B">
              <w:rPr>
                <w:webHidden/>
              </w:rPr>
              <w:instrText xml:space="preserve"> PAGEREF _Toc83391403 \h </w:instrText>
            </w:r>
            <w:r w:rsidR="00260629" w:rsidRPr="00610B1B">
              <w:rPr>
                <w:webHidden/>
              </w:rPr>
            </w:r>
            <w:r w:rsidR="00260629" w:rsidRPr="00610B1B">
              <w:rPr>
                <w:webHidden/>
              </w:rPr>
              <w:fldChar w:fldCharType="separate"/>
            </w:r>
            <w:r w:rsidR="00260629" w:rsidRPr="00610B1B">
              <w:rPr>
                <w:webHidden/>
              </w:rPr>
              <w:t>198</w:t>
            </w:r>
            <w:r w:rsidR="00260629" w:rsidRPr="00610B1B">
              <w:rPr>
                <w:webHidden/>
              </w:rPr>
              <w:fldChar w:fldCharType="end"/>
            </w:r>
          </w:hyperlink>
        </w:p>
        <w:p w14:paraId="3CBEB658" w14:textId="00383754" w:rsidR="00260629" w:rsidRPr="00610B1B" w:rsidRDefault="002A152C">
          <w:pPr>
            <w:pStyle w:val="TOC3"/>
            <w:rPr>
              <w:noProof/>
              <w:lang w:val="en-US" w:eastAsia="en-US"/>
            </w:rPr>
          </w:pPr>
          <w:hyperlink w:anchor="_Toc83391404" w:history="1">
            <w:r w:rsidR="00260629" w:rsidRPr="00610B1B">
              <w:rPr>
                <w:rStyle w:val="Hyperlink"/>
                <w:rFonts w:ascii="Times New Roman" w:hAnsi="Times New Roman"/>
                <w:noProof/>
                <w:lang w:bidi="hi-IN"/>
              </w:rPr>
              <w:t>SWOT Анализ</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_Toc83391404 \h </w:instrText>
            </w:r>
            <w:r w:rsidR="00260629" w:rsidRPr="00610B1B">
              <w:rPr>
                <w:noProof/>
                <w:webHidden/>
              </w:rPr>
            </w:r>
            <w:r w:rsidR="00260629" w:rsidRPr="00610B1B">
              <w:rPr>
                <w:noProof/>
                <w:webHidden/>
              </w:rPr>
              <w:fldChar w:fldCharType="separate"/>
            </w:r>
            <w:r w:rsidR="00260629" w:rsidRPr="00610B1B">
              <w:rPr>
                <w:noProof/>
                <w:webHidden/>
              </w:rPr>
              <w:t>198</w:t>
            </w:r>
            <w:r w:rsidR="00260629" w:rsidRPr="00610B1B">
              <w:rPr>
                <w:noProof/>
                <w:webHidden/>
              </w:rPr>
              <w:fldChar w:fldCharType="end"/>
            </w:r>
          </w:hyperlink>
        </w:p>
        <w:p w14:paraId="7B66123A" w14:textId="5B8B2C0A"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405" w:history="1">
            <w:r w:rsidR="00260629" w:rsidRPr="00610B1B">
              <w:rPr>
                <w:rStyle w:val="Hyperlink"/>
                <w:rFonts w:cs="Times New Roman"/>
                <w:noProof/>
                <w:sz w:val="22"/>
                <w:szCs w:val="22"/>
              </w:rPr>
              <w:t>4. ПРОГНОЗИ ЗА РАЗВИТИЕ И ОПАЗВАНЕ НА МОРСКИТЕ ПРОСТРАНСТВА</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_Toc83391405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211</w:t>
            </w:r>
            <w:r w:rsidR="00260629" w:rsidRPr="00610B1B">
              <w:rPr>
                <w:rFonts w:cs="Times New Roman"/>
                <w:noProof/>
                <w:webHidden/>
                <w:sz w:val="22"/>
                <w:szCs w:val="22"/>
              </w:rPr>
              <w:fldChar w:fldCharType="end"/>
            </w:r>
          </w:hyperlink>
        </w:p>
        <w:p w14:paraId="15D6271F" w14:textId="7E53550C" w:rsidR="00260629" w:rsidRPr="00610B1B" w:rsidRDefault="002A152C" w:rsidP="00E8347C">
          <w:pPr>
            <w:pStyle w:val="TOC2"/>
            <w:spacing w:afterLines="60" w:after="144"/>
            <w:rPr>
              <w:rFonts w:eastAsiaTheme="minorEastAsia"/>
              <w:lang w:val="en-US" w:eastAsia="en-US" w:bidi="ar-SA"/>
            </w:rPr>
          </w:pPr>
          <w:hyperlink w:anchor="_Toc83391406" w:history="1">
            <w:r w:rsidR="00260629" w:rsidRPr="00610B1B">
              <w:rPr>
                <w:rStyle w:val="Hyperlink"/>
              </w:rPr>
              <w:t>4.1. Фактори и условия, определящи развитието на морските пространства в периода 2021 - 2035 г.</w:t>
            </w:r>
            <w:r w:rsidR="00260629" w:rsidRPr="00610B1B">
              <w:rPr>
                <w:webHidden/>
              </w:rPr>
              <w:tab/>
            </w:r>
            <w:r w:rsidR="00260629" w:rsidRPr="00610B1B">
              <w:rPr>
                <w:webHidden/>
              </w:rPr>
              <w:fldChar w:fldCharType="begin"/>
            </w:r>
            <w:r w:rsidR="00260629" w:rsidRPr="00610B1B">
              <w:rPr>
                <w:webHidden/>
              </w:rPr>
              <w:instrText xml:space="preserve"> PAGEREF _Toc83391406 \h </w:instrText>
            </w:r>
            <w:r w:rsidR="00260629" w:rsidRPr="00610B1B">
              <w:rPr>
                <w:webHidden/>
              </w:rPr>
            </w:r>
            <w:r w:rsidR="00260629" w:rsidRPr="00610B1B">
              <w:rPr>
                <w:webHidden/>
              </w:rPr>
              <w:fldChar w:fldCharType="separate"/>
            </w:r>
            <w:r w:rsidR="00260629" w:rsidRPr="00610B1B">
              <w:rPr>
                <w:webHidden/>
              </w:rPr>
              <w:t>211</w:t>
            </w:r>
            <w:r w:rsidR="00260629" w:rsidRPr="00610B1B">
              <w:rPr>
                <w:webHidden/>
              </w:rPr>
              <w:fldChar w:fldCharType="end"/>
            </w:r>
          </w:hyperlink>
        </w:p>
        <w:p w14:paraId="53A7810A" w14:textId="22D7301A" w:rsidR="00260629" w:rsidRPr="00610B1B" w:rsidRDefault="002A152C" w:rsidP="00E8347C">
          <w:pPr>
            <w:pStyle w:val="TOC2"/>
            <w:spacing w:afterLines="60" w:after="144"/>
            <w:rPr>
              <w:rFonts w:eastAsiaTheme="minorEastAsia"/>
              <w:lang w:val="en-US" w:eastAsia="en-US" w:bidi="ar-SA"/>
            </w:rPr>
          </w:pPr>
          <w:hyperlink w:anchor="_Toc83391407" w:history="1">
            <w:r w:rsidR="00260629" w:rsidRPr="00610B1B">
              <w:rPr>
                <w:rStyle w:val="Hyperlink"/>
              </w:rPr>
              <w:t>4.2. Прогноза за социално-икономическото развитие</w:t>
            </w:r>
            <w:r w:rsidR="00260629" w:rsidRPr="00610B1B">
              <w:rPr>
                <w:webHidden/>
              </w:rPr>
              <w:tab/>
            </w:r>
            <w:r w:rsidR="00260629" w:rsidRPr="00610B1B">
              <w:rPr>
                <w:webHidden/>
              </w:rPr>
              <w:fldChar w:fldCharType="begin"/>
            </w:r>
            <w:r w:rsidR="00260629" w:rsidRPr="00610B1B">
              <w:rPr>
                <w:webHidden/>
              </w:rPr>
              <w:instrText xml:space="preserve"> PAGEREF _Toc83391407 \h </w:instrText>
            </w:r>
            <w:r w:rsidR="00260629" w:rsidRPr="00610B1B">
              <w:rPr>
                <w:webHidden/>
              </w:rPr>
            </w:r>
            <w:r w:rsidR="00260629" w:rsidRPr="00610B1B">
              <w:rPr>
                <w:webHidden/>
              </w:rPr>
              <w:fldChar w:fldCharType="separate"/>
            </w:r>
            <w:r w:rsidR="00260629" w:rsidRPr="00610B1B">
              <w:rPr>
                <w:webHidden/>
              </w:rPr>
              <w:t>217</w:t>
            </w:r>
            <w:r w:rsidR="00260629" w:rsidRPr="00610B1B">
              <w:rPr>
                <w:webHidden/>
              </w:rPr>
              <w:fldChar w:fldCharType="end"/>
            </w:r>
          </w:hyperlink>
        </w:p>
        <w:p w14:paraId="5C0E3FFD" w14:textId="6952851E" w:rsidR="00260629" w:rsidRPr="00610B1B" w:rsidRDefault="002A152C">
          <w:pPr>
            <w:pStyle w:val="TOC3"/>
            <w:rPr>
              <w:noProof/>
              <w:lang w:val="en-US" w:eastAsia="en-US"/>
            </w:rPr>
          </w:pPr>
          <w:hyperlink w:anchor="_Toc83391408" w:history="1">
            <w:r w:rsidR="00260629" w:rsidRPr="00610B1B">
              <w:rPr>
                <w:rStyle w:val="Hyperlink"/>
                <w:rFonts w:ascii="Times New Roman" w:hAnsi="Times New Roman"/>
                <w:noProof/>
                <w:lang w:bidi="hi-IN"/>
              </w:rPr>
              <w:t>4.2.1. Прогноза за демографското развитие на черноморските общини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_Toc83391408 \h </w:instrText>
            </w:r>
            <w:r w:rsidR="00260629" w:rsidRPr="00610B1B">
              <w:rPr>
                <w:noProof/>
                <w:webHidden/>
              </w:rPr>
            </w:r>
            <w:r w:rsidR="00260629" w:rsidRPr="00610B1B">
              <w:rPr>
                <w:noProof/>
                <w:webHidden/>
              </w:rPr>
              <w:fldChar w:fldCharType="separate"/>
            </w:r>
            <w:r w:rsidR="00260629" w:rsidRPr="00610B1B">
              <w:rPr>
                <w:noProof/>
                <w:webHidden/>
              </w:rPr>
              <w:t>217</w:t>
            </w:r>
            <w:r w:rsidR="00260629" w:rsidRPr="00610B1B">
              <w:rPr>
                <w:noProof/>
                <w:webHidden/>
              </w:rPr>
              <w:fldChar w:fldCharType="end"/>
            </w:r>
          </w:hyperlink>
        </w:p>
        <w:p w14:paraId="29B9A135" w14:textId="343F67A2" w:rsidR="00260629" w:rsidRPr="00610B1B" w:rsidRDefault="002A152C">
          <w:pPr>
            <w:pStyle w:val="TOC3"/>
            <w:rPr>
              <w:noProof/>
              <w:lang w:val="en-US" w:eastAsia="en-US"/>
            </w:rPr>
          </w:pPr>
          <w:hyperlink w:anchor="_Toc83391409" w:history="1">
            <w:r w:rsidR="00260629" w:rsidRPr="00610B1B">
              <w:rPr>
                <w:rStyle w:val="Hyperlink"/>
                <w:rFonts w:ascii="Times New Roman" w:hAnsi="Times New Roman"/>
                <w:noProof/>
                <w:lang w:bidi="hi-IN"/>
              </w:rPr>
              <w:t>4.2.2. Прогноза за работната сила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_Toc83391409 \h </w:instrText>
            </w:r>
            <w:r w:rsidR="00260629" w:rsidRPr="00610B1B">
              <w:rPr>
                <w:noProof/>
                <w:webHidden/>
              </w:rPr>
            </w:r>
            <w:r w:rsidR="00260629" w:rsidRPr="00610B1B">
              <w:rPr>
                <w:noProof/>
                <w:webHidden/>
              </w:rPr>
              <w:fldChar w:fldCharType="separate"/>
            </w:r>
            <w:r w:rsidR="00260629" w:rsidRPr="00610B1B">
              <w:rPr>
                <w:noProof/>
                <w:webHidden/>
              </w:rPr>
              <w:t>218</w:t>
            </w:r>
            <w:r w:rsidR="00260629" w:rsidRPr="00610B1B">
              <w:rPr>
                <w:noProof/>
                <w:webHidden/>
              </w:rPr>
              <w:fldChar w:fldCharType="end"/>
            </w:r>
          </w:hyperlink>
        </w:p>
        <w:p w14:paraId="516A2EFE" w14:textId="20366848" w:rsidR="00260629" w:rsidRPr="00610B1B" w:rsidRDefault="002A152C">
          <w:pPr>
            <w:pStyle w:val="TOC3"/>
            <w:rPr>
              <w:noProof/>
              <w:lang w:val="en-US" w:eastAsia="en-US"/>
            </w:rPr>
          </w:pPr>
          <w:hyperlink w:anchor="_Toc83391410" w:history="1">
            <w:r w:rsidR="00260629" w:rsidRPr="00610B1B">
              <w:rPr>
                <w:rStyle w:val="Hyperlink"/>
                <w:rFonts w:ascii="Times New Roman" w:hAnsi="Times New Roman"/>
                <w:noProof/>
                <w:lang w:bidi="hi-IN"/>
              </w:rPr>
              <w:t>4.2.3. Прогноза за икономическото развитие</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_Toc83391410 \h </w:instrText>
            </w:r>
            <w:r w:rsidR="00260629" w:rsidRPr="00610B1B">
              <w:rPr>
                <w:noProof/>
                <w:webHidden/>
              </w:rPr>
            </w:r>
            <w:r w:rsidR="00260629" w:rsidRPr="00610B1B">
              <w:rPr>
                <w:noProof/>
                <w:webHidden/>
              </w:rPr>
              <w:fldChar w:fldCharType="separate"/>
            </w:r>
            <w:r w:rsidR="00260629" w:rsidRPr="00610B1B">
              <w:rPr>
                <w:noProof/>
                <w:webHidden/>
              </w:rPr>
              <w:t>218</w:t>
            </w:r>
            <w:r w:rsidR="00260629" w:rsidRPr="00610B1B">
              <w:rPr>
                <w:noProof/>
                <w:webHidden/>
              </w:rPr>
              <w:fldChar w:fldCharType="end"/>
            </w:r>
          </w:hyperlink>
        </w:p>
        <w:p w14:paraId="71999DB6" w14:textId="76F63A95" w:rsidR="00260629" w:rsidRPr="00610B1B" w:rsidRDefault="002A152C">
          <w:pPr>
            <w:pStyle w:val="TOC3"/>
            <w:rPr>
              <w:noProof/>
              <w:lang w:val="en-US" w:eastAsia="en-US"/>
            </w:rPr>
          </w:pPr>
          <w:hyperlink w:anchor="_Toc83391411" w:history="1">
            <w:r w:rsidR="00260629" w:rsidRPr="00610B1B">
              <w:rPr>
                <w:rStyle w:val="Hyperlink"/>
                <w:rFonts w:ascii="Times New Roman" w:hAnsi="Times New Roman"/>
                <w:noProof/>
                <w:lang w:bidi="hi-IN"/>
              </w:rPr>
              <w:t>4.2.4. Прогнозно развитие на морския трафик и пристанищната дейност</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_Toc83391411 \h </w:instrText>
            </w:r>
            <w:r w:rsidR="00260629" w:rsidRPr="00610B1B">
              <w:rPr>
                <w:noProof/>
                <w:webHidden/>
              </w:rPr>
            </w:r>
            <w:r w:rsidR="00260629" w:rsidRPr="00610B1B">
              <w:rPr>
                <w:noProof/>
                <w:webHidden/>
              </w:rPr>
              <w:fldChar w:fldCharType="separate"/>
            </w:r>
            <w:r w:rsidR="00260629" w:rsidRPr="00610B1B">
              <w:rPr>
                <w:noProof/>
                <w:webHidden/>
              </w:rPr>
              <w:t>223</w:t>
            </w:r>
            <w:r w:rsidR="00260629" w:rsidRPr="00610B1B">
              <w:rPr>
                <w:noProof/>
                <w:webHidden/>
              </w:rPr>
              <w:fldChar w:fldCharType="end"/>
            </w:r>
          </w:hyperlink>
        </w:p>
        <w:p w14:paraId="2D444E59" w14:textId="79AF07CB" w:rsidR="00260629" w:rsidRPr="00610B1B" w:rsidRDefault="002A152C">
          <w:pPr>
            <w:pStyle w:val="TOC3"/>
            <w:rPr>
              <w:noProof/>
              <w:lang w:val="en-US" w:eastAsia="en-US"/>
            </w:rPr>
          </w:pPr>
          <w:hyperlink w:anchor="_Toc83391412" w:history="1">
            <w:r w:rsidR="00260629" w:rsidRPr="00610B1B">
              <w:rPr>
                <w:rStyle w:val="Hyperlink"/>
                <w:rFonts w:ascii="Times New Roman" w:hAnsi="Times New Roman"/>
                <w:noProof/>
                <w:lang w:bidi="hi-IN"/>
              </w:rPr>
              <w:t>4.2.5. Прогнозно развитие на морския туризъм</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_Toc83391412 \h </w:instrText>
            </w:r>
            <w:r w:rsidR="00260629" w:rsidRPr="00610B1B">
              <w:rPr>
                <w:noProof/>
                <w:webHidden/>
              </w:rPr>
            </w:r>
            <w:r w:rsidR="00260629" w:rsidRPr="00610B1B">
              <w:rPr>
                <w:noProof/>
                <w:webHidden/>
              </w:rPr>
              <w:fldChar w:fldCharType="separate"/>
            </w:r>
            <w:r w:rsidR="00260629" w:rsidRPr="00610B1B">
              <w:rPr>
                <w:noProof/>
                <w:webHidden/>
              </w:rPr>
              <w:t>224</w:t>
            </w:r>
            <w:r w:rsidR="00260629" w:rsidRPr="00610B1B">
              <w:rPr>
                <w:noProof/>
                <w:webHidden/>
              </w:rPr>
              <w:fldChar w:fldCharType="end"/>
            </w:r>
          </w:hyperlink>
        </w:p>
        <w:p w14:paraId="307E704B" w14:textId="627D6E36" w:rsidR="00260629" w:rsidRPr="00610B1B" w:rsidRDefault="002A152C">
          <w:pPr>
            <w:pStyle w:val="TOC3"/>
            <w:rPr>
              <w:noProof/>
              <w:lang w:val="en-US" w:eastAsia="en-US"/>
            </w:rPr>
          </w:pPr>
          <w:hyperlink w:anchor="_Toc83391413" w:history="1">
            <w:r w:rsidR="00260629" w:rsidRPr="00610B1B">
              <w:rPr>
                <w:rStyle w:val="Hyperlink"/>
                <w:rFonts w:ascii="Times New Roman" w:hAnsi="Times New Roman"/>
                <w:noProof/>
                <w:lang w:bidi="hi-IN"/>
              </w:rPr>
              <w:t>4.2.6. Прогнозно развитие на техническата инфраструктура в морските пространства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_Toc83391413 \h </w:instrText>
            </w:r>
            <w:r w:rsidR="00260629" w:rsidRPr="00610B1B">
              <w:rPr>
                <w:noProof/>
                <w:webHidden/>
              </w:rPr>
            </w:r>
            <w:r w:rsidR="00260629" w:rsidRPr="00610B1B">
              <w:rPr>
                <w:noProof/>
                <w:webHidden/>
              </w:rPr>
              <w:fldChar w:fldCharType="separate"/>
            </w:r>
            <w:r w:rsidR="00260629" w:rsidRPr="00610B1B">
              <w:rPr>
                <w:noProof/>
                <w:webHidden/>
              </w:rPr>
              <w:t>225</w:t>
            </w:r>
            <w:r w:rsidR="00260629" w:rsidRPr="00610B1B">
              <w:rPr>
                <w:noProof/>
                <w:webHidden/>
              </w:rPr>
              <w:fldChar w:fldCharType="end"/>
            </w:r>
          </w:hyperlink>
        </w:p>
        <w:p w14:paraId="7DA6BD6A" w14:textId="5B3F23AF" w:rsidR="00260629" w:rsidRPr="00610B1B" w:rsidRDefault="002A152C">
          <w:pPr>
            <w:pStyle w:val="TOC3"/>
            <w:rPr>
              <w:noProof/>
              <w:lang w:val="en-US" w:eastAsia="en-US"/>
            </w:rPr>
          </w:pPr>
          <w:hyperlink w:anchor="_Toc83391414" w:history="1">
            <w:r w:rsidR="00260629" w:rsidRPr="00610B1B">
              <w:rPr>
                <w:rStyle w:val="Hyperlink"/>
                <w:rFonts w:ascii="Times New Roman" w:hAnsi="Times New Roman"/>
                <w:noProof/>
                <w:lang w:bidi="hi-IN"/>
              </w:rPr>
              <w:t>4.2.7. Прогнозно развитие на военните дейности, учения и трафик и необходимата инфраструктура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_Toc83391414 \h </w:instrText>
            </w:r>
            <w:r w:rsidR="00260629" w:rsidRPr="00610B1B">
              <w:rPr>
                <w:noProof/>
                <w:webHidden/>
              </w:rPr>
            </w:r>
            <w:r w:rsidR="00260629" w:rsidRPr="00610B1B">
              <w:rPr>
                <w:noProof/>
                <w:webHidden/>
              </w:rPr>
              <w:fldChar w:fldCharType="separate"/>
            </w:r>
            <w:r w:rsidR="00260629" w:rsidRPr="00610B1B">
              <w:rPr>
                <w:noProof/>
                <w:webHidden/>
              </w:rPr>
              <w:t>227</w:t>
            </w:r>
            <w:r w:rsidR="00260629" w:rsidRPr="00610B1B">
              <w:rPr>
                <w:noProof/>
                <w:webHidden/>
              </w:rPr>
              <w:fldChar w:fldCharType="end"/>
            </w:r>
          </w:hyperlink>
        </w:p>
        <w:p w14:paraId="00BD995A" w14:textId="2FA2F0AF" w:rsidR="00260629" w:rsidRPr="00610B1B" w:rsidRDefault="002A152C">
          <w:pPr>
            <w:pStyle w:val="TOC3"/>
            <w:rPr>
              <w:noProof/>
              <w:lang w:val="en-US" w:eastAsia="en-US"/>
            </w:rPr>
          </w:pPr>
          <w:hyperlink w:anchor="_Toc83391415" w:history="1">
            <w:r w:rsidR="00260629" w:rsidRPr="00610B1B">
              <w:rPr>
                <w:rStyle w:val="Hyperlink"/>
                <w:rFonts w:ascii="Times New Roman" w:hAnsi="Times New Roman"/>
                <w:noProof/>
                <w:lang w:bidi="hi-IN"/>
              </w:rPr>
              <w:t>4.2.8. Прогнозно развитие на териториалното сътрудничество в Черноморския регион</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_Toc83391415 \h </w:instrText>
            </w:r>
            <w:r w:rsidR="00260629" w:rsidRPr="00610B1B">
              <w:rPr>
                <w:noProof/>
                <w:webHidden/>
              </w:rPr>
            </w:r>
            <w:r w:rsidR="00260629" w:rsidRPr="00610B1B">
              <w:rPr>
                <w:noProof/>
                <w:webHidden/>
              </w:rPr>
              <w:fldChar w:fldCharType="separate"/>
            </w:r>
            <w:r w:rsidR="00260629" w:rsidRPr="00610B1B">
              <w:rPr>
                <w:noProof/>
                <w:webHidden/>
              </w:rPr>
              <w:t>229</w:t>
            </w:r>
            <w:r w:rsidR="00260629" w:rsidRPr="00610B1B">
              <w:rPr>
                <w:noProof/>
                <w:webHidden/>
              </w:rPr>
              <w:fldChar w:fldCharType="end"/>
            </w:r>
          </w:hyperlink>
        </w:p>
        <w:p w14:paraId="04B0BF55" w14:textId="0AF32238" w:rsidR="00260629" w:rsidRPr="00610B1B" w:rsidRDefault="002A152C">
          <w:pPr>
            <w:pStyle w:val="TOC3"/>
            <w:rPr>
              <w:noProof/>
              <w:lang w:val="en-US" w:eastAsia="en-US"/>
            </w:rPr>
          </w:pPr>
          <w:hyperlink w:anchor="_Toc83391416" w:history="1">
            <w:r w:rsidR="00260629" w:rsidRPr="00610B1B">
              <w:rPr>
                <w:rStyle w:val="Hyperlink"/>
                <w:rFonts w:ascii="Times New Roman" w:hAnsi="Times New Roman"/>
                <w:noProof/>
                <w:lang w:bidi="hi-IN"/>
              </w:rPr>
              <w:t>4.2.9. Прогнозно развитие на дейностите по опазването и социализирането на културните ценности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_Toc83391416 \h </w:instrText>
            </w:r>
            <w:r w:rsidR="00260629" w:rsidRPr="00610B1B">
              <w:rPr>
                <w:noProof/>
                <w:webHidden/>
              </w:rPr>
            </w:r>
            <w:r w:rsidR="00260629" w:rsidRPr="00610B1B">
              <w:rPr>
                <w:noProof/>
                <w:webHidden/>
              </w:rPr>
              <w:fldChar w:fldCharType="separate"/>
            </w:r>
            <w:r w:rsidR="00260629" w:rsidRPr="00610B1B">
              <w:rPr>
                <w:noProof/>
                <w:webHidden/>
              </w:rPr>
              <w:t>232</w:t>
            </w:r>
            <w:r w:rsidR="00260629" w:rsidRPr="00610B1B">
              <w:rPr>
                <w:noProof/>
                <w:webHidden/>
              </w:rPr>
              <w:fldChar w:fldCharType="end"/>
            </w:r>
          </w:hyperlink>
        </w:p>
        <w:p w14:paraId="0BA8C4C0" w14:textId="2B00DD0C" w:rsidR="00260629" w:rsidRPr="00610B1B" w:rsidRDefault="002A152C">
          <w:pPr>
            <w:pStyle w:val="TOC3"/>
            <w:rPr>
              <w:noProof/>
              <w:lang w:val="en-US" w:eastAsia="en-US"/>
            </w:rPr>
          </w:pPr>
          <w:hyperlink w:anchor="_Toc83391417" w:history="1">
            <w:r w:rsidR="00260629" w:rsidRPr="00610B1B">
              <w:rPr>
                <w:rStyle w:val="Hyperlink"/>
                <w:rFonts w:ascii="Times New Roman" w:hAnsi="Times New Roman"/>
                <w:noProof/>
                <w:lang w:bidi="hi-IN"/>
              </w:rPr>
              <w:t>4.2.10. Прогнозно развитие на дейностите по опазване на околната среда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_Toc83391417 \h </w:instrText>
            </w:r>
            <w:r w:rsidR="00260629" w:rsidRPr="00610B1B">
              <w:rPr>
                <w:noProof/>
                <w:webHidden/>
              </w:rPr>
            </w:r>
            <w:r w:rsidR="00260629" w:rsidRPr="00610B1B">
              <w:rPr>
                <w:noProof/>
                <w:webHidden/>
              </w:rPr>
              <w:fldChar w:fldCharType="separate"/>
            </w:r>
            <w:r w:rsidR="00260629" w:rsidRPr="00610B1B">
              <w:rPr>
                <w:noProof/>
                <w:webHidden/>
              </w:rPr>
              <w:t>233</w:t>
            </w:r>
            <w:r w:rsidR="00260629" w:rsidRPr="00610B1B">
              <w:rPr>
                <w:noProof/>
                <w:webHidden/>
              </w:rPr>
              <w:fldChar w:fldCharType="end"/>
            </w:r>
          </w:hyperlink>
        </w:p>
        <w:p w14:paraId="6490A072" w14:textId="164302EC" w:rsidR="00260629" w:rsidRPr="00610B1B" w:rsidRDefault="002A152C" w:rsidP="00E8347C">
          <w:pPr>
            <w:pStyle w:val="TOC2"/>
            <w:spacing w:afterLines="60" w:after="144"/>
            <w:rPr>
              <w:rFonts w:eastAsiaTheme="minorEastAsia"/>
              <w:lang w:val="en-US" w:eastAsia="en-US" w:bidi="ar-SA"/>
            </w:rPr>
          </w:pPr>
          <w:hyperlink w:anchor="_Toc83391418" w:history="1">
            <w:r w:rsidR="00260629" w:rsidRPr="00610B1B">
              <w:rPr>
                <w:rStyle w:val="Hyperlink"/>
              </w:rPr>
              <w:t>4.3. Прогнозни сценарии и модели за устойчиво развитие и опазване на морските пространства</w:t>
            </w:r>
            <w:r w:rsidR="00260629" w:rsidRPr="00610B1B">
              <w:rPr>
                <w:webHidden/>
              </w:rPr>
              <w:tab/>
            </w:r>
            <w:r w:rsidR="00260629" w:rsidRPr="00610B1B">
              <w:rPr>
                <w:webHidden/>
              </w:rPr>
              <w:fldChar w:fldCharType="begin"/>
            </w:r>
            <w:r w:rsidR="00260629" w:rsidRPr="00610B1B">
              <w:rPr>
                <w:webHidden/>
              </w:rPr>
              <w:instrText xml:space="preserve"> PAGEREF _Toc83391418 \h </w:instrText>
            </w:r>
            <w:r w:rsidR="00260629" w:rsidRPr="00610B1B">
              <w:rPr>
                <w:webHidden/>
              </w:rPr>
            </w:r>
            <w:r w:rsidR="00260629" w:rsidRPr="00610B1B">
              <w:rPr>
                <w:webHidden/>
              </w:rPr>
              <w:fldChar w:fldCharType="separate"/>
            </w:r>
            <w:r w:rsidR="00260629" w:rsidRPr="00610B1B">
              <w:rPr>
                <w:webHidden/>
              </w:rPr>
              <w:t>236</w:t>
            </w:r>
            <w:r w:rsidR="00260629" w:rsidRPr="00610B1B">
              <w:rPr>
                <w:webHidden/>
              </w:rPr>
              <w:fldChar w:fldCharType="end"/>
            </w:r>
          </w:hyperlink>
        </w:p>
        <w:p w14:paraId="1B6813CF" w14:textId="6EDB8B11" w:rsidR="00260629" w:rsidRPr="00610B1B" w:rsidRDefault="002A152C">
          <w:pPr>
            <w:pStyle w:val="TOC3"/>
            <w:rPr>
              <w:noProof/>
              <w:lang w:val="en-US" w:eastAsia="en-US"/>
            </w:rPr>
          </w:pPr>
          <w:hyperlink w:anchor="_Toc83391419" w:history="1">
            <w:r w:rsidR="00260629" w:rsidRPr="00610B1B">
              <w:rPr>
                <w:rStyle w:val="Hyperlink"/>
                <w:rFonts w:ascii="Times New Roman" w:hAnsi="Times New Roman"/>
                <w:noProof/>
                <w:lang w:bidi="hi-IN"/>
              </w:rPr>
              <w:t>4.3.1. Сценарий А – Икономическо развитие чрез оптимално използване на морските ресурси за син растеж</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_Toc83391419 \h </w:instrText>
            </w:r>
            <w:r w:rsidR="00260629" w:rsidRPr="00610B1B">
              <w:rPr>
                <w:noProof/>
                <w:webHidden/>
              </w:rPr>
            </w:r>
            <w:r w:rsidR="00260629" w:rsidRPr="00610B1B">
              <w:rPr>
                <w:noProof/>
                <w:webHidden/>
              </w:rPr>
              <w:fldChar w:fldCharType="separate"/>
            </w:r>
            <w:r w:rsidR="00260629" w:rsidRPr="00610B1B">
              <w:rPr>
                <w:noProof/>
                <w:webHidden/>
              </w:rPr>
              <w:t>238</w:t>
            </w:r>
            <w:r w:rsidR="00260629" w:rsidRPr="00610B1B">
              <w:rPr>
                <w:noProof/>
                <w:webHidden/>
              </w:rPr>
              <w:fldChar w:fldCharType="end"/>
            </w:r>
          </w:hyperlink>
        </w:p>
        <w:p w14:paraId="02CCA274" w14:textId="450C7627" w:rsidR="00260629" w:rsidRPr="00610B1B" w:rsidRDefault="002A152C">
          <w:pPr>
            <w:pStyle w:val="TOC3"/>
            <w:rPr>
              <w:noProof/>
              <w:lang w:val="en-US" w:eastAsia="en-US"/>
            </w:rPr>
          </w:pPr>
          <w:hyperlink w:anchor="_Toc83391420" w:history="1">
            <w:r w:rsidR="00260629" w:rsidRPr="00610B1B">
              <w:rPr>
                <w:rStyle w:val="Hyperlink"/>
                <w:rFonts w:ascii="Times New Roman" w:hAnsi="Times New Roman"/>
                <w:noProof/>
                <w:lang w:bidi="hi-IN"/>
              </w:rPr>
              <w:t>4.3.2. Сценарий B – Устойчива морска среда, съхраняваща ценните морски екосистеми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_Toc83391420 \h </w:instrText>
            </w:r>
            <w:r w:rsidR="00260629" w:rsidRPr="00610B1B">
              <w:rPr>
                <w:noProof/>
                <w:webHidden/>
              </w:rPr>
            </w:r>
            <w:r w:rsidR="00260629" w:rsidRPr="00610B1B">
              <w:rPr>
                <w:noProof/>
                <w:webHidden/>
              </w:rPr>
              <w:fldChar w:fldCharType="separate"/>
            </w:r>
            <w:r w:rsidR="00260629" w:rsidRPr="00610B1B">
              <w:rPr>
                <w:noProof/>
                <w:webHidden/>
              </w:rPr>
              <w:t>242</w:t>
            </w:r>
            <w:r w:rsidR="00260629" w:rsidRPr="00610B1B">
              <w:rPr>
                <w:noProof/>
                <w:webHidden/>
              </w:rPr>
              <w:fldChar w:fldCharType="end"/>
            </w:r>
          </w:hyperlink>
        </w:p>
        <w:p w14:paraId="7F80DCBB" w14:textId="7CE61380" w:rsidR="00260629" w:rsidRPr="00610B1B" w:rsidRDefault="002A152C">
          <w:pPr>
            <w:pStyle w:val="TOC3"/>
            <w:rPr>
              <w:noProof/>
              <w:lang w:val="en-US" w:eastAsia="en-US"/>
            </w:rPr>
          </w:pPr>
          <w:hyperlink w:anchor="_Toc83391421" w:history="1">
            <w:r w:rsidR="00260629" w:rsidRPr="00610B1B">
              <w:rPr>
                <w:rStyle w:val="Hyperlink"/>
                <w:rFonts w:ascii="Times New Roman" w:hAnsi="Times New Roman"/>
                <w:noProof/>
                <w:lang w:bidi="hi-IN"/>
              </w:rPr>
              <w:t>4.3.3. Сценарий С – Социално равновесие</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_Toc83391421 \h </w:instrText>
            </w:r>
            <w:r w:rsidR="00260629" w:rsidRPr="00610B1B">
              <w:rPr>
                <w:noProof/>
                <w:webHidden/>
              </w:rPr>
            </w:r>
            <w:r w:rsidR="00260629" w:rsidRPr="00610B1B">
              <w:rPr>
                <w:noProof/>
                <w:webHidden/>
              </w:rPr>
              <w:fldChar w:fldCharType="separate"/>
            </w:r>
            <w:r w:rsidR="00260629" w:rsidRPr="00610B1B">
              <w:rPr>
                <w:noProof/>
                <w:webHidden/>
              </w:rPr>
              <w:t>246</w:t>
            </w:r>
            <w:r w:rsidR="00260629" w:rsidRPr="00610B1B">
              <w:rPr>
                <w:noProof/>
                <w:webHidden/>
              </w:rPr>
              <w:fldChar w:fldCharType="end"/>
            </w:r>
          </w:hyperlink>
        </w:p>
        <w:p w14:paraId="0DA0F2AB" w14:textId="7696E6AE" w:rsidR="00260629" w:rsidRPr="00610B1B" w:rsidRDefault="002A152C">
          <w:pPr>
            <w:pStyle w:val="TOC3"/>
            <w:rPr>
              <w:noProof/>
              <w:lang w:val="en-US" w:eastAsia="en-US"/>
            </w:rPr>
          </w:pPr>
          <w:hyperlink w:anchor="_Toc83391422" w:history="1">
            <w:r w:rsidR="00260629" w:rsidRPr="00610B1B">
              <w:rPr>
                <w:rStyle w:val="Hyperlink"/>
                <w:rFonts w:ascii="Times New Roman" w:hAnsi="Times New Roman"/>
                <w:noProof/>
                <w:lang w:bidi="hi-IN"/>
              </w:rPr>
              <w:t>4.3.4. Сценарий D – Интегрирани местни, национални, регионални и общоевропейски интереси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_Toc83391422 \h </w:instrText>
            </w:r>
            <w:r w:rsidR="00260629" w:rsidRPr="00610B1B">
              <w:rPr>
                <w:noProof/>
                <w:webHidden/>
              </w:rPr>
            </w:r>
            <w:r w:rsidR="00260629" w:rsidRPr="00610B1B">
              <w:rPr>
                <w:noProof/>
                <w:webHidden/>
              </w:rPr>
              <w:fldChar w:fldCharType="separate"/>
            </w:r>
            <w:r w:rsidR="00260629" w:rsidRPr="00610B1B">
              <w:rPr>
                <w:noProof/>
                <w:webHidden/>
              </w:rPr>
              <w:t>251</w:t>
            </w:r>
            <w:r w:rsidR="00260629" w:rsidRPr="00610B1B">
              <w:rPr>
                <w:noProof/>
                <w:webHidden/>
              </w:rPr>
              <w:fldChar w:fldCharType="end"/>
            </w:r>
          </w:hyperlink>
        </w:p>
        <w:p w14:paraId="728A308E" w14:textId="5FFC34D3" w:rsidR="00260629" w:rsidRPr="00610B1B" w:rsidRDefault="002A152C">
          <w:pPr>
            <w:pStyle w:val="TOC3"/>
            <w:rPr>
              <w:noProof/>
              <w:lang w:val="en-US" w:eastAsia="en-US"/>
            </w:rPr>
          </w:pPr>
          <w:hyperlink w:anchor="_Toc83391423" w:history="1">
            <w:r w:rsidR="00260629" w:rsidRPr="00610B1B">
              <w:rPr>
                <w:rStyle w:val="Hyperlink"/>
                <w:rFonts w:ascii="Times New Roman" w:hAnsi="Times New Roman"/>
                <w:noProof/>
                <w:lang w:bidi="hi-IN"/>
              </w:rPr>
              <w:t>4.3.5. Избор на оптимален сценарий</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_Toc83391423 \h </w:instrText>
            </w:r>
            <w:r w:rsidR="00260629" w:rsidRPr="00610B1B">
              <w:rPr>
                <w:noProof/>
                <w:webHidden/>
              </w:rPr>
            </w:r>
            <w:r w:rsidR="00260629" w:rsidRPr="00610B1B">
              <w:rPr>
                <w:noProof/>
                <w:webHidden/>
              </w:rPr>
              <w:fldChar w:fldCharType="separate"/>
            </w:r>
            <w:r w:rsidR="00260629" w:rsidRPr="00610B1B">
              <w:rPr>
                <w:noProof/>
                <w:webHidden/>
              </w:rPr>
              <w:t>257</w:t>
            </w:r>
            <w:r w:rsidR="00260629" w:rsidRPr="00610B1B">
              <w:rPr>
                <w:noProof/>
                <w:webHidden/>
              </w:rPr>
              <w:fldChar w:fldCharType="end"/>
            </w:r>
          </w:hyperlink>
        </w:p>
        <w:p w14:paraId="3A75BEC2" w14:textId="346ABCAD"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424" w:history="1">
            <w:r w:rsidR="00260629" w:rsidRPr="00610B1B">
              <w:rPr>
                <w:rStyle w:val="Hyperlink"/>
                <w:rFonts w:cs="Times New Roman"/>
                <w:noProof/>
                <w:sz w:val="22"/>
                <w:szCs w:val="22"/>
              </w:rPr>
              <w:t>5. ВИЗИЯ, СТРАТЕГИЧЕСКИ ЦЕЛИ И ПРИОРИТЕТИ</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_Toc83391424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260</w:t>
            </w:r>
            <w:r w:rsidR="00260629" w:rsidRPr="00610B1B">
              <w:rPr>
                <w:rFonts w:cs="Times New Roman"/>
                <w:noProof/>
                <w:webHidden/>
                <w:sz w:val="22"/>
                <w:szCs w:val="22"/>
              </w:rPr>
              <w:fldChar w:fldCharType="end"/>
            </w:r>
          </w:hyperlink>
        </w:p>
        <w:p w14:paraId="5223E607" w14:textId="5563CEFD" w:rsidR="00260629" w:rsidRPr="00610B1B" w:rsidRDefault="002A152C" w:rsidP="00E8347C">
          <w:pPr>
            <w:pStyle w:val="TOC2"/>
            <w:spacing w:afterLines="60" w:after="144"/>
            <w:rPr>
              <w:rFonts w:eastAsiaTheme="minorEastAsia"/>
              <w:lang w:val="en-US" w:eastAsia="en-US" w:bidi="ar-SA"/>
            </w:rPr>
          </w:pPr>
          <w:hyperlink w:anchor="_Toc83391425" w:history="1">
            <w:r w:rsidR="00260629" w:rsidRPr="00610B1B">
              <w:rPr>
                <w:rStyle w:val="Hyperlink"/>
              </w:rPr>
              <w:t>5.1. Визия за развитие, опазване и използване на морското пространство</w:t>
            </w:r>
            <w:r w:rsidR="00260629" w:rsidRPr="00610B1B">
              <w:rPr>
                <w:webHidden/>
              </w:rPr>
              <w:tab/>
            </w:r>
            <w:r w:rsidR="00260629" w:rsidRPr="00610B1B">
              <w:rPr>
                <w:webHidden/>
              </w:rPr>
              <w:fldChar w:fldCharType="begin"/>
            </w:r>
            <w:r w:rsidR="00260629" w:rsidRPr="00610B1B">
              <w:rPr>
                <w:webHidden/>
              </w:rPr>
              <w:instrText xml:space="preserve"> PAGEREF _Toc83391425 \h </w:instrText>
            </w:r>
            <w:r w:rsidR="00260629" w:rsidRPr="00610B1B">
              <w:rPr>
                <w:webHidden/>
              </w:rPr>
            </w:r>
            <w:r w:rsidR="00260629" w:rsidRPr="00610B1B">
              <w:rPr>
                <w:webHidden/>
              </w:rPr>
              <w:fldChar w:fldCharType="separate"/>
            </w:r>
            <w:r w:rsidR="00260629" w:rsidRPr="00610B1B">
              <w:rPr>
                <w:webHidden/>
              </w:rPr>
              <w:t>260</w:t>
            </w:r>
            <w:r w:rsidR="00260629" w:rsidRPr="00610B1B">
              <w:rPr>
                <w:webHidden/>
              </w:rPr>
              <w:fldChar w:fldCharType="end"/>
            </w:r>
          </w:hyperlink>
        </w:p>
        <w:p w14:paraId="463C744F" w14:textId="53E65249" w:rsidR="00260629" w:rsidRPr="00610B1B" w:rsidRDefault="002A152C" w:rsidP="00E8347C">
          <w:pPr>
            <w:pStyle w:val="TOC2"/>
            <w:spacing w:afterLines="60" w:after="144"/>
            <w:rPr>
              <w:rFonts w:eastAsiaTheme="minorEastAsia"/>
              <w:lang w:val="en-US" w:eastAsia="en-US" w:bidi="ar-SA"/>
            </w:rPr>
          </w:pPr>
          <w:hyperlink w:anchor="_Toc83391426" w:history="1">
            <w:r w:rsidR="00260629" w:rsidRPr="00610B1B">
              <w:rPr>
                <w:rStyle w:val="Hyperlink"/>
              </w:rPr>
              <w:t>5.2. Стратегически цели</w:t>
            </w:r>
            <w:r w:rsidR="00260629" w:rsidRPr="00610B1B">
              <w:rPr>
                <w:webHidden/>
              </w:rPr>
              <w:tab/>
            </w:r>
            <w:r w:rsidR="00260629" w:rsidRPr="00610B1B">
              <w:rPr>
                <w:webHidden/>
              </w:rPr>
              <w:fldChar w:fldCharType="begin"/>
            </w:r>
            <w:r w:rsidR="00260629" w:rsidRPr="00610B1B">
              <w:rPr>
                <w:webHidden/>
              </w:rPr>
              <w:instrText xml:space="preserve"> PAGEREF _Toc83391426 \h </w:instrText>
            </w:r>
            <w:r w:rsidR="00260629" w:rsidRPr="00610B1B">
              <w:rPr>
                <w:webHidden/>
              </w:rPr>
            </w:r>
            <w:r w:rsidR="00260629" w:rsidRPr="00610B1B">
              <w:rPr>
                <w:webHidden/>
              </w:rPr>
              <w:fldChar w:fldCharType="separate"/>
            </w:r>
            <w:r w:rsidR="00260629" w:rsidRPr="00610B1B">
              <w:rPr>
                <w:webHidden/>
              </w:rPr>
              <w:t>261</w:t>
            </w:r>
            <w:r w:rsidR="00260629" w:rsidRPr="00610B1B">
              <w:rPr>
                <w:webHidden/>
              </w:rPr>
              <w:fldChar w:fldCharType="end"/>
            </w:r>
          </w:hyperlink>
        </w:p>
        <w:p w14:paraId="1846C568" w14:textId="568DFD62"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427" w:history="1">
            <w:r w:rsidR="00260629" w:rsidRPr="00610B1B">
              <w:rPr>
                <w:rStyle w:val="Hyperlink"/>
                <w:rFonts w:cs="Times New Roman"/>
                <w:noProof/>
                <w:sz w:val="22"/>
                <w:szCs w:val="22"/>
              </w:rPr>
              <w:t>6. ЗОНИРАНЕ НА МОРСКИТЕ ПРОСТРАНСТВА И ИНТЕГРИРАНЕ НА ФУНКЦИИТЕ И ДЕЙНОСТИТЕ</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_Toc83391427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275</w:t>
            </w:r>
            <w:r w:rsidR="00260629" w:rsidRPr="00610B1B">
              <w:rPr>
                <w:rFonts w:cs="Times New Roman"/>
                <w:noProof/>
                <w:webHidden/>
                <w:sz w:val="22"/>
                <w:szCs w:val="22"/>
              </w:rPr>
              <w:fldChar w:fldCharType="end"/>
            </w:r>
          </w:hyperlink>
        </w:p>
        <w:p w14:paraId="6E0FDDED" w14:textId="69F389B2" w:rsidR="00260629" w:rsidRPr="00610B1B" w:rsidRDefault="002A152C" w:rsidP="00E8347C">
          <w:pPr>
            <w:pStyle w:val="TOC2"/>
            <w:spacing w:afterLines="60" w:after="144"/>
            <w:rPr>
              <w:rFonts w:eastAsiaTheme="minorEastAsia"/>
              <w:lang w:val="en-US" w:eastAsia="en-US" w:bidi="ar-SA"/>
            </w:rPr>
          </w:pPr>
          <w:hyperlink w:anchor="_Toc83391428" w:history="1">
            <w:r w:rsidR="00260629" w:rsidRPr="00610B1B">
              <w:rPr>
                <w:rStyle w:val="Hyperlink"/>
              </w:rPr>
              <w:t>6.1. Основни принципи за зониране на морското пространство</w:t>
            </w:r>
            <w:r w:rsidR="00260629" w:rsidRPr="00610B1B">
              <w:rPr>
                <w:webHidden/>
              </w:rPr>
              <w:tab/>
            </w:r>
            <w:r w:rsidR="00260629" w:rsidRPr="00610B1B">
              <w:rPr>
                <w:webHidden/>
              </w:rPr>
              <w:fldChar w:fldCharType="begin"/>
            </w:r>
            <w:r w:rsidR="00260629" w:rsidRPr="00610B1B">
              <w:rPr>
                <w:webHidden/>
              </w:rPr>
              <w:instrText xml:space="preserve"> PAGEREF _Toc83391428 \h </w:instrText>
            </w:r>
            <w:r w:rsidR="00260629" w:rsidRPr="00610B1B">
              <w:rPr>
                <w:webHidden/>
              </w:rPr>
            </w:r>
            <w:r w:rsidR="00260629" w:rsidRPr="00610B1B">
              <w:rPr>
                <w:webHidden/>
              </w:rPr>
              <w:fldChar w:fldCharType="separate"/>
            </w:r>
            <w:r w:rsidR="00260629" w:rsidRPr="00610B1B">
              <w:rPr>
                <w:webHidden/>
              </w:rPr>
              <w:t>275</w:t>
            </w:r>
            <w:r w:rsidR="00260629" w:rsidRPr="00610B1B">
              <w:rPr>
                <w:webHidden/>
              </w:rPr>
              <w:fldChar w:fldCharType="end"/>
            </w:r>
          </w:hyperlink>
        </w:p>
        <w:p w14:paraId="71C1C14F" w14:textId="1E512BC6" w:rsidR="00260629" w:rsidRPr="00610B1B" w:rsidRDefault="002A152C" w:rsidP="00E8347C">
          <w:pPr>
            <w:pStyle w:val="TOC2"/>
            <w:spacing w:afterLines="60" w:after="144"/>
            <w:rPr>
              <w:rFonts w:eastAsiaTheme="minorEastAsia"/>
              <w:lang w:val="en-US" w:eastAsia="en-US" w:bidi="ar-SA"/>
            </w:rPr>
          </w:pPr>
          <w:hyperlink w:anchor="_Toc83391429" w:history="1">
            <w:r w:rsidR="00260629" w:rsidRPr="00610B1B">
              <w:rPr>
                <w:rStyle w:val="Hyperlink"/>
              </w:rPr>
              <w:t>6.2. Конфликти и синергия във функционалното зониране на морските пространства</w:t>
            </w:r>
            <w:r w:rsidR="00260629" w:rsidRPr="00610B1B">
              <w:rPr>
                <w:webHidden/>
              </w:rPr>
              <w:tab/>
            </w:r>
            <w:r w:rsidR="00260629" w:rsidRPr="00610B1B">
              <w:rPr>
                <w:webHidden/>
              </w:rPr>
              <w:fldChar w:fldCharType="begin"/>
            </w:r>
            <w:r w:rsidR="00260629" w:rsidRPr="00610B1B">
              <w:rPr>
                <w:webHidden/>
              </w:rPr>
              <w:instrText xml:space="preserve"> PAGEREF _Toc83391429 \h </w:instrText>
            </w:r>
            <w:r w:rsidR="00260629" w:rsidRPr="00610B1B">
              <w:rPr>
                <w:webHidden/>
              </w:rPr>
            </w:r>
            <w:r w:rsidR="00260629" w:rsidRPr="00610B1B">
              <w:rPr>
                <w:webHidden/>
              </w:rPr>
              <w:fldChar w:fldCharType="separate"/>
            </w:r>
            <w:r w:rsidR="00260629" w:rsidRPr="00610B1B">
              <w:rPr>
                <w:webHidden/>
              </w:rPr>
              <w:t>277</w:t>
            </w:r>
            <w:r w:rsidR="00260629" w:rsidRPr="00610B1B">
              <w:rPr>
                <w:webHidden/>
              </w:rPr>
              <w:fldChar w:fldCharType="end"/>
            </w:r>
          </w:hyperlink>
        </w:p>
        <w:p w14:paraId="3121E96A" w14:textId="1FF7D59E" w:rsidR="00260629" w:rsidRPr="00610B1B" w:rsidRDefault="002A152C">
          <w:pPr>
            <w:pStyle w:val="TOC3"/>
            <w:rPr>
              <w:noProof/>
              <w:lang w:val="en-US" w:eastAsia="en-US"/>
            </w:rPr>
          </w:pPr>
          <w:hyperlink w:anchor="_Toc83391430" w:history="1">
            <w:r w:rsidR="00260629" w:rsidRPr="00610B1B">
              <w:rPr>
                <w:rStyle w:val="Hyperlink"/>
                <w:rFonts w:ascii="Times New Roman" w:hAnsi="Times New Roman"/>
                <w:noProof/>
                <w:lang w:bidi="hi-IN"/>
              </w:rPr>
              <w:t>6.2.1. Съвместими и несъвместими функции и дейности.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_Toc83391430 \h </w:instrText>
            </w:r>
            <w:r w:rsidR="00260629" w:rsidRPr="00610B1B">
              <w:rPr>
                <w:noProof/>
                <w:webHidden/>
              </w:rPr>
            </w:r>
            <w:r w:rsidR="00260629" w:rsidRPr="00610B1B">
              <w:rPr>
                <w:noProof/>
                <w:webHidden/>
              </w:rPr>
              <w:fldChar w:fldCharType="separate"/>
            </w:r>
            <w:r w:rsidR="00260629" w:rsidRPr="00610B1B">
              <w:rPr>
                <w:noProof/>
                <w:webHidden/>
              </w:rPr>
              <w:t>277</w:t>
            </w:r>
            <w:r w:rsidR="00260629" w:rsidRPr="00610B1B">
              <w:rPr>
                <w:noProof/>
                <w:webHidden/>
              </w:rPr>
              <w:fldChar w:fldCharType="end"/>
            </w:r>
          </w:hyperlink>
        </w:p>
        <w:p w14:paraId="7D0448C4" w14:textId="0E4F210A" w:rsidR="00260629" w:rsidRPr="00610B1B" w:rsidRDefault="002A152C">
          <w:pPr>
            <w:pStyle w:val="TOC3"/>
            <w:rPr>
              <w:noProof/>
              <w:lang w:val="en-US" w:eastAsia="en-US"/>
            </w:rPr>
          </w:pPr>
          <w:hyperlink w:anchor="_Toc83391431" w:history="1">
            <w:r w:rsidR="00260629" w:rsidRPr="00610B1B">
              <w:rPr>
                <w:rStyle w:val="Hyperlink"/>
                <w:rFonts w:ascii="Times New Roman" w:hAnsi="Times New Roman"/>
                <w:noProof/>
                <w:lang w:bidi="hi-IN"/>
              </w:rPr>
              <w:t>6.2.2. Взаимодействия земя-море и море-земя и идентифицирани конфликтни точки и зони на крайбрежието</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_Toc83391431 \h </w:instrText>
            </w:r>
            <w:r w:rsidR="00260629" w:rsidRPr="00610B1B">
              <w:rPr>
                <w:noProof/>
                <w:webHidden/>
              </w:rPr>
            </w:r>
            <w:r w:rsidR="00260629" w:rsidRPr="00610B1B">
              <w:rPr>
                <w:noProof/>
                <w:webHidden/>
              </w:rPr>
              <w:fldChar w:fldCharType="separate"/>
            </w:r>
            <w:r w:rsidR="00260629" w:rsidRPr="00610B1B">
              <w:rPr>
                <w:noProof/>
                <w:webHidden/>
              </w:rPr>
              <w:t>285</w:t>
            </w:r>
            <w:r w:rsidR="00260629" w:rsidRPr="00610B1B">
              <w:rPr>
                <w:noProof/>
                <w:webHidden/>
              </w:rPr>
              <w:fldChar w:fldCharType="end"/>
            </w:r>
          </w:hyperlink>
        </w:p>
        <w:p w14:paraId="28688F6D" w14:textId="77C153F1" w:rsidR="00260629" w:rsidRPr="00610B1B" w:rsidRDefault="002A152C" w:rsidP="00E8347C">
          <w:pPr>
            <w:pStyle w:val="TOC2"/>
            <w:spacing w:afterLines="60" w:after="144"/>
            <w:rPr>
              <w:rFonts w:eastAsiaTheme="minorEastAsia"/>
              <w:lang w:val="en-US" w:eastAsia="en-US" w:bidi="ar-SA"/>
            </w:rPr>
          </w:pPr>
          <w:hyperlink w:anchor="_Toc83391432" w:history="1">
            <w:r w:rsidR="00260629" w:rsidRPr="00610B1B">
              <w:rPr>
                <w:rStyle w:val="Hyperlink"/>
              </w:rPr>
              <w:t>6.3. Зониране на морските пространства</w:t>
            </w:r>
            <w:r w:rsidR="00260629" w:rsidRPr="00610B1B">
              <w:rPr>
                <w:webHidden/>
              </w:rPr>
              <w:tab/>
            </w:r>
            <w:r w:rsidR="00260629" w:rsidRPr="00610B1B">
              <w:rPr>
                <w:webHidden/>
              </w:rPr>
              <w:fldChar w:fldCharType="begin"/>
            </w:r>
            <w:r w:rsidR="00260629" w:rsidRPr="00610B1B">
              <w:rPr>
                <w:webHidden/>
              </w:rPr>
              <w:instrText xml:space="preserve"> PAGEREF _Toc83391432 \h </w:instrText>
            </w:r>
            <w:r w:rsidR="00260629" w:rsidRPr="00610B1B">
              <w:rPr>
                <w:webHidden/>
              </w:rPr>
            </w:r>
            <w:r w:rsidR="00260629" w:rsidRPr="00610B1B">
              <w:rPr>
                <w:webHidden/>
              </w:rPr>
              <w:fldChar w:fldCharType="separate"/>
            </w:r>
            <w:r w:rsidR="00260629" w:rsidRPr="00610B1B">
              <w:rPr>
                <w:webHidden/>
              </w:rPr>
              <w:t>290</w:t>
            </w:r>
            <w:r w:rsidR="00260629" w:rsidRPr="00610B1B">
              <w:rPr>
                <w:webHidden/>
              </w:rPr>
              <w:fldChar w:fldCharType="end"/>
            </w:r>
          </w:hyperlink>
        </w:p>
        <w:p w14:paraId="4E5304C4" w14:textId="66490106" w:rsidR="00260629" w:rsidRPr="00610B1B" w:rsidRDefault="002A152C">
          <w:pPr>
            <w:pStyle w:val="TOC3"/>
            <w:rPr>
              <w:noProof/>
              <w:lang w:val="en-US" w:eastAsia="en-US"/>
            </w:rPr>
          </w:pPr>
          <w:hyperlink w:anchor="_Toc83391433" w:history="1">
            <w:r w:rsidR="00260629" w:rsidRPr="00610B1B">
              <w:rPr>
                <w:rStyle w:val="Hyperlink"/>
                <w:rFonts w:ascii="Times New Roman" w:hAnsi="Times New Roman"/>
                <w:noProof/>
                <w:lang w:bidi="hi-IN"/>
              </w:rPr>
              <w:t>6.3.1. Зони със забрана за ползване</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_Toc83391433 \h </w:instrText>
            </w:r>
            <w:r w:rsidR="00260629" w:rsidRPr="00610B1B">
              <w:rPr>
                <w:noProof/>
                <w:webHidden/>
              </w:rPr>
            </w:r>
            <w:r w:rsidR="00260629" w:rsidRPr="00610B1B">
              <w:rPr>
                <w:noProof/>
                <w:webHidden/>
              </w:rPr>
              <w:fldChar w:fldCharType="separate"/>
            </w:r>
            <w:r w:rsidR="00260629" w:rsidRPr="00610B1B">
              <w:rPr>
                <w:noProof/>
                <w:webHidden/>
              </w:rPr>
              <w:t>293</w:t>
            </w:r>
            <w:r w:rsidR="00260629" w:rsidRPr="00610B1B">
              <w:rPr>
                <w:noProof/>
                <w:webHidden/>
              </w:rPr>
              <w:fldChar w:fldCharType="end"/>
            </w:r>
          </w:hyperlink>
        </w:p>
        <w:p w14:paraId="61EAA792" w14:textId="271724F2" w:rsidR="00260629" w:rsidRPr="00610B1B" w:rsidRDefault="002A152C">
          <w:pPr>
            <w:pStyle w:val="TOC3"/>
            <w:rPr>
              <w:noProof/>
              <w:lang w:val="en-US" w:eastAsia="en-US"/>
            </w:rPr>
          </w:pPr>
          <w:hyperlink w:anchor="_Toc83391434" w:history="1">
            <w:r w:rsidR="00260629" w:rsidRPr="00610B1B">
              <w:rPr>
                <w:rStyle w:val="Hyperlink"/>
                <w:rFonts w:ascii="Times New Roman" w:hAnsi="Times New Roman"/>
                <w:noProof/>
                <w:lang w:bidi="hi-IN"/>
              </w:rPr>
              <w:t>6.3.2. Зони със специфичен режим на опазване</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_Toc83391434 \h </w:instrText>
            </w:r>
            <w:r w:rsidR="00260629" w:rsidRPr="00610B1B">
              <w:rPr>
                <w:noProof/>
                <w:webHidden/>
              </w:rPr>
            </w:r>
            <w:r w:rsidR="00260629" w:rsidRPr="00610B1B">
              <w:rPr>
                <w:noProof/>
                <w:webHidden/>
              </w:rPr>
              <w:fldChar w:fldCharType="separate"/>
            </w:r>
            <w:r w:rsidR="00260629" w:rsidRPr="00610B1B">
              <w:rPr>
                <w:noProof/>
                <w:webHidden/>
              </w:rPr>
              <w:t>295</w:t>
            </w:r>
            <w:r w:rsidR="00260629" w:rsidRPr="00610B1B">
              <w:rPr>
                <w:noProof/>
                <w:webHidden/>
              </w:rPr>
              <w:fldChar w:fldCharType="end"/>
            </w:r>
          </w:hyperlink>
        </w:p>
        <w:p w14:paraId="022B7A1D" w14:textId="6BAE9B41" w:rsidR="00260629" w:rsidRPr="00610B1B" w:rsidRDefault="002A152C">
          <w:pPr>
            <w:pStyle w:val="TOC3"/>
            <w:rPr>
              <w:noProof/>
              <w:lang w:val="en-US" w:eastAsia="en-US"/>
            </w:rPr>
          </w:pPr>
          <w:hyperlink w:anchor="_Toc83391435" w:history="1">
            <w:r w:rsidR="00260629" w:rsidRPr="00610B1B">
              <w:rPr>
                <w:rStyle w:val="Hyperlink"/>
                <w:rFonts w:ascii="Times New Roman" w:hAnsi="Times New Roman"/>
                <w:noProof/>
                <w:lang w:bidi="hi-IN"/>
              </w:rPr>
              <w:t>6.3.3. Мултифункционални зони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_Toc83391435 \h </w:instrText>
            </w:r>
            <w:r w:rsidR="00260629" w:rsidRPr="00610B1B">
              <w:rPr>
                <w:noProof/>
                <w:webHidden/>
              </w:rPr>
            </w:r>
            <w:r w:rsidR="00260629" w:rsidRPr="00610B1B">
              <w:rPr>
                <w:noProof/>
                <w:webHidden/>
              </w:rPr>
              <w:fldChar w:fldCharType="separate"/>
            </w:r>
            <w:r w:rsidR="00260629" w:rsidRPr="00610B1B">
              <w:rPr>
                <w:noProof/>
                <w:webHidden/>
              </w:rPr>
              <w:t>296</w:t>
            </w:r>
            <w:r w:rsidR="00260629" w:rsidRPr="00610B1B">
              <w:rPr>
                <w:noProof/>
                <w:webHidden/>
              </w:rPr>
              <w:fldChar w:fldCharType="end"/>
            </w:r>
          </w:hyperlink>
        </w:p>
        <w:p w14:paraId="58F8577E" w14:textId="66AFEC45" w:rsidR="00260629" w:rsidRPr="00610B1B" w:rsidRDefault="002A152C">
          <w:pPr>
            <w:pStyle w:val="TOC3"/>
            <w:rPr>
              <w:noProof/>
              <w:lang w:val="en-US" w:eastAsia="en-US"/>
            </w:rPr>
          </w:pPr>
          <w:hyperlink w:anchor="_Toc83391436" w:history="1">
            <w:r w:rsidR="00260629" w:rsidRPr="00610B1B">
              <w:rPr>
                <w:rStyle w:val="Hyperlink"/>
                <w:rFonts w:ascii="Times New Roman" w:hAnsi="Times New Roman"/>
                <w:noProof/>
                <w:lang w:bidi="hi-IN"/>
              </w:rPr>
              <w:t>6.3.4. Зони за бъдещи ползвания</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_Toc83391436 \h </w:instrText>
            </w:r>
            <w:r w:rsidR="00260629" w:rsidRPr="00610B1B">
              <w:rPr>
                <w:noProof/>
                <w:webHidden/>
              </w:rPr>
            </w:r>
            <w:r w:rsidR="00260629" w:rsidRPr="00610B1B">
              <w:rPr>
                <w:noProof/>
                <w:webHidden/>
              </w:rPr>
              <w:fldChar w:fldCharType="separate"/>
            </w:r>
            <w:r w:rsidR="00260629" w:rsidRPr="00610B1B">
              <w:rPr>
                <w:noProof/>
                <w:webHidden/>
              </w:rPr>
              <w:t>298</w:t>
            </w:r>
            <w:r w:rsidR="00260629" w:rsidRPr="00610B1B">
              <w:rPr>
                <w:noProof/>
                <w:webHidden/>
              </w:rPr>
              <w:fldChar w:fldCharType="end"/>
            </w:r>
          </w:hyperlink>
        </w:p>
        <w:p w14:paraId="4A415604" w14:textId="74EFF4C7" w:rsidR="00260629" w:rsidRPr="00610B1B" w:rsidRDefault="002A152C" w:rsidP="00E8347C">
          <w:pPr>
            <w:pStyle w:val="TOC2"/>
            <w:spacing w:afterLines="60" w:after="144"/>
            <w:rPr>
              <w:rFonts w:eastAsiaTheme="minorEastAsia"/>
              <w:lang w:val="en-US" w:eastAsia="en-US" w:bidi="ar-SA"/>
            </w:rPr>
          </w:pPr>
          <w:hyperlink w:anchor="_Toc83391437" w:history="1">
            <w:r w:rsidR="00260629" w:rsidRPr="00610B1B">
              <w:rPr>
                <w:rStyle w:val="Hyperlink"/>
              </w:rPr>
              <w:t>6.4. Предвидени ползвания и дейности в морските пространства</w:t>
            </w:r>
            <w:r w:rsidR="00260629" w:rsidRPr="00610B1B">
              <w:rPr>
                <w:webHidden/>
              </w:rPr>
              <w:tab/>
            </w:r>
            <w:r w:rsidR="00260629" w:rsidRPr="00610B1B">
              <w:rPr>
                <w:webHidden/>
              </w:rPr>
              <w:fldChar w:fldCharType="begin"/>
            </w:r>
            <w:r w:rsidR="00260629" w:rsidRPr="00610B1B">
              <w:rPr>
                <w:webHidden/>
              </w:rPr>
              <w:instrText xml:space="preserve"> PAGEREF _Toc83391437 \h </w:instrText>
            </w:r>
            <w:r w:rsidR="00260629" w:rsidRPr="00610B1B">
              <w:rPr>
                <w:webHidden/>
              </w:rPr>
            </w:r>
            <w:r w:rsidR="00260629" w:rsidRPr="00610B1B">
              <w:rPr>
                <w:webHidden/>
              </w:rPr>
              <w:fldChar w:fldCharType="separate"/>
            </w:r>
            <w:r w:rsidR="00260629" w:rsidRPr="00610B1B">
              <w:rPr>
                <w:webHidden/>
              </w:rPr>
              <w:t>298</w:t>
            </w:r>
            <w:r w:rsidR="00260629" w:rsidRPr="00610B1B">
              <w:rPr>
                <w:webHidden/>
              </w:rPr>
              <w:fldChar w:fldCharType="end"/>
            </w:r>
          </w:hyperlink>
        </w:p>
        <w:p w14:paraId="478DAEBF" w14:textId="75FCB568"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438" w:history="1">
            <w:r w:rsidR="00260629" w:rsidRPr="00610B1B">
              <w:rPr>
                <w:rStyle w:val="Hyperlink"/>
                <w:rFonts w:cs="Times New Roman"/>
                <w:noProof/>
                <w:sz w:val="22"/>
                <w:szCs w:val="22"/>
              </w:rPr>
              <w:t>7. ПРИЛАГАНЕ НА ПЛАНА И ОЦЕНКА НА РЕЗУЛТАТИТЕ</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_Toc83391438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308</w:t>
            </w:r>
            <w:r w:rsidR="00260629" w:rsidRPr="00610B1B">
              <w:rPr>
                <w:rFonts w:cs="Times New Roman"/>
                <w:noProof/>
                <w:webHidden/>
                <w:sz w:val="22"/>
                <w:szCs w:val="22"/>
              </w:rPr>
              <w:fldChar w:fldCharType="end"/>
            </w:r>
          </w:hyperlink>
        </w:p>
        <w:p w14:paraId="2175A051" w14:textId="20AE47ED" w:rsidR="00260629" w:rsidRPr="00610B1B" w:rsidRDefault="002A152C" w:rsidP="00E8347C">
          <w:pPr>
            <w:pStyle w:val="TOC2"/>
            <w:spacing w:afterLines="60" w:after="144"/>
            <w:rPr>
              <w:rFonts w:eastAsiaTheme="minorEastAsia"/>
              <w:lang w:val="en-US" w:eastAsia="en-US" w:bidi="ar-SA"/>
            </w:rPr>
          </w:pPr>
          <w:hyperlink w:anchor="_Toc83391439" w:history="1">
            <w:r w:rsidR="00260629" w:rsidRPr="00610B1B">
              <w:rPr>
                <w:rStyle w:val="Hyperlink"/>
              </w:rPr>
              <w:t>7.1. Отговорности, роля на държавните и регионални институции, местните власти и общности</w:t>
            </w:r>
            <w:r w:rsidR="00260629" w:rsidRPr="00610B1B">
              <w:rPr>
                <w:webHidden/>
              </w:rPr>
              <w:tab/>
            </w:r>
            <w:r w:rsidR="00260629" w:rsidRPr="00610B1B">
              <w:rPr>
                <w:webHidden/>
              </w:rPr>
              <w:fldChar w:fldCharType="begin"/>
            </w:r>
            <w:r w:rsidR="00260629" w:rsidRPr="00610B1B">
              <w:rPr>
                <w:webHidden/>
              </w:rPr>
              <w:instrText xml:space="preserve"> PAGEREF _Toc83391439 \h </w:instrText>
            </w:r>
            <w:r w:rsidR="00260629" w:rsidRPr="00610B1B">
              <w:rPr>
                <w:webHidden/>
              </w:rPr>
            </w:r>
            <w:r w:rsidR="00260629" w:rsidRPr="00610B1B">
              <w:rPr>
                <w:webHidden/>
              </w:rPr>
              <w:fldChar w:fldCharType="separate"/>
            </w:r>
            <w:r w:rsidR="00260629" w:rsidRPr="00610B1B">
              <w:rPr>
                <w:webHidden/>
              </w:rPr>
              <w:t>308</w:t>
            </w:r>
            <w:r w:rsidR="00260629" w:rsidRPr="00610B1B">
              <w:rPr>
                <w:webHidden/>
              </w:rPr>
              <w:fldChar w:fldCharType="end"/>
            </w:r>
          </w:hyperlink>
        </w:p>
        <w:p w14:paraId="38940F7B" w14:textId="366056A2" w:rsidR="00260629" w:rsidRPr="00610B1B" w:rsidRDefault="002A152C" w:rsidP="00E8347C">
          <w:pPr>
            <w:pStyle w:val="TOC2"/>
            <w:spacing w:afterLines="60" w:after="144"/>
            <w:rPr>
              <w:rFonts w:eastAsiaTheme="minorEastAsia"/>
              <w:lang w:val="en-US" w:eastAsia="en-US" w:bidi="ar-SA"/>
            </w:rPr>
          </w:pPr>
          <w:hyperlink w:anchor="_Toc83391440" w:history="1">
            <w:r w:rsidR="00260629" w:rsidRPr="00610B1B">
              <w:rPr>
                <w:rStyle w:val="Hyperlink"/>
              </w:rPr>
              <w:t>7.2. Поддържане, актуализиране и изменение на МППРБ</w:t>
            </w:r>
            <w:r w:rsidR="00260629" w:rsidRPr="00610B1B">
              <w:rPr>
                <w:webHidden/>
              </w:rPr>
              <w:tab/>
            </w:r>
            <w:r w:rsidR="00260629" w:rsidRPr="00610B1B">
              <w:rPr>
                <w:webHidden/>
              </w:rPr>
              <w:fldChar w:fldCharType="begin"/>
            </w:r>
            <w:r w:rsidR="00260629" w:rsidRPr="00610B1B">
              <w:rPr>
                <w:webHidden/>
              </w:rPr>
              <w:instrText xml:space="preserve"> PAGEREF _Toc83391440 \h </w:instrText>
            </w:r>
            <w:r w:rsidR="00260629" w:rsidRPr="00610B1B">
              <w:rPr>
                <w:webHidden/>
              </w:rPr>
            </w:r>
            <w:r w:rsidR="00260629" w:rsidRPr="00610B1B">
              <w:rPr>
                <w:webHidden/>
              </w:rPr>
              <w:fldChar w:fldCharType="separate"/>
            </w:r>
            <w:r w:rsidR="00260629" w:rsidRPr="00610B1B">
              <w:rPr>
                <w:webHidden/>
              </w:rPr>
              <w:t>326</w:t>
            </w:r>
            <w:r w:rsidR="00260629" w:rsidRPr="00610B1B">
              <w:rPr>
                <w:webHidden/>
              </w:rPr>
              <w:fldChar w:fldCharType="end"/>
            </w:r>
          </w:hyperlink>
        </w:p>
        <w:p w14:paraId="2322A32C" w14:textId="1E6FD47B" w:rsidR="00260629" w:rsidRPr="00610B1B" w:rsidRDefault="002A152C" w:rsidP="00E8347C">
          <w:pPr>
            <w:pStyle w:val="TOC2"/>
            <w:spacing w:afterLines="60" w:after="144"/>
            <w:rPr>
              <w:rFonts w:eastAsiaTheme="minorEastAsia"/>
              <w:lang w:val="en-US" w:eastAsia="en-US" w:bidi="ar-SA"/>
            </w:rPr>
          </w:pPr>
          <w:hyperlink w:anchor="_Toc83391441" w:history="1">
            <w:r w:rsidR="00260629" w:rsidRPr="00610B1B">
              <w:rPr>
                <w:rStyle w:val="Hyperlink"/>
              </w:rPr>
              <w:t>7.3. Препоръки към институциите по прилагането на МППРБ</w:t>
            </w:r>
            <w:r w:rsidR="00260629" w:rsidRPr="00610B1B">
              <w:rPr>
                <w:webHidden/>
              </w:rPr>
              <w:tab/>
            </w:r>
            <w:r w:rsidR="00260629" w:rsidRPr="00610B1B">
              <w:rPr>
                <w:webHidden/>
              </w:rPr>
              <w:fldChar w:fldCharType="begin"/>
            </w:r>
            <w:r w:rsidR="00260629" w:rsidRPr="00610B1B">
              <w:rPr>
                <w:webHidden/>
              </w:rPr>
              <w:instrText xml:space="preserve"> PAGEREF _Toc83391441 \h </w:instrText>
            </w:r>
            <w:r w:rsidR="00260629" w:rsidRPr="00610B1B">
              <w:rPr>
                <w:webHidden/>
              </w:rPr>
            </w:r>
            <w:r w:rsidR="00260629" w:rsidRPr="00610B1B">
              <w:rPr>
                <w:webHidden/>
              </w:rPr>
              <w:fldChar w:fldCharType="separate"/>
            </w:r>
            <w:r w:rsidR="00260629" w:rsidRPr="00610B1B">
              <w:rPr>
                <w:webHidden/>
              </w:rPr>
              <w:t>328</w:t>
            </w:r>
            <w:r w:rsidR="00260629" w:rsidRPr="00610B1B">
              <w:rPr>
                <w:webHidden/>
              </w:rPr>
              <w:fldChar w:fldCharType="end"/>
            </w:r>
          </w:hyperlink>
        </w:p>
        <w:p w14:paraId="02DA9F63" w14:textId="75EAA4E5" w:rsidR="00260629" w:rsidRPr="00610B1B" w:rsidRDefault="002A152C" w:rsidP="00E8347C">
          <w:pPr>
            <w:pStyle w:val="TOC2"/>
            <w:spacing w:afterLines="60" w:after="144"/>
            <w:rPr>
              <w:rFonts w:eastAsiaTheme="minorEastAsia"/>
              <w:lang w:val="en-US" w:eastAsia="en-US" w:bidi="ar-SA"/>
            </w:rPr>
          </w:pPr>
          <w:hyperlink w:anchor="_Toc83391442" w:history="1">
            <w:r w:rsidR="00260629" w:rsidRPr="00610B1B">
              <w:rPr>
                <w:rStyle w:val="Hyperlink"/>
              </w:rPr>
              <w:t>7.4. Система от индикатори за оценка на резултатите от прилагането на МППРБ</w:t>
            </w:r>
            <w:r w:rsidR="00260629" w:rsidRPr="00610B1B">
              <w:rPr>
                <w:webHidden/>
              </w:rPr>
              <w:tab/>
            </w:r>
            <w:r w:rsidR="00260629" w:rsidRPr="00610B1B">
              <w:rPr>
                <w:webHidden/>
              </w:rPr>
              <w:fldChar w:fldCharType="begin"/>
            </w:r>
            <w:r w:rsidR="00260629" w:rsidRPr="00610B1B">
              <w:rPr>
                <w:webHidden/>
              </w:rPr>
              <w:instrText xml:space="preserve"> PAGEREF _Toc83391442 \h </w:instrText>
            </w:r>
            <w:r w:rsidR="00260629" w:rsidRPr="00610B1B">
              <w:rPr>
                <w:webHidden/>
              </w:rPr>
            </w:r>
            <w:r w:rsidR="00260629" w:rsidRPr="00610B1B">
              <w:rPr>
                <w:webHidden/>
              </w:rPr>
              <w:fldChar w:fldCharType="separate"/>
            </w:r>
            <w:r w:rsidR="00260629" w:rsidRPr="00610B1B">
              <w:rPr>
                <w:webHidden/>
              </w:rPr>
              <w:t>335</w:t>
            </w:r>
            <w:r w:rsidR="00260629" w:rsidRPr="00610B1B">
              <w:rPr>
                <w:webHidden/>
              </w:rPr>
              <w:fldChar w:fldCharType="end"/>
            </w:r>
          </w:hyperlink>
        </w:p>
        <w:p w14:paraId="1821489F" w14:textId="2C7AC5F0" w:rsidR="00260629" w:rsidRPr="00610B1B" w:rsidRDefault="002A152C">
          <w:pPr>
            <w:pStyle w:val="TOC3"/>
            <w:rPr>
              <w:noProof/>
              <w:lang w:val="en-US" w:eastAsia="en-US"/>
            </w:rPr>
          </w:pPr>
          <w:hyperlink w:anchor="_Toc83391443" w:history="1">
            <w:r w:rsidR="00260629" w:rsidRPr="00610B1B">
              <w:rPr>
                <w:rStyle w:val="Hyperlink"/>
                <w:rFonts w:ascii="Times New Roman" w:hAnsi="Times New Roman"/>
                <w:noProof/>
                <w:lang w:bidi="hi-IN"/>
              </w:rPr>
              <w:t>7.4.1. Индикатори за управление на прилагането, наблюдението и оценката на МППРБ</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_Toc83391443 \h </w:instrText>
            </w:r>
            <w:r w:rsidR="00260629" w:rsidRPr="00610B1B">
              <w:rPr>
                <w:noProof/>
                <w:webHidden/>
              </w:rPr>
            </w:r>
            <w:r w:rsidR="00260629" w:rsidRPr="00610B1B">
              <w:rPr>
                <w:noProof/>
                <w:webHidden/>
              </w:rPr>
              <w:fldChar w:fldCharType="separate"/>
            </w:r>
            <w:r w:rsidR="00260629" w:rsidRPr="00610B1B">
              <w:rPr>
                <w:noProof/>
                <w:webHidden/>
              </w:rPr>
              <w:t>336</w:t>
            </w:r>
            <w:r w:rsidR="00260629" w:rsidRPr="00610B1B">
              <w:rPr>
                <w:noProof/>
                <w:webHidden/>
              </w:rPr>
              <w:fldChar w:fldCharType="end"/>
            </w:r>
          </w:hyperlink>
        </w:p>
        <w:p w14:paraId="4FEBC352" w14:textId="0E0A5AEF" w:rsidR="00260629" w:rsidRPr="00610B1B" w:rsidRDefault="002A152C">
          <w:pPr>
            <w:pStyle w:val="TOC3"/>
            <w:rPr>
              <w:noProof/>
              <w:lang w:val="en-US" w:eastAsia="en-US"/>
            </w:rPr>
          </w:pPr>
          <w:hyperlink w:anchor="_Toc83391444" w:history="1">
            <w:r w:rsidR="00260629" w:rsidRPr="00610B1B">
              <w:rPr>
                <w:rStyle w:val="Hyperlink"/>
                <w:rFonts w:ascii="Times New Roman" w:hAnsi="Times New Roman"/>
                <w:noProof/>
                <w:lang w:bidi="hi-IN"/>
              </w:rPr>
              <w:t>7.4.2. Социално-икономически индикатори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_Toc83391444 \h </w:instrText>
            </w:r>
            <w:r w:rsidR="00260629" w:rsidRPr="00610B1B">
              <w:rPr>
                <w:noProof/>
                <w:webHidden/>
              </w:rPr>
            </w:r>
            <w:r w:rsidR="00260629" w:rsidRPr="00610B1B">
              <w:rPr>
                <w:noProof/>
                <w:webHidden/>
              </w:rPr>
              <w:fldChar w:fldCharType="separate"/>
            </w:r>
            <w:r w:rsidR="00260629" w:rsidRPr="00610B1B">
              <w:rPr>
                <w:noProof/>
                <w:webHidden/>
              </w:rPr>
              <w:t>337</w:t>
            </w:r>
            <w:r w:rsidR="00260629" w:rsidRPr="00610B1B">
              <w:rPr>
                <w:noProof/>
                <w:webHidden/>
              </w:rPr>
              <w:fldChar w:fldCharType="end"/>
            </w:r>
          </w:hyperlink>
        </w:p>
        <w:p w14:paraId="22B0FD2E" w14:textId="36929228" w:rsidR="00260629" w:rsidRPr="00610B1B" w:rsidRDefault="002A152C">
          <w:pPr>
            <w:pStyle w:val="TOC3"/>
            <w:rPr>
              <w:noProof/>
              <w:lang w:val="en-US" w:eastAsia="en-US"/>
            </w:rPr>
          </w:pPr>
          <w:hyperlink w:anchor="_Toc83391445" w:history="1">
            <w:r w:rsidR="00260629" w:rsidRPr="00610B1B">
              <w:rPr>
                <w:rStyle w:val="Hyperlink"/>
                <w:rFonts w:ascii="Times New Roman" w:hAnsi="Times New Roman"/>
                <w:noProof/>
                <w:lang w:bidi="hi-IN"/>
              </w:rPr>
              <w:t>7.4.3. Екологични индикатори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_Toc83391445 \h </w:instrText>
            </w:r>
            <w:r w:rsidR="00260629" w:rsidRPr="00610B1B">
              <w:rPr>
                <w:noProof/>
                <w:webHidden/>
              </w:rPr>
            </w:r>
            <w:r w:rsidR="00260629" w:rsidRPr="00610B1B">
              <w:rPr>
                <w:noProof/>
                <w:webHidden/>
              </w:rPr>
              <w:fldChar w:fldCharType="separate"/>
            </w:r>
            <w:r w:rsidR="00260629" w:rsidRPr="00610B1B">
              <w:rPr>
                <w:noProof/>
                <w:webHidden/>
              </w:rPr>
              <w:t>339</w:t>
            </w:r>
            <w:r w:rsidR="00260629" w:rsidRPr="00610B1B">
              <w:rPr>
                <w:noProof/>
                <w:webHidden/>
              </w:rPr>
              <w:fldChar w:fldCharType="end"/>
            </w:r>
          </w:hyperlink>
        </w:p>
        <w:p w14:paraId="7AED7FC3" w14:textId="43BB05D3"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446" w:history="1">
            <w:r w:rsidR="00260629" w:rsidRPr="00610B1B">
              <w:rPr>
                <w:rStyle w:val="Hyperlink"/>
                <w:rFonts w:cs="Times New Roman"/>
                <w:noProof/>
                <w:sz w:val="22"/>
                <w:szCs w:val="22"/>
              </w:rPr>
              <w:t>8. ПУБЛИЧНИ КОНСУЛТАЦИИ И ОБЩЕСТВЕНИ ОБСЪЖДАНИЯ</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_Toc83391446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342</w:t>
            </w:r>
            <w:r w:rsidR="00260629" w:rsidRPr="00610B1B">
              <w:rPr>
                <w:rFonts w:cs="Times New Roman"/>
                <w:noProof/>
                <w:webHidden/>
                <w:sz w:val="22"/>
                <w:szCs w:val="22"/>
              </w:rPr>
              <w:fldChar w:fldCharType="end"/>
            </w:r>
          </w:hyperlink>
        </w:p>
        <w:p w14:paraId="044B4292" w14:textId="2F2038DC" w:rsidR="00260629" w:rsidRPr="00610B1B" w:rsidRDefault="002A152C" w:rsidP="00E8347C">
          <w:pPr>
            <w:pStyle w:val="TOC2"/>
            <w:spacing w:afterLines="60" w:after="144"/>
            <w:rPr>
              <w:rFonts w:eastAsiaTheme="minorEastAsia"/>
              <w:lang w:val="en-US" w:eastAsia="en-US" w:bidi="ar-SA"/>
            </w:rPr>
          </w:pPr>
          <w:hyperlink w:anchor="_Toc83391447" w:history="1">
            <w:r w:rsidR="00260629" w:rsidRPr="00610B1B">
              <w:rPr>
                <w:rStyle w:val="Hyperlink"/>
              </w:rPr>
              <w:t>8.1. Идентифициране на заинтересованите страни</w:t>
            </w:r>
            <w:r w:rsidR="00260629" w:rsidRPr="00610B1B">
              <w:rPr>
                <w:webHidden/>
              </w:rPr>
              <w:tab/>
            </w:r>
            <w:r w:rsidR="00260629" w:rsidRPr="00610B1B">
              <w:rPr>
                <w:webHidden/>
              </w:rPr>
              <w:fldChar w:fldCharType="begin"/>
            </w:r>
            <w:r w:rsidR="00260629" w:rsidRPr="00610B1B">
              <w:rPr>
                <w:webHidden/>
              </w:rPr>
              <w:instrText xml:space="preserve"> PAGEREF _Toc83391447 \h </w:instrText>
            </w:r>
            <w:r w:rsidR="00260629" w:rsidRPr="00610B1B">
              <w:rPr>
                <w:webHidden/>
              </w:rPr>
            </w:r>
            <w:r w:rsidR="00260629" w:rsidRPr="00610B1B">
              <w:rPr>
                <w:webHidden/>
              </w:rPr>
              <w:fldChar w:fldCharType="separate"/>
            </w:r>
            <w:r w:rsidR="00260629" w:rsidRPr="00610B1B">
              <w:rPr>
                <w:webHidden/>
              </w:rPr>
              <w:t>344</w:t>
            </w:r>
            <w:r w:rsidR="00260629" w:rsidRPr="00610B1B">
              <w:rPr>
                <w:webHidden/>
              </w:rPr>
              <w:fldChar w:fldCharType="end"/>
            </w:r>
          </w:hyperlink>
        </w:p>
        <w:p w14:paraId="56458FB6" w14:textId="325F0B28" w:rsidR="00260629" w:rsidRPr="00610B1B" w:rsidRDefault="002A152C" w:rsidP="00E8347C">
          <w:pPr>
            <w:pStyle w:val="TOC2"/>
            <w:spacing w:afterLines="60" w:after="144"/>
            <w:rPr>
              <w:rFonts w:eastAsiaTheme="minorEastAsia"/>
              <w:lang w:val="en-US" w:eastAsia="en-US" w:bidi="ar-SA"/>
            </w:rPr>
          </w:pPr>
          <w:hyperlink w:anchor="_Toc83391448" w:history="1">
            <w:r w:rsidR="00260629" w:rsidRPr="00610B1B">
              <w:rPr>
                <w:rStyle w:val="Hyperlink"/>
              </w:rPr>
              <w:t>8.2. Резултати от проведени дълбочинни интервюта</w:t>
            </w:r>
            <w:r w:rsidR="00260629" w:rsidRPr="00610B1B">
              <w:rPr>
                <w:webHidden/>
              </w:rPr>
              <w:tab/>
            </w:r>
            <w:r w:rsidR="00260629" w:rsidRPr="00610B1B">
              <w:rPr>
                <w:webHidden/>
              </w:rPr>
              <w:fldChar w:fldCharType="begin"/>
            </w:r>
            <w:r w:rsidR="00260629" w:rsidRPr="00610B1B">
              <w:rPr>
                <w:webHidden/>
              </w:rPr>
              <w:instrText xml:space="preserve"> PAGEREF _Toc83391448 \h </w:instrText>
            </w:r>
            <w:r w:rsidR="00260629" w:rsidRPr="00610B1B">
              <w:rPr>
                <w:webHidden/>
              </w:rPr>
            </w:r>
            <w:r w:rsidR="00260629" w:rsidRPr="00610B1B">
              <w:rPr>
                <w:webHidden/>
              </w:rPr>
              <w:fldChar w:fldCharType="separate"/>
            </w:r>
            <w:r w:rsidR="00260629" w:rsidRPr="00610B1B">
              <w:rPr>
                <w:webHidden/>
              </w:rPr>
              <w:t>346</w:t>
            </w:r>
            <w:r w:rsidR="00260629" w:rsidRPr="00610B1B">
              <w:rPr>
                <w:webHidden/>
              </w:rPr>
              <w:fldChar w:fldCharType="end"/>
            </w:r>
          </w:hyperlink>
        </w:p>
        <w:p w14:paraId="45A72D8E" w14:textId="7E2DD0E2" w:rsidR="00260629" w:rsidRPr="00610B1B" w:rsidRDefault="002A152C">
          <w:pPr>
            <w:pStyle w:val="TOC3"/>
            <w:rPr>
              <w:noProof/>
              <w:lang w:val="en-US" w:eastAsia="en-US"/>
            </w:rPr>
          </w:pPr>
          <w:hyperlink w:anchor="_Toc83391449" w:history="1">
            <w:r w:rsidR="00260629" w:rsidRPr="00610B1B">
              <w:rPr>
                <w:rStyle w:val="Hyperlink"/>
                <w:rFonts w:ascii="Times New Roman" w:hAnsi="Times New Roman"/>
                <w:noProof/>
                <w:lang w:bidi="hi-IN"/>
              </w:rPr>
              <w:t>8.2.1. Оценка на настоящата ситуация</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_Toc83391449 \h </w:instrText>
            </w:r>
            <w:r w:rsidR="00260629" w:rsidRPr="00610B1B">
              <w:rPr>
                <w:noProof/>
                <w:webHidden/>
              </w:rPr>
            </w:r>
            <w:r w:rsidR="00260629" w:rsidRPr="00610B1B">
              <w:rPr>
                <w:noProof/>
                <w:webHidden/>
              </w:rPr>
              <w:fldChar w:fldCharType="separate"/>
            </w:r>
            <w:r w:rsidR="00260629" w:rsidRPr="00610B1B">
              <w:rPr>
                <w:noProof/>
                <w:webHidden/>
              </w:rPr>
              <w:t>346</w:t>
            </w:r>
            <w:r w:rsidR="00260629" w:rsidRPr="00610B1B">
              <w:rPr>
                <w:noProof/>
                <w:webHidden/>
              </w:rPr>
              <w:fldChar w:fldCharType="end"/>
            </w:r>
          </w:hyperlink>
        </w:p>
        <w:p w14:paraId="398B84C4" w14:textId="183C1773" w:rsidR="00260629" w:rsidRPr="00610B1B" w:rsidRDefault="002A152C">
          <w:pPr>
            <w:pStyle w:val="TOC3"/>
            <w:rPr>
              <w:noProof/>
              <w:lang w:val="en-US" w:eastAsia="en-US"/>
            </w:rPr>
          </w:pPr>
          <w:hyperlink w:anchor="_Toc83391450" w:history="1">
            <w:r w:rsidR="00260629" w:rsidRPr="00610B1B">
              <w:rPr>
                <w:rStyle w:val="Hyperlink"/>
                <w:rFonts w:ascii="Times New Roman" w:hAnsi="Times New Roman"/>
                <w:noProof/>
                <w:lang w:bidi="hi-IN"/>
              </w:rPr>
              <w:t>8.2.2. Теми, свързани с Морския пространствен план</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_Toc83391450 \h </w:instrText>
            </w:r>
            <w:r w:rsidR="00260629" w:rsidRPr="00610B1B">
              <w:rPr>
                <w:noProof/>
                <w:webHidden/>
              </w:rPr>
            </w:r>
            <w:r w:rsidR="00260629" w:rsidRPr="00610B1B">
              <w:rPr>
                <w:noProof/>
                <w:webHidden/>
              </w:rPr>
              <w:fldChar w:fldCharType="separate"/>
            </w:r>
            <w:r w:rsidR="00260629" w:rsidRPr="00610B1B">
              <w:rPr>
                <w:noProof/>
                <w:webHidden/>
              </w:rPr>
              <w:t>349</w:t>
            </w:r>
            <w:r w:rsidR="00260629" w:rsidRPr="00610B1B">
              <w:rPr>
                <w:noProof/>
                <w:webHidden/>
              </w:rPr>
              <w:fldChar w:fldCharType="end"/>
            </w:r>
          </w:hyperlink>
        </w:p>
        <w:p w14:paraId="3871276C" w14:textId="0CAE35F2" w:rsidR="00260629" w:rsidRPr="00610B1B" w:rsidRDefault="002A152C" w:rsidP="00E8347C">
          <w:pPr>
            <w:pStyle w:val="TOC2"/>
            <w:spacing w:afterLines="60" w:after="144"/>
            <w:rPr>
              <w:rFonts w:eastAsiaTheme="minorEastAsia"/>
              <w:lang w:val="en-US" w:eastAsia="en-US" w:bidi="ar-SA"/>
            </w:rPr>
          </w:pPr>
          <w:hyperlink w:anchor="_Toc83391451" w:history="1">
            <w:r w:rsidR="00260629" w:rsidRPr="00610B1B">
              <w:rPr>
                <w:rStyle w:val="Hyperlink"/>
              </w:rPr>
              <w:t>8.3. Резултати от интердисциплинарен семинар</w:t>
            </w:r>
            <w:r w:rsidR="00260629" w:rsidRPr="00610B1B">
              <w:rPr>
                <w:webHidden/>
              </w:rPr>
              <w:tab/>
            </w:r>
            <w:r w:rsidR="00260629" w:rsidRPr="00610B1B">
              <w:rPr>
                <w:webHidden/>
              </w:rPr>
              <w:fldChar w:fldCharType="begin"/>
            </w:r>
            <w:r w:rsidR="00260629" w:rsidRPr="00610B1B">
              <w:rPr>
                <w:webHidden/>
              </w:rPr>
              <w:instrText xml:space="preserve"> PAGEREF _Toc83391451 \h </w:instrText>
            </w:r>
            <w:r w:rsidR="00260629" w:rsidRPr="00610B1B">
              <w:rPr>
                <w:webHidden/>
              </w:rPr>
            </w:r>
            <w:r w:rsidR="00260629" w:rsidRPr="00610B1B">
              <w:rPr>
                <w:webHidden/>
              </w:rPr>
              <w:fldChar w:fldCharType="separate"/>
            </w:r>
            <w:r w:rsidR="00260629" w:rsidRPr="00610B1B">
              <w:rPr>
                <w:webHidden/>
              </w:rPr>
              <w:t>355</w:t>
            </w:r>
            <w:r w:rsidR="00260629" w:rsidRPr="00610B1B">
              <w:rPr>
                <w:webHidden/>
              </w:rPr>
              <w:fldChar w:fldCharType="end"/>
            </w:r>
          </w:hyperlink>
        </w:p>
        <w:p w14:paraId="68023A5E" w14:textId="5E6E09C0" w:rsidR="00260629" w:rsidRPr="00610B1B" w:rsidRDefault="002A152C" w:rsidP="00E8347C">
          <w:pPr>
            <w:pStyle w:val="TOC2"/>
            <w:spacing w:afterLines="60" w:after="144"/>
            <w:rPr>
              <w:rFonts w:eastAsiaTheme="minorEastAsia"/>
              <w:lang w:val="en-US" w:eastAsia="en-US" w:bidi="ar-SA"/>
            </w:rPr>
          </w:pPr>
          <w:hyperlink w:anchor="_Toc83391452" w:history="1">
            <w:r w:rsidR="00260629" w:rsidRPr="00610B1B">
              <w:rPr>
                <w:rStyle w:val="Hyperlink"/>
              </w:rPr>
              <w:t>8.4. Публични консултации и обществени обсъждания</w:t>
            </w:r>
            <w:r w:rsidR="00260629" w:rsidRPr="00610B1B">
              <w:rPr>
                <w:webHidden/>
              </w:rPr>
              <w:tab/>
            </w:r>
            <w:r w:rsidR="00260629" w:rsidRPr="00610B1B">
              <w:rPr>
                <w:webHidden/>
              </w:rPr>
              <w:fldChar w:fldCharType="begin"/>
            </w:r>
            <w:r w:rsidR="00260629" w:rsidRPr="00610B1B">
              <w:rPr>
                <w:webHidden/>
              </w:rPr>
              <w:instrText xml:space="preserve"> PAGEREF _Toc83391452 \h </w:instrText>
            </w:r>
            <w:r w:rsidR="00260629" w:rsidRPr="00610B1B">
              <w:rPr>
                <w:webHidden/>
              </w:rPr>
            </w:r>
            <w:r w:rsidR="00260629" w:rsidRPr="00610B1B">
              <w:rPr>
                <w:webHidden/>
              </w:rPr>
              <w:fldChar w:fldCharType="separate"/>
            </w:r>
            <w:r w:rsidR="00260629" w:rsidRPr="00610B1B">
              <w:rPr>
                <w:webHidden/>
              </w:rPr>
              <w:t>358</w:t>
            </w:r>
            <w:r w:rsidR="00260629" w:rsidRPr="00610B1B">
              <w:rPr>
                <w:webHidden/>
              </w:rPr>
              <w:fldChar w:fldCharType="end"/>
            </w:r>
          </w:hyperlink>
        </w:p>
        <w:p w14:paraId="388603B6" w14:textId="0A69A77E"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453" w:history="1">
            <w:r w:rsidR="00260629" w:rsidRPr="00610B1B">
              <w:rPr>
                <w:rStyle w:val="Hyperlink"/>
                <w:rFonts w:cs="Times New Roman"/>
                <w:noProof/>
                <w:sz w:val="22"/>
                <w:szCs w:val="22"/>
              </w:rPr>
              <w:t>9. ЗАКЛЮЧЕНИЕ</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_Toc83391453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360</w:t>
            </w:r>
            <w:r w:rsidR="00260629" w:rsidRPr="00610B1B">
              <w:rPr>
                <w:rFonts w:cs="Times New Roman"/>
                <w:noProof/>
                <w:webHidden/>
                <w:sz w:val="22"/>
                <w:szCs w:val="22"/>
              </w:rPr>
              <w:fldChar w:fldCharType="end"/>
            </w:r>
          </w:hyperlink>
        </w:p>
        <w:p w14:paraId="0849359C" w14:textId="526B985F"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454" w:history="1">
            <w:r w:rsidR="00260629" w:rsidRPr="00610B1B">
              <w:rPr>
                <w:rStyle w:val="Hyperlink"/>
                <w:rFonts w:cs="Times New Roman"/>
                <w:noProof/>
                <w:sz w:val="22"/>
                <w:szCs w:val="22"/>
              </w:rPr>
              <w:t>10. ИЗПОЛЗВАНИ ТЕРМИНИ</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_Toc83391454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361</w:t>
            </w:r>
            <w:r w:rsidR="00260629" w:rsidRPr="00610B1B">
              <w:rPr>
                <w:rFonts w:cs="Times New Roman"/>
                <w:noProof/>
                <w:webHidden/>
                <w:sz w:val="22"/>
                <w:szCs w:val="22"/>
              </w:rPr>
              <w:fldChar w:fldCharType="end"/>
            </w:r>
          </w:hyperlink>
        </w:p>
        <w:p w14:paraId="7B9A6900" w14:textId="21BDBE9E"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455" w:history="1">
            <w:r w:rsidR="00260629" w:rsidRPr="00610B1B">
              <w:rPr>
                <w:rStyle w:val="Hyperlink"/>
                <w:rFonts w:cs="Times New Roman"/>
                <w:noProof/>
                <w:sz w:val="22"/>
                <w:szCs w:val="22"/>
              </w:rPr>
              <w:t>11. ИЗТОЧНИЦИ НА ИНФОРМАЦИЯ</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_Toc83391455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363</w:t>
            </w:r>
            <w:r w:rsidR="00260629" w:rsidRPr="00610B1B">
              <w:rPr>
                <w:rFonts w:cs="Times New Roman"/>
                <w:noProof/>
                <w:webHidden/>
                <w:sz w:val="22"/>
                <w:szCs w:val="22"/>
              </w:rPr>
              <w:fldChar w:fldCharType="end"/>
            </w:r>
          </w:hyperlink>
        </w:p>
        <w:p w14:paraId="6DBB2234" w14:textId="33B8C6CA" w:rsidR="00260629" w:rsidRPr="00610B1B" w:rsidRDefault="002A152C" w:rsidP="00E8347C">
          <w:pPr>
            <w:pStyle w:val="TOC2"/>
            <w:spacing w:afterLines="60" w:after="144"/>
            <w:rPr>
              <w:rFonts w:eastAsiaTheme="minorEastAsia"/>
              <w:lang w:val="en-US" w:eastAsia="en-US" w:bidi="ar-SA"/>
            </w:rPr>
          </w:pPr>
          <w:hyperlink w:anchor="_Toc83391456" w:history="1">
            <w:r w:rsidR="00260629" w:rsidRPr="00610B1B">
              <w:rPr>
                <w:rStyle w:val="Hyperlink"/>
              </w:rPr>
              <w:t>11.1. Международни документи</w:t>
            </w:r>
            <w:r w:rsidR="00260629" w:rsidRPr="00610B1B">
              <w:rPr>
                <w:webHidden/>
              </w:rPr>
              <w:tab/>
            </w:r>
            <w:r w:rsidR="00260629" w:rsidRPr="00610B1B">
              <w:rPr>
                <w:webHidden/>
              </w:rPr>
              <w:fldChar w:fldCharType="begin"/>
            </w:r>
            <w:r w:rsidR="00260629" w:rsidRPr="00610B1B">
              <w:rPr>
                <w:webHidden/>
              </w:rPr>
              <w:instrText xml:space="preserve"> PAGEREF _Toc83391456 \h </w:instrText>
            </w:r>
            <w:r w:rsidR="00260629" w:rsidRPr="00610B1B">
              <w:rPr>
                <w:webHidden/>
              </w:rPr>
            </w:r>
            <w:r w:rsidR="00260629" w:rsidRPr="00610B1B">
              <w:rPr>
                <w:webHidden/>
              </w:rPr>
              <w:fldChar w:fldCharType="separate"/>
            </w:r>
            <w:r w:rsidR="00260629" w:rsidRPr="00610B1B">
              <w:rPr>
                <w:webHidden/>
              </w:rPr>
              <w:t>363</w:t>
            </w:r>
            <w:r w:rsidR="00260629" w:rsidRPr="00610B1B">
              <w:rPr>
                <w:webHidden/>
              </w:rPr>
              <w:fldChar w:fldCharType="end"/>
            </w:r>
          </w:hyperlink>
        </w:p>
        <w:p w14:paraId="3F1C12D0" w14:textId="7A962CA3" w:rsidR="00260629" w:rsidRPr="00610B1B" w:rsidRDefault="002A152C" w:rsidP="00E8347C">
          <w:pPr>
            <w:pStyle w:val="TOC2"/>
            <w:spacing w:afterLines="60" w:after="144"/>
            <w:rPr>
              <w:rFonts w:eastAsiaTheme="minorEastAsia"/>
              <w:lang w:val="en-US" w:eastAsia="en-US" w:bidi="ar-SA"/>
            </w:rPr>
          </w:pPr>
          <w:hyperlink w:anchor="_Toc83391457" w:history="1">
            <w:r w:rsidR="00260629" w:rsidRPr="00610B1B">
              <w:rPr>
                <w:rStyle w:val="Hyperlink"/>
              </w:rPr>
              <w:t>11.2. Документи на Европейския съюз</w:t>
            </w:r>
            <w:r w:rsidR="00260629" w:rsidRPr="00610B1B">
              <w:rPr>
                <w:webHidden/>
              </w:rPr>
              <w:tab/>
            </w:r>
            <w:r w:rsidR="00260629" w:rsidRPr="00610B1B">
              <w:rPr>
                <w:webHidden/>
              </w:rPr>
              <w:fldChar w:fldCharType="begin"/>
            </w:r>
            <w:r w:rsidR="00260629" w:rsidRPr="00610B1B">
              <w:rPr>
                <w:webHidden/>
              </w:rPr>
              <w:instrText xml:space="preserve"> PAGEREF _Toc83391457 \h </w:instrText>
            </w:r>
            <w:r w:rsidR="00260629" w:rsidRPr="00610B1B">
              <w:rPr>
                <w:webHidden/>
              </w:rPr>
            </w:r>
            <w:r w:rsidR="00260629" w:rsidRPr="00610B1B">
              <w:rPr>
                <w:webHidden/>
              </w:rPr>
              <w:fldChar w:fldCharType="separate"/>
            </w:r>
            <w:r w:rsidR="00260629" w:rsidRPr="00610B1B">
              <w:rPr>
                <w:webHidden/>
              </w:rPr>
              <w:t>364</w:t>
            </w:r>
            <w:r w:rsidR="00260629" w:rsidRPr="00610B1B">
              <w:rPr>
                <w:webHidden/>
              </w:rPr>
              <w:fldChar w:fldCharType="end"/>
            </w:r>
          </w:hyperlink>
        </w:p>
        <w:p w14:paraId="330A7B06" w14:textId="0F7BB104" w:rsidR="00260629" w:rsidRPr="00610B1B" w:rsidRDefault="002A152C" w:rsidP="00E8347C">
          <w:pPr>
            <w:pStyle w:val="TOC2"/>
            <w:spacing w:afterLines="60" w:after="144"/>
            <w:rPr>
              <w:rFonts w:eastAsiaTheme="minorEastAsia"/>
              <w:lang w:val="en-US" w:eastAsia="en-US" w:bidi="ar-SA"/>
            </w:rPr>
          </w:pPr>
          <w:hyperlink w:anchor="_Toc83391458" w:history="1">
            <w:r w:rsidR="00260629" w:rsidRPr="00610B1B">
              <w:rPr>
                <w:rStyle w:val="Hyperlink"/>
              </w:rPr>
              <w:t>11.3. Национални законодателни документи</w:t>
            </w:r>
            <w:r w:rsidR="00260629" w:rsidRPr="00610B1B">
              <w:rPr>
                <w:webHidden/>
              </w:rPr>
              <w:tab/>
            </w:r>
            <w:r w:rsidR="00260629" w:rsidRPr="00610B1B">
              <w:rPr>
                <w:webHidden/>
              </w:rPr>
              <w:fldChar w:fldCharType="begin"/>
            </w:r>
            <w:r w:rsidR="00260629" w:rsidRPr="00610B1B">
              <w:rPr>
                <w:webHidden/>
              </w:rPr>
              <w:instrText xml:space="preserve"> PAGEREF _Toc83391458 \h </w:instrText>
            </w:r>
            <w:r w:rsidR="00260629" w:rsidRPr="00610B1B">
              <w:rPr>
                <w:webHidden/>
              </w:rPr>
            </w:r>
            <w:r w:rsidR="00260629" w:rsidRPr="00610B1B">
              <w:rPr>
                <w:webHidden/>
              </w:rPr>
              <w:fldChar w:fldCharType="separate"/>
            </w:r>
            <w:r w:rsidR="00260629" w:rsidRPr="00610B1B">
              <w:rPr>
                <w:webHidden/>
              </w:rPr>
              <w:t>368</w:t>
            </w:r>
            <w:r w:rsidR="00260629" w:rsidRPr="00610B1B">
              <w:rPr>
                <w:webHidden/>
              </w:rPr>
              <w:fldChar w:fldCharType="end"/>
            </w:r>
          </w:hyperlink>
        </w:p>
        <w:p w14:paraId="341E5744" w14:textId="5534A0AD" w:rsidR="00260629" w:rsidRPr="00610B1B" w:rsidRDefault="002A152C" w:rsidP="00E8347C">
          <w:pPr>
            <w:pStyle w:val="TOC2"/>
            <w:spacing w:afterLines="60" w:after="144"/>
            <w:rPr>
              <w:rFonts w:eastAsiaTheme="minorEastAsia"/>
              <w:lang w:val="en-US" w:eastAsia="en-US" w:bidi="ar-SA"/>
            </w:rPr>
          </w:pPr>
          <w:hyperlink w:anchor="_Toc83391459" w:history="1">
            <w:r w:rsidR="00260629" w:rsidRPr="00610B1B">
              <w:rPr>
                <w:rStyle w:val="Hyperlink"/>
              </w:rPr>
              <w:t>11.4. Програмни и стратeгически документи</w:t>
            </w:r>
            <w:r w:rsidR="00260629" w:rsidRPr="00610B1B">
              <w:rPr>
                <w:webHidden/>
              </w:rPr>
              <w:tab/>
            </w:r>
            <w:r w:rsidR="00260629" w:rsidRPr="00610B1B">
              <w:rPr>
                <w:webHidden/>
              </w:rPr>
              <w:fldChar w:fldCharType="begin"/>
            </w:r>
            <w:r w:rsidR="00260629" w:rsidRPr="00610B1B">
              <w:rPr>
                <w:webHidden/>
              </w:rPr>
              <w:instrText xml:space="preserve"> PAGEREF _Toc83391459 \h </w:instrText>
            </w:r>
            <w:r w:rsidR="00260629" w:rsidRPr="00610B1B">
              <w:rPr>
                <w:webHidden/>
              </w:rPr>
            </w:r>
            <w:r w:rsidR="00260629" w:rsidRPr="00610B1B">
              <w:rPr>
                <w:webHidden/>
              </w:rPr>
              <w:fldChar w:fldCharType="separate"/>
            </w:r>
            <w:r w:rsidR="00260629" w:rsidRPr="00610B1B">
              <w:rPr>
                <w:webHidden/>
              </w:rPr>
              <w:t>370</w:t>
            </w:r>
            <w:r w:rsidR="00260629" w:rsidRPr="00610B1B">
              <w:rPr>
                <w:webHidden/>
              </w:rPr>
              <w:fldChar w:fldCharType="end"/>
            </w:r>
          </w:hyperlink>
        </w:p>
        <w:p w14:paraId="0B06AD7D" w14:textId="363399C5" w:rsidR="00260629" w:rsidRPr="00610B1B" w:rsidRDefault="002A152C" w:rsidP="00E8347C">
          <w:pPr>
            <w:pStyle w:val="TOC2"/>
            <w:spacing w:afterLines="60" w:after="144"/>
            <w:rPr>
              <w:rFonts w:eastAsiaTheme="minorEastAsia"/>
              <w:lang w:val="en-US" w:eastAsia="en-US" w:bidi="ar-SA"/>
            </w:rPr>
          </w:pPr>
          <w:hyperlink w:anchor="_Toc83391460" w:history="1">
            <w:r w:rsidR="00260629" w:rsidRPr="00610B1B">
              <w:rPr>
                <w:rStyle w:val="Hyperlink"/>
              </w:rPr>
              <w:t>11.5. Други</w:t>
            </w:r>
            <w:r w:rsidR="00260629" w:rsidRPr="00610B1B">
              <w:rPr>
                <w:webHidden/>
              </w:rPr>
              <w:tab/>
            </w:r>
            <w:r w:rsidR="00260629" w:rsidRPr="00610B1B">
              <w:rPr>
                <w:webHidden/>
              </w:rPr>
              <w:fldChar w:fldCharType="begin"/>
            </w:r>
            <w:r w:rsidR="00260629" w:rsidRPr="00610B1B">
              <w:rPr>
                <w:webHidden/>
              </w:rPr>
              <w:instrText xml:space="preserve"> PAGEREF _Toc83391460 \h </w:instrText>
            </w:r>
            <w:r w:rsidR="00260629" w:rsidRPr="00610B1B">
              <w:rPr>
                <w:webHidden/>
              </w:rPr>
            </w:r>
            <w:r w:rsidR="00260629" w:rsidRPr="00610B1B">
              <w:rPr>
                <w:webHidden/>
              </w:rPr>
              <w:fldChar w:fldCharType="separate"/>
            </w:r>
            <w:r w:rsidR="00260629" w:rsidRPr="00610B1B">
              <w:rPr>
                <w:webHidden/>
              </w:rPr>
              <w:t>374</w:t>
            </w:r>
            <w:r w:rsidR="00260629" w:rsidRPr="00610B1B">
              <w:rPr>
                <w:webHidden/>
              </w:rPr>
              <w:fldChar w:fldCharType="end"/>
            </w:r>
          </w:hyperlink>
        </w:p>
        <w:p w14:paraId="1A3A4976" w14:textId="18C5CF07" w:rsidR="00260629" w:rsidRPr="00610B1B" w:rsidRDefault="002A152C" w:rsidP="00E8347C">
          <w:pPr>
            <w:pStyle w:val="TOC2"/>
            <w:spacing w:afterLines="60" w:after="144"/>
            <w:rPr>
              <w:rFonts w:eastAsiaTheme="minorEastAsia"/>
              <w:lang w:val="en-US" w:eastAsia="en-US" w:bidi="ar-SA"/>
            </w:rPr>
          </w:pPr>
          <w:hyperlink w:anchor="_Toc83391461" w:history="1">
            <w:r w:rsidR="00260629" w:rsidRPr="00610B1B">
              <w:rPr>
                <w:rStyle w:val="Hyperlink"/>
              </w:rPr>
              <w:t>11.6. Публикации</w:t>
            </w:r>
            <w:r w:rsidR="00260629" w:rsidRPr="00610B1B">
              <w:rPr>
                <w:webHidden/>
              </w:rPr>
              <w:tab/>
            </w:r>
            <w:r w:rsidR="00260629" w:rsidRPr="00610B1B">
              <w:rPr>
                <w:webHidden/>
              </w:rPr>
              <w:fldChar w:fldCharType="begin"/>
            </w:r>
            <w:r w:rsidR="00260629" w:rsidRPr="00610B1B">
              <w:rPr>
                <w:webHidden/>
              </w:rPr>
              <w:instrText xml:space="preserve"> PAGEREF _Toc83391461 \h </w:instrText>
            </w:r>
            <w:r w:rsidR="00260629" w:rsidRPr="00610B1B">
              <w:rPr>
                <w:webHidden/>
              </w:rPr>
            </w:r>
            <w:r w:rsidR="00260629" w:rsidRPr="00610B1B">
              <w:rPr>
                <w:webHidden/>
              </w:rPr>
              <w:fldChar w:fldCharType="separate"/>
            </w:r>
            <w:r w:rsidR="00260629" w:rsidRPr="00610B1B">
              <w:rPr>
                <w:webHidden/>
              </w:rPr>
              <w:t>375</w:t>
            </w:r>
            <w:r w:rsidR="00260629" w:rsidRPr="00610B1B">
              <w:rPr>
                <w:webHidden/>
              </w:rPr>
              <w:fldChar w:fldCharType="end"/>
            </w:r>
          </w:hyperlink>
        </w:p>
        <w:p w14:paraId="4920FE6C" w14:textId="74E7C92E" w:rsidR="00260629" w:rsidRPr="00610B1B" w:rsidRDefault="002A152C" w:rsidP="00E8347C">
          <w:pPr>
            <w:pStyle w:val="TOC2"/>
            <w:spacing w:afterLines="60" w:after="144"/>
            <w:rPr>
              <w:rFonts w:eastAsiaTheme="minorEastAsia"/>
              <w:lang w:val="en-US" w:eastAsia="en-US" w:bidi="ar-SA"/>
            </w:rPr>
          </w:pPr>
          <w:hyperlink w:anchor="_Toc83391462" w:history="1">
            <w:r w:rsidR="00260629" w:rsidRPr="00610B1B">
              <w:rPr>
                <w:rStyle w:val="Hyperlink"/>
              </w:rPr>
              <w:t>11.7. Интернет</w:t>
            </w:r>
            <w:r w:rsidR="00260629" w:rsidRPr="00610B1B">
              <w:rPr>
                <w:webHidden/>
              </w:rPr>
              <w:tab/>
            </w:r>
            <w:r w:rsidR="00260629" w:rsidRPr="00610B1B">
              <w:rPr>
                <w:webHidden/>
              </w:rPr>
              <w:fldChar w:fldCharType="begin"/>
            </w:r>
            <w:r w:rsidR="00260629" w:rsidRPr="00610B1B">
              <w:rPr>
                <w:webHidden/>
              </w:rPr>
              <w:instrText xml:space="preserve"> PAGEREF _Toc83391462 \h </w:instrText>
            </w:r>
            <w:r w:rsidR="00260629" w:rsidRPr="00610B1B">
              <w:rPr>
                <w:webHidden/>
              </w:rPr>
            </w:r>
            <w:r w:rsidR="00260629" w:rsidRPr="00610B1B">
              <w:rPr>
                <w:webHidden/>
              </w:rPr>
              <w:fldChar w:fldCharType="separate"/>
            </w:r>
            <w:r w:rsidR="00260629" w:rsidRPr="00610B1B">
              <w:rPr>
                <w:webHidden/>
              </w:rPr>
              <w:t>392</w:t>
            </w:r>
            <w:r w:rsidR="00260629" w:rsidRPr="00610B1B">
              <w:rPr>
                <w:webHidden/>
              </w:rPr>
              <w:fldChar w:fldCharType="end"/>
            </w:r>
          </w:hyperlink>
        </w:p>
        <w:p w14:paraId="11CD44D0" w14:textId="4DF1D591" w:rsidR="00260629" w:rsidRPr="00610B1B" w:rsidRDefault="002A152C" w:rsidP="00E8347C">
          <w:pPr>
            <w:pStyle w:val="TOC1"/>
            <w:tabs>
              <w:tab w:val="right" w:leader="dot" w:pos="9017"/>
            </w:tabs>
            <w:spacing w:afterLines="60" w:after="144"/>
            <w:rPr>
              <w:rFonts w:eastAsiaTheme="minorEastAsia" w:cs="Times New Roman"/>
              <w:noProof/>
              <w:sz w:val="22"/>
              <w:szCs w:val="22"/>
              <w:lang w:val="en-US" w:eastAsia="en-US" w:bidi="ar-SA"/>
            </w:rPr>
          </w:pPr>
          <w:hyperlink w:anchor="_Toc83391463" w:history="1">
            <w:r w:rsidR="00260629" w:rsidRPr="00610B1B">
              <w:rPr>
                <w:rStyle w:val="Hyperlink"/>
                <w:rFonts w:cs="Times New Roman"/>
                <w:noProof/>
                <w:sz w:val="22"/>
                <w:szCs w:val="22"/>
              </w:rPr>
              <w:t>СПИСЪК НА ЕКСПЕРТИТЕ ЗА РАЗРАБОТВАНЕ НА МППРБ</w:t>
            </w:r>
            <w:r w:rsidR="00260629" w:rsidRPr="00610B1B">
              <w:rPr>
                <w:rFonts w:cs="Times New Roman"/>
                <w:noProof/>
                <w:webHidden/>
                <w:sz w:val="22"/>
                <w:szCs w:val="22"/>
              </w:rPr>
              <w:tab/>
            </w:r>
            <w:r w:rsidR="00260629" w:rsidRPr="00610B1B">
              <w:rPr>
                <w:rFonts w:cs="Times New Roman"/>
                <w:noProof/>
                <w:webHidden/>
                <w:sz w:val="22"/>
                <w:szCs w:val="22"/>
              </w:rPr>
              <w:fldChar w:fldCharType="begin"/>
            </w:r>
            <w:r w:rsidR="00260629" w:rsidRPr="00610B1B">
              <w:rPr>
                <w:rFonts w:cs="Times New Roman"/>
                <w:noProof/>
                <w:webHidden/>
                <w:sz w:val="22"/>
                <w:szCs w:val="22"/>
              </w:rPr>
              <w:instrText xml:space="preserve"> PAGEREF _Toc83391463 \h </w:instrText>
            </w:r>
            <w:r w:rsidR="00260629" w:rsidRPr="00610B1B">
              <w:rPr>
                <w:rFonts w:cs="Times New Roman"/>
                <w:noProof/>
                <w:webHidden/>
                <w:sz w:val="22"/>
                <w:szCs w:val="22"/>
              </w:rPr>
            </w:r>
            <w:r w:rsidR="00260629" w:rsidRPr="00610B1B">
              <w:rPr>
                <w:rFonts w:cs="Times New Roman"/>
                <w:noProof/>
                <w:webHidden/>
                <w:sz w:val="22"/>
                <w:szCs w:val="22"/>
              </w:rPr>
              <w:fldChar w:fldCharType="separate"/>
            </w:r>
            <w:r w:rsidR="00260629" w:rsidRPr="00610B1B">
              <w:rPr>
                <w:rFonts w:cs="Times New Roman"/>
                <w:noProof/>
                <w:webHidden/>
                <w:sz w:val="22"/>
                <w:szCs w:val="22"/>
              </w:rPr>
              <w:t>398</w:t>
            </w:r>
            <w:r w:rsidR="00260629" w:rsidRPr="00610B1B">
              <w:rPr>
                <w:rFonts w:cs="Times New Roman"/>
                <w:noProof/>
                <w:webHidden/>
                <w:sz w:val="22"/>
                <w:szCs w:val="22"/>
              </w:rPr>
              <w:fldChar w:fldCharType="end"/>
            </w:r>
          </w:hyperlink>
        </w:p>
        <w:p w14:paraId="33E0127A" w14:textId="0AD58F4C" w:rsidR="007023E9" w:rsidRPr="00610B1B" w:rsidRDefault="00931C12" w:rsidP="00E8347C">
          <w:pPr>
            <w:pStyle w:val="TOC2"/>
            <w:spacing w:afterLines="60" w:after="144" w:line="240" w:lineRule="auto"/>
            <w:rPr>
              <w:noProof w:val="0"/>
            </w:rPr>
          </w:pPr>
          <w:r w:rsidRPr="00610B1B">
            <w:rPr>
              <w:noProof w:val="0"/>
            </w:rPr>
            <w:fldChar w:fldCharType="end"/>
          </w:r>
          <w:r w:rsidR="007023E9" w:rsidRPr="00610B1B">
            <w:rPr>
              <w:noProof w:val="0"/>
            </w:rPr>
            <w:br w:type="page"/>
          </w:r>
        </w:p>
      </w:sdtContent>
    </w:sdt>
    <w:p w14:paraId="31BCD601" w14:textId="5D9844E7" w:rsidR="00EC7555" w:rsidRPr="00610B1B" w:rsidRDefault="0026507E" w:rsidP="00727372">
      <w:pPr>
        <w:pStyle w:val="Heading1"/>
        <w:spacing w:before="0" w:after="120" w:line="276" w:lineRule="auto"/>
        <w:ind w:right="-153"/>
        <w:rPr>
          <w:rFonts w:cs="Times New Roman"/>
          <w:sz w:val="24"/>
          <w:szCs w:val="24"/>
        </w:rPr>
      </w:pPr>
      <w:bookmarkStart w:id="3" w:name="_Toc83391346"/>
      <w:r w:rsidRPr="00610B1B">
        <w:rPr>
          <w:rFonts w:cs="Times New Roman"/>
        </w:rPr>
        <w:lastRenderedPageBreak/>
        <w:t>СЪКРАЩЕНИЯ</w:t>
      </w:r>
      <w:bookmarkEnd w:id="3"/>
    </w:p>
    <w:p w14:paraId="2ACC0448" w14:textId="792C7A0D" w:rsidR="00240F11" w:rsidRPr="00610B1B" w:rsidRDefault="00240F11"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АГКК</w:t>
      </w:r>
      <w:r w:rsidRPr="00610B1B">
        <w:rPr>
          <w:rFonts w:ascii="Times New Roman" w:hAnsi="Times New Roman" w:cs="Times New Roman"/>
          <w:b/>
          <w:sz w:val="24"/>
          <w:szCs w:val="24"/>
          <w:lang w:val="bg-BG"/>
        </w:rPr>
        <w:tab/>
      </w:r>
      <w:r w:rsidRPr="00610B1B">
        <w:rPr>
          <w:rFonts w:ascii="Times New Roman" w:hAnsi="Times New Roman" w:cs="Times New Roman"/>
          <w:b/>
          <w:sz w:val="24"/>
          <w:szCs w:val="24"/>
          <w:lang w:val="bg-BG"/>
        </w:rPr>
        <w:tab/>
      </w:r>
      <w:r w:rsidR="00532AF9"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Агенция по геодезия, кадастър и картография</w:t>
      </w:r>
    </w:p>
    <w:p w14:paraId="20AFE1B7" w14:textId="3A535051" w:rsidR="0026507E" w:rsidRPr="00610B1B" w:rsidRDefault="0026507E" w:rsidP="00D32D6A">
      <w:pPr>
        <w:spacing w:after="120"/>
        <w:ind w:right="-153"/>
        <w:rPr>
          <w:rFonts w:ascii="Times New Roman" w:hAnsi="Times New Roman" w:cs="Times New Roman"/>
          <w:b/>
          <w:sz w:val="24"/>
          <w:szCs w:val="24"/>
          <w:lang w:val="bg-BG"/>
        </w:rPr>
      </w:pPr>
      <w:r w:rsidRPr="00610B1B">
        <w:rPr>
          <w:rFonts w:ascii="Times New Roman" w:hAnsi="Times New Roman" w:cs="Times New Roman"/>
          <w:b/>
          <w:sz w:val="24"/>
          <w:szCs w:val="24"/>
          <w:lang w:val="bg-BG"/>
        </w:rPr>
        <w:t>БАБХ</w:t>
      </w:r>
      <w:r w:rsidRPr="00610B1B">
        <w:rPr>
          <w:rFonts w:ascii="Times New Roman" w:hAnsi="Times New Roman" w:cs="Times New Roman"/>
          <w:b/>
          <w:sz w:val="24"/>
          <w:szCs w:val="24"/>
          <w:lang w:val="bg-BG"/>
        </w:rPr>
        <w:tab/>
      </w:r>
      <w:r w:rsidRPr="00610B1B">
        <w:rPr>
          <w:rFonts w:ascii="Times New Roman" w:hAnsi="Times New Roman" w:cs="Times New Roman"/>
          <w:b/>
          <w:sz w:val="24"/>
          <w:szCs w:val="24"/>
          <w:lang w:val="bg-BG"/>
        </w:rPr>
        <w:tab/>
      </w:r>
      <w:r w:rsidR="00532AF9"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Българска агенция по безопасност на храните</w:t>
      </w:r>
    </w:p>
    <w:p w14:paraId="1672F60F" w14:textId="293CF630" w:rsidR="0026507E" w:rsidRPr="00610B1B" w:rsidRDefault="0026507E" w:rsidP="00D32D6A">
      <w:pPr>
        <w:spacing w:after="120"/>
        <w:ind w:right="-153"/>
        <w:rPr>
          <w:rFonts w:ascii="Times New Roman" w:hAnsi="Times New Roman" w:cs="Times New Roman"/>
          <w:b/>
          <w:sz w:val="24"/>
          <w:szCs w:val="24"/>
          <w:lang w:val="bg-BG"/>
        </w:rPr>
      </w:pPr>
      <w:r w:rsidRPr="00610B1B">
        <w:rPr>
          <w:rFonts w:ascii="Times New Roman" w:hAnsi="Times New Roman" w:cs="Times New Roman"/>
          <w:b/>
          <w:sz w:val="24"/>
          <w:szCs w:val="24"/>
          <w:lang w:val="bg-BG"/>
        </w:rPr>
        <w:t>БВП</w:t>
      </w:r>
      <w:r w:rsidRPr="00610B1B">
        <w:rPr>
          <w:rFonts w:ascii="Times New Roman" w:hAnsi="Times New Roman" w:cs="Times New Roman"/>
          <w:b/>
          <w:sz w:val="24"/>
          <w:szCs w:val="24"/>
          <w:lang w:val="bg-BG"/>
        </w:rPr>
        <w:tab/>
      </w:r>
      <w:r w:rsidRPr="00610B1B">
        <w:rPr>
          <w:rFonts w:ascii="Times New Roman" w:hAnsi="Times New Roman" w:cs="Times New Roman"/>
          <w:b/>
          <w:sz w:val="24"/>
          <w:szCs w:val="24"/>
          <w:lang w:val="bg-BG"/>
        </w:rPr>
        <w:tab/>
      </w:r>
      <w:r w:rsidR="00532AF9"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Брутен вътрешен продукт</w:t>
      </w:r>
    </w:p>
    <w:p w14:paraId="5356695A" w14:textId="22BD6336" w:rsidR="0026507E" w:rsidRPr="00610B1B" w:rsidRDefault="0026507E"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БДС</w:t>
      </w:r>
      <w:r w:rsidRPr="00610B1B">
        <w:rPr>
          <w:rFonts w:ascii="Times New Roman" w:hAnsi="Times New Roman" w:cs="Times New Roman"/>
          <w:b/>
          <w:sz w:val="24"/>
          <w:szCs w:val="24"/>
          <w:lang w:val="bg-BG"/>
        </w:rPr>
        <w:tab/>
      </w:r>
      <w:r w:rsidRPr="00610B1B">
        <w:rPr>
          <w:rFonts w:ascii="Times New Roman" w:hAnsi="Times New Roman" w:cs="Times New Roman"/>
          <w:b/>
          <w:sz w:val="24"/>
          <w:szCs w:val="24"/>
          <w:lang w:val="bg-BG"/>
        </w:rPr>
        <w:tab/>
      </w:r>
      <w:r w:rsidR="00532AF9"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Брутна добавена стойност</w:t>
      </w:r>
    </w:p>
    <w:p w14:paraId="35147B9C" w14:textId="5693C4F0" w:rsidR="0026507E" w:rsidRPr="00610B1B" w:rsidRDefault="0026507E"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БДЧР</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532AF9"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Басейнова Дирекция „Черноморски район“</w:t>
      </w:r>
    </w:p>
    <w:p w14:paraId="712C81A3" w14:textId="7DF71F79" w:rsidR="00D551EE" w:rsidRPr="00610B1B" w:rsidRDefault="00D551EE" w:rsidP="00D32D6A">
      <w:pPr>
        <w:spacing w:after="120"/>
        <w:ind w:right="-153"/>
        <w:rPr>
          <w:rFonts w:ascii="Times New Roman" w:hAnsi="Times New Roman" w:cs="Times New Roman"/>
          <w:b/>
          <w:sz w:val="24"/>
          <w:szCs w:val="24"/>
          <w:lang w:val="bg-BG"/>
        </w:rPr>
      </w:pPr>
      <w:r w:rsidRPr="00610B1B">
        <w:rPr>
          <w:rFonts w:ascii="Times New Roman" w:hAnsi="Times New Roman" w:cs="Times New Roman"/>
          <w:b/>
          <w:sz w:val="24"/>
          <w:szCs w:val="24"/>
          <w:lang w:val="bg-BG"/>
        </w:rPr>
        <w:t>БЕК</w:t>
      </w:r>
      <w:r w:rsidRPr="00610B1B">
        <w:rPr>
          <w:rFonts w:ascii="Times New Roman" w:hAnsi="Times New Roman" w:cs="Times New Roman"/>
          <w:b/>
          <w:sz w:val="24"/>
          <w:szCs w:val="24"/>
          <w:lang w:val="bg-BG"/>
        </w:rPr>
        <w:tab/>
      </w:r>
      <w:r w:rsidRPr="00610B1B">
        <w:rPr>
          <w:rFonts w:ascii="Times New Roman" w:hAnsi="Times New Roman" w:cs="Times New Roman"/>
          <w:b/>
          <w:sz w:val="24"/>
          <w:szCs w:val="24"/>
          <w:lang w:val="bg-BG"/>
        </w:rPr>
        <w:tab/>
      </w:r>
      <w:r w:rsidR="00532AF9"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Биологични елементи за качество</w:t>
      </w:r>
    </w:p>
    <w:p w14:paraId="689B1A54" w14:textId="0C7F6191" w:rsidR="0026507E" w:rsidRPr="00610B1B" w:rsidRDefault="0026507E"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БКШ</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ab/>
      </w:r>
      <w:r w:rsidR="00532AF9"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Български континентален шелф</w:t>
      </w:r>
    </w:p>
    <w:p w14:paraId="214DFDA1" w14:textId="0DCEADDA" w:rsidR="0026507E" w:rsidRPr="00610B1B" w:rsidRDefault="0026507E"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БМК</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532AF9"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Българска морска камара</w:t>
      </w:r>
    </w:p>
    <w:p w14:paraId="711C0586" w14:textId="38749D8F" w:rsidR="0026507E" w:rsidRPr="00610B1B" w:rsidRDefault="0026507E" w:rsidP="00D32D6A">
      <w:pPr>
        <w:spacing w:after="120"/>
        <w:ind w:left="2160" w:right="-471" w:hanging="2160"/>
        <w:rPr>
          <w:rFonts w:ascii="Times New Roman" w:hAnsi="Times New Roman" w:cs="Times New Roman"/>
          <w:b/>
          <w:sz w:val="24"/>
          <w:szCs w:val="24"/>
          <w:lang w:val="bg-BG"/>
        </w:rPr>
      </w:pPr>
      <w:r w:rsidRPr="00610B1B">
        <w:rPr>
          <w:rFonts w:ascii="Times New Roman" w:hAnsi="Times New Roman" w:cs="Times New Roman"/>
          <w:b/>
          <w:sz w:val="24"/>
          <w:szCs w:val="24"/>
          <w:lang w:val="bg-BG"/>
        </w:rPr>
        <w:t>БНАКК</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Българската национална асоциация по корабостроене и кораборемонт</w:t>
      </w:r>
      <w:r w:rsidRPr="00610B1B">
        <w:rPr>
          <w:rFonts w:ascii="Times New Roman" w:hAnsi="Times New Roman" w:cs="Times New Roman"/>
          <w:b/>
          <w:sz w:val="24"/>
          <w:szCs w:val="24"/>
          <w:lang w:val="bg-BG"/>
        </w:rPr>
        <w:t xml:space="preserve"> </w:t>
      </w:r>
    </w:p>
    <w:p w14:paraId="5B0CC92F" w14:textId="6CCD52A9" w:rsidR="0026507E" w:rsidRPr="00610B1B" w:rsidRDefault="0026507E"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БЧК</w:t>
      </w:r>
      <w:r w:rsidRPr="00610B1B">
        <w:rPr>
          <w:rFonts w:ascii="Times New Roman" w:hAnsi="Times New Roman" w:cs="Times New Roman"/>
          <w:b/>
          <w:sz w:val="24"/>
          <w:szCs w:val="24"/>
          <w:lang w:val="bg-BG"/>
        </w:rPr>
        <w:tab/>
      </w:r>
      <w:r w:rsidRPr="00610B1B">
        <w:rPr>
          <w:rFonts w:ascii="Times New Roman" w:hAnsi="Times New Roman" w:cs="Times New Roman"/>
          <w:b/>
          <w:sz w:val="24"/>
          <w:szCs w:val="24"/>
          <w:lang w:val="bg-BG"/>
        </w:rPr>
        <w:tab/>
      </w:r>
      <w:r w:rsidR="00532AF9"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Българско Черноморско крайбрежие</w:t>
      </w:r>
    </w:p>
    <w:p w14:paraId="33977B5B" w14:textId="1BE903D3" w:rsidR="00240F11" w:rsidRPr="00610B1B" w:rsidRDefault="00240F11"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ВВМУ</w:t>
      </w:r>
      <w:r w:rsidRPr="00610B1B">
        <w:rPr>
          <w:rFonts w:ascii="Times New Roman" w:hAnsi="Times New Roman" w:cs="Times New Roman"/>
          <w:b/>
          <w:sz w:val="24"/>
          <w:szCs w:val="24"/>
          <w:lang w:val="bg-BG"/>
        </w:rPr>
        <w:tab/>
      </w:r>
      <w:r w:rsidR="00532AF9"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Висше военноморско училище</w:t>
      </w:r>
    </w:p>
    <w:p w14:paraId="513E0E7C" w14:textId="554474D1" w:rsidR="00240F11" w:rsidRPr="00610B1B" w:rsidRDefault="00240F11"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ВМС</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532AF9"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Военноморски сили</w:t>
      </w:r>
    </w:p>
    <w:p w14:paraId="533F4971" w14:textId="3E42547C" w:rsidR="0026507E" w:rsidRPr="00610B1B" w:rsidRDefault="0026507E" w:rsidP="00D32D6A">
      <w:pPr>
        <w:spacing w:after="120"/>
        <w:ind w:right="-153"/>
        <w:rPr>
          <w:rFonts w:ascii="Times New Roman" w:hAnsi="Times New Roman" w:cs="Times New Roman"/>
          <w:sz w:val="24"/>
          <w:szCs w:val="24"/>
          <w:lang w:val="bg-BG"/>
        </w:rPr>
      </w:pPr>
      <w:r w:rsidRPr="00610B1B">
        <w:rPr>
          <w:rFonts w:ascii="Times New Roman" w:hAnsi="Times New Roman" w:cs="Times New Roman"/>
          <w:b/>
          <w:bCs/>
          <w:sz w:val="24"/>
          <w:szCs w:val="24"/>
          <w:lang w:val="bg-BG"/>
        </w:rPr>
        <w:t>ГРД</w:t>
      </w:r>
      <w:r w:rsidRPr="00610B1B">
        <w:rPr>
          <w:rFonts w:ascii="Times New Roman" w:hAnsi="Times New Roman" w:cs="Times New Roman"/>
          <w:b/>
          <w:bCs/>
          <w:sz w:val="24"/>
          <w:szCs w:val="24"/>
          <w:lang w:val="bg-BG"/>
        </w:rPr>
        <w:tab/>
      </w:r>
      <w:r w:rsidRPr="00610B1B">
        <w:rPr>
          <w:rFonts w:ascii="Times New Roman" w:hAnsi="Times New Roman" w:cs="Times New Roman"/>
          <w:b/>
          <w:bCs/>
          <w:sz w:val="24"/>
          <w:szCs w:val="24"/>
          <w:lang w:val="bg-BG"/>
        </w:rPr>
        <w:tab/>
      </w:r>
      <w:r w:rsidR="00532AF9" w:rsidRPr="00610B1B">
        <w:rPr>
          <w:rFonts w:ascii="Times New Roman" w:hAnsi="Times New Roman" w:cs="Times New Roman"/>
          <w:b/>
          <w:bCs/>
          <w:sz w:val="24"/>
          <w:szCs w:val="24"/>
          <w:lang w:val="bg-BG"/>
        </w:rPr>
        <w:tab/>
      </w:r>
      <w:r w:rsidRPr="00610B1B">
        <w:rPr>
          <w:rFonts w:ascii="Times New Roman" w:hAnsi="Times New Roman" w:cs="Times New Roman"/>
          <w:sz w:val="24"/>
          <w:szCs w:val="24"/>
          <w:lang w:val="bg-BG"/>
        </w:rPr>
        <w:t>Газоразпределително дружество</w:t>
      </w:r>
    </w:p>
    <w:p w14:paraId="1196B1AC" w14:textId="11AFFBBB" w:rsidR="00A77233" w:rsidRPr="00610B1B" w:rsidRDefault="00A77233"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ДВ</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532AF9"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Държавен вестник</w:t>
      </w:r>
    </w:p>
    <w:p w14:paraId="417435FE" w14:textId="2758F0E1" w:rsidR="00240F11" w:rsidRPr="00610B1B" w:rsidRDefault="00240F11"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ДППИ</w:t>
      </w:r>
      <w:r w:rsidRPr="00610B1B">
        <w:rPr>
          <w:rFonts w:ascii="Times New Roman" w:hAnsi="Times New Roman" w:cs="Times New Roman"/>
          <w:b/>
          <w:sz w:val="24"/>
          <w:szCs w:val="24"/>
          <w:lang w:val="bg-BG"/>
        </w:rPr>
        <w:tab/>
      </w:r>
      <w:r w:rsidR="00532AF9"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 xml:space="preserve">Държавно предприятие </w:t>
      </w:r>
      <w:r w:rsidR="009D7952" w:rsidRPr="00610B1B">
        <w:rPr>
          <w:rFonts w:ascii="Times New Roman" w:hAnsi="Times New Roman" w:cs="Times New Roman"/>
          <w:bCs/>
          <w:sz w:val="24"/>
          <w:szCs w:val="24"/>
          <w:lang w:val="bg-BG"/>
        </w:rPr>
        <w:t>Пристанищна</w:t>
      </w:r>
      <w:r w:rsidRPr="00610B1B">
        <w:rPr>
          <w:rFonts w:ascii="Times New Roman" w:hAnsi="Times New Roman" w:cs="Times New Roman"/>
          <w:bCs/>
          <w:sz w:val="24"/>
          <w:szCs w:val="24"/>
          <w:lang w:val="bg-BG"/>
        </w:rPr>
        <w:t xml:space="preserve"> инфраструктура</w:t>
      </w:r>
    </w:p>
    <w:p w14:paraId="7B07C3BD" w14:textId="1A1DA735" w:rsidR="00B50BB2" w:rsidRPr="00610B1B" w:rsidRDefault="00B50BB2"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ДМ</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ab/>
      </w:r>
      <w:r w:rsidR="00532AF9"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Директива за местообитанията</w:t>
      </w:r>
    </w:p>
    <w:p w14:paraId="4F2A87CD" w14:textId="7EA449F5" w:rsidR="004517A7" w:rsidRPr="00610B1B" w:rsidRDefault="004517A7"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ДСМОС</w:t>
      </w:r>
      <w:r w:rsidRPr="00610B1B">
        <w:rPr>
          <w:rFonts w:ascii="Times New Roman" w:hAnsi="Times New Roman" w:cs="Times New Roman"/>
          <w:bCs/>
          <w:sz w:val="24"/>
          <w:szCs w:val="24"/>
          <w:lang w:val="bg-BG"/>
        </w:rPr>
        <w:tab/>
      </w:r>
      <w:r w:rsidR="00532AF9"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 xml:space="preserve">Добро състояние на морската околна среда </w:t>
      </w:r>
    </w:p>
    <w:p w14:paraId="1F49F3EC" w14:textId="0FBE14AE" w:rsidR="00A77233" w:rsidRPr="00610B1B" w:rsidRDefault="00A77233"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ЕС</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532AF9"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Европейски съюз</w:t>
      </w:r>
    </w:p>
    <w:p w14:paraId="0A2C0F7C" w14:textId="4A94028F" w:rsidR="008D08D5" w:rsidRPr="00610B1B" w:rsidRDefault="008D08D5"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ЕО</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t>Екологична оценка</w:t>
      </w:r>
    </w:p>
    <w:p w14:paraId="7687EE7C" w14:textId="3822CEEA" w:rsidR="00532AF9" w:rsidRPr="00610B1B" w:rsidRDefault="00532AF9"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ЗБР</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t>Закон за биологичното разнообразие</w:t>
      </w:r>
    </w:p>
    <w:p w14:paraId="4366EF3E" w14:textId="7E0CE736" w:rsidR="00532AF9" w:rsidRPr="00610B1B" w:rsidRDefault="00532AF9"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ЗВ</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t>Закон за водите</w:t>
      </w:r>
    </w:p>
    <w:p w14:paraId="500EEF30" w14:textId="39C09CF8" w:rsidR="00532AF9" w:rsidRPr="00610B1B" w:rsidRDefault="00532AF9"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ЗКН</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t>Закон за културното наследство</w:t>
      </w:r>
    </w:p>
    <w:p w14:paraId="46374DEA" w14:textId="77777777" w:rsidR="00532AF9" w:rsidRPr="00610B1B" w:rsidRDefault="00532AF9" w:rsidP="00D32D6A">
      <w:pPr>
        <w:spacing w:after="120"/>
        <w:ind w:left="2160" w:right="-153" w:hanging="2160"/>
        <w:rPr>
          <w:rFonts w:ascii="Times New Roman" w:hAnsi="Times New Roman" w:cs="Times New Roman"/>
          <w:bCs/>
          <w:sz w:val="24"/>
          <w:szCs w:val="24"/>
          <w:lang w:val="bg-BG"/>
        </w:rPr>
      </w:pPr>
      <w:r w:rsidRPr="00610B1B">
        <w:rPr>
          <w:rFonts w:ascii="Times New Roman" w:hAnsi="Times New Roman" w:cs="Times New Roman"/>
          <w:b/>
          <w:sz w:val="24"/>
          <w:szCs w:val="24"/>
          <w:lang w:val="bg-BG"/>
        </w:rPr>
        <w:t>ЗМПВВППРБ</w:t>
      </w:r>
      <w:r w:rsidRPr="00610B1B">
        <w:rPr>
          <w:rFonts w:ascii="Times New Roman" w:hAnsi="Times New Roman" w:cs="Times New Roman"/>
          <w:bCs/>
          <w:sz w:val="24"/>
          <w:szCs w:val="24"/>
          <w:lang w:val="bg-BG"/>
        </w:rPr>
        <w:tab/>
        <w:t>Закон за морските пространства, вътрешните водни пътища и пристанищата на Република България</w:t>
      </w:r>
    </w:p>
    <w:p w14:paraId="61D511A7" w14:textId="77777777" w:rsidR="008D08D5" w:rsidRPr="00610B1B" w:rsidRDefault="00532AF9" w:rsidP="00D32D6A">
      <w:pPr>
        <w:spacing w:after="120"/>
        <w:ind w:left="2160" w:right="-153" w:hanging="2160"/>
        <w:rPr>
          <w:rFonts w:ascii="Times New Roman" w:hAnsi="Times New Roman" w:cs="Times New Roman"/>
          <w:bCs/>
          <w:sz w:val="24"/>
          <w:szCs w:val="24"/>
          <w:lang w:val="bg-BG"/>
        </w:rPr>
      </w:pPr>
      <w:r w:rsidRPr="00610B1B">
        <w:rPr>
          <w:rFonts w:ascii="Times New Roman" w:hAnsi="Times New Roman" w:cs="Times New Roman"/>
          <w:b/>
          <w:sz w:val="24"/>
          <w:szCs w:val="24"/>
          <w:lang w:val="bg-BG"/>
        </w:rPr>
        <w:t>ЗООС</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Закон за опазване на околната среда</w:t>
      </w:r>
    </w:p>
    <w:p w14:paraId="08621AB1" w14:textId="0F8CF696" w:rsidR="008D08D5" w:rsidRPr="00610B1B" w:rsidRDefault="008D08D5" w:rsidP="00D32D6A">
      <w:pPr>
        <w:spacing w:after="120"/>
        <w:ind w:left="2160" w:right="-153" w:hanging="2160"/>
        <w:rPr>
          <w:rFonts w:ascii="Times New Roman" w:hAnsi="Times New Roman" w:cs="Times New Roman"/>
          <w:b/>
          <w:sz w:val="24"/>
          <w:szCs w:val="24"/>
          <w:lang w:val="bg-BG"/>
        </w:rPr>
      </w:pPr>
      <w:r w:rsidRPr="00610B1B">
        <w:rPr>
          <w:rFonts w:ascii="Times New Roman" w:hAnsi="Times New Roman" w:cs="Times New Roman"/>
          <w:b/>
          <w:sz w:val="24"/>
          <w:szCs w:val="24"/>
          <w:lang w:val="bg-BG"/>
        </w:rPr>
        <w:t>ЗУТ</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Закон за устройство на територията</w:t>
      </w:r>
    </w:p>
    <w:p w14:paraId="4D9583BE" w14:textId="1CB07F02" w:rsidR="00532AF9" w:rsidRPr="00610B1B" w:rsidRDefault="008D08D5" w:rsidP="00D32D6A">
      <w:pPr>
        <w:spacing w:after="120"/>
        <w:ind w:left="2160" w:right="-153" w:hanging="2160"/>
        <w:rPr>
          <w:rFonts w:ascii="Times New Roman" w:hAnsi="Times New Roman" w:cs="Times New Roman"/>
          <w:b/>
          <w:sz w:val="24"/>
          <w:szCs w:val="24"/>
          <w:lang w:val="bg-BG"/>
        </w:rPr>
      </w:pPr>
      <w:r w:rsidRPr="00610B1B">
        <w:rPr>
          <w:rFonts w:ascii="Times New Roman" w:hAnsi="Times New Roman" w:cs="Times New Roman"/>
          <w:b/>
          <w:sz w:val="24"/>
          <w:szCs w:val="24"/>
          <w:lang w:val="bg-BG"/>
        </w:rPr>
        <w:t>ЗУЧК</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 xml:space="preserve">Закон за устройство на Черноморското </w:t>
      </w:r>
      <w:r w:rsidR="005202E5" w:rsidRPr="00610B1B">
        <w:rPr>
          <w:rFonts w:ascii="Times New Roman" w:hAnsi="Times New Roman" w:cs="Times New Roman"/>
          <w:bCs/>
          <w:sz w:val="24"/>
          <w:szCs w:val="24"/>
          <w:lang w:val="bg-BG"/>
        </w:rPr>
        <w:t>крайбрежие</w:t>
      </w:r>
    </w:p>
    <w:p w14:paraId="27F07738" w14:textId="2DDC8F0B" w:rsidR="00240F11" w:rsidRPr="00610B1B" w:rsidRDefault="00240F11"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ИАМА</w:t>
      </w:r>
      <w:r w:rsidRPr="00610B1B">
        <w:rPr>
          <w:rFonts w:ascii="Times New Roman" w:hAnsi="Times New Roman" w:cs="Times New Roman"/>
          <w:b/>
          <w:sz w:val="24"/>
          <w:szCs w:val="24"/>
          <w:lang w:val="bg-BG"/>
        </w:rPr>
        <w:tab/>
      </w:r>
      <w:r w:rsidR="008D08D5"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Изпълнителна агенция „Морска администрация“</w:t>
      </w:r>
    </w:p>
    <w:p w14:paraId="038031A7" w14:textId="01685578" w:rsidR="0081627B" w:rsidRPr="00610B1B" w:rsidRDefault="0081627B"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ИАОС</w:t>
      </w:r>
      <w:r w:rsidR="00A77233" w:rsidRPr="00610B1B">
        <w:rPr>
          <w:rFonts w:ascii="Times New Roman" w:hAnsi="Times New Roman" w:cs="Times New Roman"/>
          <w:b/>
          <w:sz w:val="24"/>
          <w:szCs w:val="24"/>
          <w:lang w:val="bg-BG"/>
        </w:rPr>
        <w:tab/>
      </w:r>
      <w:r w:rsidR="008D08D5" w:rsidRPr="00610B1B">
        <w:rPr>
          <w:rFonts w:ascii="Times New Roman" w:hAnsi="Times New Roman" w:cs="Times New Roman"/>
          <w:b/>
          <w:sz w:val="24"/>
          <w:szCs w:val="24"/>
          <w:lang w:val="bg-BG"/>
        </w:rPr>
        <w:tab/>
      </w:r>
      <w:r w:rsidR="00A77233" w:rsidRPr="00610B1B">
        <w:rPr>
          <w:rFonts w:ascii="Times New Roman" w:hAnsi="Times New Roman" w:cs="Times New Roman"/>
          <w:bCs/>
          <w:sz w:val="24"/>
          <w:szCs w:val="24"/>
          <w:lang w:val="bg-BG"/>
        </w:rPr>
        <w:t>Изпълнителна агенция по околна среда</w:t>
      </w:r>
    </w:p>
    <w:p w14:paraId="2114951F" w14:textId="1AA3801D" w:rsidR="00240F11" w:rsidRPr="00610B1B" w:rsidRDefault="00240F11"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ИАРА</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8D08D5"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 xml:space="preserve">Изпълнителна агенция „Рибарство и </w:t>
      </w:r>
      <w:r w:rsidR="009D7952" w:rsidRPr="00610B1B">
        <w:rPr>
          <w:rFonts w:ascii="Times New Roman" w:hAnsi="Times New Roman" w:cs="Times New Roman"/>
          <w:bCs/>
          <w:sz w:val="24"/>
          <w:szCs w:val="24"/>
          <w:lang w:val="bg-BG"/>
        </w:rPr>
        <w:t>Аквакултури</w:t>
      </w:r>
      <w:r w:rsidRPr="00610B1B">
        <w:rPr>
          <w:rFonts w:ascii="Times New Roman" w:hAnsi="Times New Roman" w:cs="Times New Roman"/>
          <w:bCs/>
          <w:sz w:val="24"/>
          <w:szCs w:val="24"/>
          <w:lang w:val="bg-BG"/>
        </w:rPr>
        <w:t>“</w:t>
      </w:r>
    </w:p>
    <w:p w14:paraId="21E59995" w14:textId="0F1ED7C8" w:rsidR="00240F11" w:rsidRPr="00610B1B" w:rsidRDefault="00240F11"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ИБЕИ</w:t>
      </w:r>
      <w:r w:rsidRPr="00610B1B">
        <w:rPr>
          <w:rFonts w:ascii="Times New Roman" w:hAnsi="Times New Roman" w:cs="Times New Roman"/>
          <w:b/>
          <w:sz w:val="24"/>
          <w:szCs w:val="24"/>
          <w:lang w:val="bg-BG"/>
        </w:rPr>
        <w:tab/>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Институт по биоразнообразие и екосис</w:t>
      </w:r>
      <w:r w:rsidR="009D7952" w:rsidRPr="00610B1B">
        <w:rPr>
          <w:rFonts w:ascii="Times New Roman" w:hAnsi="Times New Roman" w:cs="Times New Roman"/>
          <w:bCs/>
          <w:sz w:val="24"/>
          <w:szCs w:val="24"/>
          <w:lang w:val="bg-BG"/>
        </w:rPr>
        <w:t>те</w:t>
      </w:r>
      <w:r w:rsidRPr="00610B1B">
        <w:rPr>
          <w:rFonts w:ascii="Times New Roman" w:hAnsi="Times New Roman" w:cs="Times New Roman"/>
          <w:bCs/>
          <w:sz w:val="24"/>
          <w:szCs w:val="24"/>
          <w:lang w:val="bg-BG"/>
        </w:rPr>
        <w:t>мни изследвания</w:t>
      </w:r>
    </w:p>
    <w:p w14:paraId="041537D4" w14:textId="29E0AB5D" w:rsidR="00AC3F5F" w:rsidRPr="00610B1B" w:rsidRDefault="00AC3F5F"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lastRenderedPageBreak/>
        <w:t>ИГГГ</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Институт по география, геофизика и геодезия</w:t>
      </w:r>
    </w:p>
    <w:p w14:paraId="018570BC" w14:textId="5F72BD6E" w:rsidR="004E2DE6" w:rsidRPr="00610B1B" w:rsidRDefault="004E2DE6" w:rsidP="00D32D6A">
      <w:pPr>
        <w:spacing w:after="120"/>
        <w:ind w:left="2160" w:right="-153" w:hanging="2160"/>
        <w:rPr>
          <w:rFonts w:ascii="Times New Roman" w:hAnsi="Times New Roman" w:cs="Times New Roman"/>
          <w:bCs/>
          <w:sz w:val="24"/>
          <w:szCs w:val="24"/>
          <w:lang w:val="bg-BG"/>
        </w:rPr>
      </w:pPr>
      <w:r w:rsidRPr="00610B1B">
        <w:rPr>
          <w:rFonts w:ascii="Times New Roman" w:hAnsi="Times New Roman" w:cs="Times New Roman"/>
          <w:b/>
          <w:sz w:val="24"/>
          <w:szCs w:val="24"/>
          <w:lang w:val="bg-BG"/>
        </w:rPr>
        <w:t>ИКОМОС</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Международен съвет за паметниците на културата и забележителните места</w:t>
      </w:r>
    </w:p>
    <w:p w14:paraId="7038B6F1" w14:textId="716B3396" w:rsidR="00240F11" w:rsidRPr="00610B1B" w:rsidRDefault="00240F11"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ИО</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Институт по океанология</w:t>
      </w:r>
      <w:r w:rsidR="009C0D93" w:rsidRPr="00610B1B">
        <w:rPr>
          <w:rFonts w:ascii="Times New Roman" w:hAnsi="Times New Roman" w:cs="Times New Roman"/>
          <w:bCs/>
          <w:sz w:val="24"/>
          <w:szCs w:val="24"/>
          <w:lang w:val="bg-BG"/>
        </w:rPr>
        <w:t xml:space="preserve"> на БАН</w:t>
      </w:r>
    </w:p>
    <w:p w14:paraId="29D63F8C" w14:textId="6795AA23" w:rsidR="00D551EE" w:rsidRPr="00610B1B" w:rsidRDefault="00D551EE"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ИТСР</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Интегрирана териториална стратегия за развитие</w:t>
      </w:r>
    </w:p>
    <w:p w14:paraId="6EB5D2F7" w14:textId="77777777" w:rsidR="00836952" w:rsidRPr="00610B1B" w:rsidRDefault="00836952" w:rsidP="00836952">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КРР</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t>Консервационно-реставрационни работи</w:t>
      </w:r>
    </w:p>
    <w:p w14:paraId="153E0DDF" w14:textId="4E410434" w:rsidR="00240F11" w:rsidRPr="00610B1B" w:rsidRDefault="00240F11"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МВР</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Минис</w:t>
      </w:r>
      <w:r w:rsidR="009C0D93" w:rsidRPr="00610B1B">
        <w:rPr>
          <w:rFonts w:ascii="Times New Roman" w:hAnsi="Times New Roman" w:cs="Times New Roman"/>
          <w:bCs/>
          <w:sz w:val="24"/>
          <w:szCs w:val="24"/>
          <w:lang w:val="bg-BG"/>
        </w:rPr>
        <w:t>т</w:t>
      </w:r>
      <w:r w:rsidRPr="00610B1B">
        <w:rPr>
          <w:rFonts w:ascii="Times New Roman" w:hAnsi="Times New Roman" w:cs="Times New Roman"/>
          <w:bCs/>
          <w:sz w:val="24"/>
          <w:szCs w:val="24"/>
          <w:lang w:val="bg-BG"/>
        </w:rPr>
        <w:t>ерство на вътрешните работи</w:t>
      </w:r>
    </w:p>
    <w:p w14:paraId="29FA41E5" w14:textId="2CB4305E" w:rsidR="00240F11" w:rsidRPr="00610B1B" w:rsidRDefault="00240F11"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МВнР</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Министерство на външните работи</w:t>
      </w:r>
    </w:p>
    <w:p w14:paraId="02335984" w14:textId="6F471C67" w:rsidR="00B97748" w:rsidRPr="00610B1B" w:rsidRDefault="00B97748" w:rsidP="00D32D6A">
      <w:pPr>
        <w:spacing w:after="120"/>
        <w:ind w:right="-153"/>
        <w:rPr>
          <w:rFonts w:ascii="Times New Roman" w:hAnsi="Times New Roman" w:cs="Times New Roman"/>
          <w:b/>
          <w:sz w:val="24"/>
          <w:szCs w:val="24"/>
          <w:lang w:val="bg-BG"/>
        </w:rPr>
      </w:pPr>
      <w:r w:rsidRPr="00610B1B">
        <w:rPr>
          <w:rFonts w:ascii="Times New Roman" w:hAnsi="Times New Roman" w:cs="Times New Roman"/>
          <w:b/>
          <w:sz w:val="24"/>
          <w:szCs w:val="24"/>
          <w:lang w:val="bg-BG"/>
        </w:rPr>
        <w:t>МДК</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 xml:space="preserve">Максимално допустими концентрации </w:t>
      </w:r>
    </w:p>
    <w:p w14:paraId="60245C10" w14:textId="0B84B242" w:rsidR="00A77233" w:rsidRPr="00610B1B" w:rsidRDefault="00A77233"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МЗ</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Министерство на здравеопазването</w:t>
      </w:r>
    </w:p>
    <w:p w14:paraId="74776CF4" w14:textId="16574998" w:rsidR="004E2DE6" w:rsidRPr="00610B1B" w:rsidRDefault="004E2DE6"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МЗХГ</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Министерство на земеделието, храните и горите</w:t>
      </w:r>
    </w:p>
    <w:p w14:paraId="44EB18D2" w14:textId="5961DA37" w:rsidR="00240F11" w:rsidRPr="00610B1B" w:rsidRDefault="00240F11"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МК</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Министерство на културата</w:t>
      </w:r>
    </w:p>
    <w:p w14:paraId="7DD0DA22" w14:textId="2361D868" w:rsidR="008D08D5" w:rsidRPr="00610B1B" w:rsidRDefault="008D08D5"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ММО</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Международна морска организация</w:t>
      </w:r>
    </w:p>
    <w:p w14:paraId="22AEB836" w14:textId="76F90B0D" w:rsidR="00240F11" w:rsidRPr="00610B1B" w:rsidRDefault="00240F11" w:rsidP="00D32D6A">
      <w:pPr>
        <w:spacing w:after="120"/>
        <w:ind w:right="-153"/>
        <w:rPr>
          <w:rFonts w:ascii="Times New Roman" w:hAnsi="Times New Roman" w:cs="Times New Roman"/>
          <w:b/>
          <w:sz w:val="24"/>
          <w:szCs w:val="24"/>
          <w:lang w:val="bg-BG"/>
        </w:rPr>
      </w:pPr>
      <w:r w:rsidRPr="00610B1B">
        <w:rPr>
          <w:rFonts w:ascii="Times New Roman" w:hAnsi="Times New Roman" w:cs="Times New Roman"/>
          <w:b/>
          <w:sz w:val="24"/>
          <w:szCs w:val="24"/>
          <w:lang w:val="bg-BG"/>
        </w:rPr>
        <w:t>МО</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Министерство на отбраната</w:t>
      </w:r>
    </w:p>
    <w:p w14:paraId="5A6960E7" w14:textId="28B986AA" w:rsidR="0081627B" w:rsidRPr="00610B1B" w:rsidRDefault="0081627B"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МОСВ</w:t>
      </w:r>
      <w:r w:rsidR="00A77233"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00A77233" w:rsidRPr="00610B1B">
        <w:rPr>
          <w:rFonts w:ascii="Times New Roman" w:hAnsi="Times New Roman" w:cs="Times New Roman"/>
          <w:bCs/>
          <w:sz w:val="24"/>
          <w:szCs w:val="24"/>
          <w:lang w:val="bg-BG"/>
        </w:rPr>
        <w:t>Министерство на околната среда и водите</w:t>
      </w:r>
    </w:p>
    <w:p w14:paraId="23D07847" w14:textId="5A7AC71C" w:rsidR="00AC3F5F" w:rsidRPr="00610B1B" w:rsidRDefault="00AC3F5F"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МПП</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Морско пространствено планиране</w:t>
      </w:r>
    </w:p>
    <w:p w14:paraId="3066DC74" w14:textId="2BF1B946" w:rsidR="00AC3F5F" w:rsidRPr="00610B1B" w:rsidRDefault="00AC3F5F"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МППРБ</w:t>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Морски пространствен план на Република България (2021-2035 г.)</w:t>
      </w:r>
    </w:p>
    <w:p w14:paraId="6A41F850" w14:textId="08543EE3" w:rsidR="0081627B" w:rsidRPr="00610B1B" w:rsidRDefault="0081627B"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МРРБ</w:t>
      </w:r>
      <w:r w:rsidR="00A77233" w:rsidRPr="00610B1B">
        <w:rPr>
          <w:rFonts w:ascii="Times New Roman" w:hAnsi="Times New Roman" w:cs="Times New Roman"/>
          <w:b/>
          <w:sz w:val="24"/>
          <w:szCs w:val="24"/>
          <w:lang w:val="bg-BG"/>
        </w:rPr>
        <w:tab/>
      </w:r>
      <w:r w:rsidR="00A77233"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00A77233" w:rsidRPr="00610B1B">
        <w:rPr>
          <w:rFonts w:ascii="Times New Roman" w:hAnsi="Times New Roman" w:cs="Times New Roman"/>
          <w:bCs/>
          <w:sz w:val="24"/>
          <w:szCs w:val="24"/>
          <w:lang w:val="bg-BG"/>
        </w:rPr>
        <w:t>Министерство на регионалното развитие и благоустройството</w:t>
      </w:r>
    </w:p>
    <w:p w14:paraId="06256F99" w14:textId="36E26634" w:rsidR="00A77233" w:rsidRPr="00610B1B" w:rsidRDefault="00A77233"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МС</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Министерски съвет</w:t>
      </w:r>
    </w:p>
    <w:p w14:paraId="76F1E6CA" w14:textId="52119E92" w:rsidR="00240F11" w:rsidRPr="00610B1B" w:rsidRDefault="00240F11" w:rsidP="00D32D6A">
      <w:pPr>
        <w:spacing w:after="120"/>
        <w:ind w:right="-153"/>
        <w:rPr>
          <w:rFonts w:ascii="Times New Roman" w:hAnsi="Times New Roman" w:cs="Times New Roman"/>
          <w:b/>
          <w:sz w:val="24"/>
          <w:szCs w:val="24"/>
          <w:lang w:val="bg-BG"/>
        </w:rPr>
      </w:pPr>
      <w:r w:rsidRPr="00610B1B">
        <w:rPr>
          <w:rFonts w:ascii="Times New Roman" w:hAnsi="Times New Roman" w:cs="Times New Roman"/>
          <w:b/>
          <w:sz w:val="24"/>
          <w:szCs w:val="24"/>
          <w:lang w:val="bg-BG"/>
        </w:rPr>
        <w:t>МТ</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Минис</w:t>
      </w:r>
      <w:r w:rsidR="004E2DE6" w:rsidRPr="00610B1B">
        <w:rPr>
          <w:rFonts w:ascii="Times New Roman" w:hAnsi="Times New Roman" w:cs="Times New Roman"/>
          <w:bCs/>
          <w:sz w:val="24"/>
          <w:szCs w:val="24"/>
          <w:lang w:val="bg-BG"/>
        </w:rPr>
        <w:t>т</w:t>
      </w:r>
      <w:r w:rsidRPr="00610B1B">
        <w:rPr>
          <w:rFonts w:ascii="Times New Roman" w:hAnsi="Times New Roman" w:cs="Times New Roman"/>
          <w:bCs/>
          <w:sz w:val="24"/>
          <w:szCs w:val="24"/>
          <w:lang w:val="bg-BG"/>
        </w:rPr>
        <w:t>ерство на туризма</w:t>
      </w:r>
    </w:p>
    <w:p w14:paraId="54FC4B2D" w14:textId="27376D2C" w:rsidR="0081627B" w:rsidRPr="00610B1B" w:rsidRDefault="0081627B" w:rsidP="00D32D6A">
      <w:pPr>
        <w:spacing w:after="120"/>
        <w:ind w:left="2160" w:right="-471" w:hanging="2160"/>
        <w:rPr>
          <w:rFonts w:ascii="Times New Roman" w:hAnsi="Times New Roman" w:cs="Times New Roman"/>
          <w:bCs/>
          <w:sz w:val="24"/>
          <w:szCs w:val="24"/>
          <w:lang w:val="bg-BG"/>
        </w:rPr>
      </w:pPr>
      <w:r w:rsidRPr="00610B1B">
        <w:rPr>
          <w:rFonts w:ascii="Times New Roman" w:hAnsi="Times New Roman" w:cs="Times New Roman"/>
          <w:b/>
          <w:sz w:val="24"/>
          <w:szCs w:val="24"/>
          <w:lang w:val="bg-BG"/>
        </w:rPr>
        <w:t>МТИТС</w:t>
      </w:r>
      <w:r w:rsidR="00A77233" w:rsidRPr="00610B1B">
        <w:rPr>
          <w:rFonts w:ascii="Times New Roman" w:hAnsi="Times New Roman" w:cs="Times New Roman"/>
          <w:b/>
          <w:sz w:val="24"/>
          <w:szCs w:val="24"/>
          <w:lang w:val="bg-BG"/>
        </w:rPr>
        <w:tab/>
      </w:r>
      <w:r w:rsidR="009C0D93" w:rsidRPr="00610B1B">
        <w:rPr>
          <w:rFonts w:ascii="Times New Roman" w:hAnsi="Times New Roman" w:cs="Times New Roman"/>
          <w:bCs/>
          <w:sz w:val="24"/>
          <w:szCs w:val="24"/>
          <w:lang w:val="bg-BG"/>
        </w:rPr>
        <w:t>Министерство на транспо</w:t>
      </w:r>
      <w:r w:rsidR="00A77233" w:rsidRPr="00610B1B">
        <w:rPr>
          <w:rFonts w:ascii="Times New Roman" w:hAnsi="Times New Roman" w:cs="Times New Roman"/>
          <w:bCs/>
          <w:sz w:val="24"/>
          <w:szCs w:val="24"/>
          <w:lang w:val="bg-BG"/>
        </w:rPr>
        <w:t>рта информационните технологии и съобщенията</w:t>
      </w:r>
    </w:p>
    <w:p w14:paraId="4E7990C9" w14:textId="33E565BD" w:rsidR="00AC3F5F" w:rsidRPr="00610B1B" w:rsidRDefault="00AC3F5F" w:rsidP="00D32D6A">
      <w:pPr>
        <w:spacing w:after="120"/>
        <w:ind w:left="1440" w:right="-153" w:hanging="1440"/>
        <w:rPr>
          <w:rFonts w:ascii="Times New Roman" w:hAnsi="Times New Roman" w:cs="Times New Roman"/>
          <w:bCs/>
          <w:sz w:val="24"/>
          <w:szCs w:val="24"/>
          <w:lang w:val="bg-BG"/>
        </w:rPr>
      </w:pPr>
      <w:r w:rsidRPr="00610B1B">
        <w:rPr>
          <w:rFonts w:ascii="Times New Roman" w:hAnsi="Times New Roman" w:cs="Times New Roman"/>
          <w:b/>
          <w:sz w:val="24"/>
          <w:szCs w:val="24"/>
          <w:lang w:val="bg-BG"/>
        </w:rPr>
        <w:t>НИМХ</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Национален институт по метеорология и хидрология при БАН</w:t>
      </w:r>
    </w:p>
    <w:p w14:paraId="07202401" w14:textId="50DD3F2C" w:rsidR="00D551EE" w:rsidRPr="00610B1B" w:rsidRDefault="00D551EE" w:rsidP="00D32D6A">
      <w:pPr>
        <w:spacing w:after="120"/>
        <w:ind w:left="1440" w:right="-153" w:hanging="1440"/>
        <w:rPr>
          <w:rFonts w:ascii="Times New Roman" w:hAnsi="Times New Roman" w:cs="Times New Roman"/>
          <w:bCs/>
          <w:sz w:val="24"/>
          <w:szCs w:val="24"/>
          <w:lang w:val="bg-BG"/>
        </w:rPr>
      </w:pPr>
      <w:r w:rsidRPr="00610B1B">
        <w:rPr>
          <w:rFonts w:ascii="Times New Roman" w:hAnsi="Times New Roman" w:cs="Times New Roman"/>
          <w:b/>
          <w:sz w:val="24"/>
          <w:szCs w:val="24"/>
          <w:lang w:val="bg-BG"/>
        </w:rPr>
        <w:t>НИНКН</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Национален институт за недвижимо културно наследство</w:t>
      </w:r>
    </w:p>
    <w:p w14:paraId="17605FF1" w14:textId="587DBAEC" w:rsidR="00A77233" w:rsidRPr="00610B1B" w:rsidRDefault="00A77233" w:rsidP="004050A5">
      <w:pPr>
        <w:spacing w:after="120"/>
        <w:ind w:left="2160" w:right="-896" w:hanging="2160"/>
        <w:rPr>
          <w:rFonts w:ascii="Times New Roman" w:hAnsi="Times New Roman" w:cs="Times New Roman"/>
          <w:bCs/>
          <w:sz w:val="24"/>
          <w:szCs w:val="24"/>
          <w:lang w:val="bg-BG"/>
        </w:rPr>
      </w:pPr>
      <w:r w:rsidRPr="00610B1B">
        <w:rPr>
          <w:rFonts w:ascii="Times New Roman" w:hAnsi="Times New Roman" w:cs="Times New Roman"/>
          <w:b/>
          <w:sz w:val="24"/>
          <w:szCs w:val="24"/>
          <w:lang w:val="bg-BG"/>
        </w:rPr>
        <w:t>НКПР</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 xml:space="preserve">Национална концепция за пространствено развитие за периода 2013-2025 </w:t>
      </w:r>
    </w:p>
    <w:p w14:paraId="503B404E" w14:textId="4BBE7626" w:rsidR="00D551EE" w:rsidRPr="00610B1B" w:rsidRDefault="00D551EE" w:rsidP="00D32D6A">
      <w:pPr>
        <w:spacing w:after="120"/>
        <w:ind w:left="1440" w:right="-153" w:hanging="1440"/>
        <w:rPr>
          <w:rFonts w:ascii="Times New Roman" w:hAnsi="Times New Roman" w:cs="Times New Roman"/>
          <w:bCs/>
          <w:sz w:val="24"/>
          <w:szCs w:val="24"/>
          <w:lang w:val="bg-BG"/>
        </w:rPr>
      </w:pPr>
      <w:r w:rsidRPr="00610B1B">
        <w:rPr>
          <w:rFonts w:ascii="Times New Roman" w:hAnsi="Times New Roman" w:cs="Times New Roman"/>
          <w:b/>
          <w:sz w:val="24"/>
          <w:szCs w:val="24"/>
          <w:lang w:val="bg-BG"/>
        </w:rPr>
        <w:t>НКЦ</w:t>
      </w:r>
      <w:r w:rsidR="007B20F2"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Недвижима културна ценност</w:t>
      </w:r>
    </w:p>
    <w:p w14:paraId="4C392C7F" w14:textId="5123C367" w:rsidR="00CC2289" w:rsidRPr="00610B1B" w:rsidRDefault="00CC2289" w:rsidP="00D32D6A">
      <w:pPr>
        <w:spacing w:after="120"/>
        <w:ind w:left="1440" w:right="-153" w:hanging="1440"/>
        <w:rPr>
          <w:rFonts w:ascii="Times New Roman" w:hAnsi="Times New Roman" w:cs="Times New Roman"/>
          <w:bCs/>
          <w:sz w:val="24"/>
          <w:szCs w:val="24"/>
          <w:lang w:val="bg-BG"/>
        </w:rPr>
      </w:pPr>
      <w:r w:rsidRPr="00610B1B">
        <w:rPr>
          <w:rFonts w:ascii="Times New Roman" w:hAnsi="Times New Roman" w:cs="Times New Roman"/>
          <w:b/>
          <w:sz w:val="24"/>
          <w:szCs w:val="24"/>
          <w:lang w:val="bg-BG"/>
        </w:rPr>
        <w:t>ННН</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Незаконен, недеклариран и нерегулиран улов на риба</w:t>
      </w:r>
      <w:r w:rsidRPr="00610B1B">
        <w:rPr>
          <w:rFonts w:ascii="Times New Roman" w:hAnsi="Times New Roman" w:cs="Times New Roman"/>
          <w:b/>
          <w:sz w:val="24"/>
          <w:szCs w:val="24"/>
          <w:lang w:val="bg-BG"/>
        </w:rPr>
        <w:t xml:space="preserve"> </w:t>
      </w:r>
    </w:p>
    <w:p w14:paraId="10479612" w14:textId="0B6454BF" w:rsidR="00A77233" w:rsidRPr="00610B1B" w:rsidRDefault="00A77233" w:rsidP="00D32D6A">
      <w:pPr>
        <w:spacing w:after="120"/>
        <w:ind w:left="1440" w:right="-153" w:hanging="1440"/>
        <w:rPr>
          <w:rFonts w:ascii="Times New Roman" w:hAnsi="Times New Roman" w:cs="Times New Roman"/>
          <w:bCs/>
          <w:sz w:val="24"/>
          <w:szCs w:val="24"/>
          <w:lang w:val="bg-BG"/>
        </w:rPr>
      </w:pPr>
      <w:r w:rsidRPr="00610B1B">
        <w:rPr>
          <w:rFonts w:ascii="Times New Roman" w:hAnsi="Times New Roman" w:cs="Times New Roman"/>
          <w:b/>
          <w:sz w:val="24"/>
          <w:szCs w:val="24"/>
          <w:lang w:val="bg-BG"/>
        </w:rPr>
        <w:t>ООН</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Организация на обединените нации</w:t>
      </w:r>
    </w:p>
    <w:p w14:paraId="6AAE6688" w14:textId="20EACEFE" w:rsidR="00240F11" w:rsidRPr="00610B1B" w:rsidRDefault="00240F11" w:rsidP="00D32D6A">
      <w:pPr>
        <w:spacing w:after="120"/>
        <w:ind w:left="1440" w:right="-153" w:hanging="1440"/>
        <w:rPr>
          <w:rFonts w:ascii="Times New Roman" w:hAnsi="Times New Roman" w:cs="Times New Roman"/>
          <w:bCs/>
          <w:sz w:val="24"/>
          <w:szCs w:val="24"/>
          <w:lang w:val="bg-BG"/>
        </w:rPr>
      </w:pPr>
      <w:r w:rsidRPr="00610B1B">
        <w:rPr>
          <w:rFonts w:ascii="Times New Roman" w:hAnsi="Times New Roman" w:cs="Times New Roman"/>
          <w:b/>
          <w:sz w:val="24"/>
          <w:szCs w:val="24"/>
          <w:lang w:val="bg-BG"/>
        </w:rPr>
        <w:t>ОЧТ</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Основно Черноморско течение</w:t>
      </w:r>
    </w:p>
    <w:p w14:paraId="6D6AE01E" w14:textId="557CC987" w:rsidR="00AC3F5F" w:rsidRPr="00610B1B" w:rsidRDefault="000E0A3F" w:rsidP="00D32D6A">
      <w:pPr>
        <w:spacing w:after="120"/>
        <w:ind w:left="1440" w:right="-153" w:hanging="1440"/>
        <w:rPr>
          <w:rFonts w:ascii="Times New Roman" w:hAnsi="Times New Roman" w:cs="Times New Roman"/>
          <w:bCs/>
          <w:sz w:val="24"/>
          <w:szCs w:val="24"/>
          <w:lang w:val="bg-BG"/>
        </w:rPr>
      </w:pPr>
      <w:r w:rsidRPr="00610B1B">
        <w:rPr>
          <w:rFonts w:ascii="Times New Roman" w:hAnsi="Times New Roman" w:cs="Times New Roman"/>
          <w:b/>
          <w:sz w:val="24"/>
          <w:szCs w:val="24"/>
          <w:lang w:val="bg-BG"/>
        </w:rPr>
        <w:t>ПВТ</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Подземни водни тела</w:t>
      </w:r>
    </w:p>
    <w:p w14:paraId="35DA8D2B" w14:textId="75C90696" w:rsidR="00D551EE" w:rsidRPr="00610B1B" w:rsidRDefault="00D551EE" w:rsidP="00D32D6A">
      <w:pPr>
        <w:spacing w:after="120"/>
        <w:ind w:left="1440" w:right="-153" w:hanging="1440"/>
        <w:rPr>
          <w:rFonts w:ascii="Times New Roman" w:hAnsi="Times New Roman" w:cs="Times New Roman"/>
          <w:bCs/>
          <w:sz w:val="24"/>
          <w:szCs w:val="24"/>
          <w:lang w:val="bg-BG"/>
        </w:rPr>
      </w:pPr>
      <w:r w:rsidRPr="00610B1B">
        <w:rPr>
          <w:rFonts w:ascii="Times New Roman" w:hAnsi="Times New Roman" w:cs="Times New Roman"/>
          <w:b/>
          <w:sz w:val="24"/>
          <w:szCs w:val="24"/>
          <w:lang w:val="bg-BG"/>
        </w:rPr>
        <w:t>ПИРО</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План за интегрирано развитие на община</w:t>
      </w:r>
    </w:p>
    <w:p w14:paraId="6310D1D3" w14:textId="47FB53C5" w:rsidR="00D551EE" w:rsidRPr="00610B1B" w:rsidRDefault="00AC3F5F" w:rsidP="00D32D6A">
      <w:pPr>
        <w:spacing w:after="120"/>
        <w:ind w:left="1440" w:right="-153" w:hanging="1440"/>
        <w:rPr>
          <w:rFonts w:ascii="Times New Roman" w:hAnsi="Times New Roman" w:cs="Times New Roman"/>
          <w:bCs/>
          <w:sz w:val="24"/>
          <w:szCs w:val="24"/>
          <w:lang w:val="bg-BG"/>
        </w:rPr>
      </w:pPr>
      <w:r w:rsidRPr="00610B1B">
        <w:rPr>
          <w:rFonts w:ascii="Times New Roman" w:hAnsi="Times New Roman" w:cs="Times New Roman"/>
          <w:b/>
          <w:sz w:val="24"/>
          <w:szCs w:val="24"/>
          <w:lang w:val="bg-BG"/>
        </w:rPr>
        <w:t>ПМДР</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 xml:space="preserve">Програма за </w:t>
      </w:r>
      <w:r w:rsidR="004050A5" w:rsidRPr="00610B1B">
        <w:rPr>
          <w:rFonts w:ascii="Times New Roman" w:hAnsi="Times New Roman" w:cs="Times New Roman"/>
          <w:bCs/>
          <w:sz w:val="24"/>
          <w:szCs w:val="24"/>
          <w:lang w:val="bg-BG"/>
        </w:rPr>
        <w:t xml:space="preserve">морско </w:t>
      </w:r>
      <w:r w:rsidRPr="00610B1B">
        <w:rPr>
          <w:rFonts w:ascii="Times New Roman" w:hAnsi="Times New Roman" w:cs="Times New Roman"/>
          <w:bCs/>
          <w:sz w:val="24"/>
          <w:szCs w:val="24"/>
          <w:lang w:val="bg-BG"/>
        </w:rPr>
        <w:t>дело и рибарство</w:t>
      </w:r>
    </w:p>
    <w:p w14:paraId="437A8241" w14:textId="4EBAE5BA" w:rsidR="000E0A3F" w:rsidRPr="00610B1B" w:rsidRDefault="00D551EE" w:rsidP="00D32D6A">
      <w:pPr>
        <w:spacing w:after="120"/>
        <w:ind w:left="1440" w:right="-153" w:hanging="1440"/>
        <w:rPr>
          <w:rFonts w:ascii="Times New Roman" w:hAnsi="Times New Roman" w:cs="Times New Roman"/>
          <w:lang w:val="bg-BG"/>
        </w:rPr>
      </w:pPr>
      <w:r w:rsidRPr="00610B1B">
        <w:rPr>
          <w:rFonts w:ascii="Times New Roman" w:hAnsi="Times New Roman" w:cs="Times New Roman"/>
          <w:b/>
          <w:sz w:val="24"/>
          <w:szCs w:val="24"/>
          <w:lang w:val="bg-BG"/>
        </w:rPr>
        <w:lastRenderedPageBreak/>
        <w:t>ПОУ</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План за опазване и управление</w:t>
      </w:r>
      <w:r w:rsidR="000E0A3F" w:rsidRPr="00610B1B">
        <w:rPr>
          <w:rFonts w:ascii="Times New Roman" w:hAnsi="Times New Roman" w:cs="Times New Roman"/>
          <w:lang w:val="bg-BG"/>
        </w:rPr>
        <w:t xml:space="preserve"> </w:t>
      </w:r>
    </w:p>
    <w:p w14:paraId="1F627CC1" w14:textId="6D25CAA1" w:rsidR="00AC3F5F" w:rsidRPr="00610B1B" w:rsidRDefault="00AC3F5F" w:rsidP="00D32D6A">
      <w:pPr>
        <w:spacing w:after="120"/>
        <w:ind w:left="1440" w:right="-153" w:hanging="1440"/>
        <w:rPr>
          <w:rFonts w:ascii="Times New Roman" w:hAnsi="Times New Roman" w:cs="Times New Roman"/>
          <w:b/>
          <w:sz w:val="24"/>
          <w:szCs w:val="24"/>
          <w:lang w:val="bg-BG"/>
        </w:rPr>
      </w:pPr>
      <w:r w:rsidRPr="00610B1B">
        <w:rPr>
          <w:rFonts w:ascii="Times New Roman" w:hAnsi="Times New Roman" w:cs="Times New Roman"/>
          <w:b/>
          <w:sz w:val="24"/>
          <w:szCs w:val="24"/>
          <w:lang w:val="bg-BG"/>
        </w:rPr>
        <w:t>ПУРБ</w:t>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План за управление на речни басейни</w:t>
      </w:r>
    </w:p>
    <w:p w14:paraId="7A77F290" w14:textId="1DAC1244" w:rsidR="00AC3F5F" w:rsidRPr="00610B1B" w:rsidRDefault="00AC3F5F" w:rsidP="00D32D6A">
      <w:pPr>
        <w:spacing w:after="120"/>
        <w:ind w:left="1440" w:right="-153" w:hanging="1440"/>
        <w:rPr>
          <w:rFonts w:ascii="Times New Roman" w:hAnsi="Times New Roman" w:cs="Times New Roman"/>
          <w:bCs/>
          <w:sz w:val="24"/>
          <w:szCs w:val="24"/>
          <w:lang w:val="bg-BG"/>
        </w:rPr>
      </w:pPr>
      <w:r w:rsidRPr="00610B1B">
        <w:rPr>
          <w:rFonts w:ascii="Times New Roman" w:hAnsi="Times New Roman" w:cs="Times New Roman"/>
          <w:b/>
          <w:sz w:val="24"/>
          <w:szCs w:val="24"/>
          <w:lang w:val="bg-BG"/>
        </w:rPr>
        <w:t>ПУРН</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План за управление на риска от наводнения</w:t>
      </w:r>
    </w:p>
    <w:p w14:paraId="5AF2F46A" w14:textId="68087433" w:rsidR="00AC3F5F" w:rsidRPr="00610B1B" w:rsidRDefault="00AC3F5F" w:rsidP="00D32D6A">
      <w:pPr>
        <w:spacing w:after="120"/>
        <w:ind w:left="1440" w:right="-153" w:hanging="1440"/>
        <w:rPr>
          <w:rFonts w:ascii="Times New Roman" w:hAnsi="Times New Roman" w:cs="Times New Roman"/>
          <w:lang w:val="bg-BG"/>
        </w:rPr>
      </w:pPr>
      <w:r w:rsidRPr="00610B1B">
        <w:rPr>
          <w:rFonts w:ascii="Times New Roman" w:hAnsi="Times New Roman" w:cs="Times New Roman"/>
          <w:b/>
          <w:sz w:val="24"/>
          <w:szCs w:val="24"/>
          <w:lang w:val="bg-BG"/>
        </w:rPr>
        <w:t>РДВ</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Рамкова директива за водите</w:t>
      </w:r>
    </w:p>
    <w:p w14:paraId="403B9194" w14:textId="4373B82B" w:rsidR="00AE2A4E" w:rsidRPr="00610B1B" w:rsidRDefault="00AE2A4E" w:rsidP="00D32D6A">
      <w:pPr>
        <w:spacing w:after="120"/>
        <w:ind w:left="1440" w:right="-153" w:hanging="1440"/>
        <w:rPr>
          <w:rFonts w:ascii="Times New Roman" w:hAnsi="Times New Roman" w:cs="Times New Roman"/>
          <w:bCs/>
          <w:sz w:val="24"/>
          <w:szCs w:val="24"/>
          <w:lang w:val="bg-BG"/>
        </w:rPr>
      </w:pPr>
      <w:r w:rsidRPr="00610B1B">
        <w:rPr>
          <w:rFonts w:ascii="Times New Roman" w:hAnsi="Times New Roman" w:cs="Times New Roman"/>
          <w:b/>
          <w:sz w:val="24"/>
          <w:szCs w:val="24"/>
          <w:lang w:val="bg-BG"/>
        </w:rPr>
        <w:t>РДМС</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Рамкова директива за морска стратегия</w:t>
      </w:r>
    </w:p>
    <w:p w14:paraId="4780B831" w14:textId="7DAC9BF4" w:rsidR="0081627B" w:rsidRPr="00610B1B" w:rsidRDefault="00A77233"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РЗИ</w:t>
      </w:r>
      <w:r w:rsidRPr="00610B1B">
        <w:rPr>
          <w:rFonts w:ascii="Times New Roman" w:hAnsi="Times New Roman" w:cs="Times New Roman"/>
          <w:b/>
          <w:sz w:val="24"/>
          <w:szCs w:val="24"/>
          <w:lang w:val="bg-BG"/>
        </w:rPr>
        <w:tab/>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Регионална здравна инспекция</w:t>
      </w:r>
    </w:p>
    <w:p w14:paraId="1527BE38" w14:textId="600B3B5A" w:rsidR="00A77233" w:rsidRPr="00610B1B" w:rsidRDefault="00A77233"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РИОСВ</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Регионална инспекция по околна среда и води</w:t>
      </w:r>
    </w:p>
    <w:p w14:paraId="11FD7E25" w14:textId="2A08CC73" w:rsidR="00B97748" w:rsidRPr="00610B1B" w:rsidRDefault="00B97748"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СГС</w:t>
      </w:r>
      <w:r w:rsidRPr="00610B1B">
        <w:rPr>
          <w:rFonts w:ascii="Times New Roman" w:hAnsi="Times New Roman" w:cs="Times New Roman"/>
          <w:b/>
          <w:sz w:val="24"/>
          <w:szCs w:val="24"/>
          <w:lang w:val="bg-BG"/>
        </w:rPr>
        <w:tab/>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 xml:space="preserve">Средногодишни стойности </w:t>
      </w:r>
    </w:p>
    <w:p w14:paraId="1F44311E" w14:textId="77777777" w:rsidR="00836952" w:rsidRPr="00610B1B" w:rsidRDefault="00836952" w:rsidP="00836952">
      <w:pPr>
        <w:spacing w:after="120"/>
        <w:ind w:left="2160" w:right="-153" w:hanging="2160"/>
        <w:rPr>
          <w:rFonts w:ascii="Times New Roman" w:hAnsi="Times New Roman" w:cs="Times New Roman"/>
          <w:bCs/>
          <w:sz w:val="24"/>
          <w:szCs w:val="24"/>
          <w:lang w:val="bg-BG"/>
        </w:rPr>
      </w:pPr>
      <w:r w:rsidRPr="00610B1B">
        <w:rPr>
          <w:rFonts w:ascii="Times New Roman" w:hAnsi="Times New Roman" w:cs="Times New Roman"/>
          <w:b/>
          <w:sz w:val="24"/>
          <w:szCs w:val="24"/>
          <w:lang w:val="bg-BG"/>
        </w:rPr>
        <w:t>СЕСОНКЦ</w:t>
      </w:r>
      <w:r w:rsidRPr="00610B1B">
        <w:rPr>
          <w:rFonts w:ascii="Times New Roman" w:hAnsi="Times New Roman" w:cs="Times New Roman"/>
          <w:lang w:val="bg-BG"/>
        </w:rPr>
        <w:t xml:space="preserve"> </w:t>
      </w:r>
      <w:r w:rsidRPr="00610B1B">
        <w:rPr>
          <w:rFonts w:ascii="Times New Roman" w:hAnsi="Times New Roman" w:cs="Times New Roman"/>
          <w:lang w:val="bg-BG"/>
        </w:rPr>
        <w:tab/>
      </w:r>
      <w:r w:rsidRPr="00610B1B">
        <w:rPr>
          <w:rFonts w:ascii="Times New Roman" w:hAnsi="Times New Roman" w:cs="Times New Roman"/>
          <w:bCs/>
          <w:sz w:val="24"/>
          <w:szCs w:val="24"/>
          <w:lang w:val="bg-BG"/>
        </w:rPr>
        <w:t>Специализиран експертен съвет за опазване на недвижимите културни ценности</w:t>
      </w:r>
    </w:p>
    <w:p w14:paraId="6F0DA78D" w14:textId="0E34500E" w:rsidR="00D551EE" w:rsidRPr="00610B1B" w:rsidRDefault="00D551EE"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СИР</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Североизточен регион за планиране от ниво 2</w:t>
      </w:r>
    </w:p>
    <w:p w14:paraId="103ECC60" w14:textId="728208B3" w:rsidR="00B97748" w:rsidRPr="00610B1B" w:rsidRDefault="00B97748"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СКОС</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Стандарти за качество на околната среда</w:t>
      </w:r>
    </w:p>
    <w:p w14:paraId="42E5DF69" w14:textId="1481BAEE" w:rsidR="004E2DE6" w:rsidRPr="00610B1B" w:rsidRDefault="004E2DE6"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СМС</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Студен междинен слой</w:t>
      </w:r>
    </w:p>
    <w:p w14:paraId="4FECFAA7" w14:textId="5158A95D" w:rsidR="00836952" w:rsidRPr="00610B1B" w:rsidRDefault="00836952"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СНО</w:t>
      </w:r>
      <w:r w:rsidRPr="00610B1B">
        <w:rPr>
          <w:rFonts w:ascii="Times New Roman" w:hAnsi="Times New Roman" w:cs="Times New Roman"/>
          <w:lang w:val="bg-BG"/>
        </w:rPr>
        <w:t xml:space="preserve"> </w:t>
      </w:r>
      <w:r w:rsidRPr="00610B1B">
        <w:rPr>
          <w:rFonts w:ascii="Times New Roman" w:hAnsi="Times New Roman" w:cs="Times New Roman"/>
          <w:lang w:val="bg-BG"/>
        </w:rPr>
        <w:tab/>
      </w:r>
      <w:r w:rsidRPr="00610B1B">
        <w:rPr>
          <w:rFonts w:ascii="Times New Roman" w:hAnsi="Times New Roman" w:cs="Times New Roman"/>
          <w:lang w:val="bg-BG"/>
        </w:rPr>
        <w:tab/>
      </w:r>
      <w:r w:rsidRPr="00610B1B">
        <w:rPr>
          <w:rFonts w:ascii="Times New Roman" w:hAnsi="Times New Roman" w:cs="Times New Roman"/>
          <w:lang w:val="bg-BG"/>
        </w:rPr>
        <w:tab/>
        <w:t>С</w:t>
      </w:r>
      <w:r w:rsidRPr="00610B1B">
        <w:rPr>
          <w:rFonts w:ascii="Times New Roman" w:hAnsi="Times New Roman" w:cs="Times New Roman"/>
          <w:sz w:val="24"/>
          <w:szCs w:val="24"/>
          <w:lang w:val="bg-BG"/>
        </w:rPr>
        <w:t>редства за навигационно осигуряване</w:t>
      </w:r>
    </w:p>
    <w:p w14:paraId="33DDEB7E" w14:textId="2C94482B" w:rsidR="00D551EE" w:rsidRPr="00610B1B" w:rsidRDefault="00D551EE"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СРД</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Система за разделно движение</w:t>
      </w:r>
    </w:p>
    <w:p w14:paraId="60EE3E8F" w14:textId="7D506F1A" w:rsidR="004E2DE6" w:rsidRPr="00610B1B" w:rsidRDefault="004E2DE6"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ФАР</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Фотосинтетично активна радиация</w:t>
      </w:r>
    </w:p>
    <w:p w14:paraId="2301C131" w14:textId="0304E93D" w:rsidR="00240F11" w:rsidRPr="00610B1B" w:rsidRDefault="00240F11"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ЦМР</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Цифрови модели на релефа</w:t>
      </w:r>
    </w:p>
    <w:p w14:paraId="51E3858C" w14:textId="5BAB775B" w:rsidR="00D551EE" w:rsidRPr="00610B1B" w:rsidRDefault="00D551EE"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ЦПА</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Център за подводна археология</w:t>
      </w:r>
    </w:p>
    <w:p w14:paraId="021584BB" w14:textId="08C4E595" w:rsidR="00D551EE" w:rsidRPr="00610B1B" w:rsidRDefault="00D551EE"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ЮИР</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Югоизточен регион за планиране от ниво 2</w:t>
      </w:r>
    </w:p>
    <w:p w14:paraId="4BF5352B" w14:textId="45C007E6" w:rsidR="00A77233" w:rsidRPr="00610B1B" w:rsidRDefault="00A77233"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ЮНЕСКО</w:t>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004E2DE6" w:rsidRPr="00610B1B">
        <w:rPr>
          <w:rFonts w:ascii="Times New Roman" w:hAnsi="Times New Roman" w:cs="Times New Roman"/>
          <w:bCs/>
          <w:sz w:val="24"/>
          <w:szCs w:val="24"/>
          <w:lang w:val="bg-BG"/>
        </w:rPr>
        <w:t>Организация на обединените нации за образование, наука и култура</w:t>
      </w:r>
    </w:p>
    <w:p w14:paraId="544FEC66" w14:textId="0D403134" w:rsidR="005F6EAB" w:rsidRPr="00610B1B" w:rsidRDefault="005F6EAB"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BPI</w:t>
      </w:r>
      <w:r w:rsidR="007B20F2" w:rsidRPr="00610B1B">
        <w:rPr>
          <w:rFonts w:ascii="Times New Roman" w:hAnsi="Times New Roman" w:cs="Times New Roman"/>
          <w:b/>
          <w:sz w:val="24"/>
          <w:szCs w:val="24"/>
          <w:lang w:val="bg-BG"/>
        </w:rPr>
        <w:tab/>
      </w:r>
      <w:r w:rsidR="007B20F2"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00F557ED" w:rsidRPr="00610B1B">
        <w:rPr>
          <w:rFonts w:ascii="Times New Roman" w:hAnsi="Times New Roman" w:cs="Times New Roman"/>
          <w:bCs/>
          <w:sz w:val="24"/>
          <w:szCs w:val="24"/>
          <w:lang w:val="bg-BG"/>
        </w:rPr>
        <w:t xml:space="preserve">Biopollution Level </w:t>
      </w:r>
      <w:r w:rsidRPr="00610B1B">
        <w:rPr>
          <w:rFonts w:ascii="Times New Roman" w:hAnsi="Times New Roman" w:cs="Times New Roman"/>
          <w:bCs/>
          <w:sz w:val="24"/>
          <w:szCs w:val="24"/>
          <w:lang w:val="bg-BG"/>
        </w:rPr>
        <w:t>Index</w:t>
      </w:r>
    </w:p>
    <w:p w14:paraId="5D7F61B9" w14:textId="743E6F02" w:rsidR="00810A41" w:rsidRPr="00610B1B" w:rsidRDefault="00810A41" w:rsidP="00D32D6A">
      <w:pPr>
        <w:spacing w:after="120"/>
        <w:ind w:right="-153"/>
        <w:rPr>
          <w:rFonts w:ascii="Times New Roman" w:hAnsi="Times New Roman" w:cs="Times New Roman"/>
          <w:color w:val="000000" w:themeColor="text1"/>
          <w:sz w:val="24"/>
          <w:szCs w:val="24"/>
          <w:lang w:val="bg-BG"/>
        </w:rPr>
      </w:pPr>
      <w:r w:rsidRPr="00610B1B">
        <w:rPr>
          <w:rFonts w:ascii="Times New Roman" w:hAnsi="Times New Roman" w:cs="Times New Roman"/>
          <w:b/>
          <w:color w:val="000000" w:themeColor="text1"/>
          <w:sz w:val="24"/>
          <w:szCs w:val="24"/>
          <w:lang w:val="bg-BG"/>
        </w:rPr>
        <w:t>EASME</w:t>
      </w:r>
      <w:r w:rsidRPr="00610B1B">
        <w:rPr>
          <w:rFonts w:ascii="Times New Roman" w:hAnsi="Times New Roman" w:cs="Times New Roman"/>
          <w:b/>
          <w:color w:val="000000" w:themeColor="text1"/>
          <w:sz w:val="24"/>
          <w:szCs w:val="24"/>
          <w:lang w:val="bg-BG"/>
        </w:rPr>
        <w:tab/>
      </w:r>
      <w:r w:rsidRPr="00610B1B">
        <w:rPr>
          <w:rFonts w:ascii="Times New Roman" w:hAnsi="Times New Roman" w:cs="Times New Roman"/>
          <w:b/>
          <w:color w:val="000000" w:themeColor="text1"/>
          <w:sz w:val="24"/>
          <w:szCs w:val="24"/>
          <w:lang w:val="bg-BG"/>
        </w:rPr>
        <w:tab/>
      </w:r>
      <w:r w:rsidRPr="00610B1B">
        <w:rPr>
          <w:rFonts w:ascii="Times New Roman" w:hAnsi="Times New Roman" w:cs="Times New Roman"/>
          <w:color w:val="000000" w:themeColor="text1"/>
          <w:sz w:val="24"/>
          <w:szCs w:val="24"/>
          <w:lang w:val="bg-BG"/>
        </w:rPr>
        <w:t xml:space="preserve">Executive Agency for Small and Medium-sized Enterprises </w:t>
      </w:r>
    </w:p>
    <w:p w14:paraId="14257D41" w14:textId="790204CF" w:rsidR="00EC141D" w:rsidRPr="00610B1B" w:rsidRDefault="00EC141D" w:rsidP="00D32D6A">
      <w:pPr>
        <w:spacing w:after="120"/>
        <w:ind w:right="-153"/>
        <w:rPr>
          <w:rFonts w:ascii="Times New Roman" w:hAnsi="Times New Roman" w:cs="Times New Roman"/>
          <w:bCs/>
          <w:color w:val="000000" w:themeColor="text1"/>
          <w:sz w:val="24"/>
          <w:szCs w:val="24"/>
          <w:lang w:val="bg-BG"/>
        </w:rPr>
      </w:pPr>
      <w:r w:rsidRPr="00610B1B">
        <w:rPr>
          <w:rFonts w:ascii="Times New Roman" w:hAnsi="Times New Roman" w:cs="Times New Roman"/>
          <w:b/>
          <w:color w:val="000000" w:themeColor="text1"/>
          <w:sz w:val="24"/>
          <w:szCs w:val="24"/>
          <w:lang w:val="bg-BG"/>
        </w:rPr>
        <w:t>EEI</w:t>
      </w:r>
      <w:r w:rsidRPr="00610B1B">
        <w:rPr>
          <w:rFonts w:ascii="Times New Roman" w:hAnsi="Times New Roman" w:cs="Times New Roman"/>
          <w:bCs/>
          <w:color w:val="000000" w:themeColor="text1"/>
          <w:sz w:val="24"/>
          <w:szCs w:val="24"/>
          <w:lang w:val="bg-BG"/>
        </w:rPr>
        <w:tab/>
      </w:r>
      <w:r w:rsidRPr="00610B1B">
        <w:rPr>
          <w:rFonts w:ascii="Times New Roman" w:hAnsi="Times New Roman" w:cs="Times New Roman"/>
          <w:bCs/>
          <w:color w:val="000000" w:themeColor="text1"/>
          <w:sz w:val="24"/>
          <w:szCs w:val="24"/>
          <w:lang w:val="bg-BG"/>
        </w:rPr>
        <w:tab/>
      </w:r>
      <w:r w:rsidR="007A7F54" w:rsidRPr="00610B1B">
        <w:rPr>
          <w:rFonts w:ascii="Times New Roman" w:hAnsi="Times New Roman" w:cs="Times New Roman"/>
          <w:bCs/>
          <w:color w:val="000000" w:themeColor="text1"/>
          <w:sz w:val="24"/>
          <w:szCs w:val="24"/>
          <w:lang w:val="bg-BG"/>
        </w:rPr>
        <w:tab/>
      </w:r>
      <w:r w:rsidRPr="00610B1B">
        <w:rPr>
          <w:rFonts w:ascii="Times New Roman" w:hAnsi="Times New Roman" w:cs="Times New Roman"/>
          <w:bCs/>
          <w:color w:val="000000" w:themeColor="text1"/>
          <w:sz w:val="24"/>
          <w:szCs w:val="24"/>
          <w:lang w:val="bg-BG"/>
        </w:rPr>
        <w:t>Ecological Evaluation Index</w:t>
      </w:r>
    </w:p>
    <w:p w14:paraId="496FF335" w14:textId="27F7A5A3" w:rsidR="00CC2289" w:rsidRPr="00610B1B" w:rsidRDefault="00CC2289" w:rsidP="00D32D6A">
      <w:pPr>
        <w:spacing w:after="120"/>
        <w:ind w:right="-153"/>
        <w:rPr>
          <w:rFonts w:ascii="Times New Roman" w:hAnsi="Times New Roman" w:cs="Times New Roman"/>
          <w:bCs/>
          <w:color w:val="000000" w:themeColor="text1"/>
          <w:sz w:val="24"/>
          <w:szCs w:val="24"/>
          <w:lang w:val="bg-BG"/>
        </w:rPr>
      </w:pPr>
      <w:r w:rsidRPr="00610B1B">
        <w:rPr>
          <w:rFonts w:ascii="Times New Roman" w:hAnsi="Times New Roman" w:cs="Times New Roman"/>
          <w:b/>
          <w:color w:val="000000" w:themeColor="text1"/>
          <w:sz w:val="24"/>
          <w:szCs w:val="24"/>
          <w:lang w:val="bg-BG"/>
        </w:rPr>
        <w:t>EFCA</w:t>
      </w:r>
      <w:r w:rsidRPr="00610B1B">
        <w:rPr>
          <w:rFonts w:ascii="Times New Roman" w:hAnsi="Times New Roman" w:cs="Times New Roman"/>
          <w:bCs/>
          <w:color w:val="000000" w:themeColor="text1"/>
          <w:sz w:val="24"/>
          <w:szCs w:val="24"/>
          <w:lang w:val="bg-BG"/>
        </w:rPr>
        <w:t xml:space="preserve"> </w:t>
      </w:r>
      <w:r w:rsidRPr="00610B1B">
        <w:rPr>
          <w:rFonts w:ascii="Times New Roman" w:hAnsi="Times New Roman" w:cs="Times New Roman"/>
          <w:bCs/>
          <w:color w:val="000000" w:themeColor="text1"/>
          <w:sz w:val="24"/>
          <w:szCs w:val="24"/>
          <w:lang w:val="bg-BG"/>
        </w:rPr>
        <w:tab/>
      </w:r>
      <w:r w:rsidRPr="00610B1B">
        <w:rPr>
          <w:rFonts w:ascii="Times New Roman" w:hAnsi="Times New Roman" w:cs="Times New Roman"/>
          <w:bCs/>
          <w:color w:val="000000" w:themeColor="text1"/>
          <w:sz w:val="24"/>
          <w:szCs w:val="24"/>
          <w:lang w:val="bg-BG"/>
        </w:rPr>
        <w:tab/>
      </w:r>
      <w:r w:rsidR="007A7F54" w:rsidRPr="00610B1B">
        <w:rPr>
          <w:rFonts w:ascii="Times New Roman" w:hAnsi="Times New Roman" w:cs="Times New Roman"/>
          <w:bCs/>
          <w:color w:val="000000" w:themeColor="text1"/>
          <w:sz w:val="24"/>
          <w:szCs w:val="24"/>
          <w:lang w:val="bg-BG"/>
        </w:rPr>
        <w:tab/>
      </w:r>
      <w:r w:rsidRPr="00610B1B">
        <w:rPr>
          <w:rFonts w:ascii="Times New Roman" w:hAnsi="Times New Roman" w:cs="Times New Roman"/>
          <w:bCs/>
          <w:color w:val="000000" w:themeColor="text1"/>
          <w:sz w:val="24"/>
          <w:szCs w:val="24"/>
          <w:lang w:val="bg-BG"/>
        </w:rPr>
        <w:t xml:space="preserve">European Fisheries Control </w:t>
      </w:r>
      <w:r w:rsidR="00352BBB" w:rsidRPr="00610B1B">
        <w:rPr>
          <w:rFonts w:ascii="Times New Roman" w:hAnsi="Times New Roman" w:cs="Times New Roman"/>
          <w:bCs/>
          <w:color w:val="000000" w:themeColor="text1"/>
          <w:sz w:val="24"/>
          <w:szCs w:val="24"/>
          <w:lang w:val="bg-BG"/>
        </w:rPr>
        <w:t>Agency</w:t>
      </w:r>
    </w:p>
    <w:p w14:paraId="629A2C4A" w14:textId="30C91776" w:rsidR="00810A41" w:rsidRPr="00610B1B" w:rsidRDefault="00810A41" w:rsidP="00D32D6A">
      <w:pPr>
        <w:spacing w:after="120"/>
        <w:ind w:right="-153"/>
        <w:rPr>
          <w:rFonts w:ascii="Times New Roman" w:hAnsi="Times New Roman" w:cs="Times New Roman"/>
          <w:bCs/>
          <w:color w:val="000000" w:themeColor="text1"/>
          <w:sz w:val="24"/>
          <w:szCs w:val="24"/>
          <w:lang w:val="bg-BG"/>
        </w:rPr>
      </w:pPr>
      <w:r w:rsidRPr="00610B1B">
        <w:rPr>
          <w:rFonts w:ascii="Times New Roman" w:hAnsi="Times New Roman" w:cs="Times New Roman"/>
          <w:b/>
          <w:bCs/>
          <w:color w:val="000000" w:themeColor="text1"/>
          <w:sz w:val="24"/>
          <w:szCs w:val="24"/>
          <w:lang w:val="bg-BG"/>
        </w:rPr>
        <w:t>EMFF</w:t>
      </w:r>
      <w:r w:rsidRPr="00610B1B">
        <w:rPr>
          <w:rFonts w:ascii="Times New Roman" w:hAnsi="Times New Roman" w:cs="Times New Roman"/>
          <w:b/>
          <w:bCs/>
          <w:color w:val="000000" w:themeColor="text1"/>
          <w:sz w:val="24"/>
          <w:szCs w:val="24"/>
          <w:lang w:val="bg-BG"/>
        </w:rPr>
        <w:tab/>
      </w:r>
      <w:r w:rsidRPr="00610B1B">
        <w:rPr>
          <w:rFonts w:ascii="Times New Roman" w:hAnsi="Times New Roman" w:cs="Times New Roman"/>
          <w:b/>
          <w:bCs/>
          <w:color w:val="000000" w:themeColor="text1"/>
          <w:sz w:val="24"/>
          <w:szCs w:val="24"/>
          <w:lang w:val="bg-BG"/>
        </w:rPr>
        <w:tab/>
      </w:r>
      <w:r w:rsidRPr="00610B1B">
        <w:rPr>
          <w:rFonts w:ascii="Times New Roman" w:hAnsi="Times New Roman" w:cs="Times New Roman"/>
          <w:b/>
          <w:bCs/>
          <w:color w:val="000000" w:themeColor="text1"/>
          <w:sz w:val="24"/>
          <w:szCs w:val="24"/>
          <w:lang w:val="bg-BG"/>
        </w:rPr>
        <w:tab/>
      </w:r>
      <w:r w:rsidRPr="00610B1B">
        <w:rPr>
          <w:rFonts w:ascii="Times New Roman" w:hAnsi="Times New Roman" w:cs="Times New Roman"/>
          <w:bCs/>
          <w:color w:val="000000" w:themeColor="text1"/>
          <w:sz w:val="24"/>
          <w:szCs w:val="24"/>
          <w:lang w:val="bg-BG"/>
        </w:rPr>
        <w:t>European Maritime and Fisheries Fund</w:t>
      </w:r>
    </w:p>
    <w:p w14:paraId="40F7ABDE" w14:textId="2613D7F2" w:rsidR="00CC2289" w:rsidRPr="00610B1B" w:rsidRDefault="00CC2289"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EMSA</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 xml:space="preserve">Agency European Maritime Safety Agency </w:t>
      </w:r>
    </w:p>
    <w:p w14:paraId="292E33C3" w14:textId="5A5C07E4" w:rsidR="00351625" w:rsidRPr="00610B1B" w:rsidRDefault="00351625"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IBI</w:t>
      </w:r>
      <w:r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 xml:space="preserve">Интегриран биологичен индекс </w:t>
      </w:r>
    </w:p>
    <w:p w14:paraId="05797805" w14:textId="08071960" w:rsidR="008D08D5" w:rsidRPr="00610B1B" w:rsidRDefault="008D08D5"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IMO</w:t>
      </w:r>
      <w:r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International Maritime Organisation</w:t>
      </w:r>
    </w:p>
    <w:p w14:paraId="0A0900D1" w14:textId="06AD90C3" w:rsidR="00240F11" w:rsidRPr="00610B1B" w:rsidRDefault="00240F11"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IOC</w:t>
      </w:r>
      <w:r w:rsidRPr="00610B1B">
        <w:rPr>
          <w:rFonts w:ascii="Times New Roman" w:hAnsi="Times New Roman" w:cs="Times New Roman"/>
          <w:b/>
          <w:sz w:val="24"/>
          <w:szCs w:val="24"/>
          <w:lang w:val="bg-BG"/>
        </w:rPr>
        <w:tab/>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Intergovernmental Oceanographic Commission</w:t>
      </w:r>
    </w:p>
    <w:p w14:paraId="5A2AE26F" w14:textId="0C8BE4E9" w:rsidR="00CC2289" w:rsidRPr="00610B1B" w:rsidRDefault="005F6EAB" w:rsidP="00D32D6A">
      <w:pPr>
        <w:spacing w:after="120"/>
        <w:ind w:right="-153"/>
        <w:rPr>
          <w:rFonts w:ascii="Times New Roman" w:hAnsi="Times New Roman" w:cs="Times New Roman"/>
          <w:bCs/>
          <w:sz w:val="24"/>
          <w:szCs w:val="24"/>
          <w:lang w:val="bg-BG"/>
        </w:rPr>
      </w:pPr>
      <w:r w:rsidRPr="00610B1B">
        <w:rPr>
          <w:rFonts w:ascii="Times New Roman" w:hAnsi="Times New Roman" w:cs="Times New Roman"/>
          <w:b/>
          <w:sz w:val="24"/>
          <w:szCs w:val="24"/>
          <w:lang w:val="bg-BG"/>
        </w:rPr>
        <w:t>SBCI</w:t>
      </w:r>
      <w:r w:rsidRPr="00610B1B">
        <w:rPr>
          <w:rFonts w:ascii="Times New Roman" w:hAnsi="Times New Roman" w:cs="Times New Roman"/>
          <w:b/>
          <w:sz w:val="24"/>
          <w:szCs w:val="24"/>
          <w:lang w:val="bg-BG"/>
        </w:rPr>
        <w:tab/>
      </w:r>
      <w:r w:rsidRPr="00610B1B">
        <w:rPr>
          <w:rFonts w:ascii="Times New Roman" w:hAnsi="Times New Roman" w:cs="Times New Roman"/>
          <w:b/>
          <w:sz w:val="24"/>
          <w:szCs w:val="24"/>
          <w:lang w:val="bg-BG"/>
        </w:rPr>
        <w:tab/>
      </w:r>
      <w:r w:rsidR="007A7F54" w:rsidRPr="00610B1B">
        <w:rPr>
          <w:rFonts w:ascii="Times New Roman" w:hAnsi="Times New Roman" w:cs="Times New Roman"/>
          <w:b/>
          <w:sz w:val="24"/>
          <w:szCs w:val="24"/>
          <w:lang w:val="bg-BG"/>
        </w:rPr>
        <w:tab/>
      </w:r>
      <w:r w:rsidRPr="00610B1B">
        <w:rPr>
          <w:rFonts w:ascii="Times New Roman" w:hAnsi="Times New Roman" w:cs="Times New Roman"/>
          <w:bCs/>
          <w:sz w:val="24"/>
          <w:szCs w:val="24"/>
          <w:lang w:val="bg-BG"/>
        </w:rPr>
        <w:t>Site-specific Biocontamination Index</w:t>
      </w:r>
    </w:p>
    <w:p w14:paraId="7599D2A2" w14:textId="5EA94A88" w:rsidR="005F6EAB" w:rsidRPr="00610B1B" w:rsidRDefault="00CC2289" w:rsidP="00D32D6A">
      <w:pPr>
        <w:spacing w:after="120"/>
        <w:ind w:right="-153"/>
        <w:rPr>
          <w:rFonts w:ascii="Times New Roman" w:hAnsi="Times New Roman" w:cs="Times New Roman"/>
          <w:b/>
          <w:sz w:val="24"/>
          <w:szCs w:val="24"/>
          <w:lang w:val="bg-BG"/>
        </w:rPr>
      </w:pPr>
      <w:r w:rsidRPr="00610B1B">
        <w:rPr>
          <w:rFonts w:ascii="Times New Roman" w:hAnsi="Times New Roman" w:cs="Times New Roman"/>
          <w:b/>
          <w:sz w:val="24"/>
          <w:szCs w:val="24"/>
          <w:lang w:val="bg-BG"/>
        </w:rPr>
        <w:t>UNCLOS</w:t>
      </w:r>
      <w:r w:rsidRPr="00610B1B">
        <w:rPr>
          <w:rFonts w:ascii="Times New Roman" w:hAnsi="Times New Roman" w:cs="Times New Roman"/>
          <w:bCs/>
          <w:sz w:val="24"/>
          <w:szCs w:val="24"/>
          <w:lang w:val="bg-BG"/>
        </w:rPr>
        <w:tab/>
      </w:r>
      <w:r w:rsidR="007A7F54" w:rsidRPr="00610B1B">
        <w:rPr>
          <w:rFonts w:ascii="Times New Roman" w:hAnsi="Times New Roman" w:cs="Times New Roman"/>
          <w:bCs/>
          <w:sz w:val="24"/>
          <w:szCs w:val="24"/>
          <w:lang w:val="bg-BG"/>
        </w:rPr>
        <w:tab/>
      </w:r>
      <w:r w:rsidRPr="00610B1B">
        <w:rPr>
          <w:rFonts w:ascii="Times New Roman" w:hAnsi="Times New Roman" w:cs="Times New Roman"/>
          <w:bCs/>
          <w:sz w:val="24"/>
          <w:szCs w:val="24"/>
          <w:lang w:val="bg-BG"/>
        </w:rPr>
        <w:t>United Nations Convention of the Law of the Sea</w:t>
      </w:r>
      <w:r w:rsidR="005F6EAB" w:rsidRPr="00610B1B">
        <w:rPr>
          <w:rFonts w:ascii="Times New Roman" w:hAnsi="Times New Roman" w:cs="Times New Roman"/>
          <w:bCs/>
          <w:sz w:val="24"/>
          <w:szCs w:val="24"/>
          <w:lang w:val="bg-BG"/>
        </w:rPr>
        <w:t xml:space="preserve"> </w:t>
      </w:r>
    </w:p>
    <w:p w14:paraId="47316FD5" w14:textId="77777777" w:rsidR="00FB58CD" w:rsidRPr="00610B1B" w:rsidRDefault="00FB58CD" w:rsidP="00D32D6A">
      <w:pPr>
        <w:spacing w:after="120"/>
        <w:ind w:right="-153"/>
        <w:rPr>
          <w:rFonts w:ascii="Times New Roman" w:hAnsi="Times New Roman" w:cs="Times New Roman"/>
          <w:sz w:val="24"/>
          <w:szCs w:val="24"/>
          <w:lang w:val="bg-BG"/>
        </w:rPr>
      </w:pPr>
    </w:p>
    <w:p w14:paraId="02B19831" w14:textId="0D768FC3" w:rsidR="00EC7555" w:rsidRPr="00610B1B" w:rsidRDefault="00EC7555" w:rsidP="00D32D6A">
      <w:pPr>
        <w:pStyle w:val="Heading1"/>
        <w:spacing w:before="0" w:line="276" w:lineRule="auto"/>
        <w:rPr>
          <w:rFonts w:cs="Times New Roman"/>
        </w:rPr>
      </w:pPr>
      <w:bookmarkStart w:id="4" w:name="_Toc83391347"/>
      <w:r w:rsidRPr="00610B1B">
        <w:rPr>
          <w:rFonts w:cs="Times New Roman"/>
        </w:rPr>
        <w:lastRenderedPageBreak/>
        <w:t>СПИСЪК НА ФИГУРИТЕ</w:t>
      </w:r>
      <w:bookmarkEnd w:id="4"/>
    </w:p>
    <w:p w14:paraId="34D7EA28" w14:textId="1B84ABBD" w:rsidR="00260629" w:rsidRPr="00610B1B" w:rsidRDefault="00FC431F">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r w:rsidRPr="00610B1B">
        <w:rPr>
          <w:rFonts w:cs="Times New Roman"/>
        </w:rPr>
        <w:fldChar w:fldCharType="begin"/>
      </w:r>
      <w:r w:rsidRPr="00610B1B">
        <w:rPr>
          <w:rFonts w:cs="Times New Roman"/>
        </w:rPr>
        <w:instrText xml:space="preserve"> TOC \h \z \c "Фигура" </w:instrText>
      </w:r>
      <w:r w:rsidRPr="00610B1B">
        <w:rPr>
          <w:rFonts w:cs="Times New Roman"/>
        </w:rPr>
        <w:fldChar w:fldCharType="separate"/>
      </w:r>
      <w:hyperlink w:anchor="_Toc83391464" w:history="1">
        <w:r w:rsidR="00260629" w:rsidRPr="00610B1B">
          <w:rPr>
            <w:rStyle w:val="Hyperlink"/>
            <w:rFonts w:cs="Times New Roman"/>
            <w:noProof/>
          </w:rPr>
          <w:t>Фигура 1: Геоморфоложко райониране на българското черноморско крайбрежие.</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_Toc83391464 \h </w:instrText>
        </w:r>
        <w:r w:rsidR="00260629" w:rsidRPr="00610B1B">
          <w:rPr>
            <w:noProof/>
            <w:webHidden/>
          </w:rPr>
        </w:r>
        <w:r w:rsidR="00260629" w:rsidRPr="00610B1B">
          <w:rPr>
            <w:noProof/>
            <w:webHidden/>
          </w:rPr>
          <w:fldChar w:fldCharType="separate"/>
        </w:r>
        <w:r w:rsidR="00260629" w:rsidRPr="00610B1B">
          <w:rPr>
            <w:noProof/>
            <w:webHidden/>
          </w:rPr>
          <w:t>52</w:t>
        </w:r>
        <w:r w:rsidR="00260629" w:rsidRPr="00610B1B">
          <w:rPr>
            <w:noProof/>
            <w:webHidden/>
          </w:rPr>
          <w:fldChar w:fldCharType="end"/>
        </w:r>
      </w:hyperlink>
    </w:p>
    <w:p w14:paraId="5A3EC41E" w14:textId="1C719C9A"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65" w:history="1">
        <w:r w:rsidR="00260629" w:rsidRPr="00610B1B">
          <w:rPr>
            <w:rStyle w:val="Hyperlink"/>
            <w:rFonts w:cs="Times New Roman"/>
            <w:noProof/>
          </w:rPr>
          <w:t>Фигура 2: Морски пространства на Република България.</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_Toc83391465 \h </w:instrText>
        </w:r>
        <w:r w:rsidR="00260629" w:rsidRPr="00610B1B">
          <w:rPr>
            <w:noProof/>
            <w:webHidden/>
          </w:rPr>
        </w:r>
        <w:r w:rsidR="00260629" w:rsidRPr="00610B1B">
          <w:rPr>
            <w:noProof/>
            <w:webHidden/>
          </w:rPr>
          <w:fldChar w:fldCharType="separate"/>
        </w:r>
        <w:r w:rsidR="00260629" w:rsidRPr="00610B1B">
          <w:rPr>
            <w:noProof/>
            <w:webHidden/>
          </w:rPr>
          <w:t>54</w:t>
        </w:r>
        <w:r w:rsidR="00260629" w:rsidRPr="00610B1B">
          <w:rPr>
            <w:noProof/>
            <w:webHidden/>
          </w:rPr>
          <w:fldChar w:fldCharType="end"/>
        </w:r>
      </w:hyperlink>
    </w:p>
    <w:p w14:paraId="34F68698" w14:textId="33E2571C"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66" w:history="1">
        <w:r w:rsidR="00260629" w:rsidRPr="00610B1B">
          <w:rPr>
            <w:rStyle w:val="Hyperlink"/>
            <w:rFonts w:cs="Times New Roman"/>
            <w:noProof/>
          </w:rPr>
          <w:t>Фигура 3: Геоморфоложка карта на българския Черноморски шелф. Геоморфоложки единици (от дълбочина към брега):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_Toc83391466 \h </w:instrText>
        </w:r>
        <w:r w:rsidR="00260629" w:rsidRPr="00610B1B">
          <w:rPr>
            <w:noProof/>
            <w:webHidden/>
          </w:rPr>
        </w:r>
        <w:r w:rsidR="00260629" w:rsidRPr="00610B1B">
          <w:rPr>
            <w:noProof/>
            <w:webHidden/>
          </w:rPr>
          <w:fldChar w:fldCharType="separate"/>
        </w:r>
        <w:r w:rsidR="00260629" w:rsidRPr="00610B1B">
          <w:rPr>
            <w:noProof/>
            <w:webHidden/>
          </w:rPr>
          <w:t>56</w:t>
        </w:r>
        <w:r w:rsidR="00260629" w:rsidRPr="00610B1B">
          <w:rPr>
            <w:noProof/>
            <w:webHidden/>
          </w:rPr>
          <w:fldChar w:fldCharType="end"/>
        </w:r>
      </w:hyperlink>
    </w:p>
    <w:p w14:paraId="70964AEF" w14:textId="62F7DD64"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67" w:history="1">
        <w:r w:rsidR="00260629" w:rsidRPr="00610B1B">
          <w:rPr>
            <w:rStyle w:val="Hyperlink"/>
            <w:rFonts w:cs="Times New Roman"/>
            <w:noProof/>
          </w:rPr>
          <w:t>Фигура 4: Пространствено разпределение на средната значителна височина на вълната, m.</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_Toc83391467 \h </w:instrText>
        </w:r>
        <w:r w:rsidR="00260629" w:rsidRPr="00610B1B">
          <w:rPr>
            <w:noProof/>
            <w:webHidden/>
          </w:rPr>
        </w:r>
        <w:r w:rsidR="00260629" w:rsidRPr="00610B1B">
          <w:rPr>
            <w:noProof/>
            <w:webHidden/>
          </w:rPr>
          <w:fldChar w:fldCharType="separate"/>
        </w:r>
        <w:r w:rsidR="00260629" w:rsidRPr="00610B1B">
          <w:rPr>
            <w:noProof/>
            <w:webHidden/>
          </w:rPr>
          <w:t>65</w:t>
        </w:r>
        <w:r w:rsidR="00260629" w:rsidRPr="00610B1B">
          <w:rPr>
            <w:noProof/>
            <w:webHidden/>
          </w:rPr>
          <w:fldChar w:fldCharType="end"/>
        </w:r>
      </w:hyperlink>
    </w:p>
    <w:p w14:paraId="50C5AB3C" w14:textId="5175FB17"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68" w:history="1">
        <w:r w:rsidR="00260629" w:rsidRPr="00610B1B">
          <w:rPr>
            <w:rStyle w:val="Hyperlink"/>
            <w:rFonts w:cs="Times New Roman"/>
            <w:noProof/>
          </w:rPr>
          <w:t xml:space="preserve">Фигура 5: </w:t>
        </w:r>
        <w:r w:rsidR="00260629" w:rsidRPr="00610B1B">
          <w:rPr>
            <w:rStyle w:val="Hyperlink"/>
            <w:rFonts w:cs="Times New Roman"/>
            <w:iCs/>
            <w:noProof/>
          </w:rPr>
          <w:t>Пространствено разпределение на продължителността на действието в 103 h на вълни с височина 0.3 ÷ 2.0 m</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_Toc83391468 \h </w:instrText>
        </w:r>
        <w:r w:rsidR="00260629" w:rsidRPr="00610B1B">
          <w:rPr>
            <w:noProof/>
            <w:webHidden/>
          </w:rPr>
        </w:r>
        <w:r w:rsidR="00260629" w:rsidRPr="00610B1B">
          <w:rPr>
            <w:noProof/>
            <w:webHidden/>
          </w:rPr>
          <w:fldChar w:fldCharType="separate"/>
        </w:r>
        <w:r w:rsidR="00260629" w:rsidRPr="00610B1B">
          <w:rPr>
            <w:noProof/>
            <w:webHidden/>
          </w:rPr>
          <w:t>65</w:t>
        </w:r>
        <w:r w:rsidR="00260629" w:rsidRPr="00610B1B">
          <w:rPr>
            <w:noProof/>
            <w:webHidden/>
          </w:rPr>
          <w:fldChar w:fldCharType="end"/>
        </w:r>
      </w:hyperlink>
    </w:p>
    <w:p w14:paraId="4A46F2BD" w14:textId="5D6E8F97"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69" w:history="1">
        <w:r w:rsidR="00260629" w:rsidRPr="00610B1B">
          <w:rPr>
            <w:rStyle w:val="Hyperlink"/>
            <w:rFonts w:cs="Times New Roman"/>
            <w:noProof/>
          </w:rPr>
          <w:t xml:space="preserve">Фигура 6: </w:t>
        </w:r>
        <w:r w:rsidR="00260629" w:rsidRPr="00610B1B">
          <w:rPr>
            <w:rStyle w:val="Hyperlink"/>
            <w:rFonts w:eastAsia="Source Han Sans CN Regular" w:cs="Times New Roman"/>
            <w:noProof/>
          </w:rPr>
          <w:t>Повърхностни морски водни тела по българското черноморско крайбрежие.</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_Toc83391469 \h </w:instrText>
        </w:r>
        <w:r w:rsidR="00260629" w:rsidRPr="00610B1B">
          <w:rPr>
            <w:noProof/>
            <w:webHidden/>
          </w:rPr>
        </w:r>
        <w:r w:rsidR="00260629" w:rsidRPr="00610B1B">
          <w:rPr>
            <w:noProof/>
            <w:webHidden/>
          </w:rPr>
          <w:fldChar w:fldCharType="separate"/>
        </w:r>
        <w:r w:rsidR="00260629" w:rsidRPr="00610B1B">
          <w:rPr>
            <w:noProof/>
            <w:webHidden/>
          </w:rPr>
          <w:t>67</w:t>
        </w:r>
        <w:r w:rsidR="00260629" w:rsidRPr="00610B1B">
          <w:rPr>
            <w:noProof/>
            <w:webHidden/>
          </w:rPr>
          <w:fldChar w:fldCharType="end"/>
        </w:r>
      </w:hyperlink>
    </w:p>
    <w:p w14:paraId="1EDB239D" w14:textId="50795309"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70" w:history="1">
        <w:r w:rsidR="00260629" w:rsidRPr="00610B1B">
          <w:rPr>
            <w:rStyle w:val="Hyperlink"/>
            <w:rFonts w:cs="Times New Roman"/>
            <w:noProof/>
          </w:rPr>
          <w:t>Фигура 7: Разпределение на средната плътност на риболовния флот през 2017-2018 г., в часове на km</w:t>
        </w:r>
        <w:r w:rsidR="00260629" w:rsidRPr="00610B1B">
          <w:rPr>
            <w:rStyle w:val="Hyperlink"/>
            <w:rFonts w:cs="Times New Roman"/>
            <w:noProof/>
            <w:position w:val="8"/>
          </w:rPr>
          <w:t>2</w:t>
        </w:r>
        <w:r w:rsidR="00260629" w:rsidRPr="00610B1B">
          <w:rPr>
            <w:rStyle w:val="Hyperlink"/>
            <w:rFonts w:cs="Times New Roman"/>
            <w:noProof/>
          </w:rPr>
          <w:t xml:space="preserve"> на година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_Toc83391470 \h </w:instrText>
        </w:r>
        <w:r w:rsidR="00260629" w:rsidRPr="00610B1B">
          <w:rPr>
            <w:noProof/>
            <w:webHidden/>
          </w:rPr>
        </w:r>
        <w:r w:rsidR="00260629" w:rsidRPr="00610B1B">
          <w:rPr>
            <w:noProof/>
            <w:webHidden/>
          </w:rPr>
          <w:fldChar w:fldCharType="separate"/>
        </w:r>
        <w:r w:rsidR="00260629" w:rsidRPr="00610B1B">
          <w:rPr>
            <w:noProof/>
            <w:webHidden/>
          </w:rPr>
          <w:t>86</w:t>
        </w:r>
        <w:r w:rsidR="00260629" w:rsidRPr="00610B1B">
          <w:rPr>
            <w:noProof/>
            <w:webHidden/>
          </w:rPr>
          <w:fldChar w:fldCharType="end"/>
        </w:r>
      </w:hyperlink>
    </w:p>
    <w:p w14:paraId="57F2078A" w14:textId="586D135A"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71" w:history="1">
        <w:r w:rsidR="00260629" w:rsidRPr="00610B1B">
          <w:rPr>
            <w:rStyle w:val="Hyperlink"/>
            <w:rFonts w:cs="Times New Roman"/>
            <w:noProof/>
          </w:rPr>
          <w:t>Фигура 8: Транзитни маршрути на кораби, влезли и излезли от пристанище Варна и Бургас за м. януари 2019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_Toc83391471 \h </w:instrText>
        </w:r>
        <w:r w:rsidR="00260629" w:rsidRPr="00610B1B">
          <w:rPr>
            <w:noProof/>
            <w:webHidden/>
          </w:rPr>
        </w:r>
        <w:r w:rsidR="00260629" w:rsidRPr="00610B1B">
          <w:rPr>
            <w:noProof/>
            <w:webHidden/>
          </w:rPr>
          <w:fldChar w:fldCharType="separate"/>
        </w:r>
        <w:r w:rsidR="00260629" w:rsidRPr="00610B1B">
          <w:rPr>
            <w:noProof/>
            <w:webHidden/>
          </w:rPr>
          <w:t>122</w:t>
        </w:r>
        <w:r w:rsidR="00260629" w:rsidRPr="00610B1B">
          <w:rPr>
            <w:noProof/>
            <w:webHidden/>
          </w:rPr>
          <w:fldChar w:fldCharType="end"/>
        </w:r>
      </w:hyperlink>
    </w:p>
    <w:p w14:paraId="7B181A3D" w14:textId="37DC4150"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72" w:history="1">
        <w:r w:rsidR="00260629" w:rsidRPr="00610B1B">
          <w:rPr>
            <w:rStyle w:val="Hyperlink"/>
            <w:rFonts w:cs="Times New Roman"/>
            <w:noProof/>
          </w:rPr>
          <w:t>Фигура 9: Общо контейнери внос/износ по региони (TEUs)</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_Toc83391472 \h </w:instrText>
        </w:r>
        <w:r w:rsidR="00260629" w:rsidRPr="00610B1B">
          <w:rPr>
            <w:noProof/>
            <w:webHidden/>
          </w:rPr>
        </w:r>
        <w:r w:rsidR="00260629" w:rsidRPr="00610B1B">
          <w:rPr>
            <w:noProof/>
            <w:webHidden/>
          </w:rPr>
          <w:fldChar w:fldCharType="separate"/>
        </w:r>
        <w:r w:rsidR="00260629" w:rsidRPr="00610B1B">
          <w:rPr>
            <w:noProof/>
            <w:webHidden/>
          </w:rPr>
          <w:t>122</w:t>
        </w:r>
        <w:r w:rsidR="00260629" w:rsidRPr="00610B1B">
          <w:rPr>
            <w:noProof/>
            <w:webHidden/>
          </w:rPr>
          <w:fldChar w:fldCharType="end"/>
        </w:r>
      </w:hyperlink>
    </w:p>
    <w:p w14:paraId="66B37F95" w14:textId="3C02AE6F"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73" w:history="1">
        <w:r w:rsidR="00260629" w:rsidRPr="00610B1B">
          <w:rPr>
            <w:rStyle w:val="Hyperlink"/>
            <w:rFonts w:cs="Times New Roman"/>
            <w:noProof/>
          </w:rPr>
          <w:t xml:space="preserve">Фигура 10: </w:t>
        </w:r>
        <w:r w:rsidR="00260629" w:rsidRPr="00610B1B">
          <w:rPr>
            <w:rStyle w:val="Hyperlink"/>
            <w:rFonts w:eastAsiaTheme="minorHAnsi" w:cs="Times New Roman"/>
            <w:noProof/>
            <w:lang w:eastAsia="en-US"/>
          </w:rPr>
          <w:t>Внос на контейнери (TEUs) по региони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_Toc83391473 \h </w:instrText>
        </w:r>
        <w:r w:rsidR="00260629" w:rsidRPr="00610B1B">
          <w:rPr>
            <w:noProof/>
            <w:webHidden/>
          </w:rPr>
        </w:r>
        <w:r w:rsidR="00260629" w:rsidRPr="00610B1B">
          <w:rPr>
            <w:noProof/>
            <w:webHidden/>
          </w:rPr>
          <w:fldChar w:fldCharType="separate"/>
        </w:r>
        <w:r w:rsidR="00260629" w:rsidRPr="00610B1B">
          <w:rPr>
            <w:noProof/>
            <w:webHidden/>
          </w:rPr>
          <w:t>123</w:t>
        </w:r>
        <w:r w:rsidR="00260629" w:rsidRPr="00610B1B">
          <w:rPr>
            <w:noProof/>
            <w:webHidden/>
          </w:rPr>
          <w:fldChar w:fldCharType="end"/>
        </w:r>
      </w:hyperlink>
    </w:p>
    <w:p w14:paraId="0F3266DA" w14:textId="3773E90F"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74" w:history="1">
        <w:r w:rsidR="00260629" w:rsidRPr="00610B1B">
          <w:rPr>
            <w:rStyle w:val="Hyperlink"/>
            <w:rFonts w:cs="Times New Roman"/>
            <w:noProof/>
          </w:rPr>
          <w:t xml:space="preserve">Фигура 11: </w:t>
        </w:r>
        <w:r w:rsidR="00260629" w:rsidRPr="00610B1B">
          <w:rPr>
            <w:rStyle w:val="Hyperlink"/>
            <w:rFonts w:cs="Times New Roman"/>
            <w:noProof/>
            <w:lang w:eastAsia="en-US"/>
          </w:rPr>
          <w:t>Износ на контейнери (TEUs) по региони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_Toc83391474 \h </w:instrText>
        </w:r>
        <w:r w:rsidR="00260629" w:rsidRPr="00610B1B">
          <w:rPr>
            <w:noProof/>
            <w:webHidden/>
          </w:rPr>
        </w:r>
        <w:r w:rsidR="00260629" w:rsidRPr="00610B1B">
          <w:rPr>
            <w:noProof/>
            <w:webHidden/>
          </w:rPr>
          <w:fldChar w:fldCharType="separate"/>
        </w:r>
        <w:r w:rsidR="00260629" w:rsidRPr="00610B1B">
          <w:rPr>
            <w:noProof/>
            <w:webHidden/>
          </w:rPr>
          <w:t>123</w:t>
        </w:r>
        <w:r w:rsidR="00260629" w:rsidRPr="00610B1B">
          <w:rPr>
            <w:noProof/>
            <w:webHidden/>
          </w:rPr>
          <w:fldChar w:fldCharType="end"/>
        </w:r>
      </w:hyperlink>
    </w:p>
    <w:p w14:paraId="1BA06601" w14:textId="5CB14721"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75" w:history="1">
        <w:r w:rsidR="00260629" w:rsidRPr="00610B1B">
          <w:rPr>
            <w:rStyle w:val="Hyperlink"/>
            <w:rFonts w:cs="Times New Roman"/>
            <w:noProof/>
          </w:rPr>
          <w:t xml:space="preserve">Фигура 12: </w:t>
        </w:r>
        <w:r w:rsidR="00260629" w:rsidRPr="00610B1B">
          <w:rPr>
            <w:rStyle w:val="Hyperlink"/>
            <w:rFonts w:eastAsiaTheme="minorHAnsi" w:cs="Times New Roman"/>
            <w:noProof/>
            <w:lang w:eastAsia="en-US"/>
          </w:rPr>
          <w:t>Товарооборот на пристанищата Варна и Бургас</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_Toc83391475 \h </w:instrText>
        </w:r>
        <w:r w:rsidR="00260629" w:rsidRPr="00610B1B">
          <w:rPr>
            <w:noProof/>
            <w:webHidden/>
          </w:rPr>
        </w:r>
        <w:r w:rsidR="00260629" w:rsidRPr="00610B1B">
          <w:rPr>
            <w:noProof/>
            <w:webHidden/>
          </w:rPr>
          <w:fldChar w:fldCharType="separate"/>
        </w:r>
        <w:r w:rsidR="00260629" w:rsidRPr="00610B1B">
          <w:rPr>
            <w:noProof/>
            <w:webHidden/>
          </w:rPr>
          <w:t>124</w:t>
        </w:r>
        <w:r w:rsidR="00260629" w:rsidRPr="00610B1B">
          <w:rPr>
            <w:noProof/>
            <w:webHidden/>
          </w:rPr>
          <w:fldChar w:fldCharType="end"/>
        </w:r>
      </w:hyperlink>
    </w:p>
    <w:p w14:paraId="7375FFAA" w14:textId="3FCBAD93"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76" w:history="1">
        <w:r w:rsidR="00260629" w:rsidRPr="00610B1B">
          <w:rPr>
            <w:rStyle w:val="Hyperlink"/>
            <w:rFonts w:cs="Times New Roman"/>
            <w:noProof/>
          </w:rPr>
          <w:t>Фигура 13: Обобщена графика за Бургас и Варна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_Toc83391476 \h </w:instrText>
        </w:r>
        <w:r w:rsidR="00260629" w:rsidRPr="00610B1B">
          <w:rPr>
            <w:noProof/>
            <w:webHidden/>
          </w:rPr>
        </w:r>
        <w:r w:rsidR="00260629" w:rsidRPr="00610B1B">
          <w:rPr>
            <w:noProof/>
            <w:webHidden/>
          </w:rPr>
          <w:fldChar w:fldCharType="separate"/>
        </w:r>
        <w:r w:rsidR="00260629" w:rsidRPr="00610B1B">
          <w:rPr>
            <w:noProof/>
            <w:webHidden/>
          </w:rPr>
          <w:t>125</w:t>
        </w:r>
        <w:r w:rsidR="00260629" w:rsidRPr="00610B1B">
          <w:rPr>
            <w:noProof/>
            <w:webHidden/>
          </w:rPr>
          <w:fldChar w:fldCharType="end"/>
        </w:r>
      </w:hyperlink>
    </w:p>
    <w:p w14:paraId="10DE0BA8" w14:textId="11353C60"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77" w:history="1">
        <w:r w:rsidR="00260629" w:rsidRPr="00610B1B">
          <w:rPr>
            <w:rStyle w:val="Hyperlink"/>
            <w:rFonts w:cs="Times New Roman"/>
            <w:noProof/>
          </w:rPr>
          <w:t>Фигура 14: Оценка на любителския риболов в българската акватория на Черно море по предложените индикатори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_Toc83391477 \h </w:instrText>
        </w:r>
        <w:r w:rsidR="00260629" w:rsidRPr="00610B1B">
          <w:rPr>
            <w:noProof/>
            <w:webHidden/>
          </w:rPr>
        </w:r>
        <w:r w:rsidR="00260629" w:rsidRPr="00610B1B">
          <w:rPr>
            <w:noProof/>
            <w:webHidden/>
          </w:rPr>
          <w:fldChar w:fldCharType="separate"/>
        </w:r>
        <w:r w:rsidR="00260629" w:rsidRPr="00610B1B">
          <w:rPr>
            <w:noProof/>
            <w:webHidden/>
          </w:rPr>
          <w:t>134</w:t>
        </w:r>
        <w:r w:rsidR="00260629" w:rsidRPr="00610B1B">
          <w:rPr>
            <w:noProof/>
            <w:webHidden/>
          </w:rPr>
          <w:fldChar w:fldCharType="end"/>
        </w:r>
      </w:hyperlink>
    </w:p>
    <w:p w14:paraId="3171D8EA" w14:textId="1EB18148"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78" w:history="1">
        <w:r w:rsidR="00260629" w:rsidRPr="00610B1B">
          <w:rPr>
            <w:rStyle w:val="Hyperlink"/>
            <w:rFonts w:cs="Times New Roman"/>
            <w:noProof/>
          </w:rPr>
          <w:t>Фигура 15: Численост на риболовния флот за периода 2012-2019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_Toc83391478 \h </w:instrText>
        </w:r>
        <w:r w:rsidR="00260629" w:rsidRPr="00610B1B">
          <w:rPr>
            <w:noProof/>
            <w:webHidden/>
          </w:rPr>
        </w:r>
        <w:r w:rsidR="00260629" w:rsidRPr="00610B1B">
          <w:rPr>
            <w:noProof/>
            <w:webHidden/>
          </w:rPr>
          <w:fldChar w:fldCharType="separate"/>
        </w:r>
        <w:r w:rsidR="00260629" w:rsidRPr="00610B1B">
          <w:rPr>
            <w:noProof/>
            <w:webHidden/>
          </w:rPr>
          <w:t>135</w:t>
        </w:r>
        <w:r w:rsidR="00260629" w:rsidRPr="00610B1B">
          <w:rPr>
            <w:noProof/>
            <w:webHidden/>
          </w:rPr>
          <w:fldChar w:fldCharType="end"/>
        </w:r>
      </w:hyperlink>
    </w:p>
    <w:p w14:paraId="779B5B47" w14:textId="2977C7FC"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79" w:history="1">
        <w:r w:rsidR="00260629" w:rsidRPr="00610B1B">
          <w:rPr>
            <w:rStyle w:val="Hyperlink"/>
            <w:rFonts w:cs="Times New Roman"/>
            <w:noProof/>
          </w:rPr>
          <w:t>Фигура 16: Разтоварен улов в кг. от даляни в периода 2015-2019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_Toc83391479 \h </w:instrText>
        </w:r>
        <w:r w:rsidR="00260629" w:rsidRPr="00610B1B">
          <w:rPr>
            <w:noProof/>
            <w:webHidden/>
          </w:rPr>
        </w:r>
        <w:r w:rsidR="00260629" w:rsidRPr="00610B1B">
          <w:rPr>
            <w:noProof/>
            <w:webHidden/>
          </w:rPr>
          <w:fldChar w:fldCharType="separate"/>
        </w:r>
        <w:r w:rsidR="00260629" w:rsidRPr="00610B1B">
          <w:rPr>
            <w:noProof/>
            <w:webHidden/>
          </w:rPr>
          <w:t>136</w:t>
        </w:r>
        <w:r w:rsidR="00260629" w:rsidRPr="00610B1B">
          <w:rPr>
            <w:noProof/>
            <w:webHidden/>
          </w:rPr>
          <w:fldChar w:fldCharType="end"/>
        </w:r>
      </w:hyperlink>
    </w:p>
    <w:p w14:paraId="1E099D91" w14:textId="35B051AC"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80" w:history="1">
        <w:r w:rsidR="00260629" w:rsidRPr="00610B1B">
          <w:rPr>
            <w:rStyle w:val="Hyperlink"/>
            <w:rFonts w:cs="Times New Roman"/>
            <w:noProof/>
          </w:rPr>
          <w:t>Фигура 17: Разтоварване стопански риболов (2015-2019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_Toc83391480 \h </w:instrText>
        </w:r>
        <w:r w:rsidR="00260629" w:rsidRPr="00610B1B">
          <w:rPr>
            <w:noProof/>
            <w:webHidden/>
          </w:rPr>
        </w:r>
        <w:r w:rsidR="00260629" w:rsidRPr="00610B1B">
          <w:rPr>
            <w:noProof/>
            <w:webHidden/>
          </w:rPr>
          <w:fldChar w:fldCharType="separate"/>
        </w:r>
        <w:r w:rsidR="00260629" w:rsidRPr="00610B1B">
          <w:rPr>
            <w:noProof/>
            <w:webHidden/>
          </w:rPr>
          <w:t>137</w:t>
        </w:r>
        <w:r w:rsidR="00260629" w:rsidRPr="00610B1B">
          <w:rPr>
            <w:noProof/>
            <w:webHidden/>
          </w:rPr>
          <w:fldChar w:fldCharType="end"/>
        </w:r>
      </w:hyperlink>
    </w:p>
    <w:p w14:paraId="71EE975E" w14:textId="11554EB4"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81" w:history="1">
        <w:r w:rsidR="00260629" w:rsidRPr="00610B1B">
          <w:rPr>
            <w:rStyle w:val="Hyperlink"/>
            <w:rFonts w:cs="Times New Roman"/>
            <w:noProof/>
          </w:rPr>
          <w:t>Фигура 18: Нива на улов в kg за периода 2015 – 2019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_Toc83391481 \h </w:instrText>
        </w:r>
        <w:r w:rsidR="00260629" w:rsidRPr="00610B1B">
          <w:rPr>
            <w:noProof/>
            <w:webHidden/>
          </w:rPr>
        </w:r>
        <w:r w:rsidR="00260629" w:rsidRPr="00610B1B">
          <w:rPr>
            <w:noProof/>
            <w:webHidden/>
          </w:rPr>
          <w:fldChar w:fldCharType="separate"/>
        </w:r>
        <w:r w:rsidR="00260629" w:rsidRPr="00610B1B">
          <w:rPr>
            <w:noProof/>
            <w:webHidden/>
          </w:rPr>
          <w:t>137</w:t>
        </w:r>
        <w:r w:rsidR="00260629" w:rsidRPr="00610B1B">
          <w:rPr>
            <w:noProof/>
            <w:webHidden/>
          </w:rPr>
          <w:fldChar w:fldCharType="end"/>
        </w:r>
      </w:hyperlink>
    </w:p>
    <w:p w14:paraId="6931ED3A" w14:textId="2CB5E4BC"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82" w:history="1">
        <w:r w:rsidR="00260629" w:rsidRPr="00610B1B">
          <w:rPr>
            <w:rStyle w:val="Hyperlink"/>
            <w:rFonts w:cs="Times New Roman"/>
            <w:noProof/>
          </w:rPr>
          <w:t>Фигура 19: Сезонно разпределение на улова по видове за периода 2015-2018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_Toc83391482 \h </w:instrText>
        </w:r>
        <w:r w:rsidR="00260629" w:rsidRPr="00610B1B">
          <w:rPr>
            <w:noProof/>
            <w:webHidden/>
          </w:rPr>
        </w:r>
        <w:r w:rsidR="00260629" w:rsidRPr="00610B1B">
          <w:rPr>
            <w:noProof/>
            <w:webHidden/>
          </w:rPr>
          <w:fldChar w:fldCharType="separate"/>
        </w:r>
        <w:r w:rsidR="00260629" w:rsidRPr="00610B1B">
          <w:rPr>
            <w:noProof/>
            <w:webHidden/>
          </w:rPr>
          <w:t>138</w:t>
        </w:r>
        <w:r w:rsidR="00260629" w:rsidRPr="00610B1B">
          <w:rPr>
            <w:noProof/>
            <w:webHidden/>
          </w:rPr>
          <w:fldChar w:fldCharType="end"/>
        </w:r>
      </w:hyperlink>
    </w:p>
    <w:p w14:paraId="3B66C27B" w14:textId="2E096218"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83" w:history="1">
        <w:r w:rsidR="00260629" w:rsidRPr="00610B1B">
          <w:rPr>
            <w:rStyle w:val="Hyperlink"/>
            <w:rFonts w:cs="Times New Roman"/>
            <w:noProof/>
          </w:rPr>
          <w:t>Фигура 20: Оценка на стопанския риболов в българската акватория на Черно море по предложените индикатори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_Toc83391483 \h </w:instrText>
        </w:r>
        <w:r w:rsidR="00260629" w:rsidRPr="00610B1B">
          <w:rPr>
            <w:noProof/>
            <w:webHidden/>
          </w:rPr>
        </w:r>
        <w:r w:rsidR="00260629" w:rsidRPr="00610B1B">
          <w:rPr>
            <w:noProof/>
            <w:webHidden/>
          </w:rPr>
          <w:fldChar w:fldCharType="separate"/>
        </w:r>
        <w:r w:rsidR="00260629" w:rsidRPr="00610B1B">
          <w:rPr>
            <w:noProof/>
            <w:webHidden/>
          </w:rPr>
          <w:t>139</w:t>
        </w:r>
        <w:r w:rsidR="00260629" w:rsidRPr="00610B1B">
          <w:rPr>
            <w:noProof/>
            <w:webHidden/>
          </w:rPr>
          <w:fldChar w:fldCharType="end"/>
        </w:r>
      </w:hyperlink>
    </w:p>
    <w:p w14:paraId="703FBE8C" w14:textId="059E0AC1"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84" w:history="1">
        <w:r w:rsidR="00260629" w:rsidRPr="00610B1B">
          <w:rPr>
            <w:rStyle w:val="Hyperlink"/>
            <w:rFonts w:cs="Times New Roman"/>
            <w:noProof/>
          </w:rPr>
          <w:t>Фигура 21: Годишно производство на аквакултури в Р. България (в тона) за периода 2015-2019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_Toc83391484 \h </w:instrText>
        </w:r>
        <w:r w:rsidR="00260629" w:rsidRPr="00610B1B">
          <w:rPr>
            <w:noProof/>
            <w:webHidden/>
          </w:rPr>
        </w:r>
        <w:r w:rsidR="00260629" w:rsidRPr="00610B1B">
          <w:rPr>
            <w:noProof/>
            <w:webHidden/>
          </w:rPr>
          <w:fldChar w:fldCharType="separate"/>
        </w:r>
        <w:r w:rsidR="00260629" w:rsidRPr="00610B1B">
          <w:rPr>
            <w:noProof/>
            <w:webHidden/>
          </w:rPr>
          <w:t>140</w:t>
        </w:r>
        <w:r w:rsidR="00260629" w:rsidRPr="00610B1B">
          <w:rPr>
            <w:noProof/>
            <w:webHidden/>
          </w:rPr>
          <w:fldChar w:fldCharType="end"/>
        </w:r>
      </w:hyperlink>
    </w:p>
    <w:p w14:paraId="587E0734" w14:textId="451CC633"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85" w:history="1">
        <w:r w:rsidR="00260629" w:rsidRPr="00610B1B">
          <w:rPr>
            <w:rStyle w:val="Hyperlink"/>
            <w:rFonts w:cs="Times New Roman"/>
            <w:noProof/>
          </w:rPr>
          <w:t>Фигура 22: Оценка на сектор аквакултури в българската акватория на Черно море по предложените индикатори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_Toc83391485 \h </w:instrText>
        </w:r>
        <w:r w:rsidR="00260629" w:rsidRPr="00610B1B">
          <w:rPr>
            <w:noProof/>
            <w:webHidden/>
          </w:rPr>
        </w:r>
        <w:r w:rsidR="00260629" w:rsidRPr="00610B1B">
          <w:rPr>
            <w:noProof/>
            <w:webHidden/>
          </w:rPr>
          <w:fldChar w:fldCharType="separate"/>
        </w:r>
        <w:r w:rsidR="00260629" w:rsidRPr="00610B1B">
          <w:rPr>
            <w:noProof/>
            <w:webHidden/>
          </w:rPr>
          <w:t>140</w:t>
        </w:r>
        <w:r w:rsidR="00260629" w:rsidRPr="00610B1B">
          <w:rPr>
            <w:noProof/>
            <w:webHidden/>
          </w:rPr>
          <w:fldChar w:fldCharType="end"/>
        </w:r>
      </w:hyperlink>
    </w:p>
    <w:p w14:paraId="75E749F4" w14:textId="186085D9"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86" w:history="1">
        <w:r w:rsidR="00260629" w:rsidRPr="00610B1B">
          <w:rPr>
            <w:rStyle w:val="Hyperlink"/>
            <w:rFonts w:cs="Times New Roman"/>
            <w:noProof/>
          </w:rPr>
          <w:t>Фигура 23: Оценка на рибопреработка в българската акватория на Черно море по предложените индикатори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_Toc83391486 \h </w:instrText>
        </w:r>
        <w:r w:rsidR="00260629" w:rsidRPr="00610B1B">
          <w:rPr>
            <w:noProof/>
            <w:webHidden/>
          </w:rPr>
        </w:r>
        <w:r w:rsidR="00260629" w:rsidRPr="00610B1B">
          <w:rPr>
            <w:noProof/>
            <w:webHidden/>
          </w:rPr>
          <w:fldChar w:fldCharType="separate"/>
        </w:r>
        <w:r w:rsidR="00260629" w:rsidRPr="00610B1B">
          <w:rPr>
            <w:noProof/>
            <w:webHidden/>
          </w:rPr>
          <w:t>141</w:t>
        </w:r>
        <w:r w:rsidR="00260629" w:rsidRPr="00610B1B">
          <w:rPr>
            <w:noProof/>
            <w:webHidden/>
          </w:rPr>
          <w:fldChar w:fldCharType="end"/>
        </w:r>
      </w:hyperlink>
    </w:p>
    <w:p w14:paraId="450CFD57" w14:textId="314825CC"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87" w:history="1">
        <w:r w:rsidR="00260629" w:rsidRPr="00610B1B">
          <w:rPr>
            <w:rStyle w:val="Hyperlink"/>
            <w:rFonts w:cs="Times New Roman"/>
            <w:noProof/>
          </w:rPr>
          <w:t>Фигура 24: Реализирани нощувки по общини, 2018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_Toc83391487 \h </w:instrText>
        </w:r>
        <w:r w:rsidR="00260629" w:rsidRPr="00610B1B">
          <w:rPr>
            <w:noProof/>
            <w:webHidden/>
          </w:rPr>
        </w:r>
        <w:r w:rsidR="00260629" w:rsidRPr="00610B1B">
          <w:rPr>
            <w:noProof/>
            <w:webHidden/>
          </w:rPr>
          <w:fldChar w:fldCharType="separate"/>
        </w:r>
        <w:r w:rsidR="00260629" w:rsidRPr="00610B1B">
          <w:rPr>
            <w:noProof/>
            <w:webHidden/>
          </w:rPr>
          <w:t>146</w:t>
        </w:r>
        <w:r w:rsidR="00260629" w:rsidRPr="00610B1B">
          <w:rPr>
            <w:noProof/>
            <w:webHidden/>
          </w:rPr>
          <w:fldChar w:fldCharType="end"/>
        </w:r>
      </w:hyperlink>
    </w:p>
    <w:p w14:paraId="1E5FDB6F" w14:textId="0AA1B629"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88" w:history="1">
        <w:r w:rsidR="00260629" w:rsidRPr="00610B1B">
          <w:rPr>
            <w:rStyle w:val="Hyperlink"/>
            <w:rFonts w:cs="Times New Roman"/>
            <w:noProof/>
          </w:rPr>
          <w:t>Фигура 25: Трасета на основните оптични кабелни системи в Черно море</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_Toc83391488 \h </w:instrText>
        </w:r>
        <w:r w:rsidR="00260629" w:rsidRPr="00610B1B">
          <w:rPr>
            <w:noProof/>
            <w:webHidden/>
          </w:rPr>
        </w:r>
        <w:r w:rsidR="00260629" w:rsidRPr="00610B1B">
          <w:rPr>
            <w:noProof/>
            <w:webHidden/>
          </w:rPr>
          <w:fldChar w:fldCharType="separate"/>
        </w:r>
        <w:r w:rsidR="00260629" w:rsidRPr="00610B1B">
          <w:rPr>
            <w:noProof/>
            <w:webHidden/>
          </w:rPr>
          <w:t>153</w:t>
        </w:r>
        <w:r w:rsidR="00260629" w:rsidRPr="00610B1B">
          <w:rPr>
            <w:noProof/>
            <w:webHidden/>
          </w:rPr>
          <w:fldChar w:fldCharType="end"/>
        </w:r>
      </w:hyperlink>
    </w:p>
    <w:p w14:paraId="5E71E938" w14:textId="40B48346"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89" w:history="1">
        <w:r w:rsidR="00260629" w:rsidRPr="00610B1B">
          <w:rPr>
            <w:rStyle w:val="Hyperlink"/>
            <w:rFonts w:cs="Times New Roman"/>
            <w:noProof/>
          </w:rPr>
          <w:t>Фигура 26: Трасе на CAUCASUS Cable System - Балчик – Поти (Грузия)</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_Toc83391489 \h </w:instrText>
        </w:r>
        <w:r w:rsidR="00260629" w:rsidRPr="00610B1B">
          <w:rPr>
            <w:noProof/>
            <w:webHidden/>
          </w:rPr>
        </w:r>
        <w:r w:rsidR="00260629" w:rsidRPr="00610B1B">
          <w:rPr>
            <w:noProof/>
            <w:webHidden/>
          </w:rPr>
          <w:fldChar w:fldCharType="separate"/>
        </w:r>
        <w:r w:rsidR="00260629" w:rsidRPr="00610B1B">
          <w:rPr>
            <w:noProof/>
            <w:webHidden/>
          </w:rPr>
          <w:t>153</w:t>
        </w:r>
        <w:r w:rsidR="00260629" w:rsidRPr="00610B1B">
          <w:rPr>
            <w:noProof/>
            <w:webHidden/>
          </w:rPr>
          <w:fldChar w:fldCharType="end"/>
        </w:r>
      </w:hyperlink>
    </w:p>
    <w:p w14:paraId="530CF683" w14:textId="03BC5F33"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90" w:history="1">
        <w:r w:rsidR="00260629" w:rsidRPr="00610B1B">
          <w:rPr>
            <w:rStyle w:val="Hyperlink"/>
            <w:rFonts w:cs="Times New Roman"/>
            <w:noProof/>
          </w:rPr>
          <w:t>Фигура 27: Относителен дял на домакинствата с достъп до интернет и широколентов достъп до интернет</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_Toc83391490 \h </w:instrText>
        </w:r>
        <w:r w:rsidR="00260629" w:rsidRPr="00610B1B">
          <w:rPr>
            <w:noProof/>
            <w:webHidden/>
          </w:rPr>
        </w:r>
        <w:r w:rsidR="00260629" w:rsidRPr="00610B1B">
          <w:rPr>
            <w:noProof/>
            <w:webHidden/>
          </w:rPr>
          <w:fldChar w:fldCharType="separate"/>
        </w:r>
        <w:r w:rsidR="00260629" w:rsidRPr="00610B1B">
          <w:rPr>
            <w:noProof/>
            <w:webHidden/>
          </w:rPr>
          <w:t>154</w:t>
        </w:r>
        <w:r w:rsidR="00260629" w:rsidRPr="00610B1B">
          <w:rPr>
            <w:noProof/>
            <w:webHidden/>
          </w:rPr>
          <w:fldChar w:fldCharType="end"/>
        </w:r>
      </w:hyperlink>
    </w:p>
    <w:p w14:paraId="3359F262" w14:textId="63BA3CE9"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91" w:history="1">
        <w:r w:rsidR="00260629" w:rsidRPr="00610B1B">
          <w:rPr>
            <w:rStyle w:val="Hyperlink"/>
            <w:rFonts w:cs="Times New Roman"/>
            <w:noProof/>
          </w:rPr>
          <w:t>Фигура 28: Заети лица в секторите на синята икономика в България, брой, 2017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_Toc83391491 \h </w:instrText>
        </w:r>
        <w:r w:rsidR="00260629" w:rsidRPr="00610B1B">
          <w:rPr>
            <w:noProof/>
            <w:webHidden/>
          </w:rPr>
        </w:r>
        <w:r w:rsidR="00260629" w:rsidRPr="00610B1B">
          <w:rPr>
            <w:noProof/>
            <w:webHidden/>
          </w:rPr>
          <w:fldChar w:fldCharType="separate"/>
        </w:r>
        <w:r w:rsidR="00260629" w:rsidRPr="00610B1B">
          <w:rPr>
            <w:noProof/>
            <w:webHidden/>
          </w:rPr>
          <w:t>165</w:t>
        </w:r>
        <w:r w:rsidR="00260629" w:rsidRPr="00610B1B">
          <w:rPr>
            <w:noProof/>
            <w:webHidden/>
          </w:rPr>
          <w:fldChar w:fldCharType="end"/>
        </w:r>
      </w:hyperlink>
    </w:p>
    <w:p w14:paraId="1CB45792" w14:textId="003EAC22"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92" w:history="1">
        <w:r w:rsidR="00260629" w:rsidRPr="00610B1B">
          <w:rPr>
            <w:rStyle w:val="Hyperlink"/>
            <w:rFonts w:cs="Times New Roman"/>
            <w:noProof/>
          </w:rPr>
          <w:t>Фигура 29: БДС на секторите на синята икономика в България, млн.евро, 2017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_Toc83391492 \h </w:instrText>
        </w:r>
        <w:r w:rsidR="00260629" w:rsidRPr="00610B1B">
          <w:rPr>
            <w:noProof/>
            <w:webHidden/>
          </w:rPr>
        </w:r>
        <w:r w:rsidR="00260629" w:rsidRPr="00610B1B">
          <w:rPr>
            <w:noProof/>
            <w:webHidden/>
          </w:rPr>
          <w:fldChar w:fldCharType="separate"/>
        </w:r>
        <w:r w:rsidR="00260629" w:rsidRPr="00610B1B">
          <w:rPr>
            <w:noProof/>
            <w:webHidden/>
          </w:rPr>
          <w:t>165</w:t>
        </w:r>
        <w:r w:rsidR="00260629" w:rsidRPr="00610B1B">
          <w:rPr>
            <w:noProof/>
            <w:webHidden/>
          </w:rPr>
          <w:fldChar w:fldCharType="end"/>
        </w:r>
      </w:hyperlink>
    </w:p>
    <w:p w14:paraId="4D9037D5" w14:textId="7CA85C37"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93" w:history="1">
        <w:r w:rsidR="00260629" w:rsidRPr="00610B1B">
          <w:rPr>
            <w:rStyle w:val="Hyperlink"/>
            <w:rFonts w:cs="Times New Roman"/>
            <w:noProof/>
          </w:rPr>
          <w:t xml:space="preserve">Фигура 30: </w:t>
        </w:r>
        <w:r w:rsidR="00260629" w:rsidRPr="00610B1B">
          <w:rPr>
            <w:rStyle w:val="Hyperlink"/>
            <w:rFonts w:cs="Times New Roman"/>
            <w:bCs/>
            <w:noProof/>
          </w:rPr>
          <w:t>Брой средства за подслон и места за настаняване –по общини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_Toc83391493 \h </w:instrText>
        </w:r>
        <w:r w:rsidR="00260629" w:rsidRPr="00610B1B">
          <w:rPr>
            <w:noProof/>
            <w:webHidden/>
          </w:rPr>
        </w:r>
        <w:r w:rsidR="00260629" w:rsidRPr="00610B1B">
          <w:rPr>
            <w:noProof/>
            <w:webHidden/>
          </w:rPr>
          <w:fldChar w:fldCharType="separate"/>
        </w:r>
        <w:r w:rsidR="00260629" w:rsidRPr="00610B1B">
          <w:rPr>
            <w:noProof/>
            <w:webHidden/>
          </w:rPr>
          <w:t>167</w:t>
        </w:r>
        <w:r w:rsidR="00260629" w:rsidRPr="00610B1B">
          <w:rPr>
            <w:noProof/>
            <w:webHidden/>
          </w:rPr>
          <w:fldChar w:fldCharType="end"/>
        </w:r>
      </w:hyperlink>
    </w:p>
    <w:p w14:paraId="30BABE45" w14:textId="31F61118"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94" w:history="1">
        <w:r w:rsidR="00260629" w:rsidRPr="00610B1B">
          <w:rPr>
            <w:rStyle w:val="Hyperlink"/>
            <w:rFonts w:cs="Times New Roman"/>
            <w:noProof/>
          </w:rPr>
          <w:t xml:space="preserve">Фигура 31: </w:t>
        </w:r>
        <w:r w:rsidR="00260629" w:rsidRPr="00610B1B">
          <w:rPr>
            <w:rStyle w:val="Hyperlink"/>
            <w:rFonts w:cs="Times New Roman"/>
            <w:bCs/>
            <w:noProof/>
          </w:rPr>
          <w:t>Приходи от нощувки – 2018 г. (%)</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_Toc83391494 \h </w:instrText>
        </w:r>
        <w:r w:rsidR="00260629" w:rsidRPr="00610B1B">
          <w:rPr>
            <w:noProof/>
            <w:webHidden/>
          </w:rPr>
        </w:r>
        <w:r w:rsidR="00260629" w:rsidRPr="00610B1B">
          <w:rPr>
            <w:noProof/>
            <w:webHidden/>
          </w:rPr>
          <w:fldChar w:fldCharType="separate"/>
        </w:r>
        <w:r w:rsidR="00260629" w:rsidRPr="00610B1B">
          <w:rPr>
            <w:noProof/>
            <w:webHidden/>
          </w:rPr>
          <w:t>168</w:t>
        </w:r>
        <w:r w:rsidR="00260629" w:rsidRPr="00610B1B">
          <w:rPr>
            <w:noProof/>
            <w:webHidden/>
          </w:rPr>
          <w:fldChar w:fldCharType="end"/>
        </w:r>
      </w:hyperlink>
    </w:p>
    <w:p w14:paraId="07223962" w14:textId="65D8EF21"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95" w:history="1">
        <w:r w:rsidR="00260629" w:rsidRPr="00610B1B">
          <w:rPr>
            <w:rStyle w:val="Hyperlink"/>
            <w:rFonts w:cs="Times New Roman"/>
            <w:noProof/>
          </w:rPr>
          <w:t xml:space="preserve">Фигура 32: </w:t>
        </w:r>
        <w:r w:rsidR="00260629" w:rsidRPr="00610B1B">
          <w:rPr>
            <w:rStyle w:val="Hyperlink"/>
            <w:rFonts w:cs="Times New Roman"/>
            <w:bCs/>
            <w:noProof/>
          </w:rPr>
          <w:t>Улови по общини за 2018 г., kg</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_Toc83391495 \h </w:instrText>
        </w:r>
        <w:r w:rsidR="00260629" w:rsidRPr="00610B1B">
          <w:rPr>
            <w:noProof/>
            <w:webHidden/>
          </w:rPr>
        </w:r>
        <w:r w:rsidR="00260629" w:rsidRPr="00610B1B">
          <w:rPr>
            <w:noProof/>
            <w:webHidden/>
          </w:rPr>
          <w:fldChar w:fldCharType="separate"/>
        </w:r>
        <w:r w:rsidR="00260629" w:rsidRPr="00610B1B">
          <w:rPr>
            <w:noProof/>
            <w:webHidden/>
          </w:rPr>
          <w:t>169</w:t>
        </w:r>
        <w:r w:rsidR="00260629" w:rsidRPr="00610B1B">
          <w:rPr>
            <w:noProof/>
            <w:webHidden/>
          </w:rPr>
          <w:fldChar w:fldCharType="end"/>
        </w:r>
      </w:hyperlink>
    </w:p>
    <w:p w14:paraId="47000FAF" w14:textId="2738C4CC"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96" w:history="1">
        <w:r w:rsidR="00260629" w:rsidRPr="00610B1B">
          <w:rPr>
            <w:rStyle w:val="Hyperlink"/>
            <w:rFonts w:cs="Times New Roman"/>
            <w:noProof/>
          </w:rPr>
          <w:t xml:space="preserve">Фигура 33: </w:t>
        </w:r>
        <w:r w:rsidR="00260629" w:rsidRPr="00610B1B">
          <w:rPr>
            <w:rStyle w:val="Hyperlink"/>
            <w:rFonts w:cs="Times New Roman"/>
            <w:bCs/>
            <w:noProof/>
          </w:rPr>
          <w:t>Блоковете за търсене и проучване на нефт и природен газ на територията на Република България, континенталния шелф и ИИЗ на Черно море</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_Toc83391496 \h </w:instrText>
        </w:r>
        <w:r w:rsidR="00260629" w:rsidRPr="00610B1B">
          <w:rPr>
            <w:noProof/>
            <w:webHidden/>
          </w:rPr>
        </w:r>
        <w:r w:rsidR="00260629" w:rsidRPr="00610B1B">
          <w:rPr>
            <w:noProof/>
            <w:webHidden/>
          </w:rPr>
          <w:fldChar w:fldCharType="separate"/>
        </w:r>
        <w:r w:rsidR="00260629" w:rsidRPr="00610B1B">
          <w:rPr>
            <w:noProof/>
            <w:webHidden/>
          </w:rPr>
          <w:t>171</w:t>
        </w:r>
        <w:r w:rsidR="00260629" w:rsidRPr="00610B1B">
          <w:rPr>
            <w:noProof/>
            <w:webHidden/>
          </w:rPr>
          <w:fldChar w:fldCharType="end"/>
        </w:r>
      </w:hyperlink>
    </w:p>
    <w:p w14:paraId="6866976B" w14:textId="33AED4B8"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497" w:history="1">
        <w:r w:rsidR="00260629" w:rsidRPr="00610B1B">
          <w:rPr>
            <w:rStyle w:val="Hyperlink"/>
            <w:rFonts w:cs="Times New Roman"/>
            <w:noProof/>
          </w:rPr>
          <w:t xml:space="preserve">Фигура 34: </w:t>
        </w:r>
        <w:r w:rsidR="00260629" w:rsidRPr="00610B1B">
          <w:rPr>
            <w:rStyle w:val="Hyperlink"/>
            <w:rFonts w:eastAsia="Times New Roman" w:cs="Times New Roman"/>
            <w:noProof/>
            <w:lang w:eastAsia="bg-BG"/>
          </w:rPr>
          <w:t>Институционална рамка на Морския пространствен план</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_Toc83391497 \h </w:instrText>
        </w:r>
        <w:r w:rsidR="00260629" w:rsidRPr="00610B1B">
          <w:rPr>
            <w:noProof/>
            <w:webHidden/>
          </w:rPr>
        </w:r>
        <w:r w:rsidR="00260629" w:rsidRPr="00610B1B">
          <w:rPr>
            <w:noProof/>
            <w:webHidden/>
          </w:rPr>
          <w:fldChar w:fldCharType="separate"/>
        </w:r>
        <w:r w:rsidR="00260629" w:rsidRPr="00610B1B">
          <w:rPr>
            <w:noProof/>
            <w:webHidden/>
          </w:rPr>
          <w:t>345</w:t>
        </w:r>
        <w:r w:rsidR="00260629" w:rsidRPr="00610B1B">
          <w:rPr>
            <w:noProof/>
            <w:webHidden/>
          </w:rPr>
          <w:fldChar w:fldCharType="end"/>
        </w:r>
      </w:hyperlink>
    </w:p>
    <w:p w14:paraId="409DD2A3" w14:textId="42CBE4D3" w:rsidR="00FC431F" w:rsidRPr="00610B1B" w:rsidRDefault="00FC431F" w:rsidP="004050A5">
      <w:pPr>
        <w:spacing w:after="120"/>
        <w:ind w:left="-426" w:right="-153"/>
        <w:rPr>
          <w:rFonts w:ascii="Times New Roman" w:hAnsi="Times New Roman" w:cs="Times New Roman"/>
          <w:sz w:val="24"/>
          <w:szCs w:val="24"/>
          <w:lang w:val="bg-BG"/>
        </w:rPr>
      </w:pP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br w:type="page"/>
      </w:r>
    </w:p>
    <w:p w14:paraId="53AECE20" w14:textId="1EE354E3" w:rsidR="00EC7555" w:rsidRPr="00610B1B" w:rsidRDefault="00EC7555" w:rsidP="00453BA1">
      <w:pPr>
        <w:pStyle w:val="Heading1"/>
        <w:spacing w:before="0" w:line="276" w:lineRule="auto"/>
        <w:rPr>
          <w:rFonts w:cs="Times New Roman"/>
        </w:rPr>
      </w:pPr>
      <w:bookmarkStart w:id="5" w:name="_Toc83391348"/>
      <w:r w:rsidRPr="00610B1B">
        <w:rPr>
          <w:rFonts w:cs="Times New Roman"/>
        </w:rPr>
        <w:lastRenderedPageBreak/>
        <w:t>СПИСЪК НА ТАБЛИЦИТЕ</w:t>
      </w:r>
      <w:bookmarkEnd w:id="5"/>
    </w:p>
    <w:p w14:paraId="45B137B8" w14:textId="34AB927C" w:rsidR="00260629" w:rsidRPr="00610B1B" w:rsidRDefault="00FC431F">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r w:rsidRPr="00610B1B">
        <w:rPr>
          <w:rFonts w:cs="Times New Roman"/>
        </w:rPr>
        <w:fldChar w:fldCharType="begin"/>
      </w:r>
      <w:r w:rsidRPr="00610B1B">
        <w:rPr>
          <w:rFonts w:cs="Times New Roman"/>
        </w:rPr>
        <w:instrText xml:space="preserve"> TOC \h \z \c "Таблица" </w:instrText>
      </w:r>
      <w:r w:rsidRPr="00610B1B">
        <w:rPr>
          <w:rFonts w:cs="Times New Roman"/>
        </w:rPr>
        <w:fldChar w:fldCharType="separate"/>
      </w:r>
      <w:hyperlink w:anchor="_Toc83391597" w:history="1">
        <w:r w:rsidR="00260629" w:rsidRPr="00610B1B">
          <w:rPr>
            <w:rStyle w:val="Hyperlink"/>
            <w:rFonts w:cs="Times New Roman"/>
            <w:noProof/>
          </w:rPr>
          <w:t>Таблица 1: Защитени територии по видове и области – брой</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_Toc83391597 \h </w:instrText>
        </w:r>
        <w:r w:rsidR="00260629" w:rsidRPr="00610B1B">
          <w:rPr>
            <w:noProof/>
            <w:webHidden/>
          </w:rPr>
        </w:r>
        <w:r w:rsidR="00260629" w:rsidRPr="00610B1B">
          <w:rPr>
            <w:noProof/>
            <w:webHidden/>
          </w:rPr>
          <w:fldChar w:fldCharType="separate"/>
        </w:r>
        <w:r w:rsidR="00260629" w:rsidRPr="00610B1B">
          <w:rPr>
            <w:noProof/>
            <w:webHidden/>
          </w:rPr>
          <w:t>95</w:t>
        </w:r>
        <w:r w:rsidR="00260629" w:rsidRPr="00610B1B">
          <w:rPr>
            <w:noProof/>
            <w:webHidden/>
          </w:rPr>
          <w:fldChar w:fldCharType="end"/>
        </w:r>
      </w:hyperlink>
    </w:p>
    <w:p w14:paraId="3AB370C0" w14:textId="2E1DA5CB"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598" w:history="1">
        <w:r w:rsidR="00260629" w:rsidRPr="00610B1B">
          <w:rPr>
            <w:rStyle w:val="Hyperlink"/>
            <w:rFonts w:cs="Times New Roman"/>
            <w:noProof/>
          </w:rPr>
          <w:t>Таблица 2: Брой и площ на защитените зони от мрежата “Натура 2000“ в България</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_Toc83391598 \h </w:instrText>
        </w:r>
        <w:r w:rsidR="00260629" w:rsidRPr="00610B1B">
          <w:rPr>
            <w:noProof/>
            <w:webHidden/>
          </w:rPr>
        </w:r>
        <w:r w:rsidR="00260629" w:rsidRPr="00610B1B">
          <w:rPr>
            <w:noProof/>
            <w:webHidden/>
          </w:rPr>
          <w:fldChar w:fldCharType="separate"/>
        </w:r>
        <w:r w:rsidR="00260629" w:rsidRPr="00610B1B">
          <w:rPr>
            <w:noProof/>
            <w:webHidden/>
          </w:rPr>
          <w:t>97</w:t>
        </w:r>
        <w:r w:rsidR="00260629" w:rsidRPr="00610B1B">
          <w:rPr>
            <w:noProof/>
            <w:webHidden/>
          </w:rPr>
          <w:fldChar w:fldCharType="end"/>
        </w:r>
      </w:hyperlink>
    </w:p>
    <w:p w14:paraId="10F9469A" w14:textId="475DE6AA"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599" w:history="1">
        <w:r w:rsidR="00260629" w:rsidRPr="00610B1B">
          <w:rPr>
            <w:rStyle w:val="Hyperlink"/>
            <w:rFonts w:cs="Times New Roman"/>
            <w:noProof/>
          </w:rPr>
          <w:t>Таблица 3: Площ, гъстота на населението и населени места към 31.12.2018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_Toc83391599 \h </w:instrText>
        </w:r>
        <w:r w:rsidR="00260629" w:rsidRPr="00610B1B">
          <w:rPr>
            <w:noProof/>
            <w:webHidden/>
          </w:rPr>
        </w:r>
        <w:r w:rsidR="00260629" w:rsidRPr="00610B1B">
          <w:rPr>
            <w:noProof/>
            <w:webHidden/>
          </w:rPr>
          <w:fldChar w:fldCharType="separate"/>
        </w:r>
        <w:r w:rsidR="00260629" w:rsidRPr="00610B1B">
          <w:rPr>
            <w:noProof/>
            <w:webHidden/>
          </w:rPr>
          <w:t>103</w:t>
        </w:r>
        <w:r w:rsidR="00260629" w:rsidRPr="00610B1B">
          <w:rPr>
            <w:noProof/>
            <w:webHidden/>
          </w:rPr>
          <w:fldChar w:fldCharType="end"/>
        </w:r>
      </w:hyperlink>
    </w:p>
    <w:p w14:paraId="4616350C" w14:textId="658D0B1D"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00" w:history="1">
        <w:r w:rsidR="00260629" w:rsidRPr="00610B1B">
          <w:rPr>
            <w:rStyle w:val="Hyperlink"/>
            <w:rFonts w:cs="Times New Roman"/>
            <w:noProof/>
          </w:rPr>
          <w:t>Таблица 4: Население в Черноморските общини 2011-2018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_Toc83391600 \h </w:instrText>
        </w:r>
        <w:r w:rsidR="00260629" w:rsidRPr="00610B1B">
          <w:rPr>
            <w:noProof/>
            <w:webHidden/>
          </w:rPr>
        </w:r>
        <w:r w:rsidR="00260629" w:rsidRPr="00610B1B">
          <w:rPr>
            <w:noProof/>
            <w:webHidden/>
          </w:rPr>
          <w:fldChar w:fldCharType="separate"/>
        </w:r>
        <w:r w:rsidR="00260629" w:rsidRPr="00610B1B">
          <w:rPr>
            <w:noProof/>
            <w:webHidden/>
          </w:rPr>
          <w:t>104</w:t>
        </w:r>
        <w:r w:rsidR="00260629" w:rsidRPr="00610B1B">
          <w:rPr>
            <w:noProof/>
            <w:webHidden/>
          </w:rPr>
          <w:fldChar w:fldCharType="end"/>
        </w:r>
      </w:hyperlink>
    </w:p>
    <w:p w14:paraId="5CFDE28D" w14:textId="4BB81A5F"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01" w:history="1">
        <w:r w:rsidR="00260629" w:rsidRPr="00610B1B">
          <w:rPr>
            <w:rStyle w:val="Hyperlink"/>
            <w:rFonts w:cs="Times New Roman"/>
            <w:noProof/>
          </w:rPr>
          <w:t>Таблица 5: Население към 31.12.2018 г. в Черноморските общини по основни възрастови групи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_Toc83391601 \h </w:instrText>
        </w:r>
        <w:r w:rsidR="00260629" w:rsidRPr="00610B1B">
          <w:rPr>
            <w:noProof/>
            <w:webHidden/>
          </w:rPr>
        </w:r>
        <w:r w:rsidR="00260629" w:rsidRPr="00610B1B">
          <w:rPr>
            <w:noProof/>
            <w:webHidden/>
          </w:rPr>
          <w:fldChar w:fldCharType="separate"/>
        </w:r>
        <w:r w:rsidR="00260629" w:rsidRPr="00610B1B">
          <w:rPr>
            <w:noProof/>
            <w:webHidden/>
          </w:rPr>
          <w:t>105</w:t>
        </w:r>
        <w:r w:rsidR="00260629" w:rsidRPr="00610B1B">
          <w:rPr>
            <w:noProof/>
            <w:webHidden/>
          </w:rPr>
          <w:fldChar w:fldCharType="end"/>
        </w:r>
      </w:hyperlink>
    </w:p>
    <w:p w14:paraId="12E92938" w14:textId="5CC38D62"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02" w:history="1">
        <w:r w:rsidR="00260629" w:rsidRPr="00610B1B">
          <w:rPr>
            <w:rStyle w:val="Hyperlink"/>
            <w:rFonts w:cs="Times New Roman"/>
            <w:noProof/>
          </w:rPr>
          <w:t>Таблица 6: Населени места в Черноморските общини според броя на населението им към 31.12.2018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_Toc83391602 \h </w:instrText>
        </w:r>
        <w:r w:rsidR="00260629" w:rsidRPr="00610B1B">
          <w:rPr>
            <w:noProof/>
            <w:webHidden/>
          </w:rPr>
        </w:r>
        <w:r w:rsidR="00260629" w:rsidRPr="00610B1B">
          <w:rPr>
            <w:noProof/>
            <w:webHidden/>
          </w:rPr>
          <w:fldChar w:fldCharType="separate"/>
        </w:r>
        <w:r w:rsidR="00260629" w:rsidRPr="00610B1B">
          <w:rPr>
            <w:noProof/>
            <w:webHidden/>
          </w:rPr>
          <w:t>106</w:t>
        </w:r>
        <w:r w:rsidR="00260629" w:rsidRPr="00610B1B">
          <w:rPr>
            <w:noProof/>
            <w:webHidden/>
          </w:rPr>
          <w:fldChar w:fldCharType="end"/>
        </w:r>
      </w:hyperlink>
    </w:p>
    <w:p w14:paraId="15DF15B3" w14:textId="2415F2A6"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03" w:history="1">
        <w:r w:rsidR="00260629" w:rsidRPr="00610B1B">
          <w:rPr>
            <w:rStyle w:val="Hyperlink"/>
            <w:rFonts w:cs="Times New Roman"/>
            <w:noProof/>
          </w:rPr>
          <w:t>Таблица 7: Градове в Черноморските общини според броя на населението им към 31.12.2018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_Toc83391603 \h </w:instrText>
        </w:r>
        <w:r w:rsidR="00260629" w:rsidRPr="00610B1B">
          <w:rPr>
            <w:noProof/>
            <w:webHidden/>
          </w:rPr>
        </w:r>
        <w:r w:rsidR="00260629" w:rsidRPr="00610B1B">
          <w:rPr>
            <w:noProof/>
            <w:webHidden/>
          </w:rPr>
          <w:fldChar w:fldCharType="separate"/>
        </w:r>
        <w:r w:rsidR="00260629" w:rsidRPr="00610B1B">
          <w:rPr>
            <w:noProof/>
            <w:webHidden/>
          </w:rPr>
          <w:t>107</w:t>
        </w:r>
        <w:r w:rsidR="00260629" w:rsidRPr="00610B1B">
          <w:rPr>
            <w:noProof/>
            <w:webHidden/>
          </w:rPr>
          <w:fldChar w:fldCharType="end"/>
        </w:r>
      </w:hyperlink>
    </w:p>
    <w:p w14:paraId="2A502B07" w14:textId="43EEA1BD"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04" w:history="1">
        <w:r w:rsidR="00260629" w:rsidRPr="00610B1B">
          <w:rPr>
            <w:rStyle w:val="Hyperlink"/>
            <w:rFonts w:cs="Times New Roman"/>
            <w:noProof/>
          </w:rPr>
          <w:t>Таблица 8: Население на 7 и повече години в Черноморските общини по степен на завършено образование към 01.02.2011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_Toc83391604 \h </w:instrText>
        </w:r>
        <w:r w:rsidR="00260629" w:rsidRPr="00610B1B">
          <w:rPr>
            <w:noProof/>
            <w:webHidden/>
          </w:rPr>
        </w:r>
        <w:r w:rsidR="00260629" w:rsidRPr="00610B1B">
          <w:rPr>
            <w:noProof/>
            <w:webHidden/>
          </w:rPr>
          <w:fldChar w:fldCharType="separate"/>
        </w:r>
        <w:r w:rsidR="00260629" w:rsidRPr="00610B1B">
          <w:rPr>
            <w:noProof/>
            <w:webHidden/>
          </w:rPr>
          <w:t>112</w:t>
        </w:r>
        <w:r w:rsidR="00260629" w:rsidRPr="00610B1B">
          <w:rPr>
            <w:noProof/>
            <w:webHidden/>
          </w:rPr>
          <w:fldChar w:fldCharType="end"/>
        </w:r>
      </w:hyperlink>
    </w:p>
    <w:p w14:paraId="608F6B75" w14:textId="333F50DA"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05" w:history="1">
        <w:r w:rsidR="00260629" w:rsidRPr="00610B1B">
          <w:rPr>
            <w:rStyle w:val="Hyperlink"/>
            <w:rFonts w:cs="Times New Roman"/>
            <w:noProof/>
          </w:rPr>
          <w:t xml:space="preserve">Таблица 9: </w:t>
        </w:r>
        <w:r w:rsidR="00260629" w:rsidRPr="00610B1B">
          <w:rPr>
            <w:rStyle w:val="Hyperlink"/>
            <w:rFonts w:eastAsia="Times New Roman" w:cs="Times New Roman"/>
            <w:bCs/>
            <w:iCs/>
            <w:noProof/>
          </w:rPr>
          <w:t>Относителен дял на населението с достъп до високоскоростен Интернет в областите Варна, Добрич и Бургас</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_Toc83391605 \h </w:instrText>
        </w:r>
        <w:r w:rsidR="00260629" w:rsidRPr="00610B1B">
          <w:rPr>
            <w:noProof/>
            <w:webHidden/>
          </w:rPr>
        </w:r>
        <w:r w:rsidR="00260629" w:rsidRPr="00610B1B">
          <w:rPr>
            <w:noProof/>
            <w:webHidden/>
          </w:rPr>
          <w:fldChar w:fldCharType="separate"/>
        </w:r>
        <w:r w:rsidR="00260629" w:rsidRPr="00610B1B">
          <w:rPr>
            <w:noProof/>
            <w:webHidden/>
          </w:rPr>
          <w:t>155</w:t>
        </w:r>
        <w:r w:rsidR="00260629" w:rsidRPr="00610B1B">
          <w:rPr>
            <w:noProof/>
            <w:webHidden/>
          </w:rPr>
          <w:fldChar w:fldCharType="end"/>
        </w:r>
      </w:hyperlink>
    </w:p>
    <w:p w14:paraId="791A3F04" w14:textId="539CA5C4"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06" w:history="1">
        <w:r w:rsidR="00260629" w:rsidRPr="00610B1B">
          <w:rPr>
            <w:rStyle w:val="Hyperlink"/>
            <w:rFonts w:eastAsia="Calibri" w:cs="Times New Roman"/>
            <w:bCs/>
            <w:noProof/>
          </w:rPr>
          <w:t>Таблица 10: Индикатори за синята икономика на ЕС и България за 2017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_Toc83391606 \h </w:instrText>
        </w:r>
        <w:r w:rsidR="00260629" w:rsidRPr="00610B1B">
          <w:rPr>
            <w:noProof/>
            <w:webHidden/>
          </w:rPr>
        </w:r>
        <w:r w:rsidR="00260629" w:rsidRPr="00610B1B">
          <w:rPr>
            <w:noProof/>
            <w:webHidden/>
          </w:rPr>
          <w:fldChar w:fldCharType="separate"/>
        </w:r>
        <w:r w:rsidR="00260629" w:rsidRPr="00610B1B">
          <w:rPr>
            <w:noProof/>
            <w:webHidden/>
          </w:rPr>
          <w:t>164</w:t>
        </w:r>
        <w:r w:rsidR="00260629" w:rsidRPr="00610B1B">
          <w:rPr>
            <w:noProof/>
            <w:webHidden/>
          </w:rPr>
          <w:fldChar w:fldCharType="end"/>
        </w:r>
      </w:hyperlink>
    </w:p>
    <w:p w14:paraId="7EF082A5" w14:textId="48589905"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07" w:history="1">
        <w:r w:rsidR="00260629" w:rsidRPr="00610B1B">
          <w:rPr>
            <w:rStyle w:val="Hyperlink"/>
            <w:rFonts w:cs="Times New Roman"/>
            <w:noProof/>
          </w:rPr>
          <w:t xml:space="preserve">Таблица 11: </w:t>
        </w:r>
        <w:r w:rsidR="00260629" w:rsidRPr="00610B1B">
          <w:rPr>
            <w:rStyle w:val="Hyperlink"/>
            <w:rFonts w:eastAsiaTheme="minorHAnsi" w:cs="Times New Roman"/>
            <w:noProof/>
            <w:lang w:eastAsia="en-US"/>
          </w:rPr>
          <w:t>Относителен дял на показателите, характеризиращи морската икономика по общини, 2018 г.</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_Toc83391607 \h </w:instrText>
        </w:r>
        <w:r w:rsidR="00260629" w:rsidRPr="00610B1B">
          <w:rPr>
            <w:noProof/>
            <w:webHidden/>
          </w:rPr>
        </w:r>
        <w:r w:rsidR="00260629" w:rsidRPr="00610B1B">
          <w:rPr>
            <w:noProof/>
            <w:webHidden/>
          </w:rPr>
          <w:fldChar w:fldCharType="separate"/>
        </w:r>
        <w:r w:rsidR="00260629" w:rsidRPr="00610B1B">
          <w:rPr>
            <w:noProof/>
            <w:webHidden/>
          </w:rPr>
          <w:t>166</w:t>
        </w:r>
        <w:r w:rsidR="00260629" w:rsidRPr="00610B1B">
          <w:rPr>
            <w:noProof/>
            <w:webHidden/>
          </w:rPr>
          <w:fldChar w:fldCharType="end"/>
        </w:r>
      </w:hyperlink>
    </w:p>
    <w:p w14:paraId="6BD1006E" w14:textId="3B8CEE64"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08" w:history="1">
        <w:r w:rsidR="00260629" w:rsidRPr="00610B1B">
          <w:rPr>
            <w:rStyle w:val="Hyperlink"/>
            <w:rFonts w:cs="Times New Roman"/>
            <w:noProof/>
          </w:rPr>
          <w:t>Таблица 12: Концесии за добив и проучване на природен газ и нефт</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_Toc83391608 \h </w:instrText>
        </w:r>
        <w:r w:rsidR="00260629" w:rsidRPr="00610B1B">
          <w:rPr>
            <w:noProof/>
            <w:webHidden/>
          </w:rPr>
        </w:r>
        <w:r w:rsidR="00260629" w:rsidRPr="00610B1B">
          <w:rPr>
            <w:noProof/>
            <w:webHidden/>
          </w:rPr>
          <w:fldChar w:fldCharType="separate"/>
        </w:r>
        <w:r w:rsidR="00260629" w:rsidRPr="00610B1B">
          <w:rPr>
            <w:noProof/>
            <w:webHidden/>
          </w:rPr>
          <w:t>171</w:t>
        </w:r>
        <w:r w:rsidR="00260629" w:rsidRPr="00610B1B">
          <w:rPr>
            <w:noProof/>
            <w:webHidden/>
          </w:rPr>
          <w:fldChar w:fldCharType="end"/>
        </w:r>
      </w:hyperlink>
    </w:p>
    <w:p w14:paraId="4C0A6BFA" w14:textId="26DAEBFB"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09" w:history="1">
        <w:r w:rsidR="00260629" w:rsidRPr="00610B1B">
          <w:rPr>
            <w:rStyle w:val="Hyperlink"/>
            <w:rFonts w:cs="Times New Roman"/>
            <w:noProof/>
          </w:rPr>
          <w:t>Таблица 13: Дял на сектора на корабостроенето и кораборемонта в синята и националната икономика на България през периода 2008-2017 г., %</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_Toc83391609 \h </w:instrText>
        </w:r>
        <w:r w:rsidR="00260629" w:rsidRPr="00610B1B">
          <w:rPr>
            <w:noProof/>
            <w:webHidden/>
          </w:rPr>
        </w:r>
        <w:r w:rsidR="00260629" w:rsidRPr="00610B1B">
          <w:rPr>
            <w:noProof/>
            <w:webHidden/>
          </w:rPr>
          <w:fldChar w:fldCharType="separate"/>
        </w:r>
        <w:r w:rsidR="00260629" w:rsidRPr="00610B1B">
          <w:rPr>
            <w:noProof/>
            <w:webHidden/>
          </w:rPr>
          <w:t>173</w:t>
        </w:r>
        <w:r w:rsidR="00260629" w:rsidRPr="00610B1B">
          <w:rPr>
            <w:noProof/>
            <w:webHidden/>
          </w:rPr>
          <w:fldChar w:fldCharType="end"/>
        </w:r>
      </w:hyperlink>
    </w:p>
    <w:p w14:paraId="46DD44F0" w14:textId="3450C8F4"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10" w:history="1">
        <w:r w:rsidR="00260629" w:rsidRPr="00610B1B">
          <w:rPr>
            <w:rStyle w:val="Hyperlink"/>
            <w:rFonts w:cs="Times New Roman"/>
            <w:noProof/>
          </w:rPr>
          <w:t>Таблица 14: Недвижими културни ценности по общини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_Toc83391610 \h </w:instrText>
        </w:r>
        <w:r w:rsidR="00260629" w:rsidRPr="00610B1B">
          <w:rPr>
            <w:noProof/>
            <w:webHidden/>
          </w:rPr>
        </w:r>
        <w:r w:rsidR="00260629" w:rsidRPr="00610B1B">
          <w:rPr>
            <w:noProof/>
            <w:webHidden/>
          </w:rPr>
          <w:fldChar w:fldCharType="separate"/>
        </w:r>
        <w:r w:rsidR="00260629" w:rsidRPr="00610B1B">
          <w:rPr>
            <w:noProof/>
            <w:webHidden/>
          </w:rPr>
          <w:t>189</w:t>
        </w:r>
        <w:r w:rsidR="00260629" w:rsidRPr="00610B1B">
          <w:rPr>
            <w:noProof/>
            <w:webHidden/>
          </w:rPr>
          <w:fldChar w:fldCharType="end"/>
        </w:r>
      </w:hyperlink>
    </w:p>
    <w:p w14:paraId="31AA9357" w14:textId="4AB563BD"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11" w:history="1">
        <w:r w:rsidR="00260629" w:rsidRPr="00610B1B">
          <w:rPr>
            <w:rStyle w:val="Hyperlink"/>
            <w:rFonts w:cs="Times New Roman"/>
            <w:noProof/>
          </w:rPr>
          <w:t xml:space="preserve">Таблица 15: </w:t>
        </w:r>
        <w:r w:rsidR="00260629" w:rsidRPr="00610B1B">
          <w:rPr>
            <w:rStyle w:val="Hyperlink"/>
            <w:rFonts w:eastAsia="Calibri" w:cs="Times New Roman"/>
            <w:bCs/>
            <w:noProof/>
          </w:rPr>
          <w:t>Индикатори за оценка на въздействието на сценариите върху осъществяваните дейности в морските пространства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_Toc83391611 \h </w:instrText>
        </w:r>
        <w:r w:rsidR="00260629" w:rsidRPr="00610B1B">
          <w:rPr>
            <w:noProof/>
            <w:webHidden/>
          </w:rPr>
        </w:r>
        <w:r w:rsidR="00260629" w:rsidRPr="00610B1B">
          <w:rPr>
            <w:noProof/>
            <w:webHidden/>
          </w:rPr>
          <w:fldChar w:fldCharType="separate"/>
        </w:r>
        <w:r w:rsidR="00260629" w:rsidRPr="00610B1B">
          <w:rPr>
            <w:noProof/>
            <w:webHidden/>
          </w:rPr>
          <w:t>258</w:t>
        </w:r>
        <w:r w:rsidR="00260629" w:rsidRPr="00610B1B">
          <w:rPr>
            <w:noProof/>
            <w:webHidden/>
          </w:rPr>
          <w:fldChar w:fldCharType="end"/>
        </w:r>
      </w:hyperlink>
    </w:p>
    <w:p w14:paraId="77E33683" w14:textId="70B0514A"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12" w:history="1">
        <w:r w:rsidR="00260629" w:rsidRPr="00610B1B">
          <w:rPr>
            <w:rStyle w:val="Hyperlink"/>
            <w:rFonts w:cs="Times New Roman"/>
            <w:noProof/>
          </w:rPr>
          <w:t>Таблица 16: Взаимодействия и въздействия на секторите в морските пространства и крайбрежната зона</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_Toc83391612 \h </w:instrText>
        </w:r>
        <w:r w:rsidR="00260629" w:rsidRPr="00610B1B">
          <w:rPr>
            <w:noProof/>
            <w:webHidden/>
          </w:rPr>
        </w:r>
        <w:r w:rsidR="00260629" w:rsidRPr="00610B1B">
          <w:rPr>
            <w:noProof/>
            <w:webHidden/>
          </w:rPr>
          <w:fldChar w:fldCharType="separate"/>
        </w:r>
        <w:r w:rsidR="00260629" w:rsidRPr="00610B1B">
          <w:rPr>
            <w:noProof/>
            <w:webHidden/>
          </w:rPr>
          <w:t>286</w:t>
        </w:r>
        <w:r w:rsidR="00260629" w:rsidRPr="00610B1B">
          <w:rPr>
            <w:noProof/>
            <w:webHidden/>
          </w:rPr>
          <w:fldChar w:fldCharType="end"/>
        </w:r>
      </w:hyperlink>
    </w:p>
    <w:p w14:paraId="62AF2B7C" w14:textId="01C0A79D"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13" w:history="1">
        <w:r w:rsidR="00260629" w:rsidRPr="00610B1B">
          <w:rPr>
            <w:rStyle w:val="Hyperlink"/>
            <w:rFonts w:cs="Times New Roman"/>
            <w:noProof/>
          </w:rPr>
          <w:t>Таблица 17: Отговорности на компетентните органи по прилагането на Морския пространствен план на Република България</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_Toc83391613 \h </w:instrText>
        </w:r>
        <w:r w:rsidR="00260629" w:rsidRPr="00610B1B">
          <w:rPr>
            <w:noProof/>
            <w:webHidden/>
          </w:rPr>
        </w:r>
        <w:r w:rsidR="00260629" w:rsidRPr="00610B1B">
          <w:rPr>
            <w:noProof/>
            <w:webHidden/>
          </w:rPr>
          <w:fldChar w:fldCharType="separate"/>
        </w:r>
        <w:r w:rsidR="00260629" w:rsidRPr="00610B1B">
          <w:rPr>
            <w:noProof/>
            <w:webHidden/>
          </w:rPr>
          <w:t>309</w:t>
        </w:r>
        <w:r w:rsidR="00260629" w:rsidRPr="00610B1B">
          <w:rPr>
            <w:noProof/>
            <w:webHidden/>
          </w:rPr>
          <w:fldChar w:fldCharType="end"/>
        </w:r>
      </w:hyperlink>
    </w:p>
    <w:p w14:paraId="75242376" w14:textId="2E842EBC"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14" w:history="1">
        <w:r w:rsidR="00260629" w:rsidRPr="00610B1B">
          <w:rPr>
            <w:rStyle w:val="Hyperlink"/>
            <w:rFonts w:cs="Times New Roman"/>
            <w:noProof/>
          </w:rPr>
          <w:t>Таблица 18: Връзка между настъпили изменения, компетентни органи и дейностите, изпълнявани в НЦТР</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_Toc83391614 \h </w:instrText>
        </w:r>
        <w:r w:rsidR="00260629" w:rsidRPr="00610B1B">
          <w:rPr>
            <w:noProof/>
            <w:webHidden/>
          </w:rPr>
        </w:r>
        <w:r w:rsidR="00260629" w:rsidRPr="00610B1B">
          <w:rPr>
            <w:noProof/>
            <w:webHidden/>
          </w:rPr>
          <w:fldChar w:fldCharType="separate"/>
        </w:r>
        <w:r w:rsidR="00260629" w:rsidRPr="00610B1B">
          <w:rPr>
            <w:noProof/>
            <w:webHidden/>
          </w:rPr>
          <w:t>327</w:t>
        </w:r>
        <w:r w:rsidR="00260629" w:rsidRPr="00610B1B">
          <w:rPr>
            <w:noProof/>
            <w:webHidden/>
          </w:rPr>
          <w:fldChar w:fldCharType="end"/>
        </w:r>
      </w:hyperlink>
    </w:p>
    <w:p w14:paraId="067169E5" w14:textId="41FC9D98"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15" w:history="1">
        <w:r w:rsidR="00260629" w:rsidRPr="00610B1B">
          <w:rPr>
            <w:rStyle w:val="Hyperlink"/>
            <w:rFonts w:cs="Times New Roman"/>
            <w:noProof/>
          </w:rPr>
          <w:t>Таблица 19: Препоръки към институциите по прилагане на МППРБ</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_Toc83391615 \h </w:instrText>
        </w:r>
        <w:r w:rsidR="00260629" w:rsidRPr="00610B1B">
          <w:rPr>
            <w:noProof/>
            <w:webHidden/>
          </w:rPr>
        </w:r>
        <w:r w:rsidR="00260629" w:rsidRPr="00610B1B">
          <w:rPr>
            <w:noProof/>
            <w:webHidden/>
          </w:rPr>
          <w:fldChar w:fldCharType="separate"/>
        </w:r>
        <w:r w:rsidR="00260629" w:rsidRPr="00610B1B">
          <w:rPr>
            <w:noProof/>
            <w:webHidden/>
          </w:rPr>
          <w:t>329</w:t>
        </w:r>
        <w:r w:rsidR="00260629" w:rsidRPr="00610B1B">
          <w:rPr>
            <w:noProof/>
            <w:webHidden/>
          </w:rPr>
          <w:fldChar w:fldCharType="end"/>
        </w:r>
      </w:hyperlink>
    </w:p>
    <w:p w14:paraId="47F82BC4" w14:textId="2633D7F4"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16" w:history="1">
        <w:r w:rsidR="00260629" w:rsidRPr="00610B1B">
          <w:rPr>
            <w:rStyle w:val="Hyperlink"/>
            <w:rFonts w:cs="Times New Roman"/>
            <w:noProof/>
          </w:rPr>
          <w:t>Таблица 20: Индикатори за управление на МППРБ</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_Toc83391616 \h </w:instrText>
        </w:r>
        <w:r w:rsidR="00260629" w:rsidRPr="00610B1B">
          <w:rPr>
            <w:noProof/>
            <w:webHidden/>
          </w:rPr>
        </w:r>
        <w:r w:rsidR="00260629" w:rsidRPr="00610B1B">
          <w:rPr>
            <w:noProof/>
            <w:webHidden/>
          </w:rPr>
          <w:fldChar w:fldCharType="separate"/>
        </w:r>
        <w:r w:rsidR="00260629" w:rsidRPr="00610B1B">
          <w:rPr>
            <w:noProof/>
            <w:webHidden/>
          </w:rPr>
          <w:t>336</w:t>
        </w:r>
        <w:r w:rsidR="00260629" w:rsidRPr="00610B1B">
          <w:rPr>
            <w:noProof/>
            <w:webHidden/>
          </w:rPr>
          <w:fldChar w:fldCharType="end"/>
        </w:r>
      </w:hyperlink>
    </w:p>
    <w:p w14:paraId="16B3D32D" w14:textId="2D6F1635"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17" w:history="1">
        <w:r w:rsidR="00260629" w:rsidRPr="00610B1B">
          <w:rPr>
            <w:rStyle w:val="Hyperlink"/>
            <w:rFonts w:cs="Times New Roman"/>
            <w:noProof/>
          </w:rPr>
          <w:t>Таблица 21: Социално-икономически индикатори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_Toc83391617 \h </w:instrText>
        </w:r>
        <w:r w:rsidR="00260629" w:rsidRPr="00610B1B">
          <w:rPr>
            <w:noProof/>
            <w:webHidden/>
          </w:rPr>
        </w:r>
        <w:r w:rsidR="00260629" w:rsidRPr="00610B1B">
          <w:rPr>
            <w:noProof/>
            <w:webHidden/>
          </w:rPr>
          <w:fldChar w:fldCharType="separate"/>
        </w:r>
        <w:r w:rsidR="00260629" w:rsidRPr="00610B1B">
          <w:rPr>
            <w:noProof/>
            <w:webHidden/>
          </w:rPr>
          <w:t>337</w:t>
        </w:r>
        <w:r w:rsidR="00260629" w:rsidRPr="00610B1B">
          <w:rPr>
            <w:noProof/>
            <w:webHidden/>
          </w:rPr>
          <w:fldChar w:fldCharType="end"/>
        </w:r>
      </w:hyperlink>
    </w:p>
    <w:p w14:paraId="0BB91814" w14:textId="54F0E1BD"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18" w:history="1">
        <w:r w:rsidR="00260629" w:rsidRPr="00610B1B">
          <w:rPr>
            <w:rStyle w:val="Hyperlink"/>
            <w:rFonts w:cs="Times New Roman"/>
            <w:noProof/>
          </w:rPr>
          <w:t>Таблица 22: Екологични индикатори</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_Toc83391618 \h </w:instrText>
        </w:r>
        <w:r w:rsidR="00260629" w:rsidRPr="00610B1B">
          <w:rPr>
            <w:noProof/>
            <w:webHidden/>
          </w:rPr>
        </w:r>
        <w:r w:rsidR="00260629" w:rsidRPr="00610B1B">
          <w:rPr>
            <w:noProof/>
            <w:webHidden/>
          </w:rPr>
          <w:fldChar w:fldCharType="separate"/>
        </w:r>
        <w:r w:rsidR="00260629" w:rsidRPr="00610B1B">
          <w:rPr>
            <w:noProof/>
            <w:webHidden/>
          </w:rPr>
          <w:t>339</w:t>
        </w:r>
        <w:r w:rsidR="00260629" w:rsidRPr="00610B1B">
          <w:rPr>
            <w:noProof/>
            <w:webHidden/>
          </w:rPr>
          <w:fldChar w:fldCharType="end"/>
        </w:r>
      </w:hyperlink>
    </w:p>
    <w:p w14:paraId="56DD699E" w14:textId="17B83823" w:rsidR="00260629" w:rsidRPr="00610B1B" w:rsidRDefault="002A152C">
      <w:pPr>
        <w:pStyle w:val="TableofFigures"/>
        <w:tabs>
          <w:tab w:val="right" w:leader="dot" w:pos="9017"/>
        </w:tabs>
        <w:rPr>
          <w:rFonts w:asciiTheme="minorHAnsi" w:eastAsiaTheme="minorEastAsia" w:hAnsiTheme="minorHAnsi" w:cstheme="minorBidi"/>
          <w:noProof/>
          <w:color w:val="auto"/>
          <w:sz w:val="22"/>
          <w:szCs w:val="22"/>
          <w:lang w:val="en-US" w:eastAsia="en-US" w:bidi="ar-SA"/>
        </w:rPr>
      </w:pPr>
      <w:hyperlink w:anchor="_Toc83391619" w:history="1">
        <w:r w:rsidR="00260629" w:rsidRPr="00610B1B">
          <w:rPr>
            <w:rStyle w:val="Hyperlink"/>
            <w:rFonts w:cs="Times New Roman"/>
            <w:noProof/>
          </w:rPr>
          <w:t>Таблица 23: Участници в дълбочинното интервю</w:t>
        </w:r>
        <w:r w:rsidR="00260629" w:rsidRPr="00610B1B">
          <w:rPr>
            <w:noProof/>
            <w:webHidden/>
          </w:rPr>
          <w:tab/>
        </w:r>
        <w:r w:rsidR="00260629" w:rsidRPr="00610B1B">
          <w:rPr>
            <w:noProof/>
            <w:webHidden/>
          </w:rPr>
          <w:fldChar w:fldCharType="begin"/>
        </w:r>
        <w:r w:rsidR="00260629" w:rsidRPr="00610B1B">
          <w:rPr>
            <w:noProof/>
            <w:webHidden/>
          </w:rPr>
          <w:instrText xml:space="preserve"> PAGEREF _Toc83391619 \h </w:instrText>
        </w:r>
        <w:r w:rsidR="00260629" w:rsidRPr="00610B1B">
          <w:rPr>
            <w:noProof/>
            <w:webHidden/>
          </w:rPr>
        </w:r>
        <w:r w:rsidR="00260629" w:rsidRPr="00610B1B">
          <w:rPr>
            <w:noProof/>
            <w:webHidden/>
          </w:rPr>
          <w:fldChar w:fldCharType="separate"/>
        </w:r>
        <w:r w:rsidR="00260629" w:rsidRPr="00610B1B">
          <w:rPr>
            <w:noProof/>
            <w:webHidden/>
          </w:rPr>
          <w:t>346</w:t>
        </w:r>
        <w:r w:rsidR="00260629" w:rsidRPr="00610B1B">
          <w:rPr>
            <w:noProof/>
            <w:webHidden/>
          </w:rPr>
          <w:fldChar w:fldCharType="end"/>
        </w:r>
      </w:hyperlink>
    </w:p>
    <w:p w14:paraId="2B06221D" w14:textId="0729AEA4" w:rsidR="00406A3D" w:rsidRPr="00610B1B" w:rsidRDefault="00FC431F" w:rsidP="00453BA1">
      <w:pPr>
        <w:pStyle w:val="TableofFigures"/>
        <w:tabs>
          <w:tab w:val="right" w:leader="dot" w:pos="9017"/>
        </w:tabs>
        <w:ind w:left="-426"/>
        <w:rPr>
          <w:rFonts w:cs="Times New Roman"/>
          <w:b/>
        </w:rPr>
      </w:pPr>
      <w:r w:rsidRPr="00610B1B">
        <w:rPr>
          <w:rFonts w:cs="Times New Roman"/>
        </w:rPr>
        <w:fldChar w:fldCharType="end"/>
      </w:r>
    </w:p>
    <w:p w14:paraId="06EF309F" w14:textId="55EAA789" w:rsidR="006230C0" w:rsidRPr="00610B1B" w:rsidRDefault="006230C0" w:rsidP="00D32D6A">
      <w:pPr>
        <w:spacing w:after="120"/>
        <w:ind w:right="-153"/>
        <w:rPr>
          <w:rFonts w:ascii="Times New Roman" w:hAnsi="Times New Roman" w:cs="Times New Roman"/>
          <w:sz w:val="24"/>
          <w:szCs w:val="24"/>
          <w:lang w:val="bg-BG"/>
        </w:rPr>
        <w:sectPr w:rsidR="006230C0" w:rsidRPr="00610B1B" w:rsidSect="00DA01CC">
          <w:headerReference w:type="default" r:id="rId12"/>
          <w:footerReference w:type="default" r:id="rId13"/>
          <w:pgSz w:w="11907" w:h="16839" w:code="9"/>
          <w:pgMar w:top="1134" w:right="1440" w:bottom="1440" w:left="1440" w:header="708" w:footer="708" w:gutter="0"/>
          <w:pgNumType w:fmt="lowerRoman" w:start="0"/>
          <w:cols w:space="708"/>
          <w:titlePg/>
          <w:docGrid w:linePitch="360"/>
        </w:sectPr>
      </w:pPr>
    </w:p>
    <w:p w14:paraId="7BB4F2D8" w14:textId="77777777" w:rsidR="00725023" w:rsidRPr="00610B1B" w:rsidRDefault="00725023" w:rsidP="00A43DF1">
      <w:pPr>
        <w:pStyle w:val="Heading1"/>
        <w:spacing w:before="0"/>
        <w:ind w:right="-153"/>
        <w:rPr>
          <w:rFonts w:cs="Times New Roman"/>
        </w:rPr>
      </w:pPr>
      <w:bookmarkStart w:id="6" w:name="_Toc83391349"/>
      <w:r w:rsidRPr="00610B1B">
        <w:rPr>
          <w:rFonts w:cs="Times New Roman"/>
        </w:rPr>
        <w:lastRenderedPageBreak/>
        <w:t>РЕЗЮМЕ</w:t>
      </w:r>
      <w:bookmarkEnd w:id="6"/>
    </w:p>
    <w:p w14:paraId="71C67356" w14:textId="77777777" w:rsidR="004B17B0" w:rsidRPr="00610B1B" w:rsidRDefault="004B17B0"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Морският пространствен план на Република България за периода 2021-2035 г. се разработва въз основа на договор</w:t>
      </w:r>
      <w:r w:rsidRPr="00610B1B">
        <w:rPr>
          <w:rFonts w:ascii="Times New Roman" w:hAnsi="Times New Roman" w:cs="Times New Roman"/>
          <w:lang w:val="bg-BG"/>
        </w:rPr>
        <w:t xml:space="preserve"> </w:t>
      </w:r>
      <w:r w:rsidRPr="00610B1B">
        <w:rPr>
          <w:rFonts w:ascii="Times New Roman" w:hAnsi="Times New Roman" w:cs="Times New Roman"/>
          <w:bCs/>
          <w:sz w:val="24"/>
          <w:szCs w:val="24"/>
          <w:lang w:val="bg-BG"/>
        </w:rPr>
        <w:t>№ РД-02.29.198/25.07.2019 г.</w:t>
      </w:r>
      <w:r w:rsidRPr="00610B1B">
        <w:rPr>
          <w:rFonts w:ascii="Times New Roman" w:hAnsi="Times New Roman" w:cs="Times New Roman"/>
          <w:b/>
          <w:sz w:val="24"/>
          <w:szCs w:val="24"/>
          <w:lang w:val="bg-BG"/>
        </w:rPr>
        <w:t xml:space="preserve"> </w:t>
      </w:r>
      <w:r w:rsidRPr="00610B1B">
        <w:rPr>
          <w:rFonts w:ascii="Times New Roman" w:hAnsi="Times New Roman" w:cs="Times New Roman"/>
          <w:bCs/>
          <w:sz w:val="24"/>
          <w:szCs w:val="24"/>
          <w:lang w:val="bg-BG"/>
        </w:rPr>
        <w:t>между Министерството на регионалното развитие и благоустройството и Националния център за териториално развитие ЕАД.</w:t>
      </w:r>
    </w:p>
    <w:p w14:paraId="65439457" w14:textId="0BF56CD5"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 xml:space="preserve">Мотивите </w:t>
      </w:r>
      <w:r w:rsidRPr="00610B1B">
        <w:rPr>
          <w:rFonts w:ascii="Times New Roman" w:hAnsi="Times New Roman" w:cs="Times New Roman"/>
          <w:bCs/>
          <w:sz w:val="24"/>
          <w:szCs w:val="24"/>
          <w:lang w:val="bg-BG"/>
        </w:rPr>
        <w:t xml:space="preserve">за възлагането на Морския пространствен план на Република България са повишеният натиск върху морските пространства, влошаването </w:t>
      </w:r>
      <w:r w:rsidRPr="00610B1B">
        <w:rPr>
          <w:rFonts w:ascii="Times New Roman" w:hAnsi="Times New Roman" w:cs="Times New Roman"/>
          <w:sz w:val="24"/>
          <w:szCs w:val="24"/>
          <w:lang w:val="bg-BG"/>
        </w:rPr>
        <w:t>на състоянието на морската околна среда и загубата на биоразнообразие, налагащи прилагането на интегрирана морска политика и задължението за прилагане на рамковите директиви на ЕС</w:t>
      </w:r>
      <w:r w:rsidR="00836952" w:rsidRPr="00610B1B">
        <w:rPr>
          <w:rFonts w:ascii="Times New Roman" w:hAnsi="Times New Roman" w:cs="Times New Roman"/>
          <w:sz w:val="24"/>
          <w:szCs w:val="24"/>
          <w:lang w:val="bg-BG"/>
        </w:rPr>
        <w:t xml:space="preserve"> – </w:t>
      </w:r>
      <w:r w:rsidRPr="00610B1B">
        <w:rPr>
          <w:rFonts w:ascii="Times New Roman" w:hAnsi="Times New Roman" w:cs="Times New Roman"/>
          <w:sz w:val="24"/>
          <w:szCs w:val="24"/>
          <w:lang w:val="bg-BG"/>
        </w:rPr>
        <w:t>за водите (2000/60/ЕО), за морска стратегия (2008/56/ЕО) и за морско пространствено планиране</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(2014/89/ЕС).</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Държавите-членки на ЕС трябва да представят в ЕК одобрени морски пространствени планове до 31 март 2021 г. </w:t>
      </w:r>
    </w:p>
    <w:p w14:paraId="6C9EAF3C" w14:textId="455591ED" w:rsidR="004B17B0" w:rsidRPr="00610B1B" w:rsidRDefault="004B17B0" w:rsidP="00D32D6A">
      <w:pPr>
        <w:spacing w:after="120"/>
        <w:ind w:right="-153"/>
        <w:jc w:val="both"/>
        <w:rPr>
          <w:rFonts w:ascii="Times New Roman" w:eastAsia="Arial Unicode MS" w:hAnsi="Times New Roman" w:cs="Times New Roman"/>
          <w:sz w:val="24"/>
          <w:szCs w:val="24"/>
          <w:lang w:val="bg-BG"/>
        </w:rPr>
      </w:pPr>
      <w:r w:rsidRPr="00610B1B">
        <w:rPr>
          <w:rFonts w:ascii="Times New Roman" w:hAnsi="Times New Roman" w:cs="Times New Roman"/>
          <w:sz w:val="24"/>
          <w:szCs w:val="24"/>
          <w:lang w:val="bg-BG"/>
        </w:rPr>
        <w:t>Директива 2014/89/ЕС определя „</w:t>
      </w:r>
      <w:r w:rsidRPr="00610B1B">
        <w:rPr>
          <w:rFonts w:ascii="Times New Roman" w:hAnsi="Times New Roman" w:cs="Times New Roman"/>
          <w:b/>
          <w:bCs/>
          <w:sz w:val="24"/>
          <w:szCs w:val="24"/>
          <w:lang w:val="bg-BG"/>
        </w:rPr>
        <w:t>морското пространствено планиране</w:t>
      </w:r>
      <w:r w:rsidRPr="00610B1B">
        <w:rPr>
          <w:rFonts w:ascii="Times New Roman" w:hAnsi="Times New Roman" w:cs="Times New Roman"/>
          <w:sz w:val="24"/>
          <w:szCs w:val="24"/>
          <w:lang w:val="bg-BG"/>
        </w:rPr>
        <w:t xml:space="preserve"> като процес, чрез който органите в държавите-членки анализират и организират човешките дейности в морските райони за постигане на екологични, икономически и социални цели“. </w:t>
      </w:r>
      <w:r w:rsidRPr="00610B1B">
        <w:rPr>
          <w:rFonts w:ascii="Times New Roman" w:eastAsia="Arial Unicode MS" w:hAnsi="Times New Roman" w:cs="Times New Roman"/>
          <w:sz w:val="24"/>
          <w:szCs w:val="24"/>
          <w:lang w:val="bg-BG"/>
        </w:rPr>
        <w:t>Съгласно</w:t>
      </w:r>
      <w:r w:rsidR="00D66FE0"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b/>
          <w:bCs/>
          <w:sz w:val="24"/>
          <w:szCs w:val="24"/>
          <w:lang w:val="bg-BG"/>
        </w:rPr>
        <w:t xml:space="preserve">Интегрираната морска политика </w:t>
      </w:r>
      <w:r w:rsidRPr="00610B1B">
        <w:rPr>
          <w:rFonts w:ascii="Times New Roman" w:eastAsia="Arial Unicode MS" w:hAnsi="Times New Roman" w:cs="Times New Roman"/>
          <w:sz w:val="24"/>
          <w:szCs w:val="24"/>
          <w:lang w:val="bg-BG"/>
        </w:rPr>
        <w:t>на ЕС то е „трансверсален политически инструмент, позволяващ на публичните органи и заинтересованите страни да прилагат координиран, интегриран и трансграничен подход“. Прилагането на екосистемен подход ще допринесе „за насърчаване на устойчивото развитие и растеж на морските и крайбрежните икономики и за устойчивото използване на морските и крайбрежни ресурси“.</w:t>
      </w:r>
      <w:r w:rsidRPr="00610B1B">
        <w:rPr>
          <w:rFonts w:ascii="Times New Roman" w:eastAsia="Arial Unicode MS" w:hAnsi="Times New Roman" w:cs="Times New Roman"/>
          <w:sz w:val="24"/>
          <w:szCs w:val="24"/>
          <w:vertAlign w:val="superscript"/>
          <w:lang w:val="bg-BG"/>
        </w:rPr>
        <w:footnoteReference w:id="1"/>
      </w:r>
    </w:p>
    <w:p w14:paraId="1EB584A3" w14:textId="36992D1E" w:rsidR="004B17B0" w:rsidRPr="00610B1B" w:rsidRDefault="004B17B0" w:rsidP="00D32D6A">
      <w:pPr>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b/>
          <w:bCs/>
          <w:sz w:val="24"/>
          <w:szCs w:val="24"/>
          <w:lang w:val="bg-BG"/>
        </w:rPr>
        <w:t>Териториалният обхват</w:t>
      </w:r>
      <w:r w:rsidRPr="00610B1B">
        <w:rPr>
          <w:rFonts w:ascii="Times New Roman" w:eastAsia="Arial Unicode MS" w:hAnsi="Times New Roman" w:cs="Times New Roman"/>
          <w:sz w:val="24"/>
          <w:szCs w:val="24"/>
          <w:lang w:val="bg-BG"/>
        </w:rPr>
        <w:t xml:space="preserve"> на плана е определен в Закона за морските пространства, вътрешните водни пътища и пристанищата на Република България (ЗМПВВППРБ) и включва морските пространства съгласно чл. 5 ал. 1 и крайбрежните морски води съгл. §1, т. 54 от ДР на Закона за водите (ЗВ). В Директивата и в програмните документи и методически указания се посочва, че морските пространствени планове обхващат само акваторията, тъй като не предвиждат дейности по устройство на територията. Изискванията да се интегрира морското пространствено планиране с интегрираното управление на крайбрежните зони, да се изследват взаимодействията между морето и сушата, налагат да се проследят дейностите на брега, които въздействат върху прилежащите морски пространства. Именно поради това, при определяне обхвата на плана е включена крайбрежната територия от зона А (100 m) и зона Б (2 km)</w:t>
      </w:r>
      <w:r w:rsidRPr="00610B1B">
        <w:rPr>
          <w:rFonts w:ascii="Times New Roman" w:hAnsi="Times New Roman" w:cs="Times New Roman"/>
          <w:sz w:val="24"/>
          <w:szCs w:val="24"/>
          <w:lang w:val="bg-BG"/>
        </w:rPr>
        <w:t xml:space="preserve"> на </w:t>
      </w:r>
      <w:r w:rsidRPr="00610B1B">
        <w:rPr>
          <w:rFonts w:ascii="Times New Roman" w:eastAsia="Arial Unicode MS" w:hAnsi="Times New Roman" w:cs="Times New Roman"/>
          <w:sz w:val="24"/>
          <w:szCs w:val="24"/>
          <w:lang w:val="bg-BG"/>
        </w:rPr>
        <w:t xml:space="preserve">Закона за устройство на Черноморското крайбрежие (ЗУЧК), където са съсредоточени важни обекти и съоръжения на транспортната, техническата, туристическата и екологичната инфраструктура. </w:t>
      </w:r>
    </w:p>
    <w:p w14:paraId="34AE3429" w14:textId="41F59F28" w:rsidR="004B17B0" w:rsidRPr="00610B1B" w:rsidRDefault="004B17B0" w:rsidP="00D32D6A">
      <w:pPr>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sz w:val="24"/>
          <w:szCs w:val="24"/>
          <w:lang w:val="bg-BG"/>
        </w:rPr>
        <w:t xml:space="preserve">Тази своеобразна „сухоземна“ граница на разработката се променя при специфични изисквания и обхват на изходните данни. Демографската динамика се проследява от данните за населението на 14-те Черноморски общини, за градовете Варна и Бургас, за важни курортни населени места и големи черноморски курорти. Анализът на биоразнообразието и състоянието на защитените територии и защитените зони, освен </w:t>
      </w:r>
      <w:r w:rsidRPr="00610B1B">
        <w:rPr>
          <w:rFonts w:ascii="Times New Roman" w:eastAsia="Arial Unicode MS" w:hAnsi="Times New Roman" w:cs="Times New Roman"/>
          <w:sz w:val="24"/>
          <w:szCs w:val="24"/>
          <w:lang w:val="bg-BG"/>
        </w:rPr>
        <w:lastRenderedPageBreak/>
        <w:t>обявените в морето, обхваща и някои елементи на Националната екологична мрежа (НЕМ) на брега, които имат акваториална част.</w:t>
      </w:r>
      <w:r w:rsidR="00D66FE0"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t>Културното наследство се разглежда въз основа на информацията за обектите под вода, но и с най-важните световни и национални обекти на брега, между които и Старинен Несебър, уникален паметник на Световното културно наследство.</w:t>
      </w:r>
      <w:r w:rsidRPr="00610B1B">
        <w:rPr>
          <w:rFonts w:ascii="Times New Roman" w:hAnsi="Times New Roman" w:cs="Times New Roman"/>
          <w:lang w:val="bg-BG"/>
        </w:rPr>
        <w:t xml:space="preserve"> </w:t>
      </w:r>
      <w:r w:rsidRPr="00610B1B">
        <w:rPr>
          <w:rFonts w:ascii="Times New Roman" w:eastAsia="Arial Unicode MS" w:hAnsi="Times New Roman" w:cs="Times New Roman"/>
          <w:sz w:val="24"/>
          <w:szCs w:val="24"/>
          <w:lang w:val="bg-BG"/>
        </w:rPr>
        <w:t>Въздействията от климатичните промени, хазарда и риска от зачестилите природни бедствия са проследени в обхвата на рисковите зони, чиито</w:t>
      </w:r>
      <w:r w:rsidR="00D66FE0"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t xml:space="preserve">граници са определени в действащи национални и регионални стратегически документи. Рискът от наводнения е разгледан в зоните, определени в ПУРН 2016-2021 г. и в подготвените им актуализации. </w:t>
      </w:r>
    </w:p>
    <w:p w14:paraId="1A13E5A9" w14:textId="7BE1D878" w:rsidR="004B17B0" w:rsidRPr="00610B1B" w:rsidRDefault="004B17B0" w:rsidP="00D32D6A">
      <w:pPr>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sz w:val="24"/>
          <w:szCs w:val="24"/>
          <w:lang w:val="bg-BG"/>
        </w:rPr>
        <w:t>Пристанищната дейност и морският транспорт, като важни сектори от морската икономика са анализирани заедно с пристанищата и с връзките им с националната инфраструктура и с важните центрове и коридори на TEN-T.</w:t>
      </w:r>
      <w:r w:rsidR="00D66FE0"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t xml:space="preserve">Сектор Рибарство също има обекти на брега – рибарски пристанища и стоянки, обекти на преработвателната промишленост. Туризмът, освен бурното развитие на морските курорти, има ясно определени съпътстващи дейности в морските пространства, за които в България има по-малко опит – плуване, гмуркане, гребане, сърфинг, кайт-сърфинг, водни ски, разходки с яхти, лодки и скутери, подводен риболов и др. Черноморските курорти се разглеждат и във връзка с натиска, който тяхното презастрояване поражда в морските пространства и по морския бряг. </w:t>
      </w:r>
    </w:p>
    <w:p w14:paraId="085E32EE" w14:textId="357C61D3" w:rsidR="004B17B0" w:rsidRPr="00610B1B" w:rsidRDefault="004B17B0" w:rsidP="00D32D6A">
      <w:pPr>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sz w:val="24"/>
          <w:szCs w:val="24"/>
          <w:lang w:val="bg-BG"/>
        </w:rPr>
        <w:t>МППРБ не предвижда ново строителство или промяна в начините на трайно ползване на крайбрежната територия, която е обект на Общите устройствени планове на черноморските общини. Той дава основни стратегически насоки за подобряване на взаимодействията между акваторията и прилежащата територия и за координиране на дейностите в морските сектори. От него не произтича реализация на инвестиционни инициативи, които се планират и процедират в условията на законовата рамка за устройство на територията (ЗУТ, ЗУЧК и ЗМПВВППРБ). МППРБ се съобразява с приоритетите на общностни, регионални, национални и локални документи, свързани с устойчивото развитие на морските пространства.</w:t>
      </w:r>
      <w:r w:rsidR="00D66FE0" w:rsidRPr="00610B1B">
        <w:rPr>
          <w:rFonts w:ascii="Times New Roman" w:eastAsia="Arial Unicode MS" w:hAnsi="Times New Roman" w:cs="Times New Roman"/>
          <w:sz w:val="24"/>
          <w:szCs w:val="24"/>
          <w:lang w:val="bg-BG"/>
        </w:rPr>
        <w:t xml:space="preserve"> </w:t>
      </w:r>
    </w:p>
    <w:p w14:paraId="20D48039" w14:textId="77777777" w:rsidR="004B17B0" w:rsidRPr="00610B1B" w:rsidRDefault="004B17B0" w:rsidP="00D32D6A">
      <w:pPr>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b/>
          <w:bCs/>
          <w:sz w:val="24"/>
          <w:szCs w:val="24"/>
          <w:lang w:val="bg-BG"/>
        </w:rPr>
        <w:t>Главна цел</w:t>
      </w:r>
      <w:r w:rsidRPr="00610B1B">
        <w:rPr>
          <w:rFonts w:ascii="Times New Roman" w:eastAsia="Arial Unicode MS" w:hAnsi="Times New Roman" w:cs="Times New Roman"/>
          <w:sz w:val="24"/>
          <w:szCs w:val="24"/>
          <w:lang w:val="bg-BG"/>
        </w:rPr>
        <w:t xml:space="preserve"> на Морския пространствен план на Р. България, е създаването на условия за устойчив растеж на морската икономика, за постигане на стабилно развитие на българския черноморски регион, чрез ефективно използване на природните ресурси, съобразено с изискванията за интегрирано опазване на морската среда. МППРБ трябва да съвмести безконфликтно съществуващи и бъдещи дейности по използване на морските пространства, отчитайки мерките за постигане на добро състояние на морската околна среда на Програмата от мерки към Морската стратегия на Р. България. </w:t>
      </w:r>
    </w:p>
    <w:p w14:paraId="1347C12F" w14:textId="41B63E7A" w:rsidR="004B17B0" w:rsidRPr="00610B1B" w:rsidRDefault="004B17B0" w:rsidP="00D32D6A">
      <w:pPr>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b/>
          <w:bCs/>
          <w:sz w:val="24"/>
          <w:szCs w:val="24"/>
          <w:lang w:val="bg-BG"/>
        </w:rPr>
        <w:t>Специфичните цели</w:t>
      </w:r>
      <w:r w:rsidRPr="00610B1B">
        <w:rPr>
          <w:rFonts w:ascii="Times New Roman" w:eastAsia="Arial Unicode MS" w:hAnsi="Times New Roman" w:cs="Times New Roman"/>
          <w:sz w:val="24"/>
          <w:szCs w:val="24"/>
          <w:lang w:val="bg-BG"/>
        </w:rPr>
        <w:t xml:space="preserve"> на Морския пространствен план са съобразени с изискванията на Директива 2014/89/ЕС и на ЗМППВВППРБ и определят задачите, които трябва да бъдат изпълнени: i) анализ на състоянието на морските пространства на база налична информация; ii) анализ на ресурсите в морските пространства (биологични, минерални, материални); iii) анализ на дейности и ползвания в морските пространства, конфликтни точки</w:t>
      </w:r>
      <w:r w:rsidR="00D66FE0"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t xml:space="preserve">и зони и потенциал за безконфликтно интегриране; iv) разработване на прогнозни сценарии и избор на предпочитан вариант при съчетание на икономически, социални и </w:t>
      </w:r>
      <w:r w:rsidRPr="00610B1B">
        <w:rPr>
          <w:rFonts w:ascii="Times New Roman" w:eastAsia="Arial Unicode MS" w:hAnsi="Times New Roman" w:cs="Times New Roman"/>
          <w:sz w:val="24"/>
          <w:szCs w:val="24"/>
          <w:lang w:val="bg-BG"/>
        </w:rPr>
        <w:lastRenderedPageBreak/>
        <w:t>екологични цели; v) определяне на визия и стратегически цели за развитие към избраните хоризонти – краткосрочен до 2024 г. и дългосрочен до 2035 г.; и vi) разработване на процедури за прилагане, управление, изпълнение, наблюдение и контрол.</w:t>
      </w:r>
    </w:p>
    <w:p w14:paraId="42CADD93" w14:textId="79BB4508" w:rsidR="004B17B0" w:rsidRPr="00610B1B" w:rsidRDefault="004B17B0" w:rsidP="00D32D6A">
      <w:pPr>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sz w:val="24"/>
          <w:szCs w:val="24"/>
          <w:lang w:val="bg-BG"/>
        </w:rPr>
        <w:t xml:space="preserve">При изготвянето на МППРБ са приложени задължителните </w:t>
      </w:r>
      <w:r w:rsidRPr="00610B1B">
        <w:rPr>
          <w:rFonts w:ascii="Times New Roman" w:eastAsia="Arial Unicode MS" w:hAnsi="Times New Roman" w:cs="Times New Roman"/>
          <w:b/>
          <w:bCs/>
          <w:sz w:val="24"/>
          <w:szCs w:val="24"/>
          <w:lang w:val="bg-BG"/>
        </w:rPr>
        <w:t>подходи за морско планиране</w:t>
      </w:r>
      <w:r w:rsidRPr="00610B1B">
        <w:rPr>
          <w:rFonts w:ascii="Times New Roman" w:eastAsia="Arial Unicode MS" w:hAnsi="Times New Roman" w:cs="Times New Roman"/>
          <w:sz w:val="24"/>
          <w:szCs w:val="24"/>
          <w:lang w:val="bg-BG"/>
        </w:rPr>
        <w:t xml:space="preserve"> (екосистемен, интегриран и трансграничен) и подходящи принципи, методи и инструменти за събиране и обработка на информацията, за системен и документален анализ, за прогнозиране и стратегическо планиране, за групово експертно вземане на решения и за обществени консултации. Основен инструмент при разработването на МППРБ е ГИС.</w:t>
      </w:r>
      <w:r w:rsidR="00D66FE0" w:rsidRPr="00610B1B">
        <w:rPr>
          <w:rFonts w:ascii="Times New Roman" w:eastAsia="Arial Unicode MS" w:hAnsi="Times New Roman" w:cs="Times New Roman"/>
          <w:sz w:val="24"/>
          <w:szCs w:val="24"/>
          <w:lang w:val="bg-BG"/>
        </w:rPr>
        <w:t xml:space="preserve"> </w:t>
      </w:r>
    </w:p>
    <w:p w14:paraId="7BA31E66" w14:textId="749C1787" w:rsidR="004B17B0" w:rsidRPr="00610B1B" w:rsidRDefault="004B17B0" w:rsidP="00D32D6A">
      <w:pPr>
        <w:spacing w:after="120"/>
        <w:ind w:right="-153"/>
        <w:jc w:val="both"/>
        <w:rPr>
          <w:rFonts w:ascii="Times New Roman" w:eastAsia="Arial Unicode MS" w:hAnsi="Times New Roman" w:cs="Times New Roman"/>
          <w:sz w:val="24"/>
          <w:szCs w:val="24"/>
          <w:lang w:val="bg-BG"/>
        </w:rPr>
      </w:pPr>
      <w:r w:rsidRPr="00610B1B">
        <w:rPr>
          <w:rFonts w:ascii="Times New Roman" w:hAnsi="Times New Roman" w:cs="Times New Roman"/>
          <w:b/>
          <w:sz w:val="24"/>
          <w:szCs w:val="24"/>
          <w:lang w:val="bg-BG"/>
        </w:rPr>
        <w:t>Законодателната рамка</w:t>
      </w:r>
      <w:r w:rsidRPr="00610B1B">
        <w:rPr>
          <w:rFonts w:ascii="Times New Roman" w:hAnsi="Times New Roman" w:cs="Times New Roman"/>
          <w:bCs/>
          <w:sz w:val="24"/>
          <w:szCs w:val="24"/>
          <w:lang w:val="bg-BG"/>
        </w:rPr>
        <w:t xml:space="preserve"> на МППРБ се определя от законодателни, програмни и стратегически документи - международни (конвенции, протоколи, харти), Европейски (регламенти, директиви, решения, програми, стратегии и инициативи); регионални конвенции и протоколи за Черноморския регион; национални (закони, наредби, указания, концепции, стратегии, планове и програми от мерки); примери от добрите практики на други държави. Опазването на океаните и моретата,</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заложено още в края на 1950-те години, днес се свързва с </w:t>
      </w:r>
      <w:r w:rsidRPr="00610B1B">
        <w:rPr>
          <w:rFonts w:ascii="Times New Roman" w:eastAsia="Arial Unicode MS" w:hAnsi="Times New Roman" w:cs="Times New Roman"/>
          <w:bCs/>
          <w:sz w:val="24"/>
          <w:szCs w:val="24"/>
          <w:lang w:val="bg-BG"/>
        </w:rPr>
        <w:t xml:space="preserve">глобалната ЦУР14 на </w:t>
      </w:r>
      <w:r w:rsidRPr="00610B1B">
        <w:rPr>
          <w:rFonts w:ascii="Times New Roman" w:eastAsia="Arial Unicode MS" w:hAnsi="Times New Roman" w:cs="Times New Roman"/>
          <w:sz w:val="24"/>
          <w:szCs w:val="24"/>
          <w:lang w:val="bg-BG"/>
        </w:rPr>
        <w:t xml:space="preserve">Програмата на ООН </w:t>
      </w:r>
      <w:r w:rsidRPr="00610B1B">
        <w:rPr>
          <w:rFonts w:ascii="Times New Roman" w:eastAsia="Arial Unicode MS" w:hAnsi="Times New Roman" w:cs="Times New Roman"/>
          <w:b/>
          <w:bCs/>
          <w:sz w:val="24"/>
          <w:szCs w:val="24"/>
          <w:lang w:val="bg-BG"/>
        </w:rPr>
        <w:t>Дневен ред 2030</w:t>
      </w:r>
      <w:r w:rsidRPr="00610B1B">
        <w:rPr>
          <w:rFonts w:ascii="Times New Roman" w:eastAsia="Arial Unicode MS" w:hAnsi="Times New Roman" w:cs="Times New Roman"/>
          <w:sz w:val="24"/>
          <w:szCs w:val="24"/>
          <w:vertAlign w:val="superscript"/>
          <w:lang w:val="bg-BG"/>
        </w:rPr>
        <w:footnoteReference w:id="2"/>
      </w:r>
      <w:r w:rsidRPr="00610B1B">
        <w:rPr>
          <w:rFonts w:ascii="Times New Roman" w:eastAsia="Arial Unicode MS" w:hAnsi="Times New Roman" w:cs="Times New Roman"/>
          <w:sz w:val="24"/>
          <w:szCs w:val="24"/>
          <w:lang w:val="bg-BG"/>
        </w:rPr>
        <w:t>, която предвижда намаляване на морското замърсяване до 2025 г., възстановяване на морските екосистеми до 2020 г., преустановяване на разрушителните риболовни практики</w:t>
      </w:r>
      <w:r w:rsidR="00D66FE0"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t>и преосмисляне на субсидирането на рибарството. В същия срок се предлага да се съхранят минимум 10% от крайбрежните и морски зони, да се стимулират научните изследвания и трансфера на морски технологии, повишаването на научните знания, развитието на изследователския капацитет и на информационната основа. До 2030 г. се очаква повишаване на икономическите ползи за най-слабо развитите държави</w:t>
      </w:r>
      <w:r w:rsidRPr="00610B1B">
        <w:rPr>
          <w:rFonts w:ascii="Times New Roman" w:eastAsia="Arial Unicode MS" w:hAnsi="Times New Roman" w:cs="Times New Roman"/>
          <w:i/>
          <w:sz w:val="24"/>
          <w:szCs w:val="24"/>
          <w:lang w:val="bg-BG"/>
        </w:rPr>
        <w:t xml:space="preserve"> „чрез устойчиво управление на рибарството, аквакултурите и туризма</w:t>
      </w:r>
      <w:r w:rsidRPr="00610B1B">
        <w:rPr>
          <w:rFonts w:ascii="Times New Roman" w:eastAsia="Arial Unicode MS" w:hAnsi="Times New Roman" w:cs="Times New Roman"/>
          <w:sz w:val="24"/>
          <w:szCs w:val="24"/>
          <w:lang w:val="bg-BG"/>
        </w:rPr>
        <w:t xml:space="preserve">“. </w:t>
      </w:r>
    </w:p>
    <w:p w14:paraId="3BD232A1" w14:textId="5DCD797D" w:rsidR="004B17B0" w:rsidRPr="00610B1B" w:rsidRDefault="004B17B0" w:rsidP="00D32D6A">
      <w:pPr>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sz w:val="24"/>
          <w:szCs w:val="24"/>
          <w:lang w:val="bg-BG"/>
        </w:rPr>
        <w:t xml:space="preserve">След основополагащите документи е </w:t>
      </w:r>
      <w:r w:rsidRPr="00610B1B">
        <w:rPr>
          <w:rFonts w:ascii="Times New Roman" w:eastAsia="Arial Unicode MS" w:hAnsi="Times New Roman" w:cs="Times New Roman"/>
          <w:b/>
          <w:bCs/>
          <w:sz w:val="24"/>
          <w:szCs w:val="24"/>
          <w:lang w:val="bg-BG"/>
        </w:rPr>
        <w:t xml:space="preserve">Конвенцията на ООН по морско право </w:t>
      </w:r>
      <w:r w:rsidRPr="00610B1B">
        <w:rPr>
          <w:rFonts w:ascii="Times New Roman" w:eastAsia="Arial Unicode MS" w:hAnsi="Times New Roman" w:cs="Times New Roman"/>
          <w:sz w:val="24"/>
          <w:szCs w:val="24"/>
          <w:lang w:val="bg-BG"/>
        </w:rPr>
        <w:t>(</w:t>
      </w:r>
      <w:r w:rsidR="006665AB" w:rsidRPr="00610B1B">
        <w:rPr>
          <w:rFonts w:ascii="Times New Roman" w:eastAsia="Arial Unicode MS" w:hAnsi="Times New Roman" w:cs="Times New Roman"/>
          <w:sz w:val="24"/>
          <w:szCs w:val="24"/>
          <w:lang w:val="bg-BG"/>
        </w:rPr>
        <w:t xml:space="preserve">1982 </w:t>
      </w:r>
      <w:r w:rsidRPr="00610B1B">
        <w:rPr>
          <w:rFonts w:ascii="Times New Roman" w:eastAsia="Arial Unicode MS" w:hAnsi="Times New Roman" w:cs="Times New Roman"/>
          <w:sz w:val="24"/>
          <w:szCs w:val="24"/>
          <w:lang w:val="bg-BG"/>
        </w:rPr>
        <w:t>г.)</w:t>
      </w:r>
      <w:r w:rsidRPr="00610B1B">
        <w:rPr>
          <w:rFonts w:ascii="Times New Roman" w:eastAsia="Arial Unicode MS" w:hAnsi="Times New Roman" w:cs="Times New Roman"/>
          <w:sz w:val="24"/>
          <w:szCs w:val="24"/>
          <w:vertAlign w:val="superscript"/>
          <w:lang w:val="bg-BG"/>
        </w:rPr>
        <w:footnoteReference w:id="3"/>
      </w:r>
      <w:r w:rsidRPr="00610B1B">
        <w:rPr>
          <w:rFonts w:ascii="Times New Roman" w:eastAsia="Arial Unicode MS" w:hAnsi="Times New Roman" w:cs="Times New Roman"/>
          <w:sz w:val="24"/>
          <w:szCs w:val="24"/>
          <w:lang w:val="bg-BG"/>
        </w:rPr>
        <w:t xml:space="preserve">, в която зоната на морското и океанско дъно и техните недра, отвъд националната юрисдикция, и техните ресурси, са обявени за общо наследство на човечеството. Тя задава дефинициите, фиксира границите на морските пространства и принципите за определянето им и установява ангажиментите на участниците в използването на тези пространства. </w:t>
      </w:r>
    </w:p>
    <w:p w14:paraId="0B94464C" w14:textId="75E2A378" w:rsidR="004050A5" w:rsidRPr="00610B1B" w:rsidRDefault="004B17B0" w:rsidP="00A43DF1">
      <w:pPr>
        <w:spacing w:after="24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Европейският съюз регламентира развитието и прилагането на интегрираната морска политика в държавите-членки с акцент върху рибарството и корабоплаването. За МППРБ най-важен документ е </w:t>
      </w:r>
      <w:r w:rsidRPr="00610B1B">
        <w:rPr>
          <w:rFonts w:ascii="Times New Roman" w:hAnsi="Times New Roman" w:cs="Times New Roman"/>
          <w:b/>
          <w:sz w:val="24"/>
          <w:szCs w:val="24"/>
          <w:lang w:val="bg-BG"/>
        </w:rPr>
        <w:t xml:space="preserve">Директива 2014/89/ЕС </w:t>
      </w:r>
      <w:r w:rsidRPr="00610B1B">
        <w:rPr>
          <w:rFonts w:ascii="Times New Roman" w:hAnsi="Times New Roman" w:cs="Times New Roman"/>
          <w:bCs/>
          <w:sz w:val="24"/>
          <w:szCs w:val="24"/>
          <w:lang w:val="bg-BG"/>
        </w:rPr>
        <w:t xml:space="preserve">на Европейския парламент и на Съвета от 23 юли 2014 г. за установяване на рамка за морско пространствено планиране, която определя методическия подход за разработване и прилагане на морските пространствени планове. Транспонирана е в българското законодателство чрез ЗМВВППРБ, в който се обосновават правната, институционалната и методологична рамка на пилотния за страната документ. </w:t>
      </w:r>
    </w:p>
    <w:p w14:paraId="695DFEC6" w14:textId="77777777" w:rsidR="004B17B0" w:rsidRPr="00610B1B" w:rsidRDefault="004B17B0" w:rsidP="00D32D6A">
      <w:pPr>
        <w:widowControl w:val="0"/>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b/>
          <w:bCs/>
          <w:sz w:val="24"/>
          <w:szCs w:val="24"/>
          <w:lang w:val="bg-BG"/>
        </w:rPr>
        <w:lastRenderedPageBreak/>
        <w:t>Конвенцията за опазване на Черно море от замърсяване</w:t>
      </w:r>
      <w:r w:rsidRPr="00610B1B">
        <w:rPr>
          <w:rFonts w:ascii="Times New Roman" w:eastAsia="Arial Unicode MS" w:hAnsi="Times New Roman" w:cs="Times New Roman"/>
          <w:sz w:val="24"/>
          <w:szCs w:val="24"/>
          <w:lang w:val="bg-BG"/>
        </w:rPr>
        <w:t xml:space="preserve"> (Букурещ, 1992 г.), разглежда замърсяването от дейности на сушата, в морето и континенталния шелф, от кораби, дъмпинг или трансграничен пренос на опасни вещества и подпомага сътрудничеството за установяване на научни критерии за определяне на правила, стандарти, препоръчителни практики и процедури за предотвратяване, намаляване и контрол на замърсяването</w:t>
      </w:r>
      <w:r w:rsidRPr="00610B1B">
        <w:rPr>
          <w:rFonts w:ascii="Times New Roman" w:eastAsia="Arial Unicode MS" w:hAnsi="Times New Roman" w:cs="Times New Roman"/>
          <w:sz w:val="24"/>
          <w:szCs w:val="24"/>
          <w:vertAlign w:val="superscript"/>
          <w:lang w:val="bg-BG"/>
        </w:rPr>
        <w:footnoteReference w:id="4"/>
      </w:r>
      <w:r w:rsidRPr="00610B1B">
        <w:rPr>
          <w:rFonts w:ascii="Times New Roman" w:eastAsia="Arial Unicode MS" w:hAnsi="Times New Roman" w:cs="Times New Roman"/>
          <w:sz w:val="24"/>
          <w:szCs w:val="24"/>
          <w:lang w:val="bg-BG"/>
        </w:rPr>
        <w:t xml:space="preserve">. През 2009 г. в София се приема Стратегически план за действие за опазване и възстановяване на Черно море, който изисква отчитане на дейността в крайбрежните зони и въздействието им върху състоянието на морската среда. През 2018 г. в Бургас се приема Визия за иновативен и интелигентен син растеж. Тези международни, общностни, регионални, национални законодателни и стратегически документи са в основата на прогнозните предвиждания. </w:t>
      </w:r>
    </w:p>
    <w:p w14:paraId="5603D103" w14:textId="77777777" w:rsidR="004B17B0" w:rsidRPr="00610B1B" w:rsidRDefault="004B17B0" w:rsidP="00D32D6A">
      <w:pPr>
        <w:spacing w:after="120"/>
        <w:ind w:right="-153"/>
        <w:jc w:val="both"/>
        <w:rPr>
          <w:rFonts w:ascii="Times New Roman" w:eastAsia="Times New Roman" w:hAnsi="Times New Roman" w:cs="Times New Roman"/>
          <w:color w:val="000000"/>
          <w:sz w:val="24"/>
          <w:szCs w:val="24"/>
          <w:lang w:val="bg-BG"/>
        </w:rPr>
      </w:pPr>
      <w:r w:rsidRPr="00610B1B">
        <w:rPr>
          <w:rFonts w:ascii="Times New Roman" w:eastAsia="Times New Roman" w:hAnsi="Times New Roman" w:cs="Times New Roman"/>
          <w:b/>
          <w:bCs/>
          <w:color w:val="000000"/>
          <w:sz w:val="24"/>
          <w:szCs w:val="24"/>
          <w:lang w:val="bg-BG"/>
        </w:rPr>
        <w:t>Времевият обхват</w:t>
      </w:r>
      <w:r w:rsidRPr="00610B1B">
        <w:rPr>
          <w:rFonts w:ascii="Times New Roman" w:eastAsia="Times New Roman" w:hAnsi="Times New Roman" w:cs="Times New Roman"/>
          <w:color w:val="000000"/>
          <w:sz w:val="24"/>
          <w:szCs w:val="24"/>
          <w:lang w:val="bg-BG"/>
        </w:rPr>
        <w:t xml:space="preserve"> на МППРБ е регламентиран в Техническата спецификация. Той се разработва за периода 2021–2035 г. или за срок от 15 години, актуализацията му се извършва след 10 години или през 2030 г., когато изтичат сроковете и на други важни национални планове и секторни стратегии. Краткосрочните прогнози са до 2024 г. включително.</w:t>
      </w:r>
    </w:p>
    <w:p w14:paraId="6B764D2F" w14:textId="77777777" w:rsidR="004B17B0" w:rsidRPr="00610B1B" w:rsidRDefault="004B17B0"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Тематичният обхват</w:t>
      </w:r>
      <w:r w:rsidRPr="00610B1B">
        <w:rPr>
          <w:rFonts w:ascii="Times New Roman" w:hAnsi="Times New Roman" w:cs="Times New Roman"/>
          <w:bCs/>
          <w:sz w:val="24"/>
          <w:szCs w:val="24"/>
          <w:lang w:val="bg-BG"/>
        </w:rPr>
        <w:t xml:space="preserve"> на МППРБ, съгласно действащия у нас нормативен документ, покрива всички тематични области от Директива 2014/89/ЕС - транспортни системи за движение, зони и полигони за военни учения; проучвания за разработване и използване/добив на ресурси; рибарство и аквакултури; туризъм, рекреационни и спортни дейности в морето; научни изследвания; защитени зони и защитени територии от НЕМ; културно наследство и подводна археология; подводни линейни обекти на техническата инфраструктура; инсталации и съоръжения, свързани с корабоплаването и с разработването и използването на минералните и енергийните ресурси; пристанища и пристанищна дейност с прилежащите им площи; дейности в морската икономика, с техния разширяващ се обхват през последните десетилетия и необходимите пространства и ресурси. </w:t>
      </w:r>
    </w:p>
    <w:p w14:paraId="347BEFE6" w14:textId="5806BC85" w:rsidR="004B17B0" w:rsidRPr="00610B1B" w:rsidRDefault="004B17B0"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Източниците на информация</w:t>
      </w:r>
      <w:r w:rsidRPr="00610B1B">
        <w:rPr>
          <w:rFonts w:ascii="Times New Roman" w:hAnsi="Times New Roman" w:cs="Times New Roman"/>
          <w:bCs/>
          <w:sz w:val="24"/>
          <w:szCs w:val="24"/>
          <w:lang w:val="bg-BG"/>
        </w:rPr>
        <w:t xml:space="preserve"> обхващат широк набор от официални институции, мрежи и бази данни и публикации, свързани с тематиката, целите и задачите на плана. Използвани са данни на свободен достъп от Европейската платформа за МПП (MSP Platform), ЕMODneт, ЕЕА и др. При изготвянето на МППРБ е използвана информация от научни разработки на участниците в екипа, собствена база данни на НЦТР,</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резултати от Социално-икономическия анализ на районите, който е в процес на актуализация. </w:t>
      </w:r>
    </w:p>
    <w:p w14:paraId="11AF0CB8" w14:textId="339AFE04" w:rsidR="004B17B0" w:rsidRPr="00610B1B" w:rsidRDefault="004B17B0"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Състоянието на националните морски пространства</w:t>
      </w:r>
      <w:r w:rsidRPr="00610B1B">
        <w:rPr>
          <w:rFonts w:ascii="Times New Roman" w:hAnsi="Times New Roman" w:cs="Times New Roman"/>
          <w:bCs/>
          <w:sz w:val="24"/>
          <w:szCs w:val="24"/>
          <w:lang w:val="bg-BG"/>
        </w:rPr>
        <w:t xml:space="preserve"> е анализирано по компоненти на средата и в съответствие с развиващите се дейности, наличните ресурси и последиците от различни ползвания. Всичко това се изследва съобразно специфичните характеристики на Черно море. То е елипсоиден полузатворен басейн, разположен в Северното полукълбо, между Европа и Азия. Единствената връзка със световния океан е през Средиземно море чрез Босфора. На север чрез протока Керч Черно море се свързва с Азовско море. Северозападният шелф е единственото акумулативно тяло, където се вливат трите най-</w:t>
      </w:r>
      <w:r w:rsidRPr="00610B1B">
        <w:rPr>
          <w:rFonts w:ascii="Times New Roman" w:hAnsi="Times New Roman" w:cs="Times New Roman"/>
          <w:bCs/>
          <w:sz w:val="24"/>
          <w:szCs w:val="24"/>
          <w:lang w:val="bg-BG"/>
        </w:rPr>
        <w:lastRenderedPageBreak/>
        <w:t>големи европейски реки - Дунав, Днепър и Днестър. Големият сладководен речен вток на повърхността и притокът на солени средиземноморски води в дълбоководната част на морето през Босфора, създават уникална двуслойна термохалинна водна стратификация. На дълбочина по-голяма от 150–200 m е установена постоянна сероводородна зона, в която кислородът е изчерпан. Черно море е най-големият безкислороден басейн в света. Богатите на кислород повърхностни води, от които зависи животът в морето са около 13% от обема на водната маса. Тази особеност влияе върху екологичното състояние на морската среда и разнообразието на организмите, които зависят от нея. Поради затворения характер</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и положителния сладководен баланс, водното ниво на Черно море е с 30 до 50 cm по-високо от това на Мраморно море, което създава две течения. Повърхностното течение</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пренася от Черно в Мраморно море води със соленост 17–18‰, а придънното течение увлича в Черно море вода от Мраморно море със соленост 38‰. Особеност на крайбрежието е, че е изградено в северната си част от седиментни скали, а в южната - от магмени. В крайбрежните териториални води липсват големи острови, което е типично за Черно море. Отвореността на Черноморския регион на север и североизток и липсата на орографска преграда е предпоставка за нахлуване на студени въздушни маси през зимата и екстремни отрицателни температури по крайбрежието. През топлото полугодие бризовата</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циркулация ограничава високите температури на въздуха. Характерна е неголямата височина на ветровите вълни, със средногодишни</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стойности в северозападната част около 2 m. По българското крайбрежие</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вълните са с височина средно 31 cm, поради плитката шелфова част. </w:t>
      </w:r>
      <w:r w:rsidRPr="00610B1B">
        <w:rPr>
          <w:rFonts w:ascii="Times New Roman" w:eastAsia="Times New Roman" w:hAnsi="Times New Roman" w:cs="Times New Roman"/>
          <w:spacing w:val="-1"/>
          <w:sz w:val="24"/>
          <w:szCs w:val="24"/>
          <w:lang w:val="bg-BG" w:eastAsia="bg-BG"/>
        </w:rPr>
        <w:t xml:space="preserve">Типични са малките колебания на морската вода при приливите и отливите. </w:t>
      </w:r>
      <w:r w:rsidRPr="00610B1B">
        <w:rPr>
          <w:rFonts w:ascii="Times New Roman" w:eastAsia="Times New Roman" w:hAnsi="Times New Roman" w:cs="Times New Roman"/>
          <w:sz w:val="24"/>
          <w:szCs w:val="24"/>
          <w:lang w:val="bg-BG" w:bidi="en-US"/>
        </w:rPr>
        <w:t>Най-големите приливи (до 17 сm) се наблюдават в Одеския залив, а максималният прилив в Бургас е 11,2 сm.</w:t>
      </w:r>
    </w:p>
    <w:p w14:paraId="0387B13C" w14:textId="2422E9F5" w:rsidR="004B17B0" w:rsidRPr="00610B1B" w:rsidRDefault="004B17B0" w:rsidP="00D32D6A">
      <w:pPr>
        <w:spacing w:after="120"/>
        <w:ind w:right="-153"/>
        <w:jc w:val="both"/>
        <w:rPr>
          <w:rFonts w:ascii="Times New Roman" w:eastAsia="Times New Roman" w:hAnsi="Times New Roman" w:cs="Times New Roman"/>
          <w:sz w:val="24"/>
          <w:szCs w:val="24"/>
          <w:lang w:val="bg-BG" w:bidi="en-US"/>
        </w:rPr>
      </w:pPr>
      <w:r w:rsidRPr="00610B1B">
        <w:rPr>
          <w:rFonts w:ascii="Times New Roman" w:eastAsia="Times New Roman" w:hAnsi="Times New Roman" w:cs="Times New Roman"/>
          <w:sz w:val="24"/>
          <w:szCs w:val="24"/>
          <w:lang w:val="bg-BG" w:bidi="en-US"/>
        </w:rPr>
        <w:t>Черно море е характерно</w:t>
      </w:r>
      <w:r w:rsidR="00D66FE0" w:rsidRPr="00610B1B">
        <w:rPr>
          <w:rFonts w:ascii="Times New Roman" w:eastAsia="Times New Roman" w:hAnsi="Times New Roman" w:cs="Times New Roman"/>
          <w:sz w:val="24"/>
          <w:szCs w:val="24"/>
          <w:lang w:val="bg-BG" w:bidi="en-US"/>
        </w:rPr>
        <w:t xml:space="preserve"> </w:t>
      </w:r>
      <w:r w:rsidRPr="00610B1B">
        <w:rPr>
          <w:rFonts w:ascii="Times New Roman" w:eastAsia="Times New Roman" w:hAnsi="Times New Roman" w:cs="Times New Roman"/>
          <w:sz w:val="24"/>
          <w:szCs w:val="24"/>
          <w:lang w:val="bg-BG" w:bidi="en-US"/>
        </w:rPr>
        <w:t>с ограниченото си биоразнообразие. Фауната му е около три пъти по-бедна от тази на Средиземно море, поради сероводорода в дълбоководната зона, ниската соленост на водите и ограничената връзка със Световния океан. Пространствата в прилежащото крайбрежие обаче са</w:t>
      </w:r>
      <w:r w:rsidR="00D66FE0" w:rsidRPr="00610B1B">
        <w:rPr>
          <w:rFonts w:ascii="Times New Roman" w:eastAsia="Times New Roman" w:hAnsi="Times New Roman" w:cs="Times New Roman"/>
          <w:sz w:val="24"/>
          <w:szCs w:val="24"/>
          <w:lang w:val="bg-BG" w:bidi="en-US"/>
        </w:rPr>
        <w:t xml:space="preserve"> </w:t>
      </w:r>
      <w:r w:rsidRPr="00610B1B">
        <w:rPr>
          <w:rFonts w:ascii="Times New Roman" w:eastAsia="Times New Roman" w:hAnsi="Times New Roman" w:cs="Times New Roman"/>
          <w:sz w:val="24"/>
          <w:szCs w:val="24"/>
          <w:lang w:val="bg-BG" w:bidi="en-US"/>
        </w:rPr>
        <w:t xml:space="preserve">известни с богато биоразнообразие. По българското крайбрежие и над прилежаща акватория преминава един от европейските пътища на мигриращите птици – </w:t>
      </w:r>
      <w:r w:rsidRPr="00610B1B">
        <w:rPr>
          <w:rFonts w:ascii="Times New Roman" w:eastAsia="Times New Roman" w:hAnsi="Times New Roman" w:cs="Times New Roman"/>
          <w:i/>
          <w:iCs/>
          <w:sz w:val="24"/>
          <w:szCs w:val="24"/>
          <w:lang w:val="bg-BG" w:bidi="en-US"/>
        </w:rPr>
        <w:t>Via Pontica</w:t>
      </w:r>
      <w:r w:rsidRPr="00610B1B">
        <w:rPr>
          <w:rFonts w:ascii="Times New Roman" w:eastAsia="Times New Roman" w:hAnsi="Times New Roman" w:cs="Times New Roman"/>
          <w:sz w:val="24"/>
          <w:szCs w:val="24"/>
          <w:lang w:val="bg-BG" w:bidi="en-US"/>
        </w:rPr>
        <w:t>. Тук са обявени десетки защитени територии по Закона за защитените територии и защитени зони по Закона за биологичното разнообразие. Общата защитена площ на българското морско пространство е 247 724 ha, над 80% от извънселищните територии по бреговата линия също са под защита.</w:t>
      </w:r>
    </w:p>
    <w:p w14:paraId="07A6FBBB" w14:textId="4FFD1F2E" w:rsidR="004B17B0" w:rsidRPr="00610B1B" w:rsidRDefault="004B17B0" w:rsidP="00D32D6A">
      <w:pPr>
        <w:spacing w:after="120"/>
        <w:ind w:right="-153"/>
        <w:jc w:val="both"/>
        <w:rPr>
          <w:rFonts w:ascii="Times New Roman" w:eastAsia="Times New Roman" w:hAnsi="Times New Roman" w:cs="Times New Roman"/>
          <w:sz w:val="24"/>
          <w:szCs w:val="24"/>
          <w:lang w:val="bg-BG" w:bidi="en-US"/>
        </w:rPr>
      </w:pPr>
      <w:r w:rsidRPr="00610B1B">
        <w:rPr>
          <w:rFonts w:ascii="Times New Roman" w:eastAsia="Times New Roman" w:hAnsi="Times New Roman" w:cs="Times New Roman"/>
          <w:sz w:val="24"/>
          <w:szCs w:val="24"/>
          <w:lang w:val="bg-BG" w:bidi="en-US"/>
        </w:rPr>
        <w:t>От шестте държави, разположени около басейна на Черно море само две са членки на ЕС. Бреговете са с различна степен на урбанизация и усвояване на териториите. Към 31.12.2018 г. населението на Черноморските общини у нас</w:t>
      </w:r>
      <w:r w:rsidR="00D66FE0" w:rsidRPr="00610B1B">
        <w:rPr>
          <w:rFonts w:ascii="Times New Roman" w:eastAsia="Times New Roman" w:hAnsi="Times New Roman" w:cs="Times New Roman"/>
          <w:sz w:val="24"/>
          <w:szCs w:val="24"/>
          <w:lang w:val="bg-BG" w:bidi="en-US"/>
        </w:rPr>
        <w:t xml:space="preserve"> </w:t>
      </w:r>
      <w:r w:rsidRPr="00610B1B">
        <w:rPr>
          <w:rFonts w:ascii="Times New Roman" w:eastAsia="Times New Roman" w:hAnsi="Times New Roman" w:cs="Times New Roman"/>
          <w:sz w:val="24"/>
          <w:szCs w:val="24"/>
          <w:lang w:val="bg-BG" w:bidi="en-US"/>
        </w:rPr>
        <w:t xml:space="preserve">е 726 745 души, което представлява 10.4% от населението на България. В сравнение с края на 2011 г. населението на морските общини се увеличава с 0.04%, докато в страната намалява с 4.5%. На брега на Черно море са разположени два от големите градове в страната, с население към края на 2019 г., съответно Варна с 336 216 д. и Бургас с 201 779 д. </w:t>
      </w:r>
    </w:p>
    <w:p w14:paraId="2C13D980" w14:textId="77777777"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eastAsia="bg-BG"/>
        </w:rPr>
        <w:t xml:space="preserve">Около 70% от общото количество замърсители, постъпващи в морето са от черноморските страни. Част от тях и останалите 30% (от другите 11 страни във водосбора) се вливат в Черно море чрез р. Дунав. Това е едно от най-засегнатите морета от прекомерно съдържание на хранителни вещества и органична пренатовареност, поради използването </w:t>
      </w:r>
      <w:r w:rsidRPr="00610B1B">
        <w:rPr>
          <w:rFonts w:ascii="Times New Roman" w:hAnsi="Times New Roman" w:cs="Times New Roman"/>
          <w:sz w:val="24"/>
          <w:szCs w:val="24"/>
          <w:lang w:val="bg-BG" w:eastAsia="bg-BG"/>
        </w:rPr>
        <w:lastRenderedPageBreak/>
        <w:t>на торове в земеделието, непречистени отпадъчни води от животновъдни обекти и населени места и замърсяване от индустриални центрове. Най-силно засегната от еутрофикация е северозападната част на Черно море, където се вливат Дунав, Днепър и Днестър. Пренасяните големи количества фосфати и нитрати са причина за масирано развитие на фитопланктона и измиране на дънни организми. Допълнително натоварват морската среда инвазията на чуждестранни видове, дънното тралиране и преуловът. Установява се значително намаляване на рибните запаси.</w:t>
      </w:r>
      <w:r w:rsidRPr="00610B1B">
        <w:rPr>
          <w:rFonts w:ascii="Times New Roman" w:hAnsi="Times New Roman" w:cs="Times New Roman"/>
          <w:sz w:val="24"/>
          <w:szCs w:val="24"/>
          <w:lang w:val="bg-BG"/>
        </w:rPr>
        <w:t xml:space="preserve"> Състоянието на морската околна среда е проследено въз основа данните от мониторинга по определените дескриптори и предоставените доклади от БДЧР, РЗИ, ИО и ИБЕИ на БАН. Изводите от анализа дават възможност да се изгради обобщената картина за съществуващото състояние с всички най-важни силни и слаби страни, предизвикателства и заплахи. </w:t>
      </w:r>
    </w:p>
    <w:p w14:paraId="108BCF8E" w14:textId="77777777" w:rsidR="004B17B0" w:rsidRPr="00610B1B" w:rsidRDefault="004B17B0" w:rsidP="00D32D6A">
      <w:pPr>
        <w:spacing w:after="120"/>
        <w:ind w:right="-153"/>
        <w:jc w:val="both"/>
        <w:rPr>
          <w:rFonts w:ascii="Times New Roman" w:hAnsi="Times New Roman" w:cs="Times New Roman"/>
          <w:lang w:val="bg-BG"/>
        </w:rPr>
      </w:pPr>
      <w:r w:rsidRPr="00610B1B">
        <w:rPr>
          <w:rFonts w:ascii="Times New Roman" w:hAnsi="Times New Roman" w:cs="Times New Roman"/>
          <w:sz w:val="24"/>
          <w:szCs w:val="24"/>
          <w:lang w:val="bg-BG"/>
        </w:rPr>
        <w:t xml:space="preserve">Сред </w:t>
      </w:r>
      <w:r w:rsidRPr="00610B1B">
        <w:rPr>
          <w:rFonts w:ascii="Times New Roman" w:hAnsi="Times New Roman" w:cs="Times New Roman"/>
          <w:b/>
          <w:bCs/>
          <w:sz w:val="24"/>
          <w:szCs w:val="24"/>
          <w:lang w:val="bg-BG"/>
        </w:rPr>
        <w:t>силните страни</w:t>
      </w:r>
      <w:r w:rsidRPr="00610B1B">
        <w:rPr>
          <w:rFonts w:ascii="Times New Roman" w:hAnsi="Times New Roman" w:cs="Times New Roman"/>
          <w:sz w:val="24"/>
          <w:szCs w:val="24"/>
          <w:lang w:val="bg-BG"/>
        </w:rPr>
        <w:t xml:space="preserve"> на морските пространства, представени последователно за различните компоненти на средата и дейностите в Черно море са разнообразният и живописен морски бряг, полегатото пясъчно дъно и достатъчно големите заливи, в които се осъществяват разнообразни дейности и имат достъп различни по големина съвременни плавателни съдове. Съществуват добри познания за характеристиките на морската среда и тяхната сезонна и междугодишна динамика, поддържа се добър международен обмен на данни.</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В крайбрежната зона има многообразие от термоминерални води с различни физични и химични характеристики, минерализация и лечебни свойства, с неусвоен потенциал.</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Благоприятният климат с подходящи температури на въздуха през всички сезони, късата и прохладна пролет, продължителната топла есен и меката зима, температурите на морската вода, предразполагат към по-дълго използване на крайбрежието за морски туризъм. Въздействията на морския бриз в летния сезон подобряват климатичния комфорт.</w:t>
      </w:r>
      <w:r w:rsidRPr="00610B1B">
        <w:rPr>
          <w:rFonts w:ascii="Times New Roman" w:hAnsi="Times New Roman" w:cs="Times New Roman"/>
          <w:lang w:val="bg-BG"/>
        </w:rPr>
        <w:t xml:space="preserve"> </w:t>
      </w:r>
    </w:p>
    <w:p w14:paraId="5EA63C12" w14:textId="77777777" w:rsidR="004B17B0" w:rsidRPr="00610B1B" w:rsidRDefault="004B17B0" w:rsidP="00D32D6A">
      <w:pPr>
        <w:spacing w:after="120"/>
        <w:ind w:right="-153"/>
        <w:jc w:val="both"/>
        <w:rPr>
          <w:rFonts w:ascii="Times New Roman" w:hAnsi="Times New Roman" w:cs="Times New Roman"/>
          <w:lang w:val="bg-BG"/>
        </w:rPr>
      </w:pPr>
      <w:r w:rsidRPr="00610B1B">
        <w:rPr>
          <w:rFonts w:ascii="Times New Roman" w:hAnsi="Times New Roman" w:cs="Times New Roman"/>
          <w:sz w:val="24"/>
          <w:szCs w:val="24"/>
          <w:lang w:val="bg-BG"/>
        </w:rPr>
        <w:t>Прилагат се приетите стратегически документи в областта на биоразнообразието, горите, селското стопанство, изменението на климата и други, свързани с морето и прилежащото крайбрежие, сектори. Законодателството на ЕС в областта на биоразнообразието и управление на водите и интегрираната морска политика и морско пространствено планиране са транспонирани в националното законодателство. Изпълнява се мониторинг и се прилагат мерки от Програмата от мерки към Морската стратегия на Р. България съгл. чл. 13 от РДМС и мерки по чл. 11 от РДВ. България съхранява уникални за страната и Европа представители на растителния и животински свят и запазени хабитати в акваторията на Черно море и крайбрежната зона. Изградена е екологична мрежа от защитени територии и защитени зони със съхранено биоразнообразие. В населените места по Черноморското крайбрежие демографската картина е относително стабилна. Увеличава се населението на градовете Варна, Бургас и Несебър, висок е относителният дял на градското население с висше образование (26.8%), при 19.6% средно за страната. Съществуват добра образователна система и традиции за обучение на морски кадри, с потенциал за развитие.</w:t>
      </w:r>
      <w:r w:rsidRPr="00610B1B">
        <w:rPr>
          <w:rFonts w:ascii="Times New Roman" w:hAnsi="Times New Roman" w:cs="Times New Roman"/>
          <w:lang w:val="bg-BG"/>
        </w:rPr>
        <w:t xml:space="preserve"> </w:t>
      </w:r>
    </w:p>
    <w:p w14:paraId="2A5B754D" w14:textId="2F7580A3"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Сравнително благоприятното географско местоположение на страната осигурява възможности за превози на товари при сравнително ниски разходи и висока ефективност.</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 xml:space="preserve">Извършва се непрекъснато наблюдение на кораби над 12 метра и мониторинг на риболовни кораби, извършващи улов на квотиран вид риба (калкан). Установено е добро </w:t>
      </w:r>
      <w:r w:rsidRPr="00610B1B">
        <w:rPr>
          <w:rFonts w:ascii="Times New Roman" w:hAnsi="Times New Roman" w:cs="Times New Roman"/>
          <w:sz w:val="24"/>
          <w:szCs w:val="24"/>
          <w:lang w:val="bg-BG"/>
        </w:rPr>
        <w:lastRenderedPageBreak/>
        <w:t>сътрудничество с други администрации по отношение на техническите характеристики на риболовните кораби с ИА „Морска администрация“ (ИАМА) и борбата с незаконния, недеклариран и нерегулиран риболов (Гранична полиция, БАБХ), Европейската агенция за контрол в рибарството (EFCA), Frontex, European Maritime Safety Agency (EMSA). Поддържа се база данни за анализ и оценка на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биологичните и социално-икономическите показатели в сектор „Рибарство и аквакултури“, с важна роля в управлението на живите водни ресурси. </w:t>
      </w:r>
    </w:p>
    <w:p w14:paraId="11AFE0FE" w14:textId="77777777"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Съществуват разнообразни и пространствено наситени туристически ресурси (природно и културно наследство, климат, атрактивно крайбрежие, минерални води, биоразнообразие, защитени територии и видове, условия и продукти за много видове туризъм в 4 сезона), а също и стабилен контекст - икономически растеж, финансова система и валута, данъчна и осигурителна политика, членство в ЕС, принадлежност към най-големия туристически пазар – европейския, съгласуваност на българската туристическа политика с международната, действащ стратегически планов документ. Към силните страни се добавя и привлекателността на дестинация „България” поради достъпност, близост до генериращи пазари, конкурентни цени, сигурност, национална идентичност и изявен морски туризъм.</w:t>
      </w:r>
    </w:p>
    <w:p w14:paraId="235737D5" w14:textId="77777777"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За развитието на морските транспортните услуги и инфраструктура от значение са разположението на страната в Черноморския регион, добрата обвързаност с транспортната инфраструктура на брега и с различните видове транспорт – въздушен, пътен и ж.п., и потенциал за интермодалност и синергия. Геоложкото пространство на земните недра на континенталния шелф е добре проучено, той е перспективен източник на нетрадиционни природни ресурси - сероводород и газохидрати. Климатичните условия и географските дадености са благоприятни за добив на морска сол. Широк спектър от морски дейности определя важната функция на Черно море като източник на икономически растеж и заетост (2% от БВП и 3% от заетостта в страната като пряк ефект) с потенциал за развитие на всички основни морски дейности и важен фактор за поддържане на жизнени крайбрежни райони.</w:t>
      </w:r>
    </w:p>
    <w:p w14:paraId="6405ABC3" w14:textId="77777777"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България притежава уникално и многообразно недвижимо културно наследство, което обхваща периоди от праисторията до ХХ век, за разкриването на което допринася и Черно море с находките под вода. Местоположението на голяма част от тези обекти е непосредствено на бреговата ивица на България. Установен е траен интерес към националното културно наследство от наши и чуждестранни туристи и изследователи.</w:t>
      </w:r>
    </w:p>
    <w:p w14:paraId="489B3952" w14:textId="7EF16347"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Сред </w:t>
      </w:r>
      <w:r w:rsidRPr="00610B1B">
        <w:rPr>
          <w:rFonts w:ascii="Times New Roman" w:hAnsi="Times New Roman" w:cs="Times New Roman"/>
          <w:b/>
          <w:bCs/>
          <w:sz w:val="24"/>
          <w:szCs w:val="24"/>
          <w:lang w:val="bg-BG"/>
        </w:rPr>
        <w:t>слабите страни</w:t>
      </w:r>
      <w:r w:rsidRPr="00610B1B">
        <w:rPr>
          <w:rFonts w:ascii="Times New Roman" w:hAnsi="Times New Roman" w:cs="Times New Roman"/>
          <w:sz w:val="24"/>
          <w:szCs w:val="24"/>
          <w:lang w:val="bg-BG"/>
        </w:rPr>
        <w:t xml:space="preserve"> в характеристиките на компонентите на морската среда и проблемите в свързаните с морето сектори, са посочени завишеното антропогенно натоварване и свръхурбанизацията в критични зони от крайбрежието с повишен риск от свлачища, които застрашават изградената инфраструктура и качеството на морската околна среда в прилежащата акватория. Интензивната абразия в обширни области с клифов бряг се усложнява от свлачищните процеси. Липсват достатъчно знания за акваториалната част и за най-активната, интензивно експлоатирана и най-богата на биоразнообразие зона в нея.</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Липсват данни за извеждане на многогодишни тенденции на изменение на хидроложките характеристики, необходими за отчитане на промените в </w:t>
      </w:r>
      <w:r w:rsidRPr="00610B1B">
        <w:rPr>
          <w:rFonts w:ascii="Times New Roman" w:hAnsi="Times New Roman" w:cs="Times New Roman"/>
          <w:sz w:val="24"/>
          <w:szCs w:val="24"/>
          <w:lang w:val="bg-BG"/>
        </w:rPr>
        <w:lastRenderedPageBreak/>
        <w:t>климата. Не са достатъчни времевата честота и пространственото покритие на мониторинга на някои основни характеристики, не достига капацитет за моделиране и прогнозиране на хидродинамичните процеси в морската среда, в т.ч. с оглед на климатичните промени. Не са изучени достатъчно процесите на взаимодействие между вълните и теченията и морското дъно в крайбрежните зони на страната, както и влиянието на хидротехническите съоръжения върху бреговата динамика. Много от източниците на минерална вода не са оценени и утвърдени, а други, въпреки че са изпитани, каптирани и водата изпробвана, не са каталогизирани. Малък е броят на дните с валежи, което ограничава подхранването на водните източници и създава условия за воден стрес. Сред недостатъците в климатичните характеристики са резките промени в баричното налягане и предпоставки за драстични промени в нивото на морското равнище, наличието на дни с бурен вятър и щормова вълна, с разрушително въздействие върху брега и ограничаваща корабоплаването в района.</w:t>
      </w:r>
    </w:p>
    <w:p w14:paraId="05F2E4B2" w14:textId="33E87C99" w:rsidR="004B17B0" w:rsidRPr="00610B1B" w:rsidRDefault="004B17B0" w:rsidP="00D32D6A">
      <w:pPr>
        <w:spacing w:after="120"/>
        <w:ind w:right="-153"/>
        <w:jc w:val="both"/>
        <w:rPr>
          <w:rFonts w:ascii="Times New Roman" w:hAnsi="Times New Roman" w:cs="Times New Roman"/>
          <w:lang w:val="bg-BG"/>
        </w:rPr>
      </w:pPr>
      <w:r w:rsidRPr="00610B1B">
        <w:rPr>
          <w:rFonts w:ascii="Times New Roman" w:hAnsi="Times New Roman" w:cs="Times New Roman"/>
          <w:sz w:val="24"/>
          <w:szCs w:val="24"/>
          <w:lang w:val="bg-BG"/>
        </w:rPr>
        <w:t xml:space="preserve">Забавеното изпълнение на заложените мерки в ПУРБ 2016-2021 г. и в Програмата от мерки по чл. 13 от РДМС се отразява на състоянието на морската среда по някои показатели - фитопланктон, зоопланктон (поради наличието на инвазивни видове), риби, морски бозайници. Засушаванията променят статуса на влажните зони и водят до намаляване на рибните запаси. </w:t>
      </w:r>
      <w:r w:rsidR="00D66FE0" w:rsidRPr="00610B1B">
        <w:rPr>
          <w:rFonts w:ascii="Times New Roman" w:hAnsi="Times New Roman" w:cs="Times New Roman"/>
          <w:sz w:val="24"/>
          <w:szCs w:val="24"/>
          <w:lang w:val="bg-BG"/>
        </w:rPr>
        <w:t>Замърсяването на крайбрежните морски води оказва влияние върху функционирането на екосистемите и би</w:t>
      </w:r>
      <w:r w:rsidR="00610CA1" w:rsidRPr="00610B1B">
        <w:rPr>
          <w:rFonts w:ascii="Times New Roman" w:hAnsi="Times New Roman" w:cs="Times New Roman"/>
          <w:sz w:val="24"/>
          <w:szCs w:val="24"/>
          <w:lang w:val="en-US"/>
        </w:rPr>
        <w:t>o</w:t>
      </w:r>
      <w:r w:rsidR="00D66FE0" w:rsidRPr="00610B1B">
        <w:rPr>
          <w:rFonts w:ascii="Times New Roman" w:hAnsi="Times New Roman" w:cs="Times New Roman"/>
          <w:sz w:val="24"/>
          <w:szCs w:val="24"/>
          <w:lang w:val="bg-BG"/>
        </w:rPr>
        <w:t xml:space="preserve">логичното разнообразие, което се отразява негативно и върху рибните ресурси. Независимо от </w:t>
      </w:r>
      <w:r w:rsidR="00610CA1" w:rsidRPr="00610B1B">
        <w:rPr>
          <w:rFonts w:ascii="Times New Roman" w:hAnsi="Times New Roman" w:cs="Times New Roman"/>
          <w:sz w:val="24"/>
          <w:szCs w:val="24"/>
          <w:lang w:val="bg-BG"/>
        </w:rPr>
        <w:t>положените</w:t>
      </w:r>
      <w:r w:rsidR="00D66FE0" w:rsidRPr="00610B1B">
        <w:rPr>
          <w:rFonts w:ascii="Times New Roman" w:hAnsi="Times New Roman" w:cs="Times New Roman"/>
          <w:sz w:val="24"/>
          <w:szCs w:val="24"/>
          <w:lang w:val="bg-BG"/>
        </w:rPr>
        <w:t xml:space="preserve"> усилия на Република България за намаляване на натиска върху рибните запаси, част от рибните ресурси не се използват устойчиво, поради: неподходящи методи за риболов с негативно въздействие върху морската среда, ниската степен на инвестиране в подмяната на риболовните уреди с по-селективни, незаконен, недеклариран и нерегулиран риболов. Насърчаването на браншовите организации в сектор „Рибарство и аквакултури“ към използването селективна риболовна техника е плавен процес, който ще допринесе за доброто състояние на морската околна среда и ще съдейства за баланса на рибните запаси, включително и при най</w:t>
      </w:r>
      <w:r w:rsidR="003F5D95"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ценния вид с висока пазарна цена – калканът, при който вече се наблюдава устойчивост, за което сочат научните доклади от Оценка на запаса на калкан в българските води на Черно море и повишаването на квотата му за България.</w:t>
      </w:r>
      <w:r w:rsidRPr="00610B1B">
        <w:rPr>
          <w:rFonts w:ascii="Times New Roman" w:hAnsi="Times New Roman" w:cs="Times New Roman"/>
          <w:lang w:val="bg-BG"/>
        </w:rPr>
        <w:t xml:space="preserve"> </w:t>
      </w:r>
    </w:p>
    <w:p w14:paraId="523C3556" w14:textId="42696254"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урбанизационните процеси, които се отразяват върху морската околна среда, съществува дисбаланс в териториалното разпределение на градското население – в градовете Варна и Бургас е съсредоточено над 84.0% от населението на Черноморските общини. Това претоварва средата със застрояване, трафик, отпадъци и унищожава част от природната среда. Дисбалансът спрямо хинтерланда се засилва през летните месеци, когато антропогенното присъствие многократно нараства. Остава отрицателен естественият прираст на населението, дори в големите градове Варна и Бургас.</w:t>
      </w:r>
    </w:p>
    <w:p w14:paraId="6AD718AE" w14:textId="18186334"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развиващите се дейности в акваторията и в прилежащата крайбрежна зона има редица слаби страни и проблеми, които настоящата криза ще засили. Значителна част от тях са резултат от липсата на стимулиращи мерки, вкл. финансови, за отделни сектори, за закупуване на нови кораби, за поставянето им под български флаг, за научно-изследователска и развойна дейност. Районът на плаване на българския риболовен флот е ограничен, той оперира само в Черно море с 1 857 риболовни съда, 95% от които са по-</w:t>
      </w:r>
      <w:r w:rsidRPr="00610B1B">
        <w:rPr>
          <w:rFonts w:ascii="Times New Roman" w:hAnsi="Times New Roman" w:cs="Times New Roman"/>
          <w:sz w:val="24"/>
          <w:szCs w:val="24"/>
          <w:lang w:val="bg-BG"/>
        </w:rPr>
        <w:lastRenderedPageBreak/>
        <w:t xml:space="preserve">малки от 12 m. Недостатъчно е оборудването им, производствените инсталации са остарели, недостатъчно се използват научните достижения и новите технологии. Липсва диверсификация на морските аквакултури, отглежда се предимно черна мида. Контролът </w:t>
      </w:r>
      <w:r w:rsidR="00D66FE0" w:rsidRPr="00610B1B">
        <w:rPr>
          <w:rFonts w:ascii="Times New Roman" w:hAnsi="Times New Roman" w:cs="Times New Roman"/>
          <w:sz w:val="24"/>
          <w:szCs w:val="24"/>
          <w:lang w:val="bg-BG"/>
        </w:rPr>
        <w:t xml:space="preserve">на българските власти </w:t>
      </w:r>
      <w:r w:rsidRPr="00610B1B">
        <w:rPr>
          <w:rFonts w:ascii="Times New Roman" w:hAnsi="Times New Roman" w:cs="Times New Roman"/>
          <w:sz w:val="24"/>
          <w:szCs w:val="24"/>
          <w:lang w:val="bg-BG"/>
        </w:rPr>
        <w:t>върху дейността е недостатъчен, не се отстраняват инсталациите от морето след преустановяване на дейността на мидени плантации.</w:t>
      </w:r>
    </w:p>
    <w:p w14:paraId="58DAAF64" w14:textId="77777777"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В Актуализираната Национална стратегия за устойчиво развитие на туризма в Р. България 2014-2030 г. се посочват нискоефективното функциониране на сектора с подчертана сезонност, екстензивното използване на туристическите ресурси, ниската средногодишна заетост на легловата база, ниския среден приход от турист, намаляването на престоя, сивия сектор. Съществува силен натиск върху околната среда поради неустойчивото управление на ресурсите и претоварването на крайбрежието и инфраструктурата с пренаселени курорти. Не е приета концепция за адаптация на сектора към климатичните промени, насоките за която са дадени в НСАИКПД. </w:t>
      </w:r>
    </w:p>
    <w:p w14:paraId="5887639F" w14:textId="27554146"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Пристанищната дейност се ограничава от морално и физически остарялата пристанищна инфраструктура и претоварна техника и липсата на достатъчно специализирани пристанищни терминали, които да осигуряват високоефективна и конкурентна обработка на товарите и да задоволят потребностите от пристанищни съоръжения и акватории, съответстващи на съвременните параметри на корабите. Недостатъците в добивната дейност са свързани с малките находища с локално значение и слабите перспективи за откриване на нови находища на нефт и природен газ, слабата изученост на дълбоководната акватория за наличие и вероятни струпвания и потенциални залежи от газохидрати, силните колебания в солодобива след приватизацията. За повечето сектори в синята икономика са характерни зависимостта от</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малки и средни предприятия, слабите възможности за иновации и растеж,</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неоползотвореният потенциал за технологични и високоефективни устойчиви морски дейности и небалансираният пазар на труда (сезонност, липса на квалифицирани кадри и др.). </w:t>
      </w:r>
    </w:p>
    <w:p w14:paraId="5D05B1DD" w14:textId="77777777" w:rsidR="004B17B0" w:rsidRPr="00610B1B" w:rsidRDefault="004B17B0" w:rsidP="00D32D6A">
      <w:pPr>
        <w:tabs>
          <w:tab w:val="left" w:pos="6750"/>
        </w:tabs>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Голяма част от слабите страни в дейността по проучването и опазването на културното наследство са свързани с недостатъчния финансов ресурс, а за подводното наследство и с липсата на достатъчно и добре мотивирани и подготвени кадри за изследване на морето. Последното изисква подходящи плавателни съдове и съвременно оборудване, с каквито страната ни не разполага. За по-голямата част от НКЦ, разположени в бреговата зона, не са извършени консервационно-реставрационните работи, липсва съпътстваща социализация на обектите и пространството около тях с граници и режими на опазване. Значими археологически обекти са в зони под егидата на гранична полиция, в защитени или горски територии, без достъп за проучване, опазване и социализация.</w:t>
      </w:r>
    </w:p>
    <w:p w14:paraId="3E8542BA" w14:textId="77777777"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Систематизираните най-важни </w:t>
      </w:r>
      <w:r w:rsidRPr="00610B1B">
        <w:rPr>
          <w:rFonts w:ascii="Times New Roman" w:hAnsi="Times New Roman" w:cs="Times New Roman"/>
          <w:b/>
          <w:bCs/>
          <w:sz w:val="24"/>
          <w:szCs w:val="24"/>
          <w:lang w:val="bg-BG"/>
        </w:rPr>
        <w:t xml:space="preserve">възможности </w:t>
      </w:r>
      <w:r w:rsidRPr="00610B1B">
        <w:rPr>
          <w:rFonts w:ascii="Times New Roman" w:hAnsi="Times New Roman" w:cs="Times New Roman"/>
          <w:sz w:val="24"/>
          <w:szCs w:val="24"/>
          <w:lang w:val="bg-BG"/>
        </w:rPr>
        <w:t xml:space="preserve">в отделните сектори са в основата на прогнозните сценарии за развитие, устойчиво използване и опазване на морските пространства и дават насоките за формулиране и обсъждане на мерки за подобряване на екологичното състояние и развитие на потенциала на морето. Част от тях се разкриват в усъвършенстването на законодателната и нормативна уредба, което да подобри координацията между секторите и интегрирането на дейностите. Друга част са свързани с потенциала за научни изследвания, подобряване на информационната основа и </w:t>
      </w:r>
      <w:r w:rsidRPr="00610B1B">
        <w:rPr>
          <w:rFonts w:ascii="Times New Roman" w:hAnsi="Times New Roman" w:cs="Times New Roman"/>
          <w:sz w:val="24"/>
          <w:szCs w:val="24"/>
          <w:lang w:val="bg-BG"/>
        </w:rPr>
        <w:lastRenderedPageBreak/>
        <w:t xml:space="preserve">достъпността до актуални данни, трети в усъвършенстване на наблюдението на ерозионно-абразионните процеси, на динамиката на морския бряг, на термохалинните процеси по Черноморското крайбрежие, териториалните води и ИИЗ на Р. България. С целенасочени и обединени усилия на изследователите ще се изясни влиянието на климатичните промени върху морската екосистема за устойчиво управление. </w:t>
      </w:r>
    </w:p>
    <w:p w14:paraId="195DB270" w14:textId="77777777"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Оползотворяването на потенциала на минералните води по крайбрежието ще разнообрази туристическия продукт, ще привлече интерес и инвестиции и ще удължи туристическия сезон при по-равномерно натоварване на материалната база и инфраструктура.</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 xml:space="preserve">Възможностите за използване на климатичните характеристики и промени в полза на климатичния комфорт и за стимулиране на дейностите в прилежащите на морето територии, включват привличане на туристи през летния сезон от страни с по-горещ климат, прилагане на иновативни решения за намаляване на риска от наводнения за защита на хора, сгради и инфраструктура, развитие на зелената система на населените места по крайбрежието и създаване на зони за охлаждане с помощта на ландшафтната архитектура. </w:t>
      </w:r>
    </w:p>
    <w:p w14:paraId="3A933680" w14:textId="77777777"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За подобряване на дейностите по опазване на биоразнообразието и намаляване на натиска върху екосистемите основните възможности са в увеличаване на контрола върху човешките дейности в морето и в крайбрежните територии (изхвърляне на баластни води от корабите, приток на хранителни вещества в морската среда от земеделие, промишленост, урбанизирани територии). Заедно с устойчивото използване на рибните ресурси, което е условие за увеличаване на приходите и заетостта в сектор рибарство, се търсят нови пазари за риба и рибни специалитети. Въвеждането на инженерно-биологичен метод за брегозащита ще намали загубата на дънни местообитания поради затрупване, запечатване и влошена циркулация. Използването на нови методи за риболов, няма да увреждат дънните местообитания и ще намалят случайния улов на не-целеви видове риби. Въвеждането на нови мерки и методи в различните сектори трябва да се предхожда от анализ и оценка на ефективността на съществуващите мерки по чл. 11 от РДВ и чл. 13 от РДМС. За реализиране на част от тези възможности се препоръчва повишаване на институционалния, административния и експертния капацитет в различните сектори, чрез привличане и задържане на български квалифицирани кадри в центровете за растеж - Варна и Бургас.</w:t>
      </w:r>
    </w:p>
    <w:p w14:paraId="3C9E8EBD" w14:textId="7BA37455"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сферата на морския транспорт съществуват възможности за привличане на български и чуждестранни инвеститори за модернизация на сектора чрез инвестиции и нови технологии, привличане на международен транзитен трафик за увеличаване обема на морските превози и внедряване на модерни системи за повишаване безопасността и надеждността на морските транспортни услуги. Свързани с това са и предложенията за модернизация на пристанищата чрез ПЧП и европейски фондове и за изграждане на модерни</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интермодални терминали, за което има потенциал във Варна и в Бургас. Освен възможностите за подобряване на селективността на риболовните уреди за постигане на устойчив и отговорен риболов и намаляване на отрицателното му въздействие върху околната среда, следва да се прецени капацитет</w:t>
      </w:r>
      <w:r w:rsidR="00D66FE0" w:rsidRPr="00610B1B">
        <w:rPr>
          <w:rFonts w:ascii="Times New Roman" w:hAnsi="Times New Roman" w:cs="Times New Roman"/>
          <w:sz w:val="24"/>
          <w:szCs w:val="24"/>
          <w:lang w:val="bg-BG"/>
        </w:rPr>
        <w:t>ът</w:t>
      </w:r>
      <w:r w:rsidRPr="00610B1B">
        <w:rPr>
          <w:rFonts w:ascii="Times New Roman" w:hAnsi="Times New Roman" w:cs="Times New Roman"/>
          <w:sz w:val="24"/>
          <w:szCs w:val="24"/>
          <w:lang w:val="bg-BG"/>
        </w:rPr>
        <w:t xml:space="preserve"> на риболовния флот. Необходимо е да се разнообрази асортимент</w:t>
      </w:r>
      <w:r w:rsidR="00D66FE0" w:rsidRPr="00610B1B">
        <w:rPr>
          <w:rFonts w:ascii="Times New Roman" w:hAnsi="Times New Roman" w:cs="Times New Roman"/>
          <w:sz w:val="24"/>
          <w:szCs w:val="24"/>
          <w:lang w:val="bg-BG"/>
        </w:rPr>
        <w:t>ът</w:t>
      </w:r>
      <w:r w:rsidRPr="00610B1B">
        <w:rPr>
          <w:rFonts w:ascii="Times New Roman" w:hAnsi="Times New Roman" w:cs="Times New Roman"/>
          <w:sz w:val="24"/>
          <w:szCs w:val="24"/>
          <w:lang w:val="bg-BG"/>
        </w:rPr>
        <w:t xml:space="preserve"> на аквакултурите и да се засили </w:t>
      </w:r>
      <w:r w:rsidR="00D66FE0" w:rsidRPr="00610B1B">
        <w:rPr>
          <w:rFonts w:ascii="Times New Roman" w:hAnsi="Times New Roman" w:cs="Times New Roman"/>
          <w:sz w:val="24"/>
          <w:szCs w:val="24"/>
          <w:lang w:val="bg-BG"/>
        </w:rPr>
        <w:t xml:space="preserve">държавният </w:t>
      </w:r>
      <w:r w:rsidRPr="00610B1B">
        <w:rPr>
          <w:rFonts w:ascii="Times New Roman" w:hAnsi="Times New Roman" w:cs="Times New Roman"/>
          <w:sz w:val="24"/>
          <w:szCs w:val="24"/>
          <w:lang w:val="bg-BG"/>
        </w:rPr>
        <w:t>контрол</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върху тази дейност. Диверсифицирането на доходите на рибарите може да се осъществи чрез </w:t>
      </w:r>
      <w:r w:rsidRPr="00610B1B">
        <w:rPr>
          <w:rFonts w:ascii="Times New Roman" w:hAnsi="Times New Roman" w:cs="Times New Roman"/>
          <w:sz w:val="24"/>
          <w:szCs w:val="24"/>
          <w:lang w:val="bg-BG"/>
        </w:rPr>
        <w:lastRenderedPageBreak/>
        <w:t>допълнителни дейности</w:t>
      </w:r>
      <w:r w:rsidR="00D66FE0" w:rsidRPr="00610B1B">
        <w:rPr>
          <w:rFonts w:ascii="Times New Roman" w:hAnsi="Times New Roman" w:cs="Times New Roman"/>
          <w:sz w:val="24"/>
          <w:szCs w:val="24"/>
          <w:lang w:val="bg-BG"/>
        </w:rPr>
        <w:t xml:space="preserve"> – </w:t>
      </w:r>
      <w:r w:rsidRPr="00610B1B">
        <w:rPr>
          <w:rFonts w:ascii="Times New Roman" w:hAnsi="Times New Roman" w:cs="Times New Roman"/>
          <w:sz w:val="24"/>
          <w:szCs w:val="24"/>
          <w:lang w:val="bg-BG"/>
        </w:rPr>
        <w:t>туризъм, ресторантьорство, екосистемни услуги, в съответствие със същността на риболовния бизнес.</w:t>
      </w:r>
    </w:p>
    <w:p w14:paraId="29D6B204" w14:textId="77777777"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Най-много възможности се разкриват в неоползотворените туристически ресурси и недоразвитите устойчиви алтернативни форми на туризма за удължаване на сезона и пренасочване на туристи от конкурентни дестинации с геополитически напрежения, икономически кризи и неблагоприятен климат. Не са оползотворени пълноценно възможностите за морски спортни дейности и забавления в морето, което е с благоприятна температура, соленост и вълнови режим, както и синергията и добавената стойност от съчетаването на опазването на околната среда и биоразнообразието със социализирането на културното наследство и туризма. Културният туризъм във Варна и в Бургас ще се обогати от доразвиване на зоните за свободен достъп в двете най-големи пристанища и обвързването им с градските и с морските пространства. Разработването на потенциала на крайбрежните езера и лимани за добив на лечебна кал ще привлече интерес и ще разнообрази предлагания туристически продукт.</w:t>
      </w:r>
    </w:p>
    <w:p w14:paraId="2C7816A0" w14:textId="79E4234A" w:rsidR="004B17B0" w:rsidRPr="00610B1B" w:rsidRDefault="004B17B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областта на добивната дейност не съществуват много опции, поради ограничените ресурси, но е възможно да се използват по-добре благоприятните условия за акумулация на инертни материали (пясъци) пригодни за строителни нужди в прибрежната зона, включително за изграждане на изкуствени острови. Повече потенциал ще се разкрие след по-добро проучване на геоложкото пространство на земните недра на българския континентален шелф. За балансирано развитие на успешна морска икономика е необходимо да се</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създадат планови и устройствени предпоставки, съобразени със социално-икономическите аспекти и необходимостта от адекватна защита на уязвимата морска екосистема. Препоръчително е да се използва по-ефективно подкрепата от ЕК за синята икономика и за насърчаване на синия растеж,</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за създаване на междусекторни и трансгранични синергии. Важен стимул за икономическо развитие е и културното наследство, чийто пълен потенциал на черноморското крайбрежие и под вода и интегриране в различни туристически продукти предстои да се разкрие. Необходимо е да се изследват възможностите за експониране на обектите на културното наследство в защитени територии или в такива с охранителен режим, за прилагане на методите на интегрираната консервация и за създаване на адекватна социализирана среда, която да повиши културата на туризъм и да </w:t>
      </w:r>
      <w:r w:rsidR="009346C3" w:rsidRPr="00610B1B">
        <w:rPr>
          <w:rFonts w:ascii="Times New Roman" w:hAnsi="Times New Roman" w:cs="Times New Roman"/>
          <w:sz w:val="24"/>
          <w:szCs w:val="24"/>
          <w:lang w:val="bg-BG"/>
        </w:rPr>
        <w:t xml:space="preserve">се </w:t>
      </w:r>
      <w:r w:rsidRPr="00610B1B">
        <w:rPr>
          <w:rFonts w:ascii="Times New Roman" w:hAnsi="Times New Roman" w:cs="Times New Roman"/>
          <w:sz w:val="24"/>
          <w:szCs w:val="24"/>
          <w:lang w:val="bg-BG"/>
        </w:rPr>
        <w:t xml:space="preserve">насити със съдържание и качество. При експониране на културното наследство, и особено на това под вода, за по-пълноценно комуникиране на неговата стойност ще се разчита на съвременни, щадящи средата технологии. </w:t>
      </w:r>
    </w:p>
    <w:p w14:paraId="1608C36E" w14:textId="77777777" w:rsidR="004B17B0" w:rsidRPr="00610B1B" w:rsidRDefault="004B17B0"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sz w:val="24"/>
          <w:szCs w:val="24"/>
          <w:lang w:val="bg-BG"/>
        </w:rPr>
        <w:t>Освен идентифицираните силни и слаби страни, възможности и заплахи при разработването на п</w:t>
      </w:r>
      <w:r w:rsidRPr="00610B1B">
        <w:rPr>
          <w:rFonts w:ascii="Times New Roman" w:hAnsi="Times New Roman" w:cs="Times New Roman"/>
          <w:bCs/>
          <w:sz w:val="24"/>
          <w:szCs w:val="24"/>
          <w:lang w:val="bg-BG"/>
        </w:rPr>
        <w:t>рогнозните сценарии за използване, опазване и устойчиво развитие на националните морски пространства са отчетени въздействията на основните политически, икономически, социални, екологични, урбанистични и технологични</w:t>
      </w:r>
      <w:r w:rsidRPr="00610B1B">
        <w:rPr>
          <w:rFonts w:ascii="Times New Roman" w:hAnsi="Times New Roman" w:cs="Times New Roman"/>
          <w:lang w:val="bg-BG"/>
        </w:rPr>
        <w:t xml:space="preserve"> </w:t>
      </w:r>
      <w:r w:rsidRPr="00610B1B">
        <w:rPr>
          <w:rFonts w:ascii="Times New Roman" w:hAnsi="Times New Roman" w:cs="Times New Roman"/>
          <w:bCs/>
          <w:sz w:val="24"/>
          <w:szCs w:val="24"/>
          <w:lang w:val="bg-BG"/>
        </w:rPr>
        <w:t>фактори.</w:t>
      </w:r>
      <w:r w:rsidRPr="00610B1B">
        <w:rPr>
          <w:rFonts w:ascii="Times New Roman" w:hAnsi="Times New Roman" w:cs="Times New Roman"/>
          <w:b/>
          <w:sz w:val="24"/>
          <w:szCs w:val="24"/>
          <w:lang w:val="bg-BG"/>
        </w:rPr>
        <w:t xml:space="preserve"> </w:t>
      </w:r>
      <w:r w:rsidRPr="00610B1B">
        <w:rPr>
          <w:rFonts w:ascii="Times New Roman" w:hAnsi="Times New Roman" w:cs="Times New Roman"/>
          <w:bCs/>
          <w:sz w:val="24"/>
          <w:szCs w:val="24"/>
          <w:lang w:val="bg-BG"/>
        </w:rPr>
        <w:t>Изследването на тези фактори и техните проявления показва, че е редно да се приемат като принципни, да се допълват и следят въздействията им при различни комбинации в прогнозните сценарии.</w:t>
      </w:r>
    </w:p>
    <w:p w14:paraId="693E1B7D" w14:textId="1EB65C41" w:rsidR="004B17B0" w:rsidRPr="00610B1B" w:rsidRDefault="004B17B0"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Стартирайки от нулевата алтернатива, са разработени </w:t>
      </w:r>
      <w:r w:rsidRPr="00610B1B">
        <w:rPr>
          <w:rFonts w:ascii="Times New Roman" w:hAnsi="Times New Roman" w:cs="Times New Roman"/>
          <w:b/>
          <w:bCs/>
          <w:sz w:val="24"/>
          <w:szCs w:val="24"/>
          <w:lang w:val="bg-BG"/>
        </w:rPr>
        <w:t>4 прогнозни сценария за бъдещото</w:t>
      </w:r>
      <w:r w:rsidRPr="00610B1B">
        <w:rPr>
          <w:rFonts w:ascii="Times New Roman" w:hAnsi="Times New Roman" w:cs="Times New Roman"/>
          <w:bCs/>
          <w:sz w:val="24"/>
          <w:szCs w:val="24"/>
          <w:lang w:val="bg-BG"/>
        </w:rPr>
        <w:t xml:space="preserve"> устойчиво развитие на морските пространства, ефективното и балансирано </w:t>
      </w:r>
      <w:r w:rsidRPr="00610B1B">
        <w:rPr>
          <w:rFonts w:ascii="Times New Roman" w:hAnsi="Times New Roman" w:cs="Times New Roman"/>
          <w:bCs/>
          <w:sz w:val="24"/>
          <w:szCs w:val="24"/>
          <w:lang w:val="bg-BG"/>
        </w:rPr>
        <w:lastRenderedPageBreak/>
        <w:t>използване на морските ресурси и съвместяване на дейностите в тях. „Нулев сценарий“ е възможен при допускането във времевия хоризонт на плана нито една секторна политика или фактор да не оказват съществено въздействие върху сегашните ползвания на морските пространства. За изграждането на прогнозните сценарии се използват трите опорни точки на устойчивото развитие (икономическа, социална и екологична), във всеки сценарий е приоритизиран съответен аспект. Първият сценарий „Икономически/Син растеж“</w:t>
      </w:r>
      <w:r w:rsidRPr="00610B1B">
        <w:rPr>
          <w:rFonts w:ascii="Times New Roman" w:hAnsi="Times New Roman" w:cs="Times New Roman"/>
          <w:lang w:val="bg-BG"/>
        </w:rPr>
        <w:t xml:space="preserve"> </w:t>
      </w:r>
      <w:r w:rsidRPr="00610B1B">
        <w:rPr>
          <w:rFonts w:ascii="Times New Roman" w:hAnsi="Times New Roman" w:cs="Times New Roman"/>
          <w:bCs/>
          <w:sz w:val="24"/>
          <w:szCs w:val="24"/>
          <w:lang w:val="bg-BG"/>
        </w:rPr>
        <w:t>се развива на основата на пълна експлоатация на морските ресурси. Насочен е към икономически пробив,</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конкурентоспособност и висока добавена стойност на морските индустрии. Включени са развитие на пристанищата, товарен и пътнически морски транспорт, круизен и рекреационен туризъм. Насърчаван приоритет е развитието на технологиите и иновациите във всички морски икономически сектори. Развитието на рибарството е в рамките на наличните рибни ресурси и международно установените квоти. Концесиите за проучване и добив на нефт и газ преминават към фаза „добив“ с налагане на интересите на мощни международни и национални компании. Своевременната технологична трансформация на икономиката, свързана с морето, както и повишаването на ресурсната</w:t>
      </w:r>
      <w:r w:rsidR="00DE3A13" w:rsidRPr="00610B1B">
        <w:rPr>
          <w:rFonts w:ascii="Times New Roman" w:hAnsi="Times New Roman" w:cs="Times New Roman"/>
          <w:bCs/>
          <w:sz w:val="24"/>
          <w:szCs w:val="24"/>
          <w:lang w:val="bg-BG"/>
        </w:rPr>
        <w:t xml:space="preserve"> ѝ </w:t>
      </w:r>
      <w:r w:rsidRPr="00610B1B">
        <w:rPr>
          <w:rFonts w:ascii="Times New Roman" w:hAnsi="Times New Roman" w:cs="Times New Roman"/>
          <w:bCs/>
          <w:sz w:val="24"/>
          <w:szCs w:val="24"/>
          <w:lang w:val="bg-BG"/>
        </w:rPr>
        <w:t>ефективност, имат потенциала да я изведат на по-висока траектория на растеж, да я доближат до философията на синята икономика. Рисковете при този сценарий са изчерпване на ресурсите, натоварване на морската околна среда, прокарване на вредни за морето решения, поради недостатъчен опит и знания за екоиновации и биотехнологии в синята икономика.</w:t>
      </w:r>
    </w:p>
    <w:p w14:paraId="0EB18406" w14:textId="77777777" w:rsidR="004B17B0" w:rsidRPr="00610B1B" w:rsidRDefault="004B17B0"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Вторият сценарий „Екология“</w:t>
      </w:r>
      <w:r w:rsidRPr="00610B1B">
        <w:rPr>
          <w:rFonts w:ascii="Times New Roman" w:hAnsi="Times New Roman" w:cs="Times New Roman"/>
          <w:sz w:val="24"/>
          <w:szCs w:val="24"/>
          <w:lang w:val="bg-BG"/>
        </w:rPr>
        <w:t xml:space="preserve"> е фокусиран върху </w:t>
      </w:r>
      <w:r w:rsidRPr="00610B1B">
        <w:rPr>
          <w:rFonts w:ascii="Times New Roman" w:hAnsi="Times New Roman" w:cs="Times New Roman"/>
          <w:bCs/>
          <w:sz w:val="24"/>
          <w:szCs w:val="24"/>
          <w:lang w:val="bg-BG"/>
        </w:rPr>
        <w:t xml:space="preserve">опазването на уникалната и крехка екосистема на Черно море, която е приоритет и ограничител в развитието на всички морски ползвания. Морската политика подкрепя дейностите, гарантиращи безопасен и чист морски транспорт, устойчиво рибарство и аквакултури, ефективен и устойчив туризъм. За да се осигури интегритет, жизненост и биоразнообразие на морската екосистема, се разширяват и прецизират защитени зони в морските пространства и режимите за опазването им. Предприемачеството се съсредоточава в двата областни центъра Варна и Бургас, където приоритетно ще се развиват клъстери, базирани на смарт технологии в морски индустрии. Ще се повиши ефективността на инвестициите в мерки за опазване на околната среда, особено в пристанищата и пристанищните зони. Чистата околна среда, адекватната инфраструктура, плажовете със сертификат „Син флаг“ и съхраненото природно и културно наследство ще създадат качествени възможности за рекреация. Доброто екологично състояние на морето осигурява достатъчно рибни ресурси и възможност за стабилен улов в оптимално допустимите граници. Съхранената екосистема създава дългосрочна и икономически обоснована среда за значими инвестиции в „зелени“ технологии, към които са насочени изследвания и иновации. Увеличените разходи за опазване на околната среда за сметка на реалната икономика ще породят социални напрежения между привърженици и противници на сценария. </w:t>
      </w:r>
    </w:p>
    <w:p w14:paraId="4B228616" w14:textId="2C8A30D6" w:rsidR="004B17B0" w:rsidRPr="00610B1B" w:rsidRDefault="004B17B0"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Третият сценарий „Социално равновесие“</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 xml:space="preserve">поставя </w:t>
      </w:r>
      <w:r w:rsidRPr="00610B1B">
        <w:rPr>
          <w:rFonts w:ascii="Times New Roman" w:hAnsi="Times New Roman" w:cs="Times New Roman"/>
          <w:bCs/>
          <w:sz w:val="24"/>
          <w:szCs w:val="24"/>
          <w:lang w:val="bg-BG"/>
        </w:rPr>
        <w:t xml:space="preserve">човека в центъра на прогнозите и е изграден върху политиката за социално сближаване и балансирано развитие на черноморските общини, диверсифицирани местни икономики, осигуряващи целогодишна заетост и приоритетна подкрепа за морските дейности с атрактивни доходи – туризъм и рекреация, рибарство и аквакултури, пътнически морски транспорт, стимулирана </w:t>
      </w:r>
      <w:r w:rsidRPr="00610B1B">
        <w:rPr>
          <w:rFonts w:ascii="Times New Roman" w:hAnsi="Times New Roman" w:cs="Times New Roman"/>
          <w:bCs/>
          <w:sz w:val="24"/>
          <w:szCs w:val="24"/>
          <w:lang w:val="bg-BG"/>
        </w:rPr>
        <w:lastRenderedPageBreak/>
        <w:t>ревитализация на аграрни дейности в хинтерланда. Този сценарий залага на качествена инфраструктура, включително пътища, ВиК системи, електроснабдяване, широколентов достъп до скоростен интернет, равнопоставен достъп до качествени услуги. Хипотетичната промяна в основния критерий за възходящо развитие – от сегашния стремеж към бърз икономически растеж към по-бавен, ще бъде за сметка на повишено качество на живот в по-чиста околна среда, с повече свободно време, при повишена култура на потребление. Равномерното пространствено разпределение на държавната подкрепа, ще подкрепи макар и с по-бавни темпове, развитието на предприемачеството по цялото крайбрежие, осигурявайки широка заетост, висока икономическа активност и в резултат, намалени диспропорции в доходите и повишено благосъстояние на всички местни общности. Както в регионалните центрове Варна и Бургас, така и в останалите черноморски общини, ще се развият мрежи за коопериране, образование и изграждане на капацитет за МСП. С подкрепата за риболова и аквакултурите ще се развива рибопреработвателната индустрия за местния пазар и за износ. Културният и селският туризъм ще обогатят палитрата от туристическо предлагане, ангажирайки все по-голям пространствен и времеви обхват. Паралелно с това се развиват услуги в по-високите ценови нива на туристическото предлагане и постепенен преход от „масов“, към устойчив, щадящ и ефективен туризъм. Благодарение на регионалната и общата социално-икономическа политика на държавата, демографските показатели се стабилизират и постепенно се подобряват. Рисковете от силна социална сегрегация са намалени.</w:t>
      </w:r>
      <w:r w:rsidRPr="00610B1B">
        <w:rPr>
          <w:rFonts w:ascii="Times New Roman" w:hAnsi="Times New Roman" w:cs="Times New Roman"/>
          <w:lang w:val="bg-BG"/>
        </w:rPr>
        <w:t xml:space="preserve"> </w:t>
      </w:r>
      <w:r w:rsidRPr="00610B1B">
        <w:rPr>
          <w:rFonts w:ascii="Times New Roman" w:hAnsi="Times New Roman" w:cs="Times New Roman"/>
          <w:bCs/>
          <w:sz w:val="24"/>
          <w:szCs w:val="24"/>
          <w:lang w:val="bg-BG"/>
        </w:rPr>
        <w:t>В резултат на този сценарий природните ресурси на морето и крайбрежието се оползотворяват в рамките на устойчиво възпроизводство. Екологичните стандарти се обогатяват с по-стриктни изисквания за качество на околната среда. Засилват се превантивните мерки за ограничаване на бреговите свлачища, абразията и ерозията, увеличават се инвестициите в предотвратяване на</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природни бедствия. </w:t>
      </w:r>
    </w:p>
    <w:p w14:paraId="067EE4C5" w14:textId="3E1D146C" w:rsidR="004B17B0" w:rsidRPr="00610B1B" w:rsidRDefault="004B17B0" w:rsidP="00D32D6A">
      <w:pPr>
        <w:spacing w:after="120"/>
        <w:ind w:right="-153"/>
        <w:jc w:val="both"/>
        <w:rPr>
          <w:rFonts w:ascii="Times New Roman" w:eastAsia="Calibri" w:hAnsi="Times New Roman" w:cs="Times New Roman"/>
          <w:color w:val="000000"/>
          <w:sz w:val="24"/>
          <w:szCs w:val="24"/>
          <w:lang w:val="bg-BG"/>
        </w:rPr>
      </w:pPr>
      <w:r w:rsidRPr="00610B1B">
        <w:rPr>
          <w:rFonts w:ascii="Times New Roman" w:hAnsi="Times New Roman" w:cs="Times New Roman"/>
          <w:bCs/>
          <w:sz w:val="24"/>
          <w:szCs w:val="24"/>
          <w:lang w:val="bg-BG"/>
        </w:rPr>
        <w:t xml:space="preserve">Четвъртият сценарий интегрира най-добрите прогнозни предложения от трите сценария и избягва крайностите, които намаляват натиска в една сфера за сметка на други. Избраният сценарий по дефинираните критерии </w:t>
      </w:r>
      <w:r w:rsidRPr="00610B1B">
        <w:rPr>
          <w:rFonts w:ascii="Times New Roman" w:eastAsia="Calibri" w:hAnsi="Times New Roman" w:cs="Times New Roman"/>
          <w:sz w:val="24"/>
          <w:szCs w:val="24"/>
          <w:lang w:val="bg-BG"/>
        </w:rPr>
        <w:t xml:space="preserve">има три различни </w:t>
      </w:r>
      <w:r w:rsidRPr="00610B1B">
        <w:rPr>
          <w:rFonts w:ascii="Times New Roman" w:eastAsia="Calibri" w:hAnsi="Times New Roman" w:cs="Times New Roman"/>
          <w:color w:val="000000"/>
          <w:sz w:val="24"/>
          <w:szCs w:val="24"/>
          <w:lang w:val="bg-BG"/>
        </w:rPr>
        <w:t>обхвата за развитие – 1) балансиране на трите аспекта на устойчивото развитие (икономически, екологичен и социален) в обхвата на националните морски пространства; 2) интегрирана морска политика за устойчиво развитие в Черноморския регион, обхващаща шестте държави с излаз на Черно море – България, Румъния, Украйна, Русия, Грузия и Турция и 3) съчетаване на морското пространствено планиране с интегрираното управление на крайбрежни зони.</w:t>
      </w:r>
      <w:r w:rsidR="00D66FE0" w:rsidRPr="00610B1B">
        <w:rPr>
          <w:rFonts w:ascii="Times New Roman" w:eastAsia="Calibri" w:hAnsi="Times New Roman" w:cs="Times New Roman"/>
          <w:color w:val="000000"/>
          <w:sz w:val="24"/>
          <w:szCs w:val="24"/>
          <w:lang w:val="bg-BG"/>
        </w:rPr>
        <w:t xml:space="preserve"> </w:t>
      </w:r>
      <w:r w:rsidRPr="00610B1B">
        <w:rPr>
          <w:rFonts w:ascii="Times New Roman" w:eastAsia="Calibri" w:hAnsi="Times New Roman" w:cs="Times New Roman"/>
          <w:color w:val="000000"/>
          <w:sz w:val="24"/>
          <w:szCs w:val="24"/>
          <w:lang w:val="bg-BG"/>
        </w:rPr>
        <w:t>Той интерпретира най-добрите идеи от икономическия, екологичния и социалния сценарии. Икономическите аспекти се разгръщат на основата на повишени конкурентоспособност и добавена стойност, приложени съвременни технологии и иновации във водещите морски сектори. Най-голям потенциал за развитие имат пристанищната дейност и морския транспорт, ако се реализират обновяването на пристанищата и съвременното технологично оборудване, с което да се повиши ефективността и качеството за обслужване на пътници и обработка на товари.</w:t>
      </w:r>
      <w:r w:rsidR="00D66FE0" w:rsidRPr="00610B1B">
        <w:rPr>
          <w:rFonts w:ascii="Times New Roman" w:eastAsia="Calibri" w:hAnsi="Times New Roman" w:cs="Times New Roman"/>
          <w:color w:val="000000"/>
          <w:sz w:val="24"/>
          <w:szCs w:val="24"/>
          <w:lang w:val="bg-BG"/>
        </w:rPr>
        <w:t xml:space="preserve"> </w:t>
      </w:r>
      <w:r w:rsidRPr="00610B1B">
        <w:rPr>
          <w:rFonts w:ascii="Times New Roman" w:eastAsia="Calibri" w:hAnsi="Times New Roman" w:cs="Times New Roman"/>
          <w:color w:val="000000"/>
          <w:sz w:val="24"/>
          <w:szCs w:val="24"/>
          <w:lang w:val="bg-BG"/>
        </w:rPr>
        <w:t>Развитието на рибарството не може да надхвърли рамките на наличните рибни запаси и установените квоти, но може да бъде подпомогнато за своевременно модернизиране на</w:t>
      </w:r>
      <w:r w:rsidR="00D66FE0" w:rsidRPr="00610B1B">
        <w:rPr>
          <w:rFonts w:ascii="Times New Roman" w:eastAsia="Calibri" w:hAnsi="Times New Roman" w:cs="Times New Roman"/>
          <w:color w:val="000000"/>
          <w:sz w:val="24"/>
          <w:szCs w:val="24"/>
          <w:lang w:val="bg-BG"/>
        </w:rPr>
        <w:t xml:space="preserve"> </w:t>
      </w:r>
      <w:r w:rsidRPr="00610B1B">
        <w:rPr>
          <w:rFonts w:ascii="Times New Roman" w:eastAsia="Calibri" w:hAnsi="Times New Roman" w:cs="Times New Roman"/>
          <w:color w:val="000000"/>
          <w:sz w:val="24"/>
          <w:szCs w:val="24"/>
          <w:lang w:val="bg-BG"/>
        </w:rPr>
        <w:t xml:space="preserve">риболовния флот, подобряване на риболовните техники и завишаването на контрола върху тази </w:t>
      </w:r>
      <w:r w:rsidRPr="00610B1B">
        <w:rPr>
          <w:rFonts w:ascii="Times New Roman" w:eastAsia="Calibri" w:hAnsi="Times New Roman" w:cs="Times New Roman"/>
          <w:color w:val="000000"/>
          <w:sz w:val="24"/>
          <w:szCs w:val="24"/>
          <w:lang w:val="bg-BG"/>
        </w:rPr>
        <w:lastRenderedPageBreak/>
        <w:t xml:space="preserve">дейност. Така ще се запази добро състояние на морската околна среда, от което зависи опазването на видовете и рибните ресурси. Разнообразяването на асортимента на аквакултурите, решаването на конфликтите с туристическия сектор и рекреационните морски дейности в близост до брега, повишаването на контрола върху съоръженията и обектите по време и след приключване на експлоатацията, ще увеличи значимостта и приноса на този сектор. Туризмът, с най-високите стойности на заетост и БДС сред всички свързани с морската икономика дейности, също оптимизира параметрите си за леглова база и урбанизирани територии в крайбрежната зона, увеличаване на асортимента на услугите и повишаване на качеството, развитие на алтернативни форми, рекреационни и спортни дейности в прилежащата акватория. Добивът на луга и лечебна кал, производството на козметични и лечебни продукти от морската вода и от солта ще привлекат интерес към съпътстващи лечебни и козметични процедури в системата на СПА туризма. Ще се развиват биотехнологии, свързани с морето, ще се търси по-добро и ефективно обвързване на бизнеса, научните изследвания и образованието. </w:t>
      </w:r>
    </w:p>
    <w:p w14:paraId="4D1B06D3" w14:textId="1A406700" w:rsidR="004B17B0" w:rsidRPr="00610B1B" w:rsidRDefault="004B17B0" w:rsidP="00D32D6A">
      <w:pPr>
        <w:spacing w:after="120"/>
        <w:ind w:right="-153"/>
        <w:jc w:val="both"/>
        <w:rPr>
          <w:rFonts w:ascii="Times New Roman" w:eastAsia="Calibri" w:hAnsi="Times New Roman" w:cs="Times New Roman"/>
          <w:color w:val="000000"/>
          <w:sz w:val="24"/>
          <w:szCs w:val="24"/>
          <w:lang w:val="bg-BG"/>
        </w:rPr>
      </w:pPr>
      <w:r w:rsidRPr="00610B1B">
        <w:rPr>
          <w:rFonts w:ascii="Times New Roman" w:eastAsia="Calibri" w:hAnsi="Times New Roman" w:cs="Times New Roman"/>
          <w:color w:val="000000"/>
          <w:sz w:val="24"/>
          <w:szCs w:val="24"/>
          <w:lang w:val="bg-BG"/>
        </w:rPr>
        <w:t>Ще продължават проучванията за добив на нефт и газ при засилен контрол и екологични норми, ще се развият технологиите за извличане на енергия от сероводород и добив на газохидрати от морското дъно. Ще се съхрани добивът на морска сол по традиционни способи. Ще се развиват и съпътстващите морските сектори дейности за производство на специализиран текстил, въжета, екипировка и облекла за водни спортове. Ще се подкрепи изследователската дейност в морските пространства за по-пълно разкриване на културните ценности, останки от цивилизации и исторически събития и ще се реализират възможностите за най-добрите начини за експониране на това богатство, удовлетворяващо разбиранията за модерна интерактивна експозиция. Военните учения и обучения в морето ще увеличат своята значимост за подготовката на кадри за морски изследвания и за спасяване в морето</w:t>
      </w:r>
      <w:r w:rsidR="009346C3" w:rsidRPr="00610B1B">
        <w:rPr>
          <w:rFonts w:ascii="Times New Roman" w:eastAsia="Calibri" w:hAnsi="Times New Roman" w:cs="Times New Roman"/>
          <w:color w:val="000000"/>
          <w:sz w:val="24"/>
          <w:szCs w:val="24"/>
          <w:lang w:val="bg-BG"/>
        </w:rPr>
        <w:t>, за</w:t>
      </w:r>
      <w:r w:rsidRPr="00610B1B">
        <w:rPr>
          <w:rFonts w:ascii="Times New Roman" w:eastAsia="Calibri" w:hAnsi="Times New Roman" w:cs="Times New Roman"/>
          <w:color w:val="000000"/>
          <w:sz w:val="24"/>
          <w:szCs w:val="24"/>
          <w:lang w:val="bg-BG"/>
        </w:rPr>
        <w:t xml:space="preserve"> поддържане на висока степен на сигурност при критични вълнения и бури, ограничаване на трафика на хора, наркотици и оръжие.</w:t>
      </w:r>
    </w:p>
    <w:p w14:paraId="20E19B67" w14:textId="32E26723" w:rsidR="004B17B0" w:rsidRPr="00610B1B" w:rsidRDefault="004B17B0" w:rsidP="00D32D6A">
      <w:pPr>
        <w:spacing w:after="120"/>
        <w:ind w:right="-153"/>
        <w:jc w:val="both"/>
        <w:rPr>
          <w:rFonts w:ascii="Times New Roman" w:eastAsia="Calibri" w:hAnsi="Times New Roman" w:cs="Times New Roman"/>
          <w:color w:val="000000"/>
          <w:sz w:val="24"/>
          <w:szCs w:val="24"/>
          <w:lang w:val="bg-BG"/>
        </w:rPr>
      </w:pPr>
      <w:r w:rsidRPr="00610B1B">
        <w:rPr>
          <w:rFonts w:ascii="Times New Roman" w:eastAsia="Calibri" w:hAnsi="Times New Roman" w:cs="Times New Roman"/>
          <w:color w:val="000000"/>
          <w:sz w:val="24"/>
          <w:szCs w:val="24"/>
          <w:lang w:val="bg-BG"/>
        </w:rPr>
        <w:t>Съхраняването на морската околна среда, възстановяването на нейното добро състояние и опазване на биоразнообразието съпътства всички предвидени дейности по този сценарий, защото само това ще гарантира успешното развитие на всички морски сектори. Устойчивото опазване и използване на ресурсите, намаляването на натиска от отпадъчни води, баластни води, подводен шум, инвазивни видове, замърсяване от аварии, отлагане на драгажни маси, и завишения контрол върху нелегален, незаконен и нерегламентиран улов на рибни ресурси ще създаде условия за възстановяване на доброто екологично състояние на морската околна среда в съответствие с РДМС.</w:t>
      </w:r>
      <w:r w:rsidR="00C415D1" w:rsidRPr="00610B1B">
        <w:rPr>
          <w:rFonts w:ascii="Times New Roman" w:eastAsia="Calibri" w:hAnsi="Times New Roman" w:cs="Times New Roman"/>
          <w:color w:val="000000"/>
          <w:sz w:val="24"/>
          <w:szCs w:val="24"/>
          <w:lang w:val="bg-BG"/>
        </w:rPr>
        <w:t xml:space="preserve"> </w:t>
      </w:r>
    </w:p>
    <w:p w14:paraId="0A139497" w14:textId="77777777" w:rsidR="004B17B0" w:rsidRPr="00610B1B" w:rsidRDefault="004B17B0" w:rsidP="00D32D6A">
      <w:pPr>
        <w:spacing w:after="120"/>
        <w:ind w:right="-153"/>
        <w:jc w:val="both"/>
        <w:rPr>
          <w:rFonts w:ascii="Times New Roman" w:eastAsia="Calibri" w:hAnsi="Times New Roman" w:cs="Times New Roman"/>
          <w:color w:val="000000"/>
          <w:sz w:val="24"/>
          <w:szCs w:val="24"/>
          <w:lang w:val="bg-BG"/>
        </w:rPr>
      </w:pPr>
      <w:r w:rsidRPr="00610B1B">
        <w:rPr>
          <w:rFonts w:ascii="Times New Roman" w:eastAsia="Calibri" w:hAnsi="Times New Roman" w:cs="Times New Roman"/>
          <w:color w:val="000000"/>
          <w:sz w:val="24"/>
          <w:szCs w:val="24"/>
          <w:lang w:val="bg-BG"/>
        </w:rPr>
        <w:t>В този сценарий са заложени и необходимите предпоставки за намаляване на диспропорциите, на негативните демографски процеси, за равнопоставеност, за подпомагане на местните рибарски общности и МСП, за създаване на условия за активно и отговорно участие в разработването и прилагането на МППРБ. Факторите, стимулиращи развитието по този сценарий, са основните движещи сили с политически, икономически, екологичен, технологичен и социален характер.</w:t>
      </w:r>
    </w:p>
    <w:p w14:paraId="2C3813FD"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lastRenderedPageBreak/>
        <w:t xml:space="preserve">Общата идея на сценария е да се координират всички секторни политики на морските индустрии, за да се постигне устойчиво ползване на Черно море и на екосистемните му услуги, в името на устойчивото развитие на местните общности. </w:t>
      </w:r>
    </w:p>
    <w:p w14:paraId="7E638E0C" w14:textId="35866BDE"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Визията за общата картина под мотото „Черно море – отворена врата към света, българското черноморско крайбрежие – наша отговорност и наследство“ се гради в контекст с три различни мащаба: глобален, Европейски</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и национален и описва желания резултат чрез ясни послания. Приетата визия за Морския пространствен план след проведено обсъждане, анкета и консултации с Консултативния съвет е следната:</w:t>
      </w:r>
    </w:p>
    <w:p w14:paraId="4C4D6AF4" w14:textId="77777777" w:rsidR="004B17B0" w:rsidRPr="00610B1B" w:rsidRDefault="004B17B0" w:rsidP="005D00D4">
      <w:pPr>
        <w:pBdr>
          <w:top w:val="single" w:sz="4" w:space="1" w:color="auto"/>
          <w:left w:val="single" w:sz="4" w:space="4" w:color="auto"/>
          <w:bottom w:val="single" w:sz="4" w:space="1" w:color="auto"/>
          <w:right w:val="single" w:sz="4" w:space="4" w:color="auto"/>
        </w:pBdr>
        <w:shd w:val="clear" w:color="auto" w:fill="BEE6F0"/>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През 2035 г. в морските пространства на Република България е постигнато и се поддържа добро състояние на морската среда и богато биологично разнообразие. Най-значимите морски екосистемни услуги и културни ценности са възстановени и опазени. Морските пространства се използват от иновативна, конкурентна и устойчива Синя икономика. Морският пространствен план осигурява предвидимост и сигурност в морските пространства, координация и синергия между ползванията и намалява вредните въздействия от човешката дейност. Сътрудничеството между управлението, науката и икономиката създава нови знания и култура, услуги и биотехнологии в подкрепа на Синия растеж и подобреното благосъстояние на местните общности.</w:t>
      </w:r>
    </w:p>
    <w:p w14:paraId="510CF193" w14:textId="68F15CE3" w:rsidR="004B17B0" w:rsidRPr="00610B1B" w:rsidRDefault="005A2FDC" w:rsidP="00CB7F09">
      <w:pPr>
        <w:pStyle w:val="Default"/>
        <w:spacing w:after="120" w:line="276" w:lineRule="auto"/>
        <w:jc w:val="both"/>
        <w:rPr>
          <w:rFonts w:cs="Times New Roman"/>
          <w:lang w:val="bg-BG"/>
        </w:rPr>
      </w:pPr>
      <w:r w:rsidRPr="00610B1B">
        <w:rPr>
          <w:rFonts w:eastAsia="Calibri" w:cs="Times New Roman"/>
          <w:noProof/>
          <w:lang w:val="bg-BG" w:eastAsia="bg-BG"/>
        </w:rPr>
        <mc:AlternateContent>
          <mc:Choice Requires="wps">
            <w:drawing>
              <wp:anchor distT="45720" distB="45720" distL="114300" distR="114300" simplePos="0" relativeHeight="251716608" behindDoc="0" locked="0" layoutInCell="1" allowOverlap="1" wp14:anchorId="78A2B479" wp14:editId="34468FB5">
                <wp:simplePos x="0" y="0"/>
                <wp:positionH relativeFrom="column">
                  <wp:posOffset>685800</wp:posOffset>
                </wp:positionH>
                <wp:positionV relativeFrom="paragraph">
                  <wp:posOffset>451485</wp:posOffset>
                </wp:positionV>
                <wp:extent cx="4452620" cy="279400"/>
                <wp:effectExtent l="0" t="0" r="2413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620" cy="279400"/>
                        </a:xfrm>
                        <a:prstGeom prst="rect">
                          <a:avLst/>
                        </a:prstGeom>
                        <a:solidFill>
                          <a:srgbClr val="FFFFFF"/>
                        </a:solidFill>
                        <a:ln w="9525">
                          <a:solidFill>
                            <a:srgbClr val="000000"/>
                          </a:solidFill>
                          <a:miter lim="800000"/>
                          <a:headEnd/>
                          <a:tailEnd/>
                        </a:ln>
                      </wps:spPr>
                      <wps:txbx>
                        <w:txbxContent>
                          <w:p w14:paraId="48704596" w14:textId="77777777" w:rsidR="00215C86" w:rsidRPr="004D1A76" w:rsidRDefault="00215C86" w:rsidP="005D00D4">
                            <w:pPr>
                              <w:shd w:val="clear" w:color="auto" w:fill="BEE6F0"/>
                              <w:jc w:val="center"/>
                              <w:rPr>
                                <w:rFonts w:ascii="Times New Roman" w:hAnsi="Times New Roman" w:cs="Times New Roman"/>
                                <w:sz w:val="24"/>
                                <w:szCs w:val="24"/>
                              </w:rPr>
                            </w:pPr>
                            <w:r w:rsidRPr="00302EDA">
                              <w:rPr>
                                <w:rFonts w:ascii="Times New Roman" w:hAnsi="Times New Roman" w:cs="Times New Roman"/>
                                <w:b/>
                                <w:sz w:val="24"/>
                                <w:szCs w:val="24"/>
                                <w:lang w:val="bg-BG"/>
                              </w:rPr>
                              <w:t>Главна цел</w:t>
                            </w:r>
                            <w:r w:rsidRPr="004D1A76">
                              <w:rPr>
                                <w:rFonts w:ascii="Times New Roman" w:hAnsi="Times New Roman" w:cs="Times New Roman"/>
                                <w:sz w:val="24"/>
                                <w:szCs w:val="24"/>
                                <w:lang w:val="bg-BG"/>
                              </w:rPr>
                              <w:t>:</w:t>
                            </w:r>
                            <w:r w:rsidRPr="004D1A76">
                              <w:rPr>
                                <w:rFonts w:ascii="Times New Roman" w:hAnsi="Times New Roman" w:cs="Times New Roman"/>
                                <w:sz w:val="24"/>
                                <w:szCs w:val="24"/>
                              </w:rPr>
                              <w:t xml:space="preserve"> </w:t>
                            </w:r>
                            <w:r w:rsidRPr="004D1A76">
                              <w:rPr>
                                <w:rFonts w:ascii="Times New Roman" w:hAnsi="Times New Roman" w:cs="Times New Roman"/>
                                <w:sz w:val="24"/>
                                <w:szCs w:val="24"/>
                                <w:lang w:val="bg-BG"/>
                              </w:rPr>
                              <w:t>Устойчиво ползване за устойчиво развитие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2B479" id="Text Box 2" o:spid="_x0000_s1027" type="#_x0000_t202" style="position:absolute;left:0;text-align:left;margin-left:54pt;margin-top:35.55pt;width:350.6pt;height:22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">
                <v:textbox>
                  <w:txbxContent>
                    <w:p w14:paraId="48704596" w14:textId="77777777" w:rsidR="00215C86" w:rsidRPr="004D1A76" w:rsidRDefault="00215C86" w:rsidP="005D00D4">
                      <w:pPr>
                        <w:shd w:val="clear" w:color="auto" w:fill="BEE6F0"/>
                        <w:jc w:val="center"/>
                        <w:rPr>
                          <w:rFonts w:ascii="Times New Roman" w:hAnsi="Times New Roman" w:cs="Times New Roman"/>
                          <w:sz w:val="24"/>
                          <w:szCs w:val="24"/>
                        </w:rPr>
                      </w:pPr>
                      <w:r w:rsidRPr="00302EDA">
                        <w:rPr>
                          <w:rFonts w:ascii="Times New Roman" w:hAnsi="Times New Roman" w:cs="Times New Roman"/>
                          <w:b/>
                          <w:sz w:val="24"/>
                          <w:szCs w:val="24"/>
                          <w:lang w:val="bg-BG"/>
                        </w:rPr>
                        <w:t>Главна цел</w:t>
                      </w:r>
                      <w:r w:rsidRPr="004D1A76">
                        <w:rPr>
                          <w:rFonts w:ascii="Times New Roman" w:hAnsi="Times New Roman" w:cs="Times New Roman"/>
                          <w:sz w:val="24"/>
                          <w:szCs w:val="24"/>
                          <w:lang w:val="bg-BG"/>
                        </w:rPr>
                        <w:t>:</w:t>
                      </w:r>
                      <w:r w:rsidRPr="004D1A76">
                        <w:rPr>
                          <w:rFonts w:ascii="Times New Roman" w:hAnsi="Times New Roman" w:cs="Times New Roman"/>
                          <w:sz w:val="24"/>
                          <w:szCs w:val="24"/>
                        </w:rPr>
                        <w:t xml:space="preserve"> </w:t>
                      </w:r>
                      <w:r w:rsidRPr="004D1A76">
                        <w:rPr>
                          <w:rFonts w:ascii="Times New Roman" w:hAnsi="Times New Roman" w:cs="Times New Roman"/>
                          <w:sz w:val="24"/>
                          <w:szCs w:val="24"/>
                          <w:lang w:val="bg-BG"/>
                        </w:rPr>
                        <w:t>Устойчиво ползване за устойчиво развитие</w:t>
                      </w:r>
                    </w:p>
                  </w:txbxContent>
                </v:textbox>
                <w10:wrap type="square"/>
              </v:shape>
            </w:pict>
          </mc:Fallback>
        </mc:AlternateContent>
      </w:r>
      <w:r w:rsidR="004B17B0" w:rsidRPr="00610B1B">
        <w:rPr>
          <w:rFonts w:cs="Times New Roman"/>
          <w:lang w:val="bg-BG"/>
        </w:rPr>
        <w:t>Постигането на тази визия се осъществява с предложения стратегически пакет от главна цел, стратегически и специфични цели и мерки.</w:t>
      </w:r>
    </w:p>
    <w:p w14:paraId="789C738F" w14:textId="47281D1B" w:rsidR="004B17B0" w:rsidRPr="00610B1B" w:rsidRDefault="004B17B0" w:rsidP="004050A5">
      <w:pPr>
        <w:spacing w:after="120"/>
        <w:ind w:left="-284"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noProof/>
          <w:sz w:val="24"/>
          <w:szCs w:val="24"/>
          <w:lang w:val="bg-BG" w:eastAsia="bg-BG"/>
        </w:rPr>
        <w:drawing>
          <wp:inline distT="0" distB="0" distL="0" distR="0" wp14:anchorId="387EB44B" wp14:editId="1F331A8A">
            <wp:extent cx="6209665" cy="4330700"/>
            <wp:effectExtent l="0" t="0" r="19685" b="0"/>
            <wp:docPr id="23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50A2904" w14:textId="1E447FDE"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b/>
          <w:sz w:val="24"/>
          <w:szCs w:val="24"/>
          <w:lang w:val="bg-BG"/>
        </w:rPr>
        <w:lastRenderedPageBreak/>
        <w:t>Зонирането на морските пространства</w:t>
      </w:r>
      <w:r w:rsidRPr="00610B1B">
        <w:rPr>
          <w:rFonts w:ascii="Times New Roman" w:eastAsia="Calibri" w:hAnsi="Times New Roman" w:cs="Times New Roman"/>
          <w:sz w:val="24"/>
          <w:szCs w:val="24"/>
          <w:lang w:val="bg-BG"/>
        </w:rPr>
        <w:t xml:space="preserve"> прилага част от основните принципи, приети в План за действие за рехабилитация на Черно море през 1996</w:t>
      </w:r>
      <w:r w:rsidR="00D703D4" w:rsidRPr="00610B1B">
        <w:rPr>
          <w:rFonts w:ascii="Times New Roman" w:eastAsia="Calibri" w:hAnsi="Times New Roman" w:cs="Times New Roman"/>
          <w:sz w:val="24"/>
          <w:szCs w:val="24"/>
          <w:lang w:val="bg-BG"/>
        </w:rPr>
        <w:t> </w:t>
      </w:r>
      <w:r w:rsidRPr="00610B1B">
        <w:rPr>
          <w:rFonts w:ascii="Times New Roman" w:eastAsia="Calibri" w:hAnsi="Times New Roman" w:cs="Times New Roman"/>
          <w:sz w:val="24"/>
          <w:szCs w:val="24"/>
          <w:lang w:val="bg-BG"/>
        </w:rPr>
        <w:t>г. и актуализирани през 2006</w:t>
      </w:r>
      <w:r w:rsidR="00D703D4" w:rsidRPr="00610B1B">
        <w:rPr>
          <w:rFonts w:ascii="Times New Roman" w:eastAsia="Calibri" w:hAnsi="Times New Roman" w:cs="Times New Roman"/>
          <w:sz w:val="24"/>
          <w:szCs w:val="24"/>
          <w:lang w:val="bg-BG"/>
        </w:rPr>
        <w:t> </w:t>
      </w:r>
      <w:r w:rsidRPr="00610B1B">
        <w:rPr>
          <w:rFonts w:ascii="Times New Roman" w:eastAsia="Calibri" w:hAnsi="Times New Roman" w:cs="Times New Roman"/>
          <w:sz w:val="24"/>
          <w:szCs w:val="24"/>
          <w:lang w:val="bg-BG"/>
        </w:rPr>
        <w:t xml:space="preserve">г. на срещата в София, които са запазили своята актуалност. Те са свързани с концепцията за устойчиво развитие в съответствие с капацитета на Черноморските екосистеми и интересите на бъдещите поколения; с превантивните мерки, ограничаващи рисковете за хората, живите ресурси и морските екосистеми; с оценката на въздействието върху околната среда и на последствията от правителствените политики, програми и планове; със стимулирането на чисти технологии, устойчиви практики и икономически стимули за въвеждане на екологични технологии и дейности, с прозрачността, информираността и участието на гражданското общество. Към тези общи принципи, засягащи всички по-важни въпроси за устойчиво развитие на Черноморския регион, са добавени и директно насочените към функционалното зониране принципи за </w:t>
      </w:r>
      <w:r w:rsidRPr="00610B1B">
        <w:rPr>
          <w:rFonts w:ascii="Times New Roman" w:eastAsia="Calibri" w:hAnsi="Times New Roman" w:cs="Times New Roman"/>
          <w:i/>
          <w:iCs/>
          <w:sz w:val="24"/>
          <w:szCs w:val="24"/>
          <w:lang w:val="bg-BG"/>
        </w:rPr>
        <w:t>организационна ефективност</w:t>
      </w:r>
      <w:r w:rsidRPr="00610B1B">
        <w:rPr>
          <w:rFonts w:ascii="Times New Roman" w:eastAsia="Calibri" w:hAnsi="Times New Roman" w:cs="Times New Roman"/>
          <w:sz w:val="24"/>
          <w:szCs w:val="24"/>
          <w:lang w:val="bg-BG"/>
        </w:rPr>
        <w:t xml:space="preserve"> при съвместяване на функциите; </w:t>
      </w:r>
      <w:r w:rsidRPr="00610B1B">
        <w:rPr>
          <w:rFonts w:ascii="Times New Roman" w:eastAsia="Calibri" w:hAnsi="Times New Roman" w:cs="Times New Roman"/>
          <w:i/>
          <w:iCs/>
          <w:sz w:val="24"/>
          <w:szCs w:val="24"/>
          <w:lang w:val="bg-BG"/>
        </w:rPr>
        <w:t>технологична ефективност</w:t>
      </w:r>
      <w:r w:rsidRPr="00610B1B">
        <w:rPr>
          <w:rFonts w:ascii="Times New Roman" w:eastAsia="Calibri" w:hAnsi="Times New Roman" w:cs="Times New Roman"/>
          <w:sz w:val="24"/>
          <w:szCs w:val="24"/>
          <w:lang w:val="bg-BG"/>
        </w:rPr>
        <w:t xml:space="preserve"> чрез интегриране на дейностите и операциите в морските пространства; и </w:t>
      </w:r>
      <w:r w:rsidRPr="00610B1B">
        <w:rPr>
          <w:rFonts w:ascii="Times New Roman" w:eastAsia="Calibri" w:hAnsi="Times New Roman" w:cs="Times New Roman"/>
          <w:i/>
          <w:iCs/>
          <w:sz w:val="24"/>
          <w:szCs w:val="24"/>
          <w:lang w:val="bg-BG"/>
        </w:rPr>
        <w:t>функционална съвместимост и синергия</w:t>
      </w:r>
      <w:r w:rsidRPr="00610B1B">
        <w:rPr>
          <w:rFonts w:ascii="Times New Roman" w:eastAsia="Calibri" w:hAnsi="Times New Roman" w:cs="Times New Roman"/>
          <w:sz w:val="24"/>
          <w:szCs w:val="24"/>
          <w:lang w:val="bg-BG"/>
        </w:rPr>
        <w:t xml:space="preserve"> от безконфликтното съчетаване на взаимно допълващи се дейности за постигане на по-висока добавена стойност и по-високо качество на морските ползвания. </w:t>
      </w:r>
    </w:p>
    <w:p w14:paraId="11D43FDE" w14:textId="424FEB12"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За целите на Морския пространствен план на Република България се предлага групирането на функциите и ползванията в четири вида зони, а именно: i) зони със забрана</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за ползване; ii) зони със специфичен режим на опазване; iii) мултифункционални зони; и iv) зони за бъдещо развитие.</w:t>
      </w:r>
    </w:p>
    <w:p w14:paraId="16A2F115"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За всяка от тези зони се систематизират режимите, които трябва да бъдат спазвани и правилата на взаимодействие с други функции и дейности. Отчитайки динамичния характер на средата и на документа Морски пространствен план, това зониране също има динамичен характер за да отразява промените, при изменение на условията на средата, технологиите, националните или секторните приоритети и потребности.</w:t>
      </w:r>
    </w:p>
    <w:p w14:paraId="04076669" w14:textId="2277948E"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В </w:t>
      </w:r>
      <w:r w:rsidRPr="00610B1B">
        <w:rPr>
          <w:rFonts w:ascii="Times New Roman" w:eastAsia="Calibri" w:hAnsi="Times New Roman" w:cs="Times New Roman"/>
          <w:b/>
          <w:bCs/>
          <w:sz w:val="24"/>
          <w:szCs w:val="24"/>
          <w:lang w:val="bg-BG"/>
        </w:rPr>
        <w:t>зоните със забрана за ползване (Ззп)</w:t>
      </w:r>
      <w:r w:rsidRPr="00610B1B">
        <w:rPr>
          <w:rFonts w:ascii="Times New Roman" w:eastAsia="Calibri" w:hAnsi="Times New Roman" w:cs="Times New Roman"/>
          <w:sz w:val="24"/>
          <w:szCs w:val="24"/>
          <w:lang w:val="bg-BG"/>
        </w:rPr>
        <w:t xml:space="preserve"> попадат онези зони, при които е възможна само една единствена функция, поради законови забрани и несъвместимост с останалите функции и ползвания на морските пространства, поради риск за безопасността и сигурността, живота и здравето на хората, опасност от инциденти и повреди на важна инфраструктура или на културни ценности.</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В тази група се включват зоните за военни учения и обучения с постоянна забрана, зоните със забрани за корабоплаване и заставане на котва, а също така и зоните с подводни линейни обекти на техническата инфраструктура, които има опасност да бъдат засегнати от други дейности на морското дъно. Отчетени са двата вида зони – с постоянно действаща забрана и с временна забрана за ползване. </w:t>
      </w:r>
    </w:p>
    <w:p w14:paraId="2AF06AF7"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Основните цели са гарантиране на суверенитета, безопасността и сигурността в морските пространства на Република България и опазване на изградената подводна техническа инфраструктура, съоръженията и оборудването от увреждане. Режимите на ползване се определят съобразно международното морско право, действащото национално законодателство, целите за дългосрочно устойчиво развитие и интегрирано опазване на морската околна среда. </w:t>
      </w:r>
    </w:p>
    <w:p w14:paraId="64444EA2" w14:textId="7D618392"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b/>
          <w:bCs/>
          <w:sz w:val="24"/>
          <w:szCs w:val="24"/>
          <w:lang w:val="bg-BG"/>
        </w:rPr>
        <w:lastRenderedPageBreak/>
        <w:t xml:space="preserve">Зоните със специфичен режим на </w:t>
      </w:r>
      <w:r w:rsidR="002F26AA" w:rsidRPr="00610B1B">
        <w:rPr>
          <w:rFonts w:ascii="Times New Roman" w:eastAsia="Calibri" w:hAnsi="Times New Roman" w:cs="Times New Roman"/>
          <w:b/>
          <w:bCs/>
          <w:sz w:val="24"/>
          <w:szCs w:val="24"/>
          <w:lang w:val="bg-BG"/>
        </w:rPr>
        <w:t>опазване</w:t>
      </w:r>
      <w:r w:rsidRPr="00610B1B">
        <w:rPr>
          <w:rFonts w:ascii="Times New Roman" w:eastAsia="Calibri" w:hAnsi="Times New Roman" w:cs="Times New Roman"/>
          <w:b/>
          <w:bCs/>
          <w:sz w:val="24"/>
          <w:szCs w:val="24"/>
          <w:lang w:val="bg-BG"/>
        </w:rPr>
        <w:t xml:space="preserve"> (Зср)</w:t>
      </w:r>
      <w:r w:rsidRPr="00610B1B">
        <w:rPr>
          <w:rFonts w:ascii="Times New Roman" w:eastAsia="Calibri" w:hAnsi="Times New Roman" w:cs="Times New Roman"/>
          <w:sz w:val="24"/>
          <w:szCs w:val="24"/>
          <w:lang w:val="bg-BG"/>
        </w:rPr>
        <w:t xml:space="preserve"> обхващат морски защитени зони и защитени територии от Националната екологична мрежа и зоните за опазване на културното наследство, зоните за опазване на водите по чл. 119а от Закона за водите. Към тях се включват и зони, предложени от ИО и ИБЕИ на БАН, които приоритетно се използват за проучване и мониторинг на състоянието на морската околна среда, разположени в близост до изследователски бази. </w:t>
      </w:r>
    </w:p>
    <w:p w14:paraId="2B8992F1" w14:textId="467D12BA"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Основните цели на този вид зони са съхраняване и проучване на природни и културни ценности, което да увеличи знанието на настоящите и бъдещите поколения за тяхната значимост и принос към биологичното разнообразие в морските пространства на Европа, към световната</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и националната история. </w:t>
      </w:r>
    </w:p>
    <w:p w14:paraId="57D6E537"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Режимите за достъп и ползване на защитени зони и защитени територии от НЕМ се определят в съответствие с техния статут, решението за обявяването им и ограниченията съгласно стандартните формуляри, заповедите за обявяване или плановете за управление. Те се съобразяват с международните конвенции, ратифицирани от Р. България, Директивите на Европейския съюз за местообитанията и за птиците, националните законови и подзаконови актове. В тази категория се включат и охранителните зони на Несебър и Созопол с широчина от 1 km, както и други подобни с широчина 500 m, отразени в Общите устройствени планове на крайбрежните общини и в МППРБ.</w:t>
      </w:r>
    </w:p>
    <w:p w14:paraId="6A245BA0"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b/>
          <w:bCs/>
          <w:sz w:val="24"/>
          <w:szCs w:val="24"/>
          <w:lang w:val="bg-BG"/>
        </w:rPr>
        <w:t xml:space="preserve">Мултифункционалните зони (Змф) </w:t>
      </w:r>
      <w:r w:rsidRPr="00610B1B">
        <w:rPr>
          <w:rFonts w:ascii="Times New Roman" w:eastAsia="Calibri" w:hAnsi="Times New Roman" w:cs="Times New Roman"/>
          <w:sz w:val="24"/>
          <w:szCs w:val="24"/>
          <w:lang w:val="bg-BG"/>
        </w:rPr>
        <w:t xml:space="preserve">подобно на използваните в други страни „зони за общо ползване“, съчетават безконфликтно няколко различни съвместими функции в определеното морско пространство. По същество и в момента почти всички национални морски пространства съчетават няколко функции, с изключение за зоните със забранен достъп, свързани с военни учения и обучения. Възможни са всякакви съчетания с изключение на такива, със специфични законово регламентирани ограничения, включително и споменатите по-горе. Ограниченията, с които се съобразява интегрирането на функциите в тези зони са общи, произтичащи от международното и европейско морско право и от националната правна уредба, и специфични, които са свързани с развитие на отделни сектори на морската икономика. </w:t>
      </w:r>
    </w:p>
    <w:p w14:paraId="0FDBF181"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Основните цели са безконфликтно съчетаване на съвместими функции за по-ефективно използване на морските пространства; постигане на положителна синергия и икономия на пространство и от мащаба и по-добро координиране на секторните политики, свързани с морето. Режимите на ползване на мултифункционалните зони се определят от възможните съчетания, в основата на които са съвместими безконфликтни дейности. </w:t>
      </w:r>
    </w:p>
    <w:p w14:paraId="03CC9651"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b/>
          <w:bCs/>
          <w:sz w:val="24"/>
          <w:szCs w:val="24"/>
          <w:lang w:val="bg-BG"/>
        </w:rPr>
        <w:t>Зоните за бъдещо развитие (Збр)</w:t>
      </w:r>
      <w:r w:rsidRPr="00610B1B">
        <w:rPr>
          <w:rFonts w:ascii="Times New Roman" w:eastAsia="Calibri" w:hAnsi="Times New Roman" w:cs="Times New Roman"/>
          <w:sz w:val="24"/>
          <w:szCs w:val="24"/>
          <w:lang w:val="bg-BG"/>
        </w:rPr>
        <w:t xml:space="preserve"> са определени поради идентифицираните пропуски в познанието за отдалечените части от акваторията и морските пространства, в които по-големите дълбочини изискват специфични технологии и оборудване и значителен ресурс за научни изследвания, които впоследствие обосновават ползвания със значение за знанието и за синята икономика. Подобни проучвания се осъществяват в колаборация с различни научни институции, големи компании и международни организации. Поради ограничената информация за потенциала на подобни зони в момента са идентифицирани само такива, които могат да съчетаят и друг вид мащабни научно-изследователски проекти в обхвата на ИИЗ. </w:t>
      </w:r>
    </w:p>
    <w:p w14:paraId="5AAF5A98" w14:textId="1E3A4315"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lastRenderedPageBreak/>
        <w:t>Основните цели на този тип зони са разкриване на потенциала на морските пространства извън обхвата на териториалното море и прилежащата зона за допълване на знанието и пълноценно използване на ресурсите. Достъпът до тези зони и режимите за ползване се осъществяват в съответствие с международните конвенции и протоколи, Европейските регламенти и Директиви свързани с опазване на морската среда, на водите, на биоразнообразието и на създаване на рамка за морско пространствено планиране, със Закона за морските пространства, вътрешните водни пътища и пристанищата на Република България и относимите законови и подзаконови актове.</w:t>
      </w:r>
      <w:r w:rsidR="00D66FE0" w:rsidRPr="00610B1B">
        <w:rPr>
          <w:rFonts w:ascii="Times New Roman" w:eastAsia="Calibri" w:hAnsi="Times New Roman" w:cs="Times New Roman"/>
          <w:sz w:val="24"/>
          <w:szCs w:val="24"/>
          <w:lang w:val="bg-BG"/>
        </w:rPr>
        <w:t xml:space="preserve"> </w:t>
      </w:r>
    </w:p>
    <w:p w14:paraId="143369C4" w14:textId="1186191C"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b/>
          <w:sz w:val="24"/>
          <w:szCs w:val="24"/>
          <w:lang w:val="bg-BG"/>
        </w:rPr>
        <w:t>Предвидените ползвания и дейности</w:t>
      </w:r>
      <w:r w:rsidRPr="00610B1B">
        <w:rPr>
          <w:rFonts w:ascii="Times New Roman" w:eastAsia="Calibri" w:hAnsi="Times New Roman" w:cs="Times New Roman"/>
          <w:sz w:val="24"/>
          <w:szCs w:val="24"/>
          <w:lang w:val="bg-BG"/>
        </w:rPr>
        <w:t>, групирани в тези четири вида функционални зони са описани подробно с ограничаващите режими и законодателните основания за това, като е илюстрирана и връзката с графичната част на плана.</w:t>
      </w:r>
      <w:r w:rsidR="00C415D1" w:rsidRPr="00610B1B">
        <w:rPr>
          <w:rFonts w:ascii="Times New Roman" w:eastAsia="Calibri" w:hAnsi="Times New Roman" w:cs="Times New Roman"/>
          <w:sz w:val="24"/>
          <w:szCs w:val="24"/>
          <w:lang w:val="bg-BG"/>
        </w:rPr>
        <w:t xml:space="preserve"> </w:t>
      </w:r>
    </w:p>
    <w:p w14:paraId="136D30F0" w14:textId="45F4511B"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b/>
          <w:sz w:val="24"/>
          <w:szCs w:val="24"/>
          <w:lang w:val="bg-BG"/>
        </w:rPr>
        <w:t>Прилагането на плана и оценката на резултатите</w:t>
      </w:r>
      <w:r w:rsidRPr="00610B1B">
        <w:rPr>
          <w:rFonts w:ascii="Times New Roman" w:eastAsia="Calibri" w:hAnsi="Times New Roman" w:cs="Times New Roman"/>
          <w:sz w:val="24"/>
          <w:szCs w:val="24"/>
          <w:lang w:val="bg-BG"/>
        </w:rPr>
        <w:t xml:space="preserve"> са разгледани чрез систематизиране на отговорностите и ролята на различните заинтересовани страни, ангажиментите им по поддържането, актуализирането и изменението на МППРБ и препоръките към най-важните участници в този процес. Институциите, ангажирани с възлагането, разработването, актуализирането, прилагането на плана и оценката на напредъка и въздействията, изграждат сложната институционална рамка на Морския пространствен план на Република България с разнопосочни и многообразни връзки и взаимодействия. Компетентните органи по прилагането на Морския пространствен план на Република България и наблюдението на изпълнението на предложените мерки за опазване на околната среда в морските води и координирането на секторните политики са Министерският съвет, министърът на регионалното развитие и благоустройството, министърът на околната среда и водите, министърът на транспорта, информационните технологии и съобщенията, министърът на земеделието, храните и горите, министърът на културата, министърът на отбраната, министрите на вътрешните и на външните работи, министърът на икономиката, министърът на туризма, министърът на здравеопазването, министърът на енергетиката, директорите на ИА „Морска администрация“, ДП „Пристанищна инфраструктура“, ИА „Рибарство и аквакултури“ и Басейновата дирекция за Черноморския район, или оправомощени от тях длъжностни лица. Техните правомощия и ангажименти са систематизирани в зависимост от действащите законови и подзаконови актове и съответните устройствени правилници.</w:t>
      </w:r>
      <w:r w:rsidR="00D66FE0" w:rsidRPr="00610B1B">
        <w:rPr>
          <w:rFonts w:ascii="Times New Roman" w:eastAsia="Calibri" w:hAnsi="Times New Roman" w:cs="Times New Roman"/>
          <w:sz w:val="24"/>
          <w:szCs w:val="24"/>
          <w:lang w:val="bg-BG"/>
        </w:rPr>
        <w:t xml:space="preserve"> </w:t>
      </w:r>
    </w:p>
    <w:p w14:paraId="5EFB2B85"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Съгласно чл. 51е ал. 1 на ЗМПВВППРБ морският пространствен план на Република България се приема от Националния експертен съвет по устройство на територията и регионална политика след съгласуване с Консултативния съвет по въпросите на морското пространствено планиране и се одобрява с решение на Министерския съвет по доклад на Министъра на регионалното развитие и благоустройството. </w:t>
      </w:r>
    </w:p>
    <w:p w14:paraId="64C18054"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Той подлежи на преразглеждане на всеки 10 години. Законът позволява морският пространствен план на Република България да бъде преразгледан и извън срока, ако настъпят съществени промени в обществено-икономическите условия, при които е бил одобрен. Изменението му се възлага и изпълнява при условията на неговото създаване като се прилагат разпоредбите на ал. 1 на чл. 51е и чл. 51д.</w:t>
      </w:r>
    </w:p>
    <w:p w14:paraId="6E650FBF"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lastRenderedPageBreak/>
        <w:t xml:space="preserve">Предложената </w:t>
      </w:r>
      <w:r w:rsidRPr="00610B1B">
        <w:rPr>
          <w:rFonts w:ascii="Times New Roman" w:eastAsia="Calibri" w:hAnsi="Times New Roman" w:cs="Times New Roman"/>
          <w:b/>
          <w:sz w:val="24"/>
          <w:szCs w:val="24"/>
          <w:lang w:val="bg-BG"/>
        </w:rPr>
        <w:t>система за наблюдение на прилагането на МППРБ</w:t>
      </w:r>
      <w:r w:rsidRPr="00610B1B">
        <w:rPr>
          <w:rFonts w:ascii="Times New Roman" w:eastAsia="Calibri" w:hAnsi="Times New Roman" w:cs="Times New Roman"/>
          <w:sz w:val="24"/>
          <w:szCs w:val="24"/>
          <w:lang w:val="bg-BG"/>
        </w:rPr>
        <w:t>, съставена от качествени и количествени индикатори, е разработена въз основа на опита на други държави в морското пространствено планиране и Ръководството за оценка на Морски пространствени планове на Океанографската комисия на ЮНЕСКО (2014) и отчита националния контекст. Индикаторите са разделени в три групи: i) индикатори за управление, ii) социално-икономически и iii) екологични индикатори; и обхваща индикатори на 2 нива - синтезни индикатори и показатели. Синтезните индикатори отразяват резултати от прилагането на МППРБ и могат да имат качествен, количествен или смесен характер. Информационното обслужване на синтезните индикатори може да разчита на един или няколко статистически показателя от номенклатурата на НСИ или друга официална институция, както и на експертни оценки или целеви научни изследвания.</w:t>
      </w:r>
    </w:p>
    <w:p w14:paraId="361A0E8B"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Принципът за </w:t>
      </w:r>
      <w:r w:rsidRPr="00610B1B">
        <w:rPr>
          <w:rFonts w:ascii="Times New Roman" w:eastAsia="Calibri" w:hAnsi="Times New Roman" w:cs="Times New Roman"/>
          <w:b/>
          <w:sz w:val="24"/>
          <w:szCs w:val="24"/>
          <w:lang w:val="bg-BG"/>
        </w:rPr>
        <w:t>партньорство, публичност и прозрачност</w:t>
      </w:r>
      <w:r w:rsidRPr="00610B1B">
        <w:rPr>
          <w:rFonts w:ascii="Times New Roman" w:eastAsia="Calibri" w:hAnsi="Times New Roman" w:cs="Times New Roman"/>
          <w:sz w:val="24"/>
          <w:szCs w:val="24"/>
          <w:lang w:val="bg-BG"/>
        </w:rPr>
        <w:t xml:space="preserve"> на всички нива е важен механизъм за повишаване на устойчивостта на взетите решения и планираните цели и задачи, за ефективността на тяхната реализация, особено при подобна нова за страната дейност, каквото е морското пространствено планиране. Главната цел на прилагането на информираност и публичност при разработването на МППРБ е повишаване на обществената осведоменост и осигуряване на прозрачност при генерирането на идеите за бъдещото развитие, опазване и използване на морските пространства.</w:t>
      </w:r>
    </w:p>
    <w:p w14:paraId="20ACC397"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Основна отговорност за осигуряване на информация и публичност на процеса на разработване, съгласуване, актуализиране и изпълнение на МППРБ има Министърът на регионалното развитие и благоустройството, подпомаган Консултативния съвет по въпросите на морското пространствено планиране и от ГД „Стратегическо планиране и програми за регионално развитие“ на МРРБ. Във всички етапи на разработване и прилагане участват и разпределят отговорности помежду си всички групи партньори, идентифицирани на най-ранен етап: административни структури (централни, териториални) на изпълнителната власт, икономически и социални партньори, НПО, граждански сдружения, широка общественост, като в зависимост от етапа, нивото на съучастие е различно. </w:t>
      </w:r>
    </w:p>
    <w:p w14:paraId="1ED82A36" w14:textId="2C830C04"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При взаимодействие между целевите групи</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са приложени всички приети форми за информиране, консултиране и съгласуваност, ангажираност и активно участие. Проведени са консултации с компетентните институции, дълбочинни интервюта с 31 участващи експерти от различни области, анкети за избор на визия, мултдисциплинарен и интерактивен семинар с 57 участници, заседания на Консултативния съвет и множество експертни работни срещи под различни форми, съобразени с противоепидемичните мерки, въведени в страната от 13 март 2020 г. Резултатите са анализирани и най-добрите предложения са отразени в настоящата версия на документа. </w:t>
      </w:r>
    </w:p>
    <w:p w14:paraId="65D80F7D" w14:textId="10D3AFB4"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Морският пространствен план се разработва паралелно с Екологичната оценка, съгласно предписанията на компетентния орган - Министерството на околната среда и водите. Документът се придружава от аналитични карти и схеми,</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изготвени с помощта на ГИС, от база данни и метаданни. Разработената ГИС платформа ще улесни поддържането и </w:t>
      </w:r>
      <w:r w:rsidRPr="00610B1B">
        <w:rPr>
          <w:rFonts w:ascii="Times New Roman" w:eastAsia="Calibri" w:hAnsi="Times New Roman" w:cs="Times New Roman"/>
          <w:sz w:val="24"/>
          <w:szCs w:val="24"/>
          <w:lang w:val="bg-BG"/>
        </w:rPr>
        <w:lastRenderedPageBreak/>
        <w:t>прилагането на Морския пространствен план на Република България до неговата първа актуализация и ще подобри координацията между секторите на морската икономика.</w:t>
      </w:r>
    </w:p>
    <w:p w14:paraId="2CD71F41"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В конкретните предложения са включени зони за наблюдения и морски изследвания на Института по океанология, на Института по биоразнообразие и екосистемни услуги, на Националния институт по метеорология и хидрология на БАН, на СУ „Св. Климент Охридски“, разширяване на обхвата на защитена местност „Кокетрайс“ и определяне на 500 метрови охранителни зони около резерват „Калиакра“, около островите „Св. Св. Иван и Петър“ и Змийски остров, съобразяване на основните трасета на морския трафик със защитените зони и морските защитени територии. </w:t>
      </w:r>
    </w:p>
    <w:p w14:paraId="53D6C938" w14:textId="6B9DF849"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Определени са 4 ареала с концентрация на културни ценности и два за потънали кораби, в които да се планират бъдещите изследвания и развитието на идеите за интерактивна интерпретация на събитията и атмосферата около недвижимото културно наследство под вода и на бреговата зона.</w:t>
      </w:r>
      <w:r w:rsidR="00D66FE0" w:rsidRPr="00610B1B">
        <w:rPr>
          <w:rFonts w:ascii="Times New Roman" w:eastAsia="Calibri" w:hAnsi="Times New Roman" w:cs="Times New Roman"/>
          <w:sz w:val="24"/>
          <w:szCs w:val="24"/>
          <w:lang w:val="bg-BG"/>
        </w:rPr>
        <w:t xml:space="preserve"> </w:t>
      </w:r>
    </w:p>
    <w:p w14:paraId="71F2438E" w14:textId="77777777"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Определени са зоните за опазване на водите за отглеждане на ценни видове риба и за отглеждане на аквакултура. Отредени са зоните за забрана на други дейности в близост до полигони за военни учения и за подготовка на водолази, за заставане на котва, локализирани са забранените за драгиране и риболов с придънни средства райони и полигони. </w:t>
      </w:r>
    </w:p>
    <w:p w14:paraId="76169319" w14:textId="22986CA3"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Маркирани са определените зони за къпане в морето, пред плажовете и в свързани с водните спортове и атракциите крайбрежни морски води пред курортите и ваканционните селища. В тези зони не се позволява монтирането на даляни и инсталации за отглеждане на аквакултура.</w:t>
      </w:r>
      <w:r w:rsidR="00D66FE0" w:rsidRPr="00610B1B">
        <w:rPr>
          <w:rFonts w:ascii="Times New Roman" w:eastAsia="Calibri" w:hAnsi="Times New Roman" w:cs="Times New Roman"/>
          <w:sz w:val="24"/>
          <w:szCs w:val="24"/>
          <w:lang w:val="bg-BG"/>
        </w:rPr>
        <w:t xml:space="preserve"> </w:t>
      </w:r>
    </w:p>
    <w:p w14:paraId="5B16114E" w14:textId="40429EAC" w:rsidR="004B17B0" w:rsidRPr="00610B1B" w:rsidRDefault="004B17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Стимулират се биотехнологиите и иновациите в секторите на синята икономика и научните изследвания при задължителното им обвързване с образованието, практиката и</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бизнеса. Всички тези предложения се обединяват в многофункционални зони, в които могат да се развиват безконфликтно при редуциране на конфликтите между сушата и морето и между отделните дейности в морските пространства, като отчитат приоритетите на най-важните стратегически секторни документи с хоризонт, съвпадащ с този на плана. Допълнително ще бъдат систематизирани предложения, които са резултат от обществените консултации, насочени към подобряване на работата на институциите. Те са основа за координиране на секторните политики в единното национално морско пространство и изграждат платформата за вземане на информирани решения за бъдещото устойчиво развитие. </w:t>
      </w:r>
    </w:p>
    <w:p w14:paraId="1CD6D436" w14:textId="2B7D18CB" w:rsidR="00F85D31" w:rsidRPr="00610B1B" w:rsidRDefault="00F85D31"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Идентифицираните зони с натрупване на най-много конфликти – Варненски и Бургаски залив и 3</w:t>
      </w:r>
      <w:r w:rsidR="00610CA1" w:rsidRPr="00E63187">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милната зона навътре в морето се предлагат </w:t>
      </w:r>
      <w:r w:rsidR="00EB0A4C" w:rsidRPr="00610B1B">
        <w:rPr>
          <w:rFonts w:ascii="Times New Roman" w:eastAsia="Calibri" w:hAnsi="Times New Roman" w:cs="Times New Roman"/>
          <w:sz w:val="24"/>
          <w:szCs w:val="24"/>
          <w:lang w:val="bg-BG"/>
        </w:rPr>
        <w:t xml:space="preserve">на следващ етап </w:t>
      </w:r>
      <w:r w:rsidRPr="00610B1B">
        <w:rPr>
          <w:rFonts w:ascii="Times New Roman" w:eastAsia="Calibri" w:hAnsi="Times New Roman" w:cs="Times New Roman"/>
          <w:sz w:val="24"/>
          <w:szCs w:val="24"/>
          <w:lang w:val="bg-BG"/>
        </w:rPr>
        <w:t>да бъдат разработени в по-голяма подробност, като фрагменти на МППРБ, въз основа на събраната информация и след съгласуването на дейностите в националните морски пространства между всички държавни институции, местни администрации и заинтересовани страни. Това ще бъде следващата важна стъпка в процеса на морското пространствено планиране.</w:t>
      </w:r>
    </w:p>
    <w:p w14:paraId="458BD73C" w14:textId="39700C92" w:rsidR="007023E9" w:rsidRPr="00610B1B" w:rsidRDefault="007023E9" w:rsidP="00D32D6A">
      <w:pPr>
        <w:spacing w:after="120"/>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br w:type="page"/>
      </w:r>
    </w:p>
    <w:p w14:paraId="17872A60" w14:textId="4A676B4D" w:rsidR="00B862CF" w:rsidRPr="00610B1B" w:rsidRDefault="001D3664" w:rsidP="00D32D6A">
      <w:pPr>
        <w:pStyle w:val="Heading1"/>
        <w:tabs>
          <w:tab w:val="left" w:pos="1170"/>
        </w:tabs>
        <w:spacing w:before="0" w:line="276" w:lineRule="auto"/>
        <w:ind w:right="-153"/>
        <w:rPr>
          <w:rFonts w:cs="Times New Roman"/>
          <w:color w:val="C00000"/>
        </w:rPr>
      </w:pPr>
      <w:bookmarkStart w:id="7" w:name="_Toc83391350"/>
      <w:r w:rsidRPr="00610B1B">
        <w:rPr>
          <w:rFonts w:cs="Times New Roman"/>
        </w:rPr>
        <w:lastRenderedPageBreak/>
        <w:t xml:space="preserve">1. </w:t>
      </w:r>
      <w:r w:rsidR="00B862CF" w:rsidRPr="00610B1B">
        <w:rPr>
          <w:rFonts w:cs="Times New Roman"/>
        </w:rPr>
        <w:t>ВЪВЕДЕНИЕ</w:t>
      </w:r>
      <w:bookmarkEnd w:id="7"/>
      <w:r w:rsidR="007815F4" w:rsidRPr="00610B1B">
        <w:rPr>
          <w:rFonts w:cs="Times New Roman"/>
        </w:rPr>
        <w:t xml:space="preserve"> </w:t>
      </w:r>
    </w:p>
    <w:p w14:paraId="3EC61B30" w14:textId="4CBDBA1F" w:rsidR="0001651D" w:rsidRPr="00610B1B" w:rsidRDefault="00D7030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Повишеният натиск върху морските пространства, свръхексплоатацията на морските ресурси, увеличаването на конфликтите между дейностите, осъществява</w:t>
      </w:r>
      <w:r w:rsidR="0001651D" w:rsidRPr="00610B1B">
        <w:rPr>
          <w:rFonts w:ascii="Times New Roman" w:hAnsi="Times New Roman" w:cs="Times New Roman"/>
          <w:sz w:val="24"/>
          <w:szCs w:val="24"/>
          <w:lang w:val="bg-BG"/>
        </w:rPr>
        <w:t>ни</w:t>
      </w:r>
      <w:r w:rsidRPr="00610B1B">
        <w:rPr>
          <w:rFonts w:ascii="Times New Roman" w:hAnsi="Times New Roman" w:cs="Times New Roman"/>
          <w:sz w:val="24"/>
          <w:szCs w:val="24"/>
          <w:lang w:val="bg-BG"/>
        </w:rPr>
        <w:t xml:space="preserve"> в морето, довели до влошаване на състоянието на морската околна среда и загуба на биоразнообразие налагат прилагането на интегрирана морска политика.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Допълнителен мотив</w:t>
      </w:r>
      <w:r w:rsidR="0001651D" w:rsidRPr="00610B1B">
        <w:rPr>
          <w:rFonts w:ascii="Times New Roman" w:hAnsi="Times New Roman" w:cs="Times New Roman"/>
          <w:sz w:val="24"/>
          <w:szCs w:val="24"/>
          <w:lang w:val="bg-BG"/>
        </w:rPr>
        <w:t xml:space="preserve"> за това </w:t>
      </w:r>
      <w:r w:rsidRPr="00610B1B">
        <w:rPr>
          <w:rFonts w:ascii="Times New Roman" w:hAnsi="Times New Roman" w:cs="Times New Roman"/>
          <w:sz w:val="24"/>
          <w:szCs w:val="24"/>
          <w:lang w:val="bg-BG"/>
        </w:rPr>
        <w:t xml:space="preserve">е засилената урбанизация на крайбрежните зони, заедно с всички последици от концентрацията на хора, дейности, съоръжения и инфраструктура. </w:t>
      </w:r>
      <w:r w:rsidR="00DE1E92" w:rsidRPr="00610B1B">
        <w:rPr>
          <w:rFonts w:ascii="Times New Roman" w:hAnsi="Times New Roman" w:cs="Times New Roman"/>
          <w:sz w:val="24"/>
          <w:szCs w:val="24"/>
          <w:lang w:val="bg-BG"/>
        </w:rPr>
        <w:t xml:space="preserve">По данни на Европейската агенция по околна среда </w:t>
      </w:r>
      <w:r w:rsidR="000F1A0C" w:rsidRPr="00610B1B">
        <w:rPr>
          <w:rFonts w:ascii="Times New Roman" w:hAnsi="Times New Roman" w:cs="Times New Roman"/>
          <w:sz w:val="24"/>
          <w:szCs w:val="24"/>
          <w:lang w:val="bg-BG"/>
        </w:rPr>
        <w:t xml:space="preserve">населението в зоната </w:t>
      </w:r>
      <w:r w:rsidR="00DE1E92" w:rsidRPr="00610B1B">
        <w:rPr>
          <w:rFonts w:ascii="Times New Roman" w:hAnsi="Times New Roman" w:cs="Times New Roman"/>
          <w:sz w:val="24"/>
          <w:szCs w:val="24"/>
          <w:lang w:val="bg-BG"/>
        </w:rPr>
        <w:t xml:space="preserve">до 50 km от брега е </w:t>
      </w:r>
      <w:r w:rsidR="00DB0FAB" w:rsidRPr="00610B1B">
        <w:rPr>
          <w:rFonts w:ascii="Times New Roman" w:hAnsi="Times New Roman" w:cs="Times New Roman"/>
          <w:sz w:val="24"/>
          <w:szCs w:val="24"/>
          <w:lang w:val="bg-BG"/>
        </w:rPr>
        <w:t>нараснало</w:t>
      </w:r>
      <w:r w:rsidR="00DE1E92" w:rsidRPr="00610B1B">
        <w:rPr>
          <w:rFonts w:ascii="Times New Roman" w:hAnsi="Times New Roman" w:cs="Times New Roman"/>
          <w:sz w:val="24"/>
          <w:szCs w:val="24"/>
          <w:lang w:val="bg-BG"/>
        </w:rPr>
        <w:t xml:space="preserve"> от 41% през 2011 г. на около 50% към 19 март 2019 г.</w:t>
      </w:r>
      <w:r w:rsidR="00DE1E92" w:rsidRPr="00610B1B">
        <w:rPr>
          <w:rStyle w:val="FootnoteReference"/>
          <w:rFonts w:ascii="Times New Roman" w:hAnsi="Times New Roman" w:cs="Times New Roman"/>
          <w:sz w:val="24"/>
          <w:szCs w:val="24"/>
          <w:lang w:val="bg-BG"/>
        </w:rPr>
        <w:footnoteReference w:id="5"/>
      </w:r>
      <w:r w:rsidR="00D66FE0" w:rsidRPr="00610B1B">
        <w:rPr>
          <w:rFonts w:ascii="Times New Roman" w:hAnsi="Times New Roman" w:cs="Times New Roman"/>
          <w:sz w:val="24"/>
          <w:szCs w:val="24"/>
          <w:lang w:val="bg-BG"/>
        </w:rPr>
        <w:t xml:space="preserve"> </w:t>
      </w:r>
    </w:p>
    <w:p w14:paraId="02708605" w14:textId="4CFFE941" w:rsidR="00494F47" w:rsidRPr="00610B1B" w:rsidRDefault="00494F47" w:rsidP="00D32D6A">
      <w:pPr>
        <w:spacing w:after="120"/>
        <w:ind w:right="-153"/>
        <w:jc w:val="both"/>
        <w:rPr>
          <w:rFonts w:ascii="Times New Roman" w:eastAsia="Arial Unicode MS" w:hAnsi="Times New Roman" w:cs="Times New Roman"/>
          <w:sz w:val="24"/>
          <w:szCs w:val="24"/>
          <w:lang w:val="bg-BG"/>
        </w:rPr>
      </w:pPr>
      <w:bookmarkStart w:id="8" w:name="_Hlk38386290"/>
      <w:r w:rsidRPr="00610B1B">
        <w:rPr>
          <w:rFonts w:ascii="Times New Roman" w:hAnsi="Times New Roman" w:cs="Times New Roman"/>
          <w:sz w:val="24"/>
          <w:szCs w:val="24"/>
          <w:lang w:val="bg-BG"/>
        </w:rPr>
        <w:t xml:space="preserve">Междуправителствената океанографска комисия към ЮНЕСКО определя </w:t>
      </w:r>
      <w:r w:rsidRPr="00610B1B">
        <w:rPr>
          <w:rFonts w:ascii="Times New Roman" w:eastAsia="Arial Unicode MS" w:hAnsi="Times New Roman" w:cs="Times New Roman"/>
          <w:bCs/>
          <w:sz w:val="24"/>
          <w:szCs w:val="24"/>
          <w:lang w:val="bg-BG"/>
        </w:rPr>
        <w:t>морското пространствено планиране</w:t>
      </w:r>
      <w:r w:rsidR="00D66FE0"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t>като</w:t>
      </w:r>
      <w:r w:rsidR="00D66FE0"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t>„публичен процес за анализ, пространствено и времево разпределени</w:t>
      </w:r>
      <w:r w:rsidR="0075098D" w:rsidRPr="00610B1B">
        <w:rPr>
          <w:rFonts w:ascii="Times New Roman" w:eastAsia="Arial Unicode MS" w:hAnsi="Times New Roman" w:cs="Times New Roman"/>
          <w:sz w:val="24"/>
          <w:szCs w:val="24"/>
          <w:lang w:val="bg-BG"/>
        </w:rPr>
        <w:t>е на човешките дейности в морски</w:t>
      </w:r>
      <w:r w:rsidRPr="00610B1B">
        <w:rPr>
          <w:rFonts w:ascii="Times New Roman" w:eastAsia="Arial Unicode MS" w:hAnsi="Times New Roman" w:cs="Times New Roman"/>
          <w:sz w:val="24"/>
          <w:szCs w:val="24"/>
          <w:lang w:val="bg-BG"/>
        </w:rPr>
        <w:t>т</w:t>
      </w:r>
      <w:r w:rsidR="0075098D" w:rsidRPr="00610B1B">
        <w:rPr>
          <w:rFonts w:ascii="Times New Roman" w:eastAsia="Arial Unicode MS" w:hAnsi="Times New Roman" w:cs="Times New Roman"/>
          <w:sz w:val="24"/>
          <w:szCs w:val="24"/>
          <w:lang w:val="bg-BG"/>
        </w:rPr>
        <w:t>е</w:t>
      </w:r>
      <w:r w:rsidRPr="00610B1B">
        <w:rPr>
          <w:rFonts w:ascii="Times New Roman" w:eastAsia="Arial Unicode MS" w:hAnsi="Times New Roman" w:cs="Times New Roman"/>
          <w:sz w:val="24"/>
          <w:szCs w:val="24"/>
          <w:lang w:val="bg-BG"/>
        </w:rPr>
        <w:t xml:space="preserve"> пространств</w:t>
      </w:r>
      <w:r w:rsidR="0075098D" w:rsidRPr="00610B1B">
        <w:rPr>
          <w:rFonts w:ascii="Times New Roman" w:eastAsia="Arial Unicode MS" w:hAnsi="Times New Roman" w:cs="Times New Roman"/>
          <w:sz w:val="24"/>
          <w:szCs w:val="24"/>
          <w:lang w:val="bg-BG"/>
        </w:rPr>
        <w:t>а</w:t>
      </w:r>
      <w:r w:rsidRPr="00610B1B">
        <w:rPr>
          <w:rFonts w:ascii="Times New Roman" w:eastAsia="Arial Unicode MS" w:hAnsi="Times New Roman" w:cs="Times New Roman"/>
          <w:sz w:val="24"/>
          <w:szCs w:val="24"/>
          <w:lang w:val="bg-BG"/>
        </w:rPr>
        <w:t xml:space="preserve"> за постигане на екологичните, икономическите и социалните цели на политическия дневен ред.“</w:t>
      </w:r>
      <w:r w:rsidRPr="00610B1B">
        <w:rPr>
          <w:rFonts w:ascii="Times New Roman" w:eastAsia="Arial Unicode MS" w:hAnsi="Times New Roman" w:cs="Times New Roman"/>
          <w:sz w:val="24"/>
          <w:szCs w:val="24"/>
          <w:vertAlign w:val="superscript"/>
          <w:lang w:val="bg-BG"/>
        </w:rPr>
        <w:footnoteReference w:id="6"/>
      </w:r>
      <w:r w:rsidRPr="00610B1B">
        <w:rPr>
          <w:rFonts w:ascii="Times New Roman" w:eastAsia="Arial Unicode MS" w:hAnsi="Times New Roman" w:cs="Times New Roman"/>
          <w:sz w:val="24"/>
          <w:szCs w:val="24"/>
          <w:lang w:val="bg-BG"/>
        </w:rPr>
        <w:t xml:space="preserve"> </w:t>
      </w:r>
    </w:p>
    <w:p w14:paraId="186DFAAC" w14:textId="747CE95B" w:rsidR="00494F47" w:rsidRPr="00610B1B" w:rsidRDefault="00725023" w:rsidP="00D32D6A">
      <w:pPr>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sz w:val="24"/>
          <w:szCs w:val="24"/>
          <w:lang w:val="bg-BG"/>
        </w:rPr>
        <w:t>Съгласно</w:t>
      </w:r>
      <w:r w:rsidR="00494F47" w:rsidRPr="00610B1B">
        <w:rPr>
          <w:rFonts w:ascii="Times New Roman" w:eastAsia="Arial Unicode MS" w:hAnsi="Times New Roman" w:cs="Times New Roman"/>
          <w:sz w:val="24"/>
          <w:szCs w:val="24"/>
          <w:lang w:val="bg-BG"/>
        </w:rPr>
        <w:t xml:space="preserve"> Интегрираната морска политика </w:t>
      </w:r>
      <w:r w:rsidRPr="00610B1B">
        <w:rPr>
          <w:rFonts w:ascii="Times New Roman" w:eastAsia="Arial Unicode MS" w:hAnsi="Times New Roman" w:cs="Times New Roman"/>
          <w:sz w:val="24"/>
          <w:szCs w:val="24"/>
          <w:lang w:val="bg-BG"/>
        </w:rPr>
        <w:t xml:space="preserve">на </w:t>
      </w:r>
      <w:r w:rsidR="00494F47" w:rsidRPr="00610B1B">
        <w:rPr>
          <w:rFonts w:ascii="Times New Roman" w:eastAsia="Arial Unicode MS" w:hAnsi="Times New Roman" w:cs="Times New Roman"/>
          <w:sz w:val="24"/>
          <w:szCs w:val="24"/>
          <w:lang w:val="bg-BG"/>
        </w:rPr>
        <w:t xml:space="preserve">Европейския съюз морското пространствено планиране </w:t>
      </w:r>
      <w:r w:rsidRPr="00610B1B">
        <w:rPr>
          <w:rFonts w:ascii="Times New Roman" w:eastAsia="Arial Unicode MS" w:hAnsi="Times New Roman" w:cs="Times New Roman"/>
          <w:sz w:val="24"/>
          <w:szCs w:val="24"/>
          <w:lang w:val="bg-BG"/>
        </w:rPr>
        <w:t>е</w:t>
      </w:r>
      <w:r w:rsidR="00494F47" w:rsidRPr="00610B1B">
        <w:rPr>
          <w:rFonts w:ascii="Times New Roman" w:eastAsia="Arial Unicode MS" w:hAnsi="Times New Roman" w:cs="Times New Roman"/>
          <w:sz w:val="24"/>
          <w:szCs w:val="24"/>
          <w:lang w:val="bg-BG"/>
        </w:rPr>
        <w:t xml:space="preserve"> „трансверсален политически инструмент, позволяващ на публичните органи и заинтересованите страни да прилагат координиран, интегриран и трансграничен подход“. Очаква се прилагането на екосистемен подход да допринесе „за насърчаване на устойчивото развитие и растеж на морските и крайбрежните икономики и за устойчивото използване на морските и крайбрежните ресурси“.</w:t>
      </w:r>
      <w:r w:rsidR="00494F47" w:rsidRPr="00610B1B">
        <w:rPr>
          <w:rFonts w:ascii="Times New Roman" w:eastAsia="Arial Unicode MS" w:hAnsi="Times New Roman" w:cs="Times New Roman"/>
          <w:sz w:val="24"/>
          <w:szCs w:val="24"/>
          <w:vertAlign w:val="superscript"/>
          <w:lang w:val="bg-BG"/>
        </w:rPr>
        <w:footnoteReference w:id="7"/>
      </w:r>
    </w:p>
    <w:p w14:paraId="119FD2EC" w14:textId="0A50A18E" w:rsidR="00761260" w:rsidRPr="00610B1B" w:rsidRDefault="00494F4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Разработването на Морския пространствен план на Република </w:t>
      </w:r>
      <w:r w:rsidR="00C002BA" w:rsidRPr="00610B1B">
        <w:rPr>
          <w:rFonts w:ascii="Times New Roman" w:hAnsi="Times New Roman" w:cs="Times New Roman"/>
          <w:sz w:val="24"/>
          <w:szCs w:val="24"/>
          <w:lang w:val="bg-BG"/>
        </w:rPr>
        <w:t xml:space="preserve">България 2021–2035 г. </w:t>
      </w:r>
      <w:r w:rsidRPr="00610B1B">
        <w:rPr>
          <w:rFonts w:ascii="Times New Roman" w:hAnsi="Times New Roman" w:cs="Times New Roman"/>
          <w:sz w:val="24"/>
          <w:szCs w:val="24"/>
          <w:lang w:val="bg-BG"/>
        </w:rPr>
        <w:t xml:space="preserve">отговаря на </w:t>
      </w:r>
      <w:r w:rsidR="00C002BA" w:rsidRPr="00610B1B">
        <w:rPr>
          <w:rFonts w:ascii="Times New Roman" w:hAnsi="Times New Roman" w:cs="Times New Roman"/>
          <w:sz w:val="24"/>
          <w:szCs w:val="24"/>
          <w:lang w:val="bg-BG"/>
        </w:rPr>
        <w:t>изискван</w:t>
      </w:r>
      <w:r w:rsidRPr="00610B1B">
        <w:rPr>
          <w:rFonts w:ascii="Times New Roman" w:hAnsi="Times New Roman" w:cs="Times New Roman"/>
          <w:sz w:val="24"/>
          <w:szCs w:val="24"/>
          <w:lang w:val="bg-BG"/>
        </w:rPr>
        <w:t>ето</w:t>
      </w:r>
      <w:r w:rsidR="00C002BA" w:rsidRPr="00610B1B">
        <w:rPr>
          <w:rFonts w:ascii="Times New Roman" w:hAnsi="Times New Roman" w:cs="Times New Roman"/>
          <w:sz w:val="24"/>
          <w:szCs w:val="24"/>
          <w:lang w:val="bg-BG"/>
        </w:rPr>
        <w:t xml:space="preserve"> на </w:t>
      </w:r>
      <w:r w:rsidR="006575D8" w:rsidRPr="00610B1B">
        <w:rPr>
          <w:rFonts w:ascii="Times New Roman" w:hAnsi="Times New Roman" w:cs="Times New Roman"/>
          <w:sz w:val="24"/>
          <w:szCs w:val="24"/>
          <w:lang w:val="bg-BG"/>
        </w:rPr>
        <w:t>Директива 2014/89/ЕС на Европейския Парламент и на Съвета, за установяване на рамка на пространствено морско планиране, всяка държава членка на ЕС да представи пред Европейската комисия одобрен план до края на м. март 20</w:t>
      </w:r>
      <w:r w:rsidRPr="00610B1B">
        <w:rPr>
          <w:rFonts w:ascii="Times New Roman" w:hAnsi="Times New Roman" w:cs="Times New Roman"/>
          <w:sz w:val="24"/>
          <w:szCs w:val="24"/>
          <w:lang w:val="bg-BG"/>
        </w:rPr>
        <w:t>21</w:t>
      </w:r>
      <w:r w:rsidR="006575D8" w:rsidRPr="00610B1B">
        <w:rPr>
          <w:rFonts w:ascii="Times New Roman" w:hAnsi="Times New Roman" w:cs="Times New Roman"/>
          <w:sz w:val="24"/>
          <w:szCs w:val="24"/>
          <w:lang w:val="bg-BG"/>
        </w:rPr>
        <w:t xml:space="preserve"> г.</w:t>
      </w:r>
      <w:r w:rsidR="00D66FE0" w:rsidRPr="00610B1B">
        <w:rPr>
          <w:rFonts w:ascii="Times New Roman" w:hAnsi="Times New Roman" w:cs="Times New Roman"/>
          <w:sz w:val="24"/>
          <w:szCs w:val="24"/>
          <w:lang w:val="bg-BG"/>
        </w:rPr>
        <w:t xml:space="preserve"> </w:t>
      </w:r>
    </w:p>
    <w:p w14:paraId="39F26A9C" w14:textId="77777777" w:rsidR="000E7C6A" w:rsidRPr="00610B1B" w:rsidRDefault="000E7C6A" w:rsidP="00D32D6A">
      <w:pPr>
        <w:spacing w:after="120"/>
        <w:ind w:right="-153"/>
        <w:jc w:val="both"/>
        <w:rPr>
          <w:rFonts w:ascii="Times New Roman" w:hAnsi="Times New Roman" w:cs="Times New Roman"/>
          <w:sz w:val="24"/>
          <w:szCs w:val="24"/>
          <w:lang w:val="bg-BG"/>
        </w:rPr>
      </w:pPr>
    </w:p>
    <w:p w14:paraId="3B6B6DF1" w14:textId="35938AFD" w:rsidR="00062DA1" w:rsidRPr="00610B1B" w:rsidRDefault="00725023" w:rsidP="00D32D6A">
      <w:pPr>
        <w:pStyle w:val="Heading2"/>
        <w:spacing w:before="0" w:line="276" w:lineRule="auto"/>
        <w:ind w:right="-153"/>
        <w:rPr>
          <w:rFonts w:cs="Times New Roman"/>
        </w:rPr>
      </w:pPr>
      <w:bookmarkStart w:id="9" w:name="_Toc83391351"/>
      <w:bookmarkEnd w:id="8"/>
      <w:r w:rsidRPr="00610B1B">
        <w:rPr>
          <w:rFonts w:cs="Times New Roman"/>
        </w:rPr>
        <w:t>1.1</w:t>
      </w:r>
      <w:r w:rsidR="001D3664" w:rsidRPr="00610B1B">
        <w:rPr>
          <w:rFonts w:cs="Times New Roman"/>
        </w:rPr>
        <w:t>.</w:t>
      </w:r>
      <w:r w:rsidR="000F1A0C" w:rsidRPr="00610B1B">
        <w:rPr>
          <w:rFonts w:cs="Times New Roman"/>
        </w:rPr>
        <w:t xml:space="preserve"> Обща рамка и връзка с други документи</w:t>
      </w:r>
      <w:bookmarkEnd w:id="9"/>
    </w:p>
    <w:p w14:paraId="6DAE0F97" w14:textId="350AF03A" w:rsidR="00F373EE" w:rsidRPr="00610B1B" w:rsidRDefault="001D3664" w:rsidP="00D32D6A">
      <w:pPr>
        <w:pStyle w:val="Heading3"/>
        <w:spacing w:before="0" w:line="276" w:lineRule="auto"/>
        <w:ind w:right="-153"/>
        <w:rPr>
          <w:rFonts w:cs="Times New Roman"/>
        </w:rPr>
      </w:pPr>
      <w:bookmarkStart w:id="10" w:name="_Toc83391352"/>
      <w:r w:rsidRPr="00610B1B">
        <w:rPr>
          <w:rFonts w:cs="Times New Roman"/>
        </w:rPr>
        <w:t>1.</w:t>
      </w:r>
      <w:r w:rsidR="00725023" w:rsidRPr="00610B1B">
        <w:rPr>
          <w:rFonts w:cs="Times New Roman"/>
        </w:rPr>
        <w:t>1</w:t>
      </w:r>
      <w:r w:rsidRPr="00610B1B">
        <w:rPr>
          <w:rFonts w:cs="Times New Roman"/>
        </w:rPr>
        <w:t xml:space="preserve">.1. </w:t>
      </w:r>
      <w:r w:rsidR="00F373EE" w:rsidRPr="00610B1B">
        <w:rPr>
          <w:rFonts w:cs="Times New Roman"/>
        </w:rPr>
        <w:t>Методологична рамка</w:t>
      </w:r>
      <w:bookmarkEnd w:id="10"/>
    </w:p>
    <w:p w14:paraId="30E2A921" w14:textId="499C6E81" w:rsidR="00F373EE" w:rsidRPr="00610B1B" w:rsidRDefault="00F373EE"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Методологичната рамка на Морския пространствен план на Република България се определя от системата от подходи</w:t>
      </w:r>
      <w:r w:rsidR="00C306D4" w:rsidRPr="00610B1B">
        <w:rPr>
          <w:rFonts w:ascii="Times New Roman" w:hAnsi="Times New Roman" w:cs="Times New Roman"/>
          <w:bCs/>
          <w:sz w:val="24"/>
          <w:szCs w:val="24"/>
          <w:lang w:val="bg-BG"/>
        </w:rPr>
        <w:t>, принципи</w:t>
      </w:r>
      <w:r w:rsidRPr="00610B1B">
        <w:rPr>
          <w:rFonts w:ascii="Times New Roman" w:hAnsi="Times New Roman" w:cs="Times New Roman"/>
          <w:bCs/>
          <w:sz w:val="24"/>
          <w:szCs w:val="24"/>
          <w:lang w:val="bg-BG"/>
        </w:rPr>
        <w:t xml:space="preserve"> и методи, прилагани в процеса на разработване, консултиране, одобряване</w:t>
      </w:r>
      <w:r w:rsidR="00725023"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наблюдение </w:t>
      </w:r>
      <w:r w:rsidR="00725023" w:rsidRPr="00610B1B">
        <w:rPr>
          <w:rFonts w:ascii="Times New Roman" w:hAnsi="Times New Roman" w:cs="Times New Roman"/>
          <w:bCs/>
          <w:sz w:val="24"/>
          <w:szCs w:val="24"/>
          <w:lang w:val="bg-BG"/>
        </w:rPr>
        <w:t xml:space="preserve">и </w:t>
      </w:r>
      <w:r w:rsidRPr="00610B1B">
        <w:rPr>
          <w:rFonts w:ascii="Times New Roman" w:hAnsi="Times New Roman" w:cs="Times New Roman"/>
          <w:bCs/>
          <w:sz w:val="24"/>
          <w:szCs w:val="24"/>
          <w:lang w:val="bg-BG"/>
        </w:rPr>
        <w:t>контрол върху прилагането на плана.</w:t>
      </w:r>
      <w:r w:rsidR="00D66FE0" w:rsidRPr="00610B1B">
        <w:rPr>
          <w:rFonts w:ascii="Times New Roman" w:hAnsi="Times New Roman" w:cs="Times New Roman"/>
          <w:bCs/>
          <w:sz w:val="24"/>
          <w:szCs w:val="24"/>
          <w:lang w:val="bg-BG"/>
        </w:rPr>
        <w:t xml:space="preserve"> </w:t>
      </w:r>
    </w:p>
    <w:p w14:paraId="3D53BC26" w14:textId="1A2D429D" w:rsidR="00A007D8" w:rsidRPr="00610B1B" w:rsidRDefault="00C306D4"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i/>
          <w:iCs/>
          <w:sz w:val="24"/>
          <w:szCs w:val="24"/>
          <w:lang w:val="bg-BG"/>
        </w:rPr>
        <w:t>Екосистемният подход</w:t>
      </w:r>
      <w:r w:rsidRPr="00610B1B">
        <w:rPr>
          <w:rFonts w:ascii="Times New Roman" w:hAnsi="Times New Roman" w:cs="Times New Roman"/>
          <w:bCs/>
          <w:sz w:val="24"/>
          <w:szCs w:val="24"/>
          <w:lang w:val="bg-BG"/>
        </w:rPr>
        <w:t xml:space="preserve"> е в основата на морското </w:t>
      </w:r>
      <w:r w:rsidR="009D7952" w:rsidRPr="00610B1B">
        <w:rPr>
          <w:rFonts w:ascii="Times New Roman" w:hAnsi="Times New Roman" w:cs="Times New Roman"/>
          <w:bCs/>
          <w:sz w:val="24"/>
          <w:szCs w:val="24"/>
          <w:lang w:val="bg-BG"/>
        </w:rPr>
        <w:t>пространствено</w:t>
      </w:r>
      <w:r w:rsidRPr="00610B1B">
        <w:rPr>
          <w:rFonts w:ascii="Times New Roman" w:hAnsi="Times New Roman" w:cs="Times New Roman"/>
          <w:bCs/>
          <w:sz w:val="24"/>
          <w:szCs w:val="24"/>
          <w:lang w:val="bg-BG"/>
        </w:rPr>
        <w:t xml:space="preserve"> планиране, тъй като то трябва да бъде съобразено със състоянието на морските екосистеми. </w:t>
      </w:r>
      <w:r w:rsidR="000F1A0C" w:rsidRPr="00610B1B">
        <w:rPr>
          <w:rFonts w:ascii="Times New Roman" w:hAnsi="Times New Roman" w:cs="Times New Roman"/>
          <w:bCs/>
          <w:sz w:val="24"/>
          <w:szCs w:val="24"/>
          <w:lang w:val="bg-BG"/>
        </w:rPr>
        <w:t>Подходът</w:t>
      </w:r>
      <w:r w:rsidR="00A007D8" w:rsidRPr="00610B1B">
        <w:rPr>
          <w:rFonts w:ascii="Times New Roman" w:hAnsi="Times New Roman" w:cs="Times New Roman"/>
          <w:bCs/>
          <w:sz w:val="24"/>
          <w:szCs w:val="24"/>
          <w:lang w:val="bg-BG"/>
        </w:rPr>
        <w:t xml:space="preserve"> се свързва с Конвенцията за биологичното разнообразие (1992 г.) и се тълкува като „стратегия за интегрирано управление на земята, водите и живите ресурси, която насърчава опазването </w:t>
      </w:r>
      <w:r w:rsidR="00A007D8" w:rsidRPr="00610B1B">
        <w:rPr>
          <w:rFonts w:ascii="Times New Roman" w:hAnsi="Times New Roman" w:cs="Times New Roman"/>
          <w:bCs/>
          <w:sz w:val="24"/>
          <w:szCs w:val="24"/>
          <w:lang w:val="bg-BG"/>
        </w:rPr>
        <w:lastRenderedPageBreak/>
        <w:t>и устойчивото използване по справедлив начин“.</w:t>
      </w:r>
      <w:r w:rsidR="00A007D8" w:rsidRPr="00610B1B">
        <w:rPr>
          <w:rStyle w:val="FootnoteReference"/>
          <w:rFonts w:ascii="Times New Roman" w:hAnsi="Times New Roman" w:cs="Times New Roman"/>
          <w:bCs/>
          <w:sz w:val="24"/>
          <w:szCs w:val="24"/>
          <w:lang w:val="bg-BG"/>
        </w:rPr>
        <w:footnoteReference w:id="8"/>
      </w:r>
      <w:r w:rsidR="00A007D8" w:rsidRPr="00610B1B">
        <w:rPr>
          <w:rFonts w:ascii="Times New Roman" w:hAnsi="Times New Roman" w:cs="Times New Roman"/>
          <w:bCs/>
          <w:sz w:val="24"/>
          <w:szCs w:val="24"/>
          <w:lang w:val="bg-BG"/>
        </w:rPr>
        <w:t xml:space="preserve"> </w:t>
      </w:r>
      <w:r w:rsidR="00453CE0" w:rsidRPr="00610B1B">
        <w:rPr>
          <w:rFonts w:ascii="Times New Roman" w:eastAsia="Calibri" w:hAnsi="Times New Roman" w:cs="Times New Roman"/>
          <w:bCs/>
          <w:sz w:val="24"/>
          <w:szCs w:val="24"/>
          <w:lang w:val="bg-BG"/>
        </w:rPr>
        <w:t xml:space="preserve">Управлението </w:t>
      </w:r>
      <w:r w:rsidR="00A007D8" w:rsidRPr="00610B1B">
        <w:rPr>
          <w:rFonts w:ascii="Times New Roman" w:eastAsia="Calibri" w:hAnsi="Times New Roman" w:cs="Times New Roman"/>
          <w:bCs/>
          <w:sz w:val="24"/>
          <w:szCs w:val="24"/>
          <w:lang w:val="bg-BG"/>
        </w:rPr>
        <w:t>на</w:t>
      </w:r>
      <w:r w:rsidR="00D66FE0" w:rsidRPr="00610B1B">
        <w:rPr>
          <w:rFonts w:ascii="Times New Roman" w:eastAsia="Calibri" w:hAnsi="Times New Roman" w:cs="Times New Roman"/>
          <w:bCs/>
          <w:sz w:val="24"/>
          <w:szCs w:val="24"/>
          <w:lang w:val="bg-BG"/>
        </w:rPr>
        <w:t xml:space="preserve"> </w:t>
      </w:r>
      <w:r w:rsidR="00A007D8" w:rsidRPr="00610B1B">
        <w:rPr>
          <w:rFonts w:ascii="Times New Roman" w:eastAsia="Calibri" w:hAnsi="Times New Roman" w:cs="Times New Roman"/>
          <w:bCs/>
          <w:sz w:val="24"/>
          <w:szCs w:val="24"/>
          <w:lang w:val="bg-BG"/>
        </w:rPr>
        <w:t xml:space="preserve">човешките дейности на базата на екосистемния подход гарантира запазване на натиска от </w:t>
      </w:r>
      <w:r w:rsidR="00453CE0" w:rsidRPr="00610B1B">
        <w:rPr>
          <w:rFonts w:ascii="Times New Roman" w:eastAsia="Calibri" w:hAnsi="Times New Roman" w:cs="Times New Roman"/>
          <w:bCs/>
          <w:sz w:val="24"/>
          <w:szCs w:val="24"/>
          <w:lang w:val="bg-BG"/>
        </w:rPr>
        <w:t xml:space="preserve">тези </w:t>
      </w:r>
      <w:r w:rsidR="00A007D8" w:rsidRPr="00610B1B">
        <w:rPr>
          <w:rFonts w:ascii="Times New Roman" w:eastAsia="Calibri" w:hAnsi="Times New Roman" w:cs="Times New Roman"/>
          <w:bCs/>
          <w:sz w:val="24"/>
          <w:szCs w:val="24"/>
          <w:lang w:val="bg-BG"/>
        </w:rPr>
        <w:t>дейност</w:t>
      </w:r>
      <w:r w:rsidR="00453CE0" w:rsidRPr="00610B1B">
        <w:rPr>
          <w:rFonts w:ascii="Times New Roman" w:eastAsia="Calibri" w:hAnsi="Times New Roman" w:cs="Times New Roman"/>
          <w:bCs/>
          <w:sz w:val="24"/>
          <w:szCs w:val="24"/>
          <w:lang w:val="bg-BG"/>
        </w:rPr>
        <w:t>и</w:t>
      </w:r>
      <w:r w:rsidR="00A007D8" w:rsidRPr="00610B1B">
        <w:rPr>
          <w:rFonts w:ascii="Times New Roman" w:eastAsia="Calibri" w:hAnsi="Times New Roman" w:cs="Times New Roman"/>
          <w:bCs/>
          <w:sz w:val="24"/>
          <w:szCs w:val="24"/>
          <w:lang w:val="bg-BG"/>
        </w:rPr>
        <w:t xml:space="preserve"> в „граници</w:t>
      </w:r>
      <w:r w:rsidR="00453CE0" w:rsidRPr="00610B1B">
        <w:rPr>
          <w:rFonts w:ascii="Times New Roman" w:eastAsia="Calibri" w:hAnsi="Times New Roman" w:cs="Times New Roman"/>
          <w:bCs/>
          <w:sz w:val="24"/>
          <w:szCs w:val="24"/>
          <w:lang w:val="bg-BG"/>
        </w:rPr>
        <w:t>те</w:t>
      </w:r>
      <w:r w:rsidR="00A007D8" w:rsidRPr="00610B1B">
        <w:rPr>
          <w:rFonts w:ascii="Times New Roman" w:eastAsia="Calibri" w:hAnsi="Times New Roman" w:cs="Times New Roman"/>
          <w:bCs/>
          <w:sz w:val="24"/>
          <w:szCs w:val="24"/>
          <w:lang w:val="bg-BG"/>
        </w:rPr>
        <w:t xml:space="preserve">, съвместими с постигането на добро състояние на околната среда“, </w:t>
      </w:r>
      <w:r w:rsidR="00453CE0" w:rsidRPr="00610B1B">
        <w:rPr>
          <w:rFonts w:ascii="Times New Roman" w:eastAsia="Calibri" w:hAnsi="Times New Roman" w:cs="Times New Roman"/>
          <w:bCs/>
          <w:sz w:val="24"/>
          <w:szCs w:val="24"/>
          <w:lang w:val="bg-BG"/>
        </w:rPr>
        <w:t xml:space="preserve">не </w:t>
      </w:r>
      <w:r w:rsidR="00A007D8" w:rsidRPr="00610B1B">
        <w:rPr>
          <w:rFonts w:ascii="Times New Roman" w:eastAsia="Calibri" w:hAnsi="Times New Roman" w:cs="Times New Roman"/>
          <w:bCs/>
          <w:sz w:val="24"/>
          <w:szCs w:val="24"/>
          <w:lang w:val="bg-BG"/>
        </w:rPr>
        <w:t>застрашава способността на морските екосистеми да се справят с промени</w:t>
      </w:r>
      <w:r w:rsidR="00453CE0" w:rsidRPr="00610B1B">
        <w:rPr>
          <w:rFonts w:ascii="Times New Roman" w:eastAsia="Calibri" w:hAnsi="Times New Roman" w:cs="Times New Roman"/>
          <w:bCs/>
          <w:sz w:val="24"/>
          <w:szCs w:val="24"/>
          <w:lang w:val="bg-BG"/>
        </w:rPr>
        <w:t>те</w:t>
      </w:r>
      <w:r w:rsidR="00A007D8" w:rsidRPr="00610B1B">
        <w:rPr>
          <w:rFonts w:ascii="Times New Roman" w:eastAsia="Calibri" w:hAnsi="Times New Roman" w:cs="Times New Roman"/>
          <w:bCs/>
          <w:sz w:val="24"/>
          <w:szCs w:val="24"/>
          <w:lang w:val="bg-BG"/>
        </w:rPr>
        <w:t xml:space="preserve">, </w:t>
      </w:r>
      <w:r w:rsidR="00453CE0" w:rsidRPr="00610B1B">
        <w:rPr>
          <w:rFonts w:ascii="Times New Roman" w:eastAsia="Calibri" w:hAnsi="Times New Roman" w:cs="Times New Roman"/>
          <w:bCs/>
          <w:sz w:val="24"/>
          <w:szCs w:val="24"/>
          <w:lang w:val="bg-BG"/>
        </w:rPr>
        <w:t>и</w:t>
      </w:r>
      <w:r w:rsidR="00A007D8" w:rsidRPr="00610B1B">
        <w:rPr>
          <w:rFonts w:ascii="Times New Roman" w:eastAsia="Calibri" w:hAnsi="Times New Roman" w:cs="Times New Roman"/>
          <w:bCs/>
          <w:sz w:val="24"/>
          <w:szCs w:val="24"/>
          <w:lang w:val="bg-BG"/>
        </w:rPr>
        <w:t xml:space="preserve"> гарантира устойчиво използване на морските продукти и услуги от сегашното и от бъдещите поколения“</w:t>
      </w:r>
      <w:r w:rsidR="00A007D8" w:rsidRPr="00610B1B">
        <w:rPr>
          <w:rFonts w:ascii="Times New Roman" w:eastAsia="Calibri" w:hAnsi="Times New Roman" w:cs="Times New Roman"/>
          <w:bCs/>
          <w:sz w:val="24"/>
          <w:szCs w:val="24"/>
          <w:vertAlign w:val="superscript"/>
          <w:lang w:val="bg-BG"/>
        </w:rPr>
        <w:footnoteReference w:id="9"/>
      </w:r>
      <w:r w:rsidR="00A007D8" w:rsidRPr="00610B1B">
        <w:rPr>
          <w:rFonts w:ascii="Times New Roman" w:eastAsia="Calibri" w:hAnsi="Times New Roman" w:cs="Times New Roman"/>
          <w:bCs/>
          <w:sz w:val="24"/>
          <w:szCs w:val="24"/>
          <w:lang w:val="bg-BG"/>
        </w:rPr>
        <w:t>.</w:t>
      </w:r>
    </w:p>
    <w:p w14:paraId="5065C1B0" w14:textId="7CFD50F0" w:rsidR="00A007D8" w:rsidRPr="00610B1B" w:rsidRDefault="00A007D8"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
          <w:i/>
          <w:iCs/>
          <w:sz w:val="24"/>
          <w:szCs w:val="24"/>
          <w:lang w:val="bg-BG"/>
        </w:rPr>
        <w:t>Интегрираният подход</w:t>
      </w:r>
      <w:r w:rsidRPr="00610B1B">
        <w:rPr>
          <w:rFonts w:ascii="Times New Roman" w:eastAsia="Calibri" w:hAnsi="Times New Roman" w:cs="Times New Roman"/>
          <w:bCs/>
          <w:sz w:val="24"/>
          <w:szCs w:val="24"/>
          <w:lang w:val="bg-BG"/>
        </w:rPr>
        <w:t>, заедно с холистичния, обединя</w:t>
      </w:r>
      <w:r w:rsidR="00453CE0" w:rsidRPr="00610B1B">
        <w:rPr>
          <w:rFonts w:ascii="Times New Roman" w:eastAsia="Calibri" w:hAnsi="Times New Roman" w:cs="Times New Roman"/>
          <w:bCs/>
          <w:sz w:val="24"/>
          <w:szCs w:val="24"/>
          <w:lang w:val="bg-BG"/>
        </w:rPr>
        <w:t>ва</w:t>
      </w:r>
      <w:r w:rsidRPr="00610B1B">
        <w:rPr>
          <w:rFonts w:ascii="Times New Roman" w:eastAsia="Calibri" w:hAnsi="Times New Roman" w:cs="Times New Roman"/>
          <w:bCs/>
          <w:sz w:val="24"/>
          <w:szCs w:val="24"/>
          <w:lang w:val="bg-BG"/>
        </w:rPr>
        <w:t xml:space="preserve">т участниците в процеса на морското пространствено планиране – от една страна участниците в разработването и прилагането на политиките за морските пространства, а от друга, всички останали заинтересовани страни, представители на местните власти, </w:t>
      </w:r>
      <w:r w:rsidR="009D7952" w:rsidRPr="00610B1B">
        <w:rPr>
          <w:rFonts w:ascii="Times New Roman" w:eastAsia="Calibri" w:hAnsi="Times New Roman" w:cs="Times New Roman"/>
          <w:bCs/>
          <w:sz w:val="24"/>
          <w:szCs w:val="24"/>
          <w:lang w:val="bg-BG"/>
        </w:rPr>
        <w:t>бизнеса</w:t>
      </w:r>
      <w:r w:rsidRPr="00610B1B">
        <w:rPr>
          <w:rFonts w:ascii="Times New Roman" w:eastAsia="Calibri" w:hAnsi="Times New Roman" w:cs="Times New Roman"/>
          <w:bCs/>
          <w:sz w:val="24"/>
          <w:szCs w:val="24"/>
          <w:lang w:val="bg-BG"/>
        </w:rPr>
        <w:t xml:space="preserve"> и общностите. </w:t>
      </w:r>
      <w:r w:rsidR="00A21981" w:rsidRPr="00610B1B">
        <w:rPr>
          <w:rFonts w:ascii="Times New Roman" w:eastAsia="Calibri" w:hAnsi="Times New Roman" w:cs="Times New Roman"/>
          <w:bCs/>
          <w:sz w:val="24"/>
          <w:szCs w:val="24"/>
          <w:lang w:val="bg-BG"/>
        </w:rPr>
        <w:t>Подобно на териториалното, м</w:t>
      </w:r>
      <w:r w:rsidRPr="00610B1B">
        <w:rPr>
          <w:rFonts w:ascii="Times New Roman" w:eastAsia="Calibri" w:hAnsi="Times New Roman" w:cs="Times New Roman"/>
          <w:bCs/>
          <w:sz w:val="24"/>
          <w:szCs w:val="24"/>
          <w:lang w:val="bg-BG"/>
        </w:rPr>
        <w:t>орското пространствено планиране интегрира секторни</w:t>
      </w:r>
      <w:r w:rsidR="00A21981" w:rsidRPr="00610B1B">
        <w:rPr>
          <w:rFonts w:ascii="Times New Roman" w:eastAsia="Calibri" w:hAnsi="Times New Roman" w:cs="Times New Roman"/>
          <w:bCs/>
          <w:sz w:val="24"/>
          <w:szCs w:val="24"/>
          <w:lang w:val="bg-BG"/>
        </w:rPr>
        <w:t>те</w:t>
      </w:r>
      <w:r w:rsidRPr="00610B1B">
        <w:rPr>
          <w:rFonts w:ascii="Times New Roman" w:eastAsia="Calibri" w:hAnsi="Times New Roman" w:cs="Times New Roman"/>
          <w:bCs/>
          <w:sz w:val="24"/>
          <w:szCs w:val="24"/>
          <w:lang w:val="bg-BG"/>
        </w:rPr>
        <w:t xml:space="preserve"> политики и техните </w:t>
      </w:r>
      <w:r w:rsidR="00453CE0" w:rsidRPr="00610B1B">
        <w:rPr>
          <w:rFonts w:ascii="Times New Roman" w:eastAsia="Calibri" w:hAnsi="Times New Roman" w:cs="Times New Roman"/>
          <w:bCs/>
          <w:sz w:val="24"/>
          <w:szCs w:val="24"/>
          <w:lang w:val="bg-BG"/>
        </w:rPr>
        <w:t xml:space="preserve">пространствени </w:t>
      </w:r>
      <w:r w:rsidRPr="00610B1B">
        <w:rPr>
          <w:rFonts w:ascii="Times New Roman" w:eastAsia="Calibri" w:hAnsi="Times New Roman" w:cs="Times New Roman"/>
          <w:bCs/>
          <w:sz w:val="24"/>
          <w:szCs w:val="24"/>
          <w:lang w:val="bg-BG"/>
        </w:rPr>
        <w:t>измерения, създава платформа за коопериране и координиране на секторните приоритети и действия за постиг</w:t>
      </w:r>
      <w:r w:rsidR="00453CE0" w:rsidRPr="00610B1B">
        <w:rPr>
          <w:rFonts w:ascii="Times New Roman" w:eastAsia="Calibri" w:hAnsi="Times New Roman" w:cs="Times New Roman"/>
          <w:bCs/>
          <w:sz w:val="24"/>
          <w:szCs w:val="24"/>
          <w:lang w:val="bg-BG"/>
        </w:rPr>
        <w:t>а</w:t>
      </w:r>
      <w:r w:rsidRPr="00610B1B">
        <w:rPr>
          <w:rFonts w:ascii="Times New Roman" w:eastAsia="Calibri" w:hAnsi="Times New Roman" w:cs="Times New Roman"/>
          <w:bCs/>
          <w:sz w:val="24"/>
          <w:szCs w:val="24"/>
          <w:lang w:val="bg-BG"/>
        </w:rPr>
        <w:t xml:space="preserve">не </w:t>
      </w:r>
      <w:r w:rsidR="00453CE0" w:rsidRPr="00610B1B">
        <w:rPr>
          <w:rFonts w:ascii="Times New Roman" w:eastAsia="Calibri" w:hAnsi="Times New Roman" w:cs="Times New Roman"/>
          <w:bCs/>
          <w:sz w:val="24"/>
          <w:szCs w:val="24"/>
          <w:lang w:val="bg-BG"/>
        </w:rPr>
        <w:t xml:space="preserve">на </w:t>
      </w:r>
      <w:r w:rsidRPr="00610B1B">
        <w:rPr>
          <w:rFonts w:ascii="Times New Roman" w:eastAsia="Calibri" w:hAnsi="Times New Roman" w:cs="Times New Roman"/>
          <w:bCs/>
          <w:sz w:val="24"/>
          <w:szCs w:val="24"/>
          <w:lang w:val="bg-BG"/>
        </w:rPr>
        <w:t>по-значителен синергичен ефект. Интегрираният подход подобр</w:t>
      </w:r>
      <w:r w:rsidR="00A21981" w:rsidRPr="00610B1B">
        <w:rPr>
          <w:rFonts w:ascii="Times New Roman" w:eastAsia="Calibri" w:hAnsi="Times New Roman" w:cs="Times New Roman"/>
          <w:bCs/>
          <w:sz w:val="24"/>
          <w:szCs w:val="24"/>
          <w:lang w:val="bg-BG"/>
        </w:rPr>
        <w:t xml:space="preserve">ява </w:t>
      </w:r>
      <w:r w:rsidRPr="00610B1B">
        <w:rPr>
          <w:rFonts w:ascii="Times New Roman" w:eastAsia="Calibri" w:hAnsi="Times New Roman" w:cs="Times New Roman"/>
          <w:bCs/>
          <w:sz w:val="24"/>
          <w:szCs w:val="24"/>
          <w:lang w:val="bg-BG"/>
        </w:rPr>
        <w:t>взаимодействието между морето и земята и намал</w:t>
      </w:r>
      <w:r w:rsidR="00A21981" w:rsidRPr="00610B1B">
        <w:rPr>
          <w:rFonts w:ascii="Times New Roman" w:eastAsia="Calibri" w:hAnsi="Times New Roman" w:cs="Times New Roman"/>
          <w:bCs/>
          <w:sz w:val="24"/>
          <w:szCs w:val="24"/>
          <w:lang w:val="bg-BG"/>
        </w:rPr>
        <w:t>ява</w:t>
      </w:r>
      <w:r w:rsidRPr="00610B1B">
        <w:rPr>
          <w:rFonts w:ascii="Times New Roman" w:eastAsia="Calibri" w:hAnsi="Times New Roman" w:cs="Times New Roman"/>
          <w:bCs/>
          <w:sz w:val="24"/>
          <w:szCs w:val="24"/>
          <w:lang w:val="bg-BG"/>
        </w:rPr>
        <w:t xml:space="preserve"> конфликтите между различните ползвания на морските ресурси и пространства. </w:t>
      </w:r>
    </w:p>
    <w:p w14:paraId="0C837C77" w14:textId="44459A30" w:rsidR="00A007D8" w:rsidRPr="00610B1B" w:rsidRDefault="00A007D8"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
          <w:i/>
          <w:iCs/>
          <w:sz w:val="24"/>
          <w:szCs w:val="24"/>
          <w:lang w:val="bg-BG"/>
        </w:rPr>
        <w:t>Трансграничният подход</w:t>
      </w:r>
      <w:r w:rsidRPr="00610B1B">
        <w:rPr>
          <w:rFonts w:ascii="Times New Roman" w:eastAsia="Calibri" w:hAnsi="Times New Roman" w:cs="Times New Roman"/>
          <w:bCs/>
          <w:sz w:val="24"/>
          <w:szCs w:val="24"/>
          <w:lang w:val="bg-BG"/>
        </w:rPr>
        <w:t xml:space="preserve"> обедин</w:t>
      </w:r>
      <w:r w:rsidR="00A21981" w:rsidRPr="00610B1B">
        <w:rPr>
          <w:rFonts w:ascii="Times New Roman" w:eastAsia="Calibri" w:hAnsi="Times New Roman" w:cs="Times New Roman"/>
          <w:bCs/>
          <w:sz w:val="24"/>
          <w:szCs w:val="24"/>
          <w:lang w:val="bg-BG"/>
        </w:rPr>
        <w:t>ява</w:t>
      </w:r>
      <w:r w:rsidRPr="00610B1B">
        <w:rPr>
          <w:rFonts w:ascii="Times New Roman" w:eastAsia="Calibri" w:hAnsi="Times New Roman" w:cs="Times New Roman"/>
          <w:bCs/>
          <w:sz w:val="24"/>
          <w:szCs w:val="24"/>
          <w:lang w:val="bg-BG"/>
        </w:rPr>
        <w:t xml:space="preserve"> усилията на държавите в Черноморския </w:t>
      </w:r>
      <w:r w:rsidR="00601122" w:rsidRPr="00610B1B">
        <w:rPr>
          <w:rFonts w:ascii="Times New Roman" w:eastAsia="Calibri" w:hAnsi="Times New Roman" w:cs="Times New Roman"/>
          <w:bCs/>
          <w:sz w:val="24"/>
          <w:szCs w:val="24"/>
          <w:lang w:val="bg-BG"/>
        </w:rPr>
        <w:t>регион</w:t>
      </w:r>
      <w:r w:rsidRPr="00610B1B">
        <w:rPr>
          <w:rFonts w:ascii="Times New Roman" w:eastAsia="Calibri" w:hAnsi="Times New Roman" w:cs="Times New Roman"/>
          <w:bCs/>
          <w:sz w:val="24"/>
          <w:szCs w:val="24"/>
          <w:lang w:val="bg-BG"/>
        </w:rPr>
        <w:t xml:space="preserve"> и най-вече на тези, които имат споделени морски граници</w:t>
      </w:r>
      <w:r w:rsidR="00654188" w:rsidRPr="00610B1B">
        <w:rPr>
          <w:rFonts w:ascii="Times New Roman" w:eastAsia="Calibri" w:hAnsi="Times New Roman" w:cs="Times New Roman"/>
          <w:bCs/>
          <w:sz w:val="24"/>
          <w:szCs w:val="24"/>
          <w:lang w:val="bg-BG"/>
        </w:rPr>
        <w:t>,</w:t>
      </w:r>
      <w:r w:rsidRPr="00610B1B">
        <w:rPr>
          <w:rFonts w:ascii="Times New Roman" w:eastAsia="Calibri" w:hAnsi="Times New Roman" w:cs="Times New Roman"/>
          <w:bCs/>
          <w:sz w:val="24"/>
          <w:szCs w:val="24"/>
          <w:lang w:val="bg-BG"/>
        </w:rPr>
        <w:t xml:space="preserve"> в опазване на морската среда и ресурси, на биологичното разнообразие и потенциала за съвм</w:t>
      </w:r>
      <w:r w:rsidR="00601122" w:rsidRPr="00610B1B">
        <w:rPr>
          <w:rFonts w:ascii="Times New Roman" w:eastAsia="Calibri" w:hAnsi="Times New Roman" w:cs="Times New Roman"/>
          <w:bCs/>
          <w:sz w:val="24"/>
          <w:szCs w:val="24"/>
          <w:lang w:val="bg-BG"/>
        </w:rPr>
        <w:t>естяване на разнообразната човеш</w:t>
      </w:r>
      <w:r w:rsidRPr="00610B1B">
        <w:rPr>
          <w:rFonts w:ascii="Times New Roman" w:eastAsia="Calibri" w:hAnsi="Times New Roman" w:cs="Times New Roman"/>
          <w:bCs/>
          <w:sz w:val="24"/>
          <w:szCs w:val="24"/>
          <w:lang w:val="bg-BG"/>
        </w:rPr>
        <w:t xml:space="preserve">ка дейност. </w:t>
      </w:r>
      <w:r w:rsidR="00654188" w:rsidRPr="00610B1B">
        <w:rPr>
          <w:rFonts w:ascii="Times New Roman" w:eastAsia="Calibri" w:hAnsi="Times New Roman" w:cs="Times New Roman"/>
          <w:bCs/>
          <w:sz w:val="24"/>
          <w:szCs w:val="24"/>
          <w:lang w:val="bg-BG"/>
        </w:rPr>
        <w:t>Той</w:t>
      </w:r>
      <w:r w:rsidRPr="00610B1B">
        <w:rPr>
          <w:rFonts w:ascii="Times New Roman" w:eastAsia="Calibri" w:hAnsi="Times New Roman" w:cs="Times New Roman"/>
          <w:bCs/>
          <w:sz w:val="24"/>
          <w:szCs w:val="24"/>
          <w:lang w:val="bg-BG"/>
        </w:rPr>
        <w:t xml:space="preserve"> се прилага на всички етапи и равнища чрез подходящо избрани общи методи и обмен на информация, формулиране на обща визия и споделени принципи, цели и индикатори за мониторинг и оценка.</w:t>
      </w:r>
      <w:r w:rsidR="00DF5070" w:rsidRPr="00610B1B">
        <w:rPr>
          <w:rFonts w:ascii="Times New Roman" w:eastAsia="Calibri" w:hAnsi="Times New Roman" w:cs="Times New Roman"/>
          <w:bCs/>
          <w:sz w:val="24"/>
          <w:szCs w:val="24"/>
          <w:lang w:val="bg-BG"/>
        </w:rPr>
        <w:t xml:space="preserve"> </w:t>
      </w:r>
      <w:r w:rsidR="00654188" w:rsidRPr="00610B1B">
        <w:rPr>
          <w:rFonts w:ascii="Times New Roman" w:eastAsia="Calibri" w:hAnsi="Times New Roman" w:cs="Times New Roman"/>
          <w:bCs/>
          <w:sz w:val="24"/>
          <w:szCs w:val="24"/>
          <w:lang w:val="bg-BG"/>
        </w:rPr>
        <w:t xml:space="preserve">Подходът </w:t>
      </w:r>
      <w:r w:rsidR="00DF5070" w:rsidRPr="00610B1B">
        <w:rPr>
          <w:rFonts w:ascii="Times New Roman" w:eastAsia="Calibri" w:hAnsi="Times New Roman" w:cs="Times New Roman"/>
          <w:bCs/>
          <w:sz w:val="24"/>
          <w:szCs w:val="24"/>
          <w:lang w:val="bg-BG"/>
        </w:rPr>
        <w:t>повишава капацитета за съвместни научни изследвания.</w:t>
      </w:r>
      <w:r w:rsidRPr="00610B1B">
        <w:rPr>
          <w:rFonts w:ascii="Times New Roman" w:eastAsia="Calibri" w:hAnsi="Times New Roman" w:cs="Times New Roman"/>
          <w:bCs/>
          <w:sz w:val="24"/>
          <w:szCs w:val="24"/>
          <w:lang w:val="bg-BG"/>
        </w:rPr>
        <w:t xml:space="preserve"> </w:t>
      </w:r>
    </w:p>
    <w:p w14:paraId="2E4FC146" w14:textId="50C447C3" w:rsidR="00B6024B" w:rsidRPr="00610B1B" w:rsidRDefault="00601122" w:rsidP="00D32D6A">
      <w:pPr>
        <w:tabs>
          <w:tab w:val="left" w:pos="4230"/>
        </w:tabs>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Основните принципи, изведени от съществуващата практика в морското пространствено планиране в</w:t>
      </w:r>
      <w:r w:rsidR="00B6024B" w:rsidRPr="00610B1B">
        <w:rPr>
          <w:rFonts w:ascii="Times New Roman" w:hAnsi="Times New Roman" w:cs="Times New Roman"/>
          <w:bCs/>
          <w:sz w:val="24"/>
          <w:szCs w:val="24"/>
          <w:lang w:val="bg-BG"/>
        </w:rPr>
        <w:t xml:space="preserve"> Съобщението на Европейската комисия </w:t>
      </w:r>
      <w:r w:rsidR="00F55A23" w:rsidRPr="00610B1B">
        <w:rPr>
          <w:rFonts w:ascii="Times New Roman" w:hAnsi="Times New Roman" w:cs="Times New Roman"/>
          <w:bCs/>
          <w:sz w:val="24"/>
          <w:szCs w:val="24"/>
          <w:lang w:val="bg-BG"/>
        </w:rPr>
        <w:t>„Пътна карта за морско пространствено планиране: за постигане на общи принципи в ЕС“</w:t>
      </w:r>
      <w:r w:rsidR="00F55A23" w:rsidRPr="00610B1B">
        <w:rPr>
          <w:rStyle w:val="FootnoteReference"/>
          <w:rFonts w:ascii="Times New Roman" w:hAnsi="Times New Roman" w:cs="Times New Roman"/>
          <w:bCs/>
          <w:sz w:val="24"/>
          <w:szCs w:val="24"/>
          <w:lang w:val="bg-BG"/>
        </w:rPr>
        <w:footnoteReference w:id="10"/>
      </w:r>
      <w:r w:rsidR="00F55A23" w:rsidRPr="00610B1B">
        <w:rPr>
          <w:rFonts w:ascii="Times New Roman" w:hAnsi="Times New Roman" w:cs="Times New Roman"/>
          <w:bCs/>
          <w:sz w:val="24"/>
          <w:szCs w:val="24"/>
          <w:lang w:val="bg-BG"/>
        </w:rPr>
        <w:t xml:space="preserve"> от 2008 г. </w:t>
      </w:r>
      <w:r w:rsidRPr="00610B1B">
        <w:rPr>
          <w:rFonts w:ascii="Times New Roman" w:hAnsi="Times New Roman" w:cs="Times New Roman"/>
          <w:bCs/>
          <w:sz w:val="24"/>
          <w:szCs w:val="24"/>
          <w:lang w:val="bg-BG"/>
        </w:rPr>
        <w:t xml:space="preserve">са </w:t>
      </w:r>
      <w:r w:rsidR="00755752" w:rsidRPr="00610B1B">
        <w:rPr>
          <w:rFonts w:ascii="Times New Roman" w:hAnsi="Times New Roman" w:cs="Times New Roman"/>
          <w:bCs/>
          <w:sz w:val="24"/>
          <w:szCs w:val="24"/>
          <w:lang w:val="bg-BG"/>
        </w:rPr>
        <w:t xml:space="preserve">интерпретирани </w:t>
      </w:r>
      <w:r w:rsidR="00D65324" w:rsidRPr="00610B1B">
        <w:rPr>
          <w:rFonts w:ascii="Times New Roman" w:hAnsi="Times New Roman" w:cs="Times New Roman"/>
          <w:bCs/>
          <w:sz w:val="24"/>
          <w:szCs w:val="24"/>
          <w:lang w:val="bg-BG"/>
        </w:rPr>
        <w:t>както следва</w:t>
      </w:r>
      <w:r w:rsidR="00755752" w:rsidRPr="00610B1B">
        <w:rPr>
          <w:rFonts w:ascii="Times New Roman" w:hAnsi="Times New Roman" w:cs="Times New Roman"/>
          <w:bCs/>
          <w:sz w:val="24"/>
          <w:szCs w:val="24"/>
          <w:lang w:val="bg-BG"/>
        </w:rPr>
        <w:t>:</w:t>
      </w:r>
    </w:p>
    <w:p w14:paraId="2698727D" w14:textId="0F337FBA" w:rsidR="00755752" w:rsidRPr="00610B1B" w:rsidRDefault="000212A3" w:rsidP="00B46189">
      <w:pPr>
        <w:pStyle w:val="ListParagraph"/>
        <w:numPr>
          <w:ilvl w:val="0"/>
          <w:numId w:val="5"/>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
          <w:i/>
          <w:iCs/>
          <w:sz w:val="24"/>
          <w:szCs w:val="24"/>
          <w:lang w:val="bg-BG"/>
        </w:rPr>
        <w:t>Пространствена, времева, технологична и екологична съвместимост</w:t>
      </w:r>
      <w:r w:rsidRPr="00610B1B">
        <w:rPr>
          <w:rFonts w:ascii="Times New Roman" w:hAnsi="Times New Roman" w:cs="Times New Roman"/>
          <w:bCs/>
          <w:sz w:val="24"/>
          <w:szCs w:val="24"/>
          <w:lang w:val="bg-BG"/>
        </w:rPr>
        <w:t xml:space="preserve"> - </w:t>
      </w:r>
      <w:r w:rsidR="00755752" w:rsidRPr="00610B1B">
        <w:rPr>
          <w:rFonts w:ascii="Times New Roman" w:hAnsi="Times New Roman" w:cs="Times New Roman"/>
          <w:bCs/>
          <w:sz w:val="24"/>
          <w:szCs w:val="24"/>
          <w:lang w:val="bg-BG"/>
        </w:rPr>
        <w:t>Съобразяване на</w:t>
      </w:r>
      <w:r w:rsidR="00D66FE0" w:rsidRPr="00610B1B">
        <w:rPr>
          <w:rFonts w:ascii="Times New Roman" w:hAnsi="Times New Roman" w:cs="Times New Roman"/>
          <w:bCs/>
          <w:sz w:val="24"/>
          <w:szCs w:val="24"/>
          <w:lang w:val="bg-BG"/>
        </w:rPr>
        <w:t xml:space="preserve"> </w:t>
      </w:r>
      <w:r w:rsidR="00755752" w:rsidRPr="00610B1B">
        <w:rPr>
          <w:rFonts w:ascii="Times New Roman" w:hAnsi="Times New Roman" w:cs="Times New Roman"/>
          <w:bCs/>
          <w:sz w:val="24"/>
          <w:szCs w:val="24"/>
          <w:lang w:val="bg-BG"/>
        </w:rPr>
        <w:t>предложените мерки и дейности с вида, разположението и характера на съответните зони</w:t>
      </w:r>
      <w:r w:rsidR="00DC512E" w:rsidRPr="00610B1B">
        <w:rPr>
          <w:rFonts w:ascii="Times New Roman" w:hAnsi="Times New Roman" w:cs="Times New Roman"/>
          <w:bCs/>
          <w:sz w:val="24"/>
          <w:szCs w:val="24"/>
          <w:lang w:val="bg-BG"/>
        </w:rPr>
        <w:t>,</w:t>
      </w:r>
      <w:r w:rsidR="00755752" w:rsidRPr="00610B1B">
        <w:rPr>
          <w:rFonts w:ascii="Times New Roman" w:hAnsi="Times New Roman" w:cs="Times New Roman"/>
          <w:bCs/>
          <w:sz w:val="24"/>
          <w:szCs w:val="24"/>
          <w:lang w:val="bg-BG"/>
        </w:rPr>
        <w:t xml:space="preserve"> пространствени</w:t>
      </w:r>
      <w:r w:rsidR="00654188" w:rsidRPr="00610B1B">
        <w:rPr>
          <w:rFonts w:ascii="Times New Roman" w:hAnsi="Times New Roman" w:cs="Times New Roman"/>
          <w:bCs/>
          <w:sz w:val="24"/>
          <w:szCs w:val="24"/>
          <w:lang w:val="bg-BG"/>
        </w:rPr>
        <w:t>те</w:t>
      </w:r>
      <w:r w:rsidR="00755752" w:rsidRPr="00610B1B">
        <w:rPr>
          <w:rFonts w:ascii="Times New Roman" w:hAnsi="Times New Roman" w:cs="Times New Roman"/>
          <w:bCs/>
          <w:sz w:val="24"/>
          <w:szCs w:val="24"/>
          <w:lang w:val="bg-BG"/>
        </w:rPr>
        <w:t xml:space="preserve"> и времеви</w:t>
      </w:r>
      <w:r w:rsidR="00654188" w:rsidRPr="00610B1B">
        <w:rPr>
          <w:rFonts w:ascii="Times New Roman" w:hAnsi="Times New Roman" w:cs="Times New Roman"/>
          <w:bCs/>
          <w:sz w:val="24"/>
          <w:szCs w:val="24"/>
          <w:lang w:val="bg-BG"/>
        </w:rPr>
        <w:t>те им</w:t>
      </w:r>
      <w:r w:rsidR="00755752" w:rsidRPr="00610B1B">
        <w:rPr>
          <w:rFonts w:ascii="Times New Roman" w:hAnsi="Times New Roman" w:cs="Times New Roman"/>
          <w:bCs/>
          <w:sz w:val="24"/>
          <w:szCs w:val="24"/>
          <w:lang w:val="bg-BG"/>
        </w:rPr>
        <w:t xml:space="preserve"> измерения и </w:t>
      </w:r>
      <w:r w:rsidR="00DC512E" w:rsidRPr="00610B1B">
        <w:rPr>
          <w:rFonts w:ascii="Times New Roman" w:hAnsi="Times New Roman" w:cs="Times New Roman"/>
          <w:bCs/>
          <w:sz w:val="24"/>
          <w:szCs w:val="24"/>
          <w:lang w:val="bg-BG"/>
        </w:rPr>
        <w:t>екологични</w:t>
      </w:r>
      <w:r w:rsidR="00654188" w:rsidRPr="00610B1B">
        <w:rPr>
          <w:rFonts w:ascii="Times New Roman" w:hAnsi="Times New Roman" w:cs="Times New Roman"/>
          <w:bCs/>
          <w:sz w:val="24"/>
          <w:szCs w:val="24"/>
          <w:lang w:val="bg-BG"/>
        </w:rPr>
        <w:t>те</w:t>
      </w:r>
      <w:r w:rsidR="00DC512E" w:rsidRPr="00610B1B">
        <w:rPr>
          <w:rFonts w:ascii="Times New Roman" w:hAnsi="Times New Roman" w:cs="Times New Roman"/>
          <w:bCs/>
          <w:sz w:val="24"/>
          <w:szCs w:val="24"/>
          <w:lang w:val="bg-BG"/>
        </w:rPr>
        <w:t xml:space="preserve"> въздействия</w:t>
      </w:r>
      <w:r w:rsidR="00755752" w:rsidRPr="00610B1B">
        <w:rPr>
          <w:rFonts w:ascii="Times New Roman" w:hAnsi="Times New Roman" w:cs="Times New Roman"/>
          <w:bCs/>
          <w:sz w:val="24"/>
          <w:szCs w:val="24"/>
          <w:lang w:val="bg-BG"/>
        </w:rPr>
        <w:t xml:space="preserve">; </w:t>
      </w:r>
    </w:p>
    <w:p w14:paraId="46728B17" w14:textId="36539F10" w:rsidR="00755752" w:rsidRPr="00610B1B" w:rsidRDefault="000212A3" w:rsidP="00B46189">
      <w:pPr>
        <w:pStyle w:val="ListParagraph"/>
        <w:numPr>
          <w:ilvl w:val="0"/>
          <w:numId w:val="5"/>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
          <w:i/>
          <w:iCs/>
          <w:sz w:val="24"/>
          <w:szCs w:val="24"/>
          <w:lang w:val="bg-BG"/>
        </w:rPr>
        <w:t>Ясно целеполагане в краткосрочен и дългосрочен план</w:t>
      </w:r>
      <w:r w:rsidRPr="00610B1B">
        <w:rPr>
          <w:rFonts w:ascii="Times New Roman" w:hAnsi="Times New Roman" w:cs="Times New Roman"/>
          <w:bCs/>
          <w:sz w:val="24"/>
          <w:szCs w:val="24"/>
          <w:lang w:val="bg-BG"/>
        </w:rPr>
        <w:t xml:space="preserve"> - </w:t>
      </w:r>
      <w:r w:rsidR="00755752" w:rsidRPr="00610B1B">
        <w:rPr>
          <w:rFonts w:ascii="Times New Roman" w:hAnsi="Times New Roman" w:cs="Times New Roman"/>
          <w:bCs/>
          <w:sz w:val="24"/>
          <w:szCs w:val="24"/>
          <w:lang w:val="bg-BG"/>
        </w:rPr>
        <w:t>Определяне на ясни краткосрочни и дългосрочни цели за прилагане и управление на морското пространствено планиране, които да ограничат възможните конфликти между секторите</w:t>
      </w:r>
      <w:r w:rsidR="00D66FE0" w:rsidRPr="00610B1B">
        <w:rPr>
          <w:rFonts w:ascii="Times New Roman" w:hAnsi="Times New Roman" w:cs="Times New Roman"/>
          <w:bCs/>
          <w:sz w:val="24"/>
          <w:szCs w:val="24"/>
          <w:lang w:val="bg-BG"/>
        </w:rPr>
        <w:t xml:space="preserve"> </w:t>
      </w:r>
      <w:r w:rsidR="00755752" w:rsidRPr="00610B1B">
        <w:rPr>
          <w:rFonts w:ascii="Times New Roman" w:hAnsi="Times New Roman" w:cs="Times New Roman"/>
          <w:bCs/>
          <w:sz w:val="24"/>
          <w:szCs w:val="24"/>
          <w:lang w:val="bg-BG"/>
        </w:rPr>
        <w:t>в морското пространство;</w:t>
      </w:r>
    </w:p>
    <w:p w14:paraId="530D6480" w14:textId="18EA8354" w:rsidR="00755752" w:rsidRPr="00610B1B" w:rsidRDefault="00951CE9" w:rsidP="00B46189">
      <w:pPr>
        <w:pStyle w:val="ListParagraph"/>
        <w:numPr>
          <w:ilvl w:val="0"/>
          <w:numId w:val="5"/>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
          <w:i/>
          <w:iCs/>
          <w:sz w:val="24"/>
          <w:szCs w:val="24"/>
          <w:lang w:val="bg-BG"/>
        </w:rPr>
        <w:t>Публичност, п</w:t>
      </w:r>
      <w:r w:rsidR="000212A3" w:rsidRPr="00610B1B">
        <w:rPr>
          <w:rFonts w:ascii="Times New Roman" w:hAnsi="Times New Roman" w:cs="Times New Roman"/>
          <w:b/>
          <w:i/>
          <w:iCs/>
          <w:sz w:val="24"/>
          <w:szCs w:val="24"/>
          <w:lang w:val="bg-BG"/>
        </w:rPr>
        <w:t>розрачност и информираност</w:t>
      </w:r>
      <w:r w:rsidR="000212A3" w:rsidRPr="00610B1B">
        <w:rPr>
          <w:rFonts w:ascii="Times New Roman" w:hAnsi="Times New Roman" w:cs="Times New Roman"/>
          <w:bCs/>
          <w:sz w:val="24"/>
          <w:szCs w:val="24"/>
          <w:lang w:val="bg-BG"/>
        </w:rPr>
        <w:t xml:space="preserve"> - </w:t>
      </w:r>
      <w:r w:rsidR="00654188" w:rsidRPr="00610B1B">
        <w:rPr>
          <w:rFonts w:ascii="Times New Roman" w:hAnsi="Times New Roman" w:cs="Times New Roman"/>
          <w:bCs/>
          <w:sz w:val="24"/>
          <w:szCs w:val="24"/>
          <w:lang w:val="bg-BG"/>
        </w:rPr>
        <w:t xml:space="preserve">Използване </w:t>
      </w:r>
      <w:r w:rsidR="00DC512E" w:rsidRPr="00610B1B">
        <w:rPr>
          <w:rFonts w:ascii="Times New Roman" w:hAnsi="Times New Roman" w:cs="Times New Roman"/>
          <w:bCs/>
          <w:sz w:val="24"/>
          <w:szCs w:val="24"/>
          <w:lang w:val="bg-BG"/>
        </w:rPr>
        <w:t>на всички инструменти</w:t>
      </w:r>
      <w:r w:rsidR="00BB67D1" w:rsidRPr="00610B1B">
        <w:rPr>
          <w:rFonts w:ascii="Times New Roman" w:hAnsi="Times New Roman" w:cs="Times New Roman"/>
          <w:bCs/>
          <w:sz w:val="24"/>
          <w:szCs w:val="24"/>
          <w:lang w:val="bg-BG"/>
        </w:rPr>
        <w:t xml:space="preserve"> </w:t>
      </w:r>
      <w:r w:rsidR="00DC512E" w:rsidRPr="00610B1B">
        <w:rPr>
          <w:rFonts w:ascii="Times New Roman" w:hAnsi="Times New Roman" w:cs="Times New Roman"/>
          <w:bCs/>
          <w:sz w:val="24"/>
          <w:szCs w:val="24"/>
          <w:lang w:val="bg-BG"/>
        </w:rPr>
        <w:t xml:space="preserve">за информиране </w:t>
      </w:r>
      <w:r w:rsidR="00BB67D1" w:rsidRPr="00610B1B">
        <w:rPr>
          <w:rFonts w:ascii="Times New Roman" w:hAnsi="Times New Roman" w:cs="Times New Roman"/>
          <w:bCs/>
          <w:sz w:val="24"/>
          <w:szCs w:val="24"/>
          <w:lang w:val="bg-BG"/>
        </w:rPr>
        <w:t xml:space="preserve">във всички стъпки </w:t>
      </w:r>
      <w:r w:rsidR="00DC512E" w:rsidRPr="00610B1B">
        <w:rPr>
          <w:rFonts w:ascii="Times New Roman" w:hAnsi="Times New Roman" w:cs="Times New Roman"/>
          <w:bCs/>
          <w:sz w:val="24"/>
          <w:szCs w:val="24"/>
          <w:lang w:val="bg-BG"/>
        </w:rPr>
        <w:t>от</w:t>
      </w:r>
      <w:r w:rsidR="00BB67D1" w:rsidRPr="00610B1B">
        <w:rPr>
          <w:rFonts w:ascii="Times New Roman" w:hAnsi="Times New Roman" w:cs="Times New Roman"/>
          <w:bCs/>
          <w:sz w:val="24"/>
          <w:szCs w:val="24"/>
          <w:lang w:val="bg-BG"/>
        </w:rPr>
        <w:t xml:space="preserve"> процеса на разработване, </w:t>
      </w:r>
      <w:r w:rsidR="00BB67D1" w:rsidRPr="00610B1B">
        <w:rPr>
          <w:rFonts w:ascii="Times New Roman" w:hAnsi="Times New Roman" w:cs="Times New Roman"/>
          <w:bCs/>
          <w:sz w:val="24"/>
          <w:szCs w:val="24"/>
          <w:lang w:val="bg-BG"/>
        </w:rPr>
        <w:lastRenderedPageBreak/>
        <w:t>консултиране, оценка, съгласуване, одобряване и прилагане на морския пространствен план;</w:t>
      </w:r>
    </w:p>
    <w:p w14:paraId="7D244361" w14:textId="68ABBD17" w:rsidR="00BB67D1" w:rsidRPr="00610B1B" w:rsidRDefault="00951CE9" w:rsidP="00B46189">
      <w:pPr>
        <w:pStyle w:val="ListParagraph"/>
        <w:numPr>
          <w:ilvl w:val="0"/>
          <w:numId w:val="5"/>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
          <w:i/>
          <w:iCs/>
          <w:sz w:val="24"/>
          <w:szCs w:val="24"/>
          <w:lang w:val="bg-BG"/>
        </w:rPr>
        <w:t>Обществено</w:t>
      </w:r>
      <w:r w:rsidR="000212A3" w:rsidRPr="00610B1B">
        <w:rPr>
          <w:rFonts w:ascii="Times New Roman" w:hAnsi="Times New Roman" w:cs="Times New Roman"/>
          <w:b/>
          <w:i/>
          <w:iCs/>
          <w:sz w:val="24"/>
          <w:szCs w:val="24"/>
          <w:lang w:val="bg-BG"/>
        </w:rPr>
        <w:t xml:space="preserve"> участие</w:t>
      </w:r>
      <w:r w:rsidRPr="00610B1B">
        <w:rPr>
          <w:rFonts w:ascii="Times New Roman" w:hAnsi="Times New Roman" w:cs="Times New Roman"/>
          <w:b/>
          <w:i/>
          <w:iCs/>
          <w:sz w:val="24"/>
          <w:szCs w:val="24"/>
          <w:lang w:val="bg-BG"/>
        </w:rPr>
        <w:t>,</w:t>
      </w:r>
      <w:r w:rsidR="000212A3" w:rsidRPr="00610B1B">
        <w:rPr>
          <w:rFonts w:ascii="Times New Roman" w:hAnsi="Times New Roman" w:cs="Times New Roman"/>
          <w:b/>
          <w:i/>
          <w:iCs/>
          <w:sz w:val="24"/>
          <w:szCs w:val="24"/>
          <w:lang w:val="bg-BG"/>
        </w:rPr>
        <w:t xml:space="preserve"> </w:t>
      </w:r>
      <w:r w:rsidRPr="00610B1B">
        <w:rPr>
          <w:rFonts w:ascii="Times New Roman" w:hAnsi="Times New Roman" w:cs="Times New Roman"/>
          <w:b/>
          <w:i/>
          <w:iCs/>
          <w:sz w:val="24"/>
          <w:szCs w:val="24"/>
          <w:lang w:val="bg-BG"/>
        </w:rPr>
        <w:t xml:space="preserve">професионална </w:t>
      </w:r>
      <w:r w:rsidR="000212A3" w:rsidRPr="00610B1B">
        <w:rPr>
          <w:rFonts w:ascii="Times New Roman" w:hAnsi="Times New Roman" w:cs="Times New Roman"/>
          <w:b/>
          <w:i/>
          <w:iCs/>
          <w:sz w:val="24"/>
          <w:szCs w:val="24"/>
          <w:lang w:val="bg-BG"/>
        </w:rPr>
        <w:t>ангажираност</w:t>
      </w:r>
      <w:r w:rsidRPr="00610B1B">
        <w:rPr>
          <w:rFonts w:ascii="Times New Roman" w:hAnsi="Times New Roman" w:cs="Times New Roman"/>
          <w:b/>
          <w:i/>
          <w:iCs/>
          <w:sz w:val="24"/>
          <w:szCs w:val="24"/>
          <w:lang w:val="bg-BG"/>
        </w:rPr>
        <w:t xml:space="preserve"> и обогатяване на знанията</w:t>
      </w:r>
      <w:r w:rsidR="00DE3A13" w:rsidRPr="00610B1B">
        <w:rPr>
          <w:rFonts w:ascii="Times New Roman" w:hAnsi="Times New Roman" w:cs="Times New Roman"/>
          <w:b/>
          <w:i/>
          <w:iCs/>
          <w:sz w:val="24"/>
          <w:szCs w:val="24"/>
          <w:lang w:val="bg-BG"/>
        </w:rPr>
        <w:t xml:space="preserve"> –</w:t>
      </w:r>
      <w:r w:rsidR="00DE3A13" w:rsidRPr="00610B1B">
        <w:rPr>
          <w:rFonts w:ascii="Times New Roman" w:hAnsi="Times New Roman" w:cs="Times New Roman"/>
          <w:bCs/>
          <w:sz w:val="24"/>
          <w:szCs w:val="24"/>
          <w:lang w:val="bg-BG"/>
        </w:rPr>
        <w:t xml:space="preserve"> </w:t>
      </w:r>
      <w:r w:rsidR="00BB67D1" w:rsidRPr="00610B1B">
        <w:rPr>
          <w:rFonts w:ascii="Times New Roman" w:hAnsi="Times New Roman" w:cs="Times New Roman"/>
          <w:bCs/>
          <w:sz w:val="24"/>
          <w:szCs w:val="24"/>
          <w:lang w:val="bg-BG"/>
        </w:rPr>
        <w:t>Привличане на всички заинтересовани страни в разработване</w:t>
      </w:r>
      <w:r w:rsidR="007431DC" w:rsidRPr="00610B1B">
        <w:rPr>
          <w:rFonts w:ascii="Times New Roman" w:hAnsi="Times New Roman" w:cs="Times New Roman"/>
          <w:bCs/>
          <w:sz w:val="24"/>
          <w:szCs w:val="24"/>
          <w:lang w:val="bg-BG"/>
        </w:rPr>
        <w:t>то</w:t>
      </w:r>
      <w:r w:rsidR="00BB67D1" w:rsidRPr="00610B1B">
        <w:rPr>
          <w:rFonts w:ascii="Times New Roman" w:hAnsi="Times New Roman" w:cs="Times New Roman"/>
          <w:bCs/>
          <w:sz w:val="24"/>
          <w:szCs w:val="24"/>
          <w:lang w:val="bg-BG"/>
        </w:rPr>
        <w:t xml:space="preserve"> на плана и използване на местни</w:t>
      </w:r>
      <w:r w:rsidR="00601122" w:rsidRPr="00610B1B">
        <w:rPr>
          <w:rFonts w:ascii="Times New Roman" w:hAnsi="Times New Roman" w:cs="Times New Roman"/>
          <w:bCs/>
          <w:sz w:val="24"/>
          <w:szCs w:val="24"/>
          <w:lang w:val="bg-BG"/>
        </w:rPr>
        <w:t>те ресурси и знания</w:t>
      </w:r>
      <w:r w:rsidR="00BB67D1" w:rsidRPr="00610B1B">
        <w:rPr>
          <w:rFonts w:ascii="Times New Roman" w:hAnsi="Times New Roman" w:cs="Times New Roman"/>
          <w:bCs/>
          <w:sz w:val="24"/>
          <w:szCs w:val="24"/>
          <w:lang w:val="bg-BG"/>
        </w:rPr>
        <w:t xml:space="preserve"> за повишаване качеството на морското пространствено планиране; </w:t>
      </w:r>
    </w:p>
    <w:p w14:paraId="0FBBB4FC" w14:textId="31561C8B" w:rsidR="00BB67D1" w:rsidRPr="00610B1B" w:rsidRDefault="00951CE9" w:rsidP="00B46189">
      <w:pPr>
        <w:pStyle w:val="ListParagraph"/>
        <w:numPr>
          <w:ilvl w:val="0"/>
          <w:numId w:val="5"/>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
          <w:i/>
          <w:iCs/>
          <w:sz w:val="24"/>
          <w:szCs w:val="24"/>
          <w:lang w:val="bg-BG"/>
        </w:rPr>
        <w:t>Национална и регионална координация и съгласуваност на действията</w:t>
      </w:r>
      <w:r w:rsidR="00DE3A13" w:rsidRPr="00610B1B">
        <w:rPr>
          <w:rFonts w:ascii="Times New Roman" w:hAnsi="Times New Roman" w:cs="Times New Roman"/>
          <w:b/>
          <w:i/>
          <w:iCs/>
          <w:sz w:val="24"/>
          <w:szCs w:val="24"/>
          <w:lang w:val="bg-BG"/>
        </w:rPr>
        <w:t xml:space="preserve"> –</w:t>
      </w:r>
      <w:r w:rsidR="00DE3A13" w:rsidRPr="00610B1B">
        <w:rPr>
          <w:rFonts w:ascii="Times New Roman" w:hAnsi="Times New Roman" w:cs="Times New Roman"/>
          <w:bCs/>
          <w:sz w:val="24"/>
          <w:szCs w:val="24"/>
          <w:lang w:val="bg-BG"/>
        </w:rPr>
        <w:t xml:space="preserve"> </w:t>
      </w:r>
      <w:r w:rsidR="00BB67D1" w:rsidRPr="00610B1B">
        <w:rPr>
          <w:rFonts w:ascii="Times New Roman" w:hAnsi="Times New Roman" w:cs="Times New Roman"/>
          <w:bCs/>
          <w:sz w:val="24"/>
          <w:szCs w:val="24"/>
          <w:lang w:val="bg-BG"/>
        </w:rPr>
        <w:t xml:space="preserve">Подобряване на вътрешната координация в страната и между страните от Черноморския регион и опростяване на процедурите </w:t>
      </w:r>
      <w:r w:rsidR="00DC512E" w:rsidRPr="00610B1B">
        <w:rPr>
          <w:rFonts w:ascii="Times New Roman" w:hAnsi="Times New Roman" w:cs="Times New Roman"/>
          <w:bCs/>
          <w:sz w:val="24"/>
          <w:szCs w:val="24"/>
          <w:lang w:val="bg-BG"/>
        </w:rPr>
        <w:t>за</w:t>
      </w:r>
      <w:r w:rsidR="00BB67D1" w:rsidRPr="00610B1B">
        <w:rPr>
          <w:rFonts w:ascii="Times New Roman" w:hAnsi="Times New Roman" w:cs="Times New Roman"/>
          <w:bCs/>
          <w:sz w:val="24"/>
          <w:szCs w:val="24"/>
          <w:lang w:val="bg-BG"/>
        </w:rPr>
        <w:t xml:space="preserve"> вземане н</w:t>
      </w:r>
      <w:r w:rsidR="00271C7A" w:rsidRPr="00610B1B">
        <w:rPr>
          <w:rFonts w:ascii="Times New Roman" w:hAnsi="Times New Roman" w:cs="Times New Roman"/>
          <w:bCs/>
          <w:sz w:val="24"/>
          <w:szCs w:val="24"/>
          <w:lang w:val="bg-BG"/>
        </w:rPr>
        <w:t xml:space="preserve">а решения </w:t>
      </w:r>
      <w:r w:rsidR="00601122" w:rsidRPr="00610B1B">
        <w:rPr>
          <w:rFonts w:ascii="Times New Roman" w:hAnsi="Times New Roman" w:cs="Times New Roman"/>
          <w:bCs/>
          <w:sz w:val="24"/>
          <w:szCs w:val="24"/>
          <w:lang w:val="bg-BG"/>
        </w:rPr>
        <w:t>за</w:t>
      </w:r>
      <w:r w:rsidR="00271C7A" w:rsidRPr="00610B1B">
        <w:rPr>
          <w:rFonts w:ascii="Times New Roman" w:hAnsi="Times New Roman" w:cs="Times New Roman"/>
          <w:bCs/>
          <w:sz w:val="24"/>
          <w:szCs w:val="24"/>
          <w:lang w:val="bg-BG"/>
        </w:rPr>
        <w:t xml:space="preserve"> осъществя</w:t>
      </w:r>
      <w:r w:rsidR="00BB67D1" w:rsidRPr="00610B1B">
        <w:rPr>
          <w:rFonts w:ascii="Times New Roman" w:hAnsi="Times New Roman" w:cs="Times New Roman"/>
          <w:bCs/>
          <w:sz w:val="24"/>
          <w:szCs w:val="24"/>
          <w:lang w:val="bg-BG"/>
        </w:rPr>
        <w:t>ване на дейностите, чрез използване на опита, традициите и капацитета на създадените органи по силата на Конвенцията за Черно море;</w:t>
      </w:r>
    </w:p>
    <w:p w14:paraId="19BF7399" w14:textId="7D3B6E30" w:rsidR="00B6024B" w:rsidRPr="00610B1B" w:rsidRDefault="00951CE9" w:rsidP="00B46189">
      <w:pPr>
        <w:pStyle w:val="ListParagraph"/>
        <w:numPr>
          <w:ilvl w:val="0"/>
          <w:numId w:val="5"/>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
          <w:i/>
          <w:iCs/>
          <w:sz w:val="24"/>
          <w:szCs w:val="24"/>
          <w:lang w:val="bg-BG"/>
        </w:rPr>
        <w:t>Правна регламентираност</w:t>
      </w:r>
      <w:r w:rsidRPr="00610B1B">
        <w:rPr>
          <w:rFonts w:ascii="Times New Roman" w:hAnsi="Times New Roman" w:cs="Times New Roman"/>
          <w:bCs/>
          <w:sz w:val="24"/>
          <w:szCs w:val="24"/>
          <w:lang w:val="bg-BG"/>
        </w:rPr>
        <w:t xml:space="preserve"> – </w:t>
      </w:r>
      <w:r w:rsidR="00DC512E" w:rsidRPr="00610B1B">
        <w:rPr>
          <w:rFonts w:ascii="Times New Roman" w:hAnsi="Times New Roman" w:cs="Times New Roman"/>
          <w:bCs/>
          <w:sz w:val="24"/>
          <w:szCs w:val="24"/>
          <w:lang w:val="bg-BG"/>
        </w:rPr>
        <w:t xml:space="preserve">Ясно </w:t>
      </w:r>
      <w:r w:rsidRPr="00610B1B">
        <w:rPr>
          <w:rFonts w:ascii="Times New Roman" w:hAnsi="Times New Roman" w:cs="Times New Roman"/>
          <w:bCs/>
          <w:sz w:val="24"/>
          <w:szCs w:val="24"/>
          <w:lang w:val="bg-BG"/>
        </w:rPr>
        <w:t xml:space="preserve">определени </w:t>
      </w:r>
      <w:r w:rsidR="00DF5070" w:rsidRPr="00610B1B">
        <w:rPr>
          <w:rFonts w:ascii="Times New Roman" w:hAnsi="Times New Roman" w:cs="Times New Roman"/>
          <w:bCs/>
          <w:sz w:val="24"/>
          <w:szCs w:val="24"/>
          <w:lang w:val="bg-BG"/>
        </w:rPr>
        <w:t xml:space="preserve">режими и права за ползване на морските пространства и </w:t>
      </w:r>
      <w:r w:rsidRPr="00610B1B">
        <w:rPr>
          <w:rFonts w:ascii="Times New Roman" w:hAnsi="Times New Roman" w:cs="Times New Roman"/>
          <w:bCs/>
          <w:sz w:val="24"/>
          <w:szCs w:val="24"/>
          <w:lang w:val="bg-BG"/>
        </w:rPr>
        <w:t xml:space="preserve">ангажименти </w:t>
      </w:r>
      <w:r w:rsidR="00DF5070" w:rsidRPr="00610B1B">
        <w:rPr>
          <w:rFonts w:ascii="Times New Roman" w:hAnsi="Times New Roman" w:cs="Times New Roman"/>
          <w:bCs/>
          <w:sz w:val="24"/>
          <w:szCs w:val="24"/>
          <w:lang w:val="bg-BG"/>
        </w:rPr>
        <w:t xml:space="preserve">в </w:t>
      </w:r>
      <w:r w:rsidRPr="00610B1B">
        <w:rPr>
          <w:rFonts w:ascii="Times New Roman" w:hAnsi="Times New Roman" w:cs="Times New Roman"/>
          <w:bCs/>
          <w:sz w:val="24"/>
          <w:szCs w:val="24"/>
          <w:lang w:val="bg-BG"/>
        </w:rPr>
        <w:t>прилагане</w:t>
      </w:r>
      <w:r w:rsidR="00DF5070" w:rsidRPr="00610B1B">
        <w:rPr>
          <w:rFonts w:ascii="Times New Roman" w:hAnsi="Times New Roman" w:cs="Times New Roman"/>
          <w:bCs/>
          <w:sz w:val="24"/>
          <w:szCs w:val="24"/>
          <w:lang w:val="bg-BG"/>
        </w:rPr>
        <w:t>то</w:t>
      </w:r>
      <w:r w:rsidRPr="00610B1B">
        <w:rPr>
          <w:rFonts w:ascii="Times New Roman" w:hAnsi="Times New Roman" w:cs="Times New Roman"/>
          <w:bCs/>
          <w:sz w:val="24"/>
          <w:szCs w:val="24"/>
          <w:lang w:val="bg-BG"/>
        </w:rPr>
        <w:t xml:space="preserve"> на морския пространствен план, обвързан</w:t>
      </w:r>
      <w:r w:rsidR="00DF5070" w:rsidRPr="00610B1B">
        <w:rPr>
          <w:rFonts w:ascii="Times New Roman" w:hAnsi="Times New Roman" w:cs="Times New Roman"/>
          <w:bCs/>
          <w:sz w:val="24"/>
          <w:szCs w:val="24"/>
          <w:lang w:val="bg-BG"/>
        </w:rPr>
        <w:t>о</w:t>
      </w:r>
      <w:r w:rsidRPr="00610B1B">
        <w:rPr>
          <w:rFonts w:ascii="Times New Roman" w:hAnsi="Times New Roman" w:cs="Times New Roman"/>
          <w:bCs/>
          <w:sz w:val="24"/>
          <w:szCs w:val="24"/>
          <w:lang w:val="bg-BG"/>
        </w:rPr>
        <w:t xml:space="preserve"> с действащото законодателство, допълнено с </w:t>
      </w:r>
      <w:r w:rsidR="0000740D" w:rsidRPr="00610B1B">
        <w:rPr>
          <w:rFonts w:ascii="Times New Roman" w:hAnsi="Times New Roman" w:cs="Times New Roman"/>
          <w:bCs/>
          <w:sz w:val="24"/>
          <w:szCs w:val="24"/>
          <w:lang w:val="bg-BG"/>
        </w:rPr>
        <w:t>този нов вид дейност по планиране и програмиране на междусекторното взаимодействие;</w:t>
      </w:r>
    </w:p>
    <w:p w14:paraId="370ABFF2" w14:textId="79930BB0" w:rsidR="0000740D" w:rsidRPr="00610B1B" w:rsidRDefault="0000740D" w:rsidP="00B46189">
      <w:pPr>
        <w:pStyle w:val="ListParagraph"/>
        <w:numPr>
          <w:ilvl w:val="0"/>
          <w:numId w:val="5"/>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
          <w:i/>
          <w:iCs/>
          <w:sz w:val="24"/>
          <w:szCs w:val="24"/>
          <w:lang w:val="bg-BG"/>
        </w:rPr>
        <w:t xml:space="preserve">Трансгранично сътрудничество </w:t>
      </w:r>
      <w:r w:rsidRPr="00610B1B">
        <w:rPr>
          <w:rFonts w:ascii="Times New Roman" w:hAnsi="Times New Roman" w:cs="Times New Roman"/>
          <w:bCs/>
          <w:sz w:val="24"/>
          <w:szCs w:val="24"/>
          <w:lang w:val="bg-BG"/>
        </w:rPr>
        <w:t>– Разработване, обсъждане и съгласуване на дейностите за опазване на екосистемите и на процедурите и стандартите за наблюдение и оценка на тяхното състояние в зоните за трансгранично сътрудничество и взаимодействие;</w:t>
      </w:r>
    </w:p>
    <w:p w14:paraId="19344D62" w14:textId="0408D591" w:rsidR="0000740D" w:rsidRPr="00610B1B" w:rsidRDefault="0000740D" w:rsidP="00B46189">
      <w:pPr>
        <w:pStyle w:val="ListParagraph"/>
        <w:numPr>
          <w:ilvl w:val="0"/>
          <w:numId w:val="5"/>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
          <w:i/>
          <w:iCs/>
          <w:sz w:val="24"/>
          <w:szCs w:val="24"/>
          <w:lang w:val="bg-BG"/>
        </w:rPr>
        <w:t xml:space="preserve">Гъвкавост </w:t>
      </w:r>
      <w:r w:rsidR="005E7CAF" w:rsidRPr="00610B1B">
        <w:rPr>
          <w:rFonts w:ascii="Times New Roman" w:hAnsi="Times New Roman" w:cs="Times New Roman"/>
          <w:b/>
          <w:i/>
          <w:iCs/>
          <w:sz w:val="24"/>
          <w:szCs w:val="24"/>
          <w:lang w:val="bg-BG"/>
        </w:rPr>
        <w:t xml:space="preserve">на процеса на планиране и </w:t>
      </w:r>
      <w:r w:rsidR="00601122" w:rsidRPr="00610B1B">
        <w:rPr>
          <w:rFonts w:ascii="Times New Roman" w:hAnsi="Times New Roman" w:cs="Times New Roman"/>
          <w:b/>
          <w:i/>
          <w:iCs/>
          <w:sz w:val="24"/>
          <w:szCs w:val="24"/>
          <w:lang w:val="bg-BG"/>
        </w:rPr>
        <w:t>постоянство в</w:t>
      </w:r>
      <w:r w:rsidR="005E7CAF" w:rsidRPr="00610B1B">
        <w:rPr>
          <w:rFonts w:ascii="Times New Roman" w:hAnsi="Times New Roman" w:cs="Times New Roman"/>
          <w:b/>
          <w:i/>
          <w:iCs/>
          <w:sz w:val="24"/>
          <w:szCs w:val="24"/>
          <w:lang w:val="bg-BG"/>
        </w:rPr>
        <w:t xml:space="preserve"> наблюдението</w:t>
      </w:r>
      <w:r w:rsidR="00DE3A13" w:rsidRPr="00610B1B">
        <w:rPr>
          <w:rFonts w:ascii="Times New Roman" w:hAnsi="Times New Roman" w:cs="Times New Roman"/>
          <w:b/>
          <w:i/>
          <w:iCs/>
          <w:sz w:val="24"/>
          <w:szCs w:val="24"/>
          <w:lang w:val="bg-BG"/>
        </w:rPr>
        <w:t xml:space="preserve"> –</w:t>
      </w:r>
      <w:r w:rsidRPr="00610B1B">
        <w:rPr>
          <w:rFonts w:ascii="Times New Roman" w:hAnsi="Times New Roman" w:cs="Times New Roman"/>
          <w:bCs/>
          <w:sz w:val="24"/>
          <w:szCs w:val="24"/>
          <w:lang w:val="bg-BG"/>
        </w:rPr>
        <w:t xml:space="preserve"> </w:t>
      </w:r>
      <w:r w:rsidR="00613E92" w:rsidRPr="00610B1B">
        <w:rPr>
          <w:rFonts w:ascii="Times New Roman" w:hAnsi="Times New Roman" w:cs="Times New Roman"/>
          <w:bCs/>
          <w:sz w:val="24"/>
          <w:szCs w:val="24"/>
          <w:lang w:val="bg-BG"/>
        </w:rPr>
        <w:t>Осигуряване на такъв процес и формат на морско пространствен</w:t>
      </w:r>
      <w:r w:rsidR="00DC512E" w:rsidRPr="00610B1B">
        <w:rPr>
          <w:rFonts w:ascii="Times New Roman" w:hAnsi="Times New Roman" w:cs="Times New Roman"/>
          <w:bCs/>
          <w:sz w:val="24"/>
          <w:szCs w:val="24"/>
          <w:lang w:val="bg-BG"/>
        </w:rPr>
        <w:t>о планиране, кои</w:t>
      </w:r>
      <w:r w:rsidR="00613E92" w:rsidRPr="00610B1B">
        <w:rPr>
          <w:rFonts w:ascii="Times New Roman" w:hAnsi="Times New Roman" w:cs="Times New Roman"/>
          <w:bCs/>
          <w:sz w:val="24"/>
          <w:szCs w:val="24"/>
          <w:lang w:val="bg-BG"/>
        </w:rPr>
        <w:t xml:space="preserve">то позволяват да се отчита динамиката на морската среда и промените в нея и да се прилагат ясни механизми за мониторинг, оценка и ревизиране на плана; </w:t>
      </w:r>
    </w:p>
    <w:p w14:paraId="17AE314C" w14:textId="73C2D927" w:rsidR="00C35CCD" w:rsidRPr="00610B1B" w:rsidRDefault="00C35CCD" w:rsidP="00B46189">
      <w:pPr>
        <w:pStyle w:val="ListParagraph"/>
        <w:numPr>
          <w:ilvl w:val="0"/>
          <w:numId w:val="5"/>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
          <w:i/>
          <w:iCs/>
          <w:sz w:val="24"/>
          <w:szCs w:val="24"/>
          <w:lang w:val="bg-BG"/>
        </w:rPr>
        <w:t>Съгласуваност</w:t>
      </w:r>
      <w:r w:rsidR="00D66FE0" w:rsidRPr="00610B1B">
        <w:rPr>
          <w:rFonts w:ascii="Times New Roman" w:hAnsi="Times New Roman" w:cs="Times New Roman"/>
          <w:b/>
          <w:i/>
          <w:iCs/>
          <w:sz w:val="24"/>
          <w:szCs w:val="24"/>
          <w:lang w:val="bg-BG"/>
        </w:rPr>
        <w:t xml:space="preserve"> </w:t>
      </w:r>
      <w:r w:rsidRPr="00610B1B">
        <w:rPr>
          <w:rFonts w:ascii="Times New Roman" w:hAnsi="Times New Roman" w:cs="Times New Roman"/>
          <w:b/>
          <w:i/>
          <w:iCs/>
          <w:sz w:val="24"/>
          <w:szCs w:val="24"/>
          <w:lang w:val="bg-BG"/>
        </w:rPr>
        <w:t xml:space="preserve">на сухоземното и морското пространствено планиране </w:t>
      </w:r>
      <w:r w:rsidR="005E7CAF" w:rsidRPr="00610B1B">
        <w:rPr>
          <w:rFonts w:ascii="Times New Roman" w:hAnsi="Times New Roman" w:cs="Times New Roman"/>
          <w:bCs/>
          <w:sz w:val="24"/>
          <w:szCs w:val="24"/>
          <w:lang w:val="bg-BG"/>
        </w:rPr>
        <w:t>–</w:t>
      </w:r>
      <w:r w:rsidRPr="00610B1B">
        <w:rPr>
          <w:rFonts w:ascii="Times New Roman" w:hAnsi="Times New Roman" w:cs="Times New Roman"/>
          <w:b/>
          <w:i/>
          <w:iCs/>
          <w:sz w:val="24"/>
          <w:szCs w:val="24"/>
          <w:lang w:val="bg-BG"/>
        </w:rPr>
        <w:t xml:space="preserve"> </w:t>
      </w:r>
      <w:r w:rsidR="005E7CAF" w:rsidRPr="00610B1B">
        <w:rPr>
          <w:rFonts w:ascii="Times New Roman" w:hAnsi="Times New Roman" w:cs="Times New Roman"/>
          <w:bCs/>
          <w:sz w:val="24"/>
          <w:szCs w:val="24"/>
          <w:lang w:val="bg-BG"/>
        </w:rPr>
        <w:t>Съвместяване на двата инструмента за прилагане на Интегрираната морска политика – Интегрираното управление на крайбрежни зони и Морското пространствено планиране за обвързване на дейностите на сушата с тези, базирани в морето и намаляване на вредните им въздействия.</w:t>
      </w:r>
      <w:r w:rsidR="00D66FE0" w:rsidRPr="00610B1B">
        <w:rPr>
          <w:rFonts w:ascii="Times New Roman" w:hAnsi="Times New Roman" w:cs="Times New Roman"/>
          <w:bCs/>
          <w:sz w:val="24"/>
          <w:szCs w:val="24"/>
          <w:lang w:val="bg-BG"/>
        </w:rPr>
        <w:t xml:space="preserve"> </w:t>
      </w:r>
    </w:p>
    <w:p w14:paraId="099D6F4D" w14:textId="30CF1E9C" w:rsidR="00184F3D" w:rsidRPr="00610B1B" w:rsidRDefault="00613E92" w:rsidP="00B46189">
      <w:pPr>
        <w:pStyle w:val="ListParagraph"/>
        <w:numPr>
          <w:ilvl w:val="0"/>
          <w:numId w:val="5"/>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
          <w:i/>
          <w:iCs/>
          <w:sz w:val="24"/>
          <w:szCs w:val="24"/>
          <w:lang w:val="bg-BG"/>
        </w:rPr>
        <w:t>Информационна осигуреност</w:t>
      </w:r>
      <w:r w:rsidRPr="00610B1B">
        <w:rPr>
          <w:rFonts w:ascii="Times New Roman" w:hAnsi="Times New Roman" w:cs="Times New Roman"/>
          <w:bCs/>
          <w:sz w:val="24"/>
          <w:szCs w:val="24"/>
          <w:lang w:val="bg-BG"/>
        </w:rPr>
        <w:t xml:space="preserve"> </w:t>
      </w:r>
      <w:r w:rsidRPr="00610B1B">
        <w:rPr>
          <w:rFonts w:ascii="Times New Roman" w:hAnsi="Times New Roman" w:cs="Times New Roman"/>
          <w:b/>
          <w:i/>
          <w:iCs/>
          <w:sz w:val="24"/>
          <w:szCs w:val="24"/>
          <w:lang w:val="bg-BG"/>
        </w:rPr>
        <w:t>и научна обоснованост</w:t>
      </w:r>
      <w:r w:rsidR="00DE3A13" w:rsidRPr="00610B1B">
        <w:rPr>
          <w:rFonts w:ascii="Times New Roman" w:hAnsi="Times New Roman" w:cs="Times New Roman"/>
          <w:b/>
          <w:i/>
          <w:iCs/>
          <w:sz w:val="24"/>
          <w:szCs w:val="24"/>
          <w:lang w:val="bg-BG"/>
        </w:rPr>
        <w:t xml:space="preserve"> </w:t>
      </w:r>
      <w:r w:rsidR="00DE3A13"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Принципът съответства на заявената готовност за съдействие на държавите членки и реализираните дейности за доразвиване на базата данни </w:t>
      </w:r>
      <w:r w:rsidR="007431DC" w:rsidRPr="00610B1B">
        <w:rPr>
          <w:rFonts w:ascii="Times New Roman" w:hAnsi="Times New Roman" w:cs="Times New Roman"/>
          <w:bCs/>
          <w:sz w:val="24"/>
          <w:szCs w:val="24"/>
          <w:lang w:val="bg-BG"/>
        </w:rPr>
        <w:t>за</w:t>
      </w:r>
      <w:r w:rsidRPr="00610B1B">
        <w:rPr>
          <w:rFonts w:ascii="Times New Roman" w:hAnsi="Times New Roman" w:cs="Times New Roman"/>
          <w:bCs/>
          <w:sz w:val="24"/>
          <w:szCs w:val="24"/>
          <w:lang w:val="bg-BG"/>
        </w:rPr>
        <w:t xml:space="preserve"> използването на актуална, точна и подробна информация, която формира научните основи на морското пространствено планиране</w:t>
      </w:r>
      <w:r w:rsidR="00184F3D" w:rsidRPr="00610B1B">
        <w:rPr>
          <w:rFonts w:ascii="Times New Roman" w:hAnsi="Times New Roman" w:cs="Times New Roman"/>
          <w:bCs/>
          <w:sz w:val="24"/>
          <w:szCs w:val="24"/>
          <w:lang w:val="bg-BG"/>
        </w:rPr>
        <w:t>.</w:t>
      </w:r>
    </w:p>
    <w:p w14:paraId="223F4C72" w14:textId="5AF663D0" w:rsidR="00457431" w:rsidRPr="00610B1B" w:rsidRDefault="00457431"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Cs/>
          <w:sz w:val="24"/>
          <w:szCs w:val="24"/>
          <w:lang w:val="bg-BG"/>
        </w:rPr>
        <w:t xml:space="preserve">Основен инструмент в разработването на морския пространствен план е </w:t>
      </w:r>
      <w:r w:rsidRPr="00610B1B">
        <w:rPr>
          <w:rFonts w:ascii="Times New Roman" w:hAnsi="Times New Roman" w:cs="Times New Roman"/>
          <w:b/>
          <w:sz w:val="24"/>
          <w:szCs w:val="24"/>
          <w:lang w:val="bg-BG"/>
        </w:rPr>
        <w:t xml:space="preserve">Географската информационна система. </w:t>
      </w:r>
      <w:r w:rsidRPr="00610B1B">
        <w:rPr>
          <w:rFonts w:ascii="Times New Roman" w:hAnsi="Times New Roman" w:cs="Times New Roman"/>
          <w:sz w:val="24"/>
          <w:szCs w:val="24"/>
          <w:lang w:val="bg-BG"/>
        </w:rPr>
        <w:t>Изграждането и разработването на Информационна система на Морски пространствен план на Република България е част от информационно осигуряване на процеса по реализация, поддържане, мониторинг и актуализация на плана.</w:t>
      </w:r>
      <w:r w:rsidR="00737394" w:rsidRPr="00610B1B">
        <w:rPr>
          <w:rFonts w:ascii="Times New Roman" w:hAnsi="Times New Roman" w:cs="Times New Roman"/>
          <w:sz w:val="24"/>
          <w:szCs w:val="24"/>
          <w:lang w:val="bg-BG"/>
        </w:rPr>
        <w:t xml:space="preserve"> Структурата </w:t>
      </w:r>
      <w:r w:rsidRPr="00610B1B">
        <w:rPr>
          <w:rFonts w:ascii="Times New Roman" w:hAnsi="Times New Roman" w:cs="Times New Roman"/>
          <w:sz w:val="24"/>
          <w:szCs w:val="24"/>
          <w:lang w:val="bg-BG"/>
        </w:rPr>
        <w:t xml:space="preserve">на базата данни отговаря на изискванията за спецификацията на данните за тема “Sea region” от Анекс 3 на Директива 2007/2/ЕО (INSPIRE) - D2.8.III.16 Data </w:t>
      </w:r>
      <w:r w:rsidRPr="00610B1B">
        <w:rPr>
          <w:rFonts w:ascii="Times New Roman" w:hAnsi="Times New Roman" w:cs="Times New Roman"/>
          <w:sz w:val="24"/>
          <w:szCs w:val="24"/>
          <w:lang w:val="bg-BG"/>
        </w:rPr>
        <w:lastRenderedPageBreak/>
        <w:t xml:space="preserve">Specification on </w:t>
      </w:r>
      <w:r w:rsidRPr="00610B1B">
        <w:rPr>
          <w:rFonts w:ascii="Times New Roman" w:hAnsi="Times New Roman" w:cs="Times New Roman"/>
          <w:i/>
          <w:iCs/>
          <w:sz w:val="24"/>
          <w:szCs w:val="24"/>
          <w:lang w:val="bg-BG"/>
        </w:rPr>
        <w:t xml:space="preserve">Sea Regions </w:t>
      </w:r>
      <w:r w:rsidRPr="00610B1B">
        <w:rPr>
          <w:rFonts w:ascii="Times New Roman" w:hAnsi="Times New Roman" w:cs="Times New Roman"/>
          <w:sz w:val="24"/>
          <w:szCs w:val="24"/>
          <w:lang w:val="bg-BG"/>
        </w:rPr>
        <w:t>– Technical Guidelines</w:t>
      </w:r>
      <w:r w:rsidR="005F6EAB" w:rsidRPr="00610B1B">
        <w:rPr>
          <w:rStyle w:val="FootnoteReference"/>
          <w:rFonts w:ascii="Times New Roman" w:hAnsi="Times New Roman" w:cs="Times New Roman"/>
          <w:sz w:val="24"/>
          <w:szCs w:val="24"/>
          <w:lang w:val="bg-BG"/>
        </w:rPr>
        <w:footnoteReference w:id="11"/>
      </w:r>
      <w:r w:rsidR="00737394"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Структурата от метаданни съответства на ISO 19115.</w:t>
      </w:r>
      <w:r w:rsidR="00737394"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Координатната референтна система, която </w:t>
      </w:r>
      <w:r w:rsidR="00737394" w:rsidRPr="00610B1B">
        <w:rPr>
          <w:rFonts w:ascii="Times New Roman" w:hAnsi="Times New Roman" w:cs="Times New Roman"/>
          <w:sz w:val="24"/>
          <w:szCs w:val="24"/>
          <w:lang w:val="bg-BG"/>
        </w:rPr>
        <w:t>се</w:t>
      </w:r>
      <w:r w:rsidRPr="00610B1B">
        <w:rPr>
          <w:rFonts w:ascii="Times New Roman" w:hAnsi="Times New Roman" w:cs="Times New Roman"/>
          <w:sz w:val="24"/>
          <w:szCs w:val="24"/>
          <w:lang w:val="bg-BG"/>
        </w:rPr>
        <w:t xml:space="preserve"> използва е BGS2005 UTM 35N с EPSG код 7800</w:t>
      </w:r>
      <w:r w:rsidR="009576A9" w:rsidRPr="00610B1B">
        <w:rPr>
          <w:rFonts w:ascii="Times New Roman" w:hAnsi="Times New Roman" w:cs="Times New Roman"/>
          <w:sz w:val="24"/>
          <w:szCs w:val="24"/>
          <w:lang w:val="bg-BG"/>
        </w:rPr>
        <w:t>.</w:t>
      </w:r>
      <w:r w:rsidRPr="00610B1B">
        <w:rPr>
          <w:rStyle w:val="FootnoteReference"/>
          <w:rFonts w:ascii="Times New Roman" w:hAnsi="Times New Roman" w:cs="Times New Roman"/>
          <w:sz w:val="24"/>
          <w:szCs w:val="24"/>
          <w:lang w:val="bg-BG"/>
        </w:rPr>
        <w:footnoteReference w:id="12"/>
      </w:r>
    </w:p>
    <w:p w14:paraId="70954667" w14:textId="016CD5A9" w:rsidR="002D7650" w:rsidRPr="00610B1B" w:rsidRDefault="002D765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Данните, които </w:t>
      </w:r>
      <w:r w:rsidR="00737394" w:rsidRPr="00610B1B">
        <w:rPr>
          <w:rFonts w:ascii="Times New Roman" w:hAnsi="Times New Roman" w:cs="Times New Roman"/>
          <w:sz w:val="24"/>
          <w:szCs w:val="24"/>
          <w:lang w:val="bg-BG"/>
        </w:rPr>
        <w:t>са</w:t>
      </w:r>
      <w:r w:rsidRPr="00610B1B">
        <w:rPr>
          <w:rFonts w:ascii="Times New Roman" w:hAnsi="Times New Roman" w:cs="Times New Roman"/>
          <w:sz w:val="24"/>
          <w:szCs w:val="24"/>
          <w:lang w:val="bg-BG"/>
        </w:rPr>
        <w:t xml:space="preserve"> анализирани за целите на морското пространствено планиране, са получени от три </w:t>
      </w:r>
      <w:r w:rsidR="00954840" w:rsidRPr="00610B1B">
        <w:rPr>
          <w:rFonts w:ascii="Times New Roman" w:hAnsi="Times New Roman" w:cs="Times New Roman"/>
          <w:sz w:val="24"/>
          <w:szCs w:val="24"/>
          <w:lang w:val="bg-BG"/>
        </w:rPr>
        <w:t xml:space="preserve">вида </w:t>
      </w:r>
      <w:r w:rsidRPr="00610B1B">
        <w:rPr>
          <w:rFonts w:ascii="Times New Roman" w:hAnsi="Times New Roman" w:cs="Times New Roman"/>
          <w:sz w:val="24"/>
          <w:szCs w:val="24"/>
          <w:lang w:val="bg-BG"/>
        </w:rPr>
        <w:t>национални източни</w:t>
      </w:r>
      <w:r w:rsidR="00954840" w:rsidRPr="00610B1B">
        <w:rPr>
          <w:rFonts w:ascii="Times New Roman" w:hAnsi="Times New Roman" w:cs="Times New Roman"/>
          <w:sz w:val="24"/>
          <w:szCs w:val="24"/>
          <w:lang w:val="bg-BG"/>
        </w:rPr>
        <w:t>ци</w:t>
      </w:r>
      <w:r w:rsidR="00D6532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от администратори</w:t>
      </w:r>
      <w:r w:rsidR="00D65324" w:rsidRPr="00610B1B">
        <w:rPr>
          <w:rFonts w:ascii="Times New Roman" w:hAnsi="Times New Roman" w:cs="Times New Roman"/>
          <w:sz w:val="24"/>
          <w:szCs w:val="24"/>
          <w:lang w:val="bg-BG"/>
        </w:rPr>
        <w:t xml:space="preserve"> с </w:t>
      </w:r>
      <w:r w:rsidRPr="00610B1B">
        <w:rPr>
          <w:rFonts w:ascii="Times New Roman" w:hAnsi="Times New Roman" w:cs="Times New Roman"/>
          <w:sz w:val="24"/>
          <w:szCs w:val="24"/>
          <w:lang w:val="bg-BG"/>
        </w:rPr>
        <w:t>правомощия за</w:t>
      </w:r>
      <w:r w:rsidR="00737394" w:rsidRPr="00610B1B">
        <w:rPr>
          <w:rFonts w:ascii="Times New Roman" w:hAnsi="Times New Roman" w:cs="Times New Roman"/>
          <w:sz w:val="24"/>
          <w:szCs w:val="24"/>
          <w:lang w:val="bg-BG"/>
        </w:rPr>
        <w:t xml:space="preserve"> създаване и поддържане </w:t>
      </w:r>
      <w:r w:rsidR="00D65324" w:rsidRPr="00610B1B">
        <w:rPr>
          <w:rFonts w:ascii="Times New Roman" w:hAnsi="Times New Roman" w:cs="Times New Roman"/>
          <w:sz w:val="24"/>
          <w:szCs w:val="24"/>
          <w:lang w:val="bg-BG"/>
        </w:rPr>
        <w:t xml:space="preserve">на данните; </w:t>
      </w:r>
      <w:r w:rsidRPr="00610B1B">
        <w:rPr>
          <w:rFonts w:ascii="Times New Roman" w:hAnsi="Times New Roman" w:cs="Times New Roman"/>
          <w:sz w:val="24"/>
          <w:szCs w:val="24"/>
          <w:lang w:val="bg-BG"/>
        </w:rPr>
        <w:t>неофициални</w:t>
      </w:r>
      <w:r w:rsidR="00D65324" w:rsidRPr="00610B1B">
        <w:rPr>
          <w:rFonts w:ascii="Times New Roman" w:hAnsi="Times New Roman" w:cs="Times New Roman"/>
          <w:sz w:val="24"/>
          <w:szCs w:val="24"/>
          <w:lang w:val="bg-BG"/>
        </w:rPr>
        <w:t xml:space="preserve">, статични </w:t>
      </w:r>
      <w:r w:rsidRPr="00610B1B">
        <w:rPr>
          <w:rFonts w:ascii="Times New Roman" w:hAnsi="Times New Roman" w:cs="Times New Roman"/>
          <w:sz w:val="24"/>
          <w:szCs w:val="24"/>
          <w:lang w:val="bg-BG"/>
        </w:rPr>
        <w:t>източници, предоставени еднократно от анализи, мониторингови доклади и от приключили национални и европейски проекти</w:t>
      </w:r>
      <w:r w:rsidR="00D65324" w:rsidRPr="00610B1B">
        <w:rPr>
          <w:rFonts w:ascii="Times New Roman" w:hAnsi="Times New Roman" w:cs="Times New Roman"/>
          <w:sz w:val="24"/>
          <w:szCs w:val="24"/>
          <w:lang w:val="bg-BG"/>
        </w:rPr>
        <w:t xml:space="preserve">; и </w:t>
      </w:r>
      <w:r w:rsidRPr="00610B1B">
        <w:rPr>
          <w:rFonts w:ascii="Times New Roman" w:hAnsi="Times New Roman" w:cs="Times New Roman"/>
          <w:sz w:val="24"/>
          <w:szCs w:val="24"/>
          <w:lang w:val="bg-BG"/>
        </w:rPr>
        <w:t xml:space="preserve">пространствени данни, получени във вид на слоеве посредством </w:t>
      </w:r>
      <w:r w:rsidR="00737394" w:rsidRPr="00610B1B">
        <w:rPr>
          <w:rFonts w:ascii="Times New Roman" w:hAnsi="Times New Roman" w:cs="Times New Roman"/>
          <w:sz w:val="24"/>
          <w:szCs w:val="24"/>
          <w:lang w:val="bg-BG"/>
        </w:rPr>
        <w:t xml:space="preserve">Web </w:t>
      </w:r>
      <w:r w:rsidR="00A13509" w:rsidRPr="00610B1B">
        <w:rPr>
          <w:rFonts w:ascii="Times New Roman" w:hAnsi="Times New Roman" w:cs="Times New Roman"/>
          <w:sz w:val="24"/>
          <w:szCs w:val="24"/>
          <w:lang w:val="bg-BG"/>
        </w:rPr>
        <w:t>базирани услуги (WMS)</w:t>
      </w:r>
      <w:r w:rsidR="00737394" w:rsidRPr="00610B1B">
        <w:rPr>
          <w:rFonts w:ascii="Times New Roman" w:hAnsi="Times New Roman" w:cs="Times New Roman"/>
          <w:sz w:val="24"/>
          <w:szCs w:val="24"/>
          <w:lang w:val="bg-BG"/>
        </w:rPr>
        <w:t xml:space="preserve">. </w:t>
      </w:r>
      <w:r w:rsidR="00D65324"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xml:space="preserve">зползвани </w:t>
      </w:r>
      <w:r w:rsidR="00D65324" w:rsidRPr="00610B1B">
        <w:rPr>
          <w:rFonts w:ascii="Times New Roman" w:hAnsi="Times New Roman" w:cs="Times New Roman"/>
          <w:sz w:val="24"/>
          <w:szCs w:val="24"/>
          <w:lang w:val="bg-BG"/>
        </w:rPr>
        <w:t xml:space="preserve">са </w:t>
      </w:r>
      <w:r w:rsidRPr="00610B1B">
        <w:rPr>
          <w:rFonts w:ascii="Times New Roman" w:hAnsi="Times New Roman" w:cs="Times New Roman"/>
          <w:sz w:val="24"/>
          <w:szCs w:val="24"/>
          <w:lang w:val="bg-BG"/>
        </w:rPr>
        <w:t>и източници от web платформи, като например E</w:t>
      </w:r>
      <w:r w:rsidR="00954840" w:rsidRPr="00610B1B">
        <w:rPr>
          <w:rFonts w:ascii="Times New Roman" w:hAnsi="Times New Roman" w:cs="Times New Roman"/>
          <w:sz w:val="24"/>
          <w:szCs w:val="24"/>
          <w:lang w:val="bg-BG"/>
        </w:rPr>
        <w:t>MOD</w:t>
      </w:r>
      <w:r w:rsidRPr="00610B1B">
        <w:rPr>
          <w:rFonts w:ascii="Times New Roman" w:hAnsi="Times New Roman" w:cs="Times New Roman"/>
          <w:sz w:val="24"/>
          <w:szCs w:val="24"/>
          <w:lang w:val="bg-BG"/>
        </w:rPr>
        <w:t>N</w:t>
      </w:r>
      <w:r w:rsidR="00954840" w:rsidRPr="00610B1B">
        <w:rPr>
          <w:rFonts w:ascii="Times New Roman" w:hAnsi="Times New Roman" w:cs="Times New Roman"/>
          <w:sz w:val="24"/>
          <w:szCs w:val="24"/>
          <w:lang w:val="bg-BG"/>
        </w:rPr>
        <w:t>et</w:t>
      </w:r>
      <w:r w:rsidR="0075083C" w:rsidRPr="00610B1B">
        <w:rPr>
          <w:rStyle w:val="FootnoteReference"/>
          <w:rFonts w:ascii="Times New Roman" w:hAnsi="Times New Roman" w:cs="Times New Roman"/>
          <w:sz w:val="24"/>
          <w:szCs w:val="24"/>
          <w:lang w:val="bg-BG"/>
        </w:rPr>
        <w:footnoteReference w:id="13"/>
      </w:r>
      <w:r w:rsidR="00737394" w:rsidRPr="00610B1B">
        <w:rPr>
          <w:rFonts w:ascii="Times New Roman" w:hAnsi="Times New Roman" w:cs="Times New Roman"/>
          <w:sz w:val="24"/>
          <w:szCs w:val="24"/>
          <w:lang w:val="bg-BG"/>
        </w:rPr>
        <w:t xml:space="preserve">, European MSP Platform, </w:t>
      </w:r>
      <w:r w:rsidR="00954840" w:rsidRPr="00610B1B">
        <w:rPr>
          <w:rFonts w:ascii="Times New Roman" w:hAnsi="Times New Roman" w:cs="Times New Roman"/>
          <w:sz w:val="24"/>
          <w:szCs w:val="24"/>
          <w:lang w:val="bg-BG"/>
        </w:rPr>
        <w:t>EEA</w:t>
      </w:r>
      <w:r w:rsidR="00954840" w:rsidRPr="00610B1B">
        <w:rPr>
          <w:rStyle w:val="FootnoteReference"/>
          <w:rFonts w:ascii="Times New Roman" w:hAnsi="Times New Roman" w:cs="Times New Roman"/>
          <w:sz w:val="24"/>
          <w:szCs w:val="24"/>
          <w:lang w:val="bg-BG"/>
        </w:rPr>
        <w:footnoteReference w:id="14"/>
      </w:r>
      <w:r w:rsidR="00954840" w:rsidRPr="00610B1B">
        <w:rPr>
          <w:rFonts w:ascii="Times New Roman" w:hAnsi="Times New Roman" w:cs="Times New Roman"/>
          <w:sz w:val="24"/>
          <w:szCs w:val="24"/>
          <w:lang w:val="bg-BG"/>
        </w:rPr>
        <w:t>,</w:t>
      </w:r>
      <w:r w:rsidR="00954840" w:rsidRPr="00610B1B">
        <w:rPr>
          <w:rFonts w:ascii="Times New Roman" w:hAnsi="Times New Roman" w:cs="Times New Roman"/>
          <w:lang w:val="bg-BG"/>
        </w:rPr>
        <w:t xml:space="preserve"> </w:t>
      </w:r>
      <w:r w:rsidR="00DA0827" w:rsidRPr="00610B1B">
        <w:rPr>
          <w:rFonts w:ascii="Times New Roman" w:hAnsi="Times New Roman" w:cs="Times New Roman"/>
          <w:sz w:val="24"/>
          <w:szCs w:val="24"/>
          <w:lang w:val="bg-BG"/>
        </w:rPr>
        <w:t>EUNIS</w:t>
      </w:r>
      <w:r w:rsidR="00DA0827" w:rsidRPr="00610B1B">
        <w:rPr>
          <w:rFonts w:ascii="Times New Roman" w:hAnsi="Times New Roman" w:cs="Times New Roman"/>
          <w:lang w:val="bg-BG"/>
        </w:rPr>
        <w:t xml:space="preserve">, </w:t>
      </w:r>
      <w:r w:rsidR="00954840" w:rsidRPr="00610B1B">
        <w:rPr>
          <w:rFonts w:ascii="Times New Roman" w:hAnsi="Times New Roman" w:cs="Times New Roman"/>
          <w:sz w:val="24"/>
          <w:szCs w:val="24"/>
          <w:lang w:val="bg-BG"/>
        </w:rPr>
        <w:t>Marine Information System for Europe</w:t>
      </w:r>
      <w:r w:rsidR="006861EF" w:rsidRPr="00610B1B">
        <w:rPr>
          <w:rFonts w:ascii="Times New Roman" w:hAnsi="Times New Roman" w:cs="Times New Roman"/>
          <w:sz w:val="24"/>
          <w:szCs w:val="24"/>
          <w:lang w:val="bg-BG"/>
        </w:rPr>
        <w:t xml:space="preserve"> (WISE Marine)</w:t>
      </w:r>
      <w:r w:rsidR="00954840" w:rsidRPr="00610B1B">
        <w:rPr>
          <w:rStyle w:val="FootnoteReference"/>
          <w:rFonts w:ascii="Times New Roman" w:hAnsi="Times New Roman" w:cs="Times New Roman"/>
          <w:sz w:val="24"/>
          <w:szCs w:val="24"/>
          <w:lang w:val="bg-BG"/>
        </w:rPr>
        <w:footnoteReference w:id="15"/>
      </w:r>
      <w:r w:rsidR="00954840" w:rsidRPr="00610B1B">
        <w:rPr>
          <w:rFonts w:ascii="Times New Roman" w:hAnsi="Times New Roman" w:cs="Times New Roman"/>
          <w:sz w:val="24"/>
          <w:szCs w:val="24"/>
          <w:lang w:val="bg-BG"/>
        </w:rPr>
        <w:t>,</w:t>
      </w:r>
      <w:r w:rsidR="00954840" w:rsidRPr="00610B1B">
        <w:rPr>
          <w:rFonts w:ascii="Times New Roman" w:hAnsi="Times New Roman" w:cs="Times New Roman"/>
          <w:lang w:val="bg-BG"/>
        </w:rPr>
        <w:t xml:space="preserve"> </w:t>
      </w:r>
      <w:r w:rsidR="00737394" w:rsidRPr="00610B1B">
        <w:rPr>
          <w:rFonts w:ascii="Times New Roman" w:hAnsi="Times New Roman" w:cs="Times New Roman"/>
          <w:sz w:val="24"/>
          <w:szCs w:val="24"/>
          <w:lang w:val="bg-BG"/>
        </w:rPr>
        <w:t xml:space="preserve">EUROSTAT, ESPON, </w:t>
      </w:r>
      <w:r w:rsidR="00F17BA3" w:rsidRPr="00610B1B">
        <w:rPr>
          <w:rFonts w:ascii="Times New Roman" w:hAnsi="Times New Roman" w:cs="Times New Roman"/>
          <w:sz w:val="24"/>
          <w:szCs w:val="24"/>
          <w:lang w:val="bg-BG"/>
        </w:rPr>
        <w:t xml:space="preserve">Eвропейски атлас на моретата. </w:t>
      </w:r>
    </w:p>
    <w:p w14:paraId="474D77C1" w14:textId="77777777" w:rsidR="00261A06" w:rsidRPr="00610B1B" w:rsidRDefault="00261A06" w:rsidP="00D32D6A">
      <w:pPr>
        <w:spacing w:after="120"/>
        <w:ind w:right="-153"/>
        <w:jc w:val="both"/>
        <w:rPr>
          <w:rFonts w:ascii="Times New Roman" w:hAnsi="Times New Roman" w:cs="Times New Roman"/>
          <w:sz w:val="24"/>
          <w:szCs w:val="24"/>
          <w:lang w:val="bg-BG"/>
        </w:rPr>
      </w:pPr>
    </w:p>
    <w:p w14:paraId="1948C7AF" w14:textId="62E71F3D" w:rsidR="00F373EE" w:rsidRPr="00610B1B" w:rsidRDefault="00F17BA3" w:rsidP="00D32D6A">
      <w:pPr>
        <w:pStyle w:val="Heading3"/>
        <w:spacing w:before="0" w:line="276" w:lineRule="auto"/>
        <w:ind w:right="-153"/>
        <w:rPr>
          <w:rFonts w:cs="Times New Roman"/>
        </w:rPr>
      </w:pPr>
      <w:bookmarkStart w:id="11" w:name="_Toc83391353"/>
      <w:r w:rsidRPr="00610B1B">
        <w:rPr>
          <w:rFonts w:cs="Times New Roman"/>
        </w:rPr>
        <w:t>1.1</w:t>
      </w:r>
      <w:r w:rsidR="001D3664" w:rsidRPr="00610B1B">
        <w:rPr>
          <w:rFonts w:cs="Times New Roman"/>
        </w:rPr>
        <w:t xml:space="preserve">.2. </w:t>
      </w:r>
      <w:r w:rsidR="00F373EE" w:rsidRPr="00610B1B">
        <w:rPr>
          <w:rFonts w:cs="Times New Roman"/>
        </w:rPr>
        <w:t>Институционална рамка</w:t>
      </w:r>
      <w:bookmarkEnd w:id="11"/>
      <w:r w:rsidR="00D66FE0" w:rsidRPr="00610B1B">
        <w:rPr>
          <w:rFonts w:cs="Times New Roman"/>
        </w:rPr>
        <w:t xml:space="preserve"> </w:t>
      </w:r>
    </w:p>
    <w:p w14:paraId="6DC96630" w14:textId="31D1C48E" w:rsidR="000D2FE8" w:rsidRPr="00610B1B" w:rsidRDefault="00B6024B"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Институционалната рамка на морското пространствено планиране в България и на неговия основен инструмент – Морския пространствен план на страната, е определена в </w:t>
      </w:r>
      <w:r w:rsidR="002947B3" w:rsidRPr="00610B1B">
        <w:rPr>
          <w:rFonts w:ascii="Times New Roman" w:hAnsi="Times New Roman" w:cs="Times New Roman"/>
          <w:bCs/>
          <w:sz w:val="24"/>
          <w:szCs w:val="24"/>
          <w:lang w:val="bg-BG"/>
        </w:rPr>
        <w:t xml:space="preserve">Раздел VІІ „Използване на морските пространства и опазване на морската среда“ </w:t>
      </w:r>
      <w:r w:rsidRPr="00610B1B">
        <w:rPr>
          <w:rFonts w:ascii="Times New Roman" w:hAnsi="Times New Roman" w:cs="Times New Roman"/>
          <w:bCs/>
          <w:sz w:val="24"/>
          <w:szCs w:val="24"/>
          <w:lang w:val="bg-BG"/>
        </w:rPr>
        <w:t>на Закона за морските пространства, вътрешните водни пътища и пристанища на Република България</w:t>
      </w:r>
      <w:r w:rsidR="00004E6B" w:rsidRPr="00610B1B">
        <w:rPr>
          <w:rFonts w:ascii="Times New Roman" w:hAnsi="Times New Roman" w:cs="Times New Roman"/>
          <w:bCs/>
          <w:sz w:val="24"/>
          <w:szCs w:val="24"/>
          <w:lang w:val="bg-BG"/>
        </w:rPr>
        <w:t xml:space="preserve"> (ЗМПВВППРБ)</w:t>
      </w:r>
      <w:r w:rsidR="002947B3" w:rsidRPr="00610B1B">
        <w:rPr>
          <w:rFonts w:ascii="Times New Roman" w:hAnsi="Times New Roman" w:cs="Times New Roman"/>
          <w:bCs/>
          <w:sz w:val="24"/>
          <w:szCs w:val="24"/>
          <w:lang w:val="bg-BG"/>
        </w:rPr>
        <w:t>.</w:t>
      </w:r>
      <w:r w:rsidRPr="00610B1B">
        <w:rPr>
          <w:rStyle w:val="FootnoteReference"/>
          <w:rFonts w:ascii="Times New Roman" w:hAnsi="Times New Roman" w:cs="Times New Roman"/>
          <w:bCs/>
          <w:sz w:val="24"/>
          <w:szCs w:val="24"/>
          <w:lang w:val="bg-BG"/>
        </w:rPr>
        <w:footnoteReference w:id="16"/>
      </w:r>
      <w:r w:rsidR="00A13509" w:rsidRPr="00610B1B">
        <w:rPr>
          <w:rFonts w:ascii="Times New Roman" w:hAnsi="Times New Roman" w:cs="Times New Roman"/>
          <w:bCs/>
          <w:sz w:val="24"/>
          <w:szCs w:val="24"/>
          <w:lang w:val="bg-BG"/>
        </w:rPr>
        <w:t xml:space="preserve"> Ръководството </w:t>
      </w:r>
      <w:r w:rsidR="002947B3" w:rsidRPr="00610B1B">
        <w:rPr>
          <w:rFonts w:ascii="Times New Roman" w:hAnsi="Times New Roman" w:cs="Times New Roman"/>
          <w:bCs/>
          <w:sz w:val="24"/>
          <w:szCs w:val="24"/>
          <w:lang w:val="bg-BG"/>
        </w:rPr>
        <w:t>и координация</w:t>
      </w:r>
      <w:r w:rsidR="00A13509" w:rsidRPr="00610B1B">
        <w:rPr>
          <w:rFonts w:ascii="Times New Roman" w:hAnsi="Times New Roman" w:cs="Times New Roman"/>
          <w:bCs/>
          <w:sz w:val="24"/>
          <w:szCs w:val="24"/>
          <w:lang w:val="bg-BG"/>
        </w:rPr>
        <w:t>та</w:t>
      </w:r>
      <w:r w:rsidR="002947B3" w:rsidRPr="00610B1B">
        <w:rPr>
          <w:rFonts w:ascii="Times New Roman" w:hAnsi="Times New Roman" w:cs="Times New Roman"/>
          <w:bCs/>
          <w:sz w:val="24"/>
          <w:szCs w:val="24"/>
          <w:lang w:val="bg-BG"/>
        </w:rPr>
        <w:t xml:space="preserve"> на дейността по морско пространствено планиране се осъществява от министъра на регионалното развитие и благоустройството, който отговаря и за изработването и поддържането на Морския пространствен план на Република България</w:t>
      </w:r>
      <w:r w:rsidR="00A13509" w:rsidRPr="00610B1B">
        <w:rPr>
          <w:rFonts w:ascii="Times New Roman" w:hAnsi="Times New Roman" w:cs="Times New Roman"/>
          <w:lang w:val="bg-BG"/>
        </w:rPr>
        <w:t xml:space="preserve"> (</w:t>
      </w:r>
      <w:r w:rsidR="00A13509" w:rsidRPr="00610B1B">
        <w:rPr>
          <w:rFonts w:ascii="Times New Roman" w:hAnsi="Times New Roman" w:cs="Times New Roman"/>
          <w:bCs/>
          <w:sz w:val="24"/>
          <w:szCs w:val="24"/>
          <w:lang w:val="bg-BG"/>
        </w:rPr>
        <w:t>чл. 51б).</w:t>
      </w:r>
      <w:r w:rsidR="002947B3" w:rsidRPr="00610B1B">
        <w:rPr>
          <w:rFonts w:ascii="Times New Roman" w:hAnsi="Times New Roman" w:cs="Times New Roman"/>
          <w:bCs/>
          <w:sz w:val="24"/>
          <w:szCs w:val="24"/>
          <w:lang w:val="bg-BG"/>
        </w:rPr>
        <w:t xml:space="preserve"> Работата му се подпомага от Консултативен съвет, в който са включени представители на всички заинтересовани страни за да се </w:t>
      </w:r>
      <w:r w:rsidR="00D65324" w:rsidRPr="00610B1B">
        <w:rPr>
          <w:rFonts w:ascii="Times New Roman" w:hAnsi="Times New Roman" w:cs="Times New Roman"/>
          <w:bCs/>
          <w:sz w:val="24"/>
          <w:szCs w:val="24"/>
          <w:lang w:val="bg-BG"/>
        </w:rPr>
        <w:t xml:space="preserve">улесни </w:t>
      </w:r>
      <w:r w:rsidR="002947B3" w:rsidRPr="00610B1B">
        <w:rPr>
          <w:rFonts w:ascii="Times New Roman" w:hAnsi="Times New Roman" w:cs="Times New Roman"/>
          <w:bCs/>
          <w:sz w:val="24"/>
          <w:szCs w:val="24"/>
          <w:lang w:val="bg-BG"/>
        </w:rPr>
        <w:t>сътрудничеството и координацията между сектори</w:t>
      </w:r>
      <w:r w:rsidR="00F17BA3" w:rsidRPr="00610B1B">
        <w:rPr>
          <w:rFonts w:ascii="Times New Roman" w:hAnsi="Times New Roman" w:cs="Times New Roman"/>
          <w:bCs/>
          <w:sz w:val="24"/>
          <w:szCs w:val="24"/>
          <w:lang w:val="bg-BG"/>
        </w:rPr>
        <w:t>те</w:t>
      </w:r>
      <w:r w:rsidR="002947B3" w:rsidRPr="00610B1B">
        <w:rPr>
          <w:rFonts w:ascii="Times New Roman" w:hAnsi="Times New Roman" w:cs="Times New Roman"/>
          <w:bCs/>
          <w:sz w:val="24"/>
          <w:szCs w:val="24"/>
          <w:lang w:val="bg-BG"/>
        </w:rPr>
        <w:t xml:space="preserve">. </w:t>
      </w:r>
      <w:r w:rsidR="00776513" w:rsidRPr="00610B1B">
        <w:rPr>
          <w:rFonts w:ascii="Times New Roman" w:hAnsi="Times New Roman" w:cs="Times New Roman"/>
          <w:bCs/>
          <w:sz w:val="24"/>
          <w:szCs w:val="24"/>
          <w:lang w:val="bg-BG"/>
        </w:rPr>
        <w:t xml:space="preserve">Дейността на министъра в областта на морското пространствено планиране се подпомага от </w:t>
      </w:r>
      <w:r w:rsidR="00937850" w:rsidRPr="00610B1B">
        <w:rPr>
          <w:rFonts w:ascii="Times New Roman" w:hAnsi="Times New Roman" w:cs="Times New Roman"/>
          <w:bCs/>
          <w:sz w:val="24"/>
          <w:szCs w:val="24"/>
          <w:lang w:val="bg-BG"/>
        </w:rPr>
        <w:t>всички подразделения на м</w:t>
      </w:r>
      <w:r w:rsidR="00004E6B" w:rsidRPr="00610B1B">
        <w:rPr>
          <w:rFonts w:ascii="Times New Roman" w:hAnsi="Times New Roman" w:cs="Times New Roman"/>
          <w:bCs/>
          <w:sz w:val="24"/>
          <w:szCs w:val="24"/>
          <w:lang w:val="bg-BG"/>
        </w:rPr>
        <w:t>и</w:t>
      </w:r>
      <w:r w:rsidR="00937850" w:rsidRPr="00610B1B">
        <w:rPr>
          <w:rFonts w:ascii="Times New Roman" w:hAnsi="Times New Roman" w:cs="Times New Roman"/>
          <w:bCs/>
          <w:sz w:val="24"/>
          <w:szCs w:val="24"/>
          <w:lang w:val="bg-BG"/>
        </w:rPr>
        <w:t>нистерството, свързани със стратег</w:t>
      </w:r>
      <w:r w:rsidR="00447993" w:rsidRPr="00610B1B">
        <w:rPr>
          <w:rFonts w:ascii="Times New Roman" w:hAnsi="Times New Roman" w:cs="Times New Roman"/>
          <w:bCs/>
          <w:sz w:val="24"/>
          <w:szCs w:val="24"/>
          <w:lang w:val="bg-BG"/>
        </w:rPr>
        <w:t>и</w:t>
      </w:r>
      <w:r w:rsidR="00937850" w:rsidRPr="00610B1B">
        <w:rPr>
          <w:rFonts w:ascii="Times New Roman" w:hAnsi="Times New Roman" w:cs="Times New Roman"/>
          <w:bCs/>
          <w:sz w:val="24"/>
          <w:szCs w:val="24"/>
          <w:lang w:val="bg-BG"/>
        </w:rPr>
        <w:t>ческото регионално, пространствено</w:t>
      </w:r>
      <w:r w:rsidR="00004E6B" w:rsidRPr="00610B1B">
        <w:rPr>
          <w:rFonts w:ascii="Times New Roman" w:hAnsi="Times New Roman" w:cs="Times New Roman"/>
          <w:bCs/>
          <w:sz w:val="24"/>
          <w:szCs w:val="24"/>
          <w:lang w:val="bg-BG"/>
        </w:rPr>
        <w:t>то</w:t>
      </w:r>
      <w:r w:rsidR="00937850" w:rsidRPr="00610B1B">
        <w:rPr>
          <w:rFonts w:ascii="Times New Roman" w:hAnsi="Times New Roman" w:cs="Times New Roman"/>
          <w:bCs/>
          <w:sz w:val="24"/>
          <w:szCs w:val="24"/>
          <w:lang w:val="bg-BG"/>
        </w:rPr>
        <w:t xml:space="preserve"> и устройствено</w:t>
      </w:r>
      <w:r w:rsidR="00004E6B" w:rsidRPr="00610B1B">
        <w:rPr>
          <w:rFonts w:ascii="Times New Roman" w:hAnsi="Times New Roman" w:cs="Times New Roman"/>
          <w:bCs/>
          <w:sz w:val="24"/>
          <w:szCs w:val="24"/>
          <w:lang w:val="bg-BG"/>
        </w:rPr>
        <w:t>то</w:t>
      </w:r>
      <w:r w:rsidR="00937850" w:rsidRPr="00610B1B">
        <w:rPr>
          <w:rFonts w:ascii="Times New Roman" w:hAnsi="Times New Roman" w:cs="Times New Roman"/>
          <w:bCs/>
          <w:sz w:val="24"/>
          <w:szCs w:val="24"/>
          <w:lang w:val="bg-BG"/>
        </w:rPr>
        <w:t xml:space="preserve"> планиране, за опазване на бреговете от абразионни, ерозионни и свлачищни процеси</w:t>
      </w:r>
      <w:r w:rsidR="00004E6B" w:rsidRPr="00610B1B">
        <w:rPr>
          <w:rFonts w:ascii="Times New Roman" w:hAnsi="Times New Roman" w:cs="Times New Roman"/>
          <w:bCs/>
          <w:sz w:val="24"/>
          <w:szCs w:val="24"/>
          <w:lang w:val="bg-BG"/>
        </w:rPr>
        <w:t xml:space="preserve"> и от </w:t>
      </w:r>
      <w:r w:rsidR="00937850" w:rsidRPr="00610B1B">
        <w:rPr>
          <w:rFonts w:ascii="Times New Roman" w:hAnsi="Times New Roman" w:cs="Times New Roman"/>
          <w:bCs/>
          <w:sz w:val="24"/>
          <w:szCs w:val="24"/>
          <w:lang w:val="bg-BG"/>
        </w:rPr>
        <w:t xml:space="preserve">АГКК </w:t>
      </w:r>
      <w:r w:rsidR="00004E6B" w:rsidRPr="00610B1B">
        <w:rPr>
          <w:rFonts w:ascii="Times New Roman" w:hAnsi="Times New Roman" w:cs="Times New Roman"/>
          <w:bCs/>
          <w:sz w:val="24"/>
          <w:szCs w:val="24"/>
          <w:lang w:val="bg-BG"/>
        </w:rPr>
        <w:t xml:space="preserve">във връзка с предоставените правомощия за </w:t>
      </w:r>
      <w:r w:rsidR="00921474" w:rsidRPr="00610B1B">
        <w:rPr>
          <w:rFonts w:ascii="Times New Roman" w:hAnsi="Times New Roman" w:cs="Times New Roman"/>
          <w:bCs/>
          <w:sz w:val="24"/>
          <w:szCs w:val="24"/>
          <w:lang w:val="bg-BG"/>
        </w:rPr>
        <w:t>поддържане на</w:t>
      </w:r>
      <w:r w:rsidR="00921474" w:rsidRPr="00610B1B">
        <w:rPr>
          <w:rFonts w:ascii="Times New Roman" w:hAnsi="Times New Roman" w:cs="Times New Roman"/>
          <w:lang w:val="bg-BG"/>
        </w:rPr>
        <w:t xml:space="preserve"> </w:t>
      </w:r>
      <w:r w:rsidR="00921474" w:rsidRPr="00610B1B">
        <w:rPr>
          <w:rFonts w:ascii="Times New Roman" w:hAnsi="Times New Roman" w:cs="Times New Roman"/>
          <w:bCs/>
          <w:sz w:val="24"/>
          <w:szCs w:val="24"/>
          <w:lang w:val="bg-BG"/>
        </w:rPr>
        <w:t>държавния геодезически, картографски и кадастрален фонд и на мрежата от мареографни станции</w:t>
      </w:r>
      <w:r w:rsidR="000D2FE8" w:rsidRPr="00610B1B">
        <w:rPr>
          <w:rFonts w:ascii="Times New Roman" w:hAnsi="Times New Roman" w:cs="Times New Roman"/>
          <w:bCs/>
          <w:sz w:val="24"/>
          <w:szCs w:val="24"/>
          <w:lang w:val="bg-BG"/>
        </w:rPr>
        <w:t xml:space="preserve">. </w:t>
      </w:r>
      <w:r w:rsidR="00447993" w:rsidRPr="00610B1B">
        <w:rPr>
          <w:rFonts w:ascii="Times New Roman" w:hAnsi="Times New Roman" w:cs="Times New Roman"/>
          <w:bCs/>
          <w:sz w:val="24"/>
          <w:szCs w:val="24"/>
          <w:lang w:val="bg-BG"/>
        </w:rPr>
        <w:t>В процеса на одобряване на морския пространствен план и неговата екологична оценка, както и при наблюдение изпълнение</w:t>
      </w:r>
      <w:r w:rsidR="00A13509" w:rsidRPr="00610B1B">
        <w:rPr>
          <w:rFonts w:ascii="Times New Roman" w:hAnsi="Times New Roman" w:cs="Times New Roman"/>
          <w:bCs/>
          <w:sz w:val="24"/>
          <w:szCs w:val="24"/>
          <w:lang w:val="bg-BG"/>
        </w:rPr>
        <w:t>то</w:t>
      </w:r>
      <w:r w:rsidR="00447993" w:rsidRPr="00610B1B">
        <w:rPr>
          <w:rFonts w:ascii="Times New Roman" w:hAnsi="Times New Roman" w:cs="Times New Roman"/>
          <w:bCs/>
          <w:sz w:val="24"/>
          <w:szCs w:val="24"/>
          <w:lang w:val="bg-BG"/>
        </w:rPr>
        <w:t xml:space="preserve"> на предписанията на компетентния орган участват МОСВ и </w:t>
      </w:r>
      <w:r w:rsidR="008A49C4" w:rsidRPr="00610B1B">
        <w:rPr>
          <w:rFonts w:ascii="Times New Roman" w:hAnsi="Times New Roman" w:cs="Times New Roman"/>
          <w:bCs/>
          <w:sz w:val="24"/>
          <w:szCs w:val="24"/>
          <w:lang w:val="bg-BG"/>
        </w:rPr>
        <w:t xml:space="preserve">МЗ с </w:t>
      </w:r>
      <w:r w:rsidR="00107E3C" w:rsidRPr="00610B1B">
        <w:rPr>
          <w:rFonts w:ascii="Times New Roman" w:hAnsi="Times New Roman" w:cs="Times New Roman"/>
          <w:bCs/>
          <w:sz w:val="24"/>
          <w:szCs w:val="24"/>
          <w:lang w:val="bg-BG"/>
        </w:rPr>
        <w:t>техните</w:t>
      </w:r>
      <w:r w:rsidR="008A49C4" w:rsidRPr="00610B1B">
        <w:rPr>
          <w:rFonts w:ascii="Times New Roman" w:hAnsi="Times New Roman" w:cs="Times New Roman"/>
          <w:bCs/>
          <w:sz w:val="24"/>
          <w:szCs w:val="24"/>
          <w:lang w:val="bg-BG"/>
        </w:rPr>
        <w:t xml:space="preserve"> </w:t>
      </w:r>
      <w:r w:rsidR="00447993" w:rsidRPr="00610B1B">
        <w:rPr>
          <w:rFonts w:ascii="Times New Roman" w:hAnsi="Times New Roman" w:cs="Times New Roman"/>
          <w:bCs/>
          <w:sz w:val="24"/>
          <w:szCs w:val="24"/>
          <w:lang w:val="bg-BG"/>
        </w:rPr>
        <w:t xml:space="preserve">подразделения, </w:t>
      </w:r>
      <w:r w:rsidR="008A49C4" w:rsidRPr="00610B1B">
        <w:rPr>
          <w:rFonts w:ascii="Times New Roman" w:hAnsi="Times New Roman" w:cs="Times New Roman"/>
          <w:bCs/>
          <w:sz w:val="24"/>
          <w:szCs w:val="24"/>
          <w:lang w:val="bg-BG"/>
        </w:rPr>
        <w:t>к</w:t>
      </w:r>
      <w:r w:rsidR="00447993" w:rsidRPr="00610B1B">
        <w:rPr>
          <w:rFonts w:ascii="Times New Roman" w:hAnsi="Times New Roman" w:cs="Times New Roman"/>
          <w:bCs/>
          <w:sz w:val="24"/>
          <w:szCs w:val="24"/>
          <w:lang w:val="bg-BG"/>
        </w:rPr>
        <w:t>акто и неправителствения</w:t>
      </w:r>
      <w:r w:rsidR="008A49C4" w:rsidRPr="00610B1B">
        <w:rPr>
          <w:rFonts w:ascii="Times New Roman" w:hAnsi="Times New Roman" w:cs="Times New Roman"/>
          <w:bCs/>
          <w:sz w:val="24"/>
          <w:szCs w:val="24"/>
          <w:lang w:val="bg-BG"/>
        </w:rPr>
        <w:t>т</w:t>
      </w:r>
      <w:r w:rsidR="00447993" w:rsidRPr="00610B1B">
        <w:rPr>
          <w:rFonts w:ascii="Times New Roman" w:hAnsi="Times New Roman" w:cs="Times New Roman"/>
          <w:bCs/>
          <w:sz w:val="24"/>
          <w:szCs w:val="24"/>
          <w:lang w:val="bg-BG"/>
        </w:rPr>
        <w:t xml:space="preserve"> сектор. В оценката на въздействието в трансграничен контекст се включват съответните институции от Румъния и Турция, както и Комисията за опазване на Черно море от замърсяване</w:t>
      </w:r>
      <w:r w:rsidR="00447993" w:rsidRPr="00610B1B">
        <w:rPr>
          <w:rStyle w:val="FootnoteReference"/>
          <w:rFonts w:ascii="Times New Roman" w:hAnsi="Times New Roman" w:cs="Times New Roman"/>
          <w:bCs/>
          <w:sz w:val="24"/>
          <w:szCs w:val="24"/>
          <w:lang w:val="bg-BG"/>
        </w:rPr>
        <w:footnoteReference w:id="17"/>
      </w:r>
      <w:r w:rsidR="00447993" w:rsidRPr="00610B1B">
        <w:rPr>
          <w:rFonts w:ascii="Times New Roman" w:hAnsi="Times New Roman" w:cs="Times New Roman"/>
          <w:bCs/>
          <w:sz w:val="24"/>
          <w:szCs w:val="24"/>
          <w:lang w:val="bg-BG"/>
        </w:rPr>
        <w:t xml:space="preserve">. </w:t>
      </w:r>
    </w:p>
    <w:p w14:paraId="4E54F2C5" w14:textId="2306ACEB" w:rsidR="00CB6AEC" w:rsidRPr="00610B1B" w:rsidRDefault="000D2FE8"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lastRenderedPageBreak/>
        <w:t>В управлението на морския трафик и пристанищата водеща роля има Мини</w:t>
      </w:r>
      <w:r w:rsidR="002947B3" w:rsidRPr="00610B1B">
        <w:rPr>
          <w:rFonts w:ascii="Times New Roman" w:hAnsi="Times New Roman" w:cs="Times New Roman"/>
          <w:bCs/>
          <w:sz w:val="24"/>
          <w:szCs w:val="24"/>
          <w:lang w:val="bg-BG"/>
        </w:rPr>
        <w:t>стерството на транспорта, информационните технологии и съобщенията</w:t>
      </w:r>
      <w:r w:rsidRPr="00610B1B">
        <w:rPr>
          <w:rFonts w:ascii="Times New Roman" w:hAnsi="Times New Roman" w:cs="Times New Roman"/>
          <w:bCs/>
          <w:sz w:val="24"/>
          <w:szCs w:val="24"/>
          <w:lang w:val="bg-BG"/>
        </w:rPr>
        <w:t xml:space="preserve">, подпомагано от </w:t>
      </w:r>
      <w:r w:rsidR="002947B3" w:rsidRPr="00610B1B">
        <w:rPr>
          <w:rFonts w:ascii="Times New Roman" w:hAnsi="Times New Roman" w:cs="Times New Roman"/>
          <w:bCs/>
          <w:sz w:val="24"/>
          <w:szCs w:val="24"/>
          <w:lang w:val="bg-BG"/>
        </w:rPr>
        <w:t>ИА „Морска администрация“</w:t>
      </w:r>
      <w:r w:rsidRPr="00610B1B">
        <w:rPr>
          <w:rFonts w:ascii="Times New Roman" w:hAnsi="Times New Roman" w:cs="Times New Roman"/>
          <w:bCs/>
          <w:sz w:val="24"/>
          <w:szCs w:val="24"/>
          <w:lang w:val="bg-BG"/>
        </w:rPr>
        <w:t>,</w:t>
      </w:r>
      <w:r w:rsidR="002947B3" w:rsidRPr="00610B1B">
        <w:rPr>
          <w:rFonts w:ascii="Times New Roman" w:hAnsi="Times New Roman" w:cs="Times New Roman"/>
          <w:bCs/>
          <w:sz w:val="24"/>
          <w:szCs w:val="24"/>
          <w:lang w:val="bg-BG"/>
        </w:rPr>
        <w:t xml:space="preserve"> </w:t>
      </w:r>
      <w:r w:rsidR="00776513" w:rsidRPr="00610B1B">
        <w:rPr>
          <w:rFonts w:ascii="Times New Roman" w:hAnsi="Times New Roman" w:cs="Times New Roman"/>
          <w:bCs/>
          <w:sz w:val="24"/>
          <w:szCs w:val="24"/>
          <w:lang w:val="bg-BG"/>
        </w:rPr>
        <w:t>ДП „Пристанищна инфраструктура“</w:t>
      </w:r>
      <w:r w:rsidRPr="00610B1B">
        <w:rPr>
          <w:rFonts w:ascii="Times New Roman" w:hAnsi="Times New Roman" w:cs="Times New Roman"/>
          <w:bCs/>
          <w:sz w:val="24"/>
          <w:szCs w:val="24"/>
          <w:lang w:val="bg-BG"/>
        </w:rPr>
        <w:t xml:space="preserve"> </w:t>
      </w:r>
      <w:r w:rsidR="00CB6AEC" w:rsidRPr="00610B1B">
        <w:rPr>
          <w:rFonts w:ascii="Times New Roman" w:hAnsi="Times New Roman" w:cs="Times New Roman"/>
          <w:bCs/>
          <w:sz w:val="24"/>
          <w:szCs w:val="24"/>
          <w:lang w:val="bg-BG"/>
        </w:rPr>
        <w:t>с дирекция „Ръководство на корабния трафик – Черно море“ и двата информационни центъра във Варна и Бургас.</w:t>
      </w:r>
      <w:r w:rsidR="00D66FE0" w:rsidRPr="00610B1B">
        <w:rPr>
          <w:rFonts w:ascii="Times New Roman" w:hAnsi="Times New Roman" w:cs="Times New Roman"/>
          <w:bCs/>
          <w:sz w:val="24"/>
          <w:szCs w:val="24"/>
          <w:lang w:val="bg-BG"/>
        </w:rPr>
        <w:t xml:space="preserve"> </w:t>
      </w:r>
      <w:r w:rsidR="00447993" w:rsidRPr="00610B1B">
        <w:rPr>
          <w:rFonts w:ascii="Times New Roman" w:hAnsi="Times New Roman" w:cs="Times New Roman"/>
          <w:bCs/>
          <w:sz w:val="24"/>
          <w:szCs w:val="24"/>
          <w:lang w:val="bg-BG"/>
        </w:rPr>
        <w:t xml:space="preserve">Координацията на трафика се осъществява в съответствие с </w:t>
      </w:r>
      <w:r w:rsidR="00AF41FD" w:rsidRPr="00610B1B">
        <w:rPr>
          <w:rFonts w:ascii="Times New Roman" w:hAnsi="Times New Roman" w:cs="Times New Roman"/>
          <w:bCs/>
          <w:sz w:val="24"/>
          <w:szCs w:val="24"/>
          <w:lang w:val="bg-BG"/>
        </w:rPr>
        <w:t>действащото международно законодателство, а системите за движение се одобр</w:t>
      </w:r>
      <w:r w:rsidR="008A49C4" w:rsidRPr="00610B1B">
        <w:rPr>
          <w:rFonts w:ascii="Times New Roman" w:hAnsi="Times New Roman" w:cs="Times New Roman"/>
          <w:bCs/>
          <w:sz w:val="24"/>
          <w:szCs w:val="24"/>
          <w:lang w:val="bg-BG"/>
        </w:rPr>
        <w:t>яват</w:t>
      </w:r>
      <w:r w:rsidR="00AF41FD" w:rsidRPr="00610B1B">
        <w:rPr>
          <w:rFonts w:ascii="Times New Roman" w:hAnsi="Times New Roman" w:cs="Times New Roman"/>
          <w:bCs/>
          <w:sz w:val="24"/>
          <w:szCs w:val="24"/>
          <w:lang w:val="bg-BG"/>
        </w:rPr>
        <w:t xml:space="preserve"> от Министерски съвет и от Комитета по морска безопасност на Международната морска организация.</w:t>
      </w:r>
    </w:p>
    <w:p w14:paraId="0C8BA633" w14:textId="18445897" w:rsidR="00CB6AEC" w:rsidRPr="00610B1B" w:rsidRDefault="005C52CC"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Рибарството </w:t>
      </w:r>
      <w:r w:rsidR="00CB6AEC" w:rsidRPr="00610B1B">
        <w:rPr>
          <w:rFonts w:ascii="Times New Roman" w:hAnsi="Times New Roman" w:cs="Times New Roman"/>
          <w:bCs/>
          <w:sz w:val="24"/>
          <w:szCs w:val="24"/>
          <w:lang w:val="bg-BG"/>
        </w:rPr>
        <w:t xml:space="preserve">и аквакултурите </w:t>
      </w:r>
      <w:r w:rsidRPr="00610B1B">
        <w:rPr>
          <w:rFonts w:ascii="Times New Roman" w:hAnsi="Times New Roman" w:cs="Times New Roman"/>
          <w:bCs/>
          <w:sz w:val="24"/>
          <w:szCs w:val="24"/>
          <w:lang w:val="bg-BG"/>
        </w:rPr>
        <w:t>са под наблюдението на</w:t>
      </w:r>
      <w:r w:rsidR="00CB6AEC" w:rsidRPr="00610B1B">
        <w:rPr>
          <w:rFonts w:ascii="Times New Roman" w:hAnsi="Times New Roman" w:cs="Times New Roman"/>
          <w:bCs/>
          <w:sz w:val="24"/>
          <w:szCs w:val="24"/>
          <w:lang w:val="bg-BG"/>
        </w:rPr>
        <w:t xml:space="preserve"> </w:t>
      </w:r>
      <w:r w:rsidR="002947B3" w:rsidRPr="00610B1B">
        <w:rPr>
          <w:rFonts w:ascii="Times New Roman" w:hAnsi="Times New Roman" w:cs="Times New Roman"/>
          <w:bCs/>
          <w:sz w:val="24"/>
          <w:szCs w:val="24"/>
          <w:lang w:val="bg-BG"/>
        </w:rPr>
        <w:t>Министерство на земеделието, храните и горите</w:t>
      </w:r>
      <w:r w:rsidR="008A49C4" w:rsidRPr="00610B1B">
        <w:rPr>
          <w:rFonts w:ascii="Times New Roman" w:hAnsi="Times New Roman" w:cs="Times New Roman"/>
          <w:bCs/>
          <w:sz w:val="24"/>
          <w:szCs w:val="24"/>
          <w:lang w:val="bg-BG"/>
        </w:rPr>
        <w:t xml:space="preserve"> чрез ИА „Рибарство и аквакултури“</w:t>
      </w:r>
      <w:r w:rsidR="00CB6AEC" w:rsidRPr="00610B1B">
        <w:rPr>
          <w:rFonts w:ascii="Times New Roman" w:hAnsi="Times New Roman" w:cs="Times New Roman"/>
          <w:bCs/>
          <w:sz w:val="24"/>
          <w:szCs w:val="24"/>
          <w:lang w:val="bg-BG"/>
        </w:rPr>
        <w:t>.</w:t>
      </w:r>
      <w:r w:rsidR="00D66FE0" w:rsidRPr="00610B1B">
        <w:rPr>
          <w:rFonts w:ascii="Times New Roman" w:hAnsi="Times New Roman" w:cs="Times New Roman"/>
          <w:bCs/>
          <w:sz w:val="24"/>
          <w:szCs w:val="24"/>
          <w:lang w:val="bg-BG"/>
        </w:rPr>
        <w:t xml:space="preserve"> </w:t>
      </w:r>
      <w:r w:rsidR="0037269C" w:rsidRPr="00610B1B">
        <w:rPr>
          <w:rFonts w:ascii="Times New Roman" w:hAnsi="Times New Roman" w:cs="Times New Roman"/>
          <w:bCs/>
          <w:sz w:val="24"/>
          <w:szCs w:val="24"/>
          <w:lang w:val="bg-BG"/>
        </w:rPr>
        <w:t xml:space="preserve">Изпълнителният директор на ИАРА определя </w:t>
      </w:r>
      <w:r w:rsidR="008A49C4" w:rsidRPr="00610B1B">
        <w:rPr>
          <w:rFonts w:ascii="Times New Roman" w:hAnsi="Times New Roman" w:cs="Times New Roman"/>
          <w:bCs/>
          <w:sz w:val="24"/>
          <w:szCs w:val="24"/>
          <w:lang w:val="bg-BG"/>
        </w:rPr>
        <w:t xml:space="preserve">със заповед </w:t>
      </w:r>
      <w:r w:rsidR="0037269C" w:rsidRPr="00610B1B">
        <w:rPr>
          <w:rFonts w:ascii="Times New Roman" w:hAnsi="Times New Roman" w:cs="Times New Roman"/>
          <w:bCs/>
          <w:sz w:val="24"/>
          <w:szCs w:val="24"/>
          <w:lang w:val="bg-BG"/>
        </w:rPr>
        <w:t>условията за улов на видовете риба или други водни организми, за които е определен общ допустим улов и/или квота</w:t>
      </w:r>
      <w:r w:rsidR="00D66FE0" w:rsidRPr="00610B1B">
        <w:rPr>
          <w:rFonts w:ascii="Times New Roman" w:hAnsi="Times New Roman" w:cs="Times New Roman"/>
          <w:bCs/>
          <w:sz w:val="24"/>
          <w:szCs w:val="24"/>
          <w:lang w:val="bg-BG"/>
        </w:rPr>
        <w:t xml:space="preserve"> </w:t>
      </w:r>
      <w:r w:rsidR="0037269C" w:rsidRPr="00610B1B">
        <w:rPr>
          <w:rFonts w:ascii="Times New Roman" w:hAnsi="Times New Roman" w:cs="Times New Roman"/>
          <w:bCs/>
          <w:sz w:val="24"/>
          <w:szCs w:val="24"/>
          <w:lang w:val="bg-BG"/>
        </w:rPr>
        <w:t>или такива са определени от Е</w:t>
      </w:r>
      <w:r w:rsidR="008A49C4" w:rsidRPr="00610B1B">
        <w:rPr>
          <w:rFonts w:ascii="Times New Roman" w:hAnsi="Times New Roman" w:cs="Times New Roman"/>
          <w:bCs/>
          <w:sz w:val="24"/>
          <w:szCs w:val="24"/>
          <w:lang w:val="bg-BG"/>
        </w:rPr>
        <w:t>С</w:t>
      </w:r>
      <w:r w:rsidR="0037269C" w:rsidRPr="00610B1B">
        <w:rPr>
          <w:rFonts w:ascii="Times New Roman" w:hAnsi="Times New Roman" w:cs="Times New Roman"/>
          <w:bCs/>
          <w:sz w:val="24"/>
          <w:szCs w:val="24"/>
          <w:lang w:val="bg-BG"/>
        </w:rPr>
        <w:t xml:space="preserve"> за водите на Черно море. </w:t>
      </w:r>
      <w:r w:rsidR="007C0D77" w:rsidRPr="00610B1B">
        <w:rPr>
          <w:rFonts w:ascii="Times New Roman" w:hAnsi="Times New Roman" w:cs="Times New Roman"/>
          <w:bCs/>
          <w:sz w:val="24"/>
          <w:szCs w:val="24"/>
          <w:lang w:val="bg-BG"/>
        </w:rPr>
        <w:t xml:space="preserve">Допълнително интересите в сектора и тези на местните общности </w:t>
      </w:r>
      <w:r w:rsidRPr="00610B1B">
        <w:rPr>
          <w:rFonts w:ascii="Times New Roman" w:hAnsi="Times New Roman" w:cs="Times New Roman"/>
          <w:bCs/>
          <w:sz w:val="24"/>
          <w:szCs w:val="24"/>
          <w:lang w:val="bg-BG"/>
        </w:rPr>
        <w:t xml:space="preserve">се защитават и от </w:t>
      </w:r>
      <w:r w:rsidR="007C0D77" w:rsidRPr="00610B1B">
        <w:rPr>
          <w:rFonts w:ascii="Times New Roman" w:hAnsi="Times New Roman" w:cs="Times New Roman"/>
          <w:bCs/>
          <w:sz w:val="24"/>
          <w:szCs w:val="24"/>
          <w:lang w:val="bg-BG"/>
        </w:rPr>
        <w:t>местните рибарски инициативни групи и асоциациите на рибарите.</w:t>
      </w:r>
      <w:r w:rsidR="0064716E" w:rsidRPr="00610B1B">
        <w:rPr>
          <w:rFonts w:ascii="Times New Roman" w:hAnsi="Times New Roman" w:cs="Times New Roman"/>
          <w:bCs/>
          <w:sz w:val="24"/>
          <w:szCs w:val="24"/>
          <w:lang w:val="bg-BG"/>
        </w:rPr>
        <w:t xml:space="preserve"> Дейността се подпомага и от Националната рибарска мрежа.</w:t>
      </w:r>
      <w:r w:rsidR="007C0D77" w:rsidRPr="00610B1B">
        <w:rPr>
          <w:rFonts w:ascii="Times New Roman" w:hAnsi="Times New Roman" w:cs="Times New Roman"/>
          <w:bCs/>
          <w:sz w:val="24"/>
          <w:szCs w:val="24"/>
          <w:lang w:val="bg-BG"/>
        </w:rPr>
        <w:t xml:space="preserve"> Контрол вър</w:t>
      </w:r>
      <w:r w:rsidR="003D2B62" w:rsidRPr="00610B1B">
        <w:rPr>
          <w:rFonts w:ascii="Times New Roman" w:hAnsi="Times New Roman" w:cs="Times New Roman"/>
          <w:bCs/>
          <w:sz w:val="24"/>
          <w:szCs w:val="24"/>
          <w:lang w:val="bg-BG"/>
        </w:rPr>
        <w:t>х</w:t>
      </w:r>
      <w:r w:rsidR="007C0D77" w:rsidRPr="00610B1B">
        <w:rPr>
          <w:rFonts w:ascii="Times New Roman" w:hAnsi="Times New Roman" w:cs="Times New Roman"/>
          <w:bCs/>
          <w:sz w:val="24"/>
          <w:szCs w:val="24"/>
          <w:lang w:val="bg-BG"/>
        </w:rPr>
        <w:t>у дейността на предприятията за преработка</w:t>
      </w:r>
      <w:r w:rsidRPr="00610B1B">
        <w:rPr>
          <w:rFonts w:ascii="Times New Roman" w:hAnsi="Times New Roman" w:cs="Times New Roman"/>
          <w:bCs/>
          <w:sz w:val="24"/>
          <w:szCs w:val="24"/>
          <w:lang w:val="bg-BG"/>
        </w:rPr>
        <w:t xml:space="preserve"> на риба и рибни продукти се осъ</w:t>
      </w:r>
      <w:r w:rsidR="007C0D77" w:rsidRPr="00610B1B">
        <w:rPr>
          <w:rFonts w:ascii="Times New Roman" w:hAnsi="Times New Roman" w:cs="Times New Roman"/>
          <w:bCs/>
          <w:sz w:val="24"/>
          <w:szCs w:val="24"/>
          <w:lang w:val="bg-BG"/>
        </w:rPr>
        <w:t xml:space="preserve">ществява както от Българската агенция за безопасност на храните (БАБХ), така и </w:t>
      </w:r>
      <w:r w:rsidRPr="00610B1B">
        <w:rPr>
          <w:rFonts w:ascii="Times New Roman" w:hAnsi="Times New Roman" w:cs="Times New Roman"/>
          <w:bCs/>
          <w:sz w:val="24"/>
          <w:szCs w:val="24"/>
          <w:lang w:val="bg-BG"/>
        </w:rPr>
        <w:t xml:space="preserve">от </w:t>
      </w:r>
      <w:r w:rsidR="007C0D77" w:rsidRPr="00610B1B">
        <w:rPr>
          <w:rFonts w:ascii="Times New Roman" w:hAnsi="Times New Roman" w:cs="Times New Roman"/>
          <w:bCs/>
          <w:sz w:val="24"/>
          <w:szCs w:val="24"/>
          <w:lang w:val="bg-BG"/>
        </w:rPr>
        <w:t xml:space="preserve">Регионални здравни инспекции в Добрич, Варна и Бургас. </w:t>
      </w:r>
      <w:r w:rsidR="00AF41FD" w:rsidRPr="00610B1B">
        <w:rPr>
          <w:rFonts w:ascii="Times New Roman" w:hAnsi="Times New Roman" w:cs="Times New Roman"/>
          <w:bCs/>
          <w:sz w:val="24"/>
          <w:szCs w:val="24"/>
          <w:lang w:val="bg-BG"/>
        </w:rPr>
        <w:t>На по-високо равнище сектор</w:t>
      </w:r>
      <w:r w:rsidR="00A13509" w:rsidRPr="00610B1B">
        <w:rPr>
          <w:rFonts w:ascii="Times New Roman" w:hAnsi="Times New Roman" w:cs="Times New Roman"/>
          <w:bCs/>
          <w:sz w:val="24"/>
          <w:szCs w:val="24"/>
          <w:lang w:val="bg-BG"/>
        </w:rPr>
        <w:t>ът</w:t>
      </w:r>
      <w:r w:rsidR="00AF41FD" w:rsidRPr="00610B1B">
        <w:rPr>
          <w:rFonts w:ascii="Times New Roman" w:hAnsi="Times New Roman" w:cs="Times New Roman"/>
          <w:bCs/>
          <w:sz w:val="24"/>
          <w:szCs w:val="24"/>
          <w:lang w:val="bg-BG"/>
        </w:rPr>
        <w:t xml:space="preserve"> се </w:t>
      </w:r>
      <w:r w:rsidR="008A49C4" w:rsidRPr="00610B1B">
        <w:rPr>
          <w:rFonts w:ascii="Times New Roman" w:hAnsi="Times New Roman" w:cs="Times New Roman"/>
          <w:bCs/>
          <w:sz w:val="24"/>
          <w:szCs w:val="24"/>
          <w:lang w:val="bg-BG"/>
        </w:rPr>
        <w:t xml:space="preserve">наблюдава </w:t>
      </w:r>
      <w:r w:rsidR="00AF41FD" w:rsidRPr="00610B1B">
        <w:rPr>
          <w:rFonts w:ascii="Times New Roman" w:hAnsi="Times New Roman" w:cs="Times New Roman"/>
          <w:bCs/>
          <w:sz w:val="24"/>
          <w:szCs w:val="24"/>
          <w:lang w:val="bg-BG"/>
        </w:rPr>
        <w:t xml:space="preserve">от Европейската агенция за контрол на рибарството (ЕFCA), която </w:t>
      </w:r>
      <w:r w:rsidR="00A13509" w:rsidRPr="00610B1B">
        <w:rPr>
          <w:rFonts w:ascii="Times New Roman" w:hAnsi="Times New Roman" w:cs="Times New Roman"/>
          <w:bCs/>
          <w:sz w:val="24"/>
          <w:szCs w:val="24"/>
          <w:lang w:val="bg-BG"/>
        </w:rPr>
        <w:t xml:space="preserve">следи за правилното прилагане на </w:t>
      </w:r>
      <w:r w:rsidR="00AF41FD" w:rsidRPr="00610B1B">
        <w:rPr>
          <w:rFonts w:ascii="Times New Roman" w:hAnsi="Times New Roman" w:cs="Times New Roman"/>
          <w:bCs/>
          <w:sz w:val="24"/>
          <w:szCs w:val="24"/>
          <w:lang w:val="bg-BG"/>
        </w:rPr>
        <w:t>общите стандарти и на общата политика в областта на рибарството (ОПОР). Данни за състоянието на сектора с</w:t>
      </w:r>
      <w:r w:rsidRPr="00610B1B">
        <w:rPr>
          <w:rFonts w:ascii="Times New Roman" w:hAnsi="Times New Roman" w:cs="Times New Roman"/>
          <w:bCs/>
          <w:sz w:val="24"/>
          <w:szCs w:val="24"/>
          <w:lang w:val="bg-BG"/>
        </w:rPr>
        <w:t>е</w:t>
      </w:r>
      <w:r w:rsidR="00AF41FD" w:rsidRPr="00610B1B">
        <w:rPr>
          <w:rFonts w:ascii="Times New Roman" w:hAnsi="Times New Roman" w:cs="Times New Roman"/>
          <w:bCs/>
          <w:sz w:val="24"/>
          <w:szCs w:val="24"/>
          <w:lang w:val="bg-BG"/>
        </w:rPr>
        <w:t xml:space="preserve"> анализират </w:t>
      </w:r>
      <w:r w:rsidRPr="00610B1B">
        <w:rPr>
          <w:rFonts w:ascii="Times New Roman" w:hAnsi="Times New Roman" w:cs="Times New Roman"/>
          <w:bCs/>
          <w:sz w:val="24"/>
          <w:szCs w:val="24"/>
          <w:lang w:val="bg-BG"/>
        </w:rPr>
        <w:t xml:space="preserve">и предават </w:t>
      </w:r>
      <w:r w:rsidR="00AF41FD" w:rsidRPr="00610B1B">
        <w:rPr>
          <w:rFonts w:ascii="Times New Roman" w:hAnsi="Times New Roman" w:cs="Times New Roman"/>
          <w:bCs/>
          <w:sz w:val="24"/>
          <w:szCs w:val="24"/>
          <w:lang w:val="bg-BG"/>
        </w:rPr>
        <w:t xml:space="preserve">и в </w:t>
      </w:r>
      <w:r w:rsidR="00B8154C" w:rsidRPr="00610B1B">
        <w:rPr>
          <w:rFonts w:ascii="Times New Roman" w:hAnsi="Times New Roman" w:cs="Times New Roman"/>
          <w:bCs/>
          <w:sz w:val="24"/>
          <w:szCs w:val="24"/>
          <w:lang w:val="bg-BG"/>
        </w:rPr>
        <w:t>О</w:t>
      </w:r>
      <w:r w:rsidR="00AF41FD" w:rsidRPr="00610B1B">
        <w:rPr>
          <w:rFonts w:ascii="Times New Roman" w:hAnsi="Times New Roman" w:cs="Times New Roman"/>
          <w:bCs/>
          <w:sz w:val="24"/>
          <w:szCs w:val="24"/>
          <w:lang w:val="bg-BG"/>
        </w:rPr>
        <w:t>рганизация</w:t>
      </w:r>
      <w:r w:rsidR="00B8154C" w:rsidRPr="00610B1B">
        <w:rPr>
          <w:rFonts w:ascii="Times New Roman" w:hAnsi="Times New Roman" w:cs="Times New Roman"/>
          <w:bCs/>
          <w:sz w:val="24"/>
          <w:szCs w:val="24"/>
          <w:lang w:val="bg-BG"/>
        </w:rPr>
        <w:t>та</w:t>
      </w:r>
      <w:r w:rsidR="00AF41FD" w:rsidRPr="00610B1B">
        <w:rPr>
          <w:rFonts w:ascii="Times New Roman" w:hAnsi="Times New Roman" w:cs="Times New Roman"/>
          <w:bCs/>
          <w:sz w:val="24"/>
          <w:szCs w:val="24"/>
          <w:lang w:val="bg-BG"/>
        </w:rPr>
        <w:t xml:space="preserve"> по храните и земеделието (FAO).</w:t>
      </w:r>
      <w:r w:rsidR="00AF41FD" w:rsidRPr="00610B1B">
        <w:rPr>
          <w:rStyle w:val="FootnoteReference"/>
          <w:rFonts w:ascii="Times New Roman" w:hAnsi="Times New Roman" w:cs="Times New Roman"/>
          <w:bCs/>
          <w:sz w:val="24"/>
          <w:szCs w:val="24"/>
          <w:lang w:val="bg-BG"/>
        </w:rPr>
        <w:footnoteReference w:id="18"/>
      </w:r>
    </w:p>
    <w:p w14:paraId="48A9E522" w14:textId="482AEA55" w:rsidR="00577575" w:rsidRPr="00610B1B" w:rsidRDefault="00CB6AEC"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В управлението, развитието и контрола върху състоянието и функционирането на техническата инфраструктура в Черно море водеща роля има Министерството на транспорта, информационните технологии и съобщенията. </w:t>
      </w:r>
      <w:r w:rsidR="00130DCC" w:rsidRPr="00610B1B">
        <w:rPr>
          <w:rFonts w:ascii="Times New Roman" w:hAnsi="Times New Roman" w:cs="Times New Roman"/>
          <w:bCs/>
          <w:sz w:val="24"/>
          <w:szCs w:val="24"/>
          <w:lang w:val="bg-BG"/>
        </w:rPr>
        <w:t>В осъществяването на преноса на нефт участва и терминал „Росенец“</w:t>
      </w:r>
      <w:r w:rsidR="00664D72" w:rsidRPr="00610B1B">
        <w:rPr>
          <w:rFonts w:ascii="Times New Roman" w:hAnsi="Times New Roman" w:cs="Times New Roman"/>
          <w:bCs/>
          <w:sz w:val="24"/>
          <w:szCs w:val="24"/>
          <w:lang w:val="bg-BG"/>
        </w:rPr>
        <w:t xml:space="preserve">, част от пристанище за обществен транспорт </w:t>
      </w:r>
      <w:r w:rsidR="00130DCC" w:rsidRPr="00610B1B">
        <w:rPr>
          <w:rFonts w:ascii="Times New Roman" w:hAnsi="Times New Roman" w:cs="Times New Roman"/>
          <w:bCs/>
          <w:sz w:val="24"/>
          <w:szCs w:val="24"/>
          <w:lang w:val="bg-BG"/>
        </w:rPr>
        <w:t>Бургас</w:t>
      </w:r>
      <w:r w:rsidR="00567A0E" w:rsidRPr="00610B1B">
        <w:rPr>
          <w:rFonts w:ascii="Times New Roman" w:hAnsi="Times New Roman" w:cs="Times New Roman"/>
          <w:bCs/>
          <w:sz w:val="24"/>
          <w:szCs w:val="24"/>
          <w:lang w:val="bg-BG"/>
        </w:rPr>
        <w:t xml:space="preserve">, предоставен с договор от 2011 г. за срок от 35 години на Лукойл Нефтохим Бургас“ АД срещу правото и задължението да извършва пристанищни услуги по чл. 116 ал. 3 т. 2 от ЗМПВВППРБ. </w:t>
      </w:r>
      <w:r w:rsidR="00577575" w:rsidRPr="00610B1B">
        <w:rPr>
          <w:rFonts w:ascii="Times New Roman" w:hAnsi="Times New Roman" w:cs="Times New Roman"/>
          <w:bCs/>
          <w:sz w:val="24"/>
          <w:szCs w:val="24"/>
          <w:lang w:val="bg-BG"/>
        </w:rPr>
        <w:t xml:space="preserve">Проучванията за добив на нефт и газ в Черно море се </w:t>
      </w:r>
      <w:r w:rsidR="005C52CC" w:rsidRPr="00610B1B">
        <w:rPr>
          <w:rFonts w:ascii="Times New Roman" w:hAnsi="Times New Roman" w:cs="Times New Roman"/>
          <w:bCs/>
          <w:sz w:val="24"/>
          <w:szCs w:val="24"/>
          <w:lang w:val="bg-BG"/>
        </w:rPr>
        <w:t xml:space="preserve">провеждат </w:t>
      </w:r>
      <w:r w:rsidR="00577575" w:rsidRPr="00610B1B">
        <w:rPr>
          <w:rFonts w:ascii="Times New Roman" w:hAnsi="Times New Roman" w:cs="Times New Roman"/>
          <w:bCs/>
          <w:sz w:val="24"/>
          <w:szCs w:val="24"/>
          <w:lang w:val="bg-BG"/>
        </w:rPr>
        <w:t>след решение на Министерски съвет по доклад на министъра на енергетиката</w:t>
      </w:r>
      <w:r w:rsidR="005C52CC" w:rsidRPr="00610B1B">
        <w:rPr>
          <w:rFonts w:ascii="Times New Roman" w:hAnsi="Times New Roman" w:cs="Times New Roman"/>
          <w:bCs/>
          <w:sz w:val="24"/>
          <w:szCs w:val="24"/>
          <w:lang w:val="bg-BG"/>
        </w:rPr>
        <w:t>, а</w:t>
      </w:r>
      <w:r w:rsidR="00577575" w:rsidRPr="00610B1B">
        <w:rPr>
          <w:rFonts w:ascii="Times New Roman" w:hAnsi="Times New Roman" w:cs="Times New Roman"/>
          <w:bCs/>
          <w:sz w:val="24"/>
          <w:szCs w:val="24"/>
          <w:lang w:val="bg-BG"/>
        </w:rPr>
        <w:t xml:space="preserve"> използването на морските ресурси се осъществява </w:t>
      </w:r>
      <w:r w:rsidR="00B13BC8" w:rsidRPr="00610B1B">
        <w:rPr>
          <w:rFonts w:ascii="Times New Roman" w:hAnsi="Times New Roman" w:cs="Times New Roman"/>
          <w:bCs/>
          <w:sz w:val="24"/>
          <w:szCs w:val="24"/>
          <w:lang w:val="bg-BG"/>
        </w:rPr>
        <w:t>в съответствие със Закона за подземните богатства</w:t>
      </w:r>
      <w:r w:rsidR="00B13BC8" w:rsidRPr="00610B1B">
        <w:rPr>
          <w:rStyle w:val="FootnoteReference"/>
          <w:rFonts w:ascii="Times New Roman" w:hAnsi="Times New Roman" w:cs="Times New Roman"/>
          <w:bCs/>
          <w:sz w:val="24"/>
          <w:szCs w:val="24"/>
          <w:lang w:val="bg-BG"/>
        </w:rPr>
        <w:footnoteReference w:id="19"/>
      </w:r>
      <w:r w:rsidR="00B13BC8" w:rsidRPr="00610B1B">
        <w:rPr>
          <w:rFonts w:ascii="Times New Roman" w:hAnsi="Times New Roman" w:cs="Times New Roman"/>
          <w:bCs/>
          <w:sz w:val="24"/>
          <w:szCs w:val="24"/>
          <w:lang w:val="bg-BG"/>
        </w:rPr>
        <w:t xml:space="preserve"> и </w:t>
      </w:r>
      <w:r w:rsidR="00577575" w:rsidRPr="00610B1B">
        <w:rPr>
          <w:rFonts w:ascii="Times New Roman" w:hAnsi="Times New Roman" w:cs="Times New Roman"/>
          <w:bCs/>
          <w:sz w:val="24"/>
          <w:szCs w:val="24"/>
          <w:lang w:val="bg-BG"/>
        </w:rPr>
        <w:t>Закона за концесиите</w:t>
      </w:r>
      <w:r w:rsidR="00B13BC8" w:rsidRPr="00610B1B">
        <w:rPr>
          <w:rStyle w:val="FootnoteReference"/>
          <w:rFonts w:ascii="Times New Roman" w:hAnsi="Times New Roman" w:cs="Times New Roman"/>
          <w:bCs/>
          <w:sz w:val="24"/>
          <w:szCs w:val="24"/>
          <w:lang w:val="bg-BG"/>
        </w:rPr>
        <w:footnoteReference w:id="20"/>
      </w:r>
      <w:r w:rsidR="00B13BC8" w:rsidRPr="00610B1B">
        <w:rPr>
          <w:rFonts w:ascii="Times New Roman" w:hAnsi="Times New Roman" w:cs="Times New Roman"/>
          <w:bCs/>
          <w:sz w:val="24"/>
          <w:szCs w:val="24"/>
          <w:lang w:val="bg-BG"/>
        </w:rPr>
        <w:t>.</w:t>
      </w:r>
      <w:r w:rsidR="00577575" w:rsidRPr="00610B1B">
        <w:rPr>
          <w:rFonts w:ascii="Times New Roman" w:hAnsi="Times New Roman" w:cs="Times New Roman"/>
          <w:bCs/>
          <w:sz w:val="24"/>
          <w:szCs w:val="24"/>
          <w:lang w:val="bg-BG"/>
        </w:rPr>
        <w:t xml:space="preserve"> </w:t>
      </w:r>
    </w:p>
    <w:p w14:paraId="551B212A" w14:textId="5FA0AF34" w:rsidR="007C0D77" w:rsidRPr="00610B1B" w:rsidRDefault="007C0D77"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Туризмът, чието развитие зависи от екологични, икономически и социални фактори, от състоянието на околната среда и на туристическите ресурси, от</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изградеността на комуникационно-транспортната, инженерно-техническата, социалната и туристическата инфраструктура</w:t>
      </w:r>
      <w:r w:rsidR="00732482"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се наблюдава от Министерството на туризма, </w:t>
      </w:r>
      <w:r w:rsidR="00B8154C" w:rsidRPr="00610B1B">
        <w:rPr>
          <w:rFonts w:ascii="Times New Roman" w:hAnsi="Times New Roman" w:cs="Times New Roman"/>
          <w:bCs/>
          <w:sz w:val="24"/>
          <w:szCs w:val="24"/>
          <w:lang w:val="bg-BG"/>
        </w:rPr>
        <w:t>Министерство на з</w:t>
      </w:r>
      <w:r w:rsidR="00DB0FAB" w:rsidRPr="00610B1B">
        <w:rPr>
          <w:rFonts w:ascii="Times New Roman" w:hAnsi="Times New Roman" w:cs="Times New Roman"/>
          <w:bCs/>
          <w:sz w:val="24"/>
          <w:szCs w:val="24"/>
          <w:lang w:val="bg-BG"/>
        </w:rPr>
        <w:t>д</w:t>
      </w:r>
      <w:r w:rsidR="00B8154C" w:rsidRPr="00610B1B">
        <w:rPr>
          <w:rFonts w:ascii="Times New Roman" w:hAnsi="Times New Roman" w:cs="Times New Roman"/>
          <w:bCs/>
          <w:sz w:val="24"/>
          <w:szCs w:val="24"/>
          <w:lang w:val="bg-BG"/>
        </w:rPr>
        <w:t xml:space="preserve">равеопазването, </w:t>
      </w:r>
      <w:r w:rsidRPr="00610B1B">
        <w:rPr>
          <w:rFonts w:ascii="Times New Roman" w:hAnsi="Times New Roman" w:cs="Times New Roman"/>
          <w:bCs/>
          <w:sz w:val="24"/>
          <w:szCs w:val="24"/>
          <w:lang w:val="bg-BG"/>
        </w:rPr>
        <w:t xml:space="preserve">от </w:t>
      </w:r>
      <w:r w:rsidR="009D7952" w:rsidRPr="00610B1B">
        <w:rPr>
          <w:rFonts w:ascii="Times New Roman" w:hAnsi="Times New Roman" w:cs="Times New Roman"/>
          <w:bCs/>
          <w:sz w:val="24"/>
          <w:szCs w:val="24"/>
          <w:lang w:val="bg-BG"/>
        </w:rPr>
        <w:t>браншовите</w:t>
      </w:r>
      <w:r w:rsidRPr="00610B1B">
        <w:rPr>
          <w:rFonts w:ascii="Times New Roman" w:hAnsi="Times New Roman" w:cs="Times New Roman"/>
          <w:bCs/>
          <w:sz w:val="24"/>
          <w:szCs w:val="24"/>
          <w:lang w:val="bg-BG"/>
        </w:rPr>
        <w:t xml:space="preserve"> организации </w:t>
      </w:r>
      <w:r w:rsidR="00B8154C" w:rsidRPr="00610B1B">
        <w:rPr>
          <w:rFonts w:ascii="Times New Roman" w:hAnsi="Times New Roman" w:cs="Times New Roman"/>
          <w:bCs/>
          <w:sz w:val="24"/>
          <w:szCs w:val="24"/>
          <w:lang w:val="bg-BG"/>
        </w:rPr>
        <w:t>в сектора</w:t>
      </w:r>
      <w:r w:rsidRPr="00610B1B">
        <w:rPr>
          <w:rFonts w:ascii="Times New Roman" w:hAnsi="Times New Roman" w:cs="Times New Roman"/>
          <w:bCs/>
          <w:sz w:val="24"/>
          <w:szCs w:val="24"/>
          <w:lang w:val="bg-BG"/>
        </w:rPr>
        <w:t xml:space="preserve">. В изграждането на материалната база </w:t>
      </w:r>
      <w:r w:rsidR="001D18C9" w:rsidRPr="00610B1B">
        <w:rPr>
          <w:rFonts w:ascii="Times New Roman" w:hAnsi="Times New Roman" w:cs="Times New Roman"/>
          <w:bCs/>
          <w:sz w:val="24"/>
          <w:szCs w:val="24"/>
          <w:lang w:val="bg-BG"/>
        </w:rPr>
        <w:t>участват частния и държавния</w:t>
      </w:r>
      <w:r w:rsidR="00B81DFE" w:rsidRPr="00610B1B">
        <w:rPr>
          <w:rFonts w:ascii="Times New Roman" w:hAnsi="Times New Roman" w:cs="Times New Roman"/>
          <w:bCs/>
          <w:sz w:val="24"/>
          <w:szCs w:val="24"/>
          <w:lang w:val="bg-BG"/>
        </w:rPr>
        <w:t xml:space="preserve"> сектор</w:t>
      </w:r>
      <w:r w:rsidR="001D18C9" w:rsidRPr="00610B1B">
        <w:rPr>
          <w:rFonts w:ascii="Times New Roman" w:hAnsi="Times New Roman" w:cs="Times New Roman"/>
          <w:bCs/>
          <w:sz w:val="24"/>
          <w:szCs w:val="24"/>
          <w:lang w:val="bg-BG"/>
        </w:rPr>
        <w:t xml:space="preserve">, а в одобряването на проектите вземат участие широк кръг от институции – МРРБ за националните курорти, общините за останалите курортни образувания, експлоатационните дружества и компетентните органи по </w:t>
      </w:r>
      <w:r w:rsidR="001D18C9" w:rsidRPr="00610B1B">
        <w:rPr>
          <w:rFonts w:ascii="Times New Roman" w:hAnsi="Times New Roman" w:cs="Times New Roman"/>
          <w:bCs/>
          <w:sz w:val="24"/>
          <w:szCs w:val="24"/>
          <w:lang w:val="bg-BG"/>
        </w:rPr>
        <w:lastRenderedPageBreak/>
        <w:t xml:space="preserve">опазване на околната среда (МОСВ и РИОСВ, МЗ и РЗИ) и др. </w:t>
      </w:r>
      <w:r w:rsidR="002045B4" w:rsidRPr="00610B1B">
        <w:rPr>
          <w:rFonts w:ascii="Times New Roman" w:hAnsi="Times New Roman" w:cs="Times New Roman"/>
          <w:bCs/>
          <w:sz w:val="24"/>
          <w:szCs w:val="24"/>
          <w:lang w:val="bg-BG"/>
        </w:rPr>
        <w:t xml:space="preserve">На международно ниво тенденциите в сектора се </w:t>
      </w:r>
      <w:r w:rsidR="00732482" w:rsidRPr="00610B1B">
        <w:rPr>
          <w:rFonts w:ascii="Times New Roman" w:hAnsi="Times New Roman" w:cs="Times New Roman"/>
          <w:bCs/>
          <w:sz w:val="24"/>
          <w:szCs w:val="24"/>
          <w:lang w:val="bg-BG"/>
        </w:rPr>
        <w:t>наблюдават</w:t>
      </w:r>
      <w:r w:rsidR="002045B4" w:rsidRPr="00610B1B">
        <w:rPr>
          <w:rFonts w:ascii="Times New Roman" w:hAnsi="Times New Roman" w:cs="Times New Roman"/>
          <w:bCs/>
          <w:sz w:val="24"/>
          <w:szCs w:val="24"/>
          <w:lang w:val="bg-BG"/>
        </w:rPr>
        <w:t xml:space="preserve"> от Световната туристическа организация, която периодично анализ</w:t>
      </w:r>
      <w:r w:rsidR="00732482" w:rsidRPr="00610B1B">
        <w:rPr>
          <w:rFonts w:ascii="Times New Roman" w:hAnsi="Times New Roman" w:cs="Times New Roman"/>
          <w:bCs/>
          <w:sz w:val="24"/>
          <w:szCs w:val="24"/>
          <w:lang w:val="bg-BG"/>
        </w:rPr>
        <w:t>ира</w:t>
      </w:r>
      <w:r w:rsidR="002045B4" w:rsidRPr="00610B1B">
        <w:rPr>
          <w:rFonts w:ascii="Times New Roman" w:hAnsi="Times New Roman" w:cs="Times New Roman"/>
          <w:bCs/>
          <w:sz w:val="24"/>
          <w:szCs w:val="24"/>
          <w:lang w:val="bg-BG"/>
        </w:rPr>
        <w:t xml:space="preserve"> и оцен</w:t>
      </w:r>
      <w:r w:rsidR="00732482" w:rsidRPr="00610B1B">
        <w:rPr>
          <w:rFonts w:ascii="Times New Roman" w:hAnsi="Times New Roman" w:cs="Times New Roman"/>
          <w:bCs/>
          <w:sz w:val="24"/>
          <w:szCs w:val="24"/>
          <w:lang w:val="bg-BG"/>
        </w:rPr>
        <w:t>ява</w:t>
      </w:r>
      <w:r w:rsidR="002045B4" w:rsidRPr="00610B1B">
        <w:rPr>
          <w:rFonts w:ascii="Times New Roman" w:hAnsi="Times New Roman" w:cs="Times New Roman"/>
          <w:bCs/>
          <w:sz w:val="24"/>
          <w:szCs w:val="24"/>
          <w:lang w:val="bg-BG"/>
        </w:rPr>
        <w:t xml:space="preserve"> развитието </w:t>
      </w:r>
      <w:r w:rsidR="00732482" w:rsidRPr="00610B1B">
        <w:rPr>
          <w:rFonts w:ascii="Times New Roman" w:hAnsi="Times New Roman" w:cs="Times New Roman"/>
          <w:bCs/>
          <w:sz w:val="24"/>
          <w:szCs w:val="24"/>
          <w:lang w:val="bg-BG"/>
        </w:rPr>
        <w:t xml:space="preserve">на туризма </w:t>
      </w:r>
      <w:r w:rsidR="002045B4" w:rsidRPr="00610B1B">
        <w:rPr>
          <w:rFonts w:ascii="Times New Roman" w:hAnsi="Times New Roman" w:cs="Times New Roman"/>
          <w:bCs/>
          <w:sz w:val="24"/>
          <w:szCs w:val="24"/>
          <w:lang w:val="bg-BG"/>
        </w:rPr>
        <w:t xml:space="preserve">в отделни региони и държави. </w:t>
      </w:r>
    </w:p>
    <w:p w14:paraId="72E0FF11" w14:textId="5F53D890" w:rsidR="00CB6AEC" w:rsidRPr="00610B1B" w:rsidRDefault="005C52CC"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В о</w:t>
      </w:r>
      <w:r w:rsidR="00CB6AEC" w:rsidRPr="00610B1B">
        <w:rPr>
          <w:rFonts w:ascii="Times New Roman" w:hAnsi="Times New Roman" w:cs="Times New Roman"/>
          <w:bCs/>
          <w:sz w:val="24"/>
          <w:szCs w:val="24"/>
          <w:lang w:val="bg-BG"/>
        </w:rPr>
        <w:t>пазването на морската околна среда, на добрия</w:t>
      </w:r>
      <w:r w:rsidR="00DE3A13" w:rsidRPr="00610B1B">
        <w:rPr>
          <w:rFonts w:ascii="Times New Roman" w:hAnsi="Times New Roman" w:cs="Times New Roman"/>
          <w:bCs/>
          <w:sz w:val="24"/>
          <w:szCs w:val="24"/>
          <w:lang w:val="bg-BG"/>
        </w:rPr>
        <w:t xml:space="preserve"> ѝ </w:t>
      </w:r>
      <w:r w:rsidR="00CB6AEC" w:rsidRPr="00610B1B">
        <w:rPr>
          <w:rFonts w:ascii="Times New Roman" w:hAnsi="Times New Roman" w:cs="Times New Roman"/>
          <w:bCs/>
          <w:sz w:val="24"/>
          <w:szCs w:val="24"/>
          <w:lang w:val="bg-BG"/>
        </w:rPr>
        <w:t xml:space="preserve">екологичен статус и биоразнообразие, участват институции, свързани с </w:t>
      </w:r>
      <w:r w:rsidR="002947B3" w:rsidRPr="00610B1B">
        <w:rPr>
          <w:rFonts w:ascii="Times New Roman" w:hAnsi="Times New Roman" w:cs="Times New Roman"/>
          <w:bCs/>
          <w:sz w:val="24"/>
          <w:szCs w:val="24"/>
          <w:lang w:val="bg-BG"/>
        </w:rPr>
        <w:t>Министерство</w:t>
      </w:r>
      <w:r w:rsidR="00CB6AEC" w:rsidRPr="00610B1B">
        <w:rPr>
          <w:rFonts w:ascii="Times New Roman" w:hAnsi="Times New Roman" w:cs="Times New Roman"/>
          <w:bCs/>
          <w:sz w:val="24"/>
          <w:szCs w:val="24"/>
          <w:lang w:val="bg-BG"/>
        </w:rPr>
        <w:t>то</w:t>
      </w:r>
      <w:r w:rsidR="002947B3" w:rsidRPr="00610B1B">
        <w:rPr>
          <w:rFonts w:ascii="Times New Roman" w:hAnsi="Times New Roman" w:cs="Times New Roman"/>
          <w:bCs/>
          <w:sz w:val="24"/>
          <w:szCs w:val="24"/>
          <w:lang w:val="bg-BG"/>
        </w:rPr>
        <w:t xml:space="preserve"> на околната среда и водите</w:t>
      </w:r>
      <w:r w:rsidR="00CB6AEC"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и</w:t>
      </w:r>
      <w:r w:rsidR="00CB6AEC" w:rsidRPr="00610B1B">
        <w:rPr>
          <w:rFonts w:ascii="Times New Roman" w:hAnsi="Times New Roman" w:cs="Times New Roman"/>
          <w:bCs/>
          <w:sz w:val="24"/>
          <w:szCs w:val="24"/>
          <w:lang w:val="bg-BG"/>
        </w:rPr>
        <w:t xml:space="preserve"> Изпълнителната агенция по околна среда (ИАОС)</w:t>
      </w:r>
      <w:r w:rsidR="003D2B62" w:rsidRPr="00610B1B">
        <w:rPr>
          <w:rFonts w:ascii="Times New Roman" w:hAnsi="Times New Roman" w:cs="Times New Roman"/>
          <w:bCs/>
          <w:sz w:val="24"/>
          <w:szCs w:val="24"/>
          <w:lang w:val="bg-BG"/>
        </w:rPr>
        <w:t>;</w:t>
      </w:r>
      <w:r w:rsidR="00CB6AEC" w:rsidRPr="00610B1B">
        <w:rPr>
          <w:rFonts w:ascii="Times New Roman" w:hAnsi="Times New Roman" w:cs="Times New Roman"/>
          <w:bCs/>
          <w:sz w:val="24"/>
          <w:szCs w:val="24"/>
          <w:lang w:val="bg-BG"/>
        </w:rPr>
        <w:t xml:space="preserve"> </w:t>
      </w:r>
      <w:r w:rsidR="003D2B62" w:rsidRPr="00610B1B">
        <w:rPr>
          <w:rFonts w:ascii="Times New Roman" w:hAnsi="Times New Roman" w:cs="Times New Roman"/>
          <w:bCs/>
          <w:sz w:val="24"/>
          <w:szCs w:val="24"/>
          <w:lang w:val="bg-BG"/>
        </w:rPr>
        <w:t xml:space="preserve">Министерството на здравеопазването и регионалните му подразделения за контрол </w:t>
      </w:r>
      <w:r w:rsidR="00B81DFE" w:rsidRPr="00610B1B">
        <w:rPr>
          <w:rFonts w:ascii="Times New Roman" w:hAnsi="Times New Roman" w:cs="Times New Roman"/>
          <w:bCs/>
          <w:sz w:val="24"/>
          <w:szCs w:val="24"/>
          <w:lang w:val="bg-BG"/>
        </w:rPr>
        <w:t>на</w:t>
      </w:r>
      <w:r w:rsidR="003D2B62" w:rsidRPr="00610B1B">
        <w:rPr>
          <w:rFonts w:ascii="Times New Roman" w:hAnsi="Times New Roman" w:cs="Times New Roman"/>
          <w:bCs/>
          <w:sz w:val="24"/>
          <w:szCs w:val="24"/>
          <w:lang w:val="bg-BG"/>
        </w:rPr>
        <w:t xml:space="preserve"> състоянието и чистотата на морските курортни ресурси; </w:t>
      </w:r>
      <w:r w:rsidR="002947B3" w:rsidRPr="00610B1B">
        <w:rPr>
          <w:rFonts w:ascii="Times New Roman" w:hAnsi="Times New Roman" w:cs="Times New Roman"/>
          <w:bCs/>
          <w:sz w:val="24"/>
          <w:szCs w:val="24"/>
          <w:lang w:val="bg-BG"/>
        </w:rPr>
        <w:t>БД Черноморски район</w:t>
      </w:r>
      <w:r w:rsidR="003D2B62" w:rsidRPr="00610B1B">
        <w:rPr>
          <w:rFonts w:ascii="Times New Roman" w:hAnsi="Times New Roman" w:cs="Times New Roman"/>
          <w:bCs/>
          <w:sz w:val="24"/>
          <w:szCs w:val="24"/>
          <w:lang w:val="bg-BG"/>
        </w:rPr>
        <w:t>;</w:t>
      </w:r>
      <w:r w:rsidR="00CB6AEC" w:rsidRPr="00610B1B">
        <w:rPr>
          <w:rFonts w:ascii="Times New Roman" w:hAnsi="Times New Roman" w:cs="Times New Roman"/>
          <w:bCs/>
          <w:sz w:val="24"/>
          <w:szCs w:val="24"/>
          <w:lang w:val="bg-BG"/>
        </w:rPr>
        <w:t xml:space="preserve"> Регионалните инспекции по околната среда и водите (РИОСВ) в</w:t>
      </w:r>
      <w:r w:rsidR="007C0D77" w:rsidRPr="00610B1B">
        <w:rPr>
          <w:rFonts w:ascii="Times New Roman" w:hAnsi="Times New Roman" w:cs="Times New Roman"/>
          <w:bCs/>
          <w:sz w:val="24"/>
          <w:szCs w:val="24"/>
          <w:lang w:val="bg-BG"/>
        </w:rPr>
        <w:t>ъв</w:t>
      </w:r>
      <w:r w:rsidR="00CB6AEC" w:rsidRPr="00610B1B">
        <w:rPr>
          <w:rFonts w:ascii="Times New Roman" w:hAnsi="Times New Roman" w:cs="Times New Roman"/>
          <w:bCs/>
          <w:sz w:val="24"/>
          <w:szCs w:val="24"/>
          <w:lang w:val="bg-BG"/>
        </w:rPr>
        <w:t xml:space="preserve"> Варна и Бургас</w:t>
      </w:r>
      <w:r w:rsidR="003D2B62" w:rsidRPr="00610B1B">
        <w:rPr>
          <w:rFonts w:ascii="Times New Roman" w:hAnsi="Times New Roman" w:cs="Times New Roman"/>
          <w:bCs/>
          <w:sz w:val="24"/>
          <w:szCs w:val="24"/>
          <w:lang w:val="bg-BG"/>
        </w:rPr>
        <w:t>;</w:t>
      </w:r>
      <w:r w:rsidR="00CB6AEC" w:rsidRPr="00610B1B">
        <w:rPr>
          <w:rFonts w:ascii="Times New Roman" w:hAnsi="Times New Roman" w:cs="Times New Roman"/>
          <w:bCs/>
          <w:sz w:val="24"/>
          <w:szCs w:val="24"/>
          <w:lang w:val="bg-BG"/>
        </w:rPr>
        <w:t xml:space="preserve"> </w:t>
      </w:r>
      <w:r w:rsidR="007C0D77" w:rsidRPr="00610B1B">
        <w:rPr>
          <w:rFonts w:ascii="Times New Roman" w:hAnsi="Times New Roman" w:cs="Times New Roman"/>
          <w:bCs/>
          <w:sz w:val="24"/>
          <w:szCs w:val="24"/>
          <w:lang w:val="bg-BG"/>
        </w:rPr>
        <w:t xml:space="preserve">четирите </w:t>
      </w:r>
      <w:r w:rsidR="00CB6AEC" w:rsidRPr="00610B1B">
        <w:rPr>
          <w:rFonts w:ascii="Times New Roman" w:hAnsi="Times New Roman" w:cs="Times New Roman"/>
          <w:bCs/>
          <w:sz w:val="24"/>
          <w:szCs w:val="24"/>
          <w:lang w:val="bg-BG"/>
        </w:rPr>
        <w:t>институт</w:t>
      </w:r>
      <w:r w:rsidR="007C0D77" w:rsidRPr="00610B1B">
        <w:rPr>
          <w:rFonts w:ascii="Times New Roman" w:hAnsi="Times New Roman" w:cs="Times New Roman"/>
          <w:bCs/>
          <w:sz w:val="24"/>
          <w:szCs w:val="24"/>
          <w:lang w:val="bg-BG"/>
        </w:rPr>
        <w:t>а</w:t>
      </w:r>
      <w:r w:rsidR="00CB6AEC" w:rsidRPr="00610B1B">
        <w:rPr>
          <w:rFonts w:ascii="Times New Roman" w:hAnsi="Times New Roman" w:cs="Times New Roman"/>
          <w:bCs/>
          <w:sz w:val="24"/>
          <w:szCs w:val="24"/>
          <w:lang w:val="bg-BG"/>
        </w:rPr>
        <w:t xml:space="preserve"> на БАН – по океанология, по биоразнообразие и екосистемни услуги, по метеорология и хидрология, по геофизика, геодезия и география.</w:t>
      </w:r>
      <w:r w:rsidR="001F7EA6"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На общностно ниво се поддържа контакт и се изпраща информация към Европейската агенция по околна среда (EEA) и </w:t>
      </w:r>
      <w:r w:rsidR="00665C7D" w:rsidRPr="00610B1B">
        <w:rPr>
          <w:rFonts w:ascii="Times New Roman" w:hAnsi="Times New Roman" w:cs="Times New Roman"/>
          <w:bCs/>
          <w:sz w:val="24"/>
          <w:szCs w:val="24"/>
          <w:lang w:val="bg-BG"/>
        </w:rPr>
        <w:t>Европейската мрежа за морски наблюдения и данни (E</w:t>
      </w:r>
      <w:r w:rsidR="009F2BF6" w:rsidRPr="00610B1B">
        <w:rPr>
          <w:rFonts w:ascii="Times New Roman" w:hAnsi="Times New Roman" w:cs="Times New Roman"/>
          <w:bCs/>
          <w:sz w:val="24"/>
          <w:szCs w:val="24"/>
          <w:lang w:val="bg-BG"/>
        </w:rPr>
        <w:t>MODn</w:t>
      </w:r>
      <w:r w:rsidR="00665C7D" w:rsidRPr="00610B1B">
        <w:rPr>
          <w:rFonts w:ascii="Times New Roman" w:hAnsi="Times New Roman" w:cs="Times New Roman"/>
          <w:bCs/>
          <w:sz w:val="24"/>
          <w:szCs w:val="24"/>
          <w:lang w:val="bg-BG"/>
        </w:rPr>
        <w:t>et)</w:t>
      </w:r>
      <w:r w:rsidR="00665C7D" w:rsidRPr="00610B1B">
        <w:rPr>
          <w:rStyle w:val="FootnoteReference"/>
          <w:rFonts w:ascii="Times New Roman" w:hAnsi="Times New Roman" w:cs="Times New Roman"/>
          <w:bCs/>
          <w:sz w:val="24"/>
          <w:szCs w:val="24"/>
          <w:lang w:val="bg-BG"/>
        </w:rPr>
        <w:footnoteReference w:id="21"/>
      </w:r>
      <w:r w:rsidR="00665C7D" w:rsidRPr="00610B1B">
        <w:rPr>
          <w:rFonts w:ascii="Times New Roman" w:hAnsi="Times New Roman" w:cs="Times New Roman"/>
          <w:bCs/>
          <w:sz w:val="24"/>
          <w:szCs w:val="24"/>
          <w:lang w:val="bg-BG"/>
        </w:rPr>
        <w:t>, а на регионално – Комисията за опазване на Черно море от замърсяване.</w:t>
      </w:r>
    </w:p>
    <w:p w14:paraId="396A0B6D" w14:textId="16FCDA94" w:rsidR="001D18C9" w:rsidRPr="00610B1B" w:rsidRDefault="00CB6AEC"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Опазването и изследването на </w:t>
      </w:r>
      <w:r w:rsidR="001D18C9" w:rsidRPr="00610B1B">
        <w:rPr>
          <w:rFonts w:ascii="Times New Roman" w:hAnsi="Times New Roman" w:cs="Times New Roman"/>
          <w:bCs/>
          <w:sz w:val="24"/>
          <w:szCs w:val="24"/>
          <w:lang w:val="bg-BG"/>
        </w:rPr>
        <w:t>културното наследство под вода и в непосредствената контактна зона на брега</w:t>
      </w:r>
      <w:r w:rsidR="00D36276" w:rsidRPr="00610B1B">
        <w:rPr>
          <w:rFonts w:ascii="Times New Roman" w:hAnsi="Times New Roman" w:cs="Times New Roman"/>
          <w:bCs/>
          <w:sz w:val="24"/>
          <w:szCs w:val="24"/>
          <w:lang w:val="bg-BG"/>
        </w:rPr>
        <w:t>,</w:t>
      </w:r>
      <w:r w:rsidR="001D18C9" w:rsidRPr="00610B1B">
        <w:rPr>
          <w:rFonts w:ascii="Times New Roman" w:hAnsi="Times New Roman" w:cs="Times New Roman"/>
          <w:bCs/>
          <w:sz w:val="24"/>
          <w:szCs w:val="24"/>
          <w:lang w:val="bg-BG"/>
        </w:rPr>
        <w:t xml:space="preserve"> се осъществява </w:t>
      </w:r>
      <w:r w:rsidR="00B81DFE" w:rsidRPr="00610B1B">
        <w:rPr>
          <w:rFonts w:ascii="Times New Roman" w:hAnsi="Times New Roman" w:cs="Times New Roman"/>
          <w:bCs/>
          <w:sz w:val="24"/>
          <w:szCs w:val="24"/>
          <w:lang w:val="bg-BG"/>
        </w:rPr>
        <w:t>от</w:t>
      </w:r>
      <w:r w:rsidR="00D36276" w:rsidRPr="00610B1B">
        <w:rPr>
          <w:rFonts w:ascii="Times New Roman" w:hAnsi="Times New Roman" w:cs="Times New Roman"/>
          <w:bCs/>
          <w:sz w:val="24"/>
          <w:szCs w:val="24"/>
          <w:lang w:val="bg-BG"/>
        </w:rPr>
        <w:t xml:space="preserve"> </w:t>
      </w:r>
      <w:r w:rsidR="001D18C9" w:rsidRPr="00610B1B">
        <w:rPr>
          <w:rFonts w:ascii="Times New Roman" w:hAnsi="Times New Roman" w:cs="Times New Roman"/>
          <w:bCs/>
          <w:sz w:val="24"/>
          <w:szCs w:val="24"/>
          <w:lang w:val="bg-BG"/>
        </w:rPr>
        <w:t>Министерството на културата с активната роля на Центъра за подводна археология</w:t>
      </w:r>
      <w:r w:rsidR="00496361" w:rsidRPr="00610B1B">
        <w:rPr>
          <w:rFonts w:ascii="Times New Roman" w:hAnsi="Times New Roman" w:cs="Times New Roman"/>
          <w:bCs/>
          <w:sz w:val="24"/>
          <w:szCs w:val="24"/>
          <w:lang w:val="bg-BG"/>
        </w:rPr>
        <w:t>, Националния археологически институт с музей на БАН</w:t>
      </w:r>
      <w:r w:rsidR="00732482" w:rsidRPr="00610B1B">
        <w:rPr>
          <w:rFonts w:ascii="Times New Roman" w:hAnsi="Times New Roman" w:cs="Times New Roman"/>
          <w:bCs/>
          <w:sz w:val="24"/>
          <w:szCs w:val="24"/>
          <w:lang w:val="bg-BG"/>
        </w:rPr>
        <w:t>, Националния институт за недвижимо културно наследство и</w:t>
      </w:r>
      <w:r w:rsidR="00496361" w:rsidRPr="00610B1B">
        <w:rPr>
          <w:rFonts w:ascii="Times New Roman" w:hAnsi="Times New Roman" w:cs="Times New Roman"/>
          <w:bCs/>
          <w:sz w:val="24"/>
          <w:szCs w:val="24"/>
          <w:lang w:val="bg-BG"/>
        </w:rPr>
        <w:t xml:space="preserve"> музеите по Черноморското крайбрежие.</w:t>
      </w:r>
      <w:r w:rsidR="001D18C9" w:rsidRPr="00610B1B">
        <w:rPr>
          <w:rFonts w:ascii="Times New Roman" w:hAnsi="Times New Roman" w:cs="Times New Roman"/>
          <w:bCs/>
          <w:sz w:val="24"/>
          <w:szCs w:val="24"/>
          <w:lang w:val="bg-BG"/>
        </w:rPr>
        <w:t xml:space="preserve"> </w:t>
      </w:r>
      <w:r w:rsidR="006B7E10" w:rsidRPr="00610B1B">
        <w:rPr>
          <w:rFonts w:ascii="Times New Roman" w:hAnsi="Times New Roman" w:cs="Times New Roman"/>
          <w:bCs/>
          <w:sz w:val="24"/>
          <w:szCs w:val="24"/>
          <w:lang w:val="bg-BG"/>
        </w:rPr>
        <w:t xml:space="preserve">В </w:t>
      </w:r>
      <w:r w:rsidR="00D36276" w:rsidRPr="00610B1B">
        <w:rPr>
          <w:rFonts w:ascii="Times New Roman" w:hAnsi="Times New Roman" w:cs="Times New Roman"/>
          <w:bCs/>
          <w:sz w:val="24"/>
          <w:szCs w:val="24"/>
          <w:lang w:val="bg-BG"/>
        </w:rPr>
        <w:t xml:space="preserve">контрола върху </w:t>
      </w:r>
      <w:r w:rsidR="006B7E10" w:rsidRPr="00610B1B">
        <w:rPr>
          <w:rFonts w:ascii="Times New Roman" w:hAnsi="Times New Roman" w:cs="Times New Roman"/>
          <w:bCs/>
          <w:sz w:val="24"/>
          <w:szCs w:val="24"/>
          <w:lang w:val="bg-BG"/>
        </w:rPr>
        <w:t>опазването на недвижимите културни ценности, особено на тези със световно значение, участват и ЮНЕСКО и ИКОМОС.</w:t>
      </w:r>
    </w:p>
    <w:p w14:paraId="5BF6AF2E" w14:textId="4D7A1D32" w:rsidR="003D2B62" w:rsidRPr="00610B1B" w:rsidRDefault="00130DCC"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Военните </w:t>
      </w:r>
      <w:r w:rsidR="003D2B62" w:rsidRPr="00610B1B">
        <w:rPr>
          <w:rFonts w:ascii="Times New Roman" w:hAnsi="Times New Roman" w:cs="Times New Roman"/>
          <w:bCs/>
          <w:sz w:val="24"/>
          <w:szCs w:val="24"/>
          <w:lang w:val="bg-BG"/>
        </w:rPr>
        <w:t>учения и дейности, опазването на морските граници, сигурността и безопасността</w:t>
      </w:r>
      <w:r w:rsidR="003D2B62" w:rsidRPr="00610B1B">
        <w:rPr>
          <w:rFonts w:ascii="Times New Roman" w:hAnsi="Times New Roman" w:cs="Times New Roman"/>
          <w:lang w:val="bg-BG"/>
        </w:rPr>
        <w:t xml:space="preserve"> </w:t>
      </w:r>
      <w:r w:rsidR="003D2B62" w:rsidRPr="00610B1B">
        <w:rPr>
          <w:rFonts w:ascii="Times New Roman" w:hAnsi="Times New Roman" w:cs="Times New Roman"/>
          <w:bCs/>
          <w:sz w:val="24"/>
          <w:szCs w:val="24"/>
          <w:lang w:val="bg-BG"/>
        </w:rPr>
        <w:t xml:space="preserve">в Черно море са свързани дейности помежду си, както и с част от структурите, съоръженията, мрежите и дейностите на крайбрежието. В съгласуването и контрола по изпълнението </w:t>
      </w:r>
      <w:r w:rsidR="000F6E27" w:rsidRPr="00610B1B">
        <w:rPr>
          <w:rFonts w:ascii="Times New Roman" w:hAnsi="Times New Roman" w:cs="Times New Roman"/>
          <w:bCs/>
          <w:sz w:val="24"/>
          <w:szCs w:val="24"/>
          <w:lang w:val="bg-BG"/>
        </w:rPr>
        <w:t xml:space="preserve">им </w:t>
      </w:r>
      <w:r w:rsidR="003D2B62" w:rsidRPr="00610B1B">
        <w:rPr>
          <w:rFonts w:ascii="Times New Roman" w:hAnsi="Times New Roman" w:cs="Times New Roman"/>
          <w:bCs/>
          <w:sz w:val="24"/>
          <w:szCs w:val="24"/>
          <w:lang w:val="bg-BG"/>
        </w:rPr>
        <w:t xml:space="preserve">участват </w:t>
      </w:r>
      <w:r w:rsidR="001F7EA6" w:rsidRPr="00610B1B">
        <w:rPr>
          <w:rFonts w:ascii="Times New Roman" w:hAnsi="Times New Roman" w:cs="Times New Roman"/>
          <w:bCs/>
          <w:sz w:val="24"/>
          <w:szCs w:val="24"/>
          <w:lang w:val="bg-BG"/>
        </w:rPr>
        <w:t xml:space="preserve">Министерството на вътрешните работи с </w:t>
      </w:r>
      <w:r w:rsidR="00776513" w:rsidRPr="00610B1B">
        <w:rPr>
          <w:rFonts w:ascii="Times New Roman" w:hAnsi="Times New Roman" w:cs="Times New Roman"/>
          <w:bCs/>
          <w:sz w:val="24"/>
          <w:szCs w:val="24"/>
          <w:lang w:val="bg-BG"/>
        </w:rPr>
        <w:t>ГД</w:t>
      </w:r>
      <w:r w:rsidR="001F7EA6" w:rsidRPr="00610B1B">
        <w:rPr>
          <w:rFonts w:ascii="Times New Roman" w:hAnsi="Times New Roman" w:cs="Times New Roman"/>
          <w:bCs/>
          <w:sz w:val="24"/>
          <w:szCs w:val="24"/>
          <w:lang w:val="bg-BG"/>
        </w:rPr>
        <w:t xml:space="preserve"> „Гранична полиция“</w:t>
      </w:r>
      <w:r w:rsidR="00776513" w:rsidRPr="00610B1B">
        <w:rPr>
          <w:rFonts w:ascii="Times New Roman" w:hAnsi="Times New Roman" w:cs="Times New Roman"/>
          <w:bCs/>
          <w:sz w:val="24"/>
          <w:szCs w:val="24"/>
          <w:lang w:val="bg-BG"/>
        </w:rPr>
        <w:t>;</w:t>
      </w:r>
      <w:r w:rsidR="001F7EA6" w:rsidRPr="00610B1B">
        <w:rPr>
          <w:rFonts w:ascii="Times New Roman" w:hAnsi="Times New Roman" w:cs="Times New Roman"/>
          <w:bCs/>
          <w:sz w:val="24"/>
          <w:szCs w:val="24"/>
          <w:lang w:val="bg-BG"/>
        </w:rPr>
        <w:t xml:space="preserve"> Министерството на външните работи</w:t>
      </w:r>
      <w:r w:rsidR="00776513" w:rsidRPr="00610B1B">
        <w:rPr>
          <w:rFonts w:ascii="Times New Roman" w:hAnsi="Times New Roman" w:cs="Times New Roman"/>
          <w:bCs/>
          <w:sz w:val="24"/>
          <w:szCs w:val="24"/>
          <w:lang w:val="bg-BG"/>
        </w:rPr>
        <w:t xml:space="preserve">; </w:t>
      </w:r>
      <w:r w:rsidR="00DF50FE" w:rsidRPr="00610B1B">
        <w:rPr>
          <w:rFonts w:ascii="Times New Roman" w:hAnsi="Times New Roman" w:cs="Times New Roman"/>
          <w:bCs/>
          <w:sz w:val="24"/>
          <w:szCs w:val="24"/>
          <w:lang w:val="bg-BG"/>
        </w:rPr>
        <w:t xml:space="preserve">МТИТС с ИАМА и Министерство на отбраната; </w:t>
      </w:r>
      <w:r w:rsidR="00776513" w:rsidRPr="00610B1B">
        <w:rPr>
          <w:rFonts w:ascii="Times New Roman" w:hAnsi="Times New Roman" w:cs="Times New Roman"/>
          <w:bCs/>
          <w:sz w:val="24"/>
          <w:szCs w:val="24"/>
          <w:lang w:val="bg-BG"/>
        </w:rPr>
        <w:t>Българските военноморски сили</w:t>
      </w:r>
      <w:r w:rsidR="00937850" w:rsidRPr="00610B1B">
        <w:rPr>
          <w:rFonts w:ascii="Times New Roman" w:hAnsi="Times New Roman" w:cs="Times New Roman"/>
          <w:bCs/>
          <w:sz w:val="24"/>
          <w:szCs w:val="24"/>
          <w:lang w:val="bg-BG"/>
        </w:rPr>
        <w:t xml:space="preserve">; </w:t>
      </w:r>
      <w:r w:rsidR="003D2B62" w:rsidRPr="00610B1B">
        <w:rPr>
          <w:rFonts w:ascii="Times New Roman" w:hAnsi="Times New Roman" w:cs="Times New Roman"/>
          <w:bCs/>
          <w:sz w:val="24"/>
          <w:szCs w:val="24"/>
          <w:lang w:val="bg-BG"/>
        </w:rPr>
        <w:t xml:space="preserve">Висшето военноморското училище „Н.Й.Вапцаров“ </w:t>
      </w:r>
      <w:r w:rsidR="00DF50FE" w:rsidRPr="00610B1B">
        <w:rPr>
          <w:rFonts w:ascii="Times New Roman" w:hAnsi="Times New Roman" w:cs="Times New Roman"/>
          <w:bCs/>
          <w:sz w:val="24"/>
          <w:szCs w:val="24"/>
          <w:lang w:val="bg-BG"/>
        </w:rPr>
        <w:t>и</w:t>
      </w:r>
      <w:r w:rsidR="003D2B62" w:rsidRPr="00610B1B">
        <w:rPr>
          <w:rFonts w:ascii="Times New Roman" w:hAnsi="Times New Roman" w:cs="Times New Roman"/>
          <w:bCs/>
          <w:sz w:val="24"/>
          <w:szCs w:val="24"/>
          <w:lang w:val="bg-BG"/>
        </w:rPr>
        <w:t xml:space="preserve"> </w:t>
      </w:r>
      <w:r w:rsidR="00DF50FE" w:rsidRPr="00610B1B">
        <w:rPr>
          <w:rFonts w:ascii="Times New Roman" w:hAnsi="Times New Roman" w:cs="Times New Roman"/>
          <w:bCs/>
          <w:sz w:val="24"/>
          <w:szCs w:val="24"/>
          <w:lang w:val="bg-BG"/>
        </w:rPr>
        <w:t>военноморската база Атия.</w:t>
      </w:r>
      <w:r w:rsidR="006B7E10" w:rsidRPr="00610B1B">
        <w:rPr>
          <w:rFonts w:ascii="Times New Roman" w:hAnsi="Times New Roman" w:cs="Times New Roman"/>
          <w:bCs/>
          <w:sz w:val="24"/>
          <w:szCs w:val="24"/>
          <w:lang w:val="bg-BG"/>
        </w:rPr>
        <w:t xml:space="preserve"> </w:t>
      </w:r>
      <w:r w:rsidR="002D6F65" w:rsidRPr="00610B1B">
        <w:rPr>
          <w:rFonts w:ascii="Times New Roman" w:hAnsi="Times New Roman" w:cs="Times New Roman"/>
          <w:bCs/>
          <w:sz w:val="24"/>
          <w:szCs w:val="24"/>
          <w:lang w:val="bg-BG"/>
        </w:rPr>
        <w:t>При провеждане на учения на НАТО, вземат участие подразделенията на алианса за Черно море</w:t>
      </w:r>
      <w:r w:rsidR="00B81DFE" w:rsidRPr="00610B1B">
        <w:rPr>
          <w:rFonts w:ascii="Times New Roman" w:hAnsi="Times New Roman" w:cs="Times New Roman"/>
          <w:bCs/>
          <w:sz w:val="24"/>
          <w:szCs w:val="24"/>
          <w:lang w:val="bg-BG"/>
        </w:rPr>
        <w:t>,</w:t>
      </w:r>
      <w:r w:rsidR="002D6F65" w:rsidRPr="00610B1B">
        <w:rPr>
          <w:rFonts w:ascii="Times New Roman" w:hAnsi="Times New Roman" w:cs="Times New Roman"/>
          <w:bCs/>
          <w:sz w:val="24"/>
          <w:szCs w:val="24"/>
          <w:lang w:val="bg-BG"/>
        </w:rPr>
        <w:t xml:space="preserve"> кораби от други държави от региона и извън него. Дейностите в морските пространства се наблюдават от Международната морска организация и </w:t>
      </w:r>
      <w:r w:rsidR="00B8154C" w:rsidRPr="00610B1B">
        <w:rPr>
          <w:rFonts w:ascii="Times New Roman" w:hAnsi="Times New Roman" w:cs="Times New Roman"/>
          <w:bCs/>
          <w:sz w:val="24"/>
          <w:szCs w:val="24"/>
          <w:lang w:val="bg-BG"/>
        </w:rPr>
        <w:t xml:space="preserve">нейните </w:t>
      </w:r>
      <w:r w:rsidR="002D6F65" w:rsidRPr="00610B1B">
        <w:rPr>
          <w:rFonts w:ascii="Times New Roman" w:hAnsi="Times New Roman" w:cs="Times New Roman"/>
          <w:bCs/>
          <w:sz w:val="24"/>
          <w:szCs w:val="24"/>
          <w:lang w:val="bg-BG"/>
        </w:rPr>
        <w:t xml:space="preserve">структури и от създадения съгласно </w:t>
      </w:r>
      <w:r w:rsidR="003D2B62" w:rsidRPr="00610B1B">
        <w:rPr>
          <w:rFonts w:ascii="Times New Roman" w:hAnsi="Times New Roman" w:cs="Times New Roman"/>
          <w:bCs/>
          <w:sz w:val="24"/>
          <w:szCs w:val="24"/>
          <w:lang w:val="bg-BG"/>
        </w:rPr>
        <w:t>Регламент (ЕО) № 2099/2002 на Европейския парламент и на Съвета от 5 ноември 2002 г</w:t>
      </w:r>
      <w:r w:rsidR="000F6E27" w:rsidRPr="00610B1B">
        <w:rPr>
          <w:rFonts w:ascii="Times New Roman" w:hAnsi="Times New Roman" w:cs="Times New Roman"/>
          <w:bCs/>
          <w:sz w:val="24"/>
          <w:szCs w:val="24"/>
          <w:lang w:val="bg-BG"/>
        </w:rPr>
        <w:t>.</w:t>
      </w:r>
      <w:r w:rsidR="003D2B62" w:rsidRPr="00610B1B">
        <w:rPr>
          <w:rFonts w:ascii="Times New Roman" w:hAnsi="Times New Roman" w:cs="Times New Roman"/>
          <w:bCs/>
          <w:sz w:val="24"/>
          <w:szCs w:val="24"/>
          <w:lang w:val="bg-BG"/>
        </w:rPr>
        <w:t xml:space="preserve"> Комитет по морска безопасност и предотвратяване на замърсяването от кораби (КМБПЗК)</w:t>
      </w:r>
      <w:r w:rsidR="002D6F65" w:rsidRPr="00610B1B">
        <w:rPr>
          <w:rFonts w:ascii="Times New Roman" w:hAnsi="Times New Roman" w:cs="Times New Roman"/>
          <w:bCs/>
          <w:sz w:val="24"/>
          <w:szCs w:val="24"/>
          <w:lang w:val="bg-BG"/>
        </w:rPr>
        <w:t xml:space="preserve">. </w:t>
      </w:r>
    </w:p>
    <w:p w14:paraId="33C86F13" w14:textId="4DA67AA7" w:rsidR="002D6F65" w:rsidRPr="00610B1B" w:rsidRDefault="00732482"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Институционалната </w:t>
      </w:r>
      <w:r w:rsidR="002D6F65" w:rsidRPr="00610B1B">
        <w:rPr>
          <w:rFonts w:ascii="Times New Roman" w:hAnsi="Times New Roman" w:cs="Times New Roman"/>
          <w:bCs/>
          <w:sz w:val="24"/>
          <w:szCs w:val="24"/>
          <w:lang w:val="bg-BG"/>
        </w:rPr>
        <w:t xml:space="preserve">рамка на морското пространствено планиране показва разнообразието от институции и необходими компетенции за интегриране и координиране на различните функции, дейности и ползвания в </w:t>
      </w:r>
      <w:r w:rsidR="006B0C4A" w:rsidRPr="00610B1B">
        <w:rPr>
          <w:rFonts w:ascii="Times New Roman" w:hAnsi="Times New Roman" w:cs="Times New Roman"/>
          <w:bCs/>
          <w:sz w:val="24"/>
          <w:szCs w:val="24"/>
          <w:lang w:val="bg-BG"/>
        </w:rPr>
        <w:t xml:space="preserve">морските пространства на </w:t>
      </w:r>
      <w:r w:rsidR="00D36276" w:rsidRPr="00610B1B">
        <w:rPr>
          <w:rFonts w:ascii="Times New Roman" w:hAnsi="Times New Roman" w:cs="Times New Roman"/>
          <w:bCs/>
          <w:sz w:val="24"/>
          <w:szCs w:val="24"/>
          <w:lang w:val="bg-BG"/>
        </w:rPr>
        <w:t>Р. България</w:t>
      </w:r>
      <w:r w:rsidR="006B0C4A" w:rsidRPr="00610B1B">
        <w:rPr>
          <w:rFonts w:ascii="Times New Roman" w:hAnsi="Times New Roman" w:cs="Times New Roman"/>
          <w:bCs/>
          <w:sz w:val="24"/>
          <w:szCs w:val="24"/>
          <w:lang w:val="bg-BG"/>
        </w:rPr>
        <w:t xml:space="preserve">. </w:t>
      </w:r>
      <w:r w:rsidR="00F42362" w:rsidRPr="00610B1B">
        <w:rPr>
          <w:rFonts w:ascii="Times New Roman" w:hAnsi="Times New Roman" w:cs="Times New Roman"/>
          <w:bCs/>
          <w:sz w:val="24"/>
          <w:szCs w:val="24"/>
          <w:lang w:val="bg-BG"/>
        </w:rPr>
        <w:t xml:space="preserve">Необходимият </w:t>
      </w:r>
      <w:r w:rsidR="006B0C4A" w:rsidRPr="00610B1B">
        <w:rPr>
          <w:rFonts w:ascii="Times New Roman" w:hAnsi="Times New Roman" w:cs="Times New Roman"/>
          <w:bCs/>
          <w:sz w:val="24"/>
          <w:szCs w:val="24"/>
          <w:lang w:val="bg-BG"/>
        </w:rPr>
        <w:t>институционален и експертен капацитет тепърва ще се надгражда, за</w:t>
      </w:r>
      <w:r w:rsidR="002D6F65" w:rsidRPr="00610B1B">
        <w:rPr>
          <w:rFonts w:ascii="Times New Roman" w:hAnsi="Times New Roman" w:cs="Times New Roman"/>
          <w:bCs/>
          <w:sz w:val="24"/>
          <w:szCs w:val="24"/>
          <w:lang w:val="bg-BG"/>
        </w:rPr>
        <w:t xml:space="preserve"> </w:t>
      </w:r>
      <w:r w:rsidR="006B0C4A" w:rsidRPr="00610B1B">
        <w:rPr>
          <w:rFonts w:ascii="Times New Roman" w:hAnsi="Times New Roman" w:cs="Times New Roman"/>
          <w:bCs/>
          <w:sz w:val="24"/>
          <w:szCs w:val="24"/>
          <w:lang w:val="bg-BG"/>
        </w:rPr>
        <w:t xml:space="preserve">да се постигне </w:t>
      </w:r>
      <w:r w:rsidR="00F42362" w:rsidRPr="00610B1B">
        <w:rPr>
          <w:rFonts w:ascii="Times New Roman" w:hAnsi="Times New Roman" w:cs="Times New Roman"/>
          <w:bCs/>
          <w:sz w:val="24"/>
          <w:szCs w:val="24"/>
          <w:lang w:val="bg-BG"/>
        </w:rPr>
        <w:t>търсения</w:t>
      </w:r>
      <w:r w:rsidR="006B0C4A" w:rsidRPr="00610B1B">
        <w:rPr>
          <w:rFonts w:ascii="Times New Roman" w:hAnsi="Times New Roman" w:cs="Times New Roman"/>
          <w:bCs/>
          <w:sz w:val="24"/>
          <w:szCs w:val="24"/>
          <w:lang w:val="bg-BG"/>
        </w:rPr>
        <w:t xml:space="preserve"> баланс между сектори</w:t>
      </w:r>
      <w:r w:rsidR="00B8154C" w:rsidRPr="00610B1B">
        <w:rPr>
          <w:rFonts w:ascii="Times New Roman" w:hAnsi="Times New Roman" w:cs="Times New Roman"/>
          <w:bCs/>
          <w:sz w:val="24"/>
          <w:szCs w:val="24"/>
          <w:lang w:val="bg-BG"/>
        </w:rPr>
        <w:t>те</w:t>
      </w:r>
      <w:r w:rsidR="006B0C4A" w:rsidRPr="00610B1B">
        <w:rPr>
          <w:rFonts w:ascii="Times New Roman" w:hAnsi="Times New Roman" w:cs="Times New Roman"/>
          <w:bCs/>
          <w:sz w:val="24"/>
          <w:szCs w:val="24"/>
          <w:lang w:val="bg-BG"/>
        </w:rPr>
        <w:t xml:space="preserve"> и безконфликтно</w:t>
      </w:r>
      <w:r w:rsidR="00F42362" w:rsidRPr="00610B1B">
        <w:rPr>
          <w:rFonts w:ascii="Times New Roman" w:hAnsi="Times New Roman" w:cs="Times New Roman"/>
          <w:bCs/>
          <w:sz w:val="24"/>
          <w:szCs w:val="24"/>
          <w:lang w:val="bg-BG"/>
        </w:rPr>
        <w:t>то</w:t>
      </w:r>
      <w:r w:rsidR="006B0C4A" w:rsidRPr="00610B1B">
        <w:rPr>
          <w:rFonts w:ascii="Times New Roman" w:hAnsi="Times New Roman" w:cs="Times New Roman"/>
          <w:bCs/>
          <w:sz w:val="24"/>
          <w:szCs w:val="24"/>
          <w:lang w:val="bg-BG"/>
        </w:rPr>
        <w:t xml:space="preserve"> съвместяване на </w:t>
      </w:r>
      <w:r w:rsidR="002045B4" w:rsidRPr="00610B1B">
        <w:rPr>
          <w:rFonts w:ascii="Times New Roman" w:hAnsi="Times New Roman" w:cs="Times New Roman"/>
          <w:bCs/>
          <w:sz w:val="24"/>
          <w:szCs w:val="24"/>
          <w:lang w:val="bg-BG"/>
        </w:rPr>
        <w:t>техните основни дейности в единното морско пространство.</w:t>
      </w:r>
    </w:p>
    <w:p w14:paraId="06BC31E9" w14:textId="77777777" w:rsidR="006665AB" w:rsidRPr="00610B1B" w:rsidRDefault="006665AB" w:rsidP="00D32D6A">
      <w:pPr>
        <w:spacing w:after="120"/>
        <w:ind w:right="-153"/>
        <w:jc w:val="both"/>
        <w:rPr>
          <w:rFonts w:ascii="Times New Roman" w:hAnsi="Times New Roman" w:cs="Times New Roman"/>
          <w:bCs/>
          <w:sz w:val="24"/>
          <w:szCs w:val="24"/>
          <w:lang w:val="bg-BG"/>
        </w:rPr>
      </w:pPr>
    </w:p>
    <w:p w14:paraId="236597F6" w14:textId="16855F72" w:rsidR="00761260" w:rsidRPr="00610B1B" w:rsidRDefault="00D36276" w:rsidP="00D32D6A">
      <w:pPr>
        <w:pStyle w:val="Heading3"/>
        <w:spacing w:before="0" w:line="276" w:lineRule="auto"/>
        <w:ind w:right="-153"/>
        <w:rPr>
          <w:rFonts w:cs="Times New Roman"/>
        </w:rPr>
      </w:pPr>
      <w:bookmarkStart w:id="12" w:name="_Toc83391354"/>
      <w:r w:rsidRPr="00610B1B">
        <w:rPr>
          <w:rFonts w:cs="Times New Roman"/>
        </w:rPr>
        <w:lastRenderedPageBreak/>
        <w:t>1.1</w:t>
      </w:r>
      <w:r w:rsidR="001D3664" w:rsidRPr="00610B1B">
        <w:rPr>
          <w:rFonts w:cs="Times New Roman"/>
        </w:rPr>
        <w:t xml:space="preserve">.3. </w:t>
      </w:r>
      <w:r w:rsidR="00F373EE" w:rsidRPr="00610B1B">
        <w:rPr>
          <w:rFonts w:cs="Times New Roman"/>
        </w:rPr>
        <w:t>Законодателна рамка</w:t>
      </w:r>
      <w:bookmarkEnd w:id="12"/>
      <w:r w:rsidR="00F373EE" w:rsidRPr="00610B1B">
        <w:rPr>
          <w:rFonts w:cs="Times New Roman"/>
        </w:rPr>
        <w:t xml:space="preserve"> </w:t>
      </w:r>
    </w:p>
    <w:p w14:paraId="268BA5C4" w14:textId="0AE75ABB" w:rsidR="00927AF9" w:rsidRPr="00610B1B" w:rsidRDefault="00D36276" w:rsidP="00D32D6A">
      <w:pPr>
        <w:pStyle w:val="Heading4"/>
        <w:spacing w:before="0" w:line="276" w:lineRule="auto"/>
        <w:ind w:right="-153"/>
        <w:rPr>
          <w:rFonts w:cs="Times New Roman"/>
        </w:rPr>
      </w:pPr>
      <w:r w:rsidRPr="00610B1B">
        <w:rPr>
          <w:rFonts w:cs="Times New Roman"/>
        </w:rPr>
        <w:t>1.1</w:t>
      </w:r>
      <w:r w:rsidR="001D3664" w:rsidRPr="00610B1B">
        <w:rPr>
          <w:rFonts w:cs="Times New Roman"/>
        </w:rPr>
        <w:t xml:space="preserve">.3.1. </w:t>
      </w:r>
      <w:r w:rsidR="00927AF9" w:rsidRPr="00610B1B">
        <w:rPr>
          <w:rFonts w:cs="Times New Roman"/>
        </w:rPr>
        <w:t>Международни документи</w:t>
      </w:r>
    </w:p>
    <w:p w14:paraId="52B6BE93" w14:textId="4E47D9F6" w:rsidR="00065426" w:rsidRPr="00610B1B" w:rsidRDefault="00F46597" w:rsidP="00D32D6A">
      <w:pPr>
        <w:widowControl w:val="0"/>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sz w:val="24"/>
          <w:szCs w:val="24"/>
          <w:lang w:val="bg-BG"/>
        </w:rPr>
        <w:t xml:space="preserve">Загрижеността </w:t>
      </w:r>
      <w:r w:rsidR="002A1BEF" w:rsidRPr="00610B1B">
        <w:rPr>
          <w:rFonts w:ascii="Times New Roman" w:eastAsia="Arial Unicode MS" w:hAnsi="Times New Roman" w:cs="Times New Roman"/>
          <w:sz w:val="24"/>
          <w:szCs w:val="24"/>
          <w:lang w:val="bg-BG"/>
        </w:rPr>
        <w:t>на човечеството за океаните и морската околна среда</w:t>
      </w:r>
      <w:r w:rsidRPr="00610B1B">
        <w:rPr>
          <w:rFonts w:ascii="Times New Roman" w:eastAsia="Arial Unicode MS" w:hAnsi="Times New Roman" w:cs="Times New Roman"/>
          <w:sz w:val="24"/>
          <w:szCs w:val="24"/>
          <w:lang w:val="bg-BG"/>
        </w:rPr>
        <w:t xml:space="preserve"> и за прекомерната експлоатация на техните ресурси </w:t>
      </w:r>
      <w:r w:rsidR="002A1BEF" w:rsidRPr="00610B1B">
        <w:rPr>
          <w:rFonts w:ascii="Times New Roman" w:eastAsia="Arial Unicode MS" w:hAnsi="Times New Roman" w:cs="Times New Roman"/>
          <w:sz w:val="24"/>
          <w:szCs w:val="24"/>
          <w:lang w:val="bg-BG"/>
        </w:rPr>
        <w:t>се свързва с</w:t>
      </w:r>
      <w:r w:rsidR="00E9140D" w:rsidRPr="00610B1B">
        <w:rPr>
          <w:rFonts w:ascii="Times New Roman" w:eastAsia="Arial Unicode MS" w:hAnsi="Times New Roman" w:cs="Times New Roman"/>
          <w:sz w:val="24"/>
          <w:szCs w:val="24"/>
          <w:lang w:val="bg-BG"/>
        </w:rPr>
        <w:t xml:space="preserve"> края на 1950-те години и първата конференция на ООН по морско право, </w:t>
      </w:r>
      <w:r w:rsidRPr="00610B1B">
        <w:rPr>
          <w:rFonts w:ascii="Times New Roman" w:eastAsia="Arial Unicode MS" w:hAnsi="Times New Roman" w:cs="Times New Roman"/>
          <w:sz w:val="24"/>
          <w:szCs w:val="24"/>
          <w:lang w:val="bg-BG"/>
        </w:rPr>
        <w:t xml:space="preserve">с </w:t>
      </w:r>
      <w:r w:rsidR="00E9140D" w:rsidRPr="00610B1B">
        <w:rPr>
          <w:rFonts w:ascii="Times New Roman" w:eastAsia="Arial Unicode MS" w:hAnsi="Times New Roman" w:cs="Times New Roman"/>
          <w:sz w:val="24"/>
          <w:szCs w:val="24"/>
          <w:lang w:val="bg-BG"/>
        </w:rPr>
        <w:t>поставянето на първите морски пространства под защита през 1960-те</w:t>
      </w:r>
      <w:r w:rsidR="00FB0267"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t xml:space="preserve">с </w:t>
      </w:r>
      <w:r w:rsidR="00FB0267" w:rsidRPr="00610B1B">
        <w:rPr>
          <w:rFonts w:ascii="Times New Roman" w:eastAsia="Arial Unicode MS" w:hAnsi="Times New Roman" w:cs="Times New Roman"/>
          <w:sz w:val="24"/>
          <w:szCs w:val="24"/>
          <w:lang w:val="bg-BG"/>
        </w:rPr>
        <w:t xml:space="preserve">включването на опазването на моретата и крайбрежните територии и разумното използване на техните ресурси като важно условие за поддържане на живота на планетата в отделен раздел на </w:t>
      </w:r>
      <w:r w:rsidR="00FB0267" w:rsidRPr="00610B1B">
        <w:rPr>
          <w:rFonts w:ascii="Times New Roman" w:eastAsia="Arial Unicode MS" w:hAnsi="Times New Roman" w:cs="Times New Roman"/>
          <w:b/>
          <w:bCs/>
          <w:sz w:val="24"/>
          <w:szCs w:val="24"/>
          <w:lang w:val="bg-BG"/>
        </w:rPr>
        <w:t>Дневен ред 21</w:t>
      </w:r>
      <w:r w:rsidR="00FB0267" w:rsidRPr="00610B1B">
        <w:rPr>
          <w:rFonts w:ascii="Times New Roman" w:eastAsia="Arial Unicode MS" w:hAnsi="Times New Roman" w:cs="Times New Roman"/>
          <w:sz w:val="24"/>
          <w:szCs w:val="24"/>
          <w:lang w:val="bg-BG"/>
        </w:rPr>
        <w:t xml:space="preserve"> през 1992 г. (Глава 17)</w:t>
      </w:r>
      <w:r w:rsidR="00FB0267" w:rsidRPr="00610B1B">
        <w:rPr>
          <w:rStyle w:val="FootnoteReference"/>
          <w:rFonts w:ascii="Times New Roman" w:eastAsia="Arial Unicode MS" w:hAnsi="Times New Roman" w:cs="Times New Roman"/>
          <w:sz w:val="24"/>
          <w:szCs w:val="24"/>
          <w:lang w:val="bg-BG"/>
        </w:rPr>
        <w:footnoteReference w:id="22"/>
      </w:r>
      <w:r w:rsidR="00FB0267" w:rsidRPr="00610B1B">
        <w:rPr>
          <w:rFonts w:ascii="Times New Roman" w:eastAsia="Arial Unicode MS" w:hAnsi="Times New Roman" w:cs="Times New Roman"/>
          <w:sz w:val="24"/>
          <w:szCs w:val="24"/>
          <w:lang w:val="bg-BG"/>
        </w:rPr>
        <w:t xml:space="preserve">. </w:t>
      </w:r>
      <w:r w:rsidR="00065426" w:rsidRPr="00610B1B">
        <w:rPr>
          <w:rFonts w:ascii="Times New Roman" w:eastAsia="Arial Unicode MS" w:hAnsi="Times New Roman" w:cs="Times New Roman"/>
          <w:sz w:val="24"/>
          <w:szCs w:val="24"/>
          <w:lang w:val="bg-BG"/>
        </w:rPr>
        <w:t>През следв</w:t>
      </w:r>
      <w:r w:rsidR="001F1F61" w:rsidRPr="00610B1B">
        <w:rPr>
          <w:rFonts w:ascii="Times New Roman" w:eastAsia="Arial Unicode MS" w:hAnsi="Times New Roman" w:cs="Times New Roman"/>
          <w:sz w:val="24"/>
          <w:szCs w:val="24"/>
          <w:lang w:val="bg-BG"/>
        </w:rPr>
        <w:t xml:space="preserve">ащото десетилетие се изготвят </w:t>
      </w:r>
      <w:r w:rsidR="00065426" w:rsidRPr="00610B1B">
        <w:rPr>
          <w:rFonts w:ascii="Times New Roman" w:eastAsia="Arial Unicode MS" w:hAnsi="Times New Roman" w:cs="Times New Roman"/>
          <w:sz w:val="24"/>
          <w:szCs w:val="24"/>
          <w:lang w:val="bg-BG"/>
        </w:rPr>
        <w:t xml:space="preserve">първите планове за интегрирано управление на крайбрежни зони, между които за Средиземно, Балтийско и Адриатическо море. </w:t>
      </w:r>
      <w:r w:rsidR="00B8154C" w:rsidRPr="00610B1B">
        <w:rPr>
          <w:rFonts w:ascii="Times New Roman" w:eastAsia="Arial Unicode MS" w:hAnsi="Times New Roman" w:cs="Times New Roman"/>
          <w:sz w:val="24"/>
          <w:szCs w:val="24"/>
          <w:lang w:val="bg-BG"/>
        </w:rPr>
        <w:t xml:space="preserve">В периода 1996-1998 г. МРРБ </w:t>
      </w:r>
      <w:r w:rsidR="00184BAA" w:rsidRPr="00610B1B">
        <w:rPr>
          <w:rFonts w:ascii="Times New Roman" w:eastAsia="Arial Unicode MS" w:hAnsi="Times New Roman" w:cs="Times New Roman"/>
          <w:sz w:val="24"/>
          <w:szCs w:val="24"/>
          <w:lang w:val="bg-BG"/>
        </w:rPr>
        <w:t>съвместно със</w:t>
      </w:r>
      <w:r w:rsidR="00065426" w:rsidRPr="00610B1B">
        <w:rPr>
          <w:rFonts w:ascii="Times New Roman" w:eastAsia="Arial Unicode MS" w:hAnsi="Times New Roman" w:cs="Times New Roman"/>
          <w:sz w:val="24"/>
          <w:szCs w:val="24"/>
          <w:lang w:val="bg-BG"/>
        </w:rPr>
        <w:t xml:space="preserve"> Световна банка</w:t>
      </w:r>
      <w:r w:rsidR="00184BAA" w:rsidRPr="00610B1B">
        <w:rPr>
          <w:rFonts w:ascii="Times New Roman" w:eastAsia="Arial Unicode MS" w:hAnsi="Times New Roman" w:cs="Times New Roman"/>
          <w:sz w:val="24"/>
          <w:szCs w:val="24"/>
          <w:lang w:val="bg-BG"/>
        </w:rPr>
        <w:t xml:space="preserve"> изпълнява програма за интегрирано управление на крайбрежни зони, с </w:t>
      </w:r>
      <w:r w:rsidR="00065426" w:rsidRPr="00610B1B">
        <w:rPr>
          <w:rFonts w:ascii="Times New Roman" w:eastAsia="Arial Unicode MS" w:hAnsi="Times New Roman" w:cs="Times New Roman"/>
          <w:sz w:val="24"/>
          <w:szCs w:val="24"/>
          <w:lang w:val="bg-BG"/>
        </w:rPr>
        <w:t>финанс</w:t>
      </w:r>
      <w:r w:rsidR="00184BAA" w:rsidRPr="00610B1B">
        <w:rPr>
          <w:rFonts w:ascii="Times New Roman" w:eastAsia="Arial Unicode MS" w:hAnsi="Times New Roman" w:cs="Times New Roman"/>
          <w:sz w:val="24"/>
          <w:szCs w:val="24"/>
          <w:lang w:val="bg-BG"/>
        </w:rPr>
        <w:t xml:space="preserve">овата подкрепа на </w:t>
      </w:r>
      <w:r w:rsidR="00065426" w:rsidRPr="00610B1B">
        <w:rPr>
          <w:rFonts w:ascii="Times New Roman" w:eastAsia="Arial Unicode MS" w:hAnsi="Times New Roman" w:cs="Times New Roman"/>
          <w:sz w:val="24"/>
          <w:szCs w:val="24"/>
          <w:lang w:val="bg-BG"/>
        </w:rPr>
        <w:t>Глобалния фонд за околната среда</w:t>
      </w:r>
      <w:r w:rsidR="00E169D0" w:rsidRPr="00610B1B">
        <w:rPr>
          <w:rFonts w:ascii="Times New Roman" w:eastAsia="Arial Unicode MS" w:hAnsi="Times New Roman" w:cs="Times New Roman"/>
          <w:sz w:val="24"/>
          <w:szCs w:val="24"/>
          <w:lang w:val="bg-BG"/>
        </w:rPr>
        <w:t>. Р</w:t>
      </w:r>
      <w:r w:rsidR="00184BAA" w:rsidRPr="00610B1B">
        <w:rPr>
          <w:rFonts w:ascii="Times New Roman" w:eastAsia="Arial Unicode MS" w:hAnsi="Times New Roman" w:cs="Times New Roman"/>
          <w:sz w:val="24"/>
          <w:szCs w:val="24"/>
          <w:lang w:val="bg-BG"/>
        </w:rPr>
        <w:t xml:space="preserve">азработват </w:t>
      </w:r>
      <w:r w:rsidR="00E169D0" w:rsidRPr="00610B1B">
        <w:rPr>
          <w:rFonts w:ascii="Times New Roman" w:eastAsia="Arial Unicode MS" w:hAnsi="Times New Roman" w:cs="Times New Roman"/>
          <w:sz w:val="24"/>
          <w:szCs w:val="24"/>
          <w:lang w:val="bg-BG"/>
        </w:rPr>
        <w:t xml:space="preserve">се </w:t>
      </w:r>
      <w:r w:rsidR="00184BAA" w:rsidRPr="00610B1B">
        <w:rPr>
          <w:rFonts w:ascii="Times New Roman" w:eastAsia="Arial Unicode MS" w:hAnsi="Times New Roman" w:cs="Times New Roman"/>
          <w:sz w:val="24"/>
          <w:szCs w:val="24"/>
          <w:lang w:val="bg-BG"/>
        </w:rPr>
        <w:t>първите териториалноустройствени планове на Черноморските общини при новите условия на възстановена собственост, цифров кадастър и ГИС базирани технологии</w:t>
      </w:r>
      <w:r w:rsidR="00E169D0" w:rsidRPr="00610B1B">
        <w:rPr>
          <w:rFonts w:ascii="Times New Roman" w:eastAsia="Arial Unicode MS" w:hAnsi="Times New Roman" w:cs="Times New Roman"/>
          <w:sz w:val="24"/>
          <w:szCs w:val="24"/>
          <w:lang w:val="bg-BG"/>
        </w:rPr>
        <w:t>,</w:t>
      </w:r>
      <w:r w:rsidRPr="00610B1B">
        <w:rPr>
          <w:rFonts w:ascii="Times New Roman" w:eastAsia="Arial Unicode MS" w:hAnsi="Times New Roman" w:cs="Times New Roman"/>
          <w:sz w:val="24"/>
          <w:szCs w:val="24"/>
          <w:lang w:val="bg-BG"/>
        </w:rPr>
        <w:t xml:space="preserve"> </w:t>
      </w:r>
      <w:r w:rsidR="004D724C" w:rsidRPr="00610B1B">
        <w:rPr>
          <w:rFonts w:ascii="Times New Roman" w:eastAsia="Arial Unicode MS" w:hAnsi="Times New Roman" w:cs="Times New Roman"/>
          <w:sz w:val="24"/>
          <w:szCs w:val="24"/>
          <w:lang w:val="bg-BG"/>
        </w:rPr>
        <w:t xml:space="preserve">изготвени </w:t>
      </w:r>
      <w:r w:rsidRPr="00610B1B">
        <w:rPr>
          <w:rFonts w:ascii="Times New Roman" w:eastAsia="Arial Unicode MS" w:hAnsi="Times New Roman" w:cs="Times New Roman"/>
          <w:sz w:val="24"/>
          <w:szCs w:val="24"/>
          <w:lang w:val="bg-BG"/>
        </w:rPr>
        <w:t xml:space="preserve">за първи път </w:t>
      </w:r>
      <w:r w:rsidR="00732482" w:rsidRPr="00610B1B">
        <w:rPr>
          <w:rFonts w:ascii="Times New Roman" w:eastAsia="Arial Unicode MS" w:hAnsi="Times New Roman" w:cs="Times New Roman"/>
          <w:sz w:val="24"/>
          <w:szCs w:val="24"/>
          <w:lang w:val="bg-BG"/>
        </w:rPr>
        <w:t>Стратегически е</w:t>
      </w:r>
      <w:r w:rsidRPr="00610B1B">
        <w:rPr>
          <w:rFonts w:ascii="Times New Roman" w:eastAsia="Arial Unicode MS" w:hAnsi="Times New Roman" w:cs="Times New Roman"/>
          <w:sz w:val="24"/>
          <w:szCs w:val="24"/>
          <w:lang w:val="bg-BG"/>
        </w:rPr>
        <w:t>кологичн</w:t>
      </w:r>
      <w:r w:rsidR="004D724C" w:rsidRPr="00610B1B">
        <w:rPr>
          <w:rFonts w:ascii="Times New Roman" w:eastAsia="Arial Unicode MS" w:hAnsi="Times New Roman" w:cs="Times New Roman"/>
          <w:sz w:val="24"/>
          <w:szCs w:val="24"/>
          <w:lang w:val="bg-BG"/>
        </w:rPr>
        <w:t>и</w:t>
      </w:r>
      <w:r w:rsidRPr="00610B1B">
        <w:rPr>
          <w:rFonts w:ascii="Times New Roman" w:eastAsia="Arial Unicode MS" w:hAnsi="Times New Roman" w:cs="Times New Roman"/>
          <w:sz w:val="24"/>
          <w:szCs w:val="24"/>
          <w:lang w:val="bg-BG"/>
        </w:rPr>
        <w:t xml:space="preserve"> оценк</w:t>
      </w:r>
      <w:r w:rsidR="004D724C" w:rsidRPr="00610B1B">
        <w:rPr>
          <w:rFonts w:ascii="Times New Roman" w:eastAsia="Arial Unicode MS" w:hAnsi="Times New Roman" w:cs="Times New Roman"/>
          <w:sz w:val="24"/>
          <w:szCs w:val="24"/>
          <w:lang w:val="bg-BG"/>
        </w:rPr>
        <w:t>и</w:t>
      </w:r>
      <w:r w:rsidRPr="00610B1B">
        <w:rPr>
          <w:rFonts w:ascii="Times New Roman" w:eastAsia="Arial Unicode MS" w:hAnsi="Times New Roman" w:cs="Times New Roman"/>
          <w:sz w:val="24"/>
          <w:szCs w:val="24"/>
          <w:lang w:val="bg-BG"/>
        </w:rPr>
        <w:t xml:space="preserve"> на въздействието</w:t>
      </w:r>
      <w:r w:rsidR="00184BAA" w:rsidRPr="00610B1B">
        <w:rPr>
          <w:rFonts w:ascii="Times New Roman" w:eastAsia="Arial Unicode MS" w:hAnsi="Times New Roman" w:cs="Times New Roman"/>
          <w:sz w:val="24"/>
          <w:szCs w:val="24"/>
          <w:lang w:val="bg-BG"/>
        </w:rPr>
        <w:t>.</w:t>
      </w:r>
      <w:r w:rsidR="00D66FE0" w:rsidRPr="00610B1B">
        <w:rPr>
          <w:rFonts w:ascii="Times New Roman" w:eastAsia="Arial Unicode MS" w:hAnsi="Times New Roman" w:cs="Times New Roman"/>
          <w:sz w:val="24"/>
          <w:szCs w:val="24"/>
          <w:lang w:val="bg-BG"/>
        </w:rPr>
        <w:t xml:space="preserve"> </w:t>
      </w:r>
    </w:p>
    <w:p w14:paraId="08A31859" w14:textId="4590A310" w:rsidR="00065426" w:rsidRPr="00610B1B" w:rsidRDefault="00F46597" w:rsidP="00D32D6A">
      <w:pPr>
        <w:widowControl w:val="0"/>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bCs/>
          <w:sz w:val="24"/>
          <w:szCs w:val="24"/>
          <w:lang w:val="bg-BG"/>
        </w:rPr>
        <w:t>На опазването и устойчивото използване на океаните, моретата и морските ресурси</w:t>
      </w:r>
      <w:r w:rsidR="00D66FE0" w:rsidRPr="00610B1B">
        <w:rPr>
          <w:rFonts w:ascii="Times New Roman" w:eastAsia="Arial Unicode MS" w:hAnsi="Times New Roman" w:cs="Times New Roman"/>
          <w:bCs/>
          <w:sz w:val="24"/>
          <w:szCs w:val="24"/>
          <w:lang w:val="bg-BG"/>
        </w:rPr>
        <w:t xml:space="preserve"> </w:t>
      </w:r>
      <w:r w:rsidRPr="00610B1B">
        <w:rPr>
          <w:rFonts w:ascii="Times New Roman" w:eastAsia="Arial Unicode MS" w:hAnsi="Times New Roman" w:cs="Times New Roman"/>
          <w:bCs/>
          <w:sz w:val="24"/>
          <w:szCs w:val="24"/>
          <w:lang w:val="bg-BG"/>
        </w:rPr>
        <w:t>е посветена ед</w:t>
      </w:r>
      <w:r w:rsidR="001E600B" w:rsidRPr="00610B1B">
        <w:rPr>
          <w:rFonts w:ascii="Times New Roman" w:eastAsia="Arial Unicode MS" w:hAnsi="Times New Roman" w:cs="Times New Roman"/>
          <w:bCs/>
          <w:sz w:val="24"/>
          <w:szCs w:val="24"/>
          <w:lang w:val="bg-BG"/>
        </w:rPr>
        <w:t xml:space="preserve">на от глобалните цели на устойчивото развитие (ЦУР14) на </w:t>
      </w:r>
      <w:r w:rsidR="00065426" w:rsidRPr="00610B1B">
        <w:rPr>
          <w:rFonts w:ascii="Times New Roman" w:eastAsia="Arial Unicode MS" w:hAnsi="Times New Roman" w:cs="Times New Roman"/>
          <w:sz w:val="24"/>
          <w:szCs w:val="24"/>
          <w:lang w:val="bg-BG"/>
        </w:rPr>
        <w:t xml:space="preserve">Програмата на ООН за устойчиво развитие </w:t>
      </w:r>
      <w:r w:rsidR="001E600B" w:rsidRPr="00610B1B">
        <w:rPr>
          <w:rFonts w:ascii="Times New Roman" w:eastAsia="Arial Unicode MS" w:hAnsi="Times New Roman" w:cs="Times New Roman"/>
          <w:sz w:val="24"/>
          <w:szCs w:val="24"/>
          <w:lang w:val="bg-BG"/>
        </w:rPr>
        <w:t>(</w:t>
      </w:r>
      <w:r w:rsidR="00065426" w:rsidRPr="00610B1B">
        <w:rPr>
          <w:rFonts w:ascii="Times New Roman" w:eastAsia="Arial Unicode MS" w:hAnsi="Times New Roman" w:cs="Times New Roman"/>
          <w:b/>
          <w:bCs/>
          <w:sz w:val="24"/>
          <w:szCs w:val="24"/>
          <w:lang w:val="bg-BG"/>
        </w:rPr>
        <w:t>Дневен ред 2030</w:t>
      </w:r>
      <w:r w:rsidR="001E600B" w:rsidRPr="00610B1B">
        <w:rPr>
          <w:rFonts w:ascii="Times New Roman" w:eastAsia="Arial Unicode MS" w:hAnsi="Times New Roman" w:cs="Times New Roman"/>
          <w:sz w:val="24"/>
          <w:szCs w:val="24"/>
          <w:lang w:val="bg-BG"/>
        </w:rPr>
        <w:t>)</w:t>
      </w:r>
      <w:r w:rsidR="00065426" w:rsidRPr="00610B1B">
        <w:rPr>
          <w:rFonts w:ascii="Times New Roman" w:eastAsia="Arial Unicode MS" w:hAnsi="Times New Roman" w:cs="Times New Roman"/>
          <w:sz w:val="24"/>
          <w:szCs w:val="24"/>
          <w:vertAlign w:val="superscript"/>
          <w:lang w:val="bg-BG"/>
        </w:rPr>
        <w:footnoteReference w:id="23"/>
      </w:r>
      <w:r w:rsidR="00065426" w:rsidRPr="00610B1B">
        <w:rPr>
          <w:rFonts w:ascii="Times New Roman" w:eastAsia="Arial Unicode MS" w:hAnsi="Times New Roman" w:cs="Times New Roman"/>
          <w:sz w:val="24"/>
          <w:szCs w:val="24"/>
          <w:lang w:val="bg-BG"/>
        </w:rPr>
        <w:t>. Освен намаляване на морското замърсяване до 2025 г., до 2020 г. следва да се приложат адекватни мерки за възстановяване на морските екосистеми</w:t>
      </w:r>
      <w:r w:rsidR="004D724C" w:rsidRPr="00610B1B">
        <w:rPr>
          <w:rFonts w:ascii="Times New Roman" w:eastAsia="Arial Unicode MS" w:hAnsi="Times New Roman" w:cs="Times New Roman"/>
          <w:sz w:val="24"/>
          <w:szCs w:val="24"/>
          <w:lang w:val="bg-BG"/>
        </w:rPr>
        <w:t>,</w:t>
      </w:r>
      <w:r w:rsidR="00065426" w:rsidRPr="00610B1B">
        <w:rPr>
          <w:rFonts w:ascii="Times New Roman" w:eastAsia="Arial Unicode MS" w:hAnsi="Times New Roman" w:cs="Times New Roman"/>
          <w:sz w:val="24"/>
          <w:szCs w:val="24"/>
          <w:lang w:val="bg-BG"/>
        </w:rPr>
        <w:t xml:space="preserve"> да се преустановят разрушителните риболовни практики, </w:t>
      </w:r>
      <w:r w:rsidR="004D724C" w:rsidRPr="00610B1B">
        <w:rPr>
          <w:rFonts w:ascii="Times New Roman" w:eastAsia="Arial Unicode MS" w:hAnsi="Times New Roman" w:cs="Times New Roman"/>
          <w:sz w:val="24"/>
          <w:szCs w:val="24"/>
          <w:lang w:val="bg-BG"/>
        </w:rPr>
        <w:t xml:space="preserve">да се </w:t>
      </w:r>
      <w:r w:rsidR="00065426" w:rsidRPr="00610B1B">
        <w:rPr>
          <w:rFonts w:ascii="Times New Roman" w:eastAsia="Arial Unicode MS" w:hAnsi="Times New Roman" w:cs="Times New Roman"/>
          <w:sz w:val="24"/>
          <w:szCs w:val="24"/>
          <w:lang w:val="bg-BG"/>
        </w:rPr>
        <w:t>преосмисл</w:t>
      </w:r>
      <w:r w:rsidR="004D724C" w:rsidRPr="00610B1B">
        <w:rPr>
          <w:rFonts w:ascii="Times New Roman" w:eastAsia="Arial Unicode MS" w:hAnsi="Times New Roman" w:cs="Times New Roman"/>
          <w:sz w:val="24"/>
          <w:szCs w:val="24"/>
          <w:lang w:val="bg-BG"/>
        </w:rPr>
        <w:t>и</w:t>
      </w:r>
      <w:r w:rsidR="00065426" w:rsidRPr="00610B1B">
        <w:rPr>
          <w:rFonts w:ascii="Times New Roman" w:eastAsia="Arial Unicode MS" w:hAnsi="Times New Roman" w:cs="Times New Roman"/>
          <w:sz w:val="24"/>
          <w:szCs w:val="24"/>
          <w:lang w:val="bg-BG"/>
        </w:rPr>
        <w:t xml:space="preserve"> системата за субсидиране на рибарството. В същия срок </w:t>
      </w:r>
      <w:r w:rsidR="00007BFA" w:rsidRPr="00610B1B">
        <w:rPr>
          <w:rFonts w:ascii="Times New Roman" w:eastAsia="Arial Unicode MS" w:hAnsi="Times New Roman" w:cs="Times New Roman"/>
          <w:sz w:val="24"/>
          <w:szCs w:val="24"/>
          <w:lang w:val="bg-BG"/>
        </w:rPr>
        <w:t>следва</w:t>
      </w:r>
      <w:r w:rsidR="00065426" w:rsidRPr="00610B1B">
        <w:rPr>
          <w:rFonts w:ascii="Times New Roman" w:eastAsia="Arial Unicode MS" w:hAnsi="Times New Roman" w:cs="Times New Roman"/>
          <w:sz w:val="24"/>
          <w:szCs w:val="24"/>
          <w:lang w:val="bg-BG"/>
        </w:rPr>
        <w:t xml:space="preserve"> да се гарантира съхранението на минимум 10% от крайбрежните и морски зони, да се стимулират научните изследвания и трансфера на морски технологии, посредством повишаване на научните знания, развитието на изследователския капацитет и на информационната основа. До 2030 г. се предвижда повишаване на икономическите ползи за най-слабо развитите държави</w:t>
      </w:r>
      <w:r w:rsidR="00065426" w:rsidRPr="00610B1B">
        <w:rPr>
          <w:rFonts w:ascii="Times New Roman" w:eastAsia="Arial Unicode MS" w:hAnsi="Times New Roman" w:cs="Times New Roman"/>
          <w:i/>
          <w:sz w:val="24"/>
          <w:szCs w:val="24"/>
          <w:lang w:val="bg-BG"/>
        </w:rPr>
        <w:t xml:space="preserve"> </w:t>
      </w:r>
      <w:r w:rsidR="00065426" w:rsidRPr="00610B1B">
        <w:rPr>
          <w:rFonts w:ascii="Times New Roman" w:eastAsia="Arial Unicode MS" w:hAnsi="Times New Roman" w:cs="Times New Roman"/>
          <w:iCs/>
          <w:sz w:val="24"/>
          <w:szCs w:val="24"/>
          <w:lang w:val="bg-BG"/>
        </w:rPr>
        <w:t>„чрез устойчиво управление на рибарството, аквакултурите и туризма“.</w:t>
      </w:r>
      <w:r w:rsidR="004D724C" w:rsidRPr="00610B1B">
        <w:rPr>
          <w:rFonts w:ascii="Times New Roman" w:eastAsia="Arial Unicode MS" w:hAnsi="Times New Roman" w:cs="Times New Roman"/>
          <w:sz w:val="24"/>
          <w:szCs w:val="24"/>
          <w:lang w:val="bg-BG"/>
        </w:rPr>
        <w:t xml:space="preserve"> </w:t>
      </w:r>
      <w:r w:rsidR="00065426" w:rsidRPr="00610B1B">
        <w:rPr>
          <w:rFonts w:ascii="Times New Roman" w:eastAsia="Arial Unicode MS" w:hAnsi="Times New Roman" w:cs="Times New Roman"/>
          <w:sz w:val="24"/>
          <w:szCs w:val="24"/>
          <w:lang w:val="bg-BG"/>
        </w:rPr>
        <w:t>Програмата насърчава държави</w:t>
      </w:r>
      <w:r w:rsidR="002A1892" w:rsidRPr="00610B1B">
        <w:rPr>
          <w:rFonts w:ascii="Times New Roman" w:eastAsia="Arial Unicode MS" w:hAnsi="Times New Roman" w:cs="Times New Roman"/>
          <w:sz w:val="24"/>
          <w:szCs w:val="24"/>
          <w:lang w:val="bg-BG"/>
        </w:rPr>
        <w:t>те</w:t>
      </w:r>
      <w:r w:rsidR="00065426" w:rsidRPr="00610B1B">
        <w:rPr>
          <w:rFonts w:ascii="Times New Roman" w:eastAsia="Arial Unicode MS" w:hAnsi="Times New Roman" w:cs="Times New Roman"/>
          <w:sz w:val="24"/>
          <w:szCs w:val="24"/>
          <w:lang w:val="bg-BG"/>
        </w:rPr>
        <w:t xml:space="preserve"> да инкорпорират тези глобални цели в стратегическите си документи за устойчиво развитие чрез подходящи инструменти за планиране и адекватни национални мерки. </w:t>
      </w:r>
      <w:r w:rsidR="002A1892" w:rsidRPr="00610B1B">
        <w:rPr>
          <w:rFonts w:ascii="Times New Roman" w:eastAsia="Arial Unicode MS" w:hAnsi="Times New Roman" w:cs="Times New Roman"/>
          <w:sz w:val="24"/>
          <w:szCs w:val="24"/>
          <w:lang w:val="bg-BG"/>
        </w:rPr>
        <w:t>Европейският съюз поема своите ангажименти в сътрудничеството с ООН и обвързва глобалните цели на документа, включително и ЦУР14</w:t>
      </w:r>
      <w:r w:rsidR="00E169D0" w:rsidRPr="00610B1B">
        <w:rPr>
          <w:rFonts w:ascii="Times New Roman" w:eastAsia="Arial Unicode MS" w:hAnsi="Times New Roman" w:cs="Times New Roman"/>
          <w:sz w:val="24"/>
          <w:szCs w:val="24"/>
          <w:lang w:val="bg-BG"/>
        </w:rPr>
        <w:t>,</w:t>
      </w:r>
      <w:r w:rsidR="002A1892" w:rsidRPr="00610B1B">
        <w:rPr>
          <w:rFonts w:ascii="Times New Roman" w:eastAsia="Arial Unicode MS" w:hAnsi="Times New Roman" w:cs="Times New Roman"/>
          <w:sz w:val="24"/>
          <w:szCs w:val="24"/>
          <w:lang w:val="bg-BG"/>
        </w:rPr>
        <w:t xml:space="preserve"> със своите политики за сигурност, за адаптиране към измененията на климата</w:t>
      </w:r>
      <w:r w:rsidR="00E169D0" w:rsidRPr="00610B1B">
        <w:rPr>
          <w:rFonts w:ascii="Times New Roman" w:eastAsia="Arial Unicode MS" w:hAnsi="Times New Roman" w:cs="Times New Roman"/>
          <w:sz w:val="24"/>
          <w:szCs w:val="24"/>
          <w:lang w:val="bg-BG"/>
        </w:rPr>
        <w:t>,</w:t>
      </w:r>
      <w:r w:rsidR="002A1892" w:rsidRPr="00610B1B">
        <w:rPr>
          <w:rFonts w:ascii="Times New Roman" w:eastAsia="Arial Unicode MS" w:hAnsi="Times New Roman" w:cs="Times New Roman"/>
          <w:sz w:val="24"/>
          <w:szCs w:val="24"/>
          <w:lang w:val="bg-BG"/>
        </w:rPr>
        <w:t xml:space="preserve"> </w:t>
      </w:r>
      <w:r w:rsidR="00E169D0" w:rsidRPr="00610B1B">
        <w:rPr>
          <w:rFonts w:ascii="Times New Roman" w:eastAsia="Arial Unicode MS" w:hAnsi="Times New Roman" w:cs="Times New Roman"/>
          <w:sz w:val="24"/>
          <w:szCs w:val="24"/>
          <w:lang w:val="bg-BG"/>
        </w:rPr>
        <w:t xml:space="preserve">външната политика </w:t>
      </w:r>
      <w:r w:rsidR="002A1892" w:rsidRPr="00610B1B">
        <w:rPr>
          <w:rFonts w:ascii="Times New Roman" w:eastAsia="Arial Unicode MS" w:hAnsi="Times New Roman" w:cs="Times New Roman"/>
          <w:sz w:val="24"/>
          <w:szCs w:val="24"/>
          <w:lang w:val="bg-BG"/>
        </w:rPr>
        <w:t xml:space="preserve">и интегрираната морска политика с двата си най-важни документа – морска стратегия и морски пространствен план. </w:t>
      </w:r>
    </w:p>
    <w:p w14:paraId="3164DBEF" w14:textId="19BECEAE" w:rsidR="0051606B" w:rsidRPr="00610B1B" w:rsidRDefault="00065426" w:rsidP="00D32D6A">
      <w:pPr>
        <w:widowControl w:val="0"/>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b/>
          <w:bCs/>
          <w:sz w:val="24"/>
          <w:szCs w:val="24"/>
          <w:lang w:val="bg-BG"/>
        </w:rPr>
        <w:t>Конвенцията на ООН по морско право</w:t>
      </w:r>
      <w:r w:rsidR="002A1892" w:rsidRPr="00610B1B">
        <w:rPr>
          <w:rFonts w:ascii="Times New Roman" w:eastAsia="Arial Unicode MS" w:hAnsi="Times New Roman" w:cs="Times New Roman"/>
          <w:b/>
          <w:bCs/>
          <w:sz w:val="24"/>
          <w:szCs w:val="24"/>
          <w:lang w:val="bg-BG"/>
        </w:rPr>
        <w:t xml:space="preserve"> </w:t>
      </w:r>
      <w:r w:rsidR="002A1892" w:rsidRPr="00610B1B">
        <w:rPr>
          <w:rFonts w:ascii="Times New Roman" w:eastAsia="Arial Unicode MS" w:hAnsi="Times New Roman" w:cs="Times New Roman"/>
          <w:sz w:val="24"/>
          <w:szCs w:val="24"/>
          <w:lang w:val="bg-BG"/>
        </w:rPr>
        <w:t>(</w:t>
      </w:r>
      <w:r w:rsidRPr="00610B1B">
        <w:rPr>
          <w:rFonts w:ascii="Times New Roman" w:eastAsia="Arial Unicode MS" w:hAnsi="Times New Roman" w:cs="Times New Roman"/>
          <w:sz w:val="24"/>
          <w:szCs w:val="24"/>
          <w:lang w:val="bg-BG"/>
        </w:rPr>
        <w:t xml:space="preserve">приета </w:t>
      </w:r>
      <w:r w:rsidR="006665AB" w:rsidRPr="00610B1B">
        <w:rPr>
          <w:rFonts w:ascii="Times New Roman" w:eastAsia="Arial Unicode MS" w:hAnsi="Times New Roman" w:cs="Times New Roman"/>
          <w:sz w:val="24"/>
          <w:szCs w:val="24"/>
          <w:lang w:val="bg-BG"/>
        </w:rPr>
        <w:t xml:space="preserve">1982 </w:t>
      </w:r>
      <w:r w:rsidR="002A1892" w:rsidRPr="00610B1B">
        <w:rPr>
          <w:rFonts w:ascii="Times New Roman" w:eastAsia="Arial Unicode MS" w:hAnsi="Times New Roman" w:cs="Times New Roman"/>
          <w:sz w:val="24"/>
          <w:szCs w:val="24"/>
          <w:lang w:val="bg-BG"/>
        </w:rPr>
        <w:t>г., в</w:t>
      </w:r>
      <w:r w:rsidRPr="00610B1B">
        <w:rPr>
          <w:rFonts w:ascii="Times New Roman" w:eastAsia="Arial Unicode MS" w:hAnsi="Times New Roman" w:cs="Times New Roman"/>
          <w:sz w:val="24"/>
          <w:szCs w:val="24"/>
          <w:lang w:val="bg-BG"/>
        </w:rPr>
        <w:t xml:space="preserve"> сила </w:t>
      </w:r>
      <w:r w:rsidR="002A1892" w:rsidRPr="00610B1B">
        <w:rPr>
          <w:rFonts w:ascii="Times New Roman" w:eastAsia="Arial Unicode MS" w:hAnsi="Times New Roman" w:cs="Times New Roman"/>
          <w:sz w:val="24"/>
          <w:szCs w:val="24"/>
          <w:lang w:val="bg-BG"/>
        </w:rPr>
        <w:t>от</w:t>
      </w:r>
      <w:r w:rsidRPr="00610B1B">
        <w:rPr>
          <w:rFonts w:ascii="Times New Roman" w:eastAsia="Arial Unicode MS" w:hAnsi="Times New Roman" w:cs="Times New Roman"/>
          <w:sz w:val="24"/>
          <w:szCs w:val="24"/>
          <w:lang w:val="bg-BG"/>
        </w:rPr>
        <w:t xml:space="preserve"> 1993 г.</w:t>
      </w:r>
      <w:r w:rsidR="002A1892" w:rsidRPr="00610B1B">
        <w:rPr>
          <w:rFonts w:ascii="Times New Roman" w:eastAsia="Arial Unicode MS" w:hAnsi="Times New Roman" w:cs="Times New Roman"/>
          <w:sz w:val="24"/>
          <w:szCs w:val="24"/>
          <w:lang w:val="bg-BG"/>
        </w:rPr>
        <w:t>)</w:t>
      </w:r>
      <w:r w:rsidR="002A1892" w:rsidRPr="00610B1B">
        <w:rPr>
          <w:rStyle w:val="FootnoteReference"/>
          <w:rFonts w:ascii="Times New Roman" w:eastAsia="Arial Unicode MS" w:hAnsi="Times New Roman" w:cs="Times New Roman"/>
          <w:sz w:val="24"/>
          <w:szCs w:val="24"/>
          <w:lang w:val="bg-BG"/>
        </w:rPr>
        <w:footnoteReference w:id="24"/>
      </w:r>
      <w:r w:rsidRPr="00610B1B">
        <w:rPr>
          <w:rFonts w:ascii="Times New Roman" w:eastAsia="Arial Unicode MS" w:hAnsi="Times New Roman" w:cs="Times New Roman"/>
          <w:sz w:val="24"/>
          <w:szCs w:val="24"/>
          <w:lang w:val="bg-BG"/>
        </w:rPr>
        <w:t xml:space="preserve"> е основополагащ документ, който отразява промените, след конференции</w:t>
      </w:r>
      <w:r w:rsidR="002A1892" w:rsidRPr="00610B1B">
        <w:rPr>
          <w:rFonts w:ascii="Times New Roman" w:eastAsia="Arial Unicode MS" w:hAnsi="Times New Roman" w:cs="Times New Roman"/>
          <w:sz w:val="24"/>
          <w:szCs w:val="24"/>
          <w:lang w:val="bg-BG"/>
        </w:rPr>
        <w:t>те</w:t>
      </w:r>
      <w:r w:rsidRPr="00610B1B">
        <w:rPr>
          <w:rFonts w:ascii="Times New Roman" w:eastAsia="Arial Unicode MS" w:hAnsi="Times New Roman" w:cs="Times New Roman"/>
          <w:sz w:val="24"/>
          <w:szCs w:val="24"/>
          <w:lang w:val="bg-BG"/>
        </w:rPr>
        <w:t xml:space="preserve"> в Женева през 1958 и 1960 г.</w:t>
      </w:r>
      <w:r w:rsidR="002A1892" w:rsidRPr="00610B1B">
        <w:rPr>
          <w:rFonts w:ascii="Times New Roman" w:eastAsia="Arial Unicode MS" w:hAnsi="Times New Roman" w:cs="Times New Roman"/>
          <w:sz w:val="24"/>
          <w:szCs w:val="24"/>
          <w:lang w:val="bg-BG"/>
        </w:rPr>
        <w:t>,</w:t>
      </w:r>
      <w:r w:rsidRPr="00610B1B">
        <w:rPr>
          <w:rFonts w:ascii="Times New Roman" w:eastAsia="Arial Unicode MS" w:hAnsi="Times New Roman" w:cs="Times New Roman"/>
          <w:sz w:val="24"/>
          <w:szCs w:val="24"/>
          <w:lang w:val="bg-BG"/>
        </w:rPr>
        <w:t xml:space="preserve"> обединява приетите Женевски конвенции, регламентира опазването, използването и изучаването на моретата и океаните и техните ресурси. </w:t>
      </w:r>
      <w:r w:rsidR="00E169D0" w:rsidRPr="00610B1B">
        <w:rPr>
          <w:rFonts w:ascii="Times New Roman" w:eastAsia="Arial Unicode MS" w:hAnsi="Times New Roman" w:cs="Times New Roman"/>
          <w:sz w:val="24"/>
          <w:szCs w:val="24"/>
          <w:lang w:val="bg-BG"/>
        </w:rPr>
        <w:t>Конвенцията</w:t>
      </w:r>
      <w:r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lastRenderedPageBreak/>
        <w:t xml:space="preserve">доразвива принципите на </w:t>
      </w:r>
      <w:r w:rsidR="00E169D0" w:rsidRPr="00610B1B">
        <w:rPr>
          <w:rFonts w:ascii="Times New Roman" w:eastAsia="Arial Unicode MS" w:hAnsi="Times New Roman" w:cs="Times New Roman"/>
          <w:sz w:val="24"/>
          <w:szCs w:val="24"/>
          <w:lang w:val="bg-BG"/>
        </w:rPr>
        <w:t xml:space="preserve">Резолюция </w:t>
      </w:r>
      <w:r w:rsidRPr="00610B1B">
        <w:rPr>
          <w:rFonts w:ascii="Times New Roman" w:eastAsia="Arial Unicode MS" w:hAnsi="Times New Roman" w:cs="Times New Roman"/>
          <w:sz w:val="24"/>
          <w:szCs w:val="24"/>
          <w:lang w:val="bg-BG"/>
        </w:rPr>
        <w:t xml:space="preserve">2749 (XXV) от 17 декември 1970 г. от Общото събрание на организацията относно зоната на морско и океанско дъно и техните недра отвъд пределите на националната юрисдикция и техните ресурси, обявени за общо наследство на човечеството. Тя </w:t>
      </w:r>
      <w:r w:rsidR="004D724C" w:rsidRPr="00610B1B">
        <w:rPr>
          <w:rFonts w:ascii="Times New Roman" w:eastAsia="Arial Unicode MS" w:hAnsi="Times New Roman" w:cs="Times New Roman"/>
          <w:sz w:val="24"/>
          <w:szCs w:val="24"/>
          <w:lang w:val="bg-BG"/>
        </w:rPr>
        <w:t xml:space="preserve">цели </w:t>
      </w:r>
      <w:r w:rsidRPr="00610B1B">
        <w:rPr>
          <w:rFonts w:ascii="Times New Roman" w:eastAsia="Arial Unicode MS" w:hAnsi="Times New Roman" w:cs="Times New Roman"/>
          <w:sz w:val="24"/>
          <w:szCs w:val="24"/>
          <w:lang w:val="bg-BG"/>
        </w:rPr>
        <w:t>подобр</w:t>
      </w:r>
      <w:r w:rsidR="004D724C" w:rsidRPr="00610B1B">
        <w:rPr>
          <w:rFonts w:ascii="Times New Roman" w:eastAsia="Arial Unicode MS" w:hAnsi="Times New Roman" w:cs="Times New Roman"/>
          <w:sz w:val="24"/>
          <w:szCs w:val="24"/>
          <w:lang w:val="bg-BG"/>
        </w:rPr>
        <w:t>яването на</w:t>
      </w:r>
      <w:r w:rsidRPr="00610B1B">
        <w:rPr>
          <w:rFonts w:ascii="Times New Roman" w:eastAsia="Arial Unicode MS" w:hAnsi="Times New Roman" w:cs="Times New Roman"/>
          <w:sz w:val="24"/>
          <w:szCs w:val="24"/>
          <w:lang w:val="bg-BG"/>
        </w:rPr>
        <w:t xml:space="preserve"> сигурността, сътрудничеството и икономическия и социалния напредък. Конвенцията дава определенията на използваната терминология, фиксира границите на морск</w:t>
      </w:r>
      <w:r w:rsidR="004D724C" w:rsidRPr="00610B1B">
        <w:rPr>
          <w:rFonts w:ascii="Times New Roman" w:eastAsia="Arial Unicode MS" w:hAnsi="Times New Roman" w:cs="Times New Roman"/>
          <w:sz w:val="24"/>
          <w:szCs w:val="24"/>
          <w:lang w:val="bg-BG"/>
        </w:rPr>
        <w:t>ите</w:t>
      </w:r>
      <w:r w:rsidRPr="00610B1B">
        <w:rPr>
          <w:rFonts w:ascii="Times New Roman" w:eastAsia="Arial Unicode MS" w:hAnsi="Times New Roman" w:cs="Times New Roman"/>
          <w:sz w:val="24"/>
          <w:szCs w:val="24"/>
          <w:lang w:val="bg-BG"/>
        </w:rPr>
        <w:t xml:space="preserve"> пространств</w:t>
      </w:r>
      <w:r w:rsidR="004D724C" w:rsidRPr="00610B1B">
        <w:rPr>
          <w:rFonts w:ascii="Times New Roman" w:eastAsia="Arial Unicode MS" w:hAnsi="Times New Roman" w:cs="Times New Roman"/>
          <w:sz w:val="24"/>
          <w:szCs w:val="24"/>
          <w:lang w:val="bg-BG"/>
        </w:rPr>
        <w:t>а</w:t>
      </w:r>
      <w:r w:rsidRPr="00610B1B">
        <w:rPr>
          <w:rFonts w:ascii="Times New Roman" w:eastAsia="Arial Unicode MS" w:hAnsi="Times New Roman" w:cs="Times New Roman"/>
          <w:sz w:val="24"/>
          <w:szCs w:val="24"/>
          <w:lang w:val="bg-BG"/>
        </w:rPr>
        <w:t xml:space="preserve"> и принципите за определянето им и последователно развива ангажиментите на държавите и на другите участници в използването на т</w:t>
      </w:r>
      <w:r w:rsidR="004D724C" w:rsidRPr="00610B1B">
        <w:rPr>
          <w:rFonts w:ascii="Times New Roman" w:eastAsia="Arial Unicode MS" w:hAnsi="Times New Roman" w:cs="Times New Roman"/>
          <w:sz w:val="24"/>
          <w:szCs w:val="24"/>
          <w:lang w:val="bg-BG"/>
        </w:rPr>
        <w:t>ези</w:t>
      </w:r>
      <w:r w:rsidRPr="00610B1B">
        <w:rPr>
          <w:rFonts w:ascii="Times New Roman" w:eastAsia="Arial Unicode MS" w:hAnsi="Times New Roman" w:cs="Times New Roman"/>
          <w:sz w:val="24"/>
          <w:szCs w:val="24"/>
          <w:lang w:val="bg-BG"/>
        </w:rPr>
        <w:t xml:space="preserve"> пространств</w:t>
      </w:r>
      <w:r w:rsidR="004D724C" w:rsidRPr="00610B1B">
        <w:rPr>
          <w:rFonts w:ascii="Times New Roman" w:eastAsia="Arial Unicode MS" w:hAnsi="Times New Roman" w:cs="Times New Roman"/>
          <w:sz w:val="24"/>
          <w:szCs w:val="24"/>
          <w:lang w:val="bg-BG"/>
        </w:rPr>
        <w:t>а</w:t>
      </w:r>
      <w:r w:rsidRPr="00610B1B">
        <w:rPr>
          <w:rFonts w:ascii="Times New Roman" w:eastAsia="Arial Unicode MS" w:hAnsi="Times New Roman" w:cs="Times New Roman"/>
          <w:sz w:val="24"/>
          <w:szCs w:val="24"/>
          <w:lang w:val="bg-BG"/>
        </w:rPr>
        <w:t xml:space="preserve">. </w:t>
      </w:r>
      <w:r w:rsidR="0051606B" w:rsidRPr="00610B1B">
        <w:rPr>
          <w:rFonts w:ascii="Times New Roman" w:eastAsia="Arial Unicode MS" w:hAnsi="Times New Roman" w:cs="Times New Roman"/>
          <w:sz w:val="24"/>
          <w:szCs w:val="24"/>
          <w:lang w:val="bg-BG"/>
        </w:rPr>
        <w:t>Конвенцията е ратифицирана от Р</w:t>
      </w:r>
      <w:r w:rsidR="006665AB" w:rsidRPr="00610B1B">
        <w:rPr>
          <w:rFonts w:ascii="Times New Roman" w:eastAsia="Arial Unicode MS" w:hAnsi="Times New Roman" w:cs="Times New Roman"/>
          <w:sz w:val="24"/>
          <w:szCs w:val="24"/>
          <w:lang w:val="bg-BG"/>
        </w:rPr>
        <w:t>. </w:t>
      </w:r>
      <w:r w:rsidR="0051606B" w:rsidRPr="00610B1B">
        <w:rPr>
          <w:rFonts w:ascii="Times New Roman" w:eastAsia="Arial Unicode MS" w:hAnsi="Times New Roman" w:cs="Times New Roman"/>
          <w:sz w:val="24"/>
          <w:szCs w:val="24"/>
          <w:lang w:val="bg-BG"/>
        </w:rPr>
        <w:t>България</w:t>
      </w:r>
      <w:r w:rsidR="006665AB" w:rsidRPr="00610B1B">
        <w:rPr>
          <w:rFonts w:ascii="Times New Roman" w:eastAsia="Arial Unicode MS" w:hAnsi="Times New Roman" w:cs="Times New Roman"/>
          <w:sz w:val="24"/>
          <w:szCs w:val="24"/>
          <w:lang w:val="bg-BG"/>
        </w:rPr>
        <w:t>,</w:t>
      </w:r>
      <w:r w:rsidR="0051606B" w:rsidRPr="00610B1B">
        <w:rPr>
          <w:rFonts w:ascii="Times New Roman" w:eastAsia="Arial Unicode MS" w:hAnsi="Times New Roman" w:cs="Times New Roman"/>
          <w:sz w:val="24"/>
          <w:szCs w:val="24"/>
          <w:lang w:val="bg-BG"/>
        </w:rPr>
        <w:t xml:space="preserve"> обнародван</w:t>
      </w:r>
      <w:r w:rsidR="006665AB" w:rsidRPr="00610B1B">
        <w:rPr>
          <w:rFonts w:ascii="Times New Roman" w:eastAsia="Arial Unicode MS" w:hAnsi="Times New Roman" w:cs="Times New Roman"/>
          <w:sz w:val="24"/>
          <w:szCs w:val="24"/>
          <w:lang w:val="bg-BG"/>
        </w:rPr>
        <w:t>а е</w:t>
      </w:r>
      <w:r w:rsidR="0051606B" w:rsidRPr="00610B1B">
        <w:rPr>
          <w:rFonts w:ascii="Times New Roman" w:eastAsia="Arial Unicode MS" w:hAnsi="Times New Roman" w:cs="Times New Roman"/>
          <w:sz w:val="24"/>
          <w:szCs w:val="24"/>
          <w:lang w:val="bg-BG"/>
        </w:rPr>
        <w:t xml:space="preserve"> в ДВ бр. 73/27.08.1996 г. и бр.74/30.08.1996 г. </w:t>
      </w:r>
      <w:r w:rsidR="00007BFA" w:rsidRPr="00610B1B">
        <w:rPr>
          <w:rFonts w:ascii="Times New Roman" w:eastAsia="Arial Unicode MS" w:hAnsi="Times New Roman" w:cs="Times New Roman"/>
          <w:sz w:val="24"/>
          <w:szCs w:val="24"/>
          <w:lang w:val="bg-BG"/>
        </w:rPr>
        <w:t xml:space="preserve">и </w:t>
      </w:r>
      <w:r w:rsidR="0051606B" w:rsidRPr="00610B1B">
        <w:rPr>
          <w:rFonts w:ascii="Times New Roman" w:eastAsia="Arial Unicode MS" w:hAnsi="Times New Roman" w:cs="Times New Roman"/>
          <w:sz w:val="24"/>
          <w:szCs w:val="24"/>
          <w:lang w:val="bg-BG"/>
        </w:rPr>
        <w:t>транспониран</w:t>
      </w:r>
      <w:r w:rsidR="00007BFA" w:rsidRPr="00610B1B">
        <w:rPr>
          <w:rFonts w:ascii="Times New Roman" w:eastAsia="Arial Unicode MS" w:hAnsi="Times New Roman" w:cs="Times New Roman"/>
          <w:sz w:val="24"/>
          <w:szCs w:val="24"/>
          <w:lang w:val="bg-BG"/>
        </w:rPr>
        <w:t>а</w:t>
      </w:r>
      <w:r w:rsidR="0051606B" w:rsidRPr="00610B1B">
        <w:rPr>
          <w:rFonts w:ascii="Times New Roman" w:eastAsia="Arial Unicode MS" w:hAnsi="Times New Roman" w:cs="Times New Roman"/>
          <w:sz w:val="24"/>
          <w:szCs w:val="24"/>
          <w:lang w:val="bg-BG"/>
        </w:rPr>
        <w:t xml:space="preserve"> в националното </w:t>
      </w:r>
      <w:r w:rsidR="00007BFA" w:rsidRPr="00610B1B">
        <w:rPr>
          <w:rFonts w:ascii="Times New Roman" w:eastAsia="Arial Unicode MS" w:hAnsi="Times New Roman" w:cs="Times New Roman"/>
          <w:sz w:val="24"/>
          <w:szCs w:val="24"/>
          <w:lang w:val="bg-BG"/>
        </w:rPr>
        <w:t xml:space="preserve">ни </w:t>
      </w:r>
      <w:r w:rsidR="0051606B" w:rsidRPr="00610B1B">
        <w:rPr>
          <w:rFonts w:ascii="Times New Roman" w:eastAsia="Arial Unicode MS" w:hAnsi="Times New Roman" w:cs="Times New Roman"/>
          <w:sz w:val="24"/>
          <w:szCs w:val="24"/>
          <w:lang w:val="bg-BG"/>
        </w:rPr>
        <w:t>законодателство чрез Закона за морските пространства, вътрешните водни пътища и пристанищата на Република България.</w:t>
      </w:r>
      <w:r w:rsidR="0051606B" w:rsidRPr="00610B1B">
        <w:rPr>
          <w:rStyle w:val="FootnoteReference"/>
          <w:rFonts w:ascii="Times New Roman" w:eastAsia="Arial Unicode MS" w:hAnsi="Times New Roman" w:cs="Times New Roman"/>
          <w:sz w:val="24"/>
          <w:szCs w:val="24"/>
          <w:lang w:val="bg-BG"/>
        </w:rPr>
        <w:footnoteReference w:id="25"/>
      </w:r>
      <w:r w:rsidR="0051606B" w:rsidRPr="00610B1B">
        <w:rPr>
          <w:rFonts w:ascii="Times New Roman" w:eastAsia="Arial Unicode MS" w:hAnsi="Times New Roman" w:cs="Times New Roman"/>
          <w:sz w:val="24"/>
          <w:szCs w:val="24"/>
          <w:lang w:val="bg-BG"/>
        </w:rPr>
        <w:t xml:space="preserve"> </w:t>
      </w:r>
    </w:p>
    <w:p w14:paraId="65D91F44" w14:textId="3D7F5111" w:rsidR="00065426" w:rsidRPr="00610B1B" w:rsidRDefault="00065426" w:rsidP="00D32D6A">
      <w:pPr>
        <w:widowControl w:val="0"/>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b/>
          <w:bCs/>
          <w:sz w:val="24"/>
          <w:szCs w:val="24"/>
          <w:lang w:val="bg-BG"/>
        </w:rPr>
        <w:t xml:space="preserve">Международната конвенция за предотвратяване на замърсяването от кораби </w:t>
      </w:r>
      <w:r w:rsidR="00C17AAC" w:rsidRPr="00610B1B">
        <w:rPr>
          <w:rFonts w:ascii="Times New Roman" w:eastAsia="Arial Unicode MS" w:hAnsi="Times New Roman" w:cs="Times New Roman"/>
          <w:sz w:val="24"/>
          <w:szCs w:val="24"/>
          <w:lang w:val="bg-BG"/>
        </w:rPr>
        <w:t>от 1973 г.,</w:t>
      </w:r>
      <w:r w:rsidR="00C17AAC" w:rsidRPr="00610B1B">
        <w:rPr>
          <w:rFonts w:ascii="Times New Roman" w:eastAsia="Arial Unicode MS" w:hAnsi="Times New Roman" w:cs="Times New Roman"/>
          <w:b/>
          <w:bCs/>
          <w:sz w:val="24"/>
          <w:szCs w:val="24"/>
          <w:lang w:val="bg-BG"/>
        </w:rPr>
        <w:t xml:space="preserve"> </w:t>
      </w:r>
      <w:r w:rsidR="00C17AAC" w:rsidRPr="00610B1B">
        <w:rPr>
          <w:rFonts w:ascii="Times New Roman" w:eastAsia="Arial Unicode MS" w:hAnsi="Times New Roman" w:cs="Times New Roman"/>
          <w:sz w:val="24"/>
          <w:szCs w:val="24"/>
          <w:lang w:val="bg-BG"/>
        </w:rPr>
        <w:t>изменена с протоколи от 1978 г. и от 1997 г. (MARPOL 73/78)</w:t>
      </w:r>
      <w:r w:rsidR="00C17AAC" w:rsidRPr="00610B1B">
        <w:rPr>
          <w:rFonts w:ascii="Times New Roman" w:eastAsia="Arial Unicode MS" w:hAnsi="Times New Roman" w:cs="Times New Roman"/>
          <w:b/>
          <w:bCs/>
          <w:sz w:val="24"/>
          <w:szCs w:val="24"/>
          <w:lang w:val="bg-BG"/>
        </w:rPr>
        <w:t xml:space="preserve"> </w:t>
      </w:r>
      <w:r w:rsidRPr="00610B1B">
        <w:rPr>
          <w:rFonts w:ascii="Times New Roman" w:eastAsia="Arial Unicode MS" w:hAnsi="Times New Roman" w:cs="Times New Roman"/>
          <w:sz w:val="24"/>
          <w:szCs w:val="24"/>
          <w:lang w:val="bg-BG"/>
        </w:rPr>
        <w:t>е сред най-важните международни конвенции за опазване на морската среда</w:t>
      </w:r>
      <w:r w:rsidRPr="00610B1B">
        <w:rPr>
          <w:rFonts w:ascii="Times New Roman" w:eastAsia="Arial Unicode MS" w:hAnsi="Times New Roman" w:cs="Times New Roman"/>
          <w:sz w:val="24"/>
          <w:szCs w:val="24"/>
          <w:vertAlign w:val="superscript"/>
          <w:lang w:val="bg-BG"/>
        </w:rPr>
        <w:footnoteReference w:id="26"/>
      </w:r>
      <w:r w:rsidRPr="00610B1B">
        <w:rPr>
          <w:rFonts w:ascii="Times New Roman" w:eastAsia="Arial Unicode MS" w:hAnsi="Times New Roman" w:cs="Times New Roman"/>
          <w:sz w:val="24"/>
          <w:szCs w:val="24"/>
          <w:lang w:val="bg-BG"/>
        </w:rPr>
        <w:t xml:space="preserve">. </w:t>
      </w:r>
      <w:r w:rsidR="00C17AAC" w:rsidRPr="00610B1B">
        <w:rPr>
          <w:rFonts w:ascii="Times New Roman" w:eastAsia="Arial Unicode MS" w:hAnsi="Times New Roman" w:cs="Times New Roman"/>
          <w:sz w:val="24"/>
          <w:szCs w:val="24"/>
          <w:lang w:val="bg-BG"/>
        </w:rPr>
        <w:t xml:space="preserve">Разработена </w:t>
      </w:r>
      <w:r w:rsidRPr="00610B1B">
        <w:rPr>
          <w:rFonts w:ascii="Times New Roman" w:eastAsia="Arial Unicode MS" w:hAnsi="Times New Roman" w:cs="Times New Roman"/>
          <w:sz w:val="24"/>
          <w:szCs w:val="24"/>
          <w:lang w:val="bg-BG"/>
        </w:rPr>
        <w:t xml:space="preserve">от Международната морска организация (ММО) </w:t>
      </w:r>
      <w:r w:rsidR="00C17AAC" w:rsidRPr="00610B1B">
        <w:rPr>
          <w:rFonts w:ascii="Times New Roman" w:eastAsia="Arial Unicode MS" w:hAnsi="Times New Roman" w:cs="Times New Roman"/>
          <w:sz w:val="24"/>
          <w:szCs w:val="24"/>
          <w:lang w:val="bg-BG"/>
        </w:rPr>
        <w:t xml:space="preserve">тя </w:t>
      </w:r>
      <w:r w:rsidRPr="00610B1B">
        <w:rPr>
          <w:rFonts w:ascii="Times New Roman" w:eastAsia="Arial Unicode MS" w:hAnsi="Times New Roman" w:cs="Times New Roman"/>
          <w:sz w:val="24"/>
          <w:szCs w:val="24"/>
          <w:lang w:val="bg-BG"/>
        </w:rPr>
        <w:t>цел</w:t>
      </w:r>
      <w:r w:rsidR="00C17AAC" w:rsidRPr="00610B1B">
        <w:rPr>
          <w:rFonts w:ascii="Times New Roman" w:eastAsia="Arial Unicode MS" w:hAnsi="Times New Roman" w:cs="Times New Roman"/>
          <w:sz w:val="24"/>
          <w:szCs w:val="24"/>
          <w:lang w:val="bg-BG"/>
        </w:rPr>
        <w:t>и</w:t>
      </w:r>
      <w:r w:rsidRPr="00610B1B">
        <w:rPr>
          <w:rFonts w:ascii="Times New Roman" w:eastAsia="Arial Unicode MS" w:hAnsi="Times New Roman" w:cs="Times New Roman"/>
          <w:sz w:val="24"/>
          <w:szCs w:val="24"/>
          <w:lang w:val="bg-BG"/>
        </w:rPr>
        <w:t xml:space="preserve"> запаз</w:t>
      </w:r>
      <w:r w:rsidR="00C17AAC" w:rsidRPr="00610B1B">
        <w:rPr>
          <w:rFonts w:ascii="Times New Roman" w:eastAsia="Arial Unicode MS" w:hAnsi="Times New Roman" w:cs="Times New Roman"/>
          <w:sz w:val="24"/>
          <w:szCs w:val="24"/>
          <w:lang w:val="bg-BG"/>
        </w:rPr>
        <w:t>ването на</w:t>
      </w:r>
      <w:r w:rsidRPr="00610B1B">
        <w:rPr>
          <w:rFonts w:ascii="Times New Roman" w:eastAsia="Arial Unicode MS" w:hAnsi="Times New Roman" w:cs="Times New Roman"/>
          <w:sz w:val="24"/>
          <w:szCs w:val="24"/>
          <w:lang w:val="bg-BG"/>
        </w:rPr>
        <w:t xml:space="preserve"> морската среда и </w:t>
      </w:r>
      <w:r w:rsidR="00C17AAC" w:rsidRPr="00610B1B">
        <w:rPr>
          <w:rFonts w:ascii="Times New Roman" w:eastAsia="Arial Unicode MS" w:hAnsi="Times New Roman" w:cs="Times New Roman"/>
          <w:sz w:val="24"/>
          <w:szCs w:val="24"/>
          <w:lang w:val="bg-BG"/>
        </w:rPr>
        <w:t xml:space="preserve">пълното </w:t>
      </w:r>
      <w:r w:rsidRPr="00610B1B">
        <w:rPr>
          <w:rFonts w:ascii="Times New Roman" w:eastAsia="Arial Unicode MS" w:hAnsi="Times New Roman" w:cs="Times New Roman"/>
          <w:sz w:val="24"/>
          <w:szCs w:val="24"/>
          <w:lang w:val="bg-BG"/>
        </w:rPr>
        <w:t>елиминира</w:t>
      </w:r>
      <w:r w:rsidR="00C17AAC" w:rsidRPr="00610B1B">
        <w:rPr>
          <w:rFonts w:ascii="Times New Roman" w:eastAsia="Arial Unicode MS" w:hAnsi="Times New Roman" w:cs="Times New Roman"/>
          <w:sz w:val="24"/>
          <w:szCs w:val="24"/>
          <w:lang w:val="bg-BG"/>
        </w:rPr>
        <w:t>не на</w:t>
      </w:r>
      <w:r w:rsidR="00D66FE0"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t xml:space="preserve">замърсяването с петрол и вредни вещества, </w:t>
      </w:r>
      <w:r w:rsidR="00007BFA" w:rsidRPr="00610B1B">
        <w:rPr>
          <w:rFonts w:ascii="Times New Roman" w:eastAsia="Arial Unicode MS" w:hAnsi="Times New Roman" w:cs="Times New Roman"/>
          <w:sz w:val="24"/>
          <w:szCs w:val="24"/>
          <w:lang w:val="bg-BG"/>
        </w:rPr>
        <w:t>и намаляване</w:t>
      </w:r>
      <w:r w:rsidRPr="00610B1B">
        <w:rPr>
          <w:rFonts w:ascii="Times New Roman" w:eastAsia="Arial Unicode MS" w:hAnsi="Times New Roman" w:cs="Times New Roman"/>
          <w:sz w:val="24"/>
          <w:szCs w:val="24"/>
          <w:lang w:val="bg-BG"/>
        </w:rPr>
        <w:t xml:space="preserve"> до минимум инцидентите с разливи и замърсяването на водите.</w:t>
      </w:r>
      <w:r w:rsidR="00C17AAC" w:rsidRPr="00610B1B">
        <w:rPr>
          <w:rFonts w:ascii="Times New Roman" w:eastAsia="Arial Unicode MS" w:hAnsi="Times New Roman" w:cs="Times New Roman"/>
          <w:sz w:val="24"/>
          <w:szCs w:val="24"/>
          <w:lang w:val="bg-BG"/>
        </w:rPr>
        <w:t xml:space="preserve"> Ратифицирана е със закон от НС на Република България, обн. ДВ</w:t>
      </w:r>
      <w:r w:rsidR="00D66FE0" w:rsidRPr="00610B1B">
        <w:rPr>
          <w:rFonts w:ascii="Times New Roman" w:eastAsia="Arial Unicode MS" w:hAnsi="Times New Roman" w:cs="Times New Roman"/>
          <w:sz w:val="24"/>
          <w:szCs w:val="24"/>
          <w:lang w:val="bg-BG"/>
        </w:rPr>
        <w:t xml:space="preserve"> </w:t>
      </w:r>
      <w:r w:rsidR="00C17AAC" w:rsidRPr="00610B1B">
        <w:rPr>
          <w:rFonts w:ascii="Times New Roman" w:eastAsia="Arial Unicode MS" w:hAnsi="Times New Roman" w:cs="Times New Roman"/>
          <w:sz w:val="24"/>
          <w:szCs w:val="24"/>
          <w:lang w:val="bg-BG"/>
        </w:rPr>
        <w:t>бр. 94</w:t>
      </w:r>
      <w:r w:rsidR="00D60400" w:rsidRPr="00610B1B">
        <w:rPr>
          <w:rFonts w:ascii="Times New Roman" w:eastAsia="Arial Unicode MS" w:hAnsi="Times New Roman" w:cs="Times New Roman"/>
          <w:sz w:val="24"/>
          <w:szCs w:val="24"/>
          <w:lang w:val="bg-BG"/>
        </w:rPr>
        <w:t>/</w:t>
      </w:r>
      <w:r w:rsidR="00C17AAC" w:rsidRPr="00610B1B">
        <w:rPr>
          <w:rFonts w:ascii="Times New Roman" w:eastAsia="Arial Unicode MS" w:hAnsi="Times New Roman" w:cs="Times New Roman"/>
          <w:sz w:val="24"/>
          <w:szCs w:val="24"/>
          <w:lang w:val="bg-BG"/>
        </w:rPr>
        <w:t>22.10.2004 г., изм. и доп. ДВ бр. 96/20.11.2018</w:t>
      </w:r>
      <w:r w:rsidR="00D703D4" w:rsidRPr="00610B1B">
        <w:rPr>
          <w:rFonts w:ascii="Times New Roman" w:eastAsia="Arial Unicode MS" w:hAnsi="Times New Roman" w:cs="Times New Roman"/>
          <w:sz w:val="24"/>
          <w:szCs w:val="24"/>
          <w:lang w:val="bg-BG"/>
        </w:rPr>
        <w:t> </w:t>
      </w:r>
      <w:r w:rsidR="00C17AAC" w:rsidRPr="00610B1B">
        <w:rPr>
          <w:rFonts w:ascii="Times New Roman" w:eastAsia="Arial Unicode MS" w:hAnsi="Times New Roman" w:cs="Times New Roman"/>
          <w:sz w:val="24"/>
          <w:szCs w:val="24"/>
          <w:lang w:val="bg-BG"/>
        </w:rPr>
        <w:t xml:space="preserve">г. </w:t>
      </w:r>
    </w:p>
    <w:p w14:paraId="2D164563" w14:textId="3A21F081" w:rsidR="00065426" w:rsidRPr="00610B1B" w:rsidRDefault="00065426" w:rsidP="00D32D6A">
      <w:pPr>
        <w:widowControl w:val="0"/>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b/>
          <w:bCs/>
          <w:sz w:val="24"/>
          <w:szCs w:val="24"/>
          <w:lang w:val="bg-BG"/>
        </w:rPr>
        <w:t>Конвенцията за опазване на подводното културно наследство</w:t>
      </w:r>
      <w:r w:rsidR="00E169D0" w:rsidRPr="00610B1B">
        <w:rPr>
          <w:rFonts w:ascii="Times New Roman" w:eastAsia="Arial Unicode MS" w:hAnsi="Times New Roman" w:cs="Times New Roman"/>
          <w:b/>
          <w:bCs/>
          <w:sz w:val="24"/>
          <w:szCs w:val="24"/>
          <w:lang w:val="bg-BG"/>
        </w:rPr>
        <w:t>,</w:t>
      </w:r>
      <w:r w:rsidRPr="00610B1B">
        <w:rPr>
          <w:rFonts w:ascii="Times New Roman" w:eastAsia="Arial Unicode MS" w:hAnsi="Times New Roman" w:cs="Times New Roman"/>
          <w:sz w:val="24"/>
          <w:szCs w:val="24"/>
          <w:lang w:val="bg-BG"/>
        </w:rPr>
        <w:t xml:space="preserve"> приета на Генералната конференция на </w:t>
      </w:r>
      <w:r w:rsidR="00E169D0" w:rsidRPr="00610B1B">
        <w:rPr>
          <w:rFonts w:ascii="Times New Roman" w:eastAsia="Arial Unicode MS" w:hAnsi="Times New Roman" w:cs="Times New Roman"/>
          <w:sz w:val="24"/>
          <w:szCs w:val="24"/>
          <w:lang w:val="bg-BG"/>
        </w:rPr>
        <w:t>ЮНЕСКО</w:t>
      </w:r>
      <w:r w:rsidRPr="00610B1B">
        <w:rPr>
          <w:rFonts w:ascii="Times New Roman" w:eastAsia="Arial Unicode MS" w:hAnsi="Times New Roman" w:cs="Times New Roman"/>
          <w:sz w:val="24"/>
          <w:szCs w:val="24"/>
          <w:lang w:val="bg-BG"/>
        </w:rPr>
        <w:t xml:space="preserve"> през 2001 г. в Париж</w:t>
      </w:r>
      <w:r w:rsidR="00E169D0" w:rsidRPr="00610B1B">
        <w:rPr>
          <w:rFonts w:ascii="Times New Roman" w:eastAsia="Arial Unicode MS" w:hAnsi="Times New Roman" w:cs="Times New Roman"/>
          <w:sz w:val="24"/>
          <w:szCs w:val="24"/>
          <w:lang w:val="bg-BG"/>
        </w:rPr>
        <w:t xml:space="preserve">, </w:t>
      </w:r>
      <w:r w:rsidR="00E978AD" w:rsidRPr="00610B1B">
        <w:rPr>
          <w:rFonts w:ascii="Times New Roman" w:eastAsia="Arial Unicode MS" w:hAnsi="Times New Roman" w:cs="Times New Roman"/>
          <w:sz w:val="24"/>
          <w:szCs w:val="24"/>
          <w:lang w:val="bg-BG"/>
        </w:rPr>
        <w:t xml:space="preserve">определя подводното културно наследство като „следи </w:t>
      </w:r>
      <w:r w:rsidRPr="00610B1B">
        <w:rPr>
          <w:rFonts w:ascii="Times New Roman" w:eastAsia="Arial Unicode MS" w:hAnsi="Times New Roman" w:cs="Times New Roman"/>
          <w:sz w:val="24"/>
          <w:szCs w:val="24"/>
          <w:lang w:val="bg-BG"/>
        </w:rPr>
        <w:t>от човешко съществувание от културно, историческо или археологическо естество, частично или изцяло потънали, периодично или постоянно, от минимум 100 години</w:t>
      </w:r>
      <w:r w:rsidR="00E978AD" w:rsidRPr="00610B1B">
        <w:rPr>
          <w:rFonts w:ascii="Times New Roman" w:eastAsia="Arial Unicode MS" w:hAnsi="Times New Roman" w:cs="Times New Roman"/>
          <w:sz w:val="24"/>
          <w:szCs w:val="24"/>
          <w:lang w:val="bg-BG"/>
        </w:rPr>
        <w:t>.</w:t>
      </w:r>
      <w:r w:rsidRPr="00610B1B">
        <w:rPr>
          <w:rFonts w:ascii="Times New Roman" w:eastAsia="Arial Unicode MS" w:hAnsi="Times New Roman" w:cs="Times New Roman"/>
          <w:sz w:val="24"/>
          <w:szCs w:val="24"/>
          <w:lang w:val="bg-BG"/>
        </w:rPr>
        <w:t>“</w:t>
      </w:r>
      <w:r w:rsidRPr="00610B1B">
        <w:rPr>
          <w:rFonts w:ascii="Times New Roman" w:eastAsia="Arial Unicode MS" w:hAnsi="Times New Roman" w:cs="Times New Roman"/>
          <w:sz w:val="24"/>
          <w:szCs w:val="24"/>
          <w:vertAlign w:val="superscript"/>
          <w:lang w:val="bg-BG"/>
        </w:rPr>
        <w:footnoteReference w:id="27"/>
      </w:r>
      <w:r w:rsidR="00E978AD" w:rsidRPr="00610B1B">
        <w:rPr>
          <w:rFonts w:ascii="Times New Roman" w:eastAsia="Arial Unicode MS" w:hAnsi="Times New Roman" w:cs="Times New Roman"/>
          <w:sz w:val="24"/>
          <w:szCs w:val="24"/>
          <w:lang w:val="bg-BG"/>
        </w:rPr>
        <w:t xml:space="preserve"> (Чл. 10) Това</w:t>
      </w:r>
      <w:r w:rsidRPr="00610B1B">
        <w:rPr>
          <w:rFonts w:ascii="Times New Roman" w:eastAsia="Arial Unicode MS" w:hAnsi="Times New Roman" w:cs="Times New Roman"/>
          <w:sz w:val="24"/>
          <w:szCs w:val="24"/>
          <w:lang w:val="bg-BG"/>
        </w:rPr>
        <w:t xml:space="preserve"> включва селища, конструкции, сгради, предмети и тленни останки, плавателни съдове и други превозни средства и части от тях и праисторически предмети, с </w:t>
      </w:r>
      <w:r w:rsidR="00903006" w:rsidRPr="00610B1B">
        <w:rPr>
          <w:rFonts w:ascii="Times New Roman" w:eastAsia="Arial Unicode MS" w:hAnsi="Times New Roman" w:cs="Times New Roman"/>
          <w:sz w:val="24"/>
          <w:szCs w:val="24"/>
          <w:lang w:val="bg-BG"/>
        </w:rPr>
        <w:t xml:space="preserve">техния </w:t>
      </w:r>
      <w:r w:rsidRPr="00610B1B">
        <w:rPr>
          <w:rFonts w:ascii="Times New Roman" w:eastAsia="Arial Unicode MS" w:hAnsi="Times New Roman" w:cs="Times New Roman"/>
          <w:sz w:val="24"/>
          <w:szCs w:val="24"/>
          <w:lang w:val="bg-BG"/>
        </w:rPr>
        <w:t xml:space="preserve">археологически и природен контекст. Държавите по тази конвенция, имат изключителното право да регламентират намесите в подводното културно наследство в техните вътрешни териториални води и в </w:t>
      </w:r>
      <w:r w:rsidR="004D724C" w:rsidRPr="00610B1B">
        <w:rPr>
          <w:rFonts w:ascii="Times New Roman" w:eastAsia="Arial Unicode MS" w:hAnsi="Times New Roman" w:cs="Times New Roman"/>
          <w:sz w:val="24"/>
          <w:szCs w:val="24"/>
          <w:lang w:val="bg-BG"/>
        </w:rPr>
        <w:t>прилежащата</w:t>
      </w:r>
      <w:r w:rsidRPr="00610B1B">
        <w:rPr>
          <w:rFonts w:ascii="Times New Roman" w:eastAsia="Arial Unicode MS" w:hAnsi="Times New Roman" w:cs="Times New Roman"/>
          <w:sz w:val="24"/>
          <w:szCs w:val="24"/>
          <w:lang w:val="bg-BG"/>
        </w:rPr>
        <w:t xml:space="preserve"> зона, без да нарушават други международни спогодби и прав</w:t>
      </w:r>
      <w:r w:rsidR="004D724C" w:rsidRPr="00610B1B">
        <w:rPr>
          <w:rFonts w:ascii="Times New Roman" w:eastAsia="Arial Unicode MS" w:hAnsi="Times New Roman" w:cs="Times New Roman"/>
          <w:sz w:val="24"/>
          <w:szCs w:val="24"/>
          <w:lang w:val="bg-BG"/>
        </w:rPr>
        <w:t>а</w:t>
      </w:r>
      <w:r w:rsidRPr="00610B1B">
        <w:rPr>
          <w:rFonts w:ascii="Times New Roman" w:eastAsia="Arial Unicode MS" w:hAnsi="Times New Roman" w:cs="Times New Roman"/>
          <w:sz w:val="24"/>
          <w:szCs w:val="24"/>
          <w:lang w:val="bg-BG"/>
        </w:rPr>
        <w:t>. Тяхно задължение е да защитават подводното културно наследство в изключителната икономическа зона и върху континенталния шелф</w:t>
      </w:r>
      <w:r w:rsidR="00E978AD"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t xml:space="preserve">Ратифицирана е от България със закон, </w:t>
      </w:r>
      <w:r w:rsidR="00357AC3" w:rsidRPr="00610B1B">
        <w:rPr>
          <w:rFonts w:ascii="Times New Roman" w:eastAsia="Arial Unicode MS" w:hAnsi="Times New Roman" w:cs="Times New Roman"/>
          <w:sz w:val="24"/>
          <w:szCs w:val="24"/>
          <w:lang w:val="bg-BG"/>
        </w:rPr>
        <w:t>обн.</w:t>
      </w:r>
      <w:r w:rsidRPr="00610B1B">
        <w:rPr>
          <w:rFonts w:ascii="Times New Roman" w:eastAsia="Arial Unicode MS" w:hAnsi="Times New Roman" w:cs="Times New Roman"/>
          <w:sz w:val="24"/>
          <w:szCs w:val="24"/>
          <w:lang w:val="bg-BG"/>
        </w:rPr>
        <w:t xml:space="preserve"> ДВ, бр. 84/2003 г.</w:t>
      </w:r>
      <w:r w:rsidR="00007BFA" w:rsidRPr="00610B1B">
        <w:rPr>
          <w:rFonts w:ascii="Times New Roman" w:eastAsia="Arial Unicode MS" w:hAnsi="Times New Roman" w:cs="Times New Roman"/>
          <w:sz w:val="24"/>
          <w:szCs w:val="24"/>
          <w:lang w:val="bg-BG"/>
        </w:rPr>
        <w:t>,</w:t>
      </w:r>
      <w:r w:rsidRPr="00610B1B">
        <w:rPr>
          <w:rFonts w:ascii="Times New Roman" w:eastAsia="Arial Unicode MS" w:hAnsi="Times New Roman" w:cs="Times New Roman"/>
          <w:sz w:val="24"/>
          <w:szCs w:val="24"/>
          <w:lang w:val="bg-BG"/>
        </w:rPr>
        <w:t xml:space="preserve"> в сила от 2 януари 2009 г. Съгласно чл. 6. </w:t>
      </w:r>
      <w:r w:rsidR="00357AC3" w:rsidRPr="00610B1B">
        <w:rPr>
          <w:rFonts w:ascii="Times New Roman" w:eastAsia="Arial Unicode MS" w:hAnsi="Times New Roman" w:cs="Times New Roman"/>
          <w:sz w:val="24"/>
          <w:szCs w:val="24"/>
          <w:lang w:val="bg-BG"/>
        </w:rPr>
        <w:t>ал</w:t>
      </w:r>
      <w:r w:rsidRPr="00610B1B">
        <w:rPr>
          <w:rFonts w:ascii="Times New Roman" w:eastAsia="Arial Unicode MS" w:hAnsi="Times New Roman" w:cs="Times New Roman"/>
          <w:sz w:val="24"/>
          <w:szCs w:val="24"/>
          <w:lang w:val="bg-BG"/>
        </w:rPr>
        <w:t>. 1 т.1 от Закона за културното наследство</w:t>
      </w:r>
      <w:r w:rsidR="004D724C" w:rsidRPr="00610B1B">
        <w:rPr>
          <w:rStyle w:val="FootnoteReference"/>
          <w:rFonts w:ascii="Times New Roman" w:eastAsia="Arial Unicode MS" w:hAnsi="Times New Roman" w:cs="Times New Roman"/>
          <w:sz w:val="24"/>
          <w:szCs w:val="24"/>
          <w:lang w:val="bg-BG"/>
        </w:rPr>
        <w:footnoteReference w:id="28"/>
      </w:r>
      <w:r w:rsidRPr="00610B1B">
        <w:rPr>
          <w:rFonts w:ascii="Times New Roman" w:eastAsia="Arial Unicode MS" w:hAnsi="Times New Roman" w:cs="Times New Roman"/>
          <w:sz w:val="24"/>
          <w:szCs w:val="24"/>
          <w:lang w:val="bg-BG"/>
        </w:rPr>
        <w:t xml:space="preserve"> културно наследство са и подводните археологически обекти и резервати. </w:t>
      </w:r>
    </w:p>
    <w:p w14:paraId="28979C12" w14:textId="1F129A2E" w:rsidR="00065426" w:rsidRPr="00610B1B" w:rsidRDefault="00065426" w:rsidP="00D32D6A">
      <w:pPr>
        <w:widowControl w:val="0"/>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b/>
          <w:bCs/>
          <w:sz w:val="24"/>
          <w:szCs w:val="24"/>
          <w:lang w:val="bg-BG"/>
        </w:rPr>
        <w:t>Конвенцията за биологичното разнообразие</w:t>
      </w:r>
      <w:r w:rsidRPr="00610B1B">
        <w:rPr>
          <w:rFonts w:ascii="Times New Roman" w:eastAsia="Arial Unicode MS" w:hAnsi="Times New Roman" w:cs="Times New Roman"/>
          <w:sz w:val="24"/>
          <w:szCs w:val="24"/>
          <w:lang w:val="bg-BG"/>
        </w:rPr>
        <w:t xml:space="preserve"> </w:t>
      </w:r>
      <w:r w:rsidR="00C27865" w:rsidRPr="00610B1B">
        <w:rPr>
          <w:rFonts w:ascii="Times New Roman" w:eastAsia="Arial Unicode MS" w:hAnsi="Times New Roman" w:cs="Times New Roman"/>
          <w:sz w:val="24"/>
          <w:szCs w:val="24"/>
          <w:lang w:val="bg-BG"/>
        </w:rPr>
        <w:t>(</w:t>
      </w:r>
      <w:r w:rsidRPr="00610B1B">
        <w:rPr>
          <w:rFonts w:ascii="Times New Roman" w:eastAsia="Arial Unicode MS" w:hAnsi="Times New Roman" w:cs="Times New Roman"/>
          <w:sz w:val="24"/>
          <w:szCs w:val="24"/>
          <w:lang w:val="bg-BG"/>
        </w:rPr>
        <w:t>1992 г.</w:t>
      </w:r>
      <w:r w:rsidR="00C27865" w:rsidRPr="00610B1B">
        <w:rPr>
          <w:rFonts w:ascii="Times New Roman" w:eastAsia="Arial Unicode MS" w:hAnsi="Times New Roman" w:cs="Times New Roman"/>
          <w:sz w:val="24"/>
          <w:szCs w:val="24"/>
          <w:lang w:val="bg-BG"/>
        </w:rPr>
        <w:t>)</w:t>
      </w:r>
      <w:r w:rsidRPr="00610B1B">
        <w:rPr>
          <w:rFonts w:ascii="Times New Roman" w:eastAsia="Arial Unicode MS" w:hAnsi="Times New Roman" w:cs="Times New Roman"/>
          <w:sz w:val="24"/>
          <w:szCs w:val="24"/>
          <w:lang w:val="bg-BG"/>
        </w:rPr>
        <w:t xml:space="preserve"> цели опазване на биологичното разнообразие, устойчиво използване на неговите компоненти и справедлива и разумна подялба на ползите, произтичащи от използването на генетични ресурси чрез трансфер на технологии, </w:t>
      </w:r>
      <w:r w:rsidR="00007BFA" w:rsidRPr="00610B1B">
        <w:rPr>
          <w:rFonts w:ascii="Times New Roman" w:eastAsia="Arial Unicode MS" w:hAnsi="Times New Roman" w:cs="Times New Roman"/>
          <w:sz w:val="24"/>
          <w:szCs w:val="24"/>
          <w:lang w:val="bg-BG"/>
        </w:rPr>
        <w:t>отчитайки</w:t>
      </w:r>
      <w:r w:rsidRPr="00610B1B">
        <w:rPr>
          <w:rFonts w:ascii="Times New Roman" w:eastAsia="Arial Unicode MS" w:hAnsi="Times New Roman" w:cs="Times New Roman"/>
          <w:sz w:val="24"/>
          <w:szCs w:val="24"/>
          <w:lang w:val="bg-BG"/>
        </w:rPr>
        <w:t xml:space="preserve"> права</w:t>
      </w:r>
      <w:r w:rsidR="00903006" w:rsidRPr="00610B1B">
        <w:rPr>
          <w:rFonts w:ascii="Times New Roman" w:eastAsia="Arial Unicode MS" w:hAnsi="Times New Roman" w:cs="Times New Roman"/>
          <w:sz w:val="24"/>
          <w:szCs w:val="24"/>
          <w:lang w:val="bg-BG"/>
        </w:rPr>
        <w:t>та</w:t>
      </w:r>
      <w:r w:rsidRPr="00610B1B">
        <w:rPr>
          <w:rFonts w:ascii="Times New Roman" w:eastAsia="Arial Unicode MS" w:hAnsi="Times New Roman" w:cs="Times New Roman"/>
          <w:sz w:val="24"/>
          <w:szCs w:val="24"/>
          <w:lang w:val="bg-BG"/>
        </w:rPr>
        <w:t xml:space="preserve"> върху тези ресурси.</w:t>
      </w:r>
      <w:r w:rsidR="00357AC3"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t>Всяка държава запазва суверенното си право да използва собствени</w:t>
      </w:r>
      <w:r w:rsidR="00C37F62" w:rsidRPr="00610B1B">
        <w:rPr>
          <w:rFonts w:ascii="Times New Roman" w:eastAsia="Arial Unicode MS" w:hAnsi="Times New Roman" w:cs="Times New Roman"/>
          <w:sz w:val="24"/>
          <w:szCs w:val="24"/>
          <w:lang w:val="bg-BG"/>
        </w:rPr>
        <w:t>те си</w:t>
      </w:r>
      <w:r w:rsidRPr="00610B1B">
        <w:rPr>
          <w:rFonts w:ascii="Times New Roman" w:eastAsia="Arial Unicode MS" w:hAnsi="Times New Roman" w:cs="Times New Roman"/>
          <w:sz w:val="24"/>
          <w:szCs w:val="24"/>
          <w:lang w:val="bg-BG"/>
        </w:rPr>
        <w:t xml:space="preserve"> ресурси съобразно националната екологична политика и гарантира, че дейностите или контрола не причиняват щети на околната среда </w:t>
      </w:r>
      <w:r w:rsidRPr="00610B1B">
        <w:rPr>
          <w:rFonts w:ascii="Times New Roman" w:eastAsia="Arial Unicode MS" w:hAnsi="Times New Roman" w:cs="Times New Roman"/>
          <w:sz w:val="24"/>
          <w:szCs w:val="24"/>
          <w:lang w:val="bg-BG"/>
        </w:rPr>
        <w:lastRenderedPageBreak/>
        <w:t>на други държави или региони. Задължение на всяка държава е да осигурява условия за опазване на екосистемите, естествените местообитания и поддържането на ценните популации от видове в естествената им среда, да възстановява деградирали екосистеми и да осигурява възстановяването на застрашени видове чрез разработване и прилагане на планове или стратегии за управление. Конвенцията е ратифицирана от Р. България със закон, обнародван в Д</w:t>
      </w:r>
      <w:r w:rsidR="00C37F62" w:rsidRPr="00610B1B">
        <w:rPr>
          <w:rFonts w:ascii="Times New Roman" w:eastAsia="Arial Unicode MS" w:hAnsi="Times New Roman" w:cs="Times New Roman"/>
          <w:sz w:val="24"/>
          <w:szCs w:val="24"/>
          <w:lang w:val="bg-BG"/>
        </w:rPr>
        <w:t>В</w:t>
      </w:r>
      <w:r w:rsidRPr="00610B1B">
        <w:rPr>
          <w:rFonts w:ascii="Times New Roman" w:eastAsia="Arial Unicode MS" w:hAnsi="Times New Roman" w:cs="Times New Roman"/>
          <w:sz w:val="24"/>
          <w:szCs w:val="24"/>
          <w:lang w:val="bg-BG"/>
        </w:rPr>
        <w:t xml:space="preserve"> бр. 22/15.03.1996 г. Постановките на конвенцията важат и за морските пространства. В изпълнение на своите ангажименти България поставя под защита част от крайбрежните зони и акваторията на Черно море</w:t>
      </w:r>
      <w:r w:rsidR="00C26B3C" w:rsidRPr="00610B1B">
        <w:rPr>
          <w:rFonts w:ascii="Times New Roman" w:eastAsia="Arial Unicode MS" w:hAnsi="Times New Roman" w:cs="Times New Roman"/>
          <w:sz w:val="24"/>
          <w:szCs w:val="24"/>
          <w:lang w:val="bg-BG"/>
        </w:rPr>
        <w:t xml:space="preserve"> и</w:t>
      </w:r>
      <w:r w:rsidRPr="00610B1B">
        <w:rPr>
          <w:rFonts w:ascii="Times New Roman" w:eastAsia="Arial Unicode MS" w:hAnsi="Times New Roman" w:cs="Times New Roman"/>
          <w:sz w:val="24"/>
          <w:szCs w:val="24"/>
          <w:lang w:val="bg-BG"/>
        </w:rPr>
        <w:t xml:space="preserve"> ги превръща във важен елемент от </w:t>
      </w:r>
      <w:r w:rsidR="00C26B3C" w:rsidRPr="00610B1B">
        <w:rPr>
          <w:rFonts w:ascii="Times New Roman" w:eastAsia="Arial Unicode MS" w:hAnsi="Times New Roman" w:cs="Times New Roman"/>
          <w:sz w:val="24"/>
          <w:szCs w:val="24"/>
          <w:lang w:val="bg-BG"/>
        </w:rPr>
        <w:t>НЕМ</w:t>
      </w:r>
      <w:r w:rsidRPr="00610B1B">
        <w:rPr>
          <w:rFonts w:ascii="Times New Roman" w:eastAsia="Arial Unicode MS" w:hAnsi="Times New Roman" w:cs="Times New Roman"/>
          <w:sz w:val="24"/>
          <w:szCs w:val="24"/>
          <w:lang w:val="bg-BG"/>
        </w:rPr>
        <w:t>.</w:t>
      </w:r>
    </w:p>
    <w:p w14:paraId="628F48B2" w14:textId="7FE5B420" w:rsidR="00065426" w:rsidRPr="00610B1B" w:rsidRDefault="00065426" w:rsidP="00D32D6A">
      <w:pPr>
        <w:widowControl w:val="0"/>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b/>
          <w:bCs/>
          <w:sz w:val="24"/>
          <w:szCs w:val="24"/>
          <w:lang w:val="bg-BG"/>
        </w:rPr>
        <w:t>Рамковата конвенция на ООН по изменение на климата</w:t>
      </w:r>
      <w:r w:rsidR="00E6252F" w:rsidRPr="00610B1B">
        <w:rPr>
          <w:rFonts w:ascii="Times New Roman" w:eastAsia="Arial Unicode MS" w:hAnsi="Times New Roman" w:cs="Times New Roman"/>
          <w:b/>
          <w:bCs/>
          <w:sz w:val="24"/>
          <w:szCs w:val="24"/>
          <w:lang w:val="bg-BG"/>
        </w:rPr>
        <w:t xml:space="preserve"> (РКООНИК)</w:t>
      </w:r>
      <w:r w:rsidR="00800DA1" w:rsidRPr="00610B1B">
        <w:rPr>
          <w:rFonts w:ascii="Times New Roman" w:eastAsia="Arial Unicode MS" w:hAnsi="Times New Roman" w:cs="Times New Roman"/>
          <w:sz w:val="24"/>
          <w:szCs w:val="24"/>
          <w:lang w:val="bg-BG"/>
        </w:rPr>
        <w:t>,</w:t>
      </w:r>
      <w:r w:rsidR="00EB2E49" w:rsidRPr="00610B1B">
        <w:rPr>
          <w:rStyle w:val="FootnoteReference"/>
          <w:rFonts w:ascii="Times New Roman" w:eastAsia="Arial Unicode MS" w:hAnsi="Times New Roman" w:cs="Times New Roman"/>
          <w:sz w:val="24"/>
          <w:szCs w:val="24"/>
          <w:lang w:val="bg-BG"/>
        </w:rPr>
        <w:footnoteReference w:id="29"/>
      </w:r>
      <w:r w:rsidRPr="00610B1B">
        <w:rPr>
          <w:rFonts w:ascii="Times New Roman" w:eastAsia="Arial Unicode MS" w:hAnsi="Times New Roman" w:cs="Times New Roman"/>
          <w:sz w:val="24"/>
          <w:szCs w:val="24"/>
          <w:lang w:val="bg-BG"/>
        </w:rPr>
        <w:t xml:space="preserve"> </w:t>
      </w:r>
      <w:r w:rsidR="00927AF9" w:rsidRPr="00610B1B">
        <w:rPr>
          <w:rFonts w:ascii="Times New Roman" w:eastAsia="Arial Unicode MS" w:hAnsi="Times New Roman" w:cs="Times New Roman"/>
          <w:sz w:val="24"/>
          <w:szCs w:val="24"/>
          <w:lang w:val="bg-BG"/>
        </w:rPr>
        <w:t xml:space="preserve">една от трите основополагащи за устойчивото развитие конвенции от </w:t>
      </w:r>
      <w:r w:rsidRPr="00610B1B">
        <w:rPr>
          <w:rFonts w:ascii="Times New Roman" w:eastAsia="Arial Unicode MS" w:hAnsi="Times New Roman" w:cs="Times New Roman"/>
          <w:sz w:val="24"/>
          <w:szCs w:val="24"/>
          <w:lang w:val="bg-BG"/>
        </w:rPr>
        <w:t xml:space="preserve">световния форум в Рио де Жанейро </w:t>
      </w:r>
      <w:r w:rsidR="00927AF9" w:rsidRPr="00610B1B">
        <w:rPr>
          <w:rFonts w:ascii="Times New Roman" w:eastAsia="Arial Unicode MS" w:hAnsi="Times New Roman" w:cs="Times New Roman"/>
          <w:sz w:val="24"/>
          <w:szCs w:val="24"/>
          <w:lang w:val="bg-BG"/>
        </w:rPr>
        <w:t>(</w:t>
      </w:r>
      <w:r w:rsidRPr="00610B1B">
        <w:rPr>
          <w:rFonts w:ascii="Times New Roman" w:eastAsia="Arial Unicode MS" w:hAnsi="Times New Roman" w:cs="Times New Roman"/>
          <w:sz w:val="24"/>
          <w:szCs w:val="24"/>
          <w:lang w:val="bg-BG"/>
        </w:rPr>
        <w:t>1992 г.</w:t>
      </w:r>
      <w:r w:rsidR="00927AF9" w:rsidRPr="00610B1B">
        <w:rPr>
          <w:rFonts w:ascii="Times New Roman" w:eastAsia="Arial Unicode MS" w:hAnsi="Times New Roman" w:cs="Times New Roman"/>
          <w:sz w:val="24"/>
          <w:szCs w:val="24"/>
          <w:lang w:val="bg-BG"/>
        </w:rPr>
        <w:t>),</w:t>
      </w:r>
      <w:r w:rsidRPr="00610B1B">
        <w:rPr>
          <w:rFonts w:ascii="Times New Roman" w:eastAsia="Arial Unicode MS" w:hAnsi="Times New Roman" w:cs="Times New Roman"/>
          <w:sz w:val="24"/>
          <w:szCs w:val="24"/>
          <w:lang w:val="bg-BG"/>
        </w:rPr>
        <w:t xml:space="preserve"> поставя за цел стабилизирането и намаляването на концентрациите на парникови газове в атмосферата до ниво, което би предотвратило опасна антропогенна намеса в климатичната система. </w:t>
      </w:r>
      <w:r w:rsidR="00927AF9" w:rsidRPr="00610B1B">
        <w:rPr>
          <w:rFonts w:ascii="Times New Roman" w:eastAsia="Arial Unicode MS" w:hAnsi="Times New Roman" w:cs="Times New Roman"/>
          <w:sz w:val="24"/>
          <w:szCs w:val="24"/>
          <w:lang w:val="bg-BG"/>
        </w:rPr>
        <w:t>Тя</w:t>
      </w:r>
      <w:r w:rsidRPr="00610B1B">
        <w:rPr>
          <w:rFonts w:ascii="Times New Roman" w:eastAsia="Arial Unicode MS" w:hAnsi="Times New Roman" w:cs="Times New Roman"/>
          <w:sz w:val="24"/>
          <w:szCs w:val="24"/>
          <w:lang w:val="bg-BG"/>
        </w:rPr>
        <w:t xml:space="preserve"> насърчава сътрудничеството между страните в областта на научни, технологични, технически</w:t>
      </w:r>
      <w:r w:rsidR="00927AF9" w:rsidRPr="00610B1B">
        <w:rPr>
          <w:rFonts w:ascii="Times New Roman" w:eastAsia="Arial Unicode MS" w:hAnsi="Times New Roman" w:cs="Times New Roman"/>
          <w:sz w:val="24"/>
          <w:szCs w:val="24"/>
          <w:lang w:val="bg-BG"/>
        </w:rPr>
        <w:t xml:space="preserve"> и</w:t>
      </w:r>
      <w:r w:rsidRPr="00610B1B">
        <w:rPr>
          <w:rFonts w:ascii="Times New Roman" w:eastAsia="Arial Unicode MS" w:hAnsi="Times New Roman" w:cs="Times New Roman"/>
          <w:sz w:val="24"/>
          <w:szCs w:val="24"/>
          <w:lang w:val="bg-BG"/>
        </w:rPr>
        <w:t xml:space="preserve"> социално-икономически изследвания, систематични наблюдения и развиване на бази от данни, свързани с климатичната система и предназначени за по-нататъшни проучвания за намаляване на несигурността в предвижданията и ограничаване на последствията от климатичните промени. Рамковата конвенция е ратифицирана от Р. България със закон, обнародван в Д</w:t>
      </w:r>
      <w:r w:rsidR="00EB2E49" w:rsidRPr="00610B1B">
        <w:rPr>
          <w:rFonts w:ascii="Times New Roman" w:eastAsia="Arial Unicode MS" w:hAnsi="Times New Roman" w:cs="Times New Roman"/>
          <w:sz w:val="24"/>
          <w:szCs w:val="24"/>
          <w:lang w:val="bg-BG"/>
        </w:rPr>
        <w:t>В</w:t>
      </w:r>
      <w:r w:rsidRPr="00610B1B">
        <w:rPr>
          <w:rFonts w:ascii="Times New Roman" w:eastAsia="Arial Unicode MS" w:hAnsi="Times New Roman" w:cs="Times New Roman"/>
          <w:sz w:val="24"/>
          <w:szCs w:val="24"/>
          <w:lang w:val="bg-BG"/>
        </w:rPr>
        <w:t xml:space="preserve"> бр. 28/28.03.1995 г. </w:t>
      </w:r>
    </w:p>
    <w:p w14:paraId="7F7A5CC6" w14:textId="11FF2690" w:rsidR="00E81C4F" w:rsidRPr="00610B1B" w:rsidRDefault="00065426" w:rsidP="00D32D6A">
      <w:pPr>
        <w:widowControl w:val="0"/>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b/>
          <w:bCs/>
          <w:iCs/>
          <w:sz w:val="24"/>
          <w:szCs w:val="24"/>
          <w:lang w:val="bg-BG"/>
        </w:rPr>
        <w:t>Международна</w:t>
      </w:r>
      <w:r w:rsidR="00EB2E49" w:rsidRPr="00610B1B">
        <w:rPr>
          <w:rFonts w:ascii="Times New Roman" w:eastAsia="Arial Unicode MS" w:hAnsi="Times New Roman" w:cs="Times New Roman"/>
          <w:b/>
          <w:bCs/>
          <w:iCs/>
          <w:sz w:val="24"/>
          <w:szCs w:val="24"/>
          <w:lang w:val="bg-BG"/>
        </w:rPr>
        <w:t>та</w:t>
      </w:r>
      <w:r w:rsidRPr="00610B1B">
        <w:rPr>
          <w:rFonts w:ascii="Times New Roman" w:eastAsia="Arial Unicode MS" w:hAnsi="Times New Roman" w:cs="Times New Roman"/>
          <w:b/>
          <w:bCs/>
          <w:iCs/>
          <w:sz w:val="24"/>
          <w:szCs w:val="24"/>
          <w:lang w:val="bg-BG"/>
        </w:rPr>
        <w:t xml:space="preserve"> конвенция за контрол и управление на корабнитe баластни води и седименти</w:t>
      </w:r>
      <w:r w:rsidR="00EB2E49" w:rsidRPr="00610B1B">
        <w:rPr>
          <w:rFonts w:ascii="Times New Roman" w:eastAsia="Arial Unicode MS" w:hAnsi="Times New Roman" w:cs="Times New Roman"/>
          <w:b/>
          <w:bCs/>
          <w:iCs/>
          <w:sz w:val="24"/>
          <w:szCs w:val="24"/>
          <w:lang w:val="bg-BG"/>
        </w:rPr>
        <w:t xml:space="preserve"> </w:t>
      </w:r>
      <w:r w:rsidR="00EB2E49" w:rsidRPr="00610B1B">
        <w:rPr>
          <w:rFonts w:ascii="Times New Roman" w:eastAsia="Arial Unicode MS" w:hAnsi="Times New Roman" w:cs="Times New Roman"/>
          <w:iCs/>
          <w:sz w:val="24"/>
          <w:szCs w:val="24"/>
          <w:lang w:val="bg-BG"/>
        </w:rPr>
        <w:t>е р</w:t>
      </w:r>
      <w:r w:rsidRPr="00610B1B">
        <w:rPr>
          <w:rFonts w:ascii="Times New Roman" w:eastAsia="Arial Unicode MS" w:hAnsi="Times New Roman" w:cs="Times New Roman"/>
          <w:sz w:val="24"/>
          <w:szCs w:val="24"/>
          <w:lang w:val="bg-BG"/>
        </w:rPr>
        <w:t>атифицирана със закон, приет от 44-то Народно събрание на 16 март 2018 г.</w:t>
      </w:r>
      <w:r w:rsidR="00DE08C2" w:rsidRPr="00610B1B">
        <w:rPr>
          <w:rFonts w:ascii="Times New Roman" w:eastAsia="Arial Unicode MS" w:hAnsi="Times New Roman" w:cs="Times New Roman"/>
          <w:sz w:val="24"/>
          <w:szCs w:val="24"/>
          <w:lang w:val="bg-BG"/>
        </w:rPr>
        <w:t>, обн.</w:t>
      </w:r>
      <w:r w:rsidRPr="00610B1B">
        <w:rPr>
          <w:rFonts w:ascii="Times New Roman" w:eastAsia="Arial Unicode MS" w:hAnsi="Times New Roman" w:cs="Times New Roman"/>
          <w:sz w:val="24"/>
          <w:szCs w:val="24"/>
          <w:lang w:val="bg-BG"/>
        </w:rPr>
        <w:t xml:space="preserve"> ДВ, бр. 28 от 2018 г. </w:t>
      </w:r>
      <w:r w:rsidR="00DE08C2" w:rsidRPr="00610B1B">
        <w:rPr>
          <w:rFonts w:ascii="Times New Roman" w:eastAsia="Arial Unicode MS" w:hAnsi="Times New Roman" w:cs="Times New Roman"/>
          <w:sz w:val="24"/>
          <w:szCs w:val="24"/>
          <w:lang w:val="bg-BG"/>
        </w:rPr>
        <w:t>и е в</w:t>
      </w:r>
      <w:r w:rsidRPr="00610B1B">
        <w:rPr>
          <w:rFonts w:ascii="Times New Roman" w:eastAsia="Arial Unicode MS" w:hAnsi="Times New Roman" w:cs="Times New Roman"/>
          <w:sz w:val="24"/>
          <w:szCs w:val="24"/>
          <w:lang w:val="bg-BG"/>
        </w:rPr>
        <w:t xml:space="preserve"> сила за Република България</w:t>
      </w:r>
      <w:r w:rsidR="00D66FE0"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t>от 30 юли 2018 г.</w:t>
      </w:r>
      <w:r w:rsidR="00903006" w:rsidRPr="00610B1B">
        <w:rPr>
          <w:rFonts w:ascii="Times New Roman" w:eastAsia="Arial Unicode MS" w:hAnsi="Times New Roman" w:cs="Times New Roman"/>
          <w:sz w:val="24"/>
          <w:szCs w:val="24"/>
          <w:lang w:val="bg-BG"/>
        </w:rPr>
        <w:t xml:space="preserve"> Тя </w:t>
      </w:r>
      <w:r w:rsidRPr="00610B1B">
        <w:rPr>
          <w:rFonts w:ascii="Times New Roman" w:eastAsia="Arial Unicode MS" w:hAnsi="Times New Roman" w:cs="Times New Roman"/>
          <w:sz w:val="24"/>
          <w:szCs w:val="24"/>
          <w:lang w:val="bg-BG"/>
        </w:rPr>
        <w:t>задължава страните да изпълняват в пълен обем разпоредбите</w:t>
      </w:r>
      <w:r w:rsidR="00DE3A13" w:rsidRPr="00610B1B">
        <w:rPr>
          <w:rFonts w:ascii="Times New Roman" w:eastAsia="Arial Unicode MS" w:hAnsi="Times New Roman" w:cs="Times New Roman"/>
          <w:sz w:val="24"/>
          <w:szCs w:val="24"/>
          <w:lang w:val="bg-BG"/>
        </w:rPr>
        <w:t xml:space="preserve"> ѝ,</w:t>
      </w:r>
      <w:r w:rsidRPr="00610B1B">
        <w:rPr>
          <w:rFonts w:ascii="Times New Roman" w:eastAsia="Arial Unicode MS" w:hAnsi="Times New Roman" w:cs="Times New Roman"/>
          <w:sz w:val="24"/>
          <w:szCs w:val="24"/>
          <w:lang w:val="bg-BG"/>
        </w:rPr>
        <w:t xml:space="preserve"> за да се предотврати, сведе до минимум и </w:t>
      </w:r>
      <w:r w:rsidR="00DE08C2" w:rsidRPr="00610B1B">
        <w:rPr>
          <w:rFonts w:ascii="Times New Roman" w:eastAsia="Arial Unicode MS" w:hAnsi="Times New Roman" w:cs="Times New Roman"/>
          <w:sz w:val="24"/>
          <w:szCs w:val="24"/>
          <w:lang w:val="bg-BG"/>
        </w:rPr>
        <w:t>да се</w:t>
      </w:r>
      <w:r w:rsidRPr="00610B1B">
        <w:rPr>
          <w:rFonts w:ascii="Times New Roman" w:eastAsia="Arial Unicode MS" w:hAnsi="Times New Roman" w:cs="Times New Roman"/>
          <w:sz w:val="24"/>
          <w:szCs w:val="24"/>
          <w:lang w:val="bg-BG"/>
        </w:rPr>
        <w:t xml:space="preserve"> елиминира пренасянето на вредни водни организми и патогени чрез контрола и управлението на корабните баластни води и седименти.</w:t>
      </w:r>
      <w:r w:rsidR="00E81C4F" w:rsidRPr="00610B1B">
        <w:rPr>
          <w:rFonts w:ascii="Times New Roman" w:eastAsia="Arial Unicode MS" w:hAnsi="Times New Roman" w:cs="Times New Roman"/>
          <w:sz w:val="24"/>
          <w:szCs w:val="24"/>
          <w:lang w:val="bg-BG"/>
        </w:rPr>
        <w:t xml:space="preserve"> </w:t>
      </w:r>
      <w:r w:rsidR="006665AB" w:rsidRPr="00610B1B">
        <w:rPr>
          <w:rFonts w:ascii="Times New Roman" w:eastAsia="Arial Unicode MS" w:hAnsi="Times New Roman" w:cs="Times New Roman"/>
          <w:sz w:val="24"/>
          <w:szCs w:val="24"/>
          <w:lang w:val="bg-BG"/>
        </w:rPr>
        <w:t>Съгласно становището на ИАМА</w:t>
      </w:r>
      <w:r w:rsidR="006665AB" w:rsidRPr="00610B1B">
        <w:rPr>
          <w:rStyle w:val="FootnoteReference"/>
          <w:rFonts w:ascii="Times New Roman" w:eastAsia="Arial Unicode MS" w:hAnsi="Times New Roman" w:cs="Times New Roman"/>
          <w:sz w:val="24"/>
          <w:szCs w:val="24"/>
          <w:lang w:val="bg-BG"/>
        </w:rPr>
        <w:footnoteReference w:id="30"/>
      </w:r>
      <w:r w:rsidR="006665AB" w:rsidRPr="00610B1B">
        <w:rPr>
          <w:rFonts w:ascii="Times New Roman" w:eastAsia="Arial Unicode MS" w:hAnsi="Times New Roman" w:cs="Times New Roman"/>
          <w:sz w:val="24"/>
          <w:szCs w:val="24"/>
          <w:lang w:val="bg-BG"/>
        </w:rPr>
        <w:t>, конвенцията изисква съоръжения за седименти от баластни танкове да са разположени и в местата, където се извършва кораборемонт. Събирането и преработката на корабни баластни води касае замърсени/омаслени баластни води от танкери, чиято цел е преработката им за премахване на съдържанието на нефтопродукт, но не и на живите организми, които могат да се окажат чужди и инвазивни.</w:t>
      </w:r>
    </w:p>
    <w:p w14:paraId="5E5B9AED" w14:textId="26BBDB6D" w:rsidR="00927AF9" w:rsidRPr="00610B1B" w:rsidRDefault="00126AA7" w:rsidP="00D32D6A">
      <w:pPr>
        <w:pStyle w:val="Heading4"/>
        <w:spacing w:before="0" w:line="276" w:lineRule="auto"/>
        <w:ind w:right="-153"/>
        <w:rPr>
          <w:rFonts w:cs="Times New Roman"/>
        </w:rPr>
      </w:pPr>
      <w:r w:rsidRPr="00610B1B">
        <w:rPr>
          <w:rFonts w:cs="Times New Roman"/>
        </w:rPr>
        <w:t>1.1</w:t>
      </w:r>
      <w:r w:rsidR="001D3664" w:rsidRPr="00610B1B">
        <w:rPr>
          <w:rFonts w:cs="Times New Roman"/>
        </w:rPr>
        <w:t xml:space="preserve">.3.2. </w:t>
      </w:r>
      <w:r w:rsidR="00927AF9" w:rsidRPr="00610B1B">
        <w:rPr>
          <w:rFonts w:cs="Times New Roman"/>
        </w:rPr>
        <w:t>Европейски документи</w:t>
      </w:r>
    </w:p>
    <w:p w14:paraId="3F47369B" w14:textId="011632A8" w:rsidR="005F22D9" w:rsidRPr="00610B1B" w:rsidRDefault="00471DF0"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Европейският съюз </w:t>
      </w:r>
      <w:r w:rsidR="00C26B3C" w:rsidRPr="00610B1B">
        <w:rPr>
          <w:rFonts w:ascii="Times New Roman" w:hAnsi="Times New Roman" w:cs="Times New Roman"/>
          <w:bCs/>
          <w:sz w:val="24"/>
          <w:szCs w:val="24"/>
          <w:lang w:val="bg-BG"/>
        </w:rPr>
        <w:t xml:space="preserve">транспонира основните постановки на </w:t>
      </w:r>
      <w:r w:rsidRPr="00610B1B">
        <w:rPr>
          <w:rFonts w:ascii="Times New Roman" w:hAnsi="Times New Roman" w:cs="Times New Roman"/>
          <w:bCs/>
          <w:sz w:val="24"/>
          <w:szCs w:val="24"/>
          <w:lang w:val="bg-BG"/>
        </w:rPr>
        <w:t xml:space="preserve">международни </w:t>
      </w:r>
      <w:r w:rsidR="00994F47" w:rsidRPr="00610B1B">
        <w:rPr>
          <w:rFonts w:ascii="Times New Roman" w:hAnsi="Times New Roman" w:cs="Times New Roman"/>
          <w:bCs/>
          <w:sz w:val="24"/>
          <w:szCs w:val="24"/>
          <w:lang w:val="bg-BG"/>
        </w:rPr>
        <w:t xml:space="preserve">организации, </w:t>
      </w:r>
      <w:r w:rsidRPr="00610B1B">
        <w:rPr>
          <w:rFonts w:ascii="Times New Roman" w:hAnsi="Times New Roman" w:cs="Times New Roman"/>
          <w:bCs/>
          <w:sz w:val="24"/>
          <w:szCs w:val="24"/>
          <w:lang w:val="bg-BG"/>
        </w:rPr>
        <w:t>форуми и документи</w:t>
      </w:r>
      <w:r w:rsidR="00C26B3C" w:rsidRPr="00610B1B">
        <w:rPr>
          <w:rFonts w:ascii="Times New Roman" w:hAnsi="Times New Roman" w:cs="Times New Roman"/>
          <w:bCs/>
          <w:sz w:val="24"/>
          <w:szCs w:val="24"/>
          <w:lang w:val="bg-BG"/>
        </w:rPr>
        <w:t xml:space="preserve"> </w:t>
      </w:r>
      <w:r w:rsidR="00DE08C2" w:rsidRPr="00610B1B">
        <w:rPr>
          <w:rFonts w:ascii="Times New Roman" w:hAnsi="Times New Roman" w:cs="Times New Roman"/>
          <w:bCs/>
          <w:sz w:val="24"/>
          <w:szCs w:val="24"/>
          <w:lang w:val="bg-BG"/>
        </w:rPr>
        <w:t xml:space="preserve">за прилагане на интегрирана морска политика </w:t>
      </w:r>
      <w:r w:rsidRPr="00610B1B">
        <w:rPr>
          <w:rFonts w:ascii="Times New Roman" w:hAnsi="Times New Roman" w:cs="Times New Roman"/>
          <w:bCs/>
          <w:sz w:val="24"/>
          <w:szCs w:val="24"/>
          <w:lang w:val="bg-BG"/>
        </w:rPr>
        <w:t xml:space="preserve">в законодателните си документи – регламенти, директиви, </w:t>
      </w:r>
      <w:r w:rsidR="005F22D9" w:rsidRPr="00610B1B">
        <w:rPr>
          <w:rFonts w:ascii="Times New Roman" w:hAnsi="Times New Roman" w:cs="Times New Roman"/>
          <w:bCs/>
          <w:sz w:val="24"/>
          <w:szCs w:val="24"/>
          <w:lang w:val="bg-BG"/>
        </w:rPr>
        <w:t xml:space="preserve">препоръки и становища. </w:t>
      </w:r>
      <w:r w:rsidR="00DE08C2" w:rsidRPr="00610B1B">
        <w:rPr>
          <w:rFonts w:ascii="Times New Roman" w:hAnsi="Times New Roman" w:cs="Times New Roman"/>
          <w:bCs/>
          <w:sz w:val="24"/>
          <w:szCs w:val="24"/>
          <w:lang w:val="bg-BG"/>
        </w:rPr>
        <w:t>Н</w:t>
      </w:r>
      <w:r w:rsidR="005F22D9" w:rsidRPr="00610B1B">
        <w:rPr>
          <w:rFonts w:ascii="Times New Roman" w:hAnsi="Times New Roman" w:cs="Times New Roman"/>
          <w:bCs/>
          <w:sz w:val="24"/>
          <w:szCs w:val="24"/>
          <w:lang w:val="bg-BG"/>
        </w:rPr>
        <w:t>ай-много регламенти са посветени на рибарството</w:t>
      </w:r>
      <w:r w:rsidR="00994F47" w:rsidRPr="00610B1B">
        <w:rPr>
          <w:rFonts w:ascii="Times New Roman" w:hAnsi="Times New Roman" w:cs="Times New Roman"/>
          <w:bCs/>
          <w:sz w:val="24"/>
          <w:szCs w:val="24"/>
          <w:lang w:val="bg-BG"/>
        </w:rPr>
        <w:t xml:space="preserve"> и корабоплаването</w:t>
      </w:r>
      <w:r w:rsidR="005F22D9" w:rsidRPr="00610B1B">
        <w:rPr>
          <w:rFonts w:ascii="Times New Roman" w:hAnsi="Times New Roman" w:cs="Times New Roman"/>
          <w:bCs/>
          <w:sz w:val="24"/>
          <w:szCs w:val="24"/>
          <w:lang w:val="bg-BG"/>
        </w:rPr>
        <w:t xml:space="preserve">. </w:t>
      </w:r>
    </w:p>
    <w:p w14:paraId="1612C365" w14:textId="392CB36B" w:rsidR="005F22D9" w:rsidRPr="00610B1B" w:rsidRDefault="005F22D9"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 xml:space="preserve">Директива 2014/89/ЕС </w:t>
      </w:r>
      <w:r w:rsidRPr="00610B1B">
        <w:rPr>
          <w:rFonts w:ascii="Times New Roman" w:hAnsi="Times New Roman" w:cs="Times New Roman"/>
          <w:bCs/>
          <w:sz w:val="24"/>
          <w:szCs w:val="24"/>
          <w:lang w:val="bg-BG"/>
        </w:rPr>
        <w:t xml:space="preserve">на Европейския парламент и на Съвета от 23 юли 2014 г. за установяване на рамка за морско пространствено планиране е основополагащ документ за прилагането на методически подход при разработване на националните морски пространствени планове. Тя доразвива идеите от предходни международни и Европейски </w:t>
      </w:r>
      <w:r w:rsidRPr="00610B1B">
        <w:rPr>
          <w:rFonts w:ascii="Times New Roman" w:hAnsi="Times New Roman" w:cs="Times New Roman"/>
          <w:bCs/>
          <w:sz w:val="24"/>
          <w:szCs w:val="24"/>
          <w:lang w:val="bg-BG"/>
        </w:rPr>
        <w:lastRenderedPageBreak/>
        <w:t xml:space="preserve">документи за прилагането на </w:t>
      </w:r>
      <w:r w:rsidRPr="00610B1B">
        <w:rPr>
          <w:rFonts w:ascii="Times New Roman" w:hAnsi="Times New Roman" w:cs="Times New Roman"/>
          <w:bCs/>
          <w:i/>
          <w:iCs/>
          <w:sz w:val="24"/>
          <w:szCs w:val="24"/>
          <w:lang w:val="bg-BG"/>
        </w:rPr>
        <w:t>координиран, интегриран и</w:t>
      </w:r>
      <w:r w:rsidR="00D66FE0" w:rsidRPr="00610B1B">
        <w:rPr>
          <w:rFonts w:ascii="Times New Roman" w:hAnsi="Times New Roman" w:cs="Times New Roman"/>
          <w:bCs/>
          <w:i/>
          <w:iCs/>
          <w:sz w:val="24"/>
          <w:szCs w:val="24"/>
          <w:lang w:val="bg-BG"/>
        </w:rPr>
        <w:t xml:space="preserve"> </w:t>
      </w:r>
      <w:r w:rsidRPr="00610B1B">
        <w:rPr>
          <w:rFonts w:ascii="Times New Roman" w:hAnsi="Times New Roman" w:cs="Times New Roman"/>
          <w:bCs/>
          <w:i/>
          <w:iCs/>
          <w:sz w:val="24"/>
          <w:szCs w:val="24"/>
          <w:lang w:val="bg-BG"/>
        </w:rPr>
        <w:t>трансграничен подход</w:t>
      </w:r>
      <w:r w:rsidRPr="00610B1B">
        <w:rPr>
          <w:rFonts w:ascii="Times New Roman" w:hAnsi="Times New Roman" w:cs="Times New Roman"/>
          <w:bCs/>
          <w:sz w:val="24"/>
          <w:szCs w:val="24"/>
          <w:lang w:val="bg-BG"/>
        </w:rPr>
        <w:t xml:space="preserve">, съчетан с </w:t>
      </w:r>
      <w:r w:rsidRPr="00610B1B">
        <w:rPr>
          <w:rFonts w:ascii="Times New Roman" w:hAnsi="Times New Roman" w:cs="Times New Roman"/>
          <w:bCs/>
          <w:i/>
          <w:iCs/>
          <w:sz w:val="24"/>
          <w:szCs w:val="24"/>
          <w:lang w:val="bg-BG"/>
        </w:rPr>
        <w:t>екосистемния подход</w:t>
      </w:r>
      <w:r w:rsidRPr="00610B1B">
        <w:rPr>
          <w:rFonts w:ascii="Times New Roman" w:hAnsi="Times New Roman" w:cs="Times New Roman"/>
          <w:bCs/>
          <w:sz w:val="24"/>
          <w:szCs w:val="24"/>
          <w:lang w:val="bg-BG"/>
        </w:rPr>
        <w:t xml:space="preserve"> и дефинира </w:t>
      </w:r>
      <w:r w:rsidRPr="00610B1B">
        <w:rPr>
          <w:rFonts w:ascii="Times New Roman" w:hAnsi="Times New Roman" w:cs="Times New Roman"/>
          <w:bCs/>
          <w:i/>
          <w:iCs/>
          <w:sz w:val="24"/>
          <w:szCs w:val="24"/>
          <w:lang w:val="bg-BG"/>
        </w:rPr>
        <w:t>интегрираната морска политика</w:t>
      </w:r>
      <w:r w:rsidRPr="00610B1B">
        <w:rPr>
          <w:rFonts w:ascii="Times New Roman" w:hAnsi="Times New Roman" w:cs="Times New Roman"/>
          <w:bCs/>
          <w:sz w:val="24"/>
          <w:szCs w:val="24"/>
          <w:lang w:val="bg-BG"/>
        </w:rPr>
        <w:t xml:space="preserve"> (ИМП), като </w:t>
      </w:r>
      <w:r w:rsidR="00DE08C2" w:rsidRPr="00610B1B">
        <w:rPr>
          <w:rFonts w:ascii="Times New Roman" w:hAnsi="Times New Roman" w:cs="Times New Roman"/>
          <w:bCs/>
          <w:sz w:val="24"/>
          <w:szCs w:val="24"/>
          <w:lang w:val="bg-BG"/>
        </w:rPr>
        <w:t>п</w:t>
      </w:r>
      <w:r w:rsidRPr="00610B1B">
        <w:rPr>
          <w:rFonts w:ascii="Times New Roman" w:hAnsi="Times New Roman" w:cs="Times New Roman"/>
          <w:bCs/>
          <w:sz w:val="24"/>
          <w:szCs w:val="24"/>
          <w:lang w:val="bg-BG"/>
        </w:rPr>
        <w:t xml:space="preserve">олитика, която насърчава </w:t>
      </w:r>
      <w:r w:rsidR="00DE08C2"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координирано</w:t>
      </w:r>
      <w:r w:rsidR="00DE08C2" w:rsidRPr="00610B1B">
        <w:rPr>
          <w:rFonts w:ascii="Times New Roman" w:hAnsi="Times New Roman" w:cs="Times New Roman"/>
          <w:bCs/>
          <w:sz w:val="24"/>
          <w:szCs w:val="24"/>
          <w:lang w:val="bg-BG"/>
        </w:rPr>
        <w:t>то</w:t>
      </w:r>
      <w:r w:rsidRPr="00610B1B">
        <w:rPr>
          <w:rFonts w:ascii="Times New Roman" w:hAnsi="Times New Roman" w:cs="Times New Roman"/>
          <w:bCs/>
          <w:sz w:val="24"/>
          <w:szCs w:val="24"/>
          <w:lang w:val="bg-BG"/>
        </w:rPr>
        <w:t xml:space="preserve"> и съгласувано вземане на решения за постигане на устойчиво развитие, икономически растеж и социално сближаване на държавите-членки, по-специално в крайбрежните, островните и отдалечените регион</w:t>
      </w:r>
      <w:r w:rsidR="00AB3B7E" w:rsidRPr="00610B1B">
        <w:rPr>
          <w:rFonts w:ascii="Times New Roman" w:hAnsi="Times New Roman" w:cs="Times New Roman"/>
          <w:bCs/>
          <w:sz w:val="24"/>
          <w:szCs w:val="24"/>
          <w:lang w:val="bg-BG"/>
        </w:rPr>
        <w:t>и</w:t>
      </w:r>
      <w:r w:rsidRPr="00610B1B">
        <w:rPr>
          <w:rFonts w:ascii="Times New Roman" w:hAnsi="Times New Roman" w:cs="Times New Roman"/>
          <w:bCs/>
          <w:sz w:val="24"/>
          <w:szCs w:val="24"/>
          <w:lang w:val="bg-BG"/>
        </w:rPr>
        <w:t>, както и на свързаните с морето сектори</w:t>
      </w:r>
      <w:r w:rsidR="00DE08C2"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посредством съгласувани политики и международно сътрудничество. </w:t>
      </w:r>
    </w:p>
    <w:p w14:paraId="7C01CD8F" w14:textId="0FEBCEC2" w:rsidR="005F22D9" w:rsidRPr="00610B1B" w:rsidRDefault="005F22D9"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В чл. 3 т.1 и 2 </w:t>
      </w:r>
      <w:r w:rsidRPr="00610B1B">
        <w:rPr>
          <w:rFonts w:ascii="Times New Roman" w:hAnsi="Times New Roman" w:cs="Times New Roman"/>
          <w:bCs/>
          <w:i/>
          <w:iCs/>
          <w:sz w:val="24"/>
          <w:szCs w:val="24"/>
          <w:lang w:val="bg-BG"/>
        </w:rPr>
        <w:t>морското пространствено планиране</w:t>
      </w:r>
      <w:r w:rsidRPr="00610B1B">
        <w:rPr>
          <w:rFonts w:ascii="Times New Roman" w:hAnsi="Times New Roman" w:cs="Times New Roman"/>
          <w:bCs/>
          <w:sz w:val="24"/>
          <w:szCs w:val="24"/>
          <w:lang w:val="bg-BG"/>
        </w:rPr>
        <w:t xml:space="preserve"> се определя като „процес, чрез който съответните органи на държавите членки анализират и организират човешките дейности в морските райони за постигане на екологичните, икономическите и социалните цели“. </w:t>
      </w:r>
      <w:r w:rsidR="00705E9E" w:rsidRPr="00610B1B">
        <w:rPr>
          <w:rFonts w:ascii="Times New Roman" w:hAnsi="Times New Roman" w:cs="Times New Roman"/>
          <w:bCs/>
          <w:sz w:val="24"/>
          <w:szCs w:val="24"/>
          <w:lang w:val="bg-BG"/>
        </w:rPr>
        <w:t>То е</w:t>
      </w:r>
      <w:r w:rsidRPr="00610B1B">
        <w:rPr>
          <w:rFonts w:ascii="Times New Roman" w:hAnsi="Times New Roman" w:cs="Times New Roman"/>
          <w:bCs/>
          <w:sz w:val="24"/>
          <w:szCs w:val="24"/>
          <w:lang w:val="bg-BG"/>
        </w:rPr>
        <w:t xml:space="preserve"> инструмент</w:t>
      </w:r>
      <w:r w:rsidR="00AF2EB7" w:rsidRPr="00610B1B">
        <w:rPr>
          <w:rFonts w:ascii="Times New Roman" w:hAnsi="Times New Roman" w:cs="Times New Roman"/>
          <w:bCs/>
          <w:sz w:val="24"/>
          <w:szCs w:val="24"/>
          <w:lang w:val="bg-BG"/>
        </w:rPr>
        <w:t xml:space="preserve"> за</w:t>
      </w:r>
      <w:r w:rsidRPr="00610B1B">
        <w:rPr>
          <w:rFonts w:ascii="Times New Roman" w:hAnsi="Times New Roman" w:cs="Times New Roman"/>
          <w:bCs/>
          <w:sz w:val="24"/>
          <w:szCs w:val="24"/>
          <w:lang w:val="bg-BG"/>
        </w:rPr>
        <w:t xml:space="preserve"> осигурява</w:t>
      </w:r>
      <w:r w:rsidR="00AF2EB7" w:rsidRPr="00610B1B">
        <w:rPr>
          <w:rFonts w:ascii="Times New Roman" w:hAnsi="Times New Roman" w:cs="Times New Roman"/>
          <w:bCs/>
          <w:sz w:val="24"/>
          <w:szCs w:val="24"/>
          <w:lang w:val="bg-BG"/>
        </w:rPr>
        <w:t>не на</w:t>
      </w:r>
      <w:r w:rsidRPr="00610B1B">
        <w:rPr>
          <w:rFonts w:ascii="Times New Roman" w:hAnsi="Times New Roman" w:cs="Times New Roman"/>
          <w:bCs/>
          <w:sz w:val="24"/>
          <w:szCs w:val="24"/>
          <w:lang w:val="bg-BG"/>
        </w:rPr>
        <w:t xml:space="preserve"> дългосрочна стабилност и предвидимост и </w:t>
      </w:r>
      <w:r w:rsidR="00AF2EB7" w:rsidRPr="00610B1B">
        <w:rPr>
          <w:rFonts w:ascii="Times New Roman" w:hAnsi="Times New Roman" w:cs="Times New Roman"/>
          <w:bCs/>
          <w:sz w:val="24"/>
          <w:szCs w:val="24"/>
          <w:lang w:val="bg-BG"/>
        </w:rPr>
        <w:t>з</w:t>
      </w:r>
      <w:r w:rsidRPr="00610B1B">
        <w:rPr>
          <w:rFonts w:ascii="Times New Roman" w:hAnsi="Times New Roman" w:cs="Times New Roman"/>
          <w:bCs/>
          <w:sz w:val="24"/>
          <w:szCs w:val="24"/>
          <w:lang w:val="bg-BG"/>
        </w:rPr>
        <w:t>а балансира</w:t>
      </w:r>
      <w:r w:rsidR="00AF2EB7" w:rsidRPr="00610B1B">
        <w:rPr>
          <w:rFonts w:ascii="Times New Roman" w:hAnsi="Times New Roman" w:cs="Times New Roman"/>
          <w:bCs/>
          <w:sz w:val="24"/>
          <w:szCs w:val="24"/>
          <w:lang w:val="bg-BG"/>
        </w:rPr>
        <w:t>не на</w:t>
      </w:r>
      <w:r w:rsidRPr="00610B1B">
        <w:rPr>
          <w:rFonts w:ascii="Times New Roman" w:hAnsi="Times New Roman" w:cs="Times New Roman"/>
          <w:bCs/>
          <w:sz w:val="24"/>
          <w:szCs w:val="24"/>
          <w:lang w:val="bg-BG"/>
        </w:rPr>
        <w:t xml:space="preserve"> интересите в усвояването на морск</w:t>
      </w:r>
      <w:r w:rsidR="0075098D" w:rsidRPr="00610B1B">
        <w:rPr>
          <w:rFonts w:ascii="Times New Roman" w:hAnsi="Times New Roman" w:cs="Times New Roman"/>
          <w:bCs/>
          <w:sz w:val="24"/>
          <w:szCs w:val="24"/>
          <w:lang w:val="bg-BG"/>
        </w:rPr>
        <w:t>и</w:t>
      </w:r>
      <w:r w:rsidRPr="00610B1B">
        <w:rPr>
          <w:rFonts w:ascii="Times New Roman" w:hAnsi="Times New Roman" w:cs="Times New Roman"/>
          <w:bCs/>
          <w:sz w:val="24"/>
          <w:szCs w:val="24"/>
          <w:lang w:val="bg-BG"/>
        </w:rPr>
        <w:t>т</w:t>
      </w:r>
      <w:r w:rsidR="0075098D" w:rsidRPr="00610B1B">
        <w:rPr>
          <w:rFonts w:ascii="Times New Roman" w:hAnsi="Times New Roman" w:cs="Times New Roman"/>
          <w:bCs/>
          <w:sz w:val="24"/>
          <w:szCs w:val="24"/>
          <w:lang w:val="bg-BG"/>
        </w:rPr>
        <w:t>е</w:t>
      </w:r>
      <w:r w:rsidRPr="00610B1B">
        <w:rPr>
          <w:rFonts w:ascii="Times New Roman" w:hAnsi="Times New Roman" w:cs="Times New Roman"/>
          <w:bCs/>
          <w:sz w:val="24"/>
          <w:szCs w:val="24"/>
          <w:lang w:val="bg-BG"/>
        </w:rPr>
        <w:t xml:space="preserve"> пространств</w:t>
      </w:r>
      <w:r w:rsidR="0075098D" w:rsidRPr="00610B1B">
        <w:rPr>
          <w:rFonts w:ascii="Times New Roman" w:hAnsi="Times New Roman" w:cs="Times New Roman"/>
          <w:bCs/>
          <w:sz w:val="24"/>
          <w:szCs w:val="24"/>
          <w:lang w:val="bg-BG"/>
        </w:rPr>
        <w:t>а</w:t>
      </w:r>
      <w:r w:rsidRPr="00610B1B">
        <w:rPr>
          <w:rFonts w:ascii="Times New Roman" w:hAnsi="Times New Roman" w:cs="Times New Roman"/>
          <w:bCs/>
          <w:sz w:val="24"/>
          <w:szCs w:val="24"/>
          <w:lang w:val="bg-BG"/>
        </w:rPr>
        <w:t xml:space="preserve"> и в зоните с интензивно използване</w:t>
      </w:r>
      <w:r w:rsidR="00A065D0" w:rsidRPr="00610B1B">
        <w:rPr>
          <w:rFonts w:ascii="Times New Roman" w:hAnsi="Times New Roman" w:cs="Times New Roman"/>
          <w:bCs/>
          <w:sz w:val="24"/>
          <w:szCs w:val="24"/>
          <w:lang w:val="bg-BG"/>
        </w:rPr>
        <w:t>, за хоризонтална и междусекторна координация</w:t>
      </w:r>
      <w:r w:rsidRPr="00610B1B">
        <w:rPr>
          <w:rFonts w:ascii="Times New Roman" w:hAnsi="Times New Roman" w:cs="Times New Roman"/>
          <w:bCs/>
          <w:sz w:val="24"/>
          <w:szCs w:val="24"/>
          <w:lang w:val="bg-BG"/>
        </w:rPr>
        <w:t>. Директива</w:t>
      </w:r>
      <w:r w:rsidR="00AF2EB7" w:rsidRPr="00610B1B">
        <w:rPr>
          <w:rFonts w:ascii="Times New Roman" w:hAnsi="Times New Roman" w:cs="Times New Roman"/>
          <w:bCs/>
          <w:sz w:val="24"/>
          <w:szCs w:val="24"/>
          <w:lang w:val="bg-BG"/>
        </w:rPr>
        <w:t>та</w:t>
      </w:r>
      <w:r w:rsidRPr="00610B1B">
        <w:rPr>
          <w:rFonts w:ascii="Times New Roman" w:hAnsi="Times New Roman" w:cs="Times New Roman"/>
          <w:bCs/>
          <w:sz w:val="24"/>
          <w:szCs w:val="24"/>
          <w:lang w:val="bg-BG"/>
        </w:rPr>
        <w:t xml:space="preserve"> </w:t>
      </w:r>
      <w:r w:rsidR="00AF2EB7" w:rsidRPr="00610B1B">
        <w:rPr>
          <w:rFonts w:ascii="Times New Roman" w:hAnsi="Times New Roman" w:cs="Times New Roman"/>
          <w:bCs/>
          <w:sz w:val="24"/>
          <w:szCs w:val="24"/>
          <w:lang w:val="bg-BG"/>
        </w:rPr>
        <w:t xml:space="preserve">дава препоръки за зониране на дейностите в </w:t>
      </w:r>
      <w:r w:rsidRPr="00610B1B">
        <w:rPr>
          <w:rFonts w:ascii="Times New Roman" w:hAnsi="Times New Roman" w:cs="Times New Roman"/>
          <w:bCs/>
          <w:sz w:val="24"/>
          <w:szCs w:val="24"/>
          <w:lang w:val="bg-BG"/>
        </w:rPr>
        <w:t>морските пространства</w:t>
      </w:r>
      <w:r w:rsidR="00AF2EB7" w:rsidRPr="00610B1B">
        <w:rPr>
          <w:rFonts w:ascii="Times New Roman" w:hAnsi="Times New Roman" w:cs="Times New Roman"/>
          <w:bCs/>
          <w:sz w:val="24"/>
          <w:szCs w:val="24"/>
          <w:lang w:val="bg-BG"/>
        </w:rPr>
        <w:t xml:space="preserve"> и </w:t>
      </w:r>
      <w:r w:rsidR="00AB3B7E" w:rsidRPr="00610B1B">
        <w:rPr>
          <w:rFonts w:ascii="Times New Roman" w:hAnsi="Times New Roman" w:cs="Times New Roman"/>
          <w:bCs/>
          <w:sz w:val="24"/>
          <w:szCs w:val="24"/>
          <w:lang w:val="bg-BG"/>
        </w:rPr>
        <w:t xml:space="preserve">за </w:t>
      </w:r>
      <w:r w:rsidR="00AF2EB7" w:rsidRPr="00610B1B">
        <w:rPr>
          <w:rFonts w:ascii="Times New Roman" w:hAnsi="Times New Roman" w:cs="Times New Roman"/>
          <w:bCs/>
          <w:sz w:val="24"/>
          <w:szCs w:val="24"/>
          <w:lang w:val="bg-BG"/>
        </w:rPr>
        <w:t>определя</w:t>
      </w:r>
      <w:r w:rsidR="00AB3B7E" w:rsidRPr="00610B1B">
        <w:rPr>
          <w:rFonts w:ascii="Times New Roman" w:hAnsi="Times New Roman" w:cs="Times New Roman"/>
          <w:bCs/>
          <w:sz w:val="24"/>
          <w:szCs w:val="24"/>
          <w:lang w:val="bg-BG"/>
        </w:rPr>
        <w:t>не на</w:t>
      </w:r>
      <w:r w:rsidR="00AF2EB7"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морски</w:t>
      </w:r>
      <w:r w:rsidR="00AF2EB7" w:rsidRPr="00610B1B">
        <w:rPr>
          <w:rFonts w:ascii="Times New Roman" w:hAnsi="Times New Roman" w:cs="Times New Roman"/>
          <w:bCs/>
          <w:sz w:val="24"/>
          <w:szCs w:val="24"/>
          <w:lang w:val="bg-BG"/>
        </w:rPr>
        <w:t>те</w:t>
      </w:r>
      <w:r w:rsidRPr="00610B1B">
        <w:rPr>
          <w:rFonts w:ascii="Times New Roman" w:hAnsi="Times New Roman" w:cs="Times New Roman"/>
          <w:bCs/>
          <w:sz w:val="24"/>
          <w:szCs w:val="24"/>
          <w:lang w:val="bg-BG"/>
        </w:rPr>
        <w:t xml:space="preserve"> транспортни маршрути и трафик потоци</w:t>
      </w:r>
      <w:r w:rsidR="00AF2EB7" w:rsidRPr="00610B1B">
        <w:rPr>
          <w:rFonts w:ascii="Times New Roman" w:hAnsi="Times New Roman" w:cs="Times New Roman"/>
          <w:bCs/>
          <w:sz w:val="24"/>
          <w:szCs w:val="24"/>
          <w:lang w:val="bg-BG"/>
        </w:rPr>
        <w:t xml:space="preserve"> и </w:t>
      </w:r>
      <w:r w:rsidRPr="00610B1B">
        <w:rPr>
          <w:rFonts w:ascii="Times New Roman" w:hAnsi="Times New Roman" w:cs="Times New Roman"/>
          <w:bCs/>
          <w:sz w:val="24"/>
          <w:szCs w:val="24"/>
          <w:lang w:val="bg-BG"/>
        </w:rPr>
        <w:t>трасета</w:t>
      </w:r>
      <w:r w:rsidR="00AF2EB7" w:rsidRPr="00610B1B">
        <w:rPr>
          <w:rFonts w:ascii="Times New Roman" w:hAnsi="Times New Roman" w:cs="Times New Roman"/>
          <w:bCs/>
          <w:sz w:val="24"/>
          <w:szCs w:val="24"/>
          <w:lang w:val="bg-BG"/>
        </w:rPr>
        <w:t>та</w:t>
      </w:r>
      <w:r w:rsidRPr="00610B1B">
        <w:rPr>
          <w:rFonts w:ascii="Times New Roman" w:hAnsi="Times New Roman" w:cs="Times New Roman"/>
          <w:bCs/>
          <w:sz w:val="24"/>
          <w:szCs w:val="24"/>
          <w:lang w:val="bg-BG"/>
        </w:rPr>
        <w:t xml:space="preserve"> на подводни</w:t>
      </w:r>
      <w:r w:rsidR="00AF2EB7" w:rsidRPr="00610B1B">
        <w:rPr>
          <w:rFonts w:ascii="Times New Roman" w:hAnsi="Times New Roman" w:cs="Times New Roman"/>
          <w:bCs/>
          <w:sz w:val="24"/>
          <w:szCs w:val="24"/>
          <w:lang w:val="bg-BG"/>
        </w:rPr>
        <w:t>те</w:t>
      </w:r>
      <w:r w:rsidRPr="00610B1B">
        <w:rPr>
          <w:rFonts w:ascii="Times New Roman" w:hAnsi="Times New Roman" w:cs="Times New Roman"/>
          <w:bCs/>
          <w:sz w:val="24"/>
          <w:szCs w:val="24"/>
          <w:lang w:val="bg-BG"/>
        </w:rPr>
        <w:t xml:space="preserve"> кабели и тръбопроводи.</w:t>
      </w:r>
      <w:r w:rsidR="00A065D0" w:rsidRPr="00610B1B">
        <w:rPr>
          <w:rFonts w:ascii="Times New Roman" w:hAnsi="Times New Roman" w:cs="Times New Roman"/>
          <w:bCs/>
          <w:sz w:val="24"/>
          <w:szCs w:val="24"/>
          <w:lang w:val="bg-BG"/>
        </w:rPr>
        <w:t xml:space="preserve"> Тя </w:t>
      </w:r>
      <w:r w:rsidRPr="00610B1B">
        <w:rPr>
          <w:rFonts w:ascii="Times New Roman" w:hAnsi="Times New Roman" w:cs="Times New Roman"/>
          <w:bCs/>
          <w:sz w:val="24"/>
          <w:szCs w:val="24"/>
          <w:lang w:val="bg-BG"/>
        </w:rPr>
        <w:t>не засяга компетентността на държавите членки да разработват и определят, в границите на морските си води, обхвата и съдържанието на своите морски пространствени планове</w:t>
      </w:r>
      <w:r w:rsidR="006B59C6"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Директивата посочва, че вътрешните крайбрежни води не са предмет</w:t>
      </w:r>
      <w:r w:rsidR="00DE08C2" w:rsidRPr="00610B1B">
        <w:rPr>
          <w:rFonts w:ascii="Times New Roman" w:hAnsi="Times New Roman" w:cs="Times New Roman"/>
          <w:bCs/>
          <w:sz w:val="24"/>
          <w:szCs w:val="24"/>
          <w:lang w:val="bg-BG"/>
        </w:rPr>
        <w:t xml:space="preserve"> на морското пространствено планиране</w:t>
      </w:r>
      <w:r w:rsidRPr="00610B1B">
        <w:rPr>
          <w:rFonts w:ascii="Times New Roman" w:hAnsi="Times New Roman" w:cs="Times New Roman"/>
          <w:bCs/>
          <w:sz w:val="24"/>
          <w:szCs w:val="24"/>
          <w:lang w:val="bg-BG"/>
        </w:rPr>
        <w:t xml:space="preserve">, когато са включени в териториалноустройствените и градоустройствени планове за вътрешността и когато това е посочено в морския пространствен план. Във връзка с това методиката за разработване на тези планове във възможно най-голяма степен следва да се гради върху съществуващи национални, регионални и местни правила и механизми. </w:t>
      </w:r>
    </w:p>
    <w:p w14:paraId="60778B2D" w14:textId="1B66C3EC" w:rsidR="001B7B97" w:rsidRPr="00610B1B" w:rsidRDefault="001B7B97"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Директива 2014/89/ЕС е транспонирана в българското законодателство чрез Закона за морските пространства, вътрешните водни пътища и пристанищата на Република България през 2018 г., в който се обосновават правната, институционалната и методологичната рамка на морския пространствен план на страната. </w:t>
      </w:r>
    </w:p>
    <w:p w14:paraId="366C033E" w14:textId="230F8701" w:rsidR="001B7B97" w:rsidRPr="00610B1B" w:rsidRDefault="001B7B97"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Директива 2008/56/ЕО</w:t>
      </w:r>
      <w:r w:rsidRPr="00610B1B">
        <w:rPr>
          <w:rFonts w:ascii="Times New Roman" w:hAnsi="Times New Roman" w:cs="Times New Roman"/>
          <w:bCs/>
          <w:sz w:val="24"/>
          <w:szCs w:val="24"/>
          <w:lang w:val="bg-BG"/>
        </w:rPr>
        <w:t xml:space="preserve"> на Европейския парламент и на Съвета от 17 юни 2008 г. за създаване на рамка за действие на Общността в областта на политиката за морска среда (Рамкова директива за морска стратегия) се определя като “екологичен стълб” на интегрираната морска политика, която насърчава устойчивото използване на моретата, постигането на добро екологично състояние в морските води на ЕС до 2020 г. и опазването на ресурсната база, от която зависят икономическите и социални дейности, свързани с морското пространство.</w:t>
      </w:r>
      <w:r w:rsidR="00A065D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Освен дефинициите за морски води и крайбрежни води</w:t>
      </w:r>
      <w:r w:rsidR="00A065D0"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Директивата определя и понятието „морски регион“</w:t>
      </w:r>
      <w:r w:rsidR="00A065D0"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и като такъв е определено Черно море. Дадена е възможност за определяне на подрегиони за прилагане на директивата „на подходящо ниво на морските води”. (чл. 4) </w:t>
      </w:r>
      <w:r w:rsidR="00CC5EB6" w:rsidRPr="00610B1B">
        <w:rPr>
          <w:rFonts w:ascii="Times New Roman" w:hAnsi="Times New Roman" w:cs="Times New Roman"/>
          <w:bCs/>
          <w:sz w:val="24"/>
          <w:szCs w:val="24"/>
          <w:lang w:val="bg-BG"/>
        </w:rPr>
        <w:t>В този смисъл</w:t>
      </w:r>
      <w:r w:rsidRPr="00610B1B">
        <w:rPr>
          <w:rFonts w:ascii="Times New Roman" w:hAnsi="Times New Roman" w:cs="Times New Roman"/>
          <w:bCs/>
          <w:sz w:val="24"/>
          <w:szCs w:val="24"/>
          <w:lang w:val="bg-BG"/>
        </w:rPr>
        <w:t xml:space="preserve"> българските морски води могат да се определят като подрегион в Черно море.</w:t>
      </w:r>
    </w:p>
    <w:p w14:paraId="0356F605" w14:textId="47EDE54C" w:rsidR="009C4D65" w:rsidRPr="00610B1B" w:rsidRDefault="001B7B97"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Основополагащ принцип за осъществяването на морското пространствено планиране е екосистемният подход, който се прилага при управлението на човешките дейности в морското пространство. Документът регламентира условията за разработване на стратегически документи, компетентните органи, възможностите за международно </w:t>
      </w:r>
      <w:r w:rsidRPr="00610B1B">
        <w:rPr>
          <w:rFonts w:ascii="Times New Roman" w:hAnsi="Times New Roman" w:cs="Times New Roman"/>
          <w:bCs/>
          <w:sz w:val="24"/>
          <w:szCs w:val="24"/>
          <w:lang w:val="bg-BG"/>
        </w:rPr>
        <w:lastRenderedPageBreak/>
        <w:t>сътрудничество, за мониторинг и контрол по прилагането на морски стратегии. Директивата е отговор на поетите ангажименти н</w:t>
      </w:r>
      <w:r w:rsidR="009C4D65" w:rsidRPr="00610B1B">
        <w:rPr>
          <w:rFonts w:ascii="Times New Roman" w:hAnsi="Times New Roman" w:cs="Times New Roman"/>
          <w:bCs/>
          <w:sz w:val="24"/>
          <w:szCs w:val="24"/>
          <w:lang w:val="bg-BG"/>
        </w:rPr>
        <w:t>а</w:t>
      </w:r>
      <w:r w:rsidRPr="00610B1B">
        <w:rPr>
          <w:rFonts w:ascii="Times New Roman" w:hAnsi="Times New Roman" w:cs="Times New Roman"/>
          <w:bCs/>
          <w:sz w:val="24"/>
          <w:szCs w:val="24"/>
          <w:lang w:val="bg-BG"/>
        </w:rPr>
        <w:t xml:space="preserve"> ЕС по важни въпроси и документи, </w:t>
      </w:r>
      <w:r w:rsidR="009C4D65" w:rsidRPr="00610B1B">
        <w:rPr>
          <w:rFonts w:ascii="Times New Roman" w:hAnsi="Times New Roman" w:cs="Times New Roman"/>
          <w:bCs/>
          <w:sz w:val="24"/>
          <w:szCs w:val="24"/>
          <w:lang w:val="bg-BG"/>
        </w:rPr>
        <w:t>като</w:t>
      </w:r>
      <w:r w:rsidRPr="00610B1B">
        <w:rPr>
          <w:rFonts w:ascii="Times New Roman" w:hAnsi="Times New Roman" w:cs="Times New Roman"/>
          <w:bCs/>
          <w:sz w:val="24"/>
          <w:szCs w:val="24"/>
          <w:lang w:val="bg-BG"/>
        </w:rPr>
        <w:t xml:space="preserve"> Конвенцията за биологично разнообразие, Конвенцията на ООН по морско право (UNCLOS),</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Конвенцията за опазването на Черно море от замърсяване. Тя разглежда морската среда като ценно наследство, което следва да бъде съхранено, защитено и възстановено, за да бъдат моретата и океаните „чисти, здравословни и продуктивни“ и да се опази</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биологичното разнообразие в тях. </w:t>
      </w:r>
    </w:p>
    <w:p w14:paraId="31F7A155" w14:textId="50E14317" w:rsidR="00345AB3" w:rsidRPr="00610B1B" w:rsidRDefault="00CC5EB6"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Във връзка с транспонирането на изискванията на Рамковата директива за Морска стратегия 2008/56/ЕС в българското законодателство и изпълнение на изискванията на чл. 1 т. 1 и 2 на документа, е разработена и приета Морска стратегия на Република България в няколко части – първоначална оценка на състоянието на морската околна среда в съответствие с дефинициите за добро състояние, </w:t>
      </w:r>
      <w:r w:rsidR="00ED3341" w:rsidRPr="00610B1B">
        <w:rPr>
          <w:rFonts w:ascii="Times New Roman" w:hAnsi="Times New Roman" w:cs="Times New Roman"/>
          <w:bCs/>
          <w:sz w:val="24"/>
          <w:szCs w:val="24"/>
          <w:lang w:val="bg-BG"/>
        </w:rPr>
        <w:t>2010 г.</w:t>
      </w:r>
      <w:r w:rsidRPr="00610B1B">
        <w:rPr>
          <w:rStyle w:val="FootnoteReference"/>
          <w:rFonts w:ascii="Times New Roman" w:hAnsi="Times New Roman" w:cs="Times New Roman"/>
          <w:bCs/>
          <w:sz w:val="24"/>
          <w:szCs w:val="24"/>
          <w:lang w:val="bg-BG"/>
        </w:rPr>
        <w:footnoteReference w:id="31"/>
      </w:r>
      <w:r w:rsidR="00345AB3" w:rsidRPr="00610B1B">
        <w:rPr>
          <w:rFonts w:ascii="Times New Roman" w:hAnsi="Times New Roman" w:cs="Times New Roman"/>
          <w:bCs/>
          <w:sz w:val="24"/>
          <w:szCs w:val="24"/>
          <w:lang w:val="bg-BG"/>
        </w:rPr>
        <w:t>;</w:t>
      </w:r>
      <w:r w:rsidR="00D66FE0" w:rsidRPr="00610B1B">
        <w:rPr>
          <w:rFonts w:ascii="Times New Roman" w:hAnsi="Times New Roman" w:cs="Times New Roman"/>
          <w:bCs/>
          <w:sz w:val="24"/>
          <w:szCs w:val="24"/>
          <w:lang w:val="bg-BG"/>
        </w:rPr>
        <w:t xml:space="preserve"> </w:t>
      </w:r>
      <w:r w:rsidR="00345AB3" w:rsidRPr="00610B1B">
        <w:rPr>
          <w:rFonts w:ascii="Times New Roman" w:hAnsi="Times New Roman" w:cs="Times New Roman"/>
          <w:bCs/>
          <w:sz w:val="24"/>
          <w:szCs w:val="24"/>
          <w:lang w:val="bg-BG"/>
        </w:rPr>
        <w:t xml:space="preserve">Програма </w:t>
      </w:r>
      <w:r w:rsidRPr="00610B1B">
        <w:rPr>
          <w:rFonts w:ascii="Times New Roman" w:hAnsi="Times New Roman" w:cs="Times New Roman"/>
          <w:bCs/>
          <w:sz w:val="24"/>
          <w:szCs w:val="24"/>
          <w:lang w:val="bg-BG"/>
        </w:rPr>
        <w:t>за мониторинг</w:t>
      </w:r>
      <w:r w:rsidR="00ED3341" w:rsidRPr="00610B1B">
        <w:rPr>
          <w:rFonts w:ascii="Times New Roman" w:hAnsi="Times New Roman" w:cs="Times New Roman"/>
          <w:bCs/>
          <w:sz w:val="24"/>
          <w:szCs w:val="24"/>
          <w:lang w:val="bg-BG"/>
        </w:rPr>
        <w:t>, 2014</w:t>
      </w:r>
      <w:r w:rsidR="00D703D4" w:rsidRPr="00610B1B">
        <w:rPr>
          <w:rFonts w:ascii="Times New Roman" w:hAnsi="Times New Roman" w:cs="Times New Roman"/>
          <w:bCs/>
          <w:sz w:val="24"/>
          <w:szCs w:val="24"/>
          <w:lang w:val="bg-BG"/>
        </w:rPr>
        <w:t> </w:t>
      </w:r>
      <w:r w:rsidR="00ED3341" w:rsidRPr="00610B1B">
        <w:rPr>
          <w:rFonts w:ascii="Times New Roman" w:hAnsi="Times New Roman" w:cs="Times New Roman"/>
          <w:bCs/>
          <w:sz w:val="24"/>
          <w:szCs w:val="24"/>
          <w:lang w:val="bg-BG"/>
        </w:rPr>
        <w:t>г.</w:t>
      </w:r>
      <w:r w:rsidR="00345AB3" w:rsidRPr="00610B1B">
        <w:rPr>
          <w:rStyle w:val="FootnoteReference"/>
          <w:rFonts w:ascii="Times New Roman" w:hAnsi="Times New Roman" w:cs="Times New Roman"/>
          <w:bCs/>
          <w:sz w:val="24"/>
          <w:szCs w:val="24"/>
          <w:lang w:val="bg-BG"/>
        </w:rPr>
        <w:footnoteReference w:id="32"/>
      </w:r>
      <w:r w:rsidR="00345AB3" w:rsidRPr="00610B1B">
        <w:rPr>
          <w:rFonts w:ascii="Times New Roman" w:hAnsi="Times New Roman" w:cs="Times New Roman"/>
          <w:bCs/>
          <w:sz w:val="24"/>
          <w:szCs w:val="24"/>
          <w:lang w:val="bg-BG"/>
        </w:rPr>
        <w:t xml:space="preserve"> и Програма от</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мерки </w:t>
      </w:r>
      <w:r w:rsidR="00345AB3" w:rsidRPr="00610B1B">
        <w:rPr>
          <w:rFonts w:ascii="Times New Roman" w:hAnsi="Times New Roman" w:cs="Times New Roman"/>
          <w:bCs/>
          <w:sz w:val="24"/>
          <w:szCs w:val="24"/>
          <w:lang w:val="bg-BG"/>
        </w:rPr>
        <w:t>за периода 2016 – 2021 г.</w:t>
      </w:r>
      <w:r w:rsidR="00345AB3" w:rsidRPr="00610B1B">
        <w:rPr>
          <w:rStyle w:val="FootnoteReference"/>
          <w:rFonts w:ascii="Times New Roman" w:hAnsi="Times New Roman" w:cs="Times New Roman"/>
          <w:bCs/>
          <w:sz w:val="24"/>
          <w:szCs w:val="24"/>
          <w:lang w:val="bg-BG"/>
        </w:rPr>
        <w:footnoteReference w:id="33"/>
      </w:r>
      <w:r w:rsidR="00345AB3" w:rsidRPr="00610B1B">
        <w:rPr>
          <w:rFonts w:ascii="Times New Roman" w:hAnsi="Times New Roman" w:cs="Times New Roman"/>
          <w:bCs/>
          <w:sz w:val="24"/>
          <w:szCs w:val="24"/>
          <w:lang w:val="bg-BG"/>
        </w:rPr>
        <w:t xml:space="preserve"> Морският пространствен план на Р. България възприема екосистемния подход и използва дескрипторите от националната морска стратегия за да проследи екологичното състояние на морската среда и </w:t>
      </w:r>
      <w:r w:rsidR="00A065D0" w:rsidRPr="00610B1B">
        <w:rPr>
          <w:rFonts w:ascii="Times New Roman" w:hAnsi="Times New Roman" w:cs="Times New Roman"/>
          <w:bCs/>
          <w:sz w:val="24"/>
          <w:szCs w:val="24"/>
          <w:lang w:val="bg-BG"/>
        </w:rPr>
        <w:t xml:space="preserve">да </w:t>
      </w:r>
      <w:r w:rsidR="00345AB3" w:rsidRPr="00610B1B">
        <w:rPr>
          <w:rFonts w:ascii="Times New Roman" w:hAnsi="Times New Roman" w:cs="Times New Roman"/>
          <w:bCs/>
          <w:sz w:val="24"/>
          <w:szCs w:val="24"/>
          <w:lang w:val="bg-BG"/>
        </w:rPr>
        <w:t>анализира резултатите от ежегодния мониторинг.</w:t>
      </w:r>
    </w:p>
    <w:p w14:paraId="4C34176C" w14:textId="651308AE" w:rsidR="00345AB3" w:rsidRPr="00610B1B" w:rsidRDefault="00345AB3"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Директива 2000/60/ЕO</w:t>
      </w:r>
      <w:r w:rsidRPr="00610B1B">
        <w:rPr>
          <w:rFonts w:ascii="Times New Roman" w:hAnsi="Times New Roman" w:cs="Times New Roman"/>
          <w:bCs/>
          <w:sz w:val="24"/>
          <w:szCs w:val="24"/>
          <w:lang w:val="bg-BG"/>
        </w:rPr>
        <w:t xml:space="preserve"> на Европейския Парламент и на Съвета от 23 октомври 2000 г. за установяване на рамка за действията на Общността в областта на политиката за водите (Рамковата директива за водите, РДВ)</w:t>
      </w:r>
      <w:r w:rsidR="007F4D0C" w:rsidRPr="00610B1B">
        <w:rPr>
          <w:rStyle w:val="FootnoteReference"/>
          <w:rFonts w:ascii="Times New Roman" w:hAnsi="Times New Roman" w:cs="Times New Roman"/>
          <w:bCs/>
          <w:sz w:val="24"/>
          <w:szCs w:val="24"/>
          <w:lang w:val="bg-BG"/>
        </w:rPr>
        <w:footnoteReference w:id="34"/>
      </w:r>
      <w:r w:rsidRPr="00610B1B">
        <w:rPr>
          <w:rFonts w:ascii="Times New Roman" w:hAnsi="Times New Roman" w:cs="Times New Roman"/>
          <w:bCs/>
          <w:sz w:val="24"/>
          <w:szCs w:val="24"/>
          <w:lang w:val="bg-BG"/>
        </w:rPr>
        <w:t xml:space="preserve"> има за цел опазването на вътрешно-териториалните повърхностни води, преходните води, крайбрежните води и подземните води, подобряването на техните качества, състоянието на водните екосистеми, подпомага устойчивото използване на водите на база дългосрочно опазване на наличните водни ресурси и намаляването на въздействията от промените </w:t>
      </w:r>
      <w:r w:rsidR="00FB3133" w:rsidRPr="00610B1B">
        <w:rPr>
          <w:rFonts w:ascii="Times New Roman" w:hAnsi="Times New Roman" w:cs="Times New Roman"/>
          <w:bCs/>
          <w:sz w:val="24"/>
          <w:szCs w:val="24"/>
          <w:lang w:val="bg-BG"/>
        </w:rPr>
        <w:t>на</w:t>
      </w:r>
      <w:r w:rsidRPr="00610B1B">
        <w:rPr>
          <w:rFonts w:ascii="Times New Roman" w:hAnsi="Times New Roman" w:cs="Times New Roman"/>
          <w:bCs/>
          <w:sz w:val="24"/>
          <w:szCs w:val="24"/>
          <w:lang w:val="bg-BG"/>
        </w:rPr>
        <w:t xml:space="preserve"> климата с периодите на засушавания и наводнения. </w:t>
      </w:r>
    </w:p>
    <w:p w14:paraId="767ED0EB" w14:textId="76596B5F" w:rsidR="00345AB3" w:rsidRPr="00610B1B" w:rsidRDefault="00345AB3"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Директивата </w:t>
      </w:r>
      <w:r w:rsidR="00FB3133" w:rsidRPr="00610B1B">
        <w:rPr>
          <w:rFonts w:ascii="Times New Roman" w:hAnsi="Times New Roman" w:cs="Times New Roman"/>
          <w:bCs/>
          <w:sz w:val="24"/>
          <w:szCs w:val="24"/>
          <w:lang w:val="bg-BG"/>
        </w:rPr>
        <w:t xml:space="preserve">определя обхвата на крайбрежните повърхностни води и </w:t>
      </w:r>
      <w:r w:rsidRPr="00610B1B">
        <w:rPr>
          <w:rFonts w:ascii="Times New Roman" w:hAnsi="Times New Roman" w:cs="Times New Roman"/>
          <w:bCs/>
          <w:sz w:val="24"/>
          <w:szCs w:val="24"/>
          <w:lang w:val="bg-BG"/>
        </w:rPr>
        <w:t xml:space="preserve">съдържа разпоредби, приложими за </w:t>
      </w:r>
      <w:r w:rsidR="00FB3133" w:rsidRPr="00610B1B">
        <w:rPr>
          <w:rFonts w:ascii="Times New Roman" w:hAnsi="Times New Roman" w:cs="Times New Roman"/>
          <w:bCs/>
          <w:sz w:val="24"/>
          <w:szCs w:val="24"/>
          <w:lang w:val="bg-BG"/>
        </w:rPr>
        <w:t>тях</w:t>
      </w:r>
      <w:r w:rsidRPr="00610B1B">
        <w:rPr>
          <w:rFonts w:ascii="Times New Roman" w:hAnsi="Times New Roman" w:cs="Times New Roman"/>
          <w:bCs/>
          <w:sz w:val="24"/>
          <w:szCs w:val="24"/>
          <w:lang w:val="bg-BG"/>
        </w:rPr>
        <w:t xml:space="preserve">. Тя изисква от държавите-членки да изработят планове за управление на речните басейни (ПУРБ) и определя съдържанието </w:t>
      </w:r>
      <w:r w:rsidR="00AB3B7E" w:rsidRPr="00610B1B">
        <w:rPr>
          <w:rFonts w:ascii="Times New Roman" w:hAnsi="Times New Roman" w:cs="Times New Roman"/>
          <w:bCs/>
          <w:sz w:val="24"/>
          <w:szCs w:val="24"/>
          <w:lang w:val="bg-BG"/>
        </w:rPr>
        <w:t>им</w:t>
      </w:r>
      <w:r w:rsidRPr="00610B1B">
        <w:rPr>
          <w:rFonts w:ascii="Times New Roman" w:hAnsi="Times New Roman" w:cs="Times New Roman"/>
          <w:bCs/>
          <w:sz w:val="24"/>
          <w:szCs w:val="24"/>
          <w:lang w:val="bg-BG"/>
        </w:rPr>
        <w:t xml:space="preserve">. Директивата е транспонирана </w:t>
      </w:r>
      <w:r w:rsidR="00AB3B7E" w:rsidRPr="00610B1B">
        <w:rPr>
          <w:rFonts w:ascii="Times New Roman" w:hAnsi="Times New Roman" w:cs="Times New Roman"/>
          <w:bCs/>
          <w:sz w:val="24"/>
          <w:szCs w:val="24"/>
          <w:lang w:val="bg-BG"/>
        </w:rPr>
        <w:t xml:space="preserve">в </w:t>
      </w:r>
      <w:r w:rsidR="00DB0FAB" w:rsidRPr="00610B1B">
        <w:rPr>
          <w:rFonts w:ascii="Times New Roman" w:hAnsi="Times New Roman" w:cs="Times New Roman"/>
          <w:bCs/>
          <w:sz w:val="24"/>
          <w:szCs w:val="24"/>
          <w:lang w:val="bg-BG"/>
        </w:rPr>
        <w:t>България</w:t>
      </w:r>
      <w:r w:rsidR="00AB3B7E" w:rsidRPr="00610B1B">
        <w:rPr>
          <w:rFonts w:ascii="Times New Roman" w:hAnsi="Times New Roman" w:cs="Times New Roman"/>
          <w:bCs/>
          <w:sz w:val="24"/>
          <w:szCs w:val="24"/>
          <w:lang w:val="bg-BG"/>
        </w:rPr>
        <w:t xml:space="preserve"> чрез</w:t>
      </w:r>
      <w:r w:rsidRPr="00610B1B">
        <w:rPr>
          <w:rFonts w:ascii="Times New Roman" w:hAnsi="Times New Roman" w:cs="Times New Roman"/>
          <w:bCs/>
          <w:sz w:val="24"/>
          <w:szCs w:val="24"/>
          <w:lang w:val="bg-BG"/>
        </w:rPr>
        <w:t xml:space="preserve"> Закона за водите (обн. ДВ бр. 67/1999 г.). Планове за управление на речните басейни са изготвени за четирите </w:t>
      </w:r>
      <w:r w:rsidR="00AB3B7E" w:rsidRPr="00610B1B">
        <w:rPr>
          <w:rFonts w:ascii="Times New Roman" w:hAnsi="Times New Roman" w:cs="Times New Roman"/>
          <w:bCs/>
          <w:sz w:val="24"/>
          <w:szCs w:val="24"/>
          <w:lang w:val="bg-BG"/>
        </w:rPr>
        <w:t>района</w:t>
      </w:r>
      <w:r w:rsidRPr="00610B1B">
        <w:rPr>
          <w:rFonts w:ascii="Times New Roman" w:hAnsi="Times New Roman" w:cs="Times New Roman"/>
          <w:bCs/>
          <w:sz w:val="24"/>
          <w:szCs w:val="24"/>
          <w:lang w:val="bg-BG"/>
        </w:rPr>
        <w:t xml:space="preserve"> в България, единият от които е за Черноморския район за басейново управление на водите за периода 2016–2021</w:t>
      </w:r>
      <w:r w:rsidR="00DE3A13" w:rsidRPr="00610B1B">
        <w:rPr>
          <w:rFonts w:ascii="Times New Roman" w:hAnsi="Times New Roman" w:cs="Times New Roman"/>
          <w:bCs/>
          <w:sz w:val="24"/>
          <w:szCs w:val="24"/>
          <w:lang w:val="bg-BG"/>
        </w:rPr>
        <w:t> </w:t>
      </w:r>
      <w:r w:rsidRPr="00610B1B">
        <w:rPr>
          <w:rFonts w:ascii="Times New Roman" w:hAnsi="Times New Roman" w:cs="Times New Roman"/>
          <w:bCs/>
          <w:sz w:val="24"/>
          <w:szCs w:val="24"/>
          <w:lang w:val="bg-BG"/>
        </w:rPr>
        <w:t xml:space="preserve">г., приет с Решение на МС </w:t>
      </w:r>
      <w:r w:rsidR="00625BCA"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1107/29.12.2016 г. Към него е изготвена Екологична оценка и Програма от мерки.</w:t>
      </w:r>
      <w:r w:rsidR="00FB3133" w:rsidRPr="00610B1B">
        <w:rPr>
          <w:rFonts w:ascii="Times New Roman" w:hAnsi="Times New Roman" w:cs="Times New Roman"/>
          <w:bCs/>
          <w:sz w:val="24"/>
          <w:szCs w:val="24"/>
          <w:lang w:val="bg-BG"/>
        </w:rPr>
        <w:t xml:space="preserve"> </w:t>
      </w:r>
    </w:p>
    <w:p w14:paraId="1D7A5403" w14:textId="36A277F8" w:rsidR="00345AB3" w:rsidRPr="00610B1B" w:rsidRDefault="00345AB3"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Директива 92/43/EИО</w:t>
      </w:r>
      <w:r w:rsidRPr="00610B1B">
        <w:rPr>
          <w:rFonts w:ascii="Times New Roman" w:hAnsi="Times New Roman" w:cs="Times New Roman"/>
          <w:bCs/>
          <w:sz w:val="24"/>
          <w:szCs w:val="24"/>
          <w:lang w:val="bg-BG"/>
        </w:rPr>
        <w:t xml:space="preserve"> на Съвета от 21 май 1992 г. за опазване на естествените местообитания и на дивата флора и фауна (Директива за хабитатите) и </w:t>
      </w:r>
      <w:r w:rsidR="00625BCA" w:rsidRPr="00610B1B">
        <w:rPr>
          <w:rFonts w:ascii="Times New Roman" w:hAnsi="Times New Roman" w:cs="Times New Roman"/>
          <w:b/>
          <w:sz w:val="24"/>
          <w:szCs w:val="24"/>
          <w:lang w:val="bg-BG"/>
        </w:rPr>
        <w:t xml:space="preserve">Директива 2009/147/ЕО </w:t>
      </w:r>
      <w:r w:rsidR="00625BCA" w:rsidRPr="00610B1B">
        <w:rPr>
          <w:rFonts w:ascii="Times New Roman" w:hAnsi="Times New Roman" w:cs="Times New Roman"/>
          <w:bCs/>
          <w:sz w:val="24"/>
          <w:szCs w:val="24"/>
          <w:lang w:val="bg-BG"/>
        </w:rPr>
        <w:t>на Европейския парламент и на Съвета от 30 ноември 2009 година относно опазването на дивите птици</w:t>
      </w:r>
      <w:r w:rsidRPr="00610B1B">
        <w:rPr>
          <w:rFonts w:ascii="Times New Roman" w:hAnsi="Times New Roman" w:cs="Times New Roman"/>
          <w:bCs/>
          <w:sz w:val="24"/>
          <w:szCs w:val="24"/>
          <w:lang w:val="bg-BG"/>
        </w:rPr>
        <w:t xml:space="preserve"> (Директива за птиците) са два документа, свързани с поетите международни ангажименти на Европейския съюз за опазване на биологичното разнообразие. </w:t>
      </w:r>
      <w:r w:rsidR="00FB3133" w:rsidRPr="00610B1B">
        <w:rPr>
          <w:rFonts w:ascii="Times New Roman" w:hAnsi="Times New Roman" w:cs="Times New Roman"/>
          <w:bCs/>
          <w:sz w:val="24"/>
          <w:szCs w:val="24"/>
          <w:lang w:val="bg-BG"/>
        </w:rPr>
        <w:t xml:space="preserve">Те </w:t>
      </w:r>
      <w:r w:rsidRPr="00610B1B">
        <w:rPr>
          <w:rFonts w:ascii="Times New Roman" w:hAnsi="Times New Roman" w:cs="Times New Roman"/>
          <w:bCs/>
          <w:sz w:val="24"/>
          <w:szCs w:val="24"/>
          <w:lang w:val="bg-BG"/>
        </w:rPr>
        <w:t xml:space="preserve">поставят изискване държавите да определят защитени зони за опазване </w:t>
      </w:r>
      <w:r w:rsidRPr="00610B1B">
        <w:rPr>
          <w:rFonts w:ascii="Times New Roman" w:hAnsi="Times New Roman" w:cs="Times New Roman"/>
          <w:bCs/>
          <w:sz w:val="24"/>
          <w:szCs w:val="24"/>
          <w:lang w:val="bg-BG"/>
        </w:rPr>
        <w:lastRenderedPageBreak/>
        <w:t xml:space="preserve">и съхраняване на местните видове, както и естествените им райони. </w:t>
      </w:r>
      <w:r w:rsidR="00FB3133" w:rsidRPr="00610B1B">
        <w:rPr>
          <w:rFonts w:ascii="Times New Roman" w:hAnsi="Times New Roman" w:cs="Times New Roman"/>
          <w:bCs/>
          <w:sz w:val="24"/>
          <w:szCs w:val="24"/>
          <w:lang w:val="bg-BG"/>
        </w:rPr>
        <w:t>Директивите се</w:t>
      </w:r>
      <w:r w:rsidRPr="00610B1B">
        <w:rPr>
          <w:rFonts w:ascii="Times New Roman" w:hAnsi="Times New Roman" w:cs="Times New Roman"/>
          <w:bCs/>
          <w:sz w:val="24"/>
          <w:szCs w:val="24"/>
          <w:lang w:val="bg-BG"/>
        </w:rPr>
        <w:t xml:space="preserve"> прилагат и в управлението и опазването на морската среда. С</w:t>
      </w:r>
      <w:r w:rsidR="00FB3133" w:rsidRPr="00610B1B">
        <w:rPr>
          <w:rFonts w:ascii="Times New Roman" w:hAnsi="Times New Roman" w:cs="Times New Roman"/>
          <w:bCs/>
          <w:sz w:val="24"/>
          <w:szCs w:val="24"/>
          <w:lang w:val="bg-BG"/>
        </w:rPr>
        <w:t>ъгласно двата документа</w:t>
      </w:r>
      <w:r w:rsidRPr="00610B1B">
        <w:rPr>
          <w:rFonts w:ascii="Times New Roman" w:hAnsi="Times New Roman" w:cs="Times New Roman"/>
          <w:bCs/>
          <w:sz w:val="24"/>
          <w:szCs w:val="24"/>
          <w:lang w:val="bg-BG"/>
        </w:rPr>
        <w:t xml:space="preserve"> страните членки на ЕС поставят под защита ча</w:t>
      </w:r>
      <w:r w:rsidR="00126AA7" w:rsidRPr="00610B1B">
        <w:rPr>
          <w:rFonts w:ascii="Times New Roman" w:hAnsi="Times New Roman" w:cs="Times New Roman"/>
          <w:bCs/>
          <w:sz w:val="24"/>
          <w:szCs w:val="24"/>
          <w:lang w:val="bg-BG"/>
        </w:rPr>
        <w:t xml:space="preserve">ст от морските си пространства. </w:t>
      </w:r>
      <w:r w:rsidRPr="00610B1B">
        <w:rPr>
          <w:rFonts w:ascii="Times New Roman" w:hAnsi="Times New Roman" w:cs="Times New Roman"/>
          <w:bCs/>
          <w:sz w:val="24"/>
          <w:szCs w:val="24"/>
          <w:lang w:val="bg-BG"/>
        </w:rPr>
        <w:t>Транспонирайки директивите в националното законодателство България определя обхвата на защитените зони Натура 2000 в Черно море и разширява Националната екологична мрежа.</w:t>
      </w:r>
    </w:p>
    <w:p w14:paraId="18B83E82" w14:textId="29D12F75" w:rsidR="00345AB3" w:rsidRPr="00610B1B" w:rsidRDefault="00345AB3"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Директива 2001/42/ЕО</w:t>
      </w:r>
      <w:r w:rsidRPr="00610B1B">
        <w:rPr>
          <w:rFonts w:ascii="Times New Roman" w:hAnsi="Times New Roman" w:cs="Times New Roman"/>
          <w:bCs/>
          <w:sz w:val="24"/>
          <w:szCs w:val="24"/>
          <w:lang w:val="bg-BG"/>
        </w:rPr>
        <w:t xml:space="preserve"> на Европейския парламент и на Съвета от 27 юни 2001 г. относно оценката на последиците на някои планове и програми върху околната среда цели да допринесе за интегрирането на планове и програми с опазването на околната среда.</w:t>
      </w:r>
      <w:r w:rsidR="00D66FE0" w:rsidRPr="00610B1B">
        <w:rPr>
          <w:rFonts w:ascii="Times New Roman" w:hAnsi="Times New Roman" w:cs="Times New Roman"/>
          <w:bCs/>
          <w:sz w:val="24"/>
          <w:szCs w:val="24"/>
          <w:lang w:val="bg-BG"/>
        </w:rPr>
        <w:t xml:space="preserve"> </w:t>
      </w:r>
      <w:r w:rsidR="00994F47" w:rsidRPr="00610B1B">
        <w:rPr>
          <w:rFonts w:ascii="Times New Roman" w:hAnsi="Times New Roman" w:cs="Times New Roman"/>
          <w:bCs/>
          <w:sz w:val="24"/>
          <w:szCs w:val="24"/>
          <w:lang w:val="bg-BG"/>
        </w:rPr>
        <w:t>По силата на тази директива Мор</w:t>
      </w:r>
      <w:r w:rsidR="009D7952" w:rsidRPr="00610B1B">
        <w:rPr>
          <w:rFonts w:ascii="Times New Roman" w:hAnsi="Times New Roman" w:cs="Times New Roman"/>
          <w:bCs/>
          <w:sz w:val="24"/>
          <w:szCs w:val="24"/>
          <w:lang w:val="bg-BG"/>
        </w:rPr>
        <w:t>с</w:t>
      </w:r>
      <w:r w:rsidR="00994F47" w:rsidRPr="00610B1B">
        <w:rPr>
          <w:rFonts w:ascii="Times New Roman" w:hAnsi="Times New Roman" w:cs="Times New Roman"/>
          <w:bCs/>
          <w:sz w:val="24"/>
          <w:szCs w:val="24"/>
          <w:lang w:val="bg-BG"/>
        </w:rPr>
        <w:t xml:space="preserve">ките пространствени планове подлежат на задължителна екологична оценка, което се потвърждава и в разпоредбите на Директива 2014/89/ЕС. </w:t>
      </w:r>
      <w:r w:rsidRPr="00610B1B">
        <w:rPr>
          <w:rFonts w:ascii="Times New Roman" w:hAnsi="Times New Roman" w:cs="Times New Roman"/>
          <w:bCs/>
          <w:sz w:val="24"/>
          <w:szCs w:val="24"/>
          <w:lang w:val="bg-BG"/>
        </w:rPr>
        <w:t>Директивата третира и въпросите, свързани с Конвенцията за оценка на въздействието върху околната среда в трансграничен контекст на Икономическата комисия на ООН за Европа от 25 февруари 1991 г. Това означава</w:t>
      </w:r>
      <w:r w:rsidR="00EA2980"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че националния</w:t>
      </w:r>
      <w:r w:rsidR="00994F47" w:rsidRPr="00610B1B">
        <w:rPr>
          <w:rFonts w:ascii="Times New Roman" w:hAnsi="Times New Roman" w:cs="Times New Roman"/>
          <w:bCs/>
          <w:sz w:val="24"/>
          <w:szCs w:val="24"/>
          <w:lang w:val="bg-BG"/>
        </w:rPr>
        <w:t>т</w:t>
      </w:r>
      <w:r w:rsidRPr="00610B1B">
        <w:rPr>
          <w:rFonts w:ascii="Times New Roman" w:hAnsi="Times New Roman" w:cs="Times New Roman"/>
          <w:bCs/>
          <w:sz w:val="24"/>
          <w:szCs w:val="24"/>
          <w:lang w:val="bg-BG"/>
        </w:rPr>
        <w:t xml:space="preserve"> план за морско пространствено планиране подлежи на екологична оценка и на консултации със съседните страни в Черноморския регион.</w:t>
      </w:r>
      <w:r w:rsidR="00126AA7"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Директивата </w:t>
      </w:r>
      <w:r w:rsidR="00543E0C" w:rsidRPr="00610B1B">
        <w:rPr>
          <w:rFonts w:ascii="Times New Roman" w:hAnsi="Times New Roman" w:cs="Times New Roman"/>
          <w:bCs/>
          <w:sz w:val="24"/>
          <w:szCs w:val="24"/>
          <w:lang w:val="bg-BG"/>
        </w:rPr>
        <w:t xml:space="preserve">е </w:t>
      </w:r>
      <w:r w:rsidRPr="00610B1B">
        <w:rPr>
          <w:rFonts w:ascii="Times New Roman" w:hAnsi="Times New Roman" w:cs="Times New Roman"/>
          <w:bCs/>
          <w:sz w:val="24"/>
          <w:szCs w:val="24"/>
          <w:lang w:val="bg-BG"/>
        </w:rPr>
        <w:t>транспонирана у нас посредством Закона за опазване на околната среда (обн. ДВ бр. 91/2002 г.) и Наредбата за условията и реда за извършване на екологична оценка на планове и програми (обн. ДВ бр. 57/2004 г.).</w:t>
      </w:r>
    </w:p>
    <w:p w14:paraId="5F2CA62C" w14:textId="4E8AEF26" w:rsidR="000B73C4" w:rsidRPr="00610B1B" w:rsidRDefault="00126AA7" w:rsidP="00D32D6A">
      <w:pPr>
        <w:pStyle w:val="Heading4"/>
        <w:spacing w:before="0" w:line="276" w:lineRule="auto"/>
        <w:ind w:right="-153"/>
        <w:rPr>
          <w:rFonts w:cs="Times New Roman"/>
        </w:rPr>
      </w:pPr>
      <w:r w:rsidRPr="00610B1B">
        <w:rPr>
          <w:rFonts w:cs="Times New Roman"/>
        </w:rPr>
        <w:t>1.1</w:t>
      </w:r>
      <w:r w:rsidR="000B73C4" w:rsidRPr="00610B1B">
        <w:rPr>
          <w:rFonts w:cs="Times New Roman"/>
        </w:rPr>
        <w:t>.3.3 Регионални документи</w:t>
      </w:r>
    </w:p>
    <w:p w14:paraId="322CCE14" w14:textId="23D36FD1" w:rsidR="00126AA7" w:rsidRPr="00610B1B" w:rsidRDefault="000B73C4" w:rsidP="00D32D6A">
      <w:pPr>
        <w:widowControl w:val="0"/>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b/>
          <w:bCs/>
          <w:sz w:val="24"/>
          <w:szCs w:val="24"/>
          <w:lang w:val="bg-BG"/>
        </w:rPr>
        <w:t>Конвенцията за опазване на Черно море от замърсяване</w:t>
      </w:r>
      <w:r w:rsidR="00126AA7" w:rsidRPr="00610B1B">
        <w:rPr>
          <w:rFonts w:ascii="Times New Roman" w:eastAsia="Arial Unicode MS" w:hAnsi="Times New Roman" w:cs="Times New Roman"/>
          <w:bCs/>
          <w:sz w:val="24"/>
          <w:szCs w:val="24"/>
          <w:lang w:val="bg-BG"/>
        </w:rPr>
        <w:t>,</w:t>
      </w:r>
      <w:r w:rsidRPr="00610B1B">
        <w:rPr>
          <w:rFonts w:ascii="Times New Roman" w:eastAsia="Arial Unicode MS" w:hAnsi="Times New Roman" w:cs="Times New Roman"/>
          <w:sz w:val="24"/>
          <w:szCs w:val="24"/>
          <w:lang w:val="bg-BG"/>
        </w:rPr>
        <w:t xml:space="preserve"> приета през 1992 г. в Букурещ</w:t>
      </w:r>
      <w:r w:rsidR="00126AA7" w:rsidRPr="00610B1B">
        <w:rPr>
          <w:rFonts w:ascii="Times New Roman" w:eastAsia="Arial Unicode MS" w:hAnsi="Times New Roman" w:cs="Times New Roman"/>
          <w:sz w:val="24"/>
          <w:szCs w:val="24"/>
          <w:lang w:val="bg-BG"/>
        </w:rPr>
        <w:t>,</w:t>
      </w:r>
      <w:r w:rsidRPr="00610B1B">
        <w:rPr>
          <w:rFonts w:ascii="Times New Roman" w:eastAsia="Arial Unicode MS" w:hAnsi="Times New Roman" w:cs="Times New Roman"/>
          <w:sz w:val="24"/>
          <w:szCs w:val="24"/>
          <w:lang w:val="bg-BG"/>
        </w:rPr>
        <w:t xml:space="preserve"> отразява постановките от предходни международни документи за ограничаване на замърсяванията, приети в периода 1972–1990 г. Тя се прилага за Черно море с определена за целта южна граница, представляваща линията, която свързва носовете Келагра и Далян.</w:t>
      </w:r>
      <w:r w:rsidRPr="00610B1B">
        <w:rPr>
          <w:rFonts w:ascii="Times New Roman" w:eastAsia="Arial Unicode MS" w:hAnsi="Times New Roman" w:cs="Times New Roman"/>
          <w:sz w:val="24"/>
          <w:szCs w:val="24"/>
          <w:vertAlign w:val="superscript"/>
          <w:lang w:val="bg-BG"/>
        </w:rPr>
        <w:footnoteReference w:id="35"/>
      </w:r>
      <w:r w:rsidRPr="00610B1B">
        <w:rPr>
          <w:rFonts w:ascii="Times New Roman" w:eastAsia="Arial Unicode MS" w:hAnsi="Times New Roman" w:cs="Times New Roman"/>
          <w:sz w:val="24"/>
          <w:szCs w:val="24"/>
          <w:lang w:val="bg-BG"/>
        </w:rPr>
        <w:t xml:space="preserve"> (чл. 1. ал. 1). Документът разглежда замърсяването от дейности на сушата, в морето и континенталния шелф, от кораби, дъмпинг или трансграничен пренос на опасни вещества. Страните по конвенцията си сътрудничат помежду си и с други страни за установяване на подходящи научни критерии за определяне на правила, стандарти, препоръчителни практики и процедури за предотвратяване, намаляване и контрол на замърсяването на морската среда на Черно море</w:t>
      </w:r>
      <w:r w:rsidRPr="00610B1B">
        <w:rPr>
          <w:rFonts w:ascii="Times New Roman" w:eastAsia="Arial Unicode MS" w:hAnsi="Times New Roman" w:cs="Times New Roman"/>
          <w:sz w:val="24"/>
          <w:szCs w:val="24"/>
          <w:vertAlign w:val="superscript"/>
          <w:lang w:val="bg-BG"/>
        </w:rPr>
        <w:footnoteReference w:id="36"/>
      </w:r>
      <w:r w:rsidRPr="00610B1B">
        <w:rPr>
          <w:rFonts w:ascii="Times New Roman" w:eastAsia="Arial Unicode MS" w:hAnsi="Times New Roman" w:cs="Times New Roman"/>
          <w:sz w:val="24"/>
          <w:szCs w:val="24"/>
          <w:lang w:val="bg-BG"/>
        </w:rPr>
        <w:t>. За постигане на</w:t>
      </w:r>
      <w:r w:rsidR="00E42AC4" w:rsidRPr="00610B1B">
        <w:rPr>
          <w:rFonts w:ascii="Times New Roman" w:eastAsia="Arial Unicode MS" w:hAnsi="Times New Roman" w:cs="Times New Roman"/>
          <w:sz w:val="24"/>
          <w:szCs w:val="24"/>
          <w:lang w:val="bg-BG"/>
        </w:rPr>
        <w:t xml:space="preserve"> тези</w:t>
      </w:r>
      <w:r w:rsidRPr="00610B1B">
        <w:rPr>
          <w:rFonts w:ascii="Times New Roman" w:eastAsia="Arial Unicode MS" w:hAnsi="Times New Roman" w:cs="Times New Roman"/>
          <w:sz w:val="24"/>
          <w:szCs w:val="24"/>
          <w:lang w:val="bg-BG"/>
        </w:rPr>
        <w:t xml:space="preserve"> цели е учредена Комисия по опазване на Черно море от замърсяване, в която са представени всички държави, страни по конвенцията. Към нея имат право да се присъединят и държави</w:t>
      </w:r>
      <w:r w:rsidR="006F54EE" w:rsidRPr="00610B1B">
        <w:rPr>
          <w:rFonts w:ascii="Times New Roman" w:eastAsia="Arial Unicode MS" w:hAnsi="Times New Roman" w:cs="Times New Roman"/>
          <w:sz w:val="24"/>
          <w:szCs w:val="24"/>
          <w:lang w:val="bg-BG"/>
        </w:rPr>
        <w:t xml:space="preserve"> без</w:t>
      </w:r>
      <w:r w:rsidRPr="00610B1B">
        <w:rPr>
          <w:rFonts w:ascii="Times New Roman" w:eastAsia="Arial Unicode MS" w:hAnsi="Times New Roman" w:cs="Times New Roman"/>
          <w:sz w:val="24"/>
          <w:szCs w:val="24"/>
          <w:lang w:val="bg-BG"/>
        </w:rPr>
        <w:t xml:space="preserve"> излаз на Черно море. Ратифицираният от Република България документ е обнародван в ДВ. бр.49/17.06.1994 г. </w:t>
      </w:r>
      <w:r w:rsidR="00126AA7" w:rsidRPr="00610B1B">
        <w:rPr>
          <w:rFonts w:ascii="Times New Roman" w:eastAsia="Arial Unicode MS" w:hAnsi="Times New Roman" w:cs="Times New Roman"/>
          <w:sz w:val="24"/>
          <w:szCs w:val="24"/>
          <w:lang w:val="bg-BG"/>
        </w:rPr>
        <w:t xml:space="preserve">През 2009 г. в София се приема Стратегически план за действие за опазване и възстановяване на Черно море, който изисква отчитане на дейността в крайбрежните зони и въздействието им върху състоянието на морската среда. През 2018 г. в Бургас се приема Визия за иновативен и интелигентен син растеж. </w:t>
      </w:r>
    </w:p>
    <w:p w14:paraId="636D1BF9" w14:textId="0CF9835B" w:rsidR="000B73C4" w:rsidRPr="00610B1B" w:rsidRDefault="00126AA7" w:rsidP="00D32D6A">
      <w:pPr>
        <w:widowControl w:val="0"/>
        <w:spacing w:after="120"/>
        <w:ind w:right="-153"/>
        <w:jc w:val="both"/>
        <w:rPr>
          <w:rFonts w:ascii="Times New Roman" w:eastAsia="Arial Unicode MS" w:hAnsi="Times New Roman" w:cs="Times New Roman"/>
          <w:sz w:val="24"/>
          <w:szCs w:val="24"/>
          <w:lang w:val="bg-BG"/>
        </w:rPr>
      </w:pPr>
      <w:r w:rsidRPr="00610B1B">
        <w:rPr>
          <w:rFonts w:ascii="Times New Roman" w:eastAsia="Arial Unicode MS" w:hAnsi="Times New Roman" w:cs="Times New Roman"/>
          <w:sz w:val="24"/>
          <w:szCs w:val="24"/>
          <w:lang w:val="bg-BG"/>
        </w:rPr>
        <w:t xml:space="preserve">Всички </w:t>
      </w:r>
      <w:r w:rsidR="00DC1E0D" w:rsidRPr="00610B1B">
        <w:rPr>
          <w:rFonts w:ascii="Times New Roman" w:eastAsia="Arial Unicode MS" w:hAnsi="Times New Roman" w:cs="Times New Roman"/>
          <w:sz w:val="24"/>
          <w:szCs w:val="24"/>
          <w:lang w:val="bg-BG"/>
        </w:rPr>
        <w:t xml:space="preserve">тези </w:t>
      </w:r>
      <w:r w:rsidRPr="00610B1B">
        <w:rPr>
          <w:rFonts w:ascii="Times New Roman" w:eastAsia="Arial Unicode MS" w:hAnsi="Times New Roman" w:cs="Times New Roman"/>
          <w:sz w:val="24"/>
          <w:szCs w:val="24"/>
          <w:lang w:val="bg-BG"/>
        </w:rPr>
        <w:t>важни международни, общностни, регионални, национални законодателни и стратегически документи</w:t>
      </w:r>
      <w:r w:rsidR="00DC1E0D" w:rsidRPr="00610B1B">
        <w:rPr>
          <w:rFonts w:ascii="Times New Roman" w:eastAsia="Arial Unicode MS" w:hAnsi="Times New Roman" w:cs="Times New Roman"/>
          <w:sz w:val="24"/>
          <w:szCs w:val="24"/>
          <w:lang w:val="bg-BG"/>
        </w:rPr>
        <w:t xml:space="preserve"> </w:t>
      </w:r>
      <w:r w:rsidRPr="00610B1B">
        <w:rPr>
          <w:rFonts w:ascii="Times New Roman" w:eastAsia="Arial Unicode MS" w:hAnsi="Times New Roman" w:cs="Times New Roman"/>
          <w:sz w:val="24"/>
          <w:szCs w:val="24"/>
          <w:lang w:val="bg-BG"/>
        </w:rPr>
        <w:t>са в основата на прогнозните предвиждания на морския пространствен план на Р. България.</w:t>
      </w:r>
      <w:r w:rsidR="000B73C4" w:rsidRPr="00610B1B">
        <w:rPr>
          <w:rFonts w:ascii="Times New Roman" w:eastAsia="Arial Unicode MS" w:hAnsi="Times New Roman" w:cs="Times New Roman"/>
          <w:sz w:val="24"/>
          <w:szCs w:val="24"/>
          <w:lang w:val="bg-BG"/>
        </w:rPr>
        <w:t xml:space="preserve"> </w:t>
      </w:r>
    </w:p>
    <w:p w14:paraId="7828D9D5" w14:textId="0BD40EA6" w:rsidR="00927AF9" w:rsidRPr="00610B1B" w:rsidRDefault="00126AA7" w:rsidP="00D32D6A">
      <w:pPr>
        <w:pStyle w:val="Heading4"/>
        <w:spacing w:before="0" w:line="276" w:lineRule="auto"/>
        <w:ind w:right="-153"/>
        <w:rPr>
          <w:rFonts w:cs="Times New Roman"/>
        </w:rPr>
      </w:pPr>
      <w:r w:rsidRPr="00610B1B">
        <w:rPr>
          <w:rFonts w:cs="Times New Roman"/>
        </w:rPr>
        <w:lastRenderedPageBreak/>
        <w:t>1.1</w:t>
      </w:r>
      <w:r w:rsidR="001D3664" w:rsidRPr="00610B1B">
        <w:rPr>
          <w:rFonts w:cs="Times New Roman"/>
        </w:rPr>
        <w:t>.3.4. Национални документи</w:t>
      </w:r>
    </w:p>
    <w:p w14:paraId="0E5D13B8" w14:textId="5D8D9F7D" w:rsidR="001D6DD8" w:rsidRPr="00610B1B" w:rsidRDefault="00994F47"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От национал</w:t>
      </w:r>
      <w:r w:rsidR="00B24CCA" w:rsidRPr="00610B1B">
        <w:rPr>
          <w:rFonts w:ascii="Times New Roman" w:hAnsi="Times New Roman" w:cs="Times New Roman"/>
          <w:bCs/>
          <w:sz w:val="24"/>
          <w:szCs w:val="24"/>
          <w:lang w:val="bg-BG"/>
        </w:rPr>
        <w:t>ни</w:t>
      </w:r>
      <w:r w:rsidR="00543E0C" w:rsidRPr="00610B1B">
        <w:rPr>
          <w:rFonts w:ascii="Times New Roman" w:hAnsi="Times New Roman" w:cs="Times New Roman"/>
          <w:bCs/>
          <w:sz w:val="24"/>
          <w:szCs w:val="24"/>
          <w:lang w:val="bg-BG"/>
        </w:rPr>
        <w:t>те</w:t>
      </w:r>
      <w:r w:rsidR="00B24CCA" w:rsidRPr="00610B1B">
        <w:rPr>
          <w:rFonts w:ascii="Times New Roman" w:hAnsi="Times New Roman" w:cs="Times New Roman"/>
          <w:bCs/>
          <w:sz w:val="24"/>
          <w:szCs w:val="24"/>
          <w:lang w:val="bg-BG"/>
        </w:rPr>
        <w:t xml:space="preserve"> законови и подзаконови документи са разгледани само </w:t>
      </w:r>
      <w:r w:rsidR="003473EF" w:rsidRPr="00610B1B">
        <w:rPr>
          <w:rFonts w:ascii="Times New Roman" w:hAnsi="Times New Roman" w:cs="Times New Roman"/>
          <w:bCs/>
          <w:sz w:val="24"/>
          <w:szCs w:val="24"/>
          <w:lang w:val="bg-BG"/>
        </w:rPr>
        <w:t>онези, които имат</w:t>
      </w:r>
      <w:r w:rsidR="00543E0C" w:rsidRPr="00610B1B">
        <w:rPr>
          <w:rFonts w:ascii="Times New Roman" w:hAnsi="Times New Roman" w:cs="Times New Roman"/>
          <w:bCs/>
          <w:sz w:val="24"/>
          <w:szCs w:val="24"/>
          <w:lang w:val="bg-BG"/>
        </w:rPr>
        <w:t xml:space="preserve"> общо приложение </w:t>
      </w:r>
      <w:r w:rsidR="001D6DD8" w:rsidRPr="00610B1B">
        <w:rPr>
          <w:rFonts w:ascii="Times New Roman" w:hAnsi="Times New Roman" w:cs="Times New Roman"/>
          <w:bCs/>
          <w:sz w:val="24"/>
          <w:szCs w:val="24"/>
          <w:lang w:val="bg-BG"/>
        </w:rPr>
        <w:t>в</w:t>
      </w:r>
      <w:r w:rsidR="00543E0C" w:rsidRPr="00610B1B">
        <w:rPr>
          <w:rFonts w:ascii="Times New Roman" w:hAnsi="Times New Roman" w:cs="Times New Roman"/>
          <w:bCs/>
          <w:sz w:val="24"/>
          <w:szCs w:val="24"/>
          <w:lang w:val="bg-BG"/>
        </w:rPr>
        <w:t xml:space="preserve"> </w:t>
      </w:r>
      <w:r w:rsidR="00B24CCA" w:rsidRPr="00610B1B">
        <w:rPr>
          <w:rFonts w:ascii="Times New Roman" w:hAnsi="Times New Roman" w:cs="Times New Roman"/>
          <w:bCs/>
          <w:sz w:val="24"/>
          <w:szCs w:val="24"/>
          <w:lang w:val="bg-BG"/>
        </w:rPr>
        <w:t>морското пространствено планиране</w:t>
      </w:r>
      <w:r w:rsidR="003473EF" w:rsidRPr="00610B1B">
        <w:rPr>
          <w:rFonts w:ascii="Times New Roman" w:hAnsi="Times New Roman" w:cs="Times New Roman"/>
          <w:bCs/>
          <w:sz w:val="24"/>
          <w:szCs w:val="24"/>
          <w:lang w:val="bg-BG"/>
        </w:rPr>
        <w:t xml:space="preserve"> и </w:t>
      </w:r>
      <w:r w:rsidR="00B24CCA" w:rsidRPr="00610B1B">
        <w:rPr>
          <w:rFonts w:ascii="Times New Roman" w:hAnsi="Times New Roman" w:cs="Times New Roman"/>
          <w:bCs/>
          <w:sz w:val="24"/>
          <w:szCs w:val="24"/>
          <w:lang w:val="bg-BG"/>
        </w:rPr>
        <w:t>тр</w:t>
      </w:r>
      <w:r w:rsidR="00543E0C" w:rsidRPr="00610B1B">
        <w:rPr>
          <w:rFonts w:ascii="Times New Roman" w:hAnsi="Times New Roman" w:cs="Times New Roman"/>
          <w:bCs/>
          <w:sz w:val="24"/>
          <w:szCs w:val="24"/>
          <w:lang w:val="bg-BG"/>
        </w:rPr>
        <w:t>а</w:t>
      </w:r>
      <w:r w:rsidR="00B24CCA" w:rsidRPr="00610B1B">
        <w:rPr>
          <w:rFonts w:ascii="Times New Roman" w:hAnsi="Times New Roman" w:cs="Times New Roman"/>
          <w:bCs/>
          <w:sz w:val="24"/>
          <w:szCs w:val="24"/>
          <w:lang w:val="bg-BG"/>
        </w:rPr>
        <w:t>нспонира</w:t>
      </w:r>
      <w:r w:rsidR="003473EF" w:rsidRPr="00610B1B">
        <w:rPr>
          <w:rFonts w:ascii="Times New Roman" w:hAnsi="Times New Roman" w:cs="Times New Roman"/>
          <w:bCs/>
          <w:sz w:val="24"/>
          <w:szCs w:val="24"/>
          <w:lang w:val="bg-BG"/>
        </w:rPr>
        <w:t>т</w:t>
      </w:r>
      <w:r w:rsidR="00B24CCA" w:rsidRPr="00610B1B">
        <w:rPr>
          <w:rFonts w:ascii="Times New Roman" w:hAnsi="Times New Roman" w:cs="Times New Roman"/>
          <w:bCs/>
          <w:sz w:val="24"/>
          <w:szCs w:val="24"/>
          <w:lang w:val="bg-BG"/>
        </w:rPr>
        <w:t xml:space="preserve"> </w:t>
      </w:r>
      <w:r w:rsidR="001D6DD8" w:rsidRPr="00610B1B">
        <w:rPr>
          <w:rFonts w:ascii="Times New Roman" w:hAnsi="Times New Roman" w:cs="Times New Roman"/>
          <w:bCs/>
          <w:sz w:val="24"/>
          <w:szCs w:val="24"/>
          <w:lang w:val="bg-BG"/>
        </w:rPr>
        <w:t xml:space="preserve">цитираните основополагащи конвенции и директиви. Специализираното законодателство </w:t>
      </w:r>
      <w:r w:rsidR="00E42AC4" w:rsidRPr="00610B1B">
        <w:rPr>
          <w:rFonts w:ascii="Times New Roman" w:hAnsi="Times New Roman" w:cs="Times New Roman"/>
          <w:bCs/>
          <w:sz w:val="24"/>
          <w:szCs w:val="24"/>
          <w:lang w:val="bg-BG"/>
        </w:rPr>
        <w:t>се анализира</w:t>
      </w:r>
      <w:r w:rsidR="001D6DD8" w:rsidRPr="00610B1B">
        <w:rPr>
          <w:rFonts w:ascii="Times New Roman" w:hAnsi="Times New Roman" w:cs="Times New Roman"/>
          <w:bCs/>
          <w:sz w:val="24"/>
          <w:szCs w:val="24"/>
          <w:lang w:val="bg-BG"/>
        </w:rPr>
        <w:t xml:space="preserve"> във връзка с развитието на съответния сектор. </w:t>
      </w:r>
    </w:p>
    <w:p w14:paraId="1948C463" w14:textId="1601E62D" w:rsidR="00294C28" w:rsidRPr="00610B1B" w:rsidRDefault="00294C28"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bCs/>
          <w:sz w:val="24"/>
          <w:szCs w:val="24"/>
          <w:lang w:val="bg-BG"/>
        </w:rPr>
        <w:t>Конституцията на Република България</w:t>
      </w:r>
      <w:r w:rsidRPr="00610B1B">
        <w:rPr>
          <w:rFonts w:ascii="Times New Roman" w:hAnsi="Times New Roman" w:cs="Times New Roman"/>
          <w:bCs/>
          <w:sz w:val="24"/>
          <w:szCs w:val="24"/>
          <w:lang w:val="bg-BG"/>
        </w:rPr>
        <w:t>, приета от Седмото Велико Народно Събрание определя</w:t>
      </w:r>
      <w:r w:rsidR="003473EF" w:rsidRPr="00610B1B">
        <w:rPr>
          <w:rFonts w:ascii="Times New Roman" w:hAnsi="Times New Roman" w:cs="Times New Roman"/>
          <w:bCs/>
          <w:sz w:val="24"/>
          <w:szCs w:val="24"/>
          <w:lang w:val="bg-BG"/>
        </w:rPr>
        <w:t xml:space="preserve"> правата на държавата върху </w:t>
      </w:r>
      <w:r w:rsidR="00A36D74" w:rsidRPr="00610B1B">
        <w:rPr>
          <w:rFonts w:ascii="Times New Roman" w:hAnsi="Times New Roman" w:cs="Times New Roman"/>
          <w:bCs/>
          <w:sz w:val="24"/>
          <w:szCs w:val="24"/>
          <w:lang w:val="bg-BG"/>
        </w:rPr>
        <w:t>крайбрежната плажна ивица, върху континенталния шелф и в изключителната икономическа зона за проучване, разработване, използване, опазване и стопанисване на биологичните, минералните и енергийните ресурси на тези морски пространства.</w:t>
      </w:r>
      <w:r w:rsidRPr="00610B1B">
        <w:rPr>
          <w:rStyle w:val="FootnoteReference"/>
          <w:rFonts w:ascii="Times New Roman" w:hAnsi="Times New Roman" w:cs="Times New Roman"/>
          <w:bCs/>
          <w:sz w:val="24"/>
          <w:szCs w:val="24"/>
          <w:lang w:val="bg-BG"/>
        </w:rPr>
        <w:footnoteReference w:id="37"/>
      </w:r>
    </w:p>
    <w:p w14:paraId="6D17C968" w14:textId="4A70275E" w:rsidR="00215939" w:rsidRPr="00610B1B" w:rsidRDefault="001D6DD8"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Законът за морските пространства, вътрешните водни пътища и пристанищата на Република България</w:t>
      </w:r>
      <w:r w:rsidRPr="00610B1B">
        <w:rPr>
          <w:rFonts w:ascii="Times New Roman" w:hAnsi="Times New Roman" w:cs="Times New Roman"/>
          <w:bCs/>
          <w:sz w:val="24"/>
          <w:szCs w:val="24"/>
          <w:lang w:val="bg-BG"/>
        </w:rPr>
        <w:t xml:space="preserve"> (ЗМПВВППРБ), обн. ДВ бр. 12/2000 г. изм</w:t>
      </w:r>
      <w:r w:rsidR="00E42AC4" w:rsidRPr="00610B1B">
        <w:rPr>
          <w:rFonts w:ascii="Times New Roman" w:hAnsi="Times New Roman" w:cs="Times New Roman"/>
          <w:bCs/>
          <w:sz w:val="24"/>
          <w:szCs w:val="24"/>
          <w:lang w:val="bg-BG"/>
        </w:rPr>
        <w:t>. и доп.</w:t>
      </w:r>
      <w:r w:rsidRPr="00610B1B">
        <w:rPr>
          <w:rFonts w:ascii="Times New Roman" w:hAnsi="Times New Roman" w:cs="Times New Roman"/>
          <w:bCs/>
          <w:sz w:val="24"/>
          <w:szCs w:val="24"/>
          <w:lang w:val="bg-BG"/>
        </w:rPr>
        <w:t xml:space="preserve"> ДВ бр. </w:t>
      </w:r>
      <w:r w:rsidR="00E42AC4" w:rsidRPr="00610B1B">
        <w:rPr>
          <w:rFonts w:ascii="Times New Roman" w:hAnsi="Times New Roman" w:cs="Times New Roman"/>
          <w:bCs/>
          <w:sz w:val="24"/>
          <w:szCs w:val="24"/>
          <w:lang w:val="bg-BG"/>
        </w:rPr>
        <w:t>2</w:t>
      </w:r>
      <w:r w:rsidRPr="00610B1B">
        <w:rPr>
          <w:rFonts w:ascii="Times New Roman" w:hAnsi="Times New Roman" w:cs="Times New Roman"/>
          <w:bCs/>
          <w:sz w:val="24"/>
          <w:szCs w:val="24"/>
          <w:lang w:val="bg-BG"/>
        </w:rPr>
        <w:t>8/</w:t>
      </w:r>
      <w:r w:rsidR="00E42AC4" w:rsidRPr="00610B1B">
        <w:rPr>
          <w:rFonts w:ascii="Times New Roman" w:hAnsi="Times New Roman" w:cs="Times New Roman"/>
          <w:bCs/>
          <w:sz w:val="24"/>
          <w:szCs w:val="24"/>
          <w:lang w:val="bg-BG"/>
        </w:rPr>
        <w:t>29</w:t>
      </w:r>
      <w:r w:rsidRPr="00610B1B">
        <w:rPr>
          <w:rFonts w:ascii="Times New Roman" w:hAnsi="Times New Roman" w:cs="Times New Roman"/>
          <w:bCs/>
          <w:sz w:val="24"/>
          <w:szCs w:val="24"/>
          <w:lang w:val="bg-BG"/>
        </w:rPr>
        <w:t>.0</w:t>
      </w:r>
      <w:r w:rsidR="00E42AC4" w:rsidRPr="00610B1B">
        <w:rPr>
          <w:rFonts w:ascii="Times New Roman" w:hAnsi="Times New Roman" w:cs="Times New Roman"/>
          <w:bCs/>
          <w:sz w:val="24"/>
          <w:szCs w:val="24"/>
          <w:lang w:val="bg-BG"/>
        </w:rPr>
        <w:t>3</w:t>
      </w:r>
      <w:r w:rsidRPr="00610B1B">
        <w:rPr>
          <w:rFonts w:ascii="Times New Roman" w:hAnsi="Times New Roman" w:cs="Times New Roman"/>
          <w:bCs/>
          <w:sz w:val="24"/>
          <w:szCs w:val="24"/>
          <w:lang w:val="bg-BG"/>
        </w:rPr>
        <w:t>.201</w:t>
      </w:r>
      <w:r w:rsidR="00E42AC4" w:rsidRPr="00610B1B">
        <w:rPr>
          <w:rFonts w:ascii="Times New Roman" w:hAnsi="Times New Roman" w:cs="Times New Roman"/>
          <w:bCs/>
          <w:sz w:val="24"/>
          <w:szCs w:val="24"/>
          <w:lang w:val="bg-BG"/>
        </w:rPr>
        <w:t>8 г.</w:t>
      </w:r>
      <w:r w:rsidRPr="00610B1B">
        <w:rPr>
          <w:rStyle w:val="FootnoteReference"/>
          <w:rFonts w:ascii="Times New Roman" w:hAnsi="Times New Roman" w:cs="Times New Roman"/>
          <w:bCs/>
          <w:sz w:val="24"/>
          <w:szCs w:val="24"/>
          <w:lang w:val="bg-BG"/>
        </w:rPr>
        <w:footnoteReference w:id="38"/>
      </w:r>
      <w:r w:rsidR="00823A0B" w:rsidRPr="00610B1B">
        <w:rPr>
          <w:rFonts w:ascii="Times New Roman" w:hAnsi="Times New Roman" w:cs="Times New Roman"/>
          <w:bCs/>
          <w:sz w:val="24"/>
          <w:szCs w:val="24"/>
          <w:lang w:val="bg-BG"/>
        </w:rPr>
        <w:t>,</w:t>
      </w:r>
      <w:r w:rsidR="00E42AC4"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урежда правния режим на морските пространства, вътрешните водни пътища и пристанищата на</w:t>
      </w:r>
      <w:r w:rsidR="005134FE" w:rsidRPr="00610B1B">
        <w:rPr>
          <w:rFonts w:ascii="Times New Roman" w:hAnsi="Times New Roman" w:cs="Times New Roman"/>
          <w:bCs/>
          <w:sz w:val="24"/>
          <w:szCs w:val="24"/>
          <w:lang w:val="bg-BG"/>
        </w:rPr>
        <w:t xml:space="preserve"> страната</w:t>
      </w:r>
      <w:r w:rsidRPr="00610B1B">
        <w:rPr>
          <w:rFonts w:ascii="Times New Roman" w:hAnsi="Times New Roman" w:cs="Times New Roman"/>
          <w:bCs/>
          <w:sz w:val="24"/>
          <w:szCs w:val="24"/>
          <w:lang w:val="bg-BG"/>
        </w:rPr>
        <w:t xml:space="preserve"> и има за водеща цел</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„опазването на морската и речната среда при корабоплаване и поддържането на екологичното равновесие”. Определенията за включените в морските пространства на България морски води следват изискванията на КООНМП</w:t>
      </w:r>
      <w:r w:rsidR="00215939" w:rsidRPr="00610B1B">
        <w:rPr>
          <w:rFonts w:ascii="Times New Roman" w:hAnsi="Times New Roman" w:cs="Times New Roman"/>
          <w:bCs/>
          <w:sz w:val="24"/>
          <w:szCs w:val="24"/>
          <w:lang w:val="bg-BG"/>
        </w:rPr>
        <w:t>. Морското пространствено планиране е инкорпорирано в Раздел VII. „Използване на морските пространства и опазване на морската среда“. С тези текстове от 2018 г. се регламентират правомощията на държавните органи, обхват</w:t>
      </w:r>
      <w:r w:rsidR="008C3197" w:rsidRPr="00610B1B">
        <w:rPr>
          <w:rFonts w:ascii="Times New Roman" w:hAnsi="Times New Roman" w:cs="Times New Roman"/>
          <w:bCs/>
          <w:sz w:val="24"/>
          <w:szCs w:val="24"/>
          <w:lang w:val="bg-BG"/>
        </w:rPr>
        <w:t>а и съдържанието</w:t>
      </w:r>
      <w:r w:rsidR="00215939" w:rsidRPr="00610B1B">
        <w:rPr>
          <w:rFonts w:ascii="Times New Roman" w:hAnsi="Times New Roman" w:cs="Times New Roman"/>
          <w:bCs/>
          <w:sz w:val="24"/>
          <w:szCs w:val="24"/>
          <w:lang w:val="bg-BG"/>
        </w:rPr>
        <w:t xml:space="preserve"> на морск</w:t>
      </w:r>
      <w:r w:rsidR="008C3197" w:rsidRPr="00610B1B">
        <w:rPr>
          <w:rFonts w:ascii="Times New Roman" w:hAnsi="Times New Roman" w:cs="Times New Roman"/>
          <w:bCs/>
          <w:sz w:val="24"/>
          <w:szCs w:val="24"/>
          <w:lang w:val="bg-BG"/>
        </w:rPr>
        <w:t>ия пространствен план</w:t>
      </w:r>
      <w:r w:rsidR="00215939" w:rsidRPr="00610B1B">
        <w:rPr>
          <w:rFonts w:ascii="Times New Roman" w:hAnsi="Times New Roman" w:cs="Times New Roman"/>
          <w:bCs/>
          <w:sz w:val="24"/>
          <w:szCs w:val="24"/>
          <w:lang w:val="bg-BG"/>
        </w:rPr>
        <w:t xml:space="preserve">, </w:t>
      </w:r>
      <w:r w:rsidR="008C3197" w:rsidRPr="00610B1B">
        <w:rPr>
          <w:rFonts w:ascii="Times New Roman" w:hAnsi="Times New Roman" w:cs="Times New Roman"/>
          <w:bCs/>
          <w:sz w:val="24"/>
          <w:szCs w:val="24"/>
          <w:lang w:val="bg-BG"/>
        </w:rPr>
        <w:t>процедурите по неговото разработване, консултиране и одобряване.</w:t>
      </w:r>
    </w:p>
    <w:p w14:paraId="0EDCE364" w14:textId="026AFDC4" w:rsidR="008152C1" w:rsidRPr="00610B1B" w:rsidRDefault="008C3197" w:rsidP="00D32D6A">
      <w:pPr>
        <w:spacing w:after="120"/>
        <w:ind w:right="-153"/>
        <w:jc w:val="both"/>
        <w:rPr>
          <w:rFonts w:ascii="Times New Roman" w:hAnsi="Times New Roman" w:cs="Times New Roman"/>
          <w:lang w:val="bg-BG"/>
        </w:rPr>
      </w:pPr>
      <w:r w:rsidRPr="00610B1B">
        <w:rPr>
          <w:rFonts w:ascii="Times New Roman" w:hAnsi="Times New Roman" w:cs="Times New Roman"/>
          <w:bCs/>
          <w:sz w:val="24"/>
          <w:szCs w:val="24"/>
          <w:lang w:val="bg-BG"/>
        </w:rPr>
        <w:t>Допълнително със ЗМПВВППРБ се определят възможностите за научни изследвания в континенталния шелф и в изключителната икономическа зона с разрешение на Министерския съвет по реда и условията на Конвенцията на ООН по морско право</w:t>
      </w:r>
      <w:r w:rsidR="00441DF5"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изграждането на подводни линейни обекти и изискванията към тях. Предоставянето на особено право на ползване върху континенталния шелф и изключителната икономическа зона за проучване, разработване, използване, опазване и стопанисване на биологичните, минералните и енергийните ресурси се извършват по реда на Закона за концесиите</w:t>
      </w:r>
      <w:r w:rsidRPr="00610B1B">
        <w:rPr>
          <w:rStyle w:val="FootnoteReference"/>
          <w:rFonts w:ascii="Times New Roman" w:hAnsi="Times New Roman" w:cs="Times New Roman"/>
          <w:bCs/>
          <w:sz w:val="24"/>
          <w:szCs w:val="24"/>
          <w:lang w:val="bg-BG"/>
        </w:rPr>
        <w:footnoteReference w:id="39"/>
      </w:r>
      <w:r w:rsidRPr="00610B1B">
        <w:rPr>
          <w:rFonts w:ascii="Times New Roman" w:hAnsi="Times New Roman" w:cs="Times New Roman"/>
          <w:bCs/>
          <w:sz w:val="24"/>
          <w:szCs w:val="24"/>
          <w:lang w:val="bg-BG"/>
        </w:rPr>
        <w:t xml:space="preserve"> и на Закона за подземните богатства</w:t>
      </w:r>
      <w:r w:rsidRPr="00610B1B">
        <w:rPr>
          <w:rStyle w:val="FootnoteReference"/>
          <w:rFonts w:ascii="Times New Roman" w:hAnsi="Times New Roman" w:cs="Times New Roman"/>
          <w:bCs/>
          <w:sz w:val="24"/>
          <w:szCs w:val="24"/>
          <w:lang w:val="bg-BG"/>
        </w:rPr>
        <w:footnoteReference w:id="40"/>
      </w:r>
      <w:r w:rsidRPr="00610B1B">
        <w:rPr>
          <w:rFonts w:ascii="Times New Roman" w:hAnsi="Times New Roman" w:cs="Times New Roman"/>
          <w:bCs/>
          <w:sz w:val="24"/>
          <w:szCs w:val="24"/>
          <w:lang w:val="bg-BG"/>
        </w:rPr>
        <w:t>.</w:t>
      </w:r>
      <w:r w:rsidR="008152C1" w:rsidRPr="00610B1B">
        <w:rPr>
          <w:rFonts w:ascii="Times New Roman" w:hAnsi="Times New Roman" w:cs="Times New Roman"/>
          <w:lang w:val="bg-BG"/>
        </w:rPr>
        <w:t xml:space="preserve"> </w:t>
      </w:r>
    </w:p>
    <w:p w14:paraId="4A0FE948" w14:textId="4E294CBC" w:rsidR="00F133A3" w:rsidRPr="00610B1B" w:rsidRDefault="008152C1"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Законът за водите</w:t>
      </w:r>
      <w:r w:rsidR="00EE6959" w:rsidRPr="00610B1B">
        <w:rPr>
          <w:rStyle w:val="FootnoteReference"/>
          <w:rFonts w:ascii="Times New Roman" w:hAnsi="Times New Roman" w:cs="Times New Roman"/>
          <w:bCs/>
          <w:sz w:val="24"/>
          <w:szCs w:val="24"/>
          <w:lang w:val="bg-BG"/>
        </w:rPr>
        <w:footnoteReference w:id="41"/>
      </w:r>
      <w:r w:rsidR="00F133A3" w:rsidRPr="00610B1B">
        <w:rPr>
          <w:rFonts w:ascii="Times New Roman" w:hAnsi="Times New Roman" w:cs="Times New Roman"/>
          <w:bCs/>
          <w:sz w:val="24"/>
          <w:szCs w:val="24"/>
          <w:lang w:val="bg-BG"/>
        </w:rPr>
        <w:t xml:space="preserve"> пренася постановките на Рамковата директива за водите на ЕС</w:t>
      </w:r>
      <w:r w:rsidR="00C06AC4" w:rsidRPr="00610B1B">
        <w:rPr>
          <w:rFonts w:ascii="Times New Roman" w:hAnsi="Times New Roman" w:cs="Times New Roman"/>
          <w:bCs/>
          <w:sz w:val="24"/>
          <w:szCs w:val="24"/>
          <w:lang w:val="bg-BG"/>
        </w:rPr>
        <w:t xml:space="preserve">, </w:t>
      </w:r>
      <w:r w:rsidR="00F133A3" w:rsidRPr="00610B1B">
        <w:rPr>
          <w:rFonts w:ascii="Times New Roman" w:hAnsi="Times New Roman" w:cs="Times New Roman"/>
          <w:bCs/>
          <w:sz w:val="24"/>
          <w:szCs w:val="24"/>
          <w:lang w:val="bg-BG"/>
        </w:rPr>
        <w:t xml:space="preserve">разглежда водите на Република България като „общонационален неделим природен ресурс“ и урежда собствеността и интегрираното им управление. Той </w:t>
      </w:r>
      <w:r w:rsidR="00C06AC4" w:rsidRPr="00610B1B">
        <w:rPr>
          <w:rFonts w:ascii="Times New Roman" w:hAnsi="Times New Roman" w:cs="Times New Roman"/>
          <w:bCs/>
          <w:sz w:val="24"/>
          <w:szCs w:val="24"/>
          <w:lang w:val="bg-BG"/>
        </w:rPr>
        <w:t>и</w:t>
      </w:r>
      <w:r w:rsidR="00F133A3" w:rsidRPr="00610B1B">
        <w:rPr>
          <w:rFonts w:ascii="Times New Roman" w:hAnsi="Times New Roman" w:cs="Times New Roman"/>
          <w:bCs/>
          <w:sz w:val="24"/>
          <w:szCs w:val="24"/>
          <w:lang w:val="bg-BG"/>
        </w:rPr>
        <w:t xml:space="preserve">ма за цел да </w:t>
      </w:r>
      <w:r w:rsidR="000B73C4" w:rsidRPr="00610B1B">
        <w:rPr>
          <w:rFonts w:ascii="Times New Roman" w:hAnsi="Times New Roman" w:cs="Times New Roman"/>
          <w:bCs/>
          <w:sz w:val="24"/>
          <w:szCs w:val="24"/>
          <w:lang w:val="bg-BG"/>
        </w:rPr>
        <w:t xml:space="preserve">гарантира </w:t>
      </w:r>
      <w:r w:rsidR="00F133A3" w:rsidRPr="00610B1B">
        <w:rPr>
          <w:rFonts w:ascii="Times New Roman" w:hAnsi="Times New Roman" w:cs="Times New Roman"/>
          <w:bCs/>
          <w:sz w:val="24"/>
          <w:szCs w:val="24"/>
          <w:lang w:val="bg-BG"/>
        </w:rPr>
        <w:t>осигу</w:t>
      </w:r>
      <w:r w:rsidR="000B73C4" w:rsidRPr="00610B1B">
        <w:rPr>
          <w:rFonts w:ascii="Times New Roman" w:hAnsi="Times New Roman" w:cs="Times New Roman"/>
          <w:bCs/>
          <w:sz w:val="24"/>
          <w:szCs w:val="24"/>
          <w:lang w:val="bg-BG"/>
        </w:rPr>
        <w:t xml:space="preserve">ряването на </w:t>
      </w:r>
      <w:r w:rsidR="00F133A3" w:rsidRPr="00610B1B">
        <w:rPr>
          <w:rFonts w:ascii="Times New Roman" w:hAnsi="Times New Roman" w:cs="Times New Roman"/>
          <w:bCs/>
          <w:sz w:val="24"/>
          <w:szCs w:val="24"/>
          <w:lang w:val="bg-BG"/>
        </w:rPr>
        <w:t xml:space="preserve">достатъчно количество и добро качество на повърхностните и подземните води за устойчиво, балансирано и справедливо водоползване; да предпази </w:t>
      </w:r>
      <w:r w:rsidR="00C06AC4" w:rsidRPr="00610B1B">
        <w:rPr>
          <w:rFonts w:ascii="Times New Roman" w:hAnsi="Times New Roman" w:cs="Times New Roman"/>
          <w:bCs/>
          <w:sz w:val="24"/>
          <w:szCs w:val="24"/>
          <w:lang w:val="bg-BG"/>
        </w:rPr>
        <w:t xml:space="preserve">повърхностните, подземните и </w:t>
      </w:r>
      <w:r w:rsidR="00F133A3" w:rsidRPr="00610B1B">
        <w:rPr>
          <w:rFonts w:ascii="Times New Roman" w:hAnsi="Times New Roman" w:cs="Times New Roman"/>
          <w:bCs/>
          <w:sz w:val="24"/>
          <w:szCs w:val="24"/>
          <w:lang w:val="bg-BG"/>
        </w:rPr>
        <w:t>водите</w:t>
      </w:r>
      <w:r w:rsidR="00C06AC4" w:rsidRPr="00610B1B">
        <w:rPr>
          <w:rFonts w:ascii="Times New Roman" w:hAnsi="Times New Roman" w:cs="Times New Roman"/>
          <w:bCs/>
          <w:sz w:val="24"/>
          <w:szCs w:val="24"/>
          <w:lang w:val="bg-BG"/>
        </w:rPr>
        <w:t xml:space="preserve"> на</w:t>
      </w:r>
      <w:r w:rsidR="00F133A3" w:rsidRPr="00610B1B">
        <w:rPr>
          <w:rFonts w:ascii="Times New Roman" w:hAnsi="Times New Roman" w:cs="Times New Roman"/>
          <w:bCs/>
          <w:sz w:val="24"/>
          <w:szCs w:val="24"/>
          <w:lang w:val="bg-BG"/>
        </w:rPr>
        <w:t xml:space="preserve"> Черно море от замърсяване</w:t>
      </w:r>
      <w:r w:rsidR="00C06AC4" w:rsidRPr="00610B1B">
        <w:rPr>
          <w:rFonts w:ascii="Times New Roman" w:hAnsi="Times New Roman" w:cs="Times New Roman"/>
          <w:bCs/>
          <w:sz w:val="24"/>
          <w:szCs w:val="24"/>
          <w:lang w:val="bg-BG"/>
        </w:rPr>
        <w:t>; да намали вредните въздействия от наводнения и засушавания и рисковете, свързани с изме</w:t>
      </w:r>
      <w:r w:rsidR="00B362E0" w:rsidRPr="00610B1B">
        <w:rPr>
          <w:rFonts w:ascii="Times New Roman" w:hAnsi="Times New Roman" w:cs="Times New Roman"/>
          <w:bCs/>
          <w:sz w:val="24"/>
          <w:szCs w:val="24"/>
          <w:lang w:val="bg-BG"/>
        </w:rPr>
        <w:t>нен</w:t>
      </w:r>
      <w:r w:rsidR="00C06AC4" w:rsidRPr="00610B1B">
        <w:rPr>
          <w:rFonts w:ascii="Times New Roman" w:hAnsi="Times New Roman" w:cs="Times New Roman"/>
          <w:bCs/>
          <w:sz w:val="24"/>
          <w:szCs w:val="24"/>
          <w:lang w:val="bg-BG"/>
        </w:rPr>
        <w:t>ието на климата.</w:t>
      </w:r>
      <w:r w:rsidR="00B362E0" w:rsidRPr="00610B1B">
        <w:rPr>
          <w:rFonts w:ascii="Times New Roman" w:hAnsi="Times New Roman" w:cs="Times New Roman"/>
          <w:bCs/>
          <w:sz w:val="24"/>
          <w:szCs w:val="24"/>
          <w:lang w:val="bg-BG"/>
        </w:rPr>
        <w:t xml:space="preserve"> </w:t>
      </w:r>
      <w:r w:rsidR="00B95EA5" w:rsidRPr="00610B1B">
        <w:rPr>
          <w:rFonts w:ascii="Times New Roman" w:hAnsi="Times New Roman" w:cs="Times New Roman"/>
          <w:bCs/>
          <w:sz w:val="24"/>
          <w:szCs w:val="24"/>
          <w:lang w:val="bg-BG"/>
        </w:rPr>
        <w:t xml:space="preserve">Законът урежда собствеността върху водите, водните обекти и съоръжения и </w:t>
      </w:r>
      <w:r w:rsidR="00B95EA5" w:rsidRPr="00610B1B">
        <w:rPr>
          <w:rFonts w:ascii="Times New Roman" w:hAnsi="Times New Roman" w:cs="Times New Roman"/>
          <w:bCs/>
          <w:sz w:val="24"/>
          <w:szCs w:val="24"/>
          <w:lang w:val="bg-BG"/>
        </w:rPr>
        <w:lastRenderedPageBreak/>
        <w:t>определя в</w:t>
      </w:r>
      <w:r w:rsidR="00B362E0" w:rsidRPr="00610B1B">
        <w:rPr>
          <w:rFonts w:ascii="Times New Roman" w:hAnsi="Times New Roman" w:cs="Times New Roman"/>
          <w:bCs/>
          <w:sz w:val="24"/>
          <w:szCs w:val="24"/>
          <w:lang w:val="bg-BG"/>
        </w:rPr>
        <w:t xml:space="preserve">ътрешните морски води и териториалното море </w:t>
      </w:r>
      <w:r w:rsidR="00B95EA5" w:rsidRPr="00610B1B">
        <w:rPr>
          <w:rFonts w:ascii="Times New Roman" w:hAnsi="Times New Roman" w:cs="Times New Roman"/>
          <w:bCs/>
          <w:sz w:val="24"/>
          <w:szCs w:val="24"/>
          <w:lang w:val="bg-BG"/>
        </w:rPr>
        <w:t>като</w:t>
      </w:r>
      <w:r w:rsidR="00B362E0" w:rsidRPr="00610B1B">
        <w:rPr>
          <w:rFonts w:ascii="Times New Roman" w:hAnsi="Times New Roman" w:cs="Times New Roman"/>
          <w:bCs/>
          <w:sz w:val="24"/>
          <w:szCs w:val="24"/>
          <w:lang w:val="bg-BG"/>
        </w:rPr>
        <w:t xml:space="preserve"> изключителна държавна собственост (чл. 14 ал. 1), </w:t>
      </w:r>
      <w:r w:rsidR="00B95EA5" w:rsidRPr="00610B1B">
        <w:rPr>
          <w:rFonts w:ascii="Times New Roman" w:hAnsi="Times New Roman" w:cs="Times New Roman"/>
          <w:bCs/>
          <w:sz w:val="24"/>
          <w:szCs w:val="24"/>
          <w:lang w:val="bg-BG"/>
        </w:rPr>
        <w:t xml:space="preserve">а </w:t>
      </w:r>
      <w:r w:rsidR="00B362E0" w:rsidRPr="00610B1B">
        <w:rPr>
          <w:rFonts w:ascii="Times New Roman" w:hAnsi="Times New Roman" w:cs="Times New Roman"/>
          <w:bCs/>
          <w:sz w:val="24"/>
          <w:szCs w:val="24"/>
          <w:lang w:val="bg-BG"/>
        </w:rPr>
        <w:t xml:space="preserve">морското дъно и неговите недра в тези граници </w:t>
      </w:r>
      <w:r w:rsidR="00B95EA5" w:rsidRPr="00610B1B">
        <w:rPr>
          <w:rFonts w:ascii="Times New Roman" w:hAnsi="Times New Roman" w:cs="Times New Roman"/>
          <w:bCs/>
          <w:sz w:val="24"/>
          <w:szCs w:val="24"/>
          <w:lang w:val="bg-BG"/>
        </w:rPr>
        <w:t>за</w:t>
      </w:r>
      <w:r w:rsidR="00B362E0" w:rsidRPr="00610B1B">
        <w:rPr>
          <w:rFonts w:ascii="Times New Roman" w:hAnsi="Times New Roman" w:cs="Times New Roman"/>
          <w:bCs/>
          <w:sz w:val="24"/>
          <w:szCs w:val="24"/>
          <w:lang w:val="bg-BG"/>
        </w:rPr>
        <w:t xml:space="preserve"> </w:t>
      </w:r>
      <w:r w:rsidR="00B95EA5" w:rsidRPr="00610B1B">
        <w:rPr>
          <w:rFonts w:ascii="Times New Roman" w:hAnsi="Times New Roman" w:cs="Times New Roman"/>
          <w:bCs/>
          <w:sz w:val="24"/>
          <w:szCs w:val="24"/>
          <w:lang w:val="bg-BG"/>
        </w:rPr>
        <w:t>п</w:t>
      </w:r>
      <w:r w:rsidR="00B362E0" w:rsidRPr="00610B1B">
        <w:rPr>
          <w:rFonts w:ascii="Times New Roman" w:hAnsi="Times New Roman" w:cs="Times New Roman"/>
          <w:bCs/>
          <w:sz w:val="24"/>
          <w:szCs w:val="24"/>
          <w:lang w:val="bg-BG"/>
        </w:rPr>
        <w:t>ублична държавна собственост</w:t>
      </w:r>
      <w:r w:rsidR="00D66FE0" w:rsidRPr="00610B1B">
        <w:rPr>
          <w:rFonts w:ascii="Times New Roman" w:hAnsi="Times New Roman" w:cs="Times New Roman"/>
          <w:bCs/>
          <w:sz w:val="24"/>
          <w:szCs w:val="24"/>
          <w:lang w:val="bg-BG"/>
        </w:rPr>
        <w:t xml:space="preserve"> </w:t>
      </w:r>
      <w:r w:rsidR="00B95EA5" w:rsidRPr="00610B1B">
        <w:rPr>
          <w:rFonts w:ascii="Times New Roman" w:hAnsi="Times New Roman" w:cs="Times New Roman"/>
          <w:bCs/>
          <w:sz w:val="24"/>
          <w:szCs w:val="24"/>
          <w:lang w:val="bg-BG"/>
        </w:rPr>
        <w:t>(чл. 12)</w:t>
      </w:r>
      <w:r w:rsidR="00B362E0" w:rsidRPr="00610B1B">
        <w:rPr>
          <w:rFonts w:ascii="Times New Roman" w:hAnsi="Times New Roman" w:cs="Times New Roman"/>
          <w:bCs/>
          <w:sz w:val="24"/>
          <w:szCs w:val="24"/>
          <w:lang w:val="bg-BG"/>
        </w:rPr>
        <w:t>.</w:t>
      </w:r>
      <w:r w:rsidR="00461A34" w:rsidRPr="00610B1B">
        <w:rPr>
          <w:rFonts w:ascii="Times New Roman" w:hAnsi="Times New Roman" w:cs="Times New Roman"/>
          <w:bCs/>
          <w:sz w:val="24"/>
          <w:szCs w:val="24"/>
          <w:lang w:val="bg-BG"/>
        </w:rPr>
        <w:t xml:space="preserve"> </w:t>
      </w:r>
    </w:p>
    <w:p w14:paraId="06F80AC6" w14:textId="236D145D" w:rsidR="009F53C3" w:rsidRPr="00610B1B" w:rsidRDefault="009F53C3"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Създадена по силата на този Закон </w:t>
      </w:r>
      <w:r w:rsidR="002530F8" w:rsidRPr="00610B1B">
        <w:rPr>
          <w:rFonts w:ascii="Times New Roman" w:hAnsi="Times New Roman" w:cs="Times New Roman"/>
          <w:bCs/>
          <w:sz w:val="24"/>
          <w:szCs w:val="24"/>
          <w:lang w:val="bg-BG"/>
        </w:rPr>
        <w:t>Дирекция за басейново управление на водите в Черном</w:t>
      </w:r>
      <w:r w:rsidRPr="00610B1B">
        <w:rPr>
          <w:rFonts w:ascii="Times New Roman" w:hAnsi="Times New Roman" w:cs="Times New Roman"/>
          <w:bCs/>
          <w:sz w:val="24"/>
          <w:szCs w:val="24"/>
          <w:lang w:val="bg-BG"/>
        </w:rPr>
        <w:t>о</w:t>
      </w:r>
      <w:r w:rsidR="002530F8" w:rsidRPr="00610B1B">
        <w:rPr>
          <w:rFonts w:ascii="Times New Roman" w:hAnsi="Times New Roman" w:cs="Times New Roman"/>
          <w:bCs/>
          <w:sz w:val="24"/>
          <w:szCs w:val="24"/>
          <w:lang w:val="bg-BG"/>
        </w:rPr>
        <w:t>рския район със седалище във Варна</w:t>
      </w:r>
      <w:r w:rsidR="00461A34"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в своите правомощия обхваща </w:t>
      </w:r>
      <w:r w:rsidR="002530F8" w:rsidRPr="00610B1B">
        <w:rPr>
          <w:rFonts w:ascii="Times New Roman" w:hAnsi="Times New Roman" w:cs="Times New Roman"/>
          <w:bCs/>
          <w:sz w:val="24"/>
          <w:szCs w:val="24"/>
          <w:lang w:val="bg-BG"/>
        </w:rPr>
        <w:t>водосборните области на реките, вливащи се в Черно море от северната до южната граница, включително вътрешните морски води и териториалното море</w:t>
      </w:r>
      <w:r w:rsidRPr="00610B1B">
        <w:rPr>
          <w:rFonts w:ascii="Times New Roman" w:hAnsi="Times New Roman" w:cs="Times New Roman"/>
          <w:bCs/>
          <w:sz w:val="24"/>
          <w:szCs w:val="24"/>
          <w:lang w:val="bg-BG"/>
        </w:rPr>
        <w:t>.</w:t>
      </w:r>
      <w:r w:rsidR="000B73C4"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Съгласно преходните и заключителните разпоредби опазването на крайбрежните води, вътрешните морски води и териториалното море от замърсяване от други източници освен тези, намиращи се на брега, се урежда от ЗМПВВППРБ.</w:t>
      </w:r>
    </w:p>
    <w:p w14:paraId="2D075C0C" w14:textId="1DB0FE0C" w:rsidR="008152C1" w:rsidRPr="00610B1B" w:rsidRDefault="008152C1" w:rsidP="00D32D6A">
      <w:pPr>
        <w:spacing w:after="120"/>
        <w:ind w:right="-153"/>
        <w:jc w:val="both"/>
        <w:rPr>
          <w:rFonts w:ascii="Times New Roman" w:hAnsi="Times New Roman" w:cs="Times New Roman"/>
          <w:b/>
          <w:sz w:val="24"/>
          <w:szCs w:val="24"/>
          <w:lang w:val="bg-BG"/>
        </w:rPr>
      </w:pPr>
      <w:r w:rsidRPr="00610B1B">
        <w:rPr>
          <w:rFonts w:ascii="Times New Roman" w:hAnsi="Times New Roman" w:cs="Times New Roman"/>
          <w:b/>
          <w:sz w:val="24"/>
          <w:szCs w:val="24"/>
          <w:lang w:val="bg-BG"/>
        </w:rPr>
        <w:t>Законът за регионалното развитие</w:t>
      </w:r>
      <w:r w:rsidR="009F53C3" w:rsidRPr="00610B1B">
        <w:rPr>
          <w:rStyle w:val="FootnoteReference"/>
          <w:rFonts w:ascii="Times New Roman" w:hAnsi="Times New Roman" w:cs="Times New Roman"/>
          <w:bCs/>
          <w:sz w:val="24"/>
          <w:szCs w:val="24"/>
          <w:lang w:val="bg-BG"/>
        </w:rPr>
        <w:footnoteReference w:id="42"/>
      </w:r>
      <w:r w:rsidR="00B15D09" w:rsidRPr="00610B1B">
        <w:rPr>
          <w:rFonts w:ascii="Times New Roman" w:hAnsi="Times New Roman" w:cs="Times New Roman"/>
          <w:bCs/>
          <w:sz w:val="24"/>
          <w:szCs w:val="24"/>
          <w:lang w:val="bg-BG"/>
        </w:rPr>
        <w:t xml:space="preserve"> предвижда държавната политика </w:t>
      </w:r>
      <w:r w:rsidR="00051251" w:rsidRPr="00610B1B">
        <w:rPr>
          <w:rFonts w:ascii="Times New Roman" w:hAnsi="Times New Roman" w:cs="Times New Roman"/>
          <w:bCs/>
          <w:sz w:val="24"/>
          <w:szCs w:val="24"/>
          <w:lang w:val="bg-BG"/>
        </w:rPr>
        <w:t xml:space="preserve">в тази област </w:t>
      </w:r>
      <w:r w:rsidR="00B15D09" w:rsidRPr="00610B1B">
        <w:rPr>
          <w:rFonts w:ascii="Times New Roman" w:hAnsi="Times New Roman" w:cs="Times New Roman"/>
          <w:bCs/>
          <w:sz w:val="24"/>
          <w:szCs w:val="24"/>
          <w:lang w:val="bg-BG"/>
        </w:rPr>
        <w:t>да се основава на принципи, които осигуряват концентрация на ресурси, междуведомствена координация на дейност</w:t>
      </w:r>
      <w:r w:rsidR="00051251" w:rsidRPr="00610B1B">
        <w:rPr>
          <w:rFonts w:ascii="Times New Roman" w:hAnsi="Times New Roman" w:cs="Times New Roman"/>
          <w:bCs/>
          <w:sz w:val="24"/>
          <w:szCs w:val="24"/>
          <w:lang w:val="bg-BG"/>
        </w:rPr>
        <w:t>ите</w:t>
      </w:r>
      <w:r w:rsidR="00B15D09" w:rsidRPr="00610B1B">
        <w:rPr>
          <w:rFonts w:ascii="Times New Roman" w:hAnsi="Times New Roman" w:cs="Times New Roman"/>
          <w:bCs/>
          <w:sz w:val="24"/>
          <w:szCs w:val="24"/>
          <w:lang w:val="bg-BG"/>
        </w:rPr>
        <w:t xml:space="preserve"> в процеса на планирането, програмирането, ресурсното осигуряване, реализацията, наблюдението и оценката</w:t>
      </w:r>
      <w:r w:rsidR="00A36D74" w:rsidRPr="00610B1B">
        <w:rPr>
          <w:rFonts w:ascii="Times New Roman" w:hAnsi="Times New Roman" w:cs="Times New Roman"/>
          <w:bCs/>
          <w:sz w:val="24"/>
          <w:szCs w:val="24"/>
          <w:lang w:val="bg-BG"/>
        </w:rPr>
        <w:t xml:space="preserve">. Той изисква </w:t>
      </w:r>
      <w:r w:rsidR="00B15D09" w:rsidRPr="00610B1B">
        <w:rPr>
          <w:rFonts w:ascii="Times New Roman" w:hAnsi="Times New Roman" w:cs="Times New Roman"/>
          <w:bCs/>
          <w:sz w:val="24"/>
          <w:szCs w:val="24"/>
          <w:lang w:val="bg-BG"/>
        </w:rPr>
        <w:t xml:space="preserve">съгласуваност </w:t>
      </w:r>
      <w:r w:rsidR="00A36D74" w:rsidRPr="00610B1B">
        <w:rPr>
          <w:rFonts w:ascii="Times New Roman" w:hAnsi="Times New Roman" w:cs="Times New Roman"/>
          <w:bCs/>
          <w:sz w:val="24"/>
          <w:szCs w:val="24"/>
          <w:lang w:val="bg-BG"/>
        </w:rPr>
        <w:t xml:space="preserve">между </w:t>
      </w:r>
      <w:r w:rsidR="00B15D09" w:rsidRPr="00610B1B">
        <w:rPr>
          <w:rFonts w:ascii="Times New Roman" w:hAnsi="Times New Roman" w:cs="Times New Roman"/>
          <w:bCs/>
          <w:sz w:val="24"/>
          <w:szCs w:val="24"/>
          <w:lang w:val="bg-BG"/>
        </w:rPr>
        <w:t>секторни и хоризонтални политики, инструменти и действия на международно, национално, регионално и местно равнище</w:t>
      </w:r>
      <w:r w:rsidR="00A36D74" w:rsidRPr="00610B1B">
        <w:rPr>
          <w:rFonts w:ascii="Times New Roman" w:hAnsi="Times New Roman" w:cs="Times New Roman"/>
          <w:bCs/>
          <w:sz w:val="24"/>
          <w:szCs w:val="24"/>
          <w:lang w:val="bg-BG"/>
        </w:rPr>
        <w:t xml:space="preserve"> и прилагане на принципите за </w:t>
      </w:r>
      <w:r w:rsidR="00B15D09" w:rsidRPr="00610B1B">
        <w:rPr>
          <w:rFonts w:ascii="Times New Roman" w:hAnsi="Times New Roman" w:cs="Times New Roman"/>
          <w:bCs/>
          <w:sz w:val="24"/>
          <w:szCs w:val="24"/>
          <w:lang w:val="bg-BG"/>
        </w:rPr>
        <w:t xml:space="preserve">партньорство, публичност и прозрачност. Тези принципи са в основата и на морското пространствено планиране. </w:t>
      </w:r>
      <w:r w:rsidR="00A36D74" w:rsidRPr="00610B1B">
        <w:rPr>
          <w:rFonts w:ascii="Times New Roman" w:hAnsi="Times New Roman" w:cs="Times New Roman"/>
          <w:bCs/>
          <w:sz w:val="24"/>
          <w:szCs w:val="24"/>
          <w:lang w:val="bg-BG"/>
        </w:rPr>
        <w:t xml:space="preserve">Заедно с </w:t>
      </w:r>
      <w:r w:rsidR="00BF6C28" w:rsidRPr="00610B1B">
        <w:rPr>
          <w:rFonts w:ascii="Times New Roman" w:hAnsi="Times New Roman" w:cs="Times New Roman"/>
          <w:bCs/>
          <w:sz w:val="24"/>
          <w:szCs w:val="24"/>
          <w:lang w:val="bg-BG"/>
        </w:rPr>
        <w:t>Националната концепция за пространствено развитие</w:t>
      </w:r>
      <w:r w:rsidR="00A36D74" w:rsidRPr="00610B1B">
        <w:rPr>
          <w:rFonts w:ascii="Times New Roman" w:hAnsi="Times New Roman" w:cs="Times New Roman"/>
          <w:bCs/>
          <w:sz w:val="24"/>
          <w:szCs w:val="24"/>
          <w:lang w:val="bg-BG"/>
        </w:rPr>
        <w:t xml:space="preserve"> за периода 2013-2025 г. (Актуализация 2019 г.)</w:t>
      </w:r>
      <w:r w:rsidR="00BF6C28" w:rsidRPr="00610B1B">
        <w:rPr>
          <w:rFonts w:ascii="Times New Roman" w:hAnsi="Times New Roman" w:cs="Times New Roman"/>
          <w:bCs/>
          <w:sz w:val="24"/>
          <w:szCs w:val="24"/>
          <w:lang w:val="bg-BG"/>
        </w:rPr>
        <w:t xml:space="preserve"> и Морският пространствен план координира секторните и хоризонталните политики. Двата документа са свързани </w:t>
      </w:r>
      <w:r w:rsidR="00110E77" w:rsidRPr="00610B1B">
        <w:rPr>
          <w:rFonts w:ascii="Times New Roman" w:hAnsi="Times New Roman" w:cs="Times New Roman"/>
          <w:bCs/>
          <w:sz w:val="24"/>
          <w:szCs w:val="24"/>
          <w:lang w:val="bg-BG"/>
        </w:rPr>
        <w:t xml:space="preserve">с </w:t>
      </w:r>
      <w:r w:rsidR="00BF6C28" w:rsidRPr="00610B1B">
        <w:rPr>
          <w:rFonts w:ascii="Times New Roman" w:hAnsi="Times New Roman" w:cs="Times New Roman"/>
          <w:bCs/>
          <w:sz w:val="24"/>
          <w:szCs w:val="24"/>
          <w:lang w:val="bg-BG"/>
        </w:rPr>
        <w:t xml:space="preserve">националните секторни </w:t>
      </w:r>
      <w:r w:rsidR="00A36D74" w:rsidRPr="00610B1B">
        <w:rPr>
          <w:rFonts w:ascii="Times New Roman" w:hAnsi="Times New Roman" w:cs="Times New Roman"/>
          <w:bCs/>
          <w:sz w:val="24"/>
          <w:szCs w:val="24"/>
          <w:lang w:val="bg-BG"/>
        </w:rPr>
        <w:t>документи</w:t>
      </w:r>
      <w:r w:rsidR="00BF6C28" w:rsidRPr="00610B1B">
        <w:rPr>
          <w:rFonts w:ascii="Times New Roman" w:hAnsi="Times New Roman" w:cs="Times New Roman"/>
          <w:bCs/>
          <w:sz w:val="24"/>
          <w:szCs w:val="24"/>
          <w:lang w:val="bg-BG"/>
        </w:rPr>
        <w:t xml:space="preserve"> и задават насоките за развитие на по-ниските йерархични нива </w:t>
      </w:r>
      <w:r w:rsidR="00110E77" w:rsidRPr="00610B1B">
        <w:rPr>
          <w:rFonts w:ascii="Times New Roman" w:hAnsi="Times New Roman" w:cs="Times New Roman"/>
          <w:bCs/>
          <w:sz w:val="24"/>
          <w:szCs w:val="24"/>
          <w:lang w:val="bg-BG"/>
        </w:rPr>
        <w:t>– двата региона за планиране от ниво 2 (СИР и ЮИР), неформалните райони и зони, включително и тези за трансгранично сътрудничество, общините, разположени на крайбрежието, чието развитие ползва всички предимства от контакта с морето.</w:t>
      </w:r>
      <w:r w:rsidR="00D66FE0" w:rsidRPr="00610B1B">
        <w:rPr>
          <w:rFonts w:ascii="Times New Roman" w:hAnsi="Times New Roman" w:cs="Times New Roman"/>
          <w:bCs/>
          <w:sz w:val="24"/>
          <w:szCs w:val="24"/>
          <w:lang w:val="bg-BG"/>
        </w:rPr>
        <w:t xml:space="preserve"> </w:t>
      </w:r>
    </w:p>
    <w:p w14:paraId="15559386" w14:textId="159A1F77" w:rsidR="00802BCE" w:rsidRPr="00610B1B" w:rsidRDefault="00802BCE" w:rsidP="00D32D6A">
      <w:pPr>
        <w:spacing w:after="120"/>
        <w:ind w:right="-153"/>
        <w:jc w:val="both"/>
        <w:rPr>
          <w:rFonts w:ascii="Times New Roman" w:hAnsi="Times New Roman" w:cs="Times New Roman"/>
          <w:b/>
          <w:sz w:val="24"/>
          <w:szCs w:val="24"/>
          <w:lang w:val="bg-BG"/>
        </w:rPr>
      </w:pPr>
      <w:r w:rsidRPr="00610B1B">
        <w:rPr>
          <w:rFonts w:ascii="Times New Roman" w:hAnsi="Times New Roman" w:cs="Times New Roman"/>
          <w:b/>
          <w:sz w:val="24"/>
          <w:szCs w:val="24"/>
          <w:lang w:val="bg-BG"/>
        </w:rPr>
        <w:t>Законът за устройство на територията</w:t>
      </w:r>
      <w:r w:rsidRPr="00610B1B">
        <w:rPr>
          <w:rStyle w:val="FootnoteReference"/>
          <w:rFonts w:ascii="Times New Roman" w:hAnsi="Times New Roman" w:cs="Times New Roman"/>
          <w:b/>
          <w:sz w:val="24"/>
          <w:szCs w:val="24"/>
          <w:lang w:val="bg-BG"/>
        </w:rPr>
        <w:footnoteReference w:id="43"/>
      </w:r>
      <w:r w:rsidRPr="00610B1B">
        <w:rPr>
          <w:rFonts w:ascii="Times New Roman" w:hAnsi="Times New Roman" w:cs="Times New Roman"/>
          <w:b/>
          <w:sz w:val="24"/>
          <w:szCs w:val="24"/>
          <w:lang w:val="bg-BG"/>
        </w:rPr>
        <w:t xml:space="preserve"> </w:t>
      </w:r>
      <w:r w:rsidR="00634C54" w:rsidRPr="00610B1B">
        <w:rPr>
          <w:rFonts w:ascii="Times New Roman" w:hAnsi="Times New Roman" w:cs="Times New Roman"/>
          <w:bCs/>
          <w:sz w:val="24"/>
          <w:szCs w:val="24"/>
          <w:lang w:val="bg-BG"/>
        </w:rPr>
        <w:t xml:space="preserve">обединява пространственото планиране, инвестиционното проектиране, строителството и контрола като важни елементи на </w:t>
      </w:r>
      <w:r w:rsidR="0093127F" w:rsidRPr="00610B1B">
        <w:rPr>
          <w:rFonts w:ascii="Times New Roman" w:hAnsi="Times New Roman" w:cs="Times New Roman"/>
          <w:bCs/>
          <w:sz w:val="24"/>
          <w:szCs w:val="24"/>
          <w:lang w:val="bg-BG"/>
        </w:rPr>
        <w:t xml:space="preserve">процеса на създаване на застроената околна среда и </w:t>
      </w:r>
      <w:r w:rsidR="00634C54" w:rsidRPr="00610B1B">
        <w:rPr>
          <w:rFonts w:ascii="Times New Roman" w:hAnsi="Times New Roman" w:cs="Times New Roman"/>
          <w:bCs/>
          <w:sz w:val="24"/>
          <w:szCs w:val="24"/>
          <w:lang w:val="bg-BG"/>
        </w:rPr>
        <w:t xml:space="preserve">определя ангажиментите на </w:t>
      </w:r>
      <w:r w:rsidR="0093127F" w:rsidRPr="00610B1B">
        <w:rPr>
          <w:rFonts w:ascii="Times New Roman" w:hAnsi="Times New Roman" w:cs="Times New Roman"/>
          <w:bCs/>
          <w:sz w:val="24"/>
          <w:szCs w:val="24"/>
          <w:lang w:val="bg-BG"/>
        </w:rPr>
        <w:t xml:space="preserve">отговорните </w:t>
      </w:r>
      <w:r w:rsidR="00634C54" w:rsidRPr="00610B1B">
        <w:rPr>
          <w:rFonts w:ascii="Times New Roman" w:hAnsi="Times New Roman" w:cs="Times New Roman"/>
          <w:bCs/>
          <w:sz w:val="24"/>
          <w:szCs w:val="24"/>
          <w:lang w:val="bg-BG"/>
        </w:rPr>
        <w:t xml:space="preserve">институции в </w:t>
      </w:r>
      <w:r w:rsidR="0093127F" w:rsidRPr="00610B1B">
        <w:rPr>
          <w:rFonts w:ascii="Times New Roman" w:hAnsi="Times New Roman" w:cs="Times New Roman"/>
          <w:bCs/>
          <w:sz w:val="24"/>
          <w:szCs w:val="24"/>
          <w:lang w:val="bg-BG"/>
        </w:rPr>
        <w:t>този процес.</w:t>
      </w:r>
      <w:r w:rsidR="00D66FE0" w:rsidRPr="00610B1B">
        <w:rPr>
          <w:rFonts w:ascii="Times New Roman" w:hAnsi="Times New Roman" w:cs="Times New Roman"/>
          <w:bCs/>
          <w:sz w:val="24"/>
          <w:szCs w:val="24"/>
          <w:lang w:val="bg-BG"/>
        </w:rPr>
        <w:t xml:space="preserve"> </w:t>
      </w:r>
      <w:r w:rsidR="003A2389" w:rsidRPr="00610B1B">
        <w:rPr>
          <w:rFonts w:ascii="Times New Roman" w:hAnsi="Times New Roman" w:cs="Times New Roman"/>
          <w:bCs/>
          <w:sz w:val="24"/>
          <w:szCs w:val="24"/>
          <w:lang w:val="bg-BG"/>
        </w:rPr>
        <w:t xml:space="preserve">Законът се свързва с морското пространствено планиране </w:t>
      </w:r>
      <w:r w:rsidR="00126CF5" w:rsidRPr="00610B1B">
        <w:rPr>
          <w:rFonts w:ascii="Times New Roman" w:hAnsi="Times New Roman" w:cs="Times New Roman"/>
          <w:bCs/>
          <w:sz w:val="24"/>
          <w:szCs w:val="24"/>
          <w:lang w:val="bg-BG"/>
        </w:rPr>
        <w:t xml:space="preserve">посредством правилата за възлагане, разработване, одобряване и прилагане на общите устройствени планове на черноморските общини, подробните устройствени планове на пристанищата, инвестиционните проекти за овладяване </w:t>
      </w:r>
      <w:r w:rsidR="003A2389" w:rsidRPr="00610B1B">
        <w:rPr>
          <w:rFonts w:ascii="Times New Roman" w:hAnsi="Times New Roman" w:cs="Times New Roman"/>
          <w:bCs/>
          <w:sz w:val="24"/>
          <w:szCs w:val="24"/>
          <w:lang w:val="bg-BG"/>
        </w:rPr>
        <w:t>на свлачищните, ерозионните и абразионните процеси</w:t>
      </w:r>
      <w:r w:rsidR="00126CF5" w:rsidRPr="00610B1B">
        <w:rPr>
          <w:rFonts w:ascii="Times New Roman" w:hAnsi="Times New Roman" w:cs="Times New Roman"/>
          <w:bCs/>
          <w:sz w:val="24"/>
          <w:szCs w:val="24"/>
          <w:lang w:val="bg-BG"/>
        </w:rPr>
        <w:t xml:space="preserve"> и за изграждането на техническата инфраструктура.</w:t>
      </w:r>
    </w:p>
    <w:p w14:paraId="01EBB954" w14:textId="4D7399BB" w:rsidR="009D7337" w:rsidRPr="00610B1B" w:rsidRDefault="008152C1"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Законът за устройство на Черноморското крайбрежие</w:t>
      </w:r>
      <w:r w:rsidR="000D13E1" w:rsidRPr="00610B1B">
        <w:rPr>
          <w:rStyle w:val="FootnoteReference"/>
          <w:rFonts w:ascii="Times New Roman" w:hAnsi="Times New Roman" w:cs="Times New Roman"/>
          <w:bCs/>
          <w:sz w:val="24"/>
          <w:szCs w:val="24"/>
          <w:lang w:val="bg-BG"/>
        </w:rPr>
        <w:footnoteReference w:id="44"/>
      </w:r>
      <w:r w:rsidR="00110E77" w:rsidRPr="00610B1B">
        <w:rPr>
          <w:rFonts w:ascii="Times New Roman" w:hAnsi="Times New Roman" w:cs="Times New Roman"/>
          <w:bCs/>
          <w:sz w:val="24"/>
          <w:szCs w:val="24"/>
          <w:lang w:val="bg-BG"/>
        </w:rPr>
        <w:t xml:space="preserve"> </w:t>
      </w:r>
      <w:r w:rsidR="000D13E1" w:rsidRPr="00610B1B">
        <w:rPr>
          <w:rFonts w:ascii="Times New Roman" w:hAnsi="Times New Roman" w:cs="Times New Roman"/>
          <w:bCs/>
          <w:sz w:val="24"/>
          <w:szCs w:val="24"/>
          <w:lang w:val="bg-BG"/>
        </w:rPr>
        <w:t>урежда обществените отношения</w:t>
      </w:r>
      <w:r w:rsidR="00825C6F" w:rsidRPr="00610B1B">
        <w:rPr>
          <w:rFonts w:ascii="Times New Roman" w:hAnsi="Times New Roman" w:cs="Times New Roman"/>
          <w:bCs/>
          <w:sz w:val="24"/>
          <w:szCs w:val="24"/>
          <w:lang w:val="bg-BG"/>
        </w:rPr>
        <w:t xml:space="preserve"> в</w:t>
      </w:r>
      <w:r w:rsidR="000D13E1" w:rsidRPr="00610B1B">
        <w:rPr>
          <w:rFonts w:ascii="Times New Roman" w:hAnsi="Times New Roman" w:cs="Times New Roman"/>
          <w:bCs/>
          <w:sz w:val="24"/>
          <w:szCs w:val="24"/>
          <w:lang w:val="bg-BG"/>
        </w:rPr>
        <w:t xml:space="preserve"> обхвата на Черноморското крайбрежие и плажната ивица; правомощията и координацията на дейността на централните и териториалните органи на изпълнителната и местната власт, правилата и нормативите за устройство, ползване, застрояване и опазване на Черноморското крайбрежие</w:t>
      </w:r>
      <w:r w:rsidR="004436CF" w:rsidRPr="00610B1B">
        <w:rPr>
          <w:rFonts w:ascii="Times New Roman" w:hAnsi="Times New Roman" w:cs="Times New Roman"/>
          <w:bCs/>
          <w:sz w:val="24"/>
          <w:szCs w:val="24"/>
          <w:lang w:val="bg-BG"/>
        </w:rPr>
        <w:t xml:space="preserve">, </w:t>
      </w:r>
      <w:r w:rsidR="000D13E1" w:rsidRPr="00610B1B">
        <w:rPr>
          <w:rFonts w:ascii="Times New Roman" w:hAnsi="Times New Roman" w:cs="Times New Roman"/>
          <w:bCs/>
          <w:sz w:val="24"/>
          <w:szCs w:val="24"/>
          <w:lang w:val="bg-BG"/>
        </w:rPr>
        <w:t>управлението на плажовете и предоставянето на услуги. Той цели да осигури интегрирано и координирано управление на крайбрежните зони; публич</w:t>
      </w:r>
      <w:r w:rsidR="00825C6F" w:rsidRPr="00610B1B">
        <w:rPr>
          <w:rFonts w:ascii="Times New Roman" w:hAnsi="Times New Roman" w:cs="Times New Roman"/>
          <w:bCs/>
          <w:sz w:val="24"/>
          <w:szCs w:val="24"/>
          <w:lang w:val="bg-BG"/>
        </w:rPr>
        <w:t>е</w:t>
      </w:r>
      <w:r w:rsidR="000D13E1" w:rsidRPr="00610B1B">
        <w:rPr>
          <w:rFonts w:ascii="Times New Roman" w:hAnsi="Times New Roman" w:cs="Times New Roman"/>
          <w:bCs/>
          <w:sz w:val="24"/>
          <w:szCs w:val="24"/>
          <w:lang w:val="bg-BG"/>
        </w:rPr>
        <w:t xml:space="preserve">н достъп до морските плажове; опазване, съхраняване и разумно използване </w:t>
      </w:r>
      <w:r w:rsidR="000D13E1" w:rsidRPr="00610B1B">
        <w:rPr>
          <w:rFonts w:ascii="Times New Roman" w:hAnsi="Times New Roman" w:cs="Times New Roman"/>
          <w:bCs/>
          <w:sz w:val="24"/>
          <w:szCs w:val="24"/>
          <w:lang w:val="bg-BG"/>
        </w:rPr>
        <w:lastRenderedPageBreak/>
        <w:t>на природните ресурси; предотвратяване и намаляване на замърсяването на Черноморското крайбрежие; защита на морския бряг от ерозия, абразия и свлачищни процеси; възстановяване и опазване на естествения ландшафт и културно</w:t>
      </w:r>
      <w:r w:rsidR="00825C6F" w:rsidRPr="00610B1B">
        <w:rPr>
          <w:rFonts w:ascii="Times New Roman" w:hAnsi="Times New Roman" w:cs="Times New Roman"/>
          <w:bCs/>
          <w:sz w:val="24"/>
          <w:szCs w:val="24"/>
          <w:lang w:val="bg-BG"/>
        </w:rPr>
        <w:t>то</w:t>
      </w:r>
      <w:r w:rsidR="000D13E1" w:rsidRPr="00610B1B">
        <w:rPr>
          <w:rFonts w:ascii="Times New Roman" w:hAnsi="Times New Roman" w:cs="Times New Roman"/>
          <w:bCs/>
          <w:sz w:val="24"/>
          <w:szCs w:val="24"/>
          <w:lang w:val="bg-BG"/>
        </w:rPr>
        <w:t xml:space="preserve"> наследство.</w:t>
      </w:r>
      <w:r w:rsidR="00126CF5" w:rsidRPr="00610B1B">
        <w:rPr>
          <w:rFonts w:ascii="Times New Roman" w:hAnsi="Times New Roman" w:cs="Times New Roman"/>
          <w:bCs/>
          <w:sz w:val="24"/>
          <w:szCs w:val="24"/>
          <w:lang w:val="bg-BG"/>
        </w:rPr>
        <w:t xml:space="preserve"> </w:t>
      </w:r>
      <w:r w:rsidR="009D7337" w:rsidRPr="00610B1B">
        <w:rPr>
          <w:rFonts w:ascii="Times New Roman" w:hAnsi="Times New Roman" w:cs="Times New Roman"/>
          <w:bCs/>
          <w:sz w:val="24"/>
          <w:szCs w:val="24"/>
          <w:lang w:val="bg-BG"/>
        </w:rPr>
        <w:t>Към крайбрежието попада</w:t>
      </w:r>
      <w:r w:rsidR="004436CF" w:rsidRPr="00610B1B">
        <w:rPr>
          <w:rFonts w:ascii="Times New Roman" w:hAnsi="Times New Roman" w:cs="Times New Roman"/>
          <w:bCs/>
          <w:sz w:val="24"/>
          <w:szCs w:val="24"/>
          <w:lang w:val="bg-BG"/>
        </w:rPr>
        <w:t xml:space="preserve"> и</w:t>
      </w:r>
      <w:r w:rsidR="009D7337" w:rsidRPr="00610B1B">
        <w:rPr>
          <w:rFonts w:ascii="Times New Roman" w:hAnsi="Times New Roman" w:cs="Times New Roman"/>
          <w:bCs/>
          <w:sz w:val="24"/>
          <w:szCs w:val="24"/>
          <w:lang w:val="bg-BG"/>
        </w:rPr>
        <w:t xml:space="preserve"> 200 метровата зона от акваторията, измерена от бреговата линия</w:t>
      </w:r>
      <w:r w:rsidR="004436CF" w:rsidRPr="00610B1B">
        <w:rPr>
          <w:rFonts w:ascii="Times New Roman" w:hAnsi="Times New Roman" w:cs="Times New Roman"/>
          <w:bCs/>
          <w:sz w:val="24"/>
          <w:szCs w:val="24"/>
          <w:lang w:val="bg-BG"/>
        </w:rPr>
        <w:t>, която се използва активно за рекреация и водни спортове</w:t>
      </w:r>
      <w:r w:rsidR="009D7337" w:rsidRPr="00610B1B">
        <w:rPr>
          <w:rFonts w:ascii="Times New Roman" w:hAnsi="Times New Roman" w:cs="Times New Roman"/>
          <w:bCs/>
          <w:sz w:val="24"/>
          <w:szCs w:val="24"/>
          <w:lang w:val="bg-BG"/>
        </w:rPr>
        <w:t xml:space="preserve">. </w:t>
      </w:r>
    </w:p>
    <w:p w14:paraId="5413C7DE" w14:textId="6E7B33E0" w:rsidR="009D7337" w:rsidRPr="00610B1B" w:rsidRDefault="009D7337"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Собствеността върху плажовете е изключителна държавна</w:t>
      </w:r>
      <w:r w:rsidR="006956E0" w:rsidRPr="00610B1B">
        <w:rPr>
          <w:rFonts w:ascii="Times New Roman" w:hAnsi="Times New Roman" w:cs="Times New Roman"/>
          <w:bCs/>
          <w:sz w:val="24"/>
          <w:szCs w:val="24"/>
          <w:lang w:val="bg-BG"/>
        </w:rPr>
        <w:t>, те могат да се отдават на концесия за срок от 20 години</w:t>
      </w:r>
      <w:r w:rsidRPr="00610B1B">
        <w:rPr>
          <w:rFonts w:ascii="Times New Roman" w:hAnsi="Times New Roman" w:cs="Times New Roman"/>
          <w:bCs/>
          <w:sz w:val="24"/>
          <w:szCs w:val="24"/>
          <w:lang w:val="bg-BG"/>
        </w:rPr>
        <w:t>. Публична държавна собственост, която не може да бъде обявена за частна, освен плажовете</w:t>
      </w:r>
      <w:r w:rsidR="00016AB5"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w:t>
      </w:r>
      <w:r w:rsidR="0085174B" w:rsidRPr="00610B1B">
        <w:rPr>
          <w:rFonts w:ascii="Times New Roman" w:hAnsi="Times New Roman" w:cs="Times New Roman"/>
          <w:bCs/>
          <w:sz w:val="24"/>
          <w:szCs w:val="24"/>
          <w:lang w:val="bg-BG"/>
        </w:rPr>
        <w:t>са</w:t>
      </w:r>
      <w:r w:rsidRPr="00610B1B">
        <w:rPr>
          <w:rFonts w:ascii="Times New Roman" w:hAnsi="Times New Roman" w:cs="Times New Roman"/>
          <w:bCs/>
          <w:sz w:val="24"/>
          <w:szCs w:val="24"/>
          <w:lang w:val="bg-BG"/>
        </w:rPr>
        <w:t xml:space="preserve"> брегоукрепителни и брегозащитни системи и съоръжения за предпазване от вредното въздействие на водите, изградени в имоти</w:t>
      </w:r>
      <w:r w:rsidR="004436CF"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w:t>
      </w:r>
      <w:r w:rsidR="004436CF" w:rsidRPr="00610B1B">
        <w:rPr>
          <w:rFonts w:ascii="Times New Roman" w:hAnsi="Times New Roman" w:cs="Times New Roman"/>
          <w:bCs/>
          <w:sz w:val="24"/>
          <w:szCs w:val="24"/>
          <w:lang w:val="bg-BG"/>
        </w:rPr>
        <w:t>д</w:t>
      </w:r>
      <w:r w:rsidRPr="00610B1B">
        <w:rPr>
          <w:rFonts w:ascii="Times New Roman" w:hAnsi="Times New Roman" w:cs="Times New Roman"/>
          <w:bCs/>
          <w:sz w:val="24"/>
          <w:szCs w:val="24"/>
          <w:lang w:val="bg-BG"/>
        </w:rPr>
        <w:t xml:space="preserve">ържавна собственост, извън населените места; прилежащите крайбрежни езера, лагуни, лимани и влажни зони; пясъчните дюни; островите, включително и създадените в резултат на човешка дейност. </w:t>
      </w:r>
      <w:r w:rsidR="004436CF" w:rsidRPr="00610B1B">
        <w:rPr>
          <w:rFonts w:ascii="Times New Roman" w:hAnsi="Times New Roman" w:cs="Times New Roman"/>
          <w:bCs/>
          <w:sz w:val="24"/>
          <w:szCs w:val="24"/>
          <w:lang w:val="bg-BG"/>
        </w:rPr>
        <w:t>Б</w:t>
      </w:r>
      <w:r w:rsidRPr="00610B1B">
        <w:rPr>
          <w:rFonts w:ascii="Times New Roman" w:hAnsi="Times New Roman" w:cs="Times New Roman"/>
          <w:bCs/>
          <w:sz w:val="24"/>
          <w:szCs w:val="24"/>
          <w:lang w:val="bg-BG"/>
        </w:rPr>
        <w:t>регозащитни</w:t>
      </w:r>
      <w:r w:rsidR="004436CF" w:rsidRPr="00610B1B">
        <w:rPr>
          <w:rFonts w:ascii="Times New Roman" w:hAnsi="Times New Roman" w:cs="Times New Roman"/>
          <w:bCs/>
          <w:sz w:val="24"/>
          <w:szCs w:val="24"/>
          <w:lang w:val="bg-BG"/>
        </w:rPr>
        <w:t>те</w:t>
      </w:r>
      <w:r w:rsidRPr="00610B1B">
        <w:rPr>
          <w:rFonts w:ascii="Times New Roman" w:hAnsi="Times New Roman" w:cs="Times New Roman"/>
          <w:bCs/>
          <w:sz w:val="24"/>
          <w:szCs w:val="24"/>
          <w:lang w:val="bg-BG"/>
        </w:rPr>
        <w:t xml:space="preserve"> и брегоукрепителни</w:t>
      </w:r>
      <w:r w:rsidR="004436CF" w:rsidRPr="00610B1B">
        <w:rPr>
          <w:rFonts w:ascii="Times New Roman" w:hAnsi="Times New Roman" w:cs="Times New Roman"/>
          <w:bCs/>
          <w:sz w:val="24"/>
          <w:szCs w:val="24"/>
          <w:lang w:val="bg-BG"/>
        </w:rPr>
        <w:t>те</w:t>
      </w:r>
      <w:r w:rsidRPr="00610B1B">
        <w:rPr>
          <w:rFonts w:ascii="Times New Roman" w:hAnsi="Times New Roman" w:cs="Times New Roman"/>
          <w:bCs/>
          <w:sz w:val="24"/>
          <w:szCs w:val="24"/>
          <w:lang w:val="bg-BG"/>
        </w:rPr>
        <w:t xml:space="preserve"> съоръжения, извън обхвата на имотите, държавна собственост</w:t>
      </w:r>
      <w:r w:rsidR="006956E0" w:rsidRPr="00610B1B">
        <w:rPr>
          <w:rFonts w:ascii="Times New Roman" w:hAnsi="Times New Roman" w:cs="Times New Roman"/>
          <w:bCs/>
          <w:sz w:val="24"/>
          <w:szCs w:val="24"/>
          <w:lang w:val="bg-BG"/>
        </w:rPr>
        <w:t>,</w:t>
      </w:r>
      <w:r w:rsidR="004436CF" w:rsidRPr="00610B1B">
        <w:rPr>
          <w:rFonts w:ascii="Times New Roman" w:hAnsi="Times New Roman" w:cs="Times New Roman"/>
          <w:bCs/>
          <w:sz w:val="24"/>
          <w:szCs w:val="24"/>
          <w:lang w:val="bg-BG"/>
        </w:rPr>
        <w:t xml:space="preserve"> са публична общинска собственост</w:t>
      </w:r>
      <w:r w:rsidRPr="00610B1B">
        <w:rPr>
          <w:rFonts w:ascii="Times New Roman" w:hAnsi="Times New Roman" w:cs="Times New Roman"/>
          <w:bCs/>
          <w:sz w:val="24"/>
          <w:szCs w:val="24"/>
          <w:lang w:val="bg-BG"/>
        </w:rPr>
        <w:t>.</w:t>
      </w:r>
      <w:r w:rsidR="00D07D69" w:rsidRPr="00610B1B">
        <w:rPr>
          <w:rFonts w:ascii="Times New Roman" w:hAnsi="Times New Roman" w:cs="Times New Roman"/>
          <w:lang w:val="bg-BG"/>
        </w:rPr>
        <w:t xml:space="preserve"> </w:t>
      </w:r>
    </w:p>
    <w:p w14:paraId="181D4D6A" w14:textId="60B309A0" w:rsidR="00D07D69" w:rsidRPr="00610B1B" w:rsidRDefault="000D13E1"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Със </w:t>
      </w:r>
      <w:r w:rsidR="00D07D69" w:rsidRPr="00610B1B">
        <w:rPr>
          <w:rFonts w:ascii="Times New Roman" w:hAnsi="Times New Roman" w:cs="Times New Roman"/>
          <w:bCs/>
          <w:sz w:val="24"/>
          <w:szCs w:val="24"/>
          <w:lang w:val="bg-BG"/>
        </w:rPr>
        <w:t xml:space="preserve">ЗУЧК </w:t>
      </w:r>
      <w:r w:rsidRPr="00610B1B">
        <w:rPr>
          <w:rFonts w:ascii="Times New Roman" w:hAnsi="Times New Roman" w:cs="Times New Roman"/>
          <w:bCs/>
          <w:sz w:val="24"/>
          <w:szCs w:val="24"/>
          <w:lang w:val="bg-BG"/>
        </w:rPr>
        <w:t>са определени зоните</w:t>
      </w:r>
      <w:r w:rsidR="00857179" w:rsidRPr="00610B1B">
        <w:rPr>
          <w:rFonts w:ascii="Times New Roman" w:hAnsi="Times New Roman" w:cs="Times New Roman"/>
          <w:bCs/>
          <w:sz w:val="24"/>
          <w:szCs w:val="24"/>
          <w:lang w:val="bg-BG"/>
        </w:rPr>
        <w:t xml:space="preserve"> с </w:t>
      </w:r>
      <w:r w:rsidRPr="00610B1B">
        <w:rPr>
          <w:rFonts w:ascii="Times New Roman" w:hAnsi="Times New Roman" w:cs="Times New Roman"/>
          <w:bCs/>
          <w:sz w:val="24"/>
          <w:szCs w:val="24"/>
          <w:lang w:val="bg-BG"/>
        </w:rPr>
        <w:t xml:space="preserve">различни режими </w:t>
      </w:r>
      <w:r w:rsidR="009D7337" w:rsidRPr="00610B1B">
        <w:rPr>
          <w:rFonts w:ascii="Times New Roman" w:hAnsi="Times New Roman" w:cs="Times New Roman"/>
          <w:bCs/>
          <w:sz w:val="24"/>
          <w:szCs w:val="24"/>
          <w:lang w:val="bg-BG"/>
        </w:rPr>
        <w:t xml:space="preserve">на устройство </w:t>
      </w:r>
      <w:r w:rsidRPr="00610B1B">
        <w:rPr>
          <w:rFonts w:ascii="Times New Roman" w:hAnsi="Times New Roman" w:cs="Times New Roman"/>
          <w:bCs/>
          <w:sz w:val="24"/>
          <w:szCs w:val="24"/>
          <w:lang w:val="bg-BG"/>
        </w:rPr>
        <w:t xml:space="preserve">в съответствие с тяхната привлекателност, чувствителност и натовареност. </w:t>
      </w:r>
      <w:r w:rsidR="00D07D69" w:rsidRPr="00610B1B">
        <w:rPr>
          <w:rFonts w:ascii="Times New Roman" w:hAnsi="Times New Roman" w:cs="Times New Roman"/>
          <w:bCs/>
          <w:sz w:val="24"/>
          <w:szCs w:val="24"/>
          <w:lang w:val="bg-BG"/>
        </w:rPr>
        <w:t xml:space="preserve">Зона </w:t>
      </w:r>
      <w:r w:rsidR="002F377F" w:rsidRPr="00610B1B">
        <w:rPr>
          <w:rFonts w:ascii="Times New Roman" w:hAnsi="Times New Roman" w:cs="Times New Roman"/>
          <w:bCs/>
          <w:sz w:val="24"/>
          <w:szCs w:val="24"/>
          <w:lang w:val="bg-BG"/>
        </w:rPr>
        <w:t>„А“</w:t>
      </w:r>
      <w:r w:rsidR="00D07D69" w:rsidRPr="00610B1B">
        <w:rPr>
          <w:rFonts w:ascii="Times New Roman" w:hAnsi="Times New Roman" w:cs="Times New Roman"/>
          <w:bCs/>
          <w:sz w:val="24"/>
          <w:szCs w:val="24"/>
          <w:lang w:val="bg-BG"/>
        </w:rPr>
        <w:t>, с режим на особена териториалноустройствена защита обхваща частта на акваторията на Черно море</w:t>
      </w:r>
      <w:r w:rsidR="00D66FE0" w:rsidRPr="00610B1B">
        <w:rPr>
          <w:rFonts w:ascii="Times New Roman" w:hAnsi="Times New Roman" w:cs="Times New Roman"/>
          <w:bCs/>
          <w:sz w:val="24"/>
          <w:szCs w:val="24"/>
          <w:lang w:val="bg-BG"/>
        </w:rPr>
        <w:t xml:space="preserve"> </w:t>
      </w:r>
      <w:r w:rsidR="00D07D69" w:rsidRPr="00610B1B">
        <w:rPr>
          <w:rFonts w:ascii="Times New Roman" w:hAnsi="Times New Roman" w:cs="Times New Roman"/>
          <w:bCs/>
          <w:sz w:val="24"/>
          <w:szCs w:val="24"/>
          <w:lang w:val="bg-BG"/>
        </w:rPr>
        <w:t xml:space="preserve">с широчина 200 m, измерена от бреговата линия, крайбрежната плажна ивица и част от територията, попадаща в ивица с широчина 100 m извън населените места, измерена по хоризонтала от границите на морския бряг или на морските плажове. Зона </w:t>
      </w:r>
      <w:r w:rsidR="002F377F" w:rsidRPr="00610B1B">
        <w:rPr>
          <w:rFonts w:ascii="Times New Roman" w:hAnsi="Times New Roman" w:cs="Times New Roman"/>
          <w:bCs/>
          <w:sz w:val="24"/>
          <w:szCs w:val="24"/>
          <w:lang w:val="bg-BG"/>
        </w:rPr>
        <w:t>„Б“</w:t>
      </w:r>
      <w:r w:rsidR="00D07D69" w:rsidRPr="00610B1B">
        <w:rPr>
          <w:rFonts w:ascii="Times New Roman" w:hAnsi="Times New Roman" w:cs="Times New Roman"/>
          <w:bCs/>
          <w:sz w:val="24"/>
          <w:szCs w:val="24"/>
          <w:lang w:val="bg-BG"/>
        </w:rPr>
        <w:t xml:space="preserve">, със специфични характеристики и специален режим за опазване на териториалните ресурси, обхваща териториите в ивицата с широчина 2 km от границата на зона </w:t>
      </w:r>
      <w:r w:rsidR="002F377F" w:rsidRPr="00610B1B">
        <w:rPr>
          <w:rFonts w:ascii="Times New Roman" w:hAnsi="Times New Roman" w:cs="Times New Roman"/>
          <w:bCs/>
          <w:sz w:val="24"/>
          <w:szCs w:val="24"/>
          <w:lang w:val="bg-BG"/>
        </w:rPr>
        <w:t>„А“</w:t>
      </w:r>
      <w:r w:rsidR="00D07D69" w:rsidRPr="00610B1B">
        <w:rPr>
          <w:rFonts w:ascii="Times New Roman" w:hAnsi="Times New Roman" w:cs="Times New Roman"/>
          <w:bCs/>
          <w:sz w:val="24"/>
          <w:szCs w:val="24"/>
          <w:lang w:val="bg-BG"/>
        </w:rPr>
        <w:t>, с изключение на урбанизиранит</w:t>
      </w:r>
      <w:r w:rsidR="0037269C" w:rsidRPr="00610B1B">
        <w:rPr>
          <w:rFonts w:ascii="Times New Roman" w:hAnsi="Times New Roman" w:cs="Times New Roman"/>
          <w:bCs/>
          <w:sz w:val="24"/>
          <w:szCs w:val="24"/>
          <w:lang w:val="bg-BG"/>
        </w:rPr>
        <w:t>е територии</w:t>
      </w:r>
      <w:r w:rsidR="00D07D69" w:rsidRPr="00610B1B">
        <w:rPr>
          <w:rFonts w:ascii="Times New Roman" w:hAnsi="Times New Roman" w:cs="Times New Roman"/>
          <w:bCs/>
          <w:sz w:val="24"/>
          <w:szCs w:val="24"/>
          <w:lang w:val="bg-BG"/>
        </w:rPr>
        <w:t>.</w:t>
      </w:r>
      <w:r w:rsidR="003B00FD" w:rsidRPr="00610B1B">
        <w:rPr>
          <w:rFonts w:ascii="Times New Roman" w:hAnsi="Times New Roman" w:cs="Times New Roman"/>
          <w:bCs/>
          <w:sz w:val="24"/>
          <w:szCs w:val="24"/>
          <w:lang w:val="bg-BG"/>
        </w:rPr>
        <w:t xml:space="preserve"> </w:t>
      </w:r>
      <w:r w:rsidR="00857179" w:rsidRPr="00610B1B">
        <w:rPr>
          <w:rFonts w:ascii="Times New Roman" w:hAnsi="Times New Roman" w:cs="Times New Roman"/>
          <w:bCs/>
          <w:i/>
          <w:iCs/>
          <w:sz w:val="24"/>
          <w:szCs w:val="24"/>
          <w:lang w:val="bg-BG"/>
        </w:rPr>
        <w:t>Именно в</w:t>
      </w:r>
      <w:r w:rsidR="003B00FD" w:rsidRPr="00610B1B">
        <w:rPr>
          <w:rFonts w:ascii="Times New Roman" w:hAnsi="Times New Roman" w:cs="Times New Roman"/>
          <w:bCs/>
          <w:i/>
          <w:iCs/>
          <w:sz w:val="24"/>
          <w:szCs w:val="24"/>
          <w:lang w:val="bg-BG"/>
        </w:rPr>
        <w:t xml:space="preserve"> тези граници на двете зони са търсени най-важните взаимодействия между пространственото планиране на територията и в акваторията. </w:t>
      </w:r>
    </w:p>
    <w:p w14:paraId="46C3734D" w14:textId="1638F01B" w:rsidR="002478BD" w:rsidRPr="00610B1B" w:rsidRDefault="008152C1"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Законът за биологичното разнообразие</w:t>
      </w:r>
      <w:r w:rsidR="003B00FD" w:rsidRPr="00610B1B">
        <w:rPr>
          <w:rStyle w:val="FootnoteReference"/>
          <w:rFonts w:ascii="Times New Roman" w:hAnsi="Times New Roman" w:cs="Times New Roman"/>
          <w:bCs/>
          <w:sz w:val="24"/>
          <w:szCs w:val="24"/>
          <w:lang w:val="bg-BG"/>
        </w:rPr>
        <w:footnoteReference w:id="45"/>
      </w:r>
      <w:r w:rsidR="009A114F" w:rsidRPr="00610B1B">
        <w:rPr>
          <w:rFonts w:ascii="Times New Roman" w:hAnsi="Times New Roman" w:cs="Times New Roman"/>
          <w:b/>
          <w:sz w:val="24"/>
          <w:szCs w:val="24"/>
          <w:lang w:val="bg-BG"/>
        </w:rPr>
        <w:t xml:space="preserve"> </w:t>
      </w:r>
      <w:r w:rsidR="009A114F" w:rsidRPr="00610B1B">
        <w:rPr>
          <w:rFonts w:ascii="Times New Roman" w:hAnsi="Times New Roman" w:cs="Times New Roman"/>
          <w:bCs/>
          <w:sz w:val="24"/>
          <w:szCs w:val="24"/>
          <w:lang w:val="bg-BG"/>
        </w:rPr>
        <w:t>се фокусира върху</w:t>
      </w:r>
      <w:r w:rsidR="009A114F" w:rsidRPr="00610B1B">
        <w:rPr>
          <w:rFonts w:ascii="Times New Roman" w:hAnsi="Times New Roman" w:cs="Times New Roman"/>
          <w:b/>
          <w:sz w:val="24"/>
          <w:szCs w:val="24"/>
          <w:lang w:val="bg-BG"/>
        </w:rPr>
        <w:t xml:space="preserve"> </w:t>
      </w:r>
      <w:r w:rsidR="009A114F" w:rsidRPr="00610B1B">
        <w:rPr>
          <w:rFonts w:ascii="Times New Roman" w:hAnsi="Times New Roman" w:cs="Times New Roman"/>
          <w:bCs/>
          <w:sz w:val="24"/>
          <w:szCs w:val="24"/>
          <w:lang w:val="bg-BG"/>
        </w:rPr>
        <w:t xml:space="preserve">елементите на националната екологична мрежа, създадена </w:t>
      </w:r>
      <w:r w:rsidR="0085174B" w:rsidRPr="00610B1B">
        <w:rPr>
          <w:rFonts w:ascii="Times New Roman" w:hAnsi="Times New Roman" w:cs="Times New Roman"/>
          <w:bCs/>
          <w:sz w:val="24"/>
          <w:szCs w:val="24"/>
          <w:lang w:val="bg-BG"/>
        </w:rPr>
        <w:t>за</w:t>
      </w:r>
      <w:r w:rsidR="009A114F" w:rsidRPr="00610B1B">
        <w:rPr>
          <w:rFonts w:ascii="Times New Roman" w:hAnsi="Times New Roman" w:cs="Times New Roman"/>
          <w:bCs/>
          <w:sz w:val="24"/>
          <w:szCs w:val="24"/>
          <w:lang w:val="bg-BG"/>
        </w:rPr>
        <w:t xml:space="preserve"> да съхрани биологичното разнообразие. Той</w:t>
      </w:r>
      <w:r w:rsidR="00225025" w:rsidRPr="00610B1B">
        <w:rPr>
          <w:rFonts w:ascii="Times New Roman" w:hAnsi="Times New Roman" w:cs="Times New Roman"/>
          <w:bCs/>
          <w:sz w:val="24"/>
          <w:szCs w:val="24"/>
          <w:lang w:val="bg-BG"/>
        </w:rPr>
        <w:t xml:space="preserve"> </w:t>
      </w:r>
      <w:r w:rsidR="009A114F" w:rsidRPr="00610B1B">
        <w:rPr>
          <w:rFonts w:ascii="Times New Roman" w:hAnsi="Times New Roman" w:cs="Times New Roman"/>
          <w:bCs/>
          <w:sz w:val="24"/>
          <w:szCs w:val="24"/>
          <w:lang w:val="bg-BG"/>
        </w:rPr>
        <w:t xml:space="preserve">не предлага по-различни регулации </w:t>
      </w:r>
      <w:r w:rsidR="00225025" w:rsidRPr="00610B1B">
        <w:rPr>
          <w:rFonts w:ascii="Times New Roman" w:hAnsi="Times New Roman" w:cs="Times New Roman"/>
          <w:bCs/>
          <w:sz w:val="24"/>
          <w:szCs w:val="24"/>
          <w:lang w:val="bg-BG"/>
        </w:rPr>
        <w:t xml:space="preserve">за </w:t>
      </w:r>
      <w:r w:rsidR="009A114F" w:rsidRPr="00610B1B">
        <w:rPr>
          <w:rFonts w:ascii="Times New Roman" w:hAnsi="Times New Roman" w:cs="Times New Roman"/>
          <w:bCs/>
          <w:sz w:val="24"/>
          <w:szCs w:val="24"/>
          <w:lang w:val="bg-BG"/>
        </w:rPr>
        <w:t xml:space="preserve">опазване на защитените местообитанията и на защитените и застрашените видове за </w:t>
      </w:r>
      <w:r w:rsidR="00225025" w:rsidRPr="00610B1B">
        <w:rPr>
          <w:rFonts w:ascii="Times New Roman" w:hAnsi="Times New Roman" w:cs="Times New Roman"/>
          <w:bCs/>
          <w:sz w:val="24"/>
          <w:szCs w:val="24"/>
          <w:lang w:val="bg-BG"/>
        </w:rPr>
        <w:t>целите на морското пространствено планиране</w:t>
      </w:r>
      <w:r w:rsidR="009A114F" w:rsidRPr="00610B1B">
        <w:rPr>
          <w:rFonts w:ascii="Times New Roman" w:hAnsi="Times New Roman" w:cs="Times New Roman"/>
          <w:bCs/>
          <w:sz w:val="24"/>
          <w:szCs w:val="24"/>
          <w:lang w:val="bg-BG"/>
        </w:rPr>
        <w:t>. Поставените под защита зони в акваторията на Черно море са част от Националната екологична мрежа (НЕМ) и от екологичната мрежа НАТУРА 2000 на Европейския съюз, към която важат същите ограничения и изисквания, правила и норми</w:t>
      </w:r>
      <w:r w:rsidR="002478BD" w:rsidRPr="00610B1B">
        <w:rPr>
          <w:rFonts w:ascii="Times New Roman" w:hAnsi="Times New Roman" w:cs="Times New Roman"/>
          <w:bCs/>
          <w:sz w:val="24"/>
          <w:szCs w:val="24"/>
          <w:lang w:val="bg-BG"/>
        </w:rPr>
        <w:t xml:space="preserve">, както към тези, разположени по крайбрежието и </w:t>
      </w:r>
      <w:r w:rsidR="0085174B" w:rsidRPr="00610B1B">
        <w:rPr>
          <w:rFonts w:ascii="Times New Roman" w:hAnsi="Times New Roman" w:cs="Times New Roman"/>
          <w:bCs/>
          <w:sz w:val="24"/>
          <w:szCs w:val="24"/>
          <w:lang w:val="bg-BG"/>
        </w:rPr>
        <w:t>вътрешността</w:t>
      </w:r>
      <w:r w:rsidR="002478BD" w:rsidRPr="00610B1B">
        <w:rPr>
          <w:rFonts w:ascii="Times New Roman" w:hAnsi="Times New Roman" w:cs="Times New Roman"/>
          <w:bCs/>
          <w:sz w:val="24"/>
          <w:szCs w:val="24"/>
          <w:lang w:val="bg-BG"/>
        </w:rPr>
        <w:t xml:space="preserve"> на страната</w:t>
      </w:r>
      <w:r w:rsidR="009A114F" w:rsidRPr="00610B1B">
        <w:rPr>
          <w:rFonts w:ascii="Times New Roman" w:hAnsi="Times New Roman" w:cs="Times New Roman"/>
          <w:bCs/>
          <w:sz w:val="24"/>
          <w:szCs w:val="24"/>
          <w:lang w:val="bg-BG"/>
        </w:rPr>
        <w:t xml:space="preserve">. </w:t>
      </w:r>
      <w:r w:rsidR="002478BD" w:rsidRPr="00610B1B">
        <w:rPr>
          <w:rFonts w:ascii="Times New Roman" w:hAnsi="Times New Roman" w:cs="Times New Roman"/>
          <w:bCs/>
          <w:sz w:val="24"/>
          <w:szCs w:val="24"/>
          <w:lang w:val="bg-BG"/>
        </w:rPr>
        <w:t xml:space="preserve">За целите на Морския пространствен план се разглеждат само онези елементи на НЕМ, които са в акваторията или в бреговата част на прилежащата крайбрежна зона в съприкосновение с морето. </w:t>
      </w:r>
    </w:p>
    <w:p w14:paraId="63D9F363" w14:textId="5E3EC4A5" w:rsidR="008152C1" w:rsidRPr="00610B1B" w:rsidRDefault="008152C1"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Законът за защитените територии</w:t>
      </w:r>
      <w:r w:rsidR="009A114F" w:rsidRPr="00610B1B">
        <w:rPr>
          <w:rStyle w:val="FootnoteReference"/>
          <w:rFonts w:ascii="Times New Roman" w:hAnsi="Times New Roman" w:cs="Times New Roman"/>
          <w:bCs/>
          <w:sz w:val="24"/>
          <w:szCs w:val="24"/>
          <w:lang w:val="bg-BG"/>
        </w:rPr>
        <w:footnoteReference w:id="46"/>
      </w:r>
      <w:r w:rsidR="009A114F" w:rsidRPr="00610B1B">
        <w:rPr>
          <w:rFonts w:ascii="Times New Roman" w:hAnsi="Times New Roman" w:cs="Times New Roman"/>
          <w:b/>
          <w:sz w:val="24"/>
          <w:szCs w:val="24"/>
          <w:lang w:val="bg-BG"/>
        </w:rPr>
        <w:t xml:space="preserve"> </w:t>
      </w:r>
      <w:r w:rsidR="009A114F" w:rsidRPr="00610B1B">
        <w:rPr>
          <w:rFonts w:ascii="Times New Roman" w:hAnsi="Times New Roman" w:cs="Times New Roman"/>
          <w:bCs/>
          <w:sz w:val="24"/>
          <w:szCs w:val="24"/>
          <w:lang w:val="bg-BG"/>
        </w:rPr>
        <w:t>третира по аналогичен начин като Закона за биологичното разнообразие защитените територии</w:t>
      </w:r>
      <w:r w:rsidR="0037269C" w:rsidRPr="00610B1B">
        <w:rPr>
          <w:rFonts w:ascii="Times New Roman" w:hAnsi="Times New Roman" w:cs="Times New Roman"/>
          <w:bCs/>
          <w:sz w:val="24"/>
          <w:szCs w:val="24"/>
          <w:lang w:val="bg-BG"/>
        </w:rPr>
        <w:t xml:space="preserve"> и определя различни категории</w:t>
      </w:r>
      <w:r w:rsidR="002478BD" w:rsidRPr="00610B1B">
        <w:rPr>
          <w:rFonts w:ascii="Times New Roman" w:hAnsi="Times New Roman" w:cs="Times New Roman"/>
          <w:bCs/>
          <w:sz w:val="24"/>
          <w:szCs w:val="24"/>
          <w:lang w:val="bg-BG"/>
        </w:rPr>
        <w:t>, урежда тяхното „предназначение и режим на опазване и ползване, обявяване и управление“. Съгласно чл. 5. на този закон и в съответствие със световната практика в България са въведени категории</w:t>
      </w:r>
      <w:r w:rsidR="0037269C" w:rsidRPr="00610B1B">
        <w:rPr>
          <w:rFonts w:ascii="Times New Roman" w:hAnsi="Times New Roman" w:cs="Times New Roman"/>
          <w:bCs/>
          <w:sz w:val="24"/>
          <w:szCs w:val="24"/>
          <w:lang w:val="bg-BG"/>
        </w:rPr>
        <w:t>те резерват, национален парк, природна забележителност, поддържан резерват,</w:t>
      </w:r>
      <w:r w:rsidR="002478BD" w:rsidRPr="00610B1B">
        <w:rPr>
          <w:rFonts w:ascii="Times New Roman" w:hAnsi="Times New Roman" w:cs="Times New Roman"/>
          <w:bCs/>
          <w:sz w:val="24"/>
          <w:szCs w:val="24"/>
          <w:lang w:val="bg-BG"/>
        </w:rPr>
        <w:t xml:space="preserve"> природен парк и защитена местност.</w:t>
      </w:r>
      <w:r w:rsidR="00FE5635" w:rsidRPr="00610B1B">
        <w:rPr>
          <w:rFonts w:ascii="Times New Roman" w:hAnsi="Times New Roman" w:cs="Times New Roman"/>
          <w:bCs/>
          <w:sz w:val="24"/>
          <w:szCs w:val="24"/>
          <w:lang w:val="bg-BG"/>
        </w:rPr>
        <w:t xml:space="preserve"> </w:t>
      </w:r>
      <w:r w:rsidR="0085174B" w:rsidRPr="00610B1B">
        <w:rPr>
          <w:rFonts w:ascii="Times New Roman" w:hAnsi="Times New Roman" w:cs="Times New Roman"/>
          <w:bCs/>
          <w:sz w:val="24"/>
          <w:szCs w:val="24"/>
          <w:lang w:val="bg-BG"/>
        </w:rPr>
        <w:t>В обхвата на м</w:t>
      </w:r>
      <w:r w:rsidR="00FE5635" w:rsidRPr="00610B1B">
        <w:rPr>
          <w:rFonts w:ascii="Times New Roman" w:hAnsi="Times New Roman" w:cs="Times New Roman"/>
          <w:bCs/>
          <w:sz w:val="24"/>
          <w:szCs w:val="24"/>
          <w:lang w:val="bg-BG"/>
        </w:rPr>
        <w:t xml:space="preserve">орския </w:t>
      </w:r>
      <w:r w:rsidR="00FE5635" w:rsidRPr="00610B1B">
        <w:rPr>
          <w:rFonts w:ascii="Times New Roman" w:hAnsi="Times New Roman" w:cs="Times New Roman"/>
          <w:bCs/>
          <w:sz w:val="24"/>
          <w:szCs w:val="24"/>
          <w:lang w:val="bg-BG"/>
        </w:rPr>
        <w:lastRenderedPageBreak/>
        <w:t xml:space="preserve">пространствен план </w:t>
      </w:r>
      <w:r w:rsidR="00A97E58" w:rsidRPr="00610B1B">
        <w:rPr>
          <w:rFonts w:ascii="Times New Roman" w:hAnsi="Times New Roman" w:cs="Times New Roman"/>
          <w:bCs/>
          <w:sz w:val="24"/>
          <w:szCs w:val="24"/>
          <w:lang w:val="bg-BG"/>
        </w:rPr>
        <w:t xml:space="preserve">са включени само онези защитени територии, чието екологично равновесие и биологично разнообразие зависят </w:t>
      </w:r>
      <w:r w:rsidR="0037269C" w:rsidRPr="00610B1B">
        <w:rPr>
          <w:rFonts w:ascii="Times New Roman" w:hAnsi="Times New Roman" w:cs="Times New Roman"/>
          <w:bCs/>
          <w:sz w:val="24"/>
          <w:szCs w:val="24"/>
          <w:lang w:val="bg-BG"/>
        </w:rPr>
        <w:t xml:space="preserve">от </w:t>
      </w:r>
      <w:r w:rsidR="00A97E58" w:rsidRPr="00610B1B">
        <w:rPr>
          <w:rFonts w:ascii="Times New Roman" w:hAnsi="Times New Roman" w:cs="Times New Roman"/>
          <w:bCs/>
          <w:sz w:val="24"/>
          <w:szCs w:val="24"/>
          <w:lang w:val="bg-BG"/>
        </w:rPr>
        <w:t xml:space="preserve">или могат да повлияят върху състоянието на морската околна среда. </w:t>
      </w:r>
    </w:p>
    <w:p w14:paraId="33DA4A46" w14:textId="447C9AF7" w:rsidR="008152C1" w:rsidRPr="00610B1B" w:rsidRDefault="008152C1"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Законът за подземните богатства</w:t>
      </w:r>
      <w:r w:rsidRPr="00610B1B">
        <w:rPr>
          <w:rStyle w:val="FootnoteReference"/>
          <w:rFonts w:ascii="Times New Roman" w:hAnsi="Times New Roman" w:cs="Times New Roman"/>
          <w:bCs/>
          <w:sz w:val="24"/>
          <w:szCs w:val="24"/>
          <w:lang w:val="bg-BG"/>
        </w:rPr>
        <w:footnoteReference w:id="47"/>
      </w:r>
      <w:r w:rsidRPr="00610B1B">
        <w:rPr>
          <w:rFonts w:ascii="Times New Roman" w:hAnsi="Times New Roman" w:cs="Times New Roman"/>
          <w:bCs/>
          <w:sz w:val="24"/>
          <w:szCs w:val="24"/>
          <w:lang w:val="bg-BG"/>
        </w:rPr>
        <w:t xml:space="preserve"> урежда условията и реда за търсене, проучване и добив на подземните богатства на територията на Република България, в континенталния шелф и в изключителната икономическа зона в Черно море; опазването на земните недра и управлението на отпадъците от проучвателната, добивната и преработвателната дейност.</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Той не се прилага за добив на соли и елементи от морската вода. </w:t>
      </w:r>
    </w:p>
    <w:p w14:paraId="7AF4F896" w14:textId="215FEDDD" w:rsidR="008152C1" w:rsidRPr="00610B1B" w:rsidRDefault="008152C1"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
          <w:sz w:val="24"/>
          <w:szCs w:val="24"/>
          <w:lang w:val="bg-BG"/>
        </w:rPr>
        <w:t>Законът за рибарство и аквакултури</w:t>
      </w:r>
      <w:r w:rsidR="00EE6959" w:rsidRPr="00610B1B">
        <w:rPr>
          <w:rStyle w:val="FootnoteReference"/>
          <w:rFonts w:ascii="Times New Roman" w:hAnsi="Times New Roman" w:cs="Times New Roman"/>
          <w:bCs/>
          <w:sz w:val="24"/>
          <w:szCs w:val="24"/>
          <w:lang w:val="bg-BG"/>
        </w:rPr>
        <w:footnoteReference w:id="48"/>
      </w:r>
      <w:r w:rsidRPr="00610B1B">
        <w:rPr>
          <w:rFonts w:ascii="Times New Roman" w:hAnsi="Times New Roman" w:cs="Times New Roman"/>
          <w:bCs/>
          <w:sz w:val="24"/>
          <w:szCs w:val="24"/>
          <w:lang w:val="bg-BG"/>
        </w:rPr>
        <w:t xml:space="preserve"> урежда отношенията, свързани със собствеността, организацията, управлението, ползването и опазването на рибните ресурси във водите на Република България, търговията с риба и други водни организми. Законът има за цел да осигури „устойчиво развитие на рибните ресурси, възстановяване и опазване на биологичното равновесие и обогатяване на разнообразието </w:t>
      </w:r>
      <w:r w:rsidR="004617B8" w:rsidRPr="00610B1B">
        <w:rPr>
          <w:rFonts w:ascii="Times New Roman" w:hAnsi="Times New Roman" w:cs="Times New Roman"/>
          <w:bCs/>
          <w:sz w:val="24"/>
          <w:szCs w:val="24"/>
          <w:lang w:val="bg-BG"/>
        </w:rPr>
        <w:t>им</w:t>
      </w:r>
      <w:r w:rsidRPr="00610B1B">
        <w:rPr>
          <w:rFonts w:ascii="Times New Roman" w:hAnsi="Times New Roman" w:cs="Times New Roman"/>
          <w:bCs/>
          <w:sz w:val="24"/>
          <w:szCs w:val="24"/>
          <w:lang w:val="bg-BG"/>
        </w:rPr>
        <w:t xml:space="preserve"> във водните екосистеми; развитие на стопанския и любителския риболов и аквакултурите и повишаване потреблението на риба и рибни продукти в страната</w:t>
      </w:r>
      <w:r w:rsidR="00EE6959"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w:t>
      </w:r>
      <w:r w:rsidR="00BB033C"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Важно място е отделено на опазването на рибните ресурси </w:t>
      </w:r>
      <w:r w:rsidR="00EE6959" w:rsidRPr="00610B1B">
        <w:rPr>
          <w:rFonts w:ascii="Times New Roman" w:hAnsi="Times New Roman" w:cs="Times New Roman"/>
          <w:bCs/>
          <w:sz w:val="24"/>
          <w:szCs w:val="24"/>
          <w:lang w:val="bg-BG"/>
        </w:rPr>
        <w:t>и са пре</w:t>
      </w:r>
      <w:r w:rsidRPr="00610B1B">
        <w:rPr>
          <w:rFonts w:ascii="Times New Roman" w:hAnsi="Times New Roman" w:cs="Times New Roman"/>
          <w:bCs/>
          <w:sz w:val="24"/>
          <w:szCs w:val="24"/>
          <w:lang w:val="bg-BG"/>
        </w:rPr>
        <w:t>двидени мерки и дейности, които пряко касаят черноморските води - улова, методите и съоръженията за риболов, срокове</w:t>
      </w:r>
      <w:r w:rsidR="00BB033C" w:rsidRPr="00610B1B">
        <w:rPr>
          <w:rFonts w:ascii="Times New Roman" w:hAnsi="Times New Roman" w:cs="Times New Roman"/>
          <w:bCs/>
          <w:sz w:val="24"/>
          <w:szCs w:val="24"/>
          <w:lang w:val="bg-BG"/>
        </w:rPr>
        <w:t>те и</w:t>
      </w:r>
      <w:r w:rsidRPr="00610B1B">
        <w:rPr>
          <w:rFonts w:ascii="Times New Roman" w:hAnsi="Times New Roman" w:cs="Times New Roman"/>
          <w:bCs/>
          <w:sz w:val="24"/>
          <w:szCs w:val="24"/>
          <w:lang w:val="bg-BG"/>
        </w:rPr>
        <w:t xml:space="preserve"> забрани</w:t>
      </w:r>
      <w:r w:rsidR="00BB033C" w:rsidRPr="00610B1B">
        <w:rPr>
          <w:rFonts w:ascii="Times New Roman" w:hAnsi="Times New Roman" w:cs="Times New Roman"/>
          <w:bCs/>
          <w:sz w:val="24"/>
          <w:szCs w:val="24"/>
          <w:lang w:val="bg-BG"/>
        </w:rPr>
        <w:t>те</w:t>
      </w:r>
      <w:r w:rsidRPr="00610B1B">
        <w:rPr>
          <w:rFonts w:ascii="Times New Roman" w:hAnsi="Times New Roman" w:cs="Times New Roman"/>
          <w:bCs/>
          <w:sz w:val="24"/>
          <w:szCs w:val="24"/>
          <w:lang w:val="bg-BG"/>
        </w:rPr>
        <w:t xml:space="preserve">. </w:t>
      </w:r>
    </w:p>
    <w:p w14:paraId="086588A1" w14:textId="349B22ED" w:rsidR="00DB2DA1" w:rsidRPr="00610B1B" w:rsidRDefault="00DB2DA1"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В </w:t>
      </w:r>
      <w:r w:rsidRPr="00610B1B">
        <w:rPr>
          <w:rFonts w:ascii="Times New Roman" w:hAnsi="Times New Roman" w:cs="Times New Roman"/>
          <w:b/>
          <w:sz w:val="24"/>
          <w:szCs w:val="24"/>
          <w:lang w:val="bg-BG"/>
        </w:rPr>
        <w:t>Закона за здравето</w:t>
      </w:r>
      <w:r w:rsidRPr="00610B1B">
        <w:rPr>
          <w:rStyle w:val="FootnoteReference"/>
          <w:rFonts w:ascii="Times New Roman" w:hAnsi="Times New Roman" w:cs="Times New Roman"/>
          <w:bCs/>
          <w:sz w:val="24"/>
          <w:szCs w:val="24"/>
          <w:lang w:val="bg-BG"/>
        </w:rPr>
        <w:footnoteReference w:id="49"/>
      </w:r>
      <w:r w:rsidRPr="00610B1B">
        <w:rPr>
          <w:rFonts w:ascii="Times New Roman" w:hAnsi="Times New Roman" w:cs="Times New Roman"/>
          <w:bCs/>
          <w:sz w:val="24"/>
          <w:szCs w:val="24"/>
          <w:lang w:val="bg-BG"/>
        </w:rPr>
        <w:t xml:space="preserve"> </w:t>
      </w:r>
      <w:r w:rsidR="002F377F" w:rsidRPr="00610B1B">
        <w:rPr>
          <w:rFonts w:ascii="Times New Roman" w:hAnsi="Times New Roman" w:cs="Times New Roman"/>
          <w:bCs/>
          <w:sz w:val="24"/>
          <w:szCs w:val="24"/>
          <w:lang w:val="bg-BG"/>
        </w:rPr>
        <w:t>к</w:t>
      </w:r>
      <w:r w:rsidR="006A569B" w:rsidRPr="00610B1B">
        <w:rPr>
          <w:rFonts w:ascii="Times New Roman" w:hAnsi="Times New Roman" w:cs="Times New Roman"/>
          <w:bCs/>
          <w:sz w:val="24"/>
          <w:szCs w:val="24"/>
          <w:lang w:val="bg-BG"/>
        </w:rPr>
        <w:t>ато</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курортни ресурси</w:t>
      </w:r>
      <w:r w:rsidR="006A569B"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са определени крайбрежната плажна ивица и местностите с благоприятни за профилактика, лечение и рехабилитация биоклиматични условия. Министърът на здравеопазването съвместно с министъра на регионалното развитие и благоустройството, министъра на околната среда и водите и министъра на туризма определят с наредби условията и реда за използването и опазването на курортните ресурси</w:t>
      </w:r>
      <w:r w:rsidR="006A569B" w:rsidRPr="00610B1B">
        <w:rPr>
          <w:rFonts w:ascii="Times New Roman" w:hAnsi="Times New Roman" w:cs="Times New Roman"/>
          <w:bCs/>
          <w:sz w:val="24"/>
          <w:szCs w:val="24"/>
          <w:lang w:val="bg-BG"/>
        </w:rPr>
        <w:t xml:space="preserve"> и</w:t>
      </w:r>
      <w:r w:rsidRPr="00610B1B">
        <w:rPr>
          <w:rFonts w:ascii="Times New Roman" w:hAnsi="Times New Roman" w:cs="Times New Roman"/>
          <w:bCs/>
          <w:sz w:val="24"/>
          <w:szCs w:val="24"/>
          <w:lang w:val="bg-BG"/>
        </w:rPr>
        <w:t xml:space="preserve"> определя</w:t>
      </w:r>
      <w:r w:rsidR="006A569B" w:rsidRPr="00610B1B">
        <w:rPr>
          <w:rFonts w:ascii="Times New Roman" w:hAnsi="Times New Roman" w:cs="Times New Roman"/>
          <w:bCs/>
          <w:sz w:val="24"/>
          <w:szCs w:val="24"/>
          <w:lang w:val="bg-BG"/>
        </w:rPr>
        <w:t>т</w:t>
      </w:r>
      <w:r w:rsidRPr="00610B1B">
        <w:rPr>
          <w:rFonts w:ascii="Times New Roman" w:hAnsi="Times New Roman" w:cs="Times New Roman"/>
          <w:bCs/>
          <w:sz w:val="24"/>
          <w:szCs w:val="24"/>
          <w:lang w:val="bg-BG"/>
        </w:rPr>
        <w:t xml:space="preserve"> капацитета на тези територии и акваторията. Утвърждават се</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охранителни зони и охранителен режим за опазване на крайбрежната плажна ивица и местностите с благоприятни и подходящи за профилактика, лечение и рехабилитация биоклиматични условия, както и </w:t>
      </w:r>
      <w:r w:rsidR="006A569B" w:rsidRPr="00610B1B">
        <w:rPr>
          <w:rFonts w:ascii="Times New Roman" w:hAnsi="Times New Roman" w:cs="Times New Roman"/>
          <w:bCs/>
          <w:sz w:val="24"/>
          <w:szCs w:val="24"/>
          <w:lang w:val="bg-BG"/>
        </w:rPr>
        <w:t xml:space="preserve">за </w:t>
      </w:r>
      <w:r w:rsidRPr="00610B1B">
        <w:rPr>
          <w:rFonts w:ascii="Times New Roman" w:hAnsi="Times New Roman" w:cs="Times New Roman"/>
          <w:bCs/>
          <w:sz w:val="24"/>
          <w:szCs w:val="24"/>
          <w:lang w:val="bg-BG"/>
        </w:rPr>
        <w:t>експлоатацията на плажовете по Черноморското крайбрежие</w:t>
      </w:r>
      <w:r w:rsidR="008C0BBF" w:rsidRPr="00610B1B">
        <w:rPr>
          <w:rFonts w:ascii="Times New Roman" w:hAnsi="Times New Roman" w:cs="Times New Roman"/>
          <w:bCs/>
          <w:sz w:val="24"/>
          <w:szCs w:val="24"/>
          <w:lang w:val="bg-BG"/>
        </w:rPr>
        <w:t xml:space="preserve">, изискванията към които са развити в </w:t>
      </w:r>
      <w:r w:rsidRPr="00610B1B">
        <w:rPr>
          <w:rFonts w:ascii="Times New Roman" w:hAnsi="Times New Roman" w:cs="Times New Roman"/>
          <w:bCs/>
          <w:sz w:val="24"/>
          <w:szCs w:val="24"/>
          <w:lang w:val="bg-BG"/>
        </w:rPr>
        <w:t>Наредба № 14 за курортните ресурси, курортните местности и курортите</w:t>
      </w:r>
      <w:r w:rsidR="008C0BBF" w:rsidRPr="00610B1B">
        <w:rPr>
          <w:rFonts w:ascii="Times New Roman" w:hAnsi="Times New Roman" w:cs="Times New Roman"/>
          <w:bCs/>
          <w:sz w:val="24"/>
          <w:szCs w:val="24"/>
          <w:lang w:val="bg-BG"/>
        </w:rPr>
        <w:t>.</w:t>
      </w:r>
      <w:r w:rsidR="00BB033C" w:rsidRPr="00610B1B">
        <w:rPr>
          <w:rStyle w:val="FootnoteReference"/>
          <w:rFonts w:ascii="Times New Roman" w:hAnsi="Times New Roman" w:cs="Times New Roman"/>
          <w:bCs/>
          <w:sz w:val="24"/>
          <w:szCs w:val="24"/>
          <w:lang w:val="bg-BG"/>
        </w:rPr>
        <w:footnoteReference w:id="50"/>
      </w:r>
      <w:r w:rsidRPr="00610B1B">
        <w:rPr>
          <w:rFonts w:ascii="Times New Roman" w:hAnsi="Times New Roman" w:cs="Times New Roman"/>
          <w:bCs/>
          <w:sz w:val="24"/>
          <w:szCs w:val="24"/>
          <w:lang w:val="bg-BG"/>
        </w:rPr>
        <w:t xml:space="preserve"> </w:t>
      </w:r>
    </w:p>
    <w:p w14:paraId="6364CC7E" w14:textId="71933798" w:rsidR="00DB0EF5" w:rsidRPr="00610B1B" w:rsidRDefault="00DB0EF5"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Всеки сектор регулира основните дейности, режими, права и задължения, опазването от замърсяване, помощта при аварии и бедствия, </w:t>
      </w:r>
      <w:r w:rsidR="00DB0FAB" w:rsidRPr="00610B1B">
        <w:rPr>
          <w:rFonts w:ascii="Times New Roman" w:hAnsi="Times New Roman" w:cs="Times New Roman"/>
          <w:bCs/>
          <w:sz w:val="24"/>
          <w:szCs w:val="24"/>
          <w:lang w:val="bg-BG"/>
        </w:rPr>
        <w:t>включително</w:t>
      </w:r>
      <w:r w:rsidRPr="00610B1B">
        <w:rPr>
          <w:rFonts w:ascii="Times New Roman" w:hAnsi="Times New Roman" w:cs="Times New Roman"/>
          <w:bCs/>
          <w:sz w:val="24"/>
          <w:szCs w:val="24"/>
          <w:lang w:val="bg-BG"/>
        </w:rPr>
        <w:t xml:space="preserve"> и в морските пространства</w:t>
      </w:r>
      <w:r w:rsidR="002F377F" w:rsidRPr="00610B1B">
        <w:rPr>
          <w:rFonts w:ascii="Times New Roman" w:hAnsi="Times New Roman" w:cs="Times New Roman"/>
          <w:bCs/>
          <w:sz w:val="24"/>
          <w:szCs w:val="24"/>
          <w:lang w:val="bg-BG"/>
        </w:rPr>
        <w:t>,</w:t>
      </w:r>
      <w:r w:rsidR="002F377F" w:rsidRPr="00610B1B">
        <w:rPr>
          <w:rFonts w:ascii="Times New Roman" w:hAnsi="Times New Roman" w:cs="Times New Roman"/>
          <w:lang w:val="bg-BG"/>
        </w:rPr>
        <w:t xml:space="preserve"> </w:t>
      </w:r>
      <w:r w:rsidR="002F377F" w:rsidRPr="00610B1B">
        <w:rPr>
          <w:rFonts w:ascii="Times New Roman" w:hAnsi="Times New Roman" w:cs="Times New Roman"/>
          <w:bCs/>
          <w:sz w:val="24"/>
          <w:szCs w:val="24"/>
          <w:lang w:val="bg-BG"/>
        </w:rPr>
        <w:t>със специ</w:t>
      </w:r>
      <w:r w:rsidR="00B81075" w:rsidRPr="00610B1B">
        <w:rPr>
          <w:rFonts w:ascii="Times New Roman" w:hAnsi="Times New Roman" w:cs="Times New Roman"/>
          <w:bCs/>
          <w:sz w:val="24"/>
          <w:szCs w:val="24"/>
          <w:lang w:val="bg-BG"/>
        </w:rPr>
        <w:t>фични</w:t>
      </w:r>
      <w:r w:rsidR="002F377F" w:rsidRPr="00610B1B">
        <w:rPr>
          <w:rFonts w:ascii="Times New Roman" w:hAnsi="Times New Roman" w:cs="Times New Roman"/>
          <w:bCs/>
          <w:sz w:val="24"/>
          <w:szCs w:val="24"/>
          <w:lang w:val="bg-BG"/>
        </w:rPr>
        <w:t xml:space="preserve"> закони и подзаконови актове</w:t>
      </w:r>
      <w:r w:rsidRPr="00610B1B">
        <w:rPr>
          <w:rFonts w:ascii="Times New Roman" w:hAnsi="Times New Roman" w:cs="Times New Roman"/>
          <w:bCs/>
          <w:sz w:val="24"/>
          <w:szCs w:val="24"/>
          <w:lang w:val="bg-BG"/>
        </w:rPr>
        <w:t>.</w:t>
      </w:r>
    </w:p>
    <w:p w14:paraId="2530CCC6" w14:textId="383BD624" w:rsidR="00836952" w:rsidRPr="00610B1B" w:rsidRDefault="00836952" w:rsidP="00836952">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Всички тези важни международни, общностни, регионални, национални законодателни и стратегически документи са в основата на прогнозните предвиждания на морския пространствен план на Р. България.</w:t>
      </w:r>
    </w:p>
    <w:p w14:paraId="6A92ECE1" w14:textId="77777777" w:rsidR="00906585" w:rsidRPr="00610B1B" w:rsidRDefault="00906585" w:rsidP="00836952">
      <w:pPr>
        <w:spacing w:after="120"/>
        <w:ind w:right="-153"/>
        <w:jc w:val="both"/>
        <w:rPr>
          <w:rFonts w:ascii="Times New Roman" w:hAnsi="Times New Roman" w:cs="Times New Roman"/>
          <w:bCs/>
          <w:sz w:val="24"/>
          <w:szCs w:val="24"/>
          <w:lang w:val="bg-BG"/>
        </w:rPr>
      </w:pPr>
    </w:p>
    <w:p w14:paraId="42B3E722" w14:textId="6959FB5E" w:rsidR="00110E77" w:rsidRPr="00610B1B" w:rsidRDefault="00935FA2" w:rsidP="00D32D6A">
      <w:pPr>
        <w:pStyle w:val="Heading3"/>
        <w:spacing w:before="0" w:line="276" w:lineRule="auto"/>
        <w:ind w:right="-153"/>
        <w:rPr>
          <w:rFonts w:cs="Times New Roman"/>
        </w:rPr>
      </w:pPr>
      <w:bookmarkStart w:id="13" w:name="_Toc83391355"/>
      <w:bookmarkStart w:id="14" w:name="_Hlk39999902"/>
      <w:r w:rsidRPr="00610B1B">
        <w:rPr>
          <w:rFonts w:cs="Times New Roman"/>
        </w:rPr>
        <w:lastRenderedPageBreak/>
        <w:t>1.1</w:t>
      </w:r>
      <w:r w:rsidR="001D3664" w:rsidRPr="00610B1B">
        <w:rPr>
          <w:rFonts w:cs="Times New Roman"/>
        </w:rPr>
        <w:t xml:space="preserve">.4. </w:t>
      </w:r>
      <w:r w:rsidR="00110E77" w:rsidRPr="00610B1B">
        <w:rPr>
          <w:rFonts w:cs="Times New Roman"/>
        </w:rPr>
        <w:t>Пространствена</w:t>
      </w:r>
      <w:r w:rsidR="00370CEC" w:rsidRPr="00610B1B">
        <w:rPr>
          <w:rFonts w:cs="Times New Roman"/>
        </w:rPr>
        <w:t>,</w:t>
      </w:r>
      <w:r w:rsidR="00110E77" w:rsidRPr="00610B1B">
        <w:rPr>
          <w:rFonts w:cs="Times New Roman"/>
        </w:rPr>
        <w:t xml:space="preserve"> </w:t>
      </w:r>
      <w:r w:rsidR="006E5961" w:rsidRPr="00610B1B">
        <w:rPr>
          <w:rFonts w:cs="Times New Roman"/>
        </w:rPr>
        <w:t>времев</w:t>
      </w:r>
      <w:r w:rsidR="00D10B41" w:rsidRPr="00610B1B">
        <w:rPr>
          <w:rFonts w:cs="Times New Roman"/>
        </w:rPr>
        <w:t>а</w:t>
      </w:r>
      <w:r w:rsidR="00370CEC" w:rsidRPr="00610B1B">
        <w:rPr>
          <w:rFonts w:cs="Times New Roman"/>
        </w:rPr>
        <w:t xml:space="preserve"> и тематичн</w:t>
      </w:r>
      <w:r w:rsidR="00D10B41" w:rsidRPr="00610B1B">
        <w:rPr>
          <w:rFonts w:cs="Times New Roman"/>
        </w:rPr>
        <w:t>а</w:t>
      </w:r>
      <w:r w:rsidR="006E5961" w:rsidRPr="00610B1B">
        <w:rPr>
          <w:rFonts w:cs="Times New Roman"/>
        </w:rPr>
        <w:t xml:space="preserve"> </w:t>
      </w:r>
      <w:r w:rsidR="00D10B41" w:rsidRPr="00610B1B">
        <w:rPr>
          <w:rFonts w:cs="Times New Roman"/>
        </w:rPr>
        <w:t>рамка</w:t>
      </w:r>
      <w:bookmarkEnd w:id="13"/>
    </w:p>
    <w:p w14:paraId="10ED4FF0" w14:textId="5D8F42D3" w:rsidR="00D06DF6" w:rsidRPr="00610B1B" w:rsidRDefault="006E5961"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Пространствената рамка на Морския пространствен план на Република България се определя от Директива 2014/89/ЕС и транспонираните </w:t>
      </w:r>
      <w:r w:rsidR="002F377F" w:rsidRPr="00610B1B">
        <w:rPr>
          <w:rFonts w:ascii="Times New Roman" w:hAnsi="Times New Roman" w:cs="Times New Roman"/>
          <w:bCs/>
          <w:sz w:val="24"/>
          <w:szCs w:val="24"/>
          <w:lang w:val="bg-BG"/>
        </w:rPr>
        <w:t>регулации</w:t>
      </w:r>
      <w:r w:rsidRPr="00610B1B">
        <w:rPr>
          <w:rFonts w:ascii="Times New Roman" w:hAnsi="Times New Roman" w:cs="Times New Roman"/>
          <w:bCs/>
          <w:sz w:val="24"/>
          <w:szCs w:val="24"/>
          <w:lang w:val="bg-BG"/>
        </w:rPr>
        <w:t xml:space="preserve"> в националното законодателство посредством ЗМПВВППРБ</w:t>
      </w:r>
      <w:r w:rsidR="00D06DF6" w:rsidRPr="00610B1B">
        <w:rPr>
          <w:rFonts w:ascii="Times New Roman" w:hAnsi="Times New Roman" w:cs="Times New Roman"/>
          <w:bCs/>
          <w:sz w:val="24"/>
          <w:szCs w:val="24"/>
          <w:lang w:val="bg-BG"/>
        </w:rPr>
        <w:t xml:space="preserve">. </w:t>
      </w:r>
      <w:r w:rsidR="00EF7660" w:rsidRPr="00610B1B">
        <w:rPr>
          <w:rFonts w:ascii="Times New Roman" w:hAnsi="Times New Roman" w:cs="Times New Roman"/>
          <w:bCs/>
          <w:sz w:val="24"/>
          <w:szCs w:val="24"/>
          <w:lang w:val="bg-BG"/>
        </w:rPr>
        <w:t>Националните морски пространства имат сложна структура и включват земните недра, морското дъно, мор</w:t>
      </w:r>
      <w:r w:rsidR="00B81075" w:rsidRPr="00610B1B">
        <w:rPr>
          <w:rFonts w:ascii="Times New Roman" w:hAnsi="Times New Roman" w:cs="Times New Roman"/>
          <w:bCs/>
          <w:sz w:val="24"/>
          <w:szCs w:val="24"/>
          <w:lang w:val="bg-BG"/>
        </w:rPr>
        <w:t>ските води</w:t>
      </w:r>
      <w:r w:rsidR="00EF7660" w:rsidRPr="00610B1B">
        <w:rPr>
          <w:rFonts w:ascii="Times New Roman" w:hAnsi="Times New Roman" w:cs="Times New Roman"/>
          <w:bCs/>
          <w:sz w:val="24"/>
          <w:szCs w:val="24"/>
          <w:lang w:val="bg-BG"/>
        </w:rPr>
        <w:t xml:space="preserve"> и функционално са свързани с въздушното пространство и Космоса над тях. </w:t>
      </w:r>
      <w:r w:rsidR="00D06DF6" w:rsidRPr="00610B1B">
        <w:rPr>
          <w:rFonts w:ascii="Times New Roman" w:hAnsi="Times New Roman" w:cs="Times New Roman"/>
          <w:bCs/>
          <w:sz w:val="24"/>
          <w:szCs w:val="24"/>
          <w:lang w:val="bg-BG"/>
        </w:rPr>
        <w:t>Съгласно чл. 51в.</w:t>
      </w:r>
      <w:r w:rsidR="00D66FE0" w:rsidRPr="00610B1B">
        <w:rPr>
          <w:rFonts w:ascii="Times New Roman" w:hAnsi="Times New Roman" w:cs="Times New Roman"/>
          <w:bCs/>
          <w:sz w:val="24"/>
          <w:szCs w:val="24"/>
          <w:lang w:val="bg-BG"/>
        </w:rPr>
        <w:t xml:space="preserve"> </w:t>
      </w:r>
      <w:r w:rsidR="00D06DF6" w:rsidRPr="00610B1B">
        <w:rPr>
          <w:rFonts w:ascii="Times New Roman" w:hAnsi="Times New Roman" w:cs="Times New Roman"/>
          <w:bCs/>
          <w:sz w:val="24"/>
          <w:szCs w:val="24"/>
          <w:lang w:val="bg-BG"/>
        </w:rPr>
        <w:t>ал. 1 той обхваща морските пространства на страната определени в чл. 5, ал. 1 на закон</w:t>
      </w:r>
      <w:r w:rsidR="00935FA2" w:rsidRPr="00610B1B">
        <w:rPr>
          <w:rFonts w:ascii="Times New Roman" w:hAnsi="Times New Roman" w:cs="Times New Roman"/>
          <w:bCs/>
          <w:sz w:val="24"/>
          <w:szCs w:val="24"/>
          <w:lang w:val="bg-BG"/>
        </w:rPr>
        <w:t>а</w:t>
      </w:r>
      <w:r w:rsidR="00D06DF6" w:rsidRPr="00610B1B">
        <w:rPr>
          <w:rFonts w:ascii="Times New Roman" w:hAnsi="Times New Roman" w:cs="Times New Roman"/>
          <w:bCs/>
          <w:sz w:val="24"/>
          <w:szCs w:val="24"/>
          <w:lang w:val="bg-BG"/>
        </w:rPr>
        <w:t>, както и крайбрежните морски води по смисъла на § 1, т. 54 от допълнителните разпоредби на Закона за водите. Морските пространства на Р. България включват</w:t>
      </w:r>
      <w:r w:rsidR="00E51B86" w:rsidRPr="00610B1B">
        <w:rPr>
          <w:rFonts w:ascii="Times New Roman" w:hAnsi="Times New Roman" w:cs="Times New Roman"/>
          <w:bCs/>
          <w:sz w:val="24"/>
          <w:szCs w:val="24"/>
          <w:lang w:val="bg-BG"/>
        </w:rPr>
        <w:t xml:space="preserve"> вътрешните морски води, териториалното море, прилежащата зона, континенталния шелф и изключителната икономическа зона. </w:t>
      </w:r>
    </w:p>
    <w:p w14:paraId="554E2BE7" w14:textId="0C09D4EA" w:rsidR="00235374" w:rsidRPr="00610B1B" w:rsidRDefault="00E51B86"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i/>
          <w:iCs/>
          <w:sz w:val="24"/>
          <w:szCs w:val="24"/>
          <w:lang w:val="bg-BG"/>
        </w:rPr>
        <w:t xml:space="preserve">Вътрешните </w:t>
      </w:r>
      <w:r w:rsidR="00D06DF6" w:rsidRPr="00610B1B">
        <w:rPr>
          <w:rFonts w:ascii="Times New Roman" w:hAnsi="Times New Roman" w:cs="Times New Roman"/>
          <w:bCs/>
          <w:i/>
          <w:iCs/>
          <w:sz w:val="24"/>
          <w:szCs w:val="24"/>
          <w:lang w:val="bg-BG"/>
        </w:rPr>
        <w:t>морски води</w:t>
      </w:r>
      <w:r w:rsidR="00235374"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са</w:t>
      </w:r>
      <w:r w:rsidR="00D66FE0" w:rsidRPr="00610B1B">
        <w:rPr>
          <w:rFonts w:ascii="Times New Roman" w:hAnsi="Times New Roman" w:cs="Times New Roman"/>
          <w:bCs/>
          <w:sz w:val="24"/>
          <w:szCs w:val="24"/>
          <w:lang w:val="bg-BG"/>
        </w:rPr>
        <w:t xml:space="preserve"> </w:t>
      </w:r>
      <w:r w:rsidR="00235374" w:rsidRPr="00610B1B">
        <w:rPr>
          <w:rFonts w:ascii="Times New Roman" w:hAnsi="Times New Roman" w:cs="Times New Roman"/>
          <w:bCs/>
          <w:sz w:val="24"/>
          <w:szCs w:val="24"/>
          <w:lang w:val="bg-BG"/>
        </w:rPr>
        <w:t>водите между бреговата линия и изходните линии, от които се измерва ширината на териториалното море;</w:t>
      </w:r>
      <w:r w:rsidR="0042507B" w:rsidRPr="00610B1B">
        <w:rPr>
          <w:rFonts w:ascii="Times New Roman" w:hAnsi="Times New Roman" w:cs="Times New Roman"/>
          <w:bCs/>
          <w:sz w:val="24"/>
          <w:szCs w:val="24"/>
          <w:lang w:val="bg-BG"/>
        </w:rPr>
        <w:t xml:space="preserve"> </w:t>
      </w:r>
      <w:r w:rsidR="00235374" w:rsidRPr="00610B1B">
        <w:rPr>
          <w:rFonts w:ascii="Times New Roman" w:hAnsi="Times New Roman" w:cs="Times New Roman"/>
          <w:bCs/>
          <w:sz w:val="24"/>
          <w:szCs w:val="24"/>
          <w:lang w:val="bg-BG"/>
        </w:rPr>
        <w:t>водите на пристанищата, ограничени откъм морето с линията, съединяваща най-отдалечените точки в морето на котвените места, хидротехническите и постоянни</w:t>
      </w:r>
      <w:r w:rsidR="0003485E" w:rsidRPr="00610B1B">
        <w:rPr>
          <w:rFonts w:ascii="Times New Roman" w:hAnsi="Times New Roman" w:cs="Times New Roman"/>
          <w:bCs/>
          <w:sz w:val="24"/>
          <w:szCs w:val="24"/>
          <w:lang w:val="bg-BG"/>
        </w:rPr>
        <w:t>те</w:t>
      </w:r>
      <w:r w:rsidR="00235374" w:rsidRPr="00610B1B">
        <w:rPr>
          <w:rFonts w:ascii="Times New Roman" w:hAnsi="Times New Roman" w:cs="Times New Roman"/>
          <w:bCs/>
          <w:sz w:val="24"/>
          <w:szCs w:val="24"/>
          <w:lang w:val="bg-BG"/>
        </w:rPr>
        <w:t xml:space="preserve"> пристанищни съоръжения;</w:t>
      </w:r>
      <w:r w:rsidR="0042507B" w:rsidRPr="00610B1B">
        <w:rPr>
          <w:rFonts w:ascii="Times New Roman" w:hAnsi="Times New Roman" w:cs="Times New Roman"/>
          <w:bCs/>
          <w:sz w:val="24"/>
          <w:szCs w:val="24"/>
          <w:lang w:val="bg-BG"/>
        </w:rPr>
        <w:t xml:space="preserve"> </w:t>
      </w:r>
      <w:r w:rsidR="00235374" w:rsidRPr="00610B1B">
        <w:rPr>
          <w:rFonts w:ascii="Times New Roman" w:hAnsi="Times New Roman" w:cs="Times New Roman"/>
          <w:bCs/>
          <w:sz w:val="24"/>
          <w:szCs w:val="24"/>
          <w:lang w:val="bg-BG"/>
        </w:rPr>
        <w:t>Варненския залив между бреговата линия и правата линия, съединяваща н</w:t>
      </w:r>
      <w:r w:rsidR="00290200" w:rsidRPr="00610B1B">
        <w:rPr>
          <w:rFonts w:ascii="Times New Roman" w:hAnsi="Times New Roman" w:cs="Times New Roman"/>
          <w:bCs/>
          <w:sz w:val="24"/>
          <w:szCs w:val="24"/>
          <w:lang w:val="bg-BG"/>
        </w:rPr>
        <w:t>ос</w:t>
      </w:r>
      <w:r w:rsidR="0042507B" w:rsidRPr="00610B1B">
        <w:rPr>
          <w:rFonts w:ascii="Times New Roman" w:hAnsi="Times New Roman" w:cs="Times New Roman"/>
          <w:bCs/>
          <w:sz w:val="24"/>
          <w:szCs w:val="24"/>
          <w:lang w:val="bg-BG"/>
        </w:rPr>
        <w:t xml:space="preserve"> </w:t>
      </w:r>
      <w:r w:rsidR="00235374" w:rsidRPr="00610B1B">
        <w:rPr>
          <w:rFonts w:ascii="Times New Roman" w:hAnsi="Times New Roman" w:cs="Times New Roman"/>
          <w:bCs/>
          <w:sz w:val="24"/>
          <w:szCs w:val="24"/>
          <w:lang w:val="bg-BG"/>
        </w:rPr>
        <w:t>Св. Константин с н</w:t>
      </w:r>
      <w:r w:rsidR="00290200" w:rsidRPr="00610B1B">
        <w:rPr>
          <w:rFonts w:ascii="Times New Roman" w:hAnsi="Times New Roman" w:cs="Times New Roman"/>
          <w:bCs/>
          <w:sz w:val="24"/>
          <w:szCs w:val="24"/>
          <w:lang w:val="bg-BG"/>
        </w:rPr>
        <w:t>ос</w:t>
      </w:r>
      <w:r w:rsidR="00235374" w:rsidRPr="00610B1B">
        <w:rPr>
          <w:rFonts w:ascii="Times New Roman" w:hAnsi="Times New Roman" w:cs="Times New Roman"/>
          <w:bCs/>
          <w:sz w:val="24"/>
          <w:szCs w:val="24"/>
          <w:lang w:val="bg-BG"/>
        </w:rPr>
        <w:t xml:space="preserve"> Иланджик;</w:t>
      </w:r>
      <w:r w:rsidR="0042507B" w:rsidRPr="00610B1B">
        <w:rPr>
          <w:rFonts w:ascii="Times New Roman" w:hAnsi="Times New Roman" w:cs="Times New Roman"/>
          <w:bCs/>
          <w:sz w:val="24"/>
          <w:szCs w:val="24"/>
          <w:lang w:val="bg-BG"/>
        </w:rPr>
        <w:t xml:space="preserve"> </w:t>
      </w:r>
      <w:r w:rsidR="00235374" w:rsidRPr="00610B1B">
        <w:rPr>
          <w:rFonts w:ascii="Times New Roman" w:hAnsi="Times New Roman" w:cs="Times New Roman"/>
          <w:bCs/>
          <w:sz w:val="24"/>
          <w:szCs w:val="24"/>
          <w:lang w:val="bg-BG"/>
        </w:rPr>
        <w:t>Бургаския залив между бреговата линия и линия</w:t>
      </w:r>
      <w:r w:rsidRPr="00610B1B">
        <w:rPr>
          <w:rFonts w:ascii="Times New Roman" w:hAnsi="Times New Roman" w:cs="Times New Roman"/>
          <w:bCs/>
          <w:sz w:val="24"/>
          <w:szCs w:val="24"/>
          <w:lang w:val="bg-BG"/>
        </w:rPr>
        <w:t>та</w:t>
      </w:r>
      <w:r w:rsidR="00235374" w:rsidRPr="00610B1B">
        <w:rPr>
          <w:rFonts w:ascii="Times New Roman" w:hAnsi="Times New Roman" w:cs="Times New Roman"/>
          <w:bCs/>
          <w:sz w:val="24"/>
          <w:szCs w:val="24"/>
          <w:lang w:val="bg-BG"/>
        </w:rPr>
        <w:t>, съединяваща н</w:t>
      </w:r>
      <w:r w:rsidR="00290200" w:rsidRPr="00610B1B">
        <w:rPr>
          <w:rFonts w:ascii="Times New Roman" w:hAnsi="Times New Roman" w:cs="Times New Roman"/>
          <w:bCs/>
          <w:sz w:val="24"/>
          <w:szCs w:val="24"/>
          <w:lang w:val="bg-BG"/>
        </w:rPr>
        <w:t>ос</w:t>
      </w:r>
      <w:r w:rsidR="00235374" w:rsidRPr="00610B1B">
        <w:rPr>
          <w:rFonts w:ascii="Times New Roman" w:hAnsi="Times New Roman" w:cs="Times New Roman"/>
          <w:bCs/>
          <w:sz w:val="24"/>
          <w:szCs w:val="24"/>
          <w:lang w:val="bg-BG"/>
        </w:rPr>
        <w:t xml:space="preserve"> Емине с Маслен нос</w:t>
      </w:r>
      <w:r w:rsidR="0042507B" w:rsidRPr="00610B1B">
        <w:rPr>
          <w:rFonts w:ascii="Times New Roman" w:hAnsi="Times New Roman" w:cs="Times New Roman"/>
          <w:bCs/>
          <w:sz w:val="24"/>
          <w:szCs w:val="24"/>
          <w:lang w:val="bg-BG"/>
        </w:rPr>
        <w:t xml:space="preserve"> и </w:t>
      </w:r>
      <w:r w:rsidR="00235374" w:rsidRPr="00610B1B">
        <w:rPr>
          <w:rFonts w:ascii="Times New Roman" w:hAnsi="Times New Roman" w:cs="Times New Roman"/>
          <w:bCs/>
          <w:sz w:val="24"/>
          <w:szCs w:val="24"/>
          <w:lang w:val="bg-BG"/>
        </w:rPr>
        <w:t>водите между бреговата линия и правите изходни линии, съединяващи н</w:t>
      </w:r>
      <w:r w:rsidR="00290200" w:rsidRPr="00610B1B">
        <w:rPr>
          <w:rFonts w:ascii="Times New Roman" w:hAnsi="Times New Roman" w:cs="Times New Roman"/>
          <w:bCs/>
          <w:sz w:val="24"/>
          <w:szCs w:val="24"/>
          <w:lang w:val="bg-BG"/>
        </w:rPr>
        <w:t>ос</w:t>
      </w:r>
      <w:r w:rsidR="00235374" w:rsidRPr="00610B1B">
        <w:rPr>
          <w:rFonts w:ascii="Times New Roman" w:hAnsi="Times New Roman" w:cs="Times New Roman"/>
          <w:bCs/>
          <w:sz w:val="24"/>
          <w:szCs w:val="24"/>
          <w:lang w:val="bg-BG"/>
        </w:rPr>
        <w:t xml:space="preserve"> Калиакра с н</w:t>
      </w:r>
      <w:r w:rsidR="00290200" w:rsidRPr="00610B1B">
        <w:rPr>
          <w:rFonts w:ascii="Times New Roman" w:hAnsi="Times New Roman" w:cs="Times New Roman"/>
          <w:bCs/>
          <w:sz w:val="24"/>
          <w:szCs w:val="24"/>
          <w:lang w:val="bg-BG"/>
        </w:rPr>
        <w:t>ос</w:t>
      </w:r>
      <w:r w:rsidR="00235374" w:rsidRPr="00610B1B">
        <w:rPr>
          <w:rFonts w:ascii="Times New Roman" w:hAnsi="Times New Roman" w:cs="Times New Roman"/>
          <w:bCs/>
          <w:sz w:val="24"/>
          <w:szCs w:val="24"/>
          <w:lang w:val="bg-BG"/>
        </w:rPr>
        <w:t xml:space="preserve"> Тузлата, н</w:t>
      </w:r>
      <w:r w:rsidR="00290200" w:rsidRPr="00610B1B">
        <w:rPr>
          <w:rFonts w:ascii="Times New Roman" w:hAnsi="Times New Roman" w:cs="Times New Roman"/>
          <w:bCs/>
          <w:sz w:val="24"/>
          <w:szCs w:val="24"/>
          <w:lang w:val="bg-BG"/>
        </w:rPr>
        <w:t>ос</w:t>
      </w:r>
      <w:r w:rsidR="00235374" w:rsidRPr="00610B1B">
        <w:rPr>
          <w:rFonts w:ascii="Times New Roman" w:hAnsi="Times New Roman" w:cs="Times New Roman"/>
          <w:bCs/>
          <w:sz w:val="24"/>
          <w:szCs w:val="24"/>
          <w:lang w:val="bg-BG"/>
        </w:rPr>
        <w:t xml:space="preserve"> Тузлата с н</w:t>
      </w:r>
      <w:r w:rsidR="00290200" w:rsidRPr="00610B1B">
        <w:rPr>
          <w:rFonts w:ascii="Times New Roman" w:hAnsi="Times New Roman" w:cs="Times New Roman"/>
          <w:bCs/>
          <w:sz w:val="24"/>
          <w:szCs w:val="24"/>
          <w:lang w:val="bg-BG"/>
        </w:rPr>
        <w:t>ос</w:t>
      </w:r>
      <w:r w:rsidR="00235374" w:rsidRPr="00610B1B">
        <w:rPr>
          <w:rFonts w:ascii="Times New Roman" w:hAnsi="Times New Roman" w:cs="Times New Roman"/>
          <w:bCs/>
          <w:sz w:val="24"/>
          <w:szCs w:val="24"/>
          <w:lang w:val="bg-BG"/>
        </w:rPr>
        <w:t xml:space="preserve"> Екрене и Маслен нос с н</w:t>
      </w:r>
      <w:r w:rsidR="00290200" w:rsidRPr="00610B1B">
        <w:rPr>
          <w:rFonts w:ascii="Times New Roman" w:hAnsi="Times New Roman" w:cs="Times New Roman"/>
          <w:bCs/>
          <w:sz w:val="24"/>
          <w:szCs w:val="24"/>
          <w:lang w:val="bg-BG"/>
        </w:rPr>
        <w:t>ос</w:t>
      </w:r>
      <w:r w:rsidR="00235374" w:rsidRPr="00610B1B">
        <w:rPr>
          <w:rFonts w:ascii="Times New Roman" w:hAnsi="Times New Roman" w:cs="Times New Roman"/>
          <w:bCs/>
          <w:sz w:val="24"/>
          <w:szCs w:val="24"/>
          <w:lang w:val="bg-BG"/>
        </w:rPr>
        <w:t xml:space="preserve"> Рохи.</w:t>
      </w:r>
      <w:r w:rsidR="00846281" w:rsidRPr="00610B1B">
        <w:rPr>
          <w:rFonts w:ascii="Times New Roman" w:hAnsi="Times New Roman" w:cs="Times New Roman"/>
          <w:bCs/>
          <w:sz w:val="24"/>
          <w:szCs w:val="24"/>
          <w:lang w:val="bg-BG"/>
        </w:rPr>
        <w:t xml:space="preserve"> </w:t>
      </w:r>
      <w:r w:rsidR="00E66DAD" w:rsidRPr="00610B1B">
        <w:rPr>
          <w:rFonts w:ascii="Times New Roman" w:hAnsi="Times New Roman" w:cs="Times New Roman"/>
          <w:bCs/>
          <w:sz w:val="24"/>
          <w:szCs w:val="24"/>
          <w:lang w:val="bg-BG"/>
        </w:rPr>
        <w:t>Общата площ на акваторията в тези граници е 971.871 km</w:t>
      </w:r>
      <w:r w:rsidR="00E66DAD" w:rsidRPr="00610B1B">
        <w:rPr>
          <w:rFonts w:ascii="Times New Roman" w:hAnsi="Times New Roman" w:cs="Times New Roman"/>
          <w:bCs/>
          <w:sz w:val="24"/>
          <w:szCs w:val="24"/>
          <w:vertAlign w:val="superscript"/>
          <w:lang w:val="bg-BG"/>
        </w:rPr>
        <w:t>2</w:t>
      </w:r>
      <w:r w:rsidR="00E66DAD" w:rsidRPr="00610B1B">
        <w:rPr>
          <w:rFonts w:ascii="Times New Roman" w:hAnsi="Times New Roman" w:cs="Times New Roman"/>
          <w:bCs/>
          <w:sz w:val="24"/>
          <w:szCs w:val="24"/>
          <w:lang w:val="bg-BG"/>
        </w:rPr>
        <w:t xml:space="preserve">. </w:t>
      </w:r>
    </w:p>
    <w:p w14:paraId="4B9BB061" w14:textId="6FA5767B" w:rsidR="005C55F7" w:rsidRPr="00610B1B" w:rsidRDefault="00797122"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i/>
          <w:iCs/>
          <w:sz w:val="24"/>
          <w:szCs w:val="24"/>
          <w:lang w:val="bg-BG"/>
        </w:rPr>
        <w:t xml:space="preserve">Териториалното </w:t>
      </w:r>
      <w:r w:rsidR="00D06DF6" w:rsidRPr="00610B1B">
        <w:rPr>
          <w:rFonts w:ascii="Times New Roman" w:hAnsi="Times New Roman" w:cs="Times New Roman"/>
          <w:bCs/>
          <w:i/>
          <w:iCs/>
          <w:sz w:val="24"/>
          <w:szCs w:val="24"/>
          <w:lang w:val="bg-BG"/>
        </w:rPr>
        <w:t>море</w:t>
      </w:r>
      <w:r w:rsidRPr="00610B1B">
        <w:rPr>
          <w:rFonts w:ascii="Times New Roman" w:hAnsi="Times New Roman" w:cs="Times New Roman"/>
          <w:bCs/>
          <w:i/>
          <w:iCs/>
          <w:sz w:val="24"/>
          <w:szCs w:val="24"/>
          <w:lang w:val="bg-BG"/>
        </w:rPr>
        <w:t>,</w:t>
      </w:r>
      <w:r w:rsidR="00235374" w:rsidRPr="00610B1B">
        <w:rPr>
          <w:rFonts w:ascii="Times New Roman" w:hAnsi="Times New Roman" w:cs="Times New Roman"/>
          <w:bCs/>
          <w:sz w:val="24"/>
          <w:szCs w:val="24"/>
          <w:lang w:val="bg-BG"/>
        </w:rPr>
        <w:t xml:space="preserve"> </w:t>
      </w:r>
      <w:r w:rsidR="002129A9" w:rsidRPr="00610B1B">
        <w:rPr>
          <w:rFonts w:ascii="Times New Roman" w:hAnsi="Times New Roman" w:cs="Times New Roman"/>
          <w:bCs/>
          <w:sz w:val="24"/>
          <w:szCs w:val="24"/>
          <w:lang w:val="bg-BG"/>
        </w:rPr>
        <w:t xml:space="preserve">определено в съответствие с чл. </w:t>
      </w:r>
      <w:r w:rsidR="00C11A47" w:rsidRPr="00610B1B">
        <w:rPr>
          <w:rFonts w:ascii="Times New Roman" w:hAnsi="Times New Roman" w:cs="Times New Roman"/>
          <w:bCs/>
          <w:sz w:val="24"/>
          <w:szCs w:val="24"/>
          <w:lang w:val="bg-BG"/>
        </w:rPr>
        <w:t>3, 4 и 5 на КООНМП</w:t>
      </w:r>
      <w:r w:rsidRPr="00610B1B">
        <w:rPr>
          <w:rFonts w:ascii="Times New Roman" w:hAnsi="Times New Roman" w:cs="Times New Roman"/>
          <w:bCs/>
          <w:sz w:val="24"/>
          <w:szCs w:val="24"/>
          <w:lang w:val="bg-BG"/>
        </w:rPr>
        <w:t>,</w:t>
      </w:r>
      <w:r w:rsidR="00235374" w:rsidRPr="00610B1B">
        <w:rPr>
          <w:rFonts w:ascii="Times New Roman" w:hAnsi="Times New Roman" w:cs="Times New Roman"/>
          <w:bCs/>
          <w:sz w:val="24"/>
          <w:szCs w:val="24"/>
          <w:lang w:val="bg-BG"/>
        </w:rPr>
        <w:t xml:space="preserve"> включва прилежащата към брега и вътрешните морски води морска ивица с широчина 12 морски мили, измервана от изходните линии</w:t>
      </w:r>
      <w:r w:rsidR="00C11A47" w:rsidRPr="00610B1B">
        <w:rPr>
          <w:rFonts w:ascii="Times New Roman" w:hAnsi="Times New Roman" w:cs="Times New Roman"/>
          <w:bCs/>
          <w:sz w:val="24"/>
          <w:szCs w:val="24"/>
          <w:lang w:val="bg-BG"/>
        </w:rPr>
        <w:t xml:space="preserve"> </w:t>
      </w:r>
      <w:r w:rsidR="00235374" w:rsidRPr="00610B1B">
        <w:rPr>
          <w:rFonts w:ascii="Times New Roman" w:hAnsi="Times New Roman" w:cs="Times New Roman"/>
          <w:bCs/>
          <w:sz w:val="24"/>
          <w:szCs w:val="24"/>
          <w:lang w:val="bg-BG"/>
        </w:rPr>
        <w:t>на най-големия отлив от брега или правите линии, съединяващи двете крайни точки на заливите.</w:t>
      </w:r>
      <w:r w:rsidR="008A62D8" w:rsidRPr="00610B1B">
        <w:rPr>
          <w:rStyle w:val="FootnoteReference"/>
          <w:rFonts w:ascii="Times New Roman" w:hAnsi="Times New Roman" w:cs="Times New Roman"/>
          <w:bCs/>
          <w:sz w:val="24"/>
          <w:szCs w:val="24"/>
          <w:lang w:val="bg-BG"/>
        </w:rPr>
        <w:footnoteReference w:id="51"/>
      </w:r>
      <w:r w:rsidR="00C11A47" w:rsidRPr="00610B1B">
        <w:rPr>
          <w:rFonts w:ascii="Times New Roman" w:hAnsi="Times New Roman" w:cs="Times New Roman"/>
          <w:bCs/>
          <w:sz w:val="24"/>
          <w:szCs w:val="24"/>
          <w:lang w:val="bg-BG"/>
        </w:rPr>
        <w:t xml:space="preserve"> </w:t>
      </w:r>
      <w:r w:rsidR="00235374" w:rsidRPr="00610B1B">
        <w:rPr>
          <w:rFonts w:ascii="Times New Roman" w:hAnsi="Times New Roman" w:cs="Times New Roman"/>
          <w:bCs/>
          <w:sz w:val="24"/>
          <w:szCs w:val="24"/>
          <w:lang w:val="bg-BG"/>
        </w:rPr>
        <w:t>Териториалното море на Република България се разграничава от териториалното море на съседните държави с географския паралел от точката на сухоземната граница, опираща се на морския бряг</w:t>
      </w:r>
      <w:r w:rsidR="00C11A47" w:rsidRPr="00610B1B">
        <w:rPr>
          <w:rFonts w:ascii="Times New Roman" w:hAnsi="Times New Roman" w:cs="Times New Roman"/>
          <w:bCs/>
          <w:sz w:val="24"/>
          <w:szCs w:val="24"/>
          <w:lang w:val="bg-BG"/>
        </w:rPr>
        <w:t>, а в</w:t>
      </w:r>
      <w:r w:rsidR="00235374" w:rsidRPr="00610B1B">
        <w:rPr>
          <w:rFonts w:ascii="Times New Roman" w:hAnsi="Times New Roman" w:cs="Times New Roman"/>
          <w:bCs/>
          <w:sz w:val="24"/>
          <w:szCs w:val="24"/>
          <w:lang w:val="bg-BG"/>
        </w:rPr>
        <w:t xml:space="preserve">ъншната и страничните </w:t>
      </w:r>
      <w:r w:rsidR="00C11A47" w:rsidRPr="00610B1B">
        <w:rPr>
          <w:rFonts w:ascii="Times New Roman" w:hAnsi="Times New Roman" w:cs="Times New Roman"/>
          <w:bCs/>
          <w:sz w:val="24"/>
          <w:szCs w:val="24"/>
          <w:lang w:val="bg-BG"/>
        </w:rPr>
        <w:t xml:space="preserve">му </w:t>
      </w:r>
      <w:r w:rsidR="00235374" w:rsidRPr="00610B1B">
        <w:rPr>
          <w:rFonts w:ascii="Times New Roman" w:hAnsi="Times New Roman" w:cs="Times New Roman"/>
          <w:bCs/>
          <w:sz w:val="24"/>
          <w:szCs w:val="24"/>
          <w:lang w:val="bg-BG"/>
        </w:rPr>
        <w:t xml:space="preserve">граници са държавна граница на </w:t>
      </w:r>
      <w:r w:rsidR="00C11A47" w:rsidRPr="00610B1B">
        <w:rPr>
          <w:rFonts w:ascii="Times New Roman" w:hAnsi="Times New Roman" w:cs="Times New Roman"/>
          <w:bCs/>
          <w:sz w:val="24"/>
          <w:szCs w:val="24"/>
          <w:lang w:val="bg-BG"/>
        </w:rPr>
        <w:t>страната</w:t>
      </w:r>
      <w:r w:rsidR="00235374" w:rsidRPr="00610B1B">
        <w:rPr>
          <w:rFonts w:ascii="Times New Roman" w:hAnsi="Times New Roman" w:cs="Times New Roman"/>
          <w:bCs/>
          <w:sz w:val="24"/>
          <w:szCs w:val="24"/>
          <w:lang w:val="bg-BG"/>
        </w:rPr>
        <w:t>.</w:t>
      </w:r>
      <w:r w:rsidR="00C11A47" w:rsidRPr="00610B1B">
        <w:rPr>
          <w:rFonts w:ascii="Times New Roman" w:hAnsi="Times New Roman" w:cs="Times New Roman"/>
          <w:bCs/>
          <w:sz w:val="24"/>
          <w:szCs w:val="24"/>
          <w:lang w:val="bg-BG"/>
        </w:rPr>
        <w:t xml:space="preserve"> </w:t>
      </w:r>
    </w:p>
    <w:p w14:paraId="22A14C52" w14:textId="73379571" w:rsidR="00235374" w:rsidRPr="00610B1B" w:rsidRDefault="00797122"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i/>
          <w:iCs/>
          <w:sz w:val="24"/>
          <w:szCs w:val="24"/>
          <w:lang w:val="bg-BG"/>
        </w:rPr>
        <w:t xml:space="preserve">Прилежащата </w:t>
      </w:r>
      <w:r w:rsidR="00D06DF6" w:rsidRPr="00610B1B">
        <w:rPr>
          <w:rFonts w:ascii="Times New Roman" w:hAnsi="Times New Roman" w:cs="Times New Roman"/>
          <w:bCs/>
          <w:i/>
          <w:iCs/>
          <w:sz w:val="24"/>
          <w:szCs w:val="24"/>
          <w:lang w:val="bg-BG"/>
        </w:rPr>
        <w:t>зона</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е </w:t>
      </w:r>
      <w:r w:rsidR="00235374" w:rsidRPr="00610B1B">
        <w:rPr>
          <w:rFonts w:ascii="Times New Roman" w:hAnsi="Times New Roman" w:cs="Times New Roman"/>
          <w:bCs/>
          <w:sz w:val="24"/>
          <w:szCs w:val="24"/>
          <w:lang w:val="bg-BG"/>
        </w:rPr>
        <w:t>морската ивица, която се опира до териториалното море и се разпростира на разстояние 24 морски мили от изходните линии, от които се измерва ширината на териториалното море.</w:t>
      </w:r>
      <w:r w:rsidR="00175A82" w:rsidRPr="00610B1B">
        <w:rPr>
          <w:rFonts w:ascii="Times New Roman" w:hAnsi="Times New Roman" w:cs="Times New Roman"/>
          <w:bCs/>
          <w:sz w:val="24"/>
          <w:szCs w:val="24"/>
          <w:lang w:val="bg-BG"/>
        </w:rPr>
        <w:t xml:space="preserve"> В нея Република България чрез Министерството на вътрешните работи и Министерството на отбраната </w:t>
      </w:r>
      <w:r w:rsidR="00235374" w:rsidRPr="00610B1B">
        <w:rPr>
          <w:rFonts w:ascii="Times New Roman" w:hAnsi="Times New Roman" w:cs="Times New Roman"/>
          <w:bCs/>
          <w:sz w:val="24"/>
          <w:szCs w:val="24"/>
          <w:lang w:val="bg-BG"/>
        </w:rPr>
        <w:t>осъществява контрол за предотвратяване нарушаването на митническите, финансовите, граничните и здравните изисквания в пределите на страната, включително и в териториалното море.</w:t>
      </w:r>
    </w:p>
    <w:p w14:paraId="50883EB8" w14:textId="34548B39" w:rsidR="00235374" w:rsidRPr="00610B1B" w:rsidRDefault="00797122"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i/>
          <w:iCs/>
          <w:sz w:val="24"/>
          <w:szCs w:val="24"/>
          <w:lang w:val="bg-BG"/>
        </w:rPr>
        <w:t xml:space="preserve">Континенталният </w:t>
      </w:r>
      <w:r w:rsidR="00235374" w:rsidRPr="00610B1B">
        <w:rPr>
          <w:rFonts w:ascii="Times New Roman" w:hAnsi="Times New Roman" w:cs="Times New Roman"/>
          <w:bCs/>
          <w:i/>
          <w:iCs/>
          <w:sz w:val="24"/>
          <w:szCs w:val="24"/>
          <w:lang w:val="bg-BG"/>
        </w:rPr>
        <w:t>шелф</w:t>
      </w:r>
      <w:r w:rsidR="00235374"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включва</w:t>
      </w:r>
      <w:r w:rsidR="00235374" w:rsidRPr="00610B1B">
        <w:rPr>
          <w:rFonts w:ascii="Times New Roman" w:hAnsi="Times New Roman" w:cs="Times New Roman"/>
          <w:bCs/>
          <w:sz w:val="24"/>
          <w:szCs w:val="24"/>
          <w:lang w:val="bg-BG"/>
        </w:rPr>
        <w:t xml:space="preserve"> морското дъно и недрата на подводния район, </w:t>
      </w:r>
      <w:r w:rsidRPr="00610B1B">
        <w:rPr>
          <w:rFonts w:ascii="Times New Roman" w:hAnsi="Times New Roman" w:cs="Times New Roman"/>
          <w:bCs/>
          <w:sz w:val="24"/>
          <w:szCs w:val="24"/>
          <w:lang w:val="bg-BG"/>
        </w:rPr>
        <w:t xml:space="preserve">които са </w:t>
      </w:r>
      <w:r w:rsidR="00235374" w:rsidRPr="00610B1B">
        <w:rPr>
          <w:rFonts w:ascii="Times New Roman" w:hAnsi="Times New Roman" w:cs="Times New Roman"/>
          <w:bCs/>
          <w:sz w:val="24"/>
          <w:szCs w:val="24"/>
          <w:lang w:val="bg-BG"/>
        </w:rPr>
        <w:t>естествено продължение на сухоземната територия</w:t>
      </w:r>
      <w:r w:rsidRPr="00610B1B">
        <w:rPr>
          <w:rFonts w:ascii="Times New Roman" w:hAnsi="Times New Roman" w:cs="Times New Roman"/>
          <w:bCs/>
          <w:sz w:val="24"/>
          <w:szCs w:val="24"/>
          <w:lang w:val="bg-BG"/>
        </w:rPr>
        <w:t xml:space="preserve"> и се </w:t>
      </w:r>
      <w:r w:rsidR="00235374" w:rsidRPr="00610B1B">
        <w:rPr>
          <w:rFonts w:ascii="Times New Roman" w:hAnsi="Times New Roman" w:cs="Times New Roman"/>
          <w:bCs/>
          <w:sz w:val="24"/>
          <w:szCs w:val="24"/>
          <w:lang w:val="bg-BG"/>
        </w:rPr>
        <w:t>разпростира</w:t>
      </w:r>
      <w:r w:rsidRPr="00610B1B">
        <w:rPr>
          <w:rFonts w:ascii="Times New Roman" w:hAnsi="Times New Roman" w:cs="Times New Roman"/>
          <w:bCs/>
          <w:sz w:val="24"/>
          <w:szCs w:val="24"/>
          <w:lang w:val="bg-BG"/>
        </w:rPr>
        <w:t xml:space="preserve">т </w:t>
      </w:r>
      <w:r w:rsidR="00235374" w:rsidRPr="00610B1B">
        <w:rPr>
          <w:rFonts w:ascii="Times New Roman" w:hAnsi="Times New Roman" w:cs="Times New Roman"/>
          <w:bCs/>
          <w:sz w:val="24"/>
          <w:szCs w:val="24"/>
          <w:lang w:val="bg-BG"/>
        </w:rPr>
        <w:t>отвъд териториалното море до установените граници с континенталния шелф на другите прилежащи и срещулежащи черноморски държави</w:t>
      </w:r>
      <w:r w:rsidRPr="00610B1B">
        <w:rPr>
          <w:rFonts w:ascii="Times New Roman" w:hAnsi="Times New Roman" w:cs="Times New Roman"/>
          <w:bCs/>
          <w:sz w:val="24"/>
          <w:szCs w:val="24"/>
          <w:lang w:val="bg-BG"/>
        </w:rPr>
        <w:t>,</w:t>
      </w:r>
      <w:r w:rsidR="00235374" w:rsidRPr="00610B1B">
        <w:rPr>
          <w:rFonts w:ascii="Times New Roman" w:hAnsi="Times New Roman" w:cs="Times New Roman"/>
          <w:bCs/>
          <w:sz w:val="24"/>
          <w:szCs w:val="24"/>
          <w:lang w:val="bg-BG"/>
        </w:rPr>
        <w:t xml:space="preserve"> в съответствие с международното право</w:t>
      </w:r>
      <w:r w:rsidR="00E51B86" w:rsidRPr="00610B1B">
        <w:rPr>
          <w:rFonts w:ascii="Times New Roman" w:hAnsi="Times New Roman" w:cs="Times New Roman"/>
          <w:bCs/>
          <w:sz w:val="24"/>
          <w:szCs w:val="24"/>
          <w:lang w:val="bg-BG"/>
        </w:rPr>
        <w:t xml:space="preserve">. В </w:t>
      </w:r>
      <w:r w:rsidR="00235374" w:rsidRPr="00610B1B">
        <w:rPr>
          <w:rFonts w:ascii="Times New Roman" w:hAnsi="Times New Roman" w:cs="Times New Roman"/>
          <w:bCs/>
          <w:sz w:val="24"/>
          <w:szCs w:val="24"/>
          <w:lang w:val="bg-BG"/>
        </w:rPr>
        <w:t xml:space="preserve">континенталния шелф </w:t>
      </w:r>
      <w:r w:rsidR="00E51B86" w:rsidRPr="00610B1B">
        <w:rPr>
          <w:rFonts w:ascii="Times New Roman" w:hAnsi="Times New Roman" w:cs="Times New Roman"/>
          <w:bCs/>
          <w:sz w:val="24"/>
          <w:szCs w:val="24"/>
          <w:lang w:val="bg-BG"/>
        </w:rPr>
        <w:t xml:space="preserve">страната упражнява </w:t>
      </w:r>
      <w:r w:rsidR="00235374" w:rsidRPr="00610B1B">
        <w:rPr>
          <w:rFonts w:ascii="Times New Roman" w:hAnsi="Times New Roman" w:cs="Times New Roman"/>
          <w:bCs/>
          <w:sz w:val="24"/>
          <w:szCs w:val="24"/>
          <w:lang w:val="bg-BG"/>
        </w:rPr>
        <w:t>суверенни</w:t>
      </w:r>
      <w:r w:rsidR="00E51B86" w:rsidRPr="00610B1B">
        <w:rPr>
          <w:rFonts w:ascii="Times New Roman" w:hAnsi="Times New Roman" w:cs="Times New Roman"/>
          <w:bCs/>
          <w:sz w:val="24"/>
          <w:szCs w:val="24"/>
          <w:lang w:val="bg-BG"/>
        </w:rPr>
        <w:t>те си</w:t>
      </w:r>
      <w:r w:rsidR="00235374" w:rsidRPr="00610B1B">
        <w:rPr>
          <w:rFonts w:ascii="Times New Roman" w:hAnsi="Times New Roman" w:cs="Times New Roman"/>
          <w:bCs/>
          <w:sz w:val="24"/>
          <w:szCs w:val="24"/>
          <w:lang w:val="bg-BG"/>
        </w:rPr>
        <w:t xml:space="preserve"> права за търсене, проучване, разработване, използване, опазване и стопанисване на </w:t>
      </w:r>
      <w:r w:rsidR="00E51B86" w:rsidRPr="00610B1B">
        <w:rPr>
          <w:rFonts w:ascii="Times New Roman" w:hAnsi="Times New Roman" w:cs="Times New Roman"/>
          <w:bCs/>
          <w:sz w:val="24"/>
          <w:szCs w:val="24"/>
          <w:lang w:val="bg-BG"/>
        </w:rPr>
        <w:t>е</w:t>
      </w:r>
      <w:r w:rsidR="00235374" w:rsidRPr="00610B1B">
        <w:rPr>
          <w:rFonts w:ascii="Times New Roman" w:hAnsi="Times New Roman" w:cs="Times New Roman"/>
          <w:bCs/>
          <w:sz w:val="24"/>
          <w:szCs w:val="24"/>
          <w:lang w:val="bg-BG"/>
        </w:rPr>
        <w:t>нергийни</w:t>
      </w:r>
      <w:r w:rsidR="00143CBE" w:rsidRPr="00610B1B">
        <w:rPr>
          <w:rFonts w:ascii="Times New Roman" w:hAnsi="Times New Roman" w:cs="Times New Roman"/>
          <w:bCs/>
          <w:sz w:val="24"/>
          <w:szCs w:val="24"/>
          <w:lang w:val="bg-BG"/>
        </w:rPr>
        <w:t>те</w:t>
      </w:r>
      <w:r w:rsidR="00235374" w:rsidRPr="00610B1B">
        <w:rPr>
          <w:rFonts w:ascii="Times New Roman" w:hAnsi="Times New Roman" w:cs="Times New Roman"/>
          <w:bCs/>
          <w:sz w:val="24"/>
          <w:szCs w:val="24"/>
          <w:lang w:val="bg-BG"/>
        </w:rPr>
        <w:t xml:space="preserve">, </w:t>
      </w:r>
      <w:r w:rsidR="00235374" w:rsidRPr="00610B1B">
        <w:rPr>
          <w:rFonts w:ascii="Times New Roman" w:hAnsi="Times New Roman" w:cs="Times New Roman"/>
          <w:bCs/>
          <w:sz w:val="24"/>
          <w:szCs w:val="24"/>
          <w:lang w:val="bg-BG"/>
        </w:rPr>
        <w:lastRenderedPageBreak/>
        <w:t>минерални</w:t>
      </w:r>
      <w:r w:rsidR="00143CBE" w:rsidRPr="00610B1B">
        <w:rPr>
          <w:rFonts w:ascii="Times New Roman" w:hAnsi="Times New Roman" w:cs="Times New Roman"/>
          <w:bCs/>
          <w:sz w:val="24"/>
          <w:szCs w:val="24"/>
          <w:lang w:val="bg-BG"/>
        </w:rPr>
        <w:t>те</w:t>
      </w:r>
      <w:r w:rsidR="00235374" w:rsidRPr="00610B1B">
        <w:rPr>
          <w:rFonts w:ascii="Times New Roman" w:hAnsi="Times New Roman" w:cs="Times New Roman"/>
          <w:bCs/>
          <w:sz w:val="24"/>
          <w:szCs w:val="24"/>
          <w:lang w:val="bg-BG"/>
        </w:rPr>
        <w:t xml:space="preserve"> и други небиологични ресурси на морското дъно и в неговите недра, и живите организми, принадлежащи към прикрепените видове.</w:t>
      </w:r>
      <w:r w:rsidR="00E51B86" w:rsidRPr="00610B1B">
        <w:rPr>
          <w:rFonts w:ascii="Times New Roman" w:hAnsi="Times New Roman" w:cs="Times New Roman"/>
          <w:bCs/>
          <w:sz w:val="24"/>
          <w:szCs w:val="24"/>
          <w:lang w:val="bg-BG"/>
        </w:rPr>
        <w:t xml:space="preserve"> </w:t>
      </w:r>
    </w:p>
    <w:p w14:paraId="3B62ECB8" w14:textId="5F557DD3" w:rsidR="00D06DF6" w:rsidRPr="00610B1B" w:rsidRDefault="00797122"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i/>
          <w:iCs/>
          <w:sz w:val="24"/>
          <w:szCs w:val="24"/>
          <w:lang w:val="bg-BG"/>
        </w:rPr>
        <w:t xml:space="preserve">Изключителната </w:t>
      </w:r>
      <w:r w:rsidR="00D06DF6" w:rsidRPr="00610B1B">
        <w:rPr>
          <w:rFonts w:ascii="Times New Roman" w:hAnsi="Times New Roman" w:cs="Times New Roman"/>
          <w:bCs/>
          <w:i/>
          <w:iCs/>
          <w:sz w:val="24"/>
          <w:szCs w:val="24"/>
          <w:lang w:val="bg-BG"/>
        </w:rPr>
        <w:t>икономическа зона</w:t>
      </w:r>
      <w:r w:rsidR="00235374" w:rsidRPr="00610B1B">
        <w:rPr>
          <w:rFonts w:ascii="Times New Roman" w:hAnsi="Times New Roman" w:cs="Times New Roman"/>
          <w:bCs/>
          <w:sz w:val="24"/>
          <w:szCs w:val="24"/>
          <w:lang w:val="bg-BG"/>
        </w:rPr>
        <w:t xml:space="preserve"> се простира отвъд границите на териториалното море на разстояние до 200 морски мили от изходните линии, от които се измерва ширината на териториалното море.</w:t>
      </w:r>
      <w:r w:rsidR="00776CC6" w:rsidRPr="00610B1B">
        <w:rPr>
          <w:rFonts w:ascii="Times New Roman" w:hAnsi="Times New Roman" w:cs="Times New Roman"/>
          <w:lang w:val="bg-BG"/>
        </w:rPr>
        <w:t xml:space="preserve"> </w:t>
      </w:r>
      <w:r w:rsidR="00776CC6" w:rsidRPr="00610B1B">
        <w:rPr>
          <w:rFonts w:ascii="Times New Roman" w:hAnsi="Times New Roman" w:cs="Times New Roman"/>
          <w:sz w:val="24"/>
          <w:szCs w:val="24"/>
          <w:lang w:val="bg-BG"/>
        </w:rPr>
        <w:t xml:space="preserve">По данни на БДЧР </w:t>
      </w:r>
      <w:r w:rsidR="00776CC6" w:rsidRPr="00610B1B">
        <w:rPr>
          <w:rFonts w:ascii="Times New Roman" w:hAnsi="Times New Roman" w:cs="Times New Roman"/>
          <w:bCs/>
          <w:sz w:val="24"/>
          <w:szCs w:val="24"/>
          <w:lang w:val="bg-BG"/>
        </w:rPr>
        <w:t>тя е с площ от 29 052 km</w:t>
      </w:r>
      <w:r w:rsidR="00776CC6" w:rsidRPr="00610B1B">
        <w:rPr>
          <w:rFonts w:ascii="Times New Roman" w:hAnsi="Times New Roman" w:cs="Times New Roman"/>
          <w:bCs/>
          <w:sz w:val="24"/>
          <w:szCs w:val="24"/>
          <w:vertAlign w:val="superscript"/>
          <w:lang w:val="bg-BG"/>
        </w:rPr>
        <w:t>2</w:t>
      </w:r>
      <w:r w:rsidR="00776CC6" w:rsidRPr="00610B1B">
        <w:rPr>
          <w:rFonts w:ascii="Times New Roman" w:hAnsi="Times New Roman" w:cs="Times New Roman"/>
          <w:bCs/>
          <w:sz w:val="24"/>
          <w:szCs w:val="24"/>
          <w:lang w:val="bg-BG"/>
        </w:rPr>
        <w:t>, или</w:t>
      </w:r>
      <w:r w:rsidR="00D66FE0" w:rsidRPr="00610B1B">
        <w:rPr>
          <w:rFonts w:ascii="Times New Roman" w:hAnsi="Times New Roman" w:cs="Times New Roman"/>
          <w:bCs/>
          <w:sz w:val="24"/>
          <w:szCs w:val="24"/>
          <w:lang w:val="bg-BG"/>
        </w:rPr>
        <w:t xml:space="preserve"> </w:t>
      </w:r>
      <w:r w:rsidR="00776CC6" w:rsidRPr="00610B1B">
        <w:rPr>
          <w:rFonts w:ascii="Times New Roman" w:hAnsi="Times New Roman" w:cs="Times New Roman"/>
          <w:bCs/>
          <w:sz w:val="24"/>
          <w:szCs w:val="24"/>
          <w:lang w:val="bg-BG"/>
        </w:rPr>
        <w:t>6,8% от общата площ (421 638 km</w:t>
      </w:r>
      <w:r w:rsidR="00776CC6" w:rsidRPr="00610B1B">
        <w:rPr>
          <w:rFonts w:ascii="Times New Roman" w:hAnsi="Times New Roman" w:cs="Times New Roman"/>
          <w:bCs/>
          <w:sz w:val="24"/>
          <w:szCs w:val="24"/>
          <w:vertAlign w:val="superscript"/>
          <w:lang w:val="bg-BG"/>
        </w:rPr>
        <w:t>2</w:t>
      </w:r>
      <w:r w:rsidR="00776CC6" w:rsidRPr="00610B1B">
        <w:rPr>
          <w:rFonts w:ascii="Times New Roman" w:hAnsi="Times New Roman" w:cs="Times New Roman"/>
          <w:bCs/>
          <w:sz w:val="24"/>
          <w:szCs w:val="24"/>
          <w:lang w:val="bg-BG"/>
        </w:rPr>
        <w:t xml:space="preserve">). Споразумението между Р. България и Р. Турция за определяне на границата в района на устието на река Резовска/Мутлудере и разграничаване на морските пространства между двете държави в Черно море е обнародвано в ДВ бр. 68 /30.07.1999 г. </w:t>
      </w:r>
      <w:r w:rsidR="00B61304" w:rsidRPr="00610B1B">
        <w:rPr>
          <w:rFonts w:ascii="Times New Roman" w:hAnsi="Times New Roman" w:cs="Times New Roman"/>
          <w:bCs/>
          <w:sz w:val="24"/>
          <w:szCs w:val="24"/>
          <w:lang w:val="bg-BG"/>
        </w:rPr>
        <w:t>По с</w:t>
      </w:r>
      <w:r w:rsidR="00776CC6" w:rsidRPr="00610B1B">
        <w:rPr>
          <w:rFonts w:ascii="Times New Roman" w:hAnsi="Times New Roman" w:cs="Times New Roman"/>
          <w:bCs/>
          <w:sz w:val="24"/>
          <w:szCs w:val="24"/>
          <w:lang w:val="bg-BG"/>
        </w:rPr>
        <w:t>поразумението с Р. Румъния все още</w:t>
      </w:r>
      <w:r w:rsidR="00B61304" w:rsidRPr="00610B1B">
        <w:rPr>
          <w:rFonts w:ascii="Times New Roman" w:hAnsi="Times New Roman" w:cs="Times New Roman"/>
          <w:bCs/>
          <w:sz w:val="24"/>
          <w:szCs w:val="24"/>
          <w:lang w:val="bg-BG"/>
        </w:rPr>
        <w:t xml:space="preserve"> се водят преговори. </w:t>
      </w:r>
      <w:r w:rsidR="00235374" w:rsidRPr="00610B1B">
        <w:rPr>
          <w:rFonts w:ascii="Times New Roman" w:hAnsi="Times New Roman" w:cs="Times New Roman"/>
          <w:bCs/>
          <w:sz w:val="24"/>
          <w:szCs w:val="24"/>
          <w:lang w:val="bg-BG"/>
        </w:rPr>
        <w:t>В изключителната икономическа зона Република България осъществява</w:t>
      </w:r>
      <w:r w:rsidR="00B61304" w:rsidRPr="00610B1B">
        <w:rPr>
          <w:rFonts w:ascii="Times New Roman" w:hAnsi="Times New Roman" w:cs="Times New Roman"/>
          <w:bCs/>
          <w:sz w:val="24"/>
          <w:szCs w:val="24"/>
          <w:lang w:val="bg-BG"/>
        </w:rPr>
        <w:t xml:space="preserve"> своите суверенни права, </w:t>
      </w:r>
      <w:r w:rsidR="00B81075" w:rsidRPr="00610B1B">
        <w:rPr>
          <w:rFonts w:ascii="Times New Roman" w:hAnsi="Times New Roman" w:cs="Times New Roman"/>
          <w:bCs/>
          <w:sz w:val="24"/>
          <w:szCs w:val="24"/>
          <w:lang w:val="bg-BG"/>
        </w:rPr>
        <w:t>провежда</w:t>
      </w:r>
      <w:r w:rsidR="00B61304" w:rsidRPr="00610B1B">
        <w:rPr>
          <w:rFonts w:ascii="Times New Roman" w:hAnsi="Times New Roman" w:cs="Times New Roman"/>
          <w:bCs/>
          <w:sz w:val="24"/>
          <w:szCs w:val="24"/>
          <w:lang w:val="bg-BG"/>
        </w:rPr>
        <w:t xml:space="preserve"> морски научни изследвания в съответствие с</w:t>
      </w:r>
      <w:r w:rsidR="00D66FE0" w:rsidRPr="00610B1B">
        <w:rPr>
          <w:rFonts w:ascii="Times New Roman" w:hAnsi="Times New Roman" w:cs="Times New Roman"/>
          <w:bCs/>
          <w:sz w:val="24"/>
          <w:szCs w:val="24"/>
          <w:lang w:val="bg-BG"/>
        </w:rPr>
        <w:t xml:space="preserve"> </w:t>
      </w:r>
      <w:r w:rsidR="00235374" w:rsidRPr="00610B1B">
        <w:rPr>
          <w:rFonts w:ascii="Times New Roman" w:hAnsi="Times New Roman" w:cs="Times New Roman"/>
          <w:bCs/>
          <w:sz w:val="24"/>
          <w:szCs w:val="24"/>
          <w:lang w:val="bg-BG"/>
        </w:rPr>
        <w:t>общопризнатите принципи и норми на международното право.</w:t>
      </w:r>
      <w:r w:rsidR="00C415D1" w:rsidRPr="00610B1B">
        <w:rPr>
          <w:rFonts w:ascii="Times New Roman" w:hAnsi="Times New Roman" w:cs="Times New Roman"/>
          <w:bCs/>
          <w:sz w:val="24"/>
          <w:szCs w:val="24"/>
          <w:lang w:val="bg-BG"/>
        </w:rPr>
        <w:t xml:space="preserve"> </w:t>
      </w:r>
    </w:p>
    <w:p w14:paraId="22BD6DC1" w14:textId="72840BBE" w:rsidR="00D06DF6" w:rsidRPr="00610B1B" w:rsidRDefault="00D06DF6"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Вътрешните морски води и териториалното море, както и въздушното пространство над тях, тяхното дъно и неговите недра са част от територията на Република България, върху които тя осъществява своя суверенитет.</w:t>
      </w:r>
      <w:r w:rsidR="00B61304"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В прилежащата зона, в континенталния шелф и в изключителната икономическа зона Република България осъществява суверенни права, юрисдикция и контрол, определени </w:t>
      </w:r>
      <w:r w:rsidR="00B61304" w:rsidRPr="00610B1B">
        <w:rPr>
          <w:rFonts w:ascii="Times New Roman" w:hAnsi="Times New Roman" w:cs="Times New Roman"/>
          <w:bCs/>
          <w:sz w:val="24"/>
          <w:szCs w:val="24"/>
          <w:lang w:val="bg-BG"/>
        </w:rPr>
        <w:t>със ЗМПВВППРБ</w:t>
      </w:r>
      <w:r w:rsidRPr="00610B1B">
        <w:rPr>
          <w:rFonts w:ascii="Times New Roman" w:hAnsi="Times New Roman" w:cs="Times New Roman"/>
          <w:bCs/>
          <w:sz w:val="24"/>
          <w:szCs w:val="24"/>
          <w:lang w:val="bg-BG"/>
        </w:rPr>
        <w:t>.</w:t>
      </w:r>
      <w:r w:rsidR="00B61304" w:rsidRPr="00610B1B">
        <w:rPr>
          <w:rFonts w:ascii="Times New Roman" w:hAnsi="Times New Roman" w:cs="Times New Roman"/>
          <w:bCs/>
          <w:sz w:val="24"/>
          <w:szCs w:val="24"/>
          <w:lang w:val="bg-BG"/>
        </w:rPr>
        <w:t xml:space="preserve"> </w:t>
      </w:r>
    </w:p>
    <w:p w14:paraId="58A78255" w14:textId="2E68F642" w:rsidR="0042507B" w:rsidRPr="00610B1B" w:rsidRDefault="0042507B"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w:t>
      </w:r>
      <w:r w:rsidR="00DA4A02" w:rsidRPr="00610B1B">
        <w:rPr>
          <w:rFonts w:ascii="Times New Roman" w:hAnsi="Times New Roman" w:cs="Times New Roman"/>
          <w:bCs/>
          <w:i/>
          <w:iCs/>
          <w:sz w:val="24"/>
          <w:szCs w:val="24"/>
          <w:lang w:val="bg-BG"/>
        </w:rPr>
        <w:t>К</w:t>
      </w:r>
      <w:r w:rsidRPr="00610B1B">
        <w:rPr>
          <w:rFonts w:ascii="Times New Roman" w:hAnsi="Times New Roman" w:cs="Times New Roman"/>
          <w:bCs/>
          <w:i/>
          <w:iCs/>
          <w:sz w:val="24"/>
          <w:szCs w:val="24"/>
          <w:lang w:val="bg-BG"/>
        </w:rPr>
        <w:t>райбрежни</w:t>
      </w:r>
      <w:r w:rsidR="00DA4A02" w:rsidRPr="00610B1B">
        <w:rPr>
          <w:rFonts w:ascii="Times New Roman" w:hAnsi="Times New Roman" w:cs="Times New Roman"/>
          <w:bCs/>
          <w:i/>
          <w:iCs/>
          <w:sz w:val="24"/>
          <w:szCs w:val="24"/>
          <w:lang w:val="bg-BG"/>
        </w:rPr>
        <w:t>те</w:t>
      </w:r>
      <w:r w:rsidRPr="00610B1B">
        <w:rPr>
          <w:rFonts w:ascii="Times New Roman" w:hAnsi="Times New Roman" w:cs="Times New Roman"/>
          <w:bCs/>
          <w:i/>
          <w:iCs/>
          <w:sz w:val="24"/>
          <w:szCs w:val="24"/>
          <w:lang w:val="bg-BG"/>
        </w:rPr>
        <w:t xml:space="preserve"> морски води</w:t>
      </w:r>
      <w:r w:rsidRPr="00610B1B">
        <w:rPr>
          <w:rFonts w:ascii="Times New Roman" w:hAnsi="Times New Roman" w:cs="Times New Roman"/>
          <w:bCs/>
          <w:sz w:val="24"/>
          <w:szCs w:val="24"/>
          <w:lang w:val="bg-BG"/>
        </w:rPr>
        <w:t xml:space="preserve">" </w:t>
      </w:r>
      <w:r w:rsidR="00B61304" w:rsidRPr="00610B1B">
        <w:rPr>
          <w:rFonts w:ascii="Times New Roman" w:hAnsi="Times New Roman" w:cs="Times New Roman"/>
          <w:bCs/>
          <w:sz w:val="24"/>
          <w:szCs w:val="24"/>
          <w:lang w:val="bg-BG"/>
        </w:rPr>
        <w:t>съгласно т. 54 на параграф 1 от Допълнителните разпоредби на Закона за водите</w:t>
      </w:r>
      <w:r w:rsidR="00DA4A02" w:rsidRPr="00610B1B">
        <w:rPr>
          <w:rFonts w:ascii="Times New Roman" w:hAnsi="Times New Roman" w:cs="Times New Roman"/>
          <w:bCs/>
          <w:sz w:val="24"/>
          <w:szCs w:val="24"/>
          <w:lang w:val="bg-BG"/>
        </w:rPr>
        <w:t>,</w:t>
      </w:r>
      <w:r w:rsidR="00B61304"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са повърхностни</w:t>
      </w:r>
      <w:r w:rsidR="00B61304" w:rsidRPr="00610B1B">
        <w:rPr>
          <w:rFonts w:ascii="Times New Roman" w:hAnsi="Times New Roman" w:cs="Times New Roman"/>
          <w:bCs/>
          <w:sz w:val="24"/>
          <w:szCs w:val="24"/>
          <w:lang w:val="bg-BG"/>
        </w:rPr>
        <w:t>те</w:t>
      </w:r>
      <w:r w:rsidRPr="00610B1B">
        <w:rPr>
          <w:rFonts w:ascii="Times New Roman" w:hAnsi="Times New Roman" w:cs="Times New Roman"/>
          <w:bCs/>
          <w:sz w:val="24"/>
          <w:szCs w:val="24"/>
          <w:lang w:val="bg-BG"/>
        </w:rPr>
        <w:t xml:space="preserve"> води, намиращи се откъм сушата спрямо крайбрежната линия, всяка точка от която отстои на една морска миля в посока към вътрешността на морето от най-близката точка на изходната линия, от която се измерва обхватът на териториалното море, </w:t>
      </w:r>
      <w:r w:rsidR="00B81075" w:rsidRPr="00610B1B">
        <w:rPr>
          <w:rFonts w:ascii="Times New Roman" w:hAnsi="Times New Roman" w:cs="Times New Roman"/>
          <w:bCs/>
          <w:sz w:val="24"/>
          <w:szCs w:val="24"/>
          <w:lang w:val="bg-BG"/>
        </w:rPr>
        <w:t>и</w:t>
      </w:r>
      <w:r w:rsidRPr="00610B1B">
        <w:rPr>
          <w:rFonts w:ascii="Times New Roman" w:hAnsi="Times New Roman" w:cs="Times New Roman"/>
          <w:bCs/>
          <w:sz w:val="24"/>
          <w:szCs w:val="24"/>
          <w:lang w:val="bg-BG"/>
        </w:rPr>
        <w:t xml:space="preserve"> където е възможно, продължава до външната граница на преходните води</w:t>
      </w:r>
      <w:r w:rsidR="00B61304" w:rsidRPr="00610B1B">
        <w:rPr>
          <w:rFonts w:ascii="Times New Roman" w:hAnsi="Times New Roman" w:cs="Times New Roman"/>
          <w:bCs/>
          <w:sz w:val="24"/>
          <w:szCs w:val="24"/>
          <w:lang w:val="bg-BG"/>
        </w:rPr>
        <w:t>.</w:t>
      </w:r>
    </w:p>
    <w:p w14:paraId="4C0D79E1" w14:textId="2B8DBAB5" w:rsidR="0042507B" w:rsidRPr="00610B1B" w:rsidRDefault="00B61304" w:rsidP="00D32D6A">
      <w:pPr>
        <w:spacing w:after="120"/>
        <w:ind w:right="-153"/>
        <w:jc w:val="both"/>
        <w:rPr>
          <w:rFonts w:ascii="Times New Roman" w:eastAsia="Times New Roman" w:hAnsi="Times New Roman" w:cs="Times New Roman"/>
          <w:color w:val="000000"/>
          <w:sz w:val="24"/>
          <w:szCs w:val="24"/>
          <w:lang w:val="bg-BG"/>
        </w:rPr>
      </w:pPr>
      <w:r w:rsidRPr="00610B1B">
        <w:rPr>
          <w:rFonts w:ascii="Times New Roman" w:hAnsi="Times New Roman" w:cs="Times New Roman"/>
          <w:bCs/>
          <w:sz w:val="24"/>
          <w:szCs w:val="24"/>
          <w:lang w:val="bg-BG"/>
        </w:rPr>
        <w:t>Морският пространствен план и Екологичната оценка, заедно с</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Оценката за съвместимост, отделят специално внимание и на водите</w:t>
      </w:r>
      <w:r w:rsidR="008A4ECC" w:rsidRPr="00610B1B">
        <w:rPr>
          <w:rFonts w:ascii="Times New Roman" w:hAnsi="Times New Roman" w:cs="Times New Roman"/>
          <w:bCs/>
          <w:sz w:val="24"/>
          <w:szCs w:val="24"/>
          <w:lang w:val="bg-BG"/>
        </w:rPr>
        <w:t xml:space="preserve"> по чл. 119 ал. 1 т. 2, 3, 4 и 5, а именно </w:t>
      </w:r>
      <w:r w:rsidR="0042507B" w:rsidRPr="00610B1B">
        <w:rPr>
          <w:rFonts w:ascii="Times New Roman" w:eastAsia="Times New Roman" w:hAnsi="Times New Roman" w:cs="Times New Roman"/>
          <w:color w:val="000000"/>
          <w:sz w:val="24"/>
          <w:szCs w:val="24"/>
          <w:lang w:val="bg-BG"/>
        </w:rPr>
        <w:t>за отдих и водни спортове</w:t>
      </w:r>
      <w:r w:rsidR="008A4ECC" w:rsidRPr="00610B1B">
        <w:rPr>
          <w:rFonts w:ascii="Times New Roman" w:eastAsia="Times New Roman" w:hAnsi="Times New Roman" w:cs="Times New Roman"/>
          <w:color w:val="000000"/>
          <w:sz w:val="24"/>
          <w:szCs w:val="24"/>
          <w:lang w:val="bg-BG"/>
        </w:rPr>
        <w:t xml:space="preserve"> и </w:t>
      </w:r>
      <w:r w:rsidR="0042507B" w:rsidRPr="00610B1B">
        <w:rPr>
          <w:rFonts w:ascii="Times New Roman" w:eastAsia="Times New Roman" w:hAnsi="Times New Roman" w:cs="Times New Roman"/>
          <w:color w:val="000000"/>
          <w:sz w:val="24"/>
          <w:szCs w:val="24"/>
          <w:lang w:val="bg-BG"/>
        </w:rPr>
        <w:t>зони</w:t>
      </w:r>
      <w:r w:rsidR="00785AEB" w:rsidRPr="00610B1B">
        <w:rPr>
          <w:rFonts w:ascii="Times New Roman" w:eastAsia="Times New Roman" w:hAnsi="Times New Roman" w:cs="Times New Roman"/>
          <w:color w:val="000000"/>
          <w:sz w:val="24"/>
          <w:szCs w:val="24"/>
          <w:lang w:val="bg-BG"/>
        </w:rPr>
        <w:t>те</w:t>
      </w:r>
      <w:r w:rsidR="0042507B" w:rsidRPr="00610B1B">
        <w:rPr>
          <w:rFonts w:ascii="Times New Roman" w:eastAsia="Times New Roman" w:hAnsi="Times New Roman" w:cs="Times New Roman"/>
          <w:color w:val="000000"/>
          <w:sz w:val="24"/>
          <w:szCs w:val="24"/>
          <w:lang w:val="bg-BG"/>
        </w:rPr>
        <w:t xml:space="preserve"> за къпане, съгласно </w:t>
      </w:r>
      <w:r w:rsidR="008A4ECC" w:rsidRPr="00610B1B">
        <w:rPr>
          <w:rFonts w:ascii="Times New Roman" w:eastAsia="Times New Roman" w:hAnsi="Times New Roman" w:cs="Times New Roman"/>
          <w:color w:val="000000"/>
          <w:sz w:val="24"/>
          <w:szCs w:val="24"/>
          <w:lang w:val="bg-BG"/>
        </w:rPr>
        <w:t>Наредба</w:t>
      </w:r>
      <w:r w:rsidR="00785AEB" w:rsidRPr="00610B1B">
        <w:rPr>
          <w:rFonts w:ascii="Times New Roman" w:eastAsia="Times New Roman" w:hAnsi="Times New Roman" w:cs="Times New Roman"/>
          <w:color w:val="000000"/>
          <w:sz w:val="24"/>
          <w:szCs w:val="24"/>
          <w:lang w:val="bg-BG"/>
        </w:rPr>
        <w:t xml:space="preserve"> № 11</w:t>
      </w:r>
      <w:r w:rsidR="008A4ECC" w:rsidRPr="00610B1B">
        <w:rPr>
          <w:rFonts w:ascii="Times New Roman" w:eastAsia="Times New Roman" w:hAnsi="Times New Roman" w:cs="Times New Roman"/>
          <w:color w:val="000000"/>
          <w:sz w:val="24"/>
          <w:szCs w:val="24"/>
          <w:lang w:val="bg-BG"/>
        </w:rPr>
        <w:t xml:space="preserve"> за </w:t>
      </w:r>
      <w:r w:rsidR="00785AEB" w:rsidRPr="00610B1B">
        <w:rPr>
          <w:rFonts w:ascii="Times New Roman" w:eastAsia="Times New Roman" w:hAnsi="Times New Roman" w:cs="Times New Roman"/>
          <w:color w:val="000000"/>
          <w:sz w:val="24"/>
          <w:szCs w:val="24"/>
          <w:lang w:val="bg-BG"/>
        </w:rPr>
        <w:t>к</w:t>
      </w:r>
      <w:r w:rsidR="00AB7FDB" w:rsidRPr="00610B1B">
        <w:rPr>
          <w:rFonts w:ascii="Times New Roman" w:eastAsia="Times New Roman" w:hAnsi="Times New Roman" w:cs="Times New Roman"/>
          <w:color w:val="000000"/>
          <w:sz w:val="24"/>
          <w:szCs w:val="24"/>
          <w:lang w:val="bg-BG"/>
        </w:rPr>
        <w:t>ачеството на водите за къпане</w:t>
      </w:r>
      <w:r w:rsidR="00AB7FDB" w:rsidRPr="00610B1B">
        <w:rPr>
          <w:rStyle w:val="FootnoteReference"/>
          <w:rFonts w:ascii="Times New Roman" w:eastAsia="Times New Roman" w:hAnsi="Times New Roman" w:cs="Times New Roman"/>
          <w:color w:val="000000"/>
          <w:sz w:val="24"/>
          <w:szCs w:val="24"/>
          <w:lang w:val="bg-BG"/>
        </w:rPr>
        <w:footnoteReference w:id="52"/>
      </w:r>
      <w:r w:rsidR="00D10B41" w:rsidRPr="00610B1B">
        <w:rPr>
          <w:rFonts w:ascii="Times New Roman" w:eastAsia="Times New Roman" w:hAnsi="Times New Roman" w:cs="Times New Roman"/>
          <w:color w:val="000000"/>
          <w:sz w:val="24"/>
          <w:szCs w:val="24"/>
          <w:lang w:val="bg-BG"/>
        </w:rPr>
        <w:t>.</w:t>
      </w:r>
      <w:r w:rsidR="008A4ECC" w:rsidRPr="00610B1B">
        <w:rPr>
          <w:rFonts w:ascii="Times New Roman" w:eastAsia="Times New Roman" w:hAnsi="Times New Roman" w:cs="Times New Roman"/>
          <w:color w:val="000000"/>
          <w:sz w:val="24"/>
          <w:szCs w:val="24"/>
          <w:lang w:val="bg-BG"/>
        </w:rPr>
        <w:t xml:space="preserve"> </w:t>
      </w:r>
    </w:p>
    <w:p w14:paraId="430F9F0D" w14:textId="7EDF7E6D" w:rsidR="00785AEB" w:rsidRPr="00610B1B" w:rsidRDefault="0000713E" w:rsidP="00D32D6A">
      <w:pPr>
        <w:spacing w:after="120"/>
        <w:ind w:right="-153"/>
        <w:jc w:val="both"/>
        <w:rPr>
          <w:rFonts w:ascii="Times New Roman" w:eastAsia="Times New Roman" w:hAnsi="Times New Roman" w:cs="Times New Roman"/>
          <w:color w:val="000000"/>
          <w:sz w:val="24"/>
          <w:szCs w:val="24"/>
          <w:lang w:val="bg-BG"/>
        </w:rPr>
      </w:pPr>
      <w:r w:rsidRPr="00610B1B">
        <w:rPr>
          <w:rFonts w:ascii="Times New Roman" w:eastAsia="Times New Roman" w:hAnsi="Times New Roman" w:cs="Times New Roman"/>
          <w:color w:val="000000"/>
          <w:sz w:val="24"/>
          <w:szCs w:val="24"/>
          <w:lang w:val="bg-BG"/>
        </w:rPr>
        <w:t>Независимо, че в</w:t>
      </w:r>
      <w:r w:rsidR="00D10B41" w:rsidRPr="00610B1B">
        <w:rPr>
          <w:rFonts w:ascii="Times New Roman" w:eastAsia="Times New Roman" w:hAnsi="Times New Roman" w:cs="Times New Roman"/>
          <w:color w:val="000000"/>
          <w:sz w:val="24"/>
          <w:szCs w:val="24"/>
          <w:lang w:val="bg-BG"/>
        </w:rPr>
        <w:t xml:space="preserve"> </w:t>
      </w:r>
      <w:r w:rsidRPr="00610B1B">
        <w:rPr>
          <w:rFonts w:ascii="Times New Roman" w:eastAsia="Times New Roman" w:hAnsi="Times New Roman" w:cs="Times New Roman"/>
          <w:color w:val="000000"/>
          <w:sz w:val="24"/>
          <w:szCs w:val="24"/>
          <w:lang w:val="bg-BG"/>
        </w:rPr>
        <w:t>ЗМПВВППРБ няма категоричен запис за прилежащите крайбрежни зони, з</w:t>
      </w:r>
      <w:r w:rsidR="002A2D48" w:rsidRPr="00610B1B">
        <w:rPr>
          <w:rFonts w:ascii="Times New Roman" w:eastAsia="Times New Roman" w:hAnsi="Times New Roman" w:cs="Times New Roman"/>
          <w:color w:val="000000"/>
          <w:sz w:val="24"/>
          <w:szCs w:val="24"/>
          <w:lang w:val="bg-BG"/>
        </w:rPr>
        <w:t xml:space="preserve">а целите на Морския пространствен план </w:t>
      </w:r>
      <w:r w:rsidRPr="00610B1B">
        <w:rPr>
          <w:rFonts w:ascii="Times New Roman" w:eastAsia="Times New Roman" w:hAnsi="Times New Roman" w:cs="Times New Roman"/>
          <w:color w:val="000000"/>
          <w:sz w:val="24"/>
          <w:szCs w:val="24"/>
          <w:lang w:val="bg-BG"/>
        </w:rPr>
        <w:t>те</w:t>
      </w:r>
      <w:r w:rsidR="002A2D48" w:rsidRPr="00610B1B">
        <w:rPr>
          <w:rFonts w:ascii="Times New Roman" w:eastAsia="Times New Roman" w:hAnsi="Times New Roman" w:cs="Times New Roman"/>
          <w:color w:val="000000"/>
          <w:sz w:val="24"/>
          <w:szCs w:val="24"/>
          <w:lang w:val="bg-BG"/>
        </w:rPr>
        <w:t xml:space="preserve"> присъстват в границите на зоните за особена териториалн</w:t>
      </w:r>
      <w:r w:rsidRPr="00610B1B">
        <w:rPr>
          <w:rFonts w:ascii="Times New Roman" w:eastAsia="Times New Roman" w:hAnsi="Times New Roman" w:cs="Times New Roman"/>
          <w:color w:val="000000"/>
          <w:sz w:val="24"/>
          <w:szCs w:val="24"/>
          <w:lang w:val="bg-BG"/>
        </w:rPr>
        <w:t xml:space="preserve">оустройствена </w:t>
      </w:r>
      <w:r w:rsidR="002A2D48" w:rsidRPr="00610B1B">
        <w:rPr>
          <w:rFonts w:ascii="Times New Roman" w:eastAsia="Times New Roman" w:hAnsi="Times New Roman" w:cs="Times New Roman"/>
          <w:color w:val="000000"/>
          <w:sz w:val="24"/>
          <w:szCs w:val="24"/>
          <w:lang w:val="bg-BG"/>
        </w:rPr>
        <w:t>защита</w:t>
      </w:r>
      <w:r w:rsidR="00143CBE" w:rsidRPr="00610B1B">
        <w:rPr>
          <w:rFonts w:ascii="Times New Roman" w:eastAsia="Times New Roman" w:hAnsi="Times New Roman" w:cs="Times New Roman"/>
          <w:color w:val="000000"/>
          <w:sz w:val="24"/>
          <w:szCs w:val="24"/>
          <w:lang w:val="bg-BG"/>
        </w:rPr>
        <w:t xml:space="preserve"> „А“ и „Б“,</w:t>
      </w:r>
      <w:r w:rsidR="002A2D48" w:rsidRPr="00610B1B">
        <w:rPr>
          <w:rFonts w:ascii="Times New Roman" w:eastAsia="Times New Roman" w:hAnsi="Times New Roman" w:cs="Times New Roman"/>
          <w:color w:val="000000"/>
          <w:sz w:val="24"/>
          <w:szCs w:val="24"/>
          <w:lang w:val="bg-BG"/>
        </w:rPr>
        <w:t xml:space="preserve"> определени със Закона за устройство на Черноморското крайбрежие. В този обхват попадат по-важни</w:t>
      </w:r>
      <w:r w:rsidR="00860503" w:rsidRPr="00610B1B">
        <w:rPr>
          <w:rFonts w:ascii="Times New Roman" w:eastAsia="Times New Roman" w:hAnsi="Times New Roman" w:cs="Times New Roman"/>
          <w:color w:val="000000"/>
          <w:sz w:val="24"/>
          <w:szCs w:val="24"/>
          <w:lang w:val="bg-BG"/>
        </w:rPr>
        <w:t>те</w:t>
      </w:r>
      <w:r w:rsidR="002A2D48" w:rsidRPr="00610B1B">
        <w:rPr>
          <w:rFonts w:ascii="Times New Roman" w:eastAsia="Times New Roman" w:hAnsi="Times New Roman" w:cs="Times New Roman"/>
          <w:color w:val="000000"/>
          <w:sz w:val="24"/>
          <w:szCs w:val="24"/>
          <w:lang w:val="bg-BG"/>
        </w:rPr>
        <w:t xml:space="preserve"> обекти и съоръжения на транспортната, туристическата, техническата и пристанищната инфраструктура, свързани с развитието на дейностите в Черно море и които имат въздействие върху качеството на средата и на предлаганите услуги.</w:t>
      </w:r>
      <w:r w:rsidR="00D66FE0" w:rsidRPr="00610B1B">
        <w:rPr>
          <w:rFonts w:ascii="Times New Roman" w:eastAsia="Times New Roman" w:hAnsi="Times New Roman" w:cs="Times New Roman"/>
          <w:color w:val="000000"/>
          <w:sz w:val="24"/>
          <w:szCs w:val="24"/>
          <w:lang w:val="bg-BG"/>
        </w:rPr>
        <w:t xml:space="preserve"> </w:t>
      </w:r>
      <w:r w:rsidRPr="00610B1B">
        <w:rPr>
          <w:rFonts w:ascii="Times New Roman" w:eastAsia="Times New Roman" w:hAnsi="Times New Roman" w:cs="Times New Roman"/>
          <w:color w:val="000000"/>
          <w:sz w:val="24"/>
          <w:szCs w:val="24"/>
          <w:lang w:val="bg-BG"/>
        </w:rPr>
        <w:t xml:space="preserve">Мотивите за подобно решение са продиктувани от изискването за обвързване на инструментите на Интегрираната морска политика, за управление на крайбрежни зони и за морско пространствено планиране. </w:t>
      </w:r>
    </w:p>
    <w:bookmarkEnd w:id="14"/>
    <w:p w14:paraId="150D884F" w14:textId="11A435BF" w:rsidR="00FB070F" w:rsidRPr="00610B1B" w:rsidRDefault="00FB070F" w:rsidP="00D32D6A">
      <w:pPr>
        <w:spacing w:after="120"/>
        <w:ind w:right="-153"/>
        <w:jc w:val="both"/>
        <w:rPr>
          <w:rFonts w:ascii="Times New Roman" w:eastAsia="Times New Roman" w:hAnsi="Times New Roman" w:cs="Times New Roman"/>
          <w:color w:val="000000"/>
          <w:sz w:val="24"/>
          <w:szCs w:val="24"/>
          <w:lang w:val="bg-BG"/>
        </w:rPr>
      </w:pPr>
      <w:r w:rsidRPr="00610B1B">
        <w:rPr>
          <w:rFonts w:ascii="Times New Roman" w:eastAsia="Times New Roman" w:hAnsi="Times New Roman" w:cs="Times New Roman"/>
          <w:color w:val="000000"/>
          <w:sz w:val="24"/>
          <w:szCs w:val="24"/>
          <w:lang w:val="bg-BG"/>
        </w:rPr>
        <w:t>Пространственият обхват на плана има още едно измерение, което го отличава значително от териториалното планиране. Дейностите в акваторията се осъществяват</w:t>
      </w:r>
      <w:r w:rsidR="00CA7AF8" w:rsidRPr="00610B1B">
        <w:rPr>
          <w:rFonts w:ascii="Times New Roman" w:eastAsia="Times New Roman" w:hAnsi="Times New Roman" w:cs="Times New Roman"/>
          <w:color w:val="000000"/>
          <w:sz w:val="24"/>
          <w:szCs w:val="24"/>
          <w:lang w:val="bg-BG"/>
        </w:rPr>
        <w:t xml:space="preserve"> на морското дъно, във водния стълб</w:t>
      </w:r>
      <w:r w:rsidR="00860503" w:rsidRPr="00610B1B">
        <w:rPr>
          <w:rFonts w:ascii="Times New Roman" w:eastAsia="Times New Roman" w:hAnsi="Times New Roman" w:cs="Times New Roman"/>
          <w:color w:val="000000"/>
          <w:sz w:val="24"/>
          <w:szCs w:val="24"/>
          <w:lang w:val="bg-BG"/>
        </w:rPr>
        <w:t xml:space="preserve">, </w:t>
      </w:r>
      <w:r w:rsidR="00CA7AF8" w:rsidRPr="00610B1B">
        <w:rPr>
          <w:rFonts w:ascii="Times New Roman" w:eastAsia="Times New Roman" w:hAnsi="Times New Roman" w:cs="Times New Roman"/>
          <w:color w:val="000000"/>
          <w:sz w:val="24"/>
          <w:szCs w:val="24"/>
          <w:lang w:val="bg-BG"/>
        </w:rPr>
        <w:t>на водната повърхност</w:t>
      </w:r>
      <w:r w:rsidR="00860503" w:rsidRPr="00610B1B">
        <w:rPr>
          <w:rFonts w:ascii="Times New Roman" w:eastAsia="Times New Roman" w:hAnsi="Times New Roman" w:cs="Times New Roman"/>
          <w:color w:val="000000"/>
          <w:sz w:val="24"/>
          <w:szCs w:val="24"/>
          <w:lang w:val="bg-BG"/>
        </w:rPr>
        <w:t xml:space="preserve">, а някои и над нея. </w:t>
      </w:r>
      <w:r w:rsidR="00CA7AF8" w:rsidRPr="00610B1B">
        <w:rPr>
          <w:rFonts w:ascii="Times New Roman" w:eastAsia="Times New Roman" w:hAnsi="Times New Roman" w:cs="Times New Roman"/>
          <w:color w:val="000000"/>
          <w:sz w:val="24"/>
          <w:szCs w:val="24"/>
          <w:lang w:val="bg-BG"/>
        </w:rPr>
        <w:t xml:space="preserve">Това напластяване в </w:t>
      </w:r>
      <w:r w:rsidR="00CA7AF8" w:rsidRPr="00610B1B">
        <w:rPr>
          <w:rFonts w:ascii="Times New Roman" w:eastAsia="Times New Roman" w:hAnsi="Times New Roman" w:cs="Times New Roman"/>
          <w:color w:val="000000"/>
          <w:sz w:val="24"/>
          <w:szCs w:val="24"/>
          <w:lang w:val="bg-BG"/>
        </w:rPr>
        <w:lastRenderedPageBreak/>
        <w:t xml:space="preserve">трето </w:t>
      </w:r>
      <w:r w:rsidR="00860503" w:rsidRPr="00610B1B">
        <w:rPr>
          <w:rFonts w:ascii="Times New Roman" w:eastAsia="Times New Roman" w:hAnsi="Times New Roman" w:cs="Times New Roman"/>
          <w:color w:val="000000"/>
          <w:sz w:val="24"/>
          <w:szCs w:val="24"/>
          <w:lang w:val="bg-BG"/>
        </w:rPr>
        <w:t xml:space="preserve">пространствено </w:t>
      </w:r>
      <w:r w:rsidR="00CA7AF8" w:rsidRPr="00610B1B">
        <w:rPr>
          <w:rFonts w:ascii="Times New Roman" w:eastAsia="Times New Roman" w:hAnsi="Times New Roman" w:cs="Times New Roman"/>
          <w:color w:val="000000"/>
          <w:sz w:val="24"/>
          <w:szCs w:val="24"/>
          <w:lang w:val="bg-BG"/>
        </w:rPr>
        <w:t>измерение, го отличава от териториалното планиране и функционално</w:t>
      </w:r>
      <w:r w:rsidR="00860503" w:rsidRPr="00610B1B">
        <w:rPr>
          <w:rFonts w:ascii="Times New Roman" w:eastAsia="Times New Roman" w:hAnsi="Times New Roman" w:cs="Times New Roman"/>
          <w:color w:val="000000"/>
          <w:sz w:val="24"/>
          <w:szCs w:val="24"/>
          <w:lang w:val="bg-BG"/>
        </w:rPr>
        <w:t>то</w:t>
      </w:r>
      <w:r w:rsidR="00CA7AF8" w:rsidRPr="00610B1B">
        <w:rPr>
          <w:rFonts w:ascii="Times New Roman" w:eastAsia="Times New Roman" w:hAnsi="Times New Roman" w:cs="Times New Roman"/>
          <w:color w:val="000000"/>
          <w:sz w:val="24"/>
          <w:szCs w:val="24"/>
          <w:lang w:val="bg-BG"/>
        </w:rPr>
        <w:t xml:space="preserve"> зониране, независимо </w:t>
      </w:r>
      <w:r w:rsidR="00860503" w:rsidRPr="00610B1B">
        <w:rPr>
          <w:rFonts w:ascii="Times New Roman" w:eastAsia="Times New Roman" w:hAnsi="Times New Roman" w:cs="Times New Roman"/>
          <w:color w:val="000000"/>
          <w:sz w:val="24"/>
          <w:szCs w:val="24"/>
          <w:lang w:val="bg-BG"/>
        </w:rPr>
        <w:t>че има дейности, които се осъ</w:t>
      </w:r>
      <w:r w:rsidR="00CA7AF8" w:rsidRPr="00610B1B">
        <w:rPr>
          <w:rFonts w:ascii="Times New Roman" w:eastAsia="Times New Roman" w:hAnsi="Times New Roman" w:cs="Times New Roman"/>
          <w:color w:val="000000"/>
          <w:sz w:val="24"/>
          <w:szCs w:val="24"/>
          <w:lang w:val="bg-BG"/>
        </w:rPr>
        <w:t xml:space="preserve">ществяват под земята или на няколко нива. </w:t>
      </w:r>
      <w:r w:rsidR="00860503" w:rsidRPr="00610B1B">
        <w:rPr>
          <w:rFonts w:ascii="Times New Roman" w:eastAsia="Times New Roman" w:hAnsi="Times New Roman" w:cs="Times New Roman"/>
          <w:color w:val="000000"/>
          <w:sz w:val="24"/>
          <w:szCs w:val="24"/>
          <w:lang w:val="bg-BG"/>
        </w:rPr>
        <w:t xml:space="preserve">Самата </w:t>
      </w:r>
      <w:r w:rsidR="00261BD3" w:rsidRPr="00610B1B">
        <w:rPr>
          <w:rFonts w:ascii="Times New Roman" w:eastAsia="Times New Roman" w:hAnsi="Times New Roman" w:cs="Times New Roman"/>
          <w:color w:val="000000"/>
          <w:sz w:val="24"/>
          <w:szCs w:val="24"/>
          <w:lang w:val="bg-BG"/>
        </w:rPr>
        <w:t>Рамкова директива за морска стратегия към определенията за „морски води“ и за „крайбрежни води“ добавя и морското дъно и геоложката основа. (чл. 3 ал. 1)</w:t>
      </w:r>
    </w:p>
    <w:p w14:paraId="6AEB5CC1" w14:textId="7BBE8952" w:rsidR="004A4473" w:rsidRPr="00610B1B" w:rsidRDefault="0000713E" w:rsidP="00D32D6A">
      <w:pPr>
        <w:spacing w:after="120"/>
        <w:ind w:right="-153"/>
        <w:jc w:val="both"/>
        <w:rPr>
          <w:rFonts w:ascii="Times New Roman" w:eastAsia="Times New Roman" w:hAnsi="Times New Roman" w:cs="Times New Roman"/>
          <w:color w:val="000000"/>
          <w:sz w:val="24"/>
          <w:szCs w:val="24"/>
          <w:lang w:val="bg-BG"/>
        </w:rPr>
      </w:pPr>
      <w:r w:rsidRPr="00610B1B">
        <w:rPr>
          <w:rFonts w:ascii="Times New Roman" w:eastAsia="Times New Roman" w:hAnsi="Times New Roman" w:cs="Times New Roman"/>
          <w:i/>
          <w:iCs/>
          <w:color w:val="000000"/>
          <w:sz w:val="24"/>
          <w:szCs w:val="24"/>
          <w:lang w:val="bg-BG"/>
        </w:rPr>
        <w:t>Времевият обхват</w:t>
      </w:r>
      <w:r w:rsidRPr="00610B1B">
        <w:rPr>
          <w:rFonts w:ascii="Times New Roman" w:eastAsia="Times New Roman" w:hAnsi="Times New Roman" w:cs="Times New Roman"/>
          <w:color w:val="000000"/>
          <w:sz w:val="24"/>
          <w:szCs w:val="24"/>
          <w:lang w:val="bg-BG"/>
        </w:rPr>
        <w:t xml:space="preserve"> на Морския пространствен план е регламентиран в Техническата спецификация. Той се разработва</w:t>
      </w:r>
      <w:r w:rsidR="00D66FE0" w:rsidRPr="00610B1B">
        <w:rPr>
          <w:rFonts w:ascii="Times New Roman" w:eastAsia="Times New Roman" w:hAnsi="Times New Roman" w:cs="Times New Roman"/>
          <w:color w:val="000000"/>
          <w:sz w:val="24"/>
          <w:szCs w:val="24"/>
          <w:lang w:val="bg-BG"/>
        </w:rPr>
        <w:t xml:space="preserve"> </w:t>
      </w:r>
      <w:r w:rsidRPr="00610B1B">
        <w:rPr>
          <w:rFonts w:ascii="Times New Roman" w:eastAsia="Times New Roman" w:hAnsi="Times New Roman" w:cs="Times New Roman"/>
          <w:color w:val="000000"/>
          <w:sz w:val="24"/>
          <w:szCs w:val="24"/>
          <w:lang w:val="bg-BG"/>
        </w:rPr>
        <w:t xml:space="preserve">за периода 2021–2035 г. или за срок от </w:t>
      </w:r>
      <w:r w:rsidR="00E057DD" w:rsidRPr="00610B1B">
        <w:rPr>
          <w:rFonts w:ascii="Times New Roman" w:eastAsia="Times New Roman" w:hAnsi="Times New Roman" w:cs="Times New Roman"/>
          <w:color w:val="000000"/>
          <w:sz w:val="24"/>
          <w:szCs w:val="24"/>
          <w:lang w:val="bg-BG"/>
        </w:rPr>
        <w:t>15 години. Съгласно Методологията за стратегическо планиране в Република България</w:t>
      </w:r>
      <w:r w:rsidR="00E057DD" w:rsidRPr="00610B1B">
        <w:rPr>
          <w:rStyle w:val="FootnoteReference"/>
          <w:rFonts w:ascii="Times New Roman" w:eastAsia="Times New Roman" w:hAnsi="Times New Roman" w:cs="Times New Roman"/>
          <w:color w:val="000000"/>
          <w:sz w:val="24"/>
          <w:szCs w:val="24"/>
          <w:lang w:val="bg-BG"/>
        </w:rPr>
        <w:footnoteReference w:id="53"/>
      </w:r>
      <w:r w:rsidR="00E057DD" w:rsidRPr="00610B1B">
        <w:rPr>
          <w:rFonts w:ascii="Times New Roman" w:eastAsia="Times New Roman" w:hAnsi="Times New Roman" w:cs="Times New Roman"/>
          <w:color w:val="000000"/>
          <w:sz w:val="24"/>
          <w:szCs w:val="24"/>
          <w:lang w:val="bg-BG"/>
        </w:rPr>
        <w:t xml:space="preserve"> това отговаря на времевия обхват на дългосрочните стратегически документи, с период на действие над 10 години. </w:t>
      </w:r>
      <w:r w:rsidR="004A4473" w:rsidRPr="00610B1B">
        <w:rPr>
          <w:rFonts w:ascii="Times New Roman" w:eastAsia="Times New Roman" w:hAnsi="Times New Roman" w:cs="Times New Roman"/>
          <w:color w:val="000000"/>
          <w:sz w:val="24"/>
          <w:szCs w:val="24"/>
          <w:lang w:val="bg-BG"/>
        </w:rPr>
        <w:t>Краткосрочните прогнози са до 2024 г.</w:t>
      </w:r>
      <w:r w:rsidR="00944BC6" w:rsidRPr="00610B1B">
        <w:rPr>
          <w:rFonts w:ascii="Times New Roman" w:eastAsia="Times New Roman" w:hAnsi="Times New Roman" w:cs="Times New Roman"/>
          <w:color w:val="000000"/>
          <w:sz w:val="24"/>
          <w:szCs w:val="24"/>
          <w:lang w:val="bg-BG"/>
        </w:rPr>
        <w:t xml:space="preserve"> включително</w:t>
      </w:r>
      <w:r w:rsidR="004A4473" w:rsidRPr="00610B1B">
        <w:rPr>
          <w:rFonts w:ascii="Times New Roman" w:eastAsia="Times New Roman" w:hAnsi="Times New Roman" w:cs="Times New Roman"/>
          <w:color w:val="000000"/>
          <w:sz w:val="24"/>
          <w:szCs w:val="24"/>
          <w:lang w:val="bg-BG"/>
        </w:rPr>
        <w:t xml:space="preserve"> Актуализацията на документа следва да се извърши след 10 години или през 2030 г.</w:t>
      </w:r>
      <w:r w:rsidR="00944BC6" w:rsidRPr="00610B1B">
        <w:rPr>
          <w:rFonts w:ascii="Times New Roman" w:eastAsia="Times New Roman" w:hAnsi="Times New Roman" w:cs="Times New Roman"/>
          <w:color w:val="000000"/>
          <w:sz w:val="24"/>
          <w:szCs w:val="24"/>
          <w:lang w:val="bg-BG"/>
        </w:rPr>
        <w:t xml:space="preserve"> </w:t>
      </w:r>
      <w:r w:rsidR="004A4473" w:rsidRPr="00610B1B">
        <w:rPr>
          <w:rFonts w:ascii="Times New Roman" w:eastAsia="Times New Roman" w:hAnsi="Times New Roman" w:cs="Times New Roman"/>
          <w:color w:val="000000"/>
          <w:sz w:val="24"/>
          <w:szCs w:val="24"/>
          <w:lang w:val="bg-BG"/>
        </w:rPr>
        <w:t>когато изтичат сроковете на други важни стратегически документи като</w:t>
      </w:r>
      <w:r w:rsidR="00E057DD" w:rsidRPr="00610B1B">
        <w:rPr>
          <w:rFonts w:ascii="Times New Roman" w:eastAsia="Times New Roman" w:hAnsi="Times New Roman" w:cs="Times New Roman"/>
          <w:color w:val="000000"/>
          <w:sz w:val="24"/>
          <w:szCs w:val="24"/>
          <w:lang w:val="bg-BG"/>
        </w:rPr>
        <w:t xml:space="preserve"> Националната програма за развитие</w:t>
      </w:r>
      <w:r w:rsidR="009620CF" w:rsidRPr="00610B1B">
        <w:rPr>
          <w:rFonts w:ascii="Times New Roman" w:eastAsia="Times New Roman" w:hAnsi="Times New Roman" w:cs="Times New Roman"/>
          <w:color w:val="000000"/>
          <w:sz w:val="24"/>
          <w:szCs w:val="24"/>
          <w:lang w:val="bg-BG"/>
        </w:rPr>
        <w:t>: България 2030</w:t>
      </w:r>
      <w:r w:rsidR="004A4473" w:rsidRPr="00610B1B">
        <w:rPr>
          <w:rFonts w:ascii="Times New Roman" w:eastAsia="Times New Roman" w:hAnsi="Times New Roman" w:cs="Times New Roman"/>
          <w:color w:val="000000"/>
          <w:sz w:val="24"/>
          <w:szCs w:val="24"/>
          <w:lang w:val="bg-BG"/>
        </w:rPr>
        <w:t xml:space="preserve"> и свързани с морската икономика секторни стратегии. </w:t>
      </w:r>
    </w:p>
    <w:p w14:paraId="7AF959A4" w14:textId="6E392D13" w:rsidR="00D06DF6" w:rsidRPr="00610B1B" w:rsidRDefault="00370CEC"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i/>
          <w:iCs/>
          <w:sz w:val="24"/>
          <w:szCs w:val="24"/>
          <w:lang w:val="bg-BG"/>
        </w:rPr>
        <w:t>Тематичният обхват</w:t>
      </w:r>
      <w:r w:rsidRPr="00610B1B">
        <w:rPr>
          <w:rFonts w:ascii="Times New Roman" w:hAnsi="Times New Roman" w:cs="Times New Roman"/>
          <w:bCs/>
          <w:sz w:val="24"/>
          <w:szCs w:val="24"/>
          <w:lang w:val="bg-BG"/>
        </w:rPr>
        <w:t xml:space="preserve"> на </w:t>
      </w:r>
      <w:r w:rsidR="009620CF" w:rsidRPr="00610B1B">
        <w:rPr>
          <w:rFonts w:ascii="Times New Roman" w:hAnsi="Times New Roman" w:cs="Times New Roman"/>
          <w:bCs/>
          <w:sz w:val="24"/>
          <w:szCs w:val="24"/>
          <w:lang w:val="bg-BG"/>
        </w:rPr>
        <w:t xml:space="preserve">Морския пространствен план на Република България </w:t>
      </w:r>
      <w:r w:rsidRPr="00610B1B">
        <w:rPr>
          <w:rFonts w:ascii="Times New Roman" w:hAnsi="Times New Roman" w:cs="Times New Roman"/>
          <w:bCs/>
          <w:sz w:val="24"/>
          <w:szCs w:val="24"/>
          <w:lang w:val="bg-BG"/>
        </w:rPr>
        <w:t xml:space="preserve">се определя от действащия законов документ, в който са застъпени </w:t>
      </w:r>
      <w:r w:rsidR="009620CF" w:rsidRPr="00610B1B">
        <w:rPr>
          <w:rFonts w:ascii="Times New Roman" w:hAnsi="Times New Roman" w:cs="Times New Roman"/>
          <w:bCs/>
          <w:sz w:val="24"/>
          <w:szCs w:val="24"/>
          <w:lang w:val="bg-BG"/>
        </w:rPr>
        <w:t>всички тематични области</w:t>
      </w:r>
      <w:r w:rsidRPr="00610B1B">
        <w:rPr>
          <w:rFonts w:ascii="Times New Roman" w:hAnsi="Times New Roman" w:cs="Times New Roman"/>
          <w:bCs/>
          <w:sz w:val="24"/>
          <w:szCs w:val="24"/>
          <w:lang w:val="bg-BG"/>
        </w:rPr>
        <w:t xml:space="preserve"> от</w:t>
      </w:r>
      <w:r w:rsidR="009620CF" w:rsidRPr="00610B1B">
        <w:rPr>
          <w:rFonts w:ascii="Times New Roman" w:hAnsi="Times New Roman" w:cs="Times New Roman"/>
          <w:bCs/>
          <w:sz w:val="24"/>
          <w:szCs w:val="24"/>
          <w:lang w:val="bg-BG"/>
        </w:rPr>
        <w:t xml:space="preserve"> Директива 2014/89/ЕС</w:t>
      </w:r>
      <w:r w:rsidR="006275FA" w:rsidRPr="00610B1B">
        <w:rPr>
          <w:rFonts w:ascii="Times New Roman" w:hAnsi="Times New Roman" w:cs="Times New Roman"/>
          <w:bCs/>
          <w:sz w:val="24"/>
          <w:szCs w:val="24"/>
          <w:lang w:val="bg-BG"/>
        </w:rPr>
        <w:t>. Посочените компоненти на средата, системи, зони, коридори и полигони са в основата на дейностите, за които ще се търси безконфликтно съвместяване при зонирането на морското пространство. Те обхващат транспортните системи за движение, зоните и полигоните за военни учения; зоните за проучвания, разработване и използване/добив на р</w:t>
      </w:r>
      <w:r w:rsidR="00D06DF6" w:rsidRPr="00610B1B">
        <w:rPr>
          <w:rFonts w:ascii="Times New Roman" w:hAnsi="Times New Roman" w:cs="Times New Roman"/>
          <w:bCs/>
          <w:sz w:val="24"/>
          <w:szCs w:val="24"/>
          <w:lang w:val="bg-BG"/>
        </w:rPr>
        <w:t>есурси;</w:t>
      </w:r>
      <w:r w:rsidR="006275FA" w:rsidRPr="00610B1B">
        <w:rPr>
          <w:rFonts w:ascii="Times New Roman" w:hAnsi="Times New Roman" w:cs="Times New Roman"/>
          <w:bCs/>
          <w:sz w:val="24"/>
          <w:szCs w:val="24"/>
          <w:lang w:val="bg-BG"/>
        </w:rPr>
        <w:t xml:space="preserve"> рибарството и аквакултурите; туризма, </w:t>
      </w:r>
      <w:r w:rsidR="00D10B41" w:rsidRPr="00610B1B">
        <w:rPr>
          <w:rFonts w:ascii="Times New Roman" w:hAnsi="Times New Roman" w:cs="Times New Roman"/>
          <w:bCs/>
          <w:sz w:val="24"/>
          <w:szCs w:val="24"/>
          <w:lang w:val="bg-BG"/>
        </w:rPr>
        <w:t xml:space="preserve">морските </w:t>
      </w:r>
      <w:r w:rsidR="006275FA" w:rsidRPr="00610B1B">
        <w:rPr>
          <w:rFonts w:ascii="Times New Roman" w:hAnsi="Times New Roman" w:cs="Times New Roman"/>
          <w:bCs/>
          <w:sz w:val="24"/>
          <w:szCs w:val="24"/>
          <w:lang w:val="bg-BG"/>
        </w:rPr>
        <w:t>рекреационни и спортни дейности</w:t>
      </w:r>
      <w:r w:rsidR="00D06DF6" w:rsidRPr="00610B1B">
        <w:rPr>
          <w:rFonts w:ascii="Times New Roman" w:hAnsi="Times New Roman" w:cs="Times New Roman"/>
          <w:bCs/>
          <w:sz w:val="24"/>
          <w:szCs w:val="24"/>
          <w:lang w:val="bg-BG"/>
        </w:rPr>
        <w:t>;</w:t>
      </w:r>
      <w:r w:rsidR="006275FA" w:rsidRPr="00610B1B">
        <w:rPr>
          <w:rFonts w:ascii="Times New Roman" w:hAnsi="Times New Roman" w:cs="Times New Roman"/>
          <w:bCs/>
          <w:sz w:val="24"/>
          <w:szCs w:val="24"/>
          <w:lang w:val="bg-BG"/>
        </w:rPr>
        <w:t xml:space="preserve"> научните изследвания</w:t>
      </w:r>
      <w:r w:rsidR="00D06DF6" w:rsidRPr="00610B1B">
        <w:rPr>
          <w:rFonts w:ascii="Times New Roman" w:hAnsi="Times New Roman" w:cs="Times New Roman"/>
          <w:bCs/>
          <w:sz w:val="24"/>
          <w:szCs w:val="24"/>
          <w:lang w:val="bg-BG"/>
        </w:rPr>
        <w:t>;</w:t>
      </w:r>
      <w:r w:rsidR="006275FA" w:rsidRPr="00610B1B">
        <w:rPr>
          <w:rFonts w:ascii="Times New Roman" w:hAnsi="Times New Roman" w:cs="Times New Roman"/>
          <w:bCs/>
          <w:sz w:val="24"/>
          <w:szCs w:val="24"/>
          <w:lang w:val="bg-BG"/>
        </w:rPr>
        <w:t xml:space="preserve"> защитените з</w:t>
      </w:r>
      <w:r w:rsidR="00D06DF6" w:rsidRPr="00610B1B">
        <w:rPr>
          <w:rFonts w:ascii="Times New Roman" w:hAnsi="Times New Roman" w:cs="Times New Roman"/>
          <w:bCs/>
          <w:sz w:val="24"/>
          <w:szCs w:val="24"/>
          <w:lang w:val="bg-BG"/>
        </w:rPr>
        <w:t>они и защитените територии от Националната екологична мрежа;</w:t>
      </w:r>
      <w:r w:rsidR="006275FA" w:rsidRPr="00610B1B">
        <w:rPr>
          <w:rFonts w:ascii="Times New Roman" w:hAnsi="Times New Roman" w:cs="Times New Roman"/>
          <w:bCs/>
          <w:sz w:val="24"/>
          <w:szCs w:val="24"/>
          <w:lang w:val="bg-BG"/>
        </w:rPr>
        <w:t xml:space="preserve"> културното наследство и подводната археология; подводните линейни обекти на техническата инфраструктура; </w:t>
      </w:r>
      <w:r w:rsidR="00D06DF6" w:rsidRPr="00610B1B">
        <w:rPr>
          <w:rFonts w:ascii="Times New Roman" w:hAnsi="Times New Roman" w:cs="Times New Roman"/>
          <w:bCs/>
          <w:sz w:val="24"/>
          <w:szCs w:val="24"/>
          <w:lang w:val="bg-BG"/>
        </w:rPr>
        <w:t>инсталациите и съоръженията, свързани с корабоплаването</w:t>
      </w:r>
      <w:r w:rsidR="006275FA" w:rsidRPr="00610B1B">
        <w:rPr>
          <w:rFonts w:ascii="Times New Roman" w:hAnsi="Times New Roman" w:cs="Times New Roman"/>
          <w:bCs/>
          <w:sz w:val="24"/>
          <w:szCs w:val="24"/>
          <w:lang w:val="bg-BG"/>
        </w:rPr>
        <w:t xml:space="preserve"> и с разработването и използването на минералните и енергийните ресурси; различните пристанища и пристанищната дейност с прилежащи</w:t>
      </w:r>
      <w:r w:rsidR="00D10B41" w:rsidRPr="00610B1B">
        <w:rPr>
          <w:rFonts w:ascii="Times New Roman" w:hAnsi="Times New Roman" w:cs="Times New Roman"/>
          <w:bCs/>
          <w:sz w:val="24"/>
          <w:szCs w:val="24"/>
          <w:lang w:val="bg-BG"/>
        </w:rPr>
        <w:t>те</w:t>
      </w:r>
      <w:r w:rsidR="006275FA" w:rsidRPr="00610B1B">
        <w:rPr>
          <w:rFonts w:ascii="Times New Roman" w:hAnsi="Times New Roman" w:cs="Times New Roman"/>
          <w:bCs/>
          <w:sz w:val="24"/>
          <w:szCs w:val="24"/>
          <w:lang w:val="bg-BG"/>
        </w:rPr>
        <w:t xml:space="preserve"> площи за осъществяване</w:t>
      </w:r>
      <w:r w:rsidR="00D10B41" w:rsidRPr="00610B1B">
        <w:rPr>
          <w:rFonts w:ascii="Times New Roman" w:hAnsi="Times New Roman" w:cs="Times New Roman"/>
          <w:bCs/>
          <w:sz w:val="24"/>
          <w:szCs w:val="24"/>
          <w:lang w:val="bg-BG"/>
        </w:rPr>
        <w:t>то</w:t>
      </w:r>
      <w:r w:rsidR="00DE3A13" w:rsidRPr="00610B1B">
        <w:rPr>
          <w:rFonts w:ascii="Times New Roman" w:hAnsi="Times New Roman" w:cs="Times New Roman"/>
          <w:bCs/>
          <w:sz w:val="24"/>
          <w:szCs w:val="24"/>
          <w:lang w:val="bg-BG"/>
        </w:rPr>
        <w:t xml:space="preserve"> ѝ.</w:t>
      </w:r>
      <w:r w:rsidR="000D2AAD" w:rsidRPr="00610B1B">
        <w:rPr>
          <w:rFonts w:ascii="Times New Roman" w:hAnsi="Times New Roman" w:cs="Times New Roman"/>
          <w:bCs/>
          <w:sz w:val="24"/>
          <w:szCs w:val="24"/>
          <w:lang w:val="bg-BG"/>
        </w:rPr>
        <w:t xml:space="preserve"> Анализирани са </w:t>
      </w:r>
      <w:r w:rsidR="006275FA" w:rsidRPr="00610B1B">
        <w:rPr>
          <w:rFonts w:ascii="Times New Roman" w:hAnsi="Times New Roman" w:cs="Times New Roman"/>
          <w:bCs/>
          <w:sz w:val="24"/>
          <w:szCs w:val="24"/>
          <w:lang w:val="bg-BG"/>
        </w:rPr>
        <w:t>свързаните с</w:t>
      </w:r>
      <w:r w:rsidR="00D10B41" w:rsidRPr="00610B1B">
        <w:rPr>
          <w:rFonts w:ascii="Times New Roman" w:hAnsi="Times New Roman" w:cs="Times New Roman"/>
          <w:bCs/>
          <w:sz w:val="24"/>
          <w:szCs w:val="24"/>
          <w:lang w:val="bg-BG"/>
        </w:rPr>
        <w:t xml:space="preserve">ъс </w:t>
      </w:r>
      <w:r w:rsidR="006275FA" w:rsidRPr="00610B1B">
        <w:rPr>
          <w:rFonts w:ascii="Times New Roman" w:hAnsi="Times New Roman" w:cs="Times New Roman"/>
          <w:bCs/>
          <w:sz w:val="24"/>
          <w:szCs w:val="24"/>
          <w:lang w:val="bg-BG"/>
        </w:rPr>
        <w:t xml:space="preserve">синята икономика дейности, </w:t>
      </w:r>
      <w:r w:rsidR="00D10B41" w:rsidRPr="00610B1B">
        <w:rPr>
          <w:rFonts w:ascii="Times New Roman" w:hAnsi="Times New Roman" w:cs="Times New Roman"/>
          <w:bCs/>
          <w:sz w:val="24"/>
          <w:szCs w:val="24"/>
          <w:lang w:val="bg-BG"/>
        </w:rPr>
        <w:t xml:space="preserve">с </w:t>
      </w:r>
      <w:r w:rsidR="006275FA" w:rsidRPr="00610B1B">
        <w:rPr>
          <w:rFonts w:ascii="Times New Roman" w:hAnsi="Times New Roman" w:cs="Times New Roman"/>
          <w:bCs/>
          <w:sz w:val="24"/>
          <w:szCs w:val="24"/>
          <w:lang w:val="bg-BG"/>
        </w:rPr>
        <w:t xml:space="preserve">техния разширяващ се обхват през последните десетилетия и </w:t>
      </w:r>
      <w:r w:rsidR="00FB070F" w:rsidRPr="00610B1B">
        <w:rPr>
          <w:rFonts w:ascii="Times New Roman" w:hAnsi="Times New Roman" w:cs="Times New Roman"/>
          <w:bCs/>
          <w:sz w:val="24"/>
          <w:szCs w:val="24"/>
          <w:lang w:val="bg-BG"/>
        </w:rPr>
        <w:t>необходимите пространства</w:t>
      </w:r>
      <w:r w:rsidR="000D2AAD" w:rsidRPr="00610B1B">
        <w:rPr>
          <w:rFonts w:ascii="Times New Roman" w:hAnsi="Times New Roman" w:cs="Times New Roman"/>
          <w:bCs/>
          <w:sz w:val="24"/>
          <w:szCs w:val="24"/>
          <w:lang w:val="bg-BG"/>
        </w:rPr>
        <w:t>, инфраструктура</w:t>
      </w:r>
      <w:r w:rsidR="00FB070F" w:rsidRPr="00610B1B">
        <w:rPr>
          <w:rFonts w:ascii="Times New Roman" w:hAnsi="Times New Roman" w:cs="Times New Roman"/>
          <w:bCs/>
          <w:sz w:val="24"/>
          <w:szCs w:val="24"/>
          <w:lang w:val="bg-BG"/>
        </w:rPr>
        <w:t xml:space="preserve"> и ресурси. </w:t>
      </w:r>
    </w:p>
    <w:p w14:paraId="22832721" w14:textId="77777777" w:rsidR="00261A06" w:rsidRPr="00610B1B" w:rsidRDefault="00261A06" w:rsidP="00D32D6A">
      <w:pPr>
        <w:spacing w:after="120"/>
        <w:ind w:right="-153"/>
        <w:jc w:val="both"/>
        <w:rPr>
          <w:rFonts w:ascii="Times New Roman" w:hAnsi="Times New Roman" w:cs="Times New Roman"/>
          <w:bCs/>
          <w:sz w:val="24"/>
          <w:szCs w:val="24"/>
          <w:lang w:val="bg-BG"/>
        </w:rPr>
      </w:pPr>
    </w:p>
    <w:p w14:paraId="739AA22C" w14:textId="7B4A0CAA" w:rsidR="009D4A0E" w:rsidRPr="00610B1B" w:rsidRDefault="004A4473" w:rsidP="00D32D6A">
      <w:pPr>
        <w:pStyle w:val="Heading3"/>
        <w:spacing w:before="0" w:line="276" w:lineRule="auto"/>
        <w:ind w:right="-153"/>
        <w:rPr>
          <w:rFonts w:cs="Times New Roman"/>
        </w:rPr>
      </w:pPr>
      <w:bookmarkStart w:id="15" w:name="_Toc83391356"/>
      <w:r w:rsidRPr="00610B1B">
        <w:rPr>
          <w:rFonts w:cs="Times New Roman"/>
        </w:rPr>
        <w:t>1.1</w:t>
      </w:r>
      <w:r w:rsidR="00B601CD" w:rsidRPr="00610B1B">
        <w:rPr>
          <w:rFonts w:cs="Times New Roman"/>
        </w:rPr>
        <w:t>.</w:t>
      </w:r>
      <w:r w:rsidR="00370CEC" w:rsidRPr="00610B1B">
        <w:rPr>
          <w:rFonts w:cs="Times New Roman"/>
        </w:rPr>
        <w:t>5</w:t>
      </w:r>
      <w:r w:rsidR="00B601CD" w:rsidRPr="00610B1B">
        <w:rPr>
          <w:rFonts w:cs="Times New Roman"/>
        </w:rPr>
        <w:t xml:space="preserve">. </w:t>
      </w:r>
      <w:r w:rsidR="009D4A0E" w:rsidRPr="00610B1B">
        <w:rPr>
          <w:rFonts w:cs="Times New Roman"/>
        </w:rPr>
        <w:t xml:space="preserve">Връзка с </w:t>
      </w:r>
      <w:r w:rsidRPr="00610B1B">
        <w:rPr>
          <w:rFonts w:cs="Times New Roman"/>
        </w:rPr>
        <w:t>други политики и документи</w:t>
      </w:r>
      <w:bookmarkEnd w:id="15"/>
    </w:p>
    <w:p w14:paraId="62E1C61F" w14:textId="01C68BF4" w:rsidR="00010F9A" w:rsidRPr="00610B1B" w:rsidRDefault="00010F9A"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Основен документ в Морското пространствено планиране е ръководството на ЮНЕСКО „</w:t>
      </w:r>
      <w:r w:rsidRPr="00610B1B">
        <w:rPr>
          <w:rFonts w:ascii="Times New Roman" w:hAnsi="Times New Roman" w:cs="Times New Roman"/>
          <w:bCs/>
          <w:i/>
          <w:iCs/>
          <w:sz w:val="24"/>
          <w:szCs w:val="24"/>
          <w:lang w:val="bg-BG"/>
        </w:rPr>
        <w:t>Морско пространствено планиране, Подход „Стъпка по стъпка“. Към базирано на екосистемния подход управление</w:t>
      </w:r>
      <w:r w:rsidRPr="00610B1B">
        <w:rPr>
          <w:rFonts w:ascii="Times New Roman" w:hAnsi="Times New Roman" w:cs="Times New Roman"/>
          <w:bCs/>
          <w:sz w:val="24"/>
          <w:szCs w:val="24"/>
          <w:lang w:val="bg-BG"/>
        </w:rPr>
        <w:t>“.</w:t>
      </w:r>
      <w:r w:rsidRPr="00610B1B">
        <w:rPr>
          <w:rStyle w:val="FootnoteReference"/>
          <w:rFonts w:ascii="Times New Roman" w:hAnsi="Times New Roman" w:cs="Times New Roman"/>
          <w:bCs/>
          <w:sz w:val="24"/>
          <w:szCs w:val="24"/>
          <w:lang w:val="bg-BG"/>
        </w:rPr>
        <w:footnoteReference w:id="54"/>
      </w:r>
      <w:r w:rsidRPr="00610B1B">
        <w:rPr>
          <w:rFonts w:ascii="Times New Roman" w:hAnsi="Times New Roman" w:cs="Times New Roman"/>
          <w:bCs/>
          <w:sz w:val="24"/>
          <w:szCs w:val="24"/>
          <w:lang w:val="bg-BG"/>
        </w:rPr>
        <w:t xml:space="preserve"> То представя най-ценното от световната практика от първата стъпка – осъзнаването на необходимостта от подобен вид планиране до адаптирането на плана към промените и конкретните местни условия </w:t>
      </w:r>
      <w:r w:rsidR="004F2A16" w:rsidRPr="00610B1B">
        <w:rPr>
          <w:rFonts w:ascii="Times New Roman" w:hAnsi="Times New Roman" w:cs="Times New Roman"/>
          <w:bCs/>
          <w:sz w:val="24"/>
          <w:szCs w:val="24"/>
          <w:lang w:val="bg-BG"/>
        </w:rPr>
        <w:t>за</w:t>
      </w:r>
      <w:r w:rsidRPr="00610B1B">
        <w:rPr>
          <w:rFonts w:ascii="Times New Roman" w:hAnsi="Times New Roman" w:cs="Times New Roman"/>
          <w:bCs/>
          <w:sz w:val="24"/>
          <w:szCs w:val="24"/>
          <w:lang w:val="bg-BG"/>
        </w:rPr>
        <w:t xml:space="preserve"> </w:t>
      </w:r>
      <w:r w:rsidR="004F2A16" w:rsidRPr="00610B1B">
        <w:rPr>
          <w:rFonts w:ascii="Times New Roman" w:hAnsi="Times New Roman" w:cs="Times New Roman"/>
          <w:bCs/>
          <w:sz w:val="24"/>
          <w:szCs w:val="24"/>
          <w:lang w:val="bg-BG"/>
        </w:rPr>
        <w:t xml:space="preserve">намиране на </w:t>
      </w:r>
      <w:r w:rsidR="009D7952" w:rsidRPr="00610B1B">
        <w:rPr>
          <w:rFonts w:ascii="Times New Roman" w:hAnsi="Times New Roman" w:cs="Times New Roman"/>
          <w:bCs/>
          <w:sz w:val="24"/>
          <w:szCs w:val="24"/>
          <w:lang w:val="bg-BG"/>
        </w:rPr>
        <w:t>алтернативни</w:t>
      </w:r>
      <w:r w:rsidR="004F2A16" w:rsidRPr="00610B1B">
        <w:rPr>
          <w:rFonts w:ascii="Times New Roman" w:hAnsi="Times New Roman" w:cs="Times New Roman"/>
          <w:bCs/>
          <w:sz w:val="24"/>
          <w:szCs w:val="24"/>
          <w:lang w:val="bg-BG"/>
        </w:rPr>
        <w:t xml:space="preserve"> решения за постигане на целите в процеса на </w:t>
      </w:r>
      <w:r w:rsidRPr="00610B1B">
        <w:rPr>
          <w:rFonts w:ascii="Times New Roman" w:hAnsi="Times New Roman" w:cs="Times New Roman"/>
          <w:bCs/>
          <w:sz w:val="24"/>
          <w:szCs w:val="24"/>
          <w:lang w:val="bg-BG"/>
        </w:rPr>
        <w:t>приложение.</w:t>
      </w:r>
      <w:r w:rsidR="004F2A16" w:rsidRPr="00610B1B">
        <w:rPr>
          <w:rFonts w:ascii="Times New Roman" w:hAnsi="Times New Roman" w:cs="Times New Roman"/>
          <w:bCs/>
          <w:sz w:val="24"/>
          <w:szCs w:val="24"/>
          <w:lang w:val="bg-BG"/>
        </w:rPr>
        <w:t xml:space="preserve"> </w:t>
      </w:r>
      <w:r w:rsidR="004A4473" w:rsidRPr="00610B1B">
        <w:rPr>
          <w:rFonts w:ascii="Times New Roman" w:hAnsi="Times New Roman" w:cs="Times New Roman"/>
          <w:bCs/>
          <w:sz w:val="24"/>
          <w:szCs w:val="24"/>
          <w:lang w:val="bg-BG"/>
        </w:rPr>
        <w:t>В началото на 2019 година България е извървяла, успешно част от първоначалните стъпки.</w:t>
      </w:r>
    </w:p>
    <w:p w14:paraId="1C4A99C0" w14:textId="1167354C" w:rsidR="004F2A16" w:rsidRPr="00610B1B" w:rsidRDefault="004F2A16"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В Европейските програмни и стратегически документи</w:t>
      </w:r>
      <w:r w:rsidR="00B82791" w:rsidRPr="00610B1B">
        <w:rPr>
          <w:rFonts w:ascii="Times New Roman" w:hAnsi="Times New Roman" w:cs="Times New Roman"/>
          <w:bCs/>
          <w:sz w:val="24"/>
          <w:szCs w:val="24"/>
          <w:lang w:val="bg-BG"/>
        </w:rPr>
        <w:t xml:space="preserve"> от началото на настоящия</w:t>
      </w:r>
      <w:r w:rsidR="004A4473" w:rsidRPr="00610B1B">
        <w:rPr>
          <w:rFonts w:ascii="Times New Roman" w:hAnsi="Times New Roman" w:cs="Times New Roman"/>
          <w:bCs/>
          <w:sz w:val="24"/>
          <w:szCs w:val="24"/>
          <w:lang w:val="bg-BG"/>
        </w:rPr>
        <w:t xml:space="preserve"> век</w:t>
      </w:r>
      <w:r w:rsidRPr="00610B1B">
        <w:rPr>
          <w:rFonts w:ascii="Times New Roman" w:hAnsi="Times New Roman" w:cs="Times New Roman"/>
          <w:bCs/>
          <w:sz w:val="24"/>
          <w:szCs w:val="24"/>
          <w:lang w:val="bg-BG"/>
        </w:rPr>
        <w:t xml:space="preserve">, формирали насоките на пространствената политика на ЕС фокусът е територията, </w:t>
      </w:r>
      <w:r w:rsidR="00B82791" w:rsidRPr="00610B1B">
        <w:rPr>
          <w:rFonts w:ascii="Times New Roman" w:hAnsi="Times New Roman" w:cs="Times New Roman"/>
          <w:bCs/>
          <w:sz w:val="24"/>
          <w:szCs w:val="24"/>
          <w:lang w:val="bg-BG"/>
        </w:rPr>
        <w:lastRenderedPageBreak/>
        <w:t xml:space="preserve">регионалното и </w:t>
      </w:r>
      <w:r w:rsidRPr="00610B1B">
        <w:rPr>
          <w:rFonts w:ascii="Times New Roman" w:hAnsi="Times New Roman" w:cs="Times New Roman"/>
          <w:bCs/>
          <w:sz w:val="24"/>
          <w:szCs w:val="24"/>
          <w:lang w:val="bg-BG"/>
        </w:rPr>
        <w:t>градско</w:t>
      </w:r>
      <w:r w:rsidR="00B82791" w:rsidRPr="00610B1B">
        <w:rPr>
          <w:rFonts w:ascii="Times New Roman" w:hAnsi="Times New Roman" w:cs="Times New Roman"/>
          <w:bCs/>
          <w:sz w:val="24"/>
          <w:szCs w:val="24"/>
          <w:lang w:val="bg-BG"/>
        </w:rPr>
        <w:t>то</w:t>
      </w:r>
      <w:r w:rsidRPr="00610B1B">
        <w:rPr>
          <w:rFonts w:ascii="Times New Roman" w:hAnsi="Times New Roman" w:cs="Times New Roman"/>
          <w:bCs/>
          <w:sz w:val="24"/>
          <w:szCs w:val="24"/>
          <w:lang w:val="bg-BG"/>
        </w:rPr>
        <w:t xml:space="preserve"> развитие</w:t>
      </w:r>
      <w:r w:rsidR="00B82791"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намаляване</w:t>
      </w:r>
      <w:r w:rsidR="00DC23F6" w:rsidRPr="00610B1B">
        <w:rPr>
          <w:rFonts w:ascii="Times New Roman" w:hAnsi="Times New Roman" w:cs="Times New Roman"/>
          <w:bCs/>
          <w:sz w:val="24"/>
          <w:szCs w:val="24"/>
          <w:lang w:val="bg-BG"/>
        </w:rPr>
        <w:t>то</w:t>
      </w:r>
      <w:r w:rsidRPr="00610B1B">
        <w:rPr>
          <w:rFonts w:ascii="Times New Roman" w:hAnsi="Times New Roman" w:cs="Times New Roman"/>
          <w:bCs/>
          <w:sz w:val="24"/>
          <w:szCs w:val="24"/>
          <w:lang w:val="bg-BG"/>
        </w:rPr>
        <w:t xml:space="preserve"> на различията</w:t>
      </w:r>
      <w:r w:rsidR="00B82791" w:rsidRPr="00610B1B">
        <w:rPr>
          <w:rFonts w:ascii="Times New Roman" w:hAnsi="Times New Roman" w:cs="Times New Roman"/>
          <w:bCs/>
          <w:sz w:val="24"/>
          <w:szCs w:val="24"/>
          <w:lang w:val="bg-BG"/>
        </w:rPr>
        <w:t xml:space="preserve"> в селските райони, транспорта и основните входове към Европа – пристанищата.</w:t>
      </w:r>
      <w:r w:rsidRPr="00610B1B">
        <w:rPr>
          <w:rFonts w:ascii="Times New Roman" w:hAnsi="Times New Roman" w:cs="Times New Roman"/>
          <w:bCs/>
          <w:sz w:val="24"/>
          <w:szCs w:val="24"/>
          <w:lang w:val="bg-BG"/>
        </w:rPr>
        <w:t xml:space="preserve"> </w:t>
      </w:r>
      <w:r w:rsidR="00B82791" w:rsidRPr="00610B1B">
        <w:rPr>
          <w:rFonts w:ascii="Times New Roman" w:hAnsi="Times New Roman" w:cs="Times New Roman"/>
          <w:bCs/>
          <w:sz w:val="24"/>
          <w:szCs w:val="24"/>
          <w:lang w:val="bg-BG"/>
        </w:rPr>
        <w:t>Въпреки ясната връзка с дейностите, осъществявани в моретата и океаните</w:t>
      </w:r>
      <w:r w:rsidR="004A4473" w:rsidRPr="00610B1B">
        <w:rPr>
          <w:rFonts w:ascii="Times New Roman" w:hAnsi="Times New Roman" w:cs="Times New Roman"/>
          <w:bCs/>
          <w:sz w:val="24"/>
          <w:szCs w:val="24"/>
          <w:lang w:val="bg-BG"/>
        </w:rPr>
        <w:t>,</w:t>
      </w:r>
      <w:r w:rsidR="00B82791" w:rsidRPr="00610B1B">
        <w:rPr>
          <w:rFonts w:ascii="Times New Roman" w:hAnsi="Times New Roman" w:cs="Times New Roman"/>
          <w:bCs/>
          <w:sz w:val="24"/>
          <w:szCs w:val="24"/>
          <w:lang w:val="bg-BG"/>
        </w:rPr>
        <w:t xml:space="preserve"> като морския транспорт, който обхваща над 90% от транспорта на ЕС,</w:t>
      </w:r>
      <w:r w:rsidRPr="00610B1B">
        <w:rPr>
          <w:rFonts w:ascii="Times New Roman" w:hAnsi="Times New Roman" w:cs="Times New Roman"/>
          <w:bCs/>
          <w:sz w:val="24"/>
          <w:szCs w:val="24"/>
          <w:lang w:val="bg-BG"/>
        </w:rPr>
        <w:t xml:space="preserve"> на морското пространствено планиране е отделено незначително </w:t>
      </w:r>
      <w:r w:rsidR="00B82791" w:rsidRPr="00610B1B">
        <w:rPr>
          <w:rFonts w:ascii="Times New Roman" w:hAnsi="Times New Roman" w:cs="Times New Roman"/>
          <w:bCs/>
          <w:sz w:val="24"/>
          <w:szCs w:val="24"/>
          <w:lang w:val="bg-BG"/>
        </w:rPr>
        <w:t>внимание</w:t>
      </w:r>
      <w:r w:rsidRPr="00610B1B">
        <w:rPr>
          <w:rFonts w:ascii="Times New Roman" w:hAnsi="Times New Roman" w:cs="Times New Roman"/>
          <w:bCs/>
          <w:sz w:val="24"/>
          <w:szCs w:val="24"/>
          <w:lang w:val="bg-BG"/>
        </w:rPr>
        <w:t xml:space="preserve">. </w:t>
      </w:r>
      <w:r w:rsidR="00B82791" w:rsidRPr="00610B1B">
        <w:rPr>
          <w:rFonts w:ascii="Times New Roman" w:hAnsi="Times New Roman" w:cs="Times New Roman"/>
          <w:bCs/>
          <w:sz w:val="24"/>
          <w:szCs w:val="24"/>
          <w:lang w:val="bg-BG"/>
        </w:rPr>
        <w:t xml:space="preserve">Интегрираното управление на крайбрежни зони и морското пространствено планиране винаги са били разглеждани като два отделни инструмента на Интегрираната морска политика. </w:t>
      </w:r>
      <w:r w:rsidR="004A4473" w:rsidRPr="00610B1B">
        <w:rPr>
          <w:rFonts w:ascii="Times New Roman" w:hAnsi="Times New Roman" w:cs="Times New Roman"/>
          <w:bCs/>
          <w:sz w:val="24"/>
          <w:szCs w:val="24"/>
          <w:lang w:val="bg-BG"/>
        </w:rPr>
        <w:t xml:space="preserve">И сега </w:t>
      </w:r>
      <w:r w:rsidR="00B82791" w:rsidRPr="00610B1B">
        <w:rPr>
          <w:rFonts w:ascii="Times New Roman" w:hAnsi="Times New Roman" w:cs="Times New Roman"/>
          <w:bCs/>
          <w:sz w:val="24"/>
          <w:szCs w:val="24"/>
          <w:lang w:val="bg-BG"/>
        </w:rPr>
        <w:t xml:space="preserve">всяка държава членка трябва да изработи два документа – Морска стратегия и Морски пространствен план. </w:t>
      </w:r>
    </w:p>
    <w:p w14:paraId="2A82A5B4" w14:textId="3B7EC00F" w:rsidR="001B64DC" w:rsidRPr="00610B1B" w:rsidRDefault="00DC23F6"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i/>
          <w:iCs/>
          <w:sz w:val="24"/>
          <w:szCs w:val="24"/>
          <w:lang w:val="bg-BG"/>
        </w:rPr>
        <w:t>Европейската стратегия за морска сигурност</w:t>
      </w:r>
      <w:r w:rsidRPr="00610B1B">
        <w:rPr>
          <w:rStyle w:val="FootnoteReference"/>
          <w:rFonts w:ascii="Times New Roman" w:hAnsi="Times New Roman" w:cs="Times New Roman"/>
          <w:bCs/>
          <w:i/>
          <w:iCs/>
          <w:sz w:val="24"/>
          <w:szCs w:val="24"/>
          <w:lang w:val="bg-BG"/>
        </w:rPr>
        <w:footnoteReference w:id="55"/>
      </w:r>
      <w:r w:rsidRPr="00610B1B">
        <w:rPr>
          <w:rFonts w:ascii="Times New Roman" w:hAnsi="Times New Roman" w:cs="Times New Roman"/>
          <w:bCs/>
          <w:sz w:val="24"/>
          <w:szCs w:val="24"/>
          <w:lang w:val="bg-BG"/>
        </w:rPr>
        <w:t xml:space="preserve"> е план за обвързване на политиката за сигурност на ЕС с Интегрираната морска политика и </w:t>
      </w:r>
      <w:r w:rsidR="00A65B0D" w:rsidRPr="00610B1B">
        <w:rPr>
          <w:rFonts w:ascii="Times New Roman" w:hAnsi="Times New Roman" w:cs="Times New Roman"/>
          <w:bCs/>
          <w:sz w:val="24"/>
          <w:szCs w:val="24"/>
          <w:lang w:val="bg-BG"/>
        </w:rPr>
        <w:t xml:space="preserve">е насочена към </w:t>
      </w:r>
      <w:r w:rsidRPr="00610B1B">
        <w:rPr>
          <w:rFonts w:ascii="Times New Roman" w:hAnsi="Times New Roman" w:cs="Times New Roman"/>
          <w:bCs/>
          <w:sz w:val="24"/>
          <w:szCs w:val="24"/>
          <w:lang w:val="bg-BG"/>
        </w:rPr>
        <w:t>основни</w:t>
      </w:r>
      <w:r w:rsidR="00ED1BFE" w:rsidRPr="00610B1B">
        <w:rPr>
          <w:rFonts w:ascii="Times New Roman" w:hAnsi="Times New Roman" w:cs="Times New Roman"/>
          <w:bCs/>
          <w:sz w:val="24"/>
          <w:szCs w:val="24"/>
          <w:lang w:val="bg-BG"/>
        </w:rPr>
        <w:t>те</w:t>
      </w:r>
      <w:r w:rsidRPr="00610B1B">
        <w:rPr>
          <w:rFonts w:ascii="Times New Roman" w:hAnsi="Times New Roman" w:cs="Times New Roman"/>
          <w:bCs/>
          <w:sz w:val="24"/>
          <w:szCs w:val="24"/>
          <w:lang w:val="bg-BG"/>
        </w:rPr>
        <w:t xml:space="preserve"> предизвикателства, които засягат хората, дейностите и инфраструктурата. Тя е изградена на 4 основни принципа – междусекторна </w:t>
      </w:r>
      <w:r w:rsidR="00A65B0D" w:rsidRPr="00610B1B">
        <w:rPr>
          <w:rFonts w:ascii="Times New Roman" w:hAnsi="Times New Roman" w:cs="Times New Roman"/>
          <w:bCs/>
          <w:sz w:val="24"/>
          <w:szCs w:val="24"/>
          <w:lang w:val="bg-BG"/>
        </w:rPr>
        <w:t>координация, функционална интеграция,</w:t>
      </w:r>
      <w:r w:rsidR="00D66FE0" w:rsidRPr="00610B1B">
        <w:rPr>
          <w:rFonts w:ascii="Times New Roman" w:hAnsi="Times New Roman" w:cs="Times New Roman"/>
          <w:bCs/>
          <w:sz w:val="24"/>
          <w:szCs w:val="24"/>
          <w:lang w:val="bg-BG"/>
        </w:rPr>
        <w:t xml:space="preserve"> </w:t>
      </w:r>
      <w:r w:rsidR="00A65B0D" w:rsidRPr="00610B1B">
        <w:rPr>
          <w:rFonts w:ascii="Times New Roman" w:hAnsi="Times New Roman" w:cs="Times New Roman"/>
          <w:bCs/>
          <w:sz w:val="24"/>
          <w:szCs w:val="24"/>
          <w:lang w:val="bg-BG"/>
        </w:rPr>
        <w:t>многостранно сътрудничество и спазване на правилата за постигане на по-голяма ефективност.</w:t>
      </w:r>
      <w:r w:rsidR="001B64DC" w:rsidRPr="00610B1B">
        <w:rPr>
          <w:rFonts w:ascii="Times New Roman" w:hAnsi="Times New Roman" w:cs="Times New Roman"/>
          <w:bCs/>
          <w:sz w:val="24"/>
          <w:szCs w:val="24"/>
          <w:lang w:val="bg-BG"/>
        </w:rPr>
        <w:t xml:space="preserve"> </w:t>
      </w:r>
      <w:r w:rsidR="006463BC" w:rsidRPr="00610B1B">
        <w:rPr>
          <w:rFonts w:ascii="Times New Roman" w:hAnsi="Times New Roman" w:cs="Times New Roman"/>
          <w:bCs/>
          <w:sz w:val="24"/>
          <w:szCs w:val="24"/>
          <w:lang w:val="bg-BG"/>
        </w:rPr>
        <w:t xml:space="preserve">Стратегията </w:t>
      </w:r>
      <w:r w:rsidR="001B64DC" w:rsidRPr="00610B1B">
        <w:rPr>
          <w:rFonts w:ascii="Times New Roman" w:hAnsi="Times New Roman" w:cs="Times New Roman"/>
          <w:bCs/>
          <w:sz w:val="24"/>
          <w:szCs w:val="24"/>
          <w:lang w:val="bg-BG"/>
        </w:rPr>
        <w:t>има комплексен характер</w:t>
      </w:r>
      <w:r w:rsidR="00ED1BFE" w:rsidRPr="00610B1B">
        <w:rPr>
          <w:rFonts w:ascii="Times New Roman" w:hAnsi="Times New Roman" w:cs="Times New Roman"/>
          <w:bCs/>
          <w:sz w:val="24"/>
          <w:szCs w:val="24"/>
          <w:lang w:val="bg-BG"/>
        </w:rPr>
        <w:t xml:space="preserve"> и</w:t>
      </w:r>
      <w:r w:rsidR="001B64DC" w:rsidRPr="00610B1B">
        <w:rPr>
          <w:rFonts w:ascii="Times New Roman" w:hAnsi="Times New Roman" w:cs="Times New Roman"/>
          <w:bCs/>
          <w:sz w:val="24"/>
          <w:szCs w:val="24"/>
          <w:lang w:val="bg-BG"/>
        </w:rPr>
        <w:t xml:space="preserve"> обхваща мерките </w:t>
      </w:r>
      <w:r w:rsidR="00ED1BFE" w:rsidRPr="00610B1B">
        <w:rPr>
          <w:rFonts w:ascii="Times New Roman" w:hAnsi="Times New Roman" w:cs="Times New Roman"/>
          <w:bCs/>
          <w:sz w:val="24"/>
          <w:szCs w:val="24"/>
          <w:lang w:val="bg-BG"/>
        </w:rPr>
        <w:t>за</w:t>
      </w:r>
      <w:r w:rsidR="001B64DC" w:rsidRPr="00610B1B">
        <w:rPr>
          <w:rFonts w:ascii="Times New Roman" w:hAnsi="Times New Roman" w:cs="Times New Roman"/>
          <w:bCs/>
          <w:sz w:val="24"/>
          <w:szCs w:val="24"/>
          <w:lang w:val="bg-BG"/>
        </w:rPr>
        <w:t xml:space="preserve"> общата сигурност и мира, свободата на корабоплаването, съобразено с морското право, контрола върху външните граници на ЕС, морската инфраструктура </w:t>
      </w:r>
      <w:r w:rsidR="006463BC" w:rsidRPr="00610B1B">
        <w:rPr>
          <w:rFonts w:ascii="Times New Roman" w:hAnsi="Times New Roman" w:cs="Times New Roman"/>
          <w:bCs/>
          <w:sz w:val="24"/>
          <w:szCs w:val="24"/>
          <w:lang w:val="bg-BG"/>
        </w:rPr>
        <w:t>(</w:t>
      </w:r>
      <w:r w:rsidR="001B64DC" w:rsidRPr="00610B1B">
        <w:rPr>
          <w:rFonts w:ascii="Times New Roman" w:hAnsi="Times New Roman" w:cs="Times New Roman"/>
          <w:bCs/>
          <w:sz w:val="24"/>
          <w:szCs w:val="24"/>
          <w:lang w:val="bg-BG"/>
        </w:rPr>
        <w:t>пристанища, брегозащита, подводни кабели и тръбопроводи, офшорни платформи и оборудване за научни изследвания</w:t>
      </w:r>
      <w:r w:rsidR="006463BC" w:rsidRPr="00610B1B">
        <w:rPr>
          <w:rFonts w:ascii="Times New Roman" w:hAnsi="Times New Roman" w:cs="Times New Roman"/>
          <w:bCs/>
          <w:sz w:val="24"/>
          <w:szCs w:val="24"/>
          <w:lang w:val="bg-BG"/>
        </w:rPr>
        <w:t>)</w:t>
      </w:r>
      <w:r w:rsidR="001B64DC" w:rsidRPr="00610B1B">
        <w:rPr>
          <w:rFonts w:ascii="Times New Roman" w:hAnsi="Times New Roman" w:cs="Times New Roman"/>
          <w:bCs/>
          <w:sz w:val="24"/>
          <w:szCs w:val="24"/>
          <w:lang w:val="bg-BG"/>
        </w:rPr>
        <w:t xml:space="preserve">, природни ресурси, качество на морската среда и адаптация към климатичните промени. </w:t>
      </w:r>
      <w:r w:rsidR="00ED1BFE" w:rsidRPr="00610B1B">
        <w:rPr>
          <w:rFonts w:ascii="Times New Roman" w:hAnsi="Times New Roman" w:cs="Times New Roman"/>
          <w:bCs/>
          <w:sz w:val="24"/>
          <w:szCs w:val="24"/>
          <w:lang w:val="bg-BG"/>
        </w:rPr>
        <w:t>О</w:t>
      </w:r>
      <w:r w:rsidR="001B64DC" w:rsidRPr="00610B1B">
        <w:rPr>
          <w:rFonts w:ascii="Times New Roman" w:hAnsi="Times New Roman" w:cs="Times New Roman"/>
          <w:bCs/>
          <w:sz w:val="24"/>
          <w:szCs w:val="24"/>
          <w:lang w:val="bg-BG"/>
        </w:rPr>
        <w:t>бхват</w:t>
      </w:r>
      <w:r w:rsidR="00ED1BFE" w:rsidRPr="00610B1B">
        <w:rPr>
          <w:rFonts w:ascii="Times New Roman" w:hAnsi="Times New Roman" w:cs="Times New Roman"/>
          <w:bCs/>
          <w:sz w:val="24"/>
          <w:szCs w:val="24"/>
          <w:lang w:val="bg-BG"/>
        </w:rPr>
        <w:t>ът</w:t>
      </w:r>
      <w:r w:rsidR="001B64DC" w:rsidRPr="00610B1B">
        <w:rPr>
          <w:rFonts w:ascii="Times New Roman" w:hAnsi="Times New Roman" w:cs="Times New Roman"/>
          <w:bCs/>
          <w:sz w:val="24"/>
          <w:szCs w:val="24"/>
          <w:lang w:val="bg-BG"/>
        </w:rPr>
        <w:t xml:space="preserve"> е много по-мащабен от националните морски стратегии на държавите-членки на ЕС, фокусирани </w:t>
      </w:r>
      <w:r w:rsidR="00C46043" w:rsidRPr="00610B1B">
        <w:rPr>
          <w:rFonts w:ascii="Times New Roman" w:hAnsi="Times New Roman" w:cs="Times New Roman"/>
          <w:bCs/>
          <w:sz w:val="24"/>
          <w:szCs w:val="24"/>
          <w:lang w:val="bg-BG"/>
        </w:rPr>
        <w:t xml:space="preserve">предимно </w:t>
      </w:r>
      <w:r w:rsidR="001B64DC" w:rsidRPr="00610B1B">
        <w:rPr>
          <w:rFonts w:ascii="Times New Roman" w:hAnsi="Times New Roman" w:cs="Times New Roman"/>
          <w:bCs/>
          <w:sz w:val="24"/>
          <w:szCs w:val="24"/>
          <w:lang w:val="bg-BG"/>
        </w:rPr>
        <w:t>върху екологичните аспекти и състоянието на морската среда</w:t>
      </w:r>
      <w:r w:rsidR="00C46043" w:rsidRPr="00610B1B">
        <w:rPr>
          <w:rFonts w:ascii="Times New Roman" w:hAnsi="Times New Roman" w:cs="Times New Roman"/>
          <w:bCs/>
          <w:sz w:val="24"/>
          <w:szCs w:val="24"/>
          <w:lang w:val="bg-BG"/>
        </w:rPr>
        <w:t>.</w:t>
      </w:r>
      <w:r w:rsidR="001B64DC" w:rsidRPr="00610B1B">
        <w:rPr>
          <w:rFonts w:ascii="Times New Roman" w:hAnsi="Times New Roman" w:cs="Times New Roman"/>
          <w:bCs/>
          <w:sz w:val="24"/>
          <w:szCs w:val="24"/>
          <w:lang w:val="bg-BG"/>
        </w:rPr>
        <w:t xml:space="preserve"> </w:t>
      </w:r>
    </w:p>
    <w:p w14:paraId="5E1A40D6" w14:textId="0A7E4ACE" w:rsidR="00BE7649" w:rsidRPr="00610B1B" w:rsidRDefault="006463BC"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i/>
          <w:iCs/>
          <w:sz w:val="24"/>
          <w:szCs w:val="24"/>
          <w:lang w:val="bg-BG"/>
        </w:rPr>
        <w:t xml:space="preserve">Общият </w:t>
      </w:r>
      <w:r w:rsidR="00950DC7" w:rsidRPr="00610B1B">
        <w:rPr>
          <w:rFonts w:ascii="Times New Roman" w:hAnsi="Times New Roman" w:cs="Times New Roman"/>
          <w:bCs/>
          <w:i/>
          <w:iCs/>
          <w:sz w:val="24"/>
          <w:szCs w:val="24"/>
          <w:lang w:val="bg-BG"/>
        </w:rPr>
        <w:t xml:space="preserve">Дневен </w:t>
      </w:r>
      <w:r w:rsidRPr="00610B1B">
        <w:rPr>
          <w:rFonts w:ascii="Times New Roman" w:hAnsi="Times New Roman" w:cs="Times New Roman"/>
          <w:bCs/>
          <w:i/>
          <w:iCs/>
          <w:sz w:val="24"/>
          <w:szCs w:val="24"/>
          <w:lang w:val="bg-BG"/>
        </w:rPr>
        <w:t>ред за Черно море</w:t>
      </w:r>
      <w:r w:rsidRPr="00610B1B">
        <w:rPr>
          <w:rFonts w:ascii="Times New Roman" w:hAnsi="Times New Roman" w:cs="Times New Roman"/>
          <w:bCs/>
          <w:sz w:val="24"/>
          <w:szCs w:val="24"/>
          <w:lang w:val="bg-BG"/>
        </w:rPr>
        <w:t>, официално поставен на обсъждане на 17 февруари</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2020 г.</w:t>
      </w:r>
      <w:r w:rsidR="00BE7649" w:rsidRPr="00610B1B">
        <w:rPr>
          <w:rStyle w:val="FootnoteReference"/>
          <w:rFonts w:ascii="Times New Roman" w:hAnsi="Times New Roman" w:cs="Times New Roman"/>
          <w:bCs/>
          <w:sz w:val="24"/>
          <w:szCs w:val="24"/>
          <w:lang w:val="bg-BG"/>
        </w:rPr>
        <w:footnoteReference w:id="56"/>
      </w:r>
      <w:r w:rsidR="00950DC7" w:rsidRPr="00610B1B">
        <w:rPr>
          <w:rFonts w:ascii="Times New Roman" w:hAnsi="Times New Roman" w:cs="Times New Roman"/>
          <w:bCs/>
          <w:sz w:val="24"/>
          <w:szCs w:val="24"/>
          <w:lang w:val="bg-BG"/>
        </w:rPr>
        <w:t>,</w:t>
      </w:r>
      <w:r w:rsidR="00BE7649" w:rsidRPr="00610B1B">
        <w:rPr>
          <w:rFonts w:ascii="Times New Roman" w:hAnsi="Times New Roman" w:cs="Times New Roman"/>
          <w:bCs/>
          <w:sz w:val="24"/>
          <w:szCs w:val="24"/>
          <w:lang w:val="bg-BG"/>
        </w:rPr>
        <w:t xml:space="preserve"> </w:t>
      </w:r>
      <w:r w:rsidR="00950DC7" w:rsidRPr="00610B1B">
        <w:rPr>
          <w:rFonts w:ascii="Times New Roman" w:hAnsi="Times New Roman" w:cs="Times New Roman"/>
          <w:bCs/>
          <w:sz w:val="24"/>
          <w:szCs w:val="24"/>
          <w:lang w:val="bg-BG"/>
        </w:rPr>
        <w:t>цели да идентифицира важните за региона проекти, но също така да подпомогне развиването на знания и отговорност за морското пространство, пренасяйки примера за координирани действия</w:t>
      </w:r>
      <w:r w:rsidR="00D66FE0" w:rsidRPr="00610B1B">
        <w:rPr>
          <w:rFonts w:ascii="Times New Roman" w:hAnsi="Times New Roman" w:cs="Times New Roman"/>
          <w:bCs/>
          <w:sz w:val="24"/>
          <w:szCs w:val="24"/>
          <w:lang w:val="bg-BG"/>
        </w:rPr>
        <w:t xml:space="preserve"> </w:t>
      </w:r>
      <w:r w:rsidR="00075703" w:rsidRPr="00610B1B">
        <w:rPr>
          <w:rFonts w:ascii="Times New Roman" w:hAnsi="Times New Roman" w:cs="Times New Roman"/>
          <w:bCs/>
          <w:sz w:val="24"/>
          <w:szCs w:val="24"/>
          <w:lang w:val="bg-BG"/>
        </w:rPr>
        <w:t>от</w:t>
      </w:r>
      <w:r w:rsidR="00950DC7" w:rsidRPr="00610B1B">
        <w:rPr>
          <w:rFonts w:ascii="Times New Roman" w:hAnsi="Times New Roman" w:cs="Times New Roman"/>
          <w:bCs/>
          <w:sz w:val="24"/>
          <w:szCs w:val="24"/>
          <w:lang w:val="bg-BG"/>
        </w:rPr>
        <w:t xml:space="preserve"> други морски региони в ЕС. Т</w:t>
      </w:r>
      <w:r w:rsidR="00553BBF" w:rsidRPr="00610B1B">
        <w:rPr>
          <w:rFonts w:ascii="Times New Roman" w:hAnsi="Times New Roman" w:cs="Times New Roman"/>
          <w:bCs/>
          <w:sz w:val="24"/>
          <w:szCs w:val="24"/>
          <w:lang w:val="bg-BG"/>
        </w:rPr>
        <w:t>ази</w:t>
      </w:r>
      <w:r w:rsidR="00950DC7" w:rsidRPr="00610B1B">
        <w:rPr>
          <w:rFonts w:ascii="Times New Roman" w:hAnsi="Times New Roman" w:cs="Times New Roman"/>
          <w:bCs/>
          <w:sz w:val="24"/>
          <w:szCs w:val="24"/>
          <w:lang w:val="bg-BG"/>
        </w:rPr>
        <w:t xml:space="preserve"> стратегическа програма за развитие на синята икономика в черноморските страни</w:t>
      </w:r>
      <w:r w:rsidR="00553BBF" w:rsidRPr="00610B1B">
        <w:rPr>
          <w:rFonts w:ascii="Times New Roman" w:hAnsi="Times New Roman" w:cs="Times New Roman"/>
          <w:bCs/>
          <w:sz w:val="24"/>
          <w:szCs w:val="24"/>
          <w:lang w:val="bg-BG"/>
        </w:rPr>
        <w:t xml:space="preserve"> е продължение на работата по надграждане на общата визия (Бургас, 2018 г.)</w:t>
      </w:r>
      <w:r w:rsidR="00AA191D" w:rsidRPr="00610B1B">
        <w:rPr>
          <w:rFonts w:ascii="Times New Roman" w:hAnsi="Times New Roman" w:cs="Times New Roman"/>
          <w:bCs/>
          <w:sz w:val="24"/>
          <w:szCs w:val="24"/>
          <w:lang w:val="bg-BG"/>
        </w:rPr>
        <w:t xml:space="preserve"> и определяне на общите цели и приоритети за морски научни изследвания и иновации. </w:t>
      </w:r>
    </w:p>
    <w:p w14:paraId="296AC0C5" w14:textId="21829150" w:rsidR="00085647" w:rsidRPr="00610B1B" w:rsidRDefault="00BC381D"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На национално ниво Морският пространствен план</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е свързан с два еднакво важни стратегически документа - </w:t>
      </w:r>
      <w:r w:rsidRPr="00610B1B">
        <w:rPr>
          <w:rFonts w:ascii="Times New Roman" w:hAnsi="Times New Roman" w:cs="Times New Roman"/>
          <w:bCs/>
          <w:i/>
          <w:iCs/>
          <w:sz w:val="24"/>
          <w:szCs w:val="24"/>
          <w:lang w:val="bg-BG"/>
        </w:rPr>
        <w:t>Морската стратегия на Република България</w:t>
      </w:r>
      <w:r w:rsidR="00047852" w:rsidRPr="00610B1B">
        <w:rPr>
          <w:rFonts w:ascii="Times New Roman" w:hAnsi="Times New Roman" w:cs="Times New Roman"/>
          <w:bCs/>
          <w:i/>
          <w:iCs/>
          <w:sz w:val="24"/>
          <w:szCs w:val="24"/>
          <w:lang w:val="bg-BG"/>
        </w:rPr>
        <w:t xml:space="preserve"> (2016-2021 г.)</w:t>
      </w:r>
      <w:r w:rsidRPr="00610B1B">
        <w:rPr>
          <w:rFonts w:ascii="Times New Roman" w:hAnsi="Times New Roman" w:cs="Times New Roman"/>
          <w:bCs/>
          <w:sz w:val="24"/>
          <w:szCs w:val="24"/>
          <w:lang w:val="bg-BG"/>
        </w:rPr>
        <w:t xml:space="preserve"> и </w:t>
      </w:r>
      <w:r w:rsidRPr="00610B1B">
        <w:rPr>
          <w:rFonts w:ascii="Times New Roman" w:hAnsi="Times New Roman" w:cs="Times New Roman"/>
          <w:bCs/>
          <w:i/>
          <w:sz w:val="24"/>
          <w:szCs w:val="24"/>
          <w:lang w:val="bg-BG"/>
        </w:rPr>
        <w:t>Националната концепция за пространствено развитие</w:t>
      </w:r>
      <w:r w:rsidR="00047852" w:rsidRPr="00610B1B">
        <w:rPr>
          <w:rFonts w:ascii="Times New Roman" w:hAnsi="Times New Roman" w:cs="Times New Roman"/>
          <w:bCs/>
          <w:i/>
          <w:sz w:val="24"/>
          <w:szCs w:val="24"/>
          <w:lang w:val="bg-BG"/>
        </w:rPr>
        <w:t xml:space="preserve"> за периода 2013-2025 г</w:t>
      </w:r>
      <w:r w:rsidR="00047852"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w:t>
      </w:r>
      <w:r w:rsidR="009B501C" w:rsidRPr="00610B1B">
        <w:rPr>
          <w:rFonts w:ascii="Times New Roman" w:hAnsi="Times New Roman" w:cs="Times New Roman"/>
          <w:bCs/>
          <w:sz w:val="24"/>
          <w:szCs w:val="24"/>
          <w:lang w:val="bg-BG"/>
        </w:rPr>
        <w:t>(</w:t>
      </w:r>
      <w:r w:rsidR="009B501C" w:rsidRPr="00610B1B">
        <w:rPr>
          <w:rFonts w:ascii="Times New Roman" w:hAnsi="Times New Roman" w:cs="Times New Roman"/>
          <w:bCs/>
          <w:i/>
          <w:iCs/>
          <w:sz w:val="24"/>
          <w:szCs w:val="24"/>
          <w:lang w:val="bg-BG"/>
        </w:rPr>
        <w:t>Актуализация 2019 г</w:t>
      </w:r>
      <w:r w:rsidR="009B501C"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Първият документ е изготвен в </w:t>
      </w:r>
      <w:r w:rsidR="009D7952" w:rsidRPr="00610B1B">
        <w:rPr>
          <w:rFonts w:ascii="Times New Roman" w:hAnsi="Times New Roman" w:cs="Times New Roman"/>
          <w:bCs/>
          <w:sz w:val="24"/>
          <w:szCs w:val="24"/>
          <w:lang w:val="bg-BG"/>
        </w:rPr>
        <w:t>съответствие</w:t>
      </w:r>
      <w:r w:rsidR="001B64DC" w:rsidRPr="00610B1B">
        <w:rPr>
          <w:rFonts w:ascii="Times New Roman" w:hAnsi="Times New Roman" w:cs="Times New Roman"/>
          <w:bCs/>
          <w:sz w:val="24"/>
          <w:szCs w:val="24"/>
          <w:lang w:val="bg-BG"/>
        </w:rPr>
        <w:t xml:space="preserve"> с изискванията на </w:t>
      </w:r>
      <w:r w:rsidRPr="00610B1B">
        <w:rPr>
          <w:rFonts w:ascii="Times New Roman" w:hAnsi="Times New Roman" w:cs="Times New Roman"/>
          <w:bCs/>
          <w:sz w:val="24"/>
          <w:szCs w:val="24"/>
          <w:lang w:val="bg-BG"/>
        </w:rPr>
        <w:t xml:space="preserve">Директива 2008/56/ЕО на Европейския Парламент и на Съвета от 17 юни 2008 година за създаване на рамка за действие на Общността в областта на политиката за морска среда (Рамкова директива за морска стратегия). </w:t>
      </w:r>
      <w:r w:rsidR="00282315" w:rsidRPr="00610B1B">
        <w:rPr>
          <w:rFonts w:ascii="Times New Roman" w:hAnsi="Times New Roman" w:cs="Times New Roman"/>
          <w:bCs/>
          <w:sz w:val="24"/>
          <w:szCs w:val="24"/>
          <w:lang w:val="bg-BG"/>
        </w:rPr>
        <w:t xml:space="preserve">Морската стратегия </w:t>
      </w:r>
      <w:r w:rsidRPr="00610B1B">
        <w:rPr>
          <w:rFonts w:ascii="Times New Roman" w:hAnsi="Times New Roman" w:cs="Times New Roman"/>
          <w:bCs/>
          <w:sz w:val="24"/>
          <w:szCs w:val="24"/>
          <w:lang w:val="bg-BG"/>
        </w:rPr>
        <w:t>обхваща Първоначалната оценка на състоянието на морската околна среда (чл. 8 РДМС), дефинициите за добро състояние на морската околна среда (чл. 9 РДМС) и определянето на екологичните цели и свързаните с тях индикатори (чл. 10 РДМС), разработени през 2012 г.</w:t>
      </w:r>
      <w:r w:rsidR="00047852" w:rsidRPr="00610B1B">
        <w:rPr>
          <w:rStyle w:val="FootnoteReference"/>
          <w:rFonts w:ascii="Times New Roman" w:hAnsi="Times New Roman" w:cs="Times New Roman"/>
          <w:bCs/>
          <w:sz w:val="24"/>
          <w:szCs w:val="24"/>
          <w:lang w:val="bg-BG"/>
        </w:rPr>
        <w:footnoteReference w:id="57"/>
      </w:r>
      <w:r w:rsidR="005B352A" w:rsidRPr="00610B1B">
        <w:rPr>
          <w:rFonts w:ascii="Times New Roman" w:hAnsi="Times New Roman" w:cs="Times New Roman"/>
          <w:bCs/>
          <w:sz w:val="24"/>
          <w:szCs w:val="24"/>
          <w:lang w:val="bg-BG"/>
        </w:rPr>
        <w:t xml:space="preserve"> с участието на </w:t>
      </w:r>
      <w:r w:rsidR="005B352A" w:rsidRPr="00610B1B">
        <w:rPr>
          <w:rFonts w:ascii="Times New Roman" w:hAnsi="Times New Roman" w:cs="Times New Roman"/>
          <w:bCs/>
          <w:sz w:val="24"/>
          <w:szCs w:val="24"/>
          <w:lang w:val="bg-BG"/>
        </w:rPr>
        <w:lastRenderedPageBreak/>
        <w:t xml:space="preserve">Института по Океанология при БАН. </w:t>
      </w:r>
      <w:r w:rsidRPr="00610B1B">
        <w:rPr>
          <w:rFonts w:ascii="Times New Roman" w:hAnsi="Times New Roman" w:cs="Times New Roman"/>
          <w:bCs/>
          <w:sz w:val="24"/>
          <w:szCs w:val="24"/>
          <w:lang w:val="bg-BG"/>
        </w:rPr>
        <w:t xml:space="preserve">През 2014 г. </w:t>
      </w:r>
      <w:r w:rsidR="00047852" w:rsidRPr="00610B1B">
        <w:rPr>
          <w:rFonts w:ascii="Times New Roman" w:hAnsi="Times New Roman" w:cs="Times New Roman"/>
          <w:bCs/>
          <w:sz w:val="24"/>
          <w:szCs w:val="24"/>
          <w:lang w:val="bg-BG"/>
        </w:rPr>
        <w:t>е разработена втората част – Програмата за мониторинг.</w:t>
      </w:r>
      <w:r w:rsidR="00047852" w:rsidRPr="00610B1B">
        <w:rPr>
          <w:rStyle w:val="FootnoteReference"/>
          <w:rFonts w:ascii="Times New Roman" w:hAnsi="Times New Roman" w:cs="Times New Roman"/>
          <w:bCs/>
          <w:sz w:val="24"/>
          <w:szCs w:val="24"/>
          <w:lang w:val="bg-BG"/>
        </w:rPr>
        <w:footnoteReference w:id="58"/>
      </w:r>
      <w:r w:rsidR="00047852" w:rsidRPr="00610B1B">
        <w:rPr>
          <w:rFonts w:ascii="Times New Roman" w:hAnsi="Times New Roman" w:cs="Times New Roman"/>
          <w:bCs/>
          <w:sz w:val="24"/>
          <w:szCs w:val="24"/>
          <w:lang w:val="bg-BG"/>
        </w:rPr>
        <w:t xml:space="preserve"> </w:t>
      </w:r>
      <w:r w:rsidR="00E261CD" w:rsidRPr="00610B1B">
        <w:rPr>
          <w:rFonts w:ascii="Times New Roman" w:hAnsi="Times New Roman" w:cs="Times New Roman"/>
          <w:bCs/>
          <w:sz w:val="24"/>
          <w:szCs w:val="24"/>
          <w:lang w:val="bg-BG"/>
        </w:rPr>
        <w:t>Програмата от мерки е третата част от Морската стратегия на Р. България и е разработена в периода 2015-2016 г.</w:t>
      </w:r>
      <w:r w:rsidR="00085647" w:rsidRPr="00610B1B">
        <w:rPr>
          <w:rFonts w:ascii="Times New Roman" w:hAnsi="Times New Roman" w:cs="Times New Roman"/>
          <w:bCs/>
          <w:sz w:val="24"/>
          <w:szCs w:val="24"/>
          <w:lang w:val="bg-BG"/>
        </w:rPr>
        <w:t xml:space="preserve"> от Басейнова Дирекция Черноморски район.</w:t>
      </w:r>
      <w:r w:rsidR="00E261CD" w:rsidRPr="00610B1B">
        <w:rPr>
          <w:rStyle w:val="FootnoteReference"/>
          <w:rFonts w:ascii="Times New Roman" w:hAnsi="Times New Roman" w:cs="Times New Roman"/>
          <w:bCs/>
          <w:sz w:val="24"/>
          <w:szCs w:val="24"/>
          <w:lang w:val="bg-BG"/>
        </w:rPr>
        <w:footnoteReference w:id="59"/>
      </w:r>
      <w:r w:rsidR="00E261CD" w:rsidRPr="00610B1B">
        <w:rPr>
          <w:rFonts w:ascii="Times New Roman" w:hAnsi="Times New Roman" w:cs="Times New Roman"/>
          <w:bCs/>
          <w:sz w:val="24"/>
          <w:szCs w:val="24"/>
          <w:lang w:val="bg-BG"/>
        </w:rPr>
        <w:t xml:space="preserve"> Посредством </w:t>
      </w:r>
      <w:r w:rsidR="00694464" w:rsidRPr="00610B1B">
        <w:rPr>
          <w:rFonts w:ascii="Times New Roman" w:hAnsi="Times New Roman" w:cs="Times New Roman"/>
          <w:bCs/>
          <w:sz w:val="24"/>
          <w:szCs w:val="24"/>
          <w:lang w:val="bg-BG"/>
        </w:rPr>
        <w:t xml:space="preserve">предложените в РДМС </w:t>
      </w:r>
      <w:r w:rsidR="00E261CD" w:rsidRPr="00610B1B">
        <w:rPr>
          <w:rFonts w:ascii="Times New Roman" w:hAnsi="Times New Roman" w:cs="Times New Roman"/>
          <w:bCs/>
          <w:sz w:val="24"/>
          <w:szCs w:val="24"/>
          <w:lang w:val="bg-BG"/>
        </w:rPr>
        <w:t xml:space="preserve">11 дескриптора се наблюдават промените, които настъпват в резултат на въздействието на отпадъчните води от пречиствателни мрежи и съоръжения, </w:t>
      </w:r>
      <w:r w:rsidR="00E50494" w:rsidRPr="00610B1B">
        <w:rPr>
          <w:rFonts w:ascii="Times New Roman" w:hAnsi="Times New Roman" w:cs="Times New Roman"/>
          <w:bCs/>
          <w:sz w:val="24"/>
          <w:szCs w:val="24"/>
          <w:lang w:val="bg-BG"/>
        </w:rPr>
        <w:t>на</w:t>
      </w:r>
      <w:r w:rsidR="005B352A" w:rsidRPr="00610B1B">
        <w:rPr>
          <w:rFonts w:ascii="Times New Roman" w:hAnsi="Times New Roman" w:cs="Times New Roman"/>
          <w:bCs/>
          <w:sz w:val="24"/>
          <w:szCs w:val="24"/>
          <w:lang w:val="bg-BG"/>
        </w:rPr>
        <w:t xml:space="preserve"> </w:t>
      </w:r>
      <w:r w:rsidR="00E261CD" w:rsidRPr="00610B1B">
        <w:rPr>
          <w:rFonts w:ascii="Times New Roman" w:hAnsi="Times New Roman" w:cs="Times New Roman"/>
          <w:bCs/>
          <w:sz w:val="24"/>
          <w:szCs w:val="24"/>
          <w:lang w:val="bg-BG"/>
        </w:rPr>
        <w:t>земеделието, индустрията, корабоплаването, пристанищата и пристанищната дейност, рибарството и аквакултур</w:t>
      </w:r>
      <w:r w:rsidR="005B352A" w:rsidRPr="00610B1B">
        <w:rPr>
          <w:rFonts w:ascii="Times New Roman" w:hAnsi="Times New Roman" w:cs="Times New Roman"/>
          <w:bCs/>
          <w:sz w:val="24"/>
          <w:szCs w:val="24"/>
          <w:lang w:val="bg-BG"/>
        </w:rPr>
        <w:t>и</w:t>
      </w:r>
      <w:r w:rsidR="00E261CD" w:rsidRPr="00610B1B">
        <w:rPr>
          <w:rFonts w:ascii="Times New Roman" w:hAnsi="Times New Roman" w:cs="Times New Roman"/>
          <w:bCs/>
          <w:sz w:val="24"/>
          <w:szCs w:val="24"/>
          <w:lang w:val="bg-BG"/>
        </w:rPr>
        <w:t>т</w:t>
      </w:r>
      <w:r w:rsidR="005B352A" w:rsidRPr="00610B1B">
        <w:rPr>
          <w:rFonts w:ascii="Times New Roman" w:hAnsi="Times New Roman" w:cs="Times New Roman"/>
          <w:bCs/>
          <w:sz w:val="24"/>
          <w:szCs w:val="24"/>
          <w:lang w:val="bg-BG"/>
        </w:rPr>
        <w:t>е</w:t>
      </w:r>
      <w:r w:rsidR="00E261CD" w:rsidRPr="00610B1B">
        <w:rPr>
          <w:rFonts w:ascii="Times New Roman" w:hAnsi="Times New Roman" w:cs="Times New Roman"/>
          <w:bCs/>
          <w:sz w:val="24"/>
          <w:szCs w:val="24"/>
          <w:lang w:val="bg-BG"/>
        </w:rPr>
        <w:t xml:space="preserve">, туризма и рекреационните и спортни дейности, </w:t>
      </w:r>
      <w:r w:rsidR="00E50494" w:rsidRPr="00610B1B">
        <w:rPr>
          <w:rFonts w:ascii="Times New Roman" w:hAnsi="Times New Roman" w:cs="Times New Roman"/>
          <w:bCs/>
          <w:sz w:val="24"/>
          <w:szCs w:val="24"/>
          <w:lang w:val="bg-BG"/>
        </w:rPr>
        <w:t>на</w:t>
      </w:r>
      <w:r w:rsidR="00E261CD" w:rsidRPr="00610B1B">
        <w:rPr>
          <w:rFonts w:ascii="Times New Roman" w:hAnsi="Times New Roman" w:cs="Times New Roman"/>
          <w:bCs/>
          <w:sz w:val="24"/>
          <w:szCs w:val="24"/>
          <w:lang w:val="bg-BG"/>
        </w:rPr>
        <w:t xml:space="preserve"> други проучвателни дейности в морската среда. </w:t>
      </w:r>
      <w:r w:rsidR="005B352A" w:rsidRPr="00610B1B">
        <w:rPr>
          <w:rFonts w:ascii="Times New Roman" w:hAnsi="Times New Roman" w:cs="Times New Roman"/>
          <w:bCs/>
          <w:sz w:val="24"/>
          <w:szCs w:val="24"/>
          <w:lang w:val="bg-BG"/>
        </w:rPr>
        <w:t xml:space="preserve">Натоварването от различни източници на натиск е изследвано в периода 2000 – 2011 г. </w:t>
      </w:r>
      <w:r w:rsidR="00282315" w:rsidRPr="00610B1B">
        <w:rPr>
          <w:rFonts w:ascii="Times New Roman" w:hAnsi="Times New Roman" w:cs="Times New Roman"/>
          <w:bCs/>
          <w:sz w:val="24"/>
          <w:szCs w:val="24"/>
          <w:lang w:val="bg-BG"/>
        </w:rPr>
        <w:t>и са</w:t>
      </w:r>
      <w:r w:rsidR="005B352A" w:rsidRPr="00610B1B">
        <w:rPr>
          <w:rFonts w:ascii="Times New Roman" w:hAnsi="Times New Roman" w:cs="Times New Roman"/>
          <w:bCs/>
          <w:sz w:val="24"/>
          <w:szCs w:val="24"/>
          <w:lang w:val="bg-BG"/>
        </w:rPr>
        <w:t xml:space="preserve"> идентифицира</w:t>
      </w:r>
      <w:r w:rsidR="00282315" w:rsidRPr="00610B1B">
        <w:rPr>
          <w:rFonts w:ascii="Times New Roman" w:hAnsi="Times New Roman" w:cs="Times New Roman"/>
          <w:bCs/>
          <w:sz w:val="24"/>
          <w:szCs w:val="24"/>
          <w:lang w:val="bg-BG"/>
        </w:rPr>
        <w:t>ни</w:t>
      </w:r>
      <w:r w:rsidR="005B352A" w:rsidRPr="00610B1B">
        <w:rPr>
          <w:rFonts w:ascii="Times New Roman" w:hAnsi="Times New Roman" w:cs="Times New Roman"/>
          <w:bCs/>
          <w:sz w:val="24"/>
          <w:szCs w:val="24"/>
          <w:lang w:val="bg-BG"/>
        </w:rPr>
        <w:t xml:space="preserve"> районите с висока степен на замърсяване – Варненски и Бургаски заливи, и с висок риск от замърсяване – районите на Шабла и устието на р. Камчия. Оценката на социално-икономическото развитие на секторите, осъществяващи дейности в морска среда и пряко или косвено въздействащи върху нейното състояние е извършена за периода 2006–2011 г. </w:t>
      </w:r>
      <w:r w:rsidR="00085647" w:rsidRPr="00610B1B">
        <w:rPr>
          <w:rFonts w:ascii="Times New Roman" w:hAnsi="Times New Roman" w:cs="Times New Roman"/>
          <w:bCs/>
          <w:sz w:val="24"/>
          <w:szCs w:val="24"/>
          <w:lang w:val="bg-BG"/>
        </w:rPr>
        <w:t>Морската стратегия се придружава от Екологична оценка</w:t>
      </w:r>
      <w:r w:rsidR="00F85215" w:rsidRPr="00610B1B">
        <w:rPr>
          <w:rStyle w:val="FootnoteReference"/>
          <w:rFonts w:ascii="Times New Roman" w:hAnsi="Times New Roman" w:cs="Times New Roman"/>
          <w:bCs/>
          <w:sz w:val="24"/>
          <w:szCs w:val="24"/>
          <w:lang w:val="bg-BG"/>
        </w:rPr>
        <w:footnoteReference w:id="60"/>
      </w:r>
      <w:r w:rsidR="00085647" w:rsidRPr="00610B1B">
        <w:rPr>
          <w:rFonts w:ascii="Times New Roman" w:hAnsi="Times New Roman" w:cs="Times New Roman"/>
          <w:bCs/>
          <w:sz w:val="24"/>
          <w:szCs w:val="24"/>
          <w:lang w:val="bg-BG"/>
        </w:rPr>
        <w:t xml:space="preserve"> в съответствие с разпоредбите на Директива 2001/42/EО и Наредбата за условията и реда на извършване на екологична оценка на планове и програми</w:t>
      </w:r>
      <w:r w:rsidR="00085647" w:rsidRPr="00610B1B">
        <w:rPr>
          <w:rStyle w:val="FootnoteReference"/>
          <w:rFonts w:ascii="Times New Roman" w:hAnsi="Times New Roman" w:cs="Times New Roman"/>
          <w:bCs/>
          <w:sz w:val="24"/>
          <w:szCs w:val="24"/>
          <w:lang w:val="bg-BG"/>
        </w:rPr>
        <w:footnoteReference w:id="61"/>
      </w:r>
      <w:r w:rsidR="00085647" w:rsidRPr="00610B1B">
        <w:rPr>
          <w:rFonts w:ascii="Times New Roman" w:hAnsi="Times New Roman" w:cs="Times New Roman"/>
          <w:bCs/>
          <w:sz w:val="24"/>
          <w:szCs w:val="24"/>
          <w:lang w:val="bg-BG"/>
        </w:rPr>
        <w:t xml:space="preserve">, </w:t>
      </w:r>
      <w:r w:rsidR="00F85215" w:rsidRPr="00610B1B">
        <w:rPr>
          <w:rFonts w:ascii="Times New Roman" w:hAnsi="Times New Roman" w:cs="Times New Roman"/>
          <w:bCs/>
          <w:sz w:val="24"/>
          <w:szCs w:val="24"/>
          <w:lang w:val="bg-BG"/>
        </w:rPr>
        <w:t xml:space="preserve">неразделна част от която е и Докладът за оценката </w:t>
      </w:r>
      <w:r w:rsidR="00EB0B29" w:rsidRPr="00610B1B">
        <w:rPr>
          <w:rFonts w:ascii="Times New Roman" w:hAnsi="Times New Roman" w:cs="Times New Roman"/>
          <w:bCs/>
          <w:sz w:val="24"/>
          <w:szCs w:val="24"/>
          <w:lang w:val="bg-BG"/>
        </w:rPr>
        <w:t xml:space="preserve">на степента на въздействие. </w:t>
      </w:r>
    </w:p>
    <w:p w14:paraId="30C3AB0E" w14:textId="056D7366" w:rsidR="00EB0B29" w:rsidRPr="00610B1B" w:rsidRDefault="00085647"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Наблюд</w:t>
      </w:r>
      <w:r w:rsidR="005B352A" w:rsidRPr="00610B1B">
        <w:rPr>
          <w:rFonts w:ascii="Times New Roman" w:hAnsi="Times New Roman" w:cs="Times New Roman"/>
          <w:bCs/>
          <w:sz w:val="24"/>
          <w:szCs w:val="24"/>
          <w:lang w:val="bg-BG"/>
        </w:rPr>
        <w:t>ението на морската среда се осъществява от екипа на ИО при БАН</w:t>
      </w:r>
      <w:r w:rsidR="00EB0B29" w:rsidRPr="00610B1B">
        <w:rPr>
          <w:rFonts w:ascii="Times New Roman" w:hAnsi="Times New Roman" w:cs="Times New Roman"/>
          <w:bCs/>
          <w:sz w:val="24"/>
          <w:szCs w:val="24"/>
          <w:lang w:val="bg-BG"/>
        </w:rPr>
        <w:t>, а ежегодните доклади се приемат и публикуват от БДЧР. За да се осъществи по-добра</w:t>
      </w:r>
      <w:r w:rsidR="00D66FE0" w:rsidRPr="00610B1B">
        <w:rPr>
          <w:rFonts w:ascii="Times New Roman" w:hAnsi="Times New Roman" w:cs="Times New Roman"/>
          <w:bCs/>
          <w:sz w:val="24"/>
          <w:szCs w:val="24"/>
          <w:lang w:val="bg-BG"/>
        </w:rPr>
        <w:t xml:space="preserve"> </w:t>
      </w:r>
      <w:r w:rsidR="00EB0B29" w:rsidRPr="00610B1B">
        <w:rPr>
          <w:rFonts w:ascii="Times New Roman" w:hAnsi="Times New Roman" w:cs="Times New Roman"/>
          <w:bCs/>
          <w:sz w:val="24"/>
          <w:szCs w:val="24"/>
          <w:lang w:val="bg-BG"/>
        </w:rPr>
        <w:t xml:space="preserve">методологична връзка </w:t>
      </w:r>
      <w:r w:rsidR="009B501C" w:rsidRPr="00610B1B">
        <w:rPr>
          <w:rFonts w:ascii="Times New Roman" w:hAnsi="Times New Roman" w:cs="Times New Roman"/>
          <w:bCs/>
          <w:sz w:val="24"/>
          <w:szCs w:val="24"/>
          <w:lang w:val="bg-BG"/>
        </w:rPr>
        <w:t xml:space="preserve">с този </w:t>
      </w:r>
      <w:r w:rsidR="00EB0B29" w:rsidRPr="00610B1B">
        <w:rPr>
          <w:rFonts w:ascii="Times New Roman" w:hAnsi="Times New Roman" w:cs="Times New Roman"/>
          <w:bCs/>
          <w:sz w:val="24"/>
          <w:szCs w:val="24"/>
          <w:lang w:val="bg-BG"/>
        </w:rPr>
        <w:t>документ, именно тази информация е в основата на анализа на компонентите и на състоянието на околната среда</w:t>
      </w:r>
      <w:r w:rsidR="009B501C" w:rsidRPr="00610B1B">
        <w:rPr>
          <w:rFonts w:ascii="Times New Roman" w:hAnsi="Times New Roman" w:cs="Times New Roman"/>
          <w:bCs/>
          <w:sz w:val="24"/>
          <w:szCs w:val="24"/>
          <w:lang w:val="bg-BG"/>
        </w:rPr>
        <w:t xml:space="preserve"> в морския пространствен план</w:t>
      </w:r>
      <w:r w:rsidR="00042C3E" w:rsidRPr="00610B1B">
        <w:rPr>
          <w:rFonts w:ascii="Times New Roman" w:hAnsi="Times New Roman" w:cs="Times New Roman"/>
          <w:bCs/>
          <w:sz w:val="24"/>
          <w:szCs w:val="24"/>
          <w:lang w:val="bg-BG"/>
        </w:rPr>
        <w:t xml:space="preserve">, за да се формират </w:t>
      </w:r>
      <w:r w:rsidR="00B92588" w:rsidRPr="00610B1B">
        <w:rPr>
          <w:rFonts w:ascii="Times New Roman" w:hAnsi="Times New Roman" w:cs="Times New Roman"/>
          <w:bCs/>
          <w:sz w:val="24"/>
          <w:szCs w:val="24"/>
          <w:lang w:val="bg-BG"/>
        </w:rPr>
        <w:t>прогнозните сценарии и приоритети за безконфликтно съчетаване на разнообразните дейности в морск</w:t>
      </w:r>
      <w:r w:rsidR="00E50494" w:rsidRPr="00610B1B">
        <w:rPr>
          <w:rFonts w:ascii="Times New Roman" w:hAnsi="Times New Roman" w:cs="Times New Roman"/>
          <w:bCs/>
          <w:sz w:val="24"/>
          <w:szCs w:val="24"/>
          <w:lang w:val="bg-BG"/>
        </w:rPr>
        <w:t>и</w:t>
      </w:r>
      <w:r w:rsidR="00B92588" w:rsidRPr="00610B1B">
        <w:rPr>
          <w:rFonts w:ascii="Times New Roman" w:hAnsi="Times New Roman" w:cs="Times New Roman"/>
          <w:bCs/>
          <w:sz w:val="24"/>
          <w:szCs w:val="24"/>
          <w:lang w:val="bg-BG"/>
        </w:rPr>
        <w:t>т</w:t>
      </w:r>
      <w:r w:rsidR="00E50494" w:rsidRPr="00610B1B">
        <w:rPr>
          <w:rFonts w:ascii="Times New Roman" w:hAnsi="Times New Roman" w:cs="Times New Roman"/>
          <w:bCs/>
          <w:sz w:val="24"/>
          <w:szCs w:val="24"/>
          <w:lang w:val="bg-BG"/>
        </w:rPr>
        <w:t>е</w:t>
      </w:r>
      <w:r w:rsidR="00B92588" w:rsidRPr="00610B1B">
        <w:rPr>
          <w:rFonts w:ascii="Times New Roman" w:hAnsi="Times New Roman" w:cs="Times New Roman"/>
          <w:bCs/>
          <w:sz w:val="24"/>
          <w:szCs w:val="24"/>
          <w:lang w:val="bg-BG"/>
        </w:rPr>
        <w:t xml:space="preserve"> пространств</w:t>
      </w:r>
      <w:r w:rsidR="00E50494" w:rsidRPr="00610B1B">
        <w:rPr>
          <w:rFonts w:ascii="Times New Roman" w:hAnsi="Times New Roman" w:cs="Times New Roman"/>
          <w:bCs/>
          <w:sz w:val="24"/>
          <w:szCs w:val="24"/>
          <w:lang w:val="bg-BG"/>
        </w:rPr>
        <w:t>а</w:t>
      </w:r>
      <w:r w:rsidR="00B92588" w:rsidRPr="00610B1B">
        <w:rPr>
          <w:rFonts w:ascii="Times New Roman" w:hAnsi="Times New Roman" w:cs="Times New Roman"/>
          <w:bCs/>
          <w:sz w:val="24"/>
          <w:szCs w:val="24"/>
          <w:lang w:val="bg-BG"/>
        </w:rPr>
        <w:t xml:space="preserve">. </w:t>
      </w:r>
    </w:p>
    <w:p w14:paraId="759FA945" w14:textId="638D16AC" w:rsidR="00282315" w:rsidRPr="00610B1B" w:rsidRDefault="00EB0B29"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Морската стратегия и Морски</w:t>
      </w:r>
      <w:r w:rsidR="00B92588" w:rsidRPr="00610B1B">
        <w:rPr>
          <w:rFonts w:ascii="Times New Roman" w:hAnsi="Times New Roman" w:cs="Times New Roman"/>
          <w:bCs/>
          <w:sz w:val="24"/>
          <w:szCs w:val="24"/>
          <w:lang w:val="bg-BG"/>
        </w:rPr>
        <w:t>я</w:t>
      </w:r>
      <w:r w:rsidRPr="00610B1B">
        <w:rPr>
          <w:rFonts w:ascii="Times New Roman" w:hAnsi="Times New Roman" w:cs="Times New Roman"/>
          <w:bCs/>
          <w:sz w:val="24"/>
          <w:szCs w:val="24"/>
          <w:lang w:val="bg-BG"/>
        </w:rPr>
        <w:t>т пространствен план имат сходни и допълващи се цели, но докато фокусът на първия документ е добрия</w:t>
      </w:r>
      <w:r w:rsidR="00B92588" w:rsidRPr="00610B1B">
        <w:rPr>
          <w:rFonts w:ascii="Times New Roman" w:hAnsi="Times New Roman" w:cs="Times New Roman"/>
          <w:bCs/>
          <w:sz w:val="24"/>
          <w:szCs w:val="24"/>
          <w:lang w:val="bg-BG"/>
        </w:rPr>
        <w:t>т</w:t>
      </w:r>
      <w:r w:rsidRPr="00610B1B">
        <w:rPr>
          <w:rFonts w:ascii="Times New Roman" w:hAnsi="Times New Roman" w:cs="Times New Roman"/>
          <w:bCs/>
          <w:sz w:val="24"/>
          <w:szCs w:val="24"/>
          <w:lang w:val="bg-BG"/>
        </w:rPr>
        <w:t xml:space="preserve"> статус на околната морска среда с предимство на екологичните цели, то </w:t>
      </w:r>
      <w:r w:rsidR="00B92588" w:rsidRPr="00610B1B">
        <w:rPr>
          <w:rFonts w:ascii="Times New Roman" w:hAnsi="Times New Roman" w:cs="Times New Roman"/>
          <w:bCs/>
          <w:sz w:val="24"/>
          <w:szCs w:val="24"/>
          <w:lang w:val="bg-BG"/>
        </w:rPr>
        <w:t>вторият</w:t>
      </w:r>
      <w:r w:rsidRPr="00610B1B">
        <w:rPr>
          <w:rFonts w:ascii="Times New Roman" w:hAnsi="Times New Roman" w:cs="Times New Roman"/>
          <w:bCs/>
          <w:sz w:val="24"/>
          <w:szCs w:val="24"/>
          <w:lang w:val="bg-BG"/>
        </w:rPr>
        <w:t xml:space="preserve"> надгражда тези цели и ги допълва със социални и икономически цели, които </w:t>
      </w:r>
      <w:r w:rsidR="00B92588" w:rsidRPr="00610B1B">
        <w:rPr>
          <w:rFonts w:ascii="Times New Roman" w:hAnsi="Times New Roman" w:cs="Times New Roman"/>
          <w:bCs/>
          <w:sz w:val="24"/>
          <w:szCs w:val="24"/>
          <w:lang w:val="bg-BG"/>
        </w:rPr>
        <w:t xml:space="preserve">са предпоставка за </w:t>
      </w:r>
      <w:r w:rsidRPr="00610B1B">
        <w:rPr>
          <w:rFonts w:ascii="Times New Roman" w:hAnsi="Times New Roman" w:cs="Times New Roman"/>
          <w:bCs/>
          <w:sz w:val="24"/>
          <w:szCs w:val="24"/>
          <w:lang w:val="bg-BG"/>
        </w:rPr>
        <w:t xml:space="preserve">устойчиво развитие. </w:t>
      </w:r>
    </w:p>
    <w:p w14:paraId="39DE954F" w14:textId="775F4309" w:rsidR="00EA7ED2" w:rsidRPr="00610B1B" w:rsidRDefault="00282315"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А</w:t>
      </w:r>
      <w:r w:rsidR="00454F11" w:rsidRPr="00610B1B">
        <w:rPr>
          <w:rFonts w:ascii="Times New Roman" w:hAnsi="Times New Roman" w:cs="Times New Roman"/>
          <w:bCs/>
          <w:sz w:val="24"/>
          <w:szCs w:val="24"/>
          <w:lang w:val="bg-BG"/>
        </w:rPr>
        <w:t>налогично на Националната концепция за пространствено развитие</w:t>
      </w:r>
      <w:r w:rsidRPr="00610B1B">
        <w:rPr>
          <w:rFonts w:ascii="Times New Roman" w:hAnsi="Times New Roman" w:cs="Times New Roman"/>
          <w:bCs/>
          <w:sz w:val="24"/>
          <w:szCs w:val="24"/>
          <w:lang w:val="bg-BG"/>
        </w:rPr>
        <w:t xml:space="preserve"> и</w:t>
      </w:r>
      <w:r w:rsidR="00454F11"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Морският пространствен план </w:t>
      </w:r>
      <w:r w:rsidR="00454F11" w:rsidRPr="00610B1B">
        <w:rPr>
          <w:rFonts w:ascii="Times New Roman" w:hAnsi="Times New Roman" w:cs="Times New Roman"/>
          <w:bCs/>
          <w:sz w:val="24"/>
          <w:szCs w:val="24"/>
          <w:lang w:val="bg-BG"/>
        </w:rPr>
        <w:t>има важна роля за координиране на секторните политики в единното национално пространство</w:t>
      </w:r>
      <w:r w:rsidRPr="00610B1B">
        <w:rPr>
          <w:rFonts w:ascii="Times New Roman" w:hAnsi="Times New Roman" w:cs="Times New Roman"/>
          <w:bCs/>
          <w:sz w:val="24"/>
          <w:szCs w:val="24"/>
          <w:lang w:val="bg-BG"/>
        </w:rPr>
        <w:t xml:space="preserve">, част от което са морските пространства </w:t>
      </w:r>
      <w:r w:rsidR="00454F11" w:rsidRPr="00610B1B">
        <w:rPr>
          <w:rFonts w:ascii="Times New Roman" w:hAnsi="Times New Roman" w:cs="Times New Roman"/>
          <w:bCs/>
          <w:sz w:val="24"/>
          <w:szCs w:val="24"/>
          <w:lang w:val="bg-BG"/>
        </w:rPr>
        <w:t xml:space="preserve">на Черно море, както и въздушното пространство над тях, тяхното дъно и неговите недра, съгл. </w:t>
      </w:r>
      <w:r w:rsidR="009E1C5C" w:rsidRPr="00610B1B">
        <w:rPr>
          <w:rFonts w:ascii="Times New Roman" w:hAnsi="Times New Roman" w:cs="Times New Roman"/>
          <w:bCs/>
          <w:sz w:val="24"/>
          <w:szCs w:val="24"/>
          <w:lang w:val="bg-BG"/>
        </w:rPr>
        <w:t>чл</w:t>
      </w:r>
      <w:r w:rsidR="00454F11" w:rsidRPr="00610B1B">
        <w:rPr>
          <w:rFonts w:ascii="Times New Roman" w:hAnsi="Times New Roman" w:cs="Times New Roman"/>
          <w:bCs/>
          <w:sz w:val="24"/>
          <w:szCs w:val="24"/>
          <w:lang w:val="bg-BG"/>
        </w:rPr>
        <w:t>. 5 ал. 2 на</w:t>
      </w:r>
      <w:r w:rsidR="00D66FE0" w:rsidRPr="00610B1B">
        <w:rPr>
          <w:rFonts w:ascii="Times New Roman" w:hAnsi="Times New Roman" w:cs="Times New Roman"/>
          <w:bCs/>
          <w:sz w:val="24"/>
          <w:szCs w:val="24"/>
          <w:lang w:val="bg-BG"/>
        </w:rPr>
        <w:t xml:space="preserve"> </w:t>
      </w:r>
      <w:r w:rsidR="009E1C5C" w:rsidRPr="00610B1B">
        <w:rPr>
          <w:rFonts w:ascii="Times New Roman" w:hAnsi="Times New Roman" w:cs="Times New Roman"/>
          <w:bCs/>
          <w:sz w:val="24"/>
          <w:szCs w:val="24"/>
          <w:lang w:val="bg-BG"/>
        </w:rPr>
        <w:t>ЗМПВВППРБ</w:t>
      </w:r>
      <w:r w:rsidR="00454F11" w:rsidRPr="00610B1B">
        <w:rPr>
          <w:rFonts w:ascii="Times New Roman" w:hAnsi="Times New Roman" w:cs="Times New Roman"/>
          <w:bCs/>
          <w:sz w:val="24"/>
          <w:szCs w:val="24"/>
          <w:lang w:val="bg-BG"/>
        </w:rPr>
        <w:t>.</w:t>
      </w:r>
      <w:r w:rsidR="007520B0" w:rsidRPr="00610B1B">
        <w:rPr>
          <w:rFonts w:ascii="Times New Roman" w:hAnsi="Times New Roman" w:cs="Times New Roman"/>
          <w:bCs/>
          <w:sz w:val="24"/>
          <w:szCs w:val="24"/>
          <w:lang w:val="bg-BG"/>
        </w:rPr>
        <w:t xml:space="preserve"> </w:t>
      </w:r>
    </w:p>
    <w:p w14:paraId="407EE3B8" w14:textId="3A3F8D4D" w:rsidR="00EA7ED2" w:rsidRPr="00610B1B" w:rsidRDefault="00EA7ED2"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И двата документа са </w:t>
      </w:r>
      <w:r w:rsidR="00E50494" w:rsidRPr="00610B1B">
        <w:rPr>
          <w:rFonts w:ascii="Times New Roman" w:hAnsi="Times New Roman" w:cs="Times New Roman"/>
          <w:bCs/>
          <w:sz w:val="24"/>
          <w:szCs w:val="24"/>
          <w:lang w:val="bg-BG"/>
        </w:rPr>
        <w:t>об</w:t>
      </w:r>
      <w:r w:rsidRPr="00610B1B">
        <w:rPr>
          <w:rFonts w:ascii="Times New Roman" w:hAnsi="Times New Roman" w:cs="Times New Roman"/>
          <w:bCs/>
          <w:sz w:val="24"/>
          <w:szCs w:val="24"/>
          <w:lang w:val="bg-BG"/>
        </w:rPr>
        <w:t xml:space="preserve">вързани от </w:t>
      </w:r>
      <w:r w:rsidRPr="00610B1B">
        <w:rPr>
          <w:rFonts w:ascii="Times New Roman" w:hAnsi="Times New Roman" w:cs="Times New Roman"/>
          <w:bCs/>
          <w:i/>
          <w:iCs/>
          <w:sz w:val="24"/>
          <w:szCs w:val="24"/>
          <w:lang w:val="bg-BG"/>
        </w:rPr>
        <w:t>Водещите принципи за устойчиво пространствено развитие на Европейския континент</w:t>
      </w:r>
      <w:r w:rsidRPr="00610B1B">
        <w:rPr>
          <w:rFonts w:ascii="Times New Roman" w:hAnsi="Times New Roman" w:cs="Times New Roman"/>
          <w:bCs/>
          <w:sz w:val="24"/>
          <w:szCs w:val="24"/>
          <w:lang w:val="bg-BG"/>
        </w:rPr>
        <w:t xml:space="preserve"> на Конференцията на министрите, отговорни за пространственото развитие (СЕМАТ).</w:t>
      </w:r>
      <w:r w:rsidRPr="00610B1B">
        <w:rPr>
          <w:rStyle w:val="FootnoteReference"/>
          <w:rFonts w:ascii="Times New Roman" w:hAnsi="Times New Roman" w:cs="Times New Roman"/>
          <w:bCs/>
          <w:sz w:val="24"/>
          <w:szCs w:val="24"/>
          <w:lang w:val="bg-BG"/>
        </w:rPr>
        <w:footnoteReference w:id="62"/>
      </w:r>
      <w:r w:rsidRPr="00610B1B">
        <w:rPr>
          <w:rFonts w:ascii="Times New Roman" w:hAnsi="Times New Roman" w:cs="Times New Roman"/>
          <w:bCs/>
          <w:sz w:val="24"/>
          <w:szCs w:val="24"/>
          <w:lang w:val="bg-BG"/>
        </w:rPr>
        <w:t xml:space="preserve"> </w:t>
      </w:r>
      <w:r w:rsidR="00282315" w:rsidRPr="00610B1B">
        <w:rPr>
          <w:rFonts w:ascii="Times New Roman" w:hAnsi="Times New Roman" w:cs="Times New Roman"/>
          <w:bCs/>
          <w:sz w:val="24"/>
          <w:szCs w:val="24"/>
          <w:lang w:val="bg-BG"/>
        </w:rPr>
        <w:t xml:space="preserve">Акцентът при </w:t>
      </w:r>
      <w:r w:rsidRPr="00610B1B">
        <w:rPr>
          <w:rFonts w:ascii="Times New Roman" w:hAnsi="Times New Roman" w:cs="Times New Roman"/>
          <w:bCs/>
          <w:sz w:val="24"/>
          <w:szCs w:val="24"/>
          <w:lang w:val="bg-BG"/>
        </w:rPr>
        <w:t>крайбрежните региони и островите е поставен върху интегрираното управление и взаимодействи</w:t>
      </w:r>
      <w:r w:rsidR="00CD7942" w:rsidRPr="00610B1B">
        <w:rPr>
          <w:rFonts w:ascii="Times New Roman" w:hAnsi="Times New Roman" w:cs="Times New Roman"/>
          <w:bCs/>
          <w:sz w:val="24"/>
          <w:szCs w:val="24"/>
          <w:lang w:val="bg-BG"/>
        </w:rPr>
        <w:t xml:space="preserve">е </w:t>
      </w:r>
      <w:r w:rsidRPr="00610B1B">
        <w:rPr>
          <w:rFonts w:ascii="Times New Roman" w:hAnsi="Times New Roman" w:cs="Times New Roman"/>
          <w:bCs/>
          <w:sz w:val="24"/>
          <w:szCs w:val="24"/>
          <w:lang w:val="bg-BG"/>
        </w:rPr>
        <w:t>между сушата и морето</w:t>
      </w:r>
      <w:r w:rsidR="00282315" w:rsidRPr="00610B1B">
        <w:rPr>
          <w:rFonts w:ascii="Times New Roman" w:hAnsi="Times New Roman" w:cs="Times New Roman"/>
          <w:bCs/>
          <w:sz w:val="24"/>
          <w:szCs w:val="24"/>
          <w:lang w:val="bg-BG"/>
        </w:rPr>
        <w:t>. К</w:t>
      </w:r>
      <w:r w:rsidRPr="00610B1B">
        <w:rPr>
          <w:rFonts w:ascii="Times New Roman" w:hAnsi="Times New Roman" w:cs="Times New Roman"/>
          <w:bCs/>
          <w:sz w:val="24"/>
          <w:szCs w:val="24"/>
          <w:lang w:val="bg-BG"/>
        </w:rPr>
        <w:t xml:space="preserve">райбрежните зони </w:t>
      </w:r>
      <w:r w:rsidR="00CD7942" w:rsidRPr="00610B1B">
        <w:rPr>
          <w:rFonts w:ascii="Times New Roman" w:hAnsi="Times New Roman" w:cs="Times New Roman"/>
          <w:bCs/>
          <w:sz w:val="24"/>
          <w:szCs w:val="24"/>
          <w:lang w:val="bg-BG"/>
        </w:rPr>
        <w:t xml:space="preserve">се разглеждат </w:t>
      </w:r>
      <w:r w:rsidRPr="00610B1B">
        <w:rPr>
          <w:rFonts w:ascii="Times New Roman" w:hAnsi="Times New Roman" w:cs="Times New Roman"/>
          <w:bCs/>
          <w:sz w:val="24"/>
          <w:szCs w:val="24"/>
          <w:lang w:val="bg-BG"/>
        </w:rPr>
        <w:t xml:space="preserve">като изходни пунктове за изследване на морските и </w:t>
      </w:r>
      <w:r w:rsidRPr="00610B1B">
        <w:rPr>
          <w:rFonts w:ascii="Times New Roman" w:hAnsi="Times New Roman" w:cs="Times New Roman"/>
          <w:bCs/>
          <w:sz w:val="24"/>
          <w:szCs w:val="24"/>
          <w:lang w:val="bg-BG"/>
        </w:rPr>
        <w:lastRenderedPageBreak/>
        <w:t>подводни ресурси</w:t>
      </w:r>
      <w:r w:rsidR="00CD7942" w:rsidRPr="00610B1B">
        <w:rPr>
          <w:rFonts w:ascii="Times New Roman" w:hAnsi="Times New Roman" w:cs="Times New Roman"/>
          <w:bCs/>
          <w:sz w:val="24"/>
          <w:szCs w:val="24"/>
          <w:lang w:val="bg-BG"/>
        </w:rPr>
        <w:t>, за добив и конверсия на енергия, места за концентрация на производствени и бизнес дейности, привлекателни</w:t>
      </w:r>
      <w:r w:rsidRPr="00610B1B">
        <w:rPr>
          <w:rFonts w:ascii="Times New Roman" w:hAnsi="Times New Roman" w:cs="Times New Roman"/>
          <w:bCs/>
          <w:sz w:val="24"/>
          <w:szCs w:val="24"/>
          <w:lang w:val="bg-BG"/>
        </w:rPr>
        <w:t xml:space="preserve"> за туризма,</w:t>
      </w:r>
      <w:r w:rsidR="00CD7942" w:rsidRPr="00610B1B">
        <w:rPr>
          <w:rFonts w:ascii="Times New Roman" w:hAnsi="Times New Roman" w:cs="Times New Roman"/>
          <w:bCs/>
          <w:sz w:val="24"/>
          <w:szCs w:val="24"/>
          <w:lang w:val="bg-BG"/>
        </w:rPr>
        <w:t xml:space="preserve"> но и силно чувствителни. </w:t>
      </w:r>
    </w:p>
    <w:p w14:paraId="794600C2" w14:textId="1A32D620" w:rsidR="00817C8F" w:rsidRPr="00610B1B" w:rsidRDefault="007520B0"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i/>
          <w:iCs/>
          <w:sz w:val="24"/>
          <w:szCs w:val="24"/>
          <w:lang w:val="bg-BG"/>
        </w:rPr>
        <w:t xml:space="preserve">Националната концепция за пространствено развитие за периода 2013-2025 г. </w:t>
      </w:r>
      <w:r w:rsidRPr="00610B1B">
        <w:rPr>
          <w:rFonts w:ascii="Times New Roman" w:hAnsi="Times New Roman" w:cs="Times New Roman"/>
          <w:bCs/>
          <w:sz w:val="24"/>
          <w:szCs w:val="24"/>
          <w:lang w:val="bg-BG"/>
        </w:rPr>
        <w:t xml:space="preserve">е актуализирана през 2019 г. </w:t>
      </w:r>
      <w:r w:rsidR="00B92588" w:rsidRPr="00610B1B">
        <w:rPr>
          <w:rFonts w:ascii="Times New Roman" w:hAnsi="Times New Roman" w:cs="Times New Roman"/>
          <w:bCs/>
          <w:sz w:val="24"/>
          <w:szCs w:val="24"/>
          <w:lang w:val="bg-BG"/>
        </w:rPr>
        <w:t>в контекста на нов</w:t>
      </w:r>
      <w:r w:rsidR="00075703" w:rsidRPr="00610B1B">
        <w:rPr>
          <w:rFonts w:ascii="Times New Roman" w:hAnsi="Times New Roman" w:cs="Times New Roman"/>
          <w:bCs/>
          <w:sz w:val="24"/>
          <w:szCs w:val="24"/>
          <w:lang w:val="bg-BG"/>
        </w:rPr>
        <w:t>ия</w:t>
      </w:r>
      <w:r w:rsidR="00B92588" w:rsidRPr="00610B1B">
        <w:rPr>
          <w:rFonts w:ascii="Times New Roman" w:hAnsi="Times New Roman" w:cs="Times New Roman"/>
          <w:bCs/>
          <w:sz w:val="24"/>
          <w:szCs w:val="24"/>
          <w:lang w:val="bg-BG"/>
        </w:rPr>
        <w:t xml:space="preserve"> подход в политиката за регионално развитие.</w:t>
      </w:r>
      <w:r w:rsidR="00A94A97" w:rsidRPr="00610B1B">
        <w:rPr>
          <w:rFonts w:ascii="Times New Roman" w:hAnsi="Times New Roman" w:cs="Times New Roman"/>
          <w:bCs/>
          <w:sz w:val="24"/>
          <w:szCs w:val="24"/>
          <w:lang w:val="bg-BG"/>
        </w:rPr>
        <w:t xml:space="preserve"> </w:t>
      </w:r>
      <w:r w:rsidR="00B92588" w:rsidRPr="00610B1B">
        <w:rPr>
          <w:rFonts w:ascii="Times New Roman" w:hAnsi="Times New Roman" w:cs="Times New Roman"/>
          <w:bCs/>
          <w:sz w:val="24"/>
          <w:szCs w:val="24"/>
          <w:lang w:val="bg-BG"/>
        </w:rPr>
        <w:t>Ролята</w:t>
      </w:r>
      <w:r w:rsidR="00DE3A13" w:rsidRPr="00610B1B">
        <w:rPr>
          <w:rFonts w:ascii="Times New Roman" w:hAnsi="Times New Roman" w:cs="Times New Roman"/>
          <w:bCs/>
          <w:sz w:val="24"/>
          <w:szCs w:val="24"/>
          <w:lang w:val="bg-BG"/>
        </w:rPr>
        <w:t xml:space="preserve"> ѝ </w:t>
      </w:r>
      <w:r w:rsidR="00B92588" w:rsidRPr="00610B1B">
        <w:rPr>
          <w:rFonts w:ascii="Times New Roman" w:hAnsi="Times New Roman" w:cs="Times New Roman"/>
          <w:bCs/>
          <w:sz w:val="24"/>
          <w:szCs w:val="24"/>
          <w:lang w:val="bg-BG"/>
        </w:rPr>
        <w:t xml:space="preserve">като пространствен координатор на процесите в територията и секторните политики се осъвременява в контекста на общоевропейското пространствено полицентрично развитие, с акцент върху комплексно, интегрирано планиране и засилена стратегическа ориентация. Чрез актуализацията на </w:t>
      </w:r>
      <w:r w:rsidR="00075703" w:rsidRPr="00610B1B">
        <w:rPr>
          <w:rFonts w:ascii="Times New Roman" w:hAnsi="Times New Roman" w:cs="Times New Roman"/>
          <w:bCs/>
          <w:sz w:val="24"/>
          <w:szCs w:val="24"/>
          <w:lang w:val="bg-BG"/>
        </w:rPr>
        <w:t>документа</w:t>
      </w:r>
      <w:r w:rsidR="00B92588" w:rsidRPr="00610B1B">
        <w:rPr>
          <w:rFonts w:ascii="Times New Roman" w:hAnsi="Times New Roman" w:cs="Times New Roman"/>
          <w:bCs/>
          <w:sz w:val="24"/>
          <w:szCs w:val="24"/>
          <w:lang w:val="bg-BG"/>
        </w:rPr>
        <w:t xml:space="preserve"> се създава необходимата информационна и планова основа за Оперативна</w:t>
      </w:r>
      <w:r w:rsidR="005C34D0" w:rsidRPr="00610B1B">
        <w:rPr>
          <w:rFonts w:ascii="Times New Roman" w:hAnsi="Times New Roman" w:cs="Times New Roman"/>
          <w:bCs/>
          <w:sz w:val="24"/>
          <w:szCs w:val="24"/>
          <w:lang w:val="bg-BG"/>
        </w:rPr>
        <w:t>та</w:t>
      </w:r>
      <w:r w:rsidR="00B92588" w:rsidRPr="00610B1B">
        <w:rPr>
          <w:rFonts w:ascii="Times New Roman" w:hAnsi="Times New Roman" w:cs="Times New Roman"/>
          <w:bCs/>
          <w:sz w:val="24"/>
          <w:szCs w:val="24"/>
          <w:lang w:val="bg-BG"/>
        </w:rPr>
        <w:t xml:space="preserve"> програма за развитие на регионите </w:t>
      </w:r>
      <w:r w:rsidR="005C34D0" w:rsidRPr="00610B1B">
        <w:rPr>
          <w:rFonts w:ascii="Times New Roman" w:hAnsi="Times New Roman" w:cs="Times New Roman"/>
          <w:bCs/>
          <w:sz w:val="24"/>
          <w:szCs w:val="24"/>
          <w:lang w:val="bg-BG"/>
        </w:rPr>
        <w:t>(</w:t>
      </w:r>
      <w:r w:rsidR="00B92588" w:rsidRPr="00610B1B">
        <w:rPr>
          <w:rFonts w:ascii="Times New Roman" w:hAnsi="Times New Roman" w:cs="Times New Roman"/>
          <w:bCs/>
          <w:sz w:val="24"/>
          <w:szCs w:val="24"/>
          <w:lang w:val="bg-BG"/>
        </w:rPr>
        <w:t>2021-2027 г.</w:t>
      </w:r>
      <w:r w:rsidR="005C34D0" w:rsidRPr="00610B1B">
        <w:rPr>
          <w:rFonts w:ascii="Times New Roman" w:hAnsi="Times New Roman" w:cs="Times New Roman"/>
          <w:bCs/>
          <w:sz w:val="24"/>
          <w:szCs w:val="24"/>
          <w:lang w:val="bg-BG"/>
        </w:rPr>
        <w:t>).</w:t>
      </w:r>
      <w:r w:rsidR="00D66FE0" w:rsidRPr="00610B1B">
        <w:rPr>
          <w:rFonts w:ascii="Times New Roman" w:hAnsi="Times New Roman" w:cs="Times New Roman"/>
          <w:bCs/>
          <w:sz w:val="24"/>
          <w:szCs w:val="24"/>
          <w:lang w:val="bg-BG"/>
        </w:rPr>
        <w:t xml:space="preserve"> </w:t>
      </w:r>
      <w:r w:rsidR="00AF76DE" w:rsidRPr="00610B1B">
        <w:rPr>
          <w:rFonts w:ascii="Times New Roman" w:hAnsi="Times New Roman" w:cs="Times New Roman"/>
          <w:bCs/>
          <w:sz w:val="24"/>
          <w:szCs w:val="24"/>
          <w:lang w:val="bg-BG"/>
        </w:rPr>
        <w:t>В актуализирания документ се</w:t>
      </w:r>
      <w:r w:rsidR="00B92588" w:rsidRPr="00610B1B">
        <w:rPr>
          <w:rFonts w:ascii="Times New Roman" w:hAnsi="Times New Roman" w:cs="Times New Roman"/>
          <w:bCs/>
          <w:sz w:val="24"/>
          <w:szCs w:val="24"/>
          <w:lang w:val="bg-BG"/>
        </w:rPr>
        <w:t xml:space="preserve"> отделя по-голямо внимание на</w:t>
      </w:r>
      <w:r w:rsidR="00A94A97" w:rsidRPr="00610B1B">
        <w:rPr>
          <w:rFonts w:ascii="Times New Roman" w:hAnsi="Times New Roman" w:cs="Times New Roman"/>
          <w:bCs/>
          <w:sz w:val="24"/>
          <w:szCs w:val="24"/>
          <w:lang w:val="bg-BG"/>
        </w:rPr>
        <w:t xml:space="preserve"> регионите за планиране</w:t>
      </w:r>
      <w:r w:rsidR="00B92588" w:rsidRPr="00610B1B">
        <w:rPr>
          <w:rFonts w:ascii="Times New Roman" w:hAnsi="Times New Roman" w:cs="Times New Roman"/>
          <w:bCs/>
          <w:sz w:val="24"/>
          <w:szCs w:val="24"/>
          <w:lang w:val="bg-BG"/>
        </w:rPr>
        <w:t xml:space="preserve"> от ниво 2, на по-</w:t>
      </w:r>
      <w:r w:rsidR="00AF76DE" w:rsidRPr="00610B1B">
        <w:rPr>
          <w:rFonts w:ascii="Times New Roman" w:hAnsi="Times New Roman" w:cs="Times New Roman"/>
          <w:bCs/>
          <w:sz w:val="24"/>
          <w:szCs w:val="24"/>
          <w:lang w:val="bg-BG"/>
        </w:rPr>
        <w:t xml:space="preserve">доброто управление на </w:t>
      </w:r>
      <w:r w:rsidR="00B92588" w:rsidRPr="00610B1B">
        <w:rPr>
          <w:rFonts w:ascii="Times New Roman" w:hAnsi="Times New Roman" w:cs="Times New Roman"/>
          <w:bCs/>
          <w:sz w:val="24"/>
          <w:szCs w:val="24"/>
          <w:lang w:val="bg-BG"/>
        </w:rPr>
        <w:t xml:space="preserve">развитието им чрез интегрирани инвестиции, в унисон с тенденциите за засилване на регионалното и териториалното измерение на европейските политики. </w:t>
      </w:r>
      <w:r w:rsidR="005C34D0" w:rsidRPr="00610B1B">
        <w:rPr>
          <w:rFonts w:ascii="Times New Roman" w:hAnsi="Times New Roman" w:cs="Times New Roman"/>
          <w:bCs/>
          <w:sz w:val="24"/>
          <w:szCs w:val="24"/>
          <w:lang w:val="bg-BG"/>
        </w:rPr>
        <w:t xml:space="preserve">Най-съществената </w:t>
      </w:r>
      <w:r w:rsidR="00B92588" w:rsidRPr="00610B1B">
        <w:rPr>
          <w:rFonts w:ascii="Times New Roman" w:hAnsi="Times New Roman" w:cs="Times New Roman"/>
          <w:bCs/>
          <w:sz w:val="24"/>
          <w:szCs w:val="24"/>
          <w:lang w:val="bg-BG"/>
        </w:rPr>
        <w:t>„надстройк</w:t>
      </w:r>
      <w:r w:rsidR="005C34D0" w:rsidRPr="00610B1B">
        <w:rPr>
          <w:rFonts w:ascii="Times New Roman" w:hAnsi="Times New Roman" w:cs="Times New Roman"/>
          <w:bCs/>
          <w:sz w:val="24"/>
          <w:szCs w:val="24"/>
          <w:lang w:val="bg-BG"/>
        </w:rPr>
        <w:t>а</w:t>
      </w:r>
      <w:r w:rsidR="00B92588" w:rsidRPr="00610B1B">
        <w:rPr>
          <w:rFonts w:ascii="Times New Roman" w:hAnsi="Times New Roman" w:cs="Times New Roman"/>
          <w:bCs/>
          <w:sz w:val="24"/>
          <w:szCs w:val="24"/>
          <w:lang w:val="bg-BG"/>
        </w:rPr>
        <w:t>”</w:t>
      </w:r>
      <w:r w:rsidR="005C34D0" w:rsidRPr="00610B1B">
        <w:rPr>
          <w:rFonts w:ascii="Times New Roman" w:hAnsi="Times New Roman" w:cs="Times New Roman"/>
          <w:bCs/>
          <w:sz w:val="24"/>
          <w:szCs w:val="24"/>
          <w:lang w:val="bg-BG"/>
        </w:rPr>
        <w:t xml:space="preserve"> на НКПР </w:t>
      </w:r>
      <w:r w:rsidR="00B92588" w:rsidRPr="00610B1B">
        <w:rPr>
          <w:rFonts w:ascii="Times New Roman" w:hAnsi="Times New Roman" w:cs="Times New Roman"/>
          <w:bCs/>
          <w:sz w:val="24"/>
          <w:szCs w:val="24"/>
          <w:lang w:val="bg-BG"/>
        </w:rPr>
        <w:t>е интегриран</w:t>
      </w:r>
      <w:r w:rsidR="00A94A97" w:rsidRPr="00610B1B">
        <w:rPr>
          <w:rFonts w:ascii="Times New Roman" w:hAnsi="Times New Roman" w:cs="Times New Roman"/>
          <w:bCs/>
          <w:sz w:val="24"/>
          <w:szCs w:val="24"/>
          <w:lang w:val="bg-BG"/>
        </w:rPr>
        <w:t>ето на стратегическата</w:t>
      </w:r>
      <w:r w:rsidR="00DE3A13" w:rsidRPr="00610B1B">
        <w:rPr>
          <w:rFonts w:ascii="Times New Roman" w:hAnsi="Times New Roman" w:cs="Times New Roman"/>
          <w:bCs/>
          <w:sz w:val="24"/>
          <w:szCs w:val="24"/>
          <w:lang w:val="bg-BG"/>
        </w:rPr>
        <w:t xml:space="preserve"> ѝ </w:t>
      </w:r>
      <w:r w:rsidR="00A94A97" w:rsidRPr="00610B1B">
        <w:rPr>
          <w:rFonts w:ascii="Times New Roman" w:hAnsi="Times New Roman" w:cs="Times New Roman"/>
          <w:bCs/>
          <w:sz w:val="24"/>
          <w:szCs w:val="24"/>
          <w:lang w:val="bg-BG"/>
        </w:rPr>
        <w:t xml:space="preserve">част </w:t>
      </w:r>
      <w:r w:rsidR="00B92588" w:rsidRPr="00610B1B">
        <w:rPr>
          <w:rFonts w:ascii="Times New Roman" w:hAnsi="Times New Roman" w:cs="Times New Roman"/>
          <w:bCs/>
          <w:sz w:val="24"/>
          <w:szCs w:val="24"/>
          <w:lang w:val="bg-BG"/>
        </w:rPr>
        <w:t>с целите на Националната стратегия за регионално развитие на Република България (2012-2022 г.)</w:t>
      </w:r>
      <w:r w:rsidR="008C0BBF" w:rsidRPr="00610B1B">
        <w:rPr>
          <w:rFonts w:ascii="Times New Roman" w:hAnsi="Times New Roman" w:cs="Times New Roman"/>
          <w:bCs/>
          <w:sz w:val="24"/>
          <w:szCs w:val="24"/>
          <w:lang w:val="bg-BG"/>
        </w:rPr>
        <w:t xml:space="preserve"> и насоките за развитие </w:t>
      </w:r>
      <w:r w:rsidR="00836952" w:rsidRPr="00610B1B">
        <w:rPr>
          <w:rFonts w:ascii="Times New Roman" w:hAnsi="Times New Roman" w:cs="Times New Roman"/>
          <w:bCs/>
          <w:sz w:val="24"/>
          <w:szCs w:val="24"/>
          <w:lang w:val="bg-BG"/>
        </w:rPr>
        <w:t>на регионите за планиране от ниво 2, между които и Североизточен и Югоизточен.</w:t>
      </w:r>
    </w:p>
    <w:p w14:paraId="6EAA7598" w14:textId="0CD84924" w:rsidR="009E1C5C" w:rsidRPr="00610B1B" w:rsidRDefault="00817C8F"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В </w:t>
      </w:r>
      <w:r w:rsidR="005C34D0" w:rsidRPr="00610B1B">
        <w:rPr>
          <w:rFonts w:ascii="Times New Roman" w:hAnsi="Times New Roman" w:cs="Times New Roman"/>
          <w:bCs/>
          <w:sz w:val="24"/>
          <w:szCs w:val="24"/>
          <w:lang w:val="bg-BG"/>
        </w:rPr>
        <w:t>а</w:t>
      </w:r>
      <w:r w:rsidRPr="00610B1B">
        <w:rPr>
          <w:rFonts w:ascii="Times New Roman" w:hAnsi="Times New Roman" w:cs="Times New Roman"/>
          <w:bCs/>
          <w:sz w:val="24"/>
          <w:szCs w:val="24"/>
          <w:lang w:val="bg-BG"/>
        </w:rPr>
        <w:t xml:space="preserve">ктуализацията на НКПР </w:t>
      </w:r>
      <w:r w:rsidR="00DF6C3A" w:rsidRPr="00610B1B">
        <w:rPr>
          <w:rFonts w:ascii="Times New Roman" w:hAnsi="Times New Roman" w:cs="Times New Roman"/>
          <w:bCs/>
          <w:sz w:val="24"/>
          <w:szCs w:val="24"/>
          <w:lang w:val="bg-BG"/>
        </w:rPr>
        <w:t>ч</w:t>
      </w:r>
      <w:r w:rsidRPr="00610B1B">
        <w:rPr>
          <w:rFonts w:ascii="Times New Roman" w:hAnsi="Times New Roman" w:cs="Times New Roman"/>
          <w:bCs/>
          <w:sz w:val="24"/>
          <w:szCs w:val="24"/>
          <w:lang w:val="bg-BG"/>
        </w:rPr>
        <w:t xml:space="preserve">ерноморските територии </w:t>
      </w:r>
      <w:r w:rsidR="000D2AAD" w:rsidRPr="00610B1B">
        <w:rPr>
          <w:rFonts w:ascii="Times New Roman" w:hAnsi="Times New Roman" w:cs="Times New Roman"/>
          <w:bCs/>
          <w:sz w:val="24"/>
          <w:szCs w:val="24"/>
          <w:lang w:val="bg-BG"/>
        </w:rPr>
        <w:t xml:space="preserve">се запазват </w:t>
      </w:r>
      <w:r w:rsidRPr="00610B1B">
        <w:rPr>
          <w:rFonts w:ascii="Times New Roman" w:hAnsi="Times New Roman" w:cs="Times New Roman"/>
          <w:bCs/>
          <w:sz w:val="24"/>
          <w:szCs w:val="24"/>
          <w:lang w:val="bg-BG"/>
        </w:rPr>
        <w:t xml:space="preserve">като специфични неформални райони, дефинирани и институционализирани </w:t>
      </w:r>
      <w:r w:rsidR="005C34D0" w:rsidRPr="00610B1B">
        <w:rPr>
          <w:rFonts w:ascii="Times New Roman" w:hAnsi="Times New Roman" w:cs="Times New Roman"/>
          <w:bCs/>
          <w:sz w:val="24"/>
          <w:szCs w:val="24"/>
          <w:lang w:val="bg-BG"/>
        </w:rPr>
        <w:t xml:space="preserve">с </w:t>
      </w:r>
      <w:r w:rsidRPr="00610B1B">
        <w:rPr>
          <w:rFonts w:ascii="Times New Roman" w:hAnsi="Times New Roman" w:cs="Times New Roman"/>
          <w:bCs/>
          <w:sz w:val="24"/>
          <w:szCs w:val="24"/>
          <w:lang w:val="bg-BG"/>
        </w:rPr>
        <w:t xml:space="preserve">международно консолидиран стратегически документ за развитие. Черноморското крайбрежие е обект и на специален закон (ЗУЧК). Пренасяйки целите на съвместната оперативна програма за </w:t>
      </w:r>
      <w:r w:rsidR="000D2AAD" w:rsidRPr="00610B1B">
        <w:rPr>
          <w:rFonts w:ascii="Times New Roman" w:hAnsi="Times New Roman" w:cs="Times New Roman"/>
          <w:bCs/>
          <w:sz w:val="24"/>
          <w:szCs w:val="24"/>
          <w:lang w:val="bg-BG"/>
        </w:rPr>
        <w:t>териториално</w:t>
      </w:r>
      <w:r w:rsidRPr="00610B1B">
        <w:rPr>
          <w:rFonts w:ascii="Times New Roman" w:hAnsi="Times New Roman" w:cs="Times New Roman"/>
          <w:bCs/>
          <w:sz w:val="24"/>
          <w:szCs w:val="24"/>
          <w:lang w:val="bg-BG"/>
        </w:rPr>
        <w:t xml:space="preserve"> сътрудничество „Черноморски басейн 2014-2020“, финансирана по Европейски инструмент за съседство</w:t>
      </w:r>
      <w:r w:rsidR="008C0BBF" w:rsidRPr="00610B1B">
        <w:rPr>
          <w:rFonts w:ascii="Times New Roman" w:hAnsi="Times New Roman" w:cs="Times New Roman"/>
          <w:bCs/>
          <w:sz w:val="24"/>
          <w:szCs w:val="24"/>
          <w:lang w:val="bg-BG"/>
        </w:rPr>
        <w:t xml:space="preserve"> в</w:t>
      </w:r>
      <w:r w:rsidRPr="00610B1B">
        <w:rPr>
          <w:rFonts w:ascii="Times New Roman" w:hAnsi="Times New Roman" w:cs="Times New Roman"/>
          <w:bCs/>
          <w:sz w:val="24"/>
          <w:szCs w:val="24"/>
          <w:lang w:val="bg-BG"/>
        </w:rPr>
        <w:t xml:space="preserve"> Актуализацията </w:t>
      </w:r>
      <w:r w:rsidR="008C0BBF" w:rsidRPr="00610B1B">
        <w:rPr>
          <w:rFonts w:ascii="Times New Roman" w:hAnsi="Times New Roman" w:cs="Times New Roman"/>
          <w:bCs/>
          <w:sz w:val="24"/>
          <w:szCs w:val="24"/>
          <w:lang w:val="bg-BG"/>
        </w:rPr>
        <w:t xml:space="preserve">се </w:t>
      </w:r>
      <w:r w:rsidRPr="00610B1B">
        <w:rPr>
          <w:rFonts w:ascii="Times New Roman" w:hAnsi="Times New Roman" w:cs="Times New Roman"/>
          <w:bCs/>
          <w:sz w:val="24"/>
          <w:szCs w:val="24"/>
          <w:lang w:val="bg-BG"/>
        </w:rPr>
        <w:t>потвърждава необходимостта от насърчаване на бизнеса и предприемачеството в туризма и културата, на търговията и модернизацията на свързани</w:t>
      </w:r>
      <w:r w:rsidR="000D2AAD" w:rsidRPr="00610B1B">
        <w:rPr>
          <w:rFonts w:ascii="Times New Roman" w:hAnsi="Times New Roman" w:cs="Times New Roman"/>
          <w:bCs/>
          <w:sz w:val="24"/>
          <w:szCs w:val="24"/>
          <w:lang w:val="bg-BG"/>
        </w:rPr>
        <w:t xml:space="preserve"> с морската икономика</w:t>
      </w:r>
      <w:r w:rsidRPr="00610B1B">
        <w:rPr>
          <w:rFonts w:ascii="Times New Roman" w:hAnsi="Times New Roman" w:cs="Times New Roman"/>
          <w:bCs/>
          <w:sz w:val="24"/>
          <w:szCs w:val="24"/>
          <w:lang w:val="bg-BG"/>
        </w:rPr>
        <w:t xml:space="preserve"> сектори, на съвместния мониторинг на среда</w:t>
      </w:r>
      <w:r w:rsidR="008C0BBF" w:rsidRPr="00610B1B">
        <w:rPr>
          <w:rFonts w:ascii="Times New Roman" w:hAnsi="Times New Roman" w:cs="Times New Roman"/>
          <w:bCs/>
          <w:sz w:val="24"/>
          <w:szCs w:val="24"/>
          <w:lang w:val="bg-BG"/>
        </w:rPr>
        <w:t>та</w:t>
      </w:r>
      <w:r w:rsidRPr="00610B1B">
        <w:rPr>
          <w:rFonts w:ascii="Times New Roman" w:hAnsi="Times New Roman" w:cs="Times New Roman"/>
          <w:bCs/>
          <w:sz w:val="24"/>
          <w:szCs w:val="24"/>
          <w:lang w:val="bg-BG"/>
        </w:rPr>
        <w:t xml:space="preserve"> и управлението на морските отпадъци</w:t>
      </w:r>
      <w:r w:rsidR="00370CEC"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w:t>
      </w:r>
    </w:p>
    <w:p w14:paraId="308B35D2" w14:textId="4F3068F8" w:rsidR="00057D7B" w:rsidRPr="00610B1B" w:rsidRDefault="00C05A14"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Водещ документ и определящ приоритетите на политиката в областта на туризма е Актуализираната </w:t>
      </w:r>
      <w:r w:rsidRPr="00610B1B">
        <w:rPr>
          <w:rFonts w:ascii="Times New Roman" w:hAnsi="Times New Roman" w:cs="Times New Roman"/>
          <w:bCs/>
          <w:i/>
          <w:iCs/>
          <w:sz w:val="24"/>
          <w:szCs w:val="24"/>
          <w:lang w:val="bg-BG"/>
        </w:rPr>
        <w:t>Национална стратегия за устойчиво развитие на туризма</w:t>
      </w:r>
      <w:r w:rsidRPr="00610B1B">
        <w:rPr>
          <w:rFonts w:ascii="Times New Roman" w:hAnsi="Times New Roman" w:cs="Times New Roman"/>
          <w:bCs/>
          <w:sz w:val="24"/>
          <w:szCs w:val="24"/>
          <w:lang w:val="bg-BG"/>
        </w:rPr>
        <w:t xml:space="preserve"> </w:t>
      </w:r>
      <w:r w:rsidR="00A52EE7" w:rsidRPr="00610B1B">
        <w:rPr>
          <w:rFonts w:ascii="Times New Roman" w:hAnsi="Times New Roman" w:cs="Times New Roman"/>
          <w:bCs/>
          <w:i/>
          <w:iCs/>
          <w:sz w:val="24"/>
          <w:szCs w:val="24"/>
          <w:lang w:val="bg-BG"/>
        </w:rPr>
        <w:t>в Република България (2014 -2030 г.)</w:t>
      </w:r>
      <w:r w:rsidR="00A52EE7" w:rsidRPr="00610B1B">
        <w:rPr>
          <w:rStyle w:val="FootnoteReference"/>
          <w:rFonts w:ascii="Times New Roman" w:hAnsi="Times New Roman" w:cs="Times New Roman"/>
          <w:bCs/>
          <w:i/>
          <w:iCs/>
          <w:sz w:val="24"/>
          <w:szCs w:val="24"/>
          <w:lang w:val="bg-BG"/>
        </w:rPr>
        <w:footnoteReference w:id="63"/>
      </w:r>
      <w:r w:rsidR="00A52EE7" w:rsidRPr="00610B1B">
        <w:rPr>
          <w:rFonts w:ascii="Times New Roman" w:hAnsi="Times New Roman" w:cs="Times New Roman"/>
          <w:bCs/>
          <w:i/>
          <w:iCs/>
          <w:sz w:val="24"/>
          <w:szCs w:val="24"/>
          <w:lang w:val="bg-BG"/>
        </w:rPr>
        <w:t xml:space="preserve"> </w:t>
      </w:r>
      <w:r w:rsidR="004A51AB" w:rsidRPr="00610B1B">
        <w:rPr>
          <w:rFonts w:ascii="Times New Roman" w:hAnsi="Times New Roman" w:cs="Times New Roman"/>
          <w:bCs/>
          <w:sz w:val="24"/>
          <w:szCs w:val="24"/>
          <w:lang w:val="bg-BG"/>
        </w:rPr>
        <w:t>Целите и приоритетите</w:t>
      </w:r>
      <w:r w:rsidR="00057D7B" w:rsidRPr="00610B1B">
        <w:rPr>
          <w:rFonts w:ascii="Times New Roman" w:hAnsi="Times New Roman" w:cs="Times New Roman"/>
          <w:bCs/>
          <w:sz w:val="24"/>
          <w:szCs w:val="24"/>
          <w:lang w:val="bg-BG"/>
        </w:rPr>
        <w:t xml:space="preserve"> в</w:t>
      </w:r>
      <w:r w:rsidR="004A51AB" w:rsidRPr="00610B1B">
        <w:rPr>
          <w:rFonts w:ascii="Times New Roman" w:hAnsi="Times New Roman" w:cs="Times New Roman"/>
          <w:bCs/>
          <w:sz w:val="24"/>
          <w:szCs w:val="24"/>
          <w:lang w:val="bg-BG"/>
        </w:rPr>
        <w:t xml:space="preserve"> морския туризъм са насочени към решаване на проблемите с презастрояването на крайбрежието и натоварването на техническата инфраструктура, удължаване</w:t>
      </w:r>
      <w:r w:rsidR="005C34D0" w:rsidRPr="00610B1B">
        <w:rPr>
          <w:rFonts w:ascii="Times New Roman" w:hAnsi="Times New Roman" w:cs="Times New Roman"/>
          <w:bCs/>
          <w:sz w:val="24"/>
          <w:szCs w:val="24"/>
          <w:lang w:val="bg-BG"/>
        </w:rPr>
        <w:t>то</w:t>
      </w:r>
      <w:r w:rsidR="004A51AB" w:rsidRPr="00610B1B">
        <w:rPr>
          <w:rFonts w:ascii="Times New Roman" w:hAnsi="Times New Roman" w:cs="Times New Roman"/>
          <w:bCs/>
          <w:sz w:val="24"/>
          <w:szCs w:val="24"/>
          <w:lang w:val="bg-BG"/>
        </w:rPr>
        <w:t xml:space="preserve"> на летния туристически сезон, увеличаване на дела на по-скъпия и престижен клубен морски ваканционен туризъм, за сметка на евтиния от типа </w:t>
      </w:r>
      <w:r w:rsidR="000D2AAD" w:rsidRPr="00610B1B">
        <w:rPr>
          <w:rFonts w:ascii="Times New Roman" w:hAnsi="Times New Roman" w:cs="Times New Roman"/>
          <w:bCs/>
          <w:sz w:val="24"/>
          <w:szCs w:val="24"/>
          <w:lang w:val="bg-BG"/>
        </w:rPr>
        <w:t>„</w:t>
      </w:r>
      <w:r w:rsidR="004A51AB" w:rsidRPr="00610B1B">
        <w:rPr>
          <w:rFonts w:ascii="Times New Roman" w:hAnsi="Times New Roman" w:cs="Times New Roman"/>
          <w:bCs/>
          <w:sz w:val="24"/>
          <w:szCs w:val="24"/>
          <w:lang w:val="bg-BG"/>
        </w:rPr>
        <w:t>all inclusive</w:t>
      </w:r>
      <w:r w:rsidR="000D2AAD" w:rsidRPr="00610B1B">
        <w:rPr>
          <w:rFonts w:ascii="Times New Roman" w:hAnsi="Times New Roman" w:cs="Times New Roman"/>
          <w:bCs/>
          <w:sz w:val="24"/>
          <w:szCs w:val="24"/>
          <w:lang w:val="bg-BG"/>
        </w:rPr>
        <w:t>“</w:t>
      </w:r>
      <w:r w:rsidR="004A51AB" w:rsidRPr="00610B1B">
        <w:rPr>
          <w:rFonts w:ascii="Times New Roman" w:hAnsi="Times New Roman" w:cs="Times New Roman"/>
          <w:bCs/>
          <w:sz w:val="24"/>
          <w:szCs w:val="24"/>
          <w:lang w:val="bg-BG"/>
        </w:rPr>
        <w:t>, подобряване на околната и бизнес средата за развитието на устойчивия туризъм</w:t>
      </w:r>
      <w:r w:rsidR="00057D7B" w:rsidRPr="00610B1B">
        <w:rPr>
          <w:rFonts w:ascii="Times New Roman" w:hAnsi="Times New Roman" w:cs="Times New Roman"/>
          <w:bCs/>
          <w:sz w:val="24"/>
          <w:szCs w:val="24"/>
          <w:lang w:val="bg-BG"/>
        </w:rPr>
        <w:t>, който не пренебрегва благосъстоянието на местните общности.</w:t>
      </w:r>
      <w:r w:rsidR="00D66FE0" w:rsidRPr="00610B1B">
        <w:rPr>
          <w:rFonts w:ascii="Times New Roman" w:hAnsi="Times New Roman" w:cs="Times New Roman"/>
          <w:bCs/>
          <w:sz w:val="24"/>
          <w:szCs w:val="24"/>
          <w:lang w:val="bg-BG"/>
        </w:rPr>
        <w:t xml:space="preserve"> </w:t>
      </w:r>
      <w:r w:rsidR="000D2AAD" w:rsidRPr="00610B1B">
        <w:rPr>
          <w:rFonts w:ascii="Times New Roman" w:hAnsi="Times New Roman" w:cs="Times New Roman"/>
          <w:bCs/>
          <w:sz w:val="24"/>
          <w:szCs w:val="24"/>
          <w:lang w:val="bg-BG"/>
        </w:rPr>
        <w:t xml:space="preserve">Адаптацията </w:t>
      </w:r>
      <w:r w:rsidR="003F61FA" w:rsidRPr="00610B1B">
        <w:rPr>
          <w:rFonts w:ascii="Times New Roman" w:hAnsi="Times New Roman" w:cs="Times New Roman"/>
          <w:bCs/>
          <w:sz w:val="24"/>
          <w:szCs w:val="24"/>
          <w:lang w:val="bg-BG"/>
        </w:rPr>
        <w:t xml:space="preserve">към изменението на климата ще даде отражение върху летния туризъм и продължителността на най-подходящия сезон за рекреационни, </w:t>
      </w:r>
      <w:r w:rsidR="009D7952" w:rsidRPr="00610B1B">
        <w:rPr>
          <w:rFonts w:ascii="Times New Roman" w:hAnsi="Times New Roman" w:cs="Times New Roman"/>
          <w:bCs/>
          <w:sz w:val="24"/>
          <w:szCs w:val="24"/>
          <w:lang w:val="bg-BG"/>
        </w:rPr>
        <w:t>развлекателни</w:t>
      </w:r>
      <w:r w:rsidR="003F61FA" w:rsidRPr="00610B1B">
        <w:rPr>
          <w:rFonts w:ascii="Times New Roman" w:hAnsi="Times New Roman" w:cs="Times New Roman"/>
          <w:bCs/>
          <w:sz w:val="24"/>
          <w:szCs w:val="24"/>
          <w:lang w:val="bg-BG"/>
        </w:rPr>
        <w:t xml:space="preserve"> и спортни дейности край и в морето. В прогнозните сценарии и модели на </w:t>
      </w:r>
      <w:r w:rsidR="005C34D0" w:rsidRPr="00610B1B">
        <w:rPr>
          <w:rFonts w:ascii="Times New Roman" w:hAnsi="Times New Roman" w:cs="Times New Roman"/>
          <w:bCs/>
          <w:sz w:val="24"/>
          <w:szCs w:val="24"/>
          <w:lang w:val="bg-BG"/>
        </w:rPr>
        <w:t>М</w:t>
      </w:r>
      <w:r w:rsidR="003F61FA" w:rsidRPr="00610B1B">
        <w:rPr>
          <w:rFonts w:ascii="Times New Roman" w:hAnsi="Times New Roman" w:cs="Times New Roman"/>
          <w:bCs/>
          <w:sz w:val="24"/>
          <w:szCs w:val="24"/>
          <w:lang w:val="bg-BG"/>
        </w:rPr>
        <w:t>орския пространствен план тези взаимодействия се търсят при решаване на конфликтите и оползотворяване на потенциала на туристическите ресурси в крайбрежна</w:t>
      </w:r>
      <w:r w:rsidR="005C34D0" w:rsidRPr="00610B1B">
        <w:rPr>
          <w:rFonts w:ascii="Times New Roman" w:hAnsi="Times New Roman" w:cs="Times New Roman"/>
          <w:bCs/>
          <w:sz w:val="24"/>
          <w:szCs w:val="24"/>
          <w:lang w:val="bg-BG"/>
        </w:rPr>
        <w:t>та</w:t>
      </w:r>
      <w:r w:rsidR="003F61FA" w:rsidRPr="00610B1B">
        <w:rPr>
          <w:rFonts w:ascii="Times New Roman" w:hAnsi="Times New Roman" w:cs="Times New Roman"/>
          <w:bCs/>
          <w:sz w:val="24"/>
          <w:szCs w:val="24"/>
          <w:lang w:val="bg-BG"/>
        </w:rPr>
        <w:t xml:space="preserve"> зона и </w:t>
      </w:r>
      <w:r w:rsidR="005C34D0" w:rsidRPr="00610B1B">
        <w:rPr>
          <w:rFonts w:ascii="Times New Roman" w:hAnsi="Times New Roman" w:cs="Times New Roman"/>
          <w:bCs/>
          <w:sz w:val="24"/>
          <w:szCs w:val="24"/>
          <w:lang w:val="bg-BG"/>
        </w:rPr>
        <w:t>в</w:t>
      </w:r>
      <w:r w:rsidR="003F61FA" w:rsidRPr="00610B1B">
        <w:rPr>
          <w:rFonts w:ascii="Times New Roman" w:hAnsi="Times New Roman" w:cs="Times New Roman"/>
          <w:bCs/>
          <w:sz w:val="24"/>
          <w:szCs w:val="24"/>
          <w:lang w:val="bg-BG"/>
        </w:rPr>
        <w:t xml:space="preserve"> акваторията</w:t>
      </w:r>
      <w:r w:rsidR="00FA3E3F" w:rsidRPr="00610B1B">
        <w:rPr>
          <w:rFonts w:ascii="Times New Roman" w:hAnsi="Times New Roman" w:cs="Times New Roman"/>
          <w:bCs/>
          <w:sz w:val="24"/>
          <w:szCs w:val="24"/>
          <w:lang w:val="bg-BG"/>
        </w:rPr>
        <w:t>.</w:t>
      </w:r>
      <w:r w:rsidR="003F61FA" w:rsidRPr="00610B1B">
        <w:rPr>
          <w:rFonts w:ascii="Times New Roman" w:hAnsi="Times New Roman" w:cs="Times New Roman"/>
          <w:bCs/>
          <w:sz w:val="24"/>
          <w:szCs w:val="24"/>
          <w:lang w:val="bg-BG"/>
        </w:rPr>
        <w:t xml:space="preserve"> </w:t>
      </w:r>
    </w:p>
    <w:p w14:paraId="75E01961" w14:textId="6DE96653" w:rsidR="00FA3E3F" w:rsidRPr="00610B1B" w:rsidRDefault="00057D7B"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Приоритетите </w:t>
      </w:r>
      <w:r w:rsidR="00065180" w:rsidRPr="00610B1B">
        <w:rPr>
          <w:rFonts w:ascii="Times New Roman" w:hAnsi="Times New Roman" w:cs="Times New Roman"/>
          <w:bCs/>
          <w:sz w:val="24"/>
          <w:szCs w:val="24"/>
          <w:lang w:val="bg-BG"/>
        </w:rPr>
        <w:t xml:space="preserve">на Р. България </w:t>
      </w:r>
      <w:r w:rsidRPr="00610B1B">
        <w:rPr>
          <w:rFonts w:ascii="Times New Roman" w:hAnsi="Times New Roman" w:cs="Times New Roman"/>
          <w:bCs/>
          <w:sz w:val="24"/>
          <w:szCs w:val="24"/>
          <w:lang w:val="bg-BG"/>
        </w:rPr>
        <w:t xml:space="preserve">в сектора „Рибарство и аквакултури“ </w:t>
      </w:r>
      <w:r w:rsidR="00C8621A" w:rsidRPr="00610B1B">
        <w:rPr>
          <w:rFonts w:ascii="Times New Roman" w:hAnsi="Times New Roman" w:cs="Times New Roman"/>
          <w:bCs/>
          <w:sz w:val="24"/>
          <w:szCs w:val="24"/>
          <w:lang w:val="bg-BG"/>
        </w:rPr>
        <w:t>са обвързани с</w:t>
      </w:r>
      <w:r w:rsidRPr="00610B1B">
        <w:rPr>
          <w:rFonts w:ascii="Times New Roman" w:hAnsi="Times New Roman" w:cs="Times New Roman"/>
          <w:bCs/>
          <w:sz w:val="24"/>
          <w:szCs w:val="24"/>
          <w:lang w:val="bg-BG"/>
        </w:rPr>
        <w:t xml:space="preserve"> прилагането на </w:t>
      </w:r>
      <w:r w:rsidR="00065180" w:rsidRPr="00610B1B">
        <w:rPr>
          <w:rFonts w:ascii="Times New Roman" w:hAnsi="Times New Roman" w:cs="Times New Roman"/>
          <w:bCs/>
          <w:sz w:val="24"/>
          <w:szCs w:val="24"/>
          <w:lang w:val="bg-BG"/>
        </w:rPr>
        <w:t xml:space="preserve">Общата </w:t>
      </w:r>
      <w:r w:rsidRPr="00610B1B">
        <w:rPr>
          <w:rFonts w:ascii="Times New Roman" w:hAnsi="Times New Roman" w:cs="Times New Roman"/>
          <w:bCs/>
          <w:sz w:val="24"/>
          <w:szCs w:val="24"/>
          <w:lang w:val="bg-BG"/>
        </w:rPr>
        <w:t>политика по рибарство на ЕС</w:t>
      </w:r>
      <w:r w:rsidR="00065180" w:rsidRPr="00610B1B">
        <w:rPr>
          <w:rFonts w:ascii="Times New Roman" w:hAnsi="Times New Roman" w:cs="Times New Roman"/>
          <w:bCs/>
          <w:sz w:val="24"/>
          <w:szCs w:val="24"/>
          <w:lang w:val="bg-BG"/>
        </w:rPr>
        <w:t xml:space="preserve"> с нейните последни промени от </w:t>
      </w:r>
      <w:r w:rsidR="00065180" w:rsidRPr="00610B1B">
        <w:rPr>
          <w:rFonts w:ascii="Times New Roman" w:hAnsi="Times New Roman" w:cs="Times New Roman"/>
          <w:bCs/>
          <w:sz w:val="24"/>
          <w:szCs w:val="24"/>
          <w:lang w:val="bg-BG"/>
        </w:rPr>
        <w:lastRenderedPageBreak/>
        <w:t>2014</w:t>
      </w:r>
      <w:r w:rsidR="00751B5D" w:rsidRPr="00610B1B">
        <w:rPr>
          <w:rFonts w:ascii="Times New Roman" w:hAnsi="Times New Roman" w:cs="Times New Roman"/>
          <w:bCs/>
          <w:sz w:val="24"/>
          <w:szCs w:val="24"/>
          <w:lang w:val="bg-BG"/>
        </w:rPr>
        <w:t> </w:t>
      </w:r>
      <w:r w:rsidR="00065180" w:rsidRPr="00610B1B">
        <w:rPr>
          <w:rFonts w:ascii="Times New Roman" w:hAnsi="Times New Roman" w:cs="Times New Roman"/>
          <w:bCs/>
          <w:sz w:val="24"/>
          <w:szCs w:val="24"/>
          <w:lang w:val="bg-BG"/>
        </w:rPr>
        <w:t>г., както и Интегрираната морска политика. Те</w:t>
      </w:r>
      <w:r w:rsidR="003F61FA"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са пренесени в действащата </w:t>
      </w:r>
      <w:r w:rsidR="002B75E3" w:rsidRPr="00610B1B">
        <w:rPr>
          <w:rFonts w:ascii="Times New Roman" w:hAnsi="Times New Roman" w:cs="Times New Roman"/>
          <w:bCs/>
          <w:i/>
          <w:iCs/>
          <w:sz w:val="24"/>
          <w:szCs w:val="24"/>
          <w:lang w:val="bg-BG"/>
        </w:rPr>
        <w:t xml:space="preserve">Програма </w:t>
      </w:r>
      <w:r w:rsidRPr="00610B1B">
        <w:rPr>
          <w:rFonts w:ascii="Times New Roman" w:hAnsi="Times New Roman" w:cs="Times New Roman"/>
          <w:bCs/>
          <w:i/>
          <w:iCs/>
          <w:sz w:val="24"/>
          <w:szCs w:val="24"/>
          <w:lang w:val="bg-BG"/>
        </w:rPr>
        <w:t xml:space="preserve">за </w:t>
      </w:r>
      <w:r w:rsidR="002B75E3" w:rsidRPr="00610B1B">
        <w:rPr>
          <w:rFonts w:ascii="Times New Roman" w:hAnsi="Times New Roman" w:cs="Times New Roman"/>
          <w:bCs/>
          <w:i/>
          <w:iCs/>
          <w:sz w:val="24"/>
          <w:szCs w:val="24"/>
          <w:lang w:val="bg-BG"/>
        </w:rPr>
        <w:t>Морско дело и рибарство</w:t>
      </w:r>
      <w:r w:rsidR="002B75E3" w:rsidRPr="00610B1B">
        <w:rPr>
          <w:rFonts w:ascii="Times New Roman" w:hAnsi="Times New Roman" w:cs="Times New Roman"/>
          <w:bCs/>
          <w:sz w:val="24"/>
          <w:szCs w:val="24"/>
          <w:lang w:val="bg-BG"/>
        </w:rPr>
        <w:t xml:space="preserve"> за </w:t>
      </w:r>
      <w:r w:rsidRPr="00610B1B">
        <w:rPr>
          <w:rFonts w:ascii="Times New Roman" w:hAnsi="Times New Roman" w:cs="Times New Roman"/>
          <w:bCs/>
          <w:sz w:val="24"/>
          <w:szCs w:val="24"/>
          <w:lang w:val="bg-BG"/>
        </w:rPr>
        <w:t>период</w:t>
      </w:r>
      <w:r w:rsidR="00065180" w:rsidRPr="00610B1B">
        <w:rPr>
          <w:rFonts w:ascii="Times New Roman" w:hAnsi="Times New Roman" w:cs="Times New Roman"/>
          <w:bCs/>
          <w:sz w:val="24"/>
          <w:szCs w:val="24"/>
          <w:lang w:val="bg-BG"/>
        </w:rPr>
        <w:t>а</w:t>
      </w:r>
      <w:r w:rsidRPr="00610B1B">
        <w:rPr>
          <w:rFonts w:ascii="Times New Roman" w:hAnsi="Times New Roman" w:cs="Times New Roman"/>
          <w:bCs/>
          <w:sz w:val="24"/>
          <w:szCs w:val="24"/>
          <w:lang w:val="bg-BG"/>
        </w:rPr>
        <w:t xml:space="preserve"> 2014-2020 г. </w:t>
      </w:r>
      <w:r w:rsidR="00C8621A" w:rsidRPr="00610B1B">
        <w:rPr>
          <w:rFonts w:ascii="Times New Roman" w:hAnsi="Times New Roman" w:cs="Times New Roman"/>
          <w:bCs/>
          <w:sz w:val="24"/>
          <w:szCs w:val="24"/>
          <w:lang w:val="bg-BG"/>
        </w:rPr>
        <w:t xml:space="preserve">Важни </w:t>
      </w:r>
      <w:r w:rsidR="00FA3E3F" w:rsidRPr="00610B1B">
        <w:rPr>
          <w:rFonts w:ascii="Times New Roman" w:hAnsi="Times New Roman" w:cs="Times New Roman"/>
          <w:bCs/>
          <w:sz w:val="24"/>
          <w:szCs w:val="24"/>
          <w:lang w:val="bg-BG"/>
        </w:rPr>
        <w:t>за безконфликтното развитие на сектора са устойчивото, иновативното, конкурентоспособното и основано на знанията</w:t>
      </w:r>
      <w:r w:rsidR="00D66FE0" w:rsidRPr="00610B1B">
        <w:rPr>
          <w:rFonts w:ascii="Times New Roman" w:hAnsi="Times New Roman" w:cs="Times New Roman"/>
          <w:bCs/>
          <w:sz w:val="24"/>
          <w:szCs w:val="24"/>
          <w:lang w:val="bg-BG"/>
        </w:rPr>
        <w:t xml:space="preserve"> </w:t>
      </w:r>
      <w:r w:rsidR="00FA3E3F" w:rsidRPr="00610B1B">
        <w:rPr>
          <w:rFonts w:ascii="Times New Roman" w:hAnsi="Times New Roman" w:cs="Times New Roman"/>
          <w:bCs/>
          <w:sz w:val="24"/>
          <w:szCs w:val="24"/>
          <w:lang w:val="bg-BG"/>
        </w:rPr>
        <w:t>рибарство</w:t>
      </w:r>
      <w:r w:rsidR="00065180" w:rsidRPr="00610B1B">
        <w:rPr>
          <w:rFonts w:ascii="Times New Roman" w:hAnsi="Times New Roman" w:cs="Times New Roman"/>
          <w:bCs/>
          <w:sz w:val="24"/>
          <w:szCs w:val="24"/>
          <w:lang w:val="bg-BG"/>
        </w:rPr>
        <w:t xml:space="preserve"> и отглеждане на аквакултури;</w:t>
      </w:r>
      <w:r w:rsidR="00FA3E3F" w:rsidRPr="00610B1B">
        <w:rPr>
          <w:rFonts w:ascii="Times New Roman" w:hAnsi="Times New Roman" w:cs="Times New Roman"/>
          <w:bCs/>
          <w:sz w:val="24"/>
          <w:szCs w:val="24"/>
          <w:lang w:val="bg-BG"/>
        </w:rPr>
        <w:t xml:space="preserve"> ефективно</w:t>
      </w:r>
      <w:r w:rsidR="00065180" w:rsidRPr="00610B1B">
        <w:rPr>
          <w:rFonts w:ascii="Times New Roman" w:hAnsi="Times New Roman" w:cs="Times New Roman"/>
          <w:bCs/>
          <w:sz w:val="24"/>
          <w:szCs w:val="24"/>
          <w:lang w:val="bg-BG"/>
        </w:rPr>
        <w:t>то</w:t>
      </w:r>
      <w:r w:rsidR="00FA3E3F" w:rsidRPr="00610B1B">
        <w:rPr>
          <w:rFonts w:ascii="Times New Roman" w:hAnsi="Times New Roman" w:cs="Times New Roman"/>
          <w:bCs/>
          <w:sz w:val="24"/>
          <w:szCs w:val="24"/>
          <w:lang w:val="bg-BG"/>
        </w:rPr>
        <w:t xml:space="preserve"> използване на ресурсите;</w:t>
      </w:r>
      <w:r w:rsidR="00065180" w:rsidRPr="00610B1B">
        <w:rPr>
          <w:rFonts w:ascii="Times New Roman" w:hAnsi="Times New Roman" w:cs="Times New Roman"/>
          <w:bCs/>
          <w:sz w:val="24"/>
          <w:szCs w:val="24"/>
          <w:lang w:val="bg-BG"/>
        </w:rPr>
        <w:t xml:space="preserve"> разнообразяването на производствата, задоволяването на потребностите на населението</w:t>
      </w:r>
      <w:r w:rsidR="00D66FE0" w:rsidRPr="00610B1B">
        <w:rPr>
          <w:rFonts w:ascii="Times New Roman" w:hAnsi="Times New Roman" w:cs="Times New Roman"/>
          <w:bCs/>
          <w:sz w:val="24"/>
          <w:szCs w:val="24"/>
          <w:lang w:val="bg-BG"/>
        </w:rPr>
        <w:t xml:space="preserve"> </w:t>
      </w:r>
      <w:r w:rsidR="00065180" w:rsidRPr="00610B1B">
        <w:rPr>
          <w:rFonts w:ascii="Times New Roman" w:hAnsi="Times New Roman" w:cs="Times New Roman"/>
          <w:bCs/>
          <w:sz w:val="24"/>
          <w:szCs w:val="24"/>
          <w:lang w:val="bg-BG"/>
        </w:rPr>
        <w:t xml:space="preserve">с риба и рибни продукти; </w:t>
      </w:r>
      <w:r w:rsidR="002B75E3" w:rsidRPr="00610B1B">
        <w:rPr>
          <w:rFonts w:ascii="Times New Roman" w:hAnsi="Times New Roman" w:cs="Times New Roman"/>
          <w:bCs/>
          <w:sz w:val="24"/>
          <w:szCs w:val="24"/>
          <w:lang w:val="bg-BG"/>
        </w:rPr>
        <w:t>подпомагане</w:t>
      </w:r>
      <w:r w:rsidR="00371619" w:rsidRPr="00610B1B">
        <w:rPr>
          <w:rFonts w:ascii="Times New Roman" w:hAnsi="Times New Roman" w:cs="Times New Roman"/>
          <w:bCs/>
          <w:sz w:val="24"/>
          <w:szCs w:val="24"/>
          <w:lang w:val="bg-BG"/>
        </w:rPr>
        <w:t>то</w:t>
      </w:r>
      <w:r w:rsidR="002B75E3" w:rsidRPr="00610B1B">
        <w:rPr>
          <w:rFonts w:ascii="Times New Roman" w:hAnsi="Times New Roman" w:cs="Times New Roman"/>
          <w:bCs/>
          <w:sz w:val="24"/>
          <w:szCs w:val="24"/>
          <w:lang w:val="bg-BG"/>
        </w:rPr>
        <w:t xml:space="preserve"> на региони</w:t>
      </w:r>
      <w:r w:rsidR="00C8621A" w:rsidRPr="00610B1B">
        <w:rPr>
          <w:rFonts w:ascii="Times New Roman" w:hAnsi="Times New Roman" w:cs="Times New Roman"/>
          <w:bCs/>
          <w:sz w:val="24"/>
          <w:szCs w:val="24"/>
          <w:lang w:val="bg-BG"/>
        </w:rPr>
        <w:t>те</w:t>
      </w:r>
      <w:r w:rsidR="002B75E3" w:rsidRPr="00610B1B">
        <w:rPr>
          <w:rFonts w:ascii="Times New Roman" w:hAnsi="Times New Roman" w:cs="Times New Roman"/>
          <w:bCs/>
          <w:sz w:val="24"/>
          <w:szCs w:val="24"/>
          <w:lang w:val="bg-BG"/>
        </w:rPr>
        <w:t>, чието благополучие зависи от рибарството. Н</w:t>
      </w:r>
      <w:r w:rsidR="00065180" w:rsidRPr="00610B1B">
        <w:rPr>
          <w:rFonts w:ascii="Times New Roman" w:hAnsi="Times New Roman" w:cs="Times New Roman"/>
          <w:bCs/>
          <w:sz w:val="24"/>
          <w:szCs w:val="24"/>
          <w:lang w:val="bg-BG"/>
        </w:rPr>
        <w:t xml:space="preserve">ай-сериозните конфликти, </w:t>
      </w:r>
      <w:r w:rsidR="005C34D0" w:rsidRPr="00610B1B">
        <w:rPr>
          <w:rFonts w:ascii="Times New Roman" w:hAnsi="Times New Roman" w:cs="Times New Roman"/>
          <w:bCs/>
          <w:sz w:val="24"/>
          <w:szCs w:val="24"/>
          <w:lang w:val="bg-BG"/>
        </w:rPr>
        <w:t>очакващи</w:t>
      </w:r>
      <w:r w:rsidR="00065180" w:rsidRPr="00610B1B">
        <w:rPr>
          <w:rFonts w:ascii="Times New Roman" w:hAnsi="Times New Roman" w:cs="Times New Roman"/>
          <w:bCs/>
          <w:sz w:val="24"/>
          <w:szCs w:val="24"/>
          <w:lang w:val="bg-BG"/>
        </w:rPr>
        <w:t xml:space="preserve"> решение са между аквакултурите и туризма, между рибарството и аквакултурите и опазването на околната среда. </w:t>
      </w:r>
    </w:p>
    <w:p w14:paraId="456CB6C2" w14:textId="70171FC6" w:rsidR="00DA1A9B" w:rsidRPr="00610B1B" w:rsidRDefault="002B75E3"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В сферата на опазването на </w:t>
      </w:r>
      <w:r w:rsidRPr="00610B1B">
        <w:rPr>
          <w:rFonts w:ascii="Times New Roman" w:hAnsi="Times New Roman" w:cs="Times New Roman"/>
          <w:bCs/>
          <w:i/>
          <w:iCs/>
          <w:sz w:val="24"/>
          <w:szCs w:val="24"/>
          <w:lang w:val="bg-BG"/>
        </w:rPr>
        <w:t>културното наследство</w:t>
      </w:r>
      <w:r w:rsidRPr="00610B1B">
        <w:rPr>
          <w:rFonts w:ascii="Times New Roman" w:hAnsi="Times New Roman" w:cs="Times New Roman"/>
          <w:bCs/>
          <w:sz w:val="24"/>
          <w:szCs w:val="24"/>
          <w:lang w:val="bg-BG"/>
        </w:rPr>
        <w:t xml:space="preserve"> все още няма приет национален стратегически документ, поради което връзките между този сектор и Морския пространствен план се търсят посредством законодателната уредба и общоприетите международни и европейски документи, с които постепенно се разширява</w:t>
      </w:r>
      <w:r w:rsidR="008C6018" w:rsidRPr="00610B1B">
        <w:rPr>
          <w:rFonts w:ascii="Times New Roman" w:hAnsi="Times New Roman" w:cs="Times New Roman"/>
          <w:bCs/>
          <w:sz w:val="24"/>
          <w:szCs w:val="24"/>
          <w:lang w:val="bg-BG"/>
        </w:rPr>
        <w:t>т</w:t>
      </w:r>
      <w:r w:rsidRPr="00610B1B">
        <w:rPr>
          <w:rFonts w:ascii="Times New Roman" w:hAnsi="Times New Roman" w:cs="Times New Roman"/>
          <w:bCs/>
          <w:sz w:val="24"/>
          <w:szCs w:val="24"/>
          <w:lang w:val="bg-BG"/>
        </w:rPr>
        <w:t xml:space="preserve"> времевия</w:t>
      </w:r>
      <w:r w:rsidR="008C6018" w:rsidRPr="00610B1B">
        <w:rPr>
          <w:rFonts w:ascii="Times New Roman" w:hAnsi="Times New Roman" w:cs="Times New Roman"/>
          <w:bCs/>
          <w:sz w:val="24"/>
          <w:szCs w:val="24"/>
          <w:lang w:val="bg-BG"/>
        </w:rPr>
        <w:t>т, териториалният</w:t>
      </w:r>
      <w:r w:rsidRPr="00610B1B">
        <w:rPr>
          <w:rFonts w:ascii="Times New Roman" w:hAnsi="Times New Roman" w:cs="Times New Roman"/>
          <w:bCs/>
          <w:sz w:val="24"/>
          <w:szCs w:val="24"/>
          <w:lang w:val="bg-BG"/>
        </w:rPr>
        <w:t xml:space="preserve"> и тематичен обхват на </w:t>
      </w:r>
      <w:r w:rsidR="008C6018" w:rsidRPr="00610B1B">
        <w:rPr>
          <w:rFonts w:ascii="Times New Roman" w:hAnsi="Times New Roman" w:cs="Times New Roman"/>
          <w:bCs/>
          <w:sz w:val="24"/>
          <w:szCs w:val="24"/>
          <w:lang w:val="bg-BG"/>
        </w:rPr>
        <w:t xml:space="preserve">културното наследство и </w:t>
      </w:r>
      <w:r w:rsidRPr="00610B1B">
        <w:rPr>
          <w:rFonts w:ascii="Times New Roman" w:hAnsi="Times New Roman" w:cs="Times New Roman"/>
          <w:bCs/>
          <w:sz w:val="24"/>
          <w:szCs w:val="24"/>
          <w:lang w:val="bg-BG"/>
        </w:rPr>
        <w:t xml:space="preserve">дейността по </w:t>
      </w:r>
      <w:r w:rsidR="008C6018" w:rsidRPr="00610B1B">
        <w:rPr>
          <w:rFonts w:ascii="Times New Roman" w:hAnsi="Times New Roman" w:cs="Times New Roman"/>
          <w:bCs/>
          <w:sz w:val="24"/>
          <w:szCs w:val="24"/>
          <w:lang w:val="bg-BG"/>
        </w:rPr>
        <w:t xml:space="preserve">неговото </w:t>
      </w:r>
      <w:r w:rsidRPr="00610B1B">
        <w:rPr>
          <w:rFonts w:ascii="Times New Roman" w:hAnsi="Times New Roman" w:cs="Times New Roman"/>
          <w:bCs/>
          <w:sz w:val="24"/>
          <w:szCs w:val="24"/>
          <w:lang w:val="bg-BG"/>
        </w:rPr>
        <w:t xml:space="preserve">разкриване, проучване, консервация, адаптация, социализация и интегрирано опазване. </w:t>
      </w:r>
      <w:r w:rsidR="008C6018" w:rsidRPr="00610B1B">
        <w:rPr>
          <w:rFonts w:ascii="Times New Roman" w:hAnsi="Times New Roman" w:cs="Times New Roman"/>
          <w:bCs/>
          <w:sz w:val="24"/>
          <w:szCs w:val="24"/>
          <w:lang w:val="bg-BG"/>
        </w:rPr>
        <w:t>Повишава се и неговата социална ор</w:t>
      </w:r>
      <w:r w:rsidR="00DA1A9B" w:rsidRPr="00610B1B">
        <w:rPr>
          <w:rFonts w:ascii="Times New Roman" w:hAnsi="Times New Roman" w:cs="Times New Roman"/>
          <w:bCs/>
          <w:sz w:val="24"/>
          <w:szCs w:val="24"/>
          <w:lang w:val="bg-BG"/>
        </w:rPr>
        <w:t>иентираност и значението му като ресурс и стимулатор за устойчиво развитие</w:t>
      </w:r>
      <w:r w:rsidR="008C6018" w:rsidRPr="00610B1B">
        <w:rPr>
          <w:rFonts w:ascii="Times New Roman" w:hAnsi="Times New Roman" w:cs="Times New Roman"/>
          <w:bCs/>
          <w:sz w:val="24"/>
          <w:szCs w:val="24"/>
          <w:lang w:val="bg-BG"/>
        </w:rPr>
        <w:t xml:space="preserve"> и </w:t>
      </w:r>
      <w:r w:rsidR="00DA1A9B" w:rsidRPr="00610B1B">
        <w:rPr>
          <w:rFonts w:ascii="Times New Roman" w:hAnsi="Times New Roman" w:cs="Times New Roman"/>
          <w:bCs/>
          <w:sz w:val="24"/>
          <w:szCs w:val="24"/>
          <w:lang w:val="bg-BG"/>
        </w:rPr>
        <w:t xml:space="preserve">важна част от обществения капитал. </w:t>
      </w:r>
      <w:r w:rsidR="000472CD" w:rsidRPr="00610B1B">
        <w:rPr>
          <w:rFonts w:ascii="Times New Roman" w:hAnsi="Times New Roman" w:cs="Times New Roman"/>
          <w:bCs/>
          <w:sz w:val="24"/>
          <w:szCs w:val="24"/>
          <w:lang w:val="bg-BG"/>
        </w:rPr>
        <w:t xml:space="preserve">Морският пространствен план има отношение към </w:t>
      </w:r>
      <w:r w:rsidR="00B21B7A" w:rsidRPr="00610B1B">
        <w:rPr>
          <w:rFonts w:ascii="Times New Roman" w:hAnsi="Times New Roman" w:cs="Times New Roman"/>
          <w:bCs/>
          <w:sz w:val="24"/>
          <w:szCs w:val="24"/>
          <w:lang w:val="bg-BG"/>
        </w:rPr>
        <w:t xml:space="preserve">почти </w:t>
      </w:r>
      <w:r w:rsidR="000472CD" w:rsidRPr="00610B1B">
        <w:rPr>
          <w:rFonts w:ascii="Times New Roman" w:hAnsi="Times New Roman" w:cs="Times New Roman"/>
          <w:bCs/>
          <w:sz w:val="24"/>
          <w:szCs w:val="24"/>
          <w:lang w:val="bg-BG"/>
        </w:rPr>
        <w:t>всички международни и европейски документи, но с най-голямо значение е Конвенцията за опазване на подводното културно наследство</w:t>
      </w:r>
      <w:r w:rsidR="00C8621A" w:rsidRPr="00610B1B">
        <w:rPr>
          <w:rFonts w:ascii="Times New Roman" w:hAnsi="Times New Roman" w:cs="Times New Roman"/>
          <w:bCs/>
          <w:sz w:val="24"/>
          <w:szCs w:val="24"/>
          <w:lang w:val="bg-BG"/>
        </w:rPr>
        <w:t>.</w:t>
      </w:r>
      <w:r w:rsidR="001C77B4" w:rsidRPr="00610B1B">
        <w:rPr>
          <w:rFonts w:ascii="Times New Roman" w:hAnsi="Times New Roman" w:cs="Times New Roman"/>
          <w:bCs/>
          <w:sz w:val="24"/>
          <w:szCs w:val="24"/>
          <w:lang w:val="bg-BG"/>
        </w:rPr>
        <w:t xml:space="preserve"> </w:t>
      </w:r>
      <w:r w:rsidR="000472CD" w:rsidRPr="00610B1B">
        <w:rPr>
          <w:rFonts w:ascii="Times New Roman" w:hAnsi="Times New Roman" w:cs="Times New Roman"/>
          <w:bCs/>
          <w:sz w:val="24"/>
          <w:szCs w:val="24"/>
          <w:lang w:val="bg-BG"/>
        </w:rPr>
        <w:t xml:space="preserve">Присъствието на Старинния град Несебър като уникален паметник на ЮНЕСКО, обвързва предвижданията на плана с </w:t>
      </w:r>
      <w:r w:rsidR="00DA1A9B" w:rsidRPr="00610B1B">
        <w:rPr>
          <w:rFonts w:ascii="Times New Roman" w:hAnsi="Times New Roman" w:cs="Times New Roman"/>
          <w:bCs/>
          <w:sz w:val="24"/>
          <w:szCs w:val="24"/>
          <w:lang w:val="bg-BG"/>
        </w:rPr>
        <w:t>Вашингтонската харта (1987)</w:t>
      </w:r>
      <w:r w:rsidR="000472CD" w:rsidRPr="00610B1B">
        <w:rPr>
          <w:rFonts w:ascii="Times New Roman" w:hAnsi="Times New Roman" w:cs="Times New Roman"/>
          <w:bCs/>
          <w:sz w:val="24"/>
          <w:szCs w:val="24"/>
          <w:lang w:val="bg-BG"/>
        </w:rPr>
        <w:t xml:space="preserve"> и постановките</w:t>
      </w:r>
      <w:r w:rsidR="00DE3A13" w:rsidRPr="00610B1B">
        <w:rPr>
          <w:rFonts w:ascii="Times New Roman" w:hAnsi="Times New Roman" w:cs="Times New Roman"/>
          <w:bCs/>
          <w:sz w:val="24"/>
          <w:szCs w:val="24"/>
          <w:lang w:val="bg-BG"/>
        </w:rPr>
        <w:t xml:space="preserve"> ѝ </w:t>
      </w:r>
      <w:r w:rsidR="00DA1A9B" w:rsidRPr="00610B1B">
        <w:rPr>
          <w:rFonts w:ascii="Times New Roman" w:hAnsi="Times New Roman" w:cs="Times New Roman"/>
          <w:bCs/>
          <w:sz w:val="24"/>
          <w:szCs w:val="24"/>
          <w:lang w:val="bg-BG"/>
        </w:rPr>
        <w:t>за историческия град</w:t>
      </w:r>
      <w:r w:rsidR="000472CD" w:rsidRPr="00610B1B">
        <w:rPr>
          <w:rFonts w:ascii="Times New Roman" w:hAnsi="Times New Roman" w:cs="Times New Roman"/>
          <w:bCs/>
          <w:sz w:val="24"/>
          <w:szCs w:val="24"/>
          <w:lang w:val="bg-BG"/>
        </w:rPr>
        <w:t xml:space="preserve">, с </w:t>
      </w:r>
      <w:r w:rsidR="00DA1A9B" w:rsidRPr="00610B1B">
        <w:rPr>
          <w:rFonts w:ascii="Times New Roman" w:hAnsi="Times New Roman" w:cs="Times New Roman"/>
          <w:bCs/>
          <w:sz w:val="24"/>
          <w:szCs w:val="24"/>
          <w:lang w:val="bg-BG"/>
        </w:rPr>
        <w:t xml:space="preserve">Конвенцията за световното наследство (1974) </w:t>
      </w:r>
      <w:r w:rsidR="000472CD" w:rsidRPr="00610B1B">
        <w:rPr>
          <w:rFonts w:ascii="Times New Roman" w:hAnsi="Times New Roman" w:cs="Times New Roman"/>
          <w:bCs/>
          <w:sz w:val="24"/>
          <w:szCs w:val="24"/>
          <w:lang w:val="bg-BG"/>
        </w:rPr>
        <w:t xml:space="preserve">и </w:t>
      </w:r>
      <w:r w:rsidR="00DA1A9B" w:rsidRPr="00610B1B">
        <w:rPr>
          <w:rFonts w:ascii="Times New Roman" w:hAnsi="Times New Roman" w:cs="Times New Roman"/>
          <w:bCs/>
          <w:sz w:val="24"/>
          <w:szCs w:val="24"/>
          <w:lang w:val="bg-BG"/>
        </w:rPr>
        <w:t>дефинира</w:t>
      </w:r>
      <w:r w:rsidR="000472CD" w:rsidRPr="00610B1B">
        <w:rPr>
          <w:rFonts w:ascii="Times New Roman" w:hAnsi="Times New Roman" w:cs="Times New Roman"/>
          <w:bCs/>
          <w:sz w:val="24"/>
          <w:szCs w:val="24"/>
          <w:lang w:val="bg-BG"/>
        </w:rPr>
        <w:t>ните</w:t>
      </w:r>
      <w:r w:rsidR="00DA1A9B" w:rsidRPr="00610B1B">
        <w:rPr>
          <w:rFonts w:ascii="Times New Roman" w:hAnsi="Times New Roman" w:cs="Times New Roman"/>
          <w:bCs/>
          <w:sz w:val="24"/>
          <w:szCs w:val="24"/>
          <w:lang w:val="bg-BG"/>
        </w:rPr>
        <w:t xml:space="preserve"> културни пейзажи, </w:t>
      </w:r>
      <w:r w:rsidR="000472CD" w:rsidRPr="00610B1B">
        <w:rPr>
          <w:rFonts w:ascii="Times New Roman" w:hAnsi="Times New Roman" w:cs="Times New Roman"/>
          <w:bCs/>
          <w:sz w:val="24"/>
          <w:szCs w:val="24"/>
          <w:lang w:val="bg-BG"/>
        </w:rPr>
        <w:t>с Рамковата конвенция (2005) и</w:t>
      </w:r>
      <w:r w:rsidR="00DA1A9B" w:rsidRPr="00610B1B">
        <w:rPr>
          <w:rFonts w:ascii="Times New Roman" w:hAnsi="Times New Roman" w:cs="Times New Roman"/>
          <w:bCs/>
          <w:sz w:val="24"/>
          <w:szCs w:val="24"/>
          <w:lang w:val="bg-BG"/>
        </w:rPr>
        <w:t xml:space="preserve"> интегралната културна среда, </w:t>
      </w:r>
      <w:r w:rsidR="000472CD" w:rsidRPr="00610B1B">
        <w:rPr>
          <w:rFonts w:ascii="Times New Roman" w:hAnsi="Times New Roman" w:cs="Times New Roman"/>
          <w:bCs/>
          <w:sz w:val="24"/>
          <w:szCs w:val="24"/>
          <w:lang w:val="bg-BG"/>
        </w:rPr>
        <w:t>с Хартата на културните маршрути на ИКОМОС (2005) или пътищата на „културния диалог“. Традициите, обичаите</w:t>
      </w:r>
      <w:r w:rsidR="00DA1A9B" w:rsidRPr="00610B1B">
        <w:rPr>
          <w:rFonts w:ascii="Times New Roman" w:hAnsi="Times New Roman" w:cs="Times New Roman"/>
          <w:bCs/>
          <w:sz w:val="24"/>
          <w:szCs w:val="24"/>
          <w:lang w:val="bg-BG"/>
        </w:rPr>
        <w:t xml:space="preserve">, обредите и ритуалите, културните празници и събития, </w:t>
      </w:r>
      <w:r w:rsidR="000472CD" w:rsidRPr="00610B1B">
        <w:rPr>
          <w:rFonts w:ascii="Times New Roman" w:hAnsi="Times New Roman" w:cs="Times New Roman"/>
          <w:bCs/>
          <w:sz w:val="24"/>
          <w:szCs w:val="24"/>
          <w:lang w:val="bg-BG"/>
        </w:rPr>
        <w:t>и най-вече свързани</w:t>
      </w:r>
      <w:r w:rsidR="00D305F0" w:rsidRPr="00610B1B">
        <w:rPr>
          <w:rFonts w:ascii="Times New Roman" w:hAnsi="Times New Roman" w:cs="Times New Roman"/>
          <w:bCs/>
          <w:sz w:val="24"/>
          <w:szCs w:val="24"/>
          <w:lang w:val="bg-BG"/>
        </w:rPr>
        <w:t>те</w:t>
      </w:r>
      <w:r w:rsidR="000472CD" w:rsidRPr="00610B1B">
        <w:rPr>
          <w:rFonts w:ascii="Times New Roman" w:hAnsi="Times New Roman" w:cs="Times New Roman"/>
          <w:bCs/>
          <w:sz w:val="24"/>
          <w:szCs w:val="24"/>
          <w:lang w:val="bg-BG"/>
        </w:rPr>
        <w:t xml:space="preserve"> с морето, </w:t>
      </w:r>
      <w:r w:rsidR="00DA1A9B" w:rsidRPr="00610B1B">
        <w:rPr>
          <w:rFonts w:ascii="Times New Roman" w:hAnsi="Times New Roman" w:cs="Times New Roman"/>
          <w:bCs/>
          <w:sz w:val="24"/>
          <w:szCs w:val="24"/>
          <w:lang w:val="bg-BG"/>
        </w:rPr>
        <w:t>се опазват съгласно Конвенцията за опазване на нематериалното културно наследство на ЮНЕСКО (2003) поради</w:t>
      </w:r>
      <w:r w:rsidR="00D66FE0" w:rsidRPr="00610B1B">
        <w:rPr>
          <w:rFonts w:ascii="Times New Roman" w:hAnsi="Times New Roman" w:cs="Times New Roman"/>
          <w:bCs/>
          <w:sz w:val="24"/>
          <w:szCs w:val="24"/>
          <w:lang w:val="bg-BG"/>
        </w:rPr>
        <w:t xml:space="preserve"> </w:t>
      </w:r>
      <w:r w:rsidR="00DA1A9B" w:rsidRPr="00610B1B">
        <w:rPr>
          <w:rFonts w:ascii="Times New Roman" w:hAnsi="Times New Roman" w:cs="Times New Roman"/>
          <w:bCs/>
          <w:sz w:val="24"/>
          <w:szCs w:val="24"/>
          <w:lang w:val="bg-BG"/>
        </w:rPr>
        <w:t>роля</w:t>
      </w:r>
      <w:r w:rsidR="000472CD" w:rsidRPr="00610B1B">
        <w:rPr>
          <w:rFonts w:ascii="Times New Roman" w:hAnsi="Times New Roman" w:cs="Times New Roman"/>
          <w:bCs/>
          <w:sz w:val="24"/>
          <w:szCs w:val="24"/>
          <w:lang w:val="bg-BG"/>
        </w:rPr>
        <w:t>та им</w:t>
      </w:r>
      <w:r w:rsidR="00DA1A9B" w:rsidRPr="00610B1B">
        <w:rPr>
          <w:rFonts w:ascii="Times New Roman" w:hAnsi="Times New Roman" w:cs="Times New Roman"/>
          <w:bCs/>
          <w:sz w:val="24"/>
          <w:szCs w:val="24"/>
          <w:lang w:val="bg-BG"/>
        </w:rPr>
        <w:t xml:space="preserve"> за развитие на чувството за принадлежност, самобитност и приемственост.</w:t>
      </w:r>
    </w:p>
    <w:p w14:paraId="6834DFF6" w14:textId="67C52339" w:rsidR="001C77B4" w:rsidRPr="00610B1B" w:rsidRDefault="008C0BBF"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В </w:t>
      </w:r>
      <w:r w:rsidR="000472CD" w:rsidRPr="00610B1B">
        <w:rPr>
          <w:rFonts w:ascii="Times New Roman" w:hAnsi="Times New Roman" w:cs="Times New Roman"/>
          <w:bCs/>
          <w:sz w:val="24"/>
          <w:szCs w:val="24"/>
          <w:lang w:val="bg-BG"/>
        </w:rPr>
        <w:t>публикуван</w:t>
      </w:r>
      <w:r w:rsidRPr="00610B1B">
        <w:rPr>
          <w:rFonts w:ascii="Times New Roman" w:hAnsi="Times New Roman" w:cs="Times New Roman"/>
          <w:bCs/>
          <w:sz w:val="24"/>
          <w:szCs w:val="24"/>
          <w:lang w:val="bg-BG"/>
        </w:rPr>
        <w:t>ия през 2019 г.</w:t>
      </w:r>
      <w:r w:rsidR="000472CD" w:rsidRPr="00610B1B">
        <w:rPr>
          <w:rFonts w:ascii="Times New Roman" w:hAnsi="Times New Roman" w:cs="Times New Roman"/>
          <w:bCs/>
          <w:sz w:val="24"/>
          <w:szCs w:val="24"/>
          <w:lang w:val="bg-BG"/>
        </w:rPr>
        <w:t xml:space="preserve"> проект на </w:t>
      </w:r>
      <w:r w:rsidR="000472CD" w:rsidRPr="00610B1B">
        <w:rPr>
          <w:rFonts w:ascii="Times New Roman" w:hAnsi="Times New Roman" w:cs="Times New Roman"/>
          <w:bCs/>
          <w:i/>
          <w:iCs/>
          <w:sz w:val="24"/>
          <w:szCs w:val="24"/>
          <w:lang w:val="bg-BG"/>
        </w:rPr>
        <w:t xml:space="preserve">Стратегия за </w:t>
      </w:r>
      <w:r w:rsidR="000C5716" w:rsidRPr="00610B1B">
        <w:rPr>
          <w:rFonts w:ascii="Times New Roman" w:hAnsi="Times New Roman" w:cs="Times New Roman"/>
          <w:bCs/>
          <w:i/>
          <w:iCs/>
          <w:sz w:val="24"/>
          <w:szCs w:val="24"/>
          <w:lang w:val="bg-BG"/>
        </w:rPr>
        <w:t>развитието на българската култура (2019-2029 г</w:t>
      </w:r>
      <w:r w:rsidR="000C5716" w:rsidRPr="00610B1B">
        <w:rPr>
          <w:rFonts w:ascii="Times New Roman" w:hAnsi="Times New Roman" w:cs="Times New Roman"/>
          <w:bCs/>
          <w:sz w:val="24"/>
          <w:szCs w:val="24"/>
          <w:lang w:val="bg-BG"/>
        </w:rPr>
        <w:t>.)</w:t>
      </w:r>
      <w:r w:rsidR="000C5716" w:rsidRPr="00610B1B">
        <w:rPr>
          <w:rStyle w:val="FootnoteReference"/>
          <w:rFonts w:ascii="Times New Roman" w:hAnsi="Times New Roman" w:cs="Times New Roman"/>
          <w:bCs/>
          <w:sz w:val="24"/>
          <w:szCs w:val="24"/>
          <w:lang w:val="bg-BG"/>
        </w:rPr>
        <w:footnoteReference w:id="64"/>
      </w:r>
      <w:r w:rsidRPr="00610B1B">
        <w:rPr>
          <w:rFonts w:ascii="Times New Roman" w:hAnsi="Times New Roman" w:cs="Times New Roman"/>
          <w:bCs/>
          <w:sz w:val="24"/>
          <w:szCs w:val="24"/>
          <w:lang w:val="bg-BG"/>
        </w:rPr>
        <w:t xml:space="preserve"> </w:t>
      </w:r>
      <w:r w:rsidR="00371619" w:rsidRPr="00610B1B">
        <w:rPr>
          <w:rFonts w:ascii="Times New Roman" w:hAnsi="Times New Roman" w:cs="Times New Roman"/>
          <w:bCs/>
          <w:sz w:val="24"/>
          <w:szCs w:val="24"/>
          <w:lang w:val="bg-BG"/>
        </w:rPr>
        <w:t>са определени</w:t>
      </w:r>
      <w:r w:rsidR="001C77B4" w:rsidRPr="00610B1B">
        <w:rPr>
          <w:rFonts w:ascii="Times New Roman" w:hAnsi="Times New Roman" w:cs="Times New Roman"/>
          <w:bCs/>
          <w:sz w:val="24"/>
          <w:szCs w:val="24"/>
          <w:lang w:val="bg-BG"/>
        </w:rPr>
        <w:t xml:space="preserve"> </w:t>
      </w:r>
      <w:r w:rsidR="000C5716" w:rsidRPr="00610B1B">
        <w:rPr>
          <w:rFonts w:ascii="Times New Roman" w:hAnsi="Times New Roman" w:cs="Times New Roman"/>
          <w:bCs/>
          <w:sz w:val="24"/>
          <w:szCs w:val="24"/>
          <w:lang w:val="bg-BG"/>
        </w:rPr>
        <w:t>приоритети</w:t>
      </w:r>
      <w:r w:rsidR="00B21B7A" w:rsidRPr="00610B1B">
        <w:rPr>
          <w:rFonts w:ascii="Times New Roman" w:hAnsi="Times New Roman" w:cs="Times New Roman"/>
          <w:bCs/>
          <w:sz w:val="24"/>
          <w:szCs w:val="24"/>
          <w:lang w:val="bg-BG"/>
        </w:rPr>
        <w:t>те</w:t>
      </w:r>
      <w:r w:rsidR="000C5716" w:rsidRPr="00610B1B">
        <w:rPr>
          <w:rFonts w:ascii="Times New Roman" w:hAnsi="Times New Roman" w:cs="Times New Roman"/>
          <w:bCs/>
          <w:sz w:val="24"/>
          <w:szCs w:val="24"/>
          <w:lang w:val="bg-BG"/>
        </w:rPr>
        <w:t xml:space="preserve"> на културната политика на България</w:t>
      </w:r>
      <w:r w:rsidR="001C77B4" w:rsidRPr="00610B1B">
        <w:rPr>
          <w:rFonts w:ascii="Times New Roman" w:hAnsi="Times New Roman" w:cs="Times New Roman"/>
          <w:bCs/>
          <w:sz w:val="24"/>
          <w:szCs w:val="24"/>
          <w:lang w:val="bg-BG"/>
        </w:rPr>
        <w:t xml:space="preserve">, </w:t>
      </w:r>
      <w:r w:rsidR="00371619" w:rsidRPr="00610B1B">
        <w:rPr>
          <w:rFonts w:ascii="Times New Roman" w:hAnsi="Times New Roman" w:cs="Times New Roman"/>
          <w:bCs/>
          <w:sz w:val="24"/>
          <w:szCs w:val="24"/>
          <w:lang w:val="bg-BG"/>
        </w:rPr>
        <w:t xml:space="preserve">които </w:t>
      </w:r>
      <w:r w:rsidR="000C5716" w:rsidRPr="00610B1B">
        <w:rPr>
          <w:rFonts w:ascii="Times New Roman" w:hAnsi="Times New Roman" w:cs="Times New Roman"/>
          <w:bCs/>
          <w:sz w:val="24"/>
          <w:szCs w:val="24"/>
          <w:lang w:val="bg-BG"/>
        </w:rPr>
        <w:t>съхранява</w:t>
      </w:r>
      <w:r w:rsidR="00B21B7A" w:rsidRPr="00610B1B">
        <w:rPr>
          <w:rFonts w:ascii="Times New Roman" w:hAnsi="Times New Roman" w:cs="Times New Roman"/>
          <w:bCs/>
          <w:sz w:val="24"/>
          <w:szCs w:val="24"/>
          <w:lang w:val="bg-BG"/>
        </w:rPr>
        <w:t>т</w:t>
      </w:r>
      <w:r w:rsidR="000C5716" w:rsidRPr="00610B1B">
        <w:rPr>
          <w:rFonts w:ascii="Times New Roman" w:hAnsi="Times New Roman" w:cs="Times New Roman"/>
          <w:bCs/>
          <w:sz w:val="24"/>
          <w:szCs w:val="24"/>
          <w:lang w:val="bg-BG"/>
        </w:rPr>
        <w:t xml:space="preserve"> културната памет</w:t>
      </w:r>
      <w:r w:rsidR="001C77B4" w:rsidRPr="00610B1B">
        <w:rPr>
          <w:rFonts w:ascii="Times New Roman" w:hAnsi="Times New Roman" w:cs="Times New Roman"/>
          <w:bCs/>
          <w:sz w:val="24"/>
          <w:szCs w:val="24"/>
          <w:lang w:val="bg-BG"/>
        </w:rPr>
        <w:t>.</w:t>
      </w:r>
      <w:r w:rsidR="00111F72"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В</w:t>
      </w:r>
      <w:r w:rsidR="001C77B4" w:rsidRPr="00610B1B">
        <w:rPr>
          <w:rFonts w:ascii="Times New Roman" w:hAnsi="Times New Roman" w:cs="Times New Roman"/>
          <w:bCs/>
          <w:sz w:val="24"/>
          <w:szCs w:val="24"/>
          <w:lang w:val="bg-BG"/>
        </w:rPr>
        <w:t xml:space="preserve"> областта на културното наследство </w:t>
      </w:r>
      <w:r w:rsidRPr="00610B1B">
        <w:rPr>
          <w:rFonts w:ascii="Times New Roman" w:hAnsi="Times New Roman" w:cs="Times New Roman"/>
          <w:bCs/>
          <w:sz w:val="24"/>
          <w:szCs w:val="24"/>
          <w:lang w:val="bg-BG"/>
        </w:rPr>
        <w:t>фокусът е в</w:t>
      </w:r>
      <w:r w:rsidR="001C77B4" w:rsidRPr="00610B1B">
        <w:rPr>
          <w:rFonts w:ascii="Times New Roman" w:hAnsi="Times New Roman" w:cs="Times New Roman"/>
          <w:bCs/>
          <w:sz w:val="24"/>
          <w:szCs w:val="24"/>
          <w:lang w:val="bg-BG"/>
        </w:rPr>
        <w:t xml:space="preserve"> неговото опазване и социализация и разкриването му като фактор за устойчиво развитие, идентичност и културен диалог. За постигането на стратегически</w:t>
      </w:r>
      <w:r w:rsidR="00111F72" w:rsidRPr="00610B1B">
        <w:rPr>
          <w:rFonts w:ascii="Times New Roman" w:hAnsi="Times New Roman" w:cs="Times New Roman"/>
          <w:bCs/>
          <w:sz w:val="24"/>
          <w:szCs w:val="24"/>
          <w:lang w:val="bg-BG"/>
        </w:rPr>
        <w:t>те</w:t>
      </w:r>
      <w:r w:rsidR="001C77B4" w:rsidRPr="00610B1B">
        <w:rPr>
          <w:rFonts w:ascii="Times New Roman" w:hAnsi="Times New Roman" w:cs="Times New Roman"/>
          <w:bCs/>
          <w:sz w:val="24"/>
          <w:szCs w:val="24"/>
          <w:lang w:val="bg-BG"/>
        </w:rPr>
        <w:t xml:space="preserve"> цели се предвижда прилагане на интегриран подход</w:t>
      </w:r>
      <w:r w:rsidR="00570BB7" w:rsidRPr="00610B1B">
        <w:rPr>
          <w:rFonts w:ascii="Times New Roman" w:hAnsi="Times New Roman" w:cs="Times New Roman"/>
          <w:bCs/>
          <w:sz w:val="24"/>
          <w:szCs w:val="24"/>
          <w:lang w:val="bg-BG"/>
        </w:rPr>
        <w:t xml:space="preserve"> </w:t>
      </w:r>
      <w:r w:rsidR="001C77B4" w:rsidRPr="00610B1B">
        <w:rPr>
          <w:rFonts w:ascii="Times New Roman" w:hAnsi="Times New Roman" w:cs="Times New Roman"/>
          <w:bCs/>
          <w:sz w:val="24"/>
          <w:szCs w:val="24"/>
          <w:lang w:val="bg-BG"/>
        </w:rPr>
        <w:t>за</w:t>
      </w:r>
      <w:r w:rsidR="00570BB7" w:rsidRPr="00610B1B">
        <w:rPr>
          <w:rFonts w:ascii="Times New Roman" w:hAnsi="Times New Roman" w:cs="Times New Roman"/>
          <w:bCs/>
          <w:sz w:val="24"/>
          <w:szCs w:val="24"/>
          <w:lang w:val="bg-BG"/>
        </w:rPr>
        <w:t xml:space="preserve"> </w:t>
      </w:r>
      <w:r w:rsidR="001C77B4" w:rsidRPr="00610B1B">
        <w:rPr>
          <w:rFonts w:ascii="Times New Roman" w:hAnsi="Times New Roman" w:cs="Times New Roman"/>
          <w:bCs/>
          <w:sz w:val="24"/>
          <w:szCs w:val="24"/>
          <w:lang w:val="bg-BG"/>
        </w:rPr>
        <w:t>по-добра комуникация и координация между всички участници</w:t>
      </w:r>
      <w:r w:rsidR="00570BB7" w:rsidRPr="00610B1B">
        <w:rPr>
          <w:rFonts w:ascii="Times New Roman" w:hAnsi="Times New Roman" w:cs="Times New Roman"/>
          <w:bCs/>
          <w:sz w:val="24"/>
          <w:szCs w:val="24"/>
          <w:lang w:val="bg-BG"/>
        </w:rPr>
        <w:t xml:space="preserve"> </w:t>
      </w:r>
      <w:r w:rsidR="001C77B4" w:rsidRPr="00610B1B">
        <w:rPr>
          <w:rFonts w:ascii="Times New Roman" w:hAnsi="Times New Roman" w:cs="Times New Roman"/>
          <w:bCs/>
          <w:sz w:val="24"/>
          <w:szCs w:val="24"/>
          <w:lang w:val="bg-BG"/>
        </w:rPr>
        <w:t xml:space="preserve">в процесите по опазване. </w:t>
      </w:r>
      <w:r w:rsidR="00570BB7" w:rsidRPr="00610B1B">
        <w:rPr>
          <w:rFonts w:ascii="Times New Roman" w:hAnsi="Times New Roman" w:cs="Times New Roman"/>
          <w:bCs/>
          <w:sz w:val="24"/>
          <w:szCs w:val="24"/>
          <w:lang w:val="bg-BG"/>
        </w:rPr>
        <w:t xml:space="preserve">И в този документ е търсена по-добра интеграция с различни секторни политики в областта на околната среда, териториалното устройство и туризма, която следва да бъде приложена и в морското пространствено планиране. </w:t>
      </w:r>
    </w:p>
    <w:p w14:paraId="51BF958D" w14:textId="7F6A939E" w:rsidR="001C77B4" w:rsidRPr="00610B1B" w:rsidRDefault="00444F8C"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Водещите национални документи, които определят политиките в областта на околната среда са подчинени на глобалните приоритети и документи и тези на Европейския съюз</w:t>
      </w:r>
      <w:r w:rsidR="008C0BBF" w:rsidRPr="00610B1B">
        <w:rPr>
          <w:rFonts w:ascii="Times New Roman" w:hAnsi="Times New Roman" w:cs="Times New Roman"/>
          <w:bCs/>
          <w:sz w:val="24"/>
          <w:szCs w:val="24"/>
          <w:lang w:val="bg-BG"/>
        </w:rPr>
        <w:t xml:space="preserve">, свързани с </w:t>
      </w:r>
      <w:r w:rsidR="00CF208F" w:rsidRPr="00610B1B">
        <w:rPr>
          <w:rFonts w:ascii="Times New Roman" w:hAnsi="Times New Roman" w:cs="Times New Roman"/>
          <w:bCs/>
          <w:sz w:val="24"/>
          <w:szCs w:val="24"/>
          <w:lang w:val="bg-BG"/>
        </w:rPr>
        <w:t>опазване</w:t>
      </w:r>
      <w:r w:rsidR="008C0BBF" w:rsidRPr="00610B1B">
        <w:rPr>
          <w:rFonts w:ascii="Times New Roman" w:hAnsi="Times New Roman" w:cs="Times New Roman"/>
          <w:bCs/>
          <w:sz w:val="24"/>
          <w:szCs w:val="24"/>
          <w:lang w:val="bg-BG"/>
        </w:rPr>
        <w:t>то</w:t>
      </w:r>
      <w:r w:rsidR="00CF208F" w:rsidRPr="00610B1B">
        <w:rPr>
          <w:rFonts w:ascii="Times New Roman" w:hAnsi="Times New Roman" w:cs="Times New Roman"/>
          <w:bCs/>
          <w:sz w:val="24"/>
          <w:szCs w:val="24"/>
          <w:lang w:val="bg-BG"/>
        </w:rPr>
        <w:t xml:space="preserve"> на биоразнообразието, адаптацията към изменението на климата, интегрираното управление на водите. </w:t>
      </w:r>
      <w:r w:rsidR="00391E87" w:rsidRPr="00610B1B">
        <w:rPr>
          <w:rFonts w:ascii="Times New Roman" w:hAnsi="Times New Roman" w:cs="Times New Roman"/>
          <w:bCs/>
          <w:sz w:val="24"/>
          <w:szCs w:val="24"/>
          <w:lang w:val="bg-BG"/>
        </w:rPr>
        <w:t xml:space="preserve">В тази група попадат документи, свързани пряко </w:t>
      </w:r>
      <w:r w:rsidR="00391E87" w:rsidRPr="00610B1B">
        <w:rPr>
          <w:rFonts w:ascii="Times New Roman" w:hAnsi="Times New Roman" w:cs="Times New Roman"/>
          <w:bCs/>
          <w:sz w:val="24"/>
          <w:szCs w:val="24"/>
          <w:lang w:val="bg-BG"/>
        </w:rPr>
        <w:lastRenderedPageBreak/>
        <w:t xml:space="preserve">или косвено с качеството на морските води, а именно: </w:t>
      </w:r>
      <w:r w:rsidR="00391E87" w:rsidRPr="00610B1B">
        <w:rPr>
          <w:rFonts w:ascii="Times New Roman" w:hAnsi="Times New Roman" w:cs="Times New Roman"/>
          <w:bCs/>
          <w:i/>
          <w:iCs/>
          <w:sz w:val="24"/>
          <w:szCs w:val="24"/>
          <w:lang w:val="bg-BG"/>
        </w:rPr>
        <w:t>Националната стратегия за управление и развитие на водния сектор</w:t>
      </w:r>
      <w:r w:rsidR="00391E87" w:rsidRPr="00610B1B">
        <w:rPr>
          <w:rFonts w:ascii="Times New Roman" w:hAnsi="Times New Roman" w:cs="Times New Roman"/>
          <w:bCs/>
          <w:sz w:val="24"/>
          <w:szCs w:val="24"/>
          <w:lang w:val="bg-BG"/>
        </w:rPr>
        <w:t xml:space="preserve"> (НСУРВС) в Република България, разработена във връзка с изискванията на чл. 151 от Закона за водите; </w:t>
      </w:r>
      <w:r w:rsidR="00391E87" w:rsidRPr="00610B1B">
        <w:rPr>
          <w:rFonts w:ascii="Times New Roman" w:hAnsi="Times New Roman" w:cs="Times New Roman"/>
          <w:bCs/>
          <w:i/>
          <w:iCs/>
          <w:sz w:val="24"/>
          <w:szCs w:val="24"/>
          <w:lang w:val="bg-BG"/>
        </w:rPr>
        <w:t>Стратегията за развитие и управление на водоснабдяването и канализацията в Република България за периода 2014-2023 г.</w:t>
      </w:r>
      <w:r w:rsidR="00391E87" w:rsidRPr="00610B1B">
        <w:rPr>
          <w:rFonts w:ascii="Times New Roman" w:hAnsi="Times New Roman" w:cs="Times New Roman"/>
          <w:bCs/>
          <w:sz w:val="24"/>
          <w:szCs w:val="24"/>
          <w:lang w:val="bg-BG"/>
        </w:rPr>
        <w:t xml:space="preserve">, одобрена с Решение № 269 на Министерски съвет от 07 май 2014 г.; </w:t>
      </w:r>
      <w:r w:rsidR="00E55D2B" w:rsidRPr="00610B1B">
        <w:rPr>
          <w:rFonts w:ascii="Times New Roman" w:hAnsi="Times New Roman" w:cs="Times New Roman"/>
          <w:bCs/>
          <w:i/>
          <w:iCs/>
          <w:sz w:val="24"/>
          <w:szCs w:val="24"/>
          <w:lang w:val="bg-BG"/>
        </w:rPr>
        <w:t>Националната стратегия за адаптация към изменението на климата и План за действие</w:t>
      </w:r>
      <w:r w:rsidR="00E55D2B" w:rsidRPr="00610B1B">
        <w:rPr>
          <w:rFonts w:ascii="Times New Roman" w:hAnsi="Times New Roman" w:cs="Times New Roman"/>
          <w:bCs/>
          <w:sz w:val="24"/>
          <w:szCs w:val="24"/>
          <w:lang w:val="bg-BG"/>
        </w:rPr>
        <w:t>, приета с Решение на Министерски съвет № 621 от 25.10.2019 г.</w:t>
      </w:r>
      <w:r w:rsidR="00E55D2B" w:rsidRPr="00610B1B">
        <w:rPr>
          <w:rStyle w:val="FootnoteReference"/>
          <w:rFonts w:ascii="Times New Roman" w:hAnsi="Times New Roman" w:cs="Times New Roman"/>
          <w:bCs/>
          <w:sz w:val="24"/>
          <w:szCs w:val="24"/>
          <w:lang w:val="bg-BG"/>
        </w:rPr>
        <w:footnoteReference w:id="65"/>
      </w:r>
      <w:r w:rsidR="00D305F0" w:rsidRPr="00610B1B">
        <w:rPr>
          <w:rFonts w:ascii="Times New Roman" w:hAnsi="Times New Roman" w:cs="Times New Roman"/>
          <w:bCs/>
          <w:sz w:val="24"/>
          <w:szCs w:val="24"/>
          <w:lang w:val="bg-BG"/>
        </w:rPr>
        <w:t xml:space="preserve"> В последния документ рибарството е сред силно уязвимите сектори, а морските пространства и развиващите се там дейности </w:t>
      </w:r>
      <w:r w:rsidR="00E35EF8" w:rsidRPr="00610B1B">
        <w:rPr>
          <w:rFonts w:ascii="Times New Roman" w:hAnsi="Times New Roman" w:cs="Times New Roman"/>
          <w:bCs/>
          <w:sz w:val="24"/>
          <w:szCs w:val="24"/>
          <w:lang w:val="bg-BG"/>
        </w:rPr>
        <w:t>се разглеждат</w:t>
      </w:r>
      <w:r w:rsidR="00D305F0" w:rsidRPr="00610B1B">
        <w:rPr>
          <w:rFonts w:ascii="Times New Roman" w:hAnsi="Times New Roman" w:cs="Times New Roman"/>
          <w:bCs/>
          <w:sz w:val="24"/>
          <w:szCs w:val="24"/>
          <w:lang w:val="bg-BG"/>
        </w:rPr>
        <w:t xml:space="preserve"> към оценката на транспорта, на </w:t>
      </w:r>
      <w:r w:rsidR="00371619" w:rsidRPr="00610B1B">
        <w:rPr>
          <w:rFonts w:ascii="Times New Roman" w:hAnsi="Times New Roman" w:cs="Times New Roman"/>
          <w:bCs/>
          <w:sz w:val="24"/>
          <w:szCs w:val="24"/>
          <w:lang w:val="bg-BG"/>
        </w:rPr>
        <w:t xml:space="preserve">летния </w:t>
      </w:r>
      <w:r w:rsidR="00D305F0" w:rsidRPr="00610B1B">
        <w:rPr>
          <w:rFonts w:ascii="Times New Roman" w:hAnsi="Times New Roman" w:cs="Times New Roman"/>
          <w:bCs/>
          <w:sz w:val="24"/>
          <w:szCs w:val="24"/>
          <w:lang w:val="bg-BG"/>
        </w:rPr>
        <w:t>туриз</w:t>
      </w:r>
      <w:r w:rsidR="00371619" w:rsidRPr="00610B1B">
        <w:rPr>
          <w:rFonts w:ascii="Times New Roman" w:hAnsi="Times New Roman" w:cs="Times New Roman"/>
          <w:bCs/>
          <w:sz w:val="24"/>
          <w:szCs w:val="24"/>
          <w:lang w:val="bg-BG"/>
        </w:rPr>
        <w:t>ъ</w:t>
      </w:r>
      <w:r w:rsidR="00D305F0" w:rsidRPr="00610B1B">
        <w:rPr>
          <w:rFonts w:ascii="Times New Roman" w:hAnsi="Times New Roman" w:cs="Times New Roman"/>
          <w:bCs/>
          <w:sz w:val="24"/>
          <w:szCs w:val="24"/>
          <w:lang w:val="bg-BG"/>
        </w:rPr>
        <w:t>м</w:t>
      </w:r>
      <w:r w:rsidR="00371619" w:rsidRPr="00610B1B">
        <w:rPr>
          <w:rFonts w:ascii="Times New Roman" w:hAnsi="Times New Roman" w:cs="Times New Roman"/>
          <w:bCs/>
          <w:sz w:val="24"/>
          <w:szCs w:val="24"/>
          <w:lang w:val="bg-BG"/>
        </w:rPr>
        <w:t>,</w:t>
      </w:r>
      <w:r w:rsidR="00D66FE0" w:rsidRPr="00610B1B">
        <w:rPr>
          <w:rFonts w:ascii="Times New Roman" w:hAnsi="Times New Roman" w:cs="Times New Roman"/>
          <w:bCs/>
          <w:sz w:val="24"/>
          <w:szCs w:val="24"/>
          <w:lang w:val="bg-BG"/>
        </w:rPr>
        <w:t xml:space="preserve"> </w:t>
      </w:r>
      <w:r w:rsidR="00D305F0" w:rsidRPr="00610B1B">
        <w:rPr>
          <w:rFonts w:ascii="Times New Roman" w:hAnsi="Times New Roman" w:cs="Times New Roman"/>
          <w:bCs/>
          <w:sz w:val="24"/>
          <w:szCs w:val="24"/>
          <w:lang w:val="bg-BG"/>
        </w:rPr>
        <w:t>на градската среда и въздействия</w:t>
      </w:r>
      <w:r w:rsidR="00E35EF8" w:rsidRPr="00610B1B">
        <w:rPr>
          <w:rFonts w:ascii="Times New Roman" w:hAnsi="Times New Roman" w:cs="Times New Roman"/>
          <w:bCs/>
          <w:sz w:val="24"/>
          <w:szCs w:val="24"/>
          <w:lang w:val="bg-BG"/>
        </w:rPr>
        <w:t>та</w:t>
      </w:r>
      <w:r w:rsidR="00D305F0" w:rsidRPr="00610B1B">
        <w:rPr>
          <w:rFonts w:ascii="Times New Roman" w:hAnsi="Times New Roman" w:cs="Times New Roman"/>
          <w:bCs/>
          <w:sz w:val="24"/>
          <w:szCs w:val="24"/>
          <w:lang w:val="bg-BG"/>
        </w:rPr>
        <w:t xml:space="preserve"> </w:t>
      </w:r>
      <w:r w:rsidR="00371619" w:rsidRPr="00610B1B">
        <w:rPr>
          <w:rFonts w:ascii="Times New Roman" w:hAnsi="Times New Roman" w:cs="Times New Roman"/>
          <w:bCs/>
          <w:sz w:val="24"/>
          <w:szCs w:val="24"/>
          <w:lang w:val="bg-BG"/>
        </w:rPr>
        <w:t xml:space="preserve">на климатичните промени </w:t>
      </w:r>
      <w:r w:rsidR="00D305F0" w:rsidRPr="00610B1B">
        <w:rPr>
          <w:rFonts w:ascii="Times New Roman" w:hAnsi="Times New Roman" w:cs="Times New Roman"/>
          <w:bCs/>
          <w:sz w:val="24"/>
          <w:szCs w:val="24"/>
          <w:lang w:val="bg-BG"/>
        </w:rPr>
        <w:t>върху крайбрежните градове.</w:t>
      </w:r>
      <w:r w:rsidR="00A46DD3" w:rsidRPr="00610B1B">
        <w:rPr>
          <w:rFonts w:ascii="Times New Roman" w:hAnsi="Times New Roman" w:cs="Times New Roman"/>
          <w:bCs/>
          <w:sz w:val="24"/>
          <w:szCs w:val="24"/>
          <w:lang w:val="bg-BG"/>
        </w:rPr>
        <w:t xml:space="preserve"> </w:t>
      </w:r>
    </w:p>
    <w:p w14:paraId="6A9F9C1F" w14:textId="4CE965D5" w:rsidR="00DE3432" w:rsidRPr="00610B1B" w:rsidRDefault="00EA19F6"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В Морския пространствен план са проследени очакваните въздействия в резултат от изменението на климата и зачестилите природни бедствия и негативни хидрогеоложки и геоложки процеси – застрашените зони от наводнения и/или от повишаване на морското равнище и рисковите зони с активни свлачищни процеси. За преодоляване на първите опасности и намиране на подходящи решения е използвана информацията от актуализирания </w:t>
      </w:r>
      <w:r w:rsidRPr="00610B1B">
        <w:rPr>
          <w:rFonts w:ascii="Times New Roman" w:hAnsi="Times New Roman" w:cs="Times New Roman"/>
          <w:bCs/>
          <w:i/>
          <w:iCs/>
          <w:sz w:val="24"/>
          <w:szCs w:val="24"/>
          <w:lang w:val="bg-BG"/>
        </w:rPr>
        <w:t>План за управление на риска от наводнения</w:t>
      </w:r>
      <w:r w:rsidRPr="00610B1B">
        <w:rPr>
          <w:rFonts w:ascii="Times New Roman" w:hAnsi="Times New Roman" w:cs="Times New Roman"/>
          <w:bCs/>
          <w:sz w:val="24"/>
          <w:szCs w:val="24"/>
          <w:lang w:val="bg-BG"/>
        </w:rPr>
        <w:t xml:space="preserve"> в Черноморския район за басейново управление на водите (2016–2021 г.). За намаляване на рисковете от свлачища, срутища, ерозия и абразия с</w:t>
      </w:r>
      <w:r w:rsidR="0071406A" w:rsidRPr="00610B1B">
        <w:rPr>
          <w:rFonts w:ascii="Times New Roman" w:hAnsi="Times New Roman" w:cs="Times New Roman"/>
          <w:bCs/>
          <w:sz w:val="24"/>
          <w:szCs w:val="24"/>
          <w:lang w:val="bg-BG"/>
        </w:rPr>
        <w:t xml:space="preserve">е прилага </w:t>
      </w:r>
      <w:r w:rsidR="0071406A" w:rsidRPr="00610B1B">
        <w:rPr>
          <w:rFonts w:ascii="Times New Roman" w:hAnsi="Times New Roman" w:cs="Times New Roman"/>
          <w:bCs/>
          <w:i/>
          <w:iCs/>
          <w:sz w:val="24"/>
          <w:szCs w:val="24"/>
          <w:lang w:val="bg-BG"/>
        </w:rPr>
        <w:t>Национална програма</w:t>
      </w:r>
      <w:r w:rsidR="00DE3432" w:rsidRPr="00610B1B">
        <w:rPr>
          <w:rFonts w:ascii="Times New Roman" w:hAnsi="Times New Roman" w:cs="Times New Roman"/>
          <w:bCs/>
          <w:i/>
          <w:iCs/>
          <w:sz w:val="24"/>
          <w:szCs w:val="24"/>
          <w:lang w:val="bg-BG"/>
        </w:rPr>
        <w:t>та</w:t>
      </w:r>
      <w:r w:rsidR="0071406A" w:rsidRPr="00610B1B">
        <w:rPr>
          <w:rFonts w:ascii="Times New Roman" w:hAnsi="Times New Roman" w:cs="Times New Roman"/>
          <w:bCs/>
          <w:i/>
          <w:iCs/>
          <w:sz w:val="24"/>
          <w:szCs w:val="24"/>
          <w:lang w:val="bg-BG"/>
        </w:rPr>
        <w:t xml:space="preserve"> за превенция и ограничаване на свлачищата на територията на Република България, ерозията и абразията по Дунавското и Черноморското крайбрежие 2015-2020 г. и допълнение към нея с нововъзникналите до 15 април 2015 г. свлачища</w:t>
      </w:r>
      <w:r w:rsidR="00DE3432" w:rsidRPr="00610B1B">
        <w:rPr>
          <w:rFonts w:ascii="Times New Roman" w:hAnsi="Times New Roman" w:cs="Times New Roman"/>
          <w:bCs/>
          <w:sz w:val="24"/>
          <w:szCs w:val="24"/>
          <w:lang w:val="bg-BG"/>
        </w:rPr>
        <w:t>,</w:t>
      </w:r>
      <w:r w:rsidR="0071406A" w:rsidRPr="00610B1B">
        <w:rPr>
          <w:rStyle w:val="FootnoteReference"/>
          <w:rFonts w:ascii="Times New Roman" w:hAnsi="Times New Roman" w:cs="Times New Roman"/>
          <w:bCs/>
          <w:sz w:val="24"/>
          <w:szCs w:val="24"/>
          <w:lang w:val="bg-BG"/>
        </w:rPr>
        <w:footnoteReference w:id="66"/>
      </w:r>
      <w:r w:rsidRPr="00610B1B">
        <w:rPr>
          <w:rFonts w:ascii="Times New Roman" w:hAnsi="Times New Roman" w:cs="Times New Roman"/>
          <w:bCs/>
          <w:sz w:val="24"/>
          <w:szCs w:val="24"/>
          <w:lang w:val="bg-BG"/>
        </w:rPr>
        <w:t xml:space="preserve"> </w:t>
      </w:r>
      <w:r w:rsidR="00DE3432" w:rsidRPr="00610B1B">
        <w:rPr>
          <w:rFonts w:ascii="Times New Roman" w:hAnsi="Times New Roman" w:cs="Times New Roman"/>
          <w:bCs/>
          <w:sz w:val="24"/>
          <w:szCs w:val="24"/>
          <w:lang w:val="bg-BG"/>
        </w:rPr>
        <w:t>изготвена за Министерството на регионалното развитие и благоустройството от Института по геофизика, геодезия и география на БАН. В засегнатите от абразия зони на Черноморския бряг в участъците Сиврибурун – н</w:t>
      </w:r>
      <w:r w:rsidR="00371619" w:rsidRPr="00610B1B">
        <w:rPr>
          <w:rFonts w:ascii="Times New Roman" w:hAnsi="Times New Roman" w:cs="Times New Roman"/>
          <w:bCs/>
          <w:sz w:val="24"/>
          <w:szCs w:val="24"/>
          <w:lang w:val="bg-BG"/>
        </w:rPr>
        <w:t>ос</w:t>
      </w:r>
      <w:r w:rsidR="00DE3432" w:rsidRPr="00610B1B">
        <w:rPr>
          <w:rFonts w:ascii="Times New Roman" w:hAnsi="Times New Roman" w:cs="Times New Roman"/>
          <w:bCs/>
          <w:sz w:val="24"/>
          <w:szCs w:val="24"/>
          <w:lang w:val="bg-BG"/>
        </w:rPr>
        <w:t xml:space="preserve"> Шабла; н</w:t>
      </w:r>
      <w:r w:rsidR="00371619" w:rsidRPr="00610B1B">
        <w:rPr>
          <w:rFonts w:ascii="Times New Roman" w:hAnsi="Times New Roman" w:cs="Times New Roman"/>
          <w:bCs/>
          <w:sz w:val="24"/>
          <w:szCs w:val="24"/>
          <w:lang w:val="bg-BG"/>
        </w:rPr>
        <w:t>ос</w:t>
      </w:r>
      <w:r w:rsidR="00DE3432" w:rsidRPr="00610B1B">
        <w:rPr>
          <w:rFonts w:ascii="Times New Roman" w:hAnsi="Times New Roman" w:cs="Times New Roman"/>
          <w:bCs/>
          <w:sz w:val="24"/>
          <w:szCs w:val="24"/>
          <w:lang w:val="bg-BG"/>
        </w:rPr>
        <w:t xml:space="preserve"> </w:t>
      </w:r>
      <w:r w:rsidR="00DB0FAB" w:rsidRPr="00610B1B">
        <w:rPr>
          <w:rFonts w:ascii="Times New Roman" w:hAnsi="Times New Roman" w:cs="Times New Roman"/>
          <w:bCs/>
          <w:sz w:val="24"/>
          <w:szCs w:val="24"/>
          <w:lang w:val="bg-BG"/>
        </w:rPr>
        <w:t>Ш</w:t>
      </w:r>
      <w:r w:rsidR="00DE3432" w:rsidRPr="00610B1B">
        <w:rPr>
          <w:rFonts w:ascii="Times New Roman" w:hAnsi="Times New Roman" w:cs="Times New Roman"/>
          <w:bCs/>
          <w:sz w:val="24"/>
          <w:szCs w:val="24"/>
          <w:lang w:val="bg-BG"/>
        </w:rPr>
        <w:t>абла – н</w:t>
      </w:r>
      <w:r w:rsidR="00371619" w:rsidRPr="00610B1B">
        <w:rPr>
          <w:rFonts w:ascii="Times New Roman" w:hAnsi="Times New Roman" w:cs="Times New Roman"/>
          <w:bCs/>
          <w:sz w:val="24"/>
          <w:szCs w:val="24"/>
          <w:lang w:val="bg-BG"/>
        </w:rPr>
        <w:t>ос</w:t>
      </w:r>
      <w:r w:rsidR="00D66FE0" w:rsidRPr="00610B1B">
        <w:rPr>
          <w:rFonts w:ascii="Times New Roman" w:hAnsi="Times New Roman" w:cs="Times New Roman"/>
          <w:bCs/>
          <w:sz w:val="24"/>
          <w:szCs w:val="24"/>
          <w:lang w:val="bg-BG"/>
        </w:rPr>
        <w:t xml:space="preserve"> </w:t>
      </w:r>
      <w:r w:rsidR="00DE3432" w:rsidRPr="00610B1B">
        <w:rPr>
          <w:rFonts w:ascii="Times New Roman" w:hAnsi="Times New Roman" w:cs="Times New Roman"/>
          <w:bCs/>
          <w:sz w:val="24"/>
          <w:szCs w:val="24"/>
          <w:lang w:val="bg-BG"/>
        </w:rPr>
        <w:t>Калиакра; н</w:t>
      </w:r>
      <w:r w:rsidR="00371619" w:rsidRPr="00610B1B">
        <w:rPr>
          <w:rFonts w:ascii="Times New Roman" w:hAnsi="Times New Roman" w:cs="Times New Roman"/>
          <w:bCs/>
          <w:sz w:val="24"/>
          <w:szCs w:val="24"/>
          <w:lang w:val="bg-BG"/>
        </w:rPr>
        <w:t>ос</w:t>
      </w:r>
      <w:r w:rsidR="00DE3432" w:rsidRPr="00610B1B">
        <w:rPr>
          <w:rFonts w:ascii="Times New Roman" w:hAnsi="Times New Roman" w:cs="Times New Roman"/>
          <w:bCs/>
          <w:sz w:val="24"/>
          <w:szCs w:val="24"/>
          <w:lang w:val="bg-BG"/>
        </w:rPr>
        <w:t xml:space="preserve"> Калиакра – н</w:t>
      </w:r>
      <w:r w:rsidR="00552C23" w:rsidRPr="00610B1B">
        <w:rPr>
          <w:rFonts w:ascii="Times New Roman" w:hAnsi="Times New Roman" w:cs="Times New Roman"/>
          <w:bCs/>
          <w:sz w:val="24"/>
          <w:szCs w:val="24"/>
          <w:lang w:val="bg-BG"/>
        </w:rPr>
        <w:t>ос</w:t>
      </w:r>
      <w:r w:rsidR="00DE3432" w:rsidRPr="00610B1B">
        <w:rPr>
          <w:rFonts w:ascii="Times New Roman" w:hAnsi="Times New Roman" w:cs="Times New Roman"/>
          <w:bCs/>
          <w:sz w:val="24"/>
          <w:szCs w:val="24"/>
          <w:lang w:val="bg-BG"/>
        </w:rPr>
        <w:t xml:space="preserve"> Галата; н</w:t>
      </w:r>
      <w:r w:rsidR="00552C23" w:rsidRPr="00610B1B">
        <w:rPr>
          <w:rFonts w:ascii="Times New Roman" w:hAnsi="Times New Roman" w:cs="Times New Roman"/>
          <w:bCs/>
          <w:sz w:val="24"/>
          <w:szCs w:val="24"/>
          <w:lang w:val="bg-BG"/>
        </w:rPr>
        <w:t>ос</w:t>
      </w:r>
      <w:r w:rsidR="00DE3432" w:rsidRPr="00610B1B">
        <w:rPr>
          <w:rFonts w:ascii="Times New Roman" w:hAnsi="Times New Roman" w:cs="Times New Roman"/>
          <w:bCs/>
          <w:sz w:val="24"/>
          <w:szCs w:val="24"/>
          <w:lang w:val="bg-BG"/>
        </w:rPr>
        <w:t xml:space="preserve"> Галата – н</w:t>
      </w:r>
      <w:r w:rsidR="00552C23" w:rsidRPr="00610B1B">
        <w:rPr>
          <w:rFonts w:ascii="Times New Roman" w:hAnsi="Times New Roman" w:cs="Times New Roman"/>
          <w:bCs/>
          <w:sz w:val="24"/>
          <w:szCs w:val="24"/>
          <w:lang w:val="bg-BG"/>
        </w:rPr>
        <w:t>ос</w:t>
      </w:r>
      <w:r w:rsidR="00DE3432" w:rsidRPr="00610B1B">
        <w:rPr>
          <w:rFonts w:ascii="Times New Roman" w:hAnsi="Times New Roman" w:cs="Times New Roman"/>
          <w:bCs/>
          <w:sz w:val="24"/>
          <w:szCs w:val="24"/>
          <w:lang w:val="bg-BG"/>
        </w:rPr>
        <w:t xml:space="preserve"> Емине; н</w:t>
      </w:r>
      <w:r w:rsidR="00552C23" w:rsidRPr="00610B1B">
        <w:rPr>
          <w:rFonts w:ascii="Times New Roman" w:hAnsi="Times New Roman" w:cs="Times New Roman"/>
          <w:bCs/>
          <w:sz w:val="24"/>
          <w:szCs w:val="24"/>
          <w:lang w:val="bg-BG"/>
        </w:rPr>
        <w:t>ос</w:t>
      </w:r>
      <w:r w:rsidR="00DE3432" w:rsidRPr="00610B1B">
        <w:rPr>
          <w:rFonts w:ascii="Times New Roman" w:hAnsi="Times New Roman" w:cs="Times New Roman"/>
          <w:bCs/>
          <w:sz w:val="24"/>
          <w:szCs w:val="24"/>
          <w:lang w:val="bg-BG"/>
        </w:rPr>
        <w:t xml:space="preserve"> Емине – Созопол (Бургаски залив); и Созопол – устието на р. Резовска се предлагат иновативни методи за изследване на динамичните процеси в бреговата зона и шелфа и изграждане на екологични съоръжения, които да изпълняват повече функции. </w:t>
      </w:r>
    </w:p>
    <w:p w14:paraId="1A74865D" w14:textId="2B76CA64" w:rsidR="00444F8C" w:rsidRPr="00610B1B" w:rsidRDefault="00444F8C"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i/>
          <w:iCs/>
          <w:sz w:val="24"/>
          <w:szCs w:val="24"/>
          <w:lang w:val="bg-BG"/>
        </w:rPr>
        <w:t>Интегрираната транспортна стратегия в периода до 2030 г.</w:t>
      </w:r>
      <w:r w:rsidRPr="00610B1B">
        <w:rPr>
          <w:rFonts w:ascii="Times New Roman" w:hAnsi="Times New Roman" w:cs="Times New Roman"/>
          <w:bCs/>
          <w:sz w:val="24"/>
          <w:szCs w:val="24"/>
          <w:lang w:val="bg-BG"/>
        </w:rPr>
        <w:t>, приета с Решение № 336/23.06.2017 г. на Министерски съвет е най-актуалният стратегически документ</w:t>
      </w:r>
      <w:r w:rsidR="00A46DD3" w:rsidRPr="00610B1B">
        <w:rPr>
          <w:rFonts w:ascii="Times New Roman" w:hAnsi="Times New Roman" w:cs="Times New Roman"/>
          <w:bCs/>
          <w:sz w:val="24"/>
          <w:szCs w:val="24"/>
          <w:lang w:val="bg-BG"/>
        </w:rPr>
        <w:t xml:space="preserve">, който предлага </w:t>
      </w:r>
      <w:r w:rsidRPr="00610B1B">
        <w:rPr>
          <w:rFonts w:ascii="Times New Roman" w:hAnsi="Times New Roman" w:cs="Times New Roman"/>
          <w:bCs/>
          <w:sz w:val="24"/>
          <w:szCs w:val="24"/>
          <w:lang w:val="bg-BG"/>
        </w:rPr>
        <w:t>всеобхватен план за устойчиво развитие на транспортната система на Република България и рамка за инвестиции в транспорта. Стратегията определя приноса на страната към Единното европейско транспортно пространство</w:t>
      </w:r>
      <w:r w:rsidR="00552C23" w:rsidRPr="00610B1B">
        <w:rPr>
          <w:rFonts w:ascii="Times New Roman" w:hAnsi="Times New Roman" w:cs="Times New Roman"/>
          <w:bCs/>
          <w:sz w:val="24"/>
          <w:szCs w:val="24"/>
          <w:lang w:val="bg-BG"/>
        </w:rPr>
        <w:t xml:space="preserve"> и </w:t>
      </w:r>
      <w:r w:rsidRPr="00610B1B">
        <w:rPr>
          <w:rFonts w:ascii="Times New Roman" w:hAnsi="Times New Roman" w:cs="Times New Roman"/>
          <w:bCs/>
          <w:sz w:val="24"/>
          <w:szCs w:val="24"/>
          <w:lang w:val="bg-BG"/>
        </w:rPr>
        <w:t>съответства на Общите приоритети, съгласно чл. 10 от Регламент (ЕС) № 1315/2013 на Европейския парламент и на Съвета, включително приоритети за инвестиции в основната и разширената TEN-Т мрежа.</w:t>
      </w:r>
      <w:r w:rsidR="00CF208F" w:rsidRPr="00610B1B">
        <w:rPr>
          <w:rFonts w:ascii="Times New Roman" w:hAnsi="Times New Roman" w:cs="Times New Roman"/>
          <w:bCs/>
          <w:sz w:val="24"/>
          <w:szCs w:val="24"/>
          <w:lang w:val="bg-BG"/>
        </w:rPr>
        <w:t xml:space="preserve"> Общите водещи цели за всички видове транспорт са повишаване на ефективността и конкурентността, осигуряване на вътрешна и външна свързаност и достъпност и намаляване на вредните въздействия от транспорта. </w:t>
      </w:r>
      <w:r w:rsidR="008320F5" w:rsidRPr="00610B1B">
        <w:rPr>
          <w:rFonts w:ascii="Times New Roman" w:hAnsi="Times New Roman" w:cs="Times New Roman"/>
          <w:bCs/>
          <w:sz w:val="24"/>
          <w:szCs w:val="24"/>
          <w:lang w:val="bg-BG"/>
        </w:rPr>
        <w:t>Н</w:t>
      </w:r>
      <w:r w:rsidR="00CF208F" w:rsidRPr="00610B1B">
        <w:rPr>
          <w:rFonts w:ascii="Times New Roman" w:hAnsi="Times New Roman" w:cs="Times New Roman"/>
          <w:bCs/>
          <w:sz w:val="24"/>
          <w:szCs w:val="24"/>
          <w:lang w:val="bg-BG"/>
        </w:rPr>
        <w:t xml:space="preserve">ай-голямо значение при разработването на Морския пространствен план имат прогнозите и мерките предвидени </w:t>
      </w:r>
      <w:r w:rsidR="00CF208F" w:rsidRPr="00610B1B">
        <w:rPr>
          <w:rFonts w:ascii="Times New Roman" w:hAnsi="Times New Roman" w:cs="Times New Roman"/>
          <w:bCs/>
          <w:sz w:val="24"/>
          <w:szCs w:val="24"/>
          <w:lang w:val="bg-BG"/>
        </w:rPr>
        <w:lastRenderedPageBreak/>
        <w:t>за морския транспорт, но съвременните изисквания за интермодалност и интеграция на ресурсите налагат да бъдат взети под внимание предвижданията за всички видове транспорт.</w:t>
      </w:r>
      <w:r w:rsidR="00D66FE0" w:rsidRPr="00610B1B">
        <w:rPr>
          <w:rFonts w:ascii="Times New Roman" w:hAnsi="Times New Roman" w:cs="Times New Roman"/>
          <w:bCs/>
          <w:sz w:val="24"/>
          <w:szCs w:val="24"/>
          <w:lang w:val="bg-BG"/>
        </w:rPr>
        <w:t xml:space="preserve"> </w:t>
      </w:r>
      <w:r w:rsidR="008320F5" w:rsidRPr="00610B1B">
        <w:rPr>
          <w:rFonts w:ascii="Times New Roman" w:hAnsi="Times New Roman" w:cs="Times New Roman"/>
          <w:bCs/>
          <w:sz w:val="24"/>
          <w:szCs w:val="24"/>
          <w:lang w:val="bg-BG"/>
        </w:rPr>
        <w:t xml:space="preserve">За </w:t>
      </w:r>
      <w:r w:rsidR="00CF208F" w:rsidRPr="00610B1B">
        <w:rPr>
          <w:rFonts w:ascii="Times New Roman" w:hAnsi="Times New Roman" w:cs="Times New Roman"/>
          <w:bCs/>
          <w:sz w:val="24"/>
          <w:szCs w:val="24"/>
          <w:lang w:val="bg-BG"/>
        </w:rPr>
        <w:t xml:space="preserve">развитието на морския транспорт от значение </w:t>
      </w:r>
      <w:r w:rsidR="00A46DD3" w:rsidRPr="00610B1B">
        <w:rPr>
          <w:rFonts w:ascii="Times New Roman" w:hAnsi="Times New Roman" w:cs="Times New Roman"/>
          <w:bCs/>
          <w:sz w:val="24"/>
          <w:szCs w:val="24"/>
          <w:lang w:val="bg-BG"/>
        </w:rPr>
        <w:t>е</w:t>
      </w:r>
      <w:r w:rsidR="00CF208F" w:rsidRPr="00610B1B">
        <w:rPr>
          <w:rFonts w:ascii="Times New Roman" w:hAnsi="Times New Roman" w:cs="Times New Roman"/>
          <w:bCs/>
          <w:sz w:val="24"/>
          <w:szCs w:val="24"/>
          <w:lang w:val="bg-BG"/>
        </w:rPr>
        <w:t xml:space="preserve"> не само модернизацията на пристанищата</w:t>
      </w:r>
      <w:r w:rsidR="00552C23" w:rsidRPr="00610B1B">
        <w:rPr>
          <w:rFonts w:ascii="Times New Roman" w:hAnsi="Times New Roman" w:cs="Times New Roman"/>
          <w:bCs/>
          <w:sz w:val="24"/>
          <w:szCs w:val="24"/>
          <w:lang w:val="bg-BG"/>
        </w:rPr>
        <w:t xml:space="preserve"> и</w:t>
      </w:r>
      <w:r w:rsidR="00CF208F" w:rsidRPr="00610B1B">
        <w:rPr>
          <w:rFonts w:ascii="Times New Roman" w:hAnsi="Times New Roman" w:cs="Times New Roman"/>
          <w:bCs/>
          <w:sz w:val="24"/>
          <w:szCs w:val="24"/>
          <w:lang w:val="bg-BG"/>
        </w:rPr>
        <w:t xml:space="preserve"> пристанищната инфраструктура и съоръжения, но също така и връзките с работещите предприятия и техните потребности във вътрешността на страната. </w:t>
      </w:r>
    </w:p>
    <w:p w14:paraId="1F6424F7" w14:textId="23D74E4E" w:rsidR="00315EBC" w:rsidRPr="00610B1B" w:rsidRDefault="00A46DD3"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Стратегическите </w:t>
      </w:r>
      <w:r w:rsidR="00315EBC" w:rsidRPr="00610B1B">
        <w:rPr>
          <w:rFonts w:ascii="Times New Roman" w:hAnsi="Times New Roman" w:cs="Times New Roman"/>
          <w:bCs/>
          <w:sz w:val="24"/>
          <w:szCs w:val="24"/>
          <w:lang w:val="bg-BG"/>
        </w:rPr>
        <w:t>документ</w:t>
      </w:r>
      <w:r w:rsidRPr="00610B1B">
        <w:rPr>
          <w:rFonts w:ascii="Times New Roman" w:hAnsi="Times New Roman" w:cs="Times New Roman"/>
          <w:bCs/>
          <w:sz w:val="24"/>
          <w:szCs w:val="24"/>
          <w:lang w:val="bg-BG"/>
        </w:rPr>
        <w:t>и</w:t>
      </w:r>
      <w:r w:rsidR="00315EBC"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в енергетиката </w:t>
      </w:r>
      <w:r w:rsidR="00315EBC" w:rsidRPr="00610B1B">
        <w:rPr>
          <w:rFonts w:ascii="Times New Roman" w:hAnsi="Times New Roman" w:cs="Times New Roman"/>
          <w:bCs/>
          <w:sz w:val="24"/>
          <w:szCs w:val="24"/>
          <w:lang w:val="bg-BG"/>
        </w:rPr>
        <w:t>отразяват политиката на страната</w:t>
      </w:r>
      <w:r w:rsidRPr="00610B1B">
        <w:rPr>
          <w:rFonts w:ascii="Times New Roman" w:hAnsi="Times New Roman" w:cs="Times New Roman"/>
          <w:bCs/>
          <w:sz w:val="24"/>
          <w:szCs w:val="24"/>
          <w:lang w:val="bg-BG"/>
        </w:rPr>
        <w:t xml:space="preserve"> в сектора</w:t>
      </w:r>
      <w:r w:rsidR="00315EBC" w:rsidRPr="00610B1B">
        <w:rPr>
          <w:rFonts w:ascii="Times New Roman" w:hAnsi="Times New Roman" w:cs="Times New Roman"/>
          <w:bCs/>
          <w:sz w:val="24"/>
          <w:szCs w:val="24"/>
          <w:lang w:val="bg-BG"/>
        </w:rPr>
        <w:t>, насочен</w:t>
      </w:r>
      <w:r w:rsidRPr="00610B1B">
        <w:rPr>
          <w:rFonts w:ascii="Times New Roman" w:hAnsi="Times New Roman" w:cs="Times New Roman"/>
          <w:bCs/>
          <w:sz w:val="24"/>
          <w:szCs w:val="24"/>
          <w:lang w:val="bg-BG"/>
        </w:rPr>
        <w:t>а</w:t>
      </w:r>
      <w:r w:rsidR="00315EBC" w:rsidRPr="00610B1B">
        <w:rPr>
          <w:rFonts w:ascii="Times New Roman" w:hAnsi="Times New Roman" w:cs="Times New Roman"/>
          <w:bCs/>
          <w:sz w:val="24"/>
          <w:szCs w:val="24"/>
          <w:lang w:val="bg-BG"/>
        </w:rPr>
        <w:t xml:space="preserve"> към сигурност </w:t>
      </w:r>
      <w:r w:rsidR="00FB2736" w:rsidRPr="00610B1B">
        <w:rPr>
          <w:rFonts w:ascii="Times New Roman" w:hAnsi="Times New Roman" w:cs="Times New Roman"/>
          <w:bCs/>
          <w:sz w:val="24"/>
          <w:szCs w:val="24"/>
          <w:lang w:val="bg-BG"/>
        </w:rPr>
        <w:t xml:space="preserve">и диверсификация </w:t>
      </w:r>
      <w:r w:rsidR="00315EBC" w:rsidRPr="00610B1B">
        <w:rPr>
          <w:rFonts w:ascii="Times New Roman" w:hAnsi="Times New Roman" w:cs="Times New Roman"/>
          <w:bCs/>
          <w:sz w:val="24"/>
          <w:szCs w:val="24"/>
          <w:lang w:val="bg-BG"/>
        </w:rPr>
        <w:t>на доставките, енергийна ефективност</w:t>
      </w:r>
      <w:r w:rsidR="00A65092" w:rsidRPr="00610B1B">
        <w:rPr>
          <w:rFonts w:ascii="Times New Roman" w:hAnsi="Times New Roman" w:cs="Times New Roman"/>
          <w:bCs/>
          <w:sz w:val="24"/>
          <w:szCs w:val="24"/>
          <w:lang w:val="bg-BG"/>
        </w:rPr>
        <w:t xml:space="preserve"> и</w:t>
      </w:r>
      <w:r w:rsidR="00315EBC" w:rsidRPr="00610B1B">
        <w:rPr>
          <w:rFonts w:ascii="Times New Roman" w:hAnsi="Times New Roman" w:cs="Times New Roman"/>
          <w:bCs/>
          <w:sz w:val="24"/>
          <w:szCs w:val="24"/>
          <w:lang w:val="bg-BG"/>
        </w:rPr>
        <w:t xml:space="preserve"> увеличаване дела на възобновяемите източници. </w:t>
      </w:r>
      <w:r w:rsidR="00315EBC" w:rsidRPr="00610B1B">
        <w:rPr>
          <w:rFonts w:ascii="Times New Roman" w:hAnsi="Times New Roman" w:cs="Times New Roman"/>
          <w:bCs/>
          <w:i/>
          <w:iCs/>
          <w:sz w:val="24"/>
          <w:szCs w:val="24"/>
          <w:lang w:val="bg-BG"/>
        </w:rPr>
        <w:t>Актуализацията на енергийната стратегия на Република България до 2020 г</w:t>
      </w:r>
      <w:r w:rsidR="00315EBC" w:rsidRPr="00610B1B">
        <w:rPr>
          <w:rFonts w:ascii="Times New Roman" w:hAnsi="Times New Roman" w:cs="Times New Roman"/>
          <w:bCs/>
          <w:sz w:val="24"/>
          <w:szCs w:val="24"/>
          <w:lang w:val="bg-BG"/>
        </w:rPr>
        <w:t>.</w:t>
      </w:r>
      <w:r w:rsidR="00315EBC" w:rsidRPr="00610B1B">
        <w:rPr>
          <w:rStyle w:val="FootnoteReference"/>
          <w:rFonts w:ascii="Times New Roman" w:hAnsi="Times New Roman" w:cs="Times New Roman"/>
          <w:bCs/>
          <w:sz w:val="24"/>
          <w:szCs w:val="24"/>
          <w:lang w:val="bg-BG"/>
        </w:rPr>
        <w:footnoteReference w:id="67"/>
      </w:r>
      <w:r w:rsidR="00315EBC" w:rsidRPr="00610B1B">
        <w:rPr>
          <w:rFonts w:ascii="Times New Roman" w:hAnsi="Times New Roman" w:cs="Times New Roman"/>
          <w:bCs/>
          <w:sz w:val="24"/>
          <w:szCs w:val="24"/>
          <w:lang w:val="bg-BG"/>
        </w:rPr>
        <w:t xml:space="preserve"> отчита значителната промяна в маршрутите на доставка на природен газ през територията на България </w:t>
      </w:r>
      <w:r w:rsidR="000E47EC" w:rsidRPr="00610B1B">
        <w:rPr>
          <w:rFonts w:ascii="Times New Roman" w:hAnsi="Times New Roman" w:cs="Times New Roman"/>
          <w:bCs/>
          <w:sz w:val="24"/>
          <w:szCs w:val="24"/>
          <w:lang w:val="bg-BG"/>
        </w:rPr>
        <w:t xml:space="preserve">след 2020 г. </w:t>
      </w:r>
      <w:r w:rsidRPr="00610B1B">
        <w:rPr>
          <w:rFonts w:ascii="Times New Roman" w:hAnsi="Times New Roman" w:cs="Times New Roman"/>
          <w:bCs/>
          <w:sz w:val="24"/>
          <w:szCs w:val="24"/>
          <w:lang w:val="bg-BG"/>
        </w:rPr>
        <w:t xml:space="preserve">и плановете за </w:t>
      </w:r>
      <w:r w:rsidR="00315EBC" w:rsidRPr="00610B1B">
        <w:rPr>
          <w:rFonts w:ascii="Times New Roman" w:hAnsi="Times New Roman" w:cs="Times New Roman"/>
          <w:bCs/>
          <w:sz w:val="24"/>
          <w:szCs w:val="24"/>
          <w:lang w:val="bg-BG"/>
        </w:rPr>
        <w:t>изграждане на ключови инфраструктурни проекти в региона, които ще променят основната посока и маршрути на потоците природен газ</w:t>
      </w:r>
      <w:r w:rsidR="000E47EC" w:rsidRPr="00610B1B">
        <w:rPr>
          <w:rFonts w:ascii="Times New Roman" w:hAnsi="Times New Roman" w:cs="Times New Roman"/>
          <w:bCs/>
          <w:sz w:val="24"/>
          <w:szCs w:val="24"/>
          <w:lang w:val="bg-BG"/>
        </w:rPr>
        <w:t xml:space="preserve">. </w:t>
      </w:r>
      <w:r w:rsidR="00315EBC" w:rsidRPr="00610B1B">
        <w:rPr>
          <w:rFonts w:ascii="Times New Roman" w:hAnsi="Times New Roman" w:cs="Times New Roman"/>
          <w:bCs/>
          <w:sz w:val="24"/>
          <w:szCs w:val="24"/>
          <w:lang w:val="bg-BG"/>
        </w:rPr>
        <w:t>От стратегическо значение е запазване</w:t>
      </w:r>
      <w:r w:rsidR="00552C23" w:rsidRPr="00610B1B">
        <w:rPr>
          <w:rFonts w:ascii="Times New Roman" w:hAnsi="Times New Roman" w:cs="Times New Roman"/>
          <w:bCs/>
          <w:sz w:val="24"/>
          <w:szCs w:val="24"/>
          <w:lang w:val="bg-BG"/>
        </w:rPr>
        <w:t>то</w:t>
      </w:r>
      <w:r w:rsidR="00315EBC" w:rsidRPr="00610B1B">
        <w:rPr>
          <w:rFonts w:ascii="Times New Roman" w:hAnsi="Times New Roman" w:cs="Times New Roman"/>
          <w:bCs/>
          <w:sz w:val="24"/>
          <w:szCs w:val="24"/>
          <w:lang w:val="bg-BG"/>
        </w:rPr>
        <w:t xml:space="preserve"> </w:t>
      </w:r>
      <w:r w:rsidR="008320F5" w:rsidRPr="00610B1B">
        <w:rPr>
          <w:rFonts w:ascii="Times New Roman" w:hAnsi="Times New Roman" w:cs="Times New Roman"/>
          <w:bCs/>
          <w:sz w:val="24"/>
          <w:szCs w:val="24"/>
          <w:lang w:val="bg-BG"/>
        </w:rPr>
        <w:t xml:space="preserve">на </w:t>
      </w:r>
      <w:r w:rsidR="00315EBC" w:rsidRPr="00610B1B">
        <w:rPr>
          <w:rFonts w:ascii="Times New Roman" w:hAnsi="Times New Roman" w:cs="Times New Roman"/>
          <w:bCs/>
          <w:sz w:val="24"/>
          <w:szCs w:val="24"/>
          <w:lang w:val="bg-BG"/>
        </w:rPr>
        <w:t>ключовата роля на България на газовата карта на Европа. С актуализирането на стратегията и предприемането на необходимите стъпки за изграждане на газовата инфраструктура ще се гарантира сигурността и диверсификацията на доставките на природен газ, както за България, така и в региона.</w:t>
      </w:r>
    </w:p>
    <w:p w14:paraId="70E352C1" w14:textId="1CE5179E" w:rsidR="00B5159C" w:rsidRPr="00610B1B" w:rsidRDefault="00315EBC"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i/>
          <w:iCs/>
          <w:sz w:val="24"/>
          <w:szCs w:val="24"/>
          <w:lang w:val="bg-BG"/>
        </w:rPr>
        <w:t>Националният план за действие по енергийна ефективност 2014–2020</w:t>
      </w:r>
      <w:r w:rsidRPr="00610B1B">
        <w:rPr>
          <w:rFonts w:ascii="Times New Roman" w:hAnsi="Times New Roman" w:cs="Times New Roman"/>
          <w:bCs/>
          <w:sz w:val="24"/>
          <w:szCs w:val="24"/>
          <w:lang w:val="bg-BG"/>
        </w:rPr>
        <w:t xml:space="preserve"> г. </w:t>
      </w:r>
      <w:r w:rsidR="00867495" w:rsidRPr="00610B1B">
        <w:rPr>
          <w:rFonts w:ascii="Times New Roman" w:hAnsi="Times New Roman" w:cs="Times New Roman"/>
          <w:bCs/>
          <w:sz w:val="24"/>
          <w:szCs w:val="24"/>
          <w:lang w:val="bg-BG"/>
        </w:rPr>
        <w:t>и неговата актуализация от 2017 г.</w:t>
      </w:r>
      <w:r w:rsidR="00B5159C" w:rsidRPr="00610B1B">
        <w:rPr>
          <w:rStyle w:val="FootnoteReference"/>
          <w:rFonts w:ascii="Times New Roman" w:hAnsi="Times New Roman" w:cs="Times New Roman"/>
          <w:bCs/>
          <w:sz w:val="24"/>
          <w:szCs w:val="24"/>
          <w:lang w:val="bg-BG"/>
        </w:rPr>
        <w:footnoteReference w:id="68"/>
      </w:r>
      <w:r w:rsidR="00867495" w:rsidRPr="00610B1B">
        <w:rPr>
          <w:rFonts w:ascii="Times New Roman" w:hAnsi="Times New Roman" w:cs="Times New Roman"/>
          <w:bCs/>
          <w:sz w:val="24"/>
          <w:szCs w:val="24"/>
          <w:lang w:val="bg-BG"/>
        </w:rPr>
        <w:t xml:space="preserve">, </w:t>
      </w:r>
      <w:r w:rsidR="008320F5" w:rsidRPr="00610B1B">
        <w:rPr>
          <w:rFonts w:ascii="Times New Roman" w:hAnsi="Times New Roman" w:cs="Times New Roman"/>
          <w:bCs/>
          <w:sz w:val="24"/>
          <w:szCs w:val="24"/>
          <w:lang w:val="bg-BG"/>
        </w:rPr>
        <w:t>съответстваща на и</w:t>
      </w:r>
      <w:r w:rsidR="00867495" w:rsidRPr="00610B1B">
        <w:rPr>
          <w:rFonts w:ascii="Times New Roman" w:hAnsi="Times New Roman" w:cs="Times New Roman"/>
          <w:bCs/>
          <w:sz w:val="24"/>
          <w:szCs w:val="24"/>
          <w:lang w:val="bg-BG"/>
        </w:rPr>
        <w:t>зискванията на чл.</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24, ал. 2 от Директива 2012/27/ЕС</w:t>
      </w:r>
      <w:r w:rsidR="00632B55" w:rsidRPr="00610B1B">
        <w:rPr>
          <w:rFonts w:ascii="Times New Roman" w:hAnsi="Times New Roman" w:cs="Times New Roman"/>
          <w:bCs/>
          <w:sz w:val="24"/>
          <w:szCs w:val="24"/>
          <w:lang w:val="bg-BG"/>
        </w:rPr>
        <w:t xml:space="preserve"> имат за цел да</w:t>
      </w:r>
      <w:r w:rsidR="00B5159C" w:rsidRPr="00610B1B">
        <w:rPr>
          <w:rFonts w:ascii="Times New Roman" w:hAnsi="Times New Roman" w:cs="Times New Roman"/>
          <w:bCs/>
          <w:sz w:val="24"/>
          <w:szCs w:val="24"/>
          <w:lang w:val="bg-BG"/>
        </w:rPr>
        <w:t xml:space="preserve"> изведа</w:t>
      </w:r>
      <w:r w:rsidR="008320F5" w:rsidRPr="00610B1B">
        <w:rPr>
          <w:rFonts w:ascii="Times New Roman" w:hAnsi="Times New Roman" w:cs="Times New Roman"/>
          <w:bCs/>
          <w:sz w:val="24"/>
          <w:szCs w:val="24"/>
          <w:lang w:val="bg-BG"/>
        </w:rPr>
        <w:t>т</w:t>
      </w:r>
      <w:r w:rsidR="00B5159C" w:rsidRPr="00610B1B">
        <w:rPr>
          <w:rFonts w:ascii="Times New Roman" w:hAnsi="Times New Roman" w:cs="Times New Roman"/>
          <w:bCs/>
          <w:sz w:val="24"/>
          <w:szCs w:val="24"/>
          <w:lang w:val="bg-BG"/>
        </w:rPr>
        <w:t xml:space="preserve"> енергийната ефективност на водещо място в енергийната политика на страната заедно с енергийната сигурност, </w:t>
      </w:r>
      <w:r w:rsidR="007023E9" w:rsidRPr="00610B1B">
        <w:rPr>
          <w:rFonts w:ascii="Times New Roman" w:hAnsi="Times New Roman" w:cs="Times New Roman"/>
          <w:bCs/>
          <w:sz w:val="24"/>
          <w:szCs w:val="24"/>
          <w:lang w:val="bg-BG"/>
        </w:rPr>
        <w:t>конкурентоспособността</w:t>
      </w:r>
      <w:r w:rsidR="00B5159C" w:rsidRPr="00610B1B">
        <w:rPr>
          <w:rFonts w:ascii="Times New Roman" w:hAnsi="Times New Roman" w:cs="Times New Roman"/>
          <w:bCs/>
          <w:sz w:val="24"/>
          <w:szCs w:val="24"/>
          <w:lang w:val="bg-BG"/>
        </w:rPr>
        <w:t xml:space="preserve"> и устойчивото развитие. Това е особено важно поради високата енергоемкост на нашите производства, комплекси, сгради и съоръжения, а Морският пространствен план ще насочи част от мерки</w:t>
      </w:r>
      <w:r w:rsidR="008320F5" w:rsidRPr="00610B1B">
        <w:rPr>
          <w:rFonts w:ascii="Times New Roman" w:hAnsi="Times New Roman" w:cs="Times New Roman"/>
          <w:bCs/>
          <w:sz w:val="24"/>
          <w:szCs w:val="24"/>
          <w:lang w:val="bg-BG"/>
        </w:rPr>
        <w:t>те</w:t>
      </w:r>
      <w:r w:rsidR="00B5159C" w:rsidRPr="00610B1B">
        <w:rPr>
          <w:rFonts w:ascii="Times New Roman" w:hAnsi="Times New Roman" w:cs="Times New Roman"/>
          <w:bCs/>
          <w:sz w:val="24"/>
          <w:szCs w:val="24"/>
          <w:lang w:val="bg-BG"/>
        </w:rPr>
        <w:t xml:space="preserve"> в тази област към секторите на синята икономика. </w:t>
      </w:r>
    </w:p>
    <w:p w14:paraId="244D8133" w14:textId="5B735008" w:rsidR="00B5159C" w:rsidRPr="00610B1B" w:rsidRDefault="00B5159C"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i/>
          <w:iCs/>
          <w:sz w:val="24"/>
          <w:szCs w:val="24"/>
          <w:lang w:val="bg-BG"/>
        </w:rPr>
        <w:t>Националният план за действие за енергията от възобновяеми източници</w:t>
      </w:r>
      <w:r w:rsidR="0039202C" w:rsidRPr="00610B1B">
        <w:rPr>
          <w:rFonts w:ascii="Times New Roman" w:hAnsi="Times New Roman" w:cs="Times New Roman"/>
          <w:bCs/>
          <w:sz w:val="24"/>
          <w:szCs w:val="24"/>
          <w:lang w:val="bg-BG"/>
        </w:rPr>
        <w:t>,</w:t>
      </w:r>
      <w:r w:rsidR="0039202C" w:rsidRPr="00610B1B">
        <w:rPr>
          <w:rStyle w:val="FootnoteReference"/>
          <w:rFonts w:ascii="Times New Roman" w:hAnsi="Times New Roman" w:cs="Times New Roman"/>
          <w:bCs/>
          <w:sz w:val="24"/>
          <w:szCs w:val="24"/>
          <w:lang w:val="bg-BG"/>
        </w:rPr>
        <w:footnoteReference w:id="69"/>
      </w:r>
      <w:r w:rsidR="0039202C" w:rsidRPr="00610B1B">
        <w:rPr>
          <w:rFonts w:ascii="Times New Roman" w:hAnsi="Times New Roman" w:cs="Times New Roman"/>
          <w:bCs/>
          <w:sz w:val="24"/>
          <w:szCs w:val="24"/>
          <w:lang w:val="bg-BG"/>
        </w:rPr>
        <w:t xml:space="preserve"> приет от Министерски съвет с решение от 2013 г. и валиден до края на 2020 г., стъпва на прогнозното крайно потребление на електроенергия, на състоянието на икономиката и инвестиционния интерес. Задължителната национална цел на Р. България е за 16% дял на енергията от възобновяеми източници (ВИ) в брутното крайно потребление на енергия през 2020 г., което означава 1 718 ktoe енергия от ВИ. В Морския пространствен план </w:t>
      </w:r>
      <w:r w:rsidR="00BD144C" w:rsidRPr="00610B1B">
        <w:rPr>
          <w:rFonts w:ascii="Times New Roman" w:hAnsi="Times New Roman" w:cs="Times New Roman"/>
          <w:bCs/>
          <w:sz w:val="24"/>
          <w:szCs w:val="24"/>
          <w:lang w:val="bg-BG"/>
        </w:rPr>
        <w:t>с</w:t>
      </w:r>
      <w:r w:rsidR="0039202C" w:rsidRPr="00610B1B">
        <w:rPr>
          <w:rFonts w:ascii="Times New Roman" w:hAnsi="Times New Roman" w:cs="Times New Roman"/>
          <w:bCs/>
          <w:sz w:val="24"/>
          <w:szCs w:val="24"/>
          <w:lang w:val="bg-BG"/>
        </w:rPr>
        <w:t>е търсят онези резерви, които са свързани с морските технологии, съоръжения и индустрии</w:t>
      </w:r>
      <w:r w:rsidR="00BD144C" w:rsidRPr="00610B1B">
        <w:rPr>
          <w:rFonts w:ascii="Times New Roman" w:hAnsi="Times New Roman" w:cs="Times New Roman"/>
          <w:bCs/>
          <w:sz w:val="24"/>
          <w:szCs w:val="24"/>
          <w:lang w:val="bg-BG"/>
        </w:rPr>
        <w:t>, за да се разкрият повече иновативни решения</w:t>
      </w:r>
      <w:r w:rsidR="0039202C" w:rsidRPr="00610B1B">
        <w:rPr>
          <w:rFonts w:ascii="Times New Roman" w:hAnsi="Times New Roman" w:cs="Times New Roman"/>
          <w:bCs/>
          <w:sz w:val="24"/>
          <w:szCs w:val="24"/>
          <w:lang w:val="bg-BG"/>
        </w:rPr>
        <w:t>.</w:t>
      </w:r>
      <w:r w:rsidR="00D66FE0" w:rsidRPr="00610B1B">
        <w:rPr>
          <w:rFonts w:ascii="Times New Roman" w:hAnsi="Times New Roman" w:cs="Times New Roman"/>
          <w:bCs/>
          <w:sz w:val="24"/>
          <w:szCs w:val="24"/>
          <w:lang w:val="bg-BG"/>
        </w:rPr>
        <w:t xml:space="preserve"> </w:t>
      </w:r>
    </w:p>
    <w:p w14:paraId="2B4339B3" w14:textId="28E14C4E" w:rsidR="00C668AE" w:rsidRPr="00610B1B" w:rsidRDefault="00A65092"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Последният документ „</w:t>
      </w:r>
      <w:r w:rsidRPr="00610B1B">
        <w:rPr>
          <w:rFonts w:ascii="Times New Roman" w:hAnsi="Times New Roman" w:cs="Times New Roman"/>
          <w:bCs/>
          <w:i/>
          <w:iCs/>
          <w:sz w:val="24"/>
          <w:szCs w:val="24"/>
          <w:lang w:val="bg-BG"/>
        </w:rPr>
        <w:t>Интегриран план в областта на енергетиката и климата на Република България 2021-2030 г</w:t>
      </w:r>
      <w:r w:rsidRPr="00610B1B">
        <w:rPr>
          <w:rFonts w:ascii="Times New Roman" w:hAnsi="Times New Roman" w:cs="Times New Roman"/>
          <w:bCs/>
          <w:sz w:val="24"/>
          <w:szCs w:val="24"/>
          <w:lang w:val="bg-BG"/>
        </w:rPr>
        <w:t>.</w:t>
      </w:r>
      <w:r w:rsidR="00C668AE"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(НПЕК)</w:t>
      </w:r>
      <w:r w:rsidR="00C668AE" w:rsidRPr="00610B1B">
        <w:rPr>
          <w:rFonts w:ascii="Times New Roman" w:hAnsi="Times New Roman" w:cs="Times New Roman"/>
          <w:sz w:val="24"/>
          <w:szCs w:val="24"/>
          <w:lang w:val="bg-BG"/>
        </w:rPr>
        <w:t xml:space="preserve"> е разработен в съответствие с изискванията на Регламент (ЕС) 2018/1999 на Европейския парламент и на Съвета</w:t>
      </w:r>
      <w:r w:rsidR="00D66FE0" w:rsidRPr="00610B1B">
        <w:rPr>
          <w:rFonts w:ascii="Times New Roman" w:hAnsi="Times New Roman" w:cs="Times New Roman"/>
          <w:sz w:val="24"/>
          <w:szCs w:val="24"/>
          <w:lang w:val="bg-BG"/>
        </w:rPr>
        <w:t xml:space="preserve"> </w:t>
      </w:r>
      <w:r w:rsidR="00C668AE" w:rsidRPr="00610B1B">
        <w:rPr>
          <w:rFonts w:ascii="Times New Roman" w:hAnsi="Times New Roman" w:cs="Times New Roman"/>
          <w:sz w:val="24"/>
          <w:szCs w:val="24"/>
          <w:lang w:val="bg-BG"/>
        </w:rPr>
        <w:t xml:space="preserve">от 11.12.2018 г. относно управлението на Енергийния съюз и </w:t>
      </w:r>
      <w:r w:rsidR="00E03A23" w:rsidRPr="00610B1B">
        <w:rPr>
          <w:rFonts w:ascii="Times New Roman" w:hAnsi="Times New Roman" w:cs="Times New Roman"/>
          <w:sz w:val="24"/>
          <w:szCs w:val="24"/>
          <w:lang w:val="bg-BG"/>
        </w:rPr>
        <w:t xml:space="preserve">на действията в областта на климата. Той има за цел да стимулира </w:t>
      </w:r>
      <w:r w:rsidR="00C668AE" w:rsidRPr="00610B1B">
        <w:rPr>
          <w:rFonts w:ascii="Times New Roman" w:hAnsi="Times New Roman" w:cs="Times New Roman"/>
          <w:bCs/>
          <w:sz w:val="24"/>
          <w:szCs w:val="24"/>
          <w:lang w:val="bg-BG"/>
        </w:rPr>
        <w:t>нисковъглеродн</w:t>
      </w:r>
      <w:r w:rsidR="00E03A23" w:rsidRPr="00610B1B">
        <w:rPr>
          <w:rFonts w:ascii="Times New Roman" w:hAnsi="Times New Roman" w:cs="Times New Roman"/>
          <w:bCs/>
          <w:sz w:val="24"/>
          <w:szCs w:val="24"/>
          <w:lang w:val="bg-BG"/>
        </w:rPr>
        <w:t>ата</w:t>
      </w:r>
      <w:r w:rsidR="00C668AE" w:rsidRPr="00610B1B">
        <w:rPr>
          <w:rFonts w:ascii="Times New Roman" w:hAnsi="Times New Roman" w:cs="Times New Roman"/>
          <w:bCs/>
          <w:sz w:val="24"/>
          <w:szCs w:val="24"/>
          <w:lang w:val="bg-BG"/>
        </w:rPr>
        <w:t xml:space="preserve"> икономика;</w:t>
      </w:r>
      <w:r w:rsidR="00E03A23" w:rsidRPr="00610B1B">
        <w:rPr>
          <w:rFonts w:ascii="Times New Roman" w:hAnsi="Times New Roman" w:cs="Times New Roman"/>
          <w:bCs/>
          <w:sz w:val="24"/>
          <w:szCs w:val="24"/>
          <w:lang w:val="bg-BG"/>
        </w:rPr>
        <w:t xml:space="preserve"> да подпомогне </w:t>
      </w:r>
      <w:r w:rsidR="00C668AE" w:rsidRPr="00610B1B">
        <w:rPr>
          <w:rFonts w:ascii="Times New Roman" w:hAnsi="Times New Roman" w:cs="Times New Roman"/>
          <w:bCs/>
          <w:sz w:val="24"/>
          <w:szCs w:val="24"/>
          <w:lang w:val="bg-BG"/>
        </w:rPr>
        <w:t>конкурентоспособна</w:t>
      </w:r>
      <w:r w:rsidR="00E03A23" w:rsidRPr="00610B1B">
        <w:rPr>
          <w:rFonts w:ascii="Times New Roman" w:hAnsi="Times New Roman" w:cs="Times New Roman"/>
          <w:bCs/>
          <w:sz w:val="24"/>
          <w:szCs w:val="24"/>
          <w:lang w:val="bg-BG"/>
        </w:rPr>
        <w:t>та</w:t>
      </w:r>
      <w:r w:rsidR="00C668AE" w:rsidRPr="00610B1B">
        <w:rPr>
          <w:rFonts w:ascii="Times New Roman" w:hAnsi="Times New Roman" w:cs="Times New Roman"/>
          <w:bCs/>
          <w:sz w:val="24"/>
          <w:szCs w:val="24"/>
          <w:lang w:val="bg-BG"/>
        </w:rPr>
        <w:t xml:space="preserve"> и </w:t>
      </w:r>
      <w:r w:rsidR="00C668AE" w:rsidRPr="00610B1B">
        <w:rPr>
          <w:rFonts w:ascii="Times New Roman" w:hAnsi="Times New Roman" w:cs="Times New Roman"/>
          <w:bCs/>
          <w:sz w:val="24"/>
          <w:szCs w:val="24"/>
          <w:lang w:val="bg-BG"/>
        </w:rPr>
        <w:lastRenderedPageBreak/>
        <w:t>сигурна енергетика;</w:t>
      </w:r>
      <w:r w:rsidR="00E03A23" w:rsidRPr="00610B1B">
        <w:rPr>
          <w:rFonts w:ascii="Times New Roman" w:hAnsi="Times New Roman" w:cs="Times New Roman"/>
          <w:bCs/>
          <w:sz w:val="24"/>
          <w:szCs w:val="24"/>
          <w:lang w:val="bg-BG"/>
        </w:rPr>
        <w:t xml:space="preserve"> да намали </w:t>
      </w:r>
      <w:r w:rsidR="00C668AE" w:rsidRPr="00610B1B">
        <w:rPr>
          <w:rFonts w:ascii="Times New Roman" w:hAnsi="Times New Roman" w:cs="Times New Roman"/>
          <w:bCs/>
          <w:sz w:val="24"/>
          <w:szCs w:val="24"/>
          <w:lang w:val="bg-BG"/>
        </w:rPr>
        <w:t>зависимостта от внос на горива и енергия;</w:t>
      </w:r>
      <w:r w:rsidR="00E03A23" w:rsidRPr="00610B1B">
        <w:rPr>
          <w:rFonts w:ascii="Times New Roman" w:hAnsi="Times New Roman" w:cs="Times New Roman"/>
          <w:bCs/>
          <w:sz w:val="24"/>
          <w:szCs w:val="24"/>
          <w:lang w:val="bg-BG"/>
        </w:rPr>
        <w:t xml:space="preserve"> и да гарантира достъпните цени на енергията за всички потребители. </w:t>
      </w:r>
    </w:p>
    <w:p w14:paraId="76B8816A" w14:textId="44C82F45" w:rsidR="00BD144C" w:rsidRPr="00610B1B" w:rsidRDefault="00BD144C"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В изброените, както и в някои други програмни и стратегически документи с аналогична тематика, са потърсени онези цели и приоритети, които </w:t>
      </w:r>
      <w:r w:rsidR="000E47EC" w:rsidRPr="00610B1B">
        <w:rPr>
          <w:rFonts w:ascii="Times New Roman" w:hAnsi="Times New Roman" w:cs="Times New Roman"/>
          <w:bCs/>
          <w:sz w:val="24"/>
          <w:szCs w:val="24"/>
          <w:lang w:val="bg-BG"/>
        </w:rPr>
        <w:t>трябва</w:t>
      </w:r>
      <w:r w:rsidRPr="00610B1B">
        <w:rPr>
          <w:rFonts w:ascii="Times New Roman" w:hAnsi="Times New Roman" w:cs="Times New Roman"/>
          <w:bCs/>
          <w:sz w:val="24"/>
          <w:szCs w:val="24"/>
          <w:lang w:val="bg-BG"/>
        </w:rPr>
        <w:t xml:space="preserve"> да бъдат адаптирани за целите на морското пространствено планиране, за да се повиши стойността на предложените стратегически и специфични цели и програми от мерки.</w:t>
      </w:r>
      <w:r w:rsidR="00D66FE0" w:rsidRPr="00610B1B">
        <w:rPr>
          <w:rFonts w:ascii="Times New Roman" w:hAnsi="Times New Roman" w:cs="Times New Roman"/>
          <w:bCs/>
          <w:sz w:val="24"/>
          <w:szCs w:val="24"/>
          <w:lang w:val="bg-BG"/>
        </w:rPr>
        <w:t xml:space="preserve"> </w:t>
      </w:r>
    </w:p>
    <w:p w14:paraId="4ECA3226" w14:textId="77777777" w:rsidR="00A43DF1" w:rsidRPr="00610B1B" w:rsidRDefault="00A43DF1" w:rsidP="00D32D6A">
      <w:pPr>
        <w:spacing w:after="120"/>
        <w:ind w:right="-153"/>
        <w:jc w:val="both"/>
        <w:rPr>
          <w:rFonts w:ascii="Times New Roman" w:hAnsi="Times New Roman" w:cs="Times New Roman"/>
          <w:bCs/>
          <w:sz w:val="24"/>
          <w:szCs w:val="24"/>
          <w:lang w:val="bg-BG"/>
        </w:rPr>
      </w:pPr>
    </w:p>
    <w:p w14:paraId="4C908659" w14:textId="581B3D6B" w:rsidR="00B862CF" w:rsidRPr="00610B1B" w:rsidRDefault="00B601CD" w:rsidP="00D32D6A">
      <w:pPr>
        <w:pStyle w:val="Heading2"/>
        <w:spacing w:before="0" w:line="276" w:lineRule="auto"/>
        <w:ind w:right="-153"/>
        <w:rPr>
          <w:rFonts w:cs="Times New Roman"/>
        </w:rPr>
      </w:pPr>
      <w:bookmarkStart w:id="16" w:name="_Toc83391357"/>
      <w:r w:rsidRPr="00610B1B">
        <w:rPr>
          <w:rFonts w:cs="Times New Roman"/>
        </w:rPr>
        <w:t>1.</w:t>
      </w:r>
      <w:r w:rsidR="000E47EC" w:rsidRPr="00610B1B">
        <w:rPr>
          <w:rFonts w:cs="Times New Roman"/>
        </w:rPr>
        <w:t>2</w:t>
      </w:r>
      <w:r w:rsidRPr="00610B1B">
        <w:rPr>
          <w:rFonts w:cs="Times New Roman"/>
        </w:rPr>
        <w:t xml:space="preserve">. </w:t>
      </w:r>
      <w:r w:rsidR="00425D9F" w:rsidRPr="00610B1B">
        <w:rPr>
          <w:rFonts w:cs="Times New Roman"/>
        </w:rPr>
        <w:t>Главн</w:t>
      </w:r>
      <w:r w:rsidR="00953799" w:rsidRPr="00610B1B">
        <w:rPr>
          <w:rFonts w:cs="Times New Roman"/>
        </w:rPr>
        <w:t xml:space="preserve">а и специфични </w:t>
      </w:r>
      <w:r w:rsidR="00B862CF" w:rsidRPr="00610B1B">
        <w:rPr>
          <w:rFonts w:cs="Times New Roman"/>
        </w:rPr>
        <w:t>цел</w:t>
      </w:r>
      <w:r w:rsidR="00953799" w:rsidRPr="00610B1B">
        <w:rPr>
          <w:rFonts w:cs="Times New Roman"/>
        </w:rPr>
        <w:t>и</w:t>
      </w:r>
      <w:r w:rsidR="00B862CF" w:rsidRPr="00610B1B">
        <w:rPr>
          <w:rFonts w:cs="Times New Roman"/>
        </w:rPr>
        <w:t xml:space="preserve"> и задачи</w:t>
      </w:r>
      <w:r w:rsidR="00727038" w:rsidRPr="00610B1B">
        <w:rPr>
          <w:rFonts w:cs="Times New Roman"/>
        </w:rPr>
        <w:t xml:space="preserve"> </w:t>
      </w:r>
      <w:r w:rsidR="00953799" w:rsidRPr="00610B1B">
        <w:rPr>
          <w:rFonts w:cs="Times New Roman"/>
        </w:rPr>
        <w:t xml:space="preserve">при </w:t>
      </w:r>
      <w:r w:rsidR="00E03A23" w:rsidRPr="00610B1B">
        <w:rPr>
          <w:rFonts w:cs="Times New Roman"/>
        </w:rPr>
        <w:t xml:space="preserve">разработването на </w:t>
      </w:r>
      <w:r w:rsidR="00727038" w:rsidRPr="00610B1B">
        <w:rPr>
          <w:rFonts w:cs="Times New Roman"/>
        </w:rPr>
        <w:t>МППРБ</w:t>
      </w:r>
      <w:bookmarkEnd w:id="16"/>
    </w:p>
    <w:p w14:paraId="44E22E66" w14:textId="53E3EE0A" w:rsidR="00852978" w:rsidRPr="00610B1B" w:rsidRDefault="00852978" w:rsidP="00D32D6A">
      <w:pPr>
        <w:pStyle w:val="ListParagraph"/>
        <w:spacing w:after="120"/>
        <w:ind w:left="0"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Главна цел </w:t>
      </w:r>
      <w:r w:rsidR="00E03A23" w:rsidRPr="00610B1B">
        <w:rPr>
          <w:rFonts w:ascii="Times New Roman" w:hAnsi="Times New Roman" w:cs="Times New Roman"/>
          <w:bCs/>
          <w:sz w:val="24"/>
          <w:szCs w:val="24"/>
          <w:lang w:val="bg-BG"/>
        </w:rPr>
        <w:t xml:space="preserve">при разработването </w:t>
      </w:r>
      <w:r w:rsidRPr="00610B1B">
        <w:rPr>
          <w:rFonts w:ascii="Times New Roman" w:hAnsi="Times New Roman" w:cs="Times New Roman"/>
          <w:bCs/>
          <w:sz w:val="24"/>
          <w:szCs w:val="24"/>
          <w:lang w:val="bg-BG"/>
        </w:rPr>
        <w:t>на Морския пространствен план на Р. България, е създаването на условия за устойчив растеж на морската икономика, за постигане на стабилно развитие на българския черноморски регион, чрез ефективно използване на природните ресурси, съобразено с изискванията за интегрирано опазване на морската среда. МППРБ трябва да съвмести безконфликтно съществуващи и бъдещи дейности по използване на морските пространства, отчитайки мерките за постигане на добро състояние на морската околна среда на Програмата от мерки към Морската стратегия на Р. България.</w:t>
      </w:r>
    </w:p>
    <w:p w14:paraId="71996FC4" w14:textId="1A1466AF" w:rsidR="00307986" w:rsidRPr="00610B1B" w:rsidRDefault="00953799" w:rsidP="00D32D6A">
      <w:pPr>
        <w:pStyle w:val="ListParagraph"/>
        <w:spacing w:after="120"/>
        <w:ind w:left="0"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Специфичните цели в разработването </w:t>
      </w:r>
      <w:r w:rsidR="00307986" w:rsidRPr="00610B1B">
        <w:rPr>
          <w:rFonts w:ascii="Times New Roman" w:hAnsi="Times New Roman" w:cs="Times New Roman"/>
          <w:bCs/>
          <w:sz w:val="24"/>
          <w:szCs w:val="24"/>
          <w:lang w:val="bg-BG"/>
        </w:rPr>
        <w:t xml:space="preserve">на Морския пространствен план са съобразени с изискванията на Директива 2014/89/ЕС и на ЗМПВВППРБ и определят </w:t>
      </w:r>
      <w:r w:rsidR="00372D5F" w:rsidRPr="00610B1B">
        <w:rPr>
          <w:rFonts w:ascii="Times New Roman" w:hAnsi="Times New Roman" w:cs="Times New Roman"/>
          <w:bCs/>
          <w:sz w:val="24"/>
          <w:szCs w:val="24"/>
          <w:lang w:val="bg-BG"/>
        </w:rPr>
        <w:t xml:space="preserve">и </w:t>
      </w:r>
      <w:r w:rsidR="00307986" w:rsidRPr="00610B1B">
        <w:rPr>
          <w:rFonts w:ascii="Times New Roman" w:hAnsi="Times New Roman" w:cs="Times New Roman"/>
          <w:bCs/>
          <w:sz w:val="24"/>
          <w:szCs w:val="24"/>
          <w:lang w:val="bg-BG"/>
        </w:rPr>
        <w:t xml:space="preserve">задачите, които трябва да бъдат изпълнени: </w:t>
      </w:r>
    </w:p>
    <w:p w14:paraId="33B05CC8" w14:textId="6B37F18D" w:rsidR="00425D9F" w:rsidRPr="00610B1B" w:rsidRDefault="00307986" w:rsidP="00B46189">
      <w:pPr>
        <w:pStyle w:val="ListParagraph"/>
        <w:numPr>
          <w:ilvl w:val="0"/>
          <w:numId w:val="6"/>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Системен </w:t>
      </w:r>
      <w:r w:rsidR="00425D9F" w:rsidRPr="00610B1B">
        <w:rPr>
          <w:rFonts w:ascii="Times New Roman" w:hAnsi="Times New Roman" w:cs="Times New Roman"/>
          <w:bCs/>
          <w:sz w:val="24"/>
          <w:szCs w:val="24"/>
          <w:lang w:val="bg-BG"/>
        </w:rPr>
        <w:t>анализ на екологична</w:t>
      </w:r>
      <w:r w:rsidR="00F95B14" w:rsidRPr="00610B1B">
        <w:rPr>
          <w:rFonts w:ascii="Times New Roman" w:hAnsi="Times New Roman" w:cs="Times New Roman"/>
          <w:bCs/>
          <w:sz w:val="24"/>
          <w:szCs w:val="24"/>
          <w:lang w:val="bg-BG"/>
        </w:rPr>
        <w:t>та</w:t>
      </w:r>
      <w:r w:rsidR="00425D9F" w:rsidRPr="00610B1B">
        <w:rPr>
          <w:rFonts w:ascii="Times New Roman" w:hAnsi="Times New Roman" w:cs="Times New Roman"/>
          <w:bCs/>
          <w:sz w:val="24"/>
          <w:szCs w:val="24"/>
          <w:lang w:val="bg-BG"/>
        </w:rPr>
        <w:t>, геоморфоложка</w:t>
      </w:r>
      <w:r w:rsidR="00F95B14" w:rsidRPr="00610B1B">
        <w:rPr>
          <w:rFonts w:ascii="Times New Roman" w:hAnsi="Times New Roman" w:cs="Times New Roman"/>
          <w:bCs/>
          <w:sz w:val="24"/>
          <w:szCs w:val="24"/>
          <w:lang w:val="bg-BG"/>
        </w:rPr>
        <w:t>та</w:t>
      </w:r>
      <w:r w:rsidR="00425D9F" w:rsidRPr="00610B1B">
        <w:rPr>
          <w:rFonts w:ascii="Times New Roman" w:hAnsi="Times New Roman" w:cs="Times New Roman"/>
          <w:bCs/>
          <w:sz w:val="24"/>
          <w:szCs w:val="24"/>
          <w:lang w:val="bg-BG"/>
        </w:rPr>
        <w:t xml:space="preserve"> и хидроложка</w:t>
      </w:r>
      <w:r w:rsidR="00F95B14" w:rsidRPr="00610B1B">
        <w:rPr>
          <w:rFonts w:ascii="Times New Roman" w:hAnsi="Times New Roman" w:cs="Times New Roman"/>
          <w:bCs/>
          <w:sz w:val="24"/>
          <w:szCs w:val="24"/>
          <w:lang w:val="bg-BG"/>
        </w:rPr>
        <w:t>та</w:t>
      </w:r>
      <w:r w:rsidR="00425D9F" w:rsidRPr="00610B1B">
        <w:rPr>
          <w:rFonts w:ascii="Times New Roman" w:hAnsi="Times New Roman" w:cs="Times New Roman"/>
          <w:bCs/>
          <w:sz w:val="24"/>
          <w:szCs w:val="24"/>
          <w:lang w:val="bg-BG"/>
        </w:rPr>
        <w:t xml:space="preserve"> информация за морските пространства на Р. България и на извършваните дейности, отчитайки особеностите на Черноморския регион, състоянието на биологичните, материалните и енергийните ресурси, взаимодействията между сушата и морето и сътрудничество</w:t>
      </w:r>
      <w:r w:rsidR="00852978" w:rsidRPr="00610B1B">
        <w:rPr>
          <w:rFonts w:ascii="Times New Roman" w:hAnsi="Times New Roman" w:cs="Times New Roman"/>
          <w:bCs/>
          <w:sz w:val="24"/>
          <w:szCs w:val="24"/>
          <w:lang w:val="bg-BG"/>
        </w:rPr>
        <w:t>то</w:t>
      </w:r>
      <w:r w:rsidR="00425D9F" w:rsidRPr="00610B1B">
        <w:rPr>
          <w:rFonts w:ascii="Times New Roman" w:hAnsi="Times New Roman" w:cs="Times New Roman"/>
          <w:bCs/>
          <w:sz w:val="24"/>
          <w:szCs w:val="24"/>
          <w:lang w:val="bg-BG"/>
        </w:rPr>
        <w:t xml:space="preserve"> в региона</w:t>
      </w:r>
      <w:r w:rsidR="00852978" w:rsidRPr="00610B1B">
        <w:rPr>
          <w:rFonts w:ascii="Times New Roman" w:hAnsi="Times New Roman" w:cs="Times New Roman"/>
          <w:bCs/>
          <w:sz w:val="24"/>
          <w:szCs w:val="24"/>
          <w:lang w:val="bg-BG"/>
        </w:rPr>
        <w:t>,</w:t>
      </w:r>
      <w:r w:rsidR="00425D9F" w:rsidRPr="00610B1B">
        <w:rPr>
          <w:rFonts w:ascii="Times New Roman" w:hAnsi="Times New Roman" w:cs="Times New Roman"/>
          <w:bCs/>
          <w:sz w:val="24"/>
          <w:szCs w:val="24"/>
          <w:lang w:val="bg-BG"/>
        </w:rPr>
        <w:t xml:space="preserve"> систематизиране на изводи за проблемите и потенциала за развитие.</w:t>
      </w:r>
    </w:p>
    <w:p w14:paraId="42CB3979" w14:textId="30E67F27" w:rsidR="00425D9F" w:rsidRPr="00610B1B" w:rsidRDefault="00425D9F" w:rsidP="00B46189">
      <w:pPr>
        <w:pStyle w:val="ListParagraph"/>
        <w:numPr>
          <w:ilvl w:val="0"/>
          <w:numId w:val="6"/>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Разработване на прогнози и сценарии за безконфликтно мултифункционално използване на морските пространства и прилежащите крайбрежни зони на основата на система от пространствени принципи</w:t>
      </w:r>
      <w:r w:rsidR="00D84E05" w:rsidRPr="00610B1B">
        <w:rPr>
          <w:rFonts w:ascii="Times New Roman" w:hAnsi="Times New Roman" w:cs="Times New Roman"/>
          <w:bCs/>
          <w:sz w:val="24"/>
          <w:szCs w:val="24"/>
          <w:lang w:val="bg-BG"/>
        </w:rPr>
        <w:t>,</w:t>
      </w:r>
      <w:r w:rsidR="00852978" w:rsidRPr="00610B1B">
        <w:rPr>
          <w:rFonts w:ascii="Times New Roman" w:hAnsi="Times New Roman" w:cs="Times New Roman"/>
          <w:bCs/>
          <w:sz w:val="24"/>
          <w:szCs w:val="24"/>
          <w:lang w:val="bg-BG"/>
        </w:rPr>
        <w:t xml:space="preserve"> критерии за избор на оптимален сценарий, </w:t>
      </w:r>
      <w:r w:rsidRPr="00610B1B">
        <w:rPr>
          <w:rFonts w:ascii="Times New Roman" w:hAnsi="Times New Roman" w:cs="Times New Roman"/>
          <w:bCs/>
          <w:sz w:val="24"/>
          <w:szCs w:val="24"/>
          <w:lang w:val="bg-BG"/>
        </w:rPr>
        <w:t xml:space="preserve">ГИС базирани анализи и </w:t>
      </w:r>
      <w:r w:rsidR="003A146E" w:rsidRPr="00610B1B">
        <w:rPr>
          <w:rFonts w:ascii="Times New Roman" w:hAnsi="Times New Roman" w:cs="Times New Roman"/>
          <w:bCs/>
          <w:sz w:val="24"/>
          <w:szCs w:val="24"/>
          <w:lang w:val="bg-BG"/>
        </w:rPr>
        <w:t xml:space="preserve">методически </w:t>
      </w:r>
      <w:r w:rsidRPr="00610B1B">
        <w:rPr>
          <w:rFonts w:ascii="Times New Roman" w:hAnsi="Times New Roman" w:cs="Times New Roman"/>
          <w:bCs/>
          <w:sz w:val="24"/>
          <w:szCs w:val="24"/>
          <w:lang w:val="bg-BG"/>
        </w:rPr>
        <w:t xml:space="preserve">указания, </w:t>
      </w:r>
      <w:r w:rsidR="003528BC" w:rsidRPr="00610B1B">
        <w:rPr>
          <w:rFonts w:ascii="Times New Roman" w:hAnsi="Times New Roman" w:cs="Times New Roman"/>
          <w:bCs/>
          <w:sz w:val="24"/>
          <w:szCs w:val="24"/>
          <w:lang w:val="bg-BG"/>
        </w:rPr>
        <w:t xml:space="preserve">изготвени </w:t>
      </w:r>
      <w:r w:rsidR="008C0BBF" w:rsidRPr="00610B1B">
        <w:rPr>
          <w:rFonts w:ascii="Times New Roman" w:hAnsi="Times New Roman" w:cs="Times New Roman"/>
          <w:bCs/>
          <w:sz w:val="24"/>
          <w:szCs w:val="24"/>
          <w:lang w:val="bg-BG"/>
        </w:rPr>
        <w:t>по</w:t>
      </w:r>
      <w:r w:rsidR="003528BC"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проект MARSPLAN-BS</w:t>
      </w:r>
      <w:r w:rsidR="00552C23" w:rsidRPr="00610B1B">
        <w:rPr>
          <w:rStyle w:val="FootnoteReference"/>
          <w:rFonts w:ascii="Times New Roman" w:hAnsi="Times New Roman" w:cs="Times New Roman"/>
          <w:bCs/>
          <w:sz w:val="24"/>
          <w:szCs w:val="24"/>
          <w:lang w:val="bg-BG"/>
        </w:rPr>
        <w:footnoteReference w:id="70"/>
      </w:r>
      <w:r w:rsidRPr="00610B1B">
        <w:rPr>
          <w:rFonts w:ascii="Times New Roman" w:hAnsi="Times New Roman" w:cs="Times New Roman"/>
          <w:bCs/>
          <w:sz w:val="24"/>
          <w:szCs w:val="24"/>
          <w:lang w:val="bg-BG"/>
        </w:rPr>
        <w:t>.</w:t>
      </w:r>
    </w:p>
    <w:p w14:paraId="34AC6466" w14:textId="500764FD" w:rsidR="00852978" w:rsidRPr="00610B1B" w:rsidRDefault="00852978" w:rsidP="00B46189">
      <w:pPr>
        <w:pStyle w:val="ListParagraph"/>
        <w:numPr>
          <w:ilvl w:val="0"/>
          <w:numId w:val="6"/>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Разработване и широко експертно и публично консултиране на дългосрочна визия</w:t>
      </w:r>
      <w:r w:rsidR="004C08D4"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стратегически </w:t>
      </w:r>
      <w:r w:rsidR="004C08D4" w:rsidRPr="00610B1B">
        <w:rPr>
          <w:rFonts w:ascii="Times New Roman" w:hAnsi="Times New Roman" w:cs="Times New Roman"/>
          <w:bCs/>
          <w:sz w:val="24"/>
          <w:szCs w:val="24"/>
          <w:lang w:val="bg-BG"/>
        </w:rPr>
        <w:t xml:space="preserve">и специфични </w:t>
      </w:r>
      <w:r w:rsidRPr="00610B1B">
        <w:rPr>
          <w:rFonts w:ascii="Times New Roman" w:hAnsi="Times New Roman" w:cs="Times New Roman"/>
          <w:bCs/>
          <w:sz w:val="24"/>
          <w:szCs w:val="24"/>
          <w:lang w:val="bg-BG"/>
        </w:rPr>
        <w:t>цели в съответствие с изводите от анализа на</w:t>
      </w:r>
      <w:r w:rsidR="00D66FE0" w:rsidRPr="00610B1B">
        <w:rPr>
          <w:rFonts w:ascii="Times New Roman" w:hAnsi="Times New Roman" w:cs="Times New Roman"/>
          <w:bCs/>
          <w:sz w:val="24"/>
          <w:szCs w:val="24"/>
          <w:lang w:val="bg-BG"/>
        </w:rPr>
        <w:t xml:space="preserve"> </w:t>
      </w:r>
      <w:r w:rsidR="004C08D4" w:rsidRPr="00610B1B">
        <w:rPr>
          <w:rFonts w:ascii="Times New Roman" w:hAnsi="Times New Roman" w:cs="Times New Roman"/>
          <w:bCs/>
          <w:sz w:val="24"/>
          <w:szCs w:val="24"/>
          <w:lang w:val="bg-BG"/>
        </w:rPr>
        <w:t>теку</w:t>
      </w:r>
      <w:r w:rsidRPr="00610B1B">
        <w:rPr>
          <w:rFonts w:ascii="Times New Roman" w:hAnsi="Times New Roman" w:cs="Times New Roman"/>
          <w:bCs/>
          <w:sz w:val="24"/>
          <w:szCs w:val="24"/>
          <w:lang w:val="bg-BG"/>
        </w:rPr>
        <w:t xml:space="preserve">щото състояние, съвременните изисквания за устойчиво използване и опазване на морските ресурси, социално-икономическия потенциал, тенденциите за развитие на </w:t>
      </w:r>
      <w:r w:rsidR="003528BC" w:rsidRPr="00610B1B">
        <w:rPr>
          <w:rFonts w:ascii="Times New Roman" w:hAnsi="Times New Roman" w:cs="Times New Roman"/>
          <w:bCs/>
          <w:sz w:val="24"/>
          <w:szCs w:val="24"/>
          <w:lang w:val="bg-BG"/>
        </w:rPr>
        <w:t xml:space="preserve">Черноморския </w:t>
      </w:r>
      <w:r w:rsidRPr="00610B1B">
        <w:rPr>
          <w:rFonts w:ascii="Times New Roman" w:hAnsi="Times New Roman" w:cs="Times New Roman"/>
          <w:bCs/>
          <w:sz w:val="24"/>
          <w:szCs w:val="24"/>
          <w:lang w:val="bg-BG"/>
        </w:rPr>
        <w:t>регион, избрания сценарий и установеното</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сътрудничество.</w:t>
      </w:r>
    </w:p>
    <w:p w14:paraId="496F5FF7" w14:textId="2E5FAFDB" w:rsidR="00246EED" w:rsidRPr="00610B1B" w:rsidRDefault="00246EED" w:rsidP="00B46189">
      <w:pPr>
        <w:pStyle w:val="ListParagraph"/>
        <w:numPr>
          <w:ilvl w:val="0"/>
          <w:numId w:val="6"/>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lastRenderedPageBreak/>
        <w:t xml:space="preserve">Разработване на </w:t>
      </w:r>
      <w:r w:rsidR="00D34FF8" w:rsidRPr="00610B1B">
        <w:rPr>
          <w:rFonts w:ascii="Times New Roman" w:hAnsi="Times New Roman" w:cs="Times New Roman"/>
          <w:bCs/>
          <w:sz w:val="24"/>
          <w:szCs w:val="24"/>
          <w:lang w:val="bg-BG"/>
        </w:rPr>
        <w:t>препоръки към участниците в</w:t>
      </w:r>
      <w:r w:rsidRPr="00610B1B">
        <w:rPr>
          <w:rFonts w:ascii="Times New Roman" w:hAnsi="Times New Roman" w:cs="Times New Roman"/>
          <w:bCs/>
          <w:sz w:val="24"/>
          <w:szCs w:val="24"/>
          <w:lang w:val="bg-BG"/>
        </w:rPr>
        <w:t xml:space="preserve"> прилагане</w:t>
      </w:r>
      <w:r w:rsidR="00D34FF8" w:rsidRPr="00610B1B">
        <w:rPr>
          <w:rFonts w:ascii="Times New Roman" w:hAnsi="Times New Roman" w:cs="Times New Roman"/>
          <w:bCs/>
          <w:sz w:val="24"/>
          <w:szCs w:val="24"/>
          <w:lang w:val="bg-BG"/>
        </w:rPr>
        <w:t>то</w:t>
      </w:r>
      <w:r w:rsidRPr="00610B1B">
        <w:rPr>
          <w:rFonts w:ascii="Times New Roman" w:hAnsi="Times New Roman" w:cs="Times New Roman"/>
          <w:bCs/>
          <w:sz w:val="24"/>
          <w:szCs w:val="24"/>
          <w:lang w:val="bg-BG"/>
        </w:rPr>
        <w:t xml:space="preserve"> на Морския пространствен план, с които да бъдат постигнати заложените в документа главни и специфични цели.</w:t>
      </w:r>
    </w:p>
    <w:p w14:paraId="0968A63C" w14:textId="1ABCFD57" w:rsidR="00425D9F" w:rsidRPr="00610B1B" w:rsidRDefault="00425D9F" w:rsidP="00B46189">
      <w:pPr>
        <w:pStyle w:val="ListParagraph"/>
        <w:numPr>
          <w:ilvl w:val="0"/>
          <w:numId w:val="6"/>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Създаване на целеви пакет от икономически, социални и екологични цели и индикатори за наблюдение на напредъка в постигането им и за управление и ефективно изпълнение на МППРБ, отчитайки програмата </w:t>
      </w:r>
      <w:r w:rsidR="003528BC" w:rsidRPr="00610B1B">
        <w:rPr>
          <w:rFonts w:ascii="Times New Roman" w:hAnsi="Times New Roman" w:cs="Times New Roman"/>
          <w:bCs/>
          <w:sz w:val="24"/>
          <w:szCs w:val="24"/>
          <w:lang w:val="bg-BG"/>
        </w:rPr>
        <w:t>от мерки</w:t>
      </w:r>
      <w:r w:rsidRPr="00610B1B">
        <w:rPr>
          <w:rFonts w:ascii="Times New Roman" w:hAnsi="Times New Roman" w:cs="Times New Roman"/>
          <w:bCs/>
          <w:sz w:val="24"/>
          <w:szCs w:val="24"/>
          <w:lang w:val="bg-BG"/>
        </w:rPr>
        <w:t xml:space="preserve"> и програмата </w:t>
      </w:r>
      <w:r w:rsidR="003528BC" w:rsidRPr="00610B1B">
        <w:rPr>
          <w:rFonts w:ascii="Times New Roman" w:hAnsi="Times New Roman" w:cs="Times New Roman"/>
          <w:bCs/>
          <w:sz w:val="24"/>
          <w:szCs w:val="24"/>
          <w:lang w:val="bg-BG"/>
        </w:rPr>
        <w:t>за мониторинг</w:t>
      </w:r>
      <w:r w:rsidRPr="00610B1B">
        <w:rPr>
          <w:rFonts w:ascii="Times New Roman" w:hAnsi="Times New Roman" w:cs="Times New Roman"/>
          <w:bCs/>
          <w:sz w:val="24"/>
          <w:szCs w:val="24"/>
          <w:lang w:val="bg-BG"/>
        </w:rPr>
        <w:t>, заложени в Морската стратегия на Република България.</w:t>
      </w:r>
    </w:p>
    <w:p w14:paraId="32713CA3" w14:textId="77777777" w:rsidR="00307986" w:rsidRPr="00610B1B" w:rsidRDefault="00425D9F" w:rsidP="00B46189">
      <w:pPr>
        <w:pStyle w:val="ListParagraph"/>
        <w:numPr>
          <w:ilvl w:val="0"/>
          <w:numId w:val="6"/>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Обвързване на законодателната рамка на МППРБ с действащата нормативна уредба в страната, в ЕС и останалите черноморски страни, както и с най-важните и съотносими международни конвенции, протоколи и декларации.</w:t>
      </w:r>
    </w:p>
    <w:p w14:paraId="2AF9A677" w14:textId="1D1B18D4" w:rsidR="00425D9F" w:rsidRPr="00610B1B" w:rsidRDefault="00425D9F" w:rsidP="00B46189">
      <w:pPr>
        <w:pStyle w:val="ListParagraph"/>
        <w:numPr>
          <w:ilvl w:val="0"/>
          <w:numId w:val="6"/>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Събиране и актуализиране на информация</w:t>
      </w:r>
      <w:r w:rsidR="004C08D4" w:rsidRPr="00610B1B">
        <w:rPr>
          <w:rFonts w:ascii="Times New Roman" w:hAnsi="Times New Roman" w:cs="Times New Roman"/>
          <w:bCs/>
          <w:sz w:val="24"/>
          <w:szCs w:val="24"/>
          <w:lang w:val="bg-BG"/>
        </w:rPr>
        <w:t>та</w:t>
      </w:r>
      <w:r w:rsidRPr="00610B1B">
        <w:rPr>
          <w:rFonts w:ascii="Times New Roman" w:hAnsi="Times New Roman" w:cs="Times New Roman"/>
          <w:bCs/>
          <w:sz w:val="24"/>
          <w:szCs w:val="24"/>
          <w:lang w:val="bg-BG"/>
        </w:rPr>
        <w:t xml:space="preserve"> в ГИС база данни на МППРБ и </w:t>
      </w:r>
      <w:r w:rsidR="00307986" w:rsidRPr="00610B1B">
        <w:rPr>
          <w:rFonts w:ascii="Times New Roman" w:hAnsi="Times New Roman" w:cs="Times New Roman"/>
          <w:bCs/>
          <w:sz w:val="24"/>
          <w:szCs w:val="24"/>
          <w:lang w:val="bg-BG"/>
        </w:rPr>
        <w:t xml:space="preserve">използването им за анализи и </w:t>
      </w:r>
      <w:r w:rsidR="003528BC" w:rsidRPr="00610B1B">
        <w:rPr>
          <w:rFonts w:ascii="Times New Roman" w:hAnsi="Times New Roman" w:cs="Times New Roman"/>
          <w:bCs/>
          <w:sz w:val="24"/>
          <w:szCs w:val="24"/>
          <w:lang w:val="bg-BG"/>
        </w:rPr>
        <w:t xml:space="preserve">графични </w:t>
      </w:r>
      <w:r w:rsidR="00307986" w:rsidRPr="00610B1B">
        <w:rPr>
          <w:rFonts w:ascii="Times New Roman" w:hAnsi="Times New Roman" w:cs="Times New Roman"/>
          <w:bCs/>
          <w:sz w:val="24"/>
          <w:szCs w:val="24"/>
          <w:lang w:val="bg-BG"/>
        </w:rPr>
        <w:t xml:space="preserve">илюстрации </w:t>
      </w:r>
      <w:r w:rsidRPr="00610B1B">
        <w:rPr>
          <w:rFonts w:ascii="Times New Roman" w:hAnsi="Times New Roman" w:cs="Times New Roman"/>
          <w:bCs/>
          <w:sz w:val="24"/>
          <w:szCs w:val="24"/>
          <w:lang w:val="bg-BG"/>
        </w:rPr>
        <w:t>с отразени обекти, маршрути и коридори, функционални зони за безконфликтно съвместяване на дейностите в морското пространство, включително и такива за трансгранично сътрудничество.</w:t>
      </w:r>
    </w:p>
    <w:p w14:paraId="4673E2FF" w14:textId="6F0251D4" w:rsidR="00425D9F" w:rsidRPr="00610B1B" w:rsidRDefault="00425D9F" w:rsidP="00B46189">
      <w:pPr>
        <w:pStyle w:val="ListParagraph"/>
        <w:numPr>
          <w:ilvl w:val="0"/>
          <w:numId w:val="6"/>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Изготвяне на Екологична оценка и Оценка за съвместимост като неотменна част на МППРБ и в трансграничен контекст, съгласно изискванията на </w:t>
      </w:r>
      <w:r w:rsidR="00E34F7C" w:rsidRPr="00610B1B">
        <w:rPr>
          <w:rFonts w:ascii="Times New Roman" w:hAnsi="Times New Roman" w:cs="Times New Roman"/>
          <w:bCs/>
          <w:sz w:val="24"/>
          <w:szCs w:val="24"/>
          <w:lang w:val="bg-BG"/>
        </w:rPr>
        <w:t xml:space="preserve">действащото национално законодателство по </w:t>
      </w:r>
      <w:r w:rsidRPr="00610B1B">
        <w:rPr>
          <w:rFonts w:ascii="Times New Roman" w:hAnsi="Times New Roman" w:cs="Times New Roman"/>
          <w:bCs/>
          <w:sz w:val="24"/>
          <w:szCs w:val="24"/>
          <w:lang w:val="bg-BG"/>
        </w:rPr>
        <w:t>опазване на околната среда</w:t>
      </w:r>
      <w:r w:rsidR="00E34F7C" w:rsidRPr="00610B1B">
        <w:rPr>
          <w:rFonts w:ascii="Times New Roman" w:hAnsi="Times New Roman" w:cs="Times New Roman"/>
          <w:bCs/>
          <w:sz w:val="24"/>
          <w:szCs w:val="24"/>
          <w:lang w:val="bg-BG"/>
        </w:rPr>
        <w:t xml:space="preserve"> и биоразнообразието,</w:t>
      </w:r>
      <w:r w:rsidRPr="00610B1B">
        <w:rPr>
          <w:rFonts w:ascii="Times New Roman" w:hAnsi="Times New Roman" w:cs="Times New Roman"/>
          <w:bCs/>
          <w:sz w:val="24"/>
          <w:szCs w:val="24"/>
          <w:lang w:val="bg-BG"/>
        </w:rPr>
        <w:t xml:space="preserve"> Конвенцията за оценка на въздействието върху околната среда в трансграничен контекст</w:t>
      </w:r>
      <w:r w:rsidR="00D84E05" w:rsidRPr="00610B1B">
        <w:rPr>
          <w:rStyle w:val="FootnoteReference"/>
          <w:rFonts w:ascii="Times New Roman" w:hAnsi="Times New Roman" w:cs="Times New Roman"/>
          <w:bCs/>
          <w:sz w:val="24"/>
          <w:szCs w:val="24"/>
          <w:lang w:val="bg-BG"/>
        </w:rPr>
        <w:footnoteReference w:id="71"/>
      </w:r>
      <w:r w:rsidRPr="00610B1B">
        <w:rPr>
          <w:rFonts w:ascii="Times New Roman" w:hAnsi="Times New Roman" w:cs="Times New Roman"/>
          <w:bCs/>
          <w:sz w:val="24"/>
          <w:szCs w:val="24"/>
          <w:lang w:val="bg-BG"/>
        </w:rPr>
        <w:t xml:space="preserve"> и Протокола за стратегическа екологична оценка към </w:t>
      </w:r>
      <w:r w:rsidR="0080451D" w:rsidRPr="00610B1B">
        <w:rPr>
          <w:rFonts w:ascii="Times New Roman" w:hAnsi="Times New Roman" w:cs="Times New Roman"/>
          <w:bCs/>
          <w:sz w:val="24"/>
          <w:szCs w:val="24"/>
          <w:lang w:val="bg-BG"/>
        </w:rPr>
        <w:t>нея</w:t>
      </w:r>
      <w:r w:rsidRPr="00610B1B">
        <w:rPr>
          <w:rFonts w:ascii="Times New Roman" w:hAnsi="Times New Roman" w:cs="Times New Roman"/>
          <w:bCs/>
          <w:sz w:val="24"/>
          <w:szCs w:val="24"/>
          <w:lang w:val="bg-BG"/>
        </w:rPr>
        <w:t xml:space="preserve"> от 2010 г.</w:t>
      </w:r>
      <w:r w:rsidR="00D66FE0" w:rsidRPr="00610B1B">
        <w:rPr>
          <w:rFonts w:ascii="Times New Roman" w:hAnsi="Times New Roman" w:cs="Times New Roman"/>
          <w:bCs/>
          <w:sz w:val="24"/>
          <w:szCs w:val="24"/>
          <w:lang w:val="bg-BG"/>
        </w:rPr>
        <w:t xml:space="preserve"> </w:t>
      </w:r>
    </w:p>
    <w:p w14:paraId="1FC06608" w14:textId="6CBCA585" w:rsidR="00425D9F" w:rsidRPr="00610B1B" w:rsidRDefault="00425D9F" w:rsidP="00B46189">
      <w:pPr>
        <w:pStyle w:val="ListParagraph"/>
        <w:numPr>
          <w:ilvl w:val="0"/>
          <w:numId w:val="6"/>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Систематизиране на принципи, правила и процедури за публични консултации и обществени обсъждания на МППРБ и на оценките на въздействието към него и провеждане на процедурите с компетентните органи, участници, заинтересовани и потенциално засегнати страни.</w:t>
      </w:r>
      <w:r w:rsidR="00D66FE0" w:rsidRPr="00610B1B">
        <w:rPr>
          <w:rFonts w:ascii="Times New Roman" w:hAnsi="Times New Roman" w:cs="Times New Roman"/>
          <w:bCs/>
          <w:sz w:val="24"/>
          <w:szCs w:val="24"/>
          <w:lang w:val="bg-BG"/>
        </w:rPr>
        <w:t xml:space="preserve"> </w:t>
      </w:r>
    </w:p>
    <w:p w14:paraId="683F3301" w14:textId="1DF9CA91" w:rsidR="00834542" w:rsidRPr="00610B1B" w:rsidRDefault="003528BC" w:rsidP="00D32D6A">
      <w:pPr>
        <w:pStyle w:val="ListParagraph"/>
        <w:spacing w:after="120"/>
        <w:ind w:left="0"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Систематизираните в няколко групи за</w:t>
      </w:r>
      <w:r w:rsidR="00425D9F" w:rsidRPr="00610B1B">
        <w:rPr>
          <w:rFonts w:ascii="Times New Roman" w:hAnsi="Times New Roman" w:cs="Times New Roman"/>
          <w:bCs/>
          <w:sz w:val="24"/>
          <w:szCs w:val="24"/>
          <w:lang w:val="bg-BG"/>
        </w:rPr>
        <w:t>дачи на Морския пространствен план</w:t>
      </w:r>
      <w:r w:rsidR="00246EED" w:rsidRPr="00610B1B">
        <w:rPr>
          <w:rFonts w:ascii="Times New Roman" w:hAnsi="Times New Roman" w:cs="Times New Roman"/>
          <w:bCs/>
          <w:sz w:val="24"/>
          <w:szCs w:val="24"/>
          <w:lang w:val="bg-BG"/>
        </w:rPr>
        <w:t xml:space="preserve"> </w:t>
      </w:r>
      <w:r w:rsidR="00425D9F" w:rsidRPr="00610B1B">
        <w:rPr>
          <w:rFonts w:ascii="Times New Roman" w:hAnsi="Times New Roman" w:cs="Times New Roman"/>
          <w:bCs/>
          <w:sz w:val="24"/>
          <w:szCs w:val="24"/>
          <w:lang w:val="bg-BG"/>
        </w:rPr>
        <w:t>съответства</w:t>
      </w:r>
      <w:r w:rsidR="00246EED" w:rsidRPr="00610B1B">
        <w:rPr>
          <w:rFonts w:ascii="Times New Roman" w:hAnsi="Times New Roman" w:cs="Times New Roman"/>
          <w:bCs/>
          <w:sz w:val="24"/>
          <w:szCs w:val="24"/>
          <w:lang w:val="bg-BG"/>
        </w:rPr>
        <w:t>т</w:t>
      </w:r>
      <w:r w:rsidR="00425D9F" w:rsidRPr="00610B1B">
        <w:rPr>
          <w:rFonts w:ascii="Times New Roman" w:hAnsi="Times New Roman" w:cs="Times New Roman"/>
          <w:bCs/>
          <w:sz w:val="24"/>
          <w:szCs w:val="24"/>
          <w:lang w:val="bg-BG"/>
        </w:rPr>
        <w:t xml:space="preserve"> на възприетите и прилагани в света 10 стъпки за морско пространствено планиране</w:t>
      </w:r>
      <w:r w:rsidR="00834542" w:rsidRPr="00610B1B">
        <w:rPr>
          <w:rFonts w:ascii="Times New Roman" w:hAnsi="Times New Roman" w:cs="Times New Roman"/>
          <w:bCs/>
          <w:sz w:val="24"/>
          <w:szCs w:val="24"/>
          <w:lang w:val="bg-BG"/>
        </w:rPr>
        <w:t xml:space="preserve"> и изграждат структурата на документа. </w:t>
      </w:r>
    </w:p>
    <w:p w14:paraId="03DFBAAF" w14:textId="77777777" w:rsidR="00834542" w:rsidRPr="00610B1B" w:rsidRDefault="00834542" w:rsidP="00D32D6A">
      <w:pPr>
        <w:spacing w:after="120"/>
        <w:ind w:right="-153"/>
        <w:rPr>
          <w:rFonts w:ascii="Times New Roman" w:eastAsia="Source Han Sans CN Regular" w:hAnsi="Times New Roman" w:cs="Times New Roman"/>
          <w:b/>
          <w:bCs/>
          <w:sz w:val="36"/>
          <w:szCs w:val="36"/>
          <w:lang w:val="bg-BG" w:eastAsia="zh-CN" w:bidi="hi-IN"/>
        </w:rPr>
      </w:pPr>
      <w:r w:rsidRPr="00610B1B">
        <w:rPr>
          <w:rFonts w:ascii="Times New Roman" w:hAnsi="Times New Roman" w:cs="Times New Roman"/>
          <w:lang w:val="bg-BG"/>
        </w:rPr>
        <w:br w:type="page"/>
      </w:r>
    </w:p>
    <w:p w14:paraId="6C031AD7" w14:textId="0E2A327E" w:rsidR="00E45540" w:rsidRPr="00610B1B" w:rsidRDefault="00430786" w:rsidP="00D32D6A">
      <w:pPr>
        <w:pStyle w:val="Heading1"/>
        <w:spacing w:before="0" w:line="276" w:lineRule="auto"/>
        <w:ind w:right="-153"/>
        <w:rPr>
          <w:rFonts w:cs="Times New Roman"/>
        </w:rPr>
      </w:pPr>
      <w:bookmarkStart w:id="17" w:name="_Toc83391358"/>
      <w:r w:rsidRPr="00610B1B">
        <w:rPr>
          <w:rFonts w:cs="Times New Roman"/>
        </w:rPr>
        <w:lastRenderedPageBreak/>
        <w:t xml:space="preserve">2. </w:t>
      </w:r>
      <w:r w:rsidR="00E45540" w:rsidRPr="00610B1B">
        <w:rPr>
          <w:rFonts w:cs="Times New Roman"/>
        </w:rPr>
        <w:t>СЪСТОЯНИЕ НА НАЦИОНАЛНОТО МОРСКО ПРОСТРАНСТВО</w:t>
      </w:r>
      <w:bookmarkEnd w:id="17"/>
    </w:p>
    <w:p w14:paraId="1A415E35" w14:textId="77777777" w:rsidR="00430786" w:rsidRPr="00610B1B" w:rsidRDefault="00430786" w:rsidP="00D32D6A">
      <w:pPr>
        <w:pStyle w:val="Heading2"/>
        <w:spacing w:before="0" w:line="276" w:lineRule="auto"/>
        <w:ind w:right="-153"/>
        <w:rPr>
          <w:rFonts w:cs="Times New Roman"/>
        </w:rPr>
      </w:pPr>
      <w:bookmarkStart w:id="18" w:name="_Toc83391359"/>
      <w:r w:rsidRPr="00610B1B">
        <w:rPr>
          <w:rFonts w:cs="Times New Roman"/>
        </w:rPr>
        <w:t>2.1. Особености на Черноморския регион</w:t>
      </w:r>
      <w:bookmarkEnd w:id="18"/>
    </w:p>
    <w:p w14:paraId="58C7D84A" w14:textId="40787F56" w:rsidR="00430786" w:rsidRPr="00610B1B" w:rsidRDefault="0083454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 xml:space="preserve">Черно море е </w:t>
      </w:r>
      <w:r w:rsidRPr="00610B1B">
        <w:rPr>
          <w:rFonts w:ascii="Times New Roman" w:eastAsia="Times New Roman" w:hAnsi="Times New Roman" w:cs="Times New Roman"/>
          <w:b/>
          <w:i/>
          <w:sz w:val="24"/>
          <w:szCs w:val="24"/>
          <w:lang w:val="bg-BG" w:eastAsia="bg-BG"/>
        </w:rPr>
        <w:t>полузатворен басейн</w:t>
      </w:r>
      <w:r w:rsidRPr="00610B1B">
        <w:rPr>
          <w:rFonts w:ascii="Times New Roman" w:eastAsia="Times New Roman" w:hAnsi="Times New Roman" w:cs="Times New Roman"/>
          <w:sz w:val="24"/>
          <w:szCs w:val="24"/>
          <w:lang w:val="bg-BG" w:eastAsia="bg-BG"/>
        </w:rPr>
        <w:t>, разположен между Европа и Азия</w:t>
      </w:r>
      <w:r w:rsidR="005E308D" w:rsidRPr="00610B1B">
        <w:rPr>
          <w:rFonts w:ascii="Times New Roman" w:eastAsia="Times New Roman" w:hAnsi="Times New Roman" w:cs="Times New Roman"/>
          <w:sz w:val="24"/>
          <w:szCs w:val="24"/>
          <w:lang w:val="bg-BG" w:eastAsia="bg-BG"/>
        </w:rPr>
        <w:t xml:space="preserve"> с е</w:t>
      </w:r>
      <w:r w:rsidRPr="00610B1B">
        <w:rPr>
          <w:rFonts w:ascii="Times New Roman" w:eastAsia="Times New Roman" w:hAnsi="Times New Roman" w:cs="Times New Roman"/>
          <w:sz w:val="24"/>
          <w:szCs w:val="24"/>
          <w:lang w:val="bg-BG" w:eastAsia="bg-BG"/>
        </w:rPr>
        <w:t xml:space="preserve">динствена връзка със световния океан през Средиземно море чрез Босфора. На север чрез протока Керч </w:t>
      </w:r>
      <w:r w:rsidR="005E308D" w:rsidRPr="00610B1B">
        <w:rPr>
          <w:rFonts w:ascii="Times New Roman" w:eastAsia="Times New Roman" w:hAnsi="Times New Roman" w:cs="Times New Roman"/>
          <w:sz w:val="24"/>
          <w:szCs w:val="24"/>
          <w:lang w:val="bg-BG" w:eastAsia="bg-BG"/>
        </w:rPr>
        <w:t>то</w:t>
      </w:r>
      <w:r w:rsidRPr="00610B1B">
        <w:rPr>
          <w:rFonts w:ascii="Times New Roman" w:eastAsia="Times New Roman" w:hAnsi="Times New Roman" w:cs="Times New Roman"/>
          <w:sz w:val="24"/>
          <w:szCs w:val="24"/>
          <w:lang w:val="bg-BG" w:eastAsia="bg-BG"/>
        </w:rPr>
        <w:t xml:space="preserve"> се свързва с Азовско море. </w:t>
      </w:r>
      <w:r w:rsidR="00430786" w:rsidRPr="00610B1B">
        <w:rPr>
          <w:rFonts w:ascii="Times New Roman" w:eastAsia="Times New Roman" w:hAnsi="Times New Roman" w:cs="Times New Roman"/>
          <w:sz w:val="24"/>
          <w:szCs w:val="24"/>
          <w:lang w:val="bg-BG" w:eastAsia="bg-BG"/>
        </w:rPr>
        <w:t>Българската акватория заема най-западните части от Черноморския басейн.</w:t>
      </w:r>
    </w:p>
    <w:p w14:paraId="3D9E2610" w14:textId="22DC0956" w:rsidR="00430786" w:rsidRPr="00610B1B" w:rsidRDefault="00221514"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Българското </w:t>
      </w:r>
      <w:r w:rsidR="00430786" w:rsidRPr="00610B1B">
        <w:rPr>
          <w:rFonts w:ascii="Times New Roman" w:eastAsia="Times New Roman" w:hAnsi="Times New Roman" w:cs="Times New Roman"/>
          <w:sz w:val="24"/>
          <w:szCs w:val="24"/>
          <w:lang w:val="bg-BG"/>
        </w:rPr>
        <w:t>Черноморско крайбрежие в геоложко отношение е изградено в северната си част от седиментни скали, а в южната</w:t>
      </w:r>
      <w:r w:rsidR="00834542" w:rsidRPr="00610B1B">
        <w:rPr>
          <w:rFonts w:ascii="Times New Roman" w:eastAsia="Times New Roman" w:hAnsi="Times New Roman" w:cs="Times New Roman"/>
          <w:sz w:val="24"/>
          <w:szCs w:val="24"/>
          <w:lang w:val="bg-BG"/>
        </w:rPr>
        <w:t xml:space="preserve"> </w:t>
      </w:r>
      <w:r w:rsidR="00430786" w:rsidRPr="00610B1B">
        <w:rPr>
          <w:rFonts w:ascii="Times New Roman" w:eastAsia="Times New Roman" w:hAnsi="Times New Roman" w:cs="Times New Roman"/>
          <w:sz w:val="24"/>
          <w:szCs w:val="24"/>
          <w:lang w:val="bg-BG"/>
        </w:rPr>
        <w:t>– от магмени скали</w:t>
      </w:r>
      <w:r w:rsidR="00834542" w:rsidRPr="00610B1B">
        <w:rPr>
          <w:rFonts w:ascii="Times New Roman" w:eastAsia="Times New Roman" w:hAnsi="Times New Roman" w:cs="Times New Roman"/>
          <w:sz w:val="24"/>
          <w:szCs w:val="24"/>
          <w:lang w:val="bg-BG"/>
        </w:rPr>
        <w:t>,</w:t>
      </w:r>
      <w:r w:rsidR="00430786" w:rsidRPr="00610B1B">
        <w:rPr>
          <w:rFonts w:ascii="Times New Roman" w:eastAsia="Times New Roman" w:hAnsi="Times New Roman" w:cs="Times New Roman"/>
          <w:sz w:val="24"/>
          <w:szCs w:val="24"/>
          <w:lang w:val="bg-BG"/>
        </w:rPr>
        <w:t xml:space="preserve"> придружени с пирокластични материали и по-малко седиментни скали. Тези скални формации продължават и под морските води. </w:t>
      </w:r>
      <w:r w:rsidR="00EB7F85" w:rsidRPr="00610B1B">
        <w:rPr>
          <w:rFonts w:ascii="Times New Roman" w:eastAsia="Times New Roman" w:hAnsi="Times New Roman" w:cs="Times New Roman"/>
          <w:sz w:val="24"/>
          <w:szCs w:val="24"/>
          <w:lang w:val="bg-BG"/>
        </w:rPr>
        <w:t xml:space="preserve">Друга особеност </w:t>
      </w:r>
      <w:r w:rsidR="00430786" w:rsidRPr="00610B1B">
        <w:rPr>
          <w:rFonts w:ascii="Times New Roman" w:hAnsi="Times New Roman" w:cs="Times New Roman"/>
          <w:sz w:val="24"/>
          <w:szCs w:val="24"/>
          <w:lang w:val="bg-BG"/>
        </w:rPr>
        <w:t xml:space="preserve">е </w:t>
      </w:r>
      <w:r w:rsidR="00430786" w:rsidRPr="00610B1B">
        <w:rPr>
          <w:rFonts w:ascii="Times New Roman" w:hAnsi="Times New Roman" w:cs="Times New Roman"/>
          <w:b/>
          <w:i/>
          <w:sz w:val="24"/>
          <w:szCs w:val="24"/>
          <w:lang w:val="bg-BG"/>
        </w:rPr>
        <w:t xml:space="preserve">слабата </w:t>
      </w:r>
      <w:r w:rsidR="00F53A42" w:rsidRPr="00610B1B">
        <w:rPr>
          <w:rFonts w:ascii="Times New Roman" w:hAnsi="Times New Roman" w:cs="Times New Roman"/>
          <w:b/>
          <w:i/>
          <w:sz w:val="24"/>
          <w:szCs w:val="24"/>
          <w:lang w:val="bg-BG"/>
        </w:rPr>
        <w:t xml:space="preserve">му </w:t>
      </w:r>
      <w:r w:rsidR="00430786" w:rsidRPr="00610B1B">
        <w:rPr>
          <w:rFonts w:ascii="Times New Roman" w:hAnsi="Times New Roman" w:cs="Times New Roman"/>
          <w:b/>
          <w:i/>
          <w:sz w:val="24"/>
          <w:szCs w:val="24"/>
          <w:lang w:val="bg-BG"/>
        </w:rPr>
        <w:t>разчлененост</w:t>
      </w:r>
      <w:r w:rsidR="00430786" w:rsidRPr="00610B1B">
        <w:rPr>
          <w:rFonts w:ascii="Times New Roman" w:hAnsi="Times New Roman" w:cs="Times New Roman"/>
          <w:i/>
          <w:sz w:val="24"/>
          <w:szCs w:val="24"/>
          <w:lang w:val="bg-BG"/>
        </w:rPr>
        <w:t>.</w:t>
      </w:r>
      <w:r w:rsidR="00430786" w:rsidRPr="00610B1B">
        <w:rPr>
          <w:rFonts w:ascii="Times New Roman" w:hAnsi="Times New Roman" w:cs="Times New Roman"/>
          <w:sz w:val="24"/>
          <w:szCs w:val="24"/>
          <w:lang w:val="bg-BG"/>
        </w:rPr>
        <w:t xml:space="preserve"> В крайбрежните териториални води </w:t>
      </w:r>
      <w:r w:rsidR="00EB7F85" w:rsidRPr="00610B1B">
        <w:rPr>
          <w:rFonts w:ascii="Times New Roman" w:hAnsi="Times New Roman" w:cs="Times New Roman"/>
          <w:sz w:val="24"/>
          <w:szCs w:val="24"/>
          <w:lang w:val="bg-BG"/>
        </w:rPr>
        <w:t>няма</w:t>
      </w:r>
      <w:r w:rsidR="00430786" w:rsidRPr="00610B1B">
        <w:rPr>
          <w:rFonts w:ascii="Times New Roman" w:hAnsi="Times New Roman" w:cs="Times New Roman"/>
          <w:sz w:val="24"/>
          <w:szCs w:val="24"/>
          <w:lang w:val="bg-BG"/>
        </w:rPr>
        <w:t xml:space="preserve"> големи острови, което е типично за Черно море. </w:t>
      </w:r>
      <w:r w:rsidR="00430786" w:rsidRPr="00610B1B">
        <w:rPr>
          <w:rFonts w:ascii="Times New Roman" w:eastAsia="Times New Roman" w:hAnsi="Times New Roman" w:cs="Times New Roman"/>
          <w:sz w:val="24"/>
          <w:szCs w:val="24"/>
          <w:lang w:val="bg-BG"/>
        </w:rPr>
        <w:t>Плажовете заемат 1/3 от дължината на българския бряг. Най-големите плажове са разположени северно от Варна и между Бургас и нос Емине.</w:t>
      </w:r>
      <w:r w:rsidR="00F53A42" w:rsidRPr="00610B1B">
        <w:rPr>
          <w:rFonts w:ascii="Times New Roman" w:eastAsia="Times New Roman" w:hAnsi="Times New Roman" w:cs="Times New Roman"/>
          <w:sz w:val="24"/>
          <w:szCs w:val="24"/>
          <w:lang w:val="bg-BG"/>
        </w:rPr>
        <w:t xml:space="preserve"> </w:t>
      </w:r>
    </w:p>
    <w:p w14:paraId="77270A5A" w14:textId="1BD19209" w:rsidR="00430786" w:rsidRPr="00610B1B" w:rsidRDefault="00EB7F85"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i/>
          <w:sz w:val="24"/>
          <w:szCs w:val="24"/>
          <w:lang w:val="bg-BG"/>
        </w:rPr>
        <w:t xml:space="preserve">Свлачищната </w:t>
      </w:r>
      <w:r w:rsidR="00430786" w:rsidRPr="00610B1B">
        <w:rPr>
          <w:rFonts w:ascii="Times New Roman" w:hAnsi="Times New Roman" w:cs="Times New Roman"/>
          <w:b/>
          <w:i/>
          <w:sz w:val="24"/>
          <w:szCs w:val="24"/>
          <w:lang w:val="bg-BG"/>
        </w:rPr>
        <w:t>дейност</w:t>
      </w:r>
      <w:r w:rsidR="00430786" w:rsidRPr="00610B1B">
        <w:rPr>
          <w:rFonts w:ascii="Times New Roman" w:hAnsi="Times New Roman" w:cs="Times New Roman"/>
          <w:i/>
          <w:sz w:val="24"/>
          <w:szCs w:val="24"/>
          <w:lang w:val="bg-BG"/>
        </w:rPr>
        <w:t xml:space="preserve"> </w:t>
      </w:r>
      <w:r w:rsidR="00430786" w:rsidRPr="00610B1B">
        <w:rPr>
          <w:rFonts w:ascii="Times New Roman" w:hAnsi="Times New Roman" w:cs="Times New Roman"/>
          <w:sz w:val="24"/>
          <w:szCs w:val="24"/>
          <w:lang w:val="bg-BG"/>
        </w:rPr>
        <w:t>по българското Черноморско крайбрежие, ко</w:t>
      </w:r>
      <w:r w:rsidR="00011F0B" w:rsidRPr="00610B1B">
        <w:rPr>
          <w:rFonts w:ascii="Times New Roman" w:hAnsi="Times New Roman" w:cs="Times New Roman"/>
          <w:sz w:val="24"/>
          <w:szCs w:val="24"/>
          <w:lang w:val="bg-BG"/>
        </w:rPr>
        <w:t>я</w:t>
      </w:r>
      <w:r w:rsidR="00430786" w:rsidRPr="00610B1B">
        <w:rPr>
          <w:rFonts w:ascii="Times New Roman" w:hAnsi="Times New Roman" w:cs="Times New Roman"/>
          <w:sz w:val="24"/>
          <w:szCs w:val="24"/>
          <w:lang w:val="bg-BG"/>
        </w:rPr>
        <w:t>то заема около 13% от морския бряг</w:t>
      </w:r>
      <w:r w:rsidRPr="00610B1B">
        <w:rPr>
          <w:rFonts w:ascii="Times New Roman" w:hAnsi="Times New Roman" w:cs="Times New Roman"/>
          <w:sz w:val="24"/>
          <w:szCs w:val="24"/>
          <w:lang w:val="bg-BG"/>
        </w:rPr>
        <w:t xml:space="preserve"> е по-изявена в С</w:t>
      </w:r>
      <w:r w:rsidR="00430786" w:rsidRPr="00610B1B">
        <w:rPr>
          <w:rFonts w:ascii="Times New Roman" w:hAnsi="Times New Roman" w:cs="Times New Roman"/>
          <w:sz w:val="24"/>
          <w:szCs w:val="24"/>
          <w:lang w:val="bg-BG"/>
        </w:rPr>
        <w:t>еверните части на крайбрежието</w:t>
      </w:r>
      <w:r w:rsidRPr="00610B1B">
        <w:rPr>
          <w:rFonts w:ascii="Times New Roman" w:hAnsi="Times New Roman" w:cs="Times New Roman"/>
          <w:sz w:val="24"/>
          <w:szCs w:val="24"/>
          <w:lang w:val="bg-BG"/>
        </w:rPr>
        <w:t>, поради</w:t>
      </w:r>
      <w:r w:rsidR="00430786" w:rsidRPr="00610B1B">
        <w:rPr>
          <w:rFonts w:ascii="Times New Roman" w:hAnsi="Times New Roman" w:cs="Times New Roman"/>
          <w:sz w:val="24"/>
          <w:szCs w:val="24"/>
          <w:lang w:val="bg-BG"/>
        </w:rPr>
        <w:t xml:space="preserve"> значителни</w:t>
      </w:r>
      <w:r w:rsidR="00D934B0" w:rsidRPr="00610B1B">
        <w:rPr>
          <w:rFonts w:ascii="Times New Roman" w:hAnsi="Times New Roman" w:cs="Times New Roman"/>
          <w:sz w:val="24"/>
          <w:szCs w:val="24"/>
          <w:lang w:val="bg-BG"/>
        </w:rPr>
        <w:t>те</w:t>
      </w:r>
      <w:r w:rsidR="00430786" w:rsidRPr="00610B1B">
        <w:rPr>
          <w:rFonts w:ascii="Times New Roman" w:hAnsi="Times New Roman" w:cs="Times New Roman"/>
          <w:sz w:val="24"/>
          <w:szCs w:val="24"/>
          <w:lang w:val="bg-BG"/>
        </w:rPr>
        <w:t xml:space="preserve"> площ</w:t>
      </w:r>
      <w:r w:rsidR="005E308D" w:rsidRPr="00610B1B">
        <w:rPr>
          <w:rFonts w:ascii="Times New Roman" w:hAnsi="Times New Roman" w:cs="Times New Roman"/>
          <w:sz w:val="24"/>
          <w:szCs w:val="24"/>
          <w:lang w:val="bg-BG"/>
        </w:rPr>
        <w:t>и</w:t>
      </w:r>
      <w:r w:rsidR="00430786" w:rsidRPr="00610B1B">
        <w:rPr>
          <w:rFonts w:ascii="Times New Roman" w:hAnsi="Times New Roman" w:cs="Times New Roman"/>
          <w:sz w:val="24"/>
          <w:szCs w:val="24"/>
          <w:lang w:val="bg-BG"/>
        </w:rPr>
        <w:t xml:space="preserve"> седиментни скали и високи наклони, активирани допълнително от човешката намеса.</w:t>
      </w:r>
    </w:p>
    <w:p w14:paraId="37115CF5" w14:textId="1E977026" w:rsidR="00430786" w:rsidRPr="00610B1B" w:rsidRDefault="00430786" w:rsidP="00D32D6A">
      <w:pPr>
        <w:spacing w:after="120"/>
        <w:ind w:right="-153"/>
        <w:jc w:val="both"/>
        <w:rPr>
          <w:rFonts w:ascii="Times New Roman" w:hAnsi="Times New Roman" w:cs="Times New Roman"/>
          <w:sz w:val="24"/>
          <w:szCs w:val="24"/>
          <w:lang w:val="bg-BG"/>
        </w:rPr>
      </w:pPr>
      <w:r w:rsidRPr="00610B1B">
        <w:rPr>
          <w:rFonts w:ascii="Times New Roman" w:eastAsia="Times New Roman" w:hAnsi="Times New Roman" w:cs="Times New Roman"/>
          <w:b/>
          <w:i/>
          <w:sz w:val="24"/>
          <w:szCs w:val="24"/>
          <w:lang w:val="bg-BG"/>
        </w:rPr>
        <w:t>Климатът</w:t>
      </w:r>
      <w:r w:rsidRPr="00610B1B">
        <w:rPr>
          <w:rFonts w:ascii="Times New Roman" w:eastAsia="Times New Roman" w:hAnsi="Times New Roman" w:cs="Times New Roman"/>
          <w:sz w:val="24"/>
          <w:szCs w:val="24"/>
          <w:lang w:val="bg-BG"/>
        </w:rPr>
        <w:t xml:space="preserve"> се формира под влияние на общата атмосферна циркулация и влиянието на морския басейн, което е силно ограничено на запад. </w:t>
      </w:r>
      <w:r w:rsidR="00D934B0" w:rsidRPr="00610B1B">
        <w:rPr>
          <w:rFonts w:ascii="Times New Roman" w:eastAsia="Times New Roman" w:hAnsi="Times New Roman" w:cs="Times New Roman"/>
          <w:sz w:val="24"/>
          <w:szCs w:val="24"/>
          <w:lang w:val="bg-BG"/>
        </w:rPr>
        <w:t xml:space="preserve">Отвореността </w:t>
      </w:r>
      <w:r w:rsidRPr="00610B1B">
        <w:rPr>
          <w:rFonts w:ascii="Times New Roman" w:eastAsia="Times New Roman" w:hAnsi="Times New Roman" w:cs="Times New Roman"/>
          <w:sz w:val="24"/>
          <w:szCs w:val="24"/>
          <w:lang w:val="bg-BG"/>
        </w:rPr>
        <w:t>на Черноморския регион на север и североизток</w:t>
      </w:r>
      <w:r w:rsidR="00D934B0" w:rsidRPr="00610B1B">
        <w:rPr>
          <w:rFonts w:ascii="Times New Roman" w:eastAsia="Times New Roman" w:hAnsi="Times New Roman" w:cs="Times New Roman"/>
          <w:sz w:val="24"/>
          <w:szCs w:val="24"/>
          <w:lang w:val="bg-BG"/>
        </w:rPr>
        <w:t xml:space="preserve"> е </w:t>
      </w:r>
      <w:r w:rsidRPr="00610B1B">
        <w:rPr>
          <w:rFonts w:ascii="Times New Roman" w:eastAsia="Times New Roman" w:hAnsi="Times New Roman" w:cs="Times New Roman"/>
          <w:sz w:val="24"/>
          <w:szCs w:val="24"/>
          <w:lang w:val="bg-BG"/>
        </w:rPr>
        <w:t>една от причините българският сектор</w:t>
      </w:r>
      <w:r w:rsidR="00204AF3" w:rsidRPr="00610B1B">
        <w:rPr>
          <w:rFonts w:ascii="Times New Roman" w:eastAsia="Times New Roman" w:hAnsi="Times New Roman" w:cs="Times New Roman"/>
          <w:sz w:val="24"/>
          <w:szCs w:val="24"/>
          <w:lang w:val="bg-BG"/>
        </w:rPr>
        <w:t xml:space="preserve"> на Черно море и крайбрежие да са по-студени</w:t>
      </w:r>
      <w:r w:rsidRPr="00610B1B">
        <w:rPr>
          <w:rFonts w:ascii="Times New Roman" w:eastAsia="Times New Roman" w:hAnsi="Times New Roman" w:cs="Times New Roman"/>
          <w:sz w:val="24"/>
          <w:szCs w:val="24"/>
          <w:lang w:val="bg-BG"/>
        </w:rPr>
        <w:t xml:space="preserve"> през зимата от югоизточния сектор на морето </w:t>
      </w:r>
      <w:r w:rsidR="00204AF3" w:rsidRPr="00610B1B">
        <w:rPr>
          <w:rFonts w:ascii="Times New Roman" w:hAnsi="Times New Roman" w:cs="Times New Roman"/>
          <w:sz w:val="24"/>
          <w:szCs w:val="24"/>
          <w:lang w:val="bg-BG"/>
        </w:rPr>
        <w:t xml:space="preserve">и прилежащата акватория. </w:t>
      </w:r>
      <w:r w:rsidRPr="00610B1B">
        <w:rPr>
          <w:rFonts w:ascii="Times New Roman" w:hAnsi="Times New Roman" w:cs="Times New Roman"/>
          <w:sz w:val="24"/>
          <w:szCs w:val="24"/>
          <w:lang w:val="bg-BG"/>
        </w:rPr>
        <w:t>Климатичното влияние на морския</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басейн е най-осезателно при повишаване на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януарски температури на въздуха, които са между 1,0 и 3,2°С, и при отчетените малки годишни температурни амплитуди. През топлото полугодие е характерна </w:t>
      </w:r>
      <w:r w:rsidRPr="00610B1B">
        <w:rPr>
          <w:rFonts w:ascii="Times New Roman" w:hAnsi="Times New Roman" w:cs="Times New Roman"/>
          <w:b/>
          <w:i/>
          <w:sz w:val="24"/>
          <w:szCs w:val="24"/>
          <w:lang w:val="bg-BG"/>
        </w:rPr>
        <w:t>бризовата циркулация</w:t>
      </w:r>
      <w:r w:rsidRPr="00610B1B">
        <w:rPr>
          <w:rFonts w:ascii="Times New Roman" w:hAnsi="Times New Roman" w:cs="Times New Roman"/>
          <w:sz w:val="24"/>
          <w:szCs w:val="24"/>
          <w:lang w:val="bg-BG"/>
        </w:rPr>
        <w:t xml:space="preserve">, която ограничава високите температури на въздуха. Скоростта на бризовия вятър </w:t>
      </w:r>
      <w:r w:rsidRPr="00610B1B">
        <w:rPr>
          <w:rFonts w:ascii="Times New Roman" w:eastAsia="Times New Roman" w:hAnsi="Times New Roman" w:cs="Times New Roman"/>
          <w:sz w:val="24"/>
          <w:szCs w:val="24"/>
          <w:lang w:val="bg-BG" w:bidi="en-US"/>
        </w:rPr>
        <w:t>достига до 3-5 m/s през деня и 1-3 m/s през нощта.</w:t>
      </w:r>
      <w:r w:rsidRPr="00610B1B">
        <w:rPr>
          <w:rFonts w:ascii="Times New Roman" w:hAnsi="Times New Roman" w:cs="Times New Roman"/>
          <w:sz w:val="24"/>
          <w:szCs w:val="24"/>
          <w:lang w:val="bg-BG"/>
        </w:rPr>
        <w:t xml:space="preserve"> </w:t>
      </w:r>
    </w:p>
    <w:p w14:paraId="3027EEAF" w14:textId="164EFDB3" w:rsidR="00430786" w:rsidRPr="00610B1B" w:rsidRDefault="00430786"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По Северното крайбрежие сезонните суми на валежите се изравняват, докато при Южното Черноморие преобладават валежите през студеното полугодие, свидетелство за засилване на </w:t>
      </w:r>
      <w:r w:rsidRPr="00610B1B">
        <w:rPr>
          <w:rFonts w:ascii="Times New Roman" w:hAnsi="Times New Roman" w:cs="Times New Roman"/>
          <w:b/>
          <w:i/>
          <w:sz w:val="24"/>
          <w:szCs w:val="24"/>
          <w:lang w:val="bg-BG"/>
        </w:rPr>
        <w:t>средиземноморското климатично влияние</w:t>
      </w:r>
      <w:r w:rsidRPr="00610B1B">
        <w:rPr>
          <w:rFonts w:ascii="Times New Roman" w:hAnsi="Times New Roman" w:cs="Times New Roman"/>
          <w:sz w:val="24"/>
          <w:szCs w:val="24"/>
          <w:lang w:val="bg-BG"/>
        </w:rPr>
        <w:t xml:space="preserve">. </w:t>
      </w:r>
      <w:r w:rsidR="001802D1" w:rsidRPr="00610B1B">
        <w:rPr>
          <w:rFonts w:ascii="Times New Roman" w:hAnsi="Times New Roman" w:cs="Times New Roman"/>
          <w:sz w:val="24"/>
          <w:szCs w:val="24"/>
          <w:lang w:val="bg-BG"/>
        </w:rPr>
        <w:t xml:space="preserve">В </w:t>
      </w:r>
      <w:r w:rsidRPr="00610B1B">
        <w:rPr>
          <w:rFonts w:ascii="Times New Roman" w:hAnsi="Times New Roman" w:cs="Times New Roman"/>
          <w:sz w:val="24"/>
          <w:szCs w:val="24"/>
          <w:lang w:val="bg-BG"/>
        </w:rPr>
        <w:t>район</w:t>
      </w:r>
      <w:r w:rsidR="005B3535" w:rsidRPr="00610B1B">
        <w:rPr>
          <w:rFonts w:ascii="Times New Roman" w:hAnsi="Times New Roman" w:cs="Times New Roman"/>
          <w:sz w:val="24"/>
          <w:szCs w:val="24"/>
          <w:lang w:val="bg-BG"/>
        </w:rPr>
        <w:t>а</w:t>
      </w:r>
      <w:r w:rsidRPr="00610B1B">
        <w:rPr>
          <w:rFonts w:ascii="Times New Roman" w:hAnsi="Times New Roman" w:cs="Times New Roman"/>
          <w:sz w:val="24"/>
          <w:szCs w:val="24"/>
          <w:lang w:val="bg-BG"/>
        </w:rPr>
        <w:t xml:space="preserve"> между Балчик и Калиакра са измерени най-малките годишни валежи в България</w:t>
      </w:r>
      <w:r w:rsidR="00EB7F85" w:rsidRPr="00610B1B">
        <w:rPr>
          <w:rFonts w:ascii="Times New Roman" w:hAnsi="Times New Roman" w:cs="Times New Roman"/>
          <w:sz w:val="24"/>
          <w:szCs w:val="24"/>
          <w:lang w:val="bg-BG"/>
        </w:rPr>
        <w:t xml:space="preserve"> </w:t>
      </w:r>
      <w:r w:rsidR="00AC5F2E" w:rsidRPr="00610B1B">
        <w:rPr>
          <w:rFonts w:ascii="Times New Roman" w:eastAsia="Times New Roman" w:hAnsi="Times New Roman" w:cs="Times New Roman"/>
          <w:sz w:val="24"/>
          <w:szCs w:val="24"/>
          <w:lang w:val="bg-BG" w:eastAsia="bg-BG"/>
        </w:rPr>
        <w:t>–</w:t>
      </w:r>
      <w:r w:rsidR="00EB7F85" w:rsidRPr="00610B1B">
        <w:rPr>
          <w:rFonts w:ascii="Times New Roman" w:eastAsia="Times New Roman" w:hAnsi="Times New Roman" w:cs="Times New Roman"/>
          <w:sz w:val="24"/>
          <w:szCs w:val="24"/>
          <w:lang w:val="bg-BG" w:eastAsia="bg-BG"/>
        </w:rPr>
        <w:t xml:space="preserve"> </w:t>
      </w:r>
      <w:r w:rsidRPr="00610B1B">
        <w:rPr>
          <w:rFonts w:ascii="Times New Roman" w:hAnsi="Times New Roman" w:cs="Times New Roman"/>
          <w:sz w:val="24"/>
          <w:szCs w:val="24"/>
          <w:lang w:val="bg-BG"/>
        </w:rPr>
        <w:t>под 450</w:t>
      </w:r>
      <w:r w:rsidR="00AC5F2E" w:rsidRPr="00610B1B">
        <w:rPr>
          <w:rFonts w:ascii="Times New Roman" w:hAnsi="Times New Roman" w:cs="Times New Roman"/>
          <w:sz w:val="24"/>
          <w:szCs w:val="24"/>
          <w:lang w:val="bg-BG"/>
        </w:rPr>
        <w:t> </w:t>
      </w:r>
      <w:r w:rsidR="005B3535" w:rsidRPr="00610B1B">
        <w:rPr>
          <w:rFonts w:ascii="Times New Roman" w:hAnsi="Times New Roman" w:cs="Times New Roman"/>
          <w:sz w:val="24"/>
          <w:szCs w:val="24"/>
          <w:lang w:val="bg-BG"/>
        </w:rPr>
        <w:t>mm</w:t>
      </w:r>
      <w:r w:rsidRPr="00610B1B">
        <w:rPr>
          <w:rFonts w:ascii="Times New Roman" w:hAnsi="Times New Roman" w:cs="Times New Roman"/>
          <w:sz w:val="24"/>
          <w:szCs w:val="24"/>
          <w:lang w:val="bg-BG"/>
        </w:rPr>
        <w:t xml:space="preserve">. </w:t>
      </w:r>
    </w:p>
    <w:p w14:paraId="1E115D22" w14:textId="014C7866" w:rsidR="00430786" w:rsidRPr="00610B1B" w:rsidRDefault="00430786"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Една от най-важните особености на Черно море</w:t>
      </w:r>
      <w:r w:rsidR="00011F0B"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неговата изолираност</w:t>
      </w:r>
      <w:r w:rsidR="00011F0B" w:rsidRPr="00610B1B">
        <w:rPr>
          <w:rFonts w:ascii="Times New Roman" w:hAnsi="Times New Roman" w:cs="Times New Roman"/>
          <w:sz w:val="24"/>
          <w:szCs w:val="24"/>
          <w:lang w:val="bg-BG"/>
        </w:rPr>
        <w:t xml:space="preserve">, е </w:t>
      </w:r>
      <w:r w:rsidRPr="00610B1B">
        <w:rPr>
          <w:rFonts w:ascii="Times New Roman" w:hAnsi="Times New Roman" w:cs="Times New Roman"/>
          <w:sz w:val="24"/>
          <w:szCs w:val="24"/>
          <w:lang w:val="bg-BG"/>
        </w:rPr>
        <w:t xml:space="preserve">предпоставка за </w:t>
      </w:r>
      <w:r w:rsidRPr="00610B1B">
        <w:rPr>
          <w:rFonts w:ascii="Times New Roman" w:hAnsi="Times New Roman" w:cs="Times New Roman"/>
          <w:b/>
          <w:i/>
          <w:sz w:val="24"/>
          <w:szCs w:val="24"/>
          <w:lang w:val="bg-BG"/>
        </w:rPr>
        <w:t>затруднен обмен на водни маси</w:t>
      </w:r>
      <w:r w:rsidRPr="00610B1B">
        <w:rPr>
          <w:rFonts w:ascii="Times New Roman" w:hAnsi="Times New Roman" w:cs="Times New Roman"/>
          <w:sz w:val="24"/>
          <w:szCs w:val="24"/>
          <w:lang w:val="bg-BG"/>
        </w:rPr>
        <w:t xml:space="preserve"> и задържане на постъпващото замърсяване. Вливащият се голям речен приток поддържа ниска соленост на морските води. Водните </w:t>
      </w:r>
      <w:r w:rsidRPr="00610B1B">
        <w:rPr>
          <w:rFonts w:ascii="Times New Roman" w:eastAsia="TT24o00" w:hAnsi="Times New Roman" w:cs="Times New Roman"/>
          <w:sz w:val="24"/>
          <w:szCs w:val="24"/>
          <w:lang w:val="bg-BG"/>
        </w:rPr>
        <w:t>маси на Черно море се формират от постъпващите речни води, валежите, обмен</w:t>
      </w:r>
      <w:r w:rsidR="00011F0B" w:rsidRPr="00610B1B">
        <w:rPr>
          <w:rFonts w:ascii="Times New Roman" w:eastAsia="TT24o00" w:hAnsi="Times New Roman" w:cs="Times New Roman"/>
          <w:sz w:val="24"/>
          <w:szCs w:val="24"/>
          <w:lang w:val="bg-BG"/>
        </w:rPr>
        <w:t>а</w:t>
      </w:r>
      <w:r w:rsidRPr="00610B1B">
        <w:rPr>
          <w:rFonts w:ascii="Times New Roman" w:eastAsia="TT24o00" w:hAnsi="Times New Roman" w:cs="Times New Roman"/>
          <w:sz w:val="24"/>
          <w:szCs w:val="24"/>
          <w:lang w:val="bg-BG"/>
        </w:rPr>
        <w:t xml:space="preserve"> с водите на Мраморно и Азовско море и изпарението. </w:t>
      </w:r>
    </w:p>
    <w:p w14:paraId="1B2EB580" w14:textId="2EA015D5" w:rsidR="00430786" w:rsidRPr="00610B1B" w:rsidRDefault="00430786" w:rsidP="00D32D6A">
      <w:pPr>
        <w:spacing w:after="120"/>
        <w:ind w:right="-153"/>
        <w:jc w:val="both"/>
        <w:rPr>
          <w:rFonts w:ascii="Times New Roman" w:hAnsi="Times New Roman" w:cs="Times New Roman"/>
          <w:sz w:val="24"/>
          <w:szCs w:val="24"/>
          <w:lang w:val="bg-BG"/>
        </w:rPr>
      </w:pPr>
      <w:r w:rsidRPr="00610B1B">
        <w:rPr>
          <w:rFonts w:ascii="Times New Roman" w:eastAsia="Times New Roman" w:hAnsi="Times New Roman" w:cs="Times New Roman"/>
          <w:sz w:val="24"/>
          <w:szCs w:val="24"/>
          <w:lang w:val="bg-BG" w:bidi="en-US"/>
        </w:rPr>
        <w:t>Черно море е едно от моретата</w:t>
      </w:r>
      <w:r w:rsidR="005B3535" w:rsidRPr="00610B1B">
        <w:rPr>
          <w:rFonts w:ascii="Times New Roman" w:eastAsia="Times New Roman" w:hAnsi="Times New Roman" w:cs="Times New Roman"/>
          <w:sz w:val="24"/>
          <w:szCs w:val="24"/>
          <w:lang w:val="bg-BG" w:bidi="en-US"/>
        </w:rPr>
        <w:t xml:space="preserve"> с</w:t>
      </w:r>
      <w:r w:rsidRPr="00610B1B">
        <w:rPr>
          <w:rFonts w:ascii="Times New Roman" w:eastAsia="Times New Roman" w:hAnsi="Times New Roman" w:cs="Times New Roman"/>
          <w:sz w:val="24"/>
          <w:szCs w:val="24"/>
          <w:lang w:val="bg-BG" w:bidi="en-US"/>
        </w:rPr>
        <w:t xml:space="preserve"> </w:t>
      </w:r>
      <w:r w:rsidRPr="00610B1B">
        <w:rPr>
          <w:rFonts w:ascii="Times New Roman" w:eastAsia="Times New Roman" w:hAnsi="Times New Roman" w:cs="Times New Roman"/>
          <w:b/>
          <w:i/>
          <w:sz w:val="24"/>
          <w:szCs w:val="24"/>
          <w:lang w:val="bg-BG" w:bidi="en-US"/>
        </w:rPr>
        <w:t>положителен сладководен</w:t>
      </w:r>
      <w:r w:rsidR="00D66FE0" w:rsidRPr="00610B1B">
        <w:rPr>
          <w:rFonts w:ascii="Times New Roman" w:eastAsia="Times New Roman" w:hAnsi="Times New Roman" w:cs="Times New Roman"/>
          <w:b/>
          <w:i/>
          <w:sz w:val="24"/>
          <w:szCs w:val="24"/>
          <w:lang w:val="bg-BG" w:bidi="en-US"/>
        </w:rPr>
        <w:t xml:space="preserve"> </w:t>
      </w:r>
      <w:r w:rsidRPr="00610B1B">
        <w:rPr>
          <w:rFonts w:ascii="Times New Roman" w:eastAsia="Times New Roman" w:hAnsi="Times New Roman" w:cs="Times New Roman"/>
          <w:b/>
          <w:i/>
          <w:sz w:val="24"/>
          <w:szCs w:val="24"/>
          <w:lang w:val="bg-BG" w:bidi="en-US"/>
        </w:rPr>
        <w:t>ба</w:t>
      </w:r>
      <w:r w:rsidRPr="00610B1B">
        <w:rPr>
          <w:rFonts w:ascii="Times New Roman" w:eastAsia="Times New Roman" w:hAnsi="Times New Roman" w:cs="Times New Roman"/>
          <w:b/>
          <w:sz w:val="24"/>
          <w:szCs w:val="24"/>
          <w:lang w:val="bg-BG" w:bidi="en-US"/>
        </w:rPr>
        <w:t>ланс</w:t>
      </w:r>
      <w:r w:rsidRPr="00610B1B">
        <w:rPr>
          <w:rFonts w:ascii="Times New Roman" w:eastAsia="Times New Roman" w:hAnsi="Times New Roman" w:cs="Times New Roman"/>
          <w:sz w:val="24"/>
          <w:szCs w:val="24"/>
          <w:lang w:val="bg-BG" w:bidi="en-US"/>
        </w:rPr>
        <w:t xml:space="preserve">. </w:t>
      </w:r>
      <w:r w:rsidR="001802D1" w:rsidRPr="00610B1B">
        <w:rPr>
          <w:rFonts w:ascii="Times New Roman" w:eastAsia="Times New Roman" w:hAnsi="Times New Roman" w:cs="Times New Roman"/>
          <w:sz w:val="24"/>
          <w:szCs w:val="24"/>
          <w:lang w:val="bg-BG" w:bidi="en-US"/>
        </w:rPr>
        <w:t xml:space="preserve">За черноморските води е характерна </w:t>
      </w:r>
      <w:r w:rsidR="001802D1" w:rsidRPr="00610B1B">
        <w:rPr>
          <w:rFonts w:ascii="Times New Roman" w:eastAsia="Times New Roman" w:hAnsi="Times New Roman" w:cs="Times New Roman"/>
          <w:b/>
          <w:i/>
          <w:sz w:val="24"/>
          <w:szCs w:val="24"/>
          <w:lang w:val="bg-BG" w:bidi="en-US"/>
        </w:rPr>
        <w:t>ниска соленост – 18‰</w:t>
      </w:r>
      <w:r w:rsidR="001802D1" w:rsidRPr="00610B1B">
        <w:rPr>
          <w:rFonts w:ascii="Times New Roman" w:eastAsia="Times New Roman" w:hAnsi="Times New Roman" w:cs="Times New Roman"/>
          <w:i/>
          <w:sz w:val="24"/>
          <w:szCs w:val="24"/>
          <w:lang w:val="bg-BG" w:bidi="en-US"/>
        </w:rPr>
        <w:t>,</w:t>
      </w:r>
      <w:r w:rsidR="001802D1" w:rsidRPr="00610B1B">
        <w:rPr>
          <w:rFonts w:ascii="Times New Roman" w:eastAsia="Times New Roman" w:hAnsi="Times New Roman" w:cs="Times New Roman"/>
          <w:sz w:val="24"/>
          <w:szCs w:val="24"/>
          <w:lang w:val="bg-BG" w:bidi="en-US"/>
        </w:rPr>
        <w:t xml:space="preserve"> която в близост до брега под влиянието на речните води, намалява, а сезонните колебания са значителни. Постоянен слой с високи </w:t>
      </w:r>
      <w:r w:rsidR="001802D1" w:rsidRPr="00610B1B">
        <w:rPr>
          <w:rFonts w:ascii="Times New Roman" w:eastAsia="Times New Roman" w:hAnsi="Times New Roman" w:cs="Times New Roman"/>
          <w:sz w:val="24"/>
          <w:szCs w:val="24"/>
          <w:lang w:val="bg-BG" w:bidi="en-US"/>
        </w:rPr>
        <w:lastRenderedPageBreak/>
        <w:t>градиенти на солеността е разположен между 120 и 200 m. Този слой затруднява</w:t>
      </w:r>
      <w:r w:rsidR="00D66FE0" w:rsidRPr="00610B1B">
        <w:rPr>
          <w:rFonts w:ascii="Times New Roman" w:eastAsia="Times New Roman" w:hAnsi="Times New Roman" w:cs="Times New Roman"/>
          <w:sz w:val="24"/>
          <w:szCs w:val="24"/>
          <w:lang w:val="bg-BG" w:bidi="en-US"/>
        </w:rPr>
        <w:t xml:space="preserve"> </w:t>
      </w:r>
      <w:r w:rsidR="001802D1" w:rsidRPr="00610B1B">
        <w:rPr>
          <w:rFonts w:ascii="Times New Roman" w:eastAsia="Times New Roman" w:hAnsi="Times New Roman" w:cs="Times New Roman"/>
          <w:sz w:val="24"/>
          <w:szCs w:val="24"/>
          <w:lang w:val="bg-BG" w:bidi="en-US"/>
        </w:rPr>
        <w:t xml:space="preserve">процесите на вертикално смесване между водните маси и поддържа устойчиви слоеве на кислорода и сероводорода. </w:t>
      </w:r>
      <w:r w:rsidRPr="00610B1B">
        <w:rPr>
          <w:rFonts w:ascii="Times New Roman" w:eastAsia="Times New Roman" w:hAnsi="Times New Roman" w:cs="Times New Roman"/>
          <w:sz w:val="24"/>
          <w:szCs w:val="24"/>
          <w:lang w:val="bg-BG" w:bidi="en-US"/>
        </w:rPr>
        <w:t>Поради затворения характер</w:t>
      </w:r>
      <w:r w:rsidR="00D66FE0" w:rsidRPr="00610B1B">
        <w:rPr>
          <w:rFonts w:ascii="Times New Roman" w:eastAsia="Times New Roman" w:hAnsi="Times New Roman" w:cs="Times New Roman"/>
          <w:sz w:val="24"/>
          <w:szCs w:val="24"/>
          <w:lang w:val="bg-BG" w:bidi="en-US"/>
        </w:rPr>
        <w:t xml:space="preserve"> </w:t>
      </w:r>
      <w:r w:rsidRPr="00610B1B">
        <w:rPr>
          <w:rFonts w:ascii="Times New Roman" w:eastAsia="Times New Roman" w:hAnsi="Times New Roman" w:cs="Times New Roman"/>
          <w:sz w:val="24"/>
          <w:szCs w:val="24"/>
          <w:lang w:val="bg-BG" w:bidi="en-US"/>
        </w:rPr>
        <w:t>и положителния сладководен баланс</w:t>
      </w:r>
      <w:r w:rsidR="003764FC" w:rsidRPr="00610B1B">
        <w:rPr>
          <w:rFonts w:ascii="Times New Roman" w:eastAsia="Times New Roman" w:hAnsi="Times New Roman" w:cs="Times New Roman"/>
          <w:sz w:val="24"/>
          <w:szCs w:val="24"/>
          <w:lang w:val="bg-BG" w:bidi="en-US"/>
        </w:rPr>
        <w:t>,</w:t>
      </w:r>
      <w:r w:rsidRPr="00610B1B">
        <w:rPr>
          <w:rFonts w:ascii="Times New Roman" w:eastAsia="Times New Roman" w:hAnsi="Times New Roman" w:cs="Times New Roman"/>
          <w:sz w:val="24"/>
          <w:szCs w:val="24"/>
          <w:lang w:val="bg-BG" w:bidi="en-US"/>
        </w:rPr>
        <w:t xml:space="preserve"> водното ниво на Черно море е с 30 до 50 </w:t>
      </w:r>
      <w:r w:rsidR="005B3535" w:rsidRPr="00610B1B">
        <w:rPr>
          <w:rFonts w:ascii="Times New Roman" w:eastAsia="Times New Roman" w:hAnsi="Times New Roman" w:cs="Times New Roman"/>
          <w:sz w:val="24"/>
          <w:szCs w:val="24"/>
          <w:lang w:val="bg-BG" w:bidi="en-US"/>
        </w:rPr>
        <w:t>cm</w:t>
      </w:r>
      <w:r w:rsidRPr="00610B1B">
        <w:rPr>
          <w:rFonts w:ascii="Times New Roman" w:eastAsia="Times New Roman" w:hAnsi="Times New Roman" w:cs="Times New Roman"/>
          <w:sz w:val="24"/>
          <w:szCs w:val="24"/>
          <w:lang w:val="bg-BG" w:bidi="en-US"/>
        </w:rPr>
        <w:t xml:space="preserve"> по-високо от това на Мраморно море. </w:t>
      </w:r>
      <w:r w:rsidRPr="00610B1B">
        <w:rPr>
          <w:rFonts w:ascii="Times New Roman" w:eastAsia="Times New Roman" w:hAnsi="Times New Roman" w:cs="Times New Roman"/>
          <w:sz w:val="24"/>
          <w:szCs w:val="24"/>
          <w:lang w:val="bg-BG" w:eastAsia="bg-BG"/>
        </w:rPr>
        <w:t>В резултат на това излишните води се оттичат през Босфора в Мраморно море.</w:t>
      </w:r>
      <w:r w:rsidR="00D66FE0" w:rsidRPr="00610B1B">
        <w:rPr>
          <w:rFonts w:ascii="Times New Roman" w:eastAsia="TT24o00" w:hAnsi="Times New Roman" w:cs="Times New Roman"/>
          <w:sz w:val="24"/>
          <w:szCs w:val="24"/>
          <w:lang w:val="bg-BG"/>
        </w:rPr>
        <w:t xml:space="preserve"> </w:t>
      </w:r>
      <w:r w:rsidRPr="00610B1B">
        <w:rPr>
          <w:rFonts w:ascii="Times New Roman" w:eastAsia="TT24o00" w:hAnsi="Times New Roman" w:cs="Times New Roman"/>
          <w:sz w:val="24"/>
          <w:szCs w:val="24"/>
          <w:lang w:val="bg-BG"/>
        </w:rPr>
        <w:t>Повърхностното течение</w:t>
      </w:r>
      <w:r w:rsidR="00D66FE0" w:rsidRPr="00610B1B">
        <w:rPr>
          <w:rFonts w:ascii="Times New Roman" w:eastAsia="TT24o00" w:hAnsi="Times New Roman" w:cs="Times New Roman"/>
          <w:sz w:val="24"/>
          <w:szCs w:val="24"/>
          <w:lang w:val="bg-BG"/>
        </w:rPr>
        <w:t xml:space="preserve"> </w:t>
      </w:r>
      <w:r w:rsidRPr="00610B1B">
        <w:rPr>
          <w:rFonts w:ascii="Times New Roman" w:eastAsia="TT24o00" w:hAnsi="Times New Roman" w:cs="Times New Roman"/>
          <w:sz w:val="24"/>
          <w:szCs w:val="24"/>
          <w:lang w:val="bg-BG"/>
        </w:rPr>
        <w:t>пренася от Черно в Мраморно море води със соленост 17–18‰</w:t>
      </w:r>
      <w:r w:rsidR="003764FC" w:rsidRPr="00610B1B">
        <w:rPr>
          <w:rFonts w:ascii="Times New Roman" w:eastAsia="TT24o00" w:hAnsi="Times New Roman" w:cs="Times New Roman"/>
          <w:sz w:val="24"/>
          <w:szCs w:val="24"/>
          <w:lang w:val="bg-BG"/>
        </w:rPr>
        <w:t>, а п</w:t>
      </w:r>
      <w:r w:rsidRPr="00610B1B">
        <w:rPr>
          <w:rFonts w:ascii="Times New Roman" w:eastAsia="TT24o00" w:hAnsi="Times New Roman" w:cs="Times New Roman"/>
          <w:sz w:val="24"/>
          <w:szCs w:val="24"/>
          <w:lang w:val="bg-BG"/>
        </w:rPr>
        <w:t xml:space="preserve">ридънното течение, увлича в Черно море вода от Мраморно море със соленост 38‰. </w:t>
      </w:r>
    </w:p>
    <w:p w14:paraId="0F6043A9" w14:textId="4099481D" w:rsidR="00430786" w:rsidRPr="00610B1B" w:rsidRDefault="003764FC" w:rsidP="00D32D6A">
      <w:pPr>
        <w:spacing w:after="120"/>
        <w:ind w:right="-153"/>
        <w:jc w:val="both"/>
        <w:rPr>
          <w:rFonts w:ascii="Times New Roman" w:hAnsi="Times New Roman" w:cs="Times New Roman"/>
          <w:sz w:val="24"/>
          <w:szCs w:val="24"/>
          <w:lang w:val="bg-BG"/>
        </w:rPr>
      </w:pPr>
      <w:r w:rsidRPr="00610B1B">
        <w:rPr>
          <w:rFonts w:ascii="Times New Roman" w:eastAsia="Times New Roman" w:hAnsi="Times New Roman" w:cs="Times New Roman"/>
          <w:sz w:val="24"/>
          <w:szCs w:val="24"/>
          <w:lang w:val="bg-BG" w:eastAsia="bg-BG"/>
        </w:rPr>
        <w:t xml:space="preserve">При </w:t>
      </w:r>
      <w:r w:rsidR="00430786" w:rsidRPr="00610B1B">
        <w:rPr>
          <w:rFonts w:ascii="Times New Roman" w:eastAsia="Times New Roman" w:hAnsi="Times New Roman" w:cs="Times New Roman"/>
          <w:sz w:val="24"/>
          <w:szCs w:val="24"/>
          <w:lang w:val="bg-BG" w:eastAsia="bg-BG"/>
        </w:rPr>
        <w:t>дълбочина, по-голяма от 150</w:t>
      </w:r>
      <w:r w:rsidR="00AC5F2E" w:rsidRPr="00610B1B">
        <w:rPr>
          <w:rFonts w:ascii="Times New Roman" w:eastAsia="Times New Roman" w:hAnsi="Times New Roman" w:cs="Times New Roman"/>
          <w:sz w:val="24"/>
          <w:szCs w:val="24"/>
          <w:lang w:val="bg-BG" w:eastAsia="bg-BG"/>
        </w:rPr>
        <w:t>-</w:t>
      </w:r>
      <w:r w:rsidR="00430786" w:rsidRPr="00610B1B">
        <w:rPr>
          <w:rFonts w:ascii="Times New Roman" w:eastAsia="Times New Roman" w:hAnsi="Times New Roman" w:cs="Times New Roman"/>
          <w:sz w:val="24"/>
          <w:szCs w:val="24"/>
          <w:lang w:val="bg-BG" w:eastAsia="bg-BG"/>
        </w:rPr>
        <w:t xml:space="preserve">200 </w:t>
      </w:r>
      <w:r w:rsidR="005B3535" w:rsidRPr="00610B1B">
        <w:rPr>
          <w:rFonts w:ascii="Times New Roman" w:eastAsia="Times New Roman" w:hAnsi="Times New Roman" w:cs="Times New Roman"/>
          <w:sz w:val="24"/>
          <w:szCs w:val="24"/>
          <w:lang w:val="bg-BG" w:eastAsia="bg-BG"/>
        </w:rPr>
        <w:t>m</w:t>
      </w:r>
      <w:r w:rsidR="00430786" w:rsidRPr="00610B1B">
        <w:rPr>
          <w:rFonts w:ascii="Times New Roman" w:eastAsia="Times New Roman" w:hAnsi="Times New Roman" w:cs="Times New Roman"/>
          <w:sz w:val="24"/>
          <w:szCs w:val="24"/>
          <w:lang w:val="bg-BG" w:eastAsia="bg-BG"/>
        </w:rPr>
        <w:t xml:space="preserve"> е установена постоянна сероводородна зона</w:t>
      </w:r>
      <w:r w:rsidR="001802D1" w:rsidRPr="00610B1B">
        <w:rPr>
          <w:rFonts w:ascii="Times New Roman" w:eastAsia="Times New Roman" w:hAnsi="Times New Roman" w:cs="Times New Roman"/>
          <w:sz w:val="24"/>
          <w:szCs w:val="24"/>
          <w:lang w:val="bg-BG" w:eastAsia="bg-BG"/>
        </w:rPr>
        <w:t>, в която</w:t>
      </w:r>
      <w:r w:rsidR="00430786" w:rsidRPr="00610B1B">
        <w:rPr>
          <w:rFonts w:ascii="Times New Roman" w:eastAsia="Times New Roman" w:hAnsi="Times New Roman" w:cs="Times New Roman"/>
          <w:sz w:val="24"/>
          <w:szCs w:val="24"/>
          <w:lang w:val="bg-BG" w:eastAsia="bg-BG"/>
        </w:rPr>
        <w:t xml:space="preserve"> кислородът е изчерпан</w:t>
      </w:r>
      <w:r w:rsidRPr="00610B1B">
        <w:rPr>
          <w:rFonts w:ascii="Times New Roman" w:eastAsia="Times New Roman" w:hAnsi="Times New Roman" w:cs="Times New Roman"/>
          <w:sz w:val="24"/>
          <w:szCs w:val="24"/>
          <w:lang w:val="bg-BG" w:eastAsia="bg-BG"/>
        </w:rPr>
        <w:t xml:space="preserve">, което превръща </w:t>
      </w:r>
      <w:r w:rsidR="00430786" w:rsidRPr="00610B1B">
        <w:rPr>
          <w:rFonts w:ascii="Times New Roman" w:eastAsia="Times New Roman" w:hAnsi="Times New Roman" w:cs="Times New Roman"/>
          <w:sz w:val="24"/>
          <w:szCs w:val="24"/>
          <w:lang w:val="bg-BG" w:eastAsia="bg-BG"/>
        </w:rPr>
        <w:t xml:space="preserve">Черно море </w:t>
      </w:r>
      <w:r w:rsidRPr="00610B1B">
        <w:rPr>
          <w:rFonts w:ascii="Times New Roman" w:eastAsia="Times New Roman" w:hAnsi="Times New Roman" w:cs="Times New Roman"/>
          <w:sz w:val="24"/>
          <w:szCs w:val="24"/>
          <w:lang w:val="bg-BG" w:eastAsia="bg-BG"/>
        </w:rPr>
        <w:t xml:space="preserve">в </w:t>
      </w:r>
      <w:r w:rsidR="00430786" w:rsidRPr="00610B1B">
        <w:rPr>
          <w:rFonts w:ascii="Times New Roman" w:eastAsia="Times New Roman" w:hAnsi="Times New Roman" w:cs="Times New Roman"/>
          <w:b/>
          <w:i/>
          <w:sz w:val="24"/>
          <w:szCs w:val="24"/>
          <w:lang w:val="bg-BG" w:eastAsia="bg-BG"/>
        </w:rPr>
        <w:t>най-големия безкислороден басейн в света</w:t>
      </w:r>
      <w:r w:rsidR="00B61E10" w:rsidRPr="00610B1B">
        <w:rPr>
          <w:rFonts w:ascii="Times New Roman" w:eastAsia="Times New Roman" w:hAnsi="Times New Roman" w:cs="Times New Roman"/>
          <w:sz w:val="24"/>
          <w:szCs w:val="24"/>
          <w:lang w:val="bg-BG" w:eastAsia="bg-BG"/>
        </w:rPr>
        <w:t xml:space="preserve">. </w:t>
      </w:r>
      <w:r w:rsidR="00430786" w:rsidRPr="00610B1B">
        <w:rPr>
          <w:rFonts w:ascii="Times New Roman" w:eastAsia="Times New Roman" w:hAnsi="Times New Roman" w:cs="Times New Roman"/>
          <w:sz w:val="24"/>
          <w:szCs w:val="24"/>
          <w:lang w:val="bg-BG" w:eastAsia="bg-BG"/>
        </w:rPr>
        <w:t>Богатите на кислород повърхностни води</w:t>
      </w:r>
      <w:r w:rsidR="005B3535" w:rsidRPr="00610B1B">
        <w:rPr>
          <w:rFonts w:ascii="Times New Roman" w:eastAsia="Times New Roman" w:hAnsi="Times New Roman" w:cs="Times New Roman"/>
          <w:sz w:val="24"/>
          <w:szCs w:val="24"/>
          <w:lang w:val="bg-BG" w:eastAsia="bg-BG"/>
        </w:rPr>
        <w:t>,</w:t>
      </w:r>
      <w:r w:rsidR="00430786" w:rsidRPr="00610B1B">
        <w:rPr>
          <w:rFonts w:ascii="Times New Roman" w:eastAsia="Times New Roman" w:hAnsi="Times New Roman" w:cs="Times New Roman"/>
          <w:sz w:val="24"/>
          <w:szCs w:val="24"/>
          <w:lang w:val="bg-BG" w:eastAsia="bg-BG"/>
        </w:rPr>
        <w:t xml:space="preserve"> от които зависи живот</w:t>
      </w:r>
      <w:r w:rsidR="00E425BA" w:rsidRPr="00610B1B">
        <w:rPr>
          <w:rFonts w:ascii="Times New Roman" w:eastAsia="Times New Roman" w:hAnsi="Times New Roman" w:cs="Times New Roman"/>
          <w:sz w:val="24"/>
          <w:szCs w:val="24"/>
          <w:lang w:val="bg-BG" w:eastAsia="bg-BG"/>
        </w:rPr>
        <w:t>ът</w:t>
      </w:r>
      <w:r w:rsidR="00430786" w:rsidRPr="00610B1B">
        <w:rPr>
          <w:rFonts w:ascii="Times New Roman" w:eastAsia="Times New Roman" w:hAnsi="Times New Roman" w:cs="Times New Roman"/>
          <w:sz w:val="24"/>
          <w:szCs w:val="24"/>
          <w:lang w:val="bg-BG" w:eastAsia="bg-BG"/>
        </w:rPr>
        <w:t xml:space="preserve"> в</w:t>
      </w:r>
      <w:r w:rsidR="00E425BA" w:rsidRPr="00610B1B">
        <w:rPr>
          <w:rFonts w:ascii="Times New Roman" w:eastAsia="Times New Roman" w:hAnsi="Times New Roman" w:cs="Times New Roman"/>
          <w:sz w:val="24"/>
          <w:szCs w:val="24"/>
          <w:lang w:val="bg-BG" w:eastAsia="bg-BG"/>
        </w:rPr>
        <w:t xml:space="preserve"> </w:t>
      </w:r>
      <w:r w:rsidR="00430786" w:rsidRPr="00610B1B">
        <w:rPr>
          <w:rFonts w:ascii="Times New Roman" w:eastAsia="Times New Roman" w:hAnsi="Times New Roman" w:cs="Times New Roman"/>
          <w:sz w:val="24"/>
          <w:szCs w:val="24"/>
          <w:lang w:val="bg-BG" w:eastAsia="bg-BG"/>
        </w:rPr>
        <w:t xml:space="preserve">морето, представляват около 13% от обема на водната маса. Тази особеност влияе върху екологичното състояние на морската среда и разнообразието на организмите. </w:t>
      </w:r>
    </w:p>
    <w:p w14:paraId="649F388A" w14:textId="2BBD10C3" w:rsidR="005B3535" w:rsidRPr="00610B1B" w:rsidRDefault="00430786" w:rsidP="00D32D6A">
      <w:pPr>
        <w:spacing w:after="120"/>
        <w:ind w:right="-153"/>
        <w:jc w:val="both"/>
        <w:rPr>
          <w:rFonts w:ascii="Times New Roman" w:eastAsia="Times New Roman" w:hAnsi="Times New Roman" w:cs="Times New Roman"/>
          <w:spacing w:val="-1"/>
          <w:sz w:val="24"/>
          <w:szCs w:val="24"/>
          <w:lang w:val="bg-BG" w:eastAsia="bg-BG"/>
        </w:rPr>
      </w:pPr>
      <w:r w:rsidRPr="00610B1B">
        <w:rPr>
          <w:rFonts w:ascii="Times New Roman" w:eastAsia="Times New Roman" w:hAnsi="Times New Roman" w:cs="Times New Roman"/>
          <w:spacing w:val="-1"/>
          <w:sz w:val="24"/>
          <w:szCs w:val="24"/>
          <w:lang w:val="bg-BG" w:eastAsia="bg-BG"/>
        </w:rPr>
        <w:t xml:space="preserve">В Черно море са формирани два затворени кръга на движение на водата </w:t>
      </w:r>
      <w:r w:rsidR="00AC5F2E" w:rsidRPr="00610B1B">
        <w:rPr>
          <w:rFonts w:ascii="Times New Roman" w:eastAsia="Times New Roman" w:hAnsi="Times New Roman" w:cs="Times New Roman"/>
          <w:sz w:val="24"/>
          <w:szCs w:val="24"/>
          <w:lang w:val="bg-BG" w:eastAsia="bg-BG"/>
        </w:rPr>
        <w:t>–</w:t>
      </w:r>
      <w:r w:rsidRPr="00610B1B">
        <w:rPr>
          <w:rFonts w:ascii="Times New Roman" w:eastAsia="Times New Roman" w:hAnsi="Times New Roman" w:cs="Times New Roman"/>
          <w:spacing w:val="-1"/>
          <w:sz w:val="24"/>
          <w:szCs w:val="24"/>
          <w:lang w:val="bg-BG" w:eastAsia="bg-BG"/>
        </w:rPr>
        <w:t xml:space="preserve"> в западната и в източната част на Черно море. Покрай българския бряг преми</w:t>
      </w:r>
      <w:r w:rsidRPr="00610B1B">
        <w:rPr>
          <w:rFonts w:ascii="Times New Roman" w:eastAsia="Times New Roman" w:hAnsi="Times New Roman" w:cs="Times New Roman"/>
          <w:spacing w:val="-1"/>
          <w:sz w:val="24"/>
          <w:szCs w:val="24"/>
          <w:lang w:val="bg-BG" w:eastAsia="bg-BG"/>
        </w:rPr>
        <w:softHyphen/>
        <w:t>нава западният кръг на морското течение</w:t>
      </w:r>
      <w:r w:rsidR="00E425BA" w:rsidRPr="00610B1B">
        <w:rPr>
          <w:rFonts w:ascii="Times New Roman" w:eastAsia="Times New Roman" w:hAnsi="Times New Roman" w:cs="Times New Roman"/>
          <w:spacing w:val="-1"/>
          <w:sz w:val="24"/>
          <w:szCs w:val="24"/>
          <w:lang w:val="bg-BG" w:eastAsia="bg-BG"/>
        </w:rPr>
        <w:t xml:space="preserve"> и</w:t>
      </w:r>
      <w:r w:rsidRPr="00610B1B">
        <w:rPr>
          <w:rFonts w:ascii="Times New Roman" w:hAnsi="Times New Roman" w:cs="Times New Roman"/>
          <w:sz w:val="24"/>
          <w:szCs w:val="24"/>
          <w:lang w:val="bg-BG"/>
        </w:rPr>
        <w:t xml:space="preserve"> са регистрирани най-високите скорости на движение н</w:t>
      </w:r>
      <w:r w:rsidR="00F52D77" w:rsidRPr="00610B1B">
        <w:rPr>
          <w:rFonts w:ascii="Times New Roman" w:hAnsi="Times New Roman" w:cs="Times New Roman"/>
          <w:sz w:val="24"/>
          <w:szCs w:val="24"/>
          <w:lang w:val="bg-BG"/>
        </w:rPr>
        <w:t>а</w:t>
      </w:r>
      <w:r w:rsidRPr="00610B1B">
        <w:rPr>
          <w:rFonts w:ascii="Times New Roman" w:hAnsi="Times New Roman" w:cs="Times New Roman"/>
          <w:sz w:val="24"/>
          <w:szCs w:val="24"/>
          <w:lang w:val="bg-BG"/>
        </w:rPr>
        <w:t xml:space="preserve"> морските течения в целия Черноморски басейн. </w:t>
      </w:r>
      <w:r w:rsidRPr="00610B1B">
        <w:rPr>
          <w:rFonts w:ascii="Times New Roman" w:eastAsia="Times New Roman" w:hAnsi="Times New Roman" w:cs="Times New Roman"/>
          <w:spacing w:val="-1"/>
          <w:sz w:val="24"/>
          <w:szCs w:val="24"/>
          <w:lang w:val="bg-BG" w:eastAsia="bg-BG"/>
        </w:rPr>
        <w:t>В откритите водни пространства практически може да няма морски течения</w:t>
      </w:r>
      <w:r w:rsidR="000669A5" w:rsidRPr="00610B1B">
        <w:rPr>
          <w:rFonts w:ascii="Times New Roman" w:eastAsia="Times New Roman" w:hAnsi="Times New Roman" w:cs="Times New Roman"/>
          <w:spacing w:val="-1"/>
          <w:sz w:val="24"/>
          <w:szCs w:val="24"/>
          <w:lang w:val="bg-BG" w:eastAsia="bg-BG"/>
        </w:rPr>
        <w:t>, а д</w:t>
      </w:r>
      <w:r w:rsidRPr="00610B1B">
        <w:rPr>
          <w:rFonts w:ascii="Times New Roman" w:eastAsia="Times New Roman" w:hAnsi="Times New Roman" w:cs="Times New Roman"/>
          <w:spacing w:val="-1"/>
          <w:sz w:val="24"/>
          <w:szCs w:val="24"/>
          <w:lang w:val="bg-BG" w:eastAsia="bg-BG"/>
        </w:rPr>
        <w:t>вижението н</w:t>
      </w:r>
      <w:r w:rsidR="004E20F4"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pacing w:val="-1"/>
          <w:sz w:val="24"/>
          <w:szCs w:val="24"/>
          <w:lang w:val="bg-BG" w:eastAsia="bg-BG"/>
        </w:rPr>
        <w:t xml:space="preserve"> водата </w:t>
      </w:r>
      <w:r w:rsidR="000669A5" w:rsidRPr="00610B1B">
        <w:rPr>
          <w:rFonts w:ascii="Times New Roman" w:eastAsia="Times New Roman" w:hAnsi="Times New Roman" w:cs="Times New Roman"/>
          <w:spacing w:val="-1"/>
          <w:sz w:val="24"/>
          <w:szCs w:val="24"/>
          <w:lang w:val="bg-BG" w:eastAsia="bg-BG"/>
        </w:rPr>
        <w:t xml:space="preserve">да </w:t>
      </w:r>
      <w:r w:rsidRPr="00610B1B">
        <w:rPr>
          <w:rFonts w:ascii="Times New Roman" w:eastAsia="Times New Roman" w:hAnsi="Times New Roman" w:cs="Times New Roman"/>
          <w:spacing w:val="-1"/>
          <w:sz w:val="24"/>
          <w:szCs w:val="24"/>
          <w:lang w:val="bg-BG" w:eastAsia="bg-BG"/>
        </w:rPr>
        <w:t>се извършва под влияние на вятъра.</w:t>
      </w:r>
      <w:r w:rsidR="00214E8E" w:rsidRPr="00610B1B">
        <w:rPr>
          <w:rFonts w:ascii="Times New Roman" w:eastAsia="Times New Roman" w:hAnsi="Times New Roman" w:cs="Times New Roman"/>
          <w:spacing w:val="-1"/>
          <w:sz w:val="24"/>
          <w:szCs w:val="24"/>
          <w:lang w:val="bg-BG" w:eastAsia="bg-BG"/>
        </w:rPr>
        <w:t xml:space="preserve"> </w:t>
      </w:r>
      <w:r w:rsidRPr="00610B1B">
        <w:rPr>
          <w:rFonts w:ascii="Times New Roman" w:eastAsia="Times New Roman" w:hAnsi="Times New Roman" w:cs="Times New Roman"/>
          <w:bCs/>
          <w:spacing w:val="-1"/>
          <w:sz w:val="24"/>
          <w:szCs w:val="24"/>
          <w:lang w:val="bg-BG" w:eastAsia="bg-BG"/>
        </w:rPr>
        <w:t>Характерно за Черно море е неголямата височина на ветровите въ</w:t>
      </w:r>
      <w:r w:rsidR="008C6A3B" w:rsidRPr="00610B1B">
        <w:rPr>
          <w:rFonts w:ascii="Times New Roman" w:eastAsia="Times New Roman" w:hAnsi="Times New Roman" w:cs="Times New Roman"/>
          <w:bCs/>
          <w:spacing w:val="-1"/>
          <w:sz w:val="24"/>
          <w:szCs w:val="24"/>
          <w:lang w:val="bg-BG" w:eastAsia="bg-BG"/>
        </w:rPr>
        <w:t>л</w:t>
      </w:r>
      <w:r w:rsidRPr="00610B1B">
        <w:rPr>
          <w:rFonts w:ascii="Times New Roman" w:eastAsia="Times New Roman" w:hAnsi="Times New Roman" w:cs="Times New Roman"/>
          <w:bCs/>
          <w:spacing w:val="-1"/>
          <w:sz w:val="24"/>
          <w:szCs w:val="24"/>
          <w:lang w:val="bg-BG" w:eastAsia="bg-BG"/>
        </w:rPr>
        <w:t>ни.</w:t>
      </w:r>
      <w:r w:rsidRPr="00610B1B">
        <w:rPr>
          <w:rFonts w:ascii="Times New Roman" w:eastAsia="Times New Roman" w:hAnsi="Times New Roman" w:cs="Times New Roman"/>
          <w:spacing w:val="-1"/>
          <w:sz w:val="24"/>
          <w:szCs w:val="24"/>
          <w:lang w:val="bg-BG" w:eastAsia="bg-BG"/>
        </w:rPr>
        <w:t xml:space="preserve"> </w:t>
      </w:r>
      <w:r w:rsidR="002E7BED" w:rsidRPr="00610B1B">
        <w:rPr>
          <w:rFonts w:ascii="Times New Roman" w:eastAsia="Times New Roman" w:hAnsi="Times New Roman" w:cs="Times New Roman"/>
          <w:spacing w:val="-1"/>
          <w:sz w:val="24"/>
          <w:szCs w:val="24"/>
          <w:lang w:val="bg-BG" w:eastAsia="bg-BG"/>
        </w:rPr>
        <w:t>П</w:t>
      </w:r>
      <w:r w:rsidRPr="00610B1B">
        <w:rPr>
          <w:rFonts w:ascii="Times New Roman" w:eastAsia="Times New Roman" w:hAnsi="Times New Roman" w:cs="Times New Roman"/>
          <w:spacing w:val="-1"/>
          <w:sz w:val="24"/>
          <w:szCs w:val="24"/>
          <w:lang w:val="bg-BG" w:eastAsia="bg-BG"/>
        </w:rPr>
        <w:t>ри силен източен и се</w:t>
      </w:r>
      <w:r w:rsidRPr="00610B1B">
        <w:rPr>
          <w:rFonts w:ascii="Times New Roman" w:eastAsia="Times New Roman" w:hAnsi="Times New Roman" w:cs="Times New Roman"/>
          <w:spacing w:val="-1"/>
          <w:sz w:val="24"/>
          <w:szCs w:val="24"/>
          <w:lang w:val="bg-BG" w:eastAsia="bg-BG"/>
        </w:rPr>
        <w:softHyphen/>
        <w:t>вероизточен вят</w:t>
      </w:r>
      <w:r w:rsidR="002E7BED" w:rsidRPr="00610B1B">
        <w:rPr>
          <w:rFonts w:ascii="Times New Roman" w:eastAsia="Times New Roman" w:hAnsi="Times New Roman" w:cs="Times New Roman"/>
          <w:spacing w:val="-1"/>
          <w:sz w:val="24"/>
          <w:szCs w:val="24"/>
          <w:lang w:val="bg-BG" w:eastAsia="bg-BG"/>
        </w:rPr>
        <w:t xml:space="preserve">ър </w:t>
      </w:r>
      <w:r w:rsidRPr="00610B1B">
        <w:rPr>
          <w:rFonts w:ascii="Times New Roman" w:eastAsia="Times New Roman" w:hAnsi="Times New Roman" w:cs="Times New Roman"/>
          <w:spacing w:val="-1"/>
          <w:sz w:val="24"/>
          <w:szCs w:val="24"/>
          <w:lang w:val="bg-BG" w:eastAsia="bg-BG"/>
        </w:rPr>
        <w:t xml:space="preserve">през зимата се образуват вълни, високи до 5-6 </w:t>
      </w:r>
      <w:r w:rsidR="005B3535" w:rsidRPr="00610B1B">
        <w:rPr>
          <w:rFonts w:ascii="Times New Roman" w:eastAsia="Times New Roman" w:hAnsi="Times New Roman" w:cs="Times New Roman"/>
          <w:spacing w:val="-1"/>
          <w:sz w:val="24"/>
          <w:szCs w:val="24"/>
          <w:lang w:val="bg-BG" w:eastAsia="bg-BG"/>
        </w:rPr>
        <w:t>m</w:t>
      </w:r>
      <w:r w:rsidRPr="00610B1B">
        <w:rPr>
          <w:rFonts w:ascii="Times New Roman" w:eastAsia="Times New Roman" w:hAnsi="Times New Roman" w:cs="Times New Roman"/>
          <w:spacing w:val="-1"/>
          <w:sz w:val="24"/>
          <w:szCs w:val="24"/>
          <w:lang w:val="bg-BG" w:eastAsia="bg-BG"/>
        </w:rPr>
        <w:t xml:space="preserve"> и с дължина до 70-80 </w:t>
      </w:r>
      <w:r w:rsidR="005B3535" w:rsidRPr="00610B1B">
        <w:rPr>
          <w:rFonts w:ascii="Times New Roman" w:eastAsia="Times New Roman" w:hAnsi="Times New Roman" w:cs="Times New Roman"/>
          <w:spacing w:val="-1"/>
          <w:sz w:val="24"/>
          <w:szCs w:val="24"/>
          <w:lang w:val="bg-BG" w:eastAsia="bg-BG"/>
        </w:rPr>
        <w:t>m</w:t>
      </w:r>
      <w:r w:rsidR="000669A5" w:rsidRPr="00610B1B">
        <w:rPr>
          <w:rFonts w:ascii="Times New Roman" w:eastAsia="Times New Roman" w:hAnsi="Times New Roman" w:cs="Times New Roman"/>
          <w:spacing w:val="-1"/>
          <w:sz w:val="24"/>
          <w:szCs w:val="24"/>
          <w:lang w:val="bg-BG" w:eastAsia="bg-BG"/>
        </w:rPr>
        <w:t xml:space="preserve">, които </w:t>
      </w:r>
      <w:r w:rsidRPr="00610B1B">
        <w:rPr>
          <w:rFonts w:ascii="Times New Roman" w:eastAsia="Times New Roman" w:hAnsi="Times New Roman" w:cs="Times New Roman"/>
          <w:spacing w:val="-1"/>
          <w:sz w:val="24"/>
          <w:szCs w:val="24"/>
          <w:lang w:val="bg-BG" w:eastAsia="bg-BG"/>
        </w:rPr>
        <w:t>нанас</w:t>
      </w:r>
      <w:r w:rsidR="004E20F4" w:rsidRPr="00610B1B">
        <w:rPr>
          <w:rFonts w:ascii="Times New Roman" w:eastAsia="Times New Roman" w:hAnsi="Times New Roman" w:cs="Times New Roman"/>
          <w:spacing w:val="-1"/>
          <w:sz w:val="24"/>
          <w:szCs w:val="24"/>
          <w:lang w:val="bg-BG" w:eastAsia="bg-BG"/>
        </w:rPr>
        <w:t>я</w:t>
      </w:r>
      <w:r w:rsidRPr="00610B1B">
        <w:rPr>
          <w:rFonts w:ascii="Times New Roman" w:eastAsia="Times New Roman" w:hAnsi="Times New Roman" w:cs="Times New Roman"/>
          <w:spacing w:val="-1"/>
          <w:sz w:val="24"/>
          <w:szCs w:val="24"/>
          <w:lang w:val="bg-BG" w:eastAsia="bg-BG"/>
        </w:rPr>
        <w:t>т сериозни щети на съоръженията по крайб</w:t>
      </w:r>
      <w:r w:rsidRPr="00610B1B">
        <w:rPr>
          <w:rFonts w:ascii="Times New Roman" w:eastAsia="Times New Roman" w:hAnsi="Times New Roman" w:cs="Times New Roman"/>
          <w:spacing w:val="-1"/>
          <w:sz w:val="24"/>
          <w:szCs w:val="24"/>
          <w:lang w:val="bg-BG" w:eastAsia="bg-BG"/>
        </w:rPr>
        <w:softHyphen/>
        <w:t>режието.</w:t>
      </w:r>
      <w:r w:rsidR="005B3535" w:rsidRPr="00610B1B">
        <w:rPr>
          <w:rFonts w:ascii="Times New Roman" w:eastAsia="Times New Roman" w:hAnsi="Times New Roman" w:cs="Times New Roman"/>
          <w:spacing w:val="-1"/>
          <w:sz w:val="24"/>
          <w:szCs w:val="24"/>
          <w:lang w:val="bg-BG" w:eastAsia="bg-BG"/>
        </w:rPr>
        <w:t xml:space="preserve"> </w:t>
      </w:r>
      <w:r w:rsidRPr="00610B1B">
        <w:rPr>
          <w:rFonts w:ascii="Times New Roman" w:eastAsia="Times New Roman" w:hAnsi="Times New Roman" w:cs="Times New Roman"/>
          <w:spacing w:val="-1"/>
          <w:sz w:val="24"/>
          <w:szCs w:val="24"/>
          <w:lang w:val="bg-BG" w:eastAsia="bg-BG"/>
        </w:rPr>
        <w:t xml:space="preserve">За Черно море са типични </w:t>
      </w:r>
      <w:r w:rsidRPr="00610B1B">
        <w:rPr>
          <w:rFonts w:ascii="Times New Roman" w:eastAsia="Times New Roman" w:hAnsi="Times New Roman" w:cs="Times New Roman"/>
          <w:b/>
          <w:i/>
          <w:spacing w:val="-1"/>
          <w:sz w:val="24"/>
          <w:szCs w:val="24"/>
          <w:lang w:val="bg-BG" w:eastAsia="bg-BG"/>
        </w:rPr>
        <w:t>малките колебания на морската вода при приливите и отливите</w:t>
      </w:r>
      <w:r w:rsidRPr="00610B1B">
        <w:rPr>
          <w:rFonts w:ascii="Times New Roman" w:eastAsia="Times New Roman" w:hAnsi="Times New Roman" w:cs="Times New Roman"/>
          <w:spacing w:val="-1"/>
          <w:sz w:val="24"/>
          <w:szCs w:val="24"/>
          <w:lang w:val="bg-BG" w:eastAsia="bg-BG"/>
        </w:rPr>
        <w:t>.</w:t>
      </w:r>
      <w:r w:rsidR="005B3535" w:rsidRPr="00610B1B">
        <w:rPr>
          <w:rFonts w:ascii="Times New Roman" w:eastAsia="Times New Roman" w:hAnsi="Times New Roman" w:cs="Times New Roman"/>
          <w:spacing w:val="-1"/>
          <w:sz w:val="24"/>
          <w:szCs w:val="24"/>
          <w:lang w:val="bg-BG" w:eastAsia="bg-BG"/>
        </w:rPr>
        <w:t xml:space="preserve"> </w:t>
      </w:r>
    </w:p>
    <w:p w14:paraId="4455F992" w14:textId="1615E087" w:rsidR="005B3535" w:rsidRPr="00610B1B" w:rsidRDefault="00430786" w:rsidP="00D32D6A">
      <w:pPr>
        <w:spacing w:after="120"/>
        <w:ind w:right="-153"/>
        <w:jc w:val="both"/>
        <w:rPr>
          <w:rFonts w:ascii="Times New Roman" w:eastAsia="Times New Roman" w:hAnsi="Times New Roman" w:cs="Times New Roman"/>
          <w:spacing w:val="-1"/>
          <w:sz w:val="24"/>
          <w:szCs w:val="24"/>
          <w:lang w:val="bg-BG" w:eastAsia="bg-BG"/>
        </w:rPr>
      </w:pPr>
      <w:r w:rsidRPr="00610B1B">
        <w:rPr>
          <w:rFonts w:ascii="Times New Roman" w:eastAsia="Times New Roman" w:hAnsi="Times New Roman" w:cs="Times New Roman"/>
          <w:sz w:val="24"/>
          <w:szCs w:val="24"/>
          <w:lang w:val="bg-BG" w:bidi="en-US"/>
        </w:rPr>
        <w:t xml:space="preserve">Черно море е характерно с </w:t>
      </w:r>
      <w:r w:rsidRPr="00610B1B">
        <w:rPr>
          <w:rFonts w:ascii="Times New Roman" w:eastAsia="Times New Roman" w:hAnsi="Times New Roman" w:cs="Times New Roman"/>
          <w:b/>
          <w:i/>
          <w:sz w:val="24"/>
          <w:szCs w:val="24"/>
          <w:lang w:val="bg-BG" w:bidi="en-US"/>
        </w:rPr>
        <w:t>ограниченото си биоразнообразие</w:t>
      </w:r>
      <w:r w:rsidRPr="00610B1B">
        <w:rPr>
          <w:rFonts w:ascii="Times New Roman" w:eastAsia="Times New Roman" w:hAnsi="Times New Roman" w:cs="Times New Roman"/>
          <w:sz w:val="24"/>
          <w:szCs w:val="24"/>
          <w:lang w:val="bg-BG" w:bidi="en-US"/>
        </w:rPr>
        <w:t xml:space="preserve">. Фауната </w:t>
      </w:r>
      <w:r w:rsidR="00A05030" w:rsidRPr="00610B1B">
        <w:rPr>
          <w:rFonts w:ascii="Times New Roman" w:eastAsia="Times New Roman" w:hAnsi="Times New Roman" w:cs="Times New Roman"/>
          <w:sz w:val="24"/>
          <w:szCs w:val="24"/>
          <w:lang w:val="bg-BG" w:bidi="en-US"/>
        </w:rPr>
        <w:t>му</w:t>
      </w:r>
      <w:r w:rsidRPr="00610B1B">
        <w:rPr>
          <w:rFonts w:ascii="Times New Roman" w:eastAsia="Times New Roman" w:hAnsi="Times New Roman" w:cs="Times New Roman"/>
          <w:sz w:val="24"/>
          <w:szCs w:val="24"/>
          <w:lang w:val="bg-BG" w:bidi="en-US"/>
        </w:rPr>
        <w:t xml:space="preserve"> е около три пъти по-бедна от </w:t>
      </w:r>
      <w:r w:rsidR="00A05030" w:rsidRPr="00610B1B">
        <w:rPr>
          <w:rFonts w:ascii="Times New Roman" w:eastAsia="Times New Roman" w:hAnsi="Times New Roman" w:cs="Times New Roman"/>
          <w:sz w:val="24"/>
          <w:szCs w:val="24"/>
          <w:lang w:val="bg-BG" w:bidi="en-US"/>
        </w:rPr>
        <w:t>фауната</w:t>
      </w:r>
      <w:r w:rsidRPr="00610B1B">
        <w:rPr>
          <w:rFonts w:ascii="Times New Roman" w:eastAsia="Times New Roman" w:hAnsi="Times New Roman" w:cs="Times New Roman"/>
          <w:sz w:val="24"/>
          <w:szCs w:val="24"/>
          <w:lang w:val="bg-BG" w:bidi="en-US"/>
        </w:rPr>
        <w:t xml:space="preserve"> на Средиземно море</w:t>
      </w:r>
      <w:r w:rsidR="00A05030" w:rsidRPr="00610B1B">
        <w:rPr>
          <w:rFonts w:ascii="Times New Roman" w:eastAsia="Times New Roman" w:hAnsi="Times New Roman" w:cs="Times New Roman"/>
          <w:sz w:val="24"/>
          <w:szCs w:val="24"/>
          <w:lang w:val="bg-BG" w:bidi="en-US"/>
        </w:rPr>
        <w:t>, поради</w:t>
      </w:r>
      <w:r w:rsidRPr="00610B1B">
        <w:rPr>
          <w:rFonts w:ascii="Times New Roman" w:eastAsia="Times New Roman" w:hAnsi="Times New Roman" w:cs="Times New Roman"/>
          <w:sz w:val="24"/>
          <w:szCs w:val="24"/>
          <w:lang w:val="bg-BG" w:bidi="en-US"/>
        </w:rPr>
        <w:t xml:space="preserve"> сероводород</w:t>
      </w:r>
      <w:r w:rsidR="000669A5" w:rsidRPr="00610B1B">
        <w:rPr>
          <w:rFonts w:ascii="Times New Roman" w:eastAsia="Times New Roman" w:hAnsi="Times New Roman" w:cs="Times New Roman"/>
          <w:sz w:val="24"/>
          <w:szCs w:val="24"/>
          <w:lang w:val="bg-BG" w:bidi="en-US"/>
        </w:rPr>
        <w:t>а</w:t>
      </w:r>
      <w:r w:rsidRPr="00610B1B">
        <w:rPr>
          <w:rFonts w:ascii="Times New Roman" w:eastAsia="Times New Roman" w:hAnsi="Times New Roman" w:cs="Times New Roman"/>
          <w:sz w:val="24"/>
          <w:szCs w:val="24"/>
          <w:lang w:val="bg-BG" w:bidi="en-US"/>
        </w:rPr>
        <w:t xml:space="preserve"> в дълбоководната зона на басейна, заемаща 87% от обема му, ниската соленост на водите</w:t>
      </w:r>
      <w:r w:rsidR="00D66FE0" w:rsidRPr="00610B1B">
        <w:rPr>
          <w:rFonts w:ascii="Times New Roman" w:eastAsia="Times New Roman" w:hAnsi="Times New Roman" w:cs="Times New Roman"/>
          <w:sz w:val="24"/>
          <w:szCs w:val="24"/>
          <w:lang w:val="bg-BG" w:bidi="en-US"/>
        </w:rPr>
        <w:t xml:space="preserve"> </w:t>
      </w:r>
      <w:r w:rsidRPr="00610B1B">
        <w:rPr>
          <w:rFonts w:ascii="Times New Roman" w:eastAsia="Times New Roman" w:hAnsi="Times New Roman" w:cs="Times New Roman"/>
          <w:sz w:val="24"/>
          <w:szCs w:val="24"/>
          <w:lang w:val="bg-BG" w:bidi="en-US"/>
        </w:rPr>
        <w:t xml:space="preserve">и ограничената връзка на морето със Световния океан. </w:t>
      </w:r>
    </w:p>
    <w:p w14:paraId="2E3114B0" w14:textId="7779702A" w:rsidR="00B40160" w:rsidRPr="00610B1B" w:rsidRDefault="00430786" w:rsidP="00D32D6A">
      <w:pPr>
        <w:spacing w:after="120"/>
        <w:ind w:right="-153"/>
        <w:jc w:val="both"/>
        <w:rPr>
          <w:rFonts w:ascii="Times New Roman" w:eastAsia="Times New Roman" w:hAnsi="Times New Roman" w:cs="Times New Roman"/>
          <w:spacing w:val="-1"/>
          <w:sz w:val="24"/>
          <w:szCs w:val="24"/>
          <w:lang w:val="bg-BG" w:eastAsia="bg-BG"/>
        </w:rPr>
      </w:pPr>
      <w:r w:rsidRPr="00610B1B">
        <w:rPr>
          <w:rFonts w:ascii="Times New Roman" w:eastAsia="Times New Roman" w:hAnsi="Times New Roman" w:cs="Times New Roman"/>
          <w:spacing w:val="-1"/>
          <w:sz w:val="24"/>
          <w:szCs w:val="24"/>
          <w:lang w:val="bg-BG" w:eastAsia="bg-BG"/>
        </w:rPr>
        <w:t xml:space="preserve">За разлика от морските води, прилежащото крайбрежие </w:t>
      </w:r>
      <w:r w:rsidR="003764FC" w:rsidRPr="00610B1B">
        <w:rPr>
          <w:rFonts w:ascii="Times New Roman" w:eastAsia="Times New Roman" w:hAnsi="Times New Roman" w:cs="Times New Roman"/>
          <w:spacing w:val="-1"/>
          <w:sz w:val="24"/>
          <w:szCs w:val="24"/>
          <w:lang w:val="bg-BG" w:eastAsia="bg-BG"/>
        </w:rPr>
        <w:t>е</w:t>
      </w:r>
      <w:r w:rsidR="00D66FE0" w:rsidRPr="00610B1B">
        <w:rPr>
          <w:rFonts w:ascii="Times New Roman" w:eastAsia="Times New Roman" w:hAnsi="Times New Roman" w:cs="Times New Roman"/>
          <w:spacing w:val="-1"/>
          <w:sz w:val="24"/>
          <w:szCs w:val="24"/>
          <w:lang w:val="bg-BG" w:eastAsia="bg-BG"/>
        </w:rPr>
        <w:t xml:space="preserve"> </w:t>
      </w:r>
      <w:r w:rsidRPr="00610B1B">
        <w:rPr>
          <w:rFonts w:ascii="Times New Roman" w:eastAsia="Times New Roman" w:hAnsi="Times New Roman" w:cs="Times New Roman"/>
          <w:spacing w:val="-1"/>
          <w:sz w:val="24"/>
          <w:szCs w:val="24"/>
          <w:lang w:val="bg-BG" w:eastAsia="bg-BG"/>
        </w:rPr>
        <w:t>известн</w:t>
      </w:r>
      <w:r w:rsidR="003764FC" w:rsidRPr="00610B1B">
        <w:rPr>
          <w:rFonts w:ascii="Times New Roman" w:eastAsia="Times New Roman" w:hAnsi="Times New Roman" w:cs="Times New Roman"/>
          <w:spacing w:val="-1"/>
          <w:sz w:val="24"/>
          <w:szCs w:val="24"/>
          <w:lang w:val="bg-BG" w:eastAsia="bg-BG"/>
        </w:rPr>
        <w:t>о</w:t>
      </w:r>
      <w:r w:rsidRPr="00610B1B">
        <w:rPr>
          <w:rFonts w:ascii="Times New Roman" w:eastAsia="Times New Roman" w:hAnsi="Times New Roman" w:cs="Times New Roman"/>
          <w:spacing w:val="-1"/>
          <w:sz w:val="24"/>
          <w:szCs w:val="24"/>
          <w:lang w:val="bg-BG" w:eastAsia="bg-BG"/>
        </w:rPr>
        <w:t xml:space="preserve"> с богатото си биоразнообразие. По българското крайбрежие и </w:t>
      </w:r>
      <w:r w:rsidR="003764FC" w:rsidRPr="00610B1B">
        <w:rPr>
          <w:rFonts w:ascii="Times New Roman" w:eastAsia="Times New Roman" w:hAnsi="Times New Roman" w:cs="Times New Roman"/>
          <w:spacing w:val="-1"/>
          <w:sz w:val="24"/>
          <w:szCs w:val="24"/>
          <w:lang w:val="bg-BG" w:eastAsia="bg-BG"/>
        </w:rPr>
        <w:t xml:space="preserve">над </w:t>
      </w:r>
      <w:r w:rsidRPr="00610B1B">
        <w:rPr>
          <w:rFonts w:ascii="Times New Roman" w:eastAsia="Times New Roman" w:hAnsi="Times New Roman" w:cs="Times New Roman"/>
          <w:spacing w:val="-1"/>
          <w:sz w:val="24"/>
          <w:szCs w:val="24"/>
          <w:lang w:val="bg-BG" w:eastAsia="bg-BG"/>
        </w:rPr>
        <w:t xml:space="preserve">прилежаща акватория преминава един от най-значимите европейски пътища на </w:t>
      </w:r>
      <w:r w:rsidR="004E20F4" w:rsidRPr="00610B1B">
        <w:rPr>
          <w:rFonts w:ascii="Times New Roman" w:eastAsia="Times New Roman" w:hAnsi="Times New Roman" w:cs="Times New Roman"/>
          <w:spacing w:val="-1"/>
          <w:sz w:val="24"/>
          <w:szCs w:val="24"/>
          <w:lang w:val="bg-BG" w:eastAsia="bg-BG"/>
        </w:rPr>
        <w:t xml:space="preserve">мигриращите </w:t>
      </w:r>
      <w:r w:rsidRPr="00610B1B">
        <w:rPr>
          <w:rFonts w:ascii="Times New Roman" w:eastAsia="Times New Roman" w:hAnsi="Times New Roman" w:cs="Times New Roman"/>
          <w:spacing w:val="-1"/>
          <w:sz w:val="24"/>
          <w:szCs w:val="24"/>
          <w:lang w:val="bg-BG" w:eastAsia="bg-BG"/>
        </w:rPr>
        <w:t>птици</w:t>
      </w:r>
      <w:r w:rsidR="004E20F4" w:rsidRPr="00610B1B">
        <w:rPr>
          <w:rFonts w:ascii="Times New Roman" w:eastAsia="Times New Roman" w:hAnsi="Times New Roman" w:cs="Times New Roman"/>
          <w:spacing w:val="-1"/>
          <w:sz w:val="24"/>
          <w:szCs w:val="24"/>
          <w:lang w:val="bg-BG" w:eastAsia="bg-BG"/>
        </w:rPr>
        <w:t xml:space="preserve"> </w:t>
      </w:r>
      <w:r w:rsidR="00B40160" w:rsidRPr="00610B1B">
        <w:rPr>
          <w:rFonts w:ascii="Times New Roman" w:eastAsia="Times New Roman" w:hAnsi="Times New Roman" w:cs="Times New Roman"/>
          <w:i/>
          <w:iCs/>
          <w:spacing w:val="-1"/>
          <w:sz w:val="24"/>
          <w:szCs w:val="24"/>
          <w:lang w:val="bg-BG" w:eastAsia="bg-BG"/>
        </w:rPr>
        <w:t>Via Pontica</w:t>
      </w:r>
      <w:r w:rsidRPr="00610B1B">
        <w:rPr>
          <w:rFonts w:ascii="Times New Roman" w:eastAsia="Times New Roman" w:hAnsi="Times New Roman" w:cs="Times New Roman"/>
          <w:spacing w:val="-1"/>
          <w:sz w:val="24"/>
          <w:szCs w:val="24"/>
          <w:lang w:val="bg-BG" w:eastAsia="bg-BG"/>
        </w:rPr>
        <w:t xml:space="preserve">. </w:t>
      </w:r>
      <w:r w:rsidR="00F52D77" w:rsidRPr="00610B1B">
        <w:rPr>
          <w:rFonts w:ascii="Times New Roman" w:eastAsia="Times New Roman" w:hAnsi="Times New Roman" w:cs="Times New Roman"/>
          <w:spacing w:val="-1"/>
          <w:sz w:val="24"/>
          <w:szCs w:val="24"/>
          <w:lang w:val="bg-BG" w:eastAsia="bg-BG"/>
        </w:rPr>
        <w:t>Т</w:t>
      </w:r>
      <w:r w:rsidRPr="00610B1B">
        <w:rPr>
          <w:rFonts w:ascii="Times New Roman" w:eastAsia="Times New Roman" w:hAnsi="Times New Roman" w:cs="Times New Roman"/>
          <w:spacing w:val="-1"/>
          <w:sz w:val="24"/>
          <w:szCs w:val="24"/>
          <w:lang w:val="bg-BG" w:eastAsia="bg-BG"/>
        </w:rPr>
        <w:t>ук са обявени десетки защитени територии по Закона за защитените територии и защитени зони по НАТУРА 2000</w:t>
      </w:r>
      <w:r w:rsidR="002E7BED" w:rsidRPr="00610B1B">
        <w:rPr>
          <w:rFonts w:ascii="Times New Roman" w:eastAsia="Times New Roman" w:hAnsi="Times New Roman" w:cs="Times New Roman"/>
          <w:spacing w:val="-1"/>
          <w:sz w:val="24"/>
          <w:szCs w:val="24"/>
          <w:lang w:val="bg-BG" w:eastAsia="bg-BG"/>
        </w:rPr>
        <w:t xml:space="preserve"> съгласно Закона за биологичното разнообразие</w:t>
      </w:r>
      <w:r w:rsidRPr="00610B1B">
        <w:rPr>
          <w:rFonts w:ascii="Times New Roman" w:eastAsia="Times New Roman" w:hAnsi="Times New Roman" w:cs="Times New Roman"/>
          <w:spacing w:val="-1"/>
          <w:sz w:val="24"/>
          <w:szCs w:val="24"/>
          <w:lang w:val="bg-BG" w:eastAsia="bg-BG"/>
        </w:rPr>
        <w:t>. Общата защитена площ на българск</w:t>
      </w:r>
      <w:r w:rsidR="0075098D" w:rsidRPr="00610B1B">
        <w:rPr>
          <w:rFonts w:ascii="Times New Roman" w:eastAsia="Times New Roman" w:hAnsi="Times New Roman" w:cs="Times New Roman"/>
          <w:spacing w:val="-1"/>
          <w:sz w:val="24"/>
          <w:szCs w:val="24"/>
          <w:lang w:val="bg-BG" w:eastAsia="bg-BG"/>
        </w:rPr>
        <w:t>ите</w:t>
      </w:r>
      <w:r w:rsidRPr="00610B1B">
        <w:rPr>
          <w:rFonts w:ascii="Times New Roman" w:eastAsia="Times New Roman" w:hAnsi="Times New Roman" w:cs="Times New Roman"/>
          <w:spacing w:val="-1"/>
          <w:sz w:val="24"/>
          <w:szCs w:val="24"/>
          <w:lang w:val="bg-BG" w:eastAsia="bg-BG"/>
        </w:rPr>
        <w:t xml:space="preserve"> морск</w:t>
      </w:r>
      <w:r w:rsidR="0075098D" w:rsidRPr="00610B1B">
        <w:rPr>
          <w:rFonts w:ascii="Times New Roman" w:eastAsia="Times New Roman" w:hAnsi="Times New Roman" w:cs="Times New Roman"/>
          <w:spacing w:val="-1"/>
          <w:sz w:val="24"/>
          <w:szCs w:val="24"/>
          <w:lang w:val="bg-BG" w:eastAsia="bg-BG"/>
        </w:rPr>
        <w:t>и</w:t>
      </w:r>
      <w:r w:rsidRPr="00610B1B">
        <w:rPr>
          <w:rFonts w:ascii="Times New Roman" w:eastAsia="Times New Roman" w:hAnsi="Times New Roman" w:cs="Times New Roman"/>
          <w:spacing w:val="-1"/>
          <w:sz w:val="24"/>
          <w:szCs w:val="24"/>
          <w:lang w:val="bg-BG" w:eastAsia="bg-BG"/>
        </w:rPr>
        <w:t xml:space="preserve"> пространс</w:t>
      </w:r>
      <w:r w:rsidR="00B40160" w:rsidRPr="00610B1B">
        <w:rPr>
          <w:rFonts w:ascii="Times New Roman" w:eastAsia="Times New Roman" w:hAnsi="Times New Roman" w:cs="Times New Roman"/>
          <w:spacing w:val="-1"/>
          <w:sz w:val="24"/>
          <w:szCs w:val="24"/>
          <w:lang w:val="bg-BG" w:eastAsia="bg-BG"/>
        </w:rPr>
        <w:t>т</w:t>
      </w:r>
      <w:r w:rsidR="0075098D" w:rsidRPr="00610B1B">
        <w:rPr>
          <w:rFonts w:ascii="Times New Roman" w:eastAsia="Times New Roman" w:hAnsi="Times New Roman" w:cs="Times New Roman"/>
          <w:spacing w:val="-1"/>
          <w:sz w:val="24"/>
          <w:szCs w:val="24"/>
          <w:lang w:val="bg-BG" w:eastAsia="bg-BG"/>
        </w:rPr>
        <w:t>ва</w:t>
      </w:r>
      <w:r w:rsidRPr="00610B1B">
        <w:rPr>
          <w:rFonts w:ascii="Times New Roman" w:eastAsia="Times New Roman" w:hAnsi="Times New Roman" w:cs="Times New Roman"/>
          <w:spacing w:val="-1"/>
          <w:sz w:val="24"/>
          <w:szCs w:val="24"/>
          <w:lang w:val="bg-BG" w:eastAsia="bg-BG"/>
        </w:rPr>
        <w:t xml:space="preserve"> е </w:t>
      </w:r>
      <w:r w:rsidRPr="00610B1B">
        <w:rPr>
          <w:rFonts w:ascii="Times New Roman" w:eastAsia="Times New Roman" w:hAnsi="Times New Roman" w:cs="Times New Roman"/>
          <w:sz w:val="24"/>
          <w:szCs w:val="24"/>
          <w:lang w:val="bg-BG" w:eastAsia="bg-BG"/>
        </w:rPr>
        <w:t xml:space="preserve">247 724 </w:t>
      </w:r>
      <w:r w:rsidR="00B40160" w:rsidRPr="00610B1B">
        <w:rPr>
          <w:rFonts w:ascii="Times New Roman" w:eastAsia="Times New Roman" w:hAnsi="Times New Roman" w:cs="Times New Roman"/>
          <w:sz w:val="24"/>
          <w:szCs w:val="24"/>
          <w:lang w:val="bg-BG" w:eastAsia="bg-BG"/>
        </w:rPr>
        <w:t>ha</w:t>
      </w:r>
      <w:r w:rsidR="000669A5" w:rsidRPr="00610B1B">
        <w:rPr>
          <w:rFonts w:ascii="Times New Roman" w:eastAsia="Times New Roman" w:hAnsi="Times New Roman" w:cs="Times New Roman"/>
          <w:sz w:val="24"/>
          <w:szCs w:val="24"/>
          <w:lang w:val="bg-BG" w:eastAsia="bg-BG"/>
        </w:rPr>
        <w:t>. Н</w:t>
      </w:r>
      <w:r w:rsidRPr="00610B1B">
        <w:rPr>
          <w:rFonts w:ascii="Times New Roman" w:eastAsia="Times New Roman" w:hAnsi="Times New Roman" w:cs="Times New Roman"/>
          <w:sz w:val="24"/>
          <w:szCs w:val="24"/>
          <w:lang w:val="bg-BG" w:eastAsia="bg-BG"/>
        </w:rPr>
        <w:t>ад 80% от извънселищните територии по бреговата линия също са под защита.</w:t>
      </w:r>
    </w:p>
    <w:p w14:paraId="1B717918" w14:textId="292AB05F" w:rsidR="00B40160" w:rsidRPr="00610B1B" w:rsidRDefault="00F52D77" w:rsidP="00D32D6A">
      <w:pPr>
        <w:spacing w:after="120"/>
        <w:ind w:right="-153"/>
        <w:jc w:val="both"/>
        <w:rPr>
          <w:rFonts w:ascii="Times New Roman" w:hAnsi="Times New Roman" w:cs="Times New Roman"/>
          <w:sz w:val="24"/>
          <w:szCs w:val="24"/>
          <w:lang w:val="bg-BG" w:eastAsia="bg-BG"/>
        </w:rPr>
      </w:pPr>
      <w:r w:rsidRPr="00610B1B">
        <w:rPr>
          <w:rFonts w:ascii="Times New Roman" w:hAnsi="Times New Roman" w:cs="Times New Roman"/>
          <w:sz w:val="24"/>
          <w:szCs w:val="24"/>
          <w:lang w:val="bg-BG" w:eastAsia="bg-BG"/>
        </w:rPr>
        <w:t>Около</w:t>
      </w:r>
      <w:r w:rsidR="00430786" w:rsidRPr="00610B1B">
        <w:rPr>
          <w:rFonts w:ascii="Times New Roman" w:hAnsi="Times New Roman" w:cs="Times New Roman"/>
          <w:sz w:val="24"/>
          <w:szCs w:val="24"/>
          <w:lang w:val="bg-BG" w:eastAsia="bg-BG"/>
        </w:rPr>
        <w:t xml:space="preserve"> 70% от общото количество замърсители, постъпващи в морето</w:t>
      </w:r>
      <w:r w:rsidR="002E7BED" w:rsidRPr="00610B1B">
        <w:rPr>
          <w:rFonts w:ascii="Times New Roman" w:hAnsi="Times New Roman" w:cs="Times New Roman"/>
          <w:sz w:val="24"/>
          <w:szCs w:val="24"/>
          <w:lang w:val="bg-BG" w:eastAsia="bg-BG"/>
        </w:rPr>
        <w:t>,</w:t>
      </w:r>
      <w:r w:rsidR="00430786" w:rsidRPr="00610B1B">
        <w:rPr>
          <w:rFonts w:ascii="Times New Roman" w:hAnsi="Times New Roman" w:cs="Times New Roman"/>
          <w:sz w:val="24"/>
          <w:szCs w:val="24"/>
          <w:lang w:val="bg-BG" w:eastAsia="bg-BG"/>
        </w:rPr>
        <w:t xml:space="preserve"> са с произход от черноморските страни. Поради затворения характер на морето и липсата на по-голяма проточност, екологичното въздействие се увеличава значително за разлика от подобни ситуации при други морски басейни.</w:t>
      </w:r>
      <w:r w:rsidR="0008394A" w:rsidRPr="00610B1B">
        <w:rPr>
          <w:rFonts w:ascii="Times New Roman" w:hAnsi="Times New Roman" w:cs="Times New Roman"/>
          <w:sz w:val="24"/>
          <w:szCs w:val="24"/>
          <w:lang w:val="bg-BG" w:eastAsia="bg-BG"/>
        </w:rPr>
        <w:t xml:space="preserve"> </w:t>
      </w:r>
      <w:r w:rsidR="00430786" w:rsidRPr="00610B1B">
        <w:rPr>
          <w:rFonts w:ascii="Times New Roman" w:hAnsi="Times New Roman" w:cs="Times New Roman"/>
          <w:sz w:val="24"/>
          <w:szCs w:val="24"/>
          <w:lang w:val="bg-BG" w:eastAsia="bg-BG"/>
        </w:rPr>
        <w:t>Най-силно засегната от еутрофикацията е северозападната част на Черно море, където се вливат реки</w:t>
      </w:r>
      <w:r w:rsidR="0008394A" w:rsidRPr="00610B1B">
        <w:rPr>
          <w:rFonts w:ascii="Times New Roman" w:hAnsi="Times New Roman" w:cs="Times New Roman"/>
          <w:sz w:val="24"/>
          <w:szCs w:val="24"/>
          <w:lang w:val="bg-BG" w:eastAsia="bg-BG"/>
        </w:rPr>
        <w:t>те</w:t>
      </w:r>
      <w:r w:rsidR="00430786" w:rsidRPr="00610B1B">
        <w:rPr>
          <w:rFonts w:ascii="Times New Roman" w:hAnsi="Times New Roman" w:cs="Times New Roman"/>
          <w:sz w:val="24"/>
          <w:szCs w:val="24"/>
          <w:lang w:val="bg-BG" w:eastAsia="bg-BG"/>
        </w:rPr>
        <w:t xml:space="preserve"> Дунав, Днепър и Днестър. Големите количества фосфати и нитрати</w:t>
      </w:r>
      <w:r w:rsidR="00B40160" w:rsidRPr="00610B1B">
        <w:rPr>
          <w:rFonts w:ascii="Times New Roman" w:hAnsi="Times New Roman" w:cs="Times New Roman"/>
          <w:sz w:val="24"/>
          <w:szCs w:val="24"/>
          <w:lang w:val="bg-BG" w:eastAsia="bg-BG"/>
        </w:rPr>
        <w:t xml:space="preserve"> причин</w:t>
      </w:r>
      <w:r w:rsidR="002A63A6" w:rsidRPr="00610B1B">
        <w:rPr>
          <w:rFonts w:ascii="Times New Roman" w:hAnsi="Times New Roman" w:cs="Times New Roman"/>
          <w:sz w:val="24"/>
          <w:szCs w:val="24"/>
          <w:lang w:val="bg-BG" w:eastAsia="bg-BG"/>
        </w:rPr>
        <w:t xml:space="preserve">яват </w:t>
      </w:r>
      <w:r w:rsidR="00430786" w:rsidRPr="00610B1B">
        <w:rPr>
          <w:rFonts w:ascii="Times New Roman" w:hAnsi="Times New Roman" w:cs="Times New Roman"/>
          <w:sz w:val="24"/>
          <w:szCs w:val="24"/>
          <w:lang w:val="bg-BG" w:eastAsia="bg-BG"/>
        </w:rPr>
        <w:t>масирано развитие на фитопланктона</w:t>
      </w:r>
      <w:r w:rsidR="00F21D9C" w:rsidRPr="00610B1B">
        <w:rPr>
          <w:rFonts w:ascii="Times New Roman" w:hAnsi="Times New Roman" w:cs="Times New Roman"/>
          <w:sz w:val="24"/>
          <w:szCs w:val="24"/>
          <w:lang w:val="bg-BG" w:eastAsia="bg-BG"/>
        </w:rPr>
        <w:t xml:space="preserve"> </w:t>
      </w:r>
      <w:r w:rsidR="002A63A6" w:rsidRPr="00610B1B">
        <w:rPr>
          <w:rFonts w:ascii="Times New Roman" w:hAnsi="Times New Roman" w:cs="Times New Roman"/>
          <w:sz w:val="24"/>
          <w:szCs w:val="24"/>
          <w:lang w:val="bg-BG" w:eastAsia="bg-BG"/>
        </w:rPr>
        <w:t>с</w:t>
      </w:r>
      <w:r w:rsidR="00F21D9C" w:rsidRPr="00610B1B">
        <w:rPr>
          <w:rFonts w:ascii="Times New Roman" w:hAnsi="Times New Roman" w:cs="Times New Roman"/>
          <w:sz w:val="24"/>
          <w:szCs w:val="24"/>
          <w:lang w:val="bg-BG" w:eastAsia="bg-BG"/>
        </w:rPr>
        <w:t xml:space="preserve"> всички последици от това.</w:t>
      </w:r>
      <w:r w:rsidR="004E20F4" w:rsidRPr="00610B1B">
        <w:rPr>
          <w:rFonts w:ascii="Times New Roman" w:hAnsi="Times New Roman" w:cs="Times New Roman"/>
          <w:sz w:val="24"/>
          <w:szCs w:val="24"/>
          <w:lang w:val="bg-BG" w:eastAsia="bg-BG"/>
        </w:rPr>
        <w:t xml:space="preserve"> </w:t>
      </w:r>
      <w:r w:rsidR="00430786" w:rsidRPr="00610B1B">
        <w:rPr>
          <w:rFonts w:ascii="Times New Roman" w:hAnsi="Times New Roman" w:cs="Times New Roman"/>
          <w:sz w:val="24"/>
          <w:szCs w:val="24"/>
          <w:lang w:val="bg-BG" w:eastAsia="bg-BG"/>
        </w:rPr>
        <w:t>Допълнително натоварване върху морската среда оказват и инвазията на чуждестранни видове, дънното тралиране и преуловът. Устано</w:t>
      </w:r>
      <w:r w:rsidR="0008394A" w:rsidRPr="00610B1B">
        <w:rPr>
          <w:rFonts w:ascii="Times New Roman" w:hAnsi="Times New Roman" w:cs="Times New Roman"/>
          <w:sz w:val="24"/>
          <w:szCs w:val="24"/>
          <w:lang w:val="bg-BG" w:eastAsia="bg-BG"/>
        </w:rPr>
        <w:t xml:space="preserve">вено е </w:t>
      </w:r>
      <w:r w:rsidR="00430786" w:rsidRPr="00610B1B">
        <w:rPr>
          <w:rFonts w:ascii="Times New Roman" w:hAnsi="Times New Roman" w:cs="Times New Roman"/>
          <w:sz w:val="24"/>
          <w:szCs w:val="24"/>
          <w:lang w:val="bg-BG" w:eastAsia="bg-BG"/>
        </w:rPr>
        <w:t>значително намаляване на рибните запаси в българската морска акватория.</w:t>
      </w:r>
      <w:r w:rsidR="00430786" w:rsidRPr="00610B1B">
        <w:rPr>
          <w:rFonts w:ascii="Times New Roman" w:hAnsi="Times New Roman" w:cs="Times New Roman"/>
          <w:sz w:val="24"/>
          <w:szCs w:val="24"/>
          <w:lang w:val="bg-BG"/>
        </w:rPr>
        <w:t xml:space="preserve"> </w:t>
      </w:r>
    </w:p>
    <w:p w14:paraId="59828BD0" w14:textId="28E8F80A" w:rsidR="00B40160" w:rsidRPr="00610B1B" w:rsidRDefault="00430786" w:rsidP="00D32D6A">
      <w:pPr>
        <w:spacing w:after="120"/>
        <w:ind w:right="-153"/>
        <w:jc w:val="both"/>
        <w:rPr>
          <w:rFonts w:ascii="Times New Roman" w:hAnsi="Times New Roman" w:cs="Times New Roman"/>
          <w:sz w:val="24"/>
          <w:szCs w:val="24"/>
          <w:lang w:val="bg-BG" w:eastAsia="bg-BG"/>
        </w:rPr>
      </w:pPr>
      <w:r w:rsidRPr="00610B1B">
        <w:rPr>
          <w:rFonts w:ascii="Times New Roman" w:hAnsi="Times New Roman" w:cs="Times New Roman"/>
          <w:sz w:val="24"/>
          <w:szCs w:val="24"/>
          <w:lang w:val="bg-BG" w:eastAsia="bg-BG"/>
        </w:rPr>
        <w:lastRenderedPageBreak/>
        <w:t>Природни</w:t>
      </w:r>
      <w:r w:rsidR="00514248" w:rsidRPr="00610B1B">
        <w:rPr>
          <w:rFonts w:ascii="Times New Roman" w:hAnsi="Times New Roman" w:cs="Times New Roman"/>
          <w:sz w:val="24"/>
          <w:szCs w:val="24"/>
          <w:lang w:val="bg-BG" w:eastAsia="bg-BG"/>
        </w:rPr>
        <w:t>те</w:t>
      </w:r>
      <w:r w:rsidRPr="00610B1B">
        <w:rPr>
          <w:rFonts w:ascii="Times New Roman" w:hAnsi="Times New Roman" w:cs="Times New Roman"/>
          <w:sz w:val="24"/>
          <w:szCs w:val="24"/>
          <w:lang w:val="bg-BG" w:eastAsia="bg-BG"/>
        </w:rPr>
        <w:t xml:space="preserve"> ресурси на българската морска акватория и прилежаща</w:t>
      </w:r>
      <w:r w:rsidR="0008394A" w:rsidRPr="00610B1B">
        <w:rPr>
          <w:rFonts w:ascii="Times New Roman" w:hAnsi="Times New Roman" w:cs="Times New Roman"/>
          <w:sz w:val="24"/>
          <w:szCs w:val="24"/>
          <w:lang w:val="bg-BG" w:eastAsia="bg-BG"/>
        </w:rPr>
        <w:t>та</w:t>
      </w:r>
      <w:r w:rsidRPr="00610B1B">
        <w:rPr>
          <w:rFonts w:ascii="Times New Roman" w:hAnsi="Times New Roman" w:cs="Times New Roman"/>
          <w:sz w:val="24"/>
          <w:szCs w:val="24"/>
          <w:lang w:val="bg-BG" w:eastAsia="bg-BG"/>
        </w:rPr>
        <w:t xml:space="preserve"> крайбрежна </w:t>
      </w:r>
      <w:r w:rsidR="00AF4C05" w:rsidRPr="00610B1B">
        <w:rPr>
          <w:rFonts w:ascii="Times New Roman" w:hAnsi="Times New Roman" w:cs="Times New Roman"/>
          <w:sz w:val="24"/>
          <w:szCs w:val="24"/>
          <w:lang w:val="bg-BG" w:eastAsia="bg-BG"/>
        </w:rPr>
        <w:t>ивица</w:t>
      </w:r>
      <w:r w:rsidRPr="00610B1B">
        <w:rPr>
          <w:rFonts w:ascii="Times New Roman" w:hAnsi="Times New Roman" w:cs="Times New Roman"/>
          <w:sz w:val="24"/>
          <w:szCs w:val="24"/>
          <w:lang w:val="bg-BG" w:eastAsia="bg-BG"/>
        </w:rPr>
        <w:t xml:space="preserve"> са предпоставка за разнообразна стопанска дейност. Климатичните ресурси са изключително подходящи за рекреативн</w:t>
      </w:r>
      <w:r w:rsidR="00B40160" w:rsidRPr="00610B1B">
        <w:rPr>
          <w:rFonts w:ascii="Times New Roman" w:hAnsi="Times New Roman" w:cs="Times New Roman"/>
          <w:sz w:val="24"/>
          <w:szCs w:val="24"/>
          <w:lang w:val="bg-BG" w:eastAsia="bg-BG"/>
        </w:rPr>
        <w:t>и</w:t>
      </w:r>
      <w:r w:rsidRPr="00610B1B">
        <w:rPr>
          <w:rFonts w:ascii="Times New Roman" w:hAnsi="Times New Roman" w:cs="Times New Roman"/>
          <w:sz w:val="24"/>
          <w:szCs w:val="24"/>
          <w:lang w:val="bg-BG" w:eastAsia="bg-BG"/>
        </w:rPr>
        <w:t xml:space="preserve"> дейност</w:t>
      </w:r>
      <w:r w:rsidR="00F21D9C" w:rsidRPr="00610B1B">
        <w:rPr>
          <w:rFonts w:ascii="Times New Roman" w:hAnsi="Times New Roman" w:cs="Times New Roman"/>
          <w:sz w:val="24"/>
          <w:szCs w:val="24"/>
          <w:lang w:val="bg-BG" w:eastAsia="bg-BG"/>
        </w:rPr>
        <w:t xml:space="preserve">и, </w:t>
      </w:r>
      <w:r w:rsidR="00F52D77" w:rsidRPr="00610B1B">
        <w:rPr>
          <w:rFonts w:ascii="Times New Roman" w:hAnsi="Times New Roman" w:cs="Times New Roman"/>
          <w:sz w:val="24"/>
          <w:szCs w:val="24"/>
          <w:lang w:val="bg-BG" w:eastAsia="bg-BG"/>
        </w:rPr>
        <w:t>крайбреж</w:t>
      </w:r>
      <w:r w:rsidR="00F21D9C" w:rsidRPr="00610B1B">
        <w:rPr>
          <w:rFonts w:ascii="Times New Roman" w:hAnsi="Times New Roman" w:cs="Times New Roman"/>
          <w:sz w:val="24"/>
          <w:szCs w:val="24"/>
          <w:lang w:val="bg-BG" w:eastAsia="bg-BG"/>
        </w:rPr>
        <w:t>е</w:t>
      </w:r>
      <w:r w:rsidR="00F52D77" w:rsidRPr="00610B1B">
        <w:rPr>
          <w:rFonts w:ascii="Times New Roman" w:hAnsi="Times New Roman" w:cs="Times New Roman"/>
          <w:sz w:val="24"/>
          <w:szCs w:val="24"/>
          <w:lang w:val="bg-BG" w:eastAsia="bg-BG"/>
        </w:rPr>
        <w:t xml:space="preserve">н и </w:t>
      </w:r>
      <w:r w:rsidRPr="00610B1B">
        <w:rPr>
          <w:rFonts w:ascii="Times New Roman" w:hAnsi="Times New Roman" w:cs="Times New Roman"/>
          <w:sz w:val="24"/>
          <w:szCs w:val="24"/>
          <w:lang w:val="bg-BG" w:eastAsia="bg-BG"/>
        </w:rPr>
        <w:t>морски туризъм</w:t>
      </w:r>
      <w:r w:rsidR="00F52D77" w:rsidRPr="00610B1B">
        <w:rPr>
          <w:rFonts w:ascii="Times New Roman" w:hAnsi="Times New Roman" w:cs="Times New Roman"/>
          <w:sz w:val="24"/>
          <w:szCs w:val="24"/>
          <w:lang w:val="bg-BG" w:eastAsia="bg-BG"/>
        </w:rPr>
        <w:t>.</w:t>
      </w:r>
      <w:r w:rsidRPr="00610B1B">
        <w:rPr>
          <w:rFonts w:ascii="Times New Roman" w:hAnsi="Times New Roman" w:cs="Times New Roman"/>
          <w:sz w:val="24"/>
          <w:szCs w:val="24"/>
          <w:lang w:val="bg-BG" w:eastAsia="bg-BG"/>
        </w:rPr>
        <w:t xml:space="preserve"> Традиционен </w:t>
      </w:r>
      <w:r w:rsidR="00DB0FAB" w:rsidRPr="00610B1B">
        <w:rPr>
          <w:rFonts w:ascii="Times New Roman" w:hAnsi="Times New Roman" w:cs="Times New Roman"/>
          <w:sz w:val="24"/>
          <w:szCs w:val="24"/>
          <w:lang w:val="bg-BG" w:eastAsia="bg-BG"/>
        </w:rPr>
        <w:t>отрасъл</w:t>
      </w:r>
      <w:r w:rsidRPr="00610B1B">
        <w:rPr>
          <w:rFonts w:ascii="Times New Roman" w:hAnsi="Times New Roman" w:cs="Times New Roman"/>
          <w:sz w:val="24"/>
          <w:szCs w:val="24"/>
          <w:lang w:val="bg-BG" w:eastAsia="bg-BG"/>
        </w:rPr>
        <w:t xml:space="preserve"> е риболовът, който губи позиции поради намалените рибни запаси, но се допълва успешно от отглеждането на морски организми в новосъздадени мидени ферми. </w:t>
      </w:r>
      <w:r w:rsidR="00F52D77" w:rsidRPr="00610B1B">
        <w:rPr>
          <w:rFonts w:ascii="Times New Roman" w:hAnsi="Times New Roman" w:cs="Times New Roman"/>
          <w:sz w:val="24"/>
          <w:szCs w:val="24"/>
          <w:lang w:val="bg-BG" w:eastAsia="bg-BG"/>
        </w:rPr>
        <w:t xml:space="preserve">Традиционни </w:t>
      </w:r>
      <w:r w:rsidRPr="00610B1B">
        <w:rPr>
          <w:rFonts w:ascii="Times New Roman" w:hAnsi="Times New Roman" w:cs="Times New Roman"/>
          <w:sz w:val="24"/>
          <w:szCs w:val="24"/>
          <w:lang w:val="bg-BG" w:eastAsia="bg-BG"/>
        </w:rPr>
        <w:t>дейности, които продължават да се развиват</w:t>
      </w:r>
      <w:r w:rsidR="00514248" w:rsidRPr="00610B1B">
        <w:rPr>
          <w:rFonts w:ascii="Times New Roman" w:hAnsi="Times New Roman" w:cs="Times New Roman"/>
          <w:sz w:val="24"/>
          <w:szCs w:val="24"/>
          <w:lang w:val="bg-BG" w:eastAsia="bg-BG"/>
        </w:rPr>
        <w:t>,</w:t>
      </w:r>
      <w:r w:rsidRPr="00610B1B">
        <w:rPr>
          <w:rFonts w:ascii="Times New Roman" w:hAnsi="Times New Roman" w:cs="Times New Roman"/>
          <w:sz w:val="24"/>
          <w:szCs w:val="24"/>
          <w:lang w:val="bg-BG" w:eastAsia="bg-BG"/>
        </w:rPr>
        <w:t xml:space="preserve"> </w:t>
      </w:r>
      <w:r w:rsidR="00B40160" w:rsidRPr="00610B1B">
        <w:rPr>
          <w:rFonts w:ascii="Times New Roman" w:hAnsi="Times New Roman" w:cs="Times New Roman"/>
          <w:sz w:val="24"/>
          <w:szCs w:val="24"/>
          <w:lang w:val="bg-BG" w:eastAsia="bg-BG"/>
        </w:rPr>
        <w:t>са</w:t>
      </w:r>
      <w:r w:rsidRPr="00610B1B">
        <w:rPr>
          <w:rFonts w:ascii="Times New Roman" w:hAnsi="Times New Roman" w:cs="Times New Roman"/>
          <w:sz w:val="24"/>
          <w:szCs w:val="24"/>
          <w:lang w:val="bg-BG" w:eastAsia="bg-BG"/>
        </w:rPr>
        <w:t xml:space="preserve"> добивът </w:t>
      </w:r>
      <w:r w:rsidR="00B40160" w:rsidRPr="00610B1B">
        <w:rPr>
          <w:rFonts w:ascii="Times New Roman" w:hAnsi="Times New Roman" w:cs="Times New Roman"/>
          <w:sz w:val="24"/>
          <w:szCs w:val="24"/>
          <w:lang w:val="bg-BG" w:eastAsia="bg-BG"/>
        </w:rPr>
        <w:t>на</w:t>
      </w:r>
      <w:r w:rsidRPr="00610B1B">
        <w:rPr>
          <w:rFonts w:ascii="Times New Roman" w:hAnsi="Times New Roman" w:cs="Times New Roman"/>
          <w:sz w:val="24"/>
          <w:szCs w:val="24"/>
          <w:lang w:val="bg-BG" w:eastAsia="bg-BG"/>
        </w:rPr>
        <w:t xml:space="preserve"> морска сол </w:t>
      </w:r>
      <w:r w:rsidR="00F52D77" w:rsidRPr="00610B1B">
        <w:rPr>
          <w:rFonts w:ascii="Times New Roman" w:hAnsi="Times New Roman" w:cs="Times New Roman"/>
          <w:sz w:val="24"/>
          <w:szCs w:val="24"/>
          <w:lang w:val="bg-BG" w:eastAsia="bg-BG"/>
        </w:rPr>
        <w:t xml:space="preserve">чрез </w:t>
      </w:r>
      <w:r w:rsidRPr="00610B1B">
        <w:rPr>
          <w:rFonts w:ascii="Times New Roman" w:hAnsi="Times New Roman" w:cs="Times New Roman"/>
          <w:sz w:val="24"/>
          <w:szCs w:val="24"/>
          <w:lang w:val="bg-BG" w:eastAsia="bg-BG"/>
        </w:rPr>
        <w:t>естествено изпарение на морска вода на големи специализирани площи</w:t>
      </w:r>
      <w:r w:rsidR="00B40160" w:rsidRPr="00610B1B">
        <w:rPr>
          <w:rFonts w:ascii="Times New Roman" w:hAnsi="Times New Roman" w:cs="Times New Roman"/>
          <w:sz w:val="24"/>
          <w:szCs w:val="24"/>
          <w:lang w:val="bg-BG" w:eastAsia="bg-BG"/>
        </w:rPr>
        <w:t>,</w:t>
      </w:r>
      <w:r w:rsidRPr="00610B1B">
        <w:rPr>
          <w:rFonts w:ascii="Times New Roman" w:hAnsi="Times New Roman" w:cs="Times New Roman"/>
          <w:sz w:val="24"/>
          <w:szCs w:val="24"/>
          <w:lang w:val="bg-BG" w:eastAsia="bg-BG"/>
        </w:rPr>
        <w:t xml:space="preserve"> добиването на лечебна морска кал и луга.</w:t>
      </w:r>
      <w:r w:rsidR="00B40160" w:rsidRPr="00610B1B">
        <w:rPr>
          <w:rFonts w:ascii="Times New Roman" w:hAnsi="Times New Roman" w:cs="Times New Roman"/>
          <w:lang w:val="bg-BG"/>
        </w:rPr>
        <w:t xml:space="preserve"> </w:t>
      </w:r>
      <w:r w:rsidR="00B40160" w:rsidRPr="00610B1B">
        <w:rPr>
          <w:rFonts w:ascii="Times New Roman" w:hAnsi="Times New Roman" w:cs="Times New Roman"/>
          <w:sz w:val="24"/>
          <w:szCs w:val="24"/>
          <w:lang w:val="bg-BG" w:eastAsia="bg-BG"/>
        </w:rPr>
        <w:t xml:space="preserve">Морските пространства са отлична предпоставка за развитие на спортни дейности, свързани с морето </w:t>
      </w:r>
      <w:r w:rsidR="002A63A6" w:rsidRPr="00610B1B">
        <w:rPr>
          <w:rFonts w:ascii="Times New Roman" w:hAnsi="Times New Roman" w:cs="Times New Roman"/>
          <w:sz w:val="24"/>
          <w:szCs w:val="24"/>
          <w:lang w:val="bg-BG" w:eastAsia="bg-BG"/>
        </w:rPr>
        <w:t>–</w:t>
      </w:r>
      <w:r w:rsidR="00B40160" w:rsidRPr="00610B1B">
        <w:rPr>
          <w:rFonts w:ascii="Times New Roman" w:hAnsi="Times New Roman" w:cs="Times New Roman"/>
          <w:sz w:val="24"/>
          <w:szCs w:val="24"/>
          <w:lang w:val="bg-BG" w:eastAsia="bg-BG"/>
        </w:rPr>
        <w:t xml:space="preserve"> </w:t>
      </w:r>
      <w:r w:rsidR="002A63A6" w:rsidRPr="00610B1B">
        <w:rPr>
          <w:rFonts w:ascii="Times New Roman" w:hAnsi="Times New Roman" w:cs="Times New Roman"/>
          <w:sz w:val="24"/>
          <w:szCs w:val="24"/>
          <w:lang w:val="bg-BG" w:eastAsia="bg-BG"/>
        </w:rPr>
        <w:t xml:space="preserve">плуване, гребане, сърф, гмуркане, </w:t>
      </w:r>
      <w:r w:rsidR="00B40160" w:rsidRPr="00610B1B">
        <w:rPr>
          <w:rFonts w:ascii="Times New Roman" w:hAnsi="Times New Roman" w:cs="Times New Roman"/>
          <w:sz w:val="24"/>
          <w:szCs w:val="24"/>
          <w:lang w:val="bg-BG" w:eastAsia="bg-BG"/>
        </w:rPr>
        <w:t>ветроходство и др.</w:t>
      </w:r>
    </w:p>
    <w:p w14:paraId="4B23EADE" w14:textId="49A8E84F" w:rsidR="00B40160" w:rsidRPr="00610B1B" w:rsidRDefault="00B4016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eastAsia="bg-BG"/>
        </w:rPr>
        <w:t>Крайбрежните части и прилежащата морска акватория са ценни и в културно-историческо отношение. Двата полуострова, които са архитектурно-исторически резервати – старите градове Созопол и Несебър, са с най-голямата концентрация на паметници на културата от национално значение. Все още в недостатъчна степен е проучено и експонирано подводното културно наследство в българската акватория на Черно море.</w:t>
      </w:r>
    </w:p>
    <w:p w14:paraId="4830D4A6" w14:textId="1E6B31F0" w:rsidR="00430786" w:rsidRPr="00610B1B" w:rsidRDefault="00430786" w:rsidP="00D32D6A">
      <w:pPr>
        <w:spacing w:after="120"/>
        <w:ind w:right="-153"/>
        <w:jc w:val="both"/>
        <w:rPr>
          <w:rFonts w:ascii="Times New Roman" w:hAnsi="Times New Roman" w:cs="Times New Roman"/>
          <w:sz w:val="24"/>
          <w:szCs w:val="24"/>
          <w:lang w:val="bg-BG" w:eastAsia="bg-BG"/>
        </w:rPr>
      </w:pPr>
      <w:r w:rsidRPr="00610B1B">
        <w:rPr>
          <w:rFonts w:ascii="Times New Roman" w:hAnsi="Times New Roman" w:cs="Times New Roman"/>
          <w:sz w:val="24"/>
          <w:szCs w:val="24"/>
          <w:lang w:val="bg-BG" w:eastAsia="bg-BG"/>
        </w:rPr>
        <w:t>Важно място в икономиката на страната заема морския</w:t>
      </w:r>
      <w:r w:rsidR="00B40160" w:rsidRPr="00610B1B">
        <w:rPr>
          <w:rFonts w:ascii="Times New Roman" w:hAnsi="Times New Roman" w:cs="Times New Roman"/>
          <w:sz w:val="24"/>
          <w:szCs w:val="24"/>
          <w:lang w:val="bg-BG" w:eastAsia="bg-BG"/>
        </w:rPr>
        <w:t>т</w:t>
      </w:r>
      <w:r w:rsidRPr="00610B1B">
        <w:rPr>
          <w:rFonts w:ascii="Times New Roman" w:hAnsi="Times New Roman" w:cs="Times New Roman"/>
          <w:sz w:val="24"/>
          <w:szCs w:val="24"/>
          <w:lang w:val="bg-BG" w:eastAsia="bg-BG"/>
        </w:rPr>
        <w:t xml:space="preserve"> транспорт</w:t>
      </w:r>
      <w:r w:rsidR="00F21D9C" w:rsidRPr="00610B1B">
        <w:rPr>
          <w:rFonts w:ascii="Times New Roman" w:hAnsi="Times New Roman" w:cs="Times New Roman"/>
          <w:sz w:val="24"/>
          <w:szCs w:val="24"/>
          <w:lang w:val="bg-BG" w:eastAsia="bg-BG"/>
        </w:rPr>
        <w:t>. Ч</w:t>
      </w:r>
      <w:r w:rsidRPr="00610B1B">
        <w:rPr>
          <w:rFonts w:ascii="Times New Roman" w:hAnsi="Times New Roman" w:cs="Times New Roman"/>
          <w:sz w:val="24"/>
          <w:szCs w:val="24"/>
          <w:lang w:val="bg-BG" w:eastAsia="bg-BG"/>
        </w:rPr>
        <w:t xml:space="preserve">рез </w:t>
      </w:r>
      <w:r w:rsidR="00F21D9C" w:rsidRPr="00610B1B">
        <w:rPr>
          <w:rFonts w:ascii="Times New Roman" w:hAnsi="Times New Roman" w:cs="Times New Roman"/>
          <w:sz w:val="24"/>
          <w:szCs w:val="24"/>
          <w:lang w:val="bg-BG" w:eastAsia="bg-BG"/>
        </w:rPr>
        <w:t>него</w:t>
      </w:r>
      <w:r w:rsidRPr="00610B1B">
        <w:rPr>
          <w:rFonts w:ascii="Times New Roman" w:hAnsi="Times New Roman" w:cs="Times New Roman"/>
          <w:sz w:val="24"/>
          <w:szCs w:val="24"/>
          <w:lang w:val="bg-BG" w:eastAsia="bg-BG"/>
        </w:rPr>
        <w:t xml:space="preserve"> се реализира значителна част от външнотърговските връзки. През Бургаското пристанище се осъществява вноса на почти цялото количество нефт, необходим на страната. Благодарение на благоприятното транспортно-географско</w:t>
      </w:r>
      <w:r w:rsidR="00514248" w:rsidRPr="00610B1B">
        <w:rPr>
          <w:rFonts w:ascii="Times New Roman" w:hAnsi="Times New Roman" w:cs="Times New Roman"/>
          <w:sz w:val="24"/>
          <w:szCs w:val="24"/>
          <w:lang w:val="bg-BG" w:eastAsia="bg-BG"/>
        </w:rPr>
        <w:t xml:space="preserve"> </w:t>
      </w:r>
      <w:r w:rsidRPr="00610B1B">
        <w:rPr>
          <w:rFonts w:ascii="Times New Roman" w:hAnsi="Times New Roman" w:cs="Times New Roman"/>
          <w:sz w:val="24"/>
          <w:szCs w:val="24"/>
          <w:lang w:val="bg-BG" w:eastAsia="bg-BG"/>
        </w:rPr>
        <w:t xml:space="preserve">положение в големите морски градове са се развили нефтохимическа промишленост, корабостроене и кораборемонтна дейност и редица други производства. </w:t>
      </w:r>
      <w:r w:rsidR="002A63A6" w:rsidRPr="00610B1B">
        <w:rPr>
          <w:rFonts w:ascii="Times New Roman" w:hAnsi="Times New Roman" w:cs="Times New Roman"/>
          <w:sz w:val="24"/>
          <w:szCs w:val="24"/>
          <w:lang w:val="bg-BG" w:eastAsia="bg-BG"/>
        </w:rPr>
        <w:t>С</w:t>
      </w:r>
      <w:r w:rsidRPr="00610B1B">
        <w:rPr>
          <w:rFonts w:ascii="Times New Roman" w:hAnsi="Times New Roman" w:cs="Times New Roman"/>
          <w:sz w:val="24"/>
          <w:szCs w:val="24"/>
          <w:lang w:val="bg-BG" w:eastAsia="bg-BG"/>
        </w:rPr>
        <w:t>лед реализация на дълбоководната връзка през Черно море страната получава голяма част от необходимия природен газ.</w:t>
      </w:r>
    </w:p>
    <w:p w14:paraId="59A8A904" w14:textId="77777777" w:rsidR="00D703D4" w:rsidRPr="00610B1B" w:rsidRDefault="00D703D4" w:rsidP="00D32D6A">
      <w:pPr>
        <w:spacing w:after="120"/>
        <w:ind w:right="-153"/>
        <w:jc w:val="both"/>
        <w:rPr>
          <w:rFonts w:ascii="Times New Roman" w:hAnsi="Times New Roman" w:cs="Times New Roman"/>
          <w:sz w:val="24"/>
          <w:szCs w:val="24"/>
          <w:lang w:val="bg-BG" w:eastAsia="bg-BG"/>
        </w:rPr>
      </w:pPr>
    </w:p>
    <w:p w14:paraId="0B2FE334" w14:textId="77777777" w:rsidR="00B601CD" w:rsidRPr="00610B1B" w:rsidRDefault="00B601CD" w:rsidP="00D32D6A">
      <w:pPr>
        <w:pStyle w:val="Heading2"/>
        <w:spacing w:before="0" w:line="276" w:lineRule="auto"/>
        <w:ind w:right="-153"/>
        <w:rPr>
          <w:rFonts w:cs="Times New Roman"/>
        </w:rPr>
      </w:pPr>
      <w:bookmarkStart w:id="19" w:name="_Toc83391360"/>
      <w:r w:rsidRPr="00610B1B">
        <w:rPr>
          <w:rFonts w:cs="Times New Roman"/>
        </w:rPr>
        <w:t xml:space="preserve">2.2. </w:t>
      </w:r>
      <w:r w:rsidR="00BB060D" w:rsidRPr="00610B1B">
        <w:rPr>
          <w:rFonts w:cs="Times New Roman"/>
        </w:rPr>
        <w:t xml:space="preserve">Състояние на </w:t>
      </w:r>
      <w:r w:rsidR="005E0470" w:rsidRPr="00610B1B">
        <w:rPr>
          <w:rFonts w:cs="Times New Roman"/>
        </w:rPr>
        <w:t>компонентите на морската среда</w:t>
      </w:r>
      <w:r w:rsidR="00AF286B" w:rsidRPr="00610B1B">
        <w:rPr>
          <w:rFonts w:cs="Times New Roman"/>
        </w:rPr>
        <w:t xml:space="preserve"> и </w:t>
      </w:r>
      <w:r w:rsidR="0004579C" w:rsidRPr="00610B1B">
        <w:rPr>
          <w:rFonts w:cs="Times New Roman"/>
        </w:rPr>
        <w:t xml:space="preserve">взаимодействия с </w:t>
      </w:r>
      <w:r w:rsidR="00AF286B" w:rsidRPr="00610B1B">
        <w:rPr>
          <w:rFonts w:cs="Times New Roman"/>
        </w:rPr>
        <w:t>прилежащата крайбрежна зона</w:t>
      </w:r>
      <w:bookmarkEnd w:id="19"/>
    </w:p>
    <w:p w14:paraId="77FC8D78" w14:textId="4DEDA8C8" w:rsidR="00AF286B" w:rsidRPr="00610B1B" w:rsidRDefault="00B601CD" w:rsidP="00D32D6A">
      <w:pPr>
        <w:pStyle w:val="Heading3"/>
        <w:spacing w:before="0" w:line="276" w:lineRule="auto"/>
        <w:ind w:right="-153"/>
        <w:rPr>
          <w:rFonts w:cs="Times New Roman"/>
        </w:rPr>
      </w:pPr>
      <w:bookmarkStart w:id="20" w:name="_Toc83391361"/>
      <w:r w:rsidRPr="00610B1B">
        <w:rPr>
          <w:rStyle w:val="Heading3Char"/>
          <w:rFonts w:cs="Times New Roman"/>
          <w:b/>
          <w:bCs/>
        </w:rPr>
        <w:t xml:space="preserve">2.2.1. </w:t>
      </w:r>
      <w:r w:rsidR="00AF286B" w:rsidRPr="00610B1B">
        <w:rPr>
          <w:rStyle w:val="Heading3Char"/>
          <w:rFonts w:cs="Times New Roman"/>
          <w:b/>
          <w:bCs/>
        </w:rPr>
        <w:t xml:space="preserve">Геология </w:t>
      </w:r>
      <w:r w:rsidR="00556BAC" w:rsidRPr="00610B1B">
        <w:rPr>
          <w:rStyle w:val="Heading3Char"/>
          <w:rFonts w:cs="Times New Roman"/>
          <w:b/>
          <w:bCs/>
        </w:rPr>
        <w:t xml:space="preserve">и </w:t>
      </w:r>
      <w:r w:rsidR="001C58DB" w:rsidRPr="00610B1B">
        <w:rPr>
          <w:rStyle w:val="Heading3Char"/>
          <w:rFonts w:cs="Times New Roman"/>
          <w:b/>
          <w:bCs/>
        </w:rPr>
        <w:t>геоморфология</w:t>
      </w:r>
      <w:bookmarkEnd w:id="20"/>
      <w:r w:rsidRPr="00610B1B">
        <w:rPr>
          <w:rStyle w:val="Heading3Char"/>
          <w:rFonts w:cs="Times New Roman"/>
          <w:b/>
          <w:bCs/>
        </w:rPr>
        <w:t xml:space="preserve"> </w:t>
      </w:r>
    </w:p>
    <w:p w14:paraId="31F09F7B" w14:textId="790E1926" w:rsidR="00590858" w:rsidRPr="00610B1B" w:rsidRDefault="00AE66CD" w:rsidP="00D32D6A">
      <w:pPr>
        <w:pStyle w:val="Heading4"/>
        <w:spacing w:before="0" w:line="276" w:lineRule="auto"/>
        <w:ind w:right="-153"/>
        <w:rPr>
          <w:rFonts w:cs="Times New Roman"/>
        </w:rPr>
      </w:pPr>
      <w:r w:rsidRPr="00610B1B">
        <w:rPr>
          <w:rFonts w:cs="Times New Roman"/>
        </w:rPr>
        <w:t xml:space="preserve">2.2.1.1. </w:t>
      </w:r>
      <w:r w:rsidR="00590858" w:rsidRPr="00610B1B">
        <w:rPr>
          <w:rFonts w:cs="Times New Roman"/>
        </w:rPr>
        <w:t>Брегова зона</w:t>
      </w:r>
    </w:p>
    <w:p w14:paraId="12A111D8" w14:textId="71B14D8B"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i/>
          <w:sz w:val="24"/>
          <w:szCs w:val="24"/>
          <w:lang w:val="bg-BG"/>
        </w:rPr>
        <w:t>Брегова</w:t>
      </w:r>
      <w:r w:rsidR="0008394A" w:rsidRPr="00610B1B">
        <w:rPr>
          <w:rFonts w:ascii="Times New Roman" w:hAnsi="Times New Roman" w:cs="Times New Roman"/>
          <w:b/>
          <w:i/>
          <w:sz w:val="24"/>
          <w:szCs w:val="24"/>
          <w:lang w:val="bg-BG"/>
        </w:rPr>
        <w:t>та</w:t>
      </w:r>
      <w:r w:rsidRPr="00610B1B">
        <w:rPr>
          <w:rFonts w:ascii="Times New Roman" w:hAnsi="Times New Roman" w:cs="Times New Roman"/>
          <w:b/>
          <w:i/>
          <w:sz w:val="24"/>
          <w:szCs w:val="24"/>
          <w:lang w:val="bg-BG"/>
        </w:rPr>
        <w:t xml:space="preserve"> линия</w:t>
      </w:r>
      <w:r w:rsidR="0008394A" w:rsidRPr="00610B1B">
        <w:rPr>
          <w:rFonts w:ascii="Times New Roman" w:hAnsi="Times New Roman" w:cs="Times New Roman"/>
          <w:bCs/>
          <w:iCs/>
          <w:sz w:val="24"/>
          <w:szCs w:val="24"/>
          <w:lang w:val="bg-BG"/>
        </w:rPr>
        <w:t xml:space="preserve"> </w:t>
      </w:r>
      <w:r w:rsidRPr="00610B1B">
        <w:rPr>
          <w:rFonts w:ascii="Times New Roman" w:hAnsi="Times New Roman" w:cs="Times New Roman"/>
          <w:sz w:val="24"/>
          <w:szCs w:val="24"/>
          <w:lang w:val="bg-BG"/>
        </w:rPr>
        <w:t>очертава прехода от суша към водна повърхност от нос Сиврибурун на север (границата с Р. Румъния) до устието на р.</w:t>
      </w:r>
      <w:r w:rsidR="00657B78"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Резово на юг (границата с Р. Турция). </w:t>
      </w:r>
      <w:r w:rsidR="00214E8E" w:rsidRPr="00610B1B">
        <w:rPr>
          <w:rFonts w:ascii="Times New Roman" w:hAnsi="Times New Roman" w:cs="Times New Roman"/>
          <w:sz w:val="24"/>
          <w:szCs w:val="24"/>
          <w:lang w:val="bg-BG"/>
        </w:rPr>
        <w:t xml:space="preserve">Към </w:t>
      </w:r>
      <w:r w:rsidRPr="00610B1B">
        <w:rPr>
          <w:rFonts w:ascii="Times New Roman" w:hAnsi="Times New Roman" w:cs="Times New Roman"/>
          <w:sz w:val="24"/>
          <w:szCs w:val="24"/>
          <w:lang w:val="bg-BG"/>
        </w:rPr>
        <w:t>настоящия момент не съществуват данни за целенасочено измерване на дължината на бреговата линия. Не е налична и официална, унифицирана цифрова версия на бреговата линия за картопострояване в различни мащаби.</w:t>
      </w:r>
      <w:r w:rsidR="00D86F72" w:rsidRPr="00610B1B">
        <w:rPr>
          <w:rFonts w:ascii="Times New Roman" w:hAnsi="Times New Roman" w:cs="Times New Roman"/>
          <w:sz w:val="24"/>
          <w:szCs w:val="24"/>
          <w:lang w:val="bg-BG"/>
        </w:rPr>
        <w:t xml:space="preserve"> </w:t>
      </w:r>
      <w:r w:rsidR="009E1C66" w:rsidRPr="00610B1B">
        <w:rPr>
          <w:rFonts w:ascii="Times New Roman" w:hAnsi="Times New Roman" w:cs="Times New Roman"/>
          <w:sz w:val="24"/>
          <w:szCs w:val="24"/>
          <w:lang w:val="bg-BG"/>
        </w:rPr>
        <w:t>П</w:t>
      </w:r>
      <w:r w:rsidRPr="00610B1B">
        <w:rPr>
          <w:rFonts w:ascii="Times New Roman" w:hAnsi="Times New Roman" w:cs="Times New Roman"/>
          <w:sz w:val="24"/>
          <w:szCs w:val="24"/>
          <w:lang w:val="bg-BG"/>
        </w:rPr>
        <w:t>роблем</w:t>
      </w:r>
      <w:r w:rsidR="009E1C66" w:rsidRPr="00610B1B">
        <w:rPr>
          <w:rFonts w:ascii="Times New Roman" w:hAnsi="Times New Roman" w:cs="Times New Roman"/>
          <w:sz w:val="24"/>
          <w:szCs w:val="24"/>
          <w:lang w:val="bg-BG"/>
        </w:rPr>
        <w:t>ите</w:t>
      </w:r>
      <w:r w:rsidRPr="00610B1B">
        <w:rPr>
          <w:rFonts w:ascii="Times New Roman" w:hAnsi="Times New Roman" w:cs="Times New Roman"/>
          <w:sz w:val="24"/>
          <w:szCs w:val="24"/>
          <w:lang w:val="bg-BG"/>
        </w:rPr>
        <w:t xml:space="preserve"> за точната параметризация на бреговата линия </w:t>
      </w:r>
      <w:r w:rsidR="009E1C66" w:rsidRPr="00610B1B">
        <w:rPr>
          <w:rFonts w:ascii="Times New Roman" w:hAnsi="Times New Roman" w:cs="Times New Roman"/>
          <w:sz w:val="24"/>
          <w:szCs w:val="24"/>
          <w:lang w:val="bg-BG"/>
        </w:rPr>
        <w:t>са</w:t>
      </w:r>
      <w:r w:rsidRPr="00610B1B">
        <w:rPr>
          <w:rFonts w:ascii="Times New Roman" w:hAnsi="Times New Roman" w:cs="Times New Roman"/>
          <w:sz w:val="24"/>
          <w:szCs w:val="24"/>
          <w:lang w:val="bg-BG"/>
        </w:rPr>
        <w:t xml:space="preserve"> постоянните антропогенни изменения и нарастващото техногенно натоварване върху черноморското ни крайбрежие. Измененията в по-големи мащаби, като строене на пристанища, брегозащитни и брегоукрепителни елементи играят важна роля за облика на съвременната брегова морфология и оказват значително влияние върху съотношението техногенен - естествен бряг. Тези промени не могат да се прогнозират, тъй като към настоящия момент само </w:t>
      </w:r>
      <w:r w:rsidR="002A63A6" w:rsidRPr="00610B1B">
        <w:rPr>
          <w:rFonts w:ascii="Times New Roman" w:hAnsi="Times New Roman" w:cs="Times New Roman"/>
          <w:sz w:val="24"/>
          <w:szCs w:val="24"/>
          <w:lang w:val="bg-BG"/>
        </w:rPr>
        <w:t>три</w:t>
      </w:r>
      <w:r w:rsidRPr="00610B1B">
        <w:rPr>
          <w:rFonts w:ascii="Times New Roman" w:hAnsi="Times New Roman" w:cs="Times New Roman"/>
          <w:sz w:val="24"/>
          <w:szCs w:val="24"/>
          <w:lang w:val="bg-BG"/>
        </w:rPr>
        <w:t xml:space="preserve"> от 14-те приморски общини има</w:t>
      </w:r>
      <w:r w:rsidR="009E1C66" w:rsidRPr="00610B1B">
        <w:rPr>
          <w:rFonts w:ascii="Times New Roman" w:hAnsi="Times New Roman" w:cs="Times New Roman"/>
          <w:sz w:val="24"/>
          <w:szCs w:val="24"/>
          <w:lang w:val="bg-BG"/>
        </w:rPr>
        <w:t>т</w:t>
      </w:r>
      <w:r w:rsidRPr="00610B1B">
        <w:rPr>
          <w:rFonts w:ascii="Times New Roman" w:hAnsi="Times New Roman" w:cs="Times New Roman"/>
          <w:sz w:val="24"/>
          <w:szCs w:val="24"/>
          <w:lang w:val="bg-BG"/>
        </w:rPr>
        <w:t xml:space="preserve"> одобрен </w:t>
      </w:r>
      <w:r w:rsidRPr="00610B1B">
        <w:rPr>
          <w:rFonts w:ascii="Times New Roman" w:hAnsi="Times New Roman" w:cs="Times New Roman"/>
          <w:sz w:val="24"/>
          <w:szCs w:val="24"/>
          <w:lang w:val="bg-BG"/>
        </w:rPr>
        <w:lastRenderedPageBreak/>
        <w:t>ОУП</w:t>
      </w:r>
      <w:r w:rsidR="009E1C66" w:rsidRPr="00610B1B">
        <w:rPr>
          <w:rFonts w:ascii="Times New Roman" w:hAnsi="Times New Roman" w:cs="Times New Roman"/>
          <w:sz w:val="24"/>
          <w:szCs w:val="24"/>
          <w:lang w:val="bg-BG"/>
        </w:rPr>
        <w:t>О</w:t>
      </w:r>
      <w:r w:rsidRPr="00610B1B">
        <w:rPr>
          <w:rFonts w:ascii="Times New Roman" w:hAnsi="Times New Roman" w:cs="Times New Roman"/>
          <w:sz w:val="24"/>
          <w:szCs w:val="24"/>
          <w:lang w:val="bg-BG"/>
        </w:rPr>
        <w:t xml:space="preserve">. </w:t>
      </w:r>
      <w:r w:rsidR="00D86F72" w:rsidRPr="00610B1B">
        <w:rPr>
          <w:rFonts w:ascii="Times New Roman" w:hAnsi="Times New Roman" w:cs="Times New Roman"/>
          <w:sz w:val="24"/>
          <w:szCs w:val="24"/>
          <w:lang w:val="bg-BG"/>
        </w:rPr>
        <w:t xml:space="preserve">До </w:t>
      </w:r>
      <w:r w:rsidRPr="00610B1B">
        <w:rPr>
          <w:rFonts w:ascii="Times New Roman" w:hAnsi="Times New Roman" w:cs="Times New Roman"/>
          <w:sz w:val="24"/>
          <w:szCs w:val="24"/>
          <w:lang w:val="bg-BG"/>
        </w:rPr>
        <w:t xml:space="preserve">2009 г. дължината на бреговата линия се приема за 378 </w:t>
      </w:r>
      <w:r w:rsidR="00D86F72" w:rsidRPr="00610B1B">
        <w:rPr>
          <w:rFonts w:ascii="Times New Roman" w:hAnsi="Times New Roman" w:cs="Times New Roman"/>
          <w:sz w:val="24"/>
          <w:szCs w:val="24"/>
          <w:lang w:val="bg-BG"/>
        </w:rPr>
        <w:t>km</w:t>
      </w:r>
      <w:r w:rsidRPr="00610B1B">
        <w:rPr>
          <w:rFonts w:ascii="Times New Roman" w:hAnsi="Times New Roman" w:cs="Times New Roman"/>
          <w:i/>
          <w:sz w:val="24"/>
          <w:szCs w:val="24"/>
          <w:lang w:val="bg-BG"/>
        </w:rPr>
        <w:t xml:space="preserve">, </w:t>
      </w:r>
      <w:r w:rsidRPr="00610B1B">
        <w:rPr>
          <w:rFonts w:ascii="Times New Roman" w:hAnsi="Times New Roman" w:cs="Times New Roman"/>
          <w:sz w:val="24"/>
          <w:szCs w:val="24"/>
          <w:lang w:val="bg-BG"/>
        </w:rPr>
        <w:t>а към месец януари 2020 г. на специализираните карти на АГКК тя е 503,75</w:t>
      </w:r>
      <w:r w:rsidR="00751B5D"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km</w:t>
      </w:r>
      <w:r w:rsidR="00751B5D" w:rsidRPr="00610B1B">
        <w:rPr>
          <w:rStyle w:val="FootnoteReference"/>
          <w:rFonts w:ascii="Times New Roman" w:hAnsi="Times New Roman" w:cs="Times New Roman"/>
          <w:sz w:val="24"/>
          <w:szCs w:val="24"/>
          <w:lang w:val="bg-BG"/>
        </w:rPr>
        <w:footnoteReference w:id="72"/>
      </w:r>
      <w:r w:rsidRPr="00610B1B">
        <w:rPr>
          <w:rFonts w:ascii="Times New Roman" w:hAnsi="Times New Roman" w:cs="Times New Roman"/>
          <w:sz w:val="24"/>
          <w:szCs w:val="24"/>
          <w:lang w:val="bg-BG"/>
        </w:rPr>
        <w:t xml:space="preserve">. </w:t>
      </w:r>
    </w:p>
    <w:p w14:paraId="63C91F35" w14:textId="710969E4"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Брегова</w:t>
      </w:r>
      <w:r w:rsidR="00214E8E" w:rsidRPr="00610B1B">
        <w:rPr>
          <w:rFonts w:ascii="Times New Roman" w:hAnsi="Times New Roman" w:cs="Times New Roman"/>
          <w:sz w:val="24"/>
          <w:szCs w:val="24"/>
          <w:lang w:val="bg-BG"/>
        </w:rPr>
        <w:t>та</w:t>
      </w:r>
      <w:r w:rsidRPr="00610B1B">
        <w:rPr>
          <w:rFonts w:ascii="Times New Roman" w:hAnsi="Times New Roman" w:cs="Times New Roman"/>
          <w:sz w:val="24"/>
          <w:szCs w:val="24"/>
          <w:lang w:val="bg-BG"/>
        </w:rPr>
        <w:t xml:space="preserve"> линия се определя от </w:t>
      </w:r>
      <w:r w:rsidRPr="00610B1B">
        <w:rPr>
          <w:rFonts w:ascii="Times New Roman" w:hAnsi="Times New Roman" w:cs="Times New Roman"/>
          <w:b/>
          <w:i/>
          <w:sz w:val="24"/>
          <w:szCs w:val="24"/>
          <w:lang w:val="bg-BG"/>
        </w:rPr>
        <w:t>морското равнище</w:t>
      </w:r>
      <w:r w:rsidR="00D86F72" w:rsidRPr="00610B1B">
        <w:rPr>
          <w:rFonts w:ascii="Times New Roman" w:hAnsi="Times New Roman" w:cs="Times New Roman"/>
          <w:bCs/>
          <w:iCs/>
          <w:sz w:val="24"/>
          <w:szCs w:val="24"/>
          <w:lang w:val="bg-BG"/>
        </w:rPr>
        <w:t>, за което</w:t>
      </w:r>
      <w:r w:rsidRPr="00610B1B">
        <w:rPr>
          <w:rFonts w:ascii="Times New Roman" w:hAnsi="Times New Roman" w:cs="Times New Roman"/>
          <w:sz w:val="24"/>
          <w:szCs w:val="24"/>
          <w:lang w:val="bg-BG"/>
        </w:rPr>
        <w:t xml:space="preserve"> България е възприела многогодишното средно ниво на Черно море или т. н. Черноморска височинна система (ЧВС) определена пре</w:t>
      </w:r>
      <w:r w:rsidR="00214E8E" w:rsidRPr="00610B1B">
        <w:rPr>
          <w:rFonts w:ascii="Times New Roman" w:hAnsi="Times New Roman" w:cs="Times New Roman"/>
          <w:sz w:val="24"/>
          <w:szCs w:val="24"/>
          <w:lang w:val="bg-BG"/>
        </w:rPr>
        <w:t>з</w:t>
      </w:r>
      <w:r w:rsidRPr="00610B1B">
        <w:rPr>
          <w:rFonts w:ascii="Times New Roman" w:hAnsi="Times New Roman" w:cs="Times New Roman"/>
          <w:sz w:val="24"/>
          <w:szCs w:val="24"/>
          <w:lang w:val="bg-BG"/>
        </w:rPr>
        <w:t xml:space="preserve"> 1930 г. Анализът на средномесечните стойности на морското ниво от мареографните измервания за периода 1928 - 2013 г</w:t>
      </w:r>
      <w:r w:rsidR="009E1C66"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показва покачване на нивото на Черно море с 1.2-1,4 </w:t>
      </w:r>
      <w:r w:rsidR="00D86F72" w:rsidRPr="00610B1B">
        <w:rPr>
          <w:rFonts w:ascii="Times New Roman" w:hAnsi="Times New Roman" w:cs="Times New Roman"/>
          <w:sz w:val="24"/>
          <w:szCs w:val="24"/>
          <w:lang w:val="bg-BG"/>
        </w:rPr>
        <w:t>mm</w:t>
      </w:r>
      <w:r w:rsidRPr="00610B1B">
        <w:rPr>
          <w:rFonts w:ascii="Times New Roman" w:hAnsi="Times New Roman" w:cs="Times New Roman"/>
          <w:sz w:val="24"/>
          <w:szCs w:val="24"/>
          <w:lang w:val="bg-BG"/>
        </w:rPr>
        <w:t xml:space="preserve">/год за мареографна станция Варна и 1.6 -1,7 </w:t>
      </w:r>
      <w:r w:rsidR="00D86F72" w:rsidRPr="00610B1B">
        <w:rPr>
          <w:rFonts w:ascii="Times New Roman" w:hAnsi="Times New Roman" w:cs="Times New Roman"/>
          <w:sz w:val="24"/>
          <w:szCs w:val="24"/>
          <w:lang w:val="bg-BG"/>
        </w:rPr>
        <w:t>mm</w:t>
      </w:r>
      <w:r w:rsidRPr="00610B1B">
        <w:rPr>
          <w:rFonts w:ascii="Times New Roman" w:hAnsi="Times New Roman" w:cs="Times New Roman"/>
          <w:sz w:val="24"/>
          <w:szCs w:val="24"/>
          <w:lang w:val="bg-BG"/>
        </w:rPr>
        <w:t>/год за Бургас (</w:t>
      </w:r>
      <w:r w:rsidRPr="00610B1B">
        <w:rPr>
          <w:rFonts w:ascii="Times New Roman" w:hAnsi="Times New Roman" w:cs="Times New Roman"/>
          <w:i/>
          <w:sz w:val="24"/>
          <w:szCs w:val="24"/>
          <w:lang w:val="bg-BG"/>
        </w:rPr>
        <w:t>Иванов, 2017</w:t>
      </w:r>
      <w:r w:rsidRPr="00610B1B">
        <w:rPr>
          <w:rFonts w:ascii="Times New Roman" w:hAnsi="Times New Roman" w:cs="Times New Roman"/>
          <w:sz w:val="24"/>
          <w:szCs w:val="24"/>
          <w:lang w:val="bg-BG"/>
        </w:rPr>
        <w:t xml:space="preserve">). </w:t>
      </w:r>
      <w:r w:rsidR="009226DB" w:rsidRPr="00610B1B">
        <w:rPr>
          <w:rFonts w:ascii="Times New Roman" w:hAnsi="Times New Roman" w:cs="Times New Roman"/>
          <w:sz w:val="24"/>
          <w:szCs w:val="24"/>
          <w:lang w:val="bg-BG"/>
        </w:rPr>
        <w:t xml:space="preserve">Приливите </w:t>
      </w:r>
      <w:r w:rsidRPr="00610B1B">
        <w:rPr>
          <w:rFonts w:ascii="Times New Roman" w:hAnsi="Times New Roman" w:cs="Times New Roman"/>
          <w:sz w:val="24"/>
          <w:szCs w:val="24"/>
          <w:lang w:val="bg-BG"/>
        </w:rPr>
        <w:t xml:space="preserve">и отливите в Черно море са незначителни, с амплитуда около 7.0 </w:t>
      </w:r>
      <w:r w:rsidR="00D86F72" w:rsidRPr="00610B1B">
        <w:rPr>
          <w:rFonts w:ascii="Times New Roman" w:hAnsi="Times New Roman" w:cs="Times New Roman"/>
          <w:sz w:val="24"/>
          <w:szCs w:val="24"/>
          <w:lang w:val="bg-BG"/>
        </w:rPr>
        <w:t>cm</w:t>
      </w:r>
      <w:r w:rsidR="005E7E37" w:rsidRPr="00610B1B">
        <w:rPr>
          <w:rFonts w:ascii="Times New Roman" w:hAnsi="Times New Roman" w:cs="Times New Roman"/>
          <w:sz w:val="24"/>
          <w:szCs w:val="24"/>
          <w:lang w:val="bg-BG"/>
        </w:rPr>
        <w:t xml:space="preserve">. Непериодичните </w:t>
      </w:r>
      <w:r w:rsidRPr="00610B1B">
        <w:rPr>
          <w:rFonts w:ascii="Times New Roman" w:hAnsi="Times New Roman" w:cs="Times New Roman"/>
          <w:sz w:val="24"/>
          <w:szCs w:val="24"/>
          <w:lang w:val="bg-BG"/>
        </w:rPr>
        <w:t>колебания на нивото на морето са значителни и се пораждат от атмосферни явления, като бърза промяна на баричното налягане</w:t>
      </w:r>
      <w:r w:rsidR="005E7E37" w:rsidRPr="00610B1B">
        <w:rPr>
          <w:rFonts w:ascii="Times New Roman" w:hAnsi="Times New Roman" w:cs="Times New Roman"/>
          <w:sz w:val="24"/>
          <w:szCs w:val="24"/>
          <w:lang w:val="bg-BG"/>
        </w:rPr>
        <w:t>. Д</w:t>
      </w:r>
      <w:r w:rsidRPr="00610B1B">
        <w:rPr>
          <w:rFonts w:ascii="Times New Roman" w:hAnsi="Times New Roman" w:cs="Times New Roman"/>
          <w:sz w:val="24"/>
          <w:szCs w:val="24"/>
          <w:lang w:val="bg-BG"/>
        </w:rPr>
        <w:t xml:space="preserve">остигат стойности повече от 1,5-2,0 </w:t>
      </w:r>
      <w:r w:rsidR="00D86F72"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xml:space="preserve"> за няколко дни. Това показва, че мониторинг</w:t>
      </w:r>
      <w:r w:rsidR="00D86F72" w:rsidRPr="00610B1B">
        <w:rPr>
          <w:rFonts w:ascii="Times New Roman" w:hAnsi="Times New Roman" w:cs="Times New Roman"/>
          <w:sz w:val="24"/>
          <w:szCs w:val="24"/>
          <w:lang w:val="bg-BG"/>
        </w:rPr>
        <w:t>ът</w:t>
      </w:r>
      <w:r w:rsidRPr="00610B1B">
        <w:rPr>
          <w:rFonts w:ascii="Times New Roman" w:hAnsi="Times New Roman" w:cs="Times New Roman"/>
          <w:sz w:val="24"/>
          <w:szCs w:val="24"/>
          <w:lang w:val="bg-BG"/>
        </w:rPr>
        <w:t xml:space="preserve"> на морското ниво трябва да бъде съществена част от общата система за наблюдение на морската среда.</w:t>
      </w:r>
    </w:p>
    <w:p w14:paraId="7D86C0A5" w14:textId="552EC579" w:rsidR="00590858" w:rsidRPr="00610B1B" w:rsidRDefault="00590858" w:rsidP="00D32D6A">
      <w:pPr>
        <w:spacing w:after="120"/>
        <w:ind w:right="-153"/>
        <w:jc w:val="both"/>
        <w:rPr>
          <w:rFonts w:ascii="Times New Roman" w:hAnsi="Times New Roman" w:cs="Times New Roman"/>
          <w:b/>
          <w:sz w:val="24"/>
          <w:szCs w:val="24"/>
          <w:lang w:val="bg-BG"/>
        </w:rPr>
      </w:pPr>
      <w:r w:rsidRPr="00610B1B">
        <w:rPr>
          <w:rFonts w:ascii="Times New Roman" w:hAnsi="Times New Roman" w:cs="Times New Roman"/>
          <w:b/>
          <w:i/>
          <w:sz w:val="24"/>
          <w:szCs w:val="24"/>
          <w:lang w:val="bg-BG"/>
        </w:rPr>
        <w:t>Брегова</w:t>
      </w:r>
      <w:r w:rsidR="009E1C66" w:rsidRPr="00610B1B">
        <w:rPr>
          <w:rFonts w:ascii="Times New Roman" w:hAnsi="Times New Roman" w:cs="Times New Roman"/>
          <w:b/>
          <w:i/>
          <w:sz w:val="24"/>
          <w:szCs w:val="24"/>
          <w:lang w:val="bg-BG"/>
        </w:rPr>
        <w:t>та</w:t>
      </w:r>
      <w:r w:rsidRPr="00610B1B">
        <w:rPr>
          <w:rFonts w:ascii="Times New Roman" w:hAnsi="Times New Roman" w:cs="Times New Roman"/>
          <w:b/>
          <w:i/>
          <w:sz w:val="24"/>
          <w:szCs w:val="24"/>
          <w:lang w:val="bg-BG"/>
        </w:rPr>
        <w:t xml:space="preserve"> зона</w:t>
      </w:r>
      <w:r w:rsidRPr="00610B1B">
        <w:rPr>
          <w:rFonts w:ascii="Times New Roman" w:hAnsi="Times New Roman" w:cs="Times New Roman"/>
          <w:bCs/>
          <w:sz w:val="24"/>
          <w:szCs w:val="24"/>
          <w:lang w:val="bg-BG"/>
        </w:rPr>
        <w:t xml:space="preserve"> се определя</w:t>
      </w:r>
      <w:r w:rsidRPr="00610B1B">
        <w:rPr>
          <w:rFonts w:ascii="Times New Roman" w:hAnsi="Times New Roman" w:cs="Times New Roman"/>
          <w:sz w:val="24"/>
          <w:szCs w:val="24"/>
          <w:lang w:val="bg-BG"/>
        </w:rPr>
        <w:t xml:space="preserve"> като район на границата между сушата и морето, където морето влияе на сушата и обратно. В българското законодателство н</w:t>
      </w:r>
      <w:r w:rsidR="00D86F72" w:rsidRPr="00610B1B">
        <w:rPr>
          <w:rFonts w:ascii="Times New Roman" w:hAnsi="Times New Roman" w:cs="Times New Roman"/>
          <w:sz w:val="24"/>
          <w:szCs w:val="24"/>
          <w:lang w:val="bg-BG"/>
        </w:rPr>
        <w:t>я</w:t>
      </w:r>
      <w:r w:rsidRPr="00610B1B">
        <w:rPr>
          <w:rFonts w:ascii="Times New Roman" w:hAnsi="Times New Roman" w:cs="Times New Roman"/>
          <w:sz w:val="24"/>
          <w:szCs w:val="24"/>
          <w:lang w:val="bg-BG"/>
        </w:rPr>
        <w:t>ма строга дефиниц</w:t>
      </w:r>
      <w:r w:rsidR="00D86F72"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xml:space="preserve">я, но в Закона за устройство на черноморското крайбрежие (ЗУЧК) е дефинирано понятието </w:t>
      </w:r>
      <w:r w:rsidRPr="00610B1B">
        <w:rPr>
          <w:rFonts w:ascii="Times New Roman" w:hAnsi="Times New Roman" w:cs="Times New Roman"/>
          <w:bCs/>
          <w:i/>
          <w:iCs/>
          <w:sz w:val="24"/>
          <w:szCs w:val="24"/>
          <w:lang w:val="bg-BG"/>
        </w:rPr>
        <w:t>морски бряг</w:t>
      </w:r>
      <w:r w:rsidR="00214E8E" w:rsidRPr="00610B1B">
        <w:rPr>
          <w:rFonts w:ascii="Times New Roman" w:hAnsi="Times New Roman" w:cs="Times New Roman"/>
          <w:bCs/>
          <w:i/>
          <w:iCs/>
          <w:sz w:val="24"/>
          <w:szCs w:val="24"/>
          <w:lang w:val="bg-BG"/>
        </w:rPr>
        <w:t>,</w:t>
      </w:r>
      <w:r w:rsidR="00D66FE0" w:rsidRPr="00610B1B">
        <w:rPr>
          <w:rFonts w:ascii="Times New Roman" w:hAnsi="Times New Roman" w:cs="Times New Roman"/>
          <w:bCs/>
          <w:i/>
          <w:iCs/>
          <w:sz w:val="24"/>
          <w:szCs w:val="24"/>
          <w:lang w:val="bg-BG"/>
        </w:rPr>
        <w:t xml:space="preserve"> </w:t>
      </w:r>
      <w:r w:rsidRPr="00610B1B">
        <w:rPr>
          <w:rFonts w:ascii="Times New Roman" w:hAnsi="Times New Roman" w:cs="Times New Roman"/>
          <w:sz w:val="24"/>
          <w:szCs w:val="24"/>
          <w:lang w:val="bg-BG"/>
        </w:rPr>
        <w:t xml:space="preserve">като в него се определя „зона А“ за </w:t>
      </w:r>
      <w:r w:rsidR="00AF4C05" w:rsidRPr="00610B1B">
        <w:rPr>
          <w:rFonts w:ascii="Times New Roman" w:hAnsi="Times New Roman" w:cs="Times New Roman"/>
          <w:sz w:val="24"/>
          <w:szCs w:val="24"/>
          <w:lang w:val="bg-BG"/>
        </w:rPr>
        <w:t>териториалноустройствена</w:t>
      </w:r>
      <w:r w:rsidRPr="00610B1B">
        <w:rPr>
          <w:rFonts w:ascii="Times New Roman" w:hAnsi="Times New Roman" w:cs="Times New Roman"/>
          <w:sz w:val="24"/>
          <w:szCs w:val="24"/>
          <w:lang w:val="bg-BG"/>
        </w:rPr>
        <w:t xml:space="preserve"> защита</w:t>
      </w:r>
      <w:r w:rsidR="00AE1A36" w:rsidRPr="00610B1B">
        <w:rPr>
          <w:rFonts w:ascii="Times New Roman" w:hAnsi="Times New Roman" w:cs="Times New Roman"/>
          <w:sz w:val="24"/>
          <w:szCs w:val="24"/>
          <w:lang w:val="bg-BG"/>
        </w:rPr>
        <w:t xml:space="preserve">, която </w:t>
      </w:r>
      <w:r w:rsidRPr="00610B1B">
        <w:rPr>
          <w:rFonts w:ascii="Times New Roman" w:hAnsi="Times New Roman" w:cs="Times New Roman"/>
          <w:sz w:val="24"/>
          <w:szCs w:val="24"/>
          <w:lang w:val="bg-BG"/>
        </w:rPr>
        <w:t xml:space="preserve">съвпада с определението за </w:t>
      </w:r>
      <w:r w:rsidRPr="00610B1B">
        <w:rPr>
          <w:rFonts w:ascii="Times New Roman" w:hAnsi="Times New Roman" w:cs="Times New Roman"/>
          <w:b/>
          <w:i/>
          <w:iCs/>
          <w:sz w:val="24"/>
          <w:szCs w:val="24"/>
          <w:lang w:val="bg-BG"/>
        </w:rPr>
        <w:t>брегова зона</w:t>
      </w:r>
      <w:r w:rsidRPr="00610B1B">
        <w:rPr>
          <w:rFonts w:ascii="Times New Roman" w:hAnsi="Times New Roman" w:cs="Times New Roman"/>
          <w:b/>
          <w:sz w:val="24"/>
          <w:szCs w:val="24"/>
          <w:lang w:val="bg-BG"/>
        </w:rPr>
        <w:t>.</w:t>
      </w:r>
    </w:p>
    <w:p w14:paraId="5D1AA1BD" w14:textId="65F7887B"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Съвременният динамичен облик на българското черноморско крайбрежие е предопределен от геоложките условия и специфичните локални геоморфоложки особености. Съвкупността от комплексното взаимодействие между тектонските движения на земната кора и екзогенни процеси, като абразия, ерозия и акумулация са изваяли разнообразен ландшафт </w:t>
      </w:r>
      <w:r w:rsidR="006F5000" w:rsidRPr="00610B1B">
        <w:rPr>
          <w:rFonts w:ascii="Times New Roman" w:hAnsi="Times New Roman" w:cs="Times New Roman"/>
          <w:sz w:val="24"/>
          <w:szCs w:val="24"/>
          <w:lang w:val="bg-BG"/>
        </w:rPr>
        <w:t>с</w:t>
      </w:r>
      <w:r w:rsidRPr="00610B1B">
        <w:rPr>
          <w:rFonts w:ascii="Times New Roman" w:hAnsi="Times New Roman" w:cs="Times New Roman"/>
          <w:sz w:val="24"/>
          <w:szCs w:val="24"/>
          <w:lang w:val="bg-BG"/>
        </w:rPr>
        <w:t xml:space="preserve"> дълги и широки пясъчни ивици, дюни, лагуни, лимани, лонгозни гори, скални клифове, крайбрежни езера с рядка флора и фауна, и изобилие от природни ресурси. </w:t>
      </w:r>
      <w:r w:rsidR="00E50DED" w:rsidRPr="00610B1B">
        <w:rPr>
          <w:rFonts w:ascii="Times New Roman" w:hAnsi="Times New Roman" w:cs="Times New Roman"/>
          <w:sz w:val="24"/>
          <w:szCs w:val="24"/>
          <w:lang w:val="bg-BG"/>
        </w:rPr>
        <w:t>Едновременно</w:t>
      </w:r>
      <w:r w:rsidRPr="00610B1B">
        <w:rPr>
          <w:rFonts w:ascii="Times New Roman" w:hAnsi="Times New Roman" w:cs="Times New Roman"/>
          <w:sz w:val="24"/>
          <w:szCs w:val="24"/>
          <w:lang w:val="bg-BG"/>
        </w:rPr>
        <w:t xml:space="preserve"> с това се наблюдава все по-агресивна антропогенизация, която постепенно унищожава природни</w:t>
      </w:r>
      <w:r w:rsidR="00214E8E"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дадености.</w:t>
      </w:r>
      <w:r w:rsidR="00AE1A36"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Основните геоморфоложки типове бряг и прилежащите им форми на релефа по </w:t>
      </w:r>
      <w:r w:rsidR="00D86F72" w:rsidRPr="00610B1B">
        <w:rPr>
          <w:rFonts w:ascii="Times New Roman" w:hAnsi="Times New Roman" w:cs="Times New Roman"/>
          <w:sz w:val="24"/>
          <w:szCs w:val="24"/>
          <w:lang w:val="bg-BG"/>
        </w:rPr>
        <w:t>българското Черноморско крайбрежие</w:t>
      </w:r>
      <w:r w:rsidRPr="00610B1B">
        <w:rPr>
          <w:rFonts w:ascii="Times New Roman" w:hAnsi="Times New Roman" w:cs="Times New Roman"/>
          <w:sz w:val="24"/>
          <w:szCs w:val="24"/>
          <w:lang w:val="bg-BG"/>
        </w:rPr>
        <w:t xml:space="preserve"> са:</w:t>
      </w:r>
    </w:p>
    <w:p w14:paraId="61BBA96C" w14:textId="6FDDF144" w:rsidR="00590858" w:rsidRPr="00610B1B" w:rsidRDefault="00590858" w:rsidP="00D32D6A">
      <w:pPr>
        <w:spacing w:after="120"/>
        <w:ind w:right="-153"/>
        <w:jc w:val="both"/>
        <w:rPr>
          <w:rFonts w:ascii="Times New Roman" w:hAnsi="Times New Roman" w:cs="Times New Roman"/>
          <w:bCs/>
          <w:iCs/>
          <w:sz w:val="24"/>
          <w:szCs w:val="24"/>
          <w:lang w:val="bg-BG"/>
        </w:rPr>
      </w:pPr>
      <w:r w:rsidRPr="00610B1B">
        <w:rPr>
          <w:rFonts w:ascii="Times New Roman" w:hAnsi="Times New Roman" w:cs="Times New Roman"/>
          <w:bCs/>
          <w:sz w:val="24"/>
          <w:szCs w:val="24"/>
          <w:lang w:val="bg-BG"/>
        </w:rPr>
        <w:t>А.</w:t>
      </w:r>
      <w:r w:rsidR="00D86F72"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Естествен тип бряг,</w:t>
      </w:r>
      <w:r w:rsidRPr="00610B1B">
        <w:rPr>
          <w:rFonts w:ascii="Times New Roman" w:hAnsi="Times New Roman" w:cs="Times New Roman"/>
          <w:sz w:val="24"/>
          <w:szCs w:val="24"/>
          <w:lang w:val="bg-BG"/>
        </w:rPr>
        <w:t xml:space="preserve"> обусловен от локални геолого-тектонски условия и оформен от действието на ендогенни и екзогенни процеси, който се поделя на: </w:t>
      </w:r>
      <w:r w:rsidRPr="00610B1B">
        <w:rPr>
          <w:rFonts w:ascii="Times New Roman" w:hAnsi="Times New Roman" w:cs="Times New Roman"/>
          <w:bCs/>
          <w:iCs/>
          <w:sz w:val="24"/>
          <w:szCs w:val="24"/>
          <w:lang w:val="bg-BG"/>
        </w:rPr>
        <w:t>Заравнени денудационни повърхнини; Морски тераси; Ерозионни долове (дерета) и ровини. Свлачища; Ерозионно-денудационни склонове; Карстови форми; Лимани и лагуни; Клифове; Плажове и дюни и Български черноморски острови.</w:t>
      </w:r>
    </w:p>
    <w:p w14:paraId="775F854C" w14:textId="571C6F53"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Cs/>
          <w:sz w:val="24"/>
          <w:szCs w:val="24"/>
          <w:lang w:val="bg-BG"/>
        </w:rPr>
        <w:t>Б.</w:t>
      </w:r>
      <w:r w:rsidR="00D86F72"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Техногенен тип бряг.</w:t>
      </w:r>
      <w:r w:rsidRPr="00610B1B">
        <w:rPr>
          <w:rFonts w:ascii="Times New Roman" w:hAnsi="Times New Roman" w:cs="Times New Roman"/>
          <w:sz w:val="24"/>
          <w:szCs w:val="24"/>
          <w:lang w:val="bg-BG"/>
        </w:rPr>
        <w:t xml:space="preserve"> Изграждането на вълнозащитни стени и дамби по протежение на бреговата линия, както и строителството на пристанищна инфраструктура е довело до бетониране на бреговата линия и понастоящем 16,2% (или 70 km) от българския бряг е превърнат в техногенен тип бряг (</w:t>
      </w:r>
      <w:r w:rsidRPr="00610B1B">
        <w:rPr>
          <w:rFonts w:ascii="Times New Roman" w:hAnsi="Times New Roman" w:cs="Times New Roman"/>
          <w:i/>
          <w:sz w:val="24"/>
          <w:szCs w:val="24"/>
          <w:lang w:val="bg-BG"/>
        </w:rPr>
        <w:t>Коцев и др., 2019</w:t>
      </w:r>
      <w:r w:rsidRPr="00610B1B">
        <w:rPr>
          <w:rFonts w:ascii="Times New Roman" w:hAnsi="Times New Roman" w:cs="Times New Roman"/>
          <w:sz w:val="24"/>
          <w:szCs w:val="24"/>
          <w:lang w:val="bg-BG"/>
        </w:rPr>
        <w:t xml:space="preserve">). </w:t>
      </w:r>
    </w:p>
    <w:p w14:paraId="0D0ECA00" w14:textId="77777777" w:rsidR="00A643FE"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i/>
          <w:sz w:val="24"/>
          <w:szCs w:val="24"/>
          <w:lang w:val="bg-BG"/>
        </w:rPr>
        <w:t>Прибрежната зона</w:t>
      </w:r>
      <w:r w:rsidRPr="00610B1B">
        <w:rPr>
          <w:rFonts w:ascii="Times New Roman" w:hAnsi="Times New Roman" w:cs="Times New Roman"/>
          <w:sz w:val="24"/>
          <w:szCs w:val="24"/>
          <w:lang w:val="bg-BG"/>
        </w:rPr>
        <w:t xml:space="preserve"> е разположена край съвременната брегова линия и обхваща подводния брегови склон и потопени</w:t>
      </w:r>
      <w:r w:rsidR="00D86F72"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реликтни тераси. За мориста граница на тази зона условно е приета 20-метровата изобата (</w:t>
      </w:r>
      <w:r w:rsidRPr="00610B1B">
        <w:rPr>
          <w:rFonts w:ascii="Times New Roman" w:hAnsi="Times New Roman" w:cs="Times New Roman"/>
          <w:i/>
          <w:sz w:val="24"/>
          <w:szCs w:val="24"/>
          <w:lang w:val="bg-BG"/>
        </w:rPr>
        <w:t>Димитров, 1979</w:t>
      </w:r>
      <w:r w:rsidRPr="00610B1B">
        <w:rPr>
          <w:rFonts w:ascii="Times New Roman" w:hAnsi="Times New Roman" w:cs="Times New Roman"/>
          <w:sz w:val="24"/>
          <w:szCs w:val="24"/>
          <w:lang w:val="bg-BG"/>
        </w:rPr>
        <w:t xml:space="preserve">). </w:t>
      </w:r>
      <w:r w:rsidR="00D86F72" w:rsidRPr="00610B1B">
        <w:rPr>
          <w:rFonts w:ascii="Times New Roman" w:hAnsi="Times New Roman" w:cs="Times New Roman"/>
          <w:sz w:val="24"/>
          <w:szCs w:val="24"/>
          <w:lang w:val="bg-BG"/>
        </w:rPr>
        <w:t xml:space="preserve">Тя </w:t>
      </w:r>
      <w:r w:rsidRPr="00610B1B">
        <w:rPr>
          <w:rFonts w:ascii="Times New Roman" w:hAnsi="Times New Roman" w:cs="Times New Roman"/>
          <w:sz w:val="24"/>
          <w:szCs w:val="24"/>
          <w:lang w:val="bg-BG"/>
        </w:rPr>
        <w:t xml:space="preserve">е подложена на активно </w:t>
      </w:r>
      <w:r w:rsidRPr="00610B1B">
        <w:rPr>
          <w:rFonts w:ascii="Times New Roman" w:hAnsi="Times New Roman" w:cs="Times New Roman"/>
          <w:sz w:val="24"/>
          <w:szCs w:val="24"/>
          <w:lang w:val="bg-BG"/>
        </w:rPr>
        <w:lastRenderedPageBreak/>
        <w:t xml:space="preserve">вълново въздействие, като по такъв начин едновременно са застъпени процесите на абразия и акумулация. </w:t>
      </w:r>
    </w:p>
    <w:p w14:paraId="6C92EF78" w14:textId="5FE61DE3" w:rsidR="00C52B23" w:rsidRPr="00610B1B" w:rsidRDefault="006F500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Българското крайбрежие е поделено на пет основни геоморфоложки района въз основа на изграждащите го морфоструктурни единици: </w:t>
      </w:r>
      <w:r w:rsidR="00C52B23" w:rsidRPr="00610B1B">
        <w:rPr>
          <w:rFonts w:ascii="Times New Roman" w:hAnsi="Times New Roman" w:cs="Times New Roman"/>
          <w:sz w:val="24"/>
          <w:szCs w:val="24"/>
          <w:lang w:val="bg-BG"/>
        </w:rPr>
        <w:t>Източ</w:t>
      </w:r>
      <w:r w:rsidRPr="00610B1B">
        <w:rPr>
          <w:rFonts w:ascii="Times New Roman" w:hAnsi="Times New Roman" w:cs="Times New Roman"/>
          <w:sz w:val="24"/>
          <w:szCs w:val="24"/>
          <w:lang w:val="bg-BG"/>
        </w:rPr>
        <w:t>е</w:t>
      </w:r>
      <w:r w:rsidR="00C52B23" w:rsidRPr="00610B1B">
        <w:rPr>
          <w:rFonts w:ascii="Times New Roman" w:hAnsi="Times New Roman" w:cs="Times New Roman"/>
          <w:sz w:val="24"/>
          <w:szCs w:val="24"/>
          <w:lang w:val="bg-BG"/>
        </w:rPr>
        <w:t xml:space="preserve">н дял на Мизийска плоча; Долнокамчийско грабен-разломно понижение; приморска част на Старопланинската мегаструктура; Бургаски синклинорий и Медноридско-Странджански мегаантиклинорий. </w:t>
      </w:r>
    </w:p>
    <w:p w14:paraId="6433B304" w14:textId="44F635C9" w:rsidR="00590858" w:rsidRPr="00610B1B" w:rsidRDefault="00751B5D" w:rsidP="00D32D6A">
      <w:pPr>
        <w:pStyle w:val="Caption"/>
        <w:spacing w:before="0" w:after="0" w:line="240" w:lineRule="auto"/>
        <w:ind w:right="-153"/>
        <w:rPr>
          <w:rFonts w:cs="Times New Roman"/>
        </w:rPr>
      </w:pPr>
      <w:bookmarkStart w:id="21" w:name="_Toc83391464"/>
      <w:r w:rsidRPr="00610B1B">
        <w:rPr>
          <w:rFonts w:cs="Times New Roman"/>
        </w:rPr>
        <w:t xml:space="preserve">Фигура </w:t>
      </w:r>
      <w:r w:rsidRPr="00610B1B">
        <w:rPr>
          <w:rFonts w:cs="Times New Roman"/>
        </w:rPr>
        <w:fldChar w:fldCharType="begin"/>
      </w:r>
      <w:r w:rsidRPr="00610B1B">
        <w:rPr>
          <w:rFonts w:cs="Times New Roman"/>
        </w:rPr>
        <w:instrText xml:space="preserve"> SEQ Фигура \* ARABIC </w:instrText>
      </w:r>
      <w:r w:rsidRPr="00610B1B">
        <w:rPr>
          <w:rFonts w:cs="Times New Roman"/>
        </w:rPr>
        <w:fldChar w:fldCharType="separate"/>
      </w:r>
      <w:r w:rsidR="00260629" w:rsidRPr="00610B1B">
        <w:rPr>
          <w:rFonts w:cs="Times New Roman"/>
          <w:noProof/>
        </w:rPr>
        <w:t>1</w:t>
      </w:r>
      <w:r w:rsidRPr="00610B1B">
        <w:rPr>
          <w:rFonts w:cs="Times New Roman"/>
        </w:rPr>
        <w:fldChar w:fldCharType="end"/>
      </w:r>
      <w:r w:rsidRPr="00610B1B">
        <w:rPr>
          <w:rFonts w:cs="Times New Roman"/>
        </w:rPr>
        <w:t>:</w:t>
      </w:r>
      <w:r w:rsidR="00590858" w:rsidRPr="00610B1B">
        <w:rPr>
          <w:rFonts w:cs="Times New Roman"/>
        </w:rPr>
        <w:t xml:space="preserve"> Геоморфоложко райониране на българското черноморско крайбрежие.</w:t>
      </w:r>
      <w:bookmarkEnd w:id="21"/>
      <w:r w:rsidR="00590858" w:rsidRPr="00610B1B">
        <w:rPr>
          <w:rFonts w:cs="Times New Roman"/>
        </w:rPr>
        <w:t xml:space="preserve"> </w:t>
      </w:r>
    </w:p>
    <w:p w14:paraId="2E679053" w14:textId="4569CC58" w:rsidR="00590858" w:rsidRPr="00610B1B" w:rsidRDefault="00590858" w:rsidP="00D32D6A">
      <w:pPr>
        <w:pStyle w:val="af"/>
        <w:spacing w:before="0" w:after="120" w:line="276" w:lineRule="auto"/>
        <w:ind w:right="-153" w:firstLine="0"/>
        <w:rPr>
          <w:rFonts w:cs="Times New Roman"/>
          <w:szCs w:val="24"/>
        </w:rPr>
      </w:pPr>
      <w:r w:rsidRPr="00610B1B">
        <w:rPr>
          <w:rFonts w:cs="Times New Roman"/>
          <w:noProof/>
          <w:szCs w:val="24"/>
          <w:lang w:eastAsia="bg-BG"/>
        </w:rPr>
        <w:drawing>
          <wp:inline distT="0" distB="0" distL="0" distR="0" wp14:anchorId="2B6B5691" wp14:editId="4FE4B30B">
            <wp:extent cx="4619708" cy="6533954"/>
            <wp:effectExtent l="0" t="0" r="0" b="635"/>
            <wp:docPr id="1"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 Geomorpho Chart.png"/>
                    <pic:cNvPicPr/>
                  </pic:nvPicPr>
                  <pic:blipFill>
                    <a:blip r:embed="rId19">
                      <a:extLst>
                        <a:ext uri="{28A0092B-C50C-407E-A947-70E740481C1C}">
                          <a14:useLocalDpi xmlns:a14="http://schemas.microsoft.com/office/drawing/2010/main" val="0"/>
                        </a:ext>
                      </a:extLst>
                    </a:blip>
                    <a:stretch>
                      <a:fillRect/>
                    </a:stretch>
                  </pic:blipFill>
                  <pic:spPr>
                    <a:xfrm>
                      <a:off x="0" y="0"/>
                      <a:ext cx="4624731" cy="6541058"/>
                    </a:xfrm>
                    <a:prstGeom prst="rect">
                      <a:avLst/>
                    </a:prstGeom>
                  </pic:spPr>
                </pic:pic>
              </a:graphicData>
            </a:graphic>
          </wp:inline>
        </w:drawing>
      </w:r>
    </w:p>
    <w:p w14:paraId="06D13147" w14:textId="791BB365" w:rsidR="00893838" w:rsidRPr="00610B1B" w:rsidRDefault="00893838" w:rsidP="00D32D6A">
      <w:pPr>
        <w:pStyle w:val="af"/>
        <w:spacing w:before="0" w:after="120" w:line="276" w:lineRule="auto"/>
        <w:ind w:right="-153" w:firstLine="0"/>
        <w:jc w:val="left"/>
        <w:rPr>
          <w:rFonts w:cs="Times New Roman"/>
          <w:sz w:val="22"/>
        </w:rPr>
      </w:pPr>
      <w:r w:rsidRPr="00610B1B">
        <w:rPr>
          <w:rFonts w:cs="Times New Roman"/>
          <w:sz w:val="22"/>
        </w:rPr>
        <w:t>Източник: Попов, Мишев, 1974 г. обработка Л. Димитров</w:t>
      </w:r>
    </w:p>
    <w:p w14:paraId="0010DE4F" w14:textId="3434FE6B"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От инженерно-геоложка гледна точка, най-засегнати от свлачищни, абразионни и ерозионни процеси по Черноморското крайбрежие са всички клифови участъци в </w:t>
      </w:r>
      <w:r w:rsidRPr="00610B1B">
        <w:rPr>
          <w:rFonts w:ascii="Times New Roman" w:hAnsi="Times New Roman" w:cs="Times New Roman"/>
          <w:sz w:val="24"/>
          <w:szCs w:val="24"/>
          <w:lang w:val="bg-BG"/>
        </w:rPr>
        <w:lastRenderedPageBreak/>
        <w:t>подрайоните в обхвата на Добруджанско–Франгенския, Долнокамчийския и Старопланински райони. В зависимост от конкретните условия на даден брегови участък, включващ и подводния брегови склон, тези процеси са по-интензивни и разрушителни при нос Калиакра, нос Галата, участъците м</w:t>
      </w:r>
      <w:r w:rsidR="00126C31" w:rsidRPr="00610B1B">
        <w:rPr>
          <w:rFonts w:ascii="Times New Roman" w:hAnsi="Times New Roman" w:cs="Times New Roman"/>
          <w:sz w:val="24"/>
          <w:szCs w:val="24"/>
          <w:lang w:val="bg-BG"/>
        </w:rPr>
        <w:t>е</w:t>
      </w:r>
      <w:r w:rsidRPr="00610B1B">
        <w:rPr>
          <w:rFonts w:ascii="Times New Roman" w:hAnsi="Times New Roman" w:cs="Times New Roman"/>
          <w:sz w:val="24"/>
          <w:szCs w:val="24"/>
          <w:lang w:val="bg-BG"/>
        </w:rPr>
        <w:t>жду гр. Каварна и гр. Балчик, между с. Кранево и к</w:t>
      </w:r>
      <w:r w:rsidR="00126C31" w:rsidRPr="00610B1B">
        <w:rPr>
          <w:rFonts w:ascii="Times New Roman" w:hAnsi="Times New Roman" w:cs="Times New Roman"/>
          <w:sz w:val="24"/>
          <w:szCs w:val="24"/>
          <w:lang w:val="bg-BG"/>
        </w:rPr>
        <w:t xml:space="preserve">урортен комплекс </w:t>
      </w:r>
      <w:r w:rsidR="006052F8"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Златни пясъци</w:t>
      </w:r>
      <w:r w:rsidR="006052F8"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w:t>
      </w:r>
    </w:p>
    <w:p w14:paraId="222D26E3" w14:textId="7211E8B4"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Докато, съглас</w:t>
      </w:r>
      <w:r w:rsidR="00126C31" w:rsidRPr="00610B1B">
        <w:rPr>
          <w:rFonts w:ascii="Times New Roman" w:hAnsi="Times New Roman" w:cs="Times New Roman"/>
          <w:sz w:val="24"/>
          <w:szCs w:val="24"/>
          <w:lang w:val="bg-BG"/>
        </w:rPr>
        <w:t>н</w:t>
      </w:r>
      <w:r w:rsidRPr="00610B1B">
        <w:rPr>
          <w:rFonts w:ascii="Times New Roman" w:hAnsi="Times New Roman" w:cs="Times New Roman"/>
          <w:sz w:val="24"/>
          <w:szCs w:val="24"/>
          <w:lang w:val="bg-BG"/>
        </w:rPr>
        <w:t>о</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Наредба </w:t>
      </w:r>
      <w:r w:rsidRPr="00610B1B">
        <w:rPr>
          <w:rFonts w:ascii="Times New Roman" w:hAnsi="Times New Roman" w:cs="Times New Roman"/>
          <w:smallCaps/>
          <w:sz w:val="24"/>
          <w:szCs w:val="24"/>
          <w:lang w:val="bg-BG"/>
        </w:rPr>
        <w:t xml:space="preserve">№ </w:t>
      </w:r>
      <w:r w:rsidRPr="00610B1B">
        <w:rPr>
          <w:rFonts w:ascii="Times New Roman" w:hAnsi="Times New Roman" w:cs="Times New Roman"/>
          <w:sz w:val="24"/>
          <w:szCs w:val="24"/>
          <w:lang w:val="bg-BG"/>
        </w:rPr>
        <w:t>РД-02-20-1 от 19.06.20</w:t>
      </w:r>
      <w:r w:rsidR="00126C31" w:rsidRPr="00610B1B">
        <w:rPr>
          <w:rFonts w:ascii="Times New Roman" w:hAnsi="Times New Roman" w:cs="Times New Roman"/>
          <w:sz w:val="24"/>
          <w:szCs w:val="24"/>
          <w:lang w:val="bg-BG"/>
        </w:rPr>
        <w:t>0</w:t>
      </w:r>
      <w:r w:rsidRPr="00610B1B">
        <w:rPr>
          <w:rFonts w:ascii="Times New Roman" w:hAnsi="Times New Roman" w:cs="Times New Roman"/>
          <w:sz w:val="24"/>
          <w:szCs w:val="24"/>
          <w:lang w:val="bg-BG"/>
        </w:rPr>
        <w:t>4</w:t>
      </w:r>
      <w:r w:rsidR="00126C31" w:rsidRPr="00610B1B">
        <w:rPr>
          <w:rFonts w:ascii="Times New Roman" w:hAnsi="Times New Roman" w:cs="Times New Roman"/>
          <w:sz w:val="24"/>
          <w:szCs w:val="24"/>
          <w:lang w:val="bg-BG"/>
        </w:rPr>
        <w:t xml:space="preserve"> г.</w:t>
      </w:r>
      <w:r w:rsidR="006F500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подзвената на МРРБ по</w:t>
      </w:r>
      <w:r w:rsidR="003659B5" w:rsidRPr="00610B1B">
        <w:rPr>
          <w:rFonts w:ascii="Times New Roman" w:hAnsi="Times New Roman" w:cs="Times New Roman"/>
          <w:sz w:val="24"/>
          <w:szCs w:val="24"/>
          <w:lang w:val="bg-BG"/>
        </w:rPr>
        <w:t>д</w:t>
      </w:r>
      <w:r w:rsidRPr="00610B1B">
        <w:rPr>
          <w:rFonts w:ascii="Times New Roman" w:hAnsi="Times New Roman" w:cs="Times New Roman"/>
          <w:sz w:val="24"/>
          <w:szCs w:val="24"/>
          <w:lang w:val="bg-BG"/>
        </w:rPr>
        <w:t>държат добър регист</w:t>
      </w:r>
      <w:r w:rsidR="00126C31" w:rsidRPr="00610B1B">
        <w:rPr>
          <w:rFonts w:ascii="Times New Roman" w:hAnsi="Times New Roman" w:cs="Times New Roman"/>
          <w:sz w:val="24"/>
          <w:szCs w:val="24"/>
          <w:lang w:val="bg-BG"/>
        </w:rPr>
        <w:t>ъ</w:t>
      </w:r>
      <w:r w:rsidRPr="00610B1B">
        <w:rPr>
          <w:rFonts w:ascii="Times New Roman" w:hAnsi="Times New Roman" w:cs="Times New Roman"/>
          <w:sz w:val="24"/>
          <w:szCs w:val="24"/>
          <w:lang w:val="bg-BG"/>
        </w:rPr>
        <w:t>р на свлачищата</w:t>
      </w:r>
      <w:r w:rsidR="00126C31" w:rsidRPr="00610B1B">
        <w:rPr>
          <w:rStyle w:val="FootnoteReference"/>
          <w:rFonts w:ascii="Times New Roman" w:hAnsi="Times New Roman" w:cs="Times New Roman"/>
          <w:sz w:val="24"/>
          <w:szCs w:val="24"/>
          <w:lang w:val="bg-BG"/>
        </w:rPr>
        <w:footnoteReference w:id="73"/>
      </w:r>
      <w:r w:rsidRPr="00610B1B">
        <w:rPr>
          <w:rFonts w:ascii="Times New Roman" w:hAnsi="Times New Roman" w:cs="Times New Roman"/>
          <w:sz w:val="24"/>
          <w:szCs w:val="24"/>
          <w:lang w:val="bg-BG"/>
        </w:rPr>
        <w:t>, за ерозията и абразията по Черноморското ни крайбрежие</w:t>
      </w:r>
      <w:r w:rsidR="00126C31" w:rsidRPr="00610B1B">
        <w:rPr>
          <w:rFonts w:ascii="Times New Roman" w:hAnsi="Times New Roman" w:cs="Times New Roman"/>
          <w:lang w:val="bg-BG"/>
        </w:rPr>
        <w:t xml:space="preserve"> </w:t>
      </w:r>
      <w:r w:rsidR="00126C31" w:rsidRPr="00610B1B">
        <w:rPr>
          <w:rFonts w:ascii="Times New Roman" w:hAnsi="Times New Roman" w:cs="Times New Roman"/>
          <w:sz w:val="24"/>
          <w:szCs w:val="24"/>
          <w:lang w:val="bg-BG"/>
        </w:rPr>
        <w:t>не могат да се намерят актуални, публично достъпни данни</w:t>
      </w:r>
      <w:r w:rsidRPr="00610B1B">
        <w:rPr>
          <w:rFonts w:ascii="Times New Roman" w:hAnsi="Times New Roman" w:cs="Times New Roman"/>
          <w:sz w:val="24"/>
          <w:szCs w:val="24"/>
          <w:lang w:val="bg-BG"/>
        </w:rPr>
        <w:t xml:space="preserve">. </w:t>
      </w:r>
      <w:r w:rsidR="00126C31" w:rsidRPr="00610B1B">
        <w:rPr>
          <w:rFonts w:ascii="Times New Roman" w:hAnsi="Times New Roman" w:cs="Times New Roman"/>
          <w:sz w:val="24"/>
          <w:szCs w:val="24"/>
          <w:lang w:val="bg-BG"/>
        </w:rPr>
        <w:t>Трудно</w:t>
      </w:r>
      <w:r w:rsidRPr="00610B1B">
        <w:rPr>
          <w:rFonts w:ascii="Times New Roman" w:hAnsi="Times New Roman" w:cs="Times New Roman"/>
          <w:sz w:val="24"/>
          <w:szCs w:val="24"/>
          <w:lang w:val="bg-BG"/>
        </w:rPr>
        <w:t xml:space="preserve"> достъпна </w:t>
      </w:r>
      <w:r w:rsidR="00126C31" w:rsidRPr="00610B1B">
        <w:rPr>
          <w:rFonts w:ascii="Times New Roman" w:hAnsi="Times New Roman" w:cs="Times New Roman"/>
          <w:sz w:val="24"/>
          <w:szCs w:val="24"/>
          <w:lang w:val="bg-BG"/>
        </w:rPr>
        <w:t xml:space="preserve">е </w:t>
      </w:r>
      <w:r w:rsidRPr="00610B1B">
        <w:rPr>
          <w:rFonts w:ascii="Times New Roman" w:hAnsi="Times New Roman" w:cs="Times New Roman"/>
          <w:sz w:val="24"/>
          <w:szCs w:val="24"/>
          <w:lang w:val="bg-BG"/>
        </w:rPr>
        <w:t>и „Генералната схема за брегозащита на Българското Черноморско крайбрежие“. Разработената през 2015</w:t>
      </w:r>
      <w:r w:rsidR="00126C3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г. „Национална програма за превенция и ограничаване на свлачищата на територията на Р. България, ерозията и абразията по Дунавското и Черноморско крайбрежие 2015-2020“ остава с пожелателен характер. </w:t>
      </w:r>
    </w:p>
    <w:p w14:paraId="08DDA3CD" w14:textId="21103427" w:rsidR="00590858" w:rsidRPr="00610B1B" w:rsidRDefault="00AE66CD" w:rsidP="00D32D6A">
      <w:pPr>
        <w:pStyle w:val="Heading4"/>
        <w:spacing w:before="0" w:line="276" w:lineRule="auto"/>
        <w:ind w:right="-153"/>
        <w:rPr>
          <w:rFonts w:cs="Times New Roman"/>
        </w:rPr>
      </w:pPr>
      <w:r w:rsidRPr="00610B1B">
        <w:rPr>
          <w:rFonts w:cs="Times New Roman"/>
        </w:rPr>
        <w:t xml:space="preserve">2.2.1.2. </w:t>
      </w:r>
      <w:r w:rsidR="00590858" w:rsidRPr="00610B1B">
        <w:rPr>
          <w:rFonts w:cs="Times New Roman"/>
        </w:rPr>
        <w:t>Континентален шелф и дълбоководие</w:t>
      </w:r>
    </w:p>
    <w:p w14:paraId="119B2A6E" w14:textId="44869D8A"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Морските пространства на Република България са регламентирани от 1987 г. в Закона за морските пространства, а от 2000 г. в Закона за морските пространства, вътрешните водни пътища и пристанищата</w:t>
      </w:r>
      <w:r w:rsidR="00AC5F2E" w:rsidRPr="00610B1B">
        <w:rPr>
          <w:rFonts w:ascii="Times New Roman" w:hAnsi="Times New Roman" w:cs="Times New Roman"/>
          <w:sz w:val="24"/>
          <w:szCs w:val="24"/>
          <w:lang w:val="bg-BG"/>
        </w:rPr>
        <w:t>.</w:t>
      </w:r>
      <w:r w:rsidR="00F73926"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България не е декларира</w:t>
      </w:r>
      <w:r w:rsidR="007318D7" w:rsidRPr="00610B1B">
        <w:rPr>
          <w:rFonts w:ascii="Times New Roman" w:hAnsi="Times New Roman" w:cs="Times New Roman"/>
          <w:sz w:val="24"/>
          <w:szCs w:val="24"/>
          <w:lang w:val="bg-BG"/>
        </w:rPr>
        <w:t>ла</w:t>
      </w:r>
      <w:r w:rsidRPr="00610B1B">
        <w:rPr>
          <w:rFonts w:ascii="Times New Roman" w:hAnsi="Times New Roman" w:cs="Times New Roman"/>
          <w:sz w:val="24"/>
          <w:szCs w:val="24"/>
          <w:lang w:val="bg-BG"/>
        </w:rPr>
        <w:t xml:space="preserve"> своя континентален шелф поради липса на данни за външна</w:t>
      </w:r>
      <w:r w:rsidR="00CC76AB" w:rsidRPr="00610B1B">
        <w:rPr>
          <w:rFonts w:ascii="Times New Roman" w:hAnsi="Times New Roman" w:cs="Times New Roman"/>
          <w:sz w:val="24"/>
          <w:szCs w:val="24"/>
          <w:lang w:val="bg-BG"/>
        </w:rPr>
        <w:t>та му</w:t>
      </w:r>
      <w:r w:rsidRPr="00610B1B">
        <w:rPr>
          <w:rFonts w:ascii="Times New Roman" w:hAnsi="Times New Roman" w:cs="Times New Roman"/>
          <w:sz w:val="24"/>
          <w:szCs w:val="24"/>
          <w:lang w:val="bg-BG"/>
        </w:rPr>
        <w:t xml:space="preserve"> граница. С натрупването на нови данни и знания в настоящо време т</w:t>
      </w:r>
      <w:r w:rsidR="00CC76AB" w:rsidRPr="00610B1B">
        <w:rPr>
          <w:rFonts w:ascii="Times New Roman" w:hAnsi="Times New Roman" w:cs="Times New Roman"/>
          <w:sz w:val="24"/>
          <w:szCs w:val="24"/>
          <w:lang w:val="bg-BG"/>
        </w:rPr>
        <w:t>я</w:t>
      </w:r>
      <w:r w:rsidRPr="00610B1B">
        <w:rPr>
          <w:rFonts w:ascii="Times New Roman" w:hAnsi="Times New Roman" w:cs="Times New Roman"/>
          <w:sz w:val="24"/>
          <w:szCs w:val="24"/>
          <w:lang w:val="bg-BG"/>
        </w:rPr>
        <w:t xml:space="preserve"> може надлежно да се картира.</w:t>
      </w:r>
      <w:r w:rsidR="00F73926" w:rsidRPr="00610B1B">
        <w:rPr>
          <w:rFonts w:ascii="Times New Roman" w:hAnsi="Times New Roman" w:cs="Times New Roman"/>
          <w:sz w:val="24"/>
          <w:szCs w:val="24"/>
          <w:lang w:val="bg-BG"/>
        </w:rPr>
        <w:t xml:space="preserve"> </w:t>
      </w:r>
      <w:r w:rsidR="00706318" w:rsidRPr="00610B1B">
        <w:rPr>
          <w:rFonts w:ascii="Times New Roman" w:hAnsi="Times New Roman" w:cs="Times New Roman"/>
          <w:sz w:val="24"/>
          <w:szCs w:val="24"/>
          <w:lang w:val="bg-BG"/>
        </w:rPr>
        <w:t xml:space="preserve">Северната морска </w:t>
      </w:r>
      <w:r w:rsidRPr="00610B1B">
        <w:rPr>
          <w:rFonts w:ascii="Times New Roman" w:hAnsi="Times New Roman" w:cs="Times New Roman"/>
          <w:sz w:val="24"/>
          <w:szCs w:val="24"/>
          <w:lang w:val="bg-BG"/>
        </w:rPr>
        <w:t xml:space="preserve">граница </w:t>
      </w:r>
      <w:r w:rsidR="00706318" w:rsidRPr="00610B1B">
        <w:rPr>
          <w:rFonts w:ascii="Times New Roman" w:hAnsi="Times New Roman" w:cs="Times New Roman"/>
          <w:sz w:val="24"/>
          <w:szCs w:val="24"/>
          <w:lang w:val="bg-BG"/>
        </w:rPr>
        <w:t>на Р. България</w:t>
      </w:r>
      <w:r w:rsidRPr="00610B1B">
        <w:rPr>
          <w:rFonts w:ascii="Times New Roman" w:hAnsi="Times New Roman" w:cs="Times New Roman"/>
          <w:sz w:val="24"/>
          <w:szCs w:val="24"/>
          <w:lang w:val="bg-BG"/>
        </w:rPr>
        <w:t>, налична в Световната база данни на морските граници</w:t>
      </w:r>
      <w:r w:rsidR="00D66FE0" w:rsidRPr="00610B1B">
        <w:rPr>
          <w:rFonts w:ascii="Times New Roman" w:hAnsi="Times New Roman" w:cs="Times New Roman"/>
          <w:sz w:val="24"/>
          <w:szCs w:val="24"/>
          <w:lang w:val="bg-BG"/>
        </w:rPr>
        <w:t xml:space="preserve"> </w:t>
      </w:r>
      <w:r w:rsidR="00706318" w:rsidRPr="00610B1B">
        <w:rPr>
          <w:rFonts w:ascii="Times New Roman" w:hAnsi="Times New Roman" w:cs="Times New Roman"/>
          <w:sz w:val="24"/>
          <w:szCs w:val="24"/>
          <w:lang w:val="bg-BG"/>
        </w:rPr>
        <w:t>(Maritime Boundaries Geodatabase)</w:t>
      </w:r>
      <w:r w:rsidR="00706318" w:rsidRPr="00610B1B">
        <w:rPr>
          <w:rStyle w:val="FootnoteReference"/>
          <w:rFonts w:ascii="Times New Roman" w:hAnsi="Times New Roman" w:cs="Times New Roman"/>
          <w:sz w:val="24"/>
          <w:szCs w:val="24"/>
          <w:lang w:val="bg-BG"/>
        </w:rPr>
        <w:footnoteReference w:id="74"/>
      </w:r>
      <w:r w:rsidR="00CC76AB" w:rsidRPr="00610B1B">
        <w:rPr>
          <w:rFonts w:ascii="Times New Roman" w:hAnsi="Times New Roman" w:cs="Times New Roman"/>
          <w:sz w:val="24"/>
          <w:szCs w:val="24"/>
          <w:lang w:val="bg-BG"/>
        </w:rPr>
        <w:t xml:space="preserve"> </w:t>
      </w:r>
      <w:r w:rsidRPr="00610B1B">
        <w:rPr>
          <w:rFonts w:ascii="Times New Roman" w:hAnsi="Times New Roman" w:cs="Times New Roman"/>
          <w:spacing w:val="-6"/>
          <w:sz w:val="24"/>
          <w:szCs w:val="24"/>
          <w:lang w:val="bg-BG"/>
        </w:rPr>
        <w:t xml:space="preserve">се различава </w:t>
      </w:r>
      <w:r w:rsidR="00E50DED" w:rsidRPr="00610B1B">
        <w:rPr>
          <w:rFonts w:ascii="Times New Roman" w:hAnsi="Times New Roman" w:cs="Times New Roman"/>
          <w:spacing w:val="-6"/>
          <w:sz w:val="24"/>
          <w:szCs w:val="24"/>
          <w:lang w:val="bg-BG"/>
        </w:rPr>
        <w:t>съществено</w:t>
      </w:r>
      <w:r w:rsidRPr="00610B1B">
        <w:rPr>
          <w:rFonts w:ascii="Times New Roman" w:hAnsi="Times New Roman" w:cs="Times New Roman"/>
          <w:spacing w:val="-6"/>
          <w:sz w:val="24"/>
          <w:szCs w:val="24"/>
          <w:lang w:val="bg-BG"/>
        </w:rPr>
        <w:t xml:space="preserve"> от тази</w:t>
      </w:r>
      <w:r w:rsidR="00706318" w:rsidRPr="00610B1B">
        <w:rPr>
          <w:rFonts w:ascii="Times New Roman" w:hAnsi="Times New Roman" w:cs="Times New Roman"/>
          <w:spacing w:val="-6"/>
          <w:sz w:val="24"/>
          <w:szCs w:val="24"/>
          <w:lang w:val="bg-BG"/>
        </w:rPr>
        <w:t>,</w:t>
      </w:r>
      <w:r w:rsidRPr="00610B1B">
        <w:rPr>
          <w:rFonts w:ascii="Times New Roman" w:hAnsi="Times New Roman" w:cs="Times New Roman"/>
          <w:spacing w:val="-6"/>
          <w:sz w:val="24"/>
          <w:szCs w:val="24"/>
          <w:lang w:val="bg-BG"/>
        </w:rPr>
        <w:t xml:space="preserve"> в</w:t>
      </w:r>
      <w:r w:rsidR="00706318" w:rsidRPr="00610B1B">
        <w:rPr>
          <w:rFonts w:ascii="Times New Roman" w:hAnsi="Times New Roman" w:cs="Times New Roman"/>
          <w:spacing w:val="-6"/>
          <w:sz w:val="24"/>
          <w:szCs w:val="24"/>
          <w:lang w:val="bg-BG"/>
        </w:rPr>
        <w:t>ъ</w:t>
      </w:r>
      <w:r w:rsidRPr="00610B1B">
        <w:rPr>
          <w:rFonts w:ascii="Times New Roman" w:hAnsi="Times New Roman" w:cs="Times New Roman"/>
          <w:spacing w:val="-6"/>
          <w:sz w:val="24"/>
          <w:szCs w:val="24"/>
          <w:lang w:val="bg-BG"/>
        </w:rPr>
        <w:t xml:space="preserve">зприета от органите на </w:t>
      </w:r>
      <w:r w:rsidR="00706318" w:rsidRPr="00610B1B">
        <w:rPr>
          <w:rFonts w:ascii="Times New Roman" w:hAnsi="Times New Roman" w:cs="Times New Roman"/>
          <w:spacing w:val="-6"/>
          <w:sz w:val="24"/>
          <w:szCs w:val="24"/>
          <w:lang w:val="bg-BG"/>
        </w:rPr>
        <w:t xml:space="preserve">Р. </w:t>
      </w:r>
      <w:r w:rsidRPr="00610B1B">
        <w:rPr>
          <w:rFonts w:ascii="Times New Roman" w:hAnsi="Times New Roman" w:cs="Times New Roman"/>
          <w:spacing w:val="-6"/>
          <w:sz w:val="24"/>
          <w:szCs w:val="24"/>
          <w:lang w:val="bg-BG"/>
        </w:rPr>
        <w:t>България и е в ущърб на страната, ощетявайки ни с повече от 1</w:t>
      </w:r>
      <w:r w:rsidR="00DD593B" w:rsidRPr="00610B1B">
        <w:rPr>
          <w:rFonts w:ascii="Times New Roman" w:hAnsi="Times New Roman" w:cs="Times New Roman"/>
          <w:spacing w:val="-6"/>
          <w:sz w:val="24"/>
          <w:szCs w:val="24"/>
          <w:lang w:val="bg-BG"/>
        </w:rPr>
        <w:t> </w:t>
      </w:r>
      <w:r w:rsidRPr="00610B1B">
        <w:rPr>
          <w:rFonts w:ascii="Times New Roman" w:hAnsi="Times New Roman" w:cs="Times New Roman"/>
          <w:spacing w:val="-6"/>
          <w:sz w:val="24"/>
          <w:szCs w:val="24"/>
          <w:lang w:val="bg-BG"/>
        </w:rPr>
        <w:t xml:space="preserve">000 </w:t>
      </w:r>
      <w:r w:rsidR="00706318" w:rsidRPr="00610B1B">
        <w:rPr>
          <w:rFonts w:ascii="Times New Roman" w:hAnsi="Times New Roman" w:cs="Times New Roman"/>
          <w:spacing w:val="-6"/>
          <w:sz w:val="24"/>
          <w:szCs w:val="24"/>
          <w:lang w:val="bg-BG"/>
        </w:rPr>
        <w:t>km</w:t>
      </w:r>
      <w:r w:rsidRPr="00610B1B">
        <w:rPr>
          <w:rFonts w:ascii="Times New Roman" w:hAnsi="Times New Roman" w:cs="Times New Roman"/>
          <w:spacing w:val="-6"/>
          <w:sz w:val="24"/>
          <w:szCs w:val="24"/>
          <w:vertAlign w:val="superscript"/>
          <w:lang w:val="bg-BG"/>
        </w:rPr>
        <w:t>2</w:t>
      </w:r>
      <w:r w:rsidRPr="00610B1B">
        <w:rPr>
          <w:rFonts w:ascii="Times New Roman" w:hAnsi="Times New Roman" w:cs="Times New Roman"/>
          <w:spacing w:val="-6"/>
          <w:sz w:val="24"/>
          <w:szCs w:val="24"/>
          <w:lang w:val="bg-BG"/>
        </w:rPr>
        <w:t xml:space="preserve"> (</w:t>
      </w:r>
      <w:r w:rsidR="000E7C6A" w:rsidRPr="00610B1B">
        <w:rPr>
          <w:rFonts w:ascii="Times New Roman" w:hAnsi="Times New Roman" w:cs="Times New Roman"/>
          <w:spacing w:val="-6"/>
          <w:sz w:val="24"/>
          <w:szCs w:val="24"/>
          <w:lang w:val="bg-BG"/>
        </w:rPr>
        <w:t>Фигура 2</w:t>
      </w:r>
      <w:r w:rsidRPr="00610B1B">
        <w:rPr>
          <w:rFonts w:ascii="Times New Roman" w:hAnsi="Times New Roman" w:cs="Times New Roman"/>
          <w:spacing w:val="-6"/>
          <w:sz w:val="24"/>
          <w:szCs w:val="24"/>
          <w:lang w:val="bg-BG"/>
        </w:rPr>
        <w:t>).</w:t>
      </w:r>
      <w:r w:rsidRPr="00610B1B">
        <w:rPr>
          <w:rFonts w:ascii="Times New Roman" w:hAnsi="Times New Roman" w:cs="Times New Roman"/>
          <w:sz w:val="24"/>
          <w:szCs w:val="24"/>
          <w:lang w:val="bg-BG"/>
        </w:rPr>
        <w:t xml:space="preserve"> </w:t>
      </w:r>
    </w:p>
    <w:p w14:paraId="5760E45D" w14:textId="4340CF6A" w:rsidR="00F73926" w:rsidRPr="00610B1B" w:rsidRDefault="00F73926"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Общата площ на акваторията в Черно море под юрисдикция на Р. България</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възлиза на 32</w:t>
      </w:r>
      <w:r w:rsidR="00DD593B"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271 km</w:t>
      </w:r>
      <w:r w:rsidRPr="00610B1B">
        <w:rPr>
          <w:rFonts w:ascii="Times New Roman" w:hAnsi="Times New Roman" w:cs="Times New Roman"/>
          <w:sz w:val="24"/>
          <w:szCs w:val="24"/>
          <w:vertAlign w:val="superscript"/>
          <w:lang w:val="bg-BG"/>
        </w:rPr>
        <w:t>2</w:t>
      </w:r>
      <w:r w:rsidRPr="00610B1B">
        <w:rPr>
          <w:rFonts w:ascii="Times New Roman" w:hAnsi="Times New Roman" w:cs="Times New Roman"/>
          <w:sz w:val="24"/>
          <w:szCs w:val="24"/>
          <w:lang w:val="bg-BG"/>
        </w:rPr>
        <w:t xml:space="preserve">. Предполага се, че </w:t>
      </w:r>
      <w:r w:rsidR="00DD593B" w:rsidRPr="00610B1B">
        <w:rPr>
          <w:rFonts w:ascii="Times New Roman" w:hAnsi="Times New Roman" w:cs="Times New Roman"/>
          <w:sz w:val="24"/>
          <w:szCs w:val="24"/>
          <w:lang w:val="bg-BG"/>
        </w:rPr>
        <w:t xml:space="preserve">Черно </w:t>
      </w:r>
      <w:r w:rsidRPr="00610B1B">
        <w:rPr>
          <w:rFonts w:ascii="Times New Roman" w:hAnsi="Times New Roman" w:cs="Times New Roman"/>
          <w:sz w:val="24"/>
          <w:szCs w:val="24"/>
          <w:lang w:val="bg-BG"/>
        </w:rPr>
        <w:t>море е остатък от древния океан Тетис. Много автори смятат, че образуването на басейна е протекло в периода късна креда до палеоген (</w:t>
      </w:r>
      <w:r w:rsidRPr="00610B1B">
        <w:rPr>
          <w:rFonts w:ascii="Times New Roman" w:hAnsi="Times New Roman" w:cs="Times New Roman"/>
          <w:i/>
          <w:sz w:val="24"/>
          <w:szCs w:val="24"/>
          <w:lang w:val="bg-BG"/>
        </w:rPr>
        <w:t>Tugolesov et al., 1985; Finetti et al., 1988; Geogiev, 2011</w:t>
      </w:r>
      <w:r w:rsidRPr="00610B1B">
        <w:rPr>
          <w:rFonts w:ascii="Times New Roman" w:hAnsi="Times New Roman" w:cs="Times New Roman"/>
          <w:sz w:val="24"/>
          <w:szCs w:val="24"/>
          <w:lang w:val="bg-BG"/>
        </w:rPr>
        <w:t>).</w:t>
      </w:r>
    </w:p>
    <w:p w14:paraId="6BE509C3" w14:textId="41382ADF" w:rsidR="00F73926" w:rsidRPr="00610B1B" w:rsidRDefault="00F73926"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По отношение на структурата на земната кора, басейнът на Черно море се състои от Западен и Източен седиментни басейни, разделени от Средно Черноморското възвишение (хребет Андрусов-Архангелски). Българската ИИЗ попада изцяло в границите на Западния Черноморски </w:t>
      </w:r>
      <w:r w:rsidR="00C65778" w:rsidRPr="00610B1B">
        <w:rPr>
          <w:rFonts w:ascii="Times New Roman" w:hAnsi="Times New Roman" w:cs="Times New Roman"/>
          <w:sz w:val="24"/>
          <w:szCs w:val="24"/>
          <w:lang w:val="bg-BG"/>
        </w:rPr>
        <w:t xml:space="preserve">басейн </w:t>
      </w:r>
      <w:r w:rsidRPr="00610B1B">
        <w:rPr>
          <w:rFonts w:ascii="Times New Roman" w:hAnsi="Times New Roman" w:cs="Times New Roman"/>
          <w:sz w:val="24"/>
          <w:szCs w:val="24"/>
          <w:lang w:val="bg-BG"/>
        </w:rPr>
        <w:t xml:space="preserve">(ЗЧБ), лежащ на океанска и субокеанска кора. В нея се различават четири геоморфоложки зони, батиметрично лимитирани на различни нива: </w:t>
      </w:r>
      <w:r w:rsidRPr="00610B1B">
        <w:rPr>
          <w:rFonts w:ascii="Times New Roman" w:hAnsi="Times New Roman" w:cs="Times New Roman"/>
          <w:b/>
          <w:i/>
          <w:sz w:val="24"/>
          <w:szCs w:val="24"/>
          <w:lang w:val="bg-BG"/>
        </w:rPr>
        <w:t>континентален шелф</w:t>
      </w:r>
      <w:r w:rsidRPr="00610B1B">
        <w:rPr>
          <w:rFonts w:ascii="Times New Roman" w:hAnsi="Times New Roman" w:cs="Times New Roman"/>
          <w:sz w:val="24"/>
          <w:szCs w:val="24"/>
          <w:lang w:val="bg-BG"/>
        </w:rPr>
        <w:t xml:space="preserve"> – от бреговата зона до дълбочини 130-140 m; </w:t>
      </w:r>
      <w:r w:rsidRPr="00610B1B">
        <w:rPr>
          <w:rFonts w:ascii="Times New Roman" w:hAnsi="Times New Roman" w:cs="Times New Roman"/>
          <w:b/>
          <w:i/>
          <w:sz w:val="24"/>
          <w:szCs w:val="24"/>
          <w:lang w:val="bg-BG"/>
        </w:rPr>
        <w:t>континентален склон</w:t>
      </w:r>
      <w:r w:rsidRPr="00610B1B">
        <w:rPr>
          <w:rFonts w:ascii="Times New Roman" w:hAnsi="Times New Roman" w:cs="Times New Roman"/>
          <w:sz w:val="24"/>
          <w:szCs w:val="24"/>
          <w:lang w:val="bg-BG"/>
        </w:rPr>
        <w:t xml:space="preserve"> – до дълбочини около 1</w:t>
      </w:r>
      <w:r w:rsidR="006052F8"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200 m; </w:t>
      </w:r>
      <w:r w:rsidRPr="00610B1B">
        <w:rPr>
          <w:rFonts w:ascii="Times New Roman" w:hAnsi="Times New Roman" w:cs="Times New Roman"/>
          <w:b/>
          <w:i/>
          <w:sz w:val="24"/>
          <w:szCs w:val="24"/>
          <w:lang w:val="bg-BG"/>
        </w:rPr>
        <w:t>континентално подножие</w:t>
      </w:r>
      <w:r w:rsidRPr="00610B1B">
        <w:rPr>
          <w:rFonts w:ascii="Times New Roman" w:hAnsi="Times New Roman" w:cs="Times New Roman"/>
          <w:sz w:val="24"/>
          <w:szCs w:val="24"/>
          <w:lang w:val="bg-BG"/>
        </w:rPr>
        <w:t xml:space="preserve"> – до дълбочини около 1</w:t>
      </w:r>
      <w:r w:rsidR="006052F8"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800 m; и </w:t>
      </w:r>
      <w:r w:rsidRPr="00610B1B">
        <w:rPr>
          <w:rFonts w:ascii="Times New Roman" w:hAnsi="Times New Roman" w:cs="Times New Roman"/>
          <w:b/>
          <w:i/>
          <w:sz w:val="24"/>
          <w:szCs w:val="24"/>
          <w:lang w:val="bg-BG"/>
        </w:rPr>
        <w:t>абисално дъно</w:t>
      </w:r>
      <w:r w:rsidRPr="00610B1B">
        <w:rPr>
          <w:rFonts w:ascii="Times New Roman" w:hAnsi="Times New Roman" w:cs="Times New Roman"/>
          <w:sz w:val="24"/>
          <w:szCs w:val="24"/>
          <w:lang w:val="bg-BG"/>
        </w:rPr>
        <w:t>, максималната дълбочина на което в българската ИИЗ, достига до 2</w:t>
      </w:r>
      <w:r w:rsidR="006052F8"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120 m.</w:t>
      </w:r>
    </w:p>
    <w:p w14:paraId="22D1964A" w14:textId="2E0DD149" w:rsidR="00745530" w:rsidRPr="00610B1B" w:rsidRDefault="00745530" w:rsidP="00D32D6A">
      <w:pPr>
        <w:spacing w:after="120"/>
        <w:ind w:right="-153"/>
        <w:jc w:val="both"/>
        <w:rPr>
          <w:rFonts w:ascii="Times New Roman" w:hAnsi="Times New Roman" w:cs="Times New Roman"/>
          <w:sz w:val="24"/>
          <w:szCs w:val="24"/>
          <w:lang w:val="bg-BG"/>
        </w:rPr>
      </w:pPr>
    </w:p>
    <w:p w14:paraId="63229E7B" w14:textId="440A597C" w:rsidR="00745530" w:rsidRPr="00610B1B" w:rsidRDefault="00745530" w:rsidP="00D32D6A">
      <w:pPr>
        <w:spacing w:after="120"/>
        <w:ind w:right="-153"/>
        <w:jc w:val="both"/>
        <w:rPr>
          <w:rFonts w:ascii="Times New Roman" w:hAnsi="Times New Roman" w:cs="Times New Roman"/>
          <w:sz w:val="24"/>
          <w:szCs w:val="24"/>
          <w:lang w:val="bg-BG"/>
        </w:rPr>
      </w:pPr>
    </w:p>
    <w:p w14:paraId="5C17B068" w14:textId="77777777" w:rsidR="00745530" w:rsidRPr="00610B1B" w:rsidRDefault="00745530" w:rsidP="00D32D6A">
      <w:pPr>
        <w:spacing w:after="120"/>
        <w:ind w:right="-153"/>
        <w:jc w:val="both"/>
        <w:rPr>
          <w:rFonts w:ascii="Times New Roman" w:hAnsi="Times New Roman" w:cs="Times New Roman"/>
          <w:sz w:val="24"/>
          <w:szCs w:val="24"/>
          <w:lang w:val="bg-BG"/>
        </w:rPr>
      </w:pPr>
    </w:p>
    <w:p w14:paraId="08B77304" w14:textId="072F6896" w:rsidR="00590858" w:rsidRPr="00610B1B" w:rsidRDefault="00751B5D" w:rsidP="00D32D6A">
      <w:pPr>
        <w:spacing w:after="120"/>
        <w:ind w:right="-153"/>
        <w:jc w:val="both"/>
        <w:rPr>
          <w:rFonts w:ascii="Times New Roman" w:hAnsi="Times New Roman" w:cs="Times New Roman"/>
          <w:sz w:val="24"/>
          <w:szCs w:val="24"/>
          <w:lang w:val="bg-BG"/>
        </w:rPr>
      </w:pPr>
      <w:bookmarkStart w:id="22" w:name="_Toc83391465"/>
      <w:r w:rsidRPr="00610B1B">
        <w:rPr>
          <w:rFonts w:ascii="Times New Roman" w:hAnsi="Times New Roman" w:cs="Times New Roman"/>
          <w:sz w:val="24"/>
          <w:szCs w:val="24"/>
          <w:lang w:val="bg-BG"/>
        </w:rPr>
        <w:lastRenderedPageBreak/>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2</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590858" w:rsidRPr="00610B1B">
        <w:rPr>
          <w:rFonts w:ascii="Times New Roman" w:hAnsi="Times New Roman" w:cs="Times New Roman"/>
          <w:sz w:val="24"/>
          <w:szCs w:val="24"/>
          <w:lang w:val="bg-BG"/>
        </w:rPr>
        <w:t>Морски пространства на Република България.</w:t>
      </w:r>
      <w:bookmarkEnd w:id="22"/>
    </w:p>
    <w:p w14:paraId="00C404A6" w14:textId="77777777" w:rsidR="00590858" w:rsidRPr="00610B1B" w:rsidRDefault="00590858" w:rsidP="00DE3A13">
      <w:pPr>
        <w:spacing w:after="120"/>
        <w:ind w:right="-153"/>
        <w:rPr>
          <w:rFonts w:ascii="Times New Roman" w:hAnsi="Times New Roman" w:cs="Times New Roman"/>
          <w:sz w:val="24"/>
          <w:szCs w:val="24"/>
          <w:lang w:val="bg-BG"/>
        </w:rPr>
      </w:pPr>
      <w:r w:rsidRPr="00610B1B">
        <w:rPr>
          <w:rFonts w:ascii="Times New Roman" w:hAnsi="Times New Roman" w:cs="Times New Roman"/>
          <w:b/>
          <w:noProof/>
          <w:sz w:val="24"/>
          <w:szCs w:val="24"/>
          <w:lang w:val="bg-BG" w:eastAsia="bg-BG"/>
        </w:rPr>
        <w:drawing>
          <wp:inline distT="0" distB="0" distL="0" distR="0" wp14:anchorId="13B599F2" wp14:editId="3866CC32">
            <wp:extent cx="5406886" cy="3828866"/>
            <wp:effectExtent l="0" t="0" r="3810" b="635"/>
            <wp:docPr id="12" name="Picture 12" descr="D:\My Jobs\2014+Contracts\2019_MPPB\Reports\00_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Jobs\2014+Contracts\2019_MPPB\Reports\00_Map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6886" cy="3828866"/>
                    </a:xfrm>
                    <a:prstGeom prst="rect">
                      <a:avLst/>
                    </a:prstGeom>
                    <a:noFill/>
                    <a:ln>
                      <a:noFill/>
                    </a:ln>
                  </pic:spPr>
                </pic:pic>
              </a:graphicData>
            </a:graphic>
          </wp:inline>
        </w:drawing>
      </w:r>
    </w:p>
    <w:p w14:paraId="2ADE2D46" w14:textId="4EA10C97" w:rsidR="00706318" w:rsidRPr="00610B1B" w:rsidRDefault="00706318" w:rsidP="00D32D6A">
      <w:pPr>
        <w:spacing w:after="120"/>
        <w:ind w:right="-153"/>
        <w:jc w:val="both"/>
        <w:rPr>
          <w:rFonts w:ascii="Times New Roman" w:hAnsi="Times New Roman" w:cs="Times New Roman"/>
          <w:lang w:val="bg-BG"/>
        </w:rPr>
      </w:pPr>
      <w:r w:rsidRPr="00610B1B">
        <w:rPr>
          <w:rFonts w:ascii="Times New Roman" w:hAnsi="Times New Roman" w:cs="Times New Roman"/>
          <w:lang w:val="bg-BG"/>
        </w:rPr>
        <w:t>Източник: Maritime Boundaries Geodatabase, ИО-БАН</w:t>
      </w:r>
      <w:r w:rsidR="00D66FE0" w:rsidRPr="00610B1B">
        <w:rPr>
          <w:rFonts w:ascii="Times New Roman" w:hAnsi="Times New Roman" w:cs="Times New Roman"/>
          <w:lang w:val="bg-BG"/>
        </w:rPr>
        <w:t xml:space="preserve"> </w:t>
      </w:r>
    </w:p>
    <w:p w14:paraId="311DB796" w14:textId="6937B9AD" w:rsidR="003A26CF" w:rsidRPr="00610B1B" w:rsidRDefault="003A26C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Главни тектонски елементи на българския континентален шелф (БКШ), проследяващи се от север на юг, са: източната част на Мизийската платформа, Долнокамчийското понижение, Източно-Старопланинската зона и Средногорската тектонска зона, като последната е представена от Бургаската падина и Странджанския антиклинорий. Въпреки голямото разнообразие от хетерогенни, хетерохронни и разнопорядкови геолого-тектонски елементи, изграждащи недрата на българския континентален шелф, те нямат отражение в съвременния му релеф, с изключение на малкото активни разломи, проявени като структурни стъпала на морското дъно в северния шелф и по неговата периферия. </w:t>
      </w:r>
    </w:p>
    <w:p w14:paraId="2513BE45" w14:textId="5BEDFAD5" w:rsidR="00093752" w:rsidRPr="00610B1B" w:rsidRDefault="00093752"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Съвременният релеф на българския континентален шелф е формиран под въздействието на хидродинамични процеси, основно през Холоцена, след като връзката му със Световния океан е възстановена. Присъстват и реликтни форми на релефа, образувани по време на последния ледников период (дюнното поле в периферията на шелфа). Българският континентален шелф се характеризира като относително плитководна (средна дълбочина около 130 m, в отделни участъци до 170 m) част от дъното, слабо разчленена, абразионно-акумулативна равнина, разположена между бреговата линия и границата с континенталния склон. Той представлява плавно стесняваща се от север на юг акватория с ширини по паралела от 90-100 km на север по акваториалната граница с Р. Румъния, 60-70 km в централните си части на паралела на гр. Варна, до 45-50 km срещу устието на р. Резовска на юг. В тези граници неговата площ е 12 194 km</w:t>
      </w:r>
      <w:r w:rsidRPr="00610B1B">
        <w:rPr>
          <w:rFonts w:ascii="Times New Roman" w:hAnsi="Times New Roman" w:cs="Times New Roman"/>
          <w:sz w:val="24"/>
          <w:szCs w:val="24"/>
          <w:vertAlign w:val="superscript"/>
          <w:lang w:val="bg-BG"/>
        </w:rPr>
        <w:t>2</w:t>
      </w:r>
      <w:r w:rsidRPr="00610B1B">
        <w:rPr>
          <w:rFonts w:ascii="Times New Roman" w:hAnsi="Times New Roman" w:cs="Times New Roman"/>
          <w:sz w:val="24"/>
          <w:szCs w:val="24"/>
          <w:lang w:val="bg-BG"/>
        </w:rPr>
        <w:t xml:space="preserve">. </w:t>
      </w:r>
    </w:p>
    <w:p w14:paraId="78B0C22F" w14:textId="01771DE2" w:rsidR="00093752" w:rsidRPr="00610B1B" w:rsidRDefault="00093752"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Краят на шелфа и началото на склона е изразен или чрез ясно колянообразно пречупване на релефа на дъното, или чрез полегато изпъкналата си форма, но винаги чрез </w:t>
      </w:r>
      <w:r w:rsidRPr="00610B1B">
        <w:rPr>
          <w:rFonts w:ascii="Times New Roman" w:hAnsi="Times New Roman" w:cs="Times New Roman"/>
          <w:sz w:val="24"/>
          <w:szCs w:val="24"/>
          <w:lang w:val="bg-BG"/>
        </w:rPr>
        <w:lastRenderedPageBreak/>
        <w:t>дефинитивна промяна на наклона на дъното - от сравнително малкия регионален наклон на шелфовата равнина (от порядъка на 0.1-0.3°) до 3-5° и дори десетки градуси наклон на континенталния склон. Границата между тези геоморфоложки елементи се проследява по челния ръб на периферната шелфова тераса на дълбочини от 130-170 m, независимо, че на по-големи дълбочини могат да се срещнат и по-резки чупки в релефа на дъното. На изток от тази граница, дъгообразно се разполага континенталния склон (Фигура 2).</w:t>
      </w:r>
    </w:p>
    <w:p w14:paraId="0C662154" w14:textId="50373CA8"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Геоморфоложки, в континенталния шелф се различават три области: </w:t>
      </w:r>
      <w:r w:rsidRPr="00610B1B">
        <w:rPr>
          <w:rFonts w:ascii="Times New Roman" w:hAnsi="Times New Roman" w:cs="Times New Roman"/>
          <w:b/>
          <w:i/>
          <w:iCs/>
          <w:sz w:val="24"/>
          <w:szCs w:val="24"/>
          <w:lang w:val="bg-BG"/>
        </w:rPr>
        <w:t>прибрежна, централна и периферна</w:t>
      </w:r>
      <w:r w:rsidRPr="00610B1B">
        <w:rPr>
          <w:rFonts w:ascii="Times New Roman" w:hAnsi="Times New Roman" w:cs="Times New Roman"/>
          <w:sz w:val="24"/>
          <w:szCs w:val="24"/>
          <w:lang w:val="bg-BG"/>
        </w:rPr>
        <w:t>, всяка със специфични особености. Основна отличителна характеристика между зоните</w:t>
      </w:r>
      <w:r w:rsidR="00C415D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е различната хидродинамична обстановка и като следствие, различна проява на абразион</w:t>
      </w:r>
      <w:r w:rsidR="007318D7" w:rsidRPr="00610B1B">
        <w:rPr>
          <w:rFonts w:ascii="Times New Roman" w:hAnsi="Times New Roman" w:cs="Times New Roman"/>
          <w:sz w:val="24"/>
          <w:szCs w:val="24"/>
          <w:lang w:val="bg-BG"/>
        </w:rPr>
        <w:t>н</w:t>
      </w:r>
      <w:r w:rsidRPr="00610B1B">
        <w:rPr>
          <w:rFonts w:ascii="Times New Roman" w:hAnsi="Times New Roman" w:cs="Times New Roman"/>
          <w:sz w:val="24"/>
          <w:szCs w:val="24"/>
          <w:lang w:val="bg-BG"/>
        </w:rPr>
        <w:t>и и акумулативни процеси, т.е. конкретната морфология и геоложка изявеност на морското дъно е в най-пряка зависимост от съвременните седиментационни и масопреносни процеси, протичащи в различните зони на шелфа</w:t>
      </w:r>
      <w:r w:rsidR="002021A7"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Меридионалната зоналност на шелфа се определя от хидрологичния режим по крайбрежието, като се разграничават северен шелф, от границата с Р.</w:t>
      </w:r>
      <w:r w:rsidR="00834C3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Румъния на север до паралела на гр. Варна на юг) с доминиращи абразионни процеси</w:t>
      </w:r>
      <w:r w:rsidR="00834C3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и южен шелф (до границата с Р. Турция) с преобладаващи акумулативни форми на дънния релеф.</w:t>
      </w:r>
    </w:p>
    <w:p w14:paraId="45195574" w14:textId="114FF40D"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Вътрешната, прибрежна зона</w:t>
      </w:r>
      <w:r w:rsidRPr="00610B1B">
        <w:rPr>
          <w:rFonts w:ascii="Times New Roman" w:hAnsi="Times New Roman" w:cs="Times New Roman"/>
          <w:sz w:val="24"/>
          <w:szCs w:val="24"/>
          <w:lang w:val="bg-BG"/>
        </w:rPr>
        <w:t xml:space="preserve"> е разположена край съвременната брегова линия. За мориста граница на тази зона е приета 23-25 метров</w:t>
      </w:r>
      <w:r w:rsidR="00834C30"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т</w:t>
      </w:r>
      <w:r w:rsidR="00834C30" w:rsidRPr="00610B1B">
        <w:rPr>
          <w:rFonts w:ascii="Times New Roman" w:hAnsi="Times New Roman" w:cs="Times New Roman"/>
          <w:sz w:val="24"/>
          <w:szCs w:val="24"/>
          <w:lang w:val="bg-BG"/>
        </w:rPr>
        <w:t>е</w:t>
      </w:r>
      <w:r w:rsidRPr="00610B1B">
        <w:rPr>
          <w:rFonts w:ascii="Times New Roman" w:hAnsi="Times New Roman" w:cs="Times New Roman"/>
          <w:sz w:val="24"/>
          <w:szCs w:val="24"/>
          <w:lang w:val="bg-BG"/>
        </w:rPr>
        <w:t xml:space="preserve"> изобати (</w:t>
      </w:r>
      <w:r w:rsidRPr="00610B1B">
        <w:rPr>
          <w:rFonts w:ascii="Times New Roman" w:hAnsi="Times New Roman" w:cs="Times New Roman"/>
          <w:i/>
          <w:sz w:val="24"/>
          <w:szCs w:val="24"/>
          <w:lang w:val="bg-BG"/>
        </w:rPr>
        <w:t>Димитров, 1979</w:t>
      </w:r>
      <w:r w:rsidRPr="00610B1B">
        <w:rPr>
          <w:rFonts w:ascii="Times New Roman" w:hAnsi="Times New Roman" w:cs="Times New Roman"/>
          <w:sz w:val="24"/>
          <w:szCs w:val="24"/>
          <w:lang w:val="bg-BG"/>
        </w:rPr>
        <w:t xml:space="preserve">). </w:t>
      </w:r>
      <w:r w:rsidR="00C65778" w:rsidRPr="00610B1B">
        <w:rPr>
          <w:rFonts w:ascii="Times New Roman" w:hAnsi="Times New Roman" w:cs="Times New Roman"/>
          <w:sz w:val="24"/>
          <w:szCs w:val="24"/>
          <w:lang w:val="bg-BG"/>
        </w:rPr>
        <w:t>Т</w:t>
      </w:r>
      <w:r w:rsidRPr="00610B1B">
        <w:rPr>
          <w:rFonts w:ascii="Times New Roman" w:hAnsi="Times New Roman" w:cs="Times New Roman"/>
          <w:sz w:val="24"/>
          <w:szCs w:val="24"/>
          <w:lang w:val="bg-BG"/>
        </w:rPr>
        <w:t>я е подложена на активно вълново въздействие</w:t>
      </w:r>
      <w:r w:rsidR="00093752" w:rsidRPr="00610B1B">
        <w:rPr>
          <w:rFonts w:ascii="Times New Roman" w:hAnsi="Times New Roman" w:cs="Times New Roman"/>
          <w:sz w:val="24"/>
          <w:szCs w:val="24"/>
          <w:lang w:val="bg-BG"/>
        </w:rPr>
        <w:t xml:space="preserve"> и </w:t>
      </w:r>
      <w:r w:rsidRPr="00610B1B">
        <w:rPr>
          <w:rFonts w:ascii="Times New Roman" w:hAnsi="Times New Roman" w:cs="Times New Roman"/>
          <w:sz w:val="24"/>
          <w:szCs w:val="24"/>
          <w:lang w:val="bg-BG"/>
        </w:rPr>
        <w:t xml:space="preserve">едновременно са застъпени процесите на абразия и акумулация. </w:t>
      </w:r>
      <w:r w:rsidR="00C65778" w:rsidRPr="00610B1B">
        <w:rPr>
          <w:rFonts w:ascii="Times New Roman" w:hAnsi="Times New Roman" w:cs="Times New Roman"/>
          <w:sz w:val="24"/>
          <w:szCs w:val="24"/>
          <w:lang w:val="bg-BG"/>
        </w:rPr>
        <w:t>Обликът</w:t>
      </w:r>
      <w:r w:rsidR="00DE3A13" w:rsidRPr="00610B1B">
        <w:rPr>
          <w:rFonts w:ascii="Times New Roman" w:hAnsi="Times New Roman" w:cs="Times New Roman"/>
          <w:sz w:val="24"/>
          <w:szCs w:val="24"/>
          <w:lang w:val="bg-BG"/>
        </w:rPr>
        <w:t xml:space="preserve"> ѝ </w:t>
      </w:r>
      <w:r w:rsidRPr="00610B1B">
        <w:rPr>
          <w:rFonts w:ascii="Times New Roman" w:hAnsi="Times New Roman" w:cs="Times New Roman"/>
          <w:sz w:val="24"/>
          <w:szCs w:val="24"/>
          <w:lang w:val="bg-BG"/>
        </w:rPr>
        <w:t>е повлиян от геолого-геоморфоложките особености на прилежащата суша и обширни</w:t>
      </w:r>
      <w:r w:rsidR="00834C30"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области на интензивна абразия с клифов бряг, усложнени от свлачищни процеси</w:t>
      </w:r>
      <w:r w:rsidR="00834C30" w:rsidRPr="00610B1B">
        <w:rPr>
          <w:rFonts w:ascii="Times New Roman" w:hAnsi="Times New Roman" w:cs="Times New Roman"/>
          <w:sz w:val="24"/>
          <w:szCs w:val="24"/>
          <w:lang w:val="bg-BG"/>
        </w:rPr>
        <w:t>. Те</w:t>
      </w:r>
      <w:r w:rsidRPr="00610B1B">
        <w:rPr>
          <w:rFonts w:ascii="Times New Roman" w:hAnsi="Times New Roman" w:cs="Times New Roman"/>
          <w:sz w:val="24"/>
          <w:szCs w:val="24"/>
          <w:lang w:val="bg-BG"/>
        </w:rPr>
        <w:t xml:space="preserve"> се прекъсват от малки заливи със засилена акумулация и обратно, </w:t>
      </w:r>
      <w:r w:rsidR="002A1729" w:rsidRPr="00610B1B">
        <w:rPr>
          <w:rFonts w:ascii="Times New Roman" w:hAnsi="Times New Roman" w:cs="Times New Roman"/>
          <w:sz w:val="24"/>
          <w:szCs w:val="24"/>
          <w:lang w:val="bg-BG"/>
        </w:rPr>
        <w:t>дълги</w:t>
      </w:r>
      <w:r w:rsidRPr="00610B1B">
        <w:rPr>
          <w:rFonts w:ascii="Times New Roman" w:hAnsi="Times New Roman" w:cs="Times New Roman"/>
          <w:sz w:val="24"/>
          <w:szCs w:val="24"/>
          <w:lang w:val="bg-BG"/>
        </w:rPr>
        <w:t xml:space="preserve"> плажни ивици се редуват с изолирани абразионни носове.</w:t>
      </w:r>
    </w:p>
    <w:p w14:paraId="735428F2" w14:textId="7398AF6F" w:rsidR="00116976" w:rsidRPr="00610B1B" w:rsidRDefault="00116976"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Бургаският залив заема особено място в геоморфологията на българския континентален шелф. Той е заключен между гр. Поморие и гр. Созопол и е най-големият залив по българското Черноморско крайбрежие, с площ от 210 km</w:t>
      </w:r>
      <w:r w:rsidRPr="00610B1B">
        <w:rPr>
          <w:rFonts w:ascii="Times New Roman" w:hAnsi="Times New Roman" w:cs="Times New Roman"/>
          <w:sz w:val="24"/>
          <w:szCs w:val="24"/>
          <w:vertAlign w:val="superscript"/>
          <w:lang w:val="bg-BG"/>
        </w:rPr>
        <w:t>2</w:t>
      </w:r>
      <w:r w:rsidRPr="00610B1B">
        <w:rPr>
          <w:rFonts w:ascii="Times New Roman" w:hAnsi="Times New Roman" w:cs="Times New Roman"/>
          <w:sz w:val="24"/>
          <w:szCs w:val="24"/>
          <w:lang w:val="bg-BG"/>
        </w:rPr>
        <w:t>. Новите изследвания сочат, че по геоморфоложки признаци обхватът му е по-голям, като източната му граница се разполага по меридиана на гр. Созопол. Тя се бележи по стръмно</w:t>
      </w:r>
      <w:r w:rsidR="00F33CA9" w:rsidRPr="00610B1B">
        <w:rPr>
          <w:rFonts w:ascii="Times New Roman" w:hAnsi="Times New Roman" w:cs="Times New Roman"/>
          <w:sz w:val="24"/>
          <w:szCs w:val="24"/>
          <w:lang w:val="bg-BG"/>
        </w:rPr>
        <w:t xml:space="preserve">то </w:t>
      </w:r>
      <w:r w:rsidRPr="00610B1B">
        <w:rPr>
          <w:rFonts w:ascii="Times New Roman" w:hAnsi="Times New Roman" w:cs="Times New Roman"/>
          <w:sz w:val="24"/>
          <w:szCs w:val="24"/>
          <w:lang w:val="bg-BG"/>
        </w:rPr>
        <w:t>Бургаско структурно стъпало при дълбочини 26-32 m</w:t>
      </w:r>
      <w:r w:rsidR="006052F8"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с изразен скален цокъл, свързващ Поморийската вулканска структура на север и отворения на североизток Созополски залив. На много места, в горната си част, стъпалото е усложнено от сравнително ниски (3-5 m), линейни скални банки. </w:t>
      </w:r>
      <w:r w:rsidR="006052F8" w:rsidRPr="00610B1B">
        <w:rPr>
          <w:rFonts w:ascii="Times New Roman" w:hAnsi="Times New Roman" w:cs="Times New Roman"/>
          <w:sz w:val="24"/>
          <w:szCs w:val="24"/>
          <w:lang w:val="bg-BG"/>
        </w:rPr>
        <w:t xml:space="preserve">То </w:t>
      </w:r>
      <w:r w:rsidR="00131E8B" w:rsidRPr="00610B1B">
        <w:rPr>
          <w:rFonts w:ascii="Times New Roman" w:hAnsi="Times New Roman" w:cs="Times New Roman"/>
          <w:sz w:val="24"/>
          <w:szCs w:val="24"/>
          <w:lang w:val="bg-BG"/>
        </w:rPr>
        <w:t>е</w:t>
      </w:r>
      <w:r w:rsidRPr="00610B1B">
        <w:rPr>
          <w:rFonts w:ascii="Times New Roman" w:hAnsi="Times New Roman" w:cs="Times New Roman"/>
          <w:sz w:val="24"/>
          <w:szCs w:val="24"/>
          <w:lang w:val="bg-BG"/>
        </w:rPr>
        <w:t xml:space="preserve"> първостепенна структурна граница, отделя Бургаския залив от централната шелфова равнина и го дефинира като самостоятелна морфоструктурна единица. </w:t>
      </w:r>
    </w:p>
    <w:p w14:paraId="225A0446" w14:textId="48A764AC" w:rsidR="00131E8B" w:rsidRPr="00610B1B" w:rsidRDefault="00131E8B"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Южно от стръмните склонове на нос Емине, поради рязката промяна на направлението на бреговата линия от север-североизто</w:t>
      </w:r>
      <w:r w:rsidR="00F33CA9" w:rsidRPr="00610B1B">
        <w:rPr>
          <w:rFonts w:ascii="Times New Roman" w:hAnsi="Times New Roman" w:cs="Times New Roman"/>
          <w:sz w:val="24"/>
          <w:szCs w:val="24"/>
          <w:lang w:val="bg-BG"/>
        </w:rPr>
        <w:t>к</w:t>
      </w:r>
      <w:r w:rsidRPr="00610B1B">
        <w:rPr>
          <w:rFonts w:ascii="Times New Roman" w:hAnsi="Times New Roman" w:cs="Times New Roman"/>
          <w:sz w:val="24"/>
          <w:szCs w:val="24"/>
          <w:lang w:val="bg-BG"/>
        </w:rPr>
        <w:t xml:space="preserve"> на изток-запад се образува характерна акумулативна форма – Еминската пясъчна коса. Изградена е от дребно до среднозърнести пясъци и е образувана през последните 3.5 - 4 хиляди години. На югоизток от нея се разполага банка Кокетрайс, изцяло изградена от холоценски седименти. Тя е с много стръмен югоизточен склон, като от билото</w:t>
      </w:r>
      <w:r w:rsidR="00432A6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разположено на 12-15 m дълбочина, основата</w:t>
      </w:r>
      <w:r w:rsidR="00DE3A13" w:rsidRPr="00610B1B">
        <w:rPr>
          <w:rFonts w:ascii="Times New Roman" w:hAnsi="Times New Roman" w:cs="Times New Roman"/>
          <w:sz w:val="24"/>
          <w:szCs w:val="24"/>
          <w:lang w:val="bg-BG"/>
        </w:rPr>
        <w:t xml:space="preserve"> ѝ </w:t>
      </w:r>
      <w:r w:rsidRPr="00610B1B">
        <w:rPr>
          <w:rFonts w:ascii="Times New Roman" w:hAnsi="Times New Roman" w:cs="Times New Roman"/>
          <w:sz w:val="24"/>
          <w:szCs w:val="24"/>
          <w:lang w:val="bg-BG"/>
        </w:rPr>
        <w:t xml:space="preserve">се разполага на 40-42 m. Върхът на банката непрекъснато ерозира, от измерена </w:t>
      </w:r>
      <w:r w:rsidRPr="00610B1B">
        <w:rPr>
          <w:rFonts w:ascii="Times New Roman" w:hAnsi="Times New Roman" w:cs="Times New Roman"/>
          <w:sz w:val="24"/>
          <w:szCs w:val="24"/>
          <w:lang w:val="bg-BG"/>
        </w:rPr>
        <w:lastRenderedPageBreak/>
        <w:t xml:space="preserve">дълбочина 9.15 m при откриването </w:t>
      </w:r>
      <w:r w:rsidR="00965CCD" w:rsidRPr="00610B1B">
        <w:rPr>
          <w:rFonts w:ascii="Times New Roman" w:hAnsi="Times New Roman" w:cs="Times New Roman"/>
          <w:sz w:val="24"/>
          <w:szCs w:val="24"/>
          <w:lang w:val="bg-BG"/>
        </w:rPr>
        <w:t>ѝ</w:t>
      </w:r>
      <w:r w:rsidRPr="00610B1B">
        <w:rPr>
          <w:rFonts w:ascii="Times New Roman" w:hAnsi="Times New Roman" w:cs="Times New Roman"/>
          <w:sz w:val="24"/>
          <w:szCs w:val="24"/>
          <w:lang w:val="bg-BG"/>
        </w:rPr>
        <w:t xml:space="preserve"> през 1</w:t>
      </w:r>
      <w:r w:rsidR="00965CCD" w:rsidRPr="00610B1B">
        <w:rPr>
          <w:rFonts w:ascii="Times New Roman" w:hAnsi="Times New Roman" w:cs="Times New Roman"/>
          <w:sz w:val="24"/>
          <w:szCs w:val="24"/>
          <w:lang w:val="bg-BG"/>
        </w:rPr>
        <w:t>89</w:t>
      </w:r>
      <w:r w:rsidRPr="00610B1B">
        <w:rPr>
          <w:rFonts w:ascii="Times New Roman" w:hAnsi="Times New Roman" w:cs="Times New Roman"/>
          <w:sz w:val="24"/>
          <w:szCs w:val="24"/>
          <w:lang w:val="bg-BG"/>
        </w:rPr>
        <w:t xml:space="preserve">7 г., до 16.2 m при направените площни примери през 2010 г. </w:t>
      </w:r>
    </w:p>
    <w:p w14:paraId="51AC5B33" w14:textId="64058A5D" w:rsidR="00751B5D" w:rsidRPr="00610B1B" w:rsidRDefault="00751B5D" w:rsidP="00D32D6A">
      <w:pPr>
        <w:spacing w:after="120"/>
        <w:ind w:right="-153"/>
        <w:jc w:val="both"/>
        <w:rPr>
          <w:rFonts w:ascii="Times New Roman" w:hAnsi="Times New Roman" w:cs="Times New Roman"/>
          <w:sz w:val="24"/>
          <w:szCs w:val="24"/>
          <w:lang w:val="bg-BG"/>
        </w:rPr>
      </w:pPr>
      <w:bookmarkStart w:id="23" w:name="_Toc83391466"/>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3</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590858" w:rsidRPr="00610B1B">
        <w:rPr>
          <w:rFonts w:ascii="Times New Roman" w:hAnsi="Times New Roman" w:cs="Times New Roman"/>
          <w:sz w:val="24"/>
          <w:szCs w:val="24"/>
          <w:lang w:val="bg-BG"/>
        </w:rPr>
        <w:t>Геоморфоложка карта на българския Черноморски шелф. Геоморфол</w:t>
      </w:r>
      <w:r w:rsidR="00E50DED" w:rsidRPr="00610B1B">
        <w:rPr>
          <w:rFonts w:ascii="Times New Roman" w:hAnsi="Times New Roman" w:cs="Times New Roman"/>
          <w:sz w:val="24"/>
          <w:szCs w:val="24"/>
          <w:lang w:val="bg-BG"/>
        </w:rPr>
        <w:t>о</w:t>
      </w:r>
      <w:r w:rsidR="00590858" w:rsidRPr="00610B1B">
        <w:rPr>
          <w:rFonts w:ascii="Times New Roman" w:hAnsi="Times New Roman" w:cs="Times New Roman"/>
          <w:sz w:val="24"/>
          <w:szCs w:val="24"/>
          <w:lang w:val="bg-BG"/>
        </w:rPr>
        <w:t>жки единици (от дълбочина към брега):</w:t>
      </w:r>
      <w:bookmarkEnd w:id="23"/>
    </w:p>
    <w:p w14:paraId="570485D8" w14:textId="7A9217EA"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noProof/>
          <w:sz w:val="24"/>
          <w:szCs w:val="24"/>
          <w:lang w:val="bg-BG" w:eastAsia="bg-BG"/>
        </w:rPr>
        <w:drawing>
          <wp:inline distT="0" distB="0" distL="0" distR="0" wp14:anchorId="73B4E303" wp14:editId="325BBDCD">
            <wp:extent cx="5100237" cy="4396869"/>
            <wp:effectExtent l="0" t="0" r="5715" b="3810"/>
            <wp:docPr id="254" name="Picture 254" descr="G:\2018_Geomorfologiya-BG-shelf\Images-work\all-3б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8_Geomorfologiya-BG-shelf\Images-work\all-3бг.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8171" cy="4403709"/>
                    </a:xfrm>
                    <a:prstGeom prst="rect">
                      <a:avLst/>
                    </a:prstGeom>
                    <a:noFill/>
                    <a:ln>
                      <a:noFill/>
                    </a:ln>
                  </pic:spPr>
                </pic:pic>
              </a:graphicData>
            </a:graphic>
          </wp:inline>
        </w:drawing>
      </w:r>
    </w:p>
    <w:p w14:paraId="66BF8FF6" w14:textId="7CF65B1F" w:rsidR="00834C30" w:rsidRPr="00610B1B" w:rsidRDefault="00834C30" w:rsidP="00D32D6A">
      <w:pPr>
        <w:spacing w:after="120"/>
        <w:ind w:right="-153"/>
        <w:jc w:val="both"/>
        <w:rPr>
          <w:rFonts w:ascii="Times New Roman" w:hAnsi="Times New Roman" w:cs="Times New Roman"/>
          <w:lang w:val="bg-BG"/>
        </w:rPr>
      </w:pPr>
      <w:r w:rsidRPr="00610B1B">
        <w:rPr>
          <w:rFonts w:ascii="Times New Roman" w:hAnsi="Times New Roman" w:cs="Times New Roman"/>
          <w:i/>
          <w:lang w:val="bg-BG"/>
        </w:rPr>
        <w:t>Легенда:</w:t>
      </w:r>
      <w:r w:rsidRPr="00610B1B">
        <w:rPr>
          <w:rFonts w:ascii="Times New Roman" w:hAnsi="Times New Roman" w:cs="Times New Roman"/>
          <w:lang w:val="bg-BG"/>
        </w:rPr>
        <w:t xml:space="preserve"> 1.</w:t>
      </w:r>
      <w:r w:rsidR="00D66FE0" w:rsidRPr="00610B1B">
        <w:rPr>
          <w:rFonts w:ascii="Times New Roman" w:hAnsi="Times New Roman" w:cs="Times New Roman"/>
          <w:lang w:val="bg-BG"/>
        </w:rPr>
        <w:t xml:space="preserve"> </w:t>
      </w:r>
      <w:r w:rsidRPr="00610B1B">
        <w:rPr>
          <w:rFonts w:ascii="Times New Roman" w:hAnsi="Times New Roman" w:cs="Times New Roman"/>
          <w:lang w:val="bg-BG"/>
        </w:rPr>
        <w:t xml:space="preserve">Заравнена наклонена равнина в началото на континенталния склон със свлачищни ровини; 2. Граница шелф – континентален склон; 3. Периферна шелфова тераса; 4. Потопена палео крайбрежна зона; 5. Район с реликтни дюни и отделни дюни; 6. Периферно издигане с обозначени оси на хребети, долина и дюни; 7. Периферна шелфова депресия; 8. Неравна наклонена шелфова равнина; 9. Заравнена наклонена шелфова равнина; 10. Различни морфоложки единици на Северния шелф; 11. Активни разломи (проектирани на морското дъно). </w:t>
      </w:r>
    </w:p>
    <w:p w14:paraId="0EA92BFF" w14:textId="77777777" w:rsidR="00FD37F6" w:rsidRPr="00610B1B" w:rsidRDefault="00FD37F6" w:rsidP="00FD37F6">
      <w:pPr>
        <w:spacing w:after="120"/>
        <w:ind w:right="-153"/>
        <w:jc w:val="both"/>
        <w:rPr>
          <w:rFonts w:ascii="Times New Roman" w:hAnsi="Times New Roman" w:cs="Times New Roman"/>
          <w:lang w:val="bg-BG"/>
        </w:rPr>
      </w:pPr>
      <w:r w:rsidRPr="00610B1B">
        <w:rPr>
          <w:rFonts w:ascii="Times New Roman" w:hAnsi="Times New Roman" w:cs="Times New Roman"/>
          <w:lang w:val="bg-BG"/>
        </w:rPr>
        <w:t>Източник: ИО-БАН, обработка проф. Л. Димитров</w:t>
      </w:r>
    </w:p>
    <w:p w14:paraId="102CD545" w14:textId="421E1C19" w:rsidR="00590858" w:rsidRPr="00610B1B" w:rsidRDefault="00131E8B"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w:t>
      </w:r>
      <w:r w:rsidR="00590858" w:rsidRPr="00610B1B">
        <w:rPr>
          <w:rFonts w:ascii="Times New Roman" w:hAnsi="Times New Roman" w:cs="Times New Roman"/>
          <w:sz w:val="24"/>
          <w:szCs w:val="24"/>
          <w:lang w:val="bg-BG"/>
        </w:rPr>
        <w:t xml:space="preserve"> централната зона на южния шелф се различават: </w:t>
      </w:r>
      <w:r w:rsidR="00590858" w:rsidRPr="00610B1B">
        <w:rPr>
          <w:rFonts w:ascii="Times New Roman" w:hAnsi="Times New Roman" w:cs="Times New Roman"/>
          <w:b/>
          <w:i/>
          <w:sz w:val="24"/>
          <w:szCs w:val="24"/>
          <w:lang w:val="bg-BG"/>
        </w:rPr>
        <w:t>предвалово понижение; акумулативни валове; наклонена шелфова равнина; и периферна шелфова зона</w:t>
      </w:r>
      <w:r w:rsidR="00590858" w:rsidRPr="00610B1B">
        <w:rPr>
          <w:rFonts w:ascii="Times New Roman" w:hAnsi="Times New Roman" w:cs="Times New Roman"/>
          <w:sz w:val="24"/>
          <w:szCs w:val="24"/>
          <w:lang w:val="bg-BG"/>
        </w:rPr>
        <w:t>.</w:t>
      </w:r>
      <w:r w:rsidR="00761215" w:rsidRPr="00610B1B">
        <w:rPr>
          <w:rFonts w:ascii="Times New Roman" w:hAnsi="Times New Roman" w:cs="Times New Roman"/>
          <w:sz w:val="24"/>
          <w:szCs w:val="24"/>
          <w:lang w:val="bg-BG"/>
        </w:rPr>
        <w:t xml:space="preserve"> </w:t>
      </w:r>
      <w:r w:rsidR="00590858" w:rsidRPr="00610B1B">
        <w:rPr>
          <w:rFonts w:ascii="Times New Roman" w:hAnsi="Times New Roman" w:cs="Times New Roman"/>
          <w:sz w:val="24"/>
          <w:szCs w:val="24"/>
          <w:lang w:val="bg-BG"/>
        </w:rPr>
        <w:t>Предваловото понижение се състои от две самостоятелни, вариращи в ширината си долини</w:t>
      </w:r>
      <w:r w:rsidR="00E50DED" w:rsidRPr="00610B1B">
        <w:rPr>
          <w:rFonts w:ascii="Times New Roman" w:hAnsi="Times New Roman" w:cs="Times New Roman"/>
          <w:sz w:val="24"/>
          <w:szCs w:val="24"/>
          <w:lang w:val="bg-BG"/>
        </w:rPr>
        <w:t xml:space="preserve">. </w:t>
      </w:r>
      <w:r w:rsidR="00590858" w:rsidRPr="00610B1B">
        <w:rPr>
          <w:rFonts w:ascii="Times New Roman" w:hAnsi="Times New Roman" w:cs="Times New Roman"/>
          <w:sz w:val="24"/>
          <w:szCs w:val="24"/>
          <w:lang w:val="bg-BG"/>
        </w:rPr>
        <w:t xml:space="preserve">Северната започва в Балчишкия залив и се проследява на юг до паралела на гр. Поморие до дълбочини 42-44 </w:t>
      </w:r>
      <w:r w:rsidR="00B605EB" w:rsidRPr="00610B1B">
        <w:rPr>
          <w:rFonts w:ascii="Times New Roman" w:hAnsi="Times New Roman" w:cs="Times New Roman"/>
          <w:sz w:val="24"/>
          <w:szCs w:val="24"/>
          <w:lang w:val="bg-BG"/>
        </w:rPr>
        <w:t>m</w:t>
      </w:r>
      <w:r w:rsidR="00590858" w:rsidRPr="00610B1B">
        <w:rPr>
          <w:rFonts w:ascii="Times New Roman" w:hAnsi="Times New Roman" w:cs="Times New Roman"/>
          <w:sz w:val="24"/>
          <w:szCs w:val="24"/>
          <w:lang w:val="bg-BG"/>
        </w:rPr>
        <w:t>. Южната се формира непосредствено пред Бургаското структурно стъпало и продължава на юг в морск</w:t>
      </w:r>
      <w:r w:rsidR="0075098D" w:rsidRPr="00610B1B">
        <w:rPr>
          <w:rFonts w:ascii="Times New Roman" w:hAnsi="Times New Roman" w:cs="Times New Roman"/>
          <w:sz w:val="24"/>
          <w:szCs w:val="24"/>
          <w:lang w:val="bg-BG"/>
        </w:rPr>
        <w:t>и</w:t>
      </w:r>
      <w:r w:rsidR="00590858" w:rsidRPr="00610B1B">
        <w:rPr>
          <w:rFonts w:ascii="Times New Roman" w:hAnsi="Times New Roman" w:cs="Times New Roman"/>
          <w:sz w:val="24"/>
          <w:szCs w:val="24"/>
          <w:lang w:val="bg-BG"/>
        </w:rPr>
        <w:t>т</w:t>
      </w:r>
      <w:r w:rsidR="0075098D" w:rsidRPr="00610B1B">
        <w:rPr>
          <w:rFonts w:ascii="Times New Roman" w:hAnsi="Times New Roman" w:cs="Times New Roman"/>
          <w:sz w:val="24"/>
          <w:szCs w:val="24"/>
          <w:lang w:val="bg-BG"/>
        </w:rPr>
        <w:t>е</w:t>
      </w:r>
      <w:r w:rsidR="00590858" w:rsidRPr="00610B1B">
        <w:rPr>
          <w:rFonts w:ascii="Times New Roman" w:hAnsi="Times New Roman" w:cs="Times New Roman"/>
          <w:sz w:val="24"/>
          <w:szCs w:val="24"/>
          <w:lang w:val="bg-BG"/>
        </w:rPr>
        <w:t xml:space="preserve"> пространств</w:t>
      </w:r>
      <w:r w:rsidR="0075098D" w:rsidRPr="00610B1B">
        <w:rPr>
          <w:rFonts w:ascii="Times New Roman" w:hAnsi="Times New Roman" w:cs="Times New Roman"/>
          <w:sz w:val="24"/>
          <w:szCs w:val="24"/>
          <w:lang w:val="bg-BG"/>
        </w:rPr>
        <w:t>а</w:t>
      </w:r>
      <w:r w:rsidR="00590858" w:rsidRPr="00610B1B">
        <w:rPr>
          <w:rFonts w:ascii="Times New Roman" w:hAnsi="Times New Roman" w:cs="Times New Roman"/>
          <w:sz w:val="24"/>
          <w:szCs w:val="24"/>
          <w:lang w:val="bg-BG"/>
        </w:rPr>
        <w:t xml:space="preserve"> на Р. Турция, където талвег</w:t>
      </w:r>
      <w:r w:rsidR="00B605EB" w:rsidRPr="00610B1B">
        <w:rPr>
          <w:rFonts w:ascii="Times New Roman" w:hAnsi="Times New Roman" w:cs="Times New Roman"/>
          <w:sz w:val="24"/>
          <w:szCs w:val="24"/>
          <w:lang w:val="bg-BG"/>
        </w:rPr>
        <w:t>ът</w:t>
      </w:r>
      <w:r w:rsidR="00DE3A13" w:rsidRPr="00610B1B">
        <w:rPr>
          <w:rFonts w:ascii="Times New Roman" w:hAnsi="Times New Roman" w:cs="Times New Roman"/>
          <w:sz w:val="24"/>
          <w:szCs w:val="24"/>
          <w:lang w:val="bg-BG"/>
        </w:rPr>
        <w:t xml:space="preserve"> ѝ </w:t>
      </w:r>
      <w:r w:rsidR="00590858" w:rsidRPr="00610B1B">
        <w:rPr>
          <w:rFonts w:ascii="Times New Roman" w:hAnsi="Times New Roman" w:cs="Times New Roman"/>
          <w:sz w:val="24"/>
          <w:szCs w:val="24"/>
          <w:lang w:val="bg-BG"/>
        </w:rPr>
        <w:t xml:space="preserve">достига дълбочини на морето от 75 </w:t>
      </w:r>
      <w:r w:rsidR="00B605EB" w:rsidRPr="00610B1B">
        <w:rPr>
          <w:rFonts w:ascii="Times New Roman" w:hAnsi="Times New Roman" w:cs="Times New Roman"/>
          <w:sz w:val="24"/>
          <w:szCs w:val="24"/>
          <w:lang w:val="bg-BG"/>
        </w:rPr>
        <w:t>m</w:t>
      </w:r>
      <w:r w:rsidR="00590858" w:rsidRPr="00610B1B">
        <w:rPr>
          <w:rFonts w:ascii="Times New Roman" w:hAnsi="Times New Roman" w:cs="Times New Roman"/>
          <w:sz w:val="24"/>
          <w:szCs w:val="24"/>
          <w:lang w:val="bg-BG"/>
        </w:rPr>
        <w:t xml:space="preserve">. </w:t>
      </w:r>
      <w:r w:rsidR="00432A60" w:rsidRPr="00610B1B">
        <w:rPr>
          <w:rFonts w:ascii="Times New Roman" w:hAnsi="Times New Roman" w:cs="Times New Roman"/>
          <w:sz w:val="24"/>
          <w:szCs w:val="24"/>
          <w:lang w:val="bg-BG"/>
        </w:rPr>
        <w:t>З</w:t>
      </w:r>
      <w:r w:rsidR="00590858" w:rsidRPr="00610B1B">
        <w:rPr>
          <w:rFonts w:ascii="Times New Roman" w:hAnsi="Times New Roman" w:cs="Times New Roman"/>
          <w:sz w:val="24"/>
          <w:szCs w:val="24"/>
          <w:lang w:val="bg-BG"/>
        </w:rPr>
        <w:t>а двете предваловови понижения е характерн</w:t>
      </w:r>
      <w:r w:rsidR="00B605EB" w:rsidRPr="00610B1B">
        <w:rPr>
          <w:rFonts w:ascii="Times New Roman" w:hAnsi="Times New Roman" w:cs="Times New Roman"/>
          <w:sz w:val="24"/>
          <w:szCs w:val="24"/>
          <w:lang w:val="bg-BG"/>
        </w:rPr>
        <w:t>а</w:t>
      </w:r>
      <w:r w:rsidR="00590858" w:rsidRPr="00610B1B">
        <w:rPr>
          <w:rFonts w:ascii="Times New Roman" w:hAnsi="Times New Roman" w:cs="Times New Roman"/>
          <w:sz w:val="24"/>
          <w:szCs w:val="24"/>
          <w:lang w:val="bg-BG"/>
        </w:rPr>
        <w:t xml:space="preserve"> разлятата, U-образна форма в началните им части, която преминава в остра, </w:t>
      </w:r>
      <w:r w:rsidR="00590858" w:rsidRPr="00610B1B">
        <w:rPr>
          <w:rFonts w:ascii="Times New Roman" w:hAnsi="Times New Roman" w:cs="Times New Roman"/>
          <w:sz w:val="24"/>
          <w:szCs w:val="24"/>
          <w:lang w:val="bg-BG"/>
        </w:rPr>
        <w:lastRenderedPageBreak/>
        <w:t xml:space="preserve">V-образна от </w:t>
      </w:r>
      <w:r w:rsidR="00E50DED" w:rsidRPr="00610B1B">
        <w:rPr>
          <w:rFonts w:ascii="Times New Roman" w:hAnsi="Times New Roman" w:cs="Times New Roman"/>
          <w:sz w:val="24"/>
          <w:szCs w:val="24"/>
          <w:lang w:val="bg-BG"/>
        </w:rPr>
        <w:t>центъра</w:t>
      </w:r>
      <w:r w:rsidR="00590858" w:rsidRPr="00610B1B">
        <w:rPr>
          <w:rFonts w:ascii="Times New Roman" w:hAnsi="Times New Roman" w:cs="Times New Roman"/>
          <w:sz w:val="24"/>
          <w:szCs w:val="24"/>
          <w:lang w:val="bg-BG"/>
        </w:rPr>
        <w:t xml:space="preserve"> им и по-нататък, което е указание за усилване на придънните течения в южно направление.</w:t>
      </w:r>
    </w:p>
    <w:p w14:paraId="15FA7EF7" w14:textId="7001693D"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На изток от предваловите понижения се разполагат акумулативни</w:t>
      </w:r>
      <w:r w:rsidR="00761215"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валове: Калиакренски (на юг от н</w:t>
      </w:r>
      <w:r w:rsidR="00761215" w:rsidRPr="00610B1B">
        <w:rPr>
          <w:rFonts w:ascii="Times New Roman" w:hAnsi="Times New Roman" w:cs="Times New Roman"/>
          <w:sz w:val="24"/>
          <w:szCs w:val="24"/>
          <w:lang w:val="bg-BG"/>
        </w:rPr>
        <w:t>ос</w:t>
      </w:r>
      <w:r w:rsidRPr="00610B1B">
        <w:rPr>
          <w:rFonts w:ascii="Times New Roman" w:hAnsi="Times New Roman" w:cs="Times New Roman"/>
          <w:sz w:val="24"/>
          <w:szCs w:val="24"/>
          <w:lang w:val="bg-BG"/>
        </w:rPr>
        <w:t xml:space="preserve"> Калиакра) и Емински (южно от н</w:t>
      </w:r>
      <w:r w:rsidR="00761215" w:rsidRPr="00610B1B">
        <w:rPr>
          <w:rFonts w:ascii="Times New Roman" w:hAnsi="Times New Roman" w:cs="Times New Roman"/>
          <w:sz w:val="24"/>
          <w:szCs w:val="24"/>
          <w:lang w:val="bg-BG"/>
        </w:rPr>
        <w:t>ос</w:t>
      </w:r>
      <w:r w:rsidRPr="00610B1B">
        <w:rPr>
          <w:rFonts w:ascii="Times New Roman" w:hAnsi="Times New Roman" w:cs="Times New Roman"/>
          <w:sz w:val="24"/>
          <w:szCs w:val="24"/>
          <w:lang w:val="bg-BG"/>
        </w:rPr>
        <w:t xml:space="preserve"> Емине), заемайки изцяло централните части на </w:t>
      </w:r>
      <w:r w:rsidR="00AC5F2E" w:rsidRPr="00610B1B">
        <w:rPr>
          <w:rFonts w:ascii="Times New Roman" w:hAnsi="Times New Roman" w:cs="Times New Roman"/>
          <w:sz w:val="24"/>
          <w:szCs w:val="24"/>
          <w:lang w:val="bg-BG"/>
        </w:rPr>
        <w:t>шелфа</w:t>
      </w:r>
      <w:r w:rsidRPr="00610B1B">
        <w:rPr>
          <w:rFonts w:ascii="Times New Roman" w:hAnsi="Times New Roman" w:cs="Times New Roman"/>
          <w:sz w:val="24"/>
          <w:szCs w:val="24"/>
          <w:lang w:val="bg-BG"/>
        </w:rPr>
        <w:t>. Това са големи акумулативни форми</w:t>
      </w:r>
      <w:r w:rsidR="00B605EB"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образувани през холоцена, от транспортирания на юг от основното черноморско течение теригенен материал, постъпващ основно от делтата на р. Дунав. На север от н</w:t>
      </w:r>
      <w:r w:rsidR="00761215" w:rsidRPr="00610B1B">
        <w:rPr>
          <w:rFonts w:ascii="Times New Roman" w:hAnsi="Times New Roman" w:cs="Times New Roman"/>
          <w:sz w:val="24"/>
          <w:szCs w:val="24"/>
          <w:lang w:val="bg-BG"/>
        </w:rPr>
        <w:t>ос</w:t>
      </w:r>
      <w:r w:rsidRPr="00610B1B">
        <w:rPr>
          <w:rFonts w:ascii="Times New Roman" w:hAnsi="Times New Roman" w:cs="Times New Roman"/>
          <w:sz w:val="24"/>
          <w:szCs w:val="24"/>
          <w:lang w:val="bg-BG"/>
        </w:rPr>
        <w:t xml:space="preserve"> Калиакра тези валове липсват изцяло. Специфична структурна характеристика и на двата вала е</w:t>
      </w:r>
      <w:r w:rsidR="00B605EB"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асиметричн</w:t>
      </w:r>
      <w:r w:rsidR="00B605EB" w:rsidRPr="00610B1B">
        <w:rPr>
          <w:rFonts w:ascii="Times New Roman" w:hAnsi="Times New Roman" w:cs="Times New Roman"/>
          <w:sz w:val="24"/>
          <w:szCs w:val="24"/>
          <w:lang w:val="bg-BG"/>
        </w:rPr>
        <w:t>ият</w:t>
      </w:r>
      <w:r w:rsidRPr="00610B1B">
        <w:rPr>
          <w:rFonts w:ascii="Times New Roman" w:hAnsi="Times New Roman" w:cs="Times New Roman"/>
          <w:sz w:val="24"/>
          <w:szCs w:val="24"/>
          <w:lang w:val="bg-BG"/>
        </w:rPr>
        <w:t xml:space="preserve"> напречен профил - стръмен западен склон и спокоен, полегат източен склон.</w:t>
      </w:r>
      <w:r w:rsidR="00761215"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Източните склонове на двата вала плавно преминават в наклонената шелфова равнина, чиито релеф в близката зона е заравнен от седиментационни</w:t>
      </w:r>
      <w:r w:rsidR="00D5208C"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процеси</w:t>
      </w:r>
      <w:r w:rsidR="00761215"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образували акумулативните валове. В мористо направление процесите на интензивна седиментация все повече затихват и на дълбочини 75-85 </w:t>
      </w:r>
      <w:r w:rsidR="00B605EB"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релеф</w:t>
      </w:r>
      <w:r w:rsidR="00B605EB" w:rsidRPr="00610B1B">
        <w:rPr>
          <w:rFonts w:ascii="Times New Roman" w:hAnsi="Times New Roman" w:cs="Times New Roman"/>
          <w:sz w:val="24"/>
          <w:szCs w:val="24"/>
          <w:lang w:val="bg-BG"/>
        </w:rPr>
        <w:t>ът</w:t>
      </w:r>
      <w:r w:rsidRPr="00610B1B">
        <w:rPr>
          <w:rFonts w:ascii="Times New Roman" w:hAnsi="Times New Roman" w:cs="Times New Roman"/>
          <w:sz w:val="24"/>
          <w:szCs w:val="24"/>
          <w:lang w:val="bg-BG"/>
        </w:rPr>
        <w:t xml:space="preserve"> на дъното става неравен, хълмист и унаследява предхолоценския релеф. Това отчетливо се вижда в зоната на п</w:t>
      </w:r>
      <w:r w:rsidR="00B605EB" w:rsidRPr="00610B1B">
        <w:rPr>
          <w:rFonts w:ascii="Times New Roman" w:hAnsi="Times New Roman" w:cs="Times New Roman"/>
          <w:sz w:val="24"/>
          <w:szCs w:val="24"/>
          <w:lang w:val="bg-BG"/>
        </w:rPr>
        <w:t>е</w:t>
      </w:r>
      <w:r w:rsidRPr="00610B1B">
        <w:rPr>
          <w:rFonts w:ascii="Times New Roman" w:hAnsi="Times New Roman" w:cs="Times New Roman"/>
          <w:sz w:val="24"/>
          <w:szCs w:val="24"/>
          <w:lang w:val="bg-BG"/>
        </w:rPr>
        <w:t>риферното дюнно поле, където дюните</w:t>
      </w:r>
      <w:r w:rsidR="00D5208C"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образувани при ниско стоене на морското ниво от -120 </w:t>
      </w:r>
      <w:r w:rsidR="00B605EB"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през последния ледников период</w:t>
      </w:r>
      <w:r w:rsidR="00761215"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са само драпирани от съвременни седименти с дебелина под 0,5</w:t>
      </w:r>
      <w:r w:rsidR="00751B5D" w:rsidRPr="00610B1B">
        <w:rPr>
          <w:rFonts w:ascii="Times New Roman" w:hAnsi="Times New Roman" w:cs="Times New Roman"/>
          <w:sz w:val="24"/>
          <w:szCs w:val="24"/>
          <w:lang w:val="bg-BG"/>
        </w:rPr>
        <w:t> </w:t>
      </w:r>
      <w:r w:rsidR="00B605EB"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p>
    <w:p w14:paraId="0F09F70D" w14:textId="013110F5"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най-югоизточните части на българския шелф е развита т.н. периферна шелфова депресия</w:t>
      </w:r>
      <w:r w:rsidR="00761215" w:rsidRPr="00610B1B">
        <w:rPr>
          <w:rFonts w:ascii="Times New Roman" w:hAnsi="Times New Roman" w:cs="Times New Roman"/>
          <w:sz w:val="24"/>
          <w:szCs w:val="24"/>
          <w:lang w:val="bg-BG"/>
        </w:rPr>
        <w:t xml:space="preserve">, която е </w:t>
      </w:r>
      <w:r w:rsidRPr="00610B1B">
        <w:rPr>
          <w:rFonts w:ascii="Times New Roman" w:hAnsi="Times New Roman" w:cs="Times New Roman"/>
          <w:sz w:val="24"/>
          <w:szCs w:val="24"/>
          <w:lang w:val="bg-BG"/>
        </w:rPr>
        <w:t xml:space="preserve">затворена елипсовидна долина с дължина от 26 </w:t>
      </w:r>
      <w:r w:rsidR="00B605EB" w:rsidRPr="00610B1B">
        <w:rPr>
          <w:rFonts w:ascii="Times New Roman" w:hAnsi="Times New Roman" w:cs="Times New Roman"/>
          <w:sz w:val="24"/>
          <w:szCs w:val="24"/>
          <w:lang w:val="bg-BG"/>
        </w:rPr>
        <w:t>km</w:t>
      </w:r>
      <w:r w:rsidRPr="00610B1B">
        <w:rPr>
          <w:rFonts w:ascii="Times New Roman" w:hAnsi="Times New Roman" w:cs="Times New Roman"/>
          <w:sz w:val="24"/>
          <w:szCs w:val="24"/>
          <w:lang w:val="bg-BG"/>
        </w:rPr>
        <w:t xml:space="preserve"> и почти постоянна ширина от 5.5 </w:t>
      </w:r>
      <w:r w:rsidR="00B605EB" w:rsidRPr="00610B1B">
        <w:rPr>
          <w:rFonts w:ascii="Times New Roman" w:hAnsi="Times New Roman" w:cs="Times New Roman"/>
          <w:sz w:val="24"/>
          <w:szCs w:val="24"/>
          <w:lang w:val="bg-BG"/>
        </w:rPr>
        <w:t>km</w:t>
      </w:r>
      <w:r w:rsidRPr="00610B1B">
        <w:rPr>
          <w:rFonts w:ascii="Times New Roman" w:hAnsi="Times New Roman" w:cs="Times New Roman"/>
          <w:sz w:val="24"/>
          <w:szCs w:val="24"/>
          <w:lang w:val="bg-BG"/>
        </w:rPr>
        <w:t xml:space="preserve">. </w:t>
      </w:r>
      <w:r w:rsidR="00E50DED" w:rsidRPr="00610B1B">
        <w:rPr>
          <w:rFonts w:ascii="Times New Roman" w:hAnsi="Times New Roman" w:cs="Times New Roman"/>
          <w:sz w:val="24"/>
          <w:szCs w:val="24"/>
          <w:lang w:val="bg-BG"/>
        </w:rPr>
        <w:t>Максималната</w:t>
      </w:r>
      <w:r w:rsidRPr="00610B1B">
        <w:rPr>
          <w:rFonts w:ascii="Times New Roman" w:hAnsi="Times New Roman" w:cs="Times New Roman"/>
          <w:sz w:val="24"/>
          <w:szCs w:val="24"/>
          <w:lang w:val="bg-BG"/>
        </w:rPr>
        <w:t xml:space="preserve"> </w:t>
      </w:r>
      <w:r w:rsidR="00E50DED" w:rsidRPr="00610B1B">
        <w:rPr>
          <w:rFonts w:ascii="Times New Roman" w:hAnsi="Times New Roman" w:cs="Times New Roman"/>
          <w:sz w:val="24"/>
          <w:szCs w:val="24"/>
          <w:lang w:val="bg-BG"/>
        </w:rPr>
        <w:t>ѝ</w:t>
      </w:r>
      <w:r w:rsidRPr="00610B1B">
        <w:rPr>
          <w:rFonts w:ascii="Times New Roman" w:hAnsi="Times New Roman" w:cs="Times New Roman"/>
          <w:sz w:val="24"/>
          <w:szCs w:val="24"/>
          <w:lang w:val="bg-BG"/>
        </w:rPr>
        <w:t xml:space="preserve"> дълбочина достига 12 </w:t>
      </w:r>
      <w:r w:rsidR="00B605EB"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w:t>
      </w:r>
      <w:r w:rsidR="00B605EB"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Краят на шелфа се бележи от Периферната шелфова тераса развита по цялото му протежение, чиято източна част се явява граница между континенталния шелф и континенталния склон.</w:t>
      </w:r>
    </w:p>
    <w:p w14:paraId="0C5769E5" w14:textId="0A21D45F"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Континенталният склон се разполага на дълбочини на морето до 1</w:t>
      </w:r>
      <w:r w:rsidR="007318D7"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400</w:t>
      </w:r>
      <w:r w:rsidR="007318D7"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1</w:t>
      </w:r>
      <w:r w:rsidR="00D5208C"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600 </w:t>
      </w:r>
      <w:r w:rsidR="00B605EB"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Релефът на склона се отличава със сложна морфология, вследствие на хоризонтална и вертикална разчлененост. Характерна особеност е наличието на многобройни подводни долини, врязани на различна дълбочина, и най-често</w:t>
      </w:r>
      <w:r w:rsidR="007318D7" w:rsidRPr="00610B1B">
        <w:rPr>
          <w:rFonts w:ascii="Times New Roman" w:hAnsi="Times New Roman" w:cs="Times New Roman"/>
          <w:sz w:val="24"/>
          <w:szCs w:val="24"/>
          <w:lang w:val="bg-BG"/>
        </w:rPr>
        <w:t xml:space="preserve"> системи,</w:t>
      </w:r>
      <w:r w:rsidRPr="00610B1B">
        <w:rPr>
          <w:rFonts w:ascii="Times New Roman" w:hAnsi="Times New Roman" w:cs="Times New Roman"/>
          <w:sz w:val="24"/>
          <w:szCs w:val="24"/>
          <w:lang w:val="bg-BG"/>
        </w:rPr>
        <w:t xml:space="preserve"> формиращи конвергиращи в посока на абисалната равнина: Дунавска, Бабадагска, Тузленска, Шабленска, Варненска и т.н.</w:t>
      </w:r>
      <w:r w:rsidR="00D66FE0" w:rsidRPr="00610B1B">
        <w:rPr>
          <w:rFonts w:ascii="Times New Roman" w:hAnsi="Times New Roman" w:cs="Times New Roman"/>
          <w:sz w:val="24"/>
          <w:szCs w:val="24"/>
          <w:lang w:val="bg-BG"/>
        </w:rPr>
        <w:t xml:space="preserve"> </w:t>
      </w:r>
    </w:p>
    <w:p w14:paraId="10862433" w14:textId="26BCE1F5"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Континенталното подножие е разположено на дълбочини от 1</w:t>
      </w:r>
      <w:r w:rsidR="00D5208C"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400 до 1</w:t>
      </w:r>
      <w:r w:rsidR="00D5208C"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800 </w:t>
      </w:r>
      <w:r w:rsidR="00B605EB"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xml:space="preserve"> и представлява голяма акумул</w:t>
      </w:r>
      <w:r w:rsidR="00B605EB" w:rsidRPr="00610B1B">
        <w:rPr>
          <w:rFonts w:ascii="Times New Roman" w:hAnsi="Times New Roman" w:cs="Times New Roman"/>
          <w:sz w:val="24"/>
          <w:szCs w:val="24"/>
          <w:lang w:val="bg-BG"/>
        </w:rPr>
        <w:t>а</w:t>
      </w:r>
      <w:r w:rsidRPr="00610B1B">
        <w:rPr>
          <w:rFonts w:ascii="Times New Roman" w:hAnsi="Times New Roman" w:cs="Times New Roman"/>
          <w:sz w:val="24"/>
          <w:szCs w:val="24"/>
          <w:lang w:val="bg-BG"/>
        </w:rPr>
        <w:t xml:space="preserve">тивна форма. Релефът е слабо наклонен до хълмисто-равнинен. В тази част става преустройство на мрежата от подводни каньони, които често се сливат, след което устията им преминават в конуси на износ на седиментен материал. Абисалната равнина </w:t>
      </w:r>
      <w:r w:rsidR="00D5208C" w:rsidRPr="00610B1B">
        <w:rPr>
          <w:rFonts w:ascii="Times New Roman" w:hAnsi="Times New Roman" w:cs="Times New Roman"/>
          <w:sz w:val="24"/>
          <w:szCs w:val="24"/>
          <w:lang w:val="bg-BG"/>
        </w:rPr>
        <w:t xml:space="preserve">е </w:t>
      </w:r>
      <w:r w:rsidRPr="00610B1B">
        <w:rPr>
          <w:rFonts w:ascii="Times New Roman" w:hAnsi="Times New Roman" w:cs="Times New Roman"/>
          <w:sz w:val="24"/>
          <w:szCs w:val="24"/>
          <w:lang w:val="bg-BG"/>
        </w:rPr>
        <w:t>най-дълбоката заравнена част на морското дъно. В геоложки смисъл, това е частта от басейна с океански тип кора.</w:t>
      </w:r>
      <w:r w:rsidR="00C415D1" w:rsidRPr="00610B1B">
        <w:rPr>
          <w:rFonts w:ascii="Times New Roman" w:hAnsi="Times New Roman" w:cs="Times New Roman"/>
          <w:sz w:val="24"/>
          <w:szCs w:val="24"/>
          <w:lang w:val="bg-BG"/>
        </w:rPr>
        <w:t xml:space="preserve"> </w:t>
      </w:r>
    </w:p>
    <w:p w14:paraId="2A8D8F34" w14:textId="0C468473" w:rsidR="00B605EB"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Като вътрешно-континентален басейн в хумидната умерена зона, Черно море се характеризира с обширна водосборна площ, която обуславя активна теригенна седиментация. Кватернерният комплекс е със значителни дебелини, които нарастват от юг на север към аванделтата на р.</w:t>
      </w:r>
      <w:r w:rsidR="007318D7"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Дунав, откъдето постъпва основният обем теригенен материал. </w:t>
      </w:r>
    </w:p>
    <w:p w14:paraId="6487C523" w14:textId="63A45277" w:rsidR="00590858" w:rsidRPr="00610B1B" w:rsidRDefault="0059085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В българския сектор на Черно море са развити области на контрастни седиментационни обстановки. Пространственото разпределението на темпа на седиментация в съвременния етап се контролира и от редица хидродинамични фактори, съвкупността от които определя пъстра картина на седиментогенезата. В зоната на шелфа е ясно проявено </w:t>
      </w:r>
      <w:r w:rsidRPr="00610B1B">
        <w:rPr>
          <w:rFonts w:ascii="Times New Roman" w:hAnsi="Times New Roman" w:cs="Times New Roman"/>
          <w:sz w:val="24"/>
          <w:szCs w:val="24"/>
          <w:lang w:val="bg-BG"/>
        </w:rPr>
        <w:lastRenderedPageBreak/>
        <w:t>меридионално разпределение на генетичните типове седименти. На север от паралела на нос Калиакра е развита обширна зона на транзитно преминаване на теригенния материал</w:t>
      </w:r>
      <w:r w:rsidR="009A5A17" w:rsidRPr="00610B1B">
        <w:rPr>
          <w:rFonts w:ascii="Times New Roman" w:hAnsi="Times New Roman" w:cs="Times New Roman"/>
          <w:sz w:val="24"/>
          <w:szCs w:val="24"/>
          <w:lang w:val="bg-BG"/>
        </w:rPr>
        <w:t>. У</w:t>
      </w:r>
      <w:r w:rsidRPr="00610B1B">
        <w:rPr>
          <w:rFonts w:ascii="Times New Roman" w:hAnsi="Times New Roman" w:cs="Times New Roman"/>
          <w:sz w:val="24"/>
          <w:szCs w:val="24"/>
          <w:lang w:val="bg-BG"/>
        </w:rPr>
        <w:t xml:space="preserve">тайките са представени от черупчести кондензати. </w:t>
      </w:r>
      <w:r w:rsidR="00432A60" w:rsidRPr="00610B1B">
        <w:rPr>
          <w:rFonts w:ascii="Times New Roman" w:hAnsi="Times New Roman" w:cs="Times New Roman"/>
          <w:sz w:val="24"/>
          <w:szCs w:val="24"/>
          <w:lang w:val="bg-BG"/>
        </w:rPr>
        <w:t>В</w:t>
      </w:r>
      <w:r w:rsidRPr="00610B1B">
        <w:rPr>
          <w:rFonts w:ascii="Times New Roman" w:hAnsi="Times New Roman" w:cs="Times New Roman"/>
          <w:sz w:val="24"/>
          <w:szCs w:val="24"/>
          <w:lang w:val="bg-BG"/>
        </w:rPr>
        <w:t xml:space="preserve"> условията на байпас на кластичния материал, се засебява зона на плиткоморска карбонатна биогенна седиментация.</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На юг от тази зона започва разтоварване на дунавския теригенен материал, като на шелфа преобладават теригенните алевритови и алевро-пелитови тини. Промяна настъпва и южно от нос Емине, където също има рязка смяна на конфигурацията на брега. Там се забелязва хомогенизация на седиментния материал и формиране на хоризонтална акумулативна равнина. </w:t>
      </w:r>
      <w:r w:rsidR="009A5A17" w:rsidRPr="00610B1B">
        <w:rPr>
          <w:rFonts w:ascii="Times New Roman" w:hAnsi="Times New Roman" w:cs="Times New Roman"/>
          <w:sz w:val="24"/>
          <w:szCs w:val="24"/>
          <w:lang w:val="bg-BG"/>
        </w:rPr>
        <w:t>В</w:t>
      </w:r>
      <w:r w:rsidRPr="00610B1B">
        <w:rPr>
          <w:rFonts w:ascii="Times New Roman" w:hAnsi="Times New Roman" w:cs="Times New Roman"/>
          <w:sz w:val="24"/>
          <w:szCs w:val="24"/>
          <w:lang w:val="bg-BG"/>
        </w:rPr>
        <w:t>ключване</w:t>
      </w:r>
      <w:r w:rsidR="009A5A17" w:rsidRPr="00610B1B">
        <w:rPr>
          <w:rFonts w:ascii="Times New Roman" w:hAnsi="Times New Roman" w:cs="Times New Roman"/>
          <w:sz w:val="24"/>
          <w:szCs w:val="24"/>
          <w:lang w:val="bg-BG"/>
        </w:rPr>
        <w:t>то</w:t>
      </w:r>
      <w:r w:rsidRPr="00610B1B">
        <w:rPr>
          <w:rFonts w:ascii="Times New Roman" w:hAnsi="Times New Roman" w:cs="Times New Roman"/>
          <w:sz w:val="24"/>
          <w:szCs w:val="24"/>
          <w:lang w:val="bg-BG"/>
        </w:rPr>
        <w:t xml:space="preserve"> на локални източници на подхранване по пътя на водните маси се отчита по теригенно-минераложката асоциация на Средногорската подхранваща провинция.</w:t>
      </w:r>
    </w:p>
    <w:p w14:paraId="0835C09F" w14:textId="424F700A" w:rsidR="00B605EB" w:rsidRPr="00610B1B" w:rsidRDefault="009A5A1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Основните </w:t>
      </w:r>
      <w:r w:rsidRPr="00610B1B">
        <w:rPr>
          <w:rFonts w:ascii="Times New Roman" w:hAnsi="Times New Roman" w:cs="Times New Roman"/>
          <w:b/>
          <w:bCs/>
          <w:sz w:val="24"/>
          <w:szCs w:val="24"/>
          <w:lang w:val="bg-BG"/>
        </w:rPr>
        <w:t xml:space="preserve">изводи </w:t>
      </w:r>
      <w:r w:rsidRPr="00610B1B">
        <w:rPr>
          <w:rFonts w:ascii="Times New Roman" w:hAnsi="Times New Roman" w:cs="Times New Roman"/>
          <w:sz w:val="24"/>
          <w:szCs w:val="24"/>
          <w:lang w:val="bg-BG"/>
        </w:rPr>
        <w:t>от а</w:t>
      </w:r>
      <w:r w:rsidR="00B605EB" w:rsidRPr="00610B1B">
        <w:rPr>
          <w:rFonts w:ascii="Times New Roman" w:hAnsi="Times New Roman" w:cs="Times New Roman"/>
          <w:sz w:val="24"/>
          <w:szCs w:val="24"/>
          <w:lang w:val="bg-BG"/>
        </w:rPr>
        <w:t>нализ</w:t>
      </w:r>
      <w:r w:rsidRPr="00610B1B">
        <w:rPr>
          <w:rFonts w:ascii="Times New Roman" w:hAnsi="Times New Roman" w:cs="Times New Roman"/>
          <w:sz w:val="24"/>
          <w:szCs w:val="24"/>
          <w:lang w:val="bg-BG"/>
        </w:rPr>
        <w:t>а</w:t>
      </w:r>
      <w:r w:rsidR="00B605EB" w:rsidRPr="00610B1B">
        <w:rPr>
          <w:rFonts w:ascii="Times New Roman" w:hAnsi="Times New Roman" w:cs="Times New Roman"/>
          <w:sz w:val="24"/>
          <w:szCs w:val="24"/>
          <w:lang w:val="bg-BG"/>
        </w:rPr>
        <w:t xml:space="preserve"> на </w:t>
      </w:r>
      <w:r w:rsidR="00A72A41" w:rsidRPr="00610B1B">
        <w:rPr>
          <w:rFonts w:ascii="Times New Roman" w:hAnsi="Times New Roman" w:cs="Times New Roman"/>
          <w:sz w:val="24"/>
          <w:szCs w:val="24"/>
          <w:lang w:val="bg-BG"/>
        </w:rPr>
        <w:t xml:space="preserve">геоложките и геоморфоложките характеристики на бреговата зона и на континенталния шелф </w:t>
      </w:r>
      <w:r w:rsidR="00006A20" w:rsidRPr="00610B1B">
        <w:rPr>
          <w:rFonts w:ascii="Times New Roman" w:hAnsi="Times New Roman" w:cs="Times New Roman"/>
          <w:sz w:val="24"/>
          <w:szCs w:val="24"/>
          <w:lang w:val="bg-BG"/>
        </w:rPr>
        <w:t>показват, че п</w:t>
      </w:r>
      <w:r w:rsidR="00CD17AF" w:rsidRPr="00610B1B">
        <w:rPr>
          <w:rFonts w:ascii="Times New Roman" w:hAnsi="Times New Roman" w:cs="Times New Roman"/>
          <w:sz w:val="24"/>
          <w:szCs w:val="24"/>
          <w:lang w:val="bg-BG"/>
        </w:rPr>
        <w:t xml:space="preserve">ознанията за бреговата зона </w:t>
      </w:r>
      <w:r w:rsidR="00A72A41" w:rsidRPr="00610B1B">
        <w:rPr>
          <w:rFonts w:ascii="Times New Roman" w:hAnsi="Times New Roman" w:cs="Times New Roman"/>
          <w:sz w:val="24"/>
          <w:szCs w:val="24"/>
          <w:lang w:val="bg-BG"/>
        </w:rPr>
        <w:t xml:space="preserve">откъм сушата са повече от задоволителни, </w:t>
      </w:r>
      <w:r w:rsidR="00432A60" w:rsidRPr="00610B1B">
        <w:rPr>
          <w:rFonts w:ascii="Times New Roman" w:hAnsi="Times New Roman" w:cs="Times New Roman"/>
          <w:sz w:val="24"/>
          <w:szCs w:val="24"/>
          <w:lang w:val="bg-BG"/>
        </w:rPr>
        <w:t>но</w:t>
      </w:r>
      <w:r w:rsidR="00A72A41" w:rsidRPr="00610B1B">
        <w:rPr>
          <w:rFonts w:ascii="Times New Roman" w:hAnsi="Times New Roman" w:cs="Times New Roman"/>
          <w:sz w:val="24"/>
          <w:szCs w:val="24"/>
          <w:lang w:val="bg-BG"/>
        </w:rPr>
        <w:t xml:space="preserve"> тези за акваториалната </w:t>
      </w:r>
      <w:r w:rsidR="00CD17AF" w:rsidRPr="00610B1B">
        <w:rPr>
          <w:rFonts w:ascii="Times New Roman" w:hAnsi="Times New Roman" w:cs="Times New Roman"/>
          <w:sz w:val="24"/>
          <w:szCs w:val="24"/>
          <w:lang w:val="bg-BG"/>
        </w:rPr>
        <w:t xml:space="preserve">зона </w:t>
      </w:r>
      <w:r w:rsidR="00A72A41" w:rsidRPr="00610B1B">
        <w:rPr>
          <w:rFonts w:ascii="Times New Roman" w:hAnsi="Times New Roman" w:cs="Times New Roman"/>
          <w:sz w:val="24"/>
          <w:szCs w:val="24"/>
          <w:lang w:val="bg-BG"/>
        </w:rPr>
        <w:t xml:space="preserve">са откъслечни и непълни. </w:t>
      </w:r>
      <w:r w:rsidR="00CD17AF" w:rsidRPr="00610B1B">
        <w:rPr>
          <w:rFonts w:ascii="Times New Roman" w:hAnsi="Times New Roman" w:cs="Times New Roman"/>
          <w:sz w:val="24"/>
          <w:szCs w:val="24"/>
          <w:lang w:val="bg-BG"/>
        </w:rPr>
        <w:t xml:space="preserve">Това е сред причините за несигурността в прогнозите и </w:t>
      </w:r>
      <w:r w:rsidR="00761215" w:rsidRPr="00610B1B">
        <w:rPr>
          <w:rFonts w:ascii="Times New Roman" w:hAnsi="Times New Roman" w:cs="Times New Roman"/>
          <w:sz w:val="24"/>
          <w:szCs w:val="24"/>
          <w:lang w:val="bg-BG"/>
        </w:rPr>
        <w:t xml:space="preserve">в </w:t>
      </w:r>
      <w:r w:rsidR="00CD17AF" w:rsidRPr="00610B1B">
        <w:rPr>
          <w:rFonts w:ascii="Times New Roman" w:hAnsi="Times New Roman" w:cs="Times New Roman"/>
          <w:sz w:val="24"/>
          <w:szCs w:val="24"/>
          <w:lang w:val="bg-BG"/>
        </w:rPr>
        <w:t>адекватността и ефективността на мерките за подобряване на морската околна среда.</w:t>
      </w:r>
      <w:r w:rsidR="00D66FE0" w:rsidRPr="00610B1B">
        <w:rPr>
          <w:rFonts w:ascii="Times New Roman" w:hAnsi="Times New Roman" w:cs="Times New Roman"/>
          <w:sz w:val="24"/>
          <w:szCs w:val="24"/>
          <w:lang w:val="bg-BG"/>
        </w:rPr>
        <w:t xml:space="preserve"> </w:t>
      </w:r>
      <w:r w:rsidR="00CD17AF" w:rsidRPr="00610B1B">
        <w:rPr>
          <w:rFonts w:ascii="Times New Roman" w:hAnsi="Times New Roman" w:cs="Times New Roman"/>
          <w:sz w:val="24"/>
          <w:szCs w:val="24"/>
          <w:lang w:val="bg-BG"/>
        </w:rPr>
        <w:t xml:space="preserve">Необходимо е да се попълнят </w:t>
      </w:r>
      <w:r w:rsidR="00A72A41" w:rsidRPr="00610B1B">
        <w:rPr>
          <w:rFonts w:ascii="Times New Roman" w:hAnsi="Times New Roman" w:cs="Times New Roman"/>
          <w:sz w:val="24"/>
          <w:szCs w:val="24"/>
          <w:lang w:val="bg-BG"/>
        </w:rPr>
        <w:t>познанията за тази активна, интензивно експлоатирана и най-богата на биоразнообразие зона</w:t>
      </w:r>
      <w:r w:rsidR="00765BD4" w:rsidRPr="00610B1B">
        <w:rPr>
          <w:rFonts w:ascii="Times New Roman" w:hAnsi="Times New Roman" w:cs="Times New Roman"/>
          <w:sz w:val="24"/>
          <w:szCs w:val="24"/>
          <w:lang w:val="bg-BG"/>
        </w:rPr>
        <w:t xml:space="preserve"> като се </w:t>
      </w:r>
      <w:r w:rsidR="00A72A41" w:rsidRPr="00610B1B">
        <w:rPr>
          <w:rFonts w:ascii="Times New Roman" w:hAnsi="Times New Roman" w:cs="Times New Roman"/>
          <w:sz w:val="24"/>
          <w:szCs w:val="24"/>
          <w:lang w:val="bg-BG"/>
        </w:rPr>
        <w:t>възстанов</w:t>
      </w:r>
      <w:r w:rsidR="00765BD4" w:rsidRPr="00610B1B">
        <w:rPr>
          <w:rFonts w:ascii="Times New Roman" w:hAnsi="Times New Roman" w:cs="Times New Roman"/>
          <w:sz w:val="24"/>
          <w:szCs w:val="24"/>
          <w:lang w:val="bg-BG"/>
        </w:rPr>
        <w:t>и</w:t>
      </w:r>
      <w:r w:rsidR="00A72A41" w:rsidRPr="00610B1B">
        <w:rPr>
          <w:rFonts w:ascii="Times New Roman" w:hAnsi="Times New Roman" w:cs="Times New Roman"/>
          <w:sz w:val="24"/>
          <w:szCs w:val="24"/>
          <w:lang w:val="bg-BG"/>
        </w:rPr>
        <w:t xml:space="preserve"> прекъснатия мониторинг по Дескриптор Д7</w:t>
      </w:r>
      <w:r w:rsidR="00432A6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w:t>
      </w:r>
      <w:r w:rsidR="00A72A41" w:rsidRPr="00610B1B">
        <w:rPr>
          <w:rFonts w:ascii="Times New Roman" w:hAnsi="Times New Roman" w:cs="Times New Roman"/>
          <w:sz w:val="24"/>
          <w:szCs w:val="24"/>
          <w:lang w:val="bg-BG"/>
        </w:rPr>
        <w:t xml:space="preserve">Изменения на хидрографските условия </w:t>
      </w:r>
      <w:r w:rsidR="00CD17AF" w:rsidRPr="00610B1B">
        <w:rPr>
          <w:rFonts w:ascii="Times New Roman" w:hAnsi="Times New Roman" w:cs="Times New Roman"/>
          <w:sz w:val="24"/>
          <w:szCs w:val="24"/>
          <w:lang w:val="bg-BG"/>
        </w:rPr>
        <w:t xml:space="preserve">и </w:t>
      </w:r>
      <w:r w:rsidR="00A72A41" w:rsidRPr="00610B1B">
        <w:rPr>
          <w:rFonts w:ascii="Times New Roman" w:hAnsi="Times New Roman" w:cs="Times New Roman"/>
          <w:sz w:val="24"/>
          <w:szCs w:val="24"/>
          <w:lang w:val="bg-BG"/>
        </w:rPr>
        <w:t>подновяване на мониторинга на ерозионно-абразионните процеси по Черноморското крайбрежие.</w:t>
      </w:r>
    </w:p>
    <w:p w14:paraId="29FFC17F" w14:textId="04098796" w:rsidR="00CD17AF" w:rsidRPr="00610B1B" w:rsidRDefault="00CD17A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Необходимо е също уеднаквяване на терминологията и синхронизиране на подзаконовата нормативна база, </w:t>
      </w:r>
      <w:r w:rsidR="00F33CA9" w:rsidRPr="00610B1B">
        <w:rPr>
          <w:rFonts w:ascii="Times New Roman" w:hAnsi="Times New Roman" w:cs="Times New Roman"/>
          <w:sz w:val="24"/>
          <w:szCs w:val="24"/>
          <w:lang w:val="bg-BG"/>
        </w:rPr>
        <w:t>за да се</w:t>
      </w:r>
      <w:r w:rsidRPr="00610B1B">
        <w:rPr>
          <w:rFonts w:ascii="Times New Roman" w:hAnsi="Times New Roman" w:cs="Times New Roman"/>
          <w:sz w:val="24"/>
          <w:szCs w:val="24"/>
          <w:lang w:val="bg-BG"/>
        </w:rPr>
        <w:t xml:space="preserve"> подобр</w:t>
      </w:r>
      <w:r w:rsidR="00F33CA9"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xml:space="preserve"> управлени</w:t>
      </w:r>
      <w:r w:rsidR="00432A60" w:rsidRPr="00610B1B">
        <w:rPr>
          <w:rFonts w:ascii="Times New Roman" w:hAnsi="Times New Roman" w:cs="Times New Roman"/>
          <w:sz w:val="24"/>
          <w:szCs w:val="24"/>
          <w:lang w:val="bg-BG"/>
        </w:rPr>
        <w:t>ето</w:t>
      </w:r>
      <w:r w:rsidRPr="00610B1B">
        <w:rPr>
          <w:rFonts w:ascii="Times New Roman" w:hAnsi="Times New Roman" w:cs="Times New Roman"/>
          <w:sz w:val="24"/>
          <w:szCs w:val="24"/>
          <w:lang w:val="bg-BG"/>
        </w:rPr>
        <w:t xml:space="preserve"> и контрола чрез ясни правила и отговорности. Възстановяването и разширяването на мрежата от мареографни станции по българския бряг и съчетаването им с наблюдения на хоризонталните и вертикални движения на земната кора, </w:t>
      </w:r>
      <w:r w:rsidR="00A61A4E" w:rsidRPr="00610B1B">
        <w:rPr>
          <w:rFonts w:ascii="Times New Roman" w:hAnsi="Times New Roman" w:cs="Times New Roman"/>
          <w:sz w:val="24"/>
          <w:szCs w:val="24"/>
          <w:lang w:val="bg-BG"/>
        </w:rPr>
        <w:t>поддържането</w:t>
      </w:r>
      <w:r w:rsidRPr="00610B1B">
        <w:rPr>
          <w:rFonts w:ascii="Times New Roman" w:hAnsi="Times New Roman" w:cs="Times New Roman"/>
          <w:sz w:val="24"/>
          <w:szCs w:val="24"/>
          <w:lang w:val="bg-BG"/>
        </w:rPr>
        <w:t xml:space="preserve"> и подаването на данни в реално време и свободен достъп от оторизираните органи</w:t>
      </w:r>
      <w:r w:rsidR="00006A2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също ще подобри качеството на изследванията и наблюденията.</w:t>
      </w:r>
    </w:p>
    <w:p w14:paraId="5FE244A8" w14:textId="56F074BF" w:rsidR="00AE66CD" w:rsidRPr="00610B1B" w:rsidRDefault="00590858" w:rsidP="00D32D6A">
      <w:pPr>
        <w:spacing w:after="120"/>
        <w:ind w:right="-153"/>
        <w:jc w:val="both"/>
        <w:rPr>
          <w:rFonts w:ascii="Times New Roman" w:hAnsi="Times New Roman" w:cs="Times New Roman"/>
          <w:bCs/>
          <w:iCs/>
          <w:sz w:val="24"/>
          <w:szCs w:val="24"/>
          <w:lang w:val="bg-BG"/>
        </w:rPr>
      </w:pPr>
      <w:r w:rsidRPr="00610B1B">
        <w:rPr>
          <w:rFonts w:ascii="Times New Roman" w:hAnsi="Times New Roman" w:cs="Times New Roman"/>
          <w:bCs/>
          <w:iCs/>
          <w:sz w:val="24"/>
          <w:szCs w:val="24"/>
          <w:lang w:val="bg-BG"/>
        </w:rPr>
        <w:t>Актуално</w:t>
      </w:r>
      <w:r w:rsidR="00CD17AF" w:rsidRPr="00610B1B">
        <w:rPr>
          <w:rFonts w:ascii="Times New Roman" w:hAnsi="Times New Roman" w:cs="Times New Roman"/>
          <w:bCs/>
          <w:iCs/>
          <w:sz w:val="24"/>
          <w:szCs w:val="24"/>
          <w:lang w:val="bg-BG"/>
        </w:rPr>
        <w:t>то</w:t>
      </w:r>
      <w:r w:rsidRPr="00610B1B">
        <w:rPr>
          <w:rFonts w:ascii="Times New Roman" w:hAnsi="Times New Roman" w:cs="Times New Roman"/>
          <w:bCs/>
          <w:iCs/>
          <w:sz w:val="24"/>
          <w:szCs w:val="24"/>
          <w:lang w:val="bg-BG"/>
        </w:rPr>
        <w:t xml:space="preserve"> измерване на бреговата линия по утвърдена методика и поддържането</w:t>
      </w:r>
      <w:r w:rsidR="00DE3A13" w:rsidRPr="00610B1B">
        <w:rPr>
          <w:rFonts w:ascii="Times New Roman" w:hAnsi="Times New Roman" w:cs="Times New Roman"/>
          <w:bCs/>
          <w:iCs/>
          <w:sz w:val="24"/>
          <w:szCs w:val="24"/>
          <w:lang w:val="bg-BG"/>
        </w:rPr>
        <w:t xml:space="preserve"> ѝ </w:t>
      </w:r>
      <w:r w:rsidR="00765BD4" w:rsidRPr="00610B1B">
        <w:rPr>
          <w:rFonts w:ascii="Times New Roman" w:hAnsi="Times New Roman" w:cs="Times New Roman"/>
          <w:bCs/>
          <w:iCs/>
          <w:sz w:val="24"/>
          <w:szCs w:val="24"/>
          <w:lang w:val="bg-BG"/>
        </w:rPr>
        <w:t xml:space="preserve">от </w:t>
      </w:r>
      <w:r w:rsidRPr="00610B1B">
        <w:rPr>
          <w:rFonts w:ascii="Times New Roman" w:hAnsi="Times New Roman" w:cs="Times New Roman"/>
          <w:bCs/>
          <w:iCs/>
          <w:sz w:val="24"/>
          <w:szCs w:val="24"/>
          <w:lang w:val="bg-BG"/>
        </w:rPr>
        <w:t xml:space="preserve">специализираните органи на Министерството на отбраната и Министерството на регионалното развитие и благоустройство </w:t>
      </w:r>
      <w:r w:rsidR="00CD17AF" w:rsidRPr="00610B1B">
        <w:rPr>
          <w:rFonts w:ascii="Times New Roman" w:hAnsi="Times New Roman" w:cs="Times New Roman"/>
          <w:bCs/>
          <w:iCs/>
          <w:sz w:val="24"/>
          <w:szCs w:val="24"/>
          <w:lang w:val="bg-BG"/>
        </w:rPr>
        <w:t xml:space="preserve">и </w:t>
      </w:r>
      <w:r w:rsidRPr="00610B1B">
        <w:rPr>
          <w:rFonts w:ascii="Times New Roman" w:hAnsi="Times New Roman" w:cs="Times New Roman"/>
          <w:bCs/>
          <w:iCs/>
          <w:sz w:val="24"/>
          <w:szCs w:val="24"/>
          <w:lang w:val="bg-BG"/>
        </w:rPr>
        <w:t>актуализацията</w:t>
      </w:r>
      <w:r w:rsidR="00DE3A13" w:rsidRPr="00610B1B">
        <w:rPr>
          <w:rFonts w:ascii="Times New Roman" w:hAnsi="Times New Roman" w:cs="Times New Roman"/>
          <w:bCs/>
          <w:iCs/>
          <w:sz w:val="24"/>
          <w:szCs w:val="24"/>
          <w:lang w:val="bg-BG"/>
        </w:rPr>
        <w:t xml:space="preserve"> ѝ </w:t>
      </w:r>
      <w:r w:rsidRPr="00610B1B">
        <w:rPr>
          <w:rFonts w:ascii="Times New Roman" w:hAnsi="Times New Roman" w:cs="Times New Roman"/>
          <w:bCs/>
          <w:iCs/>
          <w:sz w:val="24"/>
          <w:szCs w:val="24"/>
          <w:lang w:val="bg-BG"/>
        </w:rPr>
        <w:t>в срок</w:t>
      </w:r>
      <w:r w:rsidR="00CD17AF" w:rsidRPr="00610B1B">
        <w:rPr>
          <w:rFonts w:ascii="Times New Roman" w:hAnsi="Times New Roman" w:cs="Times New Roman"/>
          <w:bCs/>
          <w:iCs/>
          <w:sz w:val="24"/>
          <w:szCs w:val="24"/>
          <w:lang w:val="bg-BG"/>
        </w:rPr>
        <w:t>ове</w:t>
      </w:r>
      <w:r w:rsidRPr="00610B1B">
        <w:rPr>
          <w:rFonts w:ascii="Times New Roman" w:hAnsi="Times New Roman" w:cs="Times New Roman"/>
          <w:bCs/>
          <w:iCs/>
          <w:sz w:val="24"/>
          <w:szCs w:val="24"/>
          <w:lang w:val="bg-BG"/>
        </w:rPr>
        <w:t xml:space="preserve"> </w:t>
      </w:r>
      <w:r w:rsidR="00765BD4" w:rsidRPr="00610B1B">
        <w:rPr>
          <w:rFonts w:ascii="Times New Roman" w:hAnsi="Times New Roman" w:cs="Times New Roman"/>
          <w:bCs/>
          <w:iCs/>
          <w:sz w:val="24"/>
          <w:szCs w:val="24"/>
          <w:lang w:val="bg-BG"/>
        </w:rPr>
        <w:t xml:space="preserve">от </w:t>
      </w:r>
      <w:r w:rsidRPr="00610B1B">
        <w:rPr>
          <w:rFonts w:ascii="Times New Roman" w:hAnsi="Times New Roman" w:cs="Times New Roman"/>
          <w:bCs/>
          <w:iCs/>
          <w:sz w:val="24"/>
          <w:szCs w:val="24"/>
          <w:lang w:val="bg-BG"/>
        </w:rPr>
        <w:t>5 години</w:t>
      </w:r>
      <w:r w:rsidR="00006A20" w:rsidRPr="00610B1B">
        <w:rPr>
          <w:rFonts w:ascii="Times New Roman" w:hAnsi="Times New Roman" w:cs="Times New Roman"/>
          <w:bCs/>
          <w:iCs/>
          <w:sz w:val="24"/>
          <w:szCs w:val="24"/>
          <w:lang w:val="bg-BG"/>
        </w:rPr>
        <w:t xml:space="preserve"> е от значение за научните изследвания на процесите на територията</w:t>
      </w:r>
      <w:r w:rsidR="00765BD4" w:rsidRPr="00610B1B">
        <w:rPr>
          <w:rFonts w:ascii="Times New Roman" w:hAnsi="Times New Roman" w:cs="Times New Roman"/>
          <w:bCs/>
          <w:iCs/>
          <w:sz w:val="24"/>
          <w:szCs w:val="24"/>
          <w:lang w:val="bg-BG"/>
        </w:rPr>
        <w:t xml:space="preserve"> </w:t>
      </w:r>
      <w:r w:rsidR="00006A20" w:rsidRPr="00610B1B">
        <w:rPr>
          <w:rFonts w:ascii="Times New Roman" w:hAnsi="Times New Roman" w:cs="Times New Roman"/>
          <w:bCs/>
          <w:iCs/>
          <w:sz w:val="24"/>
          <w:szCs w:val="24"/>
          <w:lang w:val="bg-BG"/>
        </w:rPr>
        <w:t xml:space="preserve">и </w:t>
      </w:r>
      <w:r w:rsidR="00761215" w:rsidRPr="00610B1B">
        <w:rPr>
          <w:rFonts w:ascii="Times New Roman" w:hAnsi="Times New Roman" w:cs="Times New Roman"/>
          <w:bCs/>
          <w:iCs/>
          <w:sz w:val="24"/>
          <w:szCs w:val="24"/>
          <w:lang w:val="bg-BG"/>
        </w:rPr>
        <w:t>а</w:t>
      </w:r>
      <w:r w:rsidR="00006A20" w:rsidRPr="00610B1B">
        <w:rPr>
          <w:rFonts w:ascii="Times New Roman" w:hAnsi="Times New Roman" w:cs="Times New Roman"/>
          <w:bCs/>
          <w:iCs/>
          <w:sz w:val="24"/>
          <w:szCs w:val="24"/>
          <w:lang w:val="bg-BG"/>
        </w:rPr>
        <w:t>кваторията. У</w:t>
      </w:r>
      <w:r w:rsidRPr="00610B1B">
        <w:rPr>
          <w:rFonts w:ascii="Times New Roman" w:hAnsi="Times New Roman" w:cs="Times New Roman"/>
          <w:bCs/>
          <w:iCs/>
          <w:sz w:val="24"/>
          <w:szCs w:val="24"/>
          <w:lang w:val="bg-BG"/>
        </w:rPr>
        <w:t>твържд</w:t>
      </w:r>
      <w:r w:rsidR="00CD17AF" w:rsidRPr="00610B1B">
        <w:rPr>
          <w:rFonts w:ascii="Times New Roman" w:hAnsi="Times New Roman" w:cs="Times New Roman"/>
          <w:bCs/>
          <w:iCs/>
          <w:sz w:val="24"/>
          <w:szCs w:val="24"/>
          <w:lang w:val="bg-BG"/>
        </w:rPr>
        <w:t>а</w:t>
      </w:r>
      <w:r w:rsidRPr="00610B1B">
        <w:rPr>
          <w:rFonts w:ascii="Times New Roman" w:hAnsi="Times New Roman" w:cs="Times New Roman"/>
          <w:bCs/>
          <w:iCs/>
          <w:sz w:val="24"/>
          <w:szCs w:val="24"/>
          <w:lang w:val="bg-BG"/>
        </w:rPr>
        <w:t>в</w:t>
      </w:r>
      <w:r w:rsidR="00CD17AF" w:rsidRPr="00610B1B">
        <w:rPr>
          <w:rFonts w:ascii="Times New Roman" w:hAnsi="Times New Roman" w:cs="Times New Roman"/>
          <w:bCs/>
          <w:iCs/>
          <w:sz w:val="24"/>
          <w:szCs w:val="24"/>
          <w:lang w:val="bg-BG"/>
        </w:rPr>
        <w:t>а</w:t>
      </w:r>
      <w:r w:rsidRPr="00610B1B">
        <w:rPr>
          <w:rFonts w:ascii="Times New Roman" w:hAnsi="Times New Roman" w:cs="Times New Roman"/>
          <w:bCs/>
          <w:iCs/>
          <w:sz w:val="24"/>
          <w:szCs w:val="24"/>
          <w:lang w:val="bg-BG"/>
        </w:rPr>
        <w:t>нето на единна за България унифицирана цифрова версия на бреговата линия за картопострояване в различни мащаби</w:t>
      </w:r>
      <w:r w:rsidR="00006A20" w:rsidRPr="00610B1B">
        <w:rPr>
          <w:rFonts w:ascii="Times New Roman" w:hAnsi="Times New Roman" w:cs="Times New Roman"/>
          <w:bCs/>
          <w:iCs/>
          <w:sz w:val="24"/>
          <w:szCs w:val="24"/>
          <w:lang w:val="bg-BG"/>
        </w:rPr>
        <w:t>, заедно</w:t>
      </w:r>
      <w:r w:rsidR="00CD17AF" w:rsidRPr="00610B1B">
        <w:rPr>
          <w:rFonts w:ascii="Times New Roman" w:hAnsi="Times New Roman" w:cs="Times New Roman"/>
          <w:bCs/>
          <w:iCs/>
          <w:sz w:val="24"/>
          <w:szCs w:val="24"/>
          <w:lang w:val="bg-BG"/>
        </w:rPr>
        <w:t xml:space="preserve"> </w:t>
      </w:r>
      <w:r w:rsidR="00006A20" w:rsidRPr="00610B1B">
        <w:rPr>
          <w:rFonts w:ascii="Times New Roman" w:hAnsi="Times New Roman" w:cs="Times New Roman"/>
          <w:bCs/>
          <w:iCs/>
          <w:sz w:val="24"/>
          <w:szCs w:val="24"/>
          <w:lang w:val="bg-BG"/>
        </w:rPr>
        <w:t>с уеднаквяването на изходната информация</w:t>
      </w:r>
      <w:r w:rsidR="00D86805" w:rsidRPr="00610B1B">
        <w:rPr>
          <w:rFonts w:ascii="Times New Roman" w:hAnsi="Times New Roman" w:cs="Times New Roman"/>
          <w:bCs/>
          <w:iCs/>
          <w:sz w:val="24"/>
          <w:szCs w:val="24"/>
          <w:lang w:val="bg-BG"/>
        </w:rPr>
        <w:t>,</w:t>
      </w:r>
      <w:r w:rsidR="00006A20" w:rsidRPr="00610B1B">
        <w:rPr>
          <w:rFonts w:ascii="Times New Roman" w:hAnsi="Times New Roman" w:cs="Times New Roman"/>
          <w:bCs/>
          <w:iCs/>
          <w:sz w:val="24"/>
          <w:szCs w:val="24"/>
          <w:lang w:val="bg-BG"/>
        </w:rPr>
        <w:t xml:space="preserve"> ще предаде по-голяма достоверност и легитимност на научните изследвания и представянето</w:t>
      </w:r>
      <w:r w:rsidR="00006A20" w:rsidRPr="00610B1B">
        <w:rPr>
          <w:rFonts w:ascii="Times New Roman" w:hAnsi="Times New Roman" w:cs="Times New Roman"/>
          <w:lang w:val="bg-BG"/>
        </w:rPr>
        <w:t xml:space="preserve"> </w:t>
      </w:r>
      <w:r w:rsidR="00006A20" w:rsidRPr="00610B1B">
        <w:rPr>
          <w:rFonts w:ascii="Times New Roman" w:hAnsi="Times New Roman" w:cs="Times New Roman"/>
          <w:bCs/>
          <w:iCs/>
          <w:sz w:val="24"/>
          <w:szCs w:val="24"/>
          <w:lang w:val="bg-BG"/>
        </w:rPr>
        <w:t>в националните и световните бази данни.</w:t>
      </w:r>
      <w:r w:rsidR="00D66FE0" w:rsidRPr="00610B1B">
        <w:rPr>
          <w:rFonts w:ascii="Times New Roman" w:hAnsi="Times New Roman" w:cs="Times New Roman"/>
          <w:bCs/>
          <w:iCs/>
          <w:sz w:val="24"/>
          <w:szCs w:val="24"/>
          <w:lang w:val="bg-BG"/>
        </w:rPr>
        <w:t xml:space="preserve"> </w:t>
      </w:r>
    </w:p>
    <w:p w14:paraId="6292AF81" w14:textId="206F10BF" w:rsidR="00823BE7" w:rsidRPr="00610B1B" w:rsidRDefault="00B601CD" w:rsidP="00D32D6A">
      <w:pPr>
        <w:pStyle w:val="Heading3"/>
        <w:spacing w:before="0" w:line="276" w:lineRule="auto"/>
        <w:ind w:right="-153"/>
        <w:rPr>
          <w:rFonts w:cs="Times New Roman"/>
        </w:rPr>
      </w:pPr>
      <w:bookmarkStart w:id="24" w:name="_Toc83391362"/>
      <w:r w:rsidRPr="00610B1B">
        <w:rPr>
          <w:rFonts w:cs="Times New Roman"/>
        </w:rPr>
        <w:t xml:space="preserve">2.2.2. </w:t>
      </w:r>
      <w:r w:rsidR="00823BE7" w:rsidRPr="00610B1B">
        <w:rPr>
          <w:rFonts w:cs="Times New Roman"/>
        </w:rPr>
        <w:t>Хидрология</w:t>
      </w:r>
      <w:bookmarkEnd w:id="24"/>
      <w:r w:rsidR="00823BE7" w:rsidRPr="00610B1B">
        <w:rPr>
          <w:rFonts w:cs="Times New Roman"/>
        </w:rPr>
        <w:t xml:space="preserve"> </w:t>
      </w:r>
    </w:p>
    <w:p w14:paraId="538827C2" w14:textId="143BC21B" w:rsidR="00432A60" w:rsidRPr="00610B1B" w:rsidRDefault="004F0987"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Общата п</w:t>
      </w:r>
      <w:r w:rsidR="00823BE7" w:rsidRPr="00610B1B">
        <w:rPr>
          <w:rFonts w:ascii="Times New Roman" w:hAnsi="Times New Roman" w:cs="Times New Roman"/>
          <w:sz w:val="24"/>
          <w:szCs w:val="24"/>
          <w:lang w:val="bg-BG"/>
        </w:rPr>
        <w:t xml:space="preserve">лощ на Черно море </w:t>
      </w:r>
      <w:r w:rsidR="00765BD4" w:rsidRPr="00610B1B">
        <w:rPr>
          <w:rFonts w:ascii="Times New Roman" w:hAnsi="Times New Roman" w:cs="Times New Roman"/>
          <w:sz w:val="24"/>
          <w:szCs w:val="24"/>
          <w:lang w:val="bg-BG"/>
        </w:rPr>
        <w:t xml:space="preserve">от </w:t>
      </w:r>
      <w:r w:rsidR="00823BE7" w:rsidRPr="00610B1B">
        <w:rPr>
          <w:rFonts w:ascii="Times New Roman" w:hAnsi="Times New Roman" w:cs="Times New Roman"/>
          <w:sz w:val="24"/>
          <w:szCs w:val="24"/>
          <w:lang w:val="bg-BG"/>
        </w:rPr>
        <w:t xml:space="preserve">423 000 </w:t>
      </w:r>
      <w:r w:rsidR="00977A5A" w:rsidRPr="00610B1B">
        <w:rPr>
          <w:rFonts w:ascii="Times New Roman" w:hAnsi="Times New Roman" w:cs="Times New Roman"/>
          <w:sz w:val="24"/>
          <w:szCs w:val="24"/>
          <w:lang w:val="bg-BG"/>
        </w:rPr>
        <w:t>km</w:t>
      </w:r>
      <w:r w:rsidR="00823BE7" w:rsidRPr="00610B1B">
        <w:rPr>
          <w:rFonts w:ascii="Times New Roman" w:hAnsi="Times New Roman" w:cs="Times New Roman"/>
          <w:sz w:val="24"/>
          <w:szCs w:val="24"/>
          <w:vertAlign w:val="superscript"/>
          <w:lang w:val="bg-BG"/>
        </w:rPr>
        <w:t>2</w:t>
      </w:r>
      <w:r w:rsidR="00823BE7" w:rsidRPr="00610B1B">
        <w:rPr>
          <w:rFonts w:ascii="Times New Roman" w:hAnsi="Times New Roman" w:cs="Times New Roman"/>
          <w:sz w:val="24"/>
          <w:szCs w:val="24"/>
          <w:lang w:val="bg-BG"/>
        </w:rPr>
        <w:t xml:space="preserve"> е приблизително една пета от повърхността на Средиземно море. Общият му обем е 547 000 km</w:t>
      </w:r>
      <w:r w:rsidR="00823BE7" w:rsidRPr="00610B1B">
        <w:rPr>
          <w:rFonts w:ascii="Times New Roman" w:hAnsi="Times New Roman" w:cs="Times New Roman"/>
          <w:sz w:val="24"/>
          <w:szCs w:val="24"/>
          <w:vertAlign w:val="superscript"/>
          <w:lang w:val="bg-BG"/>
        </w:rPr>
        <w:t>3</w:t>
      </w:r>
      <w:r w:rsidR="00823BE7" w:rsidRPr="00610B1B">
        <w:rPr>
          <w:rFonts w:ascii="Times New Roman" w:hAnsi="Times New Roman" w:cs="Times New Roman"/>
          <w:sz w:val="24"/>
          <w:szCs w:val="24"/>
          <w:lang w:val="bg-BG"/>
        </w:rPr>
        <w:t xml:space="preserve"> и максимална</w:t>
      </w:r>
      <w:r w:rsidR="001662DD" w:rsidRPr="00610B1B">
        <w:rPr>
          <w:rFonts w:ascii="Times New Roman" w:hAnsi="Times New Roman" w:cs="Times New Roman"/>
          <w:sz w:val="24"/>
          <w:szCs w:val="24"/>
          <w:lang w:val="bg-BG"/>
        </w:rPr>
        <w:t>та</w:t>
      </w:r>
      <w:r w:rsidR="00823BE7" w:rsidRPr="00610B1B">
        <w:rPr>
          <w:rFonts w:ascii="Times New Roman" w:hAnsi="Times New Roman" w:cs="Times New Roman"/>
          <w:sz w:val="24"/>
          <w:szCs w:val="24"/>
          <w:lang w:val="bg-BG"/>
        </w:rPr>
        <w:t xml:space="preserve"> дълбочина около 2</w:t>
      </w:r>
      <w:r w:rsidR="00536C29" w:rsidRPr="00610B1B">
        <w:rPr>
          <w:rFonts w:ascii="Times New Roman" w:hAnsi="Times New Roman" w:cs="Times New Roman"/>
          <w:sz w:val="24"/>
          <w:szCs w:val="24"/>
          <w:lang w:val="bg-BG"/>
        </w:rPr>
        <w:t> </w:t>
      </w:r>
      <w:r w:rsidR="00823BE7" w:rsidRPr="00610B1B">
        <w:rPr>
          <w:rFonts w:ascii="Times New Roman" w:hAnsi="Times New Roman" w:cs="Times New Roman"/>
          <w:sz w:val="24"/>
          <w:szCs w:val="24"/>
          <w:lang w:val="bg-BG"/>
        </w:rPr>
        <w:t xml:space="preserve">200 m. </w:t>
      </w:r>
    </w:p>
    <w:p w14:paraId="25A6008B" w14:textId="5190EFF4" w:rsidR="00823BE7" w:rsidRPr="00610B1B" w:rsidRDefault="00823BE7"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Големият сладководен речен вток на повърхността и притокът на солени средиземноморски води, разпространяващи се в дълбоководната част на морето през </w:t>
      </w:r>
      <w:r w:rsidRPr="00610B1B">
        <w:rPr>
          <w:rFonts w:ascii="Times New Roman" w:hAnsi="Times New Roman" w:cs="Times New Roman"/>
          <w:sz w:val="24"/>
          <w:szCs w:val="24"/>
          <w:lang w:val="bg-BG"/>
        </w:rPr>
        <w:lastRenderedPageBreak/>
        <w:t xml:space="preserve">Босфорския проток, създават условия за </w:t>
      </w:r>
      <w:r w:rsidRPr="00610B1B">
        <w:rPr>
          <w:rFonts w:ascii="Times New Roman" w:hAnsi="Times New Roman" w:cs="Times New Roman"/>
          <w:b/>
          <w:i/>
          <w:sz w:val="24"/>
          <w:szCs w:val="24"/>
          <w:lang w:val="bg-BG"/>
        </w:rPr>
        <w:t>уникална двуслойна термо-халинна водна стратификация</w:t>
      </w:r>
      <w:r w:rsidRPr="00610B1B">
        <w:rPr>
          <w:rFonts w:ascii="Times New Roman" w:hAnsi="Times New Roman" w:cs="Times New Roman"/>
          <w:sz w:val="24"/>
          <w:szCs w:val="24"/>
          <w:lang w:val="bg-BG"/>
        </w:rPr>
        <w:t xml:space="preserve">. Оттук се образува остър хало-пикноклин, разположен на дълбочина 50 - 100 </w:t>
      </w:r>
      <w:r w:rsidR="00536C29"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който разделя повърхностните и дълбоките басейнови слоеве.</w:t>
      </w:r>
      <w:r w:rsidR="00977A5A"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Вертикалната биогеохимична структура на Черно море се различава значително от типичната за океана. Рязкото стратифициране по плътност, придружено със слаба вертикална циркулация и смесване, предотвратяват вентилацията на водите под постоянния пикноклин. </w:t>
      </w:r>
      <w:r w:rsidR="00D86805" w:rsidRPr="00610B1B">
        <w:rPr>
          <w:rFonts w:ascii="Times New Roman" w:hAnsi="Times New Roman" w:cs="Times New Roman"/>
          <w:sz w:val="24"/>
          <w:szCs w:val="24"/>
          <w:lang w:val="bg-BG"/>
        </w:rPr>
        <w:t>Поради тази</w:t>
      </w:r>
      <w:r w:rsidRPr="00610B1B">
        <w:rPr>
          <w:rFonts w:ascii="Times New Roman" w:hAnsi="Times New Roman" w:cs="Times New Roman"/>
          <w:sz w:val="24"/>
          <w:szCs w:val="24"/>
          <w:lang w:val="bg-BG"/>
        </w:rPr>
        <w:t xml:space="preserve"> причина, органичната материя, която непрекъснато седиментира и </w:t>
      </w:r>
      <w:r w:rsidR="00D86805" w:rsidRPr="00610B1B">
        <w:rPr>
          <w:rFonts w:ascii="Times New Roman" w:hAnsi="Times New Roman" w:cs="Times New Roman"/>
          <w:sz w:val="24"/>
          <w:szCs w:val="24"/>
          <w:lang w:val="bg-BG"/>
        </w:rPr>
        <w:t xml:space="preserve">се </w:t>
      </w:r>
      <w:r w:rsidRPr="00610B1B">
        <w:rPr>
          <w:rFonts w:ascii="Times New Roman" w:hAnsi="Times New Roman" w:cs="Times New Roman"/>
          <w:sz w:val="24"/>
          <w:szCs w:val="24"/>
          <w:lang w:val="bg-BG"/>
        </w:rPr>
        <w:t xml:space="preserve">разлага, води до развитие на </w:t>
      </w:r>
      <w:r w:rsidRPr="00610B1B">
        <w:rPr>
          <w:rFonts w:ascii="Times New Roman" w:hAnsi="Times New Roman" w:cs="Times New Roman"/>
          <w:b/>
          <w:i/>
          <w:sz w:val="24"/>
          <w:szCs w:val="24"/>
          <w:lang w:val="bg-BG"/>
        </w:rPr>
        <w:t>постоянна аноксия и високи концентрации на сероводород под дълбочина 120-150 m</w:t>
      </w:r>
      <w:r w:rsidRPr="00610B1B">
        <w:rPr>
          <w:rFonts w:ascii="Times New Roman" w:hAnsi="Times New Roman" w:cs="Times New Roman"/>
          <w:sz w:val="24"/>
          <w:szCs w:val="24"/>
          <w:lang w:val="bg-BG"/>
        </w:rPr>
        <w:t xml:space="preserve"> през последните 7</w:t>
      </w:r>
      <w:r w:rsidR="00536C29"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000 години. </w:t>
      </w:r>
    </w:p>
    <w:p w14:paraId="6C6F9E13" w14:textId="66B5B1C2" w:rsidR="00823BE7" w:rsidRPr="00610B1B" w:rsidRDefault="00823BE7"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Хидроложките условия в Черно море са строго специфични. Той е най-големия</w:t>
      </w:r>
      <w:r w:rsidR="00D86805" w:rsidRPr="00610B1B">
        <w:rPr>
          <w:rFonts w:ascii="Times New Roman" w:hAnsi="Times New Roman" w:cs="Times New Roman"/>
          <w:sz w:val="24"/>
          <w:szCs w:val="24"/>
          <w:lang w:val="bg-BG"/>
        </w:rPr>
        <w:t>т</w:t>
      </w:r>
      <w:r w:rsidRPr="00610B1B">
        <w:rPr>
          <w:rFonts w:ascii="Times New Roman" w:hAnsi="Times New Roman" w:cs="Times New Roman"/>
          <w:sz w:val="24"/>
          <w:szCs w:val="24"/>
          <w:lang w:val="bg-BG"/>
        </w:rPr>
        <w:t xml:space="preserve"> аноксен басейн в света, със стабилна вертикална стратификация, причинена от преобладаващия речен вток и валежите. Средната аномалия на повърхностната плътност е 14 </w:t>
      </w:r>
      <w:r w:rsidR="00536C29" w:rsidRPr="00610B1B">
        <w:rPr>
          <w:rFonts w:ascii="Times New Roman" w:hAnsi="Times New Roman" w:cs="Times New Roman"/>
          <w:sz w:val="24"/>
          <w:szCs w:val="24"/>
          <w:lang w:val="bg-BG"/>
        </w:rPr>
        <w:t>kg</w:t>
      </w:r>
      <w:r w:rsidRPr="00610B1B">
        <w:rPr>
          <w:rFonts w:ascii="Times New Roman" w:hAnsi="Times New Roman" w:cs="Times New Roman"/>
          <w:sz w:val="24"/>
          <w:szCs w:val="24"/>
          <w:lang w:val="bg-BG"/>
        </w:rPr>
        <w:t>/</w:t>
      </w:r>
      <w:r w:rsidR="00536C29" w:rsidRPr="00610B1B">
        <w:rPr>
          <w:rFonts w:ascii="Times New Roman" w:hAnsi="Times New Roman" w:cs="Times New Roman"/>
          <w:sz w:val="24"/>
          <w:szCs w:val="24"/>
          <w:lang w:val="bg-BG"/>
        </w:rPr>
        <w:t>m</w:t>
      </w:r>
      <w:r w:rsidRPr="00610B1B">
        <w:rPr>
          <w:rFonts w:ascii="Times New Roman" w:hAnsi="Times New Roman" w:cs="Times New Roman"/>
          <w:sz w:val="24"/>
          <w:szCs w:val="24"/>
          <w:vertAlign w:val="superscript"/>
          <w:lang w:val="bg-BG"/>
        </w:rPr>
        <w:t>3</w:t>
      </w:r>
      <w:r w:rsidRPr="00610B1B">
        <w:rPr>
          <w:rFonts w:ascii="Times New Roman" w:hAnsi="Times New Roman" w:cs="Times New Roman"/>
          <w:sz w:val="24"/>
          <w:szCs w:val="24"/>
          <w:lang w:val="bg-BG"/>
        </w:rPr>
        <w:t xml:space="preserve">, </w:t>
      </w:r>
      <w:r w:rsidR="00D86805" w:rsidRPr="00610B1B">
        <w:rPr>
          <w:rFonts w:ascii="Times New Roman" w:hAnsi="Times New Roman" w:cs="Times New Roman"/>
          <w:sz w:val="24"/>
          <w:szCs w:val="24"/>
          <w:lang w:val="bg-BG"/>
        </w:rPr>
        <w:t xml:space="preserve">а </w:t>
      </w:r>
      <w:r w:rsidRPr="00610B1B">
        <w:rPr>
          <w:rFonts w:ascii="Times New Roman" w:hAnsi="Times New Roman" w:cs="Times New Roman"/>
          <w:sz w:val="24"/>
          <w:szCs w:val="24"/>
          <w:lang w:val="bg-BG"/>
        </w:rPr>
        <w:t>солеността е под 22‰.</w:t>
      </w:r>
      <w:r w:rsidR="00EA610C" w:rsidRPr="00610B1B">
        <w:rPr>
          <w:rFonts w:ascii="Times New Roman" w:hAnsi="Times New Roman" w:cs="Times New Roman"/>
          <w:sz w:val="24"/>
          <w:szCs w:val="24"/>
          <w:lang w:val="bg-BG"/>
        </w:rPr>
        <w:t xml:space="preserve"> Притокът </w:t>
      </w:r>
      <w:r w:rsidRPr="00610B1B">
        <w:rPr>
          <w:rFonts w:ascii="Times New Roman" w:hAnsi="Times New Roman" w:cs="Times New Roman"/>
          <w:sz w:val="24"/>
          <w:szCs w:val="24"/>
          <w:lang w:val="bg-BG"/>
        </w:rPr>
        <w:t xml:space="preserve">на средиземноморска вода през Босфора е причина солеността в дълбоководните части на басейна да е по-висока от повърхностната. Отличителна черта на Черно море е наличието на </w:t>
      </w:r>
      <w:r w:rsidRPr="00610B1B">
        <w:rPr>
          <w:rFonts w:ascii="Times New Roman" w:hAnsi="Times New Roman" w:cs="Times New Roman"/>
          <w:b/>
          <w:i/>
          <w:sz w:val="24"/>
          <w:szCs w:val="24"/>
          <w:lang w:val="bg-BG"/>
        </w:rPr>
        <w:t>постоянен халоклин - слой с високи градиенти на солеността</w:t>
      </w:r>
      <w:r w:rsidRPr="00610B1B">
        <w:rPr>
          <w:rFonts w:ascii="Times New Roman" w:hAnsi="Times New Roman" w:cs="Times New Roman"/>
          <w:sz w:val="24"/>
          <w:szCs w:val="24"/>
          <w:lang w:val="bg-BG"/>
        </w:rPr>
        <w:t xml:space="preserve">, разположен между 120 и 200 </w:t>
      </w:r>
      <w:r w:rsidR="00536C29"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xml:space="preserve"> дълбочина. Дълбочината му отразява баланса между повърхностните разпреснени и дълбоководните сравнително солени слоеве. Наличието на халоклина пречи на смесването и поддържа стабилността на повърхността, разделяща слоя, снабден с кислород и сероводор</w:t>
      </w:r>
      <w:r w:rsidR="00977A5A" w:rsidRPr="00610B1B">
        <w:rPr>
          <w:rFonts w:ascii="Times New Roman" w:hAnsi="Times New Roman" w:cs="Times New Roman"/>
          <w:sz w:val="24"/>
          <w:szCs w:val="24"/>
          <w:lang w:val="bg-BG"/>
        </w:rPr>
        <w:t>о</w:t>
      </w:r>
      <w:r w:rsidRPr="00610B1B">
        <w:rPr>
          <w:rFonts w:ascii="Times New Roman" w:hAnsi="Times New Roman" w:cs="Times New Roman"/>
          <w:sz w:val="24"/>
          <w:szCs w:val="24"/>
          <w:lang w:val="bg-BG"/>
        </w:rPr>
        <w:t xml:space="preserve">дния слой. </w:t>
      </w:r>
    </w:p>
    <w:p w14:paraId="111026FB" w14:textId="79F2590B" w:rsidR="00823BE7" w:rsidRPr="00610B1B" w:rsidRDefault="00977A5A" w:rsidP="00D32D6A">
      <w:pPr>
        <w:autoSpaceDE w:val="0"/>
        <w:autoSpaceDN w:val="0"/>
        <w:adjustRightInd w:val="0"/>
        <w:spacing w:after="120"/>
        <w:ind w:right="-153"/>
        <w:jc w:val="both"/>
        <w:rPr>
          <w:rFonts w:ascii="Times New Roman" w:hAnsi="Times New Roman" w:cs="Times New Roman"/>
          <w:color w:val="231F20"/>
          <w:sz w:val="24"/>
          <w:szCs w:val="24"/>
          <w:lang w:val="bg-BG"/>
        </w:rPr>
      </w:pPr>
      <w:r w:rsidRPr="00610B1B">
        <w:rPr>
          <w:rFonts w:ascii="Times New Roman" w:hAnsi="Times New Roman" w:cs="Times New Roman"/>
          <w:sz w:val="24"/>
          <w:szCs w:val="24"/>
          <w:lang w:val="bg-BG"/>
        </w:rPr>
        <w:t xml:space="preserve">Присъствието </w:t>
      </w:r>
      <w:r w:rsidR="00823BE7" w:rsidRPr="00610B1B">
        <w:rPr>
          <w:rFonts w:ascii="Times New Roman" w:hAnsi="Times New Roman" w:cs="Times New Roman"/>
          <w:sz w:val="24"/>
          <w:szCs w:val="24"/>
          <w:lang w:val="bg-BG"/>
        </w:rPr>
        <w:t xml:space="preserve">на сероводородна зона в Черно море се приема като сигурно потвърждение на хипотезата за липса на обмен между повърхностния и дълбокия (под халоклин) воден слой. Причината за </w:t>
      </w:r>
      <w:r w:rsidR="001D56B2" w:rsidRPr="00610B1B">
        <w:rPr>
          <w:rFonts w:ascii="Times New Roman" w:hAnsi="Times New Roman" w:cs="Times New Roman"/>
          <w:sz w:val="24"/>
          <w:szCs w:val="24"/>
          <w:lang w:val="bg-BG"/>
        </w:rPr>
        <w:t>това</w:t>
      </w:r>
      <w:r w:rsidR="00823BE7" w:rsidRPr="00610B1B">
        <w:rPr>
          <w:rFonts w:ascii="Times New Roman" w:hAnsi="Times New Roman" w:cs="Times New Roman"/>
          <w:sz w:val="24"/>
          <w:szCs w:val="24"/>
          <w:lang w:val="bg-BG"/>
        </w:rPr>
        <w:t xml:space="preserve"> е, че докато повърхностните слоеве редовно се попълват от речния вток и валежите, по-дълбоките слоеве на Черно море се заемат само от соления вток от придънното Босфорско течение. </w:t>
      </w:r>
      <w:r w:rsidR="00D86805" w:rsidRPr="00610B1B">
        <w:rPr>
          <w:rFonts w:ascii="Times New Roman" w:hAnsi="Times New Roman" w:cs="Times New Roman"/>
          <w:sz w:val="24"/>
          <w:szCs w:val="24"/>
          <w:lang w:val="bg-BG"/>
        </w:rPr>
        <w:t xml:space="preserve">Обемът </w:t>
      </w:r>
      <w:r w:rsidR="00823BE7" w:rsidRPr="00610B1B">
        <w:rPr>
          <w:rFonts w:ascii="Times New Roman" w:hAnsi="Times New Roman" w:cs="Times New Roman"/>
          <w:sz w:val="24"/>
          <w:szCs w:val="24"/>
          <w:lang w:val="bg-BG"/>
        </w:rPr>
        <w:t>на въвежданата вода е много малък в сравнение с общия обем на водата в басейна</w:t>
      </w:r>
      <w:r w:rsidR="00D86805" w:rsidRPr="00610B1B">
        <w:rPr>
          <w:rFonts w:ascii="Times New Roman" w:hAnsi="Times New Roman" w:cs="Times New Roman"/>
          <w:sz w:val="24"/>
          <w:szCs w:val="24"/>
          <w:lang w:val="bg-BG"/>
        </w:rPr>
        <w:t xml:space="preserve"> и </w:t>
      </w:r>
      <w:r w:rsidR="00823BE7" w:rsidRPr="00610B1B">
        <w:rPr>
          <w:rFonts w:ascii="Times New Roman" w:hAnsi="Times New Roman" w:cs="Times New Roman"/>
          <w:sz w:val="24"/>
          <w:szCs w:val="24"/>
          <w:lang w:val="bg-BG"/>
        </w:rPr>
        <w:t>е</w:t>
      </w:r>
      <w:r w:rsidR="00D66FE0" w:rsidRPr="00610B1B">
        <w:rPr>
          <w:rFonts w:ascii="Times New Roman" w:hAnsi="Times New Roman" w:cs="Times New Roman"/>
          <w:sz w:val="24"/>
          <w:szCs w:val="24"/>
          <w:lang w:val="bg-BG"/>
        </w:rPr>
        <w:t xml:space="preserve"> </w:t>
      </w:r>
      <w:r w:rsidR="00823BE7" w:rsidRPr="00610B1B">
        <w:rPr>
          <w:rFonts w:ascii="Times New Roman" w:hAnsi="Times New Roman" w:cs="Times New Roman"/>
          <w:sz w:val="24"/>
          <w:szCs w:val="24"/>
          <w:lang w:val="bg-BG"/>
        </w:rPr>
        <w:t>изчислено, че водата на по-големи дълбочини се подновява само веднъж на всеки 2</w:t>
      </w:r>
      <w:r w:rsidR="00536C29" w:rsidRPr="00610B1B">
        <w:rPr>
          <w:rFonts w:ascii="Times New Roman" w:hAnsi="Times New Roman" w:cs="Times New Roman"/>
          <w:sz w:val="24"/>
          <w:szCs w:val="24"/>
          <w:lang w:val="bg-BG"/>
        </w:rPr>
        <w:t> </w:t>
      </w:r>
      <w:r w:rsidR="00823BE7" w:rsidRPr="00610B1B">
        <w:rPr>
          <w:rFonts w:ascii="Times New Roman" w:hAnsi="Times New Roman" w:cs="Times New Roman"/>
          <w:sz w:val="24"/>
          <w:szCs w:val="24"/>
          <w:lang w:val="bg-BG"/>
        </w:rPr>
        <w:t>000</w:t>
      </w:r>
      <w:r w:rsidRPr="00610B1B">
        <w:rPr>
          <w:rFonts w:ascii="Times New Roman" w:hAnsi="Times New Roman" w:cs="Times New Roman"/>
          <w:sz w:val="24"/>
          <w:szCs w:val="24"/>
          <w:lang w:val="bg-BG"/>
        </w:rPr>
        <w:t xml:space="preserve"> </w:t>
      </w:r>
      <w:r w:rsidR="00823BE7"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w:t>
      </w:r>
      <w:r w:rsidR="00823BE7" w:rsidRPr="00610B1B">
        <w:rPr>
          <w:rFonts w:ascii="Times New Roman" w:hAnsi="Times New Roman" w:cs="Times New Roman"/>
          <w:sz w:val="24"/>
          <w:szCs w:val="24"/>
          <w:lang w:val="bg-BG"/>
        </w:rPr>
        <w:t>3</w:t>
      </w:r>
      <w:r w:rsidR="00536C29" w:rsidRPr="00610B1B">
        <w:rPr>
          <w:rFonts w:ascii="Times New Roman" w:hAnsi="Times New Roman" w:cs="Times New Roman"/>
          <w:sz w:val="24"/>
          <w:szCs w:val="24"/>
          <w:lang w:val="bg-BG"/>
        </w:rPr>
        <w:t> </w:t>
      </w:r>
      <w:r w:rsidR="00823BE7" w:rsidRPr="00610B1B">
        <w:rPr>
          <w:rFonts w:ascii="Times New Roman" w:hAnsi="Times New Roman" w:cs="Times New Roman"/>
          <w:sz w:val="24"/>
          <w:szCs w:val="24"/>
          <w:lang w:val="bg-BG"/>
        </w:rPr>
        <w:t>000 години. Независимо от силно изразения халоклинен “застой” на водите в чашката на басейна, система от различни циклонални и антициклонални вихри на практика заема целия воден стълб, като динамичните процеси продължават със специфична интензивност в различни слоеве</w:t>
      </w:r>
      <w:r w:rsidR="00823BE7" w:rsidRPr="00610B1B">
        <w:rPr>
          <w:rFonts w:ascii="Times New Roman" w:hAnsi="Times New Roman" w:cs="Times New Roman"/>
          <w:color w:val="231F20"/>
          <w:sz w:val="24"/>
          <w:szCs w:val="24"/>
          <w:lang w:val="bg-BG"/>
        </w:rPr>
        <w:t>.</w:t>
      </w:r>
    </w:p>
    <w:p w14:paraId="33B42A33" w14:textId="2D556D4B" w:rsidR="00823BE7" w:rsidRPr="00610B1B" w:rsidRDefault="00823BE7"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 изключение на топлинния баланс и изпарението и валежите, общият хидрологичен режим на морето до голяма степен зависи от обема на речния вток и средиземноморския солен воден поток (соленост 34–36‰). </w:t>
      </w:r>
      <w:r w:rsidR="009E4FC1" w:rsidRPr="00610B1B">
        <w:rPr>
          <w:rFonts w:ascii="Times New Roman" w:hAnsi="Times New Roman" w:cs="Times New Roman"/>
          <w:sz w:val="24"/>
          <w:szCs w:val="24"/>
          <w:lang w:val="bg-BG"/>
        </w:rPr>
        <w:t>Черно море е басейн с положителен воден баланс, показан за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периода 1923-1940 г. и 1945-1985 г. въз основа на изчисленията на водното количество от 800–801 </w:t>
      </w:r>
      <w:r w:rsidR="00536C29" w:rsidRPr="00610B1B">
        <w:rPr>
          <w:rFonts w:ascii="Times New Roman" w:hAnsi="Times New Roman" w:cs="Times New Roman"/>
          <w:sz w:val="24"/>
          <w:szCs w:val="24"/>
          <w:lang w:val="bg-BG"/>
        </w:rPr>
        <w:t>km</w:t>
      </w:r>
      <w:r w:rsidRPr="00610B1B">
        <w:rPr>
          <w:rFonts w:ascii="Times New Roman" w:hAnsi="Times New Roman" w:cs="Times New Roman"/>
          <w:sz w:val="24"/>
          <w:szCs w:val="24"/>
          <w:vertAlign w:val="superscript"/>
          <w:lang w:val="bg-BG"/>
        </w:rPr>
        <w:t>3</w:t>
      </w:r>
      <w:r w:rsidRPr="00610B1B">
        <w:rPr>
          <w:rFonts w:ascii="Times New Roman" w:hAnsi="Times New Roman" w:cs="Times New Roman"/>
          <w:sz w:val="24"/>
          <w:szCs w:val="24"/>
          <w:lang w:val="bg-BG"/>
        </w:rPr>
        <w:t xml:space="preserve"> </w:t>
      </w:r>
      <w:r w:rsidR="00124648" w:rsidRPr="00610B1B">
        <w:rPr>
          <w:rFonts w:ascii="Times New Roman" w:hAnsi="Times New Roman" w:cs="Times New Roman"/>
          <w:sz w:val="24"/>
          <w:szCs w:val="24"/>
          <w:lang w:val="bg-BG"/>
        </w:rPr>
        <w:t>(Altman and Matushevski, 1987).</w:t>
      </w:r>
    </w:p>
    <w:p w14:paraId="6B22842D" w14:textId="061311DC" w:rsidR="00823BE7" w:rsidRPr="00610B1B" w:rsidRDefault="00823BE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Водният поток в протока Босфор е сложен. Състои се от повърхностно течение с по-ниска соленост, което отвежда води извън Черно море и придънно течение от </w:t>
      </w:r>
      <w:r w:rsidR="001D56B2" w:rsidRPr="00610B1B">
        <w:rPr>
          <w:rFonts w:ascii="Times New Roman" w:hAnsi="Times New Roman" w:cs="Times New Roman"/>
          <w:sz w:val="24"/>
          <w:szCs w:val="24"/>
          <w:lang w:val="bg-BG"/>
        </w:rPr>
        <w:t xml:space="preserve">води от Мраморно море </w:t>
      </w:r>
      <w:r w:rsidRPr="00610B1B">
        <w:rPr>
          <w:rFonts w:ascii="Times New Roman" w:hAnsi="Times New Roman" w:cs="Times New Roman"/>
          <w:sz w:val="24"/>
          <w:szCs w:val="24"/>
          <w:lang w:val="bg-BG"/>
        </w:rPr>
        <w:t xml:space="preserve">с по-висока соленост и плътност, насочено към дълбоководните части на Черно море. И двата потока имат приблизително една и съща скорост от ~ 80 </w:t>
      </w:r>
      <w:r w:rsidR="00536C29" w:rsidRPr="00610B1B">
        <w:rPr>
          <w:rFonts w:ascii="Times New Roman" w:hAnsi="Times New Roman" w:cs="Times New Roman"/>
          <w:sz w:val="24"/>
          <w:szCs w:val="24"/>
          <w:lang w:val="bg-BG"/>
        </w:rPr>
        <w:t>cm</w:t>
      </w:r>
      <w:r w:rsidRPr="00610B1B">
        <w:rPr>
          <w:rFonts w:ascii="Times New Roman" w:hAnsi="Times New Roman" w:cs="Times New Roman"/>
          <w:sz w:val="24"/>
          <w:szCs w:val="24"/>
          <w:lang w:val="bg-BG"/>
        </w:rPr>
        <w:t>/</w:t>
      </w:r>
      <w:r w:rsidR="00536C29" w:rsidRPr="00610B1B">
        <w:rPr>
          <w:rFonts w:ascii="Times New Roman" w:hAnsi="Times New Roman" w:cs="Times New Roman"/>
          <w:sz w:val="24"/>
          <w:szCs w:val="24"/>
          <w:lang w:val="bg-BG"/>
        </w:rPr>
        <w:t>s</w:t>
      </w:r>
      <w:r w:rsidRPr="00610B1B">
        <w:rPr>
          <w:rFonts w:ascii="Times New Roman" w:hAnsi="Times New Roman" w:cs="Times New Roman"/>
          <w:sz w:val="24"/>
          <w:szCs w:val="24"/>
          <w:lang w:val="bg-BG"/>
        </w:rPr>
        <w:t>. Обемът изтичане на водни маси от Черно море е два пъти по-голям от притока на солена вода от Мраморно море.</w:t>
      </w:r>
    </w:p>
    <w:p w14:paraId="263590FC" w14:textId="740A0B11" w:rsidR="00823BE7" w:rsidRPr="00610B1B" w:rsidRDefault="00823BE7" w:rsidP="00D32D6A">
      <w:pPr>
        <w:spacing w:after="120"/>
        <w:ind w:right="-153"/>
        <w:jc w:val="both"/>
        <w:rPr>
          <w:rFonts w:ascii="Times New Roman" w:hAnsi="Times New Roman" w:cs="Times New Roman"/>
          <w:spacing w:val="-2"/>
          <w:sz w:val="24"/>
          <w:szCs w:val="24"/>
          <w:lang w:val="bg-BG"/>
        </w:rPr>
      </w:pPr>
      <w:r w:rsidRPr="00610B1B">
        <w:rPr>
          <w:rFonts w:ascii="Times New Roman" w:hAnsi="Times New Roman" w:cs="Times New Roman"/>
          <w:spacing w:val="-2"/>
          <w:sz w:val="24"/>
          <w:szCs w:val="24"/>
          <w:lang w:val="bg-BG"/>
        </w:rPr>
        <w:t xml:space="preserve">Водосборната зона на Черно море надхвърля 2 млн. </w:t>
      </w:r>
      <w:r w:rsidR="00536C29" w:rsidRPr="00610B1B">
        <w:rPr>
          <w:rFonts w:ascii="Times New Roman" w:hAnsi="Times New Roman" w:cs="Times New Roman"/>
          <w:spacing w:val="-2"/>
          <w:sz w:val="24"/>
          <w:szCs w:val="24"/>
          <w:lang w:val="bg-BG"/>
        </w:rPr>
        <w:t>km</w:t>
      </w:r>
      <w:r w:rsidRPr="00610B1B">
        <w:rPr>
          <w:rFonts w:ascii="Times New Roman" w:hAnsi="Times New Roman" w:cs="Times New Roman"/>
          <w:spacing w:val="-2"/>
          <w:sz w:val="24"/>
          <w:szCs w:val="24"/>
          <w:vertAlign w:val="superscript"/>
          <w:lang w:val="bg-BG"/>
        </w:rPr>
        <w:t>2</w:t>
      </w:r>
      <w:r w:rsidRPr="00610B1B">
        <w:rPr>
          <w:rFonts w:ascii="Times New Roman" w:hAnsi="Times New Roman" w:cs="Times New Roman"/>
          <w:spacing w:val="-2"/>
          <w:sz w:val="24"/>
          <w:szCs w:val="24"/>
          <w:lang w:val="bg-BG"/>
        </w:rPr>
        <w:t>, като само площта на р. Дунав обхваща една трета от тази зона. Три</w:t>
      </w:r>
      <w:r w:rsidR="00D12263" w:rsidRPr="00610B1B">
        <w:rPr>
          <w:rFonts w:ascii="Times New Roman" w:hAnsi="Times New Roman" w:cs="Times New Roman"/>
          <w:spacing w:val="-2"/>
          <w:sz w:val="24"/>
          <w:szCs w:val="24"/>
          <w:lang w:val="bg-BG"/>
        </w:rPr>
        <w:t>те</w:t>
      </w:r>
      <w:r w:rsidRPr="00610B1B">
        <w:rPr>
          <w:rFonts w:ascii="Times New Roman" w:hAnsi="Times New Roman" w:cs="Times New Roman"/>
          <w:spacing w:val="-2"/>
          <w:sz w:val="24"/>
          <w:szCs w:val="24"/>
          <w:lang w:val="bg-BG"/>
        </w:rPr>
        <w:t xml:space="preserve"> големи реки</w:t>
      </w:r>
      <w:r w:rsidR="00D12263" w:rsidRPr="00610B1B">
        <w:rPr>
          <w:rFonts w:ascii="Times New Roman" w:hAnsi="Times New Roman" w:cs="Times New Roman"/>
          <w:spacing w:val="-2"/>
          <w:sz w:val="24"/>
          <w:szCs w:val="24"/>
          <w:lang w:val="bg-BG"/>
        </w:rPr>
        <w:t>, които</w:t>
      </w:r>
      <w:r w:rsidRPr="00610B1B">
        <w:rPr>
          <w:rFonts w:ascii="Times New Roman" w:hAnsi="Times New Roman" w:cs="Times New Roman"/>
          <w:spacing w:val="-2"/>
          <w:sz w:val="24"/>
          <w:szCs w:val="24"/>
          <w:lang w:val="bg-BG"/>
        </w:rPr>
        <w:t xml:space="preserve"> се вливат в морето</w:t>
      </w:r>
      <w:r w:rsidR="00D12263" w:rsidRPr="00610B1B">
        <w:rPr>
          <w:rFonts w:ascii="Times New Roman" w:hAnsi="Times New Roman" w:cs="Times New Roman"/>
          <w:spacing w:val="-2"/>
          <w:sz w:val="24"/>
          <w:szCs w:val="24"/>
          <w:lang w:val="bg-BG"/>
        </w:rPr>
        <w:t xml:space="preserve"> -</w:t>
      </w:r>
      <w:r w:rsidRPr="00610B1B">
        <w:rPr>
          <w:rFonts w:ascii="Times New Roman" w:hAnsi="Times New Roman" w:cs="Times New Roman"/>
          <w:spacing w:val="-2"/>
          <w:sz w:val="24"/>
          <w:szCs w:val="24"/>
          <w:lang w:val="bg-BG"/>
        </w:rPr>
        <w:t xml:space="preserve"> Дунав, </w:t>
      </w:r>
      <w:r w:rsidRPr="00610B1B">
        <w:rPr>
          <w:rFonts w:ascii="Times New Roman" w:hAnsi="Times New Roman" w:cs="Times New Roman"/>
          <w:spacing w:val="-2"/>
          <w:sz w:val="24"/>
          <w:szCs w:val="24"/>
          <w:lang w:val="bg-BG"/>
        </w:rPr>
        <w:lastRenderedPageBreak/>
        <w:t xml:space="preserve">Днепър, Днестър, </w:t>
      </w:r>
      <w:r w:rsidR="00D12263" w:rsidRPr="00610B1B">
        <w:rPr>
          <w:rFonts w:ascii="Times New Roman" w:hAnsi="Times New Roman" w:cs="Times New Roman"/>
          <w:spacing w:val="-2"/>
          <w:sz w:val="24"/>
          <w:szCs w:val="24"/>
          <w:lang w:val="bg-BG"/>
        </w:rPr>
        <w:t xml:space="preserve">са </w:t>
      </w:r>
      <w:r w:rsidRPr="00610B1B">
        <w:rPr>
          <w:rFonts w:ascii="Times New Roman" w:hAnsi="Times New Roman" w:cs="Times New Roman"/>
          <w:spacing w:val="-2"/>
          <w:sz w:val="24"/>
          <w:szCs w:val="24"/>
          <w:lang w:val="bg-BG"/>
        </w:rPr>
        <w:t xml:space="preserve">с общ дебит на сладка вода 269 </w:t>
      </w:r>
      <w:r w:rsidR="00536C29" w:rsidRPr="00610B1B">
        <w:rPr>
          <w:rFonts w:ascii="Times New Roman" w:hAnsi="Times New Roman" w:cs="Times New Roman"/>
          <w:spacing w:val="-2"/>
          <w:sz w:val="24"/>
          <w:szCs w:val="24"/>
          <w:lang w:val="bg-BG"/>
        </w:rPr>
        <w:t>km</w:t>
      </w:r>
      <w:r w:rsidRPr="00610B1B">
        <w:rPr>
          <w:rFonts w:ascii="Times New Roman" w:hAnsi="Times New Roman" w:cs="Times New Roman"/>
          <w:spacing w:val="-2"/>
          <w:sz w:val="24"/>
          <w:szCs w:val="24"/>
          <w:vertAlign w:val="superscript"/>
          <w:lang w:val="bg-BG"/>
        </w:rPr>
        <w:t>3</w:t>
      </w:r>
      <w:r w:rsidRPr="00610B1B">
        <w:rPr>
          <w:rFonts w:ascii="Times New Roman" w:hAnsi="Times New Roman" w:cs="Times New Roman"/>
          <w:spacing w:val="-2"/>
          <w:sz w:val="24"/>
          <w:szCs w:val="24"/>
          <w:lang w:val="bg-BG"/>
        </w:rPr>
        <w:t xml:space="preserve">/год. </w:t>
      </w:r>
      <w:r w:rsidR="009E4FC1" w:rsidRPr="00610B1B">
        <w:rPr>
          <w:rFonts w:ascii="Times New Roman" w:hAnsi="Times New Roman" w:cs="Times New Roman"/>
          <w:spacing w:val="-2"/>
          <w:sz w:val="24"/>
          <w:szCs w:val="24"/>
          <w:lang w:val="bg-BG"/>
        </w:rPr>
        <w:t xml:space="preserve">През </w:t>
      </w:r>
      <w:r w:rsidRPr="00610B1B">
        <w:rPr>
          <w:rFonts w:ascii="Times New Roman" w:hAnsi="Times New Roman" w:cs="Times New Roman"/>
          <w:spacing w:val="-2"/>
          <w:sz w:val="24"/>
          <w:szCs w:val="24"/>
          <w:lang w:val="bg-BG"/>
        </w:rPr>
        <w:t xml:space="preserve">последните няколко десетилетия </w:t>
      </w:r>
      <w:r w:rsidR="009E4FC1" w:rsidRPr="00610B1B">
        <w:rPr>
          <w:rFonts w:ascii="Times New Roman" w:hAnsi="Times New Roman" w:cs="Times New Roman"/>
          <w:spacing w:val="-2"/>
          <w:sz w:val="24"/>
          <w:szCs w:val="24"/>
          <w:lang w:val="bg-BG"/>
        </w:rPr>
        <w:t xml:space="preserve">речният вток намалява </w:t>
      </w:r>
      <w:r w:rsidRPr="00610B1B">
        <w:rPr>
          <w:rFonts w:ascii="Times New Roman" w:hAnsi="Times New Roman" w:cs="Times New Roman"/>
          <w:spacing w:val="-2"/>
          <w:sz w:val="24"/>
          <w:szCs w:val="24"/>
          <w:lang w:val="bg-BG"/>
        </w:rPr>
        <w:t xml:space="preserve">поради интензивното използване на сладководни води и изменението на климата. Съществува </w:t>
      </w:r>
      <w:r w:rsidR="00EA610C" w:rsidRPr="00610B1B">
        <w:rPr>
          <w:rFonts w:ascii="Times New Roman" w:hAnsi="Times New Roman" w:cs="Times New Roman"/>
          <w:spacing w:val="-2"/>
          <w:sz w:val="24"/>
          <w:szCs w:val="24"/>
          <w:lang w:val="bg-BG"/>
        </w:rPr>
        <w:t>голям</w:t>
      </w:r>
      <w:r w:rsidRPr="00610B1B">
        <w:rPr>
          <w:rFonts w:ascii="Times New Roman" w:hAnsi="Times New Roman" w:cs="Times New Roman"/>
          <w:spacing w:val="-2"/>
          <w:sz w:val="24"/>
          <w:szCs w:val="24"/>
          <w:lang w:val="bg-BG"/>
        </w:rPr>
        <w:t xml:space="preserve"> пространствен дисбаланс на речния вток, тъй като най-големият източник на сладка вода е концентриран в плит</w:t>
      </w:r>
      <w:r w:rsidR="00124648" w:rsidRPr="00610B1B">
        <w:rPr>
          <w:rFonts w:ascii="Times New Roman" w:hAnsi="Times New Roman" w:cs="Times New Roman"/>
          <w:spacing w:val="-2"/>
          <w:sz w:val="24"/>
          <w:szCs w:val="24"/>
          <w:lang w:val="bg-BG"/>
        </w:rPr>
        <w:t>кия северозападен шелф</w:t>
      </w:r>
      <w:r w:rsidR="00354EFB" w:rsidRPr="00610B1B">
        <w:rPr>
          <w:rFonts w:ascii="Times New Roman" w:hAnsi="Times New Roman" w:cs="Times New Roman"/>
          <w:spacing w:val="-2"/>
          <w:sz w:val="24"/>
          <w:szCs w:val="24"/>
          <w:lang w:val="bg-BG"/>
        </w:rPr>
        <w:t>.</w:t>
      </w:r>
    </w:p>
    <w:p w14:paraId="77CC676E" w14:textId="2AFA026C" w:rsidR="00823BE7" w:rsidRPr="00610B1B" w:rsidRDefault="009727F1" w:rsidP="00D32D6A">
      <w:pPr>
        <w:autoSpaceDE w:val="0"/>
        <w:autoSpaceDN w:val="0"/>
        <w:adjustRightInd w:val="0"/>
        <w:spacing w:after="120"/>
        <w:ind w:right="-153"/>
        <w:jc w:val="both"/>
        <w:rPr>
          <w:rFonts w:ascii="Times New Roman" w:hAnsi="Times New Roman" w:cs="Times New Roman"/>
          <w:iCs/>
          <w:sz w:val="24"/>
          <w:szCs w:val="24"/>
          <w:lang w:val="bg-BG"/>
        </w:rPr>
      </w:pPr>
      <w:r w:rsidRPr="00610B1B">
        <w:rPr>
          <w:rFonts w:ascii="Times New Roman" w:hAnsi="Times New Roman" w:cs="Times New Roman"/>
          <w:sz w:val="24"/>
          <w:szCs w:val="24"/>
          <w:lang w:val="bg-BG"/>
        </w:rPr>
        <w:t>Друга</w:t>
      </w:r>
      <w:r w:rsidR="00823BE7" w:rsidRPr="00610B1B">
        <w:rPr>
          <w:rFonts w:ascii="Times New Roman" w:hAnsi="Times New Roman" w:cs="Times New Roman"/>
          <w:sz w:val="24"/>
          <w:szCs w:val="24"/>
          <w:lang w:val="bg-BG"/>
        </w:rPr>
        <w:t xml:space="preserve"> характеристик</w:t>
      </w:r>
      <w:r w:rsidRPr="00610B1B">
        <w:rPr>
          <w:rFonts w:ascii="Times New Roman" w:hAnsi="Times New Roman" w:cs="Times New Roman"/>
          <w:sz w:val="24"/>
          <w:szCs w:val="24"/>
          <w:lang w:val="bg-BG"/>
        </w:rPr>
        <w:t>а</w:t>
      </w:r>
      <w:r w:rsidR="00823BE7" w:rsidRPr="00610B1B">
        <w:rPr>
          <w:rFonts w:ascii="Times New Roman" w:hAnsi="Times New Roman" w:cs="Times New Roman"/>
          <w:sz w:val="24"/>
          <w:szCs w:val="24"/>
          <w:lang w:val="bg-BG"/>
        </w:rPr>
        <w:t xml:space="preserve"> </w:t>
      </w:r>
      <w:r w:rsidR="001B78DC" w:rsidRPr="00610B1B">
        <w:rPr>
          <w:rFonts w:ascii="Times New Roman" w:hAnsi="Times New Roman" w:cs="Times New Roman"/>
          <w:sz w:val="24"/>
          <w:szCs w:val="24"/>
          <w:lang w:val="bg-BG"/>
        </w:rPr>
        <w:t>с</w:t>
      </w:r>
      <w:r w:rsidR="00823BE7" w:rsidRPr="00610B1B">
        <w:rPr>
          <w:rFonts w:ascii="Times New Roman" w:hAnsi="Times New Roman" w:cs="Times New Roman"/>
          <w:sz w:val="24"/>
          <w:szCs w:val="24"/>
          <w:lang w:val="bg-BG"/>
        </w:rPr>
        <w:t xml:space="preserve"> основно значение е студеният междинен слой между повърхностните и дълбоките води на Черно море. Долната му граница съответства на постоянния </w:t>
      </w:r>
      <w:r w:rsidR="00823BE7" w:rsidRPr="00610B1B">
        <w:rPr>
          <w:rFonts w:ascii="Times New Roman" w:hAnsi="Times New Roman" w:cs="Times New Roman"/>
          <w:b/>
          <w:i/>
          <w:sz w:val="24"/>
          <w:szCs w:val="24"/>
          <w:lang w:val="bg-BG"/>
        </w:rPr>
        <w:t>пикноклин,</w:t>
      </w:r>
      <w:r w:rsidR="00823BE7" w:rsidRPr="00610B1B">
        <w:rPr>
          <w:rFonts w:ascii="Times New Roman" w:hAnsi="Times New Roman" w:cs="Times New Roman"/>
          <w:sz w:val="24"/>
          <w:szCs w:val="24"/>
          <w:lang w:val="bg-BG"/>
        </w:rPr>
        <w:t xml:space="preserve"> докато през втората половина на годината (от юни до декември) горната граница на слоя е ограничена от сезонния термоклин. Традиционно ограничен от изотермата от 8°С, студеният междинен слой съдържа водите с най-ниска температура в целия воден стълб</w:t>
      </w:r>
      <w:r w:rsidR="00823BE7" w:rsidRPr="00610B1B">
        <w:rPr>
          <w:rFonts w:ascii="Times New Roman" w:hAnsi="Times New Roman" w:cs="Times New Roman"/>
          <w:iCs/>
          <w:sz w:val="24"/>
          <w:szCs w:val="24"/>
          <w:lang w:val="bg-BG"/>
        </w:rPr>
        <w:t>.</w:t>
      </w:r>
      <w:r w:rsidR="00D12263" w:rsidRPr="00610B1B">
        <w:rPr>
          <w:rFonts w:ascii="Times New Roman" w:hAnsi="Times New Roman" w:cs="Times New Roman"/>
          <w:iCs/>
          <w:sz w:val="24"/>
          <w:szCs w:val="24"/>
          <w:lang w:val="bg-BG"/>
        </w:rPr>
        <w:t xml:space="preserve"> С</w:t>
      </w:r>
      <w:r w:rsidR="00823BE7" w:rsidRPr="00610B1B">
        <w:rPr>
          <w:rFonts w:ascii="Times New Roman" w:hAnsi="Times New Roman" w:cs="Times New Roman"/>
          <w:sz w:val="24"/>
          <w:szCs w:val="24"/>
          <w:lang w:val="bg-BG"/>
        </w:rPr>
        <w:t>туденият междинен слой се образува както в центровете на циклоналните завихряния, така и при екстремно охлаждане на водите в северозападния шелф и континенталния склон</w:t>
      </w:r>
      <w:r w:rsidRPr="00610B1B">
        <w:rPr>
          <w:rFonts w:ascii="Times New Roman" w:hAnsi="Times New Roman" w:cs="Times New Roman"/>
          <w:sz w:val="24"/>
          <w:szCs w:val="24"/>
          <w:lang w:val="bg-BG"/>
        </w:rPr>
        <w:t>. Впоследствие те се</w:t>
      </w:r>
      <w:r w:rsidR="00823BE7" w:rsidRPr="00610B1B">
        <w:rPr>
          <w:rFonts w:ascii="Times New Roman" w:hAnsi="Times New Roman" w:cs="Times New Roman"/>
          <w:sz w:val="24"/>
          <w:szCs w:val="24"/>
          <w:lang w:val="bg-BG"/>
        </w:rPr>
        <w:t xml:space="preserve"> разпространяват в цялото Черно море между дълбочини от 50 до 100 m посредством г</w:t>
      </w:r>
      <w:r w:rsidR="00C80294" w:rsidRPr="00610B1B">
        <w:rPr>
          <w:rFonts w:ascii="Times New Roman" w:hAnsi="Times New Roman" w:cs="Times New Roman"/>
          <w:sz w:val="24"/>
          <w:szCs w:val="24"/>
          <w:lang w:val="bg-BG"/>
        </w:rPr>
        <w:t>о</w:t>
      </w:r>
      <w:r w:rsidR="00823BE7" w:rsidRPr="00610B1B">
        <w:rPr>
          <w:rFonts w:ascii="Times New Roman" w:hAnsi="Times New Roman" w:cs="Times New Roman"/>
          <w:sz w:val="24"/>
          <w:szCs w:val="24"/>
          <w:lang w:val="bg-BG"/>
        </w:rPr>
        <w:t xml:space="preserve">сподстващата циклонална циркулация, доминирана от Основното черноморско течение. Бароклинaлните вихри, образувани от двете страни на това кръгово течение, играят важна роля в хоризонталния обмен на топлина и соленост. През лятото, когато </w:t>
      </w:r>
      <w:r w:rsidRPr="00610B1B">
        <w:rPr>
          <w:rFonts w:ascii="Times New Roman" w:hAnsi="Times New Roman" w:cs="Times New Roman"/>
          <w:sz w:val="24"/>
          <w:szCs w:val="24"/>
          <w:lang w:val="bg-BG"/>
        </w:rPr>
        <w:t>основното черноморско течение</w:t>
      </w:r>
      <w:r w:rsidR="00823BE7" w:rsidRPr="00610B1B">
        <w:rPr>
          <w:rFonts w:ascii="Times New Roman" w:hAnsi="Times New Roman" w:cs="Times New Roman"/>
          <w:sz w:val="24"/>
          <w:szCs w:val="24"/>
          <w:lang w:val="bg-BG"/>
        </w:rPr>
        <w:t xml:space="preserve"> отслабва, над континенталния склон се образуват големи антициклонични вихри в резултат на текущата нестабилност, която може да проникне до дълбочина от 500 </w:t>
      </w:r>
      <w:r w:rsidR="00FA15BD" w:rsidRPr="00610B1B">
        <w:rPr>
          <w:rFonts w:ascii="Times New Roman" w:hAnsi="Times New Roman" w:cs="Times New Roman"/>
          <w:sz w:val="24"/>
          <w:szCs w:val="24"/>
          <w:lang w:val="bg-BG"/>
        </w:rPr>
        <w:t>–</w:t>
      </w:r>
      <w:r w:rsidR="00823BE7" w:rsidRPr="00610B1B">
        <w:rPr>
          <w:rFonts w:ascii="Times New Roman" w:hAnsi="Times New Roman" w:cs="Times New Roman"/>
          <w:sz w:val="24"/>
          <w:szCs w:val="24"/>
          <w:lang w:val="bg-BG"/>
        </w:rPr>
        <w:t xml:space="preserve"> 1</w:t>
      </w:r>
      <w:r w:rsidR="00FA15BD" w:rsidRPr="00610B1B">
        <w:rPr>
          <w:rFonts w:ascii="Times New Roman" w:hAnsi="Times New Roman" w:cs="Times New Roman"/>
          <w:sz w:val="24"/>
          <w:szCs w:val="24"/>
          <w:lang w:val="bg-BG"/>
        </w:rPr>
        <w:t> </w:t>
      </w:r>
      <w:r w:rsidR="00823BE7" w:rsidRPr="00610B1B">
        <w:rPr>
          <w:rFonts w:ascii="Times New Roman" w:hAnsi="Times New Roman" w:cs="Times New Roman"/>
          <w:sz w:val="24"/>
          <w:szCs w:val="24"/>
          <w:lang w:val="bg-BG"/>
        </w:rPr>
        <w:t xml:space="preserve">000 </w:t>
      </w:r>
      <w:r w:rsidR="00FA15BD" w:rsidRPr="00610B1B">
        <w:rPr>
          <w:rFonts w:ascii="Times New Roman" w:hAnsi="Times New Roman" w:cs="Times New Roman"/>
          <w:sz w:val="24"/>
          <w:szCs w:val="24"/>
          <w:lang w:val="bg-BG"/>
        </w:rPr>
        <w:t>m и</w:t>
      </w:r>
      <w:r w:rsidR="00823BE7" w:rsidRPr="00610B1B">
        <w:rPr>
          <w:rFonts w:ascii="Times New Roman" w:hAnsi="Times New Roman" w:cs="Times New Roman"/>
          <w:sz w:val="24"/>
          <w:szCs w:val="24"/>
          <w:lang w:val="bg-BG"/>
        </w:rPr>
        <w:t xml:space="preserve"> </w:t>
      </w:r>
      <w:r w:rsidR="00FA15BD" w:rsidRPr="00610B1B">
        <w:rPr>
          <w:rFonts w:ascii="Times New Roman" w:hAnsi="Times New Roman" w:cs="Times New Roman"/>
          <w:sz w:val="24"/>
          <w:szCs w:val="24"/>
          <w:lang w:val="bg-BG"/>
        </w:rPr>
        <w:t>да по</w:t>
      </w:r>
      <w:r w:rsidR="00823BE7" w:rsidRPr="00610B1B">
        <w:rPr>
          <w:rFonts w:ascii="Times New Roman" w:hAnsi="Times New Roman" w:cs="Times New Roman"/>
          <w:sz w:val="24"/>
          <w:szCs w:val="24"/>
          <w:lang w:val="bg-BG"/>
        </w:rPr>
        <w:t xml:space="preserve">влияе на дълбочинната вентилация на басейна. </w:t>
      </w:r>
      <w:r w:rsidRPr="00610B1B">
        <w:rPr>
          <w:rFonts w:ascii="Times New Roman" w:hAnsi="Times New Roman" w:cs="Times New Roman"/>
          <w:sz w:val="24"/>
          <w:szCs w:val="24"/>
          <w:lang w:val="bg-BG"/>
        </w:rPr>
        <w:t xml:space="preserve">Студените </w:t>
      </w:r>
      <w:r w:rsidR="00823BE7" w:rsidRPr="00610B1B">
        <w:rPr>
          <w:rFonts w:ascii="Times New Roman" w:hAnsi="Times New Roman" w:cs="Times New Roman"/>
          <w:sz w:val="24"/>
          <w:szCs w:val="24"/>
          <w:lang w:val="bg-BG"/>
        </w:rPr>
        <w:t xml:space="preserve">междинни води са изключително важни за екосистемата на Черно море, тъй като са богати на кислород и представляват горната граница на аноксичната зона. </w:t>
      </w:r>
      <w:r w:rsidR="00FA15BD" w:rsidRPr="00610B1B">
        <w:rPr>
          <w:rFonts w:ascii="Times New Roman" w:hAnsi="Times New Roman" w:cs="Times New Roman"/>
          <w:sz w:val="24"/>
          <w:szCs w:val="24"/>
          <w:lang w:val="bg-BG"/>
        </w:rPr>
        <w:t xml:space="preserve">Анализът </w:t>
      </w:r>
      <w:r w:rsidR="00823BE7" w:rsidRPr="00610B1B">
        <w:rPr>
          <w:rFonts w:ascii="Times New Roman" w:hAnsi="Times New Roman" w:cs="Times New Roman"/>
          <w:sz w:val="24"/>
          <w:szCs w:val="24"/>
          <w:lang w:val="bg-BG"/>
        </w:rPr>
        <w:t>на историческите вертикални профили на кислорода показа дългосрочна тенденция на дезоксигениране на открито</w:t>
      </w:r>
      <w:r w:rsidRPr="00610B1B">
        <w:rPr>
          <w:rFonts w:ascii="Times New Roman" w:hAnsi="Times New Roman" w:cs="Times New Roman"/>
          <w:sz w:val="24"/>
          <w:szCs w:val="24"/>
          <w:lang w:val="bg-BG"/>
        </w:rPr>
        <w:t>то</w:t>
      </w:r>
      <w:r w:rsidR="00823BE7" w:rsidRPr="00610B1B">
        <w:rPr>
          <w:rFonts w:ascii="Times New Roman" w:hAnsi="Times New Roman" w:cs="Times New Roman"/>
          <w:sz w:val="24"/>
          <w:szCs w:val="24"/>
          <w:lang w:val="bg-BG"/>
        </w:rPr>
        <w:t xml:space="preserve"> Черно море</w:t>
      </w:r>
      <w:r w:rsidRPr="00610B1B">
        <w:rPr>
          <w:rFonts w:ascii="Times New Roman" w:hAnsi="Times New Roman" w:cs="Times New Roman"/>
          <w:sz w:val="24"/>
          <w:szCs w:val="24"/>
          <w:lang w:val="bg-BG"/>
        </w:rPr>
        <w:t>,</w:t>
      </w:r>
      <w:r w:rsidR="00823BE7" w:rsidRPr="00610B1B">
        <w:rPr>
          <w:rFonts w:ascii="Times New Roman" w:hAnsi="Times New Roman" w:cs="Times New Roman"/>
          <w:sz w:val="24"/>
          <w:szCs w:val="24"/>
          <w:lang w:val="bg-BG"/>
        </w:rPr>
        <w:t xml:space="preserve"> като най-тревожното проявление е изплитняването на долната граница на оксиклина от 140 m (1955</w:t>
      </w:r>
      <w:r w:rsidR="00FA15BD" w:rsidRPr="00610B1B">
        <w:rPr>
          <w:rFonts w:ascii="Times New Roman" w:hAnsi="Times New Roman" w:cs="Times New Roman"/>
          <w:sz w:val="24"/>
          <w:szCs w:val="24"/>
          <w:lang w:val="bg-BG"/>
        </w:rPr>
        <w:t xml:space="preserve"> г.</w:t>
      </w:r>
      <w:r w:rsidR="00823BE7" w:rsidRPr="00610B1B">
        <w:rPr>
          <w:rFonts w:ascii="Times New Roman" w:hAnsi="Times New Roman" w:cs="Times New Roman"/>
          <w:sz w:val="24"/>
          <w:szCs w:val="24"/>
          <w:lang w:val="bg-BG"/>
        </w:rPr>
        <w:t xml:space="preserve">) до 90 m (2010 </w:t>
      </w:r>
      <w:r w:rsidR="00FA15BD" w:rsidRPr="00610B1B">
        <w:rPr>
          <w:rFonts w:ascii="Times New Roman" w:hAnsi="Times New Roman" w:cs="Times New Roman"/>
          <w:sz w:val="24"/>
          <w:szCs w:val="24"/>
          <w:lang w:val="bg-BG"/>
        </w:rPr>
        <w:t>–</w:t>
      </w:r>
      <w:r w:rsidR="00823BE7" w:rsidRPr="00610B1B">
        <w:rPr>
          <w:rFonts w:ascii="Times New Roman" w:hAnsi="Times New Roman" w:cs="Times New Roman"/>
          <w:sz w:val="24"/>
          <w:szCs w:val="24"/>
          <w:lang w:val="bg-BG"/>
        </w:rPr>
        <w:t xml:space="preserve"> 2015</w:t>
      </w:r>
      <w:r w:rsidR="00FA15BD" w:rsidRPr="00610B1B">
        <w:rPr>
          <w:rFonts w:ascii="Times New Roman" w:hAnsi="Times New Roman" w:cs="Times New Roman"/>
          <w:sz w:val="24"/>
          <w:szCs w:val="24"/>
          <w:lang w:val="bg-BG"/>
        </w:rPr>
        <w:t xml:space="preserve"> г.</w:t>
      </w:r>
      <w:r w:rsidR="00823BE7" w:rsidRPr="00610B1B">
        <w:rPr>
          <w:rFonts w:ascii="Times New Roman" w:hAnsi="Times New Roman" w:cs="Times New Roman"/>
          <w:sz w:val="24"/>
          <w:szCs w:val="24"/>
          <w:lang w:val="bg-BG"/>
        </w:rPr>
        <w:t xml:space="preserve">) </w:t>
      </w:r>
      <w:r w:rsidR="00823BE7" w:rsidRPr="00610B1B">
        <w:rPr>
          <w:rFonts w:ascii="Times New Roman" w:hAnsi="Times New Roman" w:cs="Times New Roman"/>
          <w:iCs/>
          <w:sz w:val="24"/>
          <w:szCs w:val="24"/>
          <w:lang w:val="bg-BG"/>
        </w:rPr>
        <w:t>(</w:t>
      </w:r>
      <w:r w:rsidR="00823BE7" w:rsidRPr="00610B1B">
        <w:rPr>
          <w:rFonts w:ascii="Times New Roman" w:hAnsi="Times New Roman" w:cs="Times New Roman"/>
          <w:i/>
          <w:sz w:val="24"/>
          <w:szCs w:val="24"/>
          <w:lang w:val="bg-BG"/>
        </w:rPr>
        <w:t>Capet et al., 2016</w:t>
      </w:r>
      <w:r w:rsidR="00823BE7" w:rsidRPr="00610B1B">
        <w:rPr>
          <w:rFonts w:ascii="Times New Roman" w:hAnsi="Times New Roman" w:cs="Times New Roman"/>
          <w:iCs/>
          <w:sz w:val="24"/>
          <w:szCs w:val="24"/>
          <w:lang w:val="bg-BG"/>
        </w:rPr>
        <w:t>).</w:t>
      </w:r>
    </w:p>
    <w:p w14:paraId="543BC578" w14:textId="151319C3" w:rsidR="009727F1" w:rsidRPr="00610B1B" w:rsidRDefault="009727F1" w:rsidP="00D32D6A">
      <w:pPr>
        <w:autoSpaceDE w:val="0"/>
        <w:autoSpaceDN w:val="0"/>
        <w:adjustRightInd w:val="0"/>
        <w:spacing w:after="120"/>
        <w:ind w:right="-153"/>
        <w:jc w:val="both"/>
        <w:rPr>
          <w:rFonts w:ascii="Times New Roman" w:hAnsi="Times New Roman" w:cs="Times New Roman"/>
          <w:iCs/>
          <w:sz w:val="24"/>
          <w:szCs w:val="24"/>
          <w:lang w:val="bg-BG"/>
        </w:rPr>
      </w:pPr>
      <w:r w:rsidRPr="00610B1B">
        <w:rPr>
          <w:rFonts w:ascii="Times New Roman" w:hAnsi="Times New Roman" w:cs="Times New Roman"/>
          <w:iCs/>
          <w:sz w:val="24"/>
          <w:szCs w:val="24"/>
          <w:lang w:val="bg-BG"/>
        </w:rPr>
        <w:t>Циркулационната система в Черно</w:t>
      </w:r>
      <w:r w:rsidR="00B34F4D" w:rsidRPr="00610B1B">
        <w:rPr>
          <w:rFonts w:ascii="Times New Roman" w:hAnsi="Times New Roman" w:cs="Times New Roman"/>
          <w:iCs/>
          <w:sz w:val="24"/>
          <w:szCs w:val="24"/>
          <w:lang w:val="bg-BG"/>
        </w:rPr>
        <w:t xml:space="preserve"> </w:t>
      </w:r>
      <w:r w:rsidRPr="00610B1B">
        <w:rPr>
          <w:rFonts w:ascii="Times New Roman" w:hAnsi="Times New Roman" w:cs="Times New Roman"/>
          <w:iCs/>
          <w:sz w:val="24"/>
          <w:szCs w:val="24"/>
          <w:lang w:val="bg-BG"/>
        </w:rPr>
        <w:t xml:space="preserve">море е доминирана от мезомащабна активност, насложена върху квази-постоянните елементи на басейнов и подбасейнов мащаб. Основните съставни части на циркулацията в горния слой са периферната основна черноморска система от течения, затваряща вътрешната клетка, която включва както двата големи циклонални вихъра, така и серия от взаимосвързани циклонални мезомащабни завихряния. От </w:t>
      </w:r>
      <w:r w:rsidR="00686CE6" w:rsidRPr="00610B1B">
        <w:rPr>
          <w:rFonts w:ascii="Times New Roman" w:hAnsi="Times New Roman" w:cs="Times New Roman"/>
          <w:iCs/>
          <w:sz w:val="24"/>
          <w:szCs w:val="24"/>
          <w:lang w:val="bg-BG"/>
        </w:rPr>
        <w:t>външната</w:t>
      </w:r>
      <w:r w:rsidRPr="00610B1B">
        <w:rPr>
          <w:rFonts w:ascii="Times New Roman" w:hAnsi="Times New Roman" w:cs="Times New Roman"/>
          <w:iCs/>
          <w:sz w:val="24"/>
          <w:szCs w:val="24"/>
          <w:lang w:val="bg-BG"/>
        </w:rPr>
        <w:t xml:space="preserve"> част на основното черноморско течение се образуват квази-стабилни (повтарящи се) антициклонални вихри. Тази система на циркулация е допълнително придружена от меандри, нишки, офшорни струи в крайбрежната зона, както и циклично разпространяващи се много преходни характеристики на основното черноморско течение.</w:t>
      </w:r>
    </w:p>
    <w:p w14:paraId="26FAF986" w14:textId="77777777" w:rsidR="00823BE7" w:rsidRPr="00610B1B" w:rsidRDefault="00823BE7" w:rsidP="00D32D6A">
      <w:pPr>
        <w:tabs>
          <w:tab w:val="left" w:pos="360"/>
        </w:tabs>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Температура и соленост на морската вода.</w:t>
      </w:r>
      <w:r w:rsidRPr="00610B1B">
        <w:rPr>
          <w:rFonts w:ascii="Times New Roman" w:hAnsi="Times New Roman" w:cs="Times New Roman"/>
          <w:sz w:val="24"/>
          <w:szCs w:val="24"/>
          <w:lang w:val="bg-BG"/>
        </w:rPr>
        <w:t xml:space="preserve"> Най-изразените характеристики на термо-халинната структура на Черно море са:</w:t>
      </w:r>
    </w:p>
    <w:p w14:paraId="1E926EC9" w14:textId="2AF8B0F7" w:rsidR="00237125" w:rsidRPr="00610B1B" w:rsidRDefault="00823BE7" w:rsidP="00B46189">
      <w:pPr>
        <w:pStyle w:val="ListParagraph"/>
        <w:numPr>
          <w:ilvl w:val="0"/>
          <w:numId w:val="7"/>
        </w:numPr>
        <w:tabs>
          <w:tab w:val="left" w:pos="360"/>
        </w:tabs>
        <w:autoSpaceDE w:val="0"/>
        <w:autoSpaceDN w:val="0"/>
        <w:adjustRightInd w:val="0"/>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големи вертикални контрасти в солеността (5‰), температурата (20°C) и плътността (7 </w:t>
      </w:r>
      <w:r w:rsidR="00FA15BD" w:rsidRPr="00610B1B">
        <w:rPr>
          <w:rFonts w:ascii="Times New Roman" w:hAnsi="Times New Roman" w:cs="Times New Roman"/>
          <w:sz w:val="24"/>
          <w:szCs w:val="24"/>
          <w:lang w:val="bg-BG"/>
        </w:rPr>
        <w:t>kg</w:t>
      </w:r>
      <w:r w:rsidRPr="00610B1B">
        <w:rPr>
          <w:rFonts w:ascii="Times New Roman" w:hAnsi="Times New Roman" w:cs="Times New Roman"/>
          <w:sz w:val="24"/>
          <w:szCs w:val="24"/>
          <w:lang w:val="bg-BG"/>
        </w:rPr>
        <w:t>/</w:t>
      </w:r>
      <w:r w:rsidR="00FA15BD" w:rsidRPr="00610B1B">
        <w:rPr>
          <w:rFonts w:ascii="Times New Roman" w:hAnsi="Times New Roman" w:cs="Times New Roman"/>
          <w:sz w:val="24"/>
          <w:szCs w:val="24"/>
          <w:lang w:val="bg-BG"/>
        </w:rPr>
        <w:t>m</w:t>
      </w:r>
      <w:r w:rsidRPr="00610B1B">
        <w:rPr>
          <w:rFonts w:ascii="Times New Roman" w:hAnsi="Times New Roman" w:cs="Times New Roman"/>
          <w:sz w:val="24"/>
          <w:szCs w:val="24"/>
          <w:vertAlign w:val="superscript"/>
          <w:lang w:val="bg-BG"/>
        </w:rPr>
        <w:t>3</w:t>
      </w:r>
      <w:r w:rsidRPr="00610B1B">
        <w:rPr>
          <w:rFonts w:ascii="Times New Roman" w:hAnsi="Times New Roman" w:cs="Times New Roman"/>
          <w:sz w:val="24"/>
          <w:szCs w:val="24"/>
          <w:lang w:val="bg-BG"/>
        </w:rPr>
        <w:t xml:space="preserve">), като за температурата това е изразено в повърхностния 50-75 m слой, а за </w:t>
      </w:r>
      <w:r w:rsidR="00686CE6" w:rsidRPr="00610B1B">
        <w:rPr>
          <w:rFonts w:ascii="Times New Roman" w:hAnsi="Times New Roman" w:cs="Times New Roman"/>
          <w:sz w:val="24"/>
          <w:szCs w:val="24"/>
          <w:lang w:val="bg-BG"/>
        </w:rPr>
        <w:t>солеността</w:t>
      </w:r>
      <w:r w:rsidRPr="00610B1B">
        <w:rPr>
          <w:rFonts w:ascii="Times New Roman" w:hAnsi="Times New Roman" w:cs="Times New Roman"/>
          <w:sz w:val="24"/>
          <w:szCs w:val="24"/>
          <w:lang w:val="bg-BG"/>
        </w:rPr>
        <w:t xml:space="preserve"> в слоя 150-200 m, както и големи вертикални градиенти (1.3°С/</w:t>
      </w:r>
      <w:r w:rsidR="00237125"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xml:space="preserve"> и 0.6‰/</w:t>
      </w:r>
      <w:r w:rsidR="00FA15BD"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w:t>
      </w:r>
    </w:p>
    <w:p w14:paraId="4BD1B19B" w14:textId="67B157E6" w:rsidR="00237125" w:rsidRPr="00610B1B" w:rsidRDefault="00823BE7" w:rsidP="00B46189">
      <w:pPr>
        <w:pStyle w:val="ListParagraph"/>
        <w:numPr>
          <w:ilvl w:val="0"/>
          <w:numId w:val="7"/>
        </w:numPr>
        <w:tabs>
          <w:tab w:val="left" w:pos="360"/>
        </w:tabs>
        <w:autoSpaceDE w:val="0"/>
        <w:autoSpaceDN w:val="0"/>
        <w:adjustRightInd w:val="0"/>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добре изразена вертикална асиметрия на термо-халинната структура на морската вода, която се отличава с тънък повърхностен слой 50-75 </w:t>
      </w:r>
      <w:r w:rsidR="00237125"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xml:space="preserve"> със сравнително по-</w:t>
      </w:r>
      <w:r w:rsidRPr="00610B1B">
        <w:rPr>
          <w:rFonts w:ascii="Times New Roman" w:hAnsi="Times New Roman" w:cs="Times New Roman"/>
          <w:sz w:val="24"/>
          <w:szCs w:val="24"/>
          <w:lang w:val="bg-BG"/>
        </w:rPr>
        <w:lastRenderedPageBreak/>
        <w:t>пресни води и с много по-дебел солен квази</w:t>
      </w:r>
      <w:r w:rsidR="0025348F"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хомогенен слой, разделен от термо-хало-пикно клина.</w:t>
      </w:r>
    </w:p>
    <w:p w14:paraId="2CB9E77C" w14:textId="61216C5F" w:rsidR="00237125" w:rsidRPr="00610B1B" w:rsidRDefault="00823BE7" w:rsidP="00B46189">
      <w:pPr>
        <w:pStyle w:val="ListParagraph"/>
        <w:numPr>
          <w:ilvl w:val="0"/>
          <w:numId w:val="7"/>
        </w:numPr>
        <w:tabs>
          <w:tab w:val="left" w:pos="360"/>
        </w:tabs>
        <w:autoSpaceDE w:val="0"/>
        <w:autoSpaceDN w:val="0"/>
        <w:adjustRightInd w:val="0"/>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съществуване на студен междинен слой през лятото (СМС) в горната част на силно стратифицираните води на постоянния пикноклин, с абсолютен вертикален минимум на температурата, под който се извършва температурна инверсия - постепенно повишаване на температурата с дълбочина</w:t>
      </w:r>
      <w:r w:rsidR="00B34F4D" w:rsidRPr="00610B1B">
        <w:rPr>
          <w:rFonts w:ascii="Times New Roman" w:hAnsi="Times New Roman" w:cs="Times New Roman"/>
          <w:sz w:val="24"/>
          <w:szCs w:val="24"/>
          <w:lang w:val="bg-BG"/>
        </w:rPr>
        <w:t>та</w:t>
      </w:r>
      <w:r w:rsidRPr="00610B1B">
        <w:rPr>
          <w:rFonts w:ascii="Times New Roman" w:hAnsi="Times New Roman" w:cs="Times New Roman"/>
          <w:sz w:val="24"/>
          <w:szCs w:val="24"/>
          <w:lang w:val="bg-BG"/>
        </w:rPr>
        <w:t>;</w:t>
      </w:r>
    </w:p>
    <w:p w14:paraId="2DB33BFC" w14:textId="6E7F8262" w:rsidR="00823BE7" w:rsidRPr="00610B1B" w:rsidRDefault="00823BE7" w:rsidP="00B46189">
      <w:pPr>
        <w:pStyle w:val="ListParagraph"/>
        <w:numPr>
          <w:ilvl w:val="0"/>
          <w:numId w:val="7"/>
        </w:numPr>
        <w:tabs>
          <w:tab w:val="left" w:pos="360"/>
        </w:tabs>
        <w:autoSpaceDE w:val="0"/>
        <w:autoSpaceDN w:val="0"/>
        <w:adjustRightInd w:val="0"/>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основен принос на солеността към плътностната стратификацията, с изключение на повърхностния слой през лятото, когато стратификацията се доминира от температурата.</w:t>
      </w:r>
    </w:p>
    <w:p w14:paraId="4D447419" w14:textId="15561FF3" w:rsidR="00823BE7" w:rsidRPr="00610B1B" w:rsidRDefault="00511013" w:rsidP="00D32D6A">
      <w:pPr>
        <w:tabs>
          <w:tab w:val="left" w:pos="360"/>
        </w:tabs>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bCs/>
          <w:sz w:val="24"/>
          <w:szCs w:val="24"/>
          <w:lang w:val="bg-BG"/>
        </w:rPr>
        <w:t xml:space="preserve">Вертикалното </w:t>
      </w:r>
      <w:r w:rsidR="00823BE7" w:rsidRPr="00610B1B">
        <w:rPr>
          <w:rFonts w:ascii="Times New Roman" w:hAnsi="Times New Roman" w:cs="Times New Roman"/>
          <w:bCs/>
          <w:sz w:val="24"/>
          <w:szCs w:val="24"/>
          <w:lang w:val="bg-BG"/>
        </w:rPr>
        <w:t>разпределение на температурата, солеността и плътността</w:t>
      </w:r>
      <w:r w:rsidR="00823BE7"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са изследвани в периода 1995-2010 г. от ИО-БАН по данни от</w:t>
      </w:r>
      <w:r w:rsidR="00823BE7" w:rsidRPr="00610B1B">
        <w:rPr>
          <w:rFonts w:ascii="Times New Roman" w:hAnsi="Times New Roman" w:cs="Times New Roman"/>
          <w:sz w:val="24"/>
          <w:szCs w:val="24"/>
          <w:lang w:val="bg-BG"/>
        </w:rPr>
        <w:t xml:space="preserve"> експедиции на НИК </w:t>
      </w:r>
      <w:r w:rsidR="00237125" w:rsidRPr="00610B1B">
        <w:rPr>
          <w:rFonts w:ascii="Times New Roman" w:hAnsi="Times New Roman" w:cs="Times New Roman"/>
          <w:sz w:val="24"/>
          <w:szCs w:val="24"/>
          <w:lang w:val="bg-BG"/>
        </w:rPr>
        <w:t>„</w:t>
      </w:r>
      <w:r w:rsidR="00823BE7" w:rsidRPr="00610B1B">
        <w:rPr>
          <w:rFonts w:ascii="Times New Roman" w:hAnsi="Times New Roman" w:cs="Times New Roman"/>
          <w:sz w:val="24"/>
          <w:szCs w:val="24"/>
          <w:lang w:val="bg-BG"/>
        </w:rPr>
        <w:t>Академик</w:t>
      </w:r>
      <w:r w:rsidR="00237125" w:rsidRPr="00610B1B">
        <w:rPr>
          <w:rFonts w:ascii="Times New Roman" w:hAnsi="Times New Roman" w:cs="Times New Roman"/>
          <w:sz w:val="24"/>
          <w:szCs w:val="24"/>
          <w:lang w:val="bg-BG"/>
        </w:rPr>
        <w:t>“</w:t>
      </w:r>
      <w:r w:rsidR="00823BE7" w:rsidRPr="00610B1B">
        <w:rPr>
          <w:rFonts w:ascii="Times New Roman" w:hAnsi="Times New Roman" w:cs="Times New Roman"/>
          <w:sz w:val="24"/>
          <w:szCs w:val="24"/>
          <w:lang w:val="bg-BG"/>
        </w:rPr>
        <w:t xml:space="preserve"> в западната част на Черно море, </w:t>
      </w:r>
      <w:r w:rsidRPr="00610B1B">
        <w:rPr>
          <w:rFonts w:ascii="Times New Roman" w:hAnsi="Times New Roman" w:cs="Times New Roman"/>
          <w:sz w:val="24"/>
          <w:szCs w:val="24"/>
          <w:lang w:val="bg-BG"/>
        </w:rPr>
        <w:t xml:space="preserve">в </w:t>
      </w:r>
      <w:r w:rsidR="00823BE7" w:rsidRPr="00610B1B">
        <w:rPr>
          <w:rFonts w:ascii="Times New Roman" w:hAnsi="Times New Roman" w:cs="Times New Roman"/>
          <w:sz w:val="24"/>
          <w:szCs w:val="24"/>
          <w:lang w:val="bg-BG"/>
        </w:rPr>
        <w:t xml:space="preserve">крайбрежната зона и </w:t>
      </w:r>
      <w:r w:rsidRPr="00610B1B">
        <w:rPr>
          <w:rFonts w:ascii="Times New Roman" w:hAnsi="Times New Roman" w:cs="Times New Roman"/>
          <w:sz w:val="24"/>
          <w:szCs w:val="24"/>
          <w:lang w:val="bg-BG"/>
        </w:rPr>
        <w:t xml:space="preserve">в </w:t>
      </w:r>
      <w:r w:rsidR="00823BE7" w:rsidRPr="00610B1B">
        <w:rPr>
          <w:rFonts w:ascii="Times New Roman" w:hAnsi="Times New Roman" w:cs="Times New Roman"/>
          <w:sz w:val="24"/>
          <w:szCs w:val="24"/>
          <w:lang w:val="bg-BG"/>
        </w:rPr>
        <w:t xml:space="preserve">част от </w:t>
      </w:r>
      <w:r w:rsidR="00237125" w:rsidRPr="00610B1B">
        <w:rPr>
          <w:rFonts w:ascii="Times New Roman" w:hAnsi="Times New Roman" w:cs="Times New Roman"/>
          <w:sz w:val="24"/>
          <w:szCs w:val="24"/>
          <w:lang w:val="bg-BG"/>
        </w:rPr>
        <w:t xml:space="preserve">изключителната </w:t>
      </w:r>
      <w:r w:rsidR="00823BE7" w:rsidRPr="00610B1B">
        <w:rPr>
          <w:rFonts w:ascii="Times New Roman" w:hAnsi="Times New Roman" w:cs="Times New Roman"/>
          <w:sz w:val="24"/>
          <w:szCs w:val="24"/>
          <w:lang w:val="bg-BG"/>
        </w:rPr>
        <w:t>икономическата зона на Р</w:t>
      </w:r>
      <w:r w:rsidRPr="00610B1B">
        <w:rPr>
          <w:rFonts w:ascii="Times New Roman" w:hAnsi="Times New Roman" w:cs="Times New Roman"/>
          <w:sz w:val="24"/>
          <w:szCs w:val="24"/>
          <w:lang w:val="bg-BG"/>
        </w:rPr>
        <w:t xml:space="preserve">. България. </w:t>
      </w:r>
    </w:p>
    <w:p w14:paraId="382BD6E0" w14:textId="566C1B6C" w:rsidR="00823BE7" w:rsidRPr="00610B1B" w:rsidRDefault="00823BE7"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eastAsia="Times New Roman" w:hAnsi="Times New Roman" w:cs="Times New Roman"/>
          <w:b/>
          <w:color w:val="000000"/>
          <w:sz w:val="24"/>
          <w:szCs w:val="24"/>
          <w:lang w:val="bg-BG" w:eastAsia="bg-BG"/>
        </w:rPr>
        <w:t>Хоризонталните полета на температурата и солеността</w:t>
      </w:r>
      <w:r w:rsidRPr="00610B1B">
        <w:rPr>
          <w:rFonts w:ascii="Times New Roman" w:eastAsia="Times New Roman" w:hAnsi="Times New Roman" w:cs="Times New Roman"/>
          <w:color w:val="000000"/>
          <w:sz w:val="24"/>
          <w:szCs w:val="24"/>
          <w:lang w:val="bg-BG" w:eastAsia="bg-BG"/>
        </w:rPr>
        <w:t xml:space="preserve"> на 5 m и 15 m дълбочина разкриват пространственото разпределение на повърхността в смесения слой над сезонния термоклин през лятото</w:t>
      </w:r>
      <w:r w:rsidR="001C154B" w:rsidRPr="00610B1B">
        <w:rPr>
          <w:rFonts w:ascii="Times New Roman" w:eastAsia="Times New Roman" w:hAnsi="Times New Roman" w:cs="Times New Roman"/>
          <w:color w:val="000000"/>
          <w:sz w:val="24"/>
          <w:szCs w:val="24"/>
          <w:lang w:val="bg-BG" w:eastAsia="bg-BG"/>
        </w:rPr>
        <w:t xml:space="preserve">. </w:t>
      </w:r>
      <w:r w:rsidRPr="00610B1B">
        <w:rPr>
          <w:rFonts w:ascii="Times New Roman" w:eastAsia="Times New Roman" w:hAnsi="Times New Roman" w:cs="Times New Roman"/>
          <w:color w:val="000000"/>
          <w:sz w:val="24"/>
          <w:szCs w:val="24"/>
          <w:lang w:val="bg-BG" w:eastAsia="bg-BG"/>
        </w:rPr>
        <w:t>Водите в близост до брега и вътрешния шелф са сравнително по-хладни и пресни със соленост около и по-ниски от 17.0‰, докато откритите морски води са по-солени. Това се дължи на влиянието на сладките води с произход от северозападния шелф. Те са с температура 25.0-25.4°C и соленост 16.0-16.5‰, наблюдавани в северната част на изследваната зона.</w:t>
      </w:r>
      <w:r w:rsidR="001C154B" w:rsidRPr="00610B1B">
        <w:rPr>
          <w:rFonts w:ascii="Times New Roman" w:eastAsia="Times New Roman" w:hAnsi="Times New Roman" w:cs="Times New Roman"/>
          <w:color w:val="000000"/>
          <w:sz w:val="24"/>
          <w:szCs w:val="24"/>
          <w:lang w:val="bg-BG" w:eastAsia="bg-BG"/>
        </w:rPr>
        <w:t xml:space="preserve"> </w:t>
      </w:r>
      <w:r w:rsidRPr="00610B1B">
        <w:rPr>
          <w:rFonts w:ascii="Times New Roman" w:eastAsia="Times New Roman" w:hAnsi="Times New Roman" w:cs="Times New Roman"/>
          <w:color w:val="000000"/>
          <w:sz w:val="24"/>
          <w:szCs w:val="24"/>
          <w:lang w:val="bg-BG" w:eastAsia="bg-BG"/>
        </w:rPr>
        <w:t>Влизайки в западния шелф, тези води се трансформират, но тяхното въздействие може да се проследи по цялата дължина на шелфа, особено в разпределението на солеността. Поради бреговата орография, води, образувани в местни условия, се наблюдават в заливите и прилежащите тесни крайбрежни райони. В тези райони температурата на водата е по-</w:t>
      </w:r>
      <w:r w:rsidR="00C26352" w:rsidRPr="00610B1B">
        <w:rPr>
          <w:rFonts w:ascii="Times New Roman" w:eastAsia="Times New Roman" w:hAnsi="Times New Roman" w:cs="Times New Roman"/>
          <w:color w:val="000000"/>
          <w:sz w:val="24"/>
          <w:szCs w:val="24"/>
          <w:lang w:val="bg-BG" w:eastAsia="bg-BG"/>
        </w:rPr>
        <w:t>висока</w:t>
      </w:r>
      <w:r w:rsidRPr="00610B1B">
        <w:rPr>
          <w:rFonts w:ascii="Times New Roman" w:eastAsia="Times New Roman" w:hAnsi="Times New Roman" w:cs="Times New Roman"/>
          <w:color w:val="000000"/>
          <w:sz w:val="24"/>
          <w:szCs w:val="24"/>
          <w:lang w:val="bg-BG" w:eastAsia="bg-BG"/>
        </w:rPr>
        <w:t xml:space="preserve"> от 25.4°C, а солеността - по-голяма от 17.0‰.</w:t>
      </w:r>
      <w:r w:rsidR="001C154B" w:rsidRPr="00610B1B">
        <w:rPr>
          <w:rFonts w:ascii="Times New Roman" w:eastAsia="Times New Roman" w:hAnsi="Times New Roman" w:cs="Times New Roman"/>
          <w:color w:val="000000"/>
          <w:sz w:val="24"/>
          <w:szCs w:val="24"/>
          <w:lang w:val="bg-BG" w:eastAsia="bg-BG"/>
        </w:rPr>
        <w:t xml:space="preserve"> </w:t>
      </w:r>
      <w:r w:rsidRPr="00610B1B">
        <w:rPr>
          <w:rFonts w:ascii="Times New Roman" w:hAnsi="Times New Roman" w:cs="Times New Roman"/>
          <w:sz w:val="24"/>
          <w:szCs w:val="24"/>
          <w:lang w:val="bg-BG"/>
        </w:rPr>
        <w:t>Наличието на по-хладни и по-пресни води в крайбрежните райони, от една страна, и по-топли и солени води в открито море (T</w:t>
      </w:r>
      <w:r w:rsidR="00C26352"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&gt;26.5°C, S</w:t>
      </w:r>
      <w:r w:rsidR="00C26352"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&gt;18.0‰), от друга, определя съществуването на фронтална зона с ширина 55-75 </w:t>
      </w:r>
      <w:r w:rsidR="00C26352" w:rsidRPr="00610B1B">
        <w:rPr>
          <w:rFonts w:ascii="Times New Roman" w:hAnsi="Times New Roman" w:cs="Times New Roman"/>
          <w:sz w:val="24"/>
          <w:szCs w:val="24"/>
          <w:lang w:val="bg-BG"/>
        </w:rPr>
        <w:t>km</w:t>
      </w:r>
      <w:r w:rsidRPr="00610B1B">
        <w:rPr>
          <w:rFonts w:ascii="Times New Roman" w:hAnsi="Times New Roman" w:cs="Times New Roman"/>
          <w:sz w:val="24"/>
          <w:szCs w:val="24"/>
          <w:lang w:val="bg-BG"/>
        </w:rPr>
        <w:t xml:space="preserve">, в която температурата се увеличава с ~ 1.5°C, а солеността с ~ 1‰. </w:t>
      </w:r>
    </w:p>
    <w:p w14:paraId="7E6B499A" w14:textId="01CBF8EB" w:rsidR="00823BE7" w:rsidRPr="00610B1B" w:rsidRDefault="00823BE7"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От хидродинамична гледна точка фронталната зона определя положението на основн</w:t>
      </w:r>
      <w:r w:rsidR="004D5BE3" w:rsidRPr="00610B1B">
        <w:rPr>
          <w:rFonts w:ascii="Times New Roman" w:hAnsi="Times New Roman" w:cs="Times New Roman"/>
          <w:sz w:val="24"/>
          <w:szCs w:val="24"/>
          <w:lang w:val="bg-BG"/>
        </w:rPr>
        <w:t>ото</w:t>
      </w:r>
      <w:r w:rsidRPr="00610B1B">
        <w:rPr>
          <w:rFonts w:ascii="Times New Roman" w:hAnsi="Times New Roman" w:cs="Times New Roman"/>
          <w:sz w:val="24"/>
          <w:szCs w:val="24"/>
          <w:lang w:val="bg-BG"/>
        </w:rPr>
        <w:t xml:space="preserve"> черноморско течение. </w:t>
      </w:r>
      <w:r w:rsidR="004D5BE3" w:rsidRPr="00610B1B">
        <w:rPr>
          <w:rFonts w:ascii="Times New Roman" w:hAnsi="Times New Roman" w:cs="Times New Roman"/>
          <w:sz w:val="24"/>
          <w:szCs w:val="24"/>
          <w:lang w:val="bg-BG"/>
        </w:rPr>
        <w:t xml:space="preserve">През </w:t>
      </w:r>
      <w:r w:rsidRPr="00610B1B">
        <w:rPr>
          <w:rFonts w:ascii="Times New Roman" w:hAnsi="Times New Roman" w:cs="Times New Roman"/>
          <w:sz w:val="24"/>
          <w:szCs w:val="24"/>
          <w:lang w:val="bg-BG"/>
        </w:rPr>
        <w:t>лятото скоростта му е по-ниска и потокът се отклонява по ръба на шелфа. Следователно т</w:t>
      </w:r>
      <w:r w:rsidR="004D5BE3" w:rsidRPr="00610B1B">
        <w:rPr>
          <w:rFonts w:ascii="Times New Roman" w:hAnsi="Times New Roman" w:cs="Times New Roman"/>
          <w:sz w:val="24"/>
          <w:szCs w:val="24"/>
          <w:lang w:val="bg-BG"/>
        </w:rPr>
        <w:t>о</w:t>
      </w:r>
      <w:r w:rsidRPr="00610B1B">
        <w:rPr>
          <w:rFonts w:ascii="Times New Roman" w:hAnsi="Times New Roman" w:cs="Times New Roman"/>
          <w:sz w:val="24"/>
          <w:szCs w:val="24"/>
          <w:lang w:val="bg-BG"/>
        </w:rPr>
        <w:t xml:space="preserve"> обхваща по-голяма площ и може да бъде проследен</w:t>
      </w:r>
      <w:r w:rsidR="00DD62CE" w:rsidRPr="00610B1B">
        <w:rPr>
          <w:rFonts w:ascii="Times New Roman" w:hAnsi="Times New Roman" w:cs="Times New Roman"/>
          <w:sz w:val="24"/>
          <w:szCs w:val="24"/>
          <w:lang w:val="bg-BG"/>
        </w:rPr>
        <w:t>о</w:t>
      </w:r>
      <w:r w:rsidRPr="00610B1B">
        <w:rPr>
          <w:rFonts w:ascii="Times New Roman" w:hAnsi="Times New Roman" w:cs="Times New Roman"/>
          <w:sz w:val="24"/>
          <w:szCs w:val="24"/>
          <w:lang w:val="bg-BG"/>
        </w:rPr>
        <w:t xml:space="preserve"> чрез изотерми 25.8 - 26.6°C и изохалини 17.4 - 18.0 ‰</w:t>
      </w:r>
      <w:r w:rsidR="001C154B"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Нестабилността на кръгово</w:t>
      </w:r>
      <w:r w:rsidR="0078160F" w:rsidRPr="00610B1B">
        <w:rPr>
          <w:rFonts w:ascii="Times New Roman" w:hAnsi="Times New Roman" w:cs="Times New Roman"/>
          <w:sz w:val="24"/>
          <w:szCs w:val="24"/>
          <w:lang w:val="bg-BG"/>
        </w:rPr>
        <w:t>то</w:t>
      </w:r>
      <w:r w:rsidRPr="00610B1B">
        <w:rPr>
          <w:rFonts w:ascii="Times New Roman" w:hAnsi="Times New Roman" w:cs="Times New Roman"/>
          <w:sz w:val="24"/>
          <w:szCs w:val="24"/>
          <w:lang w:val="bg-BG"/>
        </w:rPr>
        <w:t xml:space="preserve"> течение през този сезон води до образуване на циклонални мезомащабни вихри, разпространяващи се от ръба на шелфа до отворената граница на изследваната зона, следвайки текущата посока</w:t>
      </w:r>
      <w:r w:rsidR="004D5BE3"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00060A03" w:rsidRPr="00610B1B">
        <w:rPr>
          <w:rFonts w:ascii="Times New Roman" w:hAnsi="Times New Roman" w:cs="Times New Roman"/>
          <w:sz w:val="24"/>
          <w:szCs w:val="24"/>
          <w:lang w:val="bg-BG"/>
        </w:rPr>
        <w:t xml:space="preserve">Антициклоналните </w:t>
      </w:r>
      <w:r w:rsidRPr="00610B1B">
        <w:rPr>
          <w:rFonts w:ascii="Times New Roman" w:hAnsi="Times New Roman" w:cs="Times New Roman"/>
          <w:sz w:val="24"/>
          <w:szCs w:val="24"/>
          <w:lang w:val="bg-BG"/>
        </w:rPr>
        <w:t>вихри, които се формират главно в средната и южната част на западния шелф</w:t>
      </w:r>
      <w:r w:rsidR="001C154B"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се разпространяват в обратна посока по протежение на брега (противотечения). Циклоналните вихри носят водни маси, образувани на шелфа, а антициклоналните - по-топли и солени откритоморски води. </w:t>
      </w:r>
      <w:r w:rsidR="00DD62CE" w:rsidRPr="00610B1B">
        <w:rPr>
          <w:rFonts w:ascii="Times New Roman" w:hAnsi="Times New Roman" w:cs="Times New Roman"/>
          <w:sz w:val="24"/>
          <w:szCs w:val="24"/>
          <w:lang w:val="bg-BG"/>
        </w:rPr>
        <w:t xml:space="preserve">Това </w:t>
      </w:r>
      <w:r w:rsidRPr="00610B1B">
        <w:rPr>
          <w:rFonts w:ascii="Times New Roman" w:hAnsi="Times New Roman" w:cs="Times New Roman"/>
          <w:sz w:val="24"/>
          <w:szCs w:val="24"/>
          <w:lang w:val="bg-BG"/>
        </w:rPr>
        <w:t xml:space="preserve">подкрепя твърденията за съществуването на квазистационарно Калиакренски вихър. В южната част на Бургаския залив се забелязва друг вихър, който изглежда с постоянни характеристики в целия воден стълб. </w:t>
      </w:r>
    </w:p>
    <w:p w14:paraId="74F381C4" w14:textId="0D741569" w:rsidR="00823BE7" w:rsidRPr="00610B1B" w:rsidRDefault="00823BE7"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Температурното поле на стандартна дълбочина 30 m представя условията в сезонния термоклин. По-нататъшното разпадане във фронталната зона се забелязва с малки разлики в температурата и солеността поради активното смесване. Температурата варира между 12.0°C в антициклоналните и 10.5°C в циклоналните райони, а солеността - между 17.7 и 18.1‰. Гореспоменатите вихрови структури са най-разпознаваемите характеристики, но те са по-топли и по-малко солени в сравнение със заобикалящите води: температура около нос Калиакра е 15.0°C, а в южната част на Бургаския залив – 17.0°C. Следователно наблюдаваната картина в антициклоналните области съответства на горния термоклин, докато тази в циклоналните области - на долната му част (Valcheva et al., 2014).</w:t>
      </w:r>
    </w:p>
    <w:p w14:paraId="3CC640E7" w14:textId="14BD26FA" w:rsidR="00823BE7" w:rsidRPr="00610B1B" w:rsidRDefault="00823BE7"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Хоризонталните полета на стандартните дълбочини до дъното показват много по-малки колебания. Температурата при стандартна дълбочина 75 m варира в диапазона 7.4-8.0°C</w:t>
      </w:r>
      <w:r w:rsidR="00811DB7" w:rsidRPr="00610B1B">
        <w:rPr>
          <w:rFonts w:ascii="Times New Roman" w:hAnsi="Times New Roman" w:cs="Times New Roman"/>
          <w:sz w:val="24"/>
          <w:szCs w:val="24"/>
          <w:lang w:val="bg-BG"/>
        </w:rPr>
        <w:t xml:space="preserve"> и</w:t>
      </w:r>
      <w:r w:rsidRPr="00610B1B">
        <w:rPr>
          <w:rFonts w:ascii="Times New Roman" w:hAnsi="Times New Roman" w:cs="Times New Roman"/>
          <w:sz w:val="24"/>
          <w:szCs w:val="24"/>
          <w:lang w:val="bg-BG"/>
        </w:rPr>
        <w:t xml:space="preserve"> е типична за СМС. Най-ниска е в северната и централната част на изследвания регион. Водите с температура по-висока от 8.0°C се проследяват в близост до брега на южния </w:t>
      </w:r>
      <w:r w:rsidR="00060A03" w:rsidRPr="00610B1B">
        <w:rPr>
          <w:rFonts w:ascii="Times New Roman" w:hAnsi="Times New Roman" w:cs="Times New Roman"/>
          <w:sz w:val="24"/>
          <w:szCs w:val="24"/>
          <w:lang w:val="bg-BG"/>
        </w:rPr>
        <w:t xml:space="preserve">Бургаски </w:t>
      </w:r>
      <w:r w:rsidRPr="00610B1B">
        <w:rPr>
          <w:rFonts w:ascii="Times New Roman" w:hAnsi="Times New Roman" w:cs="Times New Roman"/>
          <w:sz w:val="24"/>
          <w:szCs w:val="24"/>
          <w:lang w:val="bg-BG"/>
        </w:rPr>
        <w:t>залив. Разпределението на солеността се характеризира с постепенно и равномерно увеличаване към открито море от 17.9 до 19.6</w:t>
      </w:r>
      <w:r w:rsidR="00811DB7"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което е характерно за горната част на халоклина</w:t>
      </w:r>
      <w:r w:rsidR="00811DB7" w:rsidRPr="00610B1B">
        <w:rPr>
          <w:rFonts w:ascii="Times New Roman" w:hAnsi="Times New Roman" w:cs="Times New Roman"/>
          <w:sz w:val="24"/>
          <w:szCs w:val="24"/>
          <w:lang w:val="bg-BG"/>
        </w:rPr>
        <w:t>.</w:t>
      </w:r>
    </w:p>
    <w:p w14:paraId="1CB4ABC5" w14:textId="5BC59F48" w:rsidR="00823BE7" w:rsidRPr="00610B1B" w:rsidRDefault="00823BE7"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Зимните климатични хоризонтални полета на температурата и солеността разкриват основните характеристики на типичната сезонна динамика. Фронталната зона на стандартна дълбочина от 5 </w:t>
      </w:r>
      <w:r w:rsidR="00060A03"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xml:space="preserve"> е 3-4 пъти по-тясна (~ 20-25 </w:t>
      </w:r>
      <w:r w:rsidR="00060A03" w:rsidRPr="00610B1B">
        <w:rPr>
          <w:rFonts w:ascii="Times New Roman" w:hAnsi="Times New Roman" w:cs="Times New Roman"/>
          <w:sz w:val="24"/>
          <w:szCs w:val="24"/>
          <w:lang w:val="bg-BG"/>
        </w:rPr>
        <w:t>km</w:t>
      </w:r>
      <w:r w:rsidRPr="00610B1B">
        <w:rPr>
          <w:rFonts w:ascii="Times New Roman" w:hAnsi="Times New Roman" w:cs="Times New Roman"/>
          <w:sz w:val="24"/>
          <w:szCs w:val="24"/>
          <w:lang w:val="bg-BG"/>
        </w:rPr>
        <w:t xml:space="preserve">) по отношение на лятото, което се дължи на засилването на голямомащабната циркулация – </w:t>
      </w:r>
      <w:r w:rsidR="00811DB7" w:rsidRPr="00610B1B">
        <w:rPr>
          <w:rFonts w:ascii="Times New Roman" w:hAnsi="Times New Roman" w:cs="Times New Roman"/>
          <w:sz w:val="24"/>
          <w:szCs w:val="24"/>
          <w:lang w:val="bg-BG"/>
        </w:rPr>
        <w:t xml:space="preserve">основното черноморско течение </w:t>
      </w:r>
      <w:r w:rsidRPr="00610B1B">
        <w:rPr>
          <w:rFonts w:ascii="Times New Roman" w:hAnsi="Times New Roman" w:cs="Times New Roman"/>
          <w:sz w:val="24"/>
          <w:szCs w:val="24"/>
          <w:lang w:val="bg-BG"/>
        </w:rPr>
        <w:t xml:space="preserve">е силно притиснато към страничните граници на басейна и основният поток следва 50-60 </w:t>
      </w:r>
      <w:r w:rsidR="00060A03"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xml:space="preserve"> изобати.</w:t>
      </w:r>
    </w:p>
    <w:p w14:paraId="431EDFB0" w14:textId="6D9FECB1" w:rsidR="00823BE7" w:rsidRPr="00610B1B" w:rsidRDefault="00823BE7"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Наличието на крайбрежна водна маса с температура 5.9-6.4°C се дължи на преохлаждане на сравнително пресни води (S &lt;17.0‰) и конвективно смесване. Температурата във фронталната зона се увеличава от 6.4 на 7.4°C, а солеността - от 17.0 на 17.8‰. Температурата на повърхностната вода в открито море е с около 2.2°C по-висока, отколкото в близост до брега. Подобна е картината на стандартна дълбочина от 35 m. Температурата и солеността на крайбрежните води се увеличават, </w:t>
      </w:r>
      <w:r w:rsidR="0078160F" w:rsidRPr="00610B1B">
        <w:rPr>
          <w:rFonts w:ascii="Times New Roman" w:hAnsi="Times New Roman" w:cs="Times New Roman"/>
          <w:sz w:val="24"/>
          <w:szCs w:val="24"/>
          <w:lang w:val="bg-BG"/>
        </w:rPr>
        <w:t>а</w:t>
      </w:r>
      <w:r w:rsidRPr="00610B1B">
        <w:rPr>
          <w:rFonts w:ascii="Times New Roman" w:hAnsi="Times New Roman" w:cs="Times New Roman"/>
          <w:sz w:val="24"/>
          <w:szCs w:val="24"/>
          <w:lang w:val="bg-BG"/>
        </w:rPr>
        <w:t xml:space="preserve"> тези на откритите морски зони не се променят забележимо. При стандартна дълбочина от 75 m се наблюдават малки изменения на параметрите: T=7.65÷ 7.95°C, S=18.2÷18.9‰</w:t>
      </w:r>
      <w:r w:rsidR="00811DB7"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Условията на стандартни дълбочини от 100 и 150 </w:t>
      </w:r>
      <w:r w:rsidR="00060A03"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xml:space="preserve"> са почти еднакви с постепенно повишаване на температурата и солеността с увеличаване на географската дължина. Максималната температура в халоклина е по-висока от 8.2 и 8.6°C, а максимална соленост - съответно 19.8 и 20.8‰. Като се има предвид лекото покачване на температурата поради инверсията в постоянния термоклин, солеността се увеличава с повече от 1‰ (в рамките на 50 m) в постоянния халоклин.</w:t>
      </w:r>
    </w:p>
    <w:p w14:paraId="127841F3" w14:textId="13B785B8" w:rsidR="00823BE7" w:rsidRPr="00610B1B" w:rsidRDefault="00823BE7"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Средните климатични полета на температурата и солеността на повърхността, в СМС и в дълбоководния слой имат различна структура и сезонна изменчивост, които се определят от процесите на тяхното формиране. Хоризонталните повърхностни полета на температура и соленост през лятото се отличават с по-голяма хетерогенност</w:t>
      </w:r>
      <w:r w:rsidR="00A6713C" w:rsidRPr="00610B1B">
        <w:rPr>
          <w:rFonts w:ascii="Times New Roman" w:hAnsi="Times New Roman" w:cs="Times New Roman"/>
          <w:sz w:val="24"/>
          <w:szCs w:val="24"/>
          <w:lang w:val="bg-BG"/>
        </w:rPr>
        <w:t xml:space="preserve">, поради </w:t>
      </w:r>
      <w:r w:rsidRPr="00610B1B">
        <w:rPr>
          <w:rFonts w:ascii="Times New Roman" w:hAnsi="Times New Roman" w:cs="Times New Roman"/>
          <w:sz w:val="24"/>
          <w:szCs w:val="24"/>
          <w:lang w:val="bg-BG"/>
        </w:rPr>
        <w:t xml:space="preserve">наличието на широка фронтална зона между шелфовите води и тези на откритите части на района. Тази челна зона е част от много по-широка зона между водите в северозападния </w:t>
      </w:r>
      <w:r w:rsidRPr="00610B1B">
        <w:rPr>
          <w:rFonts w:ascii="Times New Roman" w:hAnsi="Times New Roman" w:cs="Times New Roman"/>
          <w:sz w:val="24"/>
          <w:szCs w:val="24"/>
          <w:lang w:val="bg-BG"/>
        </w:rPr>
        <w:lastRenderedPageBreak/>
        <w:t>и западния шелф, от една страна, и от друга</w:t>
      </w:r>
      <w:r w:rsidR="00060A03"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тези във вътрешната част на басейна. Повърхностното температурно поле </w:t>
      </w:r>
      <w:r w:rsidR="00BD75A7"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xml:space="preserve"> през лятото и през зимата</w:t>
      </w:r>
      <w:r w:rsidR="00BD75A7"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се определя от преноса на топлина през морската повърхност. </w:t>
      </w:r>
    </w:p>
    <w:p w14:paraId="0F8EBA94" w14:textId="7EA831EC" w:rsidR="00823BE7" w:rsidRPr="00610B1B" w:rsidRDefault="00823BE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Хоризонталното разпределение на характеристиките на морската вода през зимата показва унищожаване на сезонен термоклин, което води до хомогенност на полетата на стандартни дълбочини 5, 15 и 30 m. Фронталната зона е 3-4 пъти по-тясна в сравнение с лятото ~</w:t>
      </w:r>
      <w:r w:rsidR="00AC5F2E"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20</w:t>
      </w:r>
      <w:r w:rsidR="00AC5F2E"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w:t>
      </w:r>
      <w:r w:rsidR="00AC5F2E"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25</w:t>
      </w:r>
      <w:r w:rsidR="00AC5F2E" w:rsidRPr="00610B1B">
        <w:rPr>
          <w:rFonts w:ascii="Times New Roman" w:hAnsi="Times New Roman" w:cs="Times New Roman"/>
          <w:sz w:val="24"/>
          <w:szCs w:val="24"/>
          <w:lang w:val="bg-BG"/>
        </w:rPr>
        <w:t> </w:t>
      </w:r>
      <w:r w:rsidR="00060A03" w:rsidRPr="00610B1B">
        <w:rPr>
          <w:rFonts w:ascii="Times New Roman" w:hAnsi="Times New Roman" w:cs="Times New Roman"/>
          <w:sz w:val="24"/>
          <w:szCs w:val="24"/>
          <w:lang w:val="bg-BG"/>
        </w:rPr>
        <w:t>km</w:t>
      </w:r>
      <w:r w:rsidRPr="00610B1B">
        <w:rPr>
          <w:rFonts w:ascii="Times New Roman" w:hAnsi="Times New Roman" w:cs="Times New Roman"/>
          <w:sz w:val="24"/>
          <w:szCs w:val="24"/>
          <w:lang w:val="bg-BG"/>
        </w:rPr>
        <w:t xml:space="preserve">. Кръговото течение е изразено към страничните граници на басейна поради увеличаването на неговата интензивност, а оста му следва 50-60 m изобата. Фронталната зона е почти изцяло разположена в зоната на шелфа, докато през лятото обикновено следва 100 </w:t>
      </w:r>
      <w:r w:rsidR="00060A03"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xml:space="preserve"> изобата. Стабилността на потока ясно е свързана с висока скорост. Това води до много по-равномерна термо-халинова структура с изолинии, които практически са сходни с изобатите. Тази картина остава без значителни промени в повърхността </w:t>
      </w:r>
      <w:r w:rsidR="00A6713C" w:rsidRPr="00610B1B">
        <w:rPr>
          <w:rFonts w:ascii="Times New Roman" w:hAnsi="Times New Roman" w:cs="Times New Roman"/>
          <w:sz w:val="24"/>
          <w:szCs w:val="24"/>
          <w:lang w:val="bg-BG"/>
        </w:rPr>
        <w:t xml:space="preserve">до </w:t>
      </w:r>
      <w:r w:rsidRPr="00610B1B">
        <w:rPr>
          <w:rFonts w:ascii="Times New Roman" w:hAnsi="Times New Roman" w:cs="Times New Roman"/>
          <w:sz w:val="24"/>
          <w:szCs w:val="24"/>
          <w:lang w:val="bg-BG"/>
        </w:rPr>
        <w:t>150-200 m.</w:t>
      </w:r>
    </w:p>
    <w:p w14:paraId="02AC0AA1" w14:textId="129FD2AE" w:rsidR="00823BE7" w:rsidRPr="00610B1B" w:rsidRDefault="00823BE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bCs/>
          <w:sz w:val="24"/>
          <w:szCs w:val="24"/>
          <w:lang w:val="bg-BG"/>
        </w:rPr>
        <w:t>Приливите и отливите</w:t>
      </w:r>
      <w:r w:rsidRPr="00610B1B">
        <w:rPr>
          <w:rFonts w:ascii="Times New Roman" w:hAnsi="Times New Roman" w:cs="Times New Roman"/>
          <w:sz w:val="24"/>
          <w:szCs w:val="24"/>
          <w:lang w:val="bg-BG"/>
        </w:rPr>
        <w:t xml:space="preserve"> не оказват влияние върху водното ниво на Черно море. </w:t>
      </w:r>
      <w:r w:rsidR="00962F45" w:rsidRPr="00610B1B">
        <w:rPr>
          <w:rFonts w:ascii="Times New Roman" w:hAnsi="Times New Roman" w:cs="Times New Roman"/>
          <w:sz w:val="24"/>
          <w:szCs w:val="24"/>
          <w:lang w:val="bg-BG"/>
        </w:rPr>
        <w:t xml:space="preserve">Средният </w:t>
      </w:r>
      <w:r w:rsidRPr="00610B1B">
        <w:rPr>
          <w:rFonts w:ascii="Times New Roman" w:hAnsi="Times New Roman" w:cs="Times New Roman"/>
          <w:sz w:val="24"/>
          <w:szCs w:val="24"/>
          <w:lang w:val="bg-BG"/>
        </w:rPr>
        <w:t xml:space="preserve">пролетен диапазон в западната част на басейна е само 8-10 cm. Годишният диапазон на средното морско ниво поради въздействието на </w:t>
      </w:r>
      <w:r w:rsidRPr="00610B1B">
        <w:rPr>
          <w:rFonts w:ascii="Times New Roman" w:hAnsi="Times New Roman" w:cs="Times New Roman"/>
          <w:spacing w:val="-6"/>
          <w:sz w:val="24"/>
          <w:szCs w:val="24"/>
          <w:lang w:val="bg-BG"/>
        </w:rPr>
        <w:t>атмосферното налягане е приблизително 5 cm, като са регистрирани изключителни случаи на покачване от 15 cm и намаляване от 18 cm. Забелязват се колебания</w:t>
      </w:r>
      <w:r w:rsidR="00BD75A7" w:rsidRPr="00610B1B">
        <w:rPr>
          <w:rFonts w:ascii="Times New Roman" w:hAnsi="Times New Roman" w:cs="Times New Roman"/>
          <w:spacing w:val="-6"/>
          <w:sz w:val="24"/>
          <w:szCs w:val="24"/>
          <w:lang w:val="bg-BG"/>
        </w:rPr>
        <w:t>,</w:t>
      </w:r>
      <w:r w:rsidRPr="00610B1B">
        <w:rPr>
          <w:rFonts w:ascii="Times New Roman" w:hAnsi="Times New Roman" w:cs="Times New Roman"/>
          <w:spacing w:val="-6"/>
          <w:sz w:val="24"/>
          <w:szCs w:val="24"/>
          <w:lang w:val="bg-BG"/>
        </w:rPr>
        <w:t xml:space="preserve"> произтичащи от промени в количеството на водния поток, влизащ или излизащ от Черно море от 0.5 m до 1.5 m.</w:t>
      </w:r>
    </w:p>
    <w:p w14:paraId="1D2065C8" w14:textId="037D999A" w:rsidR="00823BE7" w:rsidRPr="00610B1B" w:rsidRDefault="00823BE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Ветровете влияят значително на морското ниво </w:t>
      </w:r>
      <w:r w:rsidR="006F0D2A"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w:t>
      </w:r>
      <w:r w:rsidR="006F0D2A" w:rsidRPr="00610B1B">
        <w:rPr>
          <w:rFonts w:ascii="Times New Roman" w:hAnsi="Times New Roman" w:cs="Times New Roman"/>
          <w:sz w:val="24"/>
          <w:szCs w:val="24"/>
          <w:lang w:val="bg-BG"/>
        </w:rPr>
        <w:t xml:space="preserve">северните, североизточните </w:t>
      </w:r>
      <w:r w:rsidRPr="00610B1B">
        <w:rPr>
          <w:rFonts w:ascii="Times New Roman" w:hAnsi="Times New Roman" w:cs="Times New Roman"/>
          <w:sz w:val="24"/>
          <w:szCs w:val="24"/>
          <w:lang w:val="bg-BG"/>
        </w:rPr>
        <w:t xml:space="preserve">ветрове имат тенденция да повишават, а </w:t>
      </w:r>
      <w:r w:rsidR="006F0D2A" w:rsidRPr="00610B1B">
        <w:rPr>
          <w:rFonts w:ascii="Times New Roman" w:hAnsi="Times New Roman" w:cs="Times New Roman"/>
          <w:sz w:val="24"/>
          <w:szCs w:val="24"/>
          <w:lang w:val="bg-BG"/>
        </w:rPr>
        <w:t>югозападните</w:t>
      </w:r>
      <w:r w:rsidRPr="00610B1B">
        <w:rPr>
          <w:rFonts w:ascii="Times New Roman" w:hAnsi="Times New Roman" w:cs="Times New Roman"/>
          <w:sz w:val="24"/>
          <w:szCs w:val="24"/>
          <w:lang w:val="bg-BG"/>
        </w:rPr>
        <w:t xml:space="preserve"> ветрове да понижават нивото. Т</w:t>
      </w:r>
      <w:r w:rsidR="00A6713C" w:rsidRPr="00610B1B">
        <w:rPr>
          <w:rFonts w:ascii="Times New Roman" w:hAnsi="Times New Roman" w:cs="Times New Roman"/>
          <w:sz w:val="24"/>
          <w:szCs w:val="24"/>
          <w:lang w:val="bg-BG"/>
        </w:rPr>
        <w:t>о</w:t>
      </w:r>
      <w:r w:rsidRPr="00610B1B">
        <w:rPr>
          <w:rFonts w:ascii="Times New Roman" w:hAnsi="Times New Roman" w:cs="Times New Roman"/>
          <w:sz w:val="24"/>
          <w:szCs w:val="24"/>
          <w:lang w:val="bg-BG"/>
        </w:rPr>
        <w:t xml:space="preserve"> зависи до голяма степен от местните условия, като е много по-постоянно в заливите, отколкото на по-откритите места и може да бъде до 0.30 m. Сейшите, които се появяват с малко или никакво предупреждение</w:t>
      </w:r>
      <w:r w:rsidR="00A6713C" w:rsidRPr="00610B1B">
        <w:rPr>
          <w:rFonts w:ascii="Times New Roman" w:hAnsi="Times New Roman" w:cs="Times New Roman"/>
          <w:sz w:val="24"/>
          <w:szCs w:val="24"/>
          <w:lang w:val="bg-BG"/>
        </w:rPr>
        <w:t xml:space="preserve"> вследствие на промени в атмосферното налягане</w:t>
      </w:r>
      <w:r w:rsidRPr="00610B1B">
        <w:rPr>
          <w:rFonts w:ascii="Times New Roman" w:hAnsi="Times New Roman" w:cs="Times New Roman"/>
          <w:sz w:val="24"/>
          <w:szCs w:val="24"/>
          <w:lang w:val="bg-BG"/>
        </w:rPr>
        <w:t xml:space="preserve">, могат да повишат (или понижат) морското ниво с около 1 </w:t>
      </w:r>
      <w:r w:rsidR="006F0D2A"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xml:space="preserve"> в някои райони. </w:t>
      </w:r>
    </w:p>
    <w:p w14:paraId="3079E599" w14:textId="71C7320D" w:rsidR="00823BE7" w:rsidRPr="00610B1B" w:rsidRDefault="00823BE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Както е с повечето вътрешни морета в Северното полукълбо, основните характеристики на циркулацията на водата в Черно море се характеризира с обща циклонична система от течения, с подчертана вихрова циркулация в зоните на шелфа и в близост до крайбрежието. Основният динамичен фактор за Черно море (т.нар. кръгово течение, </w:t>
      </w:r>
      <w:r w:rsidR="00811DB7" w:rsidRPr="00610B1B">
        <w:rPr>
          <w:rFonts w:ascii="Times New Roman" w:hAnsi="Times New Roman" w:cs="Times New Roman"/>
          <w:sz w:val="24"/>
          <w:szCs w:val="24"/>
          <w:lang w:val="bg-BG"/>
        </w:rPr>
        <w:t>основно черноморско течение)</w:t>
      </w:r>
      <w:r w:rsidRPr="00610B1B">
        <w:rPr>
          <w:rFonts w:ascii="Times New Roman" w:hAnsi="Times New Roman" w:cs="Times New Roman"/>
          <w:sz w:val="24"/>
          <w:szCs w:val="24"/>
          <w:lang w:val="bg-BG"/>
        </w:rPr>
        <w:t xml:space="preserve"> е сравнително мощно циклонално течение, чийто главен поток и меандрите му покриват цялата периферия на басейна. Ширината на това кръгово течение е няколко десетки километра, а средната скорост в центъра му достига до 40-70 </w:t>
      </w:r>
      <w:r w:rsidR="006F0D2A" w:rsidRPr="00610B1B">
        <w:rPr>
          <w:rFonts w:ascii="Times New Roman" w:hAnsi="Times New Roman" w:cs="Times New Roman"/>
          <w:sz w:val="24"/>
          <w:szCs w:val="24"/>
          <w:lang w:val="bg-BG"/>
        </w:rPr>
        <w:t>cm</w:t>
      </w:r>
      <w:r w:rsidRPr="00610B1B">
        <w:rPr>
          <w:rFonts w:ascii="Times New Roman" w:hAnsi="Times New Roman" w:cs="Times New Roman"/>
          <w:sz w:val="24"/>
          <w:szCs w:val="24"/>
          <w:lang w:val="bg-BG"/>
        </w:rPr>
        <w:t>/</w:t>
      </w:r>
      <w:r w:rsidR="006F0D2A" w:rsidRPr="00610B1B">
        <w:rPr>
          <w:rFonts w:ascii="Times New Roman" w:hAnsi="Times New Roman" w:cs="Times New Roman"/>
          <w:sz w:val="24"/>
          <w:szCs w:val="24"/>
          <w:lang w:val="bg-BG"/>
        </w:rPr>
        <w:t>s</w:t>
      </w:r>
      <w:r w:rsidRPr="00610B1B">
        <w:rPr>
          <w:rFonts w:ascii="Times New Roman" w:hAnsi="Times New Roman" w:cs="Times New Roman"/>
          <w:sz w:val="24"/>
          <w:szCs w:val="24"/>
          <w:lang w:val="bg-BG"/>
        </w:rPr>
        <w:t xml:space="preserve">, а </w:t>
      </w:r>
      <w:r w:rsidR="00A6713C" w:rsidRPr="00610B1B">
        <w:rPr>
          <w:rFonts w:ascii="Times New Roman" w:hAnsi="Times New Roman" w:cs="Times New Roman"/>
          <w:sz w:val="24"/>
          <w:szCs w:val="24"/>
          <w:lang w:val="bg-BG"/>
        </w:rPr>
        <w:t xml:space="preserve">при по-силни, устойчиви ветрове </w:t>
      </w:r>
      <w:r w:rsidRPr="00610B1B">
        <w:rPr>
          <w:rFonts w:ascii="Times New Roman" w:hAnsi="Times New Roman" w:cs="Times New Roman"/>
          <w:sz w:val="24"/>
          <w:szCs w:val="24"/>
          <w:lang w:val="bg-BG"/>
        </w:rPr>
        <w:t>и повече. Скоростта намалява с дълбочината</w:t>
      </w:r>
      <w:r w:rsidR="006F0D2A"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особено под 100 m. Антициклоналните вихри се изявяват по бреговата му граница, а циклоналните - по вътрешната граница. Движението запазва циклоничния си характер до 800–1</w:t>
      </w:r>
      <w:r w:rsidR="006F0D2A"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000 </w:t>
      </w:r>
      <w:r w:rsidR="006F0D2A"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xml:space="preserve"> дълбочина, а понякога и до морското дъно. </w:t>
      </w:r>
    </w:p>
    <w:p w14:paraId="0B472AF5" w14:textId="42E6CF6B" w:rsidR="00873CE6" w:rsidRPr="00610B1B" w:rsidRDefault="00873CE6"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Общ за всички набор от данни е бимодалният характер на циркулацията през годината. Зимната циркулация е доминирана от вихрова система в западния и източния басейни, обградена от слабо меандрираща, силна струя на кръговото течение. През пролетния и летния сезон тази система се преобразува в една композитна циклонова клетка, състояща се от многоцентрични циклонични групи, заобиколена от по-слаба, но по-широка и по-променлива зона на кръговото течение. През есента циркулацията на горния слой достига </w:t>
      </w:r>
      <w:r w:rsidRPr="00610B1B">
        <w:rPr>
          <w:rFonts w:ascii="Times New Roman" w:hAnsi="Times New Roman" w:cs="Times New Roman"/>
          <w:sz w:val="24"/>
          <w:szCs w:val="24"/>
          <w:lang w:val="bg-BG"/>
        </w:rPr>
        <w:lastRenderedPageBreak/>
        <w:t xml:space="preserve">най-дезорганизираната си форма, идентифицирана от поредица от циклонални вихри във вътрешността си и ярко изразена периферна изменчивост, определена от по-големи крайбрежни антициклонални вихри. </w:t>
      </w:r>
    </w:p>
    <w:p w14:paraId="75F0551E" w14:textId="7FA43A3A" w:rsidR="00823BE7" w:rsidRPr="00610B1B" w:rsidRDefault="00124648" w:rsidP="004F0987">
      <w:pPr>
        <w:spacing w:after="120"/>
        <w:ind w:right="-153"/>
        <w:jc w:val="both"/>
        <w:rPr>
          <w:rFonts w:ascii="Times New Roman" w:hAnsi="Times New Roman" w:cs="Times New Roman"/>
          <w:lang w:val="bg-BG"/>
        </w:rPr>
      </w:pPr>
      <w:r w:rsidRPr="00610B1B">
        <w:rPr>
          <w:rFonts w:ascii="Times New Roman" w:hAnsi="Times New Roman" w:cs="Times New Roman"/>
          <w:sz w:val="24"/>
          <w:szCs w:val="24"/>
          <w:lang w:val="bg-BG"/>
        </w:rPr>
        <w:t>От друга страна, северозападният шелф има силно променлива и динамична циркулационна структура през цялата година, която се формира като комбинация от оттока на Дунав, действието на вятъра и основната циркулационна система, разположена по протежение на откритоморската страна.</w:t>
      </w:r>
      <w:r w:rsidR="00EA610C"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На юг посоката на кръговите течения се очертава като преобладаващ път на потока от пресни води във вътрешния шелф по западното крайбрежие. Той може да бъде отклонен от време на време на север като образува антициклонална циркулационна клетка, затворена в северната част на шелфа. Крайбрежният поток на юг до голяма степен намалява при такива случаи. </w:t>
      </w:r>
    </w:p>
    <w:p w14:paraId="7B27294B" w14:textId="371248FD" w:rsidR="00823BE7" w:rsidRPr="00610B1B" w:rsidRDefault="00823BE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Системата на потока в северозападния шелф, която пряко засяга </w:t>
      </w:r>
      <w:r w:rsidR="00F01154" w:rsidRPr="00610B1B">
        <w:rPr>
          <w:rFonts w:ascii="Times New Roman" w:hAnsi="Times New Roman" w:cs="Times New Roman"/>
          <w:sz w:val="24"/>
          <w:szCs w:val="24"/>
          <w:lang w:val="bg-BG"/>
        </w:rPr>
        <w:t>българските морски пространства</w:t>
      </w:r>
      <w:r w:rsidRPr="00610B1B">
        <w:rPr>
          <w:rFonts w:ascii="Times New Roman" w:hAnsi="Times New Roman" w:cs="Times New Roman"/>
          <w:sz w:val="24"/>
          <w:szCs w:val="24"/>
          <w:lang w:val="bg-BG"/>
        </w:rPr>
        <w:t>, се управлява от навлизане на кръговото течение и от зауствания от реките Дунав, Днепър и Днестър</w:t>
      </w:r>
      <w:r w:rsidR="004B2858"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w:t>
      </w:r>
      <w:r w:rsidR="00695267" w:rsidRPr="00610B1B">
        <w:rPr>
          <w:rFonts w:ascii="Times New Roman" w:hAnsi="Times New Roman" w:cs="Times New Roman"/>
          <w:sz w:val="24"/>
          <w:szCs w:val="24"/>
          <w:lang w:val="bg-BG"/>
        </w:rPr>
        <w:t xml:space="preserve">Регионалният </w:t>
      </w:r>
      <w:r w:rsidRPr="00610B1B">
        <w:rPr>
          <w:rFonts w:ascii="Times New Roman" w:hAnsi="Times New Roman" w:cs="Times New Roman"/>
          <w:sz w:val="24"/>
          <w:szCs w:val="24"/>
          <w:lang w:val="bg-BG"/>
        </w:rPr>
        <w:t>режим на потока в</w:t>
      </w:r>
      <w:r w:rsidR="00F01154" w:rsidRPr="00610B1B">
        <w:rPr>
          <w:rFonts w:ascii="Times New Roman" w:hAnsi="Times New Roman" w:cs="Times New Roman"/>
          <w:sz w:val="24"/>
          <w:szCs w:val="24"/>
          <w:lang w:val="bg-BG"/>
        </w:rPr>
        <w:t>ъв</w:t>
      </w:r>
      <w:r w:rsidRPr="00610B1B">
        <w:rPr>
          <w:rFonts w:ascii="Times New Roman" w:hAnsi="Times New Roman" w:cs="Times New Roman"/>
          <w:sz w:val="24"/>
          <w:szCs w:val="24"/>
          <w:lang w:val="bg-BG"/>
        </w:rPr>
        <w:t xml:space="preserve"> вътрешния шелф се изразява в наличието на течение, насочено на югозапад. От друга страна, външният шелф се характеризира с високо динамични и сложни взаимодействия между вътрешния шелф и системата на кръговото течение. Крайбрежната система от течения, определ</w:t>
      </w:r>
      <w:r w:rsidR="00403E90" w:rsidRPr="00610B1B">
        <w:rPr>
          <w:rFonts w:ascii="Times New Roman" w:hAnsi="Times New Roman" w:cs="Times New Roman"/>
          <w:sz w:val="24"/>
          <w:szCs w:val="24"/>
          <w:lang w:val="bg-BG"/>
        </w:rPr>
        <w:t>е</w:t>
      </w:r>
      <w:r w:rsidRPr="00610B1B">
        <w:rPr>
          <w:rFonts w:ascii="Times New Roman" w:hAnsi="Times New Roman" w:cs="Times New Roman"/>
          <w:sz w:val="24"/>
          <w:szCs w:val="24"/>
          <w:lang w:val="bg-BG"/>
        </w:rPr>
        <w:t xml:space="preserve">н от наличието на пресни води, включва мезомащабни антициклонални вихри, един от които е разположен точно извън зоната на заустване на </w:t>
      </w:r>
      <w:r w:rsidR="00695267" w:rsidRPr="00610B1B">
        <w:rPr>
          <w:rFonts w:ascii="Times New Roman" w:hAnsi="Times New Roman" w:cs="Times New Roman"/>
          <w:sz w:val="24"/>
          <w:szCs w:val="24"/>
          <w:lang w:val="bg-BG"/>
        </w:rPr>
        <w:t xml:space="preserve">р. </w:t>
      </w:r>
      <w:r w:rsidRPr="00610B1B">
        <w:rPr>
          <w:rFonts w:ascii="Times New Roman" w:hAnsi="Times New Roman" w:cs="Times New Roman"/>
          <w:sz w:val="24"/>
          <w:szCs w:val="24"/>
          <w:lang w:val="bg-BG"/>
        </w:rPr>
        <w:t xml:space="preserve">Дунав. </w:t>
      </w:r>
      <w:r w:rsidR="00403E90" w:rsidRPr="00610B1B">
        <w:rPr>
          <w:rFonts w:ascii="Times New Roman" w:hAnsi="Times New Roman" w:cs="Times New Roman"/>
          <w:sz w:val="24"/>
          <w:szCs w:val="24"/>
          <w:lang w:val="bg-BG"/>
        </w:rPr>
        <w:t xml:space="preserve">Тази </w:t>
      </w:r>
      <w:r w:rsidRPr="00610B1B">
        <w:rPr>
          <w:rFonts w:ascii="Times New Roman" w:hAnsi="Times New Roman" w:cs="Times New Roman"/>
          <w:sz w:val="24"/>
          <w:szCs w:val="24"/>
          <w:lang w:val="bg-BG"/>
        </w:rPr>
        <w:t xml:space="preserve">характеристика </w:t>
      </w:r>
      <w:r w:rsidR="00403E90" w:rsidRPr="00610B1B">
        <w:rPr>
          <w:rFonts w:ascii="Times New Roman" w:hAnsi="Times New Roman" w:cs="Times New Roman"/>
          <w:sz w:val="24"/>
          <w:szCs w:val="24"/>
          <w:lang w:val="bg-BG"/>
        </w:rPr>
        <w:t>се нарича д</w:t>
      </w:r>
      <w:r w:rsidRPr="00610B1B">
        <w:rPr>
          <w:rFonts w:ascii="Times New Roman" w:hAnsi="Times New Roman" w:cs="Times New Roman"/>
          <w:sz w:val="24"/>
          <w:szCs w:val="24"/>
          <w:lang w:val="bg-BG"/>
        </w:rPr>
        <w:t xml:space="preserve">унавски антициклонален вихър. </w:t>
      </w:r>
      <w:r w:rsidR="004B2858" w:rsidRPr="00610B1B">
        <w:rPr>
          <w:rFonts w:ascii="Times New Roman" w:hAnsi="Times New Roman" w:cs="Times New Roman"/>
          <w:sz w:val="24"/>
          <w:szCs w:val="24"/>
          <w:lang w:val="bg-BG"/>
        </w:rPr>
        <w:t xml:space="preserve">Антициклоните на Констанца и Калиакра се наблюдават през 190 дни от годината със средна продължителност от около 50 дни. </w:t>
      </w:r>
      <w:r w:rsidRPr="00610B1B">
        <w:rPr>
          <w:rFonts w:ascii="Times New Roman" w:hAnsi="Times New Roman" w:cs="Times New Roman"/>
          <w:sz w:val="24"/>
          <w:szCs w:val="24"/>
          <w:lang w:val="bg-BG"/>
        </w:rPr>
        <w:t>Другият вихър се намира на юг</w:t>
      </w:r>
      <w:r w:rsidR="00403E9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близо до нос Калиакра, в най-тясната част на северозападния шелф. Антициклоналният Калиакренски вихър се появява през късните летни и есенни месеци. </w:t>
      </w:r>
    </w:p>
    <w:p w14:paraId="7B478235" w14:textId="217A9A65" w:rsidR="00823BE7" w:rsidRPr="00610B1B" w:rsidRDefault="00D263C1"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Основният </w:t>
      </w:r>
      <w:r w:rsidR="00823BE7" w:rsidRPr="00610B1B">
        <w:rPr>
          <w:rFonts w:ascii="Times New Roman" w:hAnsi="Times New Roman" w:cs="Times New Roman"/>
          <w:sz w:val="24"/>
          <w:szCs w:val="24"/>
          <w:lang w:val="bg-BG"/>
        </w:rPr>
        <w:t xml:space="preserve">поток претърпява качествени сезонни промени, особено през пролетта, когато </w:t>
      </w:r>
      <w:r w:rsidR="00E41333" w:rsidRPr="00610B1B">
        <w:rPr>
          <w:rFonts w:ascii="Times New Roman" w:hAnsi="Times New Roman" w:cs="Times New Roman"/>
          <w:sz w:val="24"/>
          <w:szCs w:val="24"/>
          <w:lang w:val="bg-BG"/>
        </w:rPr>
        <w:t>с</w:t>
      </w:r>
      <w:r w:rsidR="00823BE7" w:rsidRPr="00610B1B">
        <w:rPr>
          <w:rFonts w:ascii="Times New Roman" w:hAnsi="Times New Roman" w:cs="Times New Roman"/>
          <w:sz w:val="24"/>
          <w:szCs w:val="24"/>
          <w:lang w:val="bg-BG"/>
        </w:rPr>
        <w:t>е измест</w:t>
      </w:r>
      <w:r w:rsidR="00E41333" w:rsidRPr="00610B1B">
        <w:rPr>
          <w:rFonts w:ascii="Times New Roman" w:hAnsi="Times New Roman" w:cs="Times New Roman"/>
          <w:sz w:val="24"/>
          <w:szCs w:val="24"/>
          <w:lang w:val="bg-BG"/>
        </w:rPr>
        <w:t>ва</w:t>
      </w:r>
      <w:r w:rsidR="00823BE7" w:rsidRPr="00610B1B">
        <w:rPr>
          <w:rFonts w:ascii="Times New Roman" w:hAnsi="Times New Roman" w:cs="Times New Roman"/>
          <w:sz w:val="24"/>
          <w:szCs w:val="24"/>
          <w:lang w:val="bg-BG"/>
        </w:rPr>
        <w:t xml:space="preserve"> към морския център. Течението по протежение на българския бряг </w:t>
      </w:r>
      <w:r w:rsidR="005C4A17" w:rsidRPr="00610B1B">
        <w:rPr>
          <w:rFonts w:ascii="Times New Roman" w:hAnsi="Times New Roman" w:cs="Times New Roman"/>
          <w:sz w:val="24"/>
          <w:szCs w:val="24"/>
          <w:lang w:val="bg-BG"/>
        </w:rPr>
        <w:t xml:space="preserve">е </w:t>
      </w:r>
      <w:r w:rsidR="00823BE7" w:rsidRPr="00610B1B">
        <w:rPr>
          <w:rFonts w:ascii="Times New Roman" w:hAnsi="Times New Roman" w:cs="Times New Roman"/>
          <w:sz w:val="24"/>
          <w:szCs w:val="24"/>
          <w:lang w:val="bg-BG"/>
        </w:rPr>
        <w:t>насочено от север или североизток</w:t>
      </w:r>
      <w:r w:rsidR="00061406" w:rsidRPr="00610B1B">
        <w:rPr>
          <w:rFonts w:ascii="Times New Roman" w:hAnsi="Times New Roman" w:cs="Times New Roman"/>
          <w:sz w:val="24"/>
          <w:szCs w:val="24"/>
          <w:lang w:val="bg-BG"/>
        </w:rPr>
        <w:t xml:space="preserve"> и е н</w:t>
      </w:r>
      <w:r w:rsidR="00823BE7" w:rsidRPr="00610B1B">
        <w:rPr>
          <w:rFonts w:ascii="Times New Roman" w:hAnsi="Times New Roman" w:cs="Times New Roman"/>
          <w:sz w:val="24"/>
          <w:szCs w:val="24"/>
          <w:lang w:val="bg-BG"/>
        </w:rPr>
        <w:t xml:space="preserve">ай-силно изразено през зимата. Потокът му обикновено е широк 40-80 </w:t>
      </w:r>
      <w:r w:rsidR="005C4A17" w:rsidRPr="00610B1B">
        <w:rPr>
          <w:rFonts w:ascii="Times New Roman" w:hAnsi="Times New Roman" w:cs="Times New Roman"/>
          <w:sz w:val="24"/>
          <w:szCs w:val="24"/>
          <w:lang w:val="bg-BG"/>
        </w:rPr>
        <w:t>km</w:t>
      </w:r>
      <w:r w:rsidR="00E41333" w:rsidRPr="00610B1B">
        <w:rPr>
          <w:rFonts w:ascii="Times New Roman" w:hAnsi="Times New Roman" w:cs="Times New Roman"/>
          <w:sz w:val="24"/>
          <w:szCs w:val="24"/>
          <w:lang w:val="bg-BG"/>
        </w:rPr>
        <w:t>,</w:t>
      </w:r>
      <w:r w:rsidR="00823BE7" w:rsidRPr="00610B1B">
        <w:rPr>
          <w:rFonts w:ascii="Times New Roman" w:hAnsi="Times New Roman" w:cs="Times New Roman"/>
          <w:sz w:val="24"/>
          <w:szCs w:val="24"/>
          <w:lang w:val="bg-BG"/>
        </w:rPr>
        <w:t xml:space="preserve"> средната му скорост е около 0.50 m/s, а максималната скорост достиг</w:t>
      </w:r>
      <w:r w:rsidR="00F01154" w:rsidRPr="00610B1B">
        <w:rPr>
          <w:rFonts w:ascii="Times New Roman" w:hAnsi="Times New Roman" w:cs="Times New Roman"/>
          <w:sz w:val="24"/>
          <w:szCs w:val="24"/>
          <w:lang w:val="bg-BG"/>
        </w:rPr>
        <w:t>а</w:t>
      </w:r>
      <w:r w:rsidR="00823BE7" w:rsidRPr="00610B1B">
        <w:rPr>
          <w:rFonts w:ascii="Times New Roman" w:hAnsi="Times New Roman" w:cs="Times New Roman"/>
          <w:sz w:val="24"/>
          <w:szCs w:val="24"/>
          <w:lang w:val="bg-BG"/>
        </w:rPr>
        <w:t xml:space="preserve"> 1.00-1.50 m/s</w:t>
      </w:r>
      <w:r w:rsidR="00E41333" w:rsidRPr="00610B1B">
        <w:rPr>
          <w:rFonts w:ascii="Times New Roman" w:hAnsi="Times New Roman" w:cs="Times New Roman"/>
          <w:sz w:val="24"/>
          <w:szCs w:val="24"/>
          <w:lang w:val="bg-BG"/>
        </w:rPr>
        <w:t xml:space="preserve"> и</w:t>
      </w:r>
      <w:r w:rsidR="00823BE7" w:rsidRPr="00610B1B">
        <w:rPr>
          <w:rFonts w:ascii="Times New Roman" w:hAnsi="Times New Roman" w:cs="Times New Roman"/>
          <w:sz w:val="24"/>
          <w:szCs w:val="24"/>
          <w:lang w:val="bg-BG"/>
        </w:rPr>
        <w:t xml:space="preserve"> повече. Счита се, че кръговото течение е разположено над континенталния склон, но не винаги е така. С дълбочината скоростта</w:t>
      </w:r>
      <w:r w:rsidR="00061406" w:rsidRPr="00610B1B">
        <w:rPr>
          <w:rFonts w:ascii="Times New Roman" w:hAnsi="Times New Roman" w:cs="Times New Roman"/>
          <w:sz w:val="24"/>
          <w:szCs w:val="24"/>
          <w:lang w:val="bg-BG"/>
        </w:rPr>
        <w:t xml:space="preserve"> </w:t>
      </w:r>
      <w:r w:rsidR="00823BE7" w:rsidRPr="00610B1B">
        <w:rPr>
          <w:rFonts w:ascii="Times New Roman" w:hAnsi="Times New Roman" w:cs="Times New Roman"/>
          <w:sz w:val="24"/>
          <w:szCs w:val="24"/>
          <w:lang w:val="bg-BG"/>
        </w:rPr>
        <w:t>намалява в горния 100 m слой, основните градиенти се концентрират в 100-200 m слой</w:t>
      </w:r>
      <w:r w:rsidR="00E41333"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00E41333" w:rsidRPr="00610B1B">
        <w:rPr>
          <w:rFonts w:ascii="Times New Roman" w:hAnsi="Times New Roman" w:cs="Times New Roman"/>
          <w:sz w:val="24"/>
          <w:szCs w:val="24"/>
          <w:lang w:val="bg-BG"/>
        </w:rPr>
        <w:t>П</w:t>
      </w:r>
      <w:r w:rsidR="00823BE7" w:rsidRPr="00610B1B">
        <w:rPr>
          <w:rFonts w:ascii="Times New Roman" w:hAnsi="Times New Roman" w:cs="Times New Roman"/>
          <w:sz w:val="24"/>
          <w:szCs w:val="24"/>
          <w:lang w:val="bg-BG"/>
        </w:rPr>
        <w:t xml:space="preserve">од тази дълбочина модулът за скорост рязко отслабва. В някои случаи максималната скорост не е на повърхността, а на 10-25 m хоризонти. </w:t>
      </w:r>
      <w:r w:rsidR="00E41333" w:rsidRPr="00610B1B">
        <w:rPr>
          <w:rFonts w:ascii="Times New Roman" w:hAnsi="Times New Roman" w:cs="Times New Roman"/>
          <w:sz w:val="24"/>
          <w:szCs w:val="24"/>
          <w:lang w:val="bg-BG"/>
        </w:rPr>
        <w:t>Н</w:t>
      </w:r>
      <w:r w:rsidR="00823BE7" w:rsidRPr="00610B1B">
        <w:rPr>
          <w:rFonts w:ascii="Times New Roman" w:hAnsi="Times New Roman" w:cs="Times New Roman"/>
          <w:sz w:val="24"/>
          <w:szCs w:val="24"/>
          <w:lang w:val="bg-BG"/>
        </w:rPr>
        <w:t xml:space="preserve">а дълбочина 100 m кръговото течение се идентифицира с местоположението на изохалината 20‰. Типичните хоризонтални размери на вихровите образувания варират от 30-35 до 100 </w:t>
      </w:r>
      <w:r w:rsidR="005C4A17" w:rsidRPr="00610B1B">
        <w:rPr>
          <w:rFonts w:ascii="Times New Roman" w:hAnsi="Times New Roman" w:cs="Times New Roman"/>
          <w:sz w:val="24"/>
          <w:szCs w:val="24"/>
          <w:lang w:val="bg-BG"/>
        </w:rPr>
        <w:t>km,</w:t>
      </w:r>
      <w:r w:rsidR="00823BE7" w:rsidRPr="00610B1B">
        <w:rPr>
          <w:rFonts w:ascii="Times New Roman" w:hAnsi="Times New Roman" w:cs="Times New Roman"/>
          <w:sz w:val="24"/>
          <w:szCs w:val="24"/>
          <w:lang w:val="bg-BG"/>
        </w:rPr>
        <w:t xml:space="preserve"> </w:t>
      </w:r>
      <w:r w:rsidR="00EA610C" w:rsidRPr="00610B1B">
        <w:rPr>
          <w:rFonts w:ascii="Times New Roman" w:hAnsi="Times New Roman" w:cs="Times New Roman"/>
          <w:sz w:val="24"/>
          <w:szCs w:val="24"/>
          <w:lang w:val="bg-BG"/>
        </w:rPr>
        <w:t>а</w:t>
      </w:r>
      <w:r w:rsidR="00823BE7" w:rsidRPr="00610B1B">
        <w:rPr>
          <w:rFonts w:ascii="Times New Roman" w:hAnsi="Times New Roman" w:cs="Times New Roman"/>
          <w:sz w:val="24"/>
          <w:szCs w:val="24"/>
          <w:lang w:val="bg-BG"/>
        </w:rPr>
        <w:t xml:space="preserve"> формата им обикновено е неправилн</w:t>
      </w:r>
      <w:r w:rsidR="00E41333" w:rsidRPr="00610B1B">
        <w:rPr>
          <w:rFonts w:ascii="Times New Roman" w:hAnsi="Times New Roman" w:cs="Times New Roman"/>
          <w:sz w:val="24"/>
          <w:szCs w:val="24"/>
          <w:lang w:val="bg-BG"/>
        </w:rPr>
        <w:t xml:space="preserve">а. В </w:t>
      </w:r>
      <w:r w:rsidR="00823BE7" w:rsidRPr="00610B1B">
        <w:rPr>
          <w:rFonts w:ascii="Times New Roman" w:hAnsi="Times New Roman" w:cs="Times New Roman"/>
          <w:sz w:val="24"/>
          <w:szCs w:val="24"/>
          <w:lang w:val="bg-BG"/>
        </w:rPr>
        <w:t xml:space="preserve">центъра на вихрите има особени вертикални движения към повърхността и към дъното, съответно при циклоните и антициклоните. </w:t>
      </w:r>
    </w:p>
    <w:p w14:paraId="2772FE57" w14:textId="1E307C42" w:rsidR="00124648" w:rsidRPr="00610B1B" w:rsidRDefault="00823BE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Вълновият климат</w:t>
      </w:r>
      <w:r w:rsidRPr="00610B1B">
        <w:rPr>
          <w:rFonts w:ascii="Times New Roman" w:hAnsi="Times New Roman" w:cs="Times New Roman"/>
          <w:sz w:val="24"/>
          <w:szCs w:val="24"/>
          <w:lang w:val="bg-BG"/>
        </w:rPr>
        <w:t xml:space="preserve"> е уникална комбинация от мезомащабни атмосферни процеси и влияние на местните геоморфни условия. </w:t>
      </w:r>
      <w:r w:rsidR="00124648" w:rsidRPr="00610B1B">
        <w:rPr>
          <w:rFonts w:ascii="Times New Roman" w:hAnsi="Times New Roman" w:cs="Times New Roman"/>
          <w:sz w:val="24"/>
          <w:szCs w:val="24"/>
          <w:lang w:val="bg-BG"/>
        </w:rPr>
        <w:t>Настоящата оценка е базирана на моделни изследвания на ветровото вълнение в Черно море. Основната констатация е, че значителната височина на вълната намалява от запад на изток. Басейнът олицетворява две контрастни части на вълновата енергия - западна и източна. Значителната височина на вълната има своя максимум в западната част, където достига 1</w:t>
      </w:r>
      <w:r w:rsidR="00DB0FAB" w:rsidRPr="00610B1B">
        <w:rPr>
          <w:rFonts w:ascii="Times New Roman" w:hAnsi="Times New Roman" w:cs="Times New Roman"/>
          <w:sz w:val="24"/>
          <w:szCs w:val="24"/>
          <w:lang w:val="bg-BG"/>
        </w:rPr>
        <w:t> </w:t>
      </w:r>
      <w:r w:rsidR="00124648" w:rsidRPr="00610B1B">
        <w:rPr>
          <w:rFonts w:ascii="Times New Roman" w:hAnsi="Times New Roman" w:cs="Times New Roman"/>
          <w:sz w:val="24"/>
          <w:szCs w:val="24"/>
          <w:lang w:val="bg-BG"/>
        </w:rPr>
        <w:t xml:space="preserve">m. </w:t>
      </w:r>
    </w:p>
    <w:p w14:paraId="6261CDFA" w14:textId="596B77DD" w:rsidR="00F908E6" w:rsidRPr="00610B1B" w:rsidRDefault="00354EFB" w:rsidP="00D32D6A">
      <w:pPr>
        <w:spacing w:after="120"/>
        <w:ind w:right="-329"/>
        <w:jc w:val="both"/>
        <w:rPr>
          <w:rFonts w:ascii="Times New Roman" w:hAnsi="Times New Roman" w:cs="Times New Roman"/>
          <w:sz w:val="24"/>
          <w:szCs w:val="24"/>
          <w:lang w:val="bg-BG"/>
        </w:rPr>
      </w:pPr>
      <w:bookmarkStart w:id="25" w:name="_Toc83391467"/>
      <w:r w:rsidRPr="00610B1B">
        <w:rPr>
          <w:rFonts w:ascii="Times New Roman" w:hAnsi="Times New Roman" w:cs="Times New Roman"/>
          <w:sz w:val="24"/>
          <w:szCs w:val="24"/>
          <w:lang w:val="bg-BG"/>
        </w:rPr>
        <w:lastRenderedPageBreak/>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4</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w:t>
      </w:r>
      <w:r w:rsidR="00F908E6" w:rsidRPr="00610B1B">
        <w:rPr>
          <w:rFonts w:ascii="Times New Roman" w:hAnsi="Times New Roman" w:cs="Times New Roman"/>
          <w:sz w:val="24"/>
          <w:szCs w:val="24"/>
          <w:lang w:val="bg-BG"/>
        </w:rPr>
        <w:t xml:space="preserve"> Пространствено разпределение на средната значителна височина на вълната</w:t>
      </w:r>
      <w:r w:rsidR="00DB0FAB" w:rsidRPr="00610B1B">
        <w:rPr>
          <w:rFonts w:ascii="Times New Roman" w:hAnsi="Times New Roman" w:cs="Times New Roman"/>
          <w:sz w:val="24"/>
          <w:szCs w:val="24"/>
          <w:lang w:val="bg-BG"/>
        </w:rPr>
        <w:t xml:space="preserve">, </w:t>
      </w:r>
      <w:r w:rsidR="00F908E6" w:rsidRPr="00610B1B">
        <w:rPr>
          <w:rFonts w:ascii="Times New Roman" w:hAnsi="Times New Roman" w:cs="Times New Roman"/>
          <w:sz w:val="24"/>
          <w:szCs w:val="24"/>
          <w:lang w:val="bg-BG"/>
        </w:rPr>
        <w:t>m.</w:t>
      </w:r>
      <w:bookmarkEnd w:id="25"/>
    </w:p>
    <w:p w14:paraId="6C8E39FE" w14:textId="3B072A0E" w:rsidR="00823BE7" w:rsidRPr="00610B1B" w:rsidRDefault="00823BE7" w:rsidP="00D32D6A">
      <w:pPr>
        <w:spacing w:after="120"/>
        <w:ind w:right="-153"/>
        <w:rPr>
          <w:rFonts w:ascii="Times New Roman" w:hAnsi="Times New Roman" w:cs="Times New Roman"/>
          <w:sz w:val="24"/>
          <w:szCs w:val="24"/>
          <w:lang w:val="bg-BG"/>
        </w:rPr>
      </w:pPr>
      <w:r w:rsidRPr="00610B1B">
        <w:rPr>
          <w:rFonts w:ascii="Times New Roman" w:hAnsi="Times New Roman" w:cs="Times New Roman"/>
          <w:noProof/>
          <w:sz w:val="24"/>
          <w:szCs w:val="24"/>
          <w:lang w:val="bg-BG" w:eastAsia="bg-BG"/>
        </w:rPr>
        <w:drawing>
          <wp:inline distT="0" distB="0" distL="0" distR="0" wp14:anchorId="03D5F563" wp14:editId="51AD67CE">
            <wp:extent cx="4909403" cy="2889184"/>
            <wp:effectExtent l="0" t="0" r="5715" b="6985"/>
            <wp:docPr id="227" name="Picture 227" descr="Mean%20Wave%20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ean%20Wave%20Field"/>
                    <pic:cNvPicPr>
                      <a:picLocks noChangeAspect="1" noChangeArrowheads="1"/>
                    </pic:cNvPicPr>
                  </pic:nvPicPr>
                  <pic:blipFill>
                    <a:blip r:embed="rId22" cstate="print">
                      <a:extLst>
                        <a:ext uri="{28A0092B-C50C-407E-A947-70E740481C1C}">
                          <a14:useLocalDpi xmlns:a14="http://schemas.microsoft.com/office/drawing/2010/main" val="0"/>
                        </a:ext>
                      </a:extLst>
                    </a:blip>
                    <a:srcRect l="32191" t="6812"/>
                    <a:stretch>
                      <a:fillRect/>
                    </a:stretch>
                  </pic:blipFill>
                  <pic:spPr bwMode="auto">
                    <a:xfrm>
                      <a:off x="0" y="0"/>
                      <a:ext cx="4910370" cy="2889753"/>
                    </a:xfrm>
                    <a:prstGeom prst="rect">
                      <a:avLst/>
                    </a:prstGeom>
                    <a:noFill/>
                    <a:ln>
                      <a:noFill/>
                    </a:ln>
                  </pic:spPr>
                </pic:pic>
              </a:graphicData>
            </a:graphic>
          </wp:inline>
        </w:drawing>
      </w:r>
    </w:p>
    <w:p w14:paraId="1CE53321" w14:textId="59868C68" w:rsidR="006F3411" w:rsidRPr="00610B1B" w:rsidRDefault="006F3411" w:rsidP="00B60338">
      <w:pPr>
        <w:spacing w:after="120"/>
        <w:ind w:right="-153"/>
        <w:jc w:val="both"/>
        <w:rPr>
          <w:rFonts w:ascii="Times New Roman" w:hAnsi="Times New Roman" w:cs="Times New Roman"/>
          <w:lang w:val="bg-BG"/>
        </w:rPr>
      </w:pPr>
      <w:r w:rsidRPr="00610B1B">
        <w:rPr>
          <w:rFonts w:ascii="Times New Roman" w:hAnsi="Times New Roman" w:cs="Times New Roman"/>
          <w:lang w:val="bg-BG"/>
        </w:rPr>
        <w:t xml:space="preserve">Източник: По данни на </w:t>
      </w:r>
      <w:r w:rsidR="00DB0FAB" w:rsidRPr="00610B1B">
        <w:rPr>
          <w:rFonts w:ascii="Times New Roman" w:hAnsi="Times New Roman" w:cs="Times New Roman"/>
          <w:lang w:val="bg-BG"/>
        </w:rPr>
        <w:t xml:space="preserve">Valchev et al., 2014 </w:t>
      </w:r>
      <w:r w:rsidRPr="00610B1B">
        <w:rPr>
          <w:rFonts w:ascii="Times New Roman" w:hAnsi="Times New Roman" w:cs="Times New Roman"/>
          <w:lang w:val="bg-BG"/>
        </w:rPr>
        <w:t>Обработка проф. Л. Димитров</w:t>
      </w:r>
    </w:p>
    <w:p w14:paraId="59AD0D47" w14:textId="3557611A" w:rsidR="00B2312E" w:rsidRPr="00610B1B" w:rsidRDefault="00B2312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Продължителността на действието на вълни с височина 0.3÷2.0 m в рамките на статистическа </w:t>
      </w:r>
      <w:r w:rsidR="00144A0E" w:rsidRPr="00610B1B">
        <w:rPr>
          <w:rFonts w:ascii="Times New Roman" w:hAnsi="Times New Roman" w:cs="Times New Roman"/>
          <w:sz w:val="24"/>
          <w:szCs w:val="24"/>
          <w:lang w:val="bg-BG"/>
        </w:rPr>
        <w:t>година е представена на Фигура 5</w:t>
      </w:r>
      <w:r w:rsidRPr="00610B1B">
        <w:rPr>
          <w:rFonts w:ascii="Times New Roman" w:hAnsi="Times New Roman" w:cs="Times New Roman"/>
          <w:sz w:val="24"/>
          <w:szCs w:val="24"/>
          <w:lang w:val="bg-BG"/>
        </w:rPr>
        <w:t>.</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Съответните периоди на вълна варират между 1.5 до 5.5 s. Логично тази характеристика разкрива подобен на височината на вълната пространствен модел. Площта с най-голяма продължителност повече от 5 500 часа, заема почти цялата западна част на морето, докато в източната не надвишава 5 000 часа и пада до около 3 500 часа по-далеч на изток.</w:t>
      </w:r>
    </w:p>
    <w:p w14:paraId="0762C1D1" w14:textId="3EE9D050" w:rsidR="00F908E6" w:rsidRPr="00610B1B" w:rsidRDefault="00354EFB" w:rsidP="00D32D6A">
      <w:pPr>
        <w:spacing w:after="120"/>
        <w:ind w:right="-153"/>
        <w:jc w:val="both"/>
        <w:rPr>
          <w:rFonts w:ascii="Times New Roman" w:hAnsi="Times New Roman" w:cs="Times New Roman"/>
          <w:iCs/>
          <w:sz w:val="24"/>
          <w:szCs w:val="24"/>
          <w:lang w:val="bg-BG"/>
        </w:rPr>
      </w:pPr>
      <w:bookmarkStart w:id="26" w:name="_Toc83391468"/>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5</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F908E6" w:rsidRPr="00610B1B">
        <w:rPr>
          <w:rFonts w:ascii="Times New Roman" w:hAnsi="Times New Roman" w:cs="Times New Roman"/>
          <w:iCs/>
          <w:sz w:val="24"/>
          <w:szCs w:val="24"/>
          <w:lang w:val="bg-BG"/>
        </w:rPr>
        <w:t>Пространствено разпределение на продължителността на действието в 103 h на вълни с височина 0.3 ÷ 2.0 m</w:t>
      </w:r>
      <w:bookmarkEnd w:id="26"/>
    </w:p>
    <w:p w14:paraId="5F650AEE" w14:textId="525757F0" w:rsidR="00823BE7" w:rsidRPr="00610B1B" w:rsidRDefault="00823BE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noProof/>
          <w:color w:val="231F20"/>
          <w:sz w:val="24"/>
          <w:szCs w:val="24"/>
          <w:lang w:val="bg-BG" w:eastAsia="bg-BG"/>
        </w:rPr>
        <w:drawing>
          <wp:inline distT="0" distB="0" distL="0" distR="0" wp14:anchorId="4E86A065" wp14:editId="1DC41EA1">
            <wp:extent cx="4892040" cy="2703195"/>
            <wp:effectExtent l="0" t="0" r="3810" b="1905"/>
            <wp:docPr id="228" name="Picture 228" descr="HOURS_02-2 annual DIVA final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URS_02-2 annual DIVA final fin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2040" cy="2703195"/>
                    </a:xfrm>
                    <a:prstGeom prst="rect">
                      <a:avLst/>
                    </a:prstGeom>
                    <a:noFill/>
                    <a:ln>
                      <a:noFill/>
                    </a:ln>
                  </pic:spPr>
                </pic:pic>
              </a:graphicData>
            </a:graphic>
          </wp:inline>
        </w:drawing>
      </w:r>
    </w:p>
    <w:p w14:paraId="7BD574B7" w14:textId="116A7DE9" w:rsidR="00051B0E" w:rsidRPr="00610B1B" w:rsidRDefault="00051B0E" w:rsidP="00B60338">
      <w:pPr>
        <w:spacing w:after="120"/>
        <w:ind w:right="-153"/>
        <w:jc w:val="both"/>
        <w:rPr>
          <w:rFonts w:ascii="Times New Roman" w:hAnsi="Times New Roman" w:cs="Times New Roman"/>
          <w:lang w:val="bg-BG"/>
        </w:rPr>
      </w:pPr>
      <w:r w:rsidRPr="00610B1B">
        <w:rPr>
          <w:rFonts w:ascii="Times New Roman" w:hAnsi="Times New Roman" w:cs="Times New Roman"/>
          <w:lang w:val="bg-BG"/>
        </w:rPr>
        <w:t>Източник: По данни на Valchev et al., 2014 Обработка проф. Л. Димитров</w:t>
      </w:r>
    </w:p>
    <w:p w14:paraId="246284C1" w14:textId="0ADCE4DD" w:rsidR="00823BE7" w:rsidRPr="00610B1B" w:rsidRDefault="00AC5F2E" w:rsidP="00D32D6A">
      <w:pPr>
        <w:snapToGri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Сезонната изменчивост е добре изразена с минимум в топлия период и максимум в студения. Най-високата средна SWH е през януари – 1.3 m, а най-ниската - през юни – 0.6 </w:t>
      </w:r>
      <w:r w:rsidRPr="00610B1B">
        <w:rPr>
          <w:rFonts w:ascii="Times New Roman" w:hAnsi="Times New Roman" w:cs="Times New Roman"/>
          <w:sz w:val="24"/>
          <w:szCs w:val="24"/>
          <w:lang w:val="bg-BG"/>
        </w:rPr>
        <w:lastRenderedPageBreak/>
        <w:t>m. Най-високата максимална SWH е отново през януари – 8.5 m, а най-ниската през юли и август – 3.7 m. Диференциалното и кумулативно честотно разпределение на значителна височина на вълната показват, че най-често наблюдаваните вълни са с височина по-малка от 1.0 m, което е повече от 65% от всички случаи. Вълните с височина по-големи от 5 m представляват по-малко от 0.2% и се разпространяват от изток и североизток.</w:t>
      </w:r>
      <w:r w:rsidR="00051B0E" w:rsidRPr="00610B1B">
        <w:rPr>
          <w:rFonts w:ascii="Times New Roman" w:hAnsi="Times New Roman" w:cs="Times New Roman"/>
          <w:sz w:val="24"/>
          <w:szCs w:val="24"/>
          <w:lang w:val="bg-BG"/>
        </w:rPr>
        <w:t xml:space="preserve"> </w:t>
      </w:r>
    </w:p>
    <w:p w14:paraId="6D99FDD4" w14:textId="77777777" w:rsidR="00051B0E" w:rsidRPr="00610B1B" w:rsidRDefault="00051B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Следвайки модела на вятъра, вълните се разпространяват най-често от изток, североизток и югоизток. Източните вълни преобладават в шелфовата зона, вероятността за поява е между 30% и 40%. Приносът от североизточните вълни е почти постоянен (30%), с изключение на най-северната част, поради предпазващия ефект на нос Калиакра. Североизточните вълни засягат централната и южната част на шелфа. Значението на югоизточните вълни се увеличава на север: тяхната вероятност за поява нараства от 5% в южната част до над 10% в северната. Вълните от западната половина имат пренебрежимо тегло по отношение на вероятността за поява (средно 5.5%) и поради височината на вълната, която рядко надвишава 1,0 m. Вълните от тези посоки са с ограничени условия за растеж в западния шелф и нямат значение за крайбрежните процеси.</w:t>
      </w:r>
    </w:p>
    <w:p w14:paraId="23A1521A" w14:textId="62AA4261" w:rsidR="00823BE7" w:rsidRPr="00610B1B" w:rsidRDefault="0077553B"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Сезонната </w:t>
      </w:r>
      <w:r w:rsidR="00823BE7" w:rsidRPr="00610B1B">
        <w:rPr>
          <w:rFonts w:ascii="Times New Roman" w:hAnsi="Times New Roman" w:cs="Times New Roman"/>
          <w:sz w:val="24"/>
          <w:szCs w:val="24"/>
          <w:lang w:val="bg-BG"/>
        </w:rPr>
        <w:t>изменчивост</w:t>
      </w:r>
      <w:r w:rsidRPr="00610B1B">
        <w:rPr>
          <w:rFonts w:ascii="Times New Roman" w:hAnsi="Times New Roman" w:cs="Times New Roman"/>
          <w:sz w:val="24"/>
          <w:szCs w:val="24"/>
          <w:lang w:val="bg-BG"/>
        </w:rPr>
        <w:t xml:space="preserve"> показва, че</w:t>
      </w:r>
      <w:r w:rsidR="00823BE7" w:rsidRPr="00610B1B">
        <w:rPr>
          <w:rFonts w:ascii="Times New Roman" w:hAnsi="Times New Roman" w:cs="Times New Roman"/>
          <w:sz w:val="24"/>
          <w:szCs w:val="24"/>
          <w:lang w:val="bg-BG"/>
        </w:rPr>
        <w:t xml:space="preserve"> вълновия</w:t>
      </w:r>
      <w:r w:rsidR="005E685F" w:rsidRPr="00610B1B">
        <w:rPr>
          <w:rFonts w:ascii="Times New Roman" w:hAnsi="Times New Roman" w:cs="Times New Roman"/>
          <w:sz w:val="24"/>
          <w:szCs w:val="24"/>
          <w:lang w:val="bg-BG"/>
        </w:rPr>
        <w:t>т</w:t>
      </w:r>
      <w:r w:rsidR="00823BE7" w:rsidRPr="00610B1B">
        <w:rPr>
          <w:rFonts w:ascii="Times New Roman" w:hAnsi="Times New Roman" w:cs="Times New Roman"/>
          <w:sz w:val="24"/>
          <w:szCs w:val="24"/>
          <w:lang w:val="bg-BG"/>
        </w:rPr>
        <w:t xml:space="preserve"> климат е най-суров през януари и февруари, като средната височина на вълната варира между 1.7 </w:t>
      </w:r>
      <w:r w:rsidR="005E685F" w:rsidRPr="00610B1B">
        <w:rPr>
          <w:rFonts w:ascii="Times New Roman" w:hAnsi="Times New Roman" w:cs="Times New Roman"/>
          <w:sz w:val="24"/>
          <w:szCs w:val="24"/>
          <w:lang w:val="bg-BG"/>
        </w:rPr>
        <w:t>m</w:t>
      </w:r>
      <w:r w:rsidR="00823BE7" w:rsidRPr="00610B1B">
        <w:rPr>
          <w:rFonts w:ascii="Times New Roman" w:hAnsi="Times New Roman" w:cs="Times New Roman"/>
          <w:sz w:val="24"/>
          <w:szCs w:val="24"/>
          <w:lang w:val="bg-BG"/>
        </w:rPr>
        <w:t xml:space="preserve"> и 1.9 </w:t>
      </w:r>
      <w:r w:rsidR="005E685F" w:rsidRPr="00610B1B">
        <w:rPr>
          <w:rFonts w:ascii="Times New Roman" w:hAnsi="Times New Roman" w:cs="Times New Roman"/>
          <w:sz w:val="24"/>
          <w:szCs w:val="24"/>
          <w:lang w:val="bg-BG"/>
        </w:rPr>
        <w:t>m</w:t>
      </w:r>
      <w:r w:rsidR="00823BE7" w:rsidRPr="00610B1B">
        <w:rPr>
          <w:rFonts w:ascii="Times New Roman" w:hAnsi="Times New Roman" w:cs="Times New Roman"/>
          <w:sz w:val="24"/>
          <w:szCs w:val="24"/>
          <w:lang w:val="bg-BG"/>
        </w:rPr>
        <w:t xml:space="preserve"> във външната част и между 1.2 </w:t>
      </w:r>
      <w:r w:rsidR="005E685F" w:rsidRPr="00610B1B">
        <w:rPr>
          <w:rFonts w:ascii="Times New Roman" w:hAnsi="Times New Roman" w:cs="Times New Roman"/>
          <w:sz w:val="24"/>
          <w:szCs w:val="24"/>
          <w:lang w:val="bg-BG"/>
        </w:rPr>
        <w:t>m</w:t>
      </w:r>
      <w:r w:rsidR="00823BE7" w:rsidRPr="00610B1B">
        <w:rPr>
          <w:rFonts w:ascii="Times New Roman" w:hAnsi="Times New Roman" w:cs="Times New Roman"/>
          <w:sz w:val="24"/>
          <w:szCs w:val="24"/>
          <w:lang w:val="bg-BG"/>
        </w:rPr>
        <w:t xml:space="preserve"> и 1.4 </w:t>
      </w:r>
      <w:r w:rsidR="005E685F" w:rsidRPr="00610B1B">
        <w:rPr>
          <w:rFonts w:ascii="Times New Roman" w:hAnsi="Times New Roman" w:cs="Times New Roman"/>
          <w:sz w:val="24"/>
          <w:szCs w:val="24"/>
          <w:lang w:val="bg-BG"/>
        </w:rPr>
        <w:t>m</w:t>
      </w:r>
      <w:r w:rsidR="00823BE7" w:rsidRPr="00610B1B">
        <w:rPr>
          <w:rFonts w:ascii="Times New Roman" w:hAnsi="Times New Roman" w:cs="Times New Roman"/>
          <w:sz w:val="24"/>
          <w:szCs w:val="24"/>
          <w:lang w:val="bg-BG"/>
        </w:rPr>
        <w:t xml:space="preserve"> във вътрешната част на шелфа. От януари до март вълновите условия в горната част на шелфа стават малко по-меки, въпреки че остават подобни в долната. През април средната височина на вълната спада бързо и във външния шелф е около 1.4 m, докато във вътрешната част не надвишава 1 m. Подобно е положението и през май. Най-мек е климатът на вълните през юни и юли със средна височина на вълната между 1.3 m и 0.8 m</w:t>
      </w:r>
      <w:r w:rsidR="003E240D" w:rsidRPr="00610B1B">
        <w:rPr>
          <w:rFonts w:ascii="Times New Roman" w:hAnsi="Times New Roman" w:cs="Times New Roman"/>
          <w:sz w:val="24"/>
          <w:szCs w:val="24"/>
          <w:lang w:val="bg-BG"/>
        </w:rPr>
        <w:t xml:space="preserve">, </w:t>
      </w:r>
      <w:r w:rsidR="00823BE7" w:rsidRPr="00610B1B">
        <w:rPr>
          <w:rFonts w:ascii="Times New Roman" w:hAnsi="Times New Roman" w:cs="Times New Roman"/>
          <w:sz w:val="24"/>
          <w:szCs w:val="24"/>
          <w:lang w:val="bg-BG"/>
        </w:rPr>
        <w:t>преобладава</w:t>
      </w:r>
      <w:r w:rsidR="003E240D" w:rsidRPr="00610B1B">
        <w:rPr>
          <w:rFonts w:ascii="Times New Roman" w:hAnsi="Times New Roman" w:cs="Times New Roman"/>
          <w:sz w:val="24"/>
          <w:szCs w:val="24"/>
          <w:lang w:val="bg-BG"/>
        </w:rPr>
        <w:t>т</w:t>
      </w:r>
      <w:r w:rsidR="00823BE7" w:rsidRPr="00610B1B">
        <w:rPr>
          <w:rFonts w:ascii="Times New Roman" w:hAnsi="Times New Roman" w:cs="Times New Roman"/>
          <w:sz w:val="24"/>
          <w:szCs w:val="24"/>
          <w:lang w:val="bg-BG"/>
        </w:rPr>
        <w:t xml:space="preserve"> североизточни и източни вълни. През есента влиянието на югоизточните вълни </w:t>
      </w:r>
      <w:r w:rsidR="00EB1E26" w:rsidRPr="00610B1B">
        <w:rPr>
          <w:rFonts w:ascii="Times New Roman" w:hAnsi="Times New Roman" w:cs="Times New Roman"/>
          <w:sz w:val="24"/>
          <w:szCs w:val="24"/>
          <w:lang w:val="bg-BG"/>
        </w:rPr>
        <w:t>е</w:t>
      </w:r>
      <w:r w:rsidR="00823BE7" w:rsidRPr="00610B1B">
        <w:rPr>
          <w:rFonts w:ascii="Times New Roman" w:hAnsi="Times New Roman" w:cs="Times New Roman"/>
          <w:sz w:val="24"/>
          <w:szCs w:val="24"/>
          <w:lang w:val="bg-BG"/>
        </w:rPr>
        <w:t xml:space="preserve"> забележимо и условията по протежение на шелфа са почти еднакви. Средната значителна височина на вълната достига максимални стойности - 1.7 m и 1.4 m във външната и вътрешната част на рафта през декември. </w:t>
      </w:r>
      <w:r w:rsidR="005E685F" w:rsidRPr="00610B1B">
        <w:rPr>
          <w:rFonts w:ascii="Times New Roman" w:hAnsi="Times New Roman" w:cs="Times New Roman"/>
          <w:sz w:val="24"/>
          <w:szCs w:val="24"/>
          <w:lang w:val="bg-BG"/>
        </w:rPr>
        <w:t xml:space="preserve">Вълновите </w:t>
      </w:r>
      <w:r w:rsidR="00823BE7" w:rsidRPr="00610B1B">
        <w:rPr>
          <w:rFonts w:ascii="Times New Roman" w:hAnsi="Times New Roman" w:cs="Times New Roman"/>
          <w:sz w:val="24"/>
          <w:szCs w:val="24"/>
          <w:lang w:val="bg-BG"/>
        </w:rPr>
        <w:t>условия през ноември са по-леки от тези през октомври.</w:t>
      </w:r>
    </w:p>
    <w:p w14:paraId="380D6AA1" w14:textId="4E81B817" w:rsidR="00212964" w:rsidRPr="00610B1B" w:rsidRDefault="00EB1E26"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Съществуват</w:t>
      </w:r>
      <w:r w:rsidR="00823BE7" w:rsidRPr="00610B1B">
        <w:rPr>
          <w:rFonts w:ascii="Times New Roman" w:hAnsi="Times New Roman" w:cs="Times New Roman"/>
          <w:sz w:val="24"/>
          <w:szCs w:val="24"/>
          <w:lang w:val="bg-BG"/>
        </w:rPr>
        <w:t xml:space="preserve"> три добре маркирани подпериода с </w:t>
      </w:r>
      <w:r w:rsidR="005843B2" w:rsidRPr="00610B1B">
        <w:rPr>
          <w:rFonts w:ascii="Times New Roman" w:hAnsi="Times New Roman" w:cs="Times New Roman"/>
          <w:sz w:val="24"/>
          <w:szCs w:val="24"/>
          <w:lang w:val="bg-BG"/>
        </w:rPr>
        <w:t>приблизително</w:t>
      </w:r>
      <w:r w:rsidR="00823BE7" w:rsidRPr="00610B1B">
        <w:rPr>
          <w:rFonts w:ascii="Times New Roman" w:hAnsi="Times New Roman" w:cs="Times New Roman"/>
          <w:sz w:val="24"/>
          <w:szCs w:val="24"/>
          <w:lang w:val="bg-BG"/>
        </w:rPr>
        <w:t xml:space="preserve"> еднакъв брой бури, разделени от сравнително спокойни условия: до 1964 г., 1968-1989 г. и от 1993 г. Периодите с по-малко на брой щормове обхващат 4 години всеки - 1964-1967 </w:t>
      </w:r>
      <w:r w:rsidRPr="00610B1B">
        <w:rPr>
          <w:rFonts w:ascii="Times New Roman" w:hAnsi="Times New Roman" w:cs="Times New Roman"/>
          <w:sz w:val="24"/>
          <w:szCs w:val="24"/>
          <w:lang w:val="bg-BG"/>
        </w:rPr>
        <w:t xml:space="preserve">г. </w:t>
      </w:r>
      <w:r w:rsidR="00823BE7" w:rsidRPr="00610B1B">
        <w:rPr>
          <w:rFonts w:ascii="Times New Roman" w:hAnsi="Times New Roman" w:cs="Times New Roman"/>
          <w:sz w:val="24"/>
          <w:szCs w:val="24"/>
          <w:lang w:val="bg-BG"/>
        </w:rPr>
        <w:t xml:space="preserve">и 1989-1992 </w:t>
      </w:r>
      <w:r w:rsidRPr="00610B1B">
        <w:rPr>
          <w:rFonts w:ascii="Times New Roman" w:hAnsi="Times New Roman" w:cs="Times New Roman"/>
          <w:sz w:val="24"/>
          <w:szCs w:val="24"/>
          <w:lang w:val="bg-BG"/>
        </w:rPr>
        <w:t xml:space="preserve">г. </w:t>
      </w:r>
      <w:r w:rsidR="00823BE7" w:rsidRPr="00610B1B">
        <w:rPr>
          <w:rFonts w:ascii="Times New Roman" w:hAnsi="Times New Roman" w:cs="Times New Roman"/>
          <w:sz w:val="24"/>
          <w:szCs w:val="24"/>
          <w:lang w:val="bg-BG"/>
        </w:rPr>
        <w:t xml:space="preserve">- само с 1-2 бури във всеки. </w:t>
      </w:r>
      <w:r w:rsidR="005843B2" w:rsidRPr="00610B1B">
        <w:rPr>
          <w:rFonts w:ascii="Times New Roman" w:hAnsi="Times New Roman" w:cs="Times New Roman"/>
          <w:sz w:val="24"/>
          <w:szCs w:val="24"/>
          <w:lang w:val="bg-BG"/>
        </w:rPr>
        <w:t>В</w:t>
      </w:r>
      <w:r w:rsidR="00823BE7" w:rsidRPr="00610B1B">
        <w:rPr>
          <w:rFonts w:ascii="Times New Roman" w:hAnsi="Times New Roman" w:cs="Times New Roman"/>
          <w:sz w:val="24"/>
          <w:szCs w:val="24"/>
          <w:lang w:val="bg-BG"/>
        </w:rPr>
        <w:t xml:space="preserve"> два сезона 2006-2007</w:t>
      </w:r>
      <w:r w:rsidRPr="00610B1B">
        <w:rPr>
          <w:rFonts w:ascii="Times New Roman" w:hAnsi="Times New Roman" w:cs="Times New Roman"/>
          <w:sz w:val="24"/>
          <w:szCs w:val="24"/>
          <w:lang w:val="bg-BG"/>
        </w:rPr>
        <w:t xml:space="preserve"> г.</w:t>
      </w:r>
      <w:r w:rsidR="00823BE7" w:rsidRPr="00610B1B">
        <w:rPr>
          <w:rFonts w:ascii="Times New Roman" w:hAnsi="Times New Roman" w:cs="Times New Roman"/>
          <w:sz w:val="24"/>
          <w:szCs w:val="24"/>
          <w:lang w:val="bg-BG"/>
        </w:rPr>
        <w:t xml:space="preserve"> и 2008-2009</w:t>
      </w:r>
      <w:r w:rsidR="005843B2"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г. </w:t>
      </w:r>
      <w:r w:rsidR="005843B2" w:rsidRPr="00610B1B">
        <w:rPr>
          <w:rFonts w:ascii="Times New Roman" w:hAnsi="Times New Roman" w:cs="Times New Roman"/>
          <w:sz w:val="24"/>
          <w:szCs w:val="24"/>
          <w:lang w:val="bg-BG"/>
        </w:rPr>
        <w:t>няма</w:t>
      </w:r>
      <w:r w:rsidR="00823BE7" w:rsidRPr="00610B1B">
        <w:rPr>
          <w:rFonts w:ascii="Times New Roman" w:hAnsi="Times New Roman" w:cs="Times New Roman"/>
          <w:sz w:val="24"/>
          <w:szCs w:val="24"/>
          <w:lang w:val="bg-BG"/>
        </w:rPr>
        <w:t xml:space="preserve"> бури, отговарящи </w:t>
      </w:r>
      <w:r w:rsidR="005843B2" w:rsidRPr="00610B1B">
        <w:rPr>
          <w:rFonts w:ascii="Times New Roman" w:hAnsi="Times New Roman" w:cs="Times New Roman"/>
          <w:sz w:val="24"/>
          <w:szCs w:val="24"/>
          <w:lang w:val="bg-BG"/>
        </w:rPr>
        <w:t>н</w:t>
      </w:r>
      <w:r w:rsidR="00823BE7" w:rsidRPr="00610B1B">
        <w:rPr>
          <w:rFonts w:ascii="Times New Roman" w:hAnsi="Times New Roman" w:cs="Times New Roman"/>
          <w:sz w:val="24"/>
          <w:szCs w:val="24"/>
          <w:lang w:val="bg-BG"/>
        </w:rPr>
        <w:t>а критериите. Тези наблюдения предполагат, че няма хомогенна отрицателна тенденция в количеството на бурята през изследвания период, а по-скоро нарастваща тенденция от началото на периода до средата на 90-те години и противоположна тенденция след това</w:t>
      </w:r>
      <w:r w:rsidR="00C26AAA" w:rsidRPr="00610B1B">
        <w:rPr>
          <w:rFonts w:ascii="Times New Roman" w:hAnsi="Times New Roman" w:cs="Times New Roman"/>
          <w:sz w:val="24"/>
          <w:szCs w:val="24"/>
          <w:lang w:val="bg-BG"/>
        </w:rPr>
        <w:t xml:space="preserve">. Продължителността </w:t>
      </w:r>
      <w:r w:rsidR="00823BE7" w:rsidRPr="00610B1B">
        <w:rPr>
          <w:rFonts w:ascii="Times New Roman" w:hAnsi="Times New Roman" w:cs="Times New Roman"/>
          <w:sz w:val="24"/>
          <w:szCs w:val="24"/>
          <w:lang w:val="bg-BG"/>
        </w:rPr>
        <w:t xml:space="preserve">на бурята варира между 56 часа (~ 2.3 дни) и 151 часа (~ 6.3 дни), а средната продължителност е 95 часа (~ 4 дни). Екстремните бури имат кратка фаза на растеж, фазата на пълно развитие е по-съществена, </w:t>
      </w:r>
      <w:r w:rsidR="00144A0E" w:rsidRPr="00610B1B">
        <w:rPr>
          <w:rFonts w:ascii="Times New Roman" w:hAnsi="Times New Roman" w:cs="Times New Roman"/>
          <w:sz w:val="24"/>
          <w:szCs w:val="24"/>
          <w:lang w:val="bg-BG"/>
        </w:rPr>
        <w:t>а</w:t>
      </w:r>
      <w:r w:rsidR="00823BE7" w:rsidRPr="00610B1B">
        <w:rPr>
          <w:rFonts w:ascii="Times New Roman" w:hAnsi="Times New Roman" w:cs="Times New Roman"/>
          <w:sz w:val="24"/>
          <w:szCs w:val="24"/>
          <w:lang w:val="bg-BG"/>
        </w:rPr>
        <w:t xml:space="preserve"> фазата на затихване е най-дълга. Средно продължителността</w:t>
      </w:r>
      <w:r w:rsidR="00DE3A13" w:rsidRPr="00610B1B">
        <w:rPr>
          <w:rFonts w:ascii="Times New Roman" w:hAnsi="Times New Roman" w:cs="Times New Roman"/>
          <w:sz w:val="24"/>
          <w:szCs w:val="24"/>
          <w:lang w:val="bg-BG"/>
        </w:rPr>
        <w:t xml:space="preserve"> ѝ </w:t>
      </w:r>
      <w:r w:rsidR="00823BE7" w:rsidRPr="00610B1B">
        <w:rPr>
          <w:rFonts w:ascii="Times New Roman" w:hAnsi="Times New Roman" w:cs="Times New Roman"/>
          <w:sz w:val="24"/>
          <w:szCs w:val="24"/>
          <w:lang w:val="bg-BG"/>
        </w:rPr>
        <w:t>е 61 часа и е по-дълга от първата и втората фази взети заедно, които продължават съответно 18 и 41 часа. Следователно, типичният модел буря се характеризира с бърз растеж, трайна фаза на енергийно развитие и сравнително продължително затихване</w:t>
      </w:r>
      <w:r w:rsidR="00C26AAA" w:rsidRPr="00610B1B">
        <w:rPr>
          <w:rFonts w:ascii="Times New Roman" w:hAnsi="Times New Roman" w:cs="Times New Roman"/>
          <w:sz w:val="24"/>
          <w:szCs w:val="24"/>
          <w:lang w:val="bg-BG"/>
        </w:rPr>
        <w:t xml:space="preserve">. </w:t>
      </w:r>
    </w:p>
    <w:p w14:paraId="20117853" w14:textId="0E5DF416" w:rsidR="00155C52" w:rsidRPr="00610B1B" w:rsidRDefault="00B601CD" w:rsidP="00B60338">
      <w:pPr>
        <w:pStyle w:val="Heading4"/>
        <w:spacing w:before="0"/>
        <w:ind w:left="862" w:right="-153" w:hanging="862"/>
        <w:rPr>
          <w:rFonts w:cs="Times New Roman"/>
        </w:rPr>
      </w:pPr>
      <w:r w:rsidRPr="00610B1B">
        <w:rPr>
          <w:rFonts w:cs="Times New Roman"/>
        </w:rPr>
        <w:lastRenderedPageBreak/>
        <w:t>2.2.2.</w:t>
      </w:r>
      <w:r w:rsidR="00706D7D" w:rsidRPr="00610B1B">
        <w:rPr>
          <w:rFonts w:cs="Times New Roman"/>
        </w:rPr>
        <w:t>1</w:t>
      </w:r>
      <w:r w:rsidRPr="00610B1B">
        <w:rPr>
          <w:rFonts w:cs="Times New Roman"/>
        </w:rPr>
        <w:t xml:space="preserve">. </w:t>
      </w:r>
      <w:r w:rsidR="00823BE7" w:rsidRPr="00610B1B">
        <w:rPr>
          <w:rFonts w:cs="Times New Roman"/>
        </w:rPr>
        <w:t>Крайбрежни води – речни устия, езера и блата</w:t>
      </w:r>
    </w:p>
    <w:p w14:paraId="6012BB46" w14:textId="6514A451" w:rsidR="00155C52" w:rsidRPr="00610B1B" w:rsidRDefault="00155C52"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По смисъла на § 1, т. 54 от допълнителните разпоредби на Закона за водите в обхвата на крайбрежните води </w:t>
      </w:r>
      <w:r w:rsidRPr="00610B1B">
        <w:rPr>
          <w:rFonts w:ascii="Times New Roman" w:hAnsi="Times New Roman" w:cs="Times New Roman"/>
          <w:color w:val="000000"/>
          <w:sz w:val="24"/>
          <w:szCs w:val="24"/>
          <w:lang w:val="bg-BG"/>
        </w:rPr>
        <w:t>попадат преходните води и</w:t>
      </w:r>
      <w:r w:rsidRPr="00610B1B">
        <w:rPr>
          <w:rFonts w:ascii="Times New Roman" w:hAnsi="Times New Roman" w:cs="Times New Roman"/>
          <w:sz w:val="24"/>
          <w:szCs w:val="24"/>
          <w:lang w:val="bg-BG"/>
        </w:rPr>
        <w:t xml:space="preserve"> крайбрежните морски води.</w:t>
      </w:r>
      <w:r w:rsidR="00EB1E26"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П</w:t>
      </w:r>
      <w:r w:rsidRPr="00610B1B">
        <w:rPr>
          <w:rFonts w:ascii="Times New Roman" w:hAnsi="Times New Roman" w:cs="Times New Roman"/>
          <w:color w:val="000000"/>
          <w:sz w:val="24"/>
          <w:szCs w:val="24"/>
          <w:lang w:val="bg-BG"/>
        </w:rPr>
        <w:t>реходните води са представени от Черноморски езера и блата</w:t>
      </w:r>
      <w:r w:rsidRPr="00610B1B">
        <w:rPr>
          <w:rFonts w:ascii="Times New Roman" w:hAnsi="Times New Roman" w:cs="Times New Roman"/>
          <w:sz w:val="24"/>
          <w:szCs w:val="24"/>
          <w:lang w:val="bg-BG"/>
        </w:rPr>
        <w:t xml:space="preserve"> и естуариите на вливащите се в Черно море реки, лимани и лагуни. </w:t>
      </w:r>
    </w:p>
    <w:p w14:paraId="23517DB7" w14:textId="7A0D733E" w:rsidR="00D117C6" w:rsidRPr="00610B1B" w:rsidRDefault="00D117C6" w:rsidP="009D4F3B">
      <w:pPr>
        <w:autoSpaceDE w:val="0"/>
        <w:autoSpaceDN w:val="0"/>
        <w:adjustRightInd w:val="0"/>
        <w:spacing w:after="80"/>
        <w:ind w:right="-153"/>
        <w:jc w:val="both"/>
        <w:rPr>
          <w:rFonts w:ascii="Times New Roman" w:hAnsi="Times New Roman" w:cs="Times New Roman"/>
          <w:color w:val="000000"/>
          <w:sz w:val="24"/>
          <w:szCs w:val="24"/>
          <w:lang w:val="bg-BG"/>
        </w:rPr>
      </w:pPr>
      <w:r w:rsidRPr="00610B1B">
        <w:rPr>
          <w:rFonts w:ascii="Times New Roman" w:hAnsi="Times New Roman" w:cs="Times New Roman"/>
          <w:sz w:val="24"/>
          <w:szCs w:val="24"/>
          <w:lang w:val="bg-BG"/>
        </w:rPr>
        <w:t xml:space="preserve">Крайбрежните морски води </w:t>
      </w:r>
      <w:r w:rsidRPr="00610B1B">
        <w:rPr>
          <w:rFonts w:ascii="Times New Roman" w:hAnsi="Times New Roman" w:cs="Times New Roman"/>
          <w:color w:val="000000"/>
          <w:sz w:val="24"/>
          <w:szCs w:val="24"/>
          <w:lang w:val="bg-BG"/>
        </w:rPr>
        <w:t xml:space="preserve">обхващат акваторията от Черно море в границите на една морска миля от брега, включително и до </w:t>
      </w:r>
      <w:r w:rsidRPr="00610B1B">
        <w:rPr>
          <w:rFonts w:ascii="Times New Roman" w:hAnsi="Times New Roman" w:cs="Times New Roman"/>
          <w:sz w:val="24"/>
          <w:szCs w:val="24"/>
          <w:lang w:val="bg-BG"/>
        </w:rPr>
        <w:t>външната граница на вътрешните морски води</w:t>
      </w:r>
      <w:r w:rsidRPr="00610B1B">
        <w:rPr>
          <w:rFonts w:ascii="Times New Roman" w:hAnsi="Times New Roman" w:cs="Times New Roman"/>
          <w:color w:val="000000"/>
          <w:sz w:val="24"/>
          <w:szCs w:val="24"/>
          <w:lang w:val="bg-BG"/>
        </w:rPr>
        <w:t>. На база на актуализирана типология и резултатите от анализа на антропогенното въздействие са идентифицирани 17 водни тела.</w:t>
      </w:r>
      <w:r w:rsidR="009D4F3B" w:rsidRPr="00610B1B">
        <w:rPr>
          <w:rStyle w:val="FootnoteReference"/>
          <w:rFonts w:ascii="Times New Roman" w:hAnsi="Times New Roman" w:cs="Times New Roman"/>
          <w:color w:val="000000"/>
          <w:sz w:val="24"/>
          <w:szCs w:val="24"/>
          <w:lang w:val="bg-BG"/>
        </w:rPr>
        <w:footnoteReference w:id="75"/>
      </w:r>
      <w:r w:rsidRPr="00610B1B">
        <w:rPr>
          <w:rFonts w:ascii="Times New Roman" w:hAnsi="Times New Roman" w:cs="Times New Roman"/>
          <w:color w:val="000000"/>
          <w:sz w:val="24"/>
          <w:szCs w:val="24"/>
          <w:lang w:val="bg-BG"/>
        </w:rPr>
        <w:t xml:space="preserve"> Те подлежат на ежегоден мониторинг по РДВ и по РДМС, като се следят биологични и физико-химични елементи за качество, специфични замърсители и приоритетни вещества. През последните няколко години екологичното състояние на крайбрежните морски води</w:t>
      </w:r>
      <w:r w:rsidR="00144A0E" w:rsidRPr="00610B1B">
        <w:rPr>
          <w:rFonts w:ascii="Times New Roman" w:hAnsi="Times New Roman" w:cs="Times New Roman"/>
          <w:color w:val="000000"/>
          <w:sz w:val="24"/>
          <w:szCs w:val="24"/>
          <w:lang w:val="bg-BG"/>
        </w:rPr>
        <w:t xml:space="preserve"> се подобрява</w:t>
      </w:r>
      <w:r w:rsidRPr="00610B1B">
        <w:rPr>
          <w:rFonts w:ascii="Times New Roman" w:hAnsi="Times New Roman" w:cs="Times New Roman"/>
          <w:color w:val="000000"/>
          <w:sz w:val="24"/>
          <w:szCs w:val="24"/>
          <w:lang w:val="bg-BG"/>
        </w:rPr>
        <w:t xml:space="preserve">, като се отчита </w:t>
      </w:r>
      <w:r w:rsidR="00144A0E" w:rsidRPr="00610B1B">
        <w:rPr>
          <w:rFonts w:ascii="Times New Roman" w:hAnsi="Times New Roman" w:cs="Times New Roman"/>
          <w:color w:val="000000"/>
          <w:sz w:val="24"/>
          <w:szCs w:val="24"/>
          <w:lang w:val="bg-BG"/>
        </w:rPr>
        <w:t>„</w:t>
      </w:r>
      <w:r w:rsidRPr="00610B1B">
        <w:rPr>
          <w:rFonts w:ascii="Times New Roman" w:hAnsi="Times New Roman" w:cs="Times New Roman"/>
          <w:color w:val="000000"/>
          <w:sz w:val="24"/>
          <w:szCs w:val="24"/>
          <w:lang w:val="bg-BG"/>
        </w:rPr>
        <w:t>умерено</w:t>
      </w:r>
      <w:r w:rsidR="00144A0E" w:rsidRPr="00610B1B">
        <w:rPr>
          <w:rFonts w:ascii="Times New Roman" w:hAnsi="Times New Roman" w:cs="Times New Roman"/>
          <w:color w:val="000000"/>
          <w:sz w:val="24"/>
          <w:szCs w:val="24"/>
          <w:lang w:val="bg-BG"/>
        </w:rPr>
        <w:t>“</w:t>
      </w:r>
      <w:r w:rsidRPr="00610B1B">
        <w:rPr>
          <w:rFonts w:ascii="Times New Roman" w:hAnsi="Times New Roman" w:cs="Times New Roman"/>
          <w:color w:val="000000"/>
          <w:sz w:val="24"/>
          <w:szCs w:val="24"/>
          <w:lang w:val="bg-BG"/>
        </w:rPr>
        <w:t xml:space="preserve"> до </w:t>
      </w:r>
      <w:r w:rsidR="00144A0E" w:rsidRPr="00610B1B">
        <w:rPr>
          <w:rFonts w:ascii="Times New Roman" w:hAnsi="Times New Roman" w:cs="Times New Roman"/>
          <w:color w:val="000000"/>
          <w:sz w:val="24"/>
          <w:szCs w:val="24"/>
          <w:lang w:val="bg-BG"/>
        </w:rPr>
        <w:t>„</w:t>
      </w:r>
      <w:r w:rsidRPr="00610B1B">
        <w:rPr>
          <w:rFonts w:ascii="Times New Roman" w:hAnsi="Times New Roman" w:cs="Times New Roman"/>
          <w:color w:val="000000"/>
          <w:sz w:val="24"/>
          <w:szCs w:val="24"/>
          <w:lang w:val="bg-BG"/>
        </w:rPr>
        <w:t>добро</w:t>
      </w:r>
      <w:r w:rsidR="00144A0E" w:rsidRPr="00610B1B">
        <w:rPr>
          <w:rFonts w:ascii="Times New Roman" w:hAnsi="Times New Roman" w:cs="Times New Roman"/>
          <w:color w:val="000000"/>
          <w:sz w:val="24"/>
          <w:szCs w:val="24"/>
          <w:lang w:val="bg-BG"/>
        </w:rPr>
        <w:t>“</w:t>
      </w:r>
      <w:r w:rsidRPr="00610B1B">
        <w:rPr>
          <w:rFonts w:ascii="Times New Roman" w:hAnsi="Times New Roman" w:cs="Times New Roman"/>
          <w:color w:val="000000"/>
          <w:sz w:val="24"/>
          <w:szCs w:val="24"/>
          <w:lang w:val="bg-BG"/>
        </w:rPr>
        <w:t xml:space="preserve"> състояние по наблюдавани параметри и само някои от водните тела, подложени на силен антропогенен натиск, не постигат </w:t>
      </w:r>
      <w:r w:rsidR="00144A0E" w:rsidRPr="00610B1B">
        <w:rPr>
          <w:rFonts w:ascii="Times New Roman" w:hAnsi="Times New Roman" w:cs="Times New Roman"/>
          <w:color w:val="000000"/>
          <w:sz w:val="24"/>
          <w:szCs w:val="24"/>
          <w:lang w:val="bg-BG"/>
        </w:rPr>
        <w:t xml:space="preserve">„добро“ </w:t>
      </w:r>
      <w:r w:rsidRPr="00610B1B">
        <w:rPr>
          <w:rFonts w:ascii="Times New Roman" w:hAnsi="Times New Roman" w:cs="Times New Roman"/>
          <w:color w:val="000000"/>
          <w:sz w:val="24"/>
          <w:szCs w:val="24"/>
          <w:lang w:val="bg-BG"/>
        </w:rPr>
        <w:t>състояние.</w:t>
      </w:r>
    </w:p>
    <w:p w14:paraId="604461B7" w14:textId="3AA37F09" w:rsidR="00CA427B" w:rsidRPr="00610B1B" w:rsidRDefault="00354EFB" w:rsidP="009D4F3B">
      <w:pPr>
        <w:pStyle w:val="Caption"/>
        <w:spacing w:before="0" w:after="40" w:line="240" w:lineRule="auto"/>
        <w:ind w:right="-153"/>
        <w:rPr>
          <w:rStyle w:val="FontStyle12"/>
          <w:rFonts w:eastAsia="Source Han Sans CN Regular" w:cs="Times New Roman"/>
          <w:color w:val="auto"/>
        </w:rPr>
      </w:pPr>
      <w:bookmarkStart w:id="27" w:name="_Toc83391469"/>
      <w:r w:rsidRPr="00610B1B">
        <w:rPr>
          <w:rFonts w:cs="Times New Roman"/>
          <w:color w:val="auto"/>
        </w:rPr>
        <w:t xml:space="preserve">Фигура </w:t>
      </w:r>
      <w:r w:rsidRPr="00610B1B">
        <w:rPr>
          <w:rFonts w:cs="Times New Roman"/>
          <w:color w:val="auto"/>
        </w:rPr>
        <w:fldChar w:fldCharType="begin"/>
      </w:r>
      <w:r w:rsidRPr="00610B1B">
        <w:rPr>
          <w:rFonts w:cs="Times New Roman"/>
          <w:color w:val="auto"/>
        </w:rPr>
        <w:instrText xml:space="preserve"> SEQ Фигура \* ARABIC </w:instrText>
      </w:r>
      <w:r w:rsidRPr="00610B1B">
        <w:rPr>
          <w:rFonts w:cs="Times New Roman"/>
          <w:color w:val="auto"/>
        </w:rPr>
        <w:fldChar w:fldCharType="separate"/>
      </w:r>
      <w:r w:rsidR="00260629" w:rsidRPr="00610B1B">
        <w:rPr>
          <w:rFonts w:cs="Times New Roman"/>
          <w:noProof/>
          <w:color w:val="auto"/>
        </w:rPr>
        <w:t>6</w:t>
      </w:r>
      <w:r w:rsidRPr="00610B1B">
        <w:rPr>
          <w:rFonts w:cs="Times New Roman"/>
          <w:color w:val="auto"/>
        </w:rPr>
        <w:fldChar w:fldCharType="end"/>
      </w:r>
      <w:r w:rsidRPr="00610B1B">
        <w:rPr>
          <w:rFonts w:cs="Times New Roman"/>
          <w:color w:val="auto"/>
        </w:rPr>
        <w:t xml:space="preserve">: </w:t>
      </w:r>
      <w:r w:rsidR="00CA427B" w:rsidRPr="00610B1B">
        <w:rPr>
          <w:rStyle w:val="FontStyle12"/>
          <w:rFonts w:eastAsia="Source Han Sans CN Regular" w:cs="Times New Roman"/>
          <w:color w:val="auto"/>
        </w:rPr>
        <w:t>Повърхностни морски водни тела по българското черноморско крайбрежие.</w:t>
      </w:r>
      <w:bookmarkEnd w:id="27"/>
      <w:r w:rsidR="00CA427B" w:rsidRPr="00610B1B">
        <w:rPr>
          <w:rStyle w:val="FontStyle12"/>
          <w:rFonts w:eastAsia="Source Han Sans CN Regular" w:cs="Times New Roman"/>
          <w:color w:val="auto"/>
        </w:rPr>
        <w:t xml:space="preserve"> </w:t>
      </w:r>
    </w:p>
    <w:p w14:paraId="39BC6C18" w14:textId="2FCD1839" w:rsidR="00CA427B" w:rsidRPr="00610B1B" w:rsidRDefault="00B60338" w:rsidP="00B60338">
      <w:pPr>
        <w:pStyle w:val="BodyText"/>
        <w:spacing w:before="0" w:after="0" w:line="240" w:lineRule="auto"/>
        <w:ind w:right="-153"/>
        <w:rPr>
          <w:rFonts w:cs="Times New Roman"/>
        </w:rPr>
      </w:pPr>
      <w:r w:rsidRPr="00610B1B">
        <w:rPr>
          <w:rFonts w:cs="Times New Roman"/>
          <w:noProof/>
          <w:lang w:eastAsia="bg-BG" w:bidi="ar-SA"/>
        </w:rPr>
        <w:drawing>
          <wp:inline distT="0" distB="0" distL="0" distR="0" wp14:anchorId="6A272144" wp14:editId="24D11ACA">
            <wp:extent cx="3743325" cy="5047112"/>
            <wp:effectExtent l="0" t="0" r="0" b="1270"/>
            <wp:docPr id="5" name="Picture 5" descr="C:\Users\Server\Downloads\Приложение%201_2_1-Типове%20повърхностни%20води%20по%20водосбо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er\Downloads\Приложение%201_2_1-Типове%20повърхностни%20води%20по%20водосбори.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33" b="3810"/>
                    <a:stretch/>
                  </pic:blipFill>
                  <pic:spPr bwMode="auto">
                    <a:xfrm>
                      <a:off x="0" y="0"/>
                      <a:ext cx="3768304" cy="5080791"/>
                    </a:xfrm>
                    <a:prstGeom prst="rect">
                      <a:avLst/>
                    </a:prstGeom>
                    <a:noFill/>
                    <a:ln>
                      <a:noFill/>
                    </a:ln>
                    <a:extLst>
                      <a:ext uri="{53640926-AAD7-44D8-BBD7-CCE9431645EC}">
                        <a14:shadowObscured xmlns:a14="http://schemas.microsoft.com/office/drawing/2010/main"/>
                      </a:ext>
                    </a:extLst>
                  </pic:spPr>
                </pic:pic>
              </a:graphicData>
            </a:graphic>
          </wp:inline>
        </w:drawing>
      </w:r>
    </w:p>
    <w:p w14:paraId="7BFFA419" w14:textId="638ED0F4" w:rsidR="00212964" w:rsidRPr="00610B1B" w:rsidRDefault="00212964" w:rsidP="00D32D6A">
      <w:pPr>
        <w:pStyle w:val="BodyText"/>
        <w:spacing w:before="0" w:after="120" w:line="276" w:lineRule="auto"/>
        <w:ind w:right="-153"/>
        <w:jc w:val="left"/>
        <w:rPr>
          <w:rFonts w:cs="Times New Roman"/>
          <w:sz w:val="22"/>
          <w:szCs w:val="22"/>
        </w:rPr>
      </w:pPr>
      <w:r w:rsidRPr="00610B1B">
        <w:rPr>
          <w:rFonts w:cs="Times New Roman"/>
          <w:sz w:val="22"/>
          <w:szCs w:val="22"/>
        </w:rPr>
        <w:t>Източник:</w:t>
      </w:r>
      <w:r w:rsidR="00B60338" w:rsidRPr="00610B1B">
        <w:rPr>
          <w:rFonts w:cs="Times New Roman"/>
          <w:sz w:val="22"/>
          <w:szCs w:val="22"/>
        </w:rPr>
        <w:t xml:space="preserve"> ПУРБ</w:t>
      </w:r>
    </w:p>
    <w:p w14:paraId="1F121588" w14:textId="60C0AD78" w:rsidR="009D4F3B" w:rsidRPr="00610B1B" w:rsidRDefault="00144A0E" w:rsidP="009D4F3B">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Крайморските езера разположени по Черноморското крайбрежие са главно от два типа</w:t>
      </w:r>
      <w:r w:rsidR="00DE3A13" w:rsidRPr="00610B1B">
        <w:rPr>
          <w:rFonts w:ascii="Times New Roman" w:hAnsi="Times New Roman" w:cs="Times New Roman"/>
          <w:sz w:val="24"/>
          <w:szCs w:val="24"/>
          <w:lang w:val="bg-BG"/>
        </w:rPr>
        <w:t xml:space="preserve"> – </w:t>
      </w:r>
      <w:r w:rsidRPr="00610B1B">
        <w:rPr>
          <w:rFonts w:ascii="Times New Roman" w:hAnsi="Times New Roman" w:cs="Times New Roman"/>
          <w:sz w:val="24"/>
          <w:szCs w:val="24"/>
          <w:lang w:val="bg-BG"/>
        </w:rPr>
        <w:t>лиманни и лагунни. Повечето от езерата са съсредоточени около двата най-големи залива</w:t>
      </w:r>
      <w:r w:rsidR="00FD37F6" w:rsidRPr="00610B1B">
        <w:rPr>
          <w:rFonts w:ascii="Times New Roman" w:hAnsi="Times New Roman" w:cs="Times New Roman"/>
          <w:sz w:val="24"/>
          <w:szCs w:val="24"/>
          <w:lang w:val="bg-BG"/>
        </w:rPr>
        <w:t> </w:t>
      </w:r>
      <w:r w:rsidR="00DE3A13"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Варненски и Бургаски. Няколко малки езера са разположени по добруджанския бряг и на юг от гр. Созопол по Странджанското крайбрежие. Като се изключат временните водоеми, по крайбрежието се намират </w:t>
      </w:r>
      <w:r w:rsidR="009D4F3B" w:rsidRPr="00610B1B">
        <w:rPr>
          <w:rFonts w:ascii="Times New Roman" w:hAnsi="Times New Roman" w:cs="Times New Roman"/>
          <w:sz w:val="24"/>
          <w:szCs w:val="24"/>
          <w:lang w:val="bg-BG"/>
        </w:rPr>
        <w:t>21 езера,</w:t>
      </w:r>
      <w:r w:rsidRPr="00610B1B">
        <w:rPr>
          <w:rFonts w:ascii="Times New Roman" w:hAnsi="Times New Roman" w:cs="Times New Roman"/>
          <w:sz w:val="24"/>
          <w:szCs w:val="24"/>
          <w:lang w:val="bg-BG"/>
        </w:rPr>
        <w:t xml:space="preserve"> </w:t>
      </w:r>
      <w:r w:rsidR="009D4F3B" w:rsidRPr="00610B1B">
        <w:rPr>
          <w:rFonts w:ascii="Times New Roman" w:hAnsi="Times New Roman" w:cs="Times New Roman"/>
          <w:sz w:val="24"/>
          <w:szCs w:val="24"/>
          <w:lang w:val="bg-BG"/>
        </w:rPr>
        <w:t>от които 9 лимани, 11 лагуни и едно блато</w:t>
      </w:r>
      <w:r w:rsidR="00D66FE0" w:rsidRPr="00610B1B">
        <w:rPr>
          <w:rFonts w:ascii="Times New Roman" w:hAnsi="Times New Roman" w:cs="Times New Roman"/>
          <w:sz w:val="24"/>
          <w:szCs w:val="24"/>
          <w:lang w:val="bg-BG"/>
        </w:rPr>
        <w:t xml:space="preserve"> </w:t>
      </w:r>
      <w:r w:rsidR="009D4F3B" w:rsidRPr="00610B1B">
        <w:rPr>
          <w:rFonts w:ascii="Times New Roman" w:hAnsi="Times New Roman" w:cs="Times New Roman"/>
          <w:sz w:val="24"/>
          <w:szCs w:val="24"/>
          <w:lang w:val="bg-BG"/>
        </w:rPr>
        <w:t>с общ обем от над 223 млн m</w:t>
      </w:r>
      <w:r w:rsidR="009D4F3B" w:rsidRPr="00610B1B">
        <w:rPr>
          <w:rFonts w:ascii="Times New Roman" w:hAnsi="Times New Roman" w:cs="Times New Roman"/>
          <w:sz w:val="24"/>
          <w:szCs w:val="24"/>
          <w:vertAlign w:val="superscript"/>
          <w:lang w:val="bg-BG"/>
        </w:rPr>
        <w:t>3</w:t>
      </w:r>
      <w:r w:rsidR="009D4F3B" w:rsidRPr="00610B1B">
        <w:rPr>
          <w:rFonts w:ascii="Times New Roman" w:hAnsi="Times New Roman" w:cs="Times New Roman"/>
          <w:sz w:val="24"/>
          <w:szCs w:val="24"/>
          <w:lang w:val="bg-BG"/>
        </w:rPr>
        <w:t xml:space="preserve"> и площ приблизително 291 km</w:t>
      </w:r>
      <w:r w:rsidR="009D4F3B" w:rsidRPr="00610B1B">
        <w:rPr>
          <w:rFonts w:ascii="Times New Roman" w:hAnsi="Times New Roman" w:cs="Times New Roman"/>
          <w:sz w:val="24"/>
          <w:szCs w:val="24"/>
          <w:vertAlign w:val="superscript"/>
          <w:lang w:val="bg-BG"/>
        </w:rPr>
        <w:t>2</w:t>
      </w:r>
      <w:r w:rsidR="009D4F3B" w:rsidRPr="00610B1B">
        <w:rPr>
          <w:rFonts w:ascii="Times New Roman" w:hAnsi="Times New Roman" w:cs="Times New Roman"/>
          <w:sz w:val="24"/>
          <w:szCs w:val="24"/>
          <w:lang w:val="bg-BG"/>
        </w:rPr>
        <w:t>.</w:t>
      </w:r>
      <w:r w:rsidR="009D4F3B" w:rsidRPr="00610B1B">
        <w:rPr>
          <w:rStyle w:val="FootnoteReference"/>
          <w:rFonts w:ascii="Times New Roman" w:hAnsi="Times New Roman" w:cs="Times New Roman"/>
          <w:sz w:val="24"/>
          <w:szCs w:val="24"/>
          <w:lang w:val="bg-BG"/>
        </w:rPr>
        <w:footnoteReference w:id="76"/>
      </w:r>
      <w:r w:rsidR="009D4F3B" w:rsidRPr="00610B1B">
        <w:rPr>
          <w:rFonts w:ascii="Times New Roman" w:hAnsi="Times New Roman" w:cs="Times New Roman"/>
          <w:sz w:val="24"/>
          <w:szCs w:val="24"/>
          <w:lang w:val="bg-BG"/>
        </w:rPr>
        <w:t xml:space="preserve"> В зависимост от солевия си състав и режим в ПУРБ 2016-2021 те са кате</w:t>
      </w:r>
      <w:r w:rsidR="00FD37F6" w:rsidRPr="00610B1B">
        <w:rPr>
          <w:rFonts w:ascii="Times New Roman" w:hAnsi="Times New Roman" w:cs="Times New Roman"/>
          <w:sz w:val="24"/>
          <w:szCs w:val="24"/>
          <w:lang w:val="bg-BG"/>
        </w:rPr>
        <w:t>г</w:t>
      </w:r>
      <w:r w:rsidR="009D4F3B" w:rsidRPr="00610B1B">
        <w:rPr>
          <w:rFonts w:ascii="Times New Roman" w:hAnsi="Times New Roman" w:cs="Times New Roman"/>
          <w:sz w:val="24"/>
          <w:szCs w:val="24"/>
          <w:lang w:val="bg-BG"/>
        </w:rPr>
        <w:t xml:space="preserve">оризирани в </w:t>
      </w:r>
      <w:r w:rsidR="00FD37F6" w:rsidRPr="00610B1B">
        <w:rPr>
          <w:rFonts w:ascii="Times New Roman" w:hAnsi="Times New Roman" w:cs="Times New Roman"/>
          <w:sz w:val="24"/>
          <w:szCs w:val="24"/>
          <w:lang w:val="bg-BG"/>
        </w:rPr>
        <w:t>четири</w:t>
      </w:r>
      <w:r w:rsidR="009D4F3B" w:rsidRPr="00610B1B">
        <w:rPr>
          <w:rFonts w:ascii="Times New Roman" w:hAnsi="Times New Roman" w:cs="Times New Roman"/>
          <w:sz w:val="24"/>
          <w:szCs w:val="24"/>
          <w:lang w:val="bg-BG"/>
        </w:rPr>
        <w:t xml:space="preserve"> типа: L7 – сладководни; L8 – слабо солени; L9 – средно солени и L10 – свръхсолени. </w:t>
      </w:r>
    </w:p>
    <w:p w14:paraId="7A18C46C" w14:textId="77777777" w:rsidR="009D4F3B" w:rsidRPr="00610B1B" w:rsidRDefault="009D4F3B" w:rsidP="009D4F3B">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Лиманните езера са Дуранкулашкото, Езерецкото, Шабленското, Варненското, Белославското, Бургаското и Мандренското езеро. Първите три са подложени на активно обрастване и заблатяване. Те заемат лиманните устия на добруджански суходолия, образувани в дълбоко окарстени сарматски варовици. От морето са отделени с тесни и ниски пясъчни коси, през които по време на вълнение преливат солени морски води. За ниските стойности на солеността способства подхранването им с карстови води от извори, разположени по западните и южните брегове. Солеността им е ниска, със значителни сезонни и годишни колебания и варира от &lt;0.3 до 4‰ (средна годишна соленост &lt;0.5 ‰), като максималните стойности се регистрират през лятото и есента, поради намалелия приток на валежни и подземни води. </w:t>
      </w:r>
    </w:p>
    <w:p w14:paraId="6CFF569F" w14:textId="220C63F6" w:rsidR="00EE40AB" w:rsidRPr="00610B1B" w:rsidRDefault="00212964"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Варненското и Белославското езеро са типични лимани, образувани в устиевите части на реките Провадийска и Девня. В исторически план, те са представлявали единен лиман, дълбоко врязан във вътрешността</w:t>
      </w:r>
      <w:r w:rsidR="00C4355F" w:rsidRPr="00610B1B">
        <w:rPr>
          <w:rFonts w:ascii="Times New Roman" w:hAnsi="Times New Roman" w:cs="Times New Roman"/>
          <w:sz w:val="24"/>
          <w:szCs w:val="24"/>
          <w:lang w:val="bg-BG"/>
        </w:rPr>
        <w:t>, но поради</w:t>
      </w:r>
      <w:r w:rsidRPr="00610B1B">
        <w:rPr>
          <w:rFonts w:ascii="Times New Roman" w:hAnsi="Times New Roman" w:cs="Times New Roman"/>
          <w:sz w:val="24"/>
          <w:szCs w:val="24"/>
          <w:lang w:val="bg-BG"/>
        </w:rPr>
        <w:t xml:space="preserve"> затлачвания от наноси и намаляване на речния приток, се обособяват като самостоятелни езера. Белослав</w:t>
      </w:r>
      <w:r w:rsidR="00686CE6" w:rsidRPr="00610B1B">
        <w:rPr>
          <w:rFonts w:ascii="Times New Roman" w:hAnsi="Times New Roman" w:cs="Times New Roman"/>
          <w:sz w:val="24"/>
          <w:szCs w:val="24"/>
          <w:lang w:val="bg-BG"/>
        </w:rPr>
        <w:t>с</w:t>
      </w:r>
      <w:r w:rsidRPr="00610B1B">
        <w:rPr>
          <w:rFonts w:ascii="Times New Roman" w:hAnsi="Times New Roman" w:cs="Times New Roman"/>
          <w:sz w:val="24"/>
          <w:szCs w:val="24"/>
          <w:lang w:val="bg-BG"/>
        </w:rPr>
        <w:t>кото езеро има дължина около 4.6 km и максимална ширина 1.2 km</w:t>
      </w:r>
      <w:r w:rsidRPr="00610B1B">
        <w:rPr>
          <w:rFonts w:ascii="Times New Roman" w:hAnsi="Times New Roman" w:cs="Times New Roman"/>
          <w:i/>
          <w:sz w:val="24"/>
          <w:szCs w:val="24"/>
          <w:lang w:val="bg-BG"/>
        </w:rPr>
        <w:t>.</w:t>
      </w:r>
      <w:r w:rsidRPr="00610B1B">
        <w:rPr>
          <w:rFonts w:ascii="Times New Roman" w:hAnsi="Times New Roman" w:cs="Times New Roman"/>
          <w:sz w:val="24"/>
          <w:szCs w:val="24"/>
          <w:lang w:val="bg-BG"/>
        </w:rPr>
        <w:t xml:space="preserve"> То е свързано първоначално (1909 и 1923</w:t>
      </w:r>
      <w:r w:rsidR="0025348F"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г.) с Варненското езеро посредством плавателен канал, а по-късно (1975 г.) е прокопан нов канал </w:t>
      </w:r>
      <w:r w:rsidR="00440FB7" w:rsidRPr="00610B1B">
        <w:rPr>
          <w:rFonts w:ascii="Times New Roman" w:hAnsi="Times New Roman" w:cs="Times New Roman"/>
          <w:sz w:val="24"/>
          <w:szCs w:val="24"/>
          <w:lang w:val="bg-BG"/>
        </w:rPr>
        <w:t>при</w:t>
      </w:r>
      <w:r w:rsidRPr="00610B1B">
        <w:rPr>
          <w:rFonts w:ascii="Times New Roman" w:hAnsi="Times New Roman" w:cs="Times New Roman"/>
          <w:sz w:val="24"/>
          <w:szCs w:val="24"/>
          <w:lang w:val="bg-BG"/>
        </w:rPr>
        <w:t xml:space="preserve"> изграждането на пристанище Варна-запад. До прокопаването на канала езерото е било сладководно. След това, поради нахлуване на морски води и изпускането на отпадъчни води от Девненския </w:t>
      </w:r>
      <w:r w:rsidR="009D4F3B" w:rsidRPr="00610B1B">
        <w:rPr>
          <w:rFonts w:ascii="Times New Roman" w:hAnsi="Times New Roman" w:cs="Times New Roman"/>
          <w:sz w:val="24"/>
          <w:szCs w:val="24"/>
          <w:lang w:val="bg-BG"/>
        </w:rPr>
        <w:t>промишлен комплекс</w:t>
      </w:r>
      <w:r w:rsidRPr="00610B1B">
        <w:rPr>
          <w:rFonts w:ascii="Times New Roman" w:hAnsi="Times New Roman" w:cs="Times New Roman"/>
          <w:sz w:val="24"/>
          <w:szCs w:val="24"/>
          <w:lang w:val="bg-BG"/>
        </w:rPr>
        <w:t xml:space="preserve">, солеността се повишава до около 5‰ (през лятото). Бреговете са ниски и заблатени. </w:t>
      </w:r>
    </w:p>
    <w:p w14:paraId="5AB10546" w14:textId="35645EFA" w:rsidR="00212964" w:rsidRPr="00610B1B" w:rsidRDefault="00212964"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Варненско-белославския</w:t>
      </w:r>
      <w:r w:rsidR="00EE40AB" w:rsidRPr="00610B1B">
        <w:rPr>
          <w:rFonts w:ascii="Times New Roman" w:hAnsi="Times New Roman" w:cs="Times New Roman"/>
          <w:sz w:val="24"/>
          <w:szCs w:val="24"/>
          <w:lang w:val="bg-BG"/>
        </w:rPr>
        <w:t>т</w:t>
      </w:r>
      <w:r w:rsidRPr="00610B1B">
        <w:rPr>
          <w:rFonts w:ascii="Times New Roman" w:hAnsi="Times New Roman" w:cs="Times New Roman"/>
          <w:sz w:val="24"/>
          <w:szCs w:val="24"/>
          <w:lang w:val="bg-BG"/>
        </w:rPr>
        <w:t xml:space="preserve"> езерен комплекс, заедно с прокопаните </w:t>
      </w:r>
      <w:r w:rsidR="002D662E" w:rsidRPr="00610B1B">
        <w:rPr>
          <w:rFonts w:ascii="Times New Roman" w:hAnsi="Times New Roman" w:cs="Times New Roman"/>
          <w:sz w:val="24"/>
          <w:szCs w:val="24"/>
          <w:lang w:val="bg-BG"/>
        </w:rPr>
        <w:t>навигационни</w:t>
      </w:r>
      <w:r w:rsidRPr="00610B1B">
        <w:rPr>
          <w:rFonts w:ascii="Times New Roman" w:hAnsi="Times New Roman" w:cs="Times New Roman"/>
          <w:sz w:val="24"/>
          <w:szCs w:val="24"/>
          <w:lang w:val="bg-BG"/>
        </w:rPr>
        <w:t xml:space="preserve"> канали (Канал 1 и Канал 2) представлява най-големият плавателен комплекс</w:t>
      </w:r>
      <w:r w:rsidR="00EE40AB"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свързващ Черно море с редица търговски (включително и фериботно) и две кораборемонтни и корабостроителни пристанища, разположени по бреговете им. Това го прави плавателна артерия от национално значение. Към момента плавателните канали са с дълбочина от 12,5 m, което възпрепятства навлизането на модерни и по-високо тонажни кораби в езерния комплекс. За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подобряване на транспортната достъпност, в началото на 2020 г., е внесено инвестиционно предложение от ДП „Пристанищна Инфраструктура“ за удълбочаване на </w:t>
      </w:r>
      <w:r w:rsidR="00C4355F" w:rsidRPr="00610B1B">
        <w:rPr>
          <w:rFonts w:ascii="Times New Roman" w:hAnsi="Times New Roman" w:cs="Times New Roman"/>
          <w:sz w:val="24"/>
          <w:szCs w:val="24"/>
          <w:lang w:val="bg-BG"/>
        </w:rPr>
        <w:t>двата канала</w:t>
      </w:r>
      <w:r w:rsidRPr="00610B1B">
        <w:rPr>
          <w:rFonts w:ascii="Times New Roman" w:hAnsi="Times New Roman" w:cs="Times New Roman"/>
          <w:sz w:val="24"/>
          <w:szCs w:val="24"/>
          <w:lang w:val="bg-BG"/>
        </w:rPr>
        <w:t>. То е съобраз</w:t>
      </w:r>
      <w:r w:rsidR="00C4355F" w:rsidRPr="00610B1B">
        <w:rPr>
          <w:rFonts w:ascii="Times New Roman" w:hAnsi="Times New Roman" w:cs="Times New Roman"/>
          <w:sz w:val="24"/>
          <w:szCs w:val="24"/>
          <w:lang w:val="bg-BG"/>
        </w:rPr>
        <w:t>е</w:t>
      </w:r>
      <w:r w:rsidRPr="00610B1B">
        <w:rPr>
          <w:rFonts w:ascii="Times New Roman" w:hAnsi="Times New Roman" w:cs="Times New Roman"/>
          <w:sz w:val="24"/>
          <w:szCs w:val="24"/>
          <w:lang w:val="bg-BG"/>
        </w:rPr>
        <w:t>но с бъдещите потребности на пристанищните оператори в района, като е предвидено удълбочаване на канал</w:t>
      </w:r>
      <w:r w:rsidR="00C4355F" w:rsidRPr="00610B1B">
        <w:rPr>
          <w:rFonts w:ascii="Times New Roman" w:hAnsi="Times New Roman" w:cs="Times New Roman"/>
          <w:sz w:val="24"/>
          <w:szCs w:val="24"/>
          <w:lang w:val="bg-BG"/>
        </w:rPr>
        <w:t>ите</w:t>
      </w:r>
      <w:r w:rsidRPr="00610B1B">
        <w:rPr>
          <w:rFonts w:ascii="Times New Roman" w:hAnsi="Times New Roman" w:cs="Times New Roman"/>
          <w:sz w:val="24"/>
          <w:szCs w:val="24"/>
          <w:lang w:val="bg-BG"/>
        </w:rPr>
        <w:t>, заедно с езерната част на навигационното трасе на подхода и обръщателния кръг на пристанищен терминал Варна</w:t>
      </w:r>
      <w:r w:rsidR="006D1542"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Запад. С изпълнението на проекта трябва да се осигури плавателна дълбочина от 14.50 m. </w:t>
      </w:r>
      <w:r w:rsidR="00EE40AB" w:rsidRPr="00610B1B">
        <w:rPr>
          <w:rFonts w:ascii="Times New Roman" w:hAnsi="Times New Roman" w:cs="Times New Roman"/>
          <w:sz w:val="24"/>
          <w:szCs w:val="24"/>
          <w:lang w:val="bg-BG"/>
        </w:rPr>
        <w:t xml:space="preserve">Очакваните </w:t>
      </w:r>
      <w:r w:rsidRPr="00610B1B">
        <w:rPr>
          <w:rFonts w:ascii="Times New Roman" w:hAnsi="Times New Roman" w:cs="Times New Roman"/>
          <w:sz w:val="24"/>
          <w:szCs w:val="24"/>
          <w:lang w:val="bg-BG"/>
        </w:rPr>
        <w:t>над 7 мил. m</w:t>
      </w:r>
      <w:r w:rsidRPr="00610B1B">
        <w:rPr>
          <w:rFonts w:ascii="Times New Roman" w:hAnsi="Times New Roman" w:cs="Times New Roman"/>
          <w:sz w:val="24"/>
          <w:szCs w:val="24"/>
          <w:vertAlign w:val="superscript"/>
          <w:lang w:val="bg-BG"/>
        </w:rPr>
        <w:t>3</w:t>
      </w:r>
      <w:r w:rsidRPr="00610B1B">
        <w:rPr>
          <w:rFonts w:ascii="Times New Roman" w:hAnsi="Times New Roman" w:cs="Times New Roman"/>
          <w:sz w:val="24"/>
          <w:szCs w:val="24"/>
          <w:lang w:val="bg-BG"/>
        </w:rPr>
        <w:t xml:space="preserve"> драгажна маса е предвидено да бъдат </w:t>
      </w:r>
      <w:r w:rsidRPr="00610B1B">
        <w:rPr>
          <w:rFonts w:ascii="Times New Roman" w:hAnsi="Times New Roman" w:cs="Times New Roman"/>
          <w:sz w:val="24"/>
          <w:szCs w:val="24"/>
          <w:lang w:val="bg-BG"/>
        </w:rPr>
        <w:lastRenderedPageBreak/>
        <w:t xml:space="preserve">депонирани в рехабилитираното подводно депо за драгажни маси „Налбанка“ във Варненското езеро, </w:t>
      </w:r>
      <w:r w:rsidR="008D4C1E" w:rsidRPr="00610B1B">
        <w:rPr>
          <w:rFonts w:ascii="Times New Roman" w:hAnsi="Times New Roman" w:cs="Times New Roman"/>
          <w:sz w:val="24"/>
          <w:szCs w:val="24"/>
          <w:lang w:val="bg-BG"/>
        </w:rPr>
        <w:t>чийто повърхностен слой е съставено от съвременни, тъмночерни мазни тини с дебелина от 30 до 50 cm</w:t>
      </w:r>
      <w:r w:rsidR="008943EA" w:rsidRPr="00610B1B">
        <w:rPr>
          <w:rFonts w:ascii="Times New Roman" w:hAnsi="Times New Roman" w:cs="Times New Roman"/>
          <w:sz w:val="24"/>
          <w:szCs w:val="24"/>
          <w:lang w:val="bg-BG"/>
        </w:rPr>
        <w:t>. В БДЧР няма постъпили данни за биогенно замърсяване на дънните утайки.</w:t>
      </w:r>
      <w:r w:rsidR="00D66FE0" w:rsidRPr="00610B1B">
        <w:rPr>
          <w:rFonts w:ascii="Times New Roman" w:hAnsi="Times New Roman" w:cs="Times New Roman"/>
          <w:sz w:val="24"/>
          <w:szCs w:val="24"/>
          <w:lang w:val="bg-BG"/>
        </w:rPr>
        <w:t xml:space="preserve"> </w:t>
      </w:r>
    </w:p>
    <w:p w14:paraId="4D7182BE" w14:textId="77777777" w:rsidR="00610177" w:rsidRPr="00610B1B" w:rsidRDefault="00610177" w:rsidP="00610177">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Най-голямото по площ (27,6 km</w:t>
      </w:r>
      <w:r w:rsidRPr="00610B1B">
        <w:rPr>
          <w:rFonts w:ascii="Times New Roman" w:hAnsi="Times New Roman" w:cs="Times New Roman"/>
          <w:sz w:val="24"/>
          <w:szCs w:val="24"/>
          <w:vertAlign w:val="superscript"/>
          <w:lang w:val="bg-BG"/>
        </w:rPr>
        <w:t>2</w:t>
      </w:r>
      <w:r w:rsidRPr="00610B1B">
        <w:rPr>
          <w:rFonts w:ascii="Times New Roman" w:hAnsi="Times New Roman" w:cs="Times New Roman"/>
          <w:sz w:val="24"/>
          <w:szCs w:val="24"/>
          <w:lang w:val="bg-BG"/>
        </w:rPr>
        <w:t xml:space="preserve">) лиманно езеро по Българското Черноморие е Бургаското езеро. То е разположено в Бургаската низина, в устиевата част на р. Айтоска и има ниски и заблатени брегове. В миналото е било отделено от морето с тясна пясъчна коса която е укрепена и е прокаран южния околовръстен път на гр. Бургас. Дължината му е 9,5 km, а средната дълбочина е около 1 m. Солеността на езерото е значително по-висока от останалите големи лиманни езера и варира от 0,5 до 5‰ (маловодни години). </w:t>
      </w:r>
    </w:p>
    <w:p w14:paraId="4C064C0E" w14:textId="46508C29" w:rsidR="00BC1B1E" w:rsidRPr="00610B1B" w:rsidRDefault="00610177" w:rsidP="00610177">
      <w:pPr>
        <w:spacing w:after="12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Мандренското езеро</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представлява лиман и е разположено в югоизточната част на Бургаската низи</w:t>
      </w:r>
      <w:r w:rsidRPr="00610B1B">
        <w:rPr>
          <w:rFonts w:ascii="Times New Roman" w:hAnsi="Times New Roman" w:cs="Times New Roman"/>
          <w:sz w:val="24"/>
          <w:szCs w:val="24"/>
          <w:lang w:val="bg-BG"/>
        </w:rPr>
        <w:softHyphen/>
        <w:t>на. То има продълговата форма с дължина 11 km и мак</w:t>
      </w:r>
      <w:r w:rsidRPr="00610B1B">
        <w:rPr>
          <w:rFonts w:ascii="Times New Roman" w:hAnsi="Times New Roman" w:cs="Times New Roman"/>
          <w:sz w:val="24"/>
          <w:szCs w:val="24"/>
          <w:lang w:val="bg-BG"/>
        </w:rPr>
        <w:softHyphen/>
        <w:t>симална ширина 1,3 km. Средната му дълбочина е 1,1 m, а обемът 11 млн. m</w:t>
      </w:r>
      <w:r w:rsidRPr="00610B1B">
        <w:rPr>
          <w:rFonts w:ascii="Times New Roman" w:hAnsi="Times New Roman" w:cs="Times New Roman"/>
          <w:sz w:val="24"/>
          <w:szCs w:val="24"/>
          <w:vertAlign w:val="superscript"/>
          <w:lang w:val="bg-BG"/>
        </w:rPr>
        <w:t>3</w:t>
      </w:r>
      <w:r w:rsidRPr="00610B1B">
        <w:rPr>
          <w:rFonts w:ascii="Times New Roman" w:hAnsi="Times New Roman" w:cs="Times New Roman"/>
          <w:sz w:val="24"/>
          <w:szCs w:val="24"/>
          <w:lang w:val="bg-BG"/>
        </w:rPr>
        <w:t>. Бреговете са хълмисти, невисоки и обрасли с тръстика. Солеността на езерото е ниска, тъй като в западната му част се вливат едни от най-големите реки, протичащи в Бургаската низина - Русокастренска, Средецка и Факийска. За нуждите на напояването и промишленото водоснабдяване от 1963 г. част от него е преградено с язовирна стена, докато долната част от езерото остава в естествения си вид и е обособено като отделно водно тяло в ПУРБ, като това е орнитологично важно място.</w:t>
      </w:r>
      <w:r w:rsidRPr="00610B1B">
        <w:rPr>
          <w:rFonts w:ascii="Times New Roman" w:hAnsi="Times New Roman" w:cs="Times New Roman"/>
          <w:sz w:val="24"/>
          <w:szCs w:val="24"/>
          <w:lang w:val="bg-BG"/>
        </w:rPr>
        <w:cr/>
      </w:r>
      <w:r w:rsidRPr="00610B1B">
        <w:rPr>
          <w:rFonts w:ascii="Times New Roman" w:hAnsi="Times New Roman" w:cs="Times New Roman"/>
          <w:sz w:val="24"/>
          <w:szCs w:val="24"/>
          <w:lang w:val="bg-BG"/>
        </w:rPr>
        <w:br/>
      </w:r>
      <w:r w:rsidR="00BC1B1E" w:rsidRPr="00610B1B">
        <w:rPr>
          <w:rFonts w:ascii="Times New Roman" w:hAnsi="Times New Roman" w:cs="Times New Roman"/>
          <w:sz w:val="24"/>
          <w:szCs w:val="24"/>
          <w:lang w:val="bg-BG"/>
        </w:rPr>
        <w:t xml:space="preserve">Водният режим на повечето лиманни езера е сходен. Максимумът на водното ниво се наблюдава през май като интегриран резултат от увеличения речен приток и обилните валежи над водното огледало. Разлика се наблюдава при Шабленското езеро, където максимумът настъпва месец по-рано поради обилно подхранване с карстови води. На юг, в Бургаското езеро, максимумът се регистрира през декември вследствие на значителните валежи, резултат от средиземноморското климатично влияние. </w:t>
      </w:r>
    </w:p>
    <w:p w14:paraId="54455F1B" w14:textId="4D5D3160" w:rsidR="00BC1B1E" w:rsidRPr="00610B1B" w:rsidRDefault="00BC1B1E" w:rsidP="00610177">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Към групата на лагунните езера спадат Атанасовско и Поморийско езеро, заблатените езера Алепу, Аркутино, Стомопло по Странджанското крайбрежие, добруджанските - Шабленска тузла, Наневска и Балчишка тузла. Трите добруджански тузли представляват свръхсолени лагуни, малки по площ и дълбочина. Водното им ниво е по-ниско от морското и през лятото тази разлика нараства. Подхранването на водоемите се осъществява чрез преливане на морска вода през пясъчните коси, просмукване през пясъка или чрез изкуствено прокопани канали към морето. Притокът от сладководни извори и валежи е слаб. Наневска и Балчишка тузла могат да се разглеждат и като свлачищни езера, защото заемат малки, плитки, понижени участъци на крайбрежни свлачища. Дъната на добруджанските лагуни са покрити с черна сероводородна лечебна кал, която се използва за балнеоложки процедури. </w:t>
      </w:r>
    </w:p>
    <w:p w14:paraId="1C211AE9" w14:textId="41201925" w:rsidR="00212964" w:rsidRPr="00610B1B" w:rsidRDefault="00686CE6" w:rsidP="00610177">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Поморийското</w:t>
      </w:r>
      <w:r w:rsidR="00D66FE0" w:rsidRPr="00610B1B">
        <w:rPr>
          <w:rFonts w:ascii="Times New Roman" w:hAnsi="Times New Roman" w:cs="Times New Roman"/>
          <w:sz w:val="24"/>
          <w:szCs w:val="24"/>
          <w:lang w:val="bg-BG"/>
        </w:rPr>
        <w:t xml:space="preserve"> </w:t>
      </w:r>
      <w:r w:rsidR="00212964" w:rsidRPr="00610B1B">
        <w:rPr>
          <w:rFonts w:ascii="Times New Roman" w:hAnsi="Times New Roman" w:cs="Times New Roman"/>
          <w:sz w:val="24"/>
          <w:szCs w:val="24"/>
          <w:lang w:val="bg-BG"/>
        </w:rPr>
        <w:t>езеро,</w:t>
      </w:r>
      <w:r w:rsidR="00D66FE0" w:rsidRPr="00610B1B">
        <w:rPr>
          <w:rFonts w:ascii="Times New Roman" w:hAnsi="Times New Roman" w:cs="Times New Roman"/>
          <w:sz w:val="24"/>
          <w:szCs w:val="24"/>
          <w:lang w:val="bg-BG"/>
        </w:rPr>
        <w:t xml:space="preserve"> </w:t>
      </w:r>
      <w:r w:rsidR="00212964" w:rsidRPr="00610B1B">
        <w:rPr>
          <w:rFonts w:ascii="Times New Roman" w:hAnsi="Times New Roman" w:cs="Times New Roman"/>
          <w:sz w:val="24"/>
          <w:szCs w:val="24"/>
          <w:lang w:val="bg-BG"/>
        </w:rPr>
        <w:t>разположено северно от гр. Поморие, е свръхсолено. Обхваща част от Поморийския залив и се простира успоредно на морето, от което е отделено с дълга 6</w:t>
      </w:r>
      <w:r w:rsidR="00764A7D" w:rsidRPr="00610B1B">
        <w:rPr>
          <w:rFonts w:ascii="Times New Roman" w:hAnsi="Times New Roman" w:cs="Times New Roman"/>
          <w:sz w:val="24"/>
          <w:szCs w:val="24"/>
          <w:lang w:val="bg-BG"/>
        </w:rPr>
        <w:t xml:space="preserve"> </w:t>
      </w:r>
      <w:r w:rsidR="00212964" w:rsidRPr="00610B1B">
        <w:rPr>
          <w:rFonts w:ascii="Times New Roman" w:hAnsi="Times New Roman" w:cs="Times New Roman"/>
          <w:sz w:val="24"/>
          <w:szCs w:val="24"/>
          <w:lang w:val="bg-BG"/>
        </w:rPr>
        <w:t>km и тясна пясъчна коса. Има издължена на север овална форма, нивото му се намира на около 0,5-0,8 m под морското равнище и е много плитко. Подхранва се от просмука</w:t>
      </w:r>
      <w:r w:rsidR="00212964" w:rsidRPr="00610B1B">
        <w:rPr>
          <w:rFonts w:ascii="Times New Roman" w:hAnsi="Times New Roman" w:cs="Times New Roman"/>
          <w:sz w:val="24"/>
          <w:szCs w:val="24"/>
          <w:lang w:val="bg-BG"/>
        </w:rPr>
        <w:softHyphen/>
        <w:t>ни през пясъчната коса морски води и през лятото солеността му се покачва над 100</w:t>
      </w:r>
      <w:r w:rsidR="00212964" w:rsidRPr="00610B1B">
        <w:rPr>
          <w:rFonts w:ascii="Times New Roman" w:hAnsi="Times New Roman" w:cs="Times New Roman"/>
          <w:lang w:val="bg-BG"/>
        </w:rPr>
        <w:t>‰</w:t>
      </w:r>
      <w:r w:rsidR="00212964" w:rsidRPr="00610B1B">
        <w:rPr>
          <w:rFonts w:ascii="Times New Roman" w:hAnsi="Times New Roman" w:cs="Times New Roman"/>
          <w:sz w:val="24"/>
          <w:szCs w:val="24"/>
          <w:lang w:val="bg-BG"/>
        </w:rPr>
        <w:t xml:space="preserve">. Тъй </w:t>
      </w:r>
      <w:r w:rsidR="00212964" w:rsidRPr="00610B1B">
        <w:rPr>
          <w:rFonts w:ascii="Times New Roman" w:hAnsi="Times New Roman" w:cs="Times New Roman"/>
          <w:sz w:val="24"/>
          <w:szCs w:val="24"/>
          <w:lang w:val="bg-BG"/>
        </w:rPr>
        <w:lastRenderedPageBreak/>
        <w:t>като изпарението превишава неколкократно притока в езерото, обемът му се регулира изкуствено. Дъното е покрито с лечебна се</w:t>
      </w:r>
      <w:r w:rsidR="00212964" w:rsidRPr="00610B1B">
        <w:rPr>
          <w:rFonts w:ascii="Times New Roman" w:hAnsi="Times New Roman" w:cs="Times New Roman"/>
          <w:sz w:val="24"/>
          <w:szCs w:val="24"/>
          <w:lang w:val="bg-BG"/>
        </w:rPr>
        <w:softHyphen/>
        <w:t xml:space="preserve">роводородна кал. Свободната повърхност през лятото обрасва със соленолюбиви водорасли. </w:t>
      </w:r>
      <w:r w:rsidR="00764A7D" w:rsidRPr="00610B1B">
        <w:rPr>
          <w:rFonts w:ascii="Times New Roman" w:hAnsi="Times New Roman" w:cs="Times New Roman"/>
          <w:sz w:val="24"/>
          <w:szCs w:val="24"/>
          <w:lang w:val="bg-BG"/>
        </w:rPr>
        <w:t>В</w:t>
      </w:r>
      <w:r w:rsidR="00212964" w:rsidRPr="00610B1B">
        <w:rPr>
          <w:rFonts w:ascii="Times New Roman" w:hAnsi="Times New Roman" w:cs="Times New Roman"/>
          <w:sz w:val="24"/>
          <w:szCs w:val="24"/>
          <w:lang w:val="bg-BG"/>
        </w:rPr>
        <w:t xml:space="preserve"> езерото се добив</w:t>
      </w:r>
      <w:r w:rsidR="00764A7D" w:rsidRPr="00610B1B">
        <w:rPr>
          <w:rFonts w:ascii="Times New Roman" w:hAnsi="Times New Roman" w:cs="Times New Roman"/>
          <w:sz w:val="24"/>
          <w:szCs w:val="24"/>
          <w:lang w:val="bg-BG"/>
        </w:rPr>
        <w:t>а</w:t>
      </w:r>
      <w:r w:rsidR="00212964" w:rsidRPr="00610B1B">
        <w:rPr>
          <w:rFonts w:ascii="Times New Roman" w:hAnsi="Times New Roman" w:cs="Times New Roman"/>
          <w:sz w:val="24"/>
          <w:szCs w:val="24"/>
          <w:lang w:val="bg-BG"/>
        </w:rPr>
        <w:t xml:space="preserve"> морска сол. </w:t>
      </w:r>
    </w:p>
    <w:p w14:paraId="3D121D29" w14:textId="24E06B30" w:rsidR="00212964" w:rsidRPr="00610B1B" w:rsidRDefault="00212964"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Атанасовското езеро представлява свръхсолена лагуна, образувала се в резултат на преграждане на плитък залив с пясъчна коса. Разположено е северно от Бургас и е разде</w:t>
      </w:r>
      <w:r w:rsidRPr="00610B1B">
        <w:rPr>
          <w:rFonts w:ascii="Times New Roman" w:hAnsi="Times New Roman" w:cs="Times New Roman"/>
          <w:sz w:val="24"/>
          <w:szCs w:val="24"/>
          <w:lang w:val="bg-BG"/>
        </w:rPr>
        <w:softHyphen/>
        <w:t>лено от изкуствен насип на два басейна. Езерото е много плитко (дълбочина до 1 m) и получава води от морето чрез изкуствен канал. Бреговете му са ниски и обрасли с блатна растителност. Солеността през засушливи лета достига до 250</w:t>
      </w:r>
      <w:r w:rsidRPr="00610B1B">
        <w:rPr>
          <w:rFonts w:ascii="Times New Roman" w:hAnsi="Times New Roman" w:cs="Times New Roman"/>
          <w:lang w:val="bg-BG"/>
        </w:rPr>
        <w:t>‰</w:t>
      </w:r>
      <w:r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p>
    <w:p w14:paraId="34E71131" w14:textId="5F99C0FA" w:rsidR="00212964" w:rsidRPr="00610B1B" w:rsidRDefault="0061017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приустиевите части на редица реки вливащи се в Черно море, поради хипсометричните характеристики на терена,</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при пълноводие се образуват обширни разливи, които формират блата.</w:t>
      </w:r>
      <w:r w:rsidR="00212964" w:rsidRPr="00610B1B">
        <w:rPr>
          <w:rFonts w:ascii="Times New Roman" w:hAnsi="Times New Roman" w:cs="Times New Roman"/>
          <w:sz w:val="24"/>
          <w:szCs w:val="24"/>
          <w:lang w:val="bg-BG"/>
        </w:rPr>
        <w:t xml:space="preserve"> </w:t>
      </w:r>
      <w:r w:rsidR="00AE66CD" w:rsidRPr="00610B1B">
        <w:rPr>
          <w:rFonts w:ascii="Times New Roman" w:hAnsi="Times New Roman" w:cs="Times New Roman"/>
          <w:sz w:val="24"/>
          <w:szCs w:val="24"/>
          <w:lang w:val="bg-BG"/>
        </w:rPr>
        <w:t>Т</w:t>
      </w:r>
      <w:r w:rsidR="00212964" w:rsidRPr="00610B1B">
        <w:rPr>
          <w:rFonts w:ascii="Times New Roman" w:hAnsi="Times New Roman" w:cs="Times New Roman"/>
          <w:sz w:val="24"/>
          <w:szCs w:val="24"/>
          <w:lang w:val="bg-BG"/>
        </w:rPr>
        <w:t xml:space="preserve">акива </w:t>
      </w:r>
      <w:r w:rsidR="00AE66CD" w:rsidRPr="00610B1B">
        <w:rPr>
          <w:rFonts w:ascii="Times New Roman" w:hAnsi="Times New Roman" w:cs="Times New Roman"/>
          <w:sz w:val="24"/>
          <w:szCs w:val="24"/>
          <w:lang w:val="bg-BG"/>
        </w:rPr>
        <w:t>са</w:t>
      </w:r>
      <w:r w:rsidR="00212964" w:rsidRPr="00610B1B">
        <w:rPr>
          <w:rFonts w:ascii="Times New Roman" w:hAnsi="Times New Roman" w:cs="Times New Roman"/>
          <w:sz w:val="24"/>
          <w:szCs w:val="24"/>
          <w:lang w:val="bg-BG"/>
        </w:rPr>
        <w:t xml:space="preserve"> Камчийските блата (в устието на р. Камчия</w:t>
      </w:r>
      <w:r w:rsidRPr="00610B1B">
        <w:rPr>
          <w:rFonts w:ascii="Times New Roman" w:hAnsi="Times New Roman" w:cs="Times New Roman"/>
          <w:sz w:val="24"/>
          <w:szCs w:val="24"/>
          <w:lang w:val="bg-BG"/>
        </w:rPr>
        <w:t xml:space="preserve"> – </w:t>
      </w:r>
      <w:r w:rsidR="00212964" w:rsidRPr="00610B1B">
        <w:rPr>
          <w:rFonts w:ascii="Times New Roman" w:hAnsi="Times New Roman" w:cs="Times New Roman"/>
          <w:sz w:val="24"/>
          <w:szCs w:val="24"/>
          <w:lang w:val="bg-BG"/>
        </w:rPr>
        <w:t>Лонгоза), малкото Дяволско блато (на р. Дяволска, южно от гр. При</w:t>
      </w:r>
      <w:r w:rsidR="00212964" w:rsidRPr="00610B1B">
        <w:rPr>
          <w:rFonts w:ascii="Times New Roman" w:hAnsi="Times New Roman" w:cs="Times New Roman"/>
          <w:sz w:val="24"/>
          <w:szCs w:val="24"/>
          <w:lang w:val="bg-BG"/>
        </w:rPr>
        <w:softHyphen/>
        <w:t>морско), Батовското блато (в устието на р.</w:t>
      </w:r>
      <w:r w:rsidR="00AE66CD" w:rsidRPr="00610B1B">
        <w:rPr>
          <w:rFonts w:ascii="Times New Roman" w:hAnsi="Times New Roman" w:cs="Times New Roman"/>
          <w:sz w:val="24"/>
          <w:szCs w:val="24"/>
          <w:lang w:val="bg-BG"/>
        </w:rPr>
        <w:t xml:space="preserve"> </w:t>
      </w:r>
      <w:r w:rsidR="00212964" w:rsidRPr="00610B1B">
        <w:rPr>
          <w:rFonts w:ascii="Times New Roman" w:hAnsi="Times New Roman" w:cs="Times New Roman"/>
          <w:sz w:val="24"/>
          <w:szCs w:val="24"/>
          <w:lang w:val="bg-BG"/>
        </w:rPr>
        <w:t>Батова) и др. Те имат лиманен характер, през лятото силно намаляват площта си и дори пресъхват. Разливите представляват мочурища, обрасли с папур, сладководни водорасли и друга влаголюбива растителност. Солеността им е ниска</w:t>
      </w:r>
      <w:r w:rsidR="00AE66CD"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00212964" w:rsidRPr="00610B1B">
        <w:rPr>
          <w:rFonts w:ascii="Times New Roman" w:hAnsi="Times New Roman" w:cs="Times New Roman"/>
          <w:sz w:val="24"/>
          <w:szCs w:val="24"/>
          <w:lang w:val="bg-BG"/>
        </w:rPr>
        <w:t>около 6</w:t>
      </w:r>
      <w:r w:rsidR="00212964" w:rsidRPr="00610B1B">
        <w:rPr>
          <w:rFonts w:ascii="Times New Roman" w:hAnsi="Times New Roman" w:cs="Times New Roman"/>
          <w:lang w:val="bg-BG"/>
        </w:rPr>
        <w:t>‰</w:t>
      </w:r>
      <w:r w:rsidR="00212964" w:rsidRPr="00610B1B">
        <w:rPr>
          <w:rFonts w:ascii="Times New Roman" w:hAnsi="Times New Roman" w:cs="Times New Roman"/>
          <w:sz w:val="24"/>
          <w:szCs w:val="24"/>
          <w:lang w:val="bg-BG"/>
        </w:rPr>
        <w:t>, като през лятото и есента достига до около 14</w:t>
      </w:r>
      <w:r w:rsidR="00212964" w:rsidRPr="00610B1B">
        <w:rPr>
          <w:rFonts w:ascii="Times New Roman" w:hAnsi="Times New Roman" w:cs="Times New Roman"/>
          <w:lang w:val="bg-BG"/>
        </w:rPr>
        <w:t>‰</w:t>
      </w:r>
      <w:r w:rsidR="00212964" w:rsidRPr="00610B1B">
        <w:rPr>
          <w:rFonts w:ascii="Times New Roman" w:hAnsi="Times New Roman" w:cs="Times New Roman"/>
          <w:sz w:val="24"/>
          <w:szCs w:val="24"/>
          <w:lang w:val="bg-BG"/>
        </w:rPr>
        <w:t xml:space="preserve">. </w:t>
      </w:r>
    </w:p>
    <w:p w14:paraId="2F4C93F9" w14:textId="7BEEF36B" w:rsidR="008B7C57" w:rsidRPr="00610B1B" w:rsidRDefault="00AE66CD" w:rsidP="00D32D6A">
      <w:pPr>
        <w:pStyle w:val="Heading4"/>
        <w:spacing w:before="0" w:line="276" w:lineRule="auto"/>
        <w:ind w:right="-153"/>
        <w:rPr>
          <w:rFonts w:cs="Times New Roman"/>
        </w:rPr>
      </w:pPr>
      <w:r w:rsidRPr="00610B1B">
        <w:rPr>
          <w:rFonts w:cs="Times New Roman"/>
        </w:rPr>
        <w:t xml:space="preserve">2.2.2.2. </w:t>
      </w:r>
      <w:r w:rsidR="008B7C57" w:rsidRPr="00610B1B">
        <w:rPr>
          <w:rFonts w:cs="Times New Roman"/>
        </w:rPr>
        <w:t xml:space="preserve">Зони за защита по План за </w:t>
      </w:r>
      <w:r w:rsidR="00706D7D" w:rsidRPr="00610B1B">
        <w:rPr>
          <w:rFonts w:cs="Times New Roman"/>
        </w:rPr>
        <w:t xml:space="preserve">управление на риска от наводнения </w:t>
      </w:r>
    </w:p>
    <w:p w14:paraId="667C9ADD" w14:textId="7E3C2069" w:rsidR="00536709" w:rsidRPr="00610B1B" w:rsidRDefault="003F31E1"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sz w:val="24"/>
          <w:szCs w:val="24"/>
          <w:lang w:val="bg-BG"/>
        </w:rPr>
        <w:t xml:space="preserve">Директива 2007/60/ЕО на Европейския парламент и на Съвета от 23 октомври 2007 година относно оценката и управлението на риска от наводнения </w:t>
      </w:r>
      <w:r w:rsidR="008B7C57" w:rsidRPr="00610B1B">
        <w:rPr>
          <w:rFonts w:ascii="Times New Roman" w:hAnsi="Times New Roman" w:cs="Times New Roman"/>
          <w:sz w:val="24"/>
          <w:szCs w:val="24"/>
          <w:lang w:val="bg-BG"/>
        </w:rPr>
        <w:t>(ДН)</w:t>
      </w:r>
      <w:r w:rsidRPr="00610B1B">
        <w:rPr>
          <w:rStyle w:val="FootnoteReference"/>
          <w:rFonts w:ascii="Times New Roman" w:hAnsi="Times New Roman" w:cs="Times New Roman"/>
          <w:sz w:val="24"/>
          <w:szCs w:val="24"/>
          <w:lang w:val="bg-BG"/>
        </w:rPr>
        <w:footnoteReference w:id="77"/>
      </w:r>
      <w:r w:rsidR="008B7C57" w:rsidRPr="00610B1B">
        <w:rPr>
          <w:rFonts w:ascii="Times New Roman" w:hAnsi="Times New Roman" w:cs="Times New Roman"/>
          <w:sz w:val="24"/>
          <w:szCs w:val="24"/>
          <w:lang w:val="bg-BG"/>
        </w:rPr>
        <w:t xml:space="preserve"> е транспонирана в националното законодателство с изменение на Закона за водите през август 2010 г. План</w:t>
      </w:r>
      <w:r w:rsidR="00E14A65" w:rsidRPr="00610B1B">
        <w:rPr>
          <w:rFonts w:ascii="Times New Roman" w:hAnsi="Times New Roman" w:cs="Times New Roman"/>
          <w:sz w:val="24"/>
          <w:szCs w:val="24"/>
          <w:lang w:val="bg-BG"/>
        </w:rPr>
        <w:t>овете</w:t>
      </w:r>
      <w:r w:rsidR="008B7C57" w:rsidRPr="00610B1B">
        <w:rPr>
          <w:rFonts w:ascii="Times New Roman" w:hAnsi="Times New Roman" w:cs="Times New Roman"/>
          <w:sz w:val="24"/>
          <w:szCs w:val="24"/>
          <w:lang w:val="bg-BG"/>
        </w:rPr>
        <w:t xml:space="preserve"> за управление на риска от наводнения (ПУРН)</w:t>
      </w:r>
      <w:r w:rsidRPr="00610B1B">
        <w:rPr>
          <w:rFonts w:ascii="Times New Roman" w:hAnsi="Times New Roman" w:cs="Times New Roman"/>
          <w:sz w:val="24"/>
          <w:szCs w:val="24"/>
          <w:lang w:val="bg-BG"/>
        </w:rPr>
        <w:t xml:space="preserve"> </w:t>
      </w:r>
      <w:r w:rsidR="008B7C57" w:rsidRPr="00610B1B">
        <w:rPr>
          <w:rFonts w:ascii="Times New Roman" w:hAnsi="Times New Roman" w:cs="Times New Roman"/>
          <w:sz w:val="24"/>
          <w:szCs w:val="24"/>
          <w:lang w:val="bg-BG"/>
        </w:rPr>
        <w:t xml:space="preserve">са задължителни и изпълнението </w:t>
      </w:r>
      <w:r w:rsidRPr="00610B1B">
        <w:rPr>
          <w:rFonts w:ascii="Times New Roman" w:hAnsi="Times New Roman" w:cs="Times New Roman"/>
          <w:sz w:val="24"/>
          <w:szCs w:val="24"/>
          <w:lang w:val="bg-BG"/>
        </w:rPr>
        <w:t>им</w:t>
      </w:r>
      <w:r w:rsidR="008B7C57" w:rsidRPr="00610B1B">
        <w:rPr>
          <w:rFonts w:ascii="Times New Roman" w:hAnsi="Times New Roman" w:cs="Times New Roman"/>
          <w:sz w:val="24"/>
          <w:szCs w:val="24"/>
          <w:lang w:val="bg-BG"/>
        </w:rPr>
        <w:t xml:space="preserve"> намалява възможните неблагоприятни последици за човешкото здраве, околната среда, културното наследство, техническата инфраструктура и стопанската дейност, свързани с наводненията.</w:t>
      </w:r>
    </w:p>
    <w:p w14:paraId="3BB3FCF3" w14:textId="2A8AE293" w:rsidR="008B7C57" w:rsidRPr="00610B1B" w:rsidRDefault="00C26AAA"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Разработеният от </w:t>
      </w:r>
      <w:r w:rsidR="008B7C57" w:rsidRPr="00610B1B">
        <w:rPr>
          <w:rFonts w:ascii="Times New Roman" w:hAnsi="Times New Roman" w:cs="Times New Roman"/>
          <w:sz w:val="24"/>
          <w:szCs w:val="24"/>
          <w:lang w:val="bg-BG"/>
        </w:rPr>
        <w:t xml:space="preserve">Басейнова Дирекция „Черноморски район“ </w:t>
      </w:r>
      <w:r w:rsidR="008B7C57" w:rsidRPr="00610B1B">
        <w:rPr>
          <w:rFonts w:ascii="Times New Roman" w:hAnsi="Times New Roman" w:cs="Times New Roman"/>
          <w:bCs/>
          <w:sz w:val="24"/>
          <w:szCs w:val="24"/>
          <w:lang w:val="bg-BG"/>
        </w:rPr>
        <w:t xml:space="preserve">ПУРН </w:t>
      </w:r>
      <w:r w:rsidR="003F31E1" w:rsidRPr="00610B1B">
        <w:rPr>
          <w:rFonts w:ascii="Times New Roman" w:hAnsi="Times New Roman" w:cs="Times New Roman"/>
          <w:bCs/>
          <w:sz w:val="24"/>
          <w:szCs w:val="24"/>
          <w:lang w:val="bg-BG"/>
        </w:rPr>
        <w:t xml:space="preserve">(2016–2021 </w:t>
      </w:r>
      <w:r w:rsidR="00BA5F20" w:rsidRPr="00610B1B">
        <w:rPr>
          <w:rFonts w:ascii="Times New Roman" w:hAnsi="Times New Roman" w:cs="Times New Roman"/>
          <w:bCs/>
          <w:sz w:val="24"/>
          <w:szCs w:val="24"/>
          <w:lang w:val="bg-BG"/>
        </w:rPr>
        <w:t>г.</w:t>
      </w:r>
      <w:r w:rsidR="003F31E1" w:rsidRPr="00610B1B">
        <w:rPr>
          <w:rFonts w:ascii="Times New Roman" w:hAnsi="Times New Roman" w:cs="Times New Roman"/>
          <w:bCs/>
          <w:sz w:val="24"/>
          <w:szCs w:val="24"/>
          <w:lang w:val="bg-BG"/>
        </w:rPr>
        <w:t>)</w:t>
      </w:r>
      <w:r w:rsidR="00BA5F20" w:rsidRPr="00610B1B">
        <w:rPr>
          <w:rStyle w:val="FootnoteReference"/>
          <w:rFonts w:ascii="Times New Roman" w:hAnsi="Times New Roman" w:cs="Times New Roman"/>
          <w:bCs/>
          <w:sz w:val="24"/>
          <w:szCs w:val="24"/>
          <w:lang w:val="bg-BG"/>
        </w:rPr>
        <w:footnoteReference w:id="78"/>
      </w:r>
      <w:r w:rsidR="003F31E1" w:rsidRPr="00610B1B">
        <w:rPr>
          <w:rFonts w:ascii="Times New Roman" w:hAnsi="Times New Roman" w:cs="Times New Roman"/>
          <w:sz w:val="24"/>
          <w:szCs w:val="24"/>
          <w:lang w:val="bg-BG"/>
        </w:rPr>
        <w:t>,</w:t>
      </w:r>
      <w:r w:rsidR="008B7C57" w:rsidRPr="00610B1B">
        <w:rPr>
          <w:rFonts w:ascii="Times New Roman" w:hAnsi="Times New Roman" w:cs="Times New Roman"/>
          <w:sz w:val="24"/>
          <w:szCs w:val="24"/>
          <w:lang w:val="bg-BG"/>
        </w:rPr>
        <w:t xml:space="preserve"> приет с Решение на МС №1103/29.12.2016 г.</w:t>
      </w:r>
      <w:r w:rsidR="003F31E1" w:rsidRPr="00610B1B">
        <w:rPr>
          <w:rFonts w:ascii="Times New Roman" w:hAnsi="Times New Roman" w:cs="Times New Roman"/>
          <w:sz w:val="24"/>
          <w:szCs w:val="24"/>
          <w:lang w:val="bg-BG"/>
        </w:rPr>
        <w:t>,</w:t>
      </w:r>
      <w:r w:rsidR="001D0AE8" w:rsidRPr="00610B1B">
        <w:rPr>
          <w:rFonts w:ascii="Times New Roman" w:hAnsi="Times New Roman" w:cs="Times New Roman"/>
          <w:sz w:val="24"/>
          <w:szCs w:val="24"/>
          <w:lang w:val="bg-BG"/>
        </w:rPr>
        <w:t xml:space="preserve"> </w:t>
      </w:r>
      <w:r w:rsidR="008B7C57" w:rsidRPr="00610B1B">
        <w:rPr>
          <w:rFonts w:ascii="Times New Roman" w:hAnsi="Times New Roman" w:cs="Times New Roman"/>
          <w:sz w:val="24"/>
          <w:szCs w:val="24"/>
          <w:lang w:val="bg-BG"/>
        </w:rPr>
        <w:t>разглежда всички аспекти на управлението на риска, като се съсредоточава върху предотвратяването, защитата, подготвеността, прогнозите за наводнения, системите за ранно предупреждение и отчита характеристиките на Черноморския район за басейново управление на водите. Той включва Програма от мерки за решаване на проблеми</w:t>
      </w:r>
      <w:r w:rsidR="00BA5F20" w:rsidRPr="00610B1B">
        <w:rPr>
          <w:rFonts w:ascii="Times New Roman" w:hAnsi="Times New Roman" w:cs="Times New Roman"/>
          <w:sz w:val="24"/>
          <w:szCs w:val="24"/>
          <w:lang w:val="bg-BG"/>
        </w:rPr>
        <w:t>те</w:t>
      </w:r>
      <w:r w:rsidR="008B7C57" w:rsidRPr="00610B1B">
        <w:rPr>
          <w:rFonts w:ascii="Times New Roman" w:hAnsi="Times New Roman" w:cs="Times New Roman"/>
          <w:sz w:val="24"/>
          <w:szCs w:val="24"/>
          <w:lang w:val="bg-BG"/>
        </w:rPr>
        <w:t xml:space="preserve"> и постигане на поставените цели за всеки един от определените 45 района със значителен потенциален риск от наводнения. </w:t>
      </w:r>
      <w:r w:rsidR="008B7C57" w:rsidRPr="00610B1B">
        <w:rPr>
          <w:rFonts w:ascii="Times New Roman" w:hAnsi="Times New Roman" w:cs="Times New Roman"/>
          <w:bCs/>
          <w:sz w:val="24"/>
          <w:szCs w:val="24"/>
          <w:lang w:val="bg-BG"/>
        </w:rPr>
        <w:t xml:space="preserve">В </w:t>
      </w:r>
      <w:r w:rsidR="000C1420" w:rsidRPr="00610B1B">
        <w:rPr>
          <w:rFonts w:ascii="Times New Roman" w:hAnsi="Times New Roman" w:cs="Times New Roman"/>
          <w:bCs/>
          <w:sz w:val="24"/>
          <w:szCs w:val="24"/>
          <w:lang w:val="bg-BG"/>
        </w:rPr>
        <w:t>11</w:t>
      </w:r>
      <w:r w:rsidR="008B7C57" w:rsidRPr="00610B1B">
        <w:rPr>
          <w:rFonts w:ascii="Times New Roman" w:hAnsi="Times New Roman" w:cs="Times New Roman"/>
          <w:bCs/>
          <w:sz w:val="24"/>
          <w:szCs w:val="24"/>
          <w:lang w:val="bg-BG"/>
        </w:rPr>
        <w:t xml:space="preserve"> от тях се съдържат данни за минали </w:t>
      </w:r>
      <w:r w:rsidR="000C1420" w:rsidRPr="00610B1B">
        <w:rPr>
          <w:rFonts w:ascii="Times New Roman" w:hAnsi="Times New Roman" w:cs="Times New Roman"/>
          <w:bCs/>
          <w:sz w:val="24"/>
          <w:szCs w:val="24"/>
          <w:lang w:val="bg-BG"/>
        </w:rPr>
        <w:t xml:space="preserve">морски наводнения с </w:t>
      </w:r>
      <w:r w:rsidR="00BA5F20" w:rsidRPr="00610B1B">
        <w:rPr>
          <w:rFonts w:ascii="Times New Roman" w:hAnsi="Times New Roman" w:cs="Times New Roman"/>
          <w:bCs/>
          <w:sz w:val="24"/>
          <w:szCs w:val="24"/>
          <w:lang w:val="bg-BG"/>
        </w:rPr>
        <w:t xml:space="preserve">обща </w:t>
      </w:r>
      <w:r w:rsidR="000C1420" w:rsidRPr="00610B1B">
        <w:rPr>
          <w:rFonts w:ascii="Times New Roman" w:hAnsi="Times New Roman" w:cs="Times New Roman"/>
          <w:bCs/>
          <w:sz w:val="24"/>
          <w:szCs w:val="24"/>
          <w:lang w:val="bg-BG"/>
        </w:rPr>
        <w:t xml:space="preserve">дължина 267 km, а в 34 данни за минали </w:t>
      </w:r>
      <w:r w:rsidR="008B7C57" w:rsidRPr="00610B1B">
        <w:rPr>
          <w:rFonts w:ascii="Times New Roman" w:hAnsi="Times New Roman" w:cs="Times New Roman"/>
          <w:bCs/>
          <w:sz w:val="24"/>
          <w:szCs w:val="24"/>
          <w:lang w:val="bg-BG"/>
        </w:rPr>
        <w:t>речни наводнения (включително езерни), както следва:</w:t>
      </w:r>
      <w:r w:rsidRPr="00610B1B">
        <w:rPr>
          <w:rFonts w:ascii="Times New Roman" w:hAnsi="Times New Roman" w:cs="Times New Roman"/>
          <w:bCs/>
          <w:sz w:val="24"/>
          <w:szCs w:val="24"/>
          <w:lang w:val="bg-BG"/>
        </w:rPr>
        <w:t xml:space="preserve"> р. </w:t>
      </w:r>
      <w:r w:rsidR="008B7C57" w:rsidRPr="00610B1B">
        <w:rPr>
          <w:rFonts w:ascii="Times New Roman" w:hAnsi="Times New Roman" w:cs="Times New Roman"/>
          <w:bCs/>
          <w:sz w:val="24"/>
          <w:szCs w:val="24"/>
          <w:lang w:val="bg-BG"/>
        </w:rPr>
        <w:t xml:space="preserve">Провадийска: 7 броя с дължина 124 </w:t>
      </w:r>
      <w:r w:rsidR="00536709" w:rsidRPr="00610B1B">
        <w:rPr>
          <w:rFonts w:ascii="Times New Roman" w:hAnsi="Times New Roman" w:cs="Times New Roman"/>
          <w:bCs/>
          <w:sz w:val="24"/>
          <w:szCs w:val="24"/>
          <w:lang w:val="bg-BG"/>
        </w:rPr>
        <w:t>km</w:t>
      </w:r>
      <w:r w:rsidRPr="00610B1B">
        <w:rPr>
          <w:rFonts w:ascii="Times New Roman" w:hAnsi="Times New Roman" w:cs="Times New Roman"/>
          <w:bCs/>
          <w:sz w:val="24"/>
          <w:szCs w:val="24"/>
          <w:lang w:val="bg-BG"/>
        </w:rPr>
        <w:t>; р.</w:t>
      </w:r>
      <w:r w:rsidR="008B7C57" w:rsidRPr="00610B1B">
        <w:rPr>
          <w:rFonts w:ascii="Times New Roman" w:hAnsi="Times New Roman" w:cs="Times New Roman"/>
          <w:bCs/>
          <w:sz w:val="24"/>
          <w:szCs w:val="24"/>
          <w:lang w:val="bg-BG"/>
        </w:rPr>
        <w:t xml:space="preserve"> Камчия: 13 броя с дължина 325 </w:t>
      </w:r>
      <w:r w:rsidR="00536709" w:rsidRPr="00610B1B">
        <w:rPr>
          <w:rFonts w:ascii="Times New Roman" w:hAnsi="Times New Roman" w:cs="Times New Roman"/>
          <w:bCs/>
          <w:sz w:val="24"/>
          <w:szCs w:val="24"/>
          <w:lang w:val="bg-BG"/>
        </w:rPr>
        <w:t>km</w:t>
      </w:r>
      <w:r w:rsidRPr="00610B1B">
        <w:rPr>
          <w:rFonts w:ascii="Times New Roman" w:hAnsi="Times New Roman" w:cs="Times New Roman"/>
          <w:bCs/>
          <w:sz w:val="24"/>
          <w:szCs w:val="24"/>
          <w:lang w:val="bg-BG"/>
        </w:rPr>
        <w:t xml:space="preserve">; </w:t>
      </w:r>
      <w:r w:rsidR="008B7C57" w:rsidRPr="00610B1B">
        <w:rPr>
          <w:rFonts w:ascii="Times New Roman" w:hAnsi="Times New Roman" w:cs="Times New Roman"/>
          <w:bCs/>
          <w:sz w:val="24"/>
          <w:szCs w:val="24"/>
          <w:lang w:val="bg-BG"/>
        </w:rPr>
        <w:t xml:space="preserve">Севернобургаски реки: 6 броя с дължина 100 </w:t>
      </w:r>
      <w:r w:rsidR="00536709" w:rsidRPr="00610B1B">
        <w:rPr>
          <w:rFonts w:ascii="Times New Roman" w:hAnsi="Times New Roman" w:cs="Times New Roman"/>
          <w:bCs/>
          <w:sz w:val="24"/>
          <w:szCs w:val="24"/>
          <w:lang w:val="bg-BG"/>
        </w:rPr>
        <w:t>km</w:t>
      </w:r>
      <w:r w:rsidRPr="00610B1B">
        <w:rPr>
          <w:rFonts w:ascii="Times New Roman" w:hAnsi="Times New Roman" w:cs="Times New Roman"/>
          <w:bCs/>
          <w:sz w:val="24"/>
          <w:szCs w:val="24"/>
          <w:lang w:val="bg-BG"/>
        </w:rPr>
        <w:t xml:space="preserve">; </w:t>
      </w:r>
      <w:r w:rsidR="008B7C57" w:rsidRPr="00610B1B">
        <w:rPr>
          <w:rFonts w:ascii="Times New Roman" w:hAnsi="Times New Roman" w:cs="Times New Roman"/>
          <w:bCs/>
          <w:sz w:val="24"/>
          <w:szCs w:val="24"/>
          <w:lang w:val="bg-BG"/>
        </w:rPr>
        <w:t>Мандренски реки: 6 броя с дължина 88</w:t>
      </w:r>
      <w:r w:rsidR="00610177" w:rsidRPr="00610B1B">
        <w:rPr>
          <w:rFonts w:ascii="Times New Roman" w:hAnsi="Times New Roman" w:cs="Times New Roman"/>
          <w:bCs/>
          <w:sz w:val="24"/>
          <w:szCs w:val="24"/>
          <w:lang w:val="bg-BG"/>
        </w:rPr>
        <w:t> </w:t>
      </w:r>
      <w:r w:rsidR="00536709" w:rsidRPr="00610B1B">
        <w:rPr>
          <w:rFonts w:ascii="Times New Roman" w:hAnsi="Times New Roman" w:cs="Times New Roman"/>
          <w:bCs/>
          <w:sz w:val="24"/>
          <w:szCs w:val="24"/>
          <w:lang w:val="bg-BG"/>
        </w:rPr>
        <w:t>km</w:t>
      </w:r>
      <w:r w:rsidRPr="00610B1B">
        <w:rPr>
          <w:rFonts w:ascii="Times New Roman" w:hAnsi="Times New Roman" w:cs="Times New Roman"/>
          <w:bCs/>
          <w:sz w:val="24"/>
          <w:szCs w:val="24"/>
          <w:lang w:val="bg-BG"/>
        </w:rPr>
        <w:t xml:space="preserve">; </w:t>
      </w:r>
      <w:r w:rsidR="008B7C57" w:rsidRPr="00610B1B">
        <w:rPr>
          <w:rFonts w:ascii="Times New Roman" w:hAnsi="Times New Roman" w:cs="Times New Roman"/>
          <w:bCs/>
          <w:sz w:val="24"/>
          <w:szCs w:val="24"/>
          <w:lang w:val="bg-BG"/>
        </w:rPr>
        <w:t xml:space="preserve">Южнобургаски реки: 2 броя с дължина 11 </w:t>
      </w:r>
      <w:r w:rsidR="00536709" w:rsidRPr="00610B1B">
        <w:rPr>
          <w:rFonts w:ascii="Times New Roman" w:hAnsi="Times New Roman" w:cs="Times New Roman"/>
          <w:bCs/>
          <w:sz w:val="24"/>
          <w:szCs w:val="24"/>
          <w:lang w:val="bg-BG"/>
        </w:rPr>
        <w:t>km</w:t>
      </w:r>
      <w:r w:rsidRPr="00610B1B">
        <w:rPr>
          <w:rFonts w:ascii="Times New Roman" w:hAnsi="Times New Roman" w:cs="Times New Roman"/>
          <w:bCs/>
          <w:sz w:val="24"/>
          <w:szCs w:val="24"/>
          <w:lang w:val="bg-BG"/>
        </w:rPr>
        <w:t xml:space="preserve">. </w:t>
      </w:r>
    </w:p>
    <w:p w14:paraId="02FBB9F1" w14:textId="41E872CE" w:rsidR="008B7C57" w:rsidRPr="00610B1B" w:rsidRDefault="008B7C57"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За разработването на морския пространствен план интерес представляват 11-те морски района</w:t>
      </w:r>
      <w:r w:rsidR="000C1420" w:rsidRPr="00610B1B">
        <w:rPr>
          <w:rFonts w:ascii="Times New Roman" w:hAnsi="Times New Roman" w:cs="Times New Roman"/>
          <w:bCs/>
          <w:sz w:val="24"/>
          <w:szCs w:val="24"/>
          <w:lang w:val="bg-BG"/>
        </w:rPr>
        <w:t>, за които са генерирани карти за 1000, 100 и 20 годишна вълна</w:t>
      </w:r>
      <w:r w:rsidR="00BA5F20" w:rsidRPr="00610B1B">
        <w:rPr>
          <w:rFonts w:ascii="Times New Roman" w:hAnsi="Times New Roman" w:cs="Times New Roman"/>
          <w:bCs/>
          <w:sz w:val="24"/>
          <w:szCs w:val="24"/>
          <w:lang w:val="bg-BG"/>
        </w:rPr>
        <w:t>:</w:t>
      </w:r>
    </w:p>
    <w:p w14:paraId="0E1906DB" w14:textId="4979B5E6" w:rsidR="008B7C57" w:rsidRPr="00610B1B" w:rsidRDefault="008B7C57" w:rsidP="00B46189">
      <w:pPr>
        <w:pStyle w:val="ListParagraph"/>
        <w:numPr>
          <w:ilvl w:val="0"/>
          <w:numId w:val="8"/>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lastRenderedPageBreak/>
        <w:t xml:space="preserve">BG02_APSFR_BS_01 – Черно море – Дуранкулак </w:t>
      </w:r>
      <w:r w:rsidR="00A61A4E" w:rsidRPr="00610B1B">
        <w:rPr>
          <w:rFonts w:ascii="Times New Roman" w:hAnsi="Times New Roman" w:cs="Times New Roman"/>
          <w:bCs/>
          <w:sz w:val="24"/>
          <w:szCs w:val="24"/>
          <w:lang w:val="bg-BG"/>
        </w:rPr>
        <w:t xml:space="preserve">– </w:t>
      </w:r>
      <w:r w:rsidR="000C1420" w:rsidRPr="00610B1B">
        <w:rPr>
          <w:rFonts w:ascii="Times New Roman" w:hAnsi="Times New Roman" w:cs="Times New Roman"/>
          <w:bCs/>
          <w:sz w:val="24"/>
          <w:szCs w:val="24"/>
          <w:lang w:val="bg-BG"/>
        </w:rPr>
        <w:t>Особено уязвимо е с.</w:t>
      </w:r>
      <w:r w:rsidR="00A61A4E" w:rsidRPr="00610B1B">
        <w:rPr>
          <w:rFonts w:ascii="Times New Roman" w:hAnsi="Times New Roman" w:cs="Times New Roman"/>
          <w:bCs/>
          <w:sz w:val="24"/>
          <w:szCs w:val="24"/>
          <w:lang w:val="bg-BG"/>
        </w:rPr>
        <w:t> </w:t>
      </w:r>
      <w:r w:rsidR="000C1420" w:rsidRPr="00610B1B">
        <w:rPr>
          <w:rFonts w:ascii="Times New Roman" w:hAnsi="Times New Roman" w:cs="Times New Roman"/>
          <w:bCs/>
          <w:sz w:val="24"/>
          <w:szCs w:val="24"/>
          <w:lang w:val="bg-BG"/>
        </w:rPr>
        <w:t>Дуранкулак. Заплаха е установена и за ресторант до брегозащитна каменно-насипна дамба защитаваща къмпинг „Дуранку</w:t>
      </w:r>
      <w:r w:rsidR="00BA5F20" w:rsidRPr="00610B1B">
        <w:rPr>
          <w:rFonts w:ascii="Times New Roman" w:hAnsi="Times New Roman" w:cs="Times New Roman"/>
          <w:bCs/>
          <w:sz w:val="24"/>
          <w:szCs w:val="24"/>
          <w:lang w:val="bg-BG"/>
        </w:rPr>
        <w:t xml:space="preserve">лак“ от абразия. И трите блата </w:t>
      </w:r>
      <w:r w:rsidR="000C1420" w:rsidRPr="00610B1B">
        <w:rPr>
          <w:rFonts w:ascii="Times New Roman" w:hAnsi="Times New Roman" w:cs="Times New Roman"/>
          <w:bCs/>
          <w:sz w:val="24"/>
          <w:szCs w:val="24"/>
          <w:lang w:val="bg-BG"/>
        </w:rPr>
        <w:t xml:space="preserve">Блатата, Карталийско </w:t>
      </w:r>
      <w:r w:rsidR="00BA5F20" w:rsidRPr="00610B1B">
        <w:rPr>
          <w:rFonts w:ascii="Times New Roman" w:hAnsi="Times New Roman" w:cs="Times New Roman"/>
          <w:bCs/>
          <w:sz w:val="24"/>
          <w:szCs w:val="24"/>
          <w:lang w:val="bg-BG"/>
        </w:rPr>
        <w:t xml:space="preserve">и </w:t>
      </w:r>
      <w:r w:rsidR="000C1420" w:rsidRPr="00610B1B">
        <w:rPr>
          <w:rFonts w:ascii="Times New Roman" w:hAnsi="Times New Roman" w:cs="Times New Roman"/>
          <w:bCs/>
          <w:sz w:val="24"/>
          <w:szCs w:val="24"/>
          <w:lang w:val="bg-BG"/>
        </w:rPr>
        <w:t>Дуранкулашко са</w:t>
      </w:r>
      <w:r w:rsidR="00D66FE0" w:rsidRPr="00610B1B">
        <w:rPr>
          <w:rFonts w:ascii="Times New Roman" w:hAnsi="Times New Roman" w:cs="Times New Roman"/>
          <w:bCs/>
          <w:sz w:val="24"/>
          <w:szCs w:val="24"/>
          <w:lang w:val="bg-BG"/>
        </w:rPr>
        <w:t xml:space="preserve"> </w:t>
      </w:r>
      <w:r w:rsidR="000C1420" w:rsidRPr="00610B1B">
        <w:rPr>
          <w:rFonts w:ascii="Times New Roman" w:hAnsi="Times New Roman" w:cs="Times New Roman"/>
          <w:bCs/>
          <w:sz w:val="24"/>
          <w:szCs w:val="24"/>
          <w:lang w:val="bg-BG"/>
        </w:rPr>
        <w:t xml:space="preserve">хидравлично свързани с морето и въздействието на солената вода </w:t>
      </w:r>
      <w:r w:rsidR="00BA5F20" w:rsidRPr="00610B1B">
        <w:rPr>
          <w:rFonts w:ascii="Times New Roman" w:hAnsi="Times New Roman" w:cs="Times New Roman"/>
          <w:bCs/>
          <w:sz w:val="24"/>
          <w:szCs w:val="24"/>
          <w:lang w:val="bg-BG"/>
        </w:rPr>
        <w:t>при</w:t>
      </w:r>
      <w:r w:rsidR="000C1420" w:rsidRPr="00610B1B">
        <w:rPr>
          <w:rFonts w:ascii="Times New Roman" w:hAnsi="Times New Roman" w:cs="Times New Roman"/>
          <w:bCs/>
          <w:sz w:val="24"/>
          <w:szCs w:val="24"/>
          <w:lang w:val="bg-BG"/>
        </w:rPr>
        <w:t xml:space="preserve"> наводнение не би оказало неприемливо екологично въздействие.</w:t>
      </w:r>
      <w:r w:rsidR="000C1420" w:rsidRPr="00610B1B">
        <w:rPr>
          <w:rFonts w:ascii="Times New Roman" w:hAnsi="Times New Roman" w:cs="Times New Roman"/>
          <w:lang w:val="bg-BG"/>
        </w:rPr>
        <w:t xml:space="preserve"> </w:t>
      </w:r>
    </w:p>
    <w:p w14:paraId="7128AACB" w14:textId="02045E4C" w:rsidR="008B7C57" w:rsidRPr="00610B1B" w:rsidRDefault="008B7C57" w:rsidP="00B46189">
      <w:pPr>
        <w:pStyle w:val="ListParagraph"/>
        <w:numPr>
          <w:ilvl w:val="0"/>
          <w:numId w:val="8"/>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BG02_APSFR_BS_02 – Черно море – Шабла</w:t>
      </w:r>
      <w:r w:rsidR="000C1420" w:rsidRPr="00610B1B">
        <w:rPr>
          <w:rFonts w:ascii="Times New Roman" w:hAnsi="Times New Roman" w:cs="Times New Roman"/>
          <w:bCs/>
          <w:sz w:val="24"/>
          <w:szCs w:val="24"/>
          <w:lang w:val="bg-BG"/>
        </w:rPr>
        <w:t xml:space="preserve"> - Особено уязвимо населено място е гр. Шабла. Установена е заплаха за резиденция и две двуетажни вили край плажа</w:t>
      </w:r>
      <w:r w:rsidR="001A0866" w:rsidRPr="00610B1B">
        <w:rPr>
          <w:rFonts w:ascii="Times New Roman" w:hAnsi="Times New Roman" w:cs="Times New Roman"/>
          <w:bCs/>
          <w:sz w:val="24"/>
          <w:szCs w:val="24"/>
          <w:lang w:val="bg-BG"/>
        </w:rPr>
        <w:t xml:space="preserve"> и някои о</w:t>
      </w:r>
      <w:r w:rsidR="000C1420" w:rsidRPr="00610B1B">
        <w:rPr>
          <w:rFonts w:ascii="Times New Roman" w:hAnsi="Times New Roman" w:cs="Times New Roman"/>
          <w:bCs/>
          <w:sz w:val="24"/>
          <w:szCs w:val="24"/>
          <w:lang w:val="bg-BG"/>
        </w:rPr>
        <w:t>зеле</w:t>
      </w:r>
      <w:r w:rsidR="001A0866" w:rsidRPr="00610B1B">
        <w:rPr>
          <w:rFonts w:ascii="Times New Roman" w:hAnsi="Times New Roman" w:cs="Times New Roman"/>
          <w:bCs/>
          <w:sz w:val="24"/>
          <w:szCs w:val="24"/>
          <w:lang w:val="bg-BG"/>
        </w:rPr>
        <w:t>не</w:t>
      </w:r>
      <w:r w:rsidR="00BA5F20" w:rsidRPr="00610B1B">
        <w:rPr>
          <w:rFonts w:ascii="Times New Roman" w:hAnsi="Times New Roman" w:cs="Times New Roman"/>
          <w:bCs/>
          <w:sz w:val="24"/>
          <w:szCs w:val="24"/>
          <w:lang w:val="bg-BG"/>
        </w:rPr>
        <w:t xml:space="preserve">ни територии край </w:t>
      </w:r>
      <w:r w:rsidR="000C1420" w:rsidRPr="00610B1B">
        <w:rPr>
          <w:rFonts w:ascii="Times New Roman" w:hAnsi="Times New Roman" w:cs="Times New Roman"/>
          <w:bCs/>
          <w:sz w:val="24"/>
          <w:szCs w:val="24"/>
          <w:lang w:val="bg-BG"/>
        </w:rPr>
        <w:t>Шабленско</w:t>
      </w:r>
      <w:r w:rsidR="00BA5F20" w:rsidRPr="00610B1B">
        <w:rPr>
          <w:rFonts w:ascii="Times New Roman" w:hAnsi="Times New Roman" w:cs="Times New Roman"/>
          <w:bCs/>
          <w:sz w:val="24"/>
          <w:szCs w:val="24"/>
          <w:lang w:val="bg-BG"/>
        </w:rPr>
        <w:t>то</w:t>
      </w:r>
      <w:r w:rsidR="000C1420" w:rsidRPr="00610B1B">
        <w:rPr>
          <w:rFonts w:ascii="Times New Roman" w:hAnsi="Times New Roman" w:cs="Times New Roman"/>
          <w:bCs/>
          <w:sz w:val="24"/>
          <w:szCs w:val="24"/>
          <w:lang w:val="bg-BG"/>
        </w:rPr>
        <w:t xml:space="preserve"> езеро. </w:t>
      </w:r>
    </w:p>
    <w:p w14:paraId="402D172C" w14:textId="6ADDE28C" w:rsidR="008B7C57" w:rsidRPr="00610B1B" w:rsidRDefault="008B7C57" w:rsidP="00B46189">
      <w:pPr>
        <w:pStyle w:val="ListParagraph"/>
        <w:numPr>
          <w:ilvl w:val="0"/>
          <w:numId w:val="8"/>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BG02_APSFR_BS_03 – Черно море – Балчик</w:t>
      </w:r>
      <w:r w:rsidR="001A0866" w:rsidRPr="00610B1B">
        <w:rPr>
          <w:rFonts w:ascii="Times New Roman" w:hAnsi="Times New Roman" w:cs="Times New Roman"/>
          <w:bCs/>
          <w:sz w:val="24"/>
          <w:szCs w:val="24"/>
          <w:lang w:val="bg-BG"/>
        </w:rPr>
        <w:t xml:space="preserve"> </w:t>
      </w:r>
      <w:r w:rsidR="0025348F" w:rsidRPr="00610B1B">
        <w:rPr>
          <w:rFonts w:ascii="Times New Roman" w:hAnsi="Times New Roman" w:cs="Times New Roman"/>
          <w:bCs/>
          <w:sz w:val="24"/>
          <w:szCs w:val="24"/>
          <w:lang w:val="bg-BG"/>
        </w:rPr>
        <w:t>-</w:t>
      </w:r>
      <w:r w:rsidR="001A0866" w:rsidRPr="00610B1B">
        <w:rPr>
          <w:rFonts w:ascii="Times New Roman" w:hAnsi="Times New Roman" w:cs="Times New Roman"/>
          <w:bCs/>
          <w:sz w:val="24"/>
          <w:szCs w:val="24"/>
          <w:lang w:val="bg-BG"/>
        </w:rPr>
        <w:t xml:space="preserve"> Уязвими населени места са гр. Балчик, к.к. „Албена”, с. Кранево. Цялото крайбрежие на Балчик е защитено с брегозащитна и вълнозащитна каменно-насипна дамба и система от буни, което изключва необходимостта от нови </w:t>
      </w:r>
      <w:r w:rsidR="00686CE6" w:rsidRPr="00610B1B">
        <w:rPr>
          <w:rFonts w:ascii="Times New Roman" w:hAnsi="Times New Roman" w:cs="Times New Roman"/>
          <w:bCs/>
          <w:sz w:val="24"/>
          <w:szCs w:val="24"/>
          <w:lang w:val="bg-BG"/>
        </w:rPr>
        <w:t>съоръжения</w:t>
      </w:r>
      <w:r w:rsidR="001A0866" w:rsidRPr="00610B1B">
        <w:rPr>
          <w:rFonts w:ascii="Times New Roman" w:hAnsi="Times New Roman" w:cs="Times New Roman"/>
          <w:bCs/>
          <w:sz w:val="24"/>
          <w:szCs w:val="24"/>
          <w:lang w:val="bg-BG"/>
        </w:rPr>
        <w:t>.</w:t>
      </w:r>
    </w:p>
    <w:p w14:paraId="1CDEBC57" w14:textId="0CE6A2C4" w:rsidR="008B7C57" w:rsidRPr="00610B1B" w:rsidRDefault="008B7C57" w:rsidP="00B46189">
      <w:pPr>
        <w:pStyle w:val="ListParagraph"/>
        <w:numPr>
          <w:ilvl w:val="0"/>
          <w:numId w:val="8"/>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BG02_APSFR_BS_04 – Черно море – Варна</w:t>
      </w:r>
      <w:r w:rsidR="001A0866" w:rsidRPr="00610B1B">
        <w:rPr>
          <w:rFonts w:ascii="Times New Roman" w:hAnsi="Times New Roman" w:cs="Times New Roman"/>
          <w:bCs/>
          <w:sz w:val="24"/>
          <w:szCs w:val="24"/>
          <w:lang w:val="bg-BG"/>
        </w:rPr>
        <w:t xml:space="preserve"> - Особено уязвими населени места са гр. Варна, с. Казашко, с. Езерово и с. Страшимирово.</w:t>
      </w:r>
    </w:p>
    <w:p w14:paraId="27EC28C7" w14:textId="69D6A517" w:rsidR="008B7C57" w:rsidRPr="00610B1B" w:rsidRDefault="008B7C57" w:rsidP="00B46189">
      <w:pPr>
        <w:pStyle w:val="ListParagraph"/>
        <w:numPr>
          <w:ilvl w:val="0"/>
          <w:numId w:val="8"/>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BG02_APSFR_BS_05 – Черно море – Обзор</w:t>
      </w:r>
      <w:r w:rsidR="001A0866" w:rsidRPr="00610B1B">
        <w:rPr>
          <w:rFonts w:ascii="Times New Roman" w:hAnsi="Times New Roman" w:cs="Times New Roman"/>
          <w:bCs/>
          <w:sz w:val="24"/>
          <w:szCs w:val="24"/>
          <w:lang w:val="bg-BG"/>
        </w:rPr>
        <w:t xml:space="preserve"> - Реките Панаирдере и Двойница са некоригирани. Деретата, вливащи се в морето, са некоригирани и обрасли с дървета и храсти. </w:t>
      </w:r>
      <w:r w:rsidR="004D506A" w:rsidRPr="00610B1B">
        <w:rPr>
          <w:rFonts w:ascii="Times New Roman" w:hAnsi="Times New Roman" w:cs="Times New Roman"/>
          <w:bCs/>
          <w:sz w:val="24"/>
          <w:szCs w:val="24"/>
          <w:lang w:val="bg-BG"/>
        </w:rPr>
        <w:t xml:space="preserve">Особено </w:t>
      </w:r>
      <w:r w:rsidR="001A0866" w:rsidRPr="00610B1B">
        <w:rPr>
          <w:rFonts w:ascii="Times New Roman" w:hAnsi="Times New Roman" w:cs="Times New Roman"/>
          <w:bCs/>
          <w:sz w:val="24"/>
          <w:szCs w:val="24"/>
          <w:lang w:val="bg-BG"/>
        </w:rPr>
        <w:t>уязвимо населено място е гр. Обзор.</w:t>
      </w:r>
    </w:p>
    <w:p w14:paraId="29E52599" w14:textId="7CBEF9A5" w:rsidR="008B7C57" w:rsidRPr="00610B1B" w:rsidRDefault="008B7C57" w:rsidP="00B46189">
      <w:pPr>
        <w:pStyle w:val="ListParagraph"/>
        <w:numPr>
          <w:ilvl w:val="0"/>
          <w:numId w:val="8"/>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BG02_APSFR_BS_06 – Черно море – Несебър</w:t>
      </w:r>
      <w:r w:rsidR="001A0866" w:rsidRPr="00610B1B">
        <w:rPr>
          <w:rFonts w:ascii="Times New Roman" w:hAnsi="Times New Roman" w:cs="Times New Roman"/>
          <w:bCs/>
          <w:sz w:val="24"/>
          <w:szCs w:val="24"/>
          <w:lang w:val="bg-BG"/>
        </w:rPr>
        <w:t xml:space="preserve"> - Особено уязвими населени места са к.к. Слънчев бряг, гр. Несебър, с. Равда и с. Ахелой, или почти целия</w:t>
      </w:r>
      <w:r w:rsidR="004D506A" w:rsidRPr="00610B1B">
        <w:rPr>
          <w:rFonts w:ascii="Times New Roman" w:hAnsi="Times New Roman" w:cs="Times New Roman"/>
          <w:bCs/>
          <w:sz w:val="24"/>
          <w:szCs w:val="24"/>
          <w:lang w:val="bg-BG"/>
        </w:rPr>
        <w:t>т</w:t>
      </w:r>
      <w:r w:rsidR="001A0866" w:rsidRPr="00610B1B">
        <w:rPr>
          <w:rFonts w:ascii="Times New Roman" w:hAnsi="Times New Roman" w:cs="Times New Roman"/>
          <w:bCs/>
          <w:sz w:val="24"/>
          <w:szCs w:val="24"/>
          <w:lang w:val="bg-BG"/>
        </w:rPr>
        <w:t xml:space="preserve"> участък в тази рискова зона.</w:t>
      </w:r>
    </w:p>
    <w:p w14:paraId="56E0271D" w14:textId="6826CFD9" w:rsidR="008B7C57" w:rsidRPr="00610B1B" w:rsidRDefault="008B7C57" w:rsidP="00B46189">
      <w:pPr>
        <w:pStyle w:val="ListParagraph"/>
        <w:numPr>
          <w:ilvl w:val="0"/>
          <w:numId w:val="8"/>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BG02_APSFR_BS_07 – Черно море – Бургас</w:t>
      </w:r>
      <w:r w:rsidR="001A0866" w:rsidRPr="00610B1B">
        <w:rPr>
          <w:rFonts w:ascii="Times New Roman" w:hAnsi="Times New Roman" w:cs="Times New Roman"/>
          <w:bCs/>
          <w:sz w:val="24"/>
          <w:szCs w:val="24"/>
          <w:lang w:val="bg-BG"/>
        </w:rPr>
        <w:t xml:space="preserve"> </w:t>
      </w:r>
      <w:r w:rsidR="0025348F" w:rsidRPr="00610B1B">
        <w:rPr>
          <w:rFonts w:ascii="Times New Roman" w:hAnsi="Times New Roman" w:cs="Times New Roman"/>
          <w:bCs/>
          <w:sz w:val="24"/>
          <w:szCs w:val="24"/>
          <w:lang w:val="bg-BG"/>
        </w:rPr>
        <w:t>-</w:t>
      </w:r>
      <w:r w:rsidR="001A0866" w:rsidRPr="00610B1B">
        <w:rPr>
          <w:rFonts w:ascii="Times New Roman" w:hAnsi="Times New Roman" w:cs="Times New Roman"/>
          <w:bCs/>
          <w:sz w:val="24"/>
          <w:szCs w:val="24"/>
          <w:lang w:val="bg-BG"/>
        </w:rPr>
        <w:t xml:space="preserve"> Особено уязвими са градовете Бургас и Поморие и най-вече някои от ниско разположените им квартали. </w:t>
      </w:r>
    </w:p>
    <w:p w14:paraId="704956C7" w14:textId="0491F636" w:rsidR="008B7C57" w:rsidRPr="00610B1B" w:rsidRDefault="008B7C57" w:rsidP="00B46189">
      <w:pPr>
        <w:pStyle w:val="ListParagraph"/>
        <w:numPr>
          <w:ilvl w:val="0"/>
          <w:numId w:val="8"/>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BG02_APSFR_BS_08 – Черно море – Созопол</w:t>
      </w:r>
      <w:r w:rsidR="001A0866" w:rsidRPr="00610B1B">
        <w:rPr>
          <w:rFonts w:ascii="Times New Roman" w:hAnsi="Times New Roman" w:cs="Times New Roman"/>
          <w:bCs/>
          <w:sz w:val="24"/>
          <w:szCs w:val="24"/>
          <w:lang w:val="bg-BG"/>
        </w:rPr>
        <w:t xml:space="preserve"> </w:t>
      </w:r>
      <w:r w:rsidR="0025348F" w:rsidRPr="00610B1B">
        <w:rPr>
          <w:rFonts w:ascii="Times New Roman" w:hAnsi="Times New Roman" w:cs="Times New Roman"/>
          <w:bCs/>
          <w:sz w:val="24"/>
          <w:szCs w:val="24"/>
          <w:lang w:val="bg-BG"/>
        </w:rPr>
        <w:t>-</w:t>
      </w:r>
      <w:r w:rsidR="001A0866" w:rsidRPr="00610B1B">
        <w:rPr>
          <w:rFonts w:ascii="Times New Roman" w:hAnsi="Times New Roman" w:cs="Times New Roman"/>
          <w:bCs/>
          <w:sz w:val="24"/>
          <w:szCs w:val="24"/>
          <w:lang w:val="bg-BG"/>
        </w:rPr>
        <w:t xml:space="preserve"> Най-застрашен е гр. Созопол, а при най-</w:t>
      </w:r>
      <w:r w:rsidR="00686CE6" w:rsidRPr="00610B1B">
        <w:rPr>
          <w:rFonts w:ascii="Times New Roman" w:hAnsi="Times New Roman" w:cs="Times New Roman"/>
          <w:bCs/>
          <w:sz w:val="24"/>
          <w:szCs w:val="24"/>
          <w:lang w:val="bg-BG"/>
        </w:rPr>
        <w:t>песимистичния</w:t>
      </w:r>
      <w:r w:rsidR="001A0866" w:rsidRPr="00610B1B">
        <w:rPr>
          <w:rFonts w:ascii="Times New Roman" w:hAnsi="Times New Roman" w:cs="Times New Roman"/>
          <w:bCs/>
          <w:sz w:val="24"/>
          <w:szCs w:val="24"/>
          <w:lang w:val="bg-BG"/>
        </w:rPr>
        <w:t xml:space="preserve"> сценарий, освен жилищни, хотелски и обществени сгради, биха пострадали и археологически разкопки и културни ценности. </w:t>
      </w:r>
    </w:p>
    <w:p w14:paraId="489308ED" w14:textId="17374E2A" w:rsidR="008B7C57" w:rsidRPr="00610B1B" w:rsidRDefault="008B7C57" w:rsidP="00B46189">
      <w:pPr>
        <w:pStyle w:val="ListParagraph"/>
        <w:numPr>
          <w:ilvl w:val="0"/>
          <w:numId w:val="8"/>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BG02_APSFR_BS_09 – Черно море – Приморско</w:t>
      </w:r>
      <w:r w:rsidR="00C509CC" w:rsidRPr="00610B1B">
        <w:rPr>
          <w:rFonts w:ascii="Times New Roman" w:hAnsi="Times New Roman" w:cs="Times New Roman"/>
          <w:bCs/>
          <w:sz w:val="24"/>
          <w:szCs w:val="24"/>
          <w:lang w:val="bg-BG"/>
        </w:rPr>
        <w:t xml:space="preserve"> - Особено уязвими населени места са гр. Приморско, гр. Китен и с. Лозенец, а при най-</w:t>
      </w:r>
      <w:r w:rsidR="00686CE6" w:rsidRPr="00610B1B">
        <w:rPr>
          <w:rFonts w:ascii="Times New Roman" w:hAnsi="Times New Roman" w:cs="Times New Roman"/>
          <w:bCs/>
          <w:sz w:val="24"/>
          <w:szCs w:val="24"/>
          <w:lang w:val="bg-BG"/>
        </w:rPr>
        <w:t>песимистичния</w:t>
      </w:r>
      <w:r w:rsidR="00C509CC" w:rsidRPr="00610B1B">
        <w:rPr>
          <w:rFonts w:ascii="Times New Roman" w:hAnsi="Times New Roman" w:cs="Times New Roman"/>
          <w:bCs/>
          <w:sz w:val="24"/>
          <w:szCs w:val="24"/>
          <w:lang w:val="bg-BG"/>
        </w:rPr>
        <w:t xml:space="preserve"> сценарий при 1000 годишната вълна е възможно да бъде застрашено и летището край Приморско. </w:t>
      </w:r>
    </w:p>
    <w:p w14:paraId="4BCA5705" w14:textId="7CF22A7F" w:rsidR="008B7C57" w:rsidRPr="00610B1B" w:rsidRDefault="008B7C57" w:rsidP="00B46189">
      <w:pPr>
        <w:pStyle w:val="ListParagraph"/>
        <w:numPr>
          <w:ilvl w:val="0"/>
          <w:numId w:val="8"/>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BG02_APSFR_BS_10 – Черно море – Царево</w:t>
      </w:r>
      <w:r w:rsidR="00C509CC" w:rsidRPr="00610B1B">
        <w:rPr>
          <w:rFonts w:ascii="Times New Roman" w:hAnsi="Times New Roman" w:cs="Times New Roman"/>
          <w:bCs/>
          <w:sz w:val="24"/>
          <w:szCs w:val="24"/>
          <w:lang w:val="bg-BG"/>
        </w:rPr>
        <w:t xml:space="preserve"> - Особено уязвимо населено място е гр. Царево.</w:t>
      </w:r>
    </w:p>
    <w:p w14:paraId="2C793C60" w14:textId="54EE18D6" w:rsidR="008B7C57" w:rsidRPr="00610B1B" w:rsidRDefault="008B7C57" w:rsidP="00B46189">
      <w:pPr>
        <w:pStyle w:val="ListParagraph"/>
        <w:numPr>
          <w:ilvl w:val="0"/>
          <w:numId w:val="8"/>
        </w:numPr>
        <w:spacing w:after="120"/>
        <w:ind w:right="-153"/>
        <w:contextualSpacing w:val="0"/>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BG02_APSFR_BS_11 – Черно море – Ахтопол</w:t>
      </w:r>
      <w:r w:rsidR="00C509CC" w:rsidRPr="00610B1B">
        <w:rPr>
          <w:rFonts w:ascii="Times New Roman" w:hAnsi="Times New Roman" w:cs="Times New Roman"/>
          <w:bCs/>
          <w:sz w:val="24"/>
          <w:szCs w:val="24"/>
          <w:lang w:val="bg-BG"/>
        </w:rPr>
        <w:t xml:space="preserve"> </w:t>
      </w:r>
      <w:r w:rsidR="0025348F" w:rsidRPr="00610B1B">
        <w:rPr>
          <w:rFonts w:ascii="Times New Roman" w:hAnsi="Times New Roman" w:cs="Times New Roman"/>
          <w:bCs/>
          <w:sz w:val="24"/>
          <w:szCs w:val="24"/>
          <w:lang w:val="bg-BG"/>
        </w:rPr>
        <w:t>-</w:t>
      </w:r>
      <w:r w:rsidR="00C509CC" w:rsidRPr="00610B1B">
        <w:rPr>
          <w:rFonts w:ascii="Times New Roman" w:hAnsi="Times New Roman" w:cs="Times New Roman"/>
          <w:bCs/>
          <w:sz w:val="24"/>
          <w:szCs w:val="24"/>
          <w:lang w:val="bg-BG"/>
        </w:rPr>
        <w:t xml:space="preserve"> Районът е с най-малко засегнати площи и при песимистич</w:t>
      </w:r>
      <w:r w:rsidR="00903F05" w:rsidRPr="00610B1B">
        <w:rPr>
          <w:rFonts w:ascii="Times New Roman" w:hAnsi="Times New Roman" w:cs="Times New Roman"/>
          <w:bCs/>
          <w:sz w:val="24"/>
          <w:szCs w:val="24"/>
          <w:lang w:val="bg-BG"/>
        </w:rPr>
        <w:t>е</w:t>
      </w:r>
      <w:r w:rsidR="00C509CC" w:rsidRPr="00610B1B">
        <w:rPr>
          <w:rFonts w:ascii="Times New Roman" w:hAnsi="Times New Roman" w:cs="Times New Roman"/>
          <w:bCs/>
          <w:sz w:val="24"/>
          <w:szCs w:val="24"/>
          <w:lang w:val="bg-BG"/>
        </w:rPr>
        <w:t>н сценарий. Особено уязвимо населено място е гр. Ахтопол.</w:t>
      </w:r>
    </w:p>
    <w:p w14:paraId="598AB130" w14:textId="7EF4631C" w:rsidR="008B7C57" w:rsidRPr="00610B1B" w:rsidRDefault="008B7C57"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sz w:val="24"/>
          <w:szCs w:val="24"/>
          <w:lang w:val="bg-BG"/>
        </w:rPr>
        <w:t xml:space="preserve">Съгласно утвърдения от Министъра на околната среда и водите </w:t>
      </w:r>
      <w:r w:rsidR="00536709" w:rsidRPr="00610B1B">
        <w:rPr>
          <w:rFonts w:ascii="Times New Roman" w:hAnsi="Times New Roman" w:cs="Times New Roman"/>
          <w:sz w:val="24"/>
          <w:szCs w:val="24"/>
          <w:lang w:val="bg-BG"/>
        </w:rPr>
        <w:t xml:space="preserve">списък на </w:t>
      </w:r>
      <w:r w:rsidRPr="00610B1B">
        <w:rPr>
          <w:rFonts w:ascii="Times New Roman" w:hAnsi="Times New Roman" w:cs="Times New Roman"/>
          <w:sz w:val="24"/>
          <w:szCs w:val="24"/>
          <w:lang w:val="bg-BG"/>
        </w:rPr>
        <w:t xml:space="preserve">реките, подлежащи на изследване на заплаха от морски наводнения, </w:t>
      </w:r>
      <w:r w:rsidR="00536709" w:rsidRPr="00610B1B">
        <w:rPr>
          <w:rFonts w:ascii="Times New Roman" w:hAnsi="Times New Roman" w:cs="Times New Roman"/>
          <w:sz w:val="24"/>
          <w:szCs w:val="24"/>
          <w:lang w:val="bg-BG"/>
        </w:rPr>
        <w:t>в него попадат</w:t>
      </w:r>
      <w:r w:rsidR="00903F05" w:rsidRPr="00610B1B">
        <w:rPr>
          <w:rFonts w:ascii="Times New Roman" w:hAnsi="Times New Roman" w:cs="Times New Roman"/>
          <w:sz w:val="24"/>
          <w:szCs w:val="24"/>
          <w:lang w:val="bg-BG"/>
        </w:rPr>
        <w:t xml:space="preserve"> </w:t>
      </w:r>
      <w:r w:rsidRPr="00610B1B">
        <w:rPr>
          <w:rFonts w:ascii="Times New Roman" w:hAnsi="Times New Roman" w:cs="Times New Roman"/>
          <w:bCs/>
          <w:sz w:val="24"/>
          <w:szCs w:val="24"/>
          <w:lang w:val="bg-BG"/>
        </w:rPr>
        <w:t xml:space="preserve">р. Батовска </w:t>
      </w:r>
      <w:r w:rsidR="00903F05"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BG2_APSFR_BS_03</w:t>
      </w:r>
      <w:r w:rsidR="00903F05"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р.</w:t>
      </w:r>
      <w:r w:rsidR="00A61A4E" w:rsidRPr="00610B1B">
        <w:rPr>
          <w:rFonts w:ascii="Times New Roman" w:hAnsi="Times New Roman" w:cs="Times New Roman"/>
          <w:bCs/>
          <w:sz w:val="24"/>
          <w:szCs w:val="24"/>
          <w:lang w:val="bg-BG"/>
        </w:rPr>
        <w:t> </w:t>
      </w:r>
      <w:r w:rsidRPr="00610B1B">
        <w:rPr>
          <w:rFonts w:ascii="Times New Roman" w:hAnsi="Times New Roman" w:cs="Times New Roman"/>
          <w:bCs/>
          <w:sz w:val="24"/>
          <w:szCs w:val="24"/>
          <w:lang w:val="bg-BG"/>
        </w:rPr>
        <w:t xml:space="preserve">Панаирдере </w:t>
      </w:r>
      <w:r w:rsidR="00903F05"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BG2_APSFR_BS_05</w:t>
      </w:r>
      <w:r w:rsidR="00903F05"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р.</w:t>
      </w:r>
      <w:r w:rsidR="00A61A4E" w:rsidRPr="00610B1B">
        <w:rPr>
          <w:rFonts w:ascii="Times New Roman" w:hAnsi="Times New Roman" w:cs="Times New Roman"/>
          <w:bCs/>
          <w:sz w:val="24"/>
          <w:szCs w:val="24"/>
          <w:lang w:val="bg-BG"/>
        </w:rPr>
        <w:t> </w:t>
      </w:r>
      <w:r w:rsidRPr="00610B1B">
        <w:rPr>
          <w:rFonts w:ascii="Times New Roman" w:hAnsi="Times New Roman" w:cs="Times New Roman"/>
          <w:bCs/>
          <w:sz w:val="24"/>
          <w:szCs w:val="24"/>
          <w:lang w:val="bg-BG"/>
        </w:rPr>
        <w:t>Двойница</w:t>
      </w:r>
      <w:r w:rsidR="00903F05"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BG2_APSFR_BS_05</w:t>
      </w:r>
      <w:r w:rsidR="00903F05"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р.</w:t>
      </w:r>
      <w:r w:rsidR="00A61A4E" w:rsidRPr="00610B1B">
        <w:rPr>
          <w:rFonts w:ascii="Times New Roman" w:hAnsi="Times New Roman" w:cs="Times New Roman"/>
          <w:bCs/>
          <w:sz w:val="24"/>
          <w:szCs w:val="24"/>
          <w:lang w:val="bg-BG"/>
        </w:rPr>
        <w:t> </w:t>
      </w:r>
      <w:r w:rsidRPr="00610B1B">
        <w:rPr>
          <w:rFonts w:ascii="Times New Roman" w:hAnsi="Times New Roman" w:cs="Times New Roman"/>
          <w:bCs/>
          <w:sz w:val="24"/>
          <w:szCs w:val="24"/>
          <w:lang w:val="bg-BG"/>
        </w:rPr>
        <w:t xml:space="preserve">Хаджидере </w:t>
      </w:r>
      <w:r w:rsidR="00903F05"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BG2_APSFR_BS_06</w:t>
      </w:r>
      <w:r w:rsidR="00903F05"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р.</w:t>
      </w:r>
      <w:r w:rsidR="00A61A4E" w:rsidRPr="00610B1B">
        <w:rPr>
          <w:rFonts w:ascii="Times New Roman" w:hAnsi="Times New Roman" w:cs="Times New Roman"/>
          <w:bCs/>
          <w:sz w:val="24"/>
          <w:szCs w:val="24"/>
          <w:lang w:val="bg-BG"/>
        </w:rPr>
        <w:t> </w:t>
      </w:r>
      <w:r w:rsidRPr="00610B1B">
        <w:rPr>
          <w:rFonts w:ascii="Times New Roman" w:hAnsi="Times New Roman" w:cs="Times New Roman"/>
          <w:bCs/>
          <w:sz w:val="24"/>
          <w:szCs w:val="24"/>
          <w:lang w:val="bg-BG"/>
        </w:rPr>
        <w:t xml:space="preserve">Ахелой </w:t>
      </w:r>
      <w:r w:rsidR="00903F05" w:rsidRPr="00610B1B">
        <w:rPr>
          <w:rFonts w:ascii="Times New Roman" w:hAnsi="Times New Roman" w:cs="Times New Roman"/>
          <w:bCs/>
          <w:sz w:val="24"/>
          <w:szCs w:val="24"/>
          <w:lang w:val="bg-BG"/>
        </w:rPr>
        <w:lastRenderedPageBreak/>
        <w:t>(</w:t>
      </w:r>
      <w:r w:rsidRPr="00610B1B">
        <w:rPr>
          <w:rFonts w:ascii="Times New Roman" w:hAnsi="Times New Roman" w:cs="Times New Roman"/>
          <w:bCs/>
          <w:sz w:val="24"/>
          <w:szCs w:val="24"/>
          <w:lang w:val="bg-BG"/>
        </w:rPr>
        <w:t>BG2_APSFR_BS_06</w:t>
      </w:r>
      <w:r w:rsidR="00903F05"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р.</w:t>
      </w:r>
      <w:r w:rsidR="00A61A4E" w:rsidRPr="00610B1B">
        <w:rPr>
          <w:rFonts w:ascii="Times New Roman" w:hAnsi="Times New Roman" w:cs="Times New Roman"/>
          <w:bCs/>
          <w:sz w:val="24"/>
          <w:szCs w:val="24"/>
          <w:lang w:val="bg-BG"/>
        </w:rPr>
        <w:t> </w:t>
      </w:r>
      <w:r w:rsidRPr="00610B1B">
        <w:rPr>
          <w:rFonts w:ascii="Times New Roman" w:hAnsi="Times New Roman" w:cs="Times New Roman"/>
          <w:bCs/>
          <w:sz w:val="24"/>
          <w:szCs w:val="24"/>
          <w:lang w:val="bg-BG"/>
        </w:rPr>
        <w:t xml:space="preserve">Дяволска </w:t>
      </w:r>
      <w:r w:rsidR="00903F05"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BG2_APSFR_BS_09</w:t>
      </w:r>
      <w:r w:rsidR="00903F05"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р.</w:t>
      </w:r>
      <w:r w:rsidR="00A61A4E" w:rsidRPr="00610B1B">
        <w:rPr>
          <w:rFonts w:ascii="Times New Roman" w:hAnsi="Times New Roman" w:cs="Times New Roman"/>
          <w:bCs/>
          <w:sz w:val="24"/>
          <w:szCs w:val="24"/>
          <w:lang w:val="bg-BG"/>
        </w:rPr>
        <w:t> </w:t>
      </w:r>
      <w:r w:rsidRPr="00610B1B">
        <w:rPr>
          <w:rFonts w:ascii="Times New Roman" w:hAnsi="Times New Roman" w:cs="Times New Roman"/>
          <w:bCs/>
          <w:sz w:val="24"/>
          <w:szCs w:val="24"/>
          <w:lang w:val="bg-BG"/>
        </w:rPr>
        <w:t xml:space="preserve">Караагач </w:t>
      </w:r>
      <w:r w:rsidR="00903F05"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BG2_APSFR_BS_09</w:t>
      </w:r>
      <w:r w:rsidR="00903F05" w:rsidRPr="00610B1B">
        <w:rPr>
          <w:rFonts w:ascii="Times New Roman" w:hAnsi="Times New Roman" w:cs="Times New Roman"/>
          <w:bCs/>
          <w:sz w:val="24"/>
          <w:szCs w:val="24"/>
          <w:lang w:val="bg-BG"/>
        </w:rPr>
        <w:t xml:space="preserve">) и </w:t>
      </w:r>
      <w:r w:rsidRPr="00610B1B">
        <w:rPr>
          <w:rFonts w:ascii="Times New Roman" w:hAnsi="Times New Roman" w:cs="Times New Roman"/>
          <w:bCs/>
          <w:sz w:val="24"/>
          <w:szCs w:val="24"/>
          <w:lang w:val="bg-BG"/>
        </w:rPr>
        <w:t xml:space="preserve">р. Лисово дере </w:t>
      </w:r>
      <w:r w:rsidR="00903F05"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BG2_APSFR_BS_10</w:t>
      </w:r>
      <w:r w:rsidR="00903F05" w:rsidRPr="00610B1B">
        <w:rPr>
          <w:rFonts w:ascii="Times New Roman" w:hAnsi="Times New Roman" w:cs="Times New Roman"/>
          <w:bCs/>
          <w:sz w:val="24"/>
          <w:szCs w:val="24"/>
          <w:lang w:val="bg-BG"/>
        </w:rPr>
        <w:t>).</w:t>
      </w:r>
    </w:p>
    <w:p w14:paraId="38BC5F9F" w14:textId="77777777" w:rsidR="008B7C57" w:rsidRPr="00610B1B" w:rsidRDefault="008B7C57"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sz w:val="24"/>
          <w:szCs w:val="24"/>
          <w:lang w:val="bg-BG"/>
        </w:rPr>
        <w:t>З</w:t>
      </w:r>
      <w:r w:rsidRPr="00610B1B">
        <w:rPr>
          <w:rFonts w:ascii="Times New Roman" w:hAnsi="Times New Roman" w:cs="Times New Roman"/>
          <w:b/>
          <w:sz w:val="24"/>
          <w:szCs w:val="24"/>
          <w:lang w:val="bg-BG"/>
        </w:rPr>
        <w:t>аплахата от езера, намиращи се в пряка хидравлична връзка с морето</w:t>
      </w:r>
      <w:r w:rsidRPr="00610B1B">
        <w:rPr>
          <w:rFonts w:ascii="Times New Roman" w:hAnsi="Times New Roman" w:cs="Times New Roman"/>
          <w:sz w:val="24"/>
          <w:szCs w:val="24"/>
          <w:lang w:val="bg-BG"/>
        </w:rPr>
        <w:t xml:space="preserve"> е определена за </w:t>
      </w:r>
      <w:r w:rsidRPr="00610B1B">
        <w:rPr>
          <w:rFonts w:ascii="Times New Roman" w:hAnsi="Times New Roman" w:cs="Times New Roman"/>
          <w:i/>
          <w:sz w:val="24"/>
          <w:szCs w:val="24"/>
          <w:lang w:val="bg-BG"/>
        </w:rPr>
        <w:t>Варненското и Бургаското езеро</w:t>
      </w:r>
      <w:r w:rsidRPr="00610B1B">
        <w:rPr>
          <w:rFonts w:ascii="Times New Roman" w:hAnsi="Times New Roman" w:cs="Times New Roman"/>
          <w:sz w:val="24"/>
          <w:szCs w:val="24"/>
          <w:lang w:val="bg-BG"/>
        </w:rPr>
        <w:t xml:space="preserve"> при шестте характерни за РЗПРН максимални морски нива, в оптимистичен и песимистичен сценарий на климатична промяна</w:t>
      </w:r>
    </w:p>
    <w:p w14:paraId="01BB45CA" w14:textId="181517C5" w:rsidR="00C509CC" w:rsidRPr="00610B1B" w:rsidRDefault="008B7C57" w:rsidP="00D32D6A">
      <w:pPr>
        <w:spacing w:after="120"/>
        <w:ind w:right="-153"/>
        <w:jc w:val="both"/>
        <w:rPr>
          <w:rFonts w:ascii="Times New Roman" w:hAnsi="Times New Roman" w:cs="Times New Roman"/>
          <w:iCs/>
          <w:sz w:val="24"/>
          <w:szCs w:val="24"/>
          <w:lang w:val="bg-BG"/>
        </w:rPr>
      </w:pPr>
      <w:r w:rsidRPr="00610B1B">
        <w:rPr>
          <w:rFonts w:ascii="Times New Roman" w:hAnsi="Times New Roman" w:cs="Times New Roman"/>
          <w:sz w:val="24"/>
          <w:szCs w:val="24"/>
          <w:lang w:val="bg-BG"/>
        </w:rPr>
        <w:t>З</w:t>
      </w:r>
      <w:r w:rsidRPr="00610B1B">
        <w:rPr>
          <w:rFonts w:ascii="Times New Roman" w:hAnsi="Times New Roman" w:cs="Times New Roman"/>
          <w:b/>
          <w:sz w:val="24"/>
          <w:szCs w:val="24"/>
          <w:lang w:val="bg-BG"/>
        </w:rPr>
        <w:t>аплахата от езера без пряка хидравлична връзка с морето</w:t>
      </w:r>
      <w:r w:rsidRPr="00610B1B">
        <w:rPr>
          <w:rFonts w:ascii="Times New Roman" w:hAnsi="Times New Roman" w:cs="Times New Roman"/>
          <w:sz w:val="24"/>
          <w:szCs w:val="24"/>
          <w:lang w:val="bg-BG"/>
        </w:rPr>
        <w:t xml:space="preserve"> е картирана за четири от крайбрежните</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езера: </w:t>
      </w:r>
      <w:r w:rsidRPr="00610B1B">
        <w:rPr>
          <w:rFonts w:ascii="Times New Roman" w:hAnsi="Times New Roman" w:cs="Times New Roman"/>
          <w:i/>
          <w:sz w:val="24"/>
          <w:szCs w:val="24"/>
          <w:lang w:val="bg-BG"/>
        </w:rPr>
        <w:t>Дуранкулашко, Шабленско, Атанасовско и Поморийско.</w:t>
      </w:r>
      <w:r w:rsidR="004D506A" w:rsidRPr="00610B1B">
        <w:rPr>
          <w:rFonts w:ascii="Times New Roman" w:hAnsi="Times New Roman" w:cs="Times New Roman"/>
          <w:i/>
          <w:sz w:val="24"/>
          <w:szCs w:val="24"/>
          <w:lang w:val="bg-BG"/>
        </w:rPr>
        <w:t xml:space="preserve"> </w:t>
      </w:r>
      <w:r w:rsidR="00C509CC" w:rsidRPr="00610B1B">
        <w:rPr>
          <w:rFonts w:ascii="Times New Roman" w:hAnsi="Times New Roman" w:cs="Times New Roman"/>
          <w:iCs/>
          <w:sz w:val="24"/>
          <w:szCs w:val="24"/>
          <w:lang w:val="bg-BG"/>
        </w:rPr>
        <w:t>Резултатите от моделирането и оценката на риска показват, че най-големи щети се очакват в случаите</w:t>
      </w:r>
      <w:r w:rsidR="00903F05" w:rsidRPr="00610B1B">
        <w:rPr>
          <w:rFonts w:ascii="Times New Roman" w:hAnsi="Times New Roman" w:cs="Times New Roman"/>
          <w:iCs/>
          <w:sz w:val="24"/>
          <w:szCs w:val="24"/>
          <w:lang w:val="bg-BG"/>
        </w:rPr>
        <w:t>,</w:t>
      </w:r>
      <w:r w:rsidR="00C509CC" w:rsidRPr="00610B1B">
        <w:rPr>
          <w:rFonts w:ascii="Times New Roman" w:hAnsi="Times New Roman" w:cs="Times New Roman"/>
          <w:iCs/>
          <w:sz w:val="24"/>
          <w:szCs w:val="24"/>
          <w:lang w:val="bg-BG"/>
        </w:rPr>
        <w:t xml:space="preserve"> когато е възможно </w:t>
      </w:r>
      <w:r w:rsidR="00903F05" w:rsidRPr="00610B1B">
        <w:rPr>
          <w:rFonts w:ascii="Times New Roman" w:hAnsi="Times New Roman" w:cs="Times New Roman"/>
          <w:iCs/>
          <w:sz w:val="24"/>
          <w:szCs w:val="24"/>
          <w:lang w:val="bg-BG"/>
        </w:rPr>
        <w:t>комбиниране на</w:t>
      </w:r>
      <w:r w:rsidR="00C509CC" w:rsidRPr="00610B1B">
        <w:rPr>
          <w:rFonts w:ascii="Times New Roman" w:hAnsi="Times New Roman" w:cs="Times New Roman"/>
          <w:iCs/>
          <w:sz w:val="24"/>
          <w:szCs w:val="24"/>
          <w:lang w:val="bg-BG"/>
        </w:rPr>
        <w:t xml:space="preserve"> речни и морски наводнения и увеличаване на дълбочината на водата до 4 и 5 метра. </w:t>
      </w:r>
    </w:p>
    <w:p w14:paraId="4B735CC2" w14:textId="1C80EA8B" w:rsidR="000210AC" w:rsidRPr="00610B1B" w:rsidRDefault="00C509CC"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w:t>
      </w:r>
      <w:r w:rsidR="008B7C57" w:rsidRPr="00610B1B">
        <w:rPr>
          <w:rFonts w:ascii="Times New Roman" w:hAnsi="Times New Roman" w:cs="Times New Roman"/>
          <w:sz w:val="24"/>
          <w:szCs w:val="24"/>
          <w:lang w:val="bg-BG"/>
        </w:rPr>
        <w:t>ъществуващият План за управление на риска от наводнения е с действие д</w:t>
      </w:r>
      <w:r w:rsidR="001D3664" w:rsidRPr="00610B1B">
        <w:rPr>
          <w:rFonts w:ascii="Times New Roman" w:hAnsi="Times New Roman" w:cs="Times New Roman"/>
          <w:sz w:val="24"/>
          <w:szCs w:val="24"/>
          <w:lang w:val="bg-BG"/>
        </w:rPr>
        <w:t>о</w:t>
      </w:r>
      <w:r w:rsidR="008B7C57" w:rsidRPr="00610B1B">
        <w:rPr>
          <w:rFonts w:ascii="Times New Roman" w:hAnsi="Times New Roman" w:cs="Times New Roman"/>
          <w:sz w:val="24"/>
          <w:szCs w:val="24"/>
          <w:lang w:val="bg-BG"/>
        </w:rPr>
        <w:t xml:space="preserve"> края на 2021 г., в момента се осъществява проект за актуализирането </w:t>
      </w:r>
      <w:r w:rsidR="004D506A" w:rsidRPr="00610B1B">
        <w:rPr>
          <w:rFonts w:ascii="Times New Roman" w:hAnsi="Times New Roman" w:cs="Times New Roman"/>
          <w:sz w:val="24"/>
          <w:szCs w:val="24"/>
          <w:lang w:val="bg-BG"/>
        </w:rPr>
        <w:t>му</w:t>
      </w:r>
      <w:r w:rsidR="008B7C57" w:rsidRPr="00610B1B">
        <w:rPr>
          <w:rFonts w:ascii="Times New Roman" w:hAnsi="Times New Roman" w:cs="Times New Roman"/>
          <w:sz w:val="24"/>
          <w:szCs w:val="24"/>
          <w:lang w:val="bg-BG"/>
        </w:rPr>
        <w:t>, в ко</w:t>
      </w:r>
      <w:r w:rsidR="004D506A" w:rsidRPr="00610B1B">
        <w:rPr>
          <w:rFonts w:ascii="Times New Roman" w:hAnsi="Times New Roman" w:cs="Times New Roman"/>
          <w:sz w:val="24"/>
          <w:szCs w:val="24"/>
          <w:lang w:val="bg-BG"/>
        </w:rPr>
        <w:t>й</w:t>
      </w:r>
      <w:r w:rsidR="008B7C57" w:rsidRPr="00610B1B">
        <w:rPr>
          <w:rFonts w:ascii="Times New Roman" w:hAnsi="Times New Roman" w:cs="Times New Roman"/>
          <w:sz w:val="24"/>
          <w:szCs w:val="24"/>
          <w:lang w:val="bg-BG"/>
        </w:rPr>
        <w:t>то се предвижда комбинирано моделиране на морско с речно и дъждовно наводнение</w:t>
      </w:r>
      <w:r w:rsidR="004D506A" w:rsidRPr="00610B1B">
        <w:rPr>
          <w:rFonts w:ascii="Times New Roman" w:hAnsi="Times New Roman" w:cs="Times New Roman"/>
          <w:sz w:val="24"/>
          <w:szCs w:val="24"/>
          <w:lang w:val="bg-BG"/>
        </w:rPr>
        <w:t xml:space="preserve">, </w:t>
      </w:r>
      <w:r w:rsidR="008B7C57" w:rsidRPr="00610B1B">
        <w:rPr>
          <w:rFonts w:ascii="Times New Roman" w:hAnsi="Times New Roman" w:cs="Times New Roman"/>
          <w:sz w:val="24"/>
          <w:szCs w:val="24"/>
          <w:lang w:val="bg-BG"/>
        </w:rPr>
        <w:t>прецизиране границите на заливане и конкретизиране на рисковите обекти при отчитане на изменението на климата.</w:t>
      </w:r>
      <w:r w:rsidR="00D66FE0" w:rsidRPr="00610B1B">
        <w:rPr>
          <w:rFonts w:ascii="Times New Roman" w:hAnsi="Times New Roman" w:cs="Times New Roman"/>
          <w:sz w:val="24"/>
          <w:szCs w:val="24"/>
          <w:lang w:val="bg-BG"/>
        </w:rPr>
        <w:t xml:space="preserve"> </w:t>
      </w:r>
    </w:p>
    <w:p w14:paraId="18B289E6" w14:textId="77777777" w:rsidR="00261A06" w:rsidRPr="00610B1B" w:rsidRDefault="00261A06" w:rsidP="00D32D6A">
      <w:pPr>
        <w:spacing w:after="120"/>
        <w:ind w:right="-153"/>
        <w:jc w:val="both"/>
        <w:rPr>
          <w:rFonts w:ascii="Times New Roman" w:hAnsi="Times New Roman" w:cs="Times New Roman"/>
          <w:sz w:val="24"/>
          <w:szCs w:val="24"/>
          <w:lang w:val="bg-BG"/>
        </w:rPr>
      </w:pPr>
    </w:p>
    <w:p w14:paraId="7F0859F2" w14:textId="5FB50F05" w:rsidR="006E2B4B" w:rsidRPr="00610B1B" w:rsidRDefault="000210AC" w:rsidP="00D32D6A">
      <w:pPr>
        <w:pStyle w:val="Heading3"/>
        <w:spacing w:before="0" w:line="276" w:lineRule="auto"/>
        <w:ind w:right="-153"/>
        <w:rPr>
          <w:rFonts w:cs="Times New Roman"/>
          <w:sz w:val="24"/>
          <w:szCs w:val="24"/>
        </w:rPr>
      </w:pPr>
      <w:bookmarkStart w:id="28" w:name="_Toc83391363"/>
      <w:r w:rsidRPr="00610B1B">
        <w:rPr>
          <w:rFonts w:cs="Times New Roman"/>
        </w:rPr>
        <w:t xml:space="preserve">2.2.3. </w:t>
      </w:r>
      <w:r w:rsidR="006E2B4B" w:rsidRPr="00610B1B">
        <w:rPr>
          <w:rFonts w:cs="Times New Roman"/>
        </w:rPr>
        <w:t>Климат</w:t>
      </w:r>
      <w:bookmarkEnd w:id="28"/>
      <w:r w:rsidR="006E2B4B" w:rsidRPr="00610B1B">
        <w:rPr>
          <w:rFonts w:cs="Times New Roman"/>
        </w:rPr>
        <w:t xml:space="preserve"> </w:t>
      </w:r>
    </w:p>
    <w:p w14:paraId="12AAEAA2" w14:textId="18BCFC71"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Черно море е разположено между големи континентални масиви суша и поради това континенталните въздушни маси оказват съществено влияние върху климатичните елементи. Доминиращият западен пренос на въздух осигурява достигане</w:t>
      </w:r>
      <w:r w:rsidR="00D20CE8" w:rsidRPr="00610B1B">
        <w:rPr>
          <w:rFonts w:ascii="Times New Roman" w:hAnsi="Times New Roman" w:cs="Times New Roman"/>
          <w:sz w:val="24"/>
          <w:szCs w:val="24"/>
          <w:lang w:val="bg-BG"/>
        </w:rPr>
        <w:t>то</w:t>
      </w:r>
      <w:r w:rsidRPr="00610B1B">
        <w:rPr>
          <w:rFonts w:ascii="Times New Roman" w:hAnsi="Times New Roman" w:cs="Times New Roman"/>
          <w:sz w:val="24"/>
          <w:szCs w:val="24"/>
          <w:lang w:val="bg-BG"/>
        </w:rPr>
        <w:t xml:space="preserve"> на влажните Атлантически въздушни маси</w:t>
      </w:r>
      <w:r w:rsidR="00D20CE8" w:rsidRPr="00610B1B">
        <w:rPr>
          <w:rFonts w:ascii="Times New Roman" w:hAnsi="Times New Roman" w:cs="Times New Roman"/>
          <w:sz w:val="24"/>
          <w:szCs w:val="24"/>
          <w:lang w:val="bg-BG"/>
        </w:rPr>
        <w:t xml:space="preserve"> до Черно море.</w:t>
      </w:r>
      <w:r w:rsidRPr="00610B1B">
        <w:rPr>
          <w:rFonts w:ascii="Times New Roman" w:hAnsi="Times New Roman" w:cs="Times New Roman"/>
          <w:sz w:val="24"/>
          <w:szCs w:val="24"/>
          <w:lang w:val="bg-BG"/>
        </w:rPr>
        <w:t xml:space="preserve"> Исландски</w:t>
      </w:r>
      <w:r w:rsidR="00D20CE8"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циклони</w:t>
      </w:r>
      <w:r w:rsidR="00D20CE8" w:rsidRPr="00610B1B">
        <w:rPr>
          <w:rFonts w:ascii="Times New Roman" w:hAnsi="Times New Roman" w:cs="Times New Roman"/>
          <w:sz w:val="24"/>
          <w:szCs w:val="24"/>
          <w:lang w:val="bg-BG"/>
        </w:rPr>
        <w:t>, достигащи до Черно море,</w:t>
      </w:r>
      <w:r w:rsidRPr="00610B1B">
        <w:rPr>
          <w:rFonts w:ascii="Times New Roman" w:hAnsi="Times New Roman" w:cs="Times New Roman"/>
          <w:sz w:val="24"/>
          <w:szCs w:val="24"/>
          <w:lang w:val="bg-BG"/>
        </w:rPr>
        <w:t xml:space="preserve"> </w:t>
      </w:r>
      <w:r w:rsidR="00C509CC" w:rsidRPr="00610B1B">
        <w:rPr>
          <w:rFonts w:ascii="Times New Roman" w:hAnsi="Times New Roman" w:cs="Times New Roman"/>
          <w:sz w:val="24"/>
          <w:szCs w:val="24"/>
          <w:lang w:val="bg-BG"/>
        </w:rPr>
        <w:t>влошават</w:t>
      </w:r>
      <w:r w:rsidRPr="00610B1B">
        <w:rPr>
          <w:rFonts w:ascii="Times New Roman" w:hAnsi="Times New Roman" w:cs="Times New Roman"/>
          <w:sz w:val="24"/>
          <w:szCs w:val="24"/>
          <w:lang w:val="bg-BG"/>
        </w:rPr>
        <w:t xml:space="preserve"> времето</w:t>
      </w:r>
      <w:r w:rsidR="00C509CC" w:rsidRPr="00610B1B">
        <w:rPr>
          <w:rFonts w:ascii="Times New Roman" w:hAnsi="Times New Roman" w:cs="Times New Roman"/>
          <w:sz w:val="24"/>
          <w:szCs w:val="24"/>
          <w:lang w:val="bg-BG"/>
        </w:rPr>
        <w:t xml:space="preserve"> и носят</w:t>
      </w:r>
      <w:r w:rsidRPr="00610B1B">
        <w:rPr>
          <w:rFonts w:ascii="Times New Roman" w:hAnsi="Times New Roman" w:cs="Times New Roman"/>
          <w:sz w:val="24"/>
          <w:szCs w:val="24"/>
          <w:lang w:val="bg-BG"/>
        </w:rPr>
        <w:t xml:space="preserve"> силни ветрове, морски бури и обилни валежи. Средиземноморските циклони идващи до морето от югозапад през зимата пренасят по-топли и влажни средиземноморски въздушни маси. През зимата Черно море, често попада под влиянието на Източноевропейските антициклони, а през лятото и на Азорските антициклони. </w:t>
      </w:r>
    </w:p>
    <w:p w14:paraId="6084009A" w14:textId="13EE8BD1"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Преминаването на въздушните маси над Черно море се повлиява и от водната повърхност на самото море. </w:t>
      </w:r>
      <w:r w:rsidR="007B3F70" w:rsidRPr="00610B1B">
        <w:rPr>
          <w:rFonts w:ascii="Times New Roman" w:hAnsi="Times New Roman" w:cs="Times New Roman"/>
          <w:sz w:val="24"/>
          <w:szCs w:val="24"/>
          <w:lang w:val="bg-BG"/>
        </w:rPr>
        <w:t xml:space="preserve">Студените </w:t>
      </w:r>
      <w:r w:rsidRPr="00610B1B">
        <w:rPr>
          <w:rFonts w:ascii="Times New Roman" w:hAnsi="Times New Roman" w:cs="Times New Roman"/>
          <w:sz w:val="24"/>
          <w:szCs w:val="24"/>
          <w:lang w:val="bg-BG"/>
        </w:rPr>
        <w:t xml:space="preserve">континентални въздушни маси през зимата частично се затоплят, докато през лятото – се охлаждат. Сериозно влияние върху климата над Черно море оказват и </w:t>
      </w:r>
      <w:r w:rsidR="007B3F70" w:rsidRPr="00610B1B">
        <w:rPr>
          <w:rFonts w:ascii="Times New Roman" w:hAnsi="Times New Roman" w:cs="Times New Roman"/>
          <w:sz w:val="24"/>
          <w:szCs w:val="24"/>
          <w:lang w:val="bg-BG"/>
        </w:rPr>
        <w:t>релефните особености</w:t>
      </w:r>
      <w:r w:rsidRPr="00610B1B">
        <w:rPr>
          <w:rFonts w:ascii="Times New Roman" w:hAnsi="Times New Roman" w:cs="Times New Roman"/>
          <w:sz w:val="24"/>
          <w:szCs w:val="24"/>
          <w:lang w:val="bg-BG"/>
        </w:rPr>
        <w:t xml:space="preserve">. Доминиращите на запад и северозапад ниски брегове на Причерноморската низина и Добруджа през зимата улесняват доминиращото влияние на Източноевропейските студени антициклони. Ниските земи </w:t>
      </w:r>
      <w:r w:rsidR="007B3F70" w:rsidRPr="00610B1B">
        <w:rPr>
          <w:rFonts w:ascii="Times New Roman" w:hAnsi="Times New Roman" w:cs="Times New Roman"/>
          <w:sz w:val="24"/>
          <w:szCs w:val="24"/>
          <w:lang w:val="bg-BG"/>
        </w:rPr>
        <w:t>в Юж</w:t>
      </w:r>
      <w:r w:rsidR="00C65AB9" w:rsidRPr="00610B1B">
        <w:rPr>
          <w:rFonts w:ascii="Times New Roman" w:hAnsi="Times New Roman" w:cs="Times New Roman"/>
          <w:sz w:val="24"/>
          <w:szCs w:val="24"/>
          <w:lang w:val="bg-BG"/>
        </w:rPr>
        <w:t>н</w:t>
      </w:r>
      <w:r w:rsidR="007B3F70" w:rsidRPr="00610B1B">
        <w:rPr>
          <w:rFonts w:ascii="Times New Roman" w:hAnsi="Times New Roman" w:cs="Times New Roman"/>
          <w:sz w:val="24"/>
          <w:szCs w:val="24"/>
          <w:lang w:val="bg-BG"/>
        </w:rPr>
        <w:t>а България и в</w:t>
      </w:r>
      <w:r w:rsidRPr="00610B1B">
        <w:rPr>
          <w:rFonts w:ascii="Times New Roman" w:hAnsi="Times New Roman" w:cs="Times New Roman"/>
          <w:sz w:val="24"/>
          <w:szCs w:val="24"/>
          <w:lang w:val="bg-BG"/>
        </w:rPr>
        <w:t xml:space="preserve"> района на Дарданели</w:t>
      </w:r>
      <w:r w:rsidR="001A585E"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и Босфор</w:t>
      </w:r>
      <w:r w:rsidR="001A585E" w:rsidRPr="00610B1B">
        <w:rPr>
          <w:rFonts w:ascii="Times New Roman" w:hAnsi="Times New Roman" w:cs="Times New Roman"/>
          <w:sz w:val="24"/>
          <w:szCs w:val="24"/>
          <w:lang w:val="bg-BG"/>
        </w:rPr>
        <w:t>а</w:t>
      </w:r>
      <w:r w:rsidRPr="00610B1B">
        <w:rPr>
          <w:rFonts w:ascii="Times New Roman" w:hAnsi="Times New Roman" w:cs="Times New Roman"/>
          <w:sz w:val="24"/>
          <w:szCs w:val="24"/>
          <w:lang w:val="bg-BG"/>
        </w:rPr>
        <w:t xml:space="preserve"> улесняват придвижването на влажните и топли въздушни маси на Средиземноморските циклони и горещия въздух от Азорските антициклони</w:t>
      </w:r>
      <w:r w:rsidR="00D20CE8" w:rsidRPr="00610B1B">
        <w:rPr>
          <w:rFonts w:ascii="Times New Roman" w:hAnsi="Times New Roman" w:cs="Times New Roman"/>
          <w:lang w:val="bg-BG"/>
        </w:rPr>
        <w:t xml:space="preserve"> </w:t>
      </w:r>
      <w:r w:rsidR="00D20CE8" w:rsidRPr="00610B1B">
        <w:rPr>
          <w:rFonts w:ascii="Times New Roman" w:hAnsi="Times New Roman" w:cs="Times New Roman"/>
          <w:sz w:val="24"/>
          <w:szCs w:val="24"/>
          <w:lang w:val="bg-BG"/>
        </w:rPr>
        <w:t>до Черно море от югозапад</w:t>
      </w:r>
      <w:r w:rsidRPr="00610B1B">
        <w:rPr>
          <w:rFonts w:ascii="Times New Roman" w:hAnsi="Times New Roman" w:cs="Times New Roman"/>
          <w:sz w:val="24"/>
          <w:szCs w:val="24"/>
          <w:lang w:val="bg-BG"/>
        </w:rPr>
        <w:t xml:space="preserve">. </w:t>
      </w:r>
    </w:p>
    <w:p w14:paraId="78593AD4" w14:textId="44EB5C9C" w:rsidR="00C509CC"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Непосредственото влияние на морето навътре в сушата не е голямо и</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достига до 40-60 </w:t>
      </w:r>
      <w:r w:rsidR="00E21A4C" w:rsidRPr="00610B1B">
        <w:rPr>
          <w:rFonts w:ascii="Times New Roman" w:hAnsi="Times New Roman" w:cs="Times New Roman"/>
          <w:sz w:val="24"/>
          <w:szCs w:val="24"/>
          <w:lang w:val="bg-BG"/>
        </w:rPr>
        <w:t xml:space="preserve">km </w:t>
      </w:r>
      <w:r w:rsidRPr="00610B1B">
        <w:rPr>
          <w:rFonts w:ascii="Times New Roman" w:hAnsi="Times New Roman" w:cs="Times New Roman"/>
          <w:sz w:val="24"/>
          <w:szCs w:val="24"/>
          <w:lang w:val="bg-BG"/>
        </w:rPr>
        <w:t>в зависимост от конфигурацията на релефа, но най-вече поради разположението на морския басейн по посока на преобладаващия пренос на атмосферни маси.</w:t>
      </w:r>
    </w:p>
    <w:p w14:paraId="09C4B5C7" w14:textId="4BB38E58" w:rsidR="009D4A0E" w:rsidRPr="00610B1B" w:rsidRDefault="00F02BF7" w:rsidP="00D32D6A">
      <w:pPr>
        <w:pStyle w:val="Heading4"/>
        <w:spacing w:before="0" w:line="276" w:lineRule="auto"/>
        <w:ind w:right="-153"/>
        <w:rPr>
          <w:rFonts w:cs="Times New Roman"/>
        </w:rPr>
      </w:pPr>
      <w:r w:rsidRPr="00610B1B">
        <w:rPr>
          <w:rFonts w:cs="Times New Roman"/>
        </w:rPr>
        <w:lastRenderedPageBreak/>
        <w:t xml:space="preserve">2.2.3.1. </w:t>
      </w:r>
      <w:r w:rsidR="009D4A0E" w:rsidRPr="00610B1B">
        <w:rPr>
          <w:rFonts w:cs="Times New Roman"/>
        </w:rPr>
        <w:t>Радиационен режим</w:t>
      </w:r>
    </w:p>
    <w:p w14:paraId="3BFD27C1" w14:textId="45C03EBC" w:rsidR="009D4A0E" w:rsidRPr="00610B1B" w:rsidRDefault="00017F59"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Действителната продължителност на слънчевото греене п</w:t>
      </w:r>
      <w:r w:rsidR="009D4A0E" w:rsidRPr="00610B1B">
        <w:rPr>
          <w:rFonts w:ascii="Times New Roman" w:hAnsi="Times New Roman" w:cs="Times New Roman"/>
          <w:sz w:val="24"/>
          <w:szCs w:val="24"/>
          <w:lang w:val="bg-BG"/>
        </w:rPr>
        <w:t xml:space="preserve">о </w:t>
      </w:r>
      <w:r w:rsidRPr="00610B1B">
        <w:rPr>
          <w:rFonts w:ascii="Times New Roman" w:hAnsi="Times New Roman" w:cs="Times New Roman"/>
          <w:sz w:val="24"/>
          <w:szCs w:val="24"/>
          <w:lang w:val="bg-BG"/>
        </w:rPr>
        <w:t>б</w:t>
      </w:r>
      <w:r w:rsidR="009D4A0E" w:rsidRPr="00610B1B">
        <w:rPr>
          <w:rFonts w:ascii="Times New Roman" w:hAnsi="Times New Roman" w:cs="Times New Roman"/>
          <w:sz w:val="24"/>
          <w:szCs w:val="24"/>
          <w:lang w:val="bg-BG"/>
        </w:rPr>
        <w:t>ъ</w:t>
      </w:r>
      <w:r w:rsidRPr="00610B1B">
        <w:rPr>
          <w:rFonts w:ascii="Times New Roman" w:hAnsi="Times New Roman" w:cs="Times New Roman"/>
          <w:sz w:val="24"/>
          <w:szCs w:val="24"/>
          <w:lang w:val="bg-BG"/>
        </w:rPr>
        <w:t>л</w:t>
      </w:r>
      <w:r w:rsidR="009D4A0E" w:rsidRPr="00610B1B">
        <w:rPr>
          <w:rFonts w:ascii="Times New Roman" w:hAnsi="Times New Roman" w:cs="Times New Roman"/>
          <w:sz w:val="24"/>
          <w:szCs w:val="24"/>
          <w:lang w:val="bg-BG"/>
        </w:rPr>
        <w:t>гарското Черноморско крайбрежие е от 2</w:t>
      </w:r>
      <w:r w:rsidR="00E21A4C" w:rsidRPr="00610B1B">
        <w:rPr>
          <w:rFonts w:ascii="Times New Roman" w:hAnsi="Times New Roman" w:cs="Times New Roman"/>
          <w:sz w:val="24"/>
          <w:szCs w:val="24"/>
          <w:lang w:val="bg-BG"/>
        </w:rPr>
        <w:t> </w:t>
      </w:r>
      <w:r w:rsidR="009D4A0E" w:rsidRPr="00610B1B">
        <w:rPr>
          <w:rFonts w:ascii="Times New Roman" w:hAnsi="Times New Roman" w:cs="Times New Roman"/>
          <w:sz w:val="24"/>
          <w:szCs w:val="24"/>
          <w:lang w:val="bg-BG"/>
        </w:rPr>
        <w:t>080 до 2</w:t>
      </w:r>
      <w:r w:rsidR="00E21A4C" w:rsidRPr="00610B1B">
        <w:rPr>
          <w:rFonts w:ascii="Times New Roman" w:hAnsi="Times New Roman" w:cs="Times New Roman"/>
          <w:sz w:val="24"/>
          <w:szCs w:val="24"/>
          <w:lang w:val="bg-BG"/>
        </w:rPr>
        <w:t> </w:t>
      </w:r>
      <w:r w:rsidR="009D4A0E" w:rsidRPr="00610B1B">
        <w:rPr>
          <w:rFonts w:ascii="Times New Roman" w:hAnsi="Times New Roman" w:cs="Times New Roman"/>
          <w:sz w:val="24"/>
          <w:szCs w:val="24"/>
          <w:lang w:val="bg-BG"/>
        </w:rPr>
        <w:t>250 ч</w:t>
      </w:r>
      <w:r w:rsidR="00E21A4C" w:rsidRPr="00610B1B">
        <w:rPr>
          <w:rFonts w:ascii="Times New Roman" w:hAnsi="Times New Roman" w:cs="Times New Roman"/>
          <w:sz w:val="24"/>
          <w:szCs w:val="24"/>
          <w:lang w:val="bg-BG"/>
        </w:rPr>
        <w:t>аса</w:t>
      </w:r>
      <w:r w:rsidR="009D4A0E" w:rsidRPr="00610B1B">
        <w:rPr>
          <w:rFonts w:ascii="Times New Roman" w:hAnsi="Times New Roman" w:cs="Times New Roman"/>
          <w:sz w:val="24"/>
          <w:szCs w:val="24"/>
          <w:lang w:val="bg-BG"/>
        </w:rPr>
        <w:t xml:space="preserve"> годишно. </w:t>
      </w:r>
      <w:r w:rsidR="00C65AB9" w:rsidRPr="00610B1B">
        <w:rPr>
          <w:rFonts w:ascii="Times New Roman" w:hAnsi="Times New Roman" w:cs="Times New Roman"/>
          <w:sz w:val="24"/>
          <w:szCs w:val="24"/>
          <w:lang w:val="bg-BG"/>
        </w:rPr>
        <w:t xml:space="preserve">Максималната </w:t>
      </w:r>
      <w:r w:rsidR="009D4A0E" w:rsidRPr="00610B1B">
        <w:rPr>
          <w:rFonts w:ascii="Times New Roman" w:hAnsi="Times New Roman" w:cs="Times New Roman"/>
          <w:sz w:val="24"/>
          <w:szCs w:val="24"/>
          <w:lang w:val="bg-BG"/>
        </w:rPr>
        <w:t>му продължителност</w:t>
      </w:r>
      <w:r w:rsidR="00C65AB9" w:rsidRPr="00610B1B">
        <w:rPr>
          <w:rFonts w:ascii="Times New Roman" w:hAnsi="Times New Roman" w:cs="Times New Roman"/>
          <w:sz w:val="24"/>
          <w:szCs w:val="24"/>
          <w:lang w:val="bg-BG"/>
        </w:rPr>
        <w:t xml:space="preserve"> е през месец юли</w:t>
      </w:r>
      <w:r w:rsidR="009D4A0E" w:rsidRPr="00610B1B">
        <w:rPr>
          <w:rFonts w:ascii="Times New Roman" w:hAnsi="Times New Roman" w:cs="Times New Roman"/>
          <w:sz w:val="24"/>
          <w:szCs w:val="24"/>
          <w:lang w:val="bg-BG"/>
        </w:rPr>
        <w:t>, следван от месец август</w:t>
      </w:r>
      <w:r w:rsidR="00C65AB9" w:rsidRPr="00610B1B">
        <w:rPr>
          <w:rFonts w:ascii="Times New Roman" w:hAnsi="Times New Roman" w:cs="Times New Roman"/>
          <w:sz w:val="24"/>
          <w:szCs w:val="24"/>
          <w:lang w:val="bg-BG"/>
        </w:rPr>
        <w:t xml:space="preserve">. </w:t>
      </w:r>
      <w:r w:rsidR="009D4A0E" w:rsidRPr="00610B1B">
        <w:rPr>
          <w:rFonts w:ascii="Times New Roman" w:hAnsi="Times New Roman" w:cs="Times New Roman"/>
          <w:sz w:val="24"/>
          <w:szCs w:val="24"/>
          <w:lang w:val="bg-BG"/>
        </w:rPr>
        <w:t>Минимумът на сумарната слънчева радиация е през декември</w:t>
      </w:r>
      <w:r w:rsidR="00C65AB9" w:rsidRPr="00610B1B">
        <w:rPr>
          <w:rFonts w:ascii="Times New Roman" w:hAnsi="Times New Roman" w:cs="Times New Roman"/>
          <w:sz w:val="24"/>
          <w:szCs w:val="24"/>
          <w:lang w:val="bg-BG"/>
        </w:rPr>
        <w:t>, а максимумът през юли</w:t>
      </w:r>
      <w:r w:rsidR="009D4A0E" w:rsidRPr="00610B1B">
        <w:rPr>
          <w:rFonts w:ascii="Times New Roman" w:hAnsi="Times New Roman" w:cs="Times New Roman"/>
          <w:sz w:val="24"/>
          <w:szCs w:val="24"/>
          <w:lang w:val="bg-BG"/>
        </w:rPr>
        <w:t>. От месец май до септември в Черноморския регион се получава около 60% от годишното количество слънчева радиация, като преобладава пряката пред разсеяната радиация.</w:t>
      </w:r>
      <w:r w:rsidR="00E21A4C" w:rsidRPr="00610B1B">
        <w:rPr>
          <w:rFonts w:ascii="Times New Roman" w:hAnsi="Times New Roman" w:cs="Times New Roman"/>
          <w:sz w:val="24"/>
          <w:szCs w:val="24"/>
          <w:lang w:val="bg-BG"/>
        </w:rPr>
        <w:t xml:space="preserve"> </w:t>
      </w:r>
      <w:r w:rsidR="009D4A0E" w:rsidRPr="00610B1B">
        <w:rPr>
          <w:rFonts w:ascii="Times New Roman" w:hAnsi="Times New Roman" w:cs="Times New Roman"/>
          <w:sz w:val="24"/>
          <w:szCs w:val="24"/>
          <w:lang w:val="bg-BG"/>
        </w:rPr>
        <w:t>През този период пряката радиация може да се използва най-ефективно и като енергиен източник.</w:t>
      </w:r>
      <w:r w:rsidR="001A585E" w:rsidRPr="00610B1B">
        <w:rPr>
          <w:rFonts w:ascii="Times New Roman" w:hAnsi="Times New Roman" w:cs="Times New Roman"/>
          <w:sz w:val="24"/>
          <w:szCs w:val="24"/>
          <w:lang w:val="bg-BG"/>
        </w:rPr>
        <w:t xml:space="preserve"> </w:t>
      </w:r>
      <w:r w:rsidR="009D4A0E" w:rsidRPr="00610B1B">
        <w:rPr>
          <w:rFonts w:ascii="Times New Roman" w:hAnsi="Times New Roman" w:cs="Times New Roman"/>
          <w:sz w:val="24"/>
          <w:szCs w:val="24"/>
          <w:lang w:val="bg-BG"/>
        </w:rPr>
        <w:t>Фотосинтетично активната радиация</w:t>
      </w:r>
      <w:r w:rsidR="00E21A4C" w:rsidRPr="00610B1B">
        <w:rPr>
          <w:rFonts w:ascii="Times New Roman" w:hAnsi="Times New Roman" w:cs="Times New Roman"/>
          <w:sz w:val="24"/>
          <w:szCs w:val="24"/>
          <w:lang w:val="bg-BG"/>
        </w:rPr>
        <w:t xml:space="preserve"> </w:t>
      </w:r>
      <w:r w:rsidR="009D4A0E" w:rsidRPr="00610B1B">
        <w:rPr>
          <w:rFonts w:ascii="Times New Roman" w:hAnsi="Times New Roman" w:cs="Times New Roman"/>
          <w:sz w:val="24"/>
          <w:szCs w:val="24"/>
          <w:lang w:val="bg-BG"/>
        </w:rPr>
        <w:t xml:space="preserve">(ФАР) по </w:t>
      </w:r>
      <w:r w:rsidRPr="00610B1B">
        <w:rPr>
          <w:rFonts w:ascii="Times New Roman" w:hAnsi="Times New Roman" w:cs="Times New Roman"/>
          <w:sz w:val="24"/>
          <w:szCs w:val="24"/>
          <w:lang w:val="bg-BG"/>
        </w:rPr>
        <w:t xml:space="preserve">българското </w:t>
      </w:r>
      <w:r w:rsidR="009D4A0E" w:rsidRPr="00610B1B">
        <w:rPr>
          <w:rFonts w:ascii="Times New Roman" w:hAnsi="Times New Roman" w:cs="Times New Roman"/>
          <w:sz w:val="24"/>
          <w:szCs w:val="24"/>
          <w:lang w:val="bg-BG"/>
        </w:rPr>
        <w:t xml:space="preserve">Черноморие е с максимум през юли (9-10 </w:t>
      </w:r>
      <w:bookmarkStart w:id="29" w:name="_Hlk31622217"/>
      <w:r w:rsidR="00317FF1" w:rsidRPr="00610B1B">
        <w:rPr>
          <w:rFonts w:ascii="Times New Roman" w:hAnsi="Times New Roman" w:cs="Times New Roman"/>
          <w:sz w:val="24"/>
          <w:szCs w:val="24"/>
          <w:lang w:val="bg-BG"/>
        </w:rPr>
        <w:t>kcal</w:t>
      </w:r>
      <w:r w:rsidR="009D4A0E" w:rsidRPr="00610B1B">
        <w:rPr>
          <w:rFonts w:ascii="Times New Roman" w:hAnsi="Times New Roman" w:cs="Times New Roman"/>
          <w:sz w:val="24"/>
          <w:szCs w:val="24"/>
          <w:lang w:val="bg-BG"/>
        </w:rPr>
        <w:t>/</w:t>
      </w:r>
      <w:bookmarkStart w:id="30" w:name="_Hlk31622297"/>
      <w:r w:rsidR="00317FF1" w:rsidRPr="00610B1B">
        <w:rPr>
          <w:rFonts w:ascii="Times New Roman" w:hAnsi="Times New Roman" w:cs="Times New Roman"/>
          <w:sz w:val="24"/>
          <w:szCs w:val="24"/>
          <w:lang w:val="bg-BG"/>
        </w:rPr>
        <w:t>cm</w:t>
      </w:r>
      <w:r w:rsidR="009D4A0E" w:rsidRPr="00610B1B">
        <w:rPr>
          <w:rFonts w:ascii="Times New Roman" w:hAnsi="Times New Roman" w:cs="Times New Roman"/>
          <w:sz w:val="24"/>
          <w:szCs w:val="24"/>
          <w:vertAlign w:val="superscript"/>
          <w:lang w:val="bg-BG"/>
        </w:rPr>
        <w:t>2</w:t>
      </w:r>
      <w:bookmarkEnd w:id="29"/>
      <w:bookmarkEnd w:id="30"/>
      <w:r w:rsidR="009D4A0E" w:rsidRPr="00610B1B">
        <w:rPr>
          <w:rFonts w:ascii="Times New Roman" w:hAnsi="Times New Roman" w:cs="Times New Roman"/>
          <w:sz w:val="24"/>
          <w:szCs w:val="24"/>
          <w:lang w:val="bg-BG"/>
        </w:rPr>
        <w:t xml:space="preserve">). </w:t>
      </w:r>
    </w:p>
    <w:p w14:paraId="4244F3AE" w14:textId="3912C372"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Черноморието е близко до южната граница на ултравиолетовия комфорт. При определени условия то предоставя възможност за хелиотерапия от март до октомври</w:t>
      </w:r>
      <w:r w:rsidR="00317FF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с оптимални възможности </w:t>
      </w:r>
      <w:r w:rsidR="001A585E" w:rsidRPr="00610B1B">
        <w:rPr>
          <w:rFonts w:ascii="Times New Roman" w:hAnsi="Times New Roman" w:cs="Times New Roman"/>
          <w:sz w:val="24"/>
          <w:szCs w:val="24"/>
          <w:lang w:val="bg-BG"/>
        </w:rPr>
        <w:t>от</w:t>
      </w:r>
      <w:r w:rsidRPr="00610B1B">
        <w:rPr>
          <w:rFonts w:ascii="Times New Roman" w:hAnsi="Times New Roman" w:cs="Times New Roman"/>
          <w:sz w:val="24"/>
          <w:szCs w:val="24"/>
          <w:lang w:val="bg-BG"/>
        </w:rPr>
        <w:t xml:space="preserve"> април</w:t>
      </w:r>
      <w:r w:rsidR="001A585E" w:rsidRPr="00610B1B">
        <w:rPr>
          <w:rFonts w:ascii="Times New Roman" w:hAnsi="Times New Roman" w:cs="Times New Roman"/>
          <w:sz w:val="24"/>
          <w:szCs w:val="24"/>
          <w:lang w:val="bg-BG"/>
        </w:rPr>
        <w:t xml:space="preserve"> до </w:t>
      </w:r>
      <w:r w:rsidRPr="00610B1B">
        <w:rPr>
          <w:rFonts w:ascii="Times New Roman" w:hAnsi="Times New Roman" w:cs="Times New Roman"/>
          <w:sz w:val="24"/>
          <w:szCs w:val="24"/>
          <w:lang w:val="bg-BG"/>
        </w:rPr>
        <w:t xml:space="preserve">септември. </w:t>
      </w:r>
    </w:p>
    <w:p w14:paraId="7A35BC0C" w14:textId="59245DB6"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Българското</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Черноморие е с положителен годишен радиационен баланс. Дори стойностите през декември и януари, които са минимални, остават положителни. Това е причината за топлите зими с положителни средни месечни температури. Максимумът на</w:t>
      </w:r>
      <w:r w:rsidR="00C65AB9" w:rsidRPr="00610B1B">
        <w:rPr>
          <w:rFonts w:ascii="Times New Roman" w:hAnsi="Times New Roman" w:cs="Times New Roman"/>
          <w:sz w:val="24"/>
          <w:szCs w:val="24"/>
          <w:lang w:val="bg-BG"/>
        </w:rPr>
        <w:t xml:space="preserve"> радиационния баланс е през юли</w:t>
      </w:r>
      <w:r w:rsidRPr="00610B1B">
        <w:rPr>
          <w:rFonts w:ascii="Times New Roman" w:hAnsi="Times New Roman" w:cs="Times New Roman"/>
          <w:sz w:val="24"/>
          <w:szCs w:val="24"/>
          <w:lang w:val="bg-BG"/>
        </w:rPr>
        <w:t xml:space="preserve">. Черноморието попада под оптималната граница на овлажняването. Недостигът от влага определя приблизителните поливни норми за крайбрежието между 230 и 330 </w:t>
      </w:r>
      <w:r w:rsidR="00317FF1" w:rsidRPr="00610B1B">
        <w:rPr>
          <w:rFonts w:ascii="Times New Roman" w:hAnsi="Times New Roman" w:cs="Times New Roman"/>
          <w:sz w:val="24"/>
          <w:szCs w:val="24"/>
          <w:lang w:val="bg-BG"/>
        </w:rPr>
        <w:t>mm</w:t>
      </w:r>
      <w:r w:rsidRPr="00610B1B">
        <w:rPr>
          <w:rFonts w:ascii="Times New Roman" w:hAnsi="Times New Roman" w:cs="Times New Roman"/>
          <w:sz w:val="24"/>
          <w:szCs w:val="24"/>
          <w:lang w:val="bg-BG"/>
        </w:rPr>
        <w:t>.</w:t>
      </w:r>
      <w:r w:rsidR="00017F59"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Годишното сумарно изпарение (400-500 </w:t>
      </w:r>
      <w:r w:rsidR="00317FF1" w:rsidRPr="00610B1B">
        <w:rPr>
          <w:rFonts w:ascii="Times New Roman" w:hAnsi="Times New Roman" w:cs="Times New Roman"/>
          <w:sz w:val="24"/>
          <w:szCs w:val="24"/>
          <w:lang w:val="bg-BG"/>
        </w:rPr>
        <w:t>mm</w:t>
      </w:r>
      <w:r w:rsidRPr="00610B1B">
        <w:rPr>
          <w:rFonts w:ascii="Times New Roman" w:hAnsi="Times New Roman" w:cs="Times New Roman"/>
          <w:sz w:val="24"/>
          <w:szCs w:val="24"/>
          <w:lang w:val="bg-BG"/>
        </w:rPr>
        <w:t>) не се различава много от средногодишната валежна сума</w:t>
      </w:r>
      <w:r w:rsidR="00D66C5A" w:rsidRPr="00610B1B">
        <w:rPr>
          <w:rFonts w:ascii="Times New Roman" w:hAnsi="Times New Roman" w:cs="Times New Roman"/>
          <w:sz w:val="24"/>
          <w:szCs w:val="24"/>
          <w:lang w:val="bg-BG"/>
        </w:rPr>
        <w:t>, което</w:t>
      </w:r>
      <w:r w:rsidRPr="00610B1B">
        <w:rPr>
          <w:rFonts w:ascii="Times New Roman" w:hAnsi="Times New Roman" w:cs="Times New Roman"/>
          <w:sz w:val="24"/>
          <w:szCs w:val="24"/>
          <w:lang w:val="bg-BG"/>
        </w:rPr>
        <w:t xml:space="preserve"> обяснява малкия отток и недостатъчното овлажняване.</w:t>
      </w:r>
    </w:p>
    <w:p w14:paraId="7A7C24B2" w14:textId="49EF4926"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Черноморието се отличава с най-високо ниво на топлообмен в България. Неговият максимум е през месец юли. Бризовата циркулация допринася за засилване на турбулентния топлообмен чрез създаване на термодинамична неустойчивост в долните атмосферни слоеве.</w:t>
      </w:r>
    </w:p>
    <w:p w14:paraId="0798C91D" w14:textId="09001C67" w:rsidR="009D4A0E" w:rsidRPr="00610B1B" w:rsidRDefault="00F02BF7" w:rsidP="00D32D6A">
      <w:pPr>
        <w:pStyle w:val="Heading4"/>
        <w:spacing w:before="0" w:line="276" w:lineRule="auto"/>
        <w:ind w:right="-153"/>
        <w:rPr>
          <w:rFonts w:cs="Times New Roman"/>
        </w:rPr>
      </w:pPr>
      <w:r w:rsidRPr="00610B1B">
        <w:rPr>
          <w:rFonts w:cs="Times New Roman"/>
        </w:rPr>
        <w:t xml:space="preserve">2.2.3.2. </w:t>
      </w:r>
      <w:r w:rsidR="009D4A0E" w:rsidRPr="00610B1B">
        <w:rPr>
          <w:rFonts w:cs="Times New Roman"/>
        </w:rPr>
        <w:t xml:space="preserve">Температурен режим </w:t>
      </w:r>
    </w:p>
    <w:p w14:paraId="0B68082C" w14:textId="3AFFC3E4"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Годишните температури по Черноморието нарастват от север на юг от 11,8 до 13,3°С. Годишната температурна амплитуда е в границите на 19,2 до 21,8°С. </w:t>
      </w:r>
      <w:r w:rsidR="00F97044" w:rsidRPr="00610B1B">
        <w:rPr>
          <w:rFonts w:ascii="Times New Roman" w:hAnsi="Times New Roman" w:cs="Times New Roman"/>
          <w:sz w:val="24"/>
          <w:szCs w:val="24"/>
          <w:lang w:val="bg-BG"/>
        </w:rPr>
        <w:t>П</w:t>
      </w:r>
      <w:r w:rsidRPr="00610B1B">
        <w:rPr>
          <w:rFonts w:ascii="Times New Roman" w:hAnsi="Times New Roman" w:cs="Times New Roman"/>
          <w:sz w:val="24"/>
          <w:szCs w:val="24"/>
          <w:lang w:val="bg-BG"/>
        </w:rPr>
        <w:t xml:space="preserve">рез зимата тук се отчитат най-високите зимни температури в България. За Южното Черноморие те са с 1-2°С по-високи, отколкото в района на гр. Сандански и гр. Петрич. Тук няма отрицателни средномесечни температури, въпреки че през отделни зими не са изключени. </w:t>
      </w:r>
      <w:r w:rsidR="00C65AB9" w:rsidRPr="00610B1B">
        <w:rPr>
          <w:rFonts w:ascii="Times New Roman" w:hAnsi="Times New Roman" w:cs="Times New Roman"/>
          <w:sz w:val="24"/>
          <w:szCs w:val="24"/>
          <w:lang w:val="bg-BG"/>
        </w:rPr>
        <w:t>Средните денонощни</w:t>
      </w:r>
      <w:r w:rsidRPr="00610B1B">
        <w:rPr>
          <w:rFonts w:ascii="Times New Roman" w:hAnsi="Times New Roman" w:cs="Times New Roman"/>
          <w:sz w:val="24"/>
          <w:szCs w:val="24"/>
          <w:lang w:val="bg-BG"/>
        </w:rPr>
        <w:t xml:space="preserve"> температури на въздуха </w:t>
      </w:r>
      <w:r w:rsidR="00C65AB9" w:rsidRPr="00610B1B">
        <w:rPr>
          <w:rFonts w:ascii="Times New Roman" w:hAnsi="Times New Roman" w:cs="Times New Roman"/>
          <w:sz w:val="24"/>
          <w:szCs w:val="24"/>
          <w:lang w:val="bg-BG"/>
        </w:rPr>
        <w:t>през зимните месеци се движат между 0,1</w:t>
      </w:r>
      <w:r w:rsidRPr="00610B1B">
        <w:rPr>
          <w:rFonts w:ascii="Times New Roman" w:hAnsi="Times New Roman" w:cs="Times New Roman"/>
          <w:sz w:val="24"/>
          <w:szCs w:val="24"/>
          <w:lang w:val="bg-BG"/>
        </w:rPr>
        <w:t xml:space="preserve"> и </w:t>
      </w:r>
      <w:r w:rsidR="00C65AB9" w:rsidRPr="00610B1B">
        <w:rPr>
          <w:rFonts w:ascii="Times New Roman" w:hAnsi="Times New Roman" w:cs="Times New Roman"/>
          <w:sz w:val="24"/>
          <w:szCs w:val="24"/>
          <w:lang w:val="bg-BG"/>
        </w:rPr>
        <w:t>10</w:t>
      </w:r>
      <w:r w:rsidRPr="00610B1B">
        <w:rPr>
          <w:rFonts w:ascii="Times New Roman" w:hAnsi="Times New Roman" w:cs="Times New Roman"/>
          <w:sz w:val="24"/>
          <w:szCs w:val="24"/>
          <w:lang w:val="bg-BG"/>
        </w:rPr>
        <w:t>°С</w:t>
      </w:r>
      <w:r w:rsidR="00A74792" w:rsidRPr="00610B1B">
        <w:rPr>
          <w:rFonts w:ascii="Times New Roman" w:hAnsi="Times New Roman" w:cs="Times New Roman"/>
          <w:sz w:val="24"/>
          <w:szCs w:val="24"/>
          <w:lang w:val="bg-BG"/>
        </w:rPr>
        <w:t>.</w:t>
      </w:r>
    </w:p>
    <w:p w14:paraId="310E4106" w14:textId="1FE96EA0"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Пролетта по Черноморието е по-хладна отколкото във вътрешността на страната.</w:t>
      </w:r>
      <w:r w:rsidR="00317FF1" w:rsidRPr="00610B1B">
        <w:rPr>
          <w:rFonts w:ascii="Times New Roman" w:hAnsi="Times New Roman" w:cs="Times New Roman"/>
          <w:sz w:val="24"/>
          <w:szCs w:val="24"/>
          <w:lang w:val="bg-BG"/>
        </w:rPr>
        <w:t xml:space="preserve"> </w:t>
      </w:r>
      <w:r w:rsidR="00D66C5A" w:rsidRPr="00610B1B">
        <w:rPr>
          <w:rFonts w:ascii="Times New Roman" w:hAnsi="Times New Roman" w:cs="Times New Roman"/>
          <w:sz w:val="24"/>
          <w:szCs w:val="24"/>
          <w:lang w:val="bg-BG"/>
        </w:rPr>
        <w:t xml:space="preserve">През март </w:t>
      </w:r>
      <w:r w:rsidR="00A74792" w:rsidRPr="00610B1B">
        <w:rPr>
          <w:rFonts w:ascii="Times New Roman" w:hAnsi="Times New Roman" w:cs="Times New Roman"/>
          <w:sz w:val="24"/>
          <w:szCs w:val="24"/>
          <w:lang w:val="bg-BG"/>
        </w:rPr>
        <w:t xml:space="preserve">средномесечните </w:t>
      </w:r>
      <w:r w:rsidRPr="00610B1B">
        <w:rPr>
          <w:rFonts w:ascii="Times New Roman" w:hAnsi="Times New Roman" w:cs="Times New Roman"/>
          <w:sz w:val="24"/>
          <w:szCs w:val="24"/>
          <w:lang w:val="bg-BG"/>
        </w:rPr>
        <w:t>температури са от 4,2 до 6,1°С. През месец април температури</w:t>
      </w:r>
      <w:r w:rsidR="00A74792"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са между 8,8 и 10,5°С без отрицателни среднодневни температури, а през май са между 14,4 и 15,8°С.</w:t>
      </w:r>
    </w:p>
    <w:p w14:paraId="0AE15022" w14:textId="3E134576"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Лятото е с по-голяма равномерност на температурите. За юни сре</w:t>
      </w:r>
      <w:r w:rsidR="00D66C5A" w:rsidRPr="00610B1B">
        <w:rPr>
          <w:rFonts w:ascii="Times New Roman" w:hAnsi="Times New Roman" w:cs="Times New Roman"/>
          <w:sz w:val="24"/>
          <w:szCs w:val="24"/>
          <w:lang w:val="bg-BG"/>
        </w:rPr>
        <w:t>дномесечните стойности са между 1</w:t>
      </w:r>
      <w:r w:rsidRPr="00610B1B">
        <w:rPr>
          <w:rFonts w:ascii="Times New Roman" w:hAnsi="Times New Roman" w:cs="Times New Roman"/>
          <w:sz w:val="24"/>
          <w:szCs w:val="24"/>
          <w:lang w:val="bg-BG"/>
        </w:rPr>
        <w:t>9,1 и 20,8°С. Температурните условия са почти изравнени през юли и август и са между 22,1 и 23,7°С при преобладаващи средноденонощни температури от 22,1 до 24,0°С. Обикновено средните денонощни температури не надвишават 28°С.</w:t>
      </w:r>
    </w:p>
    <w:p w14:paraId="00CBF0BD" w14:textId="6DEE5AFE"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Ранната есен по Черноморието се характеризира с термични условия близки до летните.</w:t>
      </w:r>
      <w:r w:rsidR="00317FF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Средната месечна температура през септември е с 3,5-4,0°С по-висока отколкото през май при преобладаващи средноденонощни температури от</w:t>
      </w:r>
      <w:r w:rsidR="00317FF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18,1 до 20,0°С. Това е голям резерв за земедел</w:t>
      </w:r>
      <w:r w:rsidR="00D66C5A" w:rsidRPr="00610B1B">
        <w:rPr>
          <w:rFonts w:ascii="Times New Roman" w:hAnsi="Times New Roman" w:cs="Times New Roman"/>
          <w:sz w:val="24"/>
          <w:szCs w:val="24"/>
          <w:lang w:val="bg-BG"/>
        </w:rPr>
        <w:t>ието</w:t>
      </w:r>
      <w:r w:rsidRPr="00610B1B">
        <w:rPr>
          <w:rFonts w:ascii="Times New Roman" w:hAnsi="Times New Roman" w:cs="Times New Roman"/>
          <w:sz w:val="24"/>
          <w:szCs w:val="24"/>
          <w:lang w:val="bg-BG"/>
        </w:rPr>
        <w:t>, а също и за рекреационната дейност. През октомври средномесечните температури се понижават до 13,9 – 15,8</w:t>
      </w:r>
      <w:bookmarkStart w:id="31" w:name="_Hlk32222910"/>
      <w:r w:rsidRPr="00610B1B">
        <w:rPr>
          <w:rFonts w:ascii="Times New Roman" w:hAnsi="Times New Roman" w:cs="Times New Roman"/>
          <w:sz w:val="24"/>
          <w:szCs w:val="24"/>
          <w:lang w:val="bg-BG"/>
        </w:rPr>
        <w:t>°С</w:t>
      </w:r>
      <w:bookmarkEnd w:id="31"/>
      <w:r w:rsidRPr="00610B1B">
        <w:rPr>
          <w:rFonts w:ascii="Times New Roman" w:hAnsi="Times New Roman" w:cs="Times New Roman"/>
          <w:sz w:val="24"/>
          <w:szCs w:val="24"/>
          <w:lang w:val="bg-BG"/>
        </w:rPr>
        <w:t xml:space="preserve">, а през ноември до 8,9-10,8°С. </w:t>
      </w:r>
    </w:p>
    <w:p w14:paraId="024EE02D" w14:textId="53988E5F"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Температурните суми над 10°С за Северното Черноморие са от 3</w:t>
      </w:r>
      <w:r w:rsidR="00C90090"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600 до 3</w:t>
      </w:r>
      <w:r w:rsidR="00C90090"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750° и от 3</w:t>
      </w:r>
      <w:r w:rsidR="00C90090"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700 до 4</w:t>
      </w:r>
      <w:r w:rsidR="00C90090"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150° за Южното Черноморие. Тези температурни суми са достатъчни за узряване на по-ранни култури, като остава допълнителен температурен резерв за отглеждане на втори култури. Температурните суми над 15°С са 2</w:t>
      </w:r>
      <w:r w:rsidR="00C90090"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800-3</w:t>
      </w:r>
      <w:r w:rsidR="00C90090"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200° за Северното и </w:t>
      </w:r>
      <w:r w:rsidR="00C90090" w:rsidRPr="00610B1B">
        <w:rPr>
          <w:rFonts w:ascii="Times New Roman" w:hAnsi="Times New Roman" w:cs="Times New Roman"/>
          <w:sz w:val="24"/>
          <w:szCs w:val="24"/>
          <w:lang w:val="bg-BG"/>
        </w:rPr>
        <w:t>от</w:t>
      </w:r>
      <w:r w:rsidRPr="00610B1B">
        <w:rPr>
          <w:rFonts w:ascii="Times New Roman" w:hAnsi="Times New Roman" w:cs="Times New Roman"/>
          <w:sz w:val="24"/>
          <w:szCs w:val="24"/>
          <w:lang w:val="bg-BG"/>
        </w:rPr>
        <w:t xml:space="preserve"> 2</w:t>
      </w:r>
      <w:r w:rsidR="00C90090"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950</w:t>
      </w:r>
      <w:r w:rsidR="00C90090" w:rsidRPr="00610B1B">
        <w:rPr>
          <w:rFonts w:ascii="Times New Roman" w:hAnsi="Times New Roman" w:cs="Times New Roman"/>
          <w:sz w:val="24"/>
          <w:szCs w:val="24"/>
          <w:lang w:val="bg-BG"/>
        </w:rPr>
        <w:t xml:space="preserve"> до </w:t>
      </w:r>
      <w:r w:rsidRPr="00610B1B">
        <w:rPr>
          <w:rFonts w:ascii="Times New Roman" w:hAnsi="Times New Roman" w:cs="Times New Roman"/>
          <w:sz w:val="24"/>
          <w:szCs w:val="24"/>
          <w:lang w:val="bg-BG"/>
        </w:rPr>
        <w:t>3</w:t>
      </w:r>
      <w:r w:rsidR="00C90090"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400° за Южното Черноморско крайбрежие.</w:t>
      </w:r>
    </w:p>
    <w:p w14:paraId="7C314147" w14:textId="2A26E78D"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По Северното Черноморие средната от абсолютните годишни</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минимални температури е от </w:t>
      </w:r>
      <w:r w:rsidR="00F9704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12 до -13°С, а за Южното Черноморие е от -9 до -12°С. </w:t>
      </w:r>
      <w:r w:rsidR="00F97044" w:rsidRPr="00610B1B">
        <w:rPr>
          <w:rFonts w:ascii="Times New Roman" w:hAnsi="Times New Roman" w:cs="Times New Roman"/>
          <w:sz w:val="24"/>
          <w:szCs w:val="24"/>
          <w:lang w:val="bg-BG"/>
        </w:rPr>
        <w:t>Отрицателните температурни суми п</w:t>
      </w:r>
      <w:r w:rsidRPr="00610B1B">
        <w:rPr>
          <w:rFonts w:ascii="Times New Roman" w:hAnsi="Times New Roman" w:cs="Times New Roman"/>
          <w:sz w:val="24"/>
          <w:szCs w:val="24"/>
          <w:lang w:val="bg-BG"/>
        </w:rPr>
        <w:t>о Черноморието са с по-малка стойност, като за Южното Черноморие те са средно под 40%.</w:t>
      </w:r>
    </w:p>
    <w:p w14:paraId="08A22BF2" w14:textId="4799E1D7"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Характерна особеност за Черноморието е по-ранното прекратяване на късните пролетни мразове и слани и по-късните дати на тяхното настъпване през есента в сравнение с вътрешността на страната. Крайните дати на есенните мразове са през октом</w:t>
      </w:r>
      <w:r w:rsidR="00C90090" w:rsidRPr="00610B1B">
        <w:rPr>
          <w:rFonts w:ascii="Times New Roman" w:hAnsi="Times New Roman" w:cs="Times New Roman"/>
          <w:sz w:val="24"/>
          <w:szCs w:val="24"/>
          <w:lang w:val="bg-BG"/>
        </w:rPr>
        <w:t>в</w:t>
      </w:r>
      <w:r w:rsidRPr="00610B1B">
        <w:rPr>
          <w:rFonts w:ascii="Times New Roman" w:hAnsi="Times New Roman" w:cs="Times New Roman"/>
          <w:sz w:val="24"/>
          <w:szCs w:val="24"/>
          <w:lang w:val="bg-BG"/>
        </w:rPr>
        <w:t xml:space="preserve">ри, а средните дати – през ноември и декември. Тези температурни характеристики отличават </w:t>
      </w:r>
      <w:r w:rsidR="00C94C31" w:rsidRPr="00610B1B">
        <w:rPr>
          <w:rFonts w:ascii="Times New Roman" w:hAnsi="Times New Roman" w:cs="Times New Roman"/>
          <w:sz w:val="24"/>
          <w:szCs w:val="24"/>
          <w:lang w:val="bg-BG"/>
        </w:rPr>
        <w:t>б</w:t>
      </w:r>
      <w:r w:rsidRPr="00610B1B">
        <w:rPr>
          <w:rFonts w:ascii="Times New Roman" w:hAnsi="Times New Roman" w:cs="Times New Roman"/>
          <w:sz w:val="24"/>
          <w:szCs w:val="24"/>
          <w:lang w:val="bg-BG"/>
        </w:rPr>
        <w:t>ългарското Черноморие с по-топла</w:t>
      </w:r>
      <w:r w:rsidR="00561C1B" w:rsidRPr="00610B1B">
        <w:rPr>
          <w:rFonts w:ascii="Times New Roman" w:hAnsi="Times New Roman" w:cs="Times New Roman"/>
          <w:sz w:val="24"/>
          <w:szCs w:val="24"/>
          <w:lang w:val="bg-BG"/>
        </w:rPr>
        <w:t>та</w:t>
      </w:r>
      <w:r w:rsidRPr="00610B1B">
        <w:rPr>
          <w:rFonts w:ascii="Times New Roman" w:hAnsi="Times New Roman" w:cs="Times New Roman"/>
          <w:sz w:val="24"/>
          <w:szCs w:val="24"/>
          <w:lang w:val="bg-BG"/>
        </w:rPr>
        <w:t xml:space="preserve"> есен и възможности</w:t>
      </w:r>
      <w:r w:rsidR="00561C1B"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за отглеждане на късни и втори култури. </w:t>
      </w:r>
      <w:r w:rsidR="00561C1B" w:rsidRPr="00610B1B">
        <w:rPr>
          <w:rFonts w:ascii="Times New Roman" w:hAnsi="Times New Roman" w:cs="Times New Roman"/>
          <w:sz w:val="24"/>
          <w:szCs w:val="24"/>
          <w:lang w:val="bg-BG"/>
        </w:rPr>
        <w:t>Крайбрежието</w:t>
      </w:r>
      <w:r w:rsidRPr="00610B1B">
        <w:rPr>
          <w:rFonts w:ascii="Times New Roman" w:hAnsi="Times New Roman" w:cs="Times New Roman"/>
          <w:sz w:val="24"/>
          <w:szCs w:val="24"/>
          <w:lang w:val="bg-BG"/>
        </w:rPr>
        <w:t xml:space="preserve"> се отличава с най-дългия безмразов период в България – средно 240 дни за северните, 250 дни за средните и 260 дни за южните </w:t>
      </w:r>
      <w:r w:rsidR="00561C1B" w:rsidRPr="00610B1B">
        <w:rPr>
          <w:rFonts w:ascii="Times New Roman" w:hAnsi="Times New Roman" w:cs="Times New Roman"/>
          <w:sz w:val="24"/>
          <w:szCs w:val="24"/>
          <w:lang w:val="bg-BG"/>
        </w:rPr>
        <w:t xml:space="preserve">му </w:t>
      </w:r>
      <w:r w:rsidRPr="00610B1B">
        <w:rPr>
          <w:rFonts w:ascii="Times New Roman" w:hAnsi="Times New Roman" w:cs="Times New Roman"/>
          <w:sz w:val="24"/>
          <w:szCs w:val="24"/>
          <w:lang w:val="bg-BG"/>
        </w:rPr>
        <w:t>части</w:t>
      </w:r>
      <w:r w:rsidR="00561C1B" w:rsidRPr="00610B1B">
        <w:rPr>
          <w:rFonts w:ascii="Times New Roman" w:hAnsi="Times New Roman" w:cs="Times New Roman"/>
          <w:sz w:val="24"/>
          <w:szCs w:val="24"/>
          <w:lang w:val="bg-BG"/>
        </w:rPr>
        <w:t>.</w:t>
      </w:r>
    </w:p>
    <w:p w14:paraId="507C8CCC" w14:textId="7E26D21A" w:rsidR="009D4A0E" w:rsidRPr="00610B1B" w:rsidRDefault="00F02BF7" w:rsidP="00D32D6A">
      <w:pPr>
        <w:pStyle w:val="Heading4"/>
        <w:spacing w:before="0" w:line="276" w:lineRule="auto"/>
        <w:ind w:right="-153"/>
        <w:rPr>
          <w:rFonts w:cs="Times New Roman"/>
        </w:rPr>
      </w:pPr>
      <w:r w:rsidRPr="00610B1B">
        <w:rPr>
          <w:rFonts w:cs="Times New Roman"/>
        </w:rPr>
        <w:t xml:space="preserve">2.2.3.3. </w:t>
      </w:r>
      <w:r w:rsidR="009D4A0E" w:rsidRPr="00610B1B">
        <w:rPr>
          <w:rFonts w:cs="Times New Roman"/>
        </w:rPr>
        <w:t>Облачност и валежи</w:t>
      </w:r>
    </w:p>
    <w:p w14:paraId="55325C8D" w14:textId="2E064B56" w:rsidR="009D4A0E" w:rsidRPr="00610B1B" w:rsidRDefault="00617C6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Облачността </w:t>
      </w:r>
      <w:r w:rsidR="00DA2D41" w:rsidRPr="00610B1B">
        <w:rPr>
          <w:rFonts w:ascii="Times New Roman" w:hAnsi="Times New Roman" w:cs="Times New Roman"/>
          <w:sz w:val="24"/>
          <w:szCs w:val="24"/>
          <w:lang w:val="bg-BG"/>
        </w:rPr>
        <w:t xml:space="preserve">е </w:t>
      </w:r>
      <w:r w:rsidR="009D4A0E" w:rsidRPr="00610B1B">
        <w:rPr>
          <w:rFonts w:ascii="Times New Roman" w:hAnsi="Times New Roman" w:cs="Times New Roman"/>
          <w:sz w:val="24"/>
          <w:szCs w:val="24"/>
          <w:lang w:val="bg-BG"/>
        </w:rPr>
        <w:t>най-висока през зимата, когато пренос</w:t>
      </w:r>
      <w:r w:rsidR="002B1ECB" w:rsidRPr="00610B1B">
        <w:rPr>
          <w:rFonts w:ascii="Times New Roman" w:hAnsi="Times New Roman" w:cs="Times New Roman"/>
          <w:sz w:val="24"/>
          <w:szCs w:val="24"/>
          <w:lang w:val="bg-BG"/>
        </w:rPr>
        <w:t>ът</w:t>
      </w:r>
      <w:r w:rsidR="009D4A0E" w:rsidRPr="00610B1B">
        <w:rPr>
          <w:rFonts w:ascii="Times New Roman" w:hAnsi="Times New Roman" w:cs="Times New Roman"/>
          <w:sz w:val="24"/>
          <w:szCs w:val="24"/>
          <w:lang w:val="bg-BG"/>
        </w:rPr>
        <w:t xml:space="preserve"> на въздушни маси е най-интензивен в тази част от страната. През периода ноември-февруари облачността е предимно ниска</w:t>
      </w:r>
      <w:r w:rsidR="007B4888" w:rsidRPr="00610B1B">
        <w:rPr>
          <w:rFonts w:ascii="Times New Roman" w:hAnsi="Times New Roman" w:cs="Times New Roman"/>
          <w:sz w:val="24"/>
          <w:szCs w:val="24"/>
          <w:lang w:val="bg-BG"/>
        </w:rPr>
        <w:t xml:space="preserve">, през пролетта </w:t>
      </w:r>
      <w:r w:rsidR="009D4A0E" w:rsidRPr="00610B1B">
        <w:rPr>
          <w:rFonts w:ascii="Times New Roman" w:hAnsi="Times New Roman" w:cs="Times New Roman"/>
          <w:sz w:val="24"/>
          <w:szCs w:val="24"/>
          <w:lang w:val="bg-BG"/>
        </w:rPr>
        <w:t>намалява</w:t>
      </w:r>
      <w:r w:rsidR="00DA2D41" w:rsidRPr="00610B1B">
        <w:rPr>
          <w:rFonts w:ascii="Times New Roman" w:hAnsi="Times New Roman" w:cs="Times New Roman"/>
          <w:sz w:val="24"/>
          <w:szCs w:val="24"/>
          <w:lang w:val="bg-BG"/>
        </w:rPr>
        <w:t>,</w:t>
      </w:r>
      <w:r w:rsidR="009D4A0E" w:rsidRPr="00610B1B">
        <w:rPr>
          <w:rFonts w:ascii="Times New Roman" w:hAnsi="Times New Roman" w:cs="Times New Roman"/>
          <w:sz w:val="24"/>
          <w:szCs w:val="24"/>
          <w:lang w:val="bg-BG"/>
        </w:rPr>
        <w:t xml:space="preserve"> </w:t>
      </w:r>
      <w:r w:rsidR="007B4888" w:rsidRPr="00610B1B">
        <w:rPr>
          <w:rFonts w:ascii="Times New Roman" w:hAnsi="Times New Roman" w:cs="Times New Roman"/>
          <w:sz w:val="24"/>
          <w:szCs w:val="24"/>
          <w:lang w:val="bg-BG"/>
        </w:rPr>
        <w:t>а</w:t>
      </w:r>
      <w:r w:rsidR="009D4A0E" w:rsidRPr="00610B1B">
        <w:rPr>
          <w:rFonts w:ascii="Times New Roman" w:hAnsi="Times New Roman" w:cs="Times New Roman"/>
          <w:sz w:val="24"/>
          <w:szCs w:val="24"/>
          <w:lang w:val="bg-BG"/>
        </w:rPr>
        <w:t xml:space="preserve"> </w:t>
      </w:r>
      <w:r w:rsidR="007B4888" w:rsidRPr="00610B1B">
        <w:rPr>
          <w:rFonts w:ascii="Times New Roman" w:hAnsi="Times New Roman" w:cs="Times New Roman"/>
          <w:sz w:val="24"/>
          <w:szCs w:val="24"/>
          <w:lang w:val="bg-BG"/>
        </w:rPr>
        <w:t>п</w:t>
      </w:r>
      <w:r w:rsidR="009D4A0E" w:rsidRPr="00610B1B">
        <w:rPr>
          <w:rFonts w:ascii="Times New Roman" w:hAnsi="Times New Roman" w:cs="Times New Roman"/>
          <w:sz w:val="24"/>
          <w:szCs w:val="24"/>
          <w:lang w:val="bg-BG"/>
        </w:rPr>
        <w:t xml:space="preserve">рез лятото е най-ниска – 2,5–3,2 десети. Това се дължи на </w:t>
      </w:r>
      <w:r w:rsidRPr="00610B1B">
        <w:rPr>
          <w:rFonts w:ascii="Times New Roman" w:hAnsi="Times New Roman" w:cs="Times New Roman"/>
          <w:sz w:val="24"/>
          <w:szCs w:val="24"/>
          <w:lang w:val="bg-BG"/>
        </w:rPr>
        <w:t>ограничената</w:t>
      </w:r>
      <w:r w:rsidR="009D4A0E" w:rsidRPr="00610B1B">
        <w:rPr>
          <w:rFonts w:ascii="Times New Roman" w:hAnsi="Times New Roman" w:cs="Times New Roman"/>
          <w:sz w:val="24"/>
          <w:szCs w:val="24"/>
          <w:lang w:val="bg-BG"/>
        </w:rPr>
        <w:t xml:space="preserve"> циклонална дейност</w:t>
      </w:r>
      <w:r w:rsidRPr="00610B1B">
        <w:rPr>
          <w:rFonts w:ascii="Times New Roman" w:hAnsi="Times New Roman" w:cs="Times New Roman"/>
          <w:sz w:val="24"/>
          <w:szCs w:val="24"/>
          <w:lang w:val="bg-BG"/>
        </w:rPr>
        <w:t xml:space="preserve"> в този период</w:t>
      </w:r>
      <w:r w:rsidR="009D4A0E" w:rsidRPr="00610B1B">
        <w:rPr>
          <w:rFonts w:ascii="Times New Roman" w:hAnsi="Times New Roman" w:cs="Times New Roman"/>
          <w:sz w:val="24"/>
          <w:szCs w:val="24"/>
          <w:lang w:val="bg-BG"/>
        </w:rPr>
        <w:t xml:space="preserve"> и на дейността на морския бриз, който ограничава условията за вътрешномасова облачност. През </w:t>
      </w:r>
      <w:r w:rsidR="00686CE6" w:rsidRPr="00610B1B">
        <w:rPr>
          <w:rFonts w:ascii="Times New Roman" w:hAnsi="Times New Roman" w:cs="Times New Roman"/>
          <w:sz w:val="24"/>
          <w:szCs w:val="24"/>
          <w:lang w:val="bg-BG"/>
        </w:rPr>
        <w:t>октомври</w:t>
      </w:r>
      <w:r w:rsidR="009D4A0E" w:rsidRPr="00610B1B">
        <w:rPr>
          <w:rFonts w:ascii="Times New Roman" w:hAnsi="Times New Roman" w:cs="Times New Roman"/>
          <w:sz w:val="24"/>
          <w:szCs w:val="24"/>
          <w:lang w:val="bg-BG"/>
        </w:rPr>
        <w:t xml:space="preserve"> облачността </w:t>
      </w:r>
      <w:r w:rsidR="007B4888" w:rsidRPr="00610B1B">
        <w:rPr>
          <w:rFonts w:ascii="Times New Roman" w:hAnsi="Times New Roman" w:cs="Times New Roman"/>
          <w:sz w:val="24"/>
          <w:szCs w:val="24"/>
          <w:lang w:val="bg-BG"/>
        </w:rPr>
        <w:t xml:space="preserve">отново </w:t>
      </w:r>
      <w:r w:rsidR="009D4A0E" w:rsidRPr="00610B1B">
        <w:rPr>
          <w:rFonts w:ascii="Times New Roman" w:hAnsi="Times New Roman" w:cs="Times New Roman"/>
          <w:sz w:val="24"/>
          <w:szCs w:val="24"/>
          <w:lang w:val="bg-BG"/>
        </w:rPr>
        <w:t xml:space="preserve">се </w:t>
      </w:r>
      <w:r w:rsidR="00686CE6" w:rsidRPr="00610B1B">
        <w:rPr>
          <w:rFonts w:ascii="Times New Roman" w:hAnsi="Times New Roman" w:cs="Times New Roman"/>
          <w:sz w:val="24"/>
          <w:szCs w:val="24"/>
          <w:lang w:val="bg-BG"/>
        </w:rPr>
        <w:t>увеличава</w:t>
      </w:r>
      <w:r w:rsidR="009D4A0E" w:rsidRPr="00610B1B">
        <w:rPr>
          <w:rFonts w:ascii="Times New Roman" w:hAnsi="Times New Roman" w:cs="Times New Roman"/>
          <w:sz w:val="24"/>
          <w:szCs w:val="24"/>
          <w:lang w:val="bg-BG"/>
        </w:rPr>
        <w:t>.</w:t>
      </w:r>
    </w:p>
    <w:p w14:paraId="04A1A31C" w14:textId="2C2A2696"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Годишният и месечн</w:t>
      </w:r>
      <w:r w:rsidR="002B1ECB" w:rsidRPr="00610B1B">
        <w:rPr>
          <w:rFonts w:ascii="Times New Roman" w:hAnsi="Times New Roman" w:cs="Times New Roman"/>
          <w:sz w:val="24"/>
          <w:szCs w:val="24"/>
          <w:lang w:val="bg-BG"/>
        </w:rPr>
        <w:t>ият</w:t>
      </w:r>
      <w:r w:rsidRPr="00610B1B">
        <w:rPr>
          <w:rFonts w:ascii="Times New Roman" w:hAnsi="Times New Roman" w:cs="Times New Roman"/>
          <w:sz w:val="24"/>
          <w:szCs w:val="24"/>
          <w:lang w:val="bg-BG"/>
        </w:rPr>
        <w:t xml:space="preserve"> брой на ясните дни е около средния за страната. Максимумът е през лятото – 12-16 дни през месеците юли и август, а минимумът е през декември – 1,5</w:t>
      </w:r>
      <w:r w:rsidR="002B1ECB"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w:t>
      </w:r>
      <w:r w:rsidR="002B1ECB"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2,5 дни средно за месеца.</w:t>
      </w:r>
      <w:r w:rsidR="002B1ECB"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Мрачните дни по Черноморието </w:t>
      </w:r>
      <w:r w:rsidR="002B1ECB"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110</w:t>
      </w:r>
      <w:r w:rsidR="002B1ECB"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са малко над средните за страната</w:t>
      </w:r>
      <w:r w:rsidR="002B1ECB"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- 97 дни</w:t>
      </w:r>
      <w:r w:rsidR="00C94C31" w:rsidRPr="00610B1B">
        <w:rPr>
          <w:rFonts w:ascii="Times New Roman" w:hAnsi="Times New Roman" w:cs="Times New Roman"/>
          <w:sz w:val="24"/>
          <w:szCs w:val="24"/>
          <w:lang w:val="bg-BG"/>
        </w:rPr>
        <w:t>, поради наличието на морския басейн.</w:t>
      </w:r>
      <w:r w:rsidRPr="00610B1B">
        <w:rPr>
          <w:rFonts w:ascii="Times New Roman" w:hAnsi="Times New Roman" w:cs="Times New Roman"/>
          <w:sz w:val="24"/>
          <w:szCs w:val="24"/>
          <w:lang w:val="bg-BG"/>
        </w:rPr>
        <w:t xml:space="preserve"> Максимумът им е през </w:t>
      </w:r>
      <w:r w:rsidR="00C94C31" w:rsidRPr="00610B1B">
        <w:rPr>
          <w:rFonts w:ascii="Times New Roman" w:hAnsi="Times New Roman" w:cs="Times New Roman"/>
          <w:sz w:val="24"/>
          <w:szCs w:val="24"/>
          <w:lang w:val="bg-BG"/>
        </w:rPr>
        <w:t>декември и януари</w:t>
      </w:r>
      <w:r w:rsidRPr="00610B1B">
        <w:rPr>
          <w:rFonts w:ascii="Times New Roman" w:hAnsi="Times New Roman" w:cs="Times New Roman"/>
          <w:sz w:val="24"/>
          <w:szCs w:val="24"/>
          <w:lang w:val="bg-BG"/>
        </w:rPr>
        <w:t xml:space="preserve">, а минимумът </w:t>
      </w:r>
      <w:r w:rsidR="00C94C31" w:rsidRPr="00610B1B">
        <w:rPr>
          <w:rFonts w:ascii="Times New Roman" w:hAnsi="Times New Roman" w:cs="Times New Roman"/>
          <w:sz w:val="24"/>
          <w:szCs w:val="24"/>
          <w:lang w:val="bg-BG"/>
        </w:rPr>
        <w:t>е</w:t>
      </w:r>
      <w:r w:rsidRPr="00610B1B">
        <w:rPr>
          <w:rFonts w:ascii="Times New Roman" w:hAnsi="Times New Roman" w:cs="Times New Roman"/>
          <w:sz w:val="24"/>
          <w:szCs w:val="24"/>
          <w:lang w:val="bg-BG"/>
        </w:rPr>
        <w:t xml:space="preserve"> през юли</w:t>
      </w:r>
      <w:r w:rsidR="00C94C3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w:t>
      </w:r>
      <w:r w:rsidR="00C94C3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август.</w:t>
      </w:r>
    </w:p>
    <w:p w14:paraId="09C2E43F" w14:textId="2AC2D0DE"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Южното Черноморие</w:t>
      </w:r>
      <w:r w:rsidR="00C94C3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отчита 2 пъти по-големи валежи</w:t>
      </w:r>
      <w:r w:rsidR="00C94C31" w:rsidRPr="00610B1B">
        <w:rPr>
          <w:rFonts w:ascii="Times New Roman" w:hAnsi="Times New Roman" w:cs="Times New Roman"/>
          <w:lang w:val="bg-BG"/>
        </w:rPr>
        <w:t xml:space="preserve"> </w:t>
      </w:r>
      <w:r w:rsidR="00C94C31" w:rsidRPr="00610B1B">
        <w:rPr>
          <w:rFonts w:ascii="Times New Roman" w:hAnsi="Times New Roman" w:cs="Times New Roman"/>
          <w:sz w:val="24"/>
          <w:szCs w:val="24"/>
          <w:lang w:val="bg-BG"/>
        </w:rPr>
        <w:t>под прякото влияние на средиземноморските циклони</w:t>
      </w:r>
      <w:r w:rsidRPr="00610B1B">
        <w:rPr>
          <w:rFonts w:ascii="Times New Roman" w:hAnsi="Times New Roman" w:cs="Times New Roman"/>
          <w:sz w:val="24"/>
          <w:szCs w:val="24"/>
          <w:lang w:val="bg-BG"/>
        </w:rPr>
        <w:t xml:space="preserve">, отколкото Северното Черноморие. Северните части на крайбрежието и прилежащите им територии </w:t>
      </w:r>
      <w:r w:rsidR="00E73CCD" w:rsidRPr="00610B1B">
        <w:rPr>
          <w:rFonts w:ascii="Times New Roman" w:hAnsi="Times New Roman" w:cs="Times New Roman"/>
          <w:sz w:val="24"/>
          <w:szCs w:val="24"/>
          <w:lang w:val="bg-BG"/>
        </w:rPr>
        <w:t>са</w:t>
      </w:r>
      <w:r w:rsidRPr="00610B1B">
        <w:rPr>
          <w:rFonts w:ascii="Times New Roman" w:hAnsi="Times New Roman" w:cs="Times New Roman"/>
          <w:sz w:val="24"/>
          <w:szCs w:val="24"/>
          <w:lang w:val="bg-BG"/>
        </w:rPr>
        <w:t xml:space="preserve"> най-сухите части на страната. Средният годишен валеж е около 450 </w:t>
      </w:r>
      <w:r w:rsidR="002B1ECB" w:rsidRPr="00610B1B">
        <w:rPr>
          <w:rFonts w:ascii="Times New Roman" w:hAnsi="Times New Roman" w:cs="Times New Roman"/>
          <w:sz w:val="24"/>
          <w:szCs w:val="24"/>
          <w:lang w:val="bg-BG"/>
        </w:rPr>
        <w:t>mm</w:t>
      </w:r>
      <w:r w:rsidRPr="00610B1B">
        <w:rPr>
          <w:rFonts w:ascii="Times New Roman" w:hAnsi="Times New Roman" w:cs="Times New Roman"/>
          <w:sz w:val="24"/>
          <w:szCs w:val="24"/>
          <w:lang w:val="bg-BG"/>
        </w:rPr>
        <w:t xml:space="preserve">, на юг – 550-700 </w:t>
      </w:r>
      <w:r w:rsidR="002B1ECB" w:rsidRPr="00610B1B">
        <w:rPr>
          <w:rFonts w:ascii="Times New Roman" w:hAnsi="Times New Roman" w:cs="Times New Roman"/>
          <w:sz w:val="24"/>
          <w:szCs w:val="24"/>
          <w:lang w:val="bg-BG"/>
        </w:rPr>
        <w:t>mm</w:t>
      </w:r>
      <w:r w:rsidRPr="00610B1B">
        <w:rPr>
          <w:rFonts w:ascii="Times New Roman" w:hAnsi="Times New Roman" w:cs="Times New Roman"/>
          <w:sz w:val="24"/>
          <w:szCs w:val="24"/>
          <w:lang w:val="bg-BG"/>
        </w:rPr>
        <w:t xml:space="preserve">, достигайки в Резово до 812 </w:t>
      </w:r>
      <w:r w:rsidR="002B1ECB" w:rsidRPr="00610B1B">
        <w:rPr>
          <w:rFonts w:ascii="Times New Roman" w:hAnsi="Times New Roman" w:cs="Times New Roman"/>
          <w:sz w:val="24"/>
          <w:szCs w:val="24"/>
          <w:lang w:val="bg-BG"/>
        </w:rPr>
        <w:t>mm</w:t>
      </w:r>
      <w:r w:rsidR="00DA2D4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Вътрешногодишното разпределение на валежите по </w:t>
      </w:r>
      <w:r w:rsidR="00DA2D41" w:rsidRPr="00610B1B">
        <w:rPr>
          <w:rFonts w:ascii="Times New Roman" w:hAnsi="Times New Roman" w:cs="Times New Roman"/>
          <w:sz w:val="24"/>
          <w:szCs w:val="24"/>
          <w:lang w:val="bg-BG"/>
        </w:rPr>
        <w:t xml:space="preserve">българското </w:t>
      </w:r>
      <w:r w:rsidRPr="00610B1B">
        <w:rPr>
          <w:rFonts w:ascii="Times New Roman" w:hAnsi="Times New Roman" w:cs="Times New Roman"/>
          <w:sz w:val="24"/>
          <w:szCs w:val="24"/>
          <w:lang w:val="bg-BG"/>
        </w:rPr>
        <w:t>Черноморие е приблизително еднакво с максимум през ноември - декември и минимум през август</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 септември. В преобладаващия брой станции се наблюдава добре изразено лятно засушаване, което </w:t>
      </w:r>
      <w:r w:rsidR="002B1ECB" w:rsidRPr="00610B1B">
        <w:rPr>
          <w:rFonts w:ascii="Times New Roman" w:hAnsi="Times New Roman" w:cs="Times New Roman"/>
          <w:sz w:val="24"/>
          <w:szCs w:val="24"/>
          <w:lang w:val="bg-BG"/>
        </w:rPr>
        <w:t>продължава</w:t>
      </w:r>
      <w:r w:rsidRPr="00610B1B">
        <w:rPr>
          <w:rFonts w:ascii="Times New Roman" w:hAnsi="Times New Roman" w:cs="Times New Roman"/>
          <w:sz w:val="24"/>
          <w:szCs w:val="24"/>
          <w:lang w:val="bg-BG"/>
        </w:rPr>
        <w:t xml:space="preserve"> 2-3 месеца. Вътрешногодишният ход на валежите</w:t>
      </w:r>
      <w:r w:rsidR="00DA2D41"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w:t>
      </w:r>
      <w:r w:rsidR="00686CE6" w:rsidRPr="00610B1B">
        <w:rPr>
          <w:rFonts w:ascii="Times New Roman" w:hAnsi="Times New Roman" w:cs="Times New Roman"/>
          <w:sz w:val="24"/>
          <w:szCs w:val="24"/>
          <w:lang w:val="bg-BG"/>
        </w:rPr>
        <w:lastRenderedPageBreak/>
        <w:t>характерен</w:t>
      </w:r>
      <w:r w:rsidRPr="00610B1B">
        <w:rPr>
          <w:rFonts w:ascii="Times New Roman" w:hAnsi="Times New Roman" w:cs="Times New Roman"/>
          <w:sz w:val="24"/>
          <w:szCs w:val="24"/>
          <w:lang w:val="bg-BG"/>
        </w:rPr>
        <w:t xml:space="preserve"> за средиземноморски</w:t>
      </w:r>
      <w:r w:rsidR="000E64B6" w:rsidRPr="00610B1B">
        <w:rPr>
          <w:rFonts w:ascii="Times New Roman" w:hAnsi="Times New Roman" w:cs="Times New Roman"/>
          <w:sz w:val="24"/>
          <w:szCs w:val="24"/>
          <w:lang w:val="bg-BG"/>
        </w:rPr>
        <w:t>я</w:t>
      </w:r>
      <w:r w:rsidRPr="00610B1B">
        <w:rPr>
          <w:rFonts w:ascii="Times New Roman" w:hAnsi="Times New Roman" w:cs="Times New Roman"/>
          <w:sz w:val="24"/>
          <w:szCs w:val="24"/>
          <w:lang w:val="bg-BG"/>
        </w:rPr>
        <w:t xml:space="preserve"> климат е по</w:t>
      </w:r>
      <w:r w:rsidR="000E64B6"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изразен по Южното, отколкото по Северното Черноморие.</w:t>
      </w:r>
    </w:p>
    <w:p w14:paraId="619AD331" w14:textId="7E66B20C"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Дните със снеговалеж са съизмерими с тези от ниските части на Южна България. Поради по-високото термично ниво обаче,</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броят на дните със</w:t>
      </w:r>
      <w:r w:rsidR="00DA2D4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снежна покривка е от 6 до 16 дни. В най-южните части на Черноморието не рядко 4-5 последователни години са без снежна покривка.</w:t>
      </w:r>
      <w:r w:rsidR="00DA2D4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Поройни валежи – над 60 </w:t>
      </w:r>
      <w:r w:rsidR="002B1ECB" w:rsidRPr="00610B1B">
        <w:rPr>
          <w:rFonts w:ascii="Times New Roman" w:hAnsi="Times New Roman" w:cs="Times New Roman"/>
          <w:sz w:val="24"/>
          <w:szCs w:val="24"/>
          <w:lang w:val="bg-BG"/>
        </w:rPr>
        <w:t>mm</w:t>
      </w:r>
      <w:r w:rsidRPr="00610B1B">
        <w:rPr>
          <w:rFonts w:ascii="Times New Roman" w:hAnsi="Times New Roman" w:cs="Times New Roman"/>
          <w:sz w:val="24"/>
          <w:szCs w:val="24"/>
          <w:lang w:val="bg-BG"/>
        </w:rPr>
        <w:t xml:space="preserve"> по Южното Черноморие се наблюдават средно по 1 случай</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на година</w:t>
      </w:r>
      <w:r w:rsidR="00C94C31"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най-често през студеното полугодие. По северното крайбрежие такива поройни валежи се наблюдават по 1-2 случая на десетилетие предимно през топлото полугодие.</w:t>
      </w:r>
    </w:p>
    <w:p w14:paraId="0BA4E6A8" w14:textId="56393E08"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Сравнително чести и опасни са поледиците през студеното полугодие. Неголемите количества преохладени валежи и силния</w:t>
      </w:r>
      <w:r w:rsidR="002B1ECB" w:rsidRPr="00610B1B">
        <w:rPr>
          <w:rFonts w:ascii="Times New Roman" w:hAnsi="Times New Roman" w:cs="Times New Roman"/>
          <w:sz w:val="24"/>
          <w:szCs w:val="24"/>
          <w:lang w:val="bg-BG"/>
        </w:rPr>
        <w:t>т</w:t>
      </w:r>
      <w:r w:rsidRPr="00610B1B">
        <w:rPr>
          <w:rFonts w:ascii="Times New Roman" w:hAnsi="Times New Roman" w:cs="Times New Roman"/>
          <w:sz w:val="24"/>
          <w:szCs w:val="24"/>
          <w:lang w:val="bg-BG"/>
        </w:rPr>
        <w:t xml:space="preserve"> североизточен вятър създават ледени наслоения, които предизвикват значителни щети.</w:t>
      </w:r>
    </w:p>
    <w:p w14:paraId="70904E86" w14:textId="2DC1B6DB" w:rsidR="009D4A0E" w:rsidRPr="00610B1B" w:rsidRDefault="00F02BF7" w:rsidP="00D32D6A">
      <w:pPr>
        <w:pStyle w:val="Heading4"/>
        <w:spacing w:before="0" w:line="276" w:lineRule="auto"/>
        <w:ind w:right="-153"/>
        <w:rPr>
          <w:rFonts w:cs="Times New Roman"/>
        </w:rPr>
      </w:pPr>
      <w:r w:rsidRPr="00610B1B">
        <w:rPr>
          <w:rFonts w:cs="Times New Roman"/>
        </w:rPr>
        <w:t xml:space="preserve">2.2.3.4. </w:t>
      </w:r>
      <w:r w:rsidR="009D4A0E" w:rsidRPr="00610B1B">
        <w:rPr>
          <w:rFonts w:cs="Times New Roman"/>
        </w:rPr>
        <w:t xml:space="preserve">Влажност на въздуха </w:t>
      </w:r>
    </w:p>
    <w:p w14:paraId="7B89F7CB" w14:textId="0F4AC0F4"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Абсолютната влажност на въздуха е по-висока по Черноморието в сравнение с останалата част на страната</w:t>
      </w:r>
      <w:r w:rsidR="00DA2D41" w:rsidRPr="00610B1B">
        <w:rPr>
          <w:rFonts w:ascii="Times New Roman" w:hAnsi="Times New Roman" w:cs="Times New Roman"/>
          <w:sz w:val="24"/>
          <w:szCs w:val="24"/>
          <w:lang w:val="bg-BG"/>
        </w:rPr>
        <w:t xml:space="preserve">, поради </w:t>
      </w:r>
      <w:r w:rsidRPr="00610B1B">
        <w:rPr>
          <w:rFonts w:ascii="Times New Roman" w:hAnsi="Times New Roman" w:cs="Times New Roman"/>
          <w:sz w:val="24"/>
          <w:szCs w:val="24"/>
          <w:lang w:val="bg-BG"/>
        </w:rPr>
        <w:t>наличието на воден басейн, от който се изпаряват значителни водни маси. М</w:t>
      </w:r>
      <w:r w:rsidR="000E64B6" w:rsidRPr="00610B1B">
        <w:rPr>
          <w:rFonts w:ascii="Times New Roman" w:hAnsi="Times New Roman" w:cs="Times New Roman"/>
          <w:sz w:val="24"/>
          <w:szCs w:val="24"/>
          <w:lang w:val="bg-BG"/>
        </w:rPr>
        <w:t>инимумът</w:t>
      </w:r>
      <w:r w:rsidRPr="00610B1B">
        <w:rPr>
          <w:rFonts w:ascii="Times New Roman" w:hAnsi="Times New Roman" w:cs="Times New Roman"/>
          <w:sz w:val="24"/>
          <w:szCs w:val="24"/>
          <w:lang w:val="bg-BG"/>
        </w:rPr>
        <w:t xml:space="preserve"> е през януари и февруари, а максимумът през юли и август. Денонощният ход на </w:t>
      </w:r>
      <w:r w:rsidR="00DA2D41" w:rsidRPr="00610B1B">
        <w:rPr>
          <w:rFonts w:ascii="Times New Roman" w:hAnsi="Times New Roman" w:cs="Times New Roman"/>
          <w:sz w:val="24"/>
          <w:szCs w:val="24"/>
          <w:lang w:val="bg-BG"/>
        </w:rPr>
        <w:t>а</w:t>
      </w:r>
      <w:r w:rsidRPr="00610B1B">
        <w:rPr>
          <w:rFonts w:ascii="Times New Roman" w:hAnsi="Times New Roman" w:cs="Times New Roman"/>
          <w:sz w:val="24"/>
          <w:szCs w:val="24"/>
          <w:lang w:val="bg-BG"/>
        </w:rPr>
        <w:t>бсолютната влажност е с малка амплитуда, като максимумът през всички сезони е в 14 часа.</w:t>
      </w:r>
      <w:r w:rsidR="00DA2D4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Относителната влажност по Черноморието е висока през цялата година</w:t>
      </w:r>
      <w:r w:rsidR="008A031B"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Дни с относителна влажност на въздуха под 30% не се наблюдават</w:t>
      </w:r>
      <w:r w:rsidR="000E64B6"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за разлика от вътрешността на страната.</w:t>
      </w:r>
    </w:p>
    <w:p w14:paraId="76F42B4B" w14:textId="481DDE74"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Средната продължителност на засушаванията през лятото и есента е 17-18 дни</w:t>
      </w:r>
      <w:r w:rsidR="008A031B"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а през зимата и пролетта – 14-15 дни. През лятото те са по-чести – 2-3 пъти за сезон срещу 1 път през зимата и пролетта.</w:t>
      </w:r>
      <w:r w:rsidR="00B673D6"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Често месеците юли, август и септември са изцяло засушливи особено по </w:t>
      </w:r>
      <w:r w:rsidR="00B673D6" w:rsidRPr="00610B1B">
        <w:rPr>
          <w:rFonts w:ascii="Times New Roman" w:hAnsi="Times New Roman" w:cs="Times New Roman"/>
          <w:sz w:val="24"/>
          <w:szCs w:val="24"/>
          <w:lang w:val="bg-BG"/>
        </w:rPr>
        <w:t xml:space="preserve">Южното </w:t>
      </w:r>
      <w:r w:rsidRPr="00610B1B">
        <w:rPr>
          <w:rFonts w:ascii="Times New Roman" w:hAnsi="Times New Roman" w:cs="Times New Roman"/>
          <w:sz w:val="24"/>
          <w:szCs w:val="24"/>
          <w:lang w:val="bg-BG"/>
        </w:rPr>
        <w:t>крайбрежие, а падналите валежи са незначителни.</w:t>
      </w:r>
    </w:p>
    <w:p w14:paraId="102DC287" w14:textId="6DC604AC" w:rsidR="009D4A0E" w:rsidRPr="00610B1B" w:rsidRDefault="00F02BF7" w:rsidP="00D32D6A">
      <w:pPr>
        <w:pStyle w:val="Heading4"/>
        <w:spacing w:before="0" w:line="276" w:lineRule="auto"/>
        <w:ind w:right="-153"/>
        <w:rPr>
          <w:rFonts w:cs="Times New Roman"/>
        </w:rPr>
      </w:pPr>
      <w:r w:rsidRPr="00610B1B">
        <w:rPr>
          <w:rFonts w:cs="Times New Roman"/>
        </w:rPr>
        <w:t xml:space="preserve">2.2.3.5. </w:t>
      </w:r>
      <w:r w:rsidR="009D4A0E" w:rsidRPr="00610B1B">
        <w:rPr>
          <w:rFonts w:cs="Times New Roman"/>
        </w:rPr>
        <w:t>Ветрови режим</w:t>
      </w:r>
    </w:p>
    <w:p w14:paraId="468C6645" w14:textId="7F2F8B8E"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През студеното</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полугодие преобладават северните ветрове – от 30 до 43% от случаите с вятър. Тяхната средна скорост е 5-7 </w:t>
      </w:r>
      <w:r w:rsidR="00B673D6"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w:t>
      </w:r>
      <w:r w:rsidR="00B673D6" w:rsidRPr="00610B1B">
        <w:rPr>
          <w:rFonts w:ascii="Times New Roman" w:hAnsi="Times New Roman" w:cs="Times New Roman"/>
          <w:sz w:val="24"/>
          <w:szCs w:val="24"/>
          <w:lang w:val="bg-BG"/>
        </w:rPr>
        <w:t>s</w:t>
      </w:r>
      <w:r w:rsidRPr="00610B1B">
        <w:rPr>
          <w:rFonts w:ascii="Times New Roman" w:hAnsi="Times New Roman" w:cs="Times New Roman"/>
          <w:sz w:val="24"/>
          <w:szCs w:val="24"/>
          <w:lang w:val="bg-BG"/>
        </w:rPr>
        <w:t>. По Черноморието са измерени едни от най-силните ветрове в страната</w:t>
      </w:r>
      <w:r w:rsidR="00B673D6"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в станциите Калиакра и Галата – 44 </w:t>
      </w:r>
      <w:r w:rsidR="00B673D6"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w:t>
      </w:r>
      <w:r w:rsidR="00B673D6" w:rsidRPr="00610B1B">
        <w:rPr>
          <w:rFonts w:ascii="Times New Roman" w:hAnsi="Times New Roman" w:cs="Times New Roman"/>
          <w:sz w:val="24"/>
          <w:szCs w:val="24"/>
          <w:lang w:val="bg-BG"/>
        </w:rPr>
        <w:t>s</w:t>
      </w:r>
      <w:r w:rsidRPr="00610B1B">
        <w:rPr>
          <w:rFonts w:ascii="Times New Roman" w:hAnsi="Times New Roman" w:cs="Times New Roman"/>
          <w:sz w:val="24"/>
          <w:szCs w:val="24"/>
          <w:lang w:val="bg-BG"/>
        </w:rPr>
        <w:t>. В понижението Варна-Девня се наблюдава падащ вятър – средно около 20 случая годишно</w:t>
      </w:r>
      <w:r w:rsidR="00E73CCD"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През студеното полугодие се наблюдават и южни и югозападни ветрове. При преминаване на средиземноморските циклони на север от Черноморието, се проявяват ветрове с фьонов характер.</w:t>
      </w:r>
      <w:r w:rsidR="00B673D6"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Честотата на ветровете от други посоки е много по-малка.</w:t>
      </w:r>
    </w:p>
    <w:p w14:paraId="133C4BDF" w14:textId="3A694A8B"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През топлото полугодие преобладаващи са източните ветрове благодарение на дневната бризова циркулация. Характерно за нашето крайбрежие е рядкото проявление на нощния бриз със западна посока </w:t>
      </w:r>
      <w:r w:rsidR="000E64B6" w:rsidRPr="00610B1B">
        <w:rPr>
          <w:rFonts w:ascii="Times New Roman" w:hAnsi="Times New Roman" w:cs="Times New Roman"/>
          <w:sz w:val="24"/>
          <w:szCs w:val="24"/>
          <w:lang w:val="bg-BG"/>
        </w:rPr>
        <w:t>в</w:t>
      </w:r>
      <w:r w:rsidRPr="00610B1B">
        <w:rPr>
          <w:rFonts w:ascii="Times New Roman" w:hAnsi="Times New Roman" w:cs="Times New Roman"/>
          <w:sz w:val="24"/>
          <w:szCs w:val="24"/>
          <w:lang w:val="bg-BG"/>
        </w:rPr>
        <w:t xml:space="preserve"> около 40% от нощите. Неговата скорост е 2-3 пъти по-малка -</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между 1 и 2 </w:t>
      </w:r>
      <w:r w:rsidR="00B673D6"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w:t>
      </w:r>
      <w:r w:rsidR="00B673D6" w:rsidRPr="00610B1B">
        <w:rPr>
          <w:rFonts w:ascii="Times New Roman" w:hAnsi="Times New Roman" w:cs="Times New Roman"/>
          <w:sz w:val="24"/>
          <w:szCs w:val="24"/>
          <w:lang w:val="bg-BG"/>
        </w:rPr>
        <w:t>s</w:t>
      </w:r>
      <w:r w:rsidRPr="00610B1B">
        <w:rPr>
          <w:rFonts w:ascii="Times New Roman" w:hAnsi="Times New Roman" w:cs="Times New Roman"/>
          <w:sz w:val="24"/>
          <w:szCs w:val="24"/>
          <w:lang w:val="bg-BG"/>
        </w:rPr>
        <w:t>. След източните ветрове през пролетта и лятото се нареждат ветровете от северната четвърт.</w:t>
      </w:r>
    </w:p>
    <w:p w14:paraId="0B376595" w14:textId="4446271D" w:rsidR="009D4A0E" w:rsidRPr="00610B1B" w:rsidRDefault="009D4A0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Случаите с вятър по Черноморието - 85-90% от всички денонощия, значително надвишават тези</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в останалата извънпланинска част на страната – 55-60%. Преобладаващите посоки на вятъра са северната и североизточната, като средната скорост </w:t>
      </w:r>
      <w:r w:rsidRPr="00610B1B">
        <w:rPr>
          <w:rFonts w:ascii="Times New Roman" w:hAnsi="Times New Roman" w:cs="Times New Roman"/>
          <w:sz w:val="24"/>
          <w:szCs w:val="24"/>
          <w:lang w:val="bg-BG"/>
        </w:rPr>
        <w:lastRenderedPageBreak/>
        <w:t>е около 2 пъти по-висока от средната за страната. Поради това, въпреки сравнително високото термично ниво през зимата, субективното усещане е за по-ниски температури.</w:t>
      </w:r>
    </w:p>
    <w:p w14:paraId="1F1BC66B" w14:textId="00C202C7" w:rsidR="009D4A0E" w:rsidRPr="00610B1B" w:rsidRDefault="00F02BF7" w:rsidP="00D32D6A">
      <w:pPr>
        <w:pStyle w:val="Heading4"/>
        <w:spacing w:before="0" w:line="276" w:lineRule="auto"/>
        <w:ind w:right="-153"/>
        <w:rPr>
          <w:rFonts w:cs="Times New Roman"/>
        </w:rPr>
      </w:pPr>
      <w:r w:rsidRPr="00610B1B">
        <w:rPr>
          <w:rFonts w:cs="Times New Roman"/>
        </w:rPr>
        <w:t>2.2.3.</w:t>
      </w:r>
      <w:r w:rsidR="00E73CCD" w:rsidRPr="00610B1B">
        <w:rPr>
          <w:rFonts w:cs="Times New Roman"/>
        </w:rPr>
        <w:t>6</w:t>
      </w:r>
      <w:r w:rsidRPr="00610B1B">
        <w:rPr>
          <w:rFonts w:cs="Times New Roman"/>
        </w:rPr>
        <w:t xml:space="preserve">. </w:t>
      </w:r>
      <w:r w:rsidR="009D4A0E" w:rsidRPr="00610B1B">
        <w:rPr>
          <w:rFonts w:cs="Times New Roman"/>
        </w:rPr>
        <w:t>Климатични промени</w:t>
      </w:r>
    </w:p>
    <w:p w14:paraId="3717D324" w14:textId="5EF125F9" w:rsidR="009D4A0E" w:rsidRPr="00610B1B" w:rsidRDefault="009D4A0E" w:rsidP="00D32D6A">
      <w:pPr>
        <w:spacing w:after="120"/>
        <w:ind w:right="-153"/>
        <w:jc w:val="both"/>
        <w:rPr>
          <w:rFonts w:ascii="Times New Roman" w:hAnsi="Times New Roman" w:cs="Times New Roman"/>
          <w:color w:val="000000"/>
          <w:sz w:val="24"/>
          <w:szCs w:val="24"/>
          <w:lang w:val="bg-BG"/>
        </w:rPr>
      </w:pPr>
      <w:r w:rsidRPr="00610B1B">
        <w:rPr>
          <w:rFonts w:ascii="Times New Roman" w:hAnsi="Times New Roman" w:cs="Times New Roman"/>
          <w:sz w:val="24"/>
          <w:szCs w:val="24"/>
          <w:lang w:val="bg-BG"/>
        </w:rPr>
        <w:t xml:space="preserve">Сред най-важните предизвикателства пред бъдещото развитие на Черноморския регион е адаптацията към </w:t>
      </w:r>
      <w:r w:rsidR="00B673D6" w:rsidRPr="00610B1B">
        <w:rPr>
          <w:rFonts w:ascii="Times New Roman" w:hAnsi="Times New Roman" w:cs="Times New Roman"/>
          <w:sz w:val="24"/>
          <w:szCs w:val="24"/>
          <w:lang w:val="bg-BG"/>
        </w:rPr>
        <w:t>глобални</w:t>
      </w:r>
      <w:r w:rsidR="00FB035B" w:rsidRPr="00610B1B">
        <w:rPr>
          <w:rFonts w:ascii="Times New Roman" w:hAnsi="Times New Roman" w:cs="Times New Roman"/>
          <w:sz w:val="24"/>
          <w:szCs w:val="24"/>
          <w:lang w:val="bg-BG"/>
        </w:rPr>
        <w:t>те</w:t>
      </w:r>
      <w:r w:rsidR="00B673D6"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климатични промени. По данни на </w:t>
      </w:r>
      <w:bookmarkStart w:id="32" w:name="_Hlk32840237"/>
      <w:r w:rsidRPr="00610B1B">
        <w:rPr>
          <w:rFonts w:ascii="Times New Roman" w:hAnsi="Times New Roman" w:cs="Times New Roman"/>
          <w:sz w:val="24"/>
          <w:szCs w:val="24"/>
          <w:lang w:val="bg-BG"/>
        </w:rPr>
        <w:t>НИМХ филиал Варна</w:t>
      </w:r>
      <w:bookmarkEnd w:id="32"/>
      <w:r w:rsidRPr="00610B1B">
        <w:rPr>
          <w:rStyle w:val="Hyperlink"/>
          <w:rFonts w:ascii="Times New Roman" w:hAnsi="Times New Roman" w:cs="Times New Roman"/>
          <w:sz w:val="24"/>
          <w:szCs w:val="24"/>
          <w:u w:val="none"/>
          <w:lang w:val="bg-BG"/>
        </w:rPr>
        <w:t xml:space="preserve"> </w:t>
      </w:r>
      <w:r w:rsidRPr="00610B1B">
        <w:rPr>
          <w:rStyle w:val="Hyperlink"/>
          <w:rFonts w:ascii="Times New Roman" w:hAnsi="Times New Roman" w:cs="Times New Roman"/>
          <w:color w:val="000000" w:themeColor="text1"/>
          <w:sz w:val="24"/>
          <w:szCs w:val="24"/>
          <w:u w:val="none"/>
          <w:lang w:val="bg-BG"/>
        </w:rPr>
        <w:t>за периода 1991-2011</w:t>
      </w:r>
      <w:r w:rsidR="00B673D6" w:rsidRPr="00610B1B">
        <w:rPr>
          <w:rStyle w:val="Hyperlink"/>
          <w:rFonts w:ascii="Times New Roman" w:hAnsi="Times New Roman" w:cs="Times New Roman"/>
          <w:color w:val="000000" w:themeColor="text1"/>
          <w:sz w:val="24"/>
          <w:szCs w:val="24"/>
          <w:u w:val="none"/>
          <w:lang w:val="bg-BG"/>
        </w:rPr>
        <w:t xml:space="preserve"> </w:t>
      </w:r>
      <w:r w:rsidRPr="00610B1B">
        <w:rPr>
          <w:rStyle w:val="Hyperlink"/>
          <w:rFonts w:ascii="Times New Roman" w:hAnsi="Times New Roman" w:cs="Times New Roman"/>
          <w:color w:val="000000" w:themeColor="text1"/>
          <w:sz w:val="24"/>
          <w:szCs w:val="24"/>
          <w:u w:val="none"/>
          <w:lang w:val="bg-BG"/>
        </w:rPr>
        <w:t>г. за станция Варна са настъпили промени</w:t>
      </w:r>
      <w:r w:rsidR="00B673D6" w:rsidRPr="00610B1B">
        <w:rPr>
          <w:rStyle w:val="Hyperlink"/>
          <w:rFonts w:ascii="Times New Roman" w:hAnsi="Times New Roman" w:cs="Times New Roman"/>
          <w:color w:val="000000" w:themeColor="text1"/>
          <w:sz w:val="24"/>
          <w:szCs w:val="24"/>
          <w:u w:val="none"/>
          <w:lang w:val="bg-BG"/>
        </w:rPr>
        <w:t xml:space="preserve"> в температурите и валежите.</w:t>
      </w:r>
      <w:r w:rsidR="002D3E58" w:rsidRPr="00610B1B">
        <w:rPr>
          <w:rStyle w:val="Hyperlink"/>
          <w:rFonts w:ascii="Times New Roman" w:hAnsi="Times New Roman" w:cs="Times New Roman"/>
          <w:color w:val="000000" w:themeColor="text1"/>
          <w:sz w:val="24"/>
          <w:szCs w:val="24"/>
          <w:u w:val="none"/>
          <w:lang w:val="bg-BG"/>
        </w:rPr>
        <w:t xml:space="preserve"> </w:t>
      </w:r>
      <w:r w:rsidRPr="00610B1B">
        <w:rPr>
          <w:rStyle w:val="Hyperlink"/>
          <w:rFonts w:ascii="Times New Roman" w:hAnsi="Times New Roman" w:cs="Times New Roman"/>
          <w:color w:val="000000" w:themeColor="text1"/>
          <w:sz w:val="24"/>
          <w:szCs w:val="24"/>
          <w:u w:val="none"/>
          <w:lang w:val="bg-BG"/>
        </w:rPr>
        <w:t>Общо</w:t>
      </w:r>
      <w:r w:rsidRPr="00610B1B">
        <w:rPr>
          <w:rFonts w:ascii="Times New Roman" w:hAnsi="Times New Roman" w:cs="Times New Roman"/>
          <w:color w:val="000000"/>
          <w:sz w:val="24"/>
          <w:szCs w:val="24"/>
          <w:lang w:val="bg-BG"/>
        </w:rPr>
        <w:t xml:space="preserve"> 14 години от последните 20 са с по-висока средна годишна температура от климатичната норма, която е 12°С. В сравнение с предходните години, летата и зимите стават все по-топли, а есента по-хладна.</w:t>
      </w:r>
    </w:p>
    <w:p w14:paraId="01E51BC4" w14:textId="0DBE024C" w:rsidR="00354EFB" w:rsidRPr="00610B1B" w:rsidRDefault="00354EFB" w:rsidP="00D32D6A">
      <w:pPr>
        <w:pStyle w:val="Caption"/>
        <w:spacing w:before="0" w:line="276" w:lineRule="auto"/>
        <w:ind w:right="-153"/>
        <w:jc w:val="both"/>
        <w:rPr>
          <w:rFonts w:cs="Times New Roman"/>
        </w:rPr>
      </w:pPr>
      <w:r w:rsidRPr="00610B1B">
        <w:rPr>
          <w:rFonts w:cs="Times New Roman"/>
          <w:color w:val="000000" w:themeColor="text1"/>
        </w:rPr>
        <w:t xml:space="preserve">В района на гр. Варна годишните количества на валежите се колебаят между 300 и 700 mm. За последните 20 години, преобладават тези с по-големи количества от климатичната норма – 474 mm. </w:t>
      </w:r>
      <w:r w:rsidRPr="00610B1B">
        <w:rPr>
          <w:rFonts w:cs="Times New Roman"/>
        </w:rPr>
        <w:t xml:space="preserve">След анализа на снежната покривка и дните със сняг за последните 20 зимни сезона за гр. Варна, подреждането е следното: </w:t>
      </w:r>
      <w:r w:rsidR="00F85B17" w:rsidRPr="00610B1B">
        <w:rPr>
          <w:rFonts w:cs="Times New Roman"/>
        </w:rPr>
        <w:t>най</w:t>
      </w:r>
      <w:r w:rsidRPr="00610B1B">
        <w:rPr>
          <w:rFonts w:cs="Times New Roman"/>
        </w:rPr>
        <w:t xml:space="preserve">-снежна зима е 2009-2010 г., следвана от 2001-2002 г., 2004–2005 г. и т.н. Зимата на 2006-2007 г. е с най-незначителна снежна покривка. Най-дебел сняг от 50 cm е измерен през февруари 2005 г. </w:t>
      </w:r>
    </w:p>
    <w:p w14:paraId="4321D674" w14:textId="51FF06FF" w:rsidR="002F261E" w:rsidRPr="00610B1B" w:rsidRDefault="002F261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Аналогични промени се наблюдават и в района на гр. Бургас – повишаване на броя на дните с по-високи стойности на средно годишната температура от климатичната норма, по-високи температури през лятото и съответно по-продължителни и топли лято и зима, а по-студена есен, по-голям брой дни с валежи над средните норми, </w:t>
      </w:r>
      <w:r w:rsidR="00D248A1" w:rsidRPr="00610B1B">
        <w:rPr>
          <w:rFonts w:ascii="Times New Roman" w:hAnsi="Times New Roman" w:cs="Times New Roman"/>
          <w:sz w:val="24"/>
          <w:szCs w:val="24"/>
          <w:lang w:val="bg-BG"/>
        </w:rPr>
        <w:t xml:space="preserve">по-малък брой дни със снежна покривка, </w:t>
      </w:r>
      <w:r w:rsidRPr="00610B1B">
        <w:rPr>
          <w:rFonts w:ascii="Times New Roman" w:hAnsi="Times New Roman" w:cs="Times New Roman"/>
          <w:sz w:val="24"/>
          <w:szCs w:val="24"/>
          <w:lang w:val="bg-BG"/>
        </w:rPr>
        <w:t xml:space="preserve">по-голям брой наводнения. </w:t>
      </w:r>
    </w:p>
    <w:p w14:paraId="4D97C02D" w14:textId="0E49DFF8" w:rsidR="009D4A0E" w:rsidRPr="00610B1B" w:rsidRDefault="009D4A0E" w:rsidP="00D32D6A">
      <w:pPr>
        <w:spacing w:after="120"/>
        <w:ind w:right="-153"/>
        <w:jc w:val="both"/>
        <w:rPr>
          <w:rFonts w:ascii="Times New Roman" w:hAnsi="Times New Roman" w:cs="Times New Roman"/>
          <w:sz w:val="24"/>
          <w:szCs w:val="24"/>
          <w:vertAlign w:val="superscript"/>
          <w:lang w:val="bg-BG"/>
        </w:rPr>
      </w:pPr>
      <w:r w:rsidRPr="00610B1B">
        <w:rPr>
          <w:rFonts w:ascii="Times New Roman" w:hAnsi="Times New Roman" w:cs="Times New Roman"/>
          <w:sz w:val="24"/>
          <w:szCs w:val="24"/>
          <w:lang w:val="bg-BG"/>
        </w:rPr>
        <w:t>Извършено</w:t>
      </w:r>
      <w:r w:rsidR="00FF0539" w:rsidRPr="00610B1B">
        <w:rPr>
          <w:rFonts w:ascii="Times New Roman" w:hAnsi="Times New Roman" w:cs="Times New Roman"/>
          <w:sz w:val="24"/>
          <w:szCs w:val="24"/>
          <w:lang w:val="bg-BG"/>
        </w:rPr>
        <w:t>то</w:t>
      </w:r>
      <w:r w:rsidRPr="00610B1B">
        <w:rPr>
          <w:rFonts w:ascii="Times New Roman" w:hAnsi="Times New Roman" w:cs="Times New Roman"/>
          <w:sz w:val="24"/>
          <w:szCs w:val="24"/>
          <w:lang w:val="bg-BG"/>
        </w:rPr>
        <w:t xml:space="preserve"> климатично моделиране по райони за басейново управление по два сценария – „оптимистичен“ (RCP4.5) и „песимистичен „(RCP8.5) за очаквано изменение на средните температури и количество валежи за три периода: първи период с хоризонт 2027 г., </w:t>
      </w:r>
      <w:r w:rsidR="00FF0539" w:rsidRPr="00610B1B">
        <w:rPr>
          <w:rFonts w:ascii="Times New Roman" w:hAnsi="Times New Roman" w:cs="Times New Roman"/>
          <w:sz w:val="24"/>
          <w:szCs w:val="24"/>
          <w:lang w:val="bg-BG"/>
        </w:rPr>
        <w:t>втори</w:t>
      </w:r>
      <w:r w:rsidRPr="00610B1B">
        <w:rPr>
          <w:rFonts w:ascii="Times New Roman" w:hAnsi="Times New Roman" w:cs="Times New Roman"/>
          <w:sz w:val="24"/>
          <w:szCs w:val="24"/>
          <w:lang w:val="bg-BG"/>
        </w:rPr>
        <w:t xml:space="preserve"> период 2021-2050 г. и </w:t>
      </w:r>
      <w:r w:rsidR="00FF0539" w:rsidRPr="00610B1B">
        <w:rPr>
          <w:rFonts w:ascii="Times New Roman" w:hAnsi="Times New Roman" w:cs="Times New Roman"/>
          <w:sz w:val="24"/>
          <w:szCs w:val="24"/>
          <w:lang w:val="bg-BG"/>
        </w:rPr>
        <w:t xml:space="preserve">трети - </w:t>
      </w:r>
      <w:r w:rsidRPr="00610B1B">
        <w:rPr>
          <w:rFonts w:ascii="Times New Roman" w:hAnsi="Times New Roman" w:cs="Times New Roman"/>
          <w:sz w:val="24"/>
          <w:szCs w:val="24"/>
          <w:lang w:val="bg-BG"/>
        </w:rPr>
        <w:t xml:space="preserve">2071-2100 г. </w:t>
      </w:r>
      <w:r w:rsidR="00FF0539" w:rsidRPr="00610B1B">
        <w:rPr>
          <w:rFonts w:ascii="Times New Roman" w:hAnsi="Times New Roman" w:cs="Times New Roman"/>
          <w:sz w:val="24"/>
          <w:szCs w:val="24"/>
          <w:lang w:val="bg-BG"/>
        </w:rPr>
        <w:t>показва</w:t>
      </w:r>
      <w:r w:rsidRPr="00610B1B">
        <w:rPr>
          <w:rFonts w:ascii="Times New Roman" w:hAnsi="Times New Roman" w:cs="Times New Roman"/>
          <w:sz w:val="24"/>
          <w:szCs w:val="24"/>
          <w:vertAlign w:val="superscript"/>
          <w:lang w:val="bg-BG"/>
        </w:rPr>
        <w:t xml:space="preserve"> </w:t>
      </w:r>
      <w:r w:rsidRPr="00610B1B">
        <w:rPr>
          <w:rFonts w:ascii="Times New Roman" w:hAnsi="Times New Roman" w:cs="Times New Roman"/>
          <w:sz w:val="24"/>
          <w:szCs w:val="24"/>
          <w:lang w:val="bg-BG"/>
        </w:rPr>
        <w:t>повишена уязвимост на Черноморието от засушаване и суши, екстремни температури, горещи вълни и наводнения. В резултат от климатичните промени се очаква да нараснат случаите с интензивни валежи, които предизвикват внезапни наводнения и щети на фона на общото затопляне и засушаване в региона. Моделите показват нарастване на количеството на валежите с големи регионални различия.</w:t>
      </w:r>
    </w:p>
    <w:p w14:paraId="0E4BFF40" w14:textId="25444CFD" w:rsidR="009D4A0E" w:rsidRPr="00610B1B" w:rsidRDefault="00F02BF7" w:rsidP="00D32D6A">
      <w:pPr>
        <w:pStyle w:val="Heading4"/>
        <w:spacing w:before="0" w:line="276" w:lineRule="auto"/>
        <w:ind w:right="-153"/>
        <w:rPr>
          <w:rFonts w:cs="Times New Roman"/>
        </w:rPr>
      </w:pPr>
      <w:r w:rsidRPr="00610B1B">
        <w:rPr>
          <w:rFonts w:cs="Times New Roman"/>
        </w:rPr>
        <w:t xml:space="preserve">2.2.3.8. </w:t>
      </w:r>
      <w:r w:rsidR="009D4A0E" w:rsidRPr="00610B1B">
        <w:rPr>
          <w:rFonts w:cs="Times New Roman"/>
        </w:rPr>
        <w:t>Райони</w:t>
      </w:r>
      <w:r w:rsidR="0025588B" w:rsidRPr="00610B1B">
        <w:rPr>
          <w:rFonts w:cs="Times New Roman"/>
        </w:rPr>
        <w:t>,</w:t>
      </w:r>
      <w:r w:rsidR="009D4A0E" w:rsidRPr="00610B1B">
        <w:rPr>
          <w:rFonts w:cs="Times New Roman"/>
        </w:rPr>
        <w:t xml:space="preserve"> подложени на най-силно потенциално въздействие</w:t>
      </w:r>
    </w:p>
    <w:p w14:paraId="148BFE10" w14:textId="54461189" w:rsidR="009D4A0E" w:rsidRPr="00610B1B" w:rsidRDefault="002F2112" w:rsidP="00D32D6A">
      <w:pPr>
        <w:autoSpaceDE w:val="0"/>
        <w:autoSpaceDN w:val="0"/>
        <w:adjustRightInd w:val="0"/>
        <w:spacing w:after="120"/>
        <w:ind w:right="-153"/>
        <w:jc w:val="both"/>
        <w:rPr>
          <w:rFonts w:ascii="Times New Roman" w:eastAsia="Times New Roman,Bold" w:hAnsi="Times New Roman" w:cs="Times New Roman"/>
          <w:sz w:val="24"/>
          <w:szCs w:val="24"/>
          <w:lang w:val="bg-BG"/>
        </w:rPr>
      </w:pPr>
      <w:r w:rsidRPr="00610B1B">
        <w:rPr>
          <w:rFonts w:ascii="Times New Roman" w:eastAsia="Times New Roman,Bold" w:hAnsi="Times New Roman" w:cs="Times New Roman"/>
          <w:sz w:val="24"/>
          <w:szCs w:val="24"/>
          <w:lang w:val="bg-BG"/>
        </w:rPr>
        <w:t>За</w:t>
      </w:r>
      <w:r w:rsidR="009D4A0E" w:rsidRPr="00610B1B">
        <w:rPr>
          <w:rFonts w:ascii="Times New Roman" w:eastAsia="Times New Roman,Bold" w:hAnsi="Times New Roman" w:cs="Times New Roman"/>
          <w:sz w:val="24"/>
          <w:szCs w:val="24"/>
          <w:lang w:val="bg-BG"/>
        </w:rPr>
        <w:t xml:space="preserve"> приетия </w:t>
      </w:r>
      <w:r w:rsidRPr="00610B1B">
        <w:rPr>
          <w:rFonts w:ascii="Times New Roman" w:eastAsia="Times New Roman,Bold" w:hAnsi="Times New Roman" w:cs="Times New Roman"/>
          <w:sz w:val="24"/>
          <w:szCs w:val="24"/>
          <w:lang w:val="bg-BG"/>
        </w:rPr>
        <w:t xml:space="preserve">в ПУРБ за БДЧР </w:t>
      </w:r>
      <w:r w:rsidR="009D4A0E" w:rsidRPr="00610B1B">
        <w:rPr>
          <w:rFonts w:ascii="Times New Roman" w:eastAsia="Times New Roman,Bold" w:hAnsi="Times New Roman" w:cs="Times New Roman"/>
          <w:sz w:val="24"/>
          <w:szCs w:val="24"/>
          <w:lang w:val="bg-BG"/>
        </w:rPr>
        <w:t>работен сценарий на климатични промени - RCP8.5 с плавно нарастващи емисии на парникови газове във времето (най-песимистичен сценарий), прогнозираните тенденции за изменението за оттока по сезони, проявени като най-интензивни за периода 2071-2100 г., са следните:</w:t>
      </w:r>
    </w:p>
    <w:p w14:paraId="566B8ABF" w14:textId="77777777" w:rsidR="002419AD" w:rsidRPr="00610B1B" w:rsidRDefault="009D4A0E" w:rsidP="00B46189">
      <w:pPr>
        <w:pStyle w:val="ListParagraph"/>
        <w:numPr>
          <w:ilvl w:val="0"/>
          <w:numId w:val="46"/>
        </w:numPr>
        <w:autoSpaceDE w:val="0"/>
        <w:autoSpaceDN w:val="0"/>
        <w:adjustRightInd w:val="0"/>
        <w:spacing w:after="120"/>
        <w:ind w:right="-153"/>
        <w:contextualSpacing w:val="0"/>
        <w:jc w:val="both"/>
        <w:rPr>
          <w:rFonts w:ascii="Times New Roman" w:eastAsia="Times New Roman,Bold" w:hAnsi="Times New Roman" w:cs="Times New Roman"/>
          <w:sz w:val="24"/>
          <w:szCs w:val="24"/>
          <w:lang w:val="bg-BG"/>
        </w:rPr>
      </w:pPr>
      <w:r w:rsidRPr="00610B1B">
        <w:rPr>
          <w:rFonts w:ascii="Times New Roman" w:eastAsia="Times New Roman,Bold" w:hAnsi="Times New Roman" w:cs="Times New Roman"/>
          <w:sz w:val="24"/>
          <w:szCs w:val="24"/>
          <w:lang w:val="bg-BG"/>
        </w:rPr>
        <w:t xml:space="preserve">На север от Стара планина за поречията на Черноморски Добруджански реки, р. Провадийска и р. Камчия прогнозата за пролетния отток </w:t>
      </w:r>
      <w:r w:rsidR="00F85B17" w:rsidRPr="00610B1B">
        <w:rPr>
          <w:rFonts w:ascii="Times New Roman" w:eastAsia="Times New Roman,Bold" w:hAnsi="Times New Roman" w:cs="Times New Roman"/>
          <w:sz w:val="24"/>
          <w:szCs w:val="24"/>
          <w:lang w:val="bg-BG"/>
        </w:rPr>
        <w:t xml:space="preserve">е </w:t>
      </w:r>
      <w:r w:rsidRPr="00610B1B">
        <w:rPr>
          <w:rFonts w:ascii="Times New Roman" w:eastAsia="Times New Roman,Bold" w:hAnsi="Times New Roman" w:cs="Times New Roman"/>
          <w:sz w:val="24"/>
          <w:szCs w:val="24"/>
          <w:lang w:val="bg-BG"/>
        </w:rPr>
        <w:t>да намалее до -19%, летния до -38%, есенния до -9%, а зимния до -17%.</w:t>
      </w:r>
    </w:p>
    <w:p w14:paraId="65D492D6" w14:textId="6FA0FFB2" w:rsidR="002419AD" w:rsidRPr="00610B1B" w:rsidRDefault="009D4A0E" w:rsidP="00B46189">
      <w:pPr>
        <w:pStyle w:val="ListParagraph"/>
        <w:numPr>
          <w:ilvl w:val="0"/>
          <w:numId w:val="46"/>
        </w:numPr>
        <w:autoSpaceDE w:val="0"/>
        <w:autoSpaceDN w:val="0"/>
        <w:adjustRightInd w:val="0"/>
        <w:spacing w:after="120"/>
        <w:ind w:right="-153"/>
        <w:contextualSpacing w:val="0"/>
        <w:jc w:val="both"/>
        <w:rPr>
          <w:rFonts w:ascii="Times New Roman" w:eastAsia="Times New Roman,Bold" w:hAnsi="Times New Roman" w:cs="Times New Roman"/>
          <w:sz w:val="24"/>
          <w:szCs w:val="24"/>
          <w:lang w:val="bg-BG"/>
        </w:rPr>
      </w:pPr>
      <w:r w:rsidRPr="00610B1B">
        <w:rPr>
          <w:rFonts w:ascii="Times New Roman" w:eastAsia="Times New Roman,Bold" w:hAnsi="Times New Roman" w:cs="Times New Roman"/>
          <w:sz w:val="24"/>
          <w:szCs w:val="24"/>
          <w:lang w:val="bg-BG"/>
        </w:rPr>
        <w:t>В района на Севернобургаски реки според прогнозата пролетният и летният отток намаляват значително. На север от Стара планина за поречията на р. Вая, р. Двойница, р. Панаирдере и р. Ф</w:t>
      </w:r>
      <w:r w:rsidR="00D93652" w:rsidRPr="00610B1B">
        <w:rPr>
          <w:rFonts w:ascii="Times New Roman" w:eastAsia="Times New Roman,Bold" w:hAnsi="Times New Roman" w:cs="Times New Roman"/>
          <w:sz w:val="24"/>
          <w:szCs w:val="24"/>
          <w:lang w:val="bg-BG"/>
        </w:rPr>
        <w:t>ъ</w:t>
      </w:r>
      <w:r w:rsidRPr="00610B1B">
        <w:rPr>
          <w:rFonts w:ascii="Times New Roman" w:eastAsia="Times New Roman,Bold" w:hAnsi="Times New Roman" w:cs="Times New Roman"/>
          <w:sz w:val="24"/>
          <w:szCs w:val="24"/>
          <w:lang w:val="bg-BG"/>
        </w:rPr>
        <w:t>нд</w:t>
      </w:r>
      <w:r w:rsidR="00D93652" w:rsidRPr="00610B1B">
        <w:rPr>
          <w:rFonts w:ascii="Times New Roman" w:eastAsia="Times New Roman,Bold" w:hAnsi="Times New Roman" w:cs="Times New Roman"/>
          <w:sz w:val="24"/>
          <w:szCs w:val="24"/>
          <w:lang w:val="bg-BG"/>
        </w:rPr>
        <w:t>ъ</w:t>
      </w:r>
      <w:r w:rsidRPr="00610B1B">
        <w:rPr>
          <w:rFonts w:ascii="Times New Roman" w:eastAsia="Times New Roman,Bold" w:hAnsi="Times New Roman" w:cs="Times New Roman"/>
          <w:sz w:val="24"/>
          <w:szCs w:val="24"/>
          <w:lang w:val="bg-BG"/>
        </w:rPr>
        <w:t xml:space="preserve">клийска прогнозата за изменение на оттока е </w:t>
      </w:r>
      <w:r w:rsidRPr="00610B1B">
        <w:rPr>
          <w:rFonts w:ascii="Times New Roman" w:eastAsia="Times New Roman,Bold" w:hAnsi="Times New Roman" w:cs="Times New Roman"/>
          <w:sz w:val="24"/>
          <w:szCs w:val="24"/>
          <w:lang w:val="bg-BG"/>
        </w:rPr>
        <w:lastRenderedPageBreak/>
        <w:t>пролетният отток да намалее до -19%, летният до -38%, но също така намаляват есенният отток до -9% и зимният до -17%. На юг от Стара планина прогнозата за изменение на оттока е пролетният отток да намалее до -30%, а летният до -35%. Очаква се есенният отток да се увеличи до 9%, а зимният до 48%.</w:t>
      </w:r>
    </w:p>
    <w:p w14:paraId="4141F823" w14:textId="088EB579" w:rsidR="009D4A0E" w:rsidRPr="00610B1B" w:rsidRDefault="009D4A0E" w:rsidP="00B46189">
      <w:pPr>
        <w:pStyle w:val="ListParagraph"/>
        <w:numPr>
          <w:ilvl w:val="0"/>
          <w:numId w:val="46"/>
        </w:numPr>
        <w:autoSpaceDE w:val="0"/>
        <w:autoSpaceDN w:val="0"/>
        <w:adjustRightInd w:val="0"/>
        <w:spacing w:after="120"/>
        <w:ind w:right="-153"/>
        <w:contextualSpacing w:val="0"/>
        <w:jc w:val="both"/>
        <w:rPr>
          <w:rFonts w:ascii="Times New Roman" w:eastAsia="Times New Roman,Bold" w:hAnsi="Times New Roman" w:cs="Times New Roman"/>
          <w:sz w:val="24"/>
          <w:szCs w:val="24"/>
          <w:lang w:val="bg-BG"/>
        </w:rPr>
      </w:pPr>
      <w:r w:rsidRPr="00610B1B">
        <w:rPr>
          <w:rFonts w:ascii="Times New Roman" w:eastAsia="Times New Roman,Bold" w:hAnsi="Times New Roman" w:cs="Times New Roman"/>
          <w:sz w:val="24"/>
          <w:szCs w:val="24"/>
          <w:lang w:val="bg-BG"/>
        </w:rPr>
        <w:t xml:space="preserve">В района на Мандренски </w:t>
      </w:r>
      <w:r w:rsidR="002F2112" w:rsidRPr="00610B1B">
        <w:rPr>
          <w:rFonts w:ascii="Times New Roman" w:eastAsia="Times New Roman,Bold" w:hAnsi="Times New Roman" w:cs="Times New Roman"/>
          <w:sz w:val="24"/>
          <w:szCs w:val="24"/>
          <w:lang w:val="bg-BG"/>
        </w:rPr>
        <w:t>и</w:t>
      </w:r>
      <w:r w:rsidRPr="00610B1B">
        <w:rPr>
          <w:rFonts w:ascii="Times New Roman" w:eastAsia="Times New Roman,Bold" w:hAnsi="Times New Roman" w:cs="Times New Roman"/>
          <w:sz w:val="24"/>
          <w:szCs w:val="24"/>
          <w:lang w:val="bg-BG"/>
        </w:rPr>
        <w:t xml:space="preserve"> Южнобургаски реки, р. Велека и р. Резовска прогнозата за изменение на оттока е пролетният отток да намалее до 30%, летният до -35%. Очаква се</w:t>
      </w:r>
      <w:r w:rsidR="002F2112" w:rsidRPr="00610B1B">
        <w:rPr>
          <w:rFonts w:ascii="Times New Roman" w:eastAsia="Times New Roman,Bold" w:hAnsi="Times New Roman" w:cs="Times New Roman"/>
          <w:sz w:val="24"/>
          <w:szCs w:val="24"/>
          <w:lang w:val="bg-BG"/>
        </w:rPr>
        <w:t xml:space="preserve"> </w:t>
      </w:r>
      <w:r w:rsidRPr="00610B1B">
        <w:rPr>
          <w:rFonts w:ascii="Times New Roman" w:eastAsia="Times New Roman,Bold" w:hAnsi="Times New Roman" w:cs="Times New Roman"/>
          <w:sz w:val="24"/>
          <w:szCs w:val="24"/>
          <w:lang w:val="bg-BG"/>
        </w:rPr>
        <w:t>есенният отток да се увеличи до 9%, а зимният до 48%.</w:t>
      </w:r>
    </w:p>
    <w:p w14:paraId="177F1C67" w14:textId="7B97C9B3" w:rsidR="009D4A0E" w:rsidRPr="00610B1B" w:rsidRDefault="009D4A0E" w:rsidP="00D32D6A">
      <w:pPr>
        <w:autoSpaceDE w:val="0"/>
        <w:autoSpaceDN w:val="0"/>
        <w:adjustRightInd w:val="0"/>
        <w:spacing w:after="120"/>
        <w:ind w:right="-153"/>
        <w:jc w:val="both"/>
        <w:rPr>
          <w:rFonts w:ascii="Times New Roman" w:hAnsi="Times New Roman" w:cs="Times New Roman"/>
          <w:color w:val="000000"/>
          <w:sz w:val="24"/>
          <w:szCs w:val="24"/>
          <w:lang w:val="bg-BG"/>
        </w:rPr>
      </w:pPr>
      <w:r w:rsidRPr="00610B1B">
        <w:rPr>
          <w:rFonts w:ascii="Times New Roman" w:hAnsi="Times New Roman" w:cs="Times New Roman"/>
          <w:color w:val="000000"/>
          <w:sz w:val="24"/>
          <w:szCs w:val="24"/>
          <w:lang w:val="bg-BG"/>
        </w:rPr>
        <w:t xml:space="preserve">Съгласно подхода за оценка на въздействието </w:t>
      </w:r>
      <w:r w:rsidR="005170B1" w:rsidRPr="00610B1B">
        <w:rPr>
          <w:rFonts w:ascii="Times New Roman" w:hAnsi="Times New Roman" w:cs="Times New Roman"/>
          <w:color w:val="000000"/>
          <w:sz w:val="24"/>
          <w:szCs w:val="24"/>
          <w:lang w:val="bg-BG"/>
        </w:rPr>
        <w:t xml:space="preserve">на </w:t>
      </w:r>
      <w:r w:rsidRPr="00610B1B">
        <w:rPr>
          <w:rFonts w:ascii="Times New Roman" w:hAnsi="Times New Roman" w:cs="Times New Roman"/>
          <w:color w:val="000000"/>
          <w:sz w:val="24"/>
          <w:szCs w:val="24"/>
          <w:lang w:val="bg-BG"/>
        </w:rPr>
        <w:t>климат</w:t>
      </w:r>
      <w:r w:rsidR="005170B1" w:rsidRPr="00610B1B">
        <w:rPr>
          <w:rFonts w:ascii="Times New Roman" w:hAnsi="Times New Roman" w:cs="Times New Roman"/>
          <w:color w:val="000000"/>
          <w:sz w:val="24"/>
          <w:szCs w:val="24"/>
          <w:lang w:val="bg-BG"/>
        </w:rPr>
        <w:t>ичните промени</w:t>
      </w:r>
      <w:r w:rsidRPr="00610B1B">
        <w:rPr>
          <w:rFonts w:ascii="Times New Roman" w:hAnsi="Times New Roman" w:cs="Times New Roman"/>
          <w:color w:val="000000"/>
          <w:sz w:val="24"/>
          <w:szCs w:val="24"/>
          <w:lang w:val="bg-BG"/>
        </w:rPr>
        <w:t xml:space="preserve"> върху количественото състояние на подземните </w:t>
      </w:r>
      <w:r w:rsidR="002419AD" w:rsidRPr="00610B1B">
        <w:rPr>
          <w:rFonts w:ascii="Times New Roman" w:hAnsi="Times New Roman" w:cs="Times New Roman"/>
          <w:sz w:val="24"/>
          <w:szCs w:val="24"/>
          <w:lang w:val="bg-BG"/>
        </w:rPr>
        <w:t xml:space="preserve">води </w:t>
      </w:r>
      <w:r w:rsidRPr="00610B1B">
        <w:rPr>
          <w:rFonts w:ascii="Times New Roman" w:hAnsi="Times New Roman" w:cs="Times New Roman"/>
          <w:color w:val="000000"/>
          <w:sz w:val="24"/>
          <w:szCs w:val="24"/>
          <w:lang w:val="bg-BG"/>
        </w:rPr>
        <w:t xml:space="preserve">от Басейнова дирекция </w:t>
      </w:r>
      <w:r w:rsidR="005170B1" w:rsidRPr="00610B1B">
        <w:rPr>
          <w:rFonts w:ascii="Times New Roman" w:hAnsi="Times New Roman" w:cs="Times New Roman"/>
          <w:color w:val="000000"/>
          <w:sz w:val="24"/>
          <w:szCs w:val="24"/>
          <w:lang w:val="bg-BG"/>
        </w:rPr>
        <w:t xml:space="preserve">е определен </w:t>
      </w:r>
      <w:r w:rsidRPr="00610B1B">
        <w:rPr>
          <w:rFonts w:ascii="Times New Roman" w:hAnsi="Times New Roman" w:cs="Times New Roman"/>
          <w:color w:val="000000"/>
          <w:sz w:val="24"/>
          <w:szCs w:val="24"/>
          <w:lang w:val="bg-BG"/>
        </w:rPr>
        <w:t>процент на намаляване на средномногогодишното подхранване</w:t>
      </w:r>
      <w:r w:rsidR="002F2112" w:rsidRPr="00610B1B">
        <w:rPr>
          <w:rFonts w:ascii="Times New Roman" w:hAnsi="Times New Roman" w:cs="Times New Roman"/>
          <w:color w:val="000000"/>
          <w:sz w:val="24"/>
          <w:szCs w:val="24"/>
          <w:lang w:val="bg-BG"/>
        </w:rPr>
        <w:t xml:space="preserve"> </w:t>
      </w:r>
      <w:r w:rsidRPr="00610B1B">
        <w:rPr>
          <w:rFonts w:ascii="Times New Roman" w:hAnsi="Times New Roman" w:cs="Times New Roman"/>
          <w:color w:val="000000"/>
          <w:sz w:val="24"/>
          <w:szCs w:val="24"/>
          <w:lang w:val="bg-BG"/>
        </w:rPr>
        <w:t xml:space="preserve">на подземните водни тела (ПВТ) на 20%. Очаква се </w:t>
      </w:r>
      <w:r w:rsidRPr="00610B1B">
        <w:rPr>
          <w:rFonts w:ascii="Times New Roman" w:hAnsi="Times New Roman" w:cs="Times New Roman"/>
          <w:sz w:val="24"/>
          <w:szCs w:val="24"/>
          <w:lang w:val="bg-BG"/>
        </w:rPr>
        <w:t>през първите два прогнозни периода (2013-2042 и 2021-2050 г.)</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известно</w:t>
      </w:r>
      <w:r w:rsidRPr="00610B1B">
        <w:rPr>
          <w:rFonts w:ascii="Times New Roman" w:hAnsi="Times New Roman" w:cs="Times New Roman"/>
          <w:color w:val="000000"/>
          <w:sz w:val="24"/>
          <w:szCs w:val="24"/>
          <w:lang w:val="bg-BG"/>
        </w:rPr>
        <w:t xml:space="preserve"> </w:t>
      </w:r>
      <w:r w:rsidRPr="00610B1B">
        <w:rPr>
          <w:rFonts w:ascii="Times New Roman" w:hAnsi="Times New Roman" w:cs="Times New Roman"/>
          <w:sz w:val="24"/>
          <w:szCs w:val="24"/>
          <w:lang w:val="bg-BG"/>
        </w:rPr>
        <w:t>увеличение на естествените ресурси на подземните води</w:t>
      </w:r>
      <w:r w:rsidR="00BE3FFE"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свързано с </w:t>
      </w:r>
      <w:r w:rsidR="005170B1" w:rsidRPr="00610B1B">
        <w:rPr>
          <w:rFonts w:ascii="Times New Roman" w:hAnsi="Times New Roman" w:cs="Times New Roman"/>
          <w:sz w:val="24"/>
          <w:szCs w:val="24"/>
          <w:lang w:val="bg-BG"/>
        </w:rPr>
        <w:t xml:space="preserve">очакваното </w:t>
      </w:r>
      <w:r w:rsidRPr="00610B1B">
        <w:rPr>
          <w:rFonts w:ascii="Times New Roman" w:hAnsi="Times New Roman" w:cs="Times New Roman"/>
          <w:sz w:val="24"/>
          <w:szCs w:val="24"/>
          <w:lang w:val="bg-BG"/>
        </w:rPr>
        <w:t>нарастване на валежите. За двата прогнозни периода резултатите са близки</w:t>
      </w:r>
      <w:r w:rsidR="00BE3FFE"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тъй като тези два времеви периода в по-голямата си част се припокриват. Увеличението се отнася и за двата климатични сценария (CRP4.5 и CRP8.5).</w:t>
      </w:r>
    </w:p>
    <w:p w14:paraId="72C4F814" w14:textId="5D6F550D" w:rsidR="00ED2E2E" w:rsidRPr="00610B1B" w:rsidRDefault="009D4A0E"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През третия прогнозен период (2071-2100 г) се очертава намаление на ресурсите – свързано не толкова с намаляване на валежите, колкото с нарастване на евапотранспирацията</w:t>
      </w:r>
      <w:r w:rsidR="005170B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поради по-високите температури. Намалението е почти повсеместно и се наблюдава и при двата климатични сценария.</w:t>
      </w:r>
    </w:p>
    <w:p w14:paraId="2731C775" w14:textId="18D7A892" w:rsidR="00BE3FFE" w:rsidRPr="00610B1B" w:rsidRDefault="00BE3FFE"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Същевременно, изчисленията за промените в морското равнище за Черно море показват несъществено повишение, което няма да застраши сградите, инфраструктурата и съоръженията по крайбрежието. </w:t>
      </w:r>
    </w:p>
    <w:p w14:paraId="246A995F" w14:textId="1FA72352" w:rsidR="005170B1" w:rsidRPr="00610B1B" w:rsidRDefault="005170B1"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Отражението на изменението на климата върху развитието на крайбрежната територия и морските пространства и осъществяваните дейности там е свързано от една страна с вероятността за заселването на т.нар. климатични мигранти, и от друга, с възможността за пренасочване на туристи към българското Черноморско крайбрежие поради по-добрия климатичен комфорт. Последното означава повишени изисквания за по-добър стандарт на предлаганите услуги и разнообразие на рекреационните и спортни дейности.</w:t>
      </w:r>
      <w:r w:rsidR="00C415D1" w:rsidRPr="00610B1B">
        <w:rPr>
          <w:rFonts w:ascii="Times New Roman" w:hAnsi="Times New Roman" w:cs="Times New Roman"/>
          <w:sz w:val="24"/>
          <w:szCs w:val="24"/>
          <w:lang w:val="bg-BG"/>
        </w:rPr>
        <w:t xml:space="preserve"> </w:t>
      </w:r>
    </w:p>
    <w:p w14:paraId="6A02D3A8" w14:textId="77777777" w:rsidR="008C6B1F" w:rsidRPr="00610B1B" w:rsidRDefault="008C6B1F" w:rsidP="00D32D6A">
      <w:pPr>
        <w:autoSpaceDE w:val="0"/>
        <w:autoSpaceDN w:val="0"/>
        <w:adjustRightInd w:val="0"/>
        <w:spacing w:after="120"/>
        <w:ind w:right="-153"/>
        <w:jc w:val="both"/>
        <w:rPr>
          <w:rFonts w:ascii="Times New Roman" w:hAnsi="Times New Roman" w:cs="Times New Roman"/>
          <w:sz w:val="24"/>
          <w:szCs w:val="24"/>
          <w:lang w:val="bg-BG"/>
        </w:rPr>
      </w:pPr>
    </w:p>
    <w:p w14:paraId="02D0FB06" w14:textId="2D0D6C73" w:rsidR="00037722" w:rsidRPr="00610B1B" w:rsidRDefault="00ED2E2E" w:rsidP="00D32D6A">
      <w:pPr>
        <w:pStyle w:val="Heading3"/>
        <w:spacing w:before="0" w:line="276" w:lineRule="auto"/>
        <w:ind w:right="-153"/>
        <w:rPr>
          <w:rFonts w:cs="Times New Roman"/>
          <w:color w:val="C00000"/>
        </w:rPr>
      </w:pPr>
      <w:bookmarkStart w:id="33" w:name="_Toc83391364"/>
      <w:r w:rsidRPr="00610B1B">
        <w:rPr>
          <w:rStyle w:val="Heading3Char"/>
          <w:rFonts w:cs="Times New Roman"/>
          <w:b/>
          <w:bCs/>
        </w:rPr>
        <w:t xml:space="preserve">2.2.4. </w:t>
      </w:r>
      <w:r w:rsidR="00D83D9A" w:rsidRPr="00610B1B">
        <w:rPr>
          <w:rStyle w:val="Heading3Char"/>
          <w:rFonts w:cs="Times New Roman"/>
          <w:b/>
          <w:bCs/>
        </w:rPr>
        <w:t>Биологично разнообразие</w:t>
      </w:r>
      <w:bookmarkEnd w:id="33"/>
      <w:r w:rsidR="002A1DEE" w:rsidRPr="00610B1B">
        <w:rPr>
          <w:rFonts w:cs="Times New Roman"/>
          <w:color w:val="C00000"/>
        </w:rPr>
        <w:t xml:space="preserve"> </w:t>
      </w:r>
    </w:p>
    <w:p w14:paraId="77063EBB" w14:textId="2E632543" w:rsidR="00DA58A3" w:rsidRPr="00610B1B" w:rsidRDefault="00DA58A3" w:rsidP="00D32D6A">
      <w:pPr>
        <w:pStyle w:val="BodyText"/>
        <w:spacing w:before="0" w:after="120" w:line="276" w:lineRule="auto"/>
        <w:ind w:right="-153"/>
        <w:rPr>
          <w:rFonts w:cs="Times New Roman"/>
        </w:rPr>
      </w:pPr>
      <w:r w:rsidRPr="00610B1B">
        <w:rPr>
          <w:rFonts w:cs="Times New Roman"/>
        </w:rPr>
        <w:t>Биологичното разнообразие в Черно море е анализирано на базата на оценките на състоянието на морската околна среда по определените критерии и стандарти, публикувани от Европейската комисия с Решение 2010/477/ЕО и включените 11 дескриптори. Последните са съставени от биологични и физико-химични индикатори, индикатори на натиска, състоянието и въздействието, опасни вещества, хидроложки изменения, отпадъци и шум, и биологични смущения. Потърсена е връзката между Морския пространствен план и Морската стратегия посредством резултатите от провеждания ежегоден мониторинг в изпълнение на Програмата от мерки съгласно РДМС.</w:t>
      </w:r>
    </w:p>
    <w:p w14:paraId="2C994A9E" w14:textId="77777777" w:rsidR="00261A06" w:rsidRPr="00610B1B" w:rsidRDefault="00261A06" w:rsidP="00D32D6A">
      <w:pPr>
        <w:pStyle w:val="BodyText"/>
        <w:spacing w:before="0" w:after="120" w:line="276" w:lineRule="auto"/>
        <w:ind w:right="-153"/>
        <w:rPr>
          <w:rFonts w:cs="Times New Roman"/>
        </w:rPr>
      </w:pPr>
    </w:p>
    <w:p w14:paraId="302B2351" w14:textId="70C9BFB6" w:rsidR="000210AC" w:rsidRPr="00610B1B" w:rsidRDefault="00227363" w:rsidP="00D32D6A">
      <w:pPr>
        <w:pStyle w:val="Heading4"/>
        <w:spacing w:before="0" w:line="276" w:lineRule="auto"/>
        <w:ind w:right="-153"/>
        <w:rPr>
          <w:rFonts w:cs="Times New Roman"/>
        </w:rPr>
      </w:pPr>
      <w:r w:rsidRPr="00610B1B">
        <w:rPr>
          <w:rFonts w:cs="Times New Roman"/>
        </w:rPr>
        <w:lastRenderedPageBreak/>
        <w:t xml:space="preserve">2.2.4.1. </w:t>
      </w:r>
      <w:r w:rsidR="009D4A0E" w:rsidRPr="00610B1B">
        <w:rPr>
          <w:rFonts w:cs="Times New Roman"/>
        </w:rPr>
        <w:t>Фитопланктон и</w:t>
      </w:r>
      <w:r w:rsidR="00D66FE0" w:rsidRPr="00610B1B">
        <w:rPr>
          <w:rFonts w:cs="Times New Roman"/>
        </w:rPr>
        <w:t xml:space="preserve"> </w:t>
      </w:r>
      <w:r w:rsidR="009D4A0E" w:rsidRPr="00610B1B">
        <w:rPr>
          <w:rFonts w:cs="Times New Roman"/>
        </w:rPr>
        <w:t>зоопланктон</w:t>
      </w:r>
    </w:p>
    <w:p w14:paraId="2C95A75F" w14:textId="73CA3A4A" w:rsidR="009D4A0E" w:rsidRPr="00610B1B" w:rsidRDefault="009D4A0E" w:rsidP="00D32D6A">
      <w:pPr>
        <w:pStyle w:val="ListBullet3"/>
        <w:spacing w:before="0" w:after="120" w:line="276" w:lineRule="auto"/>
        <w:ind w:right="-153"/>
        <w:rPr>
          <w:rStyle w:val="FontStyle14"/>
          <w:rFonts w:eastAsia="Source Han Sans CN Regular" w:cs="Times New Roman"/>
        </w:rPr>
      </w:pPr>
      <w:r w:rsidRPr="00610B1B">
        <w:rPr>
          <w:rStyle w:val="FontStyle14"/>
          <w:rFonts w:eastAsia="Source Han Sans CN Regular" w:cs="Times New Roman"/>
        </w:rPr>
        <w:t>Фитопланктон</w:t>
      </w:r>
    </w:p>
    <w:p w14:paraId="2946B6D5" w14:textId="745A829A" w:rsidR="00B35E5B" w:rsidRPr="00610B1B" w:rsidRDefault="00B35E5B" w:rsidP="00D32D6A">
      <w:pPr>
        <w:spacing w:after="120"/>
        <w:jc w:val="both"/>
        <w:rPr>
          <w:rFonts w:ascii="Times New Roman" w:hAnsi="Times New Roman" w:cs="Times New Roman"/>
          <w:color w:val="00000A"/>
          <w:sz w:val="24"/>
          <w:lang w:val="bg-BG"/>
        </w:rPr>
      </w:pPr>
      <w:r w:rsidRPr="00610B1B">
        <w:rPr>
          <w:rFonts w:ascii="Times New Roman" w:hAnsi="Times New Roman" w:cs="Times New Roman"/>
          <w:color w:val="00000A"/>
          <w:sz w:val="24"/>
          <w:lang w:val="bg-BG"/>
        </w:rPr>
        <w:t>Видовото разнообразие на фитопланктона в българската акватория на Черно море включва около 600 вида. Най-голямо е разнообразието на динофлагелатите (163) - повече от 50% от общия брой, около 2 пъти по-малко диатомеи (88 вида), значително присъствие на видове от класовете Chlorophyceae и Trebouxiophyceae (20) Prymnesiophyceae, Cyanophyceae, Cryptophyceae и Euglenophyceae</w:t>
      </w:r>
      <w:r w:rsidR="00CB1910" w:rsidRPr="00610B1B">
        <w:rPr>
          <w:rFonts w:ascii="Times New Roman" w:hAnsi="Times New Roman" w:cs="Times New Roman"/>
          <w:color w:val="00000A"/>
          <w:sz w:val="24"/>
          <w:lang w:val="bg-BG"/>
        </w:rPr>
        <w:t xml:space="preserve"> и</w:t>
      </w:r>
      <w:r w:rsidRPr="00610B1B">
        <w:rPr>
          <w:rFonts w:ascii="Times New Roman" w:hAnsi="Times New Roman" w:cs="Times New Roman"/>
          <w:color w:val="00000A"/>
          <w:sz w:val="24"/>
          <w:lang w:val="bg-BG"/>
        </w:rPr>
        <w:t xml:space="preserve"> висока численост на разнообразни дребноразмерни видове микрофлагелати (Microflagellates). Тенденцията е към увеличаване на видовото разнообразие с включване на 37 нови таксономични класа дребноразмерни миксо/хетеротрофи </w:t>
      </w:r>
      <w:r w:rsidRPr="00610B1B">
        <w:rPr>
          <w:rFonts w:ascii="Times New Roman" w:hAnsi="Times New Roman" w:cs="Times New Roman"/>
          <w:i/>
          <w:iCs/>
          <w:color w:val="00000A"/>
          <w:sz w:val="24"/>
          <w:lang w:val="bg-BG"/>
        </w:rPr>
        <w:t>Gymnodinium</w:t>
      </w:r>
      <w:r w:rsidRPr="00610B1B">
        <w:rPr>
          <w:rFonts w:ascii="Times New Roman" w:hAnsi="Times New Roman" w:cs="Times New Roman"/>
          <w:color w:val="00000A"/>
          <w:sz w:val="24"/>
          <w:lang w:val="bg-BG"/>
        </w:rPr>
        <w:t>/</w:t>
      </w:r>
      <w:r w:rsidRPr="00610B1B">
        <w:rPr>
          <w:rFonts w:ascii="Times New Roman" w:hAnsi="Times New Roman" w:cs="Times New Roman"/>
          <w:i/>
          <w:iCs/>
          <w:color w:val="00000A"/>
          <w:sz w:val="24"/>
          <w:lang w:val="bg-BG"/>
        </w:rPr>
        <w:t>Gyrodinium</w:t>
      </w:r>
      <w:r w:rsidRPr="00610B1B">
        <w:rPr>
          <w:rFonts w:ascii="Times New Roman" w:hAnsi="Times New Roman" w:cs="Times New Roman"/>
          <w:color w:val="00000A"/>
          <w:sz w:val="24"/>
          <w:lang w:val="bg-BG"/>
        </w:rPr>
        <w:t xml:space="preserve"> сред динофлагелатите, установена за целия Черноморски басейн след 2006 г., което може да е причина за бъдещи промени в таксономичния състав, изменение на трофичните взаимоотношения и освобождаване на екологични ниши за</w:t>
      </w:r>
      <w:r w:rsidR="00D66FE0" w:rsidRPr="00610B1B">
        <w:rPr>
          <w:rFonts w:ascii="Times New Roman" w:hAnsi="Times New Roman" w:cs="Times New Roman"/>
          <w:color w:val="00000A"/>
          <w:sz w:val="24"/>
          <w:lang w:val="bg-BG"/>
        </w:rPr>
        <w:t xml:space="preserve"> </w:t>
      </w:r>
      <w:r w:rsidRPr="00610B1B">
        <w:rPr>
          <w:rFonts w:ascii="Times New Roman" w:hAnsi="Times New Roman" w:cs="Times New Roman"/>
          <w:color w:val="00000A"/>
          <w:sz w:val="24"/>
          <w:lang w:val="bg-BG"/>
        </w:rPr>
        <w:t>инвазивни чужди видове (Moncheva, Kamburska, 2002).</w:t>
      </w:r>
    </w:p>
    <w:p w14:paraId="4AF410AB" w14:textId="77777777" w:rsidR="00B35E5B" w:rsidRPr="00610B1B" w:rsidRDefault="00B35E5B" w:rsidP="00D32D6A">
      <w:pPr>
        <w:spacing w:after="120"/>
        <w:jc w:val="both"/>
        <w:rPr>
          <w:rFonts w:ascii="Times New Roman" w:hAnsi="Times New Roman" w:cs="Times New Roman"/>
          <w:color w:val="00000A"/>
          <w:sz w:val="24"/>
          <w:lang w:val="bg-BG"/>
        </w:rPr>
      </w:pPr>
      <w:r w:rsidRPr="00610B1B">
        <w:rPr>
          <w:rFonts w:ascii="Times New Roman" w:hAnsi="Times New Roman" w:cs="Times New Roman"/>
          <w:color w:val="00000A"/>
          <w:sz w:val="24"/>
          <w:lang w:val="bg-BG"/>
        </w:rPr>
        <w:t>Основната причина за промяна на състоянието на съобществата на фитопланктона е антропогенната еутрофикация, свързана с излишък на хранителни вещества (съединения на азота и фосфора) водещ до масовото развитие („цъфтеж“) на фитопланктона. В зависимост от степента на еутрофикация в Черноморската екосистема преминава през три периода - референтен „чист“ период (1960-те години), период на интензивна антропогенна еутрофикация (от 1970-те и 80-те години) и съвременен период, характеризиращ се с понижаване нивото на антропогенна еутрофикация, но без ясно изразени тенденции.</w:t>
      </w:r>
    </w:p>
    <w:p w14:paraId="10305820" w14:textId="77777777" w:rsidR="00B35E5B" w:rsidRPr="00610B1B" w:rsidRDefault="00B35E5B" w:rsidP="00D32D6A">
      <w:pPr>
        <w:spacing w:after="120"/>
        <w:jc w:val="both"/>
        <w:rPr>
          <w:rFonts w:ascii="Times New Roman" w:hAnsi="Times New Roman" w:cs="Times New Roman"/>
          <w:color w:val="00000A"/>
          <w:sz w:val="24"/>
          <w:lang w:val="bg-BG"/>
        </w:rPr>
      </w:pPr>
      <w:r w:rsidRPr="00610B1B">
        <w:rPr>
          <w:rFonts w:ascii="Times New Roman" w:hAnsi="Times New Roman" w:cs="Times New Roman"/>
          <w:color w:val="000000"/>
          <w:sz w:val="24"/>
          <w:lang w:val="bg-BG"/>
        </w:rPr>
        <w:t>През референтния период до 1970 г. развитието на съобществата на фитопланктона се ограничава от концентрациите на хранителни вещества, в структурата на съобществото диатомеите (клас Bacillariophyceae) преобладават над динофрагелатите (клас Dinophyceae) в съотношение около 10:1 (Petrova-Karadzova, 1984; Moncheva, Krastev, 1997). Зоопланктонът е с относително висока биомаса на двете ключови групи Copepoda и Cladocera (Oguz, Velikova, 2010).</w:t>
      </w:r>
    </w:p>
    <w:p w14:paraId="29B17B99" w14:textId="1D3C5A81" w:rsidR="00B35E5B" w:rsidRPr="00610B1B" w:rsidRDefault="00B35E5B" w:rsidP="00D32D6A">
      <w:pPr>
        <w:spacing w:after="120"/>
        <w:jc w:val="both"/>
        <w:rPr>
          <w:rFonts w:ascii="Times New Roman" w:hAnsi="Times New Roman" w:cs="Times New Roman"/>
          <w:color w:val="00000A"/>
          <w:sz w:val="24"/>
          <w:lang w:val="bg-BG"/>
        </w:rPr>
      </w:pPr>
      <w:r w:rsidRPr="00610B1B">
        <w:rPr>
          <w:rFonts w:ascii="Times New Roman" w:hAnsi="Times New Roman" w:cs="Times New Roman"/>
          <w:color w:val="000000"/>
          <w:sz w:val="24"/>
          <w:lang w:val="bg-BG"/>
        </w:rPr>
        <w:t xml:space="preserve">През периода от 1970-те до 80-те години черноморската екосистема претърпява интензивни каскадни преобразувания </w:t>
      </w:r>
      <w:bookmarkStart w:id="34" w:name="ZOTERO_BREF_RqQSBszq5lMt"/>
      <w:r w:rsidRPr="00610B1B">
        <w:rPr>
          <w:rFonts w:ascii="Times New Roman" w:hAnsi="Times New Roman" w:cs="Times New Roman"/>
          <w:color w:val="000000"/>
          <w:sz w:val="24"/>
          <w:lang w:val="bg-BG"/>
        </w:rPr>
        <w:t>(Daskalov, 2002)</w:t>
      </w:r>
      <w:bookmarkEnd w:id="34"/>
      <w:r w:rsidRPr="00610B1B">
        <w:rPr>
          <w:rFonts w:ascii="Times New Roman" w:hAnsi="Times New Roman" w:cs="Times New Roman"/>
          <w:color w:val="000000"/>
          <w:sz w:val="24"/>
          <w:lang w:val="bg-BG"/>
        </w:rPr>
        <w:t>. Увеличеният приток на азотни и фосфорни съединения от сушата води до интензивни цъфтежи на фитоплактон. За това допринася и намалената контрол от страна на зоопланктона, поради хищническата преса на някои местни (</w:t>
      </w:r>
      <w:r w:rsidRPr="00610B1B">
        <w:rPr>
          <w:rFonts w:ascii="Times New Roman" w:hAnsi="Times New Roman" w:cs="Times New Roman"/>
          <w:i/>
          <w:color w:val="000000"/>
          <w:sz w:val="24"/>
          <w:lang w:val="bg-BG"/>
        </w:rPr>
        <w:t>Auralia aurita</w:t>
      </w:r>
      <w:r w:rsidRPr="00610B1B">
        <w:rPr>
          <w:rFonts w:ascii="Times New Roman" w:hAnsi="Times New Roman" w:cs="Times New Roman"/>
          <w:color w:val="000000"/>
          <w:sz w:val="24"/>
          <w:lang w:val="bg-BG"/>
        </w:rPr>
        <w:t>) и чужди инвазивни видове (</w:t>
      </w:r>
      <w:r w:rsidRPr="00610B1B">
        <w:rPr>
          <w:rFonts w:ascii="Times New Roman" w:hAnsi="Times New Roman" w:cs="Times New Roman"/>
          <w:i/>
          <w:color w:val="000000"/>
          <w:sz w:val="24"/>
          <w:lang w:val="bg-BG"/>
        </w:rPr>
        <w:t xml:space="preserve">Mnemiopsis leidyi, </w:t>
      </w:r>
      <w:r w:rsidRPr="00610B1B">
        <w:rPr>
          <w:rFonts w:ascii="Times New Roman" w:hAnsi="Times New Roman" w:cs="Times New Roman"/>
          <w:color w:val="000000"/>
          <w:sz w:val="24"/>
          <w:lang w:val="bg-BG"/>
        </w:rPr>
        <w:t xml:space="preserve">клас Ctenophora). Те допринасят за колапса ценните видове риби, намалели и поради интензивния </w:t>
      </w:r>
      <w:r w:rsidR="00DD6CD4" w:rsidRPr="00610B1B">
        <w:rPr>
          <w:rFonts w:ascii="Times New Roman" w:hAnsi="Times New Roman" w:cs="Times New Roman"/>
          <w:color w:val="000000"/>
          <w:sz w:val="24"/>
          <w:lang w:val="bg-BG"/>
        </w:rPr>
        <w:t>стопански риболов</w:t>
      </w:r>
      <w:r w:rsidRPr="00610B1B">
        <w:rPr>
          <w:rFonts w:ascii="Times New Roman" w:hAnsi="Times New Roman" w:cs="Times New Roman"/>
          <w:color w:val="000000"/>
          <w:sz w:val="24"/>
          <w:lang w:val="bg-BG"/>
        </w:rPr>
        <w:t xml:space="preserve"> (Daskalov 2002, Daskalov et al. 2007, Oguz et al, 2008).</w:t>
      </w:r>
    </w:p>
    <w:p w14:paraId="0B6B8141" w14:textId="77777777" w:rsidR="001F56CC" w:rsidRPr="00610B1B" w:rsidRDefault="00B35E5B" w:rsidP="001F56CC">
      <w:pPr>
        <w:spacing w:after="120"/>
        <w:jc w:val="both"/>
        <w:rPr>
          <w:rFonts w:ascii="Times New Roman" w:hAnsi="Times New Roman" w:cs="Times New Roman"/>
          <w:color w:val="00000A"/>
          <w:sz w:val="24"/>
          <w:lang w:val="bg-BG"/>
        </w:rPr>
      </w:pPr>
      <w:r w:rsidRPr="00610B1B">
        <w:rPr>
          <w:rFonts w:ascii="Times New Roman" w:hAnsi="Times New Roman" w:cs="Times New Roman"/>
          <w:color w:val="000000"/>
          <w:sz w:val="24"/>
          <w:lang w:val="bg-BG"/>
        </w:rPr>
        <w:t xml:space="preserve">Пред съвременния период се наблюдава относително ниско съотношение Bacteriophyceae:Dinophyceaea, характерно за референтния период. За разлика от периода на интензивна еутрофикация, в числеността силно доминира коколитофоридата </w:t>
      </w:r>
      <w:r w:rsidRPr="00610B1B">
        <w:rPr>
          <w:rFonts w:ascii="Times New Roman" w:hAnsi="Times New Roman" w:cs="Times New Roman"/>
          <w:i/>
          <w:color w:val="000000"/>
          <w:sz w:val="24"/>
          <w:lang w:val="bg-BG"/>
        </w:rPr>
        <w:t>Emiliania huxleyi</w:t>
      </w:r>
      <w:r w:rsidRPr="00610B1B">
        <w:rPr>
          <w:rFonts w:ascii="Times New Roman" w:hAnsi="Times New Roman" w:cs="Times New Roman"/>
          <w:color w:val="000000"/>
          <w:sz w:val="24"/>
          <w:lang w:val="bg-BG"/>
        </w:rPr>
        <w:t xml:space="preserve"> (Prymnesiophyceaе), което е по-силно изразено в открито море</w:t>
      </w:r>
      <w:r w:rsidRPr="00610B1B">
        <w:rPr>
          <w:rFonts w:ascii="Times New Roman" w:hAnsi="Times New Roman" w:cs="Times New Roman"/>
          <w:color w:val="000000"/>
          <w:sz w:val="24"/>
          <w:szCs w:val="24"/>
          <w:lang w:val="bg-BG"/>
        </w:rPr>
        <w:t xml:space="preserve"> (до 90% от общата численост), както и представители на "алтернативни" таксономични групи като микрофлагелати, еугленови и синьо-зелени.</w:t>
      </w:r>
    </w:p>
    <w:p w14:paraId="7401AB45" w14:textId="106E82B3" w:rsidR="00B35E5B" w:rsidRPr="00610B1B" w:rsidRDefault="00B35E5B" w:rsidP="00D32D6A">
      <w:pPr>
        <w:spacing w:after="120"/>
        <w:jc w:val="both"/>
        <w:rPr>
          <w:rFonts w:ascii="Times New Roman" w:hAnsi="Times New Roman" w:cs="Times New Roman"/>
          <w:color w:val="00000A"/>
          <w:sz w:val="24"/>
          <w:lang w:val="bg-BG"/>
        </w:rPr>
      </w:pPr>
      <w:r w:rsidRPr="00610B1B">
        <w:rPr>
          <w:rFonts w:ascii="Times New Roman" w:hAnsi="Times New Roman" w:cs="Times New Roman"/>
          <w:color w:val="00000A"/>
          <w:sz w:val="24"/>
          <w:szCs w:val="24"/>
          <w:lang w:val="bg-BG"/>
        </w:rPr>
        <w:lastRenderedPageBreak/>
        <w:t>Екологичното съ</w:t>
      </w:r>
      <w:r w:rsidRPr="00610B1B">
        <w:rPr>
          <w:rFonts w:ascii="Times New Roman" w:hAnsi="Times New Roman" w:cs="Times New Roman"/>
          <w:color w:val="00000A"/>
          <w:sz w:val="24"/>
          <w:lang w:val="bg-BG"/>
        </w:rPr>
        <w:t>стояние на крайбрежните водните тела по показател фитопланктон през периода 2010-2017 г. е определено въз основа на данни от мониторинг, извършван съгласно Рамкова директива за водите и граничните стойности за добро състояние определени в Наредба №</w:t>
      </w:r>
      <w:r w:rsidR="001F56CC" w:rsidRPr="00610B1B">
        <w:rPr>
          <w:rFonts w:ascii="Times New Roman" w:hAnsi="Times New Roman" w:cs="Times New Roman"/>
          <w:color w:val="00000A"/>
          <w:sz w:val="24"/>
          <w:lang w:val="bg-BG"/>
        </w:rPr>
        <w:t xml:space="preserve"> </w:t>
      </w:r>
      <w:r w:rsidRPr="00610B1B">
        <w:rPr>
          <w:rFonts w:ascii="Times New Roman" w:hAnsi="Times New Roman" w:cs="Times New Roman"/>
          <w:color w:val="00000A"/>
          <w:sz w:val="24"/>
          <w:lang w:val="bg-BG"/>
        </w:rPr>
        <w:t>Н-4 от 14.09.2012 г. за характеризиране на повърхностните води (обн., ДВ, бр. 22 от 5.03.2013 г.). Тези гранични стойности позволяват определяне на 5 класа на състояние на крайбрежните водни тела: много лошо, лошо, умерено, добро и отлично състояние. Резултатите от анализа показват, че:</w:t>
      </w:r>
    </w:p>
    <w:p w14:paraId="7F147B10" w14:textId="77777777" w:rsidR="00B35E5B" w:rsidRPr="00610B1B" w:rsidRDefault="00B35E5B" w:rsidP="00B46189">
      <w:pPr>
        <w:numPr>
          <w:ilvl w:val="0"/>
          <w:numId w:val="92"/>
        </w:numPr>
        <w:spacing w:after="120"/>
        <w:jc w:val="both"/>
        <w:rPr>
          <w:rFonts w:ascii="Times New Roman" w:hAnsi="Times New Roman" w:cs="Times New Roman"/>
          <w:color w:val="00000A"/>
          <w:sz w:val="24"/>
          <w:lang w:val="bg-BG"/>
        </w:rPr>
      </w:pPr>
      <w:r w:rsidRPr="00610B1B">
        <w:rPr>
          <w:rFonts w:ascii="Times New Roman" w:hAnsi="Times New Roman" w:cs="Times New Roman"/>
          <w:color w:val="00000A"/>
          <w:sz w:val="24"/>
          <w:lang w:val="bg-BG"/>
        </w:rPr>
        <w:t>В периода 2010-2017 г. в крайбрежните водни тела преобладава умереното състояние;</w:t>
      </w:r>
    </w:p>
    <w:p w14:paraId="4FC1FE89" w14:textId="77777777" w:rsidR="00B35E5B" w:rsidRPr="00610B1B" w:rsidRDefault="00B35E5B" w:rsidP="00B46189">
      <w:pPr>
        <w:numPr>
          <w:ilvl w:val="0"/>
          <w:numId w:val="92"/>
        </w:numPr>
        <w:spacing w:after="120"/>
        <w:jc w:val="both"/>
        <w:rPr>
          <w:rFonts w:ascii="Times New Roman" w:hAnsi="Times New Roman" w:cs="Times New Roman"/>
          <w:color w:val="00000A"/>
          <w:sz w:val="24"/>
          <w:lang w:val="bg-BG"/>
        </w:rPr>
      </w:pPr>
      <w:r w:rsidRPr="00610B1B">
        <w:rPr>
          <w:rFonts w:ascii="Times New Roman" w:hAnsi="Times New Roman" w:cs="Times New Roman"/>
          <w:color w:val="00000A"/>
          <w:sz w:val="24"/>
          <w:lang w:val="bg-BG"/>
        </w:rPr>
        <w:t xml:space="preserve">В </w:t>
      </w:r>
      <w:r w:rsidRPr="00610B1B">
        <w:rPr>
          <w:rFonts w:ascii="Times New Roman" w:hAnsi="Times New Roman" w:cs="Times New Roman"/>
          <w:b/>
          <w:bCs/>
          <w:color w:val="00000A"/>
          <w:sz w:val="24"/>
          <w:lang w:val="bg-BG"/>
        </w:rPr>
        <w:t>лошо</w:t>
      </w:r>
      <w:r w:rsidRPr="00610B1B">
        <w:rPr>
          <w:rFonts w:ascii="Times New Roman" w:hAnsi="Times New Roman" w:cs="Times New Roman"/>
          <w:color w:val="00000A"/>
          <w:sz w:val="24"/>
          <w:lang w:val="bg-BG"/>
        </w:rPr>
        <w:t xml:space="preserve"> състояние по БЕК фитопланктон през някои от годините са водните тела във Варненския и Бургаския залив, в близост до значителните източници на натиск от сушата (промишленост, урбанизация, земеделие) – точкови и дифузни;</w:t>
      </w:r>
    </w:p>
    <w:p w14:paraId="604EB2FF" w14:textId="77777777" w:rsidR="00B35E5B" w:rsidRPr="00610B1B" w:rsidRDefault="00B35E5B" w:rsidP="00B46189">
      <w:pPr>
        <w:numPr>
          <w:ilvl w:val="0"/>
          <w:numId w:val="92"/>
        </w:numPr>
        <w:spacing w:after="120"/>
        <w:jc w:val="both"/>
        <w:rPr>
          <w:rFonts w:ascii="Times New Roman" w:hAnsi="Times New Roman" w:cs="Times New Roman"/>
          <w:color w:val="00000A"/>
          <w:sz w:val="24"/>
          <w:lang w:val="bg-BG"/>
        </w:rPr>
      </w:pPr>
      <w:r w:rsidRPr="00610B1B">
        <w:rPr>
          <w:rFonts w:ascii="Times New Roman" w:hAnsi="Times New Roman" w:cs="Times New Roman"/>
          <w:color w:val="00000A"/>
          <w:sz w:val="24"/>
          <w:lang w:val="bg-BG"/>
        </w:rPr>
        <w:t>В „</w:t>
      </w:r>
      <w:r w:rsidRPr="00610B1B">
        <w:rPr>
          <w:rFonts w:ascii="Times New Roman" w:hAnsi="Times New Roman" w:cs="Times New Roman"/>
          <w:b/>
          <w:bCs/>
          <w:color w:val="00000A"/>
          <w:sz w:val="24"/>
          <w:lang w:val="bg-BG"/>
        </w:rPr>
        <w:t>добро</w:t>
      </w:r>
      <w:r w:rsidRPr="00610B1B">
        <w:rPr>
          <w:rFonts w:ascii="Times New Roman" w:hAnsi="Times New Roman" w:cs="Times New Roman"/>
          <w:color w:val="00000A"/>
          <w:sz w:val="24"/>
          <w:lang w:val="bg-BG"/>
        </w:rPr>
        <w:t>“ състояние по БЕК фитопланктон през някои от годините са крайбрежните водни тела, които са относително отдалечени от значителни източници на замърсяване. През</w:t>
      </w:r>
      <w:r w:rsidRPr="00610B1B">
        <w:rPr>
          <w:rFonts w:ascii="Times New Roman" w:hAnsi="Times New Roman" w:cs="Times New Roman"/>
          <w:color w:val="000000" w:themeColor="text1"/>
          <w:sz w:val="24"/>
          <w:lang w:val="bg-BG"/>
        </w:rPr>
        <w:t xml:space="preserve"> 2017 г. водните тела южно от Варненския залив са определени в „</w:t>
      </w:r>
      <w:r w:rsidRPr="00610B1B">
        <w:rPr>
          <w:rFonts w:ascii="Times New Roman" w:hAnsi="Times New Roman" w:cs="Times New Roman"/>
          <w:b/>
          <w:bCs/>
          <w:color w:val="000000" w:themeColor="text1"/>
          <w:sz w:val="24"/>
          <w:lang w:val="bg-BG"/>
        </w:rPr>
        <w:t>добро</w:t>
      </w:r>
      <w:r w:rsidRPr="00610B1B">
        <w:rPr>
          <w:rFonts w:ascii="Times New Roman" w:hAnsi="Times New Roman" w:cs="Times New Roman"/>
          <w:color w:val="000000" w:themeColor="text1"/>
          <w:sz w:val="24"/>
          <w:lang w:val="bg-BG"/>
        </w:rPr>
        <w:t>“ състояние.</w:t>
      </w:r>
    </w:p>
    <w:p w14:paraId="39630E7F" w14:textId="0FE2D30A" w:rsidR="00565DC5" w:rsidRPr="00610B1B" w:rsidRDefault="00565DC5" w:rsidP="00D32D6A">
      <w:pPr>
        <w:spacing w:after="120"/>
        <w:ind w:right="-153"/>
        <w:jc w:val="both"/>
        <w:rPr>
          <w:rFonts w:ascii="Times New Roman" w:hAnsi="Times New Roman" w:cs="Times New Roman"/>
          <w:color w:val="00000A"/>
          <w:sz w:val="24"/>
          <w:lang w:val="bg-BG"/>
        </w:rPr>
      </w:pPr>
      <w:r w:rsidRPr="00610B1B">
        <w:rPr>
          <w:rFonts w:ascii="Times New Roman" w:hAnsi="Times New Roman" w:cs="Times New Roman"/>
          <w:color w:val="00000A"/>
          <w:sz w:val="24"/>
          <w:lang w:val="bg-BG"/>
        </w:rPr>
        <w:t>Морската стратегия включва мерки насочени към възстановяването на доброто състояние на морската среда по отношение на еутрофикацията и съобществата на фитопланктона. Те допълват мерките заложени в ПУРБ 2016-2021 г., разработван съгласно РДВ 2000/60/ЕО, в която фитопланктонът е задължителен биологичен елемент за качество. Мерките включват прилагането на добри земеделски практики за намаляване на замърсяването от</w:t>
      </w:r>
      <w:r w:rsidR="00D66FE0" w:rsidRPr="00610B1B">
        <w:rPr>
          <w:rFonts w:ascii="Times New Roman" w:hAnsi="Times New Roman" w:cs="Times New Roman"/>
          <w:color w:val="00000A"/>
          <w:sz w:val="24"/>
          <w:lang w:val="bg-BG"/>
        </w:rPr>
        <w:t xml:space="preserve"> </w:t>
      </w:r>
      <w:r w:rsidRPr="00610B1B">
        <w:rPr>
          <w:rFonts w:ascii="Times New Roman" w:hAnsi="Times New Roman" w:cs="Times New Roman"/>
          <w:color w:val="00000A"/>
          <w:sz w:val="24"/>
          <w:lang w:val="bg-BG"/>
        </w:rPr>
        <w:t>нитратно-уязвимите зони, определени съгласно Директива 91/676/EEC</w:t>
      </w:r>
      <w:r w:rsidR="00D66FE0" w:rsidRPr="00610B1B">
        <w:rPr>
          <w:rFonts w:ascii="Times New Roman" w:hAnsi="Times New Roman" w:cs="Times New Roman"/>
          <w:color w:val="00000A"/>
          <w:sz w:val="24"/>
          <w:lang w:val="bg-BG"/>
        </w:rPr>
        <w:t xml:space="preserve"> </w:t>
      </w:r>
      <w:r w:rsidRPr="00610B1B">
        <w:rPr>
          <w:rFonts w:ascii="Times New Roman" w:hAnsi="Times New Roman" w:cs="Times New Roman"/>
          <w:color w:val="00000A"/>
          <w:sz w:val="24"/>
          <w:lang w:val="bg-BG"/>
        </w:rPr>
        <w:t>за опазване на водите от замърсяване от селскостопански източници. Тези зони включват земеделските земи във водосборна област на Черно море. Мерките за намаляването на еутрофикацията поради замърсяване с отпадъчни води от канализациите на населените места и хранително-вкусовата промишленост са разработени съгласно</w:t>
      </w:r>
      <w:r w:rsidR="00D66FE0" w:rsidRPr="00610B1B">
        <w:rPr>
          <w:rFonts w:ascii="Times New Roman" w:hAnsi="Times New Roman" w:cs="Times New Roman"/>
          <w:color w:val="00000A"/>
          <w:sz w:val="24"/>
          <w:lang w:val="bg-BG"/>
        </w:rPr>
        <w:t xml:space="preserve"> </w:t>
      </w:r>
      <w:r w:rsidRPr="00610B1B">
        <w:rPr>
          <w:rFonts w:ascii="Times New Roman" w:hAnsi="Times New Roman" w:cs="Times New Roman"/>
          <w:color w:val="00000A"/>
          <w:sz w:val="24"/>
          <w:lang w:val="bg-BG"/>
        </w:rPr>
        <w:t>Директива 91/271/ЕИО, според която Черно море от н. Сиврибурун до устието на р. Резовска е определено като чувствителна зона, поради своята еутрофност. Източниците на натиск в морето са обект на мерки спрямо замърсяването от морския транспорт и атмосферата, включително и морския транспорт като вектор за разпространение инвазивни чужди видове фитопланктон.</w:t>
      </w:r>
    </w:p>
    <w:p w14:paraId="6F715BD8" w14:textId="4DA1051E" w:rsidR="00227363" w:rsidRPr="00610B1B" w:rsidRDefault="00227363" w:rsidP="00D32D6A">
      <w:pPr>
        <w:pStyle w:val="BodyText"/>
        <w:spacing w:before="0" w:after="120" w:line="276" w:lineRule="auto"/>
        <w:ind w:right="-153"/>
        <w:rPr>
          <w:rFonts w:cs="Times New Roman"/>
          <w:b/>
          <w:bCs/>
        </w:rPr>
      </w:pPr>
      <w:r w:rsidRPr="00610B1B">
        <w:rPr>
          <w:rFonts w:cs="Times New Roman"/>
          <w:b/>
          <w:bCs/>
        </w:rPr>
        <w:t>Зоопланктон</w:t>
      </w:r>
    </w:p>
    <w:p w14:paraId="25BB7794" w14:textId="68A6FEF3" w:rsidR="009D4A0E" w:rsidRPr="00610B1B" w:rsidRDefault="009D4A0E" w:rsidP="00D32D6A">
      <w:pPr>
        <w:pStyle w:val="BodyText"/>
        <w:spacing w:before="0" w:after="120" w:line="276" w:lineRule="auto"/>
        <w:ind w:right="-153"/>
        <w:rPr>
          <w:rFonts w:cs="Times New Roman"/>
        </w:rPr>
      </w:pPr>
      <w:r w:rsidRPr="00610B1B">
        <w:rPr>
          <w:rFonts w:cs="Times New Roman"/>
        </w:rPr>
        <w:t xml:space="preserve">Основните представители на зоопланктона в екосистемата на Черно море по биомаса са представителите на класове </w:t>
      </w:r>
      <w:r w:rsidRPr="00610B1B">
        <w:rPr>
          <w:rFonts w:cs="Times New Roman"/>
          <w:i/>
          <w:iCs/>
        </w:rPr>
        <w:t>Sciphozoa, Ctenophora, Noctilucales, Copepoda, Chaetognatha</w:t>
      </w:r>
      <w:r w:rsidRPr="00610B1B">
        <w:rPr>
          <w:rFonts w:cs="Times New Roman"/>
        </w:rPr>
        <w:t xml:space="preserve">, а по численост: </w:t>
      </w:r>
      <w:r w:rsidRPr="00610B1B">
        <w:rPr>
          <w:rFonts w:cs="Times New Roman"/>
          <w:i/>
          <w:iCs/>
        </w:rPr>
        <w:t>Copepoda, Noctilucales, Rotifera, Meroplankton, Appendicularia.</w:t>
      </w:r>
      <w:r w:rsidRPr="00610B1B">
        <w:rPr>
          <w:rFonts w:cs="Times New Roman"/>
        </w:rPr>
        <w:t xml:space="preserve"> За функционирането на морските хранителни вериги най-голямо е значението на представителите на хранителния зоопланктон, важно звено между първичните продуценти </w:t>
      </w:r>
      <w:r w:rsidRPr="00610B1B">
        <w:rPr>
          <w:rFonts w:cs="Times New Roman"/>
          <w:iCs/>
        </w:rPr>
        <w:t>(</w:t>
      </w:r>
      <w:r w:rsidRPr="00610B1B">
        <w:rPr>
          <w:rFonts w:cs="Times New Roman"/>
        </w:rPr>
        <w:t>фитопланктона</w:t>
      </w:r>
      <w:r w:rsidRPr="00610B1B">
        <w:rPr>
          <w:rFonts w:cs="Times New Roman"/>
          <w:iCs/>
        </w:rPr>
        <w:t>)</w:t>
      </w:r>
      <w:r w:rsidRPr="00610B1B">
        <w:rPr>
          <w:rFonts w:cs="Times New Roman"/>
        </w:rPr>
        <w:t xml:space="preserve">, планктоноядните риби и ларвите на хищните риби. Натиск оказват местни инвазивни видове </w:t>
      </w:r>
      <w:r w:rsidRPr="00610B1B">
        <w:rPr>
          <w:rFonts w:cs="Times New Roman"/>
          <w:iCs/>
        </w:rPr>
        <w:t>(</w:t>
      </w:r>
      <w:r w:rsidRPr="00610B1B">
        <w:rPr>
          <w:rFonts w:cs="Times New Roman"/>
          <w:i/>
          <w:iCs/>
        </w:rPr>
        <w:t>Noctiluca scintillans</w:t>
      </w:r>
      <w:r w:rsidRPr="00610B1B">
        <w:rPr>
          <w:rFonts w:cs="Times New Roman"/>
          <w:iCs/>
        </w:rPr>
        <w:t>)</w:t>
      </w:r>
      <w:r w:rsidRPr="00610B1B">
        <w:rPr>
          <w:rFonts w:cs="Times New Roman"/>
        </w:rPr>
        <w:t xml:space="preserve"> и чужди инвазивни видове </w:t>
      </w:r>
      <w:r w:rsidRPr="00610B1B">
        <w:rPr>
          <w:rFonts w:cs="Times New Roman"/>
          <w:iCs/>
        </w:rPr>
        <w:t>(</w:t>
      </w:r>
      <w:r w:rsidRPr="00610B1B">
        <w:rPr>
          <w:rFonts w:cs="Times New Roman"/>
          <w:i/>
          <w:iCs/>
        </w:rPr>
        <w:t>Mnemiopsis leidyi</w:t>
      </w:r>
      <w:r w:rsidRPr="00610B1B">
        <w:rPr>
          <w:rFonts w:cs="Times New Roman"/>
          <w:iCs/>
        </w:rPr>
        <w:t>)</w:t>
      </w:r>
      <w:r w:rsidRPr="00610B1B">
        <w:rPr>
          <w:rFonts w:cs="Times New Roman"/>
        </w:rPr>
        <w:t>, които нямат хранително значение, но се хранят със зоопланктона</w:t>
      </w:r>
      <w:r w:rsidR="00987E11" w:rsidRPr="00610B1B">
        <w:rPr>
          <w:rFonts w:cs="Times New Roman"/>
        </w:rPr>
        <w:t xml:space="preserve"> и</w:t>
      </w:r>
      <w:r w:rsidRPr="00610B1B">
        <w:rPr>
          <w:rFonts w:cs="Times New Roman"/>
        </w:rPr>
        <w:t xml:space="preserve"> намаляват достъпния </w:t>
      </w:r>
      <w:r w:rsidR="0086540F" w:rsidRPr="00610B1B">
        <w:rPr>
          <w:rFonts w:cs="Times New Roman"/>
        </w:rPr>
        <w:t xml:space="preserve">хранителен ресурс </w:t>
      </w:r>
      <w:r w:rsidRPr="00610B1B">
        <w:rPr>
          <w:rFonts w:cs="Times New Roman"/>
        </w:rPr>
        <w:t>за</w:t>
      </w:r>
      <w:r w:rsidR="0086540F" w:rsidRPr="00610B1B">
        <w:rPr>
          <w:rFonts w:cs="Times New Roman"/>
        </w:rPr>
        <w:t xml:space="preserve"> морските </w:t>
      </w:r>
      <w:r w:rsidRPr="00610B1B">
        <w:rPr>
          <w:rFonts w:cs="Times New Roman"/>
        </w:rPr>
        <w:t>риби</w:t>
      </w:r>
      <w:r w:rsidR="0086540F" w:rsidRPr="00610B1B">
        <w:rPr>
          <w:rFonts w:cs="Times New Roman"/>
        </w:rPr>
        <w:t>, птици и бозайници.</w:t>
      </w:r>
      <w:r w:rsidR="00D66FE0" w:rsidRPr="00610B1B">
        <w:rPr>
          <w:rFonts w:cs="Times New Roman"/>
        </w:rPr>
        <w:t xml:space="preserve"> </w:t>
      </w:r>
      <w:r w:rsidRPr="00610B1B">
        <w:rPr>
          <w:rFonts w:cs="Times New Roman"/>
        </w:rPr>
        <w:lastRenderedPageBreak/>
        <w:t>Съотношението между хранителен и нехранителен зоопланктон е показател за състоянието на морската екосистема.</w:t>
      </w:r>
    </w:p>
    <w:p w14:paraId="022E72B3" w14:textId="77777777" w:rsidR="000610CF" w:rsidRPr="00610B1B" w:rsidRDefault="000610CF" w:rsidP="000610CF">
      <w:pPr>
        <w:spacing w:before="113" w:after="119"/>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Характерна тенденция за съобществата на зоопланктона в периода 1960-2006 г. е намаляването на концентрацията на хранителния за рибите зоопланктон. Резултатите от изследванията показват, че биомасата на зоопланктона се изменя, преминавайки от позитивна фаза в периода 1967-1973 г., към чувствително понижаване и поддържане на по-ниски стойности на количествените параметри през 1980-1993 г., когато пелагичните екосистеми са доминирани от опортюнистични местни (</w:t>
      </w:r>
      <w:r w:rsidRPr="00610B1B">
        <w:rPr>
          <w:rFonts w:ascii="Times New Roman" w:hAnsi="Times New Roman" w:cs="Times New Roman"/>
          <w:i/>
          <w:color w:val="000000"/>
          <w:sz w:val="24"/>
          <w:szCs w:val="24"/>
          <w:lang w:val="bg-BG"/>
        </w:rPr>
        <w:t>Auralia aurita, Noctiluca scintillans</w:t>
      </w:r>
      <w:r w:rsidRPr="00610B1B">
        <w:rPr>
          <w:rFonts w:ascii="Times New Roman" w:hAnsi="Times New Roman" w:cs="Times New Roman"/>
          <w:sz w:val="24"/>
          <w:szCs w:val="24"/>
          <w:lang w:val="bg-BG"/>
        </w:rPr>
        <w:t>) и инвазивни чужди видове (</w:t>
      </w:r>
      <w:r w:rsidRPr="00610B1B">
        <w:rPr>
          <w:rFonts w:ascii="Times New Roman" w:hAnsi="Times New Roman" w:cs="Times New Roman"/>
          <w:i/>
          <w:sz w:val="24"/>
          <w:szCs w:val="24"/>
          <w:lang w:val="bg-BG"/>
        </w:rPr>
        <w:t>Mnemiopsis leidyi</w:t>
      </w:r>
      <w:r w:rsidRPr="00610B1B">
        <w:rPr>
          <w:rFonts w:ascii="Times New Roman" w:hAnsi="Times New Roman" w:cs="Times New Roman"/>
          <w:sz w:val="24"/>
          <w:szCs w:val="24"/>
          <w:lang w:val="bg-BG"/>
        </w:rPr>
        <w:t>).</w:t>
      </w:r>
      <w:r w:rsidRPr="00610B1B">
        <w:rPr>
          <w:rFonts w:ascii="Times New Roman" w:hAnsi="Times New Roman" w:cs="Times New Roman"/>
          <w:iCs/>
          <w:sz w:val="24"/>
          <w:szCs w:val="24"/>
          <w:lang w:val="bg-BG"/>
        </w:rPr>
        <w:t xml:space="preserve"> </w:t>
      </w:r>
      <w:r w:rsidRPr="00610B1B">
        <w:rPr>
          <w:rFonts w:ascii="Times New Roman" w:hAnsi="Times New Roman" w:cs="Times New Roman"/>
          <w:sz w:val="24"/>
          <w:szCs w:val="24"/>
          <w:lang w:val="bg-BG"/>
        </w:rPr>
        <w:t>През съвременния период след 2000 г. състоянието на зоопланктона се колебае между „лошо“ и „умерено“ без ясно изразена тенденция, поради високата биомаса на някои инвазивни видове през отделни години.</w:t>
      </w:r>
    </w:p>
    <w:p w14:paraId="68FDE708" w14:textId="77777777" w:rsidR="005F788F" w:rsidRPr="00610B1B" w:rsidRDefault="005F788F" w:rsidP="005F788F">
      <w:pPr>
        <w:spacing w:before="113" w:after="119"/>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Съществуващите екологични проблеми са свързани преди всичко с намаляване на мезозоопланктона като хранителен ресурс за планктоноядните риби и ларвите на хищните риби в резултат от развитието на местни опортюнистични (</w:t>
      </w:r>
      <w:r w:rsidRPr="00610B1B">
        <w:rPr>
          <w:rFonts w:ascii="Times New Roman" w:hAnsi="Times New Roman" w:cs="Times New Roman"/>
          <w:i/>
          <w:sz w:val="24"/>
          <w:szCs w:val="24"/>
          <w:lang w:val="bg-BG"/>
        </w:rPr>
        <w:t>Noctiluca scintillans</w:t>
      </w:r>
      <w:r w:rsidRPr="00610B1B">
        <w:rPr>
          <w:rFonts w:ascii="Times New Roman" w:hAnsi="Times New Roman" w:cs="Times New Roman"/>
          <w:sz w:val="24"/>
          <w:szCs w:val="24"/>
          <w:lang w:val="bg-BG"/>
        </w:rPr>
        <w:t>) и неместни инвазивни видове (</w:t>
      </w:r>
      <w:r w:rsidRPr="00610B1B">
        <w:rPr>
          <w:rFonts w:ascii="Times New Roman" w:hAnsi="Times New Roman" w:cs="Times New Roman"/>
          <w:i/>
          <w:sz w:val="24"/>
          <w:szCs w:val="24"/>
          <w:lang w:val="bg-BG"/>
        </w:rPr>
        <w:t>Mnemiopsis leidyi</w:t>
      </w:r>
      <w:r w:rsidRPr="00610B1B">
        <w:rPr>
          <w:rFonts w:ascii="Times New Roman" w:hAnsi="Times New Roman" w:cs="Times New Roman"/>
          <w:sz w:val="24"/>
          <w:szCs w:val="24"/>
          <w:lang w:val="bg-BG"/>
        </w:rPr>
        <w:t>). Промяната във видовия състав и обилието на характерните за референтните условия видове зоопланктон може да доведе до непредсказуеми изменения в състоянието на екосистемата. Бъдещото развитие на състоянието зависи от превантивни мерки спрямо навлизането на инвазивни чужди видове, но практически е невъзможно да се определи.</w:t>
      </w:r>
    </w:p>
    <w:p w14:paraId="2BD1461E" w14:textId="03529AD0" w:rsidR="003A26CF" w:rsidRPr="00610B1B" w:rsidRDefault="000610CF" w:rsidP="00D32D6A">
      <w:pPr>
        <w:pStyle w:val="BodyText"/>
        <w:spacing w:before="0" w:after="120" w:line="276" w:lineRule="auto"/>
        <w:ind w:right="-153"/>
        <w:rPr>
          <w:rFonts w:cs="Times New Roman"/>
        </w:rPr>
      </w:pPr>
      <w:r w:rsidRPr="00610B1B">
        <w:rPr>
          <w:rFonts w:cs="Times New Roman"/>
        </w:rPr>
        <w:t xml:space="preserve">Морската стратегия включва програма от мерки за постигане на добро състояние по отношение на зоопланктона, насочени спрямо морския транспорт като вектор за разпространение инвазивни чужди видове зоопланктон (дескриптор 2) чрез баластните води на корабите. Високото биологично разнообразие може да се приеме за естествен защитен механизъм срещу </w:t>
      </w:r>
      <w:r w:rsidR="00F40505" w:rsidRPr="00610B1B">
        <w:rPr>
          <w:rFonts w:cs="Times New Roman"/>
        </w:rPr>
        <w:t>инвазивните видове</w:t>
      </w:r>
      <w:r w:rsidRPr="00610B1B">
        <w:rPr>
          <w:rFonts w:cs="Times New Roman"/>
        </w:rPr>
        <w:t>. Свободните екологични ниши задължително се запълват – там където има условия за развитието на богати на видове зоопланктон съобщества опасността от инвази</w:t>
      </w:r>
      <w:r w:rsidR="00B36ECD" w:rsidRPr="00610B1B">
        <w:rPr>
          <w:rFonts w:cs="Times New Roman"/>
        </w:rPr>
        <w:t>вн</w:t>
      </w:r>
      <w:r w:rsidRPr="00610B1B">
        <w:rPr>
          <w:rFonts w:cs="Times New Roman"/>
        </w:rPr>
        <w:t>и</w:t>
      </w:r>
      <w:r w:rsidR="00B36ECD" w:rsidRPr="00610B1B">
        <w:rPr>
          <w:rFonts w:cs="Times New Roman"/>
        </w:rPr>
        <w:t xml:space="preserve"> видове</w:t>
      </w:r>
      <w:r w:rsidRPr="00610B1B">
        <w:rPr>
          <w:rFonts w:cs="Times New Roman"/>
        </w:rPr>
        <w:t xml:space="preserve"> е намалена. Екосистемният подход изисква отчитане на всички видове натиск, които влошават състоянието на пелагичните местообитания на зоопланктона. Поради това, за съобществата на зоопланктона значение имат и целите и мерките определени по всички дескриптори за натиск.</w:t>
      </w:r>
    </w:p>
    <w:p w14:paraId="3110987F" w14:textId="6210A7FC" w:rsidR="009D4A0E" w:rsidRPr="00610B1B" w:rsidRDefault="00536709" w:rsidP="00D32D6A">
      <w:pPr>
        <w:pStyle w:val="Heading4"/>
        <w:spacing w:before="0" w:line="276" w:lineRule="auto"/>
        <w:ind w:right="-153"/>
        <w:rPr>
          <w:rFonts w:cs="Times New Roman"/>
        </w:rPr>
      </w:pPr>
      <w:r w:rsidRPr="00610B1B">
        <w:rPr>
          <w:rFonts w:cs="Times New Roman"/>
        </w:rPr>
        <w:t>2.</w:t>
      </w:r>
      <w:r w:rsidR="00ED2E2E" w:rsidRPr="00610B1B">
        <w:rPr>
          <w:rFonts w:cs="Times New Roman"/>
        </w:rPr>
        <w:t xml:space="preserve">2.4.2. </w:t>
      </w:r>
      <w:r w:rsidR="009D4A0E" w:rsidRPr="00610B1B">
        <w:rPr>
          <w:rFonts w:cs="Times New Roman"/>
        </w:rPr>
        <w:t>Макрофитобентос и макрозообентос</w:t>
      </w:r>
    </w:p>
    <w:p w14:paraId="5AF730D5" w14:textId="77777777" w:rsidR="009D4A0E" w:rsidRPr="00610B1B" w:rsidRDefault="009D4A0E" w:rsidP="00D32D6A">
      <w:pPr>
        <w:pStyle w:val="Caption"/>
        <w:spacing w:before="0" w:line="276" w:lineRule="auto"/>
        <w:ind w:right="-153"/>
        <w:rPr>
          <w:rFonts w:cs="Times New Roman"/>
          <w:b/>
          <w:bCs/>
        </w:rPr>
      </w:pPr>
      <w:r w:rsidRPr="00610B1B">
        <w:rPr>
          <w:rFonts w:cs="Times New Roman"/>
          <w:b/>
          <w:bCs/>
        </w:rPr>
        <w:t>Макрофитобентос</w:t>
      </w:r>
    </w:p>
    <w:p w14:paraId="7296D922" w14:textId="365CB35E" w:rsidR="00071B6B" w:rsidRPr="00610B1B" w:rsidRDefault="00071B6B" w:rsidP="00D32D6A">
      <w:pPr>
        <w:pStyle w:val="BodyText"/>
        <w:spacing w:before="0" w:after="120" w:line="276" w:lineRule="auto"/>
        <w:ind w:right="-153"/>
        <w:rPr>
          <w:rFonts w:cs="Times New Roman"/>
        </w:rPr>
      </w:pPr>
      <w:r w:rsidRPr="00610B1B">
        <w:rPr>
          <w:rFonts w:cs="Times New Roman"/>
        </w:rPr>
        <w:t>По българското Черноморско крайбрежие са описани 157 вида макроводорасли, което представлява около 53% от общия брой видове в цялото Черноморие. Българското крайбрежие е второ по разнообразие на видове след крайбрежието на Русия, и преди това на Румъния, Украйна и Турция. От общия брой макроводорасли</w:t>
      </w:r>
      <w:r w:rsidR="00D66FE0" w:rsidRPr="00610B1B">
        <w:rPr>
          <w:rFonts w:cs="Times New Roman"/>
        </w:rPr>
        <w:t xml:space="preserve"> </w:t>
      </w:r>
      <w:r w:rsidRPr="00610B1B">
        <w:rPr>
          <w:rFonts w:cs="Times New Roman"/>
        </w:rPr>
        <w:t>най-богати на видове е групата на червените макроводорасли (Rhodophyta)</w:t>
      </w:r>
      <w:r w:rsidR="00D66FE0" w:rsidRPr="00610B1B">
        <w:rPr>
          <w:rFonts w:cs="Times New Roman"/>
        </w:rPr>
        <w:t xml:space="preserve"> </w:t>
      </w:r>
      <w:r w:rsidRPr="00610B1B">
        <w:rPr>
          <w:rFonts w:cs="Times New Roman"/>
        </w:rPr>
        <w:t xml:space="preserve">с 55% от видовете, следвана от кафяви (Ohcrophyta) и зелени (Chlorophyta) със сходен процентен дял от общия брой. Морските треви в българската акватория на Черно море са представени от два вида от род Zostera – </w:t>
      </w:r>
      <w:r w:rsidRPr="00610B1B">
        <w:rPr>
          <w:rFonts w:cs="Times New Roman"/>
          <w:i/>
          <w:iCs/>
        </w:rPr>
        <w:t>Zostera marina</w:t>
      </w:r>
      <w:r w:rsidRPr="00610B1B">
        <w:rPr>
          <w:rFonts w:cs="Times New Roman"/>
        </w:rPr>
        <w:t xml:space="preserve"> и </w:t>
      </w:r>
      <w:r w:rsidRPr="00610B1B">
        <w:rPr>
          <w:rFonts w:cs="Times New Roman"/>
          <w:i/>
          <w:iCs/>
        </w:rPr>
        <w:t>Zostera</w:t>
      </w:r>
      <w:r w:rsidRPr="00610B1B">
        <w:rPr>
          <w:rFonts w:cs="Times New Roman"/>
        </w:rPr>
        <w:t xml:space="preserve"> </w:t>
      </w:r>
      <w:r w:rsidRPr="00610B1B">
        <w:rPr>
          <w:rFonts w:cs="Times New Roman"/>
          <w:i/>
          <w:iCs/>
        </w:rPr>
        <w:t>noltei</w:t>
      </w:r>
      <w:r w:rsidRPr="00610B1B">
        <w:rPr>
          <w:rFonts w:cs="Times New Roman"/>
        </w:rPr>
        <w:t xml:space="preserve">, както и типичните за бракични води видове </w:t>
      </w:r>
      <w:r w:rsidRPr="00610B1B">
        <w:rPr>
          <w:rFonts w:cs="Times New Roman"/>
          <w:i/>
          <w:iCs/>
        </w:rPr>
        <w:t>Zannichellia</w:t>
      </w:r>
      <w:r w:rsidRPr="00610B1B">
        <w:rPr>
          <w:rFonts w:cs="Times New Roman"/>
        </w:rPr>
        <w:t xml:space="preserve"> </w:t>
      </w:r>
      <w:r w:rsidRPr="00610B1B">
        <w:rPr>
          <w:rFonts w:cs="Times New Roman"/>
          <w:i/>
          <w:iCs/>
        </w:rPr>
        <w:lastRenderedPageBreak/>
        <w:t>palustris, Potamogetom pectinatus и Ruppia maritima</w:t>
      </w:r>
      <w:r w:rsidRPr="00610B1B">
        <w:rPr>
          <w:rFonts w:cs="Times New Roman"/>
        </w:rPr>
        <w:t xml:space="preserve"> (БДЧР, 2013). </w:t>
      </w:r>
    </w:p>
    <w:p w14:paraId="6CB3DDE4" w14:textId="261331ED" w:rsidR="006A1AA3" w:rsidRPr="00610B1B" w:rsidRDefault="00585C13" w:rsidP="00D32D6A">
      <w:pPr>
        <w:pStyle w:val="BodyText"/>
        <w:spacing w:before="0" w:after="120" w:line="276" w:lineRule="auto"/>
        <w:ind w:right="-153"/>
        <w:rPr>
          <w:rFonts w:cs="Times New Roman"/>
        </w:rPr>
      </w:pPr>
      <w:r w:rsidRPr="00610B1B">
        <w:rPr>
          <w:rFonts w:cs="Times New Roman"/>
        </w:rPr>
        <w:t xml:space="preserve">В съвременните проучвания на структурата и разпространението на съобществата на макроводораслите и морските треви в Черно море са описани над 15 растителни асоциации, обитаващи различни биотопи и географски зони по крайбрежието ни. </w:t>
      </w:r>
      <w:r w:rsidR="009634AE" w:rsidRPr="00610B1B">
        <w:rPr>
          <w:rFonts w:cs="Times New Roman"/>
        </w:rPr>
        <w:t xml:space="preserve">Тези </w:t>
      </w:r>
      <w:r w:rsidRPr="00610B1B">
        <w:rPr>
          <w:rFonts w:cs="Times New Roman"/>
        </w:rPr>
        <w:t>широко разпространени фитобентосни съобщества са класифицирани в няколко „схеми“</w:t>
      </w:r>
      <w:r w:rsidR="00B50B76" w:rsidRPr="00610B1B">
        <w:rPr>
          <w:rFonts w:cs="Times New Roman"/>
        </w:rPr>
        <w:t>,</w:t>
      </w:r>
      <w:r w:rsidRPr="00610B1B">
        <w:rPr>
          <w:rFonts w:cs="Times New Roman"/>
        </w:rPr>
        <w:t xml:space="preserve"> базирани на Директивата за местообитанията (92/43/EEC), Рамкова директива за морска стратегия (РДМС) (2008/56/EC) и системата EUNIS</w:t>
      </w:r>
      <w:r w:rsidR="00B50B76" w:rsidRPr="00610B1B">
        <w:rPr>
          <w:rStyle w:val="FootnoteReference"/>
          <w:rFonts w:cs="Times New Roman"/>
        </w:rPr>
        <w:footnoteReference w:id="79"/>
      </w:r>
      <w:r w:rsidR="009634AE" w:rsidRPr="00610B1B">
        <w:rPr>
          <w:rFonts w:cs="Times New Roman"/>
        </w:rPr>
        <w:t xml:space="preserve"> и </w:t>
      </w:r>
      <w:r w:rsidRPr="00610B1B">
        <w:rPr>
          <w:rFonts w:cs="Times New Roman"/>
        </w:rPr>
        <w:t>са предмет на изследване на разпространението и на екологичното състояние в мониторинговите програми и периодични оценки по РДМС.</w:t>
      </w:r>
    </w:p>
    <w:p w14:paraId="7D92E728" w14:textId="0C7026B5" w:rsidR="00585C13" w:rsidRPr="00610B1B" w:rsidRDefault="00585C13" w:rsidP="00D32D6A">
      <w:pPr>
        <w:pStyle w:val="BodyText"/>
        <w:spacing w:before="0" w:after="120" w:line="276" w:lineRule="auto"/>
        <w:ind w:right="-153"/>
        <w:rPr>
          <w:rFonts w:cs="Times New Roman"/>
        </w:rPr>
      </w:pPr>
      <w:r w:rsidRPr="00610B1B">
        <w:rPr>
          <w:rFonts w:cs="Times New Roman"/>
        </w:rPr>
        <w:t>Разпространението на отличените широки типове местообитания на макроводорасли и морски треви</w:t>
      </w:r>
      <w:r w:rsidR="00D66FE0" w:rsidRPr="00610B1B">
        <w:rPr>
          <w:rFonts w:cs="Times New Roman"/>
        </w:rPr>
        <w:t xml:space="preserve"> </w:t>
      </w:r>
      <w:r w:rsidRPr="00610B1B">
        <w:rPr>
          <w:rFonts w:cs="Times New Roman"/>
        </w:rPr>
        <w:t>по българското крайбрежие на Черно море е ограничено в плитката крайбрежна зона, а приблизителните площи са оценени в първоначалната оценка на състоянието на морската среда (МОСВ, 2013). Площта на широкия тип местообитание „медиолиторални скали“ е оценена на общо 26.7 km</w:t>
      </w:r>
      <w:r w:rsidRPr="00610B1B">
        <w:rPr>
          <w:rFonts w:cs="Times New Roman"/>
          <w:vertAlign w:val="superscript"/>
        </w:rPr>
        <w:t>2</w:t>
      </w:r>
      <w:r w:rsidRPr="00610B1B">
        <w:rPr>
          <w:rFonts w:cs="Times New Roman"/>
        </w:rPr>
        <w:t>, с най-голямо разпространение в района между нос Емине и Созопол (11.36 km</w:t>
      </w:r>
      <w:r w:rsidRPr="00610B1B">
        <w:rPr>
          <w:rFonts w:cs="Times New Roman"/>
          <w:vertAlign w:val="superscript"/>
        </w:rPr>
        <w:t>2</w:t>
      </w:r>
      <w:r w:rsidRPr="00610B1B">
        <w:rPr>
          <w:rFonts w:cs="Times New Roman"/>
        </w:rPr>
        <w:t>). Площите заети от широк тип местообитание „плитки сублиторални скали“ са оценени на общо 160,76 km</w:t>
      </w:r>
      <w:r w:rsidRPr="00610B1B">
        <w:rPr>
          <w:rFonts w:cs="Times New Roman"/>
          <w:vertAlign w:val="superscript"/>
        </w:rPr>
        <w:t>2</w:t>
      </w:r>
      <w:r w:rsidRPr="00610B1B">
        <w:rPr>
          <w:rFonts w:cs="Times New Roman"/>
        </w:rPr>
        <w:t>, от които 81.04 km</w:t>
      </w:r>
      <w:r w:rsidRPr="00610B1B">
        <w:rPr>
          <w:rFonts w:cs="Times New Roman"/>
          <w:vertAlign w:val="superscript"/>
        </w:rPr>
        <w:t>2</w:t>
      </w:r>
      <w:r w:rsidRPr="00610B1B">
        <w:rPr>
          <w:rFonts w:cs="Times New Roman"/>
        </w:rPr>
        <w:t xml:space="preserve"> са в района между нос Емине и Созопол, а 20.79 km</w:t>
      </w:r>
      <w:r w:rsidRPr="00610B1B">
        <w:rPr>
          <w:rFonts w:cs="Times New Roman"/>
          <w:vertAlign w:val="superscript"/>
        </w:rPr>
        <w:t>2</w:t>
      </w:r>
      <w:r w:rsidRPr="00610B1B">
        <w:rPr>
          <w:rFonts w:cs="Times New Roman"/>
        </w:rPr>
        <w:t xml:space="preserve"> между Созопол и устието на река Резовска. Площите на</w:t>
      </w:r>
      <w:r w:rsidR="00D66FE0" w:rsidRPr="00610B1B">
        <w:rPr>
          <w:rFonts w:cs="Times New Roman"/>
        </w:rPr>
        <w:t xml:space="preserve"> </w:t>
      </w:r>
      <w:r w:rsidRPr="00610B1B">
        <w:rPr>
          <w:rFonts w:cs="Times New Roman"/>
        </w:rPr>
        <w:t>националния подтип „Подводни ливади с морски треви“ в българската акватория на Черно море е оценена на 8</w:t>
      </w:r>
      <w:r w:rsidR="00D66FE0" w:rsidRPr="00610B1B">
        <w:rPr>
          <w:rFonts w:cs="Times New Roman"/>
        </w:rPr>
        <w:t xml:space="preserve"> </w:t>
      </w:r>
      <w:r w:rsidRPr="00610B1B">
        <w:rPr>
          <w:rFonts w:cs="Times New Roman"/>
        </w:rPr>
        <w:t>km</w:t>
      </w:r>
      <w:r w:rsidRPr="00610B1B">
        <w:rPr>
          <w:rFonts w:cs="Times New Roman"/>
          <w:vertAlign w:val="superscript"/>
        </w:rPr>
        <w:t>2</w:t>
      </w:r>
      <w:r w:rsidRPr="00610B1B">
        <w:rPr>
          <w:rFonts w:cs="Times New Roman"/>
        </w:rPr>
        <w:t xml:space="preserve">, от които 95% се намират в акваторията на Бургаски залив между нос Емине и Маслен нос (ИО-БАН, 2018; МОСВ, 2013). </w:t>
      </w:r>
    </w:p>
    <w:p w14:paraId="6768B67C" w14:textId="3328BEA3" w:rsidR="00585C13" w:rsidRPr="00610B1B" w:rsidRDefault="00585C13" w:rsidP="00D32D6A">
      <w:pPr>
        <w:pStyle w:val="BodyText"/>
        <w:spacing w:before="0" w:after="120" w:line="276" w:lineRule="auto"/>
        <w:ind w:right="-153"/>
        <w:rPr>
          <w:rFonts w:cs="Times New Roman"/>
        </w:rPr>
      </w:pPr>
      <w:r w:rsidRPr="00610B1B">
        <w:rPr>
          <w:rFonts w:cs="Times New Roman"/>
        </w:rPr>
        <w:t>Обитавайки плитките крайбрежни морски води – зоната на физически контакт между морската среда и сушата</w:t>
      </w:r>
      <w:r w:rsidR="00B50B76" w:rsidRPr="00610B1B">
        <w:rPr>
          <w:rFonts w:cs="Times New Roman"/>
        </w:rPr>
        <w:t>,</w:t>
      </w:r>
      <w:r w:rsidR="00D66FE0" w:rsidRPr="00610B1B">
        <w:rPr>
          <w:rFonts w:cs="Times New Roman"/>
        </w:rPr>
        <w:t xml:space="preserve"> </w:t>
      </w:r>
      <w:r w:rsidRPr="00610B1B">
        <w:rPr>
          <w:rFonts w:cs="Times New Roman"/>
        </w:rPr>
        <w:t>растителните съобщества на макроводораслите и морските треви</w:t>
      </w:r>
      <w:r w:rsidR="00D66FE0" w:rsidRPr="00610B1B">
        <w:rPr>
          <w:rFonts w:cs="Times New Roman"/>
        </w:rPr>
        <w:t xml:space="preserve"> </w:t>
      </w:r>
      <w:r w:rsidRPr="00610B1B">
        <w:rPr>
          <w:rFonts w:cs="Times New Roman"/>
        </w:rPr>
        <w:t>са уязвими на въздействия и натиск от крайбрежието</w:t>
      </w:r>
      <w:r w:rsidR="00B50B76" w:rsidRPr="00610B1B">
        <w:rPr>
          <w:rFonts w:cs="Times New Roman"/>
        </w:rPr>
        <w:t>,</w:t>
      </w:r>
      <w:r w:rsidRPr="00610B1B">
        <w:rPr>
          <w:rFonts w:cs="Times New Roman"/>
        </w:rPr>
        <w:t xml:space="preserve"> както естествен (вток на води от речни устия, крайбрежна ерозия), така и антропогенен (урбанизиране, замърсяване, еутрофикация, унищожаване на субстратите). </w:t>
      </w:r>
      <w:r w:rsidR="006A1AA3" w:rsidRPr="00610B1B">
        <w:rPr>
          <w:rFonts w:cs="Times New Roman"/>
        </w:rPr>
        <w:t>Изграждането на морски хидротехнически съоръжения в районите н</w:t>
      </w:r>
      <w:r w:rsidR="00B50B76" w:rsidRPr="00610B1B">
        <w:rPr>
          <w:rFonts w:cs="Times New Roman"/>
        </w:rPr>
        <w:t>ос</w:t>
      </w:r>
      <w:r w:rsidR="006A1AA3" w:rsidRPr="00610B1B">
        <w:rPr>
          <w:rFonts w:cs="Times New Roman"/>
        </w:rPr>
        <w:t xml:space="preserve"> Калиакра – н</w:t>
      </w:r>
      <w:r w:rsidR="00B50B76" w:rsidRPr="00610B1B">
        <w:rPr>
          <w:rFonts w:cs="Times New Roman"/>
        </w:rPr>
        <w:t>ос</w:t>
      </w:r>
      <w:r w:rsidR="006A1AA3" w:rsidRPr="00610B1B">
        <w:rPr>
          <w:rFonts w:cs="Times New Roman"/>
        </w:rPr>
        <w:t xml:space="preserve"> Галата и н</w:t>
      </w:r>
      <w:r w:rsidR="00B50B76" w:rsidRPr="00610B1B">
        <w:rPr>
          <w:rFonts w:cs="Times New Roman"/>
        </w:rPr>
        <w:t>ос</w:t>
      </w:r>
      <w:r w:rsidR="006A1AA3" w:rsidRPr="00610B1B">
        <w:rPr>
          <w:rFonts w:cs="Times New Roman"/>
        </w:rPr>
        <w:t xml:space="preserve"> Емине – Созопол, е причина за загуба на субстрат в зоните на развитие на макроводораслите. </w:t>
      </w:r>
      <w:r w:rsidRPr="00610B1B">
        <w:rPr>
          <w:rFonts w:cs="Times New Roman"/>
        </w:rPr>
        <w:t>В първия район над 23.4% от медиолиторалните скални местообитания и над 20.1% от плитките сублиторални скални местообитания са запечатани или затрупани в резултат от антропогенни дейности. Във втория район това са съответно 14.8% от медиолиторалните скали и 12.1% от плитките сублиторални скали.</w:t>
      </w:r>
    </w:p>
    <w:p w14:paraId="708C8E5A" w14:textId="026C77FE" w:rsidR="00EC1EB7" w:rsidRPr="00610B1B" w:rsidRDefault="00261F15" w:rsidP="00AD74D0">
      <w:pPr>
        <w:pStyle w:val="BodyText"/>
        <w:spacing w:after="120"/>
        <w:ind w:right="-153"/>
        <w:rPr>
          <w:rFonts w:cs="Times New Roman"/>
          <w:iCs/>
        </w:rPr>
      </w:pPr>
      <w:r w:rsidRPr="00610B1B">
        <w:rPr>
          <w:rFonts w:cs="Times New Roman"/>
        </w:rPr>
        <w:t xml:space="preserve">Еутрофикационното въздействие върху крайбрежните екосистеми, като пряк резултат от урбанизацията, има точкови </w:t>
      </w:r>
      <w:r w:rsidR="009634AE" w:rsidRPr="00610B1B">
        <w:rPr>
          <w:rFonts w:cs="Times New Roman"/>
        </w:rPr>
        <w:t>източници</w:t>
      </w:r>
      <w:r w:rsidRPr="00610B1B">
        <w:rPr>
          <w:rFonts w:cs="Times New Roman"/>
        </w:rPr>
        <w:t xml:space="preserve"> (вток от речни устия, устия на крайбрежни лагуни и езера, вливане на канализации) и дифузни </w:t>
      </w:r>
      <w:r w:rsidR="009634AE" w:rsidRPr="00610B1B">
        <w:rPr>
          <w:rFonts w:cs="Times New Roman"/>
        </w:rPr>
        <w:t xml:space="preserve">източници </w:t>
      </w:r>
      <w:r w:rsidRPr="00610B1B">
        <w:rPr>
          <w:rFonts w:cs="Times New Roman"/>
        </w:rPr>
        <w:t>(подземни води</w:t>
      </w:r>
      <w:r w:rsidR="007666BF" w:rsidRPr="00610B1B">
        <w:rPr>
          <w:rFonts w:cs="Times New Roman"/>
        </w:rPr>
        <w:t>,</w:t>
      </w:r>
      <w:r w:rsidRPr="00610B1B">
        <w:rPr>
          <w:rFonts w:cs="Times New Roman"/>
        </w:rPr>
        <w:t xml:space="preserve"> вливащи се в морето, дъждовни оттоци). Макар че основният дял на втока на биогени в Черно море идва от водите на големите реки в северозападната част на басейна (р. Дунав), в крайбрежната зона основните източници на въздействие са локални.</w:t>
      </w:r>
      <w:r w:rsidR="00D66FE0" w:rsidRPr="00610B1B">
        <w:rPr>
          <w:rFonts w:cs="Times New Roman"/>
        </w:rPr>
        <w:t xml:space="preserve"> </w:t>
      </w:r>
      <w:r w:rsidR="00AD74D0" w:rsidRPr="00610B1B">
        <w:rPr>
          <w:rFonts w:cs="Times New Roman"/>
          <w:iCs/>
        </w:rPr>
        <w:t xml:space="preserve">Антропогенната еутрофикация води до изчезване и/или намаляване на обхвата и дълбочината на разпространение на чувствителните към замърсяване кафяви и червени водорасли, до </w:t>
      </w:r>
      <w:r w:rsidR="00AD74D0" w:rsidRPr="00610B1B">
        <w:rPr>
          <w:rFonts w:cs="Times New Roman"/>
          <w:iCs/>
        </w:rPr>
        <w:lastRenderedPageBreak/>
        <w:t xml:space="preserve">пълното им изчезване от вътрешните Варненски и Бургаския залив, както и намаляване на дълбочината на разпространение от 20-25 m през 1960-те години до 10-15 m. </w:t>
      </w:r>
    </w:p>
    <w:p w14:paraId="17C698A5" w14:textId="6ABC1353" w:rsidR="00F72F09" w:rsidRPr="00610B1B" w:rsidRDefault="00EC1EB7" w:rsidP="00C346F9">
      <w:pPr>
        <w:pStyle w:val="BodyText"/>
        <w:spacing w:after="120"/>
        <w:ind w:right="-153"/>
        <w:rPr>
          <w:rFonts w:cs="Times New Roman"/>
          <w:iCs/>
        </w:rPr>
      </w:pPr>
      <w:r w:rsidRPr="00610B1B">
        <w:rPr>
          <w:rFonts w:cs="Times New Roman"/>
          <w:iCs/>
        </w:rPr>
        <w:t xml:space="preserve">Съгласно ПУРБ </w:t>
      </w:r>
      <w:r w:rsidR="00485043" w:rsidRPr="00610B1B">
        <w:rPr>
          <w:rFonts w:cs="Times New Roman"/>
          <w:iCs/>
        </w:rPr>
        <w:t xml:space="preserve">на ЧРБУ </w:t>
      </w:r>
      <w:r w:rsidRPr="00610B1B">
        <w:rPr>
          <w:rFonts w:cs="Times New Roman"/>
          <w:iCs/>
        </w:rPr>
        <w:t xml:space="preserve">2016-2021 г. </w:t>
      </w:r>
      <w:r w:rsidR="00F72F09" w:rsidRPr="00610B1B">
        <w:rPr>
          <w:rFonts w:cs="Times New Roman"/>
          <w:iCs/>
        </w:rPr>
        <w:t xml:space="preserve">водните тела </w:t>
      </w:r>
      <w:r w:rsidR="00C346F9" w:rsidRPr="00610B1B">
        <w:rPr>
          <w:rFonts w:cs="Times New Roman"/>
          <w:iCs/>
        </w:rPr>
        <w:t>BG2BS000C005 (</w:t>
      </w:r>
      <w:r w:rsidR="00E8024B" w:rsidRPr="00610B1B">
        <w:rPr>
          <w:rFonts w:cs="Times New Roman"/>
          <w:iCs/>
        </w:rPr>
        <w:t>Варненски залив</w:t>
      </w:r>
      <w:r w:rsidR="00F72F09" w:rsidRPr="00610B1B">
        <w:rPr>
          <w:rFonts w:cs="Times New Roman"/>
          <w:iCs/>
        </w:rPr>
        <w:t>)</w:t>
      </w:r>
      <w:r w:rsidR="00C346F9" w:rsidRPr="00610B1B">
        <w:rPr>
          <w:rFonts w:cs="Times New Roman"/>
          <w:iCs/>
        </w:rPr>
        <w:t>, BG2BS000C1113 (от н. Галата до к.к. Камчия),</w:t>
      </w:r>
      <w:r w:rsidR="00F72F09" w:rsidRPr="00610B1B">
        <w:rPr>
          <w:rFonts w:cs="Times New Roman"/>
          <w:iCs/>
        </w:rPr>
        <w:t xml:space="preserve"> </w:t>
      </w:r>
      <w:r w:rsidR="00C346F9" w:rsidRPr="00610B1B">
        <w:rPr>
          <w:rFonts w:cs="Times New Roman"/>
          <w:iCs/>
        </w:rPr>
        <w:t>BG2BS000C1006 (от к.к. Камчия до Шкорпиловци), BG2BS000C1108</w:t>
      </w:r>
      <w:r w:rsidR="00C346F9" w:rsidRPr="00610B1B">
        <w:rPr>
          <w:rFonts w:cs="Times New Roman"/>
          <w:iCs/>
        </w:rPr>
        <w:tab/>
        <w:t>(от Св. Влас до Поморие)</w:t>
      </w:r>
      <w:r w:rsidR="008753B6" w:rsidRPr="00610B1B">
        <w:rPr>
          <w:rFonts w:cs="Times New Roman"/>
          <w:iCs/>
        </w:rPr>
        <w:t xml:space="preserve"> </w:t>
      </w:r>
      <w:r w:rsidR="00C346F9" w:rsidRPr="00610B1B">
        <w:rPr>
          <w:rFonts w:cs="Times New Roman"/>
          <w:iCs/>
        </w:rPr>
        <w:t xml:space="preserve">и BG2BS000C1011 (от н. Акин до н. Маслен нос) са в „лошо“ </w:t>
      </w:r>
      <w:r w:rsidR="00F72F09" w:rsidRPr="00610B1B">
        <w:rPr>
          <w:rFonts w:cs="Times New Roman"/>
          <w:iCs/>
        </w:rPr>
        <w:t xml:space="preserve">екологично състояние, докато водните тела в акваторията </w:t>
      </w:r>
      <w:r w:rsidR="00C346F9" w:rsidRPr="00610B1B">
        <w:rPr>
          <w:rFonts w:cs="Times New Roman"/>
          <w:iCs/>
        </w:rPr>
        <w:t xml:space="preserve">BG2BS000C1012 (от н. Маслен нос до устието на р. Резовска &lt; 30 м) и BG2BS000C1112 (от н. Маслен нос до устието на р. Резовска &gt; 30 м) </w:t>
      </w:r>
      <w:r w:rsidR="00F72F09" w:rsidRPr="00610B1B">
        <w:rPr>
          <w:rFonts w:cs="Times New Roman"/>
          <w:iCs/>
        </w:rPr>
        <w:t>са в „добро“</w:t>
      </w:r>
      <w:r w:rsidR="00C346F9" w:rsidRPr="00610B1B">
        <w:rPr>
          <w:rFonts w:cs="Times New Roman"/>
          <w:iCs/>
        </w:rPr>
        <w:t xml:space="preserve"> състояние, а останалите – в „умерено“.</w:t>
      </w:r>
    </w:p>
    <w:p w14:paraId="44BD3888" w14:textId="47B7D3C0" w:rsidR="00AD74D0" w:rsidRPr="00610B1B" w:rsidRDefault="006A1AA3" w:rsidP="00F72F09">
      <w:pPr>
        <w:pStyle w:val="BodyText"/>
        <w:spacing w:after="120"/>
        <w:ind w:right="-153"/>
        <w:rPr>
          <w:rFonts w:cs="Times New Roman"/>
          <w:iCs/>
        </w:rPr>
      </w:pPr>
      <w:r w:rsidRPr="00610B1B">
        <w:rPr>
          <w:rFonts w:cs="Times New Roman"/>
        </w:rPr>
        <w:t xml:space="preserve">Въздействието на замърсителите </w:t>
      </w:r>
      <w:r w:rsidR="00261F15" w:rsidRPr="00610B1B">
        <w:rPr>
          <w:rFonts w:cs="Times New Roman"/>
        </w:rPr>
        <w:t>е</w:t>
      </w:r>
      <w:r w:rsidRPr="00610B1B">
        <w:rPr>
          <w:rFonts w:cs="Times New Roman"/>
        </w:rPr>
        <w:t xml:space="preserve"> недостатъчно изучено. </w:t>
      </w:r>
      <w:r w:rsidR="00261F15" w:rsidRPr="00610B1B">
        <w:rPr>
          <w:rFonts w:cs="Times New Roman"/>
        </w:rPr>
        <w:t>Основни замърсители са специфични</w:t>
      </w:r>
      <w:r w:rsidR="007505F9" w:rsidRPr="00610B1B">
        <w:rPr>
          <w:rFonts w:cs="Times New Roman"/>
        </w:rPr>
        <w:t>те</w:t>
      </w:r>
      <w:r w:rsidR="00261F15" w:rsidRPr="00610B1B">
        <w:rPr>
          <w:rFonts w:cs="Times New Roman"/>
        </w:rPr>
        <w:t xml:space="preserve"> синтетични замърсители (органохлорни и органофосфорни съединения,</w:t>
      </w:r>
      <w:r w:rsidR="00D66FE0" w:rsidRPr="00610B1B">
        <w:rPr>
          <w:rFonts w:cs="Times New Roman"/>
        </w:rPr>
        <w:t xml:space="preserve"> </w:t>
      </w:r>
      <w:r w:rsidR="00261F15" w:rsidRPr="00610B1B">
        <w:rPr>
          <w:rFonts w:cs="Times New Roman"/>
        </w:rPr>
        <w:t>полициклични ароматни въглеводороди и др.) и специфични</w:t>
      </w:r>
      <w:r w:rsidR="007505F9" w:rsidRPr="00610B1B">
        <w:rPr>
          <w:rFonts w:cs="Times New Roman"/>
        </w:rPr>
        <w:t>те</w:t>
      </w:r>
      <w:r w:rsidR="00261F15" w:rsidRPr="00610B1B">
        <w:rPr>
          <w:rFonts w:cs="Times New Roman"/>
        </w:rPr>
        <w:t xml:space="preserve"> несинтетични замърсители (цианиди, метали и техните съединения, биогени), с разнообразни преки и непреки въздействия върху морските </w:t>
      </w:r>
      <w:r w:rsidR="00AD74D0" w:rsidRPr="00610B1B">
        <w:rPr>
          <w:rFonts w:cs="Times New Roman"/>
        </w:rPr>
        <w:t>организми</w:t>
      </w:r>
      <w:r w:rsidR="00261F15" w:rsidRPr="00610B1B">
        <w:rPr>
          <w:rFonts w:cs="Times New Roman"/>
        </w:rPr>
        <w:t>. Основни източници на замърсяване са</w:t>
      </w:r>
      <w:r w:rsidR="00D66FE0" w:rsidRPr="00610B1B">
        <w:rPr>
          <w:rFonts w:cs="Times New Roman"/>
        </w:rPr>
        <w:t xml:space="preserve"> </w:t>
      </w:r>
      <w:r w:rsidR="00261F15" w:rsidRPr="00610B1B">
        <w:rPr>
          <w:rFonts w:cs="Times New Roman"/>
        </w:rPr>
        <w:t xml:space="preserve">разположените в крайбрежните зони или по водосборите на вливащите се в морето реки индустриални предприятия, нефтопреработвателни рафинерии, индустриални ферми за отглеждане на животни, транспортна инфраструктура. Друг основен източник на замърсители с пряко въздействие е корабният трафик и рибарската дейност в крайбрежната зона. </w:t>
      </w:r>
      <w:r w:rsidRPr="00610B1B">
        <w:rPr>
          <w:rFonts w:cs="Times New Roman"/>
        </w:rPr>
        <w:t>Най-интензивно е въздействието във Варненския и Бургаския залив и</w:t>
      </w:r>
      <w:r w:rsidR="00AD74D0" w:rsidRPr="00610B1B">
        <w:rPr>
          <w:rFonts w:cs="Times New Roman"/>
        </w:rPr>
        <w:t xml:space="preserve"> около устията на големите реки.</w:t>
      </w:r>
      <w:r w:rsidRPr="00610B1B">
        <w:rPr>
          <w:rFonts w:cs="Times New Roman"/>
        </w:rPr>
        <w:t xml:space="preserve"> </w:t>
      </w:r>
    </w:p>
    <w:p w14:paraId="5A8E2A22" w14:textId="1A747552" w:rsidR="00680B4B" w:rsidRPr="00610B1B" w:rsidRDefault="00680B4B" w:rsidP="00D32D6A">
      <w:pPr>
        <w:pStyle w:val="BodyText"/>
        <w:spacing w:before="0" w:after="120" w:line="276" w:lineRule="auto"/>
        <w:ind w:right="-153"/>
        <w:rPr>
          <w:rFonts w:cs="Times New Roman"/>
        </w:rPr>
      </w:pPr>
      <w:r w:rsidRPr="00610B1B">
        <w:rPr>
          <w:rFonts w:cs="Times New Roman"/>
        </w:rPr>
        <w:t xml:space="preserve">Навлизането в Черно море на чужди видове растения и животни също би могло да има негативни въздействия върху местообитанията на морските треви и макроводораслите, но все още е слабо проучено. Такива въздействия не са установени в българската акватория на Черно море, но множество примери в Средиземно море </w:t>
      </w:r>
      <w:r w:rsidR="007505F9" w:rsidRPr="00610B1B">
        <w:rPr>
          <w:rFonts w:cs="Times New Roman"/>
        </w:rPr>
        <w:t>са</w:t>
      </w:r>
      <w:r w:rsidRPr="00610B1B">
        <w:rPr>
          <w:rFonts w:cs="Times New Roman"/>
        </w:rPr>
        <w:t xml:space="preserve"> индикация за </w:t>
      </w:r>
      <w:r w:rsidR="007505F9" w:rsidRPr="00610B1B">
        <w:rPr>
          <w:rFonts w:cs="Times New Roman"/>
        </w:rPr>
        <w:t xml:space="preserve">вероятни </w:t>
      </w:r>
      <w:r w:rsidRPr="00610B1B">
        <w:rPr>
          <w:rFonts w:cs="Times New Roman"/>
        </w:rPr>
        <w:t>подобни екологични проблеми</w:t>
      </w:r>
      <w:r w:rsidR="007505F9" w:rsidRPr="00610B1B">
        <w:rPr>
          <w:rFonts w:cs="Times New Roman"/>
        </w:rPr>
        <w:t xml:space="preserve"> в бъдеще</w:t>
      </w:r>
      <w:r w:rsidRPr="00610B1B">
        <w:rPr>
          <w:rFonts w:cs="Times New Roman"/>
        </w:rPr>
        <w:t xml:space="preserve">. </w:t>
      </w:r>
    </w:p>
    <w:p w14:paraId="36D6C65E" w14:textId="7F58092C" w:rsidR="00071B6B" w:rsidRPr="00610B1B" w:rsidRDefault="00071B6B" w:rsidP="00D32D6A">
      <w:pPr>
        <w:pStyle w:val="BodyText"/>
        <w:spacing w:before="0" w:after="120" w:line="276" w:lineRule="auto"/>
        <w:ind w:right="-153"/>
        <w:rPr>
          <w:rFonts w:cs="Times New Roman"/>
        </w:rPr>
      </w:pPr>
      <w:r w:rsidRPr="00610B1B">
        <w:rPr>
          <w:rFonts w:cs="Times New Roman"/>
        </w:rPr>
        <w:t>За постигане на добро състояние по определените показатели са предвидени мерки, за: намаляване еутрофикацията на крайбрежните морски води чрез изграждане на нови пречиствателни станции и модернизация на съществуващите, както и контрол на заустванията на отпадъчни води; намаляване на натиска от затрупване и запечатване поради изграждането на брегозащитни съоръжения;</w:t>
      </w:r>
      <w:r w:rsidR="00AD74D0" w:rsidRPr="00610B1B">
        <w:rPr>
          <w:rFonts w:cs="Times New Roman"/>
        </w:rPr>
        <w:t xml:space="preserve"> и </w:t>
      </w:r>
      <w:r w:rsidRPr="00610B1B">
        <w:rPr>
          <w:rFonts w:cs="Times New Roman"/>
        </w:rPr>
        <w:t>предотвратяване на навлизането на инвазивни чужди видове чрез контрол върху изхвърлянето на баластни води на корабите и други вектори за разпространение (напр. нови аквакултурни видове).</w:t>
      </w:r>
    </w:p>
    <w:p w14:paraId="02759908" w14:textId="1175EFCC" w:rsidR="00673EFB" w:rsidRPr="00610B1B" w:rsidRDefault="00673EFB" w:rsidP="00D32D6A">
      <w:pPr>
        <w:pStyle w:val="BodyText"/>
        <w:spacing w:before="0" w:after="120" w:line="276" w:lineRule="auto"/>
        <w:ind w:right="-153"/>
        <w:rPr>
          <w:rFonts w:cs="Times New Roman"/>
          <w:iCs/>
        </w:rPr>
      </w:pPr>
      <w:r w:rsidRPr="00610B1B">
        <w:rPr>
          <w:rFonts w:cs="Times New Roman"/>
          <w:iCs/>
        </w:rPr>
        <w:t>Основните трудности</w:t>
      </w:r>
      <w:r w:rsidR="007505F9" w:rsidRPr="00610B1B">
        <w:rPr>
          <w:rFonts w:cs="Times New Roman"/>
          <w:iCs/>
        </w:rPr>
        <w:t xml:space="preserve"> за</w:t>
      </w:r>
      <w:r w:rsidRPr="00610B1B">
        <w:rPr>
          <w:rFonts w:cs="Times New Roman"/>
          <w:iCs/>
        </w:rPr>
        <w:t xml:space="preserve"> изследване и управление на екологичното състояние на местообитанията на макроводораслите и морските треви, са свързани с недостатъчното данни за тяхното разпространение и състояние. Налице са подробни проучвания на малки по размер зони, предмет на изследвания по национални и международни проекти (CoCoNet</w:t>
      </w:r>
      <w:r w:rsidR="00C66154" w:rsidRPr="00610B1B">
        <w:rPr>
          <w:rStyle w:val="FootnoteReference"/>
          <w:rFonts w:cs="Times New Roman"/>
          <w:iCs/>
        </w:rPr>
        <w:footnoteReference w:id="80"/>
      </w:r>
      <w:r w:rsidRPr="00610B1B">
        <w:rPr>
          <w:rFonts w:cs="Times New Roman"/>
          <w:iCs/>
        </w:rPr>
        <w:t>, PERSEUS</w:t>
      </w:r>
      <w:r w:rsidRPr="00610B1B">
        <w:rPr>
          <w:rStyle w:val="FootnoteReference"/>
          <w:rFonts w:cs="Times New Roman"/>
          <w:iCs/>
        </w:rPr>
        <w:footnoteReference w:id="81"/>
      </w:r>
      <w:r w:rsidRPr="00610B1B">
        <w:rPr>
          <w:rFonts w:cs="Times New Roman"/>
          <w:iCs/>
        </w:rPr>
        <w:t>, ReConnect</w:t>
      </w:r>
      <w:r w:rsidR="00C66154" w:rsidRPr="00610B1B">
        <w:rPr>
          <w:rStyle w:val="FootnoteReference"/>
          <w:rFonts w:cs="Times New Roman"/>
          <w:iCs/>
        </w:rPr>
        <w:footnoteReference w:id="82"/>
      </w:r>
      <w:r w:rsidRPr="00610B1B">
        <w:rPr>
          <w:rFonts w:cs="Times New Roman"/>
          <w:iCs/>
        </w:rPr>
        <w:t xml:space="preserve">), точков мониторинг на състоянието по БЕК </w:t>
      </w:r>
      <w:r w:rsidRPr="00610B1B">
        <w:rPr>
          <w:rFonts w:cs="Times New Roman"/>
          <w:iCs/>
        </w:rPr>
        <w:lastRenderedPageBreak/>
        <w:t>„макроводорасли“ на РДВ</w:t>
      </w:r>
      <w:r w:rsidR="00AD74D0" w:rsidRPr="00610B1B">
        <w:rPr>
          <w:rFonts w:cs="Times New Roman"/>
          <w:iCs/>
        </w:rPr>
        <w:t xml:space="preserve"> по водни тела, както и</w:t>
      </w:r>
      <w:r w:rsidR="00D66FE0" w:rsidRPr="00610B1B">
        <w:rPr>
          <w:rFonts w:cs="Times New Roman"/>
          <w:iCs/>
        </w:rPr>
        <w:t xml:space="preserve"> </w:t>
      </w:r>
      <w:r w:rsidR="00AD74D0" w:rsidRPr="00610B1B">
        <w:rPr>
          <w:rFonts w:cs="Times New Roman"/>
          <w:iCs/>
        </w:rPr>
        <w:t>частично пълна пространствена оценка на състоянието, извършена като част от програмите за мониторинг на РДМС към 2017 г.</w:t>
      </w:r>
      <w:r w:rsidR="00D66FE0" w:rsidRPr="00610B1B">
        <w:rPr>
          <w:rFonts w:cs="Times New Roman"/>
          <w:iCs/>
        </w:rPr>
        <w:t xml:space="preserve"> </w:t>
      </w:r>
      <w:r w:rsidRPr="00610B1B">
        <w:rPr>
          <w:rFonts w:cs="Times New Roman"/>
          <w:iCs/>
        </w:rPr>
        <w:t>За очертаване на пълна и постоянна картина на динамично променящите се условия и състояния в крайбрежната зона, е необходимо тези изследвания да бъдат продължени и разширени, до покриване на пълния набор от индикатори за състояние и попълване на информацията за непроучените зони по българското Черноморско крайбрежие.</w:t>
      </w:r>
    </w:p>
    <w:p w14:paraId="35895777" w14:textId="0FD11662" w:rsidR="006A1AA3" w:rsidRPr="00610B1B" w:rsidRDefault="00673EFB" w:rsidP="00D32D6A">
      <w:pPr>
        <w:pStyle w:val="BodyText"/>
        <w:spacing w:before="0" w:after="120" w:line="276" w:lineRule="auto"/>
        <w:ind w:right="-153"/>
        <w:rPr>
          <w:rFonts w:cs="Times New Roman"/>
          <w:iCs/>
        </w:rPr>
      </w:pPr>
      <w:r w:rsidRPr="00610B1B">
        <w:rPr>
          <w:rFonts w:cs="Times New Roman"/>
          <w:iCs/>
        </w:rPr>
        <w:t xml:space="preserve">Друго съществено предизвикателство е липсата на унифицирана информационна система за съхранение, анализ и визуализация в ГИС среда на данните от различните програми за мониторинг и изследване на крайбрежните морски екосистеми. Ползването на стандартите за систематизиране на данни на европейската платформа </w:t>
      </w:r>
      <w:r w:rsidR="009F2BF6" w:rsidRPr="00610B1B">
        <w:rPr>
          <w:rFonts w:cs="Times New Roman"/>
          <w:iCs/>
        </w:rPr>
        <w:t>EMODn</w:t>
      </w:r>
      <w:r w:rsidR="007505F9" w:rsidRPr="00610B1B">
        <w:rPr>
          <w:rFonts w:cs="Times New Roman"/>
          <w:iCs/>
        </w:rPr>
        <w:t xml:space="preserve">et </w:t>
      </w:r>
      <w:r w:rsidRPr="00610B1B">
        <w:rPr>
          <w:rFonts w:cs="Times New Roman"/>
          <w:iCs/>
        </w:rPr>
        <w:t>е едно от подходящите решения на този проблем.</w:t>
      </w:r>
    </w:p>
    <w:p w14:paraId="4927D33D" w14:textId="0948A315" w:rsidR="009D4A0E" w:rsidRPr="00610B1B" w:rsidRDefault="009D4A0E" w:rsidP="00D32D6A">
      <w:pPr>
        <w:pStyle w:val="Caption"/>
        <w:spacing w:before="0" w:line="276" w:lineRule="auto"/>
        <w:ind w:right="-153"/>
        <w:rPr>
          <w:rFonts w:cs="Times New Roman"/>
          <w:b/>
          <w:bCs/>
        </w:rPr>
      </w:pPr>
      <w:r w:rsidRPr="00610B1B">
        <w:rPr>
          <w:rFonts w:cs="Times New Roman"/>
          <w:b/>
          <w:bCs/>
        </w:rPr>
        <w:t>Макрозообентос</w:t>
      </w:r>
    </w:p>
    <w:p w14:paraId="2C33CA7F" w14:textId="7DCEC80A" w:rsidR="000F54F8" w:rsidRPr="00610B1B" w:rsidRDefault="009D4A0E" w:rsidP="00D32D6A">
      <w:pPr>
        <w:pStyle w:val="BodyText"/>
        <w:spacing w:before="0" w:after="120" w:line="276" w:lineRule="auto"/>
        <w:ind w:right="-153"/>
        <w:rPr>
          <w:rFonts w:cs="Times New Roman"/>
        </w:rPr>
      </w:pPr>
      <w:r w:rsidRPr="00610B1B">
        <w:rPr>
          <w:rFonts w:cs="Times New Roman"/>
        </w:rPr>
        <w:t xml:space="preserve">Поради своя произход и екологични особености Черно море се характеризира с ниско биоразнообразие в сравнение с други морета. </w:t>
      </w:r>
      <w:r w:rsidR="00C66154" w:rsidRPr="00610B1B">
        <w:rPr>
          <w:rFonts w:cs="Times New Roman"/>
        </w:rPr>
        <w:t xml:space="preserve">Общият </w:t>
      </w:r>
      <w:r w:rsidRPr="00610B1B">
        <w:rPr>
          <w:rFonts w:cs="Times New Roman"/>
        </w:rPr>
        <w:t xml:space="preserve">брой зообентосни видове </w:t>
      </w:r>
      <w:r w:rsidRPr="00610B1B">
        <w:rPr>
          <w:rFonts w:cs="Times New Roman"/>
          <w:iCs/>
        </w:rPr>
        <w:t>(</w:t>
      </w:r>
      <w:r w:rsidRPr="00610B1B">
        <w:rPr>
          <w:rFonts w:cs="Times New Roman"/>
        </w:rPr>
        <w:t>едноклетъчни и многоклетъчни</w:t>
      </w:r>
      <w:r w:rsidRPr="00610B1B">
        <w:rPr>
          <w:rFonts w:cs="Times New Roman"/>
          <w:iCs/>
        </w:rPr>
        <w:t>)</w:t>
      </w:r>
      <w:r w:rsidRPr="00610B1B">
        <w:rPr>
          <w:rFonts w:cs="Times New Roman"/>
        </w:rPr>
        <w:t xml:space="preserve"> е 1</w:t>
      </w:r>
      <w:r w:rsidR="00B50BB2" w:rsidRPr="00610B1B">
        <w:rPr>
          <w:rFonts w:cs="Times New Roman"/>
        </w:rPr>
        <w:t> </w:t>
      </w:r>
      <w:r w:rsidRPr="00610B1B">
        <w:rPr>
          <w:rFonts w:cs="Times New Roman"/>
        </w:rPr>
        <w:t xml:space="preserve">370 и включва таксономичните групи </w:t>
      </w:r>
      <w:r w:rsidRPr="00610B1B">
        <w:rPr>
          <w:rFonts w:cs="Times New Roman"/>
          <w:i/>
          <w:iCs/>
        </w:rPr>
        <w:t>Protozoa, Porifera, Coelenterata, Platyhelminthes, Nemathelminthes, Nemertini, Annelida, Arthropoda, Mollusca, Tentaculata, Echinodermata, Chordata</w:t>
      </w:r>
      <w:r w:rsidRPr="00610B1B">
        <w:rPr>
          <w:rFonts w:cs="Times New Roman"/>
        </w:rPr>
        <w:t xml:space="preserve">. Заради ниската соленост, някои типични морски групи не се срещат </w:t>
      </w:r>
      <w:r w:rsidRPr="00610B1B">
        <w:rPr>
          <w:rFonts w:cs="Times New Roman"/>
          <w:iCs/>
        </w:rPr>
        <w:t>(</w:t>
      </w:r>
      <w:r w:rsidRPr="00610B1B">
        <w:rPr>
          <w:rFonts w:cs="Times New Roman"/>
          <w:i/>
          <w:iCs/>
        </w:rPr>
        <w:t>Cephalopoda</w:t>
      </w:r>
      <w:r w:rsidRPr="00610B1B">
        <w:rPr>
          <w:rFonts w:cs="Times New Roman"/>
          <w:iCs/>
        </w:rPr>
        <w:t>)</w:t>
      </w:r>
      <w:r w:rsidRPr="00610B1B">
        <w:rPr>
          <w:rFonts w:cs="Times New Roman"/>
        </w:rPr>
        <w:t xml:space="preserve">, други са представени от </w:t>
      </w:r>
      <w:r w:rsidR="00F3669D" w:rsidRPr="00610B1B">
        <w:rPr>
          <w:rFonts w:cs="Times New Roman"/>
        </w:rPr>
        <w:t>по-</w:t>
      </w:r>
      <w:r w:rsidRPr="00610B1B">
        <w:rPr>
          <w:rFonts w:cs="Times New Roman"/>
        </w:rPr>
        <w:t xml:space="preserve">ограничен брой видове в сравнение с други морета </w:t>
      </w:r>
      <w:r w:rsidRPr="00610B1B">
        <w:rPr>
          <w:rFonts w:cs="Times New Roman"/>
          <w:iCs/>
        </w:rPr>
        <w:t>(</w:t>
      </w:r>
      <w:r w:rsidRPr="00610B1B">
        <w:rPr>
          <w:rFonts w:cs="Times New Roman"/>
          <w:i/>
          <w:iCs/>
        </w:rPr>
        <w:t>Radiolaria</w:t>
      </w:r>
      <w:r w:rsidRPr="00610B1B">
        <w:rPr>
          <w:rFonts w:cs="Times New Roman"/>
        </w:rPr>
        <w:t xml:space="preserve">, </w:t>
      </w:r>
      <w:r w:rsidRPr="00610B1B">
        <w:rPr>
          <w:rFonts w:cs="Times New Roman"/>
          <w:i/>
          <w:iCs/>
        </w:rPr>
        <w:t>Echinodermata</w:t>
      </w:r>
      <w:r w:rsidRPr="00610B1B">
        <w:rPr>
          <w:rFonts w:cs="Times New Roman"/>
          <w:iCs/>
        </w:rPr>
        <w:t>)</w:t>
      </w:r>
      <w:r w:rsidRPr="00610B1B">
        <w:rPr>
          <w:rFonts w:cs="Times New Roman"/>
        </w:rPr>
        <w:t>.</w:t>
      </w:r>
      <w:r w:rsidR="00F3669D" w:rsidRPr="00610B1B">
        <w:rPr>
          <w:rFonts w:cs="Times New Roman"/>
        </w:rPr>
        <w:t xml:space="preserve"> </w:t>
      </w:r>
      <w:r w:rsidR="00585C13" w:rsidRPr="00610B1B">
        <w:rPr>
          <w:rFonts w:cs="Times New Roman"/>
        </w:rPr>
        <w:t xml:space="preserve">Местообитанията на тези видове </w:t>
      </w:r>
      <w:r w:rsidR="00190E62" w:rsidRPr="00610B1B">
        <w:rPr>
          <w:rFonts w:cs="Times New Roman"/>
        </w:rPr>
        <w:t>се</w:t>
      </w:r>
      <w:r w:rsidR="00585C13" w:rsidRPr="00610B1B">
        <w:rPr>
          <w:rFonts w:cs="Times New Roman"/>
        </w:rPr>
        <w:t xml:space="preserve"> раздел</w:t>
      </w:r>
      <w:r w:rsidR="00190E62" w:rsidRPr="00610B1B">
        <w:rPr>
          <w:rFonts w:cs="Times New Roman"/>
        </w:rPr>
        <w:t>ят</w:t>
      </w:r>
      <w:r w:rsidR="00585C13" w:rsidRPr="00610B1B">
        <w:rPr>
          <w:rFonts w:cs="Times New Roman"/>
        </w:rPr>
        <w:t xml:space="preserve"> на три групи в зависимост от дълбочината: медиолиторални, плитки сублиторални и шелфови сублиторални. Плитката крайбрежна зона се характеризира с голямо разнообразие на биотопи, </w:t>
      </w:r>
      <w:r w:rsidR="00896DB9" w:rsidRPr="00610B1B">
        <w:rPr>
          <w:rFonts w:cs="Times New Roman"/>
        </w:rPr>
        <w:t>но</w:t>
      </w:r>
      <w:r w:rsidR="00585C13" w:rsidRPr="00610B1B">
        <w:rPr>
          <w:rFonts w:cs="Times New Roman"/>
        </w:rPr>
        <w:t xml:space="preserve"> с дълбочината разнообразието намалява. Батиалната и абисалната зони на Черно море са естествено анаеробни</w:t>
      </w:r>
      <w:r w:rsidR="00F3669D" w:rsidRPr="00610B1B">
        <w:rPr>
          <w:rFonts w:cs="Times New Roman"/>
        </w:rPr>
        <w:t xml:space="preserve"> и</w:t>
      </w:r>
      <w:r w:rsidR="00585C13" w:rsidRPr="00610B1B">
        <w:rPr>
          <w:rFonts w:cs="Times New Roman"/>
        </w:rPr>
        <w:t xml:space="preserve"> не поддържат многоклетъчна фауна.</w:t>
      </w:r>
      <w:r w:rsidR="00D66FE0" w:rsidRPr="00610B1B">
        <w:rPr>
          <w:rFonts w:cs="Times New Roman"/>
        </w:rPr>
        <w:t xml:space="preserve"> </w:t>
      </w:r>
    </w:p>
    <w:p w14:paraId="13C69759" w14:textId="0922B66B" w:rsidR="009A4354" w:rsidRPr="00610B1B" w:rsidRDefault="009A4354" w:rsidP="00D32D6A">
      <w:pPr>
        <w:pStyle w:val="BodyText"/>
        <w:spacing w:before="0" w:after="120" w:line="276" w:lineRule="auto"/>
        <w:ind w:right="-153"/>
        <w:rPr>
          <w:rFonts w:cs="Times New Roman"/>
        </w:rPr>
      </w:pPr>
      <w:r w:rsidRPr="00610B1B">
        <w:rPr>
          <w:rFonts w:cs="Times New Roman"/>
        </w:rPr>
        <w:t xml:space="preserve">Проследени са биологичните фактори (внасяне и разпространение на неместни видове; извличане или смъртност/нараняване на диви видове, включително целеви и прилов от </w:t>
      </w:r>
      <w:r w:rsidR="00C415D1" w:rsidRPr="00610B1B">
        <w:rPr>
          <w:rFonts w:cs="Times New Roman"/>
        </w:rPr>
        <w:t>стопански</w:t>
      </w:r>
      <w:r w:rsidRPr="00610B1B">
        <w:rPr>
          <w:rFonts w:cs="Times New Roman"/>
        </w:rPr>
        <w:t xml:space="preserve"> улов) и физичните (временно или обратимо нарушаване на морското дъно, физическа загуба поради изменения на дънния субстрат или морфология, изменени хидрологични условия) фактори, въздействащи върху състоянието на дънните местообитания. Анализирано е и въздействието на биогени, органични и опасни вещества, твърди отпадъци и микроотпадъци.</w:t>
      </w:r>
    </w:p>
    <w:p w14:paraId="2EDC5F98" w14:textId="5A5D3FCF" w:rsidR="009A4354" w:rsidRPr="00610B1B" w:rsidRDefault="009A4354" w:rsidP="009A4354">
      <w:pPr>
        <w:pStyle w:val="BodyText"/>
        <w:spacing w:after="120" w:line="276" w:lineRule="auto"/>
        <w:rPr>
          <w:rFonts w:cs="Times New Roman"/>
        </w:rPr>
      </w:pPr>
      <w:r w:rsidRPr="00610B1B">
        <w:rPr>
          <w:rFonts w:cs="Times New Roman"/>
        </w:rPr>
        <w:t>Според Първоначалната оценка на състоянието на морската околна среда по РДМС най- видоизменени по отношение на естествените физикогеографски условия са крайбрежните (медиолиторални и плитки сублиторални) местообитания поради запечатване, затрупване при изграждане на брегозащитни съоръжения и пристанищни вълноломи, и поради промени в хидрологията, а в някои случаи – поради натиск на инвазивни видове върху местните средообразуващи видове. Най-увредени са дънните местообитания в централните части на българското крайбрежие и шелф и в зоните нос Калиакра</w:t>
      </w:r>
      <w:r w:rsidR="00352BBB" w:rsidRPr="00610B1B">
        <w:rPr>
          <w:rFonts w:cs="Times New Roman"/>
        </w:rPr>
        <w:t xml:space="preserve"> – </w:t>
      </w:r>
      <w:r w:rsidRPr="00610B1B">
        <w:rPr>
          <w:rFonts w:cs="Times New Roman"/>
        </w:rPr>
        <w:t>нос Галата и нос Емине</w:t>
      </w:r>
      <w:r w:rsidR="001C54F7" w:rsidRPr="00610B1B">
        <w:rPr>
          <w:rFonts w:cs="Times New Roman"/>
        </w:rPr>
        <w:t xml:space="preserve"> – </w:t>
      </w:r>
      <w:r w:rsidRPr="00610B1B">
        <w:rPr>
          <w:rFonts w:cs="Times New Roman"/>
        </w:rPr>
        <w:t xml:space="preserve">Созопол, вероятно в резултат на локален антропогенен натиск от натоварване с биогенни и органични вещества и </w:t>
      </w:r>
      <w:r w:rsidR="001C54F7" w:rsidRPr="00610B1B">
        <w:rPr>
          <w:rFonts w:cs="Times New Roman"/>
        </w:rPr>
        <w:t>добиване на риболовни ресурси и незаконна архелогически дейности.</w:t>
      </w:r>
    </w:p>
    <w:p w14:paraId="55281A22" w14:textId="3C370B37" w:rsidR="00BC6536" w:rsidRPr="00610B1B" w:rsidRDefault="00190E62" w:rsidP="00D32D6A">
      <w:pPr>
        <w:pStyle w:val="BodyText"/>
        <w:spacing w:before="0" w:after="120" w:line="276" w:lineRule="auto"/>
        <w:ind w:right="-153"/>
        <w:rPr>
          <w:rFonts w:cs="Times New Roman"/>
        </w:rPr>
      </w:pPr>
      <w:r w:rsidRPr="00610B1B">
        <w:rPr>
          <w:rFonts w:cs="Times New Roman"/>
        </w:rPr>
        <w:lastRenderedPageBreak/>
        <w:t xml:space="preserve">В съобществата на зообентоса са установени 19 чужди вида, от които 7 са инвазивни. Най-силно инвазивен е видът </w:t>
      </w:r>
      <w:r w:rsidRPr="00610B1B">
        <w:rPr>
          <w:rFonts w:cs="Times New Roman"/>
          <w:i/>
          <w:iCs/>
        </w:rPr>
        <w:t>Rapana venosa</w:t>
      </w:r>
      <w:r w:rsidRPr="00610B1B">
        <w:rPr>
          <w:rFonts w:cs="Times New Roman"/>
        </w:rPr>
        <w:t>, който унищожава дънните популации на мид</w:t>
      </w:r>
      <w:r w:rsidR="009A4354" w:rsidRPr="00610B1B">
        <w:rPr>
          <w:rFonts w:cs="Times New Roman"/>
        </w:rPr>
        <w:t>и</w:t>
      </w:r>
      <w:r w:rsidRPr="00610B1B">
        <w:rPr>
          <w:rFonts w:cs="Times New Roman"/>
        </w:rPr>
        <w:t>т</w:t>
      </w:r>
      <w:r w:rsidR="009A4354" w:rsidRPr="00610B1B">
        <w:rPr>
          <w:rFonts w:cs="Times New Roman"/>
        </w:rPr>
        <w:t>е</w:t>
      </w:r>
      <w:r w:rsidRPr="00610B1B">
        <w:rPr>
          <w:rFonts w:cs="Times New Roman"/>
        </w:rPr>
        <w:t xml:space="preserve"> </w:t>
      </w:r>
      <w:r w:rsidRPr="00610B1B">
        <w:rPr>
          <w:rFonts w:cs="Times New Roman"/>
          <w:i/>
          <w:iCs/>
        </w:rPr>
        <w:t>Mytilus galloprovincialis</w:t>
      </w:r>
      <w:r w:rsidRPr="00610B1B">
        <w:rPr>
          <w:rFonts w:cs="Times New Roman"/>
        </w:rPr>
        <w:t xml:space="preserve"> и </w:t>
      </w:r>
      <w:r w:rsidRPr="00610B1B">
        <w:rPr>
          <w:rFonts w:cs="Times New Roman"/>
          <w:i/>
          <w:iCs/>
        </w:rPr>
        <w:t>Mytilaster lineatus</w:t>
      </w:r>
      <w:r w:rsidRPr="00610B1B">
        <w:rPr>
          <w:rFonts w:cs="Times New Roman"/>
        </w:rPr>
        <w:t>. И двата вида са основни средообразуващи видове на плитководните местообитания на скалния сублиторал и по-дълбоководните местообитания на митилусовата тиня. Силната приспособимост, високата размножителна способност</w:t>
      </w:r>
      <w:r w:rsidR="00064F2D" w:rsidRPr="00610B1B">
        <w:rPr>
          <w:rFonts w:cs="Times New Roman"/>
        </w:rPr>
        <w:t>,</w:t>
      </w:r>
      <w:r w:rsidRPr="00610B1B">
        <w:rPr>
          <w:rFonts w:cs="Times New Roman"/>
        </w:rPr>
        <w:t xml:space="preserve"> бързият темп на нарастване </w:t>
      </w:r>
      <w:r w:rsidR="00064F2D" w:rsidRPr="00610B1B">
        <w:rPr>
          <w:rFonts w:cs="Times New Roman"/>
        </w:rPr>
        <w:t xml:space="preserve">и липсата на естествени хищници </w:t>
      </w:r>
      <w:r w:rsidRPr="00610B1B">
        <w:rPr>
          <w:rFonts w:cs="Times New Roman"/>
        </w:rPr>
        <w:t>определя</w:t>
      </w:r>
      <w:r w:rsidR="00F3669D" w:rsidRPr="00610B1B">
        <w:rPr>
          <w:rFonts w:cs="Times New Roman"/>
        </w:rPr>
        <w:t>т</w:t>
      </w:r>
      <w:r w:rsidRPr="00610B1B">
        <w:rPr>
          <w:rFonts w:cs="Times New Roman"/>
        </w:rPr>
        <w:t xml:space="preserve"> широкото разпространение на хищния охлюв. В бъдеще може да се очаква намаляване на площта и влошаване на състоянието на тези местообитания.</w:t>
      </w:r>
      <w:r w:rsidR="00C54963" w:rsidRPr="00610B1B">
        <w:rPr>
          <w:rFonts w:cs="Times New Roman"/>
        </w:rPr>
        <w:t xml:space="preserve"> През 2017 г. за пръв път в българската акватория на Черно море (Бургаски залив) е установен чуждият вид мида </w:t>
      </w:r>
      <w:r w:rsidR="00C54963" w:rsidRPr="00610B1B">
        <w:rPr>
          <w:rFonts w:cs="Times New Roman"/>
          <w:i/>
          <w:iCs/>
        </w:rPr>
        <w:t>Arcuatula senhousia</w:t>
      </w:r>
      <w:r w:rsidR="00C54963" w:rsidRPr="00610B1B">
        <w:rPr>
          <w:rFonts w:cs="Times New Roman"/>
        </w:rPr>
        <w:t xml:space="preserve"> (Chartosia et al., 2018). Засега </w:t>
      </w:r>
      <w:r w:rsidR="00F3669D" w:rsidRPr="00610B1B">
        <w:rPr>
          <w:rFonts w:cs="Times New Roman"/>
        </w:rPr>
        <w:t>той</w:t>
      </w:r>
      <w:r w:rsidR="00C54963" w:rsidRPr="00610B1B">
        <w:rPr>
          <w:rFonts w:cs="Times New Roman"/>
        </w:rPr>
        <w:t xml:space="preserve"> се определя като случаен в Черно море, но тъй като в други райони е инвазивен, потенциалното му разпространение е добре да се следи.</w:t>
      </w:r>
    </w:p>
    <w:p w14:paraId="437C094A" w14:textId="594D4AA7" w:rsidR="001C54F7" w:rsidRPr="00610B1B" w:rsidRDefault="001C54F7" w:rsidP="00D32D6A">
      <w:pPr>
        <w:pStyle w:val="BodyText"/>
        <w:spacing w:before="0" w:after="120" w:line="276" w:lineRule="auto"/>
        <w:ind w:right="-153"/>
        <w:rPr>
          <w:rFonts w:cs="Times New Roman"/>
          <w:lang w:eastAsia="en-US" w:bidi="ar-SA"/>
        </w:rPr>
      </w:pPr>
      <w:r w:rsidRPr="00610B1B">
        <w:rPr>
          <w:rFonts w:cs="Times New Roman"/>
          <w:lang w:eastAsia="en-US" w:bidi="ar-SA"/>
        </w:rPr>
        <w:t>Една от основните човешки дейности, оказваща въздействие върху зообентосните дънни местообитания, е стопанският</w:t>
      </w:r>
      <w:r w:rsidR="00C415D1" w:rsidRPr="00610B1B">
        <w:rPr>
          <w:rFonts w:cs="Times New Roman"/>
          <w:lang w:eastAsia="en-US" w:bidi="ar-SA"/>
        </w:rPr>
        <w:t xml:space="preserve"> </w:t>
      </w:r>
      <w:r w:rsidRPr="00610B1B">
        <w:rPr>
          <w:rFonts w:cs="Times New Roman"/>
          <w:lang w:eastAsia="en-US" w:bidi="ar-SA"/>
        </w:rPr>
        <w:t xml:space="preserve">улов на видове черупкови. Пряко въздействие се оказва върху експлоатираните видове </w:t>
      </w:r>
      <w:r w:rsidRPr="00610B1B">
        <w:rPr>
          <w:rFonts w:cs="Times New Roman"/>
          <w:i/>
          <w:iCs/>
          <w:lang w:eastAsia="en-US" w:bidi="ar-SA"/>
        </w:rPr>
        <w:t>Chamelea gallina</w:t>
      </w:r>
      <w:r w:rsidRPr="00610B1B">
        <w:rPr>
          <w:rFonts w:cs="Times New Roman"/>
          <w:lang w:eastAsia="en-US" w:bidi="ar-SA"/>
        </w:rPr>
        <w:t xml:space="preserve"> и </w:t>
      </w:r>
      <w:r w:rsidRPr="00610B1B">
        <w:rPr>
          <w:rFonts w:cs="Times New Roman"/>
          <w:i/>
          <w:iCs/>
          <w:lang w:eastAsia="en-US" w:bidi="ar-SA"/>
        </w:rPr>
        <w:t>Donax</w:t>
      </w:r>
      <w:r w:rsidRPr="00610B1B">
        <w:rPr>
          <w:rFonts w:cs="Times New Roman"/>
          <w:lang w:eastAsia="en-US" w:bidi="ar-SA"/>
        </w:rPr>
        <w:t xml:space="preserve"> </w:t>
      </w:r>
      <w:r w:rsidRPr="00610B1B">
        <w:rPr>
          <w:rFonts w:cs="Times New Roman"/>
          <w:i/>
          <w:iCs/>
          <w:lang w:eastAsia="en-US" w:bidi="ar-SA"/>
        </w:rPr>
        <w:t>trunculus</w:t>
      </w:r>
      <w:r w:rsidRPr="00610B1B">
        <w:rPr>
          <w:rFonts w:cs="Times New Roman"/>
          <w:lang w:eastAsia="en-US" w:bidi="ar-SA"/>
        </w:rPr>
        <w:t xml:space="preserve"> или т. нар. „бяла мида“. Масовата нерегламентирана експлоатация с използване на забранените по Закона за рибарството и акваултурата дънни драгиращи средства в последните години вероятно ще доведе до намаляване на запасите и площта на доминираните от тези видове биотопи. Поради липсата на данни за популациите и биологията на тези миди в българското Черно море, на този етап ефектите не могат да бъдат оценени с точност.</w:t>
      </w:r>
    </w:p>
    <w:p w14:paraId="074B7F5F" w14:textId="2F6B53D6" w:rsidR="00BC6536" w:rsidRPr="00610B1B" w:rsidRDefault="00C54963" w:rsidP="00D32D6A">
      <w:pPr>
        <w:pStyle w:val="BodyText"/>
        <w:spacing w:before="0" w:after="120" w:line="276" w:lineRule="auto"/>
        <w:ind w:right="-153"/>
        <w:rPr>
          <w:rFonts w:cs="Times New Roman"/>
        </w:rPr>
      </w:pPr>
      <w:r w:rsidRPr="00610B1B">
        <w:rPr>
          <w:rFonts w:cs="Times New Roman"/>
        </w:rPr>
        <w:t xml:space="preserve">Най-сериозни последици </w:t>
      </w:r>
      <w:r w:rsidR="00B82D21" w:rsidRPr="00610B1B">
        <w:rPr>
          <w:rFonts w:cs="Times New Roman"/>
        </w:rPr>
        <w:t xml:space="preserve">от еутрофикацията за макрозообентосните съобщества </w:t>
      </w:r>
      <w:r w:rsidRPr="00610B1B">
        <w:rPr>
          <w:rFonts w:cs="Times New Roman"/>
        </w:rPr>
        <w:t>възникват в резултат на изчерпването на разтворения кислород в придънните слоеве при гниенето на органична материя.</w:t>
      </w:r>
      <w:r w:rsidR="00BC6536" w:rsidRPr="00610B1B">
        <w:rPr>
          <w:rFonts w:cs="Times New Roman"/>
        </w:rPr>
        <w:t xml:space="preserve"> </w:t>
      </w:r>
      <w:r w:rsidR="009379D4" w:rsidRPr="00610B1B">
        <w:rPr>
          <w:rFonts w:cs="Times New Roman"/>
        </w:rPr>
        <w:t>Според</w:t>
      </w:r>
      <w:r w:rsidR="00D66FE0" w:rsidRPr="00610B1B">
        <w:rPr>
          <w:rFonts w:cs="Times New Roman"/>
        </w:rPr>
        <w:t xml:space="preserve"> </w:t>
      </w:r>
      <w:r w:rsidR="009379D4" w:rsidRPr="00610B1B">
        <w:rPr>
          <w:rFonts w:cs="Times New Roman"/>
        </w:rPr>
        <w:t>мониторинговите данни, райони с по-висока степен на натоварване с биогени</w:t>
      </w:r>
      <w:r w:rsidRPr="00610B1B">
        <w:rPr>
          <w:rFonts w:cs="Times New Roman"/>
        </w:rPr>
        <w:t xml:space="preserve"> </w:t>
      </w:r>
      <w:r w:rsidR="009379D4" w:rsidRPr="00610B1B">
        <w:rPr>
          <w:rFonts w:cs="Times New Roman"/>
        </w:rPr>
        <w:t xml:space="preserve">са </w:t>
      </w:r>
      <w:r w:rsidRPr="00610B1B">
        <w:rPr>
          <w:rFonts w:cs="Times New Roman"/>
        </w:rPr>
        <w:t>Бургаския и Варненския заливи (концентрация на</w:t>
      </w:r>
      <w:r w:rsidR="00BC6536" w:rsidRPr="00610B1B">
        <w:rPr>
          <w:rFonts w:cs="Times New Roman"/>
        </w:rPr>
        <w:t xml:space="preserve"> </w:t>
      </w:r>
      <w:r w:rsidRPr="00610B1B">
        <w:rPr>
          <w:rFonts w:cs="Times New Roman"/>
        </w:rPr>
        <w:t>индустриални и битови източници, пристанищна дейност и речен вток)</w:t>
      </w:r>
      <w:r w:rsidR="000E7EC5" w:rsidRPr="00610B1B">
        <w:rPr>
          <w:rFonts w:cs="Times New Roman"/>
        </w:rPr>
        <w:t xml:space="preserve"> </w:t>
      </w:r>
      <w:r w:rsidRPr="00610B1B">
        <w:rPr>
          <w:rFonts w:cs="Times New Roman"/>
        </w:rPr>
        <w:t>и зоната пред устието на р. Камчия.</w:t>
      </w:r>
      <w:r w:rsidR="00BC6536" w:rsidRPr="00610B1B">
        <w:rPr>
          <w:rFonts w:cs="Times New Roman"/>
        </w:rPr>
        <w:t xml:space="preserve"> </w:t>
      </w:r>
      <w:r w:rsidR="003A54F8" w:rsidRPr="00610B1B">
        <w:rPr>
          <w:rFonts w:cs="Times New Roman"/>
        </w:rPr>
        <w:t>Замърсяването с плаващи и отложени на дъното макроотпадъци е по-голямо в южния шелфов район. Най-голям е делът на полимерните материали, които са и най-вредните.</w:t>
      </w:r>
      <w:r w:rsidR="00BC6536" w:rsidRPr="00610B1B">
        <w:rPr>
          <w:rFonts w:cs="Times New Roman"/>
        </w:rPr>
        <w:t xml:space="preserve"> </w:t>
      </w:r>
      <w:r w:rsidR="003A54F8" w:rsidRPr="00610B1B">
        <w:rPr>
          <w:rFonts w:cs="Times New Roman"/>
        </w:rPr>
        <w:t>Липсва систематична информация за замърсяването с опасни вещества в българския сектор на Черно море. Анализът на наличните данни извежда като райони с по-висока степен на замърсяване Бургаския и Варненския заливи, и рискови зони при и пред устието на р. Камчия.</w:t>
      </w:r>
      <w:r w:rsidR="00D66FE0" w:rsidRPr="00610B1B">
        <w:rPr>
          <w:rFonts w:cs="Times New Roman"/>
        </w:rPr>
        <w:t xml:space="preserve"> </w:t>
      </w:r>
    </w:p>
    <w:p w14:paraId="436F2D4B" w14:textId="3F361D3E" w:rsidR="00190E62" w:rsidRPr="00610B1B" w:rsidRDefault="00585C13" w:rsidP="00D32D6A">
      <w:pPr>
        <w:pStyle w:val="BodyText"/>
        <w:spacing w:before="0" w:after="120" w:line="276" w:lineRule="auto"/>
        <w:ind w:right="-153"/>
        <w:rPr>
          <w:rFonts w:cs="Times New Roman"/>
        </w:rPr>
      </w:pPr>
      <w:r w:rsidRPr="00610B1B">
        <w:rPr>
          <w:rFonts w:cs="Times New Roman"/>
        </w:rPr>
        <w:t>Съгласно обобщената оценка на състоянието на дънните местообитания</w:t>
      </w:r>
      <w:r w:rsidR="009379D4" w:rsidRPr="00610B1B">
        <w:rPr>
          <w:rFonts w:cs="Times New Roman"/>
        </w:rPr>
        <w:t xml:space="preserve"> по РДМС</w:t>
      </w:r>
      <w:r w:rsidR="00190E62" w:rsidRPr="00610B1B">
        <w:rPr>
          <w:rFonts w:cs="Times New Roman"/>
        </w:rPr>
        <w:t>,</w:t>
      </w:r>
      <w:r w:rsidRPr="00610B1B">
        <w:rPr>
          <w:rFonts w:cs="Times New Roman"/>
        </w:rPr>
        <w:t xml:space="preserve"> извършена през 2017 г., от общо 6 района на оценка, в 5 района местообитанията </w:t>
      </w:r>
      <w:r w:rsidR="00B36ECD" w:rsidRPr="00610B1B">
        <w:rPr>
          <w:rFonts w:cs="Times New Roman"/>
        </w:rPr>
        <w:t xml:space="preserve">не са в </w:t>
      </w:r>
      <w:r w:rsidRPr="00610B1B">
        <w:rPr>
          <w:rFonts w:cs="Times New Roman"/>
        </w:rPr>
        <w:t>добро състояние.</w:t>
      </w:r>
      <w:r w:rsidR="00D66FE0" w:rsidRPr="00610B1B">
        <w:rPr>
          <w:rFonts w:cs="Times New Roman"/>
        </w:rPr>
        <w:t xml:space="preserve"> </w:t>
      </w:r>
      <w:r w:rsidRPr="00610B1B">
        <w:rPr>
          <w:rFonts w:cs="Times New Roman"/>
        </w:rPr>
        <w:t>Единствено районът</w:t>
      </w:r>
      <w:r w:rsidR="00D66FE0" w:rsidRPr="00610B1B">
        <w:rPr>
          <w:rFonts w:cs="Times New Roman"/>
        </w:rPr>
        <w:t xml:space="preserve"> </w:t>
      </w:r>
      <w:r w:rsidRPr="00610B1B">
        <w:rPr>
          <w:rFonts w:cs="Times New Roman"/>
        </w:rPr>
        <w:t>н</w:t>
      </w:r>
      <w:r w:rsidR="000E7EC5" w:rsidRPr="00610B1B">
        <w:rPr>
          <w:rFonts w:cs="Times New Roman"/>
        </w:rPr>
        <w:t>ос</w:t>
      </w:r>
      <w:r w:rsidRPr="00610B1B">
        <w:rPr>
          <w:rFonts w:cs="Times New Roman"/>
        </w:rPr>
        <w:t xml:space="preserve"> Емине – Маслен нос е в добро състояние. Очакваната тенденция е отрицателна (продължаващо увреждане/загуба) в резултат на повишаване на антропогенния натиск в крайбрежната зона. </w:t>
      </w:r>
    </w:p>
    <w:p w14:paraId="250E6148" w14:textId="6882091C" w:rsidR="00585C13" w:rsidRPr="00610B1B" w:rsidRDefault="00585C13" w:rsidP="00D32D6A">
      <w:pPr>
        <w:pStyle w:val="BodyText"/>
        <w:spacing w:before="0" w:after="120" w:line="276" w:lineRule="auto"/>
        <w:ind w:right="-153"/>
        <w:rPr>
          <w:rFonts w:cs="Times New Roman"/>
        </w:rPr>
      </w:pPr>
      <w:r w:rsidRPr="00610B1B">
        <w:rPr>
          <w:rFonts w:cs="Times New Roman"/>
        </w:rPr>
        <w:t xml:space="preserve">Постигането на добро състояние </w:t>
      </w:r>
      <w:r w:rsidR="009379D4" w:rsidRPr="00610B1B">
        <w:rPr>
          <w:rFonts w:cs="Times New Roman"/>
        </w:rPr>
        <w:t xml:space="preserve">на макрозообентоса зависи от ефективността </w:t>
      </w:r>
      <w:r w:rsidRPr="00610B1B">
        <w:rPr>
          <w:rFonts w:cs="Times New Roman"/>
        </w:rPr>
        <w:t>на мерките</w:t>
      </w:r>
      <w:r w:rsidR="009379D4" w:rsidRPr="00610B1B">
        <w:rPr>
          <w:rFonts w:cs="Times New Roman"/>
        </w:rPr>
        <w:t>,</w:t>
      </w:r>
      <w:r w:rsidRPr="00610B1B">
        <w:rPr>
          <w:rFonts w:cs="Times New Roman"/>
        </w:rPr>
        <w:t xml:space="preserve"> разработени в Плановете за управление на речните басейни, съгласно РДВ и </w:t>
      </w:r>
      <w:r w:rsidR="009379D4" w:rsidRPr="00610B1B">
        <w:rPr>
          <w:rFonts w:cs="Times New Roman"/>
        </w:rPr>
        <w:t xml:space="preserve">програмата от мерки по </w:t>
      </w:r>
      <w:r w:rsidRPr="00610B1B">
        <w:rPr>
          <w:rFonts w:cs="Times New Roman"/>
        </w:rPr>
        <w:t>РДМС. Тези мерки</w:t>
      </w:r>
      <w:r w:rsidR="00B70945" w:rsidRPr="00610B1B">
        <w:rPr>
          <w:rFonts w:cs="Times New Roman"/>
        </w:rPr>
        <w:t xml:space="preserve">, аналогични на мерките за макрофитобентоса, </w:t>
      </w:r>
      <w:r w:rsidRPr="00610B1B">
        <w:rPr>
          <w:rFonts w:cs="Times New Roman"/>
        </w:rPr>
        <w:t>са насочени към</w:t>
      </w:r>
      <w:r w:rsidR="0062651E" w:rsidRPr="00610B1B">
        <w:rPr>
          <w:rFonts w:cs="Times New Roman"/>
        </w:rPr>
        <w:t xml:space="preserve"> н</w:t>
      </w:r>
      <w:r w:rsidRPr="00610B1B">
        <w:rPr>
          <w:rFonts w:cs="Times New Roman"/>
        </w:rPr>
        <w:t>амаляване на замърсяването на крайбрежните морски води</w:t>
      </w:r>
      <w:r w:rsidR="00B70945" w:rsidRPr="00610B1B">
        <w:rPr>
          <w:rFonts w:cs="Times New Roman"/>
        </w:rPr>
        <w:t xml:space="preserve">, </w:t>
      </w:r>
      <w:r w:rsidRPr="00610B1B">
        <w:rPr>
          <w:rFonts w:cs="Times New Roman"/>
        </w:rPr>
        <w:t xml:space="preserve">на натиска от затрупване и запечатване </w:t>
      </w:r>
      <w:r w:rsidR="0062651E" w:rsidRPr="00610B1B">
        <w:rPr>
          <w:rFonts w:cs="Times New Roman"/>
        </w:rPr>
        <w:t xml:space="preserve">и </w:t>
      </w:r>
      <w:r w:rsidR="00B70945" w:rsidRPr="00610B1B">
        <w:rPr>
          <w:rFonts w:cs="Times New Roman"/>
        </w:rPr>
        <w:t xml:space="preserve">към </w:t>
      </w:r>
      <w:r w:rsidR="0062651E" w:rsidRPr="00610B1B">
        <w:rPr>
          <w:rFonts w:cs="Times New Roman"/>
        </w:rPr>
        <w:t>п</w:t>
      </w:r>
      <w:r w:rsidRPr="00610B1B">
        <w:rPr>
          <w:rFonts w:cs="Times New Roman"/>
        </w:rPr>
        <w:t>редотвратяване навлизането на инвазивни чужди видове.</w:t>
      </w:r>
    </w:p>
    <w:p w14:paraId="295E44A0" w14:textId="41A4E0E0" w:rsidR="003A54F8" w:rsidRPr="00610B1B" w:rsidRDefault="003A54F8" w:rsidP="00D32D6A">
      <w:pPr>
        <w:pStyle w:val="BodyText"/>
        <w:spacing w:before="0" w:after="120" w:line="276" w:lineRule="auto"/>
        <w:ind w:right="-153"/>
        <w:rPr>
          <w:rFonts w:cs="Times New Roman"/>
        </w:rPr>
      </w:pPr>
      <w:r w:rsidRPr="00610B1B">
        <w:rPr>
          <w:rFonts w:cs="Times New Roman"/>
        </w:rPr>
        <w:t>Конкретните дейности по изпълнение на мерките са свързани с местата</w:t>
      </w:r>
      <w:r w:rsidR="009379D4" w:rsidRPr="00610B1B">
        <w:rPr>
          <w:rFonts w:cs="Times New Roman"/>
        </w:rPr>
        <w:t xml:space="preserve"> с </w:t>
      </w:r>
      <w:r w:rsidRPr="00610B1B">
        <w:rPr>
          <w:rFonts w:cs="Times New Roman"/>
        </w:rPr>
        <w:t xml:space="preserve">идентифицирани </w:t>
      </w:r>
      <w:r w:rsidRPr="00610B1B">
        <w:rPr>
          <w:rFonts w:cs="Times New Roman"/>
        </w:rPr>
        <w:lastRenderedPageBreak/>
        <w:t xml:space="preserve">най-много вредни въздействия и изменения, които трябва да бъдат преодолени, за да бъдат изпълнени изискванията за добро състояние на </w:t>
      </w:r>
      <w:r w:rsidR="009379D4" w:rsidRPr="00610B1B">
        <w:rPr>
          <w:rFonts w:cs="Times New Roman"/>
        </w:rPr>
        <w:t xml:space="preserve">морската </w:t>
      </w:r>
      <w:r w:rsidRPr="00610B1B">
        <w:rPr>
          <w:rFonts w:cs="Times New Roman"/>
        </w:rPr>
        <w:t xml:space="preserve">околна среда. </w:t>
      </w:r>
      <w:r w:rsidR="009379D4" w:rsidRPr="00610B1B">
        <w:rPr>
          <w:rFonts w:cs="Times New Roman"/>
        </w:rPr>
        <w:t>М</w:t>
      </w:r>
      <w:r w:rsidRPr="00610B1B">
        <w:rPr>
          <w:rFonts w:cs="Times New Roman"/>
        </w:rPr>
        <w:t xml:space="preserve">ерките и </w:t>
      </w:r>
      <w:r w:rsidR="00686CE6" w:rsidRPr="00610B1B">
        <w:rPr>
          <w:rFonts w:cs="Times New Roman"/>
        </w:rPr>
        <w:t>дейностите</w:t>
      </w:r>
      <w:r w:rsidRPr="00610B1B">
        <w:rPr>
          <w:rFonts w:cs="Times New Roman"/>
        </w:rPr>
        <w:t xml:space="preserve"> са описани подробно</w:t>
      </w:r>
      <w:r w:rsidR="00D14F3C" w:rsidRPr="00610B1B">
        <w:rPr>
          <w:rFonts w:cs="Times New Roman"/>
        </w:rPr>
        <w:t xml:space="preserve"> и обхващат както такива за подобряване на законодателната основа и повишаване на институционалния капацитет, така и меки мерки за повишаване на </w:t>
      </w:r>
      <w:r w:rsidR="00686CE6" w:rsidRPr="00610B1B">
        <w:rPr>
          <w:rFonts w:cs="Times New Roman"/>
        </w:rPr>
        <w:t>осведомеността</w:t>
      </w:r>
      <w:r w:rsidR="00D14F3C" w:rsidRPr="00610B1B">
        <w:rPr>
          <w:rFonts w:cs="Times New Roman"/>
        </w:rPr>
        <w:t xml:space="preserve"> на широката публика. Прегледът на документите показва, че основен проблем е </w:t>
      </w:r>
      <w:r w:rsidR="00686CE6" w:rsidRPr="00610B1B">
        <w:rPr>
          <w:rFonts w:cs="Times New Roman"/>
        </w:rPr>
        <w:t>липсата</w:t>
      </w:r>
      <w:r w:rsidR="00D14F3C" w:rsidRPr="00610B1B">
        <w:rPr>
          <w:rFonts w:cs="Times New Roman"/>
        </w:rPr>
        <w:t xml:space="preserve"> на данни по много от критериите за оценка на състоянието.</w:t>
      </w:r>
    </w:p>
    <w:p w14:paraId="5743BB94" w14:textId="7D385EA4" w:rsidR="009D4A0E" w:rsidRPr="00610B1B" w:rsidRDefault="00536709" w:rsidP="00565DC5">
      <w:pPr>
        <w:pStyle w:val="Heading4"/>
        <w:rPr>
          <w:rFonts w:cs="Times New Roman"/>
        </w:rPr>
      </w:pPr>
      <w:r w:rsidRPr="00610B1B">
        <w:rPr>
          <w:rFonts w:cs="Times New Roman"/>
        </w:rPr>
        <w:t>2.</w:t>
      </w:r>
      <w:r w:rsidR="00227363" w:rsidRPr="00610B1B">
        <w:rPr>
          <w:rFonts w:cs="Times New Roman"/>
        </w:rPr>
        <w:t>2</w:t>
      </w:r>
      <w:r w:rsidRPr="00610B1B">
        <w:rPr>
          <w:rFonts w:cs="Times New Roman"/>
        </w:rPr>
        <w:t xml:space="preserve">.4.3. </w:t>
      </w:r>
      <w:r w:rsidR="009D4A0E" w:rsidRPr="00610B1B">
        <w:rPr>
          <w:rFonts w:cs="Times New Roman"/>
        </w:rPr>
        <w:t>Риби</w:t>
      </w:r>
    </w:p>
    <w:p w14:paraId="3ADD5C55" w14:textId="2F3A8C47" w:rsidR="009D4A0E" w:rsidRPr="00610B1B" w:rsidRDefault="009D4A0E" w:rsidP="00D32D6A">
      <w:pPr>
        <w:pStyle w:val="BodyText"/>
        <w:spacing w:before="0" w:after="120" w:line="276" w:lineRule="auto"/>
        <w:ind w:right="-153"/>
        <w:rPr>
          <w:rFonts w:cs="Times New Roman"/>
        </w:rPr>
      </w:pPr>
      <w:r w:rsidRPr="00610B1B">
        <w:rPr>
          <w:rFonts w:cs="Times New Roman"/>
        </w:rPr>
        <w:t xml:space="preserve">Морските риби се разглеждат като отделна екологична функционална група на биоразнообразието </w:t>
      </w:r>
      <w:r w:rsidRPr="00610B1B">
        <w:rPr>
          <w:rFonts w:cs="Times New Roman"/>
          <w:iCs/>
        </w:rPr>
        <w:t>(</w:t>
      </w:r>
      <w:r w:rsidRPr="00610B1B">
        <w:rPr>
          <w:rFonts w:cs="Times New Roman"/>
        </w:rPr>
        <w:t>дескриптор 1</w:t>
      </w:r>
      <w:r w:rsidRPr="00610B1B">
        <w:rPr>
          <w:rFonts w:cs="Times New Roman"/>
          <w:iCs/>
        </w:rPr>
        <w:t>)</w:t>
      </w:r>
      <w:r w:rsidRPr="00610B1B">
        <w:rPr>
          <w:rFonts w:cs="Times New Roman"/>
        </w:rPr>
        <w:t xml:space="preserve"> и морските хранителни вериги </w:t>
      </w:r>
      <w:r w:rsidRPr="00610B1B">
        <w:rPr>
          <w:rFonts w:cs="Times New Roman"/>
          <w:iCs/>
        </w:rPr>
        <w:t>(</w:t>
      </w:r>
      <w:r w:rsidRPr="00610B1B">
        <w:rPr>
          <w:rFonts w:cs="Times New Roman"/>
        </w:rPr>
        <w:t>дескриптор 4</w:t>
      </w:r>
      <w:r w:rsidRPr="00610B1B">
        <w:rPr>
          <w:rFonts w:cs="Times New Roman"/>
          <w:iCs/>
        </w:rPr>
        <w:t>)</w:t>
      </w:r>
      <w:r w:rsidRPr="00610B1B">
        <w:rPr>
          <w:rFonts w:cs="Times New Roman"/>
        </w:rPr>
        <w:t xml:space="preserve"> от Рамкова директива за морска стратегия 2008/56/ЕО. В Българската акватория на Черно море има 134 вида риби, които принадлежат към 44 семейства. Повечето от тези видове са средиземноморски имигранти </w:t>
      </w:r>
      <w:r w:rsidRPr="00610B1B">
        <w:rPr>
          <w:rFonts w:cs="Times New Roman"/>
          <w:iCs/>
        </w:rPr>
        <w:t>(</w:t>
      </w:r>
      <w:r w:rsidRPr="00610B1B">
        <w:rPr>
          <w:rFonts w:cs="Times New Roman"/>
        </w:rPr>
        <w:t>100 вида</w:t>
      </w:r>
      <w:r w:rsidRPr="00610B1B">
        <w:rPr>
          <w:rFonts w:cs="Times New Roman"/>
          <w:iCs/>
        </w:rPr>
        <w:t>)</w:t>
      </w:r>
      <w:r w:rsidRPr="00610B1B">
        <w:rPr>
          <w:rFonts w:cs="Times New Roman"/>
        </w:rPr>
        <w:t xml:space="preserve">, 23 са понто-каспийски реликти и 10 вида са бореално-атлантически реликти. Един вид от кефаловите риби </w:t>
      </w:r>
      <w:r w:rsidRPr="00610B1B">
        <w:rPr>
          <w:rFonts w:cs="Times New Roman"/>
          <w:iCs/>
        </w:rPr>
        <w:t>(</w:t>
      </w:r>
      <w:r w:rsidRPr="00610B1B">
        <w:rPr>
          <w:rFonts w:cs="Times New Roman"/>
          <w:i/>
        </w:rPr>
        <w:t>Mugil soiuy</w:t>
      </w:r>
      <w:r w:rsidRPr="00610B1B">
        <w:rPr>
          <w:rFonts w:cs="Times New Roman"/>
          <w:iCs/>
        </w:rPr>
        <w:t>)</w:t>
      </w:r>
      <w:r w:rsidRPr="00610B1B">
        <w:rPr>
          <w:rFonts w:cs="Times New Roman"/>
        </w:rPr>
        <w:t xml:space="preserve"> е интродуциран в Черно море и понастоящем е широко разпространен по Българския бряг. Видовете, които извършват миграции между крайбрежната и откритоморската зона са 62, докато 64 вида извършват миграции между северната и южната част на Черно море. Общият брой видове, които се размножават в пелагиала </w:t>
      </w:r>
      <w:r w:rsidRPr="00610B1B">
        <w:rPr>
          <w:rFonts w:cs="Times New Roman"/>
          <w:iCs/>
        </w:rPr>
        <w:t>(</w:t>
      </w:r>
      <w:r w:rsidRPr="00610B1B">
        <w:rPr>
          <w:rFonts w:cs="Times New Roman"/>
        </w:rPr>
        <w:t>открити води</w:t>
      </w:r>
      <w:r w:rsidRPr="00610B1B">
        <w:rPr>
          <w:rFonts w:cs="Times New Roman"/>
          <w:iCs/>
        </w:rPr>
        <w:t>)</w:t>
      </w:r>
      <w:r w:rsidRPr="00610B1B">
        <w:rPr>
          <w:rFonts w:cs="Times New Roman"/>
        </w:rPr>
        <w:t xml:space="preserve"> е 66. Около 27</w:t>
      </w:r>
      <w:r w:rsidR="00D14F3C" w:rsidRPr="00610B1B">
        <w:rPr>
          <w:rFonts w:cs="Times New Roman"/>
        </w:rPr>
        <w:t xml:space="preserve"> до </w:t>
      </w:r>
      <w:r w:rsidRPr="00610B1B">
        <w:rPr>
          <w:rFonts w:cs="Times New Roman"/>
        </w:rPr>
        <w:t>29 от тях се размножават по българското крайбрежие: 17-19 в близост до брега и 10 – в открити води</w:t>
      </w:r>
      <w:r w:rsidR="00227363" w:rsidRPr="00610B1B">
        <w:rPr>
          <w:rFonts w:cs="Times New Roman"/>
        </w:rPr>
        <w:t>.</w:t>
      </w:r>
      <w:r w:rsidRPr="00610B1B">
        <w:rPr>
          <w:rFonts w:cs="Times New Roman"/>
        </w:rPr>
        <w:t xml:space="preserve"> </w:t>
      </w:r>
      <w:r w:rsidR="00227363" w:rsidRPr="00610B1B">
        <w:rPr>
          <w:rFonts w:cs="Times New Roman"/>
        </w:rPr>
        <w:t xml:space="preserve">От общо </w:t>
      </w:r>
      <w:r w:rsidRPr="00610B1B">
        <w:rPr>
          <w:rFonts w:cs="Times New Roman"/>
        </w:rPr>
        <w:t>46 вида риби</w:t>
      </w:r>
      <w:r w:rsidR="00227363" w:rsidRPr="00610B1B">
        <w:rPr>
          <w:rFonts w:cs="Times New Roman"/>
        </w:rPr>
        <w:t xml:space="preserve">, които </w:t>
      </w:r>
      <w:r w:rsidRPr="00610B1B">
        <w:rPr>
          <w:rFonts w:cs="Times New Roman"/>
        </w:rPr>
        <w:t>отлагат хайвера си на дъното, 41-42 се размножават в българската акватория. Живораждащи са 3 вида, два от които се срещат по българското крайбрежие. С изключение на 6 вида, които се размножават през есенно-зимния сезон, останалите видове се размножават през пролетта и лятото. Повечето видове риби се размножават в крайбрежната зона, което ги прави по-уязвими към замърсяване.</w:t>
      </w:r>
    </w:p>
    <w:p w14:paraId="20DAC4B3" w14:textId="393CF86F" w:rsidR="00BC6536" w:rsidRPr="00610B1B" w:rsidRDefault="00BC6536" w:rsidP="00D32D6A">
      <w:pPr>
        <w:widowControl w:val="0"/>
        <w:tabs>
          <w:tab w:val="left" w:pos="225"/>
        </w:tabs>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Директива 92/43/ЕИО за запазването на природните местообитания и на дивата флора и фауна включва следните видове черноморски риби: немска есетра - </w:t>
      </w:r>
      <w:r w:rsidRPr="00610B1B">
        <w:rPr>
          <w:rFonts w:ascii="Times New Roman" w:eastAsia="Source Han Sans CN Regular" w:hAnsi="Times New Roman" w:cs="Times New Roman"/>
          <w:i/>
          <w:sz w:val="24"/>
          <w:szCs w:val="24"/>
          <w:lang w:val="bg-BG" w:eastAsia="zh-CN" w:bidi="hi-IN"/>
        </w:rPr>
        <w:t xml:space="preserve">Acipenser sturio; </w:t>
      </w:r>
      <w:r w:rsidRPr="00610B1B">
        <w:rPr>
          <w:rFonts w:ascii="Times New Roman" w:eastAsia="Source Han Sans CN Regular" w:hAnsi="Times New Roman" w:cs="Times New Roman"/>
          <w:iCs/>
          <w:sz w:val="24"/>
          <w:szCs w:val="24"/>
          <w:lang w:val="bg-BG" w:eastAsia="zh-CN" w:bidi="hi-IN"/>
        </w:rPr>
        <w:t xml:space="preserve">и </w:t>
      </w:r>
      <w:r w:rsidRPr="00610B1B">
        <w:rPr>
          <w:rFonts w:ascii="Times New Roman" w:eastAsia="Source Han Sans CN Regular" w:hAnsi="Times New Roman" w:cs="Times New Roman"/>
          <w:sz w:val="24"/>
          <w:szCs w:val="24"/>
          <w:lang w:val="bg-BG" w:eastAsia="zh-CN" w:bidi="hi-IN"/>
        </w:rPr>
        <w:t xml:space="preserve">видовете от р. Alosa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карагьозови</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Немската есетра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i/>
          <w:sz w:val="24"/>
          <w:szCs w:val="24"/>
          <w:lang w:val="bg-BG" w:eastAsia="zh-CN" w:bidi="hi-IN"/>
        </w:rPr>
        <w:t>Acipenser sturio</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е включена в Червената книга на Р. България, но се счита за изчезнал вид по българското крайбрежие. В Черно море са улавяни само единични индивиди в района на Варна и Бургас. Видовете от р. Alosa са разпределени неравномерно в българската морска акватория</w:t>
      </w:r>
      <w:r w:rsidR="009E14CB" w:rsidRPr="00610B1B">
        <w:rPr>
          <w:rFonts w:ascii="Times New Roman" w:eastAsia="Source Han Sans CN Regular" w:hAnsi="Times New Roman" w:cs="Times New Roman"/>
          <w:sz w:val="24"/>
          <w:szCs w:val="24"/>
          <w:lang w:val="bg-BG" w:eastAsia="zh-CN" w:bidi="hi-IN"/>
        </w:rPr>
        <w:t>, п</w:t>
      </w:r>
      <w:r w:rsidRPr="00610B1B">
        <w:rPr>
          <w:rFonts w:ascii="Times New Roman" w:eastAsia="Source Han Sans CN Regular" w:hAnsi="Times New Roman" w:cs="Times New Roman"/>
          <w:sz w:val="24"/>
          <w:szCs w:val="24"/>
          <w:lang w:val="bg-BG" w:eastAsia="zh-CN" w:bidi="hi-IN"/>
        </w:rPr>
        <w:t>рез пролетния сезон се срещат в крайбрежната зона, мигрирайки към реките за размножаване. Голяма част от уловените индивиди са възрастни, 3-4 годишни полово-зрели, със средна дължина 27.5 cm. През есенните и зимни месеци се наблюдават в цялата акватория, с по-висока численост в районите пред Шабла – Калиакра, Камчия – н</w:t>
      </w:r>
      <w:r w:rsidR="000E7EC5" w:rsidRPr="00610B1B">
        <w:rPr>
          <w:rFonts w:ascii="Times New Roman" w:eastAsia="Source Han Sans CN Regular" w:hAnsi="Times New Roman" w:cs="Times New Roman"/>
          <w:sz w:val="24"/>
          <w:szCs w:val="24"/>
          <w:lang w:val="bg-BG" w:eastAsia="zh-CN" w:bidi="hi-IN"/>
        </w:rPr>
        <w:t>ос</w:t>
      </w:r>
      <w:r w:rsidRPr="00610B1B">
        <w:rPr>
          <w:rFonts w:ascii="Times New Roman" w:eastAsia="Source Han Sans CN Regular" w:hAnsi="Times New Roman" w:cs="Times New Roman"/>
          <w:sz w:val="24"/>
          <w:szCs w:val="24"/>
          <w:lang w:val="bg-BG" w:eastAsia="zh-CN" w:bidi="hi-IN"/>
        </w:rPr>
        <w:t xml:space="preserve"> Емине и Маслен нос – Царево на дълбочини от 50 до 75 m. Повечето от уловените индивиди са незрели, на възраст 1-2 години и средна дължина 16.5 cm. Приложение 2 към Протокола за опазване на биоразнообразието в Черно море включва</w:t>
      </w:r>
      <w:r w:rsidR="000E7EC5"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38 вида редки и застрашени риби, важни за екосистемата на Черно море</w:t>
      </w:r>
      <w:r w:rsidRPr="00610B1B">
        <w:rPr>
          <w:rFonts w:ascii="Times New Roman" w:eastAsia="Source Han Sans CN Regular" w:hAnsi="Times New Roman" w:cs="Times New Roman"/>
          <w:sz w:val="24"/>
          <w:szCs w:val="24"/>
          <w:vertAlign w:val="superscript"/>
          <w:lang w:val="bg-BG" w:eastAsia="zh-CN" w:bidi="hi-IN"/>
        </w:rPr>
        <w:footnoteReference w:id="83"/>
      </w:r>
      <w:r w:rsidRPr="00610B1B">
        <w:rPr>
          <w:rFonts w:ascii="Times New Roman" w:eastAsia="Source Han Sans CN Regular" w:hAnsi="Times New Roman" w:cs="Times New Roman"/>
          <w:sz w:val="24"/>
          <w:szCs w:val="24"/>
          <w:lang w:val="bg-BG" w:eastAsia="zh-CN" w:bidi="hi-IN"/>
        </w:rPr>
        <w:t>.</w:t>
      </w:r>
    </w:p>
    <w:p w14:paraId="703DA1AD" w14:textId="6AC03D72" w:rsidR="00BC6536" w:rsidRPr="00610B1B" w:rsidRDefault="00190E62" w:rsidP="00D32D6A">
      <w:pPr>
        <w:pStyle w:val="BodyText"/>
        <w:spacing w:before="0" w:after="120" w:line="276" w:lineRule="auto"/>
        <w:ind w:right="-153"/>
        <w:rPr>
          <w:rFonts w:cs="Times New Roman"/>
        </w:rPr>
      </w:pPr>
      <w:r w:rsidRPr="00610B1B">
        <w:rPr>
          <w:rFonts w:cs="Times New Roman"/>
        </w:rPr>
        <w:t xml:space="preserve">РДМС разграничава видове риби, които са обект на </w:t>
      </w:r>
      <w:r w:rsidR="00DD6CD4" w:rsidRPr="00610B1B">
        <w:rPr>
          <w:rFonts w:cs="Times New Roman"/>
        </w:rPr>
        <w:t>стопански риболов</w:t>
      </w:r>
      <w:r w:rsidRPr="00610B1B">
        <w:rPr>
          <w:rFonts w:cs="Times New Roman"/>
        </w:rPr>
        <w:t xml:space="preserve"> (</w:t>
      </w:r>
      <w:r w:rsidR="00352BBB" w:rsidRPr="00610B1B">
        <w:rPr>
          <w:rFonts w:cs="Times New Roman"/>
        </w:rPr>
        <w:t>Дескриптор </w:t>
      </w:r>
      <w:r w:rsidRPr="00610B1B">
        <w:rPr>
          <w:rFonts w:cs="Times New Roman"/>
        </w:rPr>
        <w:t>1,</w:t>
      </w:r>
      <w:r w:rsidR="00B60338" w:rsidRPr="00610B1B">
        <w:rPr>
          <w:rFonts w:cs="Times New Roman"/>
        </w:rPr>
        <w:t> </w:t>
      </w:r>
      <w:r w:rsidRPr="00610B1B">
        <w:rPr>
          <w:rFonts w:cs="Times New Roman"/>
        </w:rPr>
        <w:t xml:space="preserve">3) и видове риби, които не са обект на </w:t>
      </w:r>
      <w:r w:rsidR="00DD6CD4" w:rsidRPr="00610B1B">
        <w:rPr>
          <w:rFonts w:cs="Times New Roman"/>
        </w:rPr>
        <w:t>стопански риболов</w:t>
      </w:r>
      <w:r w:rsidRPr="00610B1B">
        <w:rPr>
          <w:rFonts w:cs="Times New Roman"/>
        </w:rPr>
        <w:t xml:space="preserve"> (</w:t>
      </w:r>
      <w:r w:rsidR="00352BBB" w:rsidRPr="00610B1B">
        <w:rPr>
          <w:rFonts w:cs="Times New Roman"/>
        </w:rPr>
        <w:t xml:space="preserve">Дескриптор </w:t>
      </w:r>
      <w:r w:rsidRPr="00610B1B">
        <w:rPr>
          <w:rFonts w:cs="Times New Roman"/>
        </w:rPr>
        <w:t xml:space="preserve">1, 4). Въпреки че </w:t>
      </w:r>
      <w:r w:rsidR="00DD6CD4" w:rsidRPr="00610B1B">
        <w:rPr>
          <w:rFonts w:cs="Times New Roman"/>
        </w:rPr>
        <w:t>стопанският риболов</w:t>
      </w:r>
      <w:r w:rsidRPr="00610B1B">
        <w:rPr>
          <w:rFonts w:cs="Times New Roman"/>
        </w:rPr>
        <w:t xml:space="preserve"> оказва натиск основно върху стопански ценните видове риби, </w:t>
      </w:r>
      <w:r w:rsidRPr="00610B1B">
        <w:rPr>
          <w:rFonts w:cs="Times New Roman"/>
        </w:rPr>
        <w:lastRenderedPageBreak/>
        <w:t xml:space="preserve">натискът е насочен и върху останалите видове, които попадат в рибарските мрежи </w:t>
      </w:r>
      <w:r w:rsidR="009E14CB" w:rsidRPr="00610B1B">
        <w:rPr>
          <w:rFonts w:cs="Times New Roman"/>
        </w:rPr>
        <w:t>като</w:t>
      </w:r>
      <w:r w:rsidRPr="00610B1B">
        <w:rPr>
          <w:rFonts w:cs="Times New Roman"/>
        </w:rPr>
        <w:t xml:space="preserve"> случаен </w:t>
      </w:r>
      <w:r w:rsidR="003F5D95" w:rsidRPr="00610B1B">
        <w:rPr>
          <w:rFonts w:cs="Times New Roman"/>
        </w:rPr>
        <w:t>при</w:t>
      </w:r>
      <w:r w:rsidRPr="00610B1B">
        <w:rPr>
          <w:rFonts w:cs="Times New Roman"/>
        </w:rPr>
        <w:t>улов</w:t>
      </w:r>
      <w:r w:rsidR="00BC6536" w:rsidRPr="00610B1B">
        <w:rPr>
          <w:rFonts w:cs="Times New Roman"/>
        </w:rPr>
        <w:t xml:space="preserve">. Поради тази причина </w:t>
      </w:r>
      <w:r w:rsidRPr="00610B1B">
        <w:rPr>
          <w:rFonts w:cs="Times New Roman"/>
        </w:rPr>
        <w:t xml:space="preserve">мащабът на натиска е неизвестен, но въздействието </w:t>
      </w:r>
      <w:r w:rsidR="00A11253" w:rsidRPr="00610B1B">
        <w:rPr>
          <w:rFonts w:cs="Times New Roman"/>
        </w:rPr>
        <w:t>съществува</w:t>
      </w:r>
      <w:r w:rsidRPr="00610B1B">
        <w:rPr>
          <w:rFonts w:cs="Times New Roman"/>
        </w:rPr>
        <w:t xml:space="preserve">. </w:t>
      </w:r>
    </w:p>
    <w:p w14:paraId="23E9AD71" w14:textId="6584CE12" w:rsidR="00190E62" w:rsidRPr="00610B1B" w:rsidRDefault="001A4286" w:rsidP="00D32D6A">
      <w:pPr>
        <w:widowControl w:val="0"/>
        <w:spacing w:after="120"/>
        <w:ind w:right="-153"/>
        <w:jc w:val="both"/>
        <w:rPr>
          <w:rFonts w:ascii="Times New Roman" w:hAnsi="Times New Roman" w:cs="Times New Roman"/>
          <w:sz w:val="24"/>
          <w:szCs w:val="24"/>
          <w:lang w:val="bg-BG"/>
        </w:rPr>
      </w:pPr>
      <w:r w:rsidRPr="00610B1B">
        <w:rPr>
          <w:rFonts w:ascii="Times New Roman" w:eastAsia="Source Han Sans CN Regular" w:hAnsi="Times New Roman" w:cs="Times New Roman"/>
          <w:sz w:val="24"/>
          <w:szCs w:val="24"/>
          <w:lang w:val="bg-BG" w:eastAsia="zh-CN" w:bidi="hi-IN"/>
        </w:rPr>
        <w:t xml:space="preserve">Обект на риболов в българската акватория на Черно море са над 20 вида риби, описани в </w:t>
      </w:r>
      <w:r w:rsidR="00BB617E" w:rsidRPr="00610B1B">
        <w:rPr>
          <w:rFonts w:ascii="Times New Roman" w:eastAsia="Source Han Sans CN Regular" w:hAnsi="Times New Roman" w:cs="Times New Roman"/>
          <w:sz w:val="24"/>
          <w:szCs w:val="24"/>
          <w:lang w:val="bg-BG" w:eastAsia="zh-CN" w:bidi="hi-IN"/>
        </w:rPr>
        <w:t>Годишния доклад за състоянието и развитието на земеделието</w:t>
      </w:r>
      <w:r w:rsidR="008753B6" w:rsidRPr="00610B1B">
        <w:rPr>
          <w:rFonts w:ascii="Times New Roman" w:eastAsia="Source Han Sans CN Regular" w:hAnsi="Times New Roman" w:cs="Times New Roman"/>
          <w:sz w:val="24"/>
          <w:szCs w:val="24"/>
          <w:lang w:val="bg-BG" w:eastAsia="zh-CN" w:bidi="hi-IN"/>
        </w:rPr>
        <w:t xml:space="preserve"> </w:t>
      </w:r>
      <w:r w:rsidR="00BB617E" w:rsidRPr="00610B1B">
        <w:rPr>
          <w:rFonts w:ascii="Times New Roman" w:eastAsia="Source Han Sans CN Regular" w:hAnsi="Times New Roman" w:cs="Times New Roman"/>
          <w:sz w:val="24"/>
          <w:szCs w:val="24"/>
          <w:lang w:val="bg-BG" w:eastAsia="zh-CN" w:bidi="hi-IN"/>
        </w:rPr>
        <w:t>( Аграрен доклад -2020)</w:t>
      </w:r>
      <w:r w:rsidR="00BB617E" w:rsidRPr="00610B1B">
        <w:rPr>
          <w:rFonts w:ascii="Times New Roman" w:eastAsia="Source Han Sans CN Regular" w:hAnsi="Times New Roman" w:cs="Times New Roman"/>
          <w:sz w:val="24"/>
          <w:szCs w:val="24"/>
          <w:vertAlign w:val="superscript"/>
          <w:lang w:val="bg-BG" w:eastAsia="zh-CN" w:bidi="hi-IN"/>
        </w:rPr>
        <w:t>84</w:t>
      </w:r>
      <w:r w:rsidR="00BB617E" w:rsidRPr="00610B1B">
        <w:rPr>
          <w:rFonts w:ascii="Times New Roman" w:eastAsia="Source Han Sans CN Regular" w:hAnsi="Times New Roman" w:cs="Times New Roman"/>
          <w:sz w:val="24"/>
          <w:szCs w:val="24"/>
          <w:lang w:val="bg-BG" w:eastAsia="zh-CN" w:bidi="hi-IN"/>
        </w:rPr>
        <w:t>,</w:t>
      </w:r>
      <w:r w:rsidR="00BB617E" w:rsidRPr="00610B1B">
        <w:rPr>
          <w:rFonts w:ascii="Times New Roman" w:hAnsi="Times New Roman" w:cs="Times New Roman"/>
          <w:lang w:val="bg-BG"/>
        </w:rPr>
        <w:t xml:space="preserve"> </w:t>
      </w:r>
      <w:r w:rsidR="00BB617E" w:rsidRPr="00610B1B">
        <w:rPr>
          <w:rFonts w:ascii="Times New Roman" w:hAnsi="Times New Roman" w:cs="Times New Roman"/>
          <w:sz w:val="24"/>
          <w:szCs w:val="24"/>
          <w:lang w:val="bg-BG"/>
        </w:rPr>
        <w:t xml:space="preserve">Оценката за състоянието на рибните запаси за Черно море през последните години се извършва в рамките на изпълнението на научните изследвания, които България е задължена да осъществява, в изпълнение на </w:t>
      </w:r>
      <w:r w:rsidR="00FD37F6" w:rsidRPr="00610B1B">
        <w:rPr>
          <w:rFonts w:ascii="Times New Roman" w:hAnsi="Times New Roman" w:cs="Times New Roman"/>
          <w:sz w:val="24"/>
          <w:szCs w:val="24"/>
          <w:lang w:val="bg-BG"/>
        </w:rPr>
        <w:t>многогодишната</w:t>
      </w:r>
      <w:r w:rsidR="00BB617E" w:rsidRPr="00610B1B">
        <w:rPr>
          <w:rFonts w:ascii="Times New Roman" w:hAnsi="Times New Roman" w:cs="Times New Roman"/>
          <w:sz w:val="24"/>
          <w:szCs w:val="24"/>
          <w:lang w:val="bg-BG"/>
        </w:rPr>
        <w:t xml:space="preserve"> програма на Съюза за събиране и управление на данни в сектор рибарство в изпълнение на РЕГЛАМЕНТ (ЕС) 2017/ 1004 на Европейския парламент и на съюза за събиране, управление и използване на данни в сектора на рибарството и за подкрепа при изготвяне на научни становища във връзка с общата политика в областта на рибарството, и за отмяна на Регламент (ЕС) № 199/ 2008 на Съвета.</w:t>
      </w:r>
      <w:r w:rsidR="008753B6" w:rsidRPr="00610B1B">
        <w:rPr>
          <w:rFonts w:ascii="Times New Roman" w:hAnsi="Times New Roman" w:cs="Times New Roman"/>
          <w:sz w:val="24"/>
          <w:szCs w:val="24"/>
          <w:lang w:val="bg-BG"/>
        </w:rPr>
        <w:t xml:space="preserve"> </w:t>
      </w:r>
      <w:r w:rsidR="00BB617E" w:rsidRPr="00610B1B">
        <w:rPr>
          <w:rFonts w:ascii="Times New Roman" w:hAnsi="Times New Roman" w:cs="Times New Roman"/>
          <w:sz w:val="24"/>
          <w:szCs w:val="24"/>
          <w:lang w:val="bg-BG"/>
        </w:rPr>
        <w:t>Основната оценка се прави за квотираните видове риби, които за Черно море са калкан (S. maximus) и трицона (Sprattus sprattus). Институтите, отговорни и изпълняващи тази дейност са</w:t>
      </w:r>
      <w:r w:rsidR="008753B6" w:rsidRPr="00610B1B">
        <w:rPr>
          <w:rFonts w:ascii="Times New Roman" w:hAnsi="Times New Roman" w:cs="Times New Roman"/>
          <w:sz w:val="24"/>
          <w:szCs w:val="24"/>
          <w:lang w:val="bg-BG"/>
        </w:rPr>
        <w:t>:</w:t>
      </w:r>
      <w:r w:rsidR="00BB617E" w:rsidRPr="00610B1B">
        <w:rPr>
          <w:rFonts w:ascii="Times New Roman" w:hAnsi="Times New Roman" w:cs="Times New Roman"/>
          <w:sz w:val="24"/>
          <w:szCs w:val="24"/>
          <w:lang w:val="bg-BG"/>
        </w:rPr>
        <w:t xml:space="preserve"> Институт по рибни ресурси, Варна</w:t>
      </w:r>
      <w:r w:rsidR="008753B6" w:rsidRPr="00610B1B">
        <w:rPr>
          <w:rFonts w:ascii="Times New Roman" w:hAnsi="Times New Roman" w:cs="Times New Roman"/>
          <w:sz w:val="24"/>
          <w:szCs w:val="24"/>
          <w:lang w:val="bg-BG"/>
        </w:rPr>
        <w:t>;</w:t>
      </w:r>
      <w:r w:rsidR="00BB617E" w:rsidRPr="00610B1B">
        <w:rPr>
          <w:rFonts w:ascii="Times New Roman" w:hAnsi="Times New Roman" w:cs="Times New Roman"/>
          <w:sz w:val="24"/>
          <w:szCs w:val="24"/>
          <w:lang w:val="bg-BG"/>
        </w:rPr>
        <w:t xml:space="preserve"> Институт по </w:t>
      </w:r>
      <w:r w:rsidR="00FD37F6" w:rsidRPr="00610B1B">
        <w:rPr>
          <w:rFonts w:ascii="Times New Roman" w:hAnsi="Times New Roman" w:cs="Times New Roman"/>
          <w:sz w:val="24"/>
          <w:szCs w:val="24"/>
          <w:lang w:val="bg-BG"/>
        </w:rPr>
        <w:t>океанология</w:t>
      </w:r>
      <w:r w:rsidR="008753B6" w:rsidRPr="00610B1B">
        <w:rPr>
          <w:rFonts w:ascii="Times New Roman" w:hAnsi="Times New Roman" w:cs="Times New Roman"/>
          <w:sz w:val="24"/>
          <w:szCs w:val="24"/>
          <w:lang w:val="bg-BG"/>
        </w:rPr>
        <w:t xml:space="preserve"> към БАН</w:t>
      </w:r>
      <w:r w:rsidR="00BB617E" w:rsidRPr="00610B1B">
        <w:rPr>
          <w:rFonts w:ascii="Times New Roman" w:hAnsi="Times New Roman" w:cs="Times New Roman"/>
          <w:sz w:val="24"/>
          <w:szCs w:val="24"/>
          <w:lang w:val="bg-BG"/>
        </w:rPr>
        <w:t>, Варна, и Институт по рибарство и аквакултури, Пловдив.</w:t>
      </w:r>
      <w:r w:rsidR="00190E62" w:rsidRPr="00610B1B">
        <w:rPr>
          <w:rFonts w:ascii="Times New Roman" w:hAnsi="Times New Roman" w:cs="Times New Roman"/>
          <w:sz w:val="24"/>
          <w:szCs w:val="24"/>
          <w:lang w:val="bg-BG"/>
        </w:rPr>
        <w:t xml:space="preserve"> </w:t>
      </w:r>
    </w:p>
    <w:p w14:paraId="03F1550F" w14:textId="0717740A" w:rsidR="003A13CE" w:rsidRPr="00610B1B" w:rsidRDefault="003A13CE" w:rsidP="00D32D6A">
      <w:pPr>
        <w:widowControl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Морските риби са подложени на различни източници на натиск поради това, че са част от високите звена на хранителните вериги – антропогенна еутрофикация и предизвиканата от нея дънна хипоксия; замърсяване с тежки метали и устойчиви органични замърсители от сушата, морския транспорт и атмосферното отлагане; хищничество от страна на инвазивни видове върху ихтипланктона. </w:t>
      </w:r>
    </w:p>
    <w:p w14:paraId="51B040C7" w14:textId="3F089FF9" w:rsidR="00B166AA" w:rsidRPr="00610B1B" w:rsidRDefault="00B62269" w:rsidP="00C415D1">
      <w:pPr>
        <w:pStyle w:val="Caption"/>
        <w:spacing w:before="0" w:line="240" w:lineRule="auto"/>
        <w:ind w:right="-153"/>
        <w:jc w:val="both"/>
        <w:rPr>
          <w:rFonts w:cs="Times New Roman"/>
          <w:i/>
          <w:iCs/>
          <w:sz w:val="22"/>
          <w:szCs w:val="22"/>
          <w:lang w:eastAsia="bg-BG" w:bidi="ar-SA"/>
        </w:rPr>
      </w:pPr>
      <w:bookmarkStart w:id="35" w:name="_Toc83391470"/>
      <w:r w:rsidRPr="00610B1B">
        <w:rPr>
          <w:rFonts w:cs="Times New Roman"/>
        </w:rPr>
        <w:t xml:space="preserve">Фигура </w:t>
      </w:r>
      <w:r w:rsidRPr="00610B1B">
        <w:rPr>
          <w:rFonts w:cs="Times New Roman"/>
        </w:rPr>
        <w:fldChar w:fldCharType="begin"/>
      </w:r>
      <w:r w:rsidRPr="00610B1B">
        <w:rPr>
          <w:rFonts w:cs="Times New Roman"/>
        </w:rPr>
        <w:instrText xml:space="preserve"> SEQ Фигура \* ARABIC </w:instrText>
      </w:r>
      <w:r w:rsidRPr="00610B1B">
        <w:rPr>
          <w:rFonts w:cs="Times New Roman"/>
        </w:rPr>
        <w:fldChar w:fldCharType="separate"/>
      </w:r>
      <w:r w:rsidR="00260629" w:rsidRPr="00610B1B">
        <w:rPr>
          <w:rFonts w:cs="Times New Roman"/>
          <w:noProof/>
        </w:rPr>
        <w:t>7</w:t>
      </w:r>
      <w:r w:rsidRPr="00610B1B">
        <w:rPr>
          <w:rFonts w:cs="Times New Roman"/>
        </w:rPr>
        <w:fldChar w:fldCharType="end"/>
      </w:r>
      <w:r w:rsidRPr="00610B1B">
        <w:rPr>
          <w:rFonts w:cs="Times New Roman"/>
        </w:rPr>
        <w:t xml:space="preserve">: </w:t>
      </w:r>
      <w:r w:rsidR="00565DC5" w:rsidRPr="00610B1B">
        <w:rPr>
          <w:rFonts w:cs="Times New Roman"/>
        </w:rPr>
        <w:t>Разпределение на средната плътност на риболовния флот през 2017-2018 г., в часове на km</w:t>
      </w:r>
      <w:r w:rsidR="00565DC5" w:rsidRPr="00610B1B">
        <w:rPr>
          <w:rFonts w:cs="Times New Roman"/>
          <w:position w:val="8"/>
          <w:sz w:val="19"/>
        </w:rPr>
        <w:t>2</w:t>
      </w:r>
      <w:r w:rsidR="00565DC5" w:rsidRPr="00610B1B">
        <w:rPr>
          <w:rFonts w:cs="Times New Roman"/>
        </w:rPr>
        <w:t xml:space="preserve"> на година</w:t>
      </w:r>
      <w:bookmarkEnd w:id="35"/>
    </w:p>
    <w:p w14:paraId="3E3EE1A2" w14:textId="5E723E7F" w:rsidR="006460E7" w:rsidRPr="00610B1B" w:rsidRDefault="00565DC5" w:rsidP="00D32D6A">
      <w:pPr>
        <w:pStyle w:val="Caption"/>
        <w:spacing w:before="0" w:line="276" w:lineRule="auto"/>
        <w:ind w:right="-153"/>
        <w:jc w:val="both"/>
        <w:rPr>
          <w:rFonts w:cs="Times New Roman"/>
        </w:rPr>
      </w:pPr>
      <w:r w:rsidRPr="00610B1B">
        <w:rPr>
          <w:rFonts w:cs="Times New Roman"/>
          <w:noProof/>
          <w:lang w:eastAsia="bg-BG" w:bidi="ar-SA"/>
        </w:rPr>
        <w:drawing>
          <wp:inline distT="0" distB="0" distL="0" distR="0" wp14:anchorId="763C6D61" wp14:editId="356AD4CB">
            <wp:extent cx="4962525" cy="351790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2525" cy="3517900"/>
                    </a:xfrm>
                    <a:prstGeom prst="rect">
                      <a:avLst/>
                    </a:prstGeom>
                    <a:noFill/>
                  </pic:spPr>
                </pic:pic>
              </a:graphicData>
            </a:graphic>
          </wp:inline>
        </w:drawing>
      </w:r>
    </w:p>
    <w:p w14:paraId="2CE2C5CC" w14:textId="48EDE2CE" w:rsidR="00796354" w:rsidRPr="00610B1B" w:rsidRDefault="009D4A0E" w:rsidP="00D32D6A">
      <w:pPr>
        <w:pStyle w:val="ae"/>
        <w:spacing w:before="0" w:line="276" w:lineRule="auto"/>
        <w:ind w:right="-153"/>
        <w:jc w:val="both"/>
        <w:rPr>
          <w:rStyle w:val="Hyperlink"/>
          <w:rFonts w:cs="Times New Roman"/>
          <w:sz w:val="22"/>
          <w:szCs w:val="22"/>
        </w:rPr>
      </w:pPr>
      <w:r w:rsidRPr="00610B1B">
        <w:rPr>
          <w:rFonts w:cs="Times New Roman"/>
          <w:sz w:val="22"/>
          <w:szCs w:val="22"/>
        </w:rPr>
        <w:t xml:space="preserve">Източник: </w:t>
      </w:r>
      <w:r w:rsidR="00565DC5" w:rsidRPr="00610B1B">
        <w:rPr>
          <w:rStyle w:val="a2"/>
          <w:rFonts w:cs="Times New Roman"/>
          <w:i w:val="0"/>
          <w:iCs w:val="0"/>
          <w:sz w:val="22"/>
          <w:szCs w:val="22"/>
        </w:rPr>
        <w:t xml:space="preserve">EMODnet Human Activties: </w:t>
      </w:r>
      <w:hyperlink r:id="rId26" w:history="1">
        <w:r w:rsidR="00565DC5" w:rsidRPr="00610B1B">
          <w:rPr>
            <w:rStyle w:val="Hyperlink"/>
            <w:rFonts w:cs="Times New Roman"/>
            <w:sz w:val="22"/>
            <w:szCs w:val="22"/>
          </w:rPr>
          <w:t>https://www.emodnet-humanactivities.eu/</w:t>
        </w:r>
      </w:hyperlink>
      <w:r w:rsidR="00565DC5" w:rsidRPr="00610B1B">
        <w:rPr>
          <w:rStyle w:val="a2"/>
          <w:rFonts w:cs="Times New Roman"/>
          <w:i w:val="0"/>
          <w:iCs w:val="0"/>
          <w:sz w:val="22"/>
          <w:szCs w:val="22"/>
        </w:rPr>
        <w:t xml:space="preserve"> </w:t>
      </w:r>
    </w:p>
    <w:p w14:paraId="5C77E7C4" w14:textId="5E714E50" w:rsidR="00A625F5" w:rsidRPr="00610B1B" w:rsidRDefault="003F5D95" w:rsidP="00D32D6A">
      <w:pPr>
        <w:widowControl w:val="0"/>
        <w:spacing w:after="120"/>
        <w:ind w:right="-153"/>
        <w:jc w:val="both"/>
        <w:rPr>
          <w:rFonts w:ascii="Times New Roman" w:hAnsi="Times New Roman" w:cs="Times New Roman"/>
          <w:i/>
          <w:iCs/>
          <w:sz w:val="24"/>
          <w:szCs w:val="24"/>
          <w:lang w:val="bg-BG"/>
        </w:rPr>
      </w:pPr>
      <w:r w:rsidRPr="00610B1B">
        <w:rPr>
          <w:rFonts w:ascii="Times New Roman" w:hAnsi="Times New Roman" w:cs="Times New Roman"/>
          <w:sz w:val="24"/>
          <w:szCs w:val="24"/>
          <w:lang w:val="bg-BG"/>
        </w:rPr>
        <w:lastRenderedPageBreak/>
        <w:t>Сред основните</w:t>
      </w:r>
      <w:r w:rsidR="00C415D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проблеми за рибните популации в Черно море е и интензивният риболовен натиск. С цел намаляване на този натиск през 2018 и 2019 г. са предприети мерки, свързани с незаконния, недеклариран и нерегулиран риболов. Местообитанията на дънните видове риби се унищожават преди всичко</w:t>
      </w:r>
      <w:r w:rsidR="00C415D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поради тралене и драгиране.</w:t>
      </w:r>
      <w:r w:rsidR="00A625F5" w:rsidRPr="00610B1B">
        <w:rPr>
          <w:rFonts w:ascii="Times New Roman" w:hAnsi="Times New Roman" w:cs="Times New Roman"/>
          <w:sz w:val="24"/>
          <w:szCs w:val="24"/>
          <w:lang w:val="bg-BG"/>
        </w:rPr>
        <w:t xml:space="preserve">Районите с най-значителен натиск от морския риболов са съсредоточени в акваторията около двата големи залива по българското Черноморско крайбрежие, където са разположени риболовните флотилии. Въз основа на данните от </w:t>
      </w:r>
      <w:r w:rsidR="00A625F5" w:rsidRPr="00610B1B">
        <w:rPr>
          <w:rStyle w:val="a2"/>
          <w:rFonts w:ascii="Times New Roman" w:hAnsi="Times New Roman" w:cs="Times New Roman"/>
          <w:i w:val="0"/>
          <w:iCs w:val="0"/>
          <w:sz w:val="24"/>
          <w:szCs w:val="24"/>
          <w:lang w:val="bg-BG"/>
        </w:rPr>
        <w:t>EMODnet</w:t>
      </w:r>
      <w:r w:rsidR="00A625F5" w:rsidRPr="00610B1B">
        <w:rPr>
          <w:rStyle w:val="a2"/>
          <w:rFonts w:ascii="Times New Roman" w:hAnsi="Times New Roman" w:cs="Times New Roman"/>
          <w:sz w:val="24"/>
          <w:szCs w:val="24"/>
          <w:lang w:val="bg-BG"/>
        </w:rPr>
        <w:t xml:space="preserve"> </w:t>
      </w:r>
      <w:r w:rsidR="00A625F5" w:rsidRPr="00610B1B">
        <w:rPr>
          <w:rStyle w:val="a2"/>
          <w:rFonts w:ascii="Times New Roman" w:hAnsi="Times New Roman" w:cs="Times New Roman"/>
          <w:i w:val="0"/>
          <w:iCs w:val="0"/>
          <w:sz w:val="24"/>
          <w:szCs w:val="24"/>
          <w:lang w:val="bg-BG"/>
        </w:rPr>
        <w:t>през 2017 г. дейността на риболовните кораби е съсредоточена в два района: северен, в акваторията от нос Калиакра на север до устието на р. Камчия на юг и южен – обхващащ акваторията на Бургаския залив и достигащ на юг до Маслен нос.</w:t>
      </w:r>
    </w:p>
    <w:p w14:paraId="0EF1ADED" w14:textId="4D0A8E2A" w:rsidR="00796354" w:rsidRPr="00610B1B" w:rsidRDefault="00A625F5" w:rsidP="00D32D6A">
      <w:pPr>
        <w:widowControl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w:t>
      </w:r>
      <w:r w:rsidR="00796354" w:rsidRPr="00610B1B">
        <w:rPr>
          <w:rFonts w:ascii="Times New Roman" w:hAnsi="Times New Roman" w:cs="Times New Roman"/>
          <w:sz w:val="24"/>
          <w:szCs w:val="24"/>
          <w:lang w:val="bg-BG"/>
        </w:rPr>
        <w:t xml:space="preserve"> период</w:t>
      </w:r>
      <w:r w:rsidRPr="00610B1B">
        <w:rPr>
          <w:rFonts w:ascii="Times New Roman" w:hAnsi="Times New Roman" w:cs="Times New Roman"/>
          <w:sz w:val="24"/>
          <w:szCs w:val="24"/>
          <w:lang w:val="bg-BG"/>
        </w:rPr>
        <w:t>а</w:t>
      </w:r>
      <w:r w:rsidR="00796354" w:rsidRPr="00610B1B">
        <w:rPr>
          <w:rFonts w:ascii="Times New Roman" w:hAnsi="Times New Roman" w:cs="Times New Roman"/>
          <w:sz w:val="24"/>
          <w:szCs w:val="24"/>
          <w:lang w:val="bg-BG"/>
        </w:rPr>
        <w:t xml:space="preserve"> 2006-2011 г. в „добро“ състояние от видовете, които са обект на </w:t>
      </w:r>
      <w:r w:rsidR="00DD6CD4" w:rsidRPr="00610B1B">
        <w:rPr>
          <w:rFonts w:ascii="Times New Roman" w:hAnsi="Times New Roman" w:cs="Times New Roman"/>
          <w:sz w:val="24"/>
          <w:szCs w:val="24"/>
          <w:lang w:val="bg-BG"/>
        </w:rPr>
        <w:t>стопански риболов</w:t>
      </w:r>
      <w:r w:rsidR="00796354" w:rsidRPr="00610B1B">
        <w:rPr>
          <w:rFonts w:ascii="Times New Roman" w:hAnsi="Times New Roman" w:cs="Times New Roman"/>
          <w:sz w:val="24"/>
          <w:szCs w:val="24"/>
          <w:lang w:val="bg-BG"/>
        </w:rPr>
        <w:t xml:space="preserve"> по някои от индикатори е само трицоната (</w:t>
      </w:r>
      <w:r w:rsidR="00796354" w:rsidRPr="00610B1B">
        <w:rPr>
          <w:rFonts w:ascii="Times New Roman" w:hAnsi="Times New Roman" w:cs="Times New Roman"/>
          <w:i/>
          <w:iCs/>
          <w:sz w:val="24"/>
          <w:szCs w:val="24"/>
          <w:lang w:val="bg-BG"/>
        </w:rPr>
        <w:t>Sprattus sprattus</w:t>
      </w:r>
      <w:r w:rsidR="00796354" w:rsidRPr="00610B1B">
        <w:rPr>
          <w:rFonts w:ascii="Times New Roman" w:hAnsi="Times New Roman" w:cs="Times New Roman"/>
          <w:sz w:val="24"/>
          <w:szCs w:val="24"/>
          <w:lang w:val="bg-BG"/>
        </w:rPr>
        <w:t>). Останалите 3 вида, за които има данни и индикатори за добро състояние: сафрид (</w:t>
      </w:r>
      <w:r w:rsidR="00796354" w:rsidRPr="00610B1B">
        <w:rPr>
          <w:rFonts w:ascii="Times New Roman" w:hAnsi="Times New Roman" w:cs="Times New Roman"/>
          <w:i/>
          <w:iCs/>
          <w:sz w:val="24"/>
          <w:szCs w:val="24"/>
          <w:lang w:val="bg-BG"/>
        </w:rPr>
        <w:t>T. mediterraneus</w:t>
      </w:r>
      <w:r w:rsidR="00796354" w:rsidRPr="00610B1B">
        <w:rPr>
          <w:rFonts w:ascii="Times New Roman" w:hAnsi="Times New Roman" w:cs="Times New Roman"/>
          <w:sz w:val="24"/>
          <w:szCs w:val="24"/>
          <w:lang w:val="bg-BG"/>
        </w:rPr>
        <w:t>), меджид (</w:t>
      </w:r>
      <w:r w:rsidR="00796354" w:rsidRPr="00610B1B">
        <w:rPr>
          <w:rFonts w:ascii="Times New Roman" w:hAnsi="Times New Roman" w:cs="Times New Roman"/>
          <w:i/>
          <w:iCs/>
          <w:sz w:val="24"/>
          <w:szCs w:val="24"/>
          <w:lang w:val="bg-BG"/>
        </w:rPr>
        <w:t>M. merlangus</w:t>
      </w:r>
      <w:r w:rsidR="00796354" w:rsidRPr="00610B1B">
        <w:rPr>
          <w:rFonts w:ascii="Times New Roman" w:hAnsi="Times New Roman" w:cs="Times New Roman"/>
          <w:sz w:val="24"/>
          <w:szCs w:val="24"/>
          <w:lang w:val="bg-BG"/>
        </w:rPr>
        <w:t>) и барбуня (</w:t>
      </w:r>
      <w:r w:rsidR="00796354" w:rsidRPr="00610B1B">
        <w:rPr>
          <w:rFonts w:ascii="Times New Roman" w:hAnsi="Times New Roman" w:cs="Times New Roman"/>
          <w:i/>
          <w:iCs/>
          <w:sz w:val="24"/>
          <w:szCs w:val="24"/>
          <w:lang w:val="bg-BG"/>
        </w:rPr>
        <w:t>M. barbatus</w:t>
      </w:r>
      <w:r w:rsidR="00796354" w:rsidRPr="00610B1B">
        <w:rPr>
          <w:rFonts w:ascii="Times New Roman" w:hAnsi="Times New Roman" w:cs="Times New Roman"/>
          <w:sz w:val="24"/>
          <w:szCs w:val="24"/>
          <w:lang w:val="bg-BG"/>
        </w:rPr>
        <w:t xml:space="preserve">), </w:t>
      </w:r>
      <w:r w:rsidR="00782B42" w:rsidRPr="00610B1B">
        <w:rPr>
          <w:rFonts w:ascii="Times New Roman" w:hAnsi="Times New Roman" w:cs="Times New Roman"/>
          <w:sz w:val="24"/>
          <w:szCs w:val="24"/>
          <w:lang w:val="bg-BG"/>
        </w:rPr>
        <w:t xml:space="preserve">състоянието не е </w:t>
      </w:r>
      <w:r w:rsidR="00796354" w:rsidRPr="00610B1B">
        <w:rPr>
          <w:rFonts w:ascii="Times New Roman" w:hAnsi="Times New Roman" w:cs="Times New Roman"/>
          <w:sz w:val="24"/>
          <w:szCs w:val="24"/>
          <w:lang w:val="bg-BG"/>
        </w:rPr>
        <w:t>добро, а за останалите 5 вида, посочени в програмата за мониторинг по дескриптор 3</w:t>
      </w:r>
      <w:r w:rsidR="009E14CB" w:rsidRPr="00610B1B">
        <w:rPr>
          <w:rFonts w:ascii="Times New Roman" w:hAnsi="Times New Roman" w:cs="Times New Roman"/>
          <w:sz w:val="24"/>
          <w:szCs w:val="24"/>
          <w:lang w:val="bg-BG"/>
        </w:rPr>
        <w:t>,</w:t>
      </w:r>
      <w:r w:rsidR="00796354" w:rsidRPr="00610B1B">
        <w:rPr>
          <w:rFonts w:ascii="Times New Roman" w:hAnsi="Times New Roman" w:cs="Times New Roman"/>
          <w:sz w:val="24"/>
          <w:szCs w:val="24"/>
          <w:lang w:val="bg-BG"/>
        </w:rPr>
        <w:t xml:space="preserve"> състоянието не може да бъде определено</w:t>
      </w:r>
      <w:r w:rsidR="00782B42" w:rsidRPr="00610B1B">
        <w:rPr>
          <w:rFonts w:ascii="Times New Roman" w:hAnsi="Times New Roman" w:cs="Times New Roman"/>
          <w:sz w:val="24"/>
          <w:szCs w:val="24"/>
          <w:lang w:val="bg-BG"/>
        </w:rPr>
        <w:t>,</w:t>
      </w:r>
      <w:r w:rsidR="00796354" w:rsidRPr="00610B1B">
        <w:rPr>
          <w:rFonts w:ascii="Times New Roman" w:hAnsi="Times New Roman" w:cs="Times New Roman"/>
          <w:sz w:val="24"/>
          <w:szCs w:val="24"/>
          <w:lang w:val="bg-BG"/>
        </w:rPr>
        <w:t xml:space="preserve"> поради липсата на данни или изведени стойности на съответните индикатори. </w:t>
      </w:r>
    </w:p>
    <w:p w14:paraId="68AA046F" w14:textId="2726634F" w:rsidR="00796354" w:rsidRPr="00610B1B" w:rsidRDefault="00796354" w:rsidP="00D32D6A">
      <w:pPr>
        <w:widowControl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През 2018 г. за първи път е извършен мониторинг на риби, които не са обект на </w:t>
      </w:r>
      <w:r w:rsidR="00DD6CD4" w:rsidRPr="00610B1B">
        <w:rPr>
          <w:rFonts w:ascii="Times New Roman" w:hAnsi="Times New Roman" w:cs="Times New Roman"/>
          <w:sz w:val="24"/>
          <w:szCs w:val="24"/>
          <w:lang w:val="bg-BG"/>
        </w:rPr>
        <w:t>стопански риболов</w:t>
      </w:r>
      <w:r w:rsidRPr="00610B1B">
        <w:rPr>
          <w:rFonts w:ascii="Times New Roman" w:hAnsi="Times New Roman" w:cs="Times New Roman"/>
          <w:sz w:val="24"/>
          <w:szCs w:val="24"/>
          <w:lang w:val="bg-BG"/>
        </w:rPr>
        <w:t>. От 21 вида, 2</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вида са в добро състояние: (</w:t>
      </w:r>
      <w:r w:rsidRPr="00610B1B">
        <w:rPr>
          <w:rFonts w:ascii="Times New Roman" w:hAnsi="Times New Roman" w:cs="Times New Roman"/>
          <w:i/>
          <w:iCs/>
          <w:sz w:val="24"/>
          <w:szCs w:val="24"/>
          <w:lang w:val="bg-BG"/>
        </w:rPr>
        <w:t>Hippocampus guttulatus</w:t>
      </w:r>
      <w:r w:rsidRPr="00610B1B">
        <w:rPr>
          <w:rFonts w:ascii="Times New Roman" w:hAnsi="Times New Roman" w:cs="Times New Roman"/>
          <w:sz w:val="24"/>
          <w:szCs w:val="24"/>
          <w:lang w:val="bg-BG"/>
        </w:rPr>
        <w:t xml:space="preserve"> Cuvier, 1829) и морски дракон (</w:t>
      </w:r>
      <w:r w:rsidRPr="00610B1B">
        <w:rPr>
          <w:rFonts w:ascii="Times New Roman" w:hAnsi="Times New Roman" w:cs="Times New Roman"/>
          <w:i/>
          <w:iCs/>
          <w:sz w:val="24"/>
          <w:szCs w:val="24"/>
          <w:lang w:val="bg-BG"/>
        </w:rPr>
        <w:t>Trachinus draco</w:t>
      </w:r>
      <w:r w:rsidRPr="00610B1B">
        <w:rPr>
          <w:rFonts w:ascii="Times New Roman" w:hAnsi="Times New Roman" w:cs="Times New Roman"/>
          <w:sz w:val="24"/>
          <w:szCs w:val="24"/>
          <w:lang w:val="bg-BG"/>
        </w:rPr>
        <w:t xml:space="preserve"> Linnaeus, 1758), а за останалите 15 вида състоянието </w:t>
      </w:r>
      <w:r w:rsidR="00782B42" w:rsidRPr="00610B1B">
        <w:rPr>
          <w:rFonts w:ascii="Times New Roman" w:hAnsi="Times New Roman" w:cs="Times New Roman"/>
          <w:sz w:val="24"/>
          <w:szCs w:val="24"/>
          <w:lang w:val="bg-BG"/>
        </w:rPr>
        <w:t xml:space="preserve">не </w:t>
      </w:r>
      <w:r w:rsidRPr="00610B1B">
        <w:rPr>
          <w:rFonts w:ascii="Times New Roman" w:hAnsi="Times New Roman" w:cs="Times New Roman"/>
          <w:sz w:val="24"/>
          <w:szCs w:val="24"/>
          <w:lang w:val="bg-BG"/>
        </w:rPr>
        <w:t>е добро. Липсата на исторически данни, ограниченият пространствен обхват на мониторинг</w:t>
      </w:r>
      <w:r w:rsidR="003A13CE" w:rsidRPr="00610B1B">
        <w:rPr>
          <w:rFonts w:ascii="Times New Roman" w:hAnsi="Times New Roman" w:cs="Times New Roman"/>
          <w:sz w:val="24"/>
          <w:szCs w:val="24"/>
          <w:lang w:val="bg-BG"/>
        </w:rPr>
        <w:t>а</w:t>
      </w:r>
      <w:r w:rsidRPr="00610B1B">
        <w:rPr>
          <w:rFonts w:ascii="Times New Roman" w:hAnsi="Times New Roman" w:cs="Times New Roman"/>
          <w:sz w:val="24"/>
          <w:szCs w:val="24"/>
          <w:lang w:val="bg-BG"/>
        </w:rPr>
        <w:t xml:space="preserve"> и недостигът на информация за рибните съобщества в зависимост от типа на местообитанията, ареала на разпространение на видовете, както и числеността и демографската структура на популациите, възпрепятстват прилагането на индикаторите за оценка на напредъка към постигането на добро екологично състояние. </w:t>
      </w:r>
    </w:p>
    <w:p w14:paraId="3F124B5F" w14:textId="2E6E4806" w:rsidR="003A13CE" w:rsidRPr="00610B1B" w:rsidRDefault="003A13CE" w:rsidP="00D32D6A">
      <w:pPr>
        <w:pStyle w:val="BodyText"/>
        <w:spacing w:before="0" w:after="120" w:line="276" w:lineRule="auto"/>
        <w:ind w:right="-153"/>
        <w:rPr>
          <w:rFonts w:cs="Times New Roman"/>
        </w:rPr>
      </w:pPr>
      <w:r w:rsidRPr="00610B1B">
        <w:rPr>
          <w:rFonts w:cs="Times New Roman"/>
        </w:rPr>
        <w:t>Допълнителни проблеми са отпадъците, поглъщането на микроотпадъци или заплитането в морски отпадъци (изоставени мрежи) и подводния шум. Въздействието на някои от тези източници на натиск (морски отпадъци, подводен шум) все още не е добре изучено, но съществува, което изисква прилагането на програмите от мерки, определени в Морската стратегия на Р</w:t>
      </w:r>
      <w:r w:rsidR="009E14CB" w:rsidRPr="00610B1B">
        <w:rPr>
          <w:rFonts w:cs="Times New Roman"/>
        </w:rPr>
        <w:t>.</w:t>
      </w:r>
      <w:r w:rsidRPr="00610B1B">
        <w:rPr>
          <w:rFonts w:cs="Times New Roman"/>
        </w:rPr>
        <w:t xml:space="preserve"> България. Пространствено, разпределението на въздействието е неравномерно – то е най-силно във Варненския и Бургаския залив, както и между Варна и Каварна, където са разположени най-значителните източници на натиск.</w:t>
      </w:r>
    </w:p>
    <w:p w14:paraId="741AB038" w14:textId="04CA7683" w:rsidR="009D4A0E" w:rsidRPr="00610B1B" w:rsidRDefault="00C778B8" w:rsidP="00D32D6A">
      <w:pPr>
        <w:pStyle w:val="BodyText"/>
        <w:spacing w:before="0" w:after="120" w:line="276" w:lineRule="auto"/>
        <w:ind w:right="-153"/>
        <w:rPr>
          <w:rFonts w:cs="Times New Roman"/>
        </w:rPr>
      </w:pPr>
      <w:r w:rsidRPr="00610B1B">
        <w:rPr>
          <w:rFonts w:cs="Times New Roman"/>
        </w:rPr>
        <w:t xml:space="preserve">Основните </w:t>
      </w:r>
      <w:r w:rsidRPr="00610B1B">
        <w:rPr>
          <w:rFonts w:cs="Times New Roman"/>
          <w:b/>
          <w:bCs/>
        </w:rPr>
        <w:t xml:space="preserve">изводи </w:t>
      </w:r>
      <w:r w:rsidRPr="00610B1B">
        <w:rPr>
          <w:rFonts w:cs="Times New Roman"/>
        </w:rPr>
        <w:t>от и</w:t>
      </w:r>
      <w:r w:rsidR="00796354" w:rsidRPr="00610B1B">
        <w:rPr>
          <w:rFonts w:cs="Times New Roman"/>
        </w:rPr>
        <w:t>дентифицираните проблеми и</w:t>
      </w:r>
      <w:r w:rsidR="00A03FE9" w:rsidRPr="00610B1B">
        <w:rPr>
          <w:rFonts w:cs="Times New Roman"/>
          <w:b/>
        </w:rPr>
        <w:t xml:space="preserve"> </w:t>
      </w:r>
      <w:r w:rsidR="00A03FE9" w:rsidRPr="00610B1B">
        <w:rPr>
          <w:rFonts w:cs="Times New Roman"/>
          <w:bCs/>
        </w:rPr>
        <w:t>трудности в опазването на рибните ресурси</w:t>
      </w:r>
      <w:r w:rsidRPr="00610B1B">
        <w:rPr>
          <w:rFonts w:cs="Times New Roman"/>
          <w:bCs/>
        </w:rPr>
        <w:t xml:space="preserve"> и тяхното изследване, освен изброените по-горе, са за липса на </w:t>
      </w:r>
      <w:r w:rsidR="009D4A0E" w:rsidRPr="00610B1B">
        <w:rPr>
          <w:rFonts w:cs="Times New Roman"/>
        </w:rPr>
        <w:t>данни от мониторинг и гранични стойности на индикаторите за добро състояние</w:t>
      </w:r>
      <w:r w:rsidRPr="00610B1B">
        <w:rPr>
          <w:rFonts w:cs="Times New Roman"/>
        </w:rPr>
        <w:t>, което</w:t>
      </w:r>
      <w:r w:rsidR="009D4A0E" w:rsidRPr="00610B1B">
        <w:rPr>
          <w:rFonts w:cs="Times New Roman"/>
        </w:rPr>
        <w:t xml:space="preserve"> не позволява оценка на състоянието на някои видове риби,</w:t>
      </w:r>
      <w:r w:rsidR="00D66FE0" w:rsidRPr="00610B1B">
        <w:rPr>
          <w:rFonts w:cs="Times New Roman"/>
        </w:rPr>
        <w:t xml:space="preserve"> </w:t>
      </w:r>
      <w:r w:rsidR="009D4A0E" w:rsidRPr="00610B1B">
        <w:rPr>
          <w:rFonts w:cs="Times New Roman"/>
        </w:rPr>
        <w:t xml:space="preserve">обект на </w:t>
      </w:r>
      <w:r w:rsidR="00DD6CD4" w:rsidRPr="00610B1B">
        <w:rPr>
          <w:rFonts w:cs="Times New Roman"/>
        </w:rPr>
        <w:t>стопански риболов</w:t>
      </w:r>
      <w:r w:rsidR="009D4A0E" w:rsidRPr="00610B1B">
        <w:rPr>
          <w:rFonts w:cs="Times New Roman"/>
        </w:rPr>
        <w:t>.</w:t>
      </w:r>
      <w:r w:rsidRPr="00610B1B">
        <w:rPr>
          <w:rFonts w:cs="Times New Roman"/>
        </w:rPr>
        <w:t xml:space="preserve"> Допълнител</w:t>
      </w:r>
      <w:r w:rsidR="00A11253" w:rsidRPr="00610B1B">
        <w:rPr>
          <w:rFonts w:cs="Times New Roman"/>
        </w:rPr>
        <w:t>е</w:t>
      </w:r>
      <w:r w:rsidRPr="00610B1B">
        <w:rPr>
          <w:rFonts w:cs="Times New Roman"/>
        </w:rPr>
        <w:t xml:space="preserve">н проблем е липсата на </w:t>
      </w:r>
      <w:r w:rsidR="009D4A0E" w:rsidRPr="00610B1B">
        <w:rPr>
          <w:rFonts w:cs="Times New Roman"/>
        </w:rPr>
        <w:t xml:space="preserve">исторически данни на индексите за разнообразието на видовете риби, които не са обект на </w:t>
      </w:r>
      <w:r w:rsidR="00DD6CD4" w:rsidRPr="00610B1B">
        <w:rPr>
          <w:rFonts w:cs="Times New Roman"/>
        </w:rPr>
        <w:t>стопански риболов</w:t>
      </w:r>
      <w:r w:rsidR="009D4A0E" w:rsidRPr="00610B1B">
        <w:rPr>
          <w:rFonts w:cs="Times New Roman"/>
        </w:rPr>
        <w:t xml:space="preserve"> в трите зони на оценка – крайбрежна, шелфова и дълбоководна.</w:t>
      </w:r>
      <w:r w:rsidRPr="00610B1B">
        <w:rPr>
          <w:rFonts w:cs="Times New Roman"/>
        </w:rPr>
        <w:t xml:space="preserve"> </w:t>
      </w:r>
      <w:r w:rsidR="00A11253" w:rsidRPr="00610B1B">
        <w:rPr>
          <w:rFonts w:cs="Times New Roman"/>
        </w:rPr>
        <w:t>Не достигат</w:t>
      </w:r>
      <w:r w:rsidRPr="00610B1B">
        <w:rPr>
          <w:rFonts w:cs="Times New Roman"/>
        </w:rPr>
        <w:t xml:space="preserve"> </w:t>
      </w:r>
      <w:r w:rsidR="009D4A0E" w:rsidRPr="00610B1B">
        <w:rPr>
          <w:rFonts w:cs="Times New Roman"/>
        </w:rPr>
        <w:t xml:space="preserve">данни за структурата на съобщества на видовете риби, които не са обект на </w:t>
      </w:r>
      <w:r w:rsidR="00DD6CD4" w:rsidRPr="00610B1B">
        <w:rPr>
          <w:rFonts w:cs="Times New Roman"/>
        </w:rPr>
        <w:t>стопански риболов</w:t>
      </w:r>
      <w:r w:rsidR="009D4A0E" w:rsidRPr="00610B1B">
        <w:rPr>
          <w:rFonts w:cs="Times New Roman"/>
        </w:rPr>
        <w:t>, в зависимост от типа на местообитанията, ареала на разпространение на видовете, числеността и демографската структура на техните популации.</w:t>
      </w:r>
    </w:p>
    <w:p w14:paraId="2E453841" w14:textId="077E307E" w:rsidR="00112630" w:rsidRPr="00610B1B" w:rsidRDefault="001F7694" w:rsidP="00D32D6A">
      <w:pPr>
        <w:pStyle w:val="BodyText"/>
        <w:spacing w:before="0" w:after="120" w:line="276" w:lineRule="auto"/>
        <w:ind w:right="-153"/>
        <w:rPr>
          <w:rFonts w:cs="Times New Roman"/>
        </w:rPr>
      </w:pPr>
      <w:r w:rsidRPr="00610B1B">
        <w:rPr>
          <w:rFonts w:cs="Times New Roman"/>
        </w:rPr>
        <w:t xml:space="preserve">От решаващо значение за подобряване на състоянието е </w:t>
      </w:r>
      <w:r w:rsidR="00C778B8" w:rsidRPr="00610B1B">
        <w:rPr>
          <w:rFonts w:cs="Times New Roman"/>
        </w:rPr>
        <w:t xml:space="preserve">повишаване качеството на </w:t>
      </w:r>
      <w:r w:rsidR="00C778B8" w:rsidRPr="00610B1B">
        <w:rPr>
          <w:rFonts w:cs="Times New Roman"/>
        </w:rPr>
        <w:lastRenderedPageBreak/>
        <w:t xml:space="preserve">информационната осигуреност, обхвата на приложните изследвания и наблюдението и </w:t>
      </w:r>
      <w:r w:rsidRPr="00610B1B">
        <w:rPr>
          <w:rFonts w:cs="Times New Roman"/>
        </w:rPr>
        <w:t>прилагането на мерки срещу незаконния риболов и източниците на замърсяване, тъй като те въздействат върху всички видове риби.</w:t>
      </w:r>
      <w:r w:rsidR="00C778B8" w:rsidRPr="00610B1B">
        <w:rPr>
          <w:rFonts w:cs="Times New Roman"/>
        </w:rPr>
        <w:t xml:space="preserve"> </w:t>
      </w:r>
      <w:r w:rsidR="00112630" w:rsidRPr="00610B1B">
        <w:rPr>
          <w:rFonts w:cs="Times New Roman"/>
        </w:rPr>
        <w:t xml:space="preserve">Част от тези мерки включват определяне на зони за защита в крайбрежните води на видовете риби, които са обект на </w:t>
      </w:r>
      <w:r w:rsidR="00DD6CD4" w:rsidRPr="00610B1B">
        <w:rPr>
          <w:rFonts w:cs="Times New Roman"/>
        </w:rPr>
        <w:t>стопански риболов</w:t>
      </w:r>
      <w:r w:rsidR="00112630" w:rsidRPr="00610B1B">
        <w:rPr>
          <w:rFonts w:cs="Times New Roman"/>
        </w:rPr>
        <w:t>, в които се прилагат временни забрани за риболов.</w:t>
      </w:r>
    </w:p>
    <w:p w14:paraId="688D4AF5" w14:textId="67C2397B" w:rsidR="00A03FE9" w:rsidRPr="00610B1B" w:rsidRDefault="001F7694" w:rsidP="00D32D6A">
      <w:pPr>
        <w:pStyle w:val="Heading4"/>
        <w:spacing w:before="0" w:line="276" w:lineRule="auto"/>
        <w:ind w:right="-153"/>
        <w:rPr>
          <w:rFonts w:cs="Times New Roman"/>
        </w:rPr>
      </w:pPr>
      <w:r w:rsidRPr="00610B1B">
        <w:rPr>
          <w:rFonts w:cs="Times New Roman"/>
        </w:rPr>
        <w:t xml:space="preserve"> </w:t>
      </w:r>
      <w:r w:rsidR="00A03FE9" w:rsidRPr="00610B1B">
        <w:rPr>
          <w:rFonts w:cs="Times New Roman"/>
        </w:rPr>
        <w:t xml:space="preserve">2.2.4.4. </w:t>
      </w:r>
      <w:r w:rsidR="009D4A0E" w:rsidRPr="00610B1B">
        <w:rPr>
          <w:rFonts w:cs="Times New Roman"/>
        </w:rPr>
        <w:t>Морски бозайници</w:t>
      </w:r>
    </w:p>
    <w:p w14:paraId="25F4C88B" w14:textId="77777777" w:rsidR="00BF2A7D" w:rsidRPr="00610B1B" w:rsidRDefault="009D4A0E" w:rsidP="00BF2A7D">
      <w:pPr>
        <w:pStyle w:val="BodyText"/>
        <w:spacing w:after="120"/>
        <w:ind w:right="-153"/>
        <w:rPr>
          <w:rFonts w:cs="Times New Roman"/>
        </w:rPr>
      </w:pPr>
      <w:r w:rsidRPr="00610B1B">
        <w:rPr>
          <w:rFonts w:cs="Times New Roman"/>
        </w:rPr>
        <w:t>В Черно море и морските пространства на Р</w:t>
      </w:r>
      <w:r w:rsidR="00A03FE9" w:rsidRPr="00610B1B">
        <w:rPr>
          <w:rFonts w:cs="Times New Roman"/>
        </w:rPr>
        <w:t>.</w:t>
      </w:r>
      <w:r w:rsidRPr="00610B1B">
        <w:rPr>
          <w:rFonts w:cs="Times New Roman"/>
        </w:rPr>
        <w:t xml:space="preserve"> България </w:t>
      </w:r>
      <w:r w:rsidR="00D14F3C" w:rsidRPr="00610B1B">
        <w:rPr>
          <w:rFonts w:cs="Times New Roman"/>
        </w:rPr>
        <w:t>са разпространени три вида морски бозайници: Афала (</w:t>
      </w:r>
      <w:r w:rsidR="00D14F3C" w:rsidRPr="00610B1B">
        <w:rPr>
          <w:rFonts w:cs="Times New Roman"/>
          <w:i/>
          <w:iCs/>
        </w:rPr>
        <w:t>Tursiops truncatus ponticus</w:t>
      </w:r>
      <w:r w:rsidR="00D14F3C" w:rsidRPr="00610B1B">
        <w:rPr>
          <w:rFonts w:cs="Times New Roman"/>
        </w:rPr>
        <w:t xml:space="preserve"> Barabas</w:t>
      </w:r>
      <w:r w:rsidR="00D93652" w:rsidRPr="00610B1B">
        <w:rPr>
          <w:rFonts w:cs="Times New Roman"/>
        </w:rPr>
        <w:t>c</w:t>
      </w:r>
      <w:r w:rsidR="00D14F3C" w:rsidRPr="00610B1B">
        <w:rPr>
          <w:rFonts w:cs="Times New Roman"/>
        </w:rPr>
        <w:t>h-Nikiforov, 1940)</w:t>
      </w:r>
      <w:r w:rsidR="00E956B6" w:rsidRPr="00610B1B">
        <w:rPr>
          <w:rFonts w:cs="Times New Roman"/>
        </w:rPr>
        <w:t xml:space="preserve">; </w:t>
      </w:r>
      <w:r w:rsidR="00D14F3C" w:rsidRPr="00610B1B">
        <w:rPr>
          <w:rFonts w:cs="Times New Roman"/>
        </w:rPr>
        <w:t>Обикновен делфин (</w:t>
      </w:r>
      <w:r w:rsidR="00D14F3C" w:rsidRPr="00610B1B">
        <w:rPr>
          <w:rFonts w:cs="Times New Roman"/>
          <w:i/>
          <w:iCs/>
        </w:rPr>
        <w:t>Delphinus delphis ponticus</w:t>
      </w:r>
      <w:r w:rsidR="00D14F3C" w:rsidRPr="00610B1B">
        <w:rPr>
          <w:rFonts w:cs="Times New Roman"/>
        </w:rPr>
        <w:t xml:space="preserve"> Barabasch-Nikiforov, 1935)</w:t>
      </w:r>
      <w:r w:rsidR="00112630" w:rsidRPr="00610B1B">
        <w:rPr>
          <w:rFonts w:cs="Times New Roman"/>
        </w:rPr>
        <w:t xml:space="preserve"> и</w:t>
      </w:r>
      <w:r w:rsidR="00D14F3C" w:rsidRPr="00610B1B">
        <w:rPr>
          <w:rFonts w:cs="Times New Roman"/>
        </w:rPr>
        <w:t xml:space="preserve"> Морска свиня (</w:t>
      </w:r>
      <w:r w:rsidR="00D14F3C" w:rsidRPr="00610B1B">
        <w:rPr>
          <w:rFonts w:cs="Times New Roman"/>
          <w:i/>
          <w:iCs/>
        </w:rPr>
        <w:t>Phocoena relicta</w:t>
      </w:r>
      <w:r w:rsidR="00D14F3C" w:rsidRPr="00610B1B">
        <w:rPr>
          <w:rFonts w:cs="Times New Roman"/>
        </w:rPr>
        <w:t xml:space="preserve"> Abel, 1905). </w:t>
      </w:r>
      <w:r w:rsidR="00E956B6" w:rsidRPr="00610B1B">
        <w:rPr>
          <w:rFonts w:cs="Times New Roman"/>
        </w:rPr>
        <w:t xml:space="preserve">И трите вида са определени в България като уязвими. </w:t>
      </w:r>
      <w:r w:rsidR="00BF2A7D" w:rsidRPr="00610B1B">
        <w:rPr>
          <w:rFonts w:cs="Times New Roman"/>
        </w:rPr>
        <w:t>Ареалите на разпространение на трите вида китоподобни се припокриват. Те включват цялото Черно море, Керченския пролив, южната част на Азовско море, Босфорския пролив, Мраморно море и Дарданелите. Морската свиня обитава крайбрежните води на Черно море и извършва сезонни миграции през Керченския пролив в Азовско море и през Босфора в Мраморно море. Понася води с по-ниска соленост и по-висока мътност, поради което екземпляри могат да бъдат срещнати по теченията на реките Дунав, Днепър и Дон, на значително разстояние от морето. Афалата има подобно разпространение. За разлика от тях, обикновеният делфин е разпространен предимно в откритоморската зона на Черно море, но извършва сезонни миграции, следвайки миграциите на малките пелагични риби, с които се храни.</w:t>
      </w:r>
    </w:p>
    <w:p w14:paraId="12F49D94" w14:textId="321464CE" w:rsidR="00E956B6" w:rsidRPr="00610B1B" w:rsidRDefault="00E956B6" w:rsidP="00D32D6A">
      <w:pPr>
        <w:pStyle w:val="BodyText"/>
        <w:spacing w:before="0" w:after="120" w:line="276" w:lineRule="auto"/>
        <w:ind w:right="-153"/>
        <w:rPr>
          <w:rFonts w:cs="Times New Roman"/>
        </w:rPr>
      </w:pPr>
      <w:r w:rsidRPr="00610B1B">
        <w:rPr>
          <w:rFonts w:cs="Times New Roman"/>
        </w:rPr>
        <w:t xml:space="preserve">Популационната биология на трите вида морски бозайници не е добре изучена. Няма достатъчно данни, за да се направят изводи за числеността, плътността и тенденциите в тяхното изменение. През 2014 г. при изпълнение на проект „Теренни проучвания на разпространение на видове/оценка на състоянието на видове и хабитати на територията на цялата страна – I фаза“ в българската акватория на Черно море са регистрирани 37 индивида </w:t>
      </w:r>
      <w:r w:rsidRPr="00610B1B">
        <w:rPr>
          <w:rFonts w:cs="Times New Roman"/>
          <w:i/>
        </w:rPr>
        <w:t>Tursiops truncatus</w:t>
      </w:r>
      <w:r w:rsidRPr="00610B1B">
        <w:rPr>
          <w:rFonts w:cs="Times New Roman"/>
        </w:rPr>
        <w:t xml:space="preserve">, 142 индивида </w:t>
      </w:r>
      <w:r w:rsidRPr="00610B1B">
        <w:rPr>
          <w:rFonts w:cs="Times New Roman"/>
          <w:i/>
        </w:rPr>
        <w:t>Phocoena phocoena</w:t>
      </w:r>
      <w:r w:rsidRPr="00610B1B">
        <w:rPr>
          <w:rFonts w:cs="Times New Roman"/>
        </w:rPr>
        <w:t xml:space="preserve">, 702 броя </w:t>
      </w:r>
      <w:r w:rsidRPr="00610B1B">
        <w:rPr>
          <w:rFonts w:cs="Times New Roman"/>
          <w:i/>
        </w:rPr>
        <w:t>Delphinus delphis</w:t>
      </w:r>
      <w:r w:rsidRPr="00610B1B">
        <w:rPr>
          <w:rFonts w:cs="Times New Roman"/>
        </w:rPr>
        <w:t>.</w:t>
      </w:r>
      <w:r w:rsidR="00B24265" w:rsidRPr="00610B1B">
        <w:rPr>
          <w:rStyle w:val="FootnoteReference"/>
          <w:rFonts w:cs="Times New Roman"/>
        </w:rPr>
        <w:footnoteReference w:id="84"/>
      </w:r>
    </w:p>
    <w:p w14:paraId="11EF32AC" w14:textId="72DE10BD" w:rsidR="00D14F3C" w:rsidRPr="00610B1B" w:rsidRDefault="00D14F3C" w:rsidP="00D32D6A">
      <w:pPr>
        <w:pStyle w:val="BodyText"/>
        <w:spacing w:before="0" w:after="120" w:line="276" w:lineRule="auto"/>
        <w:ind w:right="-153"/>
        <w:rPr>
          <w:rFonts w:cs="Times New Roman"/>
        </w:rPr>
      </w:pPr>
      <w:r w:rsidRPr="00610B1B">
        <w:rPr>
          <w:rFonts w:cs="Times New Roman"/>
        </w:rPr>
        <w:t>Оценката на състоянието е направена въз основа на наблюдения върху популационните им характеристики (численост, смъртност) и състояние</w:t>
      </w:r>
      <w:r w:rsidR="00E56F25" w:rsidRPr="00610B1B">
        <w:rPr>
          <w:rFonts w:cs="Times New Roman"/>
        </w:rPr>
        <w:t>то</w:t>
      </w:r>
      <w:r w:rsidRPr="00610B1B">
        <w:rPr>
          <w:rFonts w:cs="Times New Roman"/>
        </w:rPr>
        <w:t xml:space="preserve"> н</w:t>
      </w:r>
      <w:r w:rsidR="0023520B" w:rsidRPr="00610B1B">
        <w:rPr>
          <w:rFonts w:cs="Times New Roman"/>
        </w:rPr>
        <w:t>а</w:t>
      </w:r>
      <w:r w:rsidRPr="00610B1B">
        <w:rPr>
          <w:rFonts w:cs="Times New Roman"/>
        </w:rPr>
        <w:t xml:space="preserve"> местообитанията. Морските бозайници са една от най</w:t>
      </w:r>
      <w:r w:rsidR="00E56F25" w:rsidRPr="00610B1B">
        <w:rPr>
          <w:rFonts w:cs="Times New Roman"/>
        </w:rPr>
        <w:t>-</w:t>
      </w:r>
      <w:r w:rsidRPr="00610B1B">
        <w:rPr>
          <w:rFonts w:cs="Times New Roman"/>
        </w:rPr>
        <w:t>уязвимите екологични функционални груп</w:t>
      </w:r>
      <w:r w:rsidR="00E56F25" w:rsidRPr="00610B1B">
        <w:rPr>
          <w:rFonts w:cs="Times New Roman"/>
        </w:rPr>
        <w:t>и</w:t>
      </w:r>
      <w:r w:rsidRPr="00610B1B">
        <w:rPr>
          <w:rFonts w:cs="Times New Roman"/>
        </w:rPr>
        <w:t>. Като</w:t>
      </w:r>
      <w:r w:rsidR="00DD6F02" w:rsidRPr="00610B1B">
        <w:rPr>
          <w:rFonts w:cs="Times New Roman"/>
        </w:rPr>
        <w:t xml:space="preserve"> </w:t>
      </w:r>
      <w:r w:rsidRPr="00610B1B">
        <w:rPr>
          <w:rFonts w:cs="Times New Roman"/>
        </w:rPr>
        <w:t xml:space="preserve">върховни хищници състоянието им зависи от състоянието на рибните популации и се </w:t>
      </w:r>
      <w:r w:rsidR="00DD6F02" w:rsidRPr="00610B1B">
        <w:rPr>
          <w:rFonts w:cs="Times New Roman"/>
        </w:rPr>
        <w:t>у</w:t>
      </w:r>
      <w:r w:rsidRPr="00610B1B">
        <w:rPr>
          <w:rFonts w:cs="Times New Roman"/>
        </w:rPr>
        <w:t xml:space="preserve">тежнява </w:t>
      </w:r>
      <w:r w:rsidR="00E56F25" w:rsidRPr="00610B1B">
        <w:rPr>
          <w:rFonts w:cs="Times New Roman"/>
        </w:rPr>
        <w:t xml:space="preserve">от </w:t>
      </w:r>
      <w:r w:rsidRPr="00610B1B">
        <w:rPr>
          <w:rFonts w:cs="Times New Roman"/>
        </w:rPr>
        <w:t>конкуренция</w:t>
      </w:r>
      <w:r w:rsidR="00E56F25" w:rsidRPr="00610B1B">
        <w:rPr>
          <w:rFonts w:cs="Times New Roman"/>
        </w:rPr>
        <w:t>та</w:t>
      </w:r>
      <w:r w:rsidRPr="00610B1B">
        <w:rPr>
          <w:rFonts w:cs="Times New Roman"/>
        </w:rPr>
        <w:t xml:space="preserve"> с </w:t>
      </w:r>
      <w:r w:rsidR="00DD6CD4" w:rsidRPr="00610B1B">
        <w:rPr>
          <w:rFonts w:cs="Times New Roman"/>
        </w:rPr>
        <w:t>стопанския риболов</w:t>
      </w:r>
      <w:r w:rsidRPr="00610B1B">
        <w:rPr>
          <w:rFonts w:cs="Times New Roman"/>
        </w:rPr>
        <w:t xml:space="preserve"> и </w:t>
      </w:r>
      <w:r w:rsidR="00E56F25" w:rsidRPr="00610B1B">
        <w:rPr>
          <w:rFonts w:cs="Times New Roman"/>
        </w:rPr>
        <w:t xml:space="preserve">от </w:t>
      </w:r>
      <w:r w:rsidRPr="00610B1B">
        <w:rPr>
          <w:rFonts w:cs="Times New Roman"/>
        </w:rPr>
        <w:t>биоакумулацията на замърсителите, които в техните тъкани достигат по-високи</w:t>
      </w:r>
      <w:r w:rsidR="00E956B6" w:rsidRPr="00610B1B">
        <w:rPr>
          <w:rFonts w:cs="Times New Roman"/>
        </w:rPr>
        <w:t xml:space="preserve"> </w:t>
      </w:r>
      <w:r w:rsidRPr="00610B1B">
        <w:rPr>
          <w:rFonts w:cs="Times New Roman"/>
        </w:rPr>
        <w:t>концентрации</w:t>
      </w:r>
      <w:r w:rsidR="00E56F25" w:rsidRPr="00610B1B">
        <w:rPr>
          <w:rFonts w:cs="Times New Roman"/>
        </w:rPr>
        <w:t>,</w:t>
      </w:r>
      <w:r w:rsidRPr="00610B1B">
        <w:rPr>
          <w:rFonts w:cs="Times New Roman"/>
        </w:rPr>
        <w:t xml:space="preserve"> от</w:t>
      </w:r>
      <w:r w:rsidR="00E56F25" w:rsidRPr="00610B1B">
        <w:rPr>
          <w:rFonts w:cs="Times New Roman"/>
        </w:rPr>
        <w:t>колкото</w:t>
      </w:r>
      <w:r w:rsidRPr="00610B1B">
        <w:rPr>
          <w:rFonts w:cs="Times New Roman"/>
        </w:rPr>
        <w:t xml:space="preserve"> в тъканите на рибите, с които се хранят.</w:t>
      </w:r>
      <w:r w:rsidR="00E956B6" w:rsidRPr="00610B1B">
        <w:rPr>
          <w:rFonts w:cs="Times New Roman"/>
        </w:rPr>
        <w:t xml:space="preserve"> </w:t>
      </w:r>
      <w:r w:rsidRPr="00610B1B">
        <w:rPr>
          <w:rFonts w:cs="Times New Roman"/>
        </w:rPr>
        <w:t>Пространственото разпределение на въздействието е най-силно във Варненския и Бургаския залив, както и между</w:t>
      </w:r>
      <w:r w:rsidR="00E956B6" w:rsidRPr="00610B1B">
        <w:rPr>
          <w:rFonts w:cs="Times New Roman"/>
        </w:rPr>
        <w:t xml:space="preserve"> </w:t>
      </w:r>
      <w:r w:rsidRPr="00610B1B">
        <w:rPr>
          <w:rFonts w:cs="Times New Roman"/>
        </w:rPr>
        <w:t>Варна и Каварна.</w:t>
      </w:r>
    </w:p>
    <w:p w14:paraId="2734B1E5" w14:textId="410F361A" w:rsidR="00BF2A7D" w:rsidRPr="00610B1B" w:rsidRDefault="00BF2A7D" w:rsidP="00BF2A7D">
      <w:pPr>
        <w:pStyle w:val="BodyText"/>
        <w:spacing w:after="120"/>
        <w:ind w:right="-153"/>
        <w:rPr>
          <w:rFonts w:cs="Times New Roman"/>
        </w:rPr>
      </w:pPr>
      <w:r w:rsidRPr="00610B1B">
        <w:rPr>
          <w:rFonts w:cs="Times New Roman"/>
        </w:rPr>
        <w:t>Оценката на състоянието на трите вида китоподобни показва, че състоянието на афалата (</w:t>
      </w:r>
      <w:r w:rsidRPr="00610B1B">
        <w:rPr>
          <w:rFonts w:cs="Times New Roman"/>
          <w:i/>
        </w:rPr>
        <w:t>Tursiops truncatus</w:t>
      </w:r>
      <w:r w:rsidRPr="00610B1B">
        <w:rPr>
          <w:rFonts w:cs="Times New Roman"/>
        </w:rPr>
        <w:t>) е „неблагоприятно-лошо“, а за другите два вида – обикновения делфин (</w:t>
      </w:r>
      <w:r w:rsidRPr="00610B1B">
        <w:rPr>
          <w:rFonts w:cs="Times New Roman"/>
          <w:i/>
        </w:rPr>
        <w:t>Delphinus delphis</w:t>
      </w:r>
      <w:r w:rsidRPr="00610B1B">
        <w:rPr>
          <w:rFonts w:cs="Times New Roman"/>
        </w:rPr>
        <w:t>) и морската свиня (</w:t>
      </w:r>
      <w:r w:rsidRPr="00610B1B">
        <w:rPr>
          <w:rFonts w:cs="Times New Roman"/>
          <w:i/>
        </w:rPr>
        <w:t>Phocoena phocoena</w:t>
      </w:r>
      <w:r w:rsidRPr="00610B1B">
        <w:rPr>
          <w:rFonts w:cs="Times New Roman"/>
        </w:rPr>
        <w:t xml:space="preserve">) то е „неблагоприятно-незадоволително“. Основни причини са намаляване обхвата на местообитанията поради </w:t>
      </w:r>
      <w:r w:rsidRPr="00610B1B">
        <w:rPr>
          <w:rFonts w:cs="Times New Roman"/>
        </w:rPr>
        <w:lastRenderedPageBreak/>
        <w:t xml:space="preserve">влошаване на условията на морската среда, причинено от замърсяване с тежки метали и устойчиви органични съединения, замърсяването с морски отпадъци, </w:t>
      </w:r>
      <w:r w:rsidR="00352BBB" w:rsidRPr="00610B1B">
        <w:rPr>
          <w:rFonts w:cs="Times New Roman"/>
        </w:rPr>
        <w:t xml:space="preserve">в това число </w:t>
      </w:r>
      <w:r w:rsidRPr="00610B1B">
        <w:rPr>
          <w:rFonts w:cs="Times New Roman"/>
        </w:rPr>
        <w:t xml:space="preserve">твърди предмети, плаващи пластмасови отпадъци </w:t>
      </w:r>
      <w:r w:rsidR="003F5D95" w:rsidRPr="00610B1B">
        <w:rPr>
          <w:rFonts w:cs="Times New Roman"/>
        </w:rPr>
        <w:t>(вкл. микрочастици)</w:t>
      </w:r>
      <w:r w:rsidRPr="00610B1B">
        <w:rPr>
          <w:rFonts w:cs="Times New Roman"/>
        </w:rPr>
        <w:t xml:space="preserve"> и шумово замърсяване. Исторически причини са намаляването на хранителния ресурс на важни за тях видове риби, поради интензивния </w:t>
      </w:r>
      <w:r w:rsidR="00DD6CD4" w:rsidRPr="00610B1B">
        <w:rPr>
          <w:rFonts w:cs="Times New Roman"/>
        </w:rPr>
        <w:t>стопански риболов</w:t>
      </w:r>
      <w:r w:rsidRPr="00610B1B">
        <w:rPr>
          <w:rFonts w:cs="Times New Roman"/>
        </w:rPr>
        <w:t xml:space="preserve"> през 1980-те и 1990-те години. Непряко въздействие имат инвазивните чужди видове зоопланктон, които унищожават зоопланктона (Copepoda) като хранителна база за рибите, които служат за храна на морските бозайници. Значителната антропогенна еутрофикация, съпроводена с интензивни цъфтежи и дънна хипоксия поради гниене на излишната органична материя също влошава местообитанията и повишава смъртността на рибите, което непряко влияе и върху морските бозайници. </w:t>
      </w:r>
    </w:p>
    <w:p w14:paraId="5E341D97" w14:textId="0821EA76" w:rsidR="00414FA9" w:rsidRPr="00610B1B" w:rsidRDefault="00790D07" w:rsidP="00D32D6A">
      <w:pPr>
        <w:pStyle w:val="BodyText"/>
        <w:spacing w:before="0" w:after="120" w:line="276" w:lineRule="auto"/>
        <w:ind w:right="-153"/>
        <w:rPr>
          <w:rFonts w:cs="Times New Roman"/>
        </w:rPr>
      </w:pPr>
      <w:r w:rsidRPr="00610B1B">
        <w:rPr>
          <w:rFonts w:cs="Times New Roman"/>
        </w:rPr>
        <w:t>В Морската стратегия на Р</w:t>
      </w:r>
      <w:r w:rsidR="00E10F89" w:rsidRPr="00610B1B">
        <w:rPr>
          <w:rFonts w:cs="Times New Roman"/>
        </w:rPr>
        <w:t>епублика</w:t>
      </w:r>
      <w:r w:rsidRPr="00610B1B">
        <w:rPr>
          <w:rFonts w:cs="Times New Roman"/>
        </w:rPr>
        <w:t xml:space="preserve"> България са предвидени национални и трансгранични мерки за подобряване на състоянието на популациите на морските бозайници, които са насочени към намаляване на риболовния натиск чрез прилагане на риболовни техники и оборудване, щадящо околната среда, намаляване на </w:t>
      </w:r>
      <w:r w:rsidR="00BF2A7D" w:rsidRPr="00610B1B">
        <w:rPr>
          <w:rFonts w:cs="Times New Roman"/>
        </w:rPr>
        <w:t>случайния</w:t>
      </w:r>
      <w:r w:rsidRPr="00610B1B">
        <w:rPr>
          <w:rFonts w:cs="Times New Roman"/>
        </w:rPr>
        <w:t xml:space="preserve"> улов на морски бозайници и подобряване на контрола по отношение на хрилните мрежи за калкан. </w:t>
      </w:r>
      <w:r w:rsidR="00D35E34" w:rsidRPr="00610B1B">
        <w:rPr>
          <w:rFonts w:cs="Times New Roman"/>
        </w:rPr>
        <w:t>Предвидено е из</w:t>
      </w:r>
      <w:r w:rsidR="00414FA9" w:rsidRPr="00610B1B">
        <w:rPr>
          <w:rFonts w:cs="Times New Roman"/>
        </w:rPr>
        <w:t>готвяне или актуализиране на планове</w:t>
      </w:r>
      <w:r w:rsidR="00D35E34" w:rsidRPr="00610B1B">
        <w:rPr>
          <w:rFonts w:cs="Times New Roman"/>
        </w:rPr>
        <w:t>те</w:t>
      </w:r>
      <w:r w:rsidR="00414FA9" w:rsidRPr="00610B1B">
        <w:rPr>
          <w:rFonts w:cs="Times New Roman"/>
        </w:rPr>
        <w:t xml:space="preserve"> за управление на защитените зони</w:t>
      </w:r>
      <w:r w:rsidR="00BF2A7D" w:rsidRPr="00610B1B">
        <w:rPr>
          <w:rFonts w:cs="Times New Roman"/>
        </w:rPr>
        <w:t>,</w:t>
      </w:r>
      <w:r w:rsidR="00D66FE0" w:rsidRPr="00610B1B">
        <w:rPr>
          <w:rFonts w:cs="Times New Roman"/>
        </w:rPr>
        <w:t xml:space="preserve"> </w:t>
      </w:r>
      <w:r w:rsidR="00414FA9" w:rsidRPr="00610B1B">
        <w:rPr>
          <w:rFonts w:cs="Times New Roman"/>
        </w:rPr>
        <w:t>включващи морска акватория в България и Румъния и създава</w:t>
      </w:r>
      <w:r w:rsidR="00D35E34" w:rsidRPr="00610B1B">
        <w:rPr>
          <w:rFonts w:cs="Times New Roman"/>
        </w:rPr>
        <w:t>не на нови представителни мрежи. Част от мерките са насочени към и</w:t>
      </w:r>
      <w:r w:rsidR="00414FA9" w:rsidRPr="00610B1B">
        <w:rPr>
          <w:rFonts w:cs="Times New Roman"/>
        </w:rPr>
        <w:t>зменение на съществуващото законодателство, при необходимост, чрез въвеждане на разрешителен режим за дейности в морската среда или други регулаторни изменения</w:t>
      </w:r>
      <w:r w:rsidR="00D35E34" w:rsidRPr="00610B1B">
        <w:rPr>
          <w:rFonts w:cs="Times New Roman"/>
        </w:rPr>
        <w:t xml:space="preserve">, както и мерки за </w:t>
      </w:r>
      <w:r w:rsidR="00414FA9" w:rsidRPr="00610B1B">
        <w:rPr>
          <w:rFonts w:cs="Times New Roman"/>
        </w:rPr>
        <w:t>намаляване на морските отпадъци и подводния шум в морската среда.</w:t>
      </w:r>
      <w:r w:rsidRPr="00610B1B">
        <w:rPr>
          <w:rFonts w:cs="Times New Roman"/>
        </w:rPr>
        <w:t xml:space="preserve"> Тези </w:t>
      </w:r>
      <w:r w:rsidR="00414FA9" w:rsidRPr="00610B1B">
        <w:rPr>
          <w:rFonts w:cs="Times New Roman"/>
        </w:rPr>
        <w:t xml:space="preserve">мерки са насочени и към опазване на рибните запаси. </w:t>
      </w:r>
    </w:p>
    <w:p w14:paraId="7BAA83BC" w14:textId="77777777" w:rsidR="00F51E17" w:rsidRPr="00610B1B" w:rsidRDefault="00F51E17" w:rsidP="00D32D6A">
      <w:pPr>
        <w:pStyle w:val="Heading4"/>
        <w:spacing w:before="0" w:line="276" w:lineRule="auto"/>
        <w:ind w:right="-153"/>
        <w:rPr>
          <w:rFonts w:cs="Times New Roman"/>
        </w:rPr>
      </w:pPr>
      <w:r w:rsidRPr="00610B1B">
        <w:rPr>
          <w:rFonts w:cs="Times New Roman"/>
        </w:rPr>
        <w:t xml:space="preserve">2.2.4.5. </w:t>
      </w:r>
      <w:r w:rsidR="009D4A0E" w:rsidRPr="00610B1B">
        <w:rPr>
          <w:rFonts w:cs="Times New Roman"/>
        </w:rPr>
        <w:t>Морски птици – Via Pontica</w:t>
      </w:r>
    </w:p>
    <w:p w14:paraId="6F2998B3" w14:textId="7AD0FD76" w:rsidR="00840C04" w:rsidRPr="00610B1B" w:rsidRDefault="009D4A0E" w:rsidP="00D32D6A">
      <w:pPr>
        <w:pStyle w:val="BodyText"/>
        <w:spacing w:before="0" w:after="120" w:line="276" w:lineRule="auto"/>
        <w:ind w:right="-153"/>
        <w:rPr>
          <w:rFonts w:cs="Times New Roman"/>
          <w:lang w:eastAsia="en-US"/>
        </w:rPr>
      </w:pPr>
      <w:r w:rsidRPr="00610B1B">
        <w:rPr>
          <w:rFonts w:cs="Times New Roman"/>
        </w:rPr>
        <w:t xml:space="preserve">Съгласно Списъка на видовете птици в България към 31.12.2014 г </w:t>
      </w:r>
      <w:r w:rsidRPr="00610B1B">
        <w:rPr>
          <w:rFonts w:cs="Times New Roman"/>
          <w:iCs/>
        </w:rPr>
        <w:t>(</w:t>
      </w:r>
      <w:r w:rsidRPr="00610B1B">
        <w:rPr>
          <w:rFonts w:cs="Times New Roman"/>
        </w:rPr>
        <w:t>BUNARCO, 2014</w:t>
      </w:r>
      <w:r w:rsidRPr="00610B1B">
        <w:rPr>
          <w:rFonts w:cs="Times New Roman"/>
          <w:iCs/>
        </w:rPr>
        <w:t>)</w:t>
      </w:r>
      <w:r w:rsidRPr="00610B1B">
        <w:rPr>
          <w:rFonts w:cs="Times New Roman"/>
        </w:rPr>
        <w:t xml:space="preserve"> орнитофауната на България наброява 420 вида птици, от които 2 вида са наблюдавани в дивата природа в периода 1880–1949 г. и един вид интродуциран в страната или избягал от колекции и свободно размножаващ се в природата</w:t>
      </w:r>
      <w:r w:rsidRPr="00610B1B">
        <w:rPr>
          <w:rStyle w:val="a4"/>
          <w:rFonts w:cs="Times New Roman"/>
        </w:rPr>
        <w:footnoteReference w:id="85"/>
      </w:r>
      <w:r w:rsidRPr="00610B1B">
        <w:rPr>
          <w:rFonts w:cs="Times New Roman"/>
        </w:rPr>
        <w:t xml:space="preserve">. Само два вида птици са изцяло зависещи от морето през периодите на гнездене, миграция и зимуване в разглежданата акватория на Черно море. Това са </w:t>
      </w:r>
      <w:r w:rsidRPr="00610B1B">
        <w:rPr>
          <w:rFonts w:cs="Times New Roman"/>
          <w:lang w:eastAsia="en-US"/>
        </w:rPr>
        <w:t>Средиземноморския</w:t>
      </w:r>
      <w:r w:rsidR="00F51E17" w:rsidRPr="00610B1B">
        <w:rPr>
          <w:rFonts w:cs="Times New Roman"/>
          <w:lang w:eastAsia="en-US"/>
        </w:rPr>
        <w:t>т</w:t>
      </w:r>
      <w:r w:rsidRPr="00610B1B">
        <w:rPr>
          <w:rFonts w:cs="Times New Roman"/>
          <w:lang w:eastAsia="en-US"/>
        </w:rPr>
        <w:t xml:space="preserve"> буревестник </w:t>
      </w:r>
      <w:r w:rsidRPr="00610B1B">
        <w:rPr>
          <w:rFonts w:cs="Times New Roman"/>
          <w:iCs/>
          <w:lang w:eastAsia="en-US"/>
        </w:rPr>
        <w:t>(</w:t>
      </w:r>
      <w:r w:rsidRPr="00610B1B">
        <w:rPr>
          <w:rFonts w:cs="Times New Roman"/>
          <w:i/>
          <w:lang w:eastAsia="en-US"/>
        </w:rPr>
        <w:t>Puffinus yelkouan</w:t>
      </w:r>
      <w:r w:rsidRPr="00610B1B">
        <w:rPr>
          <w:rFonts w:cs="Times New Roman"/>
          <w:iCs/>
          <w:lang w:eastAsia="en-US"/>
        </w:rPr>
        <w:t>)</w:t>
      </w:r>
      <w:r w:rsidRPr="00610B1B">
        <w:rPr>
          <w:rFonts w:cs="Times New Roman"/>
          <w:lang w:eastAsia="en-US"/>
        </w:rPr>
        <w:t xml:space="preserve"> и Средния</w:t>
      </w:r>
      <w:r w:rsidR="00F51E17" w:rsidRPr="00610B1B">
        <w:rPr>
          <w:rFonts w:cs="Times New Roman"/>
          <w:lang w:eastAsia="en-US"/>
        </w:rPr>
        <w:t>т</w:t>
      </w:r>
      <w:r w:rsidRPr="00610B1B">
        <w:rPr>
          <w:rFonts w:cs="Times New Roman"/>
          <w:lang w:eastAsia="en-US"/>
        </w:rPr>
        <w:t xml:space="preserve"> </w:t>
      </w:r>
      <w:r w:rsidRPr="00610B1B">
        <w:rPr>
          <w:rFonts w:cs="Times New Roman"/>
          <w:iCs/>
          <w:lang w:eastAsia="en-US"/>
        </w:rPr>
        <w:t>(</w:t>
      </w:r>
      <w:r w:rsidRPr="00610B1B">
        <w:rPr>
          <w:rFonts w:cs="Times New Roman"/>
          <w:lang w:eastAsia="en-US"/>
        </w:rPr>
        <w:t>качулат</w:t>
      </w:r>
      <w:r w:rsidRPr="00610B1B">
        <w:rPr>
          <w:rFonts w:cs="Times New Roman"/>
          <w:iCs/>
          <w:lang w:eastAsia="en-US"/>
        </w:rPr>
        <w:t>)</w:t>
      </w:r>
      <w:r w:rsidRPr="00610B1B">
        <w:rPr>
          <w:rFonts w:cs="Times New Roman"/>
          <w:lang w:eastAsia="en-US"/>
        </w:rPr>
        <w:t xml:space="preserve"> корморан </w:t>
      </w:r>
      <w:r w:rsidRPr="00610B1B">
        <w:rPr>
          <w:rFonts w:cs="Times New Roman"/>
          <w:iCs/>
          <w:lang w:eastAsia="en-US"/>
        </w:rPr>
        <w:t>(</w:t>
      </w:r>
      <w:r w:rsidRPr="00610B1B">
        <w:rPr>
          <w:rFonts w:cs="Times New Roman"/>
          <w:i/>
          <w:lang w:eastAsia="en-US"/>
        </w:rPr>
        <w:t xml:space="preserve">Phalacrocorax </w:t>
      </w:r>
      <w:r w:rsidRPr="00610B1B">
        <w:rPr>
          <w:rFonts w:eastAsia="Calibri" w:cs="Times New Roman"/>
          <w:i/>
          <w:lang w:eastAsia="en-US"/>
        </w:rPr>
        <w:t>aristotelis desmarestii</w:t>
      </w:r>
      <w:r w:rsidRPr="00610B1B">
        <w:rPr>
          <w:rFonts w:cs="Times New Roman"/>
          <w:iCs/>
          <w:lang w:eastAsia="en-US"/>
        </w:rPr>
        <w:t>)</w:t>
      </w:r>
      <w:r w:rsidRPr="00610B1B">
        <w:rPr>
          <w:rFonts w:cs="Times New Roman"/>
          <w:lang w:eastAsia="en-US"/>
        </w:rPr>
        <w:t xml:space="preserve">. И двата вида са включени в приложение I от Директива за опазване на дивите птици 2009/147/EO и Приложение II от Бернската конвенция. </w:t>
      </w:r>
    </w:p>
    <w:p w14:paraId="667272ED" w14:textId="34886223" w:rsidR="00564F20" w:rsidRPr="00610B1B" w:rsidRDefault="009D4A0E" w:rsidP="00D32D6A">
      <w:pPr>
        <w:pStyle w:val="BodyText"/>
        <w:spacing w:before="0" w:after="120" w:line="276" w:lineRule="auto"/>
        <w:ind w:right="-153"/>
        <w:rPr>
          <w:rFonts w:cs="Times New Roman"/>
          <w:lang w:eastAsia="en-US"/>
        </w:rPr>
      </w:pPr>
      <w:r w:rsidRPr="00610B1B">
        <w:rPr>
          <w:rFonts w:cs="Times New Roman"/>
          <w:lang w:eastAsia="en-US"/>
        </w:rPr>
        <w:t xml:space="preserve">Съгласно Червения списък на Международния съюз за защита на природата </w:t>
      </w:r>
      <w:r w:rsidRPr="00610B1B">
        <w:rPr>
          <w:rFonts w:cs="Times New Roman"/>
          <w:iCs/>
          <w:lang w:eastAsia="en-US"/>
        </w:rPr>
        <w:t>(</w:t>
      </w:r>
      <w:r w:rsidRPr="00610B1B">
        <w:rPr>
          <w:rFonts w:cs="Times New Roman"/>
          <w:lang w:eastAsia="en-US"/>
        </w:rPr>
        <w:t>IUCN</w:t>
      </w:r>
      <w:r w:rsidRPr="00610B1B">
        <w:rPr>
          <w:rFonts w:cs="Times New Roman"/>
          <w:iCs/>
          <w:lang w:eastAsia="en-US"/>
        </w:rPr>
        <w:t>)</w:t>
      </w:r>
      <w:r w:rsidRPr="00610B1B">
        <w:rPr>
          <w:rFonts w:cs="Times New Roman"/>
          <w:lang w:eastAsia="en-US"/>
        </w:rPr>
        <w:t xml:space="preserve"> Средиземноморският буревестник </w:t>
      </w:r>
      <w:r w:rsidRPr="00610B1B">
        <w:rPr>
          <w:rFonts w:cs="Times New Roman"/>
          <w:iCs/>
          <w:lang w:eastAsia="en-US"/>
        </w:rPr>
        <w:t>(</w:t>
      </w:r>
      <w:r w:rsidRPr="00610B1B">
        <w:rPr>
          <w:rFonts w:cs="Times New Roman"/>
          <w:i/>
          <w:lang w:eastAsia="en-US"/>
        </w:rPr>
        <w:t>Puffinus yelkouan</w:t>
      </w:r>
      <w:r w:rsidRPr="00610B1B">
        <w:rPr>
          <w:rFonts w:cs="Times New Roman"/>
          <w:iCs/>
          <w:lang w:eastAsia="en-US"/>
        </w:rPr>
        <w:t>)</w:t>
      </w:r>
      <w:r w:rsidRPr="00610B1B">
        <w:rPr>
          <w:rFonts w:cs="Times New Roman"/>
          <w:lang w:eastAsia="en-US"/>
        </w:rPr>
        <w:t xml:space="preserve"> </w:t>
      </w:r>
      <w:r w:rsidR="00564F20" w:rsidRPr="00610B1B">
        <w:rPr>
          <w:rFonts w:cs="Times New Roman"/>
          <w:lang w:eastAsia="en-US"/>
        </w:rPr>
        <w:t xml:space="preserve">е мигриращ вид, включен в Червената книга на Р. България като „застрашен“, но със сравнително висока численост, особено по Северното Черноморие. Той гнезди в Средиземноморския басейн, където е над 95% от световната популация. Основните размножителни колонии са концентрирани в Централната и Източната част на Средиземно море, от Корсика и Сардиния през централната част на Средиземно, Адриатическо и Егейско море. През гнездовия сезон се </w:t>
      </w:r>
      <w:r w:rsidR="00564F20" w:rsidRPr="00610B1B">
        <w:rPr>
          <w:rFonts w:cs="Times New Roman"/>
          <w:lang w:eastAsia="en-US"/>
        </w:rPr>
        <w:lastRenderedPageBreak/>
        <w:t>отдалечава в морето на стотици километри. Между юни и октомври популацията се разпръсва из Средиземно и Черно море, където прекарва зимата.</w:t>
      </w:r>
    </w:p>
    <w:p w14:paraId="50FE0AC7" w14:textId="7029ACAD" w:rsidR="00840C04" w:rsidRPr="00610B1B" w:rsidRDefault="00564F20" w:rsidP="00D32D6A">
      <w:pPr>
        <w:pStyle w:val="BodyText"/>
        <w:spacing w:before="0" w:after="120" w:line="276" w:lineRule="auto"/>
        <w:ind w:right="-153"/>
        <w:rPr>
          <w:rFonts w:cs="Times New Roman"/>
          <w:lang w:eastAsia="en-US"/>
        </w:rPr>
      </w:pPr>
      <w:r w:rsidRPr="00610B1B">
        <w:rPr>
          <w:rFonts w:cs="Times New Roman"/>
          <w:lang w:eastAsia="en-US"/>
        </w:rPr>
        <w:t>В България е рядък гнездящ и многоброен скитащ вид. През зимата ята са наблюдавани в Атанасовско</w:t>
      </w:r>
      <w:r w:rsidR="003E4E07" w:rsidRPr="00610B1B">
        <w:rPr>
          <w:rFonts w:cs="Times New Roman"/>
          <w:lang w:eastAsia="en-US"/>
        </w:rPr>
        <w:t>то</w:t>
      </w:r>
      <w:r w:rsidRPr="00610B1B">
        <w:rPr>
          <w:rFonts w:cs="Times New Roman"/>
          <w:lang w:eastAsia="en-US"/>
        </w:rPr>
        <w:t xml:space="preserve"> езеро и до Ахтопол. Съгласно програмата за мониторинг на РДМС през последните години (2015–2018 г.) се следи състоянието на вида по Черноморското крайбрежие и акваторията на страната. Данните от наблюденията отчитат изключително висока численост на вида по Северното Черноморие (района на Тюленово, Камен бряг и Калиакра) през май 2015 г. (19 237 птици на разстояние 500 до 6 000 m от брега) и пълна липса на наблюдения през 2016 г., дължащо се вероятно на късно проведения мониторинг. </w:t>
      </w:r>
      <w:r w:rsidR="00840C04" w:rsidRPr="00610B1B">
        <w:rPr>
          <w:rFonts w:cs="Times New Roman"/>
          <w:lang w:eastAsia="en-US"/>
        </w:rPr>
        <w:t>Съгласно изготвените през 2019 г. „Анализи и проучвания на видове и природни местообитания, предмет на докладване по чл. 17 от Директивата за местообитанията и чл. 12 от Директивата за птиците“, средиземноморският буревестник е с мигрираща численост по Черноморието между 5 000 и 25 000 птици.</w:t>
      </w:r>
    </w:p>
    <w:p w14:paraId="2642D740" w14:textId="15B76B1A" w:rsidR="00564F20" w:rsidRPr="00610B1B" w:rsidRDefault="00840C04" w:rsidP="00D32D6A">
      <w:pPr>
        <w:pStyle w:val="BodyText"/>
        <w:spacing w:before="0" w:after="120" w:line="276" w:lineRule="auto"/>
        <w:ind w:right="-153"/>
        <w:rPr>
          <w:rFonts w:cs="Times New Roman"/>
          <w:lang w:eastAsia="en-US"/>
        </w:rPr>
      </w:pPr>
      <w:r w:rsidRPr="00610B1B">
        <w:rPr>
          <w:rFonts w:cs="Times New Roman"/>
          <w:lang w:eastAsia="en-US"/>
        </w:rPr>
        <w:t xml:space="preserve">Мониторингът на вида трябва да се провежда в подходящ сезон между </w:t>
      </w:r>
      <w:r w:rsidR="003E4E07" w:rsidRPr="00610B1B">
        <w:rPr>
          <w:rFonts w:cs="Times New Roman"/>
          <w:lang w:eastAsia="en-US"/>
        </w:rPr>
        <w:t xml:space="preserve">месеците </w:t>
      </w:r>
      <w:r w:rsidRPr="00610B1B">
        <w:rPr>
          <w:rFonts w:cs="Times New Roman"/>
          <w:lang w:eastAsia="en-US"/>
        </w:rPr>
        <w:t>март и май. Това ще даде възможност за проследяване на тенденцията в миграцията на вида. Необходимо е при анализа да са налични и данни за рибните запаси по сектори за същия период с цел потвърждаване на връзката между миграциите на буревестниците и предпочитания им хранителен ресурс. На този етап поради липса на данни не е възможно да се постави адекватна и обективна оценка на състоянието на вида</w:t>
      </w:r>
    </w:p>
    <w:p w14:paraId="44F21E49" w14:textId="78F5C271" w:rsidR="00840C04" w:rsidRPr="00610B1B" w:rsidRDefault="009D4A0E" w:rsidP="00D32D6A">
      <w:pPr>
        <w:pStyle w:val="BodyText"/>
        <w:spacing w:before="0" w:after="120" w:line="276" w:lineRule="auto"/>
        <w:ind w:right="-153"/>
        <w:rPr>
          <w:rFonts w:cs="Times New Roman"/>
          <w:lang w:eastAsia="en-US"/>
        </w:rPr>
      </w:pPr>
      <w:r w:rsidRPr="00610B1B">
        <w:rPr>
          <w:rFonts w:cs="Times New Roman"/>
          <w:lang w:eastAsia="en-US"/>
        </w:rPr>
        <w:t xml:space="preserve">Средният корморан </w:t>
      </w:r>
      <w:r w:rsidRPr="00610B1B">
        <w:rPr>
          <w:rFonts w:cs="Times New Roman"/>
          <w:iCs/>
          <w:lang w:eastAsia="en-US"/>
        </w:rPr>
        <w:t>(</w:t>
      </w:r>
      <w:r w:rsidRPr="00610B1B">
        <w:rPr>
          <w:rFonts w:cs="Times New Roman"/>
          <w:i/>
          <w:lang w:eastAsia="en-US"/>
        </w:rPr>
        <w:t xml:space="preserve">Phalacrocorax </w:t>
      </w:r>
      <w:r w:rsidRPr="00610B1B">
        <w:rPr>
          <w:rFonts w:eastAsia="Calibri" w:cs="Times New Roman"/>
          <w:i/>
          <w:lang w:eastAsia="en-US"/>
        </w:rPr>
        <w:t>aristotelis desmarestii</w:t>
      </w:r>
      <w:r w:rsidRPr="00610B1B">
        <w:rPr>
          <w:rFonts w:cs="Times New Roman"/>
          <w:iCs/>
          <w:lang w:eastAsia="en-US"/>
        </w:rPr>
        <w:t>)</w:t>
      </w:r>
      <w:r w:rsidR="00564F20" w:rsidRPr="00610B1B">
        <w:rPr>
          <w:rFonts w:cs="Times New Roman"/>
        </w:rPr>
        <w:t xml:space="preserve"> </w:t>
      </w:r>
      <w:r w:rsidR="00564F20" w:rsidRPr="00610B1B">
        <w:rPr>
          <w:rFonts w:cs="Times New Roman"/>
          <w:iCs/>
          <w:lang w:eastAsia="en-US"/>
        </w:rPr>
        <w:t>е постоянен вид с повишаваща се численост през последните години. Видът е включен в Червената Книга на България в категория „уязвим“</w:t>
      </w:r>
      <w:r w:rsidRPr="00610B1B">
        <w:rPr>
          <w:rFonts w:cs="Times New Roman"/>
          <w:lang w:eastAsia="en-US"/>
        </w:rPr>
        <w:t>.</w:t>
      </w:r>
      <w:r w:rsidR="00564F20" w:rsidRPr="00610B1B">
        <w:rPr>
          <w:rFonts w:cs="Times New Roman"/>
          <w:lang w:eastAsia="en-US"/>
        </w:rPr>
        <w:t xml:space="preserve"> </w:t>
      </w:r>
      <w:r w:rsidR="00840C04" w:rsidRPr="00610B1B">
        <w:rPr>
          <w:rFonts w:cs="Times New Roman"/>
          <w:lang w:eastAsia="en-US"/>
        </w:rPr>
        <w:t xml:space="preserve">Той е вид със </w:t>
      </w:r>
      <w:r w:rsidR="00A11253" w:rsidRPr="00610B1B">
        <w:rPr>
          <w:rFonts w:cs="Times New Roman"/>
          <w:lang w:eastAsia="en-US"/>
        </w:rPr>
        <w:t>северноатлантически</w:t>
      </w:r>
      <w:r w:rsidR="00840C04" w:rsidRPr="00610B1B">
        <w:rPr>
          <w:rFonts w:cs="Times New Roman"/>
          <w:lang w:eastAsia="en-US"/>
        </w:rPr>
        <w:t xml:space="preserve"> тип на разпространение, което обхваща Атлантическото крайбрежие на Европа и Северозападна Африка и бреговете на Средиземно, Адриатическо и Черно море. Средният корморан, срещащ се в България, принадлежи към подвид desmarestii (</w:t>
      </w:r>
      <w:r w:rsidR="00840C04" w:rsidRPr="00610B1B">
        <w:rPr>
          <w:rFonts w:cs="Times New Roman"/>
          <w:i/>
          <w:iCs/>
          <w:lang w:eastAsia="en-US"/>
        </w:rPr>
        <w:t>Phalacrocorax aristotelis desmarestii</w:t>
      </w:r>
      <w:r w:rsidR="00840C04" w:rsidRPr="00610B1B">
        <w:rPr>
          <w:rFonts w:cs="Times New Roman"/>
          <w:lang w:eastAsia="en-US"/>
        </w:rPr>
        <w:t>).</w:t>
      </w:r>
      <w:r w:rsidR="007B7168" w:rsidRPr="00610B1B">
        <w:rPr>
          <w:rFonts w:cs="Times New Roman"/>
          <w:lang w:eastAsia="en-US"/>
        </w:rPr>
        <w:t xml:space="preserve"> </w:t>
      </w:r>
      <w:r w:rsidR="00840C04" w:rsidRPr="00610B1B">
        <w:rPr>
          <w:rFonts w:cs="Times New Roman"/>
          <w:lang w:eastAsia="en-US"/>
        </w:rPr>
        <w:t>Той е постоянен вид у нас, гнезди по скалистото крайбрежие от н</w:t>
      </w:r>
      <w:r w:rsidR="007B7168" w:rsidRPr="00610B1B">
        <w:rPr>
          <w:rFonts w:cs="Times New Roman"/>
          <w:lang w:eastAsia="en-US"/>
        </w:rPr>
        <w:t>ос</w:t>
      </w:r>
      <w:r w:rsidR="00840C04" w:rsidRPr="00610B1B">
        <w:rPr>
          <w:rFonts w:cs="Times New Roman"/>
          <w:lang w:eastAsia="en-US"/>
        </w:rPr>
        <w:t xml:space="preserve"> Шабла до н</w:t>
      </w:r>
      <w:r w:rsidR="007B7168" w:rsidRPr="00610B1B">
        <w:rPr>
          <w:rFonts w:cs="Times New Roman"/>
          <w:lang w:eastAsia="en-US"/>
        </w:rPr>
        <w:t>ос</w:t>
      </w:r>
      <w:r w:rsidR="00840C04" w:rsidRPr="00610B1B">
        <w:rPr>
          <w:rFonts w:cs="Times New Roman"/>
          <w:lang w:eastAsia="en-US"/>
        </w:rPr>
        <w:t xml:space="preserve"> Калиакра, а през последните години и на остров </w:t>
      </w:r>
      <w:r w:rsidR="007B7168" w:rsidRPr="00610B1B">
        <w:rPr>
          <w:rFonts w:cs="Times New Roman"/>
          <w:lang w:eastAsia="en-US"/>
        </w:rPr>
        <w:t xml:space="preserve">„Свети </w:t>
      </w:r>
      <w:r w:rsidR="00840C04" w:rsidRPr="00610B1B">
        <w:rPr>
          <w:rFonts w:cs="Times New Roman"/>
          <w:lang w:eastAsia="en-US"/>
        </w:rPr>
        <w:t>Петър</w:t>
      </w:r>
      <w:r w:rsidR="007B7168" w:rsidRPr="00610B1B">
        <w:rPr>
          <w:rFonts w:cs="Times New Roman"/>
          <w:lang w:eastAsia="en-US"/>
        </w:rPr>
        <w:t>“</w:t>
      </w:r>
      <w:r w:rsidR="00840C04" w:rsidRPr="00610B1B">
        <w:rPr>
          <w:rFonts w:cs="Times New Roman"/>
          <w:lang w:eastAsia="en-US"/>
        </w:rPr>
        <w:t xml:space="preserve"> край Созопол. При проучването през 2015-2016 г.</w:t>
      </w:r>
      <w:r w:rsidR="00D66FE0" w:rsidRPr="00610B1B">
        <w:rPr>
          <w:rFonts w:cs="Times New Roman"/>
          <w:lang w:eastAsia="en-US"/>
        </w:rPr>
        <w:t xml:space="preserve"> </w:t>
      </w:r>
      <w:r w:rsidR="00840C04" w:rsidRPr="00610B1B">
        <w:rPr>
          <w:rFonts w:cs="Times New Roman"/>
          <w:lang w:eastAsia="en-US"/>
        </w:rPr>
        <w:t xml:space="preserve">колонията е </w:t>
      </w:r>
      <w:r w:rsidR="003E4E07" w:rsidRPr="00610B1B">
        <w:rPr>
          <w:rFonts w:cs="Times New Roman"/>
          <w:lang w:eastAsia="en-US"/>
        </w:rPr>
        <w:t xml:space="preserve">от </w:t>
      </w:r>
      <w:r w:rsidR="00840C04" w:rsidRPr="00610B1B">
        <w:rPr>
          <w:rFonts w:cs="Times New Roman"/>
          <w:lang w:eastAsia="en-US"/>
        </w:rPr>
        <w:t xml:space="preserve">около 200 – 250 двойки по северното Черноморие и около 20 гнездящи двойки на остров </w:t>
      </w:r>
      <w:r w:rsidR="007B7168" w:rsidRPr="00610B1B">
        <w:rPr>
          <w:rFonts w:cs="Times New Roman"/>
          <w:lang w:eastAsia="en-US"/>
        </w:rPr>
        <w:t>„</w:t>
      </w:r>
      <w:r w:rsidR="00840C04" w:rsidRPr="00610B1B">
        <w:rPr>
          <w:rFonts w:cs="Times New Roman"/>
          <w:lang w:eastAsia="en-US"/>
        </w:rPr>
        <w:t>Св. Петър</w:t>
      </w:r>
      <w:r w:rsidR="007B7168" w:rsidRPr="00610B1B">
        <w:rPr>
          <w:rFonts w:cs="Times New Roman"/>
          <w:lang w:eastAsia="en-US"/>
        </w:rPr>
        <w:t>“</w:t>
      </w:r>
      <w:r w:rsidR="00840C04" w:rsidRPr="00610B1B">
        <w:rPr>
          <w:rFonts w:cs="Times New Roman"/>
          <w:lang w:eastAsia="en-US"/>
        </w:rPr>
        <w:t xml:space="preserve">. Налице е бавно увеличение на числеността и популацията. През зимата остава в същия район или слиза </w:t>
      </w:r>
      <w:r w:rsidR="007B7168" w:rsidRPr="00610B1B">
        <w:rPr>
          <w:rFonts w:cs="Times New Roman"/>
          <w:lang w:eastAsia="en-US"/>
        </w:rPr>
        <w:t>на юг</w:t>
      </w:r>
      <w:r w:rsidR="00840C04" w:rsidRPr="00610B1B">
        <w:rPr>
          <w:rFonts w:cs="Times New Roman"/>
          <w:lang w:eastAsia="en-US"/>
        </w:rPr>
        <w:t xml:space="preserve"> по българско</w:t>
      </w:r>
      <w:r w:rsidR="003E4E07" w:rsidRPr="00610B1B">
        <w:rPr>
          <w:rFonts w:cs="Times New Roman"/>
          <w:lang w:eastAsia="en-US"/>
        </w:rPr>
        <w:t>то</w:t>
      </w:r>
      <w:r w:rsidR="00840C04" w:rsidRPr="00610B1B">
        <w:rPr>
          <w:rFonts w:cs="Times New Roman"/>
          <w:lang w:eastAsia="en-US"/>
        </w:rPr>
        <w:t xml:space="preserve"> крайбрежие. </w:t>
      </w:r>
      <w:r w:rsidR="003E4E07" w:rsidRPr="00610B1B">
        <w:rPr>
          <w:rFonts w:cs="Times New Roman"/>
          <w:lang w:eastAsia="en-US"/>
        </w:rPr>
        <w:t>Г</w:t>
      </w:r>
      <w:r w:rsidR="00840C04" w:rsidRPr="00610B1B">
        <w:rPr>
          <w:rFonts w:cs="Times New Roman"/>
          <w:lang w:eastAsia="en-US"/>
        </w:rPr>
        <w:t xml:space="preserve">нездовата популация се смята за постоянна, </w:t>
      </w:r>
      <w:r w:rsidR="003E4E07" w:rsidRPr="00610B1B">
        <w:rPr>
          <w:rFonts w:cs="Times New Roman"/>
          <w:lang w:eastAsia="en-US"/>
        </w:rPr>
        <w:t xml:space="preserve">но </w:t>
      </w:r>
      <w:r w:rsidR="00840C04" w:rsidRPr="00610B1B">
        <w:rPr>
          <w:rFonts w:cs="Times New Roman"/>
          <w:lang w:eastAsia="en-US"/>
        </w:rPr>
        <w:t xml:space="preserve">зимните миграции не са изяснени достатъчно добре. </w:t>
      </w:r>
    </w:p>
    <w:p w14:paraId="24873C9C" w14:textId="53C4C7AD" w:rsidR="00564F20" w:rsidRPr="00610B1B" w:rsidRDefault="00840C04" w:rsidP="00D32D6A">
      <w:pPr>
        <w:pStyle w:val="BodyText"/>
        <w:spacing w:before="0" w:after="120" w:line="276" w:lineRule="auto"/>
        <w:ind w:right="-153"/>
        <w:rPr>
          <w:rFonts w:cs="Times New Roman"/>
          <w:lang w:eastAsia="en-US"/>
        </w:rPr>
      </w:pPr>
      <w:r w:rsidRPr="00610B1B">
        <w:rPr>
          <w:rFonts w:cs="Times New Roman"/>
          <w:lang w:eastAsia="en-US"/>
        </w:rPr>
        <w:t>Основната част на популацията е съсредоточена по северното Черноморско крайбрежие между нос Калиакра и Тюленово. Съгласно програмата за мониторинг на РДМС числеността на вида през 2015 г. е 680 индивида, а през 2016 г. – 367 индивида. Най-високата отчетена численост през 2018 г. е на 8 юни по време на мониторинг на морските пещери, в които гнездят корморани. Установени са 291 индивида.</w:t>
      </w:r>
      <w:r w:rsidR="002D0A49" w:rsidRPr="00610B1B">
        <w:rPr>
          <w:rFonts w:cs="Times New Roman"/>
        </w:rPr>
        <w:t xml:space="preserve"> </w:t>
      </w:r>
      <w:r w:rsidR="002D0A49" w:rsidRPr="00610B1B">
        <w:rPr>
          <w:rFonts w:cs="Times New Roman"/>
          <w:lang w:eastAsia="en-US"/>
        </w:rPr>
        <w:t>Съгласно изготвените през 2019 г. „Анализи и проучвания на видове и природни местообитания, предмет на докладване по чл. 17 от Директивата за местообитанията и чл. 12 от Директивата за птиците“, средният корморан е с гнездова численост по Черноморието между 110 и 250 двойки.</w:t>
      </w:r>
    </w:p>
    <w:p w14:paraId="5F94F317" w14:textId="77777777" w:rsidR="002D0A49" w:rsidRPr="00610B1B" w:rsidRDefault="00DD6F02" w:rsidP="00D32D6A">
      <w:pPr>
        <w:pStyle w:val="BodyText"/>
        <w:spacing w:before="0" w:after="120" w:line="276" w:lineRule="auto"/>
        <w:ind w:right="-153"/>
        <w:rPr>
          <w:rFonts w:cs="Times New Roman"/>
        </w:rPr>
      </w:pPr>
      <w:r w:rsidRPr="00610B1B">
        <w:rPr>
          <w:rFonts w:cs="Times New Roman"/>
        </w:rPr>
        <w:t xml:space="preserve">По Черноморското крайбрежие са обявени 19 защитени зони по Директива 2009/147 за </w:t>
      </w:r>
      <w:r w:rsidRPr="00610B1B">
        <w:rPr>
          <w:rFonts w:cs="Times New Roman"/>
        </w:rPr>
        <w:lastRenderedPageBreak/>
        <w:t xml:space="preserve">опазване на дивите птици. </w:t>
      </w:r>
      <w:r w:rsidR="002D0A49" w:rsidRPr="00610B1B">
        <w:rPr>
          <w:rFonts w:cs="Times New Roman"/>
        </w:rPr>
        <w:t xml:space="preserve">Общата площ на защитените зони възлиза на 416 536,86 ha. Сухоземната част на зоните обхваща 362 048,46 ha, а акваторията 54 488,7 ha. </w:t>
      </w:r>
      <w:r w:rsidRPr="00610B1B">
        <w:rPr>
          <w:rFonts w:cs="Times New Roman"/>
        </w:rPr>
        <w:t xml:space="preserve">Средният корморан и средиземноморският буревестник са предмет на опазване в 11 от тях. </w:t>
      </w:r>
    </w:p>
    <w:p w14:paraId="4F1785F9" w14:textId="5228C5AB" w:rsidR="00DD6F02" w:rsidRPr="00610B1B" w:rsidRDefault="00DD6F02" w:rsidP="00D32D6A">
      <w:pPr>
        <w:pStyle w:val="BodyText"/>
        <w:spacing w:before="0" w:after="120" w:line="276" w:lineRule="auto"/>
        <w:ind w:right="-153"/>
        <w:rPr>
          <w:rFonts w:cs="Times New Roman"/>
        </w:rPr>
      </w:pPr>
      <w:r w:rsidRPr="00610B1B">
        <w:rPr>
          <w:rFonts w:cs="Times New Roman"/>
        </w:rPr>
        <w:t xml:space="preserve">Освен </w:t>
      </w:r>
      <w:r w:rsidR="003E4E07" w:rsidRPr="00610B1B">
        <w:rPr>
          <w:rFonts w:cs="Times New Roman"/>
        </w:rPr>
        <w:t>Средиземноморският буревестник и Средният корморан</w:t>
      </w:r>
      <w:r w:rsidRPr="00610B1B">
        <w:rPr>
          <w:rFonts w:cs="Times New Roman"/>
        </w:rPr>
        <w:t xml:space="preserve"> по Българското Черноморско крайбрежие се срещат и други видове птици зависещи от морската среда. От изключително значение</w:t>
      </w:r>
      <w:r w:rsidR="004D7FC7" w:rsidRPr="00610B1B">
        <w:rPr>
          <w:rFonts w:cs="Times New Roman"/>
        </w:rPr>
        <w:t>,</w:t>
      </w:r>
      <w:r w:rsidRPr="00610B1B">
        <w:rPr>
          <w:rFonts w:cs="Times New Roman"/>
        </w:rPr>
        <w:t xml:space="preserve"> предимно за водолюбивите птици са черноморските крайбрежни езера, където се концентрират в значителна численост през зимните месеци и по време на миграция, а също така предлагат оптимални условия за гнездене на редки и застрашени видове птици.</w:t>
      </w:r>
    </w:p>
    <w:p w14:paraId="23BAF9FE" w14:textId="44982EF5" w:rsidR="009D4A0E" w:rsidRPr="00610B1B" w:rsidRDefault="009D4A0E" w:rsidP="00D32D6A">
      <w:pPr>
        <w:pStyle w:val="BodyText"/>
        <w:spacing w:before="0" w:after="120" w:line="276" w:lineRule="auto"/>
        <w:ind w:right="-153"/>
        <w:rPr>
          <w:rFonts w:cs="Times New Roman"/>
          <w:b/>
          <w:bCs/>
        </w:rPr>
      </w:pPr>
      <w:r w:rsidRPr="00610B1B">
        <w:rPr>
          <w:rFonts w:cs="Times New Roman"/>
          <w:b/>
          <w:bCs/>
        </w:rPr>
        <w:t xml:space="preserve">Западночерноморски прелетен път на реещите птици </w:t>
      </w:r>
      <w:r w:rsidRPr="00610B1B">
        <w:rPr>
          <w:rFonts w:cs="Times New Roman"/>
          <w:b/>
          <w:bCs/>
          <w:i/>
          <w:iCs/>
        </w:rPr>
        <w:t>Via Pontica</w:t>
      </w:r>
    </w:p>
    <w:p w14:paraId="57154F4D" w14:textId="475B5118" w:rsidR="009D4A0E" w:rsidRPr="00610B1B" w:rsidRDefault="009D4A0E" w:rsidP="00D32D6A">
      <w:pPr>
        <w:pStyle w:val="BodyText"/>
        <w:spacing w:before="0" w:after="120" w:line="276" w:lineRule="auto"/>
        <w:ind w:right="-153"/>
        <w:rPr>
          <w:rFonts w:cs="Times New Roman"/>
        </w:rPr>
      </w:pPr>
      <w:r w:rsidRPr="00610B1B">
        <w:rPr>
          <w:rFonts w:cs="Times New Roman"/>
        </w:rPr>
        <w:t>За птиците е характерна изключително висока</w:t>
      </w:r>
      <w:r w:rsidR="003647CF" w:rsidRPr="00610B1B">
        <w:rPr>
          <w:rFonts w:cs="Times New Roman"/>
        </w:rPr>
        <w:t>та</w:t>
      </w:r>
      <w:r w:rsidRPr="00610B1B">
        <w:rPr>
          <w:rFonts w:cs="Times New Roman"/>
        </w:rPr>
        <w:t xml:space="preserve"> мобилност, довела до своеобразна екологическа адаптация – миграцията. Съществуват преки данни за насочващо влияние на крайбрежната ивица върху посоката и плътността на мигриращите птици. </w:t>
      </w:r>
      <w:r w:rsidR="007B7168" w:rsidRPr="00610B1B">
        <w:rPr>
          <w:rFonts w:cs="Times New Roman"/>
        </w:rPr>
        <w:t xml:space="preserve">Разпределението </w:t>
      </w:r>
      <w:r w:rsidRPr="00610B1B">
        <w:rPr>
          <w:rFonts w:cs="Times New Roman"/>
        </w:rPr>
        <w:t xml:space="preserve">на мигрантите по Черноморското крайбрежие на България е известно като Виа Понтика </w:t>
      </w:r>
      <w:r w:rsidRPr="00610B1B">
        <w:rPr>
          <w:rFonts w:cs="Times New Roman"/>
          <w:iCs/>
        </w:rPr>
        <w:t>(</w:t>
      </w:r>
      <w:r w:rsidRPr="00610B1B">
        <w:rPr>
          <w:rFonts w:cs="Times New Roman"/>
          <w:i/>
        </w:rPr>
        <w:t>Via Pontica</w:t>
      </w:r>
      <w:r w:rsidRPr="00610B1B">
        <w:rPr>
          <w:rFonts w:cs="Times New Roman"/>
          <w:iCs/>
        </w:rPr>
        <w:t>)</w:t>
      </w:r>
      <w:r w:rsidRPr="00610B1B">
        <w:rPr>
          <w:rFonts w:cs="Times New Roman"/>
        </w:rPr>
        <w:t xml:space="preserve"> или Западночерноморски прелетен път. </w:t>
      </w:r>
    </w:p>
    <w:p w14:paraId="6790287E" w14:textId="0B74ED66" w:rsidR="009D4A0E" w:rsidRPr="00610B1B" w:rsidRDefault="009D4A0E" w:rsidP="00D32D6A">
      <w:pPr>
        <w:pStyle w:val="BodyText"/>
        <w:spacing w:before="0" w:after="120" w:line="276" w:lineRule="auto"/>
        <w:ind w:right="-153"/>
        <w:rPr>
          <w:rFonts w:cs="Times New Roman"/>
        </w:rPr>
      </w:pPr>
      <w:r w:rsidRPr="00610B1B">
        <w:rPr>
          <w:rFonts w:cs="Times New Roman"/>
        </w:rPr>
        <w:t>Сезонната миграция на птиците е процес на постоянно приспособяване към променящата се среда</w:t>
      </w:r>
      <w:r w:rsidR="004D7FC7" w:rsidRPr="00610B1B">
        <w:rPr>
          <w:rFonts w:cs="Times New Roman"/>
        </w:rPr>
        <w:t xml:space="preserve">, чрез който те </w:t>
      </w:r>
      <w:r w:rsidRPr="00610B1B">
        <w:rPr>
          <w:rFonts w:cs="Times New Roman"/>
        </w:rPr>
        <w:t xml:space="preserve">са развили морфологични и физиологични приспособления </w:t>
      </w:r>
      <w:r w:rsidR="004D7FC7" w:rsidRPr="00610B1B">
        <w:rPr>
          <w:rFonts w:cs="Times New Roman"/>
        </w:rPr>
        <w:t>за</w:t>
      </w:r>
      <w:r w:rsidRPr="00610B1B">
        <w:rPr>
          <w:rFonts w:cs="Times New Roman"/>
        </w:rPr>
        <w:t xml:space="preserve"> осъществява</w:t>
      </w:r>
      <w:r w:rsidR="004D7FC7" w:rsidRPr="00610B1B">
        <w:rPr>
          <w:rFonts w:cs="Times New Roman"/>
        </w:rPr>
        <w:t>не на</w:t>
      </w:r>
      <w:r w:rsidRPr="00610B1B">
        <w:rPr>
          <w:rFonts w:cs="Times New Roman"/>
        </w:rPr>
        <w:t xml:space="preserve"> редовни сезонни прелети между гнездовите </w:t>
      </w:r>
      <w:r w:rsidR="004D7FC7" w:rsidRPr="00610B1B">
        <w:rPr>
          <w:rFonts w:cs="Times New Roman"/>
        </w:rPr>
        <w:t>им</w:t>
      </w:r>
      <w:r w:rsidRPr="00610B1B">
        <w:rPr>
          <w:rFonts w:cs="Times New Roman"/>
        </w:rPr>
        <w:t xml:space="preserve"> ареали в умерените ширини и зимните </w:t>
      </w:r>
      <w:r w:rsidR="004D7FC7" w:rsidRPr="00610B1B">
        <w:rPr>
          <w:rFonts w:cs="Times New Roman"/>
        </w:rPr>
        <w:t>им</w:t>
      </w:r>
      <w:r w:rsidRPr="00610B1B">
        <w:rPr>
          <w:rFonts w:cs="Times New Roman"/>
        </w:rPr>
        <w:t xml:space="preserve"> квартири в тропическите и екваториални райони, откъдето произхождат. Тази адаптация съществува над 100 млн. години и е позволила на Клас Птици </w:t>
      </w:r>
      <w:r w:rsidRPr="00610B1B">
        <w:rPr>
          <w:rFonts w:cs="Times New Roman"/>
          <w:iCs/>
        </w:rPr>
        <w:t>(</w:t>
      </w:r>
      <w:r w:rsidRPr="00610B1B">
        <w:rPr>
          <w:rFonts w:cs="Times New Roman"/>
        </w:rPr>
        <w:t>Aves</w:t>
      </w:r>
      <w:r w:rsidRPr="00610B1B">
        <w:rPr>
          <w:rFonts w:cs="Times New Roman"/>
          <w:iCs/>
        </w:rPr>
        <w:t>)</w:t>
      </w:r>
      <w:r w:rsidR="00D66FE0" w:rsidRPr="00610B1B">
        <w:rPr>
          <w:rFonts w:cs="Times New Roman"/>
        </w:rPr>
        <w:t xml:space="preserve"> </w:t>
      </w:r>
      <w:r w:rsidRPr="00610B1B">
        <w:rPr>
          <w:rFonts w:cs="Times New Roman"/>
        </w:rPr>
        <w:t>да оцелеят при глобалните промени в климата през този дълъг период от време.</w:t>
      </w:r>
    </w:p>
    <w:p w14:paraId="1E27817D" w14:textId="2E768ED9" w:rsidR="009D4A0E" w:rsidRPr="00610B1B" w:rsidRDefault="009D4A0E" w:rsidP="00D32D6A">
      <w:pPr>
        <w:pStyle w:val="BodyText"/>
        <w:spacing w:before="0" w:after="120" w:line="276" w:lineRule="auto"/>
        <w:ind w:right="-153"/>
        <w:rPr>
          <w:rFonts w:cs="Times New Roman"/>
        </w:rPr>
      </w:pPr>
      <w:r w:rsidRPr="00610B1B">
        <w:rPr>
          <w:rFonts w:cs="Times New Roman"/>
        </w:rPr>
        <w:t xml:space="preserve">Западночерноморският прелетен път събира мигранти от северни географски ширини, като на места се образуват концентрации или места с тесен фронт на миграция </w:t>
      </w:r>
      <w:r w:rsidRPr="00610B1B">
        <w:rPr>
          <w:rFonts w:cs="Times New Roman"/>
          <w:iCs/>
        </w:rPr>
        <w:t>(</w:t>
      </w:r>
      <w:r w:rsidRPr="00610B1B">
        <w:rPr>
          <w:rFonts w:cs="Times New Roman"/>
        </w:rPr>
        <w:t>bottle neck</w:t>
      </w:r>
      <w:r w:rsidRPr="00610B1B">
        <w:rPr>
          <w:rFonts w:cs="Times New Roman"/>
          <w:iCs/>
        </w:rPr>
        <w:t>)</w:t>
      </w:r>
      <w:r w:rsidRPr="00610B1B">
        <w:rPr>
          <w:rFonts w:cs="Times New Roman"/>
        </w:rPr>
        <w:t>. Такива места има по Варненското крайбрежие, н</w:t>
      </w:r>
      <w:r w:rsidR="007B7168" w:rsidRPr="00610B1B">
        <w:rPr>
          <w:rFonts w:cs="Times New Roman"/>
        </w:rPr>
        <w:t>ос</w:t>
      </w:r>
      <w:r w:rsidRPr="00610B1B">
        <w:rPr>
          <w:rFonts w:cs="Times New Roman"/>
        </w:rPr>
        <w:t xml:space="preserve"> Емине и особено около Бургас и Бургаските езера. По Северното Черноморие и Южна Добруджа прелетният път на птиците е на по-широк фронт, достигащ 60-80 km, като птиците използват суходолия, долини и особености на релефа</w:t>
      </w:r>
      <w:r w:rsidR="003647CF" w:rsidRPr="00610B1B">
        <w:rPr>
          <w:rFonts w:cs="Times New Roman"/>
        </w:rPr>
        <w:t>,</w:t>
      </w:r>
      <w:r w:rsidRPr="00610B1B">
        <w:rPr>
          <w:rFonts w:cs="Times New Roman"/>
        </w:rPr>
        <w:t xml:space="preserve"> отдалечени от крайбрежието.</w:t>
      </w:r>
    </w:p>
    <w:p w14:paraId="3A3FA652" w14:textId="539A1406" w:rsidR="009D4A0E" w:rsidRPr="00610B1B" w:rsidRDefault="009D4A0E" w:rsidP="00D32D6A">
      <w:pPr>
        <w:pStyle w:val="BodyText"/>
        <w:spacing w:before="0" w:after="120" w:line="276" w:lineRule="auto"/>
        <w:ind w:right="-153"/>
        <w:rPr>
          <w:rFonts w:cs="Times New Roman"/>
        </w:rPr>
      </w:pPr>
      <w:r w:rsidRPr="00610B1B">
        <w:rPr>
          <w:rFonts w:cs="Times New Roman"/>
        </w:rPr>
        <w:t>От 2004 г. започват системни изследвания в различни райони на страната във връзка с изграждането на ветроенергийни паркове</w:t>
      </w:r>
      <w:r w:rsidR="004D7FC7" w:rsidRPr="00610B1B">
        <w:rPr>
          <w:rFonts w:cs="Times New Roman"/>
        </w:rPr>
        <w:t xml:space="preserve">, в </w:t>
      </w:r>
      <w:r w:rsidRPr="00610B1B">
        <w:rPr>
          <w:rFonts w:cs="Times New Roman"/>
        </w:rPr>
        <w:t xml:space="preserve">резултат на </w:t>
      </w:r>
      <w:r w:rsidR="004D7FC7" w:rsidRPr="00610B1B">
        <w:rPr>
          <w:rFonts w:cs="Times New Roman"/>
        </w:rPr>
        <w:t>което</w:t>
      </w:r>
      <w:r w:rsidRPr="00610B1B">
        <w:rPr>
          <w:rFonts w:cs="Times New Roman"/>
        </w:rPr>
        <w:t xml:space="preserve"> е доказано, че интензивният прелетен път на птиците</w:t>
      </w:r>
      <w:r w:rsidRPr="00610B1B">
        <w:rPr>
          <w:rFonts w:cs="Times New Roman"/>
          <w:i/>
        </w:rPr>
        <w:t xml:space="preserve"> Via Pontica</w:t>
      </w:r>
      <w:r w:rsidRPr="00610B1B">
        <w:rPr>
          <w:rFonts w:cs="Times New Roman"/>
        </w:rPr>
        <w:t xml:space="preserve"> е съсредоточен в източната част на страната, източно от линията Русе, Карнобат, Малко Търново до морския бряг</w:t>
      </w:r>
      <w:r w:rsidR="004D7FC7" w:rsidRPr="00610B1B">
        <w:rPr>
          <w:rFonts w:cs="Times New Roman"/>
        </w:rPr>
        <w:t>. Там</w:t>
      </w:r>
      <w:r w:rsidRPr="00610B1B">
        <w:rPr>
          <w:rFonts w:cs="Times New Roman"/>
        </w:rPr>
        <w:t xml:space="preserve"> прелитат 74% от реещите се птици през пролетната миграция и над 89% от реещите птици по време на есенната миграция.</w:t>
      </w:r>
    </w:p>
    <w:p w14:paraId="01B1A183" w14:textId="40F66E84" w:rsidR="009D4A0E" w:rsidRPr="00610B1B" w:rsidRDefault="009D4A0E" w:rsidP="00D32D6A">
      <w:pPr>
        <w:pStyle w:val="NormalWeb"/>
        <w:suppressAutoHyphens/>
        <w:spacing w:before="0" w:beforeAutospacing="0" w:after="120" w:afterAutospacing="0" w:line="276" w:lineRule="auto"/>
        <w:ind w:right="-153"/>
        <w:jc w:val="both"/>
        <w:rPr>
          <w:lang w:val="bg-BG"/>
        </w:rPr>
      </w:pPr>
      <w:r w:rsidRPr="00610B1B">
        <w:rPr>
          <w:lang w:val="bg-BG"/>
        </w:rPr>
        <w:t xml:space="preserve">Относно двата морски вида птици – средиземноморския буревестник и средния корморан, </w:t>
      </w:r>
      <w:r w:rsidR="003502C5" w:rsidRPr="00610B1B">
        <w:rPr>
          <w:lang w:val="bg-BG"/>
        </w:rPr>
        <w:t xml:space="preserve">независимо от ограничената информация, </w:t>
      </w:r>
      <w:r w:rsidRPr="00610B1B">
        <w:rPr>
          <w:lang w:val="bg-BG"/>
        </w:rPr>
        <w:t xml:space="preserve">могат да се дефинират </w:t>
      </w:r>
      <w:r w:rsidR="003502C5" w:rsidRPr="00610B1B">
        <w:rPr>
          <w:lang w:val="bg-BG"/>
        </w:rPr>
        <w:t>няколко</w:t>
      </w:r>
      <w:r w:rsidR="00D66FE0" w:rsidRPr="00610B1B">
        <w:rPr>
          <w:lang w:val="bg-BG"/>
        </w:rPr>
        <w:t xml:space="preserve"> </w:t>
      </w:r>
      <w:r w:rsidRPr="00610B1B">
        <w:rPr>
          <w:lang w:val="bg-BG"/>
        </w:rPr>
        <w:t>екологични проблеми.</w:t>
      </w:r>
      <w:r w:rsidR="00BF5F75" w:rsidRPr="00610B1B">
        <w:rPr>
          <w:lang w:val="bg-BG"/>
        </w:rPr>
        <w:t xml:space="preserve"> </w:t>
      </w:r>
      <w:r w:rsidRPr="00610B1B">
        <w:rPr>
          <w:lang w:val="bg-BG"/>
        </w:rPr>
        <w:t>Най-сериозният проблем и най-сериозната заплаха за двата целеви вида и за други водолюбиви птици по черноморското крайбрежие е антропогенният натиск, замърсяването на водите и крайбрежната ивица с нефтопродукти, пластмасови и други отпадъци, разрушаване на местообитанията и безпокойство.</w:t>
      </w:r>
      <w:r w:rsidR="00BF5F75" w:rsidRPr="00610B1B">
        <w:rPr>
          <w:lang w:val="bg-BG"/>
        </w:rPr>
        <w:t xml:space="preserve"> </w:t>
      </w:r>
      <w:r w:rsidRPr="00610B1B">
        <w:rPr>
          <w:lang w:val="bg-BG"/>
        </w:rPr>
        <w:t xml:space="preserve">Натискът върху морските птици е следствие на съпътстващ улов и случайно убиване, риболов и други дейности, </w:t>
      </w:r>
      <w:r w:rsidRPr="00610B1B">
        <w:rPr>
          <w:lang w:val="bg-BG"/>
        </w:rPr>
        <w:lastRenderedPageBreak/>
        <w:t>водещи до намаляване на трофичната база на птиците, строителство, безпокойство и нарушаване на гнездови местообитания и местообитания за почивка и хранене.</w:t>
      </w:r>
      <w:r w:rsidR="00BF5F75" w:rsidRPr="00610B1B">
        <w:rPr>
          <w:lang w:val="bg-BG"/>
        </w:rPr>
        <w:t xml:space="preserve"> </w:t>
      </w:r>
      <w:r w:rsidRPr="00610B1B">
        <w:rPr>
          <w:lang w:val="bg-BG"/>
        </w:rPr>
        <w:t xml:space="preserve">С </w:t>
      </w:r>
      <w:r w:rsidR="00281709" w:rsidRPr="00610B1B">
        <w:rPr>
          <w:lang w:val="bg-BG"/>
        </w:rPr>
        <w:t>увеличаване на изследванията и знанието</w:t>
      </w:r>
      <w:r w:rsidRPr="00610B1B">
        <w:rPr>
          <w:lang w:val="bg-BG"/>
        </w:rPr>
        <w:t xml:space="preserve"> </w:t>
      </w:r>
      <w:r w:rsidR="00281709" w:rsidRPr="00610B1B">
        <w:rPr>
          <w:lang w:val="bg-BG"/>
        </w:rPr>
        <w:t>за</w:t>
      </w:r>
      <w:r w:rsidRPr="00610B1B">
        <w:rPr>
          <w:lang w:val="bg-BG"/>
        </w:rPr>
        <w:t xml:space="preserve"> проблематиката е възможно да се планират и приложат мерки</w:t>
      </w:r>
      <w:r w:rsidR="00281709" w:rsidRPr="00610B1B">
        <w:rPr>
          <w:lang w:val="bg-BG"/>
        </w:rPr>
        <w:t xml:space="preserve"> за </w:t>
      </w:r>
      <w:r w:rsidRPr="00610B1B">
        <w:rPr>
          <w:lang w:val="bg-BG"/>
        </w:rPr>
        <w:t>подобряване състоянието и популациите на морските видове птици.</w:t>
      </w:r>
      <w:r w:rsidR="00BF5F75" w:rsidRPr="00610B1B">
        <w:rPr>
          <w:lang w:val="bg-BG"/>
        </w:rPr>
        <w:t xml:space="preserve"> </w:t>
      </w:r>
    </w:p>
    <w:p w14:paraId="0A0F4900" w14:textId="6FC482D5" w:rsidR="009D4A0E" w:rsidRPr="00610B1B" w:rsidRDefault="00BF5F75" w:rsidP="00D32D6A">
      <w:pPr>
        <w:pStyle w:val="NormalWeb"/>
        <w:suppressAutoHyphens/>
        <w:spacing w:before="0" w:beforeAutospacing="0" w:after="120" w:afterAutospacing="0" w:line="276" w:lineRule="auto"/>
        <w:ind w:right="-153"/>
        <w:jc w:val="both"/>
        <w:rPr>
          <w:lang w:val="bg-BG"/>
        </w:rPr>
      </w:pPr>
      <w:r w:rsidRPr="00610B1B">
        <w:rPr>
          <w:lang w:val="bg-BG"/>
        </w:rPr>
        <w:t xml:space="preserve">За постигането на добро състояние на морските птици, както и на останалите видове, които зависят частично от морската среда, наред с предложените мерки е необходимо опазване на техните местообитания. Тези дейности следва да се придружават от завишен контрол върху защитените територии и защитените зони в акваторията и </w:t>
      </w:r>
      <w:r w:rsidR="009D4A0E" w:rsidRPr="00610B1B">
        <w:rPr>
          <w:lang w:val="bg-BG"/>
        </w:rPr>
        <w:t>забрана за строителни и инвестиционни дейности в близост с гнезд</w:t>
      </w:r>
      <w:r w:rsidR="00281709" w:rsidRPr="00610B1B">
        <w:rPr>
          <w:lang w:val="bg-BG"/>
        </w:rPr>
        <w:t>е</w:t>
      </w:r>
      <w:r w:rsidR="009D4A0E" w:rsidRPr="00610B1B">
        <w:rPr>
          <w:lang w:val="bg-BG"/>
        </w:rPr>
        <w:t xml:space="preserve">щи </w:t>
      </w:r>
      <w:r w:rsidRPr="00610B1B">
        <w:rPr>
          <w:lang w:val="bg-BG"/>
        </w:rPr>
        <w:t>птици</w:t>
      </w:r>
      <w:r w:rsidR="007B7168" w:rsidRPr="00610B1B">
        <w:rPr>
          <w:lang w:val="bg-BG"/>
        </w:rPr>
        <w:t xml:space="preserve"> в крайбрежната територия</w:t>
      </w:r>
      <w:r w:rsidRPr="00610B1B">
        <w:rPr>
          <w:lang w:val="bg-BG"/>
        </w:rPr>
        <w:t>.</w:t>
      </w:r>
      <w:r w:rsidR="009848A7" w:rsidRPr="00610B1B">
        <w:rPr>
          <w:lang w:val="bg-BG"/>
        </w:rPr>
        <w:t xml:space="preserve"> </w:t>
      </w:r>
    </w:p>
    <w:p w14:paraId="07702D17" w14:textId="35AE6258" w:rsidR="009D4A0E" w:rsidRPr="00610B1B" w:rsidRDefault="009848A7" w:rsidP="00D32D6A">
      <w:pPr>
        <w:pStyle w:val="Heading4"/>
        <w:spacing w:before="0" w:line="276" w:lineRule="auto"/>
        <w:ind w:right="-153"/>
        <w:rPr>
          <w:rFonts w:cs="Times New Roman"/>
        </w:rPr>
      </w:pPr>
      <w:r w:rsidRPr="00610B1B">
        <w:rPr>
          <w:rFonts w:cs="Times New Roman"/>
        </w:rPr>
        <w:t xml:space="preserve">2.2.4.6. </w:t>
      </w:r>
      <w:r w:rsidR="009D4A0E" w:rsidRPr="00610B1B">
        <w:rPr>
          <w:rFonts w:cs="Times New Roman"/>
        </w:rPr>
        <w:t>Инвазивни видове</w:t>
      </w:r>
    </w:p>
    <w:p w14:paraId="0AB7D3C5" w14:textId="52BD5FF9" w:rsidR="00281709" w:rsidRPr="00610B1B" w:rsidRDefault="009D4A0E" w:rsidP="00D32D6A">
      <w:pPr>
        <w:pStyle w:val="BodyText"/>
        <w:spacing w:before="0" w:after="120" w:line="276" w:lineRule="auto"/>
        <w:ind w:right="-153"/>
        <w:rPr>
          <w:rFonts w:cs="Times New Roman"/>
        </w:rPr>
      </w:pPr>
      <w:r w:rsidRPr="00610B1B">
        <w:rPr>
          <w:rFonts w:cs="Times New Roman"/>
        </w:rPr>
        <w:t>Биоинвазиите засягат силно Черноморската екосистема през втората половина на 20 век</w:t>
      </w:r>
      <w:r w:rsidR="00971318" w:rsidRPr="00610B1B">
        <w:rPr>
          <w:rFonts w:cs="Times New Roman"/>
        </w:rPr>
        <w:t>.</w:t>
      </w:r>
      <w:r w:rsidR="00D66FE0" w:rsidRPr="00610B1B">
        <w:rPr>
          <w:rFonts w:cs="Times New Roman"/>
        </w:rPr>
        <w:t xml:space="preserve"> </w:t>
      </w:r>
      <w:r w:rsidRPr="00610B1B">
        <w:rPr>
          <w:rFonts w:cs="Times New Roman"/>
        </w:rPr>
        <w:t xml:space="preserve">Броят на чуждите видове в Черно море и крайбрежните местообитания регистрирани до 2006 г. възлиза на 217, от тях 102 са постоянно установили се, 20 вида са силно </w:t>
      </w:r>
      <w:r w:rsidR="00971318" w:rsidRPr="00610B1B">
        <w:rPr>
          <w:rFonts w:cs="Times New Roman"/>
        </w:rPr>
        <w:t>инвазивни а</w:t>
      </w:r>
      <w:r w:rsidRPr="00610B1B">
        <w:rPr>
          <w:rFonts w:cs="Times New Roman"/>
        </w:rPr>
        <w:t xml:space="preserve"> 35 - умерено инвазивни. Инвентаризацията на чуждите видове</w:t>
      </w:r>
      <w:r w:rsidR="00281709" w:rsidRPr="00610B1B">
        <w:rPr>
          <w:rFonts w:cs="Times New Roman"/>
        </w:rPr>
        <w:t>,</w:t>
      </w:r>
      <w:r w:rsidRPr="00610B1B">
        <w:rPr>
          <w:rFonts w:cs="Times New Roman"/>
        </w:rPr>
        <w:t xml:space="preserve"> открити в българската акватория на Черно море </w:t>
      </w:r>
      <w:bookmarkStart w:id="36" w:name="_Hlk44868574"/>
      <w:r w:rsidRPr="00610B1B">
        <w:rPr>
          <w:rFonts w:cs="Times New Roman"/>
          <w:iCs/>
        </w:rPr>
        <w:t>(</w:t>
      </w:r>
      <w:r w:rsidRPr="00610B1B">
        <w:rPr>
          <w:rFonts w:cs="Times New Roman"/>
          <w:i/>
          <w:iCs/>
        </w:rPr>
        <w:t>Стефанова и др., 2013; Yankova, 2016</w:t>
      </w:r>
      <w:r w:rsidRPr="00610B1B">
        <w:rPr>
          <w:rFonts w:cs="Times New Roman"/>
          <w:iCs/>
        </w:rPr>
        <w:t>)</w:t>
      </w:r>
      <w:r w:rsidRPr="00610B1B">
        <w:rPr>
          <w:rFonts w:cs="Times New Roman"/>
        </w:rPr>
        <w:t xml:space="preserve"> </w:t>
      </w:r>
      <w:bookmarkEnd w:id="36"/>
      <w:r w:rsidRPr="00610B1B">
        <w:rPr>
          <w:rFonts w:cs="Times New Roman"/>
        </w:rPr>
        <w:t>показва, че те се отнасят към 5 екологични групи</w:t>
      </w:r>
      <w:r w:rsidR="00971318" w:rsidRPr="00610B1B">
        <w:rPr>
          <w:rFonts w:cs="Times New Roman"/>
        </w:rPr>
        <w:t xml:space="preserve">: </w:t>
      </w:r>
      <w:r w:rsidRPr="00610B1B">
        <w:rPr>
          <w:rFonts w:cs="Times New Roman"/>
        </w:rPr>
        <w:t xml:space="preserve">фитопланктон, зоопланктон, фитобентос </w:t>
      </w:r>
      <w:r w:rsidRPr="00610B1B">
        <w:rPr>
          <w:rFonts w:cs="Times New Roman"/>
          <w:iCs/>
        </w:rPr>
        <w:t>(</w:t>
      </w:r>
      <w:r w:rsidRPr="00610B1B">
        <w:rPr>
          <w:rFonts w:cs="Times New Roman"/>
        </w:rPr>
        <w:t>висши водорасли</w:t>
      </w:r>
      <w:r w:rsidRPr="00610B1B">
        <w:rPr>
          <w:rFonts w:cs="Times New Roman"/>
          <w:iCs/>
        </w:rPr>
        <w:t>)</w:t>
      </w:r>
      <w:r w:rsidRPr="00610B1B">
        <w:rPr>
          <w:rFonts w:cs="Times New Roman"/>
        </w:rPr>
        <w:t>, зообентос</w:t>
      </w:r>
      <w:r w:rsidR="007B2661" w:rsidRPr="00610B1B">
        <w:rPr>
          <w:rFonts w:cs="Times New Roman"/>
        </w:rPr>
        <w:t xml:space="preserve"> </w:t>
      </w:r>
      <w:r w:rsidRPr="00610B1B">
        <w:rPr>
          <w:rFonts w:cs="Times New Roman"/>
          <w:iCs/>
        </w:rPr>
        <w:t>(</w:t>
      </w:r>
      <w:r w:rsidRPr="00610B1B">
        <w:rPr>
          <w:rFonts w:cs="Times New Roman"/>
        </w:rPr>
        <w:t>дънни безгръбначни животни</w:t>
      </w:r>
      <w:r w:rsidRPr="00610B1B">
        <w:rPr>
          <w:rFonts w:cs="Times New Roman"/>
          <w:iCs/>
        </w:rPr>
        <w:t>)</w:t>
      </w:r>
      <w:r w:rsidRPr="00610B1B">
        <w:rPr>
          <w:rFonts w:cs="Times New Roman"/>
        </w:rPr>
        <w:t xml:space="preserve"> и риби</w:t>
      </w:r>
      <w:r w:rsidR="00E57029" w:rsidRPr="00610B1B">
        <w:rPr>
          <w:rFonts w:cs="Times New Roman"/>
        </w:rPr>
        <w:t xml:space="preserve">. </w:t>
      </w:r>
      <w:r w:rsidRPr="00610B1B">
        <w:rPr>
          <w:rFonts w:cs="Times New Roman"/>
        </w:rPr>
        <w:t>От тях 16 вида са определени като инвазивни за Черноморската екосистема. Най-много са представителите на зообентос</w:t>
      </w:r>
      <w:r w:rsidR="00971318" w:rsidRPr="00610B1B">
        <w:rPr>
          <w:rFonts w:cs="Times New Roman"/>
        </w:rPr>
        <w:t>а</w:t>
      </w:r>
      <w:r w:rsidRPr="00610B1B">
        <w:rPr>
          <w:rFonts w:cs="Times New Roman"/>
        </w:rPr>
        <w:t xml:space="preserve"> </w:t>
      </w:r>
      <w:r w:rsidRPr="00610B1B">
        <w:rPr>
          <w:rFonts w:cs="Times New Roman"/>
          <w:iCs/>
        </w:rPr>
        <w:t>(</w:t>
      </w:r>
      <w:r w:rsidRPr="00610B1B">
        <w:rPr>
          <w:rFonts w:cs="Times New Roman"/>
        </w:rPr>
        <w:t>7</w:t>
      </w:r>
      <w:r w:rsidRPr="00610B1B">
        <w:rPr>
          <w:rFonts w:cs="Times New Roman"/>
          <w:iCs/>
        </w:rPr>
        <w:t>)</w:t>
      </w:r>
      <w:r w:rsidRPr="00610B1B">
        <w:rPr>
          <w:rFonts w:cs="Times New Roman"/>
        </w:rPr>
        <w:t xml:space="preserve">, на второ място – фитопланктон </w:t>
      </w:r>
      <w:r w:rsidRPr="00610B1B">
        <w:rPr>
          <w:rFonts w:cs="Times New Roman"/>
          <w:iCs/>
        </w:rPr>
        <w:t>(</w:t>
      </w:r>
      <w:r w:rsidRPr="00610B1B">
        <w:rPr>
          <w:rFonts w:cs="Times New Roman"/>
        </w:rPr>
        <w:t>5</w:t>
      </w:r>
      <w:r w:rsidRPr="00610B1B">
        <w:rPr>
          <w:rFonts w:cs="Times New Roman"/>
          <w:iCs/>
        </w:rPr>
        <w:t>)</w:t>
      </w:r>
      <w:r w:rsidRPr="00610B1B">
        <w:rPr>
          <w:rFonts w:cs="Times New Roman"/>
        </w:rPr>
        <w:t>, зоопланктон – 2, макрофитобентос – 1, риби – 1</w:t>
      </w:r>
      <w:r w:rsidR="00281709" w:rsidRPr="00610B1B">
        <w:rPr>
          <w:rFonts w:cs="Times New Roman"/>
        </w:rPr>
        <w:t xml:space="preserve">. </w:t>
      </w:r>
    </w:p>
    <w:p w14:paraId="24F7928E" w14:textId="7A47B3B4" w:rsidR="003B3126" w:rsidRPr="00610B1B" w:rsidRDefault="00281709" w:rsidP="00D32D6A">
      <w:pPr>
        <w:pStyle w:val="BodyText"/>
        <w:spacing w:before="0" w:after="120" w:line="276" w:lineRule="auto"/>
        <w:ind w:right="-153"/>
        <w:rPr>
          <w:rFonts w:cs="Times New Roman"/>
        </w:rPr>
      </w:pPr>
      <w:r w:rsidRPr="00610B1B">
        <w:rPr>
          <w:rFonts w:cs="Times New Roman"/>
        </w:rPr>
        <w:t xml:space="preserve">Повечето </w:t>
      </w:r>
      <w:r w:rsidR="009D4A0E" w:rsidRPr="00610B1B">
        <w:rPr>
          <w:rFonts w:cs="Times New Roman"/>
        </w:rPr>
        <w:t>са пришълци от Атлантическия океан</w:t>
      </w:r>
      <w:r w:rsidRPr="00610B1B">
        <w:rPr>
          <w:rFonts w:cs="Times New Roman"/>
        </w:rPr>
        <w:t xml:space="preserve">, а основният </w:t>
      </w:r>
      <w:r w:rsidR="009D4A0E" w:rsidRPr="00610B1B">
        <w:rPr>
          <w:rFonts w:cs="Times New Roman"/>
        </w:rPr>
        <w:t>начин за пренос на чужди видове е морския</w:t>
      </w:r>
      <w:r w:rsidR="003B3126" w:rsidRPr="00610B1B">
        <w:rPr>
          <w:rFonts w:cs="Times New Roman"/>
        </w:rPr>
        <w:t>т</w:t>
      </w:r>
      <w:r w:rsidR="009D4A0E" w:rsidRPr="00610B1B">
        <w:rPr>
          <w:rFonts w:cs="Times New Roman"/>
        </w:rPr>
        <w:t xml:space="preserve"> транспорт</w:t>
      </w:r>
      <w:r w:rsidRPr="00610B1B">
        <w:rPr>
          <w:rFonts w:cs="Times New Roman"/>
        </w:rPr>
        <w:t xml:space="preserve"> </w:t>
      </w:r>
      <w:r w:rsidR="00971318" w:rsidRPr="00610B1B">
        <w:rPr>
          <w:rFonts w:cs="Times New Roman"/>
        </w:rPr>
        <w:t>чрез баластните води или обраствания по корпуса на корабите</w:t>
      </w:r>
      <w:r w:rsidR="009D4A0E" w:rsidRPr="00610B1B">
        <w:rPr>
          <w:rFonts w:cs="Times New Roman"/>
        </w:rPr>
        <w:t>. Някои видове риби са пренесени с цел развъждане и случайно или нарочно освободени в морската среда. Промяната в хидроложките условия, например температурата на морската вода, също може да бъде причина за навлизане на някои топлолюбиви средиземноморски видове в Черно море.</w:t>
      </w:r>
      <w:r w:rsidR="00754371" w:rsidRPr="00610B1B">
        <w:rPr>
          <w:rFonts w:cs="Times New Roman"/>
        </w:rPr>
        <w:t xml:space="preserve"> </w:t>
      </w:r>
      <w:r w:rsidR="009D4A0E" w:rsidRPr="00610B1B">
        <w:rPr>
          <w:rFonts w:cs="Times New Roman"/>
        </w:rPr>
        <w:t xml:space="preserve">Два вида - </w:t>
      </w:r>
      <w:r w:rsidR="009D4A0E" w:rsidRPr="00610B1B">
        <w:rPr>
          <w:rFonts w:cs="Times New Roman"/>
          <w:i/>
          <w:iCs/>
        </w:rPr>
        <w:t>Rapana venosa</w:t>
      </w:r>
      <w:r w:rsidR="009D4A0E" w:rsidRPr="00610B1B">
        <w:rPr>
          <w:rFonts w:cs="Times New Roman"/>
        </w:rPr>
        <w:t xml:space="preserve"> и </w:t>
      </w:r>
      <w:r w:rsidR="009D4A0E" w:rsidRPr="00610B1B">
        <w:rPr>
          <w:rFonts w:cs="Times New Roman"/>
          <w:i/>
          <w:iCs/>
        </w:rPr>
        <w:t>Mnemiopsis leidyi</w:t>
      </w:r>
      <w:r w:rsidR="009D4A0E" w:rsidRPr="00610B1B">
        <w:rPr>
          <w:rFonts w:cs="Times New Roman"/>
        </w:rPr>
        <w:t>, са силно инвазивни и предизвикват изключително негативни промени в морската околна среда.</w:t>
      </w:r>
      <w:bookmarkStart w:id="37" w:name="__DdeLink__466568_486333554"/>
    </w:p>
    <w:bookmarkEnd w:id="37"/>
    <w:p w14:paraId="0CE61C47" w14:textId="195100E4" w:rsidR="00754371" w:rsidRPr="00610B1B" w:rsidRDefault="009D4A0E" w:rsidP="00D32D6A">
      <w:pPr>
        <w:pStyle w:val="BodyText"/>
        <w:spacing w:before="0" w:after="120" w:line="276" w:lineRule="auto"/>
        <w:ind w:right="-153"/>
        <w:rPr>
          <w:rFonts w:cs="Times New Roman"/>
        </w:rPr>
      </w:pPr>
      <w:r w:rsidRPr="00610B1B">
        <w:rPr>
          <w:rFonts w:cs="Times New Roman"/>
          <w:b/>
          <w:bCs/>
          <w:i/>
          <w:iCs/>
        </w:rPr>
        <w:t>Инвазивните видове фитопланктон</w:t>
      </w:r>
      <w:r w:rsidRPr="00610B1B">
        <w:rPr>
          <w:rFonts w:cs="Times New Roman"/>
          <w:i/>
          <w:iCs/>
        </w:rPr>
        <w:t xml:space="preserve"> </w:t>
      </w:r>
      <w:r w:rsidRPr="00610B1B">
        <w:rPr>
          <w:rFonts w:cs="Times New Roman"/>
        </w:rPr>
        <w:t xml:space="preserve">причиняват цъфтежи в резултат от еутрофикация, като някои видове причиняват токсични цъфтежи, известни още като червени приливи. Присъствието на потенциално токсични видове микроводорасли </w:t>
      </w:r>
      <w:r w:rsidRPr="00610B1B">
        <w:rPr>
          <w:rFonts w:cs="Times New Roman"/>
          <w:iCs/>
        </w:rPr>
        <w:t>(</w:t>
      </w:r>
      <w:r w:rsidRPr="00610B1B">
        <w:rPr>
          <w:rFonts w:cs="Times New Roman"/>
          <w:i/>
          <w:iCs/>
        </w:rPr>
        <w:t>Oxyphysis oxytoxoides, Phaeocystis pouchettii</w:t>
      </w:r>
      <w:r w:rsidRPr="00610B1B">
        <w:rPr>
          <w:rFonts w:cs="Times New Roman"/>
          <w:iCs/>
        </w:rPr>
        <w:t>)</w:t>
      </w:r>
      <w:r w:rsidRPr="00610B1B">
        <w:rPr>
          <w:rFonts w:cs="Times New Roman"/>
        </w:rPr>
        <w:t xml:space="preserve"> не е за пренебрегване, тъй като произве</w:t>
      </w:r>
      <w:r w:rsidR="00281709" w:rsidRPr="00610B1B">
        <w:rPr>
          <w:rFonts w:cs="Times New Roman"/>
        </w:rPr>
        <w:t xml:space="preserve">дените </w:t>
      </w:r>
      <w:r w:rsidRPr="00610B1B">
        <w:rPr>
          <w:rFonts w:cs="Times New Roman"/>
        </w:rPr>
        <w:t>токсини</w:t>
      </w:r>
      <w:r w:rsidR="00281709" w:rsidRPr="00610B1B">
        <w:rPr>
          <w:rFonts w:cs="Times New Roman"/>
        </w:rPr>
        <w:t xml:space="preserve"> </w:t>
      </w:r>
      <w:r w:rsidRPr="00610B1B">
        <w:rPr>
          <w:rFonts w:cs="Times New Roman"/>
        </w:rPr>
        <w:t>могат да засегнат рибите, двучерупчестите мекотели, а по пътя на хранителната верига</w:t>
      </w:r>
      <w:r w:rsidR="00D66FE0" w:rsidRPr="00610B1B">
        <w:rPr>
          <w:rFonts w:cs="Times New Roman"/>
        </w:rPr>
        <w:t xml:space="preserve"> </w:t>
      </w:r>
      <w:r w:rsidRPr="00610B1B">
        <w:rPr>
          <w:rFonts w:cs="Times New Roman"/>
        </w:rPr>
        <w:t>и човека.</w:t>
      </w:r>
      <w:r w:rsidR="00281709" w:rsidRPr="00610B1B">
        <w:rPr>
          <w:rFonts w:cs="Times New Roman"/>
        </w:rPr>
        <w:t xml:space="preserve"> </w:t>
      </w:r>
      <w:r w:rsidRPr="00610B1B">
        <w:rPr>
          <w:rFonts w:cs="Times New Roman"/>
        </w:rPr>
        <w:t>Основната група от чужди видове фитопланктон са представители на клас Dinophyceae и единични представители на класовете Bacillariophyceae, Cryptophyceae и Dictyochophyceae. Анализът на данните за периода 2015-2016 г. показва, че степента на биологично замърсяване според специфичния индекс за замърсяване с биоконтаминанти е между 2</w:t>
      </w:r>
      <w:r w:rsidR="00D520FA" w:rsidRPr="00610B1B">
        <w:rPr>
          <w:rFonts w:cs="Times New Roman"/>
        </w:rPr>
        <w:t xml:space="preserve"> </w:t>
      </w:r>
      <w:r w:rsidRPr="00610B1B">
        <w:rPr>
          <w:rFonts w:cs="Times New Roman"/>
        </w:rPr>
        <w:t>-</w:t>
      </w:r>
      <w:r w:rsidR="00D520FA" w:rsidRPr="00610B1B">
        <w:rPr>
          <w:rFonts w:cs="Times New Roman"/>
        </w:rPr>
        <w:t xml:space="preserve"> </w:t>
      </w:r>
      <w:r w:rsidRPr="00610B1B">
        <w:rPr>
          <w:rFonts w:cs="Times New Roman"/>
        </w:rPr>
        <w:t>3, т. е. умерено до силно замърсяване.</w:t>
      </w:r>
    </w:p>
    <w:p w14:paraId="2D383C1F" w14:textId="2D03323D" w:rsidR="00971318" w:rsidRPr="00610B1B" w:rsidRDefault="00754371" w:rsidP="00971318">
      <w:pPr>
        <w:pStyle w:val="BodyText"/>
        <w:tabs>
          <w:tab w:val="left" w:pos="3780"/>
        </w:tabs>
        <w:spacing w:before="0" w:after="120" w:line="276" w:lineRule="auto"/>
        <w:ind w:right="-153"/>
        <w:rPr>
          <w:rFonts w:cs="Times New Roman"/>
        </w:rPr>
      </w:pPr>
      <w:r w:rsidRPr="00610B1B">
        <w:rPr>
          <w:rStyle w:val="FontStyle12"/>
          <w:rFonts w:eastAsia="Source Han Sans CN Regular" w:cs="Times New Roman"/>
        </w:rPr>
        <w:t xml:space="preserve">Сред </w:t>
      </w:r>
      <w:r w:rsidRPr="00610B1B">
        <w:rPr>
          <w:rStyle w:val="FontStyle12"/>
          <w:rFonts w:eastAsia="Source Han Sans CN Regular" w:cs="Times New Roman"/>
          <w:b/>
          <w:bCs/>
          <w:i/>
          <w:iCs/>
        </w:rPr>
        <w:t>и</w:t>
      </w:r>
      <w:r w:rsidR="009D4A0E" w:rsidRPr="00610B1B">
        <w:rPr>
          <w:rStyle w:val="FontStyle12"/>
          <w:rFonts w:eastAsia="Source Han Sans CN Regular" w:cs="Times New Roman"/>
          <w:b/>
          <w:bCs/>
          <w:i/>
          <w:iCs/>
        </w:rPr>
        <w:t>нвазивни видове зоопланктон</w:t>
      </w:r>
      <w:r w:rsidRPr="00610B1B">
        <w:rPr>
          <w:rStyle w:val="FontStyle12"/>
          <w:rFonts w:eastAsia="Source Han Sans CN Regular" w:cs="Times New Roman"/>
        </w:rPr>
        <w:t xml:space="preserve"> е</w:t>
      </w:r>
      <w:r w:rsidRPr="00610B1B">
        <w:rPr>
          <w:rStyle w:val="FontStyle12"/>
          <w:rFonts w:eastAsia="Source Han Sans CN Regular" w:cs="Times New Roman"/>
          <w:b/>
          <w:bCs/>
        </w:rPr>
        <w:t xml:space="preserve"> </w:t>
      </w:r>
      <w:r w:rsidR="009D4A0E" w:rsidRPr="00610B1B">
        <w:rPr>
          <w:rFonts w:cs="Times New Roman"/>
          <w:i/>
          <w:iCs/>
        </w:rPr>
        <w:t>Mnemiopsis leidyi</w:t>
      </w:r>
      <w:r w:rsidRPr="00610B1B">
        <w:rPr>
          <w:rFonts w:cs="Times New Roman"/>
          <w:i/>
          <w:iCs/>
        </w:rPr>
        <w:t>,</w:t>
      </w:r>
      <w:r w:rsidR="009D4A0E" w:rsidRPr="00610B1B">
        <w:rPr>
          <w:rFonts w:cs="Times New Roman"/>
        </w:rPr>
        <w:t xml:space="preserve"> хищен вид гребеновидна медуза, представител на клас Ctenophora, с полупрозрачно мешесто тяло. Навлиза в Черно море през 1980-те години. Инвазията на вида съвпада с периода на интензивна </w:t>
      </w:r>
      <w:r w:rsidR="009D4A0E" w:rsidRPr="00610B1B">
        <w:rPr>
          <w:rFonts w:cs="Times New Roman"/>
        </w:rPr>
        <w:lastRenderedPageBreak/>
        <w:t xml:space="preserve">еутрофикация и колапс на популациите на стопански ценни видове риби поради интензивен </w:t>
      </w:r>
      <w:r w:rsidR="00DD6CD4" w:rsidRPr="00610B1B">
        <w:rPr>
          <w:rFonts w:cs="Times New Roman"/>
        </w:rPr>
        <w:t>стопански риболов</w:t>
      </w:r>
      <w:r w:rsidR="009D4A0E" w:rsidRPr="00610B1B">
        <w:rPr>
          <w:rFonts w:cs="Times New Roman"/>
        </w:rPr>
        <w:t xml:space="preserve">. </w:t>
      </w:r>
      <w:r w:rsidR="009D4A0E" w:rsidRPr="00610B1B">
        <w:rPr>
          <w:rFonts w:cs="Times New Roman"/>
          <w:i/>
          <w:iCs/>
        </w:rPr>
        <w:t>Mnemiopsis leidyi</w:t>
      </w:r>
      <w:r w:rsidR="009D4A0E" w:rsidRPr="00610B1B">
        <w:rPr>
          <w:rFonts w:cs="Times New Roman"/>
        </w:rPr>
        <w:t xml:space="preserve"> п</w:t>
      </w:r>
      <w:r w:rsidR="00971318" w:rsidRPr="00610B1B">
        <w:rPr>
          <w:rFonts w:cs="Times New Roman"/>
        </w:rPr>
        <w:t>ричинява отрицателни въздействия</w:t>
      </w:r>
      <w:r w:rsidR="009D4A0E" w:rsidRPr="00610B1B">
        <w:rPr>
          <w:rFonts w:cs="Times New Roman"/>
        </w:rPr>
        <w:t xml:space="preserve"> върху морските хранителни вериги по три начина: чрез хищничество върху хранителния за рибите зоопланктон</w:t>
      </w:r>
      <w:r w:rsidR="003B3126" w:rsidRPr="00610B1B">
        <w:rPr>
          <w:rFonts w:cs="Times New Roman"/>
        </w:rPr>
        <w:t>;</w:t>
      </w:r>
      <w:r w:rsidR="009D4A0E" w:rsidRPr="00610B1B">
        <w:rPr>
          <w:rFonts w:cs="Times New Roman"/>
        </w:rPr>
        <w:t xml:space="preserve"> чрез</w:t>
      </w:r>
      <w:r w:rsidR="00D66FE0" w:rsidRPr="00610B1B">
        <w:rPr>
          <w:rFonts w:cs="Times New Roman"/>
        </w:rPr>
        <w:t xml:space="preserve"> </w:t>
      </w:r>
      <w:r w:rsidR="009D4A0E" w:rsidRPr="00610B1B">
        <w:rPr>
          <w:rFonts w:cs="Times New Roman"/>
        </w:rPr>
        <w:t xml:space="preserve">хищничество върху хайвера и ларвите на рибите </w:t>
      </w:r>
      <w:r w:rsidR="009D4A0E" w:rsidRPr="00610B1B">
        <w:rPr>
          <w:rFonts w:cs="Times New Roman"/>
          <w:iCs/>
        </w:rPr>
        <w:t>(</w:t>
      </w:r>
      <w:r w:rsidR="009D4A0E" w:rsidRPr="00610B1B">
        <w:rPr>
          <w:rFonts w:cs="Times New Roman"/>
        </w:rPr>
        <w:t>ихтипланктона</w:t>
      </w:r>
      <w:r w:rsidR="009D4A0E" w:rsidRPr="00610B1B">
        <w:rPr>
          <w:rFonts w:cs="Times New Roman"/>
          <w:iCs/>
        </w:rPr>
        <w:t>)</w:t>
      </w:r>
      <w:r w:rsidR="003B3126" w:rsidRPr="00610B1B">
        <w:rPr>
          <w:rFonts w:cs="Times New Roman"/>
          <w:iCs/>
        </w:rPr>
        <w:t>;</w:t>
      </w:r>
      <w:r w:rsidR="009D4A0E" w:rsidRPr="00610B1B">
        <w:rPr>
          <w:rFonts w:cs="Times New Roman"/>
        </w:rPr>
        <w:t xml:space="preserve"> и като нов вид без хищници и без значение за планктоноядните видове риби. С масовото си развитие и липсата на естествени врагове, интензивния</w:t>
      </w:r>
      <w:r w:rsidR="003B3126" w:rsidRPr="00610B1B">
        <w:rPr>
          <w:rFonts w:cs="Times New Roman"/>
        </w:rPr>
        <w:t>т</w:t>
      </w:r>
      <w:r w:rsidR="009D4A0E" w:rsidRPr="00610B1B">
        <w:rPr>
          <w:rFonts w:cs="Times New Roman"/>
        </w:rPr>
        <w:t xml:space="preserve"> хищнически натиск предизвиква каскаден ефект по хранителните вериги. Той се изразява в намаляване популациите на рибите, а вероятно и на морските бозайници</w:t>
      </w:r>
      <w:r w:rsidR="00D520FA" w:rsidRPr="00610B1B">
        <w:rPr>
          <w:rFonts w:cs="Times New Roman"/>
        </w:rPr>
        <w:t>,</w:t>
      </w:r>
      <w:r w:rsidR="00B94FB1" w:rsidRPr="00610B1B">
        <w:rPr>
          <w:rFonts w:cs="Times New Roman"/>
        </w:rPr>
        <w:t xml:space="preserve"> и</w:t>
      </w:r>
      <w:r w:rsidR="009D4A0E" w:rsidRPr="00610B1B">
        <w:rPr>
          <w:rFonts w:cs="Times New Roman"/>
        </w:rPr>
        <w:t xml:space="preserve"> в увеличаване на биомасата на фитопланктона, освободен от хищническия натиск на зоопланктона. </w:t>
      </w:r>
      <w:r w:rsidR="00971318" w:rsidRPr="00610B1B">
        <w:rPr>
          <w:rFonts w:cs="Times New Roman"/>
        </w:rPr>
        <w:t xml:space="preserve">Появата на </w:t>
      </w:r>
      <w:r w:rsidR="00971318" w:rsidRPr="00610B1B">
        <w:rPr>
          <w:rFonts w:cs="Times New Roman"/>
          <w:i/>
        </w:rPr>
        <w:t>Beroe ovata</w:t>
      </w:r>
      <w:r w:rsidR="00971318" w:rsidRPr="00610B1B">
        <w:rPr>
          <w:rFonts w:cs="Times New Roman"/>
        </w:rPr>
        <w:t xml:space="preserve">, като хищник за </w:t>
      </w:r>
      <w:r w:rsidR="00971318" w:rsidRPr="00610B1B">
        <w:rPr>
          <w:rFonts w:cs="Times New Roman"/>
          <w:i/>
        </w:rPr>
        <w:t>Mnemiopsis leidyi</w:t>
      </w:r>
      <w:r w:rsidR="00971318" w:rsidRPr="00610B1B">
        <w:rPr>
          <w:rFonts w:cs="Times New Roman"/>
        </w:rPr>
        <w:t xml:space="preserve"> (Kamburska et al., 2006, in Oguz, Velikova, 2010) допринася за частично възстановяване на основни компоненти на черноморската пелагична екосистема. Въпреки това, и двата вида нямат значение като хранителен ресурс в морските хранителни вериги, поради което отрицателното въздействие от интродукцията на тези видове се запазва.</w:t>
      </w:r>
    </w:p>
    <w:p w14:paraId="774F8E5C" w14:textId="551FFF83" w:rsidR="00671600" w:rsidRPr="00610B1B" w:rsidRDefault="009D4A0E" w:rsidP="00671600">
      <w:pPr>
        <w:pStyle w:val="BodyText"/>
        <w:spacing w:after="120"/>
        <w:ind w:right="-153"/>
        <w:rPr>
          <w:rFonts w:cs="Times New Roman"/>
        </w:rPr>
      </w:pPr>
      <w:r w:rsidRPr="00610B1B">
        <w:rPr>
          <w:rFonts w:cs="Times New Roman"/>
        </w:rPr>
        <w:t xml:space="preserve">Индикаторът „брой чужди видове“ по основния критерий </w:t>
      </w:r>
      <w:r w:rsidRPr="00610B1B">
        <w:rPr>
          <w:rFonts w:cs="Times New Roman"/>
          <w:iCs/>
        </w:rPr>
        <w:t>(</w:t>
      </w:r>
      <w:r w:rsidRPr="00610B1B">
        <w:rPr>
          <w:rFonts w:cs="Times New Roman"/>
        </w:rPr>
        <w:t>D2C1</w:t>
      </w:r>
      <w:r w:rsidRPr="00610B1B">
        <w:rPr>
          <w:rFonts w:cs="Times New Roman"/>
          <w:iCs/>
        </w:rPr>
        <w:t>)</w:t>
      </w:r>
      <w:r w:rsidRPr="00610B1B">
        <w:rPr>
          <w:rFonts w:cs="Times New Roman"/>
        </w:rPr>
        <w:t xml:space="preserve"> на Дескриптор 2 показва добро състояние на фитопланктонното и зоопланктонното съобщество за периода 2012-2016 г., тъй като не са регистрирани нови чужди видове </w:t>
      </w:r>
      <w:r w:rsidRPr="00610B1B">
        <w:rPr>
          <w:rFonts w:cs="Times New Roman"/>
          <w:iCs/>
        </w:rPr>
        <w:t>(</w:t>
      </w:r>
      <w:r w:rsidRPr="00610B1B">
        <w:rPr>
          <w:rFonts w:cs="Times New Roman"/>
        </w:rPr>
        <w:t>Стефанова и др., 2017</w:t>
      </w:r>
      <w:r w:rsidRPr="00610B1B">
        <w:rPr>
          <w:rFonts w:cs="Times New Roman"/>
          <w:iCs/>
        </w:rPr>
        <w:t>)</w:t>
      </w:r>
      <w:r w:rsidRPr="00610B1B">
        <w:rPr>
          <w:rFonts w:cs="Times New Roman"/>
        </w:rPr>
        <w:t>.</w:t>
      </w:r>
      <w:r w:rsidR="00671600" w:rsidRPr="00610B1B">
        <w:rPr>
          <w:rFonts w:cs="Times New Roman"/>
        </w:rPr>
        <w:t xml:space="preserve"> </w:t>
      </w:r>
    </w:p>
    <w:p w14:paraId="295F0F23" w14:textId="6084AA89" w:rsidR="00671600" w:rsidRPr="00610B1B" w:rsidRDefault="00B94FB1" w:rsidP="00D32D6A">
      <w:pPr>
        <w:pStyle w:val="BodyText"/>
        <w:spacing w:before="0" w:after="120" w:line="276" w:lineRule="auto"/>
        <w:ind w:right="-153"/>
        <w:rPr>
          <w:rFonts w:cs="Times New Roman"/>
        </w:rPr>
      </w:pPr>
      <w:r w:rsidRPr="00610B1B">
        <w:rPr>
          <w:rFonts w:cs="Times New Roman"/>
        </w:rPr>
        <w:t xml:space="preserve">Сред </w:t>
      </w:r>
      <w:r w:rsidRPr="00610B1B">
        <w:rPr>
          <w:rFonts w:cs="Times New Roman"/>
          <w:b/>
          <w:bCs/>
          <w:i/>
          <w:iCs/>
        </w:rPr>
        <w:t>и</w:t>
      </w:r>
      <w:r w:rsidR="009D4A0E" w:rsidRPr="00610B1B">
        <w:rPr>
          <w:rFonts w:cs="Times New Roman"/>
          <w:b/>
          <w:bCs/>
          <w:i/>
          <w:iCs/>
        </w:rPr>
        <w:t>нвазивни</w:t>
      </w:r>
      <w:r w:rsidRPr="00610B1B">
        <w:rPr>
          <w:rFonts w:cs="Times New Roman"/>
          <w:b/>
          <w:bCs/>
          <w:i/>
          <w:iCs/>
        </w:rPr>
        <w:t>те</w:t>
      </w:r>
      <w:r w:rsidR="009D4A0E" w:rsidRPr="00610B1B">
        <w:rPr>
          <w:rFonts w:cs="Times New Roman"/>
          <w:b/>
          <w:bCs/>
          <w:i/>
          <w:iCs/>
        </w:rPr>
        <w:t xml:space="preserve"> видове зообентос</w:t>
      </w:r>
      <w:r w:rsidRPr="00610B1B">
        <w:rPr>
          <w:rFonts w:cs="Times New Roman"/>
        </w:rPr>
        <w:t xml:space="preserve"> е х</w:t>
      </w:r>
      <w:r w:rsidR="009D4A0E" w:rsidRPr="00610B1B">
        <w:rPr>
          <w:rFonts w:cs="Times New Roman"/>
        </w:rPr>
        <w:t xml:space="preserve">ищният морски охлюв рапана </w:t>
      </w:r>
      <w:r w:rsidR="009D4A0E" w:rsidRPr="00610B1B">
        <w:rPr>
          <w:rFonts w:cs="Times New Roman"/>
          <w:iCs/>
        </w:rPr>
        <w:t>(</w:t>
      </w:r>
      <w:r w:rsidR="009D4A0E" w:rsidRPr="00610B1B">
        <w:rPr>
          <w:rFonts w:cs="Times New Roman"/>
          <w:i/>
          <w:iCs/>
        </w:rPr>
        <w:t>Rapana venosa</w:t>
      </w:r>
      <w:r w:rsidR="009D4A0E" w:rsidRPr="00610B1B">
        <w:rPr>
          <w:rFonts w:cs="Times New Roman"/>
          <w:iCs/>
        </w:rPr>
        <w:t>)</w:t>
      </w:r>
      <w:r w:rsidRPr="00610B1B">
        <w:rPr>
          <w:rFonts w:cs="Times New Roman"/>
          <w:iCs/>
        </w:rPr>
        <w:t>,</w:t>
      </w:r>
      <w:r w:rsidR="009D4A0E" w:rsidRPr="00610B1B">
        <w:rPr>
          <w:rFonts w:cs="Times New Roman"/>
        </w:rPr>
        <w:t xml:space="preserve"> местен вид за северозападната част на Тихия океан </w:t>
      </w:r>
      <w:r w:rsidR="009D4A0E" w:rsidRPr="00610B1B">
        <w:rPr>
          <w:rFonts w:cs="Times New Roman"/>
          <w:iCs/>
        </w:rPr>
        <w:t>(</w:t>
      </w:r>
      <w:r w:rsidR="009D4A0E" w:rsidRPr="00610B1B">
        <w:rPr>
          <w:rFonts w:cs="Times New Roman"/>
        </w:rPr>
        <w:t>крайбрежието на Япония, Китай</w:t>
      </w:r>
      <w:r w:rsidR="00F134BC" w:rsidRPr="00610B1B">
        <w:rPr>
          <w:rFonts w:cs="Times New Roman"/>
        </w:rPr>
        <w:t>,</w:t>
      </w:r>
      <w:r w:rsidR="009D4A0E" w:rsidRPr="00610B1B">
        <w:rPr>
          <w:rFonts w:cs="Times New Roman"/>
        </w:rPr>
        <w:t xml:space="preserve"> Русия</w:t>
      </w:r>
      <w:r w:rsidR="009D4A0E" w:rsidRPr="00610B1B">
        <w:rPr>
          <w:rFonts w:cs="Times New Roman"/>
          <w:iCs/>
        </w:rPr>
        <w:t>)</w:t>
      </w:r>
      <w:r w:rsidR="009D4A0E" w:rsidRPr="00610B1B">
        <w:rPr>
          <w:rFonts w:cs="Times New Roman"/>
        </w:rPr>
        <w:t>. Внесен е в Черно море през 1940-те години</w:t>
      </w:r>
      <w:r w:rsidR="00671600" w:rsidRPr="00610B1B">
        <w:rPr>
          <w:rFonts w:cs="Times New Roman"/>
        </w:rPr>
        <w:t xml:space="preserve">. В Черно море той се среща върху пясъчни, тинести или скални субстрати на дълбочина до 45 m. Основната му храна са миди и стриди. </w:t>
      </w:r>
      <w:r w:rsidR="00671600" w:rsidRPr="00610B1B">
        <w:rPr>
          <w:rFonts w:cs="Times New Roman"/>
          <w:i/>
        </w:rPr>
        <w:t>Rapana venosa</w:t>
      </w:r>
      <w:r w:rsidR="00671600" w:rsidRPr="00610B1B">
        <w:rPr>
          <w:rFonts w:cs="Times New Roman"/>
        </w:rPr>
        <w:t xml:space="preserve"> е вид, който успешно се е установил в бентосната фауна на всички черноморски държави и оказва съществено въздействие чрез хищническа преса върху местната фауна. За разпространението му помагат високата продуктивност, бързият растеж, както и изявената му толерантност към широк диапазон на соленост и температура (4-35˚C), замърсяване и хипоксия. За развитието на значителна популация в Черно море допринася отсъствието на конкурентни видове, ограниченото хищничество върху самия него, както и обилието на храна. Бъдещите тенденции на засегнатите от вида дънни местообитания ще бъдат за намаление на площта и влошаване на състоянието им под въздействието на физическото увреждане от активни дънни уреди за риболов и хищническа преса на </w:t>
      </w:r>
      <w:r w:rsidR="00671600" w:rsidRPr="00610B1B">
        <w:rPr>
          <w:rFonts w:cs="Times New Roman"/>
          <w:i/>
        </w:rPr>
        <w:t>Rapana venosa</w:t>
      </w:r>
      <w:r w:rsidR="00671600" w:rsidRPr="00610B1B">
        <w:rPr>
          <w:rFonts w:cs="Times New Roman"/>
        </w:rPr>
        <w:t>.</w:t>
      </w:r>
    </w:p>
    <w:p w14:paraId="5A9C1369" w14:textId="7E68F085" w:rsidR="009D4A0E" w:rsidRPr="00610B1B" w:rsidRDefault="009D4A0E" w:rsidP="00D32D6A">
      <w:pPr>
        <w:pStyle w:val="BodyText"/>
        <w:spacing w:before="0" w:after="120" w:line="276" w:lineRule="auto"/>
        <w:ind w:right="-153"/>
        <w:rPr>
          <w:rFonts w:cs="Times New Roman"/>
          <w:sz w:val="21"/>
        </w:rPr>
      </w:pPr>
      <w:r w:rsidRPr="00610B1B">
        <w:rPr>
          <w:rFonts w:cs="Times New Roman"/>
        </w:rPr>
        <w:t xml:space="preserve">През 2011 г. Комисията за опазване на Черно море от замърсяване </w:t>
      </w:r>
      <w:r w:rsidRPr="00610B1B">
        <w:rPr>
          <w:rFonts w:cs="Times New Roman"/>
          <w:iCs/>
        </w:rPr>
        <w:t>(</w:t>
      </w:r>
      <w:r w:rsidRPr="00610B1B">
        <w:rPr>
          <w:rFonts w:cs="Times New Roman"/>
        </w:rPr>
        <w:t>Черноморската комисия</w:t>
      </w:r>
      <w:r w:rsidRPr="00610B1B">
        <w:rPr>
          <w:rFonts w:cs="Times New Roman"/>
          <w:iCs/>
        </w:rPr>
        <w:t>)</w:t>
      </w:r>
      <w:r w:rsidRPr="00610B1B">
        <w:rPr>
          <w:rFonts w:cs="Times New Roman"/>
        </w:rPr>
        <w:t xml:space="preserve"> съставя списък от 20 вида риби,</w:t>
      </w:r>
      <w:r w:rsidR="00D66FE0" w:rsidRPr="00610B1B">
        <w:rPr>
          <w:rFonts w:cs="Times New Roman"/>
        </w:rPr>
        <w:t xml:space="preserve"> </w:t>
      </w:r>
      <w:r w:rsidRPr="00610B1B">
        <w:rPr>
          <w:rFonts w:cs="Times New Roman"/>
        </w:rPr>
        <w:t>чужди за Черно море</w:t>
      </w:r>
      <w:r w:rsidR="003209C9" w:rsidRPr="00610B1B">
        <w:rPr>
          <w:rFonts w:cs="Times New Roman"/>
        </w:rPr>
        <w:t>.</w:t>
      </w:r>
      <w:r w:rsidR="003209C9" w:rsidRPr="00610B1B">
        <w:rPr>
          <w:rStyle w:val="FootnoteReference"/>
          <w:rFonts w:cs="Times New Roman"/>
        </w:rPr>
        <w:footnoteReference w:id="86"/>
      </w:r>
      <w:r w:rsidRPr="00610B1B">
        <w:rPr>
          <w:rFonts w:cs="Times New Roman"/>
        </w:rPr>
        <w:t xml:space="preserve"> </w:t>
      </w:r>
      <w:r w:rsidR="00671600" w:rsidRPr="00610B1B">
        <w:rPr>
          <w:rFonts w:cs="Times New Roman"/>
          <w:b/>
          <w:i/>
        </w:rPr>
        <w:t>чужд</w:t>
      </w:r>
      <w:r w:rsidR="00AC4A7B" w:rsidRPr="00610B1B">
        <w:rPr>
          <w:rFonts w:cs="Times New Roman"/>
          <w:b/>
          <w:bCs/>
          <w:i/>
          <w:iCs/>
        </w:rPr>
        <w:t>и</w:t>
      </w:r>
      <w:r w:rsidR="00B116E1" w:rsidRPr="00610B1B">
        <w:rPr>
          <w:rFonts w:cs="Times New Roman"/>
          <w:b/>
          <w:bCs/>
          <w:i/>
          <w:iCs/>
        </w:rPr>
        <w:t>те</w:t>
      </w:r>
      <w:r w:rsidRPr="00610B1B">
        <w:rPr>
          <w:rFonts w:cs="Times New Roman"/>
          <w:b/>
          <w:bCs/>
          <w:i/>
          <w:iCs/>
        </w:rPr>
        <w:t xml:space="preserve"> видове риби</w:t>
      </w:r>
      <w:r w:rsidR="003209C9" w:rsidRPr="00610B1B">
        <w:rPr>
          <w:rFonts w:cs="Times New Roman"/>
        </w:rPr>
        <w:t>,</w:t>
      </w:r>
      <w:r w:rsidRPr="00610B1B">
        <w:rPr>
          <w:rFonts w:cs="Times New Roman"/>
        </w:rPr>
        <w:t xml:space="preserve"> регистрирани в българската акватория на Черно море са 29. Анализирайки географския произход на морските чужди инвазивни видове, по-голямата част от тях </w:t>
      </w:r>
      <w:r w:rsidRPr="00610B1B">
        <w:rPr>
          <w:rFonts w:cs="Times New Roman"/>
          <w:iCs/>
        </w:rPr>
        <w:t>(</w:t>
      </w:r>
      <w:r w:rsidR="00671600" w:rsidRPr="00610B1B">
        <w:rPr>
          <w:rFonts w:cs="Times New Roman"/>
        </w:rPr>
        <w:t>21</w:t>
      </w:r>
      <w:r w:rsidRPr="00610B1B">
        <w:rPr>
          <w:rFonts w:cs="Times New Roman"/>
        </w:rPr>
        <w:t>%</w:t>
      </w:r>
      <w:r w:rsidRPr="00610B1B">
        <w:rPr>
          <w:rFonts w:cs="Times New Roman"/>
          <w:iCs/>
        </w:rPr>
        <w:t>)</w:t>
      </w:r>
      <w:r w:rsidRPr="00610B1B">
        <w:rPr>
          <w:rFonts w:cs="Times New Roman"/>
        </w:rPr>
        <w:t xml:space="preserve"> </w:t>
      </w:r>
      <w:r w:rsidR="00671600" w:rsidRPr="00610B1B">
        <w:rPr>
          <w:rFonts w:cs="Times New Roman"/>
        </w:rPr>
        <w:t>са от източната част на Атлантическия океан, а 7% от видовете са от атлантически, атлантическо-тихоокеански, тихоокеански и северно-европейски произход.</w:t>
      </w:r>
      <w:r w:rsidR="00AC4A7B" w:rsidRPr="00610B1B">
        <w:rPr>
          <w:rFonts w:cs="Times New Roman"/>
        </w:rPr>
        <w:t xml:space="preserve"> </w:t>
      </w:r>
      <w:r w:rsidRPr="00610B1B">
        <w:rPr>
          <w:rFonts w:cs="Times New Roman"/>
        </w:rPr>
        <w:t xml:space="preserve">За 5 от видовете </w:t>
      </w:r>
      <w:r w:rsidRPr="00610B1B">
        <w:rPr>
          <w:rFonts w:cs="Times New Roman"/>
          <w:iCs/>
        </w:rPr>
        <w:t>(</w:t>
      </w:r>
      <w:r w:rsidRPr="00610B1B">
        <w:rPr>
          <w:rFonts w:cs="Times New Roman"/>
        </w:rPr>
        <w:t>36%</w:t>
      </w:r>
      <w:r w:rsidRPr="00610B1B">
        <w:rPr>
          <w:rFonts w:cs="Times New Roman"/>
          <w:iCs/>
        </w:rPr>
        <w:t>)</w:t>
      </w:r>
      <w:r w:rsidRPr="00610B1B">
        <w:rPr>
          <w:rFonts w:cs="Times New Roman"/>
        </w:rPr>
        <w:t xml:space="preserve">, начинът за интродукция е чрез естествена миграция от Средиземно море </w:t>
      </w:r>
      <w:r w:rsidRPr="00610B1B">
        <w:rPr>
          <w:rFonts w:cs="Times New Roman"/>
          <w:iCs/>
        </w:rPr>
        <w:t>(</w:t>
      </w:r>
      <w:r w:rsidRPr="00610B1B">
        <w:rPr>
          <w:rFonts w:cs="Times New Roman"/>
          <w:i/>
          <w:iCs/>
        </w:rPr>
        <w:t>Lithognathus mormyrus, Sarpa salpa, S</w:t>
      </w:r>
      <w:r w:rsidR="00B81E4B" w:rsidRPr="00610B1B">
        <w:rPr>
          <w:rFonts w:cs="Times New Roman"/>
          <w:i/>
          <w:iCs/>
        </w:rPr>
        <w:t xml:space="preserve">parus aurata, Sardinella aurita, </w:t>
      </w:r>
      <w:r w:rsidRPr="00610B1B">
        <w:rPr>
          <w:rFonts w:cs="Times New Roman"/>
          <w:i/>
          <w:iCs/>
        </w:rPr>
        <w:t>Pomatoschistus bathi</w:t>
      </w:r>
      <w:r w:rsidRPr="00610B1B">
        <w:rPr>
          <w:rFonts w:cs="Times New Roman"/>
          <w:iCs/>
        </w:rPr>
        <w:t>)</w:t>
      </w:r>
      <w:r w:rsidRPr="00610B1B">
        <w:rPr>
          <w:rFonts w:cs="Times New Roman"/>
        </w:rPr>
        <w:t xml:space="preserve">. За други 5 вида </w:t>
      </w:r>
      <w:r w:rsidRPr="00610B1B">
        <w:rPr>
          <w:rFonts w:cs="Times New Roman"/>
          <w:iCs/>
        </w:rPr>
        <w:t>(</w:t>
      </w:r>
      <w:r w:rsidRPr="00610B1B">
        <w:rPr>
          <w:rFonts w:cs="Times New Roman"/>
          <w:i/>
          <w:iCs/>
        </w:rPr>
        <w:t>Sphyraena, Chelon labrosus, Umbra krameri, Pomatoshistus marmoratus</w:t>
      </w:r>
      <w:r w:rsidRPr="00610B1B">
        <w:rPr>
          <w:rFonts w:cs="Times New Roman"/>
        </w:rPr>
        <w:t xml:space="preserve"> и </w:t>
      </w:r>
      <w:r w:rsidRPr="00610B1B">
        <w:rPr>
          <w:rFonts w:cs="Times New Roman"/>
          <w:i/>
          <w:iCs/>
        </w:rPr>
        <w:t>Gambusia holbrooki</w:t>
      </w:r>
      <w:r w:rsidRPr="00610B1B">
        <w:rPr>
          <w:rFonts w:cs="Times New Roman"/>
          <w:iCs/>
        </w:rPr>
        <w:t>)</w:t>
      </w:r>
      <w:r w:rsidRPr="00610B1B">
        <w:rPr>
          <w:rFonts w:cs="Times New Roman"/>
        </w:rPr>
        <w:t xml:space="preserve"> начин</w:t>
      </w:r>
      <w:r w:rsidR="003209C9" w:rsidRPr="00610B1B">
        <w:rPr>
          <w:rFonts w:cs="Times New Roman"/>
        </w:rPr>
        <w:t>ът</w:t>
      </w:r>
      <w:r w:rsidRPr="00610B1B">
        <w:rPr>
          <w:rFonts w:cs="Times New Roman"/>
        </w:rPr>
        <w:t xml:space="preserve"> за интродукция е неизвестен. Общо 4 вида </w:t>
      </w:r>
      <w:r w:rsidRPr="00610B1B">
        <w:rPr>
          <w:rFonts w:cs="Times New Roman"/>
          <w:iCs/>
        </w:rPr>
        <w:t>(</w:t>
      </w:r>
      <w:r w:rsidRPr="00610B1B">
        <w:rPr>
          <w:rFonts w:cs="Times New Roman"/>
          <w:i/>
          <w:iCs/>
        </w:rPr>
        <w:t xml:space="preserve">Liza </w:t>
      </w:r>
      <w:r w:rsidRPr="00610B1B">
        <w:rPr>
          <w:rFonts w:cs="Times New Roman"/>
          <w:i/>
          <w:iCs/>
        </w:rPr>
        <w:lastRenderedPageBreak/>
        <w:t>haematocheila, Oncorhynchus mykiss, Lepomis gibbosus</w:t>
      </w:r>
      <w:r w:rsidRPr="00610B1B">
        <w:rPr>
          <w:rFonts w:cs="Times New Roman"/>
        </w:rPr>
        <w:t xml:space="preserve"> и </w:t>
      </w:r>
      <w:r w:rsidRPr="00610B1B">
        <w:rPr>
          <w:rFonts w:cs="Times New Roman"/>
          <w:i/>
          <w:iCs/>
        </w:rPr>
        <w:t>Pseudorasbora parva</w:t>
      </w:r>
      <w:r w:rsidRPr="00610B1B">
        <w:rPr>
          <w:rFonts w:cs="Times New Roman"/>
          <w:iCs/>
        </w:rPr>
        <w:t>)</w:t>
      </w:r>
      <w:r w:rsidRPr="00610B1B">
        <w:rPr>
          <w:rFonts w:cs="Times New Roman"/>
        </w:rPr>
        <w:t xml:space="preserve"> са интродуцирани в Средиземно и Черно море </w:t>
      </w:r>
      <w:r w:rsidR="00801CB8" w:rsidRPr="00610B1B">
        <w:rPr>
          <w:rFonts w:cs="Times New Roman"/>
        </w:rPr>
        <w:t>за</w:t>
      </w:r>
      <w:r w:rsidRPr="00610B1B">
        <w:rPr>
          <w:rFonts w:cs="Times New Roman"/>
        </w:rPr>
        <w:t xml:space="preserve"> развъждане чрез аквакултури.</w:t>
      </w:r>
    </w:p>
    <w:p w14:paraId="448859F0" w14:textId="0CBE5041" w:rsidR="00B81E4B" w:rsidRPr="00610B1B" w:rsidRDefault="00ED7944" w:rsidP="00B81E4B">
      <w:pPr>
        <w:pStyle w:val="BodyText"/>
        <w:spacing w:after="120"/>
        <w:ind w:right="-153"/>
        <w:rPr>
          <w:rFonts w:cs="Times New Roman"/>
        </w:rPr>
      </w:pPr>
      <w:r w:rsidRPr="00610B1B">
        <w:rPr>
          <w:rFonts w:cs="Times New Roman"/>
        </w:rPr>
        <w:t>Понастоящем липсват данни за отрицателно въздействие на чужди видове риби в морските води на Р. България</w:t>
      </w:r>
      <w:r w:rsidR="00B81E4B" w:rsidRPr="00610B1B">
        <w:rPr>
          <w:rFonts w:cs="Times New Roman"/>
        </w:rPr>
        <w:t>.</w:t>
      </w:r>
    </w:p>
    <w:p w14:paraId="41C2D206" w14:textId="0B99A8E9" w:rsidR="00BF2A7D" w:rsidRPr="00610B1B" w:rsidRDefault="00B81E4B" w:rsidP="00F82C1E">
      <w:pPr>
        <w:pStyle w:val="BodyText"/>
        <w:spacing w:before="0" w:after="120" w:line="276" w:lineRule="auto"/>
        <w:ind w:right="-153"/>
        <w:rPr>
          <w:rFonts w:cs="Times New Roman"/>
        </w:rPr>
      </w:pPr>
      <w:r w:rsidRPr="00610B1B">
        <w:rPr>
          <w:rFonts w:cs="Times New Roman"/>
        </w:rPr>
        <w:t>Основната цел за постигане на добро състояние на морската околна среда и преодоляване на проблемите с инвазивните видове е предотвратяване на навлизането им в морските води. Веднъж навлезли, при масово разпространение, отстраняването им е практически невъзможно и често свързано с отрицателно въздействие върху популациите на местните видове. Мерките за опазване и за намаляване на натиска от инвазивни чужди видове (дескриптор 2 от РДМС) са формулирани в Морската стратегия на Република България и Програмата от мерки. Предвидените мерки обхващат законодателни промени, разработване и прилагане на общ план за действие за ранно откриване, оценка на въздействието на неместни видове и информационно осигуряване за проследяване на промените.</w:t>
      </w:r>
      <w:r w:rsidR="00D66FE0" w:rsidRPr="00610B1B">
        <w:rPr>
          <w:rFonts w:cs="Times New Roman"/>
        </w:rPr>
        <w:t xml:space="preserve"> </w:t>
      </w:r>
    </w:p>
    <w:p w14:paraId="20F1BC3A" w14:textId="77777777" w:rsidR="00261A06" w:rsidRPr="00610B1B" w:rsidRDefault="00261A06" w:rsidP="00F82C1E">
      <w:pPr>
        <w:pStyle w:val="BodyText"/>
        <w:spacing w:before="0" w:after="120" w:line="276" w:lineRule="auto"/>
        <w:ind w:right="-153"/>
        <w:rPr>
          <w:rFonts w:cs="Times New Roman"/>
        </w:rPr>
      </w:pPr>
    </w:p>
    <w:p w14:paraId="3B14E1B4" w14:textId="57E68EEA" w:rsidR="009D4A0E" w:rsidRPr="00610B1B" w:rsidRDefault="00193C0D" w:rsidP="00D32D6A">
      <w:pPr>
        <w:pStyle w:val="Heading3"/>
        <w:spacing w:before="0" w:line="276" w:lineRule="auto"/>
        <w:ind w:right="-153"/>
        <w:rPr>
          <w:rFonts w:cs="Times New Roman"/>
        </w:rPr>
      </w:pPr>
      <w:bookmarkStart w:id="38" w:name="ZOTERO_BREF_Rsdm5DdLzsOf"/>
      <w:bookmarkStart w:id="39" w:name="ZOTERO_BREF_rUItsZwjiNUv"/>
      <w:bookmarkStart w:id="40" w:name="ZOTERO_BREF_eNFt3D6LXHxK"/>
      <w:bookmarkStart w:id="41" w:name="ZOTERO_BREF_nYduyThhyyhr"/>
      <w:bookmarkStart w:id="42" w:name="ZOTERO_BREF_NniLZSTNZnm7"/>
      <w:bookmarkStart w:id="43" w:name="ZOTERO_BREF_bKYQK377AJXz"/>
      <w:bookmarkStart w:id="44" w:name="ZOTERO_BREF_EdZVyU8y453G"/>
      <w:bookmarkStart w:id="45" w:name="ZOTERO_BREF_vThQlgV5bq3W"/>
      <w:bookmarkStart w:id="46" w:name="ZOTERO_BREF_1og97Gc878cr"/>
      <w:bookmarkStart w:id="47" w:name="ZOTERO_BREF_p9xM23n1Tax5"/>
      <w:bookmarkStart w:id="48" w:name="ZOTERO_BREF_C0cEzXzMsDmp"/>
      <w:bookmarkStart w:id="49" w:name="ZOTERO_BREF_qE21LrwlYc7U"/>
      <w:bookmarkStart w:id="50" w:name="ZOTERO_BREF_orpCB3x5tYEl"/>
      <w:bookmarkStart w:id="51" w:name="ZOTERO_BREF_qU5O19ZpeZxx"/>
      <w:bookmarkStart w:id="52" w:name="ZOTERO_BREF_WRgzLuWhwL5r"/>
      <w:bookmarkStart w:id="53" w:name="ZOTERO_BREF_muRVPQogcRuv"/>
      <w:bookmarkStart w:id="54" w:name="ZOTERO_BREF_BJQWAWj7XK2K"/>
      <w:bookmarkStart w:id="55" w:name="ZOTERO_BREF_Eo4aIusmEzzW"/>
      <w:bookmarkStart w:id="56" w:name="ZOTERO_BREF_Fhx52VmhrRl8"/>
      <w:bookmarkStart w:id="57" w:name="ZOTERO_BREF_DBh5dwO4HU93"/>
      <w:bookmarkStart w:id="58" w:name="ZOTERO_BREF_fBZVEYnWq53F"/>
      <w:bookmarkStart w:id="59" w:name="ZOTERO_BREF_p9AwwsClrGBN"/>
      <w:bookmarkStart w:id="60" w:name="ZOTERO_BREF_mO1itoUHS0lc"/>
      <w:bookmarkStart w:id="61" w:name="ZOTERO_BREF_VtESqhtZsKsC"/>
      <w:bookmarkStart w:id="62" w:name="ZOTERO_BREF_R6FZKCKvf1Ml"/>
      <w:bookmarkStart w:id="63" w:name="ZOTERO_BREF_aD0daikDgA2I"/>
      <w:bookmarkStart w:id="64" w:name="ZOTERO_BREF_FDsuiuj9V5Tg"/>
      <w:bookmarkStart w:id="65" w:name="ZOTERO_BREF_kIjGLtCf7WOx"/>
      <w:bookmarkStart w:id="66" w:name="ZOTERO_BREF_osWEUxsxnLAh"/>
      <w:bookmarkStart w:id="67" w:name="ZOTERO_BREF_eOgyDr0SV2AO"/>
      <w:bookmarkStart w:id="68" w:name="ZOTERO_BREF_6nG2WHOH3anH"/>
      <w:bookmarkStart w:id="69" w:name="ZOTERO_BREF_7qPC9Rjn0SaM"/>
      <w:bookmarkStart w:id="70" w:name="ZOTERO_BREF_0IzGNnlfP8dH"/>
      <w:bookmarkStart w:id="71" w:name="ZOTERO_BREF_4OfXnxuA8T7p"/>
      <w:bookmarkStart w:id="72" w:name="ZOTERO_BREF_jkMp6g2UcFXS"/>
      <w:bookmarkStart w:id="73" w:name="ZOTERO_BREF_sCZRWK1ZMUS1"/>
      <w:bookmarkStart w:id="74" w:name="__Fieldmark__84545_486333554"/>
      <w:bookmarkStart w:id="75" w:name="__Fieldmark__459_6091036671"/>
      <w:bookmarkStart w:id="76" w:name="__Fieldmark__379_12011530381"/>
      <w:bookmarkStart w:id="77" w:name="__Fieldmark__624_14926859671"/>
      <w:bookmarkStart w:id="78" w:name="__Fieldmark__1161_8056959701"/>
      <w:bookmarkStart w:id="79" w:name="__Fieldmark__746_7232355481"/>
      <w:bookmarkStart w:id="80" w:name="__Fieldmark__777_2788741021"/>
      <w:bookmarkStart w:id="81" w:name="__Fieldmark__84538_486333554"/>
      <w:bookmarkStart w:id="82" w:name="__Fieldmark__441_6091036671"/>
      <w:bookmarkStart w:id="83" w:name="__Fieldmark__372_12011530381"/>
      <w:bookmarkStart w:id="84" w:name="__Fieldmark__593_14926859671"/>
      <w:bookmarkStart w:id="85" w:name="__Fieldmark__1126_8056959701"/>
      <w:bookmarkStart w:id="86" w:name="__Fieldmark__707_7232355481"/>
      <w:bookmarkStart w:id="87" w:name="__Fieldmark__734_2788741021"/>
      <w:bookmarkStart w:id="88" w:name="__Fieldmark__84531_486333554"/>
      <w:bookmarkStart w:id="89" w:name="__Fieldmark__416_6091036671"/>
      <w:bookmarkStart w:id="90" w:name="__Fieldmark__363_12011530381"/>
      <w:bookmarkStart w:id="91" w:name="__Fieldmark__572_14926859671"/>
      <w:bookmarkStart w:id="92" w:name="__Fieldmark__1103_8056959701"/>
      <w:bookmarkStart w:id="93" w:name="__Fieldmark__680_7232355481"/>
      <w:bookmarkStart w:id="94" w:name="__Fieldmark__703_2788741021"/>
      <w:bookmarkStart w:id="95" w:name="__Fieldmark__84524_486333554"/>
      <w:bookmarkStart w:id="96" w:name="__Fieldmark__411_6091036671"/>
      <w:bookmarkStart w:id="97" w:name="__Fieldmark__356_12011530381"/>
      <w:bookmarkStart w:id="98" w:name="__Fieldmark__547_14926859671"/>
      <w:bookmarkStart w:id="99" w:name="__Fieldmark__1074_8056959701"/>
      <w:bookmarkStart w:id="100" w:name="__Fieldmark__647_7232355481"/>
      <w:bookmarkStart w:id="101" w:name="__Fieldmark__666_2788741021"/>
      <w:bookmarkStart w:id="102" w:name="__Fieldmark__84517_486333554"/>
      <w:bookmarkStart w:id="103" w:name="__Fieldmark__397_6091036671"/>
      <w:bookmarkStart w:id="104" w:name="__Fieldmark__347_12011530381"/>
      <w:bookmarkStart w:id="105" w:name="__Fieldmark__532_14926859671"/>
      <w:bookmarkStart w:id="106" w:name="__Fieldmark__1055_8056959701"/>
      <w:bookmarkStart w:id="107" w:name="__Fieldmark__624_7232355481"/>
      <w:bookmarkStart w:id="108" w:name="__Fieldmark__639_2788741021"/>
      <w:bookmarkStart w:id="109" w:name="__Fieldmark__84510_486333554"/>
      <w:bookmarkStart w:id="110" w:name="__Fieldmark__392_6091036671"/>
      <w:bookmarkStart w:id="111" w:name="__Fieldmark__340_12011530381"/>
      <w:bookmarkStart w:id="112" w:name="__Fieldmark__507_14926859671"/>
      <w:bookmarkStart w:id="113" w:name="__Fieldmark__1026_8056959701"/>
      <w:bookmarkStart w:id="114" w:name="__Fieldmark__591_7232355481"/>
      <w:bookmarkStart w:id="115" w:name="__Fieldmark__602_2788741021"/>
      <w:bookmarkStart w:id="116" w:name="__Fieldmark__84503_486333554"/>
      <w:bookmarkStart w:id="117" w:name="__Fieldmark__386_6091036671"/>
      <w:bookmarkStart w:id="118" w:name="__Fieldmark__333_12011530381"/>
      <w:bookmarkStart w:id="119" w:name="__Fieldmark__486_14926859671"/>
      <w:bookmarkStart w:id="120" w:name="__Fieldmark__1001_8056959701"/>
      <w:bookmarkStart w:id="121" w:name="__Fieldmark__562_7232355481"/>
      <w:bookmarkStart w:id="122" w:name="__Fieldmark__569_2788741021"/>
      <w:bookmarkStart w:id="123" w:name="__Fieldmark__84496_486333554"/>
      <w:bookmarkStart w:id="124" w:name="__Fieldmark__379_6091036671"/>
      <w:bookmarkStart w:id="125" w:name="__Fieldmark__324_12011530381"/>
      <w:bookmarkStart w:id="126" w:name="__Fieldmark__461_14926859671"/>
      <w:bookmarkStart w:id="127" w:name="__Fieldmark__972_8056959701"/>
      <w:bookmarkStart w:id="128" w:name="__Fieldmark__529_7232355481"/>
      <w:bookmarkStart w:id="129" w:name="__Fieldmark__534_2788741021"/>
      <w:bookmarkStart w:id="130" w:name="__Fieldmark__11375_486333554"/>
      <w:bookmarkStart w:id="131" w:name="__Fieldmark__2960_609103667"/>
      <w:bookmarkStart w:id="132" w:name="__Fieldmark__2591_1201153038"/>
      <w:bookmarkStart w:id="133" w:name="__Fieldmark__3704_1492685967"/>
      <w:bookmarkStart w:id="134" w:name="__Fieldmark__4269_805695970"/>
      <w:bookmarkStart w:id="135" w:name="__Fieldmark__3884_723235548"/>
      <w:bookmarkStart w:id="136" w:name="__Fieldmark__3967_278874102"/>
      <w:bookmarkStart w:id="137" w:name="__Fieldmark__11321_486333554"/>
      <w:bookmarkStart w:id="138" w:name="__Fieldmark__2923_609103667"/>
      <w:bookmarkStart w:id="139" w:name="__Fieldmark__2561_1201153038"/>
      <w:bookmarkStart w:id="140" w:name="__Fieldmark__3666_1492685967"/>
      <w:bookmarkStart w:id="141" w:name="__Fieldmark__4227_805695970"/>
      <w:bookmarkStart w:id="142" w:name="__Fieldmark__3838_723235548"/>
      <w:bookmarkStart w:id="143" w:name="__Fieldmark__3917_278874102"/>
      <w:bookmarkStart w:id="144" w:name="__Fieldmark__9565_486333554"/>
      <w:bookmarkStart w:id="145" w:name="__Fieldmark__1458_609103667"/>
      <w:bookmarkStart w:id="146" w:name="__Fieldmark__1258_1201153038"/>
      <w:bookmarkStart w:id="147" w:name="__Fieldmark__1925_1492685967"/>
      <w:bookmarkStart w:id="148" w:name="__Fieldmark__2482_805695970"/>
      <w:bookmarkStart w:id="149" w:name="__Fieldmark__2089_723235548"/>
      <w:bookmarkStart w:id="150" w:name="__Fieldmark__2165_278874102"/>
      <w:bookmarkStart w:id="151" w:name="__Fieldmark__8830_486333554"/>
      <w:bookmarkStart w:id="152" w:name="__Fieldmark__938_609103667"/>
      <w:bookmarkStart w:id="153" w:name="__Fieldmark__768_1201153038"/>
      <w:bookmarkStart w:id="154" w:name="__Fieldmark__1209_1492685967"/>
      <w:bookmarkStart w:id="155" w:name="__Fieldmark__1762_805695970"/>
      <w:bookmarkStart w:id="156" w:name="__Fieldmark__1365_723235548"/>
      <w:bookmarkStart w:id="157" w:name="__Fieldmark__1430_278874102"/>
      <w:bookmarkStart w:id="158" w:name="__Fieldmark__8685_486333554"/>
      <w:bookmarkStart w:id="159" w:name="__Fieldmark__794_609103667"/>
      <w:bookmarkStart w:id="160" w:name="__Fieldmark__643_1201153038"/>
      <w:bookmarkStart w:id="161" w:name="__Fieldmark__1080_1492685967"/>
      <w:bookmarkStart w:id="162" w:name="__Fieldmark__1629_805695970"/>
      <w:bookmarkStart w:id="163" w:name="__Fieldmark__1228_723235548"/>
      <w:bookmarkStart w:id="164" w:name="__Fieldmark__1289_278874102"/>
      <w:bookmarkStart w:id="165" w:name="__Fieldmark__8333_486333554"/>
      <w:bookmarkStart w:id="166" w:name="__Fieldmark__546_609103667"/>
      <w:bookmarkStart w:id="167" w:name="__Fieldmark__413_1201153038"/>
      <w:bookmarkStart w:id="168" w:name="__Fieldmark__738_1492685967"/>
      <w:bookmarkStart w:id="169" w:name="__Fieldmark__1283_805695970"/>
      <w:bookmarkStart w:id="170" w:name="__Fieldmark__878_723235548"/>
      <w:bookmarkStart w:id="171" w:name="__Fieldmark__939_278874102"/>
      <w:bookmarkStart w:id="172" w:name="__Fieldmark__8266_486333554"/>
      <w:bookmarkStart w:id="173" w:name="__Fieldmark__541_609103667"/>
      <w:bookmarkStart w:id="174" w:name="__Fieldmark__406_1201153038"/>
      <w:bookmarkStart w:id="175" w:name="__Fieldmark__687_1492685967"/>
      <w:bookmarkStart w:id="176" w:name="__Fieldmark__1228_805695970"/>
      <w:bookmarkStart w:id="177" w:name="__Fieldmark__819_723235548"/>
      <w:bookmarkStart w:id="178" w:name="__Fieldmark__876_278874102"/>
      <w:bookmarkStart w:id="179" w:name="__Fieldmark__8229_486333554"/>
      <w:bookmarkStart w:id="180" w:name="__Fieldmark__521_609103667"/>
      <w:bookmarkStart w:id="181" w:name="__Fieldmark__399_1201153038"/>
      <w:bookmarkStart w:id="182" w:name="__Fieldmark__666_1492685967"/>
      <w:bookmarkStart w:id="183" w:name="__Fieldmark__1203_805695970"/>
      <w:bookmarkStart w:id="184" w:name="__Fieldmark__790_723235548"/>
      <w:bookmarkStart w:id="185" w:name="__Fieldmark__837_278874102"/>
      <w:bookmarkStart w:id="186" w:name="__Fieldmark__8177_486333554"/>
      <w:bookmarkStart w:id="187" w:name="__Fieldmark__459_609103667"/>
      <w:bookmarkStart w:id="188" w:name="__Fieldmark__379_1201153038"/>
      <w:bookmarkStart w:id="189" w:name="__Fieldmark__624_1492685967"/>
      <w:bookmarkStart w:id="190" w:name="__Fieldmark__1161_805695970"/>
      <w:bookmarkStart w:id="191" w:name="__Fieldmark__746_723235548"/>
      <w:bookmarkStart w:id="192" w:name="__Fieldmark__777_278874102"/>
      <w:bookmarkStart w:id="193" w:name="__Fieldmark__8130_486333554"/>
      <w:bookmarkStart w:id="194" w:name="__Fieldmark__441_609103667"/>
      <w:bookmarkStart w:id="195" w:name="__Fieldmark__372_1201153038"/>
      <w:bookmarkStart w:id="196" w:name="__Fieldmark__593_1492685967"/>
      <w:bookmarkStart w:id="197" w:name="__Fieldmark__1126_805695970"/>
      <w:bookmarkStart w:id="198" w:name="__Fieldmark__707_723235548"/>
      <w:bookmarkStart w:id="199" w:name="__Fieldmark__734_278874102"/>
      <w:bookmarkStart w:id="200" w:name="__Fieldmark__8095_486333554"/>
      <w:bookmarkStart w:id="201" w:name="__Fieldmark__416_609103667"/>
      <w:bookmarkStart w:id="202" w:name="__Fieldmark__363_1201153038"/>
      <w:bookmarkStart w:id="203" w:name="__Fieldmark__572_1492685967"/>
      <w:bookmarkStart w:id="204" w:name="__Fieldmark__1103_805695970"/>
      <w:bookmarkStart w:id="205" w:name="__Fieldmark__680_723235548"/>
      <w:bookmarkStart w:id="206" w:name="__Fieldmark__703_278874102"/>
      <w:bookmarkStart w:id="207" w:name="__Fieldmark__8054_486333554"/>
      <w:bookmarkStart w:id="208" w:name="__Fieldmark__411_609103667"/>
      <w:bookmarkStart w:id="209" w:name="__Fieldmark__356_1201153038"/>
      <w:bookmarkStart w:id="210" w:name="__Fieldmark__547_1492685967"/>
      <w:bookmarkStart w:id="211" w:name="__Fieldmark__1074_805695970"/>
      <w:bookmarkStart w:id="212" w:name="__Fieldmark__647_723235548"/>
      <w:bookmarkStart w:id="213" w:name="__Fieldmark__666_278874102"/>
      <w:bookmarkStart w:id="214" w:name="__Fieldmark__8023_486333554"/>
      <w:bookmarkStart w:id="215" w:name="__Fieldmark__397_609103667"/>
      <w:bookmarkStart w:id="216" w:name="__Fieldmark__347_1201153038"/>
      <w:bookmarkStart w:id="217" w:name="__Fieldmark__532_1492685967"/>
      <w:bookmarkStart w:id="218" w:name="__Fieldmark__1055_805695970"/>
      <w:bookmarkStart w:id="219" w:name="__Fieldmark__624_723235548"/>
      <w:bookmarkStart w:id="220" w:name="__Fieldmark__639_278874102"/>
      <w:bookmarkStart w:id="221" w:name="__Fieldmark__7982_486333554"/>
      <w:bookmarkStart w:id="222" w:name="__Fieldmark__392_609103667"/>
      <w:bookmarkStart w:id="223" w:name="__Fieldmark__340_1201153038"/>
      <w:bookmarkStart w:id="224" w:name="__Fieldmark__507_1492685967"/>
      <w:bookmarkStart w:id="225" w:name="__Fieldmark__1026_805695970"/>
      <w:bookmarkStart w:id="226" w:name="__Fieldmark__591_723235548"/>
      <w:bookmarkStart w:id="227" w:name="__Fieldmark__602_278874102"/>
      <w:bookmarkStart w:id="228" w:name="__Fieldmark__7945_486333554"/>
      <w:bookmarkStart w:id="229" w:name="__Fieldmark__386_609103667"/>
      <w:bookmarkStart w:id="230" w:name="__Fieldmark__333_1201153038"/>
      <w:bookmarkStart w:id="231" w:name="__Fieldmark__486_1492685967"/>
      <w:bookmarkStart w:id="232" w:name="__Fieldmark__1001_805695970"/>
      <w:bookmarkStart w:id="233" w:name="__Fieldmark__562_723235548"/>
      <w:bookmarkStart w:id="234" w:name="__Fieldmark__569_278874102"/>
      <w:bookmarkStart w:id="235" w:name="__Fieldmark__7908_486333554"/>
      <w:bookmarkStart w:id="236" w:name="__Fieldmark__379_609103667"/>
      <w:bookmarkStart w:id="237" w:name="__Fieldmark__324_1201153038"/>
      <w:bookmarkStart w:id="238" w:name="__Fieldmark__461_1492685967"/>
      <w:bookmarkStart w:id="239" w:name="__Fieldmark__972_805695970"/>
      <w:bookmarkStart w:id="240" w:name="__Fieldmark__529_723235548"/>
      <w:bookmarkStart w:id="241" w:name="__Fieldmark__534_278874102"/>
      <w:bookmarkStart w:id="242" w:name="__Fieldmark__7874_486333554"/>
      <w:bookmarkStart w:id="243" w:name="__Fieldmark__364_609103667"/>
      <w:bookmarkStart w:id="244" w:name="__Fieldmark__313_1201153038"/>
      <w:bookmarkStart w:id="245" w:name="__Fieldmark__443_1492685967"/>
      <w:bookmarkStart w:id="246" w:name="__Fieldmark__950_805695970"/>
      <w:bookmarkStart w:id="247" w:name="__Fieldmark__501_723235548"/>
      <w:bookmarkStart w:id="248" w:name="__Fieldmark__504_278874102"/>
      <w:bookmarkStart w:id="249" w:name="__Fieldmark__7842_486333554"/>
      <w:bookmarkStart w:id="250" w:name="__Fieldmark__337_609103667"/>
      <w:bookmarkStart w:id="251" w:name="__Fieldmark__301_1201153038"/>
      <w:bookmarkStart w:id="252" w:name="__Fieldmark__427_1492685967"/>
      <w:bookmarkStart w:id="253" w:name="__Fieldmark__930_805695970"/>
      <w:bookmarkStart w:id="254" w:name="__Fieldmark__477_723235548"/>
      <w:bookmarkStart w:id="255" w:name="__Fieldmark__472_278874102"/>
      <w:bookmarkStart w:id="256" w:name="__Fieldmark__7797_486333554"/>
      <w:bookmarkStart w:id="257" w:name="__Fieldmark__308_609103667"/>
      <w:bookmarkStart w:id="258" w:name="__Fieldmark__281_1201153038"/>
      <w:bookmarkStart w:id="259" w:name="__Fieldmark__398_1492685967"/>
      <w:bookmarkStart w:id="260" w:name="__Fieldmark__897_805695970"/>
      <w:bookmarkStart w:id="261" w:name="__Fieldmark__440_723235548"/>
      <w:bookmarkStart w:id="262" w:name="__Fieldmark__429_278874102"/>
      <w:bookmarkStart w:id="263" w:name="__Fieldmark__7568_486333554"/>
      <w:bookmarkStart w:id="264" w:name="__Fieldmark__78_609103667"/>
      <w:bookmarkStart w:id="265" w:name="__Fieldmark__56_1201153038"/>
      <w:bookmarkStart w:id="266" w:name="__Fieldmark__153_1492685967"/>
      <w:bookmarkStart w:id="267" w:name="__Fieldmark__648_805695970"/>
      <w:bookmarkStart w:id="268" w:name="__Fieldmark__187_723235548"/>
      <w:bookmarkStart w:id="269" w:name="__Fieldmark__204_278874102"/>
      <w:bookmarkStart w:id="270" w:name="__Fieldmark__7503_486333554"/>
      <w:bookmarkStart w:id="271" w:name="__Fieldmark__66_609103667"/>
      <w:bookmarkStart w:id="272" w:name="__Fieldmark__49_1201153038"/>
      <w:bookmarkStart w:id="273" w:name="__Fieldmark__104_1492685967"/>
      <w:bookmarkStart w:id="274" w:name="__Fieldmark__595_805695970"/>
      <w:bookmarkStart w:id="275" w:name="__Fieldmark__130_723235548"/>
      <w:bookmarkStart w:id="276" w:name="__Fieldmark__141_278874102"/>
      <w:bookmarkStart w:id="277" w:name="__Fieldmark__7453_486333554"/>
      <w:bookmarkStart w:id="278" w:name="__Fieldmark__50_609103667"/>
      <w:bookmarkStart w:id="279" w:name="__Fieldmark__34_1201153038"/>
      <w:bookmarkStart w:id="280" w:name="__Fieldmark__70_1492685967"/>
      <w:bookmarkStart w:id="281" w:name="__Fieldmark__557_805695970"/>
      <w:bookmarkStart w:id="282" w:name="__Fieldmark__88_723235548"/>
      <w:bookmarkStart w:id="283" w:name="__Fieldmark__95_278874102"/>
      <w:bookmarkStart w:id="284" w:name="__DdeLink__5504_805695970"/>
      <w:bookmarkStart w:id="285" w:name="__Fieldmark__7390_486333554"/>
      <w:bookmarkStart w:id="286" w:name="__Fieldmark__32_609103667"/>
      <w:bookmarkStart w:id="287" w:name="__Fieldmark__15_1201153038"/>
      <w:bookmarkStart w:id="288" w:name="__Fieldmark__25_1492685967"/>
      <w:bookmarkStart w:id="289" w:name="__Fieldmark__508_805695970"/>
      <w:bookmarkStart w:id="290" w:name="__Fieldmark__33_723235548"/>
      <w:bookmarkStart w:id="291" w:name="__Fieldmark__36_278874102"/>
      <w:bookmarkStart w:id="292" w:name="__Fieldmark__7357_486333554"/>
      <w:bookmarkStart w:id="293" w:name="__Fieldmark__21_609103667"/>
      <w:bookmarkStart w:id="294" w:name="__Fieldmark__8_1201153038"/>
      <w:bookmarkStart w:id="295" w:name="__Fieldmark__8_1492685967"/>
      <w:bookmarkStart w:id="296" w:name="__Fieldmark__487_805695970"/>
      <w:bookmarkStart w:id="297" w:name="__Fieldmark__8_723235548"/>
      <w:bookmarkStart w:id="298" w:name="__Fieldmark__7_278874102"/>
      <w:bookmarkStart w:id="299" w:name="ZOTERO_BREF_bNv9kXM5yfz7"/>
      <w:bookmarkStart w:id="300" w:name="_Toc8339136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610B1B">
        <w:rPr>
          <w:rFonts w:cs="Times New Roman"/>
        </w:rPr>
        <w:t xml:space="preserve">2.2.5. </w:t>
      </w:r>
      <w:r w:rsidR="009D4A0E" w:rsidRPr="00610B1B">
        <w:rPr>
          <w:rFonts w:cs="Times New Roman"/>
        </w:rPr>
        <w:t>Защитени територии</w:t>
      </w:r>
      <w:r w:rsidR="00A333DA" w:rsidRPr="00610B1B">
        <w:rPr>
          <w:rFonts w:cs="Times New Roman"/>
        </w:rPr>
        <w:t xml:space="preserve"> и защитени зони</w:t>
      </w:r>
      <w:bookmarkEnd w:id="300"/>
    </w:p>
    <w:p w14:paraId="2B23915B" w14:textId="78346DA7" w:rsidR="009D4A0E" w:rsidRPr="00610B1B" w:rsidRDefault="009D4A0E" w:rsidP="00D32D6A">
      <w:pPr>
        <w:pStyle w:val="BodyText"/>
        <w:spacing w:before="0" w:after="120" w:line="276" w:lineRule="auto"/>
        <w:ind w:right="-153"/>
        <w:rPr>
          <w:rFonts w:cs="Times New Roman"/>
        </w:rPr>
      </w:pPr>
      <w:r w:rsidRPr="00610B1B">
        <w:rPr>
          <w:rFonts w:cs="Times New Roman"/>
        </w:rPr>
        <w:t>Националната екологична мрежа включва „защитени територии“, регламентирани от</w:t>
      </w:r>
      <w:r w:rsidR="00D66FE0" w:rsidRPr="00610B1B">
        <w:rPr>
          <w:rFonts w:cs="Times New Roman"/>
        </w:rPr>
        <w:t xml:space="preserve"> </w:t>
      </w:r>
      <w:r w:rsidRPr="00610B1B">
        <w:rPr>
          <w:rFonts w:cs="Times New Roman"/>
        </w:rPr>
        <w:t>Закона за защитените територии</w:t>
      </w:r>
      <w:r w:rsidRPr="00610B1B">
        <w:rPr>
          <w:rStyle w:val="a4"/>
          <w:rFonts w:cs="Times New Roman"/>
        </w:rPr>
        <w:footnoteReference w:id="87"/>
      </w:r>
      <w:r w:rsidRPr="00610B1B">
        <w:rPr>
          <w:rFonts w:cs="Times New Roman"/>
        </w:rPr>
        <w:t xml:space="preserve"> и “защитени зони“ според Закона за биологичното разнообразие.</w:t>
      </w:r>
      <w:r w:rsidRPr="00610B1B">
        <w:rPr>
          <w:rStyle w:val="a4"/>
          <w:rFonts w:cs="Times New Roman"/>
        </w:rPr>
        <w:footnoteReference w:id="88"/>
      </w:r>
      <w:r w:rsidRPr="00610B1B">
        <w:rPr>
          <w:rFonts w:cs="Times New Roman"/>
        </w:rPr>
        <w:t xml:space="preserve"> Защитените зони всъщност представляват НАТУРА 2000 в България, част от Европейската екологичната мрежа. Те се обявяват в съответствие с изискванията на </w:t>
      </w:r>
      <w:r w:rsidR="00667439" w:rsidRPr="00610B1B">
        <w:rPr>
          <w:rFonts w:cs="Times New Roman"/>
        </w:rPr>
        <w:t>Директива 92/43/ЕИО на Съвета за опазване на естествените местообитания и на дивата флора и фауна (Директива за местообитанията)</w:t>
      </w:r>
      <w:r w:rsidR="00667439" w:rsidRPr="00610B1B">
        <w:rPr>
          <w:rStyle w:val="FootnoteReference"/>
          <w:rFonts w:cs="Times New Roman"/>
        </w:rPr>
        <w:footnoteReference w:id="89"/>
      </w:r>
      <w:r w:rsidR="00667439" w:rsidRPr="00610B1B">
        <w:rPr>
          <w:rFonts w:cs="Times New Roman"/>
        </w:rPr>
        <w:t xml:space="preserve"> и Директива 2009/147/ЕИО на Съвета относно опазването на дивите птици (</w:t>
      </w:r>
      <w:r w:rsidRPr="00610B1B">
        <w:rPr>
          <w:rFonts w:cs="Times New Roman"/>
        </w:rPr>
        <w:t>Директива за птиците</w:t>
      </w:r>
      <w:r w:rsidR="00667439" w:rsidRPr="00610B1B">
        <w:rPr>
          <w:rFonts w:cs="Times New Roman"/>
        </w:rPr>
        <w:t>)</w:t>
      </w:r>
      <w:r w:rsidRPr="00610B1B">
        <w:rPr>
          <w:rStyle w:val="a4"/>
          <w:rFonts w:cs="Times New Roman"/>
        </w:rPr>
        <w:footnoteReference w:id="90"/>
      </w:r>
      <w:r w:rsidR="00362F07" w:rsidRPr="00610B1B">
        <w:rPr>
          <w:rFonts w:cs="Times New Roman"/>
        </w:rPr>
        <w:t xml:space="preserve"> </w:t>
      </w:r>
      <w:r w:rsidR="00982A83" w:rsidRPr="00610B1B">
        <w:rPr>
          <w:rFonts w:cs="Times New Roman"/>
        </w:rPr>
        <w:t>Националната екологична мрежа включва още КОРИНЕ места, Рамсарски места, важни места за растенията и орнитологичн</w:t>
      </w:r>
      <w:r w:rsidR="00D05544" w:rsidRPr="00610B1B">
        <w:rPr>
          <w:rFonts w:cs="Times New Roman"/>
        </w:rPr>
        <w:t>o</w:t>
      </w:r>
      <w:r w:rsidR="00982A83" w:rsidRPr="00610B1B">
        <w:rPr>
          <w:rFonts w:cs="Times New Roman"/>
        </w:rPr>
        <w:t xml:space="preserve"> важни места. </w:t>
      </w:r>
      <w:r w:rsidR="00362F07" w:rsidRPr="00610B1B">
        <w:rPr>
          <w:rFonts w:cs="Times New Roman"/>
        </w:rPr>
        <w:t xml:space="preserve">За целите на Морския пространствен план освен поставените под защита морски защитени зони са разгледани </w:t>
      </w:r>
      <w:r w:rsidR="006A05E6" w:rsidRPr="00610B1B">
        <w:rPr>
          <w:rFonts w:cs="Times New Roman"/>
        </w:rPr>
        <w:t>онези</w:t>
      </w:r>
      <w:r w:rsidR="00362F07" w:rsidRPr="00610B1B">
        <w:rPr>
          <w:rFonts w:cs="Times New Roman"/>
        </w:rPr>
        <w:t xml:space="preserve"> крайбрежни защитени територии и защитени зони, които имат акваториална част</w:t>
      </w:r>
      <w:r w:rsidR="006A05E6" w:rsidRPr="00610B1B">
        <w:rPr>
          <w:rFonts w:cs="Times New Roman"/>
        </w:rPr>
        <w:t xml:space="preserve"> и п</w:t>
      </w:r>
      <w:r w:rsidR="00A539B8" w:rsidRPr="00610B1B">
        <w:rPr>
          <w:rFonts w:cs="Times New Roman"/>
        </w:rPr>
        <w:t>опадат в зон</w:t>
      </w:r>
      <w:r w:rsidR="006A05E6" w:rsidRPr="00610B1B">
        <w:rPr>
          <w:rFonts w:cs="Times New Roman"/>
        </w:rPr>
        <w:t>а</w:t>
      </w:r>
      <w:r w:rsidR="00A539B8" w:rsidRPr="00610B1B">
        <w:rPr>
          <w:rFonts w:cs="Times New Roman"/>
        </w:rPr>
        <w:t xml:space="preserve"> „А“ или „Б“ съгласно З</w:t>
      </w:r>
      <w:r w:rsidR="006A05E6" w:rsidRPr="00610B1B">
        <w:rPr>
          <w:rFonts w:cs="Times New Roman"/>
        </w:rPr>
        <w:t>УЧК</w:t>
      </w:r>
      <w:r w:rsidR="00A539B8" w:rsidRPr="00610B1B">
        <w:rPr>
          <w:rFonts w:cs="Times New Roman"/>
        </w:rPr>
        <w:t xml:space="preserve">. </w:t>
      </w:r>
    </w:p>
    <w:p w14:paraId="0E8C172B" w14:textId="18552496" w:rsidR="009D4A0E" w:rsidRPr="00610B1B" w:rsidRDefault="00E10F89" w:rsidP="00D32D6A">
      <w:pPr>
        <w:pStyle w:val="Heading4"/>
        <w:spacing w:before="0" w:line="276" w:lineRule="auto"/>
        <w:rPr>
          <w:rStyle w:val="FontStyle18"/>
          <w:rFonts w:eastAsia="Source Han Sans CN Regular" w:cs="Times New Roman"/>
          <w:b/>
          <w:bCs w:val="0"/>
          <w:sz w:val="24"/>
        </w:rPr>
      </w:pPr>
      <w:r w:rsidRPr="00610B1B">
        <w:rPr>
          <w:rStyle w:val="FontStyle18"/>
          <w:rFonts w:eastAsia="Source Han Sans CN Regular" w:cs="Times New Roman"/>
          <w:b/>
          <w:bCs w:val="0"/>
          <w:sz w:val="24"/>
        </w:rPr>
        <w:t xml:space="preserve">2.2.5.1. </w:t>
      </w:r>
      <w:r w:rsidR="009D4A0E" w:rsidRPr="00610B1B">
        <w:rPr>
          <w:rStyle w:val="FontStyle18"/>
          <w:rFonts w:eastAsia="Source Han Sans CN Regular" w:cs="Times New Roman"/>
          <w:b/>
          <w:bCs w:val="0"/>
          <w:sz w:val="24"/>
        </w:rPr>
        <w:t>Защитени територии</w:t>
      </w:r>
      <w:r w:rsidR="00A333DA" w:rsidRPr="00610B1B">
        <w:rPr>
          <w:rStyle w:val="FontStyle18"/>
          <w:rFonts w:eastAsia="Source Han Sans CN Regular" w:cs="Times New Roman"/>
          <w:b/>
          <w:bCs w:val="0"/>
          <w:sz w:val="24"/>
        </w:rPr>
        <w:t xml:space="preserve"> </w:t>
      </w:r>
    </w:p>
    <w:p w14:paraId="525572EB" w14:textId="029101B3" w:rsidR="002D0A49" w:rsidRPr="00610B1B" w:rsidRDefault="002D0A49" w:rsidP="00D32D6A">
      <w:pPr>
        <w:pStyle w:val="BodyText"/>
        <w:spacing w:before="0" w:after="120" w:line="276" w:lineRule="auto"/>
        <w:ind w:right="-153"/>
        <w:rPr>
          <w:rFonts w:cs="Times New Roman"/>
        </w:rPr>
      </w:pPr>
      <w:r w:rsidRPr="00610B1B">
        <w:rPr>
          <w:rFonts w:cs="Times New Roman"/>
        </w:rPr>
        <w:t xml:space="preserve">В обхвата на черноморските общини </w:t>
      </w:r>
      <w:r w:rsidRPr="00610B1B">
        <w:rPr>
          <w:rFonts w:cs="Times New Roman"/>
          <w:iCs/>
        </w:rPr>
        <w:t>(</w:t>
      </w:r>
      <w:r w:rsidRPr="00610B1B">
        <w:rPr>
          <w:rStyle w:val="a1"/>
          <w:rFonts w:cs="Times New Roman"/>
          <w:color w:val="000000"/>
          <w:u w:val="none"/>
        </w:rPr>
        <w:t>Аврен</w:t>
      </w:r>
      <w:r w:rsidRPr="00610B1B">
        <w:rPr>
          <w:rFonts w:cs="Times New Roman"/>
        </w:rPr>
        <w:t xml:space="preserve">, </w:t>
      </w:r>
      <w:r w:rsidRPr="00610B1B">
        <w:rPr>
          <w:rStyle w:val="a1"/>
          <w:rFonts w:cs="Times New Roman"/>
          <w:color w:val="000000"/>
          <w:u w:val="none"/>
        </w:rPr>
        <w:t>Аксаково</w:t>
      </w:r>
      <w:r w:rsidRPr="00610B1B">
        <w:rPr>
          <w:rFonts w:cs="Times New Roman"/>
        </w:rPr>
        <w:t xml:space="preserve">, </w:t>
      </w:r>
      <w:r w:rsidRPr="00610B1B">
        <w:rPr>
          <w:rStyle w:val="a1"/>
          <w:rFonts w:cs="Times New Roman"/>
          <w:color w:val="000000"/>
          <w:u w:val="none"/>
        </w:rPr>
        <w:t>Балчик</w:t>
      </w:r>
      <w:r w:rsidRPr="00610B1B">
        <w:rPr>
          <w:rFonts w:cs="Times New Roman"/>
        </w:rPr>
        <w:t xml:space="preserve">, </w:t>
      </w:r>
      <w:r w:rsidRPr="00610B1B">
        <w:rPr>
          <w:rStyle w:val="a1"/>
          <w:rFonts w:cs="Times New Roman"/>
          <w:color w:val="000000"/>
          <w:u w:val="none"/>
        </w:rPr>
        <w:t>Бургас</w:t>
      </w:r>
      <w:r w:rsidRPr="00610B1B">
        <w:rPr>
          <w:rFonts w:cs="Times New Roman"/>
        </w:rPr>
        <w:t xml:space="preserve">, </w:t>
      </w:r>
      <w:r w:rsidRPr="00610B1B">
        <w:rPr>
          <w:rStyle w:val="a1"/>
          <w:rFonts w:cs="Times New Roman"/>
          <w:color w:val="000000"/>
          <w:u w:val="none"/>
        </w:rPr>
        <w:t>Бяла</w:t>
      </w:r>
      <w:r w:rsidRPr="00610B1B">
        <w:rPr>
          <w:rFonts w:cs="Times New Roman"/>
        </w:rPr>
        <w:t xml:space="preserve">, </w:t>
      </w:r>
      <w:r w:rsidRPr="00610B1B">
        <w:rPr>
          <w:rStyle w:val="a1"/>
          <w:rFonts w:cs="Times New Roman"/>
          <w:color w:val="000000"/>
          <w:u w:val="none"/>
        </w:rPr>
        <w:t>Варна</w:t>
      </w:r>
      <w:r w:rsidRPr="00610B1B">
        <w:rPr>
          <w:rFonts w:cs="Times New Roman"/>
        </w:rPr>
        <w:t xml:space="preserve">, </w:t>
      </w:r>
      <w:r w:rsidRPr="00610B1B">
        <w:rPr>
          <w:rStyle w:val="a1"/>
          <w:rFonts w:cs="Times New Roman"/>
          <w:color w:val="000000"/>
          <w:u w:val="none"/>
        </w:rPr>
        <w:t>Долни чифлик</w:t>
      </w:r>
      <w:r w:rsidRPr="00610B1B">
        <w:rPr>
          <w:rFonts w:cs="Times New Roman"/>
        </w:rPr>
        <w:t xml:space="preserve">, </w:t>
      </w:r>
      <w:r w:rsidRPr="00610B1B">
        <w:rPr>
          <w:rStyle w:val="a1"/>
          <w:rFonts w:cs="Times New Roman"/>
          <w:color w:val="000000"/>
          <w:u w:val="none"/>
        </w:rPr>
        <w:t>Каварна</w:t>
      </w:r>
      <w:r w:rsidRPr="00610B1B">
        <w:rPr>
          <w:rFonts w:cs="Times New Roman"/>
        </w:rPr>
        <w:t xml:space="preserve">, </w:t>
      </w:r>
      <w:r w:rsidRPr="00610B1B">
        <w:rPr>
          <w:rStyle w:val="a1"/>
          <w:rFonts w:cs="Times New Roman"/>
          <w:color w:val="000000"/>
          <w:u w:val="none"/>
        </w:rPr>
        <w:t>Несебър</w:t>
      </w:r>
      <w:r w:rsidRPr="00610B1B">
        <w:rPr>
          <w:rFonts w:cs="Times New Roman"/>
        </w:rPr>
        <w:t xml:space="preserve">, </w:t>
      </w:r>
      <w:r w:rsidRPr="00610B1B">
        <w:rPr>
          <w:rStyle w:val="a1"/>
          <w:rFonts w:cs="Times New Roman"/>
          <w:color w:val="000000"/>
          <w:u w:val="none"/>
        </w:rPr>
        <w:t>Поморие</w:t>
      </w:r>
      <w:r w:rsidRPr="00610B1B">
        <w:rPr>
          <w:rFonts w:cs="Times New Roman"/>
        </w:rPr>
        <w:t xml:space="preserve">, </w:t>
      </w:r>
      <w:r w:rsidRPr="00610B1B">
        <w:rPr>
          <w:rStyle w:val="a1"/>
          <w:rFonts w:cs="Times New Roman"/>
          <w:color w:val="000000"/>
          <w:u w:val="none"/>
        </w:rPr>
        <w:t>Приморско</w:t>
      </w:r>
      <w:r w:rsidRPr="00610B1B">
        <w:rPr>
          <w:rFonts w:cs="Times New Roman"/>
        </w:rPr>
        <w:t xml:space="preserve">, </w:t>
      </w:r>
      <w:r w:rsidRPr="00610B1B">
        <w:rPr>
          <w:rStyle w:val="a1"/>
          <w:rFonts w:cs="Times New Roman"/>
          <w:color w:val="000000"/>
          <w:u w:val="none"/>
        </w:rPr>
        <w:t>Созопол</w:t>
      </w:r>
      <w:r w:rsidRPr="00610B1B">
        <w:rPr>
          <w:rFonts w:cs="Times New Roman"/>
        </w:rPr>
        <w:t xml:space="preserve">, </w:t>
      </w:r>
      <w:r w:rsidRPr="00610B1B">
        <w:rPr>
          <w:rStyle w:val="a1"/>
          <w:rFonts w:cs="Times New Roman"/>
          <w:color w:val="000000"/>
          <w:u w:val="none"/>
        </w:rPr>
        <w:t>Шабла</w:t>
      </w:r>
      <w:r w:rsidRPr="00610B1B">
        <w:rPr>
          <w:rFonts w:cs="Times New Roman"/>
        </w:rPr>
        <w:t xml:space="preserve"> и </w:t>
      </w:r>
      <w:r w:rsidRPr="00610B1B">
        <w:rPr>
          <w:rStyle w:val="a1"/>
          <w:rFonts w:cs="Times New Roman"/>
          <w:color w:val="000000"/>
          <w:u w:val="none"/>
        </w:rPr>
        <w:t>Царево</w:t>
      </w:r>
      <w:r w:rsidRPr="00610B1B">
        <w:rPr>
          <w:rFonts w:cs="Times New Roman"/>
          <w:iCs/>
        </w:rPr>
        <w:t>)</w:t>
      </w:r>
      <w:r w:rsidRPr="00610B1B">
        <w:rPr>
          <w:rFonts w:cs="Times New Roman"/>
        </w:rPr>
        <w:t xml:space="preserve"> </w:t>
      </w:r>
      <w:r w:rsidR="00DB7CEE" w:rsidRPr="00610B1B">
        <w:rPr>
          <w:rFonts w:cs="Times New Roman"/>
        </w:rPr>
        <w:t xml:space="preserve">защитените територии от различни категории </w:t>
      </w:r>
      <w:r w:rsidR="00362F07" w:rsidRPr="00610B1B">
        <w:rPr>
          <w:rFonts w:cs="Times New Roman"/>
        </w:rPr>
        <w:t xml:space="preserve">по смисъла на Закона за защитените територии </w:t>
      </w:r>
      <w:r w:rsidR="006473F9" w:rsidRPr="00610B1B">
        <w:rPr>
          <w:rFonts w:cs="Times New Roman"/>
        </w:rPr>
        <w:t>са 53 бр. От тях 34</w:t>
      </w:r>
      <w:r w:rsidR="00DB7CEE" w:rsidRPr="00610B1B">
        <w:rPr>
          <w:rFonts w:cs="Times New Roman"/>
        </w:rPr>
        <w:t xml:space="preserve"> бр. са р</w:t>
      </w:r>
      <w:r w:rsidR="006473F9" w:rsidRPr="00610B1B">
        <w:rPr>
          <w:rFonts w:cs="Times New Roman"/>
        </w:rPr>
        <w:t>азположени в Бургаска област, 9 във Варненска област и 10</w:t>
      </w:r>
      <w:r w:rsidR="00DB7CEE" w:rsidRPr="00610B1B">
        <w:rPr>
          <w:rFonts w:cs="Times New Roman"/>
        </w:rPr>
        <w:t xml:space="preserve"> в Добричка област. От всички защитени територии в обхвата на проучването само една - защитена местност „Кокетрайс“ попада изцяло в акваторията на Черно море. </w:t>
      </w:r>
      <w:r w:rsidR="006A05E6" w:rsidRPr="00610B1B">
        <w:rPr>
          <w:rFonts w:cs="Times New Roman"/>
        </w:rPr>
        <w:t>Тя</w:t>
      </w:r>
      <w:r w:rsidR="00524D30" w:rsidRPr="00610B1B">
        <w:rPr>
          <w:rFonts w:cs="Times New Roman"/>
        </w:rPr>
        <w:t xml:space="preserve"> е разположена в акваторията срещу община Несебър и е с площ 760.0 ha. Обявена е със </w:t>
      </w:r>
      <w:r w:rsidR="00524D30" w:rsidRPr="00610B1B">
        <w:rPr>
          <w:rFonts w:cs="Times New Roman"/>
        </w:rPr>
        <w:lastRenderedPageBreak/>
        <w:t xml:space="preserve">Заповед № РД-54/01.02.2001 г., (ДВ бр. 16/2001 г.) с цел опазване на пясъчната банка и бентосната фауна в Черно море. </w:t>
      </w:r>
      <w:r w:rsidR="006A05E6" w:rsidRPr="00610B1B">
        <w:rPr>
          <w:rFonts w:cs="Times New Roman"/>
        </w:rPr>
        <w:t xml:space="preserve">Забранява се </w:t>
      </w:r>
      <w:r w:rsidR="00524D30" w:rsidRPr="00610B1B">
        <w:rPr>
          <w:rFonts w:cs="Times New Roman"/>
        </w:rPr>
        <w:t>добива на пясък, миди, рапани, дънно тралене и драгиране и замърсяване</w:t>
      </w:r>
      <w:r w:rsidR="00D66FE0" w:rsidRPr="00610B1B">
        <w:rPr>
          <w:rFonts w:cs="Times New Roman"/>
        </w:rPr>
        <w:t xml:space="preserve"> </w:t>
      </w:r>
      <w:r w:rsidR="00524D30" w:rsidRPr="00610B1B">
        <w:rPr>
          <w:rFonts w:cs="Times New Roman"/>
        </w:rPr>
        <w:t>с нефтени продукти и отпадъци.</w:t>
      </w:r>
      <w:r w:rsidR="00DB7CEE" w:rsidRPr="00610B1B">
        <w:rPr>
          <w:rFonts w:cs="Times New Roman"/>
        </w:rPr>
        <w:t xml:space="preserve"> </w:t>
      </w:r>
    </w:p>
    <w:p w14:paraId="5E268C14" w14:textId="0807A32D" w:rsidR="006A05E6" w:rsidRPr="00610B1B" w:rsidRDefault="00A539B8" w:rsidP="00D32D6A">
      <w:pPr>
        <w:pStyle w:val="BodyText"/>
        <w:spacing w:before="0" w:after="120" w:line="276" w:lineRule="auto"/>
        <w:ind w:right="-153"/>
        <w:rPr>
          <w:rStyle w:val="FontStyle19"/>
          <w:rFonts w:eastAsia="Source Han Sans CN Regular" w:cs="Times New Roman"/>
          <w:sz w:val="24"/>
        </w:rPr>
      </w:pPr>
      <w:r w:rsidRPr="00610B1B">
        <w:rPr>
          <w:rStyle w:val="FontStyle19"/>
          <w:rFonts w:eastAsia="Source Han Sans CN Regular" w:cs="Times New Roman"/>
          <w:sz w:val="24"/>
        </w:rPr>
        <w:t>В пределите на Черноморската акватория заедно с</w:t>
      </w:r>
      <w:r w:rsidR="00D66FE0" w:rsidRPr="00610B1B">
        <w:rPr>
          <w:rStyle w:val="FontStyle19"/>
          <w:rFonts w:eastAsia="Source Han Sans CN Regular" w:cs="Times New Roman"/>
          <w:sz w:val="24"/>
        </w:rPr>
        <w:t xml:space="preserve"> </w:t>
      </w:r>
      <w:r w:rsidRPr="00610B1B">
        <w:rPr>
          <w:rStyle w:val="FontStyle19"/>
          <w:rFonts w:eastAsia="Source Han Sans CN Regular" w:cs="Times New Roman"/>
          <w:sz w:val="24"/>
        </w:rPr>
        <w:t>крайморските езера и в крайбрежната двукилометрова ивица</w:t>
      </w:r>
      <w:r w:rsidR="00D66FE0" w:rsidRPr="00610B1B">
        <w:rPr>
          <w:rStyle w:val="FontStyle19"/>
          <w:rFonts w:eastAsia="Source Han Sans CN Regular" w:cs="Times New Roman"/>
          <w:sz w:val="24"/>
        </w:rPr>
        <w:t xml:space="preserve"> </w:t>
      </w:r>
      <w:r w:rsidRPr="00610B1B">
        <w:rPr>
          <w:rStyle w:val="FontStyle19"/>
          <w:rFonts w:eastAsia="Source Han Sans CN Regular" w:cs="Times New Roman"/>
          <w:iCs/>
          <w:sz w:val="24"/>
        </w:rPr>
        <w:t>(</w:t>
      </w:r>
      <w:r w:rsidRPr="00610B1B">
        <w:rPr>
          <w:rStyle w:val="FontStyle19"/>
          <w:rFonts w:eastAsia="Source Han Sans CN Regular" w:cs="Times New Roman"/>
          <w:sz w:val="24"/>
        </w:rPr>
        <w:t>Зони „А“ и „Б“, съгласно ЗУЧК</w:t>
      </w:r>
      <w:r w:rsidRPr="00610B1B">
        <w:rPr>
          <w:rStyle w:val="FontStyle19"/>
          <w:rFonts w:eastAsia="Source Han Sans CN Regular" w:cs="Times New Roman"/>
          <w:iCs/>
          <w:sz w:val="24"/>
        </w:rPr>
        <w:t>)</w:t>
      </w:r>
      <w:r w:rsidRPr="00610B1B">
        <w:rPr>
          <w:rStyle w:val="FontStyle19"/>
          <w:rFonts w:eastAsia="Source Han Sans CN Regular" w:cs="Times New Roman"/>
          <w:sz w:val="24"/>
        </w:rPr>
        <w:t xml:space="preserve"> попадат изцяло или частично следните </w:t>
      </w:r>
      <w:r w:rsidRPr="00610B1B">
        <w:rPr>
          <w:rStyle w:val="FontStyle18"/>
          <w:rFonts w:eastAsia="Source Han Sans CN Regular" w:cs="Times New Roman"/>
          <w:sz w:val="24"/>
        </w:rPr>
        <w:t xml:space="preserve">защитени територии </w:t>
      </w:r>
      <w:r w:rsidRPr="00610B1B">
        <w:rPr>
          <w:rStyle w:val="FontStyle19"/>
          <w:rFonts w:eastAsia="Source Han Sans CN Regular" w:cs="Times New Roman"/>
          <w:sz w:val="24"/>
        </w:rPr>
        <w:t xml:space="preserve">по смисъла на Закона за защитените територии </w:t>
      </w:r>
      <w:r w:rsidRPr="00610B1B">
        <w:rPr>
          <w:rStyle w:val="FontStyle19"/>
          <w:rFonts w:eastAsia="Source Han Sans CN Regular" w:cs="Times New Roman"/>
          <w:iCs/>
          <w:sz w:val="24"/>
        </w:rPr>
        <w:t>(</w:t>
      </w:r>
      <w:r w:rsidRPr="00610B1B">
        <w:rPr>
          <w:rStyle w:val="FontStyle19"/>
          <w:rFonts w:eastAsia="Source Han Sans CN Regular" w:cs="Times New Roman"/>
          <w:sz w:val="24"/>
        </w:rPr>
        <w:t>ЗЗТ</w:t>
      </w:r>
      <w:r w:rsidRPr="00610B1B">
        <w:rPr>
          <w:rStyle w:val="FontStyle19"/>
          <w:rFonts w:eastAsia="Source Han Sans CN Regular" w:cs="Times New Roman"/>
          <w:iCs/>
          <w:sz w:val="24"/>
        </w:rPr>
        <w:t>)</w:t>
      </w:r>
      <w:r w:rsidRPr="00610B1B">
        <w:rPr>
          <w:rStyle w:val="FontStyle19"/>
          <w:rFonts w:eastAsia="Source Han Sans CN Regular" w:cs="Times New Roman"/>
          <w:sz w:val="24"/>
        </w:rPr>
        <w:t xml:space="preserve">: </w:t>
      </w:r>
      <w:r w:rsidR="006A05E6" w:rsidRPr="00610B1B">
        <w:rPr>
          <w:rStyle w:val="FontStyle19"/>
          <w:rFonts w:eastAsia="Source Han Sans CN Regular" w:cs="Times New Roman"/>
          <w:sz w:val="24"/>
        </w:rPr>
        <w:t>i) 3</w:t>
      </w:r>
      <w:r w:rsidR="00757909" w:rsidRPr="00610B1B">
        <w:rPr>
          <w:rStyle w:val="FontStyle19"/>
          <w:rFonts w:eastAsia="Source Han Sans CN Regular" w:cs="Times New Roman"/>
          <w:sz w:val="24"/>
        </w:rPr>
        <w:t> </w:t>
      </w:r>
      <w:r w:rsidRPr="00610B1B">
        <w:rPr>
          <w:rStyle w:val="FontStyle19"/>
          <w:rFonts w:eastAsia="Source Han Sans CN Regular" w:cs="Times New Roman"/>
          <w:sz w:val="24"/>
        </w:rPr>
        <w:t xml:space="preserve">резервата </w:t>
      </w:r>
      <w:r w:rsidR="00524D30" w:rsidRPr="00610B1B">
        <w:rPr>
          <w:rStyle w:val="FontStyle19"/>
          <w:rFonts w:eastAsia="Source Han Sans CN Regular" w:cs="Times New Roman"/>
          <w:sz w:val="24"/>
        </w:rPr>
        <w:t xml:space="preserve">(Р) </w:t>
      </w:r>
      <w:r w:rsidRPr="00610B1B">
        <w:rPr>
          <w:rStyle w:val="FontStyle19"/>
          <w:rFonts w:eastAsia="Source Han Sans CN Regular" w:cs="Times New Roman"/>
          <w:sz w:val="24"/>
        </w:rPr>
        <w:t>– Камчия, Калиакра и Ропотамо</w:t>
      </w:r>
      <w:r w:rsidR="006A05E6" w:rsidRPr="00610B1B">
        <w:rPr>
          <w:rStyle w:val="FontStyle19"/>
          <w:rFonts w:eastAsia="Source Han Sans CN Regular" w:cs="Times New Roman"/>
          <w:sz w:val="24"/>
        </w:rPr>
        <w:t xml:space="preserve">, по един във всяка от крайбрежните области; ii) </w:t>
      </w:r>
      <w:r w:rsidR="006473F9" w:rsidRPr="00610B1B">
        <w:rPr>
          <w:rStyle w:val="FontStyle19"/>
          <w:rFonts w:eastAsia="Source Han Sans CN Regular" w:cs="Times New Roman"/>
          <w:sz w:val="24"/>
        </w:rPr>
        <w:t>3</w:t>
      </w:r>
      <w:r w:rsidR="006A05E6" w:rsidRPr="00610B1B">
        <w:rPr>
          <w:rStyle w:val="FontStyle19"/>
          <w:rFonts w:eastAsia="Source Han Sans CN Regular" w:cs="Times New Roman"/>
          <w:sz w:val="24"/>
        </w:rPr>
        <w:t xml:space="preserve"> броя п</w:t>
      </w:r>
      <w:r w:rsidRPr="00610B1B">
        <w:rPr>
          <w:rStyle w:val="FontStyle19"/>
          <w:rFonts w:eastAsia="Source Han Sans CN Regular" w:cs="Times New Roman"/>
          <w:bCs/>
          <w:iCs/>
          <w:sz w:val="24"/>
        </w:rPr>
        <w:t>оддържани резервати (ПР)</w:t>
      </w:r>
      <w:r w:rsidR="006A05E6" w:rsidRPr="00610B1B">
        <w:rPr>
          <w:rStyle w:val="FontStyle19"/>
          <w:rFonts w:eastAsia="Source Han Sans CN Regular" w:cs="Times New Roman"/>
          <w:bCs/>
          <w:iCs/>
          <w:sz w:val="24"/>
        </w:rPr>
        <w:t xml:space="preserve"> </w:t>
      </w:r>
      <w:r w:rsidRPr="00610B1B">
        <w:rPr>
          <w:rStyle w:val="FontStyle19"/>
          <w:rFonts w:eastAsia="Source Han Sans CN Regular" w:cs="Times New Roman"/>
          <w:bCs/>
          <w:iCs/>
          <w:sz w:val="24"/>
        </w:rPr>
        <w:t>– Атанасовско езеро, Балтата</w:t>
      </w:r>
      <w:r w:rsidRPr="00610B1B">
        <w:rPr>
          <w:rStyle w:val="FontStyle19"/>
          <w:rFonts w:eastAsia="Source Han Sans CN Regular" w:cs="Times New Roman"/>
          <w:sz w:val="24"/>
        </w:rPr>
        <w:t xml:space="preserve"> и Пясъчната лилия. Като изключим поддържания резерват Балтата </w:t>
      </w:r>
      <w:r w:rsidRPr="00610B1B">
        <w:rPr>
          <w:rStyle w:val="FontStyle19"/>
          <w:rFonts w:eastAsia="Source Han Sans CN Regular" w:cs="Times New Roman"/>
          <w:iCs/>
          <w:sz w:val="24"/>
        </w:rPr>
        <w:t>(</w:t>
      </w:r>
      <w:r w:rsidRPr="00610B1B">
        <w:rPr>
          <w:rStyle w:val="FontStyle19"/>
          <w:rFonts w:eastAsia="Source Han Sans CN Regular" w:cs="Times New Roman"/>
          <w:sz w:val="24"/>
        </w:rPr>
        <w:t>област Добрич</w:t>
      </w:r>
      <w:r w:rsidRPr="00610B1B">
        <w:rPr>
          <w:rStyle w:val="FontStyle19"/>
          <w:rFonts w:eastAsia="Source Han Sans CN Regular" w:cs="Times New Roman"/>
          <w:iCs/>
          <w:sz w:val="24"/>
        </w:rPr>
        <w:t>)</w:t>
      </w:r>
      <w:r w:rsidR="006473F9" w:rsidRPr="00610B1B">
        <w:rPr>
          <w:rStyle w:val="FontStyle19"/>
          <w:rFonts w:eastAsia="Source Han Sans CN Regular" w:cs="Times New Roman"/>
          <w:sz w:val="24"/>
        </w:rPr>
        <w:t>, останалите 2</w:t>
      </w:r>
      <w:r w:rsidRPr="00610B1B">
        <w:rPr>
          <w:rStyle w:val="FontStyle19"/>
          <w:rFonts w:eastAsia="Source Han Sans CN Regular" w:cs="Times New Roman"/>
          <w:sz w:val="24"/>
        </w:rPr>
        <w:t xml:space="preserve"> са разположени в област Бургас</w:t>
      </w:r>
      <w:r w:rsidR="006A05E6" w:rsidRPr="00610B1B">
        <w:rPr>
          <w:rStyle w:val="FontStyle19"/>
          <w:rFonts w:eastAsia="Source Han Sans CN Regular" w:cs="Times New Roman"/>
          <w:sz w:val="24"/>
        </w:rPr>
        <w:t>;</w:t>
      </w:r>
      <w:r w:rsidR="00524D30" w:rsidRPr="00610B1B">
        <w:rPr>
          <w:rStyle w:val="FontStyle19"/>
          <w:rFonts w:eastAsia="Source Han Sans CN Regular" w:cs="Times New Roman"/>
          <w:sz w:val="24"/>
        </w:rPr>
        <w:t xml:space="preserve"> </w:t>
      </w:r>
      <w:r w:rsidR="006A05E6" w:rsidRPr="00610B1B">
        <w:rPr>
          <w:rStyle w:val="FontStyle19"/>
          <w:rFonts w:eastAsia="Source Han Sans CN Regular" w:cs="Times New Roman"/>
          <w:sz w:val="24"/>
        </w:rPr>
        <w:t xml:space="preserve">iii) </w:t>
      </w:r>
      <w:r w:rsidR="006A05E6" w:rsidRPr="00610B1B">
        <w:rPr>
          <w:rStyle w:val="FontStyle19"/>
          <w:rFonts w:eastAsia="Source Han Sans CN Regular" w:cs="Times New Roman"/>
          <w:bCs/>
          <w:iCs/>
          <w:sz w:val="24"/>
        </w:rPr>
        <w:t>2 броя п</w:t>
      </w:r>
      <w:r w:rsidRPr="00610B1B">
        <w:rPr>
          <w:rStyle w:val="FontStyle19"/>
          <w:rFonts w:eastAsia="Source Han Sans CN Regular" w:cs="Times New Roman"/>
          <w:bCs/>
          <w:iCs/>
          <w:sz w:val="24"/>
        </w:rPr>
        <w:t>риродни паркове (ПП)</w:t>
      </w:r>
      <w:r w:rsidRPr="00610B1B">
        <w:rPr>
          <w:rStyle w:val="FontStyle19"/>
          <w:rFonts w:eastAsia="Source Han Sans CN Regular" w:cs="Times New Roman"/>
          <w:sz w:val="24"/>
        </w:rPr>
        <w:t xml:space="preserve"> </w:t>
      </w:r>
      <w:r w:rsidR="006473F9" w:rsidRPr="00610B1B">
        <w:rPr>
          <w:rStyle w:val="FontStyle19"/>
          <w:rFonts w:eastAsia="Source Han Sans CN Regular" w:cs="Times New Roman"/>
          <w:sz w:val="24"/>
        </w:rPr>
        <w:t>–</w:t>
      </w:r>
      <w:r w:rsidRPr="00610B1B">
        <w:rPr>
          <w:rStyle w:val="FontStyle19"/>
          <w:rFonts w:eastAsia="Source Han Sans CN Regular" w:cs="Times New Roman"/>
          <w:sz w:val="24"/>
        </w:rPr>
        <w:t xml:space="preserve"> </w:t>
      </w:r>
      <w:r w:rsidR="006473F9" w:rsidRPr="00610B1B">
        <w:rPr>
          <w:rStyle w:val="FontStyle19"/>
          <w:rFonts w:eastAsia="Source Han Sans CN Regular" w:cs="Times New Roman"/>
          <w:sz w:val="24"/>
        </w:rPr>
        <w:t>„</w:t>
      </w:r>
      <w:r w:rsidRPr="00610B1B">
        <w:rPr>
          <w:rStyle w:val="FontStyle19"/>
          <w:rFonts w:eastAsia="Source Han Sans CN Regular" w:cs="Times New Roman"/>
          <w:sz w:val="24"/>
        </w:rPr>
        <w:t>Златни пясъци</w:t>
      </w:r>
      <w:r w:rsidR="006473F9" w:rsidRPr="00610B1B">
        <w:rPr>
          <w:rStyle w:val="FontStyle19"/>
          <w:rFonts w:eastAsia="Source Han Sans CN Regular" w:cs="Times New Roman"/>
          <w:sz w:val="24"/>
        </w:rPr>
        <w:t>“</w:t>
      </w:r>
      <w:r w:rsidRPr="00610B1B">
        <w:rPr>
          <w:rStyle w:val="FontStyle19"/>
          <w:rFonts w:eastAsia="Source Han Sans CN Regular" w:cs="Times New Roman"/>
          <w:sz w:val="24"/>
        </w:rPr>
        <w:t xml:space="preserve"> </w:t>
      </w:r>
      <w:r w:rsidR="0050133F" w:rsidRPr="00610B1B">
        <w:rPr>
          <w:rStyle w:val="FontStyle19"/>
          <w:rFonts w:eastAsia="Source Han Sans CN Regular" w:cs="Times New Roman"/>
          <w:sz w:val="24"/>
        </w:rPr>
        <w:t>в</w:t>
      </w:r>
      <w:r w:rsidRPr="00610B1B">
        <w:rPr>
          <w:rStyle w:val="FontStyle19"/>
          <w:rFonts w:eastAsia="Source Han Sans CN Regular" w:cs="Times New Roman"/>
          <w:sz w:val="24"/>
        </w:rPr>
        <w:t xml:space="preserve"> област Варна и </w:t>
      </w:r>
      <w:r w:rsidR="006473F9" w:rsidRPr="00610B1B">
        <w:rPr>
          <w:rStyle w:val="FontStyle19"/>
          <w:rFonts w:eastAsia="Source Han Sans CN Regular" w:cs="Times New Roman"/>
          <w:sz w:val="24"/>
        </w:rPr>
        <w:t>част от ПП „</w:t>
      </w:r>
      <w:r w:rsidRPr="00610B1B">
        <w:rPr>
          <w:rStyle w:val="FontStyle19"/>
          <w:rFonts w:eastAsia="Source Han Sans CN Regular" w:cs="Times New Roman"/>
          <w:sz w:val="24"/>
        </w:rPr>
        <w:t>Странджа</w:t>
      </w:r>
      <w:r w:rsidR="006473F9" w:rsidRPr="00610B1B">
        <w:rPr>
          <w:rStyle w:val="FontStyle19"/>
          <w:rFonts w:eastAsia="Source Han Sans CN Regular" w:cs="Times New Roman"/>
          <w:sz w:val="24"/>
        </w:rPr>
        <w:t>“</w:t>
      </w:r>
      <w:r w:rsidRPr="00610B1B">
        <w:rPr>
          <w:rStyle w:val="FontStyle19"/>
          <w:rFonts w:eastAsia="Source Han Sans CN Regular" w:cs="Times New Roman"/>
          <w:sz w:val="24"/>
        </w:rPr>
        <w:t xml:space="preserve"> </w:t>
      </w:r>
      <w:r w:rsidR="0050133F" w:rsidRPr="00610B1B">
        <w:rPr>
          <w:rStyle w:val="FontStyle19"/>
          <w:rFonts w:eastAsia="Source Han Sans CN Regular" w:cs="Times New Roman"/>
          <w:sz w:val="24"/>
        </w:rPr>
        <w:t>в</w:t>
      </w:r>
      <w:r w:rsidRPr="00610B1B">
        <w:rPr>
          <w:rStyle w:val="FontStyle19"/>
          <w:rFonts w:eastAsia="Source Han Sans CN Regular" w:cs="Times New Roman"/>
          <w:sz w:val="24"/>
        </w:rPr>
        <w:t xml:space="preserve"> област Бургас</w:t>
      </w:r>
      <w:r w:rsidR="006A05E6" w:rsidRPr="00610B1B">
        <w:rPr>
          <w:rStyle w:val="FontStyle19"/>
          <w:rFonts w:eastAsia="Source Han Sans CN Regular" w:cs="Times New Roman"/>
          <w:sz w:val="24"/>
        </w:rPr>
        <w:t xml:space="preserve">; iv) </w:t>
      </w:r>
      <w:r w:rsidR="006473F9" w:rsidRPr="00610B1B">
        <w:rPr>
          <w:rStyle w:val="FontStyle19"/>
          <w:rFonts w:eastAsia="Source Han Sans CN Regular" w:cs="Times New Roman"/>
          <w:sz w:val="24"/>
        </w:rPr>
        <w:t>3</w:t>
      </w:r>
      <w:r w:rsidR="002134B1" w:rsidRPr="00610B1B">
        <w:rPr>
          <w:rStyle w:val="FontStyle19"/>
          <w:rFonts w:eastAsia="Source Han Sans CN Regular" w:cs="Times New Roman"/>
          <w:sz w:val="24"/>
        </w:rPr>
        <w:t>1</w:t>
      </w:r>
      <w:r w:rsidR="006A05E6" w:rsidRPr="00610B1B">
        <w:rPr>
          <w:rStyle w:val="FontStyle19"/>
          <w:rFonts w:eastAsia="Source Han Sans CN Regular" w:cs="Times New Roman"/>
          <w:sz w:val="24"/>
        </w:rPr>
        <w:t xml:space="preserve"> броя</w:t>
      </w:r>
      <w:r w:rsidR="00D66FE0" w:rsidRPr="00610B1B">
        <w:rPr>
          <w:rStyle w:val="FontStyle19"/>
          <w:rFonts w:eastAsia="Source Han Sans CN Regular" w:cs="Times New Roman"/>
          <w:sz w:val="24"/>
        </w:rPr>
        <w:t xml:space="preserve"> </w:t>
      </w:r>
      <w:r w:rsidR="006A05E6" w:rsidRPr="00610B1B">
        <w:rPr>
          <w:rStyle w:val="FontStyle19"/>
          <w:rFonts w:eastAsia="Source Han Sans CN Regular" w:cs="Times New Roman"/>
          <w:sz w:val="24"/>
        </w:rPr>
        <w:t>з</w:t>
      </w:r>
      <w:r w:rsidRPr="00610B1B">
        <w:rPr>
          <w:rStyle w:val="FontStyle19"/>
          <w:rFonts w:eastAsia="Source Han Sans CN Regular" w:cs="Times New Roman"/>
          <w:bCs/>
          <w:iCs/>
          <w:sz w:val="24"/>
        </w:rPr>
        <w:t>ащитени местности (ЗМ)</w:t>
      </w:r>
      <w:r w:rsidR="006473F9" w:rsidRPr="00610B1B">
        <w:rPr>
          <w:rStyle w:val="FontStyle19"/>
          <w:rFonts w:eastAsia="Source Han Sans CN Regular" w:cs="Times New Roman"/>
          <w:bCs/>
          <w:iCs/>
          <w:sz w:val="24"/>
        </w:rPr>
        <w:t>. П</w:t>
      </w:r>
      <w:r w:rsidRPr="00610B1B">
        <w:rPr>
          <w:rStyle w:val="FontStyle19"/>
          <w:rFonts w:eastAsia="Source Han Sans CN Regular" w:cs="Times New Roman"/>
          <w:sz w:val="24"/>
        </w:rPr>
        <w:t>реобладават защитените местности</w:t>
      </w:r>
      <w:r w:rsidR="002134B1" w:rsidRPr="00610B1B">
        <w:rPr>
          <w:rStyle w:val="FontStyle19"/>
          <w:rFonts w:eastAsia="Source Han Sans CN Regular" w:cs="Times New Roman"/>
          <w:sz w:val="24"/>
        </w:rPr>
        <w:t xml:space="preserve"> в област Бургас - общо 18</w:t>
      </w:r>
      <w:r w:rsidR="006473F9" w:rsidRPr="00610B1B">
        <w:rPr>
          <w:rStyle w:val="FontStyle19"/>
          <w:rFonts w:eastAsia="Source Han Sans CN Regular" w:cs="Times New Roman"/>
          <w:sz w:val="24"/>
        </w:rPr>
        <w:t xml:space="preserve"> бр., 6</w:t>
      </w:r>
      <w:r w:rsidRPr="00610B1B">
        <w:rPr>
          <w:rStyle w:val="FontStyle19"/>
          <w:rFonts w:eastAsia="Source Han Sans CN Regular" w:cs="Times New Roman"/>
          <w:sz w:val="24"/>
        </w:rPr>
        <w:t xml:space="preserve"> бр. са разположени в област Варна и </w:t>
      </w:r>
      <w:r w:rsidR="00B6229C" w:rsidRPr="00610B1B">
        <w:rPr>
          <w:rStyle w:val="FontStyle19"/>
          <w:rFonts w:eastAsia="Source Han Sans CN Regular" w:cs="Times New Roman"/>
          <w:sz w:val="24"/>
        </w:rPr>
        <w:t xml:space="preserve">7 бр. в област </w:t>
      </w:r>
      <w:r w:rsidRPr="00610B1B">
        <w:rPr>
          <w:rStyle w:val="FontStyle19"/>
          <w:rFonts w:eastAsia="Source Han Sans CN Regular" w:cs="Times New Roman"/>
          <w:sz w:val="24"/>
        </w:rPr>
        <w:t>Добрич</w:t>
      </w:r>
      <w:r w:rsidR="006A05E6" w:rsidRPr="00610B1B">
        <w:rPr>
          <w:rStyle w:val="FontStyle19"/>
          <w:rFonts w:eastAsia="Source Han Sans CN Regular" w:cs="Times New Roman"/>
          <w:sz w:val="24"/>
        </w:rPr>
        <w:t>; v) 13 броя п</w:t>
      </w:r>
      <w:r w:rsidRPr="00610B1B">
        <w:rPr>
          <w:rStyle w:val="FontStyle19"/>
          <w:rFonts w:eastAsia="Source Han Sans CN Regular" w:cs="Times New Roman"/>
          <w:bCs/>
          <w:iCs/>
          <w:sz w:val="24"/>
        </w:rPr>
        <w:t>риродни забележителности (ПЗ)</w:t>
      </w:r>
      <w:r w:rsidR="006A05E6" w:rsidRPr="00610B1B">
        <w:rPr>
          <w:rStyle w:val="FontStyle19"/>
          <w:rFonts w:eastAsia="Source Han Sans CN Regular" w:cs="Times New Roman"/>
          <w:bCs/>
          <w:iCs/>
          <w:sz w:val="24"/>
        </w:rPr>
        <w:t xml:space="preserve">, </w:t>
      </w:r>
      <w:r w:rsidRPr="00610B1B">
        <w:rPr>
          <w:rStyle w:val="FontStyle19"/>
          <w:rFonts w:eastAsia="Source Han Sans CN Regular" w:cs="Times New Roman"/>
          <w:sz w:val="24"/>
        </w:rPr>
        <w:t xml:space="preserve">разположени в </w:t>
      </w:r>
      <w:r w:rsidR="002134B1" w:rsidRPr="00610B1B">
        <w:rPr>
          <w:rStyle w:val="FontStyle19"/>
          <w:rFonts w:eastAsia="Source Han Sans CN Regular" w:cs="Times New Roman"/>
          <w:sz w:val="24"/>
        </w:rPr>
        <w:t>3</w:t>
      </w:r>
      <w:r w:rsidRPr="00610B1B">
        <w:rPr>
          <w:rStyle w:val="FontStyle19"/>
          <w:rFonts w:eastAsia="Source Han Sans CN Regular" w:cs="Times New Roman"/>
          <w:sz w:val="24"/>
        </w:rPr>
        <w:t xml:space="preserve"> области – Бургас </w:t>
      </w:r>
      <w:r w:rsidR="0050133F" w:rsidRPr="00610B1B">
        <w:rPr>
          <w:rStyle w:val="FontStyle19"/>
          <w:rFonts w:eastAsia="Source Han Sans CN Regular" w:cs="Times New Roman"/>
          <w:sz w:val="24"/>
        </w:rPr>
        <w:t>1</w:t>
      </w:r>
      <w:r w:rsidRPr="00610B1B">
        <w:rPr>
          <w:rStyle w:val="FontStyle19"/>
          <w:rFonts w:eastAsia="Source Han Sans CN Regular" w:cs="Times New Roman"/>
          <w:sz w:val="24"/>
        </w:rPr>
        <w:t>2 бр.</w:t>
      </w:r>
      <w:r w:rsidR="002134B1" w:rsidRPr="00610B1B">
        <w:rPr>
          <w:rStyle w:val="FontStyle19"/>
          <w:rFonts w:eastAsia="Source Han Sans CN Regular" w:cs="Times New Roman"/>
          <w:sz w:val="24"/>
        </w:rPr>
        <w:t>, 1 бр. в област Варна</w:t>
      </w:r>
      <w:r w:rsidRPr="00610B1B">
        <w:rPr>
          <w:rStyle w:val="FontStyle19"/>
          <w:rFonts w:eastAsia="Source Han Sans CN Regular" w:cs="Times New Roman"/>
          <w:sz w:val="24"/>
        </w:rPr>
        <w:t xml:space="preserve"> и </w:t>
      </w:r>
      <w:r w:rsidR="002134B1" w:rsidRPr="00610B1B">
        <w:rPr>
          <w:rStyle w:val="FontStyle19"/>
          <w:rFonts w:eastAsia="Source Han Sans CN Regular" w:cs="Times New Roman"/>
          <w:sz w:val="24"/>
        </w:rPr>
        <w:t xml:space="preserve">1 бр. в област </w:t>
      </w:r>
      <w:r w:rsidRPr="00610B1B">
        <w:rPr>
          <w:rStyle w:val="FontStyle19"/>
          <w:rFonts w:eastAsia="Source Han Sans CN Regular" w:cs="Times New Roman"/>
          <w:sz w:val="24"/>
        </w:rPr>
        <w:t>Добрич.</w:t>
      </w:r>
      <w:r w:rsidR="0050133F" w:rsidRPr="00610B1B">
        <w:rPr>
          <w:rStyle w:val="FontStyle19"/>
          <w:rFonts w:eastAsia="Source Han Sans CN Regular" w:cs="Times New Roman"/>
          <w:sz w:val="24"/>
        </w:rPr>
        <w:t xml:space="preserve"> </w:t>
      </w:r>
    </w:p>
    <w:p w14:paraId="79D4B2A4" w14:textId="225DF9FB" w:rsidR="00A539B8" w:rsidRPr="00610B1B" w:rsidRDefault="00A539B8" w:rsidP="00D32D6A">
      <w:pPr>
        <w:pStyle w:val="BodyText"/>
        <w:spacing w:before="0" w:after="120" w:line="276" w:lineRule="auto"/>
        <w:ind w:right="-153"/>
        <w:rPr>
          <w:rStyle w:val="FontStyle19"/>
          <w:rFonts w:eastAsia="Source Han Sans CN Regular" w:cs="Times New Roman"/>
          <w:sz w:val="24"/>
        </w:rPr>
      </w:pPr>
      <w:r w:rsidRPr="00610B1B">
        <w:rPr>
          <w:rStyle w:val="FontStyle19"/>
          <w:rFonts w:eastAsia="Source Han Sans CN Regular" w:cs="Times New Roman"/>
          <w:sz w:val="24"/>
        </w:rPr>
        <w:t>Общият брой на защитените тери</w:t>
      </w:r>
      <w:r w:rsidR="006473F9" w:rsidRPr="00610B1B">
        <w:rPr>
          <w:rStyle w:val="FontStyle19"/>
          <w:rFonts w:eastAsia="Source Han Sans CN Regular" w:cs="Times New Roman"/>
          <w:sz w:val="24"/>
        </w:rPr>
        <w:t>тории от различни категории е 53</w:t>
      </w:r>
      <w:r w:rsidRPr="00610B1B">
        <w:rPr>
          <w:rStyle w:val="FontStyle19"/>
          <w:rFonts w:eastAsia="Source Han Sans CN Regular" w:cs="Times New Roman"/>
          <w:sz w:val="24"/>
        </w:rPr>
        <w:t xml:space="preserve"> бр.</w:t>
      </w:r>
      <w:r w:rsidR="006A05E6" w:rsidRPr="00610B1B">
        <w:rPr>
          <w:rStyle w:val="FontStyle19"/>
          <w:rFonts w:eastAsia="Source Han Sans CN Regular" w:cs="Times New Roman"/>
          <w:sz w:val="24"/>
        </w:rPr>
        <w:t xml:space="preserve">, най-много от тях разположени в област Бургас. </w:t>
      </w:r>
    </w:p>
    <w:p w14:paraId="0A4BCD02" w14:textId="49E88890" w:rsidR="00836952" w:rsidRPr="00610B1B" w:rsidRDefault="00836952" w:rsidP="00DE3A13">
      <w:pPr>
        <w:pStyle w:val="BodyText"/>
        <w:spacing w:before="0" w:after="120" w:line="240" w:lineRule="auto"/>
        <w:ind w:right="-153"/>
        <w:rPr>
          <w:rStyle w:val="FontStyle19"/>
          <w:rFonts w:eastAsia="Source Han Sans CN Regular" w:cs="Times New Roman"/>
          <w:sz w:val="24"/>
        </w:rPr>
      </w:pPr>
      <w:r w:rsidRPr="00610B1B">
        <w:rPr>
          <w:rStyle w:val="FontStyle19"/>
          <w:rFonts w:eastAsia="Source Han Sans CN Regular" w:cs="Times New Roman"/>
          <w:sz w:val="24"/>
        </w:rPr>
        <w:t>Най-много от защитените територии от различни категории са разположени в област Бургас.</w:t>
      </w:r>
    </w:p>
    <w:p w14:paraId="41C10A4D" w14:textId="3496D616" w:rsidR="00D509CD" w:rsidRPr="00610B1B" w:rsidRDefault="00E57141" w:rsidP="00DE3A13">
      <w:pPr>
        <w:pStyle w:val="Caption"/>
        <w:spacing w:before="0" w:after="70" w:line="240" w:lineRule="auto"/>
        <w:ind w:right="-153"/>
        <w:rPr>
          <w:rFonts w:cs="Times New Roman"/>
        </w:rPr>
      </w:pPr>
      <w:bookmarkStart w:id="301" w:name="_Toc83391597"/>
      <w:r w:rsidRPr="00610B1B">
        <w:rPr>
          <w:rFonts w:cs="Times New Roman"/>
        </w:rPr>
        <w:t xml:space="preserve">Таблица </w:t>
      </w:r>
      <w:r w:rsidRPr="00610B1B">
        <w:rPr>
          <w:rFonts w:cs="Times New Roman"/>
        </w:rPr>
        <w:fldChar w:fldCharType="begin"/>
      </w:r>
      <w:r w:rsidRPr="00610B1B">
        <w:rPr>
          <w:rFonts w:cs="Times New Roman"/>
        </w:rPr>
        <w:instrText xml:space="preserve"> SEQ Таблица \* ARABIC </w:instrText>
      </w:r>
      <w:r w:rsidRPr="00610B1B">
        <w:rPr>
          <w:rFonts w:cs="Times New Roman"/>
        </w:rPr>
        <w:fldChar w:fldCharType="separate"/>
      </w:r>
      <w:r w:rsidR="00260629" w:rsidRPr="00610B1B">
        <w:rPr>
          <w:rFonts w:cs="Times New Roman"/>
          <w:noProof/>
        </w:rPr>
        <w:t>1</w:t>
      </w:r>
      <w:r w:rsidRPr="00610B1B">
        <w:rPr>
          <w:rFonts w:cs="Times New Roman"/>
        </w:rPr>
        <w:fldChar w:fldCharType="end"/>
      </w:r>
      <w:r w:rsidRPr="00610B1B">
        <w:rPr>
          <w:rFonts w:cs="Times New Roman"/>
        </w:rPr>
        <w:t>:</w:t>
      </w:r>
      <w:r w:rsidR="00D509CD" w:rsidRPr="00610B1B">
        <w:rPr>
          <w:rFonts w:cs="Times New Roman"/>
        </w:rPr>
        <w:t xml:space="preserve"> Защитени територии по видове и области – брой</w:t>
      </w:r>
      <w:bookmarkEnd w:id="301"/>
    </w:p>
    <w:tbl>
      <w:tblPr>
        <w:tblW w:w="9062" w:type="dxa"/>
        <w:tblBorders>
          <w:top w:val="single" w:sz="4" w:space="0" w:color="auto"/>
          <w:bottom w:val="single" w:sz="4" w:space="0" w:color="auto"/>
          <w:insideH w:val="single" w:sz="4" w:space="0" w:color="auto"/>
        </w:tblBorders>
        <w:tblLook w:val="0000" w:firstRow="0" w:lastRow="0" w:firstColumn="0" w:lastColumn="0" w:noHBand="0" w:noVBand="0"/>
      </w:tblPr>
      <w:tblGrid>
        <w:gridCol w:w="1373"/>
        <w:gridCol w:w="1265"/>
        <w:gridCol w:w="1282"/>
        <w:gridCol w:w="1283"/>
        <w:gridCol w:w="1284"/>
        <w:gridCol w:w="1280"/>
        <w:gridCol w:w="1295"/>
      </w:tblGrid>
      <w:tr w:rsidR="00D509CD" w:rsidRPr="00610B1B" w14:paraId="02ECFF99" w14:textId="77777777" w:rsidTr="001E3FED">
        <w:trPr>
          <w:tblHeader/>
        </w:trPr>
        <w:tc>
          <w:tcPr>
            <w:tcW w:w="1373" w:type="dxa"/>
            <w:vMerge w:val="restart"/>
            <w:shd w:val="clear" w:color="auto" w:fill="C6D9F1" w:themeFill="text2" w:themeFillTint="33"/>
            <w:tcMar>
              <w:left w:w="108" w:type="dxa"/>
            </w:tcMar>
            <w:vAlign w:val="center"/>
          </w:tcPr>
          <w:p w14:paraId="25B51433" w14:textId="77777777" w:rsidR="00D509CD" w:rsidRPr="00610B1B" w:rsidRDefault="00D509CD" w:rsidP="00D32D6A">
            <w:pPr>
              <w:widowControl w:val="0"/>
              <w:spacing w:after="0" w:line="240" w:lineRule="auto"/>
              <w:jc w:val="center"/>
              <w:rPr>
                <w:rFonts w:ascii="Times New Roman" w:eastAsia="Times New Roman" w:hAnsi="Times New Roman" w:cs="Times New Roman"/>
                <w:b/>
                <w:szCs w:val="24"/>
                <w:lang w:val="bg-BG" w:eastAsia="bg-BG" w:bidi="hi-IN"/>
              </w:rPr>
            </w:pPr>
            <w:r w:rsidRPr="00610B1B">
              <w:rPr>
                <w:rFonts w:ascii="Times New Roman" w:eastAsia="Times New Roman" w:hAnsi="Times New Roman" w:cs="Times New Roman"/>
                <w:b/>
                <w:szCs w:val="24"/>
                <w:lang w:val="bg-BG" w:eastAsia="bg-BG" w:bidi="hi-IN"/>
              </w:rPr>
              <w:t>Области</w:t>
            </w:r>
          </w:p>
        </w:tc>
        <w:tc>
          <w:tcPr>
            <w:tcW w:w="6394" w:type="dxa"/>
            <w:gridSpan w:val="5"/>
            <w:shd w:val="clear" w:color="auto" w:fill="C6D9F1" w:themeFill="text2" w:themeFillTint="33"/>
            <w:tcMar>
              <w:left w:w="108" w:type="dxa"/>
            </w:tcMar>
            <w:vAlign w:val="center"/>
          </w:tcPr>
          <w:p w14:paraId="2ED4B568" w14:textId="77777777" w:rsidR="00D509CD" w:rsidRPr="00610B1B" w:rsidRDefault="00D509CD" w:rsidP="00D32D6A">
            <w:pPr>
              <w:spacing w:after="0" w:line="240" w:lineRule="auto"/>
              <w:jc w:val="center"/>
              <w:rPr>
                <w:rFonts w:ascii="Times New Roman" w:eastAsia="Times New Roman" w:hAnsi="Times New Roman" w:cs="Times New Roman"/>
                <w:b/>
                <w:szCs w:val="24"/>
                <w:lang w:val="bg-BG" w:eastAsia="bg-BG" w:bidi="hi-IN"/>
              </w:rPr>
            </w:pPr>
            <w:r w:rsidRPr="00610B1B">
              <w:rPr>
                <w:rFonts w:ascii="Times New Roman" w:eastAsia="Times New Roman" w:hAnsi="Times New Roman" w:cs="Times New Roman"/>
                <w:b/>
                <w:szCs w:val="24"/>
                <w:lang w:val="bg-BG" w:eastAsia="bg-BG" w:bidi="hi-IN"/>
              </w:rPr>
              <w:t>Видове защитени територии</w:t>
            </w:r>
          </w:p>
        </w:tc>
        <w:tc>
          <w:tcPr>
            <w:tcW w:w="1295" w:type="dxa"/>
            <w:vMerge w:val="restart"/>
            <w:shd w:val="clear" w:color="auto" w:fill="C6D9F1" w:themeFill="text2" w:themeFillTint="33"/>
            <w:tcMar>
              <w:left w:w="108" w:type="dxa"/>
            </w:tcMar>
            <w:vAlign w:val="center"/>
          </w:tcPr>
          <w:p w14:paraId="31401832" w14:textId="77777777" w:rsidR="00D509CD" w:rsidRPr="00610B1B" w:rsidRDefault="00D509CD" w:rsidP="00D32D6A">
            <w:pPr>
              <w:widowControl w:val="0"/>
              <w:spacing w:after="0" w:line="240" w:lineRule="auto"/>
              <w:jc w:val="center"/>
              <w:rPr>
                <w:rFonts w:ascii="Times New Roman" w:eastAsia="Times New Roman" w:hAnsi="Times New Roman" w:cs="Times New Roman"/>
                <w:b/>
                <w:szCs w:val="24"/>
                <w:lang w:val="bg-BG" w:eastAsia="bg-BG" w:bidi="hi-IN"/>
              </w:rPr>
            </w:pPr>
            <w:r w:rsidRPr="00610B1B">
              <w:rPr>
                <w:rFonts w:ascii="Times New Roman" w:eastAsia="Times New Roman" w:hAnsi="Times New Roman" w:cs="Times New Roman"/>
                <w:b/>
                <w:szCs w:val="24"/>
                <w:lang w:val="bg-BG" w:eastAsia="bg-BG" w:bidi="hi-IN"/>
              </w:rPr>
              <w:t>Общо бр.</w:t>
            </w:r>
          </w:p>
        </w:tc>
      </w:tr>
      <w:tr w:rsidR="00D509CD" w:rsidRPr="00610B1B" w14:paraId="7525539A" w14:textId="77777777" w:rsidTr="001E3FED">
        <w:trPr>
          <w:tblHeader/>
        </w:trPr>
        <w:tc>
          <w:tcPr>
            <w:tcW w:w="1373" w:type="dxa"/>
            <w:vMerge/>
            <w:shd w:val="clear" w:color="auto" w:fill="auto"/>
            <w:tcMar>
              <w:left w:w="108" w:type="dxa"/>
            </w:tcMar>
          </w:tcPr>
          <w:p w14:paraId="5916445B"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p>
        </w:tc>
        <w:tc>
          <w:tcPr>
            <w:tcW w:w="1265" w:type="dxa"/>
            <w:shd w:val="clear" w:color="auto" w:fill="C6D9F1" w:themeFill="text2" w:themeFillTint="33"/>
            <w:tcMar>
              <w:left w:w="108" w:type="dxa"/>
            </w:tcMar>
            <w:vAlign w:val="center"/>
          </w:tcPr>
          <w:p w14:paraId="4649449B" w14:textId="3F295D68" w:rsidR="00D509CD" w:rsidRPr="00610B1B" w:rsidRDefault="00D509CD" w:rsidP="00D32D6A">
            <w:pPr>
              <w:spacing w:after="0" w:line="240" w:lineRule="auto"/>
              <w:jc w:val="center"/>
              <w:rPr>
                <w:rFonts w:ascii="Times New Roman" w:eastAsia="Times New Roman" w:hAnsi="Times New Roman" w:cs="Times New Roman"/>
                <w:sz w:val="20"/>
                <w:lang w:val="bg-BG" w:eastAsia="bg-BG" w:bidi="hi-IN"/>
              </w:rPr>
            </w:pPr>
            <w:r w:rsidRPr="00610B1B">
              <w:rPr>
                <w:rFonts w:ascii="Times New Roman" w:eastAsia="Times New Roman" w:hAnsi="Times New Roman" w:cs="Times New Roman"/>
                <w:b/>
                <w:sz w:val="20"/>
                <w:lang w:val="bg-BG" w:eastAsia="bg-BG" w:bidi="hi-IN"/>
              </w:rPr>
              <w:t>Р</w:t>
            </w:r>
          </w:p>
        </w:tc>
        <w:tc>
          <w:tcPr>
            <w:tcW w:w="1282" w:type="dxa"/>
            <w:shd w:val="clear" w:color="auto" w:fill="C6D9F1" w:themeFill="text2" w:themeFillTint="33"/>
            <w:tcMar>
              <w:left w:w="108" w:type="dxa"/>
            </w:tcMar>
            <w:vAlign w:val="center"/>
          </w:tcPr>
          <w:p w14:paraId="03D9CE39" w14:textId="30F124F4" w:rsidR="00D509CD" w:rsidRPr="00610B1B" w:rsidRDefault="00D509CD" w:rsidP="00D32D6A">
            <w:pPr>
              <w:spacing w:after="0" w:line="240" w:lineRule="auto"/>
              <w:jc w:val="center"/>
              <w:rPr>
                <w:rFonts w:ascii="Times New Roman" w:eastAsia="Times New Roman" w:hAnsi="Times New Roman" w:cs="Times New Roman"/>
                <w:sz w:val="20"/>
                <w:lang w:val="bg-BG" w:eastAsia="bg-BG" w:bidi="hi-IN"/>
              </w:rPr>
            </w:pPr>
            <w:r w:rsidRPr="00610B1B">
              <w:rPr>
                <w:rFonts w:ascii="Times New Roman" w:eastAsia="Times New Roman" w:hAnsi="Times New Roman" w:cs="Times New Roman"/>
                <w:b/>
                <w:sz w:val="20"/>
                <w:lang w:val="bg-BG" w:eastAsia="bg-BG" w:bidi="hi-IN"/>
              </w:rPr>
              <w:t>ПР</w:t>
            </w:r>
          </w:p>
        </w:tc>
        <w:tc>
          <w:tcPr>
            <w:tcW w:w="1283" w:type="dxa"/>
            <w:shd w:val="clear" w:color="auto" w:fill="C6D9F1" w:themeFill="text2" w:themeFillTint="33"/>
            <w:tcMar>
              <w:left w:w="108" w:type="dxa"/>
            </w:tcMar>
            <w:vAlign w:val="center"/>
          </w:tcPr>
          <w:p w14:paraId="55C90100" w14:textId="2E236F6C" w:rsidR="00D509CD" w:rsidRPr="00610B1B" w:rsidRDefault="00D509CD" w:rsidP="00D32D6A">
            <w:pPr>
              <w:spacing w:after="0" w:line="240" w:lineRule="auto"/>
              <w:jc w:val="center"/>
              <w:rPr>
                <w:rFonts w:ascii="Times New Roman" w:eastAsia="Times New Roman" w:hAnsi="Times New Roman" w:cs="Times New Roman"/>
                <w:sz w:val="20"/>
                <w:lang w:val="bg-BG" w:eastAsia="bg-BG" w:bidi="hi-IN"/>
              </w:rPr>
            </w:pPr>
            <w:r w:rsidRPr="00610B1B">
              <w:rPr>
                <w:rFonts w:ascii="Times New Roman" w:eastAsia="Times New Roman" w:hAnsi="Times New Roman" w:cs="Times New Roman"/>
                <w:b/>
                <w:sz w:val="20"/>
                <w:lang w:val="bg-BG" w:eastAsia="bg-BG" w:bidi="hi-IN"/>
              </w:rPr>
              <w:t>ПП</w:t>
            </w:r>
          </w:p>
        </w:tc>
        <w:tc>
          <w:tcPr>
            <w:tcW w:w="1284" w:type="dxa"/>
            <w:shd w:val="clear" w:color="auto" w:fill="C6D9F1" w:themeFill="text2" w:themeFillTint="33"/>
            <w:tcMar>
              <w:left w:w="108" w:type="dxa"/>
            </w:tcMar>
            <w:vAlign w:val="center"/>
          </w:tcPr>
          <w:p w14:paraId="1B3841DB" w14:textId="2076405A" w:rsidR="00D509CD" w:rsidRPr="00610B1B" w:rsidRDefault="00D509CD" w:rsidP="00D32D6A">
            <w:pPr>
              <w:spacing w:after="0" w:line="240" w:lineRule="auto"/>
              <w:jc w:val="center"/>
              <w:rPr>
                <w:rFonts w:ascii="Times New Roman" w:eastAsia="Times New Roman" w:hAnsi="Times New Roman" w:cs="Times New Roman"/>
                <w:sz w:val="20"/>
                <w:lang w:val="bg-BG" w:eastAsia="bg-BG" w:bidi="hi-IN"/>
              </w:rPr>
            </w:pPr>
            <w:r w:rsidRPr="00610B1B">
              <w:rPr>
                <w:rFonts w:ascii="Times New Roman" w:eastAsia="Times New Roman" w:hAnsi="Times New Roman" w:cs="Times New Roman"/>
                <w:b/>
                <w:sz w:val="20"/>
                <w:lang w:val="bg-BG" w:eastAsia="bg-BG" w:bidi="hi-IN"/>
              </w:rPr>
              <w:t>ЗМ</w:t>
            </w:r>
          </w:p>
        </w:tc>
        <w:tc>
          <w:tcPr>
            <w:tcW w:w="1280" w:type="dxa"/>
            <w:shd w:val="clear" w:color="auto" w:fill="C6D9F1" w:themeFill="text2" w:themeFillTint="33"/>
            <w:tcMar>
              <w:left w:w="108" w:type="dxa"/>
            </w:tcMar>
            <w:vAlign w:val="center"/>
          </w:tcPr>
          <w:p w14:paraId="584334C4" w14:textId="738F866C" w:rsidR="00D509CD" w:rsidRPr="00610B1B" w:rsidRDefault="00D509CD" w:rsidP="00D32D6A">
            <w:pPr>
              <w:spacing w:after="0" w:line="240" w:lineRule="auto"/>
              <w:jc w:val="center"/>
              <w:rPr>
                <w:rFonts w:ascii="Times New Roman" w:eastAsia="Times New Roman" w:hAnsi="Times New Roman" w:cs="Times New Roman"/>
                <w:sz w:val="20"/>
                <w:lang w:val="bg-BG" w:eastAsia="bg-BG" w:bidi="hi-IN"/>
              </w:rPr>
            </w:pPr>
            <w:r w:rsidRPr="00610B1B">
              <w:rPr>
                <w:rFonts w:ascii="Times New Roman" w:eastAsia="Times New Roman" w:hAnsi="Times New Roman" w:cs="Times New Roman"/>
                <w:b/>
                <w:sz w:val="20"/>
                <w:lang w:val="bg-BG" w:eastAsia="bg-BG" w:bidi="hi-IN"/>
              </w:rPr>
              <w:t>ПЗ</w:t>
            </w:r>
          </w:p>
        </w:tc>
        <w:tc>
          <w:tcPr>
            <w:tcW w:w="1295" w:type="dxa"/>
            <w:vMerge/>
            <w:shd w:val="clear" w:color="auto" w:fill="auto"/>
            <w:tcMar>
              <w:left w:w="108" w:type="dxa"/>
            </w:tcMar>
            <w:vAlign w:val="center"/>
          </w:tcPr>
          <w:p w14:paraId="254C249D"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p>
        </w:tc>
      </w:tr>
      <w:tr w:rsidR="00D509CD" w:rsidRPr="00610B1B" w14:paraId="2F6D8794" w14:textId="77777777" w:rsidTr="001E3FED">
        <w:tc>
          <w:tcPr>
            <w:tcW w:w="1373" w:type="dxa"/>
            <w:shd w:val="clear" w:color="auto" w:fill="auto"/>
            <w:tcMar>
              <w:left w:w="108" w:type="dxa"/>
            </w:tcMar>
          </w:tcPr>
          <w:p w14:paraId="34054078" w14:textId="77777777" w:rsidR="00D509CD" w:rsidRPr="00610B1B" w:rsidRDefault="00D509CD" w:rsidP="00D32D6A">
            <w:pPr>
              <w:spacing w:after="0" w:line="240" w:lineRule="auto"/>
              <w:jc w:val="both"/>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Добрич</w:t>
            </w:r>
          </w:p>
        </w:tc>
        <w:tc>
          <w:tcPr>
            <w:tcW w:w="1265" w:type="dxa"/>
            <w:shd w:val="clear" w:color="auto" w:fill="auto"/>
            <w:tcMar>
              <w:left w:w="108" w:type="dxa"/>
            </w:tcMar>
          </w:tcPr>
          <w:p w14:paraId="48870972"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1</w:t>
            </w:r>
          </w:p>
        </w:tc>
        <w:tc>
          <w:tcPr>
            <w:tcW w:w="1282" w:type="dxa"/>
            <w:shd w:val="clear" w:color="auto" w:fill="auto"/>
            <w:tcMar>
              <w:left w:w="108" w:type="dxa"/>
            </w:tcMar>
          </w:tcPr>
          <w:p w14:paraId="7F8229AF"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1</w:t>
            </w:r>
          </w:p>
        </w:tc>
        <w:tc>
          <w:tcPr>
            <w:tcW w:w="1283" w:type="dxa"/>
            <w:shd w:val="clear" w:color="auto" w:fill="auto"/>
            <w:tcMar>
              <w:left w:w="108" w:type="dxa"/>
            </w:tcMar>
          </w:tcPr>
          <w:p w14:paraId="3F862585"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0</w:t>
            </w:r>
          </w:p>
        </w:tc>
        <w:tc>
          <w:tcPr>
            <w:tcW w:w="1284" w:type="dxa"/>
            <w:shd w:val="clear" w:color="auto" w:fill="auto"/>
            <w:tcMar>
              <w:left w:w="108" w:type="dxa"/>
            </w:tcMar>
          </w:tcPr>
          <w:p w14:paraId="185A3E67"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7</w:t>
            </w:r>
          </w:p>
        </w:tc>
        <w:tc>
          <w:tcPr>
            <w:tcW w:w="1280" w:type="dxa"/>
            <w:shd w:val="clear" w:color="auto" w:fill="auto"/>
            <w:tcMar>
              <w:left w:w="108" w:type="dxa"/>
            </w:tcMar>
          </w:tcPr>
          <w:p w14:paraId="5918BC26" w14:textId="1EF34B3C" w:rsidR="00D509CD" w:rsidRPr="00610B1B" w:rsidRDefault="00B6229C"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1</w:t>
            </w:r>
          </w:p>
        </w:tc>
        <w:tc>
          <w:tcPr>
            <w:tcW w:w="1295" w:type="dxa"/>
            <w:shd w:val="clear" w:color="auto" w:fill="auto"/>
            <w:tcMar>
              <w:left w:w="108" w:type="dxa"/>
            </w:tcMar>
          </w:tcPr>
          <w:p w14:paraId="24F6E9A1" w14:textId="3078DCD5" w:rsidR="00D509CD" w:rsidRPr="00610B1B" w:rsidRDefault="00B6229C"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10</w:t>
            </w:r>
          </w:p>
        </w:tc>
      </w:tr>
      <w:tr w:rsidR="00D509CD" w:rsidRPr="00610B1B" w14:paraId="2C3721B6" w14:textId="77777777" w:rsidTr="001E3FED">
        <w:tc>
          <w:tcPr>
            <w:tcW w:w="1373" w:type="dxa"/>
            <w:shd w:val="clear" w:color="auto" w:fill="auto"/>
            <w:tcMar>
              <w:left w:w="108" w:type="dxa"/>
            </w:tcMar>
          </w:tcPr>
          <w:p w14:paraId="17F6F430" w14:textId="77777777" w:rsidR="00D509CD" w:rsidRPr="00610B1B" w:rsidRDefault="00D509CD" w:rsidP="00D32D6A">
            <w:pPr>
              <w:spacing w:after="0" w:line="240" w:lineRule="auto"/>
              <w:jc w:val="both"/>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Варна</w:t>
            </w:r>
          </w:p>
        </w:tc>
        <w:tc>
          <w:tcPr>
            <w:tcW w:w="1265" w:type="dxa"/>
            <w:shd w:val="clear" w:color="auto" w:fill="auto"/>
            <w:tcMar>
              <w:left w:w="108" w:type="dxa"/>
            </w:tcMar>
          </w:tcPr>
          <w:p w14:paraId="78028A7C"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1</w:t>
            </w:r>
          </w:p>
        </w:tc>
        <w:tc>
          <w:tcPr>
            <w:tcW w:w="1282" w:type="dxa"/>
            <w:shd w:val="clear" w:color="auto" w:fill="auto"/>
            <w:tcMar>
              <w:left w:w="108" w:type="dxa"/>
            </w:tcMar>
          </w:tcPr>
          <w:p w14:paraId="1487A7F7"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0</w:t>
            </w:r>
          </w:p>
        </w:tc>
        <w:tc>
          <w:tcPr>
            <w:tcW w:w="1283" w:type="dxa"/>
            <w:shd w:val="clear" w:color="auto" w:fill="auto"/>
            <w:tcMar>
              <w:left w:w="108" w:type="dxa"/>
            </w:tcMar>
          </w:tcPr>
          <w:p w14:paraId="33437E61"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1</w:t>
            </w:r>
          </w:p>
        </w:tc>
        <w:tc>
          <w:tcPr>
            <w:tcW w:w="1284" w:type="dxa"/>
            <w:shd w:val="clear" w:color="auto" w:fill="auto"/>
            <w:tcMar>
              <w:left w:w="108" w:type="dxa"/>
            </w:tcMar>
          </w:tcPr>
          <w:p w14:paraId="3F542C4D" w14:textId="069305A7" w:rsidR="00D509CD" w:rsidRPr="00610B1B" w:rsidRDefault="006473F9"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6</w:t>
            </w:r>
          </w:p>
        </w:tc>
        <w:tc>
          <w:tcPr>
            <w:tcW w:w="1280" w:type="dxa"/>
            <w:shd w:val="clear" w:color="auto" w:fill="auto"/>
            <w:tcMar>
              <w:left w:w="108" w:type="dxa"/>
            </w:tcMar>
          </w:tcPr>
          <w:p w14:paraId="1B345061"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1</w:t>
            </w:r>
          </w:p>
        </w:tc>
        <w:tc>
          <w:tcPr>
            <w:tcW w:w="1295" w:type="dxa"/>
            <w:shd w:val="clear" w:color="auto" w:fill="auto"/>
            <w:tcMar>
              <w:left w:w="108" w:type="dxa"/>
            </w:tcMar>
          </w:tcPr>
          <w:p w14:paraId="40FC5AE0" w14:textId="00CDC40C" w:rsidR="00D509CD" w:rsidRPr="00610B1B" w:rsidRDefault="00B6229C"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9</w:t>
            </w:r>
          </w:p>
        </w:tc>
      </w:tr>
      <w:tr w:rsidR="00D509CD" w:rsidRPr="00610B1B" w14:paraId="443F67E2" w14:textId="77777777" w:rsidTr="001E3FED">
        <w:tc>
          <w:tcPr>
            <w:tcW w:w="1373" w:type="dxa"/>
            <w:shd w:val="clear" w:color="auto" w:fill="auto"/>
            <w:tcMar>
              <w:left w:w="108" w:type="dxa"/>
            </w:tcMar>
          </w:tcPr>
          <w:p w14:paraId="5A1510E4" w14:textId="77777777" w:rsidR="00D509CD" w:rsidRPr="00610B1B" w:rsidRDefault="00D509CD" w:rsidP="00D32D6A">
            <w:pPr>
              <w:spacing w:after="0" w:line="240" w:lineRule="auto"/>
              <w:jc w:val="both"/>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Бургас</w:t>
            </w:r>
          </w:p>
        </w:tc>
        <w:tc>
          <w:tcPr>
            <w:tcW w:w="1265" w:type="dxa"/>
            <w:shd w:val="clear" w:color="auto" w:fill="auto"/>
            <w:tcMar>
              <w:left w:w="108" w:type="dxa"/>
            </w:tcMar>
          </w:tcPr>
          <w:p w14:paraId="7535E97F"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1</w:t>
            </w:r>
          </w:p>
        </w:tc>
        <w:tc>
          <w:tcPr>
            <w:tcW w:w="1282" w:type="dxa"/>
            <w:shd w:val="clear" w:color="auto" w:fill="auto"/>
            <w:tcMar>
              <w:left w:w="108" w:type="dxa"/>
            </w:tcMar>
          </w:tcPr>
          <w:p w14:paraId="304B91D7" w14:textId="385AB589" w:rsidR="00D509CD" w:rsidRPr="00610B1B" w:rsidRDefault="006473F9"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2</w:t>
            </w:r>
          </w:p>
        </w:tc>
        <w:tc>
          <w:tcPr>
            <w:tcW w:w="1283" w:type="dxa"/>
            <w:shd w:val="clear" w:color="auto" w:fill="auto"/>
            <w:tcMar>
              <w:left w:w="108" w:type="dxa"/>
            </w:tcMar>
          </w:tcPr>
          <w:p w14:paraId="5E26C3BD"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1</w:t>
            </w:r>
          </w:p>
        </w:tc>
        <w:tc>
          <w:tcPr>
            <w:tcW w:w="1284" w:type="dxa"/>
            <w:shd w:val="clear" w:color="auto" w:fill="auto"/>
            <w:tcMar>
              <w:left w:w="108" w:type="dxa"/>
            </w:tcMar>
          </w:tcPr>
          <w:p w14:paraId="10301350" w14:textId="4E85DD94" w:rsidR="00D509CD" w:rsidRPr="00610B1B" w:rsidRDefault="002134B1"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18</w:t>
            </w:r>
          </w:p>
        </w:tc>
        <w:tc>
          <w:tcPr>
            <w:tcW w:w="1280" w:type="dxa"/>
            <w:shd w:val="clear" w:color="auto" w:fill="auto"/>
            <w:tcMar>
              <w:left w:w="108" w:type="dxa"/>
            </w:tcMar>
          </w:tcPr>
          <w:p w14:paraId="1F619BE3"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12</w:t>
            </w:r>
          </w:p>
        </w:tc>
        <w:tc>
          <w:tcPr>
            <w:tcW w:w="1295" w:type="dxa"/>
            <w:shd w:val="clear" w:color="auto" w:fill="auto"/>
            <w:tcMar>
              <w:left w:w="108" w:type="dxa"/>
            </w:tcMar>
          </w:tcPr>
          <w:p w14:paraId="7EA6134D" w14:textId="6542DD30" w:rsidR="00D509CD" w:rsidRPr="00610B1B" w:rsidRDefault="00B6229C"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34</w:t>
            </w:r>
          </w:p>
        </w:tc>
      </w:tr>
      <w:tr w:rsidR="00D509CD" w:rsidRPr="00610B1B" w14:paraId="2B2A0776" w14:textId="77777777" w:rsidTr="001E3FED">
        <w:tc>
          <w:tcPr>
            <w:tcW w:w="1373" w:type="dxa"/>
            <w:shd w:val="clear" w:color="auto" w:fill="auto"/>
            <w:tcMar>
              <w:left w:w="108" w:type="dxa"/>
            </w:tcMar>
          </w:tcPr>
          <w:p w14:paraId="4F812D21" w14:textId="77777777" w:rsidR="00D509CD" w:rsidRPr="00610B1B" w:rsidRDefault="00D509CD" w:rsidP="00D32D6A">
            <w:pPr>
              <w:spacing w:after="0" w:line="240" w:lineRule="auto"/>
              <w:jc w:val="both"/>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Общо</w:t>
            </w:r>
          </w:p>
        </w:tc>
        <w:tc>
          <w:tcPr>
            <w:tcW w:w="1265" w:type="dxa"/>
            <w:shd w:val="clear" w:color="auto" w:fill="auto"/>
            <w:tcMar>
              <w:left w:w="108" w:type="dxa"/>
            </w:tcMar>
          </w:tcPr>
          <w:p w14:paraId="29AD37A3"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3</w:t>
            </w:r>
          </w:p>
        </w:tc>
        <w:tc>
          <w:tcPr>
            <w:tcW w:w="1282" w:type="dxa"/>
            <w:shd w:val="clear" w:color="auto" w:fill="auto"/>
            <w:tcMar>
              <w:left w:w="108" w:type="dxa"/>
            </w:tcMar>
          </w:tcPr>
          <w:p w14:paraId="753C2A39" w14:textId="3DB86B9E" w:rsidR="00D509CD" w:rsidRPr="00610B1B" w:rsidRDefault="006473F9"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3</w:t>
            </w:r>
          </w:p>
        </w:tc>
        <w:tc>
          <w:tcPr>
            <w:tcW w:w="1283" w:type="dxa"/>
            <w:shd w:val="clear" w:color="auto" w:fill="auto"/>
            <w:tcMar>
              <w:left w:w="108" w:type="dxa"/>
            </w:tcMar>
          </w:tcPr>
          <w:p w14:paraId="202CCDE3" w14:textId="77777777" w:rsidR="00D509CD" w:rsidRPr="00610B1B" w:rsidRDefault="00D509CD"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2</w:t>
            </w:r>
          </w:p>
        </w:tc>
        <w:tc>
          <w:tcPr>
            <w:tcW w:w="1284" w:type="dxa"/>
            <w:shd w:val="clear" w:color="auto" w:fill="auto"/>
            <w:tcMar>
              <w:left w:w="108" w:type="dxa"/>
            </w:tcMar>
          </w:tcPr>
          <w:p w14:paraId="71E336A2" w14:textId="08501729" w:rsidR="00D509CD" w:rsidRPr="00610B1B" w:rsidRDefault="002134B1"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31</w:t>
            </w:r>
          </w:p>
        </w:tc>
        <w:tc>
          <w:tcPr>
            <w:tcW w:w="1280" w:type="dxa"/>
            <w:shd w:val="clear" w:color="auto" w:fill="auto"/>
            <w:tcMar>
              <w:left w:w="108" w:type="dxa"/>
            </w:tcMar>
          </w:tcPr>
          <w:p w14:paraId="34B3D565" w14:textId="255D63BB" w:rsidR="00D509CD" w:rsidRPr="00610B1B" w:rsidRDefault="00B6229C"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14</w:t>
            </w:r>
          </w:p>
        </w:tc>
        <w:tc>
          <w:tcPr>
            <w:tcW w:w="1295" w:type="dxa"/>
            <w:shd w:val="clear" w:color="auto" w:fill="auto"/>
            <w:tcMar>
              <w:left w:w="108" w:type="dxa"/>
            </w:tcMar>
          </w:tcPr>
          <w:p w14:paraId="720E56EF" w14:textId="52D4914C" w:rsidR="00D509CD" w:rsidRPr="00610B1B" w:rsidRDefault="00B6229C" w:rsidP="00D32D6A">
            <w:pPr>
              <w:spacing w:after="0" w:line="240" w:lineRule="auto"/>
              <w:jc w:val="center"/>
              <w:rPr>
                <w:rFonts w:ascii="Times New Roman" w:eastAsia="Times New Roman" w:hAnsi="Times New Roman" w:cs="Times New Roman"/>
                <w:sz w:val="24"/>
                <w:szCs w:val="24"/>
                <w:lang w:val="bg-BG" w:eastAsia="bg-BG" w:bidi="hi-IN"/>
              </w:rPr>
            </w:pPr>
            <w:r w:rsidRPr="00610B1B">
              <w:rPr>
                <w:rFonts w:ascii="Times New Roman" w:eastAsia="Times New Roman" w:hAnsi="Times New Roman" w:cs="Times New Roman"/>
                <w:szCs w:val="24"/>
                <w:lang w:val="bg-BG" w:eastAsia="bg-BG" w:bidi="hi-IN"/>
              </w:rPr>
              <w:t>53</w:t>
            </w:r>
          </w:p>
        </w:tc>
      </w:tr>
    </w:tbl>
    <w:p w14:paraId="066CFE6E" w14:textId="310ACECE" w:rsidR="00D509CD" w:rsidRPr="00610B1B" w:rsidRDefault="00D509CD" w:rsidP="00EC097D">
      <w:pPr>
        <w:spacing w:before="60" w:after="120"/>
        <w:ind w:right="-153"/>
        <w:jc w:val="both"/>
        <w:rPr>
          <w:rFonts w:ascii="Times New Roman" w:eastAsia="Lohit Devanagari" w:hAnsi="Times New Roman" w:cs="Times New Roman"/>
          <w:iCs/>
          <w:color w:val="00000A"/>
          <w:sz w:val="24"/>
          <w:szCs w:val="24"/>
          <w:lang w:val="bg-BG" w:eastAsia="ar-SA" w:bidi="hi-IN"/>
        </w:rPr>
      </w:pPr>
      <w:r w:rsidRPr="00610B1B">
        <w:rPr>
          <w:rFonts w:ascii="Times New Roman" w:eastAsia="Lohit Devanagari" w:hAnsi="Times New Roman" w:cs="Times New Roman"/>
          <w:iCs/>
          <w:color w:val="00000A"/>
          <w:szCs w:val="24"/>
          <w:lang w:val="bg-BG" w:eastAsia="ar-SA" w:bidi="hi-IN"/>
        </w:rPr>
        <w:t xml:space="preserve">Източник: МОСВ, ИАОС, НЦТР, 2019 г. </w:t>
      </w:r>
    </w:p>
    <w:p w14:paraId="792E54B9" w14:textId="1A92DE03" w:rsidR="009D4A0E" w:rsidRPr="00610B1B" w:rsidRDefault="00A23CF5" w:rsidP="00DE3A13">
      <w:pPr>
        <w:spacing w:after="120" w:line="240" w:lineRule="auto"/>
        <w:ind w:right="-153"/>
        <w:jc w:val="both"/>
        <w:rPr>
          <w:rFonts w:ascii="Times New Roman" w:eastAsia="Times New Roman" w:hAnsi="Times New Roman" w:cs="Times New Roman"/>
          <w:b/>
          <w:i/>
          <w:sz w:val="24"/>
          <w:szCs w:val="24"/>
          <w:lang w:val="bg-BG" w:eastAsia="bg-BG"/>
        </w:rPr>
      </w:pPr>
      <w:r w:rsidRPr="00610B1B">
        <w:rPr>
          <w:rFonts w:ascii="Times New Roman" w:eastAsia="Times New Roman" w:hAnsi="Times New Roman" w:cs="Times New Roman"/>
          <w:b/>
          <w:i/>
          <w:sz w:val="24"/>
          <w:szCs w:val="24"/>
          <w:lang w:val="bg-BG" w:eastAsia="bg-BG"/>
        </w:rPr>
        <w:t>Влажни зони (</w:t>
      </w:r>
      <w:r w:rsidR="009D4A0E" w:rsidRPr="00610B1B">
        <w:rPr>
          <w:rFonts w:ascii="Times New Roman" w:eastAsia="Times New Roman" w:hAnsi="Times New Roman" w:cs="Times New Roman"/>
          <w:b/>
          <w:i/>
          <w:sz w:val="24"/>
          <w:szCs w:val="24"/>
          <w:lang w:val="bg-BG" w:eastAsia="bg-BG"/>
        </w:rPr>
        <w:t>Рамсарски места</w:t>
      </w:r>
      <w:r w:rsidRPr="00610B1B">
        <w:rPr>
          <w:rFonts w:ascii="Times New Roman" w:eastAsia="Times New Roman" w:hAnsi="Times New Roman" w:cs="Times New Roman"/>
          <w:b/>
          <w:i/>
          <w:sz w:val="24"/>
          <w:szCs w:val="24"/>
          <w:lang w:val="bg-BG" w:eastAsia="bg-BG"/>
        </w:rPr>
        <w:t>)</w:t>
      </w:r>
    </w:p>
    <w:p w14:paraId="543E2B89" w14:textId="5166A088" w:rsidR="009D4A0E" w:rsidRPr="00610B1B" w:rsidRDefault="009D4A0E" w:rsidP="00D32D6A">
      <w:pPr>
        <w:pStyle w:val="BodyText"/>
        <w:spacing w:before="0" w:after="120" w:line="276" w:lineRule="auto"/>
        <w:ind w:right="-153"/>
        <w:rPr>
          <w:rFonts w:cs="Times New Roman"/>
        </w:rPr>
      </w:pPr>
      <w:r w:rsidRPr="00610B1B">
        <w:rPr>
          <w:rFonts w:cs="Times New Roman"/>
        </w:rPr>
        <w:t>България е сред първите страни</w:t>
      </w:r>
      <w:r w:rsidR="0050133F" w:rsidRPr="00610B1B">
        <w:rPr>
          <w:rFonts w:cs="Times New Roman"/>
        </w:rPr>
        <w:t>,</w:t>
      </w:r>
      <w:r w:rsidRPr="00610B1B">
        <w:rPr>
          <w:rFonts w:cs="Times New Roman"/>
        </w:rPr>
        <w:t xml:space="preserve"> присъединили се към Конвенцията за влажните зони с международно значение като местообитания на водолюбиви птици </w:t>
      </w:r>
      <w:r w:rsidR="0050133F" w:rsidRPr="00610B1B">
        <w:rPr>
          <w:rFonts w:cs="Times New Roman"/>
        </w:rPr>
        <w:t>(</w:t>
      </w:r>
      <w:r w:rsidRPr="00610B1B">
        <w:rPr>
          <w:rFonts w:cs="Times New Roman"/>
        </w:rPr>
        <w:t>Рамсарска конвенция</w:t>
      </w:r>
      <w:r w:rsidR="0050133F" w:rsidRPr="00610B1B">
        <w:rPr>
          <w:rFonts w:cs="Times New Roman"/>
        </w:rPr>
        <w:t>)</w:t>
      </w:r>
      <w:r w:rsidRPr="00610B1B">
        <w:rPr>
          <w:rStyle w:val="a4"/>
          <w:rFonts w:cs="Times New Roman"/>
        </w:rPr>
        <w:footnoteReference w:id="91"/>
      </w:r>
      <w:r w:rsidR="002109C3" w:rsidRPr="00610B1B">
        <w:rPr>
          <w:rFonts w:cs="Times New Roman"/>
        </w:rPr>
        <w:t xml:space="preserve">, поемайки ангажимента да опазва </w:t>
      </w:r>
      <w:r w:rsidRPr="00610B1B">
        <w:rPr>
          <w:rFonts w:cs="Times New Roman"/>
        </w:rPr>
        <w:t>екосистеми</w:t>
      </w:r>
      <w:r w:rsidR="002109C3" w:rsidRPr="00610B1B">
        <w:rPr>
          <w:rFonts w:cs="Times New Roman"/>
        </w:rPr>
        <w:t>те</w:t>
      </w:r>
      <w:r w:rsidRPr="00610B1B">
        <w:rPr>
          <w:rFonts w:cs="Times New Roman"/>
        </w:rPr>
        <w:t>, чието равновесие и биологично разнообразие зависи от водата</w:t>
      </w:r>
      <w:r w:rsidR="002109C3" w:rsidRPr="00610B1B">
        <w:rPr>
          <w:rFonts w:cs="Times New Roman"/>
        </w:rPr>
        <w:t>,</w:t>
      </w:r>
      <w:r w:rsidRPr="00610B1B">
        <w:rPr>
          <w:rFonts w:cs="Times New Roman"/>
        </w:rPr>
        <w:t xml:space="preserve"> да </w:t>
      </w:r>
      <w:r w:rsidR="002109C3" w:rsidRPr="00610B1B">
        <w:rPr>
          <w:rFonts w:cs="Times New Roman"/>
        </w:rPr>
        <w:t xml:space="preserve">ги </w:t>
      </w:r>
      <w:r w:rsidRPr="00610B1B">
        <w:rPr>
          <w:rFonts w:cs="Times New Roman"/>
        </w:rPr>
        <w:t>използва разумно,</w:t>
      </w:r>
      <w:r w:rsidR="00D66FE0" w:rsidRPr="00610B1B">
        <w:rPr>
          <w:rFonts w:cs="Times New Roman"/>
        </w:rPr>
        <w:t xml:space="preserve"> </w:t>
      </w:r>
      <w:r w:rsidR="002109C3" w:rsidRPr="00610B1B">
        <w:rPr>
          <w:rFonts w:cs="Times New Roman"/>
        </w:rPr>
        <w:t>и да</w:t>
      </w:r>
      <w:r w:rsidRPr="00610B1B">
        <w:rPr>
          <w:rFonts w:cs="Times New Roman"/>
        </w:rPr>
        <w:t xml:space="preserve"> прилага екосистемния поход. В България има 11 Рамсарски места с обща площ 35 273 ha</w:t>
      </w:r>
      <w:r w:rsidRPr="00610B1B">
        <w:rPr>
          <w:rFonts w:eastAsia="Times New Roman" w:cs="Times New Roman"/>
          <w:lang w:eastAsia="bg-BG"/>
        </w:rPr>
        <w:t>, 7</w:t>
      </w:r>
      <w:r w:rsidR="00D66FE0" w:rsidRPr="00610B1B">
        <w:rPr>
          <w:rFonts w:eastAsia="Times New Roman" w:cs="Times New Roman"/>
          <w:lang w:eastAsia="bg-BG"/>
        </w:rPr>
        <w:t xml:space="preserve"> </w:t>
      </w:r>
      <w:r w:rsidRPr="00610B1B">
        <w:rPr>
          <w:rFonts w:eastAsia="Times New Roman" w:cs="Times New Roman"/>
          <w:lang w:eastAsia="bg-BG"/>
        </w:rPr>
        <w:t>от които са разположени по Българското Черноморско крайбрежие в обхвата на проучването</w:t>
      </w:r>
      <w:r w:rsidRPr="00610B1B">
        <w:rPr>
          <w:rStyle w:val="a4"/>
          <w:rFonts w:eastAsia="Times New Roman" w:cs="Times New Roman"/>
          <w:lang w:eastAsia="bg-BG"/>
        </w:rPr>
        <w:footnoteReference w:id="92"/>
      </w:r>
      <w:r w:rsidRPr="00610B1B">
        <w:rPr>
          <w:rFonts w:eastAsia="Times New Roman" w:cs="Times New Roman"/>
          <w:lang w:eastAsia="bg-BG"/>
        </w:rPr>
        <w:t>. Това са:</w:t>
      </w:r>
      <w:r w:rsidR="00D21736" w:rsidRPr="00610B1B">
        <w:rPr>
          <w:rFonts w:eastAsia="Times New Roman" w:cs="Times New Roman"/>
          <w:lang w:eastAsia="bg-BG"/>
        </w:rPr>
        <w:t xml:space="preserve"> </w:t>
      </w:r>
      <w:r w:rsidRPr="00610B1B">
        <w:rPr>
          <w:rFonts w:eastAsia="Times New Roman" w:cs="Times New Roman"/>
          <w:lang w:eastAsia="bg-BG"/>
        </w:rPr>
        <w:t>1</w:t>
      </w:r>
      <w:r w:rsidR="00D21736" w:rsidRPr="00610B1B">
        <w:rPr>
          <w:rFonts w:eastAsia="Times New Roman" w:cs="Times New Roman"/>
          <w:lang w:eastAsia="bg-BG"/>
        </w:rPr>
        <w:t>)</w:t>
      </w:r>
      <w:r w:rsidRPr="00610B1B">
        <w:rPr>
          <w:rFonts w:eastAsia="Times New Roman" w:cs="Times New Roman"/>
          <w:lang w:eastAsia="bg-BG"/>
        </w:rPr>
        <w:t xml:space="preserve"> Дуранкулашко езеро – обявено за Рамсарска влажна зона през 1984 г</w:t>
      </w:r>
      <w:r w:rsidR="0050133F" w:rsidRPr="00610B1B">
        <w:rPr>
          <w:rFonts w:eastAsia="Times New Roman" w:cs="Times New Roman"/>
          <w:lang w:eastAsia="bg-BG"/>
        </w:rPr>
        <w:t>.</w:t>
      </w:r>
      <w:r w:rsidRPr="00610B1B">
        <w:rPr>
          <w:rFonts w:eastAsia="Times New Roman" w:cs="Times New Roman"/>
          <w:lang w:eastAsia="bg-BG"/>
        </w:rPr>
        <w:t xml:space="preserve"> с площ 350 ha;</w:t>
      </w:r>
      <w:r w:rsidR="00D21736" w:rsidRPr="00610B1B">
        <w:rPr>
          <w:rFonts w:eastAsia="Times New Roman" w:cs="Times New Roman"/>
          <w:lang w:eastAsia="bg-BG"/>
        </w:rPr>
        <w:t xml:space="preserve"> </w:t>
      </w:r>
      <w:r w:rsidRPr="00610B1B">
        <w:rPr>
          <w:rFonts w:cs="Times New Roman"/>
        </w:rPr>
        <w:t>2</w:t>
      </w:r>
      <w:r w:rsidR="00D21736" w:rsidRPr="00610B1B">
        <w:rPr>
          <w:rFonts w:cs="Times New Roman"/>
        </w:rPr>
        <w:t>)</w:t>
      </w:r>
      <w:r w:rsidRPr="00610B1B">
        <w:rPr>
          <w:rFonts w:cs="Times New Roman"/>
        </w:rPr>
        <w:t xml:space="preserve"> Шабленско езеро – обявено през 1996 г. с площ 404 ha;</w:t>
      </w:r>
      <w:r w:rsidR="00D21736" w:rsidRPr="00610B1B">
        <w:rPr>
          <w:rFonts w:cs="Times New Roman"/>
        </w:rPr>
        <w:t xml:space="preserve"> 3)</w:t>
      </w:r>
      <w:r w:rsidRPr="00610B1B">
        <w:rPr>
          <w:rFonts w:cs="Times New Roman"/>
        </w:rPr>
        <w:t xml:space="preserve"> Атанасовско езеро</w:t>
      </w:r>
      <w:r w:rsidR="0050133F" w:rsidRPr="00610B1B">
        <w:rPr>
          <w:rFonts w:cs="Times New Roman"/>
        </w:rPr>
        <w:t xml:space="preserve"> </w:t>
      </w:r>
      <w:r w:rsidRPr="00610B1B">
        <w:rPr>
          <w:rFonts w:cs="Times New Roman"/>
        </w:rPr>
        <w:t>–</w:t>
      </w:r>
      <w:r w:rsidR="0050133F" w:rsidRPr="00610B1B">
        <w:rPr>
          <w:rFonts w:cs="Times New Roman"/>
        </w:rPr>
        <w:t xml:space="preserve"> </w:t>
      </w:r>
      <w:r w:rsidRPr="00610B1B">
        <w:rPr>
          <w:rFonts w:cs="Times New Roman"/>
        </w:rPr>
        <w:t>обявено през 1984 г., с настояща площ 1 404 ha;</w:t>
      </w:r>
      <w:r w:rsidR="00D21736" w:rsidRPr="00610B1B">
        <w:rPr>
          <w:rFonts w:cs="Times New Roman"/>
        </w:rPr>
        <w:t xml:space="preserve"> 4) </w:t>
      </w:r>
      <w:r w:rsidRPr="00610B1B">
        <w:rPr>
          <w:rFonts w:cs="Times New Roman"/>
        </w:rPr>
        <w:t>Комплекс Поморие</w:t>
      </w:r>
      <w:r w:rsidR="00D21736" w:rsidRPr="00610B1B">
        <w:rPr>
          <w:rFonts w:cs="Times New Roman"/>
        </w:rPr>
        <w:t xml:space="preserve"> с</w:t>
      </w:r>
      <w:r w:rsidRPr="00610B1B">
        <w:rPr>
          <w:rFonts w:cs="Times New Roman"/>
        </w:rPr>
        <w:t xml:space="preserve"> Поморийското езеро и устието на река Ахелой</w:t>
      </w:r>
      <w:r w:rsidR="00D21736" w:rsidRPr="00610B1B">
        <w:rPr>
          <w:rFonts w:cs="Times New Roman"/>
        </w:rPr>
        <w:t xml:space="preserve">, </w:t>
      </w:r>
      <w:r w:rsidRPr="00610B1B">
        <w:rPr>
          <w:rFonts w:cs="Times New Roman"/>
        </w:rPr>
        <w:t>обявен през 2002 г., с настояща площ 814 ha;</w:t>
      </w:r>
      <w:r w:rsidR="00D21736" w:rsidRPr="00610B1B">
        <w:rPr>
          <w:rFonts w:cs="Times New Roman"/>
        </w:rPr>
        <w:t xml:space="preserve"> </w:t>
      </w:r>
      <w:r w:rsidRPr="00610B1B">
        <w:rPr>
          <w:rFonts w:cs="Times New Roman"/>
        </w:rPr>
        <w:t>5</w:t>
      </w:r>
      <w:r w:rsidR="00D21736" w:rsidRPr="00610B1B">
        <w:rPr>
          <w:rFonts w:cs="Times New Roman"/>
        </w:rPr>
        <w:t>)</w:t>
      </w:r>
      <w:r w:rsidRPr="00610B1B">
        <w:rPr>
          <w:rFonts w:cs="Times New Roman"/>
        </w:rPr>
        <w:t xml:space="preserve"> Защитена местност Пода и залива Форос–обявено през 2002 г., с настояща площ </w:t>
      </w:r>
      <w:r w:rsidRPr="00610B1B">
        <w:rPr>
          <w:rFonts w:cs="Times New Roman"/>
        </w:rPr>
        <w:lastRenderedPageBreak/>
        <w:t>307 ha;</w:t>
      </w:r>
      <w:r w:rsidR="00D21736" w:rsidRPr="00610B1B">
        <w:rPr>
          <w:rFonts w:cs="Times New Roman"/>
        </w:rPr>
        <w:t xml:space="preserve"> </w:t>
      </w:r>
      <w:r w:rsidRPr="00610B1B">
        <w:rPr>
          <w:rFonts w:eastAsia="Times New Roman" w:cs="Times New Roman"/>
          <w:lang w:eastAsia="bg-BG"/>
        </w:rPr>
        <w:t>6</w:t>
      </w:r>
      <w:r w:rsidR="00D21736" w:rsidRPr="00610B1B">
        <w:rPr>
          <w:rFonts w:eastAsia="Times New Roman" w:cs="Times New Roman"/>
          <w:lang w:eastAsia="bg-BG"/>
        </w:rPr>
        <w:t>)</w:t>
      </w:r>
      <w:r w:rsidRPr="00610B1B">
        <w:rPr>
          <w:rFonts w:eastAsia="Times New Roman" w:cs="Times New Roman"/>
          <w:lang w:eastAsia="bg-BG"/>
        </w:rPr>
        <w:t xml:space="preserve"> Бургаско езеро – обявено през 2002 г., с настояща площ 2 900 ha;</w:t>
      </w:r>
      <w:r w:rsidR="00D21736" w:rsidRPr="00610B1B">
        <w:rPr>
          <w:rFonts w:eastAsia="Times New Roman" w:cs="Times New Roman"/>
          <w:lang w:eastAsia="bg-BG"/>
        </w:rPr>
        <w:t xml:space="preserve"> </w:t>
      </w:r>
      <w:r w:rsidRPr="00610B1B">
        <w:rPr>
          <w:rFonts w:eastAsia="Times New Roman" w:cs="Times New Roman"/>
          <w:lang w:eastAsia="bg-BG"/>
        </w:rPr>
        <w:t>7</w:t>
      </w:r>
      <w:r w:rsidR="00D21736" w:rsidRPr="00610B1B">
        <w:rPr>
          <w:rFonts w:eastAsia="Times New Roman" w:cs="Times New Roman"/>
          <w:lang w:eastAsia="bg-BG"/>
        </w:rPr>
        <w:t>)</w:t>
      </w:r>
      <w:r w:rsidRPr="00610B1B">
        <w:rPr>
          <w:rFonts w:eastAsia="Times New Roman" w:cs="Times New Roman"/>
          <w:lang w:eastAsia="bg-BG"/>
        </w:rPr>
        <w:t xml:space="preserve"> Комплекс Ропотамо, който включва Резерват Ропотамо, Поддържан </w:t>
      </w:r>
      <w:r w:rsidR="00580BE9" w:rsidRPr="00610B1B">
        <w:rPr>
          <w:rFonts w:eastAsia="Times New Roman" w:cs="Times New Roman"/>
          <w:lang w:eastAsia="bg-BG"/>
        </w:rPr>
        <w:t>резерват</w:t>
      </w:r>
      <w:r w:rsidRPr="00610B1B">
        <w:rPr>
          <w:rFonts w:eastAsia="Times New Roman" w:cs="Times New Roman"/>
          <w:lang w:eastAsia="bg-BG"/>
        </w:rPr>
        <w:t xml:space="preserve"> Вельов вир, защитените местности „Беглик Таш –</w:t>
      </w:r>
      <w:r w:rsidR="0050133F" w:rsidRPr="00610B1B">
        <w:rPr>
          <w:rFonts w:eastAsia="Times New Roman" w:cs="Times New Roman"/>
          <w:lang w:eastAsia="bg-BG"/>
        </w:rPr>
        <w:t xml:space="preserve"> </w:t>
      </w:r>
      <w:r w:rsidRPr="00610B1B">
        <w:rPr>
          <w:rFonts w:eastAsia="Times New Roman" w:cs="Times New Roman"/>
          <w:lang w:eastAsia="bg-BG"/>
        </w:rPr>
        <w:t>Ропотамо“ и „Ст</w:t>
      </w:r>
      <w:r w:rsidR="0050133F" w:rsidRPr="00610B1B">
        <w:rPr>
          <w:rFonts w:eastAsia="Times New Roman" w:cs="Times New Roman"/>
          <w:lang w:eastAsia="bg-BG"/>
        </w:rPr>
        <w:t>о</w:t>
      </w:r>
      <w:r w:rsidRPr="00610B1B">
        <w:rPr>
          <w:rFonts w:eastAsia="Times New Roman" w:cs="Times New Roman"/>
          <w:lang w:eastAsia="bg-BG"/>
        </w:rPr>
        <w:t>мопл</w:t>
      </w:r>
      <w:r w:rsidR="0050133F" w:rsidRPr="00610B1B">
        <w:rPr>
          <w:rFonts w:eastAsia="Times New Roman" w:cs="Times New Roman"/>
          <w:lang w:eastAsia="bg-BG"/>
        </w:rPr>
        <w:t>о</w:t>
      </w:r>
      <w:r w:rsidRPr="00610B1B">
        <w:rPr>
          <w:rFonts w:eastAsia="Times New Roman" w:cs="Times New Roman"/>
          <w:lang w:eastAsia="bg-BG"/>
        </w:rPr>
        <w:t>“, природните забележителности „Блатото Алепу“ и „Пясъчни дюни в м. Алепу“ и свързващите ги терени</w:t>
      </w:r>
      <w:r w:rsidR="002109C3" w:rsidRPr="00610B1B">
        <w:rPr>
          <w:rFonts w:eastAsia="Times New Roman" w:cs="Times New Roman"/>
          <w:lang w:eastAsia="bg-BG"/>
        </w:rPr>
        <w:t>,</w:t>
      </w:r>
      <w:r w:rsidRPr="00610B1B">
        <w:rPr>
          <w:rFonts w:eastAsia="Times New Roman" w:cs="Times New Roman"/>
          <w:lang w:eastAsia="bg-BG"/>
        </w:rPr>
        <w:t xml:space="preserve"> обявен</w:t>
      </w:r>
      <w:r w:rsidR="0050133F" w:rsidRPr="00610B1B">
        <w:rPr>
          <w:rFonts w:eastAsia="Times New Roman" w:cs="Times New Roman"/>
          <w:lang w:eastAsia="bg-BG"/>
        </w:rPr>
        <w:t>и</w:t>
      </w:r>
      <w:r w:rsidRPr="00610B1B">
        <w:rPr>
          <w:rFonts w:eastAsia="Times New Roman" w:cs="Times New Roman"/>
          <w:lang w:eastAsia="bg-BG"/>
        </w:rPr>
        <w:t xml:space="preserve"> през 1975 г., с настояща площ 5 500 ha.</w:t>
      </w:r>
    </w:p>
    <w:p w14:paraId="701903E7" w14:textId="74253FF8" w:rsidR="009D4A0E" w:rsidRPr="00610B1B" w:rsidRDefault="009D4A0E" w:rsidP="00D32D6A">
      <w:pPr>
        <w:pStyle w:val="BodyText"/>
        <w:spacing w:before="0" w:after="120" w:line="276" w:lineRule="auto"/>
        <w:ind w:right="-153"/>
        <w:rPr>
          <w:rFonts w:cs="Times New Roman"/>
        </w:rPr>
      </w:pPr>
      <w:r w:rsidRPr="00610B1B">
        <w:rPr>
          <w:rFonts w:cs="Times New Roman"/>
        </w:rPr>
        <w:t xml:space="preserve">Всички тези 7 броя Рамсарски места са определени и като Орнитологично важни места </w:t>
      </w:r>
      <w:r w:rsidRPr="00610B1B">
        <w:rPr>
          <w:rFonts w:cs="Times New Roman"/>
          <w:iCs/>
        </w:rPr>
        <w:t>(</w:t>
      </w:r>
      <w:r w:rsidRPr="00610B1B">
        <w:rPr>
          <w:rFonts w:cs="Times New Roman"/>
        </w:rPr>
        <w:t>ОВМ</w:t>
      </w:r>
      <w:r w:rsidRPr="00610B1B">
        <w:rPr>
          <w:rFonts w:cs="Times New Roman"/>
          <w:iCs/>
        </w:rPr>
        <w:t>)</w:t>
      </w:r>
      <w:r w:rsidRPr="00610B1B">
        <w:rPr>
          <w:rFonts w:cs="Times New Roman"/>
        </w:rPr>
        <w:t xml:space="preserve"> за опазване на ортнитофауната.</w:t>
      </w:r>
      <w:r w:rsidR="00D66FE0" w:rsidRPr="00610B1B">
        <w:rPr>
          <w:rFonts w:cs="Times New Roman"/>
        </w:rPr>
        <w:t xml:space="preserve"> </w:t>
      </w:r>
      <w:r w:rsidRPr="00610B1B">
        <w:rPr>
          <w:rFonts w:cs="Times New Roman"/>
        </w:rPr>
        <w:t>Черноморските влажни зони се опазват и по Регионална инициатива BlackSeaWet.</w:t>
      </w:r>
      <w:r w:rsidRPr="00610B1B">
        <w:rPr>
          <w:rStyle w:val="a4"/>
          <w:rFonts w:cs="Times New Roman"/>
        </w:rPr>
        <w:footnoteReference w:id="93"/>
      </w:r>
    </w:p>
    <w:p w14:paraId="0AB7ACA8" w14:textId="77777777" w:rsidR="009D4A0E" w:rsidRPr="00610B1B" w:rsidRDefault="009D4A0E" w:rsidP="00D32D6A">
      <w:pPr>
        <w:pStyle w:val="BodyText"/>
        <w:spacing w:before="0" w:after="120" w:line="276" w:lineRule="auto"/>
        <w:ind w:right="-153"/>
        <w:rPr>
          <w:rFonts w:cs="Times New Roman"/>
        </w:rPr>
      </w:pPr>
      <w:r w:rsidRPr="00610B1B">
        <w:rPr>
          <w:rStyle w:val="FontStyle19"/>
          <w:rFonts w:eastAsia="Source Han Sans CN Regular" w:cs="Times New Roman"/>
          <w:b/>
          <w:i/>
          <w:lang w:eastAsia="bg-BG"/>
        </w:rPr>
        <w:t>Биосферни паркове</w:t>
      </w:r>
    </w:p>
    <w:p w14:paraId="4A9F09D3" w14:textId="77777777" w:rsidR="0050133F" w:rsidRPr="00610B1B" w:rsidRDefault="009D4A0E" w:rsidP="00D32D6A">
      <w:pPr>
        <w:pStyle w:val="BodyText"/>
        <w:spacing w:before="0" w:after="120" w:line="276" w:lineRule="auto"/>
        <w:ind w:right="-153"/>
        <w:rPr>
          <w:rFonts w:eastAsia="Times New Roman" w:cs="Times New Roman"/>
        </w:rPr>
      </w:pPr>
      <w:r w:rsidRPr="00610B1B">
        <w:rPr>
          <w:rFonts w:eastAsia="Times New Roman" w:cs="Times New Roman"/>
        </w:rPr>
        <w:t>Биосферните паркове съчетават опазването на природните ценности с традиционното ползване на земите и са инструмент за устойчиво развитие на регионите, основаващо се на чиста и съхранена природа и на производството на сертифицирани местни продукти и регионални марки с висока добавена стойност. Членството към световната мрежа на биосферните резервати е международно признание за устойчиво и целесъобразно управление, съобразено с националното законодателство и с общоприетите принципи за добро управление на защитени територии.</w:t>
      </w:r>
      <w:r w:rsidR="00D21736" w:rsidRPr="00610B1B">
        <w:rPr>
          <w:rFonts w:eastAsia="Times New Roman" w:cs="Times New Roman"/>
        </w:rPr>
        <w:t xml:space="preserve"> </w:t>
      </w:r>
    </w:p>
    <w:p w14:paraId="35AE6A13" w14:textId="255EE766" w:rsidR="009D4A0E" w:rsidRPr="00610B1B" w:rsidRDefault="002109C3" w:rsidP="00D32D6A">
      <w:pPr>
        <w:pStyle w:val="BodyText"/>
        <w:spacing w:before="0" w:after="120" w:line="276" w:lineRule="auto"/>
        <w:ind w:right="-153"/>
        <w:rPr>
          <w:rFonts w:cs="Times New Roman"/>
        </w:rPr>
      </w:pPr>
      <w:r w:rsidRPr="00610B1B">
        <w:rPr>
          <w:rStyle w:val="FontStyle19"/>
          <w:rFonts w:eastAsia="Source Han Sans CN Regular" w:cs="Times New Roman"/>
          <w:sz w:val="24"/>
        </w:rPr>
        <w:t>В</w:t>
      </w:r>
      <w:r w:rsidR="009D4A0E" w:rsidRPr="00610B1B">
        <w:rPr>
          <w:rStyle w:val="FontStyle19"/>
          <w:rFonts w:eastAsia="Source Han Sans CN Regular" w:cs="Times New Roman"/>
          <w:sz w:val="24"/>
        </w:rPr>
        <w:t xml:space="preserve"> природен парк „Странджа“</w:t>
      </w:r>
      <w:r w:rsidRPr="00610B1B">
        <w:rPr>
          <w:rStyle w:val="FontStyle19"/>
          <w:rFonts w:eastAsia="Source Han Sans CN Regular" w:cs="Times New Roman"/>
          <w:sz w:val="24"/>
        </w:rPr>
        <w:t xml:space="preserve"> </w:t>
      </w:r>
      <w:r w:rsidR="00F52575" w:rsidRPr="00610B1B">
        <w:rPr>
          <w:rStyle w:val="FontStyle19"/>
          <w:rFonts w:eastAsia="Source Han Sans CN Regular" w:cs="Times New Roman"/>
          <w:sz w:val="24"/>
        </w:rPr>
        <w:t>недалеч от Черноморския бряг</w:t>
      </w:r>
      <w:r w:rsidR="009D4A0E" w:rsidRPr="00610B1B">
        <w:rPr>
          <w:rFonts w:cs="Times New Roman"/>
        </w:rPr>
        <w:t xml:space="preserve"> </w:t>
      </w:r>
      <w:r w:rsidR="009D4A0E" w:rsidRPr="00610B1B">
        <w:rPr>
          <w:rFonts w:eastAsia="Times New Roman" w:cs="Times New Roman"/>
          <w:lang w:eastAsia="bg-BG"/>
        </w:rPr>
        <w:t>през 2017 г. ЮНЕСКО одобри обявяването на биосферен парк „Узунбуджак“.</w:t>
      </w:r>
      <w:r w:rsidR="009D4A0E" w:rsidRPr="00610B1B">
        <w:rPr>
          <w:rStyle w:val="a4"/>
          <w:rFonts w:eastAsia="Times New Roman" w:cs="Times New Roman"/>
          <w:lang w:eastAsia="bg-BG"/>
        </w:rPr>
        <w:footnoteReference w:id="94"/>
      </w:r>
      <w:r w:rsidR="009D4A0E" w:rsidRPr="00610B1B">
        <w:rPr>
          <w:rFonts w:eastAsia="Times New Roman" w:cs="Times New Roman"/>
          <w:lang w:eastAsia="bg-BG"/>
        </w:rPr>
        <w:t xml:space="preserve"> Територията е поставена под защита през 1956 г. със статут на резерват, а през март 1977 г. е включена в списъка на биосферните резервати на ЮНЕСКО с обща площ от 2529,6 ha. В същото време</w:t>
      </w:r>
      <w:r w:rsidR="009D4A0E" w:rsidRPr="00610B1B">
        <w:rPr>
          <w:rFonts w:cs="Times New Roman"/>
        </w:rPr>
        <w:t xml:space="preserve">, Междуправителственият координационен съвет по Програма „Човек и биосфера“ на ЮНЕСКО </w:t>
      </w:r>
      <w:r w:rsidR="009D4A0E" w:rsidRPr="00610B1B">
        <w:rPr>
          <w:rFonts w:cs="Times New Roman"/>
          <w:iCs/>
        </w:rPr>
        <w:t>(</w:t>
      </w:r>
      <w:r w:rsidR="009D4A0E" w:rsidRPr="00610B1B">
        <w:rPr>
          <w:rFonts w:cs="Times New Roman"/>
        </w:rPr>
        <w:t>MAB - ICC</w:t>
      </w:r>
      <w:r w:rsidR="009D4A0E" w:rsidRPr="00610B1B">
        <w:rPr>
          <w:rFonts w:cs="Times New Roman"/>
          <w:iCs/>
        </w:rPr>
        <w:t>)</w:t>
      </w:r>
      <w:r w:rsidR="009D4A0E" w:rsidRPr="00610B1B">
        <w:rPr>
          <w:rFonts w:cs="Times New Roman"/>
        </w:rPr>
        <w:t xml:space="preserve"> изключи от световната мрежа биосферния резерват от „стар“ тип „Камчия“, поради несъгласие на общините Аврен и Долни Чифлик на тяхна територия да бъдат обявявани подобни обекти.</w:t>
      </w:r>
    </w:p>
    <w:p w14:paraId="7F2835C9" w14:textId="77777777" w:rsidR="009D4A0E" w:rsidRPr="00610B1B" w:rsidRDefault="009D4A0E" w:rsidP="00D32D6A">
      <w:pPr>
        <w:pStyle w:val="BodyText"/>
        <w:spacing w:before="0" w:after="120" w:line="276" w:lineRule="auto"/>
        <w:ind w:right="-153"/>
        <w:rPr>
          <w:rFonts w:cs="Times New Roman"/>
        </w:rPr>
      </w:pPr>
      <w:r w:rsidRPr="00610B1B">
        <w:rPr>
          <w:rStyle w:val="FontStyle19"/>
          <w:rFonts w:eastAsia="Source Han Sans CN Regular" w:cs="Times New Roman"/>
          <w:b/>
          <w:i/>
          <w:lang w:eastAsia="bg-BG"/>
        </w:rPr>
        <w:t xml:space="preserve">Орнитологично важни места </w:t>
      </w:r>
      <w:r w:rsidRPr="00610B1B">
        <w:rPr>
          <w:rStyle w:val="FontStyle19"/>
          <w:rFonts w:eastAsia="Source Han Sans CN Regular" w:cs="Times New Roman"/>
          <w:iCs/>
          <w:lang w:eastAsia="bg-BG"/>
        </w:rPr>
        <w:t>(</w:t>
      </w:r>
      <w:r w:rsidRPr="00610B1B">
        <w:rPr>
          <w:rStyle w:val="FontStyle19"/>
          <w:rFonts w:eastAsia="Source Han Sans CN Regular" w:cs="Times New Roman"/>
          <w:b/>
          <w:i/>
          <w:lang w:eastAsia="bg-BG"/>
        </w:rPr>
        <w:t>ОВМ</w:t>
      </w:r>
      <w:r w:rsidRPr="00610B1B">
        <w:rPr>
          <w:rStyle w:val="FontStyle19"/>
          <w:rFonts w:eastAsia="Source Han Sans CN Regular" w:cs="Times New Roman"/>
          <w:iCs/>
          <w:lang w:eastAsia="bg-BG"/>
        </w:rPr>
        <w:t>)</w:t>
      </w:r>
    </w:p>
    <w:p w14:paraId="053CF9F5" w14:textId="5AF1CF7C" w:rsidR="009D4A0E" w:rsidRPr="00610B1B" w:rsidRDefault="009D4A0E" w:rsidP="00D32D6A">
      <w:pPr>
        <w:pStyle w:val="BodyText"/>
        <w:spacing w:before="0" w:after="120" w:line="276" w:lineRule="auto"/>
        <w:ind w:right="-153"/>
        <w:rPr>
          <w:rFonts w:cs="Times New Roman"/>
        </w:rPr>
      </w:pPr>
      <w:r w:rsidRPr="00610B1B">
        <w:rPr>
          <w:rFonts w:cs="Times New Roman"/>
        </w:rPr>
        <w:t xml:space="preserve">Мрежата на Орнитологично важните места </w:t>
      </w:r>
      <w:r w:rsidRPr="00610B1B">
        <w:rPr>
          <w:rFonts w:cs="Times New Roman"/>
          <w:iCs/>
        </w:rPr>
        <w:t>(</w:t>
      </w:r>
      <w:r w:rsidRPr="00610B1B">
        <w:rPr>
          <w:rFonts w:cs="Times New Roman"/>
        </w:rPr>
        <w:t>ОВМ</w:t>
      </w:r>
      <w:r w:rsidRPr="00610B1B">
        <w:rPr>
          <w:rFonts w:cs="Times New Roman"/>
          <w:iCs/>
        </w:rPr>
        <w:t>)</w:t>
      </w:r>
      <w:r w:rsidRPr="00610B1B">
        <w:rPr>
          <w:rFonts w:cs="Times New Roman"/>
        </w:rPr>
        <w:t xml:space="preserve"> в България обхваща</w:t>
      </w:r>
      <w:r w:rsidR="00D66FE0" w:rsidRPr="00610B1B">
        <w:rPr>
          <w:rFonts w:cs="Times New Roman"/>
        </w:rPr>
        <w:t xml:space="preserve"> </w:t>
      </w:r>
      <w:r w:rsidRPr="00610B1B">
        <w:rPr>
          <w:rFonts w:cs="Times New Roman"/>
        </w:rPr>
        <w:t>114 ОВМ, 87 от които със световно значение, а 112 с Европейско значение, с обща площ от 26 021 km</w:t>
      </w:r>
      <w:r w:rsidRPr="00610B1B">
        <w:rPr>
          <w:rFonts w:cs="Times New Roman"/>
          <w:vertAlign w:val="superscript"/>
        </w:rPr>
        <w:t>2</w:t>
      </w:r>
      <w:r w:rsidRPr="00610B1B">
        <w:rPr>
          <w:rFonts w:cs="Times New Roman"/>
        </w:rPr>
        <w:t>, или 23% от територията на страната</w:t>
      </w:r>
      <w:r w:rsidR="00D66FE0" w:rsidRPr="00610B1B">
        <w:rPr>
          <w:rFonts w:cs="Times New Roman"/>
        </w:rPr>
        <w:t xml:space="preserve"> </w:t>
      </w:r>
      <w:r w:rsidRPr="00610B1B">
        <w:rPr>
          <w:rFonts w:cs="Times New Roman"/>
        </w:rPr>
        <w:t>и 542,72 km</w:t>
      </w:r>
      <w:r w:rsidRPr="00610B1B">
        <w:rPr>
          <w:rFonts w:cs="Times New Roman"/>
          <w:vertAlign w:val="superscript"/>
        </w:rPr>
        <w:t>2</w:t>
      </w:r>
      <w:r w:rsidRPr="00610B1B">
        <w:rPr>
          <w:rFonts w:cs="Times New Roman"/>
        </w:rPr>
        <w:t xml:space="preserve"> морска акватория.</w:t>
      </w:r>
      <w:r w:rsidRPr="00610B1B">
        <w:rPr>
          <w:rStyle w:val="a4"/>
          <w:rFonts w:cs="Times New Roman"/>
        </w:rPr>
        <w:footnoteReference w:id="95"/>
      </w:r>
      <w:r w:rsidRPr="00610B1B">
        <w:rPr>
          <w:rFonts w:cs="Times New Roman"/>
        </w:rPr>
        <w:t xml:space="preserve"> В периода 12-16.01.2017 г. е проведено среднозимно преброяване на зимуващите водолюбиви птици в България и е установена най-високата численост - 670 236 индивида от 8 разреда в 116 водоема, в сравнение с наблюдаваните 237 656 индивида през 2015 г.</w:t>
      </w:r>
      <w:r w:rsidR="00D66FE0" w:rsidRPr="00610B1B">
        <w:rPr>
          <w:rFonts w:cs="Times New Roman"/>
        </w:rPr>
        <w:t xml:space="preserve"> </w:t>
      </w:r>
      <w:r w:rsidRPr="00610B1B">
        <w:rPr>
          <w:rFonts w:cs="Times New Roman"/>
        </w:rPr>
        <w:t xml:space="preserve">Най-големи струпвания са наблюдавани по черноморското крайбрежие и на местата в близост до него. Най-многочислени са птиците на територията на комплекс “Езеро Вая“ – 425 537 индивида от 32 вида, </w:t>
      </w:r>
      <w:r w:rsidR="00612496" w:rsidRPr="00610B1B">
        <w:rPr>
          <w:rFonts w:cs="Times New Roman"/>
        </w:rPr>
        <w:t>к</w:t>
      </w:r>
      <w:r w:rsidRPr="00610B1B">
        <w:rPr>
          <w:rFonts w:cs="Times New Roman"/>
        </w:rPr>
        <w:t xml:space="preserve">омплекс „Дуранкулак“ – 19 351 индивида от 23 вида и </w:t>
      </w:r>
      <w:r w:rsidR="00612496" w:rsidRPr="00610B1B">
        <w:rPr>
          <w:rFonts w:cs="Times New Roman"/>
        </w:rPr>
        <w:t>к</w:t>
      </w:r>
      <w:r w:rsidRPr="00610B1B">
        <w:rPr>
          <w:rFonts w:cs="Times New Roman"/>
        </w:rPr>
        <w:t>омплекс „Шабленско езеро“ – 13 038 екз. от 20 вида зимуващи водолюбиви птици.</w:t>
      </w:r>
      <w:r w:rsidRPr="00610B1B">
        <w:rPr>
          <w:rStyle w:val="a4"/>
          <w:rFonts w:cs="Times New Roman"/>
        </w:rPr>
        <w:footnoteReference w:id="96"/>
      </w:r>
      <w:r w:rsidRPr="00610B1B">
        <w:rPr>
          <w:rFonts w:cs="Times New Roman"/>
        </w:rPr>
        <w:t xml:space="preserve"> </w:t>
      </w:r>
    </w:p>
    <w:p w14:paraId="0F4DE447" w14:textId="01578BAA" w:rsidR="009D4A0E" w:rsidRPr="00610B1B" w:rsidRDefault="009D4A0E" w:rsidP="00D32D6A">
      <w:pPr>
        <w:pStyle w:val="BodyText"/>
        <w:spacing w:before="0" w:after="120" w:line="276" w:lineRule="auto"/>
        <w:ind w:right="-153"/>
        <w:rPr>
          <w:rFonts w:cs="Times New Roman"/>
        </w:rPr>
      </w:pPr>
      <w:r w:rsidRPr="00610B1B">
        <w:rPr>
          <w:rFonts w:eastAsia="Times New Roman" w:cs="Times New Roman"/>
          <w:lang w:eastAsia="bg-BG"/>
        </w:rPr>
        <w:lastRenderedPageBreak/>
        <w:t>ОВМ за струпващи се птици, по време на миграция и особено през зимния сезон,</w:t>
      </w:r>
      <w:r w:rsidR="00D66FE0" w:rsidRPr="00610B1B">
        <w:rPr>
          <w:rFonts w:eastAsia="Times New Roman" w:cs="Times New Roman"/>
          <w:lang w:eastAsia="bg-BG"/>
        </w:rPr>
        <w:t xml:space="preserve"> </w:t>
      </w:r>
      <w:r w:rsidRPr="00610B1B">
        <w:rPr>
          <w:rFonts w:eastAsia="Times New Roman" w:cs="Times New Roman"/>
          <w:lang w:eastAsia="bg-BG"/>
        </w:rPr>
        <w:t xml:space="preserve">разположени по Черноморското крайбрежие, са изключително важни за опазване на орнитофауната в света. Те са важни места за почивка по пътищата за миграция и особено по втория по-големина път за прелетни птици в Европа - </w:t>
      </w:r>
      <w:r w:rsidRPr="00610B1B">
        <w:rPr>
          <w:rFonts w:eastAsia="Times New Roman" w:cs="Times New Roman"/>
          <w:i/>
          <w:lang w:eastAsia="bg-BG"/>
        </w:rPr>
        <w:t xml:space="preserve">Via Pontica. </w:t>
      </w:r>
    </w:p>
    <w:p w14:paraId="6E72C555" w14:textId="77777777" w:rsidR="009D4A0E" w:rsidRPr="00610B1B" w:rsidRDefault="009D4A0E" w:rsidP="00D32D6A">
      <w:pPr>
        <w:pStyle w:val="BodyText"/>
        <w:spacing w:before="0" w:after="120" w:line="276" w:lineRule="auto"/>
        <w:ind w:right="-153"/>
        <w:rPr>
          <w:rFonts w:cs="Times New Roman"/>
        </w:rPr>
      </w:pPr>
      <w:r w:rsidRPr="00610B1B">
        <w:rPr>
          <w:rStyle w:val="FontStyle19"/>
          <w:rFonts w:eastAsia="Source Han Sans CN Regular" w:cs="Times New Roman"/>
          <w:sz w:val="24"/>
        </w:rPr>
        <w:t>Защитените територии, изцяло или частично, се припокриват с обявените защитени зони Натура 2000 в България.</w:t>
      </w:r>
    </w:p>
    <w:p w14:paraId="3327170A" w14:textId="7E89F681" w:rsidR="009D4A0E" w:rsidRPr="00610B1B" w:rsidRDefault="00E10F89" w:rsidP="00D32D6A">
      <w:pPr>
        <w:pStyle w:val="Heading4"/>
        <w:spacing w:before="0" w:line="276" w:lineRule="auto"/>
        <w:rPr>
          <w:rFonts w:cs="Times New Roman"/>
        </w:rPr>
      </w:pPr>
      <w:r w:rsidRPr="00610B1B">
        <w:rPr>
          <w:rFonts w:cs="Times New Roman"/>
        </w:rPr>
        <w:t xml:space="preserve">2.2.5.2. </w:t>
      </w:r>
      <w:r w:rsidR="009D4A0E" w:rsidRPr="00610B1B">
        <w:rPr>
          <w:rFonts w:cs="Times New Roman"/>
        </w:rPr>
        <w:t>Защитени зони</w:t>
      </w:r>
      <w:r w:rsidR="00F52575" w:rsidRPr="00610B1B">
        <w:rPr>
          <w:rFonts w:cs="Times New Roman"/>
        </w:rPr>
        <w:t xml:space="preserve"> </w:t>
      </w:r>
    </w:p>
    <w:p w14:paraId="78828DE7" w14:textId="05E957E4" w:rsidR="009D4A0E" w:rsidRPr="00610B1B" w:rsidRDefault="009D4A0E" w:rsidP="00D32D6A">
      <w:pPr>
        <w:pStyle w:val="BodyText"/>
        <w:spacing w:before="0" w:after="120" w:line="276" w:lineRule="auto"/>
        <w:ind w:right="-153"/>
        <w:rPr>
          <w:rFonts w:cs="Times New Roman"/>
        </w:rPr>
      </w:pPr>
      <w:r w:rsidRPr="00610B1B">
        <w:rPr>
          <w:rFonts w:eastAsia="Times New Roman" w:cs="Times New Roman"/>
          <w:bCs/>
          <w:lang w:eastAsia="bg-BG"/>
        </w:rPr>
        <w:t>По данни от последния Национален доклад за състоянието и опазването на околната среда в Р България, 2019 г.</w:t>
      </w:r>
      <w:r w:rsidRPr="00610B1B">
        <w:rPr>
          <w:rStyle w:val="a4"/>
          <w:rFonts w:eastAsia="Times New Roman" w:cs="Times New Roman"/>
          <w:bCs/>
          <w:lang w:eastAsia="bg-BG"/>
        </w:rPr>
        <w:footnoteReference w:id="97"/>
      </w:r>
      <w:r w:rsidRPr="00610B1B">
        <w:rPr>
          <w:rFonts w:eastAsia="Times New Roman" w:cs="Times New Roman"/>
          <w:bCs/>
          <w:lang w:eastAsia="bg-BG"/>
        </w:rPr>
        <w:t xml:space="preserve">, към края на 2017 г. Министерският съвет е приел 339 защитени зони </w:t>
      </w:r>
      <w:r w:rsidRPr="00610B1B">
        <w:rPr>
          <w:rFonts w:eastAsia="Times New Roman" w:cs="Times New Roman"/>
          <w:bCs/>
          <w:iCs/>
          <w:lang w:eastAsia="bg-BG"/>
        </w:rPr>
        <w:t>(</w:t>
      </w:r>
      <w:r w:rsidRPr="00610B1B">
        <w:rPr>
          <w:rFonts w:eastAsia="Times New Roman" w:cs="Times New Roman"/>
          <w:bCs/>
          <w:lang w:eastAsia="bg-BG"/>
        </w:rPr>
        <w:t>352 на брой, от които 13 бр. с обща граница по двете директиви</w:t>
      </w:r>
      <w:r w:rsidRPr="00610B1B">
        <w:rPr>
          <w:rFonts w:eastAsia="Times New Roman" w:cs="Times New Roman"/>
          <w:bCs/>
          <w:iCs/>
          <w:lang w:eastAsia="bg-BG"/>
        </w:rPr>
        <w:t>)</w:t>
      </w:r>
      <w:r w:rsidRPr="00610B1B">
        <w:rPr>
          <w:rFonts w:eastAsia="Times New Roman" w:cs="Times New Roman"/>
          <w:bCs/>
          <w:lang w:eastAsia="bg-BG"/>
        </w:rPr>
        <w:t xml:space="preserve"> от мрежата “Натура</w:t>
      </w:r>
      <w:r w:rsidR="00757909" w:rsidRPr="00610B1B">
        <w:rPr>
          <w:rFonts w:eastAsia="Times New Roman" w:cs="Times New Roman"/>
          <w:bCs/>
          <w:lang w:eastAsia="bg-BG"/>
        </w:rPr>
        <w:t> </w:t>
      </w:r>
      <w:r w:rsidRPr="00610B1B">
        <w:rPr>
          <w:rFonts w:eastAsia="Times New Roman" w:cs="Times New Roman"/>
          <w:bCs/>
          <w:lang w:eastAsia="bg-BG"/>
        </w:rPr>
        <w:t>2000“, покриващи общо 34.4% от територията на страната.</w:t>
      </w:r>
      <w:r w:rsidR="00F52575" w:rsidRPr="00610B1B">
        <w:rPr>
          <w:rFonts w:eastAsia="Times New Roman" w:cs="Times New Roman"/>
          <w:bCs/>
          <w:lang w:eastAsia="bg-BG"/>
        </w:rPr>
        <w:t xml:space="preserve"> </w:t>
      </w:r>
      <w:r w:rsidRPr="00610B1B">
        <w:rPr>
          <w:rFonts w:eastAsia="Times New Roman" w:cs="Times New Roman"/>
          <w:lang w:eastAsia="bg-BG"/>
        </w:rPr>
        <w:t>По данни на ИАОС, към същата дата, определените защитени зони, съгласно Директивата за птиците </w:t>
      </w:r>
      <w:r w:rsidR="00612496" w:rsidRPr="00610B1B">
        <w:rPr>
          <w:rFonts w:eastAsia="Times New Roman" w:cs="Times New Roman"/>
          <w:lang w:eastAsia="bg-BG"/>
        </w:rPr>
        <w:t>са</w:t>
      </w:r>
      <w:r w:rsidRPr="00610B1B">
        <w:rPr>
          <w:rFonts w:eastAsia="Times New Roman" w:cs="Times New Roman"/>
          <w:lang w:eastAsia="bg-BG"/>
        </w:rPr>
        <w:t xml:space="preserve"> 119 бр. с площ 2 523 661 ha </w:t>
      </w:r>
      <w:r w:rsidRPr="00610B1B">
        <w:rPr>
          <w:rFonts w:eastAsia="Times New Roman" w:cs="Times New Roman"/>
          <w:iCs/>
          <w:lang w:eastAsia="bg-BG"/>
        </w:rPr>
        <w:t>(</w:t>
      </w:r>
      <w:r w:rsidRPr="00610B1B">
        <w:rPr>
          <w:rFonts w:eastAsia="Times New Roman" w:cs="Times New Roman"/>
          <w:lang w:eastAsia="bg-BG"/>
        </w:rPr>
        <w:t>22.7% от общата територия на страната</w:t>
      </w:r>
      <w:r w:rsidRPr="00610B1B">
        <w:rPr>
          <w:rFonts w:eastAsia="Times New Roman" w:cs="Times New Roman"/>
          <w:iCs/>
          <w:lang w:eastAsia="bg-BG"/>
        </w:rPr>
        <w:t>)</w:t>
      </w:r>
      <w:r w:rsidRPr="00610B1B">
        <w:rPr>
          <w:rFonts w:eastAsia="Times New Roman" w:cs="Times New Roman"/>
          <w:lang w:eastAsia="bg-BG"/>
        </w:rPr>
        <w:t>, а броят на</w:t>
      </w:r>
      <w:r w:rsidR="00D66FE0" w:rsidRPr="00610B1B">
        <w:rPr>
          <w:rFonts w:eastAsia="Times New Roman" w:cs="Times New Roman"/>
          <w:lang w:eastAsia="bg-BG"/>
        </w:rPr>
        <w:t xml:space="preserve"> </w:t>
      </w:r>
      <w:r w:rsidRPr="00610B1B">
        <w:rPr>
          <w:rFonts w:eastAsia="Times New Roman" w:cs="Times New Roman"/>
          <w:lang w:eastAsia="bg-BG"/>
        </w:rPr>
        <w:t xml:space="preserve">защитени зони съгласно Директивата за местообитанията е 233 с площ 3 326 973 ha </w:t>
      </w:r>
      <w:r w:rsidRPr="00610B1B">
        <w:rPr>
          <w:rFonts w:eastAsia="Times New Roman" w:cs="Times New Roman"/>
          <w:iCs/>
          <w:lang w:eastAsia="bg-BG"/>
        </w:rPr>
        <w:t>(</w:t>
      </w:r>
      <w:r w:rsidRPr="00610B1B">
        <w:rPr>
          <w:rFonts w:eastAsia="Times New Roman" w:cs="Times New Roman"/>
          <w:lang w:eastAsia="bg-BG"/>
        </w:rPr>
        <w:t>30% от общата територия на страната</w:t>
      </w:r>
      <w:r w:rsidRPr="00610B1B">
        <w:rPr>
          <w:rFonts w:eastAsia="Times New Roman" w:cs="Times New Roman"/>
          <w:iCs/>
          <w:lang w:eastAsia="bg-BG"/>
        </w:rPr>
        <w:t>)</w:t>
      </w:r>
      <w:r w:rsidRPr="00610B1B">
        <w:rPr>
          <w:rFonts w:eastAsia="Times New Roman" w:cs="Times New Roman"/>
          <w:lang w:eastAsia="bg-BG"/>
        </w:rPr>
        <w:t>. Защитените зони включват общо 282 135 ha морски пространства, което е 6,9% от общата им площ. От защитените зони в морските пространства преобладават тези по Директивата за местообитанията - 247 724 ha, докато тези, обявени по Директивата за птиците, са на площ от 54 489 ha.</w:t>
      </w:r>
    </w:p>
    <w:p w14:paraId="438AE0A3" w14:textId="41397E8E" w:rsidR="009D4A0E" w:rsidRPr="00610B1B" w:rsidRDefault="009D4A0E" w:rsidP="00D32D6A">
      <w:pPr>
        <w:pStyle w:val="BodyText"/>
        <w:spacing w:before="0" w:after="120" w:line="276" w:lineRule="auto"/>
        <w:ind w:right="-153"/>
        <w:rPr>
          <w:rFonts w:eastAsia="Times New Roman" w:cs="Times New Roman"/>
          <w:lang w:eastAsia="bg-BG"/>
        </w:rPr>
      </w:pPr>
      <w:r w:rsidRPr="00610B1B">
        <w:rPr>
          <w:rFonts w:eastAsia="Times New Roman" w:cs="Times New Roman"/>
          <w:lang w:eastAsia="bg-BG"/>
        </w:rPr>
        <w:t xml:space="preserve">По-голямата част от </w:t>
      </w:r>
      <w:r w:rsidR="00331812" w:rsidRPr="00610B1B">
        <w:rPr>
          <w:rFonts w:eastAsia="Times New Roman" w:cs="Times New Roman"/>
          <w:lang w:eastAsia="bg-BG"/>
        </w:rPr>
        <w:t>защитените зони</w:t>
      </w:r>
      <w:r w:rsidRPr="00610B1B">
        <w:rPr>
          <w:rFonts w:eastAsia="Times New Roman" w:cs="Times New Roman"/>
          <w:lang w:eastAsia="bg-BG"/>
        </w:rPr>
        <w:t xml:space="preserve"> в морските пространства попадат в териториалните води на Р</w:t>
      </w:r>
      <w:r w:rsidR="00C75124" w:rsidRPr="00610B1B">
        <w:rPr>
          <w:rFonts w:eastAsia="Times New Roman" w:cs="Times New Roman"/>
          <w:lang w:eastAsia="bg-BG"/>
        </w:rPr>
        <w:t>.</w:t>
      </w:r>
      <w:r w:rsidRPr="00610B1B">
        <w:rPr>
          <w:rFonts w:eastAsia="Times New Roman" w:cs="Times New Roman"/>
          <w:lang w:eastAsia="bg-BG"/>
        </w:rPr>
        <w:t xml:space="preserve"> България, </w:t>
      </w:r>
      <w:r w:rsidR="00331812" w:rsidRPr="00610B1B">
        <w:rPr>
          <w:rFonts w:eastAsia="Times New Roman" w:cs="Times New Roman"/>
          <w:lang w:eastAsia="bg-BG"/>
        </w:rPr>
        <w:t>а</w:t>
      </w:r>
      <w:r w:rsidRPr="00610B1B">
        <w:rPr>
          <w:rFonts w:eastAsia="Times New Roman" w:cs="Times New Roman"/>
          <w:lang w:eastAsia="bg-BG"/>
        </w:rPr>
        <w:t xml:space="preserve"> само 3 от тях частично се разпростират извън териториалните води. Това са защитените зони обявени по Директивата за местообитанията – ЗЗ BG 0000573 „Комплекс Калиакра“, ЗЗ BG0001501 „Емона“ и ЗЗ BG 0001001 „Ропотамо“.</w:t>
      </w:r>
    </w:p>
    <w:p w14:paraId="41D8A1A9" w14:textId="6FCFC5BA" w:rsidR="009D4A0E" w:rsidRPr="00610B1B" w:rsidRDefault="00E57141" w:rsidP="00D32D6A">
      <w:pPr>
        <w:pStyle w:val="Caption"/>
        <w:spacing w:before="0" w:line="276" w:lineRule="auto"/>
        <w:ind w:right="-153"/>
        <w:jc w:val="both"/>
        <w:rPr>
          <w:rFonts w:cs="Times New Roman"/>
        </w:rPr>
      </w:pPr>
      <w:bookmarkStart w:id="302" w:name="_Toc83391598"/>
      <w:r w:rsidRPr="00610B1B">
        <w:rPr>
          <w:rFonts w:cs="Times New Roman"/>
        </w:rPr>
        <w:t xml:space="preserve">Таблица </w:t>
      </w:r>
      <w:r w:rsidRPr="00610B1B">
        <w:rPr>
          <w:rFonts w:cs="Times New Roman"/>
        </w:rPr>
        <w:fldChar w:fldCharType="begin"/>
      </w:r>
      <w:r w:rsidRPr="00610B1B">
        <w:rPr>
          <w:rFonts w:cs="Times New Roman"/>
        </w:rPr>
        <w:instrText xml:space="preserve"> SEQ Таблица \* ARABIC </w:instrText>
      </w:r>
      <w:r w:rsidRPr="00610B1B">
        <w:rPr>
          <w:rFonts w:cs="Times New Roman"/>
        </w:rPr>
        <w:fldChar w:fldCharType="separate"/>
      </w:r>
      <w:r w:rsidR="00260629" w:rsidRPr="00610B1B">
        <w:rPr>
          <w:rFonts w:cs="Times New Roman"/>
          <w:noProof/>
        </w:rPr>
        <w:t>2</w:t>
      </w:r>
      <w:r w:rsidRPr="00610B1B">
        <w:rPr>
          <w:rFonts w:cs="Times New Roman"/>
        </w:rPr>
        <w:fldChar w:fldCharType="end"/>
      </w:r>
      <w:r w:rsidRPr="00610B1B">
        <w:rPr>
          <w:rFonts w:cs="Times New Roman"/>
        </w:rPr>
        <w:t xml:space="preserve">: </w:t>
      </w:r>
      <w:r w:rsidR="009D4A0E" w:rsidRPr="00610B1B">
        <w:rPr>
          <w:rFonts w:cs="Times New Roman"/>
        </w:rPr>
        <w:t>Брой и площ на защитените зони от мрежата “Натура 2000“ в България</w:t>
      </w:r>
      <w:bookmarkEnd w:id="302"/>
    </w:p>
    <w:tbl>
      <w:tblPr>
        <w:tblW w:w="9012" w:type="dxa"/>
        <w:tblInd w:w="55" w:type="dxa"/>
        <w:tblBorders>
          <w:top w:val="single" w:sz="4" w:space="0" w:color="auto"/>
          <w:bottom w:val="single" w:sz="4" w:space="0" w:color="auto"/>
          <w:insideH w:val="single" w:sz="4" w:space="0" w:color="auto"/>
        </w:tblBorders>
        <w:tblCellMar>
          <w:left w:w="65" w:type="dxa"/>
          <w:right w:w="70" w:type="dxa"/>
        </w:tblCellMar>
        <w:tblLook w:val="0000" w:firstRow="0" w:lastRow="0" w:firstColumn="0" w:lastColumn="0" w:noHBand="0" w:noVBand="0"/>
      </w:tblPr>
      <w:tblGrid>
        <w:gridCol w:w="2634"/>
        <w:gridCol w:w="850"/>
        <w:gridCol w:w="1276"/>
        <w:gridCol w:w="1276"/>
        <w:gridCol w:w="1559"/>
        <w:gridCol w:w="1417"/>
      </w:tblGrid>
      <w:tr w:rsidR="009D4A0E" w:rsidRPr="00610B1B" w14:paraId="44DA9117" w14:textId="77777777" w:rsidTr="00901BE7">
        <w:trPr>
          <w:trHeight w:val="551"/>
        </w:trPr>
        <w:tc>
          <w:tcPr>
            <w:tcW w:w="2634" w:type="dxa"/>
            <w:shd w:val="clear" w:color="auto" w:fill="C6D9F1" w:themeFill="text2" w:themeFillTint="33"/>
            <w:tcMar>
              <w:left w:w="65" w:type="dxa"/>
            </w:tcMar>
            <w:vAlign w:val="center"/>
          </w:tcPr>
          <w:p w14:paraId="2EBE9F12" w14:textId="77777777" w:rsidR="009D4A0E" w:rsidRPr="00610B1B" w:rsidRDefault="009D4A0E" w:rsidP="00D32D6A">
            <w:pPr>
              <w:spacing w:after="0" w:line="240" w:lineRule="auto"/>
              <w:jc w:val="center"/>
              <w:rPr>
                <w:rFonts w:ascii="Times New Roman" w:eastAsia="Times New Roman" w:hAnsi="Times New Roman" w:cs="Times New Roman"/>
                <w:b/>
                <w:bCs/>
                <w:lang w:val="bg-BG" w:eastAsia="bg-BG"/>
              </w:rPr>
            </w:pPr>
            <w:r w:rsidRPr="00610B1B">
              <w:rPr>
                <w:rFonts w:ascii="Times New Roman" w:eastAsia="Times New Roman" w:hAnsi="Times New Roman" w:cs="Times New Roman"/>
                <w:b/>
                <w:bCs/>
                <w:lang w:val="bg-BG" w:eastAsia="bg-BG"/>
              </w:rPr>
              <w:t>Защитени зони</w:t>
            </w:r>
          </w:p>
        </w:tc>
        <w:tc>
          <w:tcPr>
            <w:tcW w:w="850" w:type="dxa"/>
            <w:shd w:val="clear" w:color="auto" w:fill="C6D9F1" w:themeFill="text2" w:themeFillTint="33"/>
            <w:vAlign w:val="center"/>
          </w:tcPr>
          <w:p w14:paraId="61E944BD" w14:textId="77777777" w:rsidR="009D4A0E" w:rsidRPr="00610B1B" w:rsidRDefault="009D4A0E" w:rsidP="00D32D6A">
            <w:pPr>
              <w:spacing w:after="0" w:line="240" w:lineRule="auto"/>
              <w:jc w:val="center"/>
              <w:rPr>
                <w:rFonts w:ascii="Times New Roman" w:eastAsia="Times New Roman" w:hAnsi="Times New Roman" w:cs="Times New Roman"/>
                <w:b/>
                <w:bCs/>
                <w:lang w:val="bg-BG" w:eastAsia="bg-BG"/>
              </w:rPr>
            </w:pPr>
            <w:r w:rsidRPr="00610B1B">
              <w:rPr>
                <w:rFonts w:ascii="Times New Roman" w:eastAsia="Times New Roman" w:hAnsi="Times New Roman" w:cs="Times New Roman"/>
                <w:b/>
                <w:bCs/>
                <w:lang w:val="bg-BG" w:eastAsia="bg-BG"/>
              </w:rPr>
              <w:t>Брой</w:t>
            </w:r>
          </w:p>
        </w:tc>
        <w:tc>
          <w:tcPr>
            <w:tcW w:w="1276" w:type="dxa"/>
            <w:shd w:val="clear" w:color="auto" w:fill="C6D9F1" w:themeFill="text2" w:themeFillTint="33"/>
            <w:vAlign w:val="center"/>
          </w:tcPr>
          <w:p w14:paraId="4CFEE046" w14:textId="77777777" w:rsidR="009D4A0E" w:rsidRPr="00610B1B" w:rsidRDefault="009D4A0E" w:rsidP="00D32D6A">
            <w:pPr>
              <w:spacing w:after="0" w:line="240" w:lineRule="auto"/>
              <w:jc w:val="center"/>
              <w:rPr>
                <w:rFonts w:ascii="Times New Roman" w:eastAsia="Times New Roman" w:hAnsi="Times New Roman" w:cs="Times New Roman"/>
                <w:b/>
                <w:bCs/>
                <w:lang w:val="bg-BG" w:eastAsia="bg-BG"/>
              </w:rPr>
            </w:pPr>
            <w:r w:rsidRPr="00610B1B">
              <w:rPr>
                <w:rFonts w:ascii="Times New Roman" w:eastAsia="Times New Roman" w:hAnsi="Times New Roman" w:cs="Times New Roman"/>
                <w:b/>
                <w:bCs/>
                <w:lang w:val="bg-BG" w:eastAsia="bg-BG"/>
              </w:rPr>
              <w:t>Площ [ha]</w:t>
            </w:r>
          </w:p>
        </w:tc>
        <w:tc>
          <w:tcPr>
            <w:tcW w:w="1276" w:type="dxa"/>
            <w:shd w:val="clear" w:color="auto" w:fill="C6D9F1" w:themeFill="text2" w:themeFillTint="33"/>
            <w:vAlign w:val="center"/>
          </w:tcPr>
          <w:p w14:paraId="68EEC08F" w14:textId="77777777" w:rsidR="009D4A0E" w:rsidRPr="00610B1B" w:rsidRDefault="009D4A0E" w:rsidP="00D32D6A">
            <w:pPr>
              <w:spacing w:after="0" w:line="240" w:lineRule="auto"/>
              <w:jc w:val="center"/>
              <w:rPr>
                <w:rFonts w:ascii="Times New Roman" w:eastAsia="Times New Roman" w:hAnsi="Times New Roman" w:cs="Times New Roman"/>
                <w:b/>
                <w:bCs/>
                <w:lang w:val="bg-BG" w:eastAsia="bg-BG"/>
              </w:rPr>
            </w:pPr>
            <w:r w:rsidRPr="00610B1B">
              <w:rPr>
                <w:rFonts w:ascii="Times New Roman" w:eastAsia="Times New Roman" w:hAnsi="Times New Roman" w:cs="Times New Roman"/>
                <w:b/>
                <w:bCs/>
                <w:lang w:val="bg-BG" w:eastAsia="bg-BG"/>
              </w:rPr>
              <w:t>Територия [ha]</w:t>
            </w:r>
          </w:p>
        </w:tc>
        <w:tc>
          <w:tcPr>
            <w:tcW w:w="1559" w:type="dxa"/>
            <w:shd w:val="clear" w:color="auto" w:fill="C6D9F1" w:themeFill="text2" w:themeFillTint="33"/>
            <w:vAlign w:val="center"/>
          </w:tcPr>
          <w:p w14:paraId="2A5E13B4" w14:textId="77777777" w:rsidR="009D4A0E" w:rsidRPr="00610B1B" w:rsidRDefault="009D4A0E" w:rsidP="00D32D6A">
            <w:pPr>
              <w:spacing w:after="0" w:line="240" w:lineRule="auto"/>
              <w:jc w:val="center"/>
              <w:rPr>
                <w:rFonts w:ascii="Times New Roman" w:eastAsia="Times New Roman" w:hAnsi="Times New Roman" w:cs="Times New Roman"/>
                <w:b/>
                <w:bCs/>
                <w:lang w:val="bg-BG" w:eastAsia="bg-BG"/>
              </w:rPr>
            </w:pPr>
            <w:r w:rsidRPr="00610B1B">
              <w:rPr>
                <w:rFonts w:ascii="Times New Roman" w:eastAsia="Times New Roman" w:hAnsi="Times New Roman" w:cs="Times New Roman"/>
                <w:b/>
                <w:bCs/>
                <w:lang w:val="bg-BG" w:eastAsia="bg-BG"/>
              </w:rPr>
              <w:t>Морски пространства [ha]</w:t>
            </w:r>
          </w:p>
        </w:tc>
        <w:tc>
          <w:tcPr>
            <w:tcW w:w="1417" w:type="dxa"/>
            <w:shd w:val="clear" w:color="auto" w:fill="C6D9F1" w:themeFill="text2" w:themeFillTint="33"/>
            <w:vAlign w:val="center"/>
          </w:tcPr>
          <w:p w14:paraId="7626AD7D" w14:textId="77777777" w:rsidR="009D4A0E" w:rsidRPr="00610B1B" w:rsidRDefault="009D4A0E" w:rsidP="00D32D6A">
            <w:pPr>
              <w:spacing w:after="0" w:line="240" w:lineRule="auto"/>
              <w:jc w:val="center"/>
              <w:rPr>
                <w:rFonts w:ascii="Times New Roman" w:eastAsia="Times New Roman" w:hAnsi="Times New Roman" w:cs="Times New Roman"/>
                <w:b/>
                <w:bCs/>
                <w:lang w:val="bg-BG" w:eastAsia="bg-BG"/>
              </w:rPr>
            </w:pPr>
            <w:r w:rsidRPr="00610B1B">
              <w:rPr>
                <w:rFonts w:ascii="Times New Roman" w:eastAsia="Times New Roman" w:hAnsi="Times New Roman" w:cs="Times New Roman"/>
                <w:b/>
                <w:bCs/>
                <w:lang w:val="bg-BG" w:eastAsia="bg-BG"/>
              </w:rPr>
              <w:t>% от нац. територия</w:t>
            </w:r>
          </w:p>
        </w:tc>
      </w:tr>
      <w:tr w:rsidR="009D4A0E" w:rsidRPr="00610B1B" w14:paraId="22A6621B" w14:textId="77777777" w:rsidTr="001E3FED">
        <w:trPr>
          <w:trHeight w:val="336"/>
        </w:trPr>
        <w:tc>
          <w:tcPr>
            <w:tcW w:w="2634" w:type="dxa"/>
            <w:shd w:val="clear" w:color="auto" w:fill="FFFFFF"/>
            <w:tcMar>
              <w:left w:w="65" w:type="dxa"/>
            </w:tcMar>
            <w:vAlign w:val="center"/>
          </w:tcPr>
          <w:p w14:paraId="0FFD02CA" w14:textId="77777777" w:rsidR="009D4A0E" w:rsidRPr="00610B1B" w:rsidRDefault="009D4A0E" w:rsidP="00D32D6A">
            <w:pPr>
              <w:spacing w:after="0" w:line="240" w:lineRule="auto"/>
              <w:rPr>
                <w:rFonts w:ascii="Times New Roman" w:eastAsia="Times New Roman" w:hAnsi="Times New Roman" w:cs="Times New Roman"/>
                <w:bCs/>
                <w:lang w:val="bg-BG" w:eastAsia="bg-BG"/>
              </w:rPr>
            </w:pPr>
            <w:r w:rsidRPr="00610B1B">
              <w:rPr>
                <w:rFonts w:ascii="Times New Roman" w:eastAsia="Times New Roman" w:hAnsi="Times New Roman" w:cs="Times New Roman"/>
                <w:bCs/>
                <w:lang w:val="bg-BG" w:eastAsia="bg-BG"/>
              </w:rPr>
              <w:t>За местообитания</w:t>
            </w:r>
          </w:p>
        </w:tc>
        <w:tc>
          <w:tcPr>
            <w:tcW w:w="850" w:type="dxa"/>
            <w:shd w:val="clear" w:color="auto" w:fill="FFFFFF"/>
            <w:vAlign w:val="center"/>
          </w:tcPr>
          <w:p w14:paraId="7860B447" w14:textId="3CD7E9DD" w:rsidR="009D4A0E" w:rsidRPr="00610B1B" w:rsidRDefault="009D4A0E" w:rsidP="00D32D6A">
            <w:pPr>
              <w:spacing w:after="0" w:line="240" w:lineRule="auto"/>
              <w:jc w:val="right"/>
              <w:rPr>
                <w:rFonts w:ascii="Times New Roman" w:eastAsia="Times New Roman" w:hAnsi="Times New Roman" w:cs="Times New Roman"/>
                <w:lang w:val="bg-BG" w:eastAsia="bg-BG"/>
              </w:rPr>
            </w:pPr>
            <w:r w:rsidRPr="00610B1B">
              <w:rPr>
                <w:rFonts w:ascii="Times New Roman" w:eastAsia="Times New Roman" w:hAnsi="Times New Roman" w:cs="Times New Roman"/>
                <w:lang w:val="bg-BG" w:eastAsia="bg-BG"/>
              </w:rPr>
              <w:t>233</w:t>
            </w:r>
          </w:p>
        </w:tc>
        <w:tc>
          <w:tcPr>
            <w:tcW w:w="1276" w:type="dxa"/>
            <w:shd w:val="clear" w:color="auto" w:fill="FFFFFF"/>
            <w:vAlign w:val="center"/>
          </w:tcPr>
          <w:p w14:paraId="30F11123" w14:textId="77777777" w:rsidR="009D4A0E" w:rsidRPr="00610B1B" w:rsidRDefault="009D4A0E" w:rsidP="00D32D6A">
            <w:pPr>
              <w:spacing w:after="0" w:line="240" w:lineRule="auto"/>
              <w:jc w:val="right"/>
              <w:rPr>
                <w:rFonts w:ascii="Times New Roman" w:eastAsia="Times New Roman" w:hAnsi="Times New Roman" w:cs="Times New Roman"/>
                <w:lang w:val="bg-BG" w:eastAsia="bg-BG"/>
              </w:rPr>
            </w:pPr>
            <w:r w:rsidRPr="00610B1B">
              <w:rPr>
                <w:rFonts w:ascii="Times New Roman" w:eastAsia="Times New Roman" w:hAnsi="Times New Roman" w:cs="Times New Roman"/>
                <w:lang w:val="bg-BG" w:eastAsia="bg-BG"/>
              </w:rPr>
              <w:t>3 574 673</w:t>
            </w:r>
          </w:p>
        </w:tc>
        <w:tc>
          <w:tcPr>
            <w:tcW w:w="1276" w:type="dxa"/>
            <w:shd w:val="clear" w:color="auto" w:fill="FFFFFF"/>
            <w:vAlign w:val="center"/>
          </w:tcPr>
          <w:p w14:paraId="2B2B439B" w14:textId="4233922F" w:rsidR="009D4A0E" w:rsidRPr="00610B1B" w:rsidRDefault="009D4A0E" w:rsidP="00D32D6A">
            <w:pPr>
              <w:spacing w:after="0" w:line="240" w:lineRule="auto"/>
              <w:jc w:val="right"/>
              <w:rPr>
                <w:rFonts w:ascii="Times New Roman" w:eastAsia="Times New Roman" w:hAnsi="Times New Roman" w:cs="Times New Roman"/>
                <w:lang w:val="bg-BG" w:eastAsia="bg-BG"/>
              </w:rPr>
            </w:pPr>
            <w:r w:rsidRPr="00610B1B">
              <w:rPr>
                <w:rFonts w:ascii="Times New Roman" w:eastAsia="Times New Roman" w:hAnsi="Times New Roman" w:cs="Times New Roman"/>
                <w:lang w:val="bg-BG" w:eastAsia="bg-BG"/>
              </w:rPr>
              <w:t>3 326 949</w:t>
            </w:r>
          </w:p>
        </w:tc>
        <w:tc>
          <w:tcPr>
            <w:tcW w:w="1559" w:type="dxa"/>
            <w:shd w:val="clear" w:color="auto" w:fill="FFFFFF"/>
            <w:vAlign w:val="center"/>
          </w:tcPr>
          <w:p w14:paraId="35CD6D9F" w14:textId="621326F6" w:rsidR="009D4A0E" w:rsidRPr="00610B1B" w:rsidRDefault="009D4A0E" w:rsidP="00D32D6A">
            <w:pPr>
              <w:spacing w:after="0" w:line="240" w:lineRule="auto"/>
              <w:jc w:val="right"/>
              <w:rPr>
                <w:rFonts w:ascii="Times New Roman" w:eastAsia="Times New Roman" w:hAnsi="Times New Roman" w:cs="Times New Roman"/>
                <w:lang w:val="bg-BG" w:eastAsia="bg-BG"/>
              </w:rPr>
            </w:pPr>
            <w:r w:rsidRPr="00610B1B">
              <w:rPr>
                <w:rFonts w:ascii="Times New Roman" w:eastAsia="Times New Roman" w:hAnsi="Times New Roman" w:cs="Times New Roman"/>
                <w:lang w:val="bg-BG" w:eastAsia="bg-BG"/>
              </w:rPr>
              <w:t>247 724</w:t>
            </w:r>
          </w:p>
        </w:tc>
        <w:tc>
          <w:tcPr>
            <w:tcW w:w="1417" w:type="dxa"/>
            <w:shd w:val="clear" w:color="auto" w:fill="FFFFFF"/>
            <w:vAlign w:val="center"/>
          </w:tcPr>
          <w:p w14:paraId="24F33E36" w14:textId="13CA8FA0" w:rsidR="009D4A0E" w:rsidRPr="00610B1B" w:rsidRDefault="009D4A0E" w:rsidP="00D32D6A">
            <w:pPr>
              <w:spacing w:after="0" w:line="240" w:lineRule="auto"/>
              <w:jc w:val="right"/>
              <w:rPr>
                <w:rFonts w:ascii="Times New Roman" w:eastAsia="Times New Roman" w:hAnsi="Times New Roman" w:cs="Times New Roman"/>
                <w:lang w:val="bg-BG" w:eastAsia="bg-BG"/>
              </w:rPr>
            </w:pPr>
            <w:r w:rsidRPr="00610B1B">
              <w:rPr>
                <w:rFonts w:ascii="Times New Roman" w:eastAsia="Times New Roman" w:hAnsi="Times New Roman" w:cs="Times New Roman"/>
                <w:lang w:val="bg-BG" w:eastAsia="bg-BG"/>
              </w:rPr>
              <w:t>30.0 %</w:t>
            </w:r>
          </w:p>
        </w:tc>
      </w:tr>
      <w:tr w:rsidR="009D4A0E" w:rsidRPr="00610B1B" w14:paraId="778191EA" w14:textId="77777777" w:rsidTr="001E3FED">
        <w:trPr>
          <w:trHeight w:val="300"/>
        </w:trPr>
        <w:tc>
          <w:tcPr>
            <w:tcW w:w="2634" w:type="dxa"/>
            <w:shd w:val="clear" w:color="auto" w:fill="FFFFFF"/>
            <w:tcMar>
              <w:left w:w="65" w:type="dxa"/>
            </w:tcMar>
            <w:vAlign w:val="center"/>
          </w:tcPr>
          <w:p w14:paraId="640E5A08" w14:textId="77777777" w:rsidR="009D4A0E" w:rsidRPr="00610B1B" w:rsidRDefault="009D4A0E" w:rsidP="00D32D6A">
            <w:pPr>
              <w:spacing w:after="0" w:line="240" w:lineRule="auto"/>
              <w:rPr>
                <w:rFonts w:ascii="Times New Roman" w:eastAsia="Times New Roman" w:hAnsi="Times New Roman" w:cs="Times New Roman"/>
                <w:bCs/>
                <w:lang w:val="bg-BG" w:eastAsia="bg-BG"/>
              </w:rPr>
            </w:pPr>
            <w:r w:rsidRPr="00610B1B">
              <w:rPr>
                <w:rFonts w:ascii="Times New Roman" w:eastAsia="Times New Roman" w:hAnsi="Times New Roman" w:cs="Times New Roman"/>
                <w:bCs/>
                <w:lang w:val="bg-BG" w:eastAsia="bg-BG"/>
              </w:rPr>
              <w:t>За птиците</w:t>
            </w:r>
          </w:p>
        </w:tc>
        <w:tc>
          <w:tcPr>
            <w:tcW w:w="850" w:type="dxa"/>
            <w:shd w:val="clear" w:color="auto" w:fill="FFFFFF"/>
            <w:vAlign w:val="center"/>
          </w:tcPr>
          <w:p w14:paraId="15A0D5E7" w14:textId="77777777" w:rsidR="009D4A0E" w:rsidRPr="00610B1B" w:rsidRDefault="009D4A0E" w:rsidP="00D32D6A">
            <w:pPr>
              <w:spacing w:after="0" w:line="240" w:lineRule="auto"/>
              <w:jc w:val="right"/>
              <w:rPr>
                <w:rFonts w:ascii="Times New Roman" w:eastAsia="Times New Roman" w:hAnsi="Times New Roman" w:cs="Times New Roman"/>
                <w:lang w:val="bg-BG" w:eastAsia="bg-BG"/>
              </w:rPr>
            </w:pPr>
            <w:r w:rsidRPr="00610B1B">
              <w:rPr>
                <w:rFonts w:ascii="Times New Roman" w:eastAsia="Times New Roman" w:hAnsi="Times New Roman" w:cs="Times New Roman"/>
                <w:lang w:val="bg-BG" w:eastAsia="bg-BG"/>
              </w:rPr>
              <w:t>119</w:t>
            </w:r>
          </w:p>
        </w:tc>
        <w:tc>
          <w:tcPr>
            <w:tcW w:w="1276" w:type="dxa"/>
            <w:shd w:val="clear" w:color="auto" w:fill="FFFFFF"/>
            <w:vAlign w:val="center"/>
          </w:tcPr>
          <w:p w14:paraId="563AAF19" w14:textId="77777777" w:rsidR="009D4A0E" w:rsidRPr="00610B1B" w:rsidRDefault="009D4A0E" w:rsidP="00D32D6A">
            <w:pPr>
              <w:spacing w:after="0" w:line="240" w:lineRule="auto"/>
              <w:jc w:val="right"/>
              <w:rPr>
                <w:rFonts w:ascii="Times New Roman" w:eastAsia="Times New Roman" w:hAnsi="Times New Roman" w:cs="Times New Roman"/>
                <w:lang w:val="bg-BG" w:eastAsia="bg-BG"/>
              </w:rPr>
            </w:pPr>
            <w:r w:rsidRPr="00610B1B">
              <w:rPr>
                <w:rFonts w:ascii="Times New Roman" w:eastAsia="Times New Roman" w:hAnsi="Times New Roman" w:cs="Times New Roman"/>
                <w:lang w:val="bg-BG" w:eastAsia="bg-BG"/>
              </w:rPr>
              <w:t>2 578 150</w:t>
            </w:r>
          </w:p>
        </w:tc>
        <w:tc>
          <w:tcPr>
            <w:tcW w:w="1276" w:type="dxa"/>
            <w:shd w:val="clear" w:color="auto" w:fill="FFFFFF"/>
            <w:vAlign w:val="center"/>
          </w:tcPr>
          <w:p w14:paraId="245C240E" w14:textId="77777777" w:rsidR="009D4A0E" w:rsidRPr="00610B1B" w:rsidRDefault="009D4A0E" w:rsidP="00D32D6A">
            <w:pPr>
              <w:spacing w:after="0" w:line="240" w:lineRule="auto"/>
              <w:jc w:val="right"/>
              <w:rPr>
                <w:rFonts w:ascii="Times New Roman" w:eastAsia="Times New Roman" w:hAnsi="Times New Roman" w:cs="Times New Roman"/>
                <w:lang w:val="bg-BG" w:eastAsia="bg-BG"/>
              </w:rPr>
            </w:pPr>
            <w:r w:rsidRPr="00610B1B">
              <w:rPr>
                <w:rFonts w:ascii="Times New Roman" w:eastAsia="Times New Roman" w:hAnsi="Times New Roman" w:cs="Times New Roman"/>
                <w:lang w:val="bg-BG" w:eastAsia="bg-BG"/>
              </w:rPr>
              <w:t>2 523 661</w:t>
            </w:r>
          </w:p>
        </w:tc>
        <w:tc>
          <w:tcPr>
            <w:tcW w:w="1559" w:type="dxa"/>
            <w:shd w:val="clear" w:color="auto" w:fill="FFFFFF"/>
            <w:vAlign w:val="center"/>
          </w:tcPr>
          <w:p w14:paraId="7DDFFBFB" w14:textId="77777777" w:rsidR="009D4A0E" w:rsidRPr="00610B1B" w:rsidRDefault="009D4A0E" w:rsidP="00D32D6A">
            <w:pPr>
              <w:spacing w:after="0" w:line="240" w:lineRule="auto"/>
              <w:jc w:val="right"/>
              <w:rPr>
                <w:rFonts w:ascii="Times New Roman" w:eastAsia="Times New Roman" w:hAnsi="Times New Roman" w:cs="Times New Roman"/>
                <w:lang w:val="bg-BG" w:eastAsia="bg-BG"/>
              </w:rPr>
            </w:pPr>
            <w:r w:rsidRPr="00610B1B">
              <w:rPr>
                <w:rFonts w:ascii="Times New Roman" w:eastAsia="Times New Roman" w:hAnsi="Times New Roman" w:cs="Times New Roman"/>
                <w:lang w:val="bg-BG" w:eastAsia="bg-BG"/>
              </w:rPr>
              <w:t>54 489</w:t>
            </w:r>
          </w:p>
        </w:tc>
        <w:tc>
          <w:tcPr>
            <w:tcW w:w="1417" w:type="dxa"/>
            <w:shd w:val="clear" w:color="auto" w:fill="FFFFFF"/>
            <w:vAlign w:val="center"/>
          </w:tcPr>
          <w:p w14:paraId="14D2D6A7" w14:textId="77777777" w:rsidR="009D4A0E" w:rsidRPr="00610B1B" w:rsidRDefault="009D4A0E" w:rsidP="00D32D6A">
            <w:pPr>
              <w:spacing w:after="0" w:line="240" w:lineRule="auto"/>
              <w:jc w:val="right"/>
              <w:rPr>
                <w:rFonts w:ascii="Times New Roman" w:eastAsia="Times New Roman" w:hAnsi="Times New Roman" w:cs="Times New Roman"/>
                <w:lang w:val="bg-BG" w:eastAsia="bg-BG"/>
              </w:rPr>
            </w:pPr>
            <w:r w:rsidRPr="00610B1B">
              <w:rPr>
                <w:rFonts w:ascii="Times New Roman" w:eastAsia="Times New Roman" w:hAnsi="Times New Roman" w:cs="Times New Roman"/>
                <w:lang w:val="bg-BG" w:eastAsia="bg-BG"/>
              </w:rPr>
              <w:t>22.7%</w:t>
            </w:r>
          </w:p>
        </w:tc>
      </w:tr>
      <w:tr w:rsidR="009D4A0E" w:rsidRPr="00610B1B" w14:paraId="0C71CF40" w14:textId="77777777" w:rsidTr="001E3FED">
        <w:trPr>
          <w:trHeight w:val="300"/>
        </w:trPr>
        <w:tc>
          <w:tcPr>
            <w:tcW w:w="2634" w:type="dxa"/>
            <w:shd w:val="clear" w:color="auto" w:fill="FFFFFF"/>
            <w:tcMar>
              <w:left w:w="65" w:type="dxa"/>
            </w:tcMar>
            <w:vAlign w:val="center"/>
          </w:tcPr>
          <w:p w14:paraId="40C7C8A0" w14:textId="77777777" w:rsidR="009D4A0E" w:rsidRPr="00610B1B" w:rsidRDefault="009D4A0E" w:rsidP="00D32D6A">
            <w:pPr>
              <w:spacing w:after="0" w:line="240" w:lineRule="auto"/>
              <w:rPr>
                <w:rFonts w:ascii="Times New Roman" w:eastAsia="Times New Roman" w:hAnsi="Times New Roman" w:cs="Times New Roman"/>
                <w:bCs/>
                <w:lang w:val="bg-BG" w:eastAsia="bg-BG"/>
              </w:rPr>
            </w:pPr>
            <w:r w:rsidRPr="00610B1B">
              <w:rPr>
                <w:rFonts w:ascii="Times New Roman" w:eastAsia="Times New Roman" w:hAnsi="Times New Roman" w:cs="Times New Roman"/>
                <w:bCs/>
                <w:lang w:val="bg-BG" w:eastAsia="bg-BG"/>
              </w:rPr>
              <w:t>Общо Натура 2000</w:t>
            </w:r>
          </w:p>
        </w:tc>
        <w:tc>
          <w:tcPr>
            <w:tcW w:w="850" w:type="dxa"/>
            <w:shd w:val="clear" w:color="auto" w:fill="FFFFFF"/>
            <w:vAlign w:val="center"/>
          </w:tcPr>
          <w:p w14:paraId="4B687D76" w14:textId="77777777" w:rsidR="009D4A0E" w:rsidRPr="00610B1B" w:rsidRDefault="009D4A0E" w:rsidP="00D32D6A">
            <w:pPr>
              <w:spacing w:after="0" w:line="240" w:lineRule="auto"/>
              <w:jc w:val="right"/>
              <w:rPr>
                <w:rFonts w:ascii="Times New Roman" w:eastAsia="Times New Roman" w:hAnsi="Times New Roman" w:cs="Times New Roman"/>
                <w:bCs/>
                <w:lang w:val="bg-BG" w:eastAsia="bg-BG"/>
              </w:rPr>
            </w:pPr>
            <w:r w:rsidRPr="00610B1B">
              <w:rPr>
                <w:rFonts w:ascii="Times New Roman" w:eastAsia="Times New Roman" w:hAnsi="Times New Roman" w:cs="Times New Roman"/>
                <w:bCs/>
                <w:lang w:val="bg-BG" w:eastAsia="bg-BG"/>
              </w:rPr>
              <w:t>339</w:t>
            </w:r>
          </w:p>
        </w:tc>
        <w:tc>
          <w:tcPr>
            <w:tcW w:w="1276" w:type="dxa"/>
            <w:shd w:val="clear" w:color="auto" w:fill="FFFFFF"/>
            <w:vAlign w:val="center"/>
          </w:tcPr>
          <w:p w14:paraId="02A201D2" w14:textId="77777777" w:rsidR="009D4A0E" w:rsidRPr="00610B1B" w:rsidRDefault="009D4A0E" w:rsidP="00D32D6A">
            <w:pPr>
              <w:spacing w:after="0" w:line="240" w:lineRule="auto"/>
              <w:jc w:val="right"/>
              <w:rPr>
                <w:rFonts w:ascii="Times New Roman" w:eastAsia="Times New Roman" w:hAnsi="Times New Roman" w:cs="Times New Roman"/>
                <w:bCs/>
                <w:lang w:val="bg-BG" w:eastAsia="bg-BG"/>
              </w:rPr>
            </w:pPr>
            <w:r w:rsidRPr="00610B1B">
              <w:rPr>
                <w:rFonts w:ascii="Times New Roman" w:eastAsia="Times New Roman" w:hAnsi="Times New Roman" w:cs="Times New Roman"/>
                <w:bCs/>
                <w:lang w:val="bg-BG" w:eastAsia="bg-BG"/>
              </w:rPr>
              <w:t>4 105 306</w:t>
            </w:r>
          </w:p>
        </w:tc>
        <w:tc>
          <w:tcPr>
            <w:tcW w:w="1276" w:type="dxa"/>
            <w:shd w:val="clear" w:color="auto" w:fill="FFFFFF"/>
            <w:vAlign w:val="center"/>
          </w:tcPr>
          <w:p w14:paraId="1C2C82A0" w14:textId="77777777" w:rsidR="009D4A0E" w:rsidRPr="00610B1B" w:rsidRDefault="009D4A0E" w:rsidP="00D32D6A">
            <w:pPr>
              <w:spacing w:after="0" w:line="240" w:lineRule="auto"/>
              <w:jc w:val="right"/>
              <w:rPr>
                <w:rFonts w:ascii="Times New Roman" w:eastAsia="Times New Roman" w:hAnsi="Times New Roman" w:cs="Times New Roman"/>
                <w:bCs/>
                <w:lang w:val="bg-BG" w:eastAsia="bg-BG"/>
              </w:rPr>
            </w:pPr>
            <w:r w:rsidRPr="00610B1B">
              <w:rPr>
                <w:rFonts w:ascii="Times New Roman" w:eastAsia="Times New Roman" w:hAnsi="Times New Roman" w:cs="Times New Roman"/>
                <w:bCs/>
                <w:lang w:val="bg-BG" w:eastAsia="bg-BG"/>
              </w:rPr>
              <w:t>3 823 170</w:t>
            </w:r>
          </w:p>
        </w:tc>
        <w:tc>
          <w:tcPr>
            <w:tcW w:w="1559" w:type="dxa"/>
            <w:shd w:val="clear" w:color="auto" w:fill="FFFFFF"/>
            <w:vAlign w:val="center"/>
          </w:tcPr>
          <w:p w14:paraId="729BE37B" w14:textId="77777777" w:rsidR="009D4A0E" w:rsidRPr="00610B1B" w:rsidRDefault="009D4A0E" w:rsidP="00D32D6A">
            <w:pPr>
              <w:spacing w:after="0" w:line="240" w:lineRule="auto"/>
              <w:jc w:val="right"/>
              <w:rPr>
                <w:rFonts w:ascii="Times New Roman" w:eastAsia="Times New Roman" w:hAnsi="Times New Roman" w:cs="Times New Roman"/>
                <w:bCs/>
                <w:lang w:val="bg-BG" w:eastAsia="bg-BG"/>
              </w:rPr>
            </w:pPr>
            <w:r w:rsidRPr="00610B1B">
              <w:rPr>
                <w:rFonts w:ascii="Times New Roman" w:eastAsia="Times New Roman" w:hAnsi="Times New Roman" w:cs="Times New Roman"/>
                <w:bCs/>
                <w:lang w:val="bg-BG" w:eastAsia="bg-BG"/>
              </w:rPr>
              <w:t>282 135</w:t>
            </w:r>
          </w:p>
        </w:tc>
        <w:tc>
          <w:tcPr>
            <w:tcW w:w="1417" w:type="dxa"/>
            <w:shd w:val="clear" w:color="auto" w:fill="FFFFFF"/>
            <w:vAlign w:val="center"/>
          </w:tcPr>
          <w:p w14:paraId="6172CEBB" w14:textId="77777777" w:rsidR="009D4A0E" w:rsidRPr="00610B1B" w:rsidRDefault="009D4A0E" w:rsidP="00D32D6A">
            <w:pPr>
              <w:spacing w:after="0" w:line="240" w:lineRule="auto"/>
              <w:jc w:val="right"/>
              <w:rPr>
                <w:rFonts w:ascii="Times New Roman" w:eastAsia="Times New Roman" w:hAnsi="Times New Roman" w:cs="Times New Roman"/>
                <w:bCs/>
                <w:lang w:val="bg-BG" w:eastAsia="bg-BG"/>
              </w:rPr>
            </w:pPr>
            <w:r w:rsidRPr="00610B1B">
              <w:rPr>
                <w:rFonts w:ascii="Times New Roman" w:eastAsia="Times New Roman" w:hAnsi="Times New Roman" w:cs="Times New Roman"/>
                <w:bCs/>
                <w:lang w:val="bg-BG" w:eastAsia="bg-BG"/>
              </w:rPr>
              <w:t>34.4%</w:t>
            </w:r>
          </w:p>
        </w:tc>
      </w:tr>
    </w:tbl>
    <w:p w14:paraId="052892A2" w14:textId="784EDD09" w:rsidR="009D4A0E" w:rsidRPr="00610B1B" w:rsidRDefault="009D4A0E" w:rsidP="00EC097D">
      <w:pPr>
        <w:pStyle w:val="Style7"/>
        <w:widowControl/>
        <w:spacing w:before="60" w:after="120" w:line="276" w:lineRule="auto"/>
        <w:ind w:right="-153"/>
        <w:jc w:val="left"/>
        <w:rPr>
          <w:rFonts w:cs="Times New Roman"/>
          <w:sz w:val="22"/>
          <w:szCs w:val="22"/>
          <w:lang w:val="bg-BG"/>
        </w:rPr>
      </w:pPr>
      <w:r w:rsidRPr="00610B1B">
        <w:rPr>
          <w:rFonts w:cs="Times New Roman"/>
          <w:sz w:val="22"/>
          <w:szCs w:val="22"/>
          <w:lang w:val="bg-BG"/>
        </w:rPr>
        <w:t>Източник: ИАОС, 2019</w:t>
      </w:r>
    </w:p>
    <w:p w14:paraId="65F4FD68" w14:textId="4037A175" w:rsidR="009D4A0E" w:rsidRPr="00610B1B" w:rsidRDefault="004F6CE6" w:rsidP="00D32D6A">
      <w:pPr>
        <w:pStyle w:val="Style7"/>
        <w:widowControl/>
        <w:spacing w:after="120" w:line="276" w:lineRule="auto"/>
        <w:ind w:right="-153"/>
        <w:rPr>
          <w:rFonts w:cs="Times New Roman"/>
          <w:b/>
          <w:bCs/>
          <w:sz w:val="22"/>
          <w:szCs w:val="22"/>
          <w:lang w:val="bg-BG"/>
        </w:rPr>
      </w:pPr>
      <w:r w:rsidRPr="00610B1B">
        <w:rPr>
          <w:rFonts w:cs="Times New Roman"/>
          <w:lang w:val="bg-BG"/>
        </w:rPr>
        <w:t xml:space="preserve">Анализът на </w:t>
      </w:r>
      <w:r w:rsidR="00331812" w:rsidRPr="00610B1B">
        <w:rPr>
          <w:rFonts w:cs="Times New Roman"/>
          <w:lang w:val="bg-BG"/>
        </w:rPr>
        <w:t xml:space="preserve">всички </w:t>
      </w:r>
      <w:r w:rsidRPr="00610B1B">
        <w:rPr>
          <w:rFonts w:cs="Times New Roman"/>
          <w:lang w:val="bg-BG"/>
        </w:rPr>
        <w:t xml:space="preserve">защитени зони по двете директиви е изготвен въз основа на данните от </w:t>
      </w:r>
      <w:r w:rsidR="009D4A0E" w:rsidRPr="00610B1B">
        <w:rPr>
          <w:rStyle w:val="FontStyle14"/>
          <w:rFonts w:eastAsia="Source Han Sans CN Regular" w:cs="Times New Roman"/>
          <w:b w:val="0"/>
          <w:bCs/>
          <w:lang w:val="bg-BG"/>
        </w:rPr>
        <w:t>Регистър на защитените територии и защитените зони в България на ИАОС.</w:t>
      </w:r>
      <w:r w:rsidR="009D4A0E" w:rsidRPr="00610B1B">
        <w:rPr>
          <w:rStyle w:val="a4"/>
          <w:rFonts w:cs="Times New Roman"/>
          <w:lang w:val="bg-BG"/>
        </w:rPr>
        <w:footnoteReference w:id="98"/>
      </w:r>
      <w:r w:rsidR="00D66FE0" w:rsidRPr="00610B1B">
        <w:rPr>
          <w:rStyle w:val="FontStyle14"/>
          <w:rFonts w:eastAsia="Source Han Sans CN Regular" w:cs="Times New Roman"/>
          <w:b w:val="0"/>
          <w:bCs/>
          <w:lang w:val="bg-BG"/>
        </w:rPr>
        <w:t xml:space="preserve"> </w:t>
      </w:r>
      <w:r w:rsidRPr="00610B1B">
        <w:rPr>
          <w:rStyle w:val="FontStyle14"/>
          <w:rFonts w:eastAsia="Source Han Sans CN Regular" w:cs="Times New Roman"/>
          <w:b w:val="0"/>
          <w:bCs/>
          <w:lang w:val="bg-BG"/>
        </w:rPr>
        <w:t xml:space="preserve">Представени </w:t>
      </w:r>
      <w:r w:rsidR="00C75124" w:rsidRPr="00610B1B">
        <w:rPr>
          <w:rStyle w:val="FontStyle14"/>
          <w:rFonts w:eastAsia="Source Han Sans CN Regular" w:cs="Times New Roman"/>
          <w:b w:val="0"/>
          <w:bCs/>
          <w:lang w:val="bg-BG"/>
        </w:rPr>
        <w:t xml:space="preserve">са </w:t>
      </w:r>
      <w:r w:rsidRPr="00610B1B">
        <w:rPr>
          <w:rStyle w:val="FontStyle14"/>
          <w:rFonts w:eastAsia="Source Han Sans CN Regular" w:cs="Times New Roman"/>
          <w:b w:val="0"/>
          <w:bCs/>
          <w:lang w:val="bg-BG"/>
        </w:rPr>
        <w:t xml:space="preserve">само онези, които принадлежат към морското пространство. </w:t>
      </w:r>
    </w:p>
    <w:p w14:paraId="4741826B" w14:textId="0FE4BFA3" w:rsidR="009D4A0E" w:rsidRPr="00610B1B" w:rsidRDefault="009D4A0E" w:rsidP="00D32D6A">
      <w:pPr>
        <w:pStyle w:val="BodyText"/>
        <w:spacing w:before="0" w:after="120" w:line="276" w:lineRule="auto"/>
        <w:ind w:right="-153"/>
        <w:rPr>
          <w:rFonts w:cs="Times New Roman"/>
        </w:rPr>
      </w:pPr>
      <w:r w:rsidRPr="00610B1B">
        <w:rPr>
          <w:rStyle w:val="FontStyle14"/>
          <w:rFonts w:eastAsia="Source Han Sans CN Regular" w:cs="Times New Roman"/>
        </w:rPr>
        <w:t xml:space="preserve">Защитена зона </w:t>
      </w:r>
      <w:r w:rsidR="00744CB1" w:rsidRPr="00610B1B">
        <w:rPr>
          <w:rStyle w:val="FontStyle14"/>
          <w:rFonts w:eastAsia="Source Han Sans CN Regular" w:cs="Times New Roman"/>
        </w:rPr>
        <w:t xml:space="preserve">BG0000573 </w:t>
      </w:r>
      <w:r w:rsidRPr="00610B1B">
        <w:rPr>
          <w:rStyle w:val="FontStyle14"/>
          <w:rFonts w:eastAsia="Source Han Sans CN Regular" w:cs="Times New Roman"/>
        </w:rPr>
        <w:t>„Комплекс Калиакра“</w:t>
      </w:r>
      <w:r w:rsidR="004F6CE6" w:rsidRPr="00610B1B">
        <w:rPr>
          <w:rStyle w:val="FontStyle14"/>
          <w:rFonts w:eastAsia="Source Han Sans CN Regular" w:cs="Times New Roman"/>
        </w:rPr>
        <w:t xml:space="preserve"> </w:t>
      </w:r>
      <w:r w:rsidR="00524D30" w:rsidRPr="00610B1B">
        <w:rPr>
          <w:rStyle w:val="FontStyle14"/>
          <w:rFonts w:eastAsia="Source Han Sans CN Regular" w:cs="Times New Roman"/>
          <w:b w:val="0"/>
          <w:bCs/>
        </w:rPr>
        <w:t xml:space="preserve">за опазване на </w:t>
      </w:r>
      <w:r w:rsidR="00744CB1" w:rsidRPr="00610B1B">
        <w:rPr>
          <w:rStyle w:val="FontStyle14"/>
          <w:rFonts w:eastAsia="Source Han Sans CN Regular" w:cs="Times New Roman"/>
          <w:b w:val="0"/>
          <w:bCs/>
        </w:rPr>
        <w:t xml:space="preserve">природните </w:t>
      </w:r>
      <w:r w:rsidR="00524D30" w:rsidRPr="00610B1B">
        <w:rPr>
          <w:rStyle w:val="FontStyle14"/>
          <w:rFonts w:eastAsia="Source Han Sans CN Regular" w:cs="Times New Roman"/>
          <w:b w:val="0"/>
          <w:bCs/>
        </w:rPr>
        <w:t>местообитания</w:t>
      </w:r>
      <w:r w:rsidR="00744CB1" w:rsidRPr="00610B1B">
        <w:rPr>
          <w:rStyle w:val="FontStyle14"/>
          <w:rFonts w:eastAsia="Source Han Sans CN Regular" w:cs="Times New Roman"/>
          <w:b w:val="0"/>
          <w:bCs/>
        </w:rPr>
        <w:t xml:space="preserve"> и на дивата флора и фауна</w:t>
      </w:r>
      <w:r w:rsidR="00524D30" w:rsidRPr="00610B1B">
        <w:rPr>
          <w:rStyle w:val="FontStyle14"/>
          <w:rFonts w:eastAsia="Source Han Sans CN Regular" w:cs="Times New Roman"/>
        </w:rPr>
        <w:t xml:space="preserve"> </w:t>
      </w:r>
      <w:r w:rsidRPr="00610B1B">
        <w:rPr>
          <w:rStyle w:val="FontStyle13"/>
          <w:rFonts w:eastAsia="Source Han Sans CN Regular" w:cs="Times New Roman"/>
          <w:sz w:val="24"/>
        </w:rPr>
        <w:t>e обявена със Заповед № РД-815/12.12.2017 г. на основание чл. 12 ал. 6 и чл. 6 ал. 1, т.1 и 2 от Закона за биологичното разнообразие</w:t>
      </w:r>
      <w:r w:rsidR="00D66FE0" w:rsidRPr="00610B1B">
        <w:rPr>
          <w:rStyle w:val="FontStyle13"/>
          <w:rFonts w:eastAsia="Source Han Sans CN Regular" w:cs="Times New Roman"/>
          <w:sz w:val="24"/>
        </w:rPr>
        <w:t xml:space="preserve"> </w:t>
      </w:r>
      <w:r w:rsidRPr="00610B1B">
        <w:rPr>
          <w:rStyle w:val="FontStyle13"/>
          <w:rFonts w:eastAsia="Source Han Sans CN Regular" w:cs="Times New Roman"/>
          <w:sz w:val="24"/>
        </w:rPr>
        <w:t>и Решения на Министерски съвет съответно от 2007, 2008 и 2013 г.</w:t>
      </w:r>
      <w:r w:rsidR="00C75124" w:rsidRPr="00610B1B">
        <w:rPr>
          <w:rStyle w:val="FontStyle13"/>
          <w:rFonts w:eastAsia="Source Han Sans CN Regular" w:cs="Times New Roman"/>
          <w:sz w:val="24"/>
        </w:rPr>
        <w:t xml:space="preserve"> Тя</w:t>
      </w:r>
      <w:r w:rsidRPr="00610B1B">
        <w:rPr>
          <w:rStyle w:val="FontStyle13"/>
          <w:rFonts w:eastAsia="Source Han Sans CN Regular" w:cs="Times New Roman"/>
          <w:sz w:val="24"/>
        </w:rPr>
        <w:t xml:space="preserve"> обхваща обща площ от 48 336</w:t>
      </w:r>
      <w:r w:rsidR="00C75124" w:rsidRPr="00610B1B">
        <w:rPr>
          <w:rStyle w:val="FontStyle13"/>
          <w:rFonts w:eastAsia="Source Han Sans CN Regular" w:cs="Times New Roman"/>
          <w:sz w:val="24"/>
        </w:rPr>
        <w:t>,</w:t>
      </w:r>
      <w:r w:rsidRPr="00610B1B">
        <w:rPr>
          <w:rStyle w:val="FontStyle13"/>
          <w:rFonts w:eastAsia="Source Han Sans CN Regular" w:cs="Times New Roman"/>
          <w:sz w:val="24"/>
        </w:rPr>
        <w:t xml:space="preserve">27 ha от територията на общините Шабла, Каварна и Добрич, от които </w:t>
      </w:r>
      <w:r w:rsidR="00C75124" w:rsidRPr="00610B1B">
        <w:rPr>
          <w:rStyle w:val="FontStyle13"/>
          <w:rFonts w:eastAsia="Source Han Sans CN Regular" w:cs="Times New Roman"/>
          <w:sz w:val="24"/>
        </w:rPr>
        <w:t>90,5%</w:t>
      </w:r>
      <w:r w:rsidRPr="00610B1B">
        <w:rPr>
          <w:rStyle w:val="FontStyle13"/>
          <w:rFonts w:eastAsia="Source Han Sans CN Regular" w:cs="Times New Roman"/>
          <w:sz w:val="24"/>
        </w:rPr>
        <w:t xml:space="preserve"> морска акватория.</w:t>
      </w:r>
      <w:r w:rsidR="00D66FE0" w:rsidRPr="00610B1B">
        <w:rPr>
          <w:rStyle w:val="FontStyle13"/>
          <w:rFonts w:eastAsia="Source Han Sans CN Regular" w:cs="Times New Roman"/>
          <w:sz w:val="24"/>
        </w:rPr>
        <w:t xml:space="preserve"> </w:t>
      </w:r>
      <w:r w:rsidRPr="00610B1B">
        <w:rPr>
          <w:rStyle w:val="FontStyle13"/>
          <w:rFonts w:eastAsia="Source Han Sans CN Regular" w:cs="Times New Roman"/>
          <w:sz w:val="24"/>
        </w:rPr>
        <w:t xml:space="preserve">Дължината на крайбрежната линия е около 34 km. Крайбрежието от с. </w:t>
      </w:r>
      <w:r w:rsidRPr="00610B1B">
        <w:rPr>
          <w:rStyle w:val="FontStyle13"/>
          <w:rFonts w:eastAsia="Source Han Sans CN Regular" w:cs="Times New Roman"/>
          <w:sz w:val="24"/>
        </w:rPr>
        <w:lastRenderedPageBreak/>
        <w:t>Тюленово до н</w:t>
      </w:r>
      <w:r w:rsidR="00362E25" w:rsidRPr="00610B1B">
        <w:rPr>
          <w:rStyle w:val="FontStyle13"/>
          <w:rFonts w:eastAsia="Source Han Sans CN Regular" w:cs="Times New Roman"/>
          <w:sz w:val="24"/>
        </w:rPr>
        <w:t>ос</w:t>
      </w:r>
      <w:r w:rsidRPr="00610B1B">
        <w:rPr>
          <w:rStyle w:val="FontStyle13"/>
          <w:rFonts w:eastAsia="Source Han Sans CN Regular" w:cs="Times New Roman"/>
          <w:sz w:val="24"/>
        </w:rPr>
        <w:t xml:space="preserve"> Калиакра се отличава с клифов бряг със средна височина 40 m </w:t>
      </w:r>
      <w:r w:rsidRPr="00610B1B">
        <w:rPr>
          <w:rStyle w:val="FontStyle13"/>
          <w:rFonts w:eastAsia="Source Han Sans CN Regular" w:cs="Times New Roman"/>
          <w:iCs/>
          <w:sz w:val="24"/>
        </w:rPr>
        <w:t>(</w:t>
      </w:r>
      <w:r w:rsidRPr="00610B1B">
        <w:rPr>
          <w:rStyle w:val="FontStyle13"/>
          <w:rFonts w:eastAsia="Source Han Sans CN Regular" w:cs="Times New Roman"/>
          <w:sz w:val="24"/>
        </w:rPr>
        <w:t>максимална височина 65 m при н</w:t>
      </w:r>
      <w:r w:rsidR="00C75124" w:rsidRPr="00610B1B">
        <w:rPr>
          <w:rStyle w:val="FontStyle13"/>
          <w:rFonts w:eastAsia="Source Han Sans CN Regular" w:cs="Times New Roman"/>
          <w:sz w:val="24"/>
        </w:rPr>
        <w:t>ос</w:t>
      </w:r>
      <w:r w:rsidRPr="00610B1B">
        <w:rPr>
          <w:rStyle w:val="FontStyle13"/>
          <w:rFonts w:eastAsia="Source Han Sans CN Regular" w:cs="Times New Roman"/>
          <w:sz w:val="24"/>
        </w:rPr>
        <w:t xml:space="preserve"> Калиакра</w:t>
      </w:r>
      <w:r w:rsidRPr="00610B1B">
        <w:rPr>
          <w:rStyle w:val="FontStyle13"/>
          <w:rFonts w:eastAsia="Source Han Sans CN Regular" w:cs="Times New Roman"/>
          <w:iCs/>
          <w:sz w:val="24"/>
        </w:rPr>
        <w:t>)</w:t>
      </w:r>
      <w:r w:rsidRPr="00610B1B">
        <w:rPr>
          <w:rStyle w:val="FontStyle13"/>
          <w:rFonts w:eastAsia="Source Han Sans CN Regular" w:cs="Times New Roman"/>
          <w:sz w:val="24"/>
        </w:rPr>
        <w:t xml:space="preserve"> и експозиция </w:t>
      </w:r>
      <w:r w:rsidR="00C75124" w:rsidRPr="00610B1B">
        <w:rPr>
          <w:rStyle w:val="FontStyle13"/>
          <w:rFonts w:eastAsia="Source Han Sans CN Regular" w:cs="Times New Roman"/>
          <w:sz w:val="24"/>
        </w:rPr>
        <w:t>североизток-изток</w:t>
      </w:r>
      <w:r w:rsidRPr="00610B1B">
        <w:rPr>
          <w:rStyle w:val="FontStyle13"/>
          <w:rFonts w:eastAsia="Source Han Sans CN Regular" w:cs="Times New Roman"/>
          <w:sz w:val="24"/>
        </w:rPr>
        <w:t>. Брегът и подводн</w:t>
      </w:r>
      <w:r w:rsidR="00362E25" w:rsidRPr="00610B1B">
        <w:rPr>
          <w:rStyle w:val="FontStyle13"/>
          <w:rFonts w:eastAsia="Source Han Sans CN Regular" w:cs="Times New Roman"/>
          <w:sz w:val="24"/>
        </w:rPr>
        <w:t>ият</w:t>
      </w:r>
      <w:r w:rsidRPr="00610B1B">
        <w:rPr>
          <w:rStyle w:val="FontStyle13"/>
          <w:rFonts w:eastAsia="Source Han Sans CN Regular" w:cs="Times New Roman"/>
          <w:sz w:val="24"/>
        </w:rPr>
        <w:t xml:space="preserve"> брегови склон са стръмни, изградени от устойчиви на вълнова абразия кавернозни варовици. Пясъчното дъно е с преобладаваща дребнозърнеста пясъчна фракция, простираща се до 1000-1500 m от бреговата линия. Към дълбоководието следват песъчливата тиня и тинести материали. Между н</w:t>
      </w:r>
      <w:r w:rsidR="00C75124" w:rsidRPr="00610B1B">
        <w:rPr>
          <w:rStyle w:val="FontStyle13"/>
          <w:rFonts w:eastAsia="Source Han Sans CN Regular" w:cs="Times New Roman"/>
          <w:sz w:val="24"/>
        </w:rPr>
        <w:t>ос</w:t>
      </w:r>
      <w:r w:rsidRPr="00610B1B">
        <w:rPr>
          <w:rStyle w:val="FontStyle13"/>
          <w:rFonts w:eastAsia="Source Han Sans CN Regular" w:cs="Times New Roman"/>
          <w:sz w:val="24"/>
        </w:rPr>
        <w:t xml:space="preserve"> Калиакра и Батовска долина преобладава свлачищен бряг със средна височина на клифа 17 m</w:t>
      </w:r>
      <w:r w:rsidR="00362E25" w:rsidRPr="00610B1B">
        <w:rPr>
          <w:rStyle w:val="FontStyle13"/>
          <w:rFonts w:eastAsia="Source Han Sans CN Regular" w:cs="Times New Roman"/>
          <w:sz w:val="24"/>
        </w:rPr>
        <w:t xml:space="preserve"> и</w:t>
      </w:r>
      <w:r w:rsidRPr="00610B1B">
        <w:rPr>
          <w:rStyle w:val="FontStyle13"/>
          <w:rFonts w:eastAsia="Source Han Sans CN Regular" w:cs="Times New Roman"/>
          <w:sz w:val="24"/>
        </w:rPr>
        <w:t xml:space="preserve"> южна експозиция. Скалното дъно, простиращо се средно до 350 m от бреговата линия, е изградено от свлечени варовици, варовити пясъчници и мергели. Тези типове скали са характерно местообитание за мидите каменопробивачи </w:t>
      </w:r>
      <w:r w:rsidRPr="00610B1B">
        <w:rPr>
          <w:rStyle w:val="FontStyle12"/>
          <w:rFonts w:eastAsia="Source Han Sans CN Regular" w:cs="Times New Roman"/>
          <w:i/>
          <w:iCs/>
        </w:rPr>
        <w:t>Pholas dactylus</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и </w:t>
      </w:r>
      <w:r w:rsidRPr="00610B1B">
        <w:rPr>
          <w:rStyle w:val="FontStyle12"/>
          <w:rFonts w:eastAsia="Source Han Sans CN Regular" w:cs="Times New Roman"/>
          <w:i/>
          <w:iCs/>
        </w:rPr>
        <w:t>Barnea Candida</w:t>
      </w:r>
      <w:r w:rsidRPr="00610B1B">
        <w:rPr>
          <w:rStyle w:val="FontStyle12"/>
          <w:rFonts w:eastAsia="Source Han Sans CN Regular" w:cs="Times New Roman"/>
        </w:rPr>
        <w:t xml:space="preserve">. </w:t>
      </w:r>
      <w:r w:rsidRPr="00610B1B">
        <w:rPr>
          <w:rStyle w:val="FontStyle13"/>
          <w:rFonts w:eastAsia="Source Han Sans CN Regular" w:cs="Times New Roman"/>
          <w:sz w:val="24"/>
        </w:rPr>
        <w:t>До 600 m от брега, дъното е покрито с едрозърнести, черупчести материали с мощност над 1 m. След пясъчните материали се простират песъчливо</w:t>
      </w:r>
      <w:r w:rsidR="00E04172" w:rsidRPr="00E63187">
        <w:rPr>
          <w:rStyle w:val="FontStyle13"/>
          <w:rFonts w:eastAsia="Source Han Sans CN Regular" w:cs="Times New Roman"/>
          <w:sz w:val="24"/>
        </w:rPr>
        <w:t>-</w:t>
      </w:r>
      <w:r w:rsidRPr="00610B1B">
        <w:rPr>
          <w:rStyle w:val="FontStyle13"/>
          <w:rFonts w:eastAsia="Source Han Sans CN Regular" w:cs="Times New Roman"/>
          <w:sz w:val="24"/>
        </w:rPr>
        <w:t>тинести и тинести материали с мощност &gt;3</w:t>
      </w:r>
      <w:r w:rsidR="00595F51" w:rsidRPr="00610B1B">
        <w:rPr>
          <w:rStyle w:val="FontStyle13"/>
          <w:rFonts w:eastAsia="Source Han Sans CN Regular" w:cs="Times New Roman"/>
          <w:sz w:val="24"/>
        </w:rPr>
        <w:t> </w:t>
      </w:r>
      <w:r w:rsidRPr="00610B1B">
        <w:rPr>
          <w:rStyle w:val="FontStyle13"/>
          <w:rFonts w:eastAsia="Source Han Sans CN Regular" w:cs="Times New Roman"/>
          <w:sz w:val="24"/>
        </w:rPr>
        <w:t xml:space="preserve">m. </w:t>
      </w:r>
    </w:p>
    <w:p w14:paraId="37350AA7" w14:textId="2E516E94" w:rsidR="009D4A0E" w:rsidRPr="00610B1B" w:rsidRDefault="009D4A0E" w:rsidP="00D32D6A">
      <w:pPr>
        <w:pStyle w:val="BodyText"/>
        <w:spacing w:before="0" w:after="120" w:line="276" w:lineRule="auto"/>
        <w:ind w:right="-153"/>
        <w:rPr>
          <w:rFonts w:cs="Times New Roman"/>
        </w:rPr>
      </w:pPr>
      <w:r w:rsidRPr="00610B1B">
        <w:rPr>
          <w:rStyle w:val="FontStyle13"/>
          <w:rFonts w:eastAsia="Source Han Sans CN Regular" w:cs="Times New Roman"/>
          <w:sz w:val="24"/>
        </w:rPr>
        <w:t>Зоната включва соленото езеро Тузлата, разделено на две части от изкуствена дига и</w:t>
      </w:r>
      <w:r w:rsidR="00D66FE0" w:rsidRPr="00610B1B">
        <w:rPr>
          <w:rStyle w:val="FontStyle13"/>
          <w:rFonts w:eastAsia="Source Han Sans CN Regular" w:cs="Times New Roman"/>
          <w:sz w:val="24"/>
        </w:rPr>
        <w:t xml:space="preserve"> </w:t>
      </w:r>
      <w:r w:rsidR="00362E25" w:rsidRPr="00610B1B">
        <w:rPr>
          <w:rStyle w:val="FontStyle13"/>
          <w:rFonts w:eastAsia="Source Han Sans CN Regular" w:cs="Times New Roman"/>
          <w:sz w:val="24"/>
        </w:rPr>
        <w:t>от</w:t>
      </w:r>
      <w:r w:rsidRPr="00610B1B">
        <w:rPr>
          <w:rStyle w:val="FontStyle13"/>
          <w:rFonts w:eastAsia="Source Han Sans CN Regular" w:cs="Times New Roman"/>
          <w:sz w:val="24"/>
        </w:rPr>
        <w:t xml:space="preserve">делено от морето с ниска каменна стена, през която минава канал. Площта на езерото е 9 ha. Пясъчната ивица се използва </w:t>
      </w:r>
      <w:r w:rsidR="00362E25" w:rsidRPr="00610B1B">
        <w:rPr>
          <w:rStyle w:val="FontStyle13"/>
          <w:rFonts w:eastAsia="Source Han Sans CN Regular" w:cs="Times New Roman"/>
          <w:sz w:val="24"/>
        </w:rPr>
        <w:t>за</w:t>
      </w:r>
      <w:r w:rsidRPr="00610B1B">
        <w:rPr>
          <w:rStyle w:val="FontStyle13"/>
          <w:rFonts w:eastAsia="Source Han Sans CN Regular" w:cs="Times New Roman"/>
          <w:sz w:val="24"/>
        </w:rPr>
        <w:t xml:space="preserve"> плаж. Морският бряг се използва за любителски и за ограничен професионален риболов. Друго много солено езеро е Наневска тузла, което се състои от две части и е заобиколено с широколистни гори и континентални степи и скали. Районът е с най-добра представителност на степни хабитати от липа, крайбрежни клифови и пещерни хабитати в цялата страна. Индустриални замърсители липсват, което се отразява положително върху състоянието на екосистемите, включително и на морските. Важна отличителна черта е наличието на многобройни археологични паметници на културата </w:t>
      </w:r>
      <w:r w:rsidRPr="00610B1B">
        <w:rPr>
          <w:rStyle w:val="FontStyle13"/>
          <w:rFonts w:eastAsia="Source Han Sans CN Regular" w:cs="Times New Roman"/>
          <w:iCs/>
          <w:sz w:val="24"/>
        </w:rPr>
        <w:t>(</w:t>
      </w:r>
      <w:r w:rsidRPr="00610B1B">
        <w:rPr>
          <w:rStyle w:val="FontStyle13"/>
          <w:rFonts w:eastAsia="Source Han Sans CN Regular" w:cs="Times New Roman"/>
          <w:sz w:val="24"/>
        </w:rPr>
        <w:t>тракийски, гръцки, римски, средновековни</w:t>
      </w:r>
      <w:r w:rsidRPr="00610B1B">
        <w:rPr>
          <w:rStyle w:val="FontStyle13"/>
          <w:rFonts w:eastAsia="Source Han Sans CN Regular" w:cs="Times New Roman"/>
          <w:iCs/>
          <w:sz w:val="24"/>
        </w:rPr>
        <w:t>)</w:t>
      </w:r>
      <w:r w:rsidR="00362E25" w:rsidRPr="00610B1B">
        <w:rPr>
          <w:rStyle w:val="FontStyle13"/>
          <w:rFonts w:eastAsia="Source Han Sans CN Regular" w:cs="Times New Roman"/>
          <w:iCs/>
          <w:sz w:val="24"/>
        </w:rPr>
        <w:t xml:space="preserve"> </w:t>
      </w:r>
      <w:r w:rsidRPr="00610B1B">
        <w:rPr>
          <w:rStyle w:val="FontStyle13"/>
          <w:rFonts w:eastAsia="Source Han Sans CN Regular" w:cs="Times New Roman"/>
          <w:sz w:val="24"/>
        </w:rPr>
        <w:t>по цялата територия, но с най-голяма концентрация на нос Калиакра, Чаракманското възвишение и в района на Яйлата.</w:t>
      </w:r>
    </w:p>
    <w:p w14:paraId="08E682F6" w14:textId="77777777" w:rsidR="009D4A0E" w:rsidRPr="00610B1B" w:rsidRDefault="009D4A0E" w:rsidP="00D32D6A">
      <w:pPr>
        <w:pStyle w:val="BodyText"/>
        <w:spacing w:before="0" w:after="120" w:line="276" w:lineRule="auto"/>
        <w:ind w:right="-153"/>
        <w:rPr>
          <w:rFonts w:cs="Times New Roman"/>
        </w:rPr>
      </w:pPr>
      <w:r w:rsidRPr="00610B1B">
        <w:rPr>
          <w:rStyle w:val="FontStyle13"/>
          <w:rFonts w:eastAsia="Source Han Sans CN Regular" w:cs="Times New Roman"/>
          <w:sz w:val="24"/>
        </w:rPr>
        <w:t>Предмет на опазване в зоната са 18 природни местообитания и 39 вида животни и 3 вида растения. С най-голяма значимост е природно местообитание</w:t>
      </w:r>
      <w:r w:rsidRPr="00610B1B">
        <w:rPr>
          <w:rFonts w:cs="Times New Roman"/>
        </w:rPr>
        <w:t xml:space="preserve"> </w:t>
      </w:r>
      <w:r w:rsidRPr="00610B1B">
        <w:rPr>
          <w:rStyle w:val="FontStyle13"/>
          <w:rFonts w:eastAsia="Source Han Sans CN Regular" w:cs="Times New Roman"/>
          <w:sz w:val="24"/>
        </w:rPr>
        <w:t>62С0* „Понто-Сарматски степи“, причина и за наказателната процедура на ЕК срещу България от 2016 г., поради унищожаването му при изграждането на повече от 100 ветрогенератора и голф-игрище.</w:t>
      </w:r>
    </w:p>
    <w:p w14:paraId="0E3AC620" w14:textId="3238CA02" w:rsidR="009D4A0E" w:rsidRPr="00610B1B" w:rsidRDefault="009D4A0E" w:rsidP="00D32D6A">
      <w:pPr>
        <w:pStyle w:val="BodyText"/>
        <w:spacing w:before="0" w:after="120" w:line="276" w:lineRule="auto"/>
        <w:ind w:right="-153"/>
        <w:rPr>
          <w:rFonts w:cs="Times New Roman"/>
        </w:rPr>
      </w:pPr>
      <w:r w:rsidRPr="00610B1B">
        <w:rPr>
          <w:rStyle w:val="FontStyle13"/>
          <w:rFonts w:eastAsia="Source Han Sans CN Regular" w:cs="Times New Roman"/>
          <w:sz w:val="24"/>
        </w:rPr>
        <w:t>В изготвения от ИБЕИ-БАН Интегриран план за управление</w:t>
      </w:r>
      <w:r w:rsidRPr="00610B1B">
        <w:rPr>
          <w:rStyle w:val="a4"/>
          <w:rFonts w:cs="Times New Roman"/>
        </w:rPr>
        <w:footnoteReference w:id="99"/>
      </w:r>
      <w:r w:rsidRPr="00610B1B">
        <w:rPr>
          <w:rStyle w:val="FontStyle13"/>
          <w:rFonts w:eastAsia="Source Han Sans CN Regular" w:cs="Times New Roman"/>
          <w:sz w:val="24"/>
        </w:rPr>
        <w:t xml:space="preserve"> на защитена зона SCI BG0000573 „Комплекс Калиакра“ за опазване на природните местообитания и на дивата флора и фауна и защитени зони SPA BG0002051 „Калиакра“ и SPA BG0002097 „Белите скали“ за опазване на дивите птици са заложени ограничения, които целят възстановяване на състоянието</w:t>
      </w:r>
      <w:r w:rsidR="009A5AFE" w:rsidRPr="00610B1B">
        <w:rPr>
          <w:rStyle w:val="FontStyle13"/>
          <w:rFonts w:eastAsia="Source Han Sans CN Regular" w:cs="Times New Roman"/>
          <w:sz w:val="24"/>
        </w:rPr>
        <w:t>,</w:t>
      </w:r>
      <w:r w:rsidRPr="00610B1B">
        <w:rPr>
          <w:rStyle w:val="FontStyle13"/>
          <w:rFonts w:eastAsia="Source Han Sans CN Regular" w:cs="Times New Roman"/>
          <w:sz w:val="24"/>
        </w:rPr>
        <w:t xml:space="preserve"> изпълнение на препоръките на ЕК и опазване на доброто екологично състояние на морската среда. В предвидените забрани попадат </w:t>
      </w:r>
      <w:r w:rsidRPr="00610B1B">
        <w:rPr>
          <w:rFonts w:cs="Times New Roman"/>
        </w:rPr>
        <w:t xml:space="preserve">депонирането на драгажни маси, пребаластирането на кораби в морските пространства в зоната; изграждането на изкуствени подводни рифове и острови върху местообитанията, предмет на опазване; търсенето и проучването на полезни изкопаеми, разкриването на нови и разширяването на концесионните площи за добив на строителни и скалнооблицовъчни материали; увреждането и унищожаването на естествената растителност в крайбрежната плажна ивица и в дюни извън активната плажна площ, освен при почистване от инвазивни и неместни видове; промени в хидрологичния режим чрез отводняване, коригиране, </w:t>
      </w:r>
      <w:r w:rsidRPr="00610B1B">
        <w:rPr>
          <w:rFonts w:cs="Times New Roman"/>
        </w:rPr>
        <w:lastRenderedPageBreak/>
        <w:t>преграждане с диги в границите на водозависимите природни местообитания; употребата на минерални торове в ливади, пасища и мери; строителството на територията, в която е разпространено природно местообитание 62C0*</w:t>
      </w:r>
      <w:r w:rsidR="00362E25" w:rsidRPr="00610B1B">
        <w:rPr>
          <w:rFonts w:cs="Times New Roman"/>
        </w:rPr>
        <w:t xml:space="preserve"> </w:t>
      </w:r>
      <w:r w:rsidRPr="00610B1B">
        <w:rPr>
          <w:rFonts w:cs="Times New Roman"/>
        </w:rPr>
        <w:t>Понто-Сарматски степи; разораването, залесяването и създаването на трайни насаждения; благоустрояването, стопанската и спортната дейност в пещерите; повреждането на скални и пещерни образувания; провеждането на спелеоложки проучвания</w:t>
      </w:r>
      <w:r w:rsidR="00D66FE0" w:rsidRPr="00610B1B">
        <w:rPr>
          <w:rFonts w:cs="Times New Roman"/>
        </w:rPr>
        <w:t xml:space="preserve"> </w:t>
      </w:r>
      <w:r w:rsidRPr="00610B1B">
        <w:rPr>
          <w:rFonts w:cs="Times New Roman"/>
        </w:rPr>
        <w:t>от 1 март до 30 юни; въвеждането на неместни растителни видове; умишлено внасяне на чужди видове</w:t>
      </w:r>
      <w:r w:rsidR="00DE5152" w:rsidRPr="00610B1B">
        <w:rPr>
          <w:rFonts w:cs="Times New Roman"/>
        </w:rPr>
        <w:t xml:space="preserve"> в морската среда</w:t>
      </w:r>
      <w:r w:rsidRPr="00610B1B">
        <w:rPr>
          <w:rFonts w:cs="Times New Roman"/>
        </w:rPr>
        <w:t>. Движението през територията се разрешава само по наличните транспортни и стопански пътища.</w:t>
      </w:r>
      <w:r w:rsidR="00D66FE0" w:rsidRPr="00610B1B">
        <w:rPr>
          <w:rFonts w:cs="Times New Roman"/>
        </w:rPr>
        <w:t xml:space="preserve"> </w:t>
      </w:r>
    </w:p>
    <w:p w14:paraId="7FCF7A49" w14:textId="77777777" w:rsidR="009D4A0E" w:rsidRPr="00610B1B" w:rsidRDefault="009D4A0E" w:rsidP="00D32D6A">
      <w:pPr>
        <w:pStyle w:val="BodyText"/>
        <w:spacing w:before="0" w:after="120" w:line="276" w:lineRule="auto"/>
        <w:ind w:right="-153"/>
        <w:rPr>
          <w:rFonts w:cs="Times New Roman"/>
        </w:rPr>
      </w:pPr>
      <w:r w:rsidRPr="00610B1B">
        <w:rPr>
          <w:rFonts w:cs="Times New Roman"/>
        </w:rPr>
        <w:t xml:space="preserve">Страната ни има ангажимента да наблюдава настъпващите промени и да докладва за настъпилите възстановителни процеси в резултат на предвидените мерки. </w:t>
      </w:r>
    </w:p>
    <w:p w14:paraId="16DB8C18" w14:textId="228D65AE" w:rsidR="009D4A0E" w:rsidRPr="00610B1B" w:rsidRDefault="009D4A0E" w:rsidP="00D32D6A">
      <w:pPr>
        <w:pStyle w:val="BodyText"/>
        <w:spacing w:before="0" w:after="120" w:line="276" w:lineRule="auto"/>
        <w:ind w:right="-153"/>
        <w:rPr>
          <w:rFonts w:cs="Times New Roman"/>
        </w:rPr>
      </w:pPr>
      <w:r w:rsidRPr="00610B1B">
        <w:rPr>
          <w:rStyle w:val="FontStyle14"/>
          <w:rFonts w:eastAsia="Source Han Sans CN Regular" w:cs="Times New Roman"/>
        </w:rPr>
        <w:t xml:space="preserve">Защитена зона </w:t>
      </w:r>
      <w:r w:rsidR="00744CB1" w:rsidRPr="00610B1B">
        <w:rPr>
          <w:rStyle w:val="FontStyle14"/>
          <w:rFonts w:eastAsia="Source Han Sans CN Regular" w:cs="Times New Roman"/>
        </w:rPr>
        <w:t xml:space="preserve">BG0001501 </w:t>
      </w:r>
      <w:r w:rsidRPr="00610B1B">
        <w:rPr>
          <w:rStyle w:val="FontStyle14"/>
          <w:rFonts w:eastAsia="Source Han Sans CN Regular" w:cs="Times New Roman"/>
        </w:rPr>
        <w:t>„Емона“</w:t>
      </w:r>
      <w:r w:rsidR="00744CB1" w:rsidRPr="00610B1B">
        <w:rPr>
          <w:rStyle w:val="FontStyle14"/>
          <w:rFonts w:eastAsia="Source Han Sans CN Regular" w:cs="Times New Roman"/>
        </w:rPr>
        <w:t xml:space="preserve"> </w:t>
      </w:r>
      <w:r w:rsidR="00744CB1" w:rsidRPr="00610B1B">
        <w:rPr>
          <w:rStyle w:val="FontStyle14"/>
          <w:rFonts w:eastAsia="Source Han Sans CN Regular" w:cs="Times New Roman"/>
          <w:b w:val="0"/>
        </w:rPr>
        <w:t>за опазване на природните местообитания и на дивата флора и фауна</w:t>
      </w:r>
      <w:r w:rsidR="004F6CE6" w:rsidRPr="00610B1B">
        <w:rPr>
          <w:rFonts w:cs="Times New Roman"/>
        </w:rPr>
        <w:t xml:space="preserve"> </w:t>
      </w:r>
      <w:r w:rsidRPr="00610B1B">
        <w:rPr>
          <w:rStyle w:val="FontStyle13"/>
          <w:rFonts w:eastAsia="Source Han Sans CN Regular" w:cs="Times New Roman"/>
          <w:sz w:val="24"/>
        </w:rPr>
        <w:t>се намира в община Бургас и е с площ</w:t>
      </w:r>
      <w:r w:rsidRPr="00610B1B">
        <w:rPr>
          <w:rFonts w:cs="Times New Roman"/>
        </w:rPr>
        <w:t xml:space="preserve"> </w:t>
      </w:r>
      <w:r w:rsidRPr="00610B1B">
        <w:rPr>
          <w:rStyle w:val="FontStyle13"/>
          <w:rFonts w:eastAsia="Source Han Sans CN Regular" w:cs="Times New Roman"/>
          <w:sz w:val="24"/>
        </w:rPr>
        <w:t>55 345</w:t>
      </w:r>
      <w:r w:rsidR="009A5AFE" w:rsidRPr="00610B1B">
        <w:rPr>
          <w:rStyle w:val="FontStyle13"/>
          <w:rFonts w:eastAsia="Source Han Sans CN Regular" w:cs="Times New Roman"/>
          <w:sz w:val="24"/>
        </w:rPr>
        <w:t>,</w:t>
      </w:r>
      <w:r w:rsidRPr="00610B1B">
        <w:rPr>
          <w:rStyle w:val="FontStyle13"/>
          <w:rFonts w:eastAsia="Source Han Sans CN Regular" w:cs="Times New Roman"/>
          <w:sz w:val="24"/>
        </w:rPr>
        <w:t>28</w:t>
      </w:r>
      <w:r w:rsidR="00757909" w:rsidRPr="00610B1B">
        <w:rPr>
          <w:rStyle w:val="FontStyle13"/>
          <w:rFonts w:eastAsia="Source Han Sans CN Regular" w:cs="Times New Roman"/>
          <w:sz w:val="24"/>
        </w:rPr>
        <w:t> </w:t>
      </w:r>
      <w:r w:rsidRPr="00610B1B">
        <w:rPr>
          <w:rStyle w:val="FontStyle13"/>
          <w:rFonts w:eastAsia="Source Han Sans CN Regular" w:cs="Times New Roman"/>
          <w:sz w:val="24"/>
        </w:rPr>
        <w:t xml:space="preserve">ha. Тя е обявена с Решение </w:t>
      </w:r>
      <w:r w:rsidR="00836952" w:rsidRPr="00610B1B">
        <w:rPr>
          <w:rStyle w:val="FontStyle13"/>
          <w:rFonts w:eastAsia="Source Han Sans CN Regular" w:cs="Times New Roman"/>
          <w:sz w:val="24"/>
        </w:rPr>
        <w:t xml:space="preserve">на Министерски съвет </w:t>
      </w:r>
      <w:r w:rsidRPr="00610B1B">
        <w:rPr>
          <w:rStyle w:val="FontStyle13"/>
          <w:rFonts w:eastAsia="Source Han Sans CN Regular" w:cs="Times New Roman"/>
          <w:sz w:val="24"/>
        </w:rPr>
        <w:t xml:space="preserve">№ 660/01.11.2013 г., </w:t>
      </w:r>
      <w:r w:rsidRPr="00610B1B">
        <w:rPr>
          <w:rStyle w:val="FontStyle13"/>
          <w:rFonts w:eastAsia="Source Han Sans CN Regular" w:cs="Times New Roman"/>
          <w:iCs/>
          <w:sz w:val="24"/>
        </w:rPr>
        <w:t>(</w:t>
      </w:r>
      <w:r w:rsidRPr="00610B1B">
        <w:rPr>
          <w:rStyle w:val="FontStyle13"/>
          <w:rFonts w:eastAsia="Source Han Sans CN Regular" w:cs="Times New Roman"/>
          <w:sz w:val="24"/>
        </w:rPr>
        <w:t>ДВ бр. 97/2013 г.</w:t>
      </w:r>
      <w:r w:rsidRPr="00610B1B">
        <w:rPr>
          <w:rStyle w:val="FontStyle13"/>
          <w:rFonts w:eastAsia="Source Han Sans CN Regular" w:cs="Times New Roman"/>
          <w:iCs/>
          <w:sz w:val="24"/>
        </w:rPr>
        <w:t>)</w:t>
      </w:r>
      <w:r w:rsidRPr="00610B1B">
        <w:rPr>
          <w:rStyle w:val="FontStyle13"/>
          <w:rFonts w:eastAsia="Source Han Sans CN Regular" w:cs="Times New Roman"/>
          <w:sz w:val="24"/>
        </w:rPr>
        <w:t xml:space="preserve">. Зоната има изцяло морски обхват с дълбочина на дъното 30-75 m. Дънните субстрати са сивочерни, сиви и сивозелени мекопластични теригенни тини с прослойки от черупчест детрит. Районът e един от най-представителните от българското Черноморие по отношение на биотопа „Сублиторални мидени банки върху седимент“, който като биогенен риф е подтип на местообитание 1170. Средообразуващият вид е черната мида </w:t>
      </w:r>
      <w:r w:rsidRPr="00610B1B">
        <w:rPr>
          <w:rStyle w:val="FontStyle12"/>
          <w:rFonts w:eastAsia="Source Han Sans CN Regular" w:cs="Times New Roman"/>
          <w:i/>
          <w:iCs/>
        </w:rPr>
        <w:t>Mytilus galloprovincialis</w:t>
      </w:r>
      <w:r w:rsidRPr="00610B1B">
        <w:rPr>
          <w:rStyle w:val="FontStyle12"/>
          <w:rFonts w:eastAsia="Source Han Sans CN Regular" w:cs="Times New Roman"/>
        </w:rPr>
        <w:t xml:space="preserve">, </w:t>
      </w:r>
      <w:r w:rsidRPr="00610B1B">
        <w:rPr>
          <w:rStyle w:val="FontStyle13"/>
          <w:rFonts w:eastAsia="Source Han Sans CN Regular" w:cs="Times New Roman"/>
          <w:sz w:val="24"/>
        </w:rPr>
        <w:t>чиито индивиди се прикрепват един за друг чрез бисусни нишки и така изграждат биогенни рифове - мидени банки. Акваторията е местообитание на карагьозовите риби</w:t>
      </w:r>
      <w:r w:rsidR="00DE5152" w:rsidRPr="00610B1B">
        <w:rPr>
          <w:rStyle w:val="FontStyle13"/>
          <w:rFonts w:eastAsia="Source Han Sans CN Regular" w:cs="Times New Roman"/>
          <w:sz w:val="24"/>
        </w:rPr>
        <w:t>. П</w:t>
      </w:r>
      <w:r w:rsidRPr="00610B1B">
        <w:rPr>
          <w:rStyle w:val="FontStyle13"/>
          <w:rFonts w:eastAsia="Source Han Sans CN Regular" w:cs="Times New Roman"/>
          <w:sz w:val="24"/>
        </w:rPr>
        <w:t xml:space="preserve">рез пролетния сезон през нея се извършва размножителна миграция към реките, а след приключване на размножителния процес представителите на рода обитават акваторията, където се отхранват. Акваторията е постоянно местообитание за двата целеви вида китоподобни </w:t>
      </w:r>
      <w:r w:rsidRPr="00610B1B">
        <w:rPr>
          <w:rStyle w:val="FontStyle12"/>
          <w:rFonts w:eastAsia="Source Han Sans CN Regular" w:cs="Times New Roman"/>
        </w:rPr>
        <w:t xml:space="preserve">Tursiops truncatus </w:t>
      </w:r>
      <w:r w:rsidRPr="00610B1B">
        <w:rPr>
          <w:rStyle w:val="FontStyle13"/>
          <w:rFonts w:eastAsia="Source Han Sans CN Regular" w:cs="Times New Roman"/>
          <w:sz w:val="24"/>
        </w:rPr>
        <w:t xml:space="preserve">и </w:t>
      </w:r>
      <w:r w:rsidRPr="00610B1B">
        <w:rPr>
          <w:rStyle w:val="FontStyle12"/>
          <w:rFonts w:eastAsia="Source Han Sans CN Regular" w:cs="Times New Roman"/>
        </w:rPr>
        <w:t xml:space="preserve">Phocoena. </w:t>
      </w:r>
      <w:r w:rsidRPr="00610B1B">
        <w:rPr>
          <w:rStyle w:val="FontStyle13"/>
          <w:rFonts w:eastAsia="Source Han Sans CN Regular" w:cs="Times New Roman"/>
          <w:sz w:val="24"/>
        </w:rPr>
        <w:t xml:space="preserve">Зоната обхваща 13% от националното покритие на мидените банки върху седимент. Те заемат значителна площ, имат висока плътност на покритието, висока биомаса и голям среден размер </w:t>
      </w:r>
      <w:r w:rsidRPr="00610B1B">
        <w:rPr>
          <w:rStyle w:val="FontStyle13"/>
          <w:rFonts w:eastAsia="Source Han Sans CN Regular" w:cs="Times New Roman"/>
          <w:iCs/>
          <w:sz w:val="24"/>
        </w:rPr>
        <w:t>(</w:t>
      </w:r>
      <w:r w:rsidRPr="00610B1B">
        <w:rPr>
          <w:rStyle w:val="FontStyle13"/>
          <w:rFonts w:eastAsia="Source Han Sans CN Regular" w:cs="Times New Roman"/>
          <w:sz w:val="24"/>
        </w:rPr>
        <w:t>56</w:t>
      </w:r>
      <w:r w:rsidR="009A5AFE" w:rsidRPr="00610B1B">
        <w:rPr>
          <w:rStyle w:val="FontStyle13"/>
          <w:rFonts w:eastAsia="Source Han Sans CN Regular" w:cs="Times New Roman"/>
          <w:sz w:val="24"/>
        </w:rPr>
        <w:t>,</w:t>
      </w:r>
      <w:r w:rsidRPr="00610B1B">
        <w:rPr>
          <w:rStyle w:val="FontStyle13"/>
          <w:rFonts w:eastAsia="Source Han Sans CN Regular" w:cs="Times New Roman"/>
          <w:sz w:val="24"/>
        </w:rPr>
        <w:t>32 mm</w:t>
      </w:r>
      <w:r w:rsidRPr="00610B1B">
        <w:rPr>
          <w:rStyle w:val="FontStyle13"/>
          <w:rFonts w:eastAsia="Source Han Sans CN Regular" w:cs="Times New Roman"/>
          <w:iCs/>
          <w:sz w:val="24"/>
        </w:rPr>
        <w:t>)</w:t>
      </w:r>
      <w:r w:rsidRPr="00610B1B">
        <w:rPr>
          <w:rStyle w:val="FontStyle13"/>
          <w:rFonts w:eastAsia="Source Han Sans CN Regular" w:cs="Times New Roman"/>
          <w:sz w:val="24"/>
        </w:rPr>
        <w:t xml:space="preserve"> на индивидите. Това е индикатор за отлична представителност и добро състояние на съхранение на местообитанието. Районът е важен за опазване и поддържане на мидените банки в добро състояние, а перспективите за това са добри предвид на това, че акваторията е отдалечена от основния трансграничен източник на еутрофикация - р. Дунав. Като местообитание на карагьозовите риби и китоподобните зоната е </w:t>
      </w:r>
      <w:r w:rsidR="009A5AFE" w:rsidRPr="00610B1B">
        <w:rPr>
          <w:rStyle w:val="FontStyle13"/>
          <w:rFonts w:eastAsia="Source Han Sans CN Regular" w:cs="Times New Roman"/>
          <w:sz w:val="24"/>
        </w:rPr>
        <w:t>с</w:t>
      </w:r>
      <w:r w:rsidRPr="00610B1B">
        <w:rPr>
          <w:rStyle w:val="FontStyle13"/>
          <w:rFonts w:eastAsia="Source Han Sans CN Regular" w:cs="Times New Roman"/>
          <w:sz w:val="24"/>
        </w:rPr>
        <w:t xml:space="preserve"> обилна трофична база и запазени екосистеми с богато биоразнообразие. </w:t>
      </w:r>
      <w:r w:rsidR="00DE5152" w:rsidRPr="00610B1B">
        <w:rPr>
          <w:rStyle w:val="FontStyle13"/>
          <w:rFonts w:eastAsia="Source Han Sans CN Regular" w:cs="Times New Roman"/>
          <w:sz w:val="24"/>
        </w:rPr>
        <w:t xml:space="preserve">Тя </w:t>
      </w:r>
      <w:r w:rsidRPr="00610B1B">
        <w:rPr>
          <w:rStyle w:val="FontStyle13"/>
          <w:rFonts w:eastAsia="Source Han Sans CN Regular" w:cs="Times New Roman"/>
          <w:sz w:val="24"/>
        </w:rPr>
        <w:t>осигурява миграционен път към местата за размножаване. Предмет на опазване в зоната са едно природно местообитание и 4 вида животни.</w:t>
      </w:r>
    </w:p>
    <w:p w14:paraId="7F9A4291" w14:textId="223424B4" w:rsidR="009D4A0E" w:rsidRPr="00610B1B" w:rsidRDefault="009D4A0E" w:rsidP="00D32D6A">
      <w:pPr>
        <w:pStyle w:val="BodyText"/>
        <w:spacing w:before="0" w:after="120" w:line="276" w:lineRule="auto"/>
        <w:ind w:right="-153"/>
        <w:rPr>
          <w:rFonts w:cs="Times New Roman"/>
        </w:rPr>
      </w:pPr>
      <w:r w:rsidRPr="00610B1B">
        <w:rPr>
          <w:rStyle w:val="FontStyle13"/>
          <w:rFonts w:eastAsia="Source Han Sans CN Regular" w:cs="Times New Roman"/>
          <w:sz w:val="24"/>
        </w:rPr>
        <w:t xml:space="preserve">В защитената зона </w:t>
      </w:r>
      <w:r w:rsidR="00DE5152" w:rsidRPr="00610B1B">
        <w:rPr>
          <w:rStyle w:val="FontStyle13"/>
          <w:rFonts w:eastAsia="Source Han Sans CN Regular" w:cs="Times New Roman"/>
          <w:sz w:val="24"/>
        </w:rPr>
        <w:t>е забранено</w:t>
      </w:r>
      <w:r w:rsidRPr="00610B1B">
        <w:rPr>
          <w:rStyle w:val="FontStyle13"/>
          <w:rFonts w:eastAsia="Source Han Sans CN Regular" w:cs="Times New Roman"/>
          <w:sz w:val="24"/>
        </w:rPr>
        <w:t xml:space="preserve"> увреждане на </w:t>
      </w:r>
      <w:r w:rsidRPr="00610B1B">
        <w:rPr>
          <w:rFonts w:cs="Times New Roman"/>
        </w:rPr>
        <w:t xml:space="preserve">местообитанието, включително </w:t>
      </w:r>
      <w:r w:rsidR="00DE5152" w:rsidRPr="00610B1B">
        <w:rPr>
          <w:rFonts w:cs="Times New Roman"/>
        </w:rPr>
        <w:t xml:space="preserve">изграждане на </w:t>
      </w:r>
      <w:r w:rsidRPr="00610B1B">
        <w:rPr>
          <w:rFonts w:cs="Times New Roman"/>
        </w:rPr>
        <w:t>изкуствени подводни рифове и острови;</w:t>
      </w:r>
      <w:r w:rsidR="00D66FE0" w:rsidRPr="00610B1B">
        <w:rPr>
          <w:rFonts w:cs="Times New Roman"/>
        </w:rPr>
        <w:t xml:space="preserve"> </w:t>
      </w:r>
      <w:r w:rsidRPr="00610B1B">
        <w:rPr>
          <w:rFonts w:cs="Times New Roman"/>
        </w:rPr>
        <w:t>намеса в хидрологичните процеси, водещи до значителни промени в температурен режим, соленост, течения и вълнови ефекти; използване на дънни тралове и драги; въвеждане на твърди отпадъци; заустване на необработени отпадъчни води; въвеждане на опасни вещества; използване на взривни вещества, отровни и опияняващи вещества, електрически ток. Постановени са ограничения за улов и риболов, въвеждане на чужди видове и други подобни, с които да се гарантира чистотата на водите, опазване на видовете и местообитанията.</w:t>
      </w:r>
      <w:r w:rsidR="00D66FE0" w:rsidRPr="00610B1B">
        <w:rPr>
          <w:rFonts w:cs="Times New Roman"/>
        </w:rPr>
        <w:t xml:space="preserve"> </w:t>
      </w:r>
    </w:p>
    <w:p w14:paraId="5C20390C" w14:textId="12F70710" w:rsidR="004F6CE6" w:rsidRPr="00610B1B" w:rsidRDefault="00331812" w:rsidP="00D32D6A">
      <w:pPr>
        <w:pStyle w:val="BodyText"/>
        <w:spacing w:before="0" w:after="120" w:line="276" w:lineRule="auto"/>
        <w:ind w:right="-153"/>
        <w:rPr>
          <w:rStyle w:val="FontStyle13"/>
          <w:rFonts w:eastAsia="Source Han Sans CN Regular" w:cs="Times New Roman"/>
          <w:sz w:val="24"/>
        </w:rPr>
      </w:pPr>
      <w:r w:rsidRPr="00610B1B">
        <w:rPr>
          <w:rStyle w:val="FontStyle14"/>
          <w:rFonts w:eastAsia="Source Han Sans CN Regular" w:cs="Times New Roman"/>
        </w:rPr>
        <w:lastRenderedPageBreak/>
        <w:t xml:space="preserve">Защитена зона </w:t>
      </w:r>
      <w:r w:rsidR="00744CB1" w:rsidRPr="00610B1B">
        <w:rPr>
          <w:rStyle w:val="FontStyle14"/>
          <w:rFonts w:eastAsia="Source Han Sans CN Regular" w:cs="Times New Roman"/>
        </w:rPr>
        <w:t xml:space="preserve">BG0001001 </w:t>
      </w:r>
      <w:r w:rsidRPr="00610B1B">
        <w:rPr>
          <w:rStyle w:val="FontStyle14"/>
          <w:rFonts w:eastAsia="Source Han Sans CN Regular" w:cs="Times New Roman"/>
        </w:rPr>
        <w:t>„</w:t>
      </w:r>
      <w:r w:rsidR="00744CB1" w:rsidRPr="00610B1B">
        <w:rPr>
          <w:rStyle w:val="FontStyle14"/>
          <w:rFonts w:eastAsia="Source Han Sans CN Regular" w:cs="Times New Roman"/>
        </w:rPr>
        <w:t xml:space="preserve">Ропотамо“ </w:t>
      </w:r>
      <w:r w:rsidR="00744CB1" w:rsidRPr="00610B1B">
        <w:rPr>
          <w:rStyle w:val="FontStyle14"/>
          <w:rFonts w:eastAsia="Source Han Sans CN Regular" w:cs="Times New Roman"/>
          <w:b w:val="0"/>
        </w:rPr>
        <w:t>за опазване на природните местообитания и на дивата флора и фауна</w:t>
      </w:r>
      <w:r w:rsidR="00744CB1" w:rsidRPr="00610B1B">
        <w:rPr>
          <w:rStyle w:val="FontStyle14"/>
          <w:rFonts w:eastAsia="Source Han Sans CN Regular" w:cs="Times New Roman"/>
        </w:rPr>
        <w:t xml:space="preserve"> </w:t>
      </w:r>
      <w:r w:rsidR="009D4A0E" w:rsidRPr="00610B1B">
        <w:rPr>
          <w:rStyle w:val="FontStyle13"/>
          <w:rFonts w:eastAsia="Source Han Sans CN Regular" w:cs="Times New Roman"/>
          <w:sz w:val="24"/>
        </w:rPr>
        <w:t xml:space="preserve">се намира в общините Созопол и Приморско и покрива обща площ от </w:t>
      </w:r>
      <w:r w:rsidR="009D4A0E" w:rsidRPr="00610B1B">
        <w:rPr>
          <w:rFonts w:cs="Times New Roman"/>
        </w:rPr>
        <w:t>98</w:t>
      </w:r>
      <w:r w:rsidR="008D4C1E" w:rsidRPr="00610B1B">
        <w:rPr>
          <w:rFonts w:cs="Times New Roman"/>
        </w:rPr>
        <w:t> </w:t>
      </w:r>
      <w:r w:rsidR="009D4A0E" w:rsidRPr="00610B1B">
        <w:rPr>
          <w:rFonts w:cs="Times New Roman"/>
        </w:rPr>
        <w:t>099</w:t>
      </w:r>
      <w:r w:rsidR="009A5AFE" w:rsidRPr="00610B1B">
        <w:rPr>
          <w:rStyle w:val="FontStyle13"/>
          <w:rFonts w:eastAsia="Source Han Sans CN Regular" w:cs="Times New Roman"/>
          <w:sz w:val="24"/>
        </w:rPr>
        <w:t>,</w:t>
      </w:r>
      <w:r w:rsidR="009D4A0E" w:rsidRPr="00610B1B">
        <w:rPr>
          <w:rStyle w:val="FontStyle13"/>
          <w:rFonts w:eastAsia="Source Han Sans CN Regular" w:cs="Times New Roman"/>
          <w:sz w:val="24"/>
        </w:rPr>
        <w:t xml:space="preserve">76 ha. Обявена е с Решение </w:t>
      </w:r>
      <w:r w:rsidR="00836952" w:rsidRPr="00610B1B">
        <w:rPr>
          <w:rStyle w:val="FontStyle13"/>
          <w:rFonts w:eastAsia="Source Han Sans CN Regular" w:cs="Times New Roman"/>
          <w:sz w:val="24"/>
        </w:rPr>
        <w:t xml:space="preserve">на Министерски съвет </w:t>
      </w:r>
      <w:r w:rsidR="009D4A0E" w:rsidRPr="00610B1B">
        <w:rPr>
          <w:rStyle w:val="FontStyle13"/>
          <w:rFonts w:eastAsia="Source Han Sans CN Regular" w:cs="Times New Roman"/>
          <w:sz w:val="24"/>
        </w:rPr>
        <w:t xml:space="preserve">№ 122/02.03.2007 г., </w:t>
      </w:r>
      <w:r w:rsidR="009D4A0E" w:rsidRPr="00610B1B">
        <w:rPr>
          <w:rStyle w:val="FontStyle13"/>
          <w:rFonts w:eastAsia="Source Han Sans CN Regular" w:cs="Times New Roman"/>
          <w:iCs/>
          <w:sz w:val="24"/>
        </w:rPr>
        <w:t>(</w:t>
      </w:r>
      <w:r w:rsidR="009D4A0E" w:rsidRPr="00610B1B">
        <w:rPr>
          <w:rStyle w:val="FontStyle13"/>
          <w:rFonts w:eastAsia="Source Han Sans CN Regular" w:cs="Times New Roman"/>
          <w:sz w:val="24"/>
        </w:rPr>
        <w:t>ДВ бр. 21/2007 г.</w:t>
      </w:r>
      <w:r w:rsidR="009D4A0E" w:rsidRPr="00610B1B">
        <w:rPr>
          <w:rStyle w:val="FontStyle13"/>
          <w:rFonts w:eastAsia="Source Han Sans CN Regular" w:cs="Times New Roman"/>
          <w:iCs/>
          <w:sz w:val="24"/>
        </w:rPr>
        <w:t>)</w:t>
      </w:r>
      <w:r w:rsidR="009D4A0E" w:rsidRPr="00610B1B">
        <w:rPr>
          <w:rStyle w:val="FontStyle13"/>
          <w:rFonts w:eastAsia="Source Han Sans CN Regular" w:cs="Times New Roman"/>
          <w:sz w:val="24"/>
        </w:rPr>
        <w:t xml:space="preserve"> Площта на зоната е увеличена с Решение № 660/08.11.2013 г., </w:t>
      </w:r>
      <w:r w:rsidR="009D4A0E" w:rsidRPr="00610B1B">
        <w:rPr>
          <w:rStyle w:val="FontStyle13"/>
          <w:rFonts w:eastAsia="Source Han Sans CN Regular" w:cs="Times New Roman"/>
          <w:iCs/>
          <w:sz w:val="24"/>
        </w:rPr>
        <w:t>(</w:t>
      </w:r>
      <w:r w:rsidR="009D4A0E" w:rsidRPr="00610B1B">
        <w:rPr>
          <w:rStyle w:val="FontStyle13"/>
          <w:rFonts w:eastAsia="Source Han Sans CN Regular" w:cs="Times New Roman"/>
          <w:sz w:val="24"/>
        </w:rPr>
        <w:t>ДВ бр. 97/2013</w:t>
      </w:r>
      <w:r w:rsidR="008D4C1E" w:rsidRPr="00610B1B">
        <w:rPr>
          <w:rStyle w:val="FontStyle13"/>
          <w:rFonts w:eastAsia="Source Han Sans CN Regular" w:cs="Times New Roman"/>
          <w:sz w:val="24"/>
        </w:rPr>
        <w:t> </w:t>
      </w:r>
      <w:r w:rsidR="009D4A0E" w:rsidRPr="00610B1B">
        <w:rPr>
          <w:rStyle w:val="FontStyle13"/>
          <w:rFonts w:eastAsia="Source Han Sans CN Regular" w:cs="Times New Roman"/>
          <w:sz w:val="24"/>
        </w:rPr>
        <w:t>г.</w:t>
      </w:r>
      <w:r w:rsidR="009D4A0E" w:rsidRPr="00610B1B">
        <w:rPr>
          <w:rStyle w:val="FontStyle13"/>
          <w:rFonts w:eastAsia="Source Han Sans CN Regular" w:cs="Times New Roman"/>
          <w:iCs/>
          <w:sz w:val="24"/>
        </w:rPr>
        <w:t>)</w:t>
      </w:r>
      <w:r w:rsidR="009D4A0E" w:rsidRPr="00610B1B">
        <w:rPr>
          <w:rStyle w:val="FontStyle13"/>
          <w:rFonts w:eastAsia="Source Han Sans CN Regular" w:cs="Times New Roman"/>
          <w:sz w:val="24"/>
        </w:rPr>
        <w:t>.</w:t>
      </w:r>
      <w:r w:rsidR="00D66FE0" w:rsidRPr="00610B1B">
        <w:rPr>
          <w:rStyle w:val="FontStyle13"/>
          <w:rFonts w:eastAsia="Source Han Sans CN Regular" w:cs="Times New Roman"/>
          <w:sz w:val="24"/>
        </w:rPr>
        <w:t xml:space="preserve"> </w:t>
      </w:r>
      <w:r w:rsidR="009D4A0E" w:rsidRPr="00610B1B">
        <w:rPr>
          <w:rStyle w:val="FontStyle13"/>
          <w:rFonts w:eastAsia="Source Han Sans CN Regular" w:cs="Times New Roman"/>
          <w:sz w:val="24"/>
        </w:rPr>
        <w:t xml:space="preserve">Зоната обхваща ниските и полегати странични дялове на Странджа с нейните покрайнини, спускащи се в Черно море. Тя включва обширни територии, покрити с дюни и малки площи облесени дюни между тях. Река Ропотамо образува красиво запазен естуар. Вътрешността е облесена. </w:t>
      </w:r>
    </w:p>
    <w:p w14:paraId="46642FDF" w14:textId="2DC4AC79" w:rsidR="004F6CE6" w:rsidRPr="00610B1B" w:rsidRDefault="009D4A0E" w:rsidP="00D32D6A">
      <w:pPr>
        <w:pStyle w:val="BodyText"/>
        <w:spacing w:before="0" w:after="120" w:line="276" w:lineRule="auto"/>
        <w:ind w:right="-153"/>
        <w:rPr>
          <w:rStyle w:val="FontStyle13"/>
          <w:rFonts w:eastAsia="Source Han Sans CN Regular" w:cs="Times New Roman"/>
          <w:sz w:val="24"/>
        </w:rPr>
      </w:pPr>
      <w:r w:rsidRPr="00610B1B">
        <w:rPr>
          <w:rStyle w:val="FontStyle13"/>
          <w:rFonts w:eastAsia="Source Han Sans CN Regular" w:cs="Times New Roman"/>
          <w:sz w:val="24"/>
        </w:rPr>
        <w:t>Съгласно Стандартния формуляр Натура 2000 на зоната между н</w:t>
      </w:r>
      <w:r w:rsidR="009A5AFE" w:rsidRPr="00610B1B">
        <w:rPr>
          <w:rStyle w:val="FontStyle13"/>
          <w:rFonts w:eastAsia="Source Han Sans CN Regular" w:cs="Times New Roman"/>
          <w:sz w:val="24"/>
        </w:rPr>
        <w:t>ос</w:t>
      </w:r>
      <w:r w:rsidRPr="00610B1B">
        <w:rPr>
          <w:rStyle w:val="FontStyle13"/>
          <w:rFonts w:eastAsia="Source Han Sans CN Regular" w:cs="Times New Roman"/>
          <w:sz w:val="24"/>
        </w:rPr>
        <w:t xml:space="preserve"> Агалина и Маслен нос клифовият бряг е със средна височина 11 m, изграден от магматични скали. Акумулативният бряг е разположен в централните части на неголемите заливи и е от два типа: лиманен тип - плаж Ропотамо и лагунен тип - плаж</w:t>
      </w:r>
      <w:r w:rsidR="00FE49AF" w:rsidRPr="00610B1B">
        <w:rPr>
          <w:rStyle w:val="FontStyle13"/>
          <w:rFonts w:eastAsia="Source Han Sans CN Regular" w:cs="Times New Roman"/>
          <w:sz w:val="24"/>
        </w:rPr>
        <w:t>овете</w:t>
      </w:r>
      <w:r w:rsidRPr="00610B1B">
        <w:rPr>
          <w:rStyle w:val="FontStyle13"/>
          <w:rFonts w:eastAsia="Source Han Sans CN Regular" w:cs="Times New Roman"/>
          <w:sz w:val="24"/>
        </w:rPr>
        <w:t xml:space="preserve"> Дюни и Аркутино. На морското дъно се наблюдават скални банки, изградени от вулканични скали, на разстояние от 600 до 2 200 m от бреговата линия, с относителна височина от 5 m до 12.5</w:t>
      </w:r>
      <w:r w:rsidR="00757909" w:rsidRPr="00610B1B">
        <w:rPr>
          <w:rStyle w:val="FontStyle13"/>
          <w:rFonts w:eastAsia="Source Han Sans CN Regular" w:cs="Times New Roman"/>
          <w:sz w:val="24"/>
        </w:rPr>
        <w:t> </w:t>
      </w:r>
      <w:r w:rsidRPr="00610B1B">
        <w:rPr>
          <w:rStyle w:val="FontStyle13"/>
          <w:rFonts w:eastAsia="Source Han Sans CN Regular" w:cs="Times New Roman"/>
          <w:sz w:val="24"/>
        </w:rPr>
        <w:t>m. На плаж</w:t>
      </w:r>
      <w:r w:rsidR="008E5D9F" w:rsidRPr="00610B1B">
        <w:rPr>
          <w:rStyle w:val="FontStyle13"/>
          <w:rFonts w:eastAsia="Source Han Sans CN Regular" w:cs="Times New Roman"/>
          <w:sz w:val="24"/>
        </w:rPr>
        <w:t>н</w:t>
      </w:r>
      <w:r w:rsidRPr="00610B1B">
        <w:rPr>
          <w:rStyle w:val="FontStyle13"/>
          <w:rFonts w:eastAsia="Source Han Sans CN Regular" w:cs="Times New Roman"/>
          <w:sz w:val="24"/>
        </w:rPr>
        <w:t>ите ивици и подводния брегови склон преобладават среднозърнести пясъци. Между Маслен нос и н</w:t>
      </w:r>
      <w:r w:rsidR="009A5AFE" w:rsidRPr="00610B1B">
        <w:rPr>
          <w:rStyle w:val="FontStyle13"/>
          <w:rFonts w:eastAsia="Source Han Sans CN Regular" w:cs="Times New Roman"/>
          <w:sz w:val="24"/>
        </w:rPr>
        <w:t>ос</w:t>
      </w:r>
      <w:r w:rsidRPr="00610B1B">
        <w:rPr>
          <w:rStyle w:val="FontStyle13"/>
          <w:rFonts w:eastAsia="Source Han Sans CN Regular" w:cs="Times New Roman"/>
          <w:sz w:val="24"/>
        </w:rPr>
        <w:t xml:space="preserve"> Царево брегът е изграден от метаморфозирани утаечни скали, варовити пясъчници и варовик </w:t>
      </w:r>
      <w:r w:rsidRPr="00610B1B">
        <w:rPr>
          <w:rStyle w:val="FontStyle13"/>
          <w:rFonts w:eastAsia="Source Han Sans CN Regular" w:cs="Times New Roman"/>
          <w:iCs/>
          <w:sz w:val="24"/>
        </w:rPr>
        <w:t>(</w:t>
      </w:r>
      <w:r w:rsidRPr="00610B1B">
        <w:rPr>
          <w:rStyle w:val="FontStyle13"/>
          <w:rFonts w:eastAsia="Source Han Sans CN Regular" w:cs="Times New Roman"/>
          <w:sz w:val="24"/>
        </w:rPr>
        <w:t>полуостровите Приморско и Китен</w:t>
      </w:r>
      <w:r w:rsidRPr="00610B1B">
        <w:rPr>
          <w:rStyle w:val="FontStyle13"/>
          <w:rFonts w:eastAsia="Source Han Sans CN Regular" w:cs="Times New Roman"/>
          <w:iCs/>
          <w:sz w:val="24"/>
        </w:rPr>
        <w:t>)</w:t>
      </w:r>
      <w:r w:rsidRPr="00610B1B">
        <w:rPr>
          <w:rStyle w:val="FontStyle13"/>
          <w:rFonts w:eastAsia="Source Han Sans CN Regular" w:cs="Times New Roman"/>
          <w:sz w:val="24"/>
        </w:rPr>
        <w:t xml:space="preserve">. Преобладава клифовият бряг със средна височина 11 - 13 m. Акумулативният бряг е лиманен тип </w:t>
      </w:r>
      <w:r w:rsidR="009A5AFE" w:rsidRPr="00610B1B">
        <w:rPr>
          <w:rStyle w:val="FontStyle13"/>
          <w:rFonts w:eastAsia="Source Han Sans CN Regular" w:cs="Times New Roman"/>
          <w:sz w:val="24"/>
        </w:rPr>
        <w:t>и</w:t>
      </w:r>
      <w:r w:rsidRPr="00610B1B">
        <w:rPr>
          <w:rStyle w:val="FontStyle13"/>
          <w:rFonts w:eastAsia="Source Han Sans CN Regular" w:cs="Times New Roman"/>
          <w:sz w:val="24"/>
        </w:rPr>
        <w:t xml:space="preserve"> обхваща плажовете Приморско, Атлиман и Китен, и лагунен тип при плаж Стомопло. Скалното дъно, изградено от варовити пясъчници и мергелно-варовит комплекс, се разкрива непосредствено пред брега за абразионния тип бряг и достига от 600 до 2 200 m от бреговата линия. Скалните банки имат височина над морското дъно от 3 до 10 - 15 m и достигат дълбочина до -40 m. На плажа и подводния брегови склон преобладават среднозърнести пясъци.</w:t>
      </w:r>
      <w:r w:rsidR="004F6CE6" w:rsidRPr="00610B1B">
        <w:rPr>
          <w:rStyle w:val="FontStyle13"/>
          <w:rFonts w:eastAsia="Source Han Sans CN Regular" w:cs="Times New Roman"/>
          <w:sz w:val="24"/>
        </w:rPr>
        <w:t xml:space="preserve"> </w:t>
      </w:r>
    </w:p>
    <w:p w14:paraId="0313136D" w14:textId="492B238D" w:rsidR="009D4A0E" w:rsidRPr="00610B1B" w:rsidRDefault="009D4A0E" w:rsidP="00D32D6A">
      <w:pPr>
        <w:pStyle w:val="BodyText"/>
        <w:tabs>
          <w:tab w:val="left" w:pos="4950"/>
        </w:tabs>
        <w:spacing w:before="0" w:after="120" w:line="276" w:lineRule="auto"/>
        <w:ind w:right="-153"/>
        <w:rPr>
          <w:rFonts w:cs="Times New Roman"/>
        </w:rPr>
      </w:pPr>
      <w:r w:rsidRPr="00610B1B">
        <w:rPr>
          <w:rStyle w:val="FontStyle13"/>
          <w:rFonts w:eastAsia="Source Han Sans CN Regular" w:cs="Times New Roman"/>
          <w:sz w:val="24"/>
        </w:rPr>
        <w:t xml:space="preserve">Предмет на опазване в зоната са 33 природни местообитания и 47 вида животни. </w:t>
      </w:r>
      <w:r w:rsidRPr="00610B1B">
        <w:rPr>
          <w:rFonts w:cs="Times New Roman"/>
        </w:rPr>
        <w:t xml:space="preserve">За зоната са предложени дейности за защита, с цел опазването на ландшафта, скалните образувания, качествата на морската среда, защитените и застрашени видове и техните местообитания. </w:t>
      </w:r>
    </w:p>
    <w:p w14:paraId="16FFA866" w14:textId="4F2E0BA1" w:rsidR="00187BC9" w:rsidRPr="00610B1B" w:rsidRDefault="00187BC9" w:rsidP="00D32D6A">
      <w:pPr>
        <w:pStyle w:val="BodyText"/>
        <w:spacing w:before="0" w:after="120" w:line="276" w:lineRule="auto"/>
        <w:ind w:right="-153"/>
        <w:rPr>
          <w:rFonts w:cs="Times New Roman"/>
        </w:rPr>
      </w:pPr>
      <w:r w:rsidRPr="00610B1B">
        <w:rPr>
          <w:rFonts w:cs="Times New Roman"/>
        </w:rPr>
        <w:t>Под същите наименования и на места с покриващи се граници се опазват територии и части от акваторията по силата на Директива 2009/147/ЕО на Европейския парламент и на Съвета от 30 ноември 2009 година относно опазването на дивите птици.</w:t>
      </w:r>
    </w:p>
    <w:p w14:paraId="6A0D40AB" w14:textId="42E917A5" w:rsidR="009D4A0E" w:rsidRPr="00610B1B" w:rsidRDefault="009D4A0E" w:rsidP="00D32D6A">
      <w:pPr>
        <w:pStyle w:val="BodyText"/>
        <w:spacing w:before="0" w:after="120" w:line="276" w:lineRule="auto"/>
        <w:ind w:right="-153"/>
        <w:rPr>
          <w:rFonts w:cs="Times New Roman"/>
        </w:rPr>
      </w:pPr>
      <w:r w:rsidRPr="00610B1B">
        <w:rPr>
          <w:rStyle w:val="FontStyle14"/>
          <w:rFonts w:eastAsia="Source Han Sans CN Regular" w:cs="Times New Roman"/>
        </w:rPr>
        <w:t>Защитена зона</w:t>
      </w:r>
      <w:r w:rsidR="00744CB1" w:rsidRPr="00610B1B">
        <w:rPr>
          <w:rFonts w:cs="Times New Roman"/>
        </w:rPr>
        <w:t xml:space="preserve"> </w:t>
      </w:r>
      <w:r w:rsidR="00744CB1" w:rsidRPr="00610B1B">
        <w:rPr>
          <w:rStyle w:val="FontStyle14"/>
          <w:rFonts w:eastAsia="Source Han Sans CN Regular" w:cs="Times New Roman"/>
        </w:rPr>
        <w:t>BG0002051</w:t>
      </w:r>
      <w:r w:rsidRPr="00610B1B">
        <w:rPr>
          <w:rStyle w:val="FontStyle14"/>
          <w:rFonts w:eastAsia="Source Han Sans CN Regular" w:cs="Times New Roman"/>
        </w:rPr>
        <w:t xml:space="preserve"> </w:t>
      </w:r>
      <w:r w:rsidR="00744CB1" w:rsidRPr="00610B1B">
        <w:rPr>
          <w:rStyle w:val="FontStyle14"/>
          <w:rFonts w:eastAsia="Source Han Sans CN Regular" w:cs="Times New Roman"/>
        </w:rPr>
        <w:t xml:space="preserve">„Калиакра“ </w:t>
      </w:r>
      <w:r w:rsidR="00744CB1" w:rsidRPr="00610B1B">
        <w:rPr>
          <w:rStyle w:val="FontStyle14"/>
          <w:rFonts w:eastAsia="Source Han Sans CN Regular" w:cs="Times New Roman"/>
          <w:b w:val="0"/>
        </w:rPr>
        <w:t>за опазване на дивите птици</w:t>
      </w:r>
      <w:r w:rsidR="00187BC9" w:rsidRPr="00610B1B">
        <w:rPr>
          <w:rStyle w:val="FontStyle14"/>
          <w:rFonts w:eastAsia="Source Han Sans CN Regular" w:cs="Times New Roman"/>
          <w:b w:val="0"/>
        </w:rPr>
        <w:t xml:space="preserve"> </w:t>
      </w:r>
      <w:r w:rsidRPr="00610B1B">
        <w:rPr>
          <w:rStyle w:val="FontStyle13"/>
          <w:rFonts w:eastAsia="Source Han Sans CN Regular" w:cs="Times New Roman"/>
          <w:sz w:val="24"/>
        </w:rPr>
        <w:t>обхваща най-източната част от Добруджанското плато с надморска височина от 0 до 150 m в общините Шабла и Каварна и заема площ 16171</w:t>
      </w:r>
      <w:r w:rsidR="00FB4757" w:rsidRPr="00610B1B">
        <w:rPr>
          <w:rStyle w:val="FontStyle13"/>
          <w:rFonts w:eastAsia="Source Han Sans CN Regular" w:cs="Times New Roman"/>
          <w:sz w:val="24"/>
        </w:rPr>
        <w:t>,</w:t>
      </w:r>
      <w:r w:rsidRPr="00610B1B">
        <w:rPr>
          <w:rStyle w:val="FontStyle13"/>
          <w:rFonts w:eastAsia="Source Han Sans CN Regular" w:cs="Times New Roman"/>
          <w:sz w:val="24"/>
        </w:rPr>
        <w:t xml:space="preserve">78 ha, от които 34.28% морска акватория. Тя е обявена със Заповед </w:t>
      </w:r>
      <w:r w:rsidR="00EC097D" w:rsidRPr="00610B1B">
        <w:rPr>
          <w:rStyle w:val="FontStyle13"/>
          <w:rFonts w:eastAsia="Source Han Sans CN Regular" w:cs="Times New Roman"/>
          <w:sz w:val="24"/>
        </w:rPr>
        <w:t xml:space="preserve">на Министъра на околната среда и водите </w:t>
      </w:r>
      <w:r w:rsidRPr="00610B1B">
        <w:rPr>
          <w:rStyle w:val="FontStyle13"/>
          <w:rFonts w:eastAsia="Source Han Sans CN Regular" w:cs="Times New Roman"/>
          <w:sz w:val="24"/>
        </w:rPr>
        <w:t xml:space="preserve">№ РД-559 от 21.08.2009 г., </w:t>
      </w:r>
      <w:r w:rsidRPr="00610B1B">
        <w:rPr>
          <w:rStyle w:val="FontStyle13"/>
          <w:rFonts w:eastAsia="Source Han Sans CN Regular" w:cs="Times New Roman"/>
          <w:iCs/>
          <w:sz w:val="24"/>
        </w:rPr>
        <w:t>(</w:t>
      </w:r>
      <w:r w:rsidRPr="00610B1B">
        <w:rPr>
          <w:rStyle w:val="FontStyle13"/>
          <w:rFonts w:eastAsia="Source Han Sans CN Regular" w:cs="Times New Roman"/>
          <w:sz w:val="24"/>
        </w:rPr>
        <w:t>ДВ бр. 69/2009 г.</w:t>
      </w:r>
      <w:r w:rsidRPr="00610B1B">
        <w:rPr>
          <w:rStyle w:val="FontStyle13"/>
          <w:rFonts w:eastAsia="Source Han Sans CN Regular" w:cs="Times New Roman"/>
          <w:iCs/>
          <w:sz w:val="24"/>
        </w:rPr>
        <w:t>)</w:t>
      </w:r>
      <w:r w:rsidRPr="00610B1B">
        <w:rPr>
          <w:rStyle w:val="FontStyle13"/>
          <w:rFonts w:eastAsia="Source Han Sans CN Regular" w:cs="Times New Roman"/>
          <w:sz w:val="24"/>
        </w:rPr>
        <w:t xml:space="preserve"> с цел опазване на характерните степни местообитания, едни от последните запазени в Европа, в които гнездят, хранят се и зимуват много и различни видове птици със световна и общоевропейска значимост. Площта ѝ е увеличавана два пъти, съответно с Решение № 678/15.11.2013 г., </w:t>
      </w:r>
      <w:r w:rsidRPr="00610B1B">
        <w:rPr>
          <w:rStyle w:val="FontStyle13"/>
          <w:rFonts w:eastAsia="Source Han Sans CN Regular" w:cs="Times New Roman"/>
          <w:iCs/>
          <w:sz w:val="24"/>
        </w:rPr>
        <w:t>(</w:t>
      </w:r>
      <w:r w:rsidRPr="00610B1B">
        <w:rPr>
          <w:rStyle w:val="FontStyle13"/>
          <w:rFonts w:eastAsia="Source Han Sans CN Regular" w:cs="Times New Roman"/>
          <w:sz w:val="24"/>
        </w:rPr>
        <w:t>ДВ бр. 99/2013 г.</w:t>
      </w:r>
      <w:r w:rsidRPr="00610B1B">
        <w:rPr>
          <w:rStyle w:val="FontStyle13"/>
          <w:rFonts w:eastAsia="Source Han Sans CN Regular" w:cs="Times New Roman"/>
          <w:iCs/>
          <w:sz w:val="24"/>
        </w:rPr>
        <w:t>)</w:t>
      </w:r>
      <w:r w:rsidRPr="00610B1B">
        <w:rPr>
          <w:rStyle w:val="FontStyle13"/>
          <w:rFonts w:eastAsia="Source Han Sans CN Regular" w:cs="Times New Roman"/>
          <w:sz w:val="24"/>
        </w:rPr>
        <w:t xml:space="preserve"> и със Заповед № РД-97/06.02.2014 г., </w:t>
      </w:r>
      <w:r w:rsidRPr="00610B1B">
        <w:rPr>
          <w:rStyle w:val="FontStyle13"/>
          <w:rFonts w:eastAsia="Source Han Sans CN Regular" w:cs="Times New Roman"/>
          <w:iCs/>
          <w:sz w:val="24"/>
        </w:rPr>
        <w:t>(</w:t>
      </w:r>
      <w:r w:rsidRPr="00610B1B">
        <w:rPr>
          <w:rStyle w:val="FontStyle13"/>
          <w:rFonts w:eastAsia="Source Han Sans CN Regular" w:cs="Times New Roman"/>
          <w:sz w:val="24"/>
        </w:rPr>
        <w:t>ДВ бр. 15/2014</w:t>
      </w:r>
      <w:r w:rsidR="00595F51" w:rsidRPr="00610B1B">
        <w:rPr>
          <w:rStyle w:val="FontStyle13"/>
          <w:rFonts w:eastAsia="Source Han Sans CN Regular" w:cs="Times New Roman"/>
          <w:sz w:val="24"/>
        </w:rPr>
        <w:t> </w:t>
      </w:r>
      <w:r w:rsidRPr="00610B1B">
        <w:rPr>
          <w:rStyle w:val="FontStyle13"/>
          <w:rFonts w:eastAsia="Source Han Sans CN Regular" w:cs="Times New Roman"/>
          <w:sz w:val="24"/>
        </w:rPr>
        <w:t>г.</w:t>
      </w:r>
      <w:r w:rsidRPr="00610B1B">
        <w:rPr>
          <w:rStyle w:val="FontStyle13"/>
          <w:rFonts w:eastAsia="Source Han Sans CN Regular" w:cs="Times New Roman"/>
          <w:iCs/>
          <w:sz w:val="24"/>
        </w:rPr>
        <w:t>)</w:t>
      </w:r>
      <w:r w:rsidRPr="00610B1B">
        <w:rPr>
          <w:rStyle w:val="FontStyle13"/>
          <w:rFonts w:eastAsia="Source Han Sans CN Regular" w:cs="Times New Roman"/>
          <w:sz w:val="24"/>
        </w:rPr>
        <w:t>. През 2017 г. със Заповед № РД-818 от 12 декември са променени режимите на ползване. Зоната се препокрива със защитена зона „Комплекс Калиакра“ за опазване на природните местообитания и на дивата флора и фауна.</w:t>
      </w:r>
    </w:p>
    <w:p w14:paraId="1976BFCF" w14:textId="744F2FEF" w:rsidR="009D4A0E" w:rsidRPr="00610B1B" w:rsidRDefault="009D4A0E" w:rsidP="00D32D6A">
      <w:pPr>
        <w:pStyle w:val="BodyText"/>
        <w:spacing w:before="0" w:after="120" w:line="276" w:lineRule="auto"/>
        <w:ind w:right="-153"/>
        <w:rPr>
          <w:rFonts w:cs="Times New Roman"/>
        </w:rPr>
      </w:pPr>
      <w:r w:rsidRPr="00610B1B">
        <w:rPr>
          <w:rStyle w:val="FontStyle13"/>
          <w:rFonts w:eastAsia="Source Han Sans CN Regular" w:cs="Times New Roman"/>
          <w:sz w:val="24"/>
        </w:rPr>
        <w:t xml:space="preserve">В защитената зона обитават характерни степни видове: совоок дъждосвирец </w:t>
      </w:r>
      <w:r w:rsidRPr="00610B1B">
        <w:rPr>
          <w:rStyle w:val="FontStyle12"/>
          <w:rFonts w:eastAsia="Source Han Sans CN Regular" w:cs="Times New Roman"/>
          <w:iCs/>
        </w:rPr>
        <w:t>(</w:t>
      </w:r>
      <w:r w:rsidRPr="00610B1B">
        <w:rPr>
          <w:rStyle w:val="FontStyle12"/>
          <w:rFonts w:eastAsia="Source Han Sans CN Regular" w:cs="Times New Roman"/>
          <w:i/>
          <w:iCs/>
        </w:rPr>
        <w:t xml:space="preserve">Burhinus </w:t>
      </w:r>
      <w:r w:rsidRPr="00610B1B">
        <w:rPr>
          <w:rStyle w:val="FontStyle12"/>
          <w:rFonts w:eastAsia="Source Han Sans CN Regular" w:cs="Times New Roman"/>
          <w:i/>
          <w:iCs/>
        </w:rPr>
        <w:lastRenderedPageBreak/>
        <w:t>oedicnemus</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късопръста </w:t>
      </w:r>
      <w:r w:rsidRPr="00610B1B">
        <w:rPr>
          <w:rStyle w:val="FontStyle12"/>
          <w:rFonts w:eastAsia="Source Han Sans CN Regular" w:cs="Times New Roman"/>
          <w:iCs/>
        </w:rPr>
        <w:t>(</w:t>
      </w:r>
      <w:r w:rsidRPr="00610B1B">
        <w:rPr>
          <w:rStyle w:val="FontStyle12"/>
          <w:rFonts w:eastAsia="Source Han Sans CN Regular" w:cs="Times New Roman"/>
          <w:i/>
          <w:iCs/>
        </w:rPr>
        <w:t>Calandrella brachidactyla</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и дебелоклюна чучулиги </w:t>
      </w:r>
      <w:r w:rsidRPr="00610B1B">
        <w:rPr>
          <w:rStyle w:val="FontStyle12"/>
          <w:rFonts w:eastAsia="Source Han Sans CN Regular" w:cs="Times New Roman"/>
          <w:iCs/>
        </w:rPr>
        <w:t>(</w:t>
      </w:r>
      <w:r w:rsidRPr="00610B1B">
        <w:rPr>
          <w:rStyle w:val="FontStyle12"/>
          <w:rFonts w:eastAsia="Source Han Sans CN Regular" w:cs="Times New Roman"/>
          <w:i/>
          <w:iCs/>
        </w:rPr>
        <w:t>Melanocorypha calandra</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4 вида каменарчета, розов скорец </w:t>
      </w:r>
      <w:r w:rsidRPr="00610B1B">
        <w:rPr>
          <w:rStyle w:val="FontStyle12"/>
          <w:rFonts w:eastAsia="Source Han Sans CN Regular" w:cs="Times New Roman"/>
          <w:iCs/>
        </w:rPr>
        <w:t>(</w:t>
      </w:r>
      <w:r w:rsidRPr="00610B1B">
        <w:rPr>
          <w:rStyle w:val="FontStyle12"/>
          <w:rFonts w:eastAsia="Source Han Sans CN Regular" w:cs="Times New Roman"/>
          <w:i/>
          <w:iCs/>
        </w:rPr>
        <w:t>Sturnus roseus</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като първите три вида са с най-високи числености в страната. Почти цялата гнездова популация на черногърбото каменарче </w:t>
      </w:r>
      <w:r w:rsidRPr="00610B1B">
        <w:rPr>
          <w:rStyle w:val="FontStyle12"/>
          <w:rFonts w:eastAsia="Source Han Sans CN Regular" w:cs="Times New Roman"/>
          <w:iCs/>
        </w:rPr>
        <w:t>(</w:t>
      </w:r>
      <w:r w:rsidRPr="00610B1B">
        <w:rPr>
          <w:rStyle w:val="FontStyle12"/>
          <w:rFonts w:eastAsia="Source Han Sans CN Regular" w:cs="Times New Roman"/>
          <w:i/>
          <w:iCs/>
        </w:rPr>
        <w:t>Oenanthe pleshanka</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е концентрирана на територията на Калиакра. Скалистите морски брегове се обитават от средния корморан </w:t>
      </w:r>
      <w:r w:rsidRPr="00610B1B">
        <w:rPr>
          <w:rStyle w:val="FontStyle12"/>
          <w:rFonts w:eastAsia="Source Han Sans CN Regular" w:cs="Times New Roman"/>
          <w:iCs/>
        </w:rPr>
        <w:t>(</w:t>
      </w:r>
      <w:r w:rsidRPr="00610B1B">
        <w:rPr>
          <w:rStyle w:val="FontStyle12"/>
          <w:rFonts w:eastAsia="Source Han Sans CN Regular" w:cs="Times New Roman"/>
          <w:i/>
          <w:iCs/>
        </w:rPr>
        <w:t>Phalacrocorax aristotelis</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С откритите биотопи са свързани и редица хищни птици, като белоопашатия</w:t>
      </w:r>
      <w:r w:rsidR="00B00CF5" w:rsidRPr="00610B1B">
        <w:rPr>
          <w:rStyle w:val="FontStyle13"/>
          <w:rFonts w:eastAsia="Source Han Sans CN Regular" w:cs="Times New Roman"/>
          <w:sz w:val="24"/>
        </w:rPr>
        <w:t>т</w:t>
      </w:r>
      <w:r w:rsidRPr="00610B1B">
        <w:rPr>
          <w:rStyle w:val="FontStyle13"/>
          <w:rFonts w:eastAsia="Source Han Sans CN Regular" w:cs="Times New Roman"/>
          <w:sz w:val="24"/>
        </w:rPr>
        <w:t xml:space="preserve"> мишелов </w:t>
      </w:r>
      <w:r w:rsidRPr="00610B1B">
        <w:rPr>
          <w:rStyle w:val="FontStyle12"/>
          <w:rFonts w:eastAsia="Source Han Sans CN Regular" w:cs="Times New Roman"/>
          <w:iCs/>
        </w:rPr>
        <w:t>(</w:t>
      </w:r>
      <w:r w:rsidRPr="00610B1B">
        <w:rPr>
          <w:rStyle w:val="FontStyle12"/>
          <w:rFonts w:eastAsia="Source Han Sans CN Regular" w:cs="Times New Roman"/>
          <w:i/>
          <w:iCs/>
        </w:rPr>
        <w:t>Buteo rufinus</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сокол</w:t>
      </w:r>
      <w:r w:rsidR="00B00CF5" w:rsidRPr="00610B1B">
        <w:rPr>
          <w:rStyle w:val="FontStyle13"/>
          <w:rFonts w:eastAsia="Source Han Sans CN Regular" w:cs="Times New Roman"/>
          <w:sz w:val="24"/>
        </w:rPr>
        <w:t>ът</w:t>
      </w:r>
      <w:r w:rsidRPr="00610B1B">
        <w:rPr>
          <w:rStyle w:val="FontStyle13"/>
          <w:rFonts w:eastAsia="Source Han Sans CN Regular" w:cs="Times New Roman"/>
          <w:sz w:val="24"/>
        </w:rPr>
        <w:t xml:space="preserve"> орко </w:t>
      </w:r>
      <w:r w:rsidRPr="00610B1B">
        <w:rPr>
          <w:rStyle w:val="FontStyle12"/>
          <w:rFonts w:eastAsia="Source Han Sans CN Regular" w:cs="Times New Roman"/>
          <w:iCs/>
        </w:rPr>
        <w:t>(</w:t>
      </w:r>
      <w:r w:rsidRPr="00610B1B">
        <w:rPr>
          <w:rStyle w:val="FontStyle12"/>
          <w:rFonts w:eastAsia="Source Han Sans CN Regular" w:cs="Times New Roman"/>
          <w:i/>
          <w:iCs/>
        </w:rPr>
        <w:t>Falco subbuteo</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късопръстия</w:t>
      </w:r>
      <w:r w:rsidR="00B00CF5" w:rsidRPr="00610B1B">
        <w:rPr>
          <w:rStyle w:val="FontStyle13"/>
          <w:rFonts w:eastAsia="Source Han Sans CN Regular" w:cs="Times New Roman"/>
          <w:sz w:val="24"/>
        </w:rPr>
        <w:t>т</w:t>
      </w:r>
      <w:r w:rsidRPr="00610B1B">
        <w:rPr>
          <w:rStyle w:val="FontStyle13"/>
          <w:rFonts w:eastAsia="Source Han Sans CN Regular" w:cs="Times New Roman"/>
          <w:sz w:val="24"/>
        </w:rPr>
        <w:t xml:space="preserve"> ястреб </w:t>
      </w:r>
      <w:r w:rsidRPr="00610B1B">
        <w:rPr>
          <w:rStyle w:val="FontStyle12"/>
          <w:rFonts w:eastAsia="Source Han Sans CN Regular" w:cs="Times New Roman"/>
          <w:iCs/>
        </w:rPr>
        <w:t>(</w:t>
      </w:r>
      <w:r w:rsidRPr="00610B1B">
        <w:rPr>
          <w:rStyle w:val="FontStyle12"/>
          <w:rFonts w:eastAsia="Source Han Sans CN Regular" w:cs="Times New Roman"/>
          <w:i/>
          <w:iCs/>
        </w:rPr>
        <w:t>Accipiter brevipes</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бухал</w:t>
      </w:r>
      <w:r w:rsidR="00B00CF5" w:rsidRPr="00610B1B">
        <w:rPr>
          <w:rStyle w:val="FontStyle13"/>
          <w:rFonts w:eastAsia="Source Han Sans CN Regular" w:cs="Times New Roman"/>
          <w:sz w:val="24"/>
        </w:rPr>
        <w:t>ът</w:t>
      </w:r>
      <w:r w:rsidRPr="00610B1B">
        <w:rPr>
          <w:rStyle w:val="FontStyle13"/>
          <w:rFonts w:eastAsia="Source Han Sans CN Regular" w:cs="Times New Roman"/>
          <w:sz w:val="24"/>
        </w:rPr>
        <w:t xml:space="preserve"> </w:t>
      </w:r>
      <w:r w:rsidRPr="00610B1B">
        <w:rPr>
          <w:rStyle w:val="FontStyle12"/>
          <w:rFonts w:eastAsia="Source Han Sans CN Regular" w:cs="Times New Roman"/>
          <w:iCs/>
        </w:rPr>
        <w:t>(</w:t>
      </w:r>
      <w:r w:rsidRPr="00610B1B">
        <w:rPr>
          <w:rStyle w:val="FontStyle12"/>
          <w:rFonts w:eastAsia="Source Han Sans CN Regular" w:cs="Times New Roman"/>
          <w:i/>
          <w:iCs/>
        </w:rPr>
        <w:t>Bubo bubo</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и др. Зоната е от значение за миграцията, тъй като е разположен</w:t>
      </w:r>
      <w:r w:rsidR="00FB4757" w:rsidRPr="00610B1B">
        <w:rPr>
          <w:rStyle w:val="FontStyle13"/>
          <w:rFonts w:eastAsia="Source Han Sans CN Regular" w:cs="Times New Roman"/>
          <w:sz w:val="24"/>
        </w:rPr>
        <w:t>а</w:t>
      </w:r>
      <w:r w:rsidRPr="00610B1B">
        <w:rPr>
          <w:rStyle w:val="FontStyle13"/>
          <w:rFonts w:eastAsia="Source Han Sans CN Regular" w:cs="Times New Roman"/>
          <w:sz w:val="24"/>
        </w:rPr>
        <w:t xml:space="preserve"> на </w:t>
      </w:r>
      <w:r w:rsidRPr="00610B1B">
        <w:rPr>
          <w:rStyle w:val="FontStyle13"/>
          <w:rFonts w:eastAsia="Source Han Sans CN Regular" w:cs="Times New Roman"/>
          <w:i/>
          <w:sz w:val="24"/>
        </w:rPr>
        <w:t>Via Pontica</w:t>
      </w:r>
      <w:r w:rsidRPr="00610B1B">
        <w:rPr>
          <w:rStyle w:val="FontStyle13"/>
          <w:rFonts w:eastAsia="Source Han Sans CN Regular" w:cs="Times New Roman"/>
          <w:sz w:val="24"/>
        </w:rPr>
        <w:t xml:space="preserve">. Над Калиакра всяка есен преминават </w:t>
      </w:r>
      <w:r w:rsidR="00FB4757" w:rsidRPr="00610B1B">
        <w:rPr>
          <w:rStyle w:val="FontStyle13"/>
          <w:rFonts w:eastAsia="Source Han Sans CN Regular" w:cs="Times New Roman"/>
          <w:sz w:val="24"/>
        </w:rPr>
        <w:t>голям брой</w:t>
      </w:r>
      <w:r w:rsidRPr="00610B1B">
        <w:rPr>
          <w:rStyle w:val="FontStyle13"/>
          <w:rFonts w:eastAsia="Source Han Sans CN Regular" w:cs="Times New Roman"/>
          <w:sz w:val="24"/>
        </w:rPr>
        <w:t xml:space="preserve"> реещи се и грабливи птици. В района на Калиакра зимуват значителни количества водолюбиви птици, основно гъски, които се задържат от декември до март. Те нощуват в морето и ежедневно прелитат над района, за да се хранят в нивите.</w:t>
      </w:r>
    </w:p>
    <w:p w14:paraId="7BA919F3" w14:textId="279BA803" w:rsidR="009D4A0E" w:rsidRPr="00610B1B" w:rsidRDefault="009D4A0E" w:rsidP="00D32D6A">
      <w:pPr>
        <w:pStyle w:val="BodyText"/>
        <w:spacing w:before="0" w:after="120" w:line="276" w:lineRule="auto"/>
        <w:ind w:right="-153"/>
        <w:rPr>
          <w:rFonts w:cs="Times New Roman"/>
        </w:rPr>
      </w:pPr>
      <w:r w:rsidRPr="00610B1B">
        <w:rPr>
          <w:rStyle w:val="FontStyle13"/>
          <w:rFonts w:eastAsia="Source Han Sans CN Regular" w:cs="Times New Roman"/>
          <w:sz w:val="24"/>
        </w:rPr>
        <w:t xml:space="preserve">В защитената зона се забраняват промените в характеристиките на ландшафта и начините на трайно ползване, включително чрез премахване на групи дървета и храсти или със залесяване на ливади, мери и пасища; </w:t>
      </w:r>
      <w:r w:rsidRPr="00610B1B">
        <w:rPr>
          <w:rFonts w:cs="Times New Roman"/>
        </w:rPr>
        <w:t xml:space="preserve">използването на пестициди и минерални торове; разширяване на площта на съществуващи кариери; изграждане на пречиствателни станции за питейни и отпадъчни води, на съоръжения за третиране на отпадъци, на съоръжения за укрепване на свлачища; пътища и други елементи </w:t>
      </w:r>
      <w:r w:rsidRPr="00610B1B">
        <w:rPr>
          <w:rFonts w:cs="Times New Roman"/>
          <w:iCs/>
        </w:rPr>
        <w:t>(</w:t>
      </w:r>
      <w:r w:rsidRPr="00610B1B">
        <w:rPr>
          <w:rFonts w:cs="Times New Roman"/>
        </w:rPr>
        <w:t>обекти</w:t>
      </w:r>
      <w:r w:rsidRPr="00610B1B">
        <w:rPr>
          <w:rFonts w:cs="Times New Roman"/>
          <w:iCs/>
        </w:rPr>
        <w:t>)</w:t>
      </w:r>
      <w:r w:rsidRPr="00610B1B">
        <w:rPr>
          <w:rFonts w:cs="Times New Roman"/>
        </w:rPr>
        <w:t xml:space="preserve"> на техническата инфраструктура, вкл. фотоволтаици и ветрогенератори; реализиране на планове, програми, проекти и инвестиционни предложения, за които няма проведена процедура по чл. 31 от ЗБР. Изключения се допускат също така и за някои дейности по предоставените с РМС № 536/30.07.2003 г. и РМС №540/30.07.2003 г. концесии за добив на суров нефт от находище „Тюленово“ и концесия за добив на природен газ от находище „Българево“. Забранени са лова на водоплаващ дивеч и въвеждането на нетипични за района земеделски култури.</w:t>
      </w:r>
      <w:r w:rsidR="00C415D1" w:rsidRPr="00610B1B">
        <w:rPr>
          <w:rFonts w:cs="Times New Roman"/>
        </w:rPr>
        <w:t xml:space="preserve"> </w:t>
      </w:r>
    </w:p>
    <w:p w14:paraId="2155707F" w14:textId="4868617D" w:rsidR="009D4A0E" w:rsidRPr="00610B1B" w:rsidRDefault="009D4A0E" w:rsidP="00D32D6A">
      <w:pPr>
        <w:pStyle w:val="BodyText"/>
        <w:spacing w:before="0" w:after="120" w:line="276" w:lineRule="auto"/>
        <w:ind w:right="-153"/>
        <w:rPr>
          <w:rFonts w:cs="Times New Roman"/>
        </w:rPr>
      </w:pPr>
      <w:r w:rsidRPr="00610B1B">
        <w:rPr>
          <w:rFonts w:cs="Times New Roman"/>
        </w:rPr>
        <w:t>Поради големия брой изградени ветрогенератори в района, с разрешения преди обявяването на зоните по Натура 2000,</w:t>
      </w:r>
      <w:r w:rsidR="00D66FE0" w:rsidRPr="00610B1B">
        <w:rPr>
          <w:rFonts w:cs="Times New Roman"/>
        </w:rPr>
        <w:t xml:space="preserve"> </w:t>
      </w:r>
      <w:r w:rsidRPr="00610B1B">
        <w:rPr>
          <w:rFonts w:cs="Times New Roman"/>
        </w:rPr>
        <w:t>изменението на режимите от 2017 г. предвижда вредните въздействия от работата на единични вятърни турбини, групи ветрогенератори или цели ветроенергийни паркове при наличие на данни за интензивен миграционен поток на птици да бъдат намалени чрез спиране на</w:t>
      </w:r>
      <w:r w:rsidR="00187BC9" w:rsidRPr="00610B1B">
        <w:rPr>
          <w:rFonts w:cs="Times New Roman"/>
        </w:rPr>
        <w:t xml:space="preserve"> част </w:t>
      </w:r>
      <w:r w:rsidRPr="00610B1B">
        <w:rPr>
          <w:rFonts w:cs="Times New Roman"/>
        </w:rPr>
        <w:t xml:space="preserve">от </w:t>
      </w:r>
      <w:r w:rsidR="00187BC9" w:rsidRPr="00610B1B">
        <w:rPr>
          <w:rFonts w:cs="Times New Roman"/>
        </w:rPr>
        <w:t>генераторите</w:t>
      </w:r>
      <w:r w:rsidRPr="00610B1B">
        <w:rPr>
          <w:rFonts w:cs="Times New Roman"/>
        </w:rPr>
        <w:t xml:space="preserve">. </w:t>
      </w:r>
    </w:p>
    <w:p w14:paraId="5D43E782" w14:textId="25CCB2C4" w:rsidR="009D4A0E" w:rsidRPr="00610B1B" w:rsidRDefault="009D4A0E" w:rsidP="00D32D6A">
      <w:pPr>
        <w:pStyle w:val="BodyText"/>
        <w:spacing w:before="0" w:after="120" w:line="276" w:lineRule="auto"/>
        <w:ind w:right="-153"/>
        <w:rPr>
          <w:rFonts w:cs="Times New Roman"/>
        </w:rPr>
      </w:pPr>
      <w:r w:rsidRPr="00610B1B">
        <w:rPr>
          <w:rStyle w:val="FontStyle14"/>
          <w:rFonts w:eastAsia="Source Han Sans CN Regular" w:cs="Times New Roman"/>
        </w:rPr>
        <w:t>Защитена Зона</w:t>
      </w:r>
      <w:r w:rsidR="00331812" w:rsidRPr="00610B1B">
        <w:rPr>
          <w:rFonts w:cs="Times New Roman"/>
        </w:rPr>
        <w:t xml:space="preserve"> </w:t>
      </w:r>
      <w:r w:rsidR="00331812" w:rsidRPr="00610B1B">
        <w:rPr>
          <w:rStyle w:val="FontStyle14"/>
          <w:rFonts w:eastAsia="Source Han Sans CN Regular" w:cs="Times New Roman"/>
        </w:rPr>
        <w:t xml:space="preserve">BG0002041 </w:t>
      </w:r>
      <w:r w:rsidRPr="00610B1B">
        <w:rPr>
          <w:rStyle w:val="FontStyle14"/>
          <w:rFonts w:eastAsia="Source Han Sans CN Regular" w:cs="Times New Roman"/>
        </w:rPr>
        <w:t>„Комплекс Ропотамо“</w:t>
      </w:r>
      <w:r w:rsidR="00187BC9" w:rsidRPr="00610B1B">
        <w:rPr>
          <w:rFonts w:cs="Times New Roman"/>
        </w:rPr>
        <w:t xml:space="preserve"> за опазване на дивите птици </w:t>
      </w:r>
      <w:r w:rsidRPr="00610B1B">
        <w:rPr>
          <w:rStyle w:val="FontStyle13"/>
          <w:rFonts w:eastAsia="Source Han Sans CN Regular" w:cs="Times New Roman"/>
          <w:sz w:val="24"/>
        </w:rPr>
        <w:t>е с площ 3857</w:t>
      </w:r>
      <w:r w:rsidR="00FB4757" w:rsidRPr="00610B1B">
        <w:rPr>
          <w:rStyle w:val="FontStyle13"/>
          <w:rFonts w:eastAsia="Source Han Sans CN Regular" w:cs="Times New Roman"/>
          <w:sz w:val="24"/>
        </w:rPr>
        <w:t>,</w:t>
      </w:r>
      <w:r w:rsidRPr="00610B1B">
        <w:rPr>
          <w:rStyle w:val="FontStyle13"/>
          <w:rFonts w:eastAsia="Source Han Sans CN Regular" w:cs="Times New Roman"/>
          <w:sz w:val="24"/>
        </w:rPr>
        <w:t>75 ha, от които 17.2% са морска акватория. Тя е обявена със Заповед № РД-82/03.02.2009 г., и има за цел опазването, поддържането и при необходимост възстановяването на природните местообитания на птиците, като обхваща</w:t>
      </w:r>
      <w:r w:rsidR="00D66FE0" w:rsidRPr="00610B1B">
        <w:rPr>
          <w:rStyle w:val="FontStyle13"/>
          <w:rFonts w:eastAsia="Source Han Sans CN Regular" w:cs="Times New Roman"/>
          <w:sz w:val="24"/>
        </w:rPr>
        <w:t xml:space="preserve"> </w:t>
      </w:r>
      <w:r w:rsidRPr="00610B1B">
        <w:rPr>
          <w:rStyle w:val="FontStyle13"/>
          <w:rFonts w:eastAsia="Source Han Sans CN Regular" w:cs="Times New Roman"/>
          <w:sz w:val="24"/>
        </w:rPr>
        <w:t>части от общините Созопол и Приморско.</w:t>
      </w:r>
      <w:r w:rsidR="00187BC9" w:rsidRPr="00610B1B">
        <w:rPr>
          <w:rStyle w:val="FontStyle13"/>
          <w:rFonts w:eastAsia="Source Han Sans CN Regular" w:cs="Times New Roman"/>
          <w:sz w:val="24"/>
        </w:rPr>
        <w:t xml:space="preserve"> </w:t>
      </w:r>
      <w:r w:rsidRPr="00610B1B">
        <w:rPr>
          <w:rStyle w:val="FontStyle13"/>
          <w:rFonts w:eastAsia="Source Han Sans CN Regular" w:cs="Times New Roman"/>
          <w:sz w:val="24"/>
        </w:rPr>
        <w:t>В защитената зона попадат резерват „Ропотамо“, поддържаният резерват</w:t>
      </w:r>
      <w:r w:rsidR="00D66FE0" w:rsidRPr="00610B1B">
        <w:rPr>
          <w:rStyle w:val="FontStyle13"/>
          <w:rFonts w:eastAsia="Source Han Sans CN Regular" w:cs="Times New Roman"/>
          <w:sz w:val="24"/>
        </w:rPr>
        <w:t xml:space="preserve"> </w:t>
      </w:r>
      <w:r w:rsidRPr="00610B1B">
        <w:rPr>
          <w:rStyle w:val="FontStyle13"/>
          <w:rFonts w:eastAsia="Source Han Sans CN Regular" w:cs="Times New Roman"/>
          <w:sz w:val="24"/>
        </w:rPr>
        <w:t xml:space="preserve">„Вельов дол“ </w:t>
      </w:r>
      <w:r w:rsidRPr="00610B1B">
        <w:rPr>
          <w:rStyle w:val="FontStyle13"/>
          <w:rFonts w:eastAsia="Source Han Sans CN Regular" w:cs="Times New Roman"/>
          <w:iCs/>
          <w:sz w:val="24"/>
        </w:rPr>
        <w:t>(</w:t>
      </w:r>
      <w:r w:rsidRPr="00610B1B">
        <w:rPr>
          <w:rStyle w:val="FontStyle13"/>
          <w:rFonts w:eastAsia="Source Han Sans CN Regular" w:cs="Times New Roman"/>
          <w:sz w:val="24"/>
        </w:rPr>
        <w:t>Водните лилии</w:t>
      </w:r>
      <w:r w:rsidRPr="00610B1B">
        <w:rPr>
          <w:rStyle w:val="FontStyle13"/>
          <w:rFonts w:eastAsia="Source Han Sans CN Regular" w:cs="Times New Roman"/>
          <w:iCs/>
          <w:sz w:val="24"/>
        </w:rPr>
        <w:t>)</w:t>
      </w:r>
      <w:r w:rsidRPr="00610B1B">
        <w:rPr>
          <w:rStyle w:val="FontStyle13"/>
          <w:rFonts w:eastAsia="Source Han Sans CN Regular" w:cs="Times New Roman"/>
          <w:sz w:val="24"/>
        </w:rPr>
        <w:t>, защитените местности Беглик Таш, Ст</w:t>
      </w:r>
      <w:r w:rsidR="00FB4757" w:rsidRPr="00610B1B">
        <w:rPr>
          <w:rStyle w:val="FontStyle13"/>
          <w:rFonts w:eastAsia="Source Han Sans CN Regular" w:cs="Times New Roman"/>
          <w:sz w:val="24"/>
        </w:rPr>
        <w:t>о</w:t>
      </w:r>
      <w:r w:rsidRPr="00610B1B">
        <w:rPr>
          <w:rStyle w:val="FontStyle13"/>
          <w:rFonts w:eastAsia="Source Han Sans CN Regular" w:cs="Times New Roman"/>
          <w:sz w:val="24"/>
        </w:rPr>
        <w:t>мопл</w:t>
      </w:r>
      <w:r w:rsidR="00FB4757" w:rsidRPr="00610B1B">
        <w:rPr>
          <w:rStyle w:val="FontStyle13"/>
          <w:rFonts w:eastAsia="Source Han Sans CN Regular" w:cs="Times New Roman"/>
          <w:sz w:val="24"/>
        </w:rPr>
        <w:t>о</w:t>
      </w:r>
      <w:r w:rsidRPr="00610B1B">
        <w:rPr>
          <w:rStyle w:val="FontStyle13"/>
          <w:rFonts w:eastAsia="Source Han Sans CN Regular" w:cs="Times New Roman"/>
          <w:sz w:val="24"/>
        </w:rPr>
        <w:t xml:space="preserve"> и блатото Алепу и природните забележителности Пясъчни дюни в местностите Алепу и Каваците,</w:t>
      </w:r>
      <w:r w:rsidR="00D66FE0" w:rsidRPr="00610B1B">
        <w:rPr>
          <w:rStyle w:val="FontStyle13"/>
          <w:rFonts w:eastAsia="Source Han Sans CN Regular" w:cs="Times New Roman"/>
          <w:sz w:val="24"/>
        </w:rPr>
        <w:t xml:space="preserve"> </w:t>
      </w:r>
      <w:r w:rsidRPr="00610B1B">
        <w:rPr>
          <w:rStyle w:val="FontStyle13"/>
          <w:rFonts w:eastAsia="Source Han Sans CN Regular" w:cs="Times New Roman"/>
          <w:sz w:val="24"/>
        </w:rPr>
        <w:t xml:space="preserve">Скалните образувания, фиордите и тюленовата пещера </w:t>
      </w:r>
      <w:r w:rsidR="00D36892" w:rsidRPr="00610B1B">
        <w:rPr>
          <w:rStyle w:val="FontStyle13"/>
          <w:rFonts w:eastAsia="Source Han Sans CN Regular" w:cs="Times New Roman"/>
          <w:sz w:val="24"/>
        </w:rPr>
        <w:t>на</w:t>
      </w:r>
      <w:r w:rsidRPr="00610B1B">
        <w:rPr>
          <w:rStyle w:val="FontStyle13"/>
          <w:rFonts w:eastAsia="Source Han Sans CN Regular" w:cs="Times New Roman"/>
          <w:sz w:val="24"/>
        </w:rPr>
        <w:t xml:space="preserve"> Маслен нос.</w:t>
      </w:r>
    </w:p>
    <w:p w14:paraId="7AF3938E" w14:textId="429563E3" w:rsidR="009D4A0E" w:rsidRPr="00610B1B" w:rsidRDefault="009D4A0E" w:rsidP="00D32D6A">
      <w:pPr>
        <w:pStyle w:val="BodyText"/>
        <w:spacing w:before="0" w:after="120" w:line="276" w:lineRule="auto"/>
        <w:ind w:right="-153"/>
        <w:rPr>
          <w:rFonts w:cs="Times New Roman"/>
        </w:rPr>
      </w:pPr>
      <w:r w:rsidRPr="00610B1B">
        <w:rPr>
          <w:rStyle w:val="FontStyle13"/>
          <w:rFonts w:eastAsia="Source Han Sans CN Regular" w:cs="Times New Roman"/>
          <w:sz w:val="24"/>
        </w:rPr>
        <w:t>Комплекс Ропотамо е едно от най-важните места в страната</w:t>
      </w:r>
      <w:r w:rsidR="00D36892" w:rsidRPr="00610B1B">
        <w:rPr>
          <w:rStyle w:val="FontStyle13"/>
          <w:rFonts w:eastAsia="Source Han Sans CN Regular" w:cs="Times New Roman"/>
          <w:sz w:val="24"/>
        </w:rPr>
        <w:t>,</w:t>
      </w:r>
      <w:r w:rsidRPr="00610B1B">
        <w:rPr>
          <w:rStyle w:val="FontStyle13"/>
          <w:rFonts w:eastAsia="Source Han Sans CN Regular" w:cs="Times New Roman"/>
          <w:sz w:val="24"/>
        </w:rPr>
        <w:t xml:space="preserve"> където гнездят видове, силно привързани към разнообразните типове местообитания на територията му - средиземноморският буревестник</w:t>
      </w:r>
      <w:r w:rsidR="00FB4757" w:rsidRPr="00610B1B">
        <w:rPr>
          <w:rFonts w:cs="Times New Roman"/>
        </w:rPr>
        <w:t xml:space="preserve"> </w:t>
      </w:r>
      <w:r w:rsidR="00FB4757" w:rsidRPr="00610B1B">
        <w:rPr>
          <w:rStyle w:val="FontStyle13"/>
          <w:rFonts w:eastAsia="Source Han Sans CN Regular" w:cs="Times New Roman"/>
          <w:sz w:val="24"/>
        </w:rPr>
        <w:t>(</w:t>
      </w:r>
      <w:r w:rsidR="00FB4757" w:rsidRPr="00610B1B">
        <w:rPr>
          <w:rStyle w:val="FontStyle13"/>
          <w:rFonts w:eastAsia="Source Han Sans CN Regular" w:cs="Times New Roman"/>
          <w:i/>
          <w:iCs/>
          <w:sz w:val="24"/>
        </w:rPr>
        <w:t>Puffinus yelkouan</w:t>
      </w:r>
      <w:r w:rsidR="00FB4757" w:rsidRPr="00610B1B">
        <w:rPr>
          <w:rStyle w:val="FontStyle13"/>
          <w:rFonts w:eastAsia="Source Han Sans CN Regular" w:cs="Times New Roman"/>
          <w:sz w:val="24"/>
        </w:rPr>
        <w:t>)</w:t>
      </w:r>
      <w:r w:rsidRPr="00610B1B">
        <w:rPr>
          <w:rStyle w:val="FontStyle13"/>
          <w:rFonts w:eastAsia="Source Han Sans CN Regular" w:cs="Times New Roman"/>
          <w:sz w:val="24"/>
        </w:rPr>
        <w:t xml:space="preserve">, голямата пъструшка </w:t>
      </w:r>
      <w:r w:rsidRPr="00610B1B">
        <w:rPr>
          <w:rStyle w:val="FontStyle12"/>
          <w:rFonts w:eastAsia="Source Han Sans CN Regular" w:cs="Times New Roman"/>
          <w:iCs/>
        </w:rPr>
        <w:t>(</w:t>
      </w:r>
      <w:r w:rsidRPr="00610B1B">
        <w:rPr>
          <w:rStyle w:val="FontStyle12"/>
          <w:rFonts w:eastAsia="Source Han Sans CN Regular" w:cs="Times New Roman"/>
          <w:i/>
          <w:iCs/>
        </w:rPr>
        <w:t xml:space="preserve">Porzana </w:t>
      </w:r>
      <w:r w:rsidRPr="00610B1B">
        <w:rPr>
          <w:rStyle w:val="FontStyle12"/>
          <w:rFonts w:eastAsia="Source Han Sans CN Regular" w:cs="Times New Roman"/>
          <w:i/>
          <w:iCs/>
        </w:rPr>
        <w:lastRenderedPageBreak/>
        <w:t>porzana</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средната пъструшка </w:t>
      </w:r>
      <w:r w:rsidRPr="00610B1B">
        <w:rPr>
          <w:rStyle w:val="FontStyle12"/>
          <w:rFonts w:eastAsia="Source Han Sans CN Regular" w:cs="Times New Roman"/>
          <w:iCs/>
        </w:rPr>
        <w:t>(</w:t>
      </w:r>
      <w:r w:rsidRPr="00610B1B">
        <w:rPr>
          <w:rStyle w:val="FontStyle12"/>
          <w:rFonts w:eastAsia="Source Han Sans CN Regular" w:cs="Times New Roman"/>
          <w:i/>
          <w:iCs/>
        </w:rPr>
        <w:t>Porzana parva</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червената чапла</w:t>
      </w:r>
      <w:r w:rsidR="00FB4757" w:rsidRPr="00610B1B">
        <w:rPr>
          <w:rStyle w:val="FontStyle13"/>
          <w:rFonts w:eastAsia="Source Han Sans CN Regular" w:cs="Times New Roman"/>
          <w:sz w:val="24"/>
        </w:rPr>
        <w:t xml:space="preserve"> (</w:t>
      </w:r>
      <w:r w:rsidR="00FB4757" w:rsidRPr="00610B1B">
        <w:rPr>
          <w:rStyle w:val="FontStyle13"/>
          <w:rFonts w:eastAsia="Source Han Sans CN Regular" w:cs="Times New Roman"/>
          <w:i/>
          <w:iCs/>
          <w:sz w:val="24"/>
        </w:rPr>
        <w:t>Ardea purpurea</w:t>
      </w:r>
      <w:r w:rsidR="00FB4757" w:rsidRPr="00610B1B">
        <w:rPr>
          <w:rStyle w:val="FontStyle13"/>
          <w:rFonts w:eastAsia="Source Han Sans CN Regular" w:cs="Times New Roman"/>
          <w:sz w:val="24"/>
        </w:rPr>
        <w:t>)</w:t>
      </w:r>
      <w:r w:rsidRPr="00610B1B">
        <w:rPr>
          <w:rStyle w:val="FontStyle13"/>
          <w:rFonts w:eastAsia="Source Han Sans CN Regular" w:cs="Times New Roman"/>
          <w:sz w:val="24"/>
        </w:rPr>
        <w:t xml:space="preserve">, гривестата чапла </w:t>
      </w:r>
      <w:r w:rsidRPr="00610B1B">
        <w:rPr>
          <w:rStyle w:val="FontStyle12"/>
          <w:rFonts w:eastAsia="Source Han Sans CN Regular" w:cs="Times New Roman"/>
          <w:iCs/>
        </w:rPr>
        <w:t>(</w:t>
      </w:r>
      <w:r w:rsidRPr="00610B1B">
        <w:rPr>
          <w:rStyle w:val="FontStyle12"/>
          <w:rFonts w:eastAsia="Source Han Sans CN Regular" w:cs="Times New Roman"/>
          <w:i/>
          <w:iCs/>
        </w:rPr>
        <w:t>Ardeola ralloides</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и полубеловратата мухоловка</w:t>
      </w:r>
      <w:r w:rsidR="00FB4757" w:rsidRPr="00610B1B">
        <w:rPr>
          <w:rFonts w:cs="Times New Roman"/>
        </w:rPr>
        <w:t xml:space="preserve"> </w:t>
      </w:r>
      <w:r w:rsidR="00FB4757" w:rsidRPr="00610B1B">
        <w:rPr>
          <w:rStyle w:val="FontStyle13"/>
          <w:rFonts w:eastAsia="Source Han Sans CN Regular" w:cs="Times New Roman"/>
          <w:sz w:val="24"/>
        </w:rPr>
        <w:t>(</w:t>
      </w:r>
      <w:r w:rsidR="00FB4757" w:rsidRPr="00610B1B">
        <w:rPr>
          <w:rStyle w:val="FontStyle13"/>
          <w:rFonts w:eastAsia="Source Han Sans CN Regular" w:cs="Times New Roman"/>
          <w:i/>
          <w:iCs/>
          <w:sz w:val="24"/>
        </w:rPr>
        <w:t>Ficedula semitorquata</w:t>
      </w:r>
      <w:r w:rsidR="00FB4757" w:rsidRPr="00610B1B">
        <w:rPr>
          <w:rStyle w:val="FontStyle13"/>
          <w:rFonts w:eastAsia="Source Han Sans CN Regular" w:cs="Times New Roman"/>
          <w:sz w:val="24"/>
        </w:rPr>
        <w:t>)</w:t>
      </w:r>
      <w:r w:rsidRPr="00610B1B">
        <w:rPr>
          <w:rStyle w:val="FontStyle13"/>
          <w:rFonts w:eastAsia="Source Han Sans CN Regular" w:cs="Times New Roman"/>
          <w:sz w:val="24"/>
        </w:rPr>
        <w:t xml:space="preserve">. Комплекс Ропотамо е едно от трите гнездови находища на морския орел </w:t>
      </w:r>
      <w:r w:rsidR="00FB4757" w:rsidRPr="00610B1B">
        <w:rPr>
          <w:rStyle w:val="FontStyle13"/>
          <w:rFonts w:eastAsia="Source Han Sans CN Regular" w:cs="Times New Roman"/>
          <w:sz w:val="24"/>
        </w:rPr>
        <w:t>(</w:t>
      </w:r>
      <w:r w:rsidR="00FB4757" w:rsidRPr="00610B1B">
        <w:rPr>
          <w:rStyle w:val="FontStyle13"/>
          <w:rFonts w:eastAsia="Source Han Sans CN Regular" w:cs="Times New Roman"/>
          <w:i/>
          <w:iCs/>
          <w:sz w:val="24"/>
        </w:rPr>
        <w:t>Haliaeetus albicilla</w:t>
      </w:r>
      <w:r w:rsidR="00FB4757" w:rsidRPr="00610B1B">
        <w:rPr>
          <w:rStyle w:val="FontStyle13"/>
          <w:rFonts w:eastAsia="Source Han Sans CN Regular" w:cs="Times New Roman"/>
          <w:sz w:val="24"/>
        </w:rPr>
        <w:t>)</w:t>
      </w:r>
      <w:r w:rsidRPr="00610B1B">
        <w:rPr>
          <w:rStyle w:val="FontStyle13"/>
          <w:rFonts w:eastAsia="Source Han Sans CN Regular" w:cs="Times New Roman"/>
          <w:sz w:val="24"/>
        </w:rPr>
        <w:t xml:space="preserve"> по </w:t>
      </w:r>
      <w:r w:rsidR="008E5D9F" w:rsidRPr="00610B1B">
        <w:rPr>
          <w:rStyle w:val="FontStyle13"/>
          <w:rFonts w:eastAsia="Source Han Sans CN Regular" w:cs="Times New Roman"/>
          <w:sz w:val="24"/>
        </w:rPr>
        <w:t>Б</w:t>
      </w:r>
      <w:r w:rsidRPr="00610B1B">
        <w:rPr>
          <w:rStyle w:val="FontStyle13"/>
          <w:rFonts w:eastAsia="Source Han Sans CN Regular" w:cs="Times New Roman"/>
          <w:sz w:val="24"/>
        </w:rPr>
        <w:t xml:space="preserve">ългарското Черноморие. През размножителния период, по време на миграция или зимуване са установени застрашени видове като малкият корморан, къдроглавият пеликан, мраморната патица </w:t>
      </w:r>
      <w:r w:rsidRPr="00610B1B">
        <w:rPr>
          <w:rStyle w:val="FontStyle12"/>
          <w:rFonts w:eastAsia="Source Han Sans CN Regular" w:cs="Times New Roman"/>
          <w:iCs/>
        </w:rPr>
        <w:t>(</w:t>
      </w:r>
      <w:r w:rsidRPr="00610B1B">
        <w:rPr>
          <w:rStyle w:val="FontStyle12"/>
          <w:rFonts w:eastAsia="Source Han Sans CN Regular" w:cs="Times New Roman"/>
          <w:i/>
          <w:iCs/>
        </w:rPr>
        <w:t>Marmaronetta angustirostris</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белооката потапница, морският орел, степният блатар </w:t>
      </w:r>
      <w:r w:rsidRPr="00610B1B">
        <w:rPr>
          <w:rStyle w:val="FontStyle12"/>
          <w:rFonts w:eastAsia="Source Han Sans CN Regular" w:cs="Times New Roman"/>
          <w:iCs/>
        </w:rPr>
        <w:t>(</w:t>
      </w:r>
      <w:r w:rsidRPr="00610B1B">
        <w:rPr>
          <w:rStyle w:val="FontStyle12"/>
          <w:rFonts w:eastAsia="Source Han Sans CN Regular" w:cs="Times New Roman"/>
          <w:i/>
          <w:iCs/>
        </w:rPr>
        <w:t>Circus macrourus</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големият креслив орел </w:t>
      </w:r>
      <w:r w:rsidRPr="00610B1B">
        <w:rPr>
          <w:rStyle w:val="FontStyle12"/>
          <w:rFonts w:eastAsia="Source Han Sans CN Regular" w:cs="Times New Roman"/>
          <w:iCs/>
        </w:rPr>
        <w:t>(</w:t>
      </w:r>
      <w:r w:rsidRPr="00610B1B">
        <w:rPr>
          <w:rStyle w:val="FontStyle12"/>
          <w:rFonts w:eastAsia="Source Han Sans CN Regular" w:cs="Times New Roman"/>
        </w:rPr>
        <w:t>Aquila clanga</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царският орел </w:t>
      </w:r>
      <w:r w:rsidRPr="00610B1B">
        <w:rPr>
          <w:rStyle w:val="FontStyle12"/>
          <w:rFonts w:eastAsia="Source Han Sans CN Regular" w:cs="Times New Roman"/>
          <w:iCs/>
        </w:rPr>
        <w:t>(</w:t>
      </w:r>
      <w:r w:rsidRPr="00610B1B">
        <w:rPr>
          <w:rStyle w:val="FontStyle12"/>
          <w:rFonts w:eastAsia="Source Han Sans CN Regular" w:cs="Times New Roman"/>
          <w:i/>
          <w:iCs/>
        </w:rPr>
        <w:t>Aquila heliaca</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белошипата ветрушка </w:t>
      </w:r>
      <w:r w:rsidRPr="00610B1B">
        <w:rPr>
          <w:rStyle w:val="FontStyle12"/>
          <w:rFonts w:eastAsia="Source Han Sans CN Regular" w:cs="Times New Roman"/>
          <w:iCs/>
        </w:rPr>
        <w:t>(</w:t>
      </w:r>
      <w:r w:rsidRPr="00610B1B">
        <w:rPr>
          <w:rStyle w:val="FontStyle12"/>
          <w:rFonts w:eastAsia="Source Han Sans CN Regular" w:cs="Times New Roman"/>
          <w:i/>
          <w:iCs/>
        </w:rPr>
        <w:t>Falco</w:t>
      </w:r>
      <w:r w:rsidRPr="00610B1B">
        <w:rPr>
          <w:rStyle w:val="FontStyle12"/>
          <w:rFonts w:eastAsia="Source Han Sans CN Regular" w:cs="Times New Roman"/>
        </w:rPr>
        <w:t xml:space="preserve"> </w:t>
      </w:r>
      <w:r w:rsidRPr="00610B1B">
        <w:rPr>
          <w:rStyle w:val="FontStyle12"/>
          <w:rFonts w:eastAsia="Source Han Sans CN Regular" w:cs="Times New Roman"/>
          <w:i/>
          <w:iCs/>
        </w:rPr>
        <w:t>naumanni</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и ливадният дърдавец </w:t>
      </w:r>
      <w:r w:rsidRPr="00610B1B">
        <w:rPr>
          <w:rStyle w:val="FontStyle13"/>
          <w:rFonts w:eastAsia="Source Han Sans CN Regular" w:cs="Times New Roman"/>
          <w:iCs/>
          <w:sz w:val="24"/>
        </w:rPr>
        <w:t>(</w:t>
      </w:r>
      <w:r w:rsidRPr="00610B1B">
        <w:rPr>
          <w:rStyle w:val="FontStyle13"/>
          <w:rFonts w:eastAsia="Source Han Sans CN Regular" w:cs="Times New Roman"/>
          <w:i/>
          <w:iCs/>
          <w:sz w:val="24"/>
        </w:rPr>
        <w:t>Crex Crex</w:t>
      </w:r>
      <w:r w:rsidRPr="00610B1B">
        <w:rPr>
          <w:rStyle w:val="FontStyle13"/>
          <w:rFonts w:eastAsia="Source Han Sans CN Regular" w:cs="Times New Roman"/>
          <w:iCs/>
          <w:sz w:val="24"/>
        </w:rPr>
        <w:t>)</w:t>
      </w:r>
      <w:r w:rsidRPr="00610B1B">
        <w:rPr>
          <w:rStyle w:val="FontStyle13"/>
          <w:rFonts w:eastAsia="Source Han Sans CN Regular" w:cs="Times New Roman"/>
          <w:sz w:val="24"/>
        </w:rPr>
        <w:t>. Комплексът е важна междинна станция при миграция на птиците и поддържа значителни зимуващи популации на черногушия гмуркач</w:t>
      </w:r>
      <w:r w:rsidR="00DC1E4E" w:rsidRPr="00610B1B">
        <w:rPr>
          <w:rStyle w:val="FontStyle13"/>
          <w:rFonts w:eastAsia="Source Han Sans CN Regular" w:cs="Times New Roman"/>
          <w:sz w:val="24"/>
        </w:rPr>
        <w:t xml:space="preserve"> (</w:t>
      </w:r>
      <w:r w:rsidR="00DC1E4E" w:rsidRPr="00610B1B">
        <w:rPr>
          <w:rStyle w:val="FontStyle13"/>
          <w:rFonts w:eastAsia="Source Han Sans CN Regular" w:cs="Times New Roman"/>
          <w:i/>
          <w:iCs/>
          <w:sz w:val="24"/>
        </w:rPr>
        <w:t>Gavia arctica</w:t>
      </w:r>
      <w:r w:rsidR="00DC1E4E" w:rsidRPr="00610B1B">
        <w:rPr>
          <w:rStyle w:val="FontStyle13"/>
          <w:rFonts w:eastAsia="Source Han Sans CN Regular" w:cs="Times New Roman"/>
          <w:sz w:val="24"/>
        </w:rPr>
        <w:t>)</w:t>
      </w:r>
      <w:r w:rsidRPr="00610B1B">
        <w:rPr>
          <w:rStyle w:val="FontStyle13"/>
          <w:rFonts w:eastAsia="Source Han Sans CN Regular" w:cs="Times New Roman"/>
          <w:sz w:val="24"/>
        </w:rPr>
        <w:t xml:space="preserve">, кафявоглавата </w:t>
      </w:r>
      <w:r w:rsidRPr="00610B1B">
        <w:rPr>
          <w:rStyle w:val="FontStyle12"/>
          <w:rFonts w:eastAsia="Source Han Sans CN Regular" w:cs="Times New Roman"/>
          <w:iCs/>
        </w:rPr>
        <w:t>(</w:t>
      </w:r>
      <w:r w:rsidRPr="00610B1B">
        <w:rPr>
          <w:rStyle w:val="FontStyle12"/>
          <w:rFonts w:eastAsia="Source Han Sans CN Regular" w:cs="Times New Roman"/>
          <w:i/>
          <w:iCs/>
        </w:rPr>
        <w:t>Aythya farina</w:t>
      </w:r>
      <w:r w:rsidRPr="00610B1B">
        <w:rPr>
          <w:rStyle w:val="FontStyle12"/>
          <w:rFonts w:eastAsia="Source Han Sans CN Regular" w:cs="Times New Roman"/>
          <w:iCs/>
        </w:rPr>
        <w:t>)</w:t>
      </w:r>
      <w:r w:rsidR="005A24B3" w:rsidRPr="00610B1B">
        <w:rPr>
          <w:rStyle w:val="FontStyle12"/>
          <w:rFonts w:eastAsia="Source Han Sans CN Regular" w:cs="Times New Roman"/>
          <w:iCs/>
        </w:rPr>
        <w:t xml:space="preserve"> и</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червеноклюната потапница </w:t>
      </w:r>
      <w:r w:rsidRPr="00610B1B">
        <w:rPr>
          <w:rStyle w:val="FontStyle12"/>
          <w:rFonts w:eastAsia="Source Han Sans CN Regular" w:cs="Times New Roman"/>
          <w:iCs/>
        </w:rPr>
        <w:t>(</w:t>
      </w:r>
      <w:r w:rsidRPr="00610B1B">
        <w:rPr>
          <w:rStyle w:val="FontStyle12"/>
          <w:rFonts w:eastAsia="Source Han Sans CN Regular" w:cs="Times New Roman"/>
          <w:i/>
          <w:iCs/>
        </w:rPr>
        <w:t>Netta rufina</w:t>
      </w:r>
      <w:r w:rsidRPr="00610B1B">
        <w:rPr>
          <w:rStyle w:val="FontStyle12"/>
          <w:rFonts w:eastAsia="Source Han Sans CN Regular" w:cs="Times New Roman"/>
          <w:iCs/>
        </w:rPr>
        <w:t>)</w:t>
      </w:r>
      <w:r w:rsidRPr="00610B1B">
        <w:rPr>
          <w:rStyle w:val="FontStyle12"/>
          <w:rFonts w:eastAsia="Source Han Sans CN Regular" w:cs="Times New Roman"/>
        </w:rPr>
        <w:t xml:space="preserve"> </w:t>
      </w:r>
      <w:r w:rsidRPr="00610B1B">
        <w:rPr>
          <w:rStyle w:val="FontStyle13"/>
          <w:rFonts w:eastAsia="Source Han Sans CN Regular" w:cs="Times New Roman"/>
          <w:sz w:val="24"/>
        </w:rPr>
        <w:t xml:space="preserve">и сивата патица </w:t>
      </w:r>
      <w:r w:rsidRPr="00610B1B">
        <w:rPr>
          <w:rStyle w:val="FontStyle12"/>
          <w:rFonts w:eastAsia="Source Han Sans CN Regular" w:cs="Times New Roman"/>
          <w:iCs/>
        </w:rPr>
        <w:t>(</w:t>
      </w:r>
      <w:r w:rsidRPr="00610B1B">
        <w:rPr>
          <w:rStyle w:val="FontStyle12"/>
          <w:rFonts w:eastAsia="Source Han Sans CN Regular" w:cs="Times New Roman"/>
          <w:i/>
          <w:iCs/>
        </w:rPr>
        <w:t>Anas strepera</w:t>
      </w:r>
      <w:r w:rsidRPr="00610B1B">
        <w:rPr>
          <w:rStyle w:val="FontStyle12"/>
          <w:rFonts w:eastAsia="Source Han Sans CN Regular" w:cs="Times New Roman"/>
          <w:iCs/>
        </w:rPr>
        <w:t>)</w:t>
      </w:r>
      <w:r w:rsidRPr="00610B1B">
        <w:rPr>
          <w:rStyle w:val="FontStyle12"/>
          <w:rFonts w:eastAsia="Source Han Sans CN Regular" w:cs="Times New Roman"/>
        </w:rPr>
        <w:t>.</w:t>
      </w:r>
    </w:p>
    <w:p w14:paraId="6D70A977" w14:textId="5DB4D769" w:rsidR="009D4A0E" w:rsidRPr="00610B1B" w:rsidRDefault="009D4A0E" w:rsidP="00D32D6A">
      <w:pPr>
        <w:pStyle w:val="BodyText"/>
        <w:spacing w:before="0" w:after="120" w:line="276" w:lineRule="auto"/>
        <w:ind w:right="-153"/>
        <w:rPr>
          <w:rFonts w:cs="Times New Roman"/>
        </w:rPr>
      </w:pPr>
      <w:r w:rsidRPr="00610B1B">
        <w:rPr>
          <w:rStyle w:val="FontStyle13"/>
          <w:rFonts w:eastAsia="Source Han Sans CN Regular" w:cs="Times New Roman"/>
          <w:sz w:val="24"/>
        </w:rPr>
        <w:t xml:space="preserve">В защитената зона е забранено </w:t>
      </w:r>
      <w:r w:rsidRPr="00610B1B">
        <w:rPr>
          <w:rFonts w:cs="Times New Roman"/>
        </w:rPr>
        <w:t xml:space="preserve">премахването на важни характеристики на ландшафта </w:t>
      </w:r>
      <w:r w:rsidRPr="00610B1B">
        <w:rPr>
          <w:rFonts w:cs="Times New Roman"/>
          <w:iCs/>
        </w:rPr>
        <w:t>(</w:t>
      </w:r>
      <w:r w:rsidRPr="00610B1B">
        <w:rPr>
          <w:rFonts w:cs="Times New Roman"/>
        </w:rPr>
        <w:t>синори, единични и групи дървета</w:t>
      </w:r>
      <w:r w:rsidRPr="00610B1B">
        <w:rPr>
          <w:rFonts w:cs="Times New Roman"/>
          <w:iCs/>
        </w:rPr>
        <w:t>)</w:t>
      </w:r>
      <w:r w:rsidRPr="00610B1B">
        <w:rPr>
          <w:rFonts w:cs="Times New Roman"/>
        </w:rPr>
        <w:t xml:space="preserve">; залесяването на ливади, пасища и мери, и превръщането им в обработваеми земи и трайни насаждения; използването на пестициди и минерални торове в пасища и ливади; отводняването, пресушаването или промяната на водния режим на мочурища и естествени водни обекти, освен за подобряване състоянието на водните екосистеми и местообитания; подмяната на крайречните гори от местни дървесни видове с неместни такива на разстояние до 50 m от границите на водните обекти; косенето на тръстика от 1 март до 15 август и паленето на тръстикови масиви и крайбрежна растителност. </w:t>
      </w:r>
    </w:p>
    <w:p w14:paraId="3BBCF946" w14:textId="2079F78B" w:rsidR="009D4A0E" w:rsidRPr="00610B1B" w:rsidRDefault="009D4A0E" w:rsidP="00D32D6A">
      <w:pPr>
        <w:pStyle w:val="BodyText"/>
        <w:spacing w:before="0" w:after="120" w:line="276" w:lineRule="auto"/>
        <w:ind w:right="-153"/>
        <w:rPr>
          <w:rFonts w:eastAsia="Times New Roman" w:cs="Times New Roman"/>
          <w:lang w:eastAsia="bg-BG"/>
        </w:rPr>
      </w:pPr>
      <w:r w:rsidRPr="00610B1B">
        <w:rPr>
          <w:rFonts w:eastAsia="Times New Roman" w:cs="Times New Roman"/>
          <w:lang w:eastAsia="bg-BG"/>
        </w:rPr>
        <w:t xml:space="preserve">От извършения анализ може да се направи </w:t>
      </w:r>
      <w:r w:rsidRPr="00610B1B">
        <w:rPr>
          <w:rFonts w:eastAsia="Times New Roman" w:cs="Times New Roman"/>
          <w:b/>
          <w:bCs/>
          <w:lang w:eastAsia="bg-BG"/>
        </w:rPr>
        <w:t>извода</w:t>
      </w:r>
      <w:r w:rsidRPr="00610B1B">
        <w:rPr>
          <w:rFonts w:eastAsia="Times New Roman" w:cs="Times New Roman"/>
          <w:lang w:eastAsia="bg-BG"/>
        </w:rPr>
        <w:t xml:space="preserve">, че акваториалната част и съответният сухоземен участък от крайбрежието са обхванати в достатъчна степен от Националната екологична мрежа </w:t>
      </w:r>
      <w:r w:rsidRPr="00610B1B">
        <w:rPr>
          <w:rFonts w:eastAsia="Times New Roman" w:cs="Times New Roman"/>
          <w:iCs/>
          <w:lang w:eastAsia="bg-BG"/>
        </w:rPr>
        <w:t>(</w:t>
      </w:r>
      <w:r w:rsidRPr="00610B1B">
        <w:rPr>
          <w:rFonts w:eastAsia="Times New Roman" w:cs="Times New Roman"/>
          <w:lang w:eastAsia="bg-BG"/>
        </w:rPr>
        <w:t>НЕМ</w:t>
      </w:r>
      <w:r w:rsidRPr="00610B1B">
        <w:rPr>
          <w:rFonts w:eastAsia="Times New Roman" w:cs="Times New Roman"/>
          <w:iCs/>
          <w:lang w:eastAsia="bg-BG"/>
        </w:rPr>
        <w:t>)</w:t>
      </w:r>
      <w:r w:rsidRPr="00610B1B">
        <w:rPr>
          <w:rFonts w:eastAsia="Times New Roman" w:cs="Times New Roman"/>
          <w:lang w:eastAsia="bg-BG"/>
        </w:rPr>
        <w:t>. В крайбрежната част практически всички ценни екосистеми са защитени от НЕМ, с изключение на урбанизираните територии. Не са обхванати по-малко от 10% от проучваната крайбрежната ивица и това са предимно обработваеми земи.</w:t>
      </w:r>
      <w:r w:rsidR="008753B6" w:rsidRPr="00610B1B">
        <w:rPr>
          <w:rFonts w:eastAsia="Times New Roman" w:cs="Times New Roman"/>
          <w:lang w:eastAsia="bg-BG"/>
        </w:rPr>
        <w:t xml:space="preserve"> </w:t>
      </w:r>
      <w:r w:rsidRPr="00610B1B">
        <w:rPr>
          <w:rFonts w:cs="Times New Roman"/>
        </w:rPr>
        <w:t>Констатацията до голяма степен е валидна и за акваториалната част, където всички най-ценни екосистеми са обхванати от мрежата на защитените зони.</w:t>
      </w:r>
    </w:p>
    <w:p w14:paraId="5BB3C7B2" w14:textId="77777777" w:rsidR="009D4A0E" w:rsidRPr="00610B1B" w:rsidRDefault="009D4A0E" w:rsidP="00D32D6A">
      <w:pPr>
        <w:pStyle w:val="BodyText"/>
        <w:spacing w:before="0" w:after="120" w:line="276" w:lineRule="auto"/>
        <w:ind w:right="-153"/>
        <w:rPr>
          <w:rFonts w:cs="Times New Roman"/>
        </w:rPr>
      </w:pPr>
      <w:r w:rsidRPr="00610B1B">
        <w:rPr>
          <w:rFonts w:cs="Times New Roman"/>
        </w:rPr>
        <w:t xml:space="preserve">По-нататъшните усилия, трябва да бъдат насочени не към разширяване обхвата на НЕМ в проучваното пространство, а към спазване на предвидените режими на защита и повишаване на контрола върху изпълнението на заложените мерки. </w:t>
      </w:r>
    </w:p>
    <w:p w14:paraId="3EC907AB" w14:textId="03D7F630" w:rsidR="008070E1" w:rsidRPr="00610B1B" w:rsidRDefault="009D4A0E" w:rsidP="00D32D6A">
      <w:pPr>
        <w:pStyle w:val="BodyText"/>
        <w:spacing w:before="0" w:after="120" w:line="276" w:lineRule="auto"/>
        <w:ind w:right="-153"/>
        <w:rPr>
          <w:rFonts w:cs="Times New Roman"/>
        </w:rPr>
      </w:pPr>
      <w:r w:rsidRPr="00610B1B">
        <w:rPr>
          <w:rFonts w:cs="Times New Roman"/>
        </w:rPr>
        <w:t>Систематизираните забрани и ограничения в използването на територията и акваторията, поставени под защита, ще по</w:t>
      </w:r>
      <w:r w:rsidR="00DC1E4E" w:rsidRPr="00610B1B">
        <w:rPr>
          <w:rFonts w:cs="Times New Roman"/>
        </w:rPr>
        <w:t>д</w:t>
      </w:r>
      <w:r w:rsidR="008E5D9F" w:rsidRPr="00610B1B">
        <w:rPr>
          <w:rFonts w:cs="Times New Roman"/>
        </w:rPr>
        <w:t>по</w:t>
      </w:r>
      <w:r w:rsidRPr="00610B1B">
        <w:rPr>
          <w:rFonts w:cs="Times New Roman"/>
        </w:rPr>
        <w:t xml:space="preserve">могнат процеса на морско пространствено планиране. В повечето случаи те обхващат препоръки и забрани за промяна на характеристиките и начините на трайно ползване, за да може да се опазят, поддържат и ако е необходимо да бъдат възстановени важни местообитания за съхраняване на доброто екологично състояние и биологичното разнообразие. </w:t>
      </w:r>
      <w:bookmarkStart w:id="303" w:name="docs-internal-guid-1592e857-7fff-c6e9-4f"/>
      <w:bookmarkStart w:id="304" w:name="\&quot;h_0\&quot;"/>
      <w:bookmarkStart w:id="305" w:name="docs-internal-guid-eecace14-7fff-9b56-7d"/>
      <w:bookmarkEnd w:id="303"/>
      <w:bookmarkEnd w:id="304"/>
      <w:bookmarkEnd w:id="305"/>
      <w:r w:rsidRPr="00610B1B">
        <w:rPr>
          <w:rFonts w:cs="Times New Roman"/>
        </w:rPr>
        <w:t>Наличието на повече наблюдения, оценки и анализи на съществуващото състояние и на промените в определен период ще позволи по-правилно насочване на политиката за поддържането на НЕМ и повишаване на нейната значимост за страната и за Европа.</w:t>
      </w:r>
    </w:p>
    <w:p w14:paraId="581A26F0" w14:textId="77777777" w:rsidR="00F00BE8" w:rsidRPr="00610B1B" w:rsidRDefault="00F00BE8" w:rsidP="00D32D6A">
      <w:pPr>
        <w:spacing w:after="120"/>
        <w:ind w:right="-153"/>
        <w:rPr>
          <w:rStyle w:val="Heading2Char"/>
          <w:rFonts w:cs="Times New Roman"/>
        </w:rPr>
      </w:pPr>
    </w:p>
    <w:p w14:paraId="1E64977B" w14:textId="299D5B2D" w:rsidR="00765AF8" w:rsidRPr="00610B1B" w:rsidRDefault="00524D30" w:rsidP="00F00BE8">
      <w:pPr>
        <w:pStyle w:val="Heading2"/>
        <w:spacing w:before="0"/>
        <w:ind w:left="578" w:hanging="578"/>
        <w:rPr>
          <w:rFonts w:cs="Times New Roman"/>
          <w:b w:val="0"/>
          <w:sz w:val="24"/>
          <w:szCs w:val="24"/>
        </w:rPr>
      </w:pPr>
      <w:bookmarkStart w:id="306" w:name="_Toc83391366"/>
      <w:r w:rsidRPr="00610B1B">
        <w:rPr>
          <w:rStyle w:val="Heading2Char"/>
          <w:rFonts w:cs="Times New Roman"/>
          <w:b/>
        </w:rPr>
        <w:lastRenderedPageBreak/>
        <w:t xml:space="preserve">2.3. </w:t>
      </w:r>
      <w:r w:rsidR="00E1365A" w:rsidRPr="00610B1B">
        <w:rPr>
          <w:rStyle w:val="Heading2Char"/>
          <w:rFonts w:cs="Times New Roman"/>
          <w:b/>
        </w:rPr>
        <w:t xml:space="preserve">Урбанизация на </w:t>
      </w:r>
      <w:r w:rsidR="00D420BB" w:rsidRPr="00610B1B">
        <w:rPr>
          <w:rStyle w:val="Heading2Char"/>
          <w:rFonts w:cs="Times New Roman"/>
          <w:b/>
        </w:rPr>
        <w:t xml:space="preserve">българското Черноморско </w:t>
      </w:r>
      <w:r w:rsidR="00E1365A" w:rsidRPr="00610B1B">
        <w:rPr>
          <w:rStyle w:val="Heading2Char"/>
          <w:rFonts w:cs="Times New Roman"/>
          <w:b/>
        </w:rPr>
        <w:t>крайбреж</w:t>
      </w:r>
      <w:r w:rsidR="00D420BB" w:rsidRPr="00610B1B">
        <w:rPr>
          <w:rStyle w:val="Heading2Char"/>
          <w:rFonts w:cs="Times New Roman"/>
          <w:b/>
        </w:rPr>
        <w:t>ие</w:t>
      </w:r>
      <w:bookmarkEnd w:id="306"/>
      <w:r w:rsidR="00D66FE0" w:rsidRPr="00610B1B">
        <w:rPr>
          <w:rFonts w:cs="Times New Roman"/>
          <w:b w:val="0"/>
          <w:sz w:val="24"/>
          <w:szCs w:val="24"/>
        </w:rPr>
        <w:t xml:space="preserve"> </w:t>
      </w:r>
    </w:p>
    <w:p w14:paraId="6C17FB66" w14:textId="3CE08C67" w:rsidR="0082227D" w:rsidRPr="00610B1B" w:rsidRDefault="0079021B"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За целите на морското пространствено планиране и за изследване на взаимодействията „земя-море“ т</w:t>
      </w:r>
      <w:r w:rsidR="0082227D" w:rsidRPr="00610B1B">
        <w:rPr>
          <w:rFonts w:ascii="Times New Roman" w:hAnsi="Times New Roman" w:cs="Times New Roman"/>
          <w:sz w:val="24"/>
          <w:szCs w:val="24"/>
          <w:lang w:val="bg-BG"/>
        </w:rPr>
        <w:t>ериториалният обхват на Морския пространствен план на Република България</w:t>
      </w:r>
      <w:r w:rsidR="003E24D9" w:rsidRPr="00610B1B">
        <w:rPr>
          <w:rFonts w:ascii="Times New Roman" w:hAnsi="Times New Roman" w:cs="Times New Roman"/>
          <w:sz w:val="24"/>
          <w:szCs w:val="24"/>
          <w:lang w:val="bg-BG"/>
        </w:rPr>
        <w:t>,</w:t>
      </w:r>
      <w:r w:rsidR="0082227D" w:rsidRPr="00610B1B">
        <w:rPr>
          <w:rFonts w:ascii="Times New Roman" w:hAnsi="Times New Roman" w:cs="Times New Roman"/>
          <w:sz w:val="24"/>
          <w:szCs w:val="24"/>
          <w:lang w:val="bg-BG"/>
        </w:rPr>
        <w:t xml:space="preserve"> </w:t>
      </w:r>
      <w:r w:rsidR="003E24D9" w:rsidRPr="00610B1B">
        <w:rPr>
          <w:rFonts w:ascii="Times New Roman" w:hAnsi="Times New Roman" w:cs="Times New Roman"/>
          <w:sz w:val="24"/>
          <w:szCs w:val="24"/>
          <w:lang w:val="bg-BG"/>
        </w:rPr>
        <w:t xml:space="preserve">в своята прилежаща крайбрежна зона, </w:t>
      </w:r>
      <w:r w:rsidR="0082227D" w:rsidRPr="00610B1B">
        <w:rPr>
          <w:rFonts w:ascii="Times New Roman" w:hAnsi="Times New Roman" w:cs="Times New Roman"/>
          <w:sz w:val="24"/>
          <w:szCs w:val="24"/>
          <w:lang w:val="bg-BG"/>
        </w:rPr>
        <w:t>се идентифицира с четиринадесет общини на които източната граница е Черно море,</w:t>
      </w:r>
      <w:r w:rsidR="00D66FE0" w:rsidRPr="00610B1B">
        <w:rPr>
          <w:rFonts w:ascii="Times New Roman" w:hAnsi="Times New Roman" w:cs="Times New Roman"/>
          <w:sz w:val="24"/>
          <w:szCs w:val="24"/>
          <w:lang w:val="bg-BG"/>
        </w:rPr>
        <w:t xml:space="preserve"> </w:t>
      </w:r>
      <w:r w:rsidR="0082227D" w:rsidRPr="00610B1B">
        <w:rPr>
          <w:rFonts w:ascii="Times New Roman" w:hAnsi="Times New Roman" w:cs="Times New Roman"/>
          <w:sz w:val="24"/>
          <w:szCs w:val="24"/>
          <w:lang w:val="bg-BG"/>
        </w:rPr>
        <w:t>съставни на три области (Добрич, Варна и Бургас) от север на юг. Това са общините Шабла, Каварна, Балчик, Аксаково, Варна, Аврен, Долни чифлик, Бяла, Несебър, Поморие, Бургас, Созопол, Приморско</w:t>
      </w:r>
      <w:r w:rsidR="003E24D9" w:rsidRPr="00610B1B">
        <w:rPr>
          <w:rFonts w:ascii="Times New Roman" w:hAnsi="Times New Roman" w:cs="Times New Roman"/>
          <w:sz w:val="24"/>
          <w:szCs w:val="24"/>
          <w:lang w:val="bg-BG"/>
        </w:rPr>
        <w:t xml:space="preserve"> и</w:t>
      </w:r>
      <w:r w:rsidR="0082227D" w:rsidRPr="00610B1B">
        <w:rPr>
          <w:rFonts w:ascii="Times New Roman" w:hAnsi="Times New Roman" w:cs="Times New Roman"/>
          <w:sz w:val="24"/>
          <w:szCs w:val="24"/>
          <w:lang w:val="bg-BG"/>
        </w:rPr>
        <w:t xml:space="preserve"> Царево.</w:t>
      </w:r>
      <w:r w:rsidR="00D66FE0" w:rsidRPr="00610B1B">
        <w:rPr>
          <w:rFonts w:ascii="Times New Roman" w:hAnsi="Times New Roman" w:cs="Times New Roman"/>
          <w:sz w:val="24"/>
          <w:szCs w:val="24"/>
          <w:lang w:val="bg-BG"/>
        </w:rPr>
        <w:t xml:space="preserve"> </w:t>
      </w:r>
      <w:r w:rsidR="0082227D" w:rsidRPr="00610B1B">
        <w:rPr>
          <w:rFonts w:ascii="Times New Roman" w:hAnsi="Times New Roman" w:cs="Times New Roman"/>
          <w:sz w:val="24"/>
          <w:szCs w:val="24"/>
          <w:lang w:val="bg-BG"/>
        </w:rPr>
        <w:t xml:space="preserve">Общата им територия </w:t>
      </w:r>
      <w:r w:rsidRPr="00610B1B">
        <w:rPr>
          <w:rFonts w:ascii="Times New Roman" w:hAnsi="Times New Roman" w:cs="Times New Roman"/>
          <w:sz w:val="24"/>
          <w:szCs w:val="24"/>
          <w:lang w:val="bg-BG"/>
        </w:rPr>
        <w:t>възлиза на 5 737,</w:t>
      </w:r>
      <w:r w:rsidR="0082227D" w:rsidRPr="00610B1B">
        <w:rPr>
          <w:rFonts w:ascii="Times New Roman" w:hAnsi="Times New Roman" w:cs="Times New Roman"/>
          <w:sz w:val="24"/>
          <w:szCs w:val="24"/>
          <w:lang w:val="bg-BG"/>
        </w:rPr>
        <w:t>3</w:t>
      </w:r>
      <w:r w:rsidR="003E24D9" w:rsidRPr="00610B1B">
        <w:rPr>
          <w:rFonts w:ascii="Times New Roman" w:hAnsi="Times New Roman" w:cs="Times New Roman"/>
          <w:sz w:val="24"/>
          <w:szCs w:val="24"/>
          <w:lang w:val="bg-BG"/>
        </w:rPr>
        <w:t xml:space="preserve"> km</w:t>
      </w:r>
      <w:r w:rsidR="003E24D9" w:rsidRPr="00610B1B">
        <w:rPr>
          <w:rFonts w:ascii="Times New Roman" w:hAnsi="Times New Roman" w:cs="Times New Roman"/>
          <w:sz w:val="24"/>
          <w:szCs w:val="24"/>
          <w:vertAlign w:val="superscript"/>
          <w:lang w:val="bg-BG"/>
        </w:rPr>
        <w:t>2</w:t>
      </w:r>
      <w:r w:rsidRPr="00610B1B">
        <w:rPr>
          <w:rFonts w:ascii="Times New Roman" w:hAnsi="Times New Roman" w:cs="Times New Roman"/>
          <w:sz w:val="24"/>
          <w:szCs w:val="24"/>
          <w:lang w:val="bg-BG"/>
        </w:rPr>
        <w:t>, което представлява 5,</w:t>
      </w:r>
      <w:r w:rsidR="0082227D" w:rsidRPr="00610B1B">
        <w:rPr>
          <w:rFonts w:ascii="Times New Roman" w:hAnsi="Times New Roman" w:cs="Times New Roman"/>
          <w:sz w:val="24"/>
          <w:szCs w:val="24"/>
          <w:lang w:val="bg-BG"/>
        </w:rPr>
        <w:t>2% от територията на страната. В нея попадат 202 населени места</w:t>
      </w:r>
      <w:r w:rsidRPr="00610B1B">
        <w:rPr>
          <w:rFonts w:ascii="Times New Roman" w:hAnsi="Times New Roman" w:cs="Times New Roman"/>
          <w:sz w:val="24"/>
          <w:szCs w:val="24"/>
          <w:lang w:val="bg-BG"/>
        </w:rPr>
        <w:t xml:space="preserve"> с население 726 745 д., или 10,</w:t>
      </w:r>
      <w:r w:rsidR="0082227D" w:rsidRPr="00610B1B">
        <w:rPr>
          <w:rFonts w:ascii="Times New Roman" w:hAnsi="Times New Roman" w:cs="Times New Roman"/>
          <w:sz w:val="24"/>
          <w:szCs w:val="24"/>
          <w:lang w:val="bg-BG"/>
        </w:rPr>
        <w:t>4% от населението на страната. Центърът в северната част</w:t>
      </w:r>
      <w:r w:rsidR="003E24D9" w:rsidRPr="00610B1B">
        <w:rPr>
          <w:rFonts w:ascii="Times New Roman" w:hAnsi="Times New Roman" w:cs="Times New Roman"/>
          <w:sz w:val="24"/>
          <w:szCs w:val="24"/>
          <w:lang w:val="bg-BG"/>
        </w:rPr>
        <w:t xml:space="preserve"> -</w:t>
      </w:r>
      <w:r w:rsidR="0082227D" w:rsidRPr="00610B1B">
        <w:rPr>
          <w:rFonts w:ascii="Times New Roman" w:hAnsi="Times New Roman" w:cs="Times New Roman"/>
          <w:sz w:val="24"/>
          <w:szCs w:val="24"/>
          <w:lang w:val="bg-BG"/>
        </w:rPr>
        <w:t xml:space="preserve"> град Варна</w:t>
      </w:r>
      <w:r w:rsidR="003E24D9" w:rsidRPr="00610B1B">
        <w:rPr>
          <w:rFonts w:ascii="Times New Roman" w:hAnsi="Times New Roman" w:cs="Times New Roman"/>
          <w:sz w:val="24"/>
          <w:szCs w:val="24"/>
          <w:lang w:val="bg-BG"/>
        </w:rPr>
        <w:t>,</w:t>
      </w:r>
      <w:r w:rsidR="0082227D" w:rsidRPr="00610B1B">
        <w:rPr>
          <w:rFonts w:ascii="Times New Roman" w:hAnsi="Times New Roman" w:cs="Times New Roman"/>
          <w:sz w:val="24"/>
          <w:szCs w:val="24"/>
          <w:lang w:val="bg-BG"/>
        </w:rPr>
        <w:t xml:space="preserve"> е третият по брой на населението, а центърът в южната част </w:t>
      </w:r>
      <w:r w:rsidR="003E24D9" w:rsidRPr="00610B1B">
        <w:rPr>
          <w:rFonts w:ascii="Times New Roman" w:hAnsi="Times New Roman" w:cs="Times New Roman"/>
          <w:sz w:val="24"/>
          <w:szCs w:val="24"/>
          <w:lang w:val="bg-BG"/>
        </w:rPr>
        <w:t xml:space="preserve">- </w:t>
      </w:r>
      <w:r w:rsidR="0082227D" w:rsidRPr="00610B1B">
        <w:rPr>
          <w:rFonts w:ascii="Times New Roman" w:hAnsi="Times New Roman" w:cs="Times New Roman"/>
          <w:sz w:val="24"/>
          <w:szCs w:val="24"/>
          <w:lang w:val="bg-BG"/>
        </w:rPr>
        <w:t>град Бургас</w:t>
      </w:r>
      <w:r w:rsidR="003E24D9" w:rsidRPr="00610B1B">
        <w:rPr>
          <w:rFonts w:ascii="Times New Roman" w:hAnsi="Times New Roman" w:cs="Times New Roman"/>
          <w:sz w:val="24"/>
          <w:szCs w:val="24"/>
          <w:lang w:val="bg-BG"/>
        </w:rPr>
        <w:t>,</w:t>
      </w:r>
      <w:r w:rsidR="0082227D" w:rsidRPr="00610B1B">
        <w:rPr>
          <w:rFonts w:ascii="Times New Roman" w:hAnsi="Times New Roman" w:cs="Times New Roman"/>
          <w:sz w:val="24"/>
          <w:szCs w:val="24"/>
          <w:lang w:val="bg-BG"/>
        </w:rPr>
        <w:t xml:space="preserve"> е четвъртият по брой на населението град в страната. </w:t>
      </w:r>
    </w:p>
    <w:p w14:paraId="6F145BA2" w14:textId="10E1579A" w:rsidR="0082227D" w:rsidRPr="00610B1B" w:rsidRDefault="0082227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Със своето землище от 253,644 </w:t>
      </w:r>
      <w:r w:rsidR="003E24D9" w:rsidRPr="00610B1B">
        <w:rPr>
          <w:rFonts w:ascii="Times New Roman" w:hAnsi="Times New Roman" w:cs="Times New Roman"/>
          <w:sz w:val="24"/>
          <w:szCs w:val="24"/>
          <w:lang w:val="bg-BG"/>
        </w:rPr>
        <w:t>km</w:t>
      </w:r>
      <w:r w:rsidR="003E24D9" w:rsidRPr="00610B1B">
        <w:rPr>
          <w:rFonts w:ascii="Times New Roman" w:hAnsi="Times New Roman" w:cs="Times New Roman"/>
          <w:sz w:val="24"/>
          <w:szCs w:val="24"/>
          <w:vertAlign w:val="superscript"/>
          <w:lang w:val="bg-BG"/>
        </w:rPr>
        <w:t>2</w:t>
      </w:r>
      <w:r w:rsidRPr="00610B1B">
        <w:rPr>
          <w:rFonts w:ascii="Times New Roman" w:hAnsi="Times New Roman" w:cs="Times New Roman"/>
          <w:sz w:val="24"/>
          <w:szCs w:val="24"/>
          <w:lang w:val="bg-BG"/>
        </w:rPr>
        <w:t xml:space="preserve"> град Бургас е вторият град по площ в България (след </w:t>
      </w:r>
      <w:hyperlink r:id="rId27" w:tooltip="София" w:history="1">
        <w:r w:rsidRPr="00610B1B">
          <w:rPr>
            <w:rStyle w:val="Hyperlink"/>
            <w:rFonts w:ascii="Times New Roman" w:hAnsi="Times New Roman" w:cs="Times New Roman"/>
            <w:color w:val="auto"/>
            <w:sz w:val="24"/>
            <w:szCs w:val="24"/>
            <w:u w:val="none"/>
            <w:lang w:val="bg-BG"/>
          </w:rPr>
          <w:t>София</w:t>
        </w:r>
      </w:hyperlink>
      <w:r w:rsidRPr="00610B1B">
        <w:rPr>
          <w:rFonts w:ascii="Times New Roman" w:hAnsi="Times New Roman" w:cs="Times New Roman"/>
          <w:sz w:val="24"/>
          <w:szCs w:val="24"/>
          <w:lang w:val="bg-BG"/>
        </w:rPr>
        <w:t>). Към него в последните 35 години са присъединявани околните села. През 1987 г. са присъединени 4 села – Горно Езерово, Лозово, Крайморие и Сарафово. През 1991</w:t>
      </w:r>
      <w:r w:rsidR="007A26A5"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г</w:t>
      </w:r>
      <w:r w:rsidR="007A26A5"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е присъединено село Долно Езерово, с решение на Министерски съвет през 2009</w:t>
      </w:r>
      <w:r w:rsidR="007A26A5"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г</w:t>
      </w:r>
      <w:r w:rsidR="007A26A5"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се одобрява решението на общинския съвет в Бургас за присъединяване на общинските села Банево и Ветрен (със старо име Житарово) като квартали на града. През 2015</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 xml:space="preserve">г. </w:t>
      </w:r>
      <w:r w:rsidR="0079021B" w:rsidRPr="00610B1B">
        <w:rPr>
          <w:rFonts w:ascii="Times New Roman" w:hAnsi="Times New Roman" w:cs="Times New Roman"/>
          <w:sz w:val="24"/>
          <w:szCs w:val="24"/>
          <w:lang w:val="bg-BG"/>
        </w:rPr>
        <w:t xml:space="preserve">се присъединяват </w:t>
      </w:r>
      <w:r w:rsidRPr="00610B1B">
        <w:rPr>
          <w:rFonts w:ascii="Times New Roman" w:hAnsi="Times New Roman" w:cs="Times New Roman"/>
          <w:sz w:val="24"/>
          <w:szCs w:val="24"/>
          <w:lang w:val="bg-BG"/>
        </w:rPr>
        <w:t>селата Рудник и Черно море и се обособяват като квартали на гр. Бургас.</w:t>
      </w:r>
    </w:p>
    <w:p w14:paraId="0843D615" w14:textId="78B2AE90" w:rsidR="003B5D46" w:rsidRPr="00610B1B" w:rsidRDefault="00E57141" w:rsidP="00E37053">
      <w:pPr>
        <w:spacing w:after="70" w:line="240" w:lineRule="auto"/>
        <w:ind w:right="-153"/>
        <w:jc w:val="both"/>
        <w:rPr>
          <w:rFonts w:ascii="Times New Roman" w:eastAsia="Lohit Devanagari" w:hAnsi="Times New Roman" w:cs="Times New Roman"/>
          <w:color w:val="00000A"/>
          <w:sz w:val="24"/>
          <w:szCs w:val="24"/>
          <w:lang w:val="bg-BG" w:eastAsia="ar-SA" w:bidi="hi-IN"/>
        </w:rPr>
      </w:pPr>
      <w:bookmarkStart w:id="307" w:name="_Toc83391599"/>
      <w:r w:rsidRPr="00610B1B">
        <w:rPr>
          <w:rFonts w:ascii="Times New Roman" w:eastAsia="Lohit Devanagari" w:hAnsi="Times New Roman" w:cs="Times New Roman"/>
          <w:color w:val="00000A"/>
          <w:sz w:val="24"/>
          <w:szCs w:val="24"/>
          <w:lang w:val="bg-BG" w:eastAsia="ar-SA" w:bidi="hi-IN"/>
        </w:rPr>
        <w:t xml:space="preserve">Таблица </w:t>
      </w:r>
      <w:r w:rsidRPr="00610B1B">
        <w:rPr>
          <w:rFonts w:ascii="Times New Roman" w:eastAsia="Lohit Devanagari" w:hAnsi="Times New Roman" w:cs="Times New Roman"/>
          <w:color w:val="00000A"/>
          <w:sz w:val="24"/>
          <w:szCs w:val="24"/>
          <w:lang w:val="bg-BG" w:eastAsia="ar-SA" w:bidi="hi-IN"/>
        </w:rPr>
        <w:fldChar w:fldCharType="begin"/>
      </w:r>
      <w:r w:rsidRPr="00610B1B">
        <w:rPr>
          <w:rFonts w:ascii="Times New Roman" w:eastAsia="Lohit Devanagari" w:hAnsi="Times New Roman" w:cs="Times New Roman"/>
          <w:color w:val="00000A"/>
          <w:sz w:val="24"/>
          <w:szCs w:val="24"/>
          <w:lang w:val="bg-BG" w:eastAsia="ar-SA" w:bidi="hi-IN"/>
        </w:rPr>
        <w:instrText xml:space="preserve"> SEQ Таблица \* ARABIC </w:instrText>
      </w:r>
      <w:r w:rsidRPr="00610B1B">
        <w:rPr>
          <w:rFonts w:ascii="Times New Roman" w:eastAsia="Lohit Devanagari" w:hAnsi="Times New Roman" w:cs="Times New Roman"/>
          <w:color w:val="00000A"/>
          <w:sz w:val="24"/>
          <w:szCs w:val="24"/>
          <w:lang w:val="bg-BG" w:eastAsia="ar-SA" w:bidi="hi-IN"/>
        </w:rPr>
        <w:fldChar w:fldCharType="separate"/>
      </w:r>
      <w:r w:rsidR="00260629" w:rsidRPr="00610B1B">
        <w:rPr>
          <w:rFonts w:ascii="Times New Roman" w:eastAsia="Lohit Devanagari" w:hAnsi="Times New Roman" w:cs="Times New Roman"/>
          <w:noProof/>
          <w:color w:val="00000A"/>
          <w:sz w:val="24"/>
          <w:szCs w:val="24"/>
          <w:lang w:val="bg-BG" w:eastAsia="ar-SA" w:bidi="hi-IN"/>
        </w:rPr>
        <w:t>3</w:t>
      </w:r>
      <w:r w:rsidRPr="00610B1B">
        <w:rPr>
          <w:rFonts w:ascii="Times New Roman" w:eastAsia="Lohit Devanagari" w:hAnsi="Times New Roman" w:cs="Times New Roman"/>
          <w:color w:val="00000A"/>
          <w:sz w:val="24"/>
          <w:szCs w:val="24"/>
          <w:lang w:val="bg-BG" w:eastAsia="ar-SA" w:bidi="hi-IN"/>
        </w:rPr>
        <w:fldChar w:fldCharType="end"/>
      </w:r>
      <w:r w:rsidRPr="00610B1B">
        <w:rPr>
          <w:rFonts w:ascii="Times New Roman" w:eastAsia="Lohit Devanagari" w:hAnsi="Times New Roman" w:cs="Times New Roman"/>
          <w:color w:val="00000A"/>
          <w:sz w:val="24"/>
          <w:szCs w:val="24"/>
          <w:lang w:val="bg-BG" w:eastAsia="ar-SA" w:bidi="hi-IN"/>
        </w:rPr>
        <w:t xml:space="preserve">: </w:t>
      </w:r>
      <w:r w:rsidR="003B5D46" w:rsidRPr="00610B1B">
        <w:rPr>
          <w:rFonts w:ascii="Times New Roman" w:eastAsia="Lohit Devanagari" w:hAnsi="Times New Roman" w:cs="Times New Roman"/>
          <w:color w:val="00000A"/>
          <w:sz w:val="24"/>
          <w:szCs w:val="24"/>
          <w:lang w:val="bg-BG" w:eastAsia="ar-SA" w:bidi="hi-IN"/>
        </w:rPr>
        <w:t>Площ, гъстота на населението и населени места към 31.12.2018 г.</w:t>
      </w:r>
      <w:bookmarkEnd w:id="307"/>
    </w:p>
    <w:tbl>
      <w:tblPr>
        <w:tblW w:w="8587" w:type="dxa"/>
        <w:tblInd w:w="55"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1690"/>
        <w:gridCol w:w="960"/>
        <w:gridCol w:w="1401"/>
        <w:gridCol w:w="1418"/>
        <w:gridCol w:w="1134"/>
        <w:gridCol w:w="992"/>
        <w:gridCol w:w="992"/>
      </w:tblGrid>
      <w:tr w:rsidR="00E57141" w:rsidRPr="00610B1B" w14:paraId="1C4DAB78" w14:textId="77777777" w:rsidTr="001E3FED">
        <w:trPr>
          <w:trHeight w:val="714"/>
          <w:tblHeader/>
        </w:trPr>
        <w:tc>
          <w:tcPr>
            <w:tcW w:w="1690" w:type="dxa"/>
            <w:shd w:val="clear" w:color="auto" w:fill="C6D9F1" w:themeFill="text2" w:themeFillTint="33"/>
            <w:vAlign w:val="center"/>
          </w:tcPr>
          <w:p w14:paraId="2A177D4F" w14:textId="494CCE94" w:rsidR="00E57141" w:rsidRPr="00610B1B" w:rsidRDefault="00E57141" w:rsidP="00D32D6A">
            <w:pPr>
              <w:spacing w:after="0" w:line="240" w:lineRule="auto"/>
              <w:jc w:val="center"/>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Общини</w:t>
            </w:r>
          </w:p>
        </w:tc>
        <w:tc>
          <w:tcPr>
            <w:tcW w:w="960" w:type="dxa"/>
            <w:shd w:val="clear" w:color="auto" w:fill="C6D9F1" w:themeFill="text2" w:themeFillTint="33"/>
            <w:vAlign w:val="center"/>
          </w:tcPr>
          <w:p w14:paraId="622F163D" w14:textId="229DEA7F" w:rsidR="00E57141" w:rsidRPr="00610B1B" w:rsidRDefault="00E57141" w:rsidP="00D32D6A">
            <w:pPr>
              <w:spacing w:after="0" w:line="240" w:lineRule="auto"/>
              <w:jc w:val="center"/>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Площ</w:t>
            </w:r>
            <w:r w:rsidRPr="00610B1B">
              <w:rPr>
                <w:rFonts w:ascii="Times New Roman" w:hAnsi="Times New Roman" w:cs="Times New Roman"/>
                <w:b/>
                <w:bCs/>
                <w:sz w:val="20"/>
                <w:szCs w:val="20"/>
                <w:vertAlign w:val="superscript"/>
                <w:lang w:val="bg-BG"/>
              </w:rPr>
              <w:t xml:space="preserve"> </w:t>
            </w:r>
            <w:r w:rsidRPr="00610B1B">
              <w:rPr>
                <w:rFonts w:ascii="Times New Roman" w:hAnsi="Times New Roman" w:cs="Times New Roman"/>
                <w:b/>
                <w:bCs/>
                <w:sz w:val="20"/>
                <w:szCs w:val="20"/>
                <w:lang w:val="bg-BG"/>
              </w:rPr>
              <w:t>– km</w:t>
            </w:r>
            <w:r w:rsidRPr="00610B1B">
              <w:rPr>
                <w:rFonts w:ascii="Times New Roman" w:hAnsi="Times New Roman" w:cs="Times New Roman"/>
                <w:b/>
                <w:bCs/>
                <w:sz w:val="20"/>
                <w:szCs w:val="20"/>
                <w:vertAlign w:val="superscript"/>
                <w:lang w:val="bg-BG"/>
              </w:rPr>
              <w:t>2</w:t>
            </w:r>
          </w:p>
        </w:tc>
        <w:tc>
          <w:tcPr>
            <w:tcW w:w="1401" w:type="dxa"/>
            <w:shd w:val="clear" w:color="auto" w:fill="C6D9F1" w:themeFill="text2" w:themeFillTint="33"/>
            <w:vAlign w:val="center"/>
          </w:tcPr>
          <w:p w14:paraId="43751A7F" w14:textId="1F39BEBD" w:rsidR="00E57141" w:rsidRPr="00610B1B" w:rsidRDefault="00E57141" w:rsidP="00D32D6A">
            <w:pPr>
              <w:spacing w:after="0" w:line="240" w:lineRule="auto"/>
              <w:jc w:val="center"/>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Население - бр.</w:t>
            </w:r>
          </w:p>
        </w:tc>
        <w:tc>
          <w:tcPr>
            <w:tcW w:w="1418" w:type="dxa"/>
            <w:shd w:val="clear" w:color="auto" w:fill="C6D9F1" w:themeFill="text2" w:themeFillTint="33"/>
            <w:vAlign w:val="center"/>
          </w:tcPr>
          <w:p w14:paraId="7E864908" w14:textId="3069D4CD" w:rsidR="00E57141" w:rsidRPr="00610B1B" w:rsidRDefault="00E57141" w:rsidP="00D32D6A">
            <w:pPr>
              <w:spacing w:after="0" w:line="240" w:lineRule="auto"/>
              <w:jc w:val="center"/>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Гъстота на</w:t>
            </w:r>
            <w:r w:rsidR="00D66FE0" w:rsidRPr="00610B1B">
              <w:rPr>
                <w:rFonts w:ascii="Times New Roman" w:hAnsi="Times New Roman" w:cs="Times New Roman"/>
                <w:b/>
                <w:bCs/>
                <w:sz w:val="20"/>
                <w:szCs w:val="20"/>
                <w:lang w:val="bg-BG"/>
              </w:rPr>
              <w:t xml:space="preserve"> </w:t>
            </w:r>
            <w:r w:rsidRPr="00610B1B">
              <w:rPr>
                <w:rFonts w:ascii="Times New Roman" w:hAnsi="Times New Roman" w:cs="Times New Roman"/>
                <w:b/>
                <w:bCs/>
                <w:sz w:val="20"/>
                <w:szCs w:val="20"/>
                <w:lang w:val="bg-BG"/>
              </w:rPr>
              <w:t>населението на 1 km</w:t>
            </w:r>
            <w:r w:rsidRPr="00610B1B">
              <w:rPr>
                <w:rFonts w:ascii="Times New Roman" w:hAnsi="Times New Roman" w:cs="Times New Roman"/>
                <w:b/>
                <w:bCs/>
                <w:sz w:val="20"/>
                <w:szCs w:val="20"/>
                <w:vertAlign w:val="superscript"/>
                <w:lang w:val="bg-BG"/>
              </w:rPr>
              <w:t>2</w:t>
            </w:r>
          </w:p>
        </w:tc>
        <w:tc>
          <w:tcPr>
            <w:tcW w:w="1134" w:type="dxa"/>
            <w:shd w:val="clear" w:color="auto" w:fill="C6D9F1" w:themeFill="text2" w:themeFillTint="33"/>
            <w:vAlign w:val="center"/>
          </w:tcPr>
          <w:p w14:paraId="00ACC261" w14:textId="5DED726E" w:rsidR="00E57141" w:rsidRPr="00610B1B" w:rsidRDefault="00E57141" w:rsidP="00D32D6A">
            <w:pPr>
              <w:spacing w:after="0" w:line="240" w:lineRule="auto"/>
              <w:jc w:val="center"/>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Населени места бр. </w:t>
            </w:r>
          </w:p>
        </w:tc>
        <w:tc>
          <w:tcPr>
            <w:tcW w:w="992" w:type="dxa"/>
            <w:shd w:val="clear" w:color="auto" w:fill="C6D9F1" w:themeFill="text2" w:themeFillTint="33"/>
            <w:vAlign w:val="center"/>
          </w:tcPr>
          <w:p w14:paraId="7EA9AA1F" w14:textId="3848DA5A" w:rsidR="00E57141" w:rsidRPr="00610B1B" w:rsidRDefault="00E57141" w:rsidP="00D32D6A">
            <w:pPr>
              <w:spacing w:after="0" w:line="240" w:lineRule="auto"/>
              <w:jc w:val="center"/>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Градове бр. </w:t>
            </w:r>
          </w:p>
        </w:tc>
        <w:tc>
          <w:tcPr>
            <w:tcW w:w="992" w:type="dxa"/>
            <w:shd w:val="clear" w:color="auto" w:fill="C6D9F1" w:themeFill="text2" w:themeFillTint="33"/>
            <w:vAlign w:val="center"/>
          </w:tcPr>
          <w:p w14:paraId="4DF071E1" w14:textId="2683936F" w:rsidR="00E57141" w:rsidRPr="00610B1B" w:rsidRDefault="00E57141" w:rsidP="00D32D6A">
            <w:pPr>
              <w:spacing w:after="0" w:line="240" w:lineRule="auto"/>
              <w:jc w:val="center"/>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Села бр. </w:t>
            </w:r>
          </w:p>
        </w:tc>
      </w:tr>
      <w:tr w:rsidR="0082227D" w:rsidRPr="00610B1B" w14:paraId="09BAD4D6" w14:textId="77777777" w:rsidTr="001E3FED">
        <w:trPr>
          <w:trHeight w:val="255"/>
        </w:trPr>
        <w:tc>
          <w:tcPr>
            <w:tcW w:w="1690" w:type="dxa"/>
            <w:shd w:val="clear" w:color="auto" w:fill="FFFFFF"/>
            <w:vAlign w:val="center"/>
          </w:tcPr>
          <w:p w14:paraId="613604B6" w14:textId="77777777" w:rsidR="0082227D" w:rsidRPr="00610B1B" w:rsidRDefault="0082227D" w:rsidP="00D32D6A">
            <w:pPr>
              <w:spacing w:after="0" w:line="240" w:lineRule="auto"/>
              <w:rPr>
                <w:rFonts w:ascii="Times New Roman" w:hAnsi="Times New Roman" w:cs="Times New Roman"/>
                <w:b/>
                <w:bCs/>
                <w:lang w:val="bg-BG"/>
              </w:rPr>
            </w:pPr>
            <w:r w:rsidRPr="00610B1B">
              <w:rPr>
                <w:rFonts w:ascii="Times New Roman" w:hAnsi="Times New Roman" w:cs="Times New Roman"/>
                <w:b/>
                <w:bCs/>
                <w:lang w:val="bg-BG"/>
              </w:rPr>
              <w:t>Черноморски</w:t>
            </w:r>
          </w:p>
        </w:tc>
        <w:tc>
          <w:tcPr>
            <w:tcW w:w="960" w:type="dxa"/>
            <w:shd w:val="clear" w:color="auto" w:fill="auto"/>
            <w:noWrap/>
            <w:vAlign w:val="bottom"/>
          </w:tcPr>
          <w:p w14:paraId="705F9E98" w14:textId="4CAA8911" w:rsidR="0082227D" w:rsidRPr="00610B1B" w:rsidRDefault="0082227D"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5</w:t>
            </w:r>
            <w:r w:rsidR="003B5D46" w:rsidRPr="00610B1B">
              <w:rPr>
                <w:rFonts w:ascii="Times New Roman" w:hAnsi="Times New Roman" w:cs="Times New Roman"/>
                <w:b/>
                <w:bCs/>
                <w:lang w:val="bg-BG"/>
              </w:rPr>
              <w:t> </w:t>
            </w:r>
            <w:r w:rsidRPr="00610B1B">
              <w:rPr>
                <w:rFonts w:ascii="Times New Roman" w:hAnsi="Times New Roman" w:cs="Times New Roman"/>
                <w:b/>
                <w:bCs/>
                <w:lang w:val="bg-BG"/>
              </w:rPr>
              <w:t>737,3</w:t>
            </w:r>
          </w:p>
        </w:tc>
        <w:tc>
          <w:tcPr>
            <w:tcW w:w="1401" w:type="dxa"/>
            <w:shd w:val="clear" w:color="auto" w:fill="auto"/>
            <w:noWrap/>
            <w:vAlign w:val="bottom"/>
          </w:tcPr>
          <w:p w14:paraId="1F541D50" w14:textId="45591D9A" w:rsidR="0082227D" w:rsidRPr="00610B1B" w:rsidRDefault="0082227D"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726</w:t>
            </w:r>
            <w:r w:rsidR="003B5D46" w:rsidRPr="00610B1B">
              <w:rPr>
                <w:rFonts w:ascii="Times New Roman" w:hAnsi="Times New Roman" w:cs="Times New Roman"/>
                <w:b/>
                <w:bCs/>
                <w:lang w:val="bg-BG"/>
              </w:rPr>
              <w:t> </w:t>
            </w:r>
            <w:r w:rsidRPr="00610B1B">
              <w:rPr>
                <w:rFonts w:ascii="Times New Roman" w:hAnsi="Times New Roman" w:cs="Times New Roman"/>
                <w:b/>
                <w:bCs/>
                <w:lang w:val="bg-BG"/>
              </w:rPr>
              <w:t>745</w:t>
            </w:r>
          </w:p>
        </w:tc>
        <w:tc>
          <w:tcPr>
            <w:tcW w:w="1418" w:type="dxa"/>
            <w:shd w:val="clear" w:color="auto" w:fill="auto"/>
            <w:noWrap/>
            <w:vAlign w:val="bottom"/>
          </w:tcPr>
          <w:p w14:paraId="78F555B5" w14:textId="77777777" w:rsidR="0082227D" w:rsidRPr="00610B1B" w:rsidRDefault="0082227D"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126,7</w:t>
            </w:r>
          </w:p>
        </w:tc>
        <w:tc>
          <w:tcPr>
            <w:tcW w:w="1134" w:type="dxa"/>
            <w:shd w:val="clear" w:color="auto" w:fill="auto"/>
            <w:noWrap/>
            <w:vAlign w:val="bottom"/>
          </w:tcPr>
          <w:p w14:paraId="76E6042D" w14:textId="77777777" w:rsidR="0082227D" w:rsidRPr="00610B1B" w:rsidRDefault="0082227D"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202</w:t>
            </w:r>
          </w:p>
        </w:tc>
        <w:tc>
          <w:tcPr>
            <w:tcW w:w="992" w:type="dxa"/>
            <w:shd w:val="clear" w:color="auto" w:fill="auto"/>
            <w:noWrap/>
            <w:vAlign w:val="bottom"/>
          </w:tcPr>
          <w:p w14:paraId="713B2343" w14:textId="77777777" w:rsidR="0082227D" w:rsidRPr="00610B1B" w:rsidRDefault="0082227D"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22</w:t>
            </w:r>
          </w:p>
        </w:tc>
        <w:tc>
          <w:tcPr>
            <w:tcW w:w="992" w:type="dxa"/>
            <w:shd w:val="clear" w:color="auto" w:fill="auto"/>
            <w:noWrap/>
            <w:vAlign w:val="bottom"/>
          </w:tcPr>
          <w:p w14:paraId="04C4B75B" w14:textId="77777777" w:rsidR="0082227D" w:rsidRPr="00610B1B" w:rsidRDefault="0082227D"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180</w:t>
            </w:r>
          </w:p>
        </w:tc>
      </w:tr>
      <w:tr w:rsidR="0082227D" w:rsidRPr="00610B1B" w14:paraId="4CECA2B0" w14:textId="77777777" w:rsidTr="001E3FED">
        <w:trPr>
          <w:trHeight w:val="255"/>
        </w:trPr>
        <w:tc>
          <w:tcPr>
            <w:tcW w:w="1690" w:type="dxa"/>
            <w:shd w:val="clear" w:color="auto" w:fill="FFFFFF"/>
            <w:vAlign w:val="center"/>
          </w:tcPr>
          <w:p w14:paraId="5F83C0C0"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Шабла</w:t>
            </w:r>
          </w:p>
        </w:tc>
        <w:tc>
          <w:tcPr>
            <w:tcW w:w="960" w:type="dxa"/>
            <w:shd w:val="clear" w:color="auto" w:fill="FFFFFF"/>
            <w:noWrap/>
            <w:vAlign w:val="bottom"/>
          </w:tcPr>
          <w:p w14:paraId="5C8669A1"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328,7</w:t>
            </w:r>
          </w:p>
        </w:tc>
        <w:tc>
          <w:tcPr>
            <w:tcW w:w="1401" w:type="dxa"/>
            <w:shd w:val="clear" w:color="auto" w:fill="auto"/>
            <w:noWrap/>
            <w:vAlign w:val="bottom"/>
          </w:tcPr>
          <w:p w14:paraId="2B8F2433" w14:textId="5E0D1FFD"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4</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367</w:t>
            </w:r>
          </w:p>
        </w:tc>
        <w:tc>
          <w:tcPr>
            <w:tcW w:w="1418" w:type="dxa"/>
            <w:shd w:val="clear" w:color="auto" w:fill="auto"/>
            <w:noWrap/>
            <w:vAlign w:val="bottom"/>
          </w:tcPr>
          <w:p w14:paraId="2D6C82C8"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13,3</w:t>
            </w:r>
          </w:p>
        </w:tc>
        <w:tc>
          <w:tcPr>
            <w:tcW w:w="1134" w:type="dxa"/>
            <w:shd w:val="clear" w:color="auto" w:fill="FFFFFF"/>
            <w:noWrap/>
            <w:vAlign w:val="bottom"/>
          </w:tcPr>
          <w:p w14:paraId="36E20CB9"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16</w:t>
            </w:r>
          </w:p>
        </w:tc>
        <w:tc>
          <w:tcPr>
            <w:tcW w:w="992" w:type="dxa"/>
            <w:shd w:val="clear" w:color="auto" w:fill="FFFFFF"/>
            <w:noWrap/>
            <w:vAlign w:val="bottom"/>
          </w:tcPr>
          <w:p w14:paraId="190ED56C"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w:t>
            </w:r>
          </w:p>
        </w:tc>
        <w:tc>
          <w:tcPr>
            <w:tcW w:w="992" w:type="dxa"/>
            <w:shd w:val="clear" w:color="auto" w:fill="FFFFFF"/>
            <w:noWrap/>
            <w:vAlign w:val="bottom"/>
          </w:tcPr>
          <w:p w14:paraId="691E5D42"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15</w:t>
            </w:r>
          </w:p>
        </w:tc>
      </w:tr>
      <w:tr w:rsidR="0082227D" w:rsidRPr="00610B1B" w14:paraId="7532D2A8" w14:textId="77777777" w:rsidTr="001E3FED">
        <w:trPr>
          <w:trHeight w:val="255"/>
        </w:trPr>
        <w:tc>
          <w:tcPr>
            <w:tcW w:w="1690" w:type="dxa"/>
            <w:shd w:val="clear" w:color="auto" w:fill="FFFFFF"/>
            <w:vAlign w:val="center"/>
          </w:tcPr>
          <w:p w14:paraId="2D2A217D"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Каварна</w:t>
            </w:r>
          </w:p>
        </w:tc>
        <w:tc>
          <w:tcPr>
            <w:tcW w:w="960" w:type="dxa"/>
            <w:shd w:val="clear" w:color="auto" w:fill="FFFFFF"/>
            <w:noWrap/>
            <w:vAlign w:val="bottom"/>
          </w:tcPr>
          <w:p w14:paraId="4453934C"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481,0</w:t>
            </w:r>
          </w:p>
        </w:tc>
        <w:tc>
          <w:tcPr>
            <w:tcW w:w="1401" w:type="dxa"/>
            <w:shd w:val="clear" w:color="auto" w:fill="auto"/>
            <w:noWrap/>
            <w:vAlign w:val="bottom"/>
          </w:tcPr>
          <w:p w14:paraId="5546B11C" w14:textId="06D18147"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14</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020</w:t>
            </w:r>
          </w:p>
        </w:tc>
        <w:tc>
          <w:tcPr>
            <w:tcW w:w="1418" w:type="dxa"/>
            <w:shd w:val="clear" w:color="auto" w:fill="auto"/>
            <w:noWrap/>
            <w:vAlign w:val="bottom"/>
          </w:tcPr>
          <w:p w14:paraId="14056B99"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29,1</w:t>
            </w:r>
          </w:p>
        </w:tc>
        <w:tc>
          <w:tcPr>
            <w:tcW w:w="1134" w:type="dxa"/>
            <w:shd w:val="clear" w:color="auto" w:fill="FFFFFF"/>
            <w:noWrap/>
            <w:vAlign w:val="bottom"/>
          </w:tcPr>
          <w:p w14:paraId="2EFD79B1"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21</w:t>
            </w:r>
          </w:p>
        </w:tc>
        <w:tc>
          <w:tcPr>
            <w:tcW w:w="992" w:type="dxa"/>
            <w:shd w:val="clear" w:color="auto" w:fill="FFFFFF"/>
            <w:noWrap/>
            <w:vAlign w:val="bottom"/>
          </w:tcPr>
          <w:p w14:paraId="4D323C1D"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w:t>
            </w:r>
          </w:p>
        </w:tc>
        <w:tc>
          <w:tcPr>
            <w:tcW w:w="992" w:type="dxa"/>
            <w:shd w:val="clear" w:color="auto" w:fill="FFFFFF"/>
            <w:noWrap/>
            <w:vAlign w:val="bottom"/>
          </w:tcPr>
          <w:p w14:paraId="1B3902F3"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20</w:t>
            </w:r>
          </w:p>
        </w:tc>
      </w:tr>
      <w:tr w:rsidR="0082227D" w:rsidRPr="00610B1B" w14:paraId="67A4C2DC" w14:textId="77777777" w:rsidTr="001E3FED">
        <w:trPr>
          <w:trHeight w:val="255"/>
        </w:trPr>
        <w:tc>
          <w:tcPr>
            <w:tcW w:w="1690" w:type="dxa"/>
            <w:shd w:val="clear" w:color="auto" w:fill="FFFFFF"/>
            <w:vAlign w:val="center"/>
          </w:tcPr>
          <w:p w14:paraId="39C86194"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Балчик</w:t>
            </w:r>
          </w:p>
        </w:tc>
        <w:tc>
          <w:tcPr>
            <w:tcW w:w="960" w:type="dxa"/>
            <w:shd w:val="clear" w:color="auto" w:fill="FFFFFF"/>
            <w:noWrap/>
            <w:vAlign w:val="bottom"/>
          </w:tcPr>
          <w:p w14:paraId="57544FFE"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521,9</w:t>
            </w:r>
          </w:p>
        </w:tc>
        <w:tc>
          <w:tcPr>
            <w:tcW w:w="1401" w:type="dxa"/>
            <w:shd w:val="clear" w:color="auto" w:fill="auto"/>
            <w:noWrap/>
            <w:vAlign w:val="bottom"/>
          </w:tcPr>
          <w:p w14:paraId="588DAC52" w14:textId="2E593C96"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19</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331</w:t>
            </w:r>
          </w:p>
        </w:tc>
        <w:tc>
          <w:tcPr>
            <w:tcW w:w="1418" w:type="dxa"/>
            <w:shd w:val="clear" w:color="auto" w:fill="auto"/>
            <w:noWrap/>
            <w:vAlign w:val="bottom"/>
          </w:tcPr>
          <w:p w14:paraId="4E18B8F4"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37,0</w:t>
            </w:r>
          </w:p>
        </w:tc>
        <w:tc>
          <w:tcPr>
            <w:tcW w:w="1134" w:type="dxa"/>
            <w:shd w:val="clear" w:color="auto" w:fill="FFFFFF"/>
            <w:noWrap/>
            <w:vAlign w:val="bottom"/>
          </w:tcPr>
          <w:p w14:paraId="257C4973"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22</w:t>
            </w:r>
          </w:p>
        </w:tc>
        <w:tc>
          <w:tcPr>
            <w:tcW w:w="992" w:type="dxa"/>
            <w:shd w:val="clear" w:color="auto" w:fill="FFFFFF"/>
            <w:noWrap/>
            <w:vAlign w:val="bottom"/>
          </w:tcPr>
          <w:p w14:paraId="2C1A8E54"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w:t>
            </w:r>
          </w:p>
        </w:tc>
        <w:tc>
          <w:tcPr>
            <w:tcW w:w="992" w:type="dxa"/>
            <w:shd w:val="clear" w:color="auto" w:fill="FFFFFF"/>
            <w:noWrap/>
            <w:vAlign w:val="bottom"/>
          </w:tcPr>
          <w:p w14:paraId="11D30648"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21</w:t>
            </w:r>
          </w:p>
        </w:tc>
      </w:tr>
      <w:tr w:rsidR="0082227D" w:rsidRPr="00610B1B" w14:paraId="573BAAA2" w14:textId="77777777" w:rsidTr="001E3FED">
        <w:trPr>
          <w:trHeight w:val="255"/>
        </w:trPr>
        <w:tc>
          <w:tcPr>
            <w:tcW w:w="1690" w:type="dxa"/>
            <w:shd w:val="clear" w:color="auto" w:fill="FFFFFF"/>
            <w:vAlign w:val="center"/>
          </w:tcPr>
          <w:p w14:paraId="36D44F6F"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Аксаково</w:t>
            </w:r>
          </w:p>
        </w:tc>
        <w:tc>
          <w:tcPr>
            <w:tcW w:w="960" w:type="dxa"/>
            <w:shd w:val="clear" w:color="auto" w:fill="FFFFFF"/>
            <w:noWrap/>
            <w:vAlign w:val="bottom"/>
          </w:tcPr>
          <w:p w14:paraId="09F8232E"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461,3</w:t>
            </w:r>
          </w:p>
        </w:tc>
        <w:tc>
          <w:tcPr>
            <w:tcW w:w="1401" w:type="dxa"/>
            <w:shd w:val="clear" w:color="auto" w:fill="auto"/>
            <w:noWrap/>
            <w:vAlign w:val="bottom"/>
          </w:tcPr>
          <w:p w14:paraId="0F6A44A0" w14:textId="30761E62"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20</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557</w:t>
            </w:r>
          </w:p>
        </w:tc>
        <w:tc>
          <w:tcPr>
            <w:tcW w:w="1418" w:type="dxa"/>
            <w:shd w:val="clear" w:color="auto" w:fill="auto"/>
            <w:noWrap/>
            <w:vAlign w:val="bottom"/>
          </w:tcPr>
          <w:p w14:paraId="7AD76857"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44,6</w:t>
            </w:r>
          </w:p>
        </w:tc>
        <w:tc>
          <w:tcPr>
            <w:tcW w:w="1134" w:type="dxa"/>
            <w:shd w:val="clear" w:color="auto" w:fill="FFFFFF"/>
            <w:noWrap/>
            <w:vAlign w:val="bottom"/>
          </w:tcPr>
          <w:p w14:paraId="34CAD6FB"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23</w:t>
            </w:r>
          </w:p>
        </w:tc>
        <w:tc>
          <w:tcPr>
            <w:tcW w:w="992" w:type="dxa"/>
            <w:shd w:val="clear" w:color="auto" w:fill="FFFFFF"/>
            <w:noWrap/>
            <w:vAlign w:val="bottom"/>
          </w:tcPr>
          <w:p w14:paraId="64A61AF2"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w:t>
            </w:r>
          </w:p>
        </w:tc>
        <w:tc>
          <w:tcPr>
            <w:tcW w:w="992" w:type="dxa"/>
            <w:shd w:val="clear" w:color="auto" w:fill="FFFFFF"/>
            <w:noWrap/>
            <w:vAlign w:val="bottom"/>
          </w:tcPr>
          <w:p w14:paraId="5364A5DB"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21</w:t>
            </w:r>
          </w:p>
        </w:tc>
      </w:tr>
      <w:tr w:rsidR="0082227D" w:rsidRPr="00610B1B" w14:paraId="64E6BE29" w14:textId="77777777" w:rsidTr="001E3FED">
        <w:trPr>
          <w:trHeight w:val="255"/>
        </w:trPr>
        <w:tc>
          <w:tcPr>
            <w:tcW w:w="1690" w:type="dxa"/>
            <w:shd w:val="clear" w:color="auto" w:fill="FFFFFF"/>
            <w:vAlign w:val="center"/>
          </w:tcPr>
          <w:p w14:paraId="270DEE28"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Варна</w:t>
            </w:r>
          </w:p>
        </w:tc>
        <w:tc>
          <w:tcPr>
            <w:tcW w:w="960" w:type="dxa"/>
            <w:shd w:val="clear" w:color="auto" w:fill="FFFFFF"/>
            <w:noWrap/>
            <w:vAlign w:val="bottom"/>
          </w:tcPr>
          <w:p w14:paraId="5C763E2F"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237,7</w:t>
            </w:r>
          </w:p>
        </w:tc>
        <w:tc>
          <w:tcPr>
            <w:tcW w:w="1401" w:type="dxa"/>
            <w:shd w:val="clear" w:color="auto" w:fill="auto"/>
            <w:noWrap/>
            <w:vAlign w:val="bottom"/>
          </w:tcPr>
          <w:p w14:paraId="3F3C801E" w14:textId="3E7871EA"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345</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369</w:t>
            </w:r>
          </w:p>
        </w:tc>
        <w:tc>
          <w:tcPr>
            <w:tcW w:w="1418" w:type="dxa"/>
            <w:shd w:val="clear" w:color="auto" w:fill="auto"/>
            <w:noWrap/>
            <w:vAlign w:val="bottom"/>
          </w:tcPr>
          <w:p w14:paraId="0F0BE015" w14:textId="6E9F4D5A"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w:t>
            </w:r>
            <w:r w:rsidR="003B5D46" w:rsidRPr="00610B1B">
              <w:rPr>
                <w:rFonts w:ascii="Times New Roman" w:hAnsi="Times New Roman" w:cs="Times New Roman"/>
                <w:lang w:val="bg-BG"/>
              </w:rPr>
              <w:t> </w:t>
            </w:r>
            <w:r w:rsidRPr="00610B1B">
              <w:rPr>
                <w:rFonts w:ascii="Times New Roman" w:hAnsi="Times New Roman" w:cs="Times New Roman"/>
                <w:lang w:val="bg-BG"/>
              </w:rPr>
              <w:t>453,1</w:t>
            </w:r>
          </w:p>
        </w:tc>
        <w:tc>
          <w:tcPr>
            <w:tcW w:w="1134" w:type="dxa"/>
            <w:shd w:val="clear" w:color="auto" w:fill="FFFFFF"/>
            <w:noWrap/>
            <w:vAlign w:val="bottom"/>
          </w:tcPr>
          <w:p w14:paraId="55A04FA8"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w:t>
            </w:r>
          </w:p>
        </w:tc>
        <w:tc>
          <w:tcPr>
            <w:tcW w:w="992" w:type="dxa"/>
            <w:shd w:val="clear" w:color="auto" w:fill="FFFFFF"/>
            <w:noWrap/>
            <w:vAlign w:val="bottom"/>
          </w:tcPr>
          <w:p w14:paraId="021CCB8F"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w:t>
            </w:r>
          </w:p>
        </w:tc>
        <w:tc>
          <w:tcPr>
            <w:tcW w:w="992" w:type="dxa"/>
            <w:shd w:val="clear" w:color="auto" w:fill="FFFFFF"/>
            <w:noWrap/>
            <w:vAlign w:val="bottom"/>
          </w:tcPr>
          <w:p w14:paraId="25B9D32A"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5</w:t>
            </w:r>
          </w:p>
        </w:tc>
      </w:tr>
      <w:tr w:rsidR="0082227D" w:rsidRPr="00610B1B" w14:paraId="5E46E76C" w14:textId="77777777" w:rsidTr="001E3FED">
        <w:trPr>
          <w:trHeight w:val="255"/>
        </w:trPr>
        <w:tc>
          <w:tcPr>
            <w:tcW w:w="1690" w:type="dxa"/>
            <w:shd w:val="clear" w:color="auto" w:fill="FFFFFF"/>
            <w:vAlign w:val="center"/>
          </w:tcPr>
          <w:p w14:paraId="031A1BD1"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Аврен</w:t>
            </w:r>
          </w:p>
        </w:tc>
        <w:tc>
          <w:tcPr>
            <w:tcW w:w="960" w:type="dxa"/>
            <w:shd w:val="clear" w:color="auto" w:fill="FFFFFF"/>
            <w:noWrap/>
            <w:vAlign w:val="bottom"/>
          </w:tcPr>
          <w:p w14:paraId="1BA9CA24"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356,4</w:t>
            </w:r>
          </w:p>
        </w:tc>
        <w:tc>
          <w:tcPr>
            <w:tcW w:w="1401" w:type="dxa"/>
            <w:shd w:val="clear" w:color="auto" w:fill="auto"/>
            <w:noWrap/>
            <w:vAlign w:val="bottom"/>
          </w:tcPr>
          <w:p w14:paraId="5BBC76CF" w14:textId="2DB6EF75"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9</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152</w:t>
            </w:r>
          </w:p>
        </w:tc>
        <w:tc>
          <w:tcPr>
            <w:tcW w:w="1418" w:type="dxa"/>
            <w:shd w:val="clear" w:color="auto" w:fill="auto"/>
            <w:noWrap/>
            <w:vAlign w:val="bottom"/>
          </w:tcPr>
          <w:p w14:paraId="6826C8BA"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25,7</w:t>
            </w:r>
          </w:p>
        </w:tc>
        <w:tc>
          <w:tcPr>
            <w:tcW w:w="1134" w:type="dxa"/>
            <w:shd w:val="clear" w:color="auto" w:fill="FFFFFF"/>
            <w:noWrap/>
            <w:vAlign w:val="bottom"/>
          </w:tcPr>
          <w:p w14:paraId="32EF6622"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17</w:t>
            </w:r>
          </w:p>
        </w:tc>
        <w:tc>
          <w:tcPr>
            <w:tcW w:w="992" w:type="dxa"/>
            <w:shd w:val="clear" w:color="auto" w:fill="FFFFFF"/>
            <w:noWrap/>
            <w:vAlign w:val="bottom"/>
          </w:tcPr>
          <w:p w14:paraId="252DE2AC"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 xml:space="preserve"> -</w:t>
            </w:r>
          </w:p>
        </w:tc>
        <w:tc>
          <w:tcPr>
            <w:tcW w:w="992" w:type="dxa"/>
            <w:shd w:val="clear" w:color="auto" w:fill="FFFFFF"/>
            <w:noWrap/>
            <w:vAlign w:val="bottom"/>
          </w:tcPr>
          <w:p w14:paraId="6C5D9C6D"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17</w:t>
            </w:r>
          </w:p>
        </w:tc>
      </w:tr>
      <w:tr w:rsidR="0082227D" w:rsidRPr="00610B1B" w14:paraId="3911976B" w14:textId="77777777" w:rsidTr="001E3FED">
        <w:trPr>
          <w:trHeight w:val="255"/>
        </w:trPr>
        <w:tc>
          <w:tcPr>
            <w:tcW w:w="1690" w:type="dxa"/>
            <w:shd w:val="clear" w:color="auto" w:fill="FFFFFF"/>
            <w:vAlign w:val="center"/>
          </w:tcPr>
          <w:p w14:paraId="612914BE"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Долни чифлик</w:t>
            </w:r>
          </w:p>
        </w:tc>
        <w:tc>
          <w:tcPr>
            <w:tcW w:w="960" w:type="dxa"/>
            <w:shd w:val="clear" w:color="auto" w:fill="FFFFFF"/>
            <w:noWrap/>
            <w:vAlign w:val="bottom"/>
          </w:tcPr>
          <w:p w14:paraId="000D9631"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485,8</w:t>
            </w:r>
          </w:p>
        </w:tc>
        <w:tc>
          <w:tcPr>
            <w:tcW w:w="1401" w:type="dxa"/>
            <w:shd w:val="clear" w:color="auto" w:fill="auto"/>
            <w:noWrap/>
            <w:vAlign w:val="bottom"/>
          </w:tcPr>
          <w:p w14:paraId="24478F1F" w14:textId="38910780"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18</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492</w:t>
            </w:r>
          </w:p>
        </w:tc>
        <w:tc>
          <w:tcPr>
            <w:tcW w:w="1418" w:type="dxa"/>
            <w:shd w:val="clear" w:color="auto" w:fill="auto"/>
            <w:noWrap/>
            <w:vAlign w:val="bottom"/>
          </w:tcPr>
          <w:p w14:paraId="684A7060"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38,1</w:t>
            </w:r>
          </w:p>
        </w:tc>
        <w:tc>
          <w:tcPr>
            <w:tcW w:w="1134" w:type="dxa"/>
            <w:shd w:val="clear" w:color="auto" w:fill="FFFFFF"/>
            <w:noWrap/>
            <w:vAlign w:val="bottom"/>
          </w:tcPr>
          <w:p w14:paraId="0AC611BB"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17</w:t>
            </w:r>
          </w:p>
        </w:tc>
        <w:tc>
          <w:tcPr>
            <w:tcW w:w="992" w:type="dxa"/>
            <w:shd w:val="clear" w:color="auto" w:fill="FFFFFF"/>
            <w:noWrap/>
            <w:vAlign w:val="bottom"/>
          </w:tcPr>
          <w:p w14:paraId="6BA2FA43"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w:t>
            </w:r>
          </w:p>
        </w:tc>
        <w:tc>
          <w:tcPr>
            <w:tcW w:w="992" w:type="dxa"/>
            <w:shd w:val="clear" w:color="auto" w:fill="FFFFFF"/>
            <w:noWrap/>
            <w:vAlign w:val="bottom"/>
          </w:tcPr>
          <w:p w14:paraId="6667D98B"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16</w:t>
            </w:r>
          </w:p>
        </w:tc>
      </w:tr>
      <w:tr w:rsidR="0082227D" w:rsidRPr="00610B1B" w14:paraId="756BC23B" w14:textId="77777777" w:rsidTr="001E3FED">
        <w:trPr>
          <w:trHeight w:val="255"/>
        </w:trPr>
        <w:tc>
          <w:tcPr>
            <w:tcW w:w="1690" w:type="dxa"/>
            <w:shd w:val="clear" w:color="auto" w:fill="FFFFFF"/>
            <w:vAlign w:val="center"/>
          </w:tcPr>
          <w:p w14:paraId="72EAA940"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Бяла</w:t>
            </w:r>
          </w:p>
        </w:tc>
        <w:tc>
          <w:tcPr>
            <w:tcW w:w="960" w:type="dxa"/>
            <w:shd w:val="clear" w:color="auto" w:fill="FFFFFF"/>
            <w:noWrap/>
            <w:vAlign w:val="bottom"/>
          </w:tcPr>
          <w:p w14:paraId="2F6C0419"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162,1</w:t>
            </w:r>
          </w:p>
        </w:tc>
        <w:tc>
          <w:tcPr>
            <w:tcW w:w="1401" w:type="dxa"/>
            <w:shd w:val="clear" w:color="auto" w:fill="auto"/>
            <w:noWrap/>
            <w:vAlign w:val="bottom"/>
          </w:tcPr>
          <w:p w14:paraId="5DE5F2B2" w14:textId="2ED98421"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3</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287</w:t>
            </w:r>
          </w:p>
        </w:tc>
        <w:tc>
          <w:tcPr>
            <w:tcW w:w="1418" w:type="dxa"/>
            <w:shd w:val="clear" w:color="auto" w:fill="auto"/>
            <w:noWrap/>
            <w:vAlign w:val="bottom"/>
          </w:tcPr>
          <w:p w14:paraId="599C78AB"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20,3</w:t>
            </w:r>
          </w:p>
        </w:tc>
        <w:tc>
          <w:tcPr>
            <w:tcW w:w="1134" w:type="dxa"/>
            <w:shd w:val="clear" w:color="auto" w:fill="FFFFFF"/>
            <w:noWrap/>
            <w:vAlign w:val="bottom"/>
          </w:tcPr>
          <w:p w14:paraId="62CE2870"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w:t>
            </w:r>
          </w:p>
        </w:tc>
        <w:tc>
          <w:tcPr>
            <w:tcW w:w="992" w:type="dxa"/>
            <w:shd w:val="clear" w:color="auto" w:fill="FFFFFF"/>
            <w:noWrap/>
            <w:vAlign w:val="bottom"/>
          </w:tcPr>
          <w:p w14:paraId="19F2353E"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w:t>
            </w:r>
          </w:p>
        </w:tc>
        <w:tc>
          <w:tcPr>
            <w:tcW w:w="992" w:type="dxa"/>
            <w:shd w:val="clear" w:color="auto" w:fill="FFFFFF"/>
            <w:noWrap/>
            <w:vAlign w:val="bottom"/>
          </w:tcPr>
          <w:p w14:paraId="7BF15C38"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5</w:t>
            </w:r>
          </w:p>
        </w:tc>
      </w:tr>
      <w:tr w:rsidR="0082227D" w:rsidRPr="00610B1B" w14:paraId="0140593F" w14:textId="77777777" w:rsidTr="001E3FED">
        <w:trPr>
          <w:trHeight w:val="255"/>
        </w:trPr>
        <w:tc>
          <w:tcPr>
            <w:tcW w:w="1690" w:type="dxa"/>
            <w:shd w:val="clear" w:color="auto" w:fill="FFFFFF"/>
            <w:vAlign w:val="center"/>
          </w:tcPr>
          <w:p w14:paraId="4207553C"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Несебър</w:t>
            </w:r>
          </w:p>
        </w:tc>
        <w:tc>
          <w:tcPr>
            <w:tcW w:w="960" w:type="dxa"/>
            <w:shd w:val="clear" w:color="auto" w:fill="FFFFFF"/>
            <w:noWrap/>
            <w:vAlign w:val="bottom"/>
          </w:tcPr>
          <w:p w14:paraId="2E5DA5C1"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418,9</w:t>
            </w:r>
          </w:p>
        </w:tc>
        <w:tc>
          <w:tcPr>
            <w:tcW w:w="1401" w:type="dxa"/>
            <w:shd w:val="clear" w:color="auto" w:fill="auto"/>
            <w:noWrap/>
            <w:vAlign w:val="bottom"/>
          </w:tcPr>
          <w:p w14:paraId="59ACB77A" w14:textId="69AEBC87"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27</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879</w:t>
            </w:r>
          </w:p>
        </w:tc>
        <w:tc>
          <w:tcPr>
            <w:tcW w:w="1418" w:type="dxa"/>
            <w:shd w:val="clear" w:color="auto" w:fill="auto"/>
            <w:noWrap/>
            <w:vAlign w:val="bottom"/>
          </w:tcPr>
          <w:p w14:paraId="52079F68"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66,6</w:t>
            </w:r>
          </w:p>
        </w:tc>
        <w:tc>
          <w:tcPr>
            <w:tcW w:w="1134" w:type="dxa"/>
            <w:shd w:val="clear" w:color="auto" w:fill="FFFFFF"/>
            <w:noWrap/>
            <w:vAlign w:val="bottom"/>
          </w:tcPr>
          <w:p w14:paraId="097B3BB1"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14</w:t>
            </w:r>
          </w:p>
        </w:tc>
        <w:tc>
          <w:tcPr>
            <w:tcW w:w="992" w:type="dxa"/>
            <w:shd w:val="clear" w:color="auto" w:fill="FFFFFF"/>
            <w:noWrap/>
            <w:vAlign w:val="bottom"/>
          </w:tcPr>
          <w:p w14:paraId="57AD9FC9"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w:t>
            </w:r>
          </w:p>
        </w:tc>
        <w:tc>
          <w:tcPr>
            <w:tcW w:w="992" w:type="dxa"/>
            <w:shd w:val="clear" w:color="auto" w:fill="FFFFFF"/>
            <w:noWrap/>
            <w:vAlign w:val="bottom"/>
          </w:tcPr>
          <w:p w14:paraId="3AD7BB7C"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11</w:t>
            </w:r>
          </w:p>
        </w:tc>
      </w:tr>
      <w:tr w:rsidR="0082227D" w:rsidRPr="00610B1B" w14:paraId="6C1FF6F5" w14:textId="77777777" w:rsidTr="001E3FED">
        <w:trPr>
          <w:trHeight w:val="255"/>
        </w:trPr>
        <w:tc>
          <w:tcPr>
            <w:tcW w:w="1690" w:type="dxa"/>
            <w:shd w:val="clear" w:color="auto" w:fill="FFFFFF"/>
            <w:vAlign w:val="center"/>
          </w:tcPr>
          <w:p w14:paraId="1CAC6728"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Поморие</w:t>
            </w:r>
          </w:p>
        </w:tc>
        <w:tc>
          <w:tcPr>
            <w:tcW w:w="960" w:type="dxa"/>
            <w:shd w:val="clear" w:color="auto" w:fill="FFFFFF"/>
            <w:noWrap/>
            <w:vAlign w:val="bottom"/>
          </w:tcPr>
          <w:p w14:paraId="1CFE35E3"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407,8</w:t>
            </w:r>
          </w:p>
        </w:tc>
        <w:tc>
          <w:tcPr>
            <w:tcW w:w="1401" w:type="dxa"/>
            <w:shd w:val="clear" w:color="auto" w:fill="auto"/>
            <w:noWrap/>
            <w:vAlign w:val="bottom"/>
          </w:tcPr>
          <w:p w14:paraId="5F6607F6" w14:textId="6F837F60"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27</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233</w:t>
            </w:r>
          </w:p>
        </w:tc>
        <w:tc>
          <w:tcPr>
            <w:tcW w:w="1418" w:type="dxa"/>
            <w:shd w:val="clear" w:color="auto" w:fill="auto"/>
            <w:noWrap/>
            <w:vAlign w:val="bottom"/>
          </w:tcPr>
          <w:p w14:paraId="684C5D4A"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66,8</w:t>
            </w:r>
          </w:p>
        </w:tc>
        <w:tc>
          <w:tcPr>
            <w:tcW w:w="1134" w:type="dxa"/>
            <w:shd w:val="clear" w:color="auto" w:fill="FFFFFF"/>
            <w:noWrap/>
            <w:vAlign w:val="bottom"/>
          </w:tcPr>
          <w:p w14:paraId="54A3DE36"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17</w:t>
            </w:r>
          </w:p>
        </w:tc>
        <w:tc>
          <w:tcPr>
            <w:tcW w:w="992" w:type="dxa"/>
            <w:shd w:val="clear" w:color="auto" w:fill="FFFFFF"/>
            <w:noWrap/>
            <w:vAlign w:val="bottom"/>
          </w:tcPr>
          <w:p w14:paraId="2D90A0E6"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w:t>
            </w:r>
          </w:p>
        </w:tc>
        <w:tc>
          <w:tcPr>
            <w:tcW w:w="992" w:type="dxa"/>
            <w:shd w:val="clear" w:color="auto" w:fill="FFFFFF"/>
            <w:noWrap/>
            <w:vAlign w:val="bottom"/>
          </w:tcPr>
          <w:p w14:paraId="207964E2"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14</w:t>
            </w:r>
          </w:p>
        </w:tc>
      </w:tr>
      <w:tr w:rsidR="0082227D" w:rsidRPr="00610B1B" w14:paraId="1E9CC80F" w14:textId="77777777" w:rsidTr="001E3FED">
        <w:trPr>
          <w:trHeight w:val="255"/>
        </w:trPr>
        <w:tc>
          <w:tcPr>
            <w:tcW w:w="1690" w:type="dxa"/>
            <w:shd w:val="clear" w:color="auto" w:fill="FFFFFF"/>
            <w:vAlign w:val="center"/>
          </w:tcPr>
          <w:p w14:paraId="21521270"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Бургас</w:t>
            </w:r>
          </w:p>
        </w:tc>
        <w:tc>
          <w:tcPr>
            <w:tcW w:w="960" w:type="dxa"/>
            <w:shd w:val="clear" w:color="auto" w:fill="FFFFFF"/>
            <w:noWrap/>
            <w:vAlign w:val="bottom"/>
          </w:tcPr>
          <w:p w14:paraId="649A08DC"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531,8</w:t>
            </w:r>
          </w:p>
        </w:tc>
        <w:tc>
          <w:tcPr>
            <w:tcW w:w="1401" w:type="dxa"/>
            <w:shd w:val="clear" w:color="auto" w:fill="auto"/>
            <w:noWrap/>
            <w:vAlign w:val="bottom"/>
          </w:tcPr>
          <w:p w14:paraId="0452C647" w14:textId="22BA7B24"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208</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915</w:t>
            </w:r>
          </w:p>
        </w:tc>
        <w:tc>
          <w:tcPr>
            <w:tcW w:w="1418" w:type="dxa"/>
            <w:shd w:val="clear" w:color="auto" w:fill="auto"/>
            <w:noWrap/>
            <w:vAlign w:val="bottom"/>
          </w:tcPr>
          <w:p w14:paraId="768D49E9"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392,9</w:t>
            </w:r>
          </w:p>
        </w:tc>
        <w:tc>
          <w:tcPr>
            <w:tcW w:w="1134" w:type="dxa"/>
            <w:shd w:val="clear" w:color="auto" w:fill="FFFFFF"/>
            <w:noWrap/>
            <w:vAlign w:val="bottom"/>
          </w:tcPr>
          <w:p w14:paraId="255971B9"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12</w:t>
            </w:r>
          </w:p>
        </w:tc>
        <w:tc>
          <w:tcPr>
            <w:tcW w:w="992" w:type="dxa"/>
            <w:shd w:val="clear" w:color="auto" w:fill="FFFFFF"/>
            <w:noWrap/>
            <w:vAlign w:val="bottom"/>
          </w:tcPr>
          <w:p w14:paraId="736C8645"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w:t>
            </w:r>
          </w:p>
        </w:tc>
        <w:tc>
          <w:tcPr>
            <w:tcW w:w="992" w:type="dxa"/>
            <w:shd w:val="clear" w:color="auto" w:fill="FFFFFF"/>
            <w:noWrap/>
            <w:vAlign w:val="bottom"/>
          </w:tcPr>
          <w:p w14:paraId="2567EA85"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10</w:t>
            </w:r>
          </w:p>
        </w:tc>
      </w:tr>
      <w:tr w:rsidR="0082227D" w:rsidRPr="00610B1B" w14:paraId="376287E4" w14:textId="77777777" w:rsidTr="001E3FED">
        <w:trPr>
          <w:trHeight w:val="255"/>
        </w:trPr>
        <w:tc>
          <w:tcPr>
            <w:tcW w:w="1690" w:type="dxa"/>
            <w:shd w:val="clear" w:color="auto" w:fill="FFFFFF"/>
            <w:vAlign w:val="center"/>
          </w:tcPr>
          <w:p w14:paraId="7FB3B5D2"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Созопол</w:t>
            </w:r>
          </w:p>
        </w:tc>
        <w:tc>
          <w:tcPr>
            <w:tcW w:w="960" w:type="dxa"/>
            <w:shd w:val="clear" w:color="auto" w:fill="FFFFFF"/>
            <w:noWrap/>
            <w:vAlign w:val="bottom"/>
          </w:tcPr>
          <w:p w14:paraId="2C533958"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477,1</w:t>
            </w:r>
          </w:p>
        </w:tc>
        <w:tc>
          <w:tcPr>
            <w:tcW w:w="1401" w:type="dxa"/>
            <w:shd w:val="clear" w:color="auto" w:fill="auto"/>
            <w:noWrap/>
            <w:vAlign w:val="bottom"/>
          </w:tcPr>
          <w:p w14:paraId="0FCBA8C8" w14:textId="6712D1E4"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13</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005</w:t>
            </w:r>
          </w:p>
        </w:tc>
        <w:tc>
          <w:tcPr>
            <w:tcW w:w="1418" w:type="dxa"/>
            <w:shd w:val="clear" w:color="auto" w:fill="auto"/>
            <w:noWrap/>
            <w:vAlign w:val="bottom"/>
          </w:tcPr>
          <w:p w14:paraId="1316C2E5"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27,3</w:t>
            </w:r>
          </w:p>
        </w:tc>
        <w:tc>
          <w:tcPr>
            <w:tcW w:w="1134" w:type="dxa"/>
            <w:shd w:val="clear" w:color="auto" w:fill="FFFFFF"/>
            <w:noWrap/>
            <w:vAlign w:val="bottom"/>
          </w:tcPr>
          <w:p w14:paraId="6B3F948B"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12</w:t>
            </w:r>
          </w:p>
        </w:tc>
        <w:tc>
          <w:tcPr>
            <w:tcW w:w="992" w:type="dxa"/>
            <w:shd w:val="clear" w:color="auto" w:fill="FFFFFF"/>
            <w:noWrap/>
            <w:vAlign w:val="bottom"/>
          </w:tcPr>
          <w:p w14:paraId="01329209"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w:t>
            </w:r>
          </w:p>
        </w:tc>
        <w:tc>
          <w:tcPr>
            <w:tcW w:w="992" w:type="dxa"/>
            <w:shd w:val="clear" w:color="auto" w:fill="FFFFFF"/>
            <w:noWrap/>
            <w:vAlign w:val="bottom"/>
          </w:tcPr>
          <w:p w14:paraId="0C19085D"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10</w:t>
            </w:r>
          </w:p>
        </w:tc>
      </w:tr>
      <w:tr w:rsidR="0082227D" w:rsidRPr="00610B1B" w14:paraId="26EC0C6F" w14:textId="77777777" w:rsidTr="001E3FED">
        <w:trPr>
          <w:trHeight w:val="255"/>
        </w:trPr>
        <w:tc>
          <w:tcPr>
            <w:tcW w:w="1690" w:type="dxa"/>
            <w:shd w:val="clear" w:color="auto" w:fill="FFFFFF"/>
            <w:vAlign w:val="center"/>
          </w:tcPr>
          <w:p w14:paraId="5A040C55"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Приморско</w:t>
            </w:r>
          </w:p>
        </w:tc>
        <w:tc>
          <w:tcPr>
            <w:tcW w:w="960" w:type="dxa"/>
            <w:shd w:val="clear" w:color="auto" w:fill="FFFFFF"/>
            <w:noWrap/>
            <w:vAlign w:val="bottom"/>
          </w:tcPr>
          <w:p w14:paraId="6859FA95"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355,4</w:t>
            </w:r>
          </w:p>
        </w:tc>
        <w:tc>
          <w:tcPr>
            <w:tcW w:w="1401" w:type="dxa"/>
            <w:shd w:val="clear" w:color="auto" w:fill="auto"/>
            <w:noWrap/>
            <w:vAlign w:val="bottom"/>
          </w:tcPr>
          <w:p w14:paraId="5EEF20EF" w14:textId="580B1269"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6</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124</w:t>
            </w:r>
          </w:p>
        </w:tc>
        <w:tc>
          <w:tcPr>
            <w:tcW w:w="1418" w:type="dxa"/>
            <w:shd w:val="clear" w:color="auto" w:fill="auto"/>
            <w:noWrap/>
            <w:vAlign w:val="bottom"/>
          </w:tcPr>
          <w:p w14:paraId="16CF65DD"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17,2</w:t>
            </w:r>
          </w:p>
        </w:tc>
        <w:tc>
          <w:tcPr>
            <w:tcW w:w="1134" w:type="dxa"/>
            <w:shd w:val="clear" w:color="auto" w:fill="FFFFFF"/>
            <w:noWrap/>
            <w:vAlign w:val="bottom"/>
          </w:tcPr>
          <w:p w14:paraId="2D839E7C"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w:t>
            </w:r>
          </w:p>
        </w:tc>
        <w:tc>
          <w:tcPr>
            <w:tcW w:w="992" w:type="dxa"/>
            <w:shd w:val="clear" w:color="auto" w:fill="FFFFFF"/>
            <w:noWrap/>
            <w:vAlign w:val="bottom"/>
          </w:tcPr>
          <w:p w14:paraId="2D63D4AA"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w:t>
            </w:r>
          </w:p>
        </w:tc>
        <w:tc>
          <w:tcPr>
            <w:tcW w:w="992" w:type="dxa"/>
            <w:shd w:val="clear" w:color="auto" w:fill="FFFFFF"/>
            <w:noWrap/>
            <w:vAlign w:val="bottom"/>
          </w:tcPr>
          <w:p w14:paraId="69E23A86"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w:t>
            </w:r>
          </w:p>
        </w:tc>
      </w:tr>
      <w:tr w:rsidR="0082227D" w:rsidRPr="00610B1B" w14:paraId="73D709FF" w14:textId="77777777" w:rsidTr="001E3FED">
        <w:trPr>
          <w:trHeight w:val="255"/>
        </w:trPr>
        <w:tc>
          <w:tcPr>
            <w:tcW w:w="1690" w:type="dxa"/>
            <w:shd w:val="clear" w:color="auto" w:fill="FFFFFF"/>
            <w:vAlign w:val="center"/>
          </w:tcPr>
          <w:p w14:paraId="48A5CB6D"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Царево</w:t>
            </w:r>
          </w:p>
        </w:tc>
        <w:tc>
          <w:tcPr>
            <w:tcW w:w="960" w:type="dxa"/>
            <w:shd w:val="clear" w:color="auto" w:fill="FFFFFF"/>
            <w:noWrap/>
            <w:vAlign w:val="bottom"/>
          </w:tcPr>
          <w:p w14:paraId="1B79EAEB"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511,5</w:t>
            </w:r>
          </w:p>
        </w:tc>
        <w:tc>
          <w:tcPr>
            <w:tcW w:w="1401" w:type="dxa"/>
            <w:shd w:val="clear" w:color="auto" w:fill="auto"/>
            <w:noWrap/>
            <w:vAlign w:val="bottom"/>
          </w:tcPr>
          <w:p w14:paraId="2F35F670" w14:textId="3BCE2647"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9</w:t>
            </w:r>
            <w:r w:rsidR="003B5D46" w:rsidRPr="00610B1B">
              <w:rPr>
                <w:rFonts w:ascii="Times New Roman" w:hAnsi="Times New Roman" w:cs="Times New Roman"/>
                <w:color w:val="000000"/>
                <w:lang w:val="bg-BG"/>
              </w:rPr>
              <w:t> </w:t>
            </w:r>
            <w:r w:rsidRPr="00610B1B">
              <w:rPr>
                <w:rFonts w:ascii="Times New Roman" w:hAnsi="Times New Roman" w:cs="Times New Roman"/>
                <w:color w:val="000000"/>
                <w:lang w:val="bg-BG"/>
              </w:rPr>
              <w:t>014</w:t>
            </w:r>
          </w:p>
        </w:tc>
        <w:tc>
          <w:tcPr>
            <w:tcW w:w="1418" w:type="dxa"/>
            <w:shd w:val="clear" w:color="auto" w:fill="auto"/>
            <w:noWrap/>
            <w:vAlign w:val="bottom"/>
          </w:tcPr>
          <w:p w14:paraId="443C01F3"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17,6</w:t>
            </w:r>
          </w:p>
        </w:tc>
        <w:tc>
          <w:tcPr>
            <w:tcW w:w="1134" w:type="dxa"/>
            <w:shd w:val="clear" w:color="auto" w:fill="FFFFFF"/>
            <w:noWrap/>
            <w:vAlign w:val="bottom"/>
          </w:tcPr>
          <w:p w14:paraId="4D23AA42"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13</w:t>
            </w:r>
          </w:p>
        </w:tc>
        <w:tc>
          <w:tcPr>
            <w:tcW w:w="992" w:type="dxa"/>
            <w:shd w:val="clear" w:color="auto" w:fill="FFFFFF"/>
            <w:noWrap/>
            <w:vAlign w:val="bottom"/>
          </w:tcPr>
          <w:p w14:paraId="6C477DCA"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w:t>
            </w:r>
          </w:p>
        </w:tc>
        <w:tc>
          <w:tcPr>
            <w:tcW w:w="992" w:type="dxa"/>
            <w:shd w:val="clear" w:color="auto" w:fill="FFFFFF"/>
            <w:noWrap/>
            <w:vAlign w:val="bottom"/>
          </w:tcPr>
          <w:p w14:paraId="0DB1AA18"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11</w:t>
            </w:r>
          </w:p>
        </w:tc>
      </w:tr>
    </w:tbl>
    <w:p w14:paraId="1BA76D15" w14:textId="536186C9" w:rsidR="0082227D" w:rsidRPr="00610B1B" w:rsidRDefault="00392A32" w:rsidP="00595F51">
      <w:pPr>
        <w:spacing w:before="60" w:after="120"/>
        <w:ind w:right="-153"/>
        <w:jc w:val="both"/>
        <w:rPr>
          <w:rFonts w:ascii="Times New Roman" w:hAnsi="Times New Roman" w:cs="Times New Roman"/>
          <w:lang w:val="bg-BG"/>
        </w:rPr>
      </w:pPr>
      <w:r w:rsidRPr="00610B1B">
        <w:rPr>
          <w:rFonts w:ascii="Times New Roman" w:hAnsi="Times New Roman" w:cs="Times New Roman"/>
          <w:lang w:val="bg-BG"/>
        </w:rPr>
        <w:t>Източник: НСИ</w:t>
      </w:r>
      <w:r w:rsidR="0082227D" w:rsidRPr="00610B1B">
        <w:rPr>
          <w:rFonts w:ascii="Times New Roman" w:hAnsi="Times New Roman" w:cs="Times New Roman"/>
          <w:lang w:val="bg-BG"/>
        </w:rPr>
        <w:t xml:space="preserve">, обработка НЦТР </w:t>
      </w:r>
    </w:p>
    <w:p w14:paraId="6DE34136" w14:textId="1CE772F5" w:rsidR="000B1E6E" w:rsidRPr="00610B1B" w:rsidRDefault="00CF05D9"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Областните центрове Варна и Бургас, градове от 2-ро йерархично ниво съгласно Националната концепция за пространствено развитие 2013-3025, Актуализация 2019 г., с агломерационните си образувания, са главни балансьори на столичния град. </w:t>
      </w:r>
    </w:p>
    <w:p w14:paraId="1C71BAA5" w14:textId="4B434973" w:rsidR="00F23650" w:rsidRPr="00610B1B" w:rsidRDefault="00F2365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Агломерационният ареал</w:t>
      </w:r>
      <w:r w:rsidR="002134B1" w:rsidRPr="00610B1B">
        <w:rPr>
          <w:rFonts w:ascii="Times New Roman" w:hAnsi="Times New Roman" w:cs="Times New Roman"/>
          <w:sz w:val="24"/>
          <w:szCs w:val="24"/>
          <w:lang w:val="bg-BG"/>
        </w:rPr>
        <w:t xml:space="preserve"> на Варна включва 6 общини (</w:t>
      </w:r>
      <w:r w:rsidRPr="00610B1B">
        <w:rPr>
          <w:rFonts w:ascii="Times New Roman" w:hAnsi="Times New Roman" w:cs="Times New Roman"/>
          <w:sz w:val="24"/>
          <w:szCs w:val="24"/>
          <w:lang w:val="bg-BG"/>
        </w:rPr>
        <w:t>Варна, Аврен, Аксаково, Белослав, Долни Чифлик и Дългопол</w:t>
      </w:r>
      <w:r w:rsidR="002134B1"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от които 3 са разположени на Черноморския бряг</w:t>
      </w:r>
      <w:r w:rsidR="00281515" w:rsidRPr="00610B1B">
        <w:rPr>
          <w:rFonts w:ascii="Times New Roman" w:hAnsi="Times New Roman" w:cs="Times New Roman"/>
          <w:sz w:val="24"/>
          <w:szCs w:val="24"/>
          <w:lang w:val="bg-BG"/>
        </w:rPr>
        <w:t>, а т</w:t>
      </w:r>
      <w:r w:rsidRPr="00610B1B">
        <w:rPr>
          <w:rFonts w:ascii="Times New Roman" w:hAnsi="Times New Roman" w:cs="Times New Roman"/>
          <w:sz w:val="24"/>
          <w:szCs w:val="24"/>
          <w:lang w:val="bg-BG"/>
        </w:rPr>
        <w:t>ериторията, която обхваща е 2</w:t>
      </w:r>
      <w:r w:rsidR="00281515"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035,58 km</w:t>
      </w:r>
      <w:r w:rsidRPr="00610B1B">
        <w:rPr>
          <w:rFonts w:ascii="Times New Roman" w:hAnsi="Times New Roman" w:cs="Times New Roman"/>
          <w:sz w:val="24"/>
          <w:szCs w:val="24"/>
          <w:vertAlign w:val="superscript"/>
          <w:lang w:val="bg-BG"/>
        </w:rPr>
        <w:t>2</w:t>
      </w:r>
      <w:r w:rsidRPr="00610B1B">
        <w:rPr>
          <w:rFonts w:ascii="Times New Roman" w:hAnsi="Times New Roman" w:cs="Times New Roman"/>
          <w:sz w:val="24"/>
          <w:szCs w:val="24"/>
          <w:lang w:val="bg-BG"/>
        </w:rPr>
        <w:t xml:space="preserve">. За периода 2011–2019 г. населението на </w:t>
      </w:r>
      <w:r w:rsidRPr="00610B1B">
        <w:rPr>
          <w:rFonts w:ascii="Times New Roman" w:hAnsi="Times New Roman" w:cs="Times New Roman"/>
          <w:sz w:val="24"/>
          <w:szCs w:val="24"/>
          <w:lang w:val="bg-BG"/>
        </w:rPr>
        <w:lastRenderedPageBreak/>
        <w:t>агломерационния ареал се увеличава от 411</w:t>
      </w:r>
      <w:r w:rsidR="00281515"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302 д. на 416</w:t>
      </w:r>
      <w:r w:rsidR="00281515"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476 д. или с 5 174 д. (0,98%). </w:t>
      </w:r>
      <w:r w:rsidR="00281515" w:rsidRPr="00610B1B">
        <w:rPr>
          <w:rFonts w:ascii="Times New Roman" w:hAnsi="Times New Roman" w:cs="Times New Roman"/>
          <w:sz w:val="24"/>
          <w:szCs w:val="24"/>
          <w:lang w:val="bg-BG"/>
        </w:rPr>
        <w:t xml:space="preserve">Анализът на данните показва </w:t>
      </w:r>
      <w:r w:rsidRPr="00610B1B">
        <w:rPr>
          <w:rFonts w:ascii="Times New Roman" w:hAnsi="Times New Roman" w:cs="Times New Roman"/>
          <w:sz w:val="24"/>
          <w:szCs w:val="24"/>
          <w:lang w:val="bg-BG"/>
        </w:rPr>
        <w:t>демографска стабилност на центъра</w:t>
      </w:r>
      <w:r w:rsidR="00281515" w:rsidRPr="00610B1B">
        <w:rPr>
          <w:rFonts w:ascii="Times New Roman" w:hAnsi="Times New Roman" w:cs="Times New Roman"/>
          <w:sz w:val="24"/>
          <w:szCs w:val="24"/>
          <w:lang w:val="bg-BG"/>
        </w:rPr>
        <w:t xml:space="preserve"> и на населените места в ареала. Това</w:t>
      </w:r>
      <w:r w:rsidRPr="00610B1B">
        <w:rPr>
          <w:rFonts w:ascii="Times New Roman" w:hAnsi="Times New Roman" w:cs="Times New Roman"/>
          <w:sz w:val="24"/>
          <w:szCs w:val="24"/>
          <w:lang w:val="bg-BG"/>
        </w:rPr>
        <w:t xml:space="preserve"> се дължи до голяма степен и на туристическата функция на крайморските градове. Най-големите ежедневни трудови пътувания към центъра Варна са от община Аксаково -</w:t>
      </w:r>
      <w:r w:rsidR="00281515"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44% от трудово наетите лица в общината. В останалите общини трудовите пътувания към Варна са по-малки. В община Варна се произвежда 75% от общата продукция на икономическото образувание и там работят 85% от всички наети лица. В Девня се произвежда 15% от продукцията и там работят 3,7% от наетите лица.</w:t>
      </w:r>
    </w:p>
    <w:p w14:paraId="7631D65A" w14:textId="74CEBEC8" w:rsidR="00F23650" w:rsidRPr="00610B1B" w:rsidRDefault="00F2365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А</w:t>
      </w:r>
      <w:r w:rsidR="00281515" w:rsidRPr="00610B1B">
        <w:rPr>
          <w:rFonts w:ascii="Times New Roman" w:hAnsi="Times New Roman" w:cs="Times New Roman"/>
          <w:sz w:val="24"/>
          <w:szCs w:val="24"/>
          <w:lang w:val="bg-BG"/>
        </w:rPr>
        <w:t xml:space="preserve">гломерационният ареал </w:t>
      </w:r>
      <w:r w:rsidRPr="00610B1B">
        <w:rPr>
          <w:rFonts w:ascii="Times New Roman" w:hAnsi="Times New Roman" w:cs="Times New Roman"/>
          <w:sz w:val="24"/>
          <w:szCs w:val="24"/>
          <w:lang w:val="bg-BG"/>
        </w:rPr>
        <w:t xml:space="preserve">на Бургас включва 5 общини </w:t>
      </w:r>
      <w:r w:rsidR="00281515"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Бургас, Айтос, Камено, Созопол и Средец</w:t>
      </w:r>
      <w:r w:rsidR="00281515" w:rsidRPr="00610B1B">
        <w:rPr>
          <w:rFonts w:ascii="Times New Roman" w:hAnsi="Times New Roman" w:cs="Times New Roman"/>
          <w:sz w:val="24"/>
          <w:szCs w:val="24"/>
          <w:lang w:val="bg-BG"/>
        </w:rPr>
        <w:t>) и обхваща площ от 2 943,87 km</w:t>
      </w:r>
      <w:r w:rsidR="00281515" w:rsidRPr="00610B1B">
        <w:rPr>
          <w:rFonts w:ascii="Times New Roman" w:hAnsi="Times New Roman" w:cs="Times New Roman"/>
          <w:sz w:val="24"/>
          <w:szCs w:val="24"/>
          <w:vertAlign w:val="superscript"/>
          <w:lang w:val="bg-BG"/>
        </w:rPr>
        <w:t>2</w:t>
      </w:r>
      <w:r w:rsidR="00281515" w:rsidRPr="00610B1B">
        <w:rPr>
          <w:rFonts w:ascii="Times New Roman" w:hAnsi="Times New Roman" w:cs="Times New Roman"/>
          <w:sz w:val="24"/>
          <w:szCs w:val="24"/>
          <w:lang w:val="bg-BG"/>
        </w:rPr>
        <w:t>. За периода 2011-2019</w:t>
      </w:r>
      <w:r w:rsidRPr="00610B1B">
        <w:rPr>
          <w:rFonts w:ascii="Times New Roman" w:hAnsi="Times New Roman" w:cs="Times New Roman"/>
          <w:sz w:val="24"/>
          <w:szCs w:val="24"/>
          <w:lang w:val="bg-BG"/>
        </w:rPr>
        <w:t xml:space="preserve"> г. населението на агломерационния ар</w:t>
      </w:r>
      <w:r w:rsidR="00281515" w:rsidRPr="00610B1B">
        <w:rPr>
          <w:rFonts w:ascii="Times New Roman" w:hAnsi="Times New Roman" w:cs="Times New Roman"/>
          <w:sz w:val="24"/>
          <w:szCs w:val="24"/>
          <w:lang w:val="bg-BG"/>
        </w:rPr>
        <w:t>еал намалява от 279 478 д. на 272 859 д, или с 6 619 (2,</w:t>
      </w:r>
      <w:r w:rsidRPr="00610B1B">
        <w:rPr>
          <w:rFonts w:ascii="Times New Roman" w:hAnsi="Times New Roman" w:cs="Times New Roman"/>
          <w:sz w:val="24"/>
          <w:szCs w:val="24"/>
          <w:lang w:val="bg-BG"/>
        </w:rPr>
        <w:t>3</w:t>
      </w:r>
      <w:r w:rsidR="00281515" w:rsidRPr="00610B1B">
        <w:rPr>
          <w:rFonts w:ascii="Times New Roman" w:hAnsi="Times New Roman" w:cs="Times New Roman"/>
          <w:sz w:val="24"/>
          <w:szCs w:val="24"/>
          <w:lang w:val="bg-BG"/>
        </w:rPr>
        <w:t>6</w:t>
      </w:r>
      <w:r w:rsidRPr="00610B1B">
        <w:rPr>
          <w:rFonts w:ascii="Times New Roman" w:hAnsi="Times New Roman" w:cs="Times New Roman"/>
          <w:sz w:val="24"/>
          <w:szCs w:val="24"/>
          <w:lang w:val="bg-BG"/>
        </w:rPr>
        <w:t xml:space="preserve">%). Населението на центъра </w:t>
      </w:r>
      <w:r w:rsidR="00ED357B" w:rsidRPr="00610B1B">
        <w:rPr>
          <w:rFonts w:ascii="Times New Roman" w:hAnsi="Times New Roman" w:cs="Times New Roman"/>
          <w:sz w:val="24"/>
          <w:szCs w:val="24"/>
          <w:lang w:val="bg-BG"/>
        </w:rPr>
        <w:t xml:space="preserve">град </w:t>
      </w:r>
      <w:r w:rsidRPr="00610B1B">
        <w:rPr>
          <w:rFonts w:ascii="Times New Roman" w:hAnsi="Times New Roman" w:cs="Times New Roman"/>
          <w:sz w:val="24"/>
          <w:szCs w:val="24"/>
          <w:lang w:val="bg-BG"/>
        </w:rPr>
        <w:t xml:space="preserve">Бургас </w:t>
      </w:r>
      <w:r w:rsidR="00ED357B" w:rsidRPr="00610B1B">
        <w:rPr>
          <w:rFonts w:ascii="Times New Roman" w:hAnsi="Times New Roman" w:cs="Times New Roman"/>
          <w:sz w:val="24"/>
          <w:szCs w:val="24"/>
          <w:lang w:val="bg-BG"/>
        </w:rPr>
        <w:t xml:space="preserve">показва демографска стабилност, относително </w:t>
      </w:r>
      <w:r w:rsidR="008E5D9F" w:rsidRPr="00610B1B">
        <w:rPr>
          <w:rFonts w:ascii="Times New Roman" w:hAnsi="Times New Roman" w:cs="Times New Roman"/>
          <w:sz w:val="24"/>
          <w:szCs w:val="24"/>
          <w:lang w:val="bg-BG"/>
        </w:rPr>
        <w:t>стабилно</w:t>
      </w:r>
      <w:r w:rsidR="00ED357B" w:rsidRPr="00610B1B">
        <w:rPr>
          <w:rFonts w:ascii="Times New Roman" w:hAnsi="Times New Roman" w:cs="Times New Roman"/>
          <w:sz w:val="24"/>
          <w:szCs w:val="24"/>
          <w:lang w:val="bg-BG"/>
        </w:rPr>
        <w:t xml:space="preserve"> е и населението в останалите населени места в обхвата на ареала. Това се дължи </w:t>
      </w:r>
      <w:r w:rsidRPr="00610B1B">
        <w:rPr>
          <w:rFonts w:ascii="Times New Roman" w:hAnsi="Times New Roman" w:cs="Times New Roman"/>
          <w:sz w:val="24"/>
          <w:szCs w:val="24"/>
          <w:lang w:val="bg-BG"/>
        </w:rPr>
        <w:t>предимно на туристическата функция на крайморските градове. От трудово наетите в община Камено 31% работят в Бургас. За другите общини на ареала процентът е малко над 15%. В община Бургас се произвежда 92% от продукцията на икономическото образувание и там работят 84% от всички наети лица.</w:t>
      </w:r>
    </w:p>
    <w:p w14:paraId="3A79E3F6" w14:textId="77777777" w:rsidR="00261A06" w:rsidRPr="00610B1B" w:rsidRDefault="00261A06" w:rsidP="00D32D6A">
      <w:pPr>
        <w:spacing w:after="120"/>
        <w:ind w:right="-153"/>
        <w:jc w:val="both"/>
        <w:rPr>
          <w:rFonts w:ascii="Times New Roman" w:hAnsi="Times New Roman" w:cs="Times New Roman"/>
          <w:sz w:val="24"/>
          <w:szCs w:val="24"/>
          <w:lang w:val="bg-BG"/>
        </w:rPr>
      </w:pPr>
    </w:p>
    <w:p w14:paraId="323ABAA3" w14:textId="134F68B6" w:rsidR="0082227D" w:rsidRPr="00610B1B" w:rsidRDefault="00620116" w:rsidP="00D32D6A">
      <w:pPr>
        <w:pStyle w:val="Heading3"/>
        <w:spacing w:before="0" w:line="276" w:lineRule="auto"/>
        <w:ind w:right="-153"/>
        <w:rPr>
          <w:rFonts w:cs="Times New Roman"/>
        </w:rPr>
      </w:pPr>
      <w:bookmarkStart w:id="308" w:name="_Toc83391367"/>
      <w:r w:rsidRPr="00610B1B">
        <w:rPr>
          <w:rFonts w:cs="Times New Roman"/>
        </w:rPr>
        <w:t xml:space="preserve">2.3.1. </w:t>
      </w:r>
      <w:r w:rsidR="0082227D" w:rsidRPr="00610B1B">
        <w:rPr>
          <w:rFonts w:cs="Times New Roman"/>
        </w:rPr>
        <w:t>Демография</w:t>
      </w:r>
      <w:bookmarkEnd w:id="308"/>
    </w:p>
    <w:p w14:paraId="11CB3D2D" w14:textId="780E77C1" w:rsidR="0082227D" w:rsidRPr="00610B1B" w:rsidRDefault="003B5D46" w:rsidP="00D32D6A">
      <w:pPr>
        <w:pStyle w:val="Heading4"/>
        <w:spacing w:before="0" w:line="276" w:lineRule="auto"/>
        <w:ind w:right="-153"/>
        <w:rPr>
          <w:rFonts w:cs="Times New Roman"/>
        </w:rPr>
      </w:pPr>
      <w:r w:rsidRPr="00610B1B">
        <w:rPr>
          <w:rFonts w:cs="Times New Roman"/>
        </w:rPr>
        <w:t>2.</w:t>
      </w:r>
      <w:r w:rsidR="00620116" w:rsidRPr="00610B1B">
        <w:rPr>
          <w:rFonts w:cs="Times New Roman"/>
        </w:rPr>
        <w:t>3</w:t>
      </w:r>
      <w:r w:rsidRPr="00610B1B">
        <w:rPr>
          <w:rFonts w:cs="Times New Roman"/>
        </w:rPr>
        <w:t>.</w:t>
      </w:r>
      <w:r w:rsidR="00620116" w:rsidRPr="00610B1B">
        <w:rPr>
          <w:rFonts w:cs="Times New Roman"/>
        </w:rPr>
        <w:t>1</w:t>
      </w:r>
      <w:r w:rsidRPr="00610B1B">
        <w:rPr>
          <w:rFonts w:cs="Times New Roman"/>
        </w:rPr>
        <w:t xml:space="preserve">.1. </w:t>
      </w:r>
      <w:r w:rsidR="0082227D" w:rsidRPr="00610B1B">
        <w:rPr>
          <w:rFonts w:cs="Times New Roman"/>
        </w:rPr>
        <w:t>Брой и възрастова структура на населението</w:t>
      </w:r>
    </w:p>
    <w:p w14:paraId="5AB2ACED" w14:textId="38CD5AD7" w:rsidR="0082227D" w:rsidRPr="00610B1B" w:rsidRDefault="0082227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bCs/>
          <w:sz w:val="24"/>
          <w:szCs w:val="24"/>
          <w:lang w:val="bg-BG"/>
        </w:rPr>
        <w:t>Към 31 декември 2018 г. населението на Черноморските общини</w:t>
      </w:r>
      <w:r w:rsidR="00D66FE0" w:rsidRPr="00610B1B">
        <w:rPr>
          <w:rFonts w:ascii="Times New Roman" w:hAnsi="Times New Roman" w:cs="Times New Roman"/>
          <w:b/>
          <w:bCs/>
          <w:sz w:val="24"/>
          <w:szCs w:val="24"/>
          <w:lang w:val="bg-BG"/>
        </w:rPr>
        <w:t xml:space="preserve"> </w:t>
      </w:r>
      <w:r w:rsidRPr="00610B1B">
        <w:rPr>
          <w:rFonts w:ascii="Times New Roman" w:hAnsi="Times New Roman" w:cs="Times New Roman"/>
          <w:b/>
          <w:bCs/>
          <w:sz w:val="24"/>
          <w:szCs w:val="24"/>
          <w:lang w:val="bg-BG"/>
        </w:rPr>
        <w:t xml:space="preserve">е 726 745 души, </w:t>
      </w:r>
      <w:r w:rsidRPr="00610B1B">
        <w:rPr>
          <w:rFonts w:ascii="Times New Roman" w:hAnsi="Times New Roman" w:cs="Times New Roman"/>
          <w:sz w:val="24"/>
          <w:szCs w:val="24"/>
          <w:lang w:val="bg-BG"/>
        </w:rPr>
        <w:t>което предст</w:t>
      </w:r>
      <w:r w:rsidR="0079021B" w:rsidRPr="00610B1B">
        <w:rPr>
          <w:rFonts w:ascii="Times New Roman" w:hAnsi="Times New Roman" w:cs="Times New Roman"/>
          <w:sz w:val="24"/>
          <w:szCs w:val="24"/>
          <w:lang w:val="bg-BG"/>
        </w:rPr>
        <w:t>авлява 10,</w:t>
      </w:r>
      <w:r w:rsidRPr="00610B1B">
        <w:rPr>
          <w:rFonts w:ascii="Times New Roman" w:hAnsi="Times New Roman" w:cs="Times New Roman"/>
          <w:sz w:val="24"/>
          <w:szCs w:val="24"/>
          <w:lang w:val="bg-BG"/>
        </w:rPr>
        <w:t>4% от населението на България. В сравнение с края на 2011 г. населението на морските общини с</w:t>
      </w:r>
      <w:r w:rsidR="0079021B" w:rsidRPr="00610B1B">
        <w:rPr>
          <w:rFonts w:ascii="Times New Roman" w:hAnsi="Times New Roman" w:cs="Times New Roman"/>
          <w:sz w:val="24"/>
          <w:szCs w:val="24"/>
          <w:lang w:val="bg-BG"/>
        </w:rPr>
        <w:t>е увеличава с 264 души, или с 0,</w:t>
      </w:r>
      <w:r w:rsidRPr="00610B1B">
        <w:rPr>
          <w:rFonts w:ascii="Times New Roman" w:hAnsi="Times New Roman" w:cs="Times New Roman"/>
          <w:sz w:val="24"/>
          <w:szCs w:val="24"/>
          <w:lang w:val="bg-BG"/>
        </w:rPr>
        <w:t>04%. През същия период насел</w:t>
      </w:r>
      <w:r w:rsidR="0079021B" w:rsidRPr="00610B1B">
        <w:rPr>
          <w:rFonts w:ascii="Times New Roman" w:hAnsi="Times New Roman" w:cs="Times New Roman"/>
          <w:sz w:val="24"/>
          <w:szCs w:val="24"/>
          <w:lang w:val="bg-BG"/>
        </w:rPr>
        <w:t>ението на страната намалява с 4,</w:t>
      </w:r>
      <w:r w:rsidRPr="00610B1B">
        <w:rPr>
          <w:rFonts w:ascii="Times New Roman" w:hAnsi="Times New Roman" w:cs="Times New Roman"/>
          <w:sz w:val="24"/>
          <w:szCs w:val="24"/>
          <w:lang w:val="bg-BG"/>
        </w:rPr>
        <w:t xml:space="preserve">5%. За 7 години населението нараства в 7 общини, </w:t>
      </w:r>
      <w:r w:rsidR="0079021B" w:rsidRPr="00610B1B">
        <w:rPr>
          <w:rFonts w:ascii="Times New Roman" w:hAnsi="Times New Roman" w:cs="Times New Roman"/>
          <w:sz w:val="24"/>
          <w:szCs w:val="24"/>
          <w:lang w:val="bg-BG"/>
        </w:rPr>
        <w:t xml:space="preserve">от които </w:t>
      </w:r>
      <w:r w:rsidRPr="00610B1B">
        <w:rPr>
          <w:rFonts w:ascii="Times New Roman" w:hAnsi="Times New Roman" w:cs="Times New Roman"/>
          <w:sz w:val="24"/>
          <w:szCs w:val="24"/>
          <w:lang w:val="bg-BG"/>
        </w:rPr>
        <w:t>по-значително се увеличава в общините Несебър (4</w:t>
      </w:r>
      <w:r w:rsidR="003B5D46"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734 д.)</w:t>
      </w:r>
      <w:r w:rsidR="003B5D46"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Варна (1</w:t>
      </w:r>
      <w:r w:rsidR="00261A06"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726</w:t>
      </w:r>
      <w:r w:rsidR="00261A06" w:rsidRPr="00610B1B">
        <w:rPr>
          <w:rFonts w:ascii="Times New Roman" w:hAnsi="Times New Roman" w:cs="Times New Roman"/>
          <w:sz w:val="24"/>
          <w:szCs w:val="24"/>
          <w:lang w:val="en-US"/>
        </w:rPr>
        <w:t> </w:t>
      </w:r>
      <w:r w:rsidRPr="00610B1B">
        <w:rPr>
          <w:rFonts w:ascii="Times New Roman" w:hAnsi="Times New Roman" w:cs="Times New Roman"/>
          <w:sz w:val="24"/>
          <w:szCs w:val="24"/>
          <w:lang w:val="bg-BG"/>
        </w:rPr>
        <w:t>д.) и Аврен (520 д.). С големи темпове е намалението на населението в общините Шабла и Каварна, до</w:t>
      </w:r>
      <w:r w:rsidR="0079021B" w:rsidRPr="00610B1B">
        <w:rPr>
          <w:rFonts w:ascii="Times New Roman" w:hAnsi="Times New Roman" w:cs="Times New Roman"/>
          <w:sz w:val="24"/>
          <w:szCs w:val="24"/>
          <w:lang w:val="bg-BG"/>
        </w:rPr>
        <w:t>като в община Поморие е минус 1,</w:t>
      </w:r>
      <w:r w:rsidRPr="00610B1B">
        <w:rPr>
          <w:rFonts w:ascii="Times New Roman" w:hAnsi="Times New Roman" w:cs="Times New Roman"/>
          <w:sz w:val="24"/>
          <w:szCs w:val="24"/>
          <w:lang w:val="bg-BG"/>
        </w:rPr>
        <w:t xml:space="preserve">1%. </w:t>
      </w:r>
    </w:p>
    <w:p w14:paraId="173A34D2" w14:textId="313B1B90" w:rsidR="003B5D46" w:rsidRPr="00610B1B" w:rsidRDefault="00E57141" w:rsidP="00E37053">
      <w:pPr>
        <w:spacing w:after="70" w:line="240" w:lineRule="auto"/>
        <w:ind w:right="-153"/>
        <w:jc w:val="both"/>
        <w:rPr>
          <w:rFonts w:ascii="Times New Roman" w:eastAsia="Lohit Devanagari" w:hAnsi="Times New Roman" w:cs="Times New Roman"/>
          <w:color w:val="00000A"/>
          <w:sz w:val="24"/>
          <w:szCs w:val="24"/>
          <w:lang w:val="bg-BG" w:eastAsia="ar-SA" w:bidi="hi-IN"/>
        </w:rPr>
      </w:pPr>
      <w:bookmarkStart w:id="309" w:name="_Toc83391600"/>
      <w:r w:rsidRPr="00610B1B">
        <w:rPr>
          <w:rFonts w:ascii="Times New Roman" w:eastAsia="Lohit Devanagari" w:hAnsi="Times New Roman" w:cs="Times New Roman"/>
          <w:color w:val="00000A"/>
          <w:sz w:val="24"/>
          <w:szCs w:val="24"/>
          <w:lang w:val="bg-BG" w:eastAsia="ar-SA" w:bidi="hi-IN"/>
        </w:rPr>
        <w:t xml:space="preserve">Таблица </w:t>
      </w:r>
      <w:r w:rsidRPr="00610B1B">
        <w:rPr>
          <w:rFonts w:ascii="Times New Roman" w:eastAsia="Lohit Devanagari" w:hAnsi="Times New Roman" w:cs="Times New Roman"/>
          <w:color w:val="00000A"/>
          <w:sz w:val="24"/>
          <w:szCs w:val="24"/>
          <w:lang w:val="bg-BG" w:eastAsia="ar-SA" w:bidi="hi-IN"/>
        </w:rPr>
        <w:fldChar w:fldCharType="begin"/>
      </w:r>
      <w:r w:rsidRPr="00610B1B">
        <w:rPr>
          <w:rFonts w:ascii="Times New Roman" w:eastAsia="Lohit Devanagari" w:hAnsi="Times New Roman" w:cs="Times New Roman"/>
          <w:color w:val="00000A"/>
          <w:sz w:val="24"/>
          <w:szCs w:val="24"/>
          <w:lang w:val="bg-BG" w:eastAsia="ar-SA" w:bidi="hi-IN"/>
        </w:rPr>
        <w:instrText xml:space="preserve"> SEQ Таблица \* ARABIC </w:instrText>
      </w:r>
      <w:r w:rsidRPr="00610B1B">
        <w:rPr>
          <w:rFonts w:ascii="Times New Roman" w:eastAsia="Lohit Devanagari" w:hAnsi="Times New Roman" w:cs="Times New Roman"/>
          <w:color w:val="00000A"/>
          <w:sz w:val="24"/>
          <w:szCs w:val="24"/>
          <w:lang w:val="bg-BG" w:eastAsia="ar-SA" w:bidi="hi-IN"/>
        </w:rPr>
        <w:fldChar w:fldCharType="separate"/>
      </w:r>
      <w:r w:rsidR="00260629" w:rsidRPr="00610B1B">
        <w:rPr>
          <w:rFonts w:ascii="Times New Roman" w:eastAsia="Lohit Devanagari" w:hAnsi="Times New Roman" w:cs="Times New Roman"/>
          <w:noProof/>
          <w:color w:val="00000A"/>
          <w:sz w:val="24"/>
          <w:szCs w:val="24"/>
          <w:lang w:val="bg-BG" w:eastAsia="ar-SA" w:bidi="hi-IN"/>
        </w:rPr>
        <w:t>4</w:t>
      </w:r>
      <w:r w:rsidRPr="00610B1B">
        <w:rPr>
          <w:rFonts w:ascii="Times New Roman" w:eastAsia="Lohit Devanagari" w:hAnsi="Times New Roman" w:cs="Times New Roman"/>
          <w:color w:val="00000A"/>
          <w:sz w:val="24"/>
          <w:szCs w:val="24"/>
          <w:lang w:val="bg-BG" w:eastAsia="ar-SA" w:bidi="hi-IN"/>
        </w:rPr>
        <w:fldChar w:fldCharType="end"/>
      </w:r>
      <w:r w:rsidRPr="00610B1B">
        <w:rPr>
          <w:rFonts w:ascii="Times New Roman" w:eastAsia="Lohit Devanagari" w:hAnsi="Times New Roman" w:cs="Times New Roman"/>
          <w:color w:val="00000A"/>
          <w:sz w:val="24"/>
          <w:szCs w:val="24"/>
          <w:lang w:val="bg-BG" w:eastAsia="ar-SA" w:bidi="hi-IN"/>
        </w:rPr>
        <w:t xml:space="preserve">: </w:t>
      </w:r>
      <w:r w:rsidR="003B5D46" w:rsidRPr="00610B1B">
        <w:rPr>
          <w:rFonts w:ascii="Times New Roman" w:eastAsia="Lohit Devanagari" w:hAnsi="Times New Roman" w:cs="Times New Roman"/>
          <w:color w:val="00000A"/>
          <w:sz w:val="24"/>
          <w:szCs w:val="24"/>
          <w:lang w:val="bg-BG" w:eastAsia="ar-SA" w:bidi="hi-IN"/>
        </w:rPr>
        <w:t>Население в Черноморските общини 2011-2018 г.</w:t>
      </w:r>
      <w:bookmarkEnd w:id="309"/>
    </w:p>
    <w:tbl>
      <w:tblPr>
        <w:tblW w:w="6739" w:type="dxa"/>
        <w:tblInd w:w="60" w:type="dxa"/>
        <w:tblBorders>
          <w:top w:val="single" w:sz="4" w:space="0" w:color="auto"/>
          <w:bottom w:val="single" w:sz="4" w:space="0" w:color="auto"/>
          <w:insideH w:val="single" w:sz="4" w:space="0" w:color="auto"/>
        </w:tblBorders>
        <w:tblCellMar>
          <w:left w:w="70" w:type="dxa"/>
          <w:right w:w="70" w:type="dxa"/>
        </w:tblCellMar>
        <w:tblLook w:val="0000" w:firstRow="0" w:lastRow="0" w:firstColumn="0" w:lastColumn="0" w:noHBand="0" w:noVBand="0"/>
      </w:tblPr>
      <w:tblGrid>
        <w:gridCol w:w="2105"/>
        <w:gridCol w:w="1132"/>
        <w:gridCol w:w="1132"/>
        <w:gridCol w:w="1059"/>
        <w:gridCol w:w="1311"/>
      </w:tblGrid>
      <w:tr w:rsidR="0082227D" w:rsidRPr="00215C86" w14:paraId="1D6C9A06" w14:textId="77777777" w:rsidTr="001E3FED">
        <w:trPr>
          <w:trHeight w:val="255"/>
          <w:tblHeader/>
        </w:trPr>
        <w:tc>
          <w:tcPr>
            <w:tcW w:w="2105" w:type="dxa"/>
            <w:vMerge w:val="restart"/>
            <w:shd w:val="clear" w:color="auto" w:fill="C6D9F1" w:themeFill="text2" w:themeFillTint="33"/>
            <w:noWrap/>
            <w:vAlign w:val="center"/>
          </w:tcPr>
          <w:p w14:paraId="0504D005" w14:textId="77777777" w:rsidR="0082227D" w:rsidRPr="00610B1B" w:rsidRDefault="0082227D" w:rsidP="00D32D6A">
            <w:pPr>
              <w:spacing w:after="0" w:line="240" w:lineRule="auto"/>
              <w:jc w:val="center"/>
              <w:rPr>
                <w:rFonts w:ascii="Times New Roman" w:hAnsi="Times New Roman" w:cs="Times New Roman"/>
                <w:b/>
                <w:bCs/>
                <w:lang w:val="bg-BG"/>
              </w:rPr>
            </w:pPr>
            <w:r w:rsidRPr="00610B1B">
              <w:rPr>
                <w:rFonts w:ascii="Times New Roman" w:hAnsi="Times New Roman" w:cs="Times New Roman"/>
                <w:b/>
                <w:bCs/>
                <w:lang w:val="bg-BG"/>
              </w:rPr>
              <w:t>Общини</w:t>
            </w:r>
          </w:p>
        </w:tc>
        <w:tc>
          <w:tcPr>
            <w:tcW w:w="4634" w:type="dxa"/>
            <w:gridSpan w:val="4"/>
            <w:shd w:val="clear" w:color="auto" w:fill="C6D9F1" w:themeFill="text2" w:themeFillTint="33"/>
            <w:noWrap/>
            <w:vAlign w:val="bottom"/>
          </w:tcPr>
          <w:p w14:paraId="24AD0A30" w14:textId="77777777" w:rsidR="0082227D" w:rsidRPr="00610B1B" w:rsidRDefault="0082227D" w:rsidP="00D32D6A">
            <w:pPr>
              <w:spacing w:after="0" w:line="240" w:lineRule="auto"/>
              <w:jc w:val="center"/>
              <w:rPr>
                <w:rFonts w:ascii="Times New Roman" w:hAnsi="Times New Roman" w:cs="Times New Roman"/>
                <w:b/>
                <w:bCs/>
                <w:lang w:val="bg-BG"/>
              </w:rPr>
            </w:pPr>
            <w:r w:rsidRPr="00610B1B">
              <w:rPr>
                <w:rFonts w:ascii="Times New Roman" w:hAnsi="Times New Roman" w:cs="Times New Roman"/>
                <w:b/>
                <w:bCs/>
                <w:lang w:val="bg-BG"/>
              </w:rPr>
              <w:t xml:space="preserve">Население по текуща статистика към 31.12. </w:t>
            </w:r>
          </w:p>
        </w:tc>
      </w:tr>
      <w:tr w:rsidR="0082227D" w:rsidRPr="00610B1B" w14:paraId="08D158C9" w14:textId="77777777" w:rsidTr="001E3FED">
        <w:trPr>
          <w:trHeight w:val="167"/>
          <w:tblHeader/>
        </w:trPr>
        <w:tc>
          <w:tcPr>
            <w:tcW w:w="2105" w:type="dxa"/>
            <w:vMerge/>
            <w:shd w:val="clear" w:color="auto" w:fill="C6D9F1" w:themeFill="text2" w:themeFillTint="33"/>
            <w:vAlign w:val="center"/>
          </w:tcPr>
          <w:p w14:paraId="6A5D8FB3" w14:textId="77777777" w:rsidR="0082227D" w:rsidRPr="00610B1B" w:rsidRDefault="0082227D" w:rsidP="00D32D6A">
            <w:pPr>
              <w:spacing w:after="0" w:line="240" w:lineRule="auto"/>
              <w:rPr>
                <w:rFonts w:ascii="Times New Roman" w:hAnsi="Times New Roman" w:cs="Times New Roman"/>
                <w:b/>
                <w:bCs/>
                <w:lang w:val="bg-BG"/>
              </w:rPr>
            </w:pPr>
          </w:p>
        </w:tc>
        <w:tc>
          <w:tcPr>
            <w:tcW w:w="1132" w:type="dxa"/>
            <w:shd w:val="clear" w:color="auto" w:fill="C6D9F1" w:themeFill="text2" w:themeFillTint="33"/>
            <w:noWrap/>
            <w:vAlign w:val="center"/>
          </w:tcPr>
          <w:p w14:paraId="225EB6B9" w14:textId="77777777" w:rsidR="0082227D" w:rsidRPr="00610B1B" w:rsidRDefault="0082227D" w:rsidP="001757A5">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2011</w:t>
            </w:r>
          </w:p>
        </w:tc>
        <w:tc>
          <w:tcPr>
            <w:tcW w:w="1132" w:type="dxa"/>
            <w:shd w:val="clear" w:color="auto" w:fill="C6D9F1" w:themeFill="text2" w:themeFillTint="33"/>
            <w:noWrap/>
            <w:vAlign w:val="center"/>
          </w:tcPr>
          <w:p w14:paraId="269491E1" w14:textId="77777777" w:rsidR="0082227D" w:rsidRPr="00610B1B" w:rsidRDefault="0082227D" w:rsidP="001757A5">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2018</w:t>
            </w:r>
          </w:p>
        </w:tc>
        <w:tc>
          <w:tcPr>
            <w:tcW w:w="2370" w:type="dxa"/>
            <w:gridSpan w:val="2"/>
            <w:shd w:val="clear" w:color="auto" w:fill="C6D9F1" w:themeFill="text2" w:themeFillTint="33"/>
            <w:noWrap/>
            <w:vAlign w:val="center"/>
          </w:tcPr>
          <w:p w14:paraId="2CAD20D5" w14:textId="77777777" w:rsidR="0082227D" w:rsidRPr="00610B1B" w:rsidRDefault="0082227D" w:rsidP="00D32D6A">
            <w:pPr>
              <w:spacing w:after="0" w:line="240" w:lineRule="auto"/>
              <w:jc w:val="center"/>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Прираст 2018/2011</w:t>
            </w:r>
          </w:p>
        </w:tc>
      </w:tr>
      <w:tr w:rsidR="0082227D" w:rsidRPr="00610B1B" w14:paraId="6DB3BBDB" w14:textId="77777777" w:rsidTr="001E3FED">
        <w:trPr>
          <w:trHeight w:val="85"/>
          <w:tblHeader/>
        </w:trPr>
        <w:tc>
          <w:tcPr>
            <w:tcW w:w="2105" w:type="dxa"/>
            <w:vMerge/>
            <w:shd w:val="clear" w:color="auto" w:fill="C6D9F1" w:themeFill="text2" w:themeFillTint="33"/>
            <w:vAlign w:val="center"/>
          </w:tcPr>
          <w:p w14:paraId="6247BC7B" w14:textId="77777777" w:rsidR="0082227D" w:rsidRPr="00610B1B" w:rsidRDefault="0082227D" w:rsidP="00D32D6A">
            <w:pPr>
              <w:spacing w:after="0" w:line="240" w:lineRule="auto"/>
              <w:rPr>
                <w:rFonts w:ascii="Times New Roman" w:hAnsi="Times New Roman" w:cs="Times New Roman"/>
                <w:b/>
                <w:bCs/>
                <w:lang w:val="bg-BG"/>
              </w:rPr>
            </w:pPr>
          </w:p>
        </w:tc>
        <w:tc>
          <w:tcPr>
            <w:tcW w:w="1132" w:type="dxa"/>
            <w:shd w:val="clear" w:color="auto" w:fill="C6D9F1" w:themeFill="text2" w:themeFillTint="33"/>
            <w:noWrap/>
            <w:vAlign w:val="bottom"/>
          </w:tcPr>
          <w:p w14:paraId="7516B3FD" w14:textId="77777777" w:rsidR="0082227D" w:rsidRPr="00610B1B" w:rsidRDefault="0082227D" w:rsidP="001757A5">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брой</w:t>
            </w:r>
          </w:p>
        </w:tc>
        <w:tc>
          <w:tcPr>
            <w:tcW w:w="1132" w:type="dxa"/>
            <w:shd w:val="clear" w:color="auto" w:fill="C6D9F1" w:themeFill="text2" w:themeFillTint="33"/>
            <w:noWrap/>
            <w:vAlign w:val="bottom"/>
          </w:tcPr>
          <w:p w14:paraId="0303F40A" w14:textId="77777777" w:rsidR="0082227D" w:rsidRPr="00610B1B" w:rsidRDefault="0082227D" w:rsidP="001757A5">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брой</w:t>
            </w:r>
          </w:p>
        </w:tc>
        <w:tc>
          <w:tcPr>
            <w:tcW w:w="1059" w:type="dxa"/>
            <w:shd w:val="clear" w:color="auto" w:fill="C6D9F1" w:themeFill="text2" w:themeFillTint="33"/>
            <w:noWrap/>
            <w:vAlign w:val="bottom"/>
          </w:tcPr>
          <w:p w14:paraId="49B5D250" w14:textId="11ABDF1A" w:rsidR="0082227D" w:rsidRPr="00610B1B" w:rsidRDefault="0082227D" w:rsidP="001757A5">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брой</w:t>
            </w:r>
          </w:p>
        </w:tc>
        <w:tc>
          <w:tcPr>
            <w:tcW w:w="1311" w:type="dxa"/>
            <w:shd w:val="clear" w:color="auto" w:fill="C6D9F1" w:themeFill="text2" w:themeFillTint="33"/>
            <w:noWrap/>
            <w:vAlign w:val="bottom"/>
          </w:tcPr>
          <w:p w14:paraId="5F52271F" w14:textId="099AA418" w:rsidR="0082227D" w:rsidRPr="00610B1B" w:rsidRDefault="0082227D" w:rsidP="001757A5">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w:t>
            </w:r>
          </w:p>
        </w:tc>
      </w:tr>
      <w:tr w:rsidR="0082227D" w:rsidRPr="00610B1B" w14:paraId="6CEC80C2" w14:textId="77777777" w:rsidTr="001E3FED">
        <w:trPr>
          <w:trHeight w:val="255"/>
        </w:trPr>
        <w:tc>
          <w:tcPr>
            <w:tcW w:w="2105" w:type="dxa"/>
            <w:shd w:val="clear" w:color="auto" w:fill="auto"/>
            <w:noWrap/>
            <w:vAlign w:val="bottom"/>
          </w:tcPr>
          <w:p w14:paraId="233ABA78" w14:textId="77777777" w:rsidR="0082227D" w:rsidRPr="00610B1B" w:rsidRDefault="0082227D" w:rsidP="00D32D6A">
            <w:pPr>
              <w:spacing w:after="0" w:line="240" w:lineRule="auto"/>
              <w:rPr>
                <w:rFonts w:ascii="Times New Roman" w:hAnsi="Times New Roman" w:cs="Times New Roman"/>
                <w:b/>
                <w:bCs/>
                <w:lang w:val="bg-BG"/>
              </w:rPr>
            </w:pPr>
            <w:r w:rsidRPr="00610B1B">
              <w:rPr>
                <w:rFonts w:ascii="Times New Roman" w:hAnsi="Times New Roman" w:cs="Times New Roman"/>
                <w:b/>
                <w:bCs/>
                <w:lang w:val="bg-BG"/>
              </w:rPr>
              <w:t>Общо за страната</w:t>
            </w:r>
          </w:p>
        </w:tc>
        <w:tc>
          <w:tcPr>
            <w:tcW w:w="1132" w:type="dxa"/>
            <w:shd w:val="clear" w:color="auto" w:fill="auto"/>
            <w:noWrap/>
            <w:vAlign w:val="bottom"/>
          </w:tcPr>
          <w:p w14:paraId="1F105574" w14:textId="1197A3EB" w:rsidR="0082227D" w:rsidRPr="00610B1B" w:rsidRDefault="0082227D"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7</w:t>
            </w:r>
            <w:r w:rsidR="003B5D46" w:rsidRPr="00610B1B">
              <w:rPr>
                <w:rFonts w:ascii="Times New Roman" w:hAnsi="Times New Roman" w:cs="Times New Roman"/>
                <w:b/>
                <w:bCs/>
                <w:lang w:val="bg-BG"/>
              </w:rPr>
              <w:t> </w:t>
            </w:r>
            <w:r w:rsidRPr="00610B1B">
              <w:rPr>
                <w:rFonts w:ascii="Times New Roman" w:hAnsi="Times New Roman" w:cs="Times New Roman"/>
                <w:b/>
                <w:bCs/>
                <w:lang w:val="bg-BG"/>
              </w:rPr>
              <w:t>327</w:t>
            </w:r>
            <w:r w:rsidR="003B5D46" w:rsidRPr="00610B1B">
              <w:rPr>
                <w:rFonts w:ascii="Times New Roman" w:hAnsi="Times New Roman" w:cs="Times New Roman"/>
                <w:b/>
                <w:bCs/>
                <w:lang w:val="bg-BG"/>
              </w:rPr>
              <w:t> </w:t>
            </w:r>
            <w:r w:rsidRPr="00610B1B">
              <w:rPr>
                <w:rFonts w:ascii="Times New Roman" w:hAnsi="Times New Roman" w:cs="Times New Roman"/>
                <w:b/>
                <w:bCs/>
                <w:lang w:val="bg-BG"/>
              </w:rPr>
              <w:t>224</w:t>
            </w:r>
          </w:p>
        </w:tc>
        <w:tc>
          <w:tcPr>
            <w:tcW w:w="1132" w:type="dxa"/>
            <w:shd w:val="clear" w:color="auto" w:fill="auto"/>
            <w:noWrap/>
            <w:vAlign w:val="bottom"/>
          </w:tcPr>
          <w:p w14:paraId="50AAFE09" w14:textId="1683F705" w:rsidR="0082227D" w:rsidRPr="00610B1B" w:rsidRDefault="0082227D" w:rsidP="00D32D6A">
            <w:pPr>
              <w:spacing w:after="0" w:line="240" w:lineRule="auto"/>
              <w:jc w:val="right"/>
              <w:rPr>
                <w:rFonts w:ascii="Times New Roman" w:hAnsi="Times New Roman" w:cs="Times New Roman"/>
                <w:b/>
                <w:bCs/>
                <w:color w:val="000000"/>
                <w:lang w:val="bg-BG"/>
              </w:rPr>
            </w:pPr>
            <w:r w:rsidRPr="00610B1B">
              <w:rPr>
                <w:rFonts w:ascii="Times New Roman" w:hAnsi="Times New Roman" w:cs="Times New Roman"/>
                <w:b/>
                <w:bCs/>
                <w:color w:val="000000"/>
                <w:lang w:val="bg-BG"/>
              </w:rPr>
              <w:t>7</w:t>
            </w:r>
            <w:r w:rsidR="003B5D46" w:rsidRPr="00610B1B">
              <w:rPr>
                <w:rFonts w:ascii="Times New Roman" w:hAnsi="Times New Roman" w:cs="Times New Roman"/>
                <w:b/>
                <w:bCs/>
                <w:color w:val="000000"/>
                <w:lang w:val="bg-BG"/>
              </w:rPr>
              <w:t> </w:t>
            </w:r>
            <w:r w:rsidRPr="00610B1B">
              <w:rPr>
                <w:rFonts w:ascii="Times New Roman" w:hAnsi="Times New Roman" w:cs="Times New Roman"/>
                <w:b/>
                <w:bCs/>
                <w:color w:val="000000"/>
                <w:lang w:val="bg-BG"/>
              </w:rPr>
              <w:t>000</w:t>
            </w:r>
            <w:r w:rsidR="003B5D46" w:rsidRPr="00610B1B">
              <w:rPr>
                <w:rFonts w:ascii="Times New Roman" w:hAnsi="Times New Roman" w:cs="Times New Roman"/>
                <w:b/>
                <w:bCs/>
                <w:color w:val="000000"/>
                <w:lang w:val="bg-BG"/>
              </w:rPr>
              <w:t> </w:t>
            </w:r>
            <w:r w:rsidRPr="00610B1B">
              <w:rPr>
                <w:rFonts w:ascii="Times New Roman" w:hAnsi="Times New Roman" w:cs="Times New Roman"/>
                <w:b/>
                <w:bCs/>
                <w:color w:val="000000"/>
                <w:lang w:val="bg-BG"/>
              </w:rPr>
              <w:t>039</w:t>
            </w:r>
          </w:p>
        </w:tc>
        <w:tc>
          <w:tcPr>
            <w:tcW w:w="1059" w:type="dxa"/>
            <w:shd w:val="clear" w:color="auto" w:fill="auto"/>
            <w:noWrap/>
            <w:vAlign w:val="bottom"/>
          </w:tcPr>
          <w:p w14:paraId="4AE07044" w14:textId="123AEAF8" w:rsidR="0082227D" w:rsidRPr="00610B1B" w:rsidRDefault="0082227D" w:rsidP="00D32D6A">
            <w:pPr>
              <w:spacing w:after="0" w:line="240" w:lineRule="auto"/>
              <w:jc w:val="right"/>
              <w:rPr>
                <w:rFonts w:ascii="Times New Roman" w:hAnsi="Times New Roman" w:cs="Times New Roman"/>
                <w:b/>
                <w:lang w:val="bg-BG"/>
              </w:rPr>
            </w:pPr>
            <w:r w:rsidRPr="00610B1B">
              <w:rPr>
                <w:rFonts w:ascii="Times New Roman" w:hAnsi="Times New Roman" w:cs="Times New Roman"/>
                <w:b/>
                <w:lang w:val="bg-BG"/>
              </w:rPr>
              <w:t>-327</w:t>
            </w:r>
            <w:r w:rsidR="006F7DAF" w:rsidRPr="00610B1B">
              <w:rPr>
                <w:rFonts w:ascii="Times New Roman" w:hAnsi="Times New Roman" w:cs="Times New Roman"/>
                <w:b/>
                <w:lang w:val="bg-BG"/>
              </w:rPr>
              <w:t xml:space="preserve"> </w:t>
            </w:r>
            <w:r w:rsidRPr="00610B1B">
              <w:rPr>
                <w:rFonts w:ascii="Times New Roman" w:hAnsi="Times New Roman" w:cs="Times New Roman"/>
                <w:b/>
                <w:lang w:val="bg-BG"/>
              </w:rPr>
              <w:t>185</w:t>
            </w:r>
          </w:p>
        </w:tc>
        <w:tc>
          <w:tcPr>
            <w:tcW w:w="1311" w:type="dxa"/>
            <w:shd w:val="clear" w:color="auto" w:fill="auto"/>
            <w:noWrap/>
            <w:vAlign w:val="bottom"/>
          </w:tcPr>
          <w:p w14:paraId="1F3FC81B" w14:textId="77777777" w:rsidR="0082227D" w:rsidRPr="00610B1B" w:rsidRDefault="0082227D" w:rsidP="00D32D6A">
            <w:pPr>
              <w:spacing w:after="0" w:line="240" w:lineRule="auto"/>
              <w:jc w:val="right"/>
              <w:rPr>
                <w:rFonts w:ascii="Times New Roman" w:hAnsi="Times New Roman" w:cs="Times New Roman"/>
                <w:b/>
                <w:lang w:val="bg-BG"/>
              </w:rPr>
            </w:pPr>
            <w:r w:rsidRPr="00610B1B">
              <w:rPr>
                <w:rFonts w:ascii="Times New Roman" w:hAnsi="Times New Roman" w:cs="Times New Roman"/>
                <w:b/>
                <w:lang w:val="bg-BG"/>
              </w:rPr>
              <w:t>-4,5</w:t>
            </w:r>
          </w:p>
        </w:tc>
      </w:tr>
      <w:tr w:rsidR="0082227D" w:rsidRPr="00610B1B" w14:paraId="3C9251A1" w14:textId="77777777" w:rsidTr="001E3FED">
        <w:trPr>
          <w:trHeight w:val="255"/>
        </w:trPr>
        <w:tc>
          <w:tcPr>
            <w:tcW w:w="2105" w:type="dxa"/>
            <w:shd w:val="clear" w:color="auto" w:fill="auto"/>
            <w:noWrap/>
            <w:vAlign w:val="bottom"/>
          </w:tcPr>
          <w:p w14:paraId="48148138" w14:textId="77777777" w:rsidR="0082227D" w:rsidRPr="00610B1B" w:rsidRDefault="0082227D" w:rsidP="00D32D6A">
            <w:pPr>
              <w:spacing w:after="0" w:line="240" w:lineRule="auto"/>
              <w:rPr>
                <w:rFonts w:ascii="Times New Roman" w:hAnsi="Times New Roman" w:cs="Times New Roman"/>
                <w:b/>
                <w:bCs/>
                <w:lang w:val="bg-BG"/>
              </w:rPr>
            </w:pPr>
            <w:r w:rsidRPr="00610B1B">
              <w:rPr>
                <w:rFonts w:ascii="Times New Roman" w:hAnsi="Times New Roman" w:cs="Times New Roman"/>
                <w:b/>
                <w:bCs/>
                <w:lang w:val="bg-BG"/>
              </w:rPr>
              <w:t xml:space="preserve">Черноморски </w:t>
            </w:r>
          </w:p>
        </w:tc>
        <w:tc>
          <w:tcPr>
            <w:tcW w:w="1132" w:type="dxa"/>
            <w:shd w:val="clear" w:color="auto" w:fill="auto"/>
            <w:noWrap/>
            <w:vAlign w:val="bottom"/>
          </w:tcPr>
          <w:p w14:paraId="55AE2D2A" w14:textId="01781C88" w:rsidR="0082227D" w:rsidRPr="00610B1B" w:rsidRDefault="0082227D" w:rsidP="00D32D6A">
            <w:pPr>
              <w:spacing w:after="0" w:line="240" w:lineRule="auto"/>
              <w:jc w:val="right"/>
              <w:rPr>
                <w:rFonts w:ascii="Times New Roman" w:hAnsi="Times New Roman" w:cs="Times New Roman"/>
                <w:b/>
                <w:lang w:val="bg-BG"/>
              </w:rPr>
            </w:pPr>
            <w:r w:rsidRPr="00610B1B">
              <w:rPr>
                <w:rFonts w:ascii="Times New Roman" w:hAnsi="Times New Roman" w:cs="Times New Roman"/>
                <w:b/>
                <w:lang w:val="bg-BG"/>
              </w:rPr>
              <w:t>726</w:t>
            </w:r>
            <w:r w:rsidR="003B5D46" w:rsidRPr="00610B1B">
              <w:rPr>
                <w:rFonts w:ascii="Times New Roman" w:hAnsi="Times New Roman" w:cs="Times New Roman"/>
                <w:b/>
                <w:lang w:val="bg-BG"/>
              </w:rPr>
              <w:t> </w:t>
            </w:r>
            <w:r w:rsidRPr="00610B1B">
              <w:rPr>
                <w:rFonts w:ascii="Times New Roman" w:hAnsi="Times New Roman" w:cs="Times New Roman"/>
                <w:b/>
                <w:lang w:val="bg-BG"/>
              </w:rPr>
              <w:t>481</w:t>
            </w:r>
          </w:p>
        </w:tc>
        <w:tc>
          <w:tcPr>
            <w:tcW w:w="1132" w:type="dxa"/>
            <w:shd w:val="clear" w:color="auto" w:fill="auto"/>
            <w:noWrap/>
            <w:vAlign w:val="bottom"/>
          </w:tcPr>
          <w:p w14:paraId="16078CB6" w14:textId="5FA839FB" w:rsidR="0082227D" w:rsidRPr="00610B1B" w:rsidRDefault="0082227D" w:rsidP="00D32D6A">
            <w:pPr>
              <w:spacing w:after="0" w:line="240" w:lineRule="auto"/>
              <w:jc w:val="right"/>
              <w:rPr>
                <w:rFonts w:ascii="Times New Roman" w:hAnsi="Times New Roman" w:cs="Times New Roman"/>
                <w:b/>
                <w:lang w:val="bg-BG"/>
              </w:rPr>
            </w:pPr>
            <w:r w:rsidRPr="00610B1B">
              <w:rPr>
                <w:rFonts w:ascii="Times New Roman" w:hAnsi="Times New Roman" w:cs="Times New Roman"/>
                <w:b/>
                <w:lang w:val="bg-BG"/>
              </w:rPr>
              <w:t>726</w:t>
            </w:r>
            <w:r w:rsidR="003B5D46" w:rsidRPr="00610B1B">
              <w:rPr>
                <w:rFonts w:ascii="Times New Roman" w:hAnsi="Times New Roman" w:cs="Times New Roman"/>
                <w:b/>
                <w:lang w:val="bg-BG"/>
              </w:rPr>
              <w:t> </w:t>
            </w:r>
            <w:r w:rsidRPr="00610B1B">
              <w:rPr>
                <w:rFonts w:ascii="Times New Roman" w:hAnsi="Times New Roman" w:cs="Times New Roman"/>
                <w:b/>
                <w:lang w:val="bg-BG"/>
              </w:rPr>
              <w:t>745</w:t>
            </w:r>
          </w:p>
        </w:tc>
        <w:tc>
          <w:tcPr>
            <w:tcW w:w="1059" w:type="dxa"/>
            <w:shd w:val="clear" w:color="auto" w:fill="auto"/>
            <w:noWrap/>
            <w:vAlign w:val="bottom"/>
          </w:tcPr>
          <w:p w14:paraId="3AADDD89" w14:textId="77777777" w:rsidR="0082227D" w:rsidRPr="00610B1B" w:rsidRDefault="0082227D" w:rsidP="00D32D6A">
            <w:pPr>
              <w:spacing w:after="0" w:line="240" w:lineRule="auto"/>
              <w:jc w:val="right"/>
              <w:rPr>
                <w:rFonts w:ascii="Times New Roman" w:hAnsi="Times New Roman" w:cs="Times New Roman"/>
                <w:b/>
                <w:lang w:val="bg-BG"/>
              </w:rPr>
            </w:pPr>
            <w:r w:rsidRPr="00610B1B">
              <w:rPr>
                <w:rFonts w:ascii="Times New Roman" w:hAnsi="Times New Roman" w:cs="Times New Roman"/>
                <w:b/>
                <w:lang w:val="bg-BG"/>
              </w:rPr>
              <w:t>264</w:t>
            </w:r>
          </w:p>
        </w:tc>
        <w:tc>
          <w:tcPr>
            <w:tcW w:w="1311" w:type="dxa"/>
            <w:shd w:val="clear" w:color="auto" w:fill="auto"/>
            <w:noWrap/>
            <w:vAlign w:val="bottom"/>
          </w:tcPr>
          <w:p w14:paraId="3B18AC2F" w14:textId="77777777" w:rsidR="0082227D" w:rsidRPr="00610B1B" w:rsidRDefault="0082227D" w:rsidP="00D32D6A">
            <w:pPr>
              <w:spacing w:after="0" w:line="240" w:lineRule="auto"/>
              <w:jc w:val="right"/>
              <w:rPr>
                <w:rFonts w:ascii="Times New Roman" w:hAnsi="Times New Roman" w:cs="Times New Roman"/>
                <w:b/>
                <w:lang w:val="bg-BG"/>
              </w:rPr>
            </w:pPr>
            <w:r w:rsidRPr="00610B1B">
              <w:rPr>
                <w:rFonts w:ascii="Times New Roman" w:hAnsi="Times New Roman" w:cs="Times New Roman"/>
                <w:b/>
                <w:lang w:val="bg-BG"/>
              </w:rPr>
              <w:t>0,04</w:t>
            </w:r>
          </w:p>
        </w:tc>
      </w:tr>
      <w:tr w:rsidR="0082227D" w:rsidRPr="00610B1B" w14:paraId="41E57F97" w14:textId="77777777" w:rsidTr="001E3FED">
        <w:trPr>
          <w:trHeight w:val="255"/>
        </w:trPr>
        <w:tc>
          <w:tcPr>
            <w:tcW w:w="2105" w:type="dxa"/>
            <w:shd w:val="clear" w:color="auto" w:fill="auto"/>
            <w:noWrap/>
            <w:vAlign w:val="bottom"/>
          </w:tcPr>
          <w:p w14:paraId="54525D10"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Шабла</w:t>
            </w:r>
          </w:p>
        </w:tc>
        <w:tc>
          <w:tcPr>
            <w:tcW w:w="1132" w:type="dxa"/>
            <w:shd w:val="clear" w:color="auto" w:fill="auto"/>
            <w:noWrap/>
            <w:vAlign w:val="bottom"/>
          </w:tcPr>
          <w:p w14:paraId="76C904E7" w14:textId="0F0D0C8E"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995</w:t>
            </w:r>
          </w:p>
        </w:tc>
        <w:tc>
          <w:tcPr>
            <w:tcW w:w="1132" w:type="dxa"/>
            <w:shd w:val="clear" w:color="auto" w:fill="auto"/>
            <w:noWrap/>
            <w:vAlign w:val="bottom"/>
          </w:tcPr>
          <w:p w14:paraId="18CE06CF" w14:textId="46CB5056"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4</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367</w:t>
            </w:r>
          </w:p>
        </w:tc>
        <w:tc>
          <w:tcPr>
            <w:tcW w:w="1059" w:type="dxa"/>
            <w:shd w:val="clear" w:color="auto" w:fill="auto"/>
            <w:noWrap/>
            <w:vAlign w:val="bottom"/>
          </w:tcPr>
          <w:p w14:paraId="32E7F476"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-628</w:t>
            </w:r>
          </w:p>
        </w:tc>
        <w:tc>
          <w:tcPr>
            <w:tcW w:w="1311" w:type="dxa"/>
            <w:shd w:val="clear" w:color="auto" w:fill="auto"/>
            <w:noWrap/>
            <w:vAlign w:val="bottom"/>
          </w:tcPr>
          <w:p w14:paraId="079A34BA"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-12,6</w:t>
            </w:r>
          </w:p>
        </w:tc>
      </w:tr>
      <w:tr w:rsidR="0082227D" w:rsidRPr="00610B1B" w14:paraId="446EFA07" w14:textId="77777777" w:rsidTr="001E3FED">
        <w:trPr>
          <w:trHeight w:val="255"/>
        </w:trPr>
        <w:tc>
          <w:tcPr>
            <w:tcW w:w="2105" w:type="dxa"/>
            <w:shd w:val="clear" w:color="auto" w:fill="auto"/>
            <w:noWrap/>
            <w:vAlign w:val="bottom"/>
          </w:tcPr>
          <w:p w14:paraId="1C5C8A4A"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Каварна</w:t>
            </w:r>
          </w:p>
        </w:tc>
        <w:tc>
          <w:tcPr>
            <w:tcW w:w="1132" w:type="dxa"/>
            <w:shd w:val="clear" w:color="auto" w:fill="auto"/>
            <w:noWrap/>
            <w:vAlign w:val="bottom"/>
          </w:tcPr>
          <w:p w14:paraId="253208D5" w14:textId="476FD981"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15</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216</w:t>
            </w:r>
          </w:p>
        </w:tc>
        <w:tc>
          <w:tcPr>
            <w:tcW w:w="1132" w:type="dxa"/>
            <w:shd w:val="clear" w:color="auto" w:fill="auto"/>
            <w:noWrap/>
            <w:vAlign w:val="bottom"/>
          </w:tcPr>
          <w:p w14:paraId="0B89A5F4" w14:textId="1E434952"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14</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020</w:t>
            </w:r>
          </w:p>
        </w:tc>
        <w:tc>
          <w:tcPr>
            <w:tcW w:w="1059" w:type="dxa"/>
            <w:shd w:val="clear" w:color="auto" w:fill="auto"/>
            <w:noWrap/>
            <w:vAlign w:val="bottom"/>
          </w:tcPr>
          <w:p w14:paraId="3AB03B90" w14:textId="24BE6E44"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196</w:t>
            </w:r>
          </w:p>
        </w:tc>
        <w:tc>
          <w:tcPr>
            <w:tcW w:w="1311" w:type="dxa"/>
            <w:shd w:val="clear" w:color="auto" w:fill="auto"/>
            <w:noWrap/>
            <w:vAlign w:val="bottom"/>
          </w:tcPr>
          <w:p w14:paraId="15E9C673"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-7,9</w:t>
            </w:r>
          </w:p>
        </w:tc>
      </w:tr>
      <w:tr w:rsidR="0082227D" w:rsidRPr="00610B1B" w14:paraId="4F9CFF2F" w14:textId="77777777" w:rsidTr="001E3FED">
        <w:trPr>
          <w:trHeight w:val="255"/>
        </w:trPr>
        <w:tc>
          <w:tcPr>
            <w:tcW w:w="2105" w:type="dxa"/>
            <w:shd w:val="clear" w:color="auto" w:fill="auto"/>
            <w:noWrap/>
            <w:vAlign w:val="bottom"/>
          </w:tcPr>
          <w:p w14:paraId="707AA69F"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Балчик</w:t>
            </w:r>
          </w:p>
        </w:tc>
        <w:tc>
          <w:tcPr>
            <w:tcW w:w="1132" w:type="dxa"/>
            <w:shd w:val="clear" w:color="auto" w:fill="auto"/>
            <w:noWrap/>
            <w:vAlign w:val="bottom"/>
          </w:tcPr>
          <w:p w14:paraId="2C5717ED" w14:textId="6B196790"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20</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232</w:t>
            </w:r>
          </w:p>
        </w:tc>
        <w:tc>
          <w:tcPr>
            <w:tcW w:w="1132" w:type="dxa"/>
            <w:shd w:val="clear" w:color="auto" w:fill="auto"/>
            <w:noWrap/>
            <w:vAlign w:val="bottom"/>
          </w:tcPr>
          <w:p w14:paraId="243DA3CF" w14:textId="58D02028"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19</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331</w:t>
            </w:r>
          </w:p>
        </w:tc>
        <w:tc>
          <w:tcPr>
            <w:tcW w:w="1059" w:type="dxa"/>
            <w:shd w:val="clear" w:color="auto" w:fill="auto"/>
            <w:noWrap/>
            <w:vAlign w:val="bottom"/>
          </w:tcPr>
          <w:p w14:paraId="6BC20554"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-901</w:t>
            </w:r>
          </w:p>
        </w:tc>
        <w:tc>
          <w:tcPr>
            <w:tcW w:w="1311" w:type="dxa"/>
            <w:shd w:val="clear" w:color="auto" w:fill="auto"/>
            <w:noWrap/>
            <w:vAlign w:val="bottom"/>
          </w:tcPr>
          <w:p w14:paraId="0D534C26"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-4,5</w:t>
            </w:r>
          </w:p>
        </w:tc>
      </w:tr>
      <w:tr w:rsidR="0082227D" w:rsidRPr="00610B1B" w14:paraId="1755A3F4" w14:textId="77777777" w:rsidTr="001E3FED">
        <w:trPr>
          <w:trHeight w:val="255"/>
        </w:trPr>
        <w:tc>
          <w:tcPr>
            <w:tcW w:w="2105" w:type="dxa"/>
            <w:shd w:val="clear" w:color="auto" w:fill="auto"/>
            <w:noWrap/>
            <w:vAlign w:val="bottom"/>
          </w:tcPr>
          <w:p w14:paraId="54F67C73"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Аксаково</w:t>
            </w:r>
          </w:p>
        </w:tc>
        <w:tc>
          <w:tcPr>
            <w:tcW w:w="1132" w:type="dxa"/>
            <w:shd w:val="clear" w:color="auto" w:fill="auto"/>
            <w:noWrap/>
            <w:vAlign w:val="bottom"/>
          </w:tcPr>
          <w:p w14:paraId="0F112178" w14:textId="4D0234DC"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20</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484</w:t>
            </w:r>
          </w:p>
        </w:tc>
        <w:tc>
          <w:tcPr>
            <w:tcW w:w="1132" w:type="dxa"/>
            <w:shd w:val="clear" w:color="auto" w:fill="auto"/>
            <w:noWrap/>
            <w:vAlign w:val="bottom"/>
          </w:tcPr>
          <w:p w14:paraId="1F3DBC55" w14:textId="2B765386"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20</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557</w:t>
            </w:r>
          </w:p>
        </w:tc>
        <w:tc>
          <w:tcPr>
            <w:tcW w:w="1059" w:type="dxa"/>
            <w:shd w:val="clear" w:color="auto" w:fill="auto"/>
            <w:noWrap/>
            <w:vAlign w:val="bottom"/>
          </w:tcPr>
          <w:p w14:paraId="1E6EC426"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73</w:t>
            </w:r>
          </w:p>
        </w:tc>
        <w:tc>
          <w:tcPr>
            <w:tcW w:w="1311" w:type="dxa"/>
            <w:shd w:val="clear" w:color="auto" w:fill="auto"/>
            <w:noWrap/>
            <w:vAlign w:val="bottom"/>
          </w:tcPr>
          <w:p w14:paraId="1A67B348"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0,4</w:t>
            </w:r>
          </w:p>
        </w:tc>
      </w:tr>
      <w:tr w:rsidR="0082227D" w:rsidRPr="00610B1B" w14:paraId="4389308F" w14:textId="77777777" w:rsidTr="001E3FED">
        <w:trPr>
          <w:trHeight w:val="255"/>
        </w:trPr>
        <w:tc>
          <w:tcPr>
            <w:tcW w:w="2105" w:type="dxa"/>
            <w:shd w:val="clear" w:color="auto" w:fill="auto"/>
            <w:noWrap/>
            <w:vAlign w:val="bottom"/>
          </w:tcPr>
          <w:p w14:paraId="4B7F9677"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Варна</w:t>
            </w:r>
          </w:p>
        </w:tc>
        <w:tc>
          <w:tcPr>
            <w:tcW w:w="1132" w:type="dxa"/>
            <w:shd w:val="clear" w:color="auto" w:fill="auto"/>
            <w:noWrap/>
            <w:vAlign w:val="bottom"/>
          </w:tcPr>
          <w:p w14:paraId="78BC305D" w14:textId="28E9D6D0"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343</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643</w:t>
            </w:r>
          </w:p>
        </w:tc>
        <w:tc>
          <w:tcPr>
            <w:tcW w:w="1132" w:type="dxa"/>
            <w:shd w:val="clear" w:color="auto" w:fill="auto"/>
            <w:noWrap/>
            <w:vAlign w:val="bottom"/>
          </w:tcPr>
          <w:p w14:paraId="66985785" w14:textId="03FBEA95"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345</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369</w:t>
            </w:r>
          </w:p>
        </w:tc>
        <w:tc>
          <w:tcPr>
            <w:tcW w:w="1059" w:type="dxa"/>
            <w:shd w:val="clear" w:color="auto" w:fill="auto"/>
            <w:noWrap/>
            <w:vAlign w:val="bottom"/>
          </w:tcPr>
          <w:p w14:paraId="7D626D58" w14:textId="38CAED51"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726</w:t>
            </w:r>
          </w:p>
        </w:tc>
        <w:tc>
          <w:tcPr>
            <w:tcW w:w="1311" w:type="dxa"/>
            <w:shd w:val="clear" w:color="auto" w:fill="auto"/>
            <w:noWrap/>
            <w:vAlign w:val="bottom"/>
          </w:tcPr>
          <w:p w14:paraId="4409B59D"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0,5</w:t>
            </w:r>
          </w:p>
        </w:tc>
      </w:tr>
      <w:tr w:rsidR="0082227D" w:rsidRPr="00610B1B" w14:paraId="243A638C" w14:textId="77777777" w:rsidTr="001E3FED">
        <w:trPr>
          <w:trHeight w:val="255"/>
        </w:trPr>
        <w:tc>
          <w:tcPr>
            <w:tcW w:w="2105" w:type="dxa"/>
            <w:shd w:val="clear" w:color="auto" w:fill="auto"/>
            <w:noWrap/>
            <w:vAlign w:val="bottom"/>
          </w:tcPr>
          <w:p w14:paraId="0118C6B4"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Аврен</w:t>
            </w:r>
          </w:p>
        </w:tc>
        <w:tc>
          <w:tcPr>
            <w:tcW w:w="1132" w:type="dxa"/>
            <w:shd w:val="clear" w:color="auto" w:fill="auto"/>
            <w:noWrap/>
            <w:vAlign w:val="bottom"/>
          </w:tcPr>
          <w:p w14:paraId="2E8B9852" w14:textId="0C10B018"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8</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632</w:t>
            </w:r>
          </w:p>
        </w:tc>
        <w:tc>
          <w:tcPr>
            <w:tcW w:w="1132" w:type="dxa"/>
            <w:shd w:val="clear" w:color="auto" w:fill="auto"/>
            <w:noWrap/>
            <w:vAlign w:val="bottom"/>
          </w:tcPr>
          <w:p w14:paraId="3C5F4CB8" w14:textId="40CD352F"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9</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152</w:t>
            </w:r>
          </w:p>
        </w:tc>
        <w:tc>
          <w:tcPr>
            <w:tcW w:w="1059" w:type="dxa"/>
            <w:shd w:val="clear" w:color="auto" w:fill="auto"/>
            <w:noWrap/>
            <w:vAlign w:val="bottom"/>
          </w:tcPr>
          <w:p w14:paraId="2F0F0666" w14:textId="66324AF5" w:rsidR="0082227D" w:rsidRPr="00610B1B" w:rsidRDefault="00B36ACE"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 xml:space="preserve"> </w:t>
            </w:r>
            <w:r w:rsidR="0082227D" w:rsidRPr="00610B1B">
              <w:rPr>
                <w:rFonts w:ascii="Times New Roman" w:hAnsi="Times New Roman" w:cs="Times New Roman"/>
                <w:lang w:val="bg-BG"/>
              </w:rPr>
              <w:t>520</w:t>
            </w:r>
          </w:p>
        </w:tc>
        <w:tc>
          <w:tcPr>
            <w:tcW w:w="1311" w:type="dxa"/>
            <w:shd w:val="clear" w:color="auto" w:fill="auto"/>
            <w:noWrap/>
            <w:vAlign w:val="bottom"/>
          </w:tcPr>
          <w:p w14:paraId="6E75473A"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6,0</w:t>
            </w:r>
          </w:p>
        </w:tc>
      </w:tr>
      <w:tr w:rsidR="0082227D" w:rsidRPr="00610B1B" w14:paraId="32869B18" w14:textId="77777777" w:rsidTr="001E3FED">
        <w:trPr>
          <w:trHeight w:val="255"/>
        </w:trPr>
        <w:tc>
          <w:tcPr>
            <w:tcW w:w="2105" w:type="dxa"/>
            <w:shd w:val="clear" w:color="auto" w:fill="auto"/>
            <w:noWrap/>
            <w:vAlign w:val="bottom"/>
          </w:tcPr>
          <w:p w14:paraId="6F09C5DA"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Долни чифлик</w:t>
            </w:r>
          </w:p>
        </w:tc>
        <w:tc>
          <w:tcPr>
            <w:tcW w:w="1132" w:type="dxa"/>
            <w:shd w:val="clear" w:color="auto" w:fill="auto"/>
            <w:noWrap/>
            <w:vAlign w:val="bottom"/>
          </w:tcPr>
          <w:p w14:paraId="64F82DC9" w14:textId="16F611C6"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19</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292</w:t>
            </w:r>
          </w:p>
        </w:tc>
        <w:tc>
          <w:tcPr>
            <w:tcW w:w="1132" w:type="dxa"/>
            <w:shd w:val="clear" w:color="auto" w:fill="auto"/>
            <w:noWrap/>
            <w:vAlign w:val="bottom"/>
          </w:tcPr>
          <w:p w14:paraId="20015FF3" w14:textId="2D28B805"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18</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492</w:t>
            </w:r>
          </w:p>
        </w:tc>
        <w:tc>
          <w:tcPr>
            <w:tcW w:w="1059" w:type="dxa"/>
            <w:shd w:val="clear" w:color="auto" w:fill="auto"/>
            <w:noWrap/>
            <w:vAlign w:val="bottom"/>
          </w:tcPr>
          <w:p w14:paraId="6FCA9E47"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-800</w:t>
            </w:r>
          </w:p>
        </w:tc>
        <w:tc>
          <w:tcPr>
            <w:tcW w:w="1311" w:type="dxa"/>
            <w:shd w:val="clear" w:color="auto" w:fill="auto"/>
            <w:noWrap/>
            <w:vAlign w:val="bottom"/>
          </w:tcPr>
          <w:p w14:paraId="4B27020D"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-4,1</w:t>
            </w:r>
          </w:p>
        </w:tc>
      </w:tr>
      <w:tr w:rsidR="0082227D" w:rsidRPr="00610B1B" w14:paraId="509D26D5" w14:textId="77777777" w:rsidTr="001E3FED">
        <w:trPr>
          <w:trHeight w:val="255"/>
        </w:trPr>
        <w:tc>
          <w:tcPr>
            <w:tcW w:w="2105" w:type="dxa"/>
            <w:shd w:val="clear" w:color="auto" w:fill="auto"/>
            <w:noWrap/>
            <w:vAlign w:val="bottom"/>
          </w:tcPr>
          <w:p w14:paraId="70F8B08C"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Бяла</w:t>
            </w:r>
          </w:p>
        </w:tc>
        <w:tc>
          <w:tcPr>
            <w:tcW w:w="1132" w:type="dxa"/>
            <w:shd w:val="clear" w:color="auto" w:fill="auto"/>
            <w:noWrap/>
            <w:vAlign w:val="bottom"/>
          </w:tcPr>
          <w:p w14:paraId="0F99D9FB" w14:textId="6E99F38F"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230</w:t>
            </w:r>
          </w:p>
        </w:tc>
        <w:tc>
          <w:tcPr>
            <w:tcW w:w="1132" w:type="dxa"/>
            <w:shd w:val="clear" w:color="auto" w:fill="auto"/>
            <w:noWrap/>
            <w:vAlign w:val="bottom"/>
          </w:tcPr>
          <w:p w14:paraId="1C4C340C" w14:textId="144FA89B"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3</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287</w:t>
            </w:r>
          </w:p>
        </w:tc>
        <w:tc>
          <w:tcPr>
            <w:tcW w:w="1059" w:type="dxa"/>
            <w:shd w:val="clear" w:color="auto" w:fill="auto"/>
            <w:noWrap/>
            <w:vAlign w:val="bottom"/>
          </w:tcPr>
          <w:p w14:paraId="32757D3D"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57</w:t>
            </w:r>
          </w:p>
        </w:tc>
        <w:tc>
          <w:tcPr>
            <w:tcW w:w="1311" w:type="dxa"/>
            <w:shd w:val="clear" w:color="auto" w:fill="auto"/>
            <w:noWrap/>
            <w:vAlign w:val="bottom"/>
          </w:tcPr>
          <w:p w14:paraId="60524E92"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1,8</w:t>
            </w:r>
          </w:p>
        </w:tc>
      </w:tr>
      <w:tr w:rsidR="0082227D" w:rsidRPr="00610B1B" w14:paraId="18856B7A" w14:textId="77777777" w:rsidTr="001E3FED">
        <w:trPr>
          <w:trHeight w:val="255"/>
        </w:trPr>
        <w:tc>
          <w:tcPr>
            <w:tcW w:w="2105" w:type="dxa"/>
            <w:shd w:val="clear" w:color="auto" w:fill="auto"/>
            <w:noWrap/>
            <w:vAlign w:val="bottom"/>
          </w:tcPr>
          <w:p w14:paraId="37E79385"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Несебър</w:t>
            </w:r>
          </w:p>
        </w:tc>
        <w:tc>
          <w:tcPr>
            <w:tcW w:w="1132" w:type="dxa"/>
            <w:shd w:val="clear" w:color="auto" w:fill="auto"/>
            <w:noWrap/>
            <w:vAlign w:val="bottom"/>
          </w:tcPr>
          <w:p w14:paraId="4A131C7F" w14:textId="4EC1BCBB"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23</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145</w:t>
            </w:r>
          </w:p>
        </w:tc>
        <w:tc>
          <w:tcPr>
            <w:tcW w:w="1132" w:type="dxa"/>
            <w:shd w:val="clear" w:color="auto" w:fill="auto"/>
            <w:noWrap/>
            <w:vAlign w:val="bottom"/>
          </w:tcPr>
          <w:p w14:paraId="5A392367" w14:textId="0974CBEB"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27</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879</w:t>
            </w:r>
          </w:p>
        </w:tc>
        <w:tc>
          <w:tcPr>
            <w:tcW w:w="1059" w:type="dxa"/>
            <w:shd w:val="clear" w:color="auto" w:fill="auto"/>
            <w:noWrap/>
            <w:vAlign w:val="bottom"/>
          </w:tcPr>
          <w:p w14:paraId="5D101C81" w14:textId="0520EECD"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734</w:t>
            </w:r>
          </w:p>
        </w:tc>
        <w:tc>
          <w:tcPr>
            <w:tcW w:w="1311" w:type="dxa"/>
            <w:shd w:val="clear" w:color="auto" w:fill="auto"/>
            <w:noWrap/>
            <w:vAlign w:val="bottom"/>
          </w:tcPr>
          <w:p w14:paraId="4E2264E4"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20,5</w:t>
            </w:r>
          </w:p>
        </w:tc>
      </w:tr>
      <w:tr w:rsidR="0082227D" w:rsidRPr="00610B1B" w14:paraId="6B1307B6" w14:textId="77777777" w:rsidTr="001E3FED">
        <w:trPr>
          <w:trHeight w:val="255"/>
        </w:trPr>
        <w:tc>
          <w:tcPr>
            <w:tcW w:w="2105" w:type="dxa"/>
            <w:shd w:val="clear" w:color="auto" w:fill="auto"/>
            <w:noWrap/>
            <w:vAlign w:val="bottom"/>
          </w:tcPr>
          <w:p w14:paraId="5178E955"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Поморие</w:t>
            </w:r>
          </w:p>
        </w:tc>
        <w:tc>
          <w:tcPr>
            <w:tcW w:w="1132" w:type="dxa"/>
            <w:shd w:val="clear" w:color="auto" w:fill="auto"/>
            <w:noWrap/>
            <w:vAlign w:val="bottom"/>
          </w:tcPr>
          <w:p w14:paraId="269C3CB2" w14:textId="36CE9B2E"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27</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530</w:t>
            </w:r>
          </w:p>
        </w:tc>
        <w:tc>
          <w:tcPr>
            <w:tcW w:w="1132" w:type="dxa"/>
            <w:shd w:val="clear" w:color="auto" w:fill="auto"/>
            <w:noWrap/>
            <w:vAlign w:val="bottom"/>
          </w:tcPr>
          <w:p w14:paraId="52D131D5" w14:textId="23DCE81E"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27</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233</w:t>
            </w:r>
          </w:p>
        </w:tc>
        <w:tc>
          <w:tcPr>
            <w:tcW w:w="1059" w:type="dxa"/>
            <w:shd w:val="clear" w:color="auto" w:fill="auto"/>
            <w:noWrap/>
            <w:vAlign w:val="bottom"/>
          </w:tcPr>
          <w:p w14:paraId="3E71A8EC"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-297</w:t>
            </w:r>
          </w:p>
        </w:tc>
        <w:tc>
          <w:tcPr>
            <w:tcW w:w="1311" w:type="dxa"/>
            <w:shd w:val="clear" w:color="auto" w:fill="auto"/>
            <w:noWrap/>
            <w:vAlign w:val="bottom"/>
          </w:tcPr>
          <w:p w14:paraId="296A38D5"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-1,1</w:t>
            </w:r>
          </w:p>
        </w:tc>
      </w:tr>
      <w:tr w:rsidR="0082227D" w:rsidRPr="00610B1B" w14:paraId="00E3CDC2" w14:textId="77777777" w:rsidTr="001E3FED">
        <w:trPr>
          <w:trHeight w:val="255"/>
        </w:trPr>
        <w:tc>
          <w:tcPr>
            <w:tcW w:w="2105" w:type="dxa"/>
            <w:shd w:val="clear" w:color="auto" w:fill="auto"/>
            <w:noWrap/>
            <w:vAlign w:val="bottom"/>
          </w:tcPr>
          <w:p w14:paraId="541BC422"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Бургас</w:t>
            </w:r>
          </w:p>
        </w:tc>
        <w:tc>
          <w:tcPr>
            <w:tcW w:w="1132" w:type="dxa"/>
            <w:shd w:val="clear" w:color="auto" w:fill="auto"/>
            <w:noWrap/>
            <w:vAlign w:val="bottom"/>
          </w:tcPr>
          <w:p w14:paraId="48401F4C" w14:textId="6704BBE0"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212</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032</w:t>
            </w:r>
          </w:p>
        </w:tc>
        <w:tc>
          <w:tcPr>
            <w:tcW w:w="1132" w:type="dxa"/>
            <w:shd w:val="clear" w:color="auto" w:fill="auto"/>
            <w:noWrap/>
            <w:vAlign w:val="bottom"/>
          </w:tcPr>
          <w:p w14:paraId="5EFD835E" w14:textId="0DB56144"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208</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915</w:t>
            </w:r>
          </w:p>
        </w:tc>
        <w:tc>
          <w:tcPr>
            <w:tcW w:w="1059" w:type="dxa"/>
            <w:shd w:val="clear" w:color="auto" w:fill="auto"/>
            <w:noWrap/>
            <w:vAlign w:val="bottom"/>
          </w:tcPr>
          <w:p w14:paraId="3EA5A868" w14:textId="566273A0"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117</w:t>
            </w:r>
          </w:p>
        </w:tc>
        <w:tc>
          <w:tcPr>
            <w:tcW w:w="1311" w:type="dxa"/>
            <w:shd w:val="clear" w:color="auto" w:fill="auto"/>
            <w:noWrap/>
            <w:vAlign w:val="bottom"/>
          </w:tcPr>
          <w:p w14:paraId="743A6FE6"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-1,5</w:t>
            </w:r>
          </w:p>
        </w:tc>
      </w:tr>
      <w:tr w:rsidR="0082227D" w:rsidRPr="00610B1B" w14:paraId="43973954" w14:textId="77777777" w:rsidTr="001E3FED">
        <w:trPr>
          <w:trHeight w:val="255"/>
        </w:trPr>
        <w:tc>
          <w:tcPr>
            <w:tcW w:w="2105" w:type="dxa"/>
            <w:shd w:val="clear" w:color="auto" w:fill="auto"/>
            <w:noWrap/>
            <w:vAlign w:val="bottom"/>
          </w:tcPr>
          <w:p w14:paraId="3E59410D"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lastRenderedPageBreak/>
              <w:t>Созопол</w:t>
            </w:r>
          </w:p>
        </w:tc>
        <w:tc>
          <w:tcPr>
            <w:tcW w:w="1132" w:type="dxa"/>
            <w:shd w:val="clear" w:color="auto" w:fill="auto"/>
            <w:noWrap/>
            <w:vAlign w:val="bottom"/>
          </w:tcPr>
          <w:p w14:paraId="012164B2" w14:textId="4395A194"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12</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657</w:t>
            </w:r>
          </w:p>
        </w:tc>
        <w:tc>
          <w:tcPr>
            <w:tcW w:w="1132" w:type="dxa"/>
            <w:shd w:val="clear" w:color="auto" w:fill="auto"/>
            <w:noWrap/>
            <w:vAlign w:val="bottom"/>
          </w:tcPr>
          <w:p w14:paraId="7920BEDA" w14:textId="73296872"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13</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005</w:t>
            </w:r>
          </w:p>
        </w:tc>
        <w:tc>
          <w:tcPr>
            <w:tcW w:w="1059" w:type="dxa"/>
            <w:shd w:val="clear" w:color="auto" w:fill="auto"/>
            <w:noWrap/>
            <w:vAlign w:val="bottom"/>
          </w:tcPr>
          <w:p w14:paraId="7846A841"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348</w:t>
            </w:r>
          </w:p>
        </w:tc>
        <w:tc>
          <w:tcPr>
            <w:tcW w:w="1311" w:type="dxa"/>
            <w:shd w:val="clear" w:color="auto" w:fill="auto"/>
            <w:noWrap/>
            <w:vAlign w:val="bottom"/>
          </w:tcPr>
          <w:p w14:paraId="49B1C31E"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2,7</w:t>
            </w:r>
          </w:p>
        </w:tc>
      </w:tr>
      <w:tr w:rsidR="0082227D" w:rsidRPr="00610B1B" w14:paraId="0FF1557A" w14:textId="77777777" w:rsidTr="001E3FED">
        <w:trPr>
          <w:trHeight w:val="255"/>
        </w:trPr>
        <w:tc>
          <w:tcPr>
            <w:tcW w:w="2105" w:type="dxa"/>
            <w:shd w:val="clear" w:color="auto" w:fill="auto"/>
            <w:noWrap/>
            <w:vAlign w:val="bottom"/>
          </w:tcPr>
          <w:p w14:paraId="1B7F26C8"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Приморско</w:t>
            </w:r>
          </w:p>
        </w:tc>
        <w:tc>
          <w:tcPr>
            <w:tcW w:w="1132" w:type="dxa"/>
            <w:shd w:val="clear" w:color="auto" w:fill="auto"/>
            <w:noWrap/>
            <w:vAlign w:val="bottom"/>
          </w:tcPr>
          <w:p w14:paraId="77FF8345" w14:textId="3291A05E"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082</w:t>
            </w:r>
          </w:p>
        </w:tc>
        <w:tc>
          <w:tcPr>
            <w:tcW w:w="1132" w:type="dxa"/>
            <w:shd w:val="clear" w:color="auto" w:fill="auto"/>
            <w:noWrap/>
            <w:vAlign w:val="bottom"/>
          </w:tcPr>
          <w:p w14:paraId="205BEC3F" w14:textId="1F12B355"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6</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124</w:t>
            </w:r>
          </w:p>
        </w:tc>
        <w:tc>
          <w:tcPr>
            <w:tcW w:w="1059" w:type="dxa"/>
            <w:shd w:val="clear" w:color="auto" w:fill="auto"/>
            <w:noWrap/>
            <w:vAlign w:val="bottom"/>
          </w:tcPr>
          <w:p w14:paraId="0183023C"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42</w:t>
            </w:r>
          </w:p>
        </w:tc>
        <w:tc>
          <w:tcPr>
            <w:tcW w:w="1311" w:type="dxa"/>
            <w:shd w:val="clear" w:color="auto" w:fill="auto"/>
            <w:noWrap/>
            <w:vAlign w:val="bottom"/>
          </w:tcPr>
          <w:p w14:paraId="19F96701"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0,7</w:t>
            </w:r>
          </w:p>
        </w:tc>
      </w:tr>
      <w:tr w:rsidR="0082227D" w:rsidRPr="00610B1B" w14:paraId="40FD39A4" w14:textId="77777777" w:rsidTr="001E3FED">
        <w:trPr>
          <w:trHeight w:val="255"/>
        </w:trPr>
        <w:tc>
          <w:tcPr>
            <w:tcW w:w="2105" w:type="dxa"/>
            <w:shd w:val="clear" w:color="auto" w:fill="auto"/>
            <w:noWrap/>
            <w:vAlign w:val="bottom"/>
          </w:tcPr>
          <w:p w14:paraId="3868EC92" w14:textId="77777777" w:rsidR="0082227D" w:rsidRPr="00610B1B" w:rsidRDefault="0082227D" w:rsidP="00D32D6A">
            <w:pPr>
              <w:spacing w:after="0" w:line="240" w:lineRule="auto"/>
              <w:rPr>
                <w:rFonts w:ascii="Times New Roman" w:hAnsi="Times New Roman" w:cs="Times New Roman"/>
                <w:lang w:val="bg-BG"/>
              </w:rPr>
            </w:pPr>
            <w:r w:rsidRPr="00610B1B">
              <w:rPr>
                <w:rFonts w:ascii="Times New Roman" w:hAnsi="Times New Roman" w:cs="Times New Roman"/>
                <w:lang w:val="bg-BG"/>
              </w:rPr>
              <w:t>Царево</w:t>
            </w:r>
          </w:p>
        </w:tc>
        <w:tc>
          <w:tcPr>
            <w:tcW w:w="1132" w:type="dxa"/>
            <w:shd w:val="clear" w:color="auto" w:fill="auto"/>
            <w:noWrap/>
            <w:vAlign w:val="bottom"/>
          </w:tcPr>
          <w:p w14:paraId="2C48648F" w14:textId="1BD27D70"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9</w:t>
            </w:r>
            <w:r w:rsidR="00B36ACE" w:rsidRPr="00610B1B">
              <w:rPr>
                <w:rFonts w:ascii="Times New Roman" w:hAnsi="Times New Roman" w:cs="Times New Roman"/>
                <w:lang w:val="bg-BG"/>
              </w:rPr>
              <w:t xml:space="preserve"> </w:t>
            </w:r>
            <w:r w:rsidRPr="00610B1B">
              <w:rPr>
                <w:rFonts w:ascii="Times New Roman" w:hAnsi="Times New Roman" w:cs="Times New Roman"/>
                <w:lang w:val="bg-BG"/>
              </w:rPr>
              <w:t>311</w:t>
            </w:r>
          </w:p>
        </w:tc>
        <w:tc>
          <w:tcPr>
            <w:tcW w:w="1132" w:type="dxa"/>
            <w:shd w:val="clear" w:color="auto" w:fill="auto"/>
            <w:noWrap/>
            <w:vAlign w:val="bottom"/>
          </w:tcPr>
          <w:p w14:paraId="70469711" w14:textId="51B0EC11" w:rsidR="0082227D" w:rsidRPr="00610B1B" w:rsidRDefault="0082227D"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9</w:t>
            </w:r>
            <w:r w:rsidR="00B36ACE" w:rsidRPr="00610B1B">
              <w:rPr>
                <w:rFonts w:ascii="Times New Roman" w:hAnsi="Times New Roman" w:cs="Times New Roman"/>
                <w:color w:val="000000"/>
                <w:lang w:val="bg-BG"/>
              </w:rPr>
              <w:t xml:space="preserve"> </w:t>
            </w:r>
            <w:r w:rsidRPr="00610B1B">
              <w:rPr>
                <w:rFonts w:ascii="Times New Roman" w:hAnsi="Times New Roman" w:cs="Times New Roman"/>
                <w:color w:val="000000"/>
                <w:lang w:val="bg-BG"/>
              </w:rPr>
              <w:t>014</w:t>
            </w:r>
          </w:p>
        </w:tc>
        <w:tc>
          <w:tcPr>
            <w:tcW w:w="1059" w:type="dxa"/>
            <w:shd w:val="clear" w:color="auto" w:fill="auto"/>
            <w:noWrap/>
            <w:vAlign w:val="bottom"/>
          </w:tcPr>
          <w:p w14:paraId="5F1E4E33"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-297</w:t>
            </w:r>
          </w:p>
        </w:tc>
        <w:tc>
          <w:tcPr>
            <w:tcW w:w="1311" w:type="dxa"/>
            <w:shd w:val="clear" w:color="auto" w:fill="auto"/>
            <w:noWrap/>
            <w:vAlign w:val="bottom"/>
          </w:tcPr>
          <w:p w14:paraId="28AAF171" w14:textId="77777777" w:rsidR="0082227D" w:rsidRPr="00610B1B" w:rsidRDefault="0082227D"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-3,2</w:t>
            </w:r>
          </w:p>
        </w:tc>
      </w:tr>
    </w:tbl>
    <w:p w14:paraId="4D992E41" w14:textId="4BDBFF78" w:rsidR="0082227D" w:rsidRPr="00610B1B" w:rsidRDefault="0082227D" w:rsidP="00EC097D">
      <w:pPr>
        <w:spacing w:before="60" w:after="120"/>
        <w:ind w:right="-153"/>
        <w:jc w:val="both"/>
        <w:rPr>
          <w:rFonts w:ascii="Times New Roman" w:hAnsi="Times New Roman" w:cs="Times New Roman"/>
          <w:lang w:val="bg-BG"/>
        </w:rPr>
      </w:pPr>
      <w:r w:rsidRPr="00610B1B">
        <w:rPr>
          <w:rFonts w:ascii="Times New Roman" w:hAnsi="Times New Roman" w:cs="Times New Roman"/>
          <w:lang w:val="bg-BG"/>
        </w:rPr>
        <w:t>Източник: НСИ, обработка НЦТР</w:t>
      </w:r>
    </w:p>
    <w:p w14:paraId="683EB147" w14:textId="62A8D148" w:rsidR="0082227D" w:rsidRPr="00610B1B" w:rsidRDefault="0082227D"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bCs/>
          <w:sz w:val="24"/>
          <w:szCs w:val="24"/>
          <w:lang w:val="bg-BG"/>
        </w:rPr>
        <w:t xml:space="preserve">Продължава </w:t>
      </w:r>
      <w:r w:rsidRPr="00610B1B">
        <w:rPr>
          <w:rFonts w:ascii="Times New Roman" w:hAnsi="Times New Roman" w:cs="Times New Roman"/>
          <w:b/>
          <w:bCs/>
          <w:sz w:val="24"/>
          <w:szCs w:val="24"/>
          <w:lang w:val="bg-BG"/>
        </w:rPr>
        <w:t>процесът на застаряване</w:t>
      </w:r>
      <w:r w:rsidRPr="00610B1B">
        <w:rPr>
          <w:rFonts w:ascii="Times New Roman" w:hAnsi="Times New Roman" w:cs="Times New Roman"/>
          <w:bCs/>
          <w:sz w:val="24"/>
          <w:szCs w:val="24"/>
          <w:lang w:val="bg-BG"/>
        </w:rPr>
        <w:t>, който е характерен за другите общини в страната, но в Черноморските общини е с по-благоприятни стойности от средните за страната.</w:t>
      </w:r>
      <w:r w:rsidRPr="00610B1B">
        <w:rPr>
          <w:rFonts w:ascii="Times New Roman" w:hAnsi="Times New Roman" w:cs="Times New Roman"/>
          <w:b/>
          <w:bCs/>
          <w:sz w:val="24"/>
          <w:szCs w:val="24"/>
          <w:lang w:val="bg-BG"/>
        </w:rPr>
        <w:t xml:space="preserve"> </w:t>
      </w:r>
      <w:r w:rsidRPr="00610B1B">
        <w:rPr>
          <w:rFonts w:ascii="Times New Roman" w:hAnsi="Times New Roman" w:cs="Times New Roman"/>
          <w:sz w:val="24"/>
          <w:szCs w:val="24"/>
          <w:lang w:val="bg-BG"/>
        </w:rPr>
        <w:t>В края на 2018 г. лицата на 65 и повече навъ</w:t>
      </w:r>
      <w:r w:rsidR="0079021B" w:rsidRPr="00610B1B">
        <w:rPr>
          <w:rFonts w:ascii="Times New Roman" w:hAnsi="Times New Roman" w:cs="Times New Roman"/>
          <w:sz w:val="24"/>
          <w:szCs w:val="24"/>
          <w:lang w:val="bg-BG"/>
        </w:rPr>
        <w:t>ршени години са 136 913, или 18,</w:t>
      </w:r>
      <w:r w:rsidRPr="00610B1B">
        <w:rPr>
          <w:rFonts w:ascii="Times New Roman" w:hAnsi="Times New Roman" w:cs="Times New Roman"/>
          <w:sz w:val="24"/>
          <w:szCs w:val="24"/>
          <w:lang w:val="bg-BG"/>
        </w:rPr>
        <w:t>8% от населението на общините, дока</w:t>
      </w:r>
      <w:r w:rsidR="0079021B" w:rsidRPr="00610B1B">
        <w:rPr>
          <w:rFonts w:ascii="Times New Roman" w:hAnsi="Times New Roman" w:cs="Times New Roman"/>
          <w:sz w:val="24"/>
          <w:szCs w:val="24"/>
          <w:lang w:val="bg-BG"/>
        </w:rPr>
        <w:t>то за страната са 21,</w:t>
      </w:r>
      <w:r w:rsidRPr="00610B1B">
        <w:rPr>
          <w:rFonts w:ascii="Times New Roman" w:hAnsi="Times New Roman" w:cs="Times New Roman"/>
          <w:sz w:val="24"/>
          <w:szCs w:val="24"/>
          <w:lang w:val="bg-BG"/>
        </w:rPr>
        <w:t>3%. В сравнение с 2011 г. делът на населението в таз</w:t>
      </w:r>
      <w:r w:rsidR="0079021B" w:rsidRPr="00610B1B">
        <w:rPr>
          <w:rFonts w:ascii="Times New Roman" w:hAnsi="Times New Roman" w:cs="Times New Roman"/>
          <w:sz w:val="24"/>
          <w:szCs w:val="24"/>
          <w:lang w:val="bg-BG"/>
        </w:rPr>
        <w:t>и възрастова група нараства с 2,</w:t>
      </w:r>
      <w:r w:rsidRPr="00610B1B">
        <w:rPr>
          <w:rFonts w:ascii="Times New Roman" w:hAnsi="Times New Roman" w:cs="Times New Roman"/>
          <w:sz w:val="24"/>
          <w:szCs w:val="24"/>
          <w:lang w:val="bg-BG"/>
        </w:rPr>
        <w:t>6 процентни пункта.</w:t>
      </w:r>
      <w:r w:rsidR="007C3109"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Общо за ЕС-28 относителният дял на насе</w:t>
      </w:r>
      <w:r w:rsidR="0079021B" w:rsidRPr="00610B1B">
        <w:rPr>
          <w:rFonts w:ascii="Times New Roman" w:hAnsi="Times New Roman" w:cs="Times New Roman"/>
          <w:sz w:val="24"/>
          <w:szCs w:val="24"/>
          <w:lang w:val="bg-BG"/>
        </w:rPr>
        <w:t>лението 65 и повече години е 19,</w:t>
      </w:r>
      <w:r w:rsidRPr="00610B1B">
        <w:rPr>
          <w:rFonts w:ascii="Times New Roman" w:hAnsi="Times New Roman" w:cs="Times New Roman"/>
          <w:sz w:val="24"/>
          <w:szCs w:val="24"/>
          <w:lang w:val="bg-BG"/>
        </w:rPr>
        <w:t>7%.</w:t>
      </w:r>
      <w:r w:rsidR="005D581C" w:rsidRPr="00610B1B">
        <w:rPr>
          <w:rFonts w:ascii="Times New Roman" w:hAnsi="Times New Roman" w:cs="Times New Roman"/>
          <w:sz w:val="24"/>
          <w:szCs w:val="24"/>
          <w:lang w:val="bg-BG"/>
        </w:rPr>
        <w:t xml:space="preserve"> В </w:t>
      </w:r>
      <w:r w:rsidR="000434A3" w:rsidRPr="00610B1B">
        <w:rPr>
          <w:rFonts w:ascii="Times New Roman" w:hAnsi="Times New Roman" w:cs="Times New Roman"/>
          <w:sz w:val="24"/>
          <w:szCs w:val="24"/>
          <w:lang w:val="bg-BG"/>
        </w:rPr>
        <w:t>общините Шабла (30,8%), Аврен (26,</w:t>
      </w:r>
      <w:r w:rsidRPr="00610B1B">
        <w:rPr>
          <w:rFonts w:ascii="Times New Roman" w:hAnsi="Times New Roman" w:cs="Times New Roman"/>
          <w:sz w:val="24"/>
          <w:szCs w:val="24"/>
          <w:lang w:val="bg-BG"/>
        </w:rPr>
        <w:t>5%), Бяла (24</w:t>
      </w:r>
      <w:r w:rsidR="000434A3" w:rsidRPr="00610B1B">
        <w:rPr>
          <w:rFonts w:ascii="Times New Roman" w:hAnsi="Times New Roman" w:cs="Times New Roman"/>
          <w:sz w:val="24"/>
          <w:szCs w:val="24"/>
          <w:lang w:val="bg-BG"/>
        </w:rPr>
        <w:t>,6%) и Созопол (24,</w:t>
      </w:r>
      <w:r w:rsidRPr="00610B1B">
        <w:rPr>
          <w:rFonts w:ascii="Times New Roman" w:hAnsi="Times New Roman" w:cs="Times New Roman"/>
          <w:sz w:val="24"/>
          <w:szCs w:val="24"/>
          <w:lang w:val="bg-BG"/>
        </w:rPr>
        <w:t>4%)</w:t>
      </w:r>
      <w:r w:rsidR="005D581C" w:rsidRPr="00610B1B">
        <w:rPr>
          <w:rFonts w:ascii="Times New Roman" w:hAnsi="Times New Roman" w:cs="Times New Roman"/>
          <w:sz w:val="24"/>
          <w:szCs w:val="24"/>
          <w:lang w:val="bg-BG"/>
        </w:rPr>
        <w:t xml:space="preserve"> този дял е най-висок, а в</w:t>
      </w:r>
      <w:r w:rsidRPr="00610B1B">
        <w:rPr>
          <w:rFonts w:ascii="Times New Roman" w:hAnsi="Times New Roman" w:cs="Times New Roman"/>
          <w:sz w:val="24"/>
          <w:szCs w:val="24"/>
          <w:lang w:val="bg-BG"/>
        </w:rPr>
        <w:t xml:space="preserve"> 6 общини този дял е по-благоприятен от средния за страната</w:t>
      </w:r>
      <w:r w:rsidR="005D581C" w:rsidRPr="00610B1B">
        <w:rPr>
          <w:rFonts w:ascii="Times New Roman" w:hAnsi="Times New Roman" w:cs="Times New Roman"/>
          <w:sz w:val="24"/>
          <w:szCs w:val="24"/>
          <w:lang w:val="bg-BG"/>
        </w:rPr>
        <w:t>. В тях попадат и д</w:t>
      </w:r>
      <w:r w:rsidR="000434A3" w:rsidRPr="00610B1B">
        <w:rPr>
          <w:rFonts w:ascii="Times New Roman" w:hAnsi="Times New Roman" w:cs="Times New Roman"/>
          <w:sz w:val="24"/>
          <w:szCs w:val="24"/>
          <w:lang w:val="bg-BG"/>
        </w:rPr>
        <w:t>вете големи общини Варна</w:t>
      </w:r>
      <w:r w:rsidR="00D66FE0" w:rsidRPr="00610B1B">
        <w:rPr>
          <w:rFonts w:ascii="Times New Roman" w:hAnsi="Times New Roman" w:cs="Times New Roman"/>
          <w:sz w:val="24"/>
          <w:szCs w:val="24"/>
          <w:lang w:val="bg-BG"/>
        </w:rPr>
        <w:t xml:space="preserve"> </w:t>
      </w:r>
      <w:r w:rsidR="000434A3" w:rsidRPr="00610B1B">
        <w:rPr>
          <w:rFonts w:ascii="Times New Roman" w:hAnsi="Times New Roman" w:cs="Times New Roman"/>
          <w:sz w:val="24"/>
          <w:szCs w:val="24"/>
          <w:lang w:val="bg-BG"/>
        </w:rPr>
        <w:t>(17,9%) и Бургас (18,</w:t>
      </w:r>
      <w:r w:rsidRPr="00610B1B">
        <w:rPr>
          <w:rFonts w:ascii="Times New Roman" w:hAnsi="Times New Roman" w:cs="Times New Roman"/>
          <w:sz w:val="24"/>
          <w:szCs w:val="24"/>
          <w:lang w:val="bg-BG"/>
        </w:rPr>
        <w:t>5%).</w:t>
      </w:r>
      <w:r w:rsidR="007C3109" w:rsidRPr="00610B1B">
        <w:rPr>
          <w:rFonts w:ascii="Times New Roman" w:hAnsi="Times New Roman" w:cs="Times New Roman"/>
          <w:sz w:val="24"/>
          <w:szCs w:val="24"/>
          <w:lang w:val="bg-BG"/>
        </w:rPr>
        <w:t xml:space="preserve"> </w:t>
      </w:r>
    </w:p>
    <w:p w14:paraId="254BBF09" w14:textId="21183495" w:rsidR="0082227D" w:rsidRPr="00610B1B" w:rsidRDefault="0082227D"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Към 31.12.2018 г. </w:t>
      </w:r>
      <w:r w:rsidRPr="00610B1B">
        <w:rPr>
          <w:rFonts w:ascii="Times New Roman" w:hAnsi="Times New Roman" w:cs="Times New Roman"/>
          <w:b/>
          <w:bCs/>
          <w:sz w:val="24"/>
          <w:szCs w:val="24"/>
          <w:lang w:val="bg-BG"/>
        </w:rPr>
        <w:t xml:space="preserve">децата до 15 години </w:t>
      </w:r>
      <w:r w:rsidR="000434A3" w:rsidRPr="00610B1B">
        <w:rPr>
          <w:rFonts w:ascii="Times New Roman" w:hAnsi="Times New Roman" w:cs="Times New Roman"/>
          <w:bCs/>
          <w:sz w:val="24"/>
          <w:szCs w:val="24"/>
          <w:lang w:val="bg-BG"/>
        </w:rPr>
        <w:t>в общините са 110 522, или 15,</w:t>
      </w:r>
      <w:r w:rsidRPr="00610B1B">
        <w:rPr>
          <w:rFonts w:ascii="Times New Roman" w:hAnsi="Times New Roman" w:cs="Times New Roman"/>
          <w:bCs/>
          <w:sz w:val="24"/>
          <w:szCs w:val="24"/>
          <w:lang w:val="bg-BG"/>
        </w:rPr>
        <w:t xml:space="preserve">2% от общия брой </w:t>
      </w:r>
      <w:r w:rsidR="00853347" w:rsidRPr="00610B1B">
        <w:rPr>
          <w:rFonts w:ascii="Times New Roman" w:hAnsi="Times New Roman" w:cs="Times New Roman"/>
          <w:bCs/>
          <w:sz w:val="24"/>
          <w:szCs w:val="24"/>
          <w:lang w:val="bg-BG"/>
        </w:rPr>
        <w:t>н</w:t>
      </w:r>
      <w:r w:rsidRPr="00610B1B">
        <w:rPr>
          <w:rFonts w:ascii="Times New Roman" w:hAnsi="Times New Roman" w:cs="Times New Roman"/>
          <w:bCs/>
          <w:sz w:val="24"/>
          <w:szCs w:val="24"/>
          <w:lang w:val="bg-BG"/>
        </w:rPr>
        <w:t xml:space="preserve">а населението, </w:t>
      </w:r>
      <w:r w:rsidR="000434A3" w:rsidRPr="00610B1B">
        <w:rPr>
          <w:rFonts w:ascii="Times New Roman" w:hAnsi="Times New Roman" w:cs="Times New Roman"/>
          <w:sz w:val="24"/>
          <w:szCs w:val="24"/>
          <w:lang w:val="bg-BG"/>
        </w:rPr>
        <w:t>като за страната този дял е 14,</w:t>
      </w:r>
      <w:r w:rsidRPr="00610B1B">
        <w:rPr>
          <w:rFonts w:ascii="Times New Roman" w:hAnsi="Times New Roman" w:cs="Times New Roman"/>
          <w:sz w:val="24"/>
          <w:szCs w:val="24"/>
          <w:lang w:val="bg-BG"/>
        </w:rPr>
        <w:t>4%, или Черноморските общини имат п</w:t>
      </w:r>
      <w:r w:rsidR="000434A3" w:rsidRPr="00610B1B">
        <w:rPr>
          <w:rFonts w:ascii="Times New Roman" w:hAnsi="Times New Roman" w:cs="Times New Roman"/>
          <w:sz w:val="24"/>
          <w:szCs w:val="24"/>
          <w:lang w:val="bg-BG"/>
        </w:rPr>
        <w:t>о-благоприятен дял с 0,</w:t>
      </w:r>
      <w:r w:rsidRPr="00610B1B">
        <w:rPr>
          <w:rFonts w:ascii="Times New Roman" w:hAnsi="Times New Roman" w:cs="Times New Roman"/>
          <w:sz w:val="24"/>
          <w:szCs w:val="24"/>
          <w:lang w:val="bg-BG"/>
        </w:rPr>
        <w:t>8 процентни пункта.</w:t>
      </w:r>
      <w:r w:rsidR="000434A3"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Относителният дял на населението под 15 години е най-висок в общините Дол</w:t>
      </w:r>
      <w:r w:rsidR="000434A3" w:rsidRPr="00610B1B">
        <w:rPr>
          <w:rFonts w:ascii="Times New Roman" w:hAnsi="Times New Roman" w:cs="Times New Roman"/>
          <w:sz w:val="24"/>
          <w:szCs w:val="24"/>
          <w:lang w:val="bg-BG"/>
        </w:rPr>
        <w:t>ни чифлик – 17,9%, Аксаково – 15,7%, Бургас – 15,</w:t>
      </w:r>
      <w:r w:rsidRPr="00610B1B">
        <w:rPr>
          <w:rFonts w:ascii="Times New Roman" w:hAnsi="Times New Roman" w:cs="Times New Roman"/>
          <w:sz w:val="24"/>
          <w:szCs w:val="24"/>
          <w:lang w:val="bg-BG"/>
        </w:rPr>
        <w:t>6</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и Варна – </w:t>
      </w:r>
      <w:r w:rsidR="000434A3" w:rsidRPr="00610B1B">
        <w:rPr>
          <w:rFonts w:ascii="Times New Roman" w:hAnsi="Times New Roman" w:cs="Times New Roman"/>
          <w:sz w:val="24"/>
          <w:szCs w:val="24"/>
          <w:lang w:val="bg-BG"/>
        </w:rPr>
        <w:t>15,</w:t>
      </w:r>
      <w:r w:rsidRPr="00610B1B">
        <w:rPr>
          <w:rFonts w:ascii="Times New Roman" w:hAnsi="Times New Roman" w:cs="Times New Roman"/>
          <w:sz w:val="24"/>
          <w:szCs w:val="24"/>
          <w:lang w:val="bg-BG"/>
        </w:rPr>
        <w:t>1%</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от населението на общината. Общо в 8 общини този дял е под общия за страната, като на</w:t>
      </w:r>
      <w:r w:rsidR="000434A3" w:rsidRPr="00610B1B">
        <w:rPr>
          <w:rFonts w:ascii="Times New Roman" w:hAnsi="Times New Roman" w:cs="Times New Roman"/>
          <w:sz w:val="24"/>
          <w:szCs w:val="24"/>
          <w:lang w:val="bg-BG"/>
        </w:rPr>
        <w:t>й-нисък е в общините Шабла – 10,7%, Приморско – 12,1% и Созопол – 12,</w:t>
      </w:r>
      <w:r w:rsidRPr="00610B1B">
        <w:rPr>
          <w:rFonts w:ascii="Times New Roman" w:hAnsi="Times New Roman" w:cs="Times New Roman"/>
          <w:sz w:val="24"/>
          <w:szCs w:val="24"/>
          <w:lang w:val="bg-BG"/>
        </w:rPr>
        <w:t>2%.</w:t>
      </w:r>
    </w:p>
    <w:p w14:paraId="3DD4DE0A" w14:textId="6E3012F9" w:rsidR="0082227D" w:rsidRPr="00610B1B" w:rsidRDefault="0082227D"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Към 31.12.2018 г. населението във </w:t>
      </w:r>
      <w:r w:rsidRPr="00610B1B">
        <w:rPr>
          <w:rFonts w:ascii="Times New Roman" w:hAnsi="Times New Roman" w:cs="Times New Roman"/>
          <w:b/>
          <w:sz w:val="24"/>
          <w:szCs w:val="24"/>
          <w:lang w:val="bg-BG"/>
        </w:rPr>
        <w:t>възрастовата група 15 - 64 години</w:t>
      </w:r>
      <w:r w:rsidRPr="00610B1B">
        <w:rPr>
          <w:rFonts w:ascii="Times New Roman" w:hAnsi="Times New Roman" w:cs="Times New Roman"/>
          <w:sz w:val="24"/>
          <w:szCs w:val="24"/>
          <w:lang w:val="bg-BG"/>
        </w:rPr>
        <w:t xml:space="preserve"> в съставните общини е 479 310 души</w:t>
      </w:r>
      <w:r w:rsidR="000434A3" w:rsidRPr="00610B1B">
        <w:rPr>
          <w:rFonts w:ascii="Times New Roman" w:hAnsi="Times New Roman" w:cs="Times New Roman"/>
          <w:bCs/>
          <w:sz w:val="24"/>
          <w:szCs w:val="24"/>
          <w:lang w:val="bg-BG"/>
        </w:rPr>
        <w:t>, или 66,</w:t>
      </w:r>
      <w:r w:rsidRPr="00610B1B">
        <w:rPr>
          <w:rFonts w:ascii="Times New Roman" w:hAnsi="Times New Roman" w:cs="Times New Roman"/>
          <w:bCs/>
          <w:sz w:val="24"/>
          <w:szCs w:val="24"/>
          <w:lang w:val="bg-BG"/>
        </w:rPr>
        <w:t>0% от общия брой на населението,</w:t>
      </w:r>
      <w:r w:rsidRPr="00610B1B">
        <w:rPr>
          <w:rFonts w:ascii="Times New Roman" w:hAnsi="Times New Roman" w:cs="Times New Roman"/>
          <w:b/>
          <w:bCs/>
          <w:sz w:val="24"/>
          <w:szCs w:val="24"/>
          <w:lang w:val="bg-BG"/>
        </w:rPr>
        <w:t xml:space="preserve"> </w:t>
      </w:r>
      <w:r w:rsidRPr="00610B1B">
        <w:rPr>
          <w:rFonts w:ascii="Times New Roman" w:hAnsi="Times New Roman" w:cs="Times New Roman"/>
          <w:sz w:val="24"/>
          <w:szCs w:val="24"/>
          <w:lang w:val="bg-BG"/>
        </w:rPr>
        <w:t>като за страната средния</w:t>
      </w:r>
      <w:r w:rsidR="007C3109" w:rsidRPr="00610B1B">
        <w:rPr>
          <w:rFonts w:ascii="Times New Roman" w:hAnsi="Times New Roman" w:cs="Times New Roman"/>
          <w:sz w:val="24"/>
          <w:szCs w:val="24"/>
          <w:lang w:val="bg-BG"/>
        </w:rPr>
        <w:t>т</w:t>
      </w:r>
      <w:r w:rsidR="000434A3" w:rsidRPr="00610B1B">
        <w:rPr>
          <w:rFonts w:ascii="Times New Roman" w:hAnsi="Times New Roman" w:cs="Times New Roman"/>
          <w:sz w:val="24"/>
          <w:szCs w:val="24"/>
          <w:lang w:val="bg-BG"/>
        </w:rPr>
        <w:t xml:space="preserve"> дял е</w:t>
      </w:r>
      <w:r w:rsidR="00D66FE0" w:rsidRPr="00610B1B">
        <w:rPr>
          <w:rFonts w:ascii="Times New Roman" w:hAnsi="Times New Roman" w:cs="Times New Roman"/>
          <w:sz w:val="24"/>
          <w:szCs w:val="24"/>
          <w:lang w:val="bg-BG"/>
        </w:rPr>
        <w:t xml:space="preserve"> </w:t>
      </w:r>
      <w:r w:rsidR="000434A3" w:rsidRPr="00610B1B">
        <w:rPr>
          <w:rFonts w:ascii="Times New Roman" w:hAnsi="Times New Roman" w:cs="Times New Roman"/>
          <w:sz w:val="24"/>
          <w:szCs w:val="24"/>
          <w:lang w:val="bg-BG"/>
        </w:rPr>
        <w:t>64,</w:t>
      </w:r>
      <w:r w:rsidRPr="00610B1B">
        <w:rPr>
          <w:rFonts w:ascii="Times New Roman" w:hAnsi="Times New Roman" w:cs="Times New Roman"/>
          <w:sz w:val="24"/>
          <w:szCs w:val="24"/>
          <w:lang w:val="bg-BG"/>
        </w:rPr>
        <w:t>4%, или Черноморските общини имат по-благоприятен дял с 1.6 процентни пункта.</w:t>
      </w:r>
      <w:r w:rsidR="00620116"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Относителният дял на населението в тази възрастова група е най-висок в общините Варна – 66</w:t>
      </w:r>
      <w:r w:rsidR="000434A3"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9%, Бургас – 65</w:t>
      </w:r>
      <w:r w:rsidR="000434A3"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9%, Поморие – 65</w:t>
      </w:r>
      <w:r w:rsidR="000434A3"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3% и Приморско </w:t>
      </w:r>
      <w:r w:rsidR="000434A3"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65</w:t>
      </w:r>
      <w:r w:rsidR="000434A3"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2% от населението на общината. В</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6 общини </w:t>
      </w:r>
      <w:r w:rsidR="005D581C" w:rsidRPr="00610B1B">
        <w:rPr>
          <w:rFonts w:ascii="Times New Roman" w:hAnsi="Times New Roman" w:cs="Times New Roman"/>
          <w:sz w:val="24"/>
          <w:szCs w:val="24"/>
          <w:lang w:val="bg-BG"/>
        </w:rPr>
        <w:t>той</w:t>
      </w:r>
      <w:r w:rsidRPr="00610B1B">
        <w:rPr>
          <w:rFonts w:ascii="Times New Roman" w:hAnsi="Times New Roman" w:cs="Times New Roman"/>
          <w:sz w:val="24"/>
          <w:szCs w:val="24"/>
          <w:lang w:val="bg-BG"/>
        </w:rPr>
        <w:t xml:space="preserve"> е под общия за страната</w:t>
      </w:r>
      <w:r w:rsidR="007C3109" w:rsidRPr="00610B1B">
        <w:rPr>
          <w:rFonts w:ascii="Times New Roman" w:hAnsi="Times New Roman" w:cs="Times New Roman"/>
          <w:sz w:val="24"/>
          <w:szCs w:val="24"/>
          <w:lang w:val="bg-BG"/>
        </w:rPr>
        <w:t xml:space="preserve"> и е </w:t>
      </w:r>
      <w:r w:rsidRPr="00610B1B">
        <w:rPr>
          <w:rFonts w:ascii="Times New Roman" w:hAnsi="Times New Roman" w:cs="Times New Roman"/>
          <w:sz w:val="24"/>
          <w:szCs w:val="24"/>
          <w:lang w:val="bg-BG"/>
        </w:rPr>
        <w:t>най-нисък в общините Шабла – 58</w:t>
      </w:r>
      <w:r w:rsidR="000434A3"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5%, Аврен – 60</w:t>
      </w:r>
      <w:r w:rsidR="000434A3"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0% и Бяла – 62</w:t>
      </w:r>
      <w:r w:rsidR="000434A3"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1% </w:t>
      </w:r>
    </w:p>
    <w:p w14:paraId="4E120C24" w14:textId="6AC2F0AE" w:rsidR="007C3109" w:rsidRPr="00610B1B" w:rsidRDefault="00E57141" w:rsidP="00261A06">
      <w:pPr>
        <w:spacing w:after="60" w:line="240" w:lineRule="auto"/>
        <w:ind w:right="-612"/>
        <w:jc w:val="both"/>
        <w:rPr>
          <w:rFonts w:ascii="Times New Roman" w:eastAsia="Lohit Devanagari" w:hAnsi="Times New Roman" w:cs="Times New Roman"/>
          <w:color w:val="00000A"/>
          <w:sz w:val="24"/>
          <w:szCs w:val="24"/>
          <w:lang w:val="bg-BG"/>
        </w:rPr>
      </w:pPr>
      <w:bookmarkStart w:id="310" w:name="_Toc83391601"/>
      <w:r w:rsidRPr="00610B1B">
        <w:rPr>
          <w:rFonts w:ascii="Times New Roman" w:eastAsia="Lohit Devanagari" w:hAnsi="Times New Roman" w:cs="Times New Roman"/>
          <w:color w:val="00000A"/>
          <w:sz w:val="24"/>
          <w:szCs w:val="24"/>
          <w:lang w:val="bg-BG"/>
        </w:rPr>
        <w:t xml:space="preserve">Таблица </w:t>
      </w:r>
      <w:r w:rsidRPr="00610B1B">
        <w:rPr>
          <w:rFonts w:ascii="Times New Roman" w:eastAsia="Lohit Devanagari" w:hAnsi="Times New Roman" w:cs="Times New Roman"/>
          <w:color w:val="00000A"/>
          <w:sz w:val="24"/>
          <w:szCs w:val="24"/>
          <w:lang w:val="bg-BG"/>
        </w:rPr>
        <w:fldChar w:fldCharType="begin"/>
      </w:r>
      <w:r w:rsidRPr="00610B1B">
        <w:rPr>
          <w:rFonts w:ascii="Times New Roman" w:eastAsia="Lohit Devanagari" w:hAnsi="Times New Roman" w:cs="Times New Roman"/>
          <w:color w:val="00000A"/>
          <w:sz w:val="24"/>
          <w:szCs w:val="24"/>
          <w:lang w:val="bg-BG"/>
        </w:rPr>
        <w:instrText xml:space="preserve"> SEQ Таблица \* ARABIC </w:instrText>
      </w:r>
      <w:r w:rsidRPr="00610B1B">
        <w:rPr>
          <w:rFonts w:ascii="Times New Roman" w:eastAsia="Lohit Devanagari" w:hAnsi="Times New Roman" w:cs="Times New Roman"/>
          <w:color w:val="00000A"/>
          <w:sz w:val="24"/>
          <w:szCs w:val="24"/>
          <w:lang w:val="bg-BG"/>
        </w:rPr>
        <w:fldChar w:fldCharType="separate"/>
      </w:r>
      <w:r w:rsidR="00260629" w:rsidRPr="00610B1B">
        <w:rPr>
          <w:rFonts w:ascii="Times New Roman" w:eastAsia="Lohit Devanagari" w:hAnsi="Times New Roman" w:cs="Times New Roman"/>
          <w:noProof/>
          <w:color w:val="00000A"/>
          <w:sz w:val="24"/>
          <w:szCs w:val="24"/>
          <w:lang w:val="bg-BG"/>
        </w:rPr>
        <w:t>5</w:t>
      </w:r>
      <w:r w:rsidRPr="00610B1B">
        <w:rPr>
          <w:rFonts w:ascii="Times New Roman" w:eastAsia="Lohit Devanagari" w:hAnsi="Times New Roman" w:cs="Times New Roman"/>
          <w:color w:val="00000A"/>
          <w:sz w:val="24"/>
          <w:szCs w:val="24"/>
          <w:lang w:val="bg-BG"/>
        </w:rPr>
        <w:fldChar w:fldCharType="end"/>
      </w:r>
      <w:r w:rsidRPr="00610B1B">
        <w:rPr>
          <w:rFonts w:ascii="Times New Roman" w:eastAsia="Lohit Devanagari" w:hAnsi="Times New Roman" w:cs="Times New Roman"/>
          <w:color w:val="00000A"/>
          <w:sz w:val="24"/>
          <w:szCs w:val="24"/>
          <w:lang w:val="bg-BG"/>
        </w:rPr>
        <w:t xml:space="preserve">: </w:t>
      </w:r>
      <w:r w:rsidR="007C3109" w:rsidRPr="00610B1B">
        <w:rPr>
          <w:rFonts w:ascii="Times New Roman" w:eastAsia="Lohit Devanagari" w:hAnsi="Times New Roman" w:cs="Times New Roman"/>
          <w:color w:val="00000A"/>
          <w:sz w:val="24"/>
          <w:szCs w:val="24"/>
          <w:lang w:val="bg-BG"/>
        </w:rPr>
        <w:t>Население към 31.12.2018 г. в Черноморските общини по основни възрастови групи</w:t>
      </w:r>
      <w:bookmarkEnd w:id="310"/>
    </w:p>
    <w:tbl>
      <w:tblPr>
        <w:tblW w:w="8587" w:type="dxa"/>
        <w:tblInd w:w="55" w:type="dxa"/>
        <w:tblBorders>
          <w:top w:val="single" w:sz="4" w:space="0" w:color="auto"/>
          <w:bottom w:val="single" w:sz="4" w:space="0" w:color="auto"/>
          <w:insideH w:val="single" w:sz="4" w:space="0" w:color="auto"/>
        </w:tblBorders>
        <w:tblCellMar>
          <w:left w:w="70" w:type="dxa"/>
          <w:right w:w="70" w:type="dxa"/>
        </w:tblCellMar>
        <w:tblLook w:val="0000" w:firstRow="0" w:lastRow="0" w:firstColumn="0" w:lastColumn="0" w:noHBand="0" w:noVBand="0"/>
      </w:tblPr>
      <w:tblGrid>
        <w:gridCol w:w="1783"/>
        <w:gridCol w:w="1020"/>
        <w:gridCol w:w="1020"/>
        <w:gridCol w:w="1020"/>
        <w:gridCol w:w="1020"/>
        <w:gridCol w:w="881"/>
        <w:gridCol w:w="993"/>
        <w:gridCol w:w="850"/>
      </w:tblGrid>
      <w:tr w:rsidR="00325553" w:rsidRPr="00610B1B" w14:paraId="275CE966" w14:textId="77777777" w:rsidTr="001E3FED">
        <w:trPr>
          <w:trHeight w:val="255"/>
          <w:tblHeader/>
        </w:trPr>
        <w:tc>
          <w:tcPr>
            <w:tcW w:w="1783" w:type="dxa"/>
            <w:vMerge w:val="restart"/>
            <w:shd w:val="clear" w:color="auto" w:fill="C6D9F1" w:themeFill="text2" w:themeFillTint="33"/>
            <w:noWrap/>
            <w:vAlign w:val="center"/>
          </w:tcPr>
          <w:p w14:paraId="5368B91E" w14:textId="77777777" w:rsidR="00325553" w:rsidRPr="00610B1B" w:rsidRDefault="00325553" w:rsidP="00D32D6A">
            <w:pPr>
              <w:spacing w:after="0" w:line="240" w:lineRule="auto"/>
              <w:jc w:val="center"/>
              <w:rPr>
                <w:rFonts w:ascii="Times New Roman" w:hAnsi="Times New Roman" w:cs="Times New Roman"/>
                <w:b/>
                <w:bCs/>
                <w:color w:val="000000"/>
                <w:lang w:val="bg-BG"/>
              </w:rPr>
            </w:pPr>
            <w:r w:rsidRPr="00610B1B">
              <w:rPr>
                <w:rFonts w:ascii="Times New Roman" w:hAnsi="Times New Roman" w:cs="Times New Roman"/>
                <w:b/>
                <w:bCs/>
                <w:color w:val="000000"/>
                <w:lang w:val="bg-BG"/>
              </w:rPr>
              <w:t>Общини</w:t>
            </w:r>
          </w:p>
        </w:tc>
        <w:tc>
          <w:tcPr>
            <w:tcW w:w="1020" w:type="dxa"/>
            <w:shd w:val="clear" w:color="auto" w:fill="C6D9F1" w:themeFill="text2" w:themeFillTint="33"/>
            <w:noWrap/>
            <w:vAlign w:val="bottom"/>
          </w:tcPr>
          <w:p w14:paraId="73928352" w14:textId="77777777" w:rsidR="00325553" w:rsidRPr="00610B1B" w:rsidRDefault="00325553" w:rsidP="00D32D6A">
            <w:pPr>
              <w:spacing w:after="0" w:line="240" w:lineRule="auto"/>
              <w:jc w:val="center"/>
              <w:rPr>
                <w:rFonts w:ascii="Times New Roman" w:hAnsi="Times New Roman" w:cs="Times New Roman"/>
                <w:b/>
                <w:bCs/>
                <w:color w:val="000000"/>
                <w:lang w:val="bg-BG"/>
              </w:rPr>
            </w:pPr>
            <w:r w:rsidRPr="00610B1B">
              <w:rPr>
                <w:rFonts w:ascii="Times New Roman" w:hAnsi="Times New Roman" w:cs="Times New Roman"/>
                <w:b/>
                <w:bCs/>
                <w:color w:val="000000"/>
                <w:lang w:val="bg-BG"/>
              </w:rPr>
              <w:t>Общо</w:t>
            </w:r>
          </w:p>
        </w:tc>
        <w:tc>
          <w:tcPr>
            <w:tcW w:w="1020" w:type="dxa"/>
            <w:shd w:val="clear" w:color="auto" w:fill="C6D9F1" w:themeFill="text2" w:themeFillTint="33"/>
            <w:noWrap/>
            <w:vAlign w:val="bottom"/>
          </w:tcPr>
          <w:p w14:paraId="56C4CF4F" w14:textId="77777777" w:rsidR="00325553" w:rsidRPr="00610B1B" w:rsidRDefault="00325553" w:rsidP="00D32D6A">
            <w:pPr>
              <w:spacing w:after="0" w:line="240" w:lineRule="auto"/>
              <w:jc w:val="center"/>
              <w:rPr>
                <w:rFonts w:ascii="Times New Roman" w:hAnsi="Times New Roman" w:cs="Times New Roman"/>
                <w:b/>
                <w:bCs/>
                <w:color w:val="000000"/>
                <w:lang w:val="bg-BG"/>
              </w:rPr>
            </w:pPr>
            <w:r w:rsidRPr="00610B1B">
              <w:rPr>
                <w:rFonts w:ascii="Times New Roman" w:hAnsi="Times New Roman" w:cs="Times New Roman"/>
                <w:b/>
                <w:bCs/>
                <w:color w:val="000000"/>
                <w:lang w:val="bg-BG"/>
              </w:rPr>
              <w:t>0-14</w:t>
            </w:r>
          </w:p>
        </w:tc>
        <w:tc>
          <w:tcPr>
            <w:tcW w:w="1020" w:type="dxa"/>
            <w:shd w:val="clear" w:color="auto" w:fill="C6D9F1" w:themeFill="text2" w:themeFillTint="33"/>
            <w:noWrap/>
            <w:vAlign w:val="bottom"/>
          </w:tcPr>
          <w:p w14:paraId="5751E08A" w14:textId="77777777" w:rsidR="00325553" w:rsidRPr="00610B1B" w:rsidRDefault="00325553" w:rsidP="00D32D6A">
            <w:pPr>
              <w:spacing w:after="0" w:line="240" w:lineRule="auto"/>
              <w:jc w:val="center"/>
              <w:rPr>
                <w:rFonts w:ascii="Times New Roman" w:hAnsi="Times New Roman" w:cs="Times New Roman"/>
                <w:b/>
                <w:bCs/>
                <w:color w:val="000000"/>
                <w:lang w:val="bg-BG"/>
              </w:rPr>
            </w:pPr>
            <w:r w:rsidRPr="00610B1B">
              <w:rPr>
                <w:rFonts w:ascii="Times New Roman" w:hAnsi="Times New Roman" w:cs="Times New Roman"/>
                <w:b/>
                <w:bCs/>
                <w:color w:val="000000"/>
                <w:lang w:val="bg-BG"/>
              </w:rPr>
              <w:t>15-64</w:t>
            </w:r>
          </w:p>
        </w:tc>
        <w:tc>
          <w:tcPr>
            <w:tcW w:w="1020" w:type="dxa"/>
            <w:shd w:val="clear" w:color="auto" w:fill="C6D9F1" w:themeFill="text2" w:themeFillTint="33"/>
            <w:noWrap/>
            <w:vAlign w:val="bottom"/>
          </w:tcPr>
          <w:p w14:paraId="7B1FFBF9" w14:textId="77777777" w:rsidR="00325553" w:rsidRPr="00610B1B" w:rsidRDefault="00325553" w:rsidP="00D32D6A">
            <w:pPr>
              <w:spacing w:after="0" w:line="240" w:lineRule="auto"/>
              <w:jc w:val="center"/>
              <w:rPr>
                <w:rFonts w:ascii="Times New Roman" w:hAnsi="Times New Roman" w:cs="Times New Roman"/>
                <w:b/>
                <w:bCs/>
                <w:color w:val="000000"/>
                <w:lang w:val="bg-BG"/>
              </w:rPr>
            </w:pPr>
            <w:r w:rsidRPr="00610B1B">
              <w:rPr>
                <w:rFonts w:ascii="Times New Roman" w:hAnsi="Times New Roman" w:cs="Times New Roman"/>
                <w:b/>
                <w:bCs/>
                <w:color w:val="000000"/>
                <w:lang w:val="bg-BG"/>
              </w:rPr>
              <w:t>65+</w:t>
            </w:r>
          </w:p>
        </w:tc>
        <w:tc>
          <w:tcPr>
            <w:tcW w:w="881" w:type="dxa"/>
            <w:shd w:val="clear" w:color="auto" w:fill="C6D9F1" w:themeFill="text2" w:themeFillTint="33"/>
            <w:vAlign w:val="bottom"/>
          </w:tcPr>
          <w:p w14:paraId="73278280" w14:textId="5FC4D937" w:rsidR="00325553" w:rsidRPr="00610B1B" w:rsidRDefault="00325553" w:rsidP="00D32D6A">
            <w:pPr>
              <w:spacing w:after="0" w:line="240" w:lineRule="auto"/>
              <w:jc w:val="center"/>
              <w:rPr>
                <w:rFonts w:ascii="Times New Roman" w:hAnsi="Times New Roman" w:cs="Times New Roman"/>
                <w:b/>
                <w:bCs/>
                <w:color w:val="000000"/>
                <w:lang w:val="bg-BG"/>
              </w:rPr>
            </w:pPr>
            <w:r w:rsidRPr="00610B1B">
              <w:rPr>
                <w:rFonts w:ascii="Times New Roman" w:hAnsi="Times New Roman" w:cs="Times New Roman"/>
                <w:b/>
                <w:bCs/>
                <w:color w:val="000000"/>
                <w:lang w:val="bg-BG"/>
              </w:rPr>
              <w:t>0-14 %</w:t>
            </w:r>
          </w:p>
        </w:tc>
        <w:tc>
          <w:tcPr>
            <w:tcW w:w="993" w:type="dxa"/>
            <w:shd w:val="clear" w:color="auto" w:fill="C6D9F1" w:themeFill="text2" w:themeFillTint="33"/>
            <w:vAlign w:val="bottom"/>
          </w:tcPr>
          <w:p w14:paraId="0C13C845" w14:textId="3BD4F0D2" w:rsidR="00325553" w:rsidRPr="00610B1B" w:rsidRDefault="00325553" w:rsidP="00D32D6A">
            <w:pPr>
              <w:spacing w:after="0" w:line="240" w:lineRule="auto"/>
              <w:jc w:val="center"/>
              <w:rPr>
                <w:rFonts w:ascii="Times New Roman" w:hAnsi="Times New Roman" w:cs="Times New Roman"/>
                <w:b/>
                <w:bCs/>
                <w:color w:val="000000"/>
                <w:lang w:val="bg-BG"/>
              </w:rPr>
            </w:pPr>
            <w:r w:rsidRPr="00610B1B">
              <w:rPr>
                <w:rFonts w:ascii="Times New Roman" w:hAnsi="Times New Roman" w:cs="Times New Roman"/>
                <w:b/>
                <w:bCs/>
                <w:color w:val="000000"/>
                <w:lang w:val="bg-BG"/>
              </w:rPr>
              <w:t>15-64 %</w:t>
            </w:r>
          </w:p>
        </w:tc>
        <w:tc>
          <w:tcPr>
            <w:tcW w:w="850" w:type="dxa"/>
            <w:shd w:val="clear" w:color="auto" w:fill="C6D9F1" w:themeFill="text2" w:themeFillTint="33"/>
            <w:vAlign w:val="bottom"/>
          </w:tcPr>
          <w:p w14:paraId="06B3FC37" w14:textId="411079D2" w:rsidR="00325553" w:rsidRPr="00610B1B" w:rsidRDefault="00325553" w:rsidP="00D32D6A">
            <w:pPr>
              <w:spacing w:after="0" w:line="240" w:lineRule="auto"/>
              <w:jc w:val="center"/>
              <w:rPr>
                <w:rFonts w:ascii="Times New Roman" w:hAnsi="Times New Roman" w:cs="Times New Roman"/>
                <w:b/>
                <w:bCs/>
                <w:color w:val="000000"/>
                <w:lang w:val="bg-BG"/>
              </w:rPr>
            </w:pPr>
            <w:r w:rsidRPr="00610B1B">
              <w:rPr>
                <w:rFonts w:ascii="Times New Roman" w:hAnsi="Times New Roman" w:cs="Times New Roman"/>
                <w:b/>
                <w:bCs/>
                <w:color w:val="000000"/>
                <w:lang w:val="bg-BG"/>
              </w:rPr>
              <w:t>65 + %</w:t>
            </w:r>
          </w:p>
        </w:tc>
      </w:tr>
      <w:tr w:rsidR="00325553" w:rsidRPr="00610B1B" w14:paraId="7CAB7C79" w14:textId="77777777" w:rsidTr="001E3FED">
        <w:trPr>
          <w:trHeight w:val="300"/>
          <w:tblHeader/>
        </w:trPr>
        <w:tc>
          <w:tcPr>
            <w:tcW w:w="1783" w:type="dxa"/>
            <w:vMerge/>
            <w:shd w:val="clear" w:color="auto" w:fill="C6D9F1" w:themeFill="text2" w:themeFillTint="33"/>
            <w:vAlign w:val="center"/>
          </w:tcPr>
          <w:p w14:paraId="3272AAD3" w14:textId="77777777" w:rsidR="00325553" w:rsidRPr="00610B1B" w:rsidRDefault="00325553" w:rsidP="00D32D6A">
            <w:pPr>
              <w:spacing w:after="0" w:line="240" w:lineRule="auto"/>
              <w:rPr>
                <w:rFonts w:ascii="Times New Roman" w:hAnsi="Times New Roman" w:cs="Times New Roman"/>
                <w:b/>
                <w:bCs/>
                <w:color w:val="000000"/>
                <w:lang w:val="bg-BG"/>
              </w:rPr>
            </w:pPr>
          </w:p>
        </w:tc>
        <w:tc>
          <w:tcPr>
            <w:tcW w:w="4080" w:type="dxa"/>
            <w:gridSpan w:val="4"/>
            <w:shd w:val="clear" w:color="auto" w:fill="C6D9F1" w:themeFill="text2" w:themeFillTint="33"/>
            <w:noWrap/>
            <w:vAlign w:val="bottom"/>
          </w:tcPr>
          <w:p w14:paraId="7410200A" w14:textId="77777777" w:rsidR="00325553" w:rsidRPr="00610B1B" w:rsidRDefault="00325553" w:rsidP="00D32D6A">
            <w:pPr>
              <w:spacing w:after="0" w:line="240" w:lineRule="auto"/>
              <w:jc w:val="center"/>
              <w:rPr>
                <w:rFonts w:ascii="Times New Roman" w:hAnsi="Times New Roman" w:cs="Times New Roman"/>
                <w:b/>
                <w:bCs/>
                <w:color w:val="000000"/>
                <w:lang w:val="bg-BG"/>
              </w:rPr>
            </w:pPr>
            <w:r w:rsidRPr="00610B1B">
              <w:rPr>
                <w:rFonts w:ascii="Times New Roman" w:hAnsi="Times New Roman" w:cs="Times New Roman"/>
                <w:b/>
                <w:bCs/>
                <w:color w:val="000000"/>
                <w:lang w:val="bg-BG"/>
              </w:rPr>
              <w:t>брой</w:t>
            </w:r>
          </w:p>
        </w:tc>
        <w:tc>
          <w:tcPr>
            <w:tcW w:w="2724" w:type="dxa"/>
            <w:gridSpan w:val="3"/>
            <w:shd w:val="clear" w:color="auto" w:fill="C6D9F1" w:themeFill="text2" w:themeFillTint="33"/>
            <w:vAlign w:val="bottom"/>
          </w:tcPr>
          <w:p w14:paraId="33787EB9" w14:textId="4DC65D03" w:rsidR="00325553" w:rsidRPr="00610B1B" w:rsidRDefault="00325553" w:rsidP="00D32D6A">
            <w:pPr>
              <w:spacing w:after="0" w:line="240" w:lineRule="auto"/>
              <w:jc w:val="center"/>
              <w:rPr>
                <w:rFonts w:ascii="Times New Roman" w:hAnsi="Times New Roman" w:cs="Times New Roman"/>
                <w:b/>
                <w:bCs/>
                <w:lang w:val="bg-BG"/>
              </w:rPr>
            </w:pPr>
            <w:r w:rsidRPr="00610B1B">
              <w:rPr>
                <w:rFonts w:ascii="Times New Roman" w:hAnsi="Times New Roman" w:cs="Times New Roman"/>
                <w:b/>
                <w:bCs/>
                <w:lang w:val="bg-BG"/>
              </w:rPr>
              <w:t>относителен дял - %</w:t>
            </w:r>
          </w:p>
        </w:tc>
      </w:tr>
      <w:tr w:rsidR="00325553" w:rsidRPr="00610B1B" w14:paraId="6C752D0A" w14:textId="77777777" w:rsidTr="001E3FED">
        <w:trPr>
          <w:trHeight w:val="255"/>
        </w:trPr>
        <w:tc>
          <w:tcPr>
            <w:tcW w:w="1783" w:type="dxa"/>
            <w:shd w:val="clear" w:color="auto" w:fill="auto"/>
            <w:noWrap/>
            <w:vAlign w:val="bottom"/>
          </w:tcPr>
          <w:p w14:paraId="59D3185B" w14:textId="77777777" w:rsidR="00325553" w:rsidRPr="00610B1B" w:rsidRDefault="00325553" w:rsidP="00D32D6A">
            <w:pPr>
              <w:spacing w:after="0" w:line="240" w:lineRule="auto"/>
              <w:rPr>
                <w:rFonts w:ascii="Times New Roman" w:hAnsi="Times New Roman" w:cs="Times New Roman"/>
                <w:b/>
                <w:bCs/>
                <w:color w:val="000000"/>
                <w:lang w:val="bg-BG"/>
              </w:rPr>
            </w:pPr>
            <w:r w:rsidRPr="00610B1B">
              <w:rPr>
                <w:rFonts w:ascii="Times New Roman" w:hAnsi="Times New Roman" w:cs="Times New Roman"/>
                <w:b/>
                <w:bCs/>
                <w:color w:val="000000"/>
                <w:lang w:val="bg-BG"/>
              </w:rPr>
              <w:t>България</w:t>
            </w:r>
          </w:p>
        </w:tc>
        <w:tc>
          <w:tcPr>
            <w:tcW w:w="1020" w:type="dxa"/>
            <w:shd w:val="clear" w:color="auto" w:fill="auto"/>
            <w:noWrap/>
            <w:vAlign w:val="bottom"/>
          </w:tcPr>
          <w:p w14:paraId="125A3234" w14:textId="76626A7F" w:rsidR="00325553" w:rsidRPr="00610B1B" w:rsidRDefault="00325553" w:rsidP="00D32D6A">
            <w:pPr>
              <w:spacing w:after="0" w:line="240" w:lineRule="auto"/>
              <w:jc w:val="right"/>
              <w:rPr>
                <w:rFonts w:ascii="Times New Roman" w:hAnsi="Times New Roman" w:cs="Times New Roman"/>
                <w:b/>
                <w:bCs/>
                <w:color w:val="000000"/>
                <w:lang w:val="bg-BG"/>
              </w:rPr>
            </w:pPr>
            <w:r w:rsidRPr="00610B1B">
              <w:rPr>
                <w:rFonts w:ascii="Times New Roman" w:hAnsi="Times New Roman" w:cs="Times New Roman"/>
                <w:b/>
                <w:bCs/>
                <w:color w:val="000000"/>
                <w:lang w:val="bg-BG"/>
              </w:rPr>
              <w:t>7 000 039</w:t>
            </w:r>
          </w:p>
        </w:tc>
        <w:tc>
          <w:tcPr>
            <w:tcW w:w="1020" w:type="dxa"/>
            <w:shd w:val="clear" w:color="auto" w:fill="auto"/>
            <w:noWrap/>
            <w:vAlign w:val="bottom"/>
          </w:tcPr>
          <w:p w14:paraId="2944B1E2" w14:textId="657A3FB2" w:rsidR="00325553" w:rsidRPr="00610B1B" w:rsidRDefault="00325553" w:rsidP="00D32D6A">
            <w:pPr>
              <w:spacing w:after="0" w:line="240" w:lineRule="auto"/>
              <w:jc w:val="right"/>
              <w:rPr>
                <w:rFonts w:ascii="Times New Roman" w:hAnsi="Times New Roman" w:cs="Times New Roman"/>
                <w:b/>
                <w:bCs/>
                <w:color w:val="000000"/>
                <w:lang w:val="bg-BG"/>
              </w:rPr>
            </w:pPr>
            <w:r w:rsidRPr="00610B1B">
              <w:rPr>
                <w:rFonts w:ascii="Times New Roman" w:hAnsi="Times New Roman" w:cs="Times New Roman"/>
                <w:b/>
                <w:bCs/>
                <w:color w:val="000000"/>
                <w:lang w:val="bg-BG"/>
              </w:rPr>
              <w:t>1 004 845</w:t>
            </w:r>
          </w:p>
        </w:tc>
        <w:tc>
          <w:tcPr>
            <w:tcW w:w="1020" w:type="dxa"/>
            <w:shd w:val="clear" w:color="auto" w:fill="auto"/>
            <w:noWrap/>
            <w:vAlign w:val="bottom"/>
          </w:tcPr>
          <w:p w14:paraId="4B68FF65" w14:textId="4992B559" w:rsidR="00325553" w:rsidRPr="00610B1B" w:rsidRDefault="00325553" w:rsidP="00D32D6A">
            <w:pPr>
              <w:spacing w:after="0" w:line="240" w:lineRule="auto"/>
              <w:jc w:val="right"/>
              <w:rPr>
                <w:rFonts w:ascii="Times New Roman" w:hAnsi="Times New Roman" w:cs="Times New Roman"/>
                <w:b/>
                <w:bCs/>
                <w:color w:val="000000"/>
                <w:lang w:val="bg-BG"/>
              </w:rPr>
            </w:pPr>
            <w:r w:rsidRPr="00610B1B">
              <w:rPr>
                <w:rFonts w:ascii="Times New Roman" w:hAnsi="Times New Roman" w:cs="Times New Roman"/>
                <w:b/>
                <w:bCs/>
                <w:color w:val="000000"/>
                <w:lang w:val="bg-BG"/>
              </w:rPr>
              <w:t>4 502 075</w:t>
            </w:r>
          </w:p>
        </w:tc>
        <w:tc>
          <w:tcPr>
            <w:tcW w:w="1020" w:type="dxa"/>
            <w:shd w:val="clear" w:color="auto" w:fill="auto"/>
            <w:noWrap/>
            <w:vAlign w:val="bottom"/>
          </w:tcPr>
          <w:p w14:paraId="161AACCC" w14:textId="75685813" w:rsidR="00325553" w:rsidRPr="00610B1B" w:rsidRDefault="00325553"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1 493 119</w:t>
            </w:r>
          </w:p>
        </w:tc>
        <w:tc>
          <w:tcPr>
            <w:tcW w:w="881" w:type="dxa"/>
            <w:vAlign w:val="bottom"/>
          </w:tcPr>
          <w:p w14:paraId="04FB7161" w14:textId="316F72BF" w:rsidR="00325553" w:rsidRPr="00610B1B" w:rsidRDefault="00325553"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14,4</w:t>
            </w:r>
          </w:p>
        </w:tc>
        <w:tc>
          <w:tcPr>
            <w:tcW w:w="993" w:type="dxa"/>
            <w:vAlign w:val="bottom"/>
          </w:tcPr>
          <w:p w14:paraId="2A923443" w14:textId="514FFF21" w:rsidR="00325553" w:rsidRPr="00610B1B" w:rsidRDefault="00325553"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64,3</w:t>
            </w:r>
          </w:p>
        </w:tc>
        <w:tc>
          <w:tcPr>
            <w:tcW w:w="850" w:type="dxa"/>
            <w:vAlign w:val="bottom"/>
          </w:tcPr>
          <w:p w14:paraId="5E7E5BB2" w14:textId="79477E5E" w:rsidR="00325553" w:rsidRPr="00610B1B" w:rsidRDefault="00325553"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21,3</w:t>
            </w:r>
          </w:p>
        </w:tc>
      </w:tr>
      <w:tr w:rsidR="00325553" w:rsidRPr="00610B1B" w14:paraId="50644F6B" w14:textId="77777777" w:rsidTr="001E3FED">
        <w:trPr>
          <w:trHeight w:val="255"/>
        </w:trPr>
        <w:tc>
          <w:tcPr>
            <w:tcW w:w="1783" w:type="dxa"/>
            <w:shd w:val="clear" w:color="auto" w:fill="auto"/>
            <w:noWrap/>
            <w:vAlign w:val="bottom"/>
          </w:tcPr>
          <w:p w14:paraId="664DC859" w14:textId="77777777" w:rsidR="00325553" w:rsidRPr="00610B1B" w:rsidRDefault="00325553" w:rsidP="00D32D6A">
            <w:pPr>
              <w:spacing w:after="0" w:line="240" w:lineRule="auto"/>
              <w:rPr>
                <w:rFonts w:ascii="Times New Roman" w:hAnsi="Times New Roman" w:cs="Times New Roman"/>
                <w:b/>
                <w:bCs/>
                <w:color w:val="000000"/>
                <w:lang w:val="bg-BG"/>
              </w:rPr>
            </w:pPr>
            <w:r w:rsidRPr="00610B1B">
              <w:rPr>
                <w:rFonts w:ascii="Times New Roman" w:hAnsi="Times New Roman" w:cs="Times New Roman"/>
                <w:b/>
                <w:bCs/>
                <w:color w:val="000000"/>
                <w:lang w:val="bg-BG"/>
              </w:rPr>
              <w:t xml:space="preserve">Черноморки </w:t>
            </w:r>
          </w:p>
        </w:tc>
        <w:tc>
          <w:tcPr>
            <w:tcW w:w="1020" w:type="dxa"/>
            <w:shd w:val="clear" w:color="auto" w:fill="auto"/>
            <w:noWrap/>
            <w:vAlign w:val="bottom"/>
          </w:tcPr>
          <w:p w14:paraId="510BF7F1" w14:textId="456E7E8D" w:rsidR="00325553" w:rsidRPr="00610B1B" w:rsidRDefault="00325553"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726 745</w:t>
            </w:r>
          </w:p>
        </w:tc>
        <w:tc>
          <w:tcPr>
            <w:tcW w:w="1020" w:type="dxa"/>
            <w:shd w:val="clear" w:color="auto" w:fill="auto"/>
            <w:noWrap/>
            <w:vAlign w:val="bottom"/>
          </w:tcPr>
          <w:p w14:paraId="5333AAD2" w14:textId="1C71664E" w:rsidR="00325553" w:rsidRPr="00610B1B" w:rsidRDefault="00325553"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110 522</w:t>
            </w:r>
          </w:p>
        </w:tc>
        <w:tc>
          <w:tcPr>
            <w:tcW w:w="1020" w:type="dxa"/>
            <w:shd w:val="clear" w:color="auto" w:fill="auto"/>
            <w:noWrap/>
            <w:vAlign w:val="bottom"/>
          </w:tcPr>
          <w:p w14:paraId="002D2511" w14:textId="2AE7DF61" w:rsidR="00325553" w:rsidRPr="00610B1B" w:rsidRDefault="00325553"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479 310</w:t>
            </w:r>
          </w:p>
        </w:tc>
        <w:tc>
          <w:tcPr>
            <w:tcW w:w="1020" w:type="dxa"/>
            <w:shd w:val="clear" w:color="auto" w:fill="auto"/>
            <w:noWrap/>
            <w:vAlign w:val="bottom"/>
          </w:tcPr>
          <w:p w14:paraId="5EF3AA6E" w14:textId="3F07D7A0" w:rsidR="00325553" w:rsidRPr="00610B1B" w:rsidRDefault="00325553"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136 913</w:t>
            </w:r>
          </w:p>
        </w:tc>
        <w:tc>
          <w:tcPr>
            <w:tcW w:w="881" w:type="dxa"/>
            <w:vAlign w:val="bottom"/>
          </w:tcPr>
          <w:p w14:paraId="5997259C" w14:textId="1B91E16E" w:rsidR="00325553" w:rsidRPr="00610B1B" w:rsidRDefault="00325553"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15,2</w:t>
            </w:r>
          </w:p>
        </w:tc>
        <w:tc>
          <w:tcPr>
            <w:tcW w:w="993" w:type="dxa"/>
            <w:vAlign w:val="bottom"/>
          </w:tcPr>
          <w:p w14:paraId="7E2F83A0" w14:textId="3D39484A" w:rsidR="00325553" w:rsidRPr="00610B1B" w:rsidRDefault="00325553"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66,0</w:t>
            </w:r>
          </w:p>
        </w:tc>
        <w:tc>
          <w:tcPr>
            <w:tcW w:w="850" w:type="dxa"/>
            <w:vAlign w:val="bottom"/>
          </w:tcPr>
          <w:p w14:paraId="36D55B40" w14:textId="52DADFCD" w:rsidR="00325553" w:rsidRPr="00610B1B" w:rsidRDefault="00325553" w:rsidP="00D32D6A">
            <w:pPr>
              <w:spacing w:after="0" w:line="240" w:lineRule="auto"/>
              <w:jc w:val="right"/>
              <w:rPr>
                <w:rFonts w:ascii="Times New Roman" w:hAnsi="Times New Roman" w:cs="Times New Roman"/>
                <w:b/>
                <w:bCs/>
                <w:lang w:val="bg-BG"/>
              </w:rPr>
            </w:pPr>
            <w:r w:rsidRPr="00610B1B">
              <w:rPr>
                <w:rFonts w:ascii="Times New Roman" w:hAnsi="Times New Roman" w:cs="Times New Roman"/>
                <w:b/>
                <w:bCs/>
                <w:lang w:val="bg-BG"/>
              </w:rPr>
              <w:t>18,8</w:t>
            </w:r>
          </w:p>
        </w:tc>
      </w:tr>
      <w:tr w:rsidR="00325553" w:rsidRPr="00610B1B" w14:paraId="3C15720D" w14:textId="77777777" w:rsidTr="001E3FED">
        <w:trPr>
          <w:trHeight w:val="255"/>
        </w:trPr>
        <w:tc>
          <w:tcPr>
            <w:tcW w:w="1783" w:type="dxa"/>
            <w:shd w:val="clear" w:color="auto" w:fill="auto"/>
            <w:noWrap/>
            <w:vAlign w:val="bottom"/>
          </w:tcPr>
          <w:p w14:paraId="3347994F"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Шабла</w:t>
            </w:r>
          </w:p>
        </w:tc>
        <w:tc>
          <w:tcPr>
            <w:tcW w:w="1020" w:type="dxa"/>
            <w:shd w:val="clear" w:color="auto" w:fill="auto"/>
            <w:noWrap/>
            <w:vAlign w:val="bottom"/>
          </w:tcPr>
          <w:p w14:paraId="5CD13294" w14:textId="3AF9B440"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4 367</w:t>
            </w:r>
          </w:p>
        </w:tc>
        <w:tc>
          <w:tcPr>
            <w:tcW w:w="1020" w:type="dxa"/>
            <w:shd w:val="clear" w:color="auto" w:fill="auto"/>
            <w:noWrap/>
            <w:vAlign w:val="bottom"/>
          </w:tcPr>
          <w:p w14:paraId="608E5186" w14:textId="77777777"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468</w:t>
            </w:r>
          </w:p>
        </w:tc>
        <w:tc>
          <w:tcPr>
            <w:tcW w:w="1020" w:type="dxa"/>
            <w:shd w:val="clear" w:color="auto" w:fill="auto"/>
            <w:noWrap/>
            <w:vAlign w:val="bottom"/>
          </w:tcPr>
          <w:p w14:paraId="4EDA61E3" w14:textId="1138FB0B"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2 554</w:t>
            </w:r>
          </w:p>
        </w:tc>
        <w:tc>
          <w:tcPr>
            <w:tcW w:w="1020" w:type="dxa"/>
            <w:shd w:val="clear" w:color="auto" w:fill="auto"/>
            <w:noWrap/>
            <w:vAlign w:val="bottom"/>
          </w:tcPr>
          <w:p w14:paraId="2AEA23FF" w14:textId="50E771E9"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1 345</w:t>
            </w:r>
          </w:p>
        </w:tc>
        <w:tc>
          <w:tcPr>
            <w:tcW w:w="881" w:type="dxa"/>
            <w:vAlign w:val="bottom"/>
          </w:tcPr>
          <w:p w14:paraId="610DB052" w14:textId="4681FCD9"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10,7</w:t>
            </w:r>
          </w:p>
        </w:tc>
        <w:tc>
          <w:tcPr>
            <w:tcW w:w="993" w:type="dxa"/>
            <w:vAlign w:val="bottom"/>
          </w:tcPr>
          <w:p w14:paraId="583BDA2D" w14:textId="168AACA3"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58,5</w:t>
            </w:r>
          </w:p>
        </w:tc>
        <w:tc>
          <w:tcPr>
            <w:tcW w:w="850" w:type="dxa"/>
            <w:vAlign w:val="bottom"/>
          </w:tcPr>
          <w:p w14:paraId="3C71B262" w14:textId="1E59AEC2"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30,8</w:t>
            </w:r>
          </w:p>
        </w:tc>
      </w:tr>
      <w:tr w:rsidR="00325553" w:rsidRPr="00610B1B" w14:paraId="7F43B588" w14:textId="77777777" w:rsidTr="001E3FED">
        <w:trPr>
          <w:trHeight w:val="255"/>
        </w:trPr>
        <w:tc>
          <w:tcPr>
            <w:tcW w:w="1783" w:type="dxa"/>
            <w:shd w:val="clear" w:color="auto" w:fill="auto"/>
            <w:noWrap/>
            <w:vAlign w:val="bottom"/>
          </w:tcPr>
          <w:p w14:paraId="1DC53F41"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Каварна</w:t>
            </w:r>
          </w:p>
        </w:tc>
        <w:tc>
          <w:tcPr>
            <w:tcW w:w="1020" w:type="dxa"/>
            <w:shd w:val="clear" w:color="auto" w:fill="auto"/>
            <w:noWrap/>
            <w:vAlign w:val="bottom"/>
          </w:tcPr>
          <w:p w14:paraId="331874FC" w14:textId="1884CA9A"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14 020</w:t>
            </w:r>
          </w:p>
        </w:tc>
        <w:tc>
          <w:tcPr>
            <w:tcW w:w="1020" w:type="dxa"/>
            <w:shd w:val="clear" w:color="auto" w:fill="auto"/>
            <w:noWrap/>
            <w:vAlign w:val="bottom"/>
          </w:tcPr>
          <w:p w14:paraId="4C4CAF41" w14:textId="1FC2DA2F"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1 964</w:t>
            </w:r>
          </w:p>
        </w:tc>
        <w:tc>
          <w:tcPr>
            <w:tcW w:w="1020" w:type="dxa"/>
            <w:shd w:val="clear" w:color="auto" w:fill="auto"/>
            <w:noWrap/>
            <w:vAlign w:val="bottom"/>
          </w:tcPr>
          <w:p w14:paraId="34EC23EF" w14:textId="520390CA"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8 903</w:t>
            </w:r>
          </w:p>
        </w:tc>
        <w:tc>
          <w:tcPr>
            <w:tcW w:w="1020" w:type="dxa"/>
            <w:shd w:val="clear" w:color="auto" w:fill="auto"/>
            <w:noWrap/>
            <w:vAlign w:val="bottom"/>
          </w:tcPr>
          <w:p w14:paraId="622B6110" w14:textId="349EF345"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3 153</w:t>
            </w:r>
          </w:p>
        </w:tc>
        <w:tc>
          <w:tcPr>
            <w:tcW w:w="881" w:type="dxa"/>
            <w:vAlign w:val="bottom"/>
          </w:tcPr>
          <w:p w14:paraId="4F52A033" w14:textId="03CDDA0A"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14,0</w:t>
            </w:r>
          </w:p>
        </w:tc>
        <w:tc>
          <w:tcPr>
            <w:tcW w:w="993" w:type="dxa"/>
            <w:vAlign w:val="bottom"/>
          </w:tcPr>
          <w:p w14:paraId="7828144B" w14:textId="65322216"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63,5</w:t>
            </w:r>
          </w:p>
        </w:tc>
        <w:tc>
          <w:tcPr>
            <w:tcW w:w="850" w:type="dxa"/>
            <w:vAlign w:val="bottom"/>
          </w:tcPr>
          <w:p w14:paraId="3DA1ED8B" w14:textId="5DDE369D"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22,5</w:t>
            </w:r>
          </w:p>
        </w:tc>
      </w:tr>
      <w:tr w:rsidR="00325553" w:rsidRPr="00610B1B" w14:paraId="050A9586" w14:textId="77777777" w:rsidTr="001E3FED">
        <w:trPr>
          <w:trHeight w:val="255"/>
        </w:trPr>
        <w:tc>
          <w:tcPr>
            <w:tcW w:w="1783" w:type="dxa"/>
            <w:shd w:val="clear" w:color="auto" w:fill="auto"/>
            <w:noWrap/>
            <w:vAlign w:val="bottom"/>
          </w:tcPr>
          <w:p w14:paraId="63982023"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Балчик</w:t>
            </w:r>
          </w:p>
        </w:tc>
        <w:tc>
          <w:tcPr>
            <w:tcW w:w="1020" w:type="dxa"/>
            <w:shd w:val="clear" w:color="auto" w:fill="auto"/>
            <w:noWrap/>
            <w:vAlign w:val="bottom"/>
          </w:tcPr>
          <w:p w14:paraId="5E15C7B0" w14:textId="395D3722"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19 331</w:t>
            </w:r>
          </w:p>
        </w:tc>
        <w:tc>
          <w:tcPr>
            <w:tcW w:w="1020" w:type="dxa"/>
            <w:shd w:val="clear" w:color="auto" w:fill="auto"/>
            <w:noWrap/>
            <w:vAlign w:val="bottom"/>
          </w:tcPr>
          <w:p w14:paraId="049A9723" w14:textId="55BBC6B4"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2 674</w:t>
            </w:r>
          </w:p>
        </w:tc>
        <w:tc>
          <w:tcPr>
            <w:tcW w:w="1020" w:type="dxa"/>
            <w:shd w:val="clear" w:color="auto" w:fill="auto"/>
            <w:noWrap/>
            <w:vAlign w:val="bottom"/>
          </w:tcPr>
          <w:p w14:paraId="39A4D848" w14:textId="6DD66D45"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12 520</w:t>
            </w:r>
          </w:p>
        </w:tc>
        <w:tc>
          <w:tcPr>
            <w:tcW w:w="1020" w:type="dxa"/>
            <w:shd w:val="clear" w:color="auto" w:fill="auto"/>
            <w:noWrap/>
            <w:vAlign w:val="bottom"/>
          </w:tcPr>
          <w:p w14:paraId="040A0F56" w14:textId="750AA669"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4 137</w:t>
            </w:r>
          </w:p>
        </w:tc>
        <w:tc>
          <w:tcPr>
            <w:tcW w:w="881" w:type="dxa"/>
            <w:vAlign w:val="bottom"/>
          </w:tcPr>
          <w:p w14:paraId="25B8DCE1" w14:textId="0B3276DF"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13,8</w:t>
            </w:r>
          </w:p>
        </w:tc>
        <w:tc>
          <w:tcPr>
            <w:tcW w:w="993" w:type="dxa"/>
            <w:vAlign w:val="bottom"/>
          </w:tcPr>
          <w:p w14:paraId="665868F8" w14:textId="2FD8A82F"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64,8</w:t>
            </w:r>
          </w:p>
        </w:tc>
        <w:tc>
          <w:tcPr>
            <w:tcW w:w="850" w:type="dxa"/>
            <w:vAlign w:val="bottom"/>
          </w:tcPr>
          <w:p w14:paraId="38434B8E" w14:textId="77E5A57C"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21,4</w:t>
            </w:r>
          </w:p>
        </w:tc>
      </w:tr>
      <w:tr w:rsidR="00325553" w:rsidRPr="00610B1B" w14:paraId="37324E71" w14:textId="77777777" w:rsidTr="001E3FED">
        <w:trPr>
          <w:trHeight w:val="255"/>
        </w:trPr>
        <w:tc>
          <w:tcPr>
            <w:tcW w:w="1783" w:type="dxa"/>
            <w:shd w:val="clear" w:color="auto" w:fill="auto"/>
            <w:noWrap/>
            <w:vAlign w:val="bottom"/>
          </w:tcPr>
          <w:p w14:paraId="0216F8E5"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Аксаково</w:t>
            </w:r>
          </w:p>
        </w:tc>
        <w:tc>
          <w:tcPr>
            <w:tcW w:w="1020" w:type="dxa"/>
            <w:shd w:val="clear" w:color="auto" w:fill="auto"/>
            <w:noWrap/>
            <w:vAlign w:val="bottom"/>
          </w:tcPr>
          <w:p w14:paraId="46571A0B" w14:textId="4818EE3D"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20 557</w:t>
            </w:r>
          </w:p>
        </w:tc>
        <w:tc>
          <w:tcPr>
            <w:tcW w:w="1020" w:type="dxa"/>
            <w:shd w:val="clear" w:color="auto" w:fill="auto"/>
            <w:noWrap/>
            <w:vAlign w:val="bottom"/>
          </w:tcPr>
          <w:p w14:paraId="168F0253" w14:textId="378A751E"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3 225</w:t>
            </w:r>
          </w:p>
        </w:tc>
        <w:tc>
          <w:tcPr>
            <w:tcW w:w="1020" w:type="dxa"/>
            <w:shd w:val="clear" w:color="auto" w:fill="auto"/>
            <w:noWrap/>
            <w:vAlign w:val="bottom"/>
          </w:tcPr>
          <w:p w14:paraId="0758EAF8" w14:textId="562AF2BE"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13 114</w:t>
            </w:r>
          </w:p>
        </w:tc>
        <w:tc>
          <w:tcPr>
            <w:tcW w:w="1020" w:type="dxa"/>
            <w:shd w:val="clear" w:color="auto" w:fill="auto"/>
            <w:noWrap/>
            <w:vAlign w:val="bottom"/>
          </w:tcPr>
          <w:p w14:paraId="793AE423" w14:textId="5A1865EA"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4 218</w:t>
            </w:r>
          </w:p>
        </w:tc>
        <w:tc>
          <w:tcPr>
            <w:tcW w:w="881" w:type="dxa"/>
            <w:vAlign w:val="bottom"/>
          </w:tcPr>
          <w:p w14:paraId="20A8CE00" w14:textId="2A06F632"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15,7</w:t>
            </w:r>
          </w:p>
        </w:tc>
        <w:tc>
          <w:tcPr>
            <w:tcW w:w="993" w:type="dxa"/>
            <w:vAlign w:val="bottom"/>
          </w:tcPr>
          <w:p w14:paraId="260FC72C" w14:textId="3FFE7A5B"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63,8</w:t>
            </w:r>
          </w:p>
        </w:tc>
        <w:tc>
          <w:tcPr>
            <w:tcW w:w="850" w:type="dxa"/>
            <w:vAlign w:val="bottom"/>
          </w:tcPr>
          <w:p w14:paraId="55A41E08" w14:textId="5329359D"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20,5</w:t>
            </w:r>
          </w:p>
        </w:tc>
      </w:tr>
      <w:tr w:rsidR="00325553" w:rsidRPr="00610B1B" w14:paraId="52809223" w14:textId="77777777" w:rsidTr="001E3FED">
        <w:trPr>
          <w:trHeight w:val="255"/>
        </w:trPr>
        <w:tc>
          <w:tcPr>
            <w:tcW w:w="1783" w:type="dxa"/>
            <w:shd w:val="clear" w:color="auto" w:fill="auto"/>
            <w:noWrap/>
            <w:vAlign w:val="bottom"/>
          </w:tcPr>
          <w:p w14:paraId="1FF82868"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Варна</w:t>
            </w:r>
          </w:p>
        </w:tc>
        <w:tc>
          <w:tcPr>
            <w:tcW w:w="1020" w:type="dxa"/>
            <w:shd w:val="clear" w:color="auto" w:fill="auto"/>
            <w:noWrap/>
            <w:vAlign w:val="bottom"/>
          </w:tcPr>
          <w:p w14:paraId="0E32F214" w14:textId="3367FFBC"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345369</w:t>
            </w:r>
          </w:p>
        </w:tc>
        <w:tc>
          <w:tcPr>
            <w:tcW w:w="1020" w:type="dxa"/>
            <w:shd w:val="clear" w:color="auto" w:fill="auto"/>
            <w:noWrap/>
            <w:vAlign w:val="bottom"/>
          </w:tcPr>
          <w:p w14:paraId="537DAA01" w14:textId="46E76E97"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52 686</w:t>
            </w:r>
          </w:p>
        </w:tc>
        <w:tc>
          <w:tcPr>
            <w:tcW w:w="1020" w:type="dxa"/>
            <w:shd w:val="clear" w:color="auto" w:fill="auto"/>
            <w:noWrap/>
            <w:vAlign w:val="bottom"/>
          </w:tcPr>
          <w:p w14:paraId="16EFBFCF" w14:textId="48AF3478"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231 024</w:t>
            </w:r>
          </w:p>
        </w:tc>
        <w:tc>
          <w:tcPr>
            <w:tcW w:w="1020" w:type="dxa"/>
            <w:shd w:val="clear" w:color="auto" w:fill="auto"/>
            <w:noWrap/>
            <w:vAlign w:val="bottom"/>
          </w:tcPr>
          <w:p w14:paraId="069E1AB4" w14:textId="6AA1BE8F"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61 659</w:t>
            </w:r>
          </w:p>
        </w:tc>
        <w:tc>
          <w:tcPr>
            <w:tcW w:w="881" w:type="dxa"/>
            <w:vAlign w:val="bottom"/>
          </w:tcPr>
          <w:p w14:paraId="4B6BD6C5" w14:textId="681FA3F1"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15,3</w:t>
            </w:r>
          </w:p>
        </w:tc>
        <w:tc>
          <w:tcPr>
            <w:tcW w:w="993" w:type="dxa"/>
            <w:vAlign w:val="bottom"/>
          </w:tcPr>
          <w:p w14:paraId="52AD3AB7" w14:textId="06F3A0C8"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66,9</w:t>
            </w:r>
          </w:p>
        </w:tc>
        <w:tc>
          <w:tcPr>
            <w:tcW w:w="850" w:type="dxa"/>
            <w:vAlign w:val="bottom"/>
          </w:tcPr>
          <w:p w14:paraId="4E72220B" w14:textId="47A72FC7"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17,9</w:t>
            </w:r>
          </w:p>
        </w:tc>
      </w:tr>
      <w:tr w:rsidR="00325553" w:rsidRPr="00610B1B" w14:paraId="072D45F6" w14:textId="77777777" w:rsidTr="001E3FED">
        <w:trPr>
          <w:trHeight w:val="255"/>
        </w:trPr>
        <w:tc>
          <w:tcPr>
            <w:tcW w:w="1783" w:type="dxa"/>
            <w:shd w:val="clear" w:color="auto" w:fill="auto"/>
            <w:noWrap/>
            <w:vAlign w:val="bottom"/>
          </w:tcPr>
          <w:p w14:paraId="29733A62"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Аврен</w:t>
            </w:r>
          </w:p>
        </w:tc>
        <w:tc>
          <w:tcPr>
            <w:tcW w:w="1020" w:type="dxa"/>
            <w:shd w:val="clear" w:color="auto" w:fill="auto"/>
            <w:noWrap/>
            <w:vAlign w:val="bottom"/>
          </w:tcPr>
          <w:p w14:paraId="44938A22" w14:textId="4CECBFD1"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9 152</w:t>
            </w:r>
          </w:p>
        </w:tc>
        <w:tc>
          <w:tcPr>
            <w:tcW w:w="1020" w:type="dxa"/>
            <w:shd w:val="clear" w:color="auto" w:fill="auto"/>
            <w:noWrap/>
            <w:vAlign w:val="bottom"/>
          </w:tcPr>
          <w:p w14:paraId="6B270D98" w14:textId="3AE03895"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1 236</w:t>
            </w:r>
          </w:p>
        </w:tc>
        <w:tc>
          <w:tcPr>
            <w:tcW w:w="1020" w:type="dxa"/>
            <w:shd w:val="clear" w:color="auto" w:fill="auto"/>
            <w:noWrap/>
            <w:vAlign w:val="bottom"/>
          </w:tcPr>
          <w:p w14:paraId="544178DA" w14:textId="047CCA72"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5 492</w:t>
            </w:r>
          </w:p>
        </w:tc>
        <w:tc>
          <w:tcPr>
            <w:tcW w:w="1020" w:type="dxa"/>
            <w:shd w:val="clear" w:color="auto" w:fill="auto"/>
            <w:noWrap/>
            <w:vAlign w:val="bottom"/>
          </w:tcPr>
          <w:p w14:paraId="6EC62E1E" w14:textId="14465E71"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2 424</w:t>
            </w:r>
          </w:p>
        </w:tc>
        <w:tc>
          <w:tcPr>
            <w:tcW w:w="881" w:type="dxa"/>
            <w:vAlign w:val="bottom"/>
          </w:tcPr>
          <w:p w14:paraId="4599AA0B" w14:textId="20E15534"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13,5</w:t>
            </w:r>
          </w:p>
        </w:tc>
        <w:tc>
          <w:tcPr>
            <w:tcW w:w="993" w:type="dxa"/>
            <w:vAlign w:val="bottom"/>
          </w:tcPr>
          <w:p w14:paraId="08492413" w14:textId="031B33AA"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60,0</w:t>
            </w:r>
          </w:p>
        </w:tc>
        <w:tc>
          <w:tcPr>
            <w:tcW w:w="850" w:type="dxa"/>
            <w:vAlign w:val="bottom"/>
          </w:tcPr>
          <w:p w14:paraId="4DCB4661" w14:textId="6D7B949E"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26,5</w:t>
            </w:r>
          </w:p>
        </w:tc>
      </w:tr>
      <w:tr w:rsidR="00325553" w:rsidRPr="00610B1B" w14:paraId="1B94E5BE" w14:textId="77777777" w:rsidTr="001E3FED">
        <w:trPr>
          <w:trHeight w:val="255"/>
        </w:trPr>
        <w:tc>
          <w:tcPr>
            <w:tcW w:w="1783" w:type="dxa"/>
            <w:shd w:val="clear" w:color="auto" w:fill="auto"/>
            <w:noWrap/>
            <w:vAlign w:val="bottom"/>
          </w:tcPr>
          <w:p w14:paraId="6EE1A968"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Долни чифлик</w:t>
            </w:r>
          </w:p>
        </w:tc>
        <w:tc>
          <w:tcPr>
            <w:tcW w:w="1020" w:type="dxa"/>
            <w:shd w:val="clear" w:color="auto" w:fill="auto"/>
            <w:noWrap/>
            <w:vAlign w:val="bottom"/>
          </w:tcPr>
          <w:p w14:paraId="622D0014" w14:textId="31878879"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18 492</w:t>
            </w:r>
          </w:p>
        </w:tc>
        <w:tc>
          <w:tcPr>
            <w:tcW w:w="1020" w:type="dxa"/>
            <w:shd w:val="clear" w:color="auto" w:fill="auto"/>
            <w:noWrap/>
            <w:vAlign w:val="bottom"/>
          </w:tcPr>
          <w:p w14:paraId="7368DE7F" w14:textId="6ACFA455"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3 304</w:t>
            </w:r>
          </w:p>
        </w:tc>
        <w:tc>
          <w:tcPr>
            <w:tcW w:w="1020" w:type="dxa"/>
            <w:shd w:val="clear" w:color="auto" w:fill="auto"/>
            <w:noWrap/>
            <w:vAlign w:val="bottom"/>
          </w:tcPr>
          <w:p w14:paraId="192CA92C" w14:textId="426F2BA4"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12 028</w:t>
            </w:r>
          </w:p>
        </w:tc>
        <w:tc>
          <w:tcPr>
            <w:tcW w:w="1020" w:type="dxa"/>
            <w:shd w:val="clear" w:color="auto" w:fill="auto"/>
            <w:noWrap/>
            <w:vAlign w:val="bottom"/>
          </w:tcPr>
          <w:p w14:paraId="6162BA59" w14:textId="59C2766F"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3 160</w:t>
            </w:r>
          </w:p>
        </w:tc>
        <w:tc>
          <w:tcPr>
            <w:tcW w:w="881" w:type="dxa"/>
            <w:vAlign w:val="bottom"/>
          </w:tcPr>
          <w:p w14:paraId="04EF31DC" w14:textId="7F8E8101"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17,9</w:t>
            </w:r>
          </w:p>
        </w:tc>
        <w:tc>
          <w:tcPr>
            <w:tcW w:w="993" w:type="dxa"/>
            <w:vAlign w:val="bottom"/>
          </w:tcPr>
          <w:p w14:paraId="1CB84D55" w14:textId="331D450F"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65,0</w:t>
            </w:r>
          </w:p>
        </w:tc>
        <w:tc>
          <w:tcPr>
            <w:tcW w:w="850" w:type="dxa"/>
            <w:vAlign w:val="bottom"/>
          </w:tcPr>
          <w:p w14:paraId="6960D6E1" w14:textId="66E7A77D"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17,1</w:t>
            </w:r>
          </w:p>
        </w:tc>
      </w:tr>
      <w:tr w:rsidR="00325553" w:rsidRPr="00610B1B" w14:paraId="412FC74D" w14:textId="77777777" w:rsidTr="001E3FED">
        <w:trPr>
          <w:trHeight w:val="255"/>
        </w:trPr>
        <w:tc>
          <w:tcPr>
            <w:tcW w:w="1783" w:type="dxa"/>
            <w:shd w:val="clear" w:color="auto" w:fill="auto"/>
            <w:noWrap/>
            <w:vAlign w:val="bottom"/>
          </w:tcPr>
          <w:p w14:paraId="3A3E79E6"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Бяла</w:t>
            </w:r>
          </w:p>
        </w:tc>
        <w:tc>
          <w:tcPr>
            <w:tcW w:w="1020" w:type="dxa"/>
            <w:shd w:val="clear" w:color="auto" w:fill="auto"/>
            <w:noWrap/>
            <w:vAlign w:val="bottom"/>
          </w:tcPr>
          <w:p w14:paraId="09D73829" w14:textId="378B51BD"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3 287</w:t>
            </w:r>
          </w:p>
        </w:tc>
        <w:tc>
          <w:tcPr>
            <w:tcW w:w="1020" w:type="dxa"/>
            <w:shd w:val="clear" w:color="auto" w:fill="auto"/>
            <w:noWrap/>
            <w:vAlign w:val="bottom"/>
          </w:tcPr>
          <w:p w14:paraId="20923AF0" w14:textId="77777777"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466</w:t>
            </w:r>
          </w:p>
        </w:tc>
        <w:tc>
          <w:tcPr>
            <w:tcW w:w="1020" w:type="dxa"/>
            <w:shd w:val="clear" w:color="auto" w:fill="auto"/>
            <w:noWrap/>
            <w:vAlign w:val="bottom"/>
          </w:tcPr>
          <w:p w14:paraId="24EBCBF3" w14:textId="3DE9FD35"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2 013</w:t>
            </w:r>
          </w:p>
        </w:tc>
        <w:tc>
          <w:tcPr>
            <w:tcW w:w="1020" w:type="dxa"/>
            <w:shd w:val="clear" w:color="auto" w:fill="auto"/>
            <w:noWrap/>
            <w:vAlign w:val="bottom"/>
          </w:tcPr>
          <w:p w14:paraId="04FBFD0D" w14:textId="77777777"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808</w:t>
            </w:r>
          </w:p>
        </w:tc>
        <w:tc>
          <w:tcPr>
            <w:tcW w:w="881" w:type="dxa"/>
            <w:vAlign w:val="bottom"/>
          </w:tcPr>
          <w:p w14:paraId="48D329EF" w14:textId="18F810C1"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14,2</w:t>
            </w:r>
          </w:p>
        </w:tc>
        <w:tc>
          <w:tcPr>
            <w:tcW w:w="993" w:type="dxa"/>
            <w:vAlign w:val="bottom"/>
          </w:tcPr>
          <w:p w14:paraId="4E9BEAA8" w14:textId="67587D7E"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61,2</w:t>
            </w:r>
          </w:p>
        </w:tc>
        <w:tc>
          <w:tcPr>
            <w:tcW w:w="850" w:type="dxa"/>
            <w:vAlign w:val="bottom"/>
          </w:tcPr>
          <w:p w14:paraId="4CBE8E3A" w14:textId="5A9DFB99"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24,6</w:t>
            </w:r>
          </w:p>
        </w:tc>
      </w:tr>
      <w:tr w:rsidR="00325553" w:rsidRPr="00610B1B" w14:paraId="42A5E542" w14:textId="77777777" w:rsidTr="001E3FED">
        <w:trPr>
          <w:trHeight w:val="255"/>
        </w:trPr>
        <w:tc>
          <w:tcPr>
            <w:tcW w:w="1783" w:type="dxa"/>
            <w:shd w:val="clear" w:color="auto" w:fill="auto"/>
            <w:noWrap/>
            <w:vAlign w:val="bottom"/>
          </w:tcPr>
          <w:p w14:paraId="60FDB45B"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Несебър</w:t>
            </w:r>
          </w:p>
        </w:tc>
        <w:tc>
          <w:tcPr>
            <w:tcW w:w="1020" w:type="dxa"/>
            <w:shd w:val="clear" w:color="auto" w:fill="auto"/>
            <w:noWrap/>
            <w:vAlign w:val="bottom"/>
          </w:tcPr>
          <w:p w14:paraId="7FFCE9A9" w14:textId="76CB99F2"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27 879</w:t>
            </w:r>
          </w:p>
        </w:tc>
        <w:tc>
          <w:tcPr>
            <w:tcW w:w="1020" w:type="dxa"/>
            <w:shd w:val="clear" w:color="auto" w:fill="auto"/>
            <w:noWrap/>
            <w:vAlign w:val="bottom"/>
          </w:tcPr>
          <w:p w14:paraId="249CFA19" w14:textId="3323430A"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4 203</w:t>
            </w:r>
          </w:p>
        </w:tc>
        <w:tc>
          <w:tcPr>
            <w:tcW w:w="1020" w:type="dxa"/>
            <w:shd w:val="clear" w:color="auto" w:fill="auto"/>
            <w:noWrap/>
            <w:vAlign w:val="bottom"/>
          </w:tcPr>
          <w:p w14:paraId="353354BE" w14:textId="54A3B0CC"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18 267</w:t>
            </w:r>
          </w:p>
        </w:tc>
        <w:tc>
          <w:tcPr>
            <w:tcW w:w="1020" w:type="dxa"/>
            <w:shd w:val="clear" w:color="auto" w:fill="auto"/>
            <w:noWrap/>
            <w:vAlign w:val="bottom"/>
          </w:tcPr>
          <w:p w14:paraId="0D46D7B1" w14:textId="02C8506F"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5 409</w:t>
            </w:r>
          </w:p>
        </w:tc>
        <w:tc>
          <w:tcPr>
            <w:tcW w:w="881" w:type="dxa"/>
            <w:vAlign w:val="bottom"/>
          </w:tcPr>
          <w:p w14:paraId="5D4E9361" w14:textId="7FA78CA8"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15,1</w:t>
            </w:r>
          </w:p>
        </w:tc>
        <w:tc>
          <w:tcPr>
            <w:tcW w:w="993" w:type="dxa"/>
            <w:vAlign w:val="bottom"/>
          </w:tcPr>
          <w:p w14:paraId="06686C30" w14:textId="67FC8386"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65,5</w:t>
            </w:r>
          </w:p>
        </w:tc>
        <w:tc>
          <w:tcPr>
            <w:tcW w:w="850" w:type="dxa"/>
            <w:vAlign w:val="bottom"/>
          </w:tcPr>
          <w:p w14:paraId="066E2245" w14:textId="0CBC8D0C"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19,4</w:t>
            </w:r>
          </w:p>
        </w:tc>
      </w:tr>
      <w:tr w:rsidR="00325553" w:rsidRPr="00610B1B" w14:paraId="1148EC07" w14:textId="77777777" w:rsidTr="001E3FED">
        <w:trPr>
          <w:trHeight w:val="255"/>
        </w:trPr>
        <w:tc>
          <w:tcPr>
            <w:tcW w:w="1783" w:type="dxa"/>
            <w:shd w:val="clear" w:color="auto" w:fill="auto"/>
            <w:noWrap/>
            <w:vAlign w:val="bottom"/>
          </w:tcPr>
          <w:p w14:paraId="7158EB71"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Поморие</w:t>
            </w:r>
          </w:p>
        </w:tc>
        <w:tc>
          <w:tcPr>
            <w:tcW w:w="1020" w:type="dxa"/>
            <w:shd w:val="clear" w:color="auto" w:fill="auto"/>
            <w:noWrap/>
            <w:vAlign w:val="bottom"/>
          </w:tcPr>
          <w:p w14:paraId="7B4D3F6A" w14:textId="7BDDD464"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27 233</w:t>
            </w:r>
          </w:p>
        </w:tc>
        <w:tc>
          <w:tcPr>
            <w:tcW w:w="1020" w:type="dxa"/>
            <w:shd w:val="clear" w:color="auto" w:fill="auto"/>
            <w:noWrap/>
            <w:vAlign w:val="bottom"/>
          </w:tcPr>
          <w:p w14:paraId="5D86BEF7" w14:textId="1D67D356"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4 037</w:t>
            </w:r>
          </w:p>
        </w:tc>
        <w:tc>
          <w:tcPr>
            <w:tcW w:w="1020" w:type="dxa"/>
            <w:shd w:val="clear" w:color="auto" w:fill="auto"/>
            <w:noWrap/>
            <w:vAlign w:val="bottom"/>
          </w:tcPr>
          <w:p w14:paraId="1558F482" w14:textId="26C25415"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17 790</w:t>
            </w:r>
          </w:p>
        </w:tc>
        <w:tc>
          <w:tcPr>
            <w:tcW w:w="1020" w:type="dxa"/>
            <w:shd w:val="clear" w:color="auto" w:fill="auto"/>
            <w:noWrap/>
            <w:vAlign w:val="bottom"/>
          </w:tcPr>
          <w:p w14:paraId="10A8CC7D" w14:textId="42BA5E81"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5 406</w:t>
            </w:r>
          </w:p>
        </w:tc>
        <w:tc>
          <w:tcPr>
            <w:tcW w:w="881" w:type="dxa"/>
            <w:vAlign w:val="bottom"/>
          </w:tcPr>
          <w:p w14:paraId="792C1912" w14:textId="59CC1359"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14,8</w:t>
            </w:r>
          </w:p>
        </w:tc>
        <w:tc>
          <w:tcPr>
            <w:tcW w:w="993" w:type="dxa"/>
            <w:vAlign w:val="bottom"/>
          </w:tcPr>
          <w:p w14:paraId="1A3C7433" w14:textId="2A78D911"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65,3</w:t>
            </w:r>
          </w:p>
        </w:tc>
        <w:tc>
          <w:tcPr>
            <w:tcW w:w="850" w:type="dxa"/>
            <w:vAlign w:val="bottom"/>
          </w:tcPr>
          <w:p w14:paraId="17277ED4" w14:textId="042DF42C"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19,9</w:t>
            </w:r>
          </w:p>
        </w:tc>
      </w:tr>
      <w:tr w:rsidR="00325553" w:rsidRPr="00610B1B" w14:paraId="5971B5FC" w14:textId="77777777" w:rsidTr="001E3FED">
        <w:trPr>
          <w:trHeight w:val="255"/>
        </w:trPr>
        <w:tc>
          <w:tcPr>
            <w:tcW w:w="1783" w:type="dxa"/>
            <w:shd w:val="clear" w:color="auto" w:fill="auto"/>
            <w:noWrap/>
            <w:vAlign w:val="bottom"/>
          </w:tcPr>
          <w:p w14:paraId="35938469"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lastRenderedPageBreak/>
              <w:t>Бургас</w:t>
            </w:r>
          </w:p>
        </w:tc>
        <w:tc>
          <w:tcPr>
            <w:tcW w:w="1020" w:type="dxa"/>
            <w:shd w:val="clear" w:color="auto" w:fill="auto"/>
            <w:noWrap/>
            <w:vAlign w:val="bottom"/>
          </w:tcPr>
          <w:p w14:paraId="774B8F00" w14:textId="082A0DB9"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208 915</w:t>
            </w:r>
          </w:p>
        </w:tc>
        <w:tc>
          <w:tcPr>
            <w:tcW w:w="1020" w:type="dxa"/>
            <w:shd w:val="clear" w:color="auto" w:fill="auto"/>
            <w:noWrap/>
            <w:vAlign w:val="bottom"/>
          </w:tcPr>
          <w:p w14:paraId="28B9F18E" w14:textId="25ADF39F"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32 539</w:t>
            </w:r>
          </w:p>
        </w:tc>
        <w:tc>
          <w:tcPr>
            <w:tcW w:w="1020" w:type="dxa"/>
            <w:shd w:val="clear" w:color="auto" w:fill="auto"/>
            <w:noWrap/>
            <w:vAlign w:val="bottom"/>
          </w:tcPr>
          <w:p w14:paraId="0074A67D" w14:textId="08207888"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137 687</w:t>
            </w:r>
          </w:p>
        </w:tc>
        <w:tc>
          <w:tcPr>
            <w:tcW w:w="1020" w:type="dxa"/>
            <w:shd w:val="clear" w:color="auto" w:fill="auto"/>
            <w:noWrap/>
            <w:vAlign w:val="bottom"/>
          </w:tcPr>
          <w:p w14:paraId="1623AAFB" w14:textId="2085A93D"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38 689</w:t>
            </w:r>
          </w:p>
        </w:tc>
        <w:tc>
          <w:tcPr>
            <w:tcW w:w="881" w:type="dxa"/>
            <w:vAlign w:val="bottom"/>
          </w:tcPr>
          <w:p w14:paraId="1A83769F" w14:textId="050F232A"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15,6</w:t>
            </w:r>
          </w:p>
        </w:tc>
        <w:tc>
          <w:tcPr>
            <w:tcW w:w="993" w:type="dxa"/>
            <w:vAlign w:val="bottom"/>
          </w:tcPr>
          <w:p w14:paraId="3D62869F" w14:textId="2BCAB4B6"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65,9</w:t>
            </w:r>
          </w:p>
        </w:tc>
        <w:tc>
          <w:tcPr>
            <w:tcW w:w="850" w:type="dxa"/>
            <w:vAlign w:val="bottom"/>
          </w:tcPr>
          <w:p w14:paraId="6B4A8303" w14:textId="1CC20BBE"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18,5</w:t>
            </w:r>
          </w:p>
        </w:tc>
      </w:tr>
      <w:tr w:rsidR="00325553" w:rsidRPr="00610B1B" w14:paraId="264C1795" w14:textId="77777777" w:rsidTr="001E3FED">
        <w:trPr>
          <w:trHeight w:val="255"/>
        </w:trPr>
        <w:tc>
          <w:tcPr>
            <w:tcW w:w="1783" w:type="dxa"/>
            <w:shd w:val="clear" w:color="auto" w:fill="auto"/>
            <w:noWrap/>
            <w:vAlign w:val="bottom"/>
          </w:tcPr>
          <w:p w14:paraId="7A5F73AA"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Созопол</w:t>
            </w:r>
          </w:p>
        </w:tc>
        <w:tc>
          <w:tcPr>
            <w:tcW w:w="1020" w:type="dxa"/>
            <w:shd w:val="clear" w:color="auto" w:fill="auto"/>
            <w:noWrap/>
            <w:vAlign w:val="bottom"/>
          </w:tcPr>
          <w:p w14:paraId="3AE528E9" w14:textId="505D1C64"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13 005</w:t>
            </w:r>
          </w:p>
        </w:tc>
        <w:tc>
          <w:tcPr>
            <w:tcW w:w="1020" w:type="dxa"/>
            <w:shd w:val="clear" w:color="auto" w:fill="auto"/>
            <w:noWrap/>
            <w:vAlign w:val="bottom"/>
          </w:tcPr>
          <w:p w14:paraId="045F38B5" w14:textId="760129CF"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1 717</w:t>
            </w:r>
          </w:p>
        </w:tc>
        <w:tc>
          <w:tcPr>
            <w:tcW w:w="1020" w:type="dxa"/>
            <w:shd w:val="clear" w:color="auto" w:fill="auto"/>
            <w:noWrap/>
            <w:vAlign w:val="bottom"/>
          </w:tcPr>
          <w:p w14:paraId="540F24DC" w14:textId="60BCB725"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8 121</w:t>
            </w:r>
          </w:p>
        </w:tc>
        <w:tc>
          <w:tcPr>
            <w:tcW w:w="1020" w:type="dxa"/>
            <w:shd w:val="clear" w:color="auto" w:fill="auto"/>
            <w:noWrap/>
            <w:vAlign w:val="bottom"/>
          </w:tcPr>
          <w:p w14:paraId="6405F319" w14:textId="1D56A85D"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3 167</w:t>
            </w:r>
          </w:p>
        </w:tc>
        <w:tc>
          <w:tcPr>
            <w:tcW w:w="881" w:type="dxa"/>
            <w:vAlign w:val="bottom"/>
          </w:tcPr>
          <w:p w14:paraId="4F5868B3" w14:textId="30C4AFF7"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13,2</w:t>
            </w:r>
          </w:p>
        </w:tc>
        <w:tc>
          <w:tcPr>
            <w:tcW w:w="993" w:type="dxa"/>
            <w:vAlign w:val="bottom"/>
          </w:tcPr>
          <w:p w14:paraId="53372B90" w14:textId="406A76B2"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62,4</w:t>
            </w:r>
          </w:p>
        </w:tc>
        <w:tc>
          <w:tcPr>
            <w:tcW w:w="850" w:type="dxa"/>
            <w:vAlign w:val="bottom"/>
          </w:tcPr>
          <w:p w14:paraId="6AE8B521" w14:textId="2B1F104C"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24,4</w:t>
            </w:r>
          </w:p>
        </w:tc>
      </w:tr>
      <w:tr w:rsidR="00325553" w:rsidRPr="00610B1B" w14:paraId="335AD278" w14:textId="77777777" w:rsidTr="001E3FED">
        <w:trPr>
          <w:trHeight w:val="255"/>
        </w:trPr>
        <w:tc>
          <w:tcPr>
            <w:tcW w:w="1783" w:type="dxa"/>
            <w:shd w:val="clear" w:color="auto" w:fill="auto"/>
            <w:noWrap/>
            <w:vAlign w:val="bottom"/>
          </w:tcPr>
          <w:p w14:paraId="503163E1"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Приморско</w:t>
            </w:r>
          </w:p>
        </w:tc>
        <w:tc>
          <w:tcPr>
            <w:tcW w:w="1020" w:type="dxa"/>
            <w:shd w:val="clear" w:color="auto" w:fill="auto"/>
            <w:noWrap/>
            <w:vAlign w:val="bottom"/>
          </w:tcPr>
          <w:p w14:paraId="11D183C9" w14:textId="1F170C49"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6 124</w:t>
            </w:r>
          </w:p>
        </w:tc>
        <w:tc>
          <w:tcPr>
            <w:tcW w:w="1020" w:type="dxa"/>
            <w:shd w:val="clear" w:color="auto" w:fill="auto"/>
            <w:noWrap/>
            <w:vAlign w:val="bottom"/>
          </w:tcPr>
          <w:p w14:paraId="2DB96FB7" w14:textId="77777777"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739</w:t>
            </w:r>
          </w:p>
        </w:tc>
        <w:tc>
          <w:tcPr>
            <w:tcW w:w="1020" w:type="dxa"/>
            <w:shd w:val="clear" w:color="auto" w:fill="auto"/>
            <w:noWrap/>
            <w:vAlign w:val="bottom"/>
          </w:tcPr>
          <w:p w14:paraId="3DFF9413" w14:textId="42CAFA0E"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3 995</w:t>
            </w:r>
          </w:p>
        </w:tc>
        <w:tc>
          <w:tcPr>
            <w:tcW w:w="1020" w:type="dxa"/>
            <w:shd w:val="clear" w:color="auto" w:fill="auto"/>
            <w:noWrap/>
            <w:vAlign w:val="bottom"/>
          </w:tcPr>
          <w:p w14:paraId="10E07984" w14:textId="4D3FA2D5"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1 390</w:t>
            </w:r>
          </w:p>
        </w:tc>
        <w:tc>
          <w:tcPr>
            <w:tcW w:w="881" w:type="dxa"/>
            <w:vAlign w:val="bottom"/>
          </w:tcPr>
          <w:p w14:paraId="0514DD0A" w14:textId="049F68EE"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12,1</w:t>
            </w:r>
          </w:p>
        </w:tc>
        <w:tc>
          <w:tcPr>
            <w:tcW w:w="993" w:type="dxa"/>
            <w:vAlign w:val="bottom"/>
          </w:tcPr>
          <w:p w14:paraId="3BAA43CD" w14:textId="0DB5734C"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65,2</w:t>
            </w:r>
          </w:p>
        </w:tc>
        <w:tc>
          <w:tcPr>
            <w:tcW w:w="850" w:type="dxa"/>
            <w:vAlign w:val="bottom"/>
          </w:tcPr>
          <w:p w14:paraId="619A6A9E" w14:textId="0CA231BB"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22,7</w:t>
            </w:r>
          </w:p>
        </w:tc>
      </w:tr>
      <w:tr w:rsidR="00325553" w:rsidRPr="00610B1B" w14:paraId="3F98797E" w14:textId="77777777" w:rsidTr="001E3FED">
        <w:trPr>
          <w:trHeight w:val="255"/>
        </w:trPr>
        <w:tc>
          <w:tcPr>
            <w:tcW w:w="1783" w:type="dxa"/>
            <w:shd w:val="clear" w:color="auto" w:fill="auto"/>
            <w:noWrap/>
            <w:vAlign w:val="bottom"/>
          </w:tcPr>
          <w:p w14:paraId="3E491671" w14:textId="77777777" w:rsidR="00325553" w:rsidRPr="00610B1B" w:rsidRDefault="00325553"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Царево</w:t>
            </w:r>
          </w:p>
        </w:tc>
        <w:tc>
          <w:tcPr>
            <w:tcW w:w="1020" w:type="dxa"/>
            <w:shd w:val="clear" w:color="auto" w:fill="auto"/>
            <w:noWrap/>
            <w:vAlign w:val="bottom"/>
          </w:tcPr>
          <w:p w14:paraId="14EEC685" w14:textId="523F0BD5"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9 014</w:t>
            </w:r>
          </w:p>
        </w:tc>
        <w:tc>
          <w:tcPr>
            <w:tcW w:w="1020" w:type="dxa"/>
            <w:shd w:val="clear" w:color="auto" w:fill="auto"/>
            <w:noWrap/>
            <w:vAlign w:val="bottom"/>
          </w:tcPr>
          <w:p w14:paraId="27428B26" w14:textId="57B5D6E0"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1 264</w:t>
            </w:r>
          </w:p>
        </w:tc>
        <w:tc>
          <w:tcPr>
            <w:tcW w:w="1020" w:type="dxa"/>
            <w:shd w:val="clear" w:color="auto" w:fill="auto"/>
            <w:noWrap/>
            <w:vAlign w:val="bottom"/>
          </w:tcPr>
          <w:p w14:paraId="3EE0F870" w14:textId="7FE7CF56" w:rsidR="00325553" w:rsidRPr="00610B1B" w:rsidRDefault="00325553" w:rsidP="00D32D6A">
            <w:pPr>
              <w:spacing w:after="0" w:line="240" w:lineRule="auto"/>
              <w:jc w:val="right"/>
              <w:rPr>
                <w:rFonts w:ascii="Times New Roman" w:hAnsi="Times New Roman" w:cs="Times New Roman"/>
                <w:color w:val="000000"/>
                <w:lang w:val="bg-BG"/>
              </w:rPr>
            </w:pPr>
            <w:r w:rsidRPr="00610B1B">
              <w:rPr>
                <w:rFonts w:ascii="Times New Roman" w:hAnsi="Times New Roman" w:cs="Times New Roman"/>
                <w:color w:val="000000"/>
                <w:lang w:val="bg-BG"/>
              </w:rPr>
              <w:t>5 802</w:t>
            </w:r>
          </w:p>
        </w:tc>
        <w:tc>
          <w:tcPr>
            <w:tcW w:w="1020" w:type="dxa"/>
            <w:shd w:val="clear" w:color="auto" w:fill="auto"/>
            <w:noWrap/>
            <w:vAlign w:val="bottom"/>
          </w:tcPr>
          <w:p w14:paraId="57A7AD0A" w14:textId="7B0A17CA"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1 948</w:t>
            </w:r>
          </w:p>
        </w:tc>
        <w:tc>
          <w:tcPr>
            <w:tcW w:w="881" w:type="dxa"/>
            <w:vAlign w:val="bottom"/>
          </w:tcPr>
          <w:p w14:paraId="53BD5FAD" w14:textId="72892FE6"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14,0</w:t>
            </w:r>
          </w:p>
        </w:tc>
        <w:tc>
          <w:tcPr>
            <w:tcW w:w="993" w:type="dxa"/>
            <w:vAlign w:val="bottom"/>
          </w:tcPr>
          <w:p w14:paraId="7BEF2606" w14:textId="0C70857A"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64,4</w:t>
            </w:r>
          </w:p>
        </w:tc>
        <w:tc>
          <w:tcPr>
            <w:tcW w:w="850" w:type="dxa"/>
            <w:vAlign w:val="bottom"/>
          </w:tcPr>
          <w:p w14:paraId="1B93BE75" w14:textId="02282E16" w:rsidR="00325553" w:rsidRPr="00610B1B" w:rsidRDefault="00325553" w:rsidP="00D32D6A">
            <w:pPr>
              <w:spacing w:after="0" w:line="240" w:lineRule="auto"/>
              <w:jc w:val="right"/>
              <w:rPr>
                <w:rFonts w:ascii="Times New Roman" w:hAnsi="Times New Roman" w:cs="Times New Roman"/>
                <w:lang w:val="bg-BG"/>
              </w:rPr>
            </w:pPr>
            <w:r w:rsidRPr="00610B1B">
              <w:rPr>
                <w:rFonts w:ascii="Times New Roman" w:hAnsi="Times New Roman" w:cs="Times New Roman"/>
                <w:lang w:val="bg-BG"/>
              </w:rPr>
              <w:t>21,6</w:t>
            </w:r>
          </w:p>
        </w:tc>
      </w:tr>
    </w:tbl>
    <w:p w14:paraId="5779BCD3" w14:textId="28049479" w:rsidR="0082227D" w:rsidRPr="00610B1B" w:rsidRDefault="0082227D" w:rsidP="00EC097D">
      <w:pPr>
        <w:spacing w:before="60" w:after="120"/>
        <w:ind w:right="-153"/>
        <w:jc w:val="both"/>
        <w:rPr>
          <w:rFonts w:ascii="Times New Roman" w:hAnsi="Times New Roman" w:cs="Times New Roman"/>
          <w:lang w:val="bg-BG"/>
        </w:rPr>
      </w:pPr>
      <w:r w:rsidRPr="00610B1B">
        <w:rPr>
          <w:rFonts w:ascii="Times New Roman" w:hAnsi="Times New Roman" w:cs="Times New Roman"/>
          <w:lang w:val="bg-BG"/>
        </w:rPr>
        <w:t xml:space="preserve">Източник: НСИ, Обработка НЦТР </w:t>
      </w:r>
    </w:p>
    <w:p w14:paraId="68BC8D52" w14:textId="38E91C63" w:rsidR="0082227D" w:rsidRPr="00610B1B" w:rsidRDefault="007C3109" w:rsidP="001757A5">
      <w:pPr>
        <w:pStyle w:val="Heading4"/>
        <w:spacing w:before="0"/>
        <w:ind w:left="862" w:right="-153" w:hanging="862"/>
        <w:rPr>
          <w:rFonts w:cs="Times New Roman"/>
        </w:rPr>
      </w:pPr>
      <w:r w:rsidRPr="00610B1B">
        <w:rPr>
          <w:rFonts w:cs="Times New Roman"/>
        </w:rPr>
        <w:t>2.</w:t>
      </w:r>
      <w:r w:rsidR="00620116" w:rsidRPr="00610B1B">
        <w:rPr>
          <w:rFonts w:cs="Times New Roman"/>
        </w:rPr>
        <w:t>3</w:t>
      </w:r>
      <w:r w:rsidRPr="00610B1B">
        <w:rPr>
          <w:rFonts w:cs="Times New Roman"/>
        </w:rPr>
        <w:t>.</w:t>
      </w:r>
      <w:r w:rsidR="00620116" w:rsidRPr="00610B1B">
        <w:rPr>
          <w:rFonts w:cs="Times New Roman"/>
        </w:rPr>
        <w:t>1</w:t>
      </w:r>
      <w:r w:rsidRPr="00610B1B">
        <w:rPr>
          <w:rFonts w:cs="Times New Roman"/>
        </w:rPr>
        <w:t xml:space="preserve">.2. </w:t>
      </w:r>
      <w:r w:rsidR="0082227D" w:rsidRPr="00610B1B">
        <w:rPr>
          <w:rFonts w:cs="Times New Roman"/>
        </w:rPr>
        <w:t>Териториално разпределение на населението</w:t>
      </w:r>
    </w:p>
    <w:p w14:paraId="5345CB05" w14:textId="0F10F6BC" w:rsidR="0082227D" w:rsidRPr="00610B1B" w:rsidRDefault="0082227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Териториалното </w:t>
      </w:r>
      <w:r w:rsidR="00392A32" w:rsidRPr="00610B1B">
        <w:rPr>
          <w:rFonts w:ascii="Times New Roman" w:hAnsi="Times New Roman" w:cs="Times New Roman"/>
          <w:sz w:val="24"/>
          <w:szCs w:val="24"/>
          <w:lang w:val="bg-BG"/>
        </w:rPr>
        <w:t>разположение</w:t>
      </w:r>
      <w:r w:rsidRPr="00610B1B">
        <w:rPr>
          <w:rFonts w:ascii="Times New Roman" w:hAnsi="Times New Roman" w:cs="Times New Roman"/>
          <w:sz w:val="24"/>
          <w:szCs w:val="24"/>
          <w:lang w:val="bg-BG"/>
        </w:rPr>
        <w:t xml:space="preserve"> на </w:t>
      </w:r>
      <w:r w:rsidR="00392A32" w:rsidRPr="00610B1B">
        <w:rPr>
          <w:rFonts w:ascii="Times New Roman" w:hAnsi="Times New Roman" w:cs="Times New Roman"/>
          <w:sz w:val="24"/>
          <w:szCs w:val="24"/>
          <w:lang w:val="bg-BG"/>
        </w:rPr>
        <w:t>населението</w:t>
      </w:r>
      <w:r w:rsidRPr="00610B1B">
        <w:rPr>
          <w:rFonts w:ascii="Times New Roman" w:hAnsi="Times New Roman" w:cs="Times New Roman"/>
          <w:sz w:val="24"/>
          <w:szCs w:val="24"/>
          <w:lang w:val="bg-BG"/>
        </w:rPr>
        <w:t xml:space="preserve"> се определя от </w:t>
      </w:r>
      <w:r w:rsidRPr="00610B1B">
        <w:rPr>
          <w:rFonts w:ascii="Times New Roman" w:hAnsi="Times New Roman" w:cs="Times New Roman"/>
          <w:b/>
          <w:sz w:val="24"/>
          <w:szCs w:val="24"/>
          <w:lang w:val="bg-BG"/>
        </w:rPr>
        <w:t xml:space="preserve">естественото движение на населението (раждания и умирания), </w:t>
      </w:r>
      <w:r w:rsidRPr="00610B1B">
        <w:rPr>
          <w:rFonts w:ascii="Times New Roman" w:hAnsi="Times New Roman" w:cs="Times New Roman"/>
          <w:sz w:val="24"/>
          <w:szCs w:val="24"/>
          <w:lang w:val="bg-BG"/>
        </w:rPr>
        <w:t>както и от</w:t>
      </w:r>
      <w:r w:rsidRPr="00610B1B">
        <w:rPr>
          <w:rFonts w:ascii="Times New Roman" w:hAnsi="Times New Roman" w:cs="Times New Roman"/>
          <w:b/>
          <w:sz w:val="24"/>
          <w:szCs w:val="24"/>
          <w:lang w:val="bg-BG"/>
        </w:rPr>
        <w:t xml:space="preserve"> вътрешната и външната миграция</w:t>
      </w:r>
      <w:r w:rsidRPr="00610B1B">
        <w:rPr>
          <w:rFonts w:ascii="Times New Roman" w:hAnsi="Times New Roman" w:cs="Times New Roman"/>
          <w:sz w:val="24"/>
          <w:szCs w:val="24"/>
          <w:lang w:val="bg-BG"/>
        </w:rPr>
        <w:t>. Чисто статистическо влияние върху териториално</w:t>
      </w:r>
      <w:r w:rsidR="000434A3" w:rsidRPr="00610B1B">
        <w:rPr>
          <w:rFonts w:ascii="Times New Roman" w:hAnsi="Times New Roman" w:cs="Times New Roman"/>
          <w:sz w:val="24"/>
          <w:szCs w:val="24"/>
          <w:lang w:val="bg-BG"/>
        </w:rPr>
        <w:t>то</w:t>
      </w:r>
      <w:r w:rsidRPr="00610B1B">
        <w:rPr>
          <w:rFonts w:ascii="Times New Roman" w:hAnsi="Times New Roman" w:cs="Times New Roman"/>
          <w:sz w:val="24"/>
          <w:szCs w:val="24"/>
          <w:lang w:val="bg-BG"/>
        </w:rPr>
        <w:t xml:space="preserve"> разпределение на населението оказват и промените в административно-териториалното деление на страната.</w:t>
      </w:r>
      <w:r w:rsidR="00620116"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Към 31.12.2018 г. в градовете живеят 640 8</w:t>
      </w:r>
      <w:r w:rsidR="000434A3" w:rsidRPr="00610B1B">
        <w:rPr>
          <w:rFonts w:ascii="Times New Roman" w:hAnsi="Times New Roman" w:cs="Times New Roman"/>
          <w:sz w:val="24"/>
          <w:szCs w:val="24"/>
          <w:lang w:val="bg-BG"/>
        </w:rPr>
        <w:t>03 души, или 88,</w:t>
      </w:r>
      <w:r w:rsidRPr="00610B1B">
        <w:rPr>
          <w:rFonts w:ascii="Times New Roman" w:hAnsi="Times New Roman" w:cs="Times New Roman"/>
          <w:sz w:val="24"/>
          <w:szCs w:val="24"/>
          <w:lang w:val="bg-BG"/>
        </w:rPr>
        <w:t>2%, а</w:t>
      </w:r>
      <w:r w:rsidR="000434A3" w:rsidRPr="00610B1B">
        <w:rPr>
          <w:rFonts w:ascii="Times New Roman" w:hAnsi="Times New Roman" w:cs="Times New Roman"/>
          <w:sz w:val="24"/>
          <w:szCs w:val="24"/>
          <w:lang w:val="bg-BG"/>
        </w:rPr>
        <w:t xml:space="preserve"> в селата – 85 942 души, или 11,</w:t>
      </w:r>
      <w:r w:rsidRPr="00610B1B">
        <w:rPr>
          <w:rFonts w:ascii="Times New Roman" w:hAnsi="Times New Roman" w:cs="Times New Roman"/>
          <w:sz w:val="24"/>
          <w:szCs w:val="24"/>
          <w:lang w:val="bg-BG"/>
        </w:rPr>
        <w:t xml:space="preserve">8% от населението на </w:t>
      </w:r>
      <w:r w:rsidR="007C3109" w:rsidRPr="00610B1B">
        <w:rPr>
          <w:rFonts w:ascii="Times New Roman" w:hAnsi="Times New Roman" w:cs="Times New Roman"/>
          <w:sz w:val="24"/>
          <w:szCs w:val="24"/>
          <w:lang w:val="bg-BG"/>
        </w:rPr>
        <w:t xml:space="preserve">Черноморските </w:t>
      </w:r>
      <w:r w:rsidRPr="00610B1B">
        <w:rPr>
          <w:rFonts w:ascii="Times New Roman" w:hAnsi="Times New Roman" w:cs="Times New Roman"/>
          <w:sz w:val="24"/>
          <w:szCs w:val="24"/>
          <w:lang w:val="bg-BG"/>
        </w:rPr>
        <w:t>общини.</w:t>
      </w:r>
    </w:p>
    <w:p w14:paraId="378A5C1A" w14:textId="398FB4AA" w:rsidR="0082227D" w:rsidRPr="00610B1B" w:rsidRDefault="0082227D"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Разпределение на населението показва ясна диференциация от бреговата ивица към вътрешността. В </w:t>
      </w:r>
      <w:r w:rsidR="00345C8A" w:rsidRPr="00610B1B">
        <w:rPr>
          <w:rFonts w:ascii="Times New Roman" w:hAnsi="Times New Roman" w:cs="Times New Roman"/>
          <w:sz w:val="24"/>
          <w:szCs w:val="24"/>
          <w:lang w:val="bg-BG"/>
        </w:rPr>
        <w:t>бреговата</w:t>
      </w:r>
      <w:r w:rsidR="000434A3" w:rsidRPr="00610B1B">
        <w:rPr>
          <w:rFonts w:ascii="Times New Roman" w:hAnsi="Times New Roman" w:cs="Times New Roman"/>
          <w:sz w:val="24"/>
          <w:szCs w:val="24"/>
          <w:lang w:val="bg-BG"/>
        </w:rPr>
        <w:t xml:space="preserve"> ивица е концентрирано 85,</w:t>
      </w:r>
      <w:r w:rsidRPr="00610B1B">
        <w:rPr>
          <w:rFonts w:ascii="Times New Roman" w:hAnsi="Times New Roman" w:cs="Times New Roman"/>
          <w:sz w:val="24"/>
          <w:szCs w:val="24"/>
          <w:lang w:val="bg-BG"/>
        </w:rPr>
        <w:t xml:space="preserve">7% от населението </w:t>
      </w:r>
      <w:r w:rsidR="00345C8A" w:rsidRPr="00610B1B">
        <w:rPr>
          <w:rFonts w:ascii="Times New Roman" w:hAnsi="Times New Roman" w:cs="Times New Roman"/>
          <w:sz w:val="24"/>
          <w:szCs w:val="24"/>
          <w:lang w:val="bg-BG"/>
        </w:rPr>
        <w:t xml:space="preserve">от това в Черноморските </w:t>
      </w:r>
      <w:r w:rsidRPr="00610B1B">
        <w:rPr>
          <w:rFonts w:ascii="Times New Roman" w:hAnsi="Times New Roman" w:cs="Times New Roman"/>
          <w:sz w:val="24"/>
          <w:szCs w:val="24"/>
          <w:lang w:val="bg-BG"/>
        </w:rPr>
        <w:t>общини</w:t>
      </w:r>
      <w:r w:rsidR="00345C8A"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разположен</w:t>
      </w:r>
      <w:r w:rsidR="00264226" w:rsidRPr="00610B1B">
        <w:rPr>
          <w:rFonts w:ascii="Times New Roman" w:hAnsi="Times New Roman" w:cs="Times New Roman"/>
          <w:sz w:val="24"/>
          <w:szCs w:val="24"/>
          <w:lang w:val="bg-BG"/>
        </w:rPr>
        <w:t>о</w:t>
      </w:r>
      <w:r w:rsidRPr="00610B1B">
        <w:rPr>
          <w:rFonts w:ascii="Times New Roman" w:hAnsi="Times New Roman" w:cs="Times New Roman"/>
          <w:sz w:val="24"/>
          <w:szCs w:val="24"/>
          <w:lang w:val="bg-BG"/>
        </w:rPr>
        <w:t xml:space="preserve"> в 31 населени места. Относителният дял на градското </w:t>
      </w:r>
      <w:r w:rsidR="000434A3" w:rsidRPr="00610B1B">
        <w:rPr>
          <w:rFonts w:ascii="Times New Roman" w:hAnsi="Times New Roman" w:cs="Times New Roman"/>
          <w:sz w:val="24"/>
          <w:szCs w:val="24"/>
          <w:lang w:val="bg-BG"/>
        </w:rPr>
        <w:t>население е 98,</w:t>
      </w:r>
      <w:r w:rsidRPr="00610B1B">
        <w:rPr>
          <w:rFonts w:ascii="Times New Roman" w:hAnsi="Times New Roman" w:cs="Times New Roman"/>
          <w:sz w:val="24"/>
          <w:szCs w:val="24"/>
          <w:lang w:val="bg-BG"/>
        </w:rPr>
        <w:t xml:space="preserve">7% с тенденция за нарастване, паралелно с нарастването на населението в крайбрежната зона. Тази зона концентрира икономически и административен потенциал. </w:t>
      </w:r>
    </w:p>
    <w:p w14:paraId="52E737C0" w14:textId="5EFA0951" w:rsidR="0082227D" w:rsidRPr="00610B1B" w:rsidRDefault="0082227D"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Към края на 2018 г. населените места в Черноморските общини са 202, от които 22 са градове и 180 - села.</w:t>
      </w:r>
      <w:r w:rsidR="006B6BE2"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Без население е само село Брястово, община Балчик. Общият брой на селата с население до 10 жители е 7, 17 населени места </w:t>
      </w:r>
      <w:r w:rsidR="000434A3" w:rsidRPr="00610B1B">
        <w:rPr>
          <w:rFonts w:ascii="Times New Roman" w:hAnsi="Times New Roman" w:cs="Times New Roman"/>
          <w:sz w:val="24"/>
          <w:szCs w:val="24"/>
          <w:lang w:val="bg-BG"/>
        </w:rPr>
        <w:t xml:space="preserve">са </w:t>
      </w:r>
      <w:r w:rsidRPr="00610B1B">
        <w:rPr>
          <w:rFonts w:ascii="Times New Roman" w:hAnsi="Times New Roman" w:cs="Times New Roman"/>
          <w:sz w:val="24"/>
          <w:szCs w:val="24"/>
          <w:lang w:val="bg-BG"/>
        </w:rPr>
        <w:t>с населени</w:t>
      </w:r>
      <w:r w:rsidR="000434A3" w:rsidRPr="00610B1B">
        <w:rPr>
          <w:rFonts w:ascii="Times New Roman" w:hAnsi="Times New Roman" w:cs="Times New Roman"/>
          <w:sz w:val="24"/>
          <w:szCs w:val="24"/>
          <w:lang w:val="bg-BG"/>
        </w:rPr>
        <w:t>е от 11 до 50 души, или в 4,</w:t>
      </w:r>
      <w:r w:rsidRPr="00610B1B">
        <w:rPr>
          <w:rFonts w:ascii="Times New Roman" w:hAnsi="Times New Roman" w:cs="Times New Roman"/>
          <w:sz w:val="24"/>
          <w:szCs w:val="24"/>
          <w:lang w:val="bg-BG"/>
        </w:rPr>
        <w:t>0% от населените места, живеят от 1 до 50 души включително.</w:t>
      </w:r>
      <w:r w:rsidR="00D66FE0" w:rsidRPr="00610B1B">
        <w:rPr>
          <w:rFonts w:ascii="Times New Roman" w:hAnsi="Times New Roman" w:cs="Times New Roman"/>
          <w:sz w:val="24"/>
          <w:szCs w:val="24"/>
          <w:lang w:val="bg-BG"/>
        </w:rPr>
        <w:t xml:space="preserve"> </w:t>
      </w:r>
    </w:p>
    <w:p w14:paraId="7BD8FAD3" w14:textId="30FFEF22" w:rsidR="0082227D" w:rsidRPr="00610B1B" w:rsidRDefault="0082227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 население над 10 хил. души са 4 града в Черномо</w:t>
      </w:r>
      <w:r w:rsidR="000434A3" w:rsidRPr="00610B1B">
        <w:rPr>
          <w:rFonts w:ascii="Times New Roman" w:hAnsi="Times New Roman" w:cs="Times New Roman"/>
          <w:sz w:val="24"/>
          <w:szCs w:val="24"/>
          <w:lang w:val="bg-BG"/>
        </w:rPr>
        <w:t>рските общини, в които живеят 6,</w:t>
      </w:r>
      <w:r w:rsidRPr="00610B1B">
        <w:rPr>
          <w:rFonts w:ascii="Times New Roman" w:hAnsi="Times New Roman" w:cs="Times New Roman"/>
          <w:sz w:val="24"/>
          <w:szCs w:val="24"/>
          <w:lang w:val="bg-BG"/>
        </w:rPr>
        <w:t>7% от населението на</w:t>
      </w:r>
      <w:r w:rsidR="00E9671C" w:rsidRPr="00610B1B">
        <w:rPr>
          <w:rFonts w:ascii="Times New Roman" w:hAnsi="Times New Roman" w:cs="Times New Roman"/>
          <w:sz w:val="24"/>
          <w:szCs w:val="24"/>
          <w:lang w:val="bg-BG"/>
        </w:rPr>
        <w:t xml:space="preserve"> Черноморските</w:t>
      </w:r>
      <w:r w:rsidRPr="00610B1B">
        <w:rPr>
          <w:rFonts w:ascii="Times New Roman" w:hAnsi="Times New Roman" w:cs="Times New Roman"/>
          <w:sz w:val="24"/>
          <w:szCs w:val="24"/>
          <w:lang w:val="bg-BG"/>
        </w:rPr>
        <w:t xml:space="preserve"> общини. В градовете Бургас и</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Варна с население над 100 хил.</w:t>
      </w:r>
      <w:r w:rsidR="007F4D14"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души живеят 74</w:t>
      </w:r>
      <w:r w:rsidR="000434A3"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2% от населението на общините.</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Най-голяма е групата на населените места с на</w:t>
      </w:r>
      <w:r w:rsidR="000434A3" w:rsidRPr="00610B1B">
        <w:rPr>
          <w:rFonts w:ascii="Times New Roman" w:hAnsi="Times New Roman" w:cs="Times New Roman"/>
          <w:sz w:val="24"/>
          <w:szCs w:val="24"/>
          <w:lang w:val="bg-BG"/>
        </w:rPr>
        <w:t>селение между 101-500 души – 39,1%, където живее 2,</w:t>
      </w:r>
      <w:r w:rsidRPr="00610B1B">
        <w:rPr>
          <w:rFonts w:ascii="Times New Roman" w:hAnsi="Times New Roman" w:cs="Times New Roman"/>
          <w:sz w:val="24"/>
          <w:szCs w:val="24"/>
          <w:lang w:val="bg-BG"/>
        </w:rPr>
        <w:t xml:space="preserve">8% от населението на </w:t>
      </w:r>
      <w:r w:rsidR="00E9671C" w:rsidRPr="00610B1B">
        <w:rPr>
          <w:rFonts w:ascii="Times New Roman" w:hAnsi="Times New Roman" w:cs="Times New Roman"/>
          <w:sz w:val="24"/>
          <w:szCs w:val="24"/>
          <w:lang w:val="bg-BG"/>
        </w:rPr>
        <w:t xml:space="preserve">Черноморските </w:t>
      </w:r>
      <w:r w:rsidRPr="00610B1B">
        <w:rPr>
          <w:rFonts w:ascii="Times New Roman" w:hAnsi="Times New Roman" w:cs="Times New Roman"/>
          <w:sz w:val="24"/>
          <w:szCs w:val="24"/>
          <w:lang w:val="bg-BG"/>
        </w:rPr>
        <w:t>общини.</w:t>
      </w:r>
    </w:p>
    <w:p w14:paraId="3B02561E" w14:textId="51DE93AC" w:rsidR="00E9671C" w:rsidRPr="00610B1B" w:rsidRDefault="00E57141" w:rsidP="001757A5">
      <w:pPr>
        <w:autoSpaceDE w:val="0"/>
        <w:autoSpaceDN w:val="0"/>
        <w:adjustRightInd w:val="0"/>
        <w:spacing w:after="60" w:line="240" w:lineRule="auto"/>
        <w:ind w:right="-153"/>
        <w:jc w:val="both"/>
        <w:rPr>
          <w:rFonts w:ascii="Times New Roman" w:eastAsia="Lohit Devanagari" w:hAnsi="Times New Roman" w:cs="Times New Roman"/>
          <w:color w:val="00000A"/>
          <w:sz w:val="24"/>
          <w:szCs w:val="24"/>
          <w:lang w:val="bg-BG" w:eastAsia="ar-SA" w:bidi="hi-IN"/>
        </w:rPr>
      </w:pPr>
      <w:bookmarkStart w:id="311" w:name="_Toc83391602"/>
      <w:r w:rsidRPr="00610B1B">
        <w:rPr>
          <w:rFonts w:ascii="Times New Roman" w:hAnsi="Times New Roman" w:cs="Times New Roman"/>
          <w:lang w:val="bg-BG"/>
        </w:rPr>
        <w:t>Таблица</w:t>
      </w:r>
      <w:r w:rsidRPr="00610B1B">
        <w:rPr>
          <w:rFonts w:ascii="Times New Roman" w:eastAsia="Lohit Devanagari" w:hAnsi="Times New Roman" w:cs="Times New Roman"/>
          <w:color w:val="00000A"/>
          <w:sz w:val="24"/>
          <w:szCs w:val="24"/>
          <w:lang w:val="bg-BG" w:eastAsia="ar-SA" w:bidi="hi-IN"/>
        </w:rPr>
        <w:t xml:space="preserve"> </w:t>
      </w:r>
      <w:r w:rsidRPr="00610B1B">
        <w:rPr>
          <w:rFonts w:ascii="Times New Roman" w:eastAsia="Lohit Devanagari" w:hAnsi="Times New Roman" w:cs="Times New Roman"/>
          <w:color w:val="00000A"/>
          <w:sz w:val="24"/>
          <w:szCs w:val="24"/>
          <w:lang w:val="bg-BG" w:eastAsia="ar-SA" w:bidi="hi-IN"/>
        </w:rPr>
        <w:fldChar w:fldCharType="begin"/>
      </w:r>
      <w:r w:rsidRPr="00610B1B">
        <w:rPr>
          <w:rFonts w:ascii="Times New Roman" w:eastAsia="Lohit Devanagari" w:hAnsi="Times New Roman" w:cs="Times New Roman"/>
          <w:color w:val="00000A"/>
          <w:sz w:val="24"/>
          <w:szCs w:val="24"/>
          <w:lang w:val="bg-BG" w:eastAsia="ar-SA" w:bidi="hi-IN"/>
        </w:rPr>
        <w:instrText xml:space="preserve"> SEQ Таблица \* ARABIC </w:instrText>
      </w:r>
      <w:r w:rsidRPr="00610B1B">
        <w:rPr>
          <w:rFonts w:ascii="Times New Roman" w:eastAsia="Lohit Devanagari" w:hAnsi="Times New Roman" w:cs="Times New Roman"/>
          <w:color w:val="00000A"/>
          <w:sz w:val="24"/>
          <w:szCs w:val="24"/>
          <w:lang w:val="bg-BG" w:eastAsia="ar-SA" w:bidi="hi-IN"/>
        </w:rPr>
        <w:fldChar w:fldCharType="separate"/>
      </w:r>
      <w:r w:rsidR="00260629" w:rsidRPr="00610B1B">
        <w:rPr>
          <w:rFonts w:ascii="Times New Roman" w:eastAsia="Lohit Devanagari" w:hAnsi="Times New Roman" w:cs="Times New Roman"/>
          <w:noProof/>
          <w:color w:val="00000A"/>
          <w:sz w:val="24"/>
          <w:szCs w:val="24"/>
          <w:lang w:val="bg-BG" w:eastAsia="ar-SA" w:bidi="hi-IN"/>
        </w:rPr>
        <w:t>6</w:t>
      </w:r>
      <w:r w:rsidRPr="00610B1B">
        <w:rPr>
          <w:rFonts w:ascii="Times New Roman" w:eastAsia="Lohit Devanagari" w:hAnsi="Times New Roman" w:cs="Times New Roman"/>
          <w:color w:val="00000A"/>
          <w:sz w:val="24"/>
          <w:szCs w:val="24"/>
          <w:lang w:val="bg-BG" w:eastAsia="ar-SA" w:bidi="hi-IN"/>
        </w:rPr>
        <w:fldChar w:fldCharType="end"/>
      </w:r>
      <w:r w:rsidRPr="00610B1B">
        <w:rPr>
          <w:rFonts w:ascii="Times New Roman" w:eastAsia="Lohit Devanagari" w:hAnsi="Times New Roman" w:cs="Times New Roman"/>
          <w:color w:val="00000A"/>
          <w:sz w:val="24"/>
          <w:szCs w:val="24"/>
          <w:lang w:val="bg-BG" w:eastAsia="ar-SA" w:bidi="hi-IN"/>
        </w:rPr>
        <w:t xml:space="preserve">: </w:t>
      </w:r>
      <w:r w:rsidR="00E9671C" w:rsidRPr="00610B1B">
        <w:rPr>
          <w:rFonts w:ascii="Times New Roman" w:eastAsia="Lohit Devanagari" w:hAnsi="Times New Roman" w:cs="Times New Roman"/>
          <w:color w:val="00000A"/>
          <w:sz w:val="24"/>
          <w:szCs w:val="24"/>
          <w:lang w:val="bg-BG" w:eastAsia="ar-SA" w:bidi="hi-IN"/>
        </w:rPr>
        <w:t>Населени места в Черноморските общини</w:t>
      </w:r>
      <w:r w:rsidR="00D66FE0" w:rsidRPr="00610B1B">
        <w:rPr>
          <w:rFonts w:ascii="Times New Roman" w:eastAsia="Lohit Devanagari" w:hAnsi="Times New Roman" w:cs="Times New Roman"/>
          <w:color w:val="00000A"/>
          <w:sz w:val="24"/>
          <w:szCs w:val="24"/>
          <w:lang w:val="bg-BG" w:eastAsia="ar-SA" w:bidi="hi-IN"/>
        </w:rPr>
        <w:t xml:space="preserve"> </w:t>
      </w:r>
      <w:r w:rsidR="00E9671C" w:rsidRPr="00610B1B">
        <w:rPr>
          <w:rFonts w:ascii="Times New Roman" w:eastAsia="Lohit Devanagari" w:hAnsi="Times New Roman" w:cs="Times New Roman"/>
          <w:color w:val="00000A"/>
          <w:sz w:val="24"/>
          <w:szCs w:val="24"/>
          <w:lang w:val="bg-BG" w:eastAsia="ar-SA" w:bidi="hi-IN"/>
        </w:rPr>
        <w:t>според броя на населението им към 31.12.2018 г.</w:t>
      </w:r>
      <w:bookmarkEnd w:id="311"/>
    </w:p>
    <w:tbl>
      <w:tblPr>
        <w:tblStyle w:val="TableGrid"/>
        <w:tblW w:w="7933" w:type="dxa"/>
        <w:tblBorders>
          <w:left w:val="none" w:sz="0" w:space="0" w:color="auto"/>
          <w:right w:val="none" w:sz="0" w:space="0" w:color="auto"/>
          <w:insideV w:val="none" w:sz="0" w:space="0" w:color="auto"/>
        </w:tblBorders>
        <w:tblLook w:val="04A0" w:firstRow="1" w:lastRow="0" w:firstColumn="1" w:lastColumn="0" w:noHBand="0" w:noVBand="1"/>
      </w:tblPr>
      <w:tblGrid>
        <w:gridCol w:w="3397"/>
        <w:gridCol w:w="993"/>
        <w:gridCol w:w="1134"/>
        <w:gridCol w:w="1275"/>
        <w:gridCol w:w="1134"/>
      </w:tblGrid>
      <w:tr w:rsidR="00325553" w:rsidRPr="00610B1B" w14:paraId="785F1486" w14:textId="77777777" w:rsidTr="001E3FED">
        <w:tc>
          <w:tcPr>
            <w:tcW w:w="3397" w:type="dxa"/>
            <w:vMerge w:val="restart"/>
            <w:shd w:val="clear" w:color="auto" w:fill="C6D9F1" w:themeFill="text2" w:themeFillTint="33"/>
            <w:vAlign w:val="center"/>
          </w:tcPr>
          <w:p w14:paraId="106CA554" w14:textId="22E4814B" w:rsidR="00325553" w:rsidRPr="00610B1B" w:rsidRDefault="00325553" w:rsidP="00D32D6A">
            <w:pPr>
              <w:rPr>
                <w:rFonts w:ascii="Times New Roman" w:hAnsi="Times New Roman" w:cs="Times New Roman"/>
                <w:lang w:val="bg-BG"/>
              </w:rPr>
            </w:pPr>
            <w:r w:rsidRPr="00610B1B">
              <w:rPr>
                <w:rFonts w:ascii="Times New Roman" w:hAnsi="Times New Roman" w:cs="Times New Roman"/>
                <w:b/>
                <w:lang w:val="bg-BG"/>
              </w:rPr>
              <w:t>Размер на населеното място според броя на населението</w:t>
            </w:r>
          </w:p>
        </w:tc>
        <w:tc>
          <w:tcPr>
            <w:tcW w:w="2127" w:type="dxa"/>
            <w:gridSpan w:val="2"/>
            <w:shd w:val="clear" w:color="auto" w:fill="C6D9F1" w:themeFill="text2" w:themeFillTint="33"/>
            <w:vAlign w:val="center"/>
          </w:tcPr>
          <w:p w14:paraId="6B9325B8" w14:textId="3340DEF5" w:rsidR="00325553" w:rsidRPr="00610B1B" w:rsidRDefault="00325553" w:rsidP="00D32D6A">
            <w:pPr>
              <w:jc w:val="center"/>
              <w:rPr>
                <w:rFonts w:ascii="Times New Roman" w:hAnsi="Times New Roman" w:cs="Times New Roman"/>
                <w:sz w:val="20"/>
                <w:szCs w:val="20"/>
                <w:lang w:val="bg-BG"/>
              </w:rPr>
            </w:pPr>
            <w:r w:rsidRPr="00610B1B">
              <w:rPr>
                <w:rFonts w:ascii="Times New Roman" w:hAnsi="Times New Roman" w:cs="Times New Roman"/>
                <w:b/>
                <w:sz w:val="20"/>
                <w:szCs w:val="20"/>
                <w:lang w:val="bg-BG"/>
              </w:rPr>
              <w:t>Населени места</w:t>
            </w:r>
          </w:p>
        </w:tc>
        <w:tc>
          <w:tcPr>
            <w:tcW w:w="2409" w:type="dxa"/>
            <w:gridSpan w:val="2"/>
            <w:shd w:val="clear" w:color="auto" w:fill="C6D9F1" w:themeFill="text2" w:themeFillTint="33"/>
            <w:vAlign w:val="center"/>
          </w:tcPr>
          <w:p w14:paraId="2DB448F1" w14:textId="5AB62622" w:rsidR="00325553" w:rsidRPr="00610B1B" w:rsidRDefault="00325553" w:rsidP="00D32D6A">
            <w:pPr>
              <w:jc w:val="center"/>
              <w:rPr>
                <w:rFonts w:ascii="Times New Roman" w:hAnsi="Times New Roman" w:cs="Times New Roman"/>
                <w:sz w:val="20"/>
                <w:szCs w:val="20"/>
                <w:lang w:val="bg-BG"/>
              </w:rPr>
            </w:pPr>
            <w:r w:rsidRPr="00610B1B">
              <w:rPr>
                <w:rFonts w:ascii="Times New Roman" w:hAnsi="Times New Roman" w:cs="Times New Roman"/>
                <w:b/>
                <w:sz w:val="20"/>
                <w:szCs w:val="20"/>
                <w:lang w:val="bg-BG"/>
              </w:rPr>
              <w:t>Население</w:t>
            </w:r>
          </w:p>
        </w:tc>
      </w:tr>
      <w:tr w:rsidR="0042644C" w:rsidRPr="00610B1B" w14:paraId="77051413" w14:textId="77777777" w:rsidTr="001E3FED">
        <w:tc>
          <w:tcPr>
            <w:tcW w:w="3397" w:type="dxa"/>
            <w:vMerge/>
            <w:shd w:val="clear" w:color="auto" w:fill="C6D9F1" w:themeFill="text2" w:themeFillTint="33"/>
            <w:vAlign w:val="center"/>
          </w:tcPr>
          <w:p w14:paraId="72A343C0" w14:textId="77777777" w:rsidR="0042644C" w:rsidRPr="00610B1B" w:rsidRDefault="0042644C" w:rsidP="00D32D6A">
            <w:pPr>
              <w:jc w:val="center"/>
              <w:rPr>
                <w:rFonts w:ascii="Times New Roman" w:hAnsi="Times New Roman" w:cs="Times New Roman"/>
                <w:lang w:val="bg-BG"/>
              </w:rPr>
            </w:pPr>
          </w:p>
        </w:tc>
        <w:tc>
          <w:tcPr>
            <w:tcW w:w="993" w:type="dxa"/>
            <w:shd w:val="clear" w:color="auto" w:fill="C6D9F1" w:themeFill="text2" w:themeFillTint="33"/>
            <w:vAlign w:val="center"/>
          </w:tcPr>
          <w:p w14:paraId="7C6B0C51" w14:textId="18E1CAFC" w:rsidR="0042644C" w:rsidRPr="00610B1B" w:rsidRDefault="0042644C" w:rsidP="00D32D6A">
            <w:pPr>
              <w:jc w:val="center"/>
              <w:rPr>
                <w:rFonts w:ascii="Times New Roman" w:hAnsi="Times New Roman" w:cs="Times New Roman"/>
                <w:sz w:val="20"/>
                <w:szCs w:val="20"/>
                <w:lang w:val="bg-BG"/>
              </w:rPr>
            </w:pPr>
            <w:r w:rsidRPr="00610B1B">
              <w:rPr>
                <w:rFonts w:ascii="Times New Roman" w:hAnsi="Times New Roman" w:cs="Times New Roman"/>
                <w:b/>
                <w:sz w:val="20"/>
                <w:szCs w:val="20"/>
                <w:lang w:val="bg-BG"/>
              </w:rPr>
              <w:t>Брой</w:t>
            </w:r>
          </w:p>
        </w:tc>
        <w:tc>
          <w:tcPr>
            <w:tcW w:w="1134" w:type="dxa"/>
            <w:shd w:val="clear" w:color="auto" w:fill="C6D9F1" w:themeFill="text2" w:themeFillTint="33"/>
            <w:vAlign w:val="center"/>
          </w:tcPr>
          <w:p w14:paraId="31C46B19" w14:textId="2934D6DA" w:rsidR="0042644C" w:rsidRPr="00610B1B" w:rsidRDefault="0042644C" w:rsidP="00D32D6A">
            <w:pPr>
              <w:jc w:val="center"/>
              <w:rPr>
                <w:rFonts w:ascii="Times New Roman" w:hAnsi="Times New Roman" w:cs="Times New Roman"/>
                <w:sz w:val="20"/>
                <w:szCs w:val="20"/>
                <w:lang w:val="bg-BG"/>
              </w:rPr>
            </w:pPr>
            <w:r w:rsidRPr="00610B1B">
              <w:rPr>
                <w:rFonts w:ascii="Times New Roman" w:hAnsi="Times New Roman" w:cs="Times New Roman"/>
                <w:b/>
                <w:sz w:val="20"/>
                <w:szCs w:val="20"/>
                <w:lang w:val="bg-BG"/>
              </w:rPr>
              <w:t>%</w:t>
            </w:r>
          </w:p>
        </w:tc>
        <w:tc>
          <w:tcPr>
            <w:tcW w:w="1275" w:type="dxa"/>
            <w:shd w:val="clear" w:color="auto" w:fill="C6D9F1" w:themeFill="text2" w:themeFillTint="33"/>
            <w:vAlign w:val="center"/>
          </w:tcPr>
          <w:p w14:paraId="574D78AB" w14:textId="3980C53B" w:rsidR="0042644C" w:rsidRPr="00610B1B" w:rsidRDefault="0042644C" w:rsidP="00D32D6A">
            <w:pPr>
              <w:jc w:val="center"/>
              <w:rPr>
                <w:rFonts w:ascii="Times New Roman" w:hAnsi="Times New Roman" w:cs="Times New Roman"/>
                <w:sz w:val="20"/>
                <w:szCs w:val="20"/>
                <w:lang w:val="bg-BG"/>
              </w:rPr>
            </w:pPr>
            <w:r w:rsidRPr="00610B1B">
              <w:rPr>
                <w:rFonts w:ascii="Times New Roman" w:hAnsi="Times New Roman" w:cs="Times New Roman"/>
                <w:b/>
                <w:sz w:val="20"/>
                <w:szCs w:val="20"/>
                <w:lang w:val="bg-BG"/>
              </w:rPr>
              <w:t>Брой</w:t>
            </w:r>
          </w:p>
        </w:tc>
        <w:tc>
          <w:tcPr>
            <w:tcW w:w="1134" w:type="dxa"/>
            <w:shd w:val="clear" w:color="auto" w:fill="C6D9F1" w:themeFill="text2" w:themeFillTint="33"/>
            <w:vAlign w:val="center"/>
          </w:tcPr>
          <w:p w14:paraId="521B291D" w14:textId="5E5F96DD" w:rsidR="0042644C" w:rsidRPr="00610B1B" w:rsidRDefault="0042644C" w:rsidP="00D32D6A">
            <w:pPr>
              <w:jc w:val="center"/>
              <w:rPr>
                <w:rFonts w:ascii="Times New Roman" w:hAnsi="Times New Roman" w:cs="Times New Roman"/>
                <w:sz w:val="20"/>
                <w:szCs w:val="20"/>
                <w:lang w:val="bg-BG"/>
              </w:rPr>
            </w:pPr>
            <w:r w:rsidRPr="00610B1B">
              <w:rPr>
                <w:rFonts w:ascii="Times New Roman" w:hAnsi="Times New Roman" w:cs="Times New Roman"/>
                <w:b/>
                <w:sz w:val="20"/>
                <w:szCs w:val="20"/>
                <w:lang w:val="bg-BG"/>
              </w:rPr>
              <w:t>%</w:t>
            </w:r>
          </w:p>
        </w:tc>
      </w:tr>
      <w:tr w:rsidR="0042644C" w:rsidRPr="00610B1B" w14:paraId="78E0F88F" w14:textId="77777777" w:rsidTr="001E3FED">
        <w:tc>
          <w:tcPr>
            <w:tcW w:w="3397" w:type="dxa"/>
            <w:vAlign w:val="bottom"/>
          </w:tcPr>
          <w:p w14:paraId="18E0153D" w14:textId="1E1BA121" w:rsidR="0042644C" w:rsidRPr="00610B1B" w:rsidRDefault="0042644C" w:rsidP="00D32D6A">
            <w:pPr>
              <w:rPr>
                <w:rFonts w:ascii="Times New Roman" w:hAnsi="Times New Roman" w:cs="Times New Roman"/>
                <w:sz w:val="22"/>
                <w:szCs w:val="22"/>
                <w:lang w:val="bg-BG"/>
              </w:rPr>
            </w:pPr>
            <w:r w:rsidRPr="00610B1B">
              <w:rPr>
                <w:rFonts w:ascii="Times New Roman" w:hAnsi="Times New Roman" w:cs="Times New Roman"/>
                <w:b/>
                <w:bCs/>
                <w:sz w:val="22"/>
                <w:szCs w:val="22"/>
                <w:lang w:val="bg-BG"/>
              </w:rPr>
              <w:t>Общо</w:t>
            </w:r>
          </w:p>
        </w:tc>
        <w:tc>
          <w:tcPr>
            <w:tcW w:w="993" w:type="dxa"/>
            <w:vAlign w:val="bottom"/>
          </w:tcPr>
          <w:p w14:paraId="679B9435" w14:textId="387156F2"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b/>
                <w:bCs/>
                <w:sz w:val="22"/>
                <w:szCs w:val="22"/>
                <w:lang w:val="bg-BG"/>
              </w:rPr>
              <w:t>202</w:t>
            </w:r>
          </w:p>
        </w:tc>
        <w:tc>
          <w:tcPr>
            <w:tcW w:w="1134" w:type="dxa"/>
            <w:vAlign w:val="bottom"/>
          </w:tcPr>
          <w:p w14:paraId="5691A74B" w14:textId="44912FE5"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b/>
                <w:bCs/>
                <w:sz w:val="22"/>
                <w:szCs w:val="22"/>
                <w:lang w:val="bg-BG"/>
              </w:rPr>
              <w:t>100</w:t>
            </w:r>
          </w:p>
        </w:tc>
        <w:tc>
          <w:tcPr>
            <w:tcW w:w="1275" w:type="dxa"/>
            <w:vAlign w:val="bottom"/>
          </w:tcPr>
          <w:p w14:paraId="2CCBD39F" w14:textId="142B966C"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b/>
                <w:bCs/>
                <w:sz w:val="22"/>
                <w:szCs w:val="22"/>
                <w:lang w:val="bg-BG"/>
              </w:rPr>
              <w:t>726 745</w:t>
            </w:r>
          </w:p>
        </w:tc>
        <w:tc>
          <w:tcPr>
            <w:tcW w:w="1134" w:type="dxa"/>
            <w:vAlign w:val="bottom"/>
          </w:tcPr>
          <w:p w14:paraId="22823967" w14:textId="3E91F16A"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b/>
                <w:bCs/>
                <w:sz w:val="22"/>
                <w:szCs w:val="22"/>
                <w:lang w:val="bg-BG"/>
              </w:rPr>
              <w:t>100</w:t>
            </w:r>
          </w:p>
        </w:tc>
      </w:tr>
      <w:tr w:rsidR="0042644C" w:rsidRPr="00610B1B" w14:paraId="7BC41FB0" w14:textId="77777777" w:rsidTr="001E3FED">
        <w:tc>
          <w:tcPr>
            <w:tcW w:w="3397" w:type="dxa"/>
            <w:vAlign w:val="bottom"/>
          </w:tcPr>
          <w:p w14:paraId="69AC857A" w14:textId="5AEFBBDD" w:rsidR="0042644C" w:rsidRPr="00610B1B" w:rsidRDefault="0042644C" w:rsidP="00D32D6A">
            <w:pPr>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Без население</w:t>
            </w:r>
          </w:p>
        </w:tc>
        <w:tc>
          <w:tcPr>
            <w:tcW w:w="993" w:type="dxa"/>
            <w:vAlign w:val="bottom"/>
          </w:tcPr>
          <w:p w14:paraId="1A897928" w14:textId="39F998F7"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1</w:t>
            </w:r>
          </w:p>
        </w:tc>
        <w:tc>
          <w:tcPr>
            <w:tcW w:w="1134" w:type="dxa"/>
            <w:vAlign w:val="bottom"/>
          </w:tcPr>
          <w:p w14:paraId="26F9B339" w14:textId="135B6971"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0,5</w:t>
            </w:r>
          </w:p>
        </w:tc>
        <w:tc>
          <w:tcPr>
            <w:tcW w:w="1275" w:type="dxa"/>
            <w:vAlign w:val="bottom"/>
          </w:tcPr>
          <w:p w14:paraId="545D5451" w14:textId="616F1563"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0</w:t>
            </w:r>
          </w:p>
        </w:tc>
        <w:tc>
          <w:tcPr>
            <w:tcW w:w="1134" w:type="dxa"/>
            <w:vAlign w:val="bottom"/>
          </w:tcPr>
          <w:p w14:paraId="1B7893A0" w14:textId="3E3D3CE3"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0,0</w:t>
            </w:r>
          </w:p>
        </w:tc>
      </w:tr>
      <w:tr w:rsidR="0042644C" w:rsidRPr="00610B1B" w14:paraId="33F8F0E2" w14:textId="77777777" w:rsidTr="001E3FED">
        <w:tc>
          <w:tcPr>
            <w:tcW w:w="3397" w:type="dxa"/>
            <w:vAlign w:val="bottom"/>
          </w:tcPr>
          <w:p w14:paraId="2E00967A" w14:textId="08676B2B" w:rsidR="0042644C" w:rsidRPr="00610B1B" w:rsidRDefault="0042644C" w:rsidP="00D32D6A">
            <w:pPr>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1-10</w:t>
            </w:r>
          </w:p>
        </w:tc>
        <w:tc>
          <w:tcPr>
            <w:tcW w:w="993" w:type="dxa"/>
            <w:vAlign w:val="bottom"/>
          </w:tcPr>
          <w:p w14:paraId="6799A3C1" w14:textId="36CDFD81"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7</w:t>
            </w:r>
          </w:p>
        </w:tc>
        <w:tc>
          <w:tcPr>
            <w:tcW w:w="1134" w:type="dxa"/>
            <w:vAlign w:val="bottom"/>
          </w:tcPr>
          <w:p w14:paraId="0C2C105D" w14:textId="178DCFF8"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3,5</w:t>
            </w:r>
          </w:p>
        </w:tc>
        <w:tc>
          <w:tcPr>
            <w:tcW w:w="1275" w:type="dxa"/>
            <w:vAlign w:val="bottom"/>
          </w:tcPr>
          <w:p w14:paraId="117C6CD2" w14:textId="0307D06C"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40</w:t>
            </w:r>
          </w:p>
        </w:tc>
        <w:tc>
          <w:tcPr>
            <w:tcW w:w="1134" w:type="dxa"/>
            <w:vAlign w:val="bottom"/>
          </w:tcPr>
          <w:p w14:paraId="6D676E22" w14:textId="160C68F7"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0,0</w:t>
            </w:r>
          </w:p>
        </w:tc>
      </w:tr>
      <w:tr w:rsidR="0042644C" w:rsidRPr="00610B1B" w14:paraId="3DA47A56" w14:textId="77777777" w:rsidTr="001E3FED">
        <w:tc>
          <w:tcPr>
            <w:tcW w:w="3397" w:type="dxa"/>
            <w:vAlign w:val="bottom"/>
          </w:tcPr>
          <w:p w14:paraId="703DE28B" w14:textId="6D9D4861" w:rsidR="0042644C" w:rsidRPr="00610B1B" w:rsidRDefault="0042644C" w:rsidP="00D32D6A">
            <w:pPr>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11 - 50</w:t>
            </w:r>
          </w:p>
        </w:tc>
        <w:tc>
          <w:tcPr>
            <w:tcW w:w="993" w:type="dxa"/>
            <w:vAlign w:val="bottom"/>
          </w:tcPr>
          <w:p w14:paraId="1128E38A" w14:textId="71480BBA"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17</w:t>
            </w:r>
          </w:p>
        </w:tc>
        <w:tc>
          <w:tcPr>
            <w:tcW w:w="1134" w:type="dxa"/>
            <w:vAlign w:val="bottom"/>
          </w:tcPr>
          <w:p w14:paraId="68ADCE1E" w14:textId="5DA56817"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8,4</w:t>
            </w:r>
          </w:p>
        </w:tc>
        <w:tc>
          <w:tcPr>
            <w:tcW w:w="1275" w:type="dxa"/>
            <w:vAlign w:val="bottom"/>
          </w:tcPr>
          <w:p w14:paraId="6EC93C72" w14:textId="1B07F025"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578</w:t>
            </w:r>
          </w:p>
        </w:tc>
        <w:tc>
          <w:tcPr>
            <w:tcW w:w="1134" w:type="dxa"/>
            <w:vAlign w:val="bottom"/>
          </w:tcPr>
          <w:p w14:paraId="3920E2AB" w14:textId="4D64288A"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0,1</w:t>
            </w:r>
          </w:p>
        </w:tc>
      </w:tr>
      <w:tr w:rsidR="0042644C" w:rsidRPr="00610B1B" w14:paraId="6232A671" w14:textId="77777777" w:rsidTr="001E3FED">
        <w:tc>
          <w:tcPr>
            <w:tcW w:w="3397" w:type="dxa"/>
            <w:vAlign w:val="bottom"/>
          </w:tcPr>
          <w:p w14:paraId="69F60244" w14:textId="7F4A8178" w:rsidR="0042644C" w:rsidRPr="00610B1B" w:rsidRDefault="0042644C" w:rsidP="00D32D6A">
            <w:pPr>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51 - 100</w:t>
            </w:r>
          </w:p>
        </w:tc>
        <w:tc>
          <w:tcPr>
            <w:tcW w:w="993" w:type="dxa"/>
            <w:vAlign w:val="bottom"/>
          </w:tcPr>
          <w:p w14:paraId="1DC1E06B" w14:textId="3E76B25C"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22</w:t>
            </w:r>
          </w:p>
        </w:tc>
        <w:tc>
          <w:tcPr>
            <w:tcW w:w="1134" w:type="dxa"/>
            <w:vAlign w:val="bottom"/>
          </w:tcPr>
          <w:p w14:paraId="31CB2A0F" w14:textId="61C5BE31"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10,9</w:t>
            </w:r>
          </w:p>
        </w:tc>
        <w:tc>
          <w:tcPr>
            <w:tcW w:w="1275" w:type="dxa"/>
            <w:vAlign w:val="bottom"/>
          </w:tcPr>
          <w:p w14:paraId="5A195C56" w14:textId="6736638E"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sz w:val="22"/>
                <w:szCs w:val="22"/>
                <w:lang w:val="bg-BG"/>
              </w:rPr>
              <w:t>1 592</w:t>
            </w:r>
          </w:p>
        </w:tc>
        <w:tc>
          <w:tcPr>
            <w:tcW w:w="1134" w:type="dxa"/>
            <w:vAlign w:val="bottom"/>
          </w:tcPr>
          <w:p w14:paraId="19F835BF" w14:textId="6F52019E"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0,2</w:t>
            </w:r>
          </w:p>
        </w:tc>
      </w:tr>
      <w:tr w:rsidR="0042644C" w:rsidRPr="00610B1B" w14:paraId="04D22F23" w14:textId="77777777" w:rsidTr="001E3FED">
        <w:tc>
          <w:tcPr>
            <w:tcW w:w="3397" w:type="dxa"/>
            <w:vAlign w:val="bottom"/>
          </w:tcPr>
          <w:p w14:paraId="4C2836E2" w14:textId="1913D567" w:rsidR="0042644C" w:rsidRPr="00610B1B" w:rsidRDefault="0042644C" w:rsidP="00D32D6A">
            <w:pPr>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101 - 500</w:t>
            </w:r>
          </w:p>
        </w:tc>
        <w:tc>
          <w:tcPr>
            <w:tcW w:w="993" w:type="dxa"/>
            <w:vAlign w:val="bottom"/>
          </w:tcPr>
          <w:p w14:paraId="3DCE6347" w14:textId="6479F501"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79</w:t>
            </w:r>
          </w:p>
        </w:tc>
        <w:tc>
          <w:tcPr>
            <w:tcW w:w="1134" w:type="dxa"/>
            <w:vAlign w:val="bottom"/>
          </w:tcPr>
          <w:p w14:paraId="31C37934" w14:textId="179500DD"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39,1</w:t>
            </w:r>
          </w:p>
        </w:tc>
        <w:tc>
          <w:tcPr>
            <w:tcW w:w="1275" w:type="dxa"/>
            <w:vAlign w:val="bottom"/>
          </w:tcPr>
          <w:p w14:paraId="330D94A3" w14:textId="2C9632E0"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20 100</w:t>
            </w:r>
          </w:p>
        </w:tc>
        <w:tc>
          <w:tcPr>
            <w:tcW w:w="1134" w:type="dxa"/>
            <w:vAlign w:val="bottom"/>
          </w:tcPr>
          <w:p w14:paraId="2B0BF567" w14:textId="00282D48"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2,8</w:t>
            </w:r>
          </w:p>
        </w:tc>
      </w:tr>
      <w:tr w:rsidR="0042644C" w:rsidRPr="00610B1B" w14:paraId="21A430C8" w14:textId="77777777" w:rsidTr="001E3FED">
        <w:tc>
          <w:tcPr>
            <w:tcW w:w="3397" w:type="dxa"/>
            <w:vAlign w:val="bottom"/>
          </w:tcPr>
          <w:p w14:paraId="0E670678" w14:textId="483136DB" w:rsidR="0042644C" w:rsidRPr="00610B1B" w:rsidRDefault="0042644C" w:rsidP="00D32D6A">
            <w:pPr>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501 - 1000</w:t>
            </w:r>
          </w:p>
        </w:tc>
        <w:tc>
          <w:tcPr>
            <w:tcW w:w="993" w:type="dxa"/>
            <w:vAlign w:val="bottom"/>
          </w:tcPr>
          <w:p w14:paraId="216FD847" w14:textId="10D8913F"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27</w:t>
            </w:r>
          </w:p>
        </w:tc>
        <w:tc>
          <w:tcPr>
            <w:tcW w:w="1134" w:type="dxa"/>
            <w:vAlign w:val="bottom"/>
          </w:tcPr>
          <w:p w14:paraId="5AC8D57D" w14:textId="0755714E"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13,4</w:t>
            </w:r>
          </w:p>
        </w:tc>
        <w:tc>
          <w:tcPr>
            <w:tcW w:w="1275" w:type="dxa"/>
            <w:vAlign w:val="bottom"/>
          </w:tcPr>
          <w:p w14:paraId="65B2F101" w14:textId="192A919F"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20 641</w:t>
            </w:r>
          </w:p>
        </w:tc>
        <w:tc>
          <w:tcPr>
            <w:tcW w:w="1134" w:type="dxa"/>
            <w:vAlign w:val="bottom"/>
          </w:tcPr>
          <w:p w14:paraId="1CD48FFA" w14:textId="3EF813E7"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2,8</w:t>
            </w:r>
          </w:p>
        </w:tc>
      </w:tr>
      <w:tr w:rsidR="0042644C" w:rsidRPr="00610B1B" w14:paraId="1636CCD4" w14:textId="77777777" w:rsidTr="001E3FED">
        <w:tc>
          <w:tcPr>
            <w:tcW w:w="3397" w:type="dxa"/>
            <w:vAlign w:val="bottom"/>
          </w:tcPr>
          <w:p w14:paraId="32F01CA8" w14:textId="4A44D122" w:rsidR="0042644C" w:rsidRPr="00610B1B" w:rsidRDefault="0042644C" w:rsidP="00D32D6A">
            <w:pPr>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1001 - 10000</w:t>
            </w:r>
          </w:p>
        </w:tc>
        <w:tc>
          <w:tcPr>
            <w:tcW w:w="993" w:type="dxa"/>
            <w:vAlign w:val="bottom"/>
          </w:tcPr>
          <w:p w14:paraId="4088351E" w14:textId="26A3BA71"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43</w:t>
            </w:r>
          </w:p>
        </w:tc>
        <w:tc>
          <w:tcPr>
            <w:tcW w:w="1134" w:type="dxa"/>
            <w:vAlign w:val="bottom"/>
          </w:tcPr>
          <w:p w14:paraId="446AA2CE" w14:textId="5B3409A8"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21,3</w:t>
            </w:r>
          </w:p>
        </w:tc>
        <w:tc>
          <w:tcPr>
            <w:tcW w:w="1275" w:type="dxa"/>
            <w:vAlign w:val="bottom"/>
          </w:tcPr>
          <w:p w14:paraId="49F489AF" w14:textId="112136DD"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96 299</w:t>
            </w:r>
          </w:p>
        </w:tc>
        <w:tc>
          <w:tcPr>
            <w:tcW w:w="1134" w:type="dxa"/>
            <w:vAlign w:val="bottom"/>
          </w:tcPr>
          <w:p w14:paraId="4552D80A" w14:textId="51AE6779"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13,3</w:t>
            </w:r>
          </w:p>
        </w:tc>
      </w:tr>
      <w:tr w:rsidR="0042644C" w:rsidRPr="00610B1B" w14:paraId="5236437C" w14:textId="77777777" w:rsidTr="001E3FED">
        <w:tc>
          <w:tcPr>
            <w:tcW w:w="3397" w:type="dxa"/>
            <w:vAlign w:val="bottom"/>
          </w:tcPr>
          <w:p w14:paraId="4F5CA8A5" w14:textId="4A04C4AA" w:rsidR="0042644C" w:rsidRPr="00610B1B" w:rsidRDefault="0042644C" w:rsidP="00D32D6A">
            <w:pPr>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10001 - 50000</w:t>
            </w:r>
          </w:p>
        </w:tc>
        <w:tc>
          <w:tcPr>
            <w:tcW w:w="993" w:type="dxa"/>
            <w:vAlign w:val="bottom"/>
          </w:tcPr>
          <w:p w14:paraId="30BEB4A8" w14:textId="04F0DFFC"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4</w:t>
            </w:r>
          </w:p>
        </w:tc>
        <w:tc>
          <w:tcPr>
            <w:tcW w:w="1134" w:type="dxa"/>
            <w:vAlign w:val="bottom"/>
          </w:tcPr>
          <w:p w14:paraId="1F256E65" w14:textId="1102C787"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2,0</w:t>
            </w:r>
          </w:p>
        </w:tc>
        <w:tc>
          <w:tcPr>
            <w:tcW w:w="1275" w:type="dxa"/>
            <w:vAlign w:val="bottom"/>
          </w:tcPr>
          <w:p w14:paraId="7A08D89A" w14:textId="4242754E"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sz w:val="22"/>
                <w:szCs w:val="22"/>
                <w:lang w:val="bg-BG"/>
              </w:rPr>
              <w:t>48 556</w:t>
            </w:r>
          </w:p>
        </w:tc>
        <w:tc>
          <w:tcPr>
            <w:tcW w:w="1134" w:type="dxa"/>
            <w:vAlign w:val="bottom"/>
          </w:tcPr>
          <w:p w14:paraId="406A89D3" w14:textId="297708E1"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6,7</w:t>
            </w:r>
          </w:p>
        </w:tc>
      </w:tr>
      <w:tr w:rsidR="0042644C" w:rsidRPr="00610B1B" w14:paraId="160A55C8" w14:textId="77777777" w:rsidTr="001E3FED">
        <w:tc>
          <w:tcPr>
            <w:tcW w:w="3397" w:type="dxa"/>
            <w:vAlign w:val="bottom"/>
          </w:tcPr>
          <w:p w14:paraId="06C7D21A" w14:textId="468D3284" w:rsidR="0042644C" w:rsidRPr="00610B1B" w:rsidRDefault="0042644C" w:rsidP="00D32D6A">
            <w:pPr>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50001 - 100000</w:t>
            </w:r>
          </w:p>
        </w:tc>
        <w:tc>
          <w:tcPr>
            <w:tcW w:w="993" w:type="dxa"/>
            <w:vAlign w:val="bottom"/>
          </w:tcPr>
          <w:p w14:paraId="3AD3F20F" w14:textId="3C1CDA2A"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0</w:t>
            </w:r>
          </w:p>
        </w:tc>
        <w:tc>
          <w:tcPr>
            <w:tcW w:w="1134" w:type="dxa"/>
            <w:vAlign w:val="bottom"/>
          </w:tcPr>
          <w:p w14:paraId="6FF9EF48" w14:textId="6C5BBFED"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0,0</w:t>
            </w:r>
          </w:p>
        </w:tc>
        <w:tc>
          <w:tcPr>
            <w:tcW w:w="1275" w:type="dxa"/>
            <w:vAlign w:val="bottom"/>
          </w:tcPr>
          <w:p w14:paraId="625D8215" w14:textId="7EE69787"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0</w:t>
            </w:r>
          </w:p>
        </w:tc>
        <w:tc>
          <w:tcPr>
            <w:tcW w:w="1134" w:type="dxa"/>
            <w:vAlign w:val="bottom"/>
          </w:tcPr>
          <w:p w14:paraId="3854533E" w14:textId="6F3897A2"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0,0</w:t>
            </w:r>
          </w:p>
        </w:tc>
      </w:tr>
      <w:tr w:rsidR="0042644C" w:rsidRPr="00610B1B" w14:paraId="47A549CC" w14:textId="77777777" w:rsidTr="001E3FED">
        <w:tc>
          <w:tcPr>
            <w:tcW w:w="3397" w:type="dxa"/>
            <w:vAlign w:val="bottom"/>
          </w:tcPr>
          <w:p w14:paraId="25898E7C" w14:textId="41A060C4" w:rsidR="0042644C" w:rsidRPr="00610B1B" w:rsidRDefault="0042644C" w:rsidP="00D32D6A">
            <w:pPr>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100000 и повече</w:t>
            </w:r>
          </w:p>
        </w:tc>
        <w:tc>
          <w:tcPr>
            <w:tcW w:w="993" w:type="dxa"/>
            <w:vAlign w:val="bottom"/>
          </w:tcPr>
          <w:p w14:paraId="292BE0B2" w14:textId="4DCB93F7"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2</w:t>
            </w:r>
          </w:p>
        </w:tc>
        <w:tc>
          <w:tcPr>
            <w:tcW w:w="1134" w:type="dxa"/>
            <w:vAlign w:val="bottom"/>
          </w:tcPr>
          <w:p w14:paraId="1357E89B" w14:textId="7320278A"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1,0</w:t>
            </w:r>
          </w:p>
        </w:tc>
        <w:tc>
          <w:tcPr>
            <w:tcW w:w="1275" w:type="dxa"/>
            <w:vAlign w:val="bottom"/>
          </w:tcPr>
          <w:p w14:paraId="2E8330EA" w14:textId="0A9B13F2"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sz w:val="22"/>
                <w:szCs w:val="22"/>
                <w:lang w:val="bg-BG"/>
              </w:rPr>
              <w:t>538 939</w:t>
            </w:r>
          </w:p>
        </w:tc>
        <w:tc>
          <w:tcPr>
            <w:tcW w:w="1134" w:type="dxa"/>
            <w:vAlign w:val="bottom"/>
          </w:tcPr>
          <w:p w14:paraId="79F85A18" w14:textId="389C7867" w:rsidR="0042644C" w:rsidRPr="00610B1B" w:rsidRDefault="0042644C" w:rsidP="00D32D6A">
            <w:pPr>
              <w:jc w:val="right"/>
              <w:rPr>
                <w:rFonts w:ascii="Times New Roman" w:hAnsi="Times New Roman" w:cs="Times New Roman"/>
                <w:sz w:val="22"/>
                <w:szCs w:val="22"/>
                <w:lang w:val="bg-BG"/>
              </w:rPr>
            </w:pPr>
            <w:r w:rsidRPr="00610B1B">
              <w:rPr>
                <w:rFonts w:ascii="Times New Roman" w:hAnsi="Times New Roman" w:cs="Times New Roman"/>
                <w:color w:val="000000"/>
                <w:sz w:val="22"/>
                <w:szCs w:val="22"/>
                <w:lang w:val="bg-BG"/>
              </w:rPr>
              <w:t>74,2</w:t>
            </w:r>
          </w:p>
        </w:tc>
      </w:tr>
    </w:tbl>
    <w:p w14:paraId="2DFDEF6F" w14:textId="3F299E05" w:rsidR="0082227D" w:rsidRPr="00610B1B" w:rsidRDefault="0082227D" w:rsidP="001757A5">
      <w:pPr>
        <w:spacing w:before="60" w:after="0" w:line="240" w:lineRule="auto"/>
        <w:ind w:right="-153"/>
        <w:jc w:val="both"/>
        <w:rPr>
          <w:rFonts w:ascii="Times New Roman" w:hAnsi="Times New Roman" w:cs="Times New Roman"/>
          <w:lang w:val="bg-BG"/>
        </w:rPr>
      </w:pPr>
      <w:r w:rsidRPr="00610B1B">
        <w:rPr>
          <w:rFonts w:ascii="Times New Roman" w:hAnsi="Times New Roman" w:cs="Times New Roman"/>
          <w:lang w:val="bg-BG"/>
        </w:rPr>
        <w:t>Източник: НСИ, обработка НЦТР</w:t>
      </w:r>
    </w:p>
    <w:p w14:paraId="62B1695B" w14:textId="3C3BAC42" w:rsidR="0082227D" w:rsidRPr="00610B1B" w:rsidRDefault="000434A3"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 xml:space="preserve">Според броя на населението в общините към 31.12.2018 г. то </w:t>
      </w:r>
      <w:r w:rsidR="00BC6049" w:rsidRPr="00610B1B">
        <w:rPr>
          <w:rFonts w:ascii="Times New Roman" w:hAnsi="Times New Roman" w:cs="Times New Roman"/>
          <w:sz w:val="24"/>
          <w:szCs w:val="24"/>
          <w:lang w:val="bg-BG"/>
        </w:rPr>
        <w:t xml:space="preserve">разпределението му логично показва неравномерност и концентрация от 76,3% в двете най-големи общини Варна (345 369 души) и Бургас (208 915 души). </w:t>
      </w:r>
      <w:r w:rsidR="0082227D" w:rsidRPr="00610B1B">
        <w:rPr>
          <w:rFonts w:ascii="Times New Roman" w:hAnsi="Times New Roman" w:cs="Times New Roman"/>
          <w:sz w:val="24"/>
          <w:szCs w:val="24"/>
          <w:lang w:val="bg-BG"/>
        </w:rPr>
        <w:t>Средният брой лица, изчислени за една община към 31.12.2018 г. възлиза на 51 910 лица.</w:t>
      </w:r>
      <w:r w:rsidR="005D581C" w:rsidRPr="00610B1B">
        <w:rPr>
          <w:rFonts w:ascii="Times New Roman" w:hAnsi="Times New Roman" w:cs="Times New Roman"/>
          <w:sz w:val="24"/>
          <w:szCs w:val="24"/>
          <w:lang w:val="bg-BG"/>
        </w:rPr>
        <w:t xml:space="preserve"> </w:t>
      </w:r>
      <w:r w:rsidR="0082227D" w:rsidRPr="00610B1B">
        <w:rPr>
          <w:rFonts w:ascii="Times New Roman" w:hAnsi="Times New Roman" w:cs="Times New Roman"/>
          <w:sz w:val="24"/>
          <w:szCs w:val="24"/>
          <w:lang w:val="bg-BG"/>
        </w:rPr>
        <w:t>В 2 общини с население под 6</w:t>
      </w:r>
      <w:r w:rsidR="005D581C" w:rsidRPr="00610B1B">
        <w:rPr>
          <w:rFonts w:ascii="Times New Roman" w:hAnsi="Times New Roman" w:cs="Times New Roman"/>
          <w:sz w:val="24"/>
          <w:szCs w:val="24"/>
          <w:lang w:val="bg-BG"/>
        </w:rPr>
        <w:t> </w:t>
      </w:r>
      <w:r w:rsidR="0082227D" w:rsidRPr="00610B1B">
        <w:rPr>
          <w:rFonts w:ascii="Times New Roman" w:hAnsi="Times New Roman" w:cs="Times New Roman"/>
          <w:sz w:val="24"/>
          <w:szCs w:val="24"/>
          <w:lang w:val="bg-BG"/>
        </w:rPr>
        <w:t>000 души</w:t>
      </w:r>
      <w:r w:rsidR="0082227D" w:rsidRPr="00610B1B">
        <w:rPr>
          <w:rStyle w:val="FootnoteReference"/>
          <w:rFonts w:ascii="Times New Roman" w:hAnsi="Times New Roman" w:cs="Times New Roman"/>
          <w:sz w:val="24"/>
          <w:szCs w:val="24"/>
          <w:lang w:val="bg-BG"/>
        </w:rPr>
        <w:footnoteReference w:id="100"/>
      </w:r>
      <w:r w:rsidR="0076412F" w:rsidRPr="00610B1B">
        <w:rPr>
          <w:rFonts w:ascii="Times New Roman" w:hAnsi="Times New Roman" w:cs="Times New Roman"/>
          <w:sz w:val="24"/>
          <w:szCs w:val="24"/>
          <w:lang w:val="bg-BG"/>
        </w:rPr>
        <w:t xml:space="preserve"> живеят едва 1,</w:t>
      </w:r>
      <w:r w:rsidR="0082227D" w:rsidRPr="00610B1B">
        <w:rPr>
          <w:rFonts w:ascii="Times New Roman" w:hAnsi="Times New Roman" w:cs="Times New Roman"/>
          <w:sz w:val="24"/>
          <w:szCs w:val="24"/>
          <w:lang w:val="bg-BG"/>
        </w:rPr>
        <w:t>1% от населението на общините. Най-малката община е Бяла –</w:t>
      </w:r>
      <w:r w:rsidR="00D66FE0" w:rsidRPr="00610B1B">
        <w:rPr>
          <w:rFonts w:ascii="Times New Roman" w:hAnsi="Times New Roman" w:cs="Times New Roman"/>
          <w:sz w:val="24"/>
          <w:szCs w:val="24"/>
          <w:lang w:val="bg-BG"/>
        </w:rPr>
        <w:t xml:space="preserve"> </w:t>
      </w:r>
      <w:r w:rsidR="0082227D" w:rsidRPr="00610B1B">
        <w:rPr>
          <w:rFonts w:ascii="Times New Roman" w:hAnsi="Times New Roman" w:cs="Times New Roman"/>
          <w:sz w:val="24"/>
          <w:szCs w:val="24"/>
          <w:lang w:val="bg-BG"/>
        </w:rPr>
        <w:t>3 282 души, следвана от община Шабла (4 367) души.</w:t>
      </w:r>
    </w:p>
    <w:p w14:paraId="3D93D4E5" w14:textId="423D914E" w:rsidR="0082227D" w:rsidRPr="00610B1B" w:rsidRDefault="0082227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Черно море е играло ролята на градообразуващ фактор от най-ран</w:t>
      </w:r>
      <w:r w:rsidR="00E9671C" w:rsidRPr="00610B1B">
        <w:rPr>
          <w:rFonts w:ascii="Times New Roman" w:hAnsi="Times New Roman" w:cs="Times New Roman"/>
          <w:sz w:val="24"/>
          <w:szCs w:val="24"/>
          <w:lang w:val="bg-BG"/>
        </w:rPr>
        <w:t>н</w:t>
      </w:r>
      <w:r w:rsidRPr="00610B1B">
        <w:rPr>
          <w:rFonts w:ascii="Times New Roman" w:hAnsi="Times New Roman" w:cs="Times New Roman"/>
          <w:sz w:val="24"/>
          <w:szCs w:val="24"/>
          <w:lang w:val="bg-BG"/>
        </w:rPr>
        <w:t xml:space="preserve">и исторически епохи, когато по крайбрежието са били основани първите тракийски поселища. </w:t>
      </w:r>
      <w:r w:rsidR="0076412F" w:rsidRPr="00610B1B">
        <w:rPr>
          <w:rFonts w:ascii="Times New Roman" w:hAnsi="Times New Roman" w:cs="Times New Roman"/>
          <w:sz w:val="24"/>
          <w:szCs w:val="24"/>
          <w:lang w:val="bg-BG"/>
        </w:rPr>
        <w:t>П</w:t>
      </w:r>
      <w:r w:rsidRPr="00610B1B">
        <w:rPr>
          <w:rFonts w:ascii="Times New Roman" w:hAnsi="Times New Roman" w:cs="Times New Roman"/>
          <w:sz w:val="24"/>
          <w:szCs w:val="24"/>
          <w:lang w:val="bg-BG"/>
        </w:rPr>
        <w:t>рез втората половина на 7 век пр.</w:t>
      </w:r>
      <w:r w:rsidR="008E5D9F" w:rsidRPr="00610B1B">
        <w:rPr>
          <w:rFonts w:ascii="Times New Roman" w:hAnsi="Times New Roman" w:cs="Times New Roman"/>
          <w:sz w:val="24"/>
          <w:szCs w:val="24"/>
          <w:lang w:val="bg-BG"/>
        </w:rPr>
        <w:t> </w:t>
      </w:r>
      <w:r w:rsidR="006B6BE2" w:rsidRPr="00610B1B">
        <w:rPr>
          <w:rFonts w:ascii="Times New Roman" w:hAnsi="Times New Roman" w:cs="Times New Roman"/>
          <w:sz w:val="24"/>
          <w:szCs w:val="24"/>
          <w:lang w:val="bg-BG"/>
        </w:rPr>
        <w:t>Хр</w:t>
      </w:r>
      <w:r w:rsidRPr="00610B1B">
        <w:rPr>
          <w:rFonts w:ascii="Times New Roman" w:hAnsi="Times New Roman" w:cs="Times New Roman"/>
          <w:sz w:val="24"/>
          <w:szCs w:val="24"/>
          <w:lang w:val="bg-BG"/>
        </w:rPr>
        <w:t>. по Западното Черноморско крайбрежие са основани първите гръцки колонии</w:t>
      </w:r>
      <w:r w:rsidR="00E9671C"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Първите градове, създадени по </w:t>
      </w:r>
      <w:r w:rsidR="0076412F" w:rsidRPr="00610B1B">
        <w:rPr>
          <w:rFonts w:ascii="Times New Roman" w:hAnsi="Times New Roman" w:cs="Times New Roman"/>
          <w:sz w:val="24"/>
          <w:szCs w:val="24"/>
          <w:lang w:val="bg-BG"/>
        </w:rPr>
        <w:t xml:space="preserve">българското </w:t>
      </w:r>
      <w:r w:rsidRPr="00610B1B">
        <w:rPr>
          <w:rFonts w:ascii="Times New Roman" w:hAnsi="Times New Roman" w:cs="Times New Roman"/>
          <w:sz w:val="24"/>
          <w:szCs w:val="24"/>
          <w:lang w:val="bg-BG"/>
        </w:rPr>
        <w:t>Черноморско крайбрежие на мястото на стари тракийски селища или в близост до тях, са Дионисопол (Балчик), Одесос (Варна), Месемврия (Несебър), Анхиало (Поморие) и Аполония (Созопол)</w:t>
      </w:r>
      <w:r w:rsidR="00C07C46"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w:t>
      </w:r>
    </w:p>
    <w:p w14:paraId="5E2E26D1" w14:textId="3065206E" w:rsidR="0082227D" w:rsidRPr="00610B1B" w:rsidRDefault="0082227D"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Към края на 2018 г. </w:t>
      </w:r>
      <w:r w:rsidRPr="00610B1B">
        <w:rPr>
          <w:rFonts w:ascii="Times New Roman" w:hAnsi="Times New Roman" w:cs="Times New Roman"/>
          <w:b/>
          <w:sz w:val="24"/>
          <w:szCs w:val="24"/>
          <w:lang w:val="bg-BG"/>
        </w:rPr>
        <w:t>градовете</w:t>
      </w:r>
      <w:r w:rsidRPr="00610B1B">
        <w:rPr>
          <w:rFonts w:ascii="Times New Roman" w:hAnsi="Times New Roman" w:cs="Times New Roman"/>
          <w:sz w:val="24"/>
          <w:szCs w:val="24"/>
          <w:lang w:val="bg-BG"/>
        </w:rPr>
        <w:t xml:space="preserve"> разположени в Черноморските общини са 22 и в тях живеят 640 803 души, </w:t>
      </w:r>
      <w:r w:rsidR="006210EB" w:rsidRPr="00610B1B">
        <w:rPr>
          <w:rFonts w:ascii="Times New Roman" w:hAnsi="Times New Roman" w:cs="Times New Roman"/>
          <w:sz w:val="24"/>
          <w:szCs w:val="24"/>
          <w:lang w:val="bg-BG"/>
        </w:rPr>
        <w:t>до</w:t>
      </w:r>
      <w:r w:rsidRPr="00610B1B">
        <w:rPr>
          <w:rFonts w:ascii="Times New Roman" w:hAnsi="Times New Roman" w:cs="Times New Roman"/>
          <w:sz w:val="24"/>
          <w:szCs w:val="24"/>
          <w:lang w:val="bg-BG"/>
        </w:rPr>
        <w:t>като в края на 2011 г. в тях са живели 634 984 души, или за 7 години населениет</w:t>
      </w:r>
      <w:r w:rsidR="001363AC" w:rsidRPr="00610B1B">
        <w:rPr>
          <w:rFonts w:ascii="Times New Roman" w:hAnsi="Times New Roman" w:cs="Times New Roman"/>
          <w:sz w:val="24"/>
          <w:szCs w:val="24"/>
          <w:lang w:val="bg-BG"/>
        </w:rPr>
        <w:t>о се увеличава с 5 919</w:t>
      </w:r>
      <w:r w:rsidR="00D66FE0" w:rsidRPr="00610B1B">
        <w:rPr>
          <w:rFonts w:ascii="Times New Roman" w:hAnsi="Times New Roman" w:cs="Times New Roman"/>
          <w:sz w:val="24"/>
          <w:szCs w:val="24"/>
          <w:lang w:val="bg-BG"/>
        </w:rPr>
        <w:t xml:space="preserve"> </w:t>
      </w:r>
      <w:r w:rsidR="001363AC" w:rsidRPr="00610B1B">
        <w:rPr>
          <w:rFonts w:ascii="Times New Roman" w:hAnsi="Times New Roman" w:cs="Times New Roman"/>
          <w:sz w:val="24"/>
          <w:szCs w:val="24"/>
          <w:lang w:val="bg-BG"/>
        </w:rPr>
        <w:t>души (0,</w:t>
      </w:r>
      <w:r w:rsidRPr="00610B1B">
        <w:rPr>
          <w:rFonts w:ascii="Times New Roman" w:hAnsi="Times New Roman" w:cs="Times New Roman"/>
          <w:sz w:val="24"/>
          <w:szCs w:val="24"/>
          <w:lang w:val="bg-BG"/>
        </w:rPr>
        <w:t>9%). През същия период населението на гра</w:t>
      </w:r>
      <w:r w:rsidR="001363AC" w:rsidRPr="00610B1B">
        <w:rPr>
          <w:rFonts w:ascii="Times New Roman" w:hAnsi="Times New Roman" w:cs="Times New Roman"/>
          <w:sz w:val="24"/>
          <w:szCs w:val="24"/>
          <w:lang w:val="bg-BG"/>
        </w:rPr>
        <w:t>довете в страната намалява с -3,</w:t>
      </w:r>
      <w:r w:rsidRPr="00610B1B">
        <w:rPr>
          <w:rFonts w:ascii="Times New Roman" w:hAnsi="Times New Roman" w:cs="Times New Roman"/>
          <w:sz w:val="24"/>
          <w:szCs w:val="24"/>
          <w:lang w:val="bg-BG"/>
        </w:rPr>
        <w:t xml:space="preserve">9%, или черноморските градове са в по-благоприятна ситуация от повечето градове в страната. В периода 2011–2018 г. нараства населението на </w:t>
      </w:r>
      <w:r w:rsidR="001363AC" w:rsidRPr="00610B1B">
        <w:rPr>
          <w:rFonts w:ascii="Times New Roman" w:hAnsi="Times New Roman" w:cs="Times New Roman"/>
          <w:sz w:val="24"/>
          <w:szCs w:val="24"/>
          <w:lang w:val="bg-BG"/>
        </w:rPr>
        <w:t>9 града:</w:t>
      </w:r>
      <w:r w:rsidR="00D66FE0" w:rsidRPr="00610B1B">
        <w:rPr>
          <w:rFonts w:ascii="Times New Roman" w:hAnsi="Times New Roman" w:cs="Times New Roman"/>
          <w:sz w:val="24"/>
          <w:szCs w:val="24"/>
          <w:lang w:val="bg-BG"/>
        </w:rPr>
        <w:t xml:space="preserve"> </w:t>
      </w:r>
      <w:r w:rsidR="001363AC" w:rsidRPr="00610B1B">
        <w:rPr>
          <w:rFonts w:ascii="Times New Roman" w:hAnsi="Times New Roman" w:cs="Times New Roman"/>
          <w:sz w:val="24"/>
          <w:szCs w:val="24"/>
          <w:lang w:val="bg-BG"/>
        </w:rPr>
        <w:t>Бургас с 2 950</w:t>
      </w:r>
      <w:r w:rsidR="00D66FE0" w:rsidRPr="00610B1B">
        <w:rPr>
          <w:rFonts w:ascii="Times New Roman" w:hAnsi="Times New Roman" w:cs="Times New Roman"/>
          <w:sz w:val="24"/>
          <w:szCs w:val="24"/>
          <w:lang w:val="bg-BG"/>
        </w:rPr>
        <w:t xml:space="preserve"> </w:t>
      </w:r>
      <w:r w:rsidR="001363AC" w:rsidRPr="00610B1B">
        <w:rPr>
          <w:rFonts w:ascii="Times New Roman" w:hAnsi="Times New Roman" w:cs="Times New Roman"/>
          <w:sz w:val="24"/>
          <w:szCs w:val="24"/>
          <w:lang w:val="bg-BG"/>
        </w:rPr>
        <w:t>д. (0,5%),</w:t>
      </w:r>
      <w:r w:rsidR="00D66FE0" w:rsidRPr="00610B1B">
        <w:rPr>
          <w:rFonts w:ascii="Times New Roman" w:hAnsi="Times New Roman" w:cs="Times New Roman"/>
          <w:sz w:val="24"/>
          <w:szCs w:val="24"/>
          <w:lang w:val="bg-BG"/>
        </w:rPr>
        <w:t xml:space="preserve"> </w:t>
      </w:r>
      <w:r w:rsidR="001363AC" w:rsidRPr="00610B1B">
        <w:rPr>
          <w:rFonts w:ascii="Times New Roman" w:hAnsi="Times New Roman" w:cs="Times New Roman"/>
          <w:sz w:val="24"/>
          <w:szCs w:val="24"/>
          <w:lang w:val="bg-BG"/>
        </w:rPr>
        <w:t>Несебър 2</w:t>
      </w:r>
      <w:r w:rsidR="00D23EDE" w:rsidRPr="00610B1B">
        <w:rPr>
          <w:rFonts w:ascii="Times New Roman" w:hAnsi="Times New Roman" w:cs="Times New Roman"/>
          <w:sz w:val="24"/>
          <w:szCs w:val="24"/>
          <w:lang w:val="bg-BG"/>
        </w:rPr>
        <w:t> </w:t>
      </w:r>
      <w:r w:rsidR="001363AC" w:rsidRPr="00610B1B">
        <w:rPr>
          <w:rFonts w:ascii="Times New Roman" w:hAnsi="Times New Roman" w:cs="Times New Roman"/>
          <w:sz w:val="24"/>
          <w:szCs w:val="24"/>
          <w:lang w:val="bg-BG"/>
        </w:rPr>
        <w:t>552 д. (24,</w:t>
      </w:r>
      <w:r w:rsidRPr="00610B1B">
        <w:rPr>
          <w:rFonts w:ascii="Times New Roman" w:hAnsi="Times New Roman" w:cs="Times New Roman"/>
          <w:sz w:val="24"/>
          <w:szCs w:val="24"/>
          <w:lang w:val="bg-BG"/>
        </w:rPr>
        <w:t>2%),</w:t>
      </w:r>
      <w:r w:rsidR="00C415D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Варна</w:t>
      </w:r>
      <w:r w:rsidR="001363AC" w:rsidRPr="00610B1B">
        <w:rPr>
          <w:rFonts w:ascii="Times New Roman" w:hAnsi="Times New Roman" w:cs="Times New Roman"/>
          <w:sz w:val="24"/>
          <w:szCs w:val="24"/>
          <w:lang w:val="bg-BG"/>
        </w:rPr>
        <w:t xml:space="preserve"> с 1</w:t>
      </w:r>
      <w:r w:rsidR="00D23EDE" w:rsidRPr="00610B1B">
        <w:rPr>
          <w:rFonts w:ascii="Times New Roman" w:hAnsi="Times New Roman" w:cs="Times New Roman"/>
          <w:sz w:val="24"/>
          <w:szCs w:val="24"/>
          <w:lang w:val="bg-BG"/>
        </w:rPr>
        <w:t> </w:t>
      </w:r>
      <w:r w:rsidR="001363AC" w:rsidRPr="00610B1B">
        <w:rPr>
          <w:rFonts w:ascii="Times New Roman" w:hAnsi="Times New Roman" w:cs="Times New Roman"/>
          <w:sz w:val="24"/>
          <w:szCs w:val="24"/>
          <w:lang w:val="bg-BG"/>
        </w:rPr>
        <w:t>724 д. (0,5%),</w:t>
      </w:r>
      <w:r w:rsidR="00D66FE0" w:rsidRPr="00610B1B">
        <w:rPr>
          <w:rFonts w:ascii="Times New Roman" w:hAnsi="Times New Roman" w:cs="Times New Roman"/>
          <w:sz w:val="24"/>
          <w:szCs w:val="24"/>
          <w:lang w:val="bg-BG"/>
        </w:rPr>
        <w:t xml:space="preserve"> </w:t>
      </w:r>
      <w:r w:rsidR="001363AC" w:rsidRPr="00610B1B">
        <w:rPr>
          <w:rFonts w:ascii="Times New Roman" w:hAnsi="Times New Roman" w:cs="Times New Roman"/>
          <w:sz w:val="24"/>
          <w:szCs w:val="24"/>
          <w:lang w:val="bg-BG"/>
        </w:rPr>
        <w:t>Свети Влас 865 (29,8%), Обзор 212 (9,8%), Поморие 130 (1,0%), Бяла 76 д. (3,8%), Созопол 57 д. (1,3%) и Черноморец 32 д. (1,</w:t>
      </w:r>
      <w:r w:rsidRPr="00610B1B">
        <w:rPr>
          <w:rFonts w:ascii="Times New Roman" w:hAnsi="Times New Roman" w:cs="Times New Roman"/>
          <w:sz w:val="24"/>
          <w:szCs w:val="24"/>
          <w:lang w:val="bg-BG"/>
        </w:rPr>
        <w:t xml:space="preserve">6%). По голямо намаление на населението през този период </w:t>
      </w:r>
      <w:r w:rsidR="00C07C46" w:rsidRPr="00610B1B">
        <w:rPr>
          <w:rFonts w:ascii="Times New Roman" w:hAnsi="Times New Roman" w:cs="Times New Roman"/>
          <w:sz w:val="24"/>
          <w:szCs w:val="24"/>
          <w:lang w:val="bg-BG"/>
        </w:rPr>
        <w:t>се забелязва при</w:t>
      </w:r>
      <w:r w:rsidR="001363AC" w:rsidRPr="00610B1B">
        <w:rPr>
          <w:rFonts w:ascii="Times New Roman" w:hAnsi="Times New Roman" w:cs="Times New Roman"/>
          <w:sz w:val="24"/>
          <w:szCs w:val="24"/>
          <w:lang w:val="bg-BG"/>
        </w:rPr>
        <w:t xml:space="preserve"> градовете Каварна – 714 д. (-6,2%) и Балчик</w:t>
      </w:r>
      <w:r w:rsidR="00D66FE0" w:rsidRPr="00610B1B">
        <w:rPr>
          <w:rFonts w:ascii="Times New Roman" w:hAnsi="Times New Roman" w:cs="Times New Roman"/>
          <w:sz w:val="24"/>
          <w:szCs w:val="24"/>
          <w:lang w:val="bg-BG"/>
        </w:rPr>
        <w:t xml:space="preserve"> </w:t>
      </w:r>
      <w:r w:rsidR="001363AC" w:rsidRPr="00610B1B">
        <w:rPr>
          <w:rFonts w:ascii="Times New Roman" w:hAnsi="Times New Roman" w:cs="Times New Roman"/>
          <w:sz w:val="24"/>
          <w:szCs w:val="24"/>
          <w:lang w:val="bg-BG"/>
        </w:rPr>
        <w:t>542 д. (-4,</w:t>
      </w:r>
      <w:r w:rsidRPr="00610B1B">
        <w:rPr>
          <w:rFonts w:ascii="Times New Roman" w:hAnsi="Times New Roman" w:cs="Times New Roman"/>
          <w:sz w:val="24"/>
          <w:szCs w:val="24"/>
          <w:lang w:val="bg-BG"/>
        </w:rPr>
        <w:t>7%). Според съществуващия брой на населението им градовете се категоризират</w:t>
      </w:r>
      <w:r w:rsidRPr="00610B1B">
        <w:rPr>
          <w:rStyle w:val="FootnoteReference"/>
          <w:rFonts w:ascii="Times New Roman" w:hAnsi="Times New Roman" w:cs="Times New Roman"/>
          <w:sz w:val="24"/>
          <w:szCs w:val="24"/>
          <w:lang w:val="bg-BG"/>
        </w:rPr>
        <w:footnoteReference w:id="101"/>
      </w:r>
      <w:r w:rsidRPr="00610B1B">
        <w:rPr>
          <w:rFonts w:ascii="Times New Roman" w:hAnsi="Times New Roman" w:cs="Times New Roman"/>
          <w:sz w:val="24"/>
          <w:szCs w:val="24"/>
          <w:lang w:val="bg-BG"/>
        </w:rPr>
        <w:t xml:space="preserve"> както следва: </w:t>
      </w:r>
    </w:p>
    <w:p w14:paraId="3142B277" w14:textId="53303EDC" w:rsidR="00F5321F" w:rsidRPr="00610B1B" w:rsidRDefault="00E57141" w:rsidP="00E37053">
      <w:pPr>
        <w:autoSpaceDE w:val="0"/>
        <w:autoSpaceDN w:val="0"/>
        <w:adjustRightInd w:val="0"/>
        <w:spacing w:after="70" w:line="240" w:lineRule="auto"/>
        <w:ind w:right="-153"/>
        <w:jc w:val="both"/>
        <w:rPr>
          <w:rFonts w:ascii="Times New Roman" w:eastAsia="Lohit Devanagari" w:hAnsi="Times New Roman" w:cs="Times New Roman"/>
          <w:color w:val="00000A"/>
          <w:sz w:val="24"/>
          <w:szCs w:val="24"/>
          <w:lang w:val="bg-BG" w:eastAsia="ar-SA" w:bidi="hi-IN"/>
        </w:rPr>
      </w:pPr>
      <w:bookmarkStart w:id="312" w:name="_Toc83391603"/>
      <w:r w:rsidRPr="00610B1B">
        <w:rPr>
          <w:rFonts w:ascii="Times New Roman" w:eastAsia="Lohit Devanagari" w:hAnsi="Times New Roman" w:cs="Times New Roman"/>
          <w:color w:val="00000A"/>
          <w:sz w:val="24"/>
          <w:szCs w:val="24"/>
          <w:lang w:val="bg-BG" w:eastAsia="ar-SA" w:bidi="hi-IN"/>
        </w:rPr>
        <w:t xml:space="preserve">Таблица </w:t>
      </w:r>
      <w:r w:rsidRPr="00610B1B">
        <w:rPr>
          <w:rFonts w:ascii="Times New Roman" w:eastAsia="Lohit Devanagari" w:hAnsi="Times New Roman" w:cs="Times New Roman"/>
          <w:color w:val="00000A"/>
          <w:sz w:val="24"/>
          <w:szCs w:val="24"/>
          <w:lang w:val="bg-BG" w:eastAsia="ar-SA" w:bidi="hi-IN"/>
        </w:rPr>
        <w:fldChar w:fldCharType="begin"/>
      </w:r>
      <w:r w:rsidRPr="00610B1B">
        <w:rPr>
          <w:rFonts w:ascii="Times New Roman" w:eastAsia="Lohit Devanagari" w:hAnsi="Times New Roman" w:cs="Times New Roman"/>
          <w:color w:val="00000A"/>
          <w:sz w:val="24"/>
          <w:szCs w:val="24"/>
          <w:lang w:val="bg-BG" w:eastAsia="ar-SA" w:bidi="hi-IN"/>
        </w:rPr>
        <w:instrText xml:space="preserve"> SEQ Таблица \* ARABIC </w:instrText>
      </w:r>
      <w:r w:rsidRPr="00610B1B">
        <w:rPr>
          <w:rFonts w:ascii="Times New Roman" w:eastAsia="Lohit Devanagari" w:hAnsi="Times New Roman" w:cs="Times New Roman"/>
          <w:color w:val="00000A"/>
          <w:sz w:val="24"/>
          <w:szCs w:val="24"/>
          <w:lang w:val="bg-BG" w:eastAsia="ar-SA" w:bidi="hi-IN"/>
        </w:rPr>
        <w:fldChar w:fldCharType="separate"/>
      </w:r>
      <w:r w:rsidR="00260629" w:rsidRPr="00610B1B">
        <w:rPr>
          <w:rFonts w:ascii="Times New Roman" w:eastAsia="Lohit Devanagari" w:hAnsi="Times New Roman" w:cs="Times New Roman"/>
          <w:noProof/>
          <w:color w:val="00000A"/>
          <w:sz w:val="24"/>
          <w:szCs w:val="24"/>
          <w:lang w:val="bg-BG" w:eastAsia="ar-SA" w:bidi="hi-IN"/>
        </w:rPr>
        <w:t>7</w:t>
      </w:r>
      <w:r w:rsidRPr="00610B1B">
        <w:rPr>
          <w:rFonts w:ascii="Times New Roman" w:eastAsia="Lohit Devanagari" w:hAnsi="Times New Roman" w:cs="Times New Roman"/>
          <w:color w:val="00000A"/>
          <w:sz w:val="24"/>
          <w:szCs w:val="24"/>
          <w:lang w:val="bg-BG" w:eastAsia="ar-SA" w:bidi="hi-IN"/>
        </w:rPr>
        <w:fldChar w:fldCharType="end"/>
      </w:r>
      <w:r w:rsidRPr="00610B1B">
        <w:rPr>
          <w:rFonts w:ascii="Times New Roman" w:eastAsia="Lohit Devanagari" w:hAnsi="Times New Roman" w:cs="Times New Roman"/>
          <w:color w:val="00000A"/>
          <w:sz w:val="24"/>
          <w:szCs w:val="24"/>
          <w:lang w:val="bg-BG" w:eastAsia="ar-SA" w:bidi="hi-IN"/>
        </w:rPr>
        <w:t xml:space="preserve">: </w:t>
      </w:r>
      <w:r w:rsidR="00F5321F" w:rsidRPr="00610B1B">
        <w:rPr>
          <w:rFonts w:ascii="Times New Roman" w:eastAsia="Lohit Devanagari" w:hAnsi="Times New Roman" w:cs="Times New Roman"/>
          <w:color w:val="00000A"/>
          <w:sz w:val="24"/>
          <w:szCs w:val="24"/>
          <w:lang w:val="bg-BG" w:eastAsia="ar-SA" w:bidi="hi-IN"/>
        </w:rPr>
        <w:t>Градове в Черноморските общини според броя на населението им към 31.12.2018 г.</w:t>
      </w:r>
      <w:bookmarkEnd w:id="312"/>
    </w:p>
    <w:tbl>
      <w:tblPr>
        <w:tblStyle w:val="TableGrid"/>
        <w:tblW w:w="9067" w:type="dxa"/>
        <w:tblBorders>
          <w:left w:val="none" w:sz="0" w:space="0" w:color="auto"/>
          <w:right w:val="none" w:sz="0" w:space="0" w:color="auto"/>
          <w:insideV w:val="none" w:sz="0" w:space="0" w:color="auto"/>
        </w:tblBorders>
        <w:tblLook w:val="04A0" w:firstRow="1" w:lastRow="0" w:firstColumn="1" w:lastColumn="0" w:noHBand="0" w:noVBand="1"/>
      </w:tblPr>
      <w:tblGrid>
        <w:gridCol w:w="3823"/>
        <w:gridCol w:w="1275"/>
        <w:gridCol w:w="1134"/>
        <w:gridCol w:w="1418"/>
        <w:gridCol w:w="1417"/>
      </w:tblGrid>
      <w:tr w:rsidR="0042644C" w:rsidRPr="00610B1B" w14:paraId="55DAED6E" w14:textId="77777777" w:rsidTr="001E3FED">
        <w:tc>
          <w:tcPr>
            <w:tcW w:w="3823" w:type="dxa"/>
            <w:vMerge w:val="restart"/>
            <w:shd w:val="clear" w:color="auto" w:fill="C6D9F1" w:themeFill="text2" w:themeFillTint="33"/>
            <w:vAlign w:val="center"/>
          </w:tcPr>
          <w:p w14:paraId="1C5C1B39" w14:textId="737FC1DC" w:rsidR="0042644C" w:rsidRPr="00610B1B" w:rsidRDefault="0042644C" w:rsidP="00D32D6A">
            <w:pPr>
              <w:jc w:val="center"/>
              <w:rPr>
                <w:rFonts w:ascii="Times New Roman" w:hAnsi="Times New Roman" w:cs="Times New Roman"/>
                <w:lang w:val="bg-BG"/>
              </w:rPr>
            </w:pPr>
            <w:r w:rsidRPr="00610B1B">
              <w:rPr>
                <w:rFonts w:ascii="Times New Roman" w:hAnsi="Times New Roman" w:cs="Times New Roman"/>
                <w:b/>
                <w:bCs/>
                <w:lang w:val="bg-BG"/>
              </w:rPr>
              <w:t>Големина на градовете</w:t>
            </w:r>
          </w:p>
        </w:tc>
        <w:tc>
          <w:tcPr>
            <w:tcW w:w="2409" w:type="dxa"/>
            <w:gridSpan w:val="2"/>
            <w:shd w:val="clear" w:color="auto" w:fill="C6D9F1" w:themeFill="text2" w:themeFillTint="33"/>
            <w:vAlign w:val="center"/>
          </w:tcPr>
          <w:p w14:paraId="020BD814" w14:textId="759386B9" w:rsidR="0042644C" w:rsidRPr="00610B1B" w:rsidRDefault="0042644C" w:rsidP="00D32D6A">
            <w:pPr>
              <w:jc w:val="center"/>
              <w:rPr>
                <w:rFonts w:ascii="Times New Roman" w:hAnsi="Times New Roman" w:cs="Times New Roman"/>
                <w:lang w:val="bg-BG"/>
              </w:rPr>
            </w:pPr>
            <w:r w:rsidRPr="00610B1B">
              <w:rPr>
                <w:rFonts w:ascii="Times New Roman" w:hAnsi="Times New Roman" w:cs="Times New Roman"/>
                <w:b/>
                <w:bCs/>
                <w:lang w:val="bg-BG"/>
              </w:rPr>
              <w:t>Градове</w:t>
            </w:r>
          </w:p>
        </w:tc>
        <w:tc>
          <w:tcPr>
            <w:tcW w:w="2835" w:type="dxa"/>
            <w:gridSpan w:val="2"/>
            <w:shd w:val="clear" w:color="auto" w:fill="C6D9F1" w:themeFill="text2" w:themeFillTint="33"/>
            <w:vAlign w:val="center"/>
          </w:tcPr>
          <w:p w14:paraId="459A91DF" w14:textId="1FC0315E" w:rsidR="0042644C" w:rsidRPr="00610B1B" w:rsidRDefault="0042644C" w:rsidP="00D32D6A">
            <w:pPr>
              <w:jc w:val="center"/>
              <w:rPr>
                <w:rFonts w:ascii="Times New Roman" w:hAnsi="Times New Roman" w:cs="Times New Roman"/>
                <w:lang w:val="bg-BG"/>
              </w:rPr>
            </w:pPr>
            <w:r w:rsidRPr="00610B1B">
              <w:rPr>
                <w:rFonts w:ascii="Times New Roman" w:hAnsi="Times New Roman" w:cs="Times New Roman"/>
                <w:b/>
                <w:bCs/>
                <w:lang w:val="bg-BG"/>
              </w:rPr>
              <w:t>Население</w:t>
            </w:r>
          </w:p>
        </w:tc>
      </w:tr>
      <w:tr w:rsidR="0042644C" w:rsidRPr="00610B1B" w14:paraId="732F7D6B" w14:textId="77777777" w:rsidTr="001E3FED">
        <w:tc>
          <w:tcPr>
            <w:tcW w:w="3823" w:type="dxa"/>
            <w:vMerge/>
            <w:shd w:val="clear" w:color="auto" w:fill="C6D9F1" w:themeFill="text2" w:themeFillTint="33"/>
            <w:vAlign w:val="center"/>
          </w:tcPr>
          <w:p w14:paraId="4AD3717F" w14:textId="77777777" w:rsidR="0042644C" w:rsidRPr="00610B1B" w:rsidRDefault="0042644C" w:rsidP="00D32D6A">
            <w:pPr>
              <w:jc w:val="center"/>
              <w:rPr>
                <w:rFonts w:ascii="Times New Roman" w:hAnsi="Times New Roman" w:cs="Times New Roman"/>
                <w:lang w:val="bg-BG"/>
              </w:rPr>
            </w:pPr>
          </w:p>
        </w:tc>
        <w:tc>
          <w:tcPr>
            <w:tcW w:w="1275" w:type="dxa"/>
            <w:shd w:val="clear" w:color="auto" w:fill="C6D9F1" w:themeFill="text2" w:themeFillTint="33"/>
            <w:vAlign w:val="center"/>
          </w:tcPr>
          <w:p w14:paraId="2CB5FB7E" w14:textId="689560BF" w:rsidR="0042644C" w:rsidRPr="00610B1B" w:rsidRDefault="0042644C" w:rsidP="00E37053">
            <w:pPr>
              <w:jc w:val="right"/>
              <w:rPr>
                <w:rFonts w:ascii="Times New Roman" w:hAnsi="Times New Roman" w:cs="Times New Roman"/>
                <w:lang w:val="bg-BG"/>
              </w:rPr>
            </w:pPr>
            <w:r w:rsidRPr="00610B1B">
              <w:rPr>
                <w:rFonts w:ascii="Times New Roman" w:hAnsi="Times New Roman" w:cs="Times New Roman"/>
                <w:b/>
                <w:bCs/>
                <w:lang w:val="bg-BG"/>
              </w:rPr>
              <w:t>Брой</w:t>
            </w:r>
          </w:p>
        </w:tc>
        <w:tc>
          <w:tcPr>
            <w:tcW w:w="1134" w:type="dxa"/>
            <w:shd w:val="clear" w:color="auto" w:fill="C6D9F1" w:themeFill="text2" w:themeFillTint="33"/>
            <w:vAlign w:val="center"/>
          </w:tcPr>
          <w:p w14:paraId="5C7DC8E5" w14:textId="45AD65D0" w:rsidR="0042644C" w:rsidRPr="00610B1B" w:rsidRDefault="0042644C" w:rsidP="00E37053">
            <w:pPr>
              <w:jc w:val="right"/>
              <w:rPr>
                <w:rFonts w:ascii="Times New Roman" w:hAnsi="Times New Roman" w:cs="Times New Roman"/>
                <w:lang w:val="bg-BG"/>
              </w:rPr>
            </w:pPr>
            <w:r w:rsidRPr="00610B1B">
              <w:rPr>
                <w:rFonts w:ascii="Times New Roman" w:hAnsi="Times New Roman" w:cs="Times New Roman"/>
                <w:b/>
                <w:bCs/>
                <w:lang w:val="bg-BG"/>
              </w:rPr>
              <w:t>%</w:t>
            </w:r>
          </w:p>
        </w:tc>
        <w:tc>
          <w:tcPr>
            <w:tcW w:w="1418" w:type="dxa"/>
            <w:shd w:val="clear" w:color="auto" w:fill="C6D9F1" w:themeFill="text2" w:themeFillTint="33"/>
            <w:vAlign w:val="center"/>
          </w:tcPr>
          <w:p w14:paraId="6090D4E7" w14:textId="0EE60FFC" w:rsidR="0042644C" w:rsidRPr="00610B1B" w:rsidRDefault="0042644C" w:rsidP="00E37053">
            <w:pPr>
              <w:jc w:val="right"/>
              <w:rPr>
                <w:rFonts w:ascii="Times New Roman" w:hAnsi="Times New Roman" w:cs="Times New Roman"/>
                <w:lang w:val="bg-BG"/>
              </w:rPr>
            </w:pPr>
            <w:r w:rsidRPr="00610B1B">
              <w:rPr>
                <w:rFonts w:ascii="Times New Roman" w:hAnsi="Times New Roman" w:cs="Times New Roman"/>
                <w:b/>
                <w:bCs/>
                <w:lang w:val="bg-BG"/>
              </w:rPr>
              <w:t>Брой</w:t>
            </w:r>
          </w:p>
        </w:tc>
        <w:tc>
          <w:tcPr>
            <w:tcW w:w="1417" w:type="dxa"/>
            <w:shd w:val="clear" w:color="auto" w:fill="C6D9F1" w:themeFill="text2" w:themeFillTint="33"/>
            <w:vAlign w:val="center"/>
          </w:tcPr>
          <w:p w14:paraId="2F448859" w14:textId="2AFFF8DC" w:rsidR="0042644C" w:rsidRPr="00610B1B" w:rsidRDefault="0042644C" w:rsidP="00E37053">
            <w:pPr>
              <w:jc w:val="right"/>
              <w:rPr>
                <w:rFonts w:ascii="Times New Roman" w:hAnsi="Times New Roman" w:cs="Times New Roman"/>
                <w:lang w:val="bg-BG"/>
              </w:rPr>
            </w:pPr>
            <w:r w:rsidRPr="00610B1B">
              <w:rPr>
                <w:rFonts w:ascii="Times New Roman" w:hAnsi="Times New Roman" w:cs="Times New Roman"/>
                <w:b/>
                <w:bCs/>
                <w:lang w:val="bg-BG"/>
              </w:rPr>
              <w:t>%</w:t>
            </w:r>
          </w:p>
        </w:tc>
      </w:tr>
      <w:tr w:rsidR="0042644C" w:rsidRPr="00610B1B" w14:paraId="1BF5D4FA" w14:textId="77777777" w:rsidTr="001E3FED">
        <w:tc>
          <w:tcPr>
            <w:tcW w:w="3823" w:type="dxa"/>
            <w:vAlign w:val="bottom"/>
          </w:tcPr>
          <w:p w14:paraId="7FEB6FD2" w14:textId="582C638E" w:rsidR="0042644C" w:rsidRPr="00610B1B" w:rsidRDefault="0042644C" w:rsidP="00D32D6A">
            <w:pPr>
              <w:jc w:val="both"/>
              <w:rPr>
                <w:rFonts w:ascii="Times New Roman" w:hAnsi="Times New Roman" w:cs="Times New Roman"/>
                <w:lang w:val="bg-BG"/>
              </w:rPr>
            </w:pPr>
            <w:r w:rsidRPr="00610B1B">
              <w:rPr>
                <w:rFonts w:ascii="Times New Roman" w:hAnsi="Times New Roman" w:cs="Times New Roman"/>
                <w:b/>
                <w:bCs/>
                <w:lang w:val="bg-BG"/>
              </w:rPr>
              <w:t>Общо</w:t>
            </w:r>
          </w:p>
        </w:tc>
        <w:tc>
          <w:tcPr>
            <w:tcW w:w="1275" w:type="dxa"/>
            <w:vAlign w:val="bottom"/>
          </w:tcPr>
          <w:p w14:paraId="062DD888" w14:textId="39F41CD9"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b/>
                <w:bCs/>
                <w:color w:val="000000"/>
                <w:lang w:val="bg-BG"/>
              </w:rPr>
              <w:t>22</w:t>
            </w:r>
          </w:p>
        </w:tc>
        <w:tc>
          <w:tcPr>
            <w:tcW w:w="1134" w:type="dxa"/>
            <w:vAlign w:val="bottom"/>
          </w:tcPr>
          <w:p w14:paraId="27D89C05" w14:textId="4A0CFB58"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b/>
                <w:bCs/>
                <w:lang w:val="bg-BG"/>
              </w:rPr>
              <w:t>100</w:t>
            </w:r>
          </w:p>
        </w:tc>
        <w:tc>
          <w:tcPr>
            <w:tcW w:w="1418" w:type="dxa"/>
            <w:vAlign w:val="bottom"/>
          </w:tcPr>
          <w:p w14:paraId="3BE631A6" w14:textId="51119B01"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b/>
                <w:bCs/>
                <w:color w:val="000000"/>
                <w:lang w:val="bg-BG"/>
              </w:rPr>
              <w:t>640 803</w:t>
            </w:r>
          </w:p>
        </w:tc>
        <w:tc>
          <w:tcPr>
            <w:tcW w:w="1417" w:type="dxa"/>
            <w:vAlign w:val="bottom"/>
          </w:tcPr>
          <w:p w14:paraId="090B923D" w14:textId="507CC31A"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b/>
                <w:bCs/>
                <w:lang w:val="bg-BG"/>
              </w:rPr>
              <w:t>100</w:t>
            </w:r>
          </w:p>
        </w:tc>
      </w:tr>
      <w:tr w:rsidR="0042644C" w:rsidRPr="00610B1B" w14:paraId="0B26A710" w14:textId="77777777" w:rsidTr="001E3FED">
        <w:tc>
          <w:tcPr>
            <w:tcW w:w="3823" w:type="dxa"/>
            <w:vAlign w:val="bottom"/>
          </w:tcPr>
          <w:p w14:paraId="40F831BE" w14:textId="29A1BD75" w:rsidR="0042644C" w:rsidRPr="00610B1B" w:rsidRDefault="0042644C" w:rsidP="00D32D6A">
            <w:pPr>
              <w:jc w:val="both"/>
              <w:rPr>
                <w:rFonts w:ascii="Times New Roman" w:hAnsi="Times New Roman" w:cs="Times New Roman"/>
                <w:lang w:val="bg-BG"/>
              </w:rPr>
            </w:pPr>
            <w:r w:rsidRPr="00610B1B">
              <w:rPr>
                <w:rFonts w:ascii="Times New Roman" w:hAnsi="Times New Roman" w:cs="Times New Roman"/>
                <w:color w:val="000000"/>
                <w:lang w:val="bg-BG"/>
              </w:rPr>
              <w:t>Много големи над 200 хил. жители</w:t>
            </w:r>
          </w:p>
        </w:tc>
        <w:tc>
          <w:tcPr>
            <w:tcW w:w="1275" w:type="dxa"/>
            <w:vAlign w:val="bottom"/>
          </w:tcPr>
          <w:p w14:paraId="0C992556" w14:textId="3CEE0965"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2</w:t>
            </w:r>
          </w:p>
        </w:tc>
        <w:tc>
          <w:tcPr>
            <w:tcW w:w="1134" w:type="dxa"/>
            <w:vAlign w:val="bottom"/>
          </w:tcPr>
          <w:p w14:paraId="6A3A0984" w14:textId="12EB4402"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9,1</w:t>
            </w:r>
          </w:p>
        </w:tc>
        <w:tc>
          <w:tcPr>
            <w:tcW w:w="1418" w:type="dxa"/>
            <w:vAlign w:val="bottom"/>
          </w:tcPr>
          <w:p w14:paraId="4F8BEC69" w14:textId="669CABCF"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538 939</w:t>
            </w:r>
          </w:p>
        </w:tc>
        <w:tc>
          <w:tcPr>
            <w:tcW w:w="1417" w:type="dxa"/>
            <w:vAlign w:val="bottom"/>
          </w:tcPr>
          <w:p w14:paraId="45F961B8" w14:textId="23780F0D"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84,1</w:t>
            </w:r>
          </w:p>
        </w:tc>
      </w:tr>
      <w:tr w:rsidR="0042644C" w:rsidRPr="00610B1B" w14:paraId="748C84ED" w14:textId="77777777" w:rsidTr="001E3FED">
        <w:tc>
          <w:tcPr>
            <w:tcW w:w="3823" w:type="dxa"/>
            <w:vAlign w:val="bottom"/>
          </w:tcPr>
          <w:p w14:paraId="64E3D4C5" w14:textId="4FE619F2" w:rsidR="0042644C" w:rsidRPr="00610B1B" w:rsidRDefault="0042644C" w:rsidP="00D32D6A">
            <w:pPr>
              <w:jc w:val="both"/>
              <w:rPr>
                <w:rFonts w:ascii="Times New Roman" w:hAnsi="Times New Roman" w:cs="Times New Roman"/>
                <w:lang w:val="bg-BG"/>
              </w:rPr>
            </w:pPr>
            <w:r w:rsidRPr="00610B1B">
              <w:rPr>
                <w:rFonts w:ascii="Times New Roman" w:hAnsi="Times New Roman" w:cs="Times New Roman"/>
                <w:color w:val="000000"/>
                <w:lang w:val="bg-BG"/>
              </w:rPr>
              <w:t>Големи от 100 до 200 хил. жители</w:t>
            </w:r>
          </w:p>
        </w:tc>
        <w:tc>
          <w:tcPr>
            <w:tcW w:w="1275" w:type="dxa"/>
            <w:vAlign w:val="bottom"/>
          </w:tcPr>
          <w:p w14:paraId="1366801B" w14:textId="497E49E8"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0</w:t>
            </w:r>
          </w:p>
        </w:tc>
        <w:tc>
          <w:tcPr>
            <w:tcW w:w="1134" w:type="dxa"/>
            <w:vAlign w:val="bottom"/>
          </w:tcPr>
          <w:p w14:paraId="5E4D4CEB" w14:textId="0CE61FD4"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0,0</w:t>
            </w:r>
          </w:p>
        </w:tc>
        <w:tc>
          <w:tcPr>
            <w:tcW w:w="1418" w:type="dxa"/>
            <w:vAlign w:val="bottom"/>
          </w:tcPr>
          <w:p w14:paraId="568CCDA7" w14:textId="735FB39F"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lang w:val="bg-BG"/>
              </w:rPr>
              <w:t>0</w:t>
            </w:r>
          </w:p>
        </w:tc>
        <w:tc>
          <w:tcPr>
            <w:tcW w:w="1417" w:type="dxa"/>
            <w:vAlign w:val="bottom"/>
          </w:tcPr>
          <w:p w14:paraId="72BA6A4A" w14:textId="397AD006"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0,0</w:t>
            </w:r>
          </w:p>
        </w:tc>
      </w:tr>
      <w:tr w:rsidR="0042644C" w:rsidRPr="00610B1B" w14:paraId="1CFD4F08" w14:textId="77777777" w:rsidTr="001E3FED">
        <w:tc>
          <w:tcPr>
            <w:tcW w:w="3823" w:type="dxa"/>
            <w:vAlign w:val="bottom"/>
          </w:tcPr>
          <w:p w14:paraId="4DD4759A" w14:textId="378B5A5C" w:rsidR="0042644C" w:rsidRPr="00610B1B" w:rsidRDefault="0042644C" w:rsidP="00D32D6A">
            <w:pPr>
              <w:jc w:val="both"/>
              <w:rPr>
                <w:rFonts w:ascii="Times New Roman" w:hAnsi="Times New Roman" w:cs="Times New Roman"/>
                <w:lang w:val="bg-BG"/>
              </w:rPr>
            </w:pPr>
            <w:r w:rsidRPr="00610B1B">
              <w:rPr>
                <w:rFonts w:ascii="Times New Roman" w:hAnsi="Times New Roman" w:cs="Times New Roman"/>
                <w:color w:val="000000"/>
                <w:lang w:val="bg-BG"/>
              </w:rPr>
              <w:t>Средни от 30 до 100 хил. жители</w:t>
            </w:r>
          </w:p>
        </w:tc>
        <w:tc>
          <w:tcPr>
            <w:tcW w:w="1275" w:type="dxa"/>
            <w:vAlign w:val="bottom"/>
          </w:tcPr>
          <w:p w14:paraId="6AB0785F" w14:textId="78164FA3"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0</w:t>
            </w:r>
          </w:p>
        </w:tc>
        <w:tc>
          <w:tcPr>
            <w:tcW w:w="1134" w:type="dxa"/>
            <w:vAlign w:val="bottom"/>
          </w:tcPr>
          <w:p w14:paraId="0F06D624" w14:textId="0AFA26B7"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0,0</w:t>
            </w:r>
          </w:p>
        </w:tc>
        <w:tc>
          <w:tcPr>
            <w:tcW w:w="1418" w:type="dxa"/>
            <w:vAlign w:val="bottom"/>
          </w:tcPr>
          <w:p w14:paraId="1451DFB3" w14:textId="39ABEFC1"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0</w:t>
            </w:r>
          </w:p>
        </w:tc>
        <w:tc>
          <w:tcPr>
            <w:tcW w:w="1417" w:type="dxa"/>
            <w:vAlign w:val="bottom"/>
          </w:tcPr>
          <w:p w14:paraId="23FF877B" w14:textId="14199E93"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0,0</w:t>
            </w:r>
          </w:p>
        </w:tc>
      </w:tr>
      <w:tr w:rsidR="0042644C" w:rsidRPr="00610B1B" w14:paraId="282E0737" w14:textId="77777777" w:rsidTr="001E3FED">
        <w:tc>
          <w:tcPr>
            <w:tcW w:w="3823" w:type="dxa"/>
            <w:vAlign w:val="bottom"/>
          </w:tcPr>
          <w:p w14:paraId="3CCD951D" w14:textId="35E5309D" w:rsidR="0042644C" w:rsidRPr="00610B1B" w:rsidRDefault="0042644C" w:rsidP="00D32D6A">
            <w:pPr>
              <w:jc w:val="both"/>
              <w:rPr>
                <w:rFonts w:ascii="Times New Roman" w:hAnsi="Times New Roman" w:cs="Times New Roman"/>
                <w:lang w:val="bg-BG"/>
              </w:rPr>
            </w:pPr>
            <w:r w:rsidRPr="00610B1B">
              <w:rPr>
                <w:rFonts w:ascii="Times New Roman" w:hAnsi="Times New Roman" w:cs="Times New Roman"/>
                <w:color w:val="000000"/>
                <w:lang w:val="bg-BG"/>
              </w:rPr>
              <w:t>Малки от 10 до 30 хил. жители</w:t>
            </w:r>
          </w:p>
        </w:tc>
        <w:tc>
          <w:tcPr>
            <w:tcW w:w="1275" w:type="dxa"/>
            <w:vAlign w:val="bottom"/>
          </w:tcPr>
          <w:p w14:paraId="35DE3DA5" w14:textId="3486CE41"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4</w:t>
            </w:r>
          </w:p>
        </w:tc>
        <w:tc>
          <w:tcPr>
            <w:tcW w:w="1134" w:type="dxa"/>
            <w:vAlign w:val="bottom"/>
          </w:tcPr>
          <w:p w14:paraId="29EFC10E" w14:textId="32A35793"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18,2</w:t>
            </w:r>
          </w:p>
        </w:tc>
        <w:tc>
          <w:tcPr>
            <w:tcW w:w="1418" w:type="dxa"/>
            <w:vAlign w:val="bottom"/>
          </w:tcPr>
          <w:p w14:paraId="6DCDEEF4" w14:textId="3F637293"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48 556</w:t>
            </w:r>
          </w:p>
        </w:tc>
        <w:tc>
          <w:tcPr>
            <w:tcW w:w="1417" w:type="dxa"/>
            <w:vAlign w:val="bottom"/>
          </w:tcPr>
          <w:p w14:paraId="105501AD" w14:textId="652F58E0"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7,6</w:t>
            </w:r>
          </w:p>
        </w:tc>
      </w:tr>
      <w:tr w:rsidR="0042644C" w:rsidRPr="00610B1B" w14:paraId="2CF929B0" w14:textId="77777777" w:rsidTr="001E3FED">
        <w:tc>
          <w:tcPr>
            <w:tcW w:w="3823" w:type="dxa"/>
            <w:vAlign w:val="bottom"/>
          </w:tcPr>
          <w:p w14:paraId="08D799C2" w14:textId="647183A8" w:rsidR="0042644C" w:rsidRPr="00610B1B" w:rsidRDefault="0042644C" w:rsidP="00D32D6A">
            <w:pPr>
              <w:jc w:val="both"/>
              <w:rPr>
                <w:rFonts w:ascii="Times New Roman" w:hAnsi="Times New Roman" w:cs="Times New Roman"/>
                <w:lang w:val="bg-BG"/>
              </w:rPr>
            </w:pPr>
            <w:r w:rsidRPr="00610B1B">
              <w:rPr>
                <w:rFonts w:ascii="Times New Roman" w:hAnsi="Times New Roman" w:cs="Times New Roman"/>
                <w:color w:val="000000"/>
                <w:lang w:val="bg-BG"/>
              </w:rPr>
              <w:t>Много малки до 10 хил. жители</w:t>
            </w:r>
          </w:p>
        </w:tc>
        <w:tc>
          <w:tcPr>
            <w:tcW w:w="1275" w:type="dxa"/>
            <w:vAlign w:val="bottom"/>
          </w:tcPr>
          <w:p w14:paraId="5232539C" w14:textId="71D4AEA7"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16</w:t>
            </w:r>
          </w:p>
        </w:tc>
        <w:tc>
          <w:tcPr>
            <w:tcW w:w="1134" w:type="dxa"/>
            <w:vAlign w:val="bottom"/>
          </w:tcPr>
          <w:p w14:paraId="6FBE60FC" w14:textId="073D28B8"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72,7</w:t>
            </w:r>
          </w:p>
        </w:tc>
        <w:tc>
          <w:tcPr>
            <w:tcW w:w="1418" w:type="dxa"/>
            <w:vAlign w:val="bottom"/>
          </w:tcPr>
          <w:p w14:paraId="759B912A" w14:textId="504FCB9F"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53 308</w:t>
            </w:r>
          </w:p>
        </w:tc>
        <w:tc>
          <w:tcPr>
            <w:tcW w:w="1417" w:type="dxa"/>
            <w:vAlign w:val="bottom"/>
          </w:tcPr>
          <w:p w14:paraId="6C1CEE91" w14:textId="2043761E" w:rsidR="0042644C" w:rsidRPr="00610B1B" w:rsidRDefault="0042644C" w:rsidP="00D32D6A">
            <w:pPr>
              <w:jc w:val="right"/>
              <w:rPr>
                <w:rFonts w:ascii="Times New Roman" w:hAnsi="Times New Roman" w:cs="Times New Roman"/>
                <w:lang w:val="bg-BG"/>
              </w:rPr>
            </w:pPr>
            <w:r w:rsidRPr="00610B1B">
              <w:rPr>
                <w:rFonts w:ascii="Times New Roman" w:hAnsi="Times New Roman" w:cs="Times New Roman"/>
                <w:color w:val="000000"/>
                <w:lang w:val="bg-BG"/>
              </w:rPr>
              <w:t>8,3</w:t>
            </w:r>
          </w:p>
        </w:tc>
      </w:tr>
    </w:tbl>
    <w:p w14:paraId="6E3F76E1" w14:textId="52C0AFE9" w:rsidR="0082227D" w:rsidRPr="00610B1B" w:rsidRDefault="0082227D" w:rsidP="00EC097D">
      <w:pPr>
        <w:spacing w:before="60" w:after="120"/>
        <w:ind w:right="-153"/>
        <w:jc w:val="both"/>
        <w:rPr>
          <w:rFonts w:ascii="Times New Roman" w:hAnsi="Times New Roman" w:cs="Times New Roman"/>
          <w:lang w:val="bg-BG"/>
        </w:rPr>
      </w:pPr>
      <w:r w:rsidRPr="00610B1B">
        <w:rPr>
          <w:rFonts w:ascii="Times New Roman" w:hAnsi="Times New Roman" w:cs="Times New Roman"/>
          <w:lang w:val="bg-BG"/>
        </w:rPr>
        <w:t xml:space="preserve">Източник: НСИ, обработка НЦТР </w:t>
      </w:r>
    </w:p>
    <w:p w14:paraId="13C08708" w14:textId="03CFFAA0" w:rsidR="0082227D" w:rsidRPr="00610B1B" w:rsidRDefault="0082227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На първо място в</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изследвания район е категори</w:t>
      </w:r>
      <w:r w:rsidR="00A51DB4" w:rsidRPr="00610B1B">
        <w:rPr>
          <w:rFonts w:ascii="Times New Roman" w:hAnsi="Times New Roman" w:cs="Times New Roman"/>
          <w:sz w:val="24"/>
          <w:szCs w:val="24"/>
          <w:lang w:val="bg-BG"/>
        </w:rPr>
        <w:t>ята</w:t>
      </w:r>
      <w:r w:rsidRPr="00610B1B">
        <w:rPr>
          <w:rFonts w:ascii="Times New Roman" w:hAnsi="Times New Roman" w:cs="Times New Roman"/>
          <w:sz w:val="24"/>
          <w:szCs w:val="24"/>
          <w:lang w:val="bg-BG"/>
        </w:rPr>
        <w:t xml:space="preserve"> “много малките градове” – до 10 </w:t>
      </w:r>
      <w:r w:rsidR="001363AC" w:rsidRPr="00610B1B">
        <w:rPr>
          <w:rFonts w:ascii="Times New Roman" w:hAnsi="Times New Roman" w:cs="Times New Roman"/>
          <w:sz w:val="24"/>
          <w:szCs w:val="24"/>
          <w:lang w:val="bg-BG"/>
        </w:rPr>
        <w:t>000 жители. Те представляват 72,</w:t>
      </w:r>
      <w:r w:rsidRPr="00610B1B">
        <w:rPr>
          <w:rFonts w:ascii="Times New Roman" w:hAnsi="Times New Roman" w:cs="Times New Roman"/>
          <w:sz w:val="24"/>
          <w:szCs w:val="24"/>
          <w:lang w:val="bg-BG"/>
        </w:rPr>
        <w:t xml:space="preserve">7% от общия брой на </w:t>
      </w:r>
      <w:r w:rsidR="001363AC" w:rsidRPr="00610B1B">
        <w:rPr>
          <w:rFonts w:ascii="Times New Roman" w:hAnsi="Times New Roman" w:cs="Times New Roman"/>
          <w:sz w:val="24"/>
          <w:szCs w:val="24"/>
          <w:lang w:val="bg-BG"/>
        </w:rPr>
        <w:t>градовете и в тях живее близо 8,</w:t>
      </w:r>
      <w:r w:rsidRPr="00610B1B">
        <w:rPr>
          <w:rFonts w:ascii="Times New Roman" w:hAnsi="Times New Roman" w:cs="Times New Roman"/>
          <w:sz w:val="24"/>
          <w:szCs w:val="24"/>
          <w:lang w:val="bg-BG"/>
        </w:rPr>
        <w:t>3%</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от населението. Тези градове са Шабла, Аксаково, Игнатиево, Долни чифлик, Бяла, Обзор, Свети Влас, Ахелой, Каблешково, Българово, Черноморец, Созопол, Приморско, Китен, Царево и Ахтопол</w:t>
      </w:r>
      <w:r w:rsidR="00B86AB6" w:rsidRPr="00610B1B">
        <w:rPr>
          <w:rFonts w:ascii="Times New Roman" w:hAnsi="Times New Roman" w:cs="Times New Roman"/>
          <w:sz w:val="24"/>
          <w:szCs w:val="24"/>
          <w:lang w:val="bg-BG"/>
        </w:rPr>
        <w:t>, повечето от които разположени на крайбрежието</w:t>
      </w:r>
      <w:r w:rsidRPr="00610B1B">
        <w:rPr>
          <w:rFonts w:ascii="Times New Roman" w:hAnsi="Times New Roman" w:cs="Times New Roman"/>
          <w:sz w:val="24"/>
          <w:szCs w:val="24"/>
          <w:lang w:val="bg-BG"/>
        </w:rPr>
        <w:t xml:space="preserve">. </w:t>
      </w:r>
    </w:p>
    <w:p w14:paraId="5C0909F5" w14:textId="51CD881A" w:rsidR="0082227D" w:rsidRPr="00610B1B" w:rsidRDefault="0082227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В категорията “малки градове” попадат градовете Каварна, Балчик, Несебър</w:t>
      </w:r>
      <w:r w:rsidR="00A51DB4" w:rsidRPr="00610B1B">
        <w:rPr>
          <w:rFonts w:ascii="Times New Roman" w:hAnsi="Times New Roman" w:cs="Times New Roman"/>
          <w:sz w:val="24"/>
          <w:szCs w:val="24"/>
          <w:lang w:val="bg-BG"/>
        </w:rPr>
        <w:t xml:space="preserve"> и Поморие. Те представляват 18,</w:t>
      </w:r>
      <w:r w:rsidRPr="00610B1B">
        <w:rPr>
          <w:rFonts w:ascii="Times New Roman" w:hAnsi="Times New Roman" w:cs="Times New Roman"/>
          <w:sz w:val="24"/>
          <w:szCs w:val="24"/>
          <w:lang w:val="bg-BG"/>
        </w:rPr>
        <w:t xml:space="preserve">6 % от броя на населените места и </w:t>
      </w:r>
      <w:r w:rsidR="00BE41EE" w:rsidRPr="00610B1B">
        <w:rPr>
          <w:rFonts w:ascii="Times New Roman" w:hAnsi="Times New Roman" w:cs="Times New Roman"/>
          <w:sz w:val="24"/>
          <w:szCs w:val="24"/>
          <w:lang w:val="bg-BG"/>
        </w:rPr>
        <w:t xml:space="preserve">в </w:t>
      </w:r>
      <w:r w:rsidRPr="00610B1B">
        <w:rPr>
          <w:rFonts w:ascii="Times New Roman" w:hAnsi="Times New Roman" w:cs="Times New Roman"/>
          <w:sz w:val="24"/>
          <w:szCs w:val="24"/>
          <w:lang w:val="bg-BG"/>
        </w:rPr>
        <w:t>тях живее 7</w:t>
      </w:r>
      <w:r w:rsidR="00A51DB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6% от населението. </w:t>
      </w:r>
    </w:p>
    <w:p w14:paraId="7ED03073" w14:textId="13BD0214" w:rsidR="000F6CBC" w:rsidRPr="00610B1B" w:rsidRDefault="0082227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В категорията “много големи градове” попадат </w:t>
      </w:r>
      <w:r w:rsidR="00B86AB6" w:rsidRPr="00610B1B">
        <w:rPr>
          <w:rFonts w:ascii="Times New Roman" w:hAnsi="Times New Roman" w:cs="Times New Roman"/>
          <w:sz w:val="24"/>
          <w:szCs w:val="24"/>
          <w:lang w:val="bg-BG"/>
        </w:rPr>
        <w:t>Варна и Бургас</w:t>
      </w:r>
      <w:r w:rsidR="00D23EDE" w:rsidRPr="00610B1B">
        <w:rPr>
          <w:rFonts w:ascii="Times New Roman" w:hAnsi="Times New Roman" w:cs="Times New Roman"/>
          <w:sz w:val="24"/>
          <w:szCs w:val="24"/>
          <w:lang w:val="bg-BG"/>
        </w:rPr>
        <w:t xml:space="preserve">, в които </w:t>
      </w:r>
      <w:r w:rsidR="00B86AB6" w:rsidRPr="00610B1B">
        <w:rPr>
          <w:rFonts w:ascii="Times New Roman" w:hAnsi="Times New Roman" w:cs="Times New Roman"/>
          <w:sz w:val="24"/>
          <w:szCs w:val="24"/>
          <w:lang w:val="bg-BG"/>
        </w:rPr>
        <w:t>живее 84,</w:t>
      </w:r>
      <w:r w:rsidRPr="00610B1B">
        <w:rPr>
          <w:rFonts w:ascii="Times New Roman" w:hAnsi="Times New Roman" w:cs="Times New Roman"/>
          <w:sz w:val="24"/>
          <w:szCs w:val="24"/>
          <w:lang w:val="bg-BG"/>
        </w:rPr>
        <w:t xml:space="preserve">1% от населението. </w:t>
      </w:r>
      <w:r w:rsidR="000F6CBC" w:rsidRPr="00610B1B">
        <w:rPr>
          <w:rFonts w:ascii="Times New Roman" w:hAnsi="Times New Roman" w:cs="Times New Roman"/>
          <w:sz w:val="24"/>
          <w:szCs w:val="24"/>
          <w:lang w:val="bg-BG"/>
        </w:rPr>
        <w:t xml:space="preserve">Варна </w:t>
      </w:r>
      <w:r w:rsidR="00632B7B" w:rsidRPr="00610B1B">
        <w:rPr>
          <w:rFonts w:ascii="Times New Roman" w:hAnsi="Times New Roman" w:cs="Times New Roman"/>
          <w:sz w:val="24"/>
          <w:szCs w:val="24"/>
          <w:lang w:val="bg-BG"/>
        </w:rPr>
        <w:t>е най-големият град на Черноморското крайбрежие, важен център в полицентричния урбанистичен модел на страната, балансиращ влиянието на столичния град, със значение за развитието на Североизточна България. Разви</w:t>
      </w:r>
      <w:r w:rsidR="00CA540C" w:rsidRPr="00610B1B">
        <w:rPr>
          <w:rFonts w:ascii="Times New Roman" w:hAnsi="Times New Roman" w:cs="Times New Roman"/>
          <w:sz w:val="24"/>
          <w:szCs w:val="24"/>
          <w:lang w:val="bg-BG"/>
        </w:rPr>
        <w:t>т</w:t>
      </w:r>
      <w:r w:rsidR="00632B7B" w:rsidRPr="00610B1B">
        <w:rPr>
          <w:rFonts w:ascii="Times New Roman" w:hAnsi="Times New Roman" w:cs="Times New Roman"/>
          <w:sz w:val="24"/>
          <w:szCs w:val="24"/>
          <w:lang w:val="bg-BG"/>
        </w:rPr>
        <w:t xml:space="preserve">ието му се характеризира с добри стойности по </w:t>
      </w:r>
      <w:r w:rsidR="000F6CBC" w:rsidRPr="00610B1B">
        <w:rPr>
          <w:rFonts w:ascii="Times New Roman" w:hAnsi="Times New Roman" w:cs="Times New Roman"/>
          <w:sz w:val="24"/>
          <w:szCs w:val="24"/>
          <w:lang w:val="bg-BG"/>
        </w:rPr>
        <w:t xml:space="preserve">всички показатели, </w:t>
      </w:r>
      <w:r w:rsidR="00632B7B" w:rsidRPr="00610B1B">
        <w:rPr>
          <w:rFonts w:ascii="Times New Roman" w:hAnsi="Times New Roman" w:cs="Times New Roman"/>
          <w:sz w:val="24"/>
          <w:szCs w:val="24"/>
          <w:lang w:val="bg-BG"/>
        </w:rPr>
        <w:t xml:space="preserve">включително и </w:t>
      </w:r>
      <w:r w:rsidR="00CA540C" w:rsidRPr="00610B1B">
        <w:rPr>
          <w:rFonts w:ascii="Times New Roman" w:hAnsi="Times New Roman" w:cs="Times New Roman"/>
          <w:sz w:val="24"/>
          <w:szCs w:val="24"/>
          <w:lang w:val="bg-BG"/>
        </w:rPr>
        <w:t>по</w:t>
      </w:r>
      <w:r w:rsidR="000F6CBC" w:rsidRPr="00610B1B">
        <w:rPr>
          <w:rFonts w:ascii="Times New Roman" w:hAnsi="Times New Roman" w:cs="Times New Roman"/>
          <w:sz w:val="24"/>
          <w:szCs w:val="24"/>
          <w:lang w:val="bg-BG"/>
        </w:rPr>
        <w:t xml:space="preserve"> </w:t>
      </w:r>
      <w:r w:rsidR="00CA540C" w:rsidRPr="00610B1B">
        <w:rPr>
          <w:rFonts w:ascii="Times New Roman" w:hAnsi="Times New Roman" w:cs="Times New Roman"/>
          <w:sz w:val="24"/>
          <w:szCs w:val="24"/>
          <w:lang w:val="bg-BG"/>
        </w:rPr>
        <w:t xml:space="preserve">отношение </w:t>
      </w:r>
      <w:r w:rsidR="000F6CBC" w:rsidRPr="00610B1B">
        <w:rPr>
          <w:rFonts w:ascii="Times New Roman" w:hAnsi="Times New Roman" w:cs="Times New Roman"/>
          <w:sz w:val="24"/>
          <w:szCs w:val="24"/>
          <w:lang w:val="bg-BG"/>
        </w:rPr>
        <w:t>демографска</w:t>
      </w:r>
      <w:r w:rsidR="00CA540C" w:rsidRPr="00610B1B">
        <w:rPr>
          <w:rFonts w:ascii="Times New Roman" w:hAnsi="Times New Roman" w:cs="Times New Roman"/>
          <w:sz w:val="24"/>
          <w:szCs w:val="24"/>
          <w:lang w:val="bg-BG"/>
        </w:rPr>
        <w:t xml:space="preserve">та динамика и </w:t>
      </w:r>
      <w:r w:rsidR="000F6CBC" w:rsidRPr="00610B1B">
        <w:rPr>
          <w:rFonts w:ascii="Times New Roman" w:hAnsi="Times New Roman" w:cs="Times New Roman"/>
          <w:sz w:val="24"/>
          <w:szCs w:val="24"/>
          <w:lang w:val="bg-BG"/>
        </w:rPr>
        <w:t>положителен прираст за периода 2011–2018 г.</w:t>
      </w:r>
    </w:p>
    <w:p w14:paraId="062915B2" w14:textId="7B944B00" w:rsidR="000F6CBC" w:rsidRPr="00610B1B" w:rsidRDefault="000F6CBC"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Бургас</w:t>
      </w:r>
      <w:r w:rsidR="001454C5" w:rsidRPr="00610B1B">
        <w:rPr>
          <w:rFonts w:ascii="Times New Roman" w:hAnsi="Times New Roman" w:cs="Times New Roman"/>
          <w:sz w:val="24"/>
          <w:szCs w:val="24"/>
          <w:lang w:val="bg-BG"/>
        </w:rPr>
        <w:t xml:space="preserve">, както и Варна, също е портал на </w:t>
      </w:r>
      <w:r w:rsidRPr="00610B1B">
        <w:rPr>
          <w:rFonts w:ascii="Times New Roman" w:hAnsi="Times New Roman" w:cs="Times New Roman"/>
          <w:sz w:val="24"/>
          <w:szCs w:val="24"/>
          <w:lang w:val="bg-BG"/>
        </w:rPr>
        <w:t xml:space="preserve">Черно море, външна граница на ЕС, източен завършек на главната урбанистична ос „София </w:t>
      </w:r>
      <w:r w:rsidR="00B86AB6"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Пловдив - Ст. Загора - Бургас”</w:t>
      </w:r>
      <w:r w:rsidR="001454C5" w:rsidRPr="00610B1B">
        <w:rPr>
          <w:rFonts w:ascii="Times New Roman" w:hAnsi="Times New Roman" w:cs="Times New Roman"/>
          <w:sz w:val="24"/>
          <w:szCs w:val="24"/>
          <w:lang w:val="bg-BG"/>
        </w:rPr>
        <w:t>. Той е важен център в полицентричния модел на страната и</w:t>
      </w:r>
      <w:r w:rsidRPr="00610B1B">
        <w:rPr>
          <w:rFonts w:ascii="Times New Roman" w:hAnsi="Times New Roman" w:cs="Times New Roman"/>
          <w:sz w:val="24"/>
          <w:szCs w:val="24"/>
          <w:lang w:val="bg-BG"/>
        </w:rPr>
        <w:t xml:space="preserve"> балансьор на София в Югоизточна България</w:t>
      </w:r>
      <w:r w:rsidR="00B86AB6" w:rsidRPr="00610B1B">
        <w:rPr>
          <w:rFonts w:ascii="Times New Roman" w:hAnsi="Times New Roman" w:cs="Times New Roman"/>
          <w:sz w:val="24"/>
          <w:szCs w:val="24"/>
          <w:lang w:val="bg-BG"/>
        </w:rPr>
        <w:t xml:space="preserve"> с положителни демографски показатели и положителен прираст</w:t>
      </w:r>
      <w:r w:rsidR="00D66FE0" w:rsidRPr="00610B1B">
        <w:rPr>
          <w:rFonts w:ascii="Times New Roman" w:hAnsi="Times New Roman" w:cs="Times New Roman"/>
          <w:sz w:val="24"/>
          <w:szCs w:val="24"/>
          <w:lang w:val="bg-BG"/>
        </w:rPr>
        <w:t xml:space="preserve"> </w:t>
      </w:r>
      <w:r w:rsidR="00B86AB6" w:rsidRPr="00610B1B">
        <w:rPr>
          <w:rFonts w:ascii="Times New Roman" w:hAnsi="Times New Roman" w:cs="Times New Roman"/>
          <w:sz w:val="24"/>
          <w:szCs w:val="24"/>
          <w:lang w:val="bg-BG"/>
        </w:rPr>
        <w:t>на населението в същия период</w:t>
      </w:r>
      <w:r w:rsidR="001454C5" w:rsidRPr="00610B1B">
        <w:rPr>
          <w:rFonts w:ascii="Times New Roman" w:hAnsi="Times New Roman" w:cs="Times New Roman"/>
          <w:sz w:val="24"/>
          <w:szCs w:val="24"/>
          <w:lang w:val="bg-BG"/>
        </w:rPr>
        <w:t>. Заедно с Варна това са двата големи икономически, транспортни, административни, образователни, здравни, културни и туристически центрове</w:t>
      </w:r>
      <w:r w:rsidRPr="00610B1B">
        <w:rPr>
          <w:rFonts w:ascii="Times New Roman" w:hAnsi="Times New Roman" w:cs="Times New Roman"/>
          <w:sz w:val="24"/>
          <w:szCs w:val="24"/>
          <w:lang w:val="bg-BG"/>
        </w:rPr>
        <w:t xml:space="preserve">, </w:t>
      </w:r>
      <w:r w:rsidR="001454C5" w:rsidRPr="00610B1B">
        <w:rPr>
          <w:rFonts w:ascii="Times New Roman" w:hAnsi="Times New Roman" w:cs="Times New Roman"/>
          <w:sz w:val="24"/>
          <w:szCs w:val="24"/>
          <w:lang w:val="bg-BG"/>
        </w:rPr>
        <w:t xml:space="preserve">предлагащи уникална атмосфера и високо качество на живот. Варна и Бургас са центрове на агломерационни ареали, </w:t>
      </w:r>
      <w:r w:rsidR="00455B50" w:rsidRPr="00610B1B">
        <w:rPr>
          <w:rFonts w:ascii="Times New Roman" w:hAnsi="Times New Roman" w:cs="Times New Roman"/>
          <w:sz w:val="24"/>
          <w:szCs w:val="24"/>
          <w:lang w:val="bg-BG"/>
        </w:rPr>
        <w:t>интермоделни центрове с огромен потенциал за бъдещо развитие.</w:t>
      </w:r>
      <w:r w:rsidR="001454C5" w:rsidRPr="00610B1B">
        <w:rPr>
          <w:rFonts w:ascii="Times New Roman" w:hAnsi="Times New Roman" w:cs="Times New Roman"/>
          <w:sz w:val="24"/>
          <w:szCs w:val="24"/>
          <w:lang w:val="bg-BG"/>
        </w:rPr>
        <w:t xml:space="preserve"> </w:t>
      </w:r>
    </w:p>
    <w:p w14:paraId="7310988F" w14:textId="62EFF2EF" w:rsidR="00F5321F" w:rsidRPr="00610B1B" w:rsidRDefault="00BE41EE"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Селата</w:t>
      </w:r>
      <w:r w:rsidRPr="00610B1B">
        <w:rPr>
          <w:rFonts w:ascii="Times New Roman" w:hAnsi="Times New Roman" w:cs="Times New Roman"/>
          <w:sz w:val="24"/>
          <w:szCs w:val="24"/>
          <w:lang w:val="bg-BG"/>
        </w:rPr>
        <w:t xml:space="preserve">, </w:t>
      </w:r>
      <w:r w:rsidR="0082227D" w:rsidRPr="00610B1B">
        <w:rPr>
          <w:rFonts w:ascii="Times New Roman" w:hAnsi="Times New Roman" w:cs="Times New Roman"/>
          <w:sz w:val="24"/>
          <w:szCs w:val="24"/>
          <w:lang w:val="bg-BG"/>
        </w:rPr>
        <w:t>разположени в Черноморските общини</w:t>
      </w:r>
      <w:r w:rsidR="00D66FE0" w:rsidRPr="00610B1B">
        <w:rPr>
          <w:rFonts w:ascii="Times New Roman" w:hAnsi="Times New Roman" w:cs="Times New Roman"/>
          <w:sz w:val="24"/>
          <w:szCs w:val="24"/>
          <w:lang w:val="bg-BG"/>
        </w:rPr>
        <w:t xml:space="preserve"> </w:t>
      </w:r>
      <w:r w:rsidR="0082227D" w:rsidRPr="00610B1B">
        <w:rPr>
          <w:rFonts w:ascii="Times New Roman" w:hAnsi="Times New Roman" w:cs="Times New Roman"/>
          <w:sz w:val="24"/>
          <w:szCs w:val="24"/>
          <w:lang w:val="bg-BG"/>
        </w:rPr>
        <w:t>са 180 и в тях живеят 85 942 души, като в края на 2011 г. в тях са живели 85 648 души</w:t>
      </w:r>
      <w:r w:rsidR="0082227D" w:rsidRPr="00610B1B">
        <w:rPr>
          <w:rStyle w:val="FootnoteReference"/>
          <w:rFonts w:ascii="Times New Roman" w:hAnsi="Times New Roman" w:cs="Times New Roman"/>
          <w:sz w:val="24"/>
          <w:szCs w:val="24"/>
          <w:lang w:val="bg-BG"/>
        </w:rPr>
        <w:footnoteReference w:id="102"/>
      </w:r>
      <w:r w:rsidR="0082227D" w:rsidRPr="00610B1B">
        <w:rPr>
          <w:rFonts w:ascii="Times New Roman" w:hAnsi="Times New Roman" w:cs="Times New Roman"/>
          <w:sz w:val="24"/>
          <w:szCs w:val="24"/>
          <w:lang w:val="bg-BG"/>
        </w:rPr>
        <w:t>, или за 7 години населението</w:t>
      </w:r>
      <w:r w:rsidR="00B86AB6" w:rsidRPr="00610B1B">
        <w:rPr>
          <w:rFonts w:ascii="Times New Roman" w:hAnsi="Times New Roman" w:cs="Times New Roman"/>
          <w:sz w:val="24"/>
          <w:szCs w:val="24"/>
          <w:lang w:val="bg-BG"/>
        </w:rPr>
        <w:t xml:space="preserve"> се увеличава с 293</w:t>
      </w:r>
      <w:r w:rsidR="00D66FE0" w:rsidRPr="00610B1B">
        <w:rPr>
          <w:rFonts w:ascii="Times New Roman" w:hAnsi="Times New Roman" w:cs="Times New Roman"/>
          <w:sz w:val="24"/>
          <w:szCs w:val="24"/>
          <w:lang w:val="bg-BG"/>
        </w:rPr>
        <w:t xml:space="preserve"> </w:t>
      </w:r>
      <w:r w:rsidR="00B86AB6" w:rsidRPr="00610B1B">
        <w:rPr>
          <w:rFonts w:ascii="Times New Roman" w:hAnsi="Times New Roman" w:cs="Times New Roman"/>
          <w:sz w:val="24"/>
          <w:szCs w:val="24"/>
          <w:lang w:val="bg-BG"/>
        </w:rPr>
        <w:t>души (0,</w:t>
      </w:r>
      <w:r w:rsidR="0082227D" w:rsidRPr="00610B1B">
        <w:rPr>
          <w:rFonts w:ascii="Times New Roman" w:hAnsi="Times New Roman" w:cs="Times New Roman"/>
          <w:sz w:val="24"/>
          <w:szCs w:val="24"/>
          <w:lang w:val="bg-BG"/>
        </w:rPr>
        <w:t>3%). През същия период населението на селата в стра</w:t>
      </w:r>
      <w:r w:rsidR="00F5321F" w:rsidRPr="00610B1B">
        <w:rPr>
          <w:rFonts w:ascii="Times New Roman" w:hAnsi="Times New Roman" w:cs="Times New Roman"/>
          <w:sz w:val="24"/>
          <w:szCs w:val="24"/>
          <w:lang w:val="bg-BG"/>
        </w:rPr>
        <w:t>на</w:t>
      </w:r>
      <w:r w:rsidR="0082227D" w:rsidRPr="00610B1B">
        <w:rPr>
          <w:rFonts w:ascii="Times New Roman" w:hAnsi="Times New Roman" w:cs="Times New Roman"/>
          <w:sz w:val="24"/>
          <w:szCs w:val="24"/>
          <w:lang w:val="bg-BG"/>
        </w:rPr>
        <w:t>та намалява с</w:t>
      </w:r>
      <w:r w:rsidR="00B86AB6" w:rsidRPr="00610B1B">
        <w:rPr>
          <w:rFonts w:ascii="Times New Roman" w:hAnsi="Times New Roman" w:cs="Times New Roman"/>
          <w:sz w:val="24"/>
          <w:szCs w:val="24"/>
          <w:lang w:val="bg-BG"/>
        </w:rPr>
        <w:t xml:space="preserve"> -7,9</w:t>
      </w:r>
      <w:r w:rsidR="0082227D" w:rsidRPr="00610B1B">
        <w:rPr>
          <w:rFonts w:ascii="Times New Roman" w:hAnsi="Times New Roman" w:cs="Times New Roman"/>
          <w:sz w:val="24"/>
          <w:szCs w:val="24"/>
          <w:lang w:val="bg-BG"/>
        </w:rPr>
        <w:t>%, или черноморските общини са в по-благоприятна ситуация от повечето села в страната. Според съществуващия брой на населението им селата се категоризират</w:t>
      </w:r>
      <w:r w:rsidR="0082227D" w:rsidRPr="00610B1B">
        <w:rPr>
          <w:rStyle w:val="FootnoteReference"/>
          <w:rFonts w:ascii="Times New Roman" w:hAnsi="Times New Roman" w:cs="Times New Roman"/>
          <w:sz w:val="24"/>
          <w:szCs w:val="24"/>
          <w:lang w:val="bg-BG"/>
        </w:rPr>
        <w:footnoteReference w:id="103"/>
      </w:r>
      <w:r w:rsidR="0082227D" w:rsidRPr="00610B1B">
        <w:rPr>
          <w:rFonts w:ascii="Times New Roman" w:hAnsi="Times New Roman" w:cs="Times New Roman"/>
          <w:sz w:val="24"/>
          <w:szCs w:val="24"/>
          <w:lang w:val="bg-BG"/>
        </w:rPr>
        <w:t xml:space="preserve"> както следва:</w:t>
      </w:r>
    </w:p>
    <w:p w14:paraId="4DA9DDB4" w14:textId="107DC255" w:rsidR="0082227D" w:rsidRPr="00610B1B" w:rsidRDefault="00C60496" w:rsidP="00D32D6A">
      <w:pPr>
        <w:spacing w:after="120"/>
        <w:ind w:right="-153"/>
        <w:jc w:val="both"/>
        <w:rPr>
          <w:rFonts w:ascii="Times New Roman" w:hAnsi="Times New Roman" w:cs="Times New Roman"/>
          <w:b/>
          <w:sz w:val="24"/>
          <w:szCs w:val="24"/>
          <w:lang w:val="bg-BG"/>
        </w:rPr>
      </w:pPr>
      <w:r w:rsidRPr="00610B1B">
        <w:rPr>
          <w:rFonts w:ascii="Times New Roman" w:hAnsi="Times New Roman" w:cs="Times New Roman"/>
          <w:sz w:val="24"/>
          <w:szCs w:val="24"/>
          <w:lang w:val="bg-BG"/>
        </w:rPr>
        <w:t xml:space="preserve">Първо </w:t>
      </w:r>
      <w:r w:rsidR="0082227D" w:rsidRPr="00610B1B">
        <w:rPr>
          <w:rFonts w:ascii="Times New Roman" w:hAnsi="Times New Roman" w:cs="Times New Roman"/>
          <w:sz w:val="24"/>
          <w:szCs w:val="24"/>
          <w:lang w:val="bg-BG"/>
        </w:rPr>
        <w:t xml:space="preserve">място заемат “много малките села” до </w:t>
      </w:r>
      <w:r w:rsidR="00B86AB6" w:rsidRPr="00610B1B">
        <w:rPr>
          <w:rFonts w:ascii="Times New Roman" w:hAnsi="Times New Roman" w:cs="Times New Roman"/>
          <w:sz w:val="24"/>
          <w:szCs w:val="24"/>
          <w:lang w:val="bg-BG"/>
        </w:rPr>
        <w:t>250 жители. Те представляват 50,</w:t>
      </w:r>
      <w:r w:rsidR="0082227D" w:rsidRPr="00610B1B">
        <w:rPr>
          <w:rFonts w:ascii="Times New Roman" w:hAnsi="Times New Roman" w:cs="Times New Roman"/>
          <w:sz w:val="24"/>
          <w:szCs w:val="24"/>
          <w:lang w:val="bg-BG"/>
        </w:rPr>
        <w:t>6% от общия брой</w:t>
      </w:r>
      <w:r w:rsidR="00B86AB6" w:rsidRPr="00610B1B">
        <w:rPr>
          <w:rFonts w:ascii="Times New Roman" w:hAnsi="Times New Roman" w:cs="Times New Roman"/>
          <w:sz w:val="24"/>
          <w:szCs w:val="24"/>
          <w:lang w:val="bg-BG"/>
        </w:rPr>
        <w:t xml:space="preserve"> на селата</w:t>
      </w:r>
      <w:r w:rsidRPr="00610B1B">
        <w:rPr>
          <w:rFonts w:ascii="Times New Roman" w:hAnsi="Times New Roman" w:cs="Times New Roman"/>
          <w:sz w:val="24"/>
          <w:szCs w:val="24"/>
          <w:lang w:val="bg-BG"/>
        </w:rPr>
        <w:t xml:space="preserve"> и</w:t>
      </w:r>
      <w:r w:rsidR="00B86AB6" w:rsidRPr="00610B1B">
        <w:rPr>
          <w:rFonts w:ascii="Times New Roman" w:hAnsi="Times New Roman" w:cs="Times New Roman"/>
          <w:sz w:val="24"/>
          <w:szCs w:val="24"/>
          <w:lang w:val="bg-BG"/>
        </w:rPr>
        <w:t xml:space="preserve"> в тях живее 11,</w:t>
      </w:r>
      <w:r w:rsidR="0082227D" w:rsidRPr="00610B1B">
        <w:rPr>
          <w:rFonts w:ascii="Times New Roman" w:hAnsi="Times New Roman" w:cs="Times New Roman"/>
          <w:sz w:val="24"/>
          <w:szCs w:val="24"/>
          <w:lang w:val="bg-BG"/>
        </w:rPr>
        <w:t>4% от селското население.</w:t>
      </w:r>
      <w:r w:rsidR="00837C62" w:rsidRPr="00610B1B">
        <w:rPr>
          <w:rFonts w:ascii="Times New Roman" w:hAnsi="Times New Roman" w:cs="Times New Roman"/>
          <w:sz w:val="24"/>
          <w:szCs w:val="24"/>
          <w:lang w:val="bg-BG"/>
        </w:rPr>
        <w:t xml:space="preserve"> </w:t>
      </w:r>
      <w:r w:rsidR="0082227D" w:rsidRPr="00610B1B">
        <w:rPr>
          <w:rFonts w:ascii="Times New Roman" w:hAnsi="Times New Roman" w:cs="Times New Roman"/>
          <w:sz w:val="24"/>
          <w:szCs w:val="24"/>
          <w:lang w:val="bg-BG"/>
        </w:rPr>
        <w:t>На второ място е категорията “малки села” с население от 250 до 1</w:t>
      </w:r>
      <w:r w:rsidR="00B86AB6" w:rsidRPr="00610B1B">
        <w:rPr>
          <w:rFonts w:ascii="Times New Roman" w:hAnsi="Times New Roman" w:cs="Times New Roman"/>
          <w:sz w:val="24"/>
          <w:szCs w:val="24"/>
          <w:lang w:val="bg-BG"/>
        </w:rPr>
        <w:t>000 жители. Те представляват 33,</w:t>
      </w:r>
      <w:r w:rsidR="0082227D" w:rsidRPr="00610B1B">
        <w:rPr>
          <w:rFonts w:ascii="Times New Roman" w:hAnsi="Times New Roman" w:cs="Times New Roman"/>
          <w:sz w:val="24"/>
          <w:szCs w:val="24"/>
          <w:lang w:val="bg-BG"/>
        </w:rPr>
        <w:t xml:space="preserve">3% от общия </w:t>
      </w:r>
      <w:r w:rsidR="00B86AB6" w:rsidRPr="00610B1B">
        <w:rPr>
          <w:rFonts w:ascii="Times New Roman" w:hAnsi="Times New Roman" w:cs="Times New Roman"/>
          <w:sz w:val="24"/>
          <w:szCs w:val="24"/>
          <w:lang w:val="bg-BG"/>
        </w:rPr>
        <w:t>брой на селата и в тях живее 36,</w:t>
      </w:r>
      <w:r w:rsidR="0082227D" w:rsidRPr="00610B1B">
        <w:rPr>
          <w:rFonts w:ascii="Times New Roman" w:hAnsi="Times New Roman" w:cs="Times New Roman"/>
          <w:sz w:val="24"/>
          <w:szCs w:val="24"/>
          <w:lang w:val="bg-BG"/>
        </w:rPr>
        <w:t>3% от селското население.</w:t>
      </w:r>
      <w:r w:rsidR="00D66FE0" w:rsidRPr="00610B1B">
        <w:rPr>
          <w:rFonts w:ascii="Times New Roman" w:hAnsi="Times New Roman" w:cs="Times New Roman"/>
          <w:sz w:val="24"/>
          <w:szCs w:val="24"/>
          <w:lang w:val="bg-BG"/>
        </w:rPr>
        <w:t xml:space="preserve"> </w:t>
      </w:r>
      <w:r w:rsidR="0082227D" w:rsidRPr="00610B1B">
        <w:rPr>
          <w:rFonts w:ascii="Times New Roman" w:hAnsi="Times New Roman" w:cs="Times New Roman"/>
          <w:sz w:val="24"/>
          <w:szCs w:val="24"/>
          <w:lang w:val="bg-BG"/>
        </w:rPr>
        <w:t>На трето място е групата на “средните села” от 1</w:t>
      </w:r>
      <w:r w:rsidR="00B86AB6" w:rsidRPr="00610B1B">
        <w:rPr>
          <w:rFonts w:ascii="Times New Roman" w:hAnsi="Times New Roman" w:cs="Times New Roman"/>
          <w:sz w:val="24"/>
          <w:szCs w:val="24"/>
          <w:lang w:val="bg-BG"/>
        </w:rPr>
        <w:t> </w:t>
      </w:r>
      <w:r w:rsidR="0082227D" w:rsidRPr="00610B1B">
        <w:rPr>
          <w:rFonts w:ascii="Times New Roman" w:hAnsi="Times New Roman" w:cs="Times New Roman"/>
          <w:sz w:val="24"/>
          <w:szCs w:val="24"/>
          <w:lang w:val="bg-BG"/>
        </w:rPr>
        <w:t>000 до 2</w:t>
      </w:r>
      <w:r w:rsidR="00B86AB6" w:rsidRPr="00610B1B">
        <w:rPr>
          <w:rFonts w:ascii="Times New Roman" w:hAnsi="Times New Roman" w:cs="Times New Roman"/>
          <w:sz w:val="24"/>
          <w:szCs w:val="24"/>
          <w:lang w:val="bg-BG"/>
        </w:rPr>
        <w:t> 000 жители. Те представляват 12,</w:t>
      </w:r>
      <w:r w:rsidR="0082227D" w:rsidRPr="00610B1B">
        <w:rPr>
          <w:rFonts w:ascii="Times New Roman" w:hAnsi="Times New Roman" w:cs="Times New Roman"/>
          <w:sz w:val="24"/>
          <w:szCs w:val="24"/>
          <w:lang w:val="bg-BG"/>
        </w:rPr>
        <w:t xml:space="preserve">8% от общия </w:t>
      </w:r>
      <w:r w:rsidR="00B86AB6" w:rsidRPr="00610B1B">
        <w:rPr>
          <w:rFonts w:ascii="Times New Roman" w:hAnsi="Times New Roman" w:cs="Times New Roman"/>
          <w:sz w:val="24"/>
          <w:szCs w:val="24"/>
          <w:lang w:val="bg-BG"/>
        </w:rPr>
        <w:t>брой на селата и в тях живее 33,</w:t>
      </w:r>
      <w:r w:rsidR="0082227D" w:rsidRPr="00610B1B">
        <w:rPr>
          <w:rFonts w:ascii="Times New Roman" w:hAnsi="Times New Roman" w:cs="Times New Roman"/>
          <w:sz w:val="24"/>
          <w:szCs w:val="24"/>
          <w:lang w:val="bg-BG"/>
        </w:rPr>
        <w:t>9% от населението на селата. На четвърто място е категорията на “големите села” – от 2</w:t>
      </w:r>
      <w:r w:rsidR="00B86AB6" w:rsidRPr="00610B1B">
        <w:rPr>
          <w:rFonts w:ascii="Times New Roman" w:hAnsi="Times New Roman" w:cs="Times New Roman"/>
          <w:sz w:val="24"/>
          <w:szCs w:val="24"/>
          <w:lang w:val="bg-BG"/>
        </w:rPr>
        <w:t> </w:t>
      </w:r>
      <w:r w:rsidR="0082227D" w:rsidRPr="00610B1B">
        <w:rPr>
          <w:rFonts w:ascii="Times New Roman" w:hAnsi="Times New Roman" w:cs="Times New Roman"/>
          <w:sz w:val="24"/>
          <w:szCs w:val="24"/>
          <w:lang w:val="bg-BG"/>
        </w:rPr>
        <w:t>000 до 5</w:t>
      </w:r>
      <w:r w:rsidR="00B86AB6" w:rsidRPr="00610B1B">
        <w:rPr>
          <w:rFonts w:ascii="Times New Roman" w:hAnsi="Times New Roman" w:cs="Times New Roman"/>
          <w:sz w:val="24"/>
          <w:szCs w:val="24"/>
          <w:lang w:val="bg-BG"/>
        </w:rPr>
        <w:t> </w:t>
      </w:r>
      <w:r w:rsidR="0082227D" w:rsidRPr="00610B1B">
        <w:rPr>
          <w:rFonts w:ascii="Times New Roman" w:hAnsi="Times New Roman" w:cs="Times New Roman"/>
          <w:sz w:val="24"/>
          <w:szCs w:val="24"/>
          <w:lang w:val="bg-BG"/>
        </w:rPr>
        <w:t xml:space="preserve">000 жители. Те </w:t>
      </w:r>
      <w:r w:rsidR="00392A32" w:rsidRPr="00610B1B">
        <w:rPr>
          <w:rFonts w:ascii="Times New Roman" w:hAnsi="Times New Roman" w:cs="Times New Roman"/>
          <w:sz w:val="24"/>
          <w:szCs w:val="24"/>
          <w:lang w:val="bg-BG"/>
        </w:rPr>
        <w:t>участват</w:t>
      </w:r>
      <w:r w:rsidR="00B86AB6" w:rsidRPr="00610B1B">
        <w:rPr>
          <w:rFonts w:ascii="Times New Roman" w:hAnsi="Times New Roman" w:cs="Times New Roman"/>
          <w:sz w:val="24"/>
          <w:szCs w:val="24"/>
          <w:lang w:val="bg-BG"/>
        </w:rPr>
        <w:t xml:space="preserve"> с 3,3% от общия брой на селата и 18,</w:t>
      </w:r>
      <w:r w:rsidR="0082227D" w:rsidRPr="00610B1B">
        <w:rPr>
          <w:rFonts w:ascii="Times New Roman" w:hAnsi="Times New Roman" w:cs="Times New Roman"/>
          <w:sz w:val="24"/>
          <w:szCs w:val="24"/>
          <w:lang w:val="bg-BG"/>
        </w:rPr>
        <w:t xml:space="preserve">4% от населението. Най-голямото село е </w:t>
      </w:r>
      <w:r w:rsidR="00F5321F" w:rsidRPr="00610B1B">
        <w:rPr>
          <w:rFonts w:ascii="Times New Roman" w:hAnsi="Times New Roman" w:cs="Times New Roman"/>
          <w:sz w:val="24"/>
          <w:szCs w:val="24"/>
          <w:lang w:val="bg-BG"/>
        </w:rPr>
        <w:t xml:space="preserve">с. </w:t>
      </w:r>
      <w:r w:rsidR="0082227D" w:rsidRPr="00610B1B">
        <w:rPr>
          <w:rFonts w:ascii="Times New Roman" w:hAnsi="Times New Roman" w:cs="Times New Roman"/>
          <w:sz w:val="24"/>
          <w:szCs w:val="24"/>
          <w:lang w:val="bg-BG"/>
        </w:rPr>
        <w:t>Тополи</w:t>
      </w:r>
      <w:r w:rsidR="00D66FE0" w:rsidRPr="00610B1B">
        <w:rPr>
          <w:rFonts w:ascii="Times New Roman" w:hAnsi="Times New Roman" w:cs="Times New Roman"/>
          <w:sz w:val="24"/>
          <w:szCs w:val="24"/>
          <w:lang w:val="bg-BG"/>
        </w:rPr>
        <w:t xml:space="preserve"> </w:t>
      </w:r>
      <w:r w:rsidR="0082227D" w:rsidRPr="00610B1B">
        <w:rPr>
          <w:rFonts w:ascii="Times New Roman" w:hAnsi="Times New Roman" w:cs="Times New Roman"/>
          <w:sz w:val="24"/>
          <w:szCs w:val="24"/>
          <w:lang w:val="bg-BG"/>
        </w:rPr>
        <w:t>(3</w:t>
      </w:r>
      <w:r w:rsidR="00F5321F" w:rsidRPr="00610B1B">
        <w:rPr>
          <w:rFonts w:ascii="Times New Roman" w:hAnsi="Times New Roman" w:cs="Times New Roman"/>
          <w:sz w:val="24"/>
          <w:szCs w:val="24"/>
          <w:lang w:val="bg-BG"/>
        </w:rPr>
        <w:t> </w:t>
      </w:r>
      <w:r w:rsidR="0082227D" w:rsidRPr="00610B1B">
        <w:rPr>
          <w:rFonts w:ascii="Times New Roman" w:hAnsi="Times New Roman" w:cs="Times New Roman"/>
          <w:sz w:val="24"/>
          <w:szCs w:val="24"/>
          <w:lang w:val="bg-BG"/>
        </w:rPr>
        <w:t>072 д.), общ</w:t>
      </w:r>
      <w:r w:rsidR="00B86AB6" w:rsidRPr="00610B1B">
        <w:rPr>
          <w:rFonts w:ascii="Times New Roman" w:hAnsi="Times New Roman" w:cs="Times New Roman"/>
          <w:sz w:val="24"/>
          <w:szCs w:val="24"/>
          <w:lang w:val="bg-BG"/>
        </w:rPr>
        <w:t>ина</w:t>
      </w:r>
      <w:r w:rsidR="0082227D" w:rsidRPr="00610B1B">
        <w:rPr>
          <w:rFonts w:ascii="Times New Roman" w:hAnsi="Times New Roman" w:cs="Times New Roman"/>
          <w:sz w:val="24"/>
          <w:szCs w:val="24"/>
          <w:lang w:val="bg-BG"/>
        </w:rPr>
        <w:t xml:space="preserve"> Варна, другите големи села са Равда (2</w:t>
      </w:r>
      <w:r w:rsidR="00F5321F" w:rsidRPr="00610B1B">
        <w:rPr>
          <w:rFonts w:ascii="Times New Roman" w:hAnsi="Times New Roman" w:cs="Times New Roman"/>
          <w:sz w:val="24"/>
          <w:szCs w:val="24"/>
          <w:lang w:val="bg-BG"/>
        </w:rPr>
        <w:t> </w:t>
      </w:r>
      <w:r w:rsidR="0082227D" w:rsidRPr="00610B1B">
        <w:rPr>
          <w:rFonts w:ascii="Times New Roman" w:hAnsi="Times New Roman" w:cs="Times New Roman"/>
          <w:sz w:val="24"/>
          <w:szCs w:val="24"/>
          <w:lang w:val="bg-BG"/>
        </w:rPr>
        <w:t>849 д.), Каменар (2</w:t>
      </w:r>
      <w:r w:rsidR="00F5321F" w:rsidRPr="00610B1B">
        <w:rPr>
          <w:rFonts w:ascii="Times New Roman" w:hAnsi="Times New Roman" w:cs="Times New Roman"/>
          <w:sz w:val="24"/>
          <w:szCs w:val="24"/>
          <w:lang w:val="bg-BG"/>
        </w:rPr>
        <w:t> </w:t>
      </w:r>
      <w:r w:rsidR="0082227D" w:rsidRPr="00610B1B">
        <w:rPr>
          <w:rFonts w:ascii="Times New Roman" w:hAnsi="Times New Roman" w:cs="Times New Roman"/>
          <w:sz w:val="24"/>
          <w:szCs w:val="24"/>
          <w:lang w:val="bg-BG"/>
        </w:rPr>
        <w:t>806</w:t>
      </w:r>
      <w:r w:rsidR="00F5321F" w:rsidRPr="00610B1B">
        <w:rPr>
          <w:rFonts w:ascii="Times New Roman" w:hAnsi="Times New Roman" w:cs="Times New Roman"/>
          <w:sz w:val="24"/>
          <w:szCs w:val="24"/>
          <w:lang w:val="bg-BG"/>
        </w:rPr>
        <w:t xml:space="preserve"> </w:t>
      </w:r>
      <w:r w:rsidR="0082227D" w:rsidRPr="00610B1B">
        <w:rPr>
          <w:rFonts w:ascii="Times New Roman" w:hAnsi="Times New Roman" w:cs="Times New Roman"/>
          <w:sz w:val="24"/>
          <w:szCs w:val="24"/>
          <w:lang w:val="bg-BG"/>
        </w:rPr>
        <w:t>д.), Старо Оряхово (2</w:t>
      </w:r>
      <w:r w:rsidR="00F5321F" w:rsidRPr="00610B1B">
        <w:rPr>
          <w:rFonts w:ascii="Times New Roman" w:hAnsi="Times New Roman" w:cs="Times New Roman"/>
          <w:sz w:val="24"/>
          <w:szCs w:val="24"/>
          <w:lang w:val="bg-BG"/>
        </w:rPr>
        <w:t> </w:t>
      </w:r>
      <w:r w:rsidR="0082227D" w:rsidRPr="00610B1B">
        <w:rPr>
          <w:rFonts w:ascii="Times New Roman" w:hAnsi="Times New Roman" w:cs="Times New Roman"/>
          <w:sz w:val="24"/>
          <w:szCs w:val="24"/>
          <w:lang w:val="bg-BG"/>
        </w:rPr>
        <w:t>579 д.), Гроздьово (2</w:t>
      </w:r>
      <w:r w:rsidR="00F5321F" w:rsidRPr="00610B1B">
        <w:rPr>
          <w:rFonts w:ascii="Times New Roman" w:hAnsi="Times New Roman" w:cs="Times New Roman"/>
          <w:sz w:val="24"/>
          <w:szCs w:val="24"/>
          <w:lang w:val="bg-BG"/>
        </w:rPr>
        <w:t> </w:t>
      </w:r>
      <w:r w:rsidR="0082227D" w:rsidRPr="00610B1B">
        <w:rPr>
          <w:rFonts w:ascii="Times New Roman" w:hAnsi="Times New Roman" w:cs="Times New Roman"/>
          <w:sz w:val="24"/>
          <w:szCs w:val="24"/>
          <w:lang w:val="bg-BG"/>
        </w:rPr>
        <w:t>371 д.) и Оброчище (2</w:t>
      </w:r>
      <w:r w:rsidR="00F5321F" w:rsidRPr="00610B1B">
        <w:rPr>
          <w:rFonts w:ascii="Times New Roman" w:hAnsi="Times New Roman" w:cs="Times New Roman"/>
          <w:sz w:val="24"/>
          <w:szCs w:val="24"/>
          <w:lang w:val="bg-BG"/>
        </w:rPr>
        <w:t> </w:t>
      </w:r>
      <w:r w:rsidR="0082227D" w:rsidRPr="00610B1B">
        <w:rPr>
          <w:rFonts w:ascii="Times New Roman" w:hAnsi="Times New Roman" w:cs="Times New Roman"/>
          <w:sz w:val="24"/>
          <w:szCs w:val="24"/>
          <w:lang w:val="bg-BG"/>
        </w:rPr>
        <w:t xml:space="preserve">099 д.). </w:t>
      </w:r>
    </w:p>
    <w:p w14:paraId="27B7517C" w14:textId="2C7DB9BE" w:rsidR="0082227D" w:rsidRPr="00610B1B" w:rsidRDefault="00F5321F" w:rsidP="00D32D6A">
      <w:pPr>
        <w:pStyle w:val="Heading4"/>
        <w:spacing w:before="0" w:line="276" w:lineRule="auto"/>
        <w:ind w:right="-153"/>
        <w:rPr>
          <w:rFonts w:cs="Times New Roman"/>
        </w:rPr>
      </w:pPr>
      <w:r w:rsidRPr="00610B1B">
        <w:rPr>
          <w:rFonts w:cs="Times New Roman"/>
        </w:rPr>
        <w:t>2.</w:t>
      </w:r>
      <w:r w:rsidR="00837C62" w:rsidRPr="00610B1B">
        <w:rPr>
          <w:rFonts w:cs="Times New Roman"/>
        </w:rPr>
        <w:t>3</w:t>
      </w:r>
      <w:r w:rsidRPr="00610B1B">
        <w:rPr>
          <w:rFonts w:cs="Times New Roman"/>
        </w:rPr>
        <w:t>.</w:t>
      </w:r>
      <w:r w:rsidR="00837C62" w:rsidRPr="00610B1B">
        <w:rPr>
          <w:rFonts w:cs="Times New Roman"/>
        </w:rPr>
        <w:t>1</w:t>
      </w:r>
      <w:r w:rsidRPr="00610B1B">
        <w:rPr>
          <w:rFonts w:cs="Times New Roman"/>
        </w:rPr>
        <w:t xml:space="preserve">.3. </w:t>
      </w:r>
      <w:r w:rsidR="0082227D" w:rsidRPr="00610B1B">
        <w:rPr>
          <w:rFonts w:cs="Times New Roman"/>
        </w:rPr>
        <w:t>Естествен и механичен прираст на населението</w:t>
      </w:r>
    </w:p>
    <w:p w14:paraId="3DB243A7" w14:textId="1E9231C7" w:rsidR="0082227D" w:rsidRPr="00610B1B" w:rsidRDefault="0082227D"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Естествен</w:t>
      </w:r>
      <w:r w:rsidR="004C382F" w:rsidRPr="00610B1B">
        <w:rPr>
          <w:rFonts w:ascii="Times New Roman" w:hAnsi="Times New Roman" w:cs="Times New Roman"/>
          <w:b/>
          <w:sz w:val="24"/>
          <w:szCs w:val="24"/>
          <w:lang w:val="bg-BG"/>
        </w:rPr>
        <w:t>ият</w:t>
      </w:r>
      <w:r w:rsidRPr="00610B1B">
        <w:rPr>
          <w:rFonts w:ascii="Times New Roman" w:hAnsi="Times New Roman" w:cs="Times New Roman"/>
          <w:b/>
          <w:sz w:val="24"/>
          <w:szCs w:val="24"/>
          <w:lang w:val="bg-BG"/>
        </w:rPr>
        <w:t xml:space="preserve"> прираст</w:t>
      </w:r>
      <w:r w:rsidR="004C382F" w:rsidRPr="00610B1B">
        <w:rPr>
          <w:rFonts w:ascii="Times New Roman" w:hAnsi="Times New Roman" w:cs="Times New Roman"/>
          <w:b/>
          <w:sz w:val="24"/>
          <w:szCs w:val="24"/>
          <w:lang w:val="bg-BG"/>
        </w:rPr>
        <w:t xml:space="preserve"> </w:t>
      </w:r>
      <w:r w:rsidR="004C382F" w:rsidRPr="00610B1B">
        <w:rPr>
          <w:rFonts w:ascii="Times New Roman" w:hAnsi="Times New Roman" w:cs="Times New Roman"/>
          <w:sz w:val="24"/>
          <w:szCs w:val="24"/>
          <w:lang w:val="bg-BG"/>
        </w:rPr>
        <w:t>в общините на българското Черноморско крайбрежие през 2018</w:t>
      </w:r>
      <w:r w:rsidR="0004160B" w:rsidRPr="00610B1B">
        <w:rPr>
          <w:rFonts w:ascii="Times New Roman" w:hAnsi="Times New Roman" w:cs="Times New Roman"/>
          <w:sz w:val="24"/>
          <w:szCs w:val="24"/>
          <w:lang w:val="bg-BG"/>
        </w:rPr>
        <w:t> </w:t>
      </w:r>
      <w:r w:rsidR="004C382F" w:rsidRPr="00610B1B">
        <w:rPr>
          <w:rFonts w:ascii="Times New Roman" w:hAnsi="Times New Roman" w:cs="Times New Roman"/>
          <w:sz w:val="24"/>
          <w:szCs w:val="24"/>
          <w:lang w:val="bg-BG"/>
        </w:rPr>
        <w:t xml:space="preserve">г. е отрицателен и населението е намаляло </w:t>
      </w:r>
      <w:r w:rsidRPr="00610B1B">
        <w:rPr>
          <w:rFonts w:ascii="Times New Roman" w:hAnsi="Times New Roman" w:cs="Times New Roman"/>
          <w:bCs/>
          <w:iCs/>
          <w:sz w:val="24"/>
          <w:szCs w:val="24"/>
          <w:lang w:val="bg-BG"/>
        </w:rPr>
        <w:t>с 2 556 души.</w:t>
      </w:r>
      <w:r w:rsidR="004C382F" w:rsidRPr="00610B1B">
        <w:rPr>
          <w:rFonts w:ascii="Times New Roman" w:hAnsi="Times New Roman" w:cs="Times New Roman"/>
          <w:bCs/>
          <w:iCs/>
          <w:sz w:val="24"/>
          <w:szCs w:val="24"/>
          <w:lang w:val="bg-BG"/>
        </w:rPr>
        <w:t xml:space="preserve"> </w:t>
      </w:r>
      <w:r w:rsidRPr="00610B1B">
        <w:rPr>
          <w:rFonts w:ascii="Times New Roman" w:hAnsi="Times New Roman" w:cs="Times New Roman"/>
          <w:iCs/>
          <w:sz w:val="24"/>
          <w:szCs w:val="24"/>
          <w:lang w:val="bg-BG"/>
        </w:rPr>
        <w:t xml:space="preserve">Намалението на населението, измерено чрез </w:t>
      </w:r>
      <w:r w:rsidRPr="00610B1B">
        <w:rPr>
          <w:rFonts w:ascii="Times New Roman" w:hAnsi="Times New Roman" w:cs="Times New Roman"/>
          <w:bCs/>
          <w:iCs/>
          <w:sz w:val="24"/>
          <w:szCs w:val="24"/>
          <w:lang w:val="bg-BG"/>
        </w:rPr>
        <w:t>коефициента</w:t>
      </w:r>
      <w:r w:rsidRPr="00610B1B">
        <w:rPr>
          <w:rFonts w:ascii="Times New Roman" w:hAnsi="Times New Roman" w:cs="Times New Roman"/>
          <w:bCs/>
          <w:i/>
          <w:sz w:val="24"/>
          <w:szCs w:val="24"/>
          <w:lang w:val="bg-BG"/>
        </w:rPr>
        <w:t xml:space="preserve"> </w:t>
      </w:r>
      <w:r w:rsidRPr="00610B1B">
        <w:rPr>
          <w:rFonts w:ascii="Times New Roman" w:hAnsi="Times New Roman" w:cs="Times New Roman"/>
          <w:bCs/>
          <w:sz w:val="24"/>
          <w:szCs w:val="24"/>
          <w:lang w:val="bg-BG"/>
        </w:rPr>
        <w:t>на естествения</w:t>
      </w:r>
      <w:r w:rsidRPr="00610B1B">
        <w:rPr>
          <w:rFonts w:ascii="Times New Roman" w:hAnsi="Times New Roman" w:cs="Times New Roman"/>
          <w:b/>
          <w:bCs/>
          <w:sz w:val="24"/>
          <w:szCs w:val="24"/>
          <w:lang w:val="bg-BG"/>
        </w:rPr>
        <w:t xml:space="preserve"> </w:t>
      </w:r>
      <w:r w:rsidRPr="00610B1B">
        <w:rPr>
          <w:rFonts w:ascii="Times New Roman" w:hAnsi="Times New Roman" w:cs="Times New Roman"/>
          <w:bCs/>
          <w:sz w:val="24"/>
          <w:szCs w:val="24"/>
          <w:lang w:val="bg-BG"/>
        </w:rPr>
        <w:t>прираст</w:t>
      </w:r>
      <w:r w:rsidRPr="00610B1B">
        <w:rPr>
          <w:rStyle w:val="FootnoteReference"/>
          <w:rFonts w:ascii="Times New Roman" w:hAnsi="Times New Roman" w:cs="Times New Roman"/>
          <w:bCs/>
          <w:sz w:val="24"/>
          <w:szCs w:val="24"/>
          <w:lang w:val="bg-BG"/>
        </w:rPr>
        <w:footnoteReference w:id="104"/>
      </w:r>
      <w:r w:rsidR="00A5699E" w:rsidRPr="00610B1B">
        <w:rPr>
          <w:rFonts w:ascii="Times New Roman" w:hAnsi="Times New Roman" w:cs="Times New Roman"/>
          <w:lang w:val="bg-BG"/>
        </w:rPr>
        <w:t xml:space="preserve"> </w:t>
      </w:r>
      <w:r w:rsidR="004C382F" w:rsidRPr="00610B1B">
        <w:rPr>
          <w:rFonts w:ascii="Times New Roman" w:hAnsi="Times New Roman" w:cs="Times New Roman"/>
          <w:bCs/>
          <w:sz w:val="24"/>
          <w:szCs w:val="24"/>
          <w:lang w:val="bg-BG"/>
        </w:rPr>
        <w:t>през 2018 г. е минус 3,</w:t>
      </w:r>
      <w:r w:rsidR="00A5699E" w:rsidRPr="00610B1B">
        <w:rPr>
          <w:rFonts w:ascii="Times New Roman" w:hAnsi="Times New Roman" w:cs="Times New Roman"/>
          <w:bCs/>
          <w:sz w:val="24"/>
          <w:szCs w:val="24"/>
          <w:lang w:val="bg-BG"/>
        </w:rPr>
        <w:t>5‰</w:t>
      </w:r>
      <w:r w:rsidR="004C382F" w:rsidRPr="00610B1B">
        <w:rPr>
          <w:rFonts w:ascii="Times New Roman" w:hAnsi="Times New Roman" w:cs="Times New Roman"/>
          <w:bCs/>
          <w:sz w:val="24"/>
          <w:szCs w:val="24"/>
          <w:lang w:val="bg-BG"/>
        </w:rPr>
        <w:t>, а през 2011 г. е минус 0,</w:t>
      </w:r>
      <w:r w:rsidRPr="00610B1B">
        <w:rPr>
          <w:rFonts w:ascii="Times New Roman" w:hAnsi="Times New Roman" w:cs="Times New Roman"/>
          <w:bCs/>
          <w:sz w:val="24"/>
          <w:szCs w:val="24"/>
          <w:lang w:val="bg-BG"/>
        </w:rPr>
        <w:t>9‰</w:t>
      </w:r>
      <w:r w:rsidR="000F6CBC" w:rsidRPr="00610B1B">
        <w:rPr>
          <w:rFonts w:ascii="Times New Roman" w:hAnsi="Times New Roman" w:cs="Times New Roman"/>
          <w:b/>
          <w:bCs/>
          <w:sz w:val="24"/>
          <w:szCs w:val="24"/>
          <w:lang w:val="bg-BG"/>
        </w:rPr>
        <w:t xml:space="preserve">. </w:t>
      </w:r>
      <w:r w:rsidRPr="00610B1B">
        <w:rPr>
          <w:rFonts w:ascii="Times New Roman" w:hAnsi="Times New Roman" w:cs="Times New Roman"/>
          <w:sz w:val="24"/>
          <w:szCs w:val="24"/>
          <w:lang w:val="bg-BG"/>
        </w:rPr>
        <w:t xml:space="preserve">Коефициентът на естествения прираст в страната през 2018 г. е </w:t>
      </w:r>
      <w:r w:rsidRPr="00610B1B">
        <w:rPr>
          <w:rFonts w:ascii="Times New Roman" w:hAnsi="Times New Roman" w:cs="Times New Roman"/>
          <w:sz w:val="24"/>
          <w:szCs w:val="24"/>
          <w:lang w:val="bg-BG"/>
        </w:rPr>
        <w:lastRenderedPageBreak/>
        <w:t>минус</w:t>
      </w:r>
      <w:r w:rsidR="004C382F" w:rsidRPr="00610B1B">
        <w:rPr>
          <w:rFonts w:ascii="Times New Roman" w:hAnsi="Times New Roman" w:cs="Times New Roman"/>
          <w:sz w:val="24"/>
          <w:szCs w:val="24"/>
          <w:lang w:val="bg-BG"/>
        </w:rPr>
        <w:t xml:space="preserve"> 6,6‰, а през 2011 г. - минус 5,</w:t>
      </w:r>
      <w:r w:rsidRPr="00610B1B">
        <w:rPr>
          <w:rFonts w:ascii="Times New Roman" w:hAnsi="Times New Roman" w:cs="Times New Roman"/>
          <w:sz w:val="24"/>
          <w:szCs w:val="24"/>
          <w:lang w:val="bg-BG"/>
        </w:rPr>
        <w:t>1‰. Коефициентът на естеств</w:t>
      </w:r>
      <w:r w:rsidR="004C382F" w:rsidRPr="00610B1B">
        <w:rPr>
          <w:rFonts w:ascii="Times New Roman" w:hAnsi="Times New Roman" w:cs="Times New Roman"/>
          <w:sz w:val="24"/>
          <w:szCs w:val="24"/>
          <w:lang w:val="bg-BG"/>
        </w:rPr>
        <w:t>ения прираст за ЕС-28 е минус 0,</w:t>
      </w:r>
      <w:r w:rsidRPr="00610B1B">
        <w:rPr>
          <w:rFonts w:ascii="Times New Roman" w:hAnsi="Times New Roman" w:cs="Times New Roman"/>
          <w:sz w:val="24"/>
          <w:szCs w:val="24"/>
          <w:lang w:val="bg-BG"/>
        </w:rPr>
        <w:t>4‰.</w:t>
      </w:r>
      <w:r w:rsidR="004C382F"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През 2011 г. 2 общини имат положителен естествен прираст, </w:t>
      </w:r>
      <w:r w:rsidR="004C382F" w:rsidRPr="00610B1B">
        <w:rPr>
          <w:rFonts w:ascii="Times New Roman" w:hAnsi="Times New Roman" w:cs="Times New Roman"/>
          <w:sz w:val="24"/>
          <w:szCs w:val="24"/>
          <w:lang w:val="bg-BG"/>
        </w:rPr>
        <w:t>до</w:t>
      </w:r>
      <w:r w:rsidRPr="00610B1B">
        <w:rPr>
          <w:rFonts w:ascii="Times New Roman" w:hAnsi="Times New Roman" w:cs="Times New Roman"/>
          <w:sz w:val="24"/>
          <w:szCs w:val="24"/>
          <w:lang w:val="bg-BG"/>
        </w:rPr>
        <w:t>като през 2018 г. всичките общини</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имат отрицателен естествен прираст. Наблюдават се значителни различия между общините по отношение на коефициентите на естествен прираст. През 2018 г. с най-малки по стойности коефициенти на отрицателен естествен </w:t>
      </w:r>
      <w:r w:rsidR="004C382F" w:rsidRPr="00610B1B">
        <w:rPr>
          <w:rFonts w:ascii="Times New Roman" w:hAnsi="Times New Roman" w:cs="Times New Roman"/>
          <w:sz w:val="24"/>
          <w:szCs w:val="24"/>
          <w:lang w:val="bg-BG"/>
        </w:rPr>
        <w:t>прираст са общините Несебър (-0,0‰),</w:t>
      </w:r>
      <w:r w:rsidR="00D66FE0" w:rsidRPr="00610B1B">
        <w:rPr>
          <w:rFonts w:ascii="Times New Roman" w:hAnsi="Times New Roman" w:cs="Times New Roman"/>
          <w:sz w:val="24"/>
          <w:szCs w:val="24"/>
          <w:lang w:val="bg-BG"/>
        </w:rPr>
        <w:t xml:space="preserve"> </w:t>
      </w:r>
      <w:r w:rsidR="004C382F" w:rsidRPr="00610B1B">
        <w:rPr>
          <w:rFonts w:ascii="Times New Roman" w:hAnsi="Times New Roman" w:cs="Times New Roman"/>
          <w:sz w:val="24"/>
          <w:szCs w:val="24"/>
          <w:lang w:val="bg-BG"/>
        </w:rPr>
        <w:t>Варна (-2,1‰) и Бургас (-3,</w:t>
      </w:r>
      <w:r w:rsidRPr="00610B1B">
        <w:rPr>
          <w:rFonts w:ascii="Times New Roman" w:hAnsi="Times New Roman" w:cs="Times New Roman"/>
          <w:sz w:val="24"/>
          <w:szCs w:val="24"/>
          <w:lang w:val="bg-BG"/>
        </w:rPr>
        <w:t>1‰). В 3 общини коефициент</w:t>
      </w:r>
      <w:r w:rsidR="00A5699E" w:rsidRPr="00610B1B">
        <w:rPr>
          <w:rFonts w:ascii="Times New Roman" w:hAnsi="Times New Roman" w:cs="Times New Roman"/>
          <w:sz w:val="24"/>
          <w:szCs w:val="24"/>
          <w:lang w:val="bg-BG"/>
        </w:rPr>
        <w:t>ът</w:t>
      </w:r>
      <w:r w:rsidRPr="00610B1B">
        <w:rPr>
          <w:rFonts w:ascii="Times New Roman" w:hAnsi="Times New Roman" w:cs="Times New Roman"/>
          <w:sz w:val="24"/>
          <w:szCs w:val="24"/>
          <w:lang w:val="bg-BG"/>
        </w:rPr>
        <w:t xml:space="preserve"> на естествения прираст е 2 и повече пъти по-неблагоприятен от средния за страната </w:t>
      </w:r>
      <w:r w:rsidR="00837C62" w:rsidRPr="00610B1B">
        <w:rPr>
          <w:rFonts w:ascii="Times New Roman" w:hAnsi="Times New Roman" w:cs="Times New Roman"/>
          <w:sz w:val="24"/>
          <w:szCs w:val="24"/>
          <w:lang w:val="bg-BG"/>
        </w:rPr>
        <w:t xml:space="preserve">- </w:t>
      </w:r>
      <w:r w:rsidR="004C382F" w:rsidRPr="00610B1B">
        <w:rPr>
          <w:rFonts w:ascii="Times New Roman" w:hAnsi="Times New Roman" w:cs="Times New Roman"/>
          <w:sz w:val="24"/>
          <w:szCs w:val="24"/>
          <w:lang w:val="bg-BG"/>
        </w:rPr>
        <w:t>Шабла (-21,7‰),</w:t>
      </w:r>
      <w:r w:rsidR="00D66FE0" w:rsidRPr="00610B1B">
        <w:rPr>
          <w:rFonts w:ascii="Times New Roman" w:hAnsi="Times New Roman" w:cs="Times New Roman"/>
          <w:sz w:val="24"/>
          <w:szCs w:val="24"/>
          <w:lang w:val="bg-BG"/>
        </w:rPr>
        <w:t xml:space="preserve"> </w:t>
      </w:r>
      <w:r w:rsidR="004C382F" w:rsidRPr="00610B1B">
        <w:rPr>
          <w:rFonts w:ascii="Times New Roman" w:hAnsi="Times New Roman" w:cs="Times New Roman"/>
          <w:sz w:val="24"/>
          <w:szCs w:val="24"/>
          <w:lang w:val="bg-BG"/>
        </w:rPr>
        <w:t>Аврен</w:t>
      </w:r>
      <w:r w:rsidR="00D66FE0" w:rsidRPr="00610B1B">
        <w:rPr>
          <w:rFonts w:ascii="Times New Roman" w:hAnsi="Times New Roman" w:cs="Times New Roman"/>
          <w:sz w:val="24"/>
          <w:szCs w:val="24"/>
          <w:lang w:val="bg-BG"/>
        </w:rPr>
        <w:t xml:space="preserve"> </w:t>
      </w:r>
      <w:r w:rsidR="004C382F" w:rsidRPr="00610B1B">
        <w:rPr>
          <w:rFonts w:ascii="Times New Roman" w:hAnsi="Times New Roman" w:cs="Times New Roman"/>
          <w:sz w:val="24"/>
          <w:szCs w:val="24"/>
          <w:lang w:val="bg-BG"/>
        </w:rPr>
        <w:t>(-13,</w:t>
      </w:r>
      <w:r w:rsidRPr="00610B1B">
        <w:rPr>
          <w:rFonts w:ascii="Times New Roman" w:hAnsi="Times New Roman" w:cs="Times New Roman"/>
          <w:sz w:val="24"/>
          <w:szCs w:val="24"/>
          <w:lang w:val="bg-BG"/>
        </w:rPr>
        <w:t>0 ‰) и Бяла (-12</w:t>
      </w:r>
      <w:r w:rsidR="004C382F"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5‰).</w:t>
      </w:r>
    </w:p>
    <w:p w14:paraId="33689FF4" w14:textId="76E25605" w:rsidR="0082227D" w:rsidRPr="00610B1B" w:rsidRDefault="004C382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Механичният прираст</w:t>
      </w:r>
      <w:r w:rsidRPr="00610B1B">
        <w:rPr>
          <w:rFonts w:ascii="Times New Roman" w:hAnsi="Times New Roman" w:cs="Times New Roman"/>
          <w:sz w:val="24"/>
          <w:szCs w:val="24"/>
          <w:lang w:val="bg-BG"/>
        </w:rPr>
        <w:t xml:space="preserve"> оказва с</w:t>
      </w:r>
      <w:r w:rsidR="0082227D" w:rsidRPr="00610B1B">
        <w:rPr>
          <w:rFonts w:ascii="Times New Roman" w:hAnsi="Times New Roman" w:cs="Times New Roman"/>
          <w:sz w:val="24"/>
          <w:szCs w:val="24"/>
          <w:lang w:val="bg-BG"/>
        </w:rPr>
        <w:t xml:space="preserve">ъществено влияние върху броя и структурите на населението в района. Коефициентът на механичен прираст в </w:t>
      </w:r>
      <w:r w:rsidRPr="00610B1B">
        <w:rPr>
          <w:rFonts w:ascii="Times New Roman" w:hAnsi="Times New Roman" w:cs="Times New Roman"/>
          <w:sz w:val="24"/>
          <w:szCs w:val="24"/>
          <w:lang w:val="bg-BG"/>
        </w:rPr>
        <w:t>Черноморските</w:t>
      </w:r>
      <w:r w:rsidR="0082227D" w:rsidRPr="00610B1B">
        <w:rPr>
          <w:rFonts w:ascii="Times New Roman" w:hAnsi="Times New Roman" w:cs="Times New Roman"/>
          <w:sz w:val="24"/>
          <w:szCs w:val="24"/>
          <w:lang w:val="bg-BG"/>
        </w:rPr>
        <w:t xml:space="preserve"> общини през 2011 г. </w:t>
      </w:r>
      <w:r w:rsidRPr="00610B1B">
        <w:rPr>
          <w:rFonts w:ascii="Times New Roman" w:hAnsi="Times New Roman" w:cs="Times New Roman"/>
          <w:sz w:val="24"/>
          <w:szCs w:val="24"/>
          <w:lang w:val="bg-BG"/>
        </w:rPr>
        <w:t>е (0,8‰), а през 2018 г. (2,</w:t>
      </w:r>
      <w:r w:rsidR="0082227D" w:rsidRPr="00610B1B">
        <w:rPr>
          <w:rFonts w:ascii="Times New Roman" w:hAnsi="Times New Roman" w:cs="Times New Roman"/>
          <w:sz w:val="24"/>
          <w:szCs w:val="24"/>
          <w:lang w:val="bg-BG"/>
        </w:rPr>
        <w:t xml:space="preserve">8‰), като за страната през 2011 г. </w:t>
      </w:r>
      <w:r w:rsidRPr="00610B1B">
        <w:rPr>
          <w:rFonts w:ascii="Times New Roman" w:hAnsi="Times New Roman" w:cs="Times New Roman"/>
          <w:sz w:val="24"/>
          <w:szCs w:val="24"/>
          <w:lang w:val="bg-BG"/>
        </w:rPr>
        <w:t>е -0,8‰, а през 2018 г. е (-0,</w:t>
      </w:r>
      <w:r w:rsidR="0082227D" w:rsidRPr="00610B1B">
        <w:rPr>
          <w:rFonts w:ascii="Times New Roman" w:hAnsi="Times New Roman" w:cs="Times New Roman"/>
          <w:sz w:val="24"/>
          <w:szCs w:val="24"/>
          <w:lang w:val="bg-BG"/>
        </w:rPr>
        <w:t>5‰)</w:t>
      </w:r>
      <w:r w:rsidR="00837C62" w:rsidRPr="00610B1B">
        <w:rPr>
          <w:rFonts w:ascii="Times New Roman" w:hAnsi="Times New Roman" w:cs="Times New Roman"/>
          <w:sz w:val="24"/>
          <w:szCs w:val="24"/>
          <w:lang w:val="bg-BG"/>
        </w:rPr>
        <w:t>, и</w:t>
      </w:r>
      <w:r w:rsidR="0082227D" w:rsidRPr="00610B1B">
        <w:rPr>
          <w:rFonts w:ascii="Times New Roman" w:hAnsi="Times New Roman" w:cs="Times New Roman"/>
          <w:sz w:val="24"/>
          <w:szCs w:val="24"/>
          <w:lang w:val="bg-BG"/>
        </w:rPr>
        <w:t>ли механичния</w:t>
      </w:r>
      <w:r w:rsidR="00837C62" w:rsidRPr="00610B1B">
        <w:rPr>
          <w:rFonts w:ascii="Times New Roman" w:hAnsi="Times New Roman" w:cs="Times New Roman"/>
          <w:sz w:val="24"/>
          <w:szCs w:val="24"/>
          <w:lang w:val="bg-BG"/>
        </w:rPr>
        <w:t>т</w:t>
      </w:r>
      <w:r w:rsidR="0082227D" w:rsidRPr="00610B1B">
        <w:rPr>
          <w:rFonts w:ascii="Times New Roman" w:hAnsi="Times New Roman" w:cs="Times New Roman"/>
          <w:sz w:val="24"/>
          <w:szCs w:val="24"/>
          <w:lang w:val="bg-BG"/>
        </w:rPr>
        <w:t xml:space="preserve"> прираст в общините</w:t>
      </w:r>
      <w:r w:rsidR="009C0007" w:rsidRPr="00610B1B">
        <w:rPr>
          <w:rFonts w:ascii="Times New Roman" w:hAnsi="Times New Roman" w:cs="Times New Roman"/>
          <w:sz w:val="24"/>
          <w:szCs w:val="24"/>
          <w:lang w:val="bg-BG"/>
        </w:rPr>
        <w:t xml:space="preserve"> на крайбрежието е</w:t>
      </w:r>
      <w:r w:rsidR="0082227D" w:rsidRPr="00610B1B">
        <w:rPr>
          <w:rFonts w:ascii="Times New Roman" w:hAnsi="Times New Roman" w:cs="Times New Roman"/>
          <w:sz w:val="24"/>
          <w:szCs w:val="24"/>
          <w:lang w:val="bg-BG"/>
        </w:rPr>
        <w:t xml:space="preserve"> с по-благоприятни показатели от средните за страната. През 2018</w:t>
      </w:r>
      <w:r w:rsidR="0042644C" w:rsidRPr="00610B1B">
        <w:rPr>
          <w:rFonts w:ascii="Times New Roman" w:hAnsi="Times New Roman" w:cs="Times New Roman"/>
          <w:sz w:val="24"/>
          <w:szCs w:val="24"/>
          <w:lang w:val="bg-BG"/>
        </w:rPr>
        <w:t> </w:t>
      </w:r>
      <w:r w:rsidR="0082227D" w:rsidRPr="00610B1B">
        <w:rPr>
          <w:rFonts w:ascii="Times New Roman" w:hAnsi="Times New Roman" w:cs="Times New Roman"/>
          <w:sz w:val="24"/>
          <w:szCs w:val="24"/>
          <w:lang w:val="bg-BG"/>
        </w:rPr>
        <w:t>г. 7 общини имат положителен механичен прираст, като по-значителен е прираст</w:t>
      </w:r>
      <w:r w:rsidR="00A5699E" w:rsidRPr="00610B1B">
        <w:rPr>
          <w:rFonts w:ascii="Times New Roman" w:hAnsi="Times New Roman" w:cs="Times New Roman"/>
          <w:sz w:val="24"/>
          <w:szCs w:val="24"/>
          <w:lang w:val="bg-BG"/>
        </w:rPr>
        <w:t>ът</w:t>
      </w:r>
      <w:r w:rsidR="0082227D" w:rsidRPr="00610B1B">
        <w:rPr>
          <w:rFonts w:ascii="Times New Roman" w:hAnsi="Times New Roman" w:cs="Times New Roman"/>
          <w:sz w:val="24"/>
          <w:szCs w:val="24"/>
          <w:lang w:val="bg-BG"/>
        </w:rPr>
        <w:t xml:space="preserve"> в общин</w:t>
      </w:r>
      <w:r w:rsidR="00C60496" w:rsidRPr="00610B1B">
        <w:rPr>
          <w:rFonts w:ascii="Times New Roman" w:hAnsi="Times New Roman" w:cs="Times New Roman"/>
          <w:sz w:val="24"/>
          <w:szCs w:val="24"/>
          <w:lang w:val="bg-BG"/>
        </w:rPr>
        <w:t>ите</w:t>
      </w:r>
      <w:r w:rsidR="0082227D" w:rsidRPr="00610B1B">
        <w:rPr>
          <w:rFonts w:ascii="Times New Roman" w:hAnsi="Times New Roman" w:cs="Times New Roman"/>
          <w:sz w:val="24"/>
          <w:szCs w:val="24"/>
          <w:lang w:val="bg-BG"/>
        </w:rPr>
        <w:t xml:space="preserve"> Варна 1</w:t>
      </w:r>
      <w:r w:rsidR="00A5699E"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355 д. (3,9‰), Несебър 408 д. (17,7‰) и Бургас 363 д. (1,</w:t>
      </w:r>
      <w:r w:rsidR="0082227D" w:rsidRPr="00610B1B">
        <w:rPr>
          <w:rFonts w:ascii="Times New Roman" w:hAnsi="Times New Roman" w:cs="Times New Roman"/>
          <w:sz w:val="24"/>
          <w:szCs w:val="24"/>
          <w:lang w:val="bg-BG"/>
        </w:rPr>
        <w:t>7‰). С най-голямо намаление на населението в резултат на отрицателния механичен прираст са общините Балчик 125 д. (-6.4‰), Долни чифлик 113 д. (-6.1‰) и Царево 99 д. (- 10.9‰).</w:t>
      </w:r>
    </w:p>
    <w:p w14:paraId="2608025B" w14:textId="1AEFCF97" w:rsidR="00111024" w:rsidRPr="00610B1B" w:rsidRDefault="0082227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Освен постоянното население в населените места</w:t>
      </w:r>
      <w:r w:rsidR="00414E37"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в общините пребивава и временно население</w:t>
      </w:r>
      <w:r w:rsidR="003915FD"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съсредоточено основно в</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брегова</w:t>
      </w:r>
      <w:r w:rsidR="00345C8A" w:rsidRPr="00610B1B">
        <w:rPr>
          <w:rFonts w:ascii="Times New Roman" w:hAnsi="Times New Roman" w:cs="Times New Roman"/>
          <w:sz w:val="24"/>
          <w:szCs w:val="24"/>
          <w:lang w:val="bg-BG"/>
        </w:rPr>
        <w:t>та</w:t>
      </w:r>
      <w:r w:rsidRPr="00610B1B">
        <w:rPr>
          <w:rFonts w:ascii="Times New Roman" w:hAnsi="Times New Roman" w:cs="Times New Roman"/>
          <w:sz w:val="24"/>
          <w:szCs w:val="24"/>
          <w:lang w:val="bg-BG"/>
        </w:rPr>
        <w:t xml:space="preserve"> ивица, климатични национални и местни морски курорти</w:t>
      </w:r>
      <w:r w:rsidRPr="00610B1B">
        <w:rPr>
          <w:rStyle w:val="FootnoteReference"/>
          <w:rFonts w:ascii="Times New Roman" w:hAnsi="Times New Roman" w:cs="Times New Roman"/>
          <w:sz w:val="24"/>
          <w:szCs w:val="24"/>
          <w:lang w:val="bg-BG"/>
        </w:rPr>
        <w:footnoteReference w:id="105"/>
      </w:r>
      <w:r w:rsidR="0042644C"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вилните зони и </w:t>
      </w:r>
      <w:r w:rsidR="009C0007" w:rsidRPr="00610B1B">
        <w:rPr>
          <w:rFonts w:ascii="Times New Roman" w:hAnsi="Times New Roman" w:cs="Times New Roman"/>
          <w:sz w:val="24"/>
          <w:szCs w:val="24"/>
          <w:lang w:val="bg-BG"/>
        </w:rPr>
        <w:t xml:space="preserve">ваканционни </w:t>
      </w:r>
      <w:r w:rsidRPr="00610B1B">
        <w:rPr>
          <w:rFonts w:ascii="Times New Roman" w:hAnsi="Times New Roman" w:cs="Times New Roman"/>
          <w:sz w:val="24"/>
          <w:szCs w:val="24"/>
          <w:lang w:val="bg-BG"/>
        </w:rPr>
        <w:t>селища</w:t>
      </w:r>
      <w:r w:rsidR="009C0007" w:rsidRPr="00610B1B">
        <w:rPr>
          <w:rFonts w:ascii="Times New Roman" w:hAnsi="Times New Roman" w:cs="Times New Roman"/>
          <w:sz w:val="24"/>
          <w:szCs w:val="24"/>
          <w:lang w:val="bg-BG"/>
        </w:rPr>
        <w:t>. Т</w:t>
      </w:r>
      <w:r w:rsidRPr="00610B1B">
        <w:rPr>
          <w:rFonts w:ascii="Times New Roman" w:hAnsi="Times New Roman" w:cs="Times New Roman"/>
          <w:sz w:val="24"/>
          <w:szCs w:val="24"/>
          <w:lang w:val="bg-BG"/>
        </w:rPr>
        <w:t>ова са почиващите туристи и хора</w:t>
      </w:r>
      <w:r w:rsidR="003915FD"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свързани с туризма (администратори, </w:t>
      </w:r>
      <w:r w:rsidR="00E04172" w:rsidRPr="00610B1B">
        <w:rPr>
          <w:rFonts w:ascii="Times New Roman" w:hAnsi="Times New Roman" w:cs="Times New Roman"/>
          <w:sz w:val="24"/>
          <w:szCs w:val="24"/>
          <w:lang w:val="bg-BG"/>
        </w:rPr>
        <w:t>сервитьори</w:t>
      </w:r>
      <w:r w:rsidRPr="00610B1B">
        <w:rPr>
          <w:rFonts w:ascii="Times New Roman" w:hAnsi="Times New Roman" w:cs="Times New Roman"/>
          <w:sz w:val="24"/>
          <w:szCs w:val="24"/>
          <w:lang w:val="bg-BG"/>
        </w:rPr>
        <w:t>, готвачи, хигиенисти, охрана, обслужващ персонал по плажовете), обслужването и търговията (персонал в заведенията за хранене и развлечения и улични продавачи) през летния сезон</w:t>
      </w:r>
      <w:r w:rsidR="00414E37"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и в строителството през зимния сезон. </w:t>
      </w:r>
      <w:r w:rsidR="003915FD" w:rsidRPr="00610B1B">
        <w:rPr>
          <w:rFonts w:ascii="Times New Roman" w:hAnsi="Times New Roman" w:cs="Times New Roman"/>
          <w:sz w:val="24"/>
          <w:szCs w:val="24"/>
          <w:lang w:val="bg-BG"/>
        </w:rPr>
        <w:t>П</w:t>
      </w:r>
      <w:r w:rsidRPr="00610B1B">
        <w:rPr>
          <w:rFonts w:ascii="Times New Roman" w:hAnsi="Times New Roman" w:cs="Times New Roman"/>
          <w:sz w:val="24"/>
          <w:szCs w:val="24"/>
          <w:lang w:val="bg-BG"/>
        </w:rPr>
        <w:t xml:space="preserve">рез върховия туристически сезон в населените места на общините пребивават много повече хора от постоянното население. </w:t>
      </w:r>
      <w:r w:rsidR="009C0007" w:rsidRPr="00610B1B">
        <w:rPr>
          <w:rFonts w:ascii="Times New Roman" w:hAnsi="Times New Roman" w:cs="Times New Roman"/>
          <w:sz w:val="24"/>
          <w:szCs w:val="24"/>
          <w:lang w:val="bg-BG"/>
        </w:rPr>
        <w:t xml:space="preserve">Това изисква по-точно изчисление на натоварването на плажовете съгласно ЗУЧК и нормите по </w:t>
      </w:r>
      <w:r w:rsidRPr="00610B1B">
        <w:rPr>
          <w:rFonts w:ascii="Times New Roman" w:hAnsi="Times New Roman" w:cs="Times New Roman"/>
          <w:sz w:val="24"/>
          <w:szCs w:val="24"/>
          <w:lang w:val="bg-BG"/>
        </w:rPr>
        <w:t>чл.</w:t>
      </w:r>
      <w:r w:rsidR="003915FD"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27 ал.</w:t>
      </w:r>
      <w:r w:rsidR="003915FD"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2 т.1 от Наредба №</w:t>
      </w:r>
      <w:r w:rsidR="003915FD"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7 за </w:t>
      </w:r>
      <w:r w:rsidR="003915FD" w:rsidRPr="00610B1B">
        <w:rPr>
          <w:rFonts w:ascii="Times New Roman" w:hAnsi="Times New Roman" w:cs="Times New Roman"/>
          <w:sz w:val="24"/>
          <w:szCs w:val="24"/>
          <w:lang w:val="bg-BG"/>
        </w:rPr>
        <w:t>правила и нормативи за устройство на отделните видове територии и устройствени зони</w:t>
      </w:r>
      <w:r w:rsidRPr="00610B1B">
        <w:rPr>
          <w:rFonts w:ascii="Times New Roman" w:hAnsi="Times New Roman" w:cs="Times New Roman"/>
          <w:sz w:val="24"/>
          <w:szCs w:val="24"/>
          <w:lang w:val="bg-BG"/>
        </w:rPr>
        <w:t xml:space="preserve">. </w:t>
      </w:r>
    </w:p>
    <w:p w14:paraId="24BE0518" w14:textId="247E8D86" w:rsidR="0082227D" w:rsidRPr="00610B1B" w:rsidRDefault="00A221E9"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Може да се прогнозира, че и </w:t>
      </w:r>
      <w:r w:rsidR="0082227D" w:rsidRPr="00610B1B">
        <w:rPr>
          <w:rFonts w:ascii="Times New Roman" w:hAnsi="Times New Roman" w:cs="Times New Roman"/>
          <w:sz w:val="24"/>
          <w:szCs w:val="24"/>
          <w:lang w:val="bg-BG"/>
        </w:rPr>
        <w:t>в периода до 2050 г. Черноморските общини ще бъдат сред общините със силно пулсиращ брой на пребиваващите, свързан със сезонността и мащабите на морския туризъм. Това оказва значително влияние върху потребностите за развитие на социалната и техническата инфраструктура</w:t>
      </w:r>
      <w:r w:rsidRPr="00610B1B">
        <w:rPr>
          <w:rFonts w:ascii="Times New Roman" w:hAnsi="Times New Roman" w:cs="Times New Roman"/>
          <w:sz w:val="24"/>
          <w:szCs w:val="24"/>
          <w:lang w:val="bg-BG"/>
        </w:rPr>
        <w:t>.</w:t>
      </w:r>
    </w:p>
    <w:p w14:paraId="72492961" w14:textId="5139E1EC" w:rsidR="005F7963" w:rsidRPr="00610B1B" w:rsidRDefault="009C0007" w:rsidP="00D32D6A">
      <w:pPr>
        <w:pStyle w:val="BodyText"/>
        <w:spacing w:before="0" w:after="120" w:line="276" w:lineRule="auto"/>
        <w:ind w:right="-153"/>
        <w:rPr>
          <w:rFonts w:cs="Times New Roman"/>
          <w:color w:val="000000"/>
        </w:rPr>
      </w:pPr>
      <w:r w:rsidRPr="00610B1B">
        <w:rPr>
          <w:rFonts w:cs="Times New Roman"/>
        </w:rPr>
        <w:t xml:space="preserve">Краткият </w:t>
      </w:r>
      <w:r w:rsidR="00A221E9" w:rsidRPr="00610B1B">
        <w:rPr>
          <w:rFonts w:cs="Times New Roman"/>
        </w:rPr>
        <w:t xml:space="preserve">анализ </w:t>
      </w:r>
      <w:r w:rsidRPr="00610B1B">
        <w:rPr>
          <w:rFonts w:cs="Times New Roman"/>
        </w:rPr>
        <w:t xml:space="preserve">на демографската ситуация за периода 2011–2018 г. в общините на Черноморското крайбрежие показва някои </w:t>
      </w:r>
      <w:r w:rsidR="00A221E9" w:rsidRPr="00610B1B">
        <w:rPr>
          <w:rFonts w:cs="Times New Roman"/>
        </w:rPr>
        <w:t xml:space="preserve">по-важни </w:t>
      </w:r>
      <w:r w:rsidR="00A221E9" w:rsidRPr="00610B1B">
        <w:rPr>
          <w:rFonts w:cs="Times New Roman"/>
          <w:b/>
          <w:bCs/>
        </w:rPr>
        <w:t>изводи</w:t>
      </w:r>
      <w:r w:rsidR="00A221E9" w:rsidRPr="00610B1B">
        <w:rPr>
          <w:rFonts w:cs="Times New Roman"/>
        </w:rPr>
        <w:t xml:space="preserve"> </w:t>
      </w:r>
      <w:r w:rsidRPr="00610B1B">
        <w:rPr>
          <w:rFonts w:cs="Times New Roman"/>
        </w:rPr>
        <w:t xml:space="preserve">относно </w:t>
      </w:r>
      <w:r w:rsidR="0082227D" w:rsidRPr="00610B1B">
        <w:rPr>
          <w:rFonts w:cs="Times New Roman"/>
        </w:rPr>
        <w:t>минимално</w:t>
      </w:r>
      <w:r w:rsidRPr="00610B1B">
        <w:rPr>
          <w:rFonts w:cs="Times New Roman"/>
        </w:rPr>
        <w:t>то</w:t>
      </w:r>
      <w:r w:rsidR="0082227D" w:rsidRPr="00610B1B">
        <w:rPr>
          <w:rFonts w:cs="Times New Roman"/>
        </w:rPr>
        <w:t xml:space="preserve"> увеличение на населението </w:t>
      </w:r>
      <w:r w:rsidRPr="00610B1B">
        <w:rPr>
          <w:rFonts w:cs="Times New Roman"/>
        </w:rPr>
        <w:t>с 0,</w:t>
      </w:r>
      <w:r w:rsidR="0082227D" w:rsidRPr="00610B1B">
        <w:rPr>
          <w:rFonts w:cs="Times New Roman"/>
        </w:rPr>
        <w:t>04%</w:t>
      </w:r>
      <w:r w:rsidRPr="00610B1B">
        <w:rPr>
          <w:rFonts w:cs="Times New Roman"/>
        </w:rPr>
        <w:t xml:space="preserve"> при намаляване на </w:t>
      </w:r>
      <w:r w:rsidR="0082227D" w:rsidRPr="00610B1B">
        <w:rPr>
          <w:rFonts w:cs="Times New Roman"/>
        </w:rPr>
        <w:t>населението на страната</w:t>
      </w:r>
      <w:r w:rsidRPr="00610B1B">
        <w:rPr>
          <w:rFonts w:cs="Times New Roman"/>
        </w:rPr>
        <w:t xml:space="preserve"> с 4,</w:t>
      </w:r>
      <w:r w:rsidR="0082227D" w:rsidRPr="00610B1B">
        <w:rPr>
          <w:rFonts w:cs="Times New Roman"/>
        </w:rPr>
        <w:t>5 %</w:t>
      </w:r>
      <w:r w:rsidR="00414E37" w:rsidRPr="00610B1B">
        <w:rPr>
          <w:rFonts w:cs="Times New Roman"/>
        </w:rPr>
        <w:t xml:space="preserve">. </w:t>
      </w:r>
      <w:r w:rsidR="0082227D" w:rsidRPr="00610B1B">
        <w:rPr>
          <w:rFonts w:cs="Times New Roman"/>
        </w:rPr>
        <w:t>По</w:t>
      </w:r>
      <w:r w:rsidR="00414E37" w:rsidRPr="00610B1B">
        <w:rPr>
          <w:rFonts w:cs="Times New Roman"/>
        </w:rPr>
        <w:t>-</w:t>
      </w:r>
      <w:r w:rsidR="0082227D" w:rsidRPr="00610B1B">
        <w:rPr>
          <w:rFonts w:cs="Times New Roman"/>
        </w:rPr>
        <w:t xml:space="preserve">значително е увеличението на населението в общините Несебър </w:t>
      </w:r>
      <w:r w:rsidRPr="00610B1B">
        <w:rPr>
          <w:rFonts w:cs="Times New Roman"/>
        </w:rPr>
        <w:t>и</w:t>
      </w:r>
      <w:r w:rsidR="0082227D" w:rsidRPr="00610B1B">
        <w:rPr>
          <w:rFonts w:cs="Times New Roman"/>
        </w:rPr>
        <w:t xml:space="preserve"> Варна, </w:t>
      </w:r>
      <w:r w:rsidRPr="00610B1B">
        <w:rPr>
          <w:rFonts w:cs="Times New Roman"/>
        </w:rPr>
        <w:t>на</w:t>
      </w:r>
      <w:r w:rsidR="0082227D" w:rsidRPr="00610B1B">
        <w:rPr>
          <w:rFonts w:cs="Times New Roman"/>
        </w:rPr>
        <w:t xml:space="preserve"> градовете Бургас, Несебър</w:t>
      </w:r>
      <w:r w:rsidRPr="00610B1B">
        <w:rPr>
          <w:rFonts w:cs="Times New Roman"/>
        </w:rPr>
        <w:t xml:space="preserve"> и</w:t>
      </w:r>
      <w:r w:rsidR="0082227D" w:rsidRPr="00610B1B">
        <w:rPr>
          <w:rFonts w:cs="Times New Roman"/>
        </w:rPr>
        <w:t xml:space="preserve"> Варна</w:t>
      </w:r>
      <w:r w:rsidRPr="00610B1B">
        <w:rPr>
          <w:rFonts w:cs="Times New Roman"/>
        </w:rPr>
        <w:t>. Териториалното разпределение на населението показва</w:t>
      </w:r>
      <w:r w:rsidR="002A3D39" w:rsidRPr="00610B1B">
        <w:rPr>
          <w:rFonts w:cs="Times New Roman"/>
        </w:rPr>
        <w:t xml:space="preserve"> сериозен дисбаланс. В</w:t>
      </w:r>
      <w:r w:rsidR="00345C8A" w:rsidRPr="00610B1B">
        <w:rPr>
          <w:rFonts w:cs="Times New Roman"/>
          <w:bCs/>
        </w:rPr>
        <w:t xml:space="preserve"> селищата </w:t>
      </w:r>
      <w:r w:rsidRPr="00610B1B">
        <w:rPr>
          <w:rFonts w:cs="Times New Roman"/>
          <w:bCs/>
        </w:rPr>
        <w:t>със</w:t>
      </w:r>
      <w:r w:rsidR="00345C8A" w:rsidRPr="00610B1B">
        <w:rPr>
          <w:rFonts w:cs="Times New Roman"/>
          <w:bCs/>
        </w:rPr>
        <w:t xml:space="preserve"> землища на </w:t>
      </w:r>
      <w:r w:rsidR="0082227D" w:rsidRPr="00610B1B">
        <w:rPr>
          <w:rFonts w:cs="Times New Roman"/>
          <w:bCs/>
        </w:rPr>
        <w:t>брегов</w:t>
      </w:r>
      <w:r w:rsidR="005F7963" w:rsidRPr="00610B1B">
        <w:rPr>
          <w:rFonts w:cs="Times New Roman"/>
          <w:bCs/>
        </w:rPr>
        <w:t>а</w:t>
      </w:r>
      <w:r w:rsidR="00345C8A" w:rsidRPr="00610B1B">
        <w:rPr>
          <w:rFonts w:cs="Times New Roman"/>
          <w:bCs/>
        </w:rPr>
        <w:t>та линия</w:t>
      </w:r>
      <w:r w:rsidRPr="00610B1B">
        <w:rPr>
          <w:rFonts w:cs="Times New Roman"/>
          <w:bCs/>
        </w:rPr>
        <w:t xml:space="preserve"> е </w:t>
      </w:r>
      <w:r w:rsidR="002A3D39" w:rsidRPr="00610B1B">
        <w:rPr>
          <w:rFonts w:cs="Times New Roman"/>
          <w:bCs/>
        </w:rPr>
        <w:t>концентрирано</w:t>
      </w:r>
      <w:r w:rsidRPr="00610B1B">
        <w:rPr>
          <w:rFonts w:cs="Times New Roman"/>
          <w:bCs/>
        </w:rPr>
        <w:t xml:space="preserve"> 85,</w:t>
      </w:r>
      <w:r w:rsidR="0082227D" w:rsidRPr="00610B1B">
        <w:rPr>
          <w:rFonts w:cs="Times New Roman"/>
          <w:bCs/>
        </w:rPr>
        <w:t>7% от населението на общините</w:t>
      </w:r>
      <w:r w:rsidRPr="00610B1B">
        <w:rPr>
          <w:rFonts w:cs="Times New Roman"/>
          <w:bCs/>
        </w:rPr>
        <w:t xml:space="preserve">, само в </w:t>
      </w:r>
      <w:r w:rsidR="0082227D" w:rsidRPr="00610B1B">
        <w:rPr>
          <w:rFonts w:cs="Times New Roman"/>
        </w:rPr>
        <w:t xml:space="preserve">градовете </w:t>
      </w:r>
      <w:r w:rsidRPr="00610B1B">
        <w:rPr>
          <w:rFonts w:cs="Times New Roman"/>
        </w:rPr>
        <w:t xml:space="preserve">Бургас и Варна </w:t>
      </w:r>
      <w:r w:rsidR="002A3D39" w:rsidRPr="00610B1B">
        <w:rPr>
          <w:rFonts w:cs="Times New Roman"/>
        </w:rPr>
        <w:t>живее</w:t>
      </w:r>
      <w:r w:rsidRPr="00610B1B">
        <w:rPr>
          <w:rFonts w:cs="Times New Roman"/>
        </w:rPr>
        <w:t xml:space="preserve"> 74,</w:t>
      </w:r>
      <w:r w:rsidR="0082227D" w:rsidRPr="00610B1B">
        <w:rPr>
          <w:rFonts w:cs="Times New Roman"/>
        </w:rPr>
        <w:t>2% от населението</w:t>
      </w:r>
      <w:r w:rsidR="00414E37" w:rsidRPr="00610B1B">
        <w:rPr>
          <w:rFonts w:cs="Times New Roman"/>
        </w:rPr>
        <w:t xml:space="preserve">. </w:t>
      </w:r>
      <w:r w:rsidR="0082227D" w:rsidRPr="00610B1B">
        <w:rPr>
          <w:rFonts w:cs="Times New Roman"/>
          <w:color w:val="000000"/>
        </w:rPr>
        <w:t>Делът на градското население устойчиво се увеличава</w:t>
      </w:r>
      <w:r w:rsidR="002A3D39" w:rsidRPr="00610B1B">
        <w:rPr>
          <w:rFonts w:cs="Times New Roman"/>
          <w:color w:val="000000"/>
        </w:rPr>
        <w:t xml:space="preserve">. </w:t>
      </w:r>
    </w:p>
    <w:p w14:paraId="2BC9781F" w14:textId="2BA103EB" w:rsidR="005F7963" w:rsidRPr="00610B1B" w:rsidRDefault="002A3D39" w:rsidP="00D32D6A">
      <w:pPr>
        <w:pStyle w:val="BodyText"/>
        <w:spacing w:before="0" w:after="120" w:line="276" w:lineRule="auto"/>
        <w:ind w:right="-153"/>
        <w:rPr>
          <w:rFonts w:cs="Times New Roman"/>
        </w:rPr>
      </w:pPr>
      <w:r w:rsidRPr="00610B1B">
        <w:rPr>
          <w:rFonts w:cs="Times New Roman"/>
          <w:color w:val="000000"/>
        </w:rPr>
        <w:lastRenderedPageBreak/>
        <w:t xml:space="preserve">Всички показатели от демографската статистика за Черноморските общини и населени места показват по-добри стойности от средните за страната. Намалението на населението, измерено чрез коефициента на естествения прираст през 2018 г. </w:t>
      </w:r>
      <w:r w:rsidR="0082227D" w:rsidRPr="00610B1B">
        <w:rPr>
          <w:rFonts w:cs="Times New Roman"/>
          <w:bCs/>
        </w:rPr>
        <w:t>е минус 3</w:t>
      </w:r>
      <w:r w:rsidRPr="00610B1B">
        <w:rPr>
          <w:rFonts w:cs="Times New Roman"/>
          <w:bCs/>
        </w:rPr>
        <w:t>,</w:t>
      </w:r>
      <w:r w:rsidR="0082227D" w:rsidRPr="00610B1B">
        <w:rPr>
          <w:rFonts w:cs="Times New Roman"/>
          <w:bCs/>
        </w:rPr>
        <w:t xml:space="preserve">5‰, в </w:t>
      </w:r>
      <w:r w:rsidRPr="00610B1B">
        <w:rPr>
          <w:rFonts w:cs="Times New Roman"/>
          <w:bCs/>
        </w:rPr>
        <w:t xml:space="preserve">сравнение с </w:t>
      </w:r>
      <w:r w:rsidR="0082227D" w:rsidRPr="00610B1B">
        <w:rPr>
          <w:rFonts w:cs="Times New Roman"/>
        </w:rPr>
        <w:t>минус 6.6‰</w:t>
      </w:r>
      <w:r w:rsidRPr="00610B1B">
        <w:rPr>
          <w:rFonts w:cs="Times New Roman"/>
        </w:rPr>
        <w:t xml:space="preserve"> за страната</w:t>
      </w:r>
      <w:r w:rsidR="00414E37" w:rsidRPr="00610B1B">
        <w:rPr>
          <w:rFonts w:cs="Times New Roman"/>
        </w:rPr>
        <w:t xml:space="preserve">. </w:t>
      </w:r>
      <w:r w:rsidR="0082227D" w:rsidRPr="00610B1B">
        <w:rPr>
          <w:rFonts w:cs="Times New Roman"/>
        </w:rPr>
        <w:t>Механичния</w:t>
      </w:r>
      <w:r w:rsidR="005F7963" w:rsidRPr="00610B1B">
        <w:rPr>
          <w:rFonts w:cs="Times New Roman"/>
        </w:rPr>
        <w:t>т</w:t>
      </w:r>
      <w:r w:rsidR="0082227D" w:rsidRPr="00610B1B">
        <w:rPr>
          <w:rFonts w:cs="Times New Roman"/>
        </w:rPr>
        <w:t xml:space="preserve"> прираст в общините през 2018 г. е положителен 2.</w:t>
      </w:r>
      <w:r w:rsidRPr="00610B1B">
        <w:rPr>
          <w:rFonts w:cs="Times New Roman"/>
        </w:rPr>
        <w:t>5‰, а за страната е минус 0.5‰. Населението на повечето населени места в близост до морския бряг п</w:t>
      </w:r>
      <w:r w:rsidR="0082227D" w:rsidRPr="00610B1B">
        <w:rPr>
          <w:rFonts w:cs="Times New Roman"/>
        </w:rPr>
        <w:t>рез летните месеци</w:t>
      </w:r>
      <w:r w:rsidR="00D66FE0" w:rsidRPr="00610B1B">
        <w:rPr>
          <w:rFonts w:cs="Times New Roman"/>
        </w:rPr>
        <w:t xml:space="preserve"> </w:t>
      </w:r>
      <w:r w:rsidR="0082227D" w:rsidRPr="00610B1B">
        <w:rPr>
          <w:rFonts w:cs="Times New Roman"/>
        </w:rPr>
        <w:t xml:space="preserve">нараства </w:t>
      </w:r>
      <w:r w:rsidRPr="00610B1B">
        <w:rPr>
          <w:rFonts w:cs="Times New Roman"/>
        </w:rPr>
        <w:t xml:space="preserve">многократно </w:t>
      </w:r>
      <w:r w:rsidR="0082227D" w:rsidRPr="00610B1B">
        <w:rPr>
          <w:rFonts w:cs="Times New Roman"/>
        </w:rPr>
        <w:t>поради мащабите на морския туриз</w:t>
      </w:r>
      <w:r w:rsidR="000F6CBC" w:rsidRPr="00610B1B">
        <w:rPr>
          <w:rFonts w:cs="Times New Roman"/>
        </w:rPr>
        <w:t>ъ</w:t>
      </w:r>
      <w:r w:rsidRPr="00610B1B">
        <w:rPr>
          <w:rFonts w:cs="Times New Roman"/>
        </w:rPr>
        <w:t>м.</w:t>
      </w:r>
    </w:p>
    <w:p w14:paraId="72759630" w14:textId="09884A8E" w:rsidR="0082227D" w:rsidRPr="00610B1B" w:rsidRDefault="0082227D" w:rsidP="00D32D6A">
      <w:pPr>
        <w:pStyle w:val="BodyText"/>
        <w:autoSpaceDE w:val="0"/>
        <w:autoSpaceDN w:val="0"/>
        <w:adjustRightInd w:val="0"/>
        <w:spacing w:before="0" w:after="120" w:line="276" w:lineRule="auto"/>
        <w:ind w:right="-153"/>
        <w:rPr>
          <w:rFonts w:cs="Times New Roman"/>
        </w:rPr>
      </w:pPr>
      <w:r w:rsidRPr="00610B1B">
        <w:rPr>
          <w:rFonts w:cs="Times New Roman"/>
        </w:rPr>
        <w:t>Т</w:t>
      </w:r>
      <w:r w:rsidR="005F7963" w:rsidRPr="00610B1B">
        <w:rPr>
          <w:rFonts w:cs="Times New Roman"/>
        </w:rPr>
        <w:t>е</w:t>
      </w:r>
      <w:r w:rsidRPr="00610B1B">
        <w:rPr>
          <w:rFonts w:cs="Times New Roman"/>
        </w:rPr>
        <w:t>зи тенденци</w:t>
      </w:r>
      <w:r w:rsidR="005F7963" w:rsidRPr="00610B1B">
        <w:rPr>
          <w:rFonts w:cs="Times New Roman"/>
        </w:rPr>
        <w:t>и</w:t>
      </w:r>
      <w:r w:rsidRPr="00610B1B">
        <w:rPr>
          <w:rFonts w:cs="Times New Roman"/>
        </w:rPr>
        <w:t xml:space="preserve"> ще се запаз</w:t>
      </w:r>
      <w:r w:rsidR="005F7963" w:rsidRPr="00610B1B">
        <w:rPr>
          <w:rFonts w:cs="Times New Roman"/>
        </w:rPr>
        <w:t>ят</w:t>
      </w:r>
      <w:r w:rsidRPr="00610B1B">
        <w:rPr>
          <w:rFonts w:cs="Times New Roman"/>
        </w:rPr>
        <w:t xml:space="preserve"> и за в бъдеще, т.е. Черноморските общини ще бъдат </w:t>
      </w:r>
      <w:r w:rsidR="00414E37" w:rsidRPr="00610B1B">
        <w:rPr>
          <w:rFonts w:cs="Times New Roman"/>
        </w:rPr>
        <w:t xml:space="preserve">с по-добри демографски показатели от средните за страната и </w:t>
      </w:r>
      <w:r w:rsidRPr="00610B1B">
        <w:rPr>
          <w:rFonts w:cs="Times New Roman"/>
        </w:rPr>
        <w:t>със силно пулсиращ брой на населението</w:t>
      </w:r>
      <w:r w:rsidR="00414E37" w:rsidRPr="00610B1B">
        <w:rPr>
          <w:rFonts w:cs="Times New Roman"/>
        </w:rPr>
        <w:t xml:space="preserve"> в различните сезони</w:t>
      </w:r>
      <w:r w:rsidRPr="00610B1B">
        <w:rPr>
          <w:rFonts w:cs="Times New Roman"/>
        </w:rPr>
        <w:t xml:space="preserve">. </w:t>
      </w:r>
    </w:p>
    <w:p w14:paraId="06651443" w14:textId="77777777" w:rsidR="0082227D" w:rsidRPr="00610B1B" w:rsidRDefault="0082227D" w:rsidP="00D32D6A">
      <w:pPr>
        <w:pStyle w:val="Heading4"/>
        <w:spacing w:before="0" w:line="276" w:lineRule="auto"/>
        <w:ind w:right="-153"/>
        <w:rPr>
          <w:rFonts w:cs="Times New Roman"/>
        </w:rPr>
      </w:pPr>
      <w:r w:rsidRPr="00610B1B">
        <w:rPr>
          <w:rFonts w:cs="Times New Roman"/>
        </w:rPr>
        <w:t>2.</w:t>
      </w:r>
      <w:r w:rsidR="007F3E96" w:rsidRPr="00610B1B">
        <w:rPr>
          <w:rFonts w:cs="Times New Roman"/>
        </w:rPr>
        <w:t>3</w:t>
      </w:r>
      <w:r w:rsidR="005F7963" w:rsidRPr="00610B1B">
        <w:rPr>
          <w:rFonts w:cs="Times New Roman"/>
        </w:rPr>
        <w:t>.</w:t>
      </w:r>
      <w:r w:rsidR="007F3E96" w:rsidRPr="00610B1B">
        <w:rPr>
          <w:rFonts w:cs="Times New Roman"/>
        </w:rPr>
        <w:t>1</w:t>
      </w:r>
      <w:r w:rsidR="005F7963" w:rsidRPr="00610B1B">
        <w:rPr>
          <w:rFonts w:cs="Times New Roman"/>
        </w:rPr>
        <w:t xml:space="preserve">.4. </w:t>
      </w:r>
      <w:r w:rsidRPr="00610B1B">
        <w:rPr>
          <w:rFonts w:cs="Times New Roman"/>
        </w:rPr>
        <w:t>Заетост и безработица</w:t>
      </w:r>
    </w:p>
    <w:p w14:paraId="3AB14348" w14:textId="463AE994" w:rsidR="0082227D" w:rsidRPr="00610B1B" w:rsidRDefault="0082227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Заетите лица в Черноморските общини през 2017 г. са 251</w:t>
      </w:r>
      <w:r w:rsidR="0004160B"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171, а през 2014 г. са 244 908, или увеличение</w:t>
      </w:r>
      <w:r w:rsidR="005F7963" w:rsidRPr="00610B1B">
        <w:rPr>
          <w:rFonts w:ascii="Times New Roman" w:hAnsi="Times New Roman" w:cs="Times New Roman"/>
          <w:sz w:val="24"/>
          <w:szCs w:val="24"/>
          <w:lang w:val="bg-BG"/>
        </w:rPr>
        <w:t>то</w:t>
      </w:r>
      <w:r w:rsidRPr="00610B1B">
        <w:rPr>
          <w:rFonts w:ascii="Times New Roman" w:hAnsi="Times New Roman" w:cs="Times New Roman"/>
          <w:sz w:val="24"/>
          <w:szCs w:val="24"/>
          <w:lang w:val="bg-BG"/>
        </w:rPr>
        <w:t xml:space="preserve"> на заетите </w:t>
      </w:r>
      <w:r w:rsidR="005F7963" w:rsidRPr="00610B1B">
        <w:rPr>
          <w:rFonts w:ascii="Times New Roman" w:hAnsi="Times New Roman" w:cs="Times New Roman"/>
          <w:sz w:val="24"/>
          <w:szCs w:val="24"/>
          <w:lang w:val="bg-BG"/>
        </w:rPr>
        <w:t xml:space="preserve">е </w:t>
      </w:r>
      <w:r w:rsidR="002A3D39" w:rsidRPr="00610B1B">
        <w:rPr>
          <w:rFonts w:ascii="Times New Roman" w:hAnsi="Times New Roman" w:cs="Times New Roman"/>
          <w:sz w:val="24"/>
          <w:szCs w:val="24"/>
          <w:lang w:val="bg-BG"/>
        </w:rPr>
        <w:t>с 2,</w:t>
      </w:r>
      <w:r w:rsidRPr="00610B1B">
        <w:rPr>
          <w:rFonts w:ascii="Times New Roman" w:hAnsi="Times New Roman" w:cs="Times New Roman"/>
          <w:sz w:val="24"/>
          <w:szCs w:val="24"/>
          <w:lang w:val="bg-BG"/>
        </w:rPr>
        <w:t>6 процентни пункта (6 263</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д.). В 10 общини през 2017</w:t>
      </w:r>
      <w:r w:rsidR="0004160B"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г. има увеличение на заетостта спрямо 2014</w:t>
      </w:r>
      <w:r w:rsidR="005F7963" w:rsidRPr="00610B1B">
        <w:rPr>
          <w:rFonts w:ascii="Times New Roman" w:hAnsi="Times New Roman" w:cs="Times New Roman"/>
          <w:sz w:val="24"/>
          <w:szCs w:val="24"/>
          <w:lang w:val="bg-BG"/>
        </w:rPr>
        <w:t xml:space="preserve"> г.</w:t>
      </w:r>
      <w:r w:rsidRPr="00610B1B">
        <w:rPr>
          <w:rFonts w:ascii="Times New Roman" w:hAnsi="Times New Roman" w:cs="Times New Roman"/>
          <w:sz w:val="24"/>
          <w:szCs w:val="24"/>
          <w:lang w:val="bg-BG"/>
        </w:rPr>
        <w:t xml:space="preserve"> Най-значително е увеличението в общините</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Варна (4 553 д.) и</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Несебър (873 д.), известно изоставане има в община Бургас, където за</w:t>
      </w:r>
      <w:r w:rsidR="002A3D39" w:rsidRPr="00610B1B">
        <w:rPr>
          <w:rFonts w:ascii="Times New Roman" w:hAnsi="Times New Roman" w:cs="Times New Roman"/>
          <w:sz w:val="24"/>
          <w:szCs w:val="24"/>
          <w:lang w:val="bg-BG"/>
        </w:rPr>
        <w:t>етите намаляват с 1 089 д. (- 1,</w:t>
      </w:r>
      <w:r w:rsidRPr="00610B1B">
        <w:rPr>
          <w:rFonts w:ascii="Times New Roman" w:hAnsi="Times New Roman" w:cs="Times New Roman"/>
          <w:sz w:val="24"/>
          <w:szCs w:val="24"/>
          <w:lang w:val="bg-BG"/>
        </w:rPr>
        <w:t>5% ).</w:t>
      </w:r>
    </w:p>
    <w:p w14:paraId="4D141EF9" w14:textId="1E9DF5DB" w:rsidR="0082227D" w:rsidRPr="00610B1B" w:rsidRDefault="0082227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Разпределението на заетите по сектори на икономиката в </w:t>
      </w:r>
      <w:r w:rsidR="009B33B6" w:rsidRPr="00610B1B">
        <w:rPr>
          <w:rFonts w:ascii="Times New Roman" w:hAnsi="Times New Roman" w:cs="Times New Roman"/>
          <w:sz w:val="24"/>
          <w:szCs w:val="24"/>
          <w:lang w:val="bg-BG"/>
        </w:rPr>
        <w:t xml:space="preserve">Черноморските общини </w:t>
      </w:r>
      <w:r w:rsidRPr="00610B1B">
        <w:rPr>
          <w:rFonts w:ascii="Times New Roman" w:hAnsi="Times New Roman" w:cs="Times New Roman"/>
          <w:sz w:val="24"/>
          <w:szCs w:val="24"/>
          <w:lang w:val="bg-BG"/>
        </w:rPr>
        <w:t>през 2017 г. е следното:</w:t>
      </w:r>
      <w:r w:rsidR="009B33B6"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първичен (</w:t>
      </w:r>
      <w:r w:rsidR="002A3D39" w:rsidRPr="00610B1B">
        <w:rPr>
          <w:rFonts w:ascii="Times New Roman" w:hAnsi="Times New Roman" w:cs="Times New Roman"/>
          <w:sz w:val="24"/>
          <w:szCs w:val="24"/>
          <w:lang w:val="bg-BG"/>
        </w:rPr>
        <w:t>селско, горско и рибно стопанство</w:t>
      </w:r>
      <w:r w:rsidRPr="00610B1B">
        <w:rPr>
          <w:rFonts w:ascii="Times New Roman" w:hAnsi="Times New Roman" w:cs="Times New Roman"/>
          <w:sz w:val="24"/>
          <w:szCs w:val="24"/>
          <w:lang w:val="bg-BG"/>
        </w:rPr>
        <w:t>)</w:t>
      </w:r>
      <w:r w:rsidR="009B33B6"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6 007 д.</w:t>
      </w:r>
      <w:r w:rsidR="00673934"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(2.4%); вторичен (индустрия) – 64 760 д. (25.8%); </w:t>
      </w:r>
      <w:r w:rsidR="009B33B6" w:rsidRPr="00610B1B">
        <w:rPr>
          <w:rFonts w:ascii="Times New Roman" w:hAnsi="Times New Roman" w:cs="Times New Roman"/>
          <w:sz w:val="24"/>
          <w:szCs w:val="24"/>
          <w:lang w:val="bg-BG"/>
        </w:rPr>
        <w:t xml:space="preserve">и </w:t>
      </w:r>
      <w:r w:rsidRPr="00610B1B">
        <w:rPr>
          <w:rFonts w:ascii="Times New Roman" w:hAnsi="Times New Roman" w:cs="Times New Roman"/>
          <w:sz w:val="24"/>
          <w:szCs w:val="24"/>
          <w:lang w:val="bg-BG"/>
        </w:rPr>
        <w:t xml:space="preserve">третичен (услуги) – 180 404 д. (71.8%). </w:t>
      </w:r>
      <w:r w:rsidR="002A3D39" w:rsidRPr="00610B1B">
        <w:rPr>
          <w:rFonts w:ascii="Times New Roman" w:hAnsi="Times New Roman" w:cs="Times New Roman"/>
          <w:sz w:val="24"/>
          <w:szCs w:val="24"/>
          <w:lang w:val="bg-BG"/>
        </w:rPr>
        <w:t>Най-голям е относителният дял на първичния</w:t>
      </w:r>
      <w:r w:rsidRPr="00610B1B">
        <w:rPr>
          <w:rFonts w:ascii="Times New Roman" w:hAnsi="Times New Roman" w:cs="Times New Roman"/>
          <w:sz w:val="24"/>
          <w:szCs w:val="24"/>
          <w:lang w:val="bg-BG"/>
        </w:rPr>
        <w:t xml:space="preserve"> сектор в общините Шабла</w:t>
      </w:r>
      <w:r w:rsidR="002A3D39" w:rsidRPr="00610B1B">
        <w:rPr>
          <w:rFonts w:ascii="Times New Roman" w:hAnsi="Times New Roman" w:cs="Times New Roman"/>
          <w:sz w:val="24"/>
          <w:szCs w:val="24"/>
          <w:lang w:val="bg-BG"/>
        </w:rPr>
        <w:t xml:space="preserve"> (43,0%)</w:t>
      </w:r>
      <w:r w:rsidRPr="00610B1B">
        <w:rPr>
          <w:rFonts w:ascii="Times New Roman" w:hAnsi="Times New Roman" w:cs="Times New Roman"/>
          <w:sz w:val="24"/>
          <w:szCs w:val="24"/>
          <w:lang w:val="bg-BG"/>
        </w:rPr>
        <w:t>, Каварна</w:t>
      </w:r>
      <w:r w:rsidR="002A3D39" w:rsidRPr="00610B1B">
        <w:rPr>
          <w:rFonts w:ascii="Times New Roman" w:hAnsi="Times New Roman" w:cs="Times New Roman"/>
          <w:sz w:val="24"/>
          <w:szCs w:val="24"/>
          <w:lang w:val="bg-BG"/>
        </w:rPr>
        <w:t xml:space="preserve"> (20,9</w:t>
      </w:r>
      <w:r w:rsidR="00B123FC"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и Долни чифлик</w:t>
      </w:r>
      <w:r w:rsidR="00B123FC" w:rsidRPr="00610B1B">
        <w:rPr>
          <w:rFonts w:ascii="Times New Roman" w:hAnsi="Times New Roman" w:cs="Times New Roman"/>
          <w:sz w:val="24"/>
          <w:szCs w:val="24"/>
          <w:lang w:val="bg-BG"/>
        </w:rPr>
        <w:t xml:space="preserve"> (24,4%)</w:t>
      </w:r>
      <w:r w:rsidRPr="00610B1B">
        <w:rPr>
          <w:rFonts w:ascii="Times New Roman" w:hAnsi="Times New Roman" w:cs="Times New Roman"/>
          <w:sz w:val="24"/>
          <w:szCs w:val="24"/>
          <w:lang w:val="bg-BG"/>
        </w:rPr>
        <w:t xml:space="preserve">, </w:t>
      </w:r>
      <w:r w:rsidR="002A3D39" w:rsidRPr="00610B1B">
        <w:rPr>
          <w:rFonts w:ascii="Times New Roman" w:hAnsi="Times New Roman" w:cs="Times New Roman"/>
          <w:sz w:val="24"/>
          <w:szCs w:val="24"/>
          <w:lang w:val="bg-BG"/>
        </w:rPr>
        <w:t xml:space="preserve">а най-голям дял в сектора на услугите се отбелязва </w:t>
      </w:r>
      <w:r w:rsidRPr="00610B1B">
        <w:rPr>
          <w:rFonts w:ascii="Times New Roman" w:hAnsi="Times New Roman" w:cs="Times New Roman"/>
          <w:sz w:val="24"/>
          <w:szCs w:val="24"/>
          <w:lang w:val="bg-BG"/>
        </w:rPr>
        <w:t>в общи</w:t>
      </w:r>
      <w:r w:rsidR="002A3D39" w:rsidRPr="00610B1B">
        <w:rPr>
          <w:rFonts w:ascii="Times New Roman" w:hAnsi="Times New Roman" w:cs="Times New Roman"/>
          <w:sz w:val="24"/>
          <w:szCs w:val="24"/>
          <w:lang w:val="bg-BG"/>
        </w:rPr>
        <w:t xml:space="preserve">ните </w:t>
      </w:r>
      <w:r w:rsidR="00B123FC" w:rsidRPr="00610B1B">
        <w:rPr>
          <w:rFonts w:ascii="Times New Roman" w:hAnsi="Times New Roman" w:cs="Times New Roman"/>
          <w:sz w:val="24"/>
          <w:szCs w:val="24"/>
          <w:lang w:val="bg-BG"/>
        </w:rPr>
        <w:t xml:space="preserve">Приморско (90,2), </w:t>
      </w:r>
      <w:r w:rsidR="002A3D39" w:rsidRPr="00610B1B">
        <w:rPr>
          <w:rFonts w:ascii="Times New Roman" w:hAnsi="Times New Roman" w:cs="Times New Roman"/>
          <w:sz w:val="24"/>
          <w:szCs w:val="24"/>
          <w:lang w:val="bg-BG"/>
        </w:rPr>
        <w:t>Несебър</w:t>
      </w:r>
      <w:r w:rsidR="00B123FC" w:rsidRPr="00610B1B">
        <w:rPr>
          <w:rFonts w:ascii="Times New Roman" w:hAnsi="Times New Roman" w:cs="Times New Roman"/>
          <w:sz w:val="24"/>
          <w:szCs w:val="24"/>
          <w:lang w:val="bg-BG"/>
        </w:rPr>
        <w:t xml:space="preserve"> (89,9%),</w:t>
      </w:r>
      <w:r w:rsidR="002A3D39"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Царево </w:t>
      </w:r>
      <w:r w:rsidR="00B123FC" w:rsidRPr="00610B1B">
        <w:rPr>
          <w:rFonts w:ascii="Times New Roman" w:hAnsi="Times New Roman" w:cs="Times New Roman"/>
          <w:sz w:val="24"/>
          <w:szCs w:val="24"/>
          <w:lang w:val="bg-BG"/>
        </w:rPr>
        <w:t>(86,0%) и Созопол (84,9%)</w:t>
      </w:r>
    </w:p>
    <w:p w14:paraId="587BC72E" w14:textId="31A028E6" w:rsidR="0082227D" w:rsidRPr="00610B1B" w:rsidRDefault="00B123FC" w:rsidP="00D32D6A">
      <w:pPr>
        <w:pStyle w:val="NormalWeb"/>
        <w:spacing w:before="0" w:beforeAutospacing="0" w:after="120" w:afterAutospacing="0" w:line="276" w:lineRule="auto"/>
        <w:ind w:right="-153"/>
        <w:jc w:val="both"/>
        <w:rPr>
          <w:color w:val="000000"/>
          <w:lang w:val="bg-BG"/>
        </w:rPr>
      </w:pPr>
      <w:r w:rsidRPr="00610B1B">
        <w:rPr>
          <w:lang w:val="bg-BG"/>
        </w:rPr>
        <w:t xml:space="preserve">Въпреки ограниченията в анализите, поради изискванията на </w:t>
      </w:r>
      <w:r w:rsidR="0082227D" w:rsidRPr="00610B1B">
        <w:rPr>
          <w:lang w:val="bg-BG"/>
        </w:rPr>
        <w:t>Закона за статистиката</w:t>
      </w:r>
      <w:r w:rsidR="009B33B6" w:rsidRPr="00610B1B">
        <w:rPr>
          <w:rStyle w:val="FootnoteReference"/>
          <w:lang w:val="bg-BG"/>
        </w:rPr>
        <w:footnoteReference w:id="106"/>
      </w:r>
      <w:r w:rsidRPr="00610B1B">
        <w:rPr>
          <w:lang w:val="bg-BG"/>
        </w:rPr>
        <w:t xml:space="preserve"> (чл. 25 ал. 2) за конфиденциалност, р</w:t>
      </w:r>
      <w:r w:rsidR="0082227D" w:rsidRPr="00610B1B">
        <w:rPr>
          <w:lang w:val="bg-BG"/>
        </w:rPr>
        <w:t>азпределението по групи предприятия, според броя на заетите лица през 2017 г. е следното:</w:t>
      </w:r>
      <w:r w:rsidR="00673934" w:rsidRPr="00610B1B">
        <w:rPr>
          <w:lang w:val="bg-BG"/>
        </w:rPr>
        <w:t xml:space="preserve"> </w:t>
      </w:r>
      <w:r w:rsidR="0082227D" w:rsidRPr="00610B1B">
        <w:rPr>
          <w:lang w:val="bg-BG"/>
        </w:rPr>
        <w:t>микро до 9 заети</w:t>
      </w:r>
      <w:r w:rsidR="0004160B" w:rsidRPr="00610B1B">
        <w:rPr>
          <w:lang w:val="bg-BG"/>
        </w:rPr>
        <w:t xml:space="preserve"> – </w:t>
      </w:r>
      <w:r w:rsidR="0082227D" w:rsidRPr="00610B1B">
        <w:rPr>
          <w:lang w:val="bg-BG"/>
        </w:rPr>
        <w:t>94 724 д.</w:t>
      </w:r>
      <w:r w:rsidR="009B33B6" w:rsidRPr="00610B1B">
        <w:rPr>
          <w:lang w:val="bg-BG"/>
        </w:rPr>
        <w:t xml:space="preserve"> </w:t>
      </w:r>
      <w:r w:rsidRPr="00610B1B">
        <w:rPr>
          <w:lang w:val="bg-BG"/>
        </w:rPr>
        <w:t>(37,</w:t>
      </w:r>
      <w:r w:rsidR="0082227D" w:rsidRPr="00610B1B">
        <w:rPr>
          <w:lang w:val="bg-BG"/>
        </w:rPr>
        <w:t>7%); малки от</w:t>
      </w:r>
      <w:r w:rsidRPr="00610B1B">
        <w:rPr>
          <w:lang w:val="bg-BG"/>
        </w:rPr>
        <w:t xml:space="preserve"> 10 до 49 заети – 63 153 д. (25,</w:t>
      </w:r>
      <w:r w:rsidR="0082227D" w:rsidRPr="00610B1B">
        <w:rPr>
          <w:lang w:val="bg-BG"/>
        </w:rPr>
        <w:t>1%);</w:t>
      </w:r>
      <w:r w:rsidR="00D66FE0" w:rsidRPr="00610B1B">
        <w:rPr>
          <w:lang w:val="bg-BG"/>
        </w:rPr>
        <w:t xml:space="preserve"> </w:t>
      </w:r>
      <w:r w:rsidR="0082227D" w:rsidRPr="00610B1B">
        <w:rPr>
          <w:lang w:val="bg-BG"/>
        </w:rPr>
        <w:t>средни от</w:t>
      </w:r>
      <w:r w:rsidRPr="00610B1B">
        <w:rPr>
          <w:lang w:val="bg-BG"/>
        </w:rPr>
        <w:t xml:space="preserve"> 50 до 49 заети – 52 600 д. (20,</w:t>
      </w:r>
      <w:r w:rsidR="0082227D" w:rsidRPr="00610B1B">
        <w:rPr>
          <w:lang w:val="bg-BG"/>
        </w:rPr>
        <w:t>9%);</w:t>
      </w:r>
      <w:r w:rsidR="00673934" w:rsidRPr="00610B1B">
        <w:rPr>
          <w:lang w:val="bg-BG"/>
        </w:rPr>
        <w:t xml:space="preserve"> и </w:t>
      </w:r>
      <w:r w:rsidR="0082227D" w:rsidRPr="00610B1B">
        <w:rPr>
          <w:lang w:val="bg-BG"/>
        </w:rPr>
        <w:t>голем</w:t>
      </w:r>
      <w:r w:rsidRPr="00610B1B">
        <w:rPr>
          <w:lang w:val="bg-BG"/>
        </w:rPr>
        <w:t xml:space="preserve">и над 250 заети </w:t>
      </w:r>
      <w:r w:rsidR="0004160B" w:rsidRPr="00610B1B">
        <w:rPr>
          <w:lang w:val="bg-BG"/>
        </w:rPr>
        <w:t xml:space="preserve">– </w:t>
      </w:r>
      <w:r w:rsidRPr="00610B1B">
        <w:rPr>
          <w:lang w:val="bg-BG"/>
        </w:rPr>
        <w:t>33 073 д. (13,</w:t>
      </w:r>
      <w:r w:rsidR="0082227D" w:rsidRPr="00610B1B">
        <w:rPr>
          <w:lang w:val="bg-BG"/>
        </w:rPr>
        <w:t>2%).</w:t>
      </w:r>
      <w:r w:rsidRPr="00610B1B">
        <w:rPr>
          <w:lang w:val="bg-BG"/>
        </w:rPr>
        <w:t xml:space="preserve"> </w:t>
      </w:r>
      <w:r w:rsidR="0082227D" w:rsidRPr="00610B1B">
        <w:rPr>
          <w:color w:val="000000"/>
          <w:lang w:val="bg-BG"/>
        </w:rPr>
        <w:t>Средните и големите предприятия с над 250 заети са разположени в областните центрове Варна и Бургас. В малките общини преобладават ми</w:t>
      </w:r>
      <w:r w:rsidRPr="00610B1B">
        <w:rPr>
          <w:color w:val="000000"/>
          <w:lang w:val="bg-BG"/>
        </w:rPr>
        <w:t>к</w:t>
      </w:r>
      <w:r w:rsidR="0082227D" w:rsidRPr="00610B1B">
        <w:rPr>
          <w:color w:val="000000"/>
          <w:lang w:val="bg-BG"/>
        </w:rPr>
        <w:t xml:space="preserve">ро предприятията. </w:t>
      </w:r>
    </w:p>
    <w:p w14:paraId="77B25499" w14:textId="6225FF88" w:rsidR="0082227D" w:rsidRPr="00610B1B" w:rsidRDefault="0082227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iCs/>
          <w:sz w:val="24"/>
          <w:szCs w:val="24"/>
          <w:lang w:val="bg-BG"/>
        </w:rPr>
        <w:t>През 2018 г</w:t>
      </w:r>
      <w:r w:rsidR="00B123FC" w:rsidRPr="00610B1B">
        <w:rPr>
          <w:rFonts w:ascii="Times New Roman" w:hAnsi="Times New Roman" w:cs="Times New Roman"/>
          <w:iCs/>
          <w:sz w:val="24"/>
          <w:szCs w:val="24"/>
          <w:lang w:val="bg-BG"/>
        </w:rPr>
        <w:t>.</w:t>
      </w:r>
      <w:r w:rsidRPr="00610B1B">
        <w:rPr>
          <w:rFonts w:ascii="Times New Roman" w:hAnsi="Times New Roman" w:cs="Times New Roman"/>
          <w:iCs/>
          <w:sz w:val="24"/>
          <w:szCs w:val="24"/>
          <w:lang w:val="bg-BG"/>
        </w:rPr>
        <w:t xml:space="preserve"> </w:t>
      </w:r>
      <w:r w:rsidRPr="00610B1B">
        <w:rPr>
          <w:rFonts w:ascii="Times New Roman" w:hAnsi="Times New Roman" w:cs="Times New Roman"/>
          <w:b/>
          <w:iCs/>
          <w:sz w:val="24"/>
          <w:szCs w:val="24"/>
          <w:lang w:val="bg-BG"/>
        </w:rPr>
        <w:t>коефициентът на безработицата</w:t>
      </w:r>
      <w:r w:rsidRPr="00610B1B">
        <w:rPr>
          <w:rFonts w:ascii="Times New Roman" w:hAnsi="Times New Roman" w:cs="Times New Roman"/>
          <w:iCs/>
          <w:sz w:val="24"/>
          <w:szCs w:val="24"/>
          <w:lang w:val="bg-BG"/>
        </w:rPr>
        <w:t xml:space="preserve"> сред Черноморските общини</w:t>
      </w:r>
      <w:r w:rsidR="00D66FE0" w:rsidRPr="00610B1B">
        <w:rPr>
          <w:rFonts w:ascii="Times New Roman" w:hAnsi="Times New Roman" w:cs="Times New Roman"/>
          <w:iCs/>
          <w:sz w:val="24"/>
          <w:szCs w:val="24"/>
          <w:lang w:val="bg-BG"/>
        </w:rPr>
        <w:t xml:space="preserve"> </w:t>
      </w:r>
      <w:r w:rsidRPr="00610B1B">
        <w:rPr>
          <w:rFonts w:ascii="Times New Roman" w:hAnsi="Times New Roman" w:cs="Times New Roman"/>
          <w:iCs/>
          <w:sz w:val="24"/>
          <w:szCs w:val="24"/>
          <w:lang w:val="bg-BG"/>
        </w:rPr>
        <w:t>намалява с 1</w:t>
      </w:r>
      <w:r w:rsidR="00A9753C" w:rsidRPr="00610B1B">
        <w:rPr>
          <w:rFonts w:ascii="Times New Roman" w:hAnsi="Times New Roman" w:cs="Times New Roman"/>
          <w:iCs/>
          <w:sz w:val="24"/>
          <w:szCs w:val="24"/>
          <w:lang w:val="bg-BG"/>
        </w:rPr>
        <w:t>,</w:t>
      </w:r>
      <w:r w:rsidRPr="00610B1B">
        <w:rPr>
          <w:rFonts w:ascii="Times New Roman" w:hAnsi="Times New Roman" w:cs="Times New Roman"/>
          <w:iCs/>
          <w:sz w:val="24"/>
          <w:szCs w:val="24"/>
          <w:lang w:val="bg-BG"/>
        </w:rPr>
        <w:t>1 процентни пункта в сравнение с 2014 г., като достига 3</w:t>
      </w:r>
      <w:r w:rsidR="00A9753C" w:rsidRPr="00610B1B">
        <w:rPr>
          <w:rFonts w:ascii="Times New Roman" w:hAnsi="Times New Roman" w:cs="Times New Roman"/>
          <w:iCs/>
          <w:sz w:val="24"/>
          <w:szCs w:val="24"/>
          <w:lang w:val="bg-BG"/>
        </w:rPr>
        <w:t>,</w:t>
      </w:r>
      <w:r w:rsidRPr="00610B1B">
        <w:rPr>
          <w:rFonts w:ascii="Times New Roman" w:hAnsi="Times New Roman" w:cs="Times New Roman"/>
          <w:iCs/>
          <w:sz w:val="24"/>
          <w:szCs w:val="24"/>
          <w:lang w:val="bg-BG"/>
        </w:rPr>
        <w:t>9% и е със значително по-благоприятни показатели от средните за страната 6</w:t>
      </w:r>
      <w:r w:rsidR="00A9753C" w:rsidRPr="00610B1B">
        <w:rPr>
          <w:rFonts w:ascii="Times New Roman" w:hAnsi="Times New Roman" w:cs="Times New Roman"/>
          <w:iCs/>
          <w:sz w:val="24"/>
          <w:szCs w:val="24"/>
          <w:lang w:val="bg-BG"/>
        </w:rPr>
        <w:t>,</w:t>
      </w:r>
      <w:r w:rsidRPr="00610B1B">
        <w:rPr>
          <w:rFonts w:ascii="Times New Roman" w:hAnsi="Times New Roman" w:cs="Times New Roman"/>
          <w:iCs/>
          <w:sz w:val="24"/>
          <w:szCs w:val="24"/>
          <w:lang w:val="bg-BG"/>
        </w:rPr>
        <w:t>1%.</w:t>
      </w:r>
      <w:r w:rsidR="00D66FE0" w:rsidRPr="00610B1B">
        <w:rPr>
          <w:rFonts w:ascii="Times New Roman" w:hAnsi="Times New Roman" w:cs="Times New Roman"/>
          <w:iCs/>
          <w:sz w:val="24"/>
          <w:szCs w:val="24"/>
          <w:lang w:val="bg-BG"/>
        </w:rPr>
        <w:t xml:space="preserve"> </w:t>
      </w:r>
      <w:r w:rsidRPr="00610B1B">
        <w:rPr>
          <w:rFonts w:ascii="Times New Roman" w:hAnsi="Times New Roman" w:cs="Times New Roman"/>
          <w:sz w:val="24"/>
          <w:szCs w:val="24"/>
          <w:lang w:val="bg-BG"/>
        </w:rPr>
        <w:t>На общинско ниво коефициентът на безработица е</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най-нисък в общините</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Варна 2</w:t>
      </w:r>
      <w:r w:rsidR="00A9753C"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9% и Бургас 3</w:t>
      </w:r>
      <w:r w:rsidR="00A9753C"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3%, значително изоставане има в общините Шабла 12</w:t>
      </w:r>
      <w:r w:rsidR="00A9753C"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4% и Долни чифлик 12</w:t>
      </w:r>
      <w:r w:rsidR="00A9753C"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1%. Разликата между равнищата на безработица в най-добре представената община Варна и най-изоставащата община Шабла е 9</w:t>
      </w:r>
      <w:r w:rsidR="00A9753C"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5 процентни пункта. Общините, в които коефициентът остава двуцифрен, показва сериозни структурни проблеми на местните пазари на труда и ниска мобилност на населението.</w:t>
      </w:r>
    </w:p>
    <w:p w14:paraId="0F647A41" w14:textId="471099DF" w:rsidR="0082227D" w:rsidRPr="00610B1B" w:rsidRDefault="0082227D" w:rsidP="00D32D6A">
      <w:pPr>
        <w:pStyle w:val="NormalWeb"/>
        <w:spacing w:before="0" w:beforeAutospacing="0" w:after="120" w:afterAutospacing="0" w:line="276" w:lineRule="auto"/>
        <w:ind w:right="-153"/>
        <w:jc w:val="both"/>
        <w:rPr>
          <w:lang w:val="bg-BG"/>
        </w:rPr>
      </w:pPr>
      <w:r w:rsidRPr="00610B1B">
        <w:rPr>
          <w:lang w:val="bg-BG"/>
        </w:rPr>
        <w:lastRenderedPageBreak/>
        <w:t>Характерно за Черноморските общини е липса</w:t>
      </w:r>
      <w:r w:rsidR="00673934" w:rsidRPr="00610B1B">
        <w:rPr>
          <w:lang w:val="bg-BG"/>
        </w:rPr>
        <w:t>та</w:t>
      </w:r>
      <w:r w:rsidRPr="00610B1B">
        <w:rPr>
          <w:lang w:val="bg-BG"/>
        </w:rPr>
        <w:t xml:space="preserve"> на квалифицирана работна ръка през активния туристически сезон юни-септември (готвачи, сервитьори, преводачи, хигиенисти),</w:t>
      </w:r>
      <w:r w:rsidR="00FA15C3" w:rsidRPr="00610B1B">
        <w:rPr>
          <w:lang w:val="bg-BG"/>
        </w:rPr>
        <w:t xml:space="preserve"> а п</w:t>
      </w:r>
      <w:r w:rsidRPr="00610B1B">
        <w:rPr>
          <w:lang w:val="bg-BG"/>
        </w:rPr>
        <w:t>рез есенно-зимния сезон, липсата на достатъчно работна ръка в строителството</w:t>
      </w:r>
      <w:r w:rsidR="00FA15C3" w:rsidRPr="00610B1B">
        <w:rPr>
          <w:lang w:val="bg-BG"/>
        </w:rPr>
        <w:t>. Това</w:t>
      </w:r>
      <w:r w:rsidR="00D66FE0" w:rsidRPr="00610B1B">
        <w:rPr>
          <w:lang w:val="bg-BG"/>
        </w:rPr>
        <w:t xml:space="preserve"> </w:t>
      </w:r>
      <w:r w:rsidRPr="00610B1B">
        <w:rPr>
          <w:lang w:val="bg-BG"/>
        </w:rPr>
        <w:t>налага внос на работници</w:t>
      </w:r>
      <w:r w:rsidR="00FA15C3" w:rsidRPr="00610B1B">
        <w:rPr>
          <w:lang w:val="bg-BG"/>
        </w:rPr>
        <w:t>, главно от Украйна и Молдова</w:t>
      </w:r>
      <w:r w:rsidRPr="00610B1B">
        <w:rPr>
          <w:lang w:val="bg-BG"/>
        </w:rPr>
        <w:t xml:space="preserve">. </w:t>
      </w:r>
    </w:p>
    <w:p w14:paraId="562E7345" w14:textId="0E44E408" w:rsidR="00F74673" w:rsidRPr="00610B1B" w:rsidRDefault="008D26D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bCs/>
          <w:iCs/>
          <w:sz w:val="24"/>
          <w:szCs w:val="24"/>
          <w:lang w:val="bg-BG"/>
        </w:rPr>
        <w:t>Основните извод</w:t>
      </w:r>
      <w:r w:rsidR="005E7D58" w:rsidRPr="00610B1B">
        <w:rPr>
          <w:rFonts w:ascii="Times New Roman" w:hAnsi="Times New Roman" w:cs="Times New Roman"/>
          <w:b/>
          <w:bCs/>
          <w:iCs/>
          <w:sz w:val="24"/>
          <w:szCs w:val="24"/>
          <w:lang w:val="bg-BG"/>
        </w:rPr>
        <w:t>и</w:t>
      </w:r>
      <w:r w:rsidRPr="00610B1B">
        <w:rPr>
          <w:rFonts w:ascii="Times New Roman" w:hAnsi="Times New Roman" w:cs="Times New Roman"/>
          <w:iCs/>
          <w:sz w:val="24"/>
          <w:szCs w:val="24"/>
          <w:lang w:val="bg-BG"/>
        </w:rPr>
        <w:t xml:space="preserve"> за заетостта и безработицата в Черноморските общини, за периода, за който има актуални данни, </w:t>
      </w:r>
      <w:r w:rsidR="005E7D58" w:rsidRPr="00610B1B">
        <w:rPr>
          <w:rFonts w:ascii="Times New Roman" w:hAnsi="Times New Roman" w:cs="Times New Roman"/>
          <w:iCs/>
          <w:sz w:val="24"/>
          <w:szCs w:val="24"/>
          <w:lang w:val="bg-BG"/>
        </w:rPr>
        <w:t>показват че з</w:t>
      </w:r>
      <w:r w:rsidR="0082227D" w:rsidRPr="00610B1B">
        <w:rPr>
          <w:rFonts w:ascii="Times New Roman" w:hAnsi="Times New Roman" w:cs="Times New Roman"/>
          <w:bCs/>
          <w:iCs/>
          <w:sz w:val="24"/>
          <w:szCs w:val="24"/>
          <w:lang w:val="bg-BG"/>
        </w:rPr>
        <w:t>аетостта на населението има позитивни стойности</w:t>
      </w:r>
      <w:r w:rsidR="00D66FE0" w:rsidRPr="00610B1B">
        <w:rPr>
          <w:rFonts w:ascii="Times New Roman" w:hAnsi="Times New Roman" w:cs="Times New Roman"/>
          <w:bCs/>
          <w:iCs/>
          <w:sz w:val="24"/>
          <w:szCs w:val="24"/>
          <w:lang w:val="bg-BG"/>
        </w:rPr>
        <w:t xml:space="preserve"> </w:t>
      </w:r>
      <w:r w:rsidR="0082227D" w:rsidRPr="00610B1B">
        <w:rPr>
          <w:rFonts w:ascii="Times New Roman" w:hAnsi="Times New Roman" w:cs="Times New Roman"/>
          <w:bCs/>
          <w:iCs/>
          <w:sz w:val="24"/>
          <w:szCs w:val="24"/>
          <w:lang w:val="bg-BG"/>
        </w:rPr>
        <w:t xml:space="preserve">в периода 2014-2017 г. </w:t>
      </w:r>
      <w:r w:rsidR="005E7D58" w:rsidRPr="00610B1B">
        <w:rPr>
          <w:rFonts w:ascii="Times New Roman" w:hAnsi="Times New Roman" w:cs="Times New Roman"/>
          <w:bCs/>
          <w:iCs/>
          <w:sz w:val="24"/>
          <w:szCs w:val="24"/>
          <w:lang w:val="bg-BG"/>
        </w:rPr>
        <w:t>и</w:t>
      </w:r>
      <w:r w:rsidRPr="00610B1B">
        <w:rPr>
          <w:rFonts w:ascii="Times New Roman" w:hAnsi="Times New Roman" w:cs="Times New Roman"/>
          <w:bCs/>
          <w:iCs/>
          <w:sz w:val="24"/>
          <w:szCs w:val="24"/>
          <w:lang w:val="bg-BG"/>
        </w:rPr>
        <w:t xml:space="preserve"> </w:t>
      </w:r>
      <w:r w:rsidR="0082227D" w:rsidRPr="00610B1B">
        <w:rPr>
          <w:rFonts w:ascii="Times New Roman" w:hAnsi="Times New Roman" w:cs="Times New Roman"/>
          <w:bCs/>
          <w:iCs/>
          <w:sz w:val="24"/>
          <w:szCs w:val="24"/>
          <w:lang w:val="bg-BG"/>
        </w:rPr>
        <w:t xml:space="preserve">нараства </w:t>
      </w:r>
      <w:r w:rsidRPr="00610B1B">
        <w:rPr>
          <w:rFonts w:ascii="Times New Roman" w:hAnsi="Times New Roman" w:cs="Times New Roman"/>
          <w:bCs/>
          <w:iCs/>
          <w:sz w:val="24"/>
          <w:szCs w:val="24"/>
          <w:lang w:val="bg-BG"/>
        </w:rPr>
        <w:t xml:space="preserve">най-значително </w:t>
      </w:r>
      <w:r w:rsidR="0082227D" w:rsidRPr="00610B1B">
        <w:rPr>
          <w:rFonts w:ascii="Times New Roman" w:hAnsi="Times New Roman" w:cs="Times New Roman"/>
          <w:sz w:val="24"/>
          <w:szCs w:val="24"/>
          <w:lang w:val="bg-BG"/>
        </w:rPr>
        <w:t>в общините Варна и Несебър</w:t>
      </w:r>
      <w:r w:rsidR="005E7D58" w:rsidRPr="00610B1B">
        <w:rPr>
          <w:rFonts w:ascii="Times New Roman" w:hAnsi="Times New Roman" w:cs="Times New Roman"/>
          <w:sz w:val="24"/>
          <w:szCs w:val="24"/>
          <w:lang w:val="bg-BG"/>
        </w:rPr>
        <w:t>.</w:t>
      </w:r>
      <w:r w:rsidR="00B204C4" w:rsidRPr="00610B1B">
        <w:rPr>
          <w:rFonts w:ascii="Times New Roman" w:hAnsi="Times New Roman" w:cs="Times New Roman"/>
          <w:sz w:val="24"/>
          <w:szCs w:val="24"/>
          <w:lang w:val="bg-BG"/>
        </w:rPr>
        <w:t xml:space="preserve"> В повечето общини преобладават </w:t>
      </w:r>
      <w:r w:rsidR="0082227D" w:rsidRPr="00610B1B">
        <w:rPr>
          <w:rFonts w:ascii="Times New Roman" w:hAnsi="Times New Roman" w:cs="Times New Roman"/>
          <w:sz w:val="24"/>
          <w:szCs w:val="24"/>
          <w:lang w:val="bg-BG"/>
        </w:rPr>
        <w:t>заетите в сектора на услугите</w:t>
      </w:r>
      <w:r w:rsidR="00B204C4" w:rsidRPr="00610B1B">
        <w:rPr>
          <w:rFonts w:ascii="Times New Roman" w:hAnsi="Times New Roman" w:cs="Times New Roman"/>
          <w:sz w:val="24"/>
          <w:szCs w:val="24"/>
          <w:lang w:val="bg-BG"/>
        </w:rPr>
        <w:t xml:space="preserve">, които са средно </w:t>
      </w:r>
      <w:r w:rsidR="0082227D" w:rsidRPr="00610B1B">
        <w:rPr>
          <w:rFonts w:ascii="Times New Roman" w:hAnsi="Times New Roman" w:cs="Times New Roman"/>
          <w:sz w:val="24"/>
          <w:szCs w:val="24"/>
          <w:lang w:val="bg-BG"/>
        </w:rPr>
        <w:t>71</w:t>
      </w:r>
      <w:r w:rsidR="00B204C4" w:rsidRPr="00610B1B">
        <w:rPr>
          <w:rFonts w:ascii="Times New Roman" w:hAnsi="Times New Roman" w:cs="Times New Roman"/>
          <w:sz w:val="24"/>
          <w:szCs w:val="24"/>
          <w:lang w:val="bg-BG"/>
        </w:rPr>
        <w:t>,</w:t>
      </w:r>
      <w:r w:rsidR="0082227D" w:rsidRPr="00610B1B">
        <w:rPr>
          <w:rFonts w:ascii="Times New Roman" w:hAnsi="Times New Roman" w:cs="Times New Roman"/>
          <w:sz w:val="24"/>
          <w:szCs w:val="24"/>
          <w:lang w:val="bg-BG"/>
        </w:rPr>
        <w:t>8%</w:t>
      </w:r>
      <w:r w:rsidR="00B204C4" w:rsidRPr="00610B1B">
        <w:rPr>
          <w:rFonts w:ascii="Times New Roman" w:hAnsi="Times New Roman" w:cs="Times New Roman"/>
          <w:sz w:val="24"/>
          <w:szCs w:val="24"/>
          <w:lang w:val="bg-BG"/>
        </w:rPr>
        <w:t>, а в някои общини и близо 90%.</w:t>
      </w:r>
      <w:r w:rsidR="00A679CF" w:rsidRPr="00610B1B">
        <w:rPr>
          <w:rFonts w:ascii="Times New Roman" w:hAnsi="Times New Roman" w:cs="Times New Roman"/>
          <w:sz w:val="24"/>
          <w:szCs w:val="24"/>
          <w:lang w:val="bg-BG"/>
        </w:rPr>
        <w:t xml:space="preserve"> Точно тези общини има вероятност да се окажат най-засегнати от извънредното положение, тъй като значителна част от фирмите са в сектора на туризма. Липсата на подробни данни за безработицата в резултат на мерките за ограничаване на разпространението на Covid 19 не позволява </w:t>
      </w:r>
      <w:r w:rsidR="00FA15C3" w:rsidRPr="00610B1B">
        <w:rPr>
          <w:rFonts w:ascii="Times New Roman" w:hAnsi="Times New Roman" w:cs="Times New Roman"/>
          <w:sz w:val="24"/>
          <w:szCs w:val="24"/>
          <w:lang w:val="bg-BG"/>
        </w:rPr>
        <w:t xml:space="preserve">на </w:t>
      </w:r>
      <w:r w:rsidR="00A679CF" w:rsidRPr="00610B1B">
        <w:rPr>
          <w:rFonts w:ascii="Times New Roman" w:hAnsi="Times New Roman" w:cs="Times New Roman"/>
          <w:sz w:val="24"/>
          <w:szCs w:val="24"/>
          <w:lang w:val="bg-BG"/>
        </w:rPr>
        <w:t xml:space="preserve">този етап да се правят изводи относно промените след </w:t>
      </w:r>
      <w:r w:rsidR="00E65651" w:rsidRPr="00610B1B">
        <w:rPr>
          <w:rFonts w:ascii="Times New Roman" w:hAnsi="Times New Roman" w:cs="Times New Roman"/>
          <w:sz w:val="24"/>
          <w:szCs w:val="24"/>
          <w:lang w:val="bg-BG"/>
        </w:rPr>
        <w:t xml:space="preserve">един </w:t>
      </w:r>
      <w:r w:rsidR="00A679CF" w:rsidRPr="00610B1B">
        <w:rPr>
          <w:rFonts w:ascii="Times New Roman" w:hAnsi="Times New Roman" w:cs="Times New Roman"/>
          <w:sz w:val="24"/>
          <w:szCs w:val="24"/>
          <w:lang w:val="bg-BG"/>
        </w:rPr>
        <w:t xml:space="preserve">период на постепенно намаляване на безработните до края на 2017 г. </w:t>
      </w:r>
    </w:p>
    <w:p w14:paraId="14489A67" w14:textId="77777777" w:rsidR="00E65651" w:rsidRPr="00610B1B" w:rsidRDefault="00E65651"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Аналогично на демографските показатели и при тези за </w:t>
      </w:r>
      <w:r w:rsidR="00F74673" w:rsidRPr="00610B1B">
        <w:rPr>
          <w:rFonts w:ascii="Times New Roman" w:hAnsi="Times New Roman" w:cs="Times New Roman"/>
          <w:sz w:val="24"/>
          <w:szCs w:val="24"/>
          <w:lang w:val="bg-BG"/>
        </w:rPr>
        <w:t xml:space="preserve">заетост и безработица </w:t>
      </w:r>
      <w:r w:rsidR="0082227D" w:rsidRPr="00610B1B">
        <w:rPr>
          <w:rFonts w:ascii="Times New Roman" w:hAnsi="Times New Roman" w:cs="Times New Roman"/>
          <w:sz w:val="24"/>
          <w:szCs w:val="24"/>
          <w:lang w:val="bg-BG"/>
        </w:rPr>
        <w:t xml:space="preserve">между големите общини Варна и Бургас и останалите </w:t>
      </w:r>
      <w:r w:rsidR="00F74673" w:rsidRPr="00610B1B">
        <w:rPr>
          <w:rFonts w:ascii="Times New Roman" w:hAnsi="Times New Roman" w:cs="Times New Roman"/>
          <w:sz w:val="24"/>
          <w:szCs w:val="24"/>
          <w:lang w:val="bg-BG"/>
        </w:rPr>
        <w:t>Черноморски общини</w:t>
      </w:r>
      <w:r w:rsidRPr="00610B1B">
        <w:rPr>
          <w:rFonts w:ascii="Times New Roman" w:hAnsi="Times New Roman" w:cs="Times New Roman"/>
          <w:sz w:val="24"/>
          <w:szCs w:val="24"/>
          <w:lang w:val="bg-BG"/>
        </w:rPr>
        <w:t xml:space="preserve"> съществуват значителни различия. </w:t>
      </w:r>
    </w:p>
    <w:p w14:paraId="6DB0AEA3" w14:textId="63AF44F3" w:rsidR="0082227D" w:rsidRPr="00610B1B" w:rsidRDefault="00F74673"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w:t>
      </w:r>
      <w:r w:rsidR="0082227D" w:rsidRPr="00610B1B">
        <w:rPr>
          <w:rFonts w:ascii="Times New Roman" w:hAnsi="Times New Roman" w:cs="Times New Roman"/>
          <w:sz w:val="24"/>
          <w:szCs w:val="24"/>
          <w:lang w:val="bg-BG"/>
        </w:rPr>
        <w:t xml:space="preserve">поред </w:t>
      </w:r>
      <w:r w:rsidR="0082227D" w:rsidRPr="00610B1B">
        <w:rPr>
          <w:rFonts w:ascii="Times New Roman" w:hAnsi="Times New Roman" w:cs="Times New Roman"/>
          <w:bCs/>
          <w:sz w:val="24"/>
          <w:szCs w:val="24"/>
          <w:lang w:val="bg-BG"/>
        </w:rPr>
        <w:t>прогнозите за населението</w:t>
      </w:r>
      <w:r w:rsidR="0082227D" w:rsidRPr="00610B1B">
        <w:rPr>
          <w:rFonts w:ascii="Times New Roman" w:hAnsi="Times New Roman" w:cs="Times New Roman"/>
          <w:b/>
          <w:bCs/>
          <w:sz w:val="24"/>
          <w:szCs w:val="24"/>
          <w:lang w:val="bg-BG"/>
        </w:rPr>
        <w:t xml:space="preserve"> </w:t>
      </w:r>
      <w:r w:rsidR="0082227D" w:rsidRPr="00610B1B">
        <w:rPr>
          <w:rFonts w:ascii="Times New Roman" w:hAnsi="Times New Roman" w:cs="Times New Roman"/>
          <w:sz w:val="24"/>
          <w:szCs w:val="24"/>
          <w:lang w:val="bg-BG"/>
        </w:rPr>
        <w:t>на Евростат в държавите-членки на ЕС, броят на лицата в трудоспособна възраст в България ще продължи да намалява и в бъдеще</w:t>
      </w:r>
      <w:r w:rsidR="00B36ACE" w:rsidRPr="00610B1B">
        <w:rPr>
          <w:rFonts w:ascii="Times New Roman" w:hAnsi="Times New Roman" w:cs="Times New Roman"/>
          <w:sz w:val="24"/>
          <w:szCs w:val="24"/>
          <w:lang w:val="bg-BG"/>
        </w:rPr>
        <w:t>.</w:t>
      </w:r>
      <w:r w:rsidR="00B36ACE" w:rsidRPr="00610B1B">
        <w:rPr>
          <w:rStyle w:val="FootnoteReference"/>
          <w:rFonts w:ascii="Times New Roman" w:hAnsi="Times New Roman" w:cs="Times New Roman"/>
          <w:sz w:val="24"/>
          <w:szCs w:val="24"/>
          <w:lang w:val="bg-BG"/>
        </w:rPr>
        <w:footnoteReference w:id="107"/>
      </w:r>
      <w:r w:rsidR="0082227D" w:rsidRPr="00610B1B">
        <w:rPr>
          <w:rFonts w:ascii="Times New Roman" w:hAnsi="Times New Roman" w:cs="Times New Roman"/>
          <w:sz w:val="24"/>
          <w:szCs w:val="24"/>
          <w:lang w:val="bg-BG"/>
        </w:rPr>
        <w:t xml:space="preserve"> Това е основният фактор, който ще окаже влияние върху намаляването на работната сила в общините. Според прогнозите за търсенето и предлагането на труд на Cedefop до 2025 г. се очаква намаление, както на работната сила в България, така и на заетостта. Намалението ще продължи до 2050 г., което ще засегне сериозно и Черноморските общини. </w:t>
      </w:r>
      <w:r w:rsidR="00B36ACE" w:rsidRPr="00610B1B">
        <w:rPr>
          <w:rFonts w:ascii="Times New Roman" w:hAnsi="Times New Roman" w:cs="Times New Roman"/>
          <w:sz w:val="24"/>
          <w:szCs w:val="24"/>
          <w:lang w:val="bg-BG"/>
        </w:rPr>
        <w:t xml:space="preserve">По </w:t>
      </w:r>
      <w:r w:rsidR="0082227D" w:rsidRPr="00610B1B">
        <w:rPr>
          <w:rFonts w:ascii="Times New Roman" w:hAnsi="Times New Roman" w:cs="Times New Roman"/>
          <w:sz w:val="24"/>
          <w:szCs w:val="24"/>
          <w:lang w:val="bg-BG"/>
        </w:rPr>
        <w:t>сектори на икономиката</w:t>
      </w:r>
      <w:r w:rsidR="00B36ACE" w:rsidRPr="00610B1B">
        <w:rPr>
          <w:rStyle w:val="FootnoteReference"/>
          <w:rFonts w:ascii="Times New Roman" w:hAnsi="Times New Roman" w:cs="Times New Roman"/>
          <w:sz w:val="24"/>
          <w:szCs w:val="24"/>
          <w:lang w:val="bg-BG"/>
        </w:rPr>
        <w:footnoteReference w:id="108"/>
      </w:r>
      <w:r w:rsidR="0082227D" w:rsidRPr="00610B1B">
        <w:rPr>
          <w:rFonts w:ascii="Times New Roman" w:hAnsi="Times New Roman" w:cs="Times New Roman"/>
          <w:sz w:val="24"/>
          <w:szCs w:val="24"/>
          <w:lang w:val="bg-BG"/>
        </w:rPr>
        <w:t xml:space="preserve"> ще се наблюдава нарастване на заетостта в икономическите дейности в сектор „Услуги“, докато в сектор</w:t>
      </w:r>
      <w:r w:rsidR="00FA15C3" w:rsidRPr="00610B1B">
        <w:rPr>
          <w:rFonts w:ascii="Times New Roman" w:hAnsi="Times New Roman" w:cs="Times New Roman"/>
          <w:sz w:val="24"/>
          <w:szCs w:val="24"/>
          <w:lang w:val="bg-BG"/>
        </w:rPr>
        <w:t>ите</w:t>
      </w:r>
      <w:r w:rsidR="0082227D" w:rsidRPr="00610B1B">
        <w:rPr>
          <w:rFonts w:ascii="Times New Roman" w:hAnsi="Times New Roman" w:cs="Times New Roman"/>
          <w:sz w:val="24"/>
          <w:szCs w:val="24"/>
          <w:lang w:val="bg-BG"/>
        </w:rPr>
        <w:t xml:space="preserve"> „Индустрия“ и „Селско</w:t>
      </w:r>
      <w:r w:rsidR="00E65651" w:rsidRPr="00610B1B">
        <w:rPr>
          <w:rFonts w:ascii="Times New Roman" w:hAnsi="Times New Roman" w:cs="Times New Roman"/>
          <w:sz w:val="24"/>
          <w:szCs w:val="24"/>
          <w:lang w:val="bg-BG"/>
        </w:rPr>
        <w:t>, горско и рибно</w:t>
      </w:r>
      <w:r w:rsidR="0082227D" w:rsidRPr="00610B1B">
        <w:rPr>
          <w:rFonts w:ascii="Times New Roman" w:hAnsi="Times New Roman" w:cs="Times New Roman"/>
          <w:sz w:val="24"/>
          <w:szCs w:val="24"/>
          <w:lang w:val="bg-BG"/>
        </w:rPr>
        <w:t xml:space="preserve"> стопанство“ ще има намаление. </w:t>
      </w:r>
    </w:p>
    <w:p w14:paraId="55F5047B" w14:textId="77777777" w:rsidR="00261A06" w:rsidRPr="00610B1B" w:rsidRDefault="00261A06" w:rsidP="00D32D6A">
      <w:pPr>
        <w:spacing w:after="120"/>
        <w:ind w:right="-153"/>
        <w:jc w:val="both"/>
        <w:rPr>
          <w:rFonts w:ascii="Times New Roman" w:hAnsi="Times New Roman" w:cs="Times New Roman"/>
          <w:sz w:val="24"/>
          <w:szCs w:val="24"/>
          <w:lang w:val="bg-BG"/>
        </w:rPr>
      </w:pPr>
    </w:p>
    <w:p w14:paraId="7B04210E" w14:textId="146F8DA3" w:rsidR="0082227D" w:rsidRPr="00610B1B" w:rsidRDefault="00673934" w:rsidP="00D32D6A">
      <w:pPr>
        <w:pStyle w:val="Heading3"/>
        <w:spacing w:before="0" w:line="276" w:lineRule="auto"/>
        <w:ind w:right="-153"/>
        <w:rPr>
          <w:rFonts w:cs="Times New Roman"/>
        </w:rPr>
      </w:pPr>
      <w:bookmarkStart w:id="313" w:name="_Toc83391368"/>
      <w:r w:rsidRPr="00610B1B">
        <w:rPr>
          <w:rFonts w:cs="Times New Roman"/>
        </w:rPr>
        <w:t>2.</w:t>
      </w:r>
      <w:r w:rsidR="0082227D" w:rsidRPr="00610B1B">
        <w:rPr>
          <w:rFonts w:cs="Times New Roman"/>
        </w:rPr>
        <w:t>3.</w:t>
      </w:r>
      <w:r w:rsidRPr="00610B1B">
        <w:rPr>
          <w:rFonts w:cs="Times New Roman"/>
        </w:rPr>
        <w:t>2.</w:t>
      </w:r>
      <w:r w:rsidR="0082227D" w:rsidRPr="00610B1B">
        <w:rPr>
          <w:rFonts w:cs="Times New Roman"/>
        </w:rPr>
        <w:t xml:space="preserve"> Образование</w:t>
      </w:r>
      <w:bookmarkEnd w:id="313"/>
    </w:p>
    <w:p w14:paraId="6F15C45B" w14:textId="6B2FDDF9" w:rsidR="0082227D" w:rsidRPr="00610B1B" w:rsidRDefault="00673934" w:rsidP="00D32D6A">
      <w:pPr>
        <w:pStyle w:val="Heading4"/>
        <w:spacing w:before="0" w:line="276" w:lineRule="auto"/>
        <w:ind w:right="-153"/>
        <w:rPr>
          <w:rFonts w:cs="Times New Roman"/>
        </w:rPr>
      </w:pPr>
      <w:r w:rsidRPr="00610B1B">
        <w:rPr>
          <w:rFonts w:cs="Times New Roman"/>
        </w:rPr>
        <w:t>2.</w:t>
      </w:r>
      <w:r w:rsidR="0082227D" w:rsidRPr="00610B1B">
        <w:rPr>
          <w:rFonts w:cs="Times New Roman"/>
        </w:rPr>
        <w:t>3.</w:t>
      </w:r>
      <w:r w:rsidRPr="00610B1B">
        <w:rPr>
          <w:rFonts w:cs="Times New Roman"/>
        </w:rPr>
        <w:t>2.</w:t>
      </w:r>
      <w:r w:rsidR="0082227D" w:rsidRPr="00610B1B">
        <w:rPr>
          <w:rFonts w:cs="Times New Roman"/>
        </w:rPr>
        <w:t>1.</w:t>
      </w:r>
      <w:r w:rsidR="000F6CBC" w:rsidRPr="00610B1B">
        <w:rPr>
          <w:rFonts w:cs="Times New Roman"/>
        </w:rPr>
        <w:t xml:space="preserve"> </w:t>
      </w:r>
      <w:r w:rsidR="0082227D" w:rsidRPr="00610B1B">
        <w:rPr>
          <w:rFonts w:cs="Times New Roman"/>
        </w:rPr>
        <w:t>Образованост на населението</w:t>
      </w:r>
    </w:p>
    <w:p w14:paraId="68EFCEA4" w14:textId="24AE7B72" w:rsidR="00564BAD" w:rsidRPr="00610B1B" w:rsidRDefault="007B4463"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Една </w:t>
      </w:r>
      <w:r w:rsidR="0082227D" w:rsidRPr="00610B1B">
        <w:rPr>
          <w:rFonts w:ascii="Times New Roman" w:hAnsi="Times New Roman" w:cs="Times New Roman"/>
          <w:sz w:val="24"/>
          <w:szCs w:val="24"/>
          <w:lang w:val="bg-BG"/>
        </w:rPr>
        <w:t>от водещите цели на общоевропейската стратегия „Европа 2020” е подобряване на образователното равнище на населението, намаляване на дела на преждевременно напусналите училище и увеличаване на дела на населението с висше или еквивалентно на висше образование.</w:t>
      </w:r>
      <w:r w:rsidR="00E65651" w:rsidRPr="00610B1B">
        <w:rPr>
          <w:rFonts w:ascii="Times New Roman" w:hAnsi="Times New Roman" w:cs="Times New Roman"/>
          <w:sz w:val="24"/>
          <w:szCs w:val="24"/>
          <w:lang w:val="bg-BG"/>
        </w:rPr>
        <w:t xml:space="preserve"> Това има огромно значение за осигуряване на </w:t>
      </w:r>
      <w:r w:rsidR="004E40D4" w:rsidRPr="00610B1B">
        <w:rPr>
          <w:rFonts w:ascii="Times New Roman" w:hAnsi="Times New Roman" w:cs="Times New Roman"/>
          <w:sz w:val="24"/>
          <w:szCs w:val="24"/>
          <w:lang w:val="bg-BG"/>
        </w:rPr>
        <w:t>необходимите знания и за морската околна среда, за нейното опазване и използване, за подготовката на кадри за секторите в синята икономика</w:t>
      </w:r>
      <w:r w:rsidR="00FA15C3" w:rsidRPr="00610B1B">
        <w:rPr>
          <w:rFonts w:ascii="Times New Roman" w:hAnsi="Times New Roman" w:cs="Times New Roman"/>
          <w:sz w:val="24"/>
          <w:szCs w:val="24"/>
          <w:lang w:val="bg-BG"/>
        </w:rPr>
        <w:t xml:space="preserve"> и за военноморските сили</w:t>
      </w:r>
      <w:r w:rsidR="004E40D4" w:rsidRPr="00610B1B">
        <w:rPr>
          <w:rFonts w:ascii="Times New Roman" w:hAnsi="Times New Roman" w:cs="Times New Roman"/>
          <w:sz w:val="24"/>
          <w:szCs w:val="24"/>
          <w:lang w:val="bg-BG"/>
        </w:rPr>
        <w:t xml:space="preserve">. </w:t>
      </w:r>
    </w:p>
    <w:p w14:paraId="54C287A0" w14:textId="21297DA3" w:rsidR="009907CE" w:rsidRPr="00610B1B" w:rsidRDefault="009907CE" w:rsidP="00D32D6A">
      <w:pPr>
        <w:autoSpaceDE w:val="0"/>
        <w:autoSpaceDN w:val="0"/>
        <w:adjustRightInd w:val="0"/>
        <w:spacing w:after="120"/>
        <w:ind w:right="-153"/>
        <w:jc w:val="both"/>
        <w:rPr>
          <w:rFonts w:ascii="Times New Roman" w:hAnsi="Times New Roman" w:cs="Times New Roman"/>
          <w:sz w:val="24"/>
          <w:szCs w:val="24"/>
          <w:lang w:val="bg-BG"/>
        </w:rPr>
      </w:pPr>
    </w:p>
    <w:p w14:paraId="4FC59754" w14:textId="77777777" w:rsidR="009907CE" w:rsidRPr="00610B1B" w:rsidRDefault="009907CE" w:rsidP="00D32D6A">
      <w:pPr>
        <w:autoSpaceDE w:val="0"/>
        <w:autoSpaceDN w:val="0"/>
        <w:adjustRightInd w:val="0"/>
        <w:spacing w:after="120"/>
        <w:ind w:right="-153"/>
        <w:jc w:val="both"/>
        <w:rPr>
          <w:rFonts w:ascii="Times New Roman" w:hAnsi="Times New Roman" w:cs="Times New Roman"/>
          <w:sz w:val="24"/>
          <w:szCs w:val="24"/>
          <w:lang w:val="bg-BG"/>
        </w:rPr>
      </w:pPr>
    </w:p>
    <w:p w14:paraId="29C334B4" w14:textId="6B539D19" w:rsidR="0082227D" w:rsidRPr="00610B1B" w:rsidRDefault="000B1E6E" w:rsidP="00E37053">
      <w:pPr>
        <w:autoSpaceDE w:val="0"/>
        <w:autoSpaceDN w:val="0"/>
        <w:adjustRightInd w:val="0"/>
        <w:spacing w:after="70" w:line="240" w:lineRule="auto"/>
        <w:ind w:right="-153"/>
        <w:jc w:val="both"/>
        <w:rPr>
          <w:rFonts w:ascii="Times New Roman" w:hAnsi="Times New Roman" w:cs="Times New Roman"/>
          <w:sz w:val="24"/>
          <w:szCs w:val="24"/>
          <w:lang w:val="bg-BG"/>
        </w:rPr>
      </w:pPr>
      <w:bookmarkStart w:id="314" w:name="_Toc83391604"/>
      <w:r w:rsidRPr="00610B1B">
        <w:rPr>
          <w:rFonts w:ascii="Times New Roman" w:eastAsia="Lohit Devanagari" w:hAnsi="Times New Roman" w:cs="Times New Roman"/>
          <w:color w:val="00000A"/>
          <w:sz w:val="24"/>
          <w:szCs w:val="24"/>
          <w:lang w:val="bg-BG" w:eastAsia="ar-SA" w:bidi="hi-IN"/>
        </w:rPr>
        <w:lastRenderedPageBreak/>
        <w:t xml:space="preserve">Таблица </w:t>
      </w:r>
      <w:r w:rsidRPr="00610B1B">
        <w:rPr>
          <w:rFonts w:ascii="Times New Roman" w:eastAsia="Lohit Devanagari" w:hAnsi="Times New Roman" w:cs="Times New Roman"/>
          <w:color w:val="00000A"/>
          <w:sz w:val="24"/>
          <w:szCs w:val="24"/>
          <w:lang w:val="bg-BG" w:eastAsia="ar-SA" w:bidi="hi-IN"/>
        </w:rPr>
        <w:fldChar w:fldCharType="begin"/>
      </w:r>
      <w:r w:rsidRPr="00610B1B">
        <w:rPr>
          <w:rFonts w:ascii="Times New Roman" w:eastAsia="Lohit Devanagari" w:hAnsi="Times New Roman" w:cs="Times New Roman"/>
          <w:color w:val="00000A"/>
          <w:sz w:val="24"/>
          <w:szCs w:val="24"/>
          <w:lang w:val="bg-BG" w:eastAsia="ar-SA" w:bidi="hi-IN"/>
        </w:rPr>
        <w:instrText xml:space="preserve"> SEQ Таблица \* ARABIC </w:instrText>
      </w:r>
      <w:r w:rsidRPr="00610B1B">
        <w:rPr>
          <w:rFonts w:ascii="Times New Roman" w:eastAsia="Lohit Devanagari" w:hAnsi="Times New Roman" w:cs="Times New Roman"/>
          <w:color w:val="00000A"/>
          <w:sz w:val="24"/>
          <w:szCs w:val="24"/>
          <w:lang w:val="bg-BG" w:eastAsia="ar-SA" w:bidi="hi-IN"/>
        </w:rPr>
        <w:fldChar w:fldCharType="separate"/>
      </w:r>
      <w:r w:rsidR="00260629" w:rsidRPr="00610B1B">
        <w:rPr>
          <w:rFonts w:ascii="Times New Roman" w:eastAsia="Lohit Devanagari" w:hAnsi="Times New Roman" w:cs="Times New Roman"/>
          <w:noProof/>
          <w:color w:val="00000A"/>
          <w:sz w:val="24"/>
          <w:szCs w:val="24"/>
          <w:lang w:val="bg-BG" w:eastAsia="ar-SA" w:bidi="hi-IN"/>
        </w:rPr>
        <w:t>8</w:t>
      </w:r>
      <w:r w:rsidRPr="00610B1B">
        <w:rPr>
          <w:rFonts w:ascii="Times New Roman" w:eastAsia="Lohit Devanagari" w:hAnsi="Times New Roman" w:cs="Times New Roman"/>
          <w:color w:val="00000A"/>
          <w:sz w:val="24"/>
          <w:szCs w:val="24"/>
          <w:lang w:val="bg-BG" w:eastAsia="ar-SA" w:bidi="hi-IN"/>
        </w:rPr>
        <w:fldChar w:fldCharType="end"/>
      </w:r>
      <w:r w:rsidRPr="00610B1B">
        <w:rPr>
          <w:rFonts w:ascii="Times New Roman" w:eastAsia="Lohit Devanagari" w:hAnsi="Times New Roman" w:cs="Times New Roman"/>
          <w:color w:val="00000A"/>
          <w:sz w:val="24"/>
          <w:szCs w:val="24"/>
          <w:lang w:val="bg-BG" w:eastAsia="ar-SA" w:bidi="hi-IN"/>
        </w:rPr>
        <w:t>: Население на 7 и повече години в Черноморските общини по степен на завършено образование към 01.02.2011</w:t>
      </w:r>
      <w:r w:rsidR="00243784" w:rsidRPr="00610B1B">
        <w:rPr>
          <w:rFonts w:ascii="Times New Roman" w:eastAsia="Lohit Devanagari" w:hAnsi="Times New Roman" w:cs="Times New Roman"/>
          <w:color w:val="00000A"/>
          <w:sz w:val="24"/>
          <w:szCs w:val="24"/>
          <w:lang w:val="bg-BG" w:eastAsia="ar-SA" w:bidi="hi-IN"/>
        </w:rPr>
        <w:t xml:space="preserve"> </w:t>
      </w:r>
      <w:r w:rsidRPr="00610B1B">
        <w:rPr>
          <w:rFonts w:ascii="Times New Roman" w:eastAsia="Lohit Devanagari" w:hAnsi="Times New Roman" w:cs="Times New Roman"/>
          <w:color w:val="00000A"/>
          <w:sz w:val="24"/>
          <w:szCs w:val="24"/>
          <w:lang w:val="bg-BG" w:eastAsia="ar-SA" w:bidi="hi-IN"/>
        </w:rPr>
        <w:t>г.</w:t>
      </w:r>
      <w:bookmarkEnd w:id="314"/>
    </w:p>
    <w:tbl>
      <w:tblPr>
        <w:tblW w:w="10822" w:type="dxa"/>
        <w:tblInd w:w="-709"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1560"/>
        <w:gridCol w:w="815"/>
        <w:gridCol w:w="886"/>
        <w:gridCol w:w="851"/>
        <w:gridCol w:w="992"/>
        <w:gridCol w:w="992"/>
        <w:gridCol w:w="1418"/>
        <w:gridCol w:w="1417"/>
        <w:gridCol w:w="1891"/>
      </w:tblGrid>
      <w:tr w:rsidR="0082227D" w:rsidRPr="005C2B9F" w14:paraId="4D84A645" w14:textId="77777777" w:rsidTr="00D05544">
        <w:trPr>
          <w:trHeight w:val="656"/>
          <w:tblHeader/>
        </w:trPr>
        <w:tc>
          <w:tcPr>
            <w:tcW w:w="1560" w:type="dxa"/>
            <w:shd w:val="clear" w:color="auto" w:fill="C6D9F1" w:themeFill="text2" w:themeFillTint="33"/>
            <w:vAlign w:val="center"/>
          </w:tcPr>
          <w:p w14:paraId="4F2E0157" w14:textId="77777777" w:rsidR="0082227D" w:rsidRPr="00610B1B" w:rsidRDefault="0082227D" w:rsidP="00D32D6A">
            <w:pPr>
              <w:spacing w:after="0" w:line="240" w:lineRule="auto"/>
              <w:jc w:val="center"/>
              <w:rPr>
                <w:rFonts w:ascii="Times New Roman" w:hAnsi="Times New Roman" w:cs="Times New Roman"/>
                <w:color w:val="000000"/>
                <w:lang w:val="bg-BG"/>
              </w:rPr>
            </w:pPr>
            <w:r w:rsidRPr="00610B1B">
              <w:rPr>
                <w:rFonts w:ascii="Times New Roman" w:hAnsi="Times New Roman" w:cs="Times New Roman"/>
                <w:color w:val="000000"/>
                <w:lang w:val="bg-BG"/>
              </w:rPr>
              <w:t>Общини</w:t>
            </w:r>
          </w:p>
        </w:tc>
        <w:tc>
          <w:tcPr>
            <w:tcW w:w="815" w:type="dxa"/>
            <w:shd w:val="clear" w:color="auto" w:fill="C6D9F1" w:themeFill="text2" w:themeFillTint="33"/>
            <w:vAlign w:val="center"/>
          </w:tcPr>
          <w:p w14:paraId="32F63B33" w14:textId="77777777" w:rsidR="0082227D" w:rsidRPr="00610B1B" w:rsidRDefault="0082227D" w:rsidP="00D32D6A">
            <w:pPr>
              <w:spacing w:after="0" w:line="240" w:lineRule="auto"/>
              <w:jc w:val="center"/>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Общо</w:t>
            </w:r>
          </w:p>
        </w:tc>
        <w:tc>
          <w:tcPr>
            <w:tcW w:w="886" w:type="dxa"/>
            <w:shd w:val="clear" w:color="auto" w:fill="C6D9F1" w:themeFill="text2" w:themeFillTint="33"/>
            <w:vAlign w:val="center"/>
          </w:tcPr>
          <w:p w14:paraId="2B49F024" w14:textId="77777777" w:rsidR="0082227D" w:rsidRPr="00610B1B" w:rsidRDefault="0082227D" w:rsidP="00D32D6A">
            <w:pPr>
              <w:spacing w:after="0" w:line="240" w:lineRule="auto"/>
              <w:jc w:val="center"/>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Висше</w:t>
            </w:r>
          </w:p>
        </w:tc>
        <w:tc>
          <w:tcPr>
            <w:tcW w:w="851" w:type="dxa"/>
            <w:shd w:val="clear" w:color="auto" w:fill="C6D9F1" w:themeFill="text2" w:themeFillTint="33"/>
            <w:vAlign w:val="center"/>
          </w:tcPr>
          <w:p w14:paraId="4E8E5C09" w14:textId="77777777" w:rsidR="0082227D" w:rsidRPr="00610B1B" w:rsidRDefault="0082227D" w:rsidP="00D32D6A">
            <w:pPr>
              <w:spacing w:after="0" w:line="240" w:lineRule="auto"/>
              <w:jc w:val="center"/>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Средно</w:t>
            </w:r>
          </w:p>
        </w:tc>
        <w:tc>
          <w:tcPr>
            <w:tcW w:w="992" w:type="dxa"/>
            <w:shd w:val="clear" w:color="auto" w:fill="C6D9F1" w:themeFill="text2" w:themeFillTint="33"/>
            <w:vAlign w:val="center"/>
          </w:tcPr>
          <w:p w14:paraId="466D9FA2" w14:textId="77777777" w:rsidR="0082227D" w:rsidRPr="00610B1B" w:rsidRDefault="0082227D" w:rsidP="00D32D6A">
            <w:pPr>
              <w:spacing w:after="0" w:line="240" w:lineRule="auto"/>
              <w:jc w:val="center"/>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Основно</w:t>
            </w:r>
          </w:p>
        </w:tc>
        <w:tc>
          <w:tcPr>
            <w:tcW w:w="992" w:type="dxa"/>
            <w:shd w:val="clear" w:color="auto" w:fill="C6D9F1" w:themeFill="text2" w:themeFillTint="33"/>
            <w:vAlign w:val="center"/>
          </w:tcPr>
          <w:p w14:paraId="7691E5EF" w14:textId="77777777" w:rsidR="0082227D" w:rsidRPr="00610B1B" w:rsidRDefault="0082227D" w:rsidP="00D32D6A">
            <w:pPr>
              <w:spacing w:after="0" w:line="240" w:lineRule="auto"/>
              <w:jc w:val="center"/>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Начално</w:t>
            </w:r>
          </w:p>
        </w:tc>
        <w:tc>
          <w:tcPr>
            <w:tcW w:w="1418" w:type="dxa"/>
            <w:shd w:val="clear" w:color="auto" w:fill="C6D9F1" w:themeFill="text2" w:themeFillTint="33"/>
            <w:vAlign w:val="center"/>
          </w:tcPr>
          <w:p w14:paraId="562F0B18" w14:textId="77777777" w:rsidR="0082227D" w:rsidRPr="00610B1B" w:rsidRDefault="0082227D" w:rsidP="00D32D6A">
            <w:pPr>
              <w:tabs>
                <w:tab w:val="left" w:pos="1071"/>
              </w:tabs>
              <w:spacing w:after="0" w:line="240" w:lineRule="auto"/>
              <w:jc w:val="center"/>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Незавършено начално</w:t>
            </w:r>
          </w:p>
        </w:tc>
        <w:tc>
          <w:tcPr>
            <w:tcW w:w="1417" w:type="dxa"/>
            <w:shd w:val="clear" w:color="auto" w:fill="C6D9F1" w:themeFill="text2" w:themeFillTint="33"/>
            <w:vAlign w:val="center"/>
          </w:tcPr>
          <w:p w14:paraId="65C96890" w14:textId="55721E59" w:rsidR="0082227D" w:rsidRPr="00610B1B" w:rsidRDefault="0082227D" w:rsidP="00D32D6A">
            <w:pPr>
              <w:spacing w:after="0" w:line="240" w:lineRule="auto"/>
              <w:jc w:val="center"/>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Никога непосещавали училище</w:t>
            </w:r>
          </w:p>
        </w:tc>
        <w:tc>
          <w:tcPr>
            <w:tcW w:w="1891" w:type="dxa"/>
            <w:shd w:val="clear" w:color="auto" w:fill="C6D9F1" w:themeFill="text2" w:themeFillTint="33"/>
            <w:vAlign w:val="center"/>
          </w:tcPr>
          <w:p w14:paraId="7ABD5C23" w14:textId="468899AC" w:rsidR="0082227D" w:rsidRPr="00610B1B" w:rsidRDefault="007B4463" w:rsidP="00F00BE8">
            <w:pPr>
              <w:spacing w:after="0" w:line="240" w:lineRule="auto"/>
              <w:jc w:val="center"/>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 xml:space="preserve">Деца до 7 год. </w:t>
            </w:r>
            <w:r w:rsidR="00F00BE8" w:rsidRPr="00610B1B">
              <w:rPr>
                <w:rFonts w:ascii="Times New Roman" w:hAnsi="Times New Roman" w:cs="Times New Roman"/>
                <w:color w:val="000000"/>
                <w:sz w:val="20"/>
                <w:szCs w:val="20"/>
                <w:lang w:val="bg-BG"/>
              </w:rPr>
              <w:br/>
            </w:r>
            <w:r w:rsidR="006F7DAF" w:rsidRPr="00610B1B">
              <w:rPr>
                <w:rFonts w:ascii="Times New Roman" w:hAnsi="Times New Roman" w:cs="Times New Roman"/>
                <w:color w:val="000000"/>
                <w:sz w:val="20"/>
                <w:szCs w:val="20"/>
                <w:lang w:val="bg-BG"/>
              </w:rPr>
              <w:t>(</w:t>
            </w:r>
            <w:r w:rsidRPr="00610B1B">
              <w:rPr>
                <w:rFonts w:ascii="Times New Roman" w:hAnsi="Times New Roman" w:cs="Times New Roman"/>
                <w:color w:val="000000"/>
                <w:sz w:val="20"/>
                <w:szCs w:val="20"/>
                <w:lang w:val="bg-BG"/>
              </w:rPr>
              <w:t xml:space="preserve">вкл. </w:t>
            </w:r>
            <w:r w:rsidR="006F7DAF" w:rsidRPr="00610B1B">
              <w:rPr>
                <w:rFonts w:ascii="Times New Roman" w:hAnsi="Times New Roman" w:cs="Times New Roman"/>
                <w:color w:val="000000"/>
                <w:sz w:val="20"/>
                <w:szCs w:val="20"/>
                <w:lang w:val="bg-BG"/>
              </w:rPr>
              <w:t>не</w:t>
            </w:r>
            <w:r w:rsidR="0082227D" w:rsidRPr="00610B1B">
              <w:rPr>
                <w:rFonts w:ascii="Times New Roman" w:hAnsi="Times New Roman" w:cs="Times New Roman"/>
                <w:color w:val="000000"/>
                <w:sz w:val="20"/>
                <w:szCs w:val="20"/>
                <w:lang w:val="bg-BG"/>
              </w:rPr>
              <w:t>посещава</w:t>
            </w:r>
            <w:r w:rsidR="00853347" w:rsidRPr="00610B1B">
              <w:rPr>
                <w:rFonts w:ascii="Times New Roman" w:hAnsi="Times New Roman" w:cs="Times New Roman"/>
                <w:color w:val="000000"/>
                <w:sz w:val="20"/>
                <w:szCs w:val="20"/>
                <w:lang w:val="bg-BG"/>
              </w:rPr>
              <w:t>щи</w:t>
            </w:r>
            <w:r w:rsidR="0082227D" w:rsidRPr="00610B1B">
              <w:rPr>
                <w:rFonts w:ascii="Times New Roman" w:hAnsi="Times New Roman" w:cs="Times New Roman"/>
                <w:color w:val="000000"/>
                <w:sz w:val="20"/>
                <w:szCs w:val="20"/>
                <w:lang w:val="bg-BG"/>
              </w:rPr>
              <w:t xml:space="preserve"> училище)</w:t>
            </w:r>
          </w:p>
        </w:tc>
      </w:tr>
      <w:tr w:rsidR="006F7DAF" w:rsidRPr="00610B1B" w14:paraId="343EB452" w14:textId="77777777" w:rsidTr="00D05544">
        <w:trPr>
          <w:trHeight w:val="255"/>
        </w:trPr>
        <w:tc>
          <w:tcPr>
            <w:tcW w:w="1560" w:type="dxa"/>
            <w:shd w:val="clear" w:color="auto" w:fill="auto"/>
            <w:noWrap/>
            <w:vAlign w:val="center"/>
          </w:tcPr>
          <w:p w14:paraId="74EB9322" w14:textId="77777777" w:rsidR="006F7DAF" w:rsidRPr="00610B1B" w:rsidRDefault="006F7DAF" w:rsidP="00D32D6A">
            <w:pPr>
              <w:spacing w:after="0" w:line="240" w:lineRule="auto"/>
              <w:rPr>
                <w:rFonts w:ascii="Times New Roman" w:hAnsi="Times New Roman" w:cs="Times New Roman"/>
                <w:b/>
                <w:bCs/>
                <w:color w:val="000000"/>
                <w:lang w:val="bg-BG"/>
              </w:rPr>
            </w:pPr>
            <w:r w:rsidRPr="00610B1B">
              <w:rPr>
                <w:rFonts w:ascii="Times New Roman" w:hAnsi="Times New Roman" w:cs="Times New Roman"/>
                <w:b/>
                <w:bCs/>
                <w:color w:val="000000"/>
                <w:lang w:val="bg-BG"/>
              </w:rPr>
              <w:t>Черноморски</w:t>
            </w:r>
          </w:p>
        </w:tc>
        <w:tc>
          <w:tcPr>
            <w:tcW w:w="815" w:type="dxa"/>
            <w:shd w:val="clear" w:color="auto" w:fill="auto"/>
            <w:noWrap/>
            <w:vAlign w:val="center"/>
          </w:tcPr>
          <w:p w14:paraId="0C78790A" w14:textId="7465F03E" w:rsidR="006F7DAF" w:rsidRPr="00610B1B" w:rsidRDefault="006F7DAF" w:rsidP="00D32D6A">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color w:val="000000"/>
                <w:sz w:val="20"/>
                <w:szCs w:val="20"/>
                <w:lang w:val="bg-BG"/>
              </w:rPr>
              <w:t>674 781</w:t>
            </w:r>
          </w:p>
        </w:tc>
        <w:tc>
          <w:tcPr>
            <w:tcW w:w="886" w:type="dxa"/>
            <w:shd w:val="clear" w:color="auto" w:fill="auto"/>
            <w:noWrap/>
            <w:vAlign w:val="center"/>
          </w:tcPr>
          <w:p w14:paraId="04C82783" w14:textId="74BF629C" w:rsidR="006F7DAF" w:rsidRPr="00610B1B" w:rsidRDefault="006F7DAF" w:rsidP="00D32D6A">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color w:val="000000"/>
                <w:sz w:val="20"/>
                <w:szCs w:val="20"/>
                <w:lang w:val="bg-BG"/>
              </w:rPr>
              <w:t>162 872</w:t>
            </w:r>
          </w:p>
        </w:tc>
        <w:tc>
          <w:tcPr>
            <w:tcW w:w="851" w:type="dxa"/>
            <w:shd w:val="clear" w:color="auto" w:fill="auto"/>
            <w:noWrap/>
            <w:vAlign w:val="center"/>
          </w:tcPr>
          <w:p w14:paraId="0DA08CE2" w14:textId="72378A0D" w:rsidR="006F7DAF" w:rsidRPr="00610B1B" w:rsidRDefault="006F7DAF" w:rsidP="00D32D6A">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color w:val="000000"/>
                <w:sz w:val="20"/>
                <w:szCs w:val="20"/>
                <w:lang w:val="bg-BG"/>
              </w:rPr>
              <w:t>302 463</w:t>
            </w:r>
          </w:p>
        </w:tc>
        <w:tc>
          <w:tcPr>
            <w:tcW w:w="992" w:type="dxa"/>
            <w:shd w:val="clear" w:color="auto" w:fill="auto"/>
            <w:noWrap/>
            <w:vAlign w:val="center"/>
          </w:tcPr>
          <w:p w14:paraId="634967BB" w14:textId="4B38A328" w:rsidR="006F7DAF" w:rsidRPr="00610B1B" w:rsidRDefault="006F7DAF" w:rsidP="00D32D6A">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color w:val="000000"/>
                <w:sz w:val="20"/>
                <w:szCs w:val="20"/>
                <w:lang w:val="bg-BG"/>
              </w:rPr>
              <w:t>128 075</w:t>
            </w:r>
          </w:p>
        </w:tc>
        <w:tc>
          <w:tcPr>
            <w:tcW w:w="992" w:type="dxa"/>
            <w:shd w:val="clear" w:color="auto" w:fill="auto"/>
            <w:noWrap/>
            <w:vAlign w:val="center"/>
          </w:tcPr>
          <w:p w14:paraId="121D6287" w14:textId="3945A785" w:rsidR="006F7DAF" w:rsidRPr="00610B1B" w:rsidRDefault="006F7DAF" w:rsidP="00D32D6A">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color w:val="000000"/>
                <w:sz w:val="20"/>
                <w:szCs w:val="20"/>
                <w:lang w:val="bg-BG"/>
              </w:rPr>
              <w:t>42 265</w:t>
            </w:r>
          </w:p>
        </w:tc>
        <w:tc>
          <w:tcPr>
            <w:tcW w:w="1418" w:type="dxa"/>
            <w:shd w:val="clear" w:color="auto" w:fill="auto"/>
            <w:noWrap/>
            <w:vAlign w:val="center"/>
          </w:tcPr>
          <w:p w14:paraId="0C59969C" w14:textId="52196685" w:rsidR="006F7DAF" w:rsidRPr="00610B1B" w:rsidRDefault="006F7DAF" w:rsidP="00D32D6A">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color w:val="000000"/>
                <w:sz w:val="20"/>
                <w:szCs w:val="20"/>
                <w:lang w:val="bg-BG"/>
              </w:rPr>
              <w:t>31 401</w:t>
            </w:r>
          </w:p>
        </w:tc>
        <w:tc>
          <w:tcPr>
            <w:tcW w:w="1417" w:type="dxa"/>
            <w:shd w:val="clear" w:color="auto" w:fill="auto"/>
            <w:noWrap/>
            <w:vAlign w:val="center"/>
          </w:tcPr>
          <w:p w14:paraId="63F38FAC" w14:textId="24AB258A" w:rsidR="006F7DAF" w:rsidRPr="00610B1B" w:rsidRDefault="006F7DAF" w:rsidP="00D32D6A">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color w:val="000000"/>
                <w:sz w:val="20"/>
                <w:szCs w:val="20"/>
                <w:lang w:val="bg-BG"/>
              </w:rPr>
              <w:t>6 279</w:t>
            </w:r>
          </w:p>
        </w:tc>
        <w:tc>
          <w:tcPr>
            <w:tcW w:w="1891" w:type="dxa"/>
            <w:shd w:val="clear" w:color="auto" w:fill="auto"/>
            <w:noWrap/>
            <w:vAlign w:val="center"/>
          </w:tcPr>
          <w:p w14:paraId="11DBB1BF" w14:textId="2EE7A7F8" w:rsidR="006F7DAF" w:rsidRPr="00610B1B" w:rsidRDefault="006F7DAF" w:rsidP="00D32D6A">
            <w:pPr>
              <w:spacing w:after="0" w:line="240" w:lineRule="auto"/>
              <w:jc w:val="right"/>
              <w:rPr>
                <w:rFonts w:ascii="Times New Roman" w:hAnsi="Times New Roman" w:cs="Times New Roman"/>
                <w:b/>
                <w:bCs/>
                <w:sz w:val="20"/>
                <w:szCs w:val="20"/>
                <w:lang w:val="bg-BG"/>
              </w:rPr>
            </w:pPr>
            <w:r w:rsidRPr="00610B1B">
              <w:rPr>
                <w:rFonts w:ascii="Times New Roman" w:hAnsi="Times New Roman" w:cs="Times New Roman"/>
                <w:b/>
                <w:bCs/>
                <w:color w:val="000000"/>
                <w:sz w:val="20"/>
                <w:szCs w:val="20"/>
                <w:lang w:val="bg-BG"/>
              </w:rPr>
              <w:t>1 426</w:t>
            </w:r>
          </w:p>
        </w:tc>
      </w:tr>
      <w:tr w:rsidR="006F7DAF" w:rsidRPr="00610B1B" w14:paraId="700B8E3B" w14:textId="77777777" w:rsidTr="00D05544">
        <w:trPr>
          <w:trHeight w:val="255"/>
        </w:trPr>
        <w:tc>
          <w:tcPr>
            <w:tcW w:w="1560" w:type="dxa"/>
            <w:shd w:val="clear" w:color="auto" w:fill="auto"/>
            <w:noWrap/>
            <w:vAlign w:val="center"/>
          </w:tcPr>
          <w:p w14:paraId="64986FA6" w14:textId="77777777"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Шабла</w:t>
            </w:r>
          </w:p>
        </w:tc>
        <w:tc>
          <w:tcPr>
            <w:tcW w:w="815" w:type="dxa"/>
            <w:shd w:val="clear" w:color="auto" w:fill="auto"/>
            <w:noWrap/>
            <w:vAlign w:val="center"/>
          </w:tcPr>
          <w:p w14:paraId="4700268B" w14:textId="59011AC4"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4 834</w:t>
            </w:r>
          </w:p>
        </w:tc>
        <w:tc>
          <w:tcPr>
            <w:tcW w:w="886" w:type="dxa"/>
            <w:shd w:val="clear" w:color="auto" w:fill="auto"/>
            <w:noWrap/>
            <w:vAlign w:val="center"/>
          </w:tcPr>
          <w:p w14:paraId="6BD38A45" w14:textId="58885889"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475</w:t>
            </w:r>
          </w:p>
        </w:tc>
        <w:tc>
          <w:tcPr>
            <w:tcW w:w="851" w:type="dxa"/>
            <w:shd w:val="clear" w:color="auto" w:fill="auto"/>
            <w:noWrap/>
            <w:vAlign w:val="center"/>
          </w:tcPr>
          <w:p w14:paraId="2D6C68DC" w14:textId="3E732A0F"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2 018</w:t>
            </w:r>
          </w:p>
        </w:tc>
        <w:tc>
          <w:tcPr>
            <w:tcW w:w="992" w:type="dxa"/>
            <w:shd w:val="clear" w:color="auto" w:fill="auto"/>
            <w:noWrap/>
            <w:vAlign w:val="center"/>
          </w:tcPr>
          <w:p w14:paraId="32FF9A10" w14:textId="131F5E65"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1 559</w:t>
            </w:r>
          </w:p>
        </w:tc>
        <w:tc>
          <w:tcPr>
            <w:tcW w:w="992" w:type="dxa"/>
            <w:shd w:val="clear" w:color="auto" w:fill="auto"/>
            <w:noWrap/>
            <w:vAlign w:val="center"/>
          </w:tcPr>
          <w:p w14:paraId="12C61EFF" w14:textId="65D7F9D3"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518</w:t>
            </w:r>
          </w:p>
        </w:tc>
        <w:tc>
          <w:tcPr>
            <w:tcW w:w="1418" w:type="dxa"/>
            <w:shd w:val="clear" w:color="auto" w:fill="auto"/>
            <w:noWrap/>
            <w:vAlign w:val="center"/>
          </w:tcPr>
          <w:p w14:paraId="559FE58A" w14:textId="4564C219"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207</w:t>
            </w:r>
          </w:p>
        </w:tc>
        <w:tc>
          <w:tcPr>
            <w:tcW w:w="1417" w:type="dxa"/>
            <w:shd w:val="clear" w:color="auto" w:fill="auto"/>
            <w:noWrap/>
            <w:vAlign w:val="center"/>
          </w:tcPr>
          <w:p w14:paraId="7235D538" w14:textId="06625F49"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53</w:t>
            </w:r>
          </w:p>
        </w:tc>
        <w:tc>
          <w:tcPr>
            <w:tcW w:w="1891" w:type="dxa"/>
            <w:shd w:val="clear" w:color="auto" w:fill="auto"/>
            <w:noWrap/>
            <w:vAlign w:val="center"/>
          </w:tcPr>
          <w:p w14:paraId="1641A960" w14:textId="7B04432A"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w:t>
            </w:r>
          </w:p>
        </w:tc>
      </w:tr>
      <w:tr w:rsidR="006F7DAF" w:rsidRPr="00610B1B" w14:paraId="3EDC2038" w14:textId="77777777" w:rsidTr="00D05544">
        <w:trPr>
          <w:trHeight w:val="255"/>
        </w:trPr>
        <w:tc>
          <w:tcPr>
            <w:tcW w:w="1560" w:type="dxa"/>
            <w:shd w:val="clear" w:color="auto" w:fill="auto"/>
            <w:noWrap/>
            <w:vAlign w:val="center"/>
          </w:tcPr>
          <w:p w14:paraId="065C5CC8" w14:textId="77777777"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Каварна</w:t>
            </w:r>
          </w:p>
        </w:tc>
        <w:tc>
          <w:tcPr>
            <w:tcW w:w="815" w:type="dxa"/>
            <w:shd w:val="clear" w:color="auto" w:fill="auto"/>
            <w:noWrap/>
            <w:vAlign w:val="center"/>
          </w:tcPr>
          <w:p w14:paraId="20601523" w14:textId="079694AB"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14 343</w:t>
            </w:r>
          </w:p>
        </w:tc>
        <w:tc>
          <w:tcPr>
            <w:tcW w:w="886" w:type="dxa"/>
            <w:shd w:val="clear" w:color="auto" w:fill="auto"/>
            <w:noWrap/>
            <w:vAlign w:val="center"/>
          </w:tcPr>
          <w:p w14:paraId="2117A733" w14:textId="36334AFF"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1 707</w:t>
            </w:r>
          </w:p>
        </w:tc>
        <w:tc>
          <w:tcPr>
            <w:tcW w:w="851" w:type="dxa"/>
            <w:shd w:val="clear" w:color="auto" w:fill="auto"/>
            <w:noWrap/>
            <w:vAlign w:val="center"/>
          </w:tcPr>
          <w:p w14:paraId="23760DF2" w14:textId="2EFF3184"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5 315</w:t>
            </w:r>
          </w:p>
        </w:tc>
        <w:tc>
          <w:tcPr>
            <w:tcW w:w="992" w:type="dxa"/>
            <w:shd w:val="clear" w:color="auto" w:fill="auto"/>
            <w:noWrap/>
            <w:vAlign w:val="center"/>
          </w:tcPr>
          <w:p w14:paraId="0301BC28" w14:textId="2951009C"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3 779</w:t>
            </w:r>
          </w:p>
        </w:tc>
        <w:tc>
          <w:tcPr>
            <w:tcW w:w="992" w:type="dxa"/>
            <w:shd w:val="clear" w:color="auto" w:fill="auto"/>
            <w:noWrap/>
            <w:vAlign w:val="center"/>
          </w:tcPr>
          <w:p w14:paraId="749C09B1" w14:textId="152E08E3"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2 212</w:t>
            </w:r>
          </w:p>
        </w:tc>
        <w:tc>
          <w:tcPr>
            <w:tcW w:w="1418" w:type="dxa"/>
            <w:shd w:val="clear" w:color="auto" w:fill="auto"/>
            <w:noWrap/>
            <w:vAlign w:val="center"/>
          </w:tcPr>
          <w:p w14:paraId="212CD03A" w14:textId="7F59F27A"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883</w:t>
            </w:r>
          </w:p>
        </w:tc>
        <w:tc>
          <w:tcPr>
            <w:tcW w:w="1417" w:type="dxa"/>
            <w:shd w:val="clear" w:color="auto" w:fill="auto"/>
            <w:noWrap/>
            <w:vAlign w:val="center"/>
          </w:tcPr>
          <w:p w14:paraId="4F3D1477" w14:textId="0EA202FB"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411</w:t>
            </w:r>
          </w:p>
        </w:tc>
        <w:tc>
          <w:tcPr>
            <w:tcW w:w="1891" w:type="dxa"/>
            <w:shd w:val="clear" w:color="auto" w:fill="auto"/>
            <w:noWrap/>
            <w:vAlign w:val="center"/>
          </w:tcPr>
          <w:p w14:paraId="7546F96F" w14:textId="0AF7E733"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36</w:t>
            </w:r>
          </w:p>
        </w:tc>
      </w:tr>
      <w:tr w:rsidR="006F7DAF" w:rsidRPr="00610B1B" w14:paraId="5DCCA149" w14:textId="77777777" w:rsidTr="00D05544">
        <w:trPr>
          <w:trHeight w:val="255"/>
        </w:trPr>
        <w:tc>
          <w:tcPr>
            <w:tcW w:w="1560" w:type="dxa"/>
            <w:shd w:val="clear" w:color="auto" w:fill="auto"/>
            <w:noWrap/>
            <w:vAlign w:val="center"/>
          </w:tcPr>
          <w:p w14:paraId="1DCCD8CA" w14:textId="77777777"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Балчик</w:t>
            </w:r>
          </w:p>
        </w:tc>
        <w:tc>
          <w:tcPr>
            <w:tcW w:w="815" w:type="dxa"/>
            <w:shd w:val="clear" w:color="auto" w:fill="auto"/>
            <w:noWrap/>
            <w:vAlign w:val="center"/>
          </w:tcPr>
          <w:p w14:paraId="56A58C0E" w14:textId="72400891"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18 894</w:t>
            </w:r>
          </w:p>
        </w:tc>
        <w:tc>
          <w:tcPr>
            <w:tcW w:w="886" w:type="dxa"/>
            <w:shd w:val="clear" w:color="auto" w:fill="auto"/>
            <w:noWrap/>
            <w:vAlign w:val="center"/>
          </w:tcPr>
          <w:p w14:paraId="27FAEAA6" w14:textId="0E62FCD6"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2 143</w:t>
            </w:r>
          </w:p>
        </w:tc>
        <w:tc>
          <w:tcPr>
            <w:tcW w:w="851" w:type="dxa"/>
            <w:shd w:val="clear" w:color="auto" w:fill="auto"/>
            <w:noWrap/>
            <w:vAlign w:val="center"/>
          </w:tcPr>
          <w:p w14:paraId="6008BBEB" w14:textId="04A53426"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7 057</w:t>
            </w:r>
          </w:p>
        </w:tc>
        <w:tc>
          <w:tcPr>
            <w:tcW w:w="992" w:type="dxa"/>
            <w:shd w:val="clear" w:color="auto" w:fill="auto"/>
            <w:noWrap/>
            <w:vAlign w:val="center"/>
          </w:tcPr>
          <w:p w14:paraId="4A1E0980" w14:textId="12C49904"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5 502</w:t>
            </w:r>
          </w:p>
        </w:tc>
        <w:tc>
          <w:tcPr>
            <w:tcW w:w="992" w:type="dxa"/>
            <w:shd w:val="clear" w:color="auto" w:fill="auto"/>
            <w:noWrap/>
            <w:vAlign w:val="center"/>
          </w:tcPr>
          <w:p w14:paraId="7D5F5940" w14:textId="710E5416"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2 586</w:t>
            </w:r>
          </w:p>
        </w:tc>
        <w:tc>
          <w:tcPr>
            <w:tcW w:w="1418" w:type="dxa"/>
            <w:shd w:val="clear" w:color="auto" w:fill="auto"/>
            <w:noWrap/>
            <w:vAlign w:val="center"/>
          </w:tcPr>
          <w:p w14:paraId="4DEFDFB7" w14:textId="5E63CD28"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1 145</w:t>
            </w:r>
          </w:p>
        </w:tc>
        <w:tc>
          <w:tcPr>
            <w:tcW w:w="1417" w:type="dxa"/>
            <w:shd w:val="clear" w:color="auto" w:fill="auto"/>
            <w:noWrap/>
            <w:vAlign w:val="center"/>
          </w:tcPr>
          <w:p w14:paraId="066645E0" w14:textId="7B0617B0"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416</w:t>
            </w:r>
          </w:p>
        </w:tc>
        <w:tc>
          <w:tcPr>
            <w:tcW w:w="1891" w:type="dxa"/>
            <w:shd w:val="clear" w:color="auto" w:fill="auto"/>
            <w:noWrap/>
            <w:vAlign w:val="center"/>
          </w:tcPr>
          <w:p w14:paraId="1C93666A" w14:textId="10E47FEF"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45</w:t>
            </w:r>
          </w:p>
        </w:tc>
      </w:tr>
      <w:tr w:rsidR="006F7DAF" w:rsidRPr="00610B1B" w14:paraId="13A51CD9" w14:textId="77777777" w:rsidTr="00D05544">
        <w:trPr>
          <w:trHeight w:val="255"/>
        </w:trPr>
        <w:tc>
          <w:tcPr>
            <w:tcW w:w="1560" w:type="dxa"/>
            <w:shd w:val="clear" w:color="auto" w:fill="auto"/>
            <w:noWrap/>
            <w:vAlign w:val="center"/>
          </w:tcPr>
          <w:p w14:paraId="0E5450E1" w14:textId="77777777"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Аксаково</w:t>
            </w:r>
          </w:p>
        </w:tc>
        <w:tc>
          <w:tcPr>
            <w:tcW w:w="815" w:type="dxa"/>
            <w:shd w:val="clear" w:color="auto" w:fill="auto"/>
            <w:noWrap/>
            <w:vAlign w:val="center"/>
          </w:tcPr>
          <w:p w14:paraId="53AF75AB" w14:textId="665E1C6D"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18 814</w:t>
            </w:r>
          </w:p>
        </w:tc>
        <w:tc>
          <w:tcPr>
            <w:tcW w:w="886" w:type="dxa"/>
            <w:shd w:val="clear" w:color="auto" w:fill="auto"/>
            <w:noWrap/>
            <w:vAlign w:val="center"/>
          </w:tcPr>
          <w:p w14:paraId="0D42083A" w14:textId="0B246820"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1 864</w:t>
            </w:r>
          </w:p>
        </w:tc>
        <w:tc>
          <w:tcPr>
            <w:tcW w:w="851" w:type="dxa"/>
            <w:shd w:val="clear" w:color="auto" w:fill="auto"/>
            <w:noWrap/>
            <w:vAlign w:val="center"/>
          </w:tcPr>
          <w:p w14:paraId="39424A26" w14:textId="43D408E6"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7 266</w:t>
            </w:r>
          </w:p>
        </w:tc>
        <w:tc>
          <w:tcPr>
            <w:tcW w:w="992" w:type="dxa"/>
            <w:shd w:val="clear" w:color="auto" w:fill="auto"/>
            <w:noWrap/>
            <w:vAlign w:val="center"/>
          </w:tcPr>
          <w:p w14:paraId="3F236CAC" w14:textId="44F106A6"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6 365</w:t>
            </w:r>
          </w:p>
        </w:tc>
        <w:tc>
          <w:tcPr>
            <w:tcW w:w="992" w:type="dxa"/>
            <w:shd w:val="clear" w:color="auto" w:fill="auto"/>
            <w:noWrap/>
            <w:vAlign w:val="center"/>
          </w:tcPr>
          <w:p w14:paraId="4D0CC64B" w14:textId="1C84D6D5"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1 827</w:t>
            </w:r>
          </w:p>
        </w:tc>
        <w:tc>
          <w:tcPr>
            <w:tcW w:w="1418" w:type="dxa"/>
            <w:shd w:val="clear" w:color="auto" w:fill="auto"/>
            <w:noWrap/>
            <w:vAlign w:val="center"/>
          </w:tcPr>
          <w:p w14:paraId="7E2013D8" w14:textId="3E31A06A"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1 189</w:t>
            </w:r>
          </w:p>
        </w:tc>
        <w:tc>
          <w:tcPr>
            <w:tcW w:w="1417" w:type="dxa"/>
            <w:shd w:val="clear" w:color="auto" w:fill="auto"/>
            <w:noWrap/>
            <w:vAlign w:val="center"/>
          </w:tcPr>
          <w:p w14:paraId="2FA63530" w14:textId="111E8D48"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252</w:t>
            </w:r>
          </w:p>
        </w:tc>
        <w:tc>
          <w:tcPr>
            <w:tcW w:w="1891" w:type="dxa"/>
            <w:shd w:val="clear" w:color="auto" w:fill="auto"/>
            <w:noWrap/>
            <w:vAlign w:val="center"/>
          </w:tcPr>
          <w:p w14:paraId="165345B0" w14:textId="23A15BE2"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51</w:t>
            </w:r>
          </w:p>
        </w:tc>
      </w:tr>
      <w:tr w:rsidR="006F7DAF" w:rsidRPr="00610B1B" w14:paraId="3202E0EA" w14:textId="77777777" w:rsidTr="00D05544">
        <w:trPr>
          <w:trHeight w:val="255"/>
        </w:trPr>
        <w:tc>
          <w:tcPr>
            <w:tcW w:w="1560" w:type="dxa"/>
            <w:shd w:val="clear" w:color="auto" w:fill="auto"/>
            <w:noWrap/>
            <w:vAlign w:val="center"/>
          </w:tcPr>
          <w:p w14:paraId="4050753E" w14:textId="77777777"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Варна</w:t>
            </w:r>
          </w:p>
        </w:tc>
        <w:tc>
          <w:tcPr>
            <w:tcW w:w="815" w:type="dxa"/>
            <w:shd w:val="clear" w:color="auto" w:fill="auto"/>
            <w:noWrap/>
            <w:vAlign w:val="center"/>
          </w:tcPr>
          <w:p w14:paraId="69AE9F24" w14:textId="6863E688"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319 276</w:t>
            </w:r>
          </w:p>
        </w:tc>
        <w:tc>
          <w:tcPr>
            <w:tcW w:w="886" w:type="dxa"/>
            <w:shd w:val="clear" w:color="auto" w:fill="auto"/>
            <w:noWrap/>
            <w:vAlign w:val="center"/>
          </w:tcPr>
          <w:p w14:paraId="6B1C1D30" w14:textId="3A4FE618"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96 060</w:t>
            </w:r>
          </w:p>
        </w:tc>
        <w:tc>
          <w:tcPr>
            <w:tcW w:w="851" w:type="dxa"/>
            <w:shd w:val="clear" w:color="auto" w:fill="auto"/>
            <w:noWrap/>
            <w:vAlign w:val="center"/>
          </w:tcPr>
          <w:p w14:paraId="3098B6F8" w14:textId="413DB7DD"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147 699</w:t>
            </w:r>
          </w:p>
        </w:tc>
        <w:tc>
          <w:tcPr>
            <w:tcW w:w="992" w:type="dxa"/>
            <w:shd w:val="clear" w:color="auto" w:fill="auto"/>
            <w:noWrap/>
            <w:vAlign w:val="center"/>
          </w:tcPr>
          <w:p w14:paraId="6DB01DBC" w14:textId="1D83C290"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46 575</w:t>
            </w:r>
          </w:p>
        </w:tc>
        <w:tc>
          <w:tcPr>
            <w:tcW w:w="992" w:type="dxa"/>
            <w:shd w:val="clear" w:color="auto" w:fill="auto"/>
            <w:noWrap/>
            <w:vAlign w:val="center"/>
          </w:tcPr>
          <w:p w14:paraId="1871A6BE" w14:textId="3E8E2BC7"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13 343</w:t>
            </w:r>
          </w:p>
        </w:tc>
        <w:tc>
          <w:tcPr>
            <w:tcW w:w="1418" w:type="dxa"/>
            <w:shd w:val="clear" w:color="auto" w:fill="auto"/>
            <w:noWrap/>
            <w:vAlign w:val="center"/>
          </w:tcPr>
          <w:p w14:paraId="5B167ACC" w14:textId="781FE185"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13 211</w:t>
            </w:r>
          </w:p>
        </w:tc>
        <w:tc>
          <w:tcPr>
            <w:tcW w:w="1417" w:type="dxa"/>
            <w:shd w:val="clear" w:color="auto" w:fill="auto"/>
            <w:noWrap/>
            <w:vAlign w:val="center"/>
          </w:tcPr>
          <w:p w14:paraId="0871D1A9" w14:textId="112B6F1A"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1 830</w:t>
            </w:r>
          </w:p>
        </w:tc>
        <w:tc>
          <w:tcPr>
            <w:tcW w:w="1891" w:type="dxa"/>
            <w:shd w:val="clear" w:color="auto" w:fill="auto"/>
            <w:noWrap/>
            <w:vAlign w:val="center"/>
          </w:tcPr>
          <w:p w14:paraId="1184E2F1" w14:textId="46A8EDD1"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558</w:t>
            </w:r>
          </w:p>
        </w:tc>
      </w:tr>
      <w:tr w:rsidR="006F7DAF" w:rsidRPr="00610B1B" w14:paraId="060165E2" w14:textId="77777777" w:rsidTr="00D05544">
        <w:trPr>
          <w:trHeight w:val="255"/>
        </w:trPr>
        <w:tc>
          <w:tcPr>
            <w:tcW w:w="1560" w:type="dxa"/>
            <w:shd w:val="clear" w:color="auto" w:fill="auto"/>
            <w:noWrap/>
            <w:vAlign w:val="center"/>
          </w:tcPr>
          <w:p w14:paraId="337B2EAD" w14:textId="77777777"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Аврен</w:t>
            </w:r>
          </w:p>
        </w:tc>
        <w:tc>
          <w:tcPr>
            <w:tcW w:w="815" w:type="dxa"/>
            <w:shd w:val="clear" w:color="auto" w:fill="auto"/>
            <w:noWrap/>
            <w:vAlign w:val="center"/>
          </w:tcPr>
          <w:p w14:paraId="17BA6922" w14:textId="0CBA2A4F"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7 851</w:t>
            </w:r>
          </w:p>
        </w:tc>
        <w:tc>
          <w:tcPr>
            <w:tcW w:w="886" w:type="dxa"/>
            <w:shd w:val="clear" w:color="auto" w:fill="auto"/>
            <w:noWrap/>
            <w:vAlign w:val="center"/>
          </w:tcPr>
          <w:p w14:paraId="655FFF5D" w14:textId="5F868AE9"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624</w:t>
            </w:r>
          </w:p>
        </w:tc>
        <w:tc>
          <w:tcPr>
            <w:tcW w:w="851" w:type="dxa"/>
            <w:shd w:val="clear" w:color="auto" w:fill="auto"/>
            <w:noWrap/>
            <w:vAlign w:val="center"/>
          </w:tcPr>
          <w:p w14:paraId="2ED46D9A" w14:textId="5FE49463"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2 480</w:t>
            </w:r>
          </w:p>
        </w:tc>
        <w:tc>
          <w:tcPr>
            <w:tcW w:w="992" w:type="dxa"/>
            <w:shd w:val="clear" w:color="auto" w:fill="auto"/>
            <w:noWrap/>
            <w:vAlign w:val="center"/>
          </w:tcPr>
          <w:p w14:paraId="267D661E" w14:textId="08B3EEB8"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2 791</w:t>
            </w:r>
          </w:p>
        </w:tc>
        <w:tc>
          <w:tcPr>
            <w:tcW w:w="992" w:type="dxa"/>
            <w:shd w:val="clear" w:color="auto" w:fill="auto"/>
            <w:noWrap/>
            <w:vAlign w:val="center"/>
          </w:tcPr>
          <w:p w14:paraId="33C35714" w14:textId="2F48BC6A"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1 242</w:t>
            </w:r>
          </w:p>
        </w:tc>
        <w:tc>
          <w:tcPr>
            <w:tcW w:w="1418" w:type="dxa"/>
            <w:shd w:val="clear" w:color="auto" w:fill="auto"/>
            <w:noWrap/>
            <w:vAlign w:val="center"/>
          </w:tcPr>
          <w:p w14:paraId="67F06D5C" w14:textId="4BD9385A"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501</w:t>
            </w:r>
          </w:p>
        </w:tc>
        <w:tc>
          <w:tcPr>
            <w:tcW w:w="1417" w:type="dxa"/>
            <w:shd w:val="clear" w:color="auto" w:fill="auto"/>
            <w:noWrap/>
            <w:vAlign w:val="center"/>
          </w:tcPr>
          <w:p w14:paraId="0DA04D20" w14:textId="13412E14"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205</w:t>
            </w:r>
          </w:p>
        </w:tc>
        <w:tc>
          <w:tcPr>
            <w:tcW w:w="1891" w:type="dxa"/>
            <w:shd w:val="clear" w:color="auto" w:fill="auto"/>
            <w:noWrap/>
            <w:vAlign w:val="center"/>
          </w:tcPr>
          <w:p w14:paraId="59BB6AEA" w14:textId="54FE8097"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8</w:t>
            </w:r>
          </w:p>
        </w:tc>
      </w:tr>
      <w:tr w:rsidR="006F7DAF" w:rsidRPr="00610B1B" w14:paraId="2AD0556D" w14:textId="77777777" w:rsidTr="00D05544">
        <w:trPr>
          <w:trHeight w:val="255"/>
        </w:trPr>
        <w:tc>
          <w:tcPr>
            <w:tcW w:w="1560" w:type="dxa"/>
            <w:shd w:val="clear" w:color="auto" w:fill="auto"/>
            <w:noWrap/>
            <w:vAlign w:val="center"/>
          </w:tcPr>
          <w:p w14:paraId="7EAE3E87" w14:textId="07B1E288"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Д. чифлик</w:t>
            </w:r>
          </w:p>
        </w:tc>
        <w:tc>
          <w:tcPr>
            <w:tcW w:w="815" w:type="dxa"/>
            <w:shd w:val="clear" w:color="auto" w:fill="auto"/>
            <w:noWrap/>
            <w:vAlign w:val="center"/>
          </w:tcPr>
          <w:p w14:paraId="7DA1C06B" w14:textId="5B2E93B2"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17 573</w:t>
            </w:r>
          </w:p>
        </w:tc>
        <w:tc>
          <w:tcPr>
            <w:tcW w:w="886" w:type="dxa"/>
            <w:shd w:val="clear" w:color="auto" w:fill="auto"/>
            <w:noWrap/>
            <w:vAlign w:val="center"/>
          </w:tcPr>
          <w:p w14:paraId="415FC0FB" w14:textId="01F60BCF"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857</w:t>
            </w:r>
          </w:p>
        </w:tc>
        <w:tc>
          <w:tcPr>
            <w:tcW w:w="851" w:type="dxa"/>
            <w:shd w:val="clear" w:color="auto" w:fill="auto"/>
            <w:noWrap/>
            <w:vAlign w:val="center"/>
          </w:tcPr>
          <w:p w14:paraId="117B3D9F" w14:textId="5CC2F83A"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4 973</w:t>
            </w:r>
          </w:p>
        </w:tc>
        <w:tc>
          <w:tcPr>
            <w:tcW w:w="992" w:type="dxa"/>
            <w:shd w:val="clear" w:color="auto" w:fill="auto"/>
            <w:noWrap/>
            <w:vAlign w:val="center"/>
          </w:tcPr>
          <w:p w14:paraId="3FF7A779" w14:textId="759F944D"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6 378</w:t>
            </w:r>
          </w:p>
        </w:tc>
        <w:tc>
          <w:tcPr>
            <w:tcW w:w="992" w:type="dxa"/>
            <w:shd w:val="clear" w:color="auto" w:fill="auto"/>
            <w:noWrap/>
            <w:vAlign w:val="center"/>
          </w:tcPr>
          <w:p w14:paraId="1AE094F7" w14:textId="2C84D77B"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3 212</w:t>
            </w:r>
          </w:p>
        </w:tc>
        <w:tc>
          <w:tcPr>
            <w:tcW w:w="1418" w:type="dxa"/>
            <w:shd w:val="clear" w:color="auto" w:fill="auto"/>
            <w:noWrap/>
            <w:vAlign w:val="center"/>
          </w:tcPr>
          <w:p w14:paraId="34BF9090" w14:textId="07479F1C"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1 438</w:t>
            </w:r>
          </w:p>
        </w:tc>
        <w:tc>
          <w:tcPr>
            <w:tcW w:w="1417" w:type="dxa"/>
            <w:shd w:val="clear" w:color="auto" w:fill="auto"/>
            <w:noWrap/>
            <w:vAlign w:val="center"/>
          </w:tcPr>
          <w:p w14:paraId="3419AD12" w14:textId="2B0DF82B"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643</w:t>
            </w:r>
          </w:p>
        </w:tc>
        <w:tc>
          <w:tcPr>
            <w:tcW w:w="1891" w:type="dxa"/>
            <w:shd w:val="clear" w:color="auto" w:fill="auto"/>
            <w:noWrap/>
            <w:vAlign w:val="center"/>
          </w:tcPr>
          <w:p w14:paraId="58114D53" w14:textId="715B99AE"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72</w:t>
            </w:r>
          </w:p>
        </w:tc>
      </w:tr>
      <w:tr w:rsidR="006F7DAF" w:rsidRPr="00610B1B" w14:paraId="1FD04666" w14:textId="77777777" w:rsidTr="00D05544">
        <w:trPr>
          <w:trHeight w:val="255"/>
        </w:trPr>
        <w:tc>
          <w:tcPr>
            <w:tcW w:w="1560" w:type="dxa"/>
            <w:shd w:val="clear" w:color="auto" w:fill="auto"/>
            <w:noWrap/>
            <w:vAlign w:val="center"/>
          </w:tcPr>
          <w:p w14:paraId="1569FC22" w14:textId="77777777"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Бяла</w:t>
            </w:r>
          </w:p>
        </w:tc>
        <w:tc>
          <w:tcPr>
            <w:tcW w:w="815" w:type="dxa"/>
            <w:shd w:val="clear" w:color="auto" w:fill="auto"/>
            <w:noWrap/>
            <w:vAlign w:val="center"/>
          </w:tcPr>
          <w:p w14:paraId="1DFA6D69" w14:textId="0940A774"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3 006</w:t>
            </w:r>
          </w:p>
        </w:tc>
        <w:tc>
          <w:tcPr>
            <w:tcW w:w="886" w:type="dxa"/>
            <w:shd w:val="clear" w:color="auto" w:fill="auto"/>
            <w:noWrap/>
            <w:vAlign w:val="center"/>
          </w:tcPr>
          <w:p w14:paraId="2B440C71" w14:textId="04861BD7"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235</w:t>
            </w:r>
          </w:p>
        </w:tc>
        <w:tc>
          <w:tcPr>
            <w:tcW w:w="851" w:type="dxa"/>
            <w:shd w:val="clear" w:color="auto" w:fill="auto"/>
            <w:noWrap/>
            <w:vAlign w:val="center"/>
          </w:tcPr>
          <w:p w14:paraId="6C9E26D6" w14:textId="5B4E43C1"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1 120</w:t>
            </w:r>
          </w:p>
        </w:tc>
        <w:tc>
          <w:tcPr>
            <w:tcW w:w="992" w:type="dxa"/>
            <w:shd w:val="clear" w:color="auto" w:fill="auto"/>
            <w:noWrap/>
            <w:vAlign w:val="center"/>
          </w:tcPr>
          <w:p w14:paraId="0A44CD24" w14:textId="2376D7F1"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843</w:t>
            </w:r>
          </w:p>
        </w:tc>
        <w:tc>
          <w:tcPr>
            <w:tcW w:w="992" w:type="dxa"/>
            <w:shd w:val="clear" w:color="auto" w:fill="auto"/>
            <w:noWrap/>
            <w:vAlign w:val="center"/>
          </w:tcPr>
          <w:p w14:paraId="0C7E990D" w14:textId="3B2C9F72"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465</w:t>
            </w:r>
          </w:p>
        </w:tc>
        <w:tc>
          <w:tcPr>
            <w:tcW w:w="1418" w:type="dxa"/>
            <w:shd w:val="clear" w:color="auto" w:fill="auto"/>
            <w:noWrap/>
            <w:vAlign w:val="center"/>
          </w:tcPr>
          <w:p w14:paraId="6FC23953" w14:textId="6D6F29B5"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279</w:t>
            </w:r>
          </w:p>
        </w:tc>
        <w:tc>
          <w:tcPr>
            <w:tcW w:w="1417" w:type="dxa"/>
            <w:shd w:val="clear" w:color="auto" w:fill="auto"/>
            <w:noWrap/>
            <w:vAlign w:val="center"/>
          </w:tcPr>
          <w:p w14:paraId="091E0870" w14:textId="7FCBB544"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60</w:t>
            </w:r>
          </w:p>
        </w:tc>
        <w:tc>
          <w:tcPr>
            <w:tcW w:w="1891" w:type="dxa"/>
            <w:shd w:val="clear" w:color="auto" w:fill="auto"/>
            <w:noWrap/>
            <w:vAlign w:val="center"/>
          </w:tcPr>
          <w:p w14:paraId="603657B9" w14:textId="285159FF"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w:t>
            </w:r>
          </w:p>
        </w:tc>
      </w:tr>
      <w:tr w:rsidR="006F7DAF" w:rsidRPr="00610B1B" w14:paraId="3AA9F0FA" w14:textId="77777777" w:rsidTr="00D05544">
        <w:trPr>
          <w:trHeight w:val="255"/>
        </w:trPr>
        <w:tc>
          <w:tcPr>
            <w:tcW w:w="1560" w:type="dxa"/>
            <w:shd w:val="clear" w:color="auto" w:fill="auto"/>
            <w:noWrap/>
            <w:vAlign w:val="center"/>
          </w:tcPr>
          <w:p w14:paraId="14298A01" w14:textId="77777777"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Несебър</w:t>
            </w:r>
          </w:p>
        </w:tc>
        <w:tc>
          <w:tcPr>
            <w:tcW w:w="815" w:type="dxa"/>
            <w:shd w:val="clear" w:color="auto" w:fill="auto"/>
            <w:noWrap/>
            <w:vAlign w:val="center"/>
          </w:tcPr>
          <w:p w14:paraId="189FFEC4" w14:textId="2AF99506"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20 577</w:t>
            </w:r>
          </w:p>
        </w:tc>
        <w:tc>
          <w:tcPr>
            <w:tcW w:w="886" w:type="dxa"/>
            <w:shd w:val="clear" w:color="auto" w:fill="auto"/>
            <w:noWrap/>
            <w:vAlign w:val="center"/>
          </w:tcPr>
          <w:p w14:paraId="4CFD53BC" w14:textId="24F0B516"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3 162</w:t>
            </w:r>
          </w:p>
        </w:tc>
        <w:tc>
          <w:tcPr>
            <w:tcW w:w="851" w:type="dxa"/>
            <w:shd w:val="clear" w:color="auto" w:fill="auto"/>
            <w:noWrap/>
            <w:vAlign w:val="center"/>
          </w:tcPr>
          <w:p w14:paraId="2D82256B" w14:textId="14168E5C"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9 871</w:t>
            </w:r>
          </w:p>
        </w:tc>
        <w:tc>
          <w:tcPr>
            <w:tcW w:w="992" w:type="dxa"/>
            <w:shd w:val="clear" w:color="auto" w:fill="auto"/>
            <w:noWrap/>
            <w:vAlign w:val="center"/>
          </w:tcPr>
          <w:p w14:paraId="74E256B4" w14:textId="42909E68"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4 766</w:t>
            </w:r>
          </w:p>
        </w:tc>
        <w:tc>
          <w:tcPr>
            <w:tcW w:w="992" w:type="dxa"/>
            <w:shd w:val="clear" w:color="auto" w:fill="auto"/>
            <w:noWrap/>
            <w:vAlign w:val="center"/>
          </w:tcPr>
          <w:p w14:paraId="2A25399E" w14:textId="1561BABE"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1 619</w:t>
            </w:r>
          </w:p>
        </w:tc>
        <w:tc>
          <w:tcPr>
            <w:tcW w:w="1418" w:type="dxa"/>
            <w:shd w:val="clear" w:color="auto" w:fill="auto"/>
            <w:noWrap/>
            <w:vAlign w:val="center"/>
          </w:tcPr>
          <w:p w14:paraId="7120308C" w14:textId="4AD26FDF"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947</w:t>
            </w:r>
          </w:p>
        </w:tc>
        <w:tc>
          <w:tcPr>
            <w:tcW w:w="1417" w:type="dxa"/>
            <w:shd w:val="clear" w:color="auto" w:fill="auto"/>
            <w:noWrap/>
            <w:vAlign w:val="center"/>
          </w:tcPr>
          <w:p w14:paraId="7AF35601" w14:textId="458274E5"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152</w:t>
            </w:r>
          </w:p>
        </w:tc>
        <w:tc>
          <w:tcPr>
            <w:tcW w:w="1891" w:type="dxa"/>
            <w:shd w:val="clear" w:color="auto" w:fill="auto"/>
            <w:noWrap/>
            <w:vAlign w:val="center"/>
          </w:tcPr>
          <w:p w14:paraId="64375AF9" w14:textId="67DDB785"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60</w:t>
            </w:r>
          </w:p>
        </w:tc>
      </w:tr>
      <w:tr w:rsidR="006F7DAF" w:rsidRPr="00610B1B" w14:paraId="41B62AB6" w14:textId="77777777" w:rsidTr="00D05544">
        <w:trPr>
          <w:trHeight w:val="255"/>
        </w:trPr>
        <w:tc>
          <w:tcPr>
            <w:tcW w:w="1560" w:type="dxa"/>
            <w:shd w:val="clear" w:color="auto" w:fill="auto"/>
            <w:noWrap/>
            <w:vAlign w:val="center"/>
          </w:tcPr>
          <w:p w14:paraId="248E7D97" w14:textId="77777777"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Поморие</w:t>
            </w:r>
          </w:p>
        </w:tc>
        <w:tc>
          <w:tcPr>
            <w:tcW w:w="815" w:type="dxa"/>
            <w:shd w:val="clear" w:color="auto" w:fill="auto"/>
            <w:noWrap/>
            <w:vAlign w:val="center"/>
          </w:tcPr>
          <w:p w14:paraId="0974CA5F" w14:textId="1CDAA4AD"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25 549</w:t>
            </w:r>
          </w:p>
        </w:tc>
        <w:tc>
          <w:tcPr>
            <w:tcW w:w="886" w:type="dxa"/>
            <w:shd w:val="clear" w:color="auto" w:fill="auto"/>
            <w:noWrap/>
            <w:vAlign w:val="center"/>
          </w:tcPr>
          <w:p w14:paraId="6084610C" w14:textId="24637186"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2 917</w:t>
            </w:r>
          </w:p>
        </w:tc>
        <w:tc>
          <w:tcPr>
            <w:tcW w:w="851" w:type="dxa"/>
            <w:shd w:val="clear" w:color="auto" w:fill="auto"/>
            <w:noWrap/>
            <w:vAlign w:val="center"/>
          </w:tcPr>
          <w:p w14:paraId="518BEE96" w14:textId="1FE1490F"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9 943</w:t>
            </w:r>
          </w:p>
        </w:tc>
        <w:tc>
          <w:tcPr>
            <w:tcW w:w="992" w:type="dxa"/>
            <w:shd w:val="clear" w:color="auto" w:fill="auto"/>
            <w:noWrap/>
            <w:vAlign w:val="center"/>
          </w:tcPr>
          <w:p w14:paraId="004CD98C" w14:textId="7A966227"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7 805</w:t>
            </w:r>
          </w:p>
        </w:tc>
        <w:tc>
          <w:tcPr>
            <w:tcW w:w="992" w:type="dxa"/>
            <w:shd w:val="clear" w:color="auto" w:fill="auto"/>
            <w:noWrap/>
            <w:vAlign w:val="center"/>
          </w:tcPr>
          <w:p w14:paraId="1F42764D" w14:textId="2093224B"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2 713</w:t>
            </w:r>
          </w:p>
        </w:tc>
        <w:tc>
          <w:tcPr>
            <w:tcW w:w="1418" w:type="dxa"/>
            <w:shd w:val="clear" w:color="auto" w:fill="auto"/>
            <w:noWrap/>
            <w:vAlign w:val="center"/>
          </w:tcPr>
          <w:p w14:paraId="53C1226B" w14:textId="15B2437F"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1 725</w:t>
            </w:r>
          </w:p>
        </w:tc>
        <w:tc>
          <w:tcPr>
            <w:tcW w:w="1417" w:type="dxa"/>
            <w:shd w:val="clear" w:color="auto" w:fill="auto"/>
            <w:noWrap/>
            <w:vAlign w:val="center"/>
          </w:tcPr>
          <w:p w14:paraId="33523ECF" w14:textId="50617A19"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362</w:t>
            </w:r>
          </w:p>
        </w:tc>
        <w:tc>
          <w:tcPr>
            <w:tcW w:w="1891" w:type="dxa"/>
            <w:shd w:val="clear" w:color="auto" w:fill="auto"/>
            <w:noWrap/>
            <w:vAlign w:val="center"/>
          </w:tcPr>
          <w:p w14:paraId="7540602A" w14:textId="01DDA057"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84</w:t>
            </w:r>
          </w:p>
        </w:tc>
      </w:tr>
      <w:tr w:rsidR="006F7DAF" w:rsidRPr="00610B1B" w14:paraId="7F8672A5" w14:textId="77777777" w:rsidTr="00D05544">
        <w:trPr>
          <w:trHeight w:val="255"/>
        </w:trPr>
        <w:tc>
          <w:tcPr>
            <w:tcW w:w="1560" w:type="dxa"/>
            <w:shd w:val="clear" w:color="auto" w:fill="auto"/>
            <w:noWrap/>
            <w:vAlign w:val="center"/>
          </w:tcPr>
          <w:p w14:paraId="049160E9" w14:textId="77777777"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Бургас</w:t>
            </w:r>
          </w:p>
        </w:tc>
        <w:tc>
          <w:tcPr>
            <w:tcW w:w="815" w:type="dxa"/>
            <w:shd w:val="clear" w:color="auto" w:fill="auto"/>
            <w:noWrap/>
            <w:vAlign w:val="center"/>
          </w:tcPr>
          <w:p w14:paraId="583F877C" w14:textId="3A808CFA"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198 064</w:t>
            </w:r>
          </w:p>
        </w:tc>
        <w:tc>
          <w:tcPr>
            <w:tcW w:w="886" w:type="dxa"/>
            <w:shd w:val="clear" w:color="auto" w:fill="auto"/>
            <w:noWrap/>
            <w:vAlign w:val="center"/>
          </w:tcPr>
          <w:p w14:paraId="183D8CC5" w14:textId="3F40B970"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49 777</w:t>
            </w:r>
          </w:p>
        </w:tc>
        <w:tc>
          <w:tcPr>
            <w:tcW w:w="851" w:type="dxa"/>
            <w:shd w:val="clear" w:color="auto" w:fill="auto"/>
            <w:noWrap/>
            <w:vAlign w:val="center"/>
          </w:tcPr>
          <w:p w14:paraId="0C4E2A8D" w14:textId="52577EBC"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94 142</w:t>
            </w:r>
          </w:p>
        </w:tc>
        <w:tc>
          <w:tcPr>
            <w:tcW w:w="992" w:type="dxa"/>
            <w:shd w:val="clear" w:color="auto" w:fill="auto"/>
            <w:noWrap/>
            <w:vAlign w:val="center"/>
          </w:tcPr>
          <w:p w14:paraId="2DC3138E" w14:textId="51362525"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33 977</w:t>
            </w:r>
          </w:p>
        </w:tc>
        <w:tc>
          <w:tcPr>
            <w:tcW w:w="992" w:type="dxa"/>
            <w:shd w:val="clear" w:color="auto" w:fill="auto"/>
            <w:noWrap/>
            <w:vAlign w:val="center"/>
          </w:tcPr>
          <w:p w14:paraId="2FD1E822" w14:textId="0370271B"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9 693</w:t>
            </w:r>
          </w:p>
        </w:tc>
        <w:tc>
          <w:tcPr>
            <w:tcW w:w="1418" w:type="dxa"/>
            <w:shd w:val="clear" w:color="auto" w:fill="auto"/>
            <w:noWrap/>
            <w:vAlign w:val="center"/>
          </w:tcPr>
          <w:p w14:paraId="22C32703" w14:textId="07019171"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8 478</w:t>
            </w:r>
          </w:p>
        </w:tc>
        <w:tc>
          <w:tcPr>
            <w:tcW w:w="1417" w:type="dxa"/>
            <w:shd w:val="clear" w:color="auto" w:fill="auto"/>
            <w:noWrap/>
            <w:vAlign w:val="center"/>
          </w:tcPr>
          <w:p w14:paraId="33BC5C95" w14:textId="34974FEE"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1 564</w:t>
            </w:r>
          </w:p>
        </w:tc>
        <w:tc>
          <w:tcPr>
            <w:tcW w:w="1891" w:type="dxa"/>
            <w:shd w:val="clear" w:color="auto" w:fill="auto"/>
            <w:noWrap/>
            <w:vAlign w:val="center"/>
          </w:tcPr>
          <w:p w14:paraId="5C388656" w14:textId="1EBE4A2D"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433</w:t>
            </w:r>
          </w:p>
        </w:tc>
      </w:tr>
      <w:tr w:rsidR="006F7DAF" w:rsidRPr="00610B1B" w14:paraId="3C236525" w14:textId="77777777" w:rsidTr="00D05544">
        <w:trPr>
          <w:trHeight w:val="255"/>
        </w:trPr>
        <w:tc>
          <w:tcPr>
            <w:tcW w:w="1560" w:type="dxa"/>
            <w:shd w:val="clear" w:color="auto" w:fill="auto"/>
            <w:noWrap/>
            <w:vAlign w:val="center"/>
          </w:tcPr>
          <w:p w14:paraId="63E9293D" w14:textId="77777777"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Созопол</w:t>
            </w:r>
          </w:p>
        </w:tc>
        <w:tc>
          <w:tcPr>
            <w:tcW w:w="815" w:type="dxa"/>
            <w:shd w:val="clear" w:color="auto" w:fill="auto"/>
            <w:noWrap/>
            <w:vAlign w:val="center"/>
          </w:tcPr>
          <w:p w14:paraId="02DFE866" w14:textId="2B40297D"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11 731</w:t>
            </w:r>
          </w:p>
        </w:tc>
        <w:tc>
          <w:tcPr>
            <w:tcW w:w="886" w:type="dxa"/>
            <w:shd w:val="clear" w:color="auto" w:fill="auto"/>
            <w:noWrap/>
            <w:vAlign w:val="center"/>
          </w:tcPr>
          <w:p w14:paraId="62E33F5C" w14:textId="0D6A3C6C"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1 385</w:t>
            </w:r>
          </w:p>
        </w:tc>
        <w:tc>
          <w:tcPr>
            <w:tcW w:w="851" w:type="dxa"/>
            <w:shd w:val="clear" w:color="auto" w:fill="auto"/>
            <w:noWrap/>
            <w:vAlign w:val="center"/>
          </w:tcPr>
          <w:p w14:paraId="43029001" w14:textId="77D07A55"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4 555</w:t>
            </w:r>
          </w:p>
        </w:tc>
        <w:tc>
          <w:tcPr>
            <w:tcW w:w="992" w:type="dxa"/>
            <w:shd w:val="clear" w:color="auto" w:fill="auto"/>
            <w:noWrap/>
            <w:vAlign w:val="center"/>
          </w:tcPr>
          <w:p w14:paraId="545B5034" w14:textId="44D2717D"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3 887</w:t>
            </w:r>
          </w:p>
        </w:tc>
        <w:tc>
          <w:tcPr>
            <w:tcW w:w="992" w:type="dxa"/>
            <w:shd w:val="clear" w:color="auto" w:fill="auto"/>
            <w:noWrap/>
            <w:vAlign w:val="center"/>
          </w:tcPr>
          <w:p w14:paraId="4E20AC90" w14:textId="58AC0192"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1 150</w:t>
            </w:r>
          </w:p>
        </w:tc>
        <w:tc>
          <w:tcPr>
            <w:tcW w:w="1418" w:type="dxa"/>
            <w:shd w:val="clear" w:color="auto" w:fill="auto"/>
            <w:noWrap/>
            <w:vAlign w:val="center"/>
          </w:tcPr>
          <w:p w14:paraId="5688E9B3" w14:textId="7BC426CB"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583</w:t>
            </w:r>
          </w:p>
        </w:tc>
        <w:tc>
          <w:tcPr>
            <w:tcW w:w="1417" w:type="dxa"/>
            <w:shd w:val="clear" w:color="auto" w:fill="auto"/>
            <w:noWrap/>
            <w:vAlign w:val="center"/>
          </w:tcPr>
          <w:p w14:paraId="5D7A6C9D" w14:textId="3F653994"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139</w:t>
            </w:r>
          </w:p>
        </w:tc>
        <w:tc>
          <w:tcPr>
            <w:tcW w:w="1891" w:type="dxa"/>
            <w:shd w:val="clear" w:color="auto" w:fill="auto"/>
            <w:noWrap/>
            <w:vAlign w:val="center"/>
          </w:tcPr>
          <w:p w14:paraId="3CA5B527" w14:textId="3250F9AA"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32</w:t>
            </w:r>
          </w:p>
        </w:tc>
      </w:tr>
      <w:tr w:rsidR="006F7DAF" w:rsidRPr="00610B1B" w14:paraId="106D0A86" w14:textId="77777777" w:rsidTr="00D05544">
        <w:trPr>
          <w:trHeight w:val="255"/>
        </w:trPr>
        <w:tc>
          <w:tcPr>
            <w:tcW w:w="1560" w:type="dxa"/>
            <w:shd w:val="clear" w:color="auto" w:fill="auto"/>
            <w:noWrap/>
            <w:vAlign w:val="center"/>
          </w:tcPr>
          <w:p w14:paraId="34EC1D53" w14:textId="77777777"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Приморско</w:t>
            </w:r>
          </w:p>
        </w:tc>
        <w:tc>
          <w:tcPr>
            <w:tcW w:w="815" w:type="dxa"/>
            <w:shd w:val="clear" w:color="auto" w:fill="auto"/>
            <w:noWrap/>
            <w:vAlign w:val="center"/>
          </w:tcPr>
          <w:p w14:paraId="612DCDAB" w14:textId="3540EFFE"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5 645</w:t>
            </w:r>
          </w:p>
        </w:tc>
        <w:tc>
          <w:tcPr>
            <w:tcW w:w="886" w:type="dxa"/>
            <w:shd w:val="clear" w:color="auto" w:fill="auto"/>
            <w:noWrap/>
            <w:vAlign w:val="center"/>
          </w:tcPr>
          <w:p w14:paraId="35381521" w14:textId="1BBAFEB8"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639</w:t>
            </w:r>
          </w:p>
        </w:tc>
        <w:tc>
          <w:tcPr>
            <w:tcW w:w="851" w:type="dxa"/>
            <w:shd w:val="clear" w:color="auto" w:fill="auto"/>
            <w:noWrap/>
            <w:vAlign w:val="center"/>
          </w:tcPr>
          <w:p w14:paraId="438F5E11" w14:textId="4B9DB31F"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2 434</w:t>
            </w:r>
          </w:p>
        </w:tc>
        <w:tc>
          <w:tcPr>
            <w:tcW w:w="992" w:type="dxa"/>
            <w:shd w:val="clear" w:color="auto" w:fill="auto"/>
            <w:noWrap/>
            <w:vAlign w:val="center"/>
          </w:tcPr>
          <w:p w14:paraId="6E188C2A" w14:textId="611EF20C"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1 561</w:t>
            </w:r>
          </w:p>
        </w:tc>
        <w:tc>
          <w:tcPr>
            <w:tcW w:w="992" w:type="dxa"/>
            <w:shd w:val="clear" w:color="auto" w:fill="auto"/>
            <w:noWrap/>
            <w:vAlign w:val="center"/>
          </w:tcPr>
          <w:p w14:paraId="3EC606DE" w14:textId="48399593"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649</w:t>
            </w:r>
          </w:p>
        </w:tc>
        <w:tc>
          <w:tcPr>
            <w:tcW w:w="1418" w:type="dxa"/>
            <w:shd w:val="clear" w:color="auto" w:fill="auto"/>
            <w:noWrap/>
            <w:vAlign w:val="center"/>
          </w:tcPr>
          <w:p w14:paraId="4E0243CC" w14:textId="05147095"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271</w:t>
            </w:r>
          </w:p>
        </w:tc>
        <w:tc>
          <w:tcPr>
            <w:tcW w:w="1417" w:type="dxa"/>
            <w:shd w:val="clear" w:color="auto" w:fill="auto"/>
            <w:noWrap/>
            <w:vAlign w:val="center"/>
          </w:tcPr>
          <w:p w14:paraId="47EFB815" w14:textId="4D13CD72"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82</w:t>
            </w:r>
          </w:p>
        </w:tc>
        <w:tc>
          <w:tcPr>
            <w:tcW w:w="1891" w:type="dxa"/>
            <w:shd w:val="clear" w:color="auto" w:fill="auto"/>
            <w:noWrap/>
            <w:vAlign w:val="center"/>
          </w:tcPr>
          <w:p w14:paraId="5275E8B3" w14:textId="7E663F7C"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9</w:t>
            </w:r>
          </w:p>
        </w:tc>
      </w:tr>
      <w:tr w:rsidR="006F7DAF" w:rsidRPr="00610B1B" w14:paraId="5C89EEAA" w14:textId="77777777" w:rsidTr="00D05544">
        <w:trPr>
          <w:trHeight w:val="255"/>
        </w:trPr>
        <w:tc>
          <w:tcPr>
            <w:tcW w:w="1560" w:type="dxa"/>
            <w:shd w:val="clear" w:color="auto" w:fill="auto"/>
            <w:noWrap/>
            <w:vAlign w:val="center"/>
          </w:tcPr>
          <w:p w14:paraId="423974F2" w14:textId="77777777" w:rsidR="006F7DAF" w:rsidRPr="00610B1B" w:rsidRDefault="006F7DAF" w:rsidP="00D32D6A">
            <w:pPr>
              <w:spacing w:after="0" w:line="240" w:lineRule="auto"/>
              <w:ind w:firstLineChars="100" w:firstLine="220"/>
              <w:rPr>
                <w:rFonts w:ascii="Times New Roman" w:hAnsi="Times New Roman" w:cs="Times New Roman"/>
                <w:color w:val="000000"/>
                <w:lang w:val="bg-BG"/>
              </w:rPr>
            </w:pPr>
            <w:r w:rsidRPr="00610B1B">
              <w:rPr>
                <w:rFonts w:ascii="Times New Roman" w:hAnsi="Times New Roman" w:cs="Times New Roman"/>
                <w:color w:val="000000"/>
                <w:lang w:val="bg-BG"/>
              </w:rPr>
              <w:t>Царево</w:t>
            </w:r>
          </w:p>
        </w:tc>
        <w:tc>
          <w:tcPr>
            <w:tcW w:w="815" w:type="dxa"/>
            <w:shd w:val="clear" w:color="auto" w:fill="auto"/>
            <w:noWrap/>
            <w:vAlign w:val="center"/>
          </w:tcPr>
          <w:p w14:paraId="31483F95" w14:textId="62BFB240"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8 624</w:t>
            </w:r>
          </w:p>
        </w:tc>
        <w:tc>
          <w:tcPr>
            <w:tcW w:w="886" w:type="dxa"/>
            <w:shd w:val="clear" w:color="auto" w:fill="auto"/>
            <w:noWrap/>
            <w:vAlign w:val="center"/>
          </w:tcPr>
          <w:p w14:paraId="3BBBFE89" w14:textId="2939B5DC"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1 027</w:t>
            </w:r>
          </w:p>
        </w:tc>
        <w:tc>
          <w:tcPr>
            <w:tcW w:w="851" w:type="dxa"/>
            <w:shd w:val="clear" w:color="auto" w:fill="auto"/>
            <w:noWrap/>
            <w:vAlign w:val="center"/>
          </w:tcPr>
          <w:p w14:paraId="3620AB95" w14:textId="470DCAD4"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3 590</w:t>
            </w:r>
          </w:p>
        </w:tc>
        <w:tc>
          <w:tcPr>
            <w:tcW w:w="992" w:type="dxa"/>
            <w:shd w:val="clear" w:color="auto" w:fill="auto"/>
            <w:noWrap/>
            <w:vAlign w:val="center"/>
          </w:tcPr>
          <w:p w14:paraId="1E63367E" w14:textId="4867DC3F"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2 287</w:t>
            </w:r>
          </w:p>
        </w:tc>
        <w:tc>
          <w:tcPr>
            <w:tcW w:w="992" w:type="dxa"/>
            <w:shd w:val="clear" w:color="auto" w:fill="auto"/>
            <w:noWrap/>
            <w:vAlign w:val="center"/>
          </w:tcPr>
          <w:p w14:paraId="5F2E3E90" w14:textId="6D4942D3"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1 036</w:t>
            </w:r>
          </w:p>
        </w:tc>
        <w:tc>
          <w:tcPr>
            <w:tcW w:w="1418" w:type="dxa"/>
            <w:shd w:val="clear" w:color="auto" w:fill="auto"/>
            <w:noWrap/>
            <w:vAlign w:val="center"/>
          </w:tcPr>
          <w:p w14:paraId="0C22FC66" w14:textId="3A38B0C6"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544</w:t>
            </w:r>
          </w:p>
        </w:tc>
        <w:tc>
          <w:tcPr>
            <w:tcW w:w="1417" w:type="dxa"/>
            <w:shd w:val="clear" w:color="auto" w:fill="auto"/>
            <w:noWrap/>
            <w:vAlign w:val="center"/>
          </w:tcPr>
          <w:p w14:paraId="35397F9D" w14:textId="29CFB81C"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110</w:t>
            </w:r>
          </w:p>
        </w:tc>
        <w:tc>
          <w:tcPr>
            <w:tcW w:w="1891" w:type="dxa"/>
            <w:shd w:val="clear" w:color="auto" w:fill="auto"/>
            <w:noWrap/>
            <w:vAlign w:val="center"/>
          </w:tcPr>
          <w:p w14:paraId="79E18A77" w14:textId="6E46C0A6" w:rsidR="006F7DAF" w:rsidRPr="00610B1B" w:rsidRDefault="006F7DAF" w:rsidP="00D32D6A">
            <w:pPr>
              <w:spacing w:after="0" w:line="240" w:lineRule="auto"/>
              <w:jc w:val="right"/>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30</w:t>
            </w:r>
          </w:p>
        </w:tc>
      </w:tr>
    </w:tbl>
    <w:p w14:paraId="3295DE47" w14:textId="39702708" w:rsidR="0082227D" w:rsidRPr="00610B1B" w:rsidRDefault="0082227D" w:rsidP="00F63461">
      <w:pPr>
        <w:autoSpaceDE w:val="0"/>
        <w:autoSpaceDN w:val="0"/>
        <w:adjustRightInd w:val="0"/>
        <w:spacing w:before="60" w:after="120"/>
        <w:ind w:right="-153"/>
        <w:jc w:val="both"/>
        <w:rPr>
          <w:rFonts w:ascii="Times New Roman" w:hAnsi="Times New Roman" w:cs="Times New Roman"/>
          <w:lang w:val="bg-BG"/>
        </w:rPr>
      </w:pPr>
      <w:r w:rsidRPr="00610B1B">
        <w:rPr>
          <w:rFonts w:ascii="Times New Roman" w:hAnsi="Times New Roman" w:cs="Times New Roman"/>
          <w:lang w:val="bg-BG"/>
        </w:rPr>
        <w:t xml:space="preserve">Източник: НСИ, Преброяване на населението и жилищния фонд 2011 г. </w:t>
      </w:r>
    </w:p>
    <w:p w14:paraId="581AAF44" w14:textId="2E8E528E" w:rsidR="00243784" w:rsidRPr="00610B1B" w:rsidRDefault="00243784"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По данни НСИ за 2011 г., относителният дял на населението на Черноморските общини с високо образователно ниво (с висше образование) е 24</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1%</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(162 872 лица) от общото население. </w:t>
      </w:r>
      <w:r w:rsidR="00FA15C3" w:rsidRPr="00610B1B">
        <w:rPr>
          <w:rFonts w:ascii="Times New Roman" w:hAnsi="Times New Roman" w:cs="Times New Roman"/>
          <w:sz w:val="24"/>
          <w:szCs w:val="24"/>
          <w:lang w:val="bg-BG"/>
        </w:rPr>
        <w:t>Тези</w:t>
      </w:r>
      <w:r w:rsidRPr="00610B1B">
        <w:rPr>
          <w:rFonts w:ascii="Times New Roman" w:hAnsi="Times New Roman" w:cs="Times New Roman"/>
          <w:sz w:val="24"/>
          <w:szCs w:val="24"/>
          <w:lang w:val="bg-BG"/>
        </w:rPr>
        <w:t xml:space="preserve"> показатели </w:t>
      </w:r>
      <w:r w:rsidR="00FA15C3" w:rsidRPr="00610B1B">
        <w:rPr>
          <w:rFonts w:ascii="Times New Roman" w:hAnsi="Times New Roman" w:cs="Times New Roman"/>
          <w:sz w:val="24"/>
          <w:szCs w:val="24"/>
          <w:lang w:val="bg-BG"/>
        </w:rPr>
        <w:t xml:space="preserve">са по-добри </w:t>
      </w:r>
      <w:r w:rsidRPr="00610B1B">
        <w:rPr>
          <w:rFonts w:ascii="Times New Roman" w:hAnsi="Times New Roman" w:cs="Times New Roman"/>
          <w:sz w:val="24"/>
          <w:szCs w:val="24"/>
          <w:lang w:val="bg-BG"/>
        </w:rPr>
        <w:t>в сравнение със средното равнище за страната 19</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6%. В общински аспект най-образовани са жителите на общините Варна 30</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1% и Бургас 25</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1%. С най-негативна образователна структура по отношение на дела на лицата с висше образование са общините Долни чифлик (4</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8%), Бяла (7</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8%), и Аврен (7</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9%).</w:t>
      </w:r>
    </w:p>
    <w:p w14:paraId="12C2B586" w14:textId="2F1A4CEF" w:rsidR="00243784" w:rsidRPr="00610B1B" w:rsidRDefault="00243784"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Лицата със средно образование са 302 463 д. (44</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8%)</w:t>
      </w:r>
      <w:r w:rsidR="00CF31EC" w:rsidRPr="00610B1B">
        <w:rPr>
          <w:rFonts w:ascii="Times New Roman" w:hAnsi="Times New Roman" w:cs="Times New Roman"/>
          <w:sz w:val="24"/>
          <w:szCs w:val="24"/>
          <w:lang w:val="bg-BG"/>
        </w:rPr>
        <w:t xml:space="preserve"> или </w:t>
      </w:r>
      <w:r w:rsidRPr="00610B1B">
        <w:rPr>
          <w:rFonts w:ascii="Times New Roman" w:hAnsi="Times New Roman" w:cs="Times New Roman"/>
          <w:sz w:val="24"/>
          <w:szCs w:val="24"/>
          <w:lang w:val="bg-BG"/>
        </w:rPr>
        <w:t>малко по-високо от средното за страната (43</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4%). С основно образование са 128 075 лица (19</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8%), с начално 42 265 лица (6</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3%) и с незавършено начално 31 401 лица (4</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4%). В дъното на образователната стълбица стоят лицата, “никога непосещавали училище”. Броят им е 6 279, или 0</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9% от населението на 7 и повече навършени години</w:t>
      </w:r>
      <w:r w:rsidR="00CF31EC"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1</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2% средно за страната</w:t>
      </w:r>
      <w:r w:rsidR="00CF31EC"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Най-нисък е делът на неграмотните в Долни чифлик (3</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7%), Каварна (2</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9%), Аврен (2</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6%) и Балчик (2</w:t>
      </w:r>
      <w:r w:rsidR="004E40D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2%). </w:t>
      </w:r>
    </w:p>
    <w:p w14:paraId="6D56F4D3" w14:textId="7D6C2644" w:rsidR="0082227D" w:rsidRPr="00610B1B" w:rsidRDefault="00673934" w:rsidP="00D32D6A">
      <w:pPr>
        <w:pStyle w:val="Heading4"/>
        <w:spacing w:before="0" w:line="276" w:lineRule="auto"/>
        <w:ind w:right="-153"/>
        <w:rPr>
          <w:rFonts w:cs="Times New Roman"/>
        </w:rPr>
      </w:pPr>
      <w:r w:rsidRPr="00610B1B">
        <w:rPr>
          <w:rFonts w:cs="Times New Roman"/>
        </w:rPr>
        <w:t>2.</w:t>
      </w:r>
      <w:r w:rsidR="0082227D" w:rsidRPr="00610B1B">
        <w:rPr>
          <w:rFonts w:cs="Times New Roman"/>
        </w:rPr>
        <w:t>3.2.</w:t>
      </w:r>
      <w:r w:rsidRPr="00610B1B">
        <w:rPr>
          <w:rFonts w:cs="Times New Roman"/>
        </w:rPr>
        <w:t>2.</w:t>
      </w:r>
      <w:r w:rsidR="0082227D" w:rsidRPr="00610B1B">
        <w:rPr>
          <w:rFonts w:cs="Times New Roman"/>
        </w:rPr>
        <w:t xml:space="preserve"> Образователна инфраструктура</w:t>
      </w:r>
    </w:p>
    <w:p w14:paraId="58ADFB15" w14:textId="549AB2D0" w:rsidR="00C812E9" w:rsidRPr="00610B1B" w:rsidRDefault="000F6B91" w:rsidP="00D32D6A">
      <w:pPr>
        <w:spacing w:after="120"/>
        <w:ind w:right="-153"/>
        <w:jc w:val="both"/>
        <w:rPr>
          <w:rFonts w:ascii="Times New Roman" w:hAnsi="Times New Roman" w:cs="Times New Roman"/>
          <w:iCs/>
          <w:sz w:val="24"/>
          <w:szCs w:val="24"/>
          <w:lang w:val="bg-BG"/>
        </w:rPr>
      </w:pPr>
      <w:r w:rsidRPr="00610B1B">
        <w:rPr>
          <w:rFonts w:ascii="Times New Roman" w:hAnsi="Times New Roman" w:cs="Times New Roman"/>
          <w:iCs/>
          <w:sz w:val="24"/>
          <w:szCs w:val="24"/>
          <w:lang w:val="bg-BG"/>
        </w:rPr>
        <w:t xml:space="preserve">В </w:t>
      </w:r>
      <w:r w:rsidR="004E40D4" w:rsidRPr="00610B1B">
        <w:rPr>
          <w:rFonts w:ascii="Times New Roman" w:hAnsi="Times New Roman" w:cs="Times New Roman"/>
          <w:iCs/>
          <w:sz w:val="24"/>
          <w:szCs w:val="24"/>
          <w:lang w:val="bg-BG"/>
        </w:rPr>
        <w:t>Черноморските</w:t>
      </w:r>
      <w:r w:rsidR="0082227D" w:rsidRPr="00610B1B">
        <w:rPr>
          <w:rFonts w:ascii="Times New Roman" w:hAnsi="Times New Roman" w:cs="Times New Roman"/>
          <w:iCs/>
          <w:sz w:val="24"/>
          <w:szCs w:val="24"/>
          <w:lang w:val="bg-BG"/>
        </w:rPr>
        <w:t xml:space="preserve"> общини има добре изградена мрежа от учебни заведения, които обхващат всички възрастови групи</w:t>
      </w:r>
      <w:r w:rsidR="00C812E9" w:rsidRPr="00610B1B">
        <w:rPr>
          <w:rFonts w:ascii="Times New Roman" w:hAnsi="Times New Roman" w:cs="Times New Roman"/>
          <w:iCs/>
          <w:sz w:val="24"/>
          <w:szCs w:val="24"/>
          <w:lang w:val="bg-BG"/>
        </w:rPr>
        <w:t>,</w:t>
      </w:r>
      <w:r w:rsidR="0082227D" w:rsidRPr="00610B1B">
        <w:rPr>
          <w:rFonts w:ascii="Times New Roman" w:hAnsi="Times New Roman" w:cs="Times New Roman"/>
          <w:iCs/>
          <w:sz w:val="24"/>
          <w:szCs w:val="24"/>
          <w:lang w:val="bg-BG"/>
        </w:rPr>
        <w:t xml:space="preserve"> подлежащи на задължително обучение.</w:t>
      </w:r>
      <w:r w:rsidR="006D509C" w:rsidRPr="00610B1B">
        <w:rPr>
          <w:rFonts w:ascii="Times New Roman" w:hAnsi="Times New Roman" w:cs="Times New Roman"/>
          <w:iCs/>
          <w:sz w:val="24"/>
          <w:szCs w:val="24"/>
          <w:lang w:val="bg-BG"/>
        </w:rPr>
        <w:t xml:space="preserve"> </w:t>
      </w:r>
      <w:r w:rsidR="0082227D" w:rsidRPr="00610B1B">
        <w:rPr>
          <w:rFonts w:ascii="Times New Roman" w:hAnsi="Times New Roman" w:cs="Times New Roman"/>
          <w:iCs/>
          <w:sz w:val="24"/>
          <w:szCs w:val="24"/>
          <w:lang w:val="bg-BG"/>
        </w:rPr>
        <w:t xml:space="preserve">Структурите на предучилищното образование </w:t>
      </w:r>
      <w:r w:rsidRPr="00610B1B">
        <w:rPr>
          <w:rFonts w:ascii="Times New Roman" w:hAnsi="Times New Roman" w:cs="Times New Roman"/>
          <w:iCs/>
          <w:sz w:val="24"/>
          <w:szCs w:val="24"/>
          <w:lang w:val="bg-BG"/>
        </w:rPr>
        <w:t>и о</w:t>
      </w:r>
      <w:r w:rsidR="0082227D" w:rsidRPr="00610B1B">
        <w:rPr>
          <w:rFonts w:ascii="Times New Roman" w:hAnsi="Times New Roman" w:cs="Times New Roman"/>
          <w:iCs/>
          <w:sz w:val="24"/>
          <w:szCs w:val="24"/>
          <w:lang w:val="bg-BG"/>
        </w:rPr>
        <w:t xml:space="preserve">сигуреността с детски градини, преподаватели и места в детските градини </w:t>
      </w:r>
      <w:r w:rsidRPr="00610B1B">
        <w:rPr>
          <w:rFonts w:ascii="Times New Roman" w:hAnsi="Times New Roman" w:cs="Times New Roman"/>
          <w:iCs/>
          <w:sz w:val="24"/>
          <w:szCs w:val="24"/>
          <w:lang w:val="bg-BG"/>
        </w:rPr>
        <w:t>са</w:t>
      </w:r>
      <w:r w:rsidR="0082227D" w:rsidRPr="00610B1B">
        <w:rPr>
          <w:rFonts w:ascii="Times New Roman" w:hAnsi="Times New Roman" w:cs="Times New Roman"/>
          <w:iCs/>
          <w:sz w:val="24"/>
          <w:szCs w:val="24"/>
          <w:lang w:val="bg-BG"/>
        </w:rPr>
        <w:t xml:space="preserve"> добр</w:t>
      </w:r>
      <w:r w:rsidRPr="00610B1B">
        <w:rPr>
          <w:rFonts w:ascii="Times New Roman" w:hAnsi="Times New Roman" w:cs="Times New Roman"/>
          <w:iCs/>
          <w:sz w:val="24"/>
          <w:szCs w:val="24"/>
          <w:lang w:val="bg-BG"/>
        </w:rPr>
        <w:t>и</w:t>
      </w:r>
      <w:r w:rsidR="006D509C" w:rsidRPr="00610B1B">
        <w:rPr>
          <w:rFonts w:ascii="Times New Roman" w:hAnsi="Times New Roman" w:cs="Times New Roman"/>
          <w:iCs/>
          <w:sz w:val="24"/>
          <w:szCs w:val="24"/>
          <w:lang w:val="bg-BG"/>
        </w:rPr>
        <w:t>, което е важен фактор за привличане на млади и образовани кадри</w:t>
      </w:r>
      <w:r w:rsidR="0082227D" w:rsidRPr="00610B1B">
        <w:rPr>
          <w:rFonts w:ascii="Times New Roman" w:hAnsi="Times New Roman" w:cs="Times New Roman"/>
          <w:iCs/>
          <w:sz w:val="24"/>
          <w:szCs w:val="24"/>
          <w:lang w:val="bg-BG"/>
        </w:rPr>
        <w:t xml:space="preserve">. През учебната 2018/2019 г. в общините функционират 157 самостоятелни детски градини, които се посещават от 23 914 деца. Разположени са основно в общините Варна </w:t>
      </w:r>
      <w:r w:rsidR="007B4463" w:rsidRPr="00610B1B">
        <w:rPr>
          <w:rFonts w:ascii="Times New Roman" w:hAnsi="Times New Roman" w:cs="Times New Roman"/>
          <w:iCs/>
          <w:sz w:val="24"/>
          <w:szCs w:val="24"/>
          <w:lang w:val="bg-BG"/>
        </w:rPr>
        <w:t>(</w:t>
      </w:r>
      <w:r w:rsidR="0082227D" w:rsidRPr="00610B1B">
        <w:rPr>
          <w:rFonts w:ascii="Times New Roman" w:hAnsi="Times New Roman" w:cs="Times New Roman"/>
          <w:iCs/>
          <w:sz w:val="24"/>
          <w:szCs w:val="24"/>
          <w:lang w:val="bg-BG"/>
        </w:rPr>
        <w:t>59</w:t>
      </w:r>
      <w:r w:rsidR="007B4463" w:rsidRPr="00610B1B">
        <w:rPr>
          <w:rFonts w:ascii="Times New Roman" w:hAnsi="Times New Roman" w:cs="Times New Roman"/>
          <w:iCs/>
          <w:sz w:val="24"/>
          <w:szCs w:val="24"/>
          <w:lang w:val="bg-BG"/>
        </w:rPr>
        <w:t xml:space="preserve"> бр.)</w:t>
      </w:r>
      <w:r w:rsidR="0082227D" w:rsidRPr="00610B1B">
        <w:rPr>
          <w:rFonts w:ascii="Times New Roman" w:hAnsi="Times New Roman" w:cs="Times New Roman"/>
          <w:iCs/>
          <w:sz w:val="24"/>
          <w:szCs w:val="24"/>
          <w:lang w:val="bg-BG"/>
        </w:rPr>
        <w:t xml:space="preserve"> и Бургас </w:t>
      </w:r>
      <w:r w:rsidR="007B4463" w:rsidRPr="00610B1B">
        <w:rPr>
          <w:rFonts w:ascii="Times New Roman" w:hAnsi="Times New Roman" w:cs="Times New Roman"/>
          <w:iCs/>
          <w:sz w:val="24"/>
          <w:szCs w:val="24"/>
          <w:lang w:val="bg-BG"/>
        </w:rPr>
        <w:t>(</w:t>
      </w:r>
      <w:r w:rsidR="0082227D" w:rsidRPr="00610B1B">
        <w:rPr>
          <w:rFonts w:ascii="Times New Roman" w:hAnsi="Times New Roman" w:cs="Times New Roman"/>
          <w:iCs/>
          <w:sz w:val="24"/>
          <w:szCs w:val="24"/>
          <w:lang w:val="bg-BG"/>
        </w:rPr>
        <w:t>34</w:t>
      </w:r>
      <w:r w:rsidR="007B4463" w:rsidRPr="00610B1B">
        <w:rPr>
          <w:rFonts w:ascii="Times New Roman" w:hAnsi="Times New Roman" w:cs="Times New Roman"/>
          <w:iCs/>
          <w:sz w:val="24"/>
          <w:szCs w:val="24"/>
          <w:lang w:val="bg-BG"/>
        </w:rPr>
        <w:t xml:space="preserve"> бр.)</w:t>
      </w:r>
      <w:r w:rsidR="0082227D" w:rsidRPr="00610B1B">
        <w:rPr>
          <w:rFonts w:ascii="Times New Roman" w:hAnsi="Times New Roman" w:cs="Times New Roman"/>
          <w:iCs/>
          <w:sz w:val="24"/>
          <w:szCs w:val="24"/>
          <w:lang w:val="bg-BG"/>
        </w:rPr>
        <w:t>.</w:t>
      </w:r>
      <w:r w:rsidR="00D66FE0" w:rsidRPr="00610B1B">
        <w:rPr>
          <w:rFonts w:ascii="Times New Roman" w:hAnsi="Times New Roman" w:cs="Times New Roman"/>
          <w:iCs/>
          <w:sz w:val="24"/>
          <w:szCs w:val="24"/>
          <w:lang w:val="bg-BG"/>
        </w:rPr>
        <w:t xml:space="preserve"> </w:t>
      </w:r>
    </w:p>
    <w:p w14:paraId="4FF812B8" w14:textId="528B85B9" w:rsidR="007B4463" w:rsidRPr="00610B1B" w:rsidRDefault="0082227D" w:rsidP="00D32D6A">
      <w:pPr>
        <w:spacing w:after="120"/>
        <w:ind w:right="-153"/>
        <w:jc w:val="both"/>
        <w:rPr>
          <w:rFonts w:ascii="Times New Roman" w:hAnsi="Times New Roman" w:cs="Times New Roman"/>
          <w:iCs/>
          <w:color w:val="000000"/>
          <w:sz w:val="24"/>
          <w:szCs w:val="24"/>
          <w:lang w:val="bg-BG"/>
        </w:rPr>
      </w:pPr>
      <w:r w:rsidRPr="00610B1B">
        <w:rPr>
          <w:rFonts w:ascii="Times New Roman" w:hAnsi="Times New Roman" w:cs="Times New Roman"/>
          <w:iCs/>
          <w:sz w:val="24"/>
          <w:szCs w:val="24"/>
          <w:lang w:val="bg-BG"/>
        </w:rPr>
        <w:t>В Черноморските общини</w:t>
      </w:r>
      <w:r w:rsidR="00D66FE0" w:rsidRPr="00610B1B">
        <w:rPr>
          <w:rFonts w:ascii="Times New Roman" w:hAnsi="Times New Roman" w:cs="Times New Roman"/>
          <w:iCs/>
          <w:sz w:val="24"/>
          <w:szCs w:val="24"/>
          <w:lang w:val="bg-BG"/>
        </w:rPr>
        <w:t xml:space="preserve"> </w:t>
      </w:r>
      <w:r w:rsidRPr="00610B1B">
        <w:rPr>
          <w:rFonts w:ascii="Times New Roman" w:hAnsi="Times New Roman" w:cs="Times New Roman"/>
          <w:iCs/>
          <w:sz w:val="24"/>
          <w:szCs w:val="24"/>
          <w:lang w:val="bg-BG"/>
        </w:rPr>
        <w:t>през учебната 2018/2019</w:t>
      </w:r>
      <w:r w:rsidR="00D66FE0" w:rsidRPr="00610B1B">
        <w:rPr>
          <w:rFonts w:ascii="Times New Roman" w:hAnsi="Times New Roman" w:cs="Times New Roman"/>
          <w:iCs/>
          <w:sz w:val="24"/>
          <w:szCs w:val="24"/>
          <w:lang w:val="bg-BG"/>
        </w:rPr>
        <w:t xml:space="preserve"> </w:t>
      </w:r>
      <w:r w:rsidRPr="00610B1B">
        <w:rPr>
          <w:rFonts w:ascii="Times New Roman" w:hAnsi="Times New Roman" w:cs="Times New Roman"/>
          <w:iCs/>
          <w:sz w:val="24"/>
          <w:szCs w:val="24"/>
          <w:lang w:val="bg-BG"/>
        </w:rPr>
        <w:t>г. учебни занятия се водят в 155 общообразователни и специални училища. Повече от половината</w:t>
      </w:r>
      <w:r w:rsidR="00D66FE0" w:rsidRPr="00610B1B">
        <w:rPr>
          <w:rFonts w:ascii="Times New Roman" w:hAnsi="Times New Roman" w:cs="Times New Roman"/>
          <w:iCs/>
          <w:sz w:val="24"/>
          <w:szCs w:val="24"/>
          <w:lang w:val="bg-BG"/>
        </w:rPr>
        <w:t xml:space="preserve"> </w:t>
      </w:r>
      <w:r w:rsidRPr="00610B1B">
        <w:rPr>
          <w:rFonts w:ascii="Times New Roman" w:hAnsi="Times New Roman" w:cs="Times New Roman"/>
          <w:iCs/>
          <w:sz w:val="24"/>
          <w:szCs w:val="24"/>
          <w:lang w:val="bg-BG"/>
        </w:rPr>
        <w:t xml:space="preserve">са разположени в общините Варна </w:t>
      </w:r>
      <w:r w:rsidR="007B4463" w:rsidRPr="00610B1B">
        <w:rPr>
          <w:rFonts w:ascii="Times New Roman" w:hAnsi="Times New Roman" w:cs="Times New Roman"/>
          <w:iCs/>
          <w:sz w:val="24"/>
          <w:szCs w:val="24"/>
          <w:lang w:val="bg-BG"/>
        </w:rPr>
        <w:t>(</w:t>
      </w:r>
      <w:r w:rsidRPr="00610B1B">
        <w:rPr>
          <w:rFonts w:ascii="Times New Roman" w:hAnsi="Times New Roman" w:cs="Times New Roman"/>
          <w:iCs/>
          <w:sz w:val="24"/>
          <w:szCs w:val="24"/>
          <w:lang w:val="bg-BG"/>
        </w:rPr>
        <w:t>51</w:t>
      </w:r>
      <w:r w:rsidR="007B4463" w:rsidRPr="00610B1B">
        <w:rPr>
          <w:rFonts w:ascii="Times New Roman" w:hAnsi="Times New Roman" w:cs="Times New Roman"/>
          <w:iCs/>
          <w:sz w:val="24"/>
          <w:szCs w:val="24"/>
          <w:lang w:val="bg-BG"/>
        </w:rPr>
        <w:t xml:space="preserve"> бр.)</w:t>
      </w:r>
      <w:r w:rsidRPr="00610B1B">
        <w:rPr>
          <w:rFonts w:ascii="Times New Roman" w:hAnsi="Times New Roman" w:cs="Times New Roman"/>
          <w:iCs/>
          <w:sz w:val="24"/>
          <w:szCs w:val="24"/>
          <w:lang w:val="bg-BG"/>
        </w:rPr>
        <w:t xml:space="preserve"> и Бургас </w:t>
      </w:r>
      <w:r w:rsidR="007B4463" w:rsidRPr="00610B1B">
        <w:rPr>
          <w:rFonts w:ascii="Times New Roman" w:hAnsi="Times New Roman" w:cs="Times New Roman"/>
          <w:iCs/>
          <w:sz w:val="24"/>
          <w:szCs w:val="24"/>
          <w:lang w:val="bg-BG"/>
        </w:rPr>
        <w:t>(</w:t>
      </w:r>
      <w:r w:rsidRPr="00610B1B">
        <w:rPr>
          <w:rFonts w:ascii="Times New Roman" w:hAnsi="Times New Roman" w:cs="Times New Roman"/>
          <w:iCs/>
          <w:sz w:val="24"/>
          <w:szCs w:val="24"/>
          <w:lang w:val="bg-BG"/>
        </w:rPr>
        <w:t>41</w:t>
      </w:r>
      <w:r w:rsidR="007B4463" w:rsidRPr="00610B1B">
        <w:rPr>
          <w:rFonts w:ascii="Times New Roman" w:hAnsi="Times New Roman" w:cs="Times New Roman"/>
          <w:iCs/>
          <w:sz w:val="24"/>
          <w:szCs w:val="24"/>
          <w:lang w:val="bg-BG"/>
        </w:rPr>
        <w:t xml:space="preserve"> бр.)</w:t>
      </w:r>
      <w:r w:rsidRPr="00610B1B">
        <w:rPr>
          <w:rFonts w:ascii="Times New Roman" w:hAnsi="Times New Roman" w:cs="Times New Roman"/>
          <w:iCs/>
          <w:sz w:val="24"/>
          <w:szCs w:val="24"/>
          <w:lang w:val="bg-BG"/>
        </w:rPr>
        <w:t>.</w:t>
      </w:r>
      <w:r w:rsidR="00D66FE0" w:rsidRPr="00610B1B">
        <w:rPr>
          <w:rFonts w:ascii="Times New Roman" w:hAnsi="Times New Roman" w:cs="Times New Roman"/>
          <w:iCs/>
          <w:sz w:val="24"/>
          <w:szCs w:val="24"/>
          <w:lang w:val="bg-BG"/>
        </w:rPr>
        <w:t xml:space="preserve"> </w:t>
      </w:r>
      <w:r w:rsidRPr="00610B1B">
        <w:rPr>
          <w:rFonts w:ascii="Times New Roman" w:hAnsi="Times New Roman" w:cs="Times New Roman"/>
          <w:iCs/>
          <w:color w:val="000000"/>
          <w:sz w:val="24"/>
          <w:szCs w:val="24"/>
          <w:lang w:val="bg-BG"/>
        </w:rPr>
        <w:t xml:space="preserve">Професионалното образование и обучение през учебната 2018/2019 година се осъществява в 31 училища. </w:t>
      </w:r>
      <w:r w:rsidRPr="00610B1B">
        <w:rPr>
          <w:rFonts w:ascii="Times New Roman" w:hAnsi="Times New Roman" w:cs="Times New Roman"/>
          <w:iCs/>
          <w:sz w:val="24"/>
          <w:szCs w:val="24"/>
          <w:lang w:val="bg-BG"/>
        </w:rPr>
        <w:t xml:space="preserve">Професионалните гимназии са </w:t>
      </w:r>
      <w:r w:rsidRPr="00610B1B">
        <w:rPr>
          <w:rFonts w:ascii="Times New Roman" w:hAnsi="Times New Roman" w:cs="Times New Roman"/>
          <w:iCs/>
          <w:sz w:val="24"/>
          <w:szCs w:val="24"/>
          <w:lang w:val="bg-BG"/>
        </w:rPr>
        <w:lastRenderedPageBreak/>
        <w:t xml:space="preserve">разположени в по-големите общини: Варна </w:t>
      </w:r>
      <w:r w:rsidR="007B4463" w:rsidRPr="00610B1B">
        <w:rPr>
          <w:rFonts w:ascii="Times New Roman" w:hAnsi="Times New Roman" w:cs="Times New Roman"/>
          <w:iCs/>
          <w:sz w:val="24"/>
          <w:szCs w:val="24"/>
          <w:lang w:val="bg-BG"/>
        </w:rPr>
        <w:t>(</w:t>
      </w:r>
      <w:r w:rsidRPr="00610B1B">
        <w:rPr>
          <w:rFonts w:ascii="Times New Roman" w:hAnsi="Times New Roman" w:cs="Times New Roman"/>
          <w:iCs/>
          <w:sz w:val="24"/>
          <w:szCs w:val="24"/>
          <w:lang w:val="bg-BG"/>
        </w:rPr>
        <w:t>15</w:t>
      </w:r>
      <w:r w:rsidR="007B4463" w:rsidRPr="00610B1B">
        <w:rPr>
          <w:rFonts w:ascii="Times New Roman" w:hAnsi="Times New Roman" w:cs="Times New Roman"/>
          <w:iCs/>
          <w:sz w:val="24"/>
          <w:szCs w:val="24"/>
          <w:lang w:val="bg-BG"/>
        </w:rPr>
        <w:t xml:space="preserve"> бр.)</w:t>
      </w:r>
      <w:r w:rsidRPr="00610B1B">
        <w:rPr>
          <w:rFonts w:ascii="Times New Roman" w:hAnsi="Times New Roman" w:cs="Times New Roman"/>
          <w:iCs/>
          <w:sz w:val="24"/>
          <w:szCs w:val="24"/>
          <w:lang w:val="bg-BG"/>
        </w:rPr>
        <w:t xml:space="preserve">, Бургас </w:t>
      </w:r>
      <w:r w:rsidR="007B4463" w:rsidRPr="00610B1B">
        <w:rPr>
          <w:rFonts w:ascii="Times New Roman" w:hAnsi="Times New Roman" w:cs="Times New Roman"/>
          <w:iCs/>
          <w:sz w:val="24"/>
          <w:szCs w:val="24"/>
          <w:lang w:val="bg-BG"/>
        </w:rPr>
        <w:t>(</w:t>
      </w:r>
      <w:r w:rsidRPr="00610B1B">
        <w:rPr>
          <w:rFonts w:ascii="Times New Roman" w:hAnsi="Times New Roman" w:cs="Times New Roman"/>
          <w:iCs/>
          <w:sz w:val="24"/>
          <w:szCs w:val="24"/>
          <w:lang w:val="bg-BG"/>
        </w:rPr>
        <w:t>12</w:t>
      </w:r>
      <w:r w:rsidR="007B4463" w:rsidRPr="00610B1B">
        <w:rPr>
          <w:rFonts w:ascii="Times New Roman" w:hAnsi="Times New Roman" w:cs="Times New Roman"/>
          <w:iCs/>
          <w:sz w:val="24"/>
          <w:szCs w:val="24"/>
          <w:lang w:val="bg-BG"/>
        </w:rPr>
        <w:t xml:space="preserve"> бр.)</w:t>
      </w:r>
      <w:r w:rsidRPr="00610B1B">
        <w:rPr>
          <w:rFonts w:ascii="Times New Roman" w:hAnsi="Times New Roman" w:cs="Times New Roman"/>
          <w:iCs/>
          <w:sz w:val="24"/>
          <w:szCs w:val="24"/>
          <w:lang w:val="bg-BG"/>
        </w:rPr>
        <w:t xml:space="preserve">, и по 1 </w:t>
      </w:r>
      <w:r w:rsidR="007B4463" w:rsidRPr="00610B1B">
        <w:rPr>
          <w:rFonts w:ascii="Times New Roman" w:hAnsi="Times New Roman" w:cs="Times New Roman"/>
          <w:iCs/>
          <w:sz w:val="24"/>
          <w:szCs w:val="24"/>
          <w:lang w:val="bg-BG"/>
        </w:rPr>
        <w:t xml:space="preserve">бр. </w:t>
      </w:r>
      <w:r w:rsidRPr="00610B1B">
        <w:rPr>
          <w:rFonts w:ascii="Times New Roman" w:hAnsi="Times New Roman" w:cs="Times New Roman"/>
          <w:iCs/>
          <w:sz w:val="24"/>
          <w:szCs w:val="24"/>
          <w:lang w:val="bg-BG"/>
        </w:rPr>
        <w:t>в общините Каварна, Долни чифлик, Бяла и Поморие</w:t>
      </w:r>
      <w:r w:rsidR="000F6B91" w:rsidRPr="00610B1B">
        <w:rPr>
          <w:rFonts w:ascii="Times New Roman" w:hAnsi="Times New Roman" w:cs="Times New Roman"/>
          <w:iCs/>
          <w:sz w:val="24"/>
          <w:szCs w:val="24"/>
          <w:lang w:val="bg-BG"/>
        </w:rPr>
        <w:t>,</w:t>
      </w:r>
      <w:r w:rsidRPr="00610B1B">
        <w:rPr>
          <w:rFonts w:ascii="Times New Roman" w:hAnsi="Times New Roman" w:cs="Times New Roman"/>
          <w:iCs/>
          <w:sz w:val="24"/>
          <w:szCs w:val="24"/>
          <w:lang w:val="bg-BG"/>
        </w:rPr>
        <w:t xml:space="preserve"> където е концентриран по-гол</w:t>
      </w:r>
      <w:r w:rsidR="007B4463" w:rsidRPr="00610B1B">
        <w:rPr>
          <w:rFonts w:ascii="Times New Roman" w:hAnsi="Times New Roman" w:cs="Times New Roman"/>
          <w:iCs/>
          <w:sz w:val="24"/>
          <w:szCs w:val="24"/>
          <w:lang w:val="bg-BG"/>
        </w:rPr>
        <w:t>я</w:t>
      </w:r>
      <w:r w:rsidRPr="00610B1B">
        <w:rPr>
          <w:rFonts w:ascii="Times New Roman" w:hAnsi="Times New Roman" w:cs="Times New Roman"/>
          <w:iCs/>
          <w:sz w:val="24"/>
          <w:szCs w:val="24"/>
          <w:lang w:val="bg-BG"/>
        </w:rPr>
        <w:t xml:space="preserve">м брой ученици. </w:t>
      </w:r>
      <w:r w:rsidR="007B4463" w:rsidRPr="00610B1B">
        <w:rPr>
          <w:rFonts w:ascii="Times New Roman" w:hAnsi="Times New Roman" w:cs="Times New Roman"/>
          <w:iCs/>
          <w:sz w:val="24"/>
          <w:szCs w:val="24"/>
          <w:lang w:val="bg-BG"/>
        </w:rPr>
        <w:t xml:space="preserve">Продължава </w:t>
      </w:r>
      <w:r w:rsidRPr="00610B1B">
        <w:rPr>
          <w:rFonts w:ascii="Times New Roman" w:hAnsi="Times New Roman" w:cs="Times New Roman"/>
          <w:iCs/>
          <w:sz w:val="24"/>
          <w:szCs w:val="24"/>
          <w:lang w:val="bg-BG"/>
        </w:rPr>
        <w:t>да се търси по-тясно обвързване на професионалното образование с икономическите приоритети на общините и регионите.</w:t>
      </w:r>
      <w:r w:rsidRPr="00610B1B">
        <w:rPr>
          <w:rFonts w:ascii="Times New Roman" w:hAnsi="Times New Roman" w:cs="Times New Roman"/>
          <w:iCs/>
          <w:color w:val="000000"/>
          <w:sz w:val="24"/>
          <w:szCs w:val="24"/>
          <w:lang w:val="bg-BG"/>
        </w:rPr>
        <w:t xml:space="preserve"> </w:t>
      </w:r>
    </w:p>
    <w:p w14:paraId="722CBABC" w14:textId="6A1F7E10" w:rsidR="0082227D" w:rsidRPr="00610B1B" w:rsidRDefault="0082227D"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iCs/>
          <w:sz w:val="24"/>
          <w:szCs w:val="24"/>
          <w:lang w:val="bg-BG"/>
        </w:rPr>
        <w:t>Обектите на система “Висше образование” са силно поляризирани в територията</w:t>
      </w:r>
      <w:r w:rsidR="00D66FE0" w:rsidRPr="00610B1B">
        <w:rPr>
          <w:rFonts w:ascii="Times New Roman" w:hAnsi="Times New Roman" w:cs="Times New Roman"/>
          <w:iCs/>
          <w:sz w:val="24"/>
          <w:szCs w:val="24"/>
          <w:lang w:val="bg-BG"/>
        </w:rPr>
        <w:t xml:space="preserve"> </w:t>
      </w:r>
      <w:r w:rsidRPr="00610B1B">
        <w:rPr>
          <w:rFonts w:ascii="Times New Roman" w:hAnsi="Times New Roman" w:cs="Times New Roman"/>
          <w:iCs/>
          <w:sz w:val="24"/>
          <w:szCs w:val="24"/>
          <w:lang w:val="bg-BG"/>
        </w:rPr>
        <w:t>на</w:t>
      </w:r>
      <w:r w:rsidRPr="00610B1B">
        <w:rPr>
          <w:rFonts w:ascii="Times New Roman" w:hAnsi="Times New Roman" w:cs="Times New Roman"/>
          <w:sz w:val="24"/>
          <w:szCs w:val="24"/>
          <w:lang w:val="bg-BG"/>
        </w:rPr>
        <w:t xml:space="preserve"> Черноморските общини </w:t>
      </w:r>
      <w:r w:rsidR="007B4463" w:rsidRPr="00610B1B">
        <w:rPr>
          <w:rFonts w:ascii="Times New Roman" w:hAnsi="Times New Roman" w:cs="Times New Roman"/>
          <w:sz w:val="24"/>
          <w:szCs w:val="24"/>
          <w:lang w:val="bg-BG"/>
        </w:rPr>
        <w:t xml:space="preserve">и са </w:t>
      </w:r>
      <w:r w:rsidRPr="00610B1B">
        <w:rPr>
          <w:rFonts w:ascii="Times New Roman" w:hAnsi="Times New Roman" w:cs="Times New Roman"/>
          <w:sz w:val="24"/>
          <w:szCs w:val="24"/>
          <w:lang w:val="bg-BG"/>
        </w:rPr>
        <w:t>разположени в градовете Варна и Бургас.</w:t>
      </w:r>
      <w:r w:rsidR="000F6B9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Варна е сред най-важните университетски центрове в страната с </w:t>
      </w:r>
      <w:r w:rsidR="00E10F89" w:rsidRPr="00610B1B">
        <w:rPr>
          <w:rFonts w:ascii="Times New Roman" w:hAnsi="Times New Roman" w:cs="Times New Roman"/>
          <w:sz w:val="24"/>
          <w:szCs w:val="24"/>
          <w:lang w:val="bg-BG"/>
        </w:rPr>
        <w:t>6</w:t>
      </w:r>
      <w:r w:rsidRPr="00610B1B">
        <w:rPr>
          <w:rFonts w:ascii="Times New Roman" w:hAnsi="Times New Roman" w:cs="Times New Roman"/>
          <w:sz w:val="24"/>
          <w:szCs w:val="24"/>
          <w:lang w:val="bg-BG"/>
        </w:rPr>
        <w:t xml:space="preserve"> висши училища</w:t>
      </w:r>
      <w:r w:rsidR="00CF31EC" w:rsidRPr="00610B1B">
        <w:rPr>
          <w:rFonts w:ascii="Times New Roman" w:hAnsi="Times New Roman" w:cs="Times New Roman"/>
          <w:sz w:val="24"/>
          <w:szCs w:val="24"/>
          <w:lang w:val="bg-BG"/>
        </w:rPr>
        <w:t xml:space="preserve"> с 24 хил. студенти за</w:t>
      </w:r>
      <w:r w:rsidRPr="00610B1B">
        <w:rPr>
          <w:rFonts w:ascii="Times New Roman" w:hAnsi="Times New Roman" w:cs="Times New Roman"/>
          <w:sz w:val="24"/>
          <w:szCs w:val="24"/>
          <w:lang w:val="bg-BG"/>
        </w:rPr>
        <w:t xml:space="preserve"> учебната 2018/2019 г.</w:t>
      </w:r>
      <w:r w:rsidR="00CF31EC" w:rsidRPr="00610B1B">
        <w:rPr>
          <w:rFonts w:ascii="Times New Roman" w:hAnsi="Times New Roman" w:cs="Times New Roman"/>
          <w:sz w:val="24"/>
          <w:szCs w:val="24"/>
          <w:lang w:val="bg-BG"/>
        </w:rPr>
        <w:t xml:space="preserve"> </w:t>
      </w:r>
      <w:r w:rsidR="00DF4C1E" w:rsidRPr="00610B1B">
        <w:rPr>
          <w:rFonts w:ascii="Times New Roman" w:hAnsi="Times New Roman" w:cs="Times New Roman"/>
          <w:sz w:val="24"/>
          <w:szCs w:val="24"/>
          <w:lang w:val="bg-BG"/>
        </w:rPr>
        <w:t>Научно</w:t>
      </w:r>
      <w:r w:rsidR="0091208B" w:rsidRPr="00610B1B">
        <w:rPr>
          <w:rFonts w:ascii="Times New Roman" w:hAnsi="Times New Roman" w:cs="Times New Roman"/>
          <w:sz w:val="24"/>
          <w:szCs w:val="24"/>
          <w:lang w:val="bg-BG"/>
        </w:rPr>
        <w:t>-</w:t>
      </w:r>
      <w:r w:rsidR="007B4463" w:rsidRPr="00610B1B">
        <w:rPr>
          <w:rFonts w:ascii="Times New Roman" w:hAnsi="Times New Roman" w:cs="Times New Roman"/>
          <w:sz w:val="24"/>
          <w:szCs w:val="24"/>
          <w:lang w:val="bg-BG"/>
        </w:rPr>
        <w:t>изследователски</w:t>
      </w:r>
      <w:r w:rsidR="00DF4C1E" w:rsidRPr="00610B1B">
        <w:rPr>
          <w:rFonts w:ascii="Times New Roman" w:hAnsi="Times New Roman" w:cs="Times New Roman"/>
          <w:sz w:val="24"/>
          <w:szCs w:val="24"/>
          <w:lang w:val="bg-BG"/>
        </w:rPr>
        <w:t>те</w:t>
      </w:r>
      <w:r w:rsidR="007B4463" w:rsidRPr="00610B1B">
        <w:rPr>
          <w:rFonts w:ascii="Times New Roman" w:hAnsi="Times New Roman" w:cs="Times New Roman"/>
          <w:sz w:val="24"/>
          <w:szCs w:val="24"/>
          <w:lang w:val="bg-BG"/>
        </w:rPr>
        <w:t xml:space="preserve"> центрове</w:t>
      </w:r>
      <w:r w:rsidR="00DF4C1E" w:rsidRPr="00610B1B">
        <w:rPr>
          <w:rFonts w:ascii="Times New Roman" w:hAnsi="Times New Roman" w:cs="Times New Roman"/>
          <w:sz w:val="24"/>
          <w:szCs w:val="24"/>
          <w:lang w:val="bg-BG"/>
        </w:rPr>
        <w:t xml:space="preserve"> във Варна са</w:t>
      </w:r>
      <w:r w:rsidR="007B4463" w:rsidRPr="00610B1B">
        <w:rPr>
          <w:rFonts w:ascii="Times New Roman" w:hAnsi="Times New Roman" w:cs="Times New Roman"/>
          <w:sz w:val="24"/>
          <w:szCs w:val="24"/>
          <w:lang w:val="bg-BG"/>
        </w:rPr>
        <w:t xml:space="preserve"> свързани с науки</w:t>
      </w:r>
      <w:r w:rsidR="00D77217" w:rsidRPr="00610B1B">
        <w:rPr>
          <w:rFonts w:ascii="Times New Roman" w:hAnsi="Times New Roman" w:cs="Times New Roman"/>
          <w:sz w:val="24"/>
          <w:szCs w:val="24"/>
          <w:lang w:val="bg-BG"/>
        </w:rPr>
        <w:t>те</w:t>
      </w:r>
      <w:r w:rsidR="007B4463" w:rsidRPr="00610B1B">
        <w:rPr>
          <w:rFonts w:ascii="Times New Roman" w:hAnsi="Times New Roman" w:cs="Times New Roman"/>
          <w:sz w:val="24"/>
          <w:szCs w:val="24"/>
          <w:lang w:val="bg-BG"/>
        </w:rPr>
        <w:t xml:space="preserve"> за морето и </w:t>
      </w:r>
      <w:r w:rsidR="00D77217" w:rsidRPr="00610B1B">
        <w:rPr>
          <w:rFonts w:ascii="Times New Roman" w:hAnsi="Times New Roman" w:cs="Times New Roman"/>
          <w:sz w:val="24"/>
          <w:szCs w:val="24"/>
          <w:lang w:val="bg-BG"/>
        </w:rPr>
        <w:t>морската икономика. С опита си и с установените традиции, с изградена</w:t>
      </w:r>
      <w:r w:rsidR="000F6B91" w:rsidRPr="00610B1B">
        <w:rPr>
          <w:rFonts w:ascii="Times New Roman" w:hAnsi="Times New Roman" w:cs="Times New Roman"/>
          <w:sz w:val="24"/>
          <w:szCs w:val="24"/>
          <w:lang w:val="bg-BG"/>
        </w:rPr>
        <w:t>та</w:t>
      </w:r>
      <w:r w:rsidR="00D77217" w:rsidRPr="00610B1B">
        <w:rPr>
          <w:rFonts w:ascii="Times New Roman" w:hAnsi="Times New Roman" w:cs="Times New Roman"/>
          <w:sz w:val="24"/>
          <w:szCs w:val="24"/>
          <w:lang w:val="bg-BG"/>
        </w:rPr>
        <w:t xml:space="preserve"> среда и с участието в мно</w:t>
      </w:r>
      <w:r w:rsidR="00DF4C1E" w:rsidRPr="00610B1B">
        <w:rPr>
          <w:rFonts w:ascii="Times New Roman" w:hAnsi="Times New Roman" w:cs="Times New Roman"/>
          <w:sz w:val="24"/>
          <w:szCs w:val="24"/>
          <w:lang w:val="bg-BG"/>
        </w:rPr>
        <w:t>го</w:t>
      </w:r>
      <w:r w:rsidR="00D77217" w:rsidRPr="00610B1B">
        <w:rPr>
          <w:rFonts w:ascii="Times New Roman" w:hAnsi="Times New Roman" w:cs="Times New Roman"/>
          <w:sz w:val="24"/>
          <w:szCs w:val="24"/>
          <w:lang w:val="bg-BG"/>
        </w:rPr>
        <w:t xml:space="preserve"> международни проекти, те концентрират знания, компетенции и ценна информация за морската среда.</w:t>
      </w:r>
      <w:r w:rsidR="0091208B"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Бургас </w:t>
      </w:r>
      <w:r w:rsidR="00D77217" w:rsidRPr="00610B1B">
        <w:rPr>
          <w:rFonts w:ascii="Times New Roman" w:hAnsi="Times New Roman" w:cs="Times New Roman"/>
          <w:sz w:val="24"/>
          <w:szCs w:val="24"/>
          <w:lang w:val="bg-BG"/>
        </w:rPr>
        <w:t xml:space="preserve">разполага с </w:t>
      </w:r>
      <w:r w:rsidR="00E10F89" w:rsidRPr="00610B1B">
        <w:rPr>
          <w:rFonts w:ascii="Times New Roman" w:hAnsi="Times New Roman" w:cs="Times New Roman"/>
          <w:sz w:val="24"/>
          <w:szCs w:val="24"/>
          <w:lang w:val="bg-BG"/>
        </w:rPr>
        <w:t>2</w:t>
      </w:r>
      <w:r w:rsidR="00D77217" w:rsidRPr="00610B1B">
        <w:rPr>
          <w:rFonts w:ascii="Times New Roman" w:hAnsi="Times New Roman" w:cs="Times New Roman"/>
          <w:sz w:val="24"/>
          <w:szCs w:val="24"/>
          <w:lang w:val="bg-BG"/>
        </w:rPr>
        <w:t xml:space="preserve"> висши училища</w:t>
      </w:r>
      <w:r w:rsidR="000F6B91" w:rsidRPr="00610B1B">
        <w:rPr>
          <w:rFonts w:ascii="Times New Roman" w:hAnsi="Times New Roman" w:cs="Times New Roman"/>
          <w:sz w:val="24"/>
          <w:szCs w:val="24"/>
          <w:lang w:val="bg-BG"/>
        </w:rPr>
        <w:t xml:space="preserve">, </w:t>
      </w:r>
      <w:r w:rsidR="00C812E9" w:rsidRPr="00610B1B">
        <w:rPr>
          <w:rFonts w:ascii="Times New Roman" w:hAnsi="Times New Roman" w:cs="Times New Roman"/>
          <w:sz w:val="24"/>
          <w:szCs w:val="24"/>
          <w:lang w:val="bg-BG"/>
        </w:rPr>
        <w:t>в които</w:t>
      </w:r>
      <w:r w:rsidRPr="00610B1B">
        <w:rPr>
          <w:rFonts w:ascii="Times New Roman" w:hAnsi="Times New Roman" w:cs="Times New Roman"/>
          <w:sz w:val="24"/>
          <w:szCs w:val="24"/>
          <w:lang w:val="bg-BG"/>
        </w:rPr>
        <w:t xml:space="preserve"> през учебната 2018/2019 г.</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се обучават 6 хил. студенти.</w:t>
      </w:r>
    </w:p>
    <w:p w14:paraId="25DFA4D3" w14:textId="2F16495E" w:rsidR="00D77217" w:rsidRPr="00610B1B" w:rsidRDefault="00D7721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От краткия анализ на образованието и на изградената инфраструктура могат да се направят </w:t>
      </w:r>
      <w:r w:rsidRPr="00610B1B">
        <w:rPr>
          <w:rFonts w:ascii="Times New Roman" w:hAnsi="Times New Roman" w:cs="Times New Roman"/>
          <w:b/>
          <w:sz w:val="24"/>
          <w:szCs w:val="24"/>
          <w:lang w:val="bg-BG"/>
        </w:rPr>
        <w:t>изводи</w:t>
      </w:r>
      <w:r w:rsidR="001E4316" w:rsidRPr="00610B1B">
        <w:rPr>
          <w:rFonts w:ascii="Times New Roman" w:hAnsi="Times New Roman" w:cs="Times New Roman"/>
          <w:b/>
          <w:sz w:val="24"/>
          <w:szCs w:val="24"/>
          <w:lang w:val="bg-BG"/>
        </w:rPr>
        <w:t>те</w:t>
      </w:r>
      <w:r w:rsidR="001E4316" w:rsidRPr="00610B1B">
        <w:rPr>
          <w:rFonts w:ascii="Times New Roman" w:hAnsi="Times New Roman" w:cs="Times New Roman"/>
          <w:bCs/>
          <w:sz w:val="24"/>
          <w:szCs w:val="24"/>
          <w:lang w:val="bg-BG"/>
        </w:rPr>
        <w:t>,</w:t>
      </w:r>
      <w:r w:rsidR="001E4316" w:rsidRPr="00610B1B">
        <w:rPr>
          <w:rFonts w:ascii="Times New Roman" w:hAnsi="Times New Roman" w:cs="Times New Roman"/>
          <w:b/>
          <w:sz w:val="24"/>
          <w:szCs w:val="24"/>
          <w:lang w:val="bg-BG"/>
        </w:rPr>
        <w:t xml:space="preserve"> </w:t>
      </w:r>
      <w:r w:rsidR="001E4316" w:rsidRPr="00610B1B">
        <w:rPr>
          <w:rFonts w:ascii="Times New Roman" w:hAnsi="Times New Roman" w:cs="Times New Roman"/>
          <w:sz w:val="24"/>
          <w:szCs w:val="24"/>
          <w:lang w:val="bg-BG"/>
        </w:rPr>
        <w:t>че в</w:t>
      </w:r>
      <w:r w:rsidRPr="00610B1B">
        <w:rPr>
          <w:rFonts w:ascii="Times New Roman" w:hAnsi="Times New Roman" w:cs="Times New Roman"/>
          <w:sz w:val="24"/>
          <w:szCs w:val="24"/>
          <w:lang w:val="bg-BG"/>
        </w:rPr>
        <w:t xml:space="preserve"> Черноморските общини е концентрирано високо образовано население</w:t>
      </w:r>
      <w:r w:rsidR="001E4316" w:rsidRPr="00610B1B">
        <w:rPr>
          <w:rFonts w:ascii="Times New Roman" w:hAnsi="Times New Roman" w:cs="Times New Roman"/>
          <w:sz w:val="24"/>
          <w:szCs w:val="24"/>
          <w:lang w:val="bg-BG"/>
        </w:rPr>
        <w:t xml:space="preserve">. Висок е относителният дял както на </w:t>
      </w:r>
      <w:r w:rsidR="0082227D" w:rsidRPr="00610B1B">
        <w:rPr>
          <w:rFonts w:ascii="Times New Roman" w:hAnsi="Times New Roman" w:cs="Times New Roman"/>
          <w:sz w:val="24"/>
          <w:szCs w:val="24"/>
          <w:lang w:val="bg-BG"/>
        </w:rPr>
        <w:t>население</w:t>
      </w:r>
      <w:r w:rsidR="001E4316" w:rsidRPr="00610B1B">
        <w:rPr>
          <w:rFonts w:ascii="Times New Roman" w:hAnsi="Times New Roman" w:cs="Times New Roman"/>
          <w:sz w:val="24"/>
          <w:szCs w:val="24"/>
          <w:lang w:val="bg-BG"/>
        </w:rPr>
        <w:t>то</w:t>
      </w:r>
      <w:r w:rsidR="0082227D" w:rsidRPr="00610B1B">
        <w:rPr>
          <w:rFonts w:ascii="Times New Roman" w:hAnsi="Times New Roman" w:cs="Times New Roman"/>
          <w:sz w:val="24"/>
          <w:szCs w:val="24"/>
          <w:lang w:val="bg-BG"/>
        </w:rPr>
        <w:t xml:space="preserve"> с висше образование </w:t>
      </w:r>
      <w:r w:rsidRPr="00610B1B">
        <w:rPr>
          <w:rFonts w:ascii="Times New Roman" w:hAnsi="Times New Roman" w:cs="Times New Roman"/>
          <w:sz w:val="24"/>
          <w:szCs w:val="24"/>
          <w:lang w:val="bg-BG"/>
        </w:rPr>
        <w:t>(</w:t>
      </w:r>
      <w:r w:rsidR="0082227D" w:rsidRPr="00610B1B">
        <w:rPr>
          <w:rFonts w:ascii="Times New Roman" w:hAnsi="Times New Roman" w:cs="Times New Roman"/>
          <w:sz w:val="24"/>
          <w:szCs w:val="24"/>
          <w:lang w:val="bg-BG"/>
        </w:rPr>
        <w:t>24.1%</w:t>
      </w:r>
      <w:r w:rsidRPr="00610B1B">
        <w:rPr>
          <w:rFonts w:ascii="Times New Roman" w:hAnsi="Times New Roman" w:cs="Times New Roman"/>
          <w:sz w:val="24"/>
          <w:szCs w:val="24"/>
          <w:lang w:val="bg-BG"/>
        </w:rPr>
        <w:t>)</w:t>
      </w:r>
      <w:r w:rsidR="001E4316" w:rsidRPr="00610B1B">
        <w:rPr>
          <w:rFonts w:ascii="Times New Roman" w:hAnsi="Times New Roman" w:cs="Times New Roman"/>
          <w:sz w:val="24"/>
          <w:szCs w:val="24"/>
          <w:lang w:val="bg-BG"/>
        </w:rPr>
        <w:t xml:space="preserve">, така </w:t>
      </w:r>
      <w:r w:rsidRPr="00610B1B">
        <w:rPr>
          <w:rFonts w:ascii="Times New Roman" w:hAnsi="Times New Roman" w:cs="Times New Roman"/>
          <w:sz w:val="24"/>
          <w:szCs w:val="24"/>
          <w:lang w:val="bg-BG"/>
        </w:rPr>
        <w:t xml:space="preserve">и </w:t>
      </w:r>
      <w:r w:rsidR="0082227D" w:rsidRPr="00610B1B">
        <w:rPr>
          <w:rFonts w:ascii="Times New Roman" w:hAnsi="Times New Roman" w:cs="Times New Roman"/>
          <w:sz w:val="24"/>
          <w:szCs w:val="24"/>
          <w:lang w:val="bg-BG"/>
        </w:rPr>
        <w:t>на население</w:t>
      </w:r>
      <w:r w:rsidR="001E4316" w:rsidRPr="00610B1B">
        <w:rPr>
          <w:rFonts w:ascii="Times New Roman" w:hAnsi="Times New Roman" w:cs="Times New Roman"/>
          <w:sz w:val="24"/>
          <w:szCs w:val="24"/>
          <w:lang w:val="bg-BG"/>
        </w:rPr>
        <w:t>то</w:t>
      </w:r>
      <w:r w:rsidR="0082227D" w:rsidRPr="00610B1B">
        <w:rPr>
          <w:rFonts w:ascii="Times New Roman" w:hAnsi="Times New Roman" w:cs="Times New Roman"/>
          <w:sz w:val="24"/>
          <w:szCs w:val="24"/>
          <w:lang w:val="bg-BG"/>
        </w:rPr>
        <w:t xml:space="preserve"> със средно образование </w:t>
      </w:r>
      <w:r w:rsidR="001E4316" w:rsidRPr="00610B1B">
        <w:rPr>
          <w:rFonts w:ascii="Times New Roman" w:hAnsi="Times New Roman" w:cs="Times New Roman"/>
          <w:sz w:val="24"/>
          <w:szCs w:val="24"/>
          <w:lang w:val="bg-BG"/>
        </w:rPr>
        <w:t>(</w:t>
      </w:r>
      <w:r w:rsidR="0082227D" w:rsidRPr="00610B1B">
        <w:rPr>
          <w:rFonts w:ascii="Times New Roman" w:hAnsi="Times New Roman" w:cs="Times New Roman"/>
          <w:sz w:val="24"/>
          <w:szCs w:val="24"/>
          <w:lang w:val="bg-BG"/>
        </w:rPr>
        <w:t>44.8%</w:t>
      </w:r>
      <w:r w:rsidR="001E4316"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В градовете Варна и Бургас функционират </w:t>
      </w:r>
      <w:r w:rsidR="0082227D" w:rsidRPr="00610B1B">
        <w:rPr>
          <w:rFonts w:ascii="Times New Roman" w:hAnsi="Times New Roman" w:cs="Times New Roman"/>
          <w:sz w:val="24"/>
          <w:szCs w:val="24"/>
          <w:lang w:val="bg-BG"/>
        </w:rPr>
        <w:t>значими общообразователни и професионални училища</w:t>
      </w:r>
      <w:r w:rsidRPr="00610B1B">
        <w:rPr>
          <w:rFonts w:ascii="Times New Roman" w:hAnsi="Times New Roman" w:cs="Times New Roman"/>
          <w:sz w:val="24"/>
          <w:szCs w:val="24"/>
          <w:lang w:val="bg-BG"/>
        </w:rPr>
        <w:t>, в по-голямата част от които се изучават дисциплини, свързани с морето и дейностите</w:t>
      </w:r>
      <w:r w:rsidR="000F6B91"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осъществявани в него и в крайбрежната зона – туризъм, пристанищна дейност и логистика, морски транспорт и д</w:t>
      </w:r>
      <w:r w:rsidR="00757909" w:rsidRPr="00610B1B">
        <w:rPr>
          <w:rFonts w:ascii="Times New Roman" w:hAnsi="Times New Roman" w:cs="Times New Roman"/>
          <w:sz w:val="24"/>
          <w:szCs w:val="24"/>
          <w:lang w:val="bg-BG"/>
        </w:rPr>
        <w:t>руги</w:t>
      </w:r>
      <w:r w:rsidRPr="00610B1B">
        <w:rPr>
          <w:rFonts w:ascii="Times New Roman" w:hAnsi="Times New Roman" w:cs="Times New Roman"/>
          <w:sz w:val="24"/>
          <w:szCs w:val="24"/>
          <w:lang w:val="bg-BG"/>
        </w:rPr>
        <w:t>.</w:t>
      </w:r>
    </w:p>
    <w:p w14:paraId="193F4942" w14:textId="59BF38F6" w:rsidR="0082227D" w:rsidRPr="00610B1B" w:rsidRDefault="00D7721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 най-голямо значение в областта на образованието са градовете </w:t>
      </w:r>
      <w:r w:rsidR="0082227D" w:rsidRPr="00610B1B">
        <w:rPr>
          <w:rFonts w:ascii="Times New Roman" w:hAnsi="Times New Roman" w:cs="Times New Roman"/>
          <w:sz w:val="24"/>
          <w:szCs w:val="24"/>
          <w:lang w:val="bg-BG"/>
        </w:rPr>
        <w:t>Варна и Бургас</w:t>
      </w:r>
      <w:r w:rsidRPr="00610B1B">
        <w:rPr>
          <w:rFonts w:ascii="Times New Roman" w:hAnsi="Times New Roman" w:cs="Times New Roman"/>
          <w:sz w:val="24"/>
          <w:szCs w:val="24"/>
          <w:lang w:val="bg-BG"/>
        </w:rPr>
        <w:t xml:space="preserve">, които са </w:t>
      </w:r>
      <w:r w:rsidR="0082227D" w:rsidRPr="00610B1B">
        <w:rPr>
          <w:rFonts w:ascii="Times New Roman" w:hAnsi="Times New Roman" w:cs="Times New Roman"/>
          <w:sz w:val="24"/>
          <w:szCs w:val="24"/>
          <w:lang w:val="bg-BG"/>
        </w:rPr>
        <w:t xml:space="preserve">важни университетски </w:t>
      </w:r>
      <w:r w:rsidRPr="00610B1B">
        <w:rPr>
          <w:rFonts w:ascii="Times New Roman" w:hAnsi="Times New Roman" w:cs="Times New Roman"/>
          <w:sz w:val="24"/>
          <w:szCs w:val="24"/>
          <w:lang w:val="bg-BG"/>
        </w:rPr>
        <w:t xml:space="preserve">и научноизследователски </w:t>
      </w:r>
      <w:r w:rsidR="0082227D" w:rsidRPr="00610B1B">
        <w:rPr>
          <w:rFonts w:ascii="Times New Roman" w:hAnsi="Times New Roman" w:cs="Times New Roman"/>
          <w:sz w:val="24"/>
          <w:szCs w:val="24"/>
          <w:lang w:val="bg-BG"/>
        </w:rPr>
        <w:t>центрове</w:t>
      </w:r>
      <w:r w:rsidR="0091208B" w:rsidRPr="00610B1B">
        <w:rPr>
          <w:rFonts w:ascii="Times New Roman" w:hAnsi="Times New Roman" w:cs="Times New Roman"/>
          <w:sz w:val="24"/>
          <w:szCs w:val="24"/>
          <w:lang w:val="bg-BG"/>
        </w:rPr>
        <w:t xml:space="preserve"> и </w:t>
      </w:r>
      <w:r w:rsidR="00392A32" w:rsidRPr="00610B1B">
        <w:rPr>
          <w:rFonts w:ascii="Times New Roman" w:hAnsi="Times New Roman" w:cs="Times New Roman"/>
          <w:sz w:val="24"/>
          <w:szCs w:val="24"/>
          <w:lang w:val="bg-BG"/>
        </w:rPr>
        <w:t>осъществява</w:t>
      </w:r>
      <w:r w:rsidR="0091208B" w:rsidRPr="00610B1B">
        <w:rPr>
          <w:rFonts w:ascii="Times New Roman" w:hAnsi="Times New Roman" w:cs="Times New Roman"/>
          <w:sz w:val="24"/>
          <w:szCs w:val="24"/>
          <w:lang w:val="bg-BG"/>
        </w:rPr>
        <w:t>т</w:t>
      </w:r>
      <w:r w:rsidR="006D509C" w:rsidRPr="00610B1B">
        <w:rPr>
          <w:rFonts w:ascii="Times New Roman" w:hAnsi="Times New Roman" w:cs="Times New Roman"/>
          <w:sz w:val="24"/>
          <w:szCs w:val="24"/>
          <w:lang w:val="bg-BG"/>
        </w:rPr>
        <w:t xml:space="preserve"> своята дейност и в сферата на свързаните с морето </w:t>
      </w:r>
      <w:r w:rsidR="0091208B" w:rsidRPr="00610B1B">
        <w:rPr>
          <w:rFonts w:ascii="Times New Roman" w:hAnsi="Times New Roman" w:cs="Times New Roman"/>
          <w:sz w:val="24"/>
          <w:szCs w:val="24"/>
          <w:lang w:val="bg-BG"/>
        </w:rPr>
        <w:t xml:space="preserve">икономически </w:t>
      </w:r>
      <w:r w:rsidR="006D509C" w:rsidRPr="00610B1B">
        <w:rPr>
          <w:rFonts w:ascii="Times New Roman" w:hAnsi="Times New Roman" w:cs="Times New Roman"/>
          <w:sz w:val="24"/>
          <w:szCs w:val="24"/>
          <w:lang w:val="bg-BG"/>
        </w:rPr>
        <w:t>сектори.</w:t>
      </w:r>
      <w:r w:rsidR="000F6B91" w:rsidRPr="00610B1B">
        <w:rPr>
          <w:rFonts w:ascii="Times New Roman" w:hAnsi="Times New Roman" w:cs="Times New Roman"/>
          <w:sz w:val="24"/>
          <w:szCs w:val="24"/>
          <w:lang w:val="bg-BG"/>
        </w:rPr>
        <w:t xml:space="preserve"> Това доказва потенциал за развитие на приоритетите на стратегическите документи за Черноморския регион.</w:t>
      </w:r>
    </w:p>
    <w:p w14:paraId="17F90C5D" w14:textId="77777777" w:rsidR="009907CE" w:rsidRPr="00610B1B" w:rsidRDefault="009907CE" w:rsidP="00D32D6A">
      <w:pPr>
        <w:spacing w:after="120"/>
        <w:ind w:right="-153"/>
        <w:jc w:val="both"/>
        <w:rPr>
          <w:rFonts w:ascii="Times New Roman" w:hAnsi="Times New Roman" w:cs="Times New Roman"/>
          <w:sz w:val="24"/>
          <w:szCs w:val="24"/>
          <w:lang w:val="bg-BG"/>
        </w:rPr>
      </w:pPr>
    </w:p>
    <w:p w14:paraId="0A6C2D4F" w14:textId="295AF7A6" w:rsidR="00D77217" w:rsidRPr="00610B1B" w:rsidRDefault="00923F27" w:rsidP="00D32D6A">
      <w:pPr>
        <w:pStyle w:val="Heading3"/>
        <w:spacing w:before="0" w:line="276" w:lineRule="auto"/>
        <w:rPr>
          <w:rFonts w:cs="Times New Roman"/>
        </w:rPr>
      </w:pPr>
      <w:bookmarkStart w:id="315" w:name="_Toc83391369"/>
      <w:r w:rsidRPr="00610B1B">
        <w:rPr>
          <w:rFonts w:cs="Times New Roman"/>
        </w:rPr>
        <w:t xml:space="preserve">2.3.3. </w:t>
      </w:r>
      <w:r w:rsidR="00D77217" w:rsidRPr="00610B1B">
        <w:rPr>
          <w:rFonts w:cs="Times New Roman"/>
        </w:rPr>
        <w:t>Здравеопазване</w:t>
      </w:r>
      <w:bookmarkEnd w:id="315"/>
    </w:p>
    <w:p w14:paraId="3EE17812" w14:textId="771CA262" w:rsidR="00F96DBA" w:rsidRPr="00610B1B" w:rsidRDefault="00CF31EC"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hAnsi="Times New Roman" w:cs="Times New Roman"/>
          <w:sz w:val="24"/>
          <w:szCs w:val="24"/>
          <w:lang w:val="bg-BG"/>
        </w:rPr>
        <w:t>Анализът на с</w:t>
      </w:r>
      <w:r w:rsidR="00D77217" w:rsidRPr="00610B1B">
        <w:rPr>
          <w:rFonts w:ascii="Times New Roman" w:hAnsi="Times New Roman" w:cs="Times New Roman"/>
          <w:sz w:val="24"/>
          <w:szCs w:val="24"/>
          <w:lang w:val="bg-BG"/>
        </w:rPr>
        <w:t xml:space="preserve">истемата на здравеопазването </w:t>
      </w:r>
      <w:r w:rsidRPr="00610B1B">
        <w:rPr>
          <w:rFonts w:ascii="Times New Roman" w:hAnsi="Times New Roman" w:cs="Times New Roman"/>
          <w:sz w:val="24"/>
          <w:szCs w:val="24"/>
          <w:lang w:val="bg-BG"/>
        </w:rPr>
        <w:t>показва</w:t>
      </w:r>
      <w:r w:rsidR="0091208B" w:rsidRPr="00610B1B">
        <w:rPr>
          <w:rFonts w:ascii="Times New Roman" w:hAnsi="Times New Roman" w:cs="Times New Roman"/>
          <w:sz w:val="24"/>
          <w:szCs w:val="24"/>
          <w:lang w:val="bg-BG"/>
        </w:rPr>
        <w:t xml:space="preserve"> в</w:t>
      </w:r>
      <w:r w:rsidR="00D77217" w:rsidRPr="00610B1B">
        <w:rPr>
          <w:rFonts w:ascii="Times New Roman" w:hAnsi="Times New Roman" w:cs="Times New Roman"/>
          <w:sz w:val="24"/>
          <w:szCs w:val="24"/>
          <w:lang w:val="bg-BG"/>
        </w:rPr>
        <w:t xml:space="preserve">ъзможностите за обслужване през активния туристически сезон, когато населението в Черноморските общини нараства неколкократно. </w:t>
      </w:r>
      <w:r w:rsidR="003308C9" w:rsidRPr="00610B1B">
        <w:rPr>
          <w:rFonts w:ascii="Times New Roman" w:eastAsia="Times New Roman" w:hAnsi="Times New Roman" w:cs="Times New Roman"/>
          <w:sz w:val="24"/>
          <w:szCs w:val="24"/>
          <w:lang w:val="bg-BG" w:eastAsia="bg-BG"/>
        </w:rPr>
        <w:t xml:space="preserve">През 2018 г. инфраструктура на болничната помощ включва </w:t>
      </w:r>
      <w:r w:rsidR="003308C9" w:rsidRPr="00610B1B">
        <w:rPr>
          <w:rFonts w:ascii="Times New Roman" w:eastAsia="Times New Roman" w:hAnsi="Times New Roman" w:cs="Times New Roman"/>
          <w:bCs/>
          <w:sz w:val="24"/>
          <w:szCs w:val="24"/>
          <w:lang w:val="bg-BG" w:eastAsia="bg-BG"/>
        </w:rPr>
        <w:t>32 болнични заведения</w:t>
      </w:r>
      <w:r w:rsidR="003308C9" w:rsidRPr="00610B1B">
        <w:rPr>
          <w:rFonts w:ascii="Times New Roman" w:eastAsia="Times New Roman" w:hAnsi="Times New Roman" w:cs="Times New Roman"/>
          <w:sz w:val="24"/>
          <w:szCs w:val="24"/>
          <w:lang w:val="bg-BG" w:eastAsia="bg-BG"/>
        </w:rPr>
        <w:t xml:space="preserve"> с 4 932 легла</w:t>
      </w:r>
      <w:r w:rsidR="00525DC8" w:rsidRPr="00610B1B">
        <w:rPr>
          <w:rFonts w:ascii="Times New Roman" w:eastAsia="Times New Roman" w:hAnsi="Times New Roman" w:cs="Times New Roman"/>
          <w:sz w:val="24"/>
          <w:szCs w:val="24"/>
          <w:lang w:val="bg-BG" w:eastAsia="bg-BG"/>
        </w:rPr>
        <w:t xml:space="preserve"> в СИР</w:t>
      </w:r>
      <w:r w:rsidR="003308C9" w:rsidRPr="00610B1B">
        <w:rPr>
          <w:rFonts w:ascii="Times New Roman" w:eastAsia="Times New Roman" w:hAnsi="Times New Roman" w:cs="Times New Roman"/>
          <w:sz w:val="24"/>
          <w:szCs w:val="24"/>
          <w:lang w:val="bg-BG" w:eastAsia="bg-BG"/>
        </w:rPr>
        <w:t>, което представлява 9.2% от болничните заведения и 9.3% от болничните легла в страната</w:t>
      </w:r>
      <w:r w:rsidR="00525DC8" w:rsidRPr="00610B1B">
        <w:rPr>
          <w:rFonts w:ascii="Times New Roman" w:eastAsia="Times New Roman" w:hAnsi="Times New Roman" w:cs="Times New Roman"/>
          <w:sz w:val="24"/>
          <w:szCs w:val="24"/>
          <w:lang w:val="bg-BG" w:eastAsia="bg-BG"/>
        </w:rPr>
        <w:t xml:space="preserve"> и </w:t>
      </w:r>
      <w:r w:rsidR="00525DC8" w:rsidRPr="00610B1B">
        <w:rPr>
          <w:rFonts w:ascii="Times New Roman" w:eastAsia="Calibri" w:hAnsi="Times New Roman" w:cs="Times New Roman"/>
          <w:sz w:val="24"/>
          <w:szCs w:val="24"/>
          <w:lang w:val="bg-BG" w:eastAsia="bg-BG"/>
        </w:rPr>
        <w:t xml:space="preserve">46 болнични заведения с 6 805 легла, или още 13.3% от болничните заведения и 12.8% от болничните легла в страната. </w:t>
      </w:r>
      <w:r w:rsidR="00525DC8" w:rsidRPr="00610B1B">
        <w:rPr>
          <w:rFonts w:ascii="Times New Roman" w:eastAsia="Times New Roman" w:hAnsi="Times New Roman" w:cs="Times New Roman"/>
          <w:sz w:val="24"/>
          <w:szCs w:val="24"/>
          <w:lang w:val="bg-BG" w:eastAsia="bg-BG"/>
        </w:rPr>
        <w:t xml:space="preserve">Основната </w:t>
      </w:r>
      <w:r w:rsidR="003308C9" w:rsidRPr="00610B1B">
        <w:rPr>
          <w:rFonts w:ascii="Times New Roman" w:eastAsia="Times New Roman" w:hAnsi="Times New Roman" w:cs="Times New Roman"/>
          <w:sz w:val="24"/>
          <w:szCs w:val="24"/>
          <w:lang w:val="bg-BG" w:eastAsia="bg-BG"/>
        </w:rPr>
        <w:t xml:space="preserve">част от болничните заведения </w:t>
      </w:r>
      <w:r w:rsidR="00525DC8" w:rsidRPr="00610B1B">
        <w:rPr>
          <w:rFonts w:ascii="Times New Roman" w:eastAsia="Times New Roman" w:hAnsi="Times New Roman" w:cs="Times New Roman"/>
          <w:sz w:val="24"/>
          <w:szCs w:val="24"/>
          <w:lang w:val="bg-BG" w:eastAsia="bg-BG"/>
        </w:rPr>
        <w:t xml:space="preserve">за Северното Черноморие е </w:t>
      </w:r>
      <w:r w:rsidR="003308C9" w:rsidRPr="00610B1B">
        <w:rPr>
          <w:rFonts w:ascii="Times New Roman" w:eastAsia="Times New Roman" w:hAnsi="Times New Roman" w:cs="Times New Roman"/>
          <w:sz w:val="24"/>
          <w:szCs w:val="24"/>
          <w:lang w:val="bg-BG" w:eastAsia="bg-BG"/>
        </w:rPr>
        <w:t>концентрирана в</w:t>
      </w:r>
      <w:r w:rsidR="00D66FE0" w:rsidRPr="00610B1B">
        <w:rPr>
          <w:rFonts w:ascii="Times New Roman" w:eastAsia="Times New Roman" w:hAnsi="Times New Roman" w:cs="Times New Roman"/>
          <w:sz w:val="24"/>
          <w:szCs w:val="24"/>
          <w:lang w:val="bg-BG" w:eastAsia="bg-BG"/>
        </w:rPr>
        <w:t xml:space="preserve"> </w:t>
      </w:r>
      <w:r w:rsidR="003308C9" w:rsidRPr="00610B1B">
        <w:rPr>
          <w:rFonts w:ascii="Times New Roman" w:eastAsia="Times New Roman" w:hAnsi="Times New Roman" w:cs="Times New Roman"/>
          <w:sz w:val="24"/>
          <w:szCs w:val="24"/>
          <w:lang w:val="bg-BG" w:eastAsia="bg-BG"/>
        </w:rPr>
        <w:t>област Варна</w:t>
      </w:r>
      <w:r w:rsidR="00525DC8" w:rsidRPr="00610B1B">
        <w:rPr>
          <w:rFonts w:ascii="Times New Roman" w:eastAsia="Times New Roman" w:hAnsi="Times New Roman" w:cs="Times New Roman"/>
          <w:sz w:val="24"/>
          <w:szCs w:val="24"/>
          <w:lang w:val="bg-BG" w:eastAsia="bg-BG"/>
        </w:rPr>
        <w:t>, където има 16</w:t>
      </w:r>
      <w:r w:rsidR="00D66FE0" w:rsidRPr="00610B1B">
        <w:rPr>
          <w:rFonts w:ascii="Times New Roman" w:eastAsia="Times New Roman" w:hAnsi="Times New Roman" w:cs="Times New Roman"/>
          <w:sz w:val="24"/>
          <w:szCs w:val="24"/>
          <w:lang w:val="bg-BG" w:eastAsia="bg-BG"/>
        </w:rPr>
        <w:t xml:space="preserve"> </w:t>
      </w:r>
      <w:r w:rsidR="003308C9" w:rsidRPr="00610B1B">
        <w:rPr>
          <w:rFonts w:ascii="Times New Roman" w:eastAsia="Times New Roman" w:hAnsi="Times New Roman" w:cs="Times New Roman"/>
          <w:sz w:val="24"/>
          <w:szCs w:val="24"/>
          <w:lang w:val="bg-BG" w:eastAsia="bg-BG"/>
        </w:rPr>
        <w:t>болнични</w:t>
      </w:r>
      <w:r w:rsidR="00525DC8" w:rsidRPr="00610B1B">
        <w:rPr>
          <w:rFonts w:ascii="Times New Roman" w:eastAsia="Times New Roman" w:hAnsi="Times New Roman" w:cs="Times New Roman"/>
          <w:sz w:val="24"/>
          <w:szCs w:val="24"/>
          <w:lang w:val="bg-BG" w:eastAsia="bg-BG"/>
        </w:rPr>
        <w:t xml:space="preserve"> заведения </w:t>
      </w:r>
      <w:r w:rsidR="005C345A" w:rsidRPr="00610B1B">
        <w:rPr>
          <w:rFonts w:ascii="Times New Roman" w:eastAsia="Times New Roman" w:hAnsi="Times New Roman" w:cs="Times New Roman"/>
          <w:sz w:val="24"/>
          <w:szCs w:val="24"/>
          <w:lang w:val="bg-BG" w:eastAsia="bg-BG"/>
        </w:rPr>
        <w:t>с общо 2</w:t>
      </w:r>
      <w:r w:rsidR="006D509C" w:rsidRPr="00610B1B">
        <w:rPr>
          <w:rFonts w:ascii="Times New Roman" w:eastAsia="Times New Roman" w:hAnsi="Times New Roman" w:cs="Times New Roman"/>
          <w:sz w:val="24"/>
          <w:szCs w:val="24"/>
          <w:lang w:val="bg-BG" w:eastAsia="bg-BG"/>
        </w:rPr>
        <w:t> </w:t>
      </w:r>
      <w:r w:rsidR="005C345A" w:rsidRPr="00610B1B">
        <w:rPr>
          <w:rFonts w:ascii="Times New Roman" w:eastAsia="Times New Roman" w:hAnsi="Times New Roman" w:cs="Times New Roman"/>
          <w:sz w:val="24"/>
          <w:szCs w:val="24"/>
          <w:lang w:val="bg-BG" w:eastAsia="bg-BG"/>
        </w:rPr>
        <w:t>670 легла</w:t>
      </w:r>
      <w:r w:rsidR="003308C9" w:rsidRPr="00610B1B">
        <w:rPr>
          <w:rFonts w:ascii="Times New Roman" w:eastAsia="Times New Roman" w:hAnsi="Times New Roman" w:cs="Times New Roman"/>
          <w:sz w:val="24"/>
          <w:szCs w:val="24"/>
          <w:lang w:val="bg-BG" w:eastAsia="bg-BG"/>
        </w:rPr>
        <w:t xml:space="preserve">, </w:t>
      </w:r>
      <w:r w:rsidR="005C345A" w:rsidRPr="00610B1B">
        <w:rPr>
          <w:rFonts w:ascii="Times New Roman" w:eastAsia="Times New Roman" w:hAnsi="Times New Roman" w:cs="Times New Roman"/>
          <w:sz w:val="24"/>
          <w:szCs w:val="24"/>
          <w:lang w:val="bg-BG" w:eastAsia="bg-BG"/>
        </w:rPr>
        <w:t>от които 6 многопрофилни с 2 057 легла</w:t>
      </w:r>
      <w:r w:rsidR="00D66FE0" w:rsidRPr="00610B1B">
        <w:rPr>
          <w:rFonts w:ascii="Times New Roman" w:eastAsia="Times New Roman" w:hAnsi="Times New Roman" w:cs="Times New Roman"/>
          <w:sz w:val="24"/>
          <w:szCs w:val="24"/>
          <w:lang w:val="bg-BG" w:eastAsia="bg-BG"/>
        </w:rPr>
        <w:t xml:space="preserve"> </w:t>
      </w:r>
      <w:r w:rsidR="0091208B" w:rsidRPr="00610B1B">
        <w:rPr>
          <w:rFonts w:ascii="Times New Roman" w:eastAsia="Times New Roman" w:hAnsi="Times New Roman" w:cs="Times New Roman"/>
          <w:sz w:val="24"/>
          <w:szCs w:val="24"/>
          <w:lang w:val="bg-BG" w:eastAsia="bg-BG"/>
        </w:rPr>
        <w:t xml:space="preserve">или </w:t>
      </w:r>
      <w:r w:rsidR="003308C9" w:rsidRPr="00610B1B">
        <w:rPr>
          <w:rFonts w:ascii="Times New Roman" w:eastAsia="Times New Roman" w:hAnsi="Times New Roman" w:cs="Times New Roman"/>
          <w:sz w:val="24"/>
          <w:szCs w:val="24"/>
          <w:lang w:val="bg-BG" w:eastAsia="bg-BG"/>
        </w:rPr>
        <w:t xml:space="preserve">50.0% от общия брой на болничните заведения </w:t>
      </w:r>
      <w:r w:rsidR="0091208B" w:rsidRPr="00610B1B">
        <w:rPr>
          <w:rFonts w:ascii="Times New Roman" w:eastAsia="Times New Roman" w:hAnsi="Times New Roman" w:cs="Times New Roman"/>
          <w:sz w:val="24"/>
          <w:szCs w:val="24"/>
          <w:lang w:val="bg-BG" w:eastAsia="bg-BG"/>
        </w:rPr>
        <w:t>в</w:t>
      </w:r>
      <w:r w:rsidR="003308C9" w:rsidRPr="00610B1B">
        <w:rPr>
          <w:rFonts w:ascii="Times New Roman" w:eastAsia="Times New Roman" w:hAnsi="Times New Roman" w:cs="Times New Roman"/>
          <w:sz w:val="24"/>
          <w:szCs w:val="24"/>
          <w:lang w:val="bg-BG" w:eastAsia="bg-BG"/>
        </w:rPr>
        <w:t xml:space="preserve"> региона</w:t>
      </w:r>
      <w:r w:rsidR="00525DC8" w:rsidRPr="00610B1B">
        <w:rPr>
          <w:rFonts w:ascii="Times New Roman" w:eastAsia="Times New Roman" w:hAnsi="Times New Roman" w:cs="Times New Roman"/>
          <w:sz w:val="24"/>
          <w:szCs w:val="24"/>
          <w:lang w:val="bg-BG" w:eastAsia="bg-BG"/>
        </w:rPr>
        <w:t>)</w:t>
      </w:r>
      <w:r w:rsidR="003308C9" w:rsidRPr="00610B1B">
        <w:rPr>
          <w:rFonts w:ascii="Times New Roman" w:eastAsia="Times New Roman" w:hAnsi="Times New Roman" w:cs="Times New Roman"/>
          <w:sz w:val="24"/>
          <w:szCs w:val="24"/>
          <w:lang w:val="bg-BG" w:eastAsia="bg-BG"/>
        </w:rPr>
        <w:t xml:space="preserve">. </w:t>
      </w:r>
      <w:r w:rsidR="00F96DBA" w:rsidRPr="00610B1B">
        <w:rPr>
          <w:rFonts w:ascii="Times New Roman" w:eastAsia="Times New Roman" w:hAnsi="Times New Roman" w:cs="Times New Roman"/>
          <w:sz w:val="24"/>
          <w:szCs w:val="24"/>
          <w:lang w:val="bg-BG" w:eastAsia="bg-BG"/>
        </w:rPr>
        <w:t>В област Варна на 100</w:t>
      </w:r>
      <w:r w:rsidR="006D509C" w:rsidRPr="00610B1B">
        <w:rPr>
          <w:rFonts w:ascii="Times New Roman" w:eastAsia="Times New Roman" w:hAnsi="Times New Roman" w:cs="Times New Roman"/>
          <w:sz w:val="24"/>
          <w:szCs w:val="24"/>
          <w:lang w:val="bg-BG" w:eastAsia="bg-BG"/>
        </w:rPr>
        <w:t> </w:t>
      </w:r>
      <w:r w:rsidR="00F96DBA" w:rsidRPr="00610B1B">
        <w:rPr>
          <w:rFonts w:ascii="Times New Roman" w:eastAsia="Times New Roman" w:hAnsi="Times New Roman" w:cs="Times New Roman"/>
          <w:sz w:val="24"/>
          <w:szCs w:val="24"/>
          <w:lang w:val="bg-BG" w:eastAsia="bg-BG"/>
        </w:rPr>
        <w:t xml:space="preserve">000 души от населението се падат 567 легла, а в област Добрич 438 легла. </w:t>
      </w:r>
      <w:r w:rsidR="00447637" w:rsidRPr="00610B1B">
        <w:rPr>
          <w:rFonts w:ascii="Times New Roman" w:eastAsia="Times New Roman" w:hAnsi="Times New Roman" w:cs="Times New Roman"/>
          <w:sz w:val="24"/>
          <w:szCs w:val="24"/>
          <w:lang w:val="bg-BG" w:eastAsia="bg-BG"/>
        </w:rPr>
        <w:t xml:space="preserve">За ЮИР и Южното Черноморско крайбрежие болничните заведения са концентрирани в областния център гр. Бургас, където са разположени </w:t>
      </w:r>
      <w:r w:rsidR="005C345A" w:rsidRPr="00610B1B">
        <w:rPr>
          <w:rFonts w:ascii="Times New Roman" w:eastAsia="Calibri" w:hAnsi="Times New Roman" w:cs="Times New Roman"/>
          <w:sz w:val="24"/>
          <w:szCs w:val="24"/>
          <w:lang w:val="bg-BG" w:eastAsia="bg-BG"/>
        </w:rPr>
        <w:t>20 болнични заведения с общо 2</w:t>
      </w:r>
      <w:r w:rsidR="00447637" w:rsidRPr="00610B1B">
        <w:rPr>
          <w:rFonts w:ascii="Times New Roman" w:eastAsia="Calibri" w:hAnsi="Times New Roman" w:cs="Times New Roman"/>
          <w:sz w:val="24"/>
          <w:szCs w:val="24"/>
          <w:lang w:val="bg-BG" w:eastAsia="bg-BG"/>
        </w:rPr>
        <w:t> </w:t>
      </w:r>
      <w:r w:rsidR="005C345A" w:rsidRPr="00610B1B">
        <w:rPr>
          <w:rFonts w:ascii="Times New Roman" w:eastAsia="Calibri" w:hAnsi="Times New Roman" w:cs="Times New Roman"/>
          <w:sz w:val="24"/>
          <w:szCs w:val="24"/>
          <w:lang w:val="bg-BG" w:eastAsia="bg-BG"/>
        </w:rPr>
        <w:t>910 легла, от които 9 многопрофилни болници с 1</w:t>
      </w:r>
      <w:r w:rsidR="00447637" w:rsidRPr="00610B1B">
        <w:rPr>
          <w:rFonts w:ascii="Times New Roman" w:eastAsia="Calibri" w:hAnsi="Times New Roman" w:cs="Times New Roman"/>
          <w:sz w:val="24"/>
          <w:szCs w:val="24"/>
          <w:lang w:val="bg-BG" w:eastAsia="bg-BG"/>
        </w:rPr>
        <w:t> </w:t>
      </w:r>
      <w:r w:rsidR="005C345A" w:rsidRPr="00610B1B">
        <w:rPr>
          <w:rFonts w:ascii="Times New Roman" w:eastAsia="Calibri" w:hAnsi="Times New Roman" w:cs="Times New Roman"/>
          <w:sz w:val="24"/>
          <w:szCs w:val="24"/>
          <w:lang w:val="bg-BG" w:eastAsia="bg-BG"/>
        </w:rPr>
        <w:t xml:space="preserve">407 легла. </w:t>
      </w:r>
      <w:r w:rsidR="00F96DBA" w:rsidRPr="00610B1B">
        <w:rPr>
          <w:rFonts w:ascii="Times New Roman" w:eastAsia="Calibri" w:hAnsi="Times New Roman" w:cs="Times New Roman"/>
          <w:sz w:val="24"/>
          <w:szCs w:val="24"/>
          <w:lang w:val="bg-BG" w:eastAsia="bg-BG"/>
        </w:rPr>
        <w:t>В област Бургас има 709 легла на 100</w:t>
      </w:r>
      <w:r w:rsidR="00447637" w:rsidRPr="00610B1B">
        <w:rPr>
          <w:rFonts w:ascii="Times New Roman" w:eastAsia="Calibri" w:hAnsi="Times New Roman" w:cs="Times New Roman"/>
          <w:sz w:val="24"/>
          <w:szCs w:val="24"/>
          <w:lang w:val="bg-BG" w:eastAsia="bg-BG"/>
        </w:rPr>
        <w:t> </w:t>
      </w:r>
      <w:r w:rsidR="00F96DBA" w:rsidRPr="00610B1B">
        <w:rPr>
          <w:rFonts w:ascii="Times New Roman" w:eastAsia="Calibri" w:hAnsi="Times New Roman" w:cs="Times New Roman"/>
          <w:sz w:val="24"/>
          <w:szCs w:val="24"/>
          <w:lang w:val="bg-BG" w:eastAsia="bg-BG"/>
        </w:rPr>
        <w:t xml:space="preserve">000 д. </w:t>
      </w:r>
    </w:p>
    <w:p w14:paraId="78DE84E4" w14:textId="14E53135" w:rsidR="005C345A" w:rsidRPr="00610B1B" w:rsidRDefault="003308C9" w:rsidP="00D32D6A">
      <w:pPr>
        <w:spacing w:after="120"/>
        <w:ind w:right="-153"/>
        <w:jc w:val="both"/>
        <w:rPr>
          <w:rFonts w:ascii="Times New Roman" w:eastAsia="Calibri"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Към 31.12.2018 г. заведенията за извънболнична помощ</w:t>
      </w:r>
      <w:r w:rsidRPr="00610B1B">
        <w:rPr>
          <w:rFonts w:ascii="Times New Roman" w:eastAsia="Times New Roman" w:hAnsi="Times New Roman" w:cs="Times New Roman"/>
          <w:b/>
          <w:bCs/>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в </w:t>
      </w:r>
      <w:r w:rsidR="00F96DBA" w:rsidRPr="00610B1B">
        <w:rPr>
          <w:rFonts w:ascii="Times New Roman" w:eastAsia="Times New Roman" w:hAnsi="Times New Roman" w:cs="Times New Roman"/>
          <w:sz w:val="24"/>
          <w:szCs w:val="24"/>
          <w:lang w:val="bg-BG" w:eastAsia="bg-BG"/>
        </w:rPr>
        <w:t>СИР</w:t>
      </w:r>
      <w:r w:rsidRPr="00610B1B">
        <w:rPr>
          <w:rFonts w:ascii="Times New Roman" w:eastAsia="Times New Roman" w:hAnsi="Times New Roman" w:cs="Times New Roman"/>
          <w:sz w:val="24"/>
          <w:szCs w:val="24"/>
          <w:lang w:val="bg-BG" w:eastAsia="bg-BG"/>
        </w:rPr>
        <w:t xml:space="preserve"> са 286 с 212 легла за краткосрочно наблюдение и престой, което представлява 13.8% от заведенията за </w:t>
      </w:r>
      <w:r w:rsidRPr="00610B1B">
        <w:rPr>
          <w:rFonts w:ascii="Times New Roman" w:eastAsia="Times New Roman" w:hAnsi="Times New Roman" w:cs="Times New Roman"/>
          <w:sz w:val="24"/>
          <w:szCs w:val="24"/>
          <w:lang w:val="bg-BG" w:eastAsia="bg-BG"/>
        </w:rPr>
        <w:lastRenderedPageBreak/>
        <w:t>извънболнична помощ и 16.9% от легла</w:t>
      </w:r>
      <w:r w:rsidR="00F96DBA" w:rsidRPr="00610B1B">
        <w:rPr>
          <w:rFonts w:ascii="Times New Roman" w:eastAsia="Times New Roman" w:hAnsi="Times New Roman" w:cs="Times New Roman"/>
          <w:sz w:val="24"/>
          <w:szCs w:val="24"/>
          <w:lang w:val="bg-BG" w:eastAsia="bg-BG"/>
        </w:rPr>
        <w:t>та</w:t>
      </w:r>
      <w:r w:rsidRPr="00610B1B">
        <w:rPr>
          <w:rFonts w:ascii="Times New Roman" w:eastAsia="Times New Roman" w:hAnsi="Times New Roman" w:cs="Times New Roman"/>
          <w:sz w:val="24"/>
          <w:szCs w:val="24"/>
          <w:lang w:val="bg-BG" w:eastAsia="bg-BG"/>
        </w:rPr>
        <w:t xml:space="preserve"> в страната. </w:t>
      </w:r>
      <w:r w:rsidR="00F96DBA" w:rsidRPr="00610B1B">
        <w:rPr>
          <w:rFonts w:ascii="Times New Roman" w:eastAsia="Times New Roman" w:hAnsi="Times New Roman" w:cs="Times New Roman"/>
          <w:sz w:val="24"/>
          <w:szCs w:val="24"/>
          <w:lang w:val="bg-BG" w:eastAsia="bg-BG"/>
        </w:rPr>
        <w:t>О</w:t>
      </w:r>
      <w:r w:rsidRPr="00610B1B">
        <w:rPr>
          <w:rFonts w:ascii="Times New Roman" w:eastAsia="Times New Roman" w:hAnsi="Times New Roman" w:cs="Times New Roman"/>
          <w:sz w:val="24"/>
          <w:szCs w:val="24"/>
          <w:lang w:val="bg-BG" w:eastAsia="bg-BG"/>
        </w:rPr>
        <w:t>сновната част от тези заведения са концентрирани в област Варна</w:t>
      </w:r>
      <w:r w:rsidR="00F96DBA" w:rsidRPr="00610B1B">
        <w:rPr>
          <w:rFonts w:ascii="Times New Roman" w:eastAsia="Times New Roman" w:hAnsi="Times New Roman" w:cs="Times New Roman"/>
          <w:sz w:val="24"/>
          <w:szCs w:val="24"/>
          <w:lang w:val="bg-BG" w:eastAsia="bg-BG"/>
        </w:rPr>
        <w:t>, к</w:t>
      </w:r>
      <w:r w:rsidRPr="00610B1B">
        <w:rPr>
          <w:rFonts w:ascii="Times New Roman" w:eastAsia="Times New Roman" w:hAnsi="Times New Roman" w:cs="Times New Roman"/>
          <w:sz w:val="24"/>
          <w:szCs w:val="24"/>
          <w:lang w:val="bg-BG" w:eastAsia="bg-BG"/>
        </w:rPr>
        <w:t>ъдето заведенията за извънболнична помощ</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са 182, </w:t>
      </w:r>
      <w:r w:rsidR="00447637" w:rsidRPr="00610B1B">
        <w:rPr>
          <w:rFonts w:ascii="Times New Roman" w:eastAsia="Times New Roman" w:hAnsi="Times New Roman" w:cs="Times New Roman"/>
          <w:sz w:val="24"/>
          <w:szCs w:val="24"/>
          <w:lang w:val="bg-BG" w:eastAsia="bg-BG"/>
        </w:rPr>
        <w:t>или</w:t>
      </w:r>
      <w:r w:rsidRPr="00610B1B">
        <w:rPr>
          <w:rFonts w:ascii="Times New Roman" w:eastAsia="Times New Roman" w:hAnsi="Times New Roman" w:cs="Times New Roman"/>
          <w:sz w:val="24"/>
          <w:szCs w:val="24"/>
          <w:lang w:val="bg-BG" w:eastAsia="bg-BG"/>
        </w:rPr>
        <w:t xml:space="preserve"> 63.6% от общия брой </w:t>
      </w:r>
      <w:r w:rsidR="0091208B" w:rsidRPr="00610B1B">
        <w:rPr>
          <w:rFonts w:ascii="Times New Roman" w:eastAsia="Times New Roman" w:hAnsi="Times New Roman" w:cs="Times New Roman"/>
          <w:sz w:val="24"/>
          <w:szCs w:val="24"/>
          <w:lang w:val="bg-BG" w:eastAsia="bg-BG"/>
        </w:rPr>
        <w:t>в</w:t>
      </w:r>
      <w:r w:rsidRPr="00610B1B">
        <w:rPr>
          <w:rFonts w:ascii="Times New Roman" w:eastAsia="Times New Roman" w:hAnsi="Times New Roman" w:cs="Times New Roman"/>
          <w:sz w:val="24"/>
          <w:szCs w:val="24"/>
          <w:lang w:val="bg-BG" w:eastAsia="bg-BG"/>
        </w:rPr>
        <w:t xml:space="preserve"> региона</w:t>
      </w:r>
      <w:bookmarkStart w:id="316" w:name="_Toc38556968"/>
      <w:r w:rsidR="00447637" w:rsidRPr="00610B1B">
        <w:rPr>
          <w:rFonts w:ascii="Times New Roman" w:eastAsia="Times New Roman" w:hAnsi="Times New Roman" w:cs="Times New Roman"/>
          <w:sz w:val="24"/>
          <w:szCs w:val="24"/>
          <w:lang w:val="bg-BG" w:eastAsia="bg-BG"/>
        </w:rPr>
        <w:t xml:space="preserve">. </w:t>
      </w:r>
      <w:bookmarkEnd w:id="316"/>
      <w:r w:rsidR="00447637" w:rsidRPr="00610B1B">
        <w:rPr>
          <w:rFonts w:ascii="Times New Roman" w:eastAsia="Calibri" w:hAnsi="Times New Roman" w:cs="Times New Roman"/>
          <w:sz w:val="24"/>
          <w:szCs w:val="24"/>
          <w:lang w:val="bg-BG" w:eastAsia="bg-BG"/>
        </w:rPr>
        <w:t>ЮИР разполага с</w:t>
      </w:r>
      <w:r w:rsidR="005C345A" w:rsidRPr="00610B1B">
        <w:rPr>
          <w:rFonts w:ascii="Times New Roman" w:eastAsia="Calibri" w:hAnsi="Times New Roman" w:cs="Times New Roman"/>
          <w:sz w:val="24"/>
          <w:szCs w:val="24"/>
          <w:lang w:val="bg-BG" w:eastAsia="bg-BG"/>
        </w:rPr>
        <w:t xml:space="preserve"> 270 </w:t>
      </w:r>
      <w:r w:rsidR="00447637" w:rsidRPr="00610B1B">
        <w:rPr>
          <w:rFonts w:ascii="Times New Roman" w:eastAsia="Calibri" w:hAnsi="Times New Roman" w:cs="Times New Roman"/>
          <w:sz w:val="24"/>
          <w:szCs w:val="24"/>
          <w:lang w:val="bg-BG" w:eastAsia="bg-BG"/>
        </w:rPr>
        <w:t xml:space="preserve">заведения за извънболнична помощ </w:t>
      </w:r>
      <w:r w:rsidR="005C345A" w:rsidRPr="00610B1B">
        <w:rPr>
          <w:rFonts w:ascii="Times New Roman" w:eastAsia="Calibri" w:hAnsi="Times New Roman" w:cs="Times New Roman"/>
          <w:sz w:val="24"/>
          <w:szCs w:val="24"/>
          <w:lang w:val="bg-BG" w:eastAsia="bg-BG"/>
        </w:rPr>
        <w:t xml:space="preserve">с 234 легла за краткосрочно наблюдение и престой, което </w:t>
      </w:r>
      <w:r w:rsidR="00447637" w:rsidRPr="00610B1B">
        <w:rPr>
          <w:rFonts w:ascii="Times New Roman" w:eastAsia="Calibri" w:hAnsi="Times New Roman" w:cs="Times New Roman"/>
          <w:sz w:val="24"/>
          <w:szCs w:val="24"/>
          <w:lang w:val="bg-BG" w:eastAsia="bg-BG"/>
        </w:rPr>
        <w:t xml:space="preserve">е </w:t>
      </w:r>
      <w:r w:rsidR="005C345A" w:rsidRPr="00610B1B">
        <w:rPr>
          <w:rFonts w:ascii="Times New Roman" w:eastAsia="Calibri" w:hAnsi="Times New Roman" w:cs="Times New Roman"/>
          <w:sz w:val="24"/>
          <w:szCs w:val="24"/>
          <w:lang w:val="bg-BG" w:eastAsia="bg-BG"/>
        </w:rPr>
        <w:t>13.1% от заведенията за извънболнична помощ и 18.7% от легла</w:t>
      </w:r>
      <w:r w:rsidR="0091208B" w:rsidRPr="00610B1B">
        <w:rPr>
          <w:rFonts w:ascii="Times New Roman" w:eastAsia="Calibri" w:hAnsi="Times New Roman" w:cs="Times New Roman"/>
          <w:sz w:val="24"/>
          <w:szCs w:val="24"/>
          <w:lang w:val="bg-BG" w:eastAsia="bg-BG"/>
        </w:rPr>
        <w:t>та</w:t>
      </w:r>
      <w:r w:rsidR="005C345A" w:rsidRPr="00610B1B">
        <w:rPr>
          <w:rFonts w:ascii="Times New Roman" w:eastAsia="Calibri" w:hAnsi="Times New Roman" w:cs="Times New Roman"/>
          <w:sz w:val="24"/>
          <w:szCs w:val="24"/>
          <w:lang w:val="bg-BG" w:eastAsia="bg-BG"/>
        </w:rPr>
        <w:t xml:space="preserve"> в страната. </w:t>
      </w:r>
      <w:r w:rsidR="00447637" w:rsidRPr="00610B1B">
        <w:rPr>
          <w:rFonts w:ascii="Times New Roman" w:eastAsia="Calibri" w:hAnsi="Times New Roman" w:cs="Times New Roman"/>
          <w:sz w:val="24"/>
          <w:szCs w:val="24"/>
          <w:lang w:val="bg-BG" w:eastAsia="bg-BG"/>
        </w:rPr>
        <w:t>В</w:t>
      </w:r>
      <w:r w:rsidR="005C345A" w:rsidRPr="00610B1B">
        <w:rPr>
          <w:rFonts w:ascii="Times New Roman" w:eastAsia="Calibri" w:hAnsi="Times New Roman" w:cs="Times New Roman"/>
          <w:sz w:val="24"/>
          <w:szCs w:val="24"/>
          <w:lang w:val="bg-BG" w:eastAsia="bg-BG"/>
        </w:rPr>
        <w:t xml:space="preserve"> област </w:t>
      </w:r>
      <w:r w:rsidR="00447637" w:rsidRPr="00610B1B">
        <w:rPr>
          <w:rFonts w:ascii="Times New Roman" w:eastAsia="Calibri" w:hAnsi="Times New Roman" w:cs="Times New Roman"/>
          <w:sz w:val="24"/>
          <w:szCs w:val="24"/>
          <w:lang w:val="bg-BG" w:eastAsia="bg-BG"/>
        </w:rPr>
        <w:t xml:space="preserve">Бургас тези заведения са 92 броя с общо 140 легла или повече от половината от тези за целия регион. </w:t>
      </w:r>
    </w:p>
    <w:p w14:paraId="7E672E1A" w14:textId="76B4D461" w:rsidR="00447637" w:rsidRPr="00610B1B" w:rsidRDefault="000E6BA7" w:rsidP="00D32D6A">
      <w:pPr>
        <w:spacing w:after="120"/>
        <w:ind w:right="-153"/>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При средна</w:t>
      </w:r>
      <w:r w:rsidR="00447637" w:rsidRPr="00610B1B">
        <w:rPr>
          <w:rFonts w:ascii="Times New Roman" w:eastAsia="Calibri" w:hAnsi="Times New Roman" w:cs="Times New Roman"/>
          <w:sz w:val="24"/>
          <w:szCs w:val="24"/>
          <w:lang w:val="bg-BG" w:eastAsia="bg-BG"/>
        </w:rPr>
        <w:t xml:space="preserve"> </w:t>
      </w:r>
      <w:r w:rsidR="00447637" w:rsidRPr="00610B1B">
        <w:rPr>
          <w:rFonts w:ascii="Times New Roman" w:eastAsia="Calibri" w:hAnsi="Times New Roman" w:cs="Times New Roman"/>
          <w:bCs/>
          <w:sz w:val="24"/>
          <w:szCs w:val="24"/>
          <w:lang w:val="bg-BG" w:eastAsia="bg-BG"/>
        </w:rPr>
        <w:t>осигуреност на населението на един лекар</w:t>
      </w:r>
      <w:r w:rsidR="00447637" w:rsidRPr="00610B1B">
        <w:rPr>
          <w:rFonts w:ascii="Times New Roman" w:eastAsia="Calibri" w:hAnsi="Times New Roman" w:cs="Times New Roman"/>
          <w:sz w:val="24"/>
          <w:szCs w:val="24"/>
          <w:lang w:val="bg-BG" w:eastAsia="bg-BG"/>
        </w:rPr>
        <w:t xml:space="preserve"> за страната 236 души и 967 души </w:t>
      </w:r>
      <w:r w:rsidRPr="00610B1B">
        <w:rPr>
          <w:rFonts w:ascii="Times New Roman" w:eastAsia="Calibri" w:hAnsi="Times New Roman" w:cs="Times New Roman"/>
          <w:sz w:val="24"/>
          <w:szCs w:val="24"/>
          <w:lang w:val="bg-BG" w:eastAsia="bg-BG"/>
        </w:rPr>
        <w:t xml:space="preserve">на един лекар по дентална медицина </w:t>
      </w:r>
      <w:r w:rsidR="00447637" w:rsidRPr="00610B1B">
        <w:rPr>
          <w:rFonts w:ascii="Times New Roman" w:eastAsia="Calibri" w:hAnsi="Times New Roman" w:cs="Times New Roman"/>
          <w:sz w:val="24"/>
          <w:szCs w:val="24"/>
          <w:lang w:val="bg-BG" w:eastAsia="bg-BG"/>
        </w:rPr>
        <w:t xml:space="preserve">(2018 г.) за СИР тя е 253 души на 1 лекар и </w:t>
      </w:r>
      <w:r w:rsidRPr="00610B1B">
        <w:rPr>
          <w:rFonts w:ascii="Times New Roman" w:eastAsia="Times New Roman" w:hAnsi="Times New Roman" w:cs="Times New Roman"/>
          <w:sz w:val="24"/>
          <w:szCs w:val="24"/>
          <w:lang w:val="bg-BG" w:eastAsia="bg-BG"/>
        </w:rPr>
        <w:t>1</w:t>
      </w:r>
      <w:r w:rsidR="00345A67" w:rsidRPr="00610B1B">
        <w:rPr>
          <w:rFonts w:ascii="Times New Roman" w:eastAsia="Times New Roman" w:hAnsi="Times New Roman" w:cs="Times New Roman"/>
          <w:sz w:val="24"/>
          <w:szCs w:val="24"/>
          <w:lang w:val="bg-BG" w:eastAsia="bg-BG"/>
        </w:rPr>
        <w:t> </w:t>
      </w:r>
      <w:r w:rsidRPr="00610B1B">
        <w:rPr>
          <w:rFonts w:ascii="Times New Roman" w:eastAsia="Times New Roman" w:hAnsi="Times New Roman" w:cs="Times New Roman"/>
          <w:sz w:val="24"/>
          <w:szCs w:val="24"/>
          <w:lang w:val="bg-BG" w:eastAsia="bg-BG"/>
        </w:rPr>
        <w:t>082 души</w:t>
      </w:r>
      <w:r w:rsidR="00D66FE0" w:rsidRPr="00610B1B">
        <w:rPr>
          <w:rFonts w:ascii="Times New Roman" w:eastAsia="Calibri" w:hAnsi="Times New Roman" w:cs="Times New Roman"/>
          <w:sz w:val="24"/>
          <w:szCs w:val="24"/>
          <w:lang w:val="bg-BG" w:eastAsia="bg-BG"/>
        </w:rPr>
        <w:t xml:space="preserve"> </w:t>
      </w:r>
      <w:r w:rsidRPr="00610B1B">
        <w:rPr>
          <w:rFonts w:ascii="Times New Roman" w:eastAsia="Calibri" w:hAnsi="Times New Roman" w:cs="Times New Roman"/>
          <w:sz w:val="24"/>
          <w:szCs w:val="24"/>
          <w:lang w:val="bg-BG" w:eastAsia="bg-BG"/>
        </w:rPr>
        <w:t xml:space="preserve">на един лекар по дентална медицина, </w:t>
      </w:r>
      <w:r w:rsidR="00D62E87" w:rsidRPr="00610B1B">
        <w:rPr>
          <w:rFonts w:ascii="Times New Roman" w:eastAsia="Calibri" w:hAnsi="Times New Roman" w:cs="Times New Roman"/>
          <w:sz w:val="24"/>
          <w:szCs w:val="24"/>
          <w:lang w:val="bg-BG" w:eastAsia="bg-BG"/>
        </w:rPr>
        <w:t xml:space="preserve">а за ЮИР </w:t>
      </w:r>
      <w:r w:rsidR="00447637" w:rsidRPr="00610B1B">
        <w:rPr>
          <w:rFonts w:ascii="Times New Roman" w:eastAsia="Calibri" w:hAnsi="Times New Roman" w:cs="Times New Roman"/>
          <w:sz w:val="24"/>
          <w:szCs w:val="24"/>
          <w:lang w:val="bg-BG" w:eastAsia="bg-BG"/>
        </w:rPr>
        <w:t>289</w:t>
      </w:r>
      <w:r w:rsidRPr="00610B1B">
        <w:rPr>
          <w:rFonts w:ascii="Times New Roman" w:eastAsia="Calibri" w:hAnsi="Times New Roman" w:cs="Times New Roman"/>
          <w:sz w:val="24"/>
          <w:szCs w:val="24"/>
          <w:lang w:val="bg-BG" w:eastAsia="bg-BG"/>
        </w:rPr>
        <w:t xml:space="preserve"> души на един лекар и 1 279 души на един лекар по дентална медицина</w:t>
      </w:r>
      <w:r w:rsidR="00447637" w:rsidRPr="00610B1B">
        <w:rPr>
          <w:rFonts w:ascii="Times New Roman" w:eastAsia="Calibri" w:hAnsi="Times New Roman" w:cs="Times New Roman"/>
          <w:sz w:val="24"/>
          <w:szCs w:val="24"/>
          <w:lang w:val="bg-BG" w:eastAsia="bg-BG"/>
        </w:rPr>
        <w:t xml:space="preserve">. За област Варна тя е 200 души </w:t>
      </w:r>
      <w:r w:rsidRPr="00610B1B">
        <w:rPr>
          <w:rFonts w:ascii="Times New Roman" w:eastAsia="Calibri" w:hAnsi="Times New Roman" w:cs="Times New Roman"/>
          <w:sz w:val="24"/>
          <w:szCs w:val="24"/>
          <w:lang w:val="bg-BG" w:eastAsia="bg-BG"/>
        </w:rPr>
        <w:t>на един лекар и</w:t>
      </w:r>
      <w:r w:rsidR="006D509C" w:rsidRPr="00610B1B">
        <w:rPr>
          <w:rFonts w:ascii="Times New Roman" w:eastAsia="Calibri" w:hAnsi="Times New Roman" w:cs="Times New Roman"/>
          <w:sz w:val="24"/>
          <w:szCs w:val="24"/>
          <w:lang w:val="bg-BG" w:eastAsia="bg-BG"/>
        </w:rPr>
        <w:t xml:space="preserve"> </w:t>
      </w:r>
      <w:r w:rsidR="00345A67" w:rsidRPr="00610B1B">
        <w:rPr>
          <w:rFonts w:ascii="Times New Roman" w:eastAsia="Calibri" w:hAnsi="Times New Roman" w:cs="Times New Roman"/>
          <w:sz w:val="24"/>
          <w:szCs w:val="24"/>
          <w:lang w:val="bg-BG" w:eastAsia="bg-BG"/>
        </w:rPr>
        <w:t>828 на един лекар по дентална медицина</w:t>
      </w:r>
      <w:r w:rsidRPr="00610B1B">
        <w:rPr>
          <w:rFonts w:ascii="Times New Roman" w:eastAsia="Calibri" w:hAnsi="Times New Roman" w:cs="Times New Roman"/>
          <w:sz w:val="24"/>
          <w:szCs w:val="24"/>
          <w:lang w:val="bg-BG" w:eastAsia="bg-BG"/>
        </w:rPr>
        <w:t xml:space="preserve"> </w:t>
      </w:r>
      <w:r w:rsidR="00447637" w:rsidRPr="00610B1B">
        <w:rPr>
          <w:rFonts w:ascii="Times New Roman" w:eastAsia="Calibri" w:hAnsi="Times New Roman" w:cs="Times New Roman"/>
          <w:sz w:val="24"/>
          <w:szCs w:val="24"/>
          <w:lang w:val="bg-BG" w:eastAsia="bg-BG"/>
        </w:rPr>
        <w:t xml:space="preserve">и е по-благоприятна от осигуреността в останалите области в региона, поради наличие на медицински университет и университетска болница. За област </w:t>
      </w:r>
      <w:r w:rsidR="00345A67" w:rsidRPr="00610B1B">
        <w:rPr>
          <w:rFonts w:ascii="Times New Roman" w:eastAsia="Calibri" w:hAnsi="Times New Roman" w:cs="Times New Roman"/>
          <w:sz w:val="24"/>
          <w:szCs w:val="24"/>
          <w:lang w:val="bg-BG" w:eastAsia="bg-BG"/>
        </w:rPr>
        <w:t xml:space="preserve">Бургас осигуреността е 305 души на един </w:t>
      </w:r>
      <w:r w:rsidR="00447637" w:rsidRPr="00610B1B">
        <w:rPr>
          <w:rFonts w:ascii="Times New Roman" w:eastAsia="Calibri" w:hAnsi="Times New Roman" w:cs="Times New Roman"/>
          <w:sz w:val="24"/>
          <w:szCs w:val="24"/>
          <w:lang w:val="bg-BG" w:eastAsia="bg-BG"/>
        </w:rPr>
        <w:t>лекар</w:t>
      </w:r>
      <w:r w:rsidR="00345A67" w:rsidRPr="00610B1B">
        <w:rPr>
          <w:rFonts w:ascii="Times New Roman" w:eastAsia="Calibri" w:hAnsi="Times New Roman" w:cs="Times New Roman"/>
          <w:sz w:val="24"/>
          <w:szCs w:val="24"/>
          <w:lang w:val="bg-BG" w:eastAsia="bg-BG"/>
        </w:rPr>
        <w:t xml:space="preserve"> и 1 324 души на един лекар по дентална медицина.</w:t>
      </w:r>
      <w:r w:rsidR="00D66FE0" w:rsidRPr="00610B1B">
        <w:rPr>
          <w:rFonts w:ascii="Times New Roman" w:eastAsia="Calibri" w:hAnsi="Times New Roman" w:cs="Times New Roman"/>
          <w:sz w:val="24"/>
          <w:szCs w:val="24"/>
          <w:lang w:val="bg-BG" w:eastAsia="bg-BG"/>
        </w:rPr>
        <w:t xml:space="preserve"> </w:t>
      </w:r>
    </w:p>
    <w:p w14:paraId="181F697D" w14:textId="4D09042D" w:rsidR="00977C9E" w:rsidRPr="00610B1B" w:rsidRDefault="00345A6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Черноморското крайбрежие се обслужва от 2 центъра за спешна медицинска помощ </w:t>
      </w:r>
      <w:r w:rsidR="00D62E87" w:rsidRPr="00610B1B">
        <w:rPr>
          <w:rFonts w:ascii="Times New Roman" w:hAnsi="Times New Roman" w:cs="Times New Roman"/>
          <w:sz w:val="24"/>
          <w:szCs w:val="24"/>
          <w:lang w:val="bg-BG"/>
        </w:rPr>
        <w:t xml:space="preserve">(ЦСМП) </w:t>
      </w:r>
      <w:r w:rsidRPr="00610B1B">
        <w:rPr>
          <w:rFonts w:ascii="Times New Roman" w:hAnsi="Times New Roman" w:cs="Times New Roman"/>
          <w:sz w:val="24"/>
          <w:szCs w:val="24"/>
          <w:lang w:val="bg-BG"/>
        </w:rPr>
        <w:t xml:space="preserve">във Варна и Добрич и 7 филиала за северната му част и от 1 ЦСМП в Бургас и </w:t>
      </w:r>
      <w:r w:rsidR="00F8327A" w:rsidRPr="00610B1B">
        <w:rPr>
          <w:rFonts w:ascii="Times New Roman" w:hAnsi="Times New Roman" w:cs="Times New Roman"/>
          <w:sz w:val="24"/>
          <w:szCs w:val="24"/>
          <w:lang w:val="bg-BG"/>
        </w:rPr>
        <w:t xml:space="preserve">5 </w:t>
      </w:r>
      <w:r w:rsidRPr="00610B1B">
        <w:rPr>
          <w:rFonts w:ascii="Times New Roman" w:hAnsi="Times New Roman" w:cs="Times New Roman"/>
          <w:sz w:val="24"/>
          <w:szCs w:val="24"/>
          <w:lang w:val="bg-BG"/>
        </w:rPr>
        <w:t>филиал</w:t>
      </w:r>
      <w:r w:rsidR="00F8327A" w:rsidRPr="00610B1B">
        <w:rPr>
          <w:rFonts w:ascii="Times New Roman" w:hAnsi="Times New Roman" w:cs="Times New Roman"/>
          <w:sz w:val="24"/>
          <w:szCs w:val="24"/>
          <w:lang w:val="bg-BG"/>
        </w:rPr>
        <w:t>а за Южното Черноморско крайбрежие.</w:t>
      </w:r>
      <w:r w:rsidR="0091208B" w:rsidRPr="00610B1B">
        <w:rPr>
          <w:rFonts w:ascii="Times New Roman" w:hAnsi="Times New Roman" w:cs="Times New Roman"/>
          <w:sz w:val="24"/>
          <w:szCs w:val="24"/>
          <w:lang w:val="bg-BG"/>
        </w:rPr>
        <w:t xml:space="preserve"> </w:t>
      </w:r>
      <w:r w:rsidR="00F8327A" w:rsidRPr="00610B1B">
        <w:rPr>
          <w:rFonts w:ascii="Times New Roman" w:hAnsi="Times New Roman" w:cs="Times New Roman"/>
          <w:sz w:val="24"/>
          <w:szCs w:val="24"/>
          <w:lang w:val="bg-BG"/>
        </w:rPr>
        <w:t>Големите курорти по крайбрежието има</w:t>
      </w:r>
      <w:r w:rsidR="006D509C" w:rsidRPr="00610B1B">
        <w:rPr>
          <w:rFonts w:ascii="Times New Roman" w:hAnsi="Times New Roman" w:cs="Times New Roman"/>
          <w:sz w:val="24"/>
          <w:szCs w:val="24"/>
          <w:lang w:val="bg-BG"/>
        </w:rPr>
        <w:t>т</w:t>
      </w:r>
      <w:r w:rsidR="00F8327A" w:rsidRPr="00610B1B">
        <w:rPr>
          <w:rFonts w:ascii="Times New Roman" w:hAnsi="Times New Roman" w:cs="Times New Roman"/>
          <w:sz w:val="24"/>
          <w:szCs w:val="24"/>
          <w:lang w:val="bg-BG"/>
        </w:rPr>
        <w:t xml:space="preserve"> изградена система за медицинско обслужване, ко</w:t>
      </w:r>
      <w:r w:rsidR="006D509C" w:rsidRPr="00610B1B">
        <w:rPr>
          <w:rFonts w:ascii="Times New Roman" w:hAnsi="Times New Roman" w:cs="Times New Roman"/>
          <w:sz w:val="24"/>
          <w:szCs w:val="24"/>
          <w:lang w:val="bg-BG"/>
        </w:rPr>
        <w:t>я</w:t>
      </w:r>
      <w:r w:rsidR="00F8327A" w:rsidRPr="00610B1B">
        <w:rPr>
          <w:rFonts w:ascii="Times New Roman" w:hAnsi="Times New Roman" w:cs="Times New Roman"/>
          <w:sz w:val="24"/>
          <w:szCs w:val="24"/>
          <w:lang w:val="bg-BG"/>
        </w:rPr>
        <w:t xml:space="preserve">то се допълва от дейността на частни медицински центрове и от осигурени в големите хотели медицински и/или дентални услуги. </w:t>
      </w:r>
      <w:r w:rsidR="00977C9E" w:rsidRPr="00610B1B">
        <w:rPr>
          <w:rFonts w:ascii="Times New Roman" w:hAnsi="Times New Roman" w:cs="Times New Roman"/>
          <w:sz w:val="24"/>
          <w:szCs w:val="24"/>
          <w:lang w:val="bg-BG"/>
        </w:rPr>
        <w:br w:type="page"/>
      </w:r>
    </w:p>
    <w:p w14:paraId="745340C5" w14:textId="276F7FC2" w:rsidR="00407C7C" w:rsidRPr="00610B1B" w:rsidRDefault="006D509C" w:rsidP="00D32D6A">
      <w:pPr>
        <w:pStyle w:val="Heading1"/>
        <w:spacing w:before="0" w:line="276" w:lineRule="auto"/>
        <w:ind w:right="-153"/>
        <w:rPr>
          <w:rFonts w:cs="Times New Roman"/>
        </w:rPr>
      </w:pPr>
      <w:bookmarkStart w:id="317" w:name="_Toc83391370"/>
      <w:r w:rsidRPr="00610B1B">
        <w:rPr>
          <w:rFonts w:cs="Times New Roman"/>
        </w:rPr>
        <w:lastRenderedPageBreak/>
        <w:t>3</w:t>
      </w:r>
      <w:r w:rsidR="00F76609" w:rsidRPr="00610B1B">
        <w:rPr>
          <w:rFonts w:cs="Times New Roman"/>
        </w:rPr>
        <w:t xml:space="preserve">. </w:t>
      </w:r>
      <w:r w:rsidR="00D420BB" w:rsidRPr="00610B1B">
        <w:rPr>
          <w:rFonts w:cs="Times New Roman"/>
        </w:rPr>
        <w:t xml:space="preserve">ДЕЙНОСТИ В </w:t>
      </w:r>
      <w:r w:rsidR="007B3A20" w:rsidRPr="00610B1B">
        <w:rPr>
          <w:rFonts w:cs="Times New Roman"/>
        </w:rPr>
        <w:t>НАЦИОНАЛНИТЕ МОРСКИ</w:t>
      </w:r>
      <w:r w:rsidR="00D420BB" w:rsidRPr="00610B1B">
        <w:rPr>
          <w:rFonts w:cs="Times New Roman"/>
        </w:rPr>
        <w:t xml:space="preserve"> ПРОСТРАНСТВ</w:t>
      </w:r>
      <w:r w:rsidR="007B3A20" w:rsidRPr="00610B1B">
        <w:rPr>
          <w:rFonts w:cs="Times New Roman"/>
        </w:rPr>
        <w:t>А</w:t>
      </w:r>
      <w:bookmarkEnd w:id="317"/>
    </w:p>
    <w:p w14:paraId="38E8B55C" w14:textId="5E67EADA" w:rsidR="00BB060D" w:rsidRPr="00610B1B" w:rsidRDefault="006D509C" w:rsidP="00D32D6A">
      <w:pPr>
        <w:pStyle w:val="Heading2"/>
        <w:spacing w:before="0" w:line="276" w:lineRule="auto"/>
        <w:ind w:right="-153"/>
        <w:rPr>
          <w:rFonts w:cs="Times New Roman"/>
        </w:rPr>
      </w:pPr>
      <w:bookmarkStart w:id="318" w:name="_Toc83391371"/>
      <w:r w:rsidRPr="00610B1B">
        <w:rPr>
          <w:rFonts w:cs="Times New Roman"/>
        </w:rPr>
        <w:t>3</w:t>
      </w:r>
      <w:r w:rsidR="00F76609" w:rsidRPr="00610B1B">
        <w:rPr>
          <w:rFonts w:cs="Times New Roman"/>
        </w:rPr>
        <w:t xml:space="preserve">.1. </w:t>
      </w:r>
      <w:r w:rsidR="006227CB" w:rsidRPr="00610B1B">
        <w:rPr>
          <w:rFonts w:cs="Times New Roman"/>
        </w:rPr>
        <w:t>Морски транспорт</w:t>
      </w:r>
      <w:bookmarkEnd w:id="318"/>
      <w:r w:rsidR="006E2B4B" w:rsidRPr="00610B1B">
        <w:rPr>
          <w:rFonts w:cs="Times New Roman"/>
        </w:rPr>
        <w:t xml:space="preserve"> </w:t>
      </w:r>
    </w:p>
    <w:p w14:paraId="6DB7E2C3" w14:textId="11412C76" w:rsidR="00AB4C9E" w:rsidRPr="00610B1B" w:rsidRDefault="006D509C" w:rsidP="00D32D6A">
      <w:pPr>
        <w:pStyle w:val="Heading3"/>
        <w:spacing w:before="0" w:line="276" w:lineRule="auto"/>
        <w:ind w:right="-153"/>
        <w:rPr>
          <w:rFonts w:cs="Times New Roman"/>
        </w:rPr>
      </w:pPr>
      <w:bookmarkStart w:id="319" w:name="_Toc83391372"/>
      <w:r w:rsidRPr="00610B1B">
        <w:rPr>
          <w:rFonts w:cs="Times New Roman"/>
        </w:rPr>
        <w:t>3</w:t>
      </w:r>
      <w:r w:rsidR="00AB4C9E" w:rsidRPr="00610B1B">
        <w:rPr>
          <w:rFonts w:cs="Times New Roman"/>
        </w:rPr>
        <w:t>.1.1. Въведение</w:t>
      </w:r>
      <w:bookmarkEnd w:id="319"/>
    </w:p>
    <w:p w14:paraId="056AD8C2" w14:textId="6946B887" w:rsidR="00D649FB" w:rsidRPr="00610B1B" w:rsidRDefault="00E9183F"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Морският транспорт</w:t>
      </w:r>
      <w:r w:rsidR="00535909" w:rsidRPr="00610B1B">
        <w:rPr>
          <w:rFonts w:ascii="Times New Roman" w:hAnsi="Times New Roman" w:cs="Times New Roman"/>
          <w:sz w:val="24"/>
          <w:szCs w:val="24"/>
          <w:lang w:val="bg-BG"/>
        </w:rPr>
        <w:t xml:space="preserve"> е сред най-важните сектори на морската икономика в Р. България</w:t>
      </w:r>
      <w:r w:rsidR="00F92CF8" w:rsidRPr="00610B1B">
        <w:rPr>
          <w:rFonts w:ascii="Times New Roman" w:hAnsi="Times New Roman" w:cs="Times New Roman"/>
          <w:sz w:val="24"/>
          <w:szCs w:val="24"/>
          <w:lang w:val="bg-BG"/>
        </w:rPr>
        <w:t>, пряко обвързан с въ</w:t>
      </w:r>
      <w:r w:rsidR="00D649FB" w:rsidRPr="00610B1B">
        <w:rPr>
          <w:rFonts w:ascii="Times New Roman" w:hAnsi="Times New Roman" w:cs="Times New Roman"/>
          <w:sz w:val="24"/>
          <w:szCs w:val="24"/>
          <w:lang w:val="bg-BG"/>
        </w:rPr>
        <w:t xml:space="preserve">ншната политика и търговия, с екологичния статус на морската околна среда, с икономиката и туризма, с образованието и заетостта, със сигурността и безопасността на трафика в морските пространства. </w:t>
      </w:r>
      <w:r w:rsidR="00535909" w:rsidRPr="00610B1B">
        <w:rPr>
          <w:rFonts w:ascii="Times New Roman" w:hAnsi="Times New Roman" w:cs="Times New Roman"/>
          <w:sz w:val="24"/>
          <w:szCs w:val="24"/>
          <w:lang w:val="bg-BG"/>
        </w:rPr>
        <w:t>Приблизително 90% от търговията между държавите-членки и тези</w:t>
      </w:r>
      <w:r w:rsidR="00DF4C1E" w:rsidRPr="00610B1B">
        <w:rPr>
          <w:rFonts w:ascii="Times New Roman" w:hAnsi="Times New Roman" w:cs="Times New Roman"/>
          <w:sz w:val="24"/>
          <w:szCs w:val="24"/>
          <w:lang w:val="bg-BG"/>
        </w:rPr>
        <w:t xml:space="preserve"> извън</w:t>
      </w:r>
      <w:r w:rsidR="00535909" w:rsidRPr="00610B1B">
        <w:rPr>
          <w:rFonts w:ascii="Times New Roman" w:hAnsi="Times New Roman" w:cs="Times New Roman"/>
          <w:sz w:val="24"/>
          <w:szCs w:val="24"/>
          <w:lang w:val="bg-BG"/>
        </w:rPr>
        <w:t xml:space="preserve"> ЕС, се извършва чрез морски транспорт.</w:t>
      </w:r>
      <w:r w:rsidR="00D66FE0" w:rsidRPr="00610B1B">
        <w:rPr>
          <w:rFonts w:ascii="Times New Roman" w:hAnsi="Times New Roman" w:cs="Times New Roman"/>
          <w:sz w:val="24"/>
          <w:szCs w:val="24"/>
          <w:lang w:val="bg-BG"/>
        </w:rPr>
        <w:t xml:space="preserve"> </w:t>
      </w:r>
      <w:r w:rsidR="0059133E" w:rsidRPr="00610B1B">
        <w:rPr>
          <w:rFonts w:ascii="Times New Roman" w:hAnsi="Times New Roman" w:cs="Times New Roman"/>
          <w:sz w:val="24"/>
          <w:szCs w:val="24"/>
          <w:lang w:val="bg-BG"/>
        </w:rPr>
        <w:t>Той</w:t>
      </w:r>
      <w:r w:rsidR="00A90803" w:rsidRPr="00610B1B">
        <w:rPr>
          <w:rFonts w:ascii="Times New Roman" w:hAnsi="Times New Roman" w:cs="Times New Roman"/>
          <w:sz w:val="24"/>
          <w:szCs w:val="24"/>
          <w:lang w:val="bg-BG"/>
        </w:rPr>
        <w:t xml:space="preserve"> предлага възможности за превоз на големи обеми товари, значително по-ниска </w:t>
      </w:r>
      <w:r w:rsidR="0059133E" w:rsidRPr="00610B1B">
        <w:rPr>
          <w:rFonts w:ascii="Times New Roman" w:hAnsi="Times New Roman" w:cs="Times New Roman"/>
          <w:sz w:val="24"/>
          <w:szCs w:val="24"/>
          <w:lang w:val="bg-BG"/>
        </w:rPr>
        <w:t xml:space="preserve">транспортна цена </w:t>
      </w:r>
      <w:r w:rsidR="00A90803" w:rsidRPr="00610B1B">
        <w:rPr>
          <w:rFonts w:ascii="Times New Roman" w:hAnsi="Times New Roman" w:cs="Times New Roman"/>
          <w:sz w:val="24"/>
          <w:szCs w:val="24"/>
          <w:lang w:val="bg-BG"/>
        </w:rPr>
        <w:t>на тон превозен товар, гъвкавост, сигурност и ефективност. В същото време той е по-екологичен в сравнение с останалите видове транспорт. Сред недостатъците му са големите първоначални инвестиции и значително дългия</w:t>
      </w:r>
      <w:r w:rsidR="000A0B20" w:rsidRPr="00610B1B">
        <w:rPr>
          <w:rFonts w:ascii="Times New Roman" w:hAnsi="Times New Roman" w:cs="Times New Roman"/>
          <w:sz w:val="24"/>
          <w:szCs w:val="24"/>
          <w:lang w:val="bg-BG"/>
        </w:rPr>
        <w:t>т</w:t>
      </w:r>
      <w:r w:rsidR="00A90803" w:rsidRPr="00610B1B">
        <w:rPr>
          <w:rFonts w:ascii="Times New Roman" w:hAnsi="Times New Roman" w:cs="Times New Roman"/>
          <w:sz w:val="24"/>
          <w:szCs w:val="24"/>
          <w:lang w:val="bg-BG"/>
        </w:rPr>
        <w:t xml:space="preserve"> период за изплащането им, по-ниската скорост на транспортиране и ограничените райони на дейност, което налага комбинирането </w:t>
      </w:r>
      <w:r w:rsidR="001145F8" w:rsidRPr="00610B1B">
        <w:rPr>
          <w:rFonts w:ascii="Times New Roman" w:hAnsi="Times New Roman" w:cs="Times New Roman"/>
          <w:sz w:val="24"/>
          <w:szCs w:val="24"/>
          <w:lang w:val="bg-BG"/>
        </w:rPr>
        <w:t>му</w:t>
      </w:r>
      <w:r w:rsidR="00A90803" w:rsidRPr="00610B1B">
        <w:rPr>
          <w:rFonts w:ascii="Times New Roman" w:hAnsi="Times New Roman" w:cs="Times New Roman"/>
          <w:sz w:val="24"/>
          <w:szCs w:val="24"/>
          <w:lang w:val="bg-BG"/>
        </w:rPr>
        <w:t xml:space="preserve"> с други видове</w:t>
      </w:r>
      <w:r w:rsidR="000A0B20" w:rsidRPr="00610B1B">
        <w:rPr>
          <w:rFonts w:ascii="Times New Roman" w:hAnsi="Times New Roman" w:cs="Times New Roman"/>
          <w:sz w:val="24"/>
          <w:szCs w:val="24"/>
          <w:lang w:val="bg-BG"/>
        </w:rPr>
        <w:t xml:space="preserve"> транспорт</w:t>
      </w:r>
      <w:r w:rsidR="00A90803" w:rsidRPr="00610B1B">
        <w:rPr>
          <w:rFonts w:ascii="Times New Roman" w:hAnsi="Times New Roman" w:cs="Times New Roman"/>
          <w:sz w:val="24"/>
          <w:szCs w:val="24"/>
          <w:lang w:val="bg-BG"/>
        </w:rPr>
        <w:t>.</w:t>
      </w:r>
      <w:r w:rsidR="000A0B20" w:rsidRPr="00610B1B">
        <w:rPr>
          <w:rFonts w:ascii="Times New Roman" w:hAnsi="Times New Roman" w:cs="Times New Roman"/>
          <w:sz w:val="24"/>
          <w:szCs w:val="24"/>
          <w:lang w:val="bg-BG"/>
        </w:rPr>
        <w:t xml:space="preserve"> </w:t>
      </w:r>
      <w:r w:rsidR="00796C2C" w:rsidRPr="00610B1B">
        <w:rPr>
          <w:rFonts w:ascii="Times New Roman" w:hAnsi="Times New Roman" w:cs="Times New Roman"/>
          <w:sz w:val="24"/>
          <w:szCs w:val="24"/>
          <w:lang w:val="bg-BG"/>
        </w:rPr>
        <w:t>Пристанищата на Република България са важни логистични точки за цялостния транспортен процес. През тях преминават над 60% от вноса и износа на международната ни търговия и това оказва силно влияние върху цялостното развитие на икономиката на страната.</w:t>
      </w:r>
      <w:r w:rsidR="00F76609" w:rsidRPr="00610B1B">
        <w:rPr>
          <w:rFonts w:ascii="Times New Roman" w:hAnsi="Times New Roman" w:cs="Times New Roman"/>
          <w:sz w:val="24"/>
          <w:szCs w:val="24"/>
          <w:lang w:val="bg-BG"/>
        </w:rPr>
        <w:t xml:space="preserve"> </w:t>
      </w:r>
    </w:p>
    <w:p w14:paraId="5E5ADC26" w14:textId="4BBC8062" w:rsidR="00F76609" w:rsidRPr="00610B1B" w:rsidRDefault="00796C2C"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През 2017 г</w:t>
      </w:r>
      <w:r w:rsidR="000A0B2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е приета Интегрирана транспортна стратегия в периода до 2030 година</w:t>
      </w:r>
      <w:r w:rsidR="00F76609" w:rsidRPr="00610B1B">
        <w:rPr>
          <w:rStyle w:val="FootnoteReference"/>
          <w:rFonts w:ascii="Times New Roman" w:hAnsi="Times New Roman" w:cs="Times New Roman"/>
          <w:sz w:val="24"/>
          <w:szCs w:val="24"/>
          <w:lang w:val="bg-BG"/>
        </w:rPr>
        <w:footnoteReference w:id="109"/>
      </w:r>
      <w:r w:rsidRPr="00610B1B">
        <w:rPr>
          <w:rFonts w:ascii="Times New Roman" w:hAnsi="Times New Roman" w:cs="Times New Roman"/>
          <w:sz w:val="24"/>
          <w:szCs w:val="24"/>
          <w:lang w:val="bg-BG"/>
        </w:rPr>
        <w:t>. Целта на тази стратегия е да определи приноса на България към европейската транспортна система, съгласно приоритетите на чл</w:t>
      </w:r>
      <w:r w:rsidR="000A0B2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10 от Регламент (ЕС)</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1315/2013 на Европейския парламент и на Съвета, включително за инвестиции </w:t>
      </w:r>
      <w:r w:rsidR="008C454A" w:rsidRPr="00610B1B">
        <w:rPr>
          <w:rFonts w:ascii="Times New Roman" w:hAnsi="Times New Roman" w:cs="Times New Roman"/>
          <w:sz w:val="24"/>
          <w:szCs w:val="24"/>
          <w:lang w:val="bg-BG"/>
        </w:rPr>
        <w:t>в</w:t>
      </w:r>
      <w:r w:rsidRPr="00610B1B">
        <w:rPr>
          <w:rFonts w:ascii="Times New Roman" w:hAnsi="Times New Roman" w:cs="Times New Roman"/>
          <w:sz w:val="24"/>
          <w:szCs w:val="24"/>
          <w:lang w:val="bg-BG"/>
        </w:rPr>
        <w:t xml:space="preserve"> разширение на TEN-Т мрежа</w:t>
      </w:r>
      <w:r w:rsidR="00F76609" w:rsidRPr="00610B1B">
        <w:rPr>
          <w:rFonts w:ascii="Times New Roman" w:hAnsi="Times New Roman" w:cs="Times New Roman"/>
          <w:sz w:val="24"/>
          <w:szCs w:val="24"/>
          <w:lang w:val="bg-BG"/>
        </w:rPr>
        <w:t>та</w:t>
      </w:r>
      <w:r w:rsidR="00D649FB" w:rsidRPr="00610B1B">
        <w:rPr>
          <w:rFonts w:ascii="Times New Roman" w:hAnsi="Times New Roman" w:cs="Times New Roman"/>
          <w:sz w:val="24"/>
          <w:szCs w:val="24"/>
          <w:lang w:val="bg-BG"/>
        </w:rPr>
        <w:t xml:space="preserve">, </w:t>
      </w:r>
      <w:r w:rsidR="001145F8" w:rsidRPr="00610B1B">
        <w:rPr>
          <w:rFonts w:ascii="Times New Roman" w:hAnsi="Times New Roman" w:cs="Times New Roman"/>
          <w:sz w:val="24"/>
          <w:szCs w:val="24"/>
          <w:lang w:val="bg-BG"/>
        </w:rPr>
        <w:t>с</w:t>
      </w:r>
      <w:r w:rsidR="00D649FB" w:rsidRPr="00610B1B">
        <w:rPr>
          <w:rFonts w:ascii="Times New Roman" w:hAnsi="Times New Roman" w:cs="Times New Roman"/>
          <w:sz w:val="24"/>
          <w:szCs w:val="24"/>
          <w:lang w:val="bg-BG"/>
        </w:rPr>
        <w:t xml:space="preserve"> която са свързани и големите български пристанища</w:t>
      </w:r>
      <w:r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Интегрираната транспортна стратегия </w:t>
      </w:r>
      <w:r w:rsidR="00E9183F" w:rsidRPr="00610B1B">
        <w:rPr>
          <w:rFonts w:ascii="Times New Roman" w:hAnsi="Times New Roman" w:cs="Times New Roman"/>
          <w:sz w:val="24"/>
          <w:szCs w:val="24"/>
          <w:lang w:val="bg-BG"/>
        </w:rPr>
        <w:t xml:space="preserve">определя насоките на националната политика </w:t>
      </w:r>
      <w:r w:rsidR="00D649FB" w:rsidRPr="00610B1B">
        <w:rPr>
          <w:rFonts w:ascii="Times New Roman" w:hAnsi="Times New Roman" w:cs="Times New Roman"/>
          <w:sz w:val="24"/>
          <w:szCs w:val="24"/>
          <w:lang w:val="bg-BG"/>
        </w:rPr>
        <w:t>за</w:t>
      </w:r>
      <w:r w:rsidR="00E9183F"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устойчиво</w:t>
      </w:r>
      <w:r w:rsidR="00E9183F" w:rsidRPr="00610B1B">
        <w:rPr>
          <w:rFonts w:ascii="Times New Roman" w:hAnsi="Times New Roman" w:cs="Times New Roman"/>
          <w:sz w:val="24"/>
          <w:szCs w:val="24"/>
          <w:lang w:val="bg-BG"/>
        </w:rPr>
        <w:t>то</w:t>
      </w:r>
      <w:r w:rsidRPr="00610B1B">
        <w:rPr>
          <w:rFonts w:ascii="Times New Roman" w:hAnsi="Times New Roman" w:cs="Times New Roman"/>
          <w:sz w:val="24"/>
          <w:szCs w:val="24"/>
          <w:lang w:val="bg-BG"/>
        </w:rPr>
        <w:t xml:space="preserve"> развитие на транспортната система на България</w:t>
      </w:r>
      <w:r w:rsidR="00D649FB" w:rsidRPr="00610B1B">
        <w:rPr>
          <w:rFonts w:ascii="Times New Roman" w:hAnsi="Times New Roman" w:cs="Times New Roman"/>
          <w:sz w:val="24"/>
          <w:szCs w:val="24"/>
          <w:lang w:val="bg-BG"/>
        </w:rPr>
        <w:t>, част от която е морският транспорт</w:t>
      </w:r>
      <w:r w:rsidRPr="00610B1B">
        <w:rPr>
          <w:rFonts w:ascii="Times New Roman" w:hAnsi="Times New Roman" w:cs="Times New Roman"/>
          <w:sz w:val="24"/>
          <w:szCs w:val="24"/>
          <w:lang w:val="bg-BG"/>
        </w:rPr>
        <w:t xml:space="preserve">. </w:t>
      </w:r>
    </w:p>
    <w:p w14:paraId="5ED83C55" w14:textId="26D9A3A9" w:rsidR="00796C2C" w:rsidRPr="00610B1B" w:rsidRDefault="00796C2C"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Реформата в българските пристанища</w:t>
      </w:r>
      <w:r w:rsidR="001145F8" w:rsidRPr="00610B1B">
        <w:rPr>
          <w:rFonts w:ascii="Times New Roman" w:hAnsi="Times New Roman" w:cs="Times New Roman"/>
          <w:sz w:val="24"/>
          <w:szCs w:val="24"/>
          <w:lang w:val="bg-BG"/>
        </w:rPr>
        <w:t>, която</w:t>
      </w:r>
      <w:r w:rsidRPr="00610B1B">
        <w:rPr>
          <w:rFonts w:ascii="Times New Roman" w:hAnsi="Times New Roman" w:cs="Times New Roman"/>
          <w:sz w:val="24"/>
          <w:szCs w:val="24"/>
          <w:lang w:val="bg-BG"/>
        </w:rPr>
        <w:t xml:space="preserve"> започ</w:t>
      </w:r>
      <w:r w:rsidR="001145F8" w:rsidRPr="00610B1B">
        <w:rPr>
          <w:rFonts w:ascii="Times New Roman" w:hAnsi="Times New Roman" w:cs="Times New Roman"/>
          <w:sz w:val="24"/>
          <w:szCs w:val="24"/>
          <w:lang w:val="bg-BG"/>
        </w:rPr>
        <w:t>в</w:t>
      </w:r>
      <w:r w:rsidRPr="00610B1B">
        <w:rPr>
          <w:rFonts w:ascii="Times New Roman" w:hAnsi="Times New Roman" w:cs="Times New Roman"/>
          <w:sz w:val="24"/>
          <w:szCs w:val="24"/>
          <w:lang w:val="bg-BG"/>
        </w:rPr>
        <w:t xml:space="preserve">а през 2000 г. </w:t>
      </w:r>
      <w:r w:rsidR="001145F8" w:rsidRPr="00610B1B">
        <w:rPr>
          <w:rFonts w:ascii="Times New Roman" w:hAnsi="Times New Roman" w:cs="Times New Roman"/>
          <w:sz w:val="24"/>
          <w:szCs w:val="24"/>
          <w:lang w:val="bg-BG"/>
        </w:rPr>
        <w:t xml:space="preserve">и </w:t>
      </w:r>
      <w:r w:rsidRPr="00610B1B">
        <w:rPr>
          <w:rFonts w:ascii="Times New Roman" w:hAnsi="Times New Roman" w:cs="Times New Roman"/>
          <w:sz w:val="24"/>
          <w:szCs w:val="24"/>
          <w:lang w:val="bg-BG"/>
        </w:rPr>
        <w:t>създа</w:t>
      </w:r>
      <w:r w:rsidR="001145F8" w:rsidRPr="00610B1B">
        <w:rPr>
          <w:rFonts w:ascii="Times New Roman" w:hAnsi="Times New Roman" w:cs="Times New Roman"/>
          <w:sz w:val="24"/>
          <w:szCs w:val="24"/>
          <w:lang w:val="bg-BG"/>
        </w:rPr>
        <w:t xml:space="preserve">ва </w:t>
      </w:r>
      <w:r w:rsidRPr="00610B1B">
        <w:rPr>
          <w:rFonts w:ascii="Times New Roman" w:hAnsi="Times New Roman" w:cs="Times New Roman"/>
          <w:sz w:val="24"/>
          <w:szCs w:val="24"/>
          <w:lang w:val="bg-BG"/>
        </w:rPr>
        <w:t>условия</w:t>
      </w:r>
      <w:r w:rsidR="00E9183F" w:rsidRPr="00610B1B">
        <w:rPr>
          <w:rFonts w:ascii="Times New Roman" w:hAnsi="Times New Roman" w:cs="Times New Roman"/>
          <w:sz w:val="24"/>
          <w:szCs w:val="24"/>
          <w:lang w:val="bg-BG"/>
        </w:rPr>
        <w:t xml:space="preserve"> за отдаване на концесия на притежаваната</w:t>
      </w:r>
      <w:r w:rsidR="006665AB" w:rsidRPr="00610B1B">
        <w:rPr>
          <w:rFonts w:ascii="Times New Roman" w:hAnsi="Times New Roman" w:cs="Times New Roman"/>
          <w:sz w:val="24"/>
          <w:szCs w:val="24"/>
          <w:lang w:val="bg-BG"/>
        </w:rPr>
        <w:t xml:space="preserve"> от инфраструктурата</w:t>
      </w:r>
      <w:r w:rsidR="00E9183F" w:rsidRPr="00610B1B">
        <w:rPr>
          <w:rFonts w:ascii="Times New Roman" w:hAnsi="Times New Roman" w:cs="Times New Roman"/>
          <w:sz w:val="24"/>
          <w:szCs w:val="24"/>
          <w:lang w:val="bg-BG"/>
        </w:rPr>
        <w:t xml:space="preserve"> </w:t>
      </w:r>
      <w:r w:rsidR="00F63461" w:rsidRPr="00610B1B">
        <w:rPr>
          <w:rFonts w:ascii="Times New Roman" w:hAnsi="Times New Roman" w:cs="Times New Roman"/>
          <w:sz w:val="24"/>
          <w:szCs w:val="24"/>
          <w:lang w:val="bg-BG"/>
        </w:rPr>
        <w:t>публична държавна собственост</w:t>
      </w:r>
      <w:r w:rsidR="00E9183F"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на пристанищата за извършване на пристанищни дейности</w:t>
      </w:r>
      <w:r w:rsidR="00E9183F" w:rsidRPr="00610B1B">
        <w:rPr>
          <w:rFonts w:ascii="Times New Roman" w:hAnsi="Times New Roman" w:cs="Times New Roman"/>
          <w:sz w:val="24"/>
          <w:szCs w:val="24"/>
          <w:lang w:val="bg-BG"/>
        </w:rPr>
        <w:t xml:space="preserve"> от </w:t>
      </w:r>
      <w:r w:rsidR="00991E30" w:rsidRPr="00610B1B">
        <w:rPr>
          <w:rFonts w:ascii="Times New Roman" w:hAnsi="Times New Roman" w:cs="Times New Roman"/>
          <w:sz w:val="24"/>
          <w:szCs w:val="24"/>
          <w:lang w:val="bg-BG"/>
        </w:rPr>
        <w:t xml:space="preserve">икономически оператори - </w:t>
      </w:r>
      <w:r w:rsidR="00E9183F" w:rsidRPr="00610B1B">
        <w:rPr>
          <w:rFonts w:ascii="Times New Roman" w:hAnsi="Times New Roman" w:cs="Times New Roman"/>
          <w:sz w:val="24"/>
          <w:szCs w:val="24"/>
          <w:lang w:val="bg-BG"/>
        </w:rPr>
        <w:t xml:space="preserve">частни </w:t>
      </w:r>
      <w:r w:rsidR="00991E30" w:rsidRPr="00610B1B">
        <w:rPr>
          <w:rFonts w:ascii="Times New Roman" w:hAnsi="Times New Roman" w:cs="Times New Roman"/>
          <w:sz w:val="24"/>
          <w:szCs w:val="24"/>
          <w:lang w:val="bg-BG"/>
        </w:rPr>
        <w:t>партньори</w:t>
      </w:r>
      <w:r w:rsidRPr="00610B1B">
        <w:rPr>
          <w:rFonts w:ascii="Times New Roman" w:hAnsi="Times New Roman" w:cs="Times New Roman"/>
          <w:sz w:val="24"/>
          <w:szCs w:val="24"/>
          <w:lang w:val="bg-BG"/>
        </w:rPr>
        <w:t xml:space="preserve">. </w:t>
      </w:r>
      <w:r w:rsidR="001145F8" w:rsidRPr="00610B1B">
        <w:rPr>
          <w:rFonts w:ascii="Times New Roman" w:hAnsi="Times New Roman" w:cs="Times New Roman"/>
          <w:sz w:val="24"/>
          <w:szCs w:val="24"/>
          <w:lang w:val="bg-BG"/>
        </w:rPr>
        <w:t xml:space="preserve">Тази </w:t>
      </w:r>
      <w:r w:rsidRPr="00610B1B">
        <w:rPr>
          <w:rFonts w:ascii="Times New Roman" w:hAnsi="Times New Roman" w:cs="Times New Roman"/>
          <w:sz w:val="24"/>
          <w:szCs w:val="24"/>
          <w:lang w:val="bg-BG"/>
        </w:rPr>
        <w:t xml:space="preserve">система </w:t>
      </w:r>
      <w:r w:rsidR="00991E30" w:rsidRPr="00610B1B">
        <w:rPr>
          <w:rFonts w:ascii="Times New Roman" w:hAnsi="Times New Roman" w:cs="Times New Roman"/>
          <w:sz w:val="24"/>
          <w:szCs w:val="24"/>
          <w:lang w:val="bg-BG"/>
        </w:rPr>
        <w:t xml:space="preserve">осигурява правни възможности </w:t>
      </w:r>
      <w:r w:rsidRPr="00610B1B">
        <w:rPr>
          <w:rFonts w:ascii="Times New Roman" w:hAnsi="Times New Roman" w:cs="Times New Roman"/>
          <w:sz w:val="24"/>
          <w:szCs w:val="24"/>
          <w:lang w:val="bg-BG"/>
        </w:rPr>
        <w:t>възможности</w:t>
      </w:r>
      <w:r w:rsidR="00E9183F"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за развитие на </w:t>
      </w:r>
      <w:r w:rsidR="00991E30" w:rsidRPr="00610B1B">
        <w:rPr>
          <w:rFonts w:ascii="Times New Roman" w:hAnsi="Times New Roman" w:cs="Times New Roman"/>
          <w:sz w:val="24"/>
          <w:szCs w:val="24"/>
          <w:lang w:val="bg-BG"/>
        </w:rPr>
        <w:t>публично-частно партньорство</w:t>
      </w:r>
      <w:r w:rsidR="00E9183F" w:rsidRPr="00610B1B">
        <w:rPr>
          <w:rFonts w:ascii="Times New Roman" w:hAnsi="Times New Roman" w:cs="Times New Roman"/>
          <w:sz w:val="24"/>
          <w:szCs w:val="24"/>
          <w:lang w:val="bg-BG"/>
        </w:rPr>
        <w:t>, за</w:t>
      </w:r>
      <w:r w:rsidRPr="00610B1B">
        <w:rPr>
          <w:rFonts w:ascii="Times New Roman" w:hAnsi="Times New Roman" w:cs="Times New Roman"/>
          <w:sz w:val="24"/>
          <w:szCs w:val="24"/>
          <w:lang w:val="bg-BG"/>
        </w:rPr>
        <w:t xml:space="preserve"> модернизиране на пристанищата,</w:t>
      </w:r>
      <w:r w:rsidR="00E9183F" w:rsidRPr="00610B1B">
        <w:rPr>
          <w:rFonts w:ascii="Times New Roman" w:hAnsi="Times New Roman" w:cs="Times New Roman"/>
          <w:sz w:val="24"/>
          <w:szCs w:val="24"/>
          <w:lang w:val="bg-BG"/>
        </w:rPr>
        <w:t xml:space="preserve"> за</w:t>
      </w:r>
      <w:r w:rsidRPr="00610B1B">
        <w:rPr>
          <w:rFonts w:ascii="Times New Roman" w:hAnsi="Times New Roman" w:cs="Times New Roman"/>
          <w:sz w:val="24"/>
          <w:szCs w:val="24"/>
          <w:lang w:val="bg-BG"/>
        </w:rPr>
        <w:t xml:space="preserve"> повишаване на тяхната конкурентоспособност</w:t>
      </w:r>
      <w:r w:rsidR="00E9183F" w:rsidRPr="00610B1B">
        <w:rPr>
          <w:rFonts w:ascii="Times New Roman" w:hAnsi="Times New Roman" w:cs="Times New Roman"/>
          <w:sz w:val="24"/>
          <w:szCs w:val="24"/>
          <w:lang w:val="bg-BG"/>
        </w:rPr>
        <w:t xml:space="preserve"> в предоставянето</w:t>
      </w:r>
      <w:r w:rsidRPr="00610B1B">
        <w:rPr>
          <w:rFonts w:ascii="Times New Roman" w:hAnsi="Times New Roman" w:cs="Times New Roman"/>
          <w:sz w:val="24"/>
          <w:szCs w:val="24"/>
          <w:lang w:val="bg-BG"/>
        </w:rPr>
        <w:t xml:space="preserve"> на пристанищни услуги</w:t>
      </w:r>
      <w:r w:rsidR="00D649FB" w:rsidRPr="00610B1B">
        <w:rPr>
          <w:rFonts w:ascii="Times New Roman" w:hAnsi="Times New Roman" w:cs="Times New Roman"/>
          <w:sz w:val="24"/>
          <w:szCs w:val="24"/>
          <w:lang w:val="bg-BG"/>
        </w:rPr>
        <w:t>.</w:t>
      </w:r>
    </w:p>
    <w:p w14:paraId="6270E383" w14:textId="3127DD65" w:rsidR="00796C2C" w:rsidRPr="00610B1B" w:rsidRDefault="00796C2C"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За целите на морското пространствено планиране пристанищата са класифицирани в съответствие с чл. 93 от ЗМПВВППРБ, а именно:</w:t>
      </w:r>
      <w:r w:rsidR="00356FA4" w:rsidRPr="00610B1B">
        <w:rPr>
          <w:rFonts w:ascii="Times New Roman" w:hAnsi="Times New Roman" w:cs="Times New Roman"/>
          <w:sz w:val="24"/>
          <w:szCs w:val="24"/>
          <w:lang w:val="bg-BG"/>
        </w:rPr>
        <w:t xml:space="preserve"> 1) за </w:t>
      </w:r>
      <w:r w:rsidRPr="00610B1B">
        <w:rPr>
          <w:rFonts w:ascii="Times New Roman" w:hAnsi="Times New Roman" w:cs="Times New Roman"/>
          <w:sz w:val="24"/>
          <w:szCs w:val="24"/>
          <w:lang w:val="bg-BG"/>
        </w:rPr>
        <w:t xml:space="preserve">обществен транспорт – </w:t>
      </w:r>
      <w:r w:rsidR="00E9183F" w:rsidRPr="00610B1B">
        <w:rPr>
          <w:rFonts w:ascii="Times New Roman" w:hAnsi="Times New Roman" w:cs="Times New Roman"/>
          <w:sz w:val="24"/>
          <w:szCs w:val="24"/>
          <w:lang w:val="bg-BG"/>
        </w:rPr>
        <w:t>за</w:t>
      </w:r>
      <w:r w:rsidRPr="00610B1B">
        <w:rPr>
          <w:rFonts w:ascii="Times New Roman" w:hAnsi="Times New Roman" w:cs="Times New Roman"/>
          <w:sz w:val="24"/>
          <w:szCs w:val="24"/>
          <w:lang w:val="bg-BG"/>
        </w:rPr>
        <w:t xml:space="preserve"> вътрешен или международен трафик;</w:t>
      </w:r>
      <w:r w:rsidR="00356FA4" w:rsidRPr="00610B1B">
        <w:rPr>
          <w:rFonts w:ascii="Times New Roman" w:hAnsi="Times New Roman" w:cs="Times New Roman"/>
          <w:sz w:val="24"/>
          <w:szCs w:val="24"/>
          <w:lang w:val="bg-BG"/>
        </w:rPr>
        <w:t xml:space="preserve"> 2) рибарски</w:t>
      </w:r>
      <w:r w:rsidRPr="00610B1B">
        <w:rPr>
          <w:rFonts w:ascii="Times New Roman" w:hAnsi="Times New Roman" w:cs="Times New Roman"/>
          <w:sz w:val="24"/>
          <w:szCs w:val="24"/>
          <w:lang w:val="bg-BG"/>
        </w:rPr>
        <w:t>;</w:t>
      </w:r>
      <w:r w:rsidR="00356FA4" w:rsidRPr="00610B1B">
        <w:rPr>
          <w:rFonts w:ascii="Times New Roman" w:hAnsi="Times New Roman" w:cs="Times New Roman"/>
          <w:sz w:val="24"/>
          <w:szCs w:val="24"/>
          <w:lang w:val="bg-BG"/>
        </w:rPr>
        <w:t xml:space="preserve"> 3) я</w:t>
      </w:r>
      <w:r w:rsidRPr="00610B1B">
        <w:rPr>
          <w:rFonts w:ascii="Times New Roman" w:hAnsi="Times New Roman" w:cs="Times New Roman"/>
          <w:sz w:val="24"/>
          <w:szCs w:val="24"/>
          <w:lang w:val="bg-BG"/>
        </w:rPr>
        <w:t>хтени;</w:t>
      </w:r>
      <w:r w:rsidR="00356FA4" w:rsidRPr="00610B1B">
        <w:rPr>
          <w:rFonts w:ascii="Times New Roman" w:hAnsi="Times New Roman" w:cs="Times New Roman"/>
          <w:sz w:val="24"/>
          <w:szCs w:val="24"/>
          <w:lang w:val="bg-BG"/>
        </w:rPr>
        <w:t xml:space="preserve"> 4) със </w:t>
      </w:r>
      <w:r w:rsidRPr="00610B1B">
        <w:rPr>
          <w:rFonts w:ascii="Times New Roman" w:hAnsi="Times New Roman" w:cs="Times New Roman"/>
          <w:sz w:val="24"/>
          <w:szCs w:val="24"/>
          <w:lang w:val="bg-BG"/>
        </w:rPr>
        <w:t>специално предназначение;</w:t>
      </w:r>
      <w:r w:rsidR="00356FA4" w:rsidRPr="00610B1B">
        <w:rPr>
          <w:rFonts w:ascii="Times New Roman" w:hAnsi="Times New Roman" w:cs="Times New Roman"/>
          <w:sz w:val="24"/>
          <w:szCs w:val="24"/>
          <w:lang w:val="bg-BG"/>
        </w:rPr>
        <w:t xml:space="preserve"> 5) военни</w:t>
      </w:r>
      <w:r w:rsidRPr="00610B1B">
        <w:rPr>
          <w:rFonts w:ascii="Times New Roman" w:hAnsi="Times New Roman" w:cs="Times New Roman"/>
          <w:sz w:val="24"/>
          <w:szCs w:val="24"/>
          <w:lang w:val="bg-BG"/>
        </w:rPr>
        <w:t xml:space="preserve">, включително гранично-полицейски. </w:t>
      </w:r>
      <w:r w:rsidR="00764A7C" w:rsidRPr="00610B1B">
        <w:rPr>
          <w:rFonts w:ascii="Times New Roman" w:hAnsi="Times New Roman" w:cs="Times New Roman"/>
          <w:sz w:val="24"/>
          <w:szCs w:val="24"/>
          <w:lang w:val="bg-BG"/>
        </w:rPr>
        <w:t xml:space="preserve">Всички пристанища, с изключение на </w:t>
      </w:r>
      <w:r w:rsidR="00764A7C" w:rsidRPr="00610B1B">
        <w:rPr>
          <w:rFonts w:ascii="Times New Roman" w:hAnsi="Times New Roman" w:cs="Times New Roman"/>
          <w:sz w:val="24"/>
          <w:szCs w:val="24"/>
          <w:lang w:val="bg-BG"/>
        </w:rPr>
        <w:lastRenderedPageBreak/>
        <w:t>военните, се регистрират в съответствие с изискванията на Наредба № 19 от 9 декември 2004 г. за регистрация на пристанищата на Република България.</w:t>
      </w:r>
      <w:r w:rsidR="00764A7C" w:rsidRPr="00610B1B">
        <w:rPr>
          <w:rStyle w:val="FootnoteReference"/>
          <w:rFonts w:ascii="Times New Roman" w:hAnsi="Times New Roman" w:cs="Times New Roman"/>
          <w:sz w:val="24"/>
          <w:szCs w:val="24"/>
          <w:lang w:val="bg-BG"/>
        </w:rPr>
        <w:footnoteReference w:id="110"/>
      </w:r>
      <w:r w:rsidR="00764A7C" w:rsidRPr="00610B1B">
        <w:rPr>
          <w:rFonts w:ascii="Times New Roman" w:hAnsi="Times New Roman" w:cs="Times New Roman"/>
          <w:sz w:val="24"/>
          <w:szCs w:val="24"/>
          <w:lang w:val="bg-BG"/>
        </w:rPr>
        <w:t xml:space="preserve"> </w:t>
      </w:r>
    </w:p>
    <w:p w14:paraId="6E5851BF" w14:textId="25DE57BF" w:rsidR="00E9183F" w:rsidRPr="00610B1B" w:rsidRDefault="00551B0F"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По данни</w:t>
      </w:r>
      <w:r w:rsidR="003F1B54"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от Интегрираната транспортна стратегия</w:t>
      </w:r>
      <w:r w:rsidR="00F512B4"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националната пристанищна система разполага с 14</w:t>
      </w:r>
      <w:r w:rsidR="00F512B4"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628</w:t>
      </w:r>
      <w:r w:rsidR="00F512B4"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m обща дължина на кейовия фронт в морските пристанища за обществен </w:t>
      </w:r>
      <w:r w:rsidR="003F1B54" w:rsidRPr="00610B1B">
        <w:rPr>
          <w:rFonts w:ascii="Times New Roman" w:hAnsi="Times New Roman" w:cs="Times New Roman"/>
          <w:sz w:val="24"/>
          <w:szCs w:val="24"/>
          <w:lang w:val="bg-BG"/>
        </w:rPr>
        <w:t xml:space="preserve">транспорт. </w:t>
      </w:r>
    </w:p>
    <w:p w14:paraId="704A33F6" w14:textId="61C2FC93" w:rsidR="00796C2C" w:rsidRPr="00610B1B" w:rsidRDefault="008116FE"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След присъединяването към ЕС, българските </w:t>
      </w:r>
      <w:r w:rsidR="00796C2C" w:rsidRPr="00610B1B">
        <w:rPr>
          <w:rFonts w:ascii="Times New Roman" w:hAnsi="Times New Roman" w:cs="Times New Roman"/>
          <w:sz w:val="24"/>
          <w:szCs w:val="24"/>
          <w:lang w:val="bg-BG"/>
        </w:rPr>
        <w:t xml:space="preserve">черноморски пристанища </w:t>
      </w:r>
      <w:r w:rsidRPr="00610B1B">
        <w:rPr>
          <w:rFonts w:ascii="Times New Roman" w:hAnsi="Times New Roman" w:cs="Times New Roman"/>
          <w:sz w:val="24"/>
          <w:szCs w:val="24"/>
          <w:lang w:val="bg-BG"/>
        </w:rPr>
        <w:t>станаха</w:t>
      </w:r>
      <w:r w:rsidR="00E9183F" w:rsidRPr="00610B1B">
        <w:rPr>
          <w:rFonts w:ascii="Times New Roman" w:hAnsi="Times New Roman" w:cs="Times New Roman"/>
          <w:sz w:val="24"/>
          <w:szCs w:val="24"/>
          <w:lang w:val="bg-BG"/>
        </w:rPr>
        <w:t xml:space="preserve"> външна</w:t>
      </w:r>
      <w:r w:rsidR="00796C2C" w:rsidRPr="00610B1B">
        <w:rPr>
          <w:rFonts w:ascii="Times New Roman" w:hAnsi="Times New Roman" w:cs="Times New Roman"/>
          <w:sz w:val="24"/>
          <w:szCs w:val="24"/>
          <w:lang w:val="bg-BG"/>
        </w:rPr>
        <w:t xml:space="preserve"> граница на </w:t>
      </w:r>
      <w:r w:rsidRPr="00610B1B">
        <w:rPr>
          <w:rFonts w:ascii="Times New Roman" w:hAnsi="Times New Roman" w:cs="Times New Roman"/>
          <w:sz w:val="24"/>
          <w:szCs w:val="24"/>
          <w:lang w:val="bg-BG"/>
        </w:rPr>
        <w:t xml:space="preserve">Европейския съюз, което </w:t>
      </w:r>
      <w:r w:rsidR="00796C2C" w:rsidRPr="00610B1B">
        <w:rPr>
          <w:rFonts w:ascii="Times New Roman" w:hAnsi="Times New Roman" w:cs="Times New Roman"/>
          <w:sz w:val="24"/>
          <w:szCs w:val="24"/>
          <w:lang w:val="bg-BG"/>
        </w:rPr>
        <w:t xml:space="preserve">ги прави атрактивни за осъществяване на връзки със страните от </w:t>
      </w:r>
      <w:r w:rsidR="002C047B" w:rsidRPr="00610B1B">
        <w:rPr>
          <w:rFonts w:ascii="Times New Roman" w:hAnsi="Times New Roman" w:cs="Times New Roman"/>
          <w:sz w:val="24"/>
          <w:szCs w:val="24"/>
          <w:lang w:val="bg-BG"/>
        </w:rPr>
        <w:t>Ч</w:t>
      </w:r>
      <w:r w:rsidR="00796C2C" w:rsidRPr="00610B1B">
        <w:rPr>
          <w:rFonts w:ascii="Times New Roman" w:hAnsi="Times New Roman" w:cs="Times New Roman"/>
          <w:sz w:val="24"/>
          <w:szCs w:val="24"/>
          <w:lang w:val="bg-BG"/>
        </w:rPr>
        <w:t>ерноморския басейн</w:t>
      </w:r>
      <w:r w:rsidR="002C047B" w:rsidRPr="00610B1B">
        <w:rPr>
          <w:rFonts w:ascii="Times New Roman" w:hAnsi="Times New Roman" w:cs="Times New Roman"/>
          <w:sz w:val="24"/>
          <w:szCs w:val="24"/>
          <w:lang w:val="bg-BG"/>
        </w:rPr>
        <w:t>,</w:t>
      </w:r>
      <w:r w:rsidR="00796C2C" w:rsidRPr="00610B1B">
        <w:rPr>
          <w:rFonts w:ascii="Times New Roman" w:hAnsi="Times New Roman" w:cs="Times New Roman"/>
          <w:sz w:val="24"/>
          <w:szCs w:val="24"/>
          <w:lang w:val="bg-BG"/>
        </w:rPr>
        <w:t xml:space="preserve"> от Дале</w:t>
      </w:r>
      <w:r w:rsidR="00E9183F" w:rsidRPr="00610B1B">
        <w:rPr>
          <w:rFonts w:ascii="Times New Roman" w:hAnsi="Times New Roman" w:cs="Times New Roman"/>
          <w:sz w:val="24"/>
          <w:szCs w:val="24"/>
          <w:lang w:val="bg-BG"/>
        </w:rPr>
        <w:t xml:space="preserve">чния Изток и </w:t>
      </w:r>
      <w:r w:rsidR="00BC1196" w:rsidRPr="00610B1B">
        <w:rPr>
          <w:rFonts w:ascii="Times New Roman" w:hAnsi="Times New Roman" w:cs="Times New Roman"/>
          <w:sz w:val="24"/>
          <w:szCs w:val="24"/>
          <w:lang w:val="bg-BG"/>
        </w:rPr>
        <w:t xml:space="preserve">с </w:t>
      </w:r>
      <w:r w:rsidR="00E9183F" w:rsidRPr="00610B1B">
        <w:rPr>
          <w:rFonts w:ascii="Times New Roman" w:hAnsi="Times New Roman" w:cs="Times New Roman"/>
          <w:sz w:val="24"/>
          <w:szCs w:val="24"/>
          <w:lang w:val="bg-BG"/>
        </w:rPr>
        <w:t xml:space="preserve">азиатските страни. </w:t>
      </w:r>
      <w:r w:rsidR="0032612D" w:rsidRPr="00610B1B">
        <w:rPr>
          <w:rFonts w:ascii="Times New Roman" w:hAnsi="Times New Roman" w:cs="Times New Roman"/>
          <w:sz w:val="24"/>
          <w:szCs w:val="24"/>
          <w:lang w:val="bg-BG"/>
        </w:rPr>
        <w:t>П</w:t>
      </w:r>
      <w:r w:rsidR="00796C2C" w:rsidRPr="00610B1B">
        <w:rPr>
          <w:rFonts w:ascii="Times New Roman" w:hAnsi="Times New Roman" w:cs="Times New Roman"/>
          <w:sz w:val="24"/>
          <w:szCs w:val="24"/>
          <w:lang w:val="bg-BG"/>
        </w:rPr>
        <w:t>рез последните години ЕС обръща изключително внимание на пристанищния отрасъл</w:t>
      </w:r>
      <w:r w:rsidR="002C047B" w:rsidRPr="00610B1B">
        <w:rPr>
          <w:rFonts w:ascii="Times New Roman" w:hAnsi="Times New Roman" w:cs="Times New Roman"/>
          <w:sz w:val="24"/>
          <w:szCs w:val="24"/>
          <w:lang w:val="bg-BG"/>
        </w:rPr>
        <w:t xml:space="preserve"> като </w:t>
      </w:r>
      <w:r w:rsidR="00796C2C" w:rsidRPr="00610B1B">
        <w:rPr>
          <w:rFonts w:ascii="Times New Roman" w:hAnsi="Times New Roman" w:cs="Times New Roman"/>
          <w:sz w:val="24"/>
          <w:szCs w:val="24"/>
          <w:lang w:val="bg-BG"/>
        </w:rPr>
        <w:t>стратегическ</w:t>
      </w:r>
      <w:r w:rsidRPr="00610B1B">
        <w:rPr>
          <w:rFonts w:ascii="Times New Roman" w:hAnsi="Times New Roman" w:cs="Times New Roman"/>
          <w:sz w:val="24"/>
          <w:szCs w:val="24"/>
          <w:lang w:val="bg-BG"/>
        </w:rPr>
        <w:t>и</w:t>
      </w:r>
      <w:r w:rsidR="00796C2C" w:rsidRPr="00610B1B">
        <w:rPr>
          <w:rFonts w:ascii="Times New Roman" w:hAnsi="Times New Roman" w:cs="Times New Roman"/>
          <w:sz w:val="24"/>
          <w:szCs w:val="24"/>
          <w:lang w:val="bg-BG"/>
        </w:rPr>
        <w:t>, икономическ</w:t>
      </w:r>
      <w:r w:rsidRPr="00610B1B">
        <w:rPr>
          <w:rFonts w:ascii="Times New Roman" w:hAnsi="Times New Roman" w:cs="Times New Roman"/>
          <w:sz w:val="24"/>
          <w:szCs w:val="24"/>
          <w:lang w:val="bg-BG"/>
        </w:rPr>
        <w:t>и</w:t>
      </w:r>
      <w:r w:rsidR="00796C2C" w:rsidRPr="00610B1B">
        <w:rPr>
          <w:rFonts w:ascii="Times New Roman" w:hAnsi="Times New Roman" w:cs="Times New Roman"/>
          <w:sz w:val="24"/>
          <w:szCs w:val="24"/>
          <w:lang w:val="bg-BG"/>
        </w:rPr>
        <w:t>, екологич</w:t>
      </w:r>
      <w:r w:rsidRPr="00610B1B">
        <w:rPr>
          <w:rFonts w:ascii="Times New Roman" w:hAnsi="Times New Roman" w:cs="Times New Roman"/>
          <w:sz w:val="24"/>
          <w:szCs w:val="24"/>
          <w:lang w:val="bg-BG"/>
        </w:rPr>
        <w:t>е</w:t>
      </w:r>
      <w:r w:rsidR="00796C2C" w:rsidRPr="00610B1B">
        <w:rPr>
          <w:rFonts w:ascii="Times New Roman" w:hAnsi="Times New Roman" w:cs="Times New Roman"/>
          <w:sz w:val="24"/>
          <w:szCs w:val="24"/>
          <w:lang w:val="bg-BG"/>
        </w:rPr>
        <w:t>н и социал</w:t>
      </w:r>
      <w:r w:rsidRPr="00610B1B">
        <w:rPr>
          <w:rFonts w:ascii="Times New Roman" w:hAnsi="Times New Roman" w:cs="Times New Roman"/>
          <w:sz w:val="24"/>
          <w:szCs w:val="24"/>
          <w:lang w:val="bg-BG"/>
        </w:rPr>
        <w:t>е</w:t>
      </w:r>
      <w:r w:rsidR="00796C2C" w:rsidRPr="00610B1B">
        <w:rPr>
          <w:rFonts w:ascii="Times New Roman" w:hAnsi="Times New Roman" w:cs="Times New Roman"/>
          <w:sz w:val="24"/>
          <w:szCs w:val="24"/>
          <w:lang w:val="bg-BG"/>
        </w:rPr>
        <w:t xml:space="preserve">н </w:t>
      </w:r>
      <w:r w:rsidRPr="00610B1B">
        <w:rPr>
          <w:rFonts w:ascii="Times New Roman" w:hAnsi="Times New Roman" w:cs="Times New Roman"/>
          <w:sz w:val="24"/>
          <w:szCs w:val="24"/>
          <w:lang w:val="bg-BG"/>
        </w:rPr>
        <w:t>фактор</w:t>
      </w:r>
      <w:r w:rsidR="00796C2C" w:rsidRPr="00610B1B">
        <w:rPr>
          <w:rFonts w:ascii="Times New Roman" w:hAnsi="Times New Roman" w:cs="Times New Roman"/>
          <w:sz w:val="24"/>
          <w:szCs w:val="24"/>
          <w:lang w:val="bg-BG"/>
        </w:rPr>
        <w:t xml:space="preserve">. </w:t>
      </w:r>
      <w:r w:rsidR="002C047B" w:rsidRPr="00610B1B">
        <w:rPr>
          <w:rFonts w:ascii="Times New Roman" w:hAnsi="Times New Roman" w:cs="Times New Roman"/>
          <w:sz w:val="24"/>
          <w:szCs w:val="24"/>
          <w:lang w:val="bg-BG"/>
        </w:rPr>
        <w:t>П</w:t>
      </w:r>
      <w:r w:rsidR="00796C2C" w:rsidRPr="00610B1B">
        <w:rPr>
          <w:rFonts w:ascii="Times New Roman" w:hAnsi="Times New Roman" w:cs="Times New Roman"/>
          <w:sz w:val="24"/>
          <w:szCs w:val="24"/>
          <w:lang w:val="bg-BG"/>
        </w:rPr>
        <w:t xml:space="preserve">ристанищата имат значение </w:t>
      </w:r>
      <w:r w:rsidRPr="00610B1B">
        <w:rPr>
          <w:rFonts w:ascii="Times New Roman" w:hAnsi="Times New Roman" w:cs="Times New Roman"/>
          <w:sz w:val="24"/>
          <w:szCs w:val="24"/>
          <w:lang w:val="bg-BG"/>
        </w:rPr>
        <w:t xml:space="preserve">не само </w:t>
      </w:r>
      <w:r w:rsidR="00796C2C" w:rsidRPr="00610B1B">
        <w:rPr>
          <w:rFonts w:ascii="Times New Roman" w:hAnsi="Times New Roman" w:cs="Times New Roman"/>
          <w:sz w:val="24"/>
          <w:szCs w:val="24"/>
          <w:lang w:val="bg-BG"/>
        </w:rPr>
        <w:t>за морски</w:t>
      </w:r>
      <w:r w:rsidRPr="00610B1B">
        <w:rPr>
          <w:rFonts w:ascii="Times New Roman" w:hAnsi="Times New Roman" w:cs="Times New Roman"/>
          <w:sz w:val="24"/>
          <w:szCs w:val="24"/>
          <w:lang w:val="bg-BG"/>
        </w:rPr>
        <w:t xml:space="preserve">те, речните и </w:t>
      </w:r>
      <w:r w:rsidR="00796C2C" w:rsidRPr="00610B1B">
        <w:rPr>
          <w:rFonts w:ascii="Times New Roman" w:hAnsi="Times New Roman" w:cs="Times New Roman"/>
          <w:sz w:val="24"/>
          <w:szCs w:val="24"/>
          <w:lang w:val="bg-BG"/>
        </w:rPr>
        <w:t xml:space="preserve">интермодалните превози в Европа, </w:t>
      </w:r>
      <w:r w:rsidRPr="00610B1B">
        <w:rPr>
          <w:rFonts w:ascii="Times New Roman" w:hAnsi="Times New Roman" w:cs="Times New Roman"/>
          <w:sz w:val="24"/>
          <w:szCs w:val="24"/>
          <w:lang w:val="bg-BG"/>
        </w:rPr>
        <w:t>но и като</w:t>
      </w:r>
      <w:r w:rsidR="00796C2C" w:rsidRPr="00610B1B">
        <w:rPr>
          <w:rFonts w:ascii="Times New Roman" w:hAnsi="Times New Roman" w:cs="Times New Roman"/>
          <w:sz w:val="24"/>
          <w:szCs w:val="24"/>
          <w:lang w:val="bg-BG"/>
        </w:rPr>
        <w:t xml:space="preserve"> икономически оси</w:t>
      </w:r>
      <w:r w:rsidRPr="00610B1B">
        <w:rPr>
          <w:rFonts w:ascii="Times New Roman" w:hAnsi="Times New Roman" w:cs="Times New Roman"/>
          <w:sz w:val="24"/>
          <w:szCs w:val="24"/>
          <w:lang w:val="bg-BG"/>
        </w:rPr>
        <w:t xml:space="preserve">, </w:t>
      </w:r>
      <w:r w:rsidR="00796C2C" w:rsidRPr="00610B1B">
        <w:rPr>
          <w:rFonts w:ascii="Times New Roman" w:hAnsi="Times New Roman" w:cs="Times New Roman"/>
          <w:sz w:val="24"/>
          <w:szCs w:val="24"/>
          <w:lang w:val="bg-BG"/>
        </w:rPr>
        <w:t xml:space="preserve">източник на заетост и интегриране на населението. Изключително внимание се обръща и на технологичните промени, които </w:t>
      </w:r>
      <w:r w:rsidR="0032612D" w:rsidRPr="00610B1B">
        <w:rPr>
          <w:rFonts w:ascii="Times New Roman" w:hAnsi="Times New Roman" w:cs="Times New Roman"/>
          <w:sz w:val="24"/>
          <w:szCs w:val="24"/>
          <w:lang w:val="bg-BG"/>
        </w:rPr>
        <w:t>дават</w:t>
      </w:r>
      <w:r w:rsidR="00796C2C" w:rsidRPr="00610B1B">
        <w:rPr>
          <w:rFonts w:ascii="Times New Roman" w:hAnsi="Times New Roman" w:cs="Times New Roman"/>
          <w:sz w:val="24"/>
          <w:szCs w:val="24"/>
          <w:lang w:val="bg-BG"/>
        </w:rPr>
        <w:t xml:space="preserve"> възможност на пристанищата да посрещнат предизвикателствата на увеличения обем на трафика, за съвременно техническо оборудване, </w:t>
      </w:r>
      <w:r w:rsidR="0032612D" w:rsidRPr="00610B1B">
        <w:rPr>
          <w:rFonts w:ascii="Times New Roman" w:hAnsi="Times New Roman" w:cs="Times New Roman"/>
          <w:sz w:val="24"/>
          <w:szCs w:val="24"/>
          <w:lang w:val="bg-BG"/>
        </w:rPr>
        <w:t xml:space="preserve">за трансформиране на сгради и пространства и участие във </w:t>
      </w:r>
      <w:r w:rsidR="00796C2C" w:rsidRPr="00610B1B">
        <w:rPr>
          <w:rFonts w:ascii="Times New Roman" w:hAnsi="Times New Roman" w:cs="Times New Roman"/>
          <w:sz w:val="24"/>
          <w:szCs w:val="24"/>
          <w:lang w:val="bg-BG"/>
        </w:rPr>
        <w:t xml:space="preserve">възстановяване на градските зони, освободени </w:t>
      </w:r>
      <w:r w:rsidR="0032612D" w:rsidRPr="00610B1B">
        <w:rPr>
          <w:rFonts w:ascii="Times New Roman" w:hAnsi="Times New Roman" w:cs="Times New Roman"/>
          <w:sz w:val="24"/>
          <w:szCs w:val="24"/>
          <w:lang w:val="bg-BG"/>
        </w:rPr>
        <w:t xml:space="preserve">след </w:t>
      </w:r>
      <w:r w:rsidR="00796C2C" w:rsidRPr="00610B1B">
        <w:rPr>
          <w:rFonts w:ascii="Times New Roman" w:hAnsi="Times New Roman" w:cs="Times New Roman"/>
          <w:sz w:val="24"/>
          <w:szCs w:val="24"/>
          <w:lang w:val="bg-BG"/>
        </w:rPr>
        <w:t xml:space="preserve">прехвърлянето на пристанищни </w:t>
      </w:r>
      <w:r w:rsidR="0032612D" w:rsidRPr="00610B1B">
        <w:rPr>
          <w:rFonts w:ascii="Times New Roman" w:hAnsi="Times New Roman" w:cs="Times New Roman"/>
          <w:sz w:val="24"/>
          <w:szCs w:val="24"/>
          <w:lang w:val="bg-BG"/>
        </w:rPr>
        <w:t xml:space="preserve">дейности в извънградски райони. </w:t>
      </w:r>
      <w:r w:rsidR="00796C2C" w:rsidRPr="00610B1B">
        <w:rPr>
          <w:rFonts w:ascii="Times New Roman" w:hAnsi="Times New Roman" w:cs="Times New Roman"/>
          <w:sz w:val="24"/>
          <w:szCs w:val="24"/>
          <w:lang w:val="bg-BG"/>
        </w:rPr>
        <w:t>За по-бързото развитие и технологично обновление на пристанищата от значение са научните изследвания и иновациите, обучението и преквалификацията на заетите в пристанищната дейност лица, концесиите и държавната подкрепа.</w:t>
      </w:r>
    </w:p>
    <w:p w14:paraId="4871C18A" w14:textId="062C239E" w:rsidR="00111024" w:rsidRPr="00610B1B" w:rsidRDefault="0032612D" w:rsidP="00D32D6A">
      <w:pPr>
        <w:autoSpaceDE w:val="0"/>
        <w:autoSpaceDN w:val="0"/>
        <w:adjustRightInd w:val="0"/>
        <w:spacing w:after="120"/>
        <w:ind w:right="-153"/>
        <w:jc w:val="both"/>
        <w:rPr>
          <w:rFonts w:ascii="Times New Roman" w:hAnsi="Times New Roman" w:cs="Times New Roman"/>
          <w:bCs/>
          <w:sz w:val="24"/>
          <w:szCs w:val="24"/>
          <w:lang w:val="bg-BG"/>
        </w:rPr>
      </w:pPr>
      <w:r w:rsidRPr="00610B1B">
        <w:rPr>
          <w:rFonts w:ascii="Times New Roman" w:hAnsi="Times New Roman" w:cs="Times New Roman"/>
          <w:b/>
          <w:bCs/>
          <w:sz w:val="24"/>
          <w:szCs w:val="24"/>
          <w:lang w:val="bg-BG"/>
        </w:rPr>
        <w:t>Законодателната рамка</w:t>
      </w:r>
      <w:r w:rsidRPr="00610B1B">
        <w:rPr>
          <w:rFonts w:ascii="Times New Roman" w:hAnsi="Times New Roman" w:cs="Times New Roman"/>
          <w:sz w:val="24"/>
          <w:szCs w:val="24"/>
          <w:lang w:val="bg-BG"/>
        </w:rPr>
        <w:t xml:space="preserve"> в областта на пристанищата, пристанищната дейност и морския транспорт обхваща </w:t>
      </w:r>
      <w:r w:rsidR="00493FE8" w:rsidRPr="00610B1B">
        <w:rPr>
          <w:rFonts w:ascii="Times New Roman" w:hAnsi="Times New Roman" w:cs="Times New Roman"/>
          <w:sz w:val="24"/>
          <w:szCs w:val="24"/>
          <w:lang w:val="bg-BG"/>
        </w:rPr>
        <w:t>с</w:t>
      </w:r>
      <w:r w:rsidR="00FD1919" w:rsidRPr="00610B1B">
        <w:rPr>
          <w:rFonts w:ascii="Times New Roman" w:hAnsi="Times New Roman" w:cs="Times New Roman"/>
          <w:sz w:val="24"/>
          <w:szCs w:val="24"/>
          <w:lang w:val="bg-BG"/>
        </w:rPr>
        <w:t>пецифични</w:t>
      </w:r>
      <w:r w:rsidR="00493FE8" w:rsidRPr="00610B1B">
        <w:rPr>
          <w:rFonts w:ascii="Times New Roman" w:hAnsi="Times New Roman" w:cs="Times New Roman"/>
          <w:sz w:val="24"/>
          <w:szCs w:val="24"/>
          <w:lang w:val="bg-BG"/>
        </w:rPr>
        <w:t xml:space="preserve"> международни, европейски и национални документи, между които </w:t>
      </w:r>
      <w:r w:rsidR="00FD1919" w:rsidRPr="00610B1B">
        <w:rPr>
          <w:rFonts w:ascii="Times New Roman" w:hAnsi="Times New Roman" w:cs="Times New Roman"/>
          <w:bCs/>
          <w:sz w:val="24"/>
          <w:szCs w:val="24"/>
          <w:lang w:val="bg-BG"/>
        </w:rPr>
        <w:t>К</w:t>
      </w:r>
      <w:r w:rsidR="00796C2C" w:rsidRPr="00610B1B">
        <w:rPr>
          <w:rFonts w:ascii="Times New Roman" w:hAnsi="Times New Roman" w:cs="Times New Roman"/>
          <w:bCs/>
          <w:sz w:val="24"/>
          <w:szCs w:val="24"/>
          <w:lang w:val="bg-BG"/>
        </w:rPr>
        <w:t>онвенция</w:t>
      </w:r>
      <w:r w:rsidR="00493FE8" w:rsidRPr="00610B1B">
        <w:rPr>
          <w:rFonts w:ascii="Times New Roman" w:hAnsi="Times New Roman" w:cs="Times New Roman"/>
          <w:bCs/>
          <w:sz w:val="24"/>
          <w:szCs w:val="24"/>
          <w:lang w:val="bg-BG"/>
        </w:rPr>
        <w:t>та</w:t>
      </w:r>
      <w:r w:rsidR="00796C2C" w:rsidRPr="00610B1B">
        <w:rPr>
          <w:rFonts w:ascii="Times New Roman" w:hAnsi="Times New Roman" w:cs="Times New Roman"/>
          <w:bCs/>
          <w:sz w:val="24"/>
          <w:szCs w:val="24"/>
          <w:lang w:val="bg-BG"/>
        </w:rPr>
        <w:t xml:space="preserve"> на Организацията на обединените нации по морско право</w:t>
      </w:r>
      <w:r w:rsidR="00493FE8" w:rsidRPr="00610B1B">
        <w:rPr>
          <w:rFonts w:ascii="Times New Roman" w:hAnsi="Times New Roman" w:cs="Times New Roman"/>
          <w:bCs/>
          <w:sz w:val="24"/>
          <w:szCs w:val="24"/>
          <w:lang w:val="bg-BG"/>
        </w:rPr>
        <w:t>,</w:t>
      </w:r>
      <w:r w:rsidR="00FD1919" w:rsidRPr="00610B1B">
        <w:rPr>
          <w:rFonts w:ascii="Times New Roman" w:hAnsi="Times New Roman" w:cs="Times New Roman"/>
          <w:bCs/>
          <w:sz w:val="24"/>
          <w:szCs w:val="24"/>
          <w:lang w:val="bg-BG"/>
        </w:rPr>
        <w:t xml:space="preserve"> </w:t>
      </w:r>
      <w:r w:rsidR="00796C2C" w:rsidRPr="00610B1B">
        <w:rPr>
          <w:rFonts w:ascii="Times New Roman" w:hAnsi="Times New Roman" w:cs="Times New Roman"/>
          <w:bCs/>
          <w:sz w:val="24"/>
          <w:szCs w:val="24"/>
          <w:lang w:val="bg-BG"/>
        </w:rPr>
        <w:t>Международна</w:t>
      </w:r>
      <w:r w:rsidR="00356FA4" w:rsidRPr="00610B1B">
        <w:rPr>
          <w:rFonts w:ascii="Times New Roman" w:hAnsi="Times New Roman" w:cs="Times New Roman"/>
          <w:bCs/>
          <w:sz w:val="24"/>
          <w:szCs w:val="24"/>
          <w:lang w:val="bg-BG"/>
        </w:rPr>
        <w:t>та</w:t>
      </w:r>
      <w:r w:rsidR="00796C2C" w:rsidRPr="00610B1B">
        <w:rPr>
          <w:rFonts w:ascii="Times New Roman" w:hAnsi="Times New Roman" w:cs="Times New Roman"/>
          <w:bCs/>
          <w:sz w:val="24"/>
          <w:szCs w:val="24"/>
          <w:lang w:val="bg-BG"/>
        </w:rPr>
        <w:t xml:space="preserve"> конвенция за предотвратяване на замърсяването от кораби, (MARPOL 73/78)</w:t>
      </w:r>
      <w:r w:rsidR="00493FE8" w:rsidRPr="00610B1B">
        <w:rPr>
          <w:rFonts w:ascii="Times New Roman" w:hAnsi="Times New Roman" w:cs="Times New Roman"/>
          <w:bCs/>
          <w:sz w:val="24"/>
          <w:szCs w:val="24"/>
          <w:lang w:val="bg-BG"/>
        </w:rPr>
        <w:t>,</w:t>
      </w:r>
      <w:r w:rsidR="00356FA4" w:rsidRPr="00610B1B">
        <w:rPr>
          <w:rFonts w:ascii="Times New Roman" w:hAnsi="Times New Roman" w:cs="Times New Roman"/>
          <w:bCs/>
          <w:sz w:val="24"/>
          <w:szCs w:val="24"/>
          <w:lang w:val="bg-BG"/>
        </w:rPr>
        <w:t xml:space="preserve"> </w:t>
      </w:r>
      <w:r w:rsidR="00796C2C" w:rsidRPr="00610B1B">
        <w:rPr>
          <w:rFonts w:ascii="Times New Roman" w:hAnsi="Times New Roman" w:cs="Times New Roman"/>
          <w:bCs/>
          <w:sz w:val="24"/>
          <w:szCs w:val="24"/>
          <w:lang w:val="bg-BG"/>
        </w:rPr>
        <w:t>Международна</w:t>
      </w:r>
      <w:r w:rsidR="00AE69E4" w:rsidRPr="00610B1B">
        <w:rPr>
          <w:rFonts w:ascii="Times New Roman" w:hAnsi="Times New Roman" w:cs="Times New Roman"/>
          <w:bCs/>
          <w:sz w:val="24"/>
          <w:szCs w:val="24"/>
          <w:lang w:val="bg-BG"/>
        </w:rPr>
        <w:t>та</w:t>
      </w:r>
      <w:r w:rsidR="00796C2C" w:rsidRPr="00610B1B">
        <w:rPr>
          <w:rFonts w:ascii="Times New Roman" w:hAnsi="Times New Roman" w:cs="Times New Roman"/>
          <w:bCs/>
          <w:sz w:val="24"/>
          <w:szCs w:val="24"/>
          <w:lang w:val="bg-BG"/>
        </w:rPr>
        <w:t xml:space="preserve"> конвенция за контрол и управление на корабнитe баластни води и седименти</w:t>
      </w:r>
      <w:r w:rsidR="00AE69E4" w:rsidRPr="00610B1B">
        <w:rPr>
          <w:rFonts w:ascii="Times New Roman" w:hAnsi="Times New Roman" w:cs="Times New Roman"/>
          <w:bCs/>
          <w:sz w:val="24"/>
          <w:szCs w:val="24"/>
          <w:lang w:val="bg-BG"/>
        </w:rPr>
        <w:t>,</w:t>
      </w:r>
      <w:r w:rsidR="00356FA4" w:rsidRPr="00610B1B">
        <w:rPr>
          <w:rFonts w:ascii="Times New Roman" w:hAnsi="Times New Roman" w:cs="Times New Roman"/>
          <w:bCs/>
          <w:sz w:val="24"/>
          <w:szCs w:val="24"/>
          <w:lang w:val="bg-BG"/>
        </w:rPr>
        <w:t xml:space="preserve"> както и </w:t>
      </w:r>
      <w:r w:rsidR="00796C2C" w:rsidRPr="00610B1B">
        <w:rPr>
          <w:rFonts w:ascii="Times New Roman" w:hAnsi="Times New Roman" w:cs="Times New Roman"/>
          <w:bCs/>
          <w:sz w:val="24"/>
          <w:szCs w:val="24"/>
          <w:lang w:val="bg-BG"/>
        </w:rPr>
        <w:t>Конвенция</w:t>
      </w:r>
      <w:r w:rsidR="00356FA4" w:rsidRPr="00610B1B">
        <w:rPr>
          <w:rFonts w:ascii="Times New Roman" w:hAnsi="Times New Roman" w:cs="Times New Roman"/>
          <w:bCs/>
          <w:sz w:val="24"/>
          <w:szCs w:val="24"/>
          <w:lang w:val="bg-BG"/>
        </w:rPr>
        <w:t>та</w:t>
      </w:r>
      <w:r w:rsidR="00796C2C" w:rsidRPr="00610B1B">
        <w:rPr>
          <w:rFonts w:ascii="Times New Roman" w:hAnsi="Times New Roman" w:cs="Times New Roman"/>
          <w:bCs/>
          <w:sz w:val="24"/>
          <w:szCs w:val="24"/>
          <w:lang w:val="bg-BG"/>
        </w:rPr>
        <w:t xml:space="preserve"> за опазване на Черно море от замърсяване</w:t>
      </w:r>
      <w:r w:rsidR="00111024" w:rsidRPr="00610B1B">
        <w:rPr>
          <w:rFonts w:ascii="Times New Roman" w:hAnsi="Times New Roman" w:cs="Times New Roman"/>
          <w:bCs/>
          <w:sz w:val="24"/>
          <w:szCs w:val="24"/>
          <w:lang w:val="bg-BG"/>
        </w:rPr>
        <w:t>.</w:t>
      </w:r>
      <w:r w:rsidR="00796C2C" w:rsidRPr="00610B1B">
        <w:rPr>
          <w:rFonts w:ascii="Times New Roman" w:hAnsi="Times New Roman" w:cs="Times New Roman"/>
          <w:bCs/>
          <w:sz w:val="24"/>
          <w:szCs w:val="24"/>
          <w:lang w:val="bg-BG"/>
        </w:rPr>
        <w:t xml:space="preserve"> </w:t>
      </w:r>
      <w:bookmarkStart w:id="320" w:name="_Toc28012941"/>
    </w:p>
    <w:p w14:paraId="1854F218" w14:textId="27BB4E7A" w:rsidR="00356FA4" w:rsidRPr="00610B1B" w:rsidRDefault="00356FA4" w:rsidP="00D32D6A">
      <w:pPr>
        <w:autoSpaceDE w:val="0"/>
        <w:autoSpaceDN w:val="0"/>
        <w:adjustRightInd w:val="0"/>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От Европейското законодателство с най-голямо значение за сектора са следните директиви:</w:t>
      </w:r>
    </w:p>
    <w:bookmarkEnd w:id="320"/>
    <w:p w14:paraId="2B18DFF2" w14:textId="005E4C75" w:rsidR="00493FE8" w:rsidRPr="00610B1B" w:rsidRDefault="00493FE8" w:rsidP="00B46189">
      <w:pPr>
        <w:pStyle w:val="ListParagraph"/>
        <w:numPr>
          <w:ilvl w:val="0"/>
          <w:numId w:val="9"/>
        </w:numPr>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Директива </w:t>
      </w:r>
      <w:r w:rsidR="00557F63" w:rsidRPr="00610B1B">
        <w:rPr>
          <w:rFonts w:ascii="Times New Roman" w:hAnsi="Times New Roman" w:cs="Times New Roman"/>
          <w:sz w:val="24"/>
          <w:szCs w:val="24"/>
          <w:lang w:val="bg-BG"/>
        </w:rPr>
        <w:t xml:space="preserve">2019/883 на Европейския парламент и на Съвета от 17 април 2019 г. относно пристанищните </w:t>
      </w:r>
      <w:r w:rsidR="00160C72" w:rsidRPr="00610B1B">
        <w:rPr>
          <w:rFonts w:ascii="Times New Roman" w:hAnsi="Times New Roman" w:cs="Times New Roman"/>
          <w:sz w:val="24"/>
          <w:szCs w:val="24"/>
          <w:lang w:val="bg-BG"/>
        </w:rPr>
        <w:t xml:space="preserve">приемни </w:t>
      </w:r>
      <w:r w:rsidR="00557F63" w:rsidRPr="00610B1B">
        <w:rPr>
          <w:rFonts w:ascii="Times New Roman" w:hAnsi="Times New Roman" w:cs="Times New Roman"/>
          <w:sz w:val="24"/>
          <w:szCs w:val="24"/>
          <w:lang w:val="bg-BG"/>
        </w:rPr>
        <w:t>съоръжения</w:t>
      </w:r>
      <w:r w:rsidR="00160C72" w:rsidRPr="00610B1B">
        <w:rPr>
          <w:rFonts w:ascii="Times New Roman" w:hAnsi="Times New Roman" w:cs="Times New Roman"/>
          <w:sz w:val="24"/>
          <w:szCs w:val="24"/>
          <w:lang w:val="bg-BG"/>
        </w:rPr>
        <w:t xml:space="preserve"> за предаване на отпадъци от кораби, за изменение на Директива 2010/65/ЕС и за отмяна на Директива 2000/59/ЕО;</w:t>
      </w:r>
    </w:p>
    <w:p w14:paraId="34D071EA" w14:textId="77777777" w:rsidR="000917AA" w:rsidRPr="00610B1B" w:rsidRDefault="000917AA" w:rsidP="000917AA">
      <w:pPr>
        <w:pStyle w:val="ListParagraph"/>
        <w:numPr>
          <w:ilvl w:val="0"/>
          <w:numId w:val="9"/>
        </w:numPr>
        <w:autoSpaceDE w:val="0"/>
        <w:autoSpaceDN w:val="0"/>
        <w:adjustRightInd w:val="0"/>
        <w:spacing w:after="120"/>
        <w:ind w:right="-153"/>
        <w:contextualSpacing w:val="0"/>
        <w:jc w:val="both"/>
        <w:rPr>
          <w:rFonts w:ascii="Times New Roman" w:hAnsi="Times New Roman" w:cs="Times New Roman"/>
          <w:b/>
          <w:bCs/>
          <w:sz w:val="24"/>
          <w:szCs w:val="24"/>
          <w:lang w:val="bg-BG"/>
        </w:rPr>
      </w:pPr>
      <w:r w:rsidRPr="00610B1B">
        <w:rPr>
          <w:rFonts w:ascii="Times New Roman" w:hAnsi="Times New Roman" w:cs="Times New Roman"/>
          <w:sz w:val="24"/>
          <w:szCs w:val="24"/>
          <w:lang w:val="bg-BG"/>
        </w:rPr>
        <w:t>Директива 2002/59/ЕО на Европейския парламент и на Съвета от 27 юни 2002 година за създаване на система на Общността за контрол на движението на корабите и за информация и отменяща Директива 93/75/ЕИО на Съвета;</w:t>
      </w:r>
    </w:p>
    <w:p w14:paraId="5DD7A48C" w14:textId="10FB5A01" w:rsidR="000917AA" w:rsidRPr="00610B1B" w:rsidRDefault="000917AA" w:rsidP="000917AA">
      <w:pPr>
        <w:pStyle w:val="ListParagraph"/>
        <w:numPr>
          <w:ilvl w:val="0"/>
          <w:numId w:val="9"/>
        </w:numPr>
        <w:autoSpaceDE w:val="0"/>
        <w:autoSpaceDN w:val="0"/>
        <w:adjustRightInd w:val="0"/>
        <w:spacing w:after="120"/>
        <w:ind w:right="-153"/>
        <w:contextualSpacing w:val="0"/>
        <w:jc w:val="both"/>
        <w:rPr>
          <w:rFonts w:ascii="Times New Roman" w:hAnsi="Times New Roman" w:cs="Times New Roman"/>
          <w:b/>
          <w:bCs/>
          <w:sz w:val="24"/>
          <w:szCs w:val="24"/>
          <w:lang w:val="bg-BG"/>
        </w:rPr>
      </w:pPr>
      <w:r w:rsidRPr="00610B1B">
        <w:rPr>
          <w:rFonts w:ascii="Times New Roman" w:hAnsi="Times New Roman" w:cs="Times New Roman"/>
          <w:sz w:val="24"/>
          <w:szCs w:val="24"/>
          <w:lang w:val="bg-BG"/>
        </w:rPr>
        <w:t>Директива 2005/65/ЕО на Европейския парламент и на Съвета от 26.10.2005 г. за повишаване на сигурността на пристанищата (OB, L, 310 25.11.2005), изменена с Регламент (EO) № 219/2009 на Европейския парламент и на Съвета от 11.03.2009 год. (OB, L, 87, 31.03.2009) и Регламент (EO) 2019/1243 на Европейския парламент и на Съвета от 20.06.20219 год. (OB, L, 198, 25.06.2019);</w:t>
      </w:r>
    </w:p>
    <w:p w14:paraId="1C1B47CA" w14:textId="3A93306B" w:rsidR="00493FE8" w:rsidRPr="00610B1B" w:rsidRDefault="00493FE8" w:rsidP="00B46189">
      <w:pPr>
        <w:pStyle w:val="ListParagraph"/>
        <w:numPr>
          <w:ilvl w:val="0"/>
          <w:numId w:val="9"/>
        </w:numPr>
        <w:spacing w:after="120"/>
        <w:ind w:right="-153"/>
        <w:contextualSpacing w:val="0"/>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Директива 2010/65/ЕС на Европейския парламент и на Съвета от 20 октомври 2010 г. относно формалностите за даване на сведения за кораби, пристигащи във и/или напускащи пристанищата на държавите-членки и за отмяна на Директива 2002/6/ЕО;</w:t>
      </w:r>
    </w:p>
    <w:p w14:paraId="36F37920" w14:textId="697A392E" w:rsidR="000917AA" w:rsidRPr="00610B1B" w:rsidRDefault="000917AA" w:rsidP="000917AA">
      <w:pPr>
        <w:pStyle w:val="ListParagraph"/>
        <w:numPr>
          <w:ilvl w:val="0"/>
          <w:numId w:val="9"/>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Директива 2014/94/ЕС на Европейския парламент и на Съвета от 22 октомври 2014</w:t>
      </w:r>
      <w:r w:rsidR="00E04172" w:rsidRPr="00610B1B">
        <w:rPr>
          <w:rFonts w:ascii="Times New Roman" w:hAnsi="Times New Roman" w:cs="Times New Roman"/>
          <w:sz w:val="24"/>
          <w:szCs w:val="24"/>
          <w:lang w:val="en-US"/>
        </w:rPr>
        <w:t> </w:t>
      </w:r>
      <w:r w:rsidRPr="00610B1B">
        <w:rPr>
          <w:rFonts w:ascii="Times New Roman" w:hAnsi="Times New Roman" w:cs="Times New Roman"/>
          <w:sz w:val="24"/>
          <w:szCs w:val="24"/>
          <w:lang w:val="bg-BG"/>
        </w:rPr>
        <w:t>г. за разгръщането на инфраструктура за алтернативни горива (ОВ, L 307, 28 октомври 2014 г.), изменена с Делегиран регламент (ЕС) 2018/674 на Комисията от 17 ноември 2017 г. (ОВ, L 114, 4 май 2018 г.);</w:t>
      </w:r>
    </w:p>
    <w:p w14:paraId="357A9273" w14:textId="77777777" w:rsidR="000917AA" w:rsidRPr="00610B1B" w:rsidRDefault="000917AA" w:rsidP="000917AA">
      <w:pPr>
        <w:pStyle w:val="ListParagraph"/>
        <w:numPr>
          <w:ilvl w:val="0"/>
          <w:numId w:val="9"/>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Директива (ЕС) 2016/802 на Европейския парламент и на Съвета от 11 май 2016 г. относно намаляването на съдържанието на сяра в определени течни горива (ОВ, L 132, 21 май 2016 г.);</w:t>
      </w:r>
    </w:p>
    <w:p w14:paraId="3BB557BB" w14:textId="4A1F0334" w:rsidR="000917AA" w:rsidRPr="00610B1B" w:rsidRDefault="000917AA" w:rsidP="008753B6">
      <w:pPr>
        <w:pStyle w:val="ListParagraph"/>
        <w:numPr>
          <w:ilvl w:val="0"/>
          <w:numId w:val="9"/>
        </w:numPr>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Директива 2019/883 на Европейския парламент и на Съвета от 17 април 2019 г. относно пристанищните приемни съоръжения за предаване на отпадъци от кораби, за изменение на Директива 2010/65/ЕС и за отмяна на Директива 2000/59/ЕО;</w:t>
      </w:r>
    </w:p>
    <w:p w14:paraId="137A2930" w14:textId="5D9605E0" w:rsidR="000917AA" w:rsidRPr="00610B1B" w:rsidRDefault="00796C2C" w:rsidP="00B46189">
      <w:pPr>
        <w:pStyle w:val="ListParagraph"/>
        <w:numPr>
          <w:ilvl w:val="0"/>
          <w:numId w:val="9"/>
        </w:numPr>
        <w:autoSpaceDE w:val="0"/>
        <w:autoSpaceDN w:val="0"/>
        <w:adjustRightInd w:val="0"/>
        <w:spacing w:after="120"/>
        <w:ind w:right="-153"/>
        <w:contextualSpacing w:val="0"/>
        <w:jc w:val="both"/>
        <w:rPr>
          <w:rFonts w:ascii="Times New Roman" w:hAnsi="Times New Roman" w:cs="Times New Roman"/>
          <w:b/>
          <w:bCs/>
          <w:sz w:val="24"/>
          <w:szCs w:val="24"/>
          <w:lang w:val="bg-BG"/>
        </w:rPr>
      </w:pPr>
      <w:r w:rsidRPr="00610B1B">
        <w:rPr>
          <w:rFonts w:ascii="Times New Roman" w:hAnsi="Times New Roman" w:cs="Times New Roman"/>
          <w:sz w:val="24"/>
          <w:szCs w:val="24"/>
          <w:lang w:val="bg-BG"/>
        </w:rPr>
        <w:t>Регламент (ЕС) 2017/352 на Европейския парламент и на Съвета от 15 февруари 2017 г</w:t>
      </w:r>
      <w:r w:rsidR="00E04172" w:rsidRPr="00D72982">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за създаване на рамка за предоставянето на пристанищни услуги и общи правила за финансовата прозрачност на пристанищата</w:t>
      </w:r>
      <w:r w:rsidR="000917AA" w:rsidRPr="00610B1B">
        <w:rPr>
          <w:rFonts w:ascii="Times New Roman" w:hAnsi="Times New Roman" w:cs="Times New Roman"/>
          <w:sz w:val="24"/>
          <w:szCs w:val="24"/>
          <w:lang w:val="bg-BG"/>
        </w:rPr>
        <w:t>;</w:t>
      </w:r>
    </w:p>
    <w:p w14:paraId="4FF335CD" w14:textId="48995C04" w:rsidR="00796C2C" w:rsidRPr="00610B1B" w:rsidRDefault="000917AA" w:rsidP="000917AA">
      <w:pPr>
        <w:pStyle w:val="ListParagraph"/>
        <w:numPr>
          <w:ilvl w:val="0"/>
          <w:numId w:val="9"/>
        </w:numPr>
        <w:autoSpaceDE w:val="0"/>
        <w:autoSpaceDN w:val="0"/>
        <w:adjustRightInd w:val="0"/>
        <w:spacing w:after="120"/>
        <w:ind w:right="-153"/>
        <w:contextualSpacing w:val="0"/>
        <w:jc w:val="both"/>
        <w:rPr>
          <w:rFonts w:ascii="Times New Roman" w:hAnsi="Times New Roman" w:cs="Times New Roman"/>
          <w:b/>
          <w:bCs/>
          <w:sz w:val="24"/>
          <w:szCs w:val="24"/>
          <w:lang w:val="bg-BG"/>
        </w:rPr>
      </w:pPr>
      <w:r w:rsidRPr="00610B1B">
        <w:rPr>
          <w:rFonts w:ascii="Times New Roman" w:hAnsi="Times New Roman" w:cs="Times New Roman"/>
          <w:sz w:val="24"/>
          <w:szCs w:val="24"/>
          <w:lang w:val="bg-BG"/>
        </w:rPr>
        <w:t>Регламент (ЕО) 725/2004 на Европейския парламент и Съюза от 31.03.2024 г</w:t>
      </w:r>
      <w:r w:rsidR="00E04172" w:rsidRPr="00D72982">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относно </w:t>
      </w:r>
      <w:r w:rsidR="00E04172" w:rsidRPr="00610B1B">
        <w:rPr>
          <w:rFonts w:ascii="Times New Roman" w:hAnsi="Times New Roman" w:cs="Times New Roman"/>
          <w:sz w:val="24"/>
          <w:szCs w:val="24"/>
          <w:lang w:val="bg-BG"/>
        </w:rPr>
        <w:t>подобряване</w:t>
      </w:r>
      <w:r w:rsidRPr="00610B1B">
        <w:rPr>
          <w:rFonts w:ascii="Times New Roman" w:hAnsi="Times New Roman" w:cs="Times New Roman"/>
          <w:sz w:val="24"/>
          <w:szCs w:val="24"/>
          <w:lang w:val="bg-BG"/>
        </w:rPr>
        <w:t xml:space="preserve"> сигурността на корабите и на пристанищните </w:t>
      </w:r>
      <w:r w:rsidR="00E04172" w:rsidRPr="00610B1B">
        <w:rPr>
          <w:rFonts w:ascii="Times New Roman" w:hAnsi="Times New Roman" w:cs="Times New Roman"/>
          <w:sz w:val="24"/>
          <w:szCs w:val="24"/>
          <w:lang w:val="bg-BG"/>
        </w:rPr>
        <w:t>съоръжения</w:t>
      </w:r>
      <w:r w:rsidRPr="00610B1B">
        <w:rPr>
          <w:rFonts w:ascii="Times New Roman" w:hAnsi="Times New Roman" w:cs="Times New Roman"/>
          <w:sz w:val="24"/>
          <w:szCs w:val="24"/>
          <w:lang w:val="bg-BG"/>
        </w:rPr>
        <w:t xml:space="preserve"> (OB, L 129, 29.04.2024), изменен с Решение на Комисията от 23.01.2009 г</w:t>
      </w:r>
      <w:r w:rsidR="00E04172" w:rsidRPr="00D72982">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(OB, L, 29 31.01.2009) и Регламент (EO) № 219 / 2009 на Европейския парламент и на Съвета от 11.03.2009 г. (OB, L, 87, 31.03.2009).</w:t>
      </w:r>
    </w:p>
    <w:p w14:paraId="770B737C" w14:textId="23DDD01B" w:rsidR="00764A7C" w:rsidRPr="00610B1B" w:rsidRDefault="00AE69E4" w:rsidP="00D32D6A">
      <w:pPr>
        <w:spacing w:after="120"/>
        <w:ind w:right="-153"/>
        <w:jc w:val="both"/>
        <w:rPr>
          <w:rFonts w:ascii="Times New Roman" w:hAnsi="Times New Roman" w:cs="Times New Roman"/>
          <w:sz w:val="24"/>
          <w:szCs w:val="24"/>
          <w:lang w:val="bg-BG"/>
        </w:rPr>
      </w:pPr>
      <w:bookmarkStart w:id="321" w:name="_Toc28012942"/>
      <w:r w:rsidRPr="00610B1B">
        <w:rPr>
          <w:rFonts w:ascii="Times New Roman" w:hAnsi="Times New Roman" w:cs="Times New Roman"/>
          <w:sz w:val="24"/>
          <w:szCs w:val="24"/>
          <w:lang w:val="bg-BG"/>
        </w:rPr>
        <w:t>В н</w:t>
      </w:r>
      <w:r w:rsidR="00796C2C" w:rsidRPr="00610B1B">
        <w:rPr>
          <w:rFonts w:ascii="Times New Roman" w:hAnsi="Times New Roman" w:cs="Times New Roman"/>
          <w:sz w:val="24"/>
          <w:szCs w:val="24"/>
          <w:lang w:val="bg-BG"/>
        </w:rPr>
        <w:t>ационално</w:t>
      </w:r>
      <w:r w:rsidR="00356FA4" w:rsidRPr="00610B1B">
        <w:rPr>
          <w:rFonts w:ascii="Times New Roman" w:hAnsi="Times New Roman" w:cs="Times New Roman"/>
          <w:sz w:val="24"/>
          <w:szCs w:val="24"/>
          <w:lang w:val="bg-BG"/>
        </w:rPr>
        <w:t xml:space="preserve">то ни </w:t>
      </w:r>
      <w:r w:rsidR="00796C2C" w:rsidRPr="00610B1B">
        <w:rPr>
          <w:rFonts w:ascii="Times New Roman" w:hAnsi="Times New Roman" w:cs="Times New Roman"/>
          <w:sz w:val="24"/>
          <w:szCs w:val="24"/>
          <w:lang w:val="bg-BG"/>
        </w:rPr>
        <w:t>законодателство</w:t>
      </w:r>
      <w:bookmarkEnd w:id="321"/>
      <w:r w:rsidR="00356FA4" w:rsidRPr="00610B1B">
        <w:rPr>
          <w:rFonts w:ascii="Times New Roman" w:hAnsi="Times New Roman" w:cs="Times New Roman"/>
          <w:sz w:val="24"/>
          <w:szCs w:val="24"/>
          <w:lang w:val="bg-BG"/>
        </w:rPr>
        <w:t>, в допълнение на ЗМПВВППРБ</w:t>
      </w:r>
      <w:r w:rsidRPr="00610B1B">
        <w:rPr>
          <w:rFonts w:ascii="Times New Roman" w:hAnsi="Times New Roman" w:cs="Times New Roman"/>
          <w:sz w:val="24"/>
          <w:szCs w:val="24"/>
          <w:lang w:val="bg-BG"/>
        </w:rPr>
        <w:t>,</w:t>
      </w:r>
      <w:r w:rsidR="00356FA4" w:rsidRPr="00610B1B">
        <w:rPr>
          <w:rFonts w:ascii="Times New Roman" w:hAnsi="Times New Roman" w:cs="Times New Roman"/>
          <w:sz w:val="24"/>
          <w:szCs w:val="24"/>
          <w:lang w:val="bg-BG"/>
        </w:rPr>
        <w:t xml:space="preserve"> действат поредица от подзаконови актове, които касаят дейността на пристанищата и морския трафик – за проектиране, изграждане, оборудване, регистриране и експлоатиране на пристанищата, за контрола на движението през тях с всички дейности по посещението, маневрирането и престоя, със сигурността,</w:t>
      </w:r>
      <w:r w:rsidR="00356FA4" w:rsidRPr="00610B1B">
        <w:rPr>
          <w:rFonts w:ascii="Times New Roman" w:hAnsi="Times New Roman" w:cs="Times New Roman"/>
          <w:lang w:val="bg-BG"/>
        </w:rPr>
        <w:t xml:space="preserve"> </w:t>
      </w:r>
      <w:r w:rsidR="00356FA4" w:rsidRPr="00610B1B">
        <w:rPr>
          <w:rFonts w:ascii="Times New Roman" w:hAnsi="Times New Roman" w:cs="Times New Roman"/>
          <w:sz w:val="24"/>
          <w:szCs w:val="24"/>
          <w:lang w:val="bg-BG"/>
        </w:rPr>
        <w:t>докладването и управление на трафика, информационното обслужване на корабоплаването в морските пространства на Република България.</w:t>
      </w:r>
      <w:r w:rsidR="00764A7C" w:rsidRPr="00610B1B">
        <w:rPr>
          <w:rFonts w:ascii="Times New Roman" w:hAnsi="Times New Roman" w:cs="Times New Roman"/>
          <w:sz w:val="24"/>
          <w:szCs w:val="24"/>
          <w:lang w:val="bg-BG"/>
        </w:rPr>
        <w:t xml:space="preserve"> </w:t>
      </w:r>
    </w:p>
    <w:p w14:paraId="0F855A14" w14:textId="77777777" w:rsidR="000917AA" w:rsidRPr="00610B1B" w:rsidRDefault="000917AA" w:rsidP="00D32D6A">
      <w:pPr>
        <w:spacing w:after="120"/>
        <w:ind w:right="-153"/>
        <w:jc w:val="both"/>
        <w:rPr>
          <w:rFonts w:ascii="Times New Roman" w:hAnsi="Times New Roman" w:cs="Times New Roman"/>
          <w:sz w:val="24"/>
          <w:szCs w:val="24"/>
          <w:lang w:val="bg-BG"/>
        </w:rPr>
      </w:pPr>
    </w:p>
    <w:p w14:paraId="2068877A" w14:textId="7E3ED52E" w:rsidR="005A32CE" w:rsidRPr="00610B1B" w:rsidRDefault="00A02DDF" w:rsidP="00D32D6A">
      <w:pPr>
        <w:pStyle w:val="Heading3"/>
        <w:spacing w:before="0" w:line="276" w:lineRule="auto"/>
        <w:ind w:right="-153"/>
        <w:rPr>
          <w:rFonts w:cs="Times New Roman"/>
        </w:rPr>
      </w:pPr>
      <w:bookmarkStart w:id="322" w:name="_Toc83391373"/>
      <w:r w:rsidRPr="00610B1B">
        <w:rPr>
          <w:rFonts w:cs="Times New Roman"/>
        </w:rPr>
        <w:t xml:space="preserve">3.1.2. </w:t>
      </w:r>
      <w:r w:rsidR="005A32CE" w:rsidRPr="00610B1B">
        <w:rPr>
          <w:rFonts w:cs="Times New Roman"/>
        </w:rPr>
        <w:t>Въздействия на вътрешни и външни фактори</w:t>
      </w:r>
      <w:bookmarkEnd w:id="322"/>
    </w:p>
    <w:p w14:paraId="1A2EAB26" w14:textId="6821B6E1" w:rsidR="00E448CC" w:rsidRPr="00610B1B" w:rsidRDefault="00796C2C" w:rsidP="00D32D6A">
      <w:pPr>
        <w:spacing w:after="120"/>
        <w:ind w:left="-76" w:right="-153"/>
        <w:jc w:val="both"/>
        <w:rPr>
          <w:rFonts w:ascii="Times New Roman" w:hAnsi="Times New Roman" w:cs="Times New Roman"/>
          <w:sz w:val="24"/>
          <w:szCs w:val="24"/>
          <w:lang w:val="bg-BG"/>
        </w:rPr>
      </w:pPr>
      <w:r w:rsidRPr="00610B1B">
        <w:rPr>
          <w:rFonts w:ascii="Times New Roman" w:hAnsi="Times New Roman" w:cs="Times New Roman"/>
          <w:bCs/>
          <w:sz w:val="24"/>
          <w:szCs w:val="24"/>
          <w:lang w:val="bg-BG"/>
        </w:rPr>
        <w:t>Вътрешните и външните фактори</w:t>
      </w:r>
      <w:r w:rsidRPr="00610B1B">
        <w:rPr>
          <w:rFonts w:ascii="Times New Roman" w:hAnsi="Times New Roman" w:cs="Times New Roman"/>
          <w:sz w:val="24"/>
          <w:szCs w:val="24"/>
          <w:lang w:val="bg-BG"/>
        </w:rPr>
        <w:t>, които оказват влияние върху морския транспорт и неговото развитие са</w:t>
      </w:r>
      <w:r w:rsidR="00E448CC"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разгледани в контекста на</w:t>
      </w:r>
      <w:r w:rsidR="00E448CC" w:rsidRPr="00610B1B">
        <w:rPr>
          <w:rFonts w:ascii="Times New Roman" w:hAnsi="Times New Roman" w:cs="Times New Roman"/>
          <w:sz w:val="24"/>
          <w:szCs w:val="24"/>
          <w:lang w:val="bg-BG"/>
        </w:rPr>
        <w:t xml:space="preserve"> з</w:t>
      </w:r>
      <w:r w:rsidRPr="00610B1B">
        <w:rPr>
          <w:rFonts w:ascii="Times New Roman" w:hAnsi="Times New Roman" w:cs="Times New Roman"/>
          <w:sz w:val="24"/>
          <w:szCs w:val="24"/>
          <w:lang w:val="bg-BG"/>
        </w:rPr>
        <w:t xml:space="preserve">асилващата се тенденция </w:t>
      </w:r>
      <w:r w:rsidR="00E448CC" w:rsidRPr="00610B1B">
        <w:rPr>
          <w:rFonts w:ascii="Times New Roman" w:hAnsi="Times New Roman" w:cs="Times New Roman"/>
          <w:sz w:val="24"/>
          <w:szCs w:val="24"/>
          <w:lang w:val="bg-BG"/>
        </w:rPr>
        <w:t>за</w:t>
      </w:r>
      <w:r w:rsidRPr="00610B1B">
        <w:rPr>
          <w:rFonts w:ascii="Times New Roman" w:hAnsi="Times New Roman" w:cs="Times New Roman"/>
          <w:sz w:val="24"/>
          <w:szCs w:val="24"/>
          <w:lang w:val="bg-BG"/>
        </w:rPr>
        <w:t xml:space="preserve"> преструктуриране на превозваните от морския транспорт стоки с големи обеми и с ниска стойност</w:t>
      </w:r>
      <w:r w:rsidR="00AE69E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към стоки с малки обеми, превозвани с автотранспорт и </w:t>
      </w:r>
      <w:r w:rsidR="00AB4C9E" w:rsidRPr="00610B1B">
        <w:rPr>
          <w:rFonts w:ascii="Times New Roman" w:hAnsi="Times New Roman" w:cs="Times New Roman"/>
          <w:sz w:val="24"/>
          <w:szCs w:val="24"/>
          <w:lang w:val="bg-BG"/>
        </w:rPr>
        <w:t>жп транспорт</w:t>
      </w:r>
      <w:r w:rsidR="00E448CC" w:rsidRPr="00610B1B">
        <w:rPr>
          <w:rFonts w:ascii="Times New Roman" w:hAnsi="Times New Roman" w:cs="Times New Roman"/>
          <w:sz w:val="24"/>
          <w:szCs w:val="24"/>
          <w:lang w:val="bg-BG"/>
        </w:rPr>
        <w:t>, п</w:t>
      </w:r>
      <w:r w:rsidRPr="00610B1B">
        <w:rPr>
          <w:rFonts w:ascii="Times New Roman" w:hAnsi="Times New Roman" w:cs="Times New Roman"/>
          <w:sz w:val="24"/>
          <w:szCs w:val="24"/>
          <w:lang w:val="bg-BG"/>
        </w:rPr>
        <w:t>реструктурирането на икономиката и закриването на някои производства, традиционно разчитащи на превоз</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на суровини и материали с морски </w:t>
      </w:r>
      <w:r w:rsidR="00E448CC" w:rsidRPr="00610B1B">
        <w:rPr>
          <w:rFonts w:ascii="Times New Roman" w:hAnsi="Times New Roman" w:cs="Times New Roman"/>
          <w:sz w:val="24"/>
          <w:szCs w:val="24"/>
          <w:lang w:val="bg-BG"/>
        </w:rPr>
        <w:t xml:space="preserve">транспорт. </w:t>
      </w:r>
    </w:p>
    <w:p w14:paraId="78DA25C0" w14:textId="3092B4CF" w:rsidR="00796C2C" w:rsidRPr="00610B1B" w:rsidRDefault="00796C2C" w:rsidP="00D32D6A">
      <w:pPr>
        <w:spacing w:after="120"/>
        <w:ind w:left="-76"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Повишените изисквания за опазване на околната среда и за намаляване на негативното въздействие на изменението на климата се превръщат </w:t>
      </w:r>
      <w:r w:rsidR="00493FE8" w:rsidRPr="00610B1B">
        <w:rPr>
          <w:rFonts w:ascii="Times New Roman" w:hAnsi="Times New Roman" w:cs="Times New Roman"/>
          <w:sz w:val="24"/>
          <w:szCs w:val="24"/>
          <w:lang w:val="bg-BG"/>
        </w:rPr>
        <w:t xml:space="preserve">налагат </w:t>
      </w:r>
      <w:r w:rsidRPr="00610B1B">
        <w:rPr>
          <w:rFonts w:ascii="Times New Roman" w:hAnsi="Times New Roman" w:cs="Times New Roman"/>
          <w:sz w:val="24"/>
          <w:szCs w:val="24"/>
          <w:lang w:val="bg-BG"/>
        </w:rPr>
        <w:t xml:space="preserve">много по-строги изисквания към морския транспорт, към използваните корабни горива, към баластните води и седименти. От 1 януари 2020 г. се въвежда глобален лимит за максималното съдържание на сяра в корабните горива от 0,5% тегловни процента (m/m). На 08.09.2017 г. влезе в сила </w:t>
      </w:r>
      <w:r w:rsidRPr="00610B1B">
        <w:rPr>
          <w:rFonts w:ascii="Times New Roman" w:hAnsi="Times New Roman" w:cs="Times New Roman"/>
          <w:sz w:val="24"/>
          <w:szCs w:val="24"/>
          <w:lang w:val="bg-BG"/>
        </w:rPr>
        <w:lastRenderedPageBreak/>
        <w:t xml:space="preserve">Конвенцията за контрол и управление на корабните баластни води и седименти, което налага монтиране на специални системи за унищожаване на живите организми в баластните води. </w:t>
      </w:r>
    </w:p>
    <w:p w14:paraId="393D3E8D" w14:textId="77777777" w:rsidR="00493FE8" w:rsidRPr="00610B1B" w:rsidRDefault="00E448CC" w:rsidP="00D32D6A">
      <w:pPr>
        <w:spacing w:after="120"/>
        <w:ind w:left="-76"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Допълнително въздействие върху развитие</w:t>
      </w:r>
      <w:r w:rsidR="00A90803" w:rsidRPr="00610B1B">
        <w:rPr>
          <w:rFonts w:ascii="Times New Roman" w:hAnsi="Times New Roman" w:cs="Times New Roman"/>
          <w:sz w:val="24"/>
          <w:szCs w:val="24"/>
          <w:lang w:val="bg-BG"/>
        </w:rPr>
        <w:t>то</w:t>
      </w:r>
      <w:r w:rsidRPr="00610B1B">
        <w:rPr>
          <w:rFonts w:ascii="Times New Roman" w:hAnsi="Times New Roman" w:cs="Times New Roman"/>
          <w:sz w:val="24"/>
          <w:szCs w:val="24"/>
          <w:lang w:val="bg-BG"/>
        </w:rPr>
        <w:t xml:space="preserve"> на морския транспорт оказва и е</w:t>
      </w:r>
      <w:r w:rsidR="00796C2C" w:rsidRPr="00610B1B">
        <w:rPr>
          <w:rFonts w:ascii="Times New Roman" w:hAnsi="Times New Roman" w:cs="Times New Roman"/>
          <w:sz w:val="24"/>
          <w:szCs w:val="24"/>
          <w:lang w:val="bg-BG"/>
        </w:rPr>
        <w:t xml:space="preserve">кспанзията на </w:t>
      </w:r>
      <w:r w:rsidRPr="00610B1B">
        <w:rPr>
          <w:rFonts w:ascii="Times New Roman" w:hAnsi="Times New Roman" w:cs="Times New Roman"/>
          <w:sz w:val="24"/>
          <w:szCs w:val="24"/>
          <w:lang w:val="bg-BG"/>
        </w:rPr>
        <w:t xml:space="preserve">жп </w:t>
      </w:r>
      <w:r w:rsidR="00796C2C" w:rsidRPr="00610B1B">
        <w:rPr>
          <w:rFonts w:ascii="Times New Roman" w:hAnsi="Times New Roman" w:cs="Times New Roman"/>
          <w:sz w:val="24"/>
          <w:szCs w:val="24"/>
          <w:lang w:val="bg-BG"/>
        </w:rPr>
        <w:t>превозите от Далечния изток, по-специално от Китай за Европа по трасета, които не минават през България</w:t>
      </w:r>
      <w:r w:rsidRPr="00610B1B">
        <w:rPr>
          <w:rFonts w:ascii="Times New Roman" w:hAnsi="Times New Roman" w:cs="Times New Roman"/>
          <w:sz w:val="24"/>
          <w:szCs w:val="24"/>
          <w:lang w:val="bg-BG"/>
        </w:rPr>
        <w:t xml:space="preserve">. Това </w:t>
      </w:r>
      <w:r w:rsidR="00796C2C" w:rsidRPr="00610B1B">
        <w:rPr>
          <w:rFonts w:ascii="Times New Roman" w:hAnsi="Times New Roman" w:cs="Times New Roman"/>
          <w:sz w:val="24"/>
          <w:szCs w:val="24"/>
          <w:lang w:val="bg-BG"/>
        </w:rPr>
        <w:t>води до намаляване на транзитните стоки през българските пристанища, което влияе и върху обема на превозваните товари по море.</w:t>
      </w:r>
      <w:r w:rsidRPr="00610B1B">
        <w:rPr>
          <w:rFonts w:ascii="Times New Roman" w:hAnsi="Times New Roman" w:cs="Times New Roman"/>
          <w:sz w:val="24"/>
          <w:szCs w:val="24"/>
          <w:lang w:val="bg-BG"/>
        </w:rPr>
        <w:t xml:space="preserve"> </w:t>
      </w:r>
    </w:p>
    <w:p w14:paraId="7CDEC98D" w14:textId="64125C65" w:rsidR="00AB4C9E" w:rsidRPr="00610B1B" w:rsidRDefault="00796C2C" w:rsidP="00D32D6A">
      <w:pPr>
        <w:spacing w:after="120"/>
        <w:ind w:left="-76"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Вътрешните фактори в голяма степен зависят от поведението на различните участници в този сектор.</w:t>
      </w:r>
      <w:r w:rsidR="00493FE8"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Политиката на държавата следва да бъде насочена основно към създа</w:t>
      </w:r>
      <w:r w:rsidR="00A90803" w:rsidRPr="00610B1B">
        <w:rPr>
          <w:rFonts w:ascii="Times New Roman" w:hAnsi="Times New Roman" w:cs="Times New Roman"/>
          <w:sz w:val="24"/>
          <w:szCs w:val="24"/>
          <w:lang w:val="bg-BG"/>
        </w:rPr>
        <w:t>ване на</w:t>
      </w:r>
      <w:r w:rsidRPr="00610B1B">
        <w:rPr>
          <w:rFonts w:ascii="Times New Roman" w:hAnsi="Times New Roman" w:cs="Times New Roman"/>
          <w:sz w:val="24"/>
          <w:szCs w:val="24"/>
          <w:lang w:val="bg-BG"/>
        </w:rPr>
        <w:t xml:space="preserve"> подходяща законодателна и нормативна уредба, която да стимулира и създава конкурентна среда за развитието на морския транспорт, както и да упражнява съответния контрол.</w:t>
      </w:r>
    </w:p>
    <w:p w14:paraId="4F0D028F" w14:textId="1E9EA6E1" w:rsidR="00AB4C9E" w:rsidRPr="00610B1B" w:rsidRDefault="00F87963" w:rsidP="00D32D6A">
      <w:pPr>
        <w:spacing w:after="120"/>
        <w:ind w:left="-72"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Държавната политика в областта на транспорта се провежда от </w:t>
      </w:r>
      <w:r w:rsidR="00796C2C" w:rsidRPr="00610B1B">
        <w:rPr>
          <w:rFonts w:ascii="Times New Roman" w:hAnsi="Times New Roman" w:cs="Times New Roman"/>
          <w:sz w:val="24"/>
          <w:szCs w:val="24"/>
          <w:lang w:val="bg-BG"/>
        </w:rPr>
        <w:t>Министър</w:t>
      </w:r>
      <w:r w:rsidRPr="00610B1B">
        <w:rPr>
          <w:rFonts w:ascii="Times New Roman" w:hAnsi="Times New Roman" w:cs="Times New Roman"/>
          <w:sz w:val="24"/>
          <w:szCs w:val="24"/>
          <w:lang w:val="bg-BG"/>
        </w:rPr>
        <w:t>а</w:t>
      </w:r>
      <w:r w:rsidR="00796C2C" w:rsidRPr="00610B1B">
        <w:rPr>
          <w:rFonts w:ascii="Times New Roman" w:hAnsi="Times New Roman" w:cs="Times New Roman"/>
          <w:sz w:val="24"/>
          <w:szCs w:val="24"/>
          <w:lang w:val="bg-BG"/>
        </w:rPr>
        <w:t xml:space="preserve"> на транспорта, информационните технологии и съобщенията, </w:t>
      </w:r>
      <w:r w:rsidRPr="00610B1B">
        <w:rPr>
          <w:rFonts w:ascii="Times New Roman" w:hAnsi="Times New Roman" w:cs="Times New Roman"/>
          <w:sz w:val="24"/>
          <w:szCs w:val="24"/>
          <w:lang w:val="bg-BG"/>
        </w:rPr>
        <w:t xml:space="preserve">който съгласно </w:t>
      </w:r>
      <w:r w:rsidR="00796C2C" w:rsidRPr="00610B1B">
        <w:rPr>
          <w:rFonts w:ascii="Times New Roman" w:hAnsi="Times New Roman" w:cs="Times New Roman"/>
          <w:sz w:val="24"/>
          <w:lang w:val="bg-BG"/>
        </w:rPr>
        <w:t xml:space="preserve">чл. 92, ал. 3 от ЗМПВВППРБ осигурява контрол върху всички пристанища, с изключение на военните. </w:t>
      </w:r>
      <w:r w:rsidR="00796C2C" w:rsidRPr="00610B1B">
        <w:rPr>
          <w:rFonts w:ascii="Times New Roman" w:hAnsi="Times New Roman" w:cs="Times New Roman"/>
          <w:sz w:val="24"/>
          <w:szCs w:val="24"/>
          <w:lang w:val="bg-BG"/>
        </w:rPr>
        <w:t xml:space="preserve">Към Министерството на транспорта, информационните технологии и съобщенията са създадени и функционират изпълнителни агенции, </w:t>
      </w:r>
      <w:r w:rsidR="00AB4C9E" w:rsidRPr="00610B1B">
        <w:rPr>
          <w:rFonts w:ascii="Times New Roman" w:hAnsi="Times New Roman" w:cs="Times New Roman"/>
          <w:sz w:val="24"/>
          <w:szCs w:val="24"/>
          <w:lang w:val="bg-BG"/>
        </w:rPr>
        <w:t>които подпомагат дейността му.</w:t>
      </w:r>
      <w:bookmarkStart w:id="323" w:name="_Toc28012947"/>
      <w:r w:rsidRPr="00610B1B">
        <w:rPr>
          <w:rFonts w:ascii="Times New Roman" w:hAnsi="Times New Roman" w:cs="Times New Roman"/>
          <w:sz w:val="24"/>
          <w:szCs w:val="24"/>
          <w:lang w:val="bg-BG"/>
        </w:rPr>
        <w:t xml:space="preserve"> </w:t>
      </w:r>
    </w:p>
    <w:p w14:paraId="58F526A5" w14:textId="578B8E5B" w:rsidR="003B538F" w:rsidRPr="00610B1B" w:rsidRDefault="00796C2C" w:rsidP="00D32D6A">
      <w:pPr>
        <w:spacing w:after="120"/>
        <w:ind w:left="-72" w:right="-153"/>
        <w:jc w:val="both"/>
        <w:rPr>
          <w:rFonts w:ascii="Times New Roman" w:hAnsi="Times New Roman" w:cs="Times New Roman"/>
          <w:sz w:val="28"/>
          <w:szCs w:val="28"/>
          <w:lang w:val="bg-BG"/>
        </w:rPr>
      </w:pPr>
      <w:r w:rsidRPr="00610B1B">
        <w:rPr>
          <w:rFonts w:ascii="Times New Roman" w:eastAsiaTheme="majorEastAsia" w:hAnsi="Times New Roman" w:cs="Times New Roman"/>
          <w:i/>
          <w:iCs/>
          <w:color w:val="000000" w:themeColor="text1"/>
          <w:sz w:val="24"/>
          <w:szCs w:val="24"/>
          <w:lang w:val="bg-BG"/>
        </w:rPr>
        <w:t>Изпълнителна агенция „Морска администрация</w:t>
      </w:r>
      <w:r w:rsidRPr="00610B1B">
        <w:rPr>
          <w:rFonts w:ascii="Times New Roman" w:eastAsiaTheme="majorEastAsia" w:hAnsi="Times New Roman" w:cs="Times New Roman"/>
          <w:color w:val="000000" w:themeColor="text1"/>
          <w:sz w:val="24"/>
          <w:szCs w:val="24"/>
          <w:lang w:val="bg-BG"/>
        </w:rPr>
        <w:t>” (ИАМА</w:t>
      </w:r>
      <w:r w:rsidR="00AB4C9E" w:rsidRPr="00610B1B">
        <w:rPr>
          <w:rFonts w:ascii="Times New Roman" w:eastAsiaTheme="majorEastAsia" w:hAnsi="Times New Roman" w:cs="Times New Roman"/>
          <w:color w:val="000000" w:themeColor="text1"/>
          <w:sz w:val="24"/>
          <w:szCs w:val="24"/>
          <w:lang w:val="bg-BG"/>
        </w:rPr>
        <w:t>)</w:t>
      </w:r>
      <w:r w:rsidRPr="00610B1B">
        <w:rPr>
          <w:rStyle w:val="FootnoteReference"/>
          <w:rFonts w:ascii="Times New Roman" w:eastAsiaTheme="majorEastAsia" w:hAnsi="Times New Roman" w:cs="Times New Roman"/>
          <w:color w:val="000000" w:themeColor="text1"/>
          <w:sz w:val="24"/>
          <w:szCs w:val="24"/>
          <w:lang w:val="bg-BG"/>
        </w:rPr>
        <w:footnoteReference w:id="111"/>
      </w:r>
      <w:bookmarkEnd w:id="323"/>
      <w:r w:rsidRPr="00610B1B">
        <w:rPr>
          <w:rFonts w:ascii="Times New Roman" w:eastAsiaTheme="majorEastAsia" w:hAnsi="Times New Roman" w:cs="Times New Roman"/>
          <w:color w:val="000000" w:themeColor="text1"/>
          <w:sz w:val="24"/>
          <w:szCs w:val="24"/>
          <w:lang w:val="bg-BG"/>
        </w:rPr>
        <w:t xml:space="preserve"> </w:t>
      </w:r>
      <w:r w:rsidRPr="00610B1B">
        <w:rPr>
          <w:rFonts w:ascii="Times New Roman" w:eastAsia="Times New Roman" w:hAnsi="Times New Roman" w:cs="Times New Roman"/>
          <w:sz w:val="24"/>
          <w:szCs w:val="24"/>
          <w:lang w:val="bg-BG" w:eastAsia="bg-BG"/>
        </w:rPr>
        <w:t>организира и координира дейности по безопасност на корабоплаването в морските пространства и във вътрешните водни пътища на Република България;</w:t>
      </w:r>
      <w:r w:rsidR="00AB4C9E"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осигурява реалната връзка между държавата и корабите, плаващи под българско знаме</w:t>
      </w:r>
      <w:r w:rsidR="00AB4C9E" w:rsidRPr="00610B1B">
        <w:rPr>
          <w:rFonts w:ascii="Times New Roman" w:eastAsia="Times New Roman" w:hAnsi="Times New Roman" w:cs="Times New Roman"/>
          <w:sz w:val="24"/>
          <w:szCs w:val="24"/>
          <w:lang w:val="bg-BG" w:eastAsia="bg-BG"/>
        </w:rPr>
        <w:t xml:space="preserve"> и </w:t>
      </w:r>
      <w:r w:rsidRPr="00610B1B">
        <w:rPr>
          <w:rFonts w:ascii="Times New Roman" w:eastAsia="Times New Roman" w:hAnsi="Times New Roman" w:cs="Times New Roman"/>
          <w:sz w:val="24"/>
          <w:szCs w:val="24"/>
          <w:lang w:val="bg-BG" w:eastAsia="bg-BG"/>
        </w:rPr>
        <w:t>упражнява контрол</w:t>
      </w:r>
      <w:r w:rsidR="00AB4C9E" w:rsidRPr="00610B1B">
        <w:rPr>
          <w:rFonts w:ascii="Times New Roman" w:eastAsia="Times New Roman" w:hAnsi="Times New Roman" w:cs="Times New Roman"/>
          <w:sz w:val="24"/>
          <w:szCs w:val="24"/>
          <w:lang w:val="bg-BG" w:eastAsia="bg-BG"/>
        </w:rPr>
        <w:t>, съгласно предписанията на закона.</w:t>
      </w:r>
      <w:r w:rsidR="00D66FE0" w:rsidRPr="00610B1B">
        <w:rPr>
          <w:rFonts w:ascii="Times New Roman" w:eastAsia="Times New Roman" w:hAnsi="Times New Roman" w:cs="Times New Roman"/>
          <w:sz w:val="24"/>
          <w:szCs w:val="24"/>
          <w:lang w:val="bg-BG" w:eastAsia="bg-BG"/>
        </w:rPr>
        <w:t xml:space="preserve"> </w:t>
      </w:r>
      <w:r w:rsidR="003B538F" w:rsidRPr="00610B1B">
        <w:rPr>
          <w:rFonts w:ascii="Times New Roman" w:eastAsia="Times New Roman" w:hAnsi="Times New Roman" w:cs="Times New Roman"/>
          <w:sz w:val="24"/>
          <w:szCs w:val="24"/>
          <w:lang w:val="bg-BG" w:eastAsia="bg-BG"/>
        </w:rPr>
        <w:t xml:space="preserve">ИАМА организира и координира търсенето и спасяването на бедстващи хора, кораби и самолети, упражнява контрол върху опазването на морската среда от замърсяване от кораби и </w:t>
      </w:r>
      <w:r w:rsidRPr="00610B1B">
        <w:rPr>
          <w:rFonts w:ascii="Times New Roman" w:eastAsia="Times New Roman" w:hAnsi="Times New Roman" w:cs="Times New Roman"/>
          <w:sz w:val="24"/>
          <w:szCs w:val="24"/>
          <w:lang w:val="bg-BG" w:eastAsia="bg-BG"/>
        </w:rPr>
        <w:t>води регистри на корабите, морските лица, пристанищата и пристанищните оператори</w:t>
      </w:r>
      <w:r w:rsidR="00F87963" w:rsidRPr="00610B1B">
        <w:rPr>
          <w:rFonts w:ascii="Times New Roman" w:eastAsia="Times New Roman" w:hAnsi="Times New Roman" w:cs="Times New Roman"/>
          <w:sz w:val="24"/>
          <w:szCs w:val="24"/>
          <w:lang w:val="bg-BG" w:eastAsia="bg-BG"/>
        </w:rPr>
        <w:t xml:space="preserve">. </w:t>
      </w:r>
      <w:bookmarkStart w:id="324" w:name="_Toc28012948"/>
    </w:p>
    <w:p w14:paraId="012A897F" w14:textId="6AA4527F" w:rsidR="00D34C79" w:rsidRPr="00610B1B" w:rsidRDefault="00796C2C" w:rsidP="00D32D6A">
      <w:pPr>
        <w:spacing w:after="120"/>
        <w:ind w:left="-72" w:right="-153"/>
        <w:jc w:val="both"/>
        <w:rPr>
          <w:rFonts w:ascii="Times New Roman" w:eastAsia="Times New Roman" w:hAnsi="Times New Roman" w:cs="Times New Roman"/>
          <w:sz w:val="24"/>
          <w:szCs w:val="24"/>
          <w:lang w:val="bg-BG" w:eastAsia="bg-BG"/>
        </w:rPr>
      </w:pPr>
      <w:r w:rsidRPr="00610B1B">
        <w:rPr>
          <w:rFonts w:ascii="Times New Roman" w:eastAsiaTheme="majorEastAsia" w:hAnsi="Times New Roman" w:cs="Times New Roman"/>
          <w:i/>
          <w:iCs/>
          <w:sz w:val="24"/>
          <w:szCs w:val="24"/>
          <w:lang w:val="bg-BG"/>
        </w:rPr>
        <w:t>Държавно предприятие „Пристанищна инфраструктура</w:t>
      </w:r>
      <w:r w:rsidRPr="00610B1B">
        <w:rPr>
          <w:rFonts w:ascii="Times New Roman" w:eastAsiaTheme="majorEastAsia" w:hAnsi="Times New Roman" w:cs="Times New Roman"/>
          <w:sz w:val="24"/>
          <w:szCs w:val="24"/>
          <w:lang w:val="bg-BG"/>
        </w:rPr>
        <w:t>” (ДППИ</w:t>
      </w:r>
      <w:r w:rsidR="003B538F" w:rsidRPr="00610B1B">
        <w:rPr>
          <w:rFonts w:ascii="Times New Roman" w:eastAsiaTheme="majorEastAsia" w:hAnsi="Times New Roman" w:cs="Times New Roman"/>
          <w:sz w:val="24"/>
          <w:szCs w:val="24"/>
          <w:lang w:val="bg-BG"/>
        </w:rPr>
        <w:t>)</w:t>
      </w:r>
      <w:r w:rsidRPr="00610B1B">
        <w:rPr>
          <w:rStyle w:val="FootnoteReference"/>
          <w:rFonts w:ascii="Times New Roman" w:eastAsiaTheme="majorEastAsia" w:hAnsi="Times New Roman" w:cs="Times New Roman"/>
          <w:sz w:val="24"/>
          <w:szCs w:val="24"/>
          <w:lang w:val="bg-BG"/>
        </w:rPr>
        <w:footnoteReference w:id="112"/>
      </w:r>
      <w:bookmarkEnd w:id="324"/>
      <w:r w:rsidR="00D34C79" w:rsidRPr="00610B1B">
        <w:rPr>
          <w:rFonts w:ascii="Times New Roman" w:eastAsiaTheme="majorEastAsia" w:hAnsi="Times New Roman" w:cs="Times New Roman"/>
          <w:sz w:val="24"/>
          <w:szCs w:val="24"/>
          <w:lang w:val="bg-BG"/>
        </w:rPr>
        <w:t xml:space="preserve"> </w:t>
      </w:r>
      <w:r w:rsidR="00D136B9" w:rsidRPr="00610B1B">
        <w:rPr>
          <w:rFonts w:ascii="Times New Roman" w:eastAsiaTheme="majorEastAsia" w:hAnsi="Times New Roman" w:cs="Times New Roman"/>
          <w:sz w:val="24"/>
          <w:szCs w:val="24"/>
          <w:lang w:val="bg-BG"/>
        </w:rPr>
        <w:t>е Управителен орган на пристанищата по чл.106а от ЗМПВВППРБ. Основните му дейности са свързани с: управление на пристанищната инфраструктура и развитие на морските и речните пристанища; предоставяне на услуги, чрез Световна морска система за бедствия и безопасност; обезпечаване на спасителни и неотложни аварийно-възстановителни работи; предоставяне на далекосъобщителни услуги кораб-бряг и бряг-кораб, на услуги по управление на трафика и информационно обслужване на корабоплаването и предоставяне на речни информационни услуги на корабния трафик. ДППИ предоставя хидрометеорологична информация, пристанищни услуги и извършва съпътстващи дейности по чл.116а от ЗМПВВППРБ.</w:t>
      </w:r>
    </w:p>
    <w:p w14:paraId="03B63F61" w14:textId="3C26F3BE" w:rsidR="007927C6" w:rsidRPr="00610B1B" w:rsidRDefault="00971BB5" w:rsidP="007927C6">
      <w:pPr>
        <w:spacing w:after="120"/>
        <w:ind w:left="-72" w:right="-153"/>
        <w:jc w:val="both"/>
        <w:rPr>
          <w:rFonts w:ascii="Times New Roman" w:hAnsi="Times New Roman" w:cs="Times New Roman"/>
          <w:sz w:val="24"/>
          <w:lang w:val="bg-BG"/>
        </w:rPr>
      </w:pPr>
      <w:r w:rsidRPr="00610B1B">
        <w:rPr>
          <w:rFonts w:ascii="Times New Roman" w:hAnsi="Times New Roman" w:cs="Times New Roman"/>
          <w:sz w:val="24"/>
          <w:lang w:val="bg-BG"/>
        </w:rPr>
        <w:t xml:space="preserve">Морските общини Поморие, Царево и Ахтопол са собственици на пристанища за обществен транспорт, а други общини са собственици на рибарски и яхтени пристанища, които се управляват от тях. </w:t>
      </w:r>
      <w:r w:rsidR="007927C6" w:rsidRPr="00610B1B">
        <w:rPr>
          <w:rFonts w:ascii="Times New Roman" w:hAnsi="Times New Roman" w:cs="Times New Roman"/>
          <w:sz w:val="24"/>
          <w:lang w:val="bg-BG"/>
        </w:rPr>
        <w:t>За разлика от тях, морските общини Варна и Бургас нямат собственост и нямат пряко отношение към управлението на морските пристанища и прилежащите им терминали за обществен транспорт, в които се извършват товарно-</w:t>
      </w:r>
      <w:r w:rsidR="007927C6" w:rsidRPr="00610B1B">
        <w:rPr>
          <w:rFonts w:ascii="Times New Roman" w:hAnsi="Times New Roman" w:cs="Times New Roman"/>
          <w:sz w:val="24"/>
          <w:lang w:val="bg-BG"/>
        </w:rPr>
        <w:lastRenderedPageBreak/>
        <w:t xml:space="preserve">разтоварни операции на различни по тип товари. В същото време, те възлагат изработването и съгласуват общите устройствени планове, подробни устройствени планове, проекти за брегоукрепителни и брегозащитни дейности, съгласуват разрешителните за строеж на територията на пристанищата. За разлика от България, разпространена практика в Европа е, морските общини да имат пряко участие в управлението на пристанищата, в които те имат собственост, което им дава възможност за по-добро планиране на развитието на пристанищните градове. Участието на общините би повишило контрола по опазването на морската околна среда и би спомогнало за по-добрия контрол на пристанищните дейности. Те биха могли да подпомогнат значително отварянето на пристанищата и превръщането им в зони за отдих и развлечение. Не на последно място, участието на общините в управлението на пристанищата значително би повишило приходите им. </w:t>
      </w:r>
    </w:p>
    <w:p w14:paraId="3925DC8C" w14:textId="457E0BDB" w:rsidR="00D34C79" w:rsidRPr="00610B1B" w:rsidRDefault="00D34C79" w:rsidP="00D32D6A">
      <w:pPr>
        <w:spacing w:after="120"/>
        <w:ind w:left="-72" w:right="-153"/>
        <w:jc w:val="both"/>
        <w:rPr>
          <w:rFonts w:ascii="Times New Roman" w:hAnsi="Times New Roman" w:cs="Times New Roman"/>
          <w:sz w:val="24"/>
          <w:lang w:val="bg-BG"/>
        </w:rPr>
      </w:pPr>
      <w:r w:rsidRPr="00610B1B">
        <w:rPr>
          <w:rFonts w:ascii="Times New Roman" w:hAnsi="Times New Roman" w:cs="Times New Roman"/>
          <w:sz w:val="24"/>
          <w:lang w:val="bg-BG"/>
        </w:rPr>
        <w:t xml:space="preserve">Сред </w:t>
      </w:r>
      <w:r w:rsidRPr="00610B1B">
        <w:rPr>
          <w:rFonts w:ascii="Times New Roman" w:hAnsi="Times New Roman" w:cs="Times New Roman"/>
          <w:i/>
          <w:iCs/>
          <w:sz w:val="24"/>
          <w:lang w:val="bg-BG"/>
        </w:rPr>
        <w:t>външните фактори</w:t>
      </w:r>
      <w:r w:rsidRPr="00610B1B">
        <w:rPr>
          <w:rFonts w:ascii="Times New Roman" w:hAnsi="Times New Roman" w:cs="Times New Roman"/>
          <w:sz w:val="24"/>
          <w:lang w:val="bg-BG"/>
        </w:rPr>
        <w:t xml:space="preserve"> от значение </w:t>
      </w:r>
      <w:r w:rsidR="00F87963" w:rsidRPr="00610B1B">
        <w:rPr>
          <w:rFonts w:ascii="Times New Roman" w:hAnsi="Times New Roman" w:cs="Times New Roman"/>
          <w:sz w:val="24"/>
          <w:lang w:val="bg-BG"/>
        </w:rPr>
        <w:t>за</w:t>
      </w:r>
      <w:r w:rsidRPr="00610B1B">
        <w:rPr>
          <w:rFonts w:ascii="Times New Roman" w:hAnsi="Times New Roman" w:cs="Times New Roman"/>
          <w:sz w:val="24"/>
          <w:lang w:val="bg-BG"/>
        </w:rPr>
        <w:t xml:space="preserve"> развитието на пристанищата в </w:t>
      </w:r>
      <w:r w:rsidR="00470AB5" w:rsidRPr="00610B1B">
        <w:rPr>
          <w:rFonts w:ascii="Times New Roman" w:hAnsi="Times New Roman" w:cs="Times New Roman"/>
          <w:sz w:val="24"/>
          <w:lang w:val="bg-BG"/>
        </w:rPr>
        <w:t>Ч</w:t>
      </w:r>
      <w:r w:rsidRPr="00610B1B">
        <w:rPr>
          <w:rFonts w:ascii="Times New Roman" w:hAnsi="Times New Roman" w:cs="Times New Roman"/>
          <w:sz w:val="24"/>
          <w:lang w:val="bg-BG"/>
        </w:rPr>
        <w:t>ерноморския регион и тяхната конкурентоспособност</w:t>
      </w:r>
      <w:r w:rsidR="00F87963" w:rsidRPr="00610B1B">
        <w:rPr>
          <w:rFonts w:ascii="Times New Roman" w:hAnsi="Times New Roman" w:cs="Times New Roman"/>
          <w:sz w:val="24"/>
          <w:lang w:val="bg-BG"/>
        </w:rPr>
        <w:t xml:space="preserve"> са</w:t>
      </w:r>
      <w:r w:rsidRPr="00610B1B">
        <w:rPr>
          <w:rFonts w:ascii="Times New Roman" w:hAnsi="Times New Roman" w:cs="Times New Roman"/>
          <w:sz w:val="24"/>
          <w:lang w:val="bg-BG"/>
        </w:rPr>
        <w:t xml:space="preserve"> технологичните промени,</w:t>
      </w:r>
      <w:r w:rsidR="00470AB5" w:rsidRPr="00610B1B">
        <w:rPr>
          <w:rFonts w:ascii="Times New Roman" w:hAnsi="Times New Roman" w:cs="Times New Roman"/>
          <w:sz w:val="24"/>
          <w:lang w:val="bg-BG"/>
        </w:rPr>
        <w:t xml:space="preserve"> различията в морските политики на държавите от Черноморския басейн</w:t>
      </w:r>
      <w:r w:rsidR="004C259A" w:rsidRPr="00610B1B">
        <w:rPr>
          <w:rFonts w:ascii="Times New Roman" w:hAnsi="Times New Roman" w:cs="Times New Roman"/>
          <w:sz w:val="24"/>
          <w:lang w:val="bg-BG"/>
        </w:rPr>
        <w:t xml:space="preserve"> и </w:t>
      </w:r>
      <w:r w:rsidR="00F87963" w:rsidRPr="00610B1B">
        <w:rPr>
          <w:rFonts w:ascii="Times New Roman" w:hAnsi="Times New Roman" w:cs="Times New Roman"/>
          <w:sz w:val="24"/>
          <w:lang w:val="bg-BG"/>
        </w:rPr>
        <w:t xml:space="preserve">в </w:t>
      </w:r>
      <w:r w:rsidR="004C259A" w:rsidRPr="00610B1B">
        <w:rPr>
          <w:rFonts w:ascii="Times New Roman" w:hAnsi="Times New Roman" w:cs="Times New Roman"/>
          <w:sz w:val="24"/>
          <w:lang w:val="bg-BG"/>
        </w:rPr>
        <w:t>степента на социално-икономическо развитие</w:t>
      </w:r>
      <w:r w:rsidR="00470AB5" w:rsidRPr="00610B1B">
        <w:rPr>
          <w:rFonts w:ascii="Times New Roman" w:hAnsi="Times New Roman" w:cs="Times New Roman"/>
          <w:sz w:val="24"/>
          <w:lang w:val="bg-BG"/>
        </w:rPr>
        <w:t>.</w:t>
      </w:r>
      <w:r w:rsidRPr="00610B1B">
        <w:rPr>
          <w:rFonts w:ascii="Times New Roman" w:hAnsi="Times New Roman" w:cs="Times New Roman"/>
          <w:sz w:val="24"/>
          <w:lang w:val="bg-BG"/>
        </w:rPr>
        <w:t xml:space="preserve"> </w:t>
      </w:r>
    </w:p>
    <w:p w14:paraId="11BCC68F" w14:textId="73107599" w:rsidR="00D730FD" w:rsidRPr="00610B1B" w:rsidRDefault="00796C2C" w:rsidP="00D32D6A">
      <w:pPr>
        <w:spacing w:after="120"/>
        <w:ind w:left="-72"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Черноморския регион голямо внимание се обръща на развитието на контейнерните терминали. За разлика от България, в почти всички черноморски пристанища се изградиха нови или обновиха старите терминали, превръщайки ги в модерни и силно конкурентоспособни. Това сериозно се отразява върху конкурентоспособността на българските пристанища, а оттам и на българската икономика.</w:t>
      </w:r>
      <w:r w:rsidR="00D34C79"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Истанбул е главното контейнерно пристанище, обслужващо Черно море</w:t>
      </w:r>
      <w:r w:rsidR="00D730FD"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и е основно трансбордно пристанище за Черноморския регион. Това до голяма степен се дължи на физическото ограничаване на Босфора, което затруднява преминаването на кораби с дължина по-голяма от 300 </w:t>
      </w:r>
      <w:r w:rsidR="00D34C79"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xml:space="preserve">. </w:t>
      </w:r>
      <w:r w:rsidR="00D730FD" w:rsidRPr="00610B1B">
        <w:rPr>
          <w:rFonts w:ascii="Times New Roman" w:hAnsi="Times New Roman" w:cs="Times New Roman"/>
          <w:sz w:val="24"/>
          <w:szCs w:val="24"/>
          <w:lang w:val="bg-BG"/>
        </w:rPr>
        <w:t xml:space="preserve">Ако се изгради втори канал при Истанбул, </w:t>
      </w:r>
      <w:r w:rsidRPr="00610B1B">
        <w:rPr>
          <w:rFonts w:ascii="Times New Roman" w:hAnsi="Times New Roman" w:cs="Times New Roman"/>
          <w:sz w:val="24"/>
          <w:szCs w:val="24"/>
          <w:lang w:val="bg-BG"/>
        </w:rPr>
        <w:t>вероятно сегашните ограничения ще се облекчат значително.</w:t>
      </w:r>
      <w:r w:rsidR="00A02DDF"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Независимо от затруднени</w:t>
      </w:r>
      <w:r w:rsidR="00A02DDF" w:rsidRPr="00610B1B">
        <w:rPr>
          <w:rFonts w:ascii="Times New Roman" w:hAnsi="Times New Roman" w:cs="Times New Roman"/>
          <w:sz w:val="24"/>
          <w:szCs w:val="24"/>
          <w:lang w:val="bg-BG"/>
        </w:rPr>
        <w:t>ята</w:t>
      </w:r>
      <w:r w:rsidRPr="00610B1B">
        <w:rPr>
          <w:rFonts w:ascii="Times New Roman" w:hAnsi="Times New Roman" w:cs="Times New Roman"/>
          <w:sz w:val="24"/>
          <w:szCs w:val="24"/>
          <w:lang w:val="bg-BG"/>
        </w:rPr>
        <w:t xml:space="preserve">, вече има контейнерни сервизи от Далечния изток с кораби с такъв размер, които извършват седмични посещения в Истанбул, Констанца и Одеса. Това стимулира останалите пристанища да търсят варианти за приемане на този максимален тонаж, </w:t>
      </w:r>
      <w:r w:rsidR="00D730FD" w:rsidRPr="00610B1B">
        <w:rPr>
          <w:rFonts w:ascii="Times New Roman" w:hAnsi="Times New Roman" w:cs="Times New Roman"/>
          <w:sz w:val="24"/>
          <w:szCs w:val="24"/>
          <w:lang w:val="bg-BG"/>
        </w:rPr>
        <w:t>за да не</w:t>
      </w:r>
      <w:r w:rsidRPr="00610B1B">
        <w:rPr>
          <w:rFonts w:ascii="Times New Roman" w:hAnsi="Times New Roman" w:cs="Times New Roman"/>
          <w:sz w:val="24"/>
          <w:szCs w:val="24"/>
          <w:lang w:val="bg-BG"/>
        </w:rPr>
        <w:t xml:space="preserve"> останат извън главните потоци, </w:t>
      </w:r>
      <w:r w:rsidR="00D730FD" w:rsidRPr="00610B1B">
        <w:rPr>
          <w:rFonts w:ascii="Times New Roman" w:hAnsi="Times New Roman" w:cs="Times New Roman"/>
          <w:sz w:val="24"/>
          <w:szCs w:val="24"/>
          <w:lang w:val="bg-BG"/>
        </w:rPr>
        <w:t>да не се</w:t>
      </w:r>
      <w:r w:rsidRPr="00610B1B">
        <w:rPr>
          <w:rFonts w:ascii="Times New Roman" w:hAnsi="Times New Roman" w:cs="Times New Roman"/>
          <w:sz w:val="24"/>
          <w:szCs w:val="24"/>
          <w:lang w:val="bg-BG"/>
        </w:rPr>
        <w:t xml:space="preserve"> намали тяхната привлекателност и </w:t>
      </w:r>
      <w:r w:rsidR="00D730FD" w:rsidRPr="00610B1B">
        <w:rPr>
          <w:rFonts w:ascii="Times New Roman" w:hAnsi="Times New Roman" w:cs="Times New Roman"/>
          <w:sz w:val="24"/>
          <w:szCs w:val="24"/>
          <w:lang w:val="bg-BG"/>
        </w:rPr>
        <w:t>да не се</w:t>
      </w:r>
      <w:r w:rsidRPr="00610B1B">
        <w:rPr>
          <w:rFonts w:ascii="Times New Roman" w:hAnsi="Times New Roman" w:cs="Times New Roman"/>
          <w:sz w:val="24"/>
          <w:szCs w:val="24"/>
          <w:lang w:val="bg-BG"/>
        </w:rPr>
        <w:t xml:space="preserve"> огранич</w:t>
      </w:r>
      <w:r w:rsidR="00D730FD" w:rsidRPr="00610B1B">
        <w:rPr>
          <w:rFonts w:ascii="Times New Roman" w:hAnsi="Times New Roman" w:cs="Times New Roman"/>
          <w:sz w:val="24"/>
          <w:szCs w:val="24"/>
          <w:lang w:val="bg-BG"/>
        </w:rPr>
        <w:t>ат</w:t>
      </w:r>
      <w:r w:rsidRPr="00610B1B">
        <w:rPr>
          <w:rFonts w:ascii="Times New Roman" w:hAnsi="Times New Roman" w:cs="Times New Roman"/>
          <w:sz w:val="24"/>
          <w:szCs w:val="24"/>
          <w:lang w:val="bg-BG"/>
        </w:rPr>
        <w:t xml:space="preserve"> икономическите възможности на съответната </w:t>
      </w:r>
      <w:r w:rsidR="00CB73C4" w:rsidRPr="00610B1B">
        <w:rPr>
          <w:rFonts w:ascii="Times New Roman" w:hAnsi="Times New Roman" w:cs="Times New Roman"/>
          <w:sz w:val="24"/>
          <w:szCs w:val="24"/>
          <w:lang w:val="bg-BG"/>
        </w:rPr>
        <w:t>държава</w:t>
      </w:r>
      <w:r w:rsidRPr="00610B1B">
        <w:rPr>
          <w:rFonts w:ascii="Times New Roman" w:hAnsi="Times New Roman" w:cs="Times New Roman"/>
          <w:sz w:val="24"/>
          <w:szCs w:val="24"/>
          <w:lang w:val="bg-BG"/>
        </w:rPr>
        <w:t xml:space="preserve">. </w:t>
      </w:r>
    </w:p>
    <w:p w14:paraId="3FAECE2C" w14:textId="4DD458E2" w:rsidR="009B0B1B" w:rsidRPr="00610B1B" w:rsidRDefault="00796C2C" w:rsidP="00D32D6A">
      <w:pPr>
        <w:spacing w:after="120"/>
        <w:ind w:left="-72"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Много от черноморските държави влагат значителни средства в изграждането на нови терминали, които повишават тяхната конкурентоспособност. Грузия инвестира в ново </w:t>
      </w:r>
      <w:r w:rsidR="00D730FD" w:rsidRPr="00610B1B">
        <w:rPr>
          <w:rFonts w:ascii="Times New Roman" w:hAnsi="Times New Roman" w:cs="Times New Roman"/>
          <w:sz w:val="24"/>
          <w:szCs w:val="24"/>
          <w:lang w:val="bg-BG"/>
        </w:rPr>
        <w:t xml:space="preserve">дълбоководно </w:t>
      </w:r>
      <w:r w:rsidRPr="00610B1B">
        <w:rPr>
          <w:rFonts w:ascii="Times New Roman" w:hAnsi="Times New Roman" w:cs="Times New Roman"/>
          <w:sz w:val="24"/>
          <w:szCs w:val="24"/>
          <w:lang w:val="bg-BG"/>
        </w:rPr>
        <w:t xml:space="preserve">пристанище </w:t>
      </w:r>
      <w:r w:rsidR="00D730FD" w:rsidRPr="00610B1B">
        <w:rPr>
          <w:rFonts w:ascii="Times New Roman" w:hAnsi="Times New Roman" w:cs="Times New Roman"/>
          <w:sz w:val="24"/>
          <w:szCs w:val="24"/>
          <w:lang w:val="bg-BG"/>
        </w:rPr>
        <w:t xml:space="preserve">на Черно море в близост до </w:t>
      </w:r>
      <w:r w:rsidRPr="00610B1B">
        <w:rPr>
          <w:rFonts w:ascii="Times New Roman" w:hAnsi="Times New Roman" w:cs="Times New Roman"/>
          <w:sz w:val="24"/>
          <w:szCs w:val="24"/>
          <w:lang w:val="bg-BG"/>
        </w:rPr>
        <w:t>Анаклия</w:t>
      </w:r>
      <w:r w:rsidR="00BE7649" w:rsidRPr="00610B1B">
        <w:rPr>
          <w:rFonts w:ascii="Times New Roman" w:hAnsi="Times New Roman" w:cs="Times New Roman"/>
          <w:sz w:val="24"/>
          <w:szCs w:val="24"/>
          <w:lang w:val="bg-BG"/>
        </w:rPr>
        <w:t xml:space="preserve"> на площ от около</w:t>
      </w:r>
      <w:r w:rsidR="00BE7649" w:rsidRPr="00610B1B">
        <w:rPr>
          <w:rFonts w:ascii="Times New Roman" w:hAnsi="Times New Roman" w:cs="Times New Roman"/>
          <w:lang w:val="bg-BG"/>
        </w:rPr>
        <w:t xml:space="preserve"> </w:t>
      </w:r>
      <w:r w:rsidR="00BE7649" w:rsidRPr="00610B1B">
        <w:rPr>
          <w:rFonts w:ascii="Times New Roman" w:hAnsi="Times New Roman" w:cs="Times New Roman"/>
          <w:sz w:val="24"/>
          <w:szCs w:val="24"/>
          <w:lang w:val="bg-BG"/>
        </w:rPr>
        <w:t>400 ha</w:t>
      </w:r>
      <w:r w:rsidRPr="00610B1B">
        <w:rPr>
          <w:rFonts w:ascii="Times New Roman" w:hAnsi="Times New Roman" w:cs="Times New Roman"/>
          <w:sz w:val="24"/>
          <w:szCs w:val="24"/>
          <w:lang w:val="bg-BG"/>
        </w:rPr>
        <w:t xml:space="preserve">. Независимо от оттегляне на основни инвеститори от проекта, грузинското правителство </w:t>
      </w:r>
      <w:r w:rsidR="00BE7649" w:rsidRPr="00610B1B">
        <w:rPr>
          <w:rFonts w:ascii="Times New Roman" w:hAnsi="Times New Roman" w:cs="Times New Roman"/>
          <w:sz w:val="24"/>
          <w:szCs w:val="24"/>
          <w:lang w:val="bg-BG"/>
        </w:rPr>
        <w:t xml:space="preserve">се надява пристанището да бъде </w:t>
      </w:r>
      <w:r w:rsidRPr="00610B1B">
        <w:rPr>
          <w:rFonts w:ascii="Times New Roman" w:hAnsi="Times New Roman" w:cs="Times New Roman"/>
          <w:sz w:val="24"/>
          <w:szCs w:val="24"/>
          <w:lang w:val="bg-BG"/>
        </w:rPr>
        <w:t>завършен</w:t>
      </w:r>
      <w:r w:rsidR="00BE7649" w:rsidRPr="00610B1B">
        <w:rPr>
          <w:rFonts w:ascii="Times New Roman" w:hAnsi="Times New Roman" w:cs="Times New Roman"/>
          <w:sz w:val="24"/>
          <w:szCs w:val="24"/>
          <w:lang w:val="bg-BG"/>
        </w:rPr>
        <w:t xml:space="preserve">о, с което да се повиши и сигурността в района. </w:t>
      </w:r>
      <w:r w:rsidRPr="00610B1B">
        <w:rPr>
          <w:rFonts w:ascii="Times New Roman" w:hAnsi="Times New Roman" w:cs="Times New Roman"/>
          <w:sz w:val="24"/>
          <w:szCs w:val="24"/>
          <w:lang w:val="bg-BG"/>
        </w:rPr>
        <w:t>В Новоросийск влезе в експлоатация дълбоководния</w:t>
      </w:r>
      <w:r w:rsidR="00BE7649" w:rsidRPr="00610B1B">
        <w:rPr>
          <w:rFonts w:ascii="Times New Roman" w:hAnsi="Times New Roman" w:cs="Times New Roman"/>
          <w:sz w:val="24"/>
          <w:szCs w:val="24"/>
          <w:lang w:val="bg-BG"/>
        </w:rPr>
        <w:t>т</w:t>
      </w:r>
      <w:r w:rsidRPr="00610B1B">
        <w:rPr>
          <w:rFonts w:ascii="Times New Roman" w:hAnsi="Times New Roman" w:cs="Times New Roman"/>
          <w:sz w:val="24"/>
          <w:szCs w:val="24"/>
          <w:lang w:val="bg-BG"/>
        </w:rPr>
        <w:t xml:space="preserve"> </w:t>
      </w:r>
      <w:r w:rsidR="00BE7649" w:rsidRPr="00610B1B">
        <w:rPr>
          <w:rFonts w:ascii="Times New Roman" w:hAnsi="Times New Roman" w:cs="Times New Roman"/>
          <w:sz w:val="24"/>
          <w:szCs w:val="24"/>
          <w:lang w:val="bg-BG"/>
        </w:rPr>
        <w:t xml:space="preserve">кей </w:t>
      </w:r>
      <w:r w:rsidRPr="00610B1B">
        <w:rPr>
          <w:rFonts w:ascii="Times New Roman" w:hAnsi="Times New Roman" w:cs="Times New Roman"/>
          <w:sz w:val="24"/>
          <w:szCs w:val="24"/>
          <w:lang w:val="bg-BG"/>
        </w:rPr>
        <w:t>38 на НУТЕП</w:t>
      </w:r>
      <w:r w:rsidRPr="00610B1B">
        <w:rPr>
          <w:rStyle w:val="FootnoteReference"/>
          <w:rFonts w:ascii="Times New Roman" w:hAnsi="Times New Roman" w:cs="Times New Roman"/>
          <w:sz w:val="24"/>
          <w:szCs w:val="24"/>
          <w:lang w:val="bg-BG"/>
        </w:rPr>
        <w:footnoteReference w:id="113"/>
      </w:r>
      <w:r w:rsidRPr="00610B1B">
        <w:rPr>
          <w:rFonts w:ascii="Times New Roman" w:hAnsi="Times New Roman" w:cs="Times New Roman"/>
          <w:sz w:val="24"/>
          <w:szCs w:val="24"/>
          <w:lang w:val="bg-BG"/>
        </w:rPr>
        <w:t xml:space="preserve">, който може да обработва кораби с капацитет 10,000 TEU, с дължина на кейовата стена 390 </w:t>
      </w:r>
      <w:r w:rsidR="00BE7649" w:rsidRPr="00610B1B">
        <w:rPr>
          <w:rFonts w:ascii="Times New Roman" w:hAnsi="Times New Roman" w:cs="Times New Roman"/>
          <w:sz w:val="24"/>
          <w:szCs w:val="24"/>
          <w:lang w:val="bg-BG"/>
        </w:rPr>
        <w:t>m и</w:t>
      </w:r>
      <w:r w:rsidRPr="00610B1B">
        <w:rPr>
          <w:rFonts w:ascii="Times New Roman" w:hAnsi="Times New Roman" w:cs="Times New Roman"/>
          <w:sz w:val="24"/>
          <w:szCs w:val="24"/>
          <w:lang w:val="bg-BG"/>
        </w:rPr>
        <w:t xml:space="preserve"> газене 15 </w:t>
      </w:r>
      <w:r w:rsidR="00BE7649"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Очаква се пристанището да обработва около 700,000 TEU годишно. Това го прави основно черноморско пристанище на Русия.</w:t>
      </w:r>
      <w:r w:rsidR="009B0B1B"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Одеса изгради модерен контейнерен терминал, а кейовете в Констанца </w:t>
      </w:r>
      <w:r w:rsidR="009B0B1B" w:rsidRPr="00610B1B">
        <w:rPr>
          <w:rFonts w:ascii="Times New Roman" w:hAnsi="Times New Roman" w:cs="Times New Roman"/>
          <w:sz w:val="24"/>
          <w:szCs w:val="24"/>
          <w:lang w:val="bg-BG"/>
        </w:rPr>
        <w:t>са</w:t>
      </w:r>
      <w:r w:rsidRPr="00610B1B">
        <w:rPr>
          <w:rFonts w:ascii="Times New Roman" w:hAnsi="Times New Roman" w:cs="Times New Roman"/>
          <w:sz w:val="24"/>
          <w:szCs w:val="24"/>
          <w:lang w:val="bg-BG"/>
        </w:rPr>
        <w:t xml:space="preserve"> отдадени на концесия</w:t>
      </w:r>
      <w:r w:rsidR="009B0B1B" w:rsidRPr="00610B1B">
        <w:rPr>
          <w:rFonts w:ascii="Times New Roman" w:hAnsi="Times New Roman" w:cs="Times New Roman"/>
          <w:sz w:val="24"/>
          <w:szCs w:val="24"/>
          <w:lang w:val="bg-BG"/>
        </w:rPr>
        <w:t xml:space="preserve">. В </w:t>
      </w:r>
      <w:r w:rsidRPr="00610B1B">
        <w:rPr>
          <w:rFonts w:ascii="Times New Roman" w:hAnsi="Times New Roman" w:cs="Times New Roman"/>
          <w:sz w:val="24"/>
          <w:szCs w:val="24"/>
          <w:lang w:val="bg-BG"/>
        </w:rPr>
        <w:t xml:space="preserve">тях </w:t>
      </w:r>
      <w:r w:rsidR="009B0B1B" w:rsidRPr="00610B1B">
        <w:rPr>
          <w:rFonts w:ascii="Times New Roman" w:hAnsi="Times New Roman" w:cs="Times New Roman"/>
          <w:sz w:val="24"/>
          <w:szCs w:val="24"/>
          <w:lang w:val="bg-BG"/>
        </w:rPr>
        <w:t>с</w:t>
      </w:r>
      <w:r w:rsidRPr="00610B1B">
        <w:rPr>
          <w:rFonts w:ascii="Times New Roman" w:hAnsi="Times New Roman" w:cs="Times New Roman"/>
          <w:sz w:val="24"/>
          <w:szCs w:val="24"/>
          <w:lang w:val="bg-BG"/>
        </w:rPr>
        <w:t xml:space="preserve">а вложени значителни </w:t>
      </w:r>
      <w:r w:rsidRPr="00610B1B">
        <w:rPr>
          <w:rFonts w:ascii="Times New Roman" w:hAnsi="Times New Roman" w:cs="Times New Roman"/>
          <w:sz w:val="24"/>
          <w:szCs w:val="24"/>
          <w:lang w:val="bg-BG"/>
        </w:rPr>
        <w:lastRenderedPageBreak/>
        <w:t>средства</w:t>
      </w:r>
      <w:r w:rsidR="009B0B1B" w:rsidRPr="00610B1B">
        <w:rPr>
          <w:rFonts w:ascii="Times New Roman" w:hAnsi="Times New Roman" w:cs="Times New Roman"/>
          <w:sz w:val="24"/>
          <w:szCs w:val="24"/>
          <w:lang w:val="bg-BG"/>
        </w:rPr>
        <w:t xml:space="preserve"> и това</w:t>
      </w:r>
      <w:r w:rsidRPr="00610B1B">
        <w:rPr>
          <w:rFonts w:ascii="Times New Roman" w:hAnsi="Times New Roman" w:cs="Times New Roman"/>
          <w:sz w:val="24"/>
          <w:szCs w:val="24"/>
          <w:lang w:val="bg-BG"/>
        </w:rPr>
        <w:t xml:space="preserve"> превр</w:t>
      </w:r>
      <w:r w:rsidR="00A02DDF" w:rsidRPr="00610B1B">
        <w:rPr>
          <w:rFonts w:ascii="Times New Roman" w:hAnsi="Times New Roman" w:cs="Times New Roman"/>
          <w:sz w:val="24"/>
          <w:szCs w:val="24"/>
          <w:lang w:val="bg-BG"/>
        </w:rPr>
        <w:t>ъща</w:t>
      </w:r>
      <w:r w:rsidRPr="00610B1B">
        <w:rPr>
          <w:rFonts w:ascii="Times New Roman" w:hAnsi="Times New Roman" w:cs="Times New Roman"/>
          <w:sz w:val="24"/>
          <w:szCs w:val="24"/>
          <w:lang w:val="bg-BG"/>
        </w:rPr>
        <w:t xml:space="preserve"> Констанца в едно от основните контейнерни пристанища </w:t>
      </w:r>
      <w:r w:rsidR="009B0B1B" w:rsidRPr="00610B1B">
        <w:rPr>
          <w:rFonts w:ascii="Times New Roman" w:hAnsi="Times New Roman" w:cs="Times New Roman"/>
          <w:sz w:val="24"/>
          <w:szCs w:val="24"/>
          <w:lang w:val="bg-BG"/>
        </w:rPr>
        <w:t>на</w:t>
      </w:r>
      <w:r w:rsidRPr="00610B1B">
        <w:rPr>
          <w:rFonts w:ascii="Times New Roman" w:hAnsi="Times New Roman" w:cs="Times New Roman"/>
          <w:sz w:val="24"/>
          <w:szCs w:val="24"/>
          <w:lang w:val="bg-BG"/>
        </w:rPr>
        <w:t xml:space="preserve"> Черно море. </w:t>
      </w:r>
    </w:p>
    <w:p w14:paraId="4153318F" w14:textId="77777777" w:rsidR="004B76E6" w:rsidRPr="00610B1B" w:rsidRDefault="00796C2C" w:rsidP="00D32D6A">
      <w:pPr>
        <w:spacing w:after="120"/>
        <w:ind w:left="-72"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Пристанища като Новоросийск, Одеса, Варна и Бургас обслужват основно местните си пазари. Други пристанища, като Поти</w:t>
      </w:r>
      <w:r w:rsidR="004B76E6"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развиват транзитирането на товари, главно от/до Азербайджан. Констанца също транзитира товари използвайки река Дунав от/до страните от Централна Европа, включително и от България.</w:t>
      </w:r>
      <w:r w:rsidR="004B76E6" w:rsidRPr="00610B1B">
        <w:rPr>
          <w:rFonts w:ascii="Times New Roman" w:hAnsi="Times New Roman" w:cs="Times New Roman"/>
          <w:sz w:val="24"/>
          <w:szCs w:val="24"/>
          <w:lang w:val="bg-BG"/>
        </w:rPr>
        <w:t xml:space="preserve"> </w:t>
      </w:r>
    </w:p>
    <w:p w14:paraId="02446DBB" w14:textId="430E9452" w:rsidR="00160C72" w:rsidRPr="00610B1B" w:rsidRDefault="00796C2C" w:rsidP="00D32D6A">
      <w:pPr>
        <w:spacing w:after="120"/>
        <w:ind w:left="-72"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Предви</w:t>
      </w:r>
      <w:r w:rsidR="00991E30" w:rsidRPr="00610B1B">
        <w:rPr>
          <w:rFonts w:ascii="Times New Roman" w:hAnsi="Times New Roman" w:cs="Times New Roman"/>
          <w:sz w:val="24"/>
          <w:szCs w:val="24"/>
          <w:lang w:val="bg-BG"/>
        </w:rPr>
        <w:t xml:space="preserve">дена е </w:t>
      </w:r>
      <w:r w:rsidRPr="00610B1B">
        <w:rPr>
          <w:rFonts w:ascii="Times New Roman" w:hAnsi="Times New Roman" w:cs="Times New Roman"/>
          <w:sz w:val="24"/>
          <w:szCs w:val="24"/>
          <w:lang w:val="bg-BG"/>
        </w:rPr>
        <w:t xml:space="preserve">значителна инвестиция за пристанище Варна, </w:t>
      </w:r>
      <w:r w:rsidR="00991E30" w:rsidRPr="00610B1B">
        <w:rPr>
          <w:rFonts w:ascii="Times New Roman" w:hAnsi="Times New Roman" w:cs="Times New Roman"/>
          <w:sz w:val="24"/>
          <w:szCs w:val="24"/>
          <w:lang w:val="bg-BG"/>
        </w:rPr>
        <w:t>свързана с</w:t>
      </w:r>
      <w:r w:rsidRPr="00610B1B">
        <w:rPr>
          <w:rFonts w:ascii="Times New Roman" w:hAnsi="Times New Roman" w:cs="Times New Roman"/>
          <w:sz w:val="24"/>
          <w:szCs w:val="24"/>
          <w:lang w:val="bg-BG"/>
        </w:rPr>
        <w:t xml:space="preserve"> удълбочаване на Канал</w:t>
      </w:r>
      <w:r w:rsidR="009B0B1B"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1</w:t>
      </w:r>
      <w:r w:rsidR="00991E30" w:rsidRPr="00610B1B">
        <w:rPr>
          <w:rFonts w:ascii="Times New Roman" w:hAnsi="Times New Roman" w:cs="Times New Roman"/>
          <w:sz w:val="24"/>
          <w:szCs w:val="24"/>
          <w:lang w:val="bg-BG"/>
        </w:rPr>
        <w:t xml:space="preserve">, плавателен </w:t>
      </w:r>
      <w:r w:rsidRPr="00610B1B">
        <w:rPr>
          <w:rFonts w:ascii="Times New Roman" w:hAnsi="Times New Roman" w:cs="Times New Roman"/>
          <w:sz w:val="24"/>
          <w:szCs w:val="24"/>
          <w:lang w:val="bg-BG"/>
        </w:rPr>
        <w:t>Канал</w:t>
      </w:r>
      <w:r w:rsidR="009B0B1B"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2</w:t>
      </w:r>
      <w:r w:rsidR="00160C72" w:rsidRPr="00610B1B">
        <w:rPr>
          <w:rFonts w:ascii="Times New Roman" w:hAnsi="Times New Roman" w:cs="Times New Roman"/>
          <w:sz w:val="24"/>
          <w:szCs w:val="24"/>
          <w:lang w:val="bg-BG"/>
        </w:rPr>
        <w:t xml:space="preserve"> и</w:t>
      </w:r>
      <w:r w:rsidR="00991E30" w:rsidRPr="00610B1B">
        <w:rPr>
          <w:rFonts w:ascii="Times New Roman" w:hAnsi="Times New Roman" w:cs="Times New Roman"/>
          <w:sz w:val="24"/>
          <w:szCs w:val="24"/>
          <w:lang w:val="bg-BG"/>
        </w:rPr>
        <w:t xml:space="preserve"> обръщателния кръг на пристанищен терминал Варна-</w:t>
      </w:r>
      <w:r w:rsidR="00E04172" w:rsidRPr="00610B1B">
        <w:rPr>
          <w:rFonts w:ascii="Times New Roman" w:hAnsi="Times New Roman" w:cs="Times New Roman"/>
          <w:sz w:val="24"/>
          <w:szCs w:val="24"/>
          <w:lang w:val="bg-BG"/>
        </w:rPr>
        <w:t>Запад. Драгажните</w:t>
      </w:r>
      <w:r w:rsidR="00991E30" w:rsidRPr="00610B1B">
        <w:rPr>
          <w:rFonts w:ascii="Times New Roman" w:hAnsi="Times New Roman" w:cs="Times New Roman"/>
          <w:sz w:val="24"/>
          <w:szCs w:val="24"/>
          <w:lang w:val="bg-BG"/>
        </w:rPr>
        <w:t xml:space="preserve"> работи се извършват до дълбочина 14</w:t>
      </w:r>
      <w:r w:rsidRPr="00610B1B">
        <w:rPr>
          <w:rFonts w:ascii="Times New Roman" w:hAnsi="Times New Roman" w:cs="Times New Roman"/>
          <w:sz w:val="24"/>
          <w:szCs w:val="24"/>
          <w:lang w:val="bg-BG"/>
        </w:rPr>
        <w:t>,5</w:t>
      </w:r>
      <w:r w:rsidR="00567A0E" w:rsidRPr="00610B1B">
        <w:rPr>
          <w:rFonts w:ascii="Times New Roman" w:hAnsi="Times New Roman" w:cs="Times New Roman"/>
          <w:sz w:val="24"/>
          <w:szCs w:val="24"/>
          <w:lang w:val="bg-BG"/>
        </w:rPr>
        <w:t>0</w:t>
      </w:r>
      <w:r w:rsidRPr="00610B1B">
        <w:rPr>
          <w:rFonts w:ascii="Times New Roman" w:hAnsi="Times New Roman" w:cs="Times New Roman"/>
          <w:sz w:val="24"/>
          <w:szCs w:val="24"/>
          <w:lang w:val="bg-BG"/>
        </w:rPr>
        <w:t xml:space="preserve"> </w:t>
      </w:r>
      <w:r w:rsidR="009B0B1B" w:rsidRPr="00610B1B">
        <w:rPr>
          <w:rFonts w:ascii="Times New Roman" w:hAnsi="Times New Roman" w:cs="Times New Roman"/>
          <w:sz w:val="24"/>
          <w:szCs w:val="24"/>
          <w:lang w:val="bg-BG"/>
        </w:rPr>
        <w:t>m</w:t>
      </w:r>
      <w:r w:rsidR="00567A0E"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00991E30" w:rsidRPr="00610B1B">
        <w:rPr>
          <w:rFonts w:ascii="Times New Roman" w:hAnsi="Times New Roman" w:cs="Times New Roman"/>
          <w:sz w:val="24"/>
          <w:szCs w:val="24"/>
          <w:lang w:val="bg-BG"/>
        </w:rPr>
        <w:t xml:space="preserve">Целта е да се създаде възможност кораби с по-голямо газене да достигат до пристанищните терминали, разположени във Варненското и Белославското езеро. Дълбочината на газене на корабите ще бъде увеличена от 11.50 </w:t>
      </w:r>
      <w:r w:rsidR="00337D6F" w:rsidRPr="00610B1B">
        <w:rPr>
          <w:rFonts w:ascii="Times New Roman" w:hAnsi="Times New Roman" w:cs="Times New Roman"/>
          <w:sz w:val="24"/>
          <w:szCs w:val="24"/>
          <w:lang w:val="bg-BG"/>
        </w:rPr>
        <w:t xml:space="preserve">m на 13.50 m. Изпълнението на проекта стартира през 2019 г. и се очаква да приключи окончателно през 2022 г. </w:t>
      </w:r>
    </w:p>
    <w:p w14:paraId="61C03038" w14:textId="57736DB4" w:rsidR="009B0B1B" w:rsidRPr="00610B1B" w:rsidRDefault="00796C2C" w:rsidP="00D32D6A">
      <w:pPr>
        <w:spacing w:after="120"/>
        <w:ind w:left="-72"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края на 2019 г. бе обявена обществена поръчка за „БМФ Порт Бургас</w:t>
      </w:r>
      <w:r w:rsidR="009B0B1B" w:rsidRPr="00610B1B">
        <w:rPr>
          <w:rFonts w:ascii="Times New Roman" w:hAnsi="Times New Roman" w:cs="Times New Roman"/>
          <w:sz w:val="24"/>
          <w:szCs w:val="24"/>
          <w:lang w:val="bg-BG"/>
        </w:rPr>
        <w:t>“</w:t>
      </w:r>
      <w:r w:rsidR="00B962BD" w:rsidRPr="00610B1B">
        <w:rPr>
          <w:rFonts w:ascii="Times New Roman" w:hAnsi="Times New Roman" w:cs="Times New Roman"/>
          <w:sz w:val="24"/>
          <w:szCs w:val="24"/>
          <w:lang w:val="bg-BG"/>
        </w:rPr>
        <w:t xml:space="preserve"> за разширяване на </w:t>
      </w:r>
      <w:r w:rsidRPr="00610B1B">
        <w:rPr>
          <w:rFonts w:ascii="Times New Roman" w:hAnsi="Times New Roman" w:cs="Times New Roman"/>
          <w:sz w:val="24"/>
          <w:szCs w:val="24"/>
          <w:lang w:val="bg-BG"/>
        </w:rPr>
        <w:t>пристанището</w:t>
      </w:r>
      <w:r w:rsidR="004B76E6" w:rsidRPr="00610B1B">
        <w:rPr>
          <w:rFonts w:ascii="Times New Roman" w:hAnsi="Times New Roman" w:cs="Times New Roman"/>
          <w:sz w:val="24"/>
          <w:szCs w:val="24"/>
          <w:lang w:val="bg-BG"/>
        </w:rPr>
        <w:t xml:space="preserve"> на с</w:t>
      </w:r>
      <w:r w:rsidRPr="00610B1B">
        <w:rPr>
          <w:rFonts w:ascii="Times New Roman" w:hAnsi="Times New Roman" w:cs="Times New Roman"/>
          <w:sz w:val="24"/>
          <w:szCs w:val="24"/>
          <w:lang w:val="bg-BG"/>
        </w:rPr>
        <w:t>тойност над 300 млн. лв.</w:t>
      </w:r>
      <w:r w:rsidR="004B76E6"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европейски средства по </w:t>
      </w:r>
      <w:r w:rsidR="00A02DDF"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Механизъм за свързана Европа</w:t>
      </w:r>
      <w:r w:rsidR="00A02DDF"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Инвестицията е предвидена за удължаване на кейовите стени и </w:t>
      </w:r>
      <w:r w:rsidR="00B962BD" w:rsidRPr="00610B1B">
        <w:rPr>
          <w:rFonts w:ascii="Times New Roman" w:hAnsi="Times New Roman" w:cs="Times New Roman"/>
          <w:sz w:val="24"/>
          <w:szCs w:val="24"/>
          <w:lang w:val="bg-BG"/>
        </w:rPr>
        <w:t xml:space="preserve">за </w:t>
      </w:r>
      <w:r w:rsidRPr="00610B1B">
        <w:rPr>
          <w:rFonts w:ascii="Times New Roman" w:hAnsi="Times New Roman" w:cs="Times New Roman"/>
          <w:sz w:val="24"/>
          <w:szCs w:val="24"/>
          <w:lang w:val="bg-BG"/>
        </w:rPr>
        <w:t xml:space="preserve">доизграждане на </w:t>
      </w:r>
      <w:r w:rsidR="009B0B1B" w:rsidRPr="00610B1B">
        <w:rPr>
          <w:rFonts w:ascii="Times New Roman" w:hAnsi="Times New Roman" w:cs="Times New Roman"/>
          <w:sz w:val="24"/>
          <w:szCs w:val="24"/>
          <w:lang w:val="bg-BG"/>
        </w:rPr>
        <w:t xml:space="preserve">жп </w:t>
      </w:r>
      <w:r w:rsidRPr="00610B1B">
        <w:rPr>
          <w:rFonts w:ascii="Times New Roman" w:hAnsi="Times New Roman" w:cs="Times New Roman"/>
          <w:sz w:val="24"/>
          <w:szCs w:val="24"/>
          <w:lang w:val="bg-BG"/>
        </w:rPr>
        <w:t xml:space="preserve">инфраструктура. Другата поръчка е за изграждане на кейова стена за корабно място 33 на терминал за насипни товари </w:t>
      </w:r>
      <w:r w:rsidR="004B76E6"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Бургас-изток 2</w:t>
      </w:r>
      <w:r w:rsidR="004B76E6"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и </w:t>
      </w:r>
      <w:r w:rsidR="009B0B1B" w:rsidRPr="00610B1B">
        <w:rPr>
          <w:rFonts w:ascii="Times New Roman" w:hAnsi="Times New Roman" w:cs="Times New Roman"/>
          <w:sz w:val="24"/>
          <w:szCs w:val="24"/>
          <w:lang w:val="bg-BG"/>
        </w:rPr>
        <w:t xml:space="preserve">e </w:t>
      </w:r>
      <w:r w:rsidRPr="00610B1B">
        <w:rPr>
          <w:rFonts w:ascii="Times New Roman" w:hAnsi="Times New Roman" w:cs="Times New Roman"/>
          <w:sz w:val="24"/>
          <w:szCs w:val="24"/>
          <w:lang w:val="bg-BG"/>
        </w:rPr>
        <w:t>на стойност 61 млн. лв. Доизграждането на съществуващата кейова стена ще удължи корабното място, предвидено</w:t>
      </w:r>
      <w:r w:rsidR="004B76E6" w:rsidRPr="00610B1B">
        <w:rPr>
          <w:rFonts w:ascii="Times New Roman" w:hAnsi="Times New Roman" w:cs="Times New Roman"/>
          <w:sz w:val="24"/>
          <w:szCs w:val="24"/>
          <w:lang w:val="bg-BG"/>
        </w:rPr>
        <w:t xml:space="preserve"> е</w:t>
      </w:r>
      <w:r w:rsidRPr="00610B1B">
        <w:rPr>
          <w:rFonts w:ascii="Times New Roman" w:hAnsi="Times New Roman" w:cs="Times New Roman"/>
          <w:sz w:val="24"/>
          <w:szCs w:val="24"/>
          <w:lang w:val="bg-BG"/>
        </w:rPr>
        <w:t xml:space="preserve"> драгиране на оперативната акватория и зоната за маневриране, изграждане на настилка и съоръжения, включително и жп коловоз. </w:t>
      </w:r>
      <w:r w:rsidR="009B0B1B" w:rsidRPr="00610B1B">
        <w:rPr>
          <w:rFonts w:ascii="Times New Roman" w:hAnsi="Times New Roman" w:cs="Times New Roman"/>
          <w:sz w:val="24"/>
          <w:szCs w:val="24"/>
          <w:lang w:val="bg-BG"/>
        </w:rPr>
        <w:t xml:space="preserve">Това </w:t>
      </w:r>
      <w:r w:rsidRPr="00610B1B">
        <w:rPr>
          <w:rFonts w:ascii="Times New Roman" w:hAnsi="Times New Roman" w:cs="Times New Roman"/>
          <w:sz w:val="24"/>
          <w:szCs w:val="24"/>
          <w:lang w:val="bg-BG"/>
        </w:rPr>
        <w:t xml:space="preserve">ще позволи обособяването на площадка за обработка и съхранение на генерални товари и контейнери. Целта е да могат да се обработват кораби с газене до 14.6 </w:t>
      </w:r>
      <w:r w:rsidR="009B0B1B" w:rsidRPr="00610B1B">
        <w:rPr>
          <w:rFonts w:ascii="Times New Roman" w:hAnsi="Times New Roman" w:cs="Times New Roman"/>
          <w:sz w:val="24"/>
          <w:szCs w:val="24"/>
          <w:lang w:val="bg-BG"/>
        </w:rPr>
        <w:t>m</w:t>
      </w:r>
      <w:r w:rsidRPr="00610B1B">
        <w:rPr>
          <w:rFonts w:ascii="Times New Roman" w:hAnsi="Times New Roman" w:cs="Times New Roman"/>
          <w:sz w:val="24"/>
          <w:szCs w:val="24"/>
          <w:lang w:val="bg-BG"/>
        </w:rPr>
        <w:t xml:space="preserve"> и 120 хил. тона.</w:t>
      </w:r>
      <w:r w:rsidR="009B0B1B" w:rsidRPr="00610B1B">
        <w:rPr>
          <w:rFonts w:ascii="Times New Roman" w:hAnsi="Times New Roman" w:cs="Times New Roman"/>
          <w:sz w:val="24"/>
          <w:szCs w:val="24"/>
          <w:lang w:val="bg-BG"/>
        </w:rPr>
        <w:t xml:space="preserve"> От </w:t>
      </w:r>
      <w:r w:rsidRPr="00610B1B">
        <w:rPr>
          <w:rFonts w:ascii="Times New Roman" w:hAnsi="Times New Roman" w:cs="Times New Roman"/>
          <w:sz w:val="24"/>
          <w:szCs w:val="24"/>
          <w:lang w:val="bg-BG"/>
        </w:rPr>
        <w:t>2021 г</w:t>
      </w:r>
      <w:r w:rsidR="004B76E6"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и Бургас ще има възможност за прием на кораби с капацитет около 10,000 TEU.</w:t>
      </w:r>
    </w:p>
    <w:p w14:paraId="2BA865AA" w14:textId="0E763701" w:rsidR="00470AB5" w:rsidRPr="00610B1B" w:rsidRDefault="00796C2C" w:rsidP="00D32D6A">
      <w:pPr>
        <w:spacing w:after="120"/>
        <w:ind w:left="-72"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Друг</w:t>
      </w:r>
      <w:r w:rsidR="00470AB5"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xml:space="preserve"> фактор</w:t>
      </w:r>
      <w:r w:rsidR="00470AB5"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влияещ</w:t>
      </w:r>
      <w:r w:rsidR="00470AB5"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xml:space="preserve"> върху </w:t>
      </w:r>
      <w:r w:rsidR="00470AB5" w:rsidRPr="00610B1B">
        <w:rPr>
          <w:rFonts w:ascii="Times New Roman" w:hAnsi="Times New Roman" w:cs="Times New Roman"/>
          <w:sz w:val="24"/>
          <w:szCs w:val="24"/>
          <w:lang w:val="bg-BG"/>
        </w:rPr>
        <w:t xml:space="preserve">морската политика в региона и на </w:t>
      </w:r>
      <w:r w:rsidRPr="00610B1B">
        <w:rPr>
          <w:rFonts w:ascii="Times New Roman" w:hAnsi="Times New Roman" w:cs="Times New Roman"/>
          <w:sz w:val="24"/>
          <w:szCs w:val="24"/>
          <w:lang w:val="bg-BG"/>
        </w:rPr>
        <w:t xml:space="preserve">морските превози в Черно море, е </w:t>
      </w:r>
      <w:r w:rsidR="00470AB5" w:rsidRPr="00610B1B">
        <w:rPr>
          <w:rFonts w:ascii="Times New Roman" w:hAnsi="Times New Roman" w:cs="Times New Roman"/>
          <w:sz w:val="24"/>
          <w:szCs w:val="24"/>
          <w:lang w:val="bg-BG"/>
        </w:rPr>
        <w:t>членството в ЕС и НАТО само на част от държавите с излаз на Черно море, военните конфликти в</w:t>
      </w:r>
      <w:r w:rsidRPr="00610B1B">
        <w:rPr>
          <w:rFonts w:ascii="Times New Roman" w:hAnsi="Times New Roman" w:cs="Times New Roman"/>
          <w:sz w:val="24"/>
          <w:szCs w:val="24"/>
          <w:lang w:val="bg-BG"/>
        </w:rPr>
        <w:t xml:space="preserve"> Източна Украйна</w:t>
      </w:r>
      <w:r w:rsidR="00470AB5" w:rsidRPr="00610B1B">
        <w:rPr>
          <w:rFonts w:ascii="Times New Roman" w:hAnsi="Times New Roman" w:cs="Times New Roman"/>
          <w:sz w:val="24"/>
          <w:szCs w:val="24"/>
          <w:lang w:val="bg-BG"/>
        </w:rPr>
        <w:t xml:space="preserve"> от 2014 г. и др. Това затруднява провеждането на общата политика за Черноморския басейн и сътрудничеството в трансграничното морско пространствено планиране, върху които се работи повече от три десетилетия.</w:t>
      </w:r>
    </w:p>
    <w:p w14:paraId="2F8FD3E0" w14:textId="0C01A18D" w:rsidR="0024776B" w:rsidRPr="00610B1B" w:rsidRDefault="00796C2C" w:rsidP="00D32D6A">
      <w:pPr>
        <w:spacing w:after="120"/>
        <w:ind w:left="-72"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Независимо от гореизброените фактори, </w:t>
      </w:r>
      <w:r w:rsidR="00470AB5" w:rsidRPr="00610B1B">
        <w:rPr>
          <w:rFonts w:ascii="Times New Roman" w:hAnsi="Times New Roman" w:cs="Times New Roman"/>
          <w:sz w:val="24"/>
          <w:szCs w:val="24"/>
          <w:lang w:val="bg-BG"/>
        </w:rPr>
        <w:t>не се очакват съществени промени в</w:t>
      </w:r>
      <w:r w:rsidRPr="00610B1B">
        <w:rPr>
          <w:rFonts w:ascii="Times New Roman" w:hAnsi="Times New Roman" w:cs="Times New Roman"/>
          <w:sz w:val="24"/>
          <w:szCs w:val="24"/>
          <w:lang w:val="bg-BG"/>
        </w:rPr>
        <w:t xml:space="preserve"> общата динамика </w:t>
      </w:r>
      <w:r w:rsidR="00470AB5" w:rsidRPr="00610B1B">
        <w:rPr>
          <w:rFonts w:ascii="Times New Roman" w:hAnsi="Times New Roman" w:cs="Times New Roman"/>
          <w:sz w:val="24"/>
          <w:szCs w:val="24"/>
          <w:lang w:val="bg-BG"/>
        </w:rPr>
        <w:t xml:space="preserve">на </w:t>
      </w:r>
      <w:r w:rsidRPr="00610B1B">
        <w:rPr>
          <w:rFonts w:ascii="Times New Roman" w:hAnsi="Times New Roman" w:cs="Times New Roman"/>
          <w:sz w:val="24"/>
          <w:szCs w:val="24"/>
          <w:lang w:val="bg-BG"/>
        </w:rPr>
        <w:t>Черноморския регион</w:t>
      </w:r>
      <w:r w:rsidR="00470AB5"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тъй като всички пристанища се фокусират главно върху обслужването на националните си икономики.</w:t>
      </w:r>
      <w:r w:rsidR="004B76E6" w:rsidRPr="00610B1B">
        <w:rPr>
          <w:rFonts w:ascii="Times New Roman" w:hAnsi="Times New Roman" w:cs="Times New Roman"/>
          <w:sz w:val="24"/>
          <w:szCs w:val="24"/>
          <w:lang w:val="bg-BG"/>
        </w:rPr>
        <w:t xml:space="preserve"> Посочените в</w:t>
      </w:r>
      <w:r w:rsidRPr="00610B1B">
        <w:rPr>
          <w:rFonts w:ascii="Times New Roman" w:hAnsi="Times New Roman" w:cs="Times New Roman"/>
          <w:sz w:val="24"/>
          <w:szCs w:val="24"/>
          <w:lang w:val="bg-BG"/>
        </w:rPr>
        <w:t>ъншни факторите, оказващи влияние върху морския транспорт са различни</w:t>
      </w:r>
      <w:r w:rsidR="004C259A" w:rsidRPr="00610B1B">
        <w:rPr>
          <w:rFonts w:ascii="Times New Roman" w:hAnsi="Times New Roman" w:cs="Times New Roman"/>
          <w:sz w:val="24"/>
          <w:szCs w:val="24"/>
          <w:lang w:val="bg-BG"/>
        </w:rPr>
        <w:t>, но те подсказват насоките, към които да се ориентира политиката на България в тази сфера. България има благоприятно географско и геополитическо положение, но то само по себе си не гарантира и не е достатъчно за привличането на транзитни превози. Ако към това се прибавят и предизвикателствата на глобализацията на световната икономика и в частност морския транспорт, все по-необходимо е да се търсят възможности за</w:t>
      </w:r>
      <w:r w:rsidR="00D66FE0" w:rsidRPr="00610B1B">
        <w:rPr>
          <w:rFonts w:ascii="Times New Roman" w:hAnsi="Times New Roman" w:cs="Times New Roman"/>
          <w:sz w:val="24"/>
          <w:szCs w:val="24"/>
          <w:lang w:val="bg-BG"/>
        </w:rPr>
        <w:t xml:space="preserve"> </w:t>
      </w:r>
      <w:r w:rsidR="004C259A" w:rsidRPr="00610B1B">
        <w:rPr>
          <w:rFonts w:ascii="Times New Roman" w:hAnsi="Times New Roman" w:cs="Times New Roman"/>
          <w:sz w:val="24"/>
          <w:szCs w:val="24"/>
          <w:lang w:val="bg-BG"/>
        </w:rPr>
        <w:t xml:space="preserve">привличане на транзитните товари от Азия за Европа и обратно. Необходими са значителни инвестиции за подобряване и поддържане на съществуващата инфраструктура, както и за технологично обновление на </w:t>
      </w:r>
      <w:r w:rsidR="00A02DDF" w:rsidRPr="00610B1B">
        <w:rPr>
          <w:rFonts w:ascii="Times New Roman" w:hAnsi="Times New Roman" w:cs="Times New Roman"/>
          <w:sz w:val="24"/>
          <w:szCs w:val="24"/>
          <w:lang w:val="bg-BG"/>
        </w:rPr>
        <w:t xml:space="preserve">българските </w:t>
      </w:r>
      <w:r w:rsidR="004C259A" w:rsidRPr="00610B1B">
        <w:rPr>
          <w:rFonts w:ascii="Times New Roman" w:hAnsi="Times New Roman" w:cs="Times New Roman"/>
          <w:sz w:val="24"/>
          <w:szCs w:val="24"/>
          <w:lang w:val="bg-BG"/>
        </w:rPr>
        <w:t>пристанища.</w:t>
      </w:r>
      <w:r w:rsidR="00D66FE0" w:rsidRPr="00610B1B">
        <w:rPr>
          <w:rFonts w:ascii="Times New Roman" w:hAnsi="Times New Roman" w:cs="Times New Roman"/>
          <w:sz w:val="24"/>
          <w:szCs w:val="24"/>
          <w:lang w:val="bg-BG"/>
        </w:rPr>
        <w:t xml:space="preserve"> </w:t>
      </w:r>
    </w:p>
    <w:p w14:paraId="347845F3" w14:textId="0A54F806" w:rsidR="004C259A" w:rsidRPr="00610B1B" w:rsidRDefault="004C259A" w:rsidP="00D32D6A">
      <w:pPr>
        <w:spacing w:after="120"/>
        <w:ind w:left="-72"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 xml:space="preserve">След присъединяването на България към ЕС се отбелязва значително увеличение на броя на посещаващите български Черноморски пристанища пасажерски кораби. </w:t>
      </w:r>
      <w:r w:rsidR="0024776B" w:rsidRPr="00610B1B">
        <w:rPr>
          <w:rFonts w:ascii="Times New Roman" w:hAnsi="Times New Roman" w:cs="Times New Roman"/>
          <w:sz w:val="24"/>
          <w:szCs w:val="24"/>
          <w:lang w:val="bg-BG"/>
        </w:rPr>
        <w:t>Заедно с това все по-голямо внимание</w:t>
      </w:r>
      <w:r w:rsidR="0024776B" w:rsidRPr="00610B1B">
        <w:rPr>
          <w:rFonts w:ascii="Times New Roman" w:hAnsi="Times New Roman" w:cs="Times New Roman"/>
          <w:lang w:val="bg-BG"/>
        </w:rPr>
        <w:t xml:space="preserve"> </w:t>
      </w:r>
      <w:r w:rsidR="0024776B" w:rsidRPr="00610B1B">
        <w:rPr>
          <w:rFonts w:ascii="Times New Roman" w:hAnsi="Times New Roman" w:cs="Times New Roman"/>
          <w:sz w:val="24"/>
          <w:szCs w:val="24"/>
          <w:lang w:val="bg-BG"/>
        </w:rPr>
        <w:t xml:space="preserve">се обръща на сигурността на превозите и пристанищата. Спадът на броя на пасажерските кораби в пристанищата на България поради </w:t>
      </w:r>
      <w:r w:rsidRPr="00610B1B">
        <w:rPr>
          <w:rFonts w:ascii="Times New Roman" w:hAnsi="Times New Roman" w:cs="Times New Roman"/>
          <w:sz w:val="24"/>
          <w:szCs w:val="24"/>
          <w:lang w:val="bg-BG"/>
        </w:rPr>
        <w:t>усложнената геополитическа ситуация в Черно</w:t>
      </w:r>
      <w:r w:rsidR="0024776B" w:rsidRPr="00610B1B">
        <w:rPr>
          <w:rFonts w:ascii="Times New Roman" w:hAnsi="Times New Roman" w:cs="Times New Roman"/>
          <w:sz w:val="24"/>
          <w:szCs w:val="24"/>
          <w:lang w:val="bg-BG"/>
        </w:rPr>
        <w:t xml:space="preserve"> море е доказателство за това. </w:t>
      </w:r>
      <w:r w:rsidR="004B76E6" w:rsidRPr="00610B1B">
        <w:rPr>
          <w:rFonts w:ascii="Times New Roman" w:hAnsi="Times New Roman" w:cs="Times New Roman"/>
          <w:sz w:val="24"/>
          <w:szCs w:val="24"/>
          <w:lang w:val="bg-BG"/>
        </w:rPr>
        <w:t xml:space="preserve">Необходими са </w:t>
      </w:r>
      <w:r w:rsidR="0024776B" w:rsidRPr="00610B1B">
        <w:rPr>
          <w:rFonts w:ascii="Times New Roman" w:hAnsi="Times New Roman" w:cs="Times New Roman"/>
          <w:sz w:val="24"/>
          <w:szCs w:val="24"/>
          <w:lang w:val="bg-BG"/>
        </w:rPr>
        <w:t>мерки, в допълнение на общите системи за сигурност в Черно море и изпълнените проекти за оборудване, обучение и изграждане на капацитет, за повишаване и гарантиране на сигурността и безопасността</w:t>
      </w:r>
      <w:r w:rsidRPr="00610B1B">
        <w:rPr>
          <w:rFonts w:ascii="Times New Roman" w:hAnsi="Times New Roman" w:cs="Times New Roman"/>
          <w:sz w:val="24"/>
          <w:szCs w:val="24"/>
          <w:lang w:val="bg-BG"/>
        </w:rPr>
        <w:t xml:space="preserve">. </w:t>
      </w:r>
    </w:p>
    <w:p w14:paraId="64861FE9" w14:textId="2485A098" w:rsidR="00A2160D" w:rsidRPr="00610B1B" w:rsidRDefault="00796C2C" w:rsidP="00D32D6A">
      <w:pPr>
        <w:spacing w:after="120"/>
        <w:ind w:left="-72"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Опазване</w:t>
      </w:r>
      <w:r w:rsidR="00B962BD" w:rsidRPr="00610B1B">
        <w:rPr>
          <w:rFonts w:ascii="Times New Roman" w:hAnsi="Times New Roman" w:cs="Times New Roman"/>
          <w:sz w:val="24"/>
          <w:szCs w:val="24"/>
          <w:lang w:val="bg-BG"/>
        </w:rPr>
        <w:t>то</w:t>
      </w:r>
      <w:r w:rsidRPr="00610B1B">
        <w:rPr>
          <w:rFonts w:ascii="Times New Roman" w:hAnsi="Times New Roman" w:cs="Times New Roman"/>
          <w:sz w:val="24"/>
          <w:szCs w:val="24"/>
          <w:lang w:val="bg-BG"/>
        </w:rPr>
        <w:t xml:space="preserve"> на околната среда се превръща в първостепенна задача в световен мащаб, което ще доведе до увеличаване на разходите и цената на транспортните услуги, поддържането и експлоатацията на транспортната инфраструктура на Р. България</w:t>
      </w:r>
      <w:r w:rsidR="00A2160D" w:rsidRPr="00610B1B">
        <w:rPr>
          <w:rFonts w:ascii="Times New Roman" w:hAnsi="Times New Roman" w:cs="Times New Roman"/>
          <w:sz w:val="24"/>
          <w:szCs w:val="24"/>
          <w:lang w:val="bg-BG"/>
        </w:rPr>
        <w:t>.</w:t>
      </w:r>
      <w:bookmarkStart w:id="325" w:name="_Toc28012951"/>
    </w:p>
    <w:p w14:paraId="356EB5E5" w14:textId="77777777" w:rsidR="007927C6" w:rsidRPr="00610B1B" w:rsidRDefault="007927C6" w:rsidP="00D32D6A">
      <w:pPr>
        <w:spacing w:after="120"/>
        <w:ind w:left="-72" w:right="-153"/>
        <w:jc w:val="both"/>
        <w:rPr>
          <w:rFonts w:ascii="Times New Roman" w:hAnsi="Times New Roman" w:cs="Times New Roman"/>
          <w:sz w:val="24"/>
          <w:szCs w:val="24"/>
          <w:lang w:val="bg-BG"/>
        </w:rPr>
      </w:pPr>
    </w:p>
    <w:p w14:paraId="0B7767F9" w14:textId="0C04741C" w:rsidR="00796C2C" w:rsidRPr="00610B1B" w:rsidRDefault="00A02DDF" w:rsidP="00D32D6A">
      <w:pPr>
        <w:pStyle w:val="Heading3"/>
        <w:spacing w:before="0" w:line="276" w:lineRule="auto"/>
        <w:ind w:right="-153"/>
        <w:rPr>
          <w:rFonts w:cs="Times New Roman"/>
        </w:rPr>
      </w:pPr>
      <w:bookmarkStart w:id="326" w:name="_Toc83391374"/>
      <w:r w:rsidRPr="00610B1B">
        <w:rPr>
          <w:rFonts w:cs="Times New Roman"/>
        </w:rPr>
        <w:t>3</w:t>
      </w:r>
      <w:r w:rsidR="00A2160D" w:rsidRPr="00610B1B">
        <w:rPr>
          <w:rFonts w:cs="Times New Roman"/>
        </w:rPr>
        <w:t>.</w:t>
      </w:r>
      <w:r w:rsidRPr="00610B1B">
        <w:rPr>
          <w:rFonts w:cs="Times New Roman"/>
        </w:rPr>
        <w:t>1</w:t>
      </w:r>
      <w:r w:rsidR="00A2160D" w:rsidRPr="00610B1B">
        <w:rPr>
          <w:rFonts w:cs="Times New Roman"/>
        </w:rPr>
        <w:t>.3. М</w:t>
      </w:r>
      <w:r w:rsidR="00796C2C" w:rsidRPr="00610B1B">
        <w:rPr>
          <w:rFonts w:cs="Times New Roman"/>
        </w:rPr>
        <w:t>орски търговски дестинации. Типове кораби и количества товари.</w:t>
      </w:r>
      <w:bookmarkEnd w:id="325"/>
      <w:bookmarkEnd w:id="326"/>
    </w:p>
    <w:p w14:paraId="4FD918D9" w14:textId="20D4D2E3" w:rsidR="00796C2C" w:rsidRPr="00610B1B" w:rsidRDefault="00A02DDF" w:rsidP="00D32D6A">
      <w:pPr>
        <w:pStyle w:val="Heading4"/>
        <w:spacing w:before="0" w:line="276" w:lineRule="auto"/>
        <w:ind w:right="-153"/>
        <w:rPr>
          <w:rFonts w:cs="Times New Roman"/>
        </w:rPr>
      </w:pPr>
      <w:bookmarkStart w:id="327" w:name="_Toc28012952"/>
      <w:r w:rsidRPr="00610B1B">
        <w:rPr>
          <w:rFonts w:cs="Times New Roman"/>
        </w:rPr>
        <w:t>3</w:t>
      </w:r>
      <w:r w:rsidR="00A2160D" w:rsidRPr="00610B1B">
        <w:rPr>
          <w:rFonts w:cs="Times New Roman"/>
        </w:rPr>
        <w:t>.</w:t>
      </w:r>
      <w:r w:rsidRPr="00610B1B">
        <w:rPr>
          <w:rFonts w:cs="Times New Roman"/>
        </w:rPr>
        <w:t>1</w:t>
      </w:r>
      <w:r w:rsidR="00A2160D" w:rsidRPr="00610B1B">
        <w:rPr>
          <w:rFonts w:cs="Times New Roman"/>
        </w:rPr>
        <w:t xml:space="preserve">.3.1. </w:t>
      </w:r>
      <w:r w:rsidR="00796C2C" w:rsidRPr="00610B1B">
        <w:rPr>
          <w:rFonts w:cs="Times New Roman"/>
        </w:rPr>
        <w:t>Морски търговски дестинации</w:t>
      </w:r>
      <w:bookmarkEnd w:id="327"/>
    </w:p>
    <w:p w14:paraId="0B1936C2" w14:textId="7D584020" w:rsidR="00977C9E" w:rsidRPr="00610B1B" w:rsidRDefault="00A02DDF" w:rsidP="00D32D6A">
      <w:pPr>
        <w:pStyle w:val="Caption"/>
        <w:spacing w:before="0" w:line="276" w:lineRule="auto"/>
        <w:ind w:right="-153"/>
        <w:jc w:val="both"/>
        <w:rPr>
          <w:rFonts w:cs="Times New Roman"/>
        </w:rPr>
      </w:pPr>
      <w:r w:rsidRPr="00610B1B">
        <w:rPr>
          <w:rFonts w:cs="Times New Roman"/>
        </w:rPr>
        <w:t xml:space="preserve">Съгласно данните за общия обем стоки за внос и износ от/за България, на Националния статистически институт (НСИ), основни търговски партньори на България </w:t>
      </w:r>
      <w:r w:rsidR="004B76E6" w:rsidRPr="00610B1B">
        <w:rPr>
          <w:rFonts w:cs="Times New Roman"/>
        </w:rPr>
        <w:t>в</w:t>
      </w:r>
      <w:r w:rsidRPr="00610B1B">
        <w:rPr>
          <w:rFonts w:cs="Times New Roman"/>
        </w:rPr>
        <w:t xml:space="preserve"> износа за страните от ЕС за </w:t>
      </w:r>
      <w:r w:rsidR="006011C0" w:rsidRPr="00610B1B">
        <w:rPr>
          <w:rFonts w:cs="Times New Roman"/>
        </w:rPr>
        <w:t>периода</w:t>
      </w:r>
      <w:r w:rsidRPr="00610B1B">
        <w:rPr>
          <w:rFonts w:cs="Times New Roman"/>
        </w:rPr>
        <w:t xml:space="preserve"> 2018-2019 са Германия, Италия, Румъния и др., а за търговията с трети страни основните партньори са Турция, Китай, САЩ и Русия. </w:t>
      </w:r>
      <w:r w:rsidR="00977C9E" w:rsidRPr="00610B1B">
        <w:rPr>
          <w:rFonts w:cs="Times New Roman"/>
        </w:rPr>
        <w:t>По отношение на вноса на стоки за България основните търговски партньори от страните на ЕС са Германия, Италия, Испания, Румъния и др. От третите страни най-големият внос е от Русия, Турция, Китай и Египет.</w:t>
      </w:r>
    </w:p>
    <w:p w14:paraId="34ABC4CB" w14:textId="694707EE" w:rsidR="00422374" w:rsidRPr="00610B1B" w:rsidRDefault="00422374"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Съгласно</w:t>
      </w:r>
      <w:r w:rsidR="00977C9E" w:rsidRPr="00610B1B">
        <w:rPr>
          <w:rFonts w:ascii="Times New Roman" w:hAnsi="Times New Roman" w:cs="Times New Roman"/>
          <w:sz w:val="24"/>
          <w:szCs w:val="24"/>
          <w:lang w:val="bg-BG"/>
        </w:rPr>
        <w:t xml:space="preserve"> информация</w:t>
      </w:r>
      <w:r w:rsidRPr="00610B1B">
        <w:rPr>
          <w:rFonts w:ascii="Times New Roman" w:hAnsi="Times New Roman" w:cs="Times New Roman"/>
          <w:sz w:val="24"/>
          <w:szCs w:val="24"/>
          <w:lang w:val="bg-BG"/>
        </w:rPr>
        <w:t>та</w:t>
      </w:r>
      <w:r w:rsidR="00977C9E" w:rsidRPr="00610B1B">
        <w:rPr>
          <w:rFonts w:ascii="Times New Roman" w:hAnsi="Times New Roman" w:cs="Times New Roman"/>
          <w:sz w:val="24"/>
          <w:szCs w:val="24"/>
          <w:lang w:val="bg-BG"/>
        </w:rPr>
        <w:t xml:space="preserve"> от Териториална дирекция Северна морска на Агенция „Митници“ основните стоки, които преминават през пристанище Варна са от/за основни морски дестинации държави извън Европейския съюз. Със страните от </w:t>
      </w:r>
      <w:r w:rsidR="00977C9E" w:rsidRPr="00610B1B">
        <w:rPr>
          <w:rFonts w:ascii="Times New Roman" w:hAnsi="Times New Roman" w:cs="Times New Roman"/>
          <w:iCs/>
          <w:sz w:val="24"/>
          <w:szCs w:val="24"/>
          <w:lang w:val="bg-BG"/>
        </w:rPr>
        <w:t>ЕС</w:t>
      </w:r>
      <w:r w:rsidR="00977C9E" w:rsidRPr="00610B1B">
        <w:rPr>
          <w:rFonts w:ascii="Times New Roman" w:hAnsi="Times New Roman" w:cs="Times New Roman"/>
          <w:sz w:val="24"/>
          <w:szCs w:val="24"/>
          <w:lang w:val="bg-BG"/>
        </w:rPr>
        <w:t xml:space="preserve"> България изнася и внася стоки основно с автомобилен транспорт. </w:t>
      </w:r>
      <w:r w:rsidRPr="00610B1B">
        <w:rPr>
          <w:rFonts w:ascii="Times New Roman" w:hAnsi="Times New Roman" w:cs="Times New Roman"/>
          <w:sz w:val="24"/>
          <w:szCs w:val="24"/>
          <w:lang w:val="bg-BG"/>
        </w:rPr>
        <w:t>В периода 2014-2018 г. през пристанището са внесени общо 241 400 бр. контейнери от Обединените Арабски емирства, САЩ, Украйна, Китай и др. и 60,88 млн. тона насипни товари от Обединени Арабски емирства, Иран, Малайзия, Русия, Грузия, Турция. Изнесените контейнери са 109 743 бр. към Обединени Арабски емирства, Китай, Египет, Япония, а изнесените насипни товари от общо 104,96 млн</w:t>
      </w:r>
      <w:r w:rsidR="00EE454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тона са към Обединени Арабски</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емирства, Алжир,</w:t>
      </w:r>
      <w:r w:rsidR="00C415D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Малайзия, Русия, Грузия.</w:t>
      </w:r>
    </w:p>
    <w:p w14:paraId="650813F2" w14:textId="203C1CAE" w:rsidR="009907CE" w:rsidRPr="00610B1B" w:rsidRDefault="009907CE" w:rsidP="00D32D6A">
      <w:pPr>
        <w:spacing w:after="120"/>
        <w:ind w:right="-153"/>
        <w:jc w:val="both"/>
        <w:rPr>
          <w:rFonts w:ascii="Times New Roman" w:hAnsi="Times New Roman" w:cs="Times New Roman"/>
          <w:sz w:val="24"/>
          <w:szCs w:val="24"/>
          <w:lang w:val="bg-BG"/>
        </w:rPr>
      </w:pPr>
    </w:p>
    <w:p w14:paraId="3D250771" w14:textId="097ED031" w:rsidR="009907CE" w:rsidRPr="00610B1B" w:rsidRDefault="009907CE" w:rsidP="00D32D6A">
      <w:pPr>
        <w:spacing w:after="120"/>
        <w:ind w:right="-153"/>
        <w:jc w:val="both"/>
        <w:rPr>
          <w:rFonts w:ascii="Times New Roman" w:hAnsi="Times New Roman" w:cs="Times New Roman"/>
          <w:sz w:val="24"/>
          <w:szCs w:val="24"/>
          <w:lang w:val="bg-BG"/>
        </w:rPr>
      </w:pPr>
    </w:p>
    <w:p w14:paraId="61059A73" w14:textId="47D649C2" w:rsidR="008C6B1F" w:rsidRPr="00610B1B" w:rsidRDefault="008C6B1F" w:rsidP="00D32D6A">
      <w:pPr>
        <w:spacing w:after="120"/>
        <w:ind w:right="-153"/>
        <w:jc w:val="both"/>
        <w:rPr>
          <w:rFonts w:ascii="Times New Roman" w:hAnsi="Times New Roman" w:cs="Times New Roman"/>
          <w:sz w:val="24"/>
          <w:szCs w:val="24"/>
          <w:lang w:val="bg-BG"/>
        </w:rPr>
      </w:pPr>
    </w:p>
    <w:p w14:paraId="02D8639C" w14:textId="77777777" w:rsidR="008C6B1F" w:rsidRPr="00610B1B" w:rsidRDefault="008C6B1F" w:rsidP="00D32D6A">
      <w:pPr>
        <w:spacing w:after="120"/>
        <w:ind w:right="-153"/>
        <w:jc w:val="both"/>
        <w:rPr>
          <w:rFonts w:ascii="Times New Roman" w:hAnsi="Times New Roman" w:cs="Times New Roman"/>
          <w:sz w:val="24"/>
          <w:szCs w:val="24"/>
          <w:lang w:val="bg-BG"/>
        </w:rPr>
      </w:pPr>
    </w:p>
    <w:p w14:paraId="432C49AC" w14:textId="081ED1C0" w:rsidR="009907CE" w:rsidRPr="00610B1B" w:rsidRDefault="009907CE" w:rsidP="00D32D6A">
      <w:pPr>
        <w:spacing w:after="120"/>
        <w:ind w:right="-153"/>
        <w:jc w:val="both"/>
        <w:rPr>
          <w:rFonts w:ascii="Times New Roman" w:hAnsi="Times New Roman" w:cs="Times New Roman"/>
          <w:sz w:val="24"/>
          <w:szCs w:val="24"/>
          <w:lang w:val="bg-BG"/>
        </w:rPr>
      </w:pPr>
    </w:p>
    <w:p w14:paraId="2161627B" w14:textId="77777777" w:rsidR="009907CE" w:rsidRPr="00610B1B" w:rsidRDefault="009907CE" w:rsidP="00D32D6A">
      <w:pPr>
        <w:spacing w:after="120"/>
        <w:ind w:right="-153"/>
        <w:jc w:val="both"/>
        <w:rPr>
          <w:rFonts w:ascii="Times New Roman" w:hAnsi="Times New Roman" w:cs="Times New Roman"/>
          <w:sz w:val="24"/>
          <w:szCs w:val="24"/>
          <w:lang w:val="bg-BG"/>
        </w:rPr>
      </w:pPr>
    </w:p>
    <w:p w14:paraId="17B30B4C" w14:textId="71B7BAA1" w:rsidR="00796C2C" w:rsidRPr="00610B1B" w:rsidRDefault="00B62269" w:rsidP="00D32D6A">
      <w:pPr>
        <w:pStyle w:val="Caption"/>
        <w:spacing w:before="0" w:line="276" w:lineRule="auto"/>
        <w:ind w:right="-153"/>
        <w:jc w:val="both"/>
        <w:rPr>
          <w:rFonts w:cs="Times New Roman"/>
        </w:rPr>
      </w:pPr>
      <w:bookmarkStart w:id="328" w:name="_Toc83391471"/>
      <w:r w:rsidRPr="00610B1B">
        <w:rPr>
          <w:rFonts w:cs="Times New Roman"/>
        </w:rPr>
        <w:lastRenderedPageBreak/>
        <w:t xml:space="preserve">Фигура </w:t>
      </w:r>
      <w:r w:rsidRPr="00610B1B">
        <w:rPr>
          <w:rFonts w:cs="Times New Roman"/>
        </w:rPr>
        <w:fldChar w:fldCharType="begin"/>
      </w:r>
      <w:r w:rsidRPr="00610B1B">
        <w:rPr>
          <w:rFonts w:cs="Times New Roman"/>
        </w:rPr>
        <w:instrText xml:space="preserve"> SEQ Фигура \* ARABIC </w:instrText>
      </w:r>
      <w:r w:rsidRPr="00610B1B">
        <w:rPr>
          <w:rFonts w:cs="Times New Roman"/>
        </w:rPr>
        <w:fldChar w:fldCharType="separate"/>
      </w:r>
      <w:r w:rsidR="00260629" w:rsidRPr="00610B1B">
        <w:rPr>
          <w:rFonts w:cs="Times New Roman"/>
          <w:noProof/>
        </w:rPr>
        <w:t>8</w:t>
      </w:r>
      <w:r w:rsidRPr="00610B1B">
        <w:rPr>
          <w:rFonts w:cs="Times New Roman"/>
        </w:rPr>
        <w:fldChar w:fldCharType="end"/>
      </w:r>
      <w:r w:rsidRPr="00610B1B">
        <w:rPr>
          <w:rFonts w:cs="Times New Roman"/>
        </w:rPr>
        <w:t xml:space="preserve">: </w:t>
      </w:r>
      <w:r w:rsidR="00BB1991" w:rsidRPr="00610B1B">
        <w:rPr>
          <w:rFonts w:cs="Times New Roman"/>
        </w:rPr>
        <w:t>Транзитни м</w:t>
      </w:r>
      <w:r w:rsidR="00796C2C" w:rsidRPr="00610B1B">
        <w:rPr>
          <w:rFonts w:cs="Times New Roman"/>
        </w:rPr>
        <w:t>аршрути на кораби, влезли и излезли от пристанище Варна и Бургас</w:t>
      </w:r>
      <w:r w:rsidR="00A2160D" w:rsidRPr="00610B1B">
        <w:rPr>
          <w:rFonts w:cs="Times New Roman"/>
        </w:rPr>
        <w:t xml:space="preserve"> з</w:t>
      </w:r>
      <w:r w:rsidR="00796C2C" w:rsidRPr="00610B1B">
        <w:rPr>
          <w:rFonts w:cs="Times New Roman"/>
        </w:rPr>
        <w:t>а м. януари 2019 г.</w:t>
      </w:r>
      <w:bookmarkEnd w:id="328"/>
    </w:p>
    <w:p w14:paraId="4AC514BC" w14:textId="77777777" w:rsidR="00796C2C" w:rsidRPr="00610B1B" w:rsidRDefault="00796C2C" w:rsidP="00D32D6A">
      <w:pPr>
        <w:spacing w:after="120"/>
        <w:ind w:left="284" w:right="-153"/>
        <w:jc w:val="both"/>
        <w:rPr>
          <w:rFonts w:ascii="Times New Roman" w:hAnsi="Times New Roman" w:cs="Times New Roman"/>
          <w:sz w:val="24"/>
          <w:szCs w:val="24"/>
          <w:lang w:val="bg-BG"/>
        </w:rPr>
      </w:pPr>
      <w:r w:rsidRPr="00610B1B">
        <w:rPr>
          <w:rFonts w:ascii="Times New Roman" w:hAnsi="Times New Roman" w:cs="Times New Roman"/>
          <w:noProof/>
          <w:sz w:val="24"/>
          <w:szCs w:val="24"/>
          <w:lang w:val="bg-BG" w:eastAsia="bg-BG"/>
        </w:rPr>
        <w:drawing>
          <wp:anchor distT="0" distB="0" distL="114300" distR="114300" simplePos="0" relativeHeight="251717632" behindDoc="0" locked="0" layoutInCell="1" allowOverlap="1" wp14:anchorId="43F968FA" wp14:editId="2A653489">
            <wp:simplePos x="0" y="0"/>
            <wp:positionH relativeFrom="column">
              <wp:posOffset>85441</wp:posOffset>
            </wp:positionH>
            <wp:positionV relativeFrom="paragraph">
              <wp:posOffset>1905</wp:posOffset>
            </wp:positionV>
            <wp:extent cx="3835319" cy="3455582"/>
            <wp:effectExtent l="0" t="0" r="0" b="0"/>
            <wp:wrapSquare wrapText="bothSides"/>
            <wp:docPr id="29" name="Картина 7" descr="C:\Users\Морска Камара 1\Desktop\Товарни\Товарни\2019\01.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рска Камара 1\Desktop\Товарни\Товарни\2019\01.201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5319" cy="3455582"/>
                    </a:xfrm>
                    <a:prstGeom prst="rect">
                      <a:avLst/>
                    </a:prstGeom>
                    <a:noFill/>
                    <a:ln>
                      <a:noFill/>
                    </a:ln>
                  </pic:spPr>
                </pic:pic>
              </a:graphicData>
            </a:graphic>
          </wp:anchor>
        </w:drawing>
      </w:r>
    </w:p>
    <w:p w14:paraId="07132FA8" w14:textId="08BD63B0" w:rsidR="00A2160D" w:rsidRPr="00610B1B" w:rsidRDefault="00F00BE8" w:rsidP="00D32D6A">
      <w:pPr>
        <w:pStyle w:val="Caption"/>
        <w:spacing w:before="0" w:line="276" w:lineRule="auto"/>
        <w:ind w:right="-153"/>
        <w:rPr>
          <w:rFonts w:cs="Times New Roman"/>
          <w:i/>
          <w:iCs/>
          <w:sz w:val="22"/>
          <w:szCs w:val="22"/>
        </w:rPr>
      </w:pPr>
      <w:r w:rsidRPr="00610B1B">
        <w:rPr>
          <w:rFonts w:cs="Times New Roman"/>
          <w:i/>
          <w:iCs/>
          <w:sz w:val="22"/>
          <w:szCs w:val="22"/>
          <w:u w:val="single"/>
        </w:rPr>
        <w:t>Легенда</w:t>
      </w:r>
      <w:r w:rsidR="00A2160D" w:rsidRPr="00610B1B">
        <w:rPr>
          <w:rFonts w:cs="Times New Roman"/>
          <w:i/>
          <w:iCs/>
          <w:sz w:val="22"/>
          <w:szCs w:val="22"/>
        </w:rPr>
        <w:t>:</w:t>
      </w:r>
      <w:r w:rsidRPr="00610B1B">
        <w:rPr>
          <w:rFonts w:cs="Times New Roman"/>
          <w:i/>
          <w:iCs/>
          <w:sz w:val="22"/>
          <w:szCs w:val="22"/>
        </w:rPr>
        <w:br/>
      </w:r>
      <w:r w:rsidR="00A2160D" w:rsidRPr="00610B1B">
        <w:rPr>
          <w:rFonts w:cs="Times New Roman"/>
          <w:i/>
          <w:iCs/>
          <w:sz w:val="22"/>
          <w:szCs w:val="22"/>
        </w:rPr>
        <w:t>Сини линии - движение на корабите в северна посок</w:t>
      </w:r>
      <w:r w:rsidR="00D05544" w:rsidRPr="00610B1B">
        <w:rPr>
          <w:rFonts w:cs="Times New Roman"/>
          <w:i/>
          <w:iCs/>
          <w:sz w:val="22"/>
          <w:szCs w:val="22"/>
        </w:rPr>
        <w:t>a</w:t>
      </w:r>
      <w:r w:rsidRPr="00610B1B">
        <w:rPr>
          <w:rFonts w:cs="Times New Roman"/>
          <w:i/>
          <w:iCs/>
          <w:sz w:val="22"/>
          <w:szCs w:val="22"/>
        </w:rPr>
        <w:t>;</w:t>
      </w:r>
      <w:r w:rsidR="00A2160D" w:rsidRPr="00610B1B">
        <w:rPr>
          <w:rFonts w:cs="Times New Roman"/>
          <w:i/>
          <w:iCs/>
          <w:sz w:val="22"/>
          <w:szCs w:val="22"/>
        </w:rPr>
        <w:t xml:space="preserve">, </w:t>
      </w:r>
      <w:r w:rsidRPr="00610B1B">
        <w:rPr>
          <w:rFonts w:cs="Times New Roman"/>
          <w:i/>
          <w:iCs/>
          <w:sz w:val="22"/>
          <w:szCs w:val="22"/>
        </w:rPr>
        <w:t>Ч</w:t>
      </w:r>
      <w:r w:rsidR="00A2160D" w:rsidRPr="00610B1B">
        <w:rPr>
          <w:rFonts w:cs="Times New Roman"/>
          <w:i/>
          <w:iCs/>
          <w:sz w:val="22"/>
          <w:szCs w:val="22"/>
        </w:rPr>
        <w:t>ервени линии – движение в южна посока</w:t>
      </w:r>
      <w:r w:rsidRPr="00610B1B">
        <w:rPr>
          <w:rFonts w:cs="Times New Roman"/>
          <w:i/>
          <w:iCs/>
          <w:sz w:val="22"/>
          <w:szCs w:val="22"/>
        </w:rPr>
        <w:t>.</w:t>
      </w:r>
    </w:p>
    <w:p w14:paraId="6BF22CB0" w14:textId="3CBC3A0D" w:rsidR="00F00BE8" w:rsidRPr="00610B1B" w:rsidRDefault="00F00BE8" w:rsidP="00D32D6A">
      <w:pPr>
        <w:pStyle w:val="Caption"/>
        <w:spacing w:before="0" w:line="276" w:lineRule="auto"/>
        <w:ind w:right="-153"/>
        <w:rPr>
          <w:rFonts w:cs="Times New Roman"/>
          <w:i/>
          <w:iCs/>
          <w:sz w:val="22"/>
          <w:szCs w:val="22"/>
        </w:rPr>
      </w:pPr>
    </w:p>
    <w:p w14:paraId="1C0BE635" w14:textId="0F8B3ECC" w:rsidR="00F00BE8" w:rsidRPr="00610B1B" w:rsidRDefault="00F00BE8" w:rsidP="00D32D6A">
      <w:pPr>
        <w:pStyle w:val="Caption"/>
        <w:spacing w:before="0" w:line="276" w:lineRule="auto"/>
        <w:ind w:right="-153"/>
        <w:rPr>
          <w:rFonts w:cs="Times New Roman"/>
          <w:i/>
          <w:iCs/>
          <w:sz w:val="22"/>
          <w:szCs w:val="22"/>
        </w:rPr>
      </w:pPr>
    </w:p>
    <w:p w14:paraId="6BF4CCC8" w14:textId="29610919" w:rsidR="00F00BE8" w:rsidRPr="00610B1B" w:rsidRDefault="00F00BE8" w:rsidP="00D32D6A">
      <w:pPr>
        <w:pStyle w:val="Caption"/>
        <w:spacing w:before="0" w:line="276" w:lineRule="auto"/>
        <w:ind w:right="-153"/>
        <w:rPr>
          <w:rFonts w:cs="Times New Roman"/>
          <w:i/>
          <w:iCs/>
          <w:sz w:val="22"/>
          <w:szCs w:val="22"/>
        </w:rPr>
      </w:pPr>
    </w:p>
    <w:p w14:paraId="0AA6C20D" w14:textId="3A6F2884" w:rsidR="00F00BE8" w:rsidRPr="00610B1B" w:rsidRDefault="00F00BE8" w:rsidP="00D32D6A">
      <w:pPr>
        <w:pStyle w:val="Caption"/>
        <w:spacing w:before="0" w:line="276" w:lineRule="auto"/>
        <w:ind w:right="-153"/>
        <w:rPr>
          <w:rFonts w:cs="Times New Roman"/>
          <w:i/>
          <w:iCs/>
          <w:sz w:val="22"/>
          <w:szCs w:val="22"/>
        </w:rPr>
      </w:pPr>
    </w:p>
    <w:p w14:paraId="557227D8" w14:textId="79A4148E" w:rsidR="00F00BE8" w:rsidRPr="00610B1B" w:rsidRDefault="00F00BE8" w:rsidP="00D32D6A">
      <w:pPr>
        <w:pStyle w:val="Caption"/>
        <w:spacing w:before="0" w:line="276" w:lineRule="auto"/>
        <w:ind w:right="-153"/>
        <w:rPr>
          <w:rFonts w:cs="Times New Roman"/>
          <w:i/>
          <w:iCs/>
          <w:sz w:val="22"/>
          <w:szCs w:val="22"/>
        </w:rPr>
      </w:pPr>
    </w:p>
    <w:p w14:paraId="26B58891" w14:textId="1D44FB9E" w:rsidR="00F00BE8" w:rsidRPr="00610B1B" w:rsidRDefault="00F00BE8" w:rsidP="00D32D6A">
      <w:pPr>
        <w:pStyle w:val="Caption"/>
        <w:spacing w:before="0" w:line="276" w:lineRule="auto"/>
        <w:ind w:right="-153"/>
        <w:rPr>
          <w:rFonts w:cs="Times New Roman"/>
          <w:i/>
          <w:iCs/>
          <w:sz w:val="22"/>
          <w:szCs w:val="22"/>
        </w:rPr>
      </w:pPr>
    </w:p>
    <w:p w14:paraId="7A75A72C" w14:textId="0E9B4DD4" w:rsidR="00F00BE8" w:rsidRPr="00610B1B" w:rsidRDefault="00F00BE8" w:rsidP="00D32D6A">
      <w:pPr>
        <w:pStyle w:val="Caption"/>
        <w:spacing w:before="0" w:line="276" w:lineRule="auto"/>
        <w:ind w:right="-153"/>
        <w:rPr>
          <w:rFonts w:cs="Times New Roman"/>
          <w:i/>
          <w:iCs/>
          <w:sz w:val="22"/>
          <w:szCs w:val="22"/>
        </w:rPr>
      </w:pPr>
    </w:p>
    <w:p w14:paraId="770587D1" w14:textId="2A3859E8" w:rsidR="00F00BE8" w:rsidRPr="00610B1B" w:rsidRDefault="00F00BE8" w:rsidP="00D32D6A">
      <w:pPr>
        <w:pStyle w:val="Caption"/>
        <w:spacing w:before="0" w:line="276" w:lineRule="auto"/>
        <w:ind w:right="-153"/>
        <w:rPr>
          <w:rFonts w:cs="Times New Roman"/>
          <w:i/>
          <w:iCs/>
          <w:sz w:val="22"/>
          <w:szCs w:val="22"/>
        </w:rPr>
      </w:pPr>
    </w:p>
    <w:p w14:paraId="4EDDF238" w14:textId="77777777" w:rsidR="00F00BE8" w:rsidRPr="00610B1B" w:rsidRDefault="00F00BE8" w:rsidP="00D32D6A">
      <w:pPr>
        <w:pStyle w:val="Caption"/>
        <w:spacing w:before="0" w:line="276" w:lineRule="auto"/>
        <w:ind w:right="-153"/>
        <w:rPr>
          <w:rFonts w:cs="Times New Roman"/>
          <w:i/>
          <w:iCs/>
          <w:sz w:val="22"/>
          <w:szCs w:val="22"/>
        </w:rPr>
      </w:pPr>
    </w:p>
    <w:p w14:paraId="4BE33AD6" w14:textId="726A5C86" w:rsidR="00F00BE8" w:rsidRPr="00610B1B" w:rsidRDefault="00F00BE8" w:rsidP="00D32D6A">
      <w:pPr>
        <w:pStyle w:val="Caption"/>
        <w:spacing w:before="0" w:line="276" w:lineRule="auto"/>
        <w:ind w:right="-153"/>
        <w:rPr>
          <w:rFonts w:cs="Times New Roman"/>
          <w:i/>
          <w:iCs/>
          <w:sz w:val="22"/>
          <w:szCs w:val="22"/>
        </w:rPr>
      </w:pPr>
      <w:r w:rsidRPr="00610B1B">
        <w:rPr>
          <w:rFonts w:cs="Times New Roman"/>
          <w:sz w:val="22"/>
          <w:szCs w:val="22"/>
        </w:rPr>
        <w:t>Източник: ДППИ, Информационна система за управление на трафика</w:t>
      </w:r>
    </w:p>
    <w:p w14:paraId="752C45E1" w14:textId="560A4350" w:rsidR="00D703D4" w:rsidRPr="00610B1B" w:rsidRDefault="00BB1991"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През последните години, превозът на контейнеризирани стоки в световен мащаб се предпочита. Тази тенденция ще се задълбочава</w:t>
      </w:r>
      <w:r w:rsidR="00422374" w:rsidRPr="00610B1B">
        <w:rPr>
          <w:rFonts w:ascii="Times New Roman" w:hAnsi="Times New Roman" w:cs="Times New Roman"/>
          <w:sz w:val="24"/>
          <w:szCs w:val="24"/>
          <w:lang w:val="bg-BG"/>
        </w:rPr>
        <w:t xml:space="preserve"> и ще се </w:t>
      </w:r>
      <w:r w:rsidRPr="00610B1B">
        <w:rPr>
          <w:rFonts w:ascii="Times New Roman" w:hAnsi="Times New Roman" w:cs="Times New Roman"/>
          <w:sz w:val="24"/>
          <w:szCs w:val="24"/>
          <w:lang w:val="bg-BG"/>
        </w:rPr>
        <w:t>преминава</w:t>
      </w:r>
      <w:r w:rsidR="00422374" w:rsidRPr="00610B1B">
        <w:rPr>
          <w:rFonts w:ascii="Times New Roman" w:hAnsi="Times New Roman" w:cs="Times New Roman"/>
          <w:sz w:val="24"/>
          <w:szCs w:val="24"/>
          <w:lang w:val="bg-BG"/>
        </w:rPr>
        <w:t xml:space="preserve"> от</w:t>
      </w:r>
      <w:r w:rsidRPr="00610B1B">
        <w:rPr>
          <w:rFonts w:ascii="Times New Roman" w:hAnsi="Times New Roman" w:cs="Times New Roman"/>
          <w:sz w:val="24"/>
          <w:szCs w:val="24"/>
          <w:lang w:val="bg-BG"/>
        </w:rPr>
        <w:t xml:space="preserve"> традиционно масови товари към превоз с контейнери. България търгува със значителен брой страни за внос и износ на контейнеризирани стоки, преминаващи през морските пристанища.</w:t>
      </w:r>
    </w:p>
    <w:p w14:paraId="7C8C9B49" w14:textId="7C3C6ADF" w:rsidR="0053073F" w:rsidRPr="00610B1B" w:rsidRDefault="00B62269" w:rsidP="00D32D6A">
      <w:pPr>
        <w:spacing w:after="120"/>
        <w:ind w:right="-153"/>
        <w:rPr>
          <w:rFonts w:ascii="Times New Roman" w:hAnsi="Times New Roman" w:cs="Times New Roman"/>
          <w:sz w:val="24"/>
          <w:szCs w:val="24"/>
          <w:lang w:val="bg-BG"/>
        </w:rPr>
      </w:pPr>
      <w:bookmarkStart w:id="329" w:name="_Toc83391472"/>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9</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53073F" w:rsidRPr="00610B1B">
        <w:rPr>
          <w:rFonts w:ascii="Times New Roman" w:hAnsi="Times New Roman" w:cs="Times New Roman"/>
          <w:sz w:val="24"/>
          <w:szCs w:val="24"/>
          <w:lang w:val="bg-BG"/>
        </w:rPr>
        <w:t>Общо контейнери внос/износ по региони (TEUs)</w:t>
      </w:r>
      <w:bookmarkEnd w:id="329"/>
    </w:p>
    <w:p w14:paraId="29773F48" w14:textId="668EF6AC" w:rsidR="00796C2C" w:rsidRPr="00610B1B" w:rsidRDefault="00595F51" w:rsidP="00D32D6A">
      <w:pPr>
        <w:pStyle w:val="Caption"/>
        <w:spacing w:before="0" w:line="276" w:lineRule="auto"/>
        <w:ind w:right="-153"/>
        <w:rPr>
          <w:rFonts w:cs="Times New Roman"/>
        </w:rPr>
      </w:pPr>
      <w:r w:rsidRPr="00610B1B">
        <w:rPr>
          <w:rFonts w:cs="Times New Roman"/>
          <w:noProof/>
          <w:lang w:eastAsia="bg-BG" w:bidi="ar-SA"/>
        </w:rPr>
        <w:drawing>
          <wp:inline distT="0" distB="0" distL="0" distR="0" wp14:anchorId="159A17E0" wp14:editId="25612865">
            <wp:extent cx="4572359" cy="2364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6322" b="7471"/>
                    <a:stretch/>
                  </pic:blipFill>
                  <pic:spPr bwMode="auto">
                    <a:xfrm>
                      <a:off x="0" y="0"/>
                      <a:ext cx="4572635" cy="2364818"/>
                    </a:xfrm>
                    <a:prstGeom prst="rect">
                      <a:avLst/>
                    </a:prstGeom>
                    <a:noFill/>
                    <a:ln>
                      <a:noFill/>
                    </a:ln>
                    <a:extLst>
                      <a:ext uri="{53640926-AAD7-44D8-BBD7-CCE9431645EC}">
                        <a14:shadowObscured xmlns:a14="http://schemas.microsoft.com/office/drawing/2010/main"/>
                      </a:ext>
                    </a:extLst>
                  </pic:spPr>
                </pic:pic>
              </a:graphicData>
            </a:graphic>
          </wp:inline>
        </w:drawing>
      </w:r>
    </w:p>
    <w:p w14:paraId="5EC37383" w14:textId="74F227B1" w:rsidR="00796C2C" w:rsidRPr="00610B1B" w:rsidRDefault="00796C2C" w:rsidP="00D32D6A">
      <w:pPr>
        <w:pStyle w:val="Caption"/>
        <w:spacing w:before="0" w:line="276" w:lineRule="auto"/>
        <w:ind w:right="-153"/>
        <w:rPr>
          <w:rFonts w:cs="Times New Roman"/>
          <w:sz w:val="22"/>
          <w:szCs w:val="22"/>
        </w:rPr>
      </w:pPr>
      <w:r w:rsidRPr="00610B1B">
        <w:rPr>
          <w:rFonts w:cs="Times New Roman"/>
          <w:sz w:val="22"/>
          <w:szCs w:val="22"/>
        </w:rPr>
        <w:t>Източни</w:t>
      </w:r>
      <w:r w:rsidR="0053073F" w:rsidRPr="00610B1B">
        <w:rPr>
          <w:rFonts w:cs="Times New Roman"/>
          <w:sz w:val="22"/>
          <w:szCs w:val="22"/>
        </w:rPr>
        <w:t>к:</w:t>
      </w:r>
      <w:r w:rsidR="00C375D2" w:rsidRPr="00610B1B">
        <w:rPr>
          <w:rFonts w:cs="Times New Roman"/>
          <w:sz w:val="22"/>
          <w:szCs w:val="22"/>
        </w:rPr>
        <w:t xml:space="preserve"> </w:t>
      </w:r>
      <w:r w:rsidRPr="00610B1B">
        <w:rPr>
          <w:rFonts w:cs="Times New Roman"/>
          <w:sz w:val="22"/>
          <w:szCs w:val="22"/>
        </w:rPr>
        <w:t>БАКБА</w:t>
      </w:r>
    </w:p>
    <w:p w14:paraId="0B3357F0" w14:textId="0BAC6E6D" w:rsidR="00796C2C" w:rsidRPr="00610B1B" w:rsidRDefault="00796C2C"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За 2018 г., по данни от Българската асоциация на корабните брокери и агенти (БАКБА), основните търговски партньори на България </w:t>
      </w:r>
      <w:r w:rsidR="0053073F" w:rsidRPr="00610B1B">
        <w:rPr>
          <w:rFonts w:ascii="Times New Roman" w:hAnsi="Times New Roman" w:cs="Times New Roman"/>
          <w:sz w:val="24"/>
          <w:szCs w:val="24"/>
          <w:lang w:val="bg-BG"/>
        </w:rPr>
        <w:t>за</w:t>
      </w:r>
      <w:r w:rsidRPr="00610B1B">
        <w:rPr>
          <w:rFonts w:ascii="Times New Roman" w:hAnsi="Times New Roman" w:cs="Times New Roman"/>
          <w:sz w:val="24"/>
          <w:szCs w:val="24"/>
          <w:lang w:val="bg-BG"/>
        </w:rPr>
        <w:t xml:space="preserve"> </w:t>
      </w:r>
      <w:r w:rsidRPr="00610B1B">
        <w:rPr>
          <w:rFonts w:ascii="Times New Roman" w:hAnsi="Times New Roman" w:cs="Times New Roman"/>
          <w:bCs/>
          <w:sz w:val="24"/>
          <w:szCs w:val="24"/>
          <w:lang w:val="bg-BG"/>
        </w:rPr>
        <w:t>внос</w:t>
      </w:r>
      <w:r w:rsidRPr="00610B1B">
        <w:rPr>
          <w:rFonts w:ascii="Times New Roman" w:hAnsi="Times New Roman" w:cs="Times New Roman"/>
          <w:sz w:val="24"/>
          <w:szCs w:val="24"/>
          <w:lang w:val="bg-BG"/>
        </w:rPr>
        <w:t xml:space="preserve"> на стоки с контейнери (в TEU) са </w:t>
      </w:r>
      <w:r w:rsidRPr="00610B1B">
        <w:rPr>
          <w:rFonts w:ascii="Times New Roman" w:hAnsi="Times New Roman" w:cs="Times New Roman"/>
          <w:sz w:val="24"/>
          <w:szCs w:val="24"/>
          <w:lang w:val="bg-BG"/>
        </w:rPr>
        <w:lastRenderedPageBreak/>
        <w:t>страните от Далечния изток,</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Средиземноморието, Северна Европа и Скандинавските страни.</w:t>
      </w:r>
    </w:p>
    <w:p w14:paraId="5021A1DC" w14:textId="41C9C161" w:rsidR="00796C2C" w:rsidRPr="00610B1B" w:rsidRDefault="00B62269" w:rsidP="00D32D6A">
      <w:pPr>
        <w:pStyle w:val="Caption"/>
        <w:spacing w:before="0" w:line="276" w:lineRule="auto"/>
        <w:ind w:right="-153"/>
        <w:jc w:val="both"/>
        <w:rPr>
          <w:rFonts w:eastAsiaTheme="minorHAnsi" w:cs="Times New Roman"/>
          <w:color w:val="auto"/>
          <w:lang w:eastAsia="en-US" w:bidi="ar-SA"/>
        </w:rPr>
      </w:pPr>
      <w:bookmarkStart w:id="330" w:name="_Toc83391473"/>
      <w:r w:rsidRPr="00610B1B">
        <w:rPr>
          <w:rFonts w:cs="Times New Roman"/>
        </w:rPr>
        <w:t xml:space="preserve">Фигура </w:t>
      </w:r>
      <w:r w:rsidRPr="00610B1B">
        <w:rPr>
          <w:rFonts w:cs="Times New Roman"/>
        </w:rPr>
        <w:fldChar w:fldCharType="begin"/>
      </w:r>
      <w:r w:rsidRPr="00610B1B">
        <w:rPr>
          <w:rFonts w:cs="Times New Roman"/>
        </w:rPr>
        <w:instrText xml:space="preserve"> SEQ Фигура \* ARABIC </w:instrText>
      </w:r>
      <w:r w:rsidRPr="00610B1B">
        <w:rPr>
          <w:rFonts w:cs="Times New Roman"/>
        </w:rPr>
        <w:fldChar w:fldCharType="separate"/>
      </w:r>
      <w:r w:rsidR="00260629" w:rsidRPr="00610B1B">
        <w:rPr>
          <w:rFonts w:cs="Times New Roman"/>
          <w:noProof/>
        </w:rPr>
        <w:t>10</w:t>
      </w:r>
      <w:r w:rsidRPr="00610B1B">
        <w:rPr>
          <w:rFonts w:cs="Times New Roman"/>
        </w:rPr>
        <w:fldChar w:fldCharType="end"/>
      </w:r>
      <w:r w:rsidRPr="00610B1B">
        <w:rPr>
          <w:rFonts w:cs="Times New Roman"/>
        </w:rPr>
        <w:t xml:space="preserve">: </w:t>
      </w:r>
      <w:r w:rsidR="0053073F" w:rsidRPr="00610B1B">
        <w:rPr>
          <w:rFonts w:eastAsiaTheme="minorHAnsi" w:cs="Times New Roman"/>
          <w:color w:val="auto"/>
          <w:lang w:eastAsia="en-US" w:bidi="ar-SA"/>
        </w:rPr>
        <w:t>Внос на контейнери (TEUs) по региони</w:t>
      </w:r>
      <w:bookmarkEnd w:id="330"/>
    </w:p>
    <w:p w14:paraId="354B61F2" w14:textId="7B6D9DD0" w:rsidR="00796C2C" w:rsidRPr="00610B1B" w:rsidRDefault="00595F51" w:rsidP="00D32D6A">
      <w:pPr>
        <w:spacing w:after="120"/>
        <w:ind w:left="284" w:right="-153"/>
        <w:jc w:val="both"/>
        <w:rPr>
          <w:rFonts w:ascii="Times New Roman" w:hAnsi="Times New Roman" w:cs="Times New Roman"/>
          <w:sz w:val="24"/>
          <w:szCs w:val="24"/>
          <w:lang w:val="bg-BG"/>
        </w:rPr>
      </w:pPr>
      <w:r w:rsidRPr="00610B1B">
        <w:rPr>
          <w:rFonts w:ascii="Times New Roman" w:hAnsi="Times New Roman" w:cs="Times New Roman"/>
          <w:noProof/>
          <w:szCs w:val="24"/>
          <w:lang w:val="bg-BG" w:eastAsia="bg-BG"/>
        </w:rPr>
        <w:drawing>
          <wp:inline distT="0" distB="0" distL="0" distR="0" wp14:anchorId="374C3E22" wp14:editId="11AC6738">
            <wp:extent cx="4553945" cy="23332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7471" b="7466"/>
                    <a:stretch/>
                  </pic:blipFill>
                  <pic:spPr bwMode="auto">
                    <a:xfrm>
                      <a:off x="0" y="0"/>
                      <a:ext cx="4554220" cy="2333438"/>
                    </a:xfrm>
                    <a:prstGeom prst="rect">
                      <a:avLst/>
                    </a:prstGeom>
                    <a:noFill/>
                    <a:ln>
                      <a:noFill/>
                    </a:ln>
                    <a:extLst>
                      <a:ext uri="{53640926-AAD7-44D8-BBD7-CCE9431645EC}">
                        <a14:shadowObscured xmlns:a14="http://schemas.microsoft.com/office/drawing/2010/main"/>
                      </a:ext>
                    </a:extLst>
                  </pic:spPr>
                </pic:pic>
              </a:graphicData>
            </a:graphic>
          </wp:inline>
        </w:drawing>
      </w:r>
    </w:p>
    <w:p w14:paraId="27F93F68" w14:textId="2FAEE69E" w:rsidR="00796C2C" w:rsidRPr="00610B1B" w:rsidRDefault="00796C2C" w:rsidP="00D32D6A">
      <w:pPr>
        <w:pStyle w:val="Caption"/>
        <w:spacing w:before="0" w:line="276" w:lineRule="auto"/>
        <w:ind w:right="-153"/>
        <w:jc w:val="both"/>
        <w:rPr>
          <w:rFonts w:cs="Times New Roman"/>
          <w:sz w:val="22"/>
          <w:szCs w:val="22"/>
        </w:rPr>
      </w:pPr>
      <w:r w:rsidRPr="00610B1B">
        <w:rPr>
          <w:rFonts w:cs="Times New Roman"/>
          <w:sz w:val="22"/>
          <w:szCs w:val="22"/>
        </w:rPr>
        <w:t>Източник</w:t>
      </w:r>
      <w:r w:rsidR="00046646" w:rsidRPr="00610B1B">
        <w:rPr>
          <w:rFonts w:cs="Times New Roman"/>
          <w:sz w:val="22"/>
          <w:szCs w:val="22"/>
        </w:rPr>
        <w:t xml:space="preserve">: </w:t>
      </w:r>
      <w:r w:rsidRPr="00610B1B">
        <w:rPr>
          <w:rFonts w:cs="Times New Roman"/>
          <w:sz w:val="22"/>
          <w:szCs w:val="22"/>
        </w:rPr>
        <w:t>БАКБА</w:t>
      </w:r>
    </w:p>
    <w:p w14:paraId="11375152" w14:textId="1E00940C" w:rsidR="00796C2C" w:rsidRPr="00610B1B" w:rsidRDefault="00C375D2"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При</w:t>
      </w:r>
      <w:r w:rsidR="00796C2C" w:rsidRPr="00610B1B">
        <w:rPr>
          <w:rFonts w:ascii="Times New Roman" w:hAnsi="Times New Roman" w:cs="Times New Roman"/>
          <w:sz w:val="24"/>
          <w:szCs w:val="24"/>
          <w:lang w:val="bg-BG"/>
        </w:rPr>
        <w:t xml:space="preserve"> износа на България на стоки в контейнери (TEU) за 2018 г,, на първо място са страните от Средиземноморието, на второ, страните от Далечния изток, а на трето Северна Америка. </w:t>
      </w:r>
    </w:p>
    <w:p w14:paraId="73B7FB94" w14:textId="4BD0928D" w:rsidR="00796C2C" w:rsidRPr="00610B1B" w:rsidRDefault="00B62269" w:rsidP="00D32D6A">
      <w:pPr>
        <w:pStyle w:val="Caption"/>
        <w:spacing w:before="0" w:line="276" w:lineRule="auto"/>
        <w:ind w:right="-153"/>
        <w:rPr>
          <w:rFonts w:cs="Times New Roman"/>
          <w:lang w:eastAsia="en-US" w:bidi="ar-SA"/>
        </w:rPr>
      </w:pPr>
      <w:bookmarkStart w:id="331" w:name="_Toc83391474"/>
      <w:r w:rsidRPr="00610B1B">
        <w:rPr>
          <w:rFonts w:cs="Times New Roman"/>
        </w:rPr>
        <w:t xml:space="preserve">Фигура </w:t>
      </w:r>
      <w:r w:rsidRPr="00610B1B">
        <w:rPr>
          <w:rFonts w:cs="Times New Roman"/>
        </w:rPr>
        <w:fldChar w:fldCharType="begin"/>
      </w:r>
      <w:r w:rsidRPr="00610B1B">
        <w:rPr>
          <w:rFonts w:cs="Times New Roman"/>
        </w:rPr>
        <w:instrText xml:space="preserve"> SEQ Фигура \* ARABIC </w:instrText>
      </w:r>
      <w:r w:rsidRPr="00610B1B">
        <w:rPr>
          <w:rFonts w:cs="Times New Roman"/>
        </w:rPr>
        <w:fldChar w:fldCharType="separate"/>
      </w:r>
      <w:r w:rsidR="00260629" w:rsidRPr="00610B1B">
        <w:rPr>
          <w:rFonts w:cs="Times New Roman"/>
          <w:noProof/>
        </w:rPr>
        <w:t>11</w:t>
      </w:r>
      <w:r w:rsidRPr="00610B1B">
        <w:rPr>
          <w:rFonts w:cs="Times New Roman"/>
        </w:rPr>
        <w:fldChar w:fldCharType="end"/>
      </w:r>
      <w:r w:rsidRPr="00610B1B">
        <w:rPr>
          <w:rFonts w:cs="Times New Roman"/>
        </w:rPr>
        <w:t xml:space="preserve">: </w:t>
      </w:r>
      <w:r w:rsidR="00C375D2" w:rsidRPr="00610B1B">
        <w:rPr>
          <w:rFonts w:cs="Times New Roman"/>
          <w:lang w:eastAsia="en-US" w:bidi="ar-SA"/>
        </w:rPr>
        <w:t>Износ на контейнери (TEUs)</w:t>
      </w:r>
      <w:r w:rsidR="00046646" w:rsidRPr="00610B1B">
        <w:rPr>
          <w:rFonts w:cs="Times New Roman"/>
          <w:lang w:eastAsia="en-US" w:bidi="ar-SA"/>
        </w:rPr>
        <w:t xml:space="preserve"> </w:t>
      </w:r>
      <w:r w:rsidR="00C375D2" w:rsidRPr="00610B1B">
        <w:rPr>
          <w:rFonts w:cs="Times New Roman"/>
          <w:lang w:eastAsia="en-US" w:bidi="ar-SA"/>
        </w:rPr>
        <w:t>по региони</w:t>
      </w:r>
      <w:bookmarkEnd w:id="331"/>
    </w:p>
    <w:p w14:paraId="743B50D4" w14:textId="2466E4C4" w:rsidR="00796C2C" w:rsidRPr="00610B1B" w:rsidRDefault="00595F51" w:rsidP="00F00BE8">
      <w:pPr>
        <w:spacing w:after="0"/>
        <w:ind w:left="284" w:right="-153"/>
        <w:jc w:val="both"/>
        <w:rPr>
          <w:rFonts w:ascii="Times New Roman" w:hAnsi="Times New Roman" w:cs="Times New Roman"/>
          <w:sz w:val="20"/>
          <w:szCs w:val="20"/>
          <w:lang w:val="bg-BG"/>
        </w:rPr>
      </w:pPr>
      <w:r w:rsidRPr="00610B1B">
        <w:rPr>
          <w:rFonts w:ascii="Times New Roman" w:hAnsi="Times New Roman" w:cs="Times New Roman"/>
          <w:noProof/>
          <w:sz w:val="20"/>
          <w:szCs w:val="20"/>
          <w:lang w:val="bg-BG" w:eastAsia="bg-BG"/>
        </w:rPr>
        <w:drawing>
          <wp:inline distT="0" distB="0" distL="0" distR="0" wp14:anchorId="1A62E8EE" wp14:editId="5F8EAF00">
            <wp:extent cx="4578350" cy="2362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6944" b="6944"/>
                    <a:stretch/>
                  </pic:blipFill>
                  <pic:spPr bwMode="auto">
                    <a:xfrm>
                      <a:off x="0" y="0"/>
                      <a:ext cx="4578350"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228DCCC6" w14:textId="2A3ACF66" w:rsidR="00C375D2" w:rsidRPr="00610B1B" w:rsidRDefault="00796C2C" w:rsidP="00D32D6A">
      <w:pPr>
        <w:pStyle w:val="Caption"/>
        <w:spacing w:before="0" w:line="276" w:lineRule="auto"/>
        <w:ind w:right="-153"/>
        <w:rPr>
          <w:rFonts w:cs="Times New Roman"/>
          <w:sz w:val="22"/>
          <w:szCs w:val="22"/>
        </w:rPr>
      </w:pPr>
      <w:r w:rsidRPr="00610B1B">
        <w:rPr>
          <w:rFonts w:cs="Times New Roman"/>
          <w:sz w:val="22"/>
          <w:szCs w:val="22"/>
        </w:rPr>
        <w:t>Източник</w:t>
      </w:r>
      <w:r w:rsidR="00C375D2" w:rsidRPr="00610B1B">
        <w:rPr>
          <w:rFonts w:cs="Times New Roman"/>
          <w:sz w:val="22"/>
          <w:szCs w:val="22"/>
        </w:rPr>
        <w:t xml:space="preserve">: </w:t>
      </w:r>
      <w:r w:rsidRPr="00610B1B">
        <w:rPr>
          <w:rFonts w:cs="Times New Roman"/>
          <w:sz w:val="22"/>
          <w:szCs w:val="22"/>
        </w:rPr>
        <w:t>БАКБА</w:t>
      </w:r>
      <w:bookmarkStart w:id="332" w:name="_Toc28012953"/>
    </w:p>
    <w:bookmarkEnd w:id="332"/>
    <w:p w14:paraId="63A6224F" w14:textId="4D7ECE17" w:rsidR="00F92CF8" w:rsidRPr="00610B1B" w:rsidRDefault="00F92CF8" w:rsidP="00D32D6A">
      <w:pPr>
        <w:spacing w:after="120"/>
        <w:ind w:right="-153"/>
        <w:jc w:val="both"/>
        <w:rPr>
          <w:rFonts w:ascii="Times New Roman" w:hAnsi="Times New Roman" w:cs="Times New Roman"/>
          <w:sz w:val="24"/>
          <w:szCs w:val="20"/>
          <w:lang w:val="bg-BG"/>
        </w:rPr>
      </w:pPr>
      <w:r w:rsidRPr="00610B1B">
        <w:rPr>
          <w:rFonts w:ascii="Times New Roman" w:hAnsi="Times New Roman" w:cs="Times New Roman"/>
          <w:sz w:val="24"/>
          <w:szCs w:val="20"/>
          <w:lang w:val="bg-BG"/>
        </w:rPr>
        <w:t>Изводът, който може да се направи при сравняване на данните е, че не може да се очаква значително увеличение на товаропотоците в района на Черноморския басейн.</w:t>
      </w:r>
      <w:r w:rsidR="00D66FE0" w:rsidRPr="00610B1B">
        <w:rPr>
          <w:rFonts w:ascii="Times New Roman" w:hAnsi="Times New Roman" w:cs="Times New Roman"/>
          <w:sz w:val="24"/>
          <w:szCs w:val="20"/>
          <w:lang w:val="bg-BG"/>
        </w:rPr>
        <w:t xml:space="preserve"> </w:t>
      </w:r>
      <w:r w:rsidRPr="00610B1B">
        <w:rPr>
          <w:rFonts w:ascii="Times New Roman" w:hAnsi="Times New Roman" w:cs="Times New Roman"/>
          <w:sz w:val="24"/>
          <w:szCs w:val="20"/>
          <w:lang w:val="bg-BG"/>
        </w:rPr>
        <w:t>По данните на ИАМА, товарооборотите на двете български морски пристанища за последните 5 години е сравнително постоянна величина, което означава, че българските морски пристанища следват тенденцията на останалите черноморски пристанища.</w:t>
      </w:r>
    </w:p>
    <w:p w14:paraId="61660A37" w14:textId="3801D7DF" w:rsidR="00BB1991" w:rsidRPr="00610B1B" w:rsidRDefault="00BB1991" w:rsidP="00D32D6A">
      <w:pPr>
        <w:pStyle w:val="Caption"/>
        <w:spacing w:before="0" w:line="276" w:lineRule="auto"/>
        <w:ind w:right="-153"/>
        <w:jc w:val="both"/>
        <w:rPr>
          <w:rFonts w:cs="Times New Roman"/>
        </w:rPr>
      </w:pPr>
      <w:r w:rsidRPr="00610B1B">
        <w:rPr>
          <w:rFonts w:cs="Times New Roman"/>
        </w:rPr>
        <w:t>Общият годишен товарооборот на българските морски пристанища за обществен транспорт е бил най-голям през 2017 г. достигайки почти 32 млн</w:t>
      </w:r>
      <w:r w:rsidR="00E04172" w:rsidRPr="00D72982">
        <w:rPr>
          <w:rFonts w:cs="Times New Roman"/>
        </w:rPr>
        <w:t>.</w:t>
      </w:r>
      <w:r w:rsidRPr="00610B1B">
        <w:rPr>
          <w:rFonts w:cs="Times New Roman"/>
        </w:rPr>
        <w:t xml:space="preserve"> тона. През Варна за последните 5 години са преминали около 60 млн</w:t>
      </w:r>
      <w:r w:rsidR="00E04172" w:rsidRPr="00D72982">
        <w:rPr>
          <w:rFonts w:cs="Times New Roman"/>
        </w:rPr>
        <w:t>.</w:t>
      </w:r>
      <w:r w:rsidRPr="00610B1B">
        <w:rPr>
          <w:rFonts w:cs="Times New Roman"/>
        </w:rPr>
        <w:t xml:space="preserve"> тона, т.е. средно около 12 млн</w:t>
      </w:r>
      <w:r w:rsidR="00E04172" w:rsidRPr="00D72982">
        <w:rPr>
          <w:rFonts w:cs="Times New Roman"/>
        </w:rPr>
        <w:t>.</w:t>
      </w:r>
      <w:r w:rsidRPr="00610B1B">
        <w:rPr>
          <w:rFonts w:cs="Times New Roman"/>
        </w:rPr>
        <w:t xml:space="preserve"> тона на </w:t>
      </w:r>
      <w:r w:rsidRPr="00610B1B">
        <w:rPr>
          <w:rFonts w:cs="Times New Roman"/>
        </w:rPr>
        <w:lastRenderedPageBreak/>
        <w:t>година, а през Бургас около 84 млн. тона, т.е. средно около 17 млн. тона на година. Средният общ обем е около 29 млн</w:t>
      </w:r>
      <w:r w:rsidR="00E04172" w:rsidRPr="00D72982">
        <w:rPr>
          <w:rFonts w:cs="Times New Roman"/>
        </w:rPr>
        <w:t>.</w:t>
      </w:r>
      <w:r w:rsidRPr="00610B1B">
        <w:rPr>
          <w:rFonts w:cs="Times New Roman"/>
        </w:rPr>
        <w:t xml:space="preserve"> тона на година.</w:t>
      </w:r>
    </w:p>
    <w:p w14:paraId="51C43BF7" w14:textId="6DE8687D" w:rsidR="00796C2C" w:rsidRPr="00610B1B" w:rsidRDefault="00B62269" w:rsidP="00D32D6A">
      <w:pPr>
        <w:pStyle w:val="Caption"/>
        <w:spacing w:before="0" w:line="276" w:lineRule="auto"/>
        <w:ind w:right="-153"/>
        <w:rPr>
          <w:rFonts w:eastAsiaTheme="minorHAnsi" w:cs="Times New Roman"/>
          <w:color w:val="auto"/>
          <w:lang w:eastAsia="en-US" w:bidi="ar-SA"/>
        </w:rPr>
      </w:pPr>
      <w:bookmarkStart w:id="333" w:name="_Toc83391475"/>
      <w:r w:rsidRPr="00610B1B">
        <w:rPr>
          <w:rFonts w:cs="Times New Roman"/>
        </w:rPr>
        <w:t xml:space="preserve">Фигура </w:t>
      </w:r>
      <w:r w:rsidRPr="00610B1B">
        <w:rPr>
          <w:rFonts w:cs="Times New Roman"/>
        </w:rPr>
        <w:fldChar w:fldCharType="begin"/>
      </w:r>
      <w:r w:rsidRPr="00610B1B">
        <w:rPr>
          <w:rFonts w:cs="Times New Roman"/>
        </w:rPr>
        <w:instrText xml:space="preserve"> SEQ Фигура \* ARABIC </w:instrText>
      </w:r>
      <w:r w:rsidRPr="00610B1B">
        <w:rPr>
          <w:rFonts w:cs="Times New Roman"/>
        </w:rPr>
        <w:fldChar w:fldCharType="separate"/>
      </w:r>
      <w:r w:rsidR="00260629" w:rsidRPr="00610B1B">
        <w:rPr>
          <w:rFonts w:cs="Times New Roman"/>
          <w:noProof/>
        </w:rPr>
        <w:t>12</w:t>
      </w:r>
      <w:r w:rsidRPr="00610B1B">
        <w:rPr>
          <w:rFonts w:cs="Times New Roman"/>
        </w:rPr>
        <w:fldChar w:fldCharType="end"/>
      </w:r>
      <w:r w:rsidRPr="00610B1B">
        <w:rPr>
          <w:rFonts w:cs="Times New Roman"/>
        </w:rPr>
        <w:t>:</w:t>
      </w:r>
      <w:r w:rsidR="00D66FE0" w:rsidRPr="00610B1B">
        <w:rPr>
          <w:rFonts w:cs="Times New Roman"/>
        </w:rPr>
        <w:t xml:space="preserve"> </w:t>
      </w:r>
      <w:r w:rsidR="00796C2C" w:rsidRPr="00610B1B">
        <w:rPr>
          <w:rFonts w:eastAsiaTheme="minorHAnsi" w:cs="Times New Roman"/>
          <w:color w:val="auto"/>
          <w:lang w:eastAsia="en-US" w:bidi="ar-SA"/>
        </w:rPr>
        <w:t>Товарооборот на пристанищата Варна и Бургас</w:t>
      </w:r>
      <w:bookmarkEnd w:id="333"/>
    </w:p>
    <w:p w14:paraId="703D466D" w14:textId="2477DA82" w:rsidR="00796C2C" w:rsidRPr="00610B1B" w:rsidRDefault="00595F51" w:rsidP="00F00BE8">
      <w:pPr>
        <w:spacing w:after="0"/>
        <w:ind w:left="284" w:right="-153"/>
        <w:jc w:val="both"/>
        <w:rPr>
          <w:rFonts w:ascii="Times New Roman" w:hAnsi="Times New Roman" w:cs="Times New Roman"/>
          <w:lang w:val="bg-BG"/>
        </w:rPr>
      </w:pPr>
      <w:r w:rsidRPr="00610B1B">
        <w:rPr>
          <w:rFonts w:ascii="Times New Roman" w:hAnsi="Times New Roman" w:cs="Times New Roman"/>
          <w:noProof/>
          <w:lang w:val="bg-BG" w:eastAsia="bg-BG"/>
        </w:rPr>
        <w:drawing>
          <wp:inline distT="0" distB="0" distL="0" distR="0" wp14:anchorId="25067E3A" wp14:editId="0525381D">
            <wp:extent cx="4305300" cy="2582821"/>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5300" cy="2582821"/>
                    </a:xfrm>
                    <a:prstGeom prst="rect">
                      <a:avLst/>
                    </a:prstGeom>
                    <a:noFill/>
                  </pic:spPr>
                </pic:pic>
              </a:graphicData>
            </a:graphic>
          </wp:inline>
        </w:drawing>
      </w:r>
    </w:p>
    <w:p w14:paraId="79C3A4C7" w14:textId="66C69F05" w:rsidR="00796C2C" w:rsidRPr="00610B1B" w:rsidRDefault="00796C2C" w:rsidP="00D32D6A">
      <w:pPr>
        <w:pStyle w:val="Caption"/>
        <w:spacing w:before="0" w:line="276" w:lineRule="auto"/>
        <w:ind w:right="-153"/>
        <w:rPr>
          <w:rFonts w:cs="Times New Roman"/>
          <w:color w:val="FF0000"/>
          <w:sz w:val="22"/>
          <w:szCs w:val="22"/>
        </w:rPr>
      </w:pPr>
      <w:r w:rsidRPr="00610B1B">
        <w:rPr>
          <w:rFonts w:cs="Times New Roman"/>
          <w:sz w:val="22"/>
          <w:szCs w:val="22"/>
        </w:rPr>
        <w:t>Източник</w:t>
      </w:r>
      <w:r w:rsidR="00513974" w:rsidRPr="00610B1B">
        <w:rPr>
          <w:rFonts w:cs="Times New Roman"/>
          <w:sz w:val="22"/>
          <w:szCs w:val="22"/>
        </w:rPr>
        <w:t>:</w:t>
      </w:r>
      <w:r w:rsidRPr="00610B1B">
        <w:rPr>
          <w:rFonts w:cs="Times New Roman"/>
          <w:sz w:val="22"/>
          <w:szCs w:val="22"/>
        </w:rPr>
        <w:t xml:space="preserve"> ИАМА</w:t>
      </w:r>
    </w:p>
    <w:p w14:paraId="2C7B53CC" w14:textId="5CB4AF43" w:rsidR="00971BB5" w:rsidRPr="00610B1B" w:rsidRDefault="00796C2C" w:rsidP="00971BB5">
      <w:pPr>
        <w:spacing w:after="120"/>
        <w:ind w:right="-153"/>
        <w:jc w:val="both"/>
        <w:rPr>
          <w:rFonts w:ascii="Times New Roman" w:hAnsi="Times New Roman" w:cs="Times New Roman"/>
          <w:sz w:val="24"/>
          <w:szCs w:val="20"/>
          <w:lang w:val="bg-BG"/>
        </w:rPr>
      </w:pPr>
      <w:r w:rsidRPr="00610B1B">
        <w:rPr>
          <w:rFonts w:ascii="Times New Roman" w:hAnsi="Times New Roman" w:cs="Times New Roman"/>
          <w:sz w:val="24"/>
          <w:szCs w:val="20"/>
          <w:lang w:val="bg-BG"/>
        </w:rPr>
        <w:t xml:space="preserve">От </w:t>
      </w:r>
      <w:r w:rsidR="000D5BF5" w:rsidRPr="00610B1B">
        <w:rPr>
          <w:rFonts w:ascii="Times New Roman" w:hAnsi="Times New Roman" w:cs="Times New Roman"/>
          <w:sz w:val="24"/>
          <w:szCs w:val="20"/>
          <w:lang w:val="bg-BG"/>
        </w:rPr>
        <w:t xml:space="preserve">анализа на </w:t>
      </w:r>
      <w:r w:rsidRPr="00610B1B">
        <w:rPr>
          <w:rFonts w:ascii="Times New Roman" w:hAnsi="Times New Roman" w:cs="Times New Roman"/>
          <w:sz w:val="24"/>
          <w:szCs w:val="20"/>
          <w:lang w:val="bg-BG"/>
        </w:rPr>
        <w:t>предоставен</w:t>
      </w:r>
      <w:r w:rsidR="000D5BF5" w:rsidRPr="00610B1B">
        <w:rPr>
          <w:rFonts w:ascii="Times New Roman" w:hAnsi="Times New Roman" w:cs="Times New Roman"/>
          <w:sz w:val="24"/>
          <w:szCs w:val="20"/>
          <w:lang w:val="bg-BG"/>
        </w:rPr>
        <w:t xml:space="preserve">ите </w:t>
      </w:r>
      <w:r w:rsidRPr="00610B1B">
        <w:rPr>
          <w:rFonts w:ascii="Times New Roman" w:hAnsi="Times New Roman" w:cs="Times New Roman"/>
          <w:sz w:val="24"/>
          <w:szCs w:val="20"/>
          <w:lang w:val="bg-BG"/>
        </w:rPr>
        <w:t xml:space="preserve">от ДППИ </w:t>
      </w:r>
      <w:r w:rsidR="000D5BF5" w:rsidRPr="00610B1B">
        <w:rPr>
          <w:rFonts w:ascii="Times New Roman" w:hAnsi="Times New Roman" w:cs="Times New Roman"/>
          <w:sz w:val="24"/>
          <w:szCs w:val="20"/>
          <w:lang w:val="bg-BG"/>
        </w:rPr>
        <w:t>данни</w:t>
      </w:r>
      <w:r w:rsidRPr="00610B1B">
        <w:rPr>
          <w:rFonts w:ascii="Times New Roman" w:hAnsi="Times New Roman" w:cs="Times New Roman"/>
          <w:sz w:val="24"/>
          <w:szCs w:val="20"/>
          <w:lang w:val="bg-BG"/>
        </w:rPr>
        <w:t xml:space="preserve"> за п</w:t>
      </w:r>
      <w:r w:rsidR="000D5BF5" w:rsidRPr="00610B1B">
        <w:rPr>
          <w:rFonts w:ascii="Times New Roman" w:hAnsi="Times New Roman" w:cs="Times New Roman"/>
          <w:sz w:val="24"/>
          <w:szCs w:val="20"/>
          <w:lang w:val="bg-BG"/>
        </w:rPr>
        <w:t>ристани</w:t>
      </w:r>
      <w:r w:rsidRPr="00610B1B">
        <w:rPr>
          <w:rFonts w:ascii="Times New Roman" w:hAnsi="Times New Roman" w:cs="Times New Roman"/>
          <w:sz w:val="24"/>
          <w:szCs w:val="20"/>
          <w:lang w:val="bg-BG"/>
        </w:rPr>
        <w:t xml:space="preserve">ще Варна могат да се направят </w:t>
      </w:r>
      <w:r w:rsidRPr="00610B1B">
        <w:rPr>
          <w:rFonts w:ascii="Times New Roman" w:hAnsi="Times New Roman" w:cs="Times New Roman"/>
          <w:b/>
          <w:bCs/>
          <w:sz w:val="24"/>
          <w:szCs w:val="20"/>
          <w:lang w:val="bg-BG"/>
        </w:rPr>
        <w:t>изводи</w:t>
      </w:r>
      <w:r w:rsidR="000D5BF5" w:rsidRPr="00610B1B">
        <w:rPr>
          <w:rFonts w:ascii="Times New Roman" w:hAnsi="Times New Roman" w:cs="Times New Roman"/>
          <w:b/>
          <w:bCs/>
          <w:sz w:val="24"/>
          <w:szCs w:val="20"/>
          <w:lang w:val="bg-BG"/>
        </w:rPr>
        <w:t>те,</w:t>
      </w:r>
      <w:r w:rsidR="000D5BF5" w:rsidRPr="00610B1B">
        <w:rPr>
          <w:rFonts w:ascii="Times New Roman" w:hAnsi="Times New Roman" w:cs="Times New Roman"/>
          <w:sz w:val="24"/>
          <w:szCs w:val="20"/>
          <w:lang w:val="bg-BG"/>
        </w:rPr>
        <w:t xml:space="preserve"> че б</w:t>
      </w:r>
      <w:r w:rsidRPr="00610B1B">
        <w:rPr>
          <w:rFonts w:ascii="Times New Roman" w:hAnsi="Times New Roman" w:cs="Times New Roman"/>
          <w:sz w:val="24"/>
          <w:szCs w:val="20"/>
          <w:lang w:val="bg-BG"/>
        </w:rPr>
        <w:t>роят на корабите</w:t>
      </w:r>
      <w:r w:rsidR="00F92CF8" w:rsidRPr="00610B1B">
        <w:rPr>
          <w:rFonts w:ascii="Times New Roman" w:hAnsi="Times New Roman" w:cs="Times New Roman"/>
          <w:sz w:val="24"/>
          <w:szCs w:val="20"/>
          <w:lang w:val="bg-BG"/>
        </w:rPr>
        <w:t>,</w:t>
      </w:r>
      <w:r w:rsidRPr="00610B1B">
        <w:rPr>
          <w:rFonts w:ascii="Times New Roman" w:hAnsi="Times New Roman" w:cs="Times New Roman"/>
          <w:sz w:val="24"/>
          <w:szCs w:val="20"/>
          <w:lang w:val="bg-BG"/>
        </w:rPr>
        <w:t xml:space="preserve"> посещаващи п</w:t>
      </w:r>
      <w:r w:rsidR="000D5BF5" w:rsidRPr="00610B1B">
        <w:rPr>
          <w:rFonts w:ascii="Times New Roman" w:hAnsi="Times New Roman" w:cs="Times New Roman"/>
          <w:sz w:val="24"/>
          <w:szCs w:val="20"/>
          <w:lang w:val="bg-BG"/>
        </w:rPr>
        <w:t>ристанище</w:t>
      </w:r>
      <w:r w:rsidRPr="00610B1B">
        <w:rPr>
          <w:rFonts w:ascii="Times New Roman" w:hAnsi="Times New Roman" w:cs="Times New Roman"/>
          <w:sz w:val="24"/>
          <w:szCs w:val="20"/>
          <w:lang w:val="bg-BG"/>
        </w:rPr>
        <w:t xml:space="preserve"> Варна за година е сравнително постоянен и е средно около 2</w:t>
      </w:r>
      <w:r w:rsidR="000D5BF5" w:rsidRPr="00610B1B">
        <w:rPr>
          <w:rFonts w:ascii="Times New Roman" w:hAnsi="Times New Roman" w:cs="Times New Roman"/>
          <w:sz w:val="24"/>
          <w:szCs w:val="20"/>
          <w:lang w:val="bg-BG"/>
        </w:rPr>
        <w:t> </w:t>
      </w:r>
      <w:r w:rsidRPr="00610B1B">
        <w:rPr>
          <w:rFonts w:ascii="Times New Roman" w:hAnsi="Times New Roman" w:cs="Times New Roman"/>
          <w:sz w:val="24"/>
          <w:szCs w:val="20"/>
          <w:lang w:val="bg-BG"/>
        </w:rPr>
        <w:t>190 кораба на година.</w:t>
      </w:r>
      <w:r w:rsidR="000D5BF5" w:rsidRPr="00610B1B">
        <w:rPr>
          <w:rFonts w:ascii="Times New Roman" w:hAnsi="Times New Roman" w:cs="Times New Roman"/>
          <w:sz w:val="24"/>
          <w:szCs w:val="20"/>
          <w:lang w:val="bg-BG"/>
        </w:rPr>
        <w:t xml:space="preserve"> </w:t>
      </w:r>
      <w:r w:rsidRPr="00610B1B">
        <w:rPr>
          <w:rFonts w:ascii="Times New Roman" w:hAnsi="Times New Roman" w:cs="Times New Roman"/>
          <w:sz w:val="24"/>
          <w:szCs w:val="20"/>
          <w:lang w:val="bg-BG"/>
        </w:rPr>
        <w:t xml:space="preserve">Значителен спад има през 2017 и 2018 година, а през 2019 </w:t>
      </w:r>
      <w:r w:rsidR="000D5BF5" w:rsidRPr="00610B1B">
        <w:rPr>
          <w:rFonts w:ascii="Times New Roman" w:hAnsi="Times New Roman" w:cs="Times New Roman"/>
          <w:sz w:val="24"/>
          <w:szCs w:val="20"/>
          <w:lang w:val="bg-BG"/>
        </w:rPr>
        <w:t xml:space="preserve">г. броят на корабите, посетили пристанище Варна </w:t>
      </w:r>
      <w:r w:rsidRPr="00610B1B">
        <w:rPr>
          <w:rFonts w:ascii="Times New Roman" w:hAnsi="Times New Roman" w:cs="Times New Roman"/>
          <w:sz w:val="24"/>
          <w:szCs w:val="20"/>
          <w:lang w:val="bg-BG"/>
        </w:rPr>
        <w:t>рязко се повишава.</w:t>
      </w:r>
      <w:r w:rsidR="000D5BF5" w:rsidRPr="00610B1B">
        <w:rPr>
          <w:rFonts w:ascii="Times New Roman" w:hAnsi="Times New Roman" w:cs="Times New Roman"/>
          <w:sz w:val="24"/>
          <w:szCs w:val="20"/>
          <w:lang w:val="bg-BG"/>
        </w:rPr>
        <w:t xml:space="preserve"> </w:t>
      </w:r>
      <w:r w:rsidR="004B6B3E" w:rsidRPr="00610B1B">
        <w:rPr>
          <w:rFonts w:ascii="Times New Roman" w:hAnsi="Times New Roman" w:cs="Times New Roman"/>
          <w:sz w:val="24"/>
          <w:szCs w:val="20"/>
          <w:lang w:val="bg-BG"/>
        </w:rPr>
        <w:t>Аналогични са изводите и за пристанище Бургас за периода 2015 – 2019 г.</w:t>
      </w:r>
      <w:r w:rsidR="00D66FE0" w:rsidRPr="00610B1B">
        <w:rPr>
          <w:rFonts w:ascii="Times New Roman" w:hAnsi="Times New Roman" w:cs="Times New Roman"/>
          <w:sz w:val="24"/>
          <w:szCs w:val="20"/>
          <w:lang w:val="bg-BG"/>
        </w:rPr>
        <w:t xml:space="preserve"> </w:t>
      </w:r>
      <w:r w:rsidR="004B6B3E" w:rsidRPr="00610B1B">
        <w:rPr>
          <w:rFonts w:ascii="Times New Roman" w:hAnsi="Times New Roman" w:cs="Times New Roman"/>
          <w:sz w:val="24"/>
          <w:szCs w:val="20"/>
          <w:lang w:val="bg-BG"/>
        </w:rPr>
        <w:t xml:space="preserve">Броят </w:t>
      </w:r>
      <w:r w:rsidRPr="00610B1B">
        <w:rPr>
          <w:rFonts w:ascii="Times New Roman" w:hAnsi="Times New Roman" w:cs="Times New Roman"/>
          <w:sz w:val="24"/>
          <w:szCs w:val="20"/>
          <w:lang w:val="bg-BG"/>
        </w:rPr>
        <w:t>на корабите</w:t>
      </w:r>
      <w:r w:rsidR="00014D09" w:rsidRPr="00610B1B">
        <w:rPr>
          <w:rFonts w:ascii="Times New Roman" w:hAnsi="Times New Roman" w:cs="Times New Roman"/>
          <w:sz w:val="24"/>
          <w:szCs w:val="20"/>
          <w:lang w:val="bg-BG"/>
        </w:rPr>
        <w:t>,</w:t>
      </w:r>
      <w:r w:rsidRPr="00610B1B">
        <w:rPr>
          <w:rFonts w:ascii="Times New Roman" w:hAnsi="Times New Roman" w:cs="Times New Roman"/>
          <w:sz w:val="24"/>
          <w:szCs w:val="20"/>
          <w:lang w:val="bg-BG"/>
        </w:rPr>
        <w:t xml:space="preserve"> посещаващи п</w:t>
      </w:r>
      <w:r w:rsidR="00014D09" w:rsidRPr="00610B1B">
        <w:rPr>
          <w:rFonts w:ascii="Times New Roman" w:hAnsi="Times New Roman" w:cs="Times New Roman"/>
          <w:sz w:val="24"/>
          <w:szCs w:val="20"/>
          <w:lang w:val="bg-BG"/>
        </w:rPr>
        <w:t xml:space="preserve">ристанище </w:t>
      </w:r>
      <w:r w:rsidRPr="00610B1B">
        <w:rPr>
          <w:rFonts w:ascii="Times New Roman" w:hAnsi="Times New Roman" w:cs="Times New Roman"/>
          <w:sz w:val="24"/>
          <w:szCs w:val="20"/>
          <w:lang w:val="bg-BG"/>
        </w:rPr>
        <w:t>Бургас за година варира значително, като средно е около 2</w:t>
      </w:r>
      <w:r w:rsidR="00014D09" w:rsidRPr="00610B1B">
        <w:rPr>
          <w:rFonts w:ascii="Times New Roman" w:hAnsi="Times New Roman" w:cs="Times New Roman"/>
          <w:sz w:val="24"/>
          <w:szCs w:val="20"/>
          <w:lang w:val="bg-BG"/>
        </w:rPr>
        <w:t> </w:t>
      </w:r>
      <w:r w:rsidRPr="00610B1B">
        <w:rPr>
          <w:rFonts w:ascii="Times New Roman" w:hAnsi="Times New Roman" w:cs="Times New Roman"/>
          <w:sz w:val="24"/>
          <w:szCs w:val="20"/>
          <w:lang w:val="bg-BG"/>
        </w:rPr>
        <w:t>100 кораба на година</w:t>
      </w:r>
      <w:r w:rsidR="004B6B3E" w:rsidRPr="00610B1B">
        <w:rPr>
          <w:rFonts w:ascii="Times New Roman" w:hAnsi="Times New Roman" w:cs="Times New Roman"/>
          <w:sz w:val="24"/>
          <w:szCs w:val="20"/>
          <w:lang w:val="bg-BG"/>
        </w:rPr>
        <w:t xml:space="preserve">, спадът се отбелязва също </w:t>
      </w:r>
      <w:r w:rsidRPr="00610B1B">
        <w:rPr>
          <w:rFonts w:ascii="Times New Roman" w:hAnsi="Times New Roman" w:cs="Times New Roman"/>
          <w:sz w:val="24"/>
          <w:szCs w:val="20"/>
          <w:lang w:val="bg-BG"/>
        </w:rPr>
        <w:t xml:space="preserve">през 2017 и 2018 година, а </w:t>
      </w:r>
      <w:r w:rsidR="004B6B3E" w:rsidRPr="00610B1B">
        <w:rPr>
          <w:rFonts w:ascii="Times New Roman" w:hAnsi="Times New Roman" w:cs="Times New Roman"/>
          <w:sz w:val="24"/>
          <w:szCs w:val="20"/>
          <w:lang w:val="bg-BG"/>
        </w:rPr>
        <w:t xml:space="preserve">рязкото повишение на броя на корабите е </w:t>
      </w:r>
      <w:r w:rsidRPr="00610B1B">
        <w:rPr>
          <w:rFonts w:ascii="Times New Roman" w:hAnsi="Times New Roman" w:cs="Times New Roman"/>
          <w:sz w:val="24"/>
          <w:szCs w:val="20"/>
          <w:lang w:val="bg-BG"/>
        </w:rPr>
        <w:t>през 2019</w:t>
      </w:r>
      <w:r w:rsidR="00014D09" w:rsidRPr="00610B1B">
        <w:rPr>
          <w:rFonts w:ascii="Times New Roman" w:hAnsi="Times New Roman" w:cs="Times New Roman"/>
          <w:sz w:val="24"/>
          <w:szCs w:val="20"/>
          <w:lang w:val="bg-BG"/>
        </w:rPr>
        <w:t xml:space="preserve"> г. </w:t>
      </w:r>
      <w:r w:rsidR="004B6B3E" w:rsidRPr="00610B1B">
        <w:rPr>
          <w:rFonts w:ascii="Times New Roman" w:hAnsi="Times New Roman" w:cs="Times New Roman"/>
          <w:sz w:val="24"/>
          <w:szCs w:val="20"/>
          <w:lang w:val="bg-BG"/>
        </w:rPr>
        <w:t>И при двете пристанища н</w:t>
      </w:r>
      <w:r w:rsidRPr="00610B1B">
        <w:rPr>
          <w:rFonts w:ascii="Times New Roman" w:hAnsi="Times New Roman" w:cs="Times New Roman"/>
          <w:sz w:val="24"/>
          <w:szCs w:val="20"/>
          <w:lang w:val="bg-BG"/>
        </w:rPr>
        <w:t>ай-голям е броят на корабите за генерални товари и контейнеровози.</w:t>
      </w:r>
      <w:r w:rsidR="004B6B3E" w:rsidRPr="00610B1B">
        <w:rPr>
          <w:rFonts w:ascii="Times New Roman" w:hAnsi="Times New Roman" w:cs="Times New Roman"/>
          <w:sz w:val="24"/>
          <w:szCs w:val="20"/>
          <w:lang w:val="bg-BG"/>
        </w:rPr>
        <w:t xml:space="preserve"> </w:t>
      </w:r>
      <w:bookmarkStart w:id="334" w:name="_Hlk83281919"/>
      <w:r w:rsidR="00971BB5" w:rsidRPr="00610B1B">
        <w:rPr>
          <w:rFonts w:ascii="Times New Roman" w:hAnsi="Times New Roman" w:cs="Times New Roman"/>
          <w:sz w:val="24"/>
          <w:szCs w:val="24"/>
          <w:lang w:val="bg-BG"/>
        </w:rPr>
        <w:t>През 2014 година е открита ро-ро връзката Бургас – Батуми (Поти) – Новоросийск – Бургас, която значително увеличава конкурентоспособността на пристанище Бургас.</w:t>
      </w:r>
      <w:bookmarkEnd w:id="334"/>
    </w:p>
    <w:p w14:paraId="3CBC4F1F" w14:textId="75648626" w:rsidR="00796C2C" w:rsidRPr="00610B1B" w:rsidRDefault="004B6B3E" w:rsidP="00D32D6A">
      <w:pPr>
        <w:spacing w:after="120"/>
        <w:ind w:right="-153"/>
        <w:jc w:val="both"/>
        <w:rPr>
          <w:rFonts w:ascii="Times New Roman" w:hAnsi="Times New Roman" w:cs="Times New Roman"/>
          <w:sz w:val="24"/>
          <w:lang w:val="bg-BG"/>
        </w:rPr>
      </w:pPr>
      <w:r w:rsidRPr="00610B1B">
        <w:rPr>
          <w:rFonts w:ascii="Times New Roman" w:hAnsi="Times New Roman" w:cs="Times New Roman"/>
          <w:sz w:val="24"/>
          <w:lang w:val="bg-BG"/>
        </w:rPr>
        <w:t xml:space="preserve">За </w:t>
      </w:r>
      <w:r w:rsidR="00796C2C" w:rsidRPr="00610B1B">
        <w:rPr>
          <w:rFonts w:ascii="Times New Roman" w:hAnsi="Times New Roman" w:cs="Times New Roman"/>
          <w:sz w:val="24"/>
          <w:lang w:val="bg-BG"/>
        </w:rPr>
        <w:t>последните 5 години и двете пристанища обработват традиционни за тях товари. Количествата на товарите, както и броя</w:t>
      </w:r>
      <w:r w:rsidR="00014D09" w:rsidRPr="00610B1B">
        <w:rPr>
          <w:rFonts w:ascii="Times New Roman" w:hAnsi="Times New Roman" w:cs="Times New Roman"/>
          <w:sz w:val="24"/>
          <w:lang w:val="bg-BG"/>
        </w:rPr>
        <w:t>т</w:t>
      </w:r>
      <w:r w:rsidR="00796C2C" w:rsidRPr="00610B1B">
        <w:rPr>
          <w:rFonts w:ascii="Times New Roman" w:hAnsi="Times New Roman" w:cs="Times New Roman"/>
          <w:sz w:val="24"/>
          <w:lang w:val="bg-BG"/>
        </w:rPr>
        <w:t xml:space="preserve"> на корабите посещаващи пристанище Варна и Бургас са относително постоянни</w:t>
      </w:r>
      <w:r w:rsidR="00014D09" w:rsidRPr="00610B1B">
        <w:rPr>
          <w:rFonts w:ascii="Times New Roman" w:hAnsi="Times New Roman" w:cs="Times New Roman"/>
          <w:sz w:val="24"/>
          <w:lang w:val="bg-BG"/>
        </w:rPr>
        <w:t>, а тенденциите в натоварването през годините са аналогични и в двете пристанища</w:t>
      </w:r>
      <w:r w:rsidR="00796C2C" w:rsidRPr="00610B1B">
        <w:rPr>
          <w:rFonts w:ascii="Times New Roman" w:hAnsi="Times New Roman" w:cs="Times New Roman"/>
          <w:sz w:val="24"/>
          <w:lang w:val="bg-BG"/>
        </w:rPr>
        <w:t xml:space="preserve">. </w:t>
      </w:r>
    </w:p>
    <w:p w14:paraId="2FEBC732" w14:textId="464A7E86" w:rsidR="00796C2C" w:rsidRPr="00610B1B" w:rsidRDefault="00046646" w:rsidP="00D32D6A">
      <w:pPr>
        <w:pStyle w:val="Heading4"/>
        <w:spacing w:before="0" w:line="276" w:lineRule="auto"/>
        <w:ind w:right="-153"/>
        <w:rPr>
          <w:rFonts w:cs="Times New Roman"/>
        </w:rPr>
      </w:pPr>
      <w:bookmarkStart w:id="335" w:name="_Toc28012957"/>
      <w:r w:rsidRPr="00610B1B">
        <w:rPr>
          <w:rFonts w:cs="Times New Roman"/>
        </w:rPr>
        <w:t>3</w:t>
      </w:r>
      <w:r w:rsidR="005A32CE" w:rsidRPr="00610B1B">
        <w:rPr>
          <w:rFonts w:cs="Times New Roman"/>
        </w:rPr>
        <w:t>.1.</w:t>
      </w:r>
      <w:r w:rsidR="00014D09" w:rsidRPr="00610B1B">
        <w:rPr>
          <w:rFonts w:cs="Times New Roman"/>
        </w:rPr>
        <w:t xml:space="preserve">3.2. </w:t>
      </w:r>
      <w:r w:rsidR="00796C2C" w:rsidRPr="00610B1B">
        <w:rPr>
          <w:rFonts w:cs="Times New Roman"/>
        </w:rPr>
        <w:t>Пътническо плаване</w:t>
      </w:r>
      <w:bookmarkEnd w:id="335"/>
      <w:r w:rsidR="00796C2C" w:rsidRPr="00610B1B">
        <w:rPr>
          <w:rFonts w:cs="Times New Roman"/>
        </w:rPr>
        <w:t xml:space="preserve"> </w:t>
      </w:r>
    </w:p>
    <w:p w14:paraId="6BBB0405" w14:textId="56D574DB" w:rsidR="00796C2C" w:rsidRPr="00610B1B" w:rsidRDefault="005A32CE" w:rsidP="00D32D6A">
      <w:pPr>
        <w:pStyle w:val="BodyText"/>
        <w:spacing w:before="0" w:after="120" w:line="276" w:lineRule="auto"/>
        <w:ind w:right="-153"/>
        <w:rPr>
          <w:rFonts w:cs="Times New Roman"/>
          <w:bCs/>
        </w:rPr>
      </w:pPr>
      <w:r w:rsidRPr="00610B1B">
        <w:rPr>
          <w:rFonts w:cs="Times New Roman"/>
        </w:rPr>
        <w:t xml:space="preserve">Анализът на </w:t>
      </w:r>
      <w:r w:rsidR="004D4F60" w:rsidRPr="00610B1B">
        <w:rPr>
          <w:rFonts w:cs="Times New Roman"/>
        </w:rPr>
        <w:t>пътническия трафик в Черно море е извършен въз основа на предоставените данни за пътникопотоците в двете най-големи пристанища – Варна и Бургас</w:t>
      </w:r>
      <w:r w:rsidR="000F0DD4" w:rsidRPr="00610B1B">
        <w:rPr>
          <w:rFonts w:cs="Times New Roman"/>
        </w:rPr>
        <w:t>. В пристанище Варна данните</w:t>
      </w:r>
      <w:r w:rsidR="00314D97" w:rsidRPr="00610B1B">
        <w:rPr>
          <w:rFonts w:cs="Times New Roman"/>
        </w:rPr>
        <w:t xml:space="preserve"> показва</w:t>
      </w:r>
      <w:r w:rsidR="000F0DD4" w:rsidRPr="00610B1B">
        <w:rPr>
          <w:rFonts w:cs="Times New Roman"/>
        </w:rPr>
        <w:t>т</w:t>
      </w:r>
      <w:r w:rsidR="00314D97" w:rsidRPr="00610B1B">
        <w:rPr>
          <w:rFonts w:cs="Times New Roman"/>
        </w:rPr>
        <w:t xml:space="preserve"> спад на </w:t>
      </w:r>
      <w:r w:rsidR="00314D97" w:rsidRPr="00610B1B">
        <w:rPr>
          <w:rFonts w:cs="Times New Roman"/>
          <w:b/>
          <w:bCs/>
        </w:rPr>
        <w:t>пасажерските кораби и пътникопотока</w:t>
      </w:r>
      <w:r w:rsidR="00314D97" w:rsidRPr="00610B1B">
        <w:rPr>
          <w:rFonts w:cs="Times New Roman"/>
        </w:rPr>
        <w:t xml:space="preserve"> от съответно 36 посещения на пътнически кораби през 2014 г. с 20 994 пътници на 1 посещение и 79, пътника през 2017 г.</w:t>
      </w:r>
      <w:r w:rsidR="00D66FE0" w:rsidRPr="00610B1B">
        <w:rPr>
          <w:rFonts w:cs="Times New Roman"/>
        </w:rPr>
        <w:t xml:space="preserve"> </w:t>
      </w:r>
      <w:r w:rsidR="00796C2C" w:rsidRPr="00610B1B">
        <w:rPr>
          <w:rFonts w:cs="Times New Roman"/>
          <w:bCs/>
        </w:rPr>
        <w:t>Към края на 2019 г. за 2020 година са заявени 6 кораба с 3 610 пасажера, а за 2021</w:t>
      </w:r>
      <w:r w:rsidR="008A6990" w:rsidRPr="00610B1B">
        <w:rPr>
          <w:rFonts w:cs="Times New Roman"/>
          <w:bCs/>
        </w:rPr>
        <w:t xml:space="preserve"> </w:t>
      </w:r>
      <w:r w:rsidR="00796C2C" w:rsidRPr="00610B1B">
        <w:rPr>
          <w:rFonts w:cs="Times New Roman"/>
          <w:bCs/>
        </w:rPr>
        <w:t>г.</w:t>
      </w:r>
      <w:r w:rsidR="00D66FE0" w:rsidRPr="00610B1B">
        <w:rPr>
          <w:rFonts w:cs="Times New Roman"/>
          <w:bCs/>
        </w:rPr>
        <w:t xml:space="preserve"> </w:t>
      </w:r>
      <w:r w:rsidR="00796C2C" w:rsidRPr="00610B1B">
        <w:rPr>
          <w:rFonts w:cs="Times New Roman"/>
          <w:bCs/>
        </w:rPr>
        <w:t xml:space="preserve">са заявени 5 кораба с 2 980 пасажера. </w:t>
      </w:r>
    </w:p>
    <w:p w14:paraId="2F34B8B4" w14:textId="139BDEDB" w:rsidR="00314D97" w:rsidRPr="00610B1B" w:rsidRDefault="00314D97" w:rsidP="00D32D6A">
      <w:pPr>
        <w:pStyle w:val="BodyText"/>
        <w:spacing w:before="0" w:after="120" w:line="276" w:lineRule="auto"/>
        <w:ind w:right="-153"/>
        <w:rPr>
          <w:rFonts w:cs="Times New Roman"/>
          <w:bCs/>
        </w:rPr>
      </w:pPr>
      <w:r w:rsidRPr="00610B1B">
        <w:rPr>
          <w:rFonts w:cs="Times New Roman"/>
          <w:bCs/>
        </w:rPr>
        <w:t xml:space="preserve">За </w:t>
      </w:r>
      <w:r w:rsidR="000F0DD4" w:rsidRPr="00610B1B">
        <w:rPr>
          <w:rFonts w:cs="Times New Roman"/>
          <w:bCs/>
        </w:rPr>
        <w:t>п</w:t>
      </w:r>
      <w:r w:rsidRPr="00610B1B">
        <w:rPr>
          <w:rFonts w:cs="Times New Roman"/>
          <w:bCs/>
        </w:rPr>
        <w:t>ериод</w:t>
      </w:r>
      <w:r w:rsidR="000F0DD4" w:rsidRPr="00610B1B">
        <w:rPr>
          <w:rFonts w:cs="Times New Roman"/>
          <w:bCs/>
        </w:rPr>
        <w:t>а</w:t>
      </w:r>
      <w:r w:rsidRPr="00610B1B">
        <w:rPr>
          <w:rFonts w:cs="Times New Roman"/>
          <w:bCs/>
        </w:rPr>
        <w:t xml:space="preserve"> 2014-2019 г. пристанище Бургас показва същите тенденции. Най-много посещения на пасажерски кораби са регистрирани през 2014 г. </w:t>
      </w:r>
      <w:r w:rsidR="000F0DD4" w:rsidRPr="00610B1B">
        <w:rPr>
          <w:rFonts w:cs="Times New Roman"/>
          <w:bCs/>
        </w:rPr>
        <w:t xml:space="preserve">от </w:t>
      </w:r>
      <w:r w:rsidRPr="00610B1B">
        <w:rPr>
          <w:rFonts w:cs="Times New Roman"/>
          <w:bCs/>
        </w:rPr>
        <w:t xml:space="preserve">общо 27 бр. с 41 761 </w:t>
      </w:r>
      <w:r w:rsidRPr="00610B1B">
        <w:rPr>
          <w:rFonts w:cs="Times New Roman"/>
          <w:bCs/>
        </w:rPr>
        <w:lastRenderedPageBreak/>
        <w:t>пътници, които през 2017 г. спадат на 2 бр. посещения с 1 925 пътници.</w:t>
      </w:r>
      <w:r w:rsidRPr="00610B1B">
        <w:rPr>
          <w:rFonts w:cs="Times New Roman"/>
        </w:rPr>
        <w:t xml:space="preserve"> </w:t>
      </w:r>
      <w:r w:rsidRPr="00610B1B">
        <w:rPr>
          <w:rFonts w:cs="Times New Roman"/>
          <w:bCs/>
        </w:rPr>
        <w:t>Към края на 2019</w:t>
      </w:r>
      <w:r w:rsidR="00F00BE8" w:rsidRPr="00610B1B">
        <w:rPr>
          <w:rFonts w:cs="Times New Roman"/>
          <w:bCs/>
        </w:rPr>
        <w:t> </w:t>
      </w:r>
      <w:r w:rsidRPr="00610B1B">
        <w:rPr>
          <w:rFonts w:cs="Times New Roman"/>
          <w:bCs/>
        </w:rPr>
        <w:t>г. за 2020 година са заявени 1 кораб с 1 460 пасажера, а за 2021 г.</w:t>
      </w:r>
      <w:r w:rsidR="00D66FE0" w:rsidRPr="00610B1B">
        <w:rPr>
          <w:rFonts w:cs="Times New Roman"/>
          <w:bCs/>
        </w:rPr>
        <w:t xml:space="preserve"> </w:t>
      </w:r>
      <w:r w:rsidRPr="00610B1B">
        <w:rPr>
          <w:rFonts w:cs="Times New Roman"/>
          <w:bCs/>
        </w:rPr>
        <w:t>са заявени 4 кораба с 2</w:t>
      </w:r>
      <w:r w:rsidR="00F00BE8" w:rsidRPr="00610B1B">
        <w:rPr>
          <w:rFonts w:cs="Times New Roman"/>
          <w:bCs/>
        </w:rPr>
        <w:t> </w:t>
      </w:r>
      <w:r w:rsidRPr="00610B1B">
        <w:rPr>
          <w:rFonts w:cs="Times New Roman"/>
          <w:bCs/>
        </w:rPr>
        <w:t>130 пасажера.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0C428F" w:rsidRPr="005C2B9F" w14:paraId="3FC05C7C" w14:textId="77777777" w:rsidTr="00D703D4">
        <w:tc>
          <w:tcPr>
            <w:tcW w:w="9027" w:type="dxa"/>
            <w:gridSpan w:val="2"/>
          </w:tcPr>
          <w:p w14:paraId="273F3AD2" w14:textId="704AC556" w:rsidR="000C428F" w:rsidRPr="00610B1B" w:rsidRDefault="000C428F" w:rsidP="00D32D6A">
            <w:pPr>
              <w:pStyle w:val="BodyText"/>
              <w:spacing w:before="0" w:after="0" w:line="240" w:lineRule="auto"/>
              <w:rPr>
                <w:rFonts w:cs="Times New Roman"/>
                <w:sz w:val="22"/>
              </w:rPr>
            </w:pPr>
            <w:bookmarkStart w:id="336" w:name="_Toc83391476"/>
            <w:r w:rsidRPr="00610B1B">
              <w:rPr>
                <w:rFonts w:cs="Times New Roman"/>
              </w:rPr>
              <w:t xml:space="preserve">Фигура </w:t>
            </w:r>
            <w:r w:rsidRPr="00610B1B">
              <w:rPr>
                <w:rFonts w:cs="Times New Roman"/>
              </w:rPr>
              <w:fldChar w:fldCharType="begin"/>
            </w:r>
            <w:r w:rsidRPr="00610B1B">
              <w:rPr>
                <w:rFonts w:cs="Times New Roman"/>
              </w:rPr>
              <w:instrText xml:space="preserve"> SEQ Фигура \* ARABIC </w:instrText>
            </w:r>
            <w:r w:rsidRPr="00610B1B">
              <w:rPr>
                <w:rFonts w:cs="Times New Roman"/>
              </w:rPr>
              <w:fldChar w:fldCharType="separate"/>
            </w:r>
            <w:r w:rsidR="00260629" w:rsidRPr="00610B1B">
              <w:rPr>
                <w:rFonts w:cs="Times New Roman"/>
                <w:noProof/>
              </w:rPr>
              <w:t>13</w:t>
            </w:r>
            <w:r w:rsidRPr="00610B1B">
              <w:rPr>
                <w:rFonts w:cs="Times New Roman"/>
              </w:rPr>
              <w:fldChar w:fldCharType="end"/>
            </w:r>
            <w:r w:rsidRPr="00610B1B">
              <w:rPr>
                <w:rFonts w:cs="Times New Roman"/>
              </w:rPr>
              <w:t>: Обобщена графика за Бургас и Варна</w:t>
            </w:r>
            <w:bookmarkEnd w:id="336"/>
          </w:p>
        </w:tc>
      </w:tr>
      <w:tr w:rsidR="000C428F" w:rsidRPr="00610B1B" w14:paraId="25F40390" w14:textId="77777777" w:rsidTr="00D703D4">
        <w:tc>
          <w:tcPr>
            <w:tcW w:w="4484" w:type="dxa"/>
          </w:tcPr>
          <w:p w14:paraId="51A8E4DA" w14:textId="619C5052" w:rsidR="000C428F" w:rsidRPr="00610B1B" w:rsidRDefault="0004160B" w:rsidP="00D32D6A">
            <w:pPr>
              <w:pStyle w:val="BodyText"/>
              <w:spacing w:before="0" w:after="0" w:line="240" w:lineRule="auto"/>
              <w:rPr>
                <w:rFonts w:cs="Times New Roman"/>
                <w:sz w:val="22"/>
              </w:rPr>
            </w:pPr>
            <w:r w:rsidRPr="00610B1B">
              <w:rPr>
                <w:rFonts w:cs="Times New Roman"/>
                <w:noProof/>
                <w:lang w:eastAsia="bg-BG" w:bidi="ar-SA"/>
              </w:rPr>
              <w:drawing>
                <wp:inline distT="0" distB="0" distL="0" distR="0" wp14:anchorId="44C250ED" wp14:editId="6DA76697">
                  <wp:extent cx="2952000" cy="3060336"/>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000" cy="3060336"/>
                          </a:xfrm>
                          <a:prstGeom prst="rect">
                            <a:avLst/>
                          </a:prstGeom>
                          <a:noFill/>
                        </pic:spPr>
                      </pic:pic>
                    </a:graphicData>
                  </a:graphic>
                </wp:inline>
              </w:drawing>
            </w:r>
          </w:p>
        </w:tc>
        <w:tc>
          <w:tcPr>
            <w:tcW w:w="4543" w:type="dxa"/>
          </w:tcPr>
          <w:p w14:paraId="576056EF" w14:textId="08258293" w:rsidR="000C428F" w:rsidRPr="00610B1B" w:rsidRDefault="0004160B" w:rsidP="00D32D6A">
            <w:pPr>
              <w:pStyle w:val="BodyText"/>
              <w:spacing w:before="0" w:after="0" w:line="240" w:lineRule="auto"/>
              <w:rPr>
                <w:rFonts w:cs="Times New Roman"/>
                <w:sz w:val="22"/>
              </w:rPr>
            </w:pPr>
            <w:r w:rsidRPr="00610B1B">
              <w:rPr>
                <w:rFonts w:cs="Times New Roman"/>
                <w:noProof/>
                <w:lang w:eastAsia="bg-BG" w:bidi="ar-SA"/>
              </w:rPr>
              <w:drawing>
                <wp:inline distT="0" distB="0" distL="0" distR="0" wp14:anchorId="220EF0C2" wp14:editId="32371486">
                  <wp:extent cx="2944495" cy="3103245"/>
                  <wp:effectExtent l="0" t="0" r="825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4495" cy="3103245"/>
                          </a:xfrm>
                          <a:prstGeom prst="rect">
                            <a:avLst/>
                          </a:prstGeom>
                          <a:noFill/>
                        </pic:spPr>
                      </pic:pic>
                    </a:graphicData>
                  </a:graphic>
                </wp:inline>
              </w:drawing>
            </w:r>
          </w:p>
        </w:tc>
      </w:tr>
      <w:tr w:rsidR="000C428F" w:rsidRPr="00610B1B" w14:paraId="7DD80FB6" w14:textId="77777777" w:rsidTr="00D703D4">
        <w:tc>
          <w:tcPr>
            <w:tcW w:w="9027" w:type="dxa"/>
            <w:gridSpan w:val="2"/>
          </w:tcPr>
          <w:p w14:paraId="42B03B19" w14:textId="6022931F" w:rsidR="000C428F" w:rsidRPr="00610B1B" w:rsidRDefault="000C428F" w:rsidP="00F512B4">
            <w:pPr>
              <w:pStyle w:val="BodyText"/>
              <w:spacing w:before="0" w:after="120" w:line="240" w:lineRule="auto"/>
              <w:ind w:right="-153"/>
              <w:rPr>
                <w:rFonts w:cs="Times New Roman"/>
                <w:sz w:val="22"/>
              </w:rPr>
            </w:pPr>
            <w:r w:rsidRPr="00610B1B">
              <w:rPr>
                <w:rFonts w:cs="Times New Roman"/>
                <w:sz w:val="22"/>
              </w:rPr>
              <w:t>Източник: Пристанище Бургас и Варна</w:t>
            </w:r>
          </w:p>
        </w:tc>
      </w:tr>
    </w:tbl>
    <w:p w14:paraId="0C99354D" w14:textId="64A607F1" w:rsidR="00DD35B2" w:rsidRPr="00610B1B" w:rsidRDefault="00DD35B2" w:rsidP="00D32D6A">
      <w:pPr>
        <w:pStyle w:val="BodyText"/>
        <w:spacing w:before="0" w:after="120" w:line="276" w:lineRule="auto"/>
        <w:ind w:right="-153"/>
        <w:rPr>
          <w:rFonts w:cs="Times New Roman"/>
        </w:rPr>
      </w:pPr>
      <w:r w:rsidRPr="00610B1B">
        <w:rPr>
          <w:rFonts w:cs="Times New Roman"/>
        </w:rPr>
        <w:t>Пасажерските терминали във Варна и Бургас са посещавани от едни от най-големите компании, между които MSC Cruises, Princess Cruises, Carnival Corporation и други.</w:t>
      </w:r>
    </w:p>
    <w:p w14:paraId="2ED6C22E" w14:textId="5A42FFE9" w:rsidR="00694DF5" w:rsidRPr="00610B1B" w:rsidRDefault="005D1B45" w:rsidP="00D32D6A">
      <w:pPr>
        <w:pStyle w:val="BodyText"/>
        <w:spacing w:before="0" w:after="120" w:line="276" w:lineRule="auto"/>
        <w:ind w:right="-153"/>
        <w:rPr>
          <w:rFonts w:cs="Times New Roman"/>
        </w:rPr>
      </w:pPr>
      <w:r w:rsidRPr="00610B1B">
        <w:rPr>
          <w:rFonts w:cs="Times New Roman"/>
        </w:rPr>
        <w:t>От анализа на данните за броя на посещенията и броя на корабите в двете пристанища – Варна и Бургас и морските им гари става ясно, че през 2014 г. посещаемостта и съответно</w:t>
      </w:r>
      <w:r w:rsidR="00D66FE0" w:rsidRPr="00610B1B">
        <w:rPr>
          <w:rFonts w:cs="Times New Roman"/>
        </w:rPr>
        <w:t xml:space="preserve"> </w:t>
      </w:r>
      <w:r w:rsidRPr="00610B1B">
        <w:rPr>
          <w:rFonts w:cs="Times New Roman"/>
        </w:rPr>
        <w:t xml:space="preserve">натоварването на инфраструктурата, на персонала и дори на градските пространства са били значително по-големи. </w:t>
      </w:r>
      <w:r w:rsidR="00825BDE" w:rsidRPr="00610B1B">
        <w:rPr>
          <w:rFonts w:cs="Times New Roman"/>
        </w:rPr>
        <w:t xml:space="preserve">След </w:t>
      </w:r>
      <w:r w:rsidR="00694DF5" w:rsidRPr="00610B1B">
        <w:rPr>
          <w:rFonts w:cs="Times New Roman"/>
        </w:rPr>
        <w:t>2014 г. общият брой на пътниците, преминаващи през българските морски пристанища е намалял драстично, като след 2017 г. няма посещения на пасажерски кораби. Причината е променената геополитическа обстановка в Черно море след анексирането на полуостров Крим през 2014 г. и възприемането на района като рисков. През последните години, се забелязва успокояване на обстановката в района на Черно море</w:t>
      </w:r>
      <w:r w:rsidR="000F0DD4" w:rsidRPr="00610B1B">
        <w:rPr>
          <w:rFonts w:cs="Times New Roman"/>
        </w:rPr>
        <w:t xml:space="preserve"> и </w:t>
      </w:r>
      <w:r w:rsidR="00694DF5" w:rsidRPr="00610B1B">
        <w:rPr>
          <w:rFonts w:cs="Times New Roman"/>
        </w:rPr>
        <w:t>повишаване на интереса на круизните компании.</w:t>
      </w:r>
    </w:p>
    <w:p w14:paraId="341821E1" w14:textId="28DEECAD" w:rsidR="00796C2C" w:rsidRPr="00610B1B" w:rsidRDefault="000F0DD4" w:rsidP="00D32D6A">
      <w:pPr>
        <w:pStyle w:val="BodyText"/>
        <w:spacing w:before="0" w:after="120" w:line="276" w:lineRule="auto"/>
        <w:ind w:right="-153"/>
        <w:rPr>
          <w:rFonts w:cs="Times New Roman"/>
        </w:rPr>
      </w:pPr>
      <w:r w:rsidRPr="00610B1B">
        <w:rPr>
          <w:rFonts w:cs="Times New Roman"/>
        </w:rPr>
        <w:t xml:space="preserve">Инвестициите </w:t>
      </w:r>
      <w:r w:rsidR="0034512A" w:rsidRPr="00610B1B">
        <w:rPr>
          <w:rFonts w:cs="Times New Roman"/>
        </w:rPr>
        <w:t xml:space="preserve">в обновяване на градската среда и закъснялата конверсия на пристанищни зони </w:t>
      </w:r>
      <w:r w:rsidR="005A32CE" w:rsidRPr="00610B1B">
        <w:rPr>
          <w:rFonts w:cs="Times New Roman"/>
        </w:rPr>
        <w:t xml:space="preserve">в България </w:t>
      </w:r>
      <w:r w:rsidR="00796C2C" w:rsidRPr="00610B1B">
        <w:rPr>
          <w:rFonts w:cs="Times New Roman"/>
        </w:rPr>
        <w:t>са</w:t>
      </w:r>
      <w:r w:rsidR="0034512A" w:rsidRPr="00610B1B">
        <w:rPr>
          <w:rFonts w:cs="Times New Roman"/>
        </w:rPr>
        <w:t xml:space="preserve"> част от политиката</w:t>
      </w:r>
      <w:r w:rsidR="00D66FE0" w:rsidRPr="00610B1B">
        <w:rPr>
          <w:rFonts w:cs="Times New Roman"/>
        </w:rPr>
        <w:t xml:space="preserve"> </w:t>
      </w:r>
      <w:r w:rsidR="0034512A" w:rsidRPr="00610B1B">
        <w:rPr>
          <w:rFonts w:cs="Times New Roman"/>
        </w:rPr>
        <w:t>за градско развитие, приоритетна в прогр</w:t>
      </w:r>
      <w:r w:rsidR="005A32CE" w:rsidRPr="00610B1B">
        <w:rPr>
          <w:rFonts w:cs="Times New Roman"/>
        </w:rPr>
        <w:t>амите на ЕС още от края на 1990-</w:t>
      </w:r>
      <w:r w:rsidR="0034512A" w:rsidRPr="00610B1B">
        <w:rPr>
          <w:rFonts w:cs="Times New Roman"/>
        </w:rPr>
        <w:t>те години. Засилва се посещаемостта на обектите в зоните около морските гари на двата града</w:t>
      </w:r>
      <w:r w:rsidRPr="00610B1B">
        <w:rPr>
          <w:rFonts w:cs="Times New Roman"/>
        </w:rPr>
        <w:t xml:space="preserve"> и интересите към круизни пътувания</w:t>
      </w:r>
      <w:r w:rsidR="00796C2C" w:rsidRPr="00610B1B">
        <w:rPr>
          <w:rFonts w:cs="Times New Roman"/>
        </w:rPr>
        <w:t xml:space="preserve">. Политиката за инвестиране и изграждане в инфраструктурата и популяризиране на България като морска туристическа дестинация би следвало да се задълбочава, защото </w:t>
      </w:r>
      <w:r w:rsidR="0034512A" w:rsidRPr="00610B1B">
        <w:rPr>
          <w:rFonts w:cs="Times New Roman"/>
        </w:rPr>
        <w:t>има</w:t>
      </w:r>
      <w:r w:rsidR="00796C2C" w:rsidRPr="00610B1B">
        <w:rPr>
          <w:rFonts w:cs="Times New Roman"/>
        </w:rPr>
        <w:t xml:space="preserve"> положителен ефект не само за туристическия бизнес, </w:t>
      </w:r>
      <w:r w:rsidR="005A32CE" w:rsidRPr="00610B1B">
        <w:rPr>
          <w:rFonts w:cs="Times New Roman"/>
        </w:rPr>
        <w:t xml:space="preserve">но за </w:t>
      </w:r>
      <w:r w:rsidR="006011C0" w:rsidRPr="00610B1B">
        <w:rPr>
          <w:rFonts w:cs="Times New Roman"/>
        </w:rPr>
        <w:t>икономиката</w:t>
      </w:r>
      <w:r w:rsidR="0034512A" w:rsidRPr="00610B1B">
        <w:rPr>
          <w:rFonts w:cs="Times New Roman"/>
        </w:rPr>
        <w:t>, подсилва интереса и привлича</w:t>
      </w:r>
      <w:r w:rsidR="005A32CE" w:rsidRPr="00610B1B">
        <w:rPr>
          <w:rFonts w:cs="Times New Roman"/>
        </w:rPr>
        <w:t xml:space="preserve"> </w:t>
      </w:r>
      <w:r w:rsidR="0034512A" w:rsidRPr="00610B1B">
        <w:rPr>
          <w:rFonts w:cs="Times New Roman"/>
        </w:rPr>
        <w:t xml:space="preserve">инвестиции, създава условия за </w:t>
      </w:r>
      <w:r w:rsidR="00796C2C" w:rsidRPr="00610B1B">
        <w:rPr>
          <w:rFonts w:cs="Times New Roman"/>
        </w:rPr>
        <w:t xml:space="preserve">запознаване с културното наследство на България. </w:t>
      </w:r>
    </w:p>
    <w:p w14:paraId="0B915623" w14:textId="3F4A0D90" w:rsidR="001958B4" w:rsidRPr="00610B1B" w:rsidRDefault="001958B4" w:rsidP="00D32D6A">
      <w:pPr>
        <w:pStyle w:val="BodyText"/>
        <w:spacing w:before="0" w:after="120" w:line="276" w:lineRule="auto"/>
        <w:ind w:right="-153"/>
        <w:rPr>
          <w:rFonts w:cs="Times New Roman"/>
        </w:rPr>
      </w:pPr>
      <w:r w:rsidRPr="00610B1B">
        <w:rPr>
          <w:rFonts w:cs="Times New Roman"/>
          <w:b/>
          <w:bCs/>
        </w:rPr>
        <w:t>Морските туристическите маршрути</w:t>
      </w:r>
      <w:r w:rsidRPr="00610B1B">
        <w:rPr>
          <w:rFonts w:cs="Times New Roman"/>
        </w:rPr>
        <w:t xml:space="preserve">, сравнени с периода преди 1989 г. са значително по-малко, но през последните години се забелязва повишаване на интереса към преходи по море на близки разстояния. Поради неефективността и малкото натоварване на </w:t>
      </w:r>
      <w:r w:rsidRPr="00610B1B">
        <w:rPr>
          <w:rFonts w:cs="Times New Roman"/>
        </w:rPr>
        <w:lastRenderedPageBreak/>
        <w:t xml:space="preserve">подобни маршрути и плавателни съдове, които ги обслужват се търсят разнообразни форми на подпомагане. </w:t>
      </w:r>
    </w:p>
    <w:p w14:paraId="226E7724" w14:textId="6777044D" w:rsidR="0034512A" w:rsidRPr="00610B1B" w:rsidRDefault="001958B4" w:rsidP="00D32D6A">
      <w:pPr>
        <w:pStyle w:val="BodyText"/>
        <w:spacing w:before="0" w:after="120" w:line="276" w:lineRule="auto"/>
        <w:ind w:right="-153"/>
        <w:rPr>
          <w:rFonts w:cs="Times New Roman"/>
        </w:rPr>
      </w:pPr>
      <w:r w:rsidRPr="00610B1B">
        <w:rPr>
          <w:rFonts w:cs="Times New Roman"/>
        </w:rPr>
        <w:t xml:space="preserve">Информацията </w:t>
      </w:r>
      <w:r w:rsidR="004D4F60" w:rsidRPr="00610B1B">
        <w:rPr>
          <w:rFonts w:cs="Times New Roman"/>
        </w:rPr>
        <w:t>от</w:t>
      </w:r>
      <w:r w:rsidR="00D66FE0" w:rsidRPr="00610B1B">
        <w:rPr>
          <w:rFonts w:cs="Times New Roman"/>
        </w:rPr>
        <w:t xml:space="preserve"> </w:t>
      </w:r>
      <w:r w:rsidR="004D4F60" w:rsidRPr="00610B1B">
        <w:rPr>
          <w:rFonts w:cs="Times New Roman"/>
        </w:rPr>
        <w:t>Дирекция “Морска администрация“ Бургас</w:t>
      </w:r>
      <w:r w:rsidR="00D66FE0" w:rsidRPr="00610B1B">
        <w:rPr>
          <w:rFonts w:cs="Times New Roman"/>
        </w:rPr>
        <w:t xml:space="preserve"> </w:t>
      </w:r>
      <w:r w:rsidRPr="00610B1B">
        <w:rPr>
          <w:rFonts w:cs="Times New Roman"/>
        </w:rPr>
        <w:t xml:space="preserve">за корабите, обслужващи Южното Черноморие </w:t>
      </w:r>
      <w:bookmarkStart w:id="337" w:name="_Toc28012962"/>
      <w:r w:rsidR="004D4F60" w:rsidRPr="00610B1B">
        <w:rPr>
          <w:rFonts w:cs="Times New Roman"/>
        </w:rPr>
        <w:t>по маршрутите Несебър-Поморие-Созопол и Бургас – Остров „Св. Анастасия“ показва, че се ползват кораби тип катамарани с капацитет от 50 до 210 места</w:t>
      </w:r>
    </w:p>
    <w:bookmarkEnd w:id="337"/>
    <w:p w14:paraId="7247D267" w14:textId="71686AE8" w:rsidR="00796C2C" w:rsidRPr="00610B1B" w:rsidRDefault="004D4F60" w:rsidP="00D32D6A">
      <w:pPr>
        <w:pStyle w:val="Caption"/>
        <w:spacing w:before="0" w:line="276" w:lineRule="auto"/>
        <w:ind w:right="-153"/>
        <w:jc w:val="both"/>
        <w:rPr>
          <w:rStyle w:val="FontStyle27"/>
          <w:b w:val="0"/>
          <w:iCs/>
          <w:sz w:val="24"/>
        </w:rPr>
      </w:pPr>
      <w:r w:rsidRPr="00610B1B">
        <w:rPr>
          <w:rStyle w:val="FontStyle27"/>
          <w:b w:val="0"/>
          <w:iCs/>
          <w:sz w:val="24"/>
        </w:rPr>
        <w:t>Освен тези кораби</w:t>
      </w:r>
      <w:r w:rsidR="00A64AE8" w:rsidRPr="00610B1B">
        <w:rPr>
          <w:rStyle w:val="FontStyle27"/>
          <w:b w:val="0"/>
          <w:iCs/>
          <w:sz w:val="24"/>
        </w:rPr>
        <w:t>,</w:t>
      </w:r>
      <w:r w:rsidRPr="00610B1B">
        <w:rPr>
          <w:rStyle w:val="FontStyle27"/>
          <w:b w:val="0"/>
          <w:iCs/>
          <w:sz w:val="24"/>
        </w:rPr>
        <w:t xml:space="preserve"> в пристанищата на Южното Черноморско крайбрежие </w:t>
      </w:r>
      <w:r w:rsidR="001958B4" w:rsidRPr="00610B1B">
        <w:rPr>
          <w:rStyle w:val="FontStyle27"/>
          <w:b w:val="0"/>
          <w:iCs/>
          <w:sz w:val="24"/>
        </w:rPr>
        <w:t>п</w:t>
      </w:r>
      <w:r w:rsidR="00796C2C" w:rsidRPr="00610B1B">
        <w:rPr>
          <w:rStyle w:val="FontStyle27"/>
          <w:b w:val="0"/>
          <w:iCs/>
          <w:sz w:val="24"/>
        </w:rPr>
        <w:t>лавателни</w:t>
      </w:r>
      <w:r w:rsidR="001958B4" w:rsidRPr="00610B1B">
        <w:rPr>
          <w:rStyle w:val="FontStyle27"/>
          <w:b w:val="0"/>
          <w:iCs/>
          <w:sz w:val="24"/>
        </w:rPr>
        <w:t xml:space="preserve">те </w:t>
      </w:r>
      <w:r w:rsidR="00796C2C" w:rsidRPr="00610B1B">
        <w:rPr>
          <w:rStyle w:val="FontStyle27"/>
          <w:b w:val="0"/>
          <w:iCs/>
          <w:sz w:val="24"/>
        </w:rPr>
        <w:t xml:space="preserve">съдове за сезонен превоз на хора, които плават изключително в района на пристанището си на регистрация с лица на борда, </w:t>
      </w:r>
      <w:r w:rsidR="001958B4" w:rsidRPr="00610B1B">
        <w:rPr>
          <w:rStyle w:val="FontStyle27"/>
          <w:b w:val="0"/>
          <w:iCs/>
          <w:sz w:val="24"/>
        </w:rPr>
        <w:t xml:space="preserve">са </w:t>
      </w:r>
      <w:r w:rsidR="00C00782" w:rsidRPr="00610B1B">
        <w:rPr>
          <w:rStyle w:val="FontStyle27"/>
          <w:b w:val="0"/>
          <w:iCs/>
          <w:sz w:val="24"/>
        </w:rPr>
        <w:t xml:space="preserve">три </w:t>
      </w:r>
      <w:r w:rsidRPr="00610B1B">
        <w:rPr>
          <w:rStyle w:val="FontStyle27"/>
          <w:b w:val="0"/>
          <w:iCs/>
          <w:sz w:val="24"/>
        </w:rPr>
        <w:t>вида</w:t>
      </w:r>
      <w:r w:rsidR="00D66FE0" w:rsidRPr="00610B1B">
        <w:rPr>
          <w:rStyle w:val="FontStyle27"/>
          <w:b w:val="0"/>
          <w:iCs/>
          <w:sz w:val="24"/>
        </w:rPr>
        <w:t xml:space="preserve"> </w:t>
      </w:r>
      <w:r w:rsidR="00C00782" w:rsidRPr="00610B1B">
        <w:rPr>
          <w:rStyle w:val="FontStyle27"/>
          <w:b w:val="0"/>
          <w:iCs/>
          <w:sz w:val="24"/>
        </w:rPr>
        <w:t>- до 12 лица на борда, до 35 лица на борд</w:t>
      </w:r>
      <w:r w:rsidR="00A64AE8" w:rsidRPr="00610B1B">
        <w:rPr>
          <w:rStyle w:val="FontStyle27"/>
          <w:b w:val="0"/>
          <w:iCs/>
          <w:sz w:val="24"/>
        </w:rPr>
        <w:t>а и с повече от 35 лица на бор</w:t>
      </w:r>
      <w:r w:rsidR="000F0DD4" w:rsidRPr="00610B1B">
        <w:rPr>
          <w:rStyle w:val="FontStyle27"/>
          <w:b w:val="0"/>
          <w:iCs/>
          <w:sz w:val="24"/>
        </w:rPr>
        <w:t>да</w:t>
      </w:r>
      <w:r w:rsidR="00A64AE8" w:rsidRPr="00610B1B">
        <w:rPr>
          <w:rStyle w:val="FontStyle27"/>
          <w:b w:val="0"/>
          <w:iCs/>
          <w:sz w:val="24"/>
        </w:rPr>
        <w:t>. Регистрираните кораби в пристанищата Несебър, Поморие, Бургас, Созопол, П</w:t>
      </w:r>
      <w:r w:rsidR="00C740FA" w:rsidRPr="00610B1B">
        <w:rPr>
          <w:rStyle w:val="FontStyle27"/>
          <w:b w:val="0"/>
          <w:iCs/>
          <w:sz w:val="24"/>
        </w:rPr>
        <w:t xml:space="preserve">риморско и Ахтопол </w:t>
      </w:r>
      <w:r w:rsidR="000F0DD4" w:rsidRPr="00610B1B">
        <w:rPr>
          <w:rStyle w:val="FontStyle27"/>
          <w:b w:val="0"/>
          <w:iCs/>
          <w:sz w:val="24"/>
        </w:rPr>
        <w:t xml:space="preserve">от първия тип </w:t>
      </w:r>
      <w:r w:rsidR="00C740FA" w:rsidRPr="00610B1B">
        <w:rPr>
          <w:rStyle w:val="FontStyle27"/>
          <w:b w:val="0"/>
          <w:iCs/>
          <w:sz w:val="24"/>
        </w:rPr>
        <w:t>са приблизите</w:t>
      </w:r>
      <w:r w:rsidR="00A64AE8" w:rsidRPr="00610B1B">
        <w:rPr>
          <w:rStyle w:val="FontStyle27"/>
          <w:b w:val="0"/>
          <w:iCs/>
          <w:sz w:val="24"/>
        </w:rPr>
        <w:t>лно по равен брой, от втория тип</w:t>
      </w:r>
      <w:r w:rsidR="00D66FE0" w:rsidRPr="00610B1B">
        <w:rPr>
          <w:rStyle w:val="FontStyle27"/>
          <w:b w:val="0"/>
          <w:iCs/>
          <w:sz w:val="24"/>
        </w:rPr>
        <w:t xml:space="preserve"> </w:t>
      </w:r>
      <w:r w:rsidR="00A64AE8" w:rsidRPr="00610B1B">
        <w:rPr>
          <w:rStyle w:val="FontStyle27"/>
          <w:b w:val="0"/>
          <w:iCs/>
          <w:sz w:val="24"/>
        </w:rPr>
        <w:t>най-много кораби са регистрирани в пристанище Несебър (25 бр.), а от третия тип в пристанище Бургас</w:t>
      </w:r>
      <w:r w:rsidR="00D66FE0" w:rsidRPr="00610B1B">
        <w:rPr>
          <w:rStyle w:val="FontStyle27"/>
          <w:b w:val="0"/>
          <w:iCs/>
          <w:sz w:val="24"/>
        </w:rPr>
        <w:t xml:space="preserve"> </w:t>
      </w:r>
      <w:r w:rsidR="00A64AE8" w:rsidRPr="00610B1B">
        <w:rPr>
          <w:rStyle w:val="FontStyle27"/>
          <w:b w:val="0"/>
          <w:iCs/>
          <w:sz w:val="24"/>
        </w:rPr>
        <w:t>(</w:t>
      </w:r>
      <w:r w:rsidR="006A6784" w:rsidRPr="00610B1B">
        <w:rPr>
          <w:rStyle w:val="FontStyle27"/>
          <w:b w:val="0"/>
          <w:iCs/>
          <w:sz w:val="24"/>
        </w:rPr>
        <w:t>12 бр.</w:t>
      </w:r>
      <w:r w:rsidR="00A64AE8" w:rsidRPr="00610B1B">
        <w:rPr>
          <w:rStyle w:val="FontStyle27"/>
          <w:b w:val="0"/>
          <w:iCs/>
          <w:sz w:val="24"/>
        </w:rPr>
        <w:t>)</w:t>
      </w:r>
      <w:r w:rsidR="006A6784" w:rsidRPr="00610B1B">
        <w:rPr>
          <w:rStyle w:val="FontStyle27"/>
          <w:b w:val="0"/>
          <w:iCs/>
          <w:sz w:val="24"/>
        </w:rPr>
        <w:t>.</w:t>
      </w:r>
      <w:r w:rsidR="00D66FE0" w:rsidRPr="00610B1B">
        <w:rPr>
          <w:rStyle w:val="FontStyle27"/>
          <w:b w:val="0"/>
          <w:iCs/>
          <w:sz w:val="24"/>
        </w:rPr>
        <w:t xml:space="preserve"> </w:t>
      </w:r>
    </w:p>
    <w:p w14:paraId="189F7DA5" w14:textId="487CCDF4" w:rsidR="00796C2C" w:rsidRPr="00610B1B" w:rsidRDefault="00C00782" w:rsidP="00D32D6A">
      <w:pPr>
        <w:spacing w:after="120"/>
        <w:ind w:right="-153"/>
        <w:jc w:val="both"/>
        <w:rPr>
          <w:rStyle w:val="FontStyle28"/>
          <w:b/>
          <w:bCs/>
          <w:sz w:val="24"/>
          <w:szCs w:val="24"/>
          <w:lang w:val="bg-BG"/>
        </w:rPr>
      </w:pPr>
      <w:bookmarkStart w:id="338" w:name="_Toc28012963"/>
      <w:r w:rsidRPr="00610B1B">
        <w:rPr>
          <w:rFonts w:ascii="Times New Roman" w:hAnsi="Times New Roman" w:cs="Times New Roman"/>
          <w:sz w:val="24"/>
          <w:szCs w:val="24"/>
          <w:lang w:val="bg-BG"/>
        </w:rPr>
        <w:t xml:space="preserve">По аналогичен начин са систематизирани и анализирани данните и за корабите, обслужващи крайбрежното плаване и по </w:t>
      </w:r>
      <w:r w:rsidR="00796C2C" w:rsidRPr="00610B1B">
        <w:rPr>
          <w:rFonts w:ascii="Times New Roman" w:hAnsi="Times New Roman" w:cs="Times New Roman"/>
          <w:sz w:val="24"/>
          <w:szCs w:val="24"/>
          <w:lang w:val="bg-BG"/>
        </w:rPr>
        <w:t>Северно</w:t>
      </w:r>
      <w:r w:rsidRPr="00610B1B">
        <w:rPr>
          <w:rFonts w:ascii="Times New Roman" w:hAnsi="Times New Roman" w:cs="Times New Roman"/>
          <w:sz w:val="24"/>
          <w:szCs w:val="24"/>
          <w:lang w:val="bg-BG"/>
        </w:rPr>
        <w:t>то</w:t>
      </w:r>
      <w:r w:rsidR="00796C2C" w:rsidRPr="00610B1B">
        <w:rPr>
          <w:rFonts w:ascii="Times New Roman" w:hAnsi="Times New Roman" w:cs="Times New Roman"/>
          <w:sz w:val="24"/>
          <w:szCs w:val="24"/>
          <w:lang w:val="bg-BG"/>
        </w:rPr>
        <w:t xml:space="preserve"> Черномор</w:t>
      </w:r>
      <w:r w:rsidRPr="00610B1B">
        <w:rPr>
          <w:rFonts w:ascii="Times New Roman" w:hAnsi="Times New Roman" w:cs="Times New Roman"/>
          <w:sz w:val="24"/>
          <w:szCs w:val="24"/>
          <w:lang w:val="bg-BG"/>
        </w:rPr>
        <w:t>ско крайбрежие</w:t>
      </w:r>
      <w:bookmarkEnd w:id="338"/>
      <w:r w:rsidRPr="00610B1B">
        <w:rPr>
          <w:rFonts w:ascii="Times New Roman" w:hAnsi="Times New Roman" w:cs="Times New Roman"/>
          <w:sz w:val="24"/>
          <w:szCs w:val="24"/>
          <w:lang w:val="bg-BG"/>
        </w:rPr>
        <w:t xml:space="preserve">. </w:t>
      </w:r>
      <w:r w:rsidR="00796C2C" w:rsidRPr="00610B1B">
        <w:rPr>
          <w:rStyle w:val="FontStyle27"/>
          <w:b w:val="0"/>
          <w:bCs w:val="0"/>
          <w:sz w:val="24"/>
          <w:szCs w:val="24"/>
          <w:lang w:val="bg-BG"/>
        </w:rPr>
        <w:t>Плавателни</w:t>
      </w:r>
      <w:r w:rsidRPr="00610B1B">
        <w:rPr>
          <w:rStyle w:val="FontStyle27"/>
          <w:b w:val="0"/>
          <w:bCs w:val="0"/>
          <w:sz w:val="24"/>
          <w:szCs w:val="24"/>
          <w:lang w:val="bg-BG"/>
        </w:rPr>
        <w:t>те</w:t>
      </w:r>
      <w:r w:rsidR="00796C2C" w:rsidRPr="00610B1B">
        <w:rPr>
          <w:rStyle w:val="FontStyle27"/>
          <w:b w:val="0"/>
          <w:bCs w:val="0"/>
          <w:sz w:val="24"/>
          <w:szCs w:val="24"/>
          <w:lang w:val="bg-BG"/>
        </w:rPr>
        <w:t xml:space="preserve"> съдове за сезонен превоз на хора, които плават изключително в района на пристанището си на регистрация с лица на борда, </w:t>
      </w:r>
      <w:r w:rsidRPr="00610B1B">
        <w:rPr>
          <w:rStyle w:val="FontStyle27"/>
          <w:b w:val="0"/>
          <w:bCs w:val="0"/>
          <w:sz w:val="24"/>
          <w:szCs w:val="24"/>
          <w:lang w:val="bg-BG"/>
        </w:rPr>
        <w:t xml:space="preserve">са систематизирани в същите три групи и </w:t>
      </w:r>
      <w:r w:rsidR="006A6784" w:rsidRPr="00610B1B">
        <w:rPr>
          <w:rStyle w:val="FontStyle27"/>
          <w:b w:val="0"/>
          <w:bCs w:val="0"/>
          <w:sz w:val="24"/>
          <w:szCs w:val="24"/>
          <w:lang w:val="bg-BG"/>
        </w:rPr>
        <w:t>показват</w:t>
      </w:r>
      <w:r w:rsidR="009A2898" w:rsidRPr="00610B1B">
        <w:rPr>
          <w:rStyle w:val="FontStyle27"/>
          <w:b w:val="0"/>
          <w:bCs w:val="0"/>
          <w:sz w:val="24"/>
          <w:szCs w:val="24"/>
          <w:lang w:val="bg-BG"/>
        </w:rPr>
        <w:t>, че най-голям брой регистрирани плавателни съдове и с най-голям брой места за пасажери са регистрирани в пристанище Варна.</w:t>
      </w:r>
    </w:p>
    <w:p w14:paraId="0F796FD3" w14:textId="69D7E098" w:rsidR="00796C2C" w:rsidRPr="00610B1B" w:rsidRDefault="000C67F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По експертна оценка, на този етап, корабите, </w:t>
      </w:r>
      <w:r w:rsidR="00796C2C" w:rsidRPr="00610B1B">
        <w:rPr>
          <w:rFonts w:ascii="Times New Roman" w:hAnsi="Times New Roman" w:cs="Times New Roman"/>
          <w:sz w:val="24"/>
          <w:szCs w:val="24"/>
          <w:lang w:val="bg-BG"/>
        </w:rPr>
        <w:t>регистрирани в п</w:t>
      </w:r>
      <w:r w:rsidR="00043308" w:rsidRPr="00610B1B">
        <w:rPr>
          <w:rFonts w:ascii="Times New Roman" w:hAnsi="Times New Roman" w:cs="Times New Roman"/>
          <w:sz w:val="24"/>
          <w:szCs w:val="24"/>
          <w:lang w:val="bg-BG"/>
        </w:rPr>
        <w:t>ристани</w:t>
      </w:r>
      <w:r w:rsidR="00796C2C" w:rsidRPr="00610B1B">
        <w:rPr>
          <w:rFonts w:ascii="Times New Roman" w:hAnsi="Times New Roman" w:cs="Times New Roman"/>
          <w:sz w:val="24"/>
          <w:szCs w:val="24"/>
          <w:lang w:val="bg-BG"/>
        </w:rPr>
        <w:t xml:space="preserve">ще Бургас и терминалите по Южното Черноморие като бройки и капацитет </w:t>
      </w:r>
      <w:r w:rsidRPr="00610B1B">
        <w:rPr>
          <w:rFonts w:ascii="Times New Roman" w:hAnsi="Times New Roman" w:cs="Times New Roman"/>
          <w:sz w:val="24"/>
          <w:szCs w:val="24"/>
          <w:lang w:val="bg-BG"/>
        </w:rPr>
        <w:t>се приемат за</w:t>
      </w:r>
      <w:r w:rsidR="00796C2C" w:rsidRPr="00610B1B">
        <w:rPr>
          <w:rFonts w:ascii="Times New Roman" w:hAnsi="Times New Roman" w:cs="Times New Roman"/>
          <w:sz w:val="24"/>
          <w:szCs w:val="24"/>
          <w:lang w:val="bg-BG"/>
        </w:rPr>
        <w:t xml:space="preserve"> достатъчни. </w:t>
      </w:r>
      <w:r w:rsidRPr="00610B1B">
        <w:rPr>
          <w:rFonts w:ascii="Times New Roman" w:hAnsi="Times New Roman" w:cs="Times New Roman"/>
          <w:sz w:val="24"/>
          <w:szCs w:val="24"/>
          <w:lang w:val="bg-BG"/>
        </w:rPr>
        <w:t>За разлика от пристанище Бургас и терминалите в по-малките туристически селища на областта, в</w:t>
      </w:r>
      <w:r w:rsidR="00796C2C" w:rsidRPr="00610B1B">
        <w:rPr>
          <w:rFonts w:ascii="Times New Roman" w:hAnsi="Times New Roman" w:cs="Times New Roman"/>
          <w:sz w:val="24"/>
          <w:szCs w:val="24"/>
          <w:lang w:val="bg-BG"/>
        </w:rPr>
        <w:t xml:space="preserve"> пристанище Варна няма установени туристически маршрути. Корабите за развлекателна дейност регистрирани в п</w:t>
      </w:r>
      <w:r w:rsidRPr="00610B1B">
        <w:rPr>
          <w:rFonts w:ascii="Times New Roman" w:hAnsi="Times New Roman" w:cs="Times New Roman"/>
          <w:sz w:val="24"/>
          <w:szCs w:val="24"/>
          <w:lang w:val="bg-BG"/>
        </w:rPr>
        <w:t>ристанищата</w:t>
      </w:r>
      <w:r w:rsidR="00796C2C" w:rsidRPr="00610B1B">
        <w:rPr>
          <w:rFonts w:ascii="Times New Roman" w:hAnsi="Times New Roman" w:cs="Times New Roman"/>
          <w:sz w:val="24"/>
          <w:szCs w:val="24"/>
          <w:lang w:val="bg-BG"/>
        </w:rPr>
        <w:t xml:space="preserve"> Варна, Балчик и Каварна, работят само през активния летен сезон. Преди </w:t>
      </w:r>
      <w:r w:rsidRPr="00610B1B">
        <w:rPr>
          <w:rFonts w:ascii="Times New Roman" w:hAnsi="Times New Roman" w:cs="Times New Roman"/>
          <w:sz w:val="24"/>
          <w:szCs w:val="24"/>
          <w:lang w:val="bg-BG"/>
        </w:rPr>
        <w:t xml:space="preserve">около 30 години </w:t>
      </w:r>
      <w:r w:rsidR="00796C2C" w:rsidRPr="00610B1B">
        <w:rPr>
          <w:rFonts w:ascii="Times New Roman" w:hAnsi="Times New Roman" w:cs="Times New Roman"/>
          <w:sz w:val="24"/>
          <w:szCs w:val="24"/>
          <w:lang w:val="bg-BG"/>
        </w:rPr>
        <w:t>имаше установени традиционни морски туристически маршрути Варна – Бургас – Несебър – Созопол, които се обслужваха от кораби тип „Комета“.</w:t>
      </w:r>
      <w:r w:rsidRPr="00610B1B">
        <w:rPr>
          <w:rFonts w:ascii="Times New Roman" w:hAnsi="Times New Roman" w:cs="Times New Roman"/>
          <w:sz w:val="24"/>
          <w:szCs w:val="24"/>
          <w:lang w:val="bg-BG"/>
        </w:rPr>
        <w:t xml:space="preserve"> Функционираха и </w:t>
      </w:r>
      <w:r w:rsidR="00796C2C" w:rsidRPr="00610B1B">
        <w:rPr>
          <w:rFonts w:ascii="Times New Roman" w:hAnsi="Times New Roman" w:cs="Times New Roman"/>
          <w:sz w:val="24"/>
          <w:szCs w:val="24"/>
          <w:lang w:val="bg-BG"/>
        </w:rPr>
        <w:t>сезонни</w:t>
      </w:r>
      <w:r w:rsidRPr="00610B1B">
        <w:rPr>
          <w:rFonts w:ascii="Times New Roman" w:hAnsi="Times New Roman" w:cs="Times New Roman"/>
          <w:sz w:val="24"/>
          <w:szCs w:val="24"/>
          <w:lang w:val="bg-BG"/>
        </w:rPr>
        <w:t>те</w:t>
      </w:r>
      <w:r w:rsidR="00796C2C" w:rsidRPr="00610B1B">
        <w:rPr>
          <w:rFonts w:ascii="Times New Roman" w:hAnsi="Times New Roman" w:cs="Times New Roman"/>
          <w:sz w:val="24"/>
          <w:szCs w:val="24"/>
          <w:lang w:val="bg-BG"/>
        </w:rPr>
        <w:t xml:space="preserve"> линии Варна – Балчик и Варна – Галата, обслужвани от малки пасажерски кораби. За разлика от Южното Черноморие, Северното не разполага с достатъчно атрактивни исторически и културни обекти, които да привличат туристи. </w:t>
      </w:r>
    </w:p>
    <w:p w14:paraId="19D0099A" w14:textId="77777777" w:rsidR="009907CE" w:rsidRPr="00610B1B" w:rsidRDefault="009907CE" w:rsidP="00D32D6A">
      <w:pPr>
        <w:spacing w:after="120"/>
        <w:ind w:right="-153"/>
        <w:jc w:val="both"/>
        <w:rPr>
          <w:rFonts w:ascii="Times New Roman" w:hAnsi="Times New Roman" w:cs="Times New Roman"/>
          <w:sz w:val="24"/>
          <w:szCs w:val="24"/>
          <w:lang w:val="bg-BG"/>
        </w:rPr>
      </w:pPr>
    </w:p>
    <w:p w14:paraId="2AB44AE8" w14:textId="7F4DA8A6" w:rsidR="00796C2C" w:rsidRPr="00610B1B" w:rsidRDefault="009A2898" w:rsidP="00D32D6A">
      <w:pPr>
        <w:pStyle w:val="Heading3"/>
        <w:spacing w:before="0" w:line="276" w:lineRule="auto"/>
        <w:ind w:right="-153"/>
        <w:rPr>
          <w:rFonts w:cs="Times New Roman"/>
        </w:rPr>
      </w:pPr>
      <w:bookmarkStart w:id="339" w:name="_Toc28012964"/>
      <w:bookmarkStart w:id="340" w:name="_Toc83391375"/>
      <w:r w:rsidRPr="00610B1B">
        <w:rPr>
          <w:rFonts w:cs="Times New Roman"/>
        </w:rPr>
        <w:t>3</w:t>
      </w:r>
      <w:r w:rsidR="00F12FBF" w:rsidRPr="00610B1B">
        <w:rPr>
          <w:rFonts w:cs="Times New Roman"/>
        </w:rPr>
        <w:t>.</w:t>
      </w:r>
      <w:r w:rsidR="00BF0D18" w:rsidRPr="00610B1B">
        <w:rPr>
          <w:rFonts w:cs="Times New Roman"/>
        </w:rPr>
        <w:t>1</w:t>
      </w:r>
      <w:r w:rsidR="00F12FBF" w:rsidRPr="00610B1B">
        <w:rPr>
          <w:rFonts w:cs="Times New Roman"/>
        </w:rPr>
        <w:t xml:space="preserve">.4. </w:t>
      </w:r>
      <w:r w:rsidR="00796C2C" w:rsidRPr="00610B1B">
        <w:rPr>
          <w:rFonts w:cs="Times New Roman"/>
        </w:rPr>
        <w:t>Характеристика на морските пристанища на Р. България</w:t>
      </w:r>
      <w:bookmarkEnd w:id="339"/>
      <w:bookmarkEnd w:id="340"/>
    </w:p>
    <w:p w14:paraId="78791CA5" w14:textId="01720F49" w:rsidR="00796C2C" w:rsidRPr="00610B1B" w:rsidRDefault="009A2898" w:rsidP="00D32D6A">
      <w:pPr>
        <w:pStyle w:val="Heading4"/>
        <w:spacing w:before="0" w:line="276" w:lineRule="auto"/>
        <w:ind w:right="-153"/>
        <w:rPr>
          <w:rFonts w:cs="Times New Roman"/>
        </w:rPr>
      </w:pPr>
      <w:bookmarkStart w:id="341" w:name="_Toc28012965"/>
      <w:r w:rsidRPr="00610B1B">
        <w:rPr>
          <w:rFonts w:cs="Times New Roman"/>
        </w:rPr>
        <w:t>3</w:t>
      </w:r>
      <w:r w:rsidR="00F12FBF" w:rsidRPr="00610B1B">
        <w:rPr>
          <w:rFonts w:cs="Times New Roman"/>
        </w:rPr>
        <w:t>.</w:t>
      </w:r>
      <w:r w:rsidR="00BF0D18" w:rsidRPr="00610B1B">
        <w:rPr>
          <w:rFonts w:cs="Times New Roman"/>
        </w:rPr>
        <w:t>1</w:t>
      </w:r>
      <w:r w:rsidR="00F12FBF" w:rsidRPr="00610B1B">
        <w:rPr>
          <w:rFonts w:cs="Times New Roman"/>
        </w:rPr>
        <w:t xml:space="preserve">.4.1. </w:t>
      </w:r>
      <w:r w:rsidR="00796C2C" w:rsidRPr="00610B1B">
        <w:rPr>
          <w:rFonts w:cs="Times New Roman"/>
        </w:rPr>
        <w:t>Състояние на пристанищната инфраструктура</w:t>
      </w:r>
      <w:bookmarkEnd w:id="341"/>
    </w:p>
    <w:p w14:paraId="42E649CB" w14:textId="49A893B4" w:rsidR="00557F63" w:rsidRPr="00610B1B" w:rsidRDefault="00796C2C" w:rsidP="00557F63">
      <w:pPr>
        <w:autoSpaceDE w:val="0"/>
        <w:autoSpaceDN w:val="0"/>
        <w:adjustRightInd w:val="0"/>
        <w:spacing w:after="120"/>
        <w:ind w:right="-153"/>
        <w:jc w:val="both"/>
        <w:rPr>
          <w:rFonts w:ascii="Times New Roman" w:hAnsi="Times New Roman" w:cs="Times New Roman"/>
          <w:color w:val="000000" w:themeColor="text1"/>
          <w:sz w:val="24"/>
          <w:szCs w:val="24"/>
          <w:lang w:val="bg-BG"/>
        </w:rPr>
      </w:pPr>
      <w:bookmarkStart w:id="342" w:name="_Hlk83282109"/>
      <w:r w:rsidRPr="00610B1B">
        <w:rPr>
          <w:rFonts w:ascii="Times New Roman" w:hAnsi="Times New Roman" w:cs="Times New Roman"/>
          <w:color w:val="000000" w:themeColor="text1"/>
          <w:sz w:val="24"/>
          <w:szCs w:val="24"/>
          <w:lang w:val="bg-BG"/>
        </w:rPr>
        <w:t>В голямата си част инфраструктура на българските пристанища е строена преди повече от 100 години</w:t>
      </w:r>
      <w:r w:rsidR="007927C6" w:rsidRPr="00610B1B">
        <w:rPr>
          <w:rFonts w:ascii="Times New Roman" w:hAnsi="Times New Roman" w:cs="Times New Roman"/>
          <w:color w:val="000000" w:themeColor="text1"/>
          <w:sz w:val="24"/>
          <w:szCs w:val="24"/>
          <w:lang w:val="bg-BG"/>
        </w:rPr>
        <w:t>, като процесът на модернизацията на пристанищата продължава и до днес.</w:t>
      </w:r>
      <w:r w:rsidRPr="00610B1B">
        <w:rPr>
          <w:rFonts w:ascii="Times New Roman" w:hAnsi="Times New Roman" w:cs="Times New Roman"/>
          <w:color w:val="000000" w:themeColor="text1"/>
          <w:sz w:val="24"/>
          <w:szCs w:val="24"/>
          <w:lang w:val="bg-BG"/>
        </w:rPr>
        <w:t xml:space="preserve"> По-нови са терминалите “Варна-Запад”, „Фериботен комплекс–Варна“, „Леспорт“, „Пристанище ТЕЦ Езерово“, терминалът в Балчик, </w:t>
      </w:r>
      <w:r w:rsidR="00557F63" w:rsidRPr="00610B1B">
        <w:rPr>
          <w:rFonts w:ascii="Times New Roman" w:hAnsi="Times New Roman" w:cs="Times New Roman"/>
          <w:color w:val="000000" w:themeColor="text1"/>
          <w:sz w:val="24"/>
          <w:szCs w:val="24"/>
          <w:lang w:val="bg-BG"/>
        </w:rPr>
        <w:t>Пристанище „ПЧМВ” – Варна, пристанище „Одесос ПБМ” ЕАД – Варна и</w:t>
      </w:r>
      <w:r w:rsidR="00D66FE0" w:rsidRPr="00610B1B">
        <w:rPr>
          <w:rFonts w:ascii="Times New Roman" w:hAnsi="Times New Roman" w:cs="Times New Roman"/>
          <w:color w:val="000000" w:themeColor="text1"/>
          <w:sz w:val="24"/>
          <w:szCs w:val="24"/>
          <w:lang w:val="bg-BG"/>
        </w:rPr>
        <w:t xml:space="preserve"> </w:t>
      </w:r>
      <w:r w:rsidR="00557F63" w:rsidRPr="00610B1B">
        <w:rPr>
          <w:rFonts w:ascii="Times New Roman" w:hAnsi="Times New Roman" w:cs="Times New Roman"/>
          <w:color w:val="000000" w:themeColor="text1"/>
          <w:sz w:val="24"/>
          <w:szCs w:val="24"/>
          <w:lang w:val="bg-BG"/>
        </w:rPr>
        <w:t>терминал „Бургас-Запад“.</w:t>
      </w:r>
      <w:r w:rsidR="007927C6" w:rsidRPr="00610B1B">
        <w:rPr>
          <w:rStyle w:val="FootnoteReference"/>
          <w:rFonts w:ascii="Times New Roman" w:hAnsi="Times New Roman" w:cs="Times New Roman"/>
          <w:color w:val="000000" w:themeColor="text1"/>
          <w:sz w:val="24"/>
          <w:szCs w:val="24"/>
          <w:lang w:val="bg-BG"/>
        </w:rPr>
        <w:footnoteReference w:id="114"/>
      </w:r>
      <w:bookmarkStart w:id="343" w:name="_Hlk83282122"/>
      <w:bookmarkEnd w:id="342"/>
      <w:r w:rsidR="008753B6" w:rsidRPr="00610B1B">
        <w:rPr>
          <w:rFonts w:ascii="Times New Roman" w:hAnsi="Times New Roman" w:cs="Times New Roman"/>
          <w:color w:val="000000" w:themeColor="text1"/>
          <w:sz w:val="24"/>
          <w:szCs w:val="24"/>
          <w:lang w:val="bg-BG"/>
        </w:rPr>
        <w:t xml:space="preserve"> </w:t>
      </w:r>
      <w:r w:rsidR="00557F63" w:rsidRPr="00610B1B">
        <w:rPr>
          <w:rFonts w:ascii="Times New Roman" w:hAnsi="Times New Roman" w:cs="Times New Roman"/>
          <w:color w:val="000000" w:themeColor="text1"/>
          <w:sz w:val="24"/>
          <w:szCs w:val="24"/>
          <w:lang w:val="bg-BG"/>
        </w:rPr>
        <w:t>В процес на изграждане са два нови терминала в Пристанище Варна, в землището на гр.</w:t>
      </w:r>
      <w:r w:rsidR="001757A5" w:rsidRPr="00610B1B">
        <w:rPr>
          <w:rFonts w:ascii="Times New Roman" w:hAnsi="Times New Roman" w:cs="Times New Roman"/>
          <w:color w:val="000000" w:themeColor="text1"/>
          <w:sz w:val="24"/>
          <w:szCs w:val="24"/>
          <w:lang w:val="bg-BG"/>
        </w:rPr>
        <w:t> </w:t>
      </w:r>
      <w:r w:rsidR="00557F63" w:rsidRPr="00610B1B">
        <w:rPr>
          <w:rFonts w:ascii="Times New Roman" w:hAnsi="Times New Roman" w:cs="Times New Roman"/>
          <w:color w:val="000000" w:themeColor="text1"/>
          <w:sz w:val="24"/>
          <w:szCs w:val="24"/>
          <w:lang w:val="bg-BG"/>
        </w:rPr>
        <w:t>Белослав –за горива с инвеститор „Газтрейд”</w:t>
      </w:r>
      <w:r w:rsidR="00E04172" w:rsidRPr="00610B1B">
        <w:rPr>
          <w:rFonts w:ascii="Times New Roman" w:hAnsi="Times New Roman" w:cs="Times New Roman"/>
          <w:color w:val="000000" w:themeColor="text1"/>
          <w:sz w:val="24"/>
          <w:szCs w:val="24"/>
          <w:lang w:val="en-US"/>
        </w:rPr>
        <w:t> </w:t>
      </w:r>
      <w:r w:rsidR="00557F63" w:rsidRPr="00610B1B">
        <w:rPr>
          <w:rFonts w:ascii="Times New Roman" w:hAnsi="Times New Roman" w:cs="Times New Roman"/>
          <w:color w:val="000000" w:themeColor="text1"/>
          <w:sz w:val="24"/>
          <w:szCs w:val="24"/>
          <w:lang w:val="bg-BG"/>
        </w:rPr>
        <w:t xml:space="preserve">АД и за насипни товари и неопасни наливни товари с </w:t>
      </w:r>
      <w:r w:rsidR="00557F63" w:rsidRPr="00610B1B">
        <w:rPr>
          <w:rFonts w:ascii="Times New Roman" w:hAnsi="Times New Roman" w:cs="Times New Roman"/>
          <w:color w:val="000000" w:themeColor="text1"/>
          <w:sz w:val="24"/>
          <w:szCs w:val="24"/>
          <w:lang w:val="bg-BG"/>
        </w:rPr>
        <w:lastRenderedPageBreak/>
        <w:t>инвеститор „Бора Инвест”</w:t>
      </w:r>
      <w:r w:rsidR="001757A5" w:rsidRPr="00610B1B">
        <w:rPr>
          <w:rFonts w:ascii="Times New Roman" w:hAnsi="Times New Roman" w:cs="Times New Roman"/>
          <w:lang w:val="bg-BG"/>
        </w:rPr>
        <w:t> </w:t>
      </w:r>
      <w:r w:rsidR="00557F63" w:rsidRPr="00610B1B">
        <w:rPr>
          <w:rFonts w:ascii="Times New Roman" w:hAnsi="Times New Roman" w:cs="Times New Roman"/>
          <w:color w:val="000000" w:themeColor="text1"/>
          <w:sz w:val="24"/>
          <w:szCs w:val="24"/>
          <w:lang w:val="bg-BG"/>
        </w:rPr>
        <w:t>ЕООД.</w:t>
      </w:r>
      <w:r w:rsidR="000E3B90" w:rsidRPr="00610B1B">
        <w:rPr>
          <w:rFonts w:ascii="Times New Roman" w:hAnsi="Times New Roman" w:cs="Times New Roman"/>
          <w:color w:val="000000" w:themeColor="text1"/>
          <w:sz w:val="24"/>
          <w:szCs w:val="24"/>
          <w:lang w:val="bg-BG"/>
        </w:rPr>
        <w:t xml:space="preserve"> През последните години се влагат значителни инвестиции за модернизиране и повишаване конкурентоспособността на пристанищата.</w:t>
      </w:r>
      <w:r w:rsidR="000E3B90" w:rsidRPr="00610B1B">
        <w:rPr>
          <w:rStyle w:val="FootnoteReference"/>
          <w:rFonts w:ascii="Times New Roman" w:hAnsi="Times New Roman" w:cs="Times New Roman"/>
          <w:color w:val="000000" w:themeColor="text1"/>
          <w:sz w:val="24"/>
          <w:szCs w:val="24"/>
          <w:lang w:val="bg-BG"/>
        </w:rPr>
        <w:footnoteReference w:id="115"/>
      </w:r>
    </w:p>
    <w:bookmarkEnd w:id="343"/>
    <w:p w14:paraId="7204DB84" w14:textId="18FC2E79" w:rsidR="00796C2C" w:rsidRPr="00610B1B" w:rsidRDefault="00796C2C" w:rsidP="00557F63">
      <w:pPr>
        <w:autoSpaceDE w:val="0"/>
        <w:autoSpaceDN w:val="0"/>
        <w:adjustRightInd w:val="0"/>
        <w:spacing w:after="120"/>
        <w:ind w:right="-153"/>
        <w:jc w:val="both"/>
        <w:rPr>
          <w:rFonts w:ascii="Times New Roman" w:hAnsi="Times New Roman" w:cs="Times New Roman"/>
          <w:color w:val="000000" w:themeColor="text1"/>
          <w:sz w:val="24"/>
          <w:szCs w:val="24"/>
          <w:lang w:val="bg-BG"/>
        </w:rPr>
      </w:pPr>
      <w:r w:rsidRPr="00610B1B">
        <w:rPr>
          <w:rFonts w:ascii="Times New Roman" w:hAnsi="Times New Roman" w:cs="Times New Roman"/>
          <w:color w:val="000000" w:themeColor="text1"/>
          <w:sz w:val="24"/>
          <w:szCs w:val="24"/>
          <w:lang w:val="bg-BG"/>
        </w:rPr>
        <w:t>Техниката</w:t>
      </w:r>
      <w:r w:rsidR="009A2898" w:rsidRPr="00610B1B">
        <w:rPr>
          <w:rFonts w:ascii="Times New Roman" w:hAnsi="Times New Roman" w:cs="Times New Roman"/>
          <w:color w:val="000000" w:themeColor="text1"/>
          <w:sz w:val="24"/>
          <w:szCs w:val="24"/>
          <w:lang w:val="bg-BG"/>
        </w:rPr>
        <w:t>,</w:t>
      </w:r>
      <w:r w:rsidRPr="00610B1B">
        <w:rPr>
          <w:rFonts w:ascii="Times New Roman" w:hAnsi="Times New Roman" w:cs="Times New Roman"/>
          <w:color w:val="000000" w:themeColor="text1"/>
          <w:sz w:val="24"/>
          <w:szCs w:val="24"/>
          <w:lang w:val="bg-BG"/>
        </w:rPr>
        <w:t xml:space="preserve"> с която разполагат терминалите </w:t>
      </w:r>
      <w:r w:rsidR="00337D6F" w:rsidRPr="00610B1B">
        <w:rPr>
          <w:rFonts w:ascii="Times New Roman" w:hAnsi="Times New Roman" w:cs="Times New Roman"/>
          <w:color w:val="000000" w:themeColor="text1"/>
          <w:sz w:val="24"/>
          <w:szCs w:val="24"/>
          <w:lang w:val="bg-BG"/>
        </w:rPr>
        <w:t xml:space="preserve">трябва да </w:t>
      </w:r>
      <w:r w:rsidRPr="00610B1B">
        <w:rPr>
          <w:rFonts w:ascii="Times New Roman" w:hAnsi="Times New Roman" w:cs="Times New Roman"/>
          <w:color w:val="000000" w:themeColor="text1"/>
          <w:sz w:val="24"/>
          <w:szCs w:val="24"/>
          <w:lang w:val="bg-BG"/>
        </w:rPr>
        <w:t xml:space="preserve">отговаря на съвременните изисквания за обработка на товари. </w:t>
      </w:r>
      <w:r w:rsidR="00337D6F" w:rsidRPr="00610B1B">
        <w:rPr>
          <w:rFonts w:ascii="Times New Roman" w:hAnsi="Times New Roman" w:cs="Times New Roman"/>
          <w:color w:val="000000" w:themeColor="text1"/>
          <w:sz w:val="24"/>
          <w:szCs w:val="24"/>
          <w:lang w:val="bg-BG"/>
        </w:rPr>
        <w:t xml:space="preserve">Увеличаването на </w:t>
      </w:r>
      <w:r w:rsidRPr="00610B1B">
        <w:rPr>
          <w:rFonts w:ascii="Times New Roman" w:hAnsi="Times New Roman" w:cs="Times New Roman"/>
          <w:color w:val="000000" w:themeColor="text1"/>
          <w:sz w:val="24"/>
          <w:szCs w:val="24"/>
          <w:lang w:val="bg-BG"/>
        </w:rPr>
        <w:t>инвестиции</w:t>
      </w:r>
      <w:r w:rsidR="00337D6F" w:rsidRPr="00610B1B">
        <w:rPr>
          <w:rFonts w:ascii="Times New Roman" w:hAnsi="Times New Roman" w:cs="Times New Roman"/>
          <w:color w:val="000000" w:themeColor="text1"/>
          <w:sz w:val="24"/>
          <w:szCs w:val="24"/>
          <w:lang w:val="bg-BG"/>
        </w:rPr>
        <w:t>те</w:t>
      </w:r>
      <w:r w:rsidRPr="00610B1B">
        <w:rPr>
          <w:rFonts w:ascii="Times New Roman" w:hAnsi="Times New Roman" w:cs="Times New Roman"/>
          <w:color w:val="000000" w:themeColor="text1"/>
          <w:sz w:val="24"/>
          <w:szCs w:val="24"/>
          <w:lang w:val="bg-BG"/>
        </w:rPr>
        <w:t xml:space="preserve"> </w:t>
      </w:r>
      <w:r w:rsidR="000765AE" w:rsidRPr="00610B1B">
        <w:rPr>
          <w:rFonts w:ascii="Times New Roman" w:hAnsi="Times New Roman" w:cs="Times New Roman"/>
          <w:color w:val="000000" w:themeColor="text1"/>
          <w:sz w:val="24"/>
          <w:szCs w:val="24"/>
          <w:lang w:val="bg-BG"/>
        </w:rPr>
        <w:t>за</w:t>
      </w:r>
      <w:r w:rsidRPr="00610B1B">
        <w:rPr>
          <w:rFonts w:ascii="Times New Roman" w:hAnsi="Times New Roman" w:cs="Times New Roman"/>
          <w:color w:val="000000" w:themeColor="text1"/>
          <w:sz w:val="24"/>
          <w:szCs w:val="24"/>
          <w:lang w:val="bg-BG"/>
        </w:rPr>
        <w:t xml:space="preserve"> изграждане на модерна инфраструктура</w:t>
      </w:r>
      <w:r w:rsidR="00337D6F" w:rsidRPr="00610B1B">
        <w:rPr>
          <w:rFonts w:ascii="Times New Roman" w:hAnsi="Times New Roman" w:cs="Times New Roman"/>
          <w:color w:val="000000" w:themeColor="text1"/>
          <w:sz w:val="24"/>
          <w:szCs w:val="24"/>
          <w:lang w:val="bg-BG"/>
        </w:rPr>
        <w:t xml:space="preserve"> и за технологично обновление на терминалите ще повиши </w:t>
      </w:r>
      <w:r w:rsidRPr="00610B1B">
        <w:rPr>
          <w:rFonts w:ascii="Times New Roman" w:hAnsi="Times New Roman" w:cs="Times New Roman"/>
          <w:color w:val="000000" w:themeColor="text1"/>
          <w:sz w:val="24"/>
          <w:szCs w:val="24"/>
          <w:lang w:val="bg-BG"/>
        </w:rPr>
        <w:t>конкурентоспособно</w:t>
      </w:r>
      <w:r w:rsidR="00337D6F" w:rsidRPr="00610B1B">
        <w:rPr>
          <w:rFonts w:ascii="Times New Roman" w:hAnsi="Times New Roman" w:cs="Times New Roman"/>
          <w:color w:val="000000" w:themeColor="text1"/>
          <w:sz w:val="24"/>
          <w:szCs w:val="24"/>
          <w:lang w:val="bg-BG"/>
        </w:rPr>
        <w:t xml:space="preserve">стта на българските пристанища. </w:t>
      </w:r>
    </w:p>
    <w:p w14:paraId="38CF34B7" w14:textId="6EA7DFE3" w:rsidR="008B5DA1" w:rsidRPr="00610B1B" w:rsidRDefault="00CA375F" w:rsidP="00D32D6A">
      <w:pPr>
        <w:autoSpaceDE w:val="0"/>
        <w:autoSpaceDN w:val="0"/>
        <w:adjustRightInd w:val="0"/>
        <w:spacing w:after="120"/>
        <w:ind w:right="-153"/>
        <w:jc w:val="both"/>
        <w:rPr>
          <w:rFonts w:ascii="Times New Roman" w:hAnsi="Times New Roman" w:cs="Times New Roman"/>
          <w:color w:val="000000" w:themeColor="text1"/>
          <w:sz w:val="24"/>
          <w:szCs w:val="24"/>
          <w:lang w:val="bg-BG"/>
        </w:rPr>
      </w:pPr>
      <w:r w:rsidRPr="00610B1B">
        <w:rPr>
          <w:rFonts w:ascii="Times New Roman" w:hAnsi="Times New Roman" w:cs="Times New Roman"/>
          <w:color w:val="000000" w:themeColor="text1"/>
          <w:sz w:val="24"/>
          <w:szCs w:val="24"/>
          <w:lang w:val="bg-BG"/>
        </w:rPr>
        <w:t xml:space="preserve">Развитието </w:t>
      </w:r>
      <w:r w:rsidR="004566C7" w:rsidRPr="00610B1B">
        <w:rPr>
          <w:rFonts w:ascii="Times New Roman" w:hAnsi="Times New Roman" w:cs="Times New Roman"/>
          <w:color w:val="000000" w:themeColor="text1"/>
          <w:sz w:val="24"/>
          <w:szCs w:val="24"/>
          <w:lang w:val="bg-BG"/>
        </w:rPr>
        <w:t xml:space="preserve">на морския транспорт, пристанищата и пристанищните дейности </w:t>
      </w:r>
      <w:r w:rsidR="009A2898" w:rsidRPr="00610B1B">
        <w:rPr>
          <w:rFonts w:ascii="Times New Roman" w:hAnsi="Times New Roman" w:cs="Times New Roman"/>
          <w:color w:val="000000" w:themeColor="text1"/>
          <w:sz w:val="24"/>
          <w:szCs w:val="24"/>
          <w:lang w:val="bg-BG"/>
        </w:rPr>
        <w:t>са</w:t>
      </w:r>
      <w:r w:rsidR="004566C7" w:rsidRPr="00610B1B">
        <w:rPr>
          <w:rFonts w:ascii="Times New Roman" w:hAnsi="Times New Roman" w:cs="Times New Roman"/>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 xml:space="preserve">неотменна част </w:t>
      </w:r>
      <w:r w:rsidR="00551B0F" w:rsidRPr="00610B1B">
        <w:rPr>
          <w:rFonts w:ascii="Times New Roman" w:hAnsi="Times New Roman" w:cs="Times New Roman"/>
          <w:color w:val="000000" w:themeColor="text1"/>
          <w:sz w:val="24"/>
          <w:szCs w:val="24"/>
          <w:lang w:val="bg-BG"/>
        </w:rPr>
        <w:t>от цялостната морска политика на страната</w:t>
      </w:r>
      <w:r w:rsidRPr="00610B1B">
        <w:rPr>
          <w:rFonts w:ascii="Times New Roman" w:hAnsi="Times New Roman" w:cs="Times New Roman"/>
          <w:color w:val="000000" w:themeColor="text1"/>
          <w:sz w:val="24"/>
          <w:szCs w:val="24"/>
          <w:lang w:val="bg-BG"/>
        </w:rPr>
        <w:t xml:space="preserve"> и именно поради това е н</w:t>
      </w:r>
      <w:r w:rsidR="00551B0F" w:rsidRPr="00610B1B">
        <w:rPr>
          <w:rFonts w:ascii="Times New Roman" w:hAnsi="Times New Roman" w:cs="Times New Roman"/>
          <w:color w:val="000000" w:themeColor="text1"/>
          <w:sz w:val="24"/>
          <w:szCs w:val="24"/>
          <w:lang w:val="bg-BG"/>
        </w:rPr>
        <w:t>еобходима ясна стратегия</w:t>
      </w:r>
      <w:r w:rsidRPr="00610B1B">
        <w:rPr>
          <w:rFonts w:ascii="Times New Roman" w:hAnsi="Times New Roman" w:cs="Times New Roman"/>
          <w:color w:val="000000" w:themeColor="text1"/>
          <w:sz w:val="24"/>
          <w:szCs w:val="24"/>
          <w:lang w:val="bg-BG"/>
        </w:rPr>
        <w:t xml:space="preserve"> за развитие на сектора. Тъй като инвестициите в морски транспорт и в пристанищна инфраструктура са значителни и с дълъг период на възвращаемост, държавата трябва да </w:t>
      </w:r>
      <w:r w:rsidR="00337D6F" w:rsidRPr="00610B1B">
        <w:rPr>
          <w:rFonts w:ascii="Times New Roman" w:hAnsi="Times New Roman" w:cs="Times New Roman"/>
          <w:color w:val="000000" w:themeColor="text1"/>
          <w:sz w:val="24"/>
          <w:szCs w:val="24"/>
          <w:lang w:val="bg-BG"/>
        </w:rPr>
        <w:t>насърчава икономическите оператори</w:t>
      </w:r>
      <w:r w:rsidRPr="00610B1B">
        <w:rPr>
          <w:rFonts w:ascii="Times New Roman" w:hAnsi="Times New Roman" w:cs="Times New Roman"/>
          <w:color w:val="000000" w:themeColor="text1"/>
          <w:sz w:val="24"/>
          <w:szCs w:val="24"/>
          <w:lang w:val="bg-BG"/>
        </w:rPr>
        <w:t xml:space="preserve">, чрез </w:t>
      </w:r>
      <w:r w:rsidR="00337D6F" w:rsidRPr="00610B1B">
        <w:rPr>
          <w:rFonts w:ascii="Times New Roman" w:hAnsi="Times New Roman" w:cs="Times New Roman"/>
          <w:color w:val="000000" w:themeColor="text1"/>
          <w:sz w:val="24"/>
          <w:szCs w:val="24"/>
          <w:lang w:val="bg-BG"/>
        </w:rPr>
        <w:t>механизмите на публично-частното партньорство, съгласно изискванията на Закона за концесиите</w:t>
      </w:r>
      <w:r w:rsidR="008753B6" w:rsidRPr="00610B1B">
        <w:rPr>
          <w:rFonts w:ascii="Times New Roman" w:hAnsi="Times New Roman" w:cs="Times New Roman"/>
          <w:color w:val="000000" w:themeColor="text1"/>
          <w:sz w:val="24"/>
          <w:szCs w:val="24"/>
          <w:lang w:val="bg-BG"/>
        </w:rPr>
        <w:t xml:space="preserve"> </w:t>
      </w:r>
      <w:r w:rsidR="00337D6F" w:rsidRPr="00610B1B">
        <w:rPr>
          <w:rFonts w:ascii="Times New Roman" w:hAnsi="Times New Roman" w:cs="Times New Roman"/>
          <w:color w:val="000000" w:themeColor="text1"/>
          <w:sz w:val="24"/>
          <w:szCs w:val="24"/>
          <w:lang w:val="bg-BG"/>
        </w:rPr>
        <w:t xml:space="preserve">и в съответствие със законодателството на ЕС. </w:t>
      </w:r>
      <w:r w:rsidRPr="00610B1B">
        <w:rPr>
          <w:rFonts w:ascii="Times New Roman" w:hAnsi="Times New Roman" w:cs="Times New Roman"/>
          <w:color w:val="000000" w:themeColor="text1"/>
          <w:sz w:val="24"/>
          <w:szCs w:val="24"/>
          <w:lang w:val="bg-BG"/>
        </w:rPr>
        <w:t>Това ще осигури</w:t>
      </w:r>
      <w:r w:rsidR="00D66FE0" w:rsidRPr="00610B1B">
        <w:rPr>
          <w:rFonts w:ascii="Times New Roman" w:hAnsi="Times New Roman" w:cs="Times New Roman"/>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инвестиране в нови технологични решени</w:t>
      </w:r>
      <w:r w:rsidR="008B5DA1" w:rsidRPr="00610B1B">
        <w:rPr>
          <w:rFonts w:ascii="Times New Roman" w:hAnsi="Times New Roman" w:cs="Times New Roman"/>
          <w:color w:val="000000" w:themeColor="text1"/>
          <w:sz w:val="24"/>
          <w:szCs w:val="24"/>
          <w:lang w:val="bg-BG"/>
        </w:rPr>
        <w:t>я</w:t>
      </w:r>
      <w:r w:rsidRPr="00610B1B">
        <w:rPr>
          <w:rFonts w:ascii="Times New Roman" w:hAnsi="Times New Roman" w:cs="Times New Roman"/>
          <w:color w:val="000000" w:themeColor="text1"/>
          <w:sz w:val="24"/>
          <w:szCs w:val="24"/>
          <w:lang w:val="bg-BG"/>
        </w:rPr>
        <w:t xml:space="preserve"> за товарно-разтоварните дейности, </w:t>
      </w:r>
      <w:r w:rsidR="008B5DA1" w:rsidRPr="00610B1B">
        <w:rPr>
          <w:rFonts w:ascii="Times New Roman" w:hAnsi="Times New Roman" w:cs="Times New Roman"/>
          <w:color w:val="000000" w:themeColor="text1"/>
          <w:sz w:val="24"/>
          <w:szCs w:val="24"/>
          <w:lang w:val="bg-BG"/>
        </w:rPr>
        <w:t xml:space="preserve">в </w:t>
      </w:r>
      <w:r w:rsidRPr="00610B1B">
        <w:rPr>
          <w:rFonts w:ascii="Times New Roman" w:hAnsi="Times New Roman" w:cs="Times New Roman"/>
          <w:color w:val="000000" w:themeColor="text1"/>
          <w:sz w:val="24"/>
          <w:szCs w:val="24"/>
          <w:lang w:val="bg-BG"/>
        </w:rPr>
        <w:t xml:space="preserve">логистичните зони за съхранение и дистрибуция на стоки и товари, което значително ще ускори обработването на корабите и товарите и ще увеличи ефективността на българската икономика. </w:t>
      </w:r>
    </w:p>
    <w:p w14:paraId="38DF12BF" w14:textId="6E041641" w:rsidR="00796C2C" w:rsidRPr="00610B1B" w:rsidRDefault="008B5DA1" w:rsidP="00D32D6A">
      <w:pPr>
        <w:autoSpaceDE w:val="0"/>
        <w:autoSpaceDN w:val="0"/>
        <w:adjustRightInd w:val="0"/>
        <w:spacing w:after="120"/>
        <w:ind w:right="-153"/>
        <w:jc w:val="both"/>
        <w:rPr>
          <w:rFonts w:ascii="Times New Roman" w:hAnsi="Times New Roman" w:cs="Times New Roman"/>
          <w:color w:val="000000" w:themeColor="text1"/>
          <w:sz w:val="24"/>
          <w:szCs w:val="24"/>
          <w:lang w:val="bg-BG"/>
        </w:rPr>
      </w:pPr>
      <w:r w:rsidRPr="00610B1B">
        <w:rPr>
          <w:rFonts w:ascii="Times New Roman" w:hAnsi="Times New Roman" w:cs="Times New Roman"/>
          <w:color w:val="000000" w:themeColor="text1"/>
          <w:sz w:val="24"/>
          <w:szCs w:val="24"/>
          <w:lang w:val="bg-BG"/>
        </w:rPr>
        <w:t xml:space="preserve">Допълнително е необходимо да </w:t>
      </w:r>
      <w:r w:rsidR="009A2898" w:rsidRPr="00610B1B">
        <w:rPr>
          <w:rFonts w:ascii="Times New Roman" w:hAnsi="Times New Roman" w:cs="Times New Roman"/>
          <w:color w:val="000000" w:themeColor="text1"/>
          <w:sz w:val="24"/>
          <w:szCs w:val="24"/>
          <w:lang w:val="bg-BG"/>
        </w:rPr>
        <w:t xml:space="preserve">се </w:t>
      </w:r>
      <w:r w:rsidRPr="00610B1B">
        <w:rPr>
          <w:rFonts w:ascii="Times New Roman" w:hAnsi="Times New Roman" w:cs="Times New Roman"/>
          <w:color w:val="000000" w:themeColor="text1"/>
          <w:sz w:val="24"/>
          <w:szCs w:val="24"/>
          <w:lang w:val="bg-BG"/>
        </w:rPr>
        <w:t>намали административната тежест в морския сектор. Това може да се постигне чрез съкращаване на сроковете и опростяване на процедурите за получаване на разрешение за строеж, за изграждане или разширение на терминал, за конверсия на сгради и пространства. Процесът на подготовка на документацията, съгласувателните процедури и одобряването трябва да бъде улеснен</w:t>
      </w:r>
      <w:r w:rsidR="009A2898" w:rsidRPr="00610B1B">
        <w:rPr>
          <w:rFonts w:ascii="Times New Roman" w:hAnsi="Times New Roman" w:cs="Times New Roman"/>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сроковете намалени, а институциите да оказват съдействие за реализиране на подобни проекти.</w:t>
      </w:r>
      <w:r w:rsidR="00CA375F" w:rsidRPr="00610B1B">
        <w:rPr>
          <w:rFonts w:ascii="Times New Roman" w:hAnsi="Times New Roman" w:cs="Times New Roman"/>
          <w:color w:val="000000" w:themeColor="text1"/>
          <w:sz w:val="24"/>
          <w:szCs w:val="24"/>
          <w:lang w:val="bg-BG"/>
        </w:rPr>
        <w:t xml:space="preserve"> </w:t>
      </w:r>
    </w:p>
    <w:p w14:paraId="7DACDF67" w14:textId="77777777" w:rsidR="0074232E" w:rsidRPr="00610B1B" w:rsidRDefault="00490395" w:rsidP="00D32D6A">
      <w:pPr>
        <w:autoSpaceDE w:val="0"/>
        <w:autoSpaceDN w:val="0"/>
        <w:adjustRightInd w:val="0"/>
        <w:spacing w:after="120"/>
        <w:ind w:right="-153"/>
        <w:jc w:val="both"/>
        <w:rPr>
          <w:rFonts w:ascii="Times New Roman" w:hAnsi="Times New Roman" w:cs="Times New Roman"/>
          <w:color w:val="000000" w:themeColor="text1"/>
          <w:sz w:val="24"/>
          <w:szCs w:val="24"/>
          <w:lang w:val="bg-BG"/>
        </w:rPr>
      </w:pPr>
      <w:r w:rsidRPr="00610B1B">
        <w:rPr>
          <w:rFonts w:ascii="Times New Roman" w:hAnsi="Times New Roman" w:cs="Times New Roman"/>
          <w:color w:val="000000" w:themeColor="text1"/>
          <w:sz w:val="24"/>
          <w:szCs w:val="24"/>
          <w:lang w:val="bg-BG"/>
        </w:rPr>
        <w:t>Развитието на пристанищата ще бъде свързано с тяхното преструктуриране и функционално и технологично обновяване, преместването на определени дейности извън конфликтните зони, изграждането на специализирани пристанищни терминали и с</w:t>
      </w:r>
      <w:r w:rsidR="00796C2C" w:rsidRPr="00610B1B">
        <w:rPr>
          <w:rFonts w:ascii="Times New Roman" w:hAnsi="Times New Roman" w:cs="Times New Roman"/>
          <w:color w:val="000000" w:themeColor="text1"/>
          <w:sz w:val="24"/>
          <w:szCs w:val="24"/>
          <w:lang w:val="bg-BG"/>
        </w:rPr>
        <w:t>ъздаване</w:t>
      </w:r>
      <w:r w:rsidRPr="00610B1B">
        <w:rPr>
          <w:rFonts w:ascii="Times New Roman" w:hAnsi="Times New Roman" w:cs="Times New Roman"/>
          <w:color w:val="000000" w:themeColor="text1"/>
          <w:sz w:val="24"/>
          <w:szCs w:val="24"/>
          <w:lang w:val="bg-BG"/>
        </w:rPr>
        <w:t>то</w:t>
      </w:r>
      <w:r w:rsidR="00796C2C" w:rsidRPr="00610B1B">
        <w:rPr>
          <w:rFonts w:ascii="Times New Roman" w:hAnsi="Times New Roman" w:cs="Times New Roman"/>
          <w:color w:val="000000" w:themeColor="text1"/>
          <w:sz w:val="24"/>
          <w:szCs w:val="24"/>
          <w:lang w:val="bg-BG"/>
        </w:rPr>
        <w:t xml:space="preserve"> на условия за приемане и обработка на голямотонажни кораби чрез удълбочаване на подходите и акваторията</w:t>
      </w:r>
      <w:r w:rsidRPr="00610B1B">
        <w:rPr>
          <w:rFonts w:ascii="Times New Roman" w:hAnsi="Times New Roman" w:cs="Times New Roman"/>
          <w:color w:val="000000" w:themeColor="text1"/>
          <w:sz w:val="24"/>
          <w:szCs w:val="24"/>
          <w:lang w:val="bg-BG"/>
        </w:rPr>
        <w:t xml:space="preserve"> и премахване на физическите ограничения. </w:t>
      </w:r>
    </w:p>
    <w:p w14:paraId="345AFBAA" w14:textId="48560B2A" w:rsidR="00490395" w:rsidRPr="00610B1B" w:rsidRDefault="00796C2C" w:rsidP="00D32D6A">
      <w:pPr>
        <w:autoSpaceDE w:val="0"/>
        <w:autoSpaceDN w:val="0"/>
        <w:adjustRightInd w:val="0"/>
        <w:spacing w:after="120"/>
        <w:ind w:right="-153"/>
        <w:jc w:val="both"/>
        <w:rPr>
          <w:rFonts w:ascii="Times New Roman" w:hAnsi="Times New Roman" w:cs="Times New Roman"/>
          <w:color w:val="000000" w:themeColor="text1"/>
          <w:sz w:val="24"/>
          <w:szCs w:val="24"/>
          <w:lang w:val="bg-BG"/>
        </w:rPr>
      </w:pPr>
      <w:r w:rsidRPr="00610B1B">
        <w:rPr>
          <w:rFonts w:ascii="Times New Roman" w:hAnsi="Times New Roman" w:cs="Times New Roman"/>
          <w:color w:val="000000" w:themeColor="text1"/>
          <w:sz w:val="24"/>
          <w:szCs w:val="24"/>
          <w:lang w:val="bg-BG"/>
        </w:rPr>
        <w:t xml:space="preserve">Във връзка с повишените изисквания </w:t>
      </w:r>
      <w:r w:rsidR="00490395" w:rsidRPr="00610B1B">
        <w:rPr>
          <w:rFonts w:ascii="Times New Roman" w:hAnsi="Times New Roman" w:cs="Times New Roman"/>
          <w:color w:val="000000" w:themeColor="text1"/>
          <w:sz w:val="24"/>
          <w:szCs w:val="24"/>
          <w:lang w:val="bg-BG"/>
        </w:rPr>
        <w:t>за</w:t>
      </w:r>
      <w:r w:rsidRPr="00610B1B">
        <w:rPr>
          <w:rFonts w:ascii="Times New Roman" w:hAnsi="Times New Roman" w:cs="Times New Roman"/>
          <w:color w:val="000000" w:themeColor="text1"/>
          <w:sz w:val="24"/>
          <w:szCs w:val="24"/>
          <w:lang w:val="bg-BG"/>
        </w:rPr>
        <w:t xml:space="preserve"> опазване на околната среда, е необходимо да се изградят подходящи</w:t>
      </w:r>
      <w:r w:rsidR="00490395" w:rsidRPr="00610B1B">
        <w:rPr>
          <w:rFonts w:ascii="Times New Roman" w:hAnsi="Times New Roman" w:cs="Times New Roman"/>
          <w:color w:val="000000" w:themeColor="text1"/>
          <w:sz w:val="24"/>
          <w:szCs w:val="24"/>
          <w:lang w:val="bg-BG"/>
        </w:rPr>
        <w:t>,</w:t>
      </w:r>
      <w:r w:rsidRPr="00610B1B">
        <w:rPr>
          <w:rFonts w:ascii="Times New Roman" w:hAnsi="Times New Roman" w:cs="Times New Roman"/>
          <w:color w:val="000000" w:themeColor="text1"/>
          <w:sz w:val="24"/>
          <w:szCs w:val="24"/>
          <w:lang w:val="bg-BG"/>
        </w:rPr>
        <w:t xml:space="preserve"> отговарящи на международни</w:t>
      </w:r>
      <w:r w:rsidR="00490395" w:rsidRPr="00610B1B">
        <w:rPr>
          <w:rFonts w:ascii="Times New Roman" w:hAnsi="Times New Roman" w:cs="Times New Roman"/>
          <w:color w:val="000000" w:themeColor="text1"/>
          <w:sz w:val="24"/>
          <w:szCs w:val="24"/>
          <w:lang w:val="bg-BG"/>
        </w:rPr>
        <w:t>те</w:t>
      </w:r>
      <w:r w:rsidRPr="00610B1B">
        <w:rPr>
          <w:rFonts w:ascii="Times New Roman" w:hAnsi="Times New Roman" w:cs="Times New Roman"/>
          <w:color w:val="000000" w:themeColor="text1"/>
          <w:sz w:val="24"/>
          <w:szCs w:val="24"/>
          <w:lang w:val="bg-BG"/>
        </w:rPr>
        <w:t xml:space="preserve"> изисквания</w:t>
      </w:r>
      <w:r w:rsidR="00490395" w:rsidRPr="00610B1B">
        <w:rPr>
          <w:rFonts w:ascii="Times New Roman" w:hAnsi="Times New Roman" w:cs="Times New Roman"/>
          <w:color w:val="000000" w:themeColor="text1"/>
          <w:sz w:val="24"/>
          <w:szCs w:val="24"/>
          <w:lang w:val="bg-BG"/>
        </w:rPr>
        <w:t>,</w:t>
      </w:r>
      <w:r w:rsidRPr="00610B1B">
        <w:rPr>
          <w:rFonts w:ascii="Times New Roman" w:hAnsi="Times New Roman" w:cs="Times New Roman"/>
          <w:color w:val="000000" w:themeColor="text1"/>
          <w:sz w:val="24"/>
          <w:szCs w:val="24"/>
          <w:lang w:val="bg-BG"/>
        </w:rPr>
        <w:t xml:space="preserve"> приемни съоръжения за събиране и обработване на корабни отпадъци и управление на баластни води.</w:t>
      </w:r>
      <w:r w:rsidR="00490395" w:rsidRPr="00610B1B">
        <w:rPr>
          <w:rFonts w:ascii="Times New Roman" w:hAnsi="Times New Roman" w:cs="Times New Roman"/>
          <w:color w:val="000000" w:themeColor="text1"/>
          <w:sz w:val="24"/>
          <w:szCs w:val="24"/>
          <w:lang w:val="bg-BG"/>
        </w:rPr>
        <w:t xml:space="preserve"> Това ще подпомогне дейностите по опазване на морската околна среда, ще намали заплахата от навлизането на чужди инвазивни видове и заедно с мерките по защита на урбанизираните територии и инфраструктурата от екстремни климатични събития в резултат от изменението на климата, ще отговори на глобалните екологични предизвикателства. </w:t>
      </w:r>
      <w:r w:rsidR="00557F63" w:rsidRPr="00610B1B">
        <w:rPr>
          <w:rFonts w:ascii="Times New Roman" w:hAnsi="Times New Roman" w:cs="Times New Roman"/>
          <w:color w:val="000000" w:themeColor="text1"/>
          <w:sz w:val="24"/>
          <w:szCs w:val="24"/>
          <w:lang w:val="bg-BG"/>
        </w:rPr>
        <w:t xml:space="preserve">За да отговори на тези изисквания ДП „Пристанищна инфраструктура“ е в процес на изпълнение на </w:t>
      </w:r>
      <w:r w:rsidR="00337D6F" w:rsidRPr="00610B1B">
        <w:rPr>
          <w:rFonts w:ascii="Times New Roman" w:hAnsi="Times New Roman" w:cs="Times New Roman"/>
          <w:color w:val="000000" w:themeColor="text1"/>
          <w:sz w:val="24"/>
          <w:szCs w:val="24"/>
          <w:lang w:val="bg-BG"/>
        </w:rPr>
        <w:t xml:space="preserve">два проекта с европейско финансиране, а именно: </w:t>
      </w:r>
      <w:r w:rsidR="00557F63" w:rsidRPr="00610B1B">
        <w:rPr>
          <w:rFonts w:ascii="Times New Roman" w:hAnsi="Times New Roman" w:cs="Times New Roman"/>
          <w:color w:val="000000" w:themeColor="text1"/>
          <w:sz w:val="24"/>
          <w:szCs w:val="24"/>
          <w:lang w:val="bg-BG"/>
        </w:rPr>
        <w:t xml:space="preserve">Проект № BG16М1ОР001-4.001-0005 „Техническа помощ за подготовката и реализацията на проект </w:t>
      </w:r>
      <w:r w:rsidR="00557F63" w:rsidRPr="00610B1B">
        <w:rPr>
          <w:rFonts w:ascii="Times New Roman" w:hAnsi="Times New Roman" w:cs="Times New Roman"/>
          <w:color w:val="000000" w:themeColor="text1"/>
          <w:sz w:val="24"/>
          <w:szCs w:val="24"/>
          <w:lang w:val="bg-BG"/>
        </w:rPr>
        <w:lastRenderedPageBreak/>
        <w:t>„Доставка, монтаж и въвеждане в експлоатация на пристанищни приемни съоръжения (ППС) в българските пристанища за обществен транспорт с национално значение“</w:t>
      </w:r>
      <w:r w:rsidR="00337D6F" w:rsidRPr="00610B1B">
        <w:rPr>
          <w:rFonts w:ascii="Times New Roman" w:hAnsi="Times New Roman" w:cs="Times New Roman"/>
          <w:color w:val="000000" w:themeColor="text1"/>
          <w:sz w:val="24"/>
          <w:szCs w:val="24"/>
          <w:lang w:val="bg-BG"/>
        </w:rPr>
        <w:t xml:space="preserve"> и проект BG16М1ОР001-4.001-0015 „Доставка </w:t>
      </w:r>
      <w:r w:rsidR="00727BAE" w:rsidRPr="00610B1B">
        <w:rPr>
          <w:rFonts w:ascii="Times New Roman" w:hAnsi="Times New Roman" w:cs="Times New Roman"/>
          <w:color w:val="000000" w:themeColor="text1"/>
          <w:sz w:val="24"/>
          <w:szCs w:val="24"/>
          <w:lang w:val="bg-BG"/>
        </w:rPr>
        <w:t xml:space="preserve">монтаж и въвеждане в експлоатация на пристанищни приемни съоръжения (ППС) в българските пристанища с национално значение“, финансиран по </w:t>
      </w:r>
      <w:r w:rsidR="00C32D10" w:rsidRPr="00610B1B">
        <w:rPr>
          <w:rFonts w:ascii="Times New Roman" w:hAnsi="Times New Roman" w:cs="Times New Roman"/>
          <w:color w:val="000000" w:themeColor="text1"/>
          <w:sz w:val="24"/>
          <w:szCs w:val="24"/>
          <w:lang w:val="bg-BG"/>
        </w:rPr>
        <w:t xml:space="preserve">Приоритетна </w:t>
      </w:r>
      <w:r w:rsidR="00727BAE" w:rsidRPr="00610B1B">
        <w:rPr>
          <w:rFonts w:ascii="Times New Roman" w:hAnsi="Times New Roman" w:cs="Times New Roman"/>
          <w:color w:val="000000" w:themeColor="text1"/>
          <w:sz w:val="24"/>
          <w:szCs w:val="24"/>
          <w:lang w:val="bg-BG"/>
        </w:rPr>
        <w:t xml:space="preserve">ос 4 на Оперативна програма „Транспорт и транспортна инфраструктура“ 2014 – 2020 г. </w:t>
      </w:r>
    </w:p>
    <w:p w14:paraId="5CE65D32" w14:textId="4DF8A5D2" w:rsidR="0074232E" w:rsidRPr="00610B1B" w:rsidRDefault="0048393E" w:rsidP="0074232E">
      <w:pPr>
        <w:autoSpaceDE w:val="0"/>
        <w:autoSpaceDN w:val="0"/>
        <w:adjustRightInd w:val="0"/>
        <w:spacing w:after="120"/>
        <w:ind w:right="-153"/>
        <w:jc w:val="both"/>
        <w:rPr>
          <w:rFonts w:ascii="Times New Roman" w:hAnsi="Times New Roman" w:cs="Times New Roman"/>
          <w:color w:val="000000" w:themeColor="text1"/>
          <w:sz w:val="24"/>
          <w:szCs w:val="24"/>
          <w:lang w:val="bg-BG"/>
        </w:rPr>
      </w:pPr>
      <w:r w:rsidRPr="00610B1B">
        <w:rPr>
          <w:rFonts w:ascii="Times New Roman" w:hAnsi="Times New Roman" w:cs="Times New Roman"/>
          <w:color w:val="000000" w:themeColor="text1"/>
          <w:sz w:val="24"/>
          <w:szCs w:val="24"/>
          <w:lang w:val="bg-BG"/>
        </w:rPr>
        <w:t xml:space="preserve">Част от политиката по обновяване на пристанищните градски зони са и етапно </w:t>
      </w:r>
      <w:r w:rsidR="00E04172" w:rsidRPr="00610B1B">
        <w:rPr>
          <w:rFonts w:ascii="Times New Roman" w:hAnsi="Times New Roman" w:cs="Times New Roman"/>
          <w:color w:val="000000" w:themeColor="text1"/>
          <w:sz w:val="24"/>
          <w:szCs w:val="24"/>
          <w:lang w:val="bg-BG"/>
        </w:rPr>
        <w:t>осъществяваните</w:t>
      </w:r>
      <w:r w:rsidRPr="00610B1B">
        <w:rPr>
          <w:rFonts w:ascii="Times New Roman" w:hAnsi="Times New Roman" w:cs="Times New Roman"/>
          <w:color w:val="000000" w:themeColor="text1"/>
          <w:sz w:val="24"/>
          <w:szCs w:val="24"/>
          <w:lang w:val="bg-BG"/>
        </w:rPr>
        <w:t xml:space="preserve"> проекти за частичното „отваряне“ на пристанищната територия в „Зона за обществен достъп" на пристанища за обществен транспорт Варна и Бургас, с цел постигане на оптимална интеграция на градската зона с морето. Друг </w:t>
      </w:r>
      <w:r w:rsidR="00727BAE" w:rsidRPr="00610B1B">
        <w:rPr>
          <w:rFonts w:ascii="Times New Roman" w:hAnsi="Times New Roman" w:cs="Times New Roman"/>
          <w:color w:val="000000" w:themeColor="text1"/>
          <w:sz w:val="24"/>
          <w:szCs w:val="24"/>
          <w:lang w:val="bg-BG"/>
        </w:rPr>
        <w:t>стратегически</w:t>
      </w:r>
      <w:r w:rsidRPr="00610B1B">
        <w:rPr>
          <w:rFonts w:ascii="Times New Roman" w:hAnsi="Times New Roman" w:cs="Times New Roman"/>
          <w:color w:val="000000" w:themeColor="text1"/>
          <w:sz w:val="24"/>
          <w:szCs w:val="24"/>
          <w:lang w:val="bg-BG"/>
        </w:rPr>
        <w:t xml:space="preserve"> проект</w:t>
      </w:r>
      <w:r w:rsidR="00727BAE" w:rsidRPr="00610B1B">
        <w:rPr>
          <w:rFonts w:ascii="Times New Roman" w:hAnsi="Times New Roman" w:cs="Times New Roman"/>
          <w:color w:val="000000" w:themeColor="text1"/>
          <w:sz w:val="24"/>
          <w:szCs w:val="24"/>
          <w:lang w:val="bg-BG"/>
        </w:rPr>
        <w:t xml:space="preserve"> е „Възстановяване на проектните параметри на морската естакада Шабла“, разположена в непосредствена близост до нос Шабла. Съоръжението е построено в</w:t>
      </w:r>
      <w:r w:rsidR="0074232E" w:rsidRPr="00610B1B">
        <w:rPr>
          <w:rFonts w:ascii="Times New Roman" w:hAnsi="Times New Roman" w:cs="Times New Roman"/>
          <w:color w:val="000000" w:themeColor="text1"/>
          <w:sz w:val="24"/>
          <w:szCs w:val="24"/>
          <w:lang w:val="bg-BG"/>
        </w:rPr>
        <w:t xml:space="preserve"> периода 1967-68 г. за нуждите на нефтодобива. Пристанищното съоръжение навлиза в Че</w:t>
      </w:r>
      <w:r w:rsidR="00727BAE" w:rsidRPr="00610B1B">
        <w:rPr>
          <w:rFonts w:ascii="Times New Roman" w:hAnsi="Times New Roman" w:cs="Times New Roman"/>
          <w:color w:val="000000" w:themeColor="text1"/>
          <w:sz w:val="24"/>
          <w:szCs w:val="24"/>
          <w:lang w:val="bg-BG"/>
        </w:rPr>
        <w:t>рно море с дължина 414 m, широко</w:t>
      </w:r>
      <w:r w:rsidR="0074232E" w:rsidRPr="00610B1B">
        <w:rPr>
          <w:rFonts w:ascii="Times New Roman" w:hAnsi="Times New Roman" w:cs="Times New Roman"/>
          <w:color w:val="000000" w:themeColor="text1"/>
          <w:sz w:val="24"/>
          <w:szCs w:val="24"/>
          <w:lang w:val="bg-BG"/>
        </w:rPr>
        <w:t xml:space="preserve"> е 6 m и има островна площадка, издигната на 8,5 m над морското равнище. През годините съоръжението не е поддържано, в резултат на което носещата конструкция е компрометирана и естакадата е негодна за експлоатация.</w:t>
      </w:r>
      <w:r w:rsidRPr="00610B1B">
        <w:rPr>
          <w:rFonts w:ascii="Times New Roman" w:hAnsi="Times New Roman" w:cs="Times New Roman"/>
          <w:color w:val="000000" w:themeColor="text1"/>
          <w:sz w:val="24"/>
          <w:szCs w:val="24"/>
          <w:lang w:val="bg-BG"/>
        </w:rPr>
        <w:t xml:space="preserve"> </w:t>
      </w:r>
      <w:r w:rsidR="0074232E" w:rsidRPr="00610B1B">
        <w:rPr>
          <w:rFonts w:ascii="Times New Roman" w:hAnsi="Times New Roman" w:cs="Times New Roman"/>
          <w:color w:val="000000" w:themeColor="text1"/>
          <w:sz w:val="24"/>
          <w:szCs w:val="24"/>
          <w:lang w:val="bg-BG"/>
        </w:rPr>
        <w:t>През 2012 г. Морска естакада Шабла е предоставена за управление на Държавно предприятие "Пристанищна инфраструктура". В момента естакадата е в процес на възстановяване за достигане на проектните</w:t>
      </w:r>
      <w:r w:rsidR="00DE3A13" w:rsidRPr="00610B1B">
        <w:rPr>
          <w:rFonts w:ascii="Times New Roman" w:hAnsi="Times New Roman" w:cs="Times New Roman"/>
          <w:color w:val="000000" w:themeColor="text1"/>
          <w:sz w:val="24"/>
          <w:szCs w:val="24"/>
          <w:lang w:val="bg-BG"/>
        </w:rPr>
        <w:t xml:space="preserve"> ѝ </w:t>
      </w:r>
      <w:r w:rsidR="0074232E" w:rsidRPr="00610B1B">
        <w:rPr>
          <w:rFonts w:ascii="Times New Roman" w:hAnsi="Times New Roman" w:cs="Times New Roman"/>
          <w:color w:val="000000" w:themeColor="text1"/>
          <w:sz w:val="24"/>
          <w:szCs w:val="24"/>
          <w:lang w:val="bg-BG"/>
        </w:rPr>
        <w:t>параметри.</w:t>
      </w:r>
    </w:p>
    <w:p w14:paraId="044DCD3A" w14:textId="4B77D384" w:rsidR="00410372" w:rsidRPr="00610B1B" w:rsidRDefault="009A2898" w:rsidP="00D32D6A">
      <w:pPr>
        <w:pStyle w:val="Heading4"/>
        <w:spacing w:before="0" w:line="276" w:lineRule="auto"/>
        <w:ind w:right="-153"/>
        <w:rPr>
          <w:rFonts w:cs="Times New Roman"/>
        </w:rPr>
      </w:pPr>
      <w:r w:rsidRPr="00610B1B">
        <w:rPr>
          <w:rFonts w:cs="Times New Roman"/>
        </w:rPr>
        <w:t>3</w:t>
      </w:r>
      <w:r w:rsidR="00490395" w:rsidRPr="00610B1B">
        <w:rPr>
          <w:rFonts w:cs="Times New Roman"/>
        </w:rPr>
        <w:t>.</w:t>
      </w:r>
      <w:r w:rsidR="00BF0D18" w:rsidRPr="00610B1B">
        <w:rPr>
          <w:rFonts w:cs="Times New Roman"/>
        </w:rPr>
        <w:t>1</w:t>
      </w:r>
      <w:r w:rsidR="00490395" w:rsidRPr="00610B1B">
        <w:rPr>
          <w:rFonts w:cs="Times New Roman"/>
        </w:rPr>
        <w:t xml:space="preserve">.4.2. </w:t>
      </w:r>
      <w:r w:rsidR="00410372" w:rsidRPr="00610B1B">
        <w:rPr>
          <w:rFonts w:cs="Times New Roman"/>
        </w:rPr>
        <w:t>Крайбрежна транспортна инфраструктура</w:t>
      </w:r>
    </w:p>
    <w:p w14:paraId="37C6E9FC" w14:textId="340FD81E"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 xml:space="preserve">Новата политика на ЕС за транспортната инфраструктура цели превръщането на мрежата от съществуващите европейски пътища, железопътни линии, вътрешни водни пътища, летища, вътрешни и морски пристанища и железопътни/пътни терминали в интегрирана мрежа, обхващаща всички държави членки. Политиката за мрежата TEN-T е насочена </w:t>
      </w:r>
      <w:r w:rsidR="00CC1F81" w:rsidRPr="00610B1B">
        <w:rPr>
          <w:rFonts w:ascii="Times New Roman" w:eastAsia="Times New Roman" w:hAnsi="Times New Roman" w:cs="Times New Roman"/>
          <w:sz w:val="24"/>
          <w:szCs w:val="24"/>
          <w:lang w:val="bg-BG" w:eastAsia="bg-BG"/>
        </w:rPr>
        <w:t>и</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към развитието на </w:t>
      </w:r>
      <w:r w:rsidRPr="00610B1B">
        <w:rPr>
          <w:rFonts w:ascii="Times New Roman" w:eastAsia="Times New Roman" w:hAnsi="Times New Roman" w:cs="Times New Roman"/>
          <w:b/>
          <w:sz w:val="24"/>
          <w:szCs w:val="24"/>
          <w:lang w:val="bg-BG" w:eastAsia="bg-BG"/>
        </w:rPr>
        <w:t>морските магистрали</w:t>
      </w:r>
      <w:r w:rsidRPr="00610B1B">
        <w:rPr>
          <w:rFonts w:ascii="Times New Roman" w:eastAsia="Times New Roman" w:hAnsi="Times New Roman" w:cs="Times New Roman"/>
          <w:sz w:val="24"/>
          <w:szCs w:val="24"/>
          <w:lang w:val="bg-BG" w:eastAsia="bg-BG"/>
        </w:rPr>
        <w:t xml:space="preserve">, както и към прилагането на Европейската система за управление на железопътното движение (ERTMS). </w:t>
      </w:r>
    </w:p>
    <w:p w14:paraId="7BA585A4" w14:textId="59F4528E"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sz w:val="24"/>
          <w:szCs w:val="24"/>
          <w:lang w:val="bg-BG" w:eastAsia="bg-BG"/>
        </w:rPr>
        <w:t>Морските магистрали</w:t>
      </w:r>
      <w:r w:rsidRPr="00610B1B">
        <w:rPr>
          <w:rFonts w:ascii="Times New Roman" w:eastAsia="Times New Roman" w:hAnsi="Times New Roman" w:cs="Times New Roman"/>
          <w:sz w:val="24"/>
          <w:szCs w:val="24"/>
          <w:lang w:val="bg-BG" w:eastAsia="bg-BG"/>
        </w:rPr>
        <w:t xml:space="preserve"> представляват морската част от трансевропейската транспортна мрежа (TEN-T), с която се предвижда съсредоточаване на товаропотоците по морски пътища с логистично предназначение, с цел подобряване на съществуващите или създаване на нови жизнеспособни, редовни и чести морски връзки, за да се намали натоварването по пътищата. Като ключов инструмент за постигане на баланс между секторните интереси, морското пространствено планиране е насочено към постигане на устойчиво използване на морските ресурси посредством екосистем</w:t>
      </w:r>
      <w:r w:rsidR="006011C0" w:rsidRPr="00610B1B">
        <w:rPr>
          <w:rFonts w:ascii="Times New Roman" w:eastAsia="Times New Roman" w:hAnsi="Times New Roman" w:cs="Times New Roman"/>
          <w:sz w:val="24"/>
          <w:szCs w:val="24"/>
          <w:lang w:val="bg-BG" w:eastAsia="bg-BG"/>
        </w:rPr>
        <w:t>н</w:t>
      </w:r>
      <w:r w:rsidRPr="00610B1B">
        <w:rPr>
          <w:rFonts w:ascii="Times New Roman" w:eastAsia="Times New Roman" w:hAnsi="Times New Roman" w:cs="Times New Roman"/>
          <w:sz w:val="24"/>
          <w:szCs w:val="24"/>
          <w:lang w:val="bg-BG" w:eastAsia="bg-BG"/>
        </w:rPr>
        <w:t>и</w:t>
      </w:r>
      <w:r w:rsidR="00CC1F81" w:rsidRPr="00610B1B">
        <w:rPr>
          <w:rFonts w:ascii="Times New Roman" w:eastAsia="Times New Roman" w:hAnsi="Times New Roman" w:cs="Times New Roman"/>
          <w:sz w:val="24"/>
          <w:szCs w:val="24"/>
          <w:lang w:val="bg-BG" w:eastAsia="bg-BG"/>
        </w:rPr>
        <w:t>я</w:t>
      </w:r>
      <w:r w:rsidRPr="00610B1B">
        <w:rPr>
          <w:rFonts w:ascii="Times New Roman" w:eastAsia="Times New Roman" w:hAnsi="Times New Roman" w:cs="Times New Roman"/>
          <w:sz w:val="24"/>
          <w:szCs w:val="24"/>
          <w:lang w:val="bg-BG" w:eastAsia="bg-BG"/>
        </w:rPr>
        <w:t xml:space="preserve"> подход. Мерките в подкрепа на морските магистрали следва да бъдат насочени и към инфраструктурата и по-специално към разширението на пристанищата и връзките с хинтерланда.</w:t>
      </w:r>
    </w:p>
    <w:p w14:paraId="1804F0FF" w14:textId="0260DD31"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Широкообхватната транспортна мрежа на ЕС е мултимодална мрежа с относително висока плътност, която осигурява достъп до всички региони на ЕС</w:t>
      </w:r>
      <w:r w:rsidR="00CC1F81" w:rsidRPr="00610B1B">
        <w:rPr>
          <w:rFonts w:ascii="Times New Roman" w:eastAsia="Times New Roman" w:hAnsi="Times New Roman" w:cs="Times New Roman"/>
          <w:sz w:val="24"/>
          <w:szCs w:val="24"/>
          <w:lang w:val="bg-BG" w:eastAsia="bg-BG"/>
        </w:rPr>
        <w:t xml:space="preserve"> за да се </w:t>
      </w:r>
      <w:r w:rsidRPr="00610B1B">
        <w:rPr>
          <w:rFonts w:ascii="Times New Roman" w:eastAsia="Times New Roman" w:hAnsi="Times New Roman" w:cs="Times New Roman"/>
          <w:sz w:val="24"/>
          <w:szCs w:val="24"/>
          <w:lang w:val="bg-BG" w:eastAsia="bg-BG"/>
        </w:rPr>
        <w:t xml:space="preserve">подпомогне тяхното икономическо, социално и териториално развитие. Основната мрежа TEN-T включва тези части от широкообхватната мрежа, които са от най-голямо стратегическо значение за европейските и международните транспортни потоци. Целта на развитието на инфраструктурата от основната мрежа е реализирането на безпрепятствени връзки по </w:t>
      </w:r>
      <w:r w:rsidRPr="00610B1B">
        <w:rPr>
          <w:rFonts w:ascii="Times New Roman" w:eastAsia="Times New Roman" w:hAnsi="Times New Roman" w:cs="Times New Roman"/>
          <w:sz w:val="24"/>
          <w:szCs w:val="24"/>
          <w:lang w:val="bg-BG" w:eastAsia="bg-BG"/>
        </w:rPr>
        <w:lastRenderedPageBreak/>
        <w:t>море и суша, които ще позволят предоставянето на ефективни и качествени транспортни услуги за гражданите и икономическите оператори.</w:t>
      </w:r>
    </w:p>
    <w:p w14:paraId="109E2967" w14:textId="223F4A53" w:rsidR="00410372" w:rsidRPr="00610B1B" w:rsidRDefault="00410372" w:rsidP="00D32D6A">
      <w:pPr>
        <w:spacing w:after="120"/>
        <w:ind w:right="-153"/>
        <w:jc w:val="both"/>
        <w:rPr>
          <w:rFonts w:ascii="Times New Roman" w:eastAsia="Times New Roman" w:hAnsi="Times New Roman" w:cs="Times New Roman"/>
          <w:b/>
          <w:sz w:val="24"/>
          <w:szCs w:val="24"/>
          <w:lang w:val="bg-BG" w:eastAsia="bg-BG"/>
        </w:rPr>
      </w:pPr>
      <w:r w:rsidRPr="00610B1B">
        <w:rPr>
          <w:rFonts w:ascii="Times New Roman" w:eastAsia="Times New Roman" w:hAnsi="Times New Roman" w:cs="Times New Roman"/>
          <w:sz w:val="24"/>
          <w:szCs w:val="24"/>
          <w:lang w:val="bg-BG" w:eastAsia="bg-BG"/>
        </w:rPr>
        <w:t xml:space="preserve">Като връзки между морския и сухоземен транспорт, на територията на Р. България в основната TEN-T мрежа на ЕС е включено </w:t>
      </w:r>
      <w:r w:rsidRPr="00610B1B">
        <w:rPr>
          <w:rFonts w:ascii="Times New Roman" w:eastAsia="Times New Roman" w:hAnsi="Times New Roman" w:cs="Times New Roman"/>
          <w:b/>
          <w:sz w:val="24"/>
          <w:szCs w:val="24"/>
          <w:lang w:val="bg-BG" w:eastAsia="bg-BG"/>
        </w:rPr>
        <w:t>пристанище Бургас</w:t>
      </w:r>
      <w:r w:rsidRPr="00610B1B">
        <w:rPr>
          <w:rFonts w:ascii="Times New Roman" w:eastAsia="Times New Roman" w:hAnsi="Times New Roman" w:cs="Times New Roman"/>
          <w:sz w:val="24"/>
          <w:szCs w:val="24"/>
          <w:lang w:val="bg-BG" w:eastAsia="bg-BG"/>
        </w:rPr>
        <w:t>, а в широкообхватната –</w:t>
      </w:r>
      <w:r w:rsidRPr="00610B1B">
        <w:rPr>
          <w:rFonts w:ascii="Times New Roman" w:eastAsia="Times New Roman" w:hAnsi="Times New Roman" w:cs="Times New Roman"/>
          <w:b/>
          <w:sz w:val="24"/>
          <w:szCs w:val="24"/>
          <w:lang w:val="bg-BG" w:eastAsia="bg-BG"/>
        </w:rPr>
        <w:t>пристанище Варна.</w:t>
      </w:r>
    </w:p>
    <w:p w14:paraId="048083FF" w14:textId="1241EC2B" w:rsidR="000E3B90" w:rsidRPr="00610B1B" w:rsidRDefault="000E3B90" w:rsidP="000E3B90">
      <w:pPr>
        <w:widowControl w:val="0"/>
        <w:spacing w:after="120"/>
        <w:ind w:right="-153"/>
        <w:jc w:val="both"/>
        <w:rPr>
          <w:rFonts w:ascii="Times New Roman" w:eastAsia="Arial Unicode MS" w:hAnsi="Times New Roman" w:cs="Times New Roman"/>
          <w:color w:val="000000"/>
          <w:sz w:val="24"/>
          <w:szCs w:val="24"/>
          <w:shd w:val="clear" w:color="auto" w:fill="FFFFFF"/>
          <w:lang w:val="bg-BG"/>
        </w:rPr>
      </w:pPr>
      <w:bookmarkStart w:id="344" w:name="_Hlk83282285"/>
      <w:r w:rsidRPr="00610B1B">
        <w:rPr>
          <w:rFonts w:ascii="Times New Roman" w:eastAsia="Arial Unicode MS" w:hAnsi="Times New Roman" w:cs="Times New Roman"/>
          <w:color w:val="000000"/>
          <w:sz w:val="24"/>
          <w:szCs w:val="24"/>
          <w:shd w:val="clear" w:color="auto" w:fill="FFFFFF"/>
          <w:lang w:val="bg-BG"/>
        </w:rPr>
        <w:t>След изменението на ЗМПВВППРБ</w:t>
      </w:r>
      <w:r w:rsidR="008753B6" w:rsidRPr="00610B1B">
        <w:rPr>
          <w:rFonts w:ascii="Times New Roman" w:eastAsia="Arial Unicode MS" w:hAnsi="Times New Roman" w:cs="Times New Roman"/>
          <w:color w:val="000000"/>
          <w:sz w:val="24"/>
          <w:szCs w:val="24"/>
          <w:shd w:val="clear" w:color="auto" w:fill="FFFFFF"/>
          <w:lang w:val="bg-BG"/>
        </w:rPr>
        <w:t xml:space="preserve"> </w:t>
      </w:r>
      <w:r w:rsidRPr="00610B1B">
        <w:rPr>
          <w:rFonts w:ascii="Times New Roman" w:eastAsia="Arial Unicode MS" w:hAnsi="Times New Roman" w:cs="Times New Roman"/>
          <w:color w:val="000000"/>
          <w:sz w:val="24"/>
          <w:szCs w:val="24"/>
          <w:shd w:val="clear" w:color="auto" w:fill="FFFFFF"/>
          <w:lang w:val="bg-BG"/>
        </w:rPr>
        <w:t>и издадената в изпълнение на § 53, ал. 1 от Преходните и заключителни разпоредби Заповед № РД-08-19/21.01.2021 г.</w:t>
      </w:r>
      <w:r w:rsidR="008753B6" w:rsidRPr="00610B1B">
        <w:rPr>
          <w:rFonts w:ascii="Times New Roman" w:eastAsia="Arial Unicode MS" w:hAnsi="Times New Roman" w:cs="Times New Roman"/>
          <w:color w:val="000000"/>
          <w:sz w:val="24"/>
          <w:szCs w:val="24"/>
          <w:shd w:val="clear" w:color="auto" w:fill="FFFFFF"/>
          <w:lang w:val="bg-BG"/>
        </w:rPr>
        <w:t xml:space="preserve"> </w:t>
      </w:r>
      <w:r w:rsidRPr="00610B1B">
        <w:rPr>
          <w:rFonts w:ascii="Times New Roman" w:eastAsia="Arial Unicode MS" w:hAnsi="Times New Roman" w:cs="Times New Roman"/>
          <w:color w:val="000000"/>
          <w:sz w:val="24"/>
          <w:szCs w:val="24"/>
          <w:shd w:val="clear" w:color="auto" w:fill="FFFFFF"/>
          <w:lang w:val="bg-BG"/>
        </w:rPr>
        <w:t>на министъра на транспорта, информационните технологии и съобщенията,</w:t>
      </w:r>
      <w:r w:rsidRPr="00610B1B">
        <w:rPr>
          <w:rFonts w:ascii="Times New Roman" w:eastAsia="Arial Unicode MS" w:hAnsi="Times New Roman" w:cs="Times New Roman"/>
          <w:b/>
          <w:bCs/>
          <w:color w:val="000000"/>
          <w:sz w:val="24"/>
          <w:szCs w:val="24"/>
          <w:shd w:val="clear" w:color="auto" w:fill="FFFFFF"/>
          <w:lang w:val="bg-BG"/>
        </w:rPr>
        <w:t xml:space="preserve"> пристанище за обществен транспорт Варна </w:t>
      </w:r>
      <w:r w:rsidRPr="00610B1B">
        <w:rPr>
          <w:rFonts w:ascii="Times New Roman" w:eastAsia="Arial Unicode MS" w:hAnsi="Times New Roman" w:cs="Times New Roman"/>
          <w:color w:val="000000"/>
          <w:sz w:val="24"/>
          <w:szCs w:val="24"/>
          <w:shd w:val="clear" w:color="auto" w:fill="FFFFFF"/>
          <w:lang w:val="bg-BG"/>
        </w:rPr>
        <w:t xml:space="preserve">включва следните пристанищни терминали - държавна и частна собственост, а именно: Балчик Варна-изток, Петрол, „ПЧМВ - Варна", „Терминал за базови масла", „Одесос ПБМ - Варна", Леспорт, „ТЕЦ Езерово", Варна-запад и Фериботен комплекс – Варна. </w:t>
      </w:r>
    </w:p>
    <w:p w14:paraId="2034EAA7" w14:textId="5B592AE5" w:rsidR="00410372" w:rsidRPr="00610B1B" w:rsidRDefault="00976746" w:rsidP="00D32D6A">
      <w:pPr>
        <w:widowControl w:val="0"/>
        <w:spacing w:after="120"/>
        <w:ind w:right="-153"/>
        <w:jc w:val="both"/>
        <w:rPr>
          <w:rFonts w:ascii="Times New Roman" w:eastAsia="Arial Unicode MS" w:hAnsi="Times New Roman" w:cs="Times New Roman"/>
          <w:color w:val="000000"/>
          <w:sz w:val="24"/>
          <w:szCs w:val="24"/>
          <w:lang w:val="bg-BG" w:eastAsia="bg-BG"/>
        </w:rPr>
      </w:pPr>
      <w:bookmarkStart w:id="345" w:name="_Hlk83282279"/>
      <w:bookmarkEnd w:id="344"/>
      <w:r w:rsidRPr="00610B1B">
        <w:rPr>
          <w:rFonts w:ascii="Times New Roman" w:eastAsia="Arial Unicode MS" w:hAnsi="Times New Roman" w:cs="Times New Roman"/>
          <w:b/>
          <w:bCs/>
          <w:color w:val="000000"/>
          <w:sz w:val="24"/>
          <w:szCs w:val="24"/>
          <w:shd w:val="clear" w:color="auto" w:fill="FFFFFF"/>
          <w:lang w:val="bg-BG"/>
        </w:rPr>
        <w:t>Пристанището за обществен транспорт Бургас</w:t>
      </w:r>
      <w:r w:rsidRPr="00610B1B">
        <w:rPr>
          <w:rFonts w:ascii="Times New Roman" w:eastAsia="Arial Unicode MS" w:hAnsi="Times New Roman" w:cs="Times New Roman"/>
          <w:color w:val="000000"/>
          <w:sz w:val="24"/>
          <w:szCs w:val="24"/>
          <w:shd w:val="clear" w:color="auto" w:fill="FFFFFF"/>
          <w:lang w:val="bg-BG"/>
        </w:rPr>
        <w:t xml:space="preserve"> е разположено в едноименния Бургаски залив на брега на Черно море. То включва пристанищни терминали: Бургас-изток - 1, Бургас-изток - 2, Бургас-запад, „Порт България Уест", „Кораборемонтен завод „Порт - Бургас", „Трансстрой - Бургас", „Бургаски корабостроителници южен кей - Л", Росенец и Несебър. </w:t>
      </w:r>
      <w:bookmarkEnd w:id="345"/>
      <w:r w:rsidR="00410372" w:rsidRPr="00610B1B">
        <w:rPr>
          <w:rFonts w:ascii="Times New Roman" w:eastAsia="Arial Unicode MS" w:hAnsi="Times New Roman" w:cs="Times New Roman"/>
          <w:color w:val="000000"/>
          <w:sz w:val="24"/>
          <w:szCs w:val="24"/>
          <w:shd w:val="clear" w:color="auto" w:fill="FFFFFF"/>
          <w:lang w:val="bg-BG" w:eastAsia="bg-BG"/>
        </w:rPr>
        <w:t>Пристанищни терминали Бургас-</w:t>
      </w:r>
      <w:r w:rsidR="007B3AAB" w:rsidRPr="00610B1B">
        <w:rPr>
          <w:rFonts w:ascii="Times New Roman" w:eastAsia="Arial Unicode MS" w:hAnsi="Times New Roman" w:cs="Times New Roman"/>
          <w:color w:val="000000"/>
          <w:sz w:val="24"/>
          <w:szCs w:val="24"/>
          <w:shd w:val="clear" w:color="auto" w:fill="FFFFFF"/>
          <w:lang w:val="bg-BG" w:eastAsia="bg-BG"/>
        </w:rPr>
        <w:t xml:space="preserve">Изток </w:t>
      </w:r>
      <w:r w:rsidR="00410372" w:rsidRPr="00610B1B">
        <w:rPr>
          <w:rFonts w:ascii="Times New Roman" w:eastAsia="Arial Unicode MS" w:hAnsi="Times New Roman" w:cs="Times New Roman"/>
          <w:color w:val="000000"/>
          <w:sz w:val="24"/>
          <w:szCs w:val="24"/>
          <w:shd w:val="clear" w:color="auto" w:fill="FFFFFF"/>
          <w:lang w:val="bg-BG" w:eastAsia="bg-BG"/>
        </w:rPr>
        <w:t>1, Бургас-</w:t>
      </w:r>
      <w:r w:rsidR="007B3AAB" w:rsidRPr="00610B1B">
        <w:rPr>
          <w:rFonts w:ascii="Times New Roman" w:eastAsia="Arial Unicode MS" w:hAnsi="Times New Roman" w:cs="Times New Roman"/>
          <w:color w:val="000000"/>
          <w:sz w:val="24"/>
          <w:szCs w:val="24"/>
          <w:shd w:val="clear" w:color="auto" w:fill="FFFFFF"/>
          <w:lang w:val="bg-BG" w:eastAsia="bg-BG"/>
        </w:rPr>
        <w:t xml:space="preserve">Изток </w:t>
      </w:r>
      <w:r w:rsidR="00410372" w:rsidRPr="00610B1B">
        <w:rPr>
          <w:rFonts w:ascii="Times New Roman" w:eastAsia="Arial Unicode MS" w:hAnsi="Times New Roman" w:cs="Times New Roman"/>
          <w:color w:val="000000"/>
          <w:sz w:val="24"/>
          <w:szCs w:val="24"/>
          <w:shd w:val="clear" w:color="auto" w:fill="FFFFFF"/>
          <w:lang w:val="bg-BG" w:eastAsia="bg-BG"/>
        </w:rPr>
        <w:t>2 и Бургас-</w:t>
      </w:r>
      <w:r w:rsidR="007B3AAB" w:rsidRPr="00610B1B">
        <w:rPr>
          <w:rFonts w:ascii="Times New Roman" w:eastAsia="Arial Unicode MS" w:hAnsi="Times New Roman" w:cs="Times New Roman"/>
          <w:color w:val="000000"/>
          <w:sz w:val="24"/>
          <w:szCs w:val="24"/>
          <w:shd w:val="clear" w:color="auto" w:fill="FFFFFF"/>
          <w:lang w:val="bg-BG" w:eastAsia="bg-BG"/>
        </w:rPr>
        <w:t>Запад</w:t>
      </w:r>
      <w:r w:rsidR="00410372" w:rsidRPr="00610B1B">
        <w:rPr>
          <w:rFonts w:ascii="Times New Roman" w:eastAsia="Arial Unicode MS" w:hAnsi="Times New Roman" w:cs="Times New Roman"/>
          <w:color w:val="000000"/>
          <w:sz w:val="24"/>
          <w:szCs w:val="24"/>
          <w:shd w:val="clear" w:color="auto" w:fill="FFFFFF"/>
          <w:lang w:val="bg-BG" w:eastAsia="bg-BG"/>
        </w:rPr>
        <w:t xml:space="preserve">, както и </w:t>
      </w:r>
      <w:r w:rsidR="00CC1F81" w:rsidRPr="00610B1B">
        <w:rPr>
          <w:rFonts w:ascii="Times New Roman" w:eastAsia="Arial Unicode MS" w:hAnsi="Times New Roman" w:cs="Times New Roman"/>
          <w:color w:val="000000"/>
          <w:sz w:val="24"/>
          <w:szCs w:val="24"/>
          <w:shd w:val="clear" w:color="auto" w:fill="FFFFFF"/>
          <w:lang w:val="bg-BG" w:eastAsia="bg-BG"/>
        </w:rPr>
        <w:t xml:space="preserve">нов </w:t>
      </w:r>
      <w:r w:rsidR="00410372" w:rsidRPr="00610B1B">
        <w:rPr>
          <w:rFonts w:ascii="Times New Roman" w:eastAsia="Arial Unicode MS" w:hAnsi="Times New Roman" w:cs="Times New Roman"/>
          <w:color w:val="000000"/>
          <w:sz w:val="24"/>
          <w:szCs w:val="24"/>
          <w:shd w:val="clear" w:color="auto" w:fill="FFFFFF"/>
          <w:lang w:val="bg-BG" w:eastAsia="bg-BG"/>
        </w:rPr>
        <w:t>източен вълнолом се намират в Южната промишлена зона на град Бургас. Трите терминала са разположени един до друг с обща дължина на кейовите стени</w:t>
      </w:r>
      <w:r w:rsidR="00D66FE0" w:rsidRPr="00610B1B">
        <w:rPr>
          <w:rFonts w:ascii="Times New Roman" w:eastAsia="Arial Unicode MS" w:hAnsi="Times New Roman" w:cs="Times New Roman"/>
          <w:color w:val="000000"/>
          <w:sz w:val="24"/>
          <w:szCs w:val="24"/>
          <w:shd w:val="clear" w:color="auto" w:fill="FFFFFF"/>
          <w:lang w:val="bg-BG" w:eastAsia="bg-BG"/>
        </w:rPr>
        <w:t xml:space="preserve"> </w:t>
      </w:r>
      <w:r w:rsidR="00410372" w:rsidRPr="00610B1B">
        <w:rPr>
          <w:rFonts w:ascii="Times New Roman" w:eastAsia="Arial Unicode MS" w:hAnsi="Times New Roman" w:cs="Times New Roman"/>
          <w:color w:val="000000"/>
          <w:sz w:val="24"/>
          <w:szCs w:val="24"/>
          <w:shd w:val="clear" w:color="auto" w:fill="FFFFFF"/>
          <w:lang w:val="bg-BG" w:eastAsia="bg-BG"/>
        </w:rPr>
        <w:t xml:space="preserve">4500 </w:t>
      </w:r>
      <w:r w:rsidR="00BF063E" w:rsidRPr="00610B1B">
        <w:rPr>
          <w:rFonts w:ascii="Times New Roman" w:eastAsia="Arial Unicode MS" w:hAnsi="Times New Roman" w:cs="Times New Roman"/>
          <w:color w:val="000000"/>
          <w:sz w:val="24"/>
          <w:szCs w:val="24"/>
          <w:shd w:val="clear" w:color="auto" w:fill="FFFFFF"/>
          <w:lang w:val="bg-BG" w:eastAsia="bg-BG"/>
        </w:rPr>
        <w:t>m</w:t>
      </w:r>
      <w:r w:rsidR="00410372" w:rsidRPr="00610B1B">
        <w:rPr>
          <w:rFonts w:ascii="Times New Roman" w:eastAsia="Arial Unicode MS" w:hAnsi="Times New Roman" w:cs="Times New Roman"/>
          <w:color w:val="000000"/>
          <w:sz w:val="24"/>
          <w:szCs w:val="24"/>
          <w:shd w:val="clear" w:color="auto" w:fill="FFFFFF"/>
          <w:lang w:val="bg-BG" w:eastAsia="bg-BG"/>
        </w:rPr>
        <w:t>.</w:t>
      </w:r>
    </w:p>
    <w:p w14:paraId="489DC76C" w14:textId="017B6A5B"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Като краен пункт на коридора от основната TEN-T мрежа „Ориент/Източно-Средиземноморски” пристанище Бургас се обслужва от АМ “Тракия” и жп линия 8, формиращи направлението на този коридор.</w:t>
      </w:r>
      <w:r w:rsidR="00CC1F81"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bCs/>
          <w:sz w:val="24"/>
          <w:szCs w:val="24"/>
          <w:lang w:val="bg-BG" w:eastAsia="bg-BG"/>
        </w:rPr>
        <w:t>Автомагистрала “Тракия”</w:t>
      </w:r>
      <w:r w:rsidRPr="00610B1B">
        <w:rPr>
          <w:rFonts w:ascii="Times New Roman" w:eastAsia="Times New Roman" w:hAnsi="Times New Roman" w:cs="Times New Roman"/>
          <w:sz w:val="24"/>
          <w:szCs w:val="24"/>
          <w:lang w:val="bg-BG" w:eastAsia="bg-BG"/>
        </w:rPr>
        <w:t xml:space="preserve"> –</w:t>
      </w:r>
      <w:r w:rsidR="00BF063E"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София-Пловдив-Бургас, с обща дължина 360 </w:t>
      </w:r>
      <w:r w:rsidR="001E46E8" w:rsidRPr="00610B1B">
        <w:rPr>
          <w:rFonts w:ascii="Times New Roman" w:eastAsia="Times New Roman" w:hAnsi="Times New Roman" w:cs="Times New Roman"/>
          <w:sz w:val="24"/>
          <w:szCs w:val="24"/>
          <w:lang w:val="bg-BG" w:eastAsia="bg-BG"/>
        </w:rPr>
        <w:t>km</w:t>
      </w:r>
      <w:r w:rsidRPr="00610B1B">
        <w:rPr>
          <w:rFonts w:ascii="Times New Roman" w:eastAsia="Times New Roman" w:hAnsi="Times New Roman" w:cs="Times New Roman"/>
          <w:sz w:val="24"/>
          <w:szCs w:val="24"/>
          <w:lang w:val="bg-BG" w:eastAsia="bg-BG"/>
        </w:rPr>
        <w:t xml:space="preserve"> е</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напълно изградена и е главната пътна артерия в страната</w:t>
      </w:r>
      <w:r w:rsidR="007B3AAB"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основна връзка на Черноморското крайбрежие с вътрешността на страната и Столицата.</w:t>
      </w:r>
      <w:r w:rsidR="00CC1F81"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bCs/>
          <w:sz w:val="24"/>
          <w:szCs w:val="24"/>
          <w:lang w:val="bg-BG" w:eastAsia="bg-BG"/>
        </w:rPr>
        <w:t>Жп линия 8</w:t>
      </w:r>
      <w:r w:rsidRPr="00610B1B">
        <w:rPr>
          <w:rFonts w:ascii="Times New Roman" w:eastAsia="Times New Roman" w:hAnsi="Times New Roman" w:cs="Times New Roman"/>
          <w:bCs/>
          <w:color w:val="000000"/>
          <w:sz w:val="24"/>
          <w:szCs w:val="24"/>
          <w:lang w:val="bg-BG" w:eastAsia="bg-BG"/>
        </w:rPr>
        <w:t xml:space="preserve"> София/Пловдив</w:t>
      </w:r>
      <w:r w:rsidR="001E46E8" w:rsidRPr="00610B1B">
        <w:rPr>
          <w:rFonts w:ascii="Times New Roman" w:eastAsia="Times New Roman" w:hAnsi="Times New Roman" w:cs="Times New Roman"/>
          <w:color w:val="000000"/>
          <w:sz w:val="24"/>
          <w:szCs w:val="24"/>
          <w:lang w:val="bg-BG" w:eastAsia="bg-BG"/>
        </w:rPr>
        <w:t>-</w:t>
      </w:r>
      <w:r w:rsidRPr="00610B1B">
        <w:rPr>
          <w:rFonts w:ascii="Times New Roman" w:eastAsia="Times New Roman" w:hAnsi="Times New Roman" w:cs="Times New Roman"/>
          <w:color w:val="000000"/>
          <w:sz w:val="24"/>
          <w:szCs w:val="24"/>
          <w:lang w:val="bg-BG" w:eastAsia="bg-BG"/>
        </w:rPr>
        <w:t>Стара Загора</w:t>
      </w:r>
      <w:r w:rsidR="001E46E8" w:rsidRPr="00610B1B">
        <w:rPr>
          <w:rFonts w:ascii="Times New Roman" w:eastAsia="Times New Roman" w:hAnsi="Times New Roman" w:cs="Times New Roman"/>
          <w:color w:val="000000"/>
          <w:sz w:val="24"/>
          <w:szCs w:val="24"/>
          <w:lang w:val="bg-BG" w:eastAsia="bg-BG"/>
        </w:rPr>
        <w:t>-</w:t>
      </w:r>
      <w:r w:rsidRPr="00610B1B">
        <w:rPr>
          <w:rFonts w:ascii="Times New Roman" w:eastAsia="Times New Roman" w:hAnsi="Times New Roman" w:cs="Times New Roman"/>
          <w:color w:val="000000"/>
          <w:sz w:val="24"/>
          <w:szCs w:val="24"/>
          <w:lang w:val="bg-BG" w:eastAsia="bg-BG"/>
        </w:rPr>
        <w:t>Зимница</w:t>
      </w:r>
      <w:r w:rsidR="001E46E8" w:rsidRPr="00610B1B">
        <w:rPr>
          <w:rFonts w:ascii="Times New Roman" w:eastAsia="Times New Roman" w:hAnsi="Times New Roman" w:cs="Times New Roman"/>
          <w:color w:val="000000"/>
          <w:sz w:val="24"/>
          <w:szCs w:val="24"/>
          <w:lang w:val="bg-BG" w:eastAsia="bg-BG"/>
        </w:rPr>
        <w:t>-</w:t>
      </w:r>
      <w:r w:rsidRPr="00610B1B">
        <w:rPr>
          <w:rFonts w:ascii="Times New Roman" w:eastAsia="Times New Roman" w:hAnsi="Times New Roman" w:cs="Times New Roman"/>
          <w:color w:val="000000"/>
          <w:sz w:val="24"/>
          <w:szCs w:val="24"/>
          <w:lang w:val="bg-BG" w:eastAsia="bg-BG"/>
        </w:rPr>
        <w:t>Карнобат-Бургас е другия</w:t>
      </w:r>
      <w:r w:rsidR="001E46E8" w:rsidRPr="00610B1B">
        <w:rPr>
          <w:rFonts w:ascii="Times New Roman" w:eastAsia="Times New Roman" w:hAnsi="Times New Roman" w:cs="Times New Roman"/>
          <w:color w:val="000000"/>
          <w:sz w:val="24"/>
          <w:szCs w:val="24"/>
          <w:lang w:val="bg-BG" w:eastAsia="bg-BG"/>
        </w:rPr>
        <w:t>т</w:t>
      </w:r>
      <w:r w:rsidRPr="00610B1B">
        <w:rPr>
          <w:rFonts w:ascii="Times New Roman" w:eastAsia="Times New Roman" w:hAnsi="Times New Roman" w:cs="Times New Roman"/>
          <w:color w:val="000000"/>
          <w:sz w:val="24"/>
          <w:szCs w:val="24"/>
          <w:lang w:val="bg-BG" w:eastAsia="bg-BG"/>
        </w:rPr>
        <w:t xml:space="preserve"> съставен елемент </w:t>
      </w:r>
      <w:r w:rsidRPr="00610B1B">
        <w:rPr>
          <w:rFonts w:ascii="Times New Roman" w:eastAsia="Times New Roman" w:hAnsi="Times New Roman" w:cs="Times New Roman"/>
          <w:sz w:val="24"/>
          <w:szCs w:val="24"/>
          <w:lang w:val="bg-BG" w:eastAsia="bg-BG"/>
        </w:rPr>
        <w:t>от коридора на основната TEN-T мрежа - „Ориент/Източно-Средиземноморски”. Това е основната жп линия, обслужваща Черноморското крайбрежие, свързвайки го с вътрешността на страната и Столицата.</w:t>
      </w:r>
      <w:r w:rsidRPr="00610B1B">
        <w:rPr>
          <w:rFonts w:ascii="Times New Roman" w:eastAsia="Times New Roman" w:hAnsi="Times New Roman" w:cs="Times New Roman"/>
          <w:color w:val="000000"/>
          <w:sz w:val="24"/>
          <w:szCs w:val="24"/>
          <w:lang w:val="bg-BG" w:eastAsia="bg-BG"/>
        </w:rPr>
        <w:t xml:space="preserve"> </w:t>
      </w:r>
      <w:r w:rsidR="00CC1F81" w:rsidRPr="00610B1B">
        <w:rPr>
          <w:rFonts w:ascii="Times New Roman" w:eastAsia="Times New Roman" w:hAnsi="Times New Roman" w:cs="Times New Roman"/>
          <w:color w:val="000000"/>
          <w:sz w:val="24"/>
          <w:szCs w:val="24"/>
          <w:lang w:val="bg-BG" w:eastAsia="bg-BG"/>
        </w:rPr>
        <w:t xml:space="preserve">Част </w:t>
      </w:r>
      <w:r w:rsidRPr="00610B1B">
        <w:rPr>
          <w:rFonts w:ascii="Times New Roman" w:eastAsia="Times New Roman" w:hAnsi="Times New Roman" w:cs="Times New Roman"/>
          <w:color w:val="000000"/>
          <w:sz w:val="24"/>
          <w:szCs w:val="24"/>
          <w:lang w:val="bg-BG" w:eastAsia="bg-BG"/>
        </w:rPr>
        <w:t xml:space="preserve">от </w:t>
      </w:r>
      <w:r w:rsidR="00CC1F81" w:rsidRPr="00610B1B">
        <w:rPr>
          <w:rFonts w:ascii="Times New Roman" w:eastAsia="Times New Roman" w:hAnsi="Times New Roman" w:cs="Times New Roman"/>
          <w:sz w:val="24"/>
          <w:szCs w:val="24"/>
          <w:lang w:val="bg-BG" w:eastAsia="bg-BG"/>
        </w:rPr>
        <w:t xml:space="preserve">жп линия 8 Пловдив-Филипово-Бургас </w:t>
      </w:r>
      <w:r w:rsidRPr="00610B1B">
        <w:rPr>
          <w:rFonts w:ascii="Times New Roman" w:eastAsia="Times New Roman" w:hAnsi="Times New Roman" w:cs="Times New Roman"/>
          <w:sz w:val="24"/>
          <w:szCs w:val="24"/>
          <w:lang w:val="bg-BG" w:eastAsia="bg-BG"/>
        </w:rPr>
        <w:t xml:space="preserve">е </w:t>
      </w:r>
      <w:r w:rsidR="00CC1F81" w:rsidRPr="00610B1B">
        <w:rPr>
          <w:rFonts w:ascii="Times New Roman" w:eastAsia="Times New Roman" w:hAnsi="Times New Roman" w:cs="Times New Roman"/>
          <w:sz w:val="24"/>
          <w:szCs w:val="24"/>
          <w:lang w:val="bg-BG" w:eastAsia="bg-BG"/>
        </w:rPr>
        <w:t xml:space="preserve">интермодалният </w:t>
      </w:r>
      <w:r w:rsidRPr="00610B1B">
        <w:rPr>
          <w:rFonts w:ascii="Times New Roman" w:eastAsia="Times New Roman" w:hAnsi="Times New Roman" w:cs="Times New Roman"/>
          <w:sz w:val="24"/>
          <w:szCs w:val="24"/>
          <w:lang w:val="bg-BG" w:eastAsia="bg-BG"/>
        </w:rPr>
        <w:t>терминал (</w:t>
      </w:r>
      <w:r w:rsidRPr="00610B1B">
        <w:rPr>
          <w:rFonts w:ascii="Times New Roman" w:eastAsia="Times New Roman" w:hAnsi="Times New Roman" w:cs="Times New Roman"/>
          <w:color w:val="000000"/>
          <w:sz w:val="24"/>
          <w:szCs w:val="24"/>
          <w:lang w:val="bg-BG" w:eastAsia="bg-BG"/>
        </w:rPr>
        <w:t>ИМТ) “Бургас-Долно Езерово”</w:t>
      </w:r>
      <w:r w:rsidR="00CC1F81" w:rsidRPr="00610B1B">
        <w:rPr>
          <w:rFonts w:ascii="Times New Roman" w:eastAsia="Times New Roman" w:hAnsi="Times New Roman" w:cs="Times New Roman"/>
          <w:color w:val="000000"/>
          <w:sz w:val="24"/>
          <w:szCs w:val="24"/>
          <w:lang w:val="bg-BG" w:eastAsia="bg-BG"/>
        </w:rPr>
        <w:t xml:space="preserve">, </w:t>
      </w:r>
      <w:r w:rsidRPr="00610B1B">
        <w:rPr>
          <w:rFonts w:ascii="Times New Roman" w:eastAsia="Times New Roman" w:hAnsi="Times New Roman" w:cs="Times New Roman"/>
          <w:color w:val="000000"/>
          <w:sz w:val="24"/>
          <w:szCs w:val="24"/>
          <w:lang w:val="bg-BG" w:eastAsia="bg-BG"/>
        </w:rPr>
        <w:t xml:space="preserve">собственост на „Деспред“ АД. </w:t>
      </w:r>
    </w:p>
    <w:p w14:paraId="2803D883" w14:textId="1804B680" w:rsidR="00410372" w:rsidRPr="00610B1B" w:rsidRDefault="00410372" w:rsidP="00D32D6A">
      <w:pPr>
        <w:snapToGrid w:val="0"/>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color w:val="000000"/>
          <w:sz w:val="24"/>
          <w:szCs w:val="20"/>
          <w:lang w:val="bg-BG"/>
        </w:rPr>
        <w:t>Р</w:t>
      </w:r>
      <w:r w:rsidRPr="00610B1B">
        <w:rPr>
          <w:rFonts w:ascii="Times New Roman" w:eastAsia="Times New Roman" w:hAnsi="Times New Roman" w:cs="Times New Roman"/>
          <w:color w:val="000000"/>
          <w:sz w:val="24"/>
          <w:szCs w:val="20"/>
          <w:shd w:val="clear" w:color="auto" w:fill="FFFFFF"/>
          <w:lang w:val="bg-BG"/>
        </w:rPr>
        <w:t>азвитието на коридор</w:t>
      </w:r>
      <w:r w:rsidRPr="00610B1B">
        <w:rPr>
          <w:rFonts w:ascii="Times New Roman" w:eastAsia="Times New Roman" w:hAnsi="Times New Roman" w:cs="Times New Roman"/>
          <w:i/>
          <w:iCs/>
          <w:color w:val="000000"/>
          <w:sz w:val="24"/>
          <w:szCs w:val="20"/>
          <w:lang w:val="bg-BG"/>
        </w:rPr>
        <w:t xml:space="preserve"> </w:t>
      </w:r>
      <w:r w:rsidRPr="00610B1B">
        <w:rPr>
          <w:rFonts w:ascii="Times New Roman" w:eastAsia="Times New Roman" w:hAnsi="Times New Roman" w:cs="Times New Roman"/>
          <w:color w:val="000000"/>
          <w:sz w:val="24"/>
          <w:szCs w:val="20"/>
          <w:lang w:val="bg-BG"/>
        </w:rPr>
        <w:t xml:space="preserve">Ориент/Източно-Средиземноморски” </w:t>
      </w:r>
      <w:r w:rsidRPr="00610B1B">
        <w:rPr>
          <w:rFonts w:ascii="Times New Roman" w:eastAsia="Times New Roman" w:hAnsi="Times New Roman" w:cs="Times New Roman"/>
          <w:color w:val="000000"/>
          <w:sz w:val="24"/>
          <w:szCs w:val="20"/>
          <w:shd w:val="clear" w:color="auto" w:fill="FFFFFF"/>
          <w:lang w:val="bg-BG"/>
        </w:rPr>
        <w:t>и неговото разширяване на изток, където прераства в ТРАСЕКА (транспортен коридор Европа – Кавказ – Азия) е от</w:t>
      </w:r>
      <w:r w:rsidRPr="00610B1B">
        <w:rPr>
          <w:rFonts w:ascii="Times New Roman" w:eastAsia="Times New Roman" w:hAnsi="Times New Roman" w:cs="Times New Roman"/>
          <w:color w:val="000000"/>
          <w:sz w:val="24"/>
          <w:szCs w:val="20"/>
          <w:lang w:val="bg-BG"/>
        </w:rPr>
        <w:t xml:space="preserve"> особена важност за </w:t>
      </w:r>
      <w:r w:rsidRPr="00610B1B">
        <w:rPr>
          <w:rFonts w:ascii="Times New Roman" w:eastAsia="Times New Roman" w:hAnsi="Times New Roman" w:cs="Times New Roman"/>
          <w:color w:val="000000"/>
          <w:sz w:val="24"/>
          <w:szCs w:val="20"/>
          <w:shd w:val="clear" w:color="auto" w:fill="FFFFFF"/>
          <w:lang w:val="bg-BG"/>
        </w:rPr>
        <w:t>управлението и разработването на потенциални пазари на източния бряг на Черно море и страните от Централна Азия и за превръщане</w:t>
      </w:r>
      <w:r w:rsidR="001E46E8" w:rsidRPr="00610B1B">
        <w:rPr>
          <w:rFonts w:ascii="Times New Roman" w:eastAsia="Times New Roman" w:hAnsi="Times New Roman" w:cs="Times New Roman"/>
          <w:color w:val="000000"/>
          <w:sz w:val="24"/>
          <w:szCs w:val="20"/>
          <w:shd w:val="clear" w:color="auto" w:fill="FFFFFF"/>
          <w:lang w:val="bg-BG"/>
        </w:rPr>
        <w:t>то</w:t>
      </w:r>
      <w:r w:rsidRPr="00610B1B">
        <w:rPr>
          <w:rFonts w:ascii="Times New Roman" w:eastAsia="Times New Roman" w:hAnsi="Times New Roman" w:cs="Times New Roman"/>
          <w:color w:val="000000"/>
          <w:sz w:val="24"/>
          <w:szCs w:val="20"/>
          <w:shd w:val="clear" w:color="auto" w:fill="FFFFFF"/>
          <w:lang w:val="bg-BG"/>
        </w:rPr>
        <w:t xml:space="preserve"> на пристанище Бургас в основна връзка между континента Европа и Близкия изток. </w:t>
      </w:r>
      <w:r w:rsidRPr="00610B1B">
        <w:rPr>
          <w:rFonts w:ascii="Times New Roman" w:eastAsia="Times New Roman" w:hAnsi="Times New Roman" w:cs="Times New Roman"/>
          <w:sz w:val="24"/>
          <w:szCs w:val="24"/>
          <w:shd w:val="clear" w:color="auto" w:fill="FFFFFF"/>
          <w:lang w:val="bg-BG" w:eastAsia="bg-BG"/>
        </w:rPr>
        <w:t xml:space="preserve">В тази връзка важна роля ще има изградената и пусната в експлоатация от „БМФ Порт Бургас” нова логистична база, която ще получава, съхранява и претоварва оборудване за разработване на петролните полета в Казахстан. </w:t>
      </w:r>
      <w:r w:rsidRPr="00610B1B">
        <w:rPr>
          <w:rFonts w:ascii="Times New Roman" w:eastAsia="Times New Roman" w:hAnsi="Times New Roman" w:cs="Times New Roman"/>
          <w:sz w:val="24"/>
          <w:szCs w:val="24"/>
          <w:lang w:val="bg-BG" w:eastAsia="bg-BG"/>
        </w:rPr>
        <w:t>Новата база е важна връзка при реализацията на един от най-големите логистични проекти в света. За изграждането</w:t>
      </w:r>
      <w:r w:rsidR="00DE3A13" w:rsidRPr="00610B1B">
        <w:rPr>
          <w:rFonts w:ascii="Times New Roman" w:eastAsia="Times New Roman" w:hAnsi="Times New Roman" w:cs="Times New Roman"/>
          <w:sz w:val="24"/>
          <w:szCs w:val="24"/>
          <w:lang w:val="bg-BG" w:eastAsia="bg-BG"/>
        </w:rPr>
        <w:t xml:space="preserve"> ѝ </w:t>
      </w:r>
      <w:r w:rsidRPr="00610B1B">
        <w:rPr>
          <w:rFonts w:ascii="Times New Roman" w:eastAsia="Times New Roman" w:hAnsi="Times New Roman" w:cs="Times New Roman"/>
          <w:sz w:val="24"/>
          <w:szCs w:val="24"/>
          <w:lang w:val="bg-BG" w:eastAsia="bg-BG"/>
        </w:rPr>
        <w:t>концесионерът на пристанище Бургас извършва мащабни морски строителни дейности, които са прецедент в съвременната пристанищна история на България. Това е най-голямата частна инвестиция в пристанищна инфраструктура в страната и голям потенциал за развитие.</w:t>
      </w:r>
    </w:p>
    <w:p w14:paraId="3695E844" w14:textId="55F1CAC4"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bCs/>
          <w:i/>
          <w:sz w:val="24"/>
          <w:szCs w:val="24"/>
          <w:lang w:val="bg-BG" w:eastAsia="bg-BG"/>
        </w:rPr>
        <w:lastRenderedPageBreak/>
        <w:t>А</w:t>
      </w:r>
      <w:r w:rsidRPr="00610B1B">
        <w:rPr>
          <w:rFonts w:ascii="Times New Roman" w:eastAsia="Times New Roman" w:hAnsi="Times New Roman" w:cs="Times New Roman"/>
          <w:b/>
          <w:i/>
          <w:sz w:val="24"/>
          <w:szCs w:val="24"/>
          <w:lang w:val="bg-BG" w:eastAsia="bg-BG"/>
        </w:rPr>
        <w:t>втомагистрала “Черно море”</w:t>
      </w:r>
      <w:r w:rsidR="00E71B5C" w:rsidRPr="00610B1B">
        <w:rPr>
          <w:rFonts w:ascii="Times New Roman" w:eastAsia="Times New Roman" w:hAnsi="Times New Roman" w:cs="Times New Roman"/>
          <w:b/>
          <w:sz w:val="24"/>
          <w:szCs w:val="24"/>
          <w:lang w:val="bg-BG" w:eastAsia="bg-BG"/>
        </w:rPr>
        <w:t xml:space="preserve"> –</w:t>
      </w:r>
      <w:r w:rsidRPr="00610B1B">
        <w:rPr>
          <w:rFonts w:ascii="Times New Roman" w:eastAsia="Times New Roman" w:hAnsi="Times New Roman" w:cs="Times New Roman"/>
          <w:i/>
          <w:iCs/>
          <w:sz w:val="24"/>
          <w:szCs w:val="24"/>
          <w:lang w:val="bg-BG" w:eastAsia="bg-BG"/>
        </w:rPr>
        <w:t xml:space="preserve"> </w:t>
      </w:r>
      <w:r w:rsidRPr="00610B1B">
        <w:rPr>
          <w:rFonts w:ascii="Times New Roman" w:eastAsia="Times New Roman" w:hAnsi="Times New Roman" w:cs="Times New Roman"/>
          <w:sz w:val="24"/>
          <w:szCs w:val="24"/>
          <w:lang w:val="bg-BG" w:eastAsia="bg-BG"/>
        </w:rPr>
        <w:t>Бургас-Слънчев бряг</w:t>
      </w:r>
      <w:r w:rsidR="00E71B5C" w:rsidRPr="00610B1B">
        <w:rPr>
          <w:rFonts w:ascii="Times New Roman" w:eastAsia="Times New Roman" w:hAnsi="Times New Roman" w:cs="Times New Roman"/>
          <w:sz w:val="24"/>
          <w:szCs w:val="24"/>
          <w:lang w:val="bg-BG" w:eastAsia="bg-BG"/>
        </w:rPr>
        <w:t>–</w:t>
      </w:r>
      <w:r w:rsidRPr="00610B1B">
        <w:rPr>
          <w:rFonts w:ascii="Times New Roman" w:eastAsia="Times New Roman" w:hAnsi="Times New Roman" w:cs="Times New Roman"/>
          <w:sz w:val="24"/>
          <w:szCs w:val="24"/>
          <w:lang w:val="bg-BG" w:eastAsia="bg-BG"/>
        </w:rPr>
        <w:t>Варна</w:t>
      </w:r>
      <w:r w:rsidR="00E71B5C" w:rsidRPr="00610B1B">
        <w:rPr>
          <w:rFonts w:ascii="Times New Roman" w:eastAsia="Times New Roman" w:hAnsi="Times New Roman" w:cs="Times New Roman"/>
          <w:sz w:val="24"/>
          <w:szCs w:val="24"/>
          <w:lang w:val="bg-BG" w:eastAsia="bg-BG"/>
        </w:rPr>
        <w:t xml:space="preserve"> от </w:t>
      </w:r>
      <w:r w:rsidRPr="00610B1B">
        <w:rPr>
          <w:rFonts w:ascii="Times New Roman" w:eastAsia="Times New Roman" w:hAnsi="Times New Roman" w:cs="Times New Roman"/>
          <w:sz w:val="24"/>
          <w:szCs w:val="24"/>
          <w:lang w:val="bg-BG" w:eastAsia="bg-BG"/>
        </w:rPr>
        <w:t>широкообхватната</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TEN-T мрежа на територията на страната все още не е доизградена. Планирана като връзка между двата главни урбанизационни центрове на Черноморското крайбрежие Варна и Бургас,</w:t>
      </w:r>
      <w:r w:rsidR="00D66FE0" w:rsidRPr="00610B1B">
        <w:rPr>
          <w:rFonts w:ascii="Times New Roman" w:eastAsia="Times New Roman" w:hAnsi="Times New Roman" w:cs="Times New Roman"/>
          <w:sz w:val="24"/>
          <w:szCs w:val="24"/>
          <w:lang w:val="bg-BG" w:eastAsia="bg-BG"/>
        </w:rPr>
        <w:t xml:space="preserve"> </w:t>
      </w:r>
      <w:r w:rsidR="008E37F5" w:rsidRPr="00610B1B">
        <w:rPr>
          <w:rFonts w:ascii="Times New Roman" w:eastAsia="Times New Roman" w:hAnsi="Times New Roman" w:cs="Times New Roman"/>
          <w:sz w:val="24"/>
          <w:szCs w:val="24"/>
          <w:lang w:val="bg-BG" w:eastAsia="bg-BG"/>
        </w:rPr>
        <w:t xml:space="preserve">тя </w:t>
      </w:r>
      <w:r w:rsidRPr="00610B1B">
        <w:rPr>
          <w:rFonts w:ascii="Times New Roman" w:eastAsia="Times New Roman" w:hAnsi="Times New Roman" w:cs="Times New Roman"/>
          <w:sz w:val="24"/>
          <w:szCs w:val="24"/>
          <w:lang w:val="bg-BG" w:eastAsia="bg-BG"/>
        </w:rPr>
        <w:t>ще бъде ситуирана в тила на крайбрежието за провеждане на транзитните потоци, вкл. обслужване на пристанищата Бургас и Варна.</w:t>
      </w:r>
    </w:p>
    <w:p w14:paraId="2FFC47E7" w14:textId="704ACCDF"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Към настоящия момент сухоземните транспортни комуникации между Бургас и Варна се осъществяват посредством първокласен път І-9 граница Румъния-Дуранкулак-Варна-Бургас-Малко Търново-граница Турция</w:t>
      </w:r>
      <w:r w:rsidR="001E46E8"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(Е-87). Пътят обслужва туристическия поток по Черноморското крайбрежие</w:t>
      </w:r>
      <w:r w:rsidR="00E71B5C" w:rsidRPr="00610B1B">
        <w:rPr>
          <w:rFonts w:ascii="Times New Roman" w:eastAsia="Times New Roman" w:hAnsi="Times New Roman" w:cs="Times New Roman"/>
          <w:sz w:val="24"/>
          <w:szCs w:val="24"/>
          <w:lang w:val="bg-BG" w:eastAsia="bg-BG"/>
        </w:rPr>
        <w:t>. Н</w:t>
      </w:r>
      <w:r w:rsidRPr="00610B1B">
        <w:rPr>
          <w:rFonts w:ascii="Times New Roman" w:eastAsia="Times New Roman" w:hAnsi="Times New Roman" w:cs="Times New Roman"/>
          <w:sz w:val="24"/>
          <w:szCs w:val="24"/>
          <w:lang w:val="bg-BG" w:eastAsia="bg-BG"/>
        </w:rPr>
        <w:t>а юг от Бургас</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провежда главно транзитен трафик за/от Р. Турция. </w:t>
      </w:r>
    </w:p>
    <w:p w14:paraId="7C5F4287" w14:textId="3BA77C1C"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bCs/>
          <w:i/>
          <w:sz w:val="24"/>
          <w:szCs w:val="24"/>
          <w:lang w:val="bg-BG" w:eastAsia="bg-BG"/>
        </w:rPr>
        <w:t>Първокласният път</w:t>
      </w:r>
      <w:r w:rsidRPr="00610B1B">
        <w:rPr>
          <w:rFonts w:ascii="Times New Roman" w:eastAsia="Times New Roman" w:hAnsi="Times New Roman" w:cs="Times New Roman"/>
          <w:i/>
          <w:sz w:val="24"/>
          <w:szCs w:val="24"/>
          <w:lang w:val="bg-BG" w:eastAsia="bg-BG"/>
        </w:rPr>
        <w:t xml:space="preserve"> </w:t>
      </w:r>
      <w:r w:rsidRPr="00610B1B">
        <w:rPr>
          <w:rFonts w:ascii="Times New Roman" w:eastAsia="Times New Roman" w:hAnsi="Times New Roman" w:cs="Times New Roman"/>
          <w:b/>
          <w:bCs/>
          <w:i/>
          <w:sz w:val="24"/>
          <w:szCs w:val="24"/>
          <w:lang w:val="bg-BG" w:eastAsia="bg-BG"/>
        </w:rPr>
        <w:t>І-9</w:t>
      </w:r>
      <w:r w:rsidRPr="00610B1B">
        <w:rPr>
          <w:rFonts w:ascii="Times New Roman" w:eastAsia="Times New Roman" w:hAnsi="Times New Roman" w:cs="Times New Roman"/>
          <w:b/>
          <w:bCs/>
          <w:i/>
          <w:iCs/>
          <w:sz w:val="24"/>
          <w:szCs w:val="24"/>
          <w:lang w:val="bg-BG" w:eastAsia="bg-BG"/>
        </w:rPr>
        <w:t xml:space="preserve"> </w:t>
      </w:r>
      <w:r w:rsidRPr="00610B1B">
        <w:rPr>
          <w:rFonts w:ascii="Times New Roman" w:eastAsia="Times New Roman" w:hAnsi="Times New Roman" w:cs="Times New Roman"/>
          <w:bCs/>
          <w:sz w:val="24"/>
          <w:szCs w:val="24"/>
          <w:lang w:val="bg-BG" w:eastAsia="bg-BG"/>
        </w:rPr>
        <w:t>обслужва</w:t>
      </w:r>
      <w:r w:rsidR="00D66FE0" w:rsidRPr="00610B1B">
        <w:rPr>
          <w:rFonts w:ascii="Times New Roman" w:eastAsia="Times New Roman" w:hAnsi="Times New Roman" w:cs="Times New Roman"/>
          <w:bCs/>
          <w:sz w:val="24"/>
          <w:szCs w:val="24"/>
          <w:lang w:val="bg-BG" w:eastAsia="bg-BG"/>
        </w:rPr>
        <w:t xml:space="preserve"> </w:t>
      </w:r>
      <w:r w:rsidRPr="00610B1B">
        <w:rPr>
          <w:rFonts w:ascii="Times New Roman" w:eastAsia="Times New Roman" w:hAnsi="Times New Roman" w:cs="Times New Roman"/>
          <w:bCs/>
          <w:sz w:val="24"/>
          <w:szCs w:val="24"/>
          <w:lang w:val="bg-BG" w:eastAsia="bg-BG"/>
        </w:rPr>
        <w:t xml:space="preserve">и </w:t>
      </w:r>
      <w:r w:rsidRPr="00610B1B">
        <w:rPr>
          <w:rFonts w:ascii="Times New Roman" w:eastAsia="Times New Roman" w:hAnsi="Times New Roman" w:cs="Times New Roman"/>
          <w:bCs/>
          <w:i/>
          <w:sz w:val="24"/>
          <w:szCs w:val="24"/>
          <w:lang w:val="bg-BG" w:eastAsia="bg-BG"/>
        </w:rPr>
        <w:t>Пристанищен терминал Несебър</w:t>
      </w:r>
      <w:r w:rsidR="00E71B5C" w:rsidRPr="00610B1B">
        <w:rPr>
          <w:rFonts w:ascii="Times New Roman" w:eastAsia="Times New Roman" w:hAnsi="Times New Roman" w:cs="Times New Roman"/>
          <w:bCs/>
          <w:i/>
          <w:sz w:val="24"/>
          <w:szCs w:val="24"/>
          <w:lang w:val="bg-BG" w:eastAsia="bg-BG"/>
        </w:rPr>
        <w:t>,</w:t>
      </w:r>
      <w:r w:rsidRPr="00610B1B">
        <w:rPr>
          <w:rFonts w:ascii="Times New Roman" w:eastAsia="Times New Roman" w:hAnsi="Times New Roman" w:cs="Times New Roman"/>
          <w:b/>
          <w:sz w:val="24"/>
          <w:szCs w:val="24"/>
          <w:lang w:val="bg-BG" w:eastAsia="bg-BG"/>
        </w:rPr>
        <w:t xml:space="preserve"> </w:t>
      </w:r>
      <w:r w:rsidRPr="00610B1B">
        <w:rPr>
          <w:rFonts w:ascii="Times New Roman" w:eastAsia="Times New Roman" w:hAnsi="Times New Roman" w:cs="Times New Roman"/>
          <w:sz w:val="24"/>
          <w:szCs w:val="24"/>
          <w:lang w:val="bg-BG" w:eastAsia="bg-BG"/>
        </w:rPr>
        <w:t>който е част от пристанище</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Бургас. Терминалът е пътнически с целогодишна навигация и разполага с</w:t>
      </w:r>
      <w:r w:rsidR="00E71B5C" w:rsidRPr="00610B1B">
        <w:rPr>
          <w:rFonts w:ascii="Times New Roman" w:eastAsia="Times New Roman" w:hAnsi="Times New Roman" w:cs="Times New Roman"/>
          <w:sz w:val="24"/>
          <w:szCs w:val="24"/>
          <w:lang w:val="bg-BG" w:eastAsia="bg-BG"/>
        </w:rPr>
        <w:t xml:space="preserve"> 3 корабни места с дължина 410 m</w:t>
      </w:r>
      <w:r w:rsidRPr="00610B1B">
        <w:rPr>
          <w:rFonts w:ascii="Times New Roman" w:eastAsia="Times New Roman" w:hAnsi="Times New Roman" w:cs="Times New Roman"/>
          <w:sz w:val="24"/>
          <w:szCs w:val="24"/>
          <w:lang w:val="bg-BG" w:eastAsia="bg-BG"/>
        </w:rPr>
        <w:t>. Разположен е в Бургаския залив на южния бряг на стария град Несебър.</w:t>
      </w:r>
    </w:p>
    <w:p w14:paraId="6D883E89" w14:textId="0378B3C5" w:rsidR="00410372" w:rsidRPr="00610B1B" w:rsidRDefault="00410372" w:rsidP="00D32D6A">
      <w:pPr>
        <w:autoSpaceDE w:val="0"/>
        <w:autoSpaceDN w:val="0"/>
        <w:adjustRightInd w:val="0"/>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Cs/>
          <w:sz w:val="24"/>
          <w:szCs w:val="24"/>
          <w:lang w:val="bg-BG" w:eastAsia="bg-BG"/>
        </w:rPr>
        <w:t>Другата транспортна връзка</w:t>
      </w:r>
      <w:r w:rsidRPr="00610B1B">
        <w:rPr>
          <w:rFonts w:ascii="Times New Roman" w:eastAsia="Times New Roman" w:hAnsi="Times New Roman" w:cs="Times New Roman"/>
          <w:b/>
          <w:bCs/>
          <w:sz w:val="24"/>
          <w:szCs w:val="24"/>
          <w:lang w:val="bg-BG" w:eastAsia="bg-BG"/>
        </w:rPr>
        <w:t xml:space="preserve"> </w:t>
      </w:r>
      <w:r w:rsidRPr="00610B1B">
        <w:rPr>
          <w:rFonts w:ascii="Times New Roman" w:eastAsia="Times New Roman" w:hAnsi="Times New Roman" w:cs="Times New Roman"/>
          <w:bCs/>
          <w:sz w:val="24"/>
          <w:szCs w:val="24"/>
          <w:lang w:val="bg-BG" w:eastAsia="bg-BG"/>
        </w:rPr>
        <w:t xml:space="preserve">на </w:t>
      </w:r>
      <w:r w:rsidRPr="00610B1B">
        <w:rPr>
          <w:rFonts w:ascii="Times New Roman" w:eastAsia="Times New Roman" w:hAnsi="Times New Roman" w:cs="Times New Roman"/>
          <w:sz w:val="24"/>
          <w:szCs w:val="24"/>
          <w:lang w:val="bg-BG" w:eastAsia="bg-BG"/>
        </w:rPr>
        <w:t>пристанище Бургас</w:t>
      </w:r>
      <w:r w:rsidRPr="00610B1B">
        <w:rPr>
          <w:rFonts w:ascii="Times New Roman" w:eastAsia="Times New Roman" w:hAnsi="Times New Roman" w:cs="Times New Roman"/>
          <w:bCs/>
          <w:sz w:val="24"/>
          <w:szCs w:val="24"/>
          <w:lang w:val="bg-BG" w:eastAsia="bg-BG"/>
        </w:rPr>
        <w:t xml:space="preserve"> с вътрешността на страната и Столицата е </w:t>
      </w:r>
      <w:r w:rsidRPr="00610B1B">
        <w:rPr>
          <w:rFonts w:ascii="Times New Roman" w:eastAsia="Times New Roman" w:hAnsi="Times New Roman" w:cs="Times New Roman"/>
          <w:b/>
          <w:bCs/>
          <w:i/>
          <w:sz w:val="24"/>
          <w:szCs w:val="24"/>
          <w:lang w:val="bg-BG" w:eastAsia="bg-BG"/>
        </w:rPr>
        <w:t>първокласен път І-6</w:t>
      </w:r>
      <w:r w:rsidRPr="00610B1B">
        <w:rPr>
          <w:rFonts w:ascii="Times New Roman" w:eastAsia="Times New Roman" w:hAnsi="Times New Roman" w:cs="Times New Roman"/>
          <w:b/>
          <w:bCs/>
          <w:i/>
          <w:iCs/>
          <w:sz w:val="24"/>
          <w:szCs w:val="24"/>
          <w:lang w:val="bg-BG" w:eastAsia="bg-BG"/>
        </w:rPr>
        <w:t xml:space="preserve"> </w:t>
      </w:r>
      <w:r w:rsidRPr="00610B1B">
        <w:rPr>
          <w:rFonts w:ascii="Times New Roman" w:eastAsia="Times New Roman" w:hAnsi="Times New Roman" w:cs="Times New Roman"/>
          <w:sz w:val="24"/>
          <w:szCs w:val="24"/>
          <w:lang w:val="bg-BG" w:eastAsia="bg-BG"/>
        </w:rPr>
        <w:t>граница Македония-Гюешево-Кюстендил-Радомир-София-Карлово-Казанлък-Бургас.</w:t>
      </w:r>
      <w:r w:rsidRPr="00610B1B">
        <w:rPr>
          <w:rFonts w:ascii="Times New Roman" w:eastAsia="Times New Roman" w:hAnsi="Times New Roman" w:cs="Times New Roman"/>
          <w:i/>
          <w:iCs/>
          <w:sz w:val="24"/>
          <w:szCs w:val="24"/>
          <w:lang w:val="bg-BG" w:eastAsia="bg-BG"/>
        </w:rPr>
        <w:t xml:space="preserve"> </w:t>
      </w:r>
      <w:r w:rsidRPr="00610B1B">
        <w:rPr>
          <w:rFonts w:ascii="Times New Roman" w:eastAsia="Times New Roman" w:hAnsi="Times New Roman" w:cs="Times New Roman"/>
          <w:iCs/>
          <w:sz w:val="24"/>
          <w:szCs w:val="24"/>
          <w:lang w:val="bg-BG" w:eastAsia="bg-BG"/>
        </w:rPr>
        <w:t>Пътят о</w:t>
      </w:r>
      <w:r w:rsidRPr="00610B1B">
        <w:rPr>
          <w:rFonts w:ascii="Times New Roman" w:eastAsia="Times New Roman" w:hAnsi="Times New Roman" w:cs="Times New Roman"/>
          <w:sz w:val="24"/>
          <w:szCs w:val="24"/>
          <w:lang w:val="bg-BG" w:eastAsia="bg-BG"/>
        </w:rPr>
        <w:t>бслужва т</w:t>
      </w:r>
      <w:r w:rsidR="001E46E8" w:rsidRPr="00610B1B">
        <w:rPr>
          <w:rFonts w:ascii="Times New Roman" w:eastAsia="Times New Roman" w:hAnsi="Times New Roman" w:cs="Times New Roman"/>
          <w:sz w:val="24"/>
          <w:szCs w:val="24"/>
          <w:lang w:val="bg-BG" w:eastAsia="bg-BG"/>
        </w:rPr>
        <w:t>.</w:t>
      </w:r>
      <w:r w:rsidRPr="00610B1B">
        <w:rPr>
          <w:rFonts w:ascii="Times New Roman" w:eastAsia="Times New Roman" w:hAnsi="Times New Roman" w:cs="Times New Roman"/>
          <w:sz w:val="24"/>
          <w:szCs w:val="24"/>
          <w:lang w:val="bg-BG" w:eastAsia="bg-BG"/>
        </w:rPr>
        <w:t>н</w:t>
      </w:r>
      <w:r w:rsidR="001E46E8" w:rsidRPr="00610B1B">
        <w:rPr>
          <w:rFonts w:ascii="Times New Roman" w:eastAsia="Times New Roman" w:hAnsi="Times New Roman" w:cs="Times New Roman"/>
          <w:sz w:val="24"/>
          <w:szCs w:val="24"/>
          <w:lang w:val="bg-BG" w:eastAsia="bg-BG"/>
        </w:rPr>
        <w:t>ар.</w:t>
      </w:r>
      <w:r w:rsidRPr="00610B1B">
        <w:rPr>
          <w:rFonts w:ascii="Times New Roman" w:eastAsia="Times New Roman" w:hAnsi="Times New Roman" w:cs="Times New Roman"/>
          <w:sz w:val="24"/>
          <w:szCs w:val="24"/>
          <w:lang w:val="bg-BG" w:eastAsia="bg-BG"/>
        </w:rPr>
        <w:t xml:space="preserve"> “подбалканска линия” и не попада в обхвата на TEN-T мрежата.</w:t>
      </w:r>
    </w:p>
    <w:p w14:paraId="1ED3F399" w14:textId="0374BA71" w:rsidR="00410372" w:rsidRPr="00610B1B" w:rsidRDefault="00410372" w:rsidP="00D32D6A">
      <w:pPr>
        <w:autoSpaceDE w:val="0"/>
        <w:autoSpaceDN w:val="0"/>
        <w:adjustRightInd w:val="0"/>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bCs/>
          <w:i/>
          <w:sz w:val="24"/>
          <w:szCs w:val="24"/>
          <w:lang w:val="bg-BG" w:eastAsia="bg-BG"/>
        </w:rPr>
        <w:t>Второкласен път ІІ-79</w:t>
      </w:r>
      <w:r w:rsidRPr="00610B1B">
        <w:rPr>
          <w:rFonts w:ascii="Times New Roman" w:eastAsia="Times New Roman" w:hAnsi="Times New Roman" w:cs="Times New Roman"/>
          <w:b/>
          <w:bCs/>
          <w:sz w:val="24"/>
          <w:szCs w:val="24"/>
          <w:lang w:val="bg-BG" w:eastAsia="bg-BG"/>
        </w:rPr>
        <w:t xml:space="preserve"> </w:t>
      </w:r>
      <w:r w:rsidRPr="00610B1B">
        <w:rPr>
          <w:rFonts w:ascii="Times New Roman" w:eastAsia="Times New Roman" w:hAnsi="Times New Roman" w:cs="Times New Roman"/>
          <w:sz w:val="24"/>
          <w:szCs w:val="24"/>
          <w:lang w:val="bg-BG" w:eastAsia="bg-BG"/>
        </w:rPr>
        <w:t>о</w:t>
      </w:r>
      <w:r w:rsidR="001E46E8" w:rsidRPr="00610B1B">
        <w:rPr>
          <w:rFonts w:ascii="Times New Roman" w:eastAsia="Times New Roman" w:hAnsi="Times New Roman" w:cs="Times New Roman"/>
          <w:sz w:val="24"/>
          <w:szCs w:val="24"/>
          <w:lang w:val="bg-BG" w:eastAsia="bg-BG"/>
        </w:rPr>
        <w:t>т</w:t>
      </w:r>
      <w:r w:rsidRPr="00610B1B">
        <w:rPr>
          <w:rFonts w:ascii="Times New Roman" w:eastAsia="Times New Roman" w:hAnsi="Times New Roman" w:cs="Times New Roman"/>
          <w:sz w:val="24"/>
          <w:szCs w:val="24"/>
          <w:lang w:val="bg-BG" w:eastAsia="bg-BG"/>
        </w:rPr>
        <w:t xml:space="preserve"> Елхово</w:t>
      </w:r>
      <w:r w:rsidR="001E46E8" w:rsidRPr="00610B1B">
        <w:rPr>
          <w:rFonts w:ascii="Times New Roman" w:eastAsia="Times New Roman" w:hAnsi="Times New Roman" w:cs="Times New Roman"/>
          <w:sz w:val="24"/>
          <w:szCs w:val="24"/>
          <w:lang w:val="bg-BG" w:eastAsia="bg-BG"/>
        </w:rPr>
        <w:t>-</w:t>
      </w:r>
      <w:r w:rsidRPr="00610B1B">
        <w:rPr>
          <w:rFonts w:ascii="Times New Roman" w:eastAsia="Times New Roman" w:hAnsi="Times New Roman" w:cs="Times New Roman"/>
          <w:sz w:val="24"/>
          <w:szCs w:val="24"/>
          <w:lang w:val="bg-BG" w:eastAsia="bg-BG"/>
        </w:rPr>
        <w:t>Болярово-Средец</w:t>
      </w:r>
      <w:r w:rsidR="001E46E8" w:rsidRPr="00610B1B">
        <w:rPr>
          <w:rFonts w:ascii="Times New Roman" w:eastAsia="Times New Roman" w:hAnsi="Times New Roman" w:cs="Times New Roman"/>
          <w:sz w:val="24"/>
          <w:szCs w:val="24"/>
          <w:lang w:val="bg-BG" w:eastAsia="bg-BG"/>
        </w:rPr>
        <w:t>-</w:t>
      </w:r>
      <w:r w:rsidRPr="00610B1B">
        <w:rPr>
          <w:rFonts w:ascii="Times New Roman" w:eastAsia="Times New Roman" w:hAnsi="Times New Roman" w:cs="Times New Roman"/>
          <w:sz w:val="24"/>
          <w:szCs w:val="24"/>
          <w:lang w:val="bg-BG" w:eastAsia="bg-BG"/>
        </w:rPr>
        <w:t>кв</w:t>
      </w:r>
      <w:r w:rsidR="001E46E8" w:rsidRPr="00610B1B">
        <w:rPr>
          <w:rFonts w:ascii="Times New Roman" w:eastAsia="Times New Roman" w:hAnsi="Times New Roman" w:cs="Times New Roman"/>
          <w:sz w:val="24"/>
          <w:szCs w:val="24"/>
          <w:lang w:val="bg-BG" w:eastAsia="bg-BG"/>
        </w:rPr>
        <w:t>.</w:t>
      </w:r>
      <w:r w:rsidRPr="00610B1B">
        <w:rPr>
          <w:rFonts w:ascii="Times New Roman" w:eastAsia="Times New Roman" w:hAnsi="Times New Roman" w:cs="Times New Roman"/>
          <w:sz w:val="24"/>
          <w:szCs w:val="24"/>
          <w:lang w:val="bg-BG" w:eastAsia="bg-BG"/>
        </w:rPr>
        <w:t xml:space="preserve"> Меден рудник-(Бургас-Маринка) допълва транспортното обслужване на пристанище Бургас като връзка с тила на Южното Черноморие</w:t>
      </w:r>
      <w:r w:rsidR="001E46E8" w:rsidRPr="00610B1B">
        <w:rPr>
          <w:rFonts w:ascii="Times New Roman" w:eastAsia="Times New Roman" w:hAnsi="Times New Roman" w:cs="Times New Roman"/>
          <w:sz w:val="24"/>
          <w:szCs w:val="24"/>
          <w:lang w:val="bg-BG" w:eastAsia="bg-BG"/>
        </w:rPr>
        <w:t>.</w:t>
      </w:r>
    </w:p>
    <w:p w14:paraId="367F097D" w14:textId="615581A7" w:rsidR="00A9007A" w:rsidRPr="00610B1B" w:rsidRDefault="00410372" w:rsidP="00A9007A">
      <w:pPr>
        <w:autoSpaceDE w:val="0"/>
        <w:autoSpaceDN w:val="0"/>
        <w:adjustRightInd w:val="0"/>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bCs/>
          <w:i/>
          <w:sz w:val="24"/>
          <w:szCs w:val="24"/>
          <w:lang w:val="bg-BG" w:eastAsia="bg-BG"/>
        </w:rPr>
        <w:t>Второкласен път ІІ-99</w:t>
      </w:r>
      <w:r w:rsidRPr="00610B1B">
        <w:rPr>
          <w:rFonts w:ascii="Times New Roman" w:eastAsia="Times New Roman" w:hAnsi="Times New Roman" w:cs="Times New Roman"/>
          <w:b/>
          <w:bCs/>
          <w:sz w:val="24"/>
          <w:szCs w:val="24"/>
          <w:lang w:val="bg-BG" w:eastAsia="bg-BG"/>
        </w:rPr>
        <w:t xml:space="preserve"> </w:t>
      </w:r>
      <w:r w:rsidRPr="00610B1B">
        <w:rPr>
          <w:rFonts w:ascii="Times New Roman" w:eastAsia="Times New Roman" w:hAnsi="Times New Roman" w:cs="Times New Roman"/>
          <w:sz w:val="24"/>
          <w:szCs w:val="24"/>
          <w:lang w:val="bg-BG" w:eastAsia="bg-BG"/>
        </w:rPr>
        <w:t>(Бургас-Маринка)-Созопол-Приморско-Царево-Малко Търново (о.п. Малко Търново-граница</w:t>
      </w:r>
      <w:r w:rsidR="001E46E8"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Турция)</w:t>
      </w:r>
      <w:r w:rsidRPr="00610B1B">
        <w:rPr>
          <w:rFonts w:ascii="Times New Roman" w:eastAsia="Times New Roman" w:hAnsi="Times New Roman" w:cs="Times New Roman"/>
          <w:i/>
          <w:iCs/>
          <w:sz w:val="24"/>
          <w:szCs w:val="24"/>
          <w:lang w:val="bg-BG" w:eastAsia="bg-BG"/>
        </w:rPr>
        <w:t xml:space="preserve"> </w:t>
      </w:r>
      <w:r w:rsidRPr="00610B1B">
        <w:rPr>
          <w:rFonts w:ascii="Times New Roman" w:eastAsia="Times New Roman" w:hAnsi="Times New Roman" w:cs="Times New Roman"/>
          <w:sz w:val="24"/>
          <w:szCs w:val="24"/>
          <w:lang w:val="bg-BG" w:eastAsia="bg-BG"/>
        </w:rPr>
        <w:t>обслужва южната част на Черноморското крайбрежие.</w:t>
      </w:r>
      <w:r w:rsidR="00E71B5C" w:rsidRPr="00610B1B">
        <w:rPr>
          <w:rFonts w:ascii="Times New Roman" w:eastAsia="Times New Roman" w:hAnsi="Times New Roman" w:cs="Times New Roman"/>
          <w:sz w:val="24"/>
          <w:szCs w:val="24"/>
          <w:lang w:val="bg-BG" w:eastAsia="bg-BG"/>
        </w:rPr>
        <w:t xml:space="preserve"> Той</w:t>
      </w:r>
      <w:r w:rsidRPr="00610B1B">
        <w:rPr>
          <w:rFonts w:ascii="Times New Roman" w:eastAsia="Times New Roman" w:hAnsi="Times New Roman" w:cs="Times New Roman"/>
          <w:sz w:val="24"/>
          <w:szCs w:val="24"/>
          <w:lang w:val="bg-BG" w:eastAsia="bg-BG"/>
        </w:rPr>
        <w:t xml:space="preserve"> обслужва и</w:t>
      </w:r>
      <w:r w:rsidRPr="00610B1B">
        <w:rPr>
          <w:rFonts w:ascii="Times New Roman" w:eastAsia="Times New Roman" w:hAnsi="Times New Roman" w:cs="Times New Roman"/>
          <w:i/>
          <w:sz w:val="24"/>
          <w:szCs w:val="24"/>
          <w:lang w:val="bg-BG" w:eastAsia="bg-BG"/>
        </w:rPr>
        <w:t xml:space="preserve"> Пристанищен терминал „Росенец”,</w:t>
      </w:r>
      <w:r w:rsidRPr="00610B1B">
        <w:rPr>
          <w:rFonts w:ascii="Times New Roman" w:eastAsia="Times New Roman" w:hAnsi="Times New Roman" w:cs="Times New Roman"/>
          <w:b/>
          <w:sz w:val="24"/>
          <w:szCs w:val="24"/>
          <w:lang w:val="bg-BG" w:eastAsia="bg-BG"/>
        </w:rPr>
        <w:t xml:space="preserve"> </w:t>
      </w:r>
      <w:r w:rsidRPr="00610B1B">
        <w:rPr>
          <w:rFonts w:ascii="Times New Roman" w:eastAsia="Times New Roman" w:hAnsi="Times New Roman" w:cs="Times New Roman"/>
          <w:sz w:val="24"/>
          <w:szCs w:val="24"/>
          <w:lang w:val="bg-BG" w:eastAsia="bg-BG"/>
        </w:rPr>
        <w:t>разположен югоизточно от град Бургас, между кв. Крайморие -</w:t>
      </w:r>
      <w:r w:rsidR="00054383"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Бургас и с. Атия. </w:t>
      </w:r>
      <w:r w:rsidR="00A9007A" w:rsidRPr="00610B1B">
        <w:rPr>
          <w:rFonts w:ascii="Times New Roman" w:eastAsia="Times New Roman" w:hAnsi="Times New Roman" w:cs="Times New Roman"/>
          <w:sz w:val="24"/>
          <w:szCs w:val="24"/>
          <w:lang w:val="bg-BG" w:eastAsia="bg-BG"/>
        </w:rPr>
        <w:t>Той е част от пристанище за обществен транспорт</w:t>
      </w:r>
      <w:r w:rsidR="008753B6" w:rsidRPr="00610B1B">
        <w:rPr>
          <w:rFonts w:ascii="Times New Roman" w:eastAsia="Times New Roman" w:hAnsi="Times New Roman" w:cs="Times New Roman"/>
          <w:sz w:val="24"/>
          <w:szCs w:val="24"/>
          <w:lang w:val="bg-BG" w:eastAsia="bg-BG"/>
        </w:rPr>
        <w:t xml:space="preserve"> </w:t>
      </w:r>
      <w:r w:rsidR="00A9007A" w:rsidRPr="00610B1B">
        <w:rPr>
          <w:rFonts w:ascii="Times New Roman" w:eastAsia="Times New Roman" w:hAnsi="Times New Roman" w:cs="Times New Roman"/>
          <w:sz w:val="24"/>
          <w:szCs w:val="24"/>
          <w:lang w:val="bg-BG" w:eastAsia="bg-BG"/>
        </w:rPr>
        <w:t>Бургас. С договор от 12.05.2011 г., терминалът е</w:t>
      </w:r>
      <w:r w:rsidR="00D66FE0" w:rsidRPr="00610B1B">
        <w:rPr>
          <w:rFonts w:ascii="Times New Roman" w:eastAsia="Times New Roman" w:hAnsi="Times New Roman" w:cs="Times New Roman"/>
          <w:sz w:val="24"/>
          <w:szCs w:val="24"/>
          <w:lang w:val="bg-BG" w:eastAsia="bg-BG"/>
        </w:rPr>
        <w:t xml:space="preserve"> </w:t>
      </w:r>
      <w:r w:rsidR="00A9007A" w:rsidRPr="00610B1B">
        <w:rPr>
          <w:rFonts w:ascii="Times New Roman" w:eastAsia="Times New Roman" w:hAnsi="Times New Roman" w:cs="Times New Roman"/>
          <w:sz w:val="24"/>
          <w:szCs w:val="24"/>
          <w:lang w:val="bg-BG" w:eastAsia="bg-BG"/>
        </w:rPr>
        <w:t>предоставен на концесия за срок от 35 години</w:t>
      </w:r>
      <w:r w:rsidR="00D66FE0" w:rsidRPr="00610B1B">
        <w:rPr>
          <w:rFonts w:ascii="Times New Roman" w:eastAsia="Times New Roman" w:hAnsi="Times New Roman" w:cs="Times New Roman"/>
          <w:sz w:val="24"/>
          <w:szCs w:val="24"/>
          <w:lang w:val="bg-BG" w:eastAsia="bg-BG"/>
        </w:rPr>
        <w:t xml:space="preserve"> </w:t>
      </w:r>
      <w:r w:rsidR="00A9007A" w:rsidRPr="00610B1B">
        <w:rPr>
          <w:rFonts w:ascii="Times New Roman" w:eastAsia="Times New Roman" w:hAnsi="Times New Roman" w:cs="Times New Roman"/>
          <w:sz w:val="24"/>
          <w:szCs w:val="24"/>
          <w:lang w:val="bg-BG" w:eastAsia="bg-BG"/>
        </w:rPr>
        <w:t>на „Лукойл Нефтохим Бургас“ АД. Концесията е за услуга с основен предмет управление и поддържане на обекта срещу правото и задължението на концесионера да извършва пристанищни услуги по чл. 116, ал. 3, т. 2 от ЗМПВВППРБ. Предлаганите пристанищни услуги са: обработка (товарене, разтоварване, съхраняване) на опасни наливни товари -нефт, нефтопродукти и други наливни опасни товари от клас 3 по Класификацията на ИМО.</w:t>
      </w:r>
    </w:p>
    <w:p w14:paraId="30CF2BFB" w14:textId="198728BB" w:rsidR="00410372" w:rsidRPr="00610B1B" w:rsidRDefault="00410372" w:rsidP="00A9007A">
      <w:pPr>
        <w:autoSpaceDE w:val="0"/>
        <w:autoSpaceDN w:val="0"/>
        <w:adjustRightInd w:val="0"/>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sz w:val="24"/>
          <w:szCs w:val="24"/>
          <w:lang w:val="bg-BG" w:eastAsia="bg-BG"/>
        </w:rPr>
        <w:t xml:space="preserve">Пристанищата за обществен транспорт </w:t>
      </w:r>
      <w:r w:rsidR="00D44498" w:rsidRPr="00610B1B">
        <w:rPr>
          <w:rFonts w:ascii="Times New Roman" w:eastAsia="Times New Roman" w:hAnsi="Times New Roman" w:cs="Times New Roman"/>
          <w:sz w:val="24"/>
          <w:szCs w:val="24"/>
          <w:lang w:val="bg-BG" w:eastAsia="bg-BG"/>
        </w:rPr>
        <w:t>в по-малките черноморски градове</w:t>
      </w:r>
      <w:r w:rsidR="008F4426" w:rsidRPr="00610B1B">
        <w:rPr>
          <w:rFonts w:ascii="Times New Roman" w:eastAsia="Times New Roman" w:hAnsi="Times New Roman" w:cs="Times New Roman"/>
          <w:sz w:val="24"/>
          <w:szCs w:val="24"/>
          <w:lang w:val="bg-BG" w:eastAsia="bg-BG"/>
        </w:rPr>
        <w:t>, които са собственост на общините,</w:t>
      </w:r>
      <w:r w:rsidRPr="00610B1B">
        <w:rPr>
          <w:rFonts w:ascii="Times New Roman" w:eastAsia="Times New Roman" w:hAnsi="Times New Roman" w:cs="Times New Roman"/>
          <w:sz w:val="24"/>
          <w:szCs w:val="24"/>
          <w:lang w:val="bg-BG" w:eastAsia="bg-BG"/>
        </w:rPr>
        <w:t xml:space="preserve"> се обслужват с вече описаните пътища от републиканската пътна мрежа, както следва:</w:t>
      </w:r>
    </w:p>
    <w:p w14:paraId="16D7144D" w14:textId="524E6F14" w:rsidR="00410372" w:rsidRPr="00610B1B" w:rsidRDefault="00410372" w:rsidP="00B46189">
      <w:pPr>
        <w:pStyle w:val="ListParagraph"/>
        <w:numPr>
          <w:ilvl w:val="0"/>
          <w:numId w:val="10"/>
        </w:numPr>
        <w:spacing w:after="120"/>
        <w:ind w:right="-153"/>
        <w:contextualSpacing w:val="0"/>
        <w:jc w:val="both"/>
        <w:rPr>
          <w:rFonts w:ascii="Times New Roman" w:eastAsia="Times New Roman" w:hAnsi="Times New Roman" w:cs="Times New Roman"/>
          <w:bCs/>
          <w:sz w:val="24"/>
          <w:szCs w:val="24"/>
          <w:lang w:val="bg-BG" w:eastAsia="bg-BG"/>
        </w:rPr>
      </w:pPr>
      <w:r w:rsidRPr="00610B1B">
        <w:rPr>
          <w:rFonts w:ascii="Times New Roman" w:eastAsia="Times New Roman" w:hAnsi="Times New Roman" w:cs="Times New Roman"/>
          <w:bCs/>
          <w:i/>
          <w:sz w:val="24"/>
          <w:szCs w:val="24"/>
          <w:lang w:val="bg-BG" w:eastAsia="bg-BG"/>
        </w:rPr>
        <w:t>Пристанище Поморие</w:t>
      </w:r>
      <w:r w:rsidR="00D66FE0" w:rsidRPr="00610B1B">
        <w:rPr>
          <w:rFonts w:ascii="Times New Roman" w:eastAsia="Times New Roman" w:hAnsi="Times New Roman" w:cs="Times New Roman"/>
          <w:bCs/>
          <w:i/>
          <w:sz w:val="24"/>
          <w:szCs w:val="24"/>
          <w:lang w:val="bg-BG" w:eastAsia="bg-BG"/>
        </w:rPr>
        <w:t xml:space="preserve"> </w:t>
      </w:r>
      <w:r w:rsidRPr="00610B1B">
        <w:rPr>
          <w:rFonts w:ascii="Times New Roman" w:eastAsia="Times New Roman" w:hAnsi="Times New Roman" w:cs="Times New Roman"/>
          <w:bCs/>
          <w:i/>
          <w:sz w:val="24"/>
          <w:szCs w:val="24"/>
          <w:lang w:val="bg-BG" w:eastAsia="bg-BG"/>
        </w:rPr>
        <w:t>-</w:t>
      </w:r>
      <w:r w:rsidR="00054383" w:rsidRPr="00610B1B">
        <w:rPr>
          <w:rFonts w:ascii="Times New Roman" w:eastAsia="Times New Roman" w:hAnsi="Times New Roman" w:cs="Times New Roman"/>
          <w:bCs/>
          <w:i/>
          <w:sz w:val="24"/>
          <w:szCs w:val="24"/>
          <w:lang w:val="bg-BG" w:eastAsia="bg-BG"/>
        </w:rPr>
        <w:t xml:space="preserve"> </w:t>
      </w:r>
      <w:r w:rsidRPr="00610B1B">
        <w:rPr>
          <w:rFonts w:ascii="Times New Roman" w:eastAsia="Times New Roman" w:hAnsi="Times New Roman" w:cs="Times New Roman"/>
          <w:bCs/>
          <w:sz w:val="24"/>
          <w:szCs w:val="24"/>
          <w:lang w:val="bg-BG" w:eastAsia="bg-BG"/>
        </w:rPr>
        <w:t>от</w:t>
      </w:r>
      <w:r w:rsidRPr="00610B1B">
        <w:rPr>
          <w:rFonts w:ascii="Times New Roman" w:eastAsia="Times New Roman" w:hAnsi="Times New Roman" w:cs="Times New Roman"/>
          <w:bCs/>
          <w:i/>
          <w:sz w:val="24"/>
          <w:szCs w:val="24"/>
          <w:lang w:val="bg-BG" w:eastAsia="bg-BG"/>
        </w:rPr>
        <w:t xml:space="preserve"> </w:t>
      </w:r>
      <w:r w:rsidRPr="00610B1B">
        <w:rPr>
          <w:rFonts w:ascii="Times New Roman" w:eastAsia="Times New Roman" w:hAnsi="Times New Roman" w:cs="Times New Roman"/>
          <w:bCs/>
          <w:sz w:val="24"/>
          <w:szCs w:val="24"/>
          <w:lang w:val="bg-BG" w:eastAsia="bg-BG"/>
        </w:rPr>
        <w:t>първокласния път І-9</w:t>
      </w:r>
      <w:r w:rsidRPr="00610B1B">
        <w:rPr>
          <w:rFonts w:ascii="Times New Roman" w:eastAsia="Times New Roman" w:hAnsi="Times New Roman" w:cs="Times New Roman"/>
          <w:bCs/>
          <w:i/>
          <w:iCs/>
          <w:sz w:val="24"/>
          <w:szCs w:val="24"/>
          <w:lang w:val="bg-BG" w:eastAsia="bg-BG"/>
        </w:rPr>
        <w:t xml:space="preserve"> </w:t>
      </w:r>
      <w:r w:rsidRPr="00610B1B">
        <w:rPr>
          <w:rFonts w:ascii="Times New Roman" w:eastAsia="Times New Roman" w:hAnsi="Times New Roman" w:cs="Times New Roman"/>
          <w:bCs/>
          <w:sz w:val="24"/>
          <w:szCs w:val="24"/>
          <w:lang w:val="bg-BG" w:eastAsia="bg-BG"/>
        </w:rPr>
        <w:t>граница Румъния-Дуранкулак-Варна-Бургас-Малко Търново-граница Турция</w:t>
      </w:r>
      <w:r w:rsidR="00054383" w:rsidRPr="00610B1B">
        <w:rPr>
          <w:rFonts w:ascii="Times New Roman" w:eastAsia="Times New Roman" w:hAnsi="Times New Roman" w:cs="Times New Roman"/>
          <w:bCs/>
          <w:sz w:val="24"/>
          <w:szCs w:val="24"/>
          <w:lang w:val="bg-BG" w:eastAsia="bg-BG"/>
        </w:rPr>
        <w:t xml:space="preserve"> </w:t>
      </w:r>
      <w:r w:rsidRPr="00610B1B">
        <w:rPr>
          <w:rFonts w:ascii="Times New Roman" w:eastAsia="Times New Roman" w:hAnsi="Times New Roman" w:cs="Times New Roman"/>
          <w:bCs/>
          <w:sz w:val="24"/>
          <w:szCs w:val="24"/>
          <w:lang w:val="bg-BG" w:eastAsia="bg-BG"/>
        </w:rPr>
        <w:t>(Е-87)</w:t>
      </w:r>
      <w:r w:rsidR="00054383" w:rsidRPr="00610B1B">
        <w:rPr>
          <w:rFonts w:ascii="Times New Roman" w:eastAsia="Times New Roman" w:hAnsi="Times New Roman" w:cs="Times New Roman"/>
          <w:bCs/>
          <w:sz w:val="24"/>
          <w:szCs w:val="24"/>
          <w:lang w:val="bg-BG" w:eastAsia="bg-BG"/>
        </w:rPr>
        <w:t>;</w:t>
      </w:r>
      <w:r w:rsidRPr="00610B1B">
        <w:rPr>
          <w:rFonts w:ascii="Times New Roman" w:eastAsia="Times New Roman" w:hAnsi="Times New Roman" w:cs="Times New Roman"/>
          <w:bCs/>
          <w:sz w:val="24"/>
          <w:szCs w:val="24"/>
          <w:lang w:val="bg-BG" w:eastAsia="bg-BG"/>
        </w:rPr>
        <w:t xml:space="preserve"> </w:t>
      </w:r>
    </w:p>
    <w:p w14:paraId="3F57E1B2" w14:textId="212F4964" w:rsidR="00054383" w:rsidRPr="00610B1B" w:rsidRDefault="00410372" w:rsidP="00B46189">
      <w:pPr>
        <w:pStyle w:val="ListParagraph"/>
        <w:numPr>
          <w:ilvl w:val="0"/>
          <w:numId w:val="10"/>
        </w:numPr>
        <w:spacing w:after="120"/>
        <w:ind w:right="-153"/>
        <w:contextualSpacing w:val="0"/>
        <w:jc w:val="both"/>
        <w:rPr>
          <w:rFonts w:ascii="Times New Roman" w:eastAsia="Times New Roman" w:hAnsi="Times New Roman" w:cs="Times New Roman"/>
          <w:i/>
          <w:sz w:val="24"/>
          <w:szCs w:val="24"/>
          <w:lang w:val="bg-BG" w:eastAsia="bg-BG"/>
        </w:rPr>
      </w:pPr>
      <w:r w:rsidRPr="00610B1B">
        <w:rPr>
          <w:rFonts w:ascii="Times New Roman" w:eastAsia="Times New Roman" w:hAnsi="Times New Roman" w:cs="Times New Roman"/>
          <w:bCs/>
          <w:i/>
          <w:sz w:val="24"/>
          <w:szCs w:val="24"/>
          <w:lang w:val="bg-BG" w:eastAsia="bg-BG"/>
        </w:rPr>
        <w:t>Пристанище Царево</w:t>
      </w:r>
      <w:r w:rsidRPr="00610B1B">
        <w:rPr>
          <w:rFonts w:ascii="Times New Roman" w:eastAsia="Times New Roman" w:hAnsi="Times New Roman" w:cs="Times New Roman"/>
          <w:b/>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 от крайбрежния в</w:t>
      </w:r>
      <w:r w:rsidRPr="00610B1B">
        <w:rPr>
          <w:rFonts w:ascii="Times New Roman" w:eastAsia="Times New Roman" w:hAnsi="Times New Roman" w:cs="Times New Roman"/>
          <w:bCs/>
          <w:sz w:val="24"/>
          <w:szCs w:val="24"/>
          <w:lang w:val="bg-BG" w:eastAsia="bg-BG"/>
        </w:rPr>
        <w:t xml:space="preserve">торокласен път </w:t>
      </w:r>
      <w:r w:rsidRPr="00610B1B">
        <w:rPr>
          <w:rFonts w:ascii="Times New Roman" w:eastAsia="Times New Roman" w:hAnsi="Times New Roman" w:cs="Times New Roman"/>
          <w:sz w:val="24"/>
          <w:szCs w:val="24"/>
          <w:lang w:val="bg-BG" w:eastAsia="bg-BG"/>
        </w:rPr>
        <w:t>ІІ-99</w:t>
      </w:r>
      <w:r w:rsidRPr="00610B1B">
        <w:rPr>
          <w:rFonts w:ascii="Times New Roman" w:eastAsia="Times New Roman" w:hAnsi="Times New Roman" w:cs="Times New Roman"/>
          <w:bCs/>
          <w:sz w:val="24"/>
          <w:szCs w:val="24"/>
          <w:lang w:val="bg-BG" w:eastAsia="bg-BG"/>
        </w:rPr>
        <w:t xml:space="preserve"> с туристическо значение</w:t>
      </w:r>
      <w:r w:rsidR="00054383" w:rsidRPr="00610B1B">
        <w:rPr>
          <w:rFonts w:ascii="Times New Roman" w:eastAsia="Times New Roman" w:hAnsi="Times New Roman" w:cs="Times New Roman"/>
          <w:bCs/>
          <w:sz w:val="24"/>
          <w:szCs w:val="24"/>
          <w:lang w:val="bg-BG" w:eastAsia="bg-BG"/>
        </w:rPr>
        <w:t>;</w:t>
      </w:r>
      <w:r w:rsidR="00D66FE0" w:rsidRPr="00610B1B">
        <w:rPr>
          <w:rFonts w:ascii="Times New Roman" w:eastAsia="Times New Roman" w:hAnsi="Times New Roman" w:cs="Times New Roman"/>
          <w:bCs/>
          <w:sz w:val="24"/>
          <w:szCs w:val="24"/>
          <w:lang w:val="bg-BG" w:eastAsia="bg-BG"/>
        </w:rPr>
        <w:t xml:space="preserve"> </w:t>
      </w:r>
    </w:p>
    <w:p w14:paraId="543298D3" w14:textId="3A6E9506" w:rsidR="00410372" w:rsidRPr="00610B1B" w:rsidRDefault="00410372" w:rsidP="00B46189">
      <w:pPr>
        <w:pStyle w:val="ListParagraph"/>
        <w:numPr>
          <w:ilvl w:val="0"/>
          <w:numId w:val="10"/>
        </w:numPr>
        <w:spacing w:after="120"/>
        <w:ind w:right="-153"/>
        <w:contextualSpacing w:val="0"/>
        <w:jc w:val="both"/>
        <w:rPr>
          <w:rFonts w:ascii="Times New Roman" w:eastAsia="Times New Roman" w:hAnsi="Times New Roman" w:cs="Times New Roman"/>
          <w:iCs/>
          <w:sz w:val="24"/>
          <w:szCs w:val="24"/>
          <w:lang w:val="bg-BG" w:eastAsia="bg-BG"/>
        </w:rPr>
      </w:pPr>
      <w:r w:rsidRPr="00610B1B">
        <w:rPr>
          <w:rFonts w:ascii="Times New Roman" w:eastAsia="Times New Roman" w:hAnsi="Times New Roman" w:cs="Times New Roman"/>
          <w:i/>
          <w:sz w:val="24"/>
          <w:szCs w:val="24"/>
          <w:lang w:val="bg-BG" w:eastAsia="bg-BG"/>
        </w:rPr>
        <w:t>Пристанище Ахтопол</w:t>
      </w:r>
      <w:r w:rsidR="00054383" w:rsidRPr="00610B1B">
        <w:rPr>
          <w:rFonts w:ascii="Times New Roman" w:eastAsia="Times New Roman" w:hAnsi="Times New Roman" w:cs="Times New Roman"/>
          <w:b/>
          <w:bCs/>
          <w:i/>
          <w:sz w:val="24"/>
          <w:szCs w:val="24"/>
          <w:lang w:val="bg-BG" w:eastAsia="bg-BG"/>
        </w:rPr>
        <w:t xml:space="preserve"> </w:t>
      </w:r>
      <w:r w:rsidRPr="00610B1B">
        <w:rPr>
          <w:rFonts w:ascii="Times New Roman" w:eastAsia="Times New Roman" w:hAnsi="Times New Roman" w:cs="Times New Roman"/>
          <w:bCs/>
          <w:sz w:val="24"/>
          <w:szCs w:val="24"/>
          <w:lang w:val="bg-BG" w:eastAsia="bg-BG"/>
        </w:rPr>
        <w:t>-</w:t>
      </w:r>
      <w:r w:rsidR="00054383" w:rsidRPr="00610B1B">
        <w:rPr>
          <w:rFonts w:ascii="Times New Roman" w:eastAsia="Times New Roman" w:hAnsi="Times New Roman" w:cs="Times New Roman"/>
          <w:bCs/>
          <w:sz w:val="24"/>
          <w:szCs w:val="24"/>
          <w:lang w:val="bg-BG" w:eastAsia="bg-BG"/>
        </w:rPr>
        <w:t xml:space="preserve"> </w:t>
      </w:r>
      <w:r w:rsidRPr="00610B1B">
        <w:rPr>
          <w:rFonts w:ascii="Times New Roman" w:eastAsia="Times New Roman" w:hAnsi="Times New Roman" w:cs="Times New Roman"/>
          <w:bCs/>
          <w:sz w:val="24"/>
          <w:szCs w:val="24"/>
          <w:lang w:val="bg-BG" w:eastAsia="bg-BG"/>
        </w:rPr>
        <w:t xml:space="preserve">от третокласния път </w:t>
      </w:r>
      <w:r w:rsidRPr="00610B1B">
        <w:rPr>
          <w:rFonts w:ascii="Times New Roman" w:eastAsia="Times New Roman" w:hAnsi="Times New Roman" w:cs="Times New Roman"/>
          <w:bCs/>
          <w:color w:val="222222"/>
          <w:sz w:val="24"/>
          <w:szCs w:val="24"/>
          <w:shd w:val="clear" w:color="auto" w:fill="F9F9F9"/>
          <w:lang w:val="bg-BG" w:eastAsia="bg-BG"/>
        </w:rPr>
        <w:t>III-9901</w:t>
      </w:r>
      <w:r w:rsidRPr="00610B1B">
        <w:rPr>
          <w:rFonts w:ascii="Times New Roman" w:eastAsia="Times New Roman" w:hAnsi="Times New Roman" w:cs="Times New Roman"/>
          <w:color w:val="222222"/>
          <w:sz w:val="24"/>
          <w:szCs w:val="24"/>
          <w:shd w:val="clear" w:color="auto" w:fill="F9F9F9"/>
          <w:lang w:val="bg-BG" w:eastAsia="bg-BG"/>
        </w:rPr>
        <w:t xml:space="preserve"> </w:t>
      </w:r>
      <w:r w:rsidRPr="00610B1B">
        <w:rPr>
          <w:rFonts w:ascii="Times New Roman" w:eastAsia="Times New Roman" w:hAnsi="Times New Roman" w:cs="Times New Roman"/>
          <w:iCs/>
          <w:color w:val="222222"/>
          <w:sz w:val="24"/>
          <w:szCs w:val="24"/>
          <w:shd w:val="clear" w:color="auto" w:fill="F9F9F9"/>
          <w:lang w:val="bg-BG" w:eastAsia="bg-BG"/>
        </w:rPr>
        <w:t>Царево-</w:t>
      </w:r>
      <w:r w:rsidR="00054383" w:rsidRPr="00610B1B">
        <w:rPr>
          <w:rFonts w:ascii="Times New Roman" w:eastAsia="Times New Roman" w:hAnsi="Times New Roman" w:cs="Times New Roman"/>
          <w:iCs/>
          <w:color w:val="222222"/>
          <w:sz w:val="24"/>
          <w:szCs w:val="24"/>
          <w:shd w:val="clear" w:color="auto" w:fill="F9F9F9"/>
          <w:lang w:val="bg-BG" w:eastAsia="bg-BG"/>
        </w:rPr>
        <w:t>А</w:t>
      </w:r>
      <w:r w:rsidRPr="00610B1B">
        <w:rPr>
          <w:rFonts w:ascii="Times New Roman" w:eastAsia="Times New Roman" w:hAnsi="Times New Roman" w:cs="Times New Roman"/>
          <w:iCs/>
          <w:color w:val="222222"/>
          <w:sz w:val="24"/>
          <w:szCs w:val="24"/>
          <w:shd w:val="clear" w:color="auto" w:fill="F9F9F9"/>
          <w:lang w:val="bg-BG" w:eastAsia="bg-BG"/>
        </w:rPr>
        <w:t>хтопол.</w:t>
      </w:r>
    </w:p>
    <w:p w14:paraId="7AC71A73" w14:textId="72E26EA7" w:rsidR="00410372" w:rsidRPr="00610B1B" w:rsidRDefault="000D2175"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Arial Unicode MS" w:hAnsi="Times New Roman" w:cs="Times New Roman"/>
          <w:b/>
          <w:kern w:val="32"/>
          <w:sz w:val="24"/>
          <w:szCs w:val="24"/>
          <w:lang w:val="bg-BG"/>
        </w:rPr>
        <w:lastRenderedPageBreak/>
        <w:t>П</w:t>
      </w:r>
      <w:r w:rsidR="00410372" w:rsidRPr="00610B1B">
        <w:rPr>
          <w:rFonts w:ascii="Times New Roman" w:eastAsia="Arial Unicode MS" w:hAnsi="Times New Roman" w:cs="Times New Roman"/>
          <w:b/>
          <w:kern w:val="32"/>
          <w:sz w:val="24"/>
          <w:szCs w:val="24"/>
          <w:lang w:val="bg-BG"/>
        </w:rPr>
        <w:t>ристанище Варна</w:t>
      </w:r>
      <w:r w:rsidR="00410372" w:rsidRPr="00610B1B">
        <w:rPr>
          <w:rFonts w:ascii="Times New Roman" w:eastAsia="Arial Unicode MS" w:hAnsi="Times New Roman" w:cs="Times New Roman"/>
          <w:kern w:val="32"/>
          <w:sz w:val="24"/>
          <w:szCs w:val="24"/>
          <w:lang w:val="bg-BG"/>
        </w:rPr>
        <w:t xml:space="preserve"> е</w:t>
      </w:r>
      <w:r w:rsidR="00410372" w:rsidRPr="00610B1B">
        <w:rPr>
          <w:rFonts w:ascii="Times New Roman" w:eastAsia="Times New Roman" w:hAnsi="Times New Roman" w:cs="Times New Roman"/>
          <w:sz w:val="24"/>
          <w:szCs w:val="24"/>
          <w:lang w:val="bg-BG" w:eastAsia="bg-BG"/>
        </w:rPr>
        <w:t xml:space="preserve"> важен център на транспортната система на страната,</w:t>
      </w:r>
      <w:r w:rsidR="00D66FE0" w:rsidRPr="00610B1B">
        <w:rPr>
          <w:rFonts w:ascii="Times New Roman" w:eastAsia="Times New Roman" w:hAnsi="Times New Roman" w:cs="Times New Roman"/>
          <w:sz w:val="24"/>
          <w:szCs w:val="24"/>
          <w:lang w:val="bg-BG" w:eastAsia="bg-BG"/>
        </w:rPr>
        <w:t xml:space="preserve"> </w:t>
      </w:r>
      <w:r w:rsidR="00410372" w:rsidRPr="00610B1B">
        <w:rPr>
          <w:rFonts w:ascii="Times New Roman" w:eastAsia="Times New Roman" w:hAnsi="Times New Roman" w:cs="Times New Roman"/>
          <w:sz w:val="24"/>
          <w:szCs w:val="24"/>
          <w:lang w:val="bg-BG" w:eastAsia="bg-BG"/>
        </w:rPr>
        <w:t>през ко</w:t>
      </w:r>
      <w:r w:rsidR="00054383" w:rsidRPr="00610B1B">
        <w:rPr>
          <w:rFonts w:ascii="Times New Roman" w:eastAsia="Times New Roman" w:hAnsi="Times New Roman" w:cs="Times New Roman"/>
          <w:sz w:val="24"/>
          <w:szCs w:val="24"/>
          <w:lang w:val="bg-BG" w:eastAsia="bg-BG"/>
        </w:rPr>
        <w:t>е</w:t>
      </w:r>
      <w:r w:rsidR="00410372" w:rsidRPr="00610B1B">
        <w:rPr>
          <w:rFonts w:ascii="Times New Roman" w:eastAsia="Times New Roman" w:hAnsi="Times New Roman" w:cs="Times New Roman"/>
          <w:sz w:val="24"/>
          <w:szCs w:val="24"/>
          <w:lang w:val="bg-BG" w:eastAsia="bg-BG"/>
        </w:rPr>
        <w:t>то преминава голяма част от вноса и износа. Граничното положение на</w:t>
      </w:r>
      <w:r w:rsidR="00D66FE0" w:rsidRPr="00610B1B">
        <w:rPr>
          <w:rFonts w:ascii="Times New Roman" w:eastAsia="Times New Roman" w:hAnsi="Times New Roman" w:cs="Times New Roman"/>
          <w:sz w:val="24"/>
          <w:szCs w:val="24"/>
          <w:lang w:val="bg-BG" w:eastAsia="bg-BG"/>
        </w:rPr>
        <w:t xml:space="preserve"> </w:t>
      </w:r>
      <w:r w:rsidR="00410372" w:rsidRPr="00610B1B">
        <w:rPr>
          <w:rFonts w:ascii="Times New Roman" w:eastAsia="Times New Roman" w:hAnsi="Times New Roman" w:cs="Times New Roman"/>
          <w:sz w:val="24"/>
          <w:szCs w:val="24"/>
          <w:lang w:val="bg-BG" w:eastAsia="bg-BG"/>
        </w:rPr>
        <w:t>пристанището е предпоставка за ключовата му роля в икономиката на страната и района и поради факта, че всички стоки превозвани по вода</w:t>
      </w:r>
      <w:r w:rsidR="00E71B5C" w:rsidRPr="00610B1B">
        <w:rPr>
          <w:rFonts w:ascii="Times New Roman" w:eastAsia="Times New Roman" w:hAnsi="Times New Roman" w:cs="Times New Roman"/>
          <w:sz w:val="24"/>
          <w:szCs w:val="24"/>
          <w:lang w:val="bg-BG" w:eastAsia="bg-BG"/>
        </w:rPr>
        <w:t>,</w:t>
      </w:r>
      <w:r w:rsidR="00410372" w:rsidRPr="00610B1B">
        <w:rPr>
          <w:rFonts w:ascii="Times New Roman" w:eastAsia="Times New Roman" w:hAnsi="Times New Roman" w:cs="Times New Roman"/>
          <w:sz w:val="24"/>
          <w:szCs w:val="24"/>
          <w:lang w:val="bg-BG" w:eastAsia="bg-BG"/>
        </w:rPr>
        <w:t xml:space="preserve"> независимо от това дали са предназначени за вътрешния пазар или са транзитно преминаващи, се обработват в него. </w:t>
      </w:r>
      <w:r w:rsidR="00410372" w:rsidRPr="00610B1B">
        <w:rPr>
          <w:rFonts w:ascii="Times New Roman" w:eastAsia="Arial Unicode MS" w:hAnsi="Times New Roman" w:cs="Times New Roman"/>
          <w:kern w:val="32"/>
          <w:sz w:val="24"/>
          <w:szCs w:val="24"/>
          <w:lang w:val="bg-BG"/>
        </w:rPr>
        <w:t>Пристанищният комплекс Варна включва терминал</w:t>
      </w:r>
      <w:r w:rsidR="00E71B5C" w:rsidRPr="00610B1B">
        <w:rPr>
          <w:rFonts w:ascii="Times New Roman" w:eastAsia="Arial Unicode MS" w:hAnsi="Times New Roman" w:cs="Times New Roman"/>
          <w:kern w:val="32"/>
          <w:sz w:val="24"/>
          <w:szCs w:val="24"/>
          <w:lang w:val="bg-BG"/>
        </w:rPr>
        <w:t>и</w:t>
      </w:r>
      <w:r w:rsidR="00054383" w:rsidRPr="00610B1B">
        <w:rPr>
          <w:rFonts w:ascii="Times New Roman" w:eastAsia="Arial Unicode MS" w:hAnsi="Times New Roman" w:cs="Times New Roman"/>
          <w:kern w:val="32"/>
          <w:sz w:val="24"/>
          <w:szCs w:val="24"/>
          <w:lang w:val="bg-BG"/>
        </w:rPr>
        <w:t xml:space="preserve"> </w:t>
      </w:r>
      <w:r w:rsidR="00A102FE" w:rsidRPr="00610B1B">
        <w:rPr>
          <w:rFonts w:ascii="Times New Roman" w:eastAsia="Arial Unicode MS" w:hAnsi="Times New Roman" w:cs="Times New Roman"/>
          <w:kern w:val="32"/>
          <w:sz w:val="24"/>
          <w:szCs w:val="24"/>
          <w:lang w:val="bg-BG"/>
        </w:rPr>
        <w:t>Балчик, Варна-изток, Петрол, „ПЧМВ - Варна", „Терминал за базови масла", „Одесос ПБМ - Варна", Леспорт, „ТЕЦ Езерово", Варна-запад и Фериботен комплекс – Варна.</w:t>
      </w:r>
    </w:p>
    <w:p w14:paraId="434EA6A3" w14:textId="2B60BBB2"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i/>
          <w:sz w:val="24"/>
          <w:szCs w:val="24"/>
          <w:lang w:val="bg-BG" w:eastAsia="bg-BG"/>
        </w:rPr>
        <w:t>Пристанищен терминал Варна-</w:t>
      </w:r>
      <w:r w:rsidR="008E37F5" w:rsidRPr="00610B1B">
        <w:rPr>
          <w:rFonts w:ascii="Times New Roman" w:eastAsia="Times New Roman" w:hAnsi="Times New Roman" w:cs="Times New Roman"/>
          <w:i/>
          <w:sz w:val="24"/>
          <w:szCs w:val="24"/>
          <w:lang w:val="bg-BG" w:eastAsia="bg-BG"/>
        </w:rPr>
        <w:t>Изток</w:t>
      </w:r>
      <w:r w:rsidR="008E37F5"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се намира в район „Одесос” на гр</w:t>
      </w:r>
      <w:r w:rsidR="00054383"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Варна. На югозапад се намира Канал 1, входен за Варненското езеро, а по продължение на вълнолома, на североизток е разположен централния</w:t>
      </w:r>
      <w:r w:rsidR="00054383" w:rsidRPr="00610B1B">
        <w:rPr>
          <w:rFonts w:ascii="Times New Roman" w:eastAsia="Times New Roman" w:hAnsi="Times New Roman" w:cs="Times New Roman"/>
          <w:sz w:val="24"/>
          <w:szCs w:val="24"/>
          <w:lang w:val="bg-BG" w:eastAsia="bg-BG"/>
        </w:rPr>
        <w:t>т</w:t>
      </w:r>
      <w:r w:rsidRPr="00610B1B">
        <w:rPr>
          <w:rFonts w:ascii="Times New Roman" w:eastAsia="Times New Roman" w:hAnsi="Times New Roman" w:cs="Times New Roman"/>
          <w:sz w:val="24"/>
          <w:szCs w:val="24"/>
          <w:lang w:val="bg-BG" w:eastAsia="bg-BG"/>
        </w:rPr>
        <w:t xml:space="preserve"> градски плаж. Общата дължина на кейовите стени, които се използват за товаро-разтоварни дейности е 2</w:t>
      </w:r>
      <w:r w:rsidR="008E37F5" w:rsidRPr="00610B1B">
        <w:rPr>
          <w:rFonts w:ascii="Times New Roman" w:eastAsia="Times New Roman" w:hAnsi="Times New Roman" w:cs="Times New Roman"/>
          <w:sz w:val="24"/>
          <w:szCs w:val="24"/>
          <w:lang w:val="bg-BG" w:eastAsia="bg-BG"/>
        </w:rPr>
        <w:t> </w:t>
      </w:r>
      <w:r w:rsidRPr="00610B1B">
        <w:rPr>
          <w:rFonts w:ascii="Times New Roman" w:eastAsia="Times New Roman" w:hAnsi="Times New Roman" w:cs="Times New Roman"/>
          <w:sz w:val="24"/>
          <w:szCs w:val="24"/>
          <w:lang w:val="bg-BG" w:eastAsia="bg-BG"/>
        </w:rPr>
        <w:t xml:space="preserve">345 </w:t>
      </w:r>
      <w:r w:rsidR="00054383" w:rsidRPr="00610B1B">
        <w:rPr>
          <w:rFonts w:ascii="Times New Roman" w:eastAsia="Times New Roman" w:hAnsi="Times New Roman" w:cs="Times New Roman"/>
          <w:sz w:val="24"/>
          <w:szCs w:val="24"/>
          <w:lang w:val="bg-BG" w:eastAsia="bg-BG"/>
        </w:rPr>
        <w:t>m</w:t>
      </w:r>
      <w:r w:rsidRPr="00610B1B">
        <w:rPr>
          <w:rFonts w:ascii="Times New Roman" w:eastAsia="Times New Roman" w:hAnsi="Times New Roman" w:cs="Times New Roman"/>
          <w:sz w:val="24"/>
          <w:szCs w:val="24"/>
          <w:lang w:val="bg-BG" w:eastAsia="bg-BG"/>
        </w:rPr>
        <w:t>.</w:t>
      </w:r>
    </w:p>
    <w:p w14:paraId="3B5B949B" w14:textId="07FC4BB7"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i/>
          <w:sz w:val="24"/>
          <w:szCs w:val="24"/>
          <w:lang w:val="bg-BG" w:eastAsia="bg-BG"/>
        </w:rPr>
        <w:t>Пристанищен терминал Варна-</w:t>
      </w:r>
      <w:r w:rsidR="008E37F5" w:rsidRPr="00610B1B">
        <w:rPr>
          <w:rFonts w:ascii="Times New Roman" w:eastAsia="Times New Roman" w:hAnsi="Times New Roman" w:cs="Times New Roman"/>
          <w:i/>
          <w:sz w:val="24"/>
          <w:szCs w:val="24"/>
          <w:lang w:val="bg-BG" w:eastAsia="bg-BG"/>
        </w:rPr>
        <w:t>Запад</w:t>
      </w:r>
      <w:r w:rsidR="008E37F5"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се намира в северозападния край на Белославското езеро. Общата дължина на кейовите стени е 3</w:t>
      </w:r>
      <w:r w:rsidR="008E37F5" w:rsidRPr="00610B1B">
        <w:rPr>
          <w:rFonts w:ascii="Times New Roman" w:eastAsia="Times New Roman" w:hAnsi="Times New Roman" w:cs="Times New Roman"/>
          <w:sz w:val="24"/>
          <w:szCs w:val="24"/>
          <w:lang w:val="bg-BG" w:eastAsia="bg-BG"/>
        </w:rPr>
        <w:t> </w:t>
      </w:r>
      <w:r w:rsidRPr="00610B1B">
        <w:rPr>
          <w:rFonts w:ascii="Times New Roman" w:eastAsia="Times New Roman" w:hAnsi="Times New Roman" w:cs="Times New Roman"/>
          <w:sz w:val="24"/>
          <w:szCs w:val="24"/>
          <w:lang w:val="bg-BG" w:eastAsia="bg-BG"/>
        </w:rPr>
        <w:t xml:space="preserve">430 </w:t>
      </w:r>
      <w:r w:rsidR="00054383" w:rsidRPr="00610B1B">
        <w:rPr>
          <w:rFonts w:ascii="Times New Roman" w:eastAsia="Times New Roman" w:hAnsi="Times New Roman" w:cs="Times New Roman"/>
          <w:sz w:val="24"/>
          <w:szCs w:val="24"/>
          <w:lang w:val="bg-BG" w:eastAsia="bg-BG"/>
        </w:rPr>
        <w:t>m</w:t>
      </w:r>
      <w:r w:rsidR="008E37F5" w:rsidRPr="00610B1B">
        <w:rPr>
          <w:rFonts w:ascii="Times New Roman" w:eastAsia="Times New Roman" w:hAnsi="Times New Roman" w:cs="Times New Roman"/>
          <w:sz w:val="24"/>
          <w:szCs w:val="24"/>
          <w:lang w:val="bg-BG" w:eastAsia="bg-BG"/>
        </w:rPr>
        <w:t>.</w:t>
      </w:r>
    </w:p>
    <w:p w14:paraId="4360CC89" w14:textId="2DB1CAF8"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i/>
          <w:sz w:val="24"/>
          <w:szCs w:val="24"/>
          <w:lang w:val="bg-BG" w:eastAsia="bg-BG"/>
        </w:rPr>
        <w:t>Пристанищен терминал „Леспорт”,</w:t>
      </w:r>
      <w:r w:rsidRPr="00610B1B">
        <w:rPr>
          <w:rFonts w:ascii="Times New Roman" w:eastAsia="Times New Roman" w:hAnsi="Times New Roman" w:cs="Times New Roman"/>
          <w:sz w:val="24"/>
          <w:szCs w:val="24"/>
          <w:lang w:val="bg-BG" w:eastAsia="bg-BG"/>
        </w:rPr>
        <w:t xml:space="preserve"> част от пристанище за обществен транспорт</w:t>
      </w:r>
      <w:r w:rsidR="008753B6"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Варна, е разположен на северния бряг на Варненското езеро и се намира в южната част на землището на село Тополи на стария път за град Варна между с. Езерово и с. Казашко. Общата дължина на кейовия фронт е </w:t>
      </w:r>
      <w:r w:rsidR="00A9007A" w:rsidRPr="00610B1B">
        <w:rPr>
          <w:rFonts w:ascii="Times New Roman" w:eastAsia="Times New Roman" w:hAnsi="Times New Roman" w:cs="Times New Roman"/>
          <w:sz w:val="24"/>
          <w:szCs w:val="24"/>
          <w:lang w:val="bg-BG" w:eastAsia="bg-BG"/>
        </w:rPr>
        <w:t>4</w:t>
      </w:r>
      <w:r w:rsidRPr="00610B1B">
        <w:rPr>
          <w:rFonts w:ascii="Times New Roman" w:eastAsia="Times New Roman" w:hAnsi="Times New Roman" w:cs="Times New Roman"/>
          <w:sz w:val="24"/>
          <w:szCs w:val="24"/>
          <w:lang w:val="bg-BG" w:eastAsia="bg-BG"/>
        </w:rPr>
        <w:t xml:space="preserve">50 </w:t>
      </w:r>
      <w:r w:rsidR="00054383" w:rsidRPr="00610B1B">
        <w:rPr>
          <w:rFonts w:ascii="Times New Roman" w:eastAsia="Times New Roman" w:hAnsi="Times New Roman" w:cs="Times New Roman"/>
          <w:sz w:val="24"/>
          <w:szCs w:val="24"/>
          <w:lang w:val="bg-BG" w:eastAsia="bg-BG"/>
        </w:rPr>
        <w:t>m</w:t>
      </w:r>
      <w:r w:rsidRPr="00610B1B">
        <w:rPr>
          <w:rFonts w:ascii="Times New Roman" w:eastAsia="Times New Roman" w:hAnsi="Times New Roman" w:cs="Times New Roman"/>
          <w:sz w:val="24"/>
          <w:szCs w:val="24"/>
          <w:lang w:val="bg-BG" w:eastAsia="bg-BG"/>
        </w:rPr>
        <w:t>.</w:t>
      </w:r>
      <w:r w:rsidR="00D66FE0" w:rsidRPr="00610B1B">
        <w:rPr>
          <w:rFonts w:ascii="Times New Roman" w:eastAsia="Times New Roman" w:hAnsi="Times New Roman" w:cs="Times New Roman"/>
          <w:sz w:val="24"/>
          <w:szCs w:val="24"/>
          <w:lang w:val="bg-BG" w:eastAsia="bg-BG"/>
        </w:rPr>
        <w:t xml:space="preserve"> </w:t>
      </w:r>
      <w:r w:rsidR="00A9007A" w:rsidRPr="00610B1B">
        <w:rPr>
          <w:rFonts w:ascii="Times New Roman" w:eastAsia="Times New Roman" w:hAnsi="Times New Roman" w:cs="Times New Roman"/>
          <w:sz w:val="24"/>
          <w:szCs w:val="24"/>
          <w:lang w:val="bg-BG" w:eastAsia="bg-BG"/>
        </w:rPr>
        <w:t>Терминалът има 3 (три) кейови места с дължини – 130, 180 и 140 метра.</w:t>
      </w:r>
      <w:r w:rsidR="00D66FE0" w:rsidRPr="00610B1B">
        <w:rPr>
          <w:rFonts w:ascii="Times New Roman" w:eastAsia="Times New Roman" w:hAnsi="Times New Roman" w:cs="Times New Roman"/>
          <w:sz w:val="24"/>
          <w:szCs w:val="24"/>
          <w:lang w:val="bg-BG" w:eastAsia="bg-BG"/>
        </w:rPr>
        <w:t xml:space="preserve"> </w:t>
      </w:r>
    </w:p>
    <w:p w14:paraId="73936F85" w14:textId="7C435FA8" w:rsidR="00410372" w:rsidRPr="00610B1B" w:rsidRDefault="00410372" w:rsidP="00D32D6A">
      <w:pPr>
        <w:spacing w:after="120"/>
        <w:ind w:right="-153"/>
        <w:jc w:val="both"/>
        <w:rPr>
          <w:rFonts w:ascii="Times New Roman" w:eastAsia="Arial Unicode MS" w:hAnsi="Times New Roman" w:cs="Times New Roman"/>
          <w:color w:val="000000"/>
          <w:sz w:val="24"/>
          <w:szCs w:val="24"/>
          <w:lang w:val="bg-BG" w:eastAsia="bg-BG"/>
        </w:rPr>
      </w:pPr>
      <w:r w:rsidRPr="00610B1B">
        <w:rPr>
          <w:rFonts w:ascii="Times New Roman" w:eastAsia="Arial Unicode MS" w:hAnsi="Times New Roman" w:cs="Times New Roman"/>
          <w:i/>
          <w:color w:val="000000"/>
          <w:sz w:val="24"/>
          <w:szCs w:val="24"/>
          <w:shd w:val="clear" w:color="auto" w:fill="FFFFFF"/>
          <w:lang w:val="bg-BG" w:eastAsia="bg-BG"/>
        </w:rPr>
        <w:t>Пристанищен терминал</w:t>
      </w:r>
      <w:r w:rsidRPr="00610B1B">
        <w:rPr>
          <w:rFonts w:ascii="Times New Roman" w:eastAsia="Arial Unicode MS" w:hAnsi="Times New Roman" w:cs="Times New Roman"/>
          <w:color w:val="000000"/>
          <w:sz w:val="24"/>
          <w:szCs w:val="24"/>
          <w:shd w:val="clear" w:color="auto" w:fill="FFFFFF"/>
          <w:lang w:val="bg-BG" w:eastAsia="bg-BG"/>
        </w:rPr>
        <w:t xml:space="preserve"> „</w:t>
      </w:r>
      <w:r w:rsidRPr="00610B1B">
        <w:rPr>
          <w:rFonts w:ascii="Times New Roman" w:eastAsia="Arial Unicode MS" w:hAnsi="Times New Roman" w:cs="Times New Roman"/>
          <w:i/>
          <w:color w:val="000000"/>
          <w:sz w:val="24"/>
          <w:szCs w:val="24"/>
          <w:shd w:val="clear" w:color="auto" w:fill="FFFFFF"/>
          <w:lang w:val="bg-BG" w:eastAsia="bg-BG"/>
        </w:rPr>
        <w:t>Фериботен комплекс Варна”</w:t>
      </w:r>
      <w:r w:rsidRPr="00610B1B">
        <w:rPr>
          <w:rFonts w:ascii="Times New Roman" w:eastAsia="Arial Unicode MS" w:hAnsi="Times New Roman" w:cs="Times New Roman"/>
          <w:color w:val="000000"/>
          <w:sz w:val="24"/>
          <w:szCs w:val="24"/>
          <w:shd w:val="clear" w:color="auto" w:fill="FFFFFF"/>
          <w:lang w:val="bg-BG" w:eastAsia="bg-BG"/>
        </w:rPr>
        <w:t xml:space="preserve"> </w:t>
      </w:r>
      <w:r w:rsidRPr="00610B1B">
        <w:rPr>
          <w:rFonts w:ascii="Times New Roman" w:eastAsia="Times New Roman" w:hAnsi="Times New Roman" w:cs="Times New Roman"/>
          <w:sz w:val="24"/>
          <w:szCs w:val="24"/>
          <w:lang w:val="bg-BG" w:eastAsia="bg-BG"/>
        </w:rPr>
        <w:t xml:space="preserve">се намира на 22 </w:t>
      </w:r>
      <w:r w:rsidR="00054383" w:rsidRPr="00610B1B">
        <w:rPr>
          <w:rFonts w:ascii="Times New Roman" w:eastAsia="Times New Roman" w:hAnsi="Times New Roman" w:cs="Times New Roman"/>
          <w:sz w:val="24"/>
          <w:szCs w:val="24"/>
          <w:lang w:val="bg-BG" w:eastAsia="bg-BG"/>
        </w:rPr>
        <w:t>km</w:t>
      </w:r>
      <w:r w:rsidRPr="00610B1B">
        <w:rPr>
          <w:rFonts w:ascii="Times New Roman" w:eastAsia="Times New Roman" w:hAnsi="Times New Roman" w:cs="Times New Roman"/>
          <w:sz w:val="24"/>
          <w:szCs w:val="24"/>
          <w:lang w:val="bg-BG" w:eastAsia="bg-BG"/>
        </w:rPr>
        <w:t xml:space="preserve"> западно от Варна - на южния бряг на Белославското езеро на пътя село Разделна - град Белослав. Пирсът на пристанището е с обиколна дължина 400 </w:t>
      </w:r>
      <w:r w:rsidR="00054383" w:rsidRPr="00610B1B">
        <w:rPr>
          <w:rFonts w:ascii="Times New Roman" w:eastAsia="Times New Roman" w:hAnsi="Times New Roman" w:cs="Times New Roman"/>
          <w:sz w:val="24"/>
          <w:szCs w:val="24"/>
          <w:lang w:val="bg-BG" w:eastAsia="bg-BG"/>
        </w:rPr>
        <w:t>m</w:t>
      </w:r>
      <w:r w:rsidRPr="00610B1B">
        <w:rPr>
          <w:rFonts w:ascii="Times New Roman" w:eastAsia="Times New Roman" w:hAnsi="Times New Roman" w:cs="Times New Roman"/>
          <w:sz w:val="24"/>
          <w:szCs w:val="24"/>
          <w:lang w:val="bg-BG" w:eastAsia="bg-BG"/>
        </w:rPr>
        <w:t>.</w:t>
      </w:r>
    </w:p>
    <w:p w14:paraId="400C9510" w14:textId="63E95275" w:rsidR="00410372" w:rsidRPr="00610B1B" w:rsidRDefault="00410372" w:rsidP="00D32D6A">
      <w:pPr>
        <w:widowControl w:val="0"/>
        <w:spacing w:after="120"/>
        <w:ind w:right="-153"/>
        <w:jc w:val="both"/>
        <w:rPr>
          <w:rFonts w:ascii="Times New Roman" w:eastAsia="Arial Unicode MS" w:hAnsi="Times New Roman" w:cs="Times New Roman"/>
          <w:color w:val="000000"/>
          <w:sz w:val="24"/>
          <w:szCs w:val="24"/>
          <w:u w:val="single"/>
          <w:shd w:val="clear" w:color="auto" w:fill="FFFFFF"/>
          <w:lang w:val="bg-BG" w:eastAsia="bg-BG"/>
        </w:rPr>
      </w:pPr>
      <w:r w:rsidRPr="00610B1B">
        <w:rPr>
          <w:rFonts w:ascii="Times New Roman" w:eastAsia="Arial Unicode MS" w:hAnsi="Times New Roman" w:cs="Times New Roman"/>
          <w:i/>
          <w:color w:val="000000"/>
          <w:sz w:val="24"/>
          <w:szCs w:val="24"/>
          <w:lang w:val="bg-BG" w:eastAsia="bg-BG"/>
        </w:rPr>
        <w:t>Пристанищен терминал Балчик</w:t>
      </w:r>
      <w:r w:rsidRPr="00610B1B">
        <w:rPr>
          <w:rFonts w:ascii="Times New Roman" w:eastAsia="Arial Unicode MS" w:hAnsi="Times New Roman" w:cs="Times New Roman"/>
          <w:color w:val="000000"/>
          <w:sz w:val="24"/>
          <w:szCs w:val="24"/>
          <w:lang w:val="bg-BG" w:eastAsia="bg-BG"/>
        </w:rPr>
        <w:t xml:space="preserve"> е разположен в източната градска част на град Балчик. Пристанищният комплекс с административната сграда, обслужваща терминала</w:t>
      </w:r>
      <w:r w:rsidR="00054383" w:rsidRPr="00610B1B">
        <w:rPr>
          <w:rFonts w:ascii="Times New Roman" w:eastAsia="Arial Unicode MS" w:hAnsi="Times New Roman" w:cs="Times New Roman"/>
          <w:color w:val="000000"/>
          <w:sz w:val="24"/>
          <w:szCs w:val="24"/>
          <w:lang w:val="bg-BG" w:eastAsia="bg-BG"/>
        </w:rPr>
        <w:t>,</w:t>
      </w:r>
      <w:r w:rsidRPr="00610B1B">
        <w:rPr>
          <w:rFonts w:ascii="Times New Roman" w:eastAsia="Arial Unicode MS" w:hAnsi="Times New Roman" w:cs="Times New Roman"/>
          <w:color w:val="000000"/>
          <w:sz w:val="24"/>
          <w:szCs w:val="24"/>
          <w:lang w:val="bg-BG" w:eastAsia="bg-BG"/>
        </w:rPr>
        <w:t xml:space="preserve"> се намира при кейовата стена, изградена при уширение на вълнозащитния мол. Дължина</w:t>
      </w:r>
      <w:r w:rsidR="00054383" w:rsidRPr="00610B1B">
        <w:rPr>
          <w:rFonts w:ascii="Times New Roman" w:eastAsia="Arial Unicode MS" w:hAnsi="Times New Roman" w:cs="Times New Roman"/>
          <w:color w:val="000000"/>
          <w:sz w:val="24"/>
          <w:szCs w:val="24"/>
          <w:lang w:val="bg-BG" w:eastAsia="bg-BG"/>
        </w:rPr>
        <w:t>та</w:t>
      </w:r>
      <w:r w:rsidRPr="00610B1B">
        <w:rPr>
          <w:rFonts w:ascii="Times New Roman" w:eastAsia="Arial Unicode MS" w:hAnsi="Times New Roman" w:cs="Times New Roman"/>
          <w:color w:val="000000"/>
          <w:sz w:val="24"/>
          <w:szCs w:val="24"/>
          <w:lang w:val="bg-BG" w:eastAsia="bg-BG"/>
        </w:rPr>
        <w:t xml:space="preserve"> на корабните места е 164 </w:t>
      </w:r>
      <w:r w:rsidR="00054383" w:rsidRPr="00610B1B">
        <w:rPr>
          <w:rFonts w:ascii="Times New Roman" w:eastAsia="Arial Unicode MS" w:hAnsi="Times New Roman" w:cs="Times New Roman"/>
          <w:color w:val="000000"/>
          <w:sz w:val="24"/>
          <w:szCs w:val="24"/>
          <w:lang w:val="bg-BG" w:eastAsia="bg-BG"/>
        </w:rPr>
        <w:t>m</w:t>
      </w:r>
      <w:r w:rsidRPr="00610B1B">
        <w:rPr>
          <w:rFonts w:ascii="Times New Roman" w:eastAsia="Arial Unicode MS" w:hAnsi="Times New Roman" w:cs="Times New Roman"/>
          <w:color w:val="000000"/>
          <w:sz w:val="24"/>
          <w:szCs w:val="24"/>
          <w:lang w:val="bg-BG" w:eastAsia="bg-BG"/>
        </w:rPr>
        <w:t xml:space="preserve">, а дължината на вълнолома е 1200 </w:t>
      </w:r>
      <w:r w:rsidR="00054383" w:rsidRPr="00610B1B">
        <w:rPr>
          <w:rFonts w:ascii="Times New Roman" w:eastAsia="Arial Unicode MS" w:hAnsi="Times New Roman" w:cs="Times New Roman"/>
          <w:color w:val="000000"/>
          <w:sz w:val="24"/>
          <w:szCs w:val="24"/>
          <w:lang w:val="bg-BG" w:eastAsia="bg-BG"/>
        </w:rPr>
        <w:t>m</w:t>
      </w:r>
      <w:r w:rsidRPr="00610B1B">
        <w:rPr>
          <w:rFonts w:ascii="Times New Roman" w:eastAsia="Arial Unicode MS" w:hAnsi="Times New Roman" w:cs="Times New Roman"/>
          <w:color w:val="000000"/>
          <w:sz w:val="24"/>
          <w:szCs w:val="24"/>
          <w:lang w:val="bg-BG" w:eastAsia="bg-BG"/>
        </w:rPr>
        <w:t>.</w:t>
      </w:r>
      <w:bookmarkStart w:id="346" w:name="bookmark11"/>
    </w:p>
    <w:bookmarkEnd w:id="346"/>
    <w:p w14:paraId="4250ABF8" w14:textId="17C60F76" w:rsidR="00054383" w:rsidRPr="00610B1B" w:rsidRDefault="00410372" w:rsidP="00D32D6A">
      <w:pPr>
        <w:widowControl w:val="0"/>
        <w:spacing w:after="120"/>
        <w:ind w:right="-153"/>
        <w:jc w:val="both"/>
        <w:rPr>
          <w:rFonts w:ascii="Times New Roman" w:eastAsia="Arial Unicode MS" w:hAnsi="Times New Roman" w:cs="Times New Roman"/>
          <w:color w:val="000000"/>
          <w:sz w:val="24"/>
          <w:szCs w:val="24"/>
          <w:lang w:val="bg-BG" w:eastAsia="bg-BG"/>
        </w:rPr>
      </w:pPr>
      <w:r w:rsidRPr="00610B1B">
        <w:rPr>
          <w:rFonts w:ascii="Times New Roman" w:eastAsia="Arial Unicode MS" w:hAnsi="Times New Roman" w:cs="Times New Roman"/>
          <w:i/>
          <w:color w:val="000000"/>
          <w:sz w:val="24"/>
          <w:szCs w:val="24"/>
          <w:lang w:val="bg-BG" w:eastAsia="bg-BG"/>
        </w:rPr>
        <w:t>Пристанищен терминал Петрол Варна,</w:t>
      </w:r>
      <w:r w:rsidRPr="00610B1B">
        <w:rPr>
          <w:rFonts w:ascii="Times New Roman" w:eastAsia="Arial Unicode MS" w:hAnsi="Times New Roman" w:cs="Times New Roman"/>
          <w:color w:val="000000"/>
          <w:sz w:val="24"/>
          <w:szCs w:val="24"/>
          <w:lang w:val="bg-BG" w:eastAsia="bg-BG"/>
        </w:rPr>
        <w:t xml:space="preserve"> изграден през 60-те години на миналия век е разположен на острова между стария и новия канал - на южния бряг на стария канал море-езеро. Терминалът е разположен върху тясна брегова ивица, където са трите пирса и пътна връзка за обслужването им. Ползван е за извършване на товаро-разтоварни дейности за наливни товари - суров петрол, петролни продукти и деривати. Общата дължина на кейовия фронт </w:t>
      </w:r>
      <w:r w:rsidR="00A9007A" w:rsidRPr="00610B1B">
        <w:rPr>
          <w:rFonts w:ascii="Times New Roman" w:eastAsia="Arial Unicode MS" w:hAnsi="Times New Roman" w:cs="Times New Roman"/>
          <w:color w:val="000000"/>
          <w:sz w:val="24"/>
          <w:szCs w:val="24"/>
          <w:lang w:val="bg-BG" w:eastAsia="bg-BG"/>
        </w:rPr>
        <w:t>е 515</w:t>
      </w:r>
      <w:r w:rsidRPr="00610B1B">
        <w:rPr>
          <w:rFonts w:ascii="Times New Roman" w:eastAsia="Arial Unicode MS" w:hAnsi="Times New Roman" w:cs="Times New Roman"/>
          <w:color w:val="000000"/>
          <w:sz w:val="24"/>
          <w:szCs w:val="24"/>
          <w:lang w:val="bg-BG" w:eastAsia="bg-BG"/>
        </w:rPr>
        <w:t xml:space="preserve"> </w:t>
      </w:r>
      <w:r w:rsidR="00054383" w:rsidRPr="00610B1B">
        <w:rPr>
          <w:rFonts w:ascii="Times New Roman" w:eastAsia="Arial Unicode MS" w:hAnsi="Times New Roman" w:cs="Times New Roman"/>
          <w:color w:val="000000"/>
          <w:sz w:val="24"/>
          <w:szCs w:val="24"/>
          <w:lang w:val="bg-BG" w:eastAsia="bg-BG"/>
        </w:rPr>
        <w:t>m</w:t>
      </w:r>
      <w:r w:rsidRPr="00610B1B">
        <w:rPr>
          <w:rFonts w:ascii="Times New Roman" w:eastAsia="Arial Unicode MS" w:hAnsi="Times New Roman" w:cs="Times New Roman"/>
          <w:color w:val="000000"/>
          <w:sz w:val="24"/>
          <w:szCs w:val="24"/>
          <w:lang w:val="bg-BG" w:eastAsia="bg-BG"/>
        </w:rPr>
        <w:t>.</w:t>
      </w:r>
      <w:bookmarkStart w:id="347" w:name="bookmark12"/>
      <w:r w:rsidR="00D91351" w:rsidRPr="00610B1B">
        <w:rPr>
          <w:rFonts w:ascii="Times New Roman" w:eastAsia="Arial Unicode MS" w:hAnsi="Times New Roman" w:cs="Times New Roman"/>
          <w:color w:val="000000"/>
          <w:sz w:val="24"/>
          <w:szCs w:val="24"/>
          <w:lang w:val="bg-BG" w:eastAsia="bg-BG"/>
        </w:rPr>
        <w:t xml:space="preserve"> Терминалът разполага с 3 (три) кейови места с дължини – 220, 185 и 110 метра.</w:t>
      </w:r>
    </w:p>
    <w:p w14:paraId="73392956" w14:textId="06F5BD79" w:rsidR="00410372" w:rsidRPr="00610B1B" w:rsidRDefault="00410372" w:rsidP="00D32D6A">
      <w:pPr>
        <w:widowControl w:val="0"/>
        <w:spacing w:after="120"/>
        <w:ind w:right="-153"/>
        <w:jc w:val="both"/>
        <w:rPr>
          <w:rFonts w:ascii="Times New Roman" w:eastAsia="Arial Unicode MS" w:hAnsi="Times New Roman" w:cs="Times New Roman"/>
          <w:color w:val="000000"/>
          <w:sz w:val="24"/>
          <w:szCs w:val="24"/>
          <w:lang w:val="bg-BG" w:eastAsia="bg-BG"/>
        </w:rPr>
      </w:pPr>
      <w:r w:rsidRPr="00610B1B">
        <w:rPr>
          <w:rFonts w:ascii="Times New Roman" w:eastAsia="Arial Unicode MS" w:hAnsi="Times New Roman" w:cs="Times New Roman"/>
          <w:i/>
          <w:color w:val="000000"/>
          <w:sz w:val="24"/>
          <w:szCs w:val="24"/>
          <w:shd w:val="clear" w:color="auto" w:fill="FFFFFF"/>
          <w:lang w:val="bg-BG" w:eastAsia="bg-BG"/>
        </w:rPr>
        <w:t>Пристанищен терминал „ТЕЦ Езерово”</w:t>
      </w:r>
      <w:bookmarkEnd w:id="347"/>
      <w:r w:rsidRPr="00610B1B">
        <w:rPr>
          <w:rFonts w:ascii="Times New Roman" w:eastAsia="Arial Unicode MS" w:hAnsi="Times New Roman" w:cs="Times New Roman"/>
          <w:color w:val="000000"/>
          <w:sz w:val="24"/>
          <w:szCs w:val="24"/>
          <w:shd w:val="clear" w:color="auto" w:fill="FFFFFF"/>
          <w:lang w:val="bg-BG" w:eastAsia="bg-BG"/>
        </w:rPr>
        <w:t xml:space="preserve"> е разположен на северния бряг на Варненското езеро в землището на с. Езерово, с</w:t>
      </w:r>
      <w:r w:rsidR="00375B2C" w:rsidRPr="00610B1B">
        <w:rPr>
          <w:rFonts w:ascii="Times New Roman" w:eastAsia="Arial Unicode MS" w:hAnsi="Times New Roman" w:cs="Times New Roman"/>
          <w:color w:val="000000"/>
          <w:sz w:val="24"/>
          <w:szCs w:val="24"/>
          <w:shd w:val="clear" w:color="auto" w:fill="FFFFFF"/>
          <w:lang w:val="bg-BG" w:eastAsia="bg-BG"/>
        </w:rPr>
        <w:t xml:space="preserve"> </w:t>
      </w:r>
      <w:r w:rsidRPr="00610B1B">
        <w:rPr>
          <w:rFonts w:ascii="Times New Roman" w:eastAsia="Arial Unicode MS" w:hAnsi="Times New Roman" w:cs="Times New Roman"/>
          <w:bCs/>
          <w:color w:val="000000"/>
          <w:sz w:val="24"/>
          <w:szCs w:val="24"/>
          <w:lang w:val="bg-BG" w:eastAsia="bg-BG"/>
        </w:rPr>
        <w:t>обща дължина на кейовия фронт</w:t>
      </w:r>
      <w:r w:rsidR="00D66FE0" w:rsidRPr="00610B1B">
        <w:rPr>
          <w:rFonts w:ascii="Times New Roman" w:eastAsia="Arial Unicode MS" w:hAnsi="Times New Roman" w:cs="Times New Roman"/>
          <w:bCs/>
          <w:color w:val="000000"/>
          <w:sz w:val="24"/>
          <w:szCs w:val="24"/>
          <w:lang w:val="bg-BG" w:eastAsia="bg-BG"/>
        </w:rPr>
        <w:t xml:space="preserve"> </w:t>
      </w:r>
      <w:r w:rsidRPr="00610B1B">
        <w:rPr>
          <w:rFonts w:ascii="Times New Roman" w:eastAsia="Arial Unicode MS" w:hAnsi="Times New Roman" w:cs="Times New Roman"/>
          <w:bCs/>
          <w:color w:val="000000"/>
          <w:sz w:val="24"/>
          <w:szCs w:val="24"/>
          <w:lang w:val="bg-BG" w:eastAsia="bg-BG"/>
        </w:rPr>
        <w:t xml:space="preserve">480 </w:t>
      </w:r>
      <w:r w:rsidR="00054383" w:rsidRPr="00610B1B">
        <w:rPr>
          <w:rFonts w:ascii="Times New Roman" w:eastAsia="Arial Unicode MS" w:hAnsi="Times New Roman" w:cs="Times New Roman"/>
          <w:bCs/>
          <w:color w:val="000000"/>
          <w:sz w:val="24"/>
          <w:szCs w:val="24"/>
          <w:lang w:val="bg-BG" w:eastAsia="bg-BG"/>
        </w:rPr>
        <w:t>m.</w:t>
      </w:r>
      <w:r w:rsidR="00C415D1" w:rsidRPr="00610B1B">
        <w:rPr>
          <w:rFonts w:ascii="Times New Roman" w:eastAsia="Arial Unicode MS" w:hAnsi="Times New Roman" w:cs="Times New Roman"/>
          <w:bCs/>
          <w:color w:val="000000"/>
          <w:sz w:val="24"/>
          <w:szCs w:val="24"/>
          <w:lang w:val="bg-BG" w:eastAsia="bg-BG"/>
        </w:rPr>
        <w:t xml:space="preserve"> </w:t>
      </w:r>
    </w:p>
    <w:p w14:paraId="72F3B64F" w14:textId="70D2384B" w:rsidR="00410372" w:rsidRPr="00610B1B" w:rsidRDefault="00410372" w:rsidP="00D32D6A">
      <w:pPr>
        <w:snapToGrid w:val="0"/>
        <w:spacing w:after="120"/>
        <w:ind w:right="-153"/>
        <w:jc w:val="both"/>
        <w:rPr>
          <w:rFonts w:ascii="Times New Roman" w:eastAsia="Times New Roman" w:hAnsi="Times New Roman" w:cs="Times New Roman"/>
          <w:b/>
          <w:bCs/>
          <w:color w:val="000000"/>
          <w:sz w:val="24"/>
          <w:szCs w:val="20"/>
          <w:lang w:val="bg-BG"/>
        </w:rPr>
      </w:pPr>
      <w:r w:rsidRPr="00610B1B">
        <w:rPr>
          <w:rFonts w:ascii="Times New Roman" w:eastAsia="Arial Unicode MS" w:hAnsi="Times New Roman" w:cs="Times New Roman"/>
          <w:b/>
          <w:color w:val="000000"/>
          <w:kern w:val="32"/>
          <w:sz w:val="24"/>
          <w:szCs w:val="24"/>
          <w:lang w:val="bg-BG"/>
        </w:rPr>
        <w:t>Пристанищ</w:t>
      </w:r>
      <w:r w:rsidR="000D2175" w:rsidRPr="00610B1B">
        <w:rPr>
          <w:rFonts w:ascii="Times New Roman" w:eastAsia="Arial Unicode MS" w:hAnsi="Times New Roman" w:cs="Times New Roman"/>
          <w:b/>
          <w:color w:val="000000"/>
          <w:kern w:val="32"/>
          <w:sz w:val="24"/>
          <w:szCs w:val="24"/>
          <w:lang w:val="bg-BG"/>
        </w:rPr>
        <w:t>е</w:t>
      </w:r>
      <w:r w:rsidRPr="00610B1B">
        <w:rPr>
          <w:rFonts w:ascii="Times New Roman" w:eastAsia="Arial Unicode MS" w:hAnsi="Times New Roman" w:cs="Times New Roman"/>
          <w:b/>
          <w:color w:val="000000"/>
          <w:kern w:val="32"/>
          <w:sz w:val="24"/>
          <w:szCs w:val="24"/>
          <w:lang w:val="bg-BG"/>
        </w:rPr>
        <w:t xml:space="preserve"> Варна</w:t>
      </w:r>
      <w:r w:rsidRPr="00610B1B">
        <w:rPr>
          <w:rFonts w:ascii="Times New Roman" w:eastAsia="Arial Unicode MS" w:hAnsi="Times New Roman" w:cs="Times New Roman"/>
          <w:color w:val="000000"/>
          <w:kern w:val="32"/>
          <w:sz w:val="24"/>
          <w:szCs w:val="24"/>
          <w:lang w:val="bg-BG"/>
        </w:rPr>
        <w:t xml:space="preserve"> </w:t>
      </w:r>
      <w:r w:rsidRPr="00610B1B">
        <w:rPr>
          <w:rFonts w:ascii="Times New Roman" w:eastAsia="Times New Roman" w:hAnsi="Times New Roman" w:cs="Times New Roman"/>
          <w:color w:val="000000"/>
          <w:sz w:val="24"/>
          <w:szCs w:val="20"/>
          <w:lang w:val="bg-BG"/>
        </w:rPr>
        <w:t>е включен</w:t>
      </w:r>
      <w:r w:rsidR="000D2175" w:rsidRPr="00610B1B">
        <w:rPr>
          <w:rFonts w:ascii="Times New Roman" w:eastAsia="Times New Roman" w:hAnsi="Times New Roman" w:cs="Times New Roman"/>
          <w:color w:val="000000"/>
          <w:sz w:val="24"/>
          <w:szCs w:val="20"/>
          <w:lang w:val="bg-BG"/>
        </w:rPr>
        <w:t>о</w:t>
      </w:r>
      <w:r w:rsidRPr="00610B1B">
        <w:rPr>
          <w:rFonts w:ascii="Times New Roman" w:eastAsia="Times New Roman" w:hAnsi="Times New Roman" w:cs="Times New Roman"/>
          <w:color w:val="000000"/>
          <w:sz w:val="24"/>
          <w:szCs w:val="20"/>
          <w:lang w:val="bg-BG"/>
        </w:rPr>
        <w:t xml:space="preserve"> в разширената ТEN-T мрежа на територията на страната и се обслужва основно от жп линия 2</w:t>
      </w:r>
      <w:r w:rsidR="00E71B5C" w:rsidRPr="00610B1B">
        <w:rPr>
          <w:rFonts w:ascii="Times New Roman" w:eastAsia="Times New Roman" w:hAnsi="Times New Roman" w:cs="Times New Roman"/>
          <w:color w:val="000000"/>
          <w:sz w:val="24"/>
          <w:szCs w:val="20"/>
          <w:lang w:val="bg-BG"/>
        </w:rPr>
        <w:t>,</w:t>
      </w:r>
      <w:r w:rsidRPr="00610B1B">
        <w:rPr>
          <w:rFonts w:ascii="Times New Roman" w:eastAsia="Times New Roman" w:hAnsi="Times New Roman" w:cs="Times New Roman"/>
          <w:color w:val="000000"/>
          <w:sz w:val="24"/>
          <w:szCs w:val="20"/>
          <w:lang w:val="bg-BG"/>
        </w:rPr>
        <w:t xml:space="preserve"> жп линия 3, включени в разширената ТEN-T мрежа</w:t>
      </w:r>
      <w:r w:rsidR="00E71B5C" w:rsidRPr="00610B1B">
        <w:rPr>
          <w:rFonts w:ascii="Times New Roman" w:eastAsia="Times New Roman" w:hAnsi="Times New Roman" w:cs="Times New Roman"/>
          <w:color w:val="000000"/>
          <w:sz w:val="24"/>
          <w:szCs w:val="20"/>
          <w:lang w:val="bg-BG"/>
        </w:rPr>
        <w:t xml:space="preserve"> и жп линия 9</w:t>
      </w:r>
      <w:r w:rsidRPr="00610B1B">
        <w:rPr>
          <w:rFonts w:ascii="Times New Roman" w:eastAsia="Times New Roman" w:hAnsi="Times New Roman" w:cs="Times New Roman"/>
          <w:color w:val="000000"/>
          <w:sz w:val="24"/>
          <w:szCs w:val="20"/>
          <w:lang w:val="bg-BG"/>
        </w:rPr>
        <w:t>, както и с пътните направления от същата мрежа - АМ “Хемус”, АМ “Черно море” и скоростен път Варна-Дуранкулак (път І-9).</w:t>
      </w:r>
    </w:p>
    <w:p w14:paraId="33C7F491" w14:textId="71E7F1AD" w:rsidR="00410372" w:rsidRPr="00610B1B" w:rsidRDefault="00410372" w:rsidP="00D32D6A">
      <w:pPr>
        <w:autoSpaceDE w:val="0"/>
        <w:autoSpaceDN w:val="0"/>
        <w:adjustRightInd w:val="0"/>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lastRenderedPageBreak/>
        <w:t xml:space="preserve">Бъдещото развитие на жп възел Варна се предвижда като Интермодален терминал </w:t>
      </w:r>
      <w:r w:rsidR="00375B2C" w:rsidRPr="00610B1B">
        <w:rPr>
          <w:rFonts w:ascii="Times New Roman" w:eastAsia="Times New Roman" w:hAnsi="Times New Roman" w:cs="Times New Roman"/>
          <w:sz w:val="24"/>
          <w:szCs w:val="24"/>
          <w:lang w:val="bg-BG" w:eastAsia="bg-BG"/>
        </w:rPr>
        <w:t>(</w:t>
      </w:r>
      <w:r w:rsidRPr="00610B1B">
        <w:rPr>
          <w:rFonts w:ascii="Times New Roman" w:eastAsia="Times New Roman" w:hAnsi="Times New Roman" w:cs="Times New Roman"/>
          <w:b/>
          <w:bCs/>
          <w:color w:val="000000"/>
          <w:sz w:val="24"/>
          <w:szCs w:val="24"/>
          <w:lang w:val="bg-BG" w:eastAsia="bg-BG"/>
        </w:rPr>
        <w:t>ИМТ</w:t>
      </w:r>
      <w:r w:rsidR="00375B2C" w:rsidRPr="00610B1B">
        <w:rPr>
          <w:rFonts w:ascii="Times New Roman" w:eastAsia="Times New Roman" w:hAnsi="Times New Roman" w:cs="Times New Roman"/>
          <w:b/>
          <w:bCs/>
          <w:color w:val="000000"/>
          <w:sz w:val="24"/>
          <w:szCs w:val="24"/>
          <w:lang w:val="bg-BG" w:eastAsia="bg-BG"/>
        </w:rPr>
        <w:t>)</w:t>
      </w:r>
      <w:r w:rsidRPr="00610B1B">
        <w:rPr>
          <w:rFonts w:ascii="Times New Roman" w:eastAsia="Times New Roman" w:hAnsi="Times New Roman" w:cs="Times New Roman"/>
          <w:b/>
          <w:bCs/>
          <w:color w:val="000000"/>
          <w:sz w:val="24"/>
          <w:szCs w:val="24"/>
          <w:lang w:val="bg-BG" w:eastAsia="bg-BG"/>
        </w:rPr>
        <w:t xml:space="preserve"> “Варна</w:t>
      </w:r>
      <w:r w:rsidRPr="00610B1B">
        <w:rPr>
          <w:rFonts w:ascii="Times New Roman" w:eastAsia="Times New Roman" w:hAnsi="Times New Roman" w:cs="Times New Roman"/>
          <w:bCs/>
          <w:color w:val="000000"/>
          <w:sz w:val="24"/>
          <w:szCs w:val="24"/>
          <w:lang w:val="bg-BG" w:eastAsia="bg-BG"/>
        </w:rPr>
        <w:t>”</w:t>
      </w:r>
      <w:r w:rsidR="008E37F5" w:rsidRPr="00610B1B">
        <w:rPr>
          <w:rFonts w:ascii="Times New Roman" w:eastAsia="Times New Roman" w:hAnsi="Times New Roman" w:cs="Times New Roman"/>
          <w:bCs/>
          <w:color w:val="000000"/>
          <w:sz w:val="24"/>
          <w:szCs w:val="24"/>
          <w:lang w:val="bg-BG" w:eastAsia="bg-BG"/>
        </w:rPr>
        <w:t xml:space="preserve"> (</w:t>
      </w:r>
      <w:r w:rsidRPr="00610B1B">
        <w:rPr>
          <w:rFonts w:ascii="Times New Roman" w:eastAsia="Times New Roman" w:hAnsi="Times New Roman" w:cs="Times New Roman"/>
          <w:bCs/>
          <w:color w:val="000000"/>
          <w:sz w:val="24"/>
          <w:szCs w:val="24"/>
          <w:lang w:val="bg-BG" w:eastAsia="bg-BG"/>
        </w:rPr>
        <w:t>проект</w:t>
      </w:r>
      <w:r w:rsidR="008E37F5" w:rsidRPr="00610B1B">
        <w:rPr>
          <w:rFonts w:ascii="Times New Roman" w:eastAsia="Times New Roman" w:hAnsi="Times New Roman" w:cs="Times New Roman"/>
          <w:bCs/>
          <w:color w:val="000000"/>
          <w:sz w:val="24"/>
          <w:szCs w:val="24"/>
          <w:lang w:val="bg-BG" w:eastAsia="bg-BG"/>
        </w:rPr>
        <w:t>)</w:t>
      </w:r>
      <w:r w:rsidRPr="00610B1B">
        <w:rPr>
          <w:rFonts w:ascii="Times New Roman" w:eastAsia="Times New Roman" w:hAnsi="Times New Roman" w:cs="Times New Roman"/>
          <w:bCs/>
          <w:color w:val="000000"/>
          <w:sz w:val="24"/>
          <w:szCs w:val="24"/>
          <w:lang w:val="bg-BG" w:eastAsia="bg-BG"/>
        </w:rPr>
        <w:t>,</w:t>
      </w:r>
      <w:r w:rsidR="00D66FE0" w:rsidRPr="00610B1B">
        <w:rPr>
          <w:rFonts w:ascii="Times New Roman" w:eastAsia="Times New Roman" w:hAnsi="Times New Roman" w:cs="Times New Roman"/>
          <w:bCs/>
          <w:color w:val="000000"/>
          <w:sz w:val="24"/>
          <w:szCs w:val="24"/>
          <w:lang w:val="bg-BG" w:eastAsia="bg-BG"/>
        </w:rPr>
        <w:t xml:space="preserve"> </w:t>
      </w:r>
      <w:r w:rsidRPr="00610B1B">
        <w:rPr>
          <w:rFonts w:ascii="Times New Roman" w:eastAsia="Times New Roman" w:hAnsi="Times New Roman" w:cs="Times New Roman"/>
          <w:sz w:val="24"/>
          <w:szCs w:val="24"/>
          <w:lang w:val="bg-BG" w:eastAsia="bg-BG"/>
        </w:rPr>
        <w:t>включен в разширената TEN-T мрежа за интермодален транспорт по направление</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на жп линия 2 </w:t>
      </w:r>
      <w:r w:rsidRPr="00610B1B">
        <w:rPr>
          <w:rFonts w:ascii="Times New Roman" w:eastAsia="Times New Roman" w:hAnsi="Times New Roman" w:cs="Times New Roman"/>
          <w:color w:val="000000"/>
          <w:sz w:val="24"/>
          <w:szCs w:val="24"/>
          <w:lang w:val="bg-BG" w:eastAsia="bg-BG"/>
        </w:rPr>
        <w:t>София-Мездра-Горна Оряховица-Каспичан-Синдел–Варна</w:t>
      </w:r>
      <w:r w:rsidR="00375B2C" w:rsidRPr="00610B1B">
        <w:rPr>
          <w:rFonts w:ascii="Times New Roman" w:eastAsia="Times New Roman" w:hAnsi="Times New Roman" w:cs="Times New Roman"/>
          <w:color w:val="000000"/>
          <w:sz w:val="24"/>
          <w:szCs w:val="24"/>
          <w:lang w:val="bg-BG" w:eastAsia="bg-BG"/>
        </w:rPr>
        <w:t>.</w:t>
      </w:r>
    </w:p>
    <w:p w14:paraId="18FE26C2" w14:textId="39983FFC"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i/>
          <w:sz w:val="24"/>
          <w:szCs w:val="24"/>
          <w:lang w:val="bg-BG" w:eastAsia="bg-BG"/>
        </w:rPr>
        <w:t>Автомагистрала “Хемус”</w:t>
      </w:r>
      <w:r w:rsidRPr="00610B1B">
        <w:rPr>
          <w:rFonts w:ascii="Times New Roman" w:eastAsia="Times New Roman" w:hAnsi="Times New Roman" w:cs="Times New Roman"/>
          <w:sz w:val="24"/>
          <w:szCs w:val="24"/>
          <w:lang w:val="bg-BG" w:eastAsia="bg-BG"/>
        </w:rPr>
        <w:t xml:space="preserve"> –</w:t>
      </w:r>
      <w:r w:rsidR="00375B2C"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iCs/>
          <w:sz w:val="24"/>
          <w:szCs w:val="24"/>
          <w:lang w:val="bg-BG" w:eastAsia="bg-BG"/>
        </w:rPr>
        <w:t xml:space="preserve">София-Велико Търново-Варна, </w:t>
      </w:r>
      <w:r w:rsidRPr="00610B1B">
        <w:rPr>
          <w:rFonts w:ascii="Times New Roman" w:eastAsia="Times New Roman" w:hAnsi="Times New Roman" w:cs="Times New Roman"/>
          <w:sz w:val="24"/>
          <w:szCs w:val="24"/>
          <w:lang w:val="bg-BG" w:eastAsia="bg-BG"/>
        </w:rPr>
        <w:t>е основната пътна връзка на Пристанище Варна с вътрешността на страната. В участъка Варна-Шумен магистралата е</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изградена, включена в широкообхватната TEN-T мрежа.</w:t>
      </w:r>
    </w:p>
    <w:p w14:paraId="6921B046" w14:textId="3BD36C47"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i/>
          <w:sz w:val="24"/>
          <w:szCs w:val="24"/>
          <w:lang w:val="bg-BG" w:eastAsia="bg-BG"/>
        </w:rPr>
        <w:t>Първокласен път</w:t>
      </w:r>
      <w:r w:rsidRPr="00610B1B">
        <w:rPr>
          <w:rFonts w:ascii="Times New Roman" w:eastAsia="Times New Roman" w:hAnsi="Times New Roman" w:cs="Times New Roman"/>
          <w:i/>
          <w:sz w:val="24"/>
          <w:szCs w:val="24"/>
          <w:lang w:val="bg-BG" w:eastAsia="bg-BG"/>
        </w:rPr>
        <w:t xml:space="preserve"> </w:t>
      </w:r>
      <w:r w:rsidRPr="00610B1B">
        <w:rPr>
          <w:rFonts w:ascii="Times New Roman" w:eastAsia="Times New Roman" w:hAnsi="Times New Roman" w:cs="Times New Roman"/>
          <w:b/>
          <w:bCs/>
          <w:i/>
          <w:sz w:val="24"/>
          <w:szCs w:val="24"/>
          <w:lang w:val="bg-BG" w:eastAsia="bg-BG"/>
        </w:rPr>
        <w:t>I-4</w:t>
      </w:r>
      <w:r w:rsidRPr="00610B1B">
        <w:rPr>
          <w:rFonts w:ascii="Times New Roman" w:eastAsia="Times New Roman" w:hAnsi="Times New Roman" w:cs="Times New Roman"/>
          <w:b/>
          <w:bCs/>
          <w:sz w:val="24"/>
          <w:szCs w:val="24"/>
          <w:lang w:val="bg-BG" w:eastAsia="bg-BG"/>
        </w:rPr>
        <w:t xml:space="preserve"> </w:t>
      </w:r>
      <w:r w:rsidRPr="00610B1B">
        <w:rPr>
          <w:rFonts w:ascii="Times New Roman" w:eastAsia="Times New Roman" w:hAnsi="Times New Roman" w:cs="Times New Roman"/>
          <w:bCs/>
          <w:sz w:val="24"/>
          <w:szCs w:val="24"/>
          <w:lang w:val="bg-BG" w:eastAsia="bg-BG"/>
        </w:rPr>
        <w:t>София/Ботевград-Севлиево-Велико Търново-Шумен/Варна</w:t>
      </w:r>
      <w:r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b/>
          <w:sz w:val="24"/>
          <w:szCs w:val="24"/>
          <w:lang w:val="bg-BG" w:eastAsia="bg-BG"/>
        </w:rPr>
        <w:t>(Е-772)</w:t>
      </w:r>
      <w:r w:rsidRPr="00610B1B">
        <w:rPr>
          <w:rFonts w:ascii="Times New Roman" w:eastAsia="Times New Roman" w:hAnsi="Times New Roman" w:cs="Times New Roman"/>
          <w:sz w:val="24"/>
          <w:szCs w:val="24"/>
          <w:lang w:val="bg-BG" w:eastAsia="bg-BG"/>
        </w:rPr>
        <w:t xml:space="preserve"> допълва функциите на недоизградената АМ “Хемус” към вътрешността на страната и Столицата.</w:t>
      </w:r>
    </w:p>
    <w:p w14:paraId="4C74586D" w14:textId="38EDB13E"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i/>
          <w:sz w:val="24"/>
          <w:szCs w:val="24"/>
          <w:lang w:val="bg-BG" w:eastAsia="bg-BG"/>
        </w:rPr>
        <w:t xml:space="preserve">Първокласен път І-2 </w:t>
      </w:r>
      <w:r w:rsidRPr="00610B1B">
        <w:rPr>
          <w:rFonts w:ascii="Times New Roman" w:eastAsia="Times New Roman" w:hAnsi="Times New Roman" w:cs="Times New Roman"/>
          <w:iCs/>
          <w:sz w:val="24"/>
          <w:szCs w:val="24"/>
          <w:lang w:val="bg-BG" w:eastAsia="bg-BG"/>
        </w:rPr>
        <w:t>Русе-Разград-Шумен-Варна (</w:t>
      </w:r>
      <w:r w:rsidRPr="00610B1B">
        <w:rPr>
          <w:rFonts w:ascii="Times New Roman" w:eastAsia="Times New Roman" w:hAnsi="Times New Roman" w:cs="Times New Roman"/>
          <w:bCs/>
          <w:iCs/>
          <w:sz w:val="24"/>
          <w:szCs w:val="24"/>
          <w:lang w:val="bg-BG" w:eastAsia="bg-BG"/>
        </w:rPr>
        <w:t>E-70</w:t>
      </w:r>
      <w:r w:rsidR="008E37F5" w:rsidRPr="00610B1B">
        <w:rPr>
          <w:rFonts w:ascii="Times New Roman" w:eastAsia="Times New Roman" w:hAnsi="Times New Roman" w:cs="Times New Roman"/>
          <w:bCs/>
          <w:iCs/>
          <w:sz w:val="24"/>
          <w:szCs w:val="24"/>
          <w:lang w:val="bg-BG" w:eastAsia="bg-BG"/>
        </w:rPr>
        <w:t>)</w:t>
      </w:r>
      <w:r w:rsidRPr="00610B1B">
        <w:rPr>
          <w:rFonts w:ascii="Times New Roman" w:eastAsia="Times New Roman" w:hAnsi="Times New Roman" w:cs="Times New Roman"/>
          <w:bCs/>
          <w:iCs/>
          <w:sz w:val="24"/>
          <w:szCs w:val="24"/>
          <w:lang w:val="bg-BG" w:eastAsia="bg-BG"/>
        </w:rPr>
        <w:t xml:space="preserve"> заедно с жп линия 9</w:t>
      </w:r>
      <w:r w:rsidRPr="00610B1B">
        <w:rPr>
          <w:rFonts w:ascii="Times New Roman" w:eastAsia="Times New Roman" w:hAnsi="Times New Roman" w:cs="Times New Roman"/>
          <w:iCs/>
          <w:sz w:val="24"/>
          <w:szCs w:val="24"/>
          <w:lang w:val="bg-BG" w:eastAsia="bg-BG"/>
        </w:rPr>
        <w:t xml:space="preserve"> </w:t>
      </w:r>
      <w:r w:rsidRPr="00610B1B">
        <w:rPr>
          <w:rFonts w:ascii="Times New Roman" w:eastAsia="Times New Roman" w:hAnsi="Times New Roman" w:cs="Times New Roman"/>
          <w:iCs/>
          <w:color w:val="000000"/>
          <w:sz w:val="24"/>
          <w:szCs w:val="24"/>
          <w:lang w:val="bg-BG" w:eastAsia="bg-BG"/>
        </w:rPr>
        <w:t>Русе-Каспичан</w:t>
      </w:r>
      <w:r w:rsidRPr="00610B1B">
        <w:rPr>
          <w:rFonts w:ascii="Times New Roman" w:eastAsia="Times New Roman" w:hAnsi="Times New Roman" w:cs="Times New Roman"/>
          <w:color w:val="000000"/>
          <w:sz w:val="24"/>
          <w:szCs w:val="24"/>
          <w:lang w:val="bg-BG" w:eastAsia="bg-BG"/>
        </w:rPr>
        <w:t xml:space="preserve"> подсилва функциите на важната транспортна ос между Пристанище Варна и Пристанище Русе с възможността за транспортни комуникации между Черно море и р. Дунав.</w:t>
      </w:r>
    </w:p>
    <w:p w14:paraId="26713620" w14:textId="0AB81D71" w:rsidR="00410372" w:rsidRPr="00610B1B" w:rsidRDefault="00410372" w:rsidP="00D32D6A">
      <w:pPr>
        <w:autoSpaceDE w:val="0"/>
        <w:autoSpaceDN w:val="0"/>
        <w:adjustRightInd w:val="0"/>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bCs/>
          <w:i/>
          <w:sz w:val="24"/>
          <w:szCs w:val="24"/>
          <w:lang w:val="bg-BG" w:eastAsia="bg-BG"/>
        </w:rPr>
        <w:t>Първокласен път І-7</w:t>
      </w:r>
      <w:r w:rsidRPr="00610B1B">
        <w:rPr>
          <w:rFonts w:ascii="Times New Roman" w:eastAsia="Times New Roman" w:hAnsi="Times New Roman" w:cs="Times New Roman"/>
          <w:bCs/>
          <w:i/>
          <w:sz w:val="24"/>
          <w:szCs w:val="24"/>
          <w:lang w:val="bg-BG" w:eastAsia="bg-BG"/>
        </w:rPr>
        <w:t xml:space="preserve"> </w:t>
      </w:r>
      <w:r w:rsidRPr="00610B1B">
        <w:rPr>
          <w:rFonts w:ascii="Times New Roman" w:eastAsia="Times New Roman" w:hAnsi="Times New Roman" w:cs="Times New Roman"/>
          <w:bCs/>
          <w:iCs/>
          <w:sz w:val="24"/>
          <w:szCs w:val="24"/>
          <w:lang w:val="bg-BG" w:eastAsia="bg-BG"/>
        </w:rPr>
        <w:t>граница Румъния/ГКПП “Силистра”– Шумен–Ямбол–Елхово–ГКПП</w:t>
      </w:r>
      <w:r w:rsidR="00375B2C" w:rsidRPr="00610B1B">
        <w:rPr>
          <w:rFonts w:ascii="Times New Roman" w:eastAsia="Times New Roman" w:hAnsi="Times New Roman" w:cs="Times New Roman"/>
          <w:bCs/>
          <w:iCs/>
          <w:sz w:val="24"/>
          <w:szCs w:val="24"/>
          <w:lang w:val="bg-BG" w:eastAsia="bg-BG"/>
        </w:rPr>
        <w:t xml:space="preserve"> </w:t>
      </w:r>
      <w:r w:rsidRPr="00610B1B">
        <w:rPr>
          <w:rFonts w:ascii="Times New Roman" w:eastAsia="Times New Roman" w:hAnsi="Times New Roman" w:cs="Times New Roman"/>
          <w:bCs/>
          <w:iCs/>
          <w:sz w:val="24"/>
          <w:szCs w:val="24"/>
          <w:lang w:val="bg-BG" w:eastAsia="bg-BG"/>
        </w:rPr>
        <w:t>“Лесово-Xамзъбейли”/граница Турция</w:t>
      </w:r>
      <w:r w:rsidRPr="00610B1B">
        <w:rPr>
          <w:rFonts w:ascii="Times New Roman" w:eastAsia="Times New Roman" w:hAnsi="Times New Roman" w:cs="Times New Roman"/>
          <w:bCs/>
          <w:sz w:val="24"/>
          <w:szCs w:val="24"/>
          <w:lang w:val="bg-BG" w:eastAsia="bg-BG"/>
        </w:rPr>
        <w:t xml:space="preserve"> е допълнителна транспортна връзка на Пристанище Варна с р. Дунав (Пристанище Силистра).</w:t>
      </w:r>
    </w:p>
    <w:p w14:paraId="60362C03" w14:textId="20F5BAD6" w:rsidR="00410372" w:rsidRPr="00610B1B" w:rsidRDefault="00410372"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bCs/>
          <w:i/>
          <w:sz w:val="24"/>
          <w:szCs w:val="24"/>
          <w:lang w:val="bg-BG" w:eastAsia="bg-BG"/>
        </w:rPr>
        <w:t>А</w:t>
      </w:r>
      <w:r w:rsidRPr="00610B1B">
        <w:rPr>
          <w:rFonts w:ascii="Times New Roman" w:eastAsia="Times New Roman" w:hAnsi="Times New Roman" w:cs="Times New Roman"/>
          <w:b/>
          <w:i/>
          <w:sz w:val="24"/>
          <w:szCs w:val="24"/>
          <w:lang w:val="bg-BG" w:eastAsia="bg-BG"/>
        </w:rPr>
        <w:t>втомагистрала “Черно море”</w:t>
      </w:r>
      <w:r w:rsidRPr="00610B1B">
        <w:rPr>
          <w:rFonts w:ascii="Times New Roman" w:eastAsia="Times New Roman" w:hAnsi="Times New Roman" w:cs="Times New Roman"/>
          <w:b/>
          <w:sz w:val="24"/>
          <w:szCs w:val="24"/>
          <w:lang w:val="bg-BG" w:eastAsia="bg-BG"/>
        </w:rPr>
        <w:t xml:space="preserve"> </w:t>
      </w:r>
      <w:r w:rsidRPr="00610B1B">
        <w:rPr>
          <w:rFonts w:ascii="Times New Roman" w:eastAsia="Times New Roman" w:hAnsi="Times New Roman" w:cs="Times New Roman"/>
          <w:iCs/>
          <w:sz w:val="24"/>
          <w:szCs w:val="24"/>
          <w:lang w:val="bg-BG" w:eastAsia="bg-BG"/>
        </w:rPr>
        <w:t>Варна</w:t>
      </w:r>
      <w:r w:rsidRPr="00610B1B">
        <w:rPr>
          <w:rFonts w:ascii="Times New Roman" w:eastAsia="Times New Roman" w:hAnsi="Times New Roman" w:cs="Times New Roman"/>
          <w:b/>
          <w:iCs/>
          <w:sz w:val="24"/>
          <w:szCs w:val="24"/>
          <w:lang w:val="bg-BG" w:eastAsia="bg-BG"/>
        </w:rPr>
        <w:t>-</w:t>
      </w:r>
      <w:r w:rsidRPr="00610B1B">
        <w:rPr>
          <w:rFonts w:ascii="Times New Roman" w:eastAsia="Times New Roman" w:hAnsi="Times New Roman" w:cs="Times New Roman"/>
          <w:iCs/>
          <w:sz w:val="24"/>
          <w:szCs w:val="24"/>
          <w:lang w:val="bg-BG" w:eastAsia="bg-BG"/>
        </w:rPr>
        <w:t>Слънчев бряг-Бургас</w:t>
      </w:r>
      <w:r w:rsidRPr="00610B1B">
        <w:rPr>
          <w:rFonts w:ascii="Times New Roman" w:eastAsia="Times New Roman" w:hAnsi="Times New Roman" w:cs="Times New Roman"/>
          <w:i/>
          <w:iCs/>
          <w:sz w:val="24"/>
          <w:szCs w:val="24"/>
          <w:lang w:val="bg-BG" w:eastAsia="bg-BG"/>
        </w:rPr>
        <w:t>,</w:t>
      </w:r>
      <w:r w:rsidR="00D66FE0" w:rsidRPr="00610B1B">
        <w:rPr>
          <w:rFonts w:ascii="Times New Roman" w:eastAsia="Times New Roman" w:hAnsi="Times New Roman" w:cs="Times New Roman"/>
          <w:i/>
          <w:iCs/>
          <w:sz w:val="24"/>
          <w:szCs w:val="24"/>
          <w:lang w:val="bg-BG" w:eastAsia="bg-BG"/>
        </w:rPr>
        <w:t xml:space="preserve"> </w:t>
      </w:r>
      <w:r w:rsidRPr="00610B1B">
        <w:rPr>
          <w:rFonts w:ascii="Times New Roman" w:eastAsia="Times New Roman" w:hAnsi="Times New Roman" w:cs="Times New Roman"/>
          <w:sz w:val="24"/>
          <w:szCs w:val="24"/>
          <w:lang w:val="bg-BG" w:eastAsia="bg-BG"/>
        </w:rPr>
        <w:t>планирана като връзка между двата главни урбанизационни центрове на Черноморското крайбрежие -</w:t>
      </w:r>
      <w:r w:rsidR="00375B2C"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Варна и Бургас</w:t>
      </w:r>
      <w:r w:rsidR="00115C8D"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е </w:t>
      </w:r>
      <w:r w:rsidR="00115C8D" w:rsidRPr="00610B1B">
        <w:rPr>
          <w:rFonts w:ascii="Times New Roman" w:eastAsia="Times New Roman" w:hAnsi="Times New Roman" w:cs="Times New Roman"/>
          <w:sz w:val="24"/>
          <w:szCs w:val="24"/>
          <w:lang w:val="bg-BG" w:eastAsia="bg-BG"/>
        </w:rPr>
        <w:t>с</w:t>
      </w:r>
      <w:r w:rsidRPr="00610B1B">
        <w:rPr>
          <w:rFonts w:ascii="Times New Roman" w:eastAsia="Times New Roman" w:hAnsi="Times New Roman" w:cs="Times New Roman"/>
          <w:sz w:val="24"/>
          <w:szCs w:val="24"/>
          <w:lang w:val="bg-BG" w:eastAsia="bg-BG"/>
        </w:rPr>
        <w:t>итуирана в тила на крайбрежието за провеждане на транзитните потоци, вкл. обслужване на пристанищата Бургас и Варна.</w:t>
      </w:r>
    </w:p>
    <w:p w14:paraId="42B87575" w14:textId="3E9985DD" w:rsidR="00410372" w:rsidRPr="00610B1B" w:rsidRDefault="00410372" w:rsidP="00D32D6A">
      <w:pPr>
        <w:autoSpaceDE w:val="0"/>
        <w:autoSpaceDN w:val="0"/>
        <w:adjustRightInd w:val="0"/>
        <w:spacing w:after="120"/>
        <w:ind w:right="-153"/>
        <w:jc w:val="both"/>
        <w:rPr>
          <w:rFonts w:ascii="Times New Roman" w:eastAsia="Times New Roman" w:hAnsi="Times New Roman" w:cs="Times New Roman"/>
          <w:color w:val="000000"/>
          <w:sz w:val="24"/>
          <w:szCs w:val="24"/>
          <w:lang w:val="bg-BG" w:eastAsia="bg-BG"/>
        </w:rPr>
      </w:pPr>
      <w:r w:rsidRPr="00610B1B">
        <w:rPr>
          <w:rFonts w:ascii="Times New Roman" w:eastAsia="Times New Roman" w:hAnsi="Times New Roman" w:cs="Times New Roman"/>
          <w:sz w:val="24"/>
          <w:szCs w:val="24"/>
          <w:lang w:val="bg-BG" w:eastAsia="bg-BG"/>
        </w:rPr>
        <w:t>Основният обслужващ път за Северното Черн</w:t>
      </w:r>
      <w:r w:rsidR="00115C8D" w:rsidRPr="00610B1B">
        <w:rPr>
          <w:rFonts w:ascii="Times New Roman" w:eastAsia="Times New Roman" w:hAnsi="Times New Roman" w:cs="Times New Roman"/>
          <w:sz w:val="24"/>
          <w:szCs w:val="24"/>
          <w:lang w:val="bg-BG" w:eastAsia="bg-BG"/>
        </w:rPr>
        <w:t xml:space="preserve">оморие </w:t>
      </w:r>
      <w:r w:rsidR="00115C8D" w:rsidRPr="00610B1B">
        <w:rPr>
          <w:rFonts w:ascii="Times New Roman" w:eastAsia="Times New Roman" w:hAnsi="Times New Roman" w:cs="Times New Roman"/>
          <w:b/>
          <w:i/>
          <w:sz w:val="24"/>
          <w:szCs w:val="24"/>
          <w:lang w:val="bg-BG" w:eastAsia="bg-BG"/>
        </w:rPr>
        <w:t>е първокласният път І.9.</w:t>
      </w:r>
      <w:r w:rsidR="00115C8D"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iCs/>
          <w:sz w:val="24"/>
          <w:szCs w:val="24"/>
          <w:lang w:val="bg-BG" w:eastAsia="bg-BG"/>
        </w:rPr>
        <w:t>граница Румъния-Дуранкулак-Варна-Бургас-Малко Търново-граница Турция</w:t>
      </w:r>
      <w:r w:rsidR="000C67F0" w:rsidRPr="00610B1B">
        <w:rPr>
          <w:rFonts w:ascii="Times New Roman" w:eastAsia="Times New Roman" w:hAnsi="Times New Roman" w:cs="Times New Roman"/>
          <w:iCs/>
          <w:sz w:val="24"/>
          <w:szCs w:val="24"/>
          <w:lang w:val="bg-BG" w:eastAsia="bg-BG"/>
        </w:rPr>
        <w:t xml:space="preserve"> </w:t>
      </w:r>
      <w:r w:rsidRPr="00610B1B">
        <w:rPr>
          <w:rFonts w:ascii="Times New Roman" w:eastAsia="Times New Roman" w:hAnsi="Times New Roman" w:cs="Times New Roman"/>
          <w:iCs/>
          <w:sz w:val="24"/>
          <w:szCs w:val="24"/>
          <w:lang w:val="bg-BG" w:eastAsia="bg-BG"/>
        </w:rPr>
        <w:t>(Е-87)</w:t>
      </w:r>
      <w:r w:rsidR="00115C8D" w:rsidRPr="00610B1B">
        <w:rPr>
          <w:rFonts w:ascii="Times New Roman" w:eastAsia="Times New Roman" w:hAnsi="Times New Roman" w:cs="Times New Roman"/>
          <w:iCs/>
          <w:sz w:val="24"/>
          <w:szCs w:val="24"/>
          <w:lang w:val="bg-BG" w:eastAsia="bg-BG"/>
        </w:rPr>
        <w:t xml:space="preserve">. </w:t>
      </w:r>
      <w:r w:rsidR="00115C8D" w:rsidRPr="00610B1B">
        <w:rPr>
          <w:rFonts w:ascii="Times New Roman" w:eastAsia="Times New Roman" w:hAnsi="Times New Roman" w:cs="Times New Roman"/>
          <w:sz w:val="24"/>
          <w:szCs w:val="24"/>
          <w:lang w:val="bg-BG" w:eastAsia="bg-BG"/>
        </w:rPr>
        <w:t xml:space="preserve">В </w:t>
      </w:r>
      <w:r w:rsidRPr="00610B1B">
        <w:rPr>
          <w:rFonts w:ascii="Times New Roman" w:eastAsia="Times New Roman" w:hAnsi="Times New Roman" w:cs="Times New Roman"/>
          <w:sz w:val="24"/>
          <w:szCs w:val="24"/>
          <w:lang w:val="bg-BG" w:eastAsia="bg-BG"/>
        </w:rPr>
        <w:t>частта си граница Румъния - Варна е включен в широкообхватната TEN-T мрежа на територията на страната.</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iCs/>
          <w:sz w:val="24"/>
          <w:szCs w:val="24"/>
          <w:lang w:val="bg-BG" w:eastAsia="bg-BG"/>
        </w:rPr>
        <w:t>Пътят</w:t>
      </w:r>
      <w:r w:rsidRPr="00610B1B">
        <w:rPr>
          <w:rFonts w:ascii="Times New Roman" w:eastAsia="Times New Roman" w:hAnsi="Times New Roman" w:cs="Times New Roman"/>
          <w:sz w:val="24"/>
          <w:szCs w:val="24"/>
          <w:lang w:val="bg-BG" w:eastAsia="bg-BG"/>
        </w:rPr>
        <w:t xml:space="preserve"> обслужва туристическия поток по Черноморското крайбрежие като връзка на север с Р. Румъния и транспортните комуникации между Бургас и Варна,</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но на юг от Бургас</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провежда главно транзитен трафик за/от Р. Турция.</w:t>
      </w:r>
      <w:r w:rsidR="00115C8D" w:rsidRPr="00610B1B">
        <w:rPr>
          <w:rFonts w:ascii="Times New Roman" w:eastAsia="Times New Roman" w:hAnsi="Times New Roman" w:cs="Times New Roman"/>
          <w:sz w:val="24"/>
          <w:szCs w:val="24"/>
          <w:lang w:val="bg-BG" w:eastAsia="bg-BG"/>
        </w:rPr>
        <w:t xml:space="preserve"> Той е </w:t>
      </w:r>
      <w:r w:rsidRPr="00610B1B">
        <w:rPr>
          <w:rFonts w:ascii="Times New Roman" w:eastAsia="Times New Roman" w:hAnsi="Times New Roman" w:cs="Times New Roman"/>
          <w:sz w:val="24"/>
          <w:szCs w:val="24"/>
          <w:lang w:val="bg-BG" w:eastAsia="bg-BG"/>
        </w:rPr>
        <w:t xml:space="preserve">и основният обслужващ път за </w:t>
      </w:r>
      <w:r w:rsidRPr="00610B1B">
        <w:rPr>
          <w:rFonts w:ascii="Times New Roman" w:eastAsia="Times New Roman" w:hAnsi="Times New Roman" w:cs="Times New Roman"/>
          <w:bCs/>
          <w:i/>
          <w:sz w:val="24"/>
          <w:szCs w:val="24"/>
          <w:lang w:val="bg-BG" w:eastAsia="bg-BG"/>
        </w:rPr>
        <w:t>Пристанище</w:t>
      </w:r>
      <w:r w:rsidR="00A102FE" w:rsidRPr="00610B1B">
        <w:rPr>
          <w:rFonts w:ascii="Times New Roman" w:eastAsia="Times New Roman" w:hAnsi="Times New Roman" w:cs="Times New Roman"/>
          <w:bCs/>
          <w:i/>
          <w:sz w:val="24"/>
          <w:szCs w:val="24"/>
          <w:lang w:val="bg-BG" w:eastAsia="bg-BG"/>
        </w:rPr>
        <w:t>н терминал</w:t>
      </w:r>
      <w:r w:rsidRPr="00610B1B">
        <w:rPr>
          <w:rFonts w:ascii="Times New Roman" w:eastAsia="Times New Roman" w:hAnsi="Times New Roman" w:cs="Times New Roman"/>
          <w:bCs/>
          <w:i/>
          <w:sz w:val="24"/>
          <w:szCs w:val="24"/>
          <w:lang w:val="bg-BG" w:eastAsia="bg-BG"/>
        </w:rPr>
        <w:t xml:space="preserve"> Балчик</w:t>
      </w:r>
      <w:r w:rsidRPr="00610B1B">
        <w:rPr>
          <w:rFonts w:ascii="Times New Roman" w:eastAsia="Times New Roman" w:hAnsi="Times New Roman" w:cs="Times New Roman"/>
          <w:bCs/>
          <w:sz w:val="24"/>
          <w:szCs w:val="24"/>
          <w:lang w:val="bg-BG" w:eastAsia="bg-BG"/>
        </w:rPr>
        <w:t>,</w:t>
      </w:r>
      <w:r w:rsidR="00375B2C"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ко</w:t>
      </w:r>
      <w:r w:rsidR="00A102FE" w:rsidRPr="00610B1B">
        <w:rPr>
          <w:rFonts w:ascii="Times New Roman" w:eastAsia="Times New Roman" w:hAnsi="Times New Roman" w:cs="Times New Roman"/>
          <w:sz w:val="24"/>
          <w:szCs w:val="24"/>
          <w:lang w:val="bg-BG" w:eastAsia="bg-BG"/>
        </w:rPr>
        <w:t>й</w:t>
      </w:r>
      <w:r w:rsidRPr="00610B1B">
        <w:rPr>
          <w:rFonts w:ascii="Times New Roman" w:eastAsia="Times New Roman" w:hAnsi="Times New Roman" w:cs="Times New Roman"/>
          <w:sz w:val="24"/>
          <w:szCs w:val="24"/>
          <w:lang w:val="bg-BG" w:eastAsia="bg-BG"/>
        </w:rPr>
        <w:t>то е</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трет</w:t>
      </w:r>
      <w:r w:rsidR="00A102FE" w:rsidRPr="00610B1B">
        <w:rPr>
          <w:rFonts w:ascii="Times New Roman" w:eastAsia="Times New Roman" w:hAnsi="Times New Roman" w:cs="Times New Roman"/>
          <w:sz w:val="24"/>
          <w:szCs w:val="24"/>
          <w:lang w:val="bg-BG" w:eastAsia="bg-BG"/>
        </w:rPr>
        <w:t>и</w:t>
      </w:r>
      <w:r w:rsidRPr="00610B1B">
        <w:rPr>
          <w:rFonts w:ascii="Times New Roman" w:eastAsia="Times New Roman" w:hAnsi="Times New Roman" w:cs="Times New Roman"/>
          <w:sz w:val="24"/>
          <w:szCs w:val="24"/>
          <w:lang w:val="bg-BG" w:eastAsia="bg-BG"/>
        </w:rPr>
        <w:t xml:space="preserve"> по големина на Черноморското ни крайбрежие. </w:t>
      </w:r>
      <w:r w:rsidR="00A102FE" w:rsidRPr="00610B1B">
        <w:rPr>
          <w:rFonts w:ascii="Times New Roman" w:eastAsia="Times New Roman" w:hAnsi="Times New Roman" w:cs="Times New Roman"/>
          <w:sz w:val="24"/>
          <w:szCs w:val="24"/>
          <w:lang w:val="bg-BG" w:eastAsia="bg-BG"/>
        </w:rPr>
        <w:t xml:space="preserve">Той </w:t>
      </w:r>
      <w:r w:rsidRPr="00610B1B">
        <w:rPr>
          <w:rFonts w:ascii="Times New Roman" w:eastAsia="Times New Roman" w:hAnsi="Times New Roman" w:cs="Times New Roman"/>
          <w:sz w:val="24"/>
          <w:szCs w:val="24"/>
          <w:lang w:val="bg-BG" w:eastAsia="bg-BG"/>
        </w:rPr>
        <w:t>има потенциал за обслужване на туристите в района, но се използва ограничено. В непосредствена близост се намира</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яхтено пристанище Балчик с капацитет 70 места, чието </w:t>
      </w:r>
      <w:r w:rsidRPr="00610B1B">
        <w:rPr>
          <w:rFonts w:ascii="Times New Roman" w:eastAsia="Times New Roman" w:hAnsi="Times New Roman" w:cs="Times New Roman"/>
          <w:color w:val="000000"/>
          <w:sz w:val="24"/>
          <w:szCs w:val="24"/>
          <w:lang w:val="bg-BG" w:eastAsia="bg-BG"/>
        </w:rPr>
        <w:t>развитие е обвързано с развитието на крайбрежната зона</w:t>
      </w:r>
      <w:r w:rsidR="008E37F5" w:rsidRPr="00610B1B">
        <w:rPr>
          <w:rFonts w:ascii="Times New Roman" w:eastAsia="Times New Roman" w:hAnsi="Times New Roman" w:cs="Times New Roman"/>
          <w:color w:val="000000"/>
          <w:sz w:val="24"/>
          <w:szCs w:val="24"/>
          <w:lang w:val="bg-BG" w:eastAsia="bg-BG"/>
        </w:rPr>
        <w:t>.</w:t>
      </w:r>
    </w:p>
    <w:p w14:paraId="397EF15B" w14:textId="29114989" w:rsidR="00410372" w:rsidRPr="00610B1B" w:rsidRDefault="00410372" w:rsidP="00D32D6A">
      <w:pPr>
        <w:spacing w:after="120"/>
        <w:ind w:right="-153"/>
        <w:rPr>
          <w:rFonts w:ascii="Times New Roman" w:eastAsia="Times New Roman" w:hAnsi="Times New Roman" w:cs="Times New Roman"/>
          <w:color w:val="000000"/>
          <w:sz w:val="24"/>
          <w:szCs w:val="24"/>
          <w:lang w:val="bg-BG" w:eastAsia="bg-BG"/>
        </w:rPr>
      </w:pPr>
      <w:r w:rsidRPr="00610B1B">
        <w:rPr>
          <w:rFonts w:ascii="Times New Roman" w:eastAsia="Times New Roman" w:hAnsi="Times New Roman" w:cs="Times New Roman"/>
          <w:color w:val="000000"/>
          <w:sz w:val="24"/>
          <w:szCs w:val="24"/>
          <w:lang w:val="bg-BG" w:eastAsia="bg-BG"/>
        </w:rPr>
        <w:t>Обслужването на Пристанище</w:t>
      </w:r>
      <w:r w:rsidR="00A102FE" w:rsidRPr="00610B1B">
        <w:rPr>
          <w:rFonts w:ascii="Times New Roman" w:eastAsia="Times New Roman" w:hAnsi="Times New Roman" w:cs="Times New Roman"/>
          <w:color w:val="000000"/>
          <w:sz w:val="24"/>
          <w:szCs w:val="24"/>
          <w:lang w:val="bg-BG" w:eastAsia="bg-BG"/>
        </w:rPr>
        <w:t>н терминал</w:t>
      </w:r>
      <w:r w:rsidRPr="00610B1B">
        <w:rPr>
          <w:rFonts w:ascii="Times New Roman" w:eastAsia="Times New Roman" w:hAnsi="Times New Roman" w:cs="Times New Roman"/>
          <w:color w:val="000000"/>
          <w:sz w:val="24"/>
          <w:szCs w:val="24"/>
          <w:lang w:val="bg-BG" w:eastAsia="bg-BG"/>
        </w:rPr>
        <w:t xml:space="preserve"> Балчик се допълва от</w:t>
      </w:r>
      <w:r w:rsidR="00375B2C" w:rsidRPr="00610B1B">
        <w:rPr>
          <w:rFonts w:ascii="Times New Roman" w:eastAsia="Times New Roman" w:hAnsi="Times New Roman" w:cs="Times New Roman"/>
          <w:color w:val="000000"/>
          <w:sz w:val="24"/>
          <w:szCs w:val="24"/>
          <w:lang w:val="bg-BG" w:eastAsia="bg-BG"/>
        </w:rPr>
        <w:t xml:space="preserve"> следните пътища:</w:t>
      </w:r>
      <w:r w:rsidRPr="00610B1B">
        <w:rPr>
          <w:rFonts w:ascii="Times New Roman" w:eastAsia="Times New Roman" w:hAnsi="Times New Roman" w:cs="Times New Roman"/>
          <w:color w:val="000000"/>
          <w:sz w:val="24"/>
          <w:szCs w:val="24"/>
          <w:lang w:val="bg-BG" w:eastAsia="bg-BG"/>
        </w:rPr>
        <w:t xml:space="preserve"> </w:t>
      </w:r>
    </w:p>
    <w:p w14:paraId="55FE0075" w14:textId="22B13352" w:rsidR="00410372" w:rsidRPr="00610B1B" w:rsidRDefault="00410372" w:rsidP="00B46189">
      <w:pPr>
        <w:numPr>
          <w:ilvl w:val="0"/>
          <w:numId w:val="4"/>
        </w:numPr>
        <w:spacing w:after="120"/>
        <w:ind w:left="714" w:right="-153" w:hanging="357"/>
        <w:jc w:val="both"/>
        <w:rPr>
          <w:rFonts w:ascii="Times New Roman" w:eastAsia="Times New Roman" w:hAnsi="Times New Roman" w:cs="Times New Roman"/>
          <w:i/>
          <w:sz w:val="24"/>
          <w:szCs w:val="24"/>
          <w:lang w:val="bg-BG" w:eastAsia="bg-BG"/>
        </w:rPr>
      </w:pPr>
      <w:r w:rsidRPr="00610B1B">
        <w:rPr>
          <w:rFonts w:ascii="Times New Roman" w:eastAsia="Times New Roman" w:hAnsi="Times New Roman" w:cs="Times New Roman"/>
          <w:i/>
          <w:sz w:val="24"/>
          <w:szCs w:val="24"/>
          <w:lang w:val="bg-BG" w:eastAsia="bg-BG"/>
        </w:rPr>
        <w:t xml:space="preserve">Второкласен път ІІ-27 </w:t>
      </w:r>
      <w:r w:rsidRPr="00610B1B">
        <w:rPr>
          <w:rFonts w:ascii="Times New Roman" w:eastAsia="Times New Roman" w:hAnsi="Times New Roman" w:cs="Times New Roman"/>
          <w:i/>
          <w:iCs/>
          <w:sz w:val="24"/>
          <w:szCs w:val="24"/>
          <w:lang w:val="bg-BG" w:eastAsia="bg-BG"/>
        </w:rPr>
        <w:t>(</w:t>
      </w:r>
      <w:r w:rsidRPr="00610B1B">
        <w:rPr>
          <w:rFonts w:ascii="Times New Roman" w:eastAsia="Times New Roman" w:hAnsi="Times New Roman" w:cs="Times New Roman"/>
          <w:iCs/>
          <w:sz w:val="24"/>
          <w:szCs w:val="24"/>
          <w:lang w:val="bg-BG" w:eastAsia="bg-BG"/>
        </w:rPr>
        <w:t>о.п. Шумен-Девня) Нови Пазар-Владимирово- о.п. Добрич-Балчик</w:t>
      </w:r>
      <w:r w:rsidR="00375B2C" w:rsidRPr="00610B1B">
        <w:rPr>
          <w:rFonts w:ascii="Times New Roman" w:eastAsia="Times New Roman" w:hAnsi="Times New Roman" w:cs="Times New Roman"/>
          <w:iCs/>
          <w:sz w:val="24"/>
          <w:szCs w:val="24"/>
          <w:lang w:val="bg-BG" w:eastAsia="bg-BG"/>
        </w:rPr>
        <w:t xml:space="preserve"> </w:t>
      </w:r>
      <w:r w:rsidR="00A102FE" w:rsidRPr="00610B1B">
        <w:rPr>
          <w:rFonts w:ascii="Times New Roman" w:eastAsia="Times New Roman" w:hAnsi="Times New Roman" w:cs="Times New Roman"/>
          <w:iCs/>
          <w:sz w:val="24"/>
          <w:szCs w:val="24"/>
          <w:lang w:val="bg-BG" w:eastAsia="bg-BG"/>
        </w:rPr>
        <w:t>–</w:t>
      </w:r>
      <w:r w:rsidR="00375B2C" w:rsidRPr="00610B1B">
        <w:rPr>
          <w:rFonts w:ascii="Times New Roman" w:eastAsia="Times New Roman" w:hAnsi="Times New Roman" w:cs="Times New Roman"/>
          <w:iCs/>
          <w:sz w:val="24"/>
          <w:szCs w:val="24"/>
          <w:lang w:val="bg-BG" w:eastAsia="bg-BG"/>
        </w:rPr>
        <w:t xml:space="preserve"> </w:t>
      </w:r>
      <w:r w:rsidRPr="00610B1B">
        <w:rPr>
          <w:rFonts w:ascii="Times New Roman" w:eastAsia="Times New Roman" w:hAnsi="Times New Roman" w:cs="Times New Roman"/>
          <w:bCs/>
          <w:iCs/>
          <w:sz w:val="24"/>
          <w:szCs w:val="24"/>
          <w:lang w:val="bg-BG" w:eastAsia="bg-BG"/>
        </w:rPr>
        <w:t>пристанище</w:t>
      </w:r>
      <w:r w:rsidR="00A102FE" w:rsidRPr="00610B1B">
        <w:rPr>
          <w:rFonts w:ascii="Times New Roman" w:eastAsia="Times New Roman" w:hAnsi="Times New Roman" w:cs="Times New Roman"/>
          <w:bCs/>
          <w:iCs/>
          <w:sz w:val="24"/>
          <w:szCs w:val="24"/>
          <w:lang w:val="bg-BG" w:eastAsia="bg-BG"/>
        </w:rPr>
        <w:t>н терминал</w:t>
      </w:r>
      <w:r w:rsidRPr="00610B1B">
        <w:rPr>
          <w:rFonts w:ascii="Times New Roman" w:eastAsia="Times New Roman" w:hAnsi="Times New Roman" w:cs="Times New Roman"/>
          <w:bCs/>
          <w:iCs/>
          <w:sz w:val="24"/>
          <w:szCs w:val="24"/>
          <w:lang w:val="bg-BG" w:eastAsia="bg-BG"/>
        </w:rPr>
        <w:t xml:space="preserve"> Балчик,</w:t>
      </w:r>
      <w:r w:rsidRPr="00610B1B">
        <w:rPr>
          <w:rFonts w:ascii="Times New Roman" w:eastAsia="Times New Roman" w:hAnsi="Times New Roman" w:cs="Times New Roman"/>
          <w:b/>
          <w:i/>
          <w:sz w:val="24"/>
          <w:szCs w:val="24"/>
          <w:lang w:val="bg-BG" w:eastAsia="bg-BG"/>
        </w:rPr>
        <w:t xml:space="preserve"> </w:t>
      </w:r>
      <w:r w:rsidRPr="00610B1B">
        <w:rPr>
          <w:rFonts w:ascii="Times New Roman" w:eastAsia="Times New Roman" w:hAnsi="Times New Roman" w:cs="Times New Roman"/>
          <w:sz w:val="24"/>
          <w:szCs w:val="24"/>
          <w:lang w:val="bg-BG" w:eastAsia="bg-BG"/>
        </w:rPr>
        <w:t>свързвайки го с</w:t>
      </w:r>
      <w:r w:rsidRPr="00610B1B">
        <w:rPr>
          <w:rFonts w:ascii="Times New Roman" w:eastAsia="Times New Roman" w:hAnsi="Times New Roman" w:cs="Times New Roman"/>
          <w:b/>
          <w:i/>
          <w:sz w:val="24"/>
          <w:szCs w:val="24"/>
          <w:lang w:val="bg-BG" w:eastAsia="bg-BG"/>
        </w:rPr>
        <w:t xml:space="preserve"> </w:t>
      </w:r>
      <w:r w:rsidRPr="00610B1B">
        <w:rPr>
          <w:rFonts w:ascii="Times New Roman" w:eastAsia="Times New Roman" w:hAnsi="Times New Roman" w:cs="Times New Roman"/>
          <w:sz w:val="24"/>
          <w:szCs w:val="24"/>
          <w:lang w:val="bg-BG" w:eastAsia="bg-BG"/>
        </w:rPr>
        <w:t>вътрешността на Североизточна България (Добруджа), предвид специализацията му за обработка и износ на зърнени храни.</w:t>
      </w:r>
    </w:p>
    <w:p w14:paraId="0C645E86" w14:textId="071ECDEC" w:rsidR="00410372" w:rsidRPr="00610B1B" w:rsidRDefault="00410372" w:rsidP="00B46189">
      <w:pPr>
        <w:numPr>
          <w:ilvl w:val="0"/>
          <w:numId w:val="4"/>
        </w:numPr>
        <w:spacing w:after="120"/>
        <w:ind w:left="714" w:right="-153" w:hanging="357"/>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i/>
          <w:sz w:val="24"/>
          <w:szCs w:val="24"/>
          <w:lang w:val="bg-BG" w:eastAsia="bg-BG"/>
        </w:rPr>
        <w:t>Второкласен път ІІ-29</w:t>
      </w:r>
      <w:r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iCs/>
          <w:sz w:val="24"/>
          <w:szCs w:val="24"/>
          <w:lang w:val="bg-BG" w:eastAsia="bg-BG"/>
        </w:rPr>
        <w:t>Варна-Аксаково-окп Добрич-Генерал Тошево-граница Румъния</w:t>
      </w:r>
      <w:r w:rsidRPr="00610B1B">
        <w:rPr>
          <w:rFonts w:ascii="Times New Roman" w:eastAsia="Times New Roman" w:hAnsi="Times New Roman" w:cs="Times New Roman"/>
          <w:i/>
          <w:sz w:val="24"/>
          <w:szCs w:val="24"/>
          <w:lang w:val="bg-BG" w:eastAsia="bg-BG"/>
        </w:rPr>
        <w:t xml:space="preserve"> </w:t>
      </w:r>
      <w:r w:rsidRPr="00610B1B">
        <w:rPr>
          <w:rFonts w:ascii="Times New Roman" w:eastAsia="Times New Roman" w:hAnsi="Times New Roman" w:cs="Times New Roman"/>
          <w:sz w:val="24"/>
          <w:szCs w:val="24"/>
          <w:lang w:val="bg-BG" w:eastAsia="bg-BG"/>
        </w:rPr>
        <w:t>е</w:t>
      </w:r>
      <w:r w:rsidRPr="00610B1B">
        <w:rPr>
          <w:rFonts w:ascii="Times New Roman" w:eastAsia="Times New Roman" w:hAnsi="Times New Roman" w:cs="Times New Roman"/>
          <w:i/>
          <w:sz w:val="24"/>
          <w:szCs w:val="24"/>
          <w:lang w:val="bg-BG" w:eastAsia="bg-BG"/>
        </w:rPr>
        <w:t xml:space="preserve"> </w:t>
      </w:r>
      <w:r w:rsidRPr="00610B1B">
        <w:rPr>
          <w:rFonts w:ascii="Times New Roman" w:eastAsia="Times New Roman" w:hAnsi="Times New Roman" w:cs="Times New Roman"/>
          <w:sz w:val="24"/>
          <w:szCs w:val="24"/>
          <w:lang w:val="bg-BG" w:eastAsia="bg-BG"/>
        </w:rPr>
        <w:t>друга възможна транспортна връзка на Пристанище Варна с района на Добруджа и с Р. Румъния през ГКПП „Йовково”.</w:t>
      </w:r>
    </w:p>
    <w:p w14:paraId="018B023E" w14:textId="4B0E3AE4" w:rsidR="00410372" w:rsidRPr="00610B1B" w:rsidRDefault="00410372" w:rsidP="00B46189">
      <w:pPr>
        <w:numPr>
          <w:ilvl w:val="0"/>
          <w:numId w:val="4"/>
        </w:numPr>
        <w:autoSpaceDE w:val="0"/>
        <w:autoSpaceDN w:val="0"/>
        <w:adjustRightInd w:val="0"/>
        <w:spacing w:after="120"/>
        <w:ind w:left="714" w:right="-153" w:hanging="357"/>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i/>
          <w:sz w:val="24"/>
          <w:szCs w:val="24"/>
          <w:lang w:val="bg-BG" w:eastAsia="bg-BG"/>
        </w:rPr>
        <w:lastRenderedPageBreak/>
        <w:t>Третокласният път ІІІ-2008</w:t>
      </w:r>
      <w:r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iCs/>
          <w:sz w:val="24"/>
          <w:szCs w:val="24"/>
          <w:lang w:val="bg-BG" w:eastAsia="bg-BG"/>
        </w:rPr>
        <w:t>(Девня – Варна) – кв. Повеляново</w:t>
      </w:r>
      <w:r w:rsidR="00375B2C" w:rsidRPr="00610B1B">
        <w:rPr>
          <w:rFonts w:ascii="Times New Roman" w:eastAsia="Times New Roman" w:hAnsi="Times New Roman" w:cs="Times New Roman"/>
          <w:iCs/>
          <w:sz w:val="24"/>
          <w:szCs w:val="24"/>
          <w:lang w:val="bg-BG" w:eastAsia="bg-BG"/>
        </w:rPr>
        <w:t>-</w:t>
      </w:r>
      <w:r w:rsidRPr="00610B1B">
        <w:rPr>
          <w:rFonts w:ascii="Times New Roman" w:eastAsia="Times New Roman" w:hAnsi="Times New Roman" w:cs="Times New Roman"/>
          <w:iCs/>
          <w:sz w:val="24"/>
          <w:szCs w:val="24"/>
          <w:lang w:val="bg-BG" w:eastAsia="bg-BG"/>
        </w:rPr>
        <w:t>Езерово</w:t>
      </w:r>
      <w:r w:rsidR="00375B2C" w:rsidRPr="00610B1B">
        <w:rPr>
          <w:rFonts w:ascii="Times New Roman" w:eastAsia="Times New Roman" w:hAnsi="Times New Roman" w:cs="Times New Roman"/>
          <w:iCs/>
          <w:sz w:val="24"/>
          <w:szCs w:val="24"/>
          <w:lang w:val="bg-BG" w:eastAsia="bg-BG"/>
        </w:rPr>
        <w:t>-</w:t>
      </w:r>
      <w:r w:rsidRPr="00610B1B">
        <w:rPr>
          <w:rFonts w:ascii="Times New Roman" w:eastAsia="Times New Roman" w:hAnsi="Times New Roman" w:cs="Times New Roman"/>
          <w:iCs/>
          <w:sz w:val="24"/>
          <w:szCs w:val="24"/>
          <w:lang w:val="bg-BG" w:eastAsia="bg-BG"/>
        </w:rPr>
        <w:t>Варна</w:t>
      </w:r>
      <w:r w:rsidRPr="00610B1B">
        <w:rPr>
          <w:rFonts w:ascii="Times New Roman" w:eastAsia="Times New Roman" w:hAnsi="Times New Roman" w:cs="Times New Roman"/>
          <w:sz w:val="24"/>
          <w:szCs w:val="24"/>
          <w:lang w:val="bg-BG" w:eastAsia="bg-BG"/>
        </w:rPr>
        <w:t xml:space="preserve"> обслужва северния бряг на Варненското и Белославско езеро</w:t>
      </w:r>
      <w:r w:rsidR="00375B2C" w:rsidRPr="00610B1B">
        <w:rPr>
          <w:rFonts w:ascii="Times New Roman" w:eastAsia="Times New Roman" w:hAnsi="Times New Roman" w:cs="Times New Roman"/>
          <w:sz w:val="24"/>
          <w:szCs w:val="24"/>
          <w:lang w:val="bg-BG" w:eastAsia="bg-BG"/>
        </w:rPr>
        <w:t>.</w:t>
      </w:r>
    </w:p>
    <w:p w14:paraId="4CE1A38B" w14:textId="4D05D505" w:rsidR="00410372" w:rsidRPr="00610B1B" w:rsidRDefault="00410372" w:rsidP="00B46189">
      <w:pPr>
        <w:numPr>
          <w:ilvl w:val="0"/>
          <w:numId w:val="4"/>
        </w:numPr>
        <w:tabs>
          <w:tab w:val="left" w:pos="1095"/>
        </w:tabs>
        <w:spacing w:after="120"/>
        <w:ind w:left="714" w:right="-153" w:hanging="357"/>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i/>
          <w:sz w:val="24"/>
          <w:szCs w:val="24"/>
          <w:lang w:val="bg-BG" w:eastAsia="bg-BG"/>
        </w:rPr>
        <w:t xml:space="preserve">Третокласният път </w:t>
      </w:r>
      <w:r w:rsidRPr="00610B1B">
        <w:rPr>
          <w:rFonts w:ascii="Times New Roman" w:eastAsia="Times New Roman" w:hAnsi="Times New Roman" w:cs="Times New Roman"/>
          <w:bCs/>
          <w:i/>
          <w:color w:val="222222"/>
          <w:sz w:val="24"/>
          <w:szCs w:val="24"/>
          <w:shd w:val="clear" w:color="auto" w:fill="FFFFFF"/>
          <w:lang w:val="bg-BG" w:eastAsia="bg-BG"/>
        </w:rPr>
        <w:t>IIІ-9004</w:t>
      </w:r>
      <w:r w:rsidRPr="00610B1B">
        <w:rPr>
          <w:rFonts w:ascii="Times New Roman" w:eastAsia="Arial Unicode MS" w:hAnsi="Times New Roman" w:cs="Times New Roman"/>
          <w:color w:val="222222"/>
          <w:sz w:val="21"/>
          <w:szCs w:val="21"/>
          <w:lang w:val="bg-BG" w:eastAsia="bg-BG"/>
        </w:rPr>
        <w:t> </w:t>
      </w:r>
      <w:r w:rsidRPr="00610B1B">
        <w:rPr>
          <w:rFonts w:ascii="Times New Roman" w:eastAsia="Times New Roman" w:hAnsi="Times New Roman" w:cs="Times New Roman"/>
          <w:iCs/>
          <w:sz w:val="24"/>
          <w:szCs w:val="24"/>
          <w:lang w:val="bg-BG" w:eastAsia="bg-BG"/>
        </w:rPr>
        <w:t>Варна - Белослав-Разделна-Падина-Житница- (Провадия - Дългопол)</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w:t>
      </w:r>
      <w:r w:rsidR="000C67F0" w:rsidRPr="00610B1B">
        <w:rPr>
          <w:rFonts w:ascii="Times New Roman" w:eastAsia="Times New Roman" w:hAnsi="Times New Roman" w:cs="Times New Roman"/>
          <w:sz w:val="24"/>
          <w:szCs w:val="24"/>
          <w:lang w:val="bg-BG" w:eastAsia="bg-BG"/>
        </w:rPr>
        <w:t xml:space="preserve"> </w:t>
      </w:r>
      <w:r w:rsidR="00375B2C" w:rsidRPr="00610B1B">
        <w:rPr>
          <w:rFonts w:ascii="Times New Roman" w:eastAsia="Times New Roman" w:hAnsi="Times New Roman" w:cs="Times New Roman"/>
          <w:sz w:val="24"/>
          <w:szCs w:val="24"/>
          <w:lang w:val="bg-BG" w:eastAsia="bg-BG"/>
        </w:rPr>
        <w:t xml:space="preserve">обслужва </w:t>
      </w:r>
      <w:r w:rsidRPr="00610B1B">
        <w:rPr>
          <w:rFonts w:ascii="Times New Roman" w:eastAsia="Times New Roman" w:hAnsi="Times New Roman" w:cs="Times New Roman"/>
          <w:sz w:val="24"/>
          <w:szCs w:val="24"/>
          <w:lang w:val="bg-BG" w:eastAsia="bg-BG"/>
        </w:rPr>
        <w:t>южния бряг на двете езера.</w:t>
      </w:r>
    </w:p>
    <w:p w14:paraId="1EFF2A3A" w14:textId="43CE7F1F" w:rsidR="00115C8D" w:rsidRPr="00610B1B" w:rsidRDefault="00410372" w:rsidP="00D32D6A">
      <w:pPr>
        <w:tabs>
          <w:tab w:val="left" w:pos="1095"/>
        </w:tabs>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Населените места по крайбрежие</w:t>
      </w:r>
      <w:r w:rsidR="00115C8D" w:rsidRPr="00610B1B">
        <w:rPr>
          <w:rFonts w:ascii="Times New Roman" w:eastAsia="Times New Roman" w:hAnsi="Times New Roman" w:cs="Times New Roman"/>
          <w:sz w:val="24"/>
          <w:szCs w:val="24"/>
          <w:lang w:val="bg-BG" w:eastAsia="bg-BG"/>
        </w:rPr>
        <w:t>то</w:t>
      </w:r>
      <w:r w:rsidRPr="00610B1B">
        <w:rPr>
          <w:rFonts w:ascii="Times New Roman" w:eastAsia="Times New Roman" w:hAnsi="Times New Roman" w:cs="Times New Roman"/>
          <w:sz w:val="24"/>
          <w:szCs w:val="24"/>
          <w:lang w:val="bg-BG" w:eastAsia="bg-BG"/>
        </w:rPr>
        <w:t xml:space="preserve"> се обслужват от участъци на общинската пътна</w:t>
      </w:r>
      <w:r w:rsidR="00115C8D"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мрежа.</w:t>
      </w:r>
    </w:p>
    <w:p w14:paraId="63EF9E6D" w14:textId="77777777" w:rsidR="008E37F5" w:rsidRPr="00610B1B" w:rsidRDefault="008E37F5" w:rsidP="00D32D6A">
      <w:pPr>
        <w:tabs>
          <w:tab w:val="left" w:pos="1095"/>
        </w:tabs>
        <w:spacing w:after="120"/>
        <w:ind w:right="-153"/>
        <w:jc w:val="both"/>
        <w:rPr>
          <w:rFonts w:ascii="Times New Roman" w:eastAsia="Times New Roman" w:hAnsi="Times New Roman" w:cs="Times New Roman"/>
          <w:sz w:val="24"/>
          <w:szCs w:val="24"/>
          <w:lang w:val="bg-BG" w:eastAsia="bg-BG"/>
        </w:rPr>
      </w:pPr>
    </w:p>
    <w:p w14:paraId="5D4253B9" w14:textId="64647B2F" w:rsidR="00AE1E21" w:rsidRPr="00610B1B" w:rsidRDefault="00115C8D" w:rsidP="00D32D6A">
      <w:pPr>
        <w:pStyle w:val="Heading2"/>
        <w:spacing w:before="0" w:line="276" w:lineRule="auto"/>
        <w:ind w:right="-153"/>
        <w:rPr>
          <w:rFonts w:cs="Times New Roman"/>
          <w:i/>
          <w:sz w:val="24"/>
          <w:szCs w:val="24"/>
        </w:rPr>
      </w:pPr>
      <w:bookmarkStart w:id="348" w:name="_Toc83391376"/>
      <w:r w:rsidRPr="00610B1B">
        <w:rPr>
          <w:rFonts w:cs="Times New Roman"/>
        </w:rPr>
        <w:t>3</w:t>
      </w:r>
      <w:r w:rsidR="00966356" w:rsidRPr="00610B1B">
        <w:rPr>
          <w:rFonts w:cs="Times New Roman"/>
        </w:rPr>
        <w:t>.</w:t>
      </w:r>
      <w:r w:rsidR="00BF0D18" w:rsidRPr="00610B1B">
        <w:rPr>
          <w:rFonts w:cs="Times New Roman"/>
        </w:rPr>
        <w:t>2</w:t>
      </w:r>
      <w:r w:rsidR="00966356" w:rsidRPr="00610B1B">
        <w:rPr>
          <w:rFonts w:cs="Times New Roman"/>
        </w:rPr>
        <w:t xml:space="preserve">. </w:t>
      </w:r>
      <w:r w:rsidR="00AE1E21" w:rsidRPr="00610B1B">
        <w:rPr>
          <w:rFonts w:cs="Times New Roman"/>
        </w:rPr>
        <w:t>Рибарство и аквакултури</w:t>
      </w:r>
      <w:bookmarkEnd w:id="348"/>
      <w:r w:rsidR="007815F4" w:rsidRPr="00610B1B">
        <w:rPr>
          <w:rFonts w:cs="Times New Roman"/>
        </w:rPr>
        <w:t xml:space="preserve"> </w:t>
      </w:r>
    </w:p>
    <w:p w14:paraId="7A55EFF2" w14:textId="03CEE5E0" w:rsidR="00115C8D" w:rsidRPr="00610B1B" w:rsidRDefault="002F1337" w:rsidP="00D32D6A">
      <w:pPr>
        <w:spacing w:after="120"/>
        <w:ind w:right="-153"/>
        <w:jc w:val="both"/>
        <w:rPr>
          <w:rFonts w:ascii="Times New Roman" w:hAnsi="Times New Roman" w:cs="Times New Roman"/>
          <w:color w:val="000000"/>
          <w:shd w:val="clear" w:color="auto" w:fill="FFFFFF"/>
          <w:lang w:val="bg-BG"/>
        </w:rPr>
      </w:pPr>
      <w:r w:rsidRPr="00610B1B">
        <w:rPr>
          <w:rFonts w:ascii="Times New Roman" w:eastAsia="Calibri" w:hAnsi="Times New Roman" w:cs="Times New Roman"/>
          <w:sz w:val="24"/>
          <w:szCs w:val="24"/>
          <w:lang w:val="bg-BG"/>
        </w:rPr>
        <w:t xml:space="preserve">Министерство на земеделието, храните и горите осъществява провеждането на държавна политика в областта на рибарството и аквакултурите и прилагането на Общата политика в областта на рибарството и Общата организация на пазарите на </w:t>
      </w:r>
      <w:r w:rsidR="00E04172" w:rsidRPr="00610B1B">
        <w:rPr>
          <w:rFonts w:ascii="Times New Roman" w:eastAsia="Calibri" w:hAnsi="Times New Roman" w:cs="Times New Roman"/>
          <w:sz w:val="24"/>
          <w:szCs w:val="24"/>
          <w:lang w:val="bg-BG"/>
        </w:rPr>
        <w:t>продукти</w:t>
      </w:r>
      <w:r w:rsidRPr="00610B1B">
        <w:rPr>
          <w:rFonts w:ascii="Times New Roman" w:eastAsia="Calibri" w:hAnsi="Times New Roman" w:cs="Times New Roman"/>
          <w:sz w:val="24"/>
          <w:szCs w:val="24"/>
          <w:lang w:val="bg-BG"/>
        </w:rPr>
        <w:t xml:space="preserve"> от риболов и аквакултури. </w:t>
      </w:r>
      <w:r w:rsidR="00115C8D" w:rsidRPr="00610B1B">
        <w:rPr>
          <w:rFonts w:ascii="Times New Roman" w:eastAsia="Calibri" w:hAnsi="Times New Roman" w:cs="Times New Roman"/>
          <w:sz w:val="24"/>
          <w:szCs w:val="24"/>
          <w:lang w:val="bg-BG"/>
        </w:rPr>
        <w:t xml:space="preserve">Изпълнителна агенция по рибарство и аквакултури </w:t>
      </w:r>
      <w:r w:rsidR="00115C8D" w:rsidRPr="00610B1B">
        <w:rPr>
          <w:rFonts w:ascii="Times New Roman" w:hAnsi="Times New Roman" w:cs="Times New Roman"/>
          <w:sz w:val="24"/>
          <w:szCs w:val="24"/>
          <w:shd w:val="clear" w:color="auto" w:fill="FFFFFF"/>
          <w:lang w:val="bg-BG"/>
        </w:rPr>
        <w:t>(ИАРА), със седалище в град Бургас, упражнява контрол по прилагането на Закона за рибарството и аквакултурите и</w:t>
      </w:r>
      <w:r w:rsidR="00D66FE0" w:rsidRPr="00610B1B">
        <w:rPr>
          <w:rFonts w:ascii="Times New Roman" w:hAnsi="Times New Roman" w:cs="Times New Roman"/>
          <w:sz w:val="24"/>
          <w:szCs w:val="24"/>
          <w:shd w:val="clear" w:color="auto" w:fill="FFFFFF"/>
          <w:lang w:val="bg-BG"/>
        </w:rPr>
        <w:t xml:space="preserve"> </w:t>
      </w:r>
      <w:r w:rsidR="00115C8D" w:rsidRPr="00610B1B">
        <w:rPr>
          <w:rFonts w:ascii="Times New Roman" w:hAnsi="Times New Roman" w:cs="Times New Roman"/>
          <w:sz w:val="24"/>
          <w:szCs w:val="24"/>
          <w:shd w:val="clear" w:color="auto" w:fill="FFFFFF"/>
          <w:lang w:val="bg-BG"/>
        </w:rPr>
        <w:t>осъществява дейностите, свързани с прилагането на Общата политика в областта на рибарството</w:t>
      </w:r>
      <w:r w:rsidR="00D66FE0" w:rsidRPr="00610B1B">
        <w:rPr>
          <w:rFonts w:ascii="Times New Roman" w:hAnsi="Times New Roman" w:cs="Times New Roman"/>
          <w:sz w:val="24"/>
          <w:szCs w:val="24"/>
          <w:shd w:val="clear" w:color="auto" w:fill="FFFFFF"/>
          <w:lang w:val="bg-BG"/>
        </w:rPr>
        <w:t xml:space="preserve"> </w:t>
      </w:r>
      <w:r w:rsidR="00115C8D" w:rsidRPr="00610B1B">
        <w:rPr>
          <w:rFonts w:ascii="Times New Roman" w:hAnsi="Times New Roman" w:cs="Times New Roman"/>
          <w:sz w:val="24"/>
          <w:szCs w:val="24"/>
          <w:shd w:val="clear" w:color="auto" w:fill="FFFFFF"/>
          <w:lang w:val="bg-BG"/>
        </w:rPr>
        <w:t xml:space="preserve">на Европейския </w:t>
      </w:r>
      <w:r w:rsidR="00115C8D" w:rsidRPr="00610B1B">
        <w:rPr>
          <w:rFonts w:ascii="Times New Roman" w:hAnsi="Times New Roman" w:cs="Times New Roman"/>
          <w:color w:val="000000"/>
          <w:sz w:val="24"/>
          <w:szCs w:val="24"/>
          <w:shd w:val="clear" w:color="auto" w:fill="FFFFFF"/>
          <w:lang w:val="bg-BG"/>
        </w:rPr>
        <w:t xml:space="preserve">съюз (ЕС). </w:t>
      </w:r>
      <w:r w:rsidR="00115C8D" w:rsidRPr="00610B1B">
        <w:rPr>
          <w:rFonts w:ascii="Times New Roman" w:hAnsi="Times New Roman" w:cs="Times New Roman"/>
          <w:sz w:val="24"/>
          <w:szCs w:val="24"/>
          <w:lang w:val="bg-BG"/>
        </w:rPr>
        <w:t xml:space="preserve">Общата политика в </w:t>
      </w:r>
      <w:r w:rsidR="006011C0" w:rsidRPr="00610B1B">
        <w:rPr>
          <w:rFonts w:ascii="Times New Roman" w:hAnsi="Times New Roman" w:cs="Times New Roman"/>
          <w:sz w:val="24"/>
          <w:szCs w:val="24"/>
          <w:lang w:val="bg-BG"/>
        </w:rPr>
        <w:t>областта</w:t>
      </w:r>
      <w:r w:rsidR="00115C8D" w:rsidRPr="00610B1B">
        <w:rPr>
          <w:rFonts w:ascii="Times New Roman" w:hAnsi="Times New Roman" w:cs="Times New Roman"/>
          <w:sz w:val="24"/>
          <w:szCs w:val="24"/>
          <w:lang w:val="bg-BG"/>
        </w:rPr>
        <w:t xml:space="preserve"> на рибарството</w:t>
      </w:r>
      <w:r w:rsidR="00D66FE0" w:rsidRPr="00610B1B">
        <w:rPr>
          <w:rFonts w:ascii="Times New Roman" w:hAnsi="Times New Roman" w:cs="Times New Roman"/>
          <w:sz w:val="24"/>
          <w:szCs w:val="24"/>
          <w:lang w:val="bg-BG"/>
        </w:rPr>
        <w:t xml:space="preserve"> </w:t>
      </w:r>
      <w:r w:rsidR="00115C8D" w:rsidRPr="00610B1B">
        <w:rPr>
          <w:rFonts w:ascii="Times New Roman" w:hAnsi="Times New Roman" w:cs="Times New Roman"/>
          <w:sz w:val="24"/>
          <w:szCs w:val="24"/>
          <w:lang w:val="bg-BG"/>
        </w:rPr>
        <w:t>е набор от правила за управление на европейските риболовни флотове и опазване на рибните запаси. Чрез нея се управлява общ ресурс, като се осигурява равен достъп на европейските риболовни флотове до водите и риболовните зони на ЕС и се дава възможност на рибарите да се конкурират лоялно. Макар, че рибните запаси са възобновяеми, част от тях</w:t>
      </w:r>
      <w:r w:rsidR="00D66FE0" w:rsidRPr="00610B1B">
        <w:rPr>
          <w:rFonts w:ascii="Times New Roman" w:hAnsi="Times New Roman" w:cs="Times New Roman"/>
          <w:sz w:val="24"/>
          <w:szCs w:val="24"/>
          <w:lang w:val="bg-BG"/>
        </w:rPr>
        <w:t xml:space="preserve"> </w:t>
      </w:r>
      <w:r w:rsidR="00115C8D" w:rsidRPr="00610B1B">
        <w:rPr>
          <w:rFonts w:ascii="Times New Roman" w:hAnsi="Times New Roman" w:cs="Times New Roman"/>
          <w:sz w:val="24"/>
          <w:szCs w:val="24"/>
          <w:lang w:val="bg-BG"/>
        </w:rPr>
        <w:t>могат да бъдат изчерпани. Поради това страните от ЕС предприе</w:t>
      </w:r>
      <w:r w:rsidR="00D039AE" w:rsidRPr="00610B1B">
        <w:rPr>
          <w:rFonts w:ascii="Times New Roman" w:hAnsi="Times New Roman" w:cs="Times New Roman"/>
          <w:sz w:val="24"/>
          <w:szCs w:val="24"/>
          <w:lang w:val="bg-BG"/>
        </w:rPr>
        <w:t>мат</w:t>
      </w:r>
      <w:r w:rsidR="00115C8D" w:rsidRPr="00610B1B">
        <w:rPr>
          <w:rFonts w:ascii="Times New Roman" w:hAnsi="Times New Roman" w:cs="Times New Roman"/>
          <w:sz w:val="24"/>
          <w:szCs w:val="24"/>
          <w:lang w:val="bg-BG"/>
        </w:rPr>
        <w:t xml:space="preserve"> мерки, с които да гарантират, че европейската риболовна промишленост е устойчива и не застрашава размера и възпроизводството на рибните популации в дългосрочен план</w:t>
      </w:r>
      <w:r w:rsidR="00D039AE" w:rsidRPr="00610B1B">
        <w:rPr>
          <w:rFonts w:ascii="Times New Roman" w:hAnsi="Times New Roman" w:cs="Times New Roman"/>
          <w:sz w:val="24"/>
          <w:szCs w:val="24"/>
          <w:lang w:val="bg-BG"/>
        </w:rPr>
        <w:t>. П</w:t>
      </w:r>
      <w:r w:rsidR="00115C8D" w:rsidRPr="00610B1B">
        <w:rPr>
          <w:rFonts w:ascii="Times New Roman" w:hAnsi="Times New Roman" w:cs="Times New Roman"/>
          <w:sz w:val="24"/>
          <w:szCs w:val="24"/>
          <w:lang w:val="bg-BG"/>
        </w:rPr>
        <w:t xml:space="preserve">оследните актуални промени в Общата политика в областта на рибарството </w:t>
      </w:r>
      <w:r w:rsidR="00D039AE" w:rsidRPr="00610B1B">
        <w:rPr>
          <w:rFonts w:ascii="Times New Roman" w:hAnsi="Times New Roman" w:cs="Times New Roman"/>
          <w:sz w:val="24"/>
          <w:szCs w:val="24"/>
          <w:lang w:val="bg-BG"/>
        </w:rPr>
        <w:t>са</w:t>
      </w:r>
      <w:r w:rsidR="00115C8D" w:rsidRPr="00610B1B">
        <w:rPr>
          <w:rFonts w:ascii="Times New Roman" w:hAnsi="Times New Roman" w:cs="Times New Roman"/>
          <w:sz w:val="24"/>
          <w:szCs w:val="24"/>
          <w:lang w:val="bg-BG"/>
        </w:rPr>
        <w:t xml:space="preserve"> в сила </w:t>
      </w:r>
      <w:r w:rsidR="00D039AE" w:rsidRPr="00610B1B">
        <w:rPr>
          <w:rFonts w:ascii="Times New Roman" w:hAnsi="Times New Roman" w:cs="Times New Roman"/>
          <w:sz w:val="24"/>
          <w:szCs w:val="24"/>
          <w:lang w:val="bg-BG"/>
        </w:rPr>
        <w:t>от</w:t>
      </w:r>
      <w:r w:rsidR="00D66FE0" w:rsidRPr="00610B1B">
        <w:rPr>
          <w:rFonts w:ascii="Times New Roman" w:hAnsi="Times New Roman" w:cs="Times New Roman"/>
          <w:sz w:val="24"/>
          <w:szCs w:val="24"/>
          <w:lang w:val="bg-BG"/>
        </w:rPr>
        <w:t xml:space="preserve"> </w:t>
      </w:r>
      <w:r w:rsidR="00115C8D" w:rsidRPr="00610B1B">
        <w:rPr>
          <w:rFonts w:ascii="Times New Roman" w:hAnsi="Times New Roman" w:cs="Times New Roman"/>
          <w:sz w:val="24"/>
          <w:szCs w:val="24"/>
          <w:lang w:val="bg-BG"/>
        </w:rPr>
        <w:t xml:space="preserve">2014 г. </w:t>
      </w:r>
      <w:r w:rsidR="00D039AE" w:rsidRPr="00610B1B">
        <w:rPr>
          <w:rFonts w:ascii="Times New Roman" w:hAnsi="Times New Roman" w:cs="Times New Roman"/>
          <w:sz w:val="24"/>
          <w:szCs w:val="24"/>
          <w:lang w:val="bg-BG"/>
        </w:rPr>
        <w:t xml:space="preserve">(Регламент </w:t>
      </w:r>
      <w:r w:rsidR="00115C8D" w:rsidRPr="00610B1B">
        <w:rPr>
          <w:rFonts w:ascii="Times New Roman" w:hAnsi="Times New Roman" w:cs="Times New Roman"/>
          <w:sz w:val="24"/>
          <w:szCs w:val="24"/>
          <w:lang w:val="bg-BG"/>
        </w:rPr>
        <w:t xml:space="preserve">(ЕС) № 1380/2013 на </w:t>
      </w:r>
      <w:r w:rsidR="00D039AE" w:rsidRPr="00610B1B">
        <w:rPr>
          <w:rFonts w:ascii="Times New Roman" w:hAnsi="Times New Roman" w:cs="Times New Roman"/>
          <w:sz w:val="24"/>
          <w:szCs w:val="24"/>
          <w:lang w:val="bg-BG"/>
        </w:rPr>
        <w:t xml:space="preserve">Европейския парламент и на Съвета </w:t>
      </w:r>
      <w:r w:rsidR="00115C8D" w:rsidRPr="00610B1B">
        <w:rPr>
          <w:rFonts w:ascii="Times New Roman" w:hAnsi="Times New Roman" w:cs="Times New Roman"/>
          <w:sz w:val="24"/>
          <w:szCs w:val="24"/>
          <w:lang w:val="bg-BG"/>
        </w:rPr>
        <w:t>от 11 декември 2013 г.</w:t>
      </w:r>
      <w:r w:rsidR="00D039AE" w:rsidRPr="00610B1B">
        <w:rPr>
          <w:rFonts w:ascii="Times New Roman" w:hAnsi="Times New Roman" w:cs="Times New Roman"/>
          <w:sz w:val="24"/>
          <w:szCs w:val="24"/>
          <w:lang w:val="bg-BG"/>
        </w:rPr>
        <w:t>)</w:t>
      </w:r>
      <w:r w:rsidR="009907CE" w:rsidRPr="00D72982">
        <w:rPr>
          <w:rFonts w:ascii="Times New Roman" w:hAnsi="Times New Roman" w:cs="Times New Roman"/>
          <w:sz w:val="24"/>
          <w:szCs w:val="24"/>
          <w:lang w:val="bg-BG"/>
        </w:rPr>
        <w:t>.</w:t>
      </w:r>
      <w:r w:rsidR="00115C8D" w:rsidRPr="00610B1B">
        <w:rPr>
          <w:rFonts w:ascii="Times New Roman" w:hAnsi="Times New Roman" w:cs="Times New Roman"/>
          <w:color w:val="000000"/>
          <w:shd w:val="clear" w:color="auto" w:fill="FFFFFF"/>
          <w:lang w:val="bg-BG"/>
        </w:rPr>
        <w:t xml:space="preserve"> </w:t>
      </w:r>
    </w:p>
    <w:p w14:paraId="68921D02" w14:textId="77777777" w:rsidR="009907CE" w:rsidRPr="00610B1B" w:rsidRDefault="009907CE" w:rsidP="00D32D6A">
      <w:pPr>
        <w:spacing w:after="120"/>
        <w:ind w:right="-153"/>
        <w:jc w:val="both"/>
        <w:rPr>
          <w:rFonts w:ascii="Times New Roman" w:hAnsi="Times New Roman" w:cs="Times New Roman"/>
          <w:color w:val="000000"/>
          <w:shd w:val="clear" w:color="auto" w:fill="FFFFFF"/>
          <w:lang w:val="bg-BG"/>
        </w:rPr>
      </w:pPr>
    </w:p>
    <w:p w14:paraId="422F55D5" w14:textId="6009307E" w:rsidR="00D039AE" w:rsidRPr="00610B1B" w:rsidRDefault="00D039AE" w:rsidP="00D32D6A">
      <w:pPr>
        <w:pStyle w:val="Heading3"/>
        <w:spacing w:before="0" w:line="276" w:lineRule="auto"/>
        <w:ind w:right="-153"/>
        <w:rPr>
          <w:rFonts w:cs="Times New Roman"/>
        </w:rPr>
      </w:pPr>
      <w:bookmarkStart w:id="349" w:name="_Toc83391377"/>
      <w:r w:rsidRPr="00610B1B">
        <w:rPr>
          <w:rFonts w:cs="Times New Roman"/>
        </w:rPr>
        <w:t>3.2.</w:t>
      </w:r>
      <w:r w:rsidR="00FA2174" w:rsidRPr="00610B1B">
        <w:rPr>
          <w:rFonts w:cs="Times New Roman"/>
        </w:rPr>
        <w:t>1</w:t>
      </w:r>
      <w:r w:rsidRPr="00610B1B">
        <w:rPr>
          <w:rFonts w:cs="Times New Roman"/>
        </w:rPr>
        <w:t>. Сектор Рибарство</w:t>
      </w:r>
      <w:bookmarkEnd w:id="349"/>
    </w:p>
    <w:p w14:paraId="1D0BBF70" w14:textId="495950A9" w:rsidR="00115C8D" w:rsidRPr="00610B1B" w:rsidRDefault="00115C8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Сектор рибарство е съставен от 4 направления разделени на любителски риболов, стопански риболов, аквакултурни стопанства и рибопреработка. За да се направи оценка на значимостта на всяко едно направление се използва скала от три нива (високо, средно и ниско)* на база експертна оценка, отчитаща индикатори на дейностите</w:t>
      </w:r>
      <w:r w:rsidR="00511CA6"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свързани със сектора като социален (високи нива на заетост), икономически (стабилни икономически показатели), екологичен (ниско въздействие върху околна среда), биологичен (натиск върху ресурса) и технически (прекомерна експлоатация). Всеки един от тези индикатори е пряко зависим от начина на експлоатация на биологичния и природен ресурс.</w:t>
      </w:r>
    </w:p>
    <w:p w14:paraId="4BE02826" w14:textId="6490B861" w:rsidR="00115C8D" w:rsidRPr="00610B1B" w:rsidRDefault="00FA2174" w:rsidP="00D32D6A">
      <w:pPr>
        <w:pStyle w:val="Heading4"/>
        <w:spacing w:before="0" w:line="276" w:lineRule="auto"/>
        <w:ind w:right="-153"/>
        <w:rPr>
          <w:rFonts w:cs="Times New Roman"/>
        </w:rPr>
      </w:pPr>
      <w:r w:rsidRPr="00610B1B">
        <w:rPr>
          <w:rFonts w:cs="Times New Roman"/>
        </w:rPr>
        <w:t>3.2.1</w:t>
      </w:r>
      <w:r w:rsidR="00D039AE" w:rsidRPr="00610B1B">
        <w:rPr>
          <w:rFonts w:cs="Times New Roman"/>
        </w:rPr>
        <w:t xml:space="preserve">.1. </w:t>
      </w:r>
      <w:r w:rsidR="00115C8D" w:rsidRPr="00610B1B">
        <w:rPr>
          <w:rFonts w:cs="Times New Roman"/>
        </w:rPr>
        <w:t>Л</w:t>
      </w:r>
      <w:r w:rsidR="00D039AE" w:rsidRPr="00610B1B">
        <w:rPr>
          <w:rFonts w:cs="Times New Roman"/>
        </w:rPr>
        <w:t>юбителски риболов</w:t>
      </w:r>
    </w:p>
    <w:p w14:paraId="654DE338" w14:textId="09FC71F4" w:rsidR="00115C8D" w:rsidRPr="00610B1B" w:rsidRDefault="00115C8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Любителският риболов се дефинира като риболов на водни животни (главно риба), който </w:t>
      </w:r>
      <w:r w:rsidR="002F1337" w:rsidRPr="00610B1B">
        <w:rPr>
          <w:rFonts w:ascii="Times New Roman" w:hAnsi="Times New Roman" w:cs="Times New Roman"/>
          <w:sz w:val="24"/>
          <w:szCs w:val="24"/>
          <w:lang w:val="bg-BG"/>
        </w:rPr>
        <w:t xml:space="preserve">Любителският риболов </w:t>
      </w:r>
      <w:r w:rsidR="002F1337" w:rsidRPr="00610B1B">
        <w:rPr>
          <w:rFonts w:ascii="Times New Roman" w:eastAsia="Calibri" w:hAnsi="Times New Roman" w:cs="Times New Roman"/>
          <w:sz w:val="24"/>
          <w:szCs w:val="24"/>
          <w:lang w:val="bg-BG"/>
        </w:rPr>
        <w:t>е дейност, при която се извършва улов на риба и други водни организми от физически лица за развлечение или със спортно- състезателен характер, организиран по определени за това правила</w:t>
      </w:r>
      <w:r w:rsidR="002F1337" w:rsidRPr="00610B1B">
        <w:rPr>
          <w:rFonts w:ascii="Times New Roman" w:hAnsi="Times New Roman" w:cs="Times New Roman"/>
          <w:sz w:val="24"/>
          <w:szCs w:val="24"/>
          <w:lang w:val="bg-BG"/>
        </w:rPr>
        <w:t xml:space="preserve"> с. Любителски риболов се извършва в</w:t>
      </w:r>
      <w:r w:rsidR="008753B6" w:rsidRPr="00610B1B">
        <w:rPr>
          <w:rFonts w:ascii="Times New Roman" w:hAnsi="Times New Roman" w:cs="Times New Roman"/>
          <w:sz w:val="24"/>
          <w:szCs w:val="24"/>
          <w:lang w:val="bg-BG"/>
        </w:rPr>
        <w:t xml:space="preserve"> </w:t>
      </w:r>
      <w:r w:rsidR="002F1337" w:rsidRPr="00610B1B">
        <w:rPr>
          <w:rFonts w:ascii="Times New Roman" w:hAnsi="Times New Roman" w:cs="Times New Roman"/>
          <w:sz w:val="24"/>
          <w:szCs w:val="24"/>
          <w:lang w:val="bg-BG"/>
        </w:rPr>
        <w:t xml:space="preserve">Черно </w:t>
      </w:r>
      <w:r w:rsidR="002F1337" w:rsidRPr="00610B1B">
        <w:rPr>
          <w:rFonts w:ascii="Times New Roman" w:hAnsi="Times New Roman" w:cs="Times New Roman"/>
          <w:sz w:val="24"/>
          <w:szCs w:val="24"/>
          <w:lang w:val="bg-BG"/>
        </w:rPr>
        <w:lastRenderedPageBreak/>
        <w:t xml:space="preserve">море са вътрешните морски води, териториалното море и изключителната икономическа зона, а също и крайморските езера и блата, вливащите се в Черно море реки. </w:t>
      </w:r>
      <w:r w:rsidRPr="00610B1B">
        <w:rPr>
          <w:rFonts w:ascii="Times New Roman" w:hAnsi="Times New Roman" w:cs="Times New Roman"/>
          <w:sz w:val="24"/>
          <w:szCs w:val="24"/>
          <w:lang w:val="bg-BG"/>
        </w:rPr>
        <w:t>Лицата, упражняващи любителски риболов, са ограничени да използват не повече от 3 броя въдици (пръчки) за риболов, с монтирани на тях до две куки (единични или двойни) в Черно море</w:t>
      </w:r>
      <w:r w:rsidR="009F21A7"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като може да се постави чепаре на една от въдиците. Това ограничение определя нивото на техническия индикатор като ниско. От видовото разнообразие в Черно море, разрешени за любителски риболов са всички</w:t>
      </w:r>
      <w:r w:rsidR="00D039AE" w:rsidRPr="00610B1B">
        <w:rPr>
          <w:rFonts w:ascii="Times New Roman" w:hAnsi="Times New Roman" w:cs="Times New Roman"/>
          <w:sz w:val="24"/>
          <w:szCs w:val="24"/>
          <w:lang w:val="bg-BG"/>
        </w:rPr>
        <w:t xml:space="preserve"> видове риби</w:t>
      </w:r>
      <w:r w:rsidRPr="00610B1B">
        <w:rPr>
          <w:rFonts w:ascii="Times New Roman" w:hAnsi="Times New Roman" w:cs="Times New Roman"/>
          <w:sz w:val="24"/>
          <w:szCs w:val="24"/>
          <w:lang w:val="bg-BG"/>
        </w:rPr>
        <w:t>, с изключение на тези, които са обект на квота цаца European sprat (</w:t>
      </w:r>
      <w:r w:rsidRPr="00610B1B">
        <w:rPr>
          <w:rFonts w:ascii="Times New Roman" w:hAnsi="Times New Roman" w:cs="Times New Roman"/>
          <w:i/>
          <w:sz w:val="24"/>
          <w:szCs w:val="24"/>
          <w:lang w:val="bg-BG"/>
        </w:rPr>
        <w:t>Sprattus sulinus</w:t>
      </w:r>
      <w:r w:rsidRPr="00610B1B">
        <w:rPr>
          <w:rFonts w:ascii="Times New Roman" w:hAnsi="Times New Roman" w:cs="Times New Roman"/>
          <w:sz w:val="24"/>
          <w:szCs w:val="24"/>
          <w:lang w:val="bg-BG"/>
        </w:rPr>
        <w:t>) и калкан (</w:t>
      </w:r>
      <w:r w:rsidRPr="00610B1B">
        <w:rPr>
          <w:rFonts w:ascii="Times New Roman" w:hAnsi="Times New Roman" w:cs="Times New Roman"/>
          <w:bCs/>
          <w:i/>
          <w:iCs/>
          <w:sz w:val="24"/>
          <w:szCs w:val="24"/>
          <w:lang w:val="bg-BG"/>
        </w:rPr>
        <w:t>Scophthalums</w:t>
      </w:r>
      <w:r w:rsidRPr="00610B1B">
        <w:rPr>
          <w:rFonts w:ascii="Times New Roman" w:eastAsia="Times New Roman" w:hAnsi="Times New Roman" w:cs="Times New Roman"/>
          <w:sz w:val="24"/>
          <w:szCs w:val="24"/>
          <w:lang w:val="bg-BG" w:eastAsia="bg-BG"/>
        </w:rPr>
        <w:t xml:space="preserve"> </w:t>
      </w:r>
      <w:r w:rsidRPr="00610B1B">
        <w:rPr>
          <w:rFonts w:ascii="Times New Roman" w:hAnsi="Times New Roman" w:cs="Times New Roman"/>
          <w:bCs/>
          <w:i/>
          <w:iCs/>
          <w:sz w:val="24"/>
          <w:szCs w:val="24"/>
          <w:lang w:val="bg-BG"/>
        </w:rPr>
        <w:t>maximus</w:t>
      </w:r>
      <w:r w:rsidRPr="00610B1B">
        <w:rPr>
          <w:rFonts w:ascii="Times New Roman" w:hAnsi="Times New Roman" w:cs="Times New Roman"/>
          <w:b/>
          <w:bCs/>
          <w:i/>
          <w:iCs/>
          <w:sz w:val="24"/>
          <w:szCs w:val="24"/>
          <w:lang w:val="bg-BG"/>
        </w:rPr>
        <w:t>)</w:t>
      </w:r>
      <w:r w:rsidRPr="00610B1B">
        <w:rPr>
          <w:rFonts w:ascii="Times New Roman" w:hAnsi="Times New Roman" w:cs="Times New Roman"/>
          <w:sz w:val="24"/>
          <w:szCs w:val="24"/>
          <w:lang w:val="bg-BG"/>
        </w:rPr>
        <w:t>). По данни на ИАРА съотношение на издадените билети за любителски риболов във вътрешността на Република България с този на черноморския регион за период</w:t>
      </w:r>
      <w:r w:rsidR="009F21A7" w:rsidRPr="00610B1B">
        <w:rPr>
          <w:rFonts w:ascii="Times New Roman" w:hAnsi="Times New Roman" w:cs="Times New Roman"/>
          <w:sz w:val="24"/>
          <w:szCs w:val="24"/>
          <w:lang w:val="bg-BG"/>
        </w:rPr>
        <w:t>а</w:t>
      </w:r>
      <w:r w:rsidRPr="00610B1B">
        <w:rPr>
          <w:rFonts w:ascii="Times New Roman" w:hAnsi="Times New Roman" w:cs="Times New Roman"/>
          <w:sz w:val="24"/>
          <w:szCs w:val="24"/>
          <w:lang w:val="bg-BG"/>
        </w:rPr>
        <w:t xml:space="preserve"> 2016-201</w:t>
      </w:r>
      <w:r w:rsidR="00DC4656" w:rsidRPr="00610B1B">
        <w:rPr>
          <w:rFonts w:ascii="Times New Roman" w:hAnsi="Times New Roman" w:cs="Times New Roman"/>
          <w:sz w:val="24"/>
          <w:szCs w:val="24"/>
          <w:lang w:val="bg-BG"/>
        </w:rPr>
        <w:t>9</w:t>
      </w:r>
      <w:r w:rsidRPr="00610B1B">
        <w:rPr>
          <w:rFonts w:ascii="Times New Roman" w:hAnsi="Times New Roman" w:cs="Times New Roman"/>
          <w:sz w:val="24"/>
          <w:szCs w:val="24"/>
          <w:lang w:val="bg-BG"/>
        </w:rPr>
        <w:t xml:space="preserve"> г.</w:t>
      </w:r>
      <w:r w:rsidR="009F21A7" w:rsidRPr="00610B1B">
        <w:rPr>
          <w:rFonts w:ascii="Times New Roman" w:hAnsi="Times New Roman" w:cs="Times New Roman"/>
          <w:sz w:val="24"/>
          <w:szCs w:val="24"/>
          <w:lang w:val="bg-BG"/>
        </w:rPr>
        <w:t xml:space="preserve"> се запазва</w:t>
      </w:r>
      <w:r w:rsidRPr="00610B1B">
        <w:rPr>
          <w:rFonts w:ascii="Times New Roman" w:hAnsi="Times New Roman" w:cs="Times New Roman"/>
          <w:sz w:val="24"/>
          <w:szCs w:val="24"/>
          <w:lang w:val="bg-BG"/>
        </w:rPr>
        <w:t xml:space="preserve"> и през трите години</w:t>
      </w:r>
      <w:r w:rsidR="009F21A7"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като в Черноморския регион издадените разрешения са едва 6% от общия брой за страната. </w:t>
      </w:r>
      <w:r w:rsidR="009F21A7" w:rsidRPr="00610B1B">
        <w:rPr>
          <w:rFonts w:ascii="Times New Roman" w:hAnsi="Times New Roman" w:cs="Times New Roman"/>
          <w:sz w:val="24"/>
          <w:szCs w:val="24"/>
          <w:lang w:val="bg-BG"/>
        </w:rPr>
        <w:t xml:space="preserve">Те нарастват леко от 13 436 бр. през 2016 г. на </w:t>
      </w:r>
      <w:r w:rsidR="00DC4656" w:rsidRPr="00610B1B">
        <w:rPr>
          <w:rFonts w:ascii="Times New Roman" w:hAnsi="Times New Roman" w:cs="Times New Roman"/>
          <w:sz w:val="24"/>
          <w:szCs w:val="24"/>
          <w:lang w:val="bg-BG"/>
        </w:rPr>
        <w:t>19 397 бр. през 2019 г</w:t>
      </w:r>
      <w:r w:rsidR="009F21A7"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Това се дължи главно на изключението в чл. 23, ал. 1 от Закона за рибарството и </w:t>
      </w:r>
      <w:r w:rsidR="006011C0" w:rsidRPr="00610B1B">
        <w:rPr>
          <w:rFonts w:ascii="Times New Roman" w:hAnsi="Times New Roman" w:cs="Times New Roman"/>
          <w:sz w:val="24"/>
          <w:szCs w:val="24"/>
          <w:lang w:val="bg-BG"/>
        </w:rPr>
        <w:t>аквакултурите</w:t>
      </w:r>
      <w:r w:rsidRPr="00610B1B">
        <w:rPr>
          <w:rStyle w:val="FootnoteReference"/>
          <w:rFonts w:ascii="Times New Roman" w:hAnsi="Times New Roman" w:cs="Times New Roman"/>
          <w:szCs w:val="24"/>
          <w:lang w:val="bg-BG"/>
        </w:rPr>
        <w:footnoteReference w:id="116"/>
      </w:r>
      <w:r w:rsidRPr="00610B1B">
        <w:rPr>
          <w:rFonts w:ascii="Times New Roman" w:hAnsi="Times New Roman" w:cs="Times New Roman"/>
          <w:sz w:val="24"/>
          <w:szCs w:val="24"/>
          <w:lang w:val="bg-BG"/>
        </w:rPr>
        <w:t xml:space="preserve">, където се посочва, че във водите на Черно море не се изисква риболовен билет. Отчитайки тази особеност може да се направи заключение, че броят на лицата, упражняващи любителски риболов, е значително по-голям, което поставя социалния индикатор на високо равнище. Това от своя страна представлява висок риск за биологичното разнообразие на рибния ресурс. Широкоразпространената практика уловената риба да се връща обратно във водата би могло да доведе до увеличаване на заболеваемостта и смъртността сред някои видове. Също така възможността за задържане на трофейни екземпляри (с тегло и размери по-големи от минимално допустимите) води до изместване в структурата на популацията както и до унищожаване на местообитанията и следователно нивата на риск при екологичния и биологичен индикатори е високо. Прилагането на практики за съвместно управление </w:t>
      </w:r>
      <w:r w:rsidR="00D039AE" w:rsidRPr="00610B1B">
        <w:rPr>
          <w:rFonts w:ascii="Times New Roman" w:hAnsi="Times New Roman" w:cs="Times New Roman"/>
          <w:sz w:val="24"/>
          <w:szCs w:val="24"/>
          <w:lang w:val="bg-BG"/>
        </w:rPr>
        <w:t xml:space="preserve">от </w:t>
      </w:r>
      <w:r w:rsidRPr="00610B1B">
        <w:rPr>
          <w:rFonts w:ascii="Times New Roman" w:hAnsi="Times New Roman" w:cs="Times New Roman"/>
          <w:sz w:val="24"/>
          <w:szCs w:val="24"/>
          <w:lang w:val="bg-BG"/>
        </w:rPr>
        <w:t xml:space="preserve">правителствени и неправителствени организации може да балансира социалните и икономическите ползи и целите за опазване. Технологичният и методологическият напредък подобряват способността за мониторинг на биологичната, социалната и икономическата динамика на любителския риболов, които са в основата на способността за максимизиране на ползите за любителския риболов чрез действия на ефективно управление. </w:t>
      </w:r>
    </w:p>
    <w:p w14:paraId="7812B841" w14:textId="4C49333A" w:rsidR="00115C8D" w:rsidRPr="00610B1B" w:rsidRDefault="00B62269" w:rsidP="00D32D6A">
      <w:pPr>
        <w:tabs>
          <w:tab w:val="left" w:pos="1035"/>
        </w:tabs>
        <w:spacing w:after="120"/>
        <w:ind w:right="-153"/>
        <w:rPr>
          <w:rFonts w:ascii="Times New Roman" w:hAnsi="Times New Roman" w:cs="Times New Roman"/>
          <w:sz w:val="24"/>
          <w:szCs w:val="24"/>
          <w:lang w:val="bg-BG"/>
        </w:rPr>
      </w:pPr>
      <w:bookmarkStart w:id="350" w:name="_Toc83391477"/>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14</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115C8D" w:rsidRPr="00610B1B">
        <w:rPr>
          <w:rFonts w:ascii="Times New Roman" w:hAnsi="Times New Roman" w:cs="Times New Roman"/>
          <w:sz w:val="24"/>
          <w:szCs w:val="24"/>
          <w:lang w:val="bg-BG"/>
        </w:rPr>
        <w:t>Оценка на любителския риболов в българската акватория на Черно море по предложените индикатори</w:t>
      </w:r>
      <w:bookmarkEnd w:id="350"/>
    </w:p>
    <w:tbl>
      <w:tblPr>
        <w:tblW w:w="792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64"/>
        <w:gridCol w:w="1286"/>
        <w:gridCol w:w="1846"/>
        <w:gridCol w:w="1517"/>
        <w:gridCol w:w="1516"/>
        <w:gridCol w:w="1505"/>
      </w:tblGrid>
      <w:tr w:rsidR="00115C8D" w:rsidRPr="00610B1B" w14:paraId="45229F1B" w14:textId="77777777" w:rsidTr="001E3FED">
        <w:trPr>
          <w:trHeight w:val="315"/>
          <w:jc w:val="center"/>
        </w:trPr>
        <w:tc>
          <w:tcPr>
            <w:tcW w:w="250" w:type="dxa"/>
            <w:shd w:val="clear" w:color="auto" w:fill="auto"/>
            <w:noWrap/>
            <w:vAlign w:val="bottom"/>
            <w:hideMark/>
          </w:tcPr>
          <w:p w14:paraId="013383E9" w14:textId="77777777" w:rsidR="00115C8D" w:rsidRPr="00610B1B" w:rsidRDefault="00115C8D" w:rsidP="00D32D6A">
            <w:pPr>
              <w:spacing w:after="0" w:line="240" w:lineRule="auto"/>
              <w:jc w:val="both"/>
              <w:rPr>
                <w:rFonts w:ascii="Times New Roman" w:eastAsia="Times New Roman" w:hAnsi="Times New Roman" w:cs="Times New Roman"/>
                <w:color w:val="000000"/>
                <w:sz w:val="24"/>
                <w:szCs w:val="24"/>
                <w:lang w:val="bg-BG"/>
              </w:rPr>
            </w:pPr>
            <w:r w:rsidRPr="00610B1B">
              <w:rPr>
                <w:rFonts w:ascii="Times New Roman" w:eastAsia="Times New Roman" w:hAnsi="Times New Roman" w:cs="Times New Roman"/>
                <w:color w:val="000000"/>
                <w:sz w:val="24"/>
                <w:szCs w:val="24"/>
                <w:lang w:val="bg-BG"/>
              </w:rPr>
              <w:t> </w:t>
            </w:r>
          </w:p>
        </w:tc>
        <w:tc>
          <w:tcPr>
            <w:tcW w:w="7670" w:type="dxa"/>
            <w:gridSpan w:val="5"/>
            <w:shd w:val="clear" w:color="auto" w:fill="auto"/>
            <w:noWrap/>
            <w:vAlign w:val="center"/>
            <w:hideMark/>
          </w:tcPr>
          <w:p w14:paraId="30584382" w14:textId="77777777" w:rsidR="00115C8D" w:rsidRPr="00610B1B" w:rsidRDefault="00115C8D" w:rsidP="00D32D6A">
            <w:pPr>
              <w:spacing w:after="0" w:line="240" w:lineRule="auto"/>
              <w:jc w:val="center"/>
              <w:rPr>
                <w:rFonts w:ascii="Times New Roman" w:eastAsia="Times New Roman" w:hAnsi="Times New Roman" w:cs="Times New Roman"/>
                <w:b/>
                <w:bCs/>
                <w:i/>
                <w:iCs/>
                <w:color w:val="000000"/>
                <w:sz w:val="24"/>
                <w:szCs w:val="24"/>
                <w:lang w:val="bg-BG"/>
              </w:rPr>
            </w:pPr>
            <w:r w:rsidRPr="00610B1B">
              <w:rPr>
                <w:rFonts w:ascii="Times New Roman" w:eastAsia="Times New Roman" w:hAnsi="Times New Roman" w:cs="Times New Roman"/>
                <w:b/>
                <w:bCs/>
                <w:i/>
                <w:iCs/>
                <w:color w:val="000000"/>
                <w:sz w:val="24"/>
                <w:szCs w:val="24"/>
                <w:lang w:val="bg-BG"/>
              </w:rPr>
              <w:t>Индикатори</w:t>
            </w:r>
          </w:p>
        </w:tc>
      </w:tr>
      <w:tr w:rsidR="00115C8D" w:rsidRPr="00610B1B" w14:paraId="31EE0744" w14:textId="77777777" w:rsidTr="001E3FED">
        <w:trPr>
          <w:trHeight w:val="330"/>
          <w:jc w:val="center"/>
        </w:trPr>
        <w:tc>
          <w:tcPr>
            <w:tcW w:w="250" w:type="dxa"/>
            <w:vMerge w:val="restart"/>
            <w:shd w:val="clear" w:color="auto" w:fill="auto"/>
            <w:noWrap/>
            <w:vAlign w:val="center"/>
            <w:hideMark/>
          </w:tcPr>
          <w:p w14:paraId="5C3E9BB9" w14:textId="77777777" w:rsidR="00115C8D" w:rsidRPr="00610B1B" w:rsidRDefault="00115C8D" w:rsidP="00D32D6A">
            <w:pPr>
              <w:spacing w:after="0" w:line="240" w:lineRule="auto"/>
              <w:jc w:val="both"/>
              <w:rPr>
                <w:rFonts w:ascii="Times New Roman" w:eastAsia="Times New Roman" w:hAnsi="Times New Roman" w:cs="Times New Roman"/>
                <w:b/>
                <w:bCs/>
                <w:i/>
                <w:iCs/>
                <w:color w:val="000000"/>
                <w:sz w:val="24"/>
                <w:szCs w:val="24"/>
                <w:lang w:val="bg-BG"/>
              </w:rPr>
            </w:pPr>
            <w:r w:rsidRPr="00610B1B">
              <w:rPr>
                <w:rFonts w:ascii="Times New Roman" w:eastAsia="Times New Roman" w:hAnsi="Times New Roman" w:cs="Times New Roman"/>
                <w:b/>
                <w:bCs/>
                <w:i/>
                <w:iCs/>
                <w:color w:val="000000"/>
                <w:sz w:val="24"/>
                <w:szCs w:val="24"/>
                <w:lang w:val="bg-BG"/>
              </w:rPr>
              <w:t>Ниво</w:t>
            </w:r>
          </w:p>
        </w:tc>
        <w:tc>
          <w:tcPr>
            <w:tcW w:w="1286" w:type="dxa"/>
            <w:shd w:val="clear" w:color="auto" w:fill="auto"/>
            <w:noWrap/>
            <w:vAlign w:val="center"/>
            <w:hideMark/>
          </w:tcPr>
          <w:p w14:paraId="68E8E052"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Социален</w:t>
            </w:r>
          </w:p>
        </w:tc>
        <w:tc>
          <w:tcPr>
            <w:tcW w:w="1846" w:type="dxa"/>
            <w:shd w:val="clear" w:color="auto" w:fill="auto"/>
            <w:noWrap/>
            <w:vAlign w:val="center"/>
            <w:hideMark/>
          </w:tcPr>
          <w:p w14:paraId="48F29B01"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Икономически</w:t>
            </w:r>
          </w:p>
        </w:tc>
        <w:tc>
          <w:tcPr>
            <w:tcW w:w="1517" w:type="dxa"/>
            <w:shd w:val="clear" w:color="auto" w:fill="auto"/>
            <w:noWrap/>
            <w:vAlign w:val="center"/>
            <w:hideMark/>
          </w:tcPr>
          <w:p w14:paraId="1E3160D0"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 xml:space="preserve">Екологичен </w:t>
            </w:r>
          </w:p>
        </w:tc>
        <w:tc>
          <w:tcPr>
            <w:tcW w:w="1516" w:type="dxa"/>
            <w:shd w:val="clear" w:color="auto" w:fill="auto"/>
            <w:noWrap/>
            <w:vAlign w:val="center"/>
            <w:hideMark/>
          </w:tcPr>
          <w:p w14:paraId="675BD12B"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Биологичен</w:t>
            </w:r>
          </w:p>
        </w:tc>
        <w:tc>
          <w:tcPr>
            <w:tcW w:w="1505" w:type="dxa"/>
            <w:shd w:val="clear" w:color="auto" w:fill="auto"/>
            <w:noWrap/>
            <w:vAlign w:val="center"/>
            <w:hideMark/>
          </w:tcPr>
          <w:p w14:paraId="48745502"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Технически</w:t>
            </w:r>
          </w:p>
        </w:tc>
      </w:tr>
      <w:tr w:rsidR="00115C8D" w:rsidRPr="00610B1B" w14:paraId="3C0DD79C" w14:textId="77777777" w:rsidTr="001E3FED">
        <w:trPr>
          <w:trHeight w:val="330"/>
          <w:jc w:val="center"/>
        </w:trPr>
        <w:tc>
          <w:tcPr>
            <w:tcW w:w="250" w:type="dxa"/>
            <w:vMerge/>
            <w:vAlign w:val="center"/>
            <w:hideMark/>
          </w:tcPr>
          <w:p w14:paraId="139997DE" w14:textId="77777777" w:rsidR="00115C8D" w:rsidRPr="00610B1B" w:rsidRDefault="00115C8D" w:rsidP="00D32D6A">
            <w:pPr>
              <w:spacing w:after="0" w:line="240" w:lineRule="auto"/>
              <w:jc w:val="both"/>
              <w:rPr>
                <w:rFonts w:ascii="Times New Roman" w:eastAsia="Times New Roman" w:hAnsi="Times New Roman" w:cs="Times New Roman"/>
                <w:b/>
                <w:bCs/>
                <w:i/>
                <w:iCs/>
                <w:color w:val="000000"/>
                <w:sz w:val="24"/>
                <w:szCs w:val="24"/>
                <w:lang w:val="bg-BG"/>
              </w:rPr>
            </w:pPr>
          </w:p>
        </w:tc>
        <w:tc>
          <w:tcPr>
            <w:tcW w:w="1286" w:type="dxa"/>
            <w:shd w:val="clear" w:color="000000" w:fill="92D050"/>
            <w:noWrap/>
            <w:vAlign w:val="center"/>
            <w:hideMark/>
          </w:tcPr>
          <w:p w14:paraId="0663E32A"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Високо</w:t>
            </w:r>
          </w:p>
        </w:tc>
        <w:tc>
          <w:tcPr>
            <w:tcW w:w="1846" w:type="dxa"/>
            <w:shd w:val="clear" w:color="000000" w:fill="FFFFFF"/>
            <w:noWrap/>
            <w:vAlign w:val="center"/>
            <w:hideMark/>
          </w:tcPr>
          <w:p w14:paraId="410E689F"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w:t>
            </w:r>
          </w:p>
        </w:tc>
        <w:tc>
          <w:tcPr>
            <w:tcW w:w="1517" w:type="dxa"/>
            <w:shd w:val="clear" w:color="000000" w:fill="FF0000"/>
            <w:noWrap/>
            <w:vAlign w:val="center"/>
            <w:hideMark/>
          </w:tcPr>
          <w:p w14:paraId="60D07599"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Високо</w:t>
            </w:r>
          </w:p>
        </w:tc>
        <w:tc>
          <w:tcPr>
            <w:tcW w:w="1516" w:type="dxa"/>
            <w:shd w:val="clear" w:color="000000" w:fill="FF0000"/>
            <w:noWrap/>
            <w:vAlign w:val="center"/>
            <w:hideMark/>
          </w:tcPr>
          <w:p w14:paraId="383C669E"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Високо</w:t>
            </w:r>
          </w:p>
        </w:tc>
        <w:tc>
          <w:tcPr>
            <w:tcW w:w="1505" w:type="dxa"/>
            <w:shd w:val="clear" w:color="000000" w:fill="92D050"/>
            <w:noWrap/>
            <w:vAlign w:val="center"/>
            <w:hideMark/>
          </w:tcPr>
          <w:p w14:paraId="003994CB"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Ниско</w:t>
            </w:r>
          </w:p>
        </w:tc>
      </w:tr>
    </w:tbl>
    <w:p w14:paraId="7A15476C" w14:textId="505E65B0" w:rsidR="00115C8D" w:rsidRPr="00610B1B" w:rsidRDefault="00115C8D" w:rsidP="00BC44C1">
      <w:pPr>
        <w:tabs>
          <w:tab w:val="left" w:pos="1035"/>
        </w:tabs>
        <w:spacing w:before="60" w:after="120"/>
        <w:ind w:right="-153"/>
        <w:jc w:val="both"/>
        <w:rPr>
          <w:rFonts w:ascii="Times New Roman" w:hAnsi="Times New Roman" w:cs="Times New Roman"/>
          <w:lang w:val="bg-BG"/>
        </w:rPr>
      </w:pPr>
      <w:r w:rsidRPr="00610B1B">
        <w:rPr>
          <w:rFonts w:ascii="Times New Roman" w:hAnsi="Times New Roman" w:cs="Times New Roman"/>
          <w:lang w:val="bg-BG"/>
        </w:rPr>
        <w:t>Източник: ИАРА</w:t>
      </w:r>
    </w:p>
    <w:p w14:paraId="1D61FAF7" w14:textId="5CF526F0" w:rsidR="00115C8D" w:rsidRPr="00610B1B" w:rsidRDefault="00FA2174" w:rsidP="00EC097D">
      <w:pPr>
        <w:pStyle w:val="Heading4"/>
        <w:spacing w:before="0" w:line="276" w:lineRule="auto"/>
        <w:ind w:right="-153"/>
        <w:rPr>
          <w:rFonts w:cs="Times New Roman"/>
        </w:rPr>
      </w:pPr>
      <w:r w:rsidRPr="00610B1B">
        <w:rPr>
          <w:rFonts w:cs="Times New Roman"/>
        </w:rPr>
        <w:t>3.2.1</w:t>
      </w:r>
      <w:r w:rsidR="004444FD" w:rsidRPr="00610B1B">
        <w:rPr>
          <w:rFonts w:cs="Times New Roman"/>
        </w:rPr>
        <w:t xml:space="preserve">.2. </w:t>
      </w:r>
      <w:r w:rsidR="00115C8D" w:rsidRPr="00610B1B">
        <w:rPr>
          <w:rFonts w:cs="Times New Roman"/>
        </w:rPr>
        <w:t>Стопански риболов</w:t>
      </w:r>
    </w:p>
    <w:p w14:paraId="52E58B9A" w14:textId="0A93FAE8" w:rsidR="00115C8D" w:rsidRPr="00610B1B" w:rsidRDefault="00115C8D" w:rsidP="00D32D6A">
      <w:pPr>
        <w:tabs>
          <w:tab w:val="left" w:pos="1035"/>
        </w:tabs>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Стопанският риболов е дейност за улов на риба и други морски организми (естествен природен ресурс) с цел осъществяване на търговска печалба. По-голямата част от хората, работещи в направление стопански риболов, са самонаети, като част или цялото им възнаграждение зависи от постъпленията след продажбата на уловената риба.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lastRenderedPageBreak/>
        <w:t>Риболовният флот (съвкупност от всички плавателни съдове</w:t>
      </w:r>
      <w:r w:rsidR="009F21A7"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извършващи риболовна дейност след издаване на риболовен лиценз) на Република България оперира само в Черно Море и по-точно в териториални води (до 12 морски мили). </w:t>
      </w:r>
    </w:p>
    <w:p w14:paraId="042B2E5A" w14:textId="72043421" w:rsidR="00DC4656" w:rsidRPr="00610B1B" w:rsidRDefault="00DC4656" w:rsidP="00D32D6A">
      <w:pPr>
        <w:tabs>
          <w:tab w:val="left" w:pos="1035"/>
        </w:tabs>
        <w:spacing w:after="12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Към 31.12.2019 г. българският риболовен флот се състои от 1 841 кораба, опериращи само в Черно Море, с общ капацитет 6 027,43 GT и 53 590,17 kW. </w:t>
      </w:r>
    </w:p>
    <w:p w14:paraId="66376028" w14:textId="13CA62D5" w:rsidR="00115C8D" w:rsidRPr="00610B1B" w:rsidRDefault="00B62269" w:rsidP="00D32D6A">
      <w:pPr>
        <w:tabs>
          <w:tab w:val="left" w:pos="1035"/>
        </w:tabs>
        <w:spacing w:after="120"/>
        <w:ind w:right="-153"/>
        <w:jc w:val="both"/>
        <w:rPr>
          <w:rFonts w:ascii="Times New Roman" w:hAnsi="Times New Roman" w:cs="Times New Roman"/>
          <w:sz w:val="24"/>
          <w:szCs w:val="24"/>
          <w:lang w:val="bg-BG"/>
        </w:rPr>
      </w:pPr>
      <w:bookmarkStart w:id="351" w:name="_Toc83391478"/>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15</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115C8D" w:rsidRPr="00610B1B">
        <w:rPr>
          <w:rFonts w:ascii="Times New Roman" w:hAnsi="Times New Roman" w:cs="Times New Roman"/>
          <w:sz w:val="24"/>
          <w:szCs w:val="24"/>
          <w:lang w:val="bg-BG"/>
        </w:rPr>
        <w:t>Численост на риболовния флот за периода 2012-201</w:t>
      </w:r>
      <w:r w:rsidR="00DC4656" w:rsidRPr="00610B1B">
        <w:rPr>
          <w:rFonts w:ascii="Times New Roman" w:hAnsi="Times New Roman" w:cs="Times New Roman"/>
          <w:sz w:val="24"/>
          <w:szCs w:val="24"/>
          <w:lang w:val="bg-BG"/>
        </w:rPr>
        <w:t>9</w:t>
      </w:r>
      <w:r w:rsidR="00115C8D" w:rsidRPr="00610B1B">
        <w:rPr>
          <w:rFonts w:ascii="Times New Roman" w:hAnsi="Times New Roman" w:cs="Times New Roman"/>
          <w:sz w:val="24"/>
          <w:szCs w:val="24"/>
          <w:lang w:val="bg-BG"/>
        </w:rPr>
        <w:t xml:space="preserve"> г.</w:t>
      </w:r>
      <w:bookmarkEnd w:id="351"/>
    </w:p>
    <w:p w14:paraId="5BC9F8A8" w14:textId="32984217" w:rsidR="00773225" w:rsidRPr="00610B1B" w:rsidRDefault="0004160B" w:rsidP="00D32D6A">
      <w:pPr>
        <w:tabs>
          <w:tab w:val="left" w:pos="1035"/>
        </w:tabs>
        <w:spacing w:after="120"/>
        <w:ind w:right="-153"/>
        <w:jc w:val="both"/>
        <w:rPr>
          <w:rFonts w:ascii="Times New Roman" w:hAnsi="Times New Roman" w:cs="Times New Roman"/>
          <w:sz w:val="24"/>
          <w:szCs w:val="24"/>
          <w:lang w:val="bg-BG"/>
        </w:rPr>
      </w:pPr>
      <w:r w:rsidRPr="00610B1B">
        <w:rPr>
          <w:rFonts w:ascii="Times New Roman" w:hAnsi="Times New Roman" w:cs="Times New Roman"/>
          <w:noProof/>
          <w:szCs w:val="24"/>
          <w:lang w:val="bg-BG" w:eastAsia="bg-BG"/>
        </w:rPr>
        <w:drawing>
          <wp:inline distT="0" distB="0" distL="0" distR="0" wp14:anchorId="162C484C" wp14:editId="3BDE3A37">
            <wp:extent cx="3633537" cy="217982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3132" cy="2185576"/>
                    </a:xfrm>
                    <a:prstGeom prst="rect">
                      <a:avLst/>
                    </a:prstGeom>
                    <a:noFill/>
                  </pic:spPr>
                </pic:pic>
              </a:graphicData>
            </a:graphic>
          </wp:inline>
        </w:drawing>
      </w:r>
    </w:p>
    <w:p w14:paraId="023550FA" w14:textId="02A6C562" w:rsidR="00115C8D" w:rsidRPr="00610B1B" w:rsidRDefault="00115C8D" w:rsidP="00D32D6A">
      <w:pPr>
        <w:spacing w:after="120"/>
        <w:ind w:right="-153"/>
        <w:rPr>
          <w:rFonts w:ascii="Times New Roman" w:hAnsi="Times New Roman" w:cs="Times New Roman"/>
          <w:lang w:val="bg-BG"/>
        </w:rPr>
      </w:pPr>
      <w:r w:rsidRPr="00610B1B">
        <w:rPr>
          <w:rFonts w:ascii="Times New Roman" w:hAnsi="Times New Roman" w:cs="Times New Roman"/>
          <w:bCs/>
          <w:lang w:val="bg-BG"/>
        </w:rPr>
        <w:t xml:space="preserve">Източник: ИАРА </w:t>
      </w:r>
    </w:p>
    <w:p w14:paraId="5FA6428E" w14:textId="77777777" w:rsidR="00744F8C" w:rsidRPr="00610B1B" w:rsidRDefault="00744F8C" w:rsidP="00D32D6A">
      <w:pPr>
        <w:tabs>
          <w:tab w:val="left" w:pos="1035"/>
        </w:tabs>
        <w:spacing w:after="12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През годините числеността на риболовния флот намалява, като това се дължи на редица фактори:</w:t>
      </w:r>
    </w:p>
    <w:p w14:paraId="08541CED" w14:textId="77777777" w:rsidR="00744F8C" w:rsidRPr="00610B1B" w:rsidRDefault="00744F8C" w:rsidP="00B46189">
      <w:pPr>
        <w:pStyle w:val="ListParagraph"/>
        <w:numPr>
          <w:ilvl w:val="0"/>
          <w:numId w:val="2"/>
        </w:numPr>
        <w:tabs>
          <w:tab w:val="left" w:pos="1035"/>
        </w:tabs>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високата средна възраст (над 23 години) на плавателните съдове;</w:t>
      </w:r>
    </w:p>
    <w:p w14:paraId="1DE673AF" w14:textId="77777777" w:rsidR="00744F8C" w:rsidRPr="00610B1B" w:rsidRDefault="00744F8C" w:rsidP="00B46189">
      <w:pPr>
        <w:pStyle w:val="ListParagraph"/>
        <w:numPr>
          <w:ilvl w:val="0"/>
          <w:numId w:val="2"/>
        </w:numPr>
        <w:tabs>
          <w:tab w:val="left" w:pos="1035"/>
        </w:tabs>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бързата амортизация на риболовните кораби, дължащо се на излагането им на агресивното влияние на околна среда; </w:t>
      </w:r>
    </w:p>
    <w:p w14:paraId="2CF0D445" w14:textId="77777777" w:rsidR="00744F8C" w:rsidRPr="00610B1B" w:rsidRDefault="00744F8C" w:rsidP="00B46189">
      <w:pPr>
        <w:pStyle w:val="ListParagraph"/>
        <w:numPr>
          <w:ilvl w:val="0"/>
          <w:numId w:val="2"/>
        </w:numPr>
        <w:tabs>
          <w:tab w:val="left" w:pos="1035"/>
        </w:tabs>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висока средна възраст на заетите в направление стопански риболов като същевременно липсва приемственост на поколенията;</w:t>
      </w:r>
    </w:p>
    <w:p w14:paraId="2E0C30C9" w14:textId="77777777" w:rsidR="00744F8C" w:rsidRPr="00610B1B" w:rsidRDefault="00744F8C" w:rsidP="00B46189">
      <w:pPr>
        <w:pStyle w:val="ListParagraph"/>
        <w:numPr>
          <w:ilvl w:val="0"/>
          <w:numId w:val="2"/>
        </w:numPr>
        <w:tabs>
          <w:tab w:val="left" w:pos="1035"/>
        </w:tabs>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недостатъчна възвращаемост на инвестициите за покриване на текущите разходи;</w:t>
      </w:r>
    </w:p>
    <w:p w14:paraId="24B86111" w14:textId="77777777" w:rsidR="00744F8C" w:rsidRPr="00610B1B" w:rsidRDefault="00744F8C" w:rsidP="00B46189">
      <w:pPr>
        <w:pStyle w:val="ListParagraph"/>
        <w:numPr>
          <w:ilvl w:val="0"/>
          <w:numId w:val="2"/>
        </w:numPr>
        <w:tabs>
          <w:tab w:val="left" w:pos="1035"/>
        </w:tabs>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мерките за постоянно прекратяване на риболовната дейност. </w:t>
      </w:r>
    </w:p>
    <w:p w14:paraId="50709F0B" w14:textId="3C2FCD09" w:rsidR="00744F8C" w:rsidRPr="00610B1B" w:rsidRDefault="00744F8C" w:rsidP="00D32D6A">
      <w:pPr>
        <w:tabs>
          <w:tab w:val="left" w:pos="1035"/>
        </w:tabs>
        <w:spacing w:after="12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 прилагането на мерките за постоянно прекратяване на риболовните дейности, по Програмата за морско дело и рибарство се цели да се намали натиска, оказан върху рибния ресурс и адаптиране на риболовния флот чрез редуциране</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на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технически свръхкапацитет. По данни на ИАРА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до</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декември 2019 г. скрапираните риболовни кораби по програмата са 103 бр. с общ риболовен капацитет изразен в GT 1 594,77 (- 20,71 %) и 7 550,82 kW (-12,51%.).</w:t>
      </w:r>
      <w:r w:rsidR="00D66FE0" w:rsidRPr="00610B1B">
        <w:rPr>
          <w:rFonts w:ascii="Times New Roman" w:hAnsi="Times New Roman" w:cs="Times New Roman"/>
          <w:sz w:val="24"/>
          <w:szCs w:val="24"/>
          <w:lang w:val="bg-BG"/>
        </w:rPr>
        <w:t xml:space="preserve"> </w:t>
      </w:r>
    </w:p>
    <w:p w14:paraId="42F0FF65" w14:textId="33556BD0" w:rsidR="00DC4656" w:rsidRPr="00610B1B" w:rsidRDefault="00115C8D" w:rsidP="00D32D6A">
      <w:pPr>
        <w:shd w:val="clear" w:color="auto" w:fill="FEFEFE"/>
        <w:spacing w:after="120"/>
        <w:ind w:right="-153"/>
        <w:jc w:val="both"/>
        <w:rPr>
          <w:rFonts w:ascii="Times New Roman" w:eastAsia="Times New Roman" w:hAnsi="Times New Roman" w:cs="Times New Roman"/>
          <w:color w:val="000000"/>
          <w:sz w:val="24"/>
          <w:szCs w:val="24"/>
          <w:lang w:val="bg-BG" w:eastAsia="bg-BG"/>
        </w:rPr>
      </w:pPr>
      <w:r w:rsidRPr="00610B1B">
        <w:rPr>
          <w:rFonts w:ascii="Times New Roman" w:hAnsi="Times New Roman" w:cs="Times New Roman"/>
          <w:sz w:val="24"/>
          <w:szCs w:val="24"/>
          <w:lang w:val="bg-BG"/>
        </w:rPr>
        <w:t>Риболовната техника, използвана в стопанския риболов</w:t>
      </w:r>
      <w:r w:rsidR="004444FD" w:rsidRPr="00610B1B">
        <w:rPr>
          <w:rFonts w:ascii="Times New Roman" w:hAnsi="Times New Roman" w:cs="Times New Roman"/>
          <w:sz w:val="24"/>
          <w:szCs w:val="24"/>
          <w:lang w:val="bg-BG"/>
        </w:rPr>
        <w:t xml:space="preserve"> е</w:t>
      </w:r>
      <w:r w:rsidRPr="00610B1B">
        <w:rPr>
          <w:rFonts w:ascii="Times New Roman" w:hAnsi="Times New Roman" w:cs="Times New Roman"/>
          <w:sz w:val="24"/>
          <w:szCs w:val="24"/>
          <w:lang w:val="bg-BG"/>
        </w:rPr>
        <w:t xml:space="preserve"> пасивна и активна. Това разделение се базира на относителното поведение на целевите видове и принципа на действие на риболовните уреди. При пасивни съоръжения, улавянето на рибния ресурс се основава на движението на целевите видове към уредите (напр. капани, даляни), докато при активната техника е целенасоченото им преследване (дънни и пелагични тралове, драги). Пасивните риболовни уреди са най-разпространени сред дребномащабния - </w:t>
      </w:r>
      <w:r w:rsidRPr="00610B1B">
        <w:rPr>
          <w:rFonts w:ascii="Times New Roman" w:hAnsi="Times New Roman" w:cs="Times New Roman"/>
          <w:sz w:val="24"/>
          <w:szCs w:val="24"/>
          <w:lang w:val="bg-BG"/>
        </w:rPr>
        <w:lastRenderedPageBreak/>
        <w:t xml:space="preserve">крайбрежен риболов. Те се разделят на мрежи, капани, куки и въдици. </w:t>
      </w:r>
      <w:r w:rsidR="00DC4656" w:rsidRPr="00610B1B">
        <w:rPr>
          <w:rFonts w:ascii="Times New Roman" w:eastAsia="Times New Roman" w:hAnsi="Times New Roman" w:cs="Times New Roman"/>
          <w:color w:val="000000"/>
          <w:sz w:val="24"/>
          <w:szCs w:val="24"/>
          <w:lang w:val="bg-BG" w:eastAsia="bg-BG"/>
        </w:rPr>
        <w:t xml:space="preserve">По данни на ИАРА към 2019 г. броят на изградените стационарни риболовни уреди – даляни е 62 броя. </w:t>
      </w:r>
    </w:p>
    <w:p w14:paraId="38A12E74" w14:textId="2BDA765E" w:rsidR="00115C8D" w:rsidRPr="00610B1B" w:rsidRDefault="00B62269" w:rsidP="00D32D6A">
      <w:pPr>
        <w:shd w:val="clear" w:color="auto" w:fill="FEFEFE"/>
        <w:spacing w:after="120"/>
        <w:ind w:right="-153"/>
        <w:jc w:val="both"/>
        <w:rPr>
          <w:rFonts w:ascii="Times New Roman" w:hAnsi="Times New Roman" w:cs="Times New Roman"/>
          <w:sz w:val="24"/>
          <w:szCs w:val="24"/>
          <w:lang w:val="bg-BG"/>
        </w:rPr>
      </w:pPr>
      <w:bookmarkStart w:id="352" w:name="_Toc83391479"/>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16</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115C8D" w:rsidRPr="00610B1B">
        <w:rPr>
          <w:rFonts w:ascii="Times New Roman" w:hAnsi="Times New Roman" w:cs="Times New Roman"/>
          <w:sz w:val="24"/>
          <w:szCs w:val="24"/>
          <w:lang w:val="bg-BG"/>
        </w:rPr>
        <w:t>Разтоварен улов в кг. от даляни в периода 2015-201</w:t>
      </w:r>
      <w:r w:rsidR="00DC4656" w:rsidRPr="00610B1B">
        <w:rPr>
          <w:rFonts w:ascii="Times New Roman" w:hAnsi="Times New Roman" w:cs="Times New Roman"/>
          <w:sz w:val="24"/>
          <w:szCs w:val="24"/>
          <w:lang w:val="bg-BG"/>
        </w:rPr>
        <w:t>9</w:t>
      </w:r>
      <w:r w:rsidR="00115C8D" w:rsidRPr="00610B1B">
        <w:rPr>
          <w:rFonts w:ascii="Times New Roman" w:hAnsi="Times New Roman" w:cs="Times New Roman"/>
          <w:sz w:val="24"/>
          <w:szCs w:val="24"/>
          <w:lang w:val="bg-BG"/>
        </w:rPr>
        <w:t xml:space="preserve"> г.</w:t>
      </w:r>
      <w:bookmarkEnd w:id="352"/>
    </w:p>
    <w:p w14:paraId="1A7FF08F" w14:textId="24E7416F" w:rsidR="00115C8D" w:rsidRPr="00610B1B" w:rsidRDefault="0004160B" w:rsidP="00D32D6A">
      <w:pPr>
        <w:shd w:val="clear" w:color="auto" w:fill="FEFEFE"/>
        <w:spacing w:after="120"/>
        <w:ind w:right="-153"/>
        <w:jc w:val="both"/>
        <w:rPr>
          <w:rFonts w:ascii="Times New Roman" w:eastAsia="Times New Roman" w:hAnsi="Times New Roman" w:cs="Times New Roman"/>
          <w:b/>
          <w:color w:val="000000"/>
          <w:sz w:val="24"/>
          <w:szCs w:val="24"/>
          <w:lang w:val="bg-BG" w:eastAsia="bg-BG"/>
        </w:rPr>
      </w:pPr>
      <w:r w:rsidRPr="00610B1B">
        <w:rPr>
          <w:rFonts w:ascii="Times New Roman" w:eastAsia="Times New Roman" w:hAnsi="Times New Roman" w:cs="Times New Roman"/>
          <w:b/>
          <w:noProof/>
          <w:color w:val="000000"/>
          <w:szCs w:val="24"/>
          <w:lang w:val="bg-BG" w:eastAsia="bg-BG"/>
        </w:rPr>
        <w:drawing>
          <wp:inline distT="0" distB="0" distL="0" distR="0" wp14:anchorId="56C60801" wp14:editId="66A42021">
            <wp:extent cx="3925614" cy="2081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6500" cy="2102851"/>
                    </a:xfrm>
                    <a:prstGeom prst="rect">
                      <a:avLst/>
                    </a:prstGeom>
                    <a:noFill/>
                  </pic:spPr>
                </pic:pic>
              </a:graphicData>
            </a:graphic>
          </wp:inline>
        </w:drawing>
      </w:r>
    </w:p>
    <w:p w14:paraId="393C5E50" w14:textId="5B5E6742" w:rsidR="00115C8D" w:rsidRPr="00610B1B" w:rsidRDefault="00115C8D" w:rsidP="00D32D6A">
      <w:pPr>
        <w:shd w:val="clear" w:color="auto" w:fill="FEFEFE"/>
        <w:spacing w:after="120"/>
        <w:ind w:right="-153"/>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Източник: ИАРА</w:t>
      </w:r>
    </w:p>
    <w:p w14:paraId="5BFAFE06" w14:textId="0B300A89" w:rsidR="00115C8D" w:rsidRPr="00610B1B" w:rsidRDefault="00115C8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Активните риболовни уреди са траловете. Те се делят на пелагични и дънни (</w:t>
      </w:r>
      <w:r w:rsidR="00173C7E" w:rsidRPr="00610B1B">
        <w:rPr>
          <w:rFonts w:ascii="Times New Roman" w:hAnsi="Times New Roman" w:cs="Times New Roman"/>
          <w:sz w:val="24"/>
          <w:szCs w:val="24"/>
          <w:lang w:val="bg-BG"/>
        </w:rPr>
        <w:t>бийм трал</w:t>
      </w:r>
      <w:r w:rsidRPr="00610B1B">
        <w:rPr>
          <w:rFonts w:ascii="Times New Roman" w:hAnsi="Times New Roman" w:cs="Times New Roman"/>
          <w:sz w:val="24"/>
          <w:szCs w:val="24"/>
          <w:lang w:val="bg-BG"/>
        </w:rPr>
        <w:t>ове). Риболовът с тралираща техника дава над 65% от общия улов.</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Пелагичните тралове обикновено имат висока селективност на видовете, тъй като се използват за улов на пелагични видове в сходна зрялост, които обикновено се срещат в едновидови агрегации. </w:t>
      </w:r>
      <w:r w:rsidR="00173C7E" w:rsidRPr="00610B1B">
        <w:rPr>
          <w:rFonts w:ascii="Times New Roman" w:hAnsi="Times New Roman" w:cs="Times New Roman"/>
          <w:sz w:val="24"/>
          <w:szCs w:val="24"/>
          <w:lang w:val="bg-BG"/>
        </w:rPr>
        <w:t>Бийм трал</w:t>
      </w:r>
      <w:r w:rsidRPr="00610B1B">
        <w:rPr>
          <w:rFonts w:ascii="Times New Roman" w:hAnsi="Times New Roman" w:cs="Times New Roman"/>
          <w:sz w:val="24"/>
          <w:szCs w:val="24"/>
          <w:lang w:val="bg-BG"/>
        </w:rPr>
        <w:t xml:space="preserve">овете са широко използвани за улавяне на различни видове дънни риби. В идеалния случай определен размер на окото </w:t>
      </w:r>
      <w:r w:rsidR="004444FD" w:rsidRPr="00610B1B">
        <w:rPr>
          <w:rFonts w:ascii="Times New Roman" w:hAnsi="Times New Roman" w:cs="Times New Roman"/>
          <w:sz w:val="24"/>
          <w:szCs w:val="24"/>
          <w:lang w:val="bg-BG"/>
        </w:rPr>
        <w:t xml:space="preserve">на мрежата </w:t>
      </w:r>
      <w:r w:rsidRPr="00610B1B">
        <w:rPr>
          <w:rFonts w:ascii="Times New Roman" w:hAnsi="Times New Roman" w:cs="Times New Roman"/>
          <w:sz w:val="24"/>
          <w:szCs w:val="24"/>
          <w:lang w:val="bg-BG"/>
        </w:rPr>
        <w:t>трябва да позволява освобождаването на всички риби под минимално допустимия размер.</w:t>
      </w:r>
    </w:p>
    <w:p w14:paraId="46F019A6" w14:textId="3EAD78C3" w:rsidR="00115C8D" w:rsidRPr="00610B1B" w:rsidRDefault="00115C8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Биологичният, екологичният и техническият индикатор при стопанския риболов се определят от риболовното усилие, необходимо на един, няколко или група риболовни кораби, изразходвано при улова на целевия вид. От друга страна, използваната риболовна техника оказва допълнително въздействие върху експлоатацията на ресурса. За постигане на пълна и точна картина риболовното усилие се изчислява и за съответната техника, като се умножава използваният риболовен капацитет в бруто тонаж или мощност в kW по брой куки, брой кошове, дължина на мрежите, площ на тралиране. Отчитайки резултатите за последните три години, индикаторите биологичен и технически са на средно равнище. Главна роля за това</w:t>
      </w:r>
      <w:r w:rsidR="00DB1201"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дейността на стопанския риболов да се счита за балансирана, изиграват в голяма степен рестриктивните мерки, заложени в европейското и национално законодателство, засиленият мониторинг и интензивният контрол над целия сектор.</w:t>
      </w:r>
    </w:p>
    <w:p w14:paraId="0414DD9C" w14:textId="5EA6FB45" w:rsidR="00115C8D" w:rsidRPr="00610B1B" w:rsidRDefault="00115C8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Местата за разтоварване на продукти от стопански риболов на територията на Република България са общо 75 на брой (Приложение 1), като десетте от тях с най-голяма използваемост и значимост са Созопол, Несебър, Варна, Каварна, Балчик, Поморие, Север Експорт (Варна), Крапец, Родопа 1 (Варна) и Дуранкулак. Разтоварванията в тези пристанища</w:t>
      </w:r>
      <w:r w:rsidR="00A102FE" w:rsidRPr="00610B1B">
        <w:rPr>
          <w:rFonts w:ascii="Times New Roman" w:hAnsi="Times New Roman" w:cs="Times New Roman"/>
          <w:sz w:val="24"/>
          <w:szCs w:val="24"/>
          <w:lang w:val="bg-BG"/>
        </w:rPr>
        <w:t xml:space="preserve"> и пристанищните терминали</w:t>
      </w:r>
      <w:r w:rsidRPr="00610B1B">
        <w:rPr>
          <w:rFonts w:ascii="Times New Roman" w:hAnsi="Times New Roman" w:cs="Times New Roman"/>
          <w:sz w:val="24"/>
          <w:szCs w:val="24"/>
          <w:lang w:val="bg-BG"/>
        </w:rPr>
        <w:t xml:space="preserve"> съставляват 84% от общия брой. </w:t>
      </w:r>
    </w:p>
    <w:p w14:paraId="60DC7A6B" w14:textId="3D7B417F" w:rsidR="009D32BB" w:rsidRPr="00610B1B" w:rsidRDefault="009D32BB" w:rsidP="00D32D6A">
      <w:pPr>
        <w:spacing w:after="120"/>
        <w:ind w:right="-153"/>
        <w:jc w:val="both"/>
        <w:rPr>
          <w:rFonts w:ascii="Times New Roman" w:hAnsi="Times New Roman" w:cs="Times New Roman"/>
          <w:sz w:val="24"/>
          <w:szCs w:val="24"/>
          <w:lang w:val="bg-BG"/>
        </w:rPr>
      </w:pPr>
    </w:p>
    <w:p w14:paraId="605D3E16" w14:textId="7423CD2C" w:rsidR="00BC44C1" w:rsidRPr="00610B1B" w:rsidRDefault="00BC44C1" w:rsidP="00D32D6A">
      <w:pPr>
        <w:spacing w:after="120"/>
        <w:ind w:right="-153"/>
        <w:jc w:val="both"/>
        <w:rPr>
          <w:rFonts w:ascii="Times New Roman" w:hAnsi="Times New Roman" w:cs="Times New Roman"/>
          <w:sz w:val="24"/>
          <w:szCs w:val="24"/>
          <w:lang w:val="bg-BG"/>
        </w:rPr>
      </w:pPr>
    </w:p>
    <w:p w14:paraId="1C830281" w14:textId="1C9313B0" w:rsidR="00BC44C1" w:rsidRPr="00610B1B" w:rsidRDefault="00BC44C1" w:rsidP="00D32D6A">
      <w:pPr>
        <w:spacing w:after="120"/>
        <w:ind w:right="-153"/>
        <w:jc w:val="both"/>
        <w:rPr>
          <w:rFonts w:ascii="Times New Roman" w:hAnsi="Times New Roman" w:cs="Times New Roman"/>
          <w:sz w:val="24"/>
          <w:szCs w:val="24"/>
          <w:lang w:val="bg-BG"/>
        </w:rPr>
      </w:pPr>
    </w:p>
    <w:p w14:paraId="2F865728" w14:textId="0311C9A8" w:rsidR="00115C8D" w:rsidRPr="00610B1B" w:rsidRDefault="00B62269" w:rsidP="00D32D6A">
      <w:pPr>
        <w:spacing w:after="120"/>
        <w:ind w:right="-153"/>
        <w:rPr>
          <w:rFonts w:ascii="Times New Roman" w:hAnsi="Times New Roman" w:cs="Times New Roman"/>
          <w:sz w:val="24"/>
          <w:szCs w:val="24"/>
          <w:lang w:val="bg-BG"/>
        </w:rPr>
      </w:pPr>
      <w:bookmarkStart w:id="353" w:name="_Toc83391480"/>
      <w:r w:rsidRPr="00610B1B">
        <w:rPr>
          <w:rFonts w:ascii="Times New Roman" w:hAnsi="Times New Roman" w:cs="Times New Roman"/>
          <w:sz w:val="24"/>
          <w:szCs w:val="24"/>
          <w:lang w:val="bg-BG"/>
        </w:rPr>
        <w:lastRenderedPageBreak/>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17</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115C8D" w:rsidRPr="00610B1B">
        <w:rPr>
          <w:rFonts w:ascii="Times New Roman" w:hAnsi="Times New Roman" w:cs="Times New Roman"/>
          <w:sz w:val="24"/>
          <w:szCs w:val="24"/>
          <w:lang w:val="bg-BG"/>
        </w:rPr>
        <w:t>Разтоварване стопански риболов (2015-201</w:t>
      </w:r>
      <w:r w:rsidR="00DC4656" w:rsidRPr="00610B1B">
        <w:rPr>
          <w:rFonts w:ascii="Times New Roman" w:hAnsi="Times New Roman" w:cs="Times New Roman"/>
          <w:sz w:val="24"/>
          <w:szCs w:val="24"/>
          <w:lang w:val="bg-BG"/>
        </w:rPr>
        <w:t>9</w:t>
      </w:r>
      <w:r w:rsidR="00115C8D" w:rsidRPr="00610B1B">
        <w:rPr>
          <w:rFonts w:ascii="Times New Roman" w:hAnsi="Times New Roman" w:cs="Times New Roman"/>
          <w:sz w:val="24"/>
          <w:szCs w:val="24"/>
          <w:lang w:val="bg-BG"/>
        </w:rPr>
        <w:t xml:space="preserve"> г.)</w:t>
      </w:r>
      <w:bookmarkEnd w:id="353"/>
    </w:p>
    <w:p w14:paraId="2008C2BE" w14:textId="5A79F80E" w:rsidR="00773225" w:rsidRPr="00610B1B" w:rsidRDefault="0004160B" w:rsidP="00D32D6A">
      <w:pPr>
        <w:spacing w:after="120"/>
        <w:ind w:right="-153"/>
        <w:jc w:val="both"/>
        <w:rPr>
          <w:rFonts w:ascii="Times New Roman" w:eastAsia="Times New Roman" w:hAnsi="Times New Roman" w:cs="Times New Roman"/>
          <w:bCs/>
          <w:color w:val="000000"/>
          <w:lang w:val="bg-BG" w:eastAsia="bg-BG"/>
        </w:rPr>
      </w:pPr>
      <w:r w:rsidRPr="00610B1B">
        <w:rPr>
          <w:rFonts w:ascii="Times New Roman" w:hAnsi="Times New Roman" w:cs="Times New Roman"/>
          <w:noProof/>
          <w:lang w:val="bg-BG" w:eastAsia="bg-BG"/>
        </w:rPr>
        <w:drawing>
          <wp:inline distT="0" distB="0" distL="0" distR="0" wp14:anchorId="142E0AB4" wp14:editId="455D5828">
            <wp:extent cx="3487950" cy="189463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t="4893" b="4562"/>
                    <a:stretch/>
                  </pic:blipFill>
                  <pic:spPr bwMode="auto">
                    <a:xfrm>
                      <a:off x="0" y="0"/>
                      <a:ext cx="3501896" cy="1902212"/>
                    </a:xfrm>
                    <a:prstGeom prst="rect">
                      <a:avLst/>
                    </a:prstGeom>
                    <a:noFill/>
                    <a:ln>
                      <a:noFill/>
                    </a:ln>
                    <a:extLst>
                      <a:ext uri="{53640926-AAD7-44D8-BBD7-CCE9431645EC}">
                        <a14:shadowObscured xmlns:a14="http://schemas.microsoft.com/office/drawing/2010/main"/>
                      </a:ext>
                    </a:extLst>
                  </pic:spPr>
                </pic:pic>
              </a:graphicData>
            </a:graphic>
          </wp:inline>
        </w:drawing>
      </w:r>
    </w:p>
    <w:p w14:paraId="4FCA56D2" w14:textId="45CE8D1F" w:rsidR="00115C8D" w:rsidRPr="00610B1B" w:rsidRDefault="00115C8D" w:rsidP="00D32D6A">
      <w:pPr>
        <w:spacing w:after="120"/>
        <w:ind w:right="-153"/>
        <w:jc w:val="both"/>
        <w:rPr>
          <w:rFonts w:ascii="Times New Roman" w:hAnsi="Times New Roman" w:cs="Times New Roman"/>
          <w:lang w:val="bg-BG"/>
        </w:rPr>
      </w:pPr>
      <w:r w:rsidRPr="00610B1B">
        <w:rPr>
          <w:rFonts w:ascii="Times New Roman" w:eastAsia="Times New Roman" w:hAnsi="Times New Roman" w:cs="Times New Roman"/>
          <w:bCs/>
          <w:color w:val="000000"/>
          <w:lang w:val="bg-BG" w:eastAsia="bg-BG"/>
        </w:rPr>
        <w:t>Източник: ИАРА</w:t>
      </w:r>
    </w:p>
    <w:p w14:paraId="2071A675" w14:textId="3F1F9DF3" w:rsidR="00115C8D" w:rsidRPr="00610B1B" w:rsidRDefault="00115C8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Поради тясната взаимовръзка между стопанския риболов и директното предлагане на продукцията в пресен вид на пазара, без допълнителна обработка, целяща да се добави допълнителна стойност, социалният индикатор се разглежда като съвкупност на заетите с риболова (рибари) и регистрираните купувачи. Общият брой на заетите е 3 540 души, от които</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1 738 рибари. Въпреки че броя на </w:t>
      </w:r>
      <w:r w:rsidR="006011C0" w:rsidRPr="00610B1B">
        <w:rPr>
          <w:rFonts w:ascii="Times New Roman" w:hAnsi="Times New Roman" w:cs="Times New Roman"/>
          <w:sz w:val="24"/>
          <w:szCs w:val="24"/>
          <w:lang w:val="bg-BG"/>
        </w:rPr>
        <w:t>заетите</w:t>
      </w:r>
      <w:r w:rsidRPr="00610B1B">
        <w:rPr>
          <w:rFonts w:ascii="Times New Roman" w:hAnsi="Times New Roman" w:cs="Times New Roman"/>
          <w:sz w:val="24"/>
          <w:szCs w:val="24"/>
          <w:lang w:val="bg-BG"/>
        </w:rPr>
        <w:t xml:space="preserve"> в направление стопански риболов не е толкова голям, социалният индикатор е поставен на средно ниво поради значимостта на стопанския риболов като основен снабдител на черноморски риби и организми</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за осигуряване на хранително разнообразие в България.</w:t>
      </w:r>
    </w:p>
    <w:p w14:paraId="430BAD1F" w14:textId="2B5AC444" w:rsidR="00115C8D" w:rsidRPr="00610B1B" w:rsidRDefault="00B62269" w:rsidP="00D32D6A">
      <w:pPr>
        <w:spacing w:after="120"/>
        <w:ind w:right="-153"/>
        <w:jc w:val="both"/>
        <w:rPr>
          <w:rFonts w:ascii="Times New Roman" w:hAnsi="Times New Roman" w:cs="Times New Roman"/>
          <w:sz w:val="24"/>
          <w:szCs w:val="24"/>
          <w:lang w:val="bg-BG"/>
        </w:rPr>
      </w:pPr>
      <w:bookmarkStart w:id="354" w:name="_Toc83391481"/>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18</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115C8D" w:rsidRPr="00610B1B">
        <w:rPr>
          <w:rFonts w:ascii="Times New Roman" w:hAnsi="Times New Roman" w:cs="Times New Roman"/>
          <w:sz w:val="24"/>
          <w:szCs w:val="24"/>
          <w:lang w:val="bg-BG"/>
        </w:rPr>
        <w:t xml:space="preserve">Нива на улов в </w:t>
      </w:r>
      <w:r w:rsidR="00DB1201" w:rsidRPr="00610B1B">
        <w:rPr>
          <w:rFonts w:ascii="Times New Roman" w:hAnsi="Times New Roman" w:cs="Times New Roman"/>
          <w:sz w:val="24"/>
          <w:szCs w:val="24"/>
          <w:lang w:val="bg-BG"/>
        </w:rPr>
        <w:t>kg</w:t>
      </w:r>
      <w:r w:rsidR="00115C8D" w:rsidRPr="00610B1B">
        <w:rPr>
          <w:rFonts w:ascii="Times New Roman" w:hAnsi="Times New Roman" w:cs="Times New Roman"/>
          <w:sz w:val="24"/>
          <w:szCs w:val="24"/>
          <w:lang w:val="bg-BG"/>
        </w:rPr>
        <w:t xml:space="preserve"> за периода 2015 – 201</w:t>
      </w:r>
      <w:r w:rsidR="00013745" w:rsidRPr="00610B1B">
        <w:rPr>
          <w:rFonts w:ascii="Times New Roman" w:hAnsi="Times New Roman" w:cs="Times New Roman"/>
          <w:sz w:val="24"/>
          <w:szCs w:val="24"/>
          <w:lang w:val="bg-BG"/>
        </w:rPr>
        <w:t>9</w:t>
      </w:r>
      <w:r w:rsidR="00115C8D" w:rsidRPr="00610B1B">
        <w:rPr>
          <w:rFonts w:ascii="Times New Roman" w:hAnsi="Times New Roman" w:cs="Times New Roman"/>
          <w:sz w:val="24"/>
          <w:szCs w:val="24"/>
          <w:lang w:val="bg-BG"/>
        </w:rPr>
        <w:t xml:space="preserve"> г.</w:t>
      </w:r>
      <w:bookmarkEnd w:id="354"/>
    </w:p>
    <w:p w14:paraId="31FD5734" w14:textId="3A79E8F5" w:rsidR="00115C8D" w:rsidRPr="00610B1B" w:rsidRDefault="0004160B"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Cs/>
          <w:noProof/>
          <w:szCs w:val="24"/>
          <w:lang w:val="bg-BG" w:eastAsia="bg-BG"/>
        </w:rPr>
        <w:drawing>
          <wp:inline distT="0" distB="0" distL="0" distR="0" wp14:anchorId="71EABFF7" wp14:editId="55D35313">
            <wp:extent cx="4476997" cy="218989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8">
                      <a:extLst>
                        <a:ext uri="{28A0092B-C50C-407E-A947-70E740481C1C}">
                          <a14:useLocalDpi xmlns:a14="http://schemas.microsoft.com/office/drawing/2010/main" val="0"/>
                        </a:ext>
                      </a:extLst>
                    </a:blip>
                    <a:srcRect t="5393" b="4704"/>
                    <a:stretch/>
                  </pic:blipFill>
                  <pic:spPr bwMode="auto">
                    <a:xfrm>
                      <a:off x="0" y="0"/>
                      <a:ext cx="4536036" cy="2218768"/>
                    </a:xfrm>
                    <a:prstGeom prst="rect">
                      <a:avLst/>
                    </a:prstGeom>
                    <a:noFill/>
                    <a:ln>
                      <a:noFill/>
                    </a:ln>
                    <a:extLst>
                      <a:ext uri="{53640926-AAD7-44D8-BBD7-CCE9431645EC}">
                        <a14:shadowObscured xmlns:a14="http://schemas.microsoft.com/office/drawing/2010/main"/>
                      </a:ext>
                    </a:extLst>
                  </pic:spPr>
                </pic:pic>
              </a:graphicData>
            </a:graphic>
          </wp:inline>
        </w:drawing>
      </w:r>
    </w:p>
    <w:p w14:paraId="5F0730AB" w14:textId="3880FF30" w:rsidR="00115C8D" w:rsidRPr="00610B1B" w:rsidRDefault="00115C8D" w:rsidP="00D32D6A">
      <w:pPr>
        <w:spacing w:after="120"/>
        <w:ind w:right="-153"/>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Източник:</w:t>
      </w:r>
      <w:r w:rsidR="00DB1201" w:rsidRPr="00610B1B">
        <w:rPr>
          <w:rFonts w:ascii="Times New Roman" w:eastAsia="Times New Roman" w:hAnsi="Times New Roman" w:cs="Times New Roman"/>
          <w:bCs/>
          <w:color w:val="000000"/>
          <w:lang w:val="bg-BG" w:eastAsia="bg-BG"/>
        </w:rPr>
        <w:t xml:space="preserve"> </w:t>
      </w:r>
      <w:r w:rsidRPr="00610B1B">
        <w:rPr>
          <w:rFonts w:ascii="Times New Roman" w:eastAsia="Times New Roman" w:hAnsi="Times New Roman" w:cs="Times New Roman"/>
          <w:bCs/>
          <w:color w:val="000000"/>
          <w:lang w:val="bg-BG" w:eastAsia="bg-BG"/>
        </w:rPr>
        <w:t xml:space="preserve">ИАРА </w:t>
      </w:r>
    </w:p>
    <w:p w14:paraId="31E2F49A" w14:textId="7B98EDF1" w:rsidR="00115C8D" w:rsidRPr="00610B1B" w:rsidRDefault="00115C8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Икономическият индикатор е поставен на средно ниво въпреки значителното покачване на стойността на показателя за възвращаемост на инвестициите, които през 2017 са 0,23%, а през 2018 г. е 12,34%. </w:t>
      </w:r>
      <w:r w:rsidR="00013745" w:rsidRPr="00610B1B">
        <w:rPr>
          <w:rFonts w:ascii="Times New Roman" w:hAnsi="Times New Roman" w:cs="Times New Roman"/>
          <w:sz w:val="24"/>
          <w:szCs w:val="24"/>
          <w:lang w:val="bg-BG"/>
        </w:rPr>
        <w:t xml:space="preserve">През 2019 г. се наблюдава отново повишаване на стойностите като те достигат до 19.88%. </w:t>
      </w:r>
      <w:r w:rsidRPr="00610B1B">
        <w:rPr>
          <w:rFonts w:ascii="Times New Roman" w:hAnsi="Times New Roman" w:cs="Times New Roman"/>
          <w:sz w:val="24"/>
          <w:szCs w:val="24"/>
          <w:lang w:val="bg-BG"/>
        </w:rPr>
        <w:t>През 2015 и 2016 г. възвращаемостта на инвестициите бележи сериозни колебания и дори достига отрицателна стойност през 2016 г. В заключение икономическият показател е стабилен в краткосрочен план, но не и в дългосрочен.</w:t>
      </w:r>
    </w:p>
    <w:p w14:paraId="34ED3900" w14:textId="3103D199" w:rsidR="00F00BE8" w:rsidRPr="00610B1B" w:rsidRDefault="00F00BE8" w:rsidP="00D32D6A">
      <w:pPr>
        <w:spacing w:after="120"/>
        <w:ind w:right="-153"/>
        <w:jc w:val="both"/>
        <w:rPr>
          <w:rFonts w:ascii="Times New Roman" w:hAnsi="Times New Roman" w:cs="Times New Roman"/>
          <w:sz w:val="24"/>
          <w:szCs w:val="24"/>
          <w:lang w:val="bg-BG"/>
        </w:rPr>
      </w:pPr>
    </w:p>
    <w:p w14:paraId="7A8C9F4A" w14:textId="77777777" w:rsidR="009D32BB" w:rsidRPr="00610B1B" w:rsidRDefault="009D32BB" w:rsidP="00D32D6A">
      <w:pPr>
        <w:spacing w:after="120"/>
        <w:ind w:right="-153"/>
        <w:jc w:val="both"/>
        <w:rPr>
          <w:rFonts w:ascii="Times New Roman" w:hAnsi="Times New Roman" w:cs="Times New Roman"/>
          <w:sz w:val="24"/>
          <w:szCs w:val="24"/>
          <w:lang w:val="bg-BG"/>
        </w:rPr>
      </w:pPr>
    </w:p>
    <w:p w14:paraId="0F519980" w14:textId="3088D7A7" w:rsidR="00115C8D" w:rsidRPr="00610B1B" w:rsidRDefault="002F6792" w:rsidP="00D32D6A">
      <w:pPr>
        <w:spacing w:after="120"/>
        <w:ind w:right="-153"/>
        <w:rPr>
          <w:rFonts w:ascii="Times New Roman" w:hAnsi="Times New Roman" w:cs="Times New Roman"/>
          <w:sz w:val="24"/>
          <w:szCs w:val="24"/>
          <w:lang w:val="bg-BG"/>
        </w:rPr>
      </w:pPr>
      <w:bookmarkStart w:id="355" w:name="_Toc83391482"/>
      <w:r w:rsidRPr="00610B1B">
        <w:rPr>
          <w:rFonts w:ascii="Times New Roman" w:hAnsi="Times New Roman" w:cs="Times New Roman"/>
          <w:sz w:val="24"/>
          <w:szCs w:val="24"/>
          <w:lang w:val="bg-BG"/>
        </w:rPr>
        <w:lastRenderedPageBreak/>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19</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Се</w:t>
      </w:r>
      <w:r w:rsidR="00115C8D" w:rsidRPr="00610B1B">
        <w:rPr>
          <w:rFonts w:ascii="Times New Roman" w:hAnsi="Times New Roman" w:cs="Times New Roman"/>
          <w:sz w:val="24"/>
          <w:szCs w:val="24"/>
          <w:lang w:val="bg-BG"/>
        </w:rPr>
        <w:t>зонно разпределение на улова по видове за периода 2015-2018 г.</w:t>
      </w:r>
      <w:bookmarkEnd w:id="355"/>
    </w:p>
    <w:p w14:paraId="487A7A46" w14:textId="77777777" w:rsidR="00115C8D" w:rsidRPr="00610B1B" w:rsidRDefault="00115C8D" w:rsidP="00D32D6A">
      <w:pPr>
        <w:spacing w:after="120"/>
        <w:ind w:right="-153"/>
        <w:jc w:val="center"/>
        <w:rPr>
          <w:rFonts w:ascii="Times New Roman" w:hAnsi="Times New Roman" w:cs="Times New Roman"/>
          <w:sz w:val="24"/>
          <w:szCs w:val="24"/>
          <w:lang w:val="bg-BG"/>
        </w:rPr>
      </w:pPr>
      <w:r w:rsidRPr="00610B1B">
        <w:rPr>
          <w:rFonts w:ascii="Times New Roman" w:hAnsi="Times New Roman" w:cs="Times New Roman"/>
          <w:noProof/>
          <w:sz w:val="24"/>
          <w:szCs w:val="24"/>
          <w:lang w:val="bg-BG" w:eastAsia="bg-BG"/>
        </w:rPr>
        <w:drawing>
          <wp:inline distT="0" distB="0" distL="0" distR="0" wp14:anchorId="5C760ED4" wp14:editId="0C9646D6">
            <wp:extent cx="3739487" cy="719605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l="1086" t="4475" r="1642" b="8712"/>
                    <a:stretch/>
                  </pic:blipFill>
                  <pic:spPr bwMode="auto">
                    <a:xfrm>
                      <a:off x="0" y="0"/>
                      <a:ext cx="3811830" cy="7335262"/>
                    </a:xfrm>
                    <a:prstGeom prst="rect">
                      <a:avLst/>
                    </a:prstGeom>
                    <a:noFill/>
                    <a:ln>
                      <a:noFill/>
                    </a:ln>
                    <a:extLst>
                      <a:ext uri="{53640926-AAD7-44D8-BBD7-CCE9431645EC}">
                        <a14:shadowObscured xmlns:a14="http://schemas.microsoft.com/office/drawing/2010/main"/>
                      </a:ext>
                    </a:extLst>
                  </pic:spPr>
                </pic:pic>
              </a:graphicData>
            </a:graphic>
          </wp:inline>
        </w:drawing>
      </w:r>
    </w:p>
    <w:p w14:paraId="1DB1A0CE" w14:textId="77777777" w:rsidR="00115C8D" w:rsidRPr="00610B1B" w:rsidRDefault="00115C8D" w:rsidP="00D32D6A">
      <w:pPr>
        <w:spacing w:after="120"/>
        <w:ind w:right="-153"/>
        <w:rPr>
          <w:rFonts w:ascii="Times New Roman" w:hAnsi="Times New Roman" w:cs="Times New Roman"/>
          <w:lang w:val="bg-BG"/>
        </w:rPr>
      </w:pPr>
      <w:r w:rsidRPr="00610B1B">
        <w:rPr>
          <w:rFonts w:ascii="Times New Roman" w:hAnsi="Times New Roman" w:cs="Times New Roman"/>
          <w:lang w:val="bg-BG"/>
        </w:rPr>
        <w:t>Източник: ИАРА</w:t>
      </w:r>
    </w:p>
    <w:p w14:paraId="060692D0" w14:textId="77777777" w:rsidR="00744F8C" w:rsidRPr="00610B1B" w:rsidRDefault="00744F8C"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Основните целеви видове са цаца (</w:t>
      </w:r>
      <w:r w:rsidRPr="00610B1B">
        <w:rPr>
          <w:rFonts w:ascii="Times New Roman" w:hAnsi="Times New Roman" w:cs="Times New Roman"/>
          <w:i/>
          <w:iCs/>
          <w:sz w:val="24"/>
          <w:szCs w:val="24"/>
          <w:lang w:val="bg-BG"/>
        </w:rPr>
        <w:t>Sprattus sprattus</w:t>
      </w:r>
      <w:r w:rsidRPr="00610B1B">
        <w:rPr>
          <w:rFonts w:ascii="Times New Roman" w:hAnsi="Times New Roman" w:cs="Times New Roman"/>
          <w:sz w:val="24"/>
          <w:szCs w:val="24"/>
          <w:lang w:val="bg-BG"/>
        </w:rPr>
        <w:t>), калкан (</w:t>
      </w:r>
      <w:r w:rsidRPr="00610B1B">
        <w:rPr>
          <w:rFonts w:ascii="Times New Roman" w:hAnsi="Times New Roman" w:cs="Times New Roman"/>
          <w:bCs/>
          <w:i/>
          <w:iCs/>
          <w:sz w:val="24"/>
          <w:szCs w:val="24"/>
          <w:lang w:val="bg-BG"/>
        </w:rPr>
        <w:t>Scophthalums</w:t>
      </w:r>
      <w:r w:rsidRPr="00610B1B">
        <w:rPr>
          <w:rFonts w:ascii="Times New Roman" w:eastAsia="Times New Roman" w:hAnsi="Times New Roman" w:cs="Times New Roman"/>
          <w:sz w:val="24"/>
          <w:szCs w:val="24"/>
          <w:lang w:val="bg-BG" w:eastAsia="bg-BG"/>
        </w:rPr>
        <w:t xml:space="preserve"> </w:t>
      </w:r>
      <w:r w:rsidRPr="00610B1B">
        <w:rPr>
          <w:rFonts w:ascii="Times New Roman" w:hAnsi="Times New Roman" w:cs="Times New Roman"/>
          <w:bCs/>
          <w:i/>
          <w:iCs/>
          <w:sz w:val="24"/>
          <w:szCs w:val="24"/>
          <w:lang w:val="bg-BG"/>
        </w:rPr>
        <w:t>maximus</w:t>
      </w:r>
      <w:r w:rsidRPr="00610B1B">
        <w:rPr>
          <w:rFonts w:ascii="Times New Roman" w:hAnsi="Times New Roman" w:cs="Times New Roman"/>
          <w:b/>
          <w:bCs/>
          <w:i/>
          <w:iCs/>
          <w:sz w:val="24"/>
          <w:szCs w:val="24"/>
          <w:lang w:val="bg-BG"/>
        </w:rPr>
        <w:t>)</w:t>
      </w:r>
      <w:r w:rsidRPr="00610B1B">
        <w:rPr>
          <w:rFonts w:ascii="Times New Roman" w:hAnsi="Times New Roman" w:cs="Times New Roman"/>
          <w:sz w:val="24"/>
          <w:szCs w:val="24"/>
          <w:lang w:val="bg-BG"/>
        </w:rPr>
        <w:t>, барбун (</w:t>
      </w:r>
      <w:r w:rsidRPr="00610B1B">
        <w:rPr>
          <w:rFonts w:ascii="Times New Roman" w:hAnsi="Times New Roman" w:cs="Times New Roman"/>
          <w:i/>
          <w:iCs/>
          <w:sz w:val="24"/>
          <w:szCs w:val="24"/>
          <w:lang w:val="bg-BG"/>
        </w:rPr>
        <w:t>Mullus barbatus</w:t>
      </w:r>
      <w:r w:rsidRPr="00610B1B">
        <w:rPr>
          <w:rFonts w:ascii="Times New Roman" w:hAnsi="Times New Roman" w:cs="Times New Roman"/>
          <w:sz w:val="24"/>
          <w:szCs w:val="24"/>
          <w:lang w:val="bg-BG"/>
        </w:rPr>
        <w:t>), хамсия (</w:t>
      </w:r>
      <w:r w:rsidRPr="00610B1B">
        <w:rPr>
          <w:rFonts w:ascii="Times New Roman" w:hAnsi="Times New Roman" w:cs="Times New Roman"/>
          <w:i/>
          <w:iCs/>
          <w:sz w:val="24"/>
          <w:szCs w:val="24"/>
          <w:lang w:val="bg-BG"/>
        </w:rPr>
        <w:t>Engraulis encrasicolus ponticus</w:t>
      </w:r>
      <w:r w:rsidRPr="00610B1B">
        <w:rPr>
          <w:rFonts w:ascii="Times New Roman" w:hAnsi="Times New Roman" w:cs="Times New Roman"/>
          <w:sz w:val="24"/>
          <w:szCs w:val="24"/>
          <w:lang w:val="bg-BG"/>
        </w:rPr>
        <w:t>), черноморска бодлива акула (</w:t>
      </w:r>
      <w:r w:rsidRPr="00610B1B">
        <w:rPr>
          <w:rFonts w:ascii="Times New Roman" w:hAnsi="Times New Roman" w:cs="Times New Roman"/>
          <w:i/>
          <w:iCs/>
          <w:sz w:val="24"/>
          <w:szCs w:val="24"/>
          <w:lang w:val="bg-BG"/>
        </w:rPr>
        <w:t>Squalus acanthias</w:t>
      </w:r>
      <w:r w:rsidRPr="00610B1B">
        <w:rPr>
          <w:rFonts w:ascii="Times New Roman" w:hAnsi="Times New Roman" w:cs="Times New Roman"/>
          <w:sz w:val="24"/>
          <w:szCs w:val="24"/>
          <w:lang w:val="bg-BG"/>
        </w:rPr>
        <w:t>), сафрид (</w:t>
      </w:r>
      <w:r w:rsidRPr="00610B1B">
        <w:rPr>
          <w:rFonts w:ascii="Times New Roman" w:hAnsi="Times New Roman" w:cs="Times New Roman"/>
          <w:i/>
          <w:iCs/>
          <w:sz w:val="24"/>
          <w:szCs w:val="24"/>
          <w:lang w:val="bg-BG"/>
        </w:rPr>
        <w:t>Trachurus mediterraneus ponticus</w:t>
      </w:r>
      <w:r w:rsidRPr="00610B1B">
        <w:rPr>
          <w:rFonts w:ascii="Times New Roman" w:hAnsi="Times New Roman" w:cs="Times New Roman"/>
          <w:sz w:val="24"/>
          <w:szCs w:val="24"/>
          <w:lang w:val="bg-BG"/>
        </w:rPr>
        <w:t>), рапан (</w:t>
      </w:r>
      <w:r w:rsidRPr="00610B1B">
        <w:rPr>
          <w:rFonts w:ascii="Times New Roman" w:hAnsi="Times New Roman" w:cs="Times New Roman"/>
          <w:i/>
          <w:iCs/>
          <w:sz w:val="24"/>
          <w:szCs w:val="24"/>
          <w:lang w:val="bg-BG"/>
        </w:rPr>
        <w:t>Rapana venosa</w:t>
      </w:r>
      <w:r w:rsidRPr="00610B1B">
        <w:rPr>
          <w:rFonts w:ascii="Times New Roman" w:hAnsi="Times New Roman" w:cs="Times New Roman"/>
          <w:sz w:val="24"/>
          <w:szCs w:val="24"/>
          <w:lang w:val="bg-BG"/>
        </w:rPr>
        <w:t>), паламуд (</w:t>
      </w:r>
      <w:r w:rsidRPr="00610B1B">
        <w:rPr>
          <w:rFonts w:ascii="Times New Roman" w:hAnsi="Times New Roman" w:cs="Times New Roman"/>
          <w:i/>
          <w:iCs/>
          <w:sz w:val="24"/>
          <w:szCs w:val="24"/>
          <w:lang w:val="bg-BG"/>
        </w:rPr>
        <w:t>Sarda sarda</w:t>
      </w:r>
      <w:r w:rsidRPr="00610B1B">
        <w:rPr>
          <w:rFonts w:ascii="Times New Roman" w:hAnsi="Times New Roman" w:cs="Times New Roman"/>
          <w:sz w:val="24"/>
          <w:szCs w:val="24"/>
          <w:lang w:val="bg-BG"/>
        </w:rPr>
        <w:t>), лефер (</w:t>
      </w:r>
      <w:r w:rsidRPr="00610B1B">
        <w:rPr>
          <w:rFonts w:ascii="Times New Roman" w:hAnsi="Times New Roman" w:cs="Times New Roman"/>
          <w:i/>
          <w:iCs/>
          <w:sz w:val="24"/>
          <w:szCs w:val="24"/>
          <w:lang w:val="bg-BG"/>
        </w:rPr>
        <w:t>Pomatomus saltatrix</w:t>
      </w:r>
      <w:r w:rsidRPr="00610B1B">
        <w:rPr>
          <w:rFonts w:ascii="Times New Roman" w:hAnsi="Times New Roman" w:cs="Times New Roman"/>
          <w:sz w:val="24"/>
          <w:szCs w:val="24"/>
          <w:lang w:val="bg-BG"/>
        </w:rPr>
        <w:t>). През последните години уловът на бели пясъчни миди (</w:t>
      </w:r>
      <w:r w:rsidRPr="00610B1B">
        <w:rPr>
          <w:rFonts w:ascii="Times New Roman" w:hAnsi="Times New Roman" w:cs="Times New Roman"/>
          <w:i/>
          <w:iCs/>
          <w:sz w:val="24"/>
          <w:szCs w:val="24"/>
          <w:lang w:val="bg-BG"/>
        </w:rPr>
        <w:t xml:space="preserve">Mya arenaria, Chamelea gallina, Donax trunculus, Anadara </w:t>
      </w:r>
      <w:r w:rsidRPr="00610B1B">
        <w:rPr>
          <w:rFonts w:ascii="Times New Roman" w:hAnsi="Times New Roman" w:cs="Times New Roman"/>
          <w:i/>
          <w:iCs/>
          <w:sz w:val="24"/>
          <w:szCs w:val="24"/>
          <w:lang w:val="bg-BG"/>
        </w:rPr>
        <w:lastRenderedPageBreak/>
        <w:t>inaequivalvis</w:t>
      </w:r>
      <w:r w:rsidRPr="00610B1B">
        <w:rPr>
          <w:rFonts w:ascii="Times New Roman" w:hAnsi="Times New Roman" w:cs="Times New Roman"/>
          <w:sz w:val="24"/>
          <w:szCs w:val="24"/>
          <w:lang w:val="bg-BG"/>
        </w:rPr>
        <w:t>) се увеличи поради силно търсене на пазарите в други европейски държави. Сезонното разпределение на уловите за 2015 – 2018 г.</w:t>
      </w:r>
    </w:p>
    <w:p w14:paraId="46B0A768" w14:textId="76A1AA93" w:rsidR="00115C8D" w:rsidRPr="00610B1B" w:rsidRDefault="00B62269" w:rsidP="00D32D6A">
      <w:pPr>
        <w:tabs>
          <w:tab w:val="left" w:pos="1035"/>
        </w:tabs>
        <w:spacing w:after="120"/>
        <w:ind w:right="-153"/>
        <w:rPr>
          <w:rFonts w:ascii="Times New Roman" w:hAnsi="Times New Roman" w:cs="Times New Roman"/>
          <w:sz w:val="24"/>
          <w:szCs w:val="24"/>
          <w:lang w:val="bg-BG"/>
        </w:rPr>
      </w:pPr>
      <w:bookmarkStart w:id="356" w:name="_Toc83391483"/>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20</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115C8D" w:rsidRPr="00610B1B">
        <w:rPr>
          <w:rFonts w:ascii="Times New Roman" w:hAnsi="Times New Roman" w:cs="Times New Roman"/>
          <w:sz w:val="24"/>
          <w:szCs w:val="24"/>
          <w:lang w:val="bg-BG"/>
        </w:rPr>
        <w:t>Оценка на стопанския риболов в българската акватория на Черно море по предложените индикатори</w:t>
      </w:r>
      <w:bookmarkEnd w:id="356"/>
    </w:p>
    <w:tbl>
      <w:tblPr>
        <w:tblW w:w="863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60"/>
        <w:gridCol w:w="1286"/>
        <w:gridCol w:w="1846"/>
        <w:gridCol w:w="1517"/>
        <w:gridCol w:w="1516"/>
        <w:gridCol w:w="1505"/>
      </w:tblGrid>
      <w:tr w:rsidR="00115C8D" w:rsidRPr="00610B1B" w14:paraId="0464E58A" w14:textId="77777777" w:rsidTr="001E3FED">
        <w:trPr>
          <w:trHeight w:val="315"/>
          <w:jc w:val="center"/>
        </w:trPr>
        <w:tc>
          <w:tcPr>
            <w:tcW w:w="960" w:type="dxa"/>
            <w:shd w:val="clear" w:color="auto" w:fill="auto"/>
            <w:noWrap/>
            <w:vAlign w:val="bottom"/>
            <w:hideMark/>
          </w:tcPr>
          <w:p w14:paraId="2F9B3256" w14:textId="77777777" w:rsidR="00115C8D" w:rsidRPr="00610B1B" w:rsidRDefault="00115C8D" w:rsidP="00D32D6A">
            <w:pPr>
              <w:spacing w:after="0" w:line="240" w:lineRule="auto"/>
              <w:jc w:val="both"/>
              <w:rPr>
                <w:rFonts w:ascii="Times New Roman" w:eastAsia="Times New Roman" w:hAnsi="Times New Roman" w:cs="Times New Roman"/>
                <w:color w:val="000000"/>
                <w:sz w:val="24"/>
                <w:szCs w:val="24"/>
                <w:lang w:val="bg-BG"/>
              </w:rPr>
            </w:pPr>
            <w:r w:rsidRPr="00610B1B">
              <w:rPr>
                <w:rFonts w:ascii="Times New Roman" w:eastAsia="Times New Roman" w:hAnsi="Times New Roman" w:cs="Times New Roman"/>
                <w:color w:val="000000"/>
                <w:sz w:val="24"/>
                <w:szCs w:val="24"/>
                <w:lang w:val="bg-BG"/>
              </w:rPr>
              <w:t> </w:t>
            </w:r>
          </w:p>
        </w:tc>
        <w:tc>
          <w:tcPr>
            <w:tcW w:w="7670" w:type="dxa"/>
            <w:gridSpan w:val="5"/>
            <w:shd w:val="clear" w:color="auto" w:fill="auto"/>
            <w:noWrap/>
            <w:vAlign w:val="center"/>
            <w:hideMark/>
          </w:tcPr>
          <w:p w14:paraId="6FE6CD75" w14:textId="77777777" w:rsidR="00115C8D" w:rsidRPr="00610B1B" w:rsidRDefault="00115C8D" w:rsidP="00901BE7">
            <w:pPr>
              <w:spacing w:after="0" w:line="240" w:lineRule="auto"/>
              <w:jc w:val="center"/>
              <w:rPr>
                <w:rFonts w:ascii="Times New Roman" w:eastAsia="Times New Roman" w:hAnsi="Times New Roman" w:cs="Times New Roman"/>
                <w:b/>
                <w:bCs/>
                <w:i/>
                <w:iCs/>
                <w:color w:val="000000"/>
                <w:sz w:val="24"/>
                <w:szCs w:val="24"/>
                <w:lang w:val="bg-BG"/>
              </w:rPr>
            </w:pPr>
            <w:r w:rsidRPr="00610B1B">
              <w:rPr>
                <w:rFonts w:ascii="Times New Roman" w:eastAsia="Times New Roman" w:hAnsi="Times New Roman" w:cs="Times New Roman"/>
                <w:b/>
                <w:bCs/>
                <w:i/>
                <w:iCs/>
                <w:color w:val="000000"/>
                <w:sz w:val="24"/>
                <w:szCs w:val="24"/>
                <w:lang w:val="bg-BG"/>
              </w:rPr>
              <w:t>Индикатори</w:t>
            </w:r>
          </w:p>
        </w:tc>
      </w:tr>
      <w:tr w:rsidR="00115C8D" w:rsidRPr="00610B1B" w14:paraId="754EF151" w14:textId="77777777" w:rsidTr="001E3FED">
        <w:trPr>
          <w:trHeight w:val="315"/>
          <w:jc w:val="center"/>
        </w:trPr>
        <w:tc>
          <w:tcPr>
            <w:tcW w:w="960" w:type="dxa"/>
            <w:vMerge w:val="restart"/>
            <w:shd w:val="clear" w:color="auto" w:fill="auto"/>
            <w:noWrap/>
            <w:vAlign w:val="center"/>
            <w:hideMark/>
          </w:tcPr>
          <w:p w14:paraId="2DC67F21" w14:textId="77777777" w:rsidR="00115C8D" w:rsidRPr="00610B1B" w:rsidRDefault="00115C8D" w:rsidP="00D32D6A">
            <w:pPr>
              <w:spacing w:after="0" w:line="240" w:lineRule="auto"/>
              <w:jc w:val="both"/>
              <w:rPr>
                <w:rFonts w:ascii="Times New Roman" w:eastAsia="Times New Roman" w:hAnsi="Times New Roman" w:cs="Times New Roman"/>
                <w:b/>
                <w:bCs/>
                <w:i/>
                <w:iCs/>
                <w:color w:val="000000"/>
                <w:sz w:val="24"/>
                <w:szCs w:val="24"/>
                <w:lang w:val="bg-BG"/>
              </w:rPr>
            </w:pPr>
            <w:r w:rsidRPr="00610B1B">
              <w:rPr>
                <w:rFonts w:ascii="Times New Roman" w:eastAsia="Times New Roman" w:hAnsi="Times New Roman" w:cs="Times New Roman"/>
                <w:b/>
                <w:bCs/>
                <w:i/>
                <w:iCs/>
                <w:color w:val="000000"/>
                <w:sz w:val="24"/>
                <w:szCs w:val="24"/>
                <w:lang w:val="bg-BG"/>
              </w:rPr>
              <w:t>Ниво</w:t>
            </w:r>
          </w:p>
        </w:tc>
        <w:tc>
          <w:tcPr>
            <w:tcW w:w="1286" w:type="dxa"/>
            <w:shd w:val="clear" w:color="auto" w:fill="auto"/>
            <w:noWrap/>
            <w:vAlign w:val="center"/>
            <w:hideMark/>
          </w:tcPr>
          <w:p w14:paraId="3307DDF8"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Социален</w:t>
            </w:r>
          </w:p>
        </w:tc>
        <w:tc>
          <w:tcPr>
            <w:tcW w:w="1846" w:type="dxa"/>
            <w:shd w:val="clear" w:color="auto" w:fill="auto"/>
            <w:noWrap/>
            <w:vAlign w:val="center"/>
            <w:hideMark/>
          </w:tcPr>
          <w:p w14:paraId="4FDB49C9"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Икономически</w:t>
            </w:r>
          </w:p>
        </w:tc>
        <w:tc>
          <w:tcPr>
            <w:tcW w:w="1517" w:type="dxa"/>
            <w:shd w:val="clear" w:color="auto" w:fill="auto"/>
            <w:noWrap/>
            <w:vAlign w:val="center"/>
            <w:hideMark/>
          </w:tcPr>
          <w:p w14:paraId="2AAA83EE"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 xml:space="preserve">Екологичен </w:t>
            </w:r>
          </w:p>
        </w:tc>
        <w:tc>
          <w:tcPr>
            <w:tcW w:w="1516" w:type="dxa"/>
            <w:shd w:val="clear" w:color="auto" w:fill="auto"/>
            <w:noWrap/>
            <w:vAlign w:val="center"/>
            <w:hideMark/>
          </w:tcPr>
          <w:p w14:paraId="6A94081E"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Биологичен</w:t>
            </w:r>
          </w:p>
        </w:tc>
        <w:tc>
          <w:tcPr>
            <w:tcW w:w="1505" w:type="dxa"/>
            <w:shd w:val="clear" w:color="auto" w:fill="auto"/>
            <w:noWrap/>
            <w:vAlign w:val="center"/>
            <w:hideMark/>
          </w:tcPr>
          <w:p w14:paraId="4C084BC0"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Технически</w:t>
            </w:r>
          </w:p>
        </w:tc>
      </w:tr>
      <w:tr w:rsidR="00115C8D" w:rsidRPr="00610B1B" w14:paraId="20408B27" w14:textId="77777777" w:rsidTr="001E3FED">
        <w:trPr>
          <w:trHeight w:val="315"/>
          <w:jc w:val="center"/>
        </w:trPr>
        <w:tc>
          <w:tcPr>
            <w:tcW w:w="960" w:type="dxa"/>
            <w:vMerge/>
            <w:vAlign w:val="center"/>
            <w:hideMark/>
          </w:tcPr>
          <w:p w14:paraId="708CB831" w14:textId="77777777" w:rsidR="00115C8D" w:rsidRPr="00610B1B" w:rsidRDefault="00115C8D" w:rsidP="00D32D6A">
            <w:pPr>
              <w:spacing w:after="0" w:line="240" w:lineRule="auto"/>
              <w:jc w:val="both"/>
              <w:rPr>
                <w:rFonts w:ascii="Times New Roman" w:eastAsia="Times New Roman" w:hAnsi="Times New Roman" w:cs="Times New Roman"/>
                <w:b/>
                <w:bCs/>
                <w:i/>
                <w:iCs/>
                <w:color w:val="000000"/>
                <w:sz w:val="24"/>
                <w:szCs w:val="24"/>
                <w:lang w:val="bg-BG"/>
              </w:rPr>
            </w:pPr>
          </w:p>
        </w:tc>
        <w:tc>
          <w:tcPr>
            <w:tcW w:w="1286" w:type="dxa"/>
            <w:shd w:val="clear" w:color="000000" w:fill="FFFF00"/>
            <w:noWrap/>
            <w:vAlign w:val="center"/>
            <w:hideMark/>
          </w:tcPr>
          <w:p w14:paraId="61833519"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Средно</w:t>
            </w:r>
          </w:p>
        </w:tc>
        <w:tc>
          <w:tcPr>
            <w:tcW w:w="1846" w:type="dxa"/>
            <w:shd w:val="clear" w:color="000000" w:fill="FFFF00"/>
            <w:noWrap/>
            <w:vAlign w:val="center"/>
            <w:hideMark/>
          </w:tcPr>
          <w:p w14:paraId="0198DF52"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Средно</w:t>
            </w:r>
          </w:p>
        </w:tc>
        <w:tc>
          <w:tcPr>
            <w:tcW w:w="1517" w:type="dxa"/>
            <w:shd w:val="clear" w:color="000000" w:fill="FFFF00"/>
            <w:noWrap/>
            <w:vAlign w:val="center"/>
            <w:hideMark/>
          </w:tcPr>
          <w:p w14:paraId="60BBFB18"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Средно</w:t>
            </w:r>
          </w:p>
        </w:tc>
        <w:tc>
          <w:tcPr>
            <w:tcW w:w="1516" w:type="dxa"/>
            <w:shd w:val="clear" w:color="000000" w:fill="FFFF00"/>
            <w:noWrap/>
            <w:vAlign w:val="center"/>
            <w:hideMark/>
          </w:tcPr>
          <w:p w14:paraId="269CAB4D"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Средно</w:t>
            </w:r>
          </w:p>
        </w:tc>
        <w:tc>
          <w:tcPr>
            <w:tcW w:w="1505" w:type="dxa"/>
            <w:shd w:val="clear" w:color="000000" w:fill="FFFF00"/>
            <w:noWrap/>
            <w:vAlign w:val="center"/>
            <w:hideMark/>
          </w:tcPr>
          <w:p w14:paraId="63647745" w14:textId="77777777" w:rsidR="00115C8D" w:rsidRPr="00610B1B" w:rsidRDefault="00115C8D" w:rsidP="00D32D6A">
            <w:pPr>
              <w:spacing w:after="0" w:line="240" w:lineRule="auto"/>
              <w:jc w:val="both"/>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Средно</w:t>
            </w:r>
          </w:p>
        </w:tc>
      </w:tr>
    </w:tbl>
    <w:p w14:paraId="67271F06" w14:textId="22251EB1" w:rsidR="00115C8D" w:rsidRPr="00610B1B" w:rsidRDefault="00115C8D" w:rsidP="00BC44C1">
      <w:pPr>
        <w:spacing w:before="60" w:after="120"/>
        <w:ind w:right="-153"/>
        <w:rPr>
          <w:rFonts w:ascii="Times New Roman" w:hAnsi="Times New Roman" w:cs="Times New Roman"/>
          <w:lang w:val="bg-BG"/>
        </w:rPr>
      </w:pPr>
      <w:r w:rsidRPr="00610B1B">
        <w:rPr>
          <w:rFonts w:ascii="Times New Roman" w:hAnsi="Times New Roman" w:cs="Times New Roman"/>
          <w:lang w:val="bg-BG"/>
        </w:rPr>
        <w:t>Източник: ИАРА</w:t>
      </w:r>
    </w:p>
    <w:p w14:paraId="05173775" w14:textId="77777777" w:rsidR="009907CE" w:rsidRPr="00610B1B" w:rsidRDefault="009907CE" w:rsidP="00BC44C1">
      <w:pPr>
        <w:spacing w:before="60" w:after="120"/>
        <w:ind w:right="-153"/>
        <w:rPr>
          <w:rFonts w:ascii="Times New Roman" w:hAnsi="Times New Roman" w:cs="Times New Roman"/>
          <w:lang w:val="bg-BG"/>
        </w:rPr>
      </w:pPr>
    </w:p>
    <w:p w14:paraId="7B433BAF" w14:textId="584D4453" w:rsidR="00115C8D" w:rsidRPr="00610B1B" w:rsidRDefault="004A7472" w:rsidP="00D32D6A">
      <w:pPr>
        <w:pStyle w:val="Heading3"/>
        <w:spacing w:before="0" w:line="276" w:lineRule="auto"/>
        <w:rPr>
          <w:rFonts w:cs="Times New Roman"/>
        </w:rPr>
      </w:pPr>
      <w:bookmarkStart w:id="357" w:name="_Toc83391378"/>
      <w:r w:rsidRPr="00610B1B">
        <w:rPr>
          <w:rFonts w:cs="Times New Roman"/>
        </w:rPr>
        <w:t>3.2.</w:t>
      </w:r>
      <w:r w:rsidR="00FA2174" w:rsidRPr="00610B1B">
        <w:rPr>
          <w:rFonts w:cs="Times New Roman"/>
        </w:rPr>
        <w:t>2</w:t>
      </w:r>
      <w:r w:rsidR="00ED428F" w:rsidRPr="00610B1B">
        <w:rPr>
          <w:rFonts w:cs="Times New Roman"/>
        </w:rPr>
        <w:t>.</w:t>
      </w:r>
      <w:r w:rsidRPr="00610B1B">
        <w:rPr>
          <w:rFonts w:cs="Times New Roman"/>
        </w:rPr>
        <w:t xml:space="preserve"> </w:t>
      </w:r>
      <w:r w:rsidR="00115C8D" w:rsidRPr="00610B1B">
        <w:rPr>
          <w:rFonts w:cs="Times New Roman"/>
        </w:rPr>
        <w:t>Аквакултури</w:t>
      </w:r>
      <w:bookmarkEnd w:id="357"/>
    </w:p>
    <w:p w14:paraId="52F1C380" w14:textId="5645E402" w:rsidR="004A7472" w:rsidRPr="00610B1B" w:rsidRDefault="00115C8D" w:rsidP="00D32D6A">
      <w:pPr>
        <w:autoSpaceDE w:val="0"/>
        <w:autoSpaceDN w:val="0"/>
        <w:adjustRightInd w:val="0"/>
        <w:spacing w:after="120"/>
        <w:ind w:right="-153"/>
        <w:jc w:val="both"/>
        <w:rPr>
          <w:rFonts w:ascii="Times New Roman" w:hAnsi="Times New Roman" w:cs="Times New Roman"/>
          <w:color w:val="000000"/>
          <w:sz w:val="24"/>
          <w:szCs w:val="24"/>
          <w:lang w:val="bg-BG"/>
        </w:rPr>
      </w:pPr>
      <w:r w:rsidRPr="00610B1B">
        <w:rPr>
          <w:rFonts w:ascii="Times New Roman" w:hAnsi="Times New Roman" w:cs="Times New Roman"/>
          <w:color w:val="000000"/>
          <w:sz w:val="24"/>
          <w:szCs w:val="24"/>
          <w:lang w:val="bg-BG"/>
        </w:rPr>
        <w:t xml:space="preserve">През последното десетилетие производството на </w:t>
      </w:r>
      <w:r w:rsidRPr="00610B1B">
        <w:rPr>
          <w:rFonts w:ascii="Times New Roman" w:hAnsi="Times New Roman" w:cs="Times New Roman"/>
          <w:bCs/>
          <w:color w:val="000000"/>
          <w:sz w:val="24"/>
          <w:szCs w:val="24"/>
          <w:lang w:val="bg-BG"/>
        </w:rPr>
        <w:t>аквакултури в България</w:t>
      </w:r>
      <w:r w:rsidR="00D66FE0" w:rsidRPr="00610B1B">
        <w:rPr>
          <w:rFonts w:ascii="Times New Roman" w:hAnsi="Times New Roman" w:cs="Times New Roman"/>
          <w:b/>
          <w:bCs/>
          <w:color w:val="000000"/>
          <w:sz w:val="24"/>
          <w:szCs w:val="24"/>
          <w:lang w:val="bg-BG"/>
        </w:rPr>
        <w:t xml:space="preserve"> </w:t>
      </w:r>
      <w:r w:rsidRPr="00610B1B">
        <w:rPr>
          <w:rFonts w:ascii="Times New Roman" w:hAnsi="Times New Roman" w:cs="Times New Roman"/>
          <w:color w:val="000000"/>
          <w:sz w:val="24"/>
          <w:szCs w:val="24"/>
          <w:lang w:val="bg-BG"/>
        </w:rPr>
        <w:t xml:space="preserve">се </w:t>
      </w:r>
      <w:r w:rsidR="006011C0" w:rsidRPr="00610B1B">
        <w:rPr>
          <w:rFonts w:ascii="Times New Roman" w:hAnsi="Times New Roman" w:cs="Times New Roman"/>
          <w:color w:val="000000"/>
          <w:sz w:val="24"/>
          <w:szCs w:val="24"/>
          <w:lang w:val="bg-BG"/>
        </w:rPr>
        <w:t>увеличава</w:t>
      </w:r>
      <w:r w:rsidRPr="00610B1B">
        <w:rPr>
          <w:rFonts w:ascii="Times New Roman" w:hAnsi="Times New Roman" w:cs="Times New Roman"/>
          <w:color w:val="000000"/>
          <w:sz w:val="24"/>
          <w:szCs w:val="24"/>
          <w:lang w:val="bg-BG"/>
        </w:rPr>
        <w:t xml:space="preserve"> и видовете се обогатяват. Политиката на ЕС за намаляване на стопански риболов в морски води, </w:t>
      </w:r>
      <w:r w:rsidR="00ED428F" w:rsidRPr="00610B1B">
        <w:rPr>
          <w:rFonts w:ascii="Times New Roman" w:hAnsi="Times New Roman" w:cs="Times New Roman"/>
          <w:color w:val="000000"/>
          <w:sz w:val="24"/>
          <w:szCs w:val="24"/>
          <w:lang w:val="bg-BG"/>
        </w:rPr>
        <w:t>поради</w:t>
      </w:r>
      <w:r w:rsidRPr="00610B1B">
        <w:rPr>
          <w:rFonts w:ascii="Times New Roman" w:hAnsi="Times New Roman" w:cs="Times New Roman"/>
          <w:color w:val="000000"/>
          <w:sz w:val="24"/>
          <w:szCs w:val="24"/>
          <w:lang w:val="bg-BG"/>
        </w:rPr>
        <w:t xml:space="preserve"> намаляване на местните популации и увеличаващото се търсене на риба и рибни продукти на национално ниво, доказва необходимостта от преструктуриране на отрасъла. </w:t>
      </w:r>
    </w:p>
    <w:p w14:paraId="66F20892" w14:textId="36359EC2" w:rsidR="004A7472" w:rsidRPr="00610B1B" w:rsidRDefault="00115C8D" w:rsidP="00D32D6A">
      <w:pPr>
        <w:autoSpaceDE w:val="0"/>
        <w:autoSpaceDN w:val="0"/>
        <w:adjustRightInd w:val="0"/>
        <w:spacing w:after="120"/>
        <w:ind w:right="-153"/>
        <w:jc w:val="both"/>
        <w:rPr>
          <w:rFonts w:ascii="Times New Roman" w:hAnsi="Times New Roman" w:cs="Times New Roman"/>
          <w:color w:val="000000"/>
          <w:sz w:val="24"/>
          <w:szCs w:val="24"/>
          <w:lang w:val="bg-BG"/>
        </w:rPr>
      </w:pPr>
      <w:r w:rsidRPr="00610B1B">
        <w:rPr>
          <w:rFonts w:ascii="Times New Roman" w:hAnsi="Times New Roman" w:cs="Times New Roman"/>
          <w:color w:val="000000"/>
          <w:sz w:val="24"/>
          <w:szCs w:val="24"/>
          <w:lang w:val="bg-BG"/>
        </w:rPr>
        <w:t>В България са развити два подсектора на аквакултурите: отглеждане на сладководна риба (в топла или студена вода) и отглеждане на морски аквакултури.</w:t>
      </w:r>
      <w:r w:rsidRPr="00610B1B">
        <w:rPr>
          <w:rFonts w:ascii="Times New Roman" w:hAnsi="Times New Roman" w:cs="Times New Roman"/>
          <w:sz w:val="24"/>
          <w:szCs w:val="24"/>
          <w:lang w:val="bg-BG"/>
        </w:rPr>
        <w:t xml:space="preserve"> Във връзка със забраната за извършване на стопански риболов във вътрешните водоеми на страната, влязла в сила от м. август 2012 г., и свързаната с това пререгистрация, се увеличава броят на активните регистрирани производители на аквакултури. Наблюдава се</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тенденция към нарастване на броя на регистрираните сладководни аквакултурни стопанства през годините</w:t>
      </w:r>
      <w:r w:rsidR="00ED428F" w:rsidRPr="00610B1B">
        <w:rPr>
          <w:rFonts w:ascii="Times New Roman" w:hAnsi="Times New Roman" w:cs="Times New Roman"/>
          <w:sz w:val="24"/>
          <w:szCs w:val="24"/>
          <w:lang w:val="bg-BG"/>
        </w:rPr>
        <w:t>, които</w:t>
      </w:r>
      <w:r w:rsidRPr="00610B1B">
        <w:rPr>
          <w:rFonts w:ascii="Times New Roman" w:hAnsi="Times New Roman" w:cs="Times New Roman"/>
          <w:sz w:val="24"/>
          <w:szCs w:val="24"/>
          <w:lang w:val="bg-BG"/>
        </w:rPr>
        <w:t xml:space="preserve"> достига</w:t>
      </w:r>
      <w:r w:rsidR="00ED428F" w:rsidRPr="00610B1B">
        <w:rPr>
          <w:rFonts w:ascii="Times New Roman" w:hAnsi="Times New Roman" w:cs="Times New Roman"/>
          <w:sz w:val="24"/>
          <w:szCs w:val="24"/>
          <w:lang w:val="bg-BG"/>
        </w:rPr>
        <w:t>т</w:t>
      </w:r>
      <w:r w:rsidRPr="00610B1B">
        <w:rPr>
          <w:rFonts w:ascii="Times New Roman" w:hAnsi="Times New Roman" w:cs="Times New Roman"/>
          <w:sz w:val="24"/>
          <w:szCs w:val="24"/>
          <w:lang w:val="bg-BG"/>
        </w:rPr>
        <w:t xml:space="preserve"> </w:t>
      </w:r>
      <w:r w:rsidRPr="00610B1B">
        <w:rPr>
          <w:rFonts w:ascii="Times New Roman" w:hAnsi="Times New Roman" w:cs="Times New Roman"/>
          <w:color w:val="000000" w:themeColor="text1"/>
          <w:sz w:val="24"/>
          <w:szCs w:val="24"/>
          <w:lang w:val="bg-BG"/>
        </w:rPr>
        <w:t>84%</w:t>
      </w:r>
      <w:r w:rsidR="00D66FE0" w:rsidRPr="00610B1B">
        <w:rPr>
          <w:rFonts w:ascii="Times New Roman" w:hAnsi="Times New Roman" w:cs="Times New Roman"/>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през 2018 г</w:t>
      </w:r>
      <w:r w:rsidRPr="00610B1B">
        <w:rPr>
          <w:rFonts w:ascii="Times New Roman" w:hAnsi="Times New Roman" w:cs="Times New Roman"/>
          <w:sz w:val="24"/>
          <w:szCs w:val="24"/>
          <w:lang w:val="bg-BG"/>
        </w:rPr>
        <w:t>.</w:t>
      </w:r>
      <w:r w:rsidRPr="00610B1B">
        <w:rPr>
          <w:rFonts w:ascii="Times New Roman" w:hAnsi="Times New Roman" w:cs="Times New Roman"/>
          <w:color w:val="FF0000"/>
          <w:sz w:val="24"/>
          <w:szCs w:val="24"/>
          <w:lang w:val="bg-BG"/>
        </w:rPr>
        <w:t xml:space="preserve"> </w:t>
      </w:r>
      <w:r w:rsidRPr="00610B1B">
        <w:rPr>
          <w:rFonts w:ascii="Times New Roman" w:hAnsi="Times New Roman" w:cs="Times New Roman"/>
          <w:color w:val="000000"/>
          <w:sz w:val="24"/>
          <w:szCs w:val="24"/>
          <w:lang w:val="bg-BG"/>
        </w:rPr>
        <w:t>от общото производство на аквакултури в България и 16</w:t>
      </w:r>
      <w:r w:rsidRPr="00610B1B">
        <w:rPr>
          <w:rFonts w:ascii="Times New Roman" w:hAnsi="Times New Roman" w:cs="Times New Roman"/>
          <w:color w:val="000000" w:themeColor="text1"/>
          <w:sz w:val="24"/>
          <w:szCs w:val="24"/>
          <w:lang w:val="bg-BG"/>
        </w:rPr>
        <w:t xml:space="preserve">% </w:t>
      </w:r>
      <w:r w:rsidRPr="00610B1B">
        <w:rPr>
          <w:rFonts w:ascii="Times New Roman" w:hAnsi="Times New Roman" w:cs="Times New Roman"/>
          <w:color w:val="000000"/>
          <w:sz w:val="24"/>
          <w:szCs w:val="24"/>
          <w:lang w:val="bg-BG"/>
        </w:rPr>
        <w:t xml:space="preserve">за черноморските аквакултури. </w:t>
      </w:r>
    </w:p>
    <w:p w14:paraId="368136C6" w14:textId="3F32A498" w:rsidR="00115C8D" w:rsidRPr="00610B1B" w:rsidRDefault="00115C8D" w:rsidP="00D32D6A">
      <w:pPr>
        <w:autoSpaceDE w:val="0"/>
        <w:autoSpaceDN w:val="0"/>
        <w:adjustRightInd w:val="0"/>
        <w:spacing w:after="120"/>
        <w:ind w:right="-153"/>
        <w:jc w:val="both"/>
        <w:rPr>
          <w:rFonts w:ascii="Times New Roman" w:eastAsia="Calibri" w:hAnsi="Times New Roman" w:cs="Times New Roman"/>
          <w:sz w:val="24"/>
          <w:szCs w:val="24"/>
          <w:lang w:val="bg-BG"/>
        </w:rPr>
      </w:pPr>
      <w:r w:rsidRPr="00610B1B">
        <w:rPr>
          <w:rFonts w:ascii="Times New Roman" w:hAnsi="Times New Roman" w:cs="Times New Roman"/>
          <w:color w:val="000000"/>
          <w:sz w:val="24"/>
          <w:szCs w:val="24"/>
          <w:lang w:val="bg-BG"/>
        </w:rPr>
        <w:t xml:space="preserve">Производствените съоръжения за </w:t>
      </w:r>
      <w:r w:rsidRPr="00610B1B">
        <w:rPr>
          <w:rFonts w:ascii="Times New Roman" w:hAnsi="Times New Roman" w:cs="Times New Roman"/>
          <w:bCs/>
          <w:color w:val="000000"/>
          <w:sz w:val="24"/>
          <w:szCs w:val="24"/>
          <w:lang w:val="bg-BG"/>
        </w:rPr>
        <w:t xml:space="preserve">морски аквакултури </w:t>
      </w:r>
      <w:r w:rsidRPr="00610B1B">
        <w:rPr>
          <w:rFonts w:ascii="Times New Roman" w:hAnsi="Times New Roman" w:cs="Times New Roman"/>
          <w:color w:val="000000"/>
          <w:sz w:val="24"/>
          <w:szCs w:val="24"/>
          <w:lang w:val="bg-BG"/>
        </w:rPr>
        <w:t xml:space="preserve">включват </w:t>
      </w:r>
      <w:r w:rsidR="004A7472" w:rsidRPr="00610B1B">
        <w:rPr>
          <w:rFonts w:ascii="Times New Roman" w:hAnsi="Times New Roman" w:cs="Times New Roman"/>
          <w:color w:val="000000"/>
          <w:sz w:val="24"/>
          <w:szCs w:val="24"/>
          <w:lang w:val="bg-BG"/>
        </w:rPr>
        <w:t xml:space="preserve">основно съоръжения </w:t>
      </w:r>
      <w:r w:rsidRPr="00610B1B">
        <w:rPr>
          <w:rFonts w:ascii="Times New Roman" w:hAnsi="Times New Roman" w:cs="Times New Roman"/>
          <w:color w:val="000000"/>
          <w:sz w:val="24"/>
          <w:szCs w:val="24"/>
          <w:lang w:val="bg-BG"/>
        </w:rPr>
        <w:t xml:space="preserve">за производство </w:t>
      </w:r>
      <w:r w:rsidR="004A7472" w:rsidRPr="00610B1B">
        <w:rPr>
          <w:rFonts w:ascii="Times New Roman" w:hAnsi="Times New Roman" w:cs="Times New Roman"/>
          <w:color w:val="000000"/>
          <w:sz w:val="24"/>
          <w:szCs w:val="24"/>
          <w:lang w:val="bg-BG"/>
        </w:rPr>
        <w:t>на</w:t>
      </w:r>
      <w:r w:rsidRPr="00610B1B">
        <w:rPr>
          <w:rFonts w:ascii="Times New Roman" w:hAnsi="Times New Roman" w:cs="Times New Roman"/>
          <w:color w:val="000000"/>
          <w:sz w:val="24"/>
          <w:szCs w:val="24"/>
          <w:lang w:val="bg-BG"/>
        </w:rPr>
        <w:t xml:space="preserve"> черна морска мида. </w:t>
      </w:r>
      <w:r w:rsidRPr="00610B1B">
        <w:rPr>
          <w:rFonts w:ascii="Times New Roman" w:hAnsi="Times New Roman" w:cs="Times New Roman"/>
          <w:sz w:val="24"/>
          <w:szCs w:val="24"/>
          <w:lang w:val="bg-BG"/>
        </w:rPr>
        <w:t>Пазарен интерес представляват и други видове молюски, интродуцирани в Черно море като пясъчната мида (</w:t>
      </w:r>
      <w:r w:rsidRPr="00610B1B">
        <w:rPr>
          <w:rFonts w:ascii="Times New Roman" w:hAnsi="Times New Roman" w:cs="Times New Roman"/>
          <w:i/>
          <w:iCs/>
          <w:sz w:val="24"/>
          <w:szCs w:val="24"/>
          <w:lang w:val="bg-BG"/>
        </w:rPr>
        <w:t>Mya arenaria</w:t>
      </w:r>
      <w:r w:rsidRPr="00610B1B">
        <w:rPr>
          <w:rFonts w:ascii="Times New Roman" w:hAnsi="Times New Roman" w:cs="Times New Roman"/>
          <w:sz w:val="24"/>
          <w:szCs w:val="24"/>
          <w:lang w:val="bg-BG"/>
        </w:rPr>
        <w:t>) и рапана (</w:t>
      </w:r>
      <w:r w:rsidRPr="00610B1B">
        <w:rPr>
          <w:rFonts w:ascii="Times New Roman" w:hAnsi="Times New Roman" w:cs="Times New Roman"/>
          <w:i/>
          <w:iCs/>
          <w:sz w:val="24"/>
          <w:szCs w:val="24"/>
          <w:lang w:val="bg-BG"/>
        </w:rPr>
        <w:t>Rapana venosa</w:t>
      </w:r>
      <w:r w:rsidRPr="00610B1B">
        <w:rPr>
          <w:rFonts w:ascii="Times New Roman" w:hAnsi="Times New Roman" w:cs="Times New Roman"/>
          <w:sz w:val="24"/>
          <w:szCs w:val="24"/>
          <w:lang w:val="bg-BG"/>
        </w:rPr>
        <w:t xml:space="preserve">), които към момента са единствено обект на улов, без да се разработват методи за развъждането и отглеждането им. </w:t>
      </w:r>
      <w:r w:rsidRPr="00610B1B">
        <w:rPr>
          <w:rFonts w:ascii="Times New Roman" w:hAnsi="Times New Roman" w:cs="Times New Roman"/>
          <w:color w:val="000000"/>
          <w:sz w:val="24"/>
          <w:szCs w:val="24"/>
          <w:lang w:val="bg-BG"/>
        </w:rPr>
        <w:t xml:space="preserve">По данни на </w:t>
      </w:r>
      <w:r w:rsidR="00ED428F" w:rsidRPr="00610B1B">
        <w:rPr>
          <w:rFonts w:ascii="Times New Roman" w:hAnsi="Times New Roman" w:cs="Times New Roman"/>
          <w:color w:val="000000"/>
          <w:sz w:val="24"/>
          <w:szCs w:val="24"/>
          <w:lang w:val="bg-BG"/>
        </w:rPr>
        <w:t>ИАРА</w:t>
      </w:r>
      <w:r w:rsidRPr="00610B1B">
        <w:rPr>
          <w:rFonts w:ascii="Times New Roman" w:hAnsi="Times New Roman" w:cs="Times New Roman"/>
          <w:color w:val="000000"/>
          <w:sz w:val="24"/>
          <w:szCs w:val="24"/>
          <w:lang w:val="bg-BG"/>
        </w:rPr>
        <w:t xml:space="preserve"> през последните години сред морските аквакултури се наблюдава разнообразие и на други видове, като калкан, дънен морски червей и др. </w:t>
      </w:r>
      <w:r w:rsidR="00013745" w:rsidRPr="00610B1B">
        <w:rPr>
          <w:rFonts w:ascii="Times New Roman" w:hAnsi="Times New Roman" w:cs="Times New Roman"/>
          <w:sz w:val="24"/>
          <w:szCs w:val="24"/>
          <w:lang w:val="bg-BG"/>
        </w:rPr>
        <w:t xml:space="preserve">Общият брой производствени </w:t>
      </w:r>
      <w:r w:rsidR="009E47BC" w:rsidRPr="00610B1B">
        <w:rPr>
          <w:rFonts w:ascii="Times New Roman" w:hAnsi="Times New Roman" w:cs="Times New Roman"/>
          <w:sz w:val="24"/>
          <w:szCs w:val="24"/>
          <w:lang w:val="bg-BG"/>
        </w:rPr>
        <w:t xml:space="preserve">обекти </w:t>
      </w:r>
      <w:r w:rsidR="00013745" w:rsidRPr="00610B1B">
        <w:rPr>
          <w:rFonts w:ascii="Times New Roman" w:hAnsi="Times New Roman" w:cs="Times New Roman"/>
          <w:sz w:val="24"/>
          <w:szCs w:val="24"/>
          <w:lang w:val="bg-BG"/>
        </w:rPr>
        <w:t>към 2019 г. е 700, от които 25 са черноморските аквакултури. При анализ на производствените обеми в сектора в периода 2015-2019 г. се наблюдава ясно очертаваща се тенденция на нарастване на</w:t>
      </w:r>
      <w:r w:rsidR="00D66FE0" w:rsidRPr="00610B1B">
        <w:rPr>
          <w:rFonts w:ascii="Times New Roman" w:hAnsi="Times New Roman" w:cs="Times New Roman"/>
          <w:sz w:val="24"/>
          <w:szCs w:val="24"/>
          <w:lang w:val="bg-BG"/>
        </w:rPr>
        <w:t xml:space="preserve"> </w:t>
      </w:r>
      <w:r w:rsidR="00013745" w:rsidRPr="00610B1B">
        <w:rPr>
          <w:rFonts w:ascii="Times New Roman" w:hAnsi="Times New Roman" w:cs="Times New Roman"/>
          <w:sz w:val="24"/>
          <w:szCs w:val="24"/>
          <w:lang w:val="bg-BG"/>
        </w:rPr>
        <w:t>продукцията и достигането на 16 513,78 тона за 2019 г.</w:t>
      </w:r>
      <w:r w:rsidRPr="00610B1B">
        <w:rPr>
          <w:rFonts w:ascii="Times New Roman" w:hAnsi="Times New Roman" w:cs="Times New Roman"/>
          <w:sz w:val="24"/>
          <w:szCs w:val="24"/>
          <w:lang w:val="bg-BG"/>
        </w:rPr>
        <w:t xml:space="preserve">, но повишаването на националната продукция е резултат основно от повишени количества във вътрешните водоеми. </w:t>
      </w:r>
      <w:r w:rsidRPr="00610B1B">
        <w:rPr>
          <w:rFonts w:ascii="Times New Roman" w:hAnsi="Times New Roman" w:cs="Times New Roman"/>
          <w:color w:val="000000"/>
          <w:sz w:val="24"/>
          <w:szCs w:val="24"/>
          <w:lang w:val="bg-BG"/>
        </w:rPr>
        <w:t xml:space="preserve">Запазващата се </w:t>
      </w:r>
      <w:r w:rsidRPr="00610B1B">
        <w:rPr>
          <w:rFonts w:ascii="Times New Roman" w:eastAsia="Calibri" w:hAnsi="Times New Roman" w:cs="Times New Roman"/>
          <w:color w:val="000000"/>
          <w:sz w:val="24"/>
          <w:szCs w:val="24"/>
          <w:lang w:val="bg-BG"/>
        </w:rPr>
        <w:t>тенденция към</w:t>
      </w:r>
      <w:r w:rsidRPr="00610B1B">
        <w:rPr>
          <w:rFonts w:ascii="Times New Roman" w:eastAsia="Calibri" w:hAnsi="Times New Roman" w:cs="Times New Roman"/>
          <w:sz w:val="24"/>
          <w:szCs w:val="24"/>
          <w:lang w:val="bg-BG"/>
        </w:rPr>
        <w:t xml:space="preserve"> нарастване на производството на черноморските аквакултури спрямо общото количество продължава, като </w:t>
      </w:r>
      <w:r w:rsidRPr="00610B1B">
        <w:rPr>
          <w:rFonts w:ascii="Times New Roman" w:hAnsi="Times New Roman" w:cs="Times New Roman"/>
          <w:sz w:val="24"/>
          <w:szCs w:val="24"/>
          <w:lang w:val="bg-BG"/>
        </w:rPr>
        <w:t>през периода 2017-201</w:t>
      </w:r>
      <w:r w:rsidR="00013745" w:rsidRPr="00610B1B">
        <w:rPr>
          <w:rFonts w:ascii="Times New Roman" w:hAnsi="Times New Roman" w:cs="Times New Roman"/>
          <w:sz w:val="24"/>
          <w:szCs w:val="24"/>
          <w:lang w:val="bg-BG"/>
        </w:rPr>
        <w:t>9</w:t>
      </w:r>
      <w:r w:rsidRPr="00610B1B">
        <w:rPr>
          <w:rFonts w:ascii="Times New Roman" w:hAnsi="Times New Roman" w:cs="Times New Roman"/>
          <w:sz w:val="24"/>
          <w:szCs w:val="24"/>
          <w:lang w:val="bg-BG"/>
        </w:rPr>
        <w:t xml:space="preserve"> г. </w:t>
      </w:r>
      <w:r w:rsidRPr="00610B1B">
        <w:rPr>
          <w:rFonts w:ascii="Times New Roman" w:eastAsia="Calibri" w:hAnsi="Times New Roman" w:cs="Times New Roman"/>
          <w:sz w:val="24"/>
          <w:szCs w:val="24"/>
          <w:lang w:val="bg-BG"/>
        </w:rPr>
        <w:t>показва незначително понижаване</w:t>
      </w:r>
      <w:r w:rsidR="004A7472"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поради прекратяване на дейността на част от мидените плантации. Динамиката на производствените обеми на вътрешните водоеми и морските аквакултури за периода 2015–201</w:t>
      </w:r>
      <w:r w:rsidR="00173C7E" w:rsidRPr="00610B1B">
        <w:rPr>
          <w:rFonts w:ascii="Times New Roman" w:eastAsia="Calibri" w:hAnsi="Times New Roman" w:cs="Times New Roman"/>
          <w:sz w:val="24"/>
          <w:szCs w:val="24"/>
          <w:lang w:val="bg-BG"/>
        </w:rPr>
        <w:t>9</w:t>
      </w:r>
      <w:r w:rsidRPr="00610B1B">
        <w:rPr>
          <w:rFonts w:ascii="Times New Roman" w:eastAsia="Calibri" w:hAnsi="Times New Roman" w:cs="Times New Roman"/>
          <w:sz w:val="24"/>
          <w:szCs w:val="24"/>
          <w:lang w:val="bg-BG"/>
        </w:rPr>
        <w:t xml:space="preserve"> г. на </w:t>
      </w:r>
      <w:r w:rsidR="000C428F" w:rsidRPr="00610B1B">
        <w:rPr>
          <w:rFonts w:ascii="Times New Roman" w:eastAsia="Calibri" w:hAnsi="Times New Roman" w:cs="Times New Roman"/>
          <w:sz w:val="24"/>
          <w:szCs w:val="24"/>
          <w:lang w:val="bg-BG"/>
        </w:rPr>
        <w:t>Ф</w:t>
      </w:r>
      <w:r w:rsidR="004A7472" w:rsidRPr="00610B1B">
        <w:rPr>
          <w:rFonts w:ascii="Times New Roman" w:eastAsia="Calibri" w:hAnsi="Times New Roman" w:cs="Times New Roman"/>
          <w:sz w:val="24"/>
          <w:szCs w:val="24"/>
          <w:lang w:val="bg-BG"/>
        </w:rPr>
        <w:t xml:space="preserve">игура </w:t>
      </w:r>
      <w:r w:rsidR="00422374" w:rsidRPr="00610B1B">
        <w:rPr>
          <w:rFonts w:ascii="Times New Roman" w:eastAsia="Calibri" w:hAnsi="Times New Roman" w:cs="Times New Roman"/>
          <w:sz w:val="24"/>
          <w:szCs w:val="24"/>
          <w:lang w:val="bg-BG"/>
        </w:rPr>
        <w:t>2</w:t>
      </w:r>
      <w:r w:rsidR="00173C7E" w:rsidRPr="00610B1B">
        <w:rPr>
          <w:rFonts w:ascii="Times New Roman" w:eastAsia="Calibri" w:hAnsi="Times New Roman" w:cs="Times New Roman"/>
          <w:sz w:val="24"/>
          <w:szCs w:val="24"/>
          <w:lang w:val="bg-BG"/>
        </w:rPr>
        <w:t>1</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показва успеха на производството на сладководните басейни, вследствие на различ</w:t>
      </w:r>
      <w:r w:rsidR="00ED428F" w:rsidRPr="00610B1B">
        <w:rPr>
          <w:rFonts w:ascii="Times New Roman" w:eastAsia="Calibri" w:hAnsi="Times New Roman" w:cs="Times New Roman"/>
          <w:sz w:val="24"/>
          <w:szCs w:val="24"/>
          <w:lang w:val="bg-BG"/>
        </w:rPr>
        <w:t>ните</w:t>
      </w:r>
      <w:r w:rsidRPr="00610B1B">
        <w:rPr>
          <w:rFonts w:ascii="Times New Roman" w:eastAsia="Calibri" w:hAnsi="Times New Roman" w:cs="Times New Roman"/>
          <w:sz w:val="24"/>
          <w:szCs w:val="24"/>
          <w:lang w:val="bg-BG"/>
        </w:rPr>
        <w:t xml:space="preserve"> природните условия от </w:t>
      </w:r>
      <w:r w:rsidR="00ED428F" w:rsidRPr="00610B1B">
        <w:rPr>
          <w:rFonts w:ascii="Times New Roman" w:eastAsia="Calibri" w:hAnsi="Times New Roman" w:cs="Times New Roman"/>
          <w:sz w:val="24"/>
          <w:szCs w:val="24"/>
          <w:lang w:val="bg-BG"/>
        </w:rPr>
        <w:t xml:space="preserve">Черноморското </w:t>
      </w:r>
      <w:r w:rsidRPr="00610B1B">
        <w:rPr>
          <w:rFonts w:ascii="Times New Roman" w:eastAsia="Calibri" w:hAnsi="Times New Roman" w:cs="Times New Roman"/>
          <w:sz w:val="24"/>
          <w:szCs w:val="24"/>
          <w:lang w:val="bg-BG"/>
        </w:rPr>
        <w:t xml:space="preserve">ни крайбрежие. </w:t>
      </w:r>
    </w:p>
    <w:p w14:paraId="161F1250" w14:textId="28C5704C" w:rsidR="00115C8D" w:rsidRPr="00610B1B" w:rsidRDefault="00B62269" w:rsidP="00D32D6A">
      <w:pPr>
        <w:autoSpaceDE w:val="0"/>
        <w:autoSpaceDN w:val="0"/>
        <w:adjustRightInd w:val="0"/>
        <w:spacing w:after="120"/>
        <w:ind w:right="-153"/>
        <w:rPr>
          <w:rFonts w:ascii="Times New Roman" w:hAnsi="Times New Roman" w:cs="Times New Roman"/>
          <w:sz w:val="24"/>
          <w:szCs w:val="24"/>
          <w:lang w:val="bg-BG"/>
        </w:rPr>
      </w:pPr>
      <w:bookmarkStart w:id="358" w:name="_Toc83391484"/>
      <w:r w:rsidRPr="00610B1B">
        <w:rPr>
          <w:rFonts w:ascii="Times New Roman" w:hAnsi="Times New Roman" w:cs="Times New Roman"/>
          <w:sz w:val="24"/>
          <w:szCs w:val="24"/>
          <w:lang w:val="bg-BG"/>
        </w:rPr>
        <w:lastRenderedPageBreak/>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21</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115C8D" w:rsidRPr="00610B1B">
        <w:rPr>
          <w:rFonts w:ascii="Times New Roman" w:hAnsi="Times New Roman" w:cs="Times New Roman"/>
          <w:sz w:val="24"/>
          <w:szCs w:val="24"/>
          <w:lang w:val="bg-BG"/>
        </w:rPr>
        <w:t>Годишно производство на аквакултури в Р. България (в тона) за периода 2015-201</w:t>
      </w:r>
      <w:r w:rsidR="00013745" w:rsidRPr="00610B1B">
        <w:rPr>
          <w:rFonts w:ascii="Times New Roman" w:hAnsi="Times New Roman" w:cs="Times New Roman"/>
          <w:sz w:val="24"/>
          <w:szCs w:val="24"/>
          <w:lang w:val="bg-BG"/>
        </w:rPr>
        <w:t>9</w:t>
      </w:r>
      <w:r w:rsidR="00115C8D" w:rsidRPr="00610B1B">
        <w:rPr>
          <w:rFonts w:ascii="Times New Roman" w:hAnsi="Times New Roman" w:cs="Times New Roman"/>
          <w:sz w:val="24"/>
          <w:szCs w:val="24"/>
          <w:lang w:val="bg-BG"/>
        </w:rPr>
        <w:t xml:space="preserve"> г.</w:t>
      </w:r>
      <w:bookmarkEnd w:id="358"/>
    </w:p>
    <w:p w14:paraId="410E4C5F" w14:textId="2C066A0A" w:rsidR="00115C8D" w:rsidRPr="00610B1B" w:rsidRDefault="0004160B" w:rsidP="00BC44C1">
      <w:pPr>
        <w:autoSpaceDE w:val="0"/>
        <w:autoSpaceDN w:val="0"/>
        <w:adjustRightInd w:val="0"/>
        <w:spacing w:after="120"/>
        <w:ind w:right="-153"/>
        <w:rPr>
          <w:rFonts w:ascii="Times New Roman" w:eastAsia="Calibri" w:hAnsi="Times New Roman" w:cs="Times New Roman"/>
          <w:sz w:val="24"/>
          <w:szCs w:val="24"/>
          <w:lang w:val="bg-BG"/>
        </w:rPr>
      </w:pPr>
      <w:r w:rsidRPr="00610B1B">
        <w:rPr>
          <w:rFonts w:ascii="Times New Roman" w:eastAsia="Calibri" w:hAnsi="Times New Roman" w:cs="Times New Roman"/>
          <w:noProof/>
          <w:szCs w:val="24"/>
          <w:lang w:val="bg-BG" w:eastAsia="bg-BG"/>
        </w:rPr>
        <w:drawing>
          <wp:inline distT="0" distB="0" distL="0" distR="0" wp14:anchorId="0D1ED914" wp14:editId="17F59A5C">
            <wp:extent cx="4197040" cy="2037029"/>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a:extLst>
                        <a:ext uri="{28A0092B-C50C-407E-A947-70E740481C1C}">
                          <a14:useLocalDpi xmlns:a14="http://schemas.microsoft.com/office/drawing/2010/main" val="0"/>
                        </a:ext>
                      </a:extLst>
                    </a:blip>
                    <a:srcRect t="2201" r="10462" b="4698"/>
                    <a:stretch/>
                  </pic:blipFill>
                  <pic:spPr bwMode="auto">
                    <a:xfrm>
                      <a:off x="0" y="0"/>
                      <a:ext cx="4201366" cy="2039129"/>
                    </a:xfrm>
                    <a:prstGeom prst="rect">
                      <a:avLst/>
                    </a:prstGeom>
                    <a:noFill/>
                    <a:ln>
                      <a:noFill/>
                    </a:ln>
                    <a:extLst>
                      <a:ext uri="{53640926-AAD7-44D8-BBD7-CCE9431645EC}">
                        <a14:shadowObscured xmlns:a14="http://schemas.microsoft.com/office/drawing/2010/main"/>
                      </a:ext>
                    </a:extLst>
                  </pic:spPr>
                </pic:pic>
              </a:graphicData>
            </a:graphic>
          </wp:inline>
        </w:drawing>
      </w:r>
    </w:p>
    <w:p w14:paraId="5C94B306" w14:textId="058F8EE6" w:rsidR="00115C8D" w:rsidRPr="00610B1B" w:rsidRDefault="00115C8D" w:rsidP="00D32D6A">
      <w:pPr>
        <w:shd w:val="clear" w:color="auto" w:fill="FEFEFE"/>
        <w:spacing w:after="120"/>
        <w:ind w:right="-153"/>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Източник:</w:t>
      </w:r>
      <w:r w:rsidR="006C67DA" w:rsidRPr="00610B1B">
        <w:rPr>
          <w:rFonts w:ascii="Times New Roman" w:eastAsia="Times New Roman" w:hAnsi="Times New Roman" w:cs="Times New Roman"/>
          <w:bCs/>
          <w:color w:val="000000"/>
          <w:lang w:val="bg-BG" w:eastAsia="bg-BG"/>
        </w:rPr>
        <w:t xml:space="preserve"> </w:t>
      </w:r>
      <w:r w:rsidRPr="00610B1B">
        <w:rPr>
          <w:rFonts w:ascii="Times New Roman" w:eastAsia="Times New Roman" w:hAnsi="Times New Roman" w:cs="Times New Roman"/>
          <w:bCs/>
          <w:color w:val="000000"/>
          <w:lang w:val="bg-BG" w:eastAsia="bg-BG"/>
        </w:rPr>
        <w:t>ИАРА</w:t>
      </w:r>
    </w:p>
    <w:p w14:paraId="4FA4D734" w14:textId="16AA019D" w:rsidR="00115C8D" w:rsidRPr="00610B1B" w:rsidRDefault="00ED428F"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Лимитиращи </w:t>
      </w:r>
      <w:r w:rsidR="00115C8D" w:rsidRPr="00610B1B">
        <w:rPr>
          <w:rFonts w:ascii="Times New Roman" w:hAnsi="Times New Roman" w:cs="Times New Roman"/>
          <w:sz w:val="24"/>
          <w:szCs w:val="24"/>
          <w:lang w:val="bg-BG"/>
        </w:rPr>
        <w:t xml:space="preserve">фактори за развитието на аквакултура по </w:t>
      </w:r>
      <w:r w:rsidRPr="00610B1B">
        <w:rPr>
          <w:rFonts w:ascii="Times New Roman" w:hAnsi="Times New Roman" w:cs="Times New Roman"/>
          <w:sz w:val="24"/>
          <w:szCs w:val="24"/>
          <w:lang w:val="bg-BG"/>
        </w:rPr>
        <w:t xml:space="preserve">българското Черноморско </w:t>
      </w:r>
      <w:r w:rsidR="00115C8D" w:rsidRPr="00610B1B">
        <w:rPr>
          <w:rFonts w:ascii="Times New Roman" w:hAnsi="Times New Roman" w:cs="Times New Roman"/>
          <w:sz w:val="24"/>
          <w:szCs w:val="24"/>
          <w:lang w:val="bg-BG"/>
        </w:rPr>
        <w:t xml:space="preserve">крайбрежие </w:t>
      </w:r>
      <w:r w:rsidR="00AC5BD2" w:rsidRPr="00610B1B">
        <w:rPr>
          <w:rFonts w:ascii="Times New Roman" w:hAnsi="Times New Roman" w:cs="Times New Roman"/>
          <w:sz w:val="24"/>
          <w:szCs w:val="24"/>
          <w:lang w:val="bg-BG"/>
        </w:rPr>
        <w:t>са</w:t>
      </w:r>
      <w:r w:rsidR="00D66FE0" w:rsidRPr="00610B1B">
        <w:rPr>
          <w:rFonts w:ascii="Times New Roman" w:hAnsi="Times New Roman" w:cs="Times New Roman"/>
          <w:sz w:val="24"/>
          <w:szCs w:val="24"/>
          <w:lang w:val="bg-BG"/>
        </w:rPr>
        <w:t xml:space="preserve"> </w:t>
      </w:r>
      <w:r w:rsidR="00115C8D" w:rsidRPr="00610B1B">
        <w:rPr>
          <w:rFonts w:ascii="Times New Roman" w:hAnsi="Times New Roman" w:cs="Times New Roman"/>
          <w:sz w:val="24"/>
          <w:szCs w:val="24"/>
          <w:lang w:val="bg-BG"/>
        </w:rPr>
        <w:t xml:space="preserve">липсата на добре защитени от вълнение райони, като лимани, силно врязани в сушата заливи, температурният режим на черноморските води в годишен аспект. Тези фактори влияят негативно върху стойността на производството на морските организми. В същото време, благоприятни условия за създаването на мидени ферми по нашето крайбрежие съществуват, като отглежданите миди се отличават с добро качество и висок рандеман. Особено перспективно е създаване на затворен цикъл на производството чрез изграждане на преработвателни предприятия към мидените плантации. </w:t>
      </w:r>
    </w:p>
    <w:p w14:paraId="5A440EE5" w14:textId="667313F5" w:rsidR="006C67DA" w:rsidRPr="00610B1B" w:rsidRDefault="00115C8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Производството на аквакултури играе все по-важна роля за задоволяване на потребностите от риба и представлява алтернатива на стопанския риболов, което влияе силно върху постоянно намаляващите и силно застрашени рибни ресурси в естествените водоеми. Биологичният и екологичният индикатор са с ниски стойности поради липсата на натиск върху естествените популации и ниското въздействие върху околната среда. Икономическият (стойност на </w:t>
      </w:r>
      <w:r w:rsidR="006011C0" w:rsidRPr="00610B1B">
        <w:rPr>
          <w:rFonts w:ascii="Times New Roman" w:hAnsi="Times New Roman" w:cs="Times New Roman"/>
          <w:sz w:val="24"/>
          <w:szCs w:val="24"/>
          <w:lang w:val="bg-BG"/>
        </w:rPr>
        <w:t>производството</w:t>
      </w:r>
      <w:r w:rsidRPr="00610B1B">
        <w:rPr>
          <w:rFonts w:ascii="Times New Roman" w:hAnsi="Times New Roman" w:cs="Times New Roman"/>
          <w:sz w:val="24"/>
          <w:szCs w:val="24"/>
          <w:lang w:val="bg-BG"/>
        </w:rPr>
        <w:t xml:space="preserve">) и социалният индикатор (брой заети и сектора, обща значимост) са с високи стойности, докато техническият индикатор е с ниска стойност (недостатъчно </w:t>
      </w:r>
      <w:r w:rsidR="006011C0" w:rsidRPr="00610B1B">
        <w:rPr>
          <w:rFonts w:ascii="Times New Roman" w:hAnsi="Times New Roman" w:cs="Times New Roman"/>
          <w:sz w:val="24"/>
          <w:szCs w:val="24"/>
          <w:lang w:val="bg-BG"/>
        </w:rPr>
        <w:t>разнообразие</w:t>
      </w:r>
      <w:r w:rsidRPr="00610B1B">
        <w:rPr>
          <w:rFonts w:ascii="Times New Roman" w:hAnsi="Times New Roman" w:cs="Times New Roman"/>
          <w:sz w:val="24"/>
          <w:szCs w:val="24"/>
          <w:lang w:val="bg-BG"/>
        </w:rPr>
        <w:t xml:space="preserve"> на производството от морска аквакултура).</w:t>
      </w:r>
    </w:p>
    <w:p w14:paraId="2647D92F" w14:textId="5E4F0550" w:rsidR="00115C8D" w:rsidRPr="00610B1B" w:rsidRDefault="00B62269" w:rsidP="00E37053">
      <w:pPr>
        <w:autoSpaceDE w:val="0"/>
        <w:autoSpaceDN w:val="0"/>
        <w:adjustRightInd w:val="0"/>
        <w:spacing w:after="70" w:line="240" w:lineRule="auto"/>
        <w:ind w:right="-153"/>
        <w:jc w:val="both"/>
        <w:rPr>
          <w:rFonts w:ascii="Times New Roman" w:hAnsi="Times New Roman" w:cs="Times New Roman"/>
          <w:sz w:val="24"/>
          <w:szCs w:val="24"/>
          <w:lang w:val="bg-BG"/>
        </w:rPr>
      </w:pPr>
      <w:bookmarkStart w:id="359" w:name="_Toc83391485"/>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22</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115C8D" w:rsidRPr="00610B1B">
        <w:rPr>
          <w:rFonts w:ascii="Times New Roman" w:hAnsi="Times New Roman" w:cs="Times New Roman"/>
          <w:sz w:val="24"/>
          <w:szCs w:val="24"/>
          <w:lang w:val="bg-BG"/>
        </w:rPr>
        <w:t>Оценка на сектор аквакултури в българската акватория на Черно море по предложените индикатори</w:t>
      </w:r>
      <w:bookmarkEnd w:id="359"/>
    </w:p>
    <w:tbl>
      <w:tblPr>
        <w:tblW w:w="863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60"/>
        <w:gridCol w:w="1286"/>
        <w:gridCol w:w="1846"/>
        <w:gridCol w:w="1517"/>
        <w:gridCol w:w="1516"/>
        <w:gridCol w:w="1505"/>
      </w:tblGrid>
      <w:tr w:rsidR="00115C8D" w:rsidRPr="00610B1B" w14:paraId="4E2AA588" w14:textId="77777777" w:rsidTr="001E3FED">
        <w:trPr>
          <w:trHeight w:val="315"/>
          <w:jc w:val="center"/>
        </w:trPr>
        <w:tc>
          <w:tcPr>
            <w:tcW w:w="960" w:type="dxa"/>
            <w:shd w:val="clear" w:color="auto" w:fill="auto"/>
            <w:noWrap/>
            <w:vAlign w:val="bottom"/>
            <w:hideMark/>
          </w:tcPr>
          <w:p w14:paraId="64C39B7C" w14:textId="77777777" w:rsidR="00115C8D" w:rsidRPr="00610B1B" w:rsidRDefault="00115C8D" w:rsidP="00D32D6A">
            <w:pPr>
              <w:spacing w:after="0" w:line="240" w:lineRule="auto"/>
              <w:rPr>
                <w:rFonts w:ascii="Times New Roman" w:eastAsia="Times New Roman" w:hAnsi="Times New Roman" w:cs="Times New Roman"/>
                <w:color w:val="000000"/>
                <w:sz w:val="24"/>
                <w:szCs w:val="24"/>
                <w:lang w:val="bg-BG"/>
              </w:rPr>
            </w:pPr>
            <w:r w:rsidRPr="00610B1B">
              <w:rPr>
                <w:rFonts w:ascii="Times New Roman" w:eastAsia="Times New Roman" w:hAnsi="Times New Roman" w:cs="Times New Roman"/>
                <w:color w:val="000000"/>
                <w:sz w:val="24"/>
                <w:szCs w:val="24"/>
                <w:lang w:val="bg-BG"/>
              </w:rPr>
              <w:t> </w:t>
            </w:r>
          </w:p>
        </w:tc>
        <w:tc>
          <w:tcPr>
            <w:tcW w:w="7670" w:type="dxa"/>
            <w:gridSpan w:val="5"/>
            <w:shd w:val="clear" w:color="auto" w:fill="auto"/>
            <w:noWrap/>
            <w:vAlign w:val="center"/>
            <w:hideMark/>
          </w:tcPr>
          <w:p w14:paraId="3F30CCB9" w14:textId="77777777" w:rsidR="00115C8D" w:rsidRPr="00610B1B" w:rsidRDefault="00115C8D" w:rsidP="00D32D6A">
            <w:pPr>
              <w:spacing w:after="0" w:line="240" w:lineRule="auto"/>
              <w:jc w:val="center"/>
              <w:rPr>
                <w:rFonts w:ascii="Times New Roman" w:eastAsia="Times New Roman" w:hAnsi="Times New Roman" w:cs="Times New Roman"/>
                <w:b/>
                <w:bCs/>
                <w:i/>
                <w:iCs/>
                <w:color w:val="000000"/>
                <w:sz w:val="24"/>
                <w:szCs w:val="24"/>
                <w:lang w:val="bg-BG"/>
              </w:rPr>
            </w:pPr>
            <w:r w:rsidRPr="00610B1B">
              <w:rPr>
                <w:rFonts w:ascii="Times New Roman" w:eastAsia="Times New Roman" w:hAnsi="Times New Roman" w:cs="Times New Roman"/>
                <w:b/>
                <w:bCs/>
                <w:i/>
                <w:iCs/>
                <w:color w:val="000000"/>
                <w:sz w:val="24"/>
                <w:szCs w:val="24"/>
                <w:lang w:val="bg-BG"/>
              </w:rPr>
              <w:t>Индикатори</w:t>
            </w:r>
          </w:p>
        </w:tc>
      </w:tr>
      <w:tr w:rsidR="00115C8D" w:rsidRPr="00610B1B" w14:paraId="24AE7428" w14:textId="77777777" w:rsidTr="001E3FED">
        <w:trPr>
          <w:trHeight w:val="315"/>
          <w:jc w:val="center"/>
        </w:trPr>
        <w:tc>
          <w:tcPr>
            <w:tcW w:w="960" w:type="dxa"/>
            <w:vMerge w:val="restart"/>
            <w:shd w:val="clear" w:color="auto" w:fill="auto"/>
            <w:noWrap/>
            <w:vAlign w:val="center"/>
            <w:hideMark/>
          </w:tcPr>
          <w:p w14:paraId="551D2174" w14:textId="77777777" w:rsidR="00115C8D" w:rsidRPr="00610B1B" w:rsidRDefault="00115C8D" w:rsidP="00D32D6A">
            <w:pPr>
              <w:spacing w:after="0" w:line="240" w:lineRule="auto"/>
              <w:jc w:val="center"/>
              <w:rPr>
                <w:rFonts w:ascii="Times New Roman" w:eastAsia="Times New Roman" w:hAnsi="Times New Roman" w:cs="Times New Roman"/>
                <w:b/>
                <w:bCs/>
                <w:i/>
                <w:iCs/>
                <w:color w:val="000000"/>
                <w:sz w:val="24"/>
                <w:szCs w:val="24"/>
                <w:lang w:val="bg-BG"/>
              </w:rPr>
            </w:pPr>
            <w:r w:rsidRPr="00610B1B">
              <w:rPr>
                <w:rFonts w:ascii="Times New Roman" w:eastAsia="Times New Roman" w:hAnsi="Times New Roman" w:cs="Times New Roman"/>
                <w:b/>
                <w:bCs/>
                <w:i/>
                <w:iCs/>
                <w:color w:val="000000"/>
                <w:sz w:val="24"/>
                <w:szCs w:val="24"/>
                <w:lang w:val="bg-BG"/>
              </w:rPr>
              <w:t>Ниво</w:t>
            </w:r>
          </w:p>
        </w:tc>
        <w:tc>
          <w:tcPr>
            <w:tcW w:w="1286" w:type="dxa"/>
            <w:shd w:val="clear" w:color="auto" w:fill="auto"/>
            <w:noWrap/>
            <w:vAlign w:val="center"/>
            <w:hideMark/>
          </w:tcPr>
          <w:p w14:paraId="5999512E" w14:textId="77777777" w:rsidR="00115C8D" w:rsidRPr="00610B1B" w:rsidRDefault="00115C8D" w:rsidP="00D32D6A">
            <w:pPr>
              <w:spacing w:after="0" w:line="240" w:lineRule="auto"/>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Социален</w:t>
            </w:r>
          </w:p>
        </w:tc>
        <w:tc>
          <w:tcPr>
            <w:tcW w:w="1846" w:type="dxa"/>
            <w:shd w:val="clear" w:color="auto" w:fill="auto"/>
            <w:noWrap/>
            <w:vAlign w:val="center"/>
            <w:hideMark/>
          </w:tcPr>
          <w:p w14:paraId="69CC3D15" w14:textId="77777777" w:rsidR="00115C8D" w:rsidRPr="00610B1B" w:rsidRDefault="00115C8D" w:rsidP="00D32D6A">
            <w:pPr>
              <w:spacing w:after="0" w:line="240" w:lineRule="auto"/>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Икономически</w:t>
            </w:r>
          </w:p>
        </w:tc>
        <w:tc>
          <w:tcPr>
            <w:tcW w:w="1517" w:type="dxa"/>
            <w:shd w:val="clear" w:color="auto" w:fill="auto"/>
            <w:noWrap/>
            <w:vAlign w:val="center"/>
            <w:hideMark/>
          </w:tcPr>
          <w:p w14:paraId="5B5033A2" w14:textId="77777777" w:rsidR="00115C8D" w:rsidRPr="00610B1B" w:rsidRDefault="00115C8D" w:rsidP="00D32D6A">
            <w:pPr>
              <w:spacing w:after="0" w:line="240" w:lineRule="auto"/>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 xml:space="preserve">Екологичен </w:t>
            </w:r>
          </w:p>
        </w:tc>
        <w:tc>
          <w:tcPr>
            <w:tcW w:w="1516" w:type="dxa"/>
            <w:shd w:val="clear" w:color="auto" w:fill="auto"/>
            <w:noWrap/>
            <w:vAlign w:val="center"/>
            <w:hideMark/>
          </w:tcPr>
          <w:p w14:paraId="2ED9A1FF" w14:textId="77777777" w:rsidR="00115C8D" w:rsidRPr="00610B1B" w:rsidRDefault="00115C8D" w:rsidP="00D32D6A">
            <w:pPr>
              <w:spacing w:after="0" w:line="240" w:lineRule="auto"/>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Биологичен</w:t>
            </w:r>
          </w:p>
        </w:tc>
        <w:tc>
          <w:tcPr>
            <w:tcW w:w="1505" w:type="dxa"/>
            <w:shd w:val="clear" w:color="auto" w:fill="auto"/>
            <w:noWrap/>
            <w:vAlign w:val="center"/>
            <w:hideMark/>
          </w:tcPr>
          <w:p w14:paraId="6E288CCD" w14:textId="77777777" w:rsidR="00115C8D" w:rsidRPr="00610B1B" w:rsidRDefault="00115C8D" w:rsidP="00D32D6A">
            <w:pPr>
              <w:spacing w:after="0" w:line="240" w:lineRule="auto"/>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Технически</w:t>
            </w:r>
          </w:p>
        </w:tc>
      </w:tr>
      <w:tr w:rsidR="00115C8D" w:rsidRPr="00610B1B" w14:paraId="5EB22DE8" w14:textId="77777777" w:rsidTr="001E3FED">
        <w:trPr>
          <w:trHeight w:val="315"/>
          <w:jc w:val="center"/>
        </w:trPr>
        <w:tc>
          <w:tcPr>
            <w:tcW w:w="960" w:type="dxa"/>
            <w:vMerge/>
            <w:vAlign w:val="center"/>
            <w:hideMark/>
          </w:tcPr>
          <w:p w14:paraId="53AAFAB9" w14:textId="77777777" w:rsidR="00115C8D" w:rsidRPr="00610B1B" w:rsidRDefault="00115C8D" w:rsidP="00D32D6A">
            <w:pPr>
              <w:spacing w:after="0" w:line="240" w:lineRule="auto"/>
              <w:rPr>
                <w:rFonts w:ascii="Times New Roman" w:eastAsia="Times New Roman" w:hAnsi="Times New Roman" w:cs="Times New Roman"/>
                <w:b/>
                <w:bCs/>
                <w:i/>
                <w:iCs/>
                <w:color w:val="000000"/>
                <w:sz w:val="24"/>
                <w:szCs w:val="24"/>
                <w:lang w:val="bg-BG"/>
              </w:rPr>
            </w:pPr>
          </w:p>
        </w:tc>
        <w:tc>
          <w:tcPr>
            <w:tcW w:w="1286" w:type="dxa"/>
            <w:shd w:val="clear" w:color="000000" w:fill="92D050"/>
            <w:noWrap/>
            <w:vAlign w:val="center"/>
            <w:hideMark/>
          </w:tcPr>
          <w:p w14:paraId="61615D07" w14:textId="77777777" w:rsidR="00115C8D" w:rsidRPr="00610B1B" w:rsidRDefault="00115C8D" w:rsidP="00D32D6A">
            <w:pPr>
              <w:spacing w:after="0" w:line="240" w:lineRule="auto"/>
              <w:jc w:val="center"/>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Високо</w:t>
            </w:r>
          </w:p>
        </w:tc>
        <w:tc>
          <w:tcPr>
            <w:tcW w:w="1846" w:type="dxa"/>
            <w:shd w:val="clear" w:color="000000" w:fill="92D050"/>
            <w:noWrap/>
            <w:vAlign w:val="center"/>
            <w:hideMark/>
          </w:tcPr>
          <w:p w14:paraId="6F3ABCDE" w14:textId="77777777" w:rsidR="00115C8D" w:rsidRPr="00610B1B" w:rsidRDefault="00115C8D" w:rsidP="00D32D6A">
            <w:pPr>
              <w:spacing w:after="0" w:line="240" w:lineRule="auto"/>
              <w:jc w:val="center"/>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Високо</w:t>
            </w:r>
          </w:p>
        </w:tc>
        <w:tc>
          <w:tcPr>
            <w:tcW w:w="1517" w:type="dxa"/>
            <w:shd w:val="clear" w:color="000000" w:fill="92D050"/>
            <w:noWrap/>
            <w:vAlign w:val="center"/>
            <w:hideMark/>
          </w:tcPr>
          <w:p w14:paraId="3B6C7CFF" w14:textId="77777777" w:rsidR="00115C8D" w:rsidRPr="00610B1B" w:rsidRDefault="00115C8D" w:rsidP="00D32D6A">
            <w:pPr>
              <w:spacing w:after="0" w:line="240" w:lineRule="auto"/>
              <w:jc w:val="center"/>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Ниско</w:t>
            </w:r>
          </w:p>
        </w:tc>
        <w:tc>
          <w:tcPr>
            <w:tcW w:w="1516" w:type="dxa"/>
            <w:shd w:val="clear" w:color="000000" w:fill="92D050"/>
            <w:noWrap/>
            <w:vAlign w:val="center"/>
            <w:hideMark/>
          </w:tcPr>
          <w:p w14:paraId="4C040F4A" w14:textId="77777777" w:rsidR="00115C8D" w:rsidRPr="00610B1B" w:rsidRDefault="00115C8D" w:rsidP="00D32D6A">
            <w:pPr>
              <w:spacing w:after="0" w:line="240" w:lineRule="auto"/>
              <w:jc w:val="center"/>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Ниско</w:t>
            </w:r>
          </w:p>
        </w:tc>
        <w:tc>
          <w:tcPr>
            <w:tcW w:w="1505" w:type="dxa"/>
            <w:shd w:val="clear" w:color="000000" w:fill="FFFF00"/>
            <w:noWrap/>
            <w:vAlign w:val="center"/>
            <w:hideMark/>
          </w:tcPr>
          <w:p w14:paraId="52CB5CC1" w14:textId="77777777" w:rsidR="00115C8D" w:rsidRPr="00610B1B" w:rsidRDefault="00115C8D" w:rsidP="00D32D6A">
            <w:pPr>
              <w:spacing w:after="0" w:line="240" w:lineRule="auto"/>
              <w:jc w:val="center"/>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Средно</w:t>
            </w:r>
          </w:p>
        </w:tc>
      </w:tr>
    </w:tbl>
    <w:p w14:paraId="7497F64B" w14:textId="0D971AAC" w:rsidR="00115C8D" w:rsidRPr="00610B1B" w:rsidRDefault="00115C8D" w:rsidP="00BC44C1">
      <w:pPr>
        <w:spacing w:before="60" w:after="120"/>
        <w:ind w:right="-153"/>
        <w:jc w:val="both"/>
        <w:rPr>
          <w:rFonts w:ascii="Times New Roman" w:hAnsi="Times New Roman" w:cs="Times New Roman"/>
          <w:lang w:val="bg-BG"/>
        </w:rPr>
      </w:pPr>
      <w:r w:rsidRPr="00610B1B">
        <w:rPr>
          <w:rFonts w:ascii="Times New Roman" w:hAnsi="Times New Roman" w:cs="Times New Roman"/>
          <w:lang w:val="bg-BG"/>
        </w:rPr>
        <w:t>Източник:</w:t>
      </w:r>
      <w:r w:rsidR="006C67DA" w:rsidRPr="00610B1B">
        <w:rPr>
          <w:rFonts w:ascii="Times New Roman" w:hAnsi="Times New Roman" w:cs="Times New Roman"/>
          <w:lang w:val="bg-BG"/>
        </w:rPr>
        <w:t xml:space="preserve"> </w:t>
      </w:r>
      <w:r w:rsidRPr="00610B1B">
        <w:rPr>
          <w:rFonts w:ascii="Times New Roman" w:hAnsi="Times New Roman" w:cs="Times New Roman"/>
          <w:lang w:val="bg-BG"/>
        </w:rPr>
        <w:t>ИАРА</w:t>
      </w:r>
    </w:p>
    <w:p w14:paraId="78E7037C" w14:textId="77777777" w:rsidR="009907CE" w:rsidRPr="00610B1B" w:rsidRDefault="009907CE" w:rsidP="00BC44C1">
      <w:pPr>
        <w:spacing w:before="60" w:after="120"/>
        <w:ind w:right="-153"/>
        <w:jc w:val="both"/>
        <w:rPr>
          <w:rFonts w:ascii="Times New Roman" w:hAnsi="Times New Roman" w:cs="Times New Roman"/>
          <w:lang w:val="bg-BG"/>
        </w:rPr>
      </w:pPr>
    </w:p>
    <w:p w14:paraId="50B1EA7E" w14:textId="21BBF011" w:rsidR="00115C8D" w:rsidRPr="00610B1B" w:rsidRDefault="00FA2174" w:rsidP="00D32D6A">
      <w:pPr>
        <w:pStyle w:val="Heading3"/>
        <w:spacing w:before="0" w:line="276" w:lineRule="auto"/>
        <w:ind w:right="-153"/>
        <w:rPr>
          <w:rFonts w:cs="Times New Roman"/>
        </w:rPr>
      </w:pPr>
      <w:bookmarkStart w:id="360" w:name="_Toc83391379"/>
      <w:r w:rsidRPr="00610B1B">
        <w:rPr>
          <w:rFonts w:cs="Times New Roman"/>
        </w:rPr>
        <w:t>3.2.3</w:t>
      </w:r>
      <w:r w:rsidR="006C67DA" w:rsidRPr="00610B1B">
        <w:rPr>
          <w:rFonts w:cs="Times New Roman"/>
        </w:rPr>
        <w:t xml:space="preserve">. </w:t>
      </w:r>
      <w:r w:rsidR="00AC5BD2" w:rsidRPr="00610B1B">
        <w:rPr>
          <w:rFonts w:cs="Times New Roman"/>
        </w:rPr>
        <w:t>Преработка на риба и рибни продукти</w:t>
      </w:r>
      <w:bookmarkEnd w:id="360"/>
    </w:p>
    <w:p w14:paraId="547DB4D8" w14:textId="2B6C535A" w:rsidR="00115C8D" w:rsidRPr="00610B1B" w:rsidRDefault="00115C8D" w:rsidP="00D32D6A">
      <w:pPr>
        <w:tabs>
          <w:tab w:val="left" w:pos="1320"/>
        </w:tabs>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Рибопреработката обхваща процесите от момента на улова на рибата и/или други водни организми или от отглеждането им до доставката на крайния продукт на клиента. Въпреки </w:t>
      </w:r>
      <w:r w:rsidRPr="00610B1B">
        <w:rPr>
          <w:rFonts w:ascii="Times New Roman" w:hAnsi="Times New Roman" w:cs="Times New Roman"/>
          <w:sz w:val="24"/>
          <w:szCs w:val="24"/>
          <w:lang w:val="bg-BG"/>
        </w:rPr>
        <w:lastRenderedPageBreak/>
        <w:t xml:space="preserve">че </w:t>
      </w:r>
      <w:r w:rsidR="00B33136" w:rsidRPr="00610B1B">
        <w:rPr>
          <w:rFonts w:ascii="Times New Roman" w:hAnsi="Times New Roman" w:cs="Times New Roman"/>
          <w:sz w:val="24"/>
          <w:szCs w:val="24"/>
          <w:lang w:val="bg-BG"/>
        </w:rPr>
        <w:t>Рибопреработката</w:t>
      </w:r>
      <w:r w:rsidRPr="00610B1B">
        <w:rPr>
          <w:rFonts w:ascii="Times New Roman" w:hAnsi="Times New Roman" w:cs="Times New Roman"/>
          <w:sz w:val="24"/>
          <w:szCs w:val="24"/>
          <w:lang w:val="bg-BG"/>
        </w:rPr>
        <w:t xml:space="preserve"> се отнася конкретно до рибата, на практика обхваща всички водни организми, добивани за търговски цели, независимо дали са улове</w:t>
      </w:r>
      <w:r w:rsidR="006C67DA" w:rsidRPr="00610B1B">
        <w:rPr>
          <w:rFonts w:ascii="Times New Roman" w:hAnsi="Times New Roman" w:cs="Times New Roman"/>
          <w:sz w:val="24"/>
          <w:szCs w:val="24"/>
          <w:lang w:val="bg-BG"/>
        </w:rPr>
        <w:t>ни или са продукт от аквакултура</w:t>
      </w:r>
      <w:r w:rsidRPr="00610B1B">
        <w:rPr>
          <w:rFonts w:ascii="Times New Roman" w:hAnsi="Times New Roman" w:cs="Times New Roman"/>
          <w:sz w:val="24"/>
          <w:szCs w:val="24"/>
          <w:lang w:val="bg-BG"/>
        </w:rPr>
        <w:t xml:space="preserve">. </w:t>
      </w:r>
    </w:p>
    <w:p w14:paraId="758FB0D6" w14:textId="673F75B0" w:rsidR="00115C8D" w:rsidRPr="00610B1B" w:rsidRDefault="00115C8D" w:rsidP="00D32D6A">
      <w:pPr>
        <w:tabs>
          <w:tab w:val="left" w:pos="1320"/>
        </w:tabs>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Потребителските навици са се променили значително в последно време поради динамичния начин на живот, вследствие на което се забелязва по-малко търсене на цяла (прясна) риба. Това оказва изключително негативно влияние както в социален, така и в икономически аспект върху стопанския риболов и аквакултурните стопанства. Тази тенденция налага адаптиране на сектора, като един от начините е да се добави допълнителна стойност на уловената или произведена продукция чрез преработка. По този начин предлаганият продукт съдържа различни характеристики (филитиран, изч</w:t>
      </w:r>
      <w:r w:rsidR="006011C0"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xml:space="preserve">стван, допълнително овкусен, опушен и т.н.), които позволяват да се извлече максимална стойност от рибата. На територията на България функционират 49 </w:t>
      </w:r>
      <w:r w:rsidR="006011C0" w:rsidRPr="00610B1B">
        <w:rPr>
          <w:rFonts w:ascii="Times New Roman" w:hAnsi="Times New Roman" w:cs="Times New Roman"/>
          <w:sz w:val="24"/>
          <w:szCs w:val="24"/>
          <w:lang w:val="bg-BG"/>
        </w:rPr>
        <w:t>предприятия</w:t>
      </w:r>
      <w:r w:rsidRPr="00610B1B">
        <w:rPr>
          <w:rFonts w:ascii="Times New Roman" w:hAnsi="Times New Roman" w:cs="Times New Roman"/>
          <w:sz w:val="24"/>
          <w:szCs w:val="24"/>
          <w:lang w:val="bg-BG"/>
        </w:rPr>
        <w:t xml:space="preserve"> за рибопреработка, а броят на заетите е 1 715 човека.</w:t>
      </w:r>
      <w:r w:rsidR="00D66FE0" w:rsidRPr="00610B1B">
        <w:rPr>
          <w:rFonts w:ascii="Times New Roman" w:hAnsi="Times New Roman" w:cs="Times New Roman"/>
          <w:sz w:val="24"/>
          <w:szCs w:val="24"/>
          <w:lang w:val="bg-BG"/>
        </w:rPr>
        <w:t xml:space="preserve"> </w:t>
      </w:r>
    </w:p>
    <w:p w14:paraId="247FF0F0" w14:textId="549B3CD3" w:rsidR="00115C8D" w:rsidRPr="00610B1B" w:rsidRDefault="00B62269" w:rsidP="00E37053">
      <w:pPr>
        <w:autoSpaceDE w:val="0"/>
        <w:autoSpaceDN w:val="0"/>
        <w:adjustRightInd w:val="0"/>
        <w:spacing w:after="70" w:line="240" w:lineRule="auto"/>
        <w:ind w:right="-153"/>
        <w:jc w:val="both"/>
        <w:rPr>
          <w:rFonts w:ascii="Times New Roman" w:hAnsi="Times New Roman" w:cs="Times New Roman"/>
          <w:sz w:val="24"/>
          <w:szCs w:val="24"/>
          <w:lang w:val="bg-BG"/>
        </w:rPr>
      </w:pPr>
      <w:bookmarkStart w:id="361" w:name="_Toc83391486"/>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23</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115C8D" w:rsidRPr="00610B1B">
        <w:rPr>
          <w:rFonts w:ascii="Times New Roman" w:hAnsi="Times New Roman" w:cs="Times New Roman"/>
          <w:sz w:val="24"/>
          <w:szCs w:val="24"/>
          <w:lang w:val="bg-BG"/>
        </w:rPr>
        <w:t xml:space="preserve">Оценка на рибопреработка в </w:t>
      </w:r>
      <w:r w:rsidR="00115C8D" w:rsidRPr="00610B1B">
        <w:rPr>
          <w:rFonts w:ascii="Times New Roman" w:eastAsia="Lohit Devanagari" w:hAnsi="Times New Roman" w:cs="Times New Roman"/>
          <w:color w:val="00000A"/>
          <w:sz w:val="24"/>
          <w:szCs w:val="24"/>
          <w:lang w:val="bg-BG" w:eastAsia="ar-SA" w:bidi="hi-IN"/>
        </w:rPr>
        <w:t>българската</w:t>
      </w:r>
      <w:r w:rsidR="00115C8D" w:rsidRPr="00610B1B">
        <w:rPr>
          <w:rFonts w:ascii="Times New Roman" w:hAnsi="Times New Roman" w:cs="Times New Roman"/>
          <w:sz w:val="24"/>
          <w:szCs w:val="24"/>
          <w:lang w:val="bg-BG"/>
        </w:rPr>
        <w:t xml:space="preserve"> акватория на Черно море по предложените индикатори</w:t>
      </w:r>
      <w:bookmarkEnd w:id="361"/>
    </w:p>
    <w:tbl>
      <w:tblPr>
        <w:tblW w:w="863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60"/>
        <w:gridCol w:w="1286"/>
        <w:gridCol w:w="1846"/>
        <w:gridCol w:w="1517"/>
        <w:gridCol w:w="1516"/>
        <w:gridCol w:w="1505"/>
      </w:tblGrid>
      <w:tr w:rsidR="00115C8D" w:rsidRPr="00610B1B" w14:paraId="13FD374D" w14:textId="77777777" w:rsidTr="001E3FED">
        <w:trPr>
          <w:trHeight w:val="315"/>
          <w:jc w:val="center"/>
        </w:trPr>
        <w:tc>
          <w:tcPr>
            <w:tcW w:w="960" w:type="dxa"/>
            <w:shd w:val="clear" w:color="auto" w:fill="auto"/>
            <w:noWrap/>
            <w:vAlign w:val="bottom"/>
            <w:hideMark/>
          </w:tcPr>
          <w:p w14:paraId="5B4AEFF1" w14:textId="4041F63B" w:rsidR="00115C8D" w:rsidRPr="00610B1B" w:rsidRDefault="00C415D1" w:rsidP="00D32D6A">
            <w:pPr>
              <w:spacing w:after="0" w:line="240" w:lineRule="auto"/>
              <w:rPr>
                <w:rFonts w:ascii="Times New Roman" w:eastAsia="Times New Roman" w:hAnsi="Times New Roman" w:cs="Times New Roman"/>
                <w:color w:val="000000"/>
                <w:sz w:val="24"/>
                <w:szCs w:val="24"/>
                <w:lang w:val="bg-BG"/>
              </w:rPr>
            </w:pPr>
            <w:r w:rsidRPr="00610B1B">
              <w:rPr>
                <w:rFonts w:ascii="Times New Roman" w:hAnsi="Times New Roman" w:cs="Times New Roman"/>
                <w:sz w:val="24"/>
                <w:szCs w:val="24"/>
                <w:lang w:val="bg-BG"/>
              </w:rPr>
              <w:t xml:space="preserve"> </w:t>
            </w:r>
          </w:p>
        </w:tc>
        <w:tc>
          <w:tcPr>
            <w:tcW w:w="7670" w:type="dxa"/>
            <w:gridSpan w:val="5"/>
            <w:shd w:val="clear" w:color="auto" w:fill="auto"/>
            <w:noWrap/>
            <w:vAlign w:val="center"/>
            <w:hideMark/>
          </w:tcPr>
          <w:p w14:paraId="64E3D8B3" w14:textId="77777777" w:rsidR="00115C8D" w:rsidRPr="00610B1B" w:rsidRDefault="00115C8D" w:rsidP="00D32D6A">
            <w:pPr>
              <w:spacing w:after="0" w:line="240" w:lineRule="auto"/>
              <w:jc w:val="center"/>
              <w:rPr>
                <w:rFonts w:ascii="Times New Roman" w:eastAsia="Times New Roman" w:hAnsi="Times New Roman" w:cs="Times New Roman"/>
                <w:b/>
                <w:bCs/>
                <w:i/>
                <w:iCs/>
                <w:color w:val="000000"/>
                <w:sz w:val="24"/>
                <w:szCs w:val="24"/>
                <w:lang w:val="bg-BG"/>
              </w:rPr>
            </w:pPr>
            <w:r w:rsidRPr="00610B1B">
              <w:rPr>
                <w:rFonts w:ascii="Times New Roman" w:eastAsia="Times New Roman" w:hAnsi="Times New Roman" w:cs="Times New Roman"/>
                <w:b/>
                <w:bCs/>
                <w:i/>
                <w:iCs/>
                <w:color w:val="000000"/>
                <w:sz w:val="24"/>
                <w:szCs w:val="24"/>
                <w:lang w:val="bg-BG"/>
              </w:rPr>
              <w:t>Индикатори</w:t>
            </w:r>
          </w:p>
        </w:tc>
      </w:tr>
      <w:tr w:rsidR="00115C8D" w:rsidRPr="00610B1B" w14:paraId="1D528BDA" w14:textId="77777777" w:rsidTr="001E3FED">
        <w:trPr>
          <w:trHeight w:val="315"/>
          <w:jc w:val="center"/>
        </w:trPr>
        <w:tc>
          <w:tcPr>
            <w:tcW w:w="960" w:type="dxa"/>
            <w:vMerge w:val="restart"/>
            <w:shd w:val="clear" w:color="auto" w:fill="auto"/>
            <w:noWrap/>
            <w:vAlign w:val="center"/>
            <w:hideMark/>
          </w:tcPr>
          <w:p w14:paraId="743F4A81" w14:textId="77777777" w:rsidR="00115C8D" w:rsidRPr="00610B1B" w:rsidRDefault="00115C8D" w:rsidP="00D32D6A">
            <w:pPr>
              <w:spacing w:after="0" w:line="240" w:lineRule="auto"/>
              <w:jc w:val="center"/>
              <w:rPr>
                <w:rFonts w:ascii="Times New Roman" w:eastAsia="Times New Roman" w:hAnsi="Times New Roman" w:cs="Times New Roman"/>
                <w:b/>
                <w:bCs/>
                <w:i/>
                <w:iCs/>
                <w:color w:val="000000"/>
                <w:sz w:val="24"/>
                <w:szCs w:val="24"/>
                <w:lang w:val="bg-BG"/>
              </w:rPr>
            </w:pPr>
            <w:r w:rsidRPr="00610B1B">
              <w:rPr>
                <w:rFonts w:ascii="Times New Roman" w:eastAsia="Times New Roman" w:hAnsi="Times New Roman" w:cs="Times New Roman"/>
                <w:b/>
                <w:bCs/>
                <w:i/>
                <w:iCs/>
                <w:color w:val="000000"/>
                <w:sz w:val="24"/>
                <w:szCs w:val="24"/>
                <w:lang w:val="bg-BG"/>
              </w:rPr>
              <w:t>Ниво</w:t>
            </w:r>
          </w:p>
        </w:tc>
        <w:tc>
          <w:tcPr>
            <w:tcW w:w="1286" w:type="dxa"/>
            <w:shd w:val="clear" w:color="auto" w:fill="auto"/>
            <w:noWrap/>
            <w:vAlign w:val="center"/>
            <w:hideMark/>
          </w:tcPr>
          <w:p w14:paraId="3B1A2648" w14:textId="77777777" w:rsidR="00115C8D" w:rsidRPr="00610B1B" w:rsidRDefault="00115C8D" w:rsidP="00D32D6A">
            <w:pPr>
              <w:spacing w:after="0" w:line="240" w:lineRule="auto"/>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Социален</w:t>
            </w:r>
          </w:p>
        </w:tc>
        <w:tc>
          <w:tcPr>
            <w:tcW w:w="1846" w:type="dxa"/>
            <w:shd w:val="clear" w:color="auto" w:fill="auto"/>
            <w:noWrap/>
            <w:vAlign w:val="center"/>
            <w:hideMark/>
          </w:tcPr>
          <w:p w14:paraId="753B75E3" w14:textId="77777777" w:rsidR="00115C8D" w:rsidRPr="00610B1B" w:rsidRDefault="00115C8D" w:rsidP="00D32D6A">
            <w:pPr>
              <w:spacing w:after="0" w:line="240" w:lineRule="auto"/>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Икономически</w:t>
            </w:r>
          </w:p>
        </w:tc>
        <w:tc>
          <w:tcPr>
            <w:tcW w:w="1517" w:type="dxa"/>
            <w:shd w:val="clear" w:color="auto" w:fill="auto"/>
            <w:noWrap/>
            <w:vAlign w:val="center"/>
            <w:hideMark/>
          </w:tcPr>
          <w:p w14:paraId="05268E96" w14:textId="77777777" w:rsidR="00115C8D" w:rsidRPr="00610B1B" w:rsidRDefault="00115C8D" w:rsidP="00D32D6A">
            <w:pPr>
              <w:spacing w:after="0" w:line="240" w:lineRule="auto"/>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 xml:space="preserve">Екологичен </w:t>
            </w:r>
          </w:p>
        </w:tc>
        <w:tc>
          <w:tcPr>
            <w:tcW w:w="1516" w:type="dxa"/>
            <w:shd w:val="clear" w:color="auto" w:fill="auto"/>
            <w:noWrap/>
            <w:vAlign w:val="center"/>
            <w:hideMark/>
          </w:tcPr>
          <w:p w14:paraId="3338D38E" w14:textId="77777777" w:rsidR="00115C8D" w:rsidRPr="00610B1B" w:rsidRDefault="00115C8D" w:rsidP="00D32D6A">
            <w:pPr>
              <w:spacing w:after="0" w:line="240" w:lineRule="auto"/>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Биологичен</w:t>
            </w:r>
          </w:p>
        </w:tc>
        <w:tc>
          <w:tcPr>
            <w:tcW w:w="1505" w:type="dxa"/>
            <w:shd w:val="clear" w:color="auto" w:fill="auto"/>
            <w:noWrap/>
            <w:vAlign w:val="center"/>
            <w:hideMark/>
          </w:tcPr>
          <w:p w14:paraId="2618B7DE" w14:textId="77777777" w:rsidR="00115C8D" w:rsidRPr="00610B1B" w:rsidRDefault="00115C8D" w:rsidP="00D32D6A">
            <w:pPr>
              <w:spacing w:after="0" w:line="240" w:lineRule="auto"/>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Технически</w:t>
            </w:r>
          </w:p>
        </w:tc>
      </w:tr>
      <w:tr w:rsidR="00115C8D" w:rsidRPr="00610B1B" w14:paraId="19F395E8" w14:textId="77777777" w:rsidTr="001E3FED">
        <w:trPr>
          <w:trHeight w:val="315"/>
          <w:jc w:val="center"/>
        </w:trPr>
        <w:tc>
          <w:tcPr>
            <w:tcW w:w="960" w:type="dxa"/>
            <w:vMerge/>
            <w:vAlign w:val="center"/>
            <w:hideMark/>
          </w:tcPr>
          <w:p w14:paraId="02CBF9A0" w14:textId="77777777" w:rsidR="00115C8D" w:rsidRPr="00610B1B" w:rsidRDefault="00115C8D" w:rsidP="00D32D6A">
            <w:pPr>
              <w:spacing w:after="0" w:line="240" w:lineRule="auto"/>
              <w:rPr>
                <w:rFonts w:ascii="Times New Roman" w:eastAsia="Times New Roman" w:hAnsi="Times New Roman" w:cs="Times New Roman"/>
                <w:b/>
                <w:bCs/>
                <w:i/>
                <w:iCs/>
                <w:color w:val="000000"/>
                <w:sz w:val="24"/>
                <w:szCs w:val="24"/>
                <w:lang w:val="bg-BG"/>
              </w:rPr>
            </w:pPr>
          </w:p>
        </w:tc>
        <w:tc>
          <w:tcPr>
            <w:tcW w:w="1286" w:type="dxa"/>
            <w:shd w:val="clear" w:color="000000" w:fill="92D050"/>
            <w:noWrap/>
            <w:vAlign w:val="center"/>
            <w:hideMark/>
          </w:tcPr>
          <w:p w14:paraId="663410EA" w14:textId="77777777" w:rsidR="00115C8D" w:rsidRPr="00610B1B" w:rsidRDefault="00115C8D" w:rsidP="00D32D6A">
            <w:pPr>
              <w:spacing w:after="0" w:line="240" w:lineRule="auto"/>
              <w:jc w:val="center"/>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Високо</w:t>
            </w:r>
          </w:p>
        </w:tc>
        <w:tc>
          <w:tcPr>
            <w:tcW w:w="1846" w:type="dxa"/>
            <w:shd w:val="clear" w:color="000000" w:fill="92D050"/>
            <w:noWrap/>
            <w:vAlign w:val="center"/>
            <w:hideMark/>
          </w:tcPr>
          <w:p w14:paraId="7679DE23" w14:textId="77777777" w:rsidR="00115C8D" w:rsidRPr="00610B1B" w:rsidRDefault="00115C8D" w:rsidP="00D32D6A">
            <w:pPr>
              <w:spacing w:after="0" w:line="240" w:lineRule="auto"/>
              <w:jc w:val="center"/>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Високо</w:t>
            </w:r>
          </w:p>
        </w:tc>
        <w:tc>
          <w:tcPr>
            <w:tcW w:w="1517" w:type="dxa"/>
            <w:shd w:val="clear" w:color="000000" w:fill="FFFFFF"/>
            <w:noWrap/>
            <w:vAlign w:val="center"/>
            <w:hideMark/>
          </w:tcPr>
          <w:p w14:paraId="3C4BE298" w14:textId="77777777" w:rsidR="00115C8D" w:rsidRPr="00610B1B" w:rsidRDefault="00115C8D" w:rsidP="00D32D6A">
            <w:pPr>
              <w:spacing w:after="0" w:line="240" w:lineRule="auto"/>
              <w:jc w:val="center"/>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w:t>
            </w:r>
          </w:p>
        </w:tc>
        <w:tc>
          <w:tcPr>
            <w:tcW w:w="1516" w:type="dxa"/>
            <w:shd w:val="clear" w:color="000000" w:fill="FFFFFF"/>
            <w:noWrap/>
            <w:vAlign w:val="center"/>
            <w:hideMark/>
          </w:tcPr>
          <w:p w14:paraId="4640C10D" w14:textId="77777777" w:rsidR="00115C8D" w:rsidRPr="00610B1B" w:rsidRDefault="00115C8D" w:rsidP="00D32D6A">
            <w:pPr>
              <w:spacing w:after="0" w:line="240" w:lineRule="auto"/>
              <w:jc w:val="center"/>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w:t>
            </w:r>
          </w:p>
        </w:tc>
        <w:tc>
          <w:tcPr>
            <w:tcW w:w="1505" w:type="dxa"/>
            <w:shd w:val="clear" w:color="000000" w:fill="FFFFFF"/>
            <w:noWrap/>
            <w:vAlign w:val="center"/>
            <w:hideMark/>
          </w:tcPr>
          <w:p w14:paraId="3D3AF5C7" w14:textId="77777777" w:rsidR="00115C8D" w:rsidRPr="00610B1B" w:rsidRDefault="00115C8D" w:rsidP="00D32D6A">
            <w:pPr>
              <w:spacing w:after="0" w:line="240" w:lineRule="auto"/>
              <w:jc w:val="center"/>
              <w:rPr>
                <w:rFonts w:ascii="Times New Roman" w:eastAsia="Times New Roman" w:hAnsi="Times New Roman" w:cs="Times New Roman"/>
                <w:b/>
                <w:bCs/>
                <w:color w:val="000000"/>
                <w:sz w:val="24"/>
                <w:szCs w:val="24"/>
                <w:lang w:val="bg-BG"/>
              </w:rPr>
            </w:pPr>
            <w:r w:rsidRPr="00610B1B">
              <w:rPr>
                <w:rFonts w:ascii="Times New Roman" w:eastAsia="Times New Roman" w:hAnsi="Times New Roman" w:cs="Times New Roman"/>
                <w:b/>
                <w:bCs/>
                <w:color w:val="000000"/>
                <w:sz w:val="24"/>
                <w:szCs w:val="24"/>
                <w:lang w:val="bg-BG"/>
              </w:rPr>
              <w:t>-</w:t>
            </w:r>
          </w:p>
        </w:tc>
      </w:tr>
    </w:tbl>
    <w:p w14:paraId="28B5F15A" w14:textId="77777777" w:rsidR="00115C8D" w:rsidRPr="00610B1B" w:rsidRDefault="00115C8D" w:rsidP="00BC44C1">
      <w:pPr>
        <w:spacing w:before="60" w:after="120"/>
        <w:ind w:right="-153"/>
        <w:jc w:val="both"/>
        <w:rPr>
          <w:rFonts w:ascii="Times New Roman" w:hAnsi="Times New Roman" w:cs="Times New Roman"/>
          <w:lang w:val="bg-BG"/>
        </w:rPr>
      </w:pPr>
      <w:r w:rsidRPr="00610B1B">
        <w:rPr>
          <w:rFonts w:ascii="Times New Roman" w:hAnsi="Times New Roman" w:cs="Times New Roman"/>
          <w:lang w:val="bg-BG"/>
        </w:rPr>
        <w:t>Източник: ИАРА</w:t>
      </w:r>
    </w:p>
    <w:p w14:paraId="743B1C14" w14:textId="5D9B1C90" w:rsidR="00115C8D" w:rsidRPr="00610B1B" w:rsidRDefault="006C67DA" w:rsidP="00D32D6A">
      <w:pPr>
        <w:tabs>
          <w:tab w:val="left" w:pos="1320"/>
        </w:tabs>
        <w:spacing w:after="120"/>
        <w:ind w:right="-153"/>
        <w:jc w:val="both"/>
        <w:rPr>
          <w:rFonts w:ascii="Times New Roman" w:hAnsi="Times New Roman" w:cs="Times New Roman"/>
          <w:i/>
          <w:iCs/>
          <w:sz w:val="24"/>
          <w:szCs w:val="24"/>
          <w:lang w:val="bg-BG"/>
        </w:rPr>
      </w:pPr>
      <w:r w:rsidRPr="00610B1B">
        <w:rPr>
          <w:rFonts w:ascii="Times New Roman" w:hAnsi="Times New Roman" w:cs="Times New Roman"/>
          <w:iCs/>
          <w:sz w:val="24"/>
          <w:szCs w:val="24"/>
          <w:lang w:val="bg-BG"/>
        </w:rPr>
        <w:t xml:space="preserve">От анализа на сектор Рибарство и аквакултури се открояват някои основни </w:t>
      </w:r>
      <w:r w:rsidRPr="00610B1B">
        <w:rPr>
          <w:rFonts w:ascii="Times New Roman" w:hAnsi="Times New Roman" w:cs="Times New Roman"/>
          <w:b/>
          <w:iCs/>
          <w:sz w:val="24"/>
          <w:szCs w:val="24"/>
          <w:lang w:val="bg-BG"/>
        </w:rPr>
        <w:t>изводи</w:t>
      </w:r>
      <w:r w:rsidRPr="00610B1B">
        <w:rPr>
          <w:rFonts w:ascii="Times New Roman" w:hAnsi="Times New Roman" w:cs="Times New Roman"/>
          <w:iCs/>
          <w:sz w:val="24"/>
          <w:szCs w:val="24"/>
          <w:lang w:val="bg-BG"/>
        </w:rPr>
        <w:t xml:space="preserve"> за състоянието и тенденциите в сектора, за най-важните проблеми и пътища за преодоляването им.</w:t>
      </w:r>
      <w:r w:rsidR="00D66FE0" w:rsidRPr="00610B1B">
        <w:rPr>
          <w:rFonts w:ascii="Times New Roman" w:hAnsi="Times New Roman" w:cs="Times New Roman"/>
          <w:iCs/>
          <w:sz w:val="24"/>
          <w:szCs w:val="24"/>
          <w:lang w:val="bg-BG"/>
        </w:rPr>
        <w:t xml:space="preserve"> </w:t>
      </w:r>
    </w:p>
    <w:p w14:paraId="1AB11E48" w14:textId="0EB8F2A4" w:rsidR="00115C8D" w:rsidRPr="00610B1B" w:rsidRDefault="00115C8D"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color w:val="000000"/>
          <w:sz w:val="24"/>
          <w:szCs w:val="24"/>
          <w:shd w:val="clear" w:color="auto" w:fill="FFFFFF"/>
          <w:lang w:val="bg-BG"/>
        </w:rPr>
        <w:t xml:space="preserve">След 2007 година сектор </w:t>
      </w:r>
      <w:r w:rsidR="006C67DA" w:rsidRPr="00610B1B">
        <w:rPr>
          <w:rFonts w:ascii="Times New Roman" w:eastAsia="Calibri" w:hAnsi="Times New Roman" w:cs="Times New Roman"/>
          <w:color w:val="000000"/>
          <w:sz w:val="24"/>
          <w:szCs w:val="24"/>
          <w:shd w:val="clear" w:color="auto" w:fill="FFFFFF"/>
          <w:lang w:val="bg-BG"/>
        </w:rPr>
        <w:t xml:space="preserve">„Рибарство </w:t>
      </w:r>
      <w:r w:rsidRPr="00610B1B">
        <w:rPr>
          <w:rFonts w:ascii="Times New Roman" w:eastAsia="Calibri" w:hAnsi="Times New Roman" w:cs="Times New Roman"/>
          <w:color w:val="000000"/>
          <w:sz w:val="24"/>
          <w:szCs w:val="24"/>
          <w:shd w:val="clear" w:color="auto" w:fill="FFFFFF"/>
          <w:lang w:val="bg-BG"/>
        </w:rPr>
        <w:t>и аквакултури</w:t>
      </w:r>
      <w:r w:rsidR="006C67DA" w:rsidRPr="00610B1B">
        <w:rPr>
          <w:rFonts w:ascii="Times New Roman" w:eastAsia="Calibri" w:hAnsi="Times New Roman" w:cs="Times New Roman"/>
          <w:color w:val="000000"/>
          <w:sz w:val="24"/>
          <w:szCs w:val="24"/>
          <w:shd w:val="clear" w:color="auto" w:fill="FFFFFF"/>
          <w:lang w:val="bg-BG"/>
        </w:rPr>
        <w:t>“</w:t>
      </w:r>
      <w:r w:rsidRPr="00610B1B">
        <w:rPr>
          <w:rFonts w:ascii="Times New Roman" w:eastAsia="Calibri" w:hAnsi="Times New Roman" w:cs="Times New Roman"/>
          <w:color w:val="000000"/>
          <w:sz w:val="24"/>
          <w:szCs w:val="24"/>
          <w:shd w:val="clear" w:color="auto" w:fill="FFFFFF"/>
          <w:lang w:val="bg-BG"/>
        </w:rPr>
        <w:t xml:space="preserve"> бележи развитие, </w:t>
      </w:r>
      <w:r w:rsidR="006C67DA" w:rsidRPr="00610B1B">
        <w:rPr>
          <w:rFonts w:ascii="Times New Roman" w:eastAsia="Calibri" w:hAnsi="Times New Roman" w:cs="Times New Roman"/>
          <w:color w:val="000000"/>
          <w:sz w:val="24"/>
          <w:szCs w:val="24"/>
          <w:shd w:val="clear" w:color="auto" w:fill="FFFFFF"/>
          <w:lang w:val="bg-BG"/>
        </w:rPr>
        <w:t>преследвайки</w:t>
      </w:r>
      <w:r w:rsidRPr="00610B1B">
        <w:rPr>
          <w:rFonts w:ascii="Times New Roman" w:eastAsia="Calibri" w:hAnsi="Times New Roman" w:cs="Times New Roman"/>
          <w:color w:val="000000"/>
          <w:sz w:val="24"/>
          <w:szCs w:val="24"/>
          <w:shd w:val="clear" w:color="auto" w:fill="FFFFFF"/>
          <w:lang w:val="bg-BG"/>
        </w:rPr>
        <w:t xml:space="preserve"> основната стратегическа цел на </w:t>
      </w:r>
      <w:r w:rsidRPr="00610B1B">
        <w:rPr>
          <w:rFonts w:ascii="Times New Roman" w:eastAsia="Calibri" w:hAnsi="Times New Roman" w:cs="Times New Roman"/>
          <w:sz w:val="24"/>
          <w:szCs w:val="24"/>
          <w:lang w:val="bg-BG"/>
        </w:rPr>
        <w:t xml:space="preserve">Оперативна програма за развитие на сектор „Рибарство” 2007-2013 г., а именно превръщането на рибарството в конкурентоспособен, модерен и динамичен сектор, базиран на устойчиво развитие на рибарството и аквакултурата и подобряване качеството на живот в рибарските области. </w:t>
      </w:r>
      <w:r w:rsidRPr="00610B1B">
        <w:rPr>
          <w:rFonts w:ascii="Times New Roman" w:eastAsia="Calibri" w:hAnsi="Times New Roman" w:cs="Times New Roman"/>
          <w:sz w:val="24"/>
          <w:szCs w:val="24"/>
          <w:lang w:val="bg-BG" w:eastAsia="bg-BG"/>
        </w:rPr>
        <w:t>През програмен период 2007–2013</w:t>
      </w:r>
      <w:r w:rsidR="002F6792" w:rsidRPr="00610B1B">
        <w:rPr>
          <w:rFonts w:ascii="Times New Roman" w:eastAsia="Calibri" w:hAnsi="Times New Roman" w:cs="Times New Roman"/>
          <w:sz w:val="24"/>
          <w:szCs w:val="24"/>
          <w:lang w:val="bg-BG" w:eastAsia="bg-BG"/>
        </w:rPr>
        <w:t> </w:t>
      </w:r>
      <w:r w:rsidRPr="00610B1B">
        <w:rPr>
          <w:rFonts w:ascii="Times New Roman" w:eastAsia="Calibri" w:hAnsi="Times New Roman" w:cs="Times New Roman"/>
          <w:sz w:val="24"/>
          <w:szCs w:val="24"/>
          <w:lang w:val="bg-BG" w:eastAsia="bg-BG"/>
        </w:rPr>
        <w:t>г. България за първи път прилага подкрепа за местно развитие от Европейския фонд за рибарство. Създадени са и оперират шест местни инициативни рибарски групи</w:t>
      </w:r>
      <w:r w:rsidR="00D66FE0" w:rsidRPr="00610B1B">
        <w:rPr>
          <w:rFonts w:ascii="Times New Roman" w:eastAsia="Calibri" w:hAnsi="Times New Roman" w:cs="Times New Roman"/>
          <w:sz w:val="24"/>
          <w:szCs w:val="24"/>
          <w:lang w:val="bg-BG" w:eastAsia="bg-BG"/>
        </w:rPr>
        <w:t xml:space="preserve"> </w:t>
      </w:r>
      <w:r w:rsidRPr="00610B1B">
        <w:rPr>
          <w:rFonts w:ascii="Times New Roman" w:eastAsia="Calibri" w:hAnsi="Times New Roman" w:cs="Times New Roman"/>
          <w:sz w:val="24"/>
          <w:szCs w:val="24"/>
          <w:lang w:val="bg-BG" w:eastAsia="bg-BG"/>
        </w:rPr>
        <w:t xml:space="preserve">(МИРГ), които обхващат териториите на 17 общини. В обхвата </w:t>
      </w:r>
      <w:r w:rsidR="00A55C29" w:rsidRPr="00610B1B">
        <w:rPr>
          <w:rFonts w:ascii="Times New Roman" w:eastAsia="Calibri" w:hAnsi="Times New Roman" w:cs="Times New Roman"/>
          <w:sz w:val="24"/>
          <w:szCs w:val="24"/>
          <w:lang w:val="bg-BG" w:eastAsia="bg-BG"/>
        </w:rPr>
        <w:t>им</w:t>
      </w:r>
      <w:r w:rsidRPr="00610B1B">
        <w:rPr>
          <w:rFonts w:ascii="Times New Roman" w:eastAsia="Calibri" w:hAnsi="Times New Roman" w:cs="Times New Roman"/>
          <w:sz w:val="24"/>
          <w:szCs w:val="24"/>
          <w:lang w:val="bg-BG" w:eastAsia="bg-BG"/>
        </w:rPr>
        <w:t xml:space="preserve"> попадат над 4 053 km</w:t>
      </w:r>
      <w:r w:rsidRPr="00610B1B">
        <w:rPr>
          <w:rFonts w:ascii="Times New Roman" w:eastAsia="Calibri" w:hAnsi="Times New Roman" w:cs="Times New Roman"/>
          <w:sz w:val="24"/>
          <w:szCs w:val="24"/>
          <w:vertAlign w:val="superscript"/>
          <w:lang w:val="bg-BG" w:eastAsia="bg-BG"/>
        </w:rPr>
        <w:t>2</w:t>
      </w:r>
      <w:r w:rsidRPr="00610B1B">
        <w:rPr>
          <w:rFonts w:ascii="Times New Roman" w:eastAsia="Calibri" w:hAnsi="Times New Roman" w:cs="Times New Roman"/>
          <w:sz w:val="24"/>
          <w:szCs w:val="24"/>
          <w:lang w:val="bg-BG" w:eastAsia="bg-BG"/>
        </w:rPr>
        <w:t xml:space="preserve"> и население от над 104 467 души</w:t>
      </w:r>
      <w:r w:rsidRPr="00610B1B">
        <w:rPr>
          <w:rFonts w:ascii="Times New Roman" w:eastAsia="Calibri" w:hAnsi="Times New Roman" w:cs="Times New Roman"/>
          <w:color w:val="000000"/>
          <w:sz w:val="24"/>
          <w:szCs w:val="24"/>
          <w:lang w:val="bg-BG"/>
        </w:rPr>
        <w:t>,</w:t>
      </w:r>
      <w:r w:rsidR="00D66FE0" w:rsidRPr="00610B1B">
        <w:rPr>
          <w:rFonts w:ascii="Times New Roman" w:eastAsia="Calibri" w:hAnsi="Times New Roman" w:cs="Times New Roman"/>
          <w:color w:val="000000"/>
          <w:sz w:val="24"/>
          <w:szCs w:val="24"/>
          <w:lang w:val="bg-BG"/>
        </w:rPr>
        <w:t xml:space="preserve"> </w:t>
      </w:r>
      <w:r w:rsidRPr="00610B1B">
        <w:rPr>
          <w:rFonts w:ascii="Times New Roman" w:eastAsia="Calibri" w:hAnsi="Times New Roman" w:cs="Times New Roman"/>
          <w:sz w:val="24"/>
          <w:szCs w:val="24"/>
          <w:lang w:val="bg-BG"/>
        </w:rPr>
        <w:t>създадени са</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нови</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работни места. Подобряване на пристанищните съоръжения и по-доброто използване на пространствата</w:t>
      </w:r>
      <w:r w:rsidR="00AC5BD2"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eastAsia="bg-BG"/>
        </w:rPr>
        <w:t xml:space="preserve">също бележи напредък в крайбрежните малки населени места. Развитието на общото производство в </w:t>
      </w:r>
      <w:r w:rsidRPr="00610B1B">
        <w:rPr>
          <w:rFonts w:ascii="Times New Roman" w:eastAsia="Calibri" w:hAnsi="Times New Roman" w:cs="Times New Roman"/>
          <w:sz w:val="24"/>
          <w:szCs w:val="24"/>
          <w:lang w:val="bg-BG"/>
        </w:rPr>
        <w:t xml:space="preserve">аквакултурите е подкрепа на естествените популации и косвено </w:t>
      </w:r>
      <w:r w:rsidR="006011C0" w:rsidRPr="00610B1B">
        <w:rPr>
          <w:rFonts w:ascii="Times New Roman" w:eastAsia="Calibri" w:hAnsi="Times New Roman" w:cs="Times New Roman"/>
          <w:sz w:val="24"/>
          <w:szCs w:val="24"/>
          <w:lang w:val="bg-BG"/>
        </w:rPr>
        <w:t>допринася</w:t>
      </w:r>
      <w:r w:rsidRPr="00610B1B">
        <w:rPr>
          <w:rFonts w:ascii="Times New Roman" w:eastAsia="Calibri" w:hAnsi="Times New Roman" w:cs="Times New Roman"/>
          <w:sz w:val="24"/>
          <w:szCs w:val="24"/>
          <w:lang w:val="bg-BG"/>
        </w:rPr>
        <w:t xml:space="preserve"> за устойчивото състояние</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на</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риболовните дейности и увеличаване на работните места в различни райони на страната.</w:t>
      </w:r>
    </w:p>
    <w:p w14:paraId="0A4708A4" w14:textId="27853D73" w:rsidR="001E24FF" w:rsidRPr="00610B1B" w:rsidRDefault="00115C8D"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Calibri" w:hAnsi="Times New Roman" w:cs="Times New Roman"/>
          <w:sz w:val="24"/>
          <w:szCs w:val="24"/>
          <w:lang w:val="bg-BG"/>
        </w:rPr>
        <w:t>Р</w:t>
      </w:r>
      <w:r w:rsidRPr="00610B1B">
        <w:rPr>
          <w:rFonts w:ascii="Times New Roman" w:eastAsia="Times New Roman" w:hAnsi="Times New Roman" w:cs="Times New Roman"/>
          <w:sz w:val="24"/>
          <w:szCs w:val="24"/>
          <w:lang w:val="bg-BG"/>
        </w:rPr>
        <w:t xml:space="preserve">еформата на общата политика на ЕС в областта на рибарството, която влезе в сила през януари 2014 г., има за цел да подсигури препитанието на занимаващите се с рибарство, като в същото време спре свръхулова и изчерпването на запасите, което е последица от него. </w:t>
      </w:r>
      <w:r w:rsidR="001E24FF" w:rsidRPr="00610B1B">
        <w:rPr>
          <w:rFonts w:ascii="Times New Roman" w:eastAsia="Times New Roman" w:hAnsi="Times New Roman" w:cs="Times New Roman"/>
          <w:sz w:val="24"/>
          <w:szCs w:val="24"/>
          <w:lang w:val="bg-BG"/>
        </w:rPr>
        <w:t xml:space="preserve">Програмата за морско дело и рибарство 2014-2020 обвързва инвестиционните си приоритети с опазването на биоразнообразието и ресурсите, обновяването на пристанищата и с приоритетите на ЕС за повишаване на заетостта и териториалното </w:t>
      </w:r>
      <w:r w:rsidR="001E24FF" w:rsidRPr="00610B1B">
        <w:rPr>
          <w:rFonts w:ascii="Times New Roman" w:eastAsia="Times New Roman" w:hAnsi="Times New Roman" w:cs="Times New Roman"/>
          <w:sz w:val="24"/>
          <w:szCs w:val="24"/>
          <w:lang w:val="bg-BG"/>
        </w:rPr>
        <w:lastRenderedPageBreak/>
        <w:t>сближаване, за изпълнението на които ще се следи посредством</w:t>
      </w:r>
      <w:r w:rsidR="00D66FE0" w:rsidRPr="00610B1B">
        <w:rPr>
          <w:rFonts w:ascii="Times New Roman" w:eastAsia="Times New Roman" w:hAnsi="Times New Roman" w:cs="Times New Roman"/>
          <w:sz w:val="24"/>
          <w:szCs w:val="24"/>
          <w:lang w:val="bg-BG"/>
        </w:rPr>
        <w:t xml:space="preserve"> </w:t>
      </w:r>
      <w:r w:rsidR="001E24FF" w:rsidRPr="00610B1B">
        <w:rPr>
          <w:rFonts w:ascii="Times New Roman" w:eastAsia="Times New Roman" w:hAnsi="Times New Roman" w:cs="Times New Roman"/>
          <w:sz w:val="24"/>
          <w:szCs w:val="24"/>
          <w:lang w:val="bg-BG"/>
        </w:rPr>
        <w:t>подготвените и одобрени стратегии за местно развитие. Очаква се през настоящия програмен период да бъдат изпълнени най-малко 8 стратегии на МИРГ, за които е предвиден общ бюджет 15</w:t>
      </w:r>
      <w:r w:rsidR="00AC5BD2" w:rsidRPr="00610B1B">
        <w:rPr>
          <w:rFonts w:ascii="Times New Roman" w:eastAsia="Times New Roman" w:hAnsi="Times New Roman" w:cs="Times New Roman"/>
          <w:sz w:val="24"/>
          <w:szCs w:val="24"/>
          <w:lang w:val="bg-BG"/>
        </w:rPr>
        <w:t> </w:t>
      </w:r>
      <w:r w:rsidR="001E24FF" w:rsidRPr="00610B1B">
        <w:rPr>
          <w:rFonts w:ascii="Times New Roman" w:eastAsia="Times New Roman" w:hAnsi="Times New Roman" w:cs="Times New Roman"/>
          <w:sz w:val="24"/>
          <w:szCs w:val="24"/>
          <w:lang w:val="bg-BG"/>
        </w:rPr>
        <w:t>180</w:t>
      </w:r>
      <w:r w:rsidR="00AC5BD2" w:rsidRPr="00610B1B">
        <w:rPr>
          <w:rFonts w:ascii="Times New Roman" w:eastAsia="Times New Roman" w:hAnsi="Times New Roman" w:cs="Times New Roman"/>
          <w:sz w:val="24"/>
          <w:szCs w:val="24"/>
          <w:lang w:val="bg-BG"/>
        </w:rPr>
        <w:t> </w:t>
      </w:r>
      <w:r w:rsidR="001E24FF" w:rsidRPr="00610B1B">
        <w:rPr>
          <w:rFonts w:ascii="Times New Roman" w:eastAsia="Times New Roman" w:hAnsi="Times New Roman" w:cs="Times New Roman"/>
          <w:sz w:val="24"/>
          <w:szCs w:val="24"/>
          <w:lang w:val="bg-BG"/>
        </w:rPr>
        <w:t>000 евро, заедно със средствата за подготовка на нови стратегии.</w:t>
      </w:r>
    </w:p>
    <w:p w14:paraId="17E3831B" w14:textId="533257F3" w:rsidR="00115C8D" w:rsidRPr="00610B1B" w:rsidRDefault="00115C8D"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Превръщането </w:t>
      </w:r>
      <w:r w:rsidR="006C67DA" w:rsidRPr="00610B1B">
        <w:rPr>
          <w:rFonts w:ascii="Times New Roman" w:eastAsia="Calibri" w:hAnsi="Times New Roman" w:cs="Times New Roman"/>
          <w:sz w:val="24"/>
          <w:szCs w:val="24"/>
          <w:lang w:val="bg-BG"/>
        </w:rPr>
        <w:t xml:space="preserve">на </w:t>
      </w:r>
      <w:r w:rsidRPr="00610B1B">
        <w:rPr>
          <w:rFonts w:ascii="Times New Roman" w:eastAsia="Calibri" w:hAnsi="Times New Roman" w:cs="Times New Roman"/>
          <w:sz w:val="24"/>
          <w:szCs w:val="24"/>
          <w:lang w:val="bg-BG"/>
        </w:rPr>
        <w:t>сектор „Рибарство и аквакултури” в</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саморегулиращ се икономически сектор посредством повишаване на асортимента, качеството и количеството на произведената продукция от риба, носеща значителни приходи на лицата, ангажирани с риболова и аквакултурите</w:t>
      </w:r>
      <w:r w:rsidR="006C67DA"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w:t>
      </w:r>
      <w:r w:rsidRPr="00610B1B">
        <w:rPr>
          <w:rFonts w:ascii="Times New Roman" w:hAnsi="Times New Roman" w:cs="Times New Roman"/>
          <w:sz w:val="24"/>
          <w:szCs w:val="24"/>
          <w:shd w:val="clear" w:color="auto" w:fill="FFFFFF"/>
          <w:lang w:val="bg-BG"/>
        </w:rPr>
        <w:t>придобива все по</w:t>
      </w:r>
      <w:r w:rsidR="006C67DA" w:rsidRPr="00610B1B">
        <w:rPr>
          <w:rFonts w:ascii="Times New Roman" w:hAnsi="Times New Roman" w:cs="Times New Roman"/>
          <w:sz w:val="24"/>
          <w:szCs w:val="24"/>
          <w:shd w:val="clear" w:color="auto" w:fill="FFFFFF"/>
          <w:lang w:val="bg-BG"/>
        </w:rPr>
        <w:t>-</w:t>
      </w:r>
      <w:r w:rsidRPr="00610B1B">
        <w:rPr>
          <w:rFonts w:ascii="Times New Roman" w:hAnsi="Times New Roman" w:cs="Times New Roman"/>
          <w:sz w:val="24"/>
          <w:szCs w:val="24"/>
          <w:shd w:val="clear" w:color="auto" w:fill="FFFFFF"/>
          <w:lang w:val="bg-BG"/>
        </w:rPr>
        <w:t>голямо значение поради стремежа на съвременните потребители към здравословно хранене</w:t>
      </w:r>
      <w:r w:rsidRPr="00610B1B">
        <w:rPr>
          <w:rFonts w:ascii="Times New Roman" w:hAnsi="Times New Roman" w:cs="Times New Roman"/>
          <w:shd w:val="clear" w:color="auto" w:fill="FFFFFF"/>
          <w:lang w:val="bg-BG"/>
        </w:rPr>
        <w:t>.</w:t>
      </w:r>
      <w:r w:rsidRPr="00610B1B">
        <w:rPr>
          <w:rFonts w:ascii="Times New Roman" w:eastAsia="Calibri" w:hAnsi="Times New Roman" w:cs="Times New Roman"/>
          <w:sz w:val="24"/>
          <w:szCs w:val="24"/>
          <w:lang w:val="bg-BG"/>
        </w:rPr>
        <w:t xml:space="preserve"> Чрез прилагане на екосистемен подход към управлението на риба</w:t>
      </w:r>
      <w:r w:rsidR="006C67DA" w:rsidRPr="00610B1B">
        <w:rPr>
          <w:rFonts w:ascii="Times New Roman" w:eastAsia="Calibri" w:hAnsi="Times New Roman" w:cs="Times New Roman"/>
          <w:sz w:val="24"/>
          <w:szCs w:val="24"/>
          <w:lang w:val="bg-BG"/>
        </w:rPr>
        <w:t>рството, отрасъл</w:t>
      </w:r>
      <w:r w:rsidR="00AC5BD2" w:rsidRPr="00610B1B">
        <w:rPr>
          <w:rFonts w:ascii="Times New Roman" w:eastAsia="Calibri" w:hAnsi="Times New Roman" w:cs="Times New Roman"/>
          <w:sz w:val="24"/>
          <w:szCs w:val="24"/>
          <w:lang w:val="bg-BG"/>
        </w:rPr>
        <w:t>ът</w:t>
      </w:r>
      <w:r w:rsidR="006C67DA" w:rsidRPr="00610B1B">
        <w:rPr>
          <w:rFonts w:ascii="Times New Roman" w:eastAsia="Calibri" w:hAnsi="Times New Roman" w:cs="Times New Roman"/>
          <w:sz w:val="24"/>
          <w:szCs w:val="24"/>
          <w:lang w:val="bg-BG"/>
        </w:rPr>
        <w:t xml:space="preserve"> ще допри</w:t>
      </w:r>
      <w:r w:rsidRPr="00610B1B">
        <w:rPr>
          <w:rFonts w:ascii="Times New Roman" w:eastAsia="Calibri" w:hAnsi="Times New Roman" w:cs="Times New Roman"/>
          <w:sz w:val="24"/>
          <w:szCs w:val="24"/>
          <w:lang w:val="bg-BG"/>
        </w:rPr>
        <w:t xml:space="preserve">несе за поддържане и възстановяване на </w:t>
      </w:r>
      <w:r w:rsidR="006011C0" w:rsidRPr="00610B1B">
        <w:rPr>
          <w:rFonts w:ascii="Times New Roman" w:eastAsia="Calibri" w:hAnsi="Times New Roman" w:cs="Times New Roman"/>
          <w:sz w:val="24"/>
          <w:szCs w:val="24"/>
          <w:lang w:val="bg-BG"/>
        </w:rPr>
        <w:t>биоразнообразието</w:t>
      </w:r>
      <w:r w:rsidRPr="00610B1B">
        <w:rPr>
          <w:rFonts w:ascii="Times New Roman" w:eastAsia="Calibri" w:hAnsi="Times New Roman" w:cs="Times New Roman"/>
          <w:sz w:val="24"/>
          <w:szCs w:val="24"/>
          <w:lang w:val="bg-BG"/>
        </w:rPr>
        <w:t xml:space="preserve"> и устойчива експлоатация на морските биологични ресурси.</w:t>
      </w:r>
    </w:p>
    <w:p w14:paraId="593A3628" w14:textId="77777777" w:rsidR="002918AA" w:rsidRPr="00610B1B" w:rsidRDefault="002918AA" w:rsidP="00566CC3">
      <w:pPr>
        <w:autoSpaceDE w:val="0"/>
        <w:autoSpaceDN w:val="0"/>
        <w:adjustRightInd w:val="0"/>
        <w:spacing w:after="0" w:line="240" w:lineRule="auto"/>
        <w:ind w:left="720" w:right="-153"/>
        <w:jc w:val="both"/>
        <w:rPr>
          <w:rFonts w:ascii="Times New Roman" w:hAnsi="Times New Roman" w:cs="Times New Roman"/>
          <w:sz w:val="24"/>
          <w:szCs w:val="24"/>
          <w:lang w:val="bg-BG"/>
        </w:rPr>
      </w:pPr>
    </w:p>
    <w:p w14:paraId="5492CB81" w14:textId="680D1B6D" w:rsidR="00AE1E21" w:rsidRPr="00610B1B" w:rsidRDefault="001E24FF" w:rsidP="00D32D6A">
      <w:pPr>
        <w:pStyle w:val="Heading2"/>
        <w:spacing w:before="0" w:line="276" w:lineRule="auto"/>
        <w:ind w:right="-153"/>
        <w:rPr>
          <w:rFonts w:cs="Times New Roman"/>
          <w:b w:val="0"/>
          <w:bCs w:val="0"/>
          <w:color w:val="FF0000"/>
          <w:sz w:val="24"/>
          <w:szCs w:val="24"/>
        </w:rPr>
      </w:pPr>
      <w:bookmarkStart w:id="362" w:name="_Toc83391380"/>
      <w:r w:rsidRPr="00610B1B">
        <w:rPr>
          <w:rStyle w:val="Heading2Char"/>
          <w:rFonts w:cs="Times New Roman"/>
          <w:b/>
          <w:bCs/>
        </w:rPr>
        <w:t>3</w:t>
      </w:r>
      <w:r w:rsidR="00F8735E" w:rsidRPr="00610B1B">
        <w:rPr>
          <w:rStyle w:val="Heading2Char"/>
          <w:rFonts w:cs="Times New Roman"/>
          <w:b/>
          <w:bCs/>
        </w:rPr>
        <w:t>.</w:t>
      </w:r>
      <w:r w:rsidR="00BF0D18" w:rsidRPr="00610B1B">
        <w:rPr>
          <w:rStyle w:val="Heading2Char"/>
          <w:rFonts w:cs="Times New Roman"/>
          <w:b/>
          <w:bCs/>
        </w:rPr>
        <w:t>3</w:t>
      </w:r>
      <w:r w:rsidR="00F8735E" w:rsidRPr="00610B1B">
        <w:rPr>
          <w:rStyle w:val="Heading2Char"/>
          <w:rFonts w:cs="Times New Roman"/>
          <w:b/>
          <w:bCs/>
        </w:rPr>
        <w:t xml:space="preserve">. </w:t>
      </w:r>
      <w:r w:rsidR="00AE1E21" w:rsidRPr="00610B1B">
        <w:rPr>
          <w:rStyle w:val="Heading2Char"/>
          <w:rFonts w:cs="Times New Roman"/>
          <w:b/>
          <w:bCs/>
        </w:rPr>
        <w:t>Туризъм</w:t>
      </w:r>
      <w:bookmarkEnd w:id="362"/>
      <w:r w:rsidR="00AE1E21" w:rsidRPr="00610B1B">
        <w:rPr>
          <w:rFonts w:cs="Times New Roman"/>
        </w:rPr>
        <w:t xml:space="preserve"> </w:t>
      </w:r>
    </w:p>
    <w:p w14:paraId="7B8C2468" w14:textId="25667398" w:rsidR="00E17CC6" w:rsidRPr="00610B1B" w:rsidRDefault="00E17CC6" w:rsidP="00D32D6A">
      <w:pPr>
        <w:spacing w:after="120"/>
        <w:ind w:right="-153"/>
        <w:jc w:val="both"/>
        <w:rPr>
          <w:rFonts w:ascii="Times New Roman" w:hAnsi="Times New Roman" w:cs="Times New Roman"/>
          <w:iCs/>
          <w:sz w:val="24"/>
          <w:szCs w:val="24"/>
          <w:lang w:val="bg-BG"/>
        </w:rPr>
      </w:pPr>
      <w:r w:rsidRPr="00610B1B">
        <w:rPr>
          <w:rFonts w:ascii="Times New Roman" w:hAnsi="Times New Roman" w:cs="Times New Roman"/>
          <w:iCs/>
          <w:sz w:val="24"/>
          <w:szCs w:val="24"/>
          <w:lang w:val="bg-BG"/>
        </w:rPr>
        <w:t xml:space="preserve">За целите на морското пространствено планиране развитието на туризма по Черноморското крайбрежие и в морските пространства на Р. България се разглежда като преобладаваща функция в Черноморските общини, </w:t>
      </w:r>
      <w:r w:rsidR="004C5FB0" w:rsidRPr="00610B1B">
        <w:rPr>
          <w:rFonts w:ascii="Times New Roman" w:hAnsi="Times New Roman" w:cs="Times New Roman"/>
          <w:iCs/>
          <w:sz w:val="24"/>
          <w:szCs w:val="24"/>
          <w:lang w:val="bg-BG"/>
        </w:rPr>
        <w:t xml:space="preserve">с трайни традиции, </w:t>
      </w:r>
      <w:r w:rsidRPr="00610B1B">
        <w:rPr>
          <w:rFonts w:ascii="Times New Roman" w:hAnsi="Times New Roman" w:cs="Times New Roman"/>
          <w:iCs/>
          <w:sz w:val="24"/>
          <w:szCs w:val="24"/>
          <w:lang w:val="bg-BG"/>
        </w:rPr>
        <w:t xml:space="preserve">разнообразни форми, влияещи върху психическото и физическото здраве на хората и с нарастваща експанзия след 1960-те години. </w:t>
      </w:r>
      <w:r w:rsidR="00923BBB" w:rsidRPr="00610B1B">
        <w:rPr>
          <w:rFonts w:ascii="Times New Roman" w:hAnsi="Times New Roman" w:cs="Times New Roman"/>
          <w:iCs/>
          <w:sz w:val="24"/>
          <w:szCs w:val="24"/>
          <w:lang w:val="bg-BG"/>
        </w:rPr>
        <w:t xml:space="preserve">Мястото на морското казино </w:t>
      </w:r>
      <w:r w:rsidR="004C5FB0" w:rsidRPr="00610B1B">
        <w:rPr>
          <w:rFonts w:ascii="Times New Roman" w:hAnsi="Times New Roman" w:cs="Times New Roman"/>
          <w:iCs/>
          <w:sz w:val="24"/>
          <w:szCs w:val="24"/>
          <w:lang w:val="bg-BG"/>
        </w:rPr>
        <w:t>в</w:t>
      </w:r>
      <w:r w:rsidR="00D66FE0" w:rsidRPr="00610B1B">
        <w:rPr>
          <w:rFonts w:ascii="Times New Roman" w:hAnsi="Times New Roman" w:cs="Times New Roman"/>
          <w:iCs/>
          <w:sz w:val="24"/>
          <w:szCs w:val="24"/>
          <w:lang w:val="bg-BG"/>
        </w:rPr>
        <w:t xml:space="preserve"> </w:t>
      </w:r>
      <w:r w:rsidR="004C5FB0" w:rsidRPr="00610B1B">
        <w:rPr>
          <w:rFonts w:ascii="Times New Roman" w:hAnsi="Times New Roman" w:cs="Times New Roman"/>
          <w:iCs/>
          <w:sz w:val="24"/>
          <w:szCs w:val="24"/>
          <w:lang w:val="bg-BG"/>
        </w:rPr>
        <w:t>курортния комплекс „Златни пясъци“</w:t>
      </w:r>
      <w:r w:rsidR="00923BBB" w:rsidRPr="00610B1B">
        <w:rPr>
          <w:rFonts w:ascii="Times New Roman" w:hAnsi="Times New Roman" w:cs="Times New Roman"/>
          <w:iCs/>
          <w:sz w:val="24"/>
          <w:szCs w:val="24"/>
          <w:lang w:val="bg-BG"/>
        </w:rPr>
        <w:t xml:space="preserve"> е било известно като морски кантон </w:t>
      </w:r>
      <w:r w:rsidR="004C5FB0" w:rsidRPr="00610B1B">
        <w:rPr>
          <w:rFonts w:ascii="Times New Roman" w:hAnsi="Times New Roman" w:cs="Times New Roman"/>
          <w:iCs/>
          <w:sz w:val="24"/>
          <w:szCs w:val="24"/>
          <w:lang w:val="bg-BG"/>
        </w:rPr>
        <w:t>по</w:t>
      </w:r>
      <w:r w:rsidR="00923BBB" w:rsidRPr="00610B1B">
        <w:rPr>
          <w:rFonts w:ascii="Times New Roman" w:hAnsi="Times New Roman" w:cs="Times New Roman"/>
          <w:iCs/>
          <w:sz w:val="24"/>
          <w:szCs w:val="24"/>
          <w:lang w:val="bg-BG"/>
        </w:rPr>
        <w:t xml:space="preserve"> времето на цар Асен ІІ, </w:t>
      </w:r>
      <w:r w:rsidR="004C5FB0" w:rsidRPr="00610B1B">
        <w:rPr>
          <w:rFonts w:ascii="Times New Roman" w:hAnsi="Times New Roman" w:cs="Times New Roman"/>
          <w:iCs/>
          <w:sz w:val="24"/>
          <w:szCs w:val="24"/>
          <w:lang w:val="bg-BG"/>
        </w:rPr>
        <w:t xml:space="preserve">още в началото на 20 век се обмисля развитието на морския туризъм, през </w:t>
      </w:r>
      <w:r w:rsidR="00923BBB" w:rsidRPr="00610B1B">
        <w:rPr>
          <w:rFonts w:ascii="Times New Roman" w:hAnsi="Times New Roman" w:cs="Times New Roman"/>
          <w:iCs/>
          <w:sz w:val="24"/>
          <w:szCs w:val="24"/>
          <w:lang w:val="bg-BG"/>
        </w:rPr>
        <w:t>190</w:t>
      </w:r>
      <w:r w:rsidR="004C5FB0" w:rsidRPr="00610B1B">
        <w:rPr>
          <w:rFonts w:ascii="Times New Roman" w:hAnsi="Times New Roman" w:cs="Times New Roman"/>
          <w:iCs/>
          <w:sz w:val="24"/>
          <w:szCs w:val="24"/>
          <w:lang w:val="bg-BG"/>
        </w:rPr>
        <w:t>9</w:t>
      </w:r>
      <w:r w:rsidR="00923BBB" w:rsidRPr="00610B1B">
        <w:rPr>
          <w:rFonts w:ascii="Times New Roman" w:hAnsi="Times New Roman" w:cs="Times New Roman"/>
          <w:iCs/>
          <w:sz w:val="24"/>
          <w:szCs w:val="24"/>
          <w:lang w:val="bg-BG"/>
        </w:rPr>
        <w:t xml:space="preserve"> г. се </w:t>
      </w:r>
      <w:r w:rsidR="004C5FB0" w:rsidRPr="00610B1B">
        <w:rPr>
          <w:rFonts w:ascii="Times New Roman" w:hAnsi="Times New Roman" w:cs="Times New Roman"/>
          <w:iCs/>
          <w:sz w:val="24"/>
          <w:szCs w:val="24"/>
          <w:lang w:val="bg-BG"/>
        </w:rPr>
        <w:t>изгражда първия детски морски санаториум</w:t>
      </w:r>
      <w:r w:rsidR="00205252" w:rsidRPr="00610B1B">
        <w:rPr>
          <w:rFonts w:ascii="Times New Roman" w:hAnsi="Times New Roman" w:cs="Times New Roman"/>
          <w:iCs/>
          <w:sz w:val="24"/>
          <w:szCs w:val="24"/>
          <w:lang w:val="bg-BG"/>
        </w:rPr>
        <w:t xml:space="preserve"> за лечение на заболявания на горните дихателни пътища.</w:t>
      </w:r>
      <w:r w:rsidR="00205252" w:rsidRPr="00610B1B">
        <w:rPr>
          <w:rStyle w:val="FootnoteReference"/>
          <w:rFonts w:ascii="Times New Roman" w:hAnsi="Times New Roman" w:cs="Times New Roman"/>
          <w:iCs/>
          <w:sz w:val="24"/>
          <w:szCs w:val="24"/>
          <w:lang w:val="bg-BG"/>
        </w:rPr>
        <w:footnoteReference w:id="117"/>
      </w:r>
      <w:r w:rsidR="00D66FE0" w:rsidRPr="00610B1B">
        <w:rPr>
          <w:rFonts w:ascii="Times New Roman" w:hAnsi="Times New Roman" w:cs="Times New Roman"/>
          <w:iCs/>
          <w:sz w:val="24"/>
          <w:szCs w:val="24"/>
          <w:lang w:val="bg-BG"/>
        </w:rPr>
        <w:t xml:space="preserve"> </w:t>
      </w:r>
      <w:r w:rsidR="00077396" w:rsidRPr="00610B1B">
        <w:rPr>
          <w:rFonts w:ascii="Times New Roman" w:hAnsi="Times New Roman" w:cs="Times New Roman"/>
          <w:iCs/>
          <w:sz w:val="24"/>
          <w:szCs w:val="24"/>
          <w:lang w:val="bg-BG"/>
        </w:rPr>
        <w:t xml:space="preserve">През 1921 г. град Варна официално е обявен за първия български морски курорт. </w:t>
      </w:r>
      <w:r w:rsidR="00205252" w:rsidRPr="00610B1B">
        <w:rPr>
          <w:rFonts w:ascii="Times New Roman" w:hAnsi="Times New Roman" w:cs="Times New Roman"/>
          <w:iCs/>
          <w:sz w:val="24"/>
          <w:szCs w:val="24"/>
          <w:lang w:val="bg-BG"/>
        </w:rPr>
        <w:t>Масовото курортно строителство се свързва с изграждането на големите курортни комплекси „Златни пясъци“, „Слънчев бряг“, „Албена“, „Св. Константин и Елена“ и</w:t>
      </w:r>
      <w:r w:rsidR="00D66FE0" w:rsidRPr="00610B1B">
        <w:rPr>
          <w:rFonts w:ascii="Times New Roman" w:hAnsi="Times New Roman" w:cs="Times New Roman"/>
          <w:iCs/>
          <w:sz w:val="24"/>
          <w:szCs w:val="24"/>
          <w:lang w:val="bg-BG"/>
        </w:rPr>
        <w:t xml:space="preserve"> </w:t>
      </w:r>
      <w:r w:rsidR="00205252" w:rsidRPr="00610B1B">
        <w:rPr>
          <w:rFonts w:ascii="Times New Roman" w:hAnsi="Times New Roman" w:cs="Times New Roman"/>
          <w:iCs/>
          <w:sz w:val="24"/>
          <w:szCs w:val="24"/>
          <w:lang w:val="bg-BG"/>
        </w:rPr>
        <w:t>на по-мащабни ваканционни селища „Елените“, „Русалка“ и „Дюни“, чието строителство започва в средата на 1950</w:t>
      </w:r>
      <w:r w:rsidR="001E24FF" w:rsidRPr="00610B1B">
        <w:rPr>
          <w:rFonts w:ascii="Times New Roman" w:hAnsi="Times New Roman" w:cs="Times New Roman"/>
          <w:iCs/>
          <w:sz w:val="24"/>
          <w:szCs w:val="24"/>
          <w:lang w:val="bg-BG"/>
        </w:rPr>
        <w:t>-те</w:t>
      </w:r>
      <w:r w:rsidR="00205252" w:rsidRPr="00610B1B">
        <w:rPr>
          <w:rFonts w:ascii="Times New Roman" w:hAnsi="Times New Roman" w:cs="Times New Roman"/>
          <w:iCs/>
          <w:sz w:val="24"/>
          <w:szCs w:val="24"/>
          <w:lang w:val="bg-BG"/>
        </w:rPr>
        <w:t xml:space="preserve"> години. </w:t>
      </w:r>
    </w:p>
    <w:p w14:paraId="06CE9ED1" w14:textId="2B1F1B58" w:rsidR="00043308" w:rsidRPr="00610B1B" w:rsidRDefault="004F34DC"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iCs/>
          <w:sz w:val="24"/>
          <w:szCs w:val="24"/>
          <w:lang w:val="bg-BG"/>
        </w:rPr>
        <w:t xml:space="preserve">С цел по-пълноценно оползотворяване на туристическите ресурси чрез създаване на регионални туристически продукти и </w:t>
      </w:r>
      <w:r w:rsidR="0045463D" w:rsidRPr="00610B1B">
        <w:rPr>
          <w:rFonts w:ascii="Times New Roman" w:hAnsi="Times New Roman" w:cs="Times New Roman"/>
          <w:iCs/>
          <w:sz w:val="24"/>
          <w:szCs w:val="24"/>
          <w:lang w:val="bg-BG"/>
        </w:rPr>
        <w:t xml:space="preserve">правилно ориентиране на туристическия маркетинг през 2015 г. се създава Концепцията за туристическо райониране на Р. България, в която два от новосформираните девет туристически района </w:t>
      </w:r>
      <w:r w:rsidR="00043308" w:rsidRPr="00610B1B">
        <w:rPr>
          <w:rFonts w:ascii="Times New Roman" w:hAnsi="Times New Roman" w:cs="Times New Roman"/>
          <w:sz w:val="24"/>
          <w:szCs w:val="24"/>
          <w:lang w:val="bg-BG"/>
        </w:rPr>
        <w:t xml:space="preserve">контактуват с </w:t>
      </w:r>
      <w:r w:rsidR="0045463D" w:rsidRPr="00610B1B">
        <w:rPr>
          <w:rFonts w:ascii="Times New Roman" w:hAnsi="Times New Roman" w:cs="Times New Roman"/>
          <w:sz w:val="24"/>
          <w:szCs w:val="24"/>
          <w:lang w:val="bg-BG"/>
        </w:rPr>
        <w:t xml:space="preserve">Черноморското </w:t>
      </w:r>
      <w:r w:rsidR="00043308" w:rsidRPr="00610B1B">
        <w:rPr>
          <w:rFonts w:ascii="Times New Roman" w:hAnsi="Times New Roman" w:cs="Times New Roman"/>
          <w:sz w:val="24"/>
          <w:szCs w:val="24"/>
          <w:lang w:val="bg-BG"/>
        </w:rPr>
        <w:t xml:space="preserve">крайбрежие – Варненско Черноморие и Бургаско Черноморие. </w:t>
      </w:r>
    </w:p>
    <w:p w14:paraId="518C6F1E" w14:textId="0E211A6B" w:rsidR="00AC5BD2" w:rsidRPr="00610B1B" w:rsidRDefault="00AC5BD2"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Освен тясната им специализация в морски рекреативен туризъм, тези райони разширяват туристическото си предлагане и чрез други форми – културно-исторически, фестивален, делови, здравен, селски, поклоннически туризъм, екотуризъм. Това предлагане означава, че освен бреговата ивица, функционалната зона на туризма в тези райони обхваща пространства в дълбочина до 80-100 km.</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За целите на настоящото проучване, функцията „туризъм” се ограничава само до зоната на прекия контакт „суша-море”.</w:t>
      </w:r>
    </w:p>
    <w:p w14:paraId="738C3788" w14:textId="66B73E19" w:rsidR="00694DF5" w:rsidRPr="00610B1B" w:rsidRDefault="0029238A"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В конкретни измерения, това са регламентираните в ЗУЧК зона „А” (100 m), зона „Б” (2 km от зона „А”), 200 метровата прилежаща зона от акваторията и селищните среди с контакт до брега.</w:t>
      </w:r>
    </w:p>
    <w:p w14:paraId="1ED62092" w14:textId="77777777" w:rsidR="009907CE" w:rsidRPr="00610B1B" w:rsidRDefault="009907CE" w:rsidP="00D32D6A">
      <w:pPr>
        <w:spacing w:after="120"/>
        <w:ind w:right="-153"/>
        <w:jc w:val="both"/>
        <w:rPr>
          <w:rFonts w:ascii="Times New Roman" w:hAnsi="Times New Roman" w:cs="Times New Roman"/>
          <w:sz w:val="24"/>
          <w:szCs w:val="24"/>
          <w:lang w:val="bg-BG"/>
        </w:rPr>
      </w:pPr>
    </w:p>
    <w:p w14:paraId="0899BA7E" w14:textId="40CCE92C" w:rsidR="0029238A" w:rsidRPr="00610B1B" w:rsidRDefault="0029238A" w:rsidP="00D32D6A">
      <w:pPr>
        <w:pStyle w:val="Heading3"/>
        <w:numPr>
          <w:ilvl w:val="0"/>
          <w:numId w:val="0"/>
        </w:numPr>
        <w:spacing w:before="0" w:line="276" w:lineRule="auto"/>
        <w:ind w:right="-153"/>
        <w:rPr>
          <w:rFonts w:cs="Times New Roman"/>
        </w:rPr>
      </w:pPr>
      <w:bookmarkStart w:id="363" w:name="_Toc83391381"/>
      <w:r w:rsidRPr="00610B1B">
        <w:rPr>
          <w:rFonts w:cs="Times New Roman"/>
        </w:rPr>
        <w:t>3.3.1. Туристич</w:t>
      </w:r>
      <w:r w:rsidR="004B7C18" w:rsidRPr="00610B1B">
        <w:rPr>
          <w:rFonts w:cs="Times New Roman"/>
        </w:rPr>
        <w:t>е</w:t>
      </w:r>
      <w:r w:rsidRPr="00610B1B">
        <w:rPr>
          <w:rFonts w:cs="Times New Roman"/>
        </w:rPr>
        <w:t>ски ресурси</w:t>
      </w:r>
      <w:bookmarkEnd w:id="363"/>
    </w:p>
    <w:p w14:paraId="0C941EDC" w14:textId="77777777" w:rsidR="0029238A" w:rsidRPr="00610B1B" w:rsidRDefault="0029238A"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Най-значимото водно-туристическо богатство на страната е </w:t>
      </w:r>
      <w:r w:rsidRPr="00610B1B">
        <w:rPr>
          <w:rFonts w:ascii="Times New Roman" w:hAnsi="Times New Roman" w:cs="Times New Roman"/>
          <w:i/>
          <w:iCs/>
          <w:sz w:val="24"/>
          <w:szCs w:val="24"/>
          <w:lang w:val="bg-BG"/>
        </w:rPr>
        <w:t>Черно море</w:t>
      </w:r>
      <w:r w:rsidRPr="00610B1B">
        <w:rPr>
          <w:rFonts w:ascii="Times New Roman" w:hAnsi="Times New Roman" w:cs="Times New Roman"/>
          <w:sz w:val="24"/>
          <w:szCs w:val="24"/>
          <w:lang w:val="bg-BG"/>
        </w:rPr>
        <w:t>, с подходящата температура и соленост на морската вода, благоприятен климат, ветрови и вълнови режим, които предполагат относително продължителен туристически сезон. Затоплената морска вода в недалечното минало се е използвала за лечение на различни заболявания.</w:t>
      </w:r>
    </w:p>
    <w:p w14:paraId="4A5901B0" w14:textId="15FF1496" w:rsidR="0029238A" w:rsidRPr="00610B1B" w:rsidRDefault="0029238A"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Подходящи за развитието на морския туризъм са морските </w:t>
      </w:r>
      <w:r w:rsidRPr="00610B1B">
        <w:rPr>
          <w:rFonts w:ascii="Times New Roman" w:hAnsi="Times New Roman" w:cs="Times New Roman"/>
          <w:i/>
          <w:iCs/>
          <w:sz w:val="24"/>
          <w:szCs w:val="24"/>
          <w:lang w:val="bg-BG"/>
        </w:rPr>
        <w:t>пясъчни плажове</w:t>
      </w:r>
      <w:r w:rsidRPr="00610B1B">
        <w:rPr>
          <w:rFonts w:ascii="Times New Roman" w:hAnsi="Times New Roman" w:cs="Times New Roman"/>
          <w:sz w:val="24"/>
          <w:szCs w:val="24"/>
          <w:lang w:val="bg-BG"/>
        </w:rPr>
        <w:t xml:space="preserve">, които са повече от 230 броя, плавно увеличаващо дълбочината си пясъчно дъно на морето, липсата на морски хищници. Доказателство за атрактивността на българските плажове е сертификатът “Син флаг”, който се присъжда след оценка на качеството на морската вода, чистотата на плажните ивици, екологичността, безопасността, услугите и удобствата, които се предоставят на туристите. През 2019 г., с този сертификат са удостоени 14 български плажа, при 12 бр. през 2018 г. и 11 бр. през 2016 г. </w:t>
      </w:r>
    </w:p>
    <w:p w14:paraId="75C57676" w14:textId="6A824381" w:rsidR="0029238A" w:rsidRPr="00610B1B" w:rsidRDefault="0029238A"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За повишаване на атрактивността на морските курорти допринасят и възможностите за кало и луголечение, като за целта се използват ресурсите от </w:t>
      </w:r>
      <w:r w:rsidRPr="00610B1B">
        <w:rPr>
          <w:rFonts w:ascii="Times New Roman" w:hAnsi="Times New Roman" w:cs="Times New Roman"/>
          <w:i/>
          <w:iCs/>
          <w:sz w:val="24"/>
          <w:szCs w:val="24"/>
          <w:lang w:val="bg-BG"/>
        </w:rPr>
        <w:t>лечебна кал</w:t>
      </w:r>
      <w:r w:rsidRPr="00610B1B">
        <w:rPr>
          <w:rFonts w:ascii="Times New Roman" w:hAnsi="Times New Roman" w:cs="Times New Roman"/>
          <w:sz w:val="24"/>
          <w:szCs w:val="24"/>
          <w:lang w:val="bg-BG"/>
        </w:rPr>
        <w:t xml:space="preserve"> от Дуранкулашкото, Шабленското, Поморийското и Атанасовското езеро, както и </w:t>
      </w:r>
      <w:r w:rsidRPr="00610B1B">
        <w:rPr>
          <w:rFonts w:ascii="Times New Roman" w:hAnsi="Times New Roman" w:cs="Times New Roman"/>
          <w:i/>
          <w:iCs/>
          <w:sz w:val="24"/>
          <w:szCs w:val="24"/>
          <w:lang w:val="bg-BG"/>
        </w:rPr>
        <w:t>луга</w:t>
      </w:r>
      <w:r w:rsidRPr="00610B1B">
        <w:rPr>
          <w:rFonts w:ascii="Times New Roman" w:hAnsi="Times New Roman" w:cs="Times New Roman"/>
          <w:sz w:val="24"/>
          <w:szCs w:val="24"/>
          <w:lang w:val="bg-BG"/>
        </w:rPr>
        <w:t xml:space="preserve"> от изпарителните басейни на Поморийските и Бургаските солници.</w:t>
      </w:r>
    </w:p>
    <w:p w14:paraId="344FEE0A" w14:textId="26FDD9DE" w:rsidR="00517C9F" w:rsidRPr="00610B1B" w:rsidRDefault="00903513"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Възможностите за лечебен туризъм се увеличават и поради наличието на </w:t>
      </w:r>
      <w:r w:rsidRPr="00610B1B">
        <w:rPr>
          <w:rFonts w:ascii="Times New Roman" w:hAnsi="Times New Roman" w:cs="Times New Roman"/>
          <w:i/>
          <w:iCs/>
          <w:sz w:val="24"/>
          <w:szCs w:val="24"/>
          <w:lang w:val="bg-BG"/>
        </w:rPr>
        <w:t>термоминерални води</w:t>
      </w:r>
      <w:r w:rsidRPr="00610B1B">
        <w:rPr>
          <w:rFonts w:ascii="Times New Roman" w:hAnsi="Times New Roman" w:cs="Times New Roman"/>
          <w:sz w:val="24"/>
          <w:szCs w:val="24"/>
          <w:lang w:val="bg-BG"/>
        </w:rPr>
        <w:t xml:space="preserve"> по крайбрежието</w:t>
      </w:r>
      <w:r w:rsidR="00EB7679" w:rsidRPr="00610B1B">
        <w:rPr>
          <w:rFonts w:ascii="Times New Roman" w:hAnsi="Times New Roman" w:cs="Times New Roman"/>
          <w:sz w:val="24"/>
          <w:szCs w:val="24"/>
          <w:lang w:val="bg-BG"/>
        </w:rPr>
        <w:t xml:space="preserve"> с различни физични и химични характеристики</w:t>
      </w:r>
      <w:r w:rsidR="009C3D6C" w:rsidRPr="00610B1B">
        <w:rPr>
          <w:rFonts w:ascii="Times New Roman" w:hAnsi="Times New Roman" w:cs="Times New Roman"/>
          <w:sz w:val="24"/>
          <w:szCs w:val="24"/>
          <w:lang w:val="bg-BG"/>
        </w:rPr>
        <w:t>, с температура от &gt;32°С до над 40°С</w:t>
      </w:r>
      <w:r w:rsidR="00D66FE0" w:rsidRPr="00610B1B">
        <w:rPr>
          <w:rFonts w:ascii="Times New Roman" w:hAnsi="Times New Roman" w:cs="Times New Roman"/>
          <w:sz w:val="24"/>
          <w:szCs w:val="24"/>
          <w:lang w:val="bg-BG"/>
        </w:rPr>
        <w:t xml:space="preserve"> </w:t>
      </w:r>
      <w:r w:rsidR="00EB7679" w:rsidRPr="00610B1B">
        <w:rPr>
          <w:rFonts w:ascii="Times New Roman" w:hAnsi="Times New Roman" w:cs="Times New Roman"/>
          <w:sz w:val="24"/>
          <w:szCs w:val="24"/>
          <w:lang w:val="bg-BG"/>
        </w:rPr>
        <w:t>и най-често с ниска минерализация.</w:t>
      </w:r>
      <w:r w:rsidR="00EB7679" w:rsidRPr="00610B1B">
        <w:rPr>
          <w:rFonts w:ascii="Times New Roman" w:hAnsi="Times New Roman" w:cs="Times New Roman"/>
          <w:lang w:val="bg-BG"/>
        </w:rPr>
        <w:t xml:space="preserve"> </w:t>
      </w:r>
      <w:r w:rsidR="00EB7679" w:rsidRPr="00610B1B">
        <w:rPr>
          <w:rFonts w:ascii="Times New Roman" w:hAnsi="Times New Roman" w:cs="Times New Roman"/>
          <w:sz w:val="24"/>
          <w:szCs w:val="24"/>
          <w:lang w:val="bg-BG"/>
        </w:rPr>
        <w:t xml:space="preserve">Като най-ценни се приемат солените силно минерализирани води, съдържащи йод и бромид в района на Камчия и Тюленово, както и тези при </w:t>
      </w:r>
      <w:r w:rsidR="00EB7679" w:rsidRPr="00610B1B">
        <w:rPr>
          <w:rFonts w:ascii="Times New Roman" w:hAnsi="Times New Roman" w:cs="Times New Roman"/>
          <w:i/>
          <w:iCs/>
          <w:sz w:val="24"/>
          <w:szCs w:val="24"/>
          <w:lang w:val="bg-BG"/>
        </w:rPr>
        <w:t>Aquae Calidae</w:t>
      </w:r>
      <w:r w:rsidR="00BB14E8" w:rsidRPr="00610B1B">
        <w:rPr>
          <w:rFonts w:ascii="Times New Roman" w:hAnsi="Times New Roman" w:cs="Times New Roman"/>
          <w:sz w:val="24"/>
          <w:szCs w:val="24"/>
          <w:lang w:val="bg-BG"/>
        </w:rPr>
        <w:t>.</w:t>
      </w:r>
      <w:r w:rsidR="00EB7679" w:rsidRPr="00610B1B">
        <w:rPr>
          <w:rFonts w:ascii="Times New Roman" w:hAnsi="Times New Roman" w:cs="Times New Roman"/>
          <w:sz w:val="24"/>
          <w:szCs w:val="24"/>
          <w:lang w:val="bg-BG"/>
        </w:rPr>
        <w:t xml:space="preserve"> По-</w:t>
      </w:r>
      <w:r w:rsidRPr="00610B1B">
        <w:rPr>
          <w:rFonts w:ascii="Times New Roman" w:hAnsi="Times New Roman" w:cs="Times New Roman"/>
          <w:sz w:val="24"/>
          <w:szCs w:val="24"/>
          <w:lang w:val="bg-BG"/>
        </w:rPr>
        <w:t xml:space="preserve">добре </w:t>
      </w:r>
      <w:r w:rsidR="00EB7679" w:rsidRPr="00610B1B">
        <w:rPr>
          <w:rFonts w:ascii="Times New Roman" w:hAnsi="Times New Roman" w:cs="Times New Roman"/>
          <w:sz w:val="24"/>
          <w:szCs w:val="24"/>
          <w:lang w:val="bg-BG"/>
        </w:rPr>
        <w:t xml:space="preserve">са </w:t>
      </w:r>
      <w:r w:rsidRPr="00610B1B">
        <w:rPr>
          <w:rFonts w:ascii="Times New Roman" w:hAnsi="Times New Roman" w:cs="Times New Roman"/>
          <w:sz w:val="24"/>
          <w:szCs w:val="24"/>
          <w:lang w:val="bg-BG"/>
        </w:rPr>
        <w:t xml:space="preserve">проучени и оползотворени </w:t>
      </w:r>
      <w:r w:rsidR="00EB7679" w:rsidRPr="00610B1B">
        <w:rPr>
          <w:rFonts w:ascii="Times New Roman" w:hAnsi="Times New Roman" w:cs="Times New Roman"/>
          <w:sz w:val="24"/>
          <w:szCs w:val="24"/>
          <w:lang w:val="bg-BG"/>
        </w:rPr>
        <w:t xml:space="preserve">минералните води по Северното Черноморско крайбрежие - Дуранкулак, Шабленска Тузла, Балчик, Златни пясъци, Св. </w:t>
      </w:r>
      <w:r w:rsidR="009C3D6C" w:rsidRPr="00610B1B">
        <w:rPr>
          <w:rFonts w:ascii="Times New Roman" w:hAnsi="Times New Roman" w:cs="Times New Roman"/>
          <w:sz w:val="24"/>
          <w:szCs w:val="24"/>
          <w:lang w:val="bg-BG"/>
        </w:rPr>
        <w:t xml:space="preserve">Св. </w:t>
      </w:r>
      <w:r w:rsidR="00EB7679" w:rsidRPr="00610B1B">
        <w:rPr>
          <w:rFonts w:ascii="Times New Roman" w:hAnsi="Times New Roman" w:cs="Times New Roman"/>
          <w:sz w:val="24"/>
          <w:szCs w:val="24"/>
          <w:lang w:val="bg-BG"/>
        </w:rPr>
        <w:t xml:space="preserve">Константин и Елена, Варна и Камчия. </w:t>
      </w:r>
      <w:r w:rsidR="00517C9F" w:rsidRPr="00610B1B">
        <w:rPr>
          <w:rFonts w:ascii="Times New Roman" w:hAnsi="Times New Roman" w:cs="Times New Roman"/>
          <w:sz w:val="24"/>
          <w:szCs w:val="24"/>
          <w:lang w:val="bg-BG"/>
        </w:rPr>
        <w:t>Най-известните балнеолечебни комплекси п</w:t>
      </w:r>
      <w:r w:rsidR="00EB7679" w:rsidRPr="00610B1B">
        <w:rPr>
          <w:rFonts w:ascii="Times New Roman" w:hAnsi="Times New Roman" w:cs="Times New Roman"/>
          <w:sz w:val="24"/>
          <w:szCs w:val="24"/>
          <w:lang w:val="bg-BG"/>
        </w:rPr>
        <w:t xml:space="preserve">о южното Черноморско крайбрежие </w:t>
      </w:r>
      <w:r w:rsidR="00517C9F" w:rsidRPr="00610B1B">
        <w:rPr>
          <w:rFonts w:ascii="Times New Roman" w:hAnsi="Times New Roman" w:cs="Times New Roman"/>
          <w:sz w:val="24"/>
          <w:szCs w:val="24"/>
          <w:lang w:val="bg-BG"/>
        </w:rPr>
        <w:t>са в Поморие и в кв. Ветрен</w:t>
      </w:r>
      <w:r w:rsidR="00881CF9" w:rsidRPr="00610B1B">
        <w:rPr>
          <w:rFonts w:ascii="Times New Roman" w:hAnsi="Times New Roman" w:cs="Times New Roman"/>
          <w:sz w:val="24"/>
          <w:szCs w:val="24"/>
          <w:lang w:val="bg-BG"/>
        </w:rPr>
        <w:t xml:space="preserve">, </w:t>
      </w:r>
      <w:r w:rsidR="00517C9F" w:rsidRPr="00610B1B">
        <w:rPr>
          <w:rFonts w:ascii="Times New Roman" w:hAnsi="Times New Roman" w:cs="Times New Roman"/>
          <w:sz w:val="24"/>
          <w:szCs w:val="24"/>
          <w:lang w:val="bg-BG"/>
        </w:rPr>
        <w:t>гр. Бургас.</w:t>
      </w:r>
      <w:r w:rsidR="00EB7679" w:rsidRPr="00610B1B">
        <w:rPr>
          <w:rFonts w:ascii="Times New Roman" w:hAnsi="Times New Roman" w:cs="Times New Roman"/>
          <w:sz w:val="24"/>
          <w:szCs w:val="24"/>
          <w:lang w:val="bg-BG"/>
        </w:rPr>
        <w:t xml:space="preserve"> </w:t>
      </w:r>
      <w:r w:rsidR="009C3D6C" w:rsidRPr="00610B1B">
        <w:rPr>
          <w:rFonts w:ascii="Times New Roman" w:hAnsi="Times New Roman" w:cs="Times New Roman"/>
          <w:sz w:val="24"/>
          <w:szCs w:val="24"/>
          <w:lang w:val="bg-BG"/>
        </w:rPr>
        <w:t xml:space="preserve">И този природен ресурс не е достатъчно усвоен и подлежи на развитие. В регистъра на ресурсите на минералните води - изключителна държавна собственост по находища и водовземни съоръжения, по българското </w:t>
      </w:r>
      <w:r w:rsidR="006011C0" w:rsidRPr="00610B1B">
        <w:rPr>
          <w:rFonts w:ascii="Times New Roman" w:hAnsi="Times New Roman" w:cs="Times New Roman"/>
          <w:sz w:val="24"/>
          <w:szCs w:val="24"/>
          <w:lang w:val="bg-BG"/>
        </w:rPr>
        <w:t>крайбрежие</w:t>
      </w:r>
      <w:r w:rsidR="009C3D6C" w:rsidRPr="00610B1B">
        <w:rPr>
          <w:rFonts w:ascii="Times New Roman" w:hAnsi="Times New Roman" w:cs="Times New Roman"/>
          <w:sz w:val="24"/>
          <w:szCs w:val="24"/>
          <w:lang w:val="bg-BG"/>
        </w:rPr>
        <w:t xml:space="preserve"> са регистрирани 56 източника, докато те са повече от 100.</w:t>
      </w:r>
    </w:p>
    <w:p w14:paraId="1E13EB2F" w14:textId="652331D5" w:rsidR="00EB7679" w:rsidRPr="00610B1B" w:rsidRDefault="00517C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Към природните туристически ресурси, освен климата, морето, морските плажове, морската луга и кал, минералните води, следва да се споменат още планините, достигащи до морето – </w:t>
      </w:r>
      <w:r w:rsidRPr="00610B1B">
        <w:rPr>
          <w:rFonts w:ascii="Times New Roman" w:hAnsi="Times New Roman" w:cs="Times New Roman"/>
          <w:i/>
          <w:iCs/>
          <w:sz w:val="24"/>
          <w:szCs w:val="24"/>
          <w:lang w:val="bg-BG"/>
        </w:rPr>
        <w:t>Стара планина</w:t>
      </w:r>
      <w:r w:rsidRPr="00610B1B">
        <w:rPr>
          <w:rFonts w:ascii="Times New Roman" w:hAnsi="Times New Roman" w:cs="Times New Roman"/>
          <w:sz w:val="24"/>
          <w:szCs w:val="24"/>
          <w:lang w:val="bg-BG"/>
        </w:rPr>
        <w:t xml:space="preserve"> в централната част на българското Черноморско крайбрежие и </w:t>
      </w:r>
      <w:r w:rsidRPr="00610B1B">
        <w:rPr>
          <w:rFonts w:ascii="Times New Roman" w:hAnsi="Times New Roman" w:cs="Times New Roman"/>
          <w:i/>
          <w:iCs/>
          <w:sz w:val="24"/>
          <w:szCs w:val="24"/>
          <w:lang w:val="bg-BG"/>
        </w:rPr>
        <w:t>Странджа</w:t>
      </w:r>
      <w:r w:rsidRPr="00610B1B">
        <w:rPr>
          <w:rFonts w:ascii="Times New Roman" w:hAnsi="Times New Roman" w:cs="Times New Roman"/>
          <w:sz w:val="24"/>
          <w:szCs w:val="24"/>
          <w:lang w:val="bg-BG"/>
        </w:rPr>
        <w:t>.</w:t>
      </w:r>
      <w:r w:rsidR="00EB7679"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Те предлагат възможности за разнообразяване на курортно-туристическите и спортни дейности и за уникално съчетаване на море и планина. И двете планини притежават изключително флористично богатство и съхранени ендемитни растителни видове, значими за биоразнообразие на България</w:t>
      </w:r>
      <w:r w:rsidR="00881CF9"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и на Европ</w:t>
      </w:r>
      <w:r w:rsidR="00881CF9" w:rsidRPr="00610B1B">
        <w:rPr>
          <w:rFonts w:ascii="Times New Roman" w:hAnsi="Times New Roman" w:cs="Times New Roman"/>
          <w:sz w:val="24"/>
          <w:szCs w:val="24"/>
          <w:lang w:val="bg-BG"/>
        </w:rPr>
        <w:t>а</w:t>
      </w:r>
      <w:r w:rsidRPr="00610B1B">
        <w:rPr>
          <w:rFonts w:ascii="Times New Roman" w:hAnsi="Times New Roman" w:cs="Times New Roman"/>
          <w:sz w:val="24"/>
          <w:szCs w:val="24"/>
          <w:lang w:val="bg-BG"/>
        </w:rPr>
        <w:t>.</w:t>
      </w:r>
    </w:p>
    <w:p w14:paraId="04D68097" w14:textId="03E99669" w:rsidR="00517C9F" w:rsidRPr="00610B1B" w:rsidRDefault="00517C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i/>
          <w:iCs/>
          <w:sz w:val="24"/>
          <w:szCs w:val="24"/>
          <w:lang w:val="bg-BG"/>
        </w:rPr>
        <w:t>Крайбрежните езера</w:t>
      </w:r>
      <w:r w:rsidRPr="00610B1B">
        <w:rPr>
          <w:rFonts w:ascii="Times New Roman" w:hAnsi="Times New Roman" w:cs="Times New Roman"/>
          <w:sz w:val="24"/>
          <w:szCs w:val="24"/>
          <w:lang w:val="bg-BG"/>
        </w:rPr>
        <w:t>, освен с високата си естетическа стойност, с богата си хранителна среда привлича</w:t>
      </w:r>
      <w:r w:rsidR="00BB14E8" w:rsidRPr="00610B1B">
        <w:rPr>
          <w:rFonts w:ascii="Times New Roman" w:hAnsi="Times New Roman" w:cs="Times New Roman"/>
          <w:sz w:val="24"/>
          <w:szCs w:val="24"/>
          <w:lang w:val="bg-BG"/>
        </w:rPr>
        <w:t>т</w:t>
      </w:r>
      <w:r w:rsidRPr="00610B1B">
        <w:rPr>
          <w:rFonts w:ascii="Times New Roman" w:hAnsi="Times New Roman" w:cs="Times New Roman"/>
          <w:sz w:val="24"/>
          <w:szCs w:val="24"/>
          <w:lang w:val="bg-BG"/>
        </w:rPr>
        <w:t xml:space="preserve"> огромно разнообразие от животински видове, </w:t>
      </w:r>
      <w:r w:rsidR="00BB14E8"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xml:space="preserve"> са важни орнитологични </w:t>
      </w:r>
      <w:r w:rsidRPr="00610B1B">
        <w:rPr>
          <w:rFonts w:ascii="Times New Roman" w:hAnsi="Times New Roman" w:cs="Times New Roman"/>
          <w:sz w:val="24"/>
          <w:szCs w:val="24"/>
          <w:lang w:val="bg-BG"/>
        </w:rPr>
        <w:lastRenderedPageBreak/>
        <w:t>места</w:t>
      </w:r>
      <w:r w:rsidR="00077396" w:rsidRPr="00610B1B">
        <w:rPr>
          <w:rFonts w:ascii="Times New Roman" w:hAnsi="Times New Roman" w:cs="Times New Roman"/>
          <w:sz w:val="24"/>
          <w:szCs w:val="24"/>
          <w:lang w:val="bg-BG"/>
        </w:rPr>
        <w:t xml:space="preserve"> за зимуване, изхранване, за гнездене на птици. </w:t>
      </w:r>
      <w:r w:rsidR="0090049C" w:rsidRPr="00610B1B">
        <w:rPr>
          <w:rFonts w:ascii="Times New Roman" w:hAnsi="Times New Roman" w:cs="Times New Roman"/>
          <w:sz w:val="24"/>
          <w:szCs w:val="24"/>
          <w:lang w:val="bg-BG"/>
        </w:rPr>
        <w:t>В Черно море</w:t>
      </w:r>
      <w:r w:rsidR="00832ADC" w:rsidRPr="00610B1B">
        <w:rPr>
          <w:rFonts w:ascii="Times New Roman" w:hAnsi="Times New Roman" w:cs="Times New Roman"/>
          <w:sz w:val="24"/>
          <w:szCs w:val="24"/>
          <w:lang w:val="bg-BG"/>
        </w:rPr>
        <w:t xml:space="preserve"> директно вливат водите си </w:t>
      </w:r>
      <w:r w:rsidR="00832ADC" w:rsidRPr="00610B1B">
        <w:rPr>
          <w:rFonts w:ascii="Times New Roman" w:hAnsi="Times New Roman" w:cs="Times New Roman"/>
          <w:i/>
          <w:iCs/>
          <w:sz w:val="24"/>
          <w:szCs w:val="24"/>
          <w:lang w:val="bg-BG"/>
        </w:rPr>
        <w:t>реките</w:t>
      </w:r>
      <w:r w:rsidR="00832ADC" w:rsidRPr="00610B1B">
        <w:rPr>
          <w:rFonts w:ascii="Times New Roman" w:hAnsi="Times New Roman" w:cs="Times New Roman"/>
          <w:sz w:val="24"/>
          <w:szCs w:val="24"/>
          <w:lang w:val="bg-BG"/>
        </w:rPr>
        <w:t xml:space="preserve"> </w:t>
      </w:r>
      <w:r w:rsidR="0090049C" w:rsidRPr="00610B1B">
        <w:rPr>
          <w:rFonts w:ascii="Times New Roman" w:hAnsi="Times New Roman" w:cs="Times New Roman"/>
          <w:sz w:val="24"/>
          <w:szCs w:val="24"/>
          <w:lang w:val="bg-BG"/>
        </w:rPr>
        <w:t>Бат</w:t>
      </w:r>
      <w:r w:rsidR="00832ADC" w:rsidRPr="00610B1B">
        <w:rPr>
          <w:rFonts w:ascii="Times New Roman" w:hAnsi="Times New Roman" w:cs="Times New Roman"/>
          <w:sz w:val="24"/>
          <w:szCs w:val="24"/>
          <w:lang w:val="bg-BG"/>
        </w:rPr>
        <w:t>о</w:t>
      </w:r>
      <w:r w:rsidR="0090049C" w:rsidRPr="00610B1B">
        <w:rPr>
          <w:rFonts w:ascii="Times New Roman" w:hAnsi="Times New Roman" w:cs="Times New Roman"/>
          <w:sz w:val="24"/>
          <w:szCs w:val="24"/>
          <w:lang w:val="bg-BG"/>
        </w:rPr>
        <w:t xml:space="preserve">ва, </w:t>
      </w:r>
      <w:r w:rsidR="00832ADC" w:rsidRPr="00610B1B">
        <w:rPr>
          <w:rFonts w:ascii="Times New Roman" w:hAnsi="Times New Roman" w:cs="Times New Roman"/>
          <w:sz w:val="24"/>
          <w:szCs w:val="24"/>
          <w:lang w:val="bg-BG"/>
        </w:rPr>
        <w:t xml:space="preserve">Провадийска, </w:t>
      </w:r>
      <w:r w:rsidR="0090049C" w:rsidRPr="00610B1B">
        <w:rPr>
          <w:rFonts w:ascii="Times New Roman" w:hAnsi="Times New Roman" w:cs="Times New Roman"/>
          <w:sz w:val="24"/>
          <w:szCs w:val="24"/>
          <w:lang w:val="bg-BG"/>
        </w:rPr>
        <w:t xml:space="preserve">Девня, </w:t>
      </w:r>
      <w:r w:rsidR="00832ADC" w:rsidRPr="00610B1B">
        <w:rPr>
          <w:rFonts w:ascii="Times New Roman" w:hAnsi="Times New Roman" w:cs="Times New Roman"/>
          <w:sz w:val="24"/>
          <w:szCs w:val="24"/>
          <w:lang w:val="bg-BG"/>
        </w:rPr>
        <w:t xml:space="preserve">Камчия, </w:t>
      </w:r>
      <w:r w:rsidR="0090049C" w:rsidRPr="00610B1B">
        <w:rPr>
          <w:rFonts w:ascii="Times New Roman" w:hAnsi="Times New Roman" w:cs="Times New Roman"/>
          <w:sz w:val="24"/>
          <w:szCs w:val="24"/>
          <w:lang w:val="bg-BG"/>
        </w:rPr>
        <w:t>Двойница, Изворска</w:t>
      </w:r>
      <w:r w:rsidR="00832ADC" w:rsidRPr="00610B1B">
        <w:rPr>
          <w:rFonts w:ascii="Times New Roman" w:hAnsi="Times New Roman" w:cs="Times New Roman"/>
          <w:sz w:val="24"/>
          <w:szCs w:val="24"/>
          <w:lang w:val="bg-BG"/>
        </w:rPr>
        <w:t xml:space="preserve">, Факийска, Дяволска, Карагач, </w:t>
      </w:r>
      <w:r w:rsidR="0090049C" w:rsidRPr="00610B1B">
        <w:rPr>
          <w:rFonts w:ascii="Times New Roman" w:hAnsi="Times New Roman" w:cs="Times New Roman"/>
          <w:sz w:val="24"/>
          <w:szCs w:val="24"/>
          <w:lang w:val="bg-BG"/>
        </w:rPr>
        <w:t>Ропотамо</w:t>
      </w:r>
      <w:r w:rsidR="00832ADC" w:rsidRPr="00610B1B">
        <w:rPr>
          <w:rFonts w:ascii="Times New Roman" w:hAnsi="Times New Roman" w:cs="Times New Roman"/>
          <w:sz w:val="24"/>
          <w:szCs w:val="24"/>
          <w:lang w:val="bg-BG"/>
        </w:rPr>
        <w:t>, Велека, Резовска</w:t>
      </w:r>
      <w:r w:rsidR="0090049C" w:rsidRPr="00610B1B">
        <w:rPr>
          <w:rFonts w:ascii="Times New Roman" w:hAnsi="Times New Roman" w:cs="Times New Roman"/>
          <w:sz w:val="24"/>
          <w:szCs w:val="24"/>
          <w:lang w:val="bg-BG"/>
        </w:rPr>
        <w:t>.</w:t>
      </w:r>
      <w:r w:rsidR="00832ADC" w:rsidRPr="00610B1B">
        <w:rPr>
          <w:rFonts w:ascii="Times New Roman" w:hAnsi="Times New Roman" w:cs="Times New Roman"/>
          <w:sz w:val="24"/>
          <w:szCs w:val="24"/>
          <w:lang w:val="bg-BG"/>
        </w:rPr>
        <w:t xml:space="preserve"> </w:t>
      </w:r>
      <w:r w:rsidR="00E975CC" w:rsidRPr="00610B1B">
        <w:rPr>
          <w:rFonts w:ascii="Times New Roman" w:hAnsi="Times New Roman" w:cs="Times New Roman"/>
          <w:i/>
          <w:iCs/>
          <w:sz w:val="24"/>
          <w:szCs w:val="24"/>
          <w:lang w:val="bg-BG"/>
        </w:rPr>
        <w:t>Р</w:t>
      </w:r>
      <w:r w:rsidR="00832ADC" w:rsidRPr="00610B1B">
        <w:rPr>
          <w:rFonts w:ascii="Times New Roman" w:hAnsi="Times New Roman" w:cs="Times New Roman"/>
          <w:i/>
          <w:iCs/>
          <w:sz w:val="24"/>
          <w:szCs w:val="24"/>
          <w:lang w:val="bg-BG"/>
        </w:rPr>
        <w:t>ечните</w:t>
      </w:r>
      <w:r w:rsidR="00D66FE0" w:rsidRPr="00610B1B">
        <w:rPr>
          <w:rFonts w:ascii="Times New Roman" w:hAnsi="Times New Roman" w:cs="Times New Roman"/>
          <w:i/>
          <w:iCs/>
          <w:sz w:val="24"/>
          <w:szCs w:val="24"/>
          <w:lang w:val="bg-BG"/>
        </w:rPr>
        <w:t xml:space="preserve"> </w:t>
      </w:r>
      <w:r w:rsidR="00832ADC" w:rsidRPr="00610B1B">
        <w:rPr>
          <w:rFonts w:ascii="Times New Roman" w:hAnsi="Times New Roman" w:cs="Times New Roman"/>
          <w:i/>
          <w:iCs/>
          <w:sz w:val="24"/>
          <w:szCs w:val="24"/>
          <w:lang w:val="bg-BG"/>
        </w:rPr>
        <w:t>устия</w:t>
      </w:r>
      <w:r w:rsidR="00832ADC" w:rsidRPr="00610B1B">
        <w:rPr>
          <w:rFonts w:ascii="Times New Roman" w:hAnsi="Times New Roman" w:cs="Times New Roman"/>
          <w:sz w:val="24"/>
          <w:szCs w:val="24"/>
          <w:lang w:val="bg-BG"/>
        </w:rPr>
        <w:t xml:space="preserve"> </w:t>
      </w:r>
      <w:r w:rsidR="00E975CC" w:rsidRPr="00610B1B">
        <w:rPr>
          <w:rFonts w:ascii="Times New Roman" w:hAnsi="Times New Roman" w:cs="Times New Roman"/>
          <w:sz w:val="24"/>
          <w:szCs w:val="24"/>
          <w:lang w:val="bg-BG"/>
        </w:rPr>
        <w:t xml:space="preserve">на повечето от тях са </w:t>
      </w:r>
      <w:r w:rsidR="00832ADC" w:rsidRPr="00610B1B">
        <w:rPr>
          <w:rFonts w:ascii="Times New Roman" w:hAnsi="Times New Roman" w:cs="Times New Roman"/>
          <w:sz w:val="24"/>
          <w:szCs w:val="24"/>
          <w:lang w:val="bg-BG"/>
        </w:rPr>
        <w:t>живописни</w:t>
      </w:r>
      <w:r w:rsidR="00E975CC" w:rsidRPr="00610B1B">
        <w:rPr>
          <w:rFonts w:ascii="Times New Roman" w:hAnsi="Times New Roman" w:cs="Times New Roman"/>
          <w:sz w:val="24"/>
          <w:szCs w:val="24"/>
          <w:lang w:val="bg-BG"/>
        </w:rPr>
        <w:t>, в някои случаи отделени от морето с пясъчна коса, по бреговете им преобладават лонгозните гори.</w:t>
      </w:r>
      <w:r w:rsidR="00D66FE0" w:rsidRPr="00610B1B">
        <w:rPr>
          <w:rFonts w:ascii="Times New Roman" w:hAnsi="Times New Roman" w:cs="Times New Roman"/>
          <w:sz w:val="24"/>
          <w:szCs w:val="24"/>
          <w:lang w:val="bg-BG"/>
        </w:rPr>
        <w:t xml:space="preserve"> </w:t>
      </w:r>
    </w:p>
    <w:p w14:paraId="3B159E06" w14:textId="4918028C" w:rsidR="00E975CC" w:rsidRPr="00610B1B" w:rsidRDefault="00E975CC"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Присъствието на природни ценности, на </w:t>
      </w:r>
      <w:r w:rsidRPr="00610B1B">
        <w:rPr>
          <w:rFonts w:ascii="Times New Roman" w:hAnsi="Times New Roman" w:cs="Times New Roman"/>
          <w:i/>
          <w:iCs/>
          <w:sz w:val="24"/>
          <w:szCs w:val="24"/>
          <w:lang w:val="bg-BG"/>
        </w:rPr>
        <w:t>защитени територии и защитени зони</w:t>
      </w:r>
      <w:r w:rsidRPr="00610B1B">
        <w:rPr>
          <w:rFonts w:ascii="Times New Roman" w:hAnsi="Times New Roman" w:cs="Times New Roman"/>
          <w:sz w:val="24"/>
          <w:szCs w:val="24"/>
          <w:lang w:val="bg-BG"/>
        </w:rPr>
        <w:t xml:space="preserve"> по Черноморското крайбрежие и в акваторията е предпоставка за развитие на познавателен туризъм</w:t>
      </w:r>
      <w:r w:rsidR="00BB14E8" w:rsidRPr="00610B1B">
        <w:rPr>
          <w:rFonts w:ascii="Times New Roman" w:hAnsi="Times New Roman" w:cs="Times New Roman"/>
          <w:sz w:val="24"/>
          <w:szCs w:val="24"/>
          <w:lang w:val="bg-BG"/>
        </w:rPr>
        <w:t>. Г</w:t>
      </w:r>
      <w:r w:rsidRPr="00610B1B">
        <w:rPr>
          <w:rFonts w:ascii="Times New Roman" w:hAnsi="Times New Roman" w:cs="Times New Roman"/>
          <w:sz w:val="24"/>
          <w:szCs w:val="24"/>
          <w:lang w:val="bg-BG"/>
        </w:rPr>
        <w:t>олямото фаунистично и флористично богатство е предпоставка за посещаемост с цел фотолов.</w:t>
      </w:r>
      <w:r w:rsidR="00A06087" w:rsidRPr="00610B1B">
        <w:rPr>
          <w:rFonts w:ascii="Times New Roman" w:hAnsi="Times New Roman" w:cs="Times New Roman"/>
          <w:sz w:val="24"/>
          <w:szCs w:val="24"/>
          <w:lang w:val="bg-BG"/>
        </w:rPr>
        <w:t xml:space="preserve"> </w:t>
      </w:r>
      <w:r w:rsidR="000D7A35" w:rsidRPr="00610B1B">
        <w:rPr>
          <w:rFonts w:ascii="Times New Roman" w:hAnsi="Times New Roman" w:cs="Times New Roman"/>
          <w:sz w:val="24"/>
          <w:szCs w:val="24"/>
          <w:lang w:val="bg-BG"/>
        </w:rPr>
        <w:t xml:space="preserve">Проучването </w:t>
      </w:r>
      <w:r w:rsidR="00A06087" w:rsidRPr="00610B1B">
        <w:rPr>
          <w:rFonts w:ascii="Times New Roman" w:hAnsi="Times New Roman" w:cs="Times New Roman"/>
          <w:sz w:val="24"/>
          <w:szCs w:val="24"/>
          <w:lang w:val="bg-BG"/>
        </w:rPr>
        <w:t xml:space="preserve">на взаимодействието между туристическите комплекси, обекти и маршрути в крайбрежната зона и тези в акваторията на Черно море </w:t>
      </w:r>
      <w:r w:rsidR="00E17264" w:rsidRPr="00610B1B">
        <w:rPr>
          <w:rFonts w:ascii="Times New Roman" w:hAnsi="Times New Roman" w:cs="Times New Roman"/>
          <w:sz w:val="24"/>
          <w:szCs w:val="24"/>
          <w:lang w:val="bg-BG"/>
        </w:rPr>
        <w:t xml:space="preserve">обхваща </w:t>
      </w:r>
      <w:r w:rsidR="00A06087" w:rsidRPr="00610B1B">
        <w:rPr>
          <w:rFonts w:ascii="Times New Roman" w:hAnsi="Times New Roman" w:cs="Times New Roman"/>
          <w:sz w:val="24"/>
          <w:szCs w:val="24"/>
          <w:lang w:val="bg-BG"/>
        </w:rPr>
        <w:t>3 резервата, 4 поддържани резервата, 2 природни парка, 3</w:t>
      </w:r>
      <w:r w:rsidR="00EC097D" w:rsidRPr="00610B1B">
        <w:rPr>
          <w:rFonts w:ascii="Times New Roman" w:hAnsi="Times New Roman" w:cs="Times New Roman"/>
          <w:sz w:val="24"/>
          <w:szCs w:val="24"/>
          <w:lang w:val="bg-BG"/>
        </w:rPr>
        <w:t>1</w:t>
      </w:r>
      <w:r w:rsidR="00A24087" w:rsidRPr="00610B1B">
        <w:rPr>
          <w:rFonts w:ascii="Times New Roman" w:hAnsi="Times New Roman" w:cs="Times New Roman"/>
          <w:sz w:val="24"/>
          <w:szCs w:val="24"/>
          <w:lang w:val="bg-BG"/>
        </w:rPr>
        <w:t xml:space="preserve"> защитени местности и 1</w:t>
      </w:r>
      <w:r w:rsidR="00EC097D" w:rsidRPr="00610B1B">
        <w:rPr>
          <w:rFonts w:ascii="Times New Roman" w:hAnsi="Times New Roman" w:cs="Times New Roman"/>
          <w:sz w:val="24"/>
          <w:szCs w:val="24"/>
          <w:lang w:val="bg-BG"/>
        </w:rPr>
        <w:t>4</w:t>
      </w:r>
      <w:r w:rsidR="00A24087" w:rsidRPr="00610B1B">
        <w:rPr>
          <w:rFonts w:ascii="Times New Roman" w:hAnsi="Times New Roman" w:cs="Times New Roman"/>
          <w:sz w:val="24"/>
          <w:szCs w:val="24"/>
          <w:lang w:val="bg-BG"/>
        </w:rPr>
        <w:t xml:space="preserve"> природни забележителности, 7 Рамсарски места и 16 Орнитологично важни места. Последните съвпадат със защитените зони от екологичната мрежа “Натура 2000”.</w:t>
      </w:r>
    </w:p>
    <w:p w14:paraId="0817DBED" w14:textId="263440CC" w:rsidR="00E975CC" w:rsidRPr="00610B1B" w:rsidRDefault="00E975CC"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Атрактивността на морските курорти се повишава и поради наличието на множество </w:t>
      </w:r>
      <w:r w:rsidRPr="00610B1B">
        <w:rPr>
          <w:rFonts w:ascii="Times New Roman" w:hAnsi="Times New Roman" w:cs="Times New Roman"/>
          <w:i/>
          <w:iCs/>
          <w:sz w:val="24"/>
          <w:szCs w:val="24"/>
          <w:lang w:val="bg-BG"/>
        </w:rPr>
        <w:t>културни ценности</w:t>
      </w:r>
      <w:r w:rsidRPr="00610B1B">
        <w:rPr>
          <w:rFonts w:ascii="Times New Roman" w:hAnsi="Times New Roman" w:cs="Times New Roman"/>
          <w:sz w:val="24"/>
          <w:szCs w:val="24"/>
          <w:lang w:val="bg-BG"/>
        </w:rPr>
        <w:t>, на богато материално и нематериално културно наследство</w:t>
      </w:r>
      <w:r w:rsidR="00E17264" w:rsidRPr="00610B1B">
        <w:rPr>
          <w:rFonts w:ascii="Times New Roman" w:hAnsi="Times New Roman" w:cs="Times New Roman"/>
          <w:sz w:val="24"/>
          <w:szCs w:val="24"/>
          <w:lang w:val="bg-BG"/>
        </w:rPr>
        <w:t xml:space="preserve"> със световно, регионално и национално значение</w:t>
      </w:r>
      <w:r w:rsidRPr="00610B1B">
        <w:rPr>
          <w:rFonts w:ascii="Times New Roman" w:hAnsi="Times New Roman" w:cs="Times New Roman"/>
          <w:sz w:val="24"/>
          <w:szCs w:val="24"/>
          <w:lang w:val="bg-BG"/>
        </w:rPr>
        <w:t>.</w:t>
      </w:r>
      <w:r w:rsidR="00E17264"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Покрай българското Черноморско крайбрежие преминава древният римски път</w:t>
      </w:r>
      <w:r w:rsidR="00CD3E68" w:rsidRPr="00610B1B">
        <w:rPr>
          <w:rFonts w:ascii="Times New Roman" w:hAnsi="Times New Roman" w:cs="Times New Roman"/>
          <w:sz w:val="24"/>
          <w:szCs w:val="24"/>
          <w:lang w:val="bg-BG"/>
        </w:rPr>
        <w:t xml:space="preserve"> и път на мигриращите птици</w:t>
      </w:r>
      <w:r w:rsidRPr="00610B1B">
        <w:rPr>
          <w:rFonts w:ascii="Times New Roman" w:hAnsi="Times New Roman" w:cs="Times New Roman"/>
          <w:sz w:val="24"/>
          <w:szCs w:val="24"/>
          <w:lang w:val="bg-BG"/>
        </w:rPr>
        <w:t xml:space="preserve"> </w:t>
      </w:r>
      <w:r w:rsidR="00CD3E68" w:rsidRPr="00610B1B">
        <w:rPr>
          <w:rFonts w:ascii="Times New Roman" w:hAnsi="Times New Roman" w:cs="Times New Roman"/>
          <w:i/>
          <w:iCs/>
          <w:sz w:val="24"/>
          <w:szCs w:val="24"/>
          <w:lang w:val="bg-BG"/>
        </w:rPr>
        <w:t>Via Pontica</w:t>
      </w:r>
      <w:r w:rsidR="00342409" w:rsidRPr="00610B1B">
        <w:rPr>
          <w:rFonts w:ascii="Times New Roman" w:hAnsi="Times New Roman" w:cs="Times New Roman"/>
          <w:i/>
          <w:iCs/>
          <w:sz w:val="24"/>
          <w:szCs w:val="24"/>
          <w:lang w:val="bg-BG"/>
        </w:rPr>
        <w:t xml:space="preserve">. </w:t>
      </w:r>
      <w:r w:rsidR="00A06087" w:rsidRPr="00610B1B">
        <w:rPr>
          <w:rFonts w:ascii="Times New Roman" w:hAnsi="Times New Roman" w:cs="Times New Roman"/>
          <w:sz w:val="24"/>
          <w:szCs w:val="24"/>
          <w:lang w:val="bg-BG"/>
        </w:rPr>
        <w:t xml:space="preserve">Градовете са наследници на </w:t>
      </w:r>
      <w:r w:rsidR="00A24087" w:rsidRPr="00610B1B">
        <w:rPr>
          <w:rFonts w:ascii="Times New Roman" w:hAnsi="Times New Roman" w:cs="Times New Roman"/>
          <w:sz w:val="24"/>
          <w:szCs w:val="24"/>
          <w:lang w:val="bg-BG"/>
        </w:rPr>
        <w:t xml:space="preserve">тракийски, древногръцки, римски и византийски поселения в които са открити значителни недвижими културни ценности. В обхвата попада и Старинен град Несебър от Световната листа на културното наследство на ЮНЕСКО. </w:t>
      </w:r>
    </w:p>
    <w:p w14:paraId="07ABD38B" w14:textId="1BA20F40" w:rsidR="00A24087" w:rsidRPr="00610B1B" w:rsidRDefault="00A2408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Всички тези курортно-туристически ресурси са предпоставка за развитието на туризма, което допълнително се подпомага от създадената през годините и новоизградена материална база и туристическа инфраструктура.</w:t>
      </w:r>
      <w:r w:rsidR="00D66FE0" w:rsidRPr="00610B1B">
        <w:rPr>
          <w:rFonts w:ascii="Times New Roman" w:hAnsi="Times New Roman" w:cs="Times New Roman"/>
          <w:sz w:val="24"/>
          <w:szCs w:val="24"/>
          <w:lang w:val="bg-BG"/>
        </w:rPr>
        <w:t xml:space="preserve"> </w:t>
      </w:r>
    </w:p>
    <w:p w14:paraId="0F611EAF" w14:textId="2A646713" w:rsidR="00A24087" w:rsidRPr="00610B1B" w:rsidRDefault="00A2408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Сред ограничителите за развитието на туризма попадат високата степен на урбанизиране на средата в изградените комплекси и презастрояването им, които силно влошават комфорта на пребиваване, недоизградената техническа инфраструктура, замърсяването на околната среда и всички произтичащи от това последици за ефективното използване на туристическите ресурси и повишаване качеството на предлагания продукт.</w:t>
      </w:r>
    </w:p>
    <w:p w14:paraId="68D31665" w14:textId="77777777" w:rsidR="009907CE" w:rsidRPr="00610B1B" w:rsidRDefault="009907CE" w:rsidP="00D32D6A">
      <w:pPr>
        <w:spacing w:after="120"/>
        <w:ind w:right="-153"/>
        <w:jc w:val="both"/>
        <w:rPr>
          <w:rFonts w:ascii="Times New Roman" w:hAnsi="Times New Roman" w:cs="Times New Roman"/>
          <w:sz w:val="24"/>
          <w:szCs w:val="24"/>
          <w:lang w:val="bg-BG"/>
        </w:rPr>
      </w:pPr>
    </w:p>
    <w:p w14:paraId="73C2F5A2" w14:textId="1E20E7E1" w:rsidR="00043308" w:rsidRPr="00610B1B" w:rsidRDefault="00BB14E8" w:rsidP="00D32D6A">
      <w:pPr>
        <w:pStyle w:val="Heading3"/>
        <w:spacing w:before="0" w:line="276" w:lineRule="auto"/>
        <w:ind w:right="-153"/>
        <w:rPr>
          <w:rFonts w:cs="Times New Roman"/>
        </w:rPr>
      </w:pPr>
      <w:bookmarkStart w:id="364" w:name="_Toc83391382"/>
      <w:r w:rsidRPr="00610B1B">
        <w:rPr>
          <w:rFonts w:cs="Times New Roman"/>
        </w:rPr>
        <w:t>3</w:t>
      </w:r>
      <w:r w:rsidR="00A24087" w:rsidRPr="00610B1B">
        <w:rPr>
          <w:rFonts w:cs="Times New Roman"/>
        </w:rPr>
        <w:t>.</w:t>
      </w:r>
      <w:r w:rsidR="00BF0D18" w:rsidRPr="00610B1B">
        <w:rPr>
          <w:rFonts w:cs="Times New Roman"/>
        </w:rPr>
        <w:t>3</w:t>
      </w:r>
      <w:r w:rsidR="00043308" w:rsidRPr="00610B1B">
        <w:rPr>
          <w:rFonts w:cs="Times New Roman"/>
        </w:rPr>
        <w:t>.</w:t>
      </w:r>
      <w:r w:rsidR="00A24087" w:rsidRPr="00610B1B">
        <w:rPr>
          <w:rFonts w:cs="Times New Roman"/>
        </w:rPr>
        <w:t>2</w:t>
      </w:r>
      <w:r w:rsidR="00043308" w:rsidRPr="00610B1B">
        <w:rPr>
          <w:rFonts w:cs="Times New Roman"/>
        </w:rPr>
        <w:t>. Курортни комплекси и образувания</w:t>
      </w:r>
      <w:bookmarkEnd w:id="364"/>
    </w:p>
    <w:p w14:paraId="1B4E32E8" w14:textId="49495D59" w:rsidR="00043308" w:rsidRPr="00610B1B" w:rsidRDefault="00BB14E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Интензивно </w:t>
      </w:r>
      <w:r w:rsidR="00043308" w:rsidRPr="00610B1B">
        <w:rPr>
          <w:rFonts w:ascii="Times New Roman" w:hAnsi="Times New Roman" w:cs="Times New Roman"/>
          <w:sz w:val="24"/>
          <w:szCs w:val="24"/>
          <w:lang w:val="bg-BG"/>
        </w:rPr>
        <w:t>развитите морски туристически локализации</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на българското Черноморско крайбрежие </w:t>
      </w:r>
      <w:r w:rsidR="00043308" w:rsidRPr="00610B1B">
        <w:rPr>
          <w:rFonts w:ascii="Times New Roman" w:hAnsi="Times New Roman" w:cs="Times New Roman"/>
          <w:sz w:val="24"/>
          <w:szCs w:val="24"/>
          <w:lang w:val="bg-BG"/>
        </w:rPr>
        <w:t>са: Каварна - Тополи; Балчик – Албена – Кранево; Варна – Златни пясъци; Несебър – Равда – Слънчев бряг – Свети Влас; Бургас – Поморие; Созопол – Каваците</w:t>
      </w:r>
      <w:r w:rsidR="00A231F8" w:rsidRPr="00610B1B">
        <w:rPr>
          <w:rFonts w:ascii="Times New Roman" w:hAnsi="Times New Roman" w:cs="Times New Roman"/>
          <w:sz w:val="24"/>
          <w:szCs w:val="24"/>
          <w:lang w:val="bg-BG"/>
        </w:rPr>
        <w:t xml:space="preserve"> - Дюни</w:t>
      </w:r>
      <w:r w:rsidR="00043308" w:rsidRPr="00610B1B">
        <w:rPr>
          <w:rFonts w:ascii="Times New Roman" w:hAnsi="Times New Roman" w:cs="Times New Roman"/>
          <w:sz w:val="24"/>
          <w:szCs w:val="24"/>
          <w:lang w:val="bg-BG"/>
        </w:rPr>
        <w:t xml:space="preserve">; Приморско – ММЦ – Китен; </w:t>
      </w:r>
      <w:r w:rsidR="00A231F8" w:rsidRPr="00610B1B">
        <w:rPr>
          <w:rFonts w:ascii="Times New Roman" w:hAnsi="Times New Roman" w:cs="Times New Roman"/>
          <w:sz w:val="24"/>
          <w:szCs w:val="24"/>
          <w:lang w:val="bg-BG"/>
        </w:rPr>
        <w:t xml:space="preserve">Лозен – </w:t>
      </w:r>
      <w:r w:rsidR="00043308" w:rsidRPr="00610B1B">
        <w:rPr>
          <w:rFonts w:ascii="Times New Roman" w:hAnsi="Times New Roman" w:cs="Times New Roman"/>
          <w:sz w:val="24"/>
          <w:szCs w:val="24"/>
          <w:lang w:val="bg-BG"/>
        </w:rPr>
        <w:t>Царево</w:t>
      </w:r>
      <w:r w:rsidR="00A231F8" w:rsidRPr="00610B1B">
        <w:rPr>
          <w:rFonts w:ascii="Times New Roman" w:hAnsi="Times New Roman" w:cs="Times New Roman"/>
          <w:sz w:val="24"/>
          <w:szCs w:val="24"/>
          <w:lang w:val="bg-BG"/>
        </w:rPr>
        <w:t xml:space="preserve"> - Ахтопол</w:t>
      </w:r>
      <w:r w:rsidR="00043308" w:rsidRPr="00610B1B">
        <w:rPr>
          <w:rFonts w:ascii="Times New Roman" w:hAnsi="Times New Roman" w:cs="Times New Roman"/>
          <w:sz w:val="24"/>
          <w:szCs w:val="24"/>
          <w:lang w:val="bg-BG"/>
        </w:rPr>
        <w:t>.</w:t>
      </w:r>
      <w:r w:rsidR="00E17264" w:rsidRPr="00610B1B">
        <w:rPr>
          <w:rFonts w:ascii="Times New Roman" w:hAnsi="Times New Roman" w:cs="Times New Roman"/>
          <w:sz w:val="24"/>
          <w:szCs w:val="24"/>
          <w:lang w:val="bg-BG"/>
        </w:rPr>
        <w:t xml:space="preserve"> </w:t>
      </w:r>
      <w:r w:rsidR="00043308" w:rsidRPr="00610B1B">
        <w:rPr>
          <w:rFonts w:ascii="Times New Roman" w:hAnsi="Times New Roman" w:cs="Times New Roman"/>
          <w:sz w:val="24"/>
          <w:szCs w:val="24"/>
          <w:lang w:val="bg-BG"/>
        </w:rPr>
        <w:t xml:space="preserve">Материалната база на туризма е локализирана в крайбрежните населени места, в курортните зони към тях и в самостоятелни селищни образувания (туристически комплекси), в множество вилни ваканционни селища. С Решение № 45 на МС от 25.01.2005 г. е обявен списък с курорти с национално значение. </w:t>
      </w:r>
      <w:r w:rsidR="00A231F8" w:rsidRPr="00610B1B">
        <w:rPr>
          <w:rFonts w:ascii="Times New Roman" w:hAnsi="Times New Roman" w:cs="Times New Roman"/>
          <w:sz w:val="24"/>
          <w:szCs w:val="24"/>
          <w:lang w:val="bg-BG"/>
        </w:rPr>
        <w:t>По последни данни на НСИ с</w:t>
      </w:r>
      <w:r w:rsidR="00043308" w:rsidRPr="00610B1B">
        <w:rPr>
          <w:rFonts w:ascii="Times New Roman" w:hAnsi="Times New Roman" w:cs="Times New Roman"/>
          <w:sz w:val="24"/>
          <w:szCs w:val="24"/>
          <w:lang w:val="bg-BG"/>
        </w:rPr>
        <w:t xml:space="preserve">ред тях са </w:t>
      </w:r>
      <w:r w:rsidR="00A231F8" w:rsidRPr="00610B1B">
        <w:rPr>
          <w:rFonts w:ascii="Times New Roman" w:hAnsi="Times New Roman" w:cs="Times New Roman"/>
          <w:sz w:val="24"/>
          <w:szCs w:val="24"/>
          <w:lang w:val="bg-BG"/>
        </w:rPr>
        <w:t>6</w:t>
      </w:r>
      <w:r w:rsidR="00043308" w:rsidRPr="00610B1B">
        <w:rPr>
          <w:rFonts w:ascii="Times New Roman" w:hAnsi="Times New Roman" w:cs="Times New Roman"/>
          <w:sz w:val="24"/>
          <w:szCs w:val="24"/>
          <w:lang w:val="bg-BG"/>
        </w:rPr>
        <w:t xml:space="preserve"> черноморски курортни комплекса</w:t>
      </w:r>
      <w:r w:rsidR="00A231F8" w:rsidRPr="00610B1B">
        <w:rPr>
          <w:rFonts w:ascii="Times New Roman" w:hAnsi="Times New Roman" w:cs="Times New Roman"/>
          <w:sz w:val="24"/>
          <w:szCs w:val="24"/>
          <w:lang w:val="bg-BG"/>
        </w:rPr>
        <w:t xml:space="preserve">. </w:t>
      </w:r>
    </w:p>
    <w:p w14:paraId="77D798C9" w14:textId="5C538C42" w:rsidR="00043308" w:rsidRPr="00610B1B" w:rsidRDefault="00A231F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Големите </w:t>
      </w:r>
      <w:r w:rsidR="00043308" w:rsidRPr="00610B1B">
        <w:rPr>
          <w:rFonts w:ascii="Times New Roman" w:hAnsi="Times New Roman" w:cs="Times New Roman"/>
          <w:sz w:val="24"/>
          <w:szCs w:val="24"/>
          <w:lang w:val="bg-BG"/>
        </w:rPr>
        <w:t xml:space="preserve">курортни комплекси по българското </w:t>
      </w:r>
      <w:r w:rsidRPr="00610B1B">
        <w:rPr>
          <w:rFonts w:ascii="Times New Roman" w:hAnsi="Times New Roman" w:cs="Times New Roman"/>
          <w:sz w:val="24"/>
          <w:szCs w:val="24"/>
          <w:lang w:val="bg-BG"/>
        </w:rPr>
        <w:t xml:space="preserve">Черноморско </w:t>
      </w:r>
      <w:r w:rsidR="00043308" w:rsidRPr="00610B1B">
        <w:rPr>
          <w:rFonts w:ascii="Times New Roman" w:hAnsi="Times New Roman" w:cs="Times New Roman"/>
          <w:sz w:val="24"/>
          <w:szCs w:val="24"/>
          <w:lang w:val="bg-BG"/>
        </w:rPr>
        <w:t xml:space="preserve">крайбрежие </w:t>
      </w:r>
      <w:r w:rsidRPr="00610B1B">
        <w:rPr>
          <w:rFonts w:ascii="Times New Roman" w:hAnsi="Times New Roman" w:cs="Times New Roman"/>
          <w:sz w:val="24"/>
          <w:szCs w:val="24"/>
          <w:lang w:val="bg-BG"/>
        </w:rPr>
        <w:t>обхващат</w:t>
      </w:r>
      <w:r w:rsidR="00043308" w:rsidRPr="00610B1B">
        <w:rPr>
          <w:rFonts w:ascii="Times New Roman" w:hAnsi="Times New Roman" w:cs="Times New Roman"/>
          <w:sz w:val="24"/>
          <w:szCs w:val="24"/>
          <w:lang w:val="bg-BG"/>
        </w:rPr>
        <w:t xml:space="preserve"> само 10,8% от всички места за настаняване в страната (към 2018 г.), но делът на леглата в тях е </w:t>
      </w:r>
      <w:r w:rsidR="00043308" w:rsidRPr="00610B1B">
        <w:rPr>
          <w:rFonts w:ascii="Times New Roman" w:hAnsi="Times New Roman" w:cs="Times New Roman"/>
          <w:sz w:val="24"/>
          <w:szCs w:val="24"/>
          <w:lang w:val="bg-BG"/>
        </w:rPr>
        <w:lastRenderedPageBreak/>
        <w:t xml:space="preserve">много по-голям – 42,2%. </w:t>
      </w:r>
      <w:r w:rsidRPr="00610B1B">
        <w:rPr>
          <w:rFonts w:ascii="Times New Roman" w:hAnsi="Times New Roman" w:cs="Times New Roman"/>
          <w:sz w:val="24"/>
          <w:szCs w:val="24"/>
          <w:lang w:val="bg-BG"/>
        </w:rPr>
        <w:t xml:space="preserve">В </w:t>
      </w:r>
      <w:r w:rsidR="00043308" w:rsidRPr="00610B1B">
        <w:rPr>
          <w:rFonts w:ascii="Times New Roman" w:hAnsi="Times New Roman" w:cs="Times New Roman"/>
          <w:sz w:val="24"/>
          <w:szCs w:val="24"/>
          <w:lang w:val="bg-BG"/>
        </w:rPr>
        <w:t>тези локализации се реализират над 44% от нощувките и близо 48% от приходите от нощувки в национален мащаб.</w:t>
      </w:r>
      <w:r w:rsidRPr="00610B1B">
        <w:rPr>
          <w:rFonts w:ascii="Times New Roman" w:hAnsi="Times New Roman" w:cs="Times New Roman"/>
          <w:sz w:val="24"/>
          <w:szCs w:val="24"/>
          <w:lang w:val="bg-BG"/>
        </w:rPr>
        <w:t xml:space="preserve"> </w:t>
      </w:r>
      <w:r w:rsidR="00043308" w:rsidRPr="00610B1B">
        <w:rPr>
          <w:rFonts w:ascii="Times New Roman" w:hAnsi="Times New Roman" w:cs="Times New Roman"/>
          <w:sz w:val="24"/>
          <w:szCs w:val="24"/>
          <w:lang w:val="bg-BG"/>
        </w:rPr>
        <w:t xml:space="preserve">Останалите 56% от нощувките се реализират в селищните среди, вилните зони, ваканционните селища и други по-малки структури. </w:t>
      </w:r>
      <w:r w:rsidRPr="00610B1B">
        <w:rPr>
          <w:rFonts w:ascii="Times New Roman" w:hAnsi="Times New Roman" w:cs="Times New Roman"/>
          <w:sz w:val="24"/>
          <w:szCs w:val="24"/>
          <w:lang w:val="bg-BG"/>
        </w:rPr>
        <w:t>Националната статистика отчита местата за настаняване над 10 бр. легла, но съществуват още много други с по-малък капацитет</w:t>
      </w:r>
      <w:r w:rsidR="00BB14E8" w:rsidRPr="00610B1B">
        <w:rPr>
          <w:rFonts w:ascii="Times New Roman" w:hAnsi="Times New Roman" w:cs="Times New Roman"/>
          <w:sz w:val="24"/>
          <w:szCs w:val="24"/>
          <w:lang w:val="bg-BG"/>
        </w:rPr>
        <w:t xml:space="preserve">, както и такива с голям капацитет под формата на апартаменти за временно пребиваване. </w:t>
      </w:r>
      <w:r w:rsidR="00043308" w:rsidRPr="00610B1B">
        <w:rPr>
          <w:rFonts w:ascii="Times New Roman" w:hAnsi="Times New Roman" w:cs="Times New Roman"/>
          <w:sz w:val="24"/>
          <w:szCs w:val="24"/>
          <w:lang w:val="bg-BG"/>
        </w:rPr>
        <w:t>Антропогенното натоварване на средите с концентрация на туристическа инфраструктура е много по-високо от посоченото в статистиката.</w:t>
      </w:r>
      <w:r w:rsidRPr="00610B1B">
        <w:rPr>
          <w:rFonts w:ascii="Times New Roman" w:hAnsi="Times New Roman" w:cs="Times New Roman"/>
          <w:sz w:val="24"/>
          <w:szCs w:val="24"/>
          <w:lang w:val="bg-BG"/>
        </w:rPr>
        <w:t xml:space="preserve"> </w:t>
      </w:r>
    </w:p>
    <w:p w14:paraId="250D4491" w14:textId="0D998A3D" w:rsidR="00043308" w:rsidRPr="00610B1B" w:rsidRDefault="00BB14E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общините</w:t>
      </w:r>
      <w:r w:rsidR="00043308" w:rsidRPr="00610B1B">
        <w:rPr>
          <w:rFonts w:ascii="Times New Roman" w:hAnsi="Times New Roman" w:cs="Times New Roman"/>
          <w:sz w:val="24"/>
          <w:szCs w:val="24"/>
          <w:lang w:val="bg-BG"/>
        </w:rPr>
        <w:t xml:space="preserve"> Варна, Несебър, Созопол и отчасти Царево, антропогенното претоварване е факт, </w:t>
      </w:r>
      <w:r w:rsidRPr="00610B1B">
        <w:rPr>
          <w:rFonts w:ascii="Times New Roman" w:hAnsi="Times New Roman" w:cs="Times New Roman"/>
          <w:sz w:val="24"/>
          <w:szCs w:val="24"/>
          <w:lang w:val="bg-BG"/>
        </w:rPr>
        <w:t xml:space="preserve">причиняващо в </w:t>
      </w:r>
      <w:r w:rsidR="00043308" w:rsidRPr="00610B1B">
        <w:rPr>
          <w:rFonts w:ascii="Times New Roman" w:hAnsi="Times New Roman" w:cs="Times New Roman"/>
          <w:sz w:val="24"/>
          <w:szCs w:val="24"/>
          <w:lang w:val="bg-BG"/>
        </w:rPr>
        <w:t xml:space="preserve">активния сезон </w:t>
      </w:r>
      <w:r w:rsidRPr="00610B1B">
        <w:rPr>
          <w:rFonts w:ascii="Times New Roman" w:hAnsi="Times New Roman" w:cs="Times New Roman"/>
          <w:sz w:val="24"/>
          <w:szCs w:val="24"/>
          <w:lang w:val="bg-BG"/>
        </w:rPr>
        <w:t>затруднения в трафика</w:t>
      </w:r>
      <w:r w:rsidR="00965D79" w:rsidRPr="00610B1B">
        <w:rPr>
          <w:rFonts w:ascii="Times New Roman" w:hAnsi="Times New Roman" w:cs="Times New Roman"/>
          <w:sz w:val="24"/>
          <w:szCs w:val="24"/>
          <w:lang w:val="bg-BG"/>
        </w:rPr>
        <w:t xml:space="preserve"> и</w:t>
      </w:r>
      <w:r w:rsidR="00043308" w:rsidRPr="00610B1B">
        <w:rPr>
          <w:rFonts w:ascii="Times New Roman" w:hAnsi="Times New Roman" w:cs="Times New Roman"/>
          <w:sz w:val="24"/>
          <w:szCs w:val="24"/>
          <w:lang w:val="bg-BG"/>
        </w:rPr>
        <w:t xml:space="preserve"> паркиране</w:t>
      </w:r>
      <w:r w:rsidR="00965D79" w:rsidRPr="00610B1B">
        <w:rPr>
          <w:rFonts w:ascii="Times New Roman" w:hAnsi="Times New Roman" w:cs="Times New Roman"/>
          <w:sz w:val="24"/>
          <w:szCs w:val="24"/>
          <w:lang w:val="bg-BG"/>
        </w:rPr>
        <w:t>то</w:t>
      </w:r>
      <w:r w:rsidR="00043308" w:rsidRPr="00610B1B">
        <w:rPr>
          <w:rFonts w:ascii="Times New Roman" w:hAnsi="Times New Roman" w:cs="Times New Roman"/>
          <w:sz w:val="24"/>
          <w:szCs w:val="24"/>
          <w:lang w:val="bg-BG"/>
        </w:rPr>
        <w:t>, срив</w:t>
      </w:r>
      <w:r w:rsidR="00965D79" w:rsidRPr="00610B1B">
        <w:rPr>
          <w:rFonts w:ascii="Times New Roman" w:hAnsi="Times New Roman" w:cs="Times New Roman"/>
          <w:sz w:val="24"/>
          <w:szCs w:val="24"/>
          <w:lang w:val="bg-BG"/>
        </w:rPr>
        <w:t>ове</w:t>
      </w:r>
      <w:r w:rsidR="00043308" w:rsidRPr="00610B1B">
        <w:rPr>
          <w:rFonts w:ascii="Times New Roman" w:hAnsi="Times New Roman" w:cs="Times New Roman"/>
          <w:sz w:val="24"/>
          <w:szCs w:val="24"/>
          <w:lang w:val="bg-BG"/>
        </w:rPr>
        <w:t xml:space="preserve"> в нормалното електрозахранване, водоснабдяване и пречистване на отпадните води. </w:t>
      </w:r>
      <w:r w:rsidR="00965D79" w:rsidRPr="00610B1B">
        <w:rPr>
          <w:rFonts w:ascii="Times New Roman" w:hAnsi="Times New Roman" w:cs="Times New Roman"/>
          <w:sz w:val="24"/>
          <w:szCs w:val="24"/>
          <w:lang w:val="bg-BG"/>
        </w:rPr>
        <w:t xml:space="preserve">В </w:t>
      </w:r>
      <w:r w:rsidR="00043308" w:rsidRPr="00610B1B">
        <w:rPr>
          <w:rFonts w:ascii="Times New Roman" w:hAnsi="Times New Roman" w:cs="Times New Roman"/>
          <w:sz w:val="24"/>
          <w:szCs w:val="24"/>
          <w:lang w:val="bg-BG"/>
        </w:rPr>
        <w:t xml:space="preserve">пренаселените среди за отдих се </w:t>
      </w:r>
      <w:r w:rsidR="00965D79" w:rsidRPr="00610B1B">
        <w:rPr>
          <w:rFonts w:ascii="Times New Roman" w:hAnsi="Times New Roman" w:cs="Times New Roman"/>
          <w:sz w:val="24"/>
          <w:szCs w:val="24"/>
          <w:lang w:val="bg-BG"/>
        </w:rPr>
        <w:t>влошава</w:t>
      </w:r>
      <w:r w:rsidR="00043308" w:rsidRPr="00610B1B">
        <w:rPr>
          <w:rFonts w:ascii="Times New Roman" w:hAnsi="Times New Roman" w:cs="Times New Roman"/>
          <w:sz w:val="24"/>
          <w:szCs w:val="24"/>
          <w:lang w:val="bg-BG"/>
        </w:rPr>
        <w:t xml:space="preserve"> качеството на туристическите услуги и възприятията на туристи</w:t>
      </w:r>
      <w:r w:rsidR="00A231F8" w:rsidRPr="00610B1B">
        <w:rPr>
          <w:rFonts w:ascii="Times New Roman" w:hAnsi="Times New Roman" w:cs="Times New Roman"/>
          <w:sz w:val="24"/>
          <w:szCs w:val="24"/>
          <w:lang w:val="bg-BG"/>
        </w:rPr>
        <w:t>те</w:t>
      </w:r>
      <w:r w:rsidR="00043308" w:rsidRPr="00610B1B">
        <w:rPr>
          <w:rFonts w:ascii="Times New Roman" w:hAnsi="Times New Roman" w:cs="Times New Roman"/>
          <w:sz w:val="24"/>
          <w:szCs w:val="24"/>
          <w:lang w:val="bg-BG"/>
        </w:rPr>
        <w:t>.</w:t>
      </w:r>
    </w:p>
    <w:p w14:paraId="090C37BC" w14:textId="204EE2CD" w:rsidR="00043308" w:rsidRPr="00610B1B" w:rsidRDefault="0004330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За да се подобрят условията за развитие на устойчив туризъм по българското Черноморие, актуалната туристическа стратегия</w:t>
      </w:r>
      <w:r w:rsidRPr="00610B1B">
        <w:rPr>
          <w:rStyle w:val="FootnoteReference"/>
          <w:rFonts w:ascii="Times New Roman" w:hAnsi="Times New Roman" w:cs="Times New Roman"/>
          <w:sz w:val="24"/>
          <w:szCs w:val="24"/>
          <w:lang w:val="bg-BG"/>
        </w:rPr>
        <w:footnoteReference w:id="118"/>
      </w:r>
      <w:r w:rsidRPr="00610B1B">
        <w:rPr>
          <w:rFonts w:ascii="Times New Roman" w:hAnsi="Times New Roman" w:cs="Times New Roman"/>
          <w:sz w:val="24"/>
          <w:szCs w:val="24"/>
          <w:lang w:val="bg-BG"/>
        </w:rPr>
        <w:t xml:space="preserve"> предвижда въвеждането на Европейска система от туристически показатели (European Tourism Indicator System - ETIS)</w:t>
      </w:r>
      <w:r w:rsidRPr="00610B1B">
        <w:rPr>
          <w:rStyle w:val="FootnoteReference"/>
          <w:rFonts w:ascii="Times New Roman" w:hAnsi="Times New Roman" w:cs="Times New Roman"/>
          <w:sz w:val="24"/>
          <w:szCs w:val="24"/>
          <w:lang w:val="bg-BG"/>
        </w:rPr>
        <w:footnoteReference w:id="119"/>
      </w:r>
      <w:r w:rsidRPr="00610B1B">
        <w:rPr>
          <w:rFonts w:ascii="Times New Roman" w:hAnsi="Times New Roman" w:cs="Times New Roman"/>
          <w:sz w:val="24"/>
          <w:szCs w:val="24"/>
          <w:lang w:val="bg-BG"/>
        </w:rPr>
        <w:t xml:space="preserve">. </w:t>
      </w:r>
      <w:r w:rsidR="004F39A8" w:rsidRPr="00610B1B">
        <w:rPr>
          <w:rFonts w:ascii="Times New Roman" w:hAnsi="Times New Roman" w:cs="Times New Roman"/>
          <w:sz w:val="24"/>
          <w:szCs w:val="24"/>
          <w:lang w:val="bg-BG"/>
        </w:rPr>
        <w:t>Тя</w:t>
      </w:r>
      <w:r w:rsidRPr="00610B1B">
        <w:rPr>
          <w:rFonts w:ascii="Times New Roman" w:hAnsi="Times New Roman" w:cs="Times New Roman"/>
          <w:sz w:val="24"/>
          <w:szCs w:val="24"/>
          <w:lang w:val="bg-BG"/>
        </w:rPr>
        <w:t xml:space="preserve"> се базира на 27 основни и 40 спомагателни индикатора, структурирани в 4 теми: а) управление на дестинацията; б) социокултурни въздействия; в) икономическа стойност; г) въздействия върху околната среда. По същество, системата ETIS е методология за устойчиво управление на дестинациите.</w:t>
      </w:r>
    </w:p>
    <w:p w14:paraId="05C967EB" w14:textId="1FE1B046" w:rsidR="00742EF7" w:rsidRPr="00610B1B" w:rsidRDefault="00742EF7"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настоящия секторен анализ се представя само хотелската суперструктура – нейните параметри, капацитет, категория и използваемост. Териториалното разпределение на легловата база е почти равномерно – около 45% в северното и 55% в южното Черноморие. И в двата крайбрежни сегмента се редуват природни паузи, урбанизирани среди с умерена концентрация и туристически локализации със свръх-концентрация. Към последните принадлежат к.к. Златни пясъци (Северно Черноморие) и к.к. Слънчев бряг (Южно Черноморие).</w:t>
      </w:r>
    </w:p>
    <w:p w14:paraId="43A3E7BC" w14:textId="46044DE9" w:rsidR="00832FA5" w:rsidRPr="00610B1B" w:rsidRDefault="00742EF7" w:rsidP="00D32D6A">
      <w:pPr>
        <w:pStyle w:val="BodyText"/>
        <w:spacing w:before="0" w:after="120" w:line="276" w:lineRule="auto"/>
        <w:ind w:right="-153"/>
        <w:rPr>
          <w:rFonts w:cs="Times New Roman"/>
        </w:rPr>
      </w:pPr>
      <w:r w:rsidRPr="00610B1B">
        <w:rPr>
          <w:rFonts w:cs="Times New Roman"/>
        </w:rPr>
        <w:t>Към края на 2018 г., българското Черноморско крайбрежие предлага над 230 хил. легла в 1 421 места за настаняване с над 10 легла</w:t>
      </w:r>
      <w:r w:rsidRPr="00610B1B">
        <w:rPr>
          <w:rStyle w:val="FootnoteReference"/>
          <w:rFonts w:cs="Times New Roman"/>
        </w:rPr>
        <w:footnoteReference w:id="120"/>
      </w:r>
      <w:r w:rsidRPr="00610B1B">
        <w:rPr>
          <w:rFonts w:cs="Times New Roman"/>
        </w:rPr>
        <w:t xml:space="preserve">. При капацитет от 35,3 млн. нощувки са реализирани 17,7 млн. Това означава над 50% средна използваемост на настанителната база, независимо от подчертано сезонния характер на основното предлагане – морски рекреативен туризъм. Подобна ефективност е постигната за първи път. Над 81% от посетителите на морските курорти са чужденци по статистически данни. Това се дължи донякъде и на наличието на огромен ненаблюдаван сектор, зает предимно от българи. </w:t>
      </w:r>
      <w:r w:rsidR="00832FA5" w:rsidRPr="00610B1B">
        <w:rPr>
          <w:rFonts w:cs="Times New Roman"/>
        </w:rPr>
        <w:t>За референтния тригодишен период, капацитетът на настанителната база е нараснал с 19,5%, а броят на нощувките – с близо 30%. Най-голямо е нарастването на приходите от нощувки</w:t>
      </w:r>
      <w:r w:rsidR="001757A5" w:rsidRPr="00610B1B">
        <w:rPr>
          <w:rFonts w:cs="Times New Roman"/>
        </w:rPr>
        <w:t> </w:t>
      </w:r>
      <w:r w:rsidR="00832FA5" w:rsidRPr="00610B1B">
        <w:rPr>
          <w:rFonts w:cs="Times New Roman"/>
        </w:rPr>
        <w:t xml:space="preserve">– почти 45%. Това се дължи както на нарасналия брой на нощувките, така и на средната им цена от 49,3 лв. през 2015 г. на 55,1 лв. през 2018 г. На този фон, макар и с </w:t>
      </w:r>
      <w:r w:rsidR="00832FA5" w:rsidRPr="00610B1B">
        <w:rPr>
          <w:rFonts w:cs="Times New Roman"/>
        </w:rPr>
        <w:lastRenderedPageBreak/>
        <w:t>малко, средната продължителност на престоя е намаляла от 5,39 дни, на 5,29 дни.</w:t>
      </w:r>
    </w:p>
    <w:p w14:paraId="07B68AC4" w14:textId="1262745E" w:rsidR="00832FA5" w:rsidRPr="00610B1B" w:rsidRDefault="00B62269" w:rsidP="00D32D6A">
      <w:pPr>
        <w:pStyle w:val="Caption"/>
        <w:spacing w:before="0" w:line="276" w:lineRule="auto"/>
        <w:rPr>
          <w:rFonts w:cs="Times New Roman"/>
        </w:rPr>
      </w:pPr>
      <w:bookmarkStart w:id="365" w:name="_Toc83391487"/>
      <w:r w:rsidRPr="00610B1B">
        <w:rPr>
          <w:rFonts w:cs="Times New Roman"/>
        </w:rPr>
        <w:t xml:space="preserve">Фигура </w:t>
      </w:r>
      <w:r w:rsidRPr="00610B1B">
        <w:rPr>
          <w:rFonts w:cs="Times New Roman"/>
        </w:rPr>
        <w:fldChar w:fldCharType="begin"/>
      </w:r>
      <w:r w:rsidRPr="00610B1B">
        <w:rPr>
          <w:rFonts w:cs="Times New Roman"/>
        </w:rPr>
        <w:instrText xml:space="preserve"> SEQ Фигура \* ARABIC </w:instrText>
      </w:r>
      <w:r w:rsidRPr="00610B1B">
        <w:rPr>
          <w:rFonts w:cs="Times New Roman"/>
        </w:rPr>
        <w:fldChar w:fldCharType="separate"/>
      </w:r>
      <w:r w:rsidR="00260629" w:rsidRPr="00610B1B">
        <w:rPr>
          <w:rFonts w:cs="Times New Roman"/>
          <w:noProof/>
        </w:rPr>
        <w:t>24</w:t>
      </w:r>
      <w:r w:rsidRPr="00610B1B">
        <w:rPr>
          <w:rFonts w:cs="Times New Roman"/>
        </w:rPr>
        <w:fldChar w:fldCharType="end"/>
      </w:r>
      <w:r w:rsidRPr="00610B1B">
        <w:rPr>
          <w:rFonts w:cs="Times New Roman"/>
        </w:rPr>
        <w:t xml:space="preserve">: </w:t>
      </w:r>
      <w:r w:rsidR="00832FA5" w:rsidRPr="00610B1B">
        <w:rPr>
          <w:rFonts w:cs="Times New Roman"/>
        </w:rPr>
        <w:t>Реализирани нощувки по общини, 2018 г.</w:t>
      </w:r>
      <w:bookmarkEnd w:id="365"/>
    </w:p>
    <w:p w14:paraId="00F6489E" w14:textId="05477340" w:rsidR="00832FA5" w:rsidRPr="00610B1B" w:rsidRDefault="009D32BB"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noProof/>
          <w:sz w:val="24"/>
          <w:szCs w:val="24"/>
          <w:lang w:val="bg-BG" w:eastAsia="bg-BG"/>
        </w:rPr>
        <w:drawing>
          <wp:inline distT="0" distB="0" distL="0" distR="0" wp14:anchorId="618DC954" wp14:editId="381C5490">
            <wp:extent cx="4844955" cy="32088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3584" b="3868"/>
                    <a:stretch/>
                  </pic:blipFill>
                  <pic:spPr bwMode="auto">
                    <a:xfrm>
                      <a:off x="0" y="0"/>
                      <a:ext cx="4861510" cy="3219788"/>
                    </a:xfrm>
                    <a:prstGeom prst="rect">
                      <a:avLst/>
                    </a:prstGeom>
                    <a:noFill/>
                    <a:ln>
                      <a:noFill/>
                    </a:ln>
                    <a:extLst>
                      <a:ext uri="{53640926-AAD7-44D8-BBD7-CCE9431645EC}">
                        <a14:shadowObscured xmlns:a14="http://schemas.microsoft.com/office/drawing/2010/main"/>
                      </a:ext>
                    </a:extLst>
                  </pic:spPr>
                </pic:pic>
              </a:graphicData>
            </a:graphic>
          </wp:inline>
        </w:drawing>
      </w:r>
    </w:p>
    <w:p w14:paraId="034C7D7B" w14:textId="77777777" w:rsidR="00832FA5" w:rsidRPr="00610B1B" w:rsidRDefault="00832FA5" w:rsidP="00BC44C1">
      <w:pPr>
        <w:spacing w:before="60" w:after="120"/>
        <w:ind w:right="-153"/>
        <w:jc w:val="both"/>
        <w:rPr>
          <w:rFonts w:ascii="Times New Roman" w:hAnsi="Times New Roman" w:cs="Times New Roman"/>
          <w:lang w:val="bg-BG"/>
        </w:rPr>
      </w:pPr>
      <w:r w:rsidRPr="00610B1B">
        <w:rPr>
          <w:rFonts w:ascii="Times New Roman" w:hAnsi="Times New Roman" w:cs="Times New Roman"/>
          <w:lang w:val="bg-BG"/>
        </w:rPr>
        <w:t>Източник: НСИ, обработка НЦТР</w:t>
      </w:r>
    </w:p>
    <w:p w14:paraId="76386911" w14:textId="77777777" w:rsidR="000C428F" w:rsidRPr="00610B1B" w:rsidRDefault="000C428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Статистическите данни по общини разкриват неравномерно пространствено развитие на туризма по крайбрежието. Проследени по показателя „реализирани нощувки” за 2018 г., общините с големите курортни комплекси (Балчик/Албена 12,1%, Варна/Златни пясъци 29,3% и Несебър/Слънчев бряг 40,2%) покриват дял от 81,6%. </w:t>
      </w:r>
    </w:p>
    <w:p w14:paraId="287682B9" w14:textId="74EFBF7C" w:rsidR="00832FA5" w:rsidRPr="00610B1B" w:rsidRDefault="00832FA5"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Пространственият модел на морския туризъм в България наподобява този на селищната мрежа в страната. В него ясно са изразени два центъра от най-високо ниво – „Златни пясъци“ и „Слънчев бряг“, чието развитие следва да се регулира с подходящи законови и устройствени инструменти, тъй като стихийното застрояване на свободните пространства от началото на века има ясно изявени негативни последици. </w:t>
      </w:r>
    </w:p>
    <w:p w14:paraId="7EC9274A" w14:textId="31E4F560" w:rsidR="00832FA5" w:rsidRPr="00610B1B" w:rsidRDefault="00832FA5" w:rsidP="00D32D6A">
      <w:pPr>
        <w:pStyle w:val="BodyText"/>
        <w:spacing w:before="0" w:after="120" w:line="276" w:lineRule="auto"/>
        <w:ind w:right="-153"/>
        <w:rPr>
          <w:rFonts w:cs="Times New Roman"/>
        </w:rPr>
      </w:pPr>
      <w:r w:rsidRPr="00610B1B">
        <w:rPr>
          <w:rFonts w:cs="Times New Roman"/>
        </w:rPr>
        <w:t>Статистическата картина по общини разкрива почти повсеместна положителна динамика по наблюдаваните показатели между 2015 и 2018 г. Изключение прави община Шабла, която отстъпва по всички показатели за места за настаняване с над 10 легла. Община Каварна има отрицателно развитие по отношение на леглата (-25,5%), община Балчик – на използваемостта (-11,5%), община Поморие - легла (-2,3%) и капацитет (-14,9%).</w:t>
      </w:r>
      <w:r w:rsidR="00D66FE0" w:rsidRPr="00610B1B">
        <w:rPr>
          <w:rFonts w:cs="Times New Roman"/>
        </w:rPr>
        <w:t xml:space="preserve"> </w:t>
      </w:r>
    </w:p>
    <w:p w14:paraId="37A62E48" w14:textId="77777777" w:rsidR="009907CE" w:rsidRPr="00610B1B" w:rsidRDefault="009907CE" w:rsidP="00D32D6A">
      <w:pPr>
        <w:pStyle w:val="BodyText"/>
        <w:spacing w:before="0" w:after="120" w:line="276" w:lineRule="auto"/>
        <w:ind w:right="-153"/>
        <w:rPr>
          <w:rFonts w:cs="Times New Roman"/>
        </w:rPr>
      </w:pPr>
    </w:p>
    <w:p w14:paraId="1146A039" w14:textId="1F166E1D" w:rsidR="00043308" w:rsidRPr="00610B1B" w:rsidRDefault="00742EF7" w:rsidP="00D32D6A">
      <w:pPr>
        <w:pStyle w:val="Heading3"/>
        <w:spacing w:before="0" w:line="276" w:lineRule="auto"/>
        <w:ind w:right="-153"/>
        <w:rPr>
          <w:rFonts w:cs="Times New Roman"/>
        </w:rPr>
      </w:pPr>
      <w:bookmarkStart w:id="366" w:name="_Toc83391383"/>
      <w:r w:rsidRPr="00610B1B">
        <w:rPr>
          <w:rFonts w:cs="Times New Roman"/>
        </w:rPr>
        <w:t xml:space="preserve">3.3.3. </w:t>
      </w:r>
      <w:r w:rsidR="00976746" w:rsidRPr="00610B1B">
        <w:rPr>
          <w:rFonts w:cs="Times New Roman"/>
        </w:rPr>
        <w:t xml:space="preserve">Яхтени </w:t>
      </w:r>
      <w:r w:rsidR="00043308" w:rsidRPr="00610B1B">
        <w:rPr>
          <w:rFonts w:cs="Times New Roman"/>
        </w:rPr>
        <w:t>пристанища</w:t>
      </w:r>
      <w:bookmarkEnd w:id="366"/>
    </w:p>
    <w:p w14:paraId="67A56D5A" w14:textId="64374053" w:rsidR="00677160" w:rsidRPr="00610B1B" w:rsidRDefault="00677160" w:rsidP="00677160">
      <w:pPr>
        <w:spacing w:after="120"/>
        <w:ind w:right="-153"/>
        <w:jc w:val="both"/>
        <w:rPr>
          <w:rFonts w:ascii="Times New Roman" w:hAnsi="Times New Roman" w:cs="Times New Roman"/>
          <w:color w:val="000000" w:themeColor="text1"/>
          <w:sz w:val="24"/>
          <w:szCs w:val="24"/>
          <w:lang w:val="bg-BG"/>
        </w:rPr>
      </w:pPr>
      <w:r w:rsidRPr="00610B1B">
        <w:rPr>
          <w:rFonts w:ascii="Times New Roman" w:hAnsi="Times New Roman" w:cs="Times New Roman"/>
          <w:color w:val="000000" w:themeColor="text1"/>
          <w:sz w:val="24"/>
          <w:szCs w:val="24"/>
          <w:lang w:val="bg-BG"/>
        </w:rPr>
        <w:t>Официалните регистри на българските пристанища</w:t>
      </w:r>
      <w:r w:rsidRPr="00610B1B">
        <w:rPr>
          <w:rStyle w:val="FootnoteReference"/>
          <w:rFonts w:ascii="Times New Roman" w:hAnsi="Times New Roman" w:cs="Times New Roman"/>
          <w:color w:val="000000" w:themeColor="text1"/>
          <w:sz w:val="24"/>
          <w:szCs w:val="24"/>
          <w:lang w:val="bg-BG"/>
        </w:rPr>
        <w:footnoteReference w:id="121"/>
      </w:r>
      <w:r w:rsidRPr="00610B1B">
        <w:rPr>
          <w:rFonts w:ascii="Times New Roman" w:hAnsi="Times New Roman" w:cs="Times New Roman"/>
          <w:color w:val="000000" w:themeColor="text1"/>
          <w:sz w:val="24"/>
          <w:szCs w:val="24"/>
          <w:lang w:val="bg-BG"/>
        </w:rPr>
        <w:t xml:space="preserve"> съдържат 15 яхтени пристанища, които по реда на регистрацията са както следва:</w:t>
      </w:r>
    </w:p>
    <w:p w14:paraId="50610A22" w14:textId="77777777" w:rsidR="00677160" w:rsidRPr="00610B1B" w:rsidRDefault="00677160" w:rsidP="00677160">
      <w:pPr>
        <w:pStyle w:val="ListParagraph"/>
        <w:numPr>
          <w:ilvl w:val="0"/>
          <w:numId w:val="108"/>
        </w:numPr>
        <w:spacing w:after="120"/>
        <w:ind w:right="-153"/>
        <w:jc w:val="both"/>
        <w:rPr>
          <w:rFonts w:ascii="Times New Roman" w:hAnsi="Times New Roman" w:cs="Times New Roman"/>
          <w:color w:val="000000" w:themeColor="text1"/>
          <w:sz w:val="24"/>
          <w:szCs w:val="24"/>
          <w:lang w:val="bg-BG"/>
        </w:rPr>
      </w:pPr>
      <w:r w:rsidRPr="00610B1B">
        <w:rPr>
          <w:rFonts w:ascii="Times New Roman" w:hAnsi="Times New Roman" w:cs="Times New Roman"/>
          <w:b/>
          <w:bCs/>
          <w:i/>
          <w:iCs/>
          <w:color w:val="000000" w:themeColor="text1"/>
          <w:sz w:val="24"/>
          <w:szCs w:val="24"/>
          <w:lang w:val="bg-BG"/>
        </w:rPr>
        <w:lastRenderedPageBreak/>
        <w:t>Яхтен терминал „Св. Атанас“</w:t>
      </w:r>
      <w:r w:rsidRPr="00610B1B">
        <w:rPr>
          <w:rFonts w:ascii="Times New Roman" w:hAnsi="Times New Roman" w:cs="Times New Roman"/>
          <w:color w:val="000000" w:themeColor="text1"/>
          <w:sz w:val="24"/>
          <w:szCs w:val="24"/>
          <w:lang w:val="bg-BG"/>
        </w:rPr>
        <w:t>,</w:t>
      </w:r>
      <w:r w:rsidRPr="00610B1B">
        <w:rPr>
          <w:rFonts w:ascii="Times New Roman" w:hAnsi="Times New Roman" w:cs="Times New Roman"/>
          <w:b/>
          <w:bCs/>
          <w:i/>
          <w:iCs/>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Бяла (регистриран под № 1/12.04.2005 г.) – единственото защитено пристанище между нос Галата и нос Емине, подходящо за целогодишно домуване. Капацитетът му е 80 плавателни съда.</w:t>
      </w:r>
      <w:r w:rsidRPr="00610B1B">
        <w:rPr>
          <w:rFonts w:ascii="Times New Roman" w:hAnsi="Times New Roman" w:cs="Times New Roman"/>
          <w:color w:val="000000" w:themeColor="text1"/>
          <w:lang w:val="bg-BG"/>
        </w:rPr>
        <w:t xml:space="preserve"> </w:t>
      </w:r>
    </w:p>
    <w:p w14:paraId="35CE9E88" w14:textId="34AC4F65" w:rsidR="00677160" w:rsidRPr="00610B1B" w:rsidRDefault="00677160" w:rsidP="00677160">
      <w:pPr>
        <w:pStyle w:val="ListParagraph"/>
        <w:numPr>
          <w:ilvl w:val="0"/>
          <w:numId w:val="108"/>
        </w:numPr>
        <w:spacing w:after="120"/>
        <w:ind w:right="-153"/>
        <w:contextualSpacing w:val="0"/>
        <w:jc w:val="both"/>
        <w:rPr>
          <w:rFonts w:ascii="Times New Roman" w:hAnsi="Times New Roman" w:cs="Times New Roman"/>
          <w:iCs/>
          <w:color w:val="000000" w:themeColor="text1"/>
          <w:sz w:val="24"/>
          <w:szCs w:val="24"/>
          <w:lang w:val="bg-BG"/>
        </w:rPr>
      </w:pPr>
      <w:r w:rsidRPr="00610B1B">
        <w:rPr>
          <w:rFonts w:ascii="Times New Roman" w:hAnsi="Times New Roman" w:cs="Times New Roman"/>
          <w:b/>
          <w:i/>
          <w:color w:val="000000" w:themeColor="text1"/>
          <w:sz w:val="24"/>
          <w:szCs w:val="24"/>
          <w:lang w:val="bg-BG"/>
        </w:rPr>
        <w:t>Яхтено пристанище „Балчик“</w:t>
      </w:r>
      <w:r w:rsidR="008753B6" w:rsidRPr="00610B1B">
        <w:rPr>
          <w:rFonts w:ascii="Times New Roman" w:hAnsi="Times New Roman" w:cs="Times New Roman"/>
          <w:iCs/>
          <w:color w:val="000000" w:themeColor="text1"/>
          <w:sz w:val="24"/>
          <w:szCs w:val="24"/>
          <w:lang w:val="bg-BG"/>
        </w:rPr>
        <w:t xml:space="preserve"> </w:t>
      </w:r>
      <w:r w:rsidRPr="00610B1B">
        <w:rPr>
          <w:rFonts w:ascii="Times New Roman" w:hAnsi="Times New Roman" w:cs="Times New Roman"/>
          <w:iCs/>
          <w:color w:val="000000" w:themeColor="text1"/>
          <w:sz w:val="24"/>
          <w:szCs w:val="24"/>
          <w:lang w:val="bg-BG"/>
        </w:rPr>
        <w:t xml:space="preserve">(регистрирано под № 2/12.04.2005 г.) </w:t>
      </w:r>
      <w:r w:rsidRPr="00610B1B">
        <w:rPr>
          <w:rFonts w:ascii="Times New Roman" w:hAnsi="Times New Roman" w:cs="Times New Roman"/>
          <w:color w:val="000000" w:themeColor="text1"/>
          <w:sz w:val="24"/>
          <w:szCs w:val="24"/>
          <w:lang w:val="bg-BG"/>
        </w:rPr>
        <w:t>– непосредствено до центъра на гр. Балчик, добре защитено от неблагоприятни условия, подходящо не само за лятна, но и за целогодишна стоянка</w:t>
      </w:r>
      <w:r w:rsidRPr="00610B1B">
        <w:rPr>
          <w:rFonts w:ascii="Times New Roman" w:hAnsi="Times New Roman" w:cs="Times New Roman"/>
          <w:color w:val="000000" w:themeColor="text1"/>
          <w:lang w:val="bg-BG"/>
        </w:rPr>
        <w:t xml:space="preserve"> </w:t>
      </w:r>
      <w:r w:rsidRPr="00610B1B">
        <w:rPr>
          <w:rFonts w:ascii="Times New Roman" w:hAnsi="Times New Roman" w:cs="Times New Roman"/>
          <w:color w:val="000000" w:themeColor="text1"/>
          <w:sz w:val="24"/>
          <w:szCs w:val="24"/>
          <w:lang w:val="bg-BG"/>
        </w:rPr>
        <w:t>на яхти и лодки за крайбрежни и международни плавания, водни спортове, туризъм и развлекателни програми. Освен сервизни услуги</w:t>
      </w:r>
      <w:r w:rsidRPr="00610B1B">
        <w:rPr>
          <w:rFonts w:ascii="Times New Roman" w:hAnsi="Times New Roman" w:cs="Times New Roman"/>
          <w:color w:val="000000" w:themeColor="text1"/>
          <w:lang w:val="bg-BG"/>
        </w:rPr>
        <w:t xml:space="preserve"> </w:t>
      </w:r>
      <w:r w:rsidRPr="00610B1B">
        <w:rPr>
          <w:rFonts w:ascii="Times New Roman" w:hAnsi="Times New Roman" w:cs="Times New Roman"/>
          <w:color w:val="000000" w:themeColor="text1"/>
          <w:sz w:val="24"/>
          <w:szCs w:val="24"/>
          <w:lang w:val="bg-BG"/>
        </w:rPr>
        <w:t xml:space="preserve">по чл. 116, ал. 3, т. 2 ЗМПВВППРБ, в пристанището има граничен и митнически пункт. </w:t>
      </w:r>
    </w:p>
    <w:p w14:paraId="52A49BA0" w14:textId="77777777" w:rsidR="00677160" w:rsidRPr="00610B1B" w:rsidRDefault="00677160" w:rsidP="00677160">
      <w:pPr>
        <w:pStyle w:val="ListParagraph"/>
        <w:numPr>
          <w:ilvl w:val="0"/>
          <w:numId w:val="108"/>
        </w:numPr>
        <w:spacing w:after="120"/>
        <w:ind w:right="-153"/>
        <w:contextualSpacing w:val="0"/>
        <w:jc w:val="both"/>
        <w:rPr>
          <w:rFonts w:ascii="Times New Roman" w:hAnsi="Times New Roman" w:cs="Times New Roman"/>
          <w:iCs/>
          <w:color w:val="000000" w:themeColor="text1"/>
          <w:sz w:val="24"/>
          <w:szCs w:val="24"/>
          <w:lang w:val="bg-BG"/>
        </w:rPr>
      </w:pPr>
      <w:r w:rsidRPr="00610B1B">
        <w:rPr>
          <w:rFonts w:ascii="Times New Roman" w:hAnsi="Times New Roman" w:cs="Times New Roman"/>
          <w:b/>
          <w:i/>
          <w:color w:val="000000" w:themeColor="text1"/>
          <w:sz w:val="24"/>
          <w:szCs w:val="24"/>
          <w:lang w:val="bg-BG"/>
        </w:rPr>
        <w:t>Яхтено пристанище „Златни пясъци“</w:t>
      </w:r>
      <w:r w:rsidRPr="00610B1B">
        <w:rPr>
          <w:rFonts w:ascii="Times New Roman" w:hAnsi="Times New Roman" w:cs="Times New Roman"/>
          <w:color w:val="000000" w:themeColor="text1"/>
          <w:sz w:val="24"/>
          <w:szCs w:val="24"/>
          <w:lang w:val="bg-BG"/>
        </w:rPr>
        <w:t xml:space="preserve"> (регистрирано под № 3/30.03.2018 г.) – в най-северния край на комплекса, капацитет около 100 съда. Освен първични услуги (вода, ток, гориво), пристанището предлага туристически забавления, допълващи основния продукт на морски рекреативен туризъм – разходки по вода с пиратски корабчета, риболовни излети, екскурзии до различни атрактивни точки по българското Черноморие. </w:t>
      </w:r>
    </w:p>
    <w:p w14:paraId="0FF32943" w14:textId="2A54FC66" w:rsidR="00677160" w:rsidRPr="00610B1B" w:rsidRDefault="00677160" w:rsidP="00677160">
      <w:pPr>
        <w:numPr>
          <w:ilvl w:val="0"/>
          <w:numId w:val="108"/>
        </w:numPr>
        <w:spacing w:after="120"/>
        <w:ind w:right="-153"/>
        <w:jc w:val="both"/>
        <w:rPr>
          <w:rFonts w:ascii="Times New Roman" w:hAnsi="Times New Roman" w:cs="Times New Roman"/>
          <w:color w:val="000000" w:themeColor="text1"/>
          <w:sz w:val="24"/>
          <w:szCs w:val="24"/>
          <w:lang w:val="bg-BG"/>
        </w:rPr>
      </w:pPr>
      <w:r w:rsidRPr="00610B1B">
        <w:rPr>
          <w:rFonts w:ascii="Times New Roman" w:hAnsi="Times New Roman" w:cs="Times New Roman"/>
          <w:b/>
          <w:i/>
          <w:color w:val="000000" w:themeColor="text1"/>
          <w:sz w:val="24"/>
          <w:szCs w:val="24"/>
          <w:lang w:val="bg-BG"/>
        </w:rPr>
        <w:t>Яхтено пристанище</w:t>
      </w:r>
      <w:r w:rsidRPr="00610B1B">
        <w:rPr>
          <w:rFonts w:ascii="Times New Roman" w:hAnsi="Times New Roman" w:cs="Times New Roman"/>
          <w:b/>
          <w:color w:val="000000" w:themeColor="text1"/>
          <w:sz w:val="24"/>
          <w:szCs w:val="24"/>
          <w:lang w:val="bg-BG"/>
        </w:rPr>
        <w:t xml:space="preserve"> „</w:t>
      </w:r>
      <w:r w:rsidRPr="00610B1B">
        <w:rPr>
          <w:rFonts w:ascii="Times New Roman" w:hAnsi="Times New Roman" w:cs="Times New Roman"/>
          <w:b/>
          <w:i/>
          <w:iCs/>
          <w:color w:val="000000" w:themeColor="text1"/>
          <w:sz w:val="24"/>
          <w:szCs w:val="24"/>
          <w:lang w:val="bg-BG"/>
        </w:rPr>
        <w:t>Хидродинамик</w:t>
      </w:r>
      <w:r w:rsidRPr="00610B1B">
        <w:rPr>
          <w:rFonts w:ascii="Times New Roman" w:hAnsi="Times New Roman" w:cs="Times New Roman"/>
          <w:b/>
          <w:color w:val="000000" w:themeColor="text1"/>
          <w:sz w:val="24"/>
          <w:szCs w:val="24"/>
          <w:lang w:val="bg-BG"/>
        </w:rPr>
        <w:t>“</w:t>
      </w:r>
      <w:r w:rsidRPr="00610B1B">
        <w:rPr>
          <w:rFonts w:ascii="Times New Roman" w:hAnsi="Times New Roman" w:cs="Times New Roman"/>
          <w:color w:val="000000" w:themeColor="text1"/>
          <w:sz w:val="24"/>
          <w:szCs w:val="24"/>
          <w:lang w:val="bg-BG"/>
        </w:rPr>
        <w:t xml:space="preserve"> (регистрирано под № 4/30.03.2018 г.) – на южния бряг на Варненското езеро, до кв. „Аспарухово“. То предлага домуване и/или приставане на яхти и лодки за крайбрежни и международни плавания по вода, водни спортове, туризъм и развлекателни програми. Осъществяват се морско технически пристанищни дейности и услуги по чл. 116, ал. 3, т. 2 ЗМПВВППРБ,, снабдяване с ел. енергия, комуникации, гориво, смазочни материали и вода и обработка на отпадъци от корабоплавателна дейност.</w:t>
      </w:r>
    </w:p>
    <w:p w14:paraId="7E82A489" w14:textId="77777777" w:rsidR="00677160" w:rsidRPr="00610B1B" w:rsidRDefault="00677160" w:rsidP="00677160">
      <w:pPr>
        <w:pStyle w:val="ListParagraph"/>
        <w:numPr>
          <w:ilvl w:val="0"/>
          <w:numId w:val="108"/>
        </w:numPr>
        <w:spacing w:after="120"/>
        <w:ind w:right="-153"/>
        <w:jc w:val="both"/>
        <w:rPr>
          <w:rFonts w:ascii="Times New Roman" w:hAnsi="Times New Roman" w:cs="Times New Roman"/>
          <w:color w:val="000000" w:themeColor="text1"/>
          <w:sz w:val="24"/>
          <w:szCs w:val="24"/>
          <w:lang w:val="bg-BG"/>
        </w:rPr>
      </w:pPr>
      <w:r w:rsidRPr="00610B1B">
        <w:rPr>
          <w:rFonts w:ascii="Times New Roman" w:hAnsi="Times New Roman" w:cs="Times New Roman"/>
          <w:b/>
          <w:i/>
          <w:color w:val="000000" w:themeColor="text1"/>
          <w:sz w:val="24"/>
          <w:szCs w:val="24"/>
          <w:lang w:val="bg-BG"/>
        </w:rPr>
        <w:t>Яхтен терминал „Лотос“</w:t>
      </w:r>
      <w:r w:rsidRPr="00610B1B">
        <w:rPr>
          <w:rFonts w:ascii="Times New Roman" w:hAnsi="Times New Roman" w:cs="Times New Roman"/>
          <w:i/>
          <w:color w:val="000000" w:themeColor="text1"/>
          <w:sz w:val="24"/>
          <w:szCs w:val="24"/>
          <w:lang w:val="bg-BG"/>
        </w:rPr>
        <w:t xml:space="preserve"> </w:t>
      </w:r>
      <w:r w:rsidRPr="00610B1B">
        <w:rPr>
          <w:rFonts w:ascii="Times New Roman" w:hAnsi="Times New Roman" w:cs="Times New Roman"/>
          <w:iCs/>
          <w:color w:val="000000" w:themeColor="text1"/>
          <w:sz w:val="24"/>
          <w:szCs w:val="24"/>
          <w:lang w:val="bg-BG"/>
        </w:rPr>
        <w:t>(</w:t>
      </w:r>
      <w:r w:rsidRPr="00610B1B">
        <w:rPr>
          <w:rFonts w:ascii="Times New Roman" w:hAnsi="Times New Roman" w:cs="Times New Roman"/>
          <w:color w:val="000000" w:themeColor="text1"/>
          <w:sz w:val="24"/>
          <w:szCs w:val="24"/>
          <w:lang w:val="bg-BG"/>
        </w:rPr>
        <w:t>регистриран под №</w:t>
      </w:r>
      <w:r w:rsidRPr="00610B1B">
        <w:rPr>
          <w:rFonts w:ascii="Times New Roman" w:hAnsi="Times New Roman" w:cs="Times New Roman"/>
          <w:color w:val="000000" w:themeColor="text1"/>
          <w:lang w:val="bg-BG"/>
        </w:rPr>
        <w:t xml:space="preserve"> </w:t>
      </w:r>
      <w:r w:rsidRPr="00610B1B">
        <w:rPr>
          <w:rFonts w:ascii="Times New Roman" w:hAnsi="Times New Roman" w:cs="Times New Roman"/>
          <w:color w:val="000000" w:themeColor="text1"/>
          <w:sz w:val="24"/>
          <w:szCs w:val="24"/>
          <w:lang w:val="bg-BG"/>
        </w:rPr>
        <w:t>5/21.01.2016 г.) – Балчик. Подходящ и за по-продължителен престой на малки плавателни съдове, за домуване на яхти и лодки за крайбрежни и международни плавания по вода, водни</w:t>
      </w:r>
    </w:p>
    <w:p w14:paraId="74EF1A9F" w14:textId="77777777" w:rsidR="00677160" w:rsidRPr="00610B1B" w:rsidRDefault="00677160" w:rsidP="00677160">
      <w:pPr>
        <w:pStyle w:val="ListParagraph"/>
        <w:numPr>
          <w:ilvl w:val="0"/>
          <w:numId w:val="108"/>
        </w:numPr>
        <w:spacing w:after="120"/>
        <w:ind w:right="-153"/>
        <w:contextualSpacing w:val="0"/>
        <w:jc w:val="both"/>
        <w:rPr>
          <w:rFonts w:ascii="Times New Roman" w:hAnsi="Times New Roman" w:cs="Times New Roman"/>
          <w:iCs/>
          <w:color w:val="000000" w:themeColor="text1"/>
          <w:sz w:val="24"/>
          <w:szCs w:val="24"/>
          <w:lang w:val="bg-BG"/>
        </w:rPr>
      </w:pPr>
      <w:r w:rsidRPr="00610B1B">
        <w:rPr>
          <w:rFonts w:ascii="Times New Roman" w:hAnsi="Times New Roman" w:cs="Times New Roman"/>
          <w:color w:val="000000" w:themeColor="text1"/>
          <w:sz w:val="24"/>
          <w:szCs w:val="24"/>
          <w:lang w:val="bg-BG"/>
        </w:rPr>
        <w:t>спортове, туризъм и развлекателни програми.</w:t>
      </w:r>
    </w:p>
    <w:p w14:paraId="13DD3389" w14:textId="1C11DFF2" w:rsidR="00677160" w:rsidRPr="00610B1B" w:rsidRDefault="00677160" w:rsidP="00677160">
      <w:pPr>
        <w:numPr>
          <w:ilvl w:val="0"/>
          <w:numId w:val="108"/>
        </w:numPr>
        <w:spacing w:after="120"/>
        <w:ind w:right="-153"/>
        <w:jc w:val="both"/>
        <w:rPr>
          <w:rFonts w:ascii="Times New Roman" w:hAnsi="Times New Roman" w:cs="Times New Roman"/>
          <w:color w:val="000000" w:themeColor="text1"/>
          <w:sz w:val="24"/>
          <w:szCs w:val="24"/>
          <w:lang w:val="bg-BG"/>
        </w:rPr>
      </w:pPr>
      <w:r w:rsidRPr="00610B1B">
        <w:rPr>
          <w:rFonts w:ascii="Times New Roman" w:hAnsi="Times New Roman" w:cs="Times New Roman"/>
          <w:b/>
          <w:i/>
          <w:iCs/>
          <w:color w:val="000000" w:themeColor="text1"/>
          <w:sz w:val="24"/>
          <w:szCs w:val="24"/>
          <w:lang w:val="bg-BG"/>
        </w:rPr>
        <w:t>Яхтено пристанище „Корабостроител</w:t>
      </w:r>
      <w:r w:rsidRPr="00610B1B">
        <w:rPr>
          <w:rFonts w:ascii="Times New Roman" w:hAnsi="Times New Roman" w:cs="Times New Roman"/>
          <w:b/>
          <w:color w:val="000000" w:themeColor="text1"/>
          <w:sz w:val="24"/>
          <w:szCs w:val="24"/>
          <w:lang w:val="bg-BG"/>
        </w:rPr>
        <w:t>“</w:t>
      </w:r>
      <w:r w:rsidRPr="00610B1B">
        <w:rPr>
          <w:rFonts w:ascii="Times New Roman" w:hAnsi="Times New Roman" w:cs="Times New Roman"/>
          <w:color w:val="000000" w:themeColor="text1"/>
          <w:sz w:val="24"/>
          <w:szCs w:val="24"/>
          <w:lang w:val="bg-BG"/>
        </w:rPr>
        <w:t xml:space="preserve"> (регистрирано под № 6/22.03.2018 г.)</w:t>
      </w:r>
      <w:r w:rsidRPr="00610B1B">
        <w:rPr>
          <w:rFonts w:ascii="Times New Roman" w:hAnsi="Times New Roman" w:cs="Times New Roman"/>
          <w:color w:val="000000" w:themeColor="text1"/>
          <w:sz w:val="24"/>
          <w:szCs w:val="24"/>
          <w:lang w:val="bg-BG"/>
        </w:rPr>
        <w:cr/>
        <w:t>- разположено във Варненското езеро с капацитет за домуване и/или приставане на около 20 лодки.</w:t>
      </w:r>
      <w:r w:rsidR="008753B6" w:rsidRPr="00610B1B">
        <w:rPr>
          <w:rFonts w:ascii="Times New Roman" w:hAnsi="Times New Roman" w:cs="Times New Roman"/>
          <w:color w:val="000000" w:themeColor="text1"/>
          <w:lang w:val="bg-BG"/>
        </w:rPr>
        <w:t xml:space="preserve"> </w:t>
      </w:r>
      <w:r w:rsidRPr="00610B1B">
        <w:rPr>
          <w:rFonts w:ascii="Times New Roman" w:hAnsi="Times New Roman" w:cs="Times New Roman"/>
          <w:color w:val="000000" w:themeColor="text1"/>
          <w:lang w:val="bg-BG"/>
        </w:rPr>
        <w:t>Предлага м</w:t>
      </w:r>
      <w:r w:rsidRPr="00610B1B">
        <w:rPr>
          <w:rFonts w:ascii="Times New Roman" w:hAnsi="Times New Roman" w:cs="Times New Roman"/>
          <w:color w:val="000000" w:themeColor="text1"/>
          <w:sz w:val="24"/>
          <w:szCs w:val="24"/>
          <w:lang w:val="bg-BG"/>
        </w:rPr>
        <w:t>орско технически пристанищни дейности и услуги по чл. 116, ал. 3, т. 2 от ЗМПВВППРБ: швартоване, снабдяване на корабите с вода и електрическа енергия; приемане и обработване на отпадъци от корабоплавателна дейност (съгласно Анекс V от МАРПОЛ 73/78).</w:t>
      </w:r>
    </w:p>
    <w:p w14:paraId="280EC64B" w14:textId="77777777" w:rsidR="00677160" w:rsidRPr="00610B1B" w:rsidRDefault="00677160" w:rsidP="00677160">
      <w:pPr>
        <w:numPr>
          <w:ilvl w:val="0"/>
          <w:numId w:val="108"/>
        </w:numPr>
        <w:spacing w:after="120"/>
        <w:ind w:right="-153"/>
        <w:jc w:val="both"/>
        <w:rPr>
          <w:rFonts w:ascii="Times New Roman" w:hAnsi="Times New Roman" w:cs="Times New Roman"/>
          <w:color w:val="000000" w:themeColor="text1"/>
          <w:sz w:val="24"/>
          <w:szCs w:val="24"/>
          <w:lang w:val="bg-BG"/>
        </w:rPr>
      </w:pPr>
      <w:r w:rsidRPr="00610B1B">
        <w:rPr>
          <w:rFonts w:ascii="Times New Roman" w:hAnsi="Times New Roman" w:cs="Times New Roman"/>
          <w:b/>
          <w:i/>
          <w:iCs/>
          <w:color w:val="000000" w:themeColor="text1"/>
          <w:sz w:val="24"/>
          <w:szCs w:val="24"/>
          <w:lang w:val="bg-BG"/>
        </w:rPr>
        <w:t>Яхтено пристанище „Тортуга Марина</w:t>
      </w:r>
      <w:r w:rsidRPr="00610B1B">
        <w:rPr>
          <w:rFonts w:ascii="Times New Roman" w:hAnsi="Times New Roman" w:cs="Times New Roman"/>
          <w:b/>
          <w:color w:val="000000" w:themeColor="text1"/>
          <w:sz w:val="24"/>
          <w:szCs w:val="24"/>
          <w:lang w:val="bg-BG"/>
        </w:rPr>
        <w:t>“</w:t>
      </w:r>
      <w:r w:rsidRPr="00610B1B">
        <w:rPr>
          <w:rFonts w:ascii="Times New Roman" w:hAnsi="Times New Roman" w:cs="Times New Roman"/>
          <w:color w:val="000000" w:themeColor="text1"/>
          <w:sz w:val="24"/>
          <w:szCs w:val="24"/>
          <w:lang w:val="bg-BG"/>
        </w:rPr>
        <w:t xml:space="preserve"> (регистрирано под № 7/19.10.2011 г.) - в Западната промишлена зона в района на „Максуда“, с капацитет за домуване или приставане на около 30 яхти и лодки за крайбрежни и международни плавания по вода, водни спортове, туризъм и развлекателни програми. </w:t>
      </w:r>
    </w:p>
    <w:p w14:paraId="59D9F593" w14:textId="77777777" w:rsidR="00677160" w:rsidRPr="00610B1B" w:rsidRDefault="00677160" w:rsidP="00677160">
      <w:pPr>
        <w:spacing w:after="120"/>
        <w:ind w:right="-153"/>
        <w:jc w:val="both"/>
        <w:rPr>
          <w:rFonts w:ascii="Times New Roman" w:hAnsi="Times New Roman" w:cs="Times New Roman"/>
          <w:bCs/>
          <w:color w:val="000000" w:themeColor="text1"/>
          <w:sz w:val="24"/>
          <w:szCs w:val="24"/>
          <w:lang w:val="bg-BG"/>
        </w:rPr>
      </w:pPr>
      <w:r w:rsidRPr="00610B1B">
        <w:rPr>
          <w:rFonts w:ascii="Times New Roman" w:hAnsi="Times New Roman" w:cs="Times New Roman"/>
          <w:bCs/>
          <w:color w:val="000000" w:themeColor="text1"/>
          <w:sz w:val="24"/>
          <w:szCs w:val="24"/>
          <w:lang w:val="bg-BG"/>
        </w:rPr>
        <w:t>На южното Черноморско крайбрежие са регистрирани 8 яхтени пристанища:</w:t>
      </w:r>
    </w:p>
    <w:p w14:paraId="19AEE970" w14:textId="09E06F81" w:rsidR="00677160" w:rsidRPr="00610B1B" w:rsidRDefault="00677160" w:rsidP="00677160">
      <w:pPr>
        <w:pStyle w:val="ListParagraph"/>
        <w:numPr>
          <w:ilvl w:val="0"/>
          <w:numId w:val="109"/>
        </w:numPr>
        <w:spacing w:after="120"/>
        <w:ind w:right="-153"/>
        <w:jc w:val="both"/>
        <w:rPr>
          <w:rFonts w:ascii="Times New Roman" w:hAnsi="Times New Roman" w:cs="Times New Roman"/>
          <w:bCs/>
          <w:color w:val="000000" w:themeColor="text1"/>
          <w:sz w:val="24"/>
          <w:szCs w:val="24"/>
          <w:lang w:val="bg-BG"/>
        </w:rPr>
      </w:pPr>
      <w:r w:rsidRPr="00610B1B">
        <w:rPr>
          <w:rFonts w:ascii="Times New Roman" w:hAnsi="Times New Roman" w:cs="Times New Roman"/>
          <w:b/>
          <w:i/>
          <w:iCs/>
          <w:color w:val="000000" w:themeColor="text1"/>
          <w:sz w:val="24"/>
          <w:szCs w:val="24"/>
          <w:lang w:val="bg-BG"/>
        </w:rPr>
        <w:t>Яхтено пристанище „Марина Порт Созопол</w:t>
      </w:r>
      <w:r w:rsidRPr="00610B1B">
        <w:rPr>
          <w:rFonts w:ascii="Times New Roman" w:hAnsi="Times New Roman" w:cs="Times New Roman"/>
          <w:bCs/>
          <w:color w:val="000000" w:themeColor="text1"/>
          <w:sz w:val="24"/>
          <w:szCs w:val="24"/>
          <w:lang w:val="bg-BG"/>
        </w:rPr>
        <w:t>“</w:t>
      </w:r>
      <w:r w:rsidR="008753B6" w:rsidRPr="00610B1B">
        <w:rPr>
          <w:rFonts w:ascii="Times New Roman" w:hAnsi="Times New Roman" w:cs="Times New Roman"/>
          <w:bCs/>
          <w:color w:val="000000" w:themeColor="text1"/>
          <w:sz w:val="24"/>
          <w:szCs w:val="24"/>
          <w:lang w:val="bg-BG"/>
        </w:rPr>
        <w:t xml:space="preserve"> </w:t>
      </w:r>
      <w:r w:rsidRPr="00610B1B">
        <w:rPr>
          <w:rFonts w:ascii="Times New Roman" w:hAnsi="Times New Roman" w:cs="Times New Roman"/>
          <w:bCs/>
          <w:color w:val="000000" w:themeColor="text1"/>
          <w:sz w:val="24"/>
          <w:szCs w:val="24"/>
          <w:lang w:val="bg-BG"/>
        </w:rPr>
        <w:t>(регистрирано под №</w:t>
      </w:r>
      <w:r w:rsidR="009907CE" w:rsidRPr="00610B1B">
        <w:rPr>
          <w:rFonts w:ascii="Times New Roman" w:hAnsi="Times New Roman" w:cs="Times New Roman"/>
          <w:bCs/>
          <w:color w:val="000000" w:themeColor="text1"/>
          <w:sz w:val="24"/>
          <w:szCs w:val="24"/>
          <w:lang w:val="en-US"/>
        </w:rPr>
        <w:t> </w:t>
      </w:r>
      <w:r w:rsidRPr="00610B1B">
        <w:rPr>
          <w:rFonts w:ascii="Times New Roman" w:hAnsi="Times New Roman" w:cs="Times New Roman"/>
          <w:bCs/>
          <w:color w:val="000000" w:themeColor="text1"/>
          <w:sz w:val="24"/>
          <w:szCs w:val="24"/>
          <w:lang w:val="bg-BG"/>
        </w:rPr>
        <w:t>1/30.05.2005</w:t>
      </w:r>
      <w:r w:rsidR="009907CE" w:rsidRPr="00610B1B">
        <w:rPr>
          <w:rFonts w:ascii="Times New Roman" w:hAnsi="Times New Roman" w:cs="Times New Roman"/>
          <w:bCs/>
          <w:color w:val="000000" w:themeColor="text1"/>
          <w:sz w:val="24"/>
          <w:szCs w:val="24"/>
          <w:lang w:val="en-US"/>
        </w:rPr>
        <w:t> </w:t>
      </w:r>
      <w:r w:rsidRPr="00610B1B">
        <w:rPr>
          <w:rFonts w:ascii="Times New Roman" w:hAnsi="Times New Roman" w:cs="Times New Roman"/>
          <w:bCs/>
          <w:color w:val="000000" w:themeColor="text1"/>
          <w:sz w:val="24"/>
          <w:szCs w:val="24"/>
          <w:lang w:val="bg-BG"/>
        </w:rPr>
        <w:t>г.) – за приставане, домуване и престой на яхти и лодки с цел извършване на развлекателна и туристически дейности.</w:t>
      </w:r>
    </w:p>
    <w:p w14:paraId="663E29C7" w14:textId="6BA912ED" w:rsidR="00677160" w:rsidRPr="00610B1B" w:rsidRDefault="00677160" w:rsidP="00677160">
      <w:pPr>
        <w:pStyle w:val="ListParagraph"/>
        <w:numPr>
          <w:ilvl w:val="0"/>
          <w:numId w:val="109"/>
        </w:numPr>
        <w:spacing w:after="120"/>
        <w:ind w:right="-153"/>
        <w:jc w:val="both"/>
        <w:rPr>
          <w:rFonts w:ascii="Times New Roman" w:hAnsi="Times New Roman" w:cs="Times New Roman"/>
          <w:bCs/>
          <w:color w:val="000000" w:themeColor="text1"/>
          <w:sz w:val="24"/>
          <w:szCs w:val="24"/>
          <w:lang w:val="bg-BG"/>
        </w:rPr>
      </w:pPr>
      <w:r w:rsidRPr="00610B1B">
        <w:rPr>
          <w:rFonts w:ascii="Times New Roman" w:hAnsi="Times New Roman" w:cs="Times New Roman"/>
          <w:b/>
          <w:bCs/>
          <w:i/>
          <w:iCs/>
          <w:color w:val="000000" w:themeColor="text1"/>
          <w:sz w:val="24"/>
          <w:szCs w:val="24"/>
          <w:lang w:val="bg-BG"/>
        </w:rPr>
        <w:lastRenderedPageBreak/>
        <w:t xml:space="preserve">Яхтено пристанище към Национална ветроходна база Несебър </w:t>
      </w:r>
      <w:r w:rsidRPr="00610B1B">
        <w:rPr>
          <w:rFonts w:ascii="Times New Roman" w:hAnsi="Times New Roman" w:cs="Times New Roman"/>
          <w:color w:val="000000" w:themeColor="text1"/>
          <w:sz w:val="24"/>
          <w:szCs w:val="24"/>
          <w:lang w:val="bg-BG"/>
        </w:rPr>
        <w:t>(регистрирано под № 2/20.05.2005 г.)</w:t>
      </w:r>
      <w:r w:rsidR="008753B6" w:rsidRPr="00610B1B">
        <w:rPr>
          <w:rFonts w:ascii="Times New Roman" w:hAnsi="Times New Roman" w:cs="Times New Roman"/>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 С капацитет за приставане, домуване и престой на около 40 лодки или яхти за упражняване на водни спортове и развлекателни програми.</w:t>
      </w:r>
    </w:p>
    <w:p w14:paraId="79D5AB0E" w14:textId="77777777" w:rsidR="00677160" w:rsidRPr="00610B1B" w:rsidRDefault="00677160" w:rsidP="00677160">
      <w:pPr>
        <w:pStyle w:val="ListParagraph"/>
        <w:numPr>
          <w:ilvl w:val="0"/>
          <w:numId w:val="109"/>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b/>
          <w:bCs/>
          <w:i/>
          <w:iCs/>
          <w:color w:val="000000" w:themeColor="text1"/>
          <w:sz w:val="24"/>
          <w:szCs w:val="24"/>
          <w:lang w:val="bg-BG"/>
        </w:rPr>
        <w:t>Яхтено пристанище „Дюни“</w:t>
      </w:r>
      <w:r w:rsidRPr="00610B1B">
        <w:rPr>
          <w:rFonts w:ascii="Times New Roman" w:hAnsi="Times New Roman" w:cs="Times New Roman"/>
          <w:color w:val="000000" w:themeColor="text1"/>
          <w:sz w:val="24"/>
          <w:szCs w:val="24"/>
          <w:lang w:val="bg-BG"/>
        </w:rPr>
        <w:t xml:space="preserve"> (регистрирано под № 3/20.05.2005 г.) – за целогодишно приставане, домуване и престой на яхти за упражняване на водни спортове и развлекателни програми с капацитет до 37 съда.</w:t>
      </w:r>
    </w:p>
    <w:p w14:paraId="15102A48" w14:textId="77777777" w:rsidR="00677160" w:rsidRPr="00610B1B" w:rsidRDefault="00677160" w:rsidP="00677160">
      <w:pPr>
        <w:pStyle w:val="ListParagraph"/>
        <w:numPr>
          <w:ilvl w:val="0"/>
          <w:numId w:val="109"/>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b/>
          <w:i/>
          <w:color w:val="000000" w:themeColor="text1"/>
          <w:sz w:val="24"/>
          <w:szCs w:val="24"/>
          <w:lang w:val="bg-BG"/>
        </w:rPr>
        <w:t>Яхтено пристанище „Марина Диневи“</w:t>
      </w:r>
      <w:r w:rsidRPr="00610B1B">
        <w:rPr>
          <w:rFonts w:ascii="Times New Roman" w:hAnsi="Times New Roman" w:cs="Times New Roman"/>
          <w:b/>
          <w:color w:val="000000" w:themeColor="text1"/>
          <w:sz w:val="24"/>
          <w:szCs w:val="24"/>
          <w:lang w:val="bg-BG"/>
        </w:rPr>
        <w:t xml:space="preserve"> </w:t>
      </w:r>
      <w:bookmarkStart w:id="367" w:name="_Hlk67838842"/>
      <w:r w:rsidRPr="00610B1B">
        <w:rPr>
          <w:rFonts w:ascii="Times New Roman" w:hAnsi="Times New Roman" w:cs="Times New Roman"/>
          <w:bCs/>
          <w:color w:val="000000" w:themeColor="text1"/>
          <w:sz w:val="24"/>
          <w:szCs w:val="24"/>
          <w:lang w:val="bg-BG"/>
        </w:rPr>
        <w:t>(регистрирано под №</w:t>
      </w:r>
      <w:r w:rsidRPr="00610B1B">
        <w:rPr>
          <w:rFonts w:ascii="Times New Roman" w:hAnsi="Times New Roman" w:cs="Times New Roman"/>
          <w:b/>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 xml:space="preserve">4/22.02.2007 г.) </w:t>
      </w:r>
      <w:bookmarkEnd w:id="367"/>
      <w:r w:rsidRPr="00610B1B">
        <w:rPr>
          <w:rFonts w:ascii="Times New Roman" w:hAnsi="Times New Roman" w:cs="Times New Roman"/>
          <w:color w:val="000000" w:themeColor="text1"/>
          <w:sz w:val="24"/>
          <w:szCs w:val="24"/>
          <w:lang w:val="bg-BG"/>
        </w:rPr>
        <w:t xml:space="preserve">– частно яхтено пристанище в гр. Свети Влас, пригодено за около 300 плавателни съда, с разнообразни услуги за посетителите. Условията са подходящи за домуване и за временен престой. От няколко години пристанището се удостоява със световния сертификат „Син флаг“ - единственото българско пристанище с всепризнатия атестат за високо качество на средата и предлаганите услуги. </w:t>
      </w:r>
    </w:p>
    <w:p w14:paraId="2832B8BE" w14:textId="5048109F" w:rsidR="00677160" w:rsidRPr="00610B1B" w:rsidRDefault="00677160" w:rsidP="00677160">
      <w:pPr>
        <w:pStyle w:val="ListParagraph"/>
        <w:numPr>
          <w:ilvl w:val="0"/>
          <w:numId w:val="109"/>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b/>
          <w:i/>
          <w:color w:val="000000" w:themeColor="text1"/>
          <w:sz w:val="24"/>
          <w:szCs w:val="24"/>
          <w:lang w:val="bg-BG"/>
        </w:rPr>
        <w:t>Яхтено пристанище „Марина Несебър“</w:t>
      </w:r>
      <w:r w:rsidRPr="00610B1B">
        <w:rPr>
          <w:rFonts w:ascii="Times New Roman" w:hAnsi="Times New Roman" w:cs="Times New Roman"/>
          <w:color w:val="000000" w:themeColor="text1"/>
          <w:sz w:val="24"/>
          <w:szCs w:val="24"/>
          <w:lang w:val="bg-BG"/>
        </w:rPr>
        <w:t xml:space="preserve"> (регистрирано под № 5/24.11.2008 г.)</w:t>
      </w:r>
      <w:r w:rsidR="008753B6" w:rsidRPr="00610B1B">
        <w:rPr>
          <w:rFonts w:ascii="Times New Roman" w:hAnsi="Times New Roman" w:cs="Times New Roman"/>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 xml:space="preserve">-луксозно яхтено пристанище с разнообразни услуги за плавателните съдове и за екипажите и пътниците им. </w:t>
      </w:r>
    </w:p>
    <w:p w14:paraId="3CE6076C" w14:textId="5B033552" w:rsidR="00677160" w:rsidRPr="00610B1B" w:rsidRDefault="00677160" w:rsidP="00677160">
      <w:pPr>
        <w:pStyle w:val="ListParagraph"/>
        <w:numPr>
          <w:ilvl w:val="0"/>
          <w:numId w:val="109"/>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b/>
          <w:bCs/>
          <w:i/>
          <w:iCs/>
          <w:color w:val="000000" w:themeColor="text1"/>
          <w:sz w:val="24"/>
          <w:szCs w:val="24"/>
          <w:lang w:val="bg-BG"/>
        </w:rPr>
        <w:t>Яхтено пристанище „Марина Созопол”</w:t>
      </w:r>
      <w:r w:rsidR="008753B6" w:rsidRPr="00610B1B">
        <w:rPr>
          <w:rFonts w:ascii="Times New Roman" w:hAnsi="Times New Roman" w:cs="Times New Roman"/>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(регистрирано под № 6/05.10.2009 г.) -</w:t>
      </w:r>
      <w:r w:rsidR="008753B6" w:rsidRPr="00610B1B">
        <w:rPr>
          <w:rFonts w:ascii="Times New Roman" w:hAnsi="Times New Roman" w:cs="Times New Roman"/>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Приставане, домуване и престой на яхти за упражняване на крайбрежни и международни плавания, водни спортове и развлекателни програми.</w:t>
      </w:r>
    </w:p>
    <w:p w14:paraId="5FB78F20" w14:textId="77777777" w:rsidR="00677160" w:rsidRPr="00610B1B" w:rsidRDefault="00677160" w:rsidP="00677160">
      <w:pPr>
        <w:pStyle w:val="ListParagraph"/>
        <w:numPr>
          <w:ilvl w:val="0"/>
          <w:numId w:val="109"/>
        </w:numPr>
        <w:jc w:val="both"/>
        <w:rPr>
          <w:rFonts w:ascii="Times New Roman" w:hAnsi="Times New Roman" w:cs="Times New Roman"/>
          <w:color w:val="000000" w:themeColor="text1"/>
          <w:sz w:val="24"/>
          <w:szCs w:val="24"/>
          <w:lang w:val="bg-BG"/>
        </w:rPr>
      </w:pPr>
      <w:r w:rsidRPr="00610B1B">
        <w:rPr>
          <w:rFonts w:ascii="Times New Roman" w:hAnsi="Times New Roman" w:cs="Times New Roman"/>
          <w:b/>
          <w:bCs/>
          <w:i/>
          <w:iCs/>
          <w:color w:val="000000" w:themeColor="text1"/>
          <w:sz w:val="24"/>
          <w:szCs w:val="24"/>
          <w:lang w:val="bg-BG"/>
        </w:rPr>
        <w:t>Яхтено пристанище „Северно пристанище Несебър“</w:t>
      </w:r>
      <w:r w:rsidRPr="00610B1B">
        <w:rPr>
          <w:rFonts w:ascii="Times New Roman" w:hAnsi="Times New Roman" w:cs="Times New Roman"/>
          <w:color w:val="000000" w:themeColor="text1"/>
          <w:sz w:val="24"/>
          <w:szCs w:val="24"/>
          <w:lang w:val="bg-BG"/>
        </w:rPr>
        <w:t xml:space="preserve"> (регистрирано под № 7/05.07.2012 г.) - ползва се предимно от рибари, но може да се използва за приставане, домуване и престой на яхти или други плавателни съдове до 30-40 бруто-регистър тона.</w:t>
      </w:r>
      <w:r w:rsidRPr="00610B1B">
        <w:rPr>
          <w:rFonts w:ascii="Times New Roman" w:hAnsi="Times New Roman" w:cs="Times New Roman"/>
          <w:color w:val="000000" w:themeColor="text1"/>
          <w:lang w:val="bg-BG"/>
        </w:rPr>
        <w:t xml:space="preserve"> </w:t>
      </w:r>
    </w:p>
    <w:p w14:paraId="1FFAB71D" w14:textId="77777777" w:rsidR="00677160" w:rsidRPr="00610B1B" w:rsidRDefault="00677160" w:rsidP="00677160">
      <w:pPr>
        <w:pStyle w:val="ListParagraph"/>
        <w:numPr>
          <w:ilvl w:val="0"/>
          <w:numId w:val="109"/>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b/>
          <w:i/>
          <w:color w:val="000000" w:themeColor="text1"/>
          <w:sz w:val="24"/>
          <w:szCs w:val="24"/>
          <w:lang w:val="bg-BG"/>
        </w:rPr>
        <w:t>Яхтено пристанище „Китен“</w:t>
      </w:r>
      <w:r w:rsidRPr="00610B1B">
        <w:rPr>
          <w:rFonts w:ascii="Times New Roman" w:hAnsi="Times New Roman" w:cs="Times New Roman"/>
          <w:b/>
          <w:color w:val="000000" w:themeColor="text1"/>
          <w:sz w:val="24"/>
          <w:szCs w:val="24"/>
          <w:lang w:val="bg-BG"/>
        </w:rPr>
        <w:t xml:space="preserve"> </w:t>
      </w:r>
      <w:r w:rsidRPr="00610B1B">
        <w:rPr>
          <w:rFonts w:ascii="Times New Roman" w:hAnsi="Times New Roman" w:cs="Times New Roman"/>
          <w:bCs/>
          <w:color w:val="000000" w:themeColor="text1"/>
          <w:sz w:val="24"/>
          <w:szCs w:val="24"/>
          <w:lang w:val="bg-BG"/>
        </w:rPr>
        <w:t>(регистрирано под № 8/14.11.2018 г.)</w:t>
      </w:r>
      <w:r w:rsidRPr="00610B1B">
        <w:rPr>
          <w:rFonts w:ascii="Times New Roman" w:hAnsi="Times New Roman" w:cs="Times New Roman"/>
          <w:color w:val="000000" w:themeColor="text1"/>
          <w:sz w:val="24"/>
          <w:szCs w:val="24"/>
          <w:lang w:val="bg-BG"/>
        </w:rPr>
        <w:t xml:space="preserve"> – голямо и добре оборудвано, което предлага условия за домуване или приставане на яхти и други плавателни средства за спорт, туризъм и развлечение. Разполага с големи хангари, към него има хотел и възможност за зареждане с гориво.</w:t>
      </w:r>
    </w:p>
    <w:p w14:paraId="704F8A01" w14:textId="548376D7" w:rsidR="00677160" w:rsidRPr="00610B1B" w:rsidRDefault="00677160" w:rsidP="00677160">
      <w:pPr>
        <w:spacing w:after="120"/>
        <w:ind w:right="-153"/>
        <w:jc w:val="both"/>
        <w:rPr>
          <w:rFonts w:ascii="Times New Roman" w:hAnsi="Times New Roman" w:cs="Times New Roman"/>
          <w:color w:val="000000" w:themeColor="text1"/>
          <w:sz w:val="24"/>
          <w:szCs w:val="24"/>
          <w:lang w:val="bg-BG"/>
        </w:rPr>
      </w:pPr>
      <w:r w:rsidRPr="00610B1B">
        <w:rPr>
          <w:rFonts w:ascii="Times New Roman" w:hAnsi="Times New Roman" w:cs="Times New Roman"/>
          <w:color w:val="000000" w:themeColor="text1"/>
          <w:sz w:val="24"/>
          <w:szCs w:val="24"/>
          <w:lang w:val="bg-BG"/>
        </w:rPr>
        <w:t>По данни от туристически сайт</w:t>
      </w:r>
      <w:r w:rsidRPr="00610B1B">
        <w:rPr>
          <w:rStyle w:val="FootnoteReference"/>
          <w:rFonts w:ascii="Times New Roman" w:hAnsi="Times New Roman" w:cs="Times New Roman"/>
          <w:color w:val="000000" w:themeColor="text1"/>
          <w:sz w:val="24"/>
          <w:szCs w:val="24"/>
          <w:lang w:val="bg-BG"/>
        </w:rPr>
        <w:footnoteReference w:id="122"/>
      </w:r>
      <w:r w:rsidRPr="00610B1B">
        <w:rPr>
          <w:rFonts w:ascii="Times New Roman" w:hAnsi="Times New Roman" w:cs="Times New Roman"/>
          <w:color w:val="000000" w:themeColor="text1"/>
          <w:sz w:val="24"/>
          <w:szCs w:val="24"/>
          <w:lang w:val="bg-BG"/>
        </w:rPr>
        <w:t xml:space="preserve">, българският черноморски бряг предлага услугите общо на още </w:t>
      </w:r>
      <w:r w:rsidR="009D5553" w:rsidRPr="00610B1B">
        <w:rPr>
          <w:rFonts w:ascii="Times New Roman" w:hAnsi="Times New Roman" w:cs="Times New Roman"/>
          <w:color w:val="000000" w:themeColor="text1"/>
          <w:sz w:val="24"/>
          <w:szCs w:val="24"/>
          <w:lang w:val="bg-BG"/>
        </w:rPr>
        <w:t>14</w:t>
      </w:r>
      <w:r w:rsidRPr="00610B1B">
        <w:rPr>
          <w:rFonts w:ascii="Times New Roman" w:hAnsi="Times New Roman" w:cs="Times New Roman"/>
          <w:color w:val="000000" w:themeColor="text1"/>
          <w:sz w:val="24"/>
          <w:szCs w:val="24"/>
          <w:lang w:val="bg-BG"/>
        </w:rPr>
        <w:t xml:space="preserve"> яхтени пристанища, марини и стоянки:</w:t>
      </w:r>
    </w:p>
    <w:p w14:paraId="366E4A97" w14:textId="77777777" w:rsidR="00677160" w:rsidRPr="00610B1B" w:rsidRDefault="00677160" w:rsidP="00677160">
      <w:pPr>
        <w:pStyle w:val="ListParagraph"/>
        <w:numPr>
          <w:ilvl w:val="0"/>
          <w:numId w:val="11"/>
        </w:numPr>
        <w:spacing w:after="120"/>
        <w:ind w:right="-153"/>
        <w:contextualSpacing w:val="0"/>
        <w:jc w:val="both"/>
        <w:rPr>
          <w:rFonts w:ascii="Times New Roman" w:hAnsi="Times New Roman" w:cs="Times New Roman"/>
          <w:iCs/>
          <w:color w:val="000000" w:themeColor="text1"/>
          <w:sz w:val="24"/>
          <w:szCs w:val="24"/>
          <w:lang w:val="bg-BG"/>
        </w:rPr>
      </w:pPr>
      <w:r w:rsidRPr="00610B1B">
        <w:rPr>
          <w:rFonts w:ascii="Times New Roman" w:hAnsi="Times New Roman" w:cs="Times New Roman"/>
          <w:i/>
          <w:color w:val="000000" w:themeColor="text1"/>
          <w:sz w:val="24"/>
          <w:szCs w:val="24"/>
          <w:lang w:val="bg-BG"/>
        </w:rPr>
        <w:t>Пристанище Каварна</w:t>
      </w:r>
      <w:r w:rsidRPr="00610B1B">
        <w:rPr>
          <w:rFonts w:ascii="Times New Roman" w:hAnsi="Times New Roman" w:cs="Times New Roman"/>
          <w:iCs/>
          <w:color w:val="000000" w:themeColor="text1"/>
          <w:sz w:val="24"/>
          <w:szCs w:val="24"/>
          <w:lang w:val="bg-BG"/>
        </w:rPr>
        <w:t xml:space="preserve"> - няма обособена марина, използват се съществуващите буни. Капацитетът е до 20 плавателни съда.</w:t>
      </w:r>
    </w:p>
    <w:p w14:paraId="40305102" w14:textId="77777777" w:rsidR="00677160" w:rsidRPr="00610B1B" w:rsidRDefault="00677160" w:rsidP="00677160">
      <w:pPr>
        <w:pStyle w:val="ListParagraph"/>
        <w:numPr>
          <w:ilvl w:val="0"/>
          <w:numId w:val="11"/>
        </w:numPr>
        <w:spacing w:after="120"/>
        <w:ind w:right="-153"/>
        <w:contextualSpacing w:val="0"/>
        <w:jc w:val="both"/>
        <w:rPr>
          <w:rFonts w:ascii="Times New Roman" w:hAnsi="Times New Roman" w:cs="Times New Roman"/>
          <w:iCs/>
          <w:color w:val="000000" w:themeColor="text1"/>
          <w:sz w:val="24"/>
          <w:szCs w:val="24"/>
          <w:lang w:val="bg-BG"/>
        </w:rPr>
      </w:pPr>
      <w:r w:rsidRPr="00610B1B">
        <w:rPr>
          <w:rFonts w:ascii="Times New Roman" w:hAnsi="Times New Roman" w:cs="Times New Roman"/>
          <w:i/>
          <w:color w:val="000000" w:themeColor="text1"/>
          <w:sz w:val="24"/>
          <w:szCs w:val="24"/>
          <w:lang w:val="bg-BG"/>
        </w:rPr>
        <w:t>Кей на комплекс Ривиера</w:t>
      </w:r>
      <w:r w:rsidRPr="00610B1B">
        <w:rPr>
          <w:rFonts w:ascii="Times New Roman" w:hAnsi="Times New Roman" w:cs="Times New Roman"/>
          <w:color w:val="000000" w:themeColor="text1"/>
          <w:sz w:val="24"/>
          <w:szCs w:val="24"/>
          <w:lang w:val="bg-BG"/>
        </w:rPr>
        <w:t xml:space="preserve"> – в южния край на к.к. „Златни пясъци”, на около 2,6 km от пристанището в северния край на комплекса. Кеят е подходящ само за кратковременно акостиране.</w:t>
      </w:r>
    </w:p>
    <w:p w14:paraId="18A07E83" w14:textId="0E185AEA" w:rsidR="00677160" w:rsidRPr="00610B1B" w:rsidRDefault="00677160" w:rsidP="00677160">
      <w:pPr>
        <w:pStyle w:val="ListParagraph"/>
        <w:numPr>
          <w:ilvl w:val="0"/>
          <w:numId w:val="11"/>
        </w:numPr>
        <w:spacing w:after="120"/>
        <w:ind w:right="-153"/>
        <w:contextualSpacing w:val="0"/>
        <w:jc w:val="both"/>
        <w:rPr>
          <w:rFonts w:ascii="Times New Roman" w:hAnsi="Times New Roman" w:cs="Times New Roman"/>
          <w:iCs/>
          <w:color w:val="000000" w:themeColor="text1"/>
          <w:sz w:val="24"/>
          <w:szCs w:val="24"/>
          <w:lang w:val="bg-BG"/>
        </w:rPr>
      </w:pPr>
      <w:r w:rsidRPr="00610B1B">
        <w:rPr>
          <w:rFonts w:ascii="Times New Roman" w:hAnsi="Times New Roman" w:cs="Times New Roman"/>
          <w:i/>
          <w:color w:val="000000" w:themeColor="text1"/>
          <w:sz w:val="24"/>
          <w:szCs w:val="24"/>
          <w:lang w:val="bg-BG"/>
        </w:rPr>
        <w:t xml:space="preserve">Марина </w:t>
      </w:r>
      <w:r w:rsidR="006F4F8F" w:rsidRPr="00610B1B">
        <w:rPr>
          <w:rFonts w:ascii="Times New Roman" w:hAnsi="Times New Roman" w:cs="Times New Roman"/>
          <w:i/>
          <w:color w:val="000000" w:themeColor="text1"/>
          <w:sz w:val="24"/>
          <w:szCs w:val="24"/>
          <w:lang w:val="bg-BG"/>
        </w:rPr>
        <w:t>„</w:t>
      </w:r>
      <w:r w:rsidRPr="00610B1B">
        <w:rPr>
          <w:rFonts w:ascii="Times New Roman" w:hAnsi="Times New Roman" w:cs="Times New Roman"/>
          <w:i/>
          <w:color w:val="000000" w:themeColor="text1"/>
          <w:sz w:val="24"/>
          <w:szCs w:val="24"/>
          <w:lang w:val="bg-BG"/>
        </w:rPr>
        <w:t>Слънчев ден</w:t>
      </w:r>
      <w:r w:rsidR="006F4F8F" w:rsidRPr="00610B1B">
        <w:rPr>
          <w:rFonts w:ascii="Times New Roman" w:hAnsi="Times New Roman" w:cs="Times New Roman"/>
          <w:i/>
          <w:color w:val="000000" w:themeColor="text1"/>
          <w:sz w:val="24"/>
          <w:szCs w:val="24"/>
          <w:lang w:val="bg-BG"/>
        </w:rPr>
        <w:t>“</w:t>
      </w:r>
      <w:r w:rsidRPr="00610B1B">
        <w:rPr>
          <w:rFonts w:ascii="Times New Roman" w:hAnsi="Times New Roman" w:cs="Times New Roman"/>
          <w:i/>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 xml:space="preserve">– в едноименния комплекс в гр. Варна, </w:t>
      </w:r>
      <w:r w:rsidR="006F4F8F" w:rsidRPr="00610B1B">
        <w:rPr>
          <w:rFonts w:ascii="Times New Roman" w:hAnsi="Times New Roman" w:cs="Times New Roman"/>
          <w:color w:val="000000" w:themeColor="text1"/>
          <w:sz w:val="24"/>
          <w:szCs w:val="24"/>
          <w:lang w:val="bg-BG"/>
        </w:rPr>
        <w:t>представена с места</w:t>
      </w:r>
      <w:r w:rsidR="008753B6" w:rsidRPr="00610B1B">
        <w:rPr>
          <w:rFonts w:ascii="Times New Roman" w:hAnsi="Times New Roman" w:cs="Times New Roman"/>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 xml:space="preserve">за 17 яхти, </w:t>
      </w:r>
      <w:r w:rsidR="006F4F8F" w:rsidRPr="00610B1B">
        <w:rPr>
          <w:rFonts w:ascii="Times New Roman" w:hAnsi="Times New Roman" w:cs="Times New Roman"/>
          <w:color w:val="000000" w:themeColor="text1"/>
          <w:sz w:val="24"/>
          <w:szCs w:val="24"/>
          <w:lang w:val="bg-BG"/>
        </w:rPr>
        <w:t xml:space="preserve">използващи за целта </w:t>
      </w:r>
      <w:r w:rsidR="00775368" w:rsidRPr="00610B1B">
        <w:rPr>
          <w:rFonts w:ascii="Times New Roman" w:hAnsi="Times New Roman" w:cs="Times New Roman"/>
          <w:color w:val="000000" w:themeColor="text1"/>
          <w:sz w:val="24"/>
          <w:szCs w:val="24"/>
          <w:lang w:val="bg-BG"/>
        </w:rPr>
        <w:t xml:space="preserve">изградените </w:t>
      </w:r>
      <w:r w:rsidR="006F4F8F" w:rsidRPr="00610B1B">
        <w:rPr>
          <w:rFonts w:ascii="Times New Roman" w:hAnsi="Times New Roman" w:cs="Times New Roman"/>
          <w:color w:val="000000" w:themeColor="text1"/>
          <w:sz w:val="24"/>
          <w:szCs w:val="24"/>
          <w:lang w:val="bg-BG"/>
        </w:rPr>
        <w:t>брегозащитни съоръжения</w:t>
      </w:r>
      <w:r w:rsidRPr="00610B1B">
        <w:rPr>
          <w:rFonts w:ascii="Times New Roman" w:hAnsi="Times New Roman" w:cs="Times New Roman"/>
          <w:color w:val="000000" w:themeColor="text1"/>
          <w:sz w:val="24"/>
          <w:szCs w:val="24"/>
          <w:lang w:val="bg-BG"/>
        </w:rPr>
        <w:t>.</w:t>
      </w:r>
    </w:p>
    <w:p w14:paraId="602237B0" w14:textId="1F77175B" w:rsidR="00677160" w:rsidRPr="00610B1B" w:rsidRDefault="00677160" w:rsidP="00677160">
      <w:pPr>
        <w:pStyle w:val="ListParagraph"/>
        <w:numPr>
          <w:ilvl w:val="0"/>
          <w:numId w:val="11"/>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i/>
          <w:color w:val="000000" w:themeColor="text1"/>
          <w:sz w:val="24"/>
          <w:szCs w:val="24"/>
          <w:lang w:val="bg-BG"/>
        </w:rPr>
        <w:t>Пристан</w:t>
      </w:r>
      <w:r w:rsidR="00976746" w:rsidRPr="00610B1B">
        <w:rPr>
          <w:rFonts w:ascii="Times New Roman" w:hAnsi="Times New Roman" w:cs="Times New Roman"/>
          <w:i/>
          <w:color w:val="000000" w:themeColor="text1"/>
          <w:sz w:val="24"/>
          <w:szCs w:val="24"/>
          <w:lang w:val="bg-BG"/>
        </w:rPr>
        <w:t>ище</w:t>
      </w:r>
      <w:r w:rsidRPr="00610B1B">
        <w:rPr>
          <w:rFonts w:ascii="Times New Roman" w:hAnsi="Times New Roman" w:cs="Times New Roman"/>
          <w:i/>
          <w:color w:val="000000" w:themeColor="text1"/>
          <w:sz w:val="24"/>
          <w:szCs w:val="24"/>
          <w:lang w:val="bg-BG"/>
        </w:rPr>
        <w:t xml:space="preserve"> Евксиноград</w:t>
      </w:r>
      <w:r w:rsidRPr="00610B1B">
        <w:rPr>
          <w:rFonts w:ascii="Times New Roman" w:hAnsi="Times New Roman" w:cs="Times New Roman"/>
          <w:color w:val="000000" w:themeColor="text1"/>
          <w:sz w:val="24"/>
          <w:szCs w:val="24"/>
          <w:lang w:val="bg-BG"/>
        </w:rPr>
        <w:t xml:space="preserve"> – в правителствената резиденция, подходящ за официални визити, акостира се само с предварително разрешение. </w:t>
      </w:r>
    </w:p>
    <w:p w14:paraId="1BBF3B73" w14:textId="77777777" w:rsidR="00677160" w:rsidRPr="00610B1B" w:rsidRDefault="00677160" w:rsidP="00677160">
      <w:pPr>
        <w:pStyle w:val="ListParagraph"/>
        <w:numPr>
          <w:ilvl w:val="0"/>
          <w:numId w:val="11"/>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i/>
          <w:color w:val="000000" w:themeColor="text1"/>
          <w:sz w:val="24"/>
          <w:szCs w:val="24"/>
          <w:lang w:val="bg-BG"/>
        </w:rPr>
        <w:lastRenderedPageBreak/>
        <w:t>Пристанище „Варна“</w:t>
      </w:r>
      <w:r w:rsidRPr="00610B1B">
        <w:rPr>
          <w:rFonts w:ascii="Times New Roman" w:hAnsi="Times New Roman" w:cs="Times New Roman"/>
          <w:color w:val="000000" w:themeColor="text1"/>
          <w:sz w:val="24"/>
          <w:szCs w:val="24"/>
          <w:lang w:val="bg-BG"/>
        </w:rPr>
        <w:t xml:space="preserve"> – най-старото яхтено пристанище в България, разположено в пристанище „Варна-Изток”, където има и яхт клуб. Пристанището предлага всички услуги, включително граничен контрол, ремонт на яхти и яхтен магазин. Северно от пристанището има и няколко буни със съоръжения за връзване и приставане, но неподходящи за постоянно домуване.</w:t>
      </w:r>
    </w:p>
    <w:p w14:paraId="12585C75" w14:textId="77777777" w:rsidR="00677160" w:rsidRPr="00610B1B" w:rsidRDefault="00677160" w:rsidP="00677160">
      <w:pPr>
        <w:pStyle w:val="ListParagraph"/>
        <w:numPr>
          <w:ilvl w:val="0"/>
          <w:numId w:val="11"/>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i/>
          <w:color w:val="000000" w:themeColor="text1"/>
          <w:sz w:val="24"/>
          <w:szCs w:val="24"/>
          <w:lang w:val="bg-BG"/>
        </w:rPr>
        <w:t>Стоянки във Варненското езеро</w:t>
      </w:r>
      <w:r w:rsidRPr="00610B1B">
        <w:rPr>
          <w:rFonts w:ascii="Times New Roman" w:hAnsi="Times New Roman" w:cs="Times New Roman"/>
          <w:color w:val="000000" w:themeColor="text1"/>
          <w:sz w:val="24"/>
          <w:szCs w:val="24"/>
          <w:lang w:val="bg-BG"/>
        </w:rPr>
        <w:t xml:space="preserve"> – </w:t>
      </w:r>
      <w:r w:rsidRPr="00610B1B">
        <w:rPr>
          <w:rFonts w:ascii="Times New Roman" w:hAnsi="Times New Roman" w:cs="Times New Roman"/>
          <w:i/>
          <w:iCs/>
          <w:color w:val="000000" w:themeColor="text1"/>
          <w:sz w:val="24"/>
          <w:szCs w:val="24"/>
          <w:lang w:val="bg-BG"/>
        </w:rPr>
        <w:t>Пристани „Флотски арсенал</w:t>
      </w:r>
      <w:r w:rsidRPr="00610B1B">
        <w:rPr>
          <w:rFonts w:ascii="Times New Roman" w:hAnsi="Times New Roman" w:cs="Times New Roman"/>
          <w:color w:val="000000" w:themeColor="text1"/>
          <w:sz w:val="24"/>
          <w:szCs w:val="24"/>
          <w:lang w:val="bg-BG"/>
        </w:rPr>
        <w:t>“ и „</w:t>
      </w:r>
      <w:r w:rsidRPr="00610B1B">
        <w:rPr>
          <w:rFonts w:ascii="Times New Roman" w:hAnsi="Times New Roman" w:cs="Times New Roman"/>
          <w:i/>
          <w:iCs/>
          <w:color w:val="000000" w:themeColor="text1"/>
          <w:sz w:val="24"/>
          <w:szCs w:val="24"/>
          <w:lang w:val="bg-BG"/>
        </w:rPr>
        <w:t>Бриз- БМФ</w:t>
      </w:r>
      <w:r w:rsidRPr="00610B1B">
        <w:rPr>
          <w:rFonts w:ascii="Times New Roman" w:hAnsi="Times New Roman" w:cs="Times New Roman"/>
          <w:color w:val="000000" w:themeColor="text1"/>
          <w:sz w:val="24"/>
          <w:szCs w:val="24"/>
          <w:lang w:val="bg-BG"/>
        </w:rPr>
        <w:t>“ с капацитет по 6 лодки;</w:t>
      </w:r>
    </w:p>
    <w:p w14:paraId="62DFB863" w14:textId="77777777" w:rsidR="00677160" w:rsidRPr="00610B1B" w:rsidRDefault="00677160" w:rsidP="00677160">
      <w:pPr>
        <w:pStyle w:val="ListParagraph"/>
        <w:numPr>
          <w:ilvl w:val="0"/>
          <w:numId w:val="13"/>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i/>
          <w:color w:val="000000" w:themeColor="text1"/>
          <w:sz w:val="24"/>
          <w:szCs w:val="24"/>
          <w:lang w:val="bg-BG"/>
        </w:rPr>
        <w:t>Пристанище Поморие</w:t>
      </w:r>
      <w:r w:rsidRPr="00610B1B">
        <w:rPr>
          <w:rFonts w:ascii="Times New Roman" w:hAnsi="Times New Roman" w:cs="Times New Roman"/>
          <w:color w:val="000000" w:themeColor="text1"/>
          <w:sz w:val="24"/>
          <w:szCs w:val="24"/>
          <w:lang w:val="bg-BG"/>
        </w:rPr>
        <w:t xml:space="preserve"> – защитено е от силен вятър, освен от югозапад. Използва се за стоянка на яхти и малки корабчета. В миналото е било и пристан за комети.</w:t>
      </w:r>
    </w:p>
    <w:p w14:paraId="3BB19D89" w14:textId="77777777" w:rsidR="00677160" w:rsidRPr="00610B1B" w:rsidRDefault="00677160" w:rsidP="00677160">
      <w:pPr>
        <w:pStyle w:val="ListParagraph"/>
        <w:numPr>
          <w:ilvl w:val="0"/>
          <w:numId w:val="13"/>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i/>
          <w:color w:val="000000" w:themeColor="text1"/>
          <w:sz w:val="24"/>
          <w:szCs w:val="24"/>
          <w:lang w:val="bg-BG"/>
        </w:rPr>
        <w:t>Яхт клуб Порт Бургас</w:t>
      </w:r>
      <w:r w:rsidRPr="00610B1B">
        <w:rPr>
          <w:rFonts w:ascii="Times New Roman" w:hAnsi="Times New Roman" w:cs="Times New Roman"/>
          <w:color w:val="000000" w:themeColor="text1"/>
          <w:sz w:val="24"/>
          <w:szCs w:val="24"/>
          <w:lang w:val="bg-BG"/>
        </w:rPr>
        <w:t xml:space="preserve"> – подобно на варненската марина, и бургаската се намира в рамките на търговското пристанище. Разполага с пълен комплект услуги, включително ремонтни дейности и граничен контрол. От 2017 г., стартира програма за начално обучение по ветроходство – в рамките на програмата „Спорт за децата в свободното време“ на Министерство на младежта и спорта. </w:t>
      </w:r>
    </w:p>
    <w:p w14:paraId="27F55601" w14:textId="77777777" w:rsidR="00677160" w:rsidRPr="00610B1B" w:rsidRDefault="00677160" w:rsidP="00677160">
      <w:pPr>
        <w:pStyle w:val="ListParagraph"/>
        <w:numPr>
          <w:ilvl w:val="0"/>
          <w:numId w:val="13"/>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i/>
          <w:color w:val="000000" w:themeColor="text1"/>
          <w:sz w:val="24"/>
          <w:szCs w:val="24"/>
          <w:lang w:val="bg-BG"/>
        </w:rPr>
        <w:t>Яхт клуб „Нефтохим“</w:t>
      </w:r>
      <w:r w:rsidRPr="00610B1B">
        <w:rPr>
          <w:rFonts w:ascii="Times New Roman" w:hAnsi="Times New Roman" w:cs="Times New Roman"/>
          <w:color w:val="000000" w:themeColor="text1"/>
          <w:sz w:val="24"/>
          <w:szCs w:val="24"/>
          <w:lang w:val="bg-BG"/>
        </w:rPr>
        <w:t xml:space="preserve"> – принадлежи на нефтохимическия комбинат и в него също може да се извършва ремонт, разполага и с кран.</w:t>
      </w:r>
    </w:p>
    <w:p w14:paraId="09F137E9" w14:textId="576468C5" w:rsidR="00677160" w:rsidRPr="00610B1B" w:rsidRDefault="00677160" w:rsidP="00677160">
      <w:pPr>
        <w:pStyle w:val="ListParagraph"/>
        <w:numPr>
          <w:ilvl w:val="0"/>
          <w:numId w:val="13"/>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i/>
          <w:color w:val="000000" w:themeColor="text1"/>
          <w:sz w:val="24"/>
          <w:szCs w:val="24"/>
          <w:lang w:val="bg-BG"/>
        </w:rPr>
        <w:t>Комплекс Перла</w:t>
      </w:r>
      <w:r w:rsidRPr="00610B1B">
        <w:rPr>
          <w:rFonts w:ascii="Times New Roman" w:hAnsi="Times New Roman" w:cs="Times New Roman"/>
          <w:color w:val="000000" w:themeColor="text1"/>
          <w:sz w:val="24"/>
          <w:szCs w:val="24"/>
          <w:lang w:val="bg-BG"/>
        </w:rPr>
        <w:t xml:space="preserve"> – в момента кеят при бившата резиденция не е подходящ за яхти, защото мястото е много плитко. Могат да влизат само съдове с газене под 2</w:t>
      </w:r>
      <w:r w:rsidR="008753B6" w:rsidRPr="00610B1B">
        <w:rPr>
          <w:rFonts w:ascii="Times New Roman" w:hAnsi="Times New Roman" w:cs="Times New Roman"/>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m, при това, стоянката е подходяща само за временно швартоване.</w:t>
      </w:r>
    </w:p>
    <w:p w14:paraId="05FAAD6E" w14:textId="178660D5" w:rsidR="00677160" w:rsidRPr="00610B1B" w:rsidRDefault="00677160" w:rsidP="00677160">
      <w:pPr>
        <w:pStyle w:val="ListParagraph"/>
        <w:numPr>
          <w:ilvl w:val="0"/>
          <w:numId w:val="13"/>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i/>
          <w:color w:val="000000" w:themeColor="text1"/>
          <w:sz w:val="24"/>
          <w:szCs w:val="24"/>
          <w:lang w:val="bg-BG"/>
        </w:rPr>
        <w:t>Пристан</w:t>
      </w:r>
      <w:r w:rsidR="00976746" w:rsidRPr="00610B1B">
        <w:rPr>
          <w:rFonts w:ascii="Times New Roman" w:hAnsi="Times New Roman" w:cs="Times New Roman"/>
          <w:i/>
          <w:color w:val="000000" w:themeColor="text1"/>
          <w:sz w:val="24"/>
          <w:szCs w:val="24"/>
          <w:lang w:val="bg-BG"/>
        </w:rPr>
        <w:t>ище</w:t>
      </w:r>
      <w:r w:rsidRPr="00610B1B">
        <w:rPr>
          <w:rFonts w:ascii="Times New Roman" w:hAnsi="Times New Roman" w:cs="Times New Roman"/>
          <w:i/>
          <w:color w:val="000000" w:themeColor="text1"/>
          <w:sz w:val="24"/>
          <w:szCs w:val="24"/>
          <w:lang w:val="bg-BG"/>
        </w:rPr>
        <w:t xml:space="preserve"> Приморско</w:t>
      </w:r>
      <w:r w:rsidRPr="00610B1B">
        <w:rPr>
          <w:rFonts w:ascii="Times New Roman" w:hAnsi="Times New Roman" w:cs="Times New Roman"/>
          <w:color w:val="000000" w:themeColor="text1"/>
          <w:sz w:val="24"/>
          <w:szCs w:val="24"/>
          <w:lang w:val="bg-BG"/>
        </w:rPr>
        <w:t xml:space="preserve"> – кеят му не е голям и не позволява едновременно връзване на много съдове, но има възможност за приставане на яхти. Реално се ползва предимно от рибарски лодки.</w:t>
      </w:r>
    </w:p>
    <w:p w14:paraId="7CDC08E2" w14:textId="77777777" w:rsidR="00677160" w:rsidRPr="00610B1B" w:rsidRDefault="00677160" w:rsidP="00677160">
      <w:pPr>
        <w:pStyle w:val="ListParagraph"/>
        <w:numPr>
          <w:ilvl w:val="0"/>
          <w:numId w:val="13"/>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i/>
          <w:color w:val="000000" w:themeColor="text1"/>
          <w:sz w:val="24"/>
          <w:szCs w:val="24"/>
          <w:lang w:val="bg-BG"/>
        </w:rPr>
        <w:t>Пристанище Царево</w:t>
      </w:r>
      <w:r w:rsidRPr="00610B1B">
        <w:rPr>
          <w:rFonts w:ascii="Times New Roman" w:hAnsi="Times New Roman" w:cs="Times New Roman"/>
          <w:color w:val="000000" w:themeColor="text1"/>
          <w:sz w:val="24"/>
          <w:szCs w:val="24"/>
          <w:lang w:val="bg-BG"/>
        </w:rPr>
        <w:t xml:space="preserve"> – най-южната марина с капацитет над 100 съда, в която може да се уреждат граничните формалности на съдовете, влизащи или напускащи акваторията на България. Сериозен недостатък е липсата на възможност за зареждане с гориво.</w:t>
      </w:r>
    </w:p>
    <w:p w14:paraId="204DC196" w14:textId="77777777" w:rsidR="00677160" w:rsidRPr="00610B1B" w:rsidRDefault="00677160" w:rsidP="00677160">
      <w:pPr>
        <w:pStyle w:val="ListParagraph"/>
        <w:numPr>
          <w:ilvl w:val="0"/>
          <w:numId w:val="13"/>
        </w:numPr>
        <w:spacing w:after="120"/>
        <w:ind w:right="-153"/>
        <w:contextualSpacing w:val="0"/>
        <w:jc w:val="both"/>
        <w:rPr>
          <w:rFonts w:ascii="Times New Roman" w:hAnsi="Times New Roman" w:cs="Times New Roman"/>
          <w:color w:val="000000" w:themeColor="text1"/>
          <w:sz w:val="24"/>
          <w:szCs w:val="24"/>
          <w:lang w:val="bg-BG"/>
        </w:rPr>
      </w:pPr>
      <w:r w:rsidRPr="00610B1B">
        <w:rPr>
          <w:rFonts w:ascii="Times New Roman" w:hAnsi="Times New Roman" w:cs="Times New Roman"/>
          <w:i/>
          <w:color w:val="000000" w:themeColor="text1"/>
          <w:sz w:val="24"/>
          <w:szCs w:val="24"/>
          <w:lang w:val="bg-BG"/>
        </w:rPr>
        <w:t>Котвена стоянка Ахтопол</w:t>
      </w:r>
      <w:r w:rsidRPr="00610B1B">
        <w:rPr>
          <w:rFonts w:ascii="Times New Roman" w:hAnsi="Times New Roman" w:cs="Times New Roman"/>
          <w:color w:val="000000" w:themeColor="text1"/>
          <w:sz w:val="24"/>
          <w:szCs w:val="24"/>
          <w:lang w:val="bg-BG"/>
        </w:rPr>
        <w:t xml:space="preserve"> – най-южното място с възможност за заставане на кей (в случая мост), заливът на Ахтопол предлага добри условия за заставане на котва.</w:t>
      </w:r>
    </w:p>
    <w:p w14:paraId="01F64046" w14:textId="7C6F692A" w:rsidR="00043308" w:rsidRPr="00610B1B" w:rsidRDefault="000B71B9"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Мно</w:t>
      </w:r>
      <w:bookmarkStart w:id="368" w:name="_Hlk28529257"/>
      <w:r w:rsidRPr="00610B1B">
        <w:rPr>
          <w:rFonts w:ascii="Times New Roman" w:hAnsi="Times New Roman" w:cs="Times New Roman"/>
          <w:sz w:val="24"/>
          <w:szCs w:val="24"/>
          <w:lang w:val="bg-BG"/>
        </w:rPr>
        <w:t>же</w:t>
      </w:r>
      <w:bookmarkEnd w:id="368"/>
      <w:r w:rsidRPr="00610B1B">
        <w:rPr>
          <w:rFonts w:ascii="Times New Roman" w:hAnsi="Times New Roman" w:cs="Times New Roman"/>
          <w:sz w:val="24"/>
          <w:szCs w:val="24"/>
          <w:lang w:val="bg-BG"/>
        </w:rPr>
        <w:t xml:space="preserve">ството </w:t>
      </w:r>
      <w:r w:rsidR="00043308" w:rsidRPr="00610B1B">
        <w:rPr>
          <w:rFonts w:ascii="Times New Roman" w:hAnsi="Times New Roman" w:cs="Times New Roman"/>
          <w:sz w:val="24"/>
          <w:szCs w:val="24"/>
          <w:lang w:val="bg-BG"/>
        </w:rPr>
        <w:t>яхтени стоянки, разположени почти равномерно по цялото ни крайбрежие, предоставят добри условия за цялостни турове по море с посещение на всички забележителни части на българския черноморски бряг. През последните години яхтеният туризъм в България става все по-популярен</w:t>
      </w:r>
      <w:r w:rsidR="00965D79" w:rsidRPr="00610B1B">
        <w:rPr>
          <w:rFonts w:ascii="Times New Roman" w:hAnsi="Times New Roman" w:cs="Times New Roman"/>
          <w:sz w:val="24"/>
          <w:szCs w:val="24"/>
          <w:lang w:val="bg-BG"/>
        </w:rPr>
        <w:t xml:space="preserve">, но все още е във фаза на начално развитие. Потенциалът </w:t>
      </w:r>
      <w:r w:rsidR="00043308" w:rsidRPr="00610B1B">
        <w:rPr>
          <w:rFonts w:ascii="Times New Roman" w:hAnsi="Times New Roman" w:cs="Times New Roman"/>
          <w:sz w:val="24"/>
          <w:szCs w:val="24"/>
          <w:lang w:val="bg-BG"/>
        </w:rPr>
        <w:t>е безспорен и обнадеждаващ. Българското Черноморие предлага силни съчетания от атрактивни ландшафти, културно-исторически ценности, отлични условия за плажуване, много атракции, прилична яхтена инфраструктура и услуги. Всичко това е предпоставка за осезателното му развитие в близко бъдеще.</w:t>
      </w:r>
      <w:r w:rsidR="00133370" w:rsidRPr="00610B1B">
        <w:rPr>
          <w:rFonts w:ascii="Times New Roman" w:hAnsi="Times New Roman" w:cs="Times New Roman"/>
          <w:sz w:val="24"/>
          <w:szCs w:val="24"/>
          <w:lang w:val="bg-BG"/>
        </w:rPr>
        <w:t xml:space="preserve"> </w:t>
      </w:r>
    </w:p>
    <w:p w14:paraId="4A68222C" w14:textId="298CAF6D" w:rsidR="00D91351" w:rsidRPr="00610B1B" w:rsidRDefault="00D91351" w:rsidP="00D91351">
      <w:pPr>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инвестиционната програма на Д</w:t>
      </w:r>
      <w:r w:rsidR="000A31CC" w:rsidRPr="00610B1B">
        <w:rPr>
          <w:rFonts w:ascii="Times New Roman" w:hAnsi="Times New Roman" w:cs="Times New Roman"/>
          <w:sz w:val="24"/>
          <w:szCs w:val="24"/>
          <w:lang w:val="bg-BG"/>
        </w:rPr>
        <w:t>П</w:t>
      </w:r>
      <w:r w:rsidRPr="00610B1B">
        <w:rPr>
          <w:rFonts w:ascii="Times New Roman" w:hAnsi="Times New Roman" w:cs="Times New Roman"/>
          <w:sz w:val="24"/>
          <w:szCs w:val="24"/>
          <w:lang w:val="bg-BG"/>
        </w:rPr>
        <w:t xml:space="preserve"> </w:t>
      </w:r>
      <w:r w:rsidR="0074232E"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Пристанищна инфраструктура</w:t>
      </w:r>
      <w:r w:rsidR="0074232E"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е заложен обект за проектиране и изграждане на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яхтени зони в градовете Варна и Бургас. За град Варна е предвидено изграждането на две яхтени зони – едната на територията на пристанищен терминал Варна-изток, на 1-во, 2-ро и 3-то корабни места, в тила на които вече е </w:t>
      </w:r>
      <w:r w:rsidRPr="00610B1B">
        <w:rPr>
          <w:rFonts w:ascii="Times New Roman" w:hAnsi="Times New Roman" w:cs="Times New Roman"/>
          <w:sz w:val="24"/>
          <w:szCs w:val="24"/>
          <w:lang w:val="bg-BG"/>
        </w:rPr>
        <w:lastRenderedPageBreak/>
        <w:t>обособена Зона за обществен достъп.</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Втората яхтена зона се предвижда да бъде</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изградена в съществуващата база СНО на ДППИ, разположена на плавателния Канал 1, източно от Аспаруховия мост. За Бургас се предвижда изграждането на една яхтена зона на терминал Бургас-изток 1 в обхвата на 3–то до</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9-то корабни места. Проектът за нейното изграждане ще предвиди необходимите съоръжения за приставане и домуване на различни типове яхти, съобразени и с бреговата инфраструктура.</w:t>
      </w:r>
    </w:p>
    <w:p w14:paraId="7324B0E5" w14:textId="52946B52" w:rsidR="00043308" w:rsidRPr="00610B1B" w:rsidRDefault="0004330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Независимо от отчетените добри показатели и тенденции, Черноморското крайбрежие разполага с нереализиран потенциал </w:t>
      </w:r>
      <w:r w:rsidR="00BF7836" w:rsidRPr="00610B1B">
        <w:rPr>
          <w:rFonts w:ascii="Times New Roman" w:hAnsi="Times New Roman" w:cs="Times New Roman"/>
          <w:sz w:val="24"/>
          <w:szCs w:val="24"/>
          <w:lang w:val="bg-BG"/>
        </w:rPr>
        <w:t>за</w:t>
      </w:r>
      <w:r w:rsidRPr="00610B1B">
        <w:rPr>
          <w:rFonts w:ascii="Times New Roman" w:hAnsi="Times New Roman" w:cs="Times New Roman"/>
          <w:sz w:val="24"/>
          <w:szCs w:val="24"/>
          <w:lang w:val="bg-BG"/>
        </w:rPr>
        <w:t xml:space="preserve"> настаняване, особено във висококатегорийни места за настаняване. Незапълненият капацитет се дължи на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непреодоляната сезонност на черноморския</w:t>
      </w:r>
      <w:r w:rsidR="00E2145D"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в частност на българския туризъм. Усилията за диверсифициране на туристическия продукт и удължаване на активния сезон са актуална цел на националната туристическа политика. Очакваните резултати са по-висока заетост на местата за настаняване, повече приходи и повишени възможности за конкурентоспособност и устойчиво развитие на дестинациите.</w:t>
      </w:r>
    </w:p>
    <w:p w14:paraId="61A330D5" w14:textId="3BD7DCB6" w:rsidR="00043308" w:rsidRPr="00610B1B" w:rsidRDefault="00832FA5"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Морският </w:t>
      </w:r>
      <w:r w:rsidR="00043308" w:rsidRPr="00610B1B">
        <w:rPr>
          <w:rFonts w:ascii="Times New Roman" w:hAnsi="Times New Roman" w:cs="Times New Roman"/>
          <w:sz w:val="24"/>
          <w:szCs w:val="24"/>
          <w:lang w:val="bg-BG"/>
        </w:rPr>
        <w:t>рекреативен туристически продукт е ориентиран към сегмента на нискобюджетните потребители</w:t>
      </w:r>
      <w:r w:rsidRPr="00610B1B">
        <w:rPr>
          <w:rFonts w:ascii="Times New Roman" w:hAnsi="Times New Roman" w:cs="Times New Roman"/>
          <w:sz w:val="24"/>
          <w:szCs w:val="24"/>
          <w:lang w:val="bg-BG"/>
        </w:rPr>
        <w:t xml:space="preserve"> на външните пазари</w:t>
      </w:r>
      <w:r w:rsidR="00043308" w:rsidRPr="00610B1B">
        <w:rPr>
          <w:rFonts w:ascii="Times New Roman" w:hAnsi="Times New Roman" w:cs="Times New Roman"/>
          <w:sz w:val="24"/>
          <w:szCs w:val="24"/>
          <w:lang w:val="bg-BG"/>
        </w:rPr>
        <w:t>, обвързани с нискобюджетните продуктови марки на туроператорите. Предлагането се осъществява основно по модела „всичко включено в цената” (all inclusive) и е ориентирано най-вече към Германия, Великобритания, Скандинавските страни, Полша, Украйна, Молдова и Румъния. Това води до ниски приходи на легло и туристоден. На пазари като Русия, Израел и Иран, предлагането привлича туристи със сравнително по-висока платежоспособност.</w:t>
      </w:r>
    </w:p>
    <w:p w14:paraId="4C954E18" w14:textId="0EA241AC" w:rsidR="00043308" w:rsidRPr="00610B1B" w:rsidRDefault="0004330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През последните години се наблюдава тенденция към обвързване на туристическите оферти в повечето морски курорти с младежки целеви групи, привлечени от възможностите за забавления. Съпътстващото шумово замърсяване води до отлив на други потенциални клиенти - туристи от третата възраст и семейства с деца.</w:t>
      </w:r>
    </w:p>
    <w:p w14:paraId="1F421ECA" w14:textId="22A596C2" w:rsidR="00043308" w:rsidRPr="00610B1B" w:rsidRDefault="0004330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Обобщено, </w:t>
      </w:r>
      <w:r w:rsidRPr="00610B1B">
        <w:rPr>
          <w:rFonts w:ascii="Times New Roman" w:hAnsi="Times New Roman" w:cs="Times New Roman"/>
          <w:bCs/>
          <w:sz w:val="24"/>
          <w:szCs w:val="24"/>
          <w:lang w:val="bg-BG"/>
        </w:rPr>
        <w:t>силните страни</w:t>
      </w:r>
      <w:r w:rsidRPr="00610B1B">
        <w:rPr>
          <w:rFonts w:ascii="Times New Roman" w:hAnsi="Times New Roman" w:cs="Times New Roman"/>
          <w:sz w:val="24"/>
          <w:szCs w:val="24"/>
          <w:lang w:val="bg-BG"/>
        </w:rPr>
        <w:t xml:space="preserve"> на българския морски туризъм се свеждат до</w:t>
      </w:r>
      <w:r w:rsidR="00832FA5" w:rsidRPr="00610B1B">
        <w:rPr>
          <w:rFonts w:ascii="Times New Roman" w:hAnsi="Times New Roman" w:cs="Times New Roman"/>
          <w:sz w:val="24"/>
          <w:szCs w:val="24"/>
          <w:lang w:val="bg-BG"/>
        </w:rPr>
        <w:t xml:space="preserve"> р</w:t>
      </w:r>
      <w:r w:rsidRPr="00610B1B">
        <w:rPr>
          <w:rFonts w:ascii="Times New Roman" w:hAnsi="Times New Roman" w:cs="Times New Roman"/>
          <w:sz w:val="24"/>
          <w:szCs w:val="24"/>
          <w:lang w:val="bg-BG"/>
        </w:rPr>
        <w:t>азнообразие, атрактивност и достъпност на Черноморското крайбрежие;</w:t>
      </w:r>
      <w:r w:rsidR="00832FA5" w:rsidRPr="00610B1B">
        <w:rPr>
          <w:rFonts w:ascii="Times New Roman" w:hAnsi="Times New Roman" w:cs="Times New Roman"/>
          <w:sz w:val="24"/>
          <w:szCs w:val="24"/>
          <w:lang w:val="bg-BG"/>
        </w:rPr>
        <w:t xml:space="preserve"> д</w:t>
      </w:r>
      <w:r w:rsidRPr="00610B1B">
        <w:rPr>
          <w:rFonts w:ascii="Times New Roman" w:hAnsi="Times New Roman" w:cs="Times New Roman"/>
          <w:sz w:val="24"/>
          <w:szCs w:val="24"/>
          <w:lang w:val="bg-BG"/>
        </w:rPr>
        <w:t>огонващо развитие на техническата инфраструктура;</w:t>
      </w:r>
      <w:r w:rsidR="00832FA5" w:rsidRPr="00610B1B">
        <w:rPr>
          <w:rFonts w:ascii="Times New Roman" w:hAnsi="Times New Roman" w:cs="Times New Roman"/>
          <w:sz w:val="24"/>
          <w:szCs w:val="24"/>
          <w:lang w:val="bg-BG"/>
        </w:rPr>
        <w:t xml:space="preserve"> д</w:t>
      </w:r>
      <w:r w:rsidRPr="00610B1B">
        <w:rPr>
          <w:rFonts w:ascii="Times New Roman" w:hAnsi="Times New Roman" w:cs="Times New Roman"/>
          <w:sz w:val="24"/>
          <w:szCs w:val="24"/>
          <w:lang w:val="bg-BG"/>
        </w:rPr>
        <w:t>обре контролирано стопанисване на плажовете;</w:t>
      </w:r>
      <w:r w:rsidR="00832FA5" w:rsidRPr="00610B1B">
        <w:rPr>
          <w:rFonts w:ascii="Times New Roman" w:hAnsi="Times New Roman" w:cs="Times New Roman"/>
          <w:sz w:val="24"/>
          <w:szCs w:val="24"/>
          <w:lang w:val="bg-BG"/>
        </w:rPr>
        <w:t xml:space="preserve"> и р</w:t>
      </w:r>
      <w:r w:rsidRPr="00610B1B">
        <w:rPr>
          <w:rFonts w:ascii="Times New Roman" w:hAnsi="Times New Roman" w:cs="Times New Roman"/>
          <w:sz w:val="24"/>
          <w:szCs w:val="24"/>
          <w:lang w:val="bg-BG"/>
        </w:rPr>
        <w:t>азнообразяване на предлаганите услуги.</w:t>
      </w:r>
    </w:p>
    <w:p w14:paraId="46A3EDFE" w14:textId="734803A6" w:rsidR="00043308" w:rsidRPr="00610B1B" w:rsidRDefault="0004330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Сред основните </w:t>
      </w:r>
      <w:r w:rsidRPr="00610B1B">
        <w:rPr>
          <w:rFonts w:ascii="Times New Roman" w:hAnsi="Times New Roman" w:cs="Times New Roman"/>
          <w:bCs/>
          <w:sz w:val="24"/>
          <w:szCs w:val="24"/>
          <w:lang w:val="bg-BG"/>
        </w:rPr>
        <w:t>слаби страни</w:t>
      </w:r>
      <w:r w:rsidRPr="00610B1B">
        <w:rPr>
          <w:rFonts w:ascii="Times New Roman" w:hAnsi="Times New Roman" w:cs="Times New Roman"/>
          <w:sz w:val="24"/>
          <w:szCs w:val="24"/>
          <w:lang w:val="bg-BG"/>
        </w:rPr>
        <w:t xml:space="preserve"> на коментирания продукт са прекомерното застрояване (вкл. незаконно строителство), претоварването на туристическите ресурси, свлачищните процеси, проблемната организация на ползването и туристическото обслужване на плажовете, замърсяването на околната среда и водите, недостатъчно развитата инфраструктура между и в туристическите места, високото ниво на шум, ниското качество на питейната вода на някои места, безопасността и сигурността на туристите.</w:t>
      </w:r>
    </w:p>
    <w:p w14:paraId="19EE1579" w14:textId="70B1619C" w:rsidR="00043308" w:rsidRPr="00610B1B" w:rsidRDefault="00832FA5"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Остават недокрай изследвани възможностите за съпътстващи</w:t>
      </w:r>
      <w:r w:rsidR="00DD35B2"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рекреационни и спортни дейности, осъществява</w:t>
      </w:r>
      <w:r w:rsidR="00DD35B2" w:rsidRPr="00610B1B">
        <w:rPr>
          <w:rFonts w:ascii="Times New Roman" w:hAnsi="Times New Roman" w:cs="Times New Roman"/>
          <w:sz w:val="24"/>
          <w:szCs w:val="24"/>
          <w:lang w:val="bg-BG"/>
        </w:rPr>
        <w:t>ни</w:t>
      </w:r>
      <w:r w:rsidRPr="00610B1B">
        <w:rPr>
          <w:rFonts w:ascii="Times New Roman" w:hAnsi="Times New Roman" w:cs="Times New Roman"/>
          <w:sz w:val="24"/>
          <w:szCs w:val="24"/>
          <w:lang w:val="bg-BG"/>
        </w:rPr>
        <w:t xml:space="preserve"> в морските пространства, за които все още няма традиции и информация. Това обхваща плуване, гмуркане, подводен риболов, водолазни спортове, изследване на подводното културно наследство, разходки с </w:t>
      </w:r>
      <w:r w:rsidR="006011C0" w:rsidRPr="00610B1B">
        <w:rPr>
          <w:rFonts w:ascii="Times New Roman" w:hAnsi="Times New Roman" w:cs="Times New Roman"/>
          <w:sz w:val="24"/>
          <w:szCs w:val="24"/>
          <w:lang w:val="bg-BG"/>
        </w:rPr>
        <w:t>яхти</w:t>
      </w:r>
      <w:r w:rsidRPr="00610B1B">
        <w:rPr>
          <w:rFonts w:ascii="Times New Roman" w:hAnsi="Times New Roman" w:cs="Times New Roman"/>
          <w:sz w:val="24"/>
          <w:szCs w:val="24"/>
          <w:lang w:val="bg-BG"/>
        </w:rPr>
        <w:t>, скутери и лодки, водни атракции в морето.</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Именно за тях в </w:t>
      </w:r>
      <w:r w:rsidR="00DD35B2" w:rsidRPr="00610B1B">
        <w:rPr>
          <w:rFonts w:ascii="Times New Roman" w:hAnsi="Times New Roman" w:cs="Times New Roman"/>
          <w:sz w:val="24"/>
          <w:szCs w:val="24"/>
          <w:lang w:val="bg-BG"/>
        </w:rPr>
        <w:t>МППРБ</w:t>
      </w:r>
      <w:r w:rsidRPr="00610B1B">
        <w:rPr>
          <w:rFonts w:ascii="Times New Roman" w:hAnsi="Times New Roman" w:cs="Times New Roman"/>
          <w:sz w:val="24"/>
          <w:szCs w:val="24"/>
          <w:lang w:val="bg-BG"/>
        </w:rPr>
        <w:t xml:space="preserve"> трябва да се предвиди пространство. </w:t>
      </w:r>
    </w:p>
    <w:p w14:paraId="38B471E0" w14:textId="77777777" w:rsidR="002F6792" w:rsidRPr="00610B1B" w:rsidRDefault="002F6792" w:rsidP="00D32D6A">
      <w:pPr>
        <w:spacing w:after="120"/>
        <w:ind w:right="-153"/>
        <w:jc w:val="both"/>
        <w:rPr>
          <w:rFonts w:ascii="Times New Roman" w:hAnsi="Times New Roman" w:cs="Times New Roman"/>
          <w:sz w:val="24"/>
          <w:szCs w:val="24"/>
          <w:lang w:val="bg-BG"/>
        </w:rPr>
      </w:pPr>
    </w:p>
    <w:p w14:paraId="5DBA8185" w14:textId="4FB0BE98" w:rsidR="00043308" w:rsidRPr="00610B1B" w:rsidRDefault="00832FA5" w:rsidP="00D32D6A">
      <w:pPr>
        <w:pStyle w:val="Heading3"/>
        <w:spacing w:before="0" w:line="276" w:lineRule="auto"/>
        <w:ind w:right="-153"/>
        <w:rPr>
          <w:rFonts w:cs="Times New Roman"/>
        </w:rPr>
      </w:pPr>
      <w:bookmarkStart w:id="369" w:name="_Toc83391384"/>
      <w:r w:rsidRPr="00610B1B">
        <w:rPr>
          <w:rFonts w:cs="Times New Roman"/>
        </w:rPr>
        <w:lastRenderedPageBreak/>
        <w:t>3</w:t>
      </w:r>
      <w:r w:rsidR="00BF7836" w:rsidRPr="00610B1B">
        <w:rPr>
          <w:rFonts w:cs="Times New Roman"/>
        </w:rPr>
        <w:t>.</w:t>
      </w:r>
      <w:r w:rsidR="00BF0D18" w:rsidRPr="00610B1B">
        <w:rPr>
          <w:rFonts w:cs="Times New Roman"/>
        </w:rPr>
        <w:t>3</w:t>
      </w:r>
      <w:r w:rsidR="00043308" w:rsidRPr="00610B1B">
        <w:rPr>
          <w:rFonts w:cs="Times New Roman"/>
        </w:rPr>
        <w:t>.</w:t>
      </w:r>
      <w:r w:rsidRPr="00610B1B">
        <w:rPr>
          <w:rFonts w:cs="Times New Roman"/>
        </w:rPr>
        <w:t>4</w:t>
      </w:r>
      <w:r w:rsidR="00043308" w:rsidRPr="00610B1B">
        <w:rPr>
          <w:rFonts w:cs="Times New Roman"/>
        </w:rPr>
        <w:t>. Икономически измерения на туризма</w:t>
      </w:r>
      <w:bookmarkEnd w:id="369"/>
    </w:p>
    <w:p w14:paraId="4B463946" w14:textId="5C0D00BF" w:rsidR="00D82FF2" w:rsidRPr="00610B1B" w:rsidRDefault="0004330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Съгласно последния доклад на Световния съвет за пътувания и туризъм (WTTC</w:t>
      </w:r>
      <w:r w:rsidRPr="00610B1B">
        <w:rPr>
          <w:rStyle w:val="FootnoteReference"/>
          <w:rFonts w:ascii="Times New Roman" w:hAnsi="Times New Roman" w:cs="Times New Roman"/>
          <w:sz w:val="24"/>
          <w:szCs w:val="24"/>
          <w:lang w:val="bg-BG"/>
        </w:rPr>
        <w:footnoteReference w:id="123"/>
      </w:r>
      <w:r w:rsidRPr="00610B1B">
        <w:rPr>
          <w:rFonts w:ascii="Times New Roman" w:hAnsi="Times New Roman" w:cs="Times New Roman"/>
          <w:sz w:val="24"/>
          <w:szCs w:val="24"/>
          <w:lang w:val="bg-BG"/>
        </w:rPr>
        <w:t xml:space="preserve">) от 2018 г. туризмът, който „ангажира едно на всеки десет работни места в света, е динамичен двигател на възможности за заетост“. Заедно с останалите икономически показатели това утвърждава значимата икономическа тежест на туристическия сектор и важността на туристическите политики в </w:t>
      </w:r>
      <w:r w:rsidRPr="00610B1B">
        <w:rPr>
          <w:rFonts w:ascii="Times New Roman" w:hAnsi="Times New Roman" w:cs="Times New Roman"/>
          <w:i/>
          <w:sz w:val="24"/>
          <w:szCs w:val="24"/>
          <w:lang w:val="bg-BG"/>
        </w:rPr>
        <w:t>глобален аспект</w:t>
      </w:r>
      <w:r w:rsidRPr="00610B1B">
        <w:rPr>
          <w:rFonts w:ascii="Times New Roman" w:hAnsi="Times New Roman" w:cs="Times New Roman"/>
          <w:sz w:val="24"/>
          <w:szCs w:val="24"/>
          <w:lang w:val="bg-BG"/>
        </w:rPr>
        <w:t xml:space="preserve">. </w:t>
      </w:r>
      <w:r w:rsidR="00220EA9" w:rsidRPr="00610B1B">
        <w:rPr>
          <w:rFonts w:ascii="Times New Roman" w:hAnsi="Times New Roman" w:cs="Times New Roman"/>
          <w:sz w:val="24"/>
          <w:szCs w:val="24"/>
          <w:lang w:val="bg-BG"/>
        </w:rPr>
        <w:t>Кризата с Covid 19, която затвори границите, спря полетите и затвори обекти и институции се отрази най-тежко върху туризма. Само през първото тримесечие на 2020 г. Световната туристическа организация изчислява спад с около 22% на пристигащите до различни дестинации в света туристи. Един от възможните сценарии е за годишен спад с около 60-80% в туризма в сравнение с 2019 г.</w:t>
      </w:r>
      <w:r w:rsidR="00220EA9" w:rsidRPr="00610B1B">
        <w:rPr>
          <w:rStyle w:val="FootnoteReference"/>
          <w:rFonts w:ascii="Times New Roman" w:hAnsi="Times New Roman" w:cs="Times New Roman"/>
          <w:sz w:val="24"/>
          <w:szCs w:val="24"/>
          <w:lang w:val="bg-BG"/>
        </w:rPr>
        <w:footnoteReference w:id="124"/>
      </w:r>
      <w:r w:rsidR="00C415D1" w:rsidRPr="00610B1B">
        <w:rPr>
          <w:rFonts w:ascii="Times New Roman" w:hAnsi="Times New Roman" w:cs="Times New Roman"/>
          <w:sz w:val="24"/>
          <w:szCs w:val="24"/>
          <w:lang w:val="bg-BG"/>
        </w:rPr>
        <w:t xml:space="preserve"> </w:t>
      </w:r>
      <w:r w:rsidR="00220EA9" w:rsidRPr="00610B1B">
        <w:rPr>
          <w:rFonts w:ascii="Times New Roman" w:hAnsi="Times New Roman" w:cs="Times New Roman"/>
          <w:sz w:val="24"/>
          <w:szCs w:val="24"/>
          <w:lang w:val="bg-BG"/>
        </w:rPr>
        <w:t>Паралелно с това данните за излизането от предходната криза показват, че в периода 2011-2018 г.</w:t>
      </w:r>
      <w:r w:rsidR="00D66FE0" w:rsidRPr="00610B1B">
        <w:rPr>
          <w:rFonts w:ascii="Times New Roman" w:hAnsi="Times New Roman" w:cs="Times New Roman"/>
          <w:sz w:val="24"/>
          <w:szCs w:val="24"/>
          <w:lang w:val="bg-BG"/>
        </w:rPr>
        <w:t xml:space="preserve"> </w:t>
      </w:r>
      <w:r w:rsidR="00220EA9" w:rsidRPr="00610B1B">
        <w:rPr>
          <w:rFonts w:ascii="Times New Roman" w:hAnsi="Times New Roman" w:cs="Times New Roman"/>
          <w:sz w:val="24"/>
          <w:szCs w:val="24"/>
          <w:lang w:val="bg-BG"/>
        </w:rPr>
        <w:t>докато останалите сектори бележат 11% ръст, в туризма той е 35%</w:t>
      </w:r>
      <w:r w:rsidR="00F12B1F" w:rsidRPr="00610B1B">
        <w:rPr>
          <w:rFonts w:ascii="Times New Roman" w:hAnsi="Times New Roman" w:cs="Times New Roman"/>
          <w:sz w:val="24"/>
          <w:szCs w:val="24"/>
          <w:lang w:val="bg-BG"/>
        </w:rPr>
        <w:t xml:space="preserve">, което доказва потенциала на сектора да подпомогне икономиките в излизането от кризата. </w:t>
      </w:r>
    </w:p>
    <w:p w14:paraId="109500F3" w14:textId="10A04447" w:rsidR="00F12B1F" w:rsidRPr="00610B1B" w:rsidRDefault="0004330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i/>
          <w:sz w:val="24"/>
          <w:szCs w:val="24"/>
          <w:lang w:val="bg-BG"/>
        </w:rPr>
        <w:t>В европейски измерения</w:t>
      </w:r>
      <w:r w:rsidRPr="00610B1B">
        <w:rPr>
          <w:rFonts w:ascii="Times New Roman" w:hAnsi="Times New Roman" w:cs="Times New Roman"/>
          <w:sz w:val="24"/>
          <w:szCs w:val="24"/>
          <w:lang w:val="bg-BG"/>
        </w:rPr>
        <w:t>, туристическият сектор е трети по големина след търговията и строителството</w:t>
      </w:r>
      <w:r w:rsidRPr="00610B1B">
        <w:rPr>
          <w:rStyle w:val="FootnoteReference"/>
          <w:rFonts w:ascii="Times New Roman" w:hAnsi="Times New Roman" w:cs="Times New Roman"/>
          <w:sz w:val="24"/>
          <w:szCs w:val="24"/>
          <w:lang w:val="bg-BG"/>
        </w:rPr>
        <w:footnoteReference w:id="125"/>
      </w:r>
      <w:r w:rsidRPr="00610B1B">
        <w:rPr>
          <w:rFonts w:ascii="Times New Roman" w:hAnsi="Times New Roman" w:cs="Times New Roman"/>
          <w:sz w:val="24"/>
          <w:szCs w:val="24"/>
          <w:lang w:val="bg-BG"/>
        </w:rPr>
        <w:t>. Туризмът ангажира голямо разнообразие от услуги и професии, организирани предимно в малки и средни предприятия (3,4 млн. бр.). Директните приходи от туризъм са около 5% от БВП на ЕС, а заетите трудови ресурси – 5,2% (9,7 млн. работни места). Европа отстоява първото си място в Света като туристическа дестинация. Атрактивността на европейския туризъм се формира от културно-историческо наследство, природни ценности, разнообразни пейзажи, качествени услуги и добра свързаност/достъпност.</w:t>
      </w:r>
      <w:r w:rsidR="00CB7DFA" w:rsidRPr="00610B1B">
        <w:rPr>
          <w:rFonts w:ascii="Times New Roman" w:hAnsi="Times New Roman" w:cs="Times New Roman"/>
          <w:sz w:val="24"/>
          <w:szCs w:val="24"/>
          <w:lang w:val="bg-BG"/>
        </w:rPr>
        <w:t xml:space="preserve"> </w:t>
      </w:r>
      <w:r w:rsidR="00F12B1F" w:rsidRPr="00610B1B">
        <w:rPr>
          <w:rFonts w:ascii="Times New Roman" w:hAnsi="Times New Roman" w:cs="Times New Roman"/>
          <w:sz w:val="24"/>
          <w:szCs w:val="24"/>
          <w:lang w:val="bg-BG"/>
        </w:rPr>
        <w:t xml:space="preserve">Все още не са ясни напълно </w:t>
      </w:r>
      <w:r w:rsidR="00CB7DFA" w:rsidRPr="00610B1B">
        <w:rPr>
          <w:rFonts w:ascii="Times New Roman" w:hAnsi="Times New Roman" w:cs="Times New Roman"/>
          <w:sz w:val="24"/>
          <w:szCs w:val="24"/>
          <w:lang w:val="bg-BG"/>
        </w:rPr>
        <w:t>перспективи</w:t>
      </w:r>
      <w:r w:rsidR="00F12B1F" w:rsidRPr="00610B1B">
        <w:rPr>
          <w:rFonts w:ascii="Times New Roman" w:hAnsi="Times New Roman" w:cs="Times New Roman"/>
          <w:sz w:val="24"/>
          <w:szCs w:val="24"/>
          <w:lang w:val="bg-BG"/>
        </w:rPr>
        <w:t xml:space="preserve">те </w:t>
      </w:r>
      <w:r w:rsidR="00CB7DFA" w:rsidRPr="00610B1B">
        <w:rPr>
          <w:rFonts w:ascii="Times New Roman" w:hAnsi="Times New Roman" w:cs="Times New Roman"/>
          <w:sz w:val="24"/>
          <w:szCs w:val="24"/>
          <w:lang w:val="bg-BG"/>
        </w:rPr>
        <w:t>за отпадане на ограниченията за пътуване в</w:t>
      </w:r>
      <w:r w:rsidR="00F12B1F" w:rsidRPr="00610B1B">
        <w:rPr>
          <w:rFonts w:ascii="Times New Roman" w:hAnsi="Times New Roman" w:cs="Times New Roman"/>
          <w:sz w:val="24"/>
          <w:szCs w:val="24"/>
          <w:lang w:val="bg-BG"/>
        </w:rPr>
        <w:t xml:space="preserve"> и от</w:t>
      </w:r>
      <w:r w:rsidR="00CB7DFA" w:rsidRPr="00610B1B">
        <w:rPr>
          <w:rFonts w:ascii="Times New Roman" w:hAnsi="Times New Roman" w:cs="Times New Roman"/>
          <w:sz w:val="24"/>
          <w:szCs w:val="24"/>
          <w:lang w:val="bg-BG"/>
        </w:rPr>
        <w:t xml:space="preserve"> различни части на света</w:t>
      </w:r>
      <w:r w:rsidR="00F12B1F" w:rsidRPr="00610B1B">
        <w:rPr>
          <w:rFonts w:ascii="Times New Roman" w:hAnsi="Times New Roman" w:cs="Times New Roman"/>
          <w:sz w:val="24"/>
          <w:szCs w:val="24"/>
          <w:lang w:val="bg-BG"/>
        </w:rPr>
        <w:t xml:space="preserve"> и Европа, изводите ще са известни след края на летния сезон, но е известно че това е най-популярният сезон за Европейската туристическа индустрия с около 32% дял от всички нощувки </w:t>
      </w:r>
      <w:r w:rsidR="000064CC" w:rsidRPr="00610B1B">
        <w:rPr>
          <w:rFonts w:ascii="Times New Roman" w:hAnsi="Times New Roman" w:cs="Times New Roman"/>
          <w:sz w:val="24"/>
          <w:szCs w:val="24"/>
          <w:lang w:val="bg-BG"/>
        </w:rPr>
        <w:t>за</w:t>
      </w:r>
      <w:r w:rsidR="00F12B1F" w:rsidRPr="00610B1B">
        <w:rPr>
          <w:rFonts w:ascii="Times New Roman" w:hAnsi="Times New Roman" w:cs="Times New Roman"/>
          <w:sz w:val="24"/>
          <w:szCs w:val="24"/>
          <w:lang w:val="bg-BG"/>
        </w:rPr>
        <w:t xml:space="preserve"> 2019 г. </w:t>
      </w:r>
      <w:r w:rsidR="000064CC" w:rsidRPr="00610B1B">
        <w:rPr>
          <w:rFonts w:ascii="Times New Roman" w:hAnsi="Times New Roman" w:cs="Times New Roman"/>
          <w:sz w:val="24"/>
          <w:szCs w:val="24"/>
          <w:lang w:val="bg-BG"/>
        </w:rPr>
        <w:t>в европейски туристически обекти.</w:t>
      </w:r>
      <w:r w:rsidR="000064CC" w:rsidRPr="00610B1B">
        <w:rPr>
          <w:rStyle w:val="FootnoteReference"/>
          <w:rFonts w:ascii="Times New Roman" w:hAnsi="Times New Roman" w:cs="Times New Roman"/>
          <w:sz w:val="24"/>
          <w:szCs w:val="24"/>
          <w:lang w:val="bg-BG"/>
        </w:rPr>
        <w:footnoteReference w:id="126"/>
      </w:r>
      <w:r w:rsidR="000064CC" w:rsidRPr="00610B1B">
        <w:rPr>
          <w:rFonts w:ascii="Times New Roman" w:hAnsi="Times New Roman" w:cs="Times New Roman"/>
          <w:sz w:val="24"/>
          <w:szCs w:val="24"/>
          <w:lang w:val="bg-BG"/>
        </w:rPr>
        <w:t xml:space="preserve"> </w:t>
      </w:r>
    </w:p>
    <w:p w14:paraId="10F3A1C8" w14:textId="4F84FE0D" w:rsidR="00043308" w:rsidRPr="00610B1B" w:rsidRDefault="0004330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i/>
          <w:sz w:val="24"/>
          <w:szCs w:val="24"/>
          <w:lang w:val="bg-BG"/>
        </w:rPr>
        <w:t>В национални измерения</w:t>
      </w:r>
      <w:r w:rsidRPr="00610B1B">
        <w:rPr>
          <w:rFonts w:ascii="Times New Roman" w:hAnsi="Times New Roman" w:cs="Times New Roman"/>
          <w:sz w:val="24"/>
          <w:szCs w:val="24"/>
          <w:lang w:val="bg-BG"/>
        </w:rPr>
        <w:t>, за 2018 г., общият принос на туризма</w:t>
      </w:r>
      <w:r w:rsidRPr="00610B1B">
        <w:rPr>
          <w:rStyle w:val="FootnoteReference"/>
          <w:rFonts w:ascii="Times New Roman" w:hAnsi="Times New Roman" w:cs="Times New Roman"/>
          <w:sz w:val="24"/>
          <w:szCs w:val="24"/>
          <w:lang w:val="bg-BG"/>
        </w:rPr>
        <w:footnoteReference w:id="127"/>
      </w:r>
      <w:r w:rsidRPr="00610B1B">
        <w:rPr>
          <w:rFonts w:ascii="Times New Roman" w:hAnsi="Times New Roman" w:cs="Times New Roman"/>
          <w:sz w:val="24"/>
          <w:szCs w:val="24"/>
          <w:lang w:val="bg-BG"/>
        </w:rPr>
        <w:t xml:space="preserve"> покрива 11,7% от БВП (11,6 млрд. лв.) и 11% от заетостта – над 336 хил. работни места. Възходящото развитие на националния туризъм е радващ факт, но паралелно съществуват сериозни негативни фактори – заплахи за устойчивото развитие както на утвърдените, така и на новите дестинации. Това са застаряването на населението, високата безработица в перифериите, бедността, престъпността, климатичните промени, засиленият натиск върху природните ресурси, политическата нестабилност в региона. Този контекст е политически осъзнат и институционализиран във водещия стратегически документ на сектора – Националната стратегия за устойчиво развитие на туризма в Република България, 2014-2030 (актуализирана версия 2017 г.). През 2018 г., страните от ЕС продължават да са най-важният генериращ пазар за международен туризъм на България.</w:t>
      </w:r>
      <w:r w:rsidR="00CB7DFA" w:rsidRPr="00610B1B">
        <w:rPr>
          <w:rFonts w:ascii="Times New Roman" w:hAnsi="Times New Roman" w:cs="Times New Roman"/>
          <w:sz w:val="24"/>
          <w:szCs w:val="24"/>
          <w:lang w:val="bg-BG"/>
        </w:rPr>
        <w:t xml:space="preserve"> </w:t>
      </w:r>
      <w:r w:rsidR="000064CC" w:rsidRPr="00610B1B">
        <w:rPr>
          <w:rFonts w:ascii="Times New Roman" w:hAnsi="Times New Roman" w:cs="Times New Roman"/>
          <w:sz w:val="24"/>
          <w:szCs w:val="24"/>
          <w:lang w:val="bg-BG"/>
        </w:rPr>
        <w:t>Нощувките в пролетния</w:t>
      </w:r>
      <w:r w:rsidR="00D66FE0" w:rsidRPr="00610B1B">
        <w:rPr>
          <w:rFonts w:ascii="Times New Roman" w:hAnsi="Times New Roman" w:cs="Times New Roman"/>
          <w:sz w:val="24"/>
          <w:szCs w:val="24"/>
          <w:lang w:val="bg-BG"/>
        </w:rPr>
        <w:t xml:space="preserve"> </w:t>
      </w:r>
      <w:r w:rsidR="000064CC" w:rsidRPr="00610B1B">
        <w:rPr>
          <w:rFonts w:ascii="Times New Roman" w:hAnsi="Times New Roman" w:cs="Times New Roman"/>
          <w:sz w:val="24"/>
          <w:szCs w:val="24"/>
          <w:lang w:val="bg-BG"/>
        </w:rPr>
        <w:t xml:space="preserve">и летния сезон на 2019 г. по данни на Евростат представляват около 27% от всички </w:t>
      </w:r>
      <w:r w:rsidR="000064CC" w:rsidRPr="00610B1B">
        <w:rPr>
          <w:rFonts w:ascii="Times New Roman" w:hAnsi="Times New Roman" w:cs="Times New Roman"/>
          <w:sz w:val="24"/>
          <w:szCs w:val="24"/>
          <w:lang w:val="bg-BG"/>
        </w:rPr>
        <w:lastRenderedPageBreak/>
        <w:t xml:space="preserve">нощувки за същата година. </w:t>
      </w:r>
      <w:r w:rsidR="00CB7DFA" w:rsidRPr="00610B1B">
        <w:rPr>
          <w:rFonts w:ascii="Times New Roman" w:hAnsi="Times New Roman" w:cs="Times New Roman"/>
          <w:sz w:val="24"/>
          <w:szCs w:val="24"/>
          <w:lang w:val="bg-BG"/>
        </w:rPr>
        <w:t>През 2020 г. обаче перспективите за развитие на туризма се променят коренно, поради извънредните мерки за ограничаване на разпространението на вирусната инфекция COVID19.</w:t>
      </w:r>
      <w:r w:rsidR="000064CC" w:rsidRPr="00610B1B">
        <w:rPr>
          <w:rFonts w:ascii="Times New Roman" w:hAnsi="Times New Roman" w:cs="Times New Roman"/>
          <w:sz w:val="24"/>
          <w:szCs w:val="24"/>
          <w:lang w:val="bg-BG"/>
        </w:rPr>
        <w:t xml:space="preserve"> Заедно с очакванията за потенциала на сектора да подпомогне българската икономика в излизането от кризата, новите изисквания за по-голяма хигиена, за социална и физическа дистанция се очаква да повиши качеството на услугите и да намали натиска върху околната среда.</w:t>
      </w:r>
    </w:p>
    <w:p w14:paraId="2F4DC4F7" w14:textId="77777777" w:rsidR="004F72E6" w:rsidRPr="00610B1B" w:rsidRDefault="0004330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По отношение на черноморските общини, туризмът има структуроопределящо значение, но само за някои от тях той е доминиращ водещ отрасъл. Това са Несебър, Балчик, Приморско, Созопол, Царево и донякъде Варна, където туризмът се конкурира (по принос) с развита морска индустрия и производство на електроуреди.</w:t>
      </w:r>
      <w:r w:rsidR="004F72E6" w:rsidRPr="00610B1B">
        <w:rPr>
          <w:rFonts w:ascii="Times New Roman" w:hAnsi="Times New Roman" w:cs="Times New Roman"/>
          <w:sz w:val="24"/>
          <w:szCs w:val="24"/>
          <w:lang w:val="bg-BG"/>
        </w:rPr>
        <w:t xml:space="preserve"> Важността </w:t>
      </w:r>
      <w:r w:rsidRPr="00610B1B">
        <w:rPr>
          <w:rFonts w:ascii="Times New Roman" w:hAnsi="Times New Roman" w:cs="Times New Roman"/>
          <w:sz w:val="24"/>
          <w:szCs w:val="24"/>
          <w:lang w:val="bg-BG"/>
        </w:rPr>
        <w:t>на туризма за икономиките на черноморските общини налага приоритетност на мерките за устойчивото му развитие в пространствата „море-бряг”.</w:t>
      </w:r>
      <w:r w:rsidR="004F72E6" w:rsidRPr="00610B1B">
        <w:rPr>
          <w:rFonts w:ascii="Times New Roman" w:hAnsi="Times New Roman" w:cs="Times New Roman"/>
          <w:sz w:val="24"/>
          <w:szCs w:val="24"/>
          <w:lang w:val="bg-BG"/>
        </w:rPr>
        <w:t xml:space="preserve"> </w:t>
      </w:r>
    </w:p>
    <w:p w14:paraId="07C68EBC" w14:textId="77777777" w:rsidR="00DD35B2" w:rsidRPr="00610B1B" w:rsidRDefault="0004330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За да осигури устойчиво развитие на туристическия сектор, България трябва да се справи с предизвикателствата на съвременната среда и конкуренцията</w:t>
      </w:r>
      <w:r w:rsidR="008107B9" w:rsidRPr="00610B1B">
        <w:rPr>
          <w:rFonts w:ascii="Times New Roman" w:hAnsi="Times New Roman" w:cs="Times New Roman"/>
          <w:sz w:val="24"/>
          <w:szCs w:val="24"/>
          <w:lang w:val="bg-BG"/>
        </w:rPr>
        <w:t xml:space="preserve"> и да оползотвори интелигентно и разумно </w:t>
      </w:r>
      <w:r w:rsidRPr="00610B1B">
        <w:rPr>
          <w:rFonts w:ascii="Times New Roman" w:hAnsi="Times New Roman" w:cs="Times New Roman"/>
          <w:sz w:val="24"/>
          <w:szCs w:val="24"/>
          <w:lang w:val="bg-BG"/>
        </w:rPr>
        <w:t>туристическия си потенциал. Промените в поведението на потребителите, икономическото развитие в световен мащаб, глобалната геополитическа обстановка и дори промените в климата, могат да бъдат предпоставка за развитието на туризма в желаната посока. Развитието на международното сътрудничество, участията в международни борси и изложения също допринасят за повишаване на потенциала.</w:t>
      </w:r>
      <w:r w:rsidR="00A55C29" w:rsidRPr="00610B1B">
        <w:rPr>
          <w:rFonts w:ascii="Times New Roman" w:hAnsi="Times New Roman" w:cs="Times New Roman"/>
          <w:sz w:val="24"/>
          <w:szCs w:val="24"/>
          <w:lang w:val="bg-BG"/>
        </w:rPr>
        <w:t xml:space="preserve"> </w:t>
      </w:r>
    </w:p>
    <w:p w14:paraId="36C6D437" w14:textId="019986D0" w:rsidR="00A55C29" w:rsidRPr="00610B1B" w:rsidRDefault="0004330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iCs/>
          <w:sz w:val="24"/>
          <w:szCs w:val="24"/>
          <w:lang w:val="bg-BG"/>
        </w:rPr>
        <w:t>Основна насока</w:t>
      </w:r>
      <w:r w:rsidRPr="00610B1B">
        <w:rPr>
          <w:rFonts w:ascii="Times New Roman" w:hAnsi="Times New Roman" w:cs="Times New Roman"/>
          <w:sz w:val="24"/>
          <w:szCs w:val="24"/>
          <w:lang w:val="bg-BG"/>
        </w:rPr>
        <w:t xml:space="preserve"> на туристическата политика за Черноморското крайбрежие следва да бъде преодоляването на сезонността на морския рекреативен туризъм и осигуряване на целогодишна натовареност на туристическата база чрез разнообразни продукти на алтернативен туризъм (спортен, културно-исторически, фестивален, делови, здравен).</w:t>
      </w:r>
      <w:r w:rsidR="00DD35B2" w:rsidRPr="00610B1B">
        <w:rPr>
          <w:rFonts w:ascii="Times New Roman" w:hAnsi="Times New Roman" w:cs="Times New Roman"/>
          <w:sz w:val="24"/>
          <w:szCs w:val="24"/>
          <w:lang w:val="bg-BG"/>
        </w:rPr>
        <w:t xml:space="preserve"> Т</w:t>
      </w:r>
      <w:r w:rsidRPr="00610B1B">
        <w:rPr>
          <w:rFonts w:ascii="Times New Roman" w:hAnsi="Times New Roman" w:cs="Times New Roman"/>
          <w:sz w:val="24"/>
          <w:szCs w:val="24"/>
          <w:lang w:val="bg-BG"/>
        </w:rPr>
        <w:t>ова означава разнообразяване на регионалния туристически продукт и активно включване на природното и културно богатство на хинтерланда.</w:t>
      </w:r>
      <w:r w:rsidR="00BC44C1" w:rsidRPr="00610B1B">
        <w:rPr>
          <w:rFonts w:ascii="Times New Roman" w:hAnsi="Times New Roman" w:cs="Times New Roman"/>
          <w:sz w:val="24"/>
          <w:szCs w:val="24"/>
          <w:lang w:val="bg-BG"/>
        </w:rPr>
        <w:t xml:space="preserve"> </w:t>
      </w:r>
    </w:p>
    <w:p w14:paraId="79D57B5A" w14:textId="77777777" w:rsidR="00BC44C1" w:rsidRPr="00610B1B" w:rsidRDefault="00BC44C1" w:rsidP="00D32D6A">
      <w:pPr>
        <w:spacing w:after="120"/>
        <w:ind w:right="-153"/>
        <w:jc w:val="both"/>
        <w:rPr>
          <w:rFonts w:ascii="Times New Roman" w:eastAsia="Lohit Devanagari" w:hAnsi="Times New Roman" w:cs="Times New Roman"/>
          <w:color w:val="00000A"/>
          <w:sz w:val="24"/>
          <w:szCs w:val="24"/>
          <w:lang w:val="bg-BG" w:eastAsia="ar-SA" w:bidi="hi-IN"/>
        </w:rPr>
      </w:pPr>
    </w:p>
    <w:p w14:paraId="57F3D7AD" w14:textId="56F4584A" w:rsidR="009A010A" w:rsidRPr="00610B1B" w:rsidRDefault="00832FA5" w:rsidP="00D32D6A">
      <w:pPr>
        <w:pStyle w:val="Heading2"/>
        <w:spacing w:before="0" w:line="276" w:lineRule="auto"/>
        <w:ind w:right="-153"/>
        <w:rPr>
          <w:rFonts w:cs="Times New Roman"/>
        </w:rPr>
      </w:pPr>
      <w:bookmarkStart w:id="370" w:name="_Toc83391385"/>
      <w:r w:rsidRPr="00610B1B">
        <w:rPr>
          <w:rFonts w:cs="Times New Roman"/>
        </w:rPr>
        <w:t>3</w:t>
      </w:r>
      <w:r w:rsidR="00CB7DFA" w:rsidRPr="00610B1B">
        <w:rPr>
          <w:rFonts w:cs="Times New Roman"/>
        </w:rPr>
        <w:t>.</w:t>
      </w:r>
      <w:r w:rsidR="00BF0D18" w:rsidRPr="00610B1B">
        <w:rPr>
          <w:rFonts w:cs="Times New Roman"/>
        </w:rPr>
        <w:t>4</w:t>
      </w:r>
      <w:r w:rsidR="00CB7DFA" w:rsidRPr="00610B1B">
        <w:rPr>
          <w:rFonts w:cs="Times New Roman"/>
        </w:rPr>
        <w:t xml:space="preserve">. </w:t>
      </w:r>
      <w:r w:rsidR="009A010A" w:rsidRPr="00610B1B">
        <w:rPr>
          <w:rFonts w:cs="Times New Roman"/>
        </w:rPr>
        <w:t>Морски информационни и комуникационни технологии и инфраструктура</w:t>
      </w:r>
      <w:bookmarkEnd w:id="370"/>
      <w:r w:rsidR="007815F4" w:rsidRPr="00610B1B">
        <w:rPr>
          <w:rFonts w:cs="Times New Roman"/>
        </w:rPr>
        <w:t xml:space="preserve"> </w:t>
      </w:r>
    </w:p>
    <w:p w14:paraId="3DE0487C" w14:textId="64E5BAE6" w:rsidR="00E013DD" w:rsidRPr="00610B1B" w:rsidRDefault="00080DB1" w:rsidP="00D32D6A">
      <w:pPr>
        <w:pStyle w:val="Heading3"/>
        <w:spacing w:before="0" w:line="276" w:lineRule="auto"/>
        <w:ind w:right="-153"/>
        <w:rPr>
          <w:rFonts w:cs="Times New Roman"/>
        </w:rPr>
      </w:pPr>
      <w:bookmarkStart w:id="371" w:name="_Toc83391386"/>
      <w:r w:rsidRPr="00610B1B">
        <w:rPr>
          <w:rFonts w:cs="Times New Roman"/>
        </w:rPr>
        <w:t>3</w:t>
      </w:r>
      <w:r w:rsidR="00BF0D18" w:rsidRPr="00610B1B">
        <w:rPr>
          <w:rFonts w:cs="Times New Roman"/>
        </w:rPr>
        <w:t xml:space="preserve">.4.1. </w:t>
      </w:r>
      <w:r w:rsidR="00E013DD" w:rsidRPr="00610B1B">
        <w:rPr>
          <w:rFonts w:cs="Times New Roman"/>
        </w:rPr>
        <w:t>ИКТ и ТИ</w:t>
      </w:r>
      <w:bookmarkEnd w:id="371"/>
    </w:p>
    <w:p w14:paraId="7F17D7B3" w14:textId="1FE45128" w:rsidR="00E013DD" w:rsidRPr="00610B1B" w:rsidRDefault="00E013DD" w:rsidP="00D32D6A">
      <w:pPr>
        <w:tabs>
          <w:tab w:val="left" w:pos="1134"/>
          <w:tab w:val="left" w:pos="1701"/>
          <w:tab w:val="left" w:pos="2268"/>
        </w:tabs>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Глобалната интернет връзка на България се осигурява чрез положените по дъното на Черно море подводни оптични кабелни системи.</w:t>
      </w:r>
      <w:r w:rsidR="00080DB1"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Град </w:t>
      </w:r>
      <w:r w:rsidRPr="00610B1B">
        <w:rPr>
          <w:rFonts w:ascii="Times New Roman" w:eastAsia="Times New Roman" w:hAnsi="Times New Roman" w:cs="Times New Roman"/>
          <w:bCs/>
          <w:sz w:val="24"/>
          <w:szCs w:val="24"/>
          <w:lang w:val="bg-BG"/>
        </w:rPr>
        <w:t>Варна е основният телекомуникационен възел в страната,</w:t>
      </w:r>
      <w:r w:rsidRPr="00610B1B">
        <w:rPr>
          <w:rFonts w:ascii="Times New Roman" w:eastAsia="Times New Roman" w:hAnsi="Times New Roman" w:cs="Times New Roman"/>
          <w:sz w:val="24"/>
          <w:szCs w:val="24"/>
          <w:lang w:val="bg-BG"/>
        </w:rPr>
        <w:t xml:space="preserve"> осъществяващ връзките на Трансевропейската телекомуникационна мрежа с подводните оптически кабелни системи в Черно море</w:t>
      </w:r>
      <w:r w:rsidRPr="00610B1B">
        <w:rPr>
          <w:rFonts w:ascii="Times New Roman" w:eastAsia="Times New Roman" w:hAnsi="Times New Roman" w:cs="Times New Roman"/>
          <w:b/>
          <w:sz w:val="24"/>
          <w:szCs w:val="24"/>
          <w:lang w:val="bg-BG"/>
        </w:rPr>
        <w:t xml:space="preserve"> </w:t>
      </w:r>
      <w:r w:rsidRPr="00610B1B">
        <w:rPr>
          <w:rFonts w:ascii="Times New Roman" w:eastAsia="Times New Roman" w:hAnsi="Times New Roman" w:cs="Times New Roman"/>
          <w:sz w:val="24"/>
          <w:szCs w:val="24"/>
          <w:lang w:val="bg-BG"/>
        </w:rPr>
        <w:t>KAFOS и BSFOCS,</w:t>
      </w:r>
      <w:r w:rsidRPr="00610B1B">
        <w:rPr>
          <w:rFonts w:ascii="Times New Roman" w:eastAsia="Times New Roman" w:hAnsi="Times New Roman" w:cs="Times New Roman"/>
          <w:b/>
          <w:sz w:val="24"/>
          <w:szCs w:val="24"/>
          <w:lang w:val="bg-BG"/>
        </w:rPr>
        <w:t xml:space="preserve"> </w:t>
      </w:r>
      <w:r w:rsidRPr="00610B1B">
        <w:rPr>
          <w:rFonts w:ascii="Times New Roman" w:eastAsia="Times New Roman" w:hAnsi="Times New Roman" w:cs="Times New Roman"/>
          <w:sz w:val="24"/>
          <w:szCs w:val="24"/>
          <w:lang w:val="bg-BG"/>
        </w:rPr>
        <w:t>което позволява транзитиране на големи съобщителни потоци от Русия, Украйна, Грузия и Задкавказието през територията на България към Гърция и Кипър, а чрез тях – към Средиземноморието и Северна Африка.</w:t>
      </w:r>
    </w:p>
    <w:p w14:paraId="150A2049" w14:textId="0DEA28D5" w:rsidR="00D32D6A" w:rsidRPr="00610B1B" w:rsidRDefault="00D32D6A" w:rsidP="00D32D6A">
      <w:pPr>
        <w:tabs>
          <w:tab w:val="left" w:pos="1134"/>
          <w:tab w:val="left" w:pos="1701"/>
          <w:tab w:val="left" w:pos="2268"/>
        </w:tabs>
        <w:spacing w:after="120"/>
        <w:ind w:right="-153"/>
        <w:jc w:val="both"/>
        <w:rPr>
          <w:rFonts w:ascii="Times New Roman" w:eastAsia="Times New Roman" w:hAnsi="Times New Roman" w:cs="Times New Roman"/>
          <w:sz w:val="24"/>
          <w:szCs w:val="24"/>
          <w:lang w:val="bg-BG"/>
        </w:rPr>
      </w:pPr>
    </w:p>
    <w:p w14:paraId="6B2D1911" w14:textId="20173050" w:rsidR="00BC44C1" w:rsidRPr="00610B1B" w:rsidRDefault="00BC44C1" w:rsidP="00D32D6A">
      <w:pPr>
        <w:tabs>
          <w:tab w:val="left" w:pos="1134"/>
          <w:tab w:val="left" w:pos="1701"/>
          <w:tab w:val="left" w:pos="2268"/>
        </w:tabs>
        <w:spacing w:after="120"/>
        <w:ind w:right="-153"/>
        <w:jc w:val="both"/>
        <w:rPr>
          <w:rFonts w:ascii="Times New Roman" w:eastAsia="Times New Roman" w:hAnsi="Times New Roman" w:cs="Times New Roman"/>
          <w:sz w:val="24"/>
          <w:szCs w:val="24"/>
          <w:lang w:val="bg-BG"/>
        </w:rPr>
      </w:pPr>
    </w:p>
    <w:p w14:paraId="34A52C61" w14:textId="77777777" w:rsidR="00BC44C1" w:rsidRPr="00610B1B" w:rsidRDefault="00BC44C1" w:rsidP="00D32D6A">
      <w:pPr>
        <w:tabs>
          <w:tab w:val="left" w:pos="1134"/>
          <w:tab w:val="left" w:pos="1701"/>
          <w:tab w:val="left" w:pos="2268"/>
        </w:tabs>
        <w:spacing w:after="120"/>
        <w:ind w:right="-153"/>
        <w:jc w:val="both"/>
        <w:rPr>
          <w:rFonts w:ascii="Times New Roman" w:eastAsia="Times New Roman" w:hAnsi="Times New Roman" w:cs="Times New Roman"/>
          <w:sz w:val="24"/>
          <w:szCs w:val="24"/>
          <w:lang w:val="bg-BG"/>
        </w:rPr>
      </w:pPr>
    </w:p>
    <w:p w14:paraId="02ADDAEA" w14:textId="280B8F99" w:rsidR="008107B9" w:rsidRPr="00610B1B" w:rsidRDefault="00B62269" w:rsidP="00D32D6A">
      <w:pPr>
        <w:spacing w:after="120"/>
        <w:ind w:right="-153"/>
        <w:rPr>
          <w:rFonts w:ascii="Times New Roman" w:hAnsi="Times New Roman" w:cs="Times New Roman"/>
          <w:sz w:val="24"/>
          <w:szCs w:val="24"/>
          <w:lang w:val="bg-BG"/>
        </w:rPr>
      </w:pPr>
      <w:bookmarkStart w:id="372" w:name="_Toc83391488"/>
      <w:r w:rsidRPr="00610B1B">
        <w:rPr>
          <w:rFonts w:ascii="Times New Roman" w:hAnsi="Times New Roman" w:cs="Times New Roman"/>
          <w:sz w:val="24"/>
          <w:szCs w:val="24"/>
          <w:lang w:val="bg-BG"/>
        </w:rPr>
        <w:lastRenderedPageBreak/>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25</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8107B9" w:rsidRPr="00610B1B">
        <w:rPr>
          <w:rFonts w:ascii="Times New Roman" w:hAnsi="Times New Roman" w:cs="Times New Roman"/>
          <w:sz w:val="24"/>
          <w:szCs w:val="24"/>
          <w:lang w:val="bg-BG"/>
        </w:rPr>
        <w:t>Трасета на основните оптични кабелни системи в Черно море</w:t>
      </w:r>
      <w:bookmarkEnd w:id="372"/>
    </w:p>
    <w:p w14:paraId="2B9D5E6D" w14:textId="23E69FF8" w:rsidR="00E013DD" w:rsidRPr="00610B1B" w:rsidRDefault="00E013DD" w:rsidP="00BC44C1">
      <w:pPr>
        <w:spacing w:after="0"/>
        <w:ind w:right="-153"/>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noProof/>
          <w:sz w:val="24"/>
          <w:szCs w:val="24"/>
          <w:lang w:val="bg-BG" w:eastAsia="bg-BG"/>
        </w:rPr>
        <w:drawing>
          <wp:inline distT="0" distB="0" distL="0" distR="0" wp14:anchorId="51B32C09" wp14:editId="03DA96C1">
            <wp:extent cx="4784140" cy="2570203"/>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5960" cy="2576553"/>
                    </a:xfrm>
                    <a:prstGeom prst="rect">
                      <a:avLst/>
                    </a:prstGeom>
                    <a:noFill/>
                    <a:ln>
                      <a:noFill/>
                    </a:ln>
                  </pic:spPr>
                </pic:pic>
              </a:graphicData>
            </a:graphic>
          </wp:inline>
        </w:drawing>
      </w:r>
    </w:p>
    <w:p w14:paraId="4029D52F" w14:textId="562FB357" w:rsidR="00D32D6A" w:rsidRPr="00610B1B" w:rsidRDefault="007B64A7" w:rsidP="00BC44C1">
      <w:pPr>
        <w:spacing w:before="60" w:after="120"/>
        <w:ind w:right="-153"/>
        <w:jc w:val="both"/>
        <w:rPr>
          <w:rFonts w:ascii="Times New Roman" w:hAnsi="Times New Roman" w:cs="Times New Roman"/>
          <w:lang w:val="bg-BG"/>
        </w:rPr>
      </w:pPr>
      <w:r w:rsidRPr="00610B1B">
        <w:rPr>
          <w:rFonts w:ascii="Times New Roman" w:hAnsi="Times New Roman" w:cs="Times New Roman"/>
          <w:lang w:val="bg-BG"/>
        </w:rPr>
        <w:t>Източник:</w:t>
      </w:r>
      <w:r w:rsidR="00DD35B2" w:rsidRPr="00610B1B">
        <w:rPr>
          <w:rFonts w:ascii="Times New Roman" w:hAnsi="Times New Roman" w:cs="Times New Roman"/>
          <w:lang w:val="bg-BG"/>
        </w:rPr>
        <w:t xml:space="preserve"> МТИТС</w:t>
      </w:r>
    </w:p>
    <w:p w14:paraId="6C3F04F0" w14:textId="5736BE82" w:rsidR="0029238A" w:rsidRPr="00610B1B" w:rsidRDefault="0029238A"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sz w:val="24"/>
          <w:szCs w:val="24"/>
          <w:lang w:val="bg-BG" w:eastAsia="bg-BG"/>
        </w:rPr>
        <w:t xml:space="preserve">KAFOS </w:t>
      </w:r>
      <w:r w:rsidRPr="00610B1B">
        <w:rPr>
          <w:rFonts w:ascii="Times New Roman" w:eastAsia="Times New Roman" w:hAnsi="Times New Roman" w:cs="Times New Roman"/>
          <w:sz w:val="24"/>
          <w:szCs w:val="24"/>
          <w:lang w:val="bg-BG" w:eastAsia="bg-BG"/>
        </w:rPr>
        <w:t>свързва под вода Румъния, България и Турция с изходни точки в градовете Мангалия (Румъния), Варна (България) и Истанбул (Турция). Оптичната система е в експлоатация от 1997 г., с обща дължина 504 km и възможност за пренос на 622 Mbit в секунда.</w:t>
      </w:r>
    </w:p>
    <w:p w14:paraId="48AD6E50" w14:textId="43BE0788" w:rsidR="0029238A" w:rsidRPr="00610B1B" w:rsidRDefault="0029238A"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sz w:val="24"/>
          <w:szCs w:val="24"/>
          <w:lang w:val="bg-BG" w:eastAsia="bg-BG"/>
        </w:rPr>
        <w:t>BSFOCS</w:t>
      </w:r>
      <w:r w:rsidRPr="00610B1B">
        <w:rPr>
          <w:rFonts w:ascii="Times New Roman" w:eastAsia="Times New Roman" w:hAnsi="Times New Roman" w:cs="Times New Roman"/>
          <w:sz w:val="24"/>
          <w:szCs w:val="24"/>
          <w:lang w:val="bg-BG" w:eastAsia="bg-BG"/>
        </w:rPr>
        <w:t xml:space="preserve"> е Черноморска оптична кабелна система, свързваща градовете Варна (България), Одеса (Украйна) и Новоросийск (Русия). Оптичната система е в експлоатация от</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2001 г., с обща дължина</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1 300 km и осигурява връзки и с други кабелни системи като “</w:t>
      </w:r>
      <w:r w:rsidRPr="00610B1B">
        <w:rPr>
          <w:rFonts w:ascii="Times New Roman" w:eastAsia="Times New Roman" w:hAnsi="Times New Roman" w:cs="Times New Roman"/>
          <w:i/>
          <w:sz w:val="24"/>
          <w:szCs w:val="24"/>
          <w:lang w:val="bg-BG" w:eastAsia="bg-BG"/>
        </w:rPr>
        <w:t xml:space="preserve">Грузия-Русия”, KAFOS </w:t>
      </w:r>
      <w:r w:rsidRPr="00610B1B">
        <w:rPr>
          <w:rFonts w:ascii="Times New Roman" w:eastAsia="Times New Roman" w:hAnsi="Times New Roman" w:cs="Times New Roman"/>
          <w:sz w:val="24"/>
          <w:szCs w:val="24"/>
          <w:lang w:val="bg-BG" w:eastAsia="bg-BG"/>
        </w:rPr>
        <w:t>и</w:t>
      </w:r>
      <w:r w:rsidRPr="00610B1B">
        <w:rPr>
          <w:rFonts w:ascii="Times New Roman" w:eastAsia="Times New Roman" w:hAnsi="Times New Roman" w:cs="Times New Roman"/>
          <w:i/>
          <w:sz w:val="24"/>
          <w:szCs w:val="24"/>
          <w:lang w:val="bg-BG" w:eastAsia="bg-BG"/>
        </w:rPr>
        <w:t xml:space="preserve"> ITUR</w:t>
      </w:r>
      <w:r w:rsidRPr="00610B1B">
        <w:rPr>
          <w:rFonts w:ascii="Times New Roman" w:eastAsia="Times New Roman" w:hAnsi="Times New Roman" w:cs="Times New Roman"/>
          <w:sz w:val="24"/>
          <w:szCs w:val="24"/>
          <w:lang w:val="bg-BG" w:eastAsia="bg-BG"/>
        </w:rPr>
        <w:t xml:space="preserve"> (Италия-Турция-Украйна-Русия). Изходните точки на </w:t>
      </w:r>
      <w:r w:rsidRPr="00610B1B">
        <w:rPr>
          <w:rFonts w:ascii="Times New Roman" w:eastAsia="Times New Roman" w:hAnsi="Times New Roman" w:cs="Times New Roman"/>
          <w:i/>
          <w:sz w:val="24"/>
          <w:szCs w:val="24"/>
          <w:lang w:val="bg-BG" w:eastAsia="bg-BG"/>
        </w:rPr>
        <w:t>ITUR</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в Черно море са Истанбул, Одеса и Новоросийск и чрез наземни връзки от оптични влакна до Гърция и отвъд Кипър, системата BSFOCS осигурява допълнителен достъп до дестинации в Европа,</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Близкия Изток, Югоизточна Азия и САЩ.</w:t>
      </w:r>
    </w:p>
    <w:p w14:paraId="45AD0808" w14:textId="196FD250" w:rsidR="008107B9" w:rsidRPr="00610B1B" w:rsidRDefault="00B62269" w:rsidP="00D32D6A">
      <w:pPr>
        <w:spacing w:after="120"/>
        <w:ind w:right="-153"/>
        <w:rPr>
          <w:rFonts w:ascii="Times New Roman" w:hAnsi="Times New Roman" w:cs="Times New Roman"/>
          <w:sz w:val="24"/>
          <w:szCs w:val="24"/>
          <w:lang w:val="bg-BG"/>
        </w:rPr>
      </w:pPr>
      <w:bookmarkStart w:id="373" w:name="_Toc83391489"/>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26</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8107B9" w:rsidRPr="00610B1B">
        <w:rPr>
          <w:rFonts w:ascii="Times New Roman" w:hAnsi="Times New Roman" w:cs="Times New Roman"/>
          <w:sz w:val="24"/>
          <w:szCs w:val="24"/>
          <w:lang w:val="bg-BG"/>
        </w:rPr>
        <w:t>Трасе на CAUCASUS Cable System - Балчик – Поти (Грузия)</w:t>
      </w:r>
      <w:bookmarkEnd w:id="373"/>
    </w:p>
    <w:p w14:paraId="74D86A57" w14:textId="18F73122" w:rsidR="00E013DD" w:rsidRPr="00610B1B" w:rsidRDefault="00E013DD" w:rsidP="00BC44C1">
      <w:pPr>
        <w:spacing w:after="0"/>
        <w:ind w:right="-153"/>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noProof/>
          <w:sz w:val="24"/>
          <w:szCs w:val="24"/>
          <w:lang w:val="bg-BG" w:eastAsia="bg-BG"/>
        </w:rPr>
        <w:drawing>
          <wp:inline distT="0" distB="0" distL="0" distR="0" wp14:anchorId="61AD2D4F" wp14:editId="559F4430">
            <wp:extent cx="4564876" cy="2860895"/>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4292" cy="2866796"/>
                    </a:xfrm>
                    <a:prstGeom prst="rect">
                      <a:avLst/>
                    </a:prstGeom>
                    <a:noFill/>
                    <a:ln>
                      <a:noFill/>
                    </a:ln>
                  </pic:spPr>
                </pic:pic>
              </a:graphicData>
            </a:graphic>
          </wp:inline>
        </w:drawing>
      </w:r>
    </w:p>
    <w:p w14:paraId="5E24B24D" w14:textId="71E3F85D" w:rsidR="007B64A7" w:rsidRPr="00610B1B" w:rsidRDefault="007B64A7" w:rsidP="00BC44C1">
      <w:pPr>
        <w:spacing w:after="0" w:line="240" w:lineRule="auto"/>
        <w:ind w:right="-153"/>
        <w:rPr>
          <w:rFonts w:ascii="Times New Roman" w:eastAsia="Times New Roman" w:hAnsi="Times New Roman" w:cs="Times New Roman"/>
          <w:lang w:val="bg-BG" w:eastAsia="bg-BG"/>
        </w:rPr>
      </w:pPr>
      <w:r w:rsidRPr="00610B1B">
        <w:rPr>
          <w:rFonts w:ascii="Times New Roman" w:eastAsia="Times New Roman" w:hAnsi="Times New Roman" w:cs="Times New Roman"/>
          <w:lang w:val="bg-BG" w:eastAsia="bg-BG"/>
        </w:rPr>
        <w:t>Източник</w:t>
      </w:r>
      <w:r w:rsidR="00DD35B2" w:rsidRPr="00610B1B">
        <w:rPr>
          <w:rFonts w:ascii="Times New Roman" w:eastAsia="Times New Roman" w:hAnsi="Times New Roman" w:cs="Times New Roman"/>
          <w:lang w:val="bg-BG" w:eastAsia="bg-BG"/>
        </w:rPr>
        <w:t xml:space="preserve">: </w:t>
      </w:r>
      <w:hyperlink r:id="rId44" w:history="1">
        <w:r w:rsidR="00B328CF" w:rsidRPr="00610B1B">
          <w:rPr>
            <w:rStyle w:val="Hyperlink"/>
            <w:rFonts w:ascii="Times New Roman" w:eastAsia="Times New Roman" w:hAnsi="Times New Roman" w:cs="Times New Roman"/>
            <w:lang w:val="bg-BG" w:eastAsia="bg-BG"/>
          </w:rPr>
          <w:t>https://en.wikipedia.org/wiki/Caucasus_Cable_System</w:t>
        </w:r>
      </w:hyperlink>
      <w:r w:rsidR="00B328CF" w:rsidRPr="00610B1B">
        <w:rPr>
          <w:rFonts w:ascii="Times New Roman" w:eastAsia="Times New Roman" w:hAnsi="Times New Roman" w:cs="Times New Roman"/>
          <w:lang w:val="bg-BG" w:eastAsia="bg-BG"/>
        </w:rPr>
        <w:t xml:space="preserve"> </w:t>
      </w:r>
    </w:p>
    <w:p w14:paraId="76DEBF2C" w14:textId="1BE4F923" w:rsidR="0029238A" w:rsidRPr="00610B1B" w:rsidRDefault="0029238A"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b/>
          <w:sz w:val="24"/>
          <w:szCs w:val="24"/>
          <w:lang w:val="bg-BG" w:eastAsia="bg-BG"/>
        </w:rPr>
        <w:lastRenderedPageBreak/>
        <w:t xml:space="preserve">CAUCASUS Cable System </w:t>
      </w:r>
      <w:r w:rsidRPr="00610B1B">
        <w:rPr>
          <w:rFonts w:ascii="Times New Roman" w:eastAsia="Times New Roman" w:hAnsi="Times New Roman" w:cs="Times New Roman"/>
          <w:sz w:val="24"/>
          <w:szCs w:val="24"/>
          <w:lang w:val="bg-BG" w:eastAsia="bg-BG"/>
        </w:rPr>
        <w:t>свързва градовете Балчик и Поти (Грузия). Кавказката кабелна система</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е грузински подводен комуникационен кабел в Черно море, в експлоатация от 2008 г.</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Тази подводна система е с дължина над 1 200 km и </w:t>
      </w:r>
      <w:r w:rsidRPr="00610B1B">
        <w:rPr>
          <w:rFonts w:ascii="Times New Roman" w:eastAsia="Times New Roman" w:hAnsi="Times New Roman" w:cs="Times New Roman"/>
          <w:sz w:val="24"/>
          <w:szCs w:val="24"/>
          <w:shd w:val="clear" w:color="auto" w:fill="FFFFFF"/>
          <w:lang w:val="bg-BG" w:eastAsia="bg-BG"/>
        </w:rPr>
        <w:t>капацитет 12,6 Tbit в секунда.</w:t>
      </w:r>
      <w:r w:rsidRPr="00610B1B">
        <w:rPr>
          <w:rFonts w:ascii="Times New Roman" w:eastAsia="Times New Roman" w:hAnsi="Times New Roman" w:cs="Times New Roman"/>
          <w:b/>
          <w:sz w:val="24"/>
          <w:szCs w:val="24"/>
          <w:lang w:val="bg-BG" w:eastAsia="bg-BG"/>
        </w:rPr>
        <w:t xml:space="preserve"> </w:t>
      </w:r>
      <w:r w:rsidRPr="00610B1B">
        <w:rPr>
          <w:rFonts w:ascii="Times New Roman" w:eastAsia="Times New Roman" w:hAnsi="Times New Roman" w:cs="Times New Roman"/>
          <w:sz w:val="24"/>
          <w:szCs w:val="24"/>
          <w:lang w:val="bg-BG" w:eastAsia="bg-BG"/>
        </w:rPr>
        <w:t>От българска страна е изградена оптична връзка към Варна, а от грузинския край е положена оптична връзка към Азербайджан. Наземната станция в Балчик е свързана с Франкфурт, Германия и други европейски интернет центрове чрез наземна връзка.</w:t>
      </w:r>
    </w:p>
    <w:p w14:paraId="6A8EDCAB" w14:textId="561B7DB6" w:rsidR="00E013DD" w:rsidRPr="00610B1B" w:rsidRDefault="00E013DD" w:rsidP="00D32D6A">
      <w:pPr>
        <w:spacing w:after="120"/>
        <w:ind w:right="-153"/>
        <w:jc w:val="both"/>
        <w:rPr>
          <w:rFonts w:ascii="Times New Roman" w:eastAsia="Times New Roman" w:hAnsi="Times New Roman" w:cs="Times New Roman"/>
          <w:sz w:val="24"/>
          <w:szCs w:val="24"/>
          <w:shd w:val="clear" w:color="auto" w:fill="FFFFFF"/>
          <w:lang w:val="bg-BG" w:eastAsia="bg-BG"/>
        </w:rPr>
      </w:pPr>
      <w:r w:rsidRPr="00610B1B">
        <w:rPr>
          <w:rFonts w:ascii="Times New Roman" w:eastAsia="Times New Roman" w:hAnsi="Times New Roman" w:cs="Times New Roman"/>
          <w:b/>
          <w:sz w:val="24"/>
          <w:szCs w:val="24"/>
          <w:lang w:val="bg-BG" w:eastAsia="bg-BG"/>
        </w:rPr>
        <w:t>Информационните и комуникационни технологии</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са един от водещите фактори за иновативно и приобщаващо информационно общество, осигуряващо високо качество на живот на гражданите. </w:t>
      </w:r>
      <w:r w:rsidRPr="00610B1B">
        <w:rPr>
          <w:rFonts w:ascii="Times New Roman" w:eastAsia="Times New Roman" w:hAnsi="Times New Roman" w:cs="Times New Roman"/>
          <w:sz w:val="24"/>
          <w:szCs w:val="24"/>
          <w:shd w:val="clear" w:color="auto" w:fill="FFFFFF"/>
          <w:lang w:val="bg-BG" w:eastAsia="bg-BG"/>
        </w:rPr>
        <w:t xml:space="preserve">Напредъкът в развитието на </w:t>
      </w:r>
      <w:r w:rsidRPr="00610B1B">
        <w:rPr>
          <w:rFonts w:ascii="Times New Roman" w:eastAsia="Times New Roman" w:hAnsi="Times New Roman" w:cs="Times New Roman"/>
          <w:bCs/>
          <w:sz w:val="24"/>
          <w:szCs w:val="24"/>
          <w:shd w:val="clear" w:color="auto" w:fill="FFFFFF"/>
          <w:lang w:val="bg-BG" w:eastAsia="bg-BG"/>
        </w:rPr>
        <w:t>информационното общество</w:t>
      </w:r>
      <w:r w:rsidRPr="00610B1B">
        <w:rPr>
          <w:rFonts w:ascii="Times New Roman" w:eastAsia="Times New Roman" w:hAnsi="Times New Roman" w:cs="Times New Roman"/>
          <w:sz w:val="24"/>
          <w:szCs w:val="24"/>
          <w:shd w:val="clear" w:color="auto" w:fill="FFFFFF"/>
          <w:lang w:val="bg-BG" w:eastAsia="bg-BG"/>
        </w:rPr>
        <w:t xml:space="preserve"> се счита за изключително важен за удовлетворяване на потребностите на обществото и на икономиката.</w:t>
      </w:r>
      <w:r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shd w:val="clear" w:color="auto" w:fill="FFFFFF"/>
          <w:lang w:val="bg-BG" w:eastAsia="bg-BG"/>
        </w:rPr>
        <w:t>Постепенно ИКТ стават широкодостъпни за населението както по отношение на възможностите за достъп, така и по отношение на тяхната цена, като темповете на достъпност нарастват по-отчетливо в периода 2007-2013 г. и малко по-плавно в периода 2013-2018</w:t>
      </w:r>
      <w:r w:rsidR="008107B9" w:rsidRPr="00610B1B">
        <w:rPr>
          <w:rFonts w:ascii="Times New Roman" w:eastAsia="Times New Roman" w:hAnsi="Times New Roman" w:cs="Times New Roman"/>
          <w:sz w:val="24"/>
          <w:szCs w:val="24"/>
          <w:shd w:val="clear" w:color="auto" w:fill="FFFFFF"/>
          <w:lang w:val="bg-BG" w:eastAsia="bg-BG"/>
        </w:rPr>
        <w:t xml:space="preserve"> </w:t>
      </w:r>
      <w:r w:rsidRPr="00610B1B">
        <w:rPr>
          <w:rFonts w:ascii="Times New Roman" w:eastAsia="Times New Roman" w:hAnsi="Times New Roman" w:cs="Times New Roman"/>
          <w:sz w:val="24"/>
          <w:szCs w:val="24"/>
          <w:shd w:val="clear" w:color="auto" w:fill="FFFFFF"/>
          <w:lang w:val="bg-BG" w:eastAsia="bg-BG"/>
        </w:rPr>
        <w:t xml:space="preserve">г. За десет години делът на домакинствата в ЕС-28 с достъп до интернет е достигнал 85%, </w:t>
      </w:r>
      <w:r w:rsidR="00080DB1" w:rsidRPr="00610B1B">
        <w:rPr>
          <w:rFonts w:ascii="Times New Roman" w:eastAsia="Times New Roman" w:hAnsi="Times New Roman" w:cs="Times New Roman"/>
          <w:sz w:val="24"/>
          <w:szCs w:val="24"/>
          <w:shd w:val="clear" w:color="auto" w:fill="FFFFFF"/>
          <w:lang w:val="bg-BG" w:eastAsia="bg-BG"/>
        </w:rPr>
        <w:t xml:space="preserve">или </w:t>
      </w:r>
      <w:r w:rsidRPr="00610B1B">
        <w:rPr>
          <w:rFonts w:ascii="Times New Roman" w:eastAsia="Times New Roman" w:hAnsi="Times New Roman" w:cs="Times New Roman"/>
          <w:sz w:val="24"/>
          <w:szCs w:val="24"/>
          <w:shd w:val="clear" w:color="auto" w:fill="FFFFFF"/>
          <w:lang w:val="bg-BG" w:eastAsia="bg-BG"/>
        </w:rPr>
        <w:t>с 30 процентни пункта повече в сравнение с 2007</w:t>
      </w:r>
      <w:r w:rsidR="00080DB1" w:rsidRPr="00610B1B">
        <w:rPr>
          <w:rFonts w:ascii="Times New Roman" w:eastAsia="Times New Roman" w:hAnsi="Times New Roman" w:cs="Times New Roman"/>
          <w:sz w:val="24"/>
          <w:szCs w:val="24"/>
          <w:shd w:val="clear" w:color="auto" w:fill="FFFFFF"/>
          <w:lang w:val="bg-BG" w:eastAsia="bg-BG"/>
        </w:rPr>
        <w:t xml:space="preserve"> </w:t>
      </w:r>
      <w:r w:rsidRPr="00610B1B">
        <w:rPr>
          <w:rFonts w:ascii="Times New Roman" w:eastAsia="Times New Roman" w:hAnsi="Times New Roman" w:cs="Times New Roman"/>
          <w:sz w:val="24"/>
          <w:szCs w:val="24"/>
          <w:shd w:val="clear" w:color="auto" w:fill="FFFFFF"/>
          <w:lang w:val="bg-BG" w:eastAsia="bg-BG"/>
        </w:rPr>
        <w:t>г.</w:t>
      </w:r>
    </w:p>
    <w:p w14:paraId="4C95C319" w14:textId="2E157556" w:rsidR="004F72E6" w:rsidRPr="00610B1B" w:rsidRDefault="00E013DD"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България следва тези темпове с по-ниски абсолютни стойности, като за периода 2007-2013</w:t>
      </w:r>
      <w:r w:rsidR="001757A5" w:rsidRPr="00610B1B">
        <w:rPr>
          <w:rFonts w:ascii="Times New Roman" w:eastAsia="Times New Roman" w:hAnsi="Times New Roman" w:cs="Times New Roman"/>
          <w:sz w:val="24"/>
          <w:szCs w:val="24"/>
          <w:lang w:val="bg-BG" w:eastAsia="bg-BG"/>
        </w:rPr>
        <w:t> </w:t>
      </w:r>
      <w:r w:rsidRPr="00610B1B">
        <w:rPr>
          <w:rFonts w:ascii="Times New Roman" w:eastAsia="Times New Roman" w:hAnsi="Times New Roman" w:cs="Times New Roman"/>
          <w:sz w:val="24"/>
          <w:szCs w:val="24"/>
          <w:lang w:val="bg-BG" w:eastAsia="bg-BG"/>
        </w:rPr>
        <w:t>г. достъпът до Интернет рязко нараства с 35</w:t>
      </w:r>
      <w:r w:rsidRPr="00610B1B">
        <w:rPr>
          <w:rFonts w:ascii="Times New Roman" w:eastAsia="Times New Roman" w:hAnsi="Times New Roman" w:cs="Times New Roman"/>
          <w:sz w:val="24"/>
          <w:szCs w:val="24"/>
          <w:shd w:val="clear" w:color="auto" w:fill="FFFFFF"/>
          <w:lang w:val="bg-BG" w:eastAsia="bg-BG"/>
        </w:rPr>
        <w:t xml:space="preserve"> процентни пункта</w:t>
      </w:r>
      <w:r w:rsidRPr="00610B1B">
        <w:rPr>
          <w:rFonts w:ascii="Times New Roman" w:eastAsia="Times New Roman" w:hAnsi="Times New Roman" w:cs="Times New Roman"/>
          <w:sz w:val="24"/>
          <w:szCs w:val="24"/>
          <w:lang w:val="bg-BG" w:eastAsia="bg-BG"/>
        </w:rPr>
        <w:t>, а през периода 2013-2018 г. - с два пъти по-малко, достигайки стойност 72,1%, което е най-ниският дял на достъп от страните в ЕС.</w:t>
      </w:r>
      <w:r w:rsidR="004F72E6" w:rsidRPr="00610B1B">
        <w:rPr>
          <w:rFonts w:ascii="Times New Roman" w:eastAsia="Times New Roman" w:hAnsi="Times New Roman" w:cs="Times New Roman"/>
          <w:sz w:val="24"/>
          <w:szCs w:val="24"/>
          <w:lang w:val="bg-BG" w:eastAsia="bg-BG"/>
        </w:rPr>
        <w:t xml:space="preserve"> Анализът на информацията от НСИ показва, че изоставането по свързаност и ползваемост постепенно се преодолява, с което се подпомага развитието на модерна цифрова инфраструктура в страната.</w:t>
      </w:r>
    </w:p>
    <w:p w14:paraId="72A4DA67" w14:textId="22CACA62" w:rsidR="004F72E6" w:rsidRPr="00610B1B" w:rsidRDefault="004F72E6"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Най-голям напредък в достъпа на домакинствата до интернет за последните години се регистрира именно в регионите, граничещи с Черно море – Североизточен и Югоизточен. Забележително по-висок е и напредъкът в използваемостта на интернет, най-отчетлив в северната част на крайбрежната зона.</w:t>
      </w:r>
    </w:p>
    <w:p w14:paraId="69BCAC4B" w14:textId="098F638E" w:rsidR="00DE74DB" w:rsidRPr="00610B1B" w:rsidRDefault="00B62269" w:rsidP="00D32D6A">
      <w:pPr>
        <w:spacing w:after="120"/>
        <w:ind w:right="-153"/>
        <w:rPr>
          <w:rFonts w:ascii="Times New Roman" w:hAnsi="Times New Roman" w:cs="Times New Roman"/>
          <w:sz w:val="24"/>
          <w:szCs w:val="24"/>
          <w:lang w:val="bg-BG"/>
        </w:rPr>
      </w:pPr>
      <w:bookmarkStart w:id="374" w:name="_Toc83391490"/>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27</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DE74DB" w:rsidRPr="00610B1B">
        <w:rPr>
          <w:rFonts w:ascii="Times New Roman" w:hAnsi="Times New Roman" w:cs="Times New Roman"/>
          <w:sz w:val="24"/>
          <w:szCs w:val="24"/>
          <w:lang w:val="bg-BG"/>
        </w:rPr>
        <w:t>Относителен дял на домакинствата с достъп до интернет и широколентов достъп до интернет</w:t>
      </w:r>
      <w:bookmarkEnd w:id="374"/>
    </w:p>
    <w:p w14:paraId="1161E181" w14:textId="5CB3B8A4" w:rsidR="009D32BB" w:rsidRPr="00610B1B" w:rsidRDefault="00BC44C1" w:rsidP="00D32D6A">
      <w:pPr>
        <w:spacing w:after="120"/>
        <w:ind w:right="-153"/>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noProof/>
          <w:sz w:val="24"/>
          <w:szCs w:val="24"/>
          <w:lang w:val="bg-BG" w:eastAsia="bg-BG"/>
        </w:rPr>
        <w:drawing>
          <wp:inline distT="0" distB="0" distL="0" distR="0" wp14:anchorId="3E27D393" wp14:editId="4558048F">
            <wp:extent cx="485902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9020" cy="2743200"/>
                    </a:xfrm>
                    <a:prstGeom prst="rect">
                      <a:avLst/>
                    </a:prstGeom>
                    <a:noFill/>
                  </pic:spPr>
                </pic:pic>
              </a:graphicData>
            </a:graphic>
          </wp:inline>
        </w:drawing>
      </w:r>
      <w:r w:rsidR="00C415D1" w:rsidRPr="00610B1B">
        <w:rPr>
          <w:rFonts w:ascii="Times New Roman" w:eastAsia="Times New Roman" w:hAnsi="Times New Roman" w:cs="Times New Roman"/>
          <w:sz w:val="24"/>
          <w:szCs w:val="24"/>
          <w:lang w:val="bg-BG" w:eastAsia="bg-BG"/>
        </w:rPr>
        <w:t xml:space="preserve"> </w:t>
      </w:r>
    </w:p>
    <w:p w14:paraId="1C2EFE87" w14:textId="664ADF60" w:rsidR="009D32BB" w:rsidRPr="00610B1B" w:rsidRDefault="009D32BB" w:rsidP="009D32BB">
      <w:pPr>
        <w:spacing w:after="120"/>
        <w:ind w:right="-153"/>
        <w:rPr>
          <w:rFonts w:ascii="Times New Roman" w:eastAsia="Times New Roman" w:hAnsi="Times New Roman" w:cs="Times New Roman"/>
          <w:b/>
          <w:lang w:val="bg-BG" w:eastAsia="bg-BG"/>
        </w:rPr>
      </w:pPr>
      <w:r w:rsidRPr="00610B1B">
        <w:rPr>
          <w:rFonts w:ascii="Times New Roman" w:eastAsia="Times New Roman" w:hAnsi="Times New Roman" w:cs="Times New Roman"/>
          <w:lang w:val="bg-BG" w:eastAsia="bg-BG"/>
        </w:rPr>
        <w:t>Източник: НСИ</w:t>
      </w:r>
    </w:p>
    <w:p w14:paraId="51C1D272" w14:textId="5F388A59" w:rsidR="00E013DD" w:rsidRPr="00610B1B" w:rsidRDefault="00E013DD" w:rsidP="00D32D6A">
      <w:pPr>
        <w:autoSpaceDE w:val="0"/>
        <w:autoSpaceDN w:val="0"/>
        <w:adjustRightInd w:val="0"/>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lastRenderedPageBreak/>
        <w:t>По-бавните темпове на развитие на достъпа до интернет в България дават предимството да бъде реализиран по-качествено и в момента предоставяният достъп в страната е почти 100% широколентов. Така българските потребители получават услуги с качество над средното за ЕС, тъй като в голяма част от държавите-членки на ЕС, делът на тези високоскоростни връзки е по-малък или подобни скорости не се предлагат.</w:t>
      </w:r>
    </w:p>
    <w:p w14:paraId="17205F10" w14:textId="77777777" w:rsidR="0061567A" w:rsidRPr="00610B1B" w:rsidRDefault="0061567A" w:rsidP="00D32D6A">
      <w:pPr>
        <w:autoSpaceDE w:val="0"/>
        <w:autoSpaceDN w:val="0"/>
        <w:adjustRightInd w:val="0"/>
        <w:spacing w:after="120"/>
        <w:ind w:right="-153"/>
        <w:jc w:val="both"/>
        <w:rPr>
          <w:rFonts w:ascii="Times New Roman" w:eastAsia="Times New Roman" w:hAnsi="Times New Roman" w:cs="Times New Roman"/>
          <w:sz w:val="24"/>
          <w:szCs w:val="24"/>
          <w:lang w:val="bg-BG" w:eastAsia="bg-BG"/>
        </w:rPr>
      </w:pPr>
    </w:p>
    <w:p w14:paraId="4B3DEF17" w14:textId="40946B6A" w:rsidR="00BF0D18" w:rsidRPr="00610B1B" w:rsidRDefault="00080DB1" w:rsidP="00D32D6A">
      <w:pPr>
        <w:pStyle w:val="Heading3"/>
        <w:spacing w:before="0" w:line="276" w:lineRule="auto"/>
        <w:ind w:right="-153"/>
        <w:rPr>
          <w:rFonts w:cs="Times New Roman"/>
        </w:rPr>
      </w:pPr>
      <w:bookmarkStart w:id="375" w:name="_Toc83391387"/>
      <w:r w:rsidRPr="00610B1B">
        <w:rPr>
          <w:rFonts w:cs="Times New Roman"/>
        </w:rPr>
        <w:t>3</w:t>
      </w:r>
      <w:r w:rsidR="00BF0D18" w:rsidRPr="00610B1B">
        <w:rPr>
          <w:rFonts w:cs="Times New Roman"/>
        </w:rPr>
        <w:t>.4.2. Широколентово покритие и достъп до високоскоростен Интернет</w:t>
      </w:r>
      <w:bookmarkEnd w:id="375"/>
    </w:p>
    <w:p w14:paraId="2ED1DAFA" w14:textId="355F33DC" w:rsidR="00E013DD" w:rsidRPr="00610B1B" w:rsidRDefault="00E013DD" w:rsidP="00D32D6A">
      <w:pPr>
        <w:widowControl w:val="0"/>
        <w:spacing w:after="120"/>
        <w:ind w:right="-153"/>
        <w:jc w:val="both"/>
        <w:rPr>
          <w:rFonts w:ascii="Times New Roman" w:eastAsia="Times New Roman" w:hAnsi="Times New Roman" w:cs="Times New Roman"/>
          <w:color w:val="000000"/>
          <w:sz w:val="24"/>
          <w:szCs w:val="24"/>
          <w:lang w:val="bg-BG"/>
        </w:rPr>
      </w:pPr>
      <w:r w:rsidRPr="00610B1B">
        <w:rPr>
          <w:rFonts w:ascii="Times New Roman" w:eastAsia="Arial Unicode MS" w:hAnsi="Times New Roman" w:cs="Times New Roman"/>
          <w:bCs/>
          <w:sz w:val="24"/>
          <w:szCs w:val="24"/>
          <w:lang w:val="bg-BG" w:eastAsia="bg-BG"/>
        </w:rPr>
        <w:t>Широколентовото покритие</w:t>
      </w:r>
      <w:r w:rsidRPr="00610B1B">
        <w:rPr>
          <w:rFonts w:ascii="Times New Roman" w:eastAsia="Arial Unicode MS" w:hAnsi="Times New Roman" w:cs="Times New Roman"/>
          <w:sz w:val="24"/>
          <w:szCs w:val="24"/>
          <w:lang w:val="bg-BG" w:eastAsia="bg-BG"/>
        </w:rPr>
        <w:t xml:space="preserve"> в България е над средните стойности за ЕС, но се наблюдава дисбаланс между гъсто населените и слабо населените места. </w:t>
      </w:r>
      <w:r w:rsidRPr="00610B1B">
        <w:rPr>
          <w:rFonts w:ascii="Times New Roman" w:eastAsia="Arial Unicode MS" w:hAnsi="Times New Roman" w:cs="Times New Roman"/>
          <w:color w:val="000000"/>
          <w:sz w:val="24"/>
          <w:szCs w:val="24"/>
          <w:lang w:val="bg-BG" w:eastAsia="bg-BG"/>
        </w:rPr>
        <w:t xml:space="preserve">По отношение скоростта на интернет в по-големите градове, България е на едно от челните места в Европа. Въпреки това в средните и малките градове, както и в отдалечените и слабо населени селски зони, големи области нямат достъп до интернет. </w:t>
      </w:r>
      <w:r w:rsidRPr="00610B1B">
        <w:rPr>
          <w:rFonts w:ascii="Times New Roman" w:eastAsia="Times New Roman" w:hAnsi="Times New Roman" w:cs="Times New Roman"/>
          <w:sz w:val="24"/>
          <w:szCs w:val="24"/>
          <w:lang w:val="bg-BG" w:eastAsia="bg-BG"/>
        </w:rPr>
        <w:t>По данни на НСИ, през 2018 г. 71,5% от домакинствата в страната имат широколентов достъп до Интернет, като за градовете тази стойност е 75,7%, а за селата - 58%. През 2013 г. само 30,9% от домакинствата в селата са имали широколентов достъп до Интернет при 61,1% за градовете с разлика от 30%, докато към 2018 г. разликата е намаляла почти двойно.</w:t>
      </w:r>
      <w:r w:rsidR="004F72E6"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color w:val="000000"/>
          <w:sz w:val="24"/>
          <w:szCs w:val="24"/>
          <w:lang w:val="bg-BG"/>
        </w:rPr>
        <w:t xml:space="preserve">Междурегионалните различия в осигуряването на широколентов достъп до Интернет затрудняват използването на </w:t>
      </w:r>
      <w:r w:rsidRPr="00610B1B">
        <w:rPr>
          <w:rFonts w:ascii="Times New Roman" w:eastAsia="Times New Roman" w:hAnsi="Times New Roman" w:cs="Times New Roman"/>
          <w:sz w:val="24"/>
          <w:szCs w:val="24"/>
          <w:lang w:val="bg-BG"/>
        </w:rPr>
        <w:t xml:space="preserve">информационно комуникационните технологии </w:t>
      </w:r>
      <w:r w:rsidRPr="00610B1B">
        <w:rPr>
          <w:rFonts w:ascii="Times New Roman" w:eastAsia="Times New Roman" w:hAnsi="Times New Roman" w:cs="Times New Roman"/>
          <w:color w:val="000000"/>
          <w:sz w:val="24"/>
          <w:szCs w:val="24"/>
          <w:lang w:val="bg-BG"/>
        </w:rPr>
        <w:t>и забавят приложението им, тъй като</w:t>
      </w:r>
      <w:r w:rsidRPr="00610B1B">
        <w:rPr>
          <w:rFonts w:ascii="Times New Roman" w:eastAsia="Times New Roman" w:hAnsi="Times New Roman" w:cs="Times New Roman"/>
          <w:sz w:val="24"/>
          <w:szCs w:val="24"/>
          <w:lang w:val="bg-BG"/>
        </w:rPr>
        <w:t xml:space="preserve"> достъпът до </w:t>
      </w:r>
      <w:r w:rsidRPr="00610B1B">
        <w:rPr>
          <w:rFonts w:ascii="Times New Roman" w:eastAsia="Times New Roman" w:hAnsi="Times New Roman" w:cs="Times New Roman"/>
          <w:color w:val="000000"/>
          <w:sz w:val="24"/>
          <w:szCs w:val="24"/>
          <w:lang w:val="bg-BG"/>
        </w:rPr>
        <w:t>ИКТ</w:t>
      </w:r>
      <w:r w:rsidRPr="00610B1B">
        <w:rPr>
          <w:rFonts w:ascii="Times New Roman" w:eastAsia="Times New Roman" w:hAnsi="Times New Roman" w:cs="Times New Roman"/>
          <w:sz w:val="24"/>
          <w:szCs w:val="24"/>
          <w:lang w:val="bg-BG"/>
        </w:rPr>
        <w:t xml:space="preserve"> в голяма степен се определя от степента на развитие на телекомуникационните системи.</w:t>
      </w:r>
    </w:p>
    <w:p w14:paraId="43CA7625" w14:textId="72587D3A" w:rsidR="00E013DD" w:rsidRPr="00610B1B" w:rsidRDefault="00543303" w:rsidP="00E37053">
      <w:pPr>
        <w:pStyle w:val="Caption"/>
        <w:keepNext/>
        <w:spacing w:before="0" w:after="60" w:line="276" w:lineRule="auto"/>
        <w:ind w:right="-153"/>
        <w:rPr>
          <w:rFonts w:eastAsia="Times New Roman" w:cs="Times New Roman"/>
          <w:bCs/>
          <w:iCs/>
        </w:rPr>
      </w:pPr>
      <w:bookmarkStart w:id="376" w:name="_Toc83391605"/>
      <w:r w:rsidRPr="00610B1B">
        <w:rPr>
          <w:rFonts w:cs="Times New Roman"/>
        </w:rPr>
        <w:t xml:space="preserve">Таблица </w:t>
      </w:r>
      <w:r w:rsidRPr="00610B1B">
        <w:rPr>
          <w:rFonts w:cs="Times New Roman"/>
        </w:rPr>
        <w:fldChar w:fldCharType="begin"/>
      </w:r>
      <w:r w:rsidRPr="00610B1B">
        <w:rPr>
          <w:rFonts w:cs="Times New Roman"/>
        </w:rPr>
        <w:instrText xml:space="preserve"> SEQ Таблица \* ARABIC </w:instrText>
      </w:r>
      <w:r w:rsidRPr="00610B1B">
        <w:rPr>
          <w:rFonts w:cs="Times New Roman"/>
        </w:rPr>
        <w:fldChar w:fldCharType="separate"/>
      </w:r>
      <w:r w:rsidR="00260629" w:rsidRPr="00610B1B">
        <w:rPr>
          <w:rFonts w:cs="Times New Roman"/>
          <w:noProof/>
        </w:rPr>
        <w:t>9</w:t>
      </w:r>
      <w:r w:rsidRPr="00610B1B">
        <w:rPr>
          <w:rFonts w:cs="Times New Roman"/>
        </w:rPr>
        <w:fldChar w:fldCharType="end"/>
      </w:r>
      <w:r w:rsidRPr="00610B1B">
        <w:rPr>
          <w:rFonts w:cs="Times New Roman"/>
        </w:rPr>
        <w:t xml:space="preserve">: </w:t>
      </w:r>
      <w:r w:rsidR="00E013DD" w:rsidRPr="00610B1B">
        <w:rPr>
          <w:rFonts w:eastAsia="Times New Roman" w:cs="Times New Roman"/>
          <w:bCs/>
          <w:iCs/>
        </w:rPr>
        <w:t>Относителен дял на населението с достъп до високоскоростен Интернет в областите Варна, Добрич и Бургас</w:t>
      </w:r>
      <w:bookmarkEnd w:id="376"/>
    </w:p>
    <w:tbl>
      <w:tblPr>
        <w:tblW w:w="0" w:type="auto"/>
        <w:tblInd w:w="108" w:type="dxa"/>
        <w:tblBorders>
          <w:top w:val="single" w:sz="4" w:space="0" w:color="auto"/>
          <w:bottom w:val="single" w:sz="4" w:space="0" w:color="auto"/>
          <w:insideH w:val="single" w:sz="4" w:space="0" w:color="auto"/>
        </w:tblBorders>
        <w:tblLook w:val="00A0" w:firstRow="1" w:lastRow="0" w:firstColumn="1" w:lastColumn="0" w:noHBand="0" w:noVBand="0"/>
      </w:tblPr>
      <w:tblGrid>
        <w:gridCol w:w="2160"/>
        <w:gridCol w:w="1954"/>
        <w:gridCol w:w="1779"/>
        <w:gridCol w:w="1601"/>
        <w:gridCol w:w="1425"/>
      </w:tblGrid>
      <w:tr w:rsidR="00E013DD" w:rsidRPr="00610B1B" w14:paraId="064D2ADA" w14:textId="77777777" w:rsidTr="00BC44C1">
        <w:tc>
          <w:tcPr>
            <w:tcW w:w="2160" w:type="dxa"/>
            <w:shd w:val="clear" w:color="auto" w:fill="C6D9F1" w:themeFill="text2" w:themeFillTint="33"/>
            <w:vAlign w:val="center"/>
          </w:tcPr>
          <w:p w14:paraId="492354AA" w14:textId="77777777" w:rsidR="00E013DD" w:rsidRPr="00610B1B" w:rsidRDefault="00E013DD" w:rsidP="00D32D6A">
            <w:pPr>
              <w:spacing w:after="0" w:line="240" w:lineRule="auto"/>
              <w:jc w:val="center"/>
              <w:rPr>
                <w:rFonts w:ascii="Times New Roman" w:eastAsia="Times New Roman" w:hAnsi="Times New Roman" w:cs="Times New Roman"/>
                <w:b/>
                <w:bCs/>
                <w:color w:val="000000"/>
                <w:lang w:val="bg-BG" w:eastAsia="bg-BG"/>
              </w:rPr>
            </w:pPr>
          </w:p>
        </w:tc>
        <w:tc>
          <w:tcPr>
            <w:tcW w:w="1980" w:type="dxa"/>
            <w:shd w:val="clear" w:color="auto" w:fill="C6D9F1" w:themeFill="text2" w:themeFillTint="33"/>
            <w:vAlign w:val="center"/>
          </w:tcPr>
          <w:p w14:paraId="6B73D4D2" w14:textId="77777777" w:rsidR="00E013DD" w:rsidRPr="00610B1B" w:rsidRDefault="00E013DD" w:rsidP="00BC44C1">
            <w:pPr>
              <w:spacing w:after="0" w:line="240" w:lineRule="auto"/>
              <w:jc w:val="center"/>
              <w:rPr>
                <w:rFonts w:ascii="Times New Roman" w:eastAsia="Times New Roman" w:hAnsi="Times New Roman" w:cs="Times New Roman"/>
                <w:b/>
                <w:bCs/>
                <w:color w:val="000000"/>
                <w:lang w:val="bg-BG" w:eastAsia="bg-BG"/>
              </w:rPr>
            </w:pPr>
            <w:r w:rsidRPr="00610B1B">
              <w:rPr>
                <w:rFonts w:ascii="Times New Roman" w:eastAsia="Times New Roman" w:hAnsi="Times New Roman" w:cs="Times New Roman"/>
                <w:b/>
                <w:bCs/>
                <w:color w:val="000000"/>
                <w:lang w:val="bg-BG" w:eastAsia="bg-BG"/>
              </w:rPr>
              <w:t>ШЛИ 30+ mbps</w:t>
            </w:r>
          </w:p>
        </w:tc>
        <w:tc>
          <w:tcPr>
            <w:tcW w:w="1800" w:type="dxa"/>
            <w:shd w:val="clear" w:color="auto" w:fill="C6D9F1" w:themeFill="text2" w:themeFillTint="33"/>
            <w:vAlign w:val="center"/>
          </w:tcPr>
          <w:p w14:paraId="55B87F0A" w14:textId="77777777" w:rsidR="00E013DD" w:rsidRPr="00610B1B" w:rsidRDefault="00E013DD" w:rsidP="00BC44C1">
            <w:pPr>
              <w:spacing w:after="0" w:line="240" w:lineRule="auto"/>
              <w:jc w:val="center"/>
              <w:rPr>
                <w:rFonts w:ascii="Times New Roman" w:eastAsia="Times New Roman" w:hAnsi="Times New Roman" w:cs="Times New Roman"/>
                <w:b/>
                <w:bCs/>
                <w:color w:val="000000"/>
                <w:lang w:val="bg-BG" w:eastAsia="bg-BG"/>
              </w:rPr>
            </w:pPr>
            <w:r w:rsidRPr="00610B1B">
              <w:rPr>
                <w:rFonts w:ascii="Times New Roman" w:eastAsia="Times New Roman" w:hAnsi="Times New Roman" w:cs="Times New Roman"/>
                <w:b/>
                <w:bCs/>
                <w:color w:val="000000"/>
                <w:lang w:val="bg-BG" w:eastAsia="bg-BG"/>
              </w:rPr>
              <w:t>ШЛИ 100+ mbps</w:t>
            </w:r>
          </w:p>
        </w:tc>
        <w:tc>
          <w:tcPr>
            <w:tcW w:w="1620" w:type="dxa"/>
            <w:shd w:val="clear" w:color="auto" w:fill="C6D9F1" w:themeFill="text2" w:themeFillTint="33"/>
            <w:vAlign w:val="center"/>
          </w:tcPr>
          <w:p w14:paraId="21EE7B20" w14:textId="101D78E8" w:rsidR="00E013DD" w:rsidRPr="00610B1B" w:rsidRDefault="00E013DD" w:rsidP="00BC44C1">
            <w:pPr>
              <w:spacing w:after="0" w:line="240" w:lineRule="auto"/>
              <w:jc w:val="center"/>
              <w:rPr>
                <w:rFonts w:ascii="Times New Roman" w:eastAsia="Times New Roman" w:hAnsi="Times New Roman" w:cs="Times New Roman"/>
                <w:b/>
                <w:bCs/>
                <w:color w:val="000000"/>
                <w:lang w:val="bg-BG" w:eastAsia="bg-BG"/>
              </w:rPr>
            </w:pPr>
            <w:r w:rsidRPr="00610B1B">
              <w:rPr>
                <w:rFonts w:ascii="Times New Roman" w:eastAsia="Times New Roman" w:hAnsi="Times New Roman" w:cs="Times New Roman"/>
                <w:b/>
                <w:bCs/>
                <w:color w:val="000000"/>
                <w:lang w:val="bg-BG" w:eastAsia="bg-BG"/>
              </w:rPr>
              <w:t>Бяла*</w:t>
            </w:r>
            <w:r w:rsidR="00D66FE0" w:rsidRPr="00610B1B">
              <w:rPr>
                <w:rFonts w:ascii="Times New Roman" w:eastAsia="Times New Roman" w:hAnsi="Times New Roman" w:cs="Times New Roman"/>
                <w:b/>
                <w:bCs/>
                <w:color w:val="000000"/>
                <w:lang w:val="bg-BG" w:eastAsia="bg-BG"/>
              </w:rPr>
              <w:t xml:space="preserve"> </w:t>
            </w:r>
            <w:r w:rsidRPr="00610B1B">
              <w:rPr>
                <w:rFonts w:ascii="Times New Roman" w:eastAsia="Times New Roman" w:hAnsi="Times New Roman" w:cs="Times New Roman"/>
                <w:b/>
                <w:bCs/>
                <w:color w:val="000000"/>
                <w:lang w:val="bg-BG" w:eastAsia="bg-BG"/>
              </w:rPr>
              <w:t>зона</w:t>
            </w:r>
          </w:p>
        </w:tc>
        <w:tc>
          <w:tcPr>
            <w:tcW w:w="1440" w:type="dxa"/>
            <w:shd w:val="clear" w:color="auto" w:fill="C6D9F1" w:themeFill="text2" w:themeFillTint="33"/>
            <w:vAlign w:val="center"/>
          </w:tcPr>
          <w:p w14:paraId="54F641F5" w14:textId="7685A5E3" w:rsidR="00E013DD" w:rsidRPr="00610B1B" w:rsidRDefault="00E013DD" w:rsidP="00BC44C1">
            <w:pPr>
              <w:spacing w:after="0" w:line="240" w:lineRule="auto"/>
              <w:jc w:val="center"/>
              <w:rPr>
                <w:rFonts w:ascii="Times New Roman" w:eastAsia="Times New Roman" w:hAnsi="Times New Roman" w:cs="Times New Roman"/>
                <w:b/>
                <w:bCs/>
                <w:color w:val="000000"/>
                <w:lang w:val="bg-BG" w:eastAsia="bg-BG"/>
              </w:rPr>
            </w:pPr>
            <w:r w:rsidRPr="00610B1B">
              <w:rPr>
                <w:rFonts w:ascii="Times New Roman" w:eastAsia="Times New Roman" w:hAnsi="Times New Roman" w:cs="Times New Roman"/>
                <w:b/>
                <w:bCs/>
                <w:color w:val="000000"/>
                <w:lang w:val="bg-BG" w:eastAsia="bg-BG"/>
              </w:rPr>
              <w:t>Сива*</w:t>
            </w:r>
            <w:r w:rsidR="00D66FE0" w:rsidRPr="00610B1B">
              <w:rPr>
                <w:rFonts w:ascii="Times New Roman" w:eastAsia="Times New Roman" w:hAnsi="Times New Roman" w:cs="Times New Roman"/>
                <w:b/>
                <w:bCs/>
                <w:color w:val="000000"/>
                <w:lang w:val="bg-BG" w:eastAsia="bg-BG"/>
              </w:rPr>
              <w:t xml:space="preserve"> </w:t>
            </w:r>
            <w:r w:rsidRPr="00610B1B">
              <w:rPr>
                <w:rFonts w:ascii="Times New Roman" w:eastAsia="Times New Roman" w:hAnsi="Times New Roman" w:cs="Times New Roman"/>
                <w:b/>
                <w:bCs/>
                <w:color w:val="000000"/>
                <w:lang w:val="bg-BG" w:eastAsia="bg-BG"/>
              </w:rPr>
              <w:t>зона</w:t>
            </w:r>
          </w:p>
        </w:tc>
      </w:tr>
      <w:tr w:rsidR="00E013DD" w:rsidRPr="00610B1B" w14:paraId="3495FC29" w14:textId="77777777" w:rsidTr="00BC44C1">
        <w:tc>
          <w:tcPr>
            <w:tcW w:w="2160" w:type="dxa"/>
          </w:tcPr>
          <w:p w14:paraId="59718E50" w14:textId="77777777" w:rsidR="00E013DD" w:rsidRPr="00610B1B" w:rsidRDefault="00E013DD" w:rsidP="00BC44C1">
            <w:pPr>
              <w:spacing w:before="20" w:after="20" w:line="240" w:lineRule="auto"/>
              <w:rPr>
                <w:rFonts w:ascii="Times New Roman" w:eastAsia="Times New Roman" w:hAnsi="Times New Roman" w:cs="Times New Roman"/>
                <w:b/>
                <w:bCs/>
                <w:color w:val="000000"/>
                <w:lang w:val="bg-BG" w:eastAsia="bg-BG"/>
              </w:rPr>
            </w:pPr>
            <w:r w:rsidRPr="00610B1B">
              <w:rPr>
                <w:rFonts w:ascii="Times New Roman" w:eastAsia="Times New Roman" w:hAnsi="Times New Roman" w:cs="Times New Roman"/>
                <w:b/>
                <w:bCs/>
                <w:color w:val="000000"/>
                <w:lang w:val="bg-BG" w:eastAsia="bg-BG"/>
              </w:rPr>
              <w:t>България</w:t>
            </w:r>
          </w:p>
        </w:tc>
        <w:tc>
          <w:tcPr>
            <w:tcW w:w="1980" w:type="dxa"/>
          </w:tcPr>
          <w:p w14:paraId="746D77D7" w14:textId="20C9A660" w:rsidR="00E013DD" w:rsidRPr="00610B1B" w:rsidRDefault="00E013DD" w:rsidP="00BC44C1">
            <w:pPr>
              <w:spacing w:before="20" w:after="20" w:line="240" w:lineRule="auto"/>
              <w:jc w:val="right"/>
              <w:rPr>
                <w:rFonts w:ascii="Times New Roman" w:eastAsia="Times New Roman" w:hAnsi="Times New Roman" w:cs="Times New Roman"/>
                <w:b/>
                <w:bCs/>
                <w:color w:val="000000"/>
                <w:lang w:val="bg-BG" w:eastAsia="bg-BG"/>
              </w:rPr>
            </w:pPr>
            <w:r w:rsidRPr="00610B1B">
              <w:rPr>
                <w:rFonts w:ascii="Times New Roman" w:eastAsia="Times New Roman" w:hAnsi="Times New Roman" w:cs="Times New Roman"/>
                <w:b/>
                <w:bCs/>
                <w:color w:val="000000"/>
                <w:lang w:val="bg-BG" w:eastAsia="bg-BG"/>
              </w:rPr>
              <w:t>97</w:t>
            </w:r>
            <w:r w:rsidR="00F37354" w:rsidRPr="00610B1B">
              <w:rPr>
                <w:rFonts w:ascii="Times New Roman" w:eastAsia="Times New Roman" w:hAnsi="Times New Roman" w:cs="Times New Roman"/>
                <w:b/>
                <w:bCs/>
                <w:color w:val="000000"/>
                <w:lang w:val="bg-BG" w:eastAsia="bg-BG"/>
              </w:rPr>
              <w:t>,</w:t>
            </w:r>
            <w:r w:rsidRPr="00610B1B">
              <w:rPr>
                <w:rFonts w:ascii="Times New Roman" w:eastAsia="Times New Roman" w:hAnsi="Times New Roman" w:cs="Times New Roman"/>
                <w:b/>
                <w:bCs/>
                <w:color w:val="000000"/>
                <w:lang w:val="bg-BG" w:eastAsia="bg-BG"/>
              </w:rPr>
              <w:t>42%</w:t>
            </w:r>
          </w:p>
        </w:tc>
        <w:tc>
          <w:tcPr>
            <w:tcW w:w="1800" w:type="dxa"/>
          </w:tcPr>
          <w:p w14:paraId="269B58B6" w14:textId="70CEC599" w:rsidR="00E013DD" w:rsidRPr="00610B1B" w:rsidRDefault="00E013DD" w:rsidP="00BC44C1">
            <w:pPr>
              <w:spacing w:before="20" w:after="20" w:line="240" w:lineRule="auto"/>
              <w:jc w:val="right"/>
              <w:rPr>
                <w:rFonts w:ascii="Times New Roman" w:eastAsia="Times New Roman" w:hAnsi="Times New Roman" w:cs="Times New Roman"/>
                <w:b/>
                <w:bCs/>
                <w:color w:val="000000"/>
                <w:lang w:val="bg-BG" w:eastAsia="bg-BG"/>
              </w:rPr>
            </w:pPr>
            <w:r w:rsidRPr="00610B1B">
              <w:rPr>
                <w:rFonts w:ascii="Times New Roman" w:eastAsia="Times New Roman" w:hAnsi="Times New Roman" w:cs="Times New Roman"/>
                <w:b/>
                <w:bCs/>
                <w:color w:val="000000"/>
                <w:lang w:val="bg-BG" w:eastAsia="bg-BG"/>
              </w:rPr>
              <w:t>97</w:t>
            </w:r>
            <w:r w:rsidR="00F37354" w:rsidRPr="00610B1B">
              <w:rPr>
                <w:rFonts w:ascii="Times New Roman" w:eastAsia="Times New Roman" w:hAnsi="Times New Roman" w:cs="Times New Roman"/>
                <w:b/>
                <w:bCs/>
                <w:color w:val="000000"/>
                <w:lang w:val="bg-BG" w:eastAsia="bg-BG"/>
              </w:rPr>
              <w:t>,</w:t>
            </w:r>
            <w:r w:rsidRPr="00610B1B">
              <w:rPr>
                <w:rFonts w:ascii="Times New Roman" w:eastAsia="Times New Roman" w:hAnsi="Times New Roman" w:cs="Times New Roman"/>
                <w:b/>
                <w:bCs/>
                <w:color w:val="000000"/>
                <w:lang w:val="bg-BG" w:eastAsia="bg-BG"/>
              </w:rPr>
              <w:t>97%</w:t>
            </w:r>
          </w:p>
        </w:tc>
        <w:tc>
          <w:tcPr>
            <w:tcW w:w="1620" w:type="dxa"/>
          </w:tcPr>
          <w:p w14:paraId="30A6FD48" w14:textId="7F528C3B" w:rsidR="00E013DD" w:rsidRPr="00610B1B" w:rsidRDefault="00E013DD" w:rsidP="00BC44C1">
            <w:pPr>
              <w:spacing w:before="20" w:after="20" w:line="240" w:lineRule="auto"/>
              <w:jc w:val="right"/>
              <w:rPr>
                <w:rFonts w:ascii="Times New Roman" w:eastAsia="Times New Roman" w:hAnsi="Times New Roman" w:cs="Times New Roman"/>
                <w:b/>
                <w:bCs/>
                <w:color w:val="000000"/>
                <w:lang w:val="bg-BG" w:eastAsia="bg-BG"/>
              </w:rPr>
            </w:pPr>
            <w:r w:rsidRPr="00610B1B">
              <w:rPr>
                <w:rFonts w:ascii="Times New Roman" w:eastAsia="Times New Roman" w:hAnsi="Times New Roman" w:cs="Times New Roman"/>
                <w:b/>
                <w:bCs/>
                <w:color w:val="000000"/>
                <w:lang w:val="bg-BG" w:eastAsia="bg-BG"/>
              </w:rPr>
              <w:t>1</w:t>
            </w:r>
            <w:r w:rsidR="00F37354" w:rsidRPr="00610B1B">
              <w:rPr>
                <w:rFonts w:ascii="Times New Roman" w:eastAsia="Times New Roman" w:hAnsi="Times New Roman" w:cs="Times New Roman"/>
                <w:b/>
                <w:bCs/>
                <w:color w:val="000000"/>
                <w:lang w:val="bg-BG" w:eastAsia="bg-BG"/>
              </w:rPr>
              <w:t>,</w:t>
            </w:r>
            <w:r w:rsidRPr="00610B1B">
              <w:rPr>
                <w:rFonts w:ascii="Times New Roman" w:eastAsia="Times New Roman" w:hAnsi="Times New Roman" w:cs="Times New Roman"/>
                <w:b/>
                <w:bCs/>
                <w:color w:val="000000"/>
                <w:lang w:val="bg-BG" w:eastAsia="bg-BG"/>
              </w:rPr>
              <w:t>59%</w:t>
            </w:r>
          </w:p>
        </w:tc>
        <w:tc>
          <w:tcPr>
            <w:tcW w:w="1440" w:type="dxa"/>
          </w:tcPr>
          <w:p w14:paraId="114F91B8" w14:textId="0D2D25C3" w:rsidR="00E013DD" w:rsidRPr="00610B1B" w:rsidRDefault="00E013DD" w:rsidP="00BC44C1">
            <w:pPr>
              <w:spacing w:before="20" w:after="20" w:line="240" w:lineRule="auto"/>
              <w:jc w:val="right"/>
              <w:rPr>
                <w:rFonts w:ascii="Times New Roman" w:eastAsia="Times New Roman" w:hAnsi="Times New Roman" w:cs="Times New Roman"/>
                <w:b/>
                <w:bCs/>
                <w:color w:val="000000"/>
                <w:lang w:val="bg-BG" w:eastAsia="bg-BG"/>
              </w:rPr>
            </w:pPr>
            <w:r w:rsidRPr="00610B1B">
              <w:rPr>
                <w:rFonts w:ascii="Times New Roman" w:eastAsia="Times New Roman" w:hAnsi="Times New Roman" w:cs="Times New Roman"/>
                <w:b/>
                <w:bCs/>
                <w:color w:val="000000"/>
                <w:lang w:val="bg-BG" w:eastAsia="bg-BG"/>
              </w:rPr>
              <w:t>2</w:t>
            </w:r>
            <w:r w:rsidR="00F37354" w:rsidRPr="00610B1B">
              <w:rPr>
                <w:rFonts w:ascii="Times New Roman" w:eastAsia="Times New Roman" w:hAnsi="Times New Roman" w:cs="Times New Roman"/>
                <w:b/>
                <w:bCs/>
                <w:color w:val="000000"/>
                <w:lang w:val="bg-BG" w:eastAsia="bg-BG"/>
              </w:rPr>
              <w:t>,</w:t>
            </w:r>
            <w:r w:rsidRPr="00610B1B">
              <w:rPr>
                <w:rFonts w:ascii="Times New Roman" w:eastAsia="Times New Roman" w:hAnsi="Times New Roman" w:cs="Times New Roman"/>
                <w:b/>
                <w:bCs/>
                <w:color w:val="000000"/>
                <w:lang w:val="bg-BG" w:eastAsia="bg-BG"/>
              </w:rPr>
              <w:t>30%</w:t>
            </w:r>
          </w:p>
        </w:tc>
      </w:tr>
      <w:tr w:rsidR="00E013DD" w:rsidRPr="00610B1B" w14:paraId="24A70D6D" w14:textId="77777777" w:rsidTr="00BC44C1">
        <w:tc>
          <w:tcPr>
            <w:tcW w:w="2160" w:type="dxa"/>
            <w:vAlign w:val="bottom"/>
          </w:tcPr>
          <w:p w14:paraId="78F79333" w14:textId="77777777" w:rsidR="00E013DD" w:rsidRPr="00610B1B" w:rsidRDefault="00E013DD" w:rsidP="00BC44C1">
            <w:pPr>
              <w:spacing w:before="20" w:after="20" w:line="240" w:lineRule="auto"/>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Варна</w:t>
            </w:r>
          </w:p>
        </w:tc>
        <w:tc>
          <w:tcPr>
            <w:tcW w:w="1980" w:type="dxa"/>
            <w:vAlign w:val="center"/>
          </w:tcPr>
          <w:p w14:paraId="4CD6F15B" w14:textId="796F65FC" w:rsidR="00E013DD" w:rsidRPr="00610B1B" w:rsidRDefault="00E013DD" w:rsidP="00BC44C1">
            <w:pPr>
              <w:spacing w:before="20" w:after="20" w:line="240" w:lineRule="auto"/>
              <w:jc w:val="right"/>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99</w:t>
            </w:r>
            <w:r w:rsidR="00F37354" w:rsidRPr="00610B1B">
              <w:rPr>
                <w:rFonts w:ascii="Times New Roman" w:eastAsia="Times New Roman" w:hAnsi="Times New Roman" w:cs="Times New Roman"/>
                <w:bCs/>
                <w:color w:val="000000"/>
                <w:lang w:val="bg-BG" w:eastAsia="bg-BG"/>
              </w:rPr>
              <w:t>,</w:t>
            </w:r>
            <w:r w:rsidRPr="00610B1B">
              <w:rPr>
                <w:rFonts w:ascii="Times New Roman" w:eastAsia="Times New Roman" w:hAnsi="Times New Roman" w:cs="Times New Roman"/>
                <w:bCs/>
                <w:color w:val="000000"/>
                <w:lang w:val="bg-BG" w:eastAsia="bg-BG"/>
              </w:rPr>
              <w:t>01%</w:t>
            </w:r>
          </w:p>
        </w:tc>
        <w:tc>
          <w:tcPr>
            <w:tcW w:w="1800" w:type="dxa"/>
            <w:vAlign w:val="center"/>
          </w:tcPr>
          <w:p w14:paraId="6CF60433" w14:textId="73F039D0" w:rsidR="00E013DD" w:rsidRPr="00610B1B" w:rsidRDefault="00E013DD" w:rsidP="00BC44C1">
            <w:pPr>
              <w:spacing w:before="20" w:after="20" w:line="240" w:lineRule="auto"/>
              <w:jc w:val="right"/>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98</w:t>
            </w:r>
            <w:r w:rsidR="00F37354" w:rsidRPr="00610B1B">
              <w:rPr>
                <w:rFonts w:ascii="Times New Roman" w:eastAsia="Times New Roman" w:hAnsi="Times New Roman" w:cs="Times New Roman"/>
                <w:bCs/>
                <w:color w:val="000000"/>
                <w:lang w:val="bg-BG" w:eastAsia="bg-BG"/>
              </w:rPr>
              <w:t>,</w:t>
            </w:r>
            <w:r w:rsidRPr="00610B1B">
              <w:rPr>
                <w:rFonts w:ascii="Times New Roman" w:eastAsia="Times New Roman" w:hAnsi="Times New Roman" w:cs="Times New Roman"/>
                <w:bCs/>
                <w:color w:val="000000"/>
                <w:lang w:val="bg-BG" w:eastAsia="bg-BG"/>
              </w:rPr>
              <w:t>05%</w:t>
            </w:r>
          </w:p>
        </w:tc>
        <w:tc>
          <w:tcPr>
            <w:tcW w:w="1620" w:type="dxa"/>
            <w:vAlign w:val="center"/>
          </w:tcPr>
          <w:p w14:paraId="350C180E" w14:textId="6CDFE3D9" w:rsidR="00E013DD" w:rsidRPr="00610B1B" w:rsidRDefault="00E013DD" w:rsidP="00BC44C1">
            <w:pPr>
              <w:spacing w:before="20" w:after="20" w:line="240" w:lineRule="auto"/>
              <w:jc w:val="right"/>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1</w:t>
            </w:r>
            <w:r w:rsidR="00F37354" w:rsidRPr="00610B1B">
              <w:rPr>
                <w:rFonts w:ascii="Times New Roman" w:eastAsia="Times New Roman" w:hAnsi="Times New Roman" w:cs="Times New Roman"/>
                <w:bCs/>
                <w:color w:val="000000"/>
                <w:lang w:val="bg-BG" w:eastAsia="bg-BG"/>
              </w:rPr>
              <w:t>,</w:t>
            </w:r>
            <w:r w:rsidRPr="00610B1B">
              <w:rPr>
                <w:rFonts w:ascii="Times New Roman" w:eastAsia="Times New Roman" w:hAnsi="Times New Roman" w:cs="Times New Roman"/>
                <w:bCs/>
                <w:color w:val="000000"/>
                <w:lang w:val="bg-BG" w:eastAsia="bg-BG"/>
              </w:rPr>
              <w:t>03%</w:t>
            </w:r>
          </w:p>
        </w:tc>
        <w:tc>
          <w:tcPr>
            <w:tcW w:w="1440" w:type="dxa"/>
            <w:vAlign w:val="center"/>
          </w:tcPr>
          <w:p w14:paraId="2C03B0EC" w14:textId="5D3A73AC" w:rsidR="00E013DD" w:rsidRPr="00610B1B" w:rsidRDefault="00E013DD" w:rsidP="00BC44C1">
            <w:pPr>
              <w:spacing w:before="20" w:after="20" w:line="240" w:lineRule="auto"/>
              <w:jc w:val="right"/>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0</w:t>
            </w:r>
            <w:r w:rsidR="00F37354" w:rsidRPr="00610B1B">
              <w:rPr>
                <w:rFonts w:ascii="Times New Roman" w:eastAsia="Times New Roman" w:hAnsi="Times New Roman" w:cs="Times New Roman"/>
                <w:bCs/>
                <w:color w:val="000000"/>
                <w:lang w:val="bg-BG" w:eastAsia="bg-BG"/>
              </w:rPr>
              <w:t>,</w:t>
            </w:r>
            <w:r w:rsidRPr="00610B1B">
              <w:rPr>
                <w:rFonts w:ascii="Times New Roman" w:eastAsia="Times New Roman" w:hAnsi="Times New Roman" w:cs="Times New Roman"/>
                <w:bCs/>
                <w:color w:val="000000"/>
                <w:lang w:val="bg-BG" w:eastAsia="bg-BG"/>
              </w:rPr>
              <w:t>92%</w:t>
            </w:r>
          </w:p>
        </w:tc>
      </w:tr>
      <w:tr w:rsidR="00E013DD" w:rsidRPr="00610B1B" w14:paraId="78625FB1" w14:textId="77777777" w:rsidTr="00BC44C1">
        <w:tc>
          <w:tcPr>
            <w:tcW w:w="2160" w:type="dxa"/>
            <w:vAlign w:val="bottom"/>
          </w:tcPr>
          <w:p w14:paraId="37BAD136" w14:textId="77777777" w:rsidR="00E013DD" w:rsidRPr="00610B1B" w:rsidRDefault="00E013DD" w:rsidP="00BC44C1">
            <w:pPr>
              <w:spacing w:before="20" w:after="20" w:line="240" w:lineRule="auto"/>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Добрич</w:t>
            </w:r>
          </w:p>
        </w:tc>
        <w:tc>
          <w:tcPr>
            <w:tcW w:w="1980" w:type="dxa"/>
            <w:vAlign w:val="center"/>
          </w:tcPr>
          <w:p w14:paraId="14F8CA74" w14:textId="5B33C6BF" w:rsidR="00E013DD" w:rsidRPr="00610B1B" w:rsidRDefault="00E013DD" w:rsidP="00BC44C1">
            <w:pPr>
              <w:spacing w:before="20" w:after="20" w:line="240" w:lineRule="auto"/>
              <w:jc w:val="right"/>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96</w:t>
            </w:r>
            <w:r w:rsidR="00F37354" w:rsidRPr="00610B1B">
              <w:rPr>
                <w:rFonts w:ascii="Times New Roman" w:eastAsia="Times New Roman" w:hAnsi="Times New Roman" w:cs="Times New Roman"/>
                <w:bCs/>
                <w:color w:val="000000"/>
                <w:lang w:val="bg-BG" w:eastAsia="bg-BG"/>
              </w:rPr>
              <w:t>,</w:t>
            </w:r>
            <w:r w:rsidRPr="00610B1B">
              <w:rPr>
                <w:rFonts w:ascii="Times New Roman" w:eastAsia="Times New Roman" w:hAnsi="Times New Roman" w:cs="Times New Roman"/>
                <w:bCs/>
                <w:color w:val="000000"/>
                <w:lang w:val="bg-BG" w:eastAsia="bg-BG"/>
              </w:rPr>
              <w:t>70%</w:t>
            </w:r>
          </w:p>
        </w:tc>
        <w:tc>
          <w:tcPr>
            <w:tcW w:w="1800" w:type="dxa"/>
            <w:vAlign w:val="center"/>
          </w:tcPr>
          <w:p w14:paraId="277B82B5" w14:textId="0B33B952" w:rsidR="00E013DD" w:rsidRPr="00610B1B" w:rsidRDefault="00E013DD" w:rsidP="00BC44C1">
            <w:pPr>
              <w:spacing w:before="20" w:after="20" w:line="240" w:lineRule="auto"/>
              <w:jc w:val="right"/>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95</w:t>
            </w:r>
            <w:r w:rsidR="00F37354" w:rsidRPr="00610B1B">
              <w:rPr>
                <w:rFonts w:ascii="Times New Roman" w:eastAsia="Times New Roman" w:hAnsi="Times New Roman" w:cs="Times New Roman"/>
                <w:bCs/>
                <w:color w:val="000000"/>
                <w:lang w:val="bg-BG" w:eastAsia="bg-BG"/>
              </w:rPr>
              <w:t>,</w:t>
            </w:r>
            <w:r w:rsidRPr="00610B1B">
              <w:rPr>
                <w:rFonts w:ascii="Times New Roman" w:eastAsia="Times New Roman" w:hAnsi="Times New Roman" w:cs="Times New Roman"/>
                <w:bCs/>
                <w:color w:val="000000"/>
                <w:lang w:val="bg-BG" w:eastAsia="bg-BG"/>
              </w:rPr>
              <w:t>97%</w:t>
            </w:r>
          </w:p>
        </w:tc>
        <w:tc>
          <w:tcPr>
            <w:tcW w:w="1620" w:type="dxa"/>
            <w:vAlign w:val="center"/>
          </w:tcPr>
          <w:p w14:paraId="485226EE" w14:textId="60787DDC" w:rsidR="00E013DD" w:rsidRPr="00610B1B" w:rsidRDefault="00E013DD" w:rsidP="00BC44C1">
            <w:pPr>
              <w:spacing w:before="20" w:after="20" w:line="240" w:lineRule="auto"/>
              <w:jc w:val="right"/>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3</w:t>
            </w:r>
            <w:r w:rsidR="00F37354" w:rsidRPr="00610B1B">
              <w:rPr>
                <w:rFonts w:ascii="Times New Roman" w:eastAsia="Times New Roman" w:hAnsi="Times New Roman" w:cs="Times New Roman"/>
                <w:bCs/>
                <w:color w:val="000000"/>
                <w:lang w:val="bg-BG" w:eastAsia="bg-BG"/>
              </w:rPr>
              <w:t>,</w:t>
            </w:r>
            <w:r w:rsidRPr="00610B1B">
              <w:rPr>
                <w:rFonts w:ascii="Times New Roman" w:eastAsia="Times New Roman" w:hAnsi="Times New Roman" w:cs="Times New Roman"/>
                <w:bCs/>
                <w:color w:val="000000"/>
                <w:lang w:val="bg-BG" w:eastAsia="bg-BG"/>
              </w:rPr>
              <w:t>40%</w:t>
            </w:r>
          </w:p>
        </w:tc>
        <w:tc>
          <w:tcPr>
            <w:tcW w:w="1440" w:type="dxa"/>
            <w:vAlign w:val="center"/>
          </w:tcPr>
          <w:p w14:paraId="12AC55C0" w14:textId="1B85FA39" w:rsidR="00E013DD" w:rsidRPr="00610B1B" w:rsidRDefault="00E013DD" w:rsidP="00BC44C1">
            <w:pPr>
              <w:spacing w:before="20" w:after="20" w:line="240" w:lineRule="auto"/>
              <w:jc w:val="right"/>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1</w:t>
            </w:r>
            <w:r w:rsidR="00F37354" w:rsidRPr="00610B1B">
              <w:rPr>
                <w:rFonts w:ascii="Times New Roman" w:eastAsia="Times New Roman" w:hAnsi="Times New Roman" w:cs="Times New Roman"/>
                <w:bCs/>
                <w:color w:val="000000"/>
                <w:lang w:val="bg-BG" w:eastAsia="bg-BG"/>
              </w:rPr>
              <w:t>,</w:t>
            </w:r>
            <w:r w:rsidRPr="00610B1B">
              <w:rPr>
                <w:rFonts w:ascii="Times New Roman" w:eastAsia="Times New Roman" w:hAnsi="Times New Roman" w:cs="Times New Roman"/>
                <w:bCs/>
                <w:color w:val="000000"/>
                <w:lang w:val="bg-BG" w:eastAsia="bg-BG"/>
              </w:rPr>
              <w:t>16%</w:t>
            </w:r>
          </w:p>
        </w:tc>
      </w:tr>
      <w:tr w:rsidR="00E013DD" w:rsidRPr="00610B1B" w14:paraId="11B6EAC3" w14:textId="77777777" w:rsidTr="00BC44C1">
        <w:tc>
          <w:tcPr>
            <w:tcW w:w="2160" w:type="dxa"/>
            <w:noWrap/>
            <w:vAlign w:val="bottom"/>
          </w:tcPr>
          <w:p w14:paraId="70FE0B4C" w14:textId="77777777" w:rsidR="00E013DD" w:rsidRPr="00610B1B" w:rsidRDefault="00E013DD" w:rsidP="00BC44C1">
            <w:pPr>
              <w:spacing w:before="20" w:after="20" w:line="240" w:lineRule="auto"/>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Бургас</w:t>
            </w:r>
          </w:p>
        </w:tc>
        <w:tc>
          <w:tcPr>
            <w:tcW w:w="1980" w:type="dxa"/>
            <w:vAlign w:val="center"/>
          </w:tcPr>
          <w:p w14:paraId="5D046881" w14:textId="2F97D1C1" w:rsidR="00E013DD" w:rsidRPr="00610B1B" w:rsidRDefault="00E013DD" w:rsidP="00BC44C1">
            <w:pPr>
              <w:spacing w:before="20" w:after="20" w:line="240" w:lineRule="auto"/>
              <w:jc w:val="right"/>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96</w:t>
            </w:r>
            <w:r w:rsidR="00F37354" w:rsidRPr="00610B1B">
              <w:rPr>
                <w:rFonts w:ascii="Times New Roman" w:eastAsia="Times New Roman" w:hAnsi="Times New Roman" w:cs="Times New Roman"/>
                <w:bCs/>
                <w:color w:val="000000"/>
                <w:lang w:val="bg-BG" w:eastAsia="bg-BG"/>
              </w:rPr>
              <w:t>,</w:t>
            </w:r>
            <w:r w:rsidRPr="00610B1B">
              <w:rPr>
                <w:rFonts w:ascii="Times New Roman" w:eastAsia="Times New Roman" w:hAnsi="Times New Roman" w:cs="Times New Roman"/>
                <w:bCs/>
                <w:color w:val="000000"/>
                <w:lang w:val="bg-BG" w:eastAsia="bg-BG"/>
              </w:rPr>
              <w:t>59%</w:t>
            </w:r>
          </w:p>
        </w:tc>
        <w:tc>
          <w:tcPr>
            <w:tcW w:w="1800" w:type="dxa"/>
            <w:vAlign w:val="center"/>
          </w:tcPr>
          <w:p w14:paraId="0D2A0D7C" w14:textId="2D12138C" w:rsidR="00E013DD" w:rsidRPr="00610B1B" w:rsidRDefault="00E013DD" w:rsidP="00BC44C1">
            <w:pPr>
              <w:spacing w:before="20" w:after="20" w:line="240" w:lineRule="auto"/>
              <w:jc w:val="right"/>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98</w:t>
            </w:r>
            <w:r w:rsidR="00F37354" w:rsidRPr="00610B1B">
              <w:rPr>
                <w:rFonts w:ascii="Times New Roman" w:eastAsia="Times New Roman" w:hAnsi="Times New Roman" w:cs="Times New Roman"/>
                <w:bCs/>
                <w:color w:val="000000"/>
                <w:lang w:val="bg-BG" w:eastAsia="bg-BG"/>
              </w:rPr>
              <w:t>,</w:t>
            </w:r>
            <w:r w:rsidRPr="00610B1B">
              <w:rPr>
                <w:rFonts w:ascii="Times New Roman" w:eastAsia="Times New Roman" w:hAnsi="Times New Roman" w:cs="Times New Roman"/>
                <w:bCs/>
                <w:color w:val="000000"/>
                <w:lang w:val="bg-BG" w:eastAsia="bg-BG"/>
              </w:rPr>
              <w:t>64%</w:t>
            </w:r>
          </w:p>
        </w:tc>
        <w:tc>
          <w:tcPr>
            <w:tcW w:w="1620" w:type="dxa"/>
            <w:vAlign w:val="center"/>
          </w:tcPr>
          <w:p w14:paraId="215401C0" w14:textId="3DC39BFF" w:rsidR="00E013DD" w:rsidRPr="00610B1B" w:rsidRDefault="00E013DD" w:rsidP="00BC44C1">
            <w:pPr>
              <w:spacing w:before="20" w:after="20" w:line="240" w:lineRule="auto"/>
              <w:jc w:val="right"/>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0</w:t>
            </w:r>
            <w:r w:rsidR="00F37354" w:rsidRPr="00610B1B">
              <w:rPr>
                <w:rFonts w:ascii="Times New Roman" w:eastAsia="Times New Roman" w:hAnsi="Times New Roman" w:cs="Times New Roman"/>
                <w:bCs/>
                <w:color w:val="000000"/>
                <w:lang w:val="bg-BG" w:eastAsia="bg-BG"/>
              </w:rPr>
              <w:t>,</w:t>
            </w:r>
            <w:r w:rsidRPr="00610B1B">
              <w:rPr>
                <w:rFonts w:ascii="Times New Roman" w:eastAsia="Times New Roman" w:hAnsi="Times New Roman" w:cs="Times New Roman"/>
                <w:bCs/>
                <w:color w:val="000000"/>
                <w:lang w:val="bg-BG" w:eastAsia="bg-BG"/>
              </w:rPr>
              <w:t>46%</w:t>
            </w:r>
          </w:p>
        </w:tc>
        <w:tc>
          <w:tcPr>
            <w:tcW w:w="1440" w:type="dxa"/>
            <w:vAlign w:val="center"/>
          </w:tcPr>
          <w:p w14:paraId="2ED3E2F7" w14:textId="26499B29" w:rsidR="00E013DD" w:rsidRPr="00610B1B" w:rsidRDefault="00E013DD" w:rsidP="00BC44C1">
            <w:pPr>
              <w:spacing w:before="20" w:after="20" w:line="240" w:lineRule="auto"/>
              <w:jc w:val="right"/>
              <w:rPr>
                <w:rFonts w:ascii="Times New Roman" w:eastAsia="Times New Roman" w:hAnsi="Times New Roman" w:cs="Times New Roman"/>
                <w:bCs/>
                <w:color w:val="000000"/>
                <w:lang w:val="bg-BG" w:eastAsia="bg-BG"/>
              </w:rPr>
            </w:pPr>
            <w:r w:rsidRPr="00610B1B">
              <w:rPr>
                <w:rFonts w:ascii="Times New Roman" w:eastAsia="Times New Roman" w:hAnsi="Times New Roman" w:cs="Times New Roman"/>
                <w:bCs/>
                <w:color w:val="000000"/>
                <w:lang w:val="bg-BG" w:eastAsia="bg-BG"/>
              </w:rPr>
              <w:t>2</w:t>
            </w:r>
            <w:r w:rsidR="00F37354" w:rsidRPr="00610B1B">
              <w:rPr>
                <w:rFonts w:ascii="Times New Roman" w:eastAsia="Times New Roman" w:hAnsi="Times New Roman" w:cs="Times New Roman"/>
                <w:bCs/>
                <w:color w:val="000000"/>
                <w:lang w:val="bg-BG" w:eastAsia="bg-BG"/>
              </w:rPr>
              <w:t>,</w:t>
            </w:r>
            <w:r w:rsidRPr="00610B1B">
              <w:rPr>
                <w:rFonts w:ascii="Times New Roman" w:eastAsia="Times New Roman" w:hAnsi="Times New Roman" w:cs="Times New Roman"/>
                <w:bCs/>
                <w:color w:val="000000"/>
                <w:lang w:val="bg-BG" w:eastAsia="bg-BG"/>
              </w:rPr>
              <w:t>13%</w:t>
            </w:r>
          </w:p>
        </w:tc>
      </w:tr>
    </w:tbl>
    <w:p w14:paraId="3158E3D4" w14:textId="77777777" w:rsidR="00E013DD" w:rsidRPr="00610B1B" w:rsidRDefault="00E013DD" w:rsidP="00BC44C1">
      <w:pPr>
        <w:spacing w:before="60" w:after="120"/>
        <w:ind w:right="-153"/>
        <w:jc w:val="both"/>
        <w:rPr>
          <w:rFonts w:ascii="Times New Roman" w:hAnsi="Times New Roman" w:cs="Times New Roman"/>
          <w:lang w:val="bg-BG"/>
        </w:rPr>
      </w:pPr>
      <w:r w:rsidRPr="00610B1B">
        <w:rPr>
          <w:rFonts w:ascii="Times New Roman" w:hAnsi="Times New Roman" w:cs="Times New Roman"/>
          <w:lang w:val="bg-BG"/>
        </w:rPr>
        <w:t>Източник МТИТС, обработка НЦТР</w:t>
      </w:r>
    </w:p>
    <w:p w14:paraId="3A28FD34" w14:textId="61AAD111" w:rsidR="00E013DD" w:rsidRPr="00610B1B" w:rsidRDefault="00E013DD" w:rsidP="00D32D6A">
      <w:pPr>
        <w:spacing w:after="120"/>
        <w:ind w:right="-153"/>
        <w:jc w:val="both"/>
        <w:rPr>
          <w:rFonts w:ascii="Times New Roman" w:eastAsia="Times New Roman" w:hAnsi="Times New Roman" w:cs="Times New Roman"/>
          <w:i/>
          <w:sz w:val="24"/>
          <w:szCs w:val="24"/>
          <w:lang w:val="bg-BG" w:eastAsia="bg-BG"/>
        </w:rPr>
      </w:pPr>
      <w:r w:rsidRPr="00610B1B">
        <w:rPr>
          <w:rFonts w:ascii="Times New Roman" w:eastAsia="Times New Roman" w:hAnsi="Times New Roman" w:cs="Times New Roman"/>
          <w:b/>
          <w:bCs/>
          <w:i/>
          <w:color w:val="000000"/>
          <w:sz w:val="24"/>
          <w:szCs w:val="24"/>
          <w:lang w:val="bg-BG" w:eastAsia="bg-BG"/>
        </w:rPr>
        <w:t>Бяла* зона</w:t>
      </w:r>
      <w:r w:rsidRPr="00610B1B">
        <w:rPr>
          <w:rFonts w:ascii="Times New Roman" w:eastAsia="Times New Roman" w:hAnsi="Times New Roman" w:cs="Times New Roman"/>
          <w:bCs/>
          <w:i/>
          <w:color w:val="000000"/>
          <w:sz w:val="24"/>
          <w:szCs w:val="24"/>
          <w:lang w:val="bg-BG" w:eastAsia="bg-BG"/>
        </w:rPr>
        <w:t xml:space="preserve"> -</w:t>
      </w:r>
      <w:r w:rsidR="00DE74DB" w:rsidRPr="00610B1B">
        <w:rPr>
          <w:rFonts w:ascii="Times New Roman" w:eastAsia="Times New Roman" w:hAnsi="Times New Roman" w:cs="Times New Roman"/>
          <w:bCs/>
          <w:i/>
          <w:color w:val="000000"/>
          <w:sz w:val="24"/>
          <w:szCs w:val="24"/>
          <w:lang w:val="bg-BG" w:eastAsia="bg-BG"/>
        </w:rPr>
        <w:t xml:space="preserve"> </w:t>
      </w:r>
      <w:r w:rsidRPr="00610B1B">
        <w:rPr>
          <w:rFonts w:ascii="Times New Roman" w:eastAsia="Times New Roman" w:hAnsi="Times New Roman" w:cs="Times New Roman"/>
          <w:i/>
          <w:sz w:val="24"/>
          <w:szCs w:val="24"/>
          <w:lang w:val="bg-BG" w:eastAsia="bg-BG"/>
        </w:rPr>
        <w:t>в т.н</w:t>
      </w:r>
      <w:r w:rsidR="00DE74DB" w:rsidRPr="00610B1B">
        <w:rPr>
          <w:rFonts w:ascii="Times New Roman" w:eastAsia="Times New Roman" w:hAnsi="Times New Roman" w:cs="Times New Roman"/>
          <w:i/>
          <w:sz w:val="24"/>
          <w:szCs w:val="24"/>
          <w:lang w:val="bg-BG" w:eastAsia="bg-BG"/>
        </w:rPr>
        <w:t>ар</w:t>
      </w:r>
      <w:r w:rsidRPr="00610B1B">
        <w:rPr>
          <w:rFonts w:ascii="Times New Roman" w:eastAsia="Times New Roman" w:hAnsi="Times New Roman" w:cs="Times New Roman"/>
          <w:i/>
          <w:sz w:val="24"/>
          <w:szCs w:val="24"/>
          <w:lang w:val="bg-BG" w:eastAsia="bg-BG"/>
        </w:rPr>
        <w:t xml:space="preserve">. „бели райони” не съществува инфраструктура за широколентов достъп или няма вероятност такава да бъде развита в близко бъдеще (в период от три години). </w:t>
      </w:r>
    </w:p>
    <w:p w14:paraId="51868EC7" w14:textId="712367C4" w:rsidR="00E013DD" w:rsidRPr="00610B1B" w:rsidRDefault="00E013DD" w:rsidP="00D32D6A">
      <w:pPr>
        <w:spacing w:after="120"/>
        <w:ind w:right="-153"/>
        <w:jc w:val="both"/>
        <w:rPr>
          <w:rFonts w:ascii="Times New Roman" w:eastAsia="Times New Roman" w:hAnsi="Times New Roman" w:cs="Times New Roman"/>
          <w:bCs/>
          <w:color w:val="000000"/>
          <w:sz w:val="24"/>
          <w:szCs w:val="24"/>
          <w:lang w:val="bg-BG" w:eastAsia="bg-BG"/>
        </w:rPr>
      </w:pPr>
      <w:r w:rsidRPr="00610B1B">
        <w:rPr>
          <w:rFonts w:ascii="Times New Roman" w:eastAsia="Times New Roman" w:hAnsi="Times New Roman" w:cs="Times New Roman"/>
          <w:b/>
          <w:bCs/>
          <w:i/>
          <w:color w:val="000000"/>
          <w:sz w:val="24"/>
          <w:szCs w:val="24"/>
          <w:lang w:val="bg-BG" w:eastAsia="bg-BG"/>
        </w:rPr>
        <w:t>Сива* зона</w:t>
      </w:r>
      <w:r w:rsidRPr="00610B1B">
        <w:rPr>
          <w:rFonts w:ascii="Times New Roman" w:eastAsia="Times New Roman" w:hAnsi="Times New Roman" w:cs="Times New Roman"/>
          <w:bCs/>
          <w:i/>
          <w:color w:val="000000"/>
          <w:sz w:val="24"/>
          <w:szCs w:val="24"/>
          <w:lang w:val="bg-BG" w:eastAsia="bg-BG"/>
        </w:rPr>
        <w:t xml:space="preserve"> -</w:t>
      </w:r>
      <w:r w:rsidR="00DE74DB" w:rsidRPr="00610B1B">
        <w:rPr>
          <w:rFonts w:ascii="Times New Roman" w:eastAsia="Times New Roman" w:hAnsi="Times New Roman" w:cs="Times New Roman"/>
          <w:bCs/>
          <w:i/>
          <w:color w:val="000000"/>
          <w:sz w:val="24"/>
          <w:szCs w:val="24"/>
          <w:lang w:val="bg-BG" w:eastAsia="bg-BG"/>
        </w:rPr>
        <w:t xml:space="preserve"> </w:t>
      </w:r>
      <w:r w:rsidRPr="00610B1B">
        <w:rPr>
          <w:rFonts w:ascii="Times New Roman" w:eastAsia="Times New Roman" w:hAnsi="Times New Roman" w:cs="Times New Roman"/>
          <w:bCs/>
          <w:i/>
          <w:color w:val="000000"/>
          <w:sz w:val="24"/>
          <w:szCs w:val="24"/>
          <w:lang w:val="bg-BG" w:eastAsia="bg-BG"/>
        </w:rPr>
        <w:t>в</w:t>
      </w:r>
      <w:r w:rsidRPr="00610B1B">
        <w:rPr>
          <w:rFonts w:ascii="Times New Roman" w:eastAsia="Times New Roman" w:hAnsi="Times New Roman" w:cs="Times New Roman"/>
          <w:i/>
          <w:sz w:val="24"/>
          <w:szCs w:val="24"/>
          <w:lang w:val="bg-BG" w:eastAsia="bg-BG"/>
        </w:rPr>
        <w:t xml:space="preserve"> „сивите райони” съществува само един доставчик на широколентов достъп</w:t>
      </w:r>
      <w:r w:rsidRPr="00610B1B">
        <w:rPr>
          <w:rFonts w:ascii="Times New Roman" w:eastAsia="Times New Roman" w:hAnsi="Times New Roman" w:cs="Times New Roman"/>
          <w:bCs/>
          <w:i/>
          <w:color w:val="000000"/>
          <w:sz w:val="24"/>
          <w:szCs w:val="24"/>
          <w:lang w:val="bg-BG" w:eastAsia="bg-BG"/>
        </w:rPr>
        <w:t xml:space="preserve"> </w:t>
      </w:r>
    </w:p>
    <w:p w14:paraId="1C7BAE2B" w14:textId="78AF2477" w:rsidR="00E013DD" w:rsidRPr="00610B1B" w:rsidRDefault="00E013DD" w:rsidP="00D32D6A">
      <w:pPr>
        <w:spacing w:after="120"/>
        <w:ind w:right="-153"/>
        <w:jc w:val="both"/>
        <w:rPr>
          <w:rFonts w:ascii="Times New Roman" w:eastAsia="Times New Roman" w:hAnsi="Times New Roman" w:cs="Times New Roman"/>
          <w:bCs/>
          <w:color w:val="000000"/>
          <w:sz w:val="24"/>
          <w:szCs w:val="24"/>
          <w:lang w:val="bg-BG" w:eastAsia="bg-BG"/>
        </w:rPr>
      </w:pPr>
      <w:r w:rsidRPr="00610B1B">
        <w:rPr>
          <w:rFonts w:ascii="Times New Roman" w:eastAsia="Times New Roman" w:hAnsi="Times New Roman" w:cs="Times New Roman"/>
          <w:bCs/>
          <w:color w:val="000000"/>
          <w:sz w:val="24"/>
          <w:szCs w:val="24"/>
          <w:lang w:val="bg-BG" w:eastAsia="bg-BG"/>
        </w:rPr>
        <w:t>В областите Варна и Бургас достъпът на населението до високоскоростен интернет е над средните стойности за страната, докато в област Добрич разпространението изостава</w:t>
      </w:r>
      <w:r w:rsidR="00D5649F" w:rsidRPr="00610B1B">
        <w:rPr>
          <w:rFonts w:ascii="Times New Roman" w:eastAsia="Times New Roman" w:hAnsi="Times New Roman" w:cs="Times New Roman"/>
          <w:bCs/>
          <w:color w:val="000000"/>
          <w:sz w:val="24"/>
          <w:szCs w:val="24"/>
          <w:lang w:val="bg-BG" w:eastAsia="bg-BG"/>
        </w:rPr>
        <w:t xml:space="preserve"> с два пъти по-висок относителен дял на населението </w:t>
      </w:r>
      <w:r w:rsidRPr="00610B1B">
        <w:rPr>
          <w:rFonts w:ascii="Times New Roman" w:eastAsia="Times New Roman" w:hAnsi="Times New Roman" w:cs="Times New Roman"/>
          <w:bCs/>
          <w:color w:val="000000"/>
          <w:sz w:val="24"/>
          <w:szCs w:val="24"/>
          <w:lang w:val="bg-BG" w:eastAsia="bg-BG"/>
        </w:rPr>
        <w:t>от област</w:t>
      </w:r>
      <w:r w:rsidR="00D5649F" w:rsidRPr="00610B1B">
        <w:rPr>
          <w:rFonts w:ascii="Times New Roman" w:eastAsia="Times New Roman" w:hAnsi="Times New Roman" w:cs="Times New Roman"/>
          <w:bCs/>
          <w:color w:val="000000"/>
          <w:sz w:val="24"/>
          <w:szCs w:val="24"/>
          <w:lang w:val="bg-BG" w:eastAsia="bg-BG"/>
        </w:rPr>
        <w:t>та</w:t>
      </w:r>
      <w:r w:rsidRPr="00610B1B">
        <w:rPr>
          <w:rFonts w:ascii="Times New Roman" w:eastAsia="Times New Roman" w:hAnsi="Times New Roman" w:cs="Times New Roman"/>
          <w:bCs/>
          <w:color w:val="000000"/>
          <w:sz w:val="24"/>
          <w:szCs w:val="24"/>
          <w:lang w:val="bg-BG" w:eastAsia="bg-BG"/>
        </w:rPr>
        <w:t>, попадащо в “бяла” зона. В област Бургас е по-висок относителният дял на населението, попадащо в “сива” зона.</w:t>
      </w:r>
    </w:p>
    <w:p w14:paraId="1EE2D9FC" w14:textId="5190E673" w:rsidR="00E013DD" w:rsidRPr="00610B1B" w:rsidRDefault="00E013DD" w:rsidP="00D32D6A">
      <w:pPr>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 xml:space="preserve">Най-северните общини по крайбрежието (област Добрич) имат сравнително по-ограничен достъп до високоскоростен интернет. В общините Балчик и Шабла под 95% от населението има такъв достъп, при това с висок процент, попадащ в “бяла” и/или “сива” </w:t>
      </w:r>
      <w:r w:rsidRPr="00610B1B">
        <w:rPr>
          <w:rFonts w:ascii="Times New Roman" w:eastAsia="Times New Roman" w:hAnsi="Times New Roman" w:cs="Times New Roman"/>
          <w:sz w:val="24"/>
          <w:szCs w:val="24"/>
          <w:lang w:val="bg-BG" w:eastAsia="bg-BG"/>
        </w:rPr>
        <w:lastRenderedPageBreak/>
        <w:t xml:space="preserve">зона. Най-южната община по крайбрежието </w:t>
      </w:r>
      <w:r w:rsidR="00D5649F" w:rsidRPr="00610B1B">
        <w:rPr>
          <w:rFonts w:ascii="Times New Roman" w:eastAsia="Times New Roman" w:hAnsi="Times New Roman" w:cs="Times New Roman"/>
          <w:sz w:val="24"/>
          <w:szCs w:val="24"/>
          <w:lang w:val="bg-BG" w:eastAsia="bg-BG"/>
        </w:rPr>
        <w:t>–</w:t>
      </w:r>
      <w:r w:rsidR="00641B2C"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Царево</w:t>
      </w:r>
      <w:r w:rsidR="00D5649F" w:rsidRPr="00610B1B">
        <w:rPr>
          <w:rFonts w:ascii="Times New Roman" w:eastAsia="Times New Roman" w:hAnsi="Times New Roman" w:cs="Times New Roman"/>
          <w:sz w:val="24"/>
          <w:szCs w:val="24"/>
          <w:lang w:val="bg-BG" w:eastAsia="bg-BG"/>
        </w:rPr>
        <w:t>,</w:t>
      </w:r>
      <w:r w:rsidRPr="00610B1B">
        <w:rPr>
          <w:rFonts w:ascii="Times New Roman" w:eastAsia="Times New Roman" w:hAnsi="Times New Roman" w:cs="Times New Roman"/>
          <w:sz w:val="24"/>
          <w:szCs w:val="24"/>
          <w:lang w:val="bg-BG" w:eastAsia="bg-BG"/>
        </w:rPr>
        <w:t xml:space="preserve"> също има по-ограничен достъп до високоскоростен интернет.</w:t>
      </w:r>
      <w:r w:rsidR="003339A8" w:rsidRPr="00610B1B">
        <w:rPr>
          <w:rFonts w:ascii="Times New Roman" w:hAnsi="Times New Roman" w:cs="Times New Roman"/>
          <w:lang w:val="bg-BG"/>
        </w:rPr>
        <w:t xml:space="preserve"> </w:t>
      </w:r>
      <w:r w:rsidR="003339A8" w:rsidRPr="00610B1B">
        <w:rPr>
          <w:rFonts w:ascii="Times New Roman" w:eastAsia="Times New Roman" w:hAnsi="Times New Roman" w:cs="Times New Roman"/>
          <w:sz w:val="24"/>
          <w:szCs w:val="24"/>
          <w:lang w:val="bg-BG" w:eastAsia="bg-BG"/>
        </w:rPr>
        <w:t xml:space="preserve">Община Бяла (област Варна) се откроява с </w:t>
      </w:r>
      <w:r w:rsidR="00D5649F" w:rsidRPr="00610B1B">
        <w:rPr>
          <w:rFonts w:ascii="Times New Roman" w:eastAsia="Times New Roman" w:hAnsi="Times New Roman" w:cs="Times New Roman"/>
          <w:sz w:val="24"/>
          <w:szCs w:val="24"/>
          <w:lang w:val="bg-BG" w:eastAsia="bg-BG"/>
        </w:rPr>
        <w:t>голямо</w:t>
      </w:r>
      <w:r w:rsidR="003339A8" w:rsidRPr="00610B1B">
        <w:rPr>
          <w:rFonts w:ascii="Times New Roman" w:eastAsia="Times New Roman" w:hAnsi="Times New Roman" w:cs="Times New Roman"/>
          <w:sz w:val="24"/>
          <w:szCs w:val="24"/>
          <w:lang w:val="bg-BG" w:eastAsia="bg-BG"/>
        </w:rPr>
        <w:t xml:space="preserve"> изоставане в достъпа до високоскоростен интернет - едва около две трети от населението, а над една трета попада в “бяла” зона.</w:t>
      </w:r>
    </w:p>
    <w:p w14:paraId="7FD16199" w14:textId="77777777" w:rsidR="00E013DD" w:rsidRPr="00610B1B" w:rsidRDefault="00E013DD" w:rsidP="00D32D6A">
      <w:pPr>
        <w:autoSpaceDE w:val="0"/>
        <w:autoSpaceDN w:val="0"/>
        <w:adjustRightInd w:val="0"/>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 xml:space="preserve">По-отдалечените и слабо населени места в споменатите общини са затруднени в своите комуникации и в социален, и в икономически аспект, изолирани от обществения и културен живот в страната. Осигуряването на достъп до он-лайн услуги на хората, живеещи в слабо населените и отдалечени райони цели преодоляването на тези тенденции и стимулиране на социалното сближаване. </w:t>
      </w:r>
    </w:p>
    <w:p w14:paraId="1BFACC40" w14:textId="4BEB6359" w:rsidR="00E013DD" w:rsidRPr="00610B1B" w:rsidRDefault="00D5649F" w:rsidP="00D32D6A">
      <w:pPr>
        <w:autoSpaceDE w:val="0"/>
        <w:autoSpaceDN w:val="0"/>
        <w:adjustRightInd w:val="0"/>
        <w:spacing w:after="120"/>
        <w:ind w:right="-153"/>
        <w:jc w:val="both"/>
        <w:rPr>
          <w:rFonts w:ascii="Times New Roman" w:eastAsia="Times New Roman" w:hAnsi="Times New Roman" w:cs="Times New Roman"/>
          <w:color w:val="000000"/>
          <w:sz w:val="24"/>
          <w:szCs w:val="24"/>
          <w:shd w:val="clear" w:color="auto" w:fill="FFFFFF"/>
          <w:lang w:val="bg-BG" w:eastAsia="bg-BG"/>
        </w:rPr>
      </w:pPr>
      <w:r w:rsidRPr="00610B1B">
        <w:rPr>
          <w:rFonts w:ascii="Times New Roman" w:eastAsia="Times New Roman" w:hAnsi="Times New Roman" w:cs="Times New Roman"/>
          <w:sz w:val="24"/>
          <w:szCs w:val="24"/>
          <w:lang w:val="bg-BG" w:eastAsia="bg-BG"/>
        </w:rPr>
        <w:t>В</w:t>
      </w:r>
      <w:r w:rsidR="00E013DD" w:rsidRPr="00610B1B">
        <w:rPr>
          <w:rFonts w:ascii="Times New Roman" w:eastAsia="Times New Roman" w:hAnsi="Times New Roman" w:cs="Times New Roman"/>
          <w:sz w:val="24"/>
          <w:szCs w:val="24"/>
          <w:lang w:val="bg-BG" w:eastAsia="bg-BG"/>
        </w:rPr>
        <w:t xml:space="preserve"> инициатива</w:t>
      </w:r>
      <w:r w:rsidRPr="00610B1B">
        <w:rPr>
          <w:rFonts w:ascii="Times New Roman" w:eastAsia="Times New Roman" w:hAnsi="Times New Roman" w:cs="Times New Roman"/>
          <w:sz w:val="24"/>
          <w:szCs w:val="24"/>
          <w:lang w:val="bg-BG" w:eastAsia="bg-BG"/>
        </w:rPr>
        <w:t>та</w:t>
      </w:r>
      <w:r w:rsidR="00E013DD" w:rsidRPr="00610B1B">
        <w:rPr>
          <w:rFonts w:ascii="Times New Roman" w:eastAsia="Times New Roman" w:hAnsi="Times New Roman" w:cs="Times New Roman"/>
          <w:sz w:val="24"/>
          <w:szCs w:val="24"/>
          <w:lang w:val="bg-BG" w:eastAsia="bg-BG"/>
        </w:rPr>
        <w:t xml:space="preserve"> на Европейската комисия за изграждане на безплатен високоскоростен безжичен Интернет </w:t>
      </w:r>
      <w:r w:rsidRPr="00610B1B">
        <w:rPr>
          <w:rFonts w:ascii="Times New Roman" w:eastAsia="Times New Roman" w:hAnsi="Times New Roman" w:cs="Times New Roman"/>
          <w:sz w:val="24"/>
          <w:szCs w:val="24"/>
          <w:lang w:val="bg-BG" w:eastAsia="bg-BG"/>
        </w:rPr>
        <w:t xml:space="preserve">и </w:t>
      </w:r>
      <w:r w:rsidR="00E013DD" w:rsidRPr="00610B1B">
        <w:rPr>
          <w:rFonts w:ascii="Times New Roman" w:eastAsia="Times New Roman" w:hAnsi="Times New Roman" w:cs="Times New Roman"/>
          <w:sz w:val="24"/>
          <w:szCs w:val="24"/>
          <w:lang w:val="bg-BG" w:eastAsia="bg-BG"/>
        </w:rPr>
        <w:t>достъп на обществени места WiFi4EU</w:t>
      </w:r>
      <w:r w:rsidRPr="00610B1B">
        <w:rPr>
          <w:rFonts w:ascii="Times New Roman" w:eastAsia="Times New Roman" w:hAnsi="Times New Roman" w:cs="Times New Roman"/>
          <w:sz w:val="24"/>
          <w:szCs w:val="24"/>
          <w:lang w:val="bg-BG" w:eastAsia="bg-BG"/>
        </w:rPr>
        <w:t xml:space="preserve"> и проведените </w:t>
      </w:r>
      <w:r w:rsidR="00E013DD" w:rsidRPr="00610B1B">
        <w:rPr>
          <w:rFonts w:ascii="Times New Roman" w:eastAsia="Times New Roman" w:hAnsi="Times New Roman" w:cs="Times New Roman"/>
          <w:sz w:val="24"/>
          <w:szCs w:val="24"/>
          <w:lang w:val="bg-BG" w:eastAsia="bg-BG"/>
        </w:rPr>
        <w:t>поетапно през 2018 и 2019</w:t>
      </w:r>
      <w:r w:rsidR="00641B2C" w:rsidRPr="00610B1B">
        <w:rPr>
          <w:rFonts w:ascii="Times New Roman" w:eastAsia="Times New Roman" w:hAnsi="Times New Roman" w:cs="Times New Roman"/>
          <w:sz w:val="24"/>
          <w:szCs w:val="24"/>
          <w:lang w:val="bg-BG" w:eastAsia="bg-BG"/>
        </w:rPr>
        <w:t xml:space="preserve"> </w:t>
      </w:r>
      <w:r w:rsidR="00E013DD" w:rsidRPr="00610B1B">
        <w:rPr>
          <w:rFonts w:ascii="Times New Roman" w:eastAsia="Times New Roman" w:hAnsi="Times New Roman" w:cs="Times New Roman"/>
          <w:sz w:val="24"/>
          <w:szCs w:val="24"/>
          <w:lang w:val="bg-BG" w:eastAsia="bg-BG"/>
        </w:rPr>
        <w:t>г. три конкурса,</w:t>
      </w:r>
      <w:r w:rsidR="00E013DD" w:rsidRPr="00610B1B">
        <w:rPr>
          <w:rFonts w:ascii="Times New Roman" w:eastAsia="Times New Roman" w:hAnsi="Times New Roman" w:cs="Times New Roman"/>
          <w:color w:val="000000"/>
          <w:sz w:val="24"/>
          <w:szCs w:val="24"/>
          <w:lang w:val="bg-BG" w:eastAsia="bg-BG"/>
        </w:rPr>
        <w:t xml:space="preserve"> 86% от </w:t>
      </w:r>
      <w:r w:rsidRPr="00610B1B">
        <w:rPr>
          <w:rFonts w:ascii="Times New Roman" w:eastAsia="Times New Roman" w:hAnsi="Times New Roman" w:cs="Times New Roman"/>
          <w:color w:val="000000"/>
          <w:sz w:val="24"/>
          <w:szCs w:val="24"/>
          <w:lang w:val="bg-BG" w:eastAsia="bg-BG"/>
        </w:rPr>
        <w:t xml:space="preserve">българските </w:t>
      </w:r>
      <w:r w:rsidR="00E013DD" w:rsidRPr="00610B1B">
        <w:rPr>
          <w:rFonts w:ascii="Times New Roman" w:eastAsia="Times New Roman" w:hAnsi="Times New Roman" w:cs="Times New Roman"/>
          <w:color w:val="000000"/>
          <w:sz w:val="24"/>
          <w:szCs w:val="24"/>
          <w:lang w:val="bg-BG" w:eastAsia="bg-BG"/>
        </w:rPr>
        <w:t>общини са спечелили ваучери за изграждане на високоскоростен безжичен интернет на обществени места</w:t>
      </w:r>
      <w:r w:rsidRPr="00610B1B">
        <w:rPr>
          <w:rFonts w:ascii="Times New Roman" w:eastAsia="Times New Roman" w:hAnsi="Times New Roman" w:cs="Times New Roman"/>
          <w:color w:val="000000"/>
          <w:sz w:val="24"/>
          <w:szCs w:val="24"/>
          <w:lang w:val="bg-BG" w:eastAsia="bg-BG"/>
        </w:rPr>
        <w:t>. Повечето от</w:t>
      </w:r>
      <w:r w:rsidR="00D66FE0" w:rsidRPr="00610B1B">
        <w:rPr>
          <w:rFonts w:ascii="Times New Roman" w:eastAsia="Times New Roman" w:hAnsi="Times New Roman" w:cs="Times New Roman"/>
          <w:color w:val="000000"/>
          <w:sz w:val="24"/>
          <w:szCs w:val="24"/>
          <w:lang w:val="bg-BG" w:eastAsia="bg-BG"/>
        </w:rPr>
        <w:t xml:space="preserve"> </w:t>
      </w:r>
      <w:r w:rsidR="00E013DD" w:rsidRPr="00610B1B">
        <w:rPr>
          <w:rFonts w:ascii="Times New Roman" w:eastAsia="Times New Roman" w:hAnsi="Times New Roman" w:cs="Times New Roman"/>
          <w:color w:val="000000"/>
          <w:sz w:val="24"/>
          <w:szCs w:val="24"/>
          <w:lang w:val="bg-BG" w:eastAsia="bg-BG"/>
        </w:rPr>
        <w:t xml:space="preserve">черноморските общини </w:t>
      </w:r>
      <w:r w:rsidRPr="00610B1B">
        <w:rPr>
          <w:rFonts w:ascii="Times New Roman" w:eastAsia="Times New Roman" w:hAnsi="Times New Roman" w:cs="Times New Roman"/>
          <w:color w:val="000000"/>
          <w:sz w:val="24"/>
          <w:szCs w:val="24"/>
          <w:lang w:val="bg-BG" w:eastAsia="bg-BG"/>
        </w:rPr>
        <w:t xml:space="preserve">са </w:t>
      </w:r>
      <w:r w:rsidR="00E013DD" w:rsidRPr="00610B1B">
        <w:rPr>
          <w:rFonts w:ascii="Times New Roman" w:eastAsia="Times New Roman" w:hAnsi="Times New Roman" w:cs="Times New Roman"/>
          <w:color w:val="000000"/>
          <w:sz w:val="24"/>
          <w:szCs w:val="24"/>
          <w:lang w:val="bg-BG" w:eastAsia="bg-BG"/>
        </w:rPr>
        <w:t>се възползва</w:t>
      </w:r>
      <w:r w:rsidRPr="00610B1B">
        <w:rPr>
          <w:rFonts w:ascii="Times New Roman" w:eastAsia="Times New Roman" w:hAnsi="Times New Roman" w:cs="Times New Roman"/>
          <w:color w:val="000000"/>
          <w:sz w:val="24"/>
          <w:szCs w:val="24"/>
          <w:lang w:val="bg-BG" w:eastAsia="bg-BG"/>
        </w:rPr>
        <w:t>ли</w:t>
      </w:r>
      <w:r w:rsidR="00E013DD" w:rsidRPr="00610B1B">
        <w:rPr>
          <w:rFonts w:ascii="Times New Roman" w:eastAsia="Times New Roman" w:hAnsi="Times New Roman" w:cs="Times New Roman"/>
          <w:color w:val="000000"/>
          <w:sz w:val="24"/>
          <w:szCs w:val="24"/>
          <w:lang w:val="bg-BG" w:eastAsia="bg-BG"/>
        </w:rPr>
        <w:t xml:space="preserve"> от тази възможност</w:t>
      </w:r>
      <w:r w:rsidRPr="00610B1B">
        <w:rPr>
          <w:rFonts w:ascii="Times New Roman" w:eastAsia="Times New Roman" w:hAnsi="Times New Roman" w:cs="Times New Roman"/>
          <w:color w:val="000000"/>
          <w:sz w:val="24"/>
          <w:szCs w:val="24"/>
          <w:lang w:val="bg-BG" w:eastAsia="bg-BG"/>
        </w:rPr>
        <w:t xml:space="preserve">, с изключение на </w:t>
      </w:r>
      <w:r w:rsidR="00E013DD" w:rsidRPr="00610B1B">
        <w:rPr>
          <w:rFonts w:ascii="Times New Roman" w:eastAsia="Times New Roman" w:hAnsi="Times New Roman" w:cs="Times New Roman"/>
          <w:color w:val="000000"/>
          <w:sz w:val="24"/>
          <w:szCs w:val="24"/>
          <w:shd w:val="clear" w:color="auto" w:fill="FFFFFF"/>
          <w:lang w:val="bg-BG" w:eastAsia="bg-BG"/>
        </w:rPr>
        <w:t>общините Аврен, Поморие и Царево.</w:t>
      </w:r>
    </w:p>
    <w:p w14:paraId="1508E7A7" w14:textId="34079777" w:rsidR="00E013DD" w:rsidRPr="00610B1B" w:rsidRDefault="00E013DD" w:rsidP="00D32D6A">
      <w:pPr>
        <w:autoSpaceDE w:val="0"/>
        <w:autoSpaceDN w:val="0"/>
        <w:adjustRightInd w:val="0"/>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Необходимо е</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да се разшири достъпът</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z w:val="24"/>
          <w:szCs w:val="24"/>
          <w:lang w:val="bg-BG" w:eastAsia="bg-BG"/>
        </w:rPr>
        <w:t xml:space="preserve">и използването на мрежите и услугите на ИКТ, предвид нарастващата роля на информацията, </w:t>
      </w:r>
      <w:r w:rsidRPr="00610B1B">
        <w:rPr>
          <w:rFonts w:ascii="Times New Roman" w:eastAsia="Times New Roman" w:hAnsi="Times New Roman" w:cs="Times New Roman"/>
          <w:iCs/>
          <w:sz w:val="24"/>
          <w:szCs w:val="24"/>
          <w:lang w:val="bg-BG" w:eastAsia="bg-BG"/>
        </w:rPr>
        <w:t>особено в по-малките градове и селата</w:t>
      </w:r>
      <w:r w:rsidRPr="00610B1B">
        <w:rPr>
          <w:rFonts w:ascii="Times New Roman" w:eastAsia="Times New Roman" w:hAnsi="Times New Roman" w:cs="Times New Roman"/>
          <w:sz w:val="24"/>
          <w:szCs w:val="24"/>
          <w:lang w:val="bg-BG" w:eastAsia="bg-BG"/>
        </w:rPr>
        <w:t xml:space="preserve">, където обществените места за достъп до информация са единствената възможност за много потребители. Изграждането на обществени информационни системи и гарантираното предлагане на Интернет услуги за целия обществен сектор и улеснен достъп за хората с увреждания, е задължителна стъпка към информационното общество. Модернизацията на преносните телекомуникационни мрежи и ускоряването на цифровизацията на местните мрежи, паралелно с разширяването им в икономически слаборазвитите и отдалечени територии, е от решаващо значение за подобряването на достъпа до ИКТ и за цялостната социално-икономическа среда в Черноморското крайбрежие. </w:t>
      </w:r>
    </w:p>
    <w:p w14:paraId="314707E6" w14:textId="77777777" w:rsidR="00563C85" w:rsidRPr="00610B1B" w:rsidRDefault="00563C85" w:rsidP="00D32D6A">
      <w:pPr>
        <w:autoSpaceDE w:val="0"/>
        <w:autoSpaceDN w:val="0"/>
        <w:adjustRightInd w:val="0"/>
        <w:spacing w:after="120"/>
        <w:ind w:right="-153"/>
        <w:jc w:val="both"/>
        <w:rPr>
          <w:rFonts w:ascii="Times New Roman" w:eastAsia="Times New Roman" w:hAnsi="Times New Roman" w:cs="Times New Roman"/>
          <w:sz w:val="24"/>
          <w:szCs w:val="24"/>
          <w:lang w:val="bg-BG" w:eastAsia="bg-BG"/>
        </w:rPr>
      </w:pPr>
    </w:p>
    <w:p w14:paraId="5845F83A" w14:textId="22FA74A4" w:rsidR="00AF057D" w:rsidRPr="00610B1B" w:rsidRDefault="003339A8" w:rsidP="00D32D6A">
      <w:pPr>
        <w:pStyle w:val="Heading2"/>
        <w:spacing w:before="0" w:line="276" w:lineRule="auto"/>
        <w:ind w:right="-153"/>
        <w:rPr>
          <w:rFonts w:cs="Times New Roman"/>
        </w:rPr>
      </w:pPr>
      <w:bookmarkStart w:id="377" w:name="_Toc83391388"/>
      <w:r w:rsidRPr="00610B1B">
        <w:rPr>
          <w:rFonts w:cs="Times New Roman"/>
        </w:rPr>
        <w:t>3</w:t>
      </w:r>
      <w:r w:rsidR="00641B2C" w:rsidRPr="00610B1B">
        <w:rPr>
          <w:rFonts w:cs="Times New Roman"/>
        </w:rPr>
        <w:t>.</w:t>
      </w:r>
      <w:r w:rsidR="00BF0D18" w:rsidRPr="00610B1B">
        <w:rPr>
          <w:rFonts w:cs="Times New Roman"/>
        </w:rPr>
        <w:t>5</w:t>
      </w:r>
      <w:r w:rsidR="00641B2C" w:rsidRPr="00610B1B">
        <w:rPr>
          <w:rFonts w:cs="Times New Roman"/>
        </w:rPr>
        <w:t xml:space="preserve">. </w:t>
      </w:r>
      <w:r w:rsidR="009A010A" w:rsidRPr="00610B1B">
        <w:rPr>
          <w:rFonts w:cs="Times New Roman"/>
        </w:rPr>
        <w:t>Военни зони, маршрути и пристанища</w:t>
      </w:r>
      <w:bookmarkEnd w:id="377"/>
      <w:r w:rsidR="00F22106" w:rsidRPr="00610B1B">
        <w:rPr>
          <w:rFonts w:cs="Times New Roman"/>
        </w:rPr>
        <w:t xml:space="preserve"> </w:t>
      </w:r>
    </w:p>
    <w:p w14:paraId="553ED00B" w14:textId="31CE7241" w:rsidR="007360D9" w:rsidRPr="00610B1B" w:rsidRDefault="007360D9"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Средата, в която действат институциите, осигуряващи морския суверенитет на държавата и реализирането на другите суверенни права, свързани с морето, са морските пространства на региона (МПР) на Черно море. </w:t>
      </w:r>
      <w:r w:rsidR="00EF7660" w:rsidRPr="00610B1B">
        <w:rPr>
          <w:rFonts w:ascii="Times New Roman" w:hAnsi="Times New Roman" w:cs="Times New Roman"/>
          <w:sz w:val="24"/>
          <w:szCs w:val="24"/>
          <w:lang w:val="bg-BG"/>
        </w:rPr>
        <w:t xml:space="preserve">Те </w:t>
      </w:r>
      <w:r w:rsidRPr="00610B1B">
        <w:rPr>
          <w:rFonts w:ascii="Times New Roman" w:hAnsi="Times New Roman" w:cs="Times New Roman"/>
          <w:sz w:val="24"/>
          <w:szCs w:val="24"/>
          <w:lang w:val="bg-BG"/>
        </w:rPr>
        <w:t xml:space="preserve">включват </w:t>
      </w:r>
      <w:r w:rsidR="00905535" w:rsidRPr="00610B1B">
        <w:rPr>
          <w:rFonts w:ascii="Times New Roman" w:hAnsi="Times New Roman" w:cs="Times New Roman"/>
          <w:sz w:val="24"/>
          <w:szCs w:val="24"/>
          <w:lang w:val="bg-BG"/>
        </w:rPr>
        <w:t xml:space="preserve">националните </w:t>
      </w:r>
      <w:r w:rsidR="006011C0" w:rsidRPr="00610B1B">
        <w:rPr>
          <w:rFonts w:ascii="Times New Roman" w:hAnsi="Times New Roman" w:cs="Times New Roman"/>
          <w:sz w:val="24"/>
          <w:szCs w:val="24"/>
          <w:lang w:val="bg-BG"/>
        </w:rPr>
        <w:t>морски</w:t>
      </w:r>
      <w:r w:rsidR="00905535" w:rsidRPr="00610B1B">
        <w:rPr>
          <w:rFonts w:ascii="Times New Roman" w:hAnsi="Times New Roman" w:cs="Times New Roman"/>
          <w:sz w:val="24"/>
          <w:szCs w:val="24"/>
          <w:lang w:val="bg-BG"/>
        </w:rPr>
        <w:t xml:space="preserve"> пространства (</w:t>
      </w:r>
      <w:r w:rsidRPr="00610B1B">
        <w:rPr>
          <w:rFonts w:ascii="Times New Roman" w:hAnsi="Times New Roman" w:cs="Times New Roman"/>
          <w:sz w:val="24"/>
          <w:szCs w:val="24"/>
          <w:lang w:val="bg-BG"/>
        </w:rPr>
        <w:t>НМП</w:t>
      </w:r>
      <w:r w:rsidR="00905535"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на Р. България, но също така и морски пространства на другите черноморски страни. Необходимостта НМП на останалите черноморски държави също да се разглежда като част от средата, касаеща морския суверенитет на страната, се обуславя от затворения характер на морето и възможността отделни процеси, възникнали в НМП на съседни държави да застрашат суверенитета и интересите на Р. България.</w:t>
      </w:r>
      <w:r w:rsidR="00905535" w:rsidRPr="00610B1B">
        <w:rPr>
          <w:rFonts w:ascii="Times New Roman" w:hAnsi="Times New Roman" w:cs="Times New Roman"/>
          <w:sz w:val="24"/>
          <w:szCs w:val="24"/>
          <w:lang w:val="bg-BG"/>
        </w:rPr>
        <w:t xml:space="preserve"> </w:t>
      </w:r>
    </w:p>
    <w:p w14:paraId="01D42390" w14:textId="2B5EAB3A" w:rsidR="007360D9" w:rsidRPr="00610B1B" w:rsidRDefault="007360D9"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Високата степен на интензивност в Черноморския регион, породена от силно дефрагментираното развитие и разнопосочност на интересите на държавите, правят анализа на средата многообразен с трудна предсказуемост. Предвид глобалните предизвикателства с регионални измерения и разсъждавайки за задачите на ВМС и останалите институции с морска компетентност, се затвърждава разбирането, че те трябва </w:t>
      </w:r>
      <w:r w:rsidRPr="00610B1B">
        <w:rPr>
          <w:rFonts w:ascii="Times New Roman" w:hAnsi="Times New Roman" w:cs="Times New Roman"/>
          <w:sz w:val="24"/>
          <w:szCs w:val="24"/>
          <w:lang w:val="bg-BG"/>
        </w:rPr>
        <w:lastRenderedPageBreak/>
        <w:t xml:space="preserve">да осигурят защитата на националния суверенитет в един по-широк контекст. Насоките и </w:t>
      </w:r>
      <w:r w:rsidR="006011C0" w:rsidRPr="00610B1B">
        <w:rPr>
          <w:rFonts w:ascii="Times New Roman" w:hAnsi="Times New Roman" w:cs="Times New Roman"/>
          <w:sz w:val="24"/>
          <w:szCs w:val="24"/>
          <w:lang w:val="bg-BG"/>
        </w:rPr>
        <w:t>приоритетите</w:t>
      </w:r>
      <w:r w:rsidRPr="00610B1B">
        <w:rPr>
          <w:rFonts w:ascii="Times New Roman" w:hAnsi="Times New Roman" w:cs="Times New Roman"/>
          <w:sz w:val="24"/>
          <w:szCs w:val="24"/>
          <w:lang w:val="bg-BG"/>
        </w:rPr>
        <w:t xml:space="preserve"> на политиките са неизменно обвързани с променящата се среда за сигурност в глобален и регионален план, чиито особености оказват пряко влияние върху динамиката на политическите, икономически и обществено-социални процеси. Планирането на национално отговорни отбранителни приоритети и тяхното изпълнение от една страна ще осигури максимално усвояване на всички икономически възможности, и от друга страна е необходим инструмент за осигуряване на сигурна и безопасна среда в динамично </w:t>
      </w:r>
      <w:r w:rsidR="00461059" w:rsidRPr="00610B1B">
        <w:rPr>
          <w:rFonts w:ascii="Times New Roman" w:hAnsi="Times New Roman" w:cs="Times New Roman"/>
          <w:sz w:val="24"/>
          <w:szCs w:val="24"/>
          <w:lang w:val="bg-BG"/>
        </w:rPr>
        <w:t>променящия</w:t>
      </w:r>
      <w:r w:rsidRPr="00610B1B">
        <w:rPr>
          <w:rFonts w:ascii="Times New Roman" w:hAnsi="Times New Roman" w:cs="Times New Roman"/>
          <w:sz w:val="24"/>
          <w:szCs w:val="24"/>
          <w:lang w:val="bg-BG"/>
        </w:rPr>
        <w:t xml:space="preserve"> се Черноморски регион. Предизвикателствата са многообразни и включват липсващата обща „идентичност” на черноморските страни, разли</w:t>
      </w:r>
      <w:r w:rsidR="0021340C" w:rsidRPr="00610B1B">
        <w:rPr>
          <w:rFonts w:ascii="Times New Roman" w:hAnsi="Times New Roman" w:cs="Times New Roman"/>
          <w:sz w:val="24"/>
          <w:szCs w:val="24"/>
          <w:lang w:val="bg-BG"/>
        </w:rPr>
        <w:t xml:space="preserve">чията </w:t>
      </w:r>
      <w:r w:rsidRPr="00610B1B">
        <w:rPr>
          <w:rFonts w:ascii="Times New Roman" w:hAnsi="Times New Roman" w:cs="Times New Roman"/>
          <w:sz w:val="24"/>
          <w:szCs w:val="24"/>
          <w:lang w:val="bg-BG"/>
        </w:rPr>
        <w:t>в политическата легитимация и икономическо състояние, „замразени</w:t>
      </w:r>
      <w:r w:rsidR="0021340C"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конфликти” и периодичното им </w:t>
      </w:r>
      <w:r w:rsidR="0021340C" w:rsidRPr="00610B1B">
        <w:rPr>
          <w:rFonts w:ascii="Times New Roman" w:hAnsi="Times New Roman" w:cs="Times New Roman"/>
          <w:sz w:val="24"/>
          <w:szCs w:val="24"/>
          <w:lang w:val="bg-BG"/>
        </w:rPr>
        <w:t>проявление</w:t>
      </w:r>
      <w:r w:rsidRPr="00610B1B">
        <w:rPr>
          <w:rFonts w:ascii="Times New Roman" w:hAnsi="Times New Roman" w:cs="Times New Roman"/>
          <w:sz w:val="24"/>
          <w:szCs w:val="24"/>
          <w:lang w:val="bg-BG"/>
        </w:rPr>
        <w:t xml:space="preserve">, опитите за налагане на </w:t>
      </w:r>
      <w:r w:rsidR="006011C0" w:rsidRPr="00610B1B">
        <w:rPr>
          <w:rFonts w:ascii="Times New Roman" w:hAnsi="Times New Roman" w:cs="Times New Roman"/>
          <w:sz w:val="24"/>
          <w:szCs w:val="24"/>
          <w:lang w:val="bg-BG"/>
        </w:rPr>
        <w:t>доминантната</w:t>
      </w:r>
      <w:r w:rsidRPr="00610B1B">
        <w:rPr>
          <w:rFonts w:ascii="Times New Roman" w:hAnsi="Times New Roman" w:cs="Times New Roman"/>
          <w:sz w:val="24"/>
          <w:szCs w:val="24"/>
          <w:lang w:val="bg-BG"/>
        </w:rPr>
        <w:t xml:space="preserve"> роля на Русия, </w:t>
      </w:r>
      <w:r w:rsidR="00C03BB3" w:rsidRPr="00610B1B">
        <w:rPr>
          <w:rFonts w:ascii="Times New Roman" w:hAnsi="Times New Roman" w:cs="Times New Roman"/>
          <w:sz w:val="24"/>
          <w:szCs w:val="24"/>
          <w:lang w:val="bg-BG"/>
        </w:rPr>
        <w:t xml:space="preserve">промяната в демократичните процеси </w:t>
      </w:r>
      <w:r w:rsidRPr="00610B1B">
        <w:rPr>
          <w:rFonts w:ascii="Times New Roman" w:hAnsi="Times New Roman" w:cs="Times New Roman"/>
          <w:sz w:val="24"/>
          <w:szCs w:val="24"/>
          <w:lang w:val="bg-BG"/>
        </w:rPr>
        <w:t>в Турция, рискове</w:t>
      </w:r>
      <w:r w:rsidR="0021340C"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и заплахи</w:t>
      </w:r>
      <w:r w:rsidR="0021340C"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w:t>
      </w:r>
      <w:r w:rsidR="00C03BB3" w:rsidRPr="00610B1B">
        <w:rPr>
          <w:rFonts w:ascii="Times New Roman" w:hAnsi="Times New Roman" w:cs="Times New Roman"/>
          <w:sz w:val="24"/>
          <w:szCs w:val="24"/>
          <w:lang w:val="bg-BG"/>
        </w:rPr>
        <w:t>включително</w:t>
      </w:r>
      <w:r w:rsidRPr="00610B1B">
        <w:rPr>
          <w:rFonts w:ascii="Times New Roman" w:hAnsi="Times New Roman" w:cs="Times New Roman"/>
          <w:sz w:val="24"/>
          <w:szCs w:val="24"/>
          <w:lang w:val="bg-BG"/>
        </w:rPr>
        <w:t xml:space="preserve"> „хибридни</w:t>
      </w:r>
      <w:r w:rsidR="0021340C"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w:t>
      </w:r>
      <w:r w:rsidR="00C03BB3"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с</w:t>
      </w:r>
      <w:r w:rsidR="00C03BB3" w:rsidRPr="00610B1B">
        <w:rPr>
          <w:rFonts w:ascii="Times New Roman" w:hAnsi="Times New Roman" w:cs="Times New Roman"/>
          <w:sz w:val="24"/>
          <w:szCs w:val="24"/>
          <w:lang w:val="bg-BG"/>
        </w:rPr>
        <w:t>ъс</w:t>
      </w:r>
      <w:r w:rsidRPr="00610B1B">
        <w:rPr>
          <w:rFonts w:ascii="Times New Roman" w:hAnsi="Times New Roman" w:cs="Times New Roman"/>
          <w:sz w:val="24"/>
          <w:szCs w:val="24"/>
          <w:lang w:val="bg-BG"/>
        </w:rPr>
        <w:t xml:space="preserve"> силно проявление в морето и засягащи морските интереси на държавите. </w:t>
      </w:r>
    </w:p>
    <w:p w14:paraId="51EDC56B" w14:textId="1D106F36" w:rsidR="00616F33" w:rsidRPr="00610B1B" w:rsidRDefault="007360D9" w:rsidP="00D32D6A">
      <w:pPr>
        <w:tabs>
          <w:tab w:val="left" w:pos="5670"/>
        </w:tabs>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Множество фактори формират средата за сигурност в Черноморския регион. Моментното състояние позволява разглеждане и оценка на развиващите се процеси, като биха могли да се очертаят няколко вероятни сценарии за развитие на базата на декларирани и следвани дългосрочни цели на най-важните </w:t>
      </w:r>
      <w:r w:rsidR="00616F33" w:rsidRPr="00610B1B">
        <w:rPr>
          <w:rFonts w:ascii="Times New Roman" w:hAnsi="Times New Roman" w:cs="Times New Roman"/>
          <w:sz w:val="24"/>
          <w:szCs w:val="24"/>
          <w:lang w:val="bg-BG"/>
        </w:rPr>
        <w:t>участници</w:t>
      </w:r>
      <w:r w:rsidRPr="00610B1B">
        <w:rPr>
          <w:rFonts w:ascii="Times New Roman" w:hAnsi="Times New Roman" w:cs="Times New Roman"/>
          <w:sz w:val="24"/>
          <w:szCs w:val="24"/>
          <w:lang w:val="bg-BG"/>
        </w:rPr>
        <w:t xml:space="preserve"> в тях. Без да бъде напълно изчерпателен, анализът има за цел да дефинира областите, в които морските институции, в частност ВМС, имат ключова роля за защитата на националната сигурност и интереси на страната. </w:t>
      </w:r>
      <w:r w:rsidR="00616F33" w:rsidRPr="00610B1B">
        <w:rPr>
          <w:rFonts w:ascii="Times New Roman" w:hAnsi="Times New Roman" w:cs="Times New Roman"/>
          <w:sz w:val="24"/>
          <w:szCs w:val="24"/>
          <w:lang w:val="bg-BG"/>
        </w:rPr>
        <w:t>Рамката на този анализ се определя от</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членството </w:t>
      </w:r>
      <w:r w:rsidR="00616F33" w:rsidRPr="00610B1B">
        <w:rPr>
          <w:rFonts w:ascii="Times New Roman" w:hAnsi="Times New Roman" w:cs="Times New Roman"/>
          <w:sz w:val="24"/>
          <w:szCs w:val="24"/>
          <w:lang w:val="bg-BG"/>
        </w:rPr>
        <w:t>на България</w:t>
      </w:r>
      <w:r w:rsidRPr="00610B1B">
        <w:rPr>
          <w:rFonts w:ascii="Times New Roman" w:hAnsi="Times New Roman" w:cs="Times New Roman"/>
          <w:sz w:val="24"/>
          <w:szCs w:val="24"/>
          <w:lang w:val="bg-BG"/>
        </w:rPr>
        <w:t xml:space="preserve"> в евроатлантическите структури</w:t>
      </w:r>
      <w:r w:rsidR="00616F33"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 нашата отбрана се осъществява в контекста на съюзническата, т.н. колективна отбрана. Пълноправното ни членство в ЕС предполага и допълващи ангажименти в контекста на Общата политика за сигурност и отбрана (ОПСО) на ЕС, част от общата външна политика на ЕС, също </w:t>
      </w:r>
      <w:r w:rsidR="00616F33" w:rsidRPr="00610B1B">
        <w:rPr>
          <w:rFonts w:ascii="Times New Roman" w:hAnsi="Times New Roman" w:cs="Times New Roman"/>
          <w:sz w:val="24"/>
          <w:szCs w:val="24"/>
          <w:lang w:val="bg-BG"/>
        </w:rPr>
        <w:t>е</w:t>
      </w:r>
      <w:r w:rsidRPr="00610B1B">
        <w:rPr>
          <w:rFonts w:ascii="Times New Roman" w:hAnsi="Times New Roman" w:cs="Times New Roman"/>
          <w:sz w:val="24"/>
          <w:szCs w:val="24"/>
          <w:lang w:val="bg-BG"/>
        </w:rPr>
        <w:t xml:space="preserve"> много сериозен фактор в средата за сигурност на континента и в региона. </w:t>
      </w:r>
    </w:p>
    <w:p w14:paraId="43129277" w14:textId="1D5E2654" w:rsidR="007360D9" w:rsidRPr="00610B1B" w:rsidRDefault="007360D9" w:rsidP="00D32D6A">
      <w:pPr>
        <w:tabs>
          <w:tab w:val="left" w:pos="5670"/>
        </w:tabs>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Действията на ВМС, операциите, които провежда, и необходимите способности за този кръг задачи </w:t>
      </w:r>
      <w:r w:rsidR="00616F33" w:rsidRPr="00610B1B">
        <w:rPr>
          <w:rFonts w:ascii="Times New Roman" w:hAnsi="Times New Roman" w:cs="Times New Roman"/>
          <w:sz w:val="24"/>
          <w:szCs w:val="24"/>
          <w:lang w:val="bg-BG"/>
        </w:rPr>
        <w:t>се</w:t>
      </w:r>
      <w:r w:rsidRPr="00610B1B">
        <w:rPr>
          <w:rFonts w:ascii="Times New Roman" w:hAnsi="Times New Roman" w:cs="Times New Roman"/>
          <w:sz w:val="24"/>
          <w:szCs w:val="24"/>
          <w:lang w:val="bg-BG"/>
        </w:rPr>
        <w:t xml:space="preserve"> съобразява</w:t>
      </w:r>
      <w:r w:rsidR="00616F33" w:rsidRPr="00610B1B">
        <w:rPr>
          <w:rFonts w:ascii="Times New Roman" w:hAnsi="Times New Roman" w:cs="Times New Roman"/>
          <w:sz w:val="24"/>
          <w:szCs w:val="24"/>
          <w:lang w:val="bg-BG"/>
        </w:rPr>
        <w:t>т</w:t>
      </w:r>
      <w:r w:rsidRPr="00610B1B">
        <w:rPr>
          <w:rFonts w:ascii="Times New Roman" w:hAnsi="Times New Roman" w:cs="Times New Roman"/>
          <w:sz w:val="24"/>
          <w:szCs w:val="24"/>
          <w:lang w:val="bg-BG"/>
        </w:rPr>
        <w:t xml:space="preserve"> с контекста на задачите, които НАТО си поставя и </w:t>
      </w:r>
      <w:r w:rsidR="00616F33" w:rsidRPr="00610B1B">
        <w:rPr>
          <w:rFonts w:ascii="Times New Roman" w:hAnsi="Times New Roman" w:cs="Times New Roman"/>
          <w:sz w:val="24"/>
          <w:szCs w:val="24"/>
          <w:lang w:val="bg-BG"/>
        </w:rPr>
        <w:t>с приоритетите на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политиката на ЕС </w:t>
      </w:r>
      <w:r w:rsidR="00616F33" w:rsidRPr="00610B1B">
        <w:rPr>
          <w:rFonts w:ascii="Times New Roman" w:hAnsi="Times New Roman" w:cs="Times New Roman"/>
          <w:sz w:val="24"/>
          <w:szCs w:val="24"/>
          <w:lang w:val="bg-BG"/>
        </w:rPr>
        <w:t>з</w:t>
      </w:r>
      <w:r w:rsidRPr="00610B1B">
        <w:rPr>
          <w:rFonts w:ascii="Times New Roman" w:hAnsi="Times New Roman" w:cs="Times New Roman"/>
          <w:sz w:val="24"/>
          <w:szCs w:val="24"/>
          <w:lang w:val="bg-BG"/>
        </w:rPr>
        <w:t>а Черноморския регион.</w:t>
      </w:r>
      <w:r w:rsidR="00D66FE0" w:rsidRPr="00610B1B">
        <w:rPr>
          <w:rFonts w:ascii="Times New Roman" w:hAnsi="Times New Roman" w:cs="Times New Roman"/>
          <w:sz w:val="24"/>
          <w:szCs w:val="24"/>
          <w:lang w:val="bg-BG"/>
        </w:rPr>
        <w:t xml:space="preserve"> </w:t>
      </w:r>
      <w:r w:rsidR="00616F33" w:rsidRPr="00610B1B">
        <w:rPr>
          <w:rFonts w:ascii="Times New Roman" w:hAnsi="Times New Roman" w:cs="Times New Roman"/>
          <w:sz w:val="24"/>
          <w:szCs w:val="24"/>
          <w:lang w:val="bg-BG"/>
        </w:rPr>
        <w:t>Средата за сигурност</w:t>
      </w:r>
      <w:r w:rsidRPr="00610B1B">
        <w:rPr>
          <w:rFonts w:ascii="Times New Roman" w:hAnsi="Times New Roman" w:cs="Times New Roman"/>
          <w:sz w:val="24"/>
          <w:szCs w:val="24"/>
          <w:lang w:val="bg-BG"/>
        </w:rPr>
        <w:t>, в която ще се решават тези задачи</w:t>
      </w:r>
      <w:r w:rsidR="00616F33" w:rsidRPr="00610B1B">
        <w:rPr>
          <w:rFonts w:ascii="Times New Roman" w:hAnsi="Times New Roman" w:cs="Times New Roman"/>
          <w:sz w:val="24"/>
          <w:szCs w:val="24"/>
          <w:lang w:val="bg-BG"/>
        </w:rPr>
        <w:t xml:space="preserve"> и в която се очаква да действат нашите ВМС е </w:t>
      </w:r>
      <w:r w:rsidRPr="00610B1B">
        <w:rPr>
          <w:rFonts w:ascii="Times New Roman" w:hAnsi="Times New Roman" w:cs="Times New Roman"/>
          <w:sz w:val="24"/>
          <w:szCs w:val="24"/>
          <w:lang w:val="bg-BG"/>
        </w:rPr>
        <w:t>изключително динамична</w:t>
      </w:r>
      <w:r w:rsidR="00616F33" w:rsidRPr="00610B1B">
        <w:rPr>
          <w:rFonts w:ascii="Times New Roman" w:hAnsi="Times New Roman" w:cs="Times New Roman"/>
          <w:sz w:val="24"/>
          <w:szCs w:val="24"/>
          <w:lang w:val="bg-BG"/>
        </w:rPr>
        <w:t xml:space="preserve"> и сложна и в Черноморския регион и </w:t>
      </w:r>
      <w:r w:rsidRPr="00610B1B">
        <w:rPr>
          <w:rFonts w:ascii="Times New Roman" w:hAnsi="Times New Roman" w:cs="Times New Roman"/>
          <w:sz w:val="24"/>
          <w:szCs w:val="24"/>
          <w:lang w:val="bg-BG"/>
        </w:rPr>
        <w:t>в Източното Средиземноморие</w:t>
      </w:r>
      <w:r w:rsidR="00616F33" w:rsidRPr="00610B1B">
        <w:rPr>
          <w:rFonts w:ascii="Times New Roman" w:hAnsi="Times New Roman" w:cs="Times New Roman"/>
          <w:sz w:val="24"/>
          <w:szCs w:val="24"/>
          <w:lang w:val="bg-BG"/>
        </w:rPr>
        <w:t xml:space="preserve">, където те са задължени да действат по силата на членството в НАТО. </w:t>
      </w:r>
    </w:p>
    <w:p w14:paraId="3A89B8FF" w14:textId="233FEE43" w:rsidR="007360D9" w:rsidRPr="00610B1B" w:rsidRDefault="00905535"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Освен </w:t>
      </w:r>
      <w:r w:rsidR="007360D9" w:rsidRPr="00610B1B">
        <w:rPr>
          <w:rFonts w:ascii="Times New Roman" w:hAnsi="Times New Roman" w:cs="Times New Roman"/>
          <w:sz w:val="24"/>
          <w:szCs w:val="24"/>
          <w:lang w:val="bg-BG"/>
        </w:rPr>
        <w:t>конкретното военном</w:t>
      </w:r>
      <w:r w:rsidRPr="00610B1B">
        <w:rPr>
          <w:rFonts w:ascii="Times New Roman" w:hAnsi="Times New Roman" w:cs="Times New Roman"/>
          <w:sz w:val="24"/>
          <w:szCs w:val="24"/>
          <w:lang w:val="bg-BG"/>
        </w:rPr>
        <w:t>орско присъствие стои и проблемът</w:t>
      </w:r>
      <w:r w:rsidR="007360D9" w:rsidRPr="00610B1B">
        <w:rPr>
          <w:rFonts w:ascii="Times New Roman" w:hAnsi="Times New Roman" w:cs="Times New Roman"/>
          <w:sz w:val="24"/>
          <w:szCs w:val="24"/>
          <w:lang w:val="bg-BG"/>
        </w:rPr>
        <w:t xml:space="preserve"> за безпрепятственото гарантиране на готовност за оказване на всички видове критични услуги в морето - на компании, хора, екипажи и летателни апарати, които са ангажирани с обслужването на тези платформи. Възниква въпрос за по-нататъшното развитие на морската патрулна авиация, за да може тя да притежава капацитет да достига до тези райони, да пренася хора там, да стои по-продължително и да контролира ситуацията.</w:t>
      </w:r>
      <w:r w:rsidR="00D66FE0" w:rsidRPr="00610B1B">
        <w:rPr>
          <w:rFonts w:ascii="Times New Roman" w:hAnsi="Times New Roman" w:cs="Times New Roman"/>
          <w:sz w:val="24"/>
          <w:szCs w:val="24"/>
          <w:lang w:val="bg-BG"/>
        </w:rPr>
        <w:t xml:space="preserve"> </w:t>
      </w:r>
    </w:p>
    <w:p w14:paraId="508AD957" w14:textId="49E93FD5" w:rsidR="007360D9" w:rsidRPr="00610B1B" w:rsidRDefault="007360D9"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Друг аспект в този контекст е проектът за изграждане на газовия хъб „Балкан”. Създаването му ще доведе до формирането на нов тип пристанище. То ще промени значително направлението на морския трафик. Всичко това поставя необходимостта от решаване на широк кръг </w:t>
      </w:r>
      <w:r w:rsidR="00F947F1" w:rsidRPr="00610B1B">
        <w:rPr>
          <w:rFonts w:ascii="Times New Roman" w:hAnsi="Times New Roman" w:cs="Times New Roman"/>
          <w:sz w:val="24"/>
          <w:szCs w:val="24"/>
          <w:lang w:val="bg-BG"/>
        </w:rPr>
        <w:t>въпроси</w:t>
      </w:r>
      <w:r w:rsidRPr="00610B1B">
        <w:rPr>
          <w:rFonts w:ascii="Times New Roman" w:hAnsi="Times New Roman" w:cs="Times New Roman"/>
          <w:sz w:val="24"/>
          <w:szCs w:val="24"/>
          <w:lang w:val="bg-BG"/>
        </w:rPr>
        <w:t xml:space="preserve">, от охраната на тези комуникации, гарантирането на сигурността на корабите в далечната, средната морска зона и непосредствено до бреговете </w:t>
      </w:r>
      <w:r w:rsidRPr="00610B1B">
        <w:rPr>
          <w:rFonts w:ascii="Times New Roman" w:hAnsi="Times New Roman" w:cs="Times New Roman"/>
          <w:sz w:val="24"/>
          <w:szCs w:val="24"/>
          <w:lang w:val="bg-BG"/>
        </w:rPr>
        <w:lastRenderedPageBreak/>
        <w:t xml:space="preserve">на страната, осигуряване на безопасността на корабоплаването, готовността за оказване на критични услуги в контекста на търсене и спасяване, в контекста на борба с нефтени разливи и др. Необходимо е стимулиране на научно-изследователската и образователна работа в тази актуална сфера, </w:t>
      </w:r>
      <w:r w:rsidR="00F947F1" w:rsidRPr="00610B1B">
        <w:rPr>
          <w:rFonts w:ascii="Times New Roman" w:hAnsi="Times New Roman" w:cs="Times New Roman"/>
          <w:sz w:val="24"/>
          <w:szCs w:val="24"/>
          <w:lang w:val="bg-BG"/>
        </w:rPr>
        <w:t>за</w:t>
      </w:r>
      <w:r w:rsidRPr="00610B1B">
        <w:rPr>
          <w:rFonts w:ascii="Times New Roman" w:hAnsi="Times New Roman" w:cs="Times New Roman"/>
          <w:sz w:val="24"/>
          <w:szCs w:val="24"/>
          <w:lang w:val="bg-BG"/>
        </w:rPr>
        <w:t xml:space="preserve"> да </w:t>
      </w:r>
      <w:r w:rsidR="00F947F1" w:rsidRPr="00610B1B">
        <w:rPr>
          <w:rFonts w:ascii="Times New Roman" w:hAnsi="Times New Roman" w:cs="Times New Roman"/>
          <w:sz w:val="24"/>
          <w:szCs w:val="24"/>
          <w:lang w:val="bg-BG"/>
        </w:rPr>
        <w:t xml:space="preserve">се </w:t>
      </w:r>
      <w:r w:rsidRPr="00610B1B">
        <w:rPr>
          <w:rFonts w:ascii="Times New Roman" w:hAnsi="Times New Roman" w:cs="Times New Roman"/>
          <w:sz w:val="24"/>
          <w:szCs w:val="24"/>
          <w:lang w:val="bg-BG"/>
        </w:rPr>
        <w:t xml:space="preserve">изгради и поддържа капацитет. </w:t>
      </w:r>
    </w:p>
    <w:p w14:paraId="79C0BC1D" w14:textId="098F64E0" w:rsidR="007360D9" w:rsidRPr="00610B1B" w:rsidRDefault="007360D9"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Още един специфичен аспект в контекста на критичните услуги на море е свързан с откр</w:t>
      </w:r>
      <w:r w:rsidR="00905535"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xml:space="preserve">ването и началото на работа на новото летище в Истанбул. То се намира северозападно от града, много по-близко е до българската граница и започва сериозно да ангажира </w:t>
      </w:r>
      <w:r w:rsidR="00F947F1" w:rsidRPr="00610B1B">
        <w:rPr>
          <w:rFonts w:ascii="Times New Roman" w:hAnsi="Times New Roman" w:cs="Times New Roman"/>
          <w:sz w:val="24"/>
          <w:szCs w:val="24"/>
          <w:lang w:val="bg-BG"/>
        </w:rPr>
        <w:t xml:space="preserve">националната ни </w:t>
      </w:r>
      <w:r w:rsidRPr="00610B1B">
        <w:rPr>
          <w:rFonts w:ascii="Times New Roman" w:hAnsi="Times New Roman" w:cs="Times New Roman"/>
          <w:sz w:val="24"/>
          <w:szCs w:val="24"/>
          <w:lang w:val="bg-BG"/>
        </w:rPr>
        <w:t xml:space="preserve">система за Ръководство на въздушното движение. </w:t>
      </w:r>
      <w:r w:rsidR="00F947F1" w:rsidRPr="00610B1B">
        <w:rPr>
          <w:rFonts w:ascii="Times New Roman" w:hAnsi="Times New Roman" w:cs="Times New Roman"/>
          <w:sz w:val="24"/>
          <w:szCs w:val="24"/>
          <w:lang w:val="bg-BG"/>
        </w:rPr>
        <w:t xml:space="preserve">Българската </w:t>
      </w:r>
      <w:r w:rsidRPr="00610B1B">
        <w:rPr>
          <w:rFonts w:ascii="Times New Roman" w:hAnsi="Times New Roman" w:cs="Times New Roman"/>
          <w:sz w:val="24"/>
          <w:szCs w:val="24"/>
          <w:lang w:val="bg-BG"/>
        </w:rPr>
        <w:t>служба ще контролира кацанията в Истанбул чрез така наречената „далечна преводна”. Това</w:t>
      </w:r>
      <w:r w:rsidR="00F947F1" w:rsidRPr="00610B1B">
        <w:rPr>
          <w:rFonts w:ascii="Times New Roman" w:hAnsi="Times New Roman" w:cs="Times New Roman"/>
          <w:sz w:val="24"/>
          <w:szCs w:val="24"/>
          <w:lang w:val="bg-BG"/>
        </w:rPr>
        <w:t xml:space="preserve">, в допълнение на </w:t>
      </w:r>
      <w:r w:rsidRPr="00610B1B">
        <w:rPr>
          <w:rFonts w:ascii="Times New Roman" w:hAnsi="Times New Roman" w:cs="Times New Roman"/>
          <w:sz w:val="24"/>
          <w:szCs w:val="24"/>
          <w:lang w:val="bg-BG"/>
        </w:rPr>
        <w:t xml:space="preserve">засиления авиационен трафик над българските национални морски пространства заради затварянето на въздушното пространство над Украйна и Египет повишава риска от авиационни аварии. Адекватната реакция на държавата в един </w:t>
      </w:r>
      <w:r w:rsidR="00905535" w:rsidRPr="00610B1B">
        <w:rPr>
          <w:rFonts w:ascii="Times New Roman" w:hAnsi="Times New Roman" w:cs="Times New Roman"/>
          <w:sz w:val="24"/>
          <w:szCs w:val="24"/>
          <w:lang w:val="bg-BG"/>
        </w:rPr>
        <w:t>песимистичен</w:t>
      </w:r>
      <w:r w:rsidRPr="00610B1B">
        <w:rPr>
          <w:rFonts w:ascii="Times New Roman" w:hAnsi="Times New Roman" w:cs="Times New Roman"/>
          <w:sz w:val="24"/>
          <w:szCs w:val="24"/>
          <w:lang w:val="bg-BG"/>
        </w:rPr>
        <w:t xml:space="preserve"> сценарий, свързан с факторите време на реакция и множество човешки жертви, може да има негативни ефекти върху международния имидж на страната. Това </w:t>
      </w:r>
      <w:r w:rsidR="00F947F1" w:rsidRPr="00610B1B">
        <w:rPr>
          <w:rFonts w:ascii="Times New Roman" w:hAnsi="Times New Roman" w:cs="Times New Roman"/>
          <w:sz w:val="24"/>
          <w:szCs w:val="24"/>
          <w:lang w:val="bg-BG"/>
        </w:rPr>
        <w:t>изисква</w:t>
      </w:r>
      <w:r w:rsidRPr="00610B1B">
        <w:rPr>
          <w:rFonts w:ascii="Times New Roman" w:hAnsi="Times New Roman" w:cs="Times New Roman"/>
          <w:sz w:val="24"/>
          <w:szCs w:val="24"/>
          <w:lang w:val="bg-BG"/>
        </w:rPr>
        <w:t xml:space="preserve"> подобряване на организацията </w:t>
      </w:r>
      <w:r w:rsidR="00F947F1"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xml:space="preserve"> готовност</w:t>
      </w:r>
      <w:r w:rsidR="00F947F1" w:rsidRPr="00610B1B">
        <w:rPr>
          <w:rFonts w:ascii="Times New Roman" w:hAnsi="Times New Roman" w:cs="Times New Roman"/>
          <w:sz w:val="24"/>
          <w:szCs w:val="24"/>
          <w:lang w:val="bg-BG"/>
        </w:rPr>
        <w:t>та</w:t>
      </w:r>
      <w:r w:rsidRPr="00610B1B">
        <w:rPr>
          <w:rFonts w:ascii="Times New Roman" w:hAnsi="Times New Roman" w:cs="Times New Roman"/>
          <w:sz w:val="24"/>
          <w:szCs w:val="24"/>
          <w:lang w:val="bg-BG"/>
        </w:rPr>
        <w:t xml:space="preserve"> за действия при такава ситуация</w:t>
      </w:r>
      <w:r w:rsidR="00F947F1" w:rsidRPr="00610B1B">
        <w:rPr>
          <w:rFonts w:ascii="Times New Roman" w:hAnsi="Times New Roman" w:cs="Times New Roman"/>
          <w:sz w:val="24"/>
          <w:szCs w:val="24"/>
          <w:lang w:val="bg-BG"/>
        </w:rPr>
        <w:t>, определяне на пла</w:t>
      </w:r>
      <w:r w:rsidRPr="00610B1B">
        <w:rPr>
          <w:rFonts w:ascii="Times New Roman" w:hAnsi="Times New Roman" w:cs="Times New Roman"/>
          <w:sz w:val="24"/>
          <w:szCs w:val="24"/>
          <w:lang w:val="bg-BG"/>
        </w:rPr>
        <w:t>тформите в морето, които ще бъдат ангажирани с търсене и спасяване, особено в отдалечени зони. Изниква необходимост от бързоходни морски платформи на ВМС, които да бъдат ангажирани в так</w:t>
      </w:r>
      <w:r w:rsidR="008E54C0"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ва операци</w:t>
      </w:r>
      <w:r w:rsidR="008E54C0"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xml:space="preserve"> и нарастване на капацитета на морската авиация на България. </w:t>
      </w:r>
      <w:r w:rsidR="00F947F1" w:rsidRPr="00610B1B">
        <w:rPr>
          <w:rFonts w:ascii="Times New Roman" w:hAnsi="Times New Roman" w:cs="Times New Roman"/>
          <w:sz w:val="24"/>
          <w:szCs w:val="24"/>
          <w:lang w:val="bg-BG"/>
        </w:rPr>
        <w:t xml:space="preserve">В </w:t>
      </w:r>
      <w:r w:rsidRPr="00610B1B">
        <w:rPr>
          <w:rFonts w:ascii="Times New Roman" w:hAnsi="Times New Roman" w:cs="Times New Roman"/>
          <w:sz w:val="24"/>
          <w:szCs w:val="24"/>
          <w:lang w:val="bg-BG"/>
        </w:rPr>
        <w:t>момента нито една институция освен ВМС не разполага с капацитет за оказване на подкрепа на операции по търсене и спасяване на море в отдалечени райони.</w:t>
      </w:r>
    </w:p>
    <w:p w14:paraId="44A77936" w14:textId="377DFE17" w:rsidR="007360D9" w:rsidRPr="00610B1B" w:rsidRDefault="008E54C0"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Военноморските сили са основен компонент на Националната система за морски суверенитет, която е създадена за</w:t>
      </w:r>
      <w:r w:rsidR="007360D9" w:rsidRPr="00610B1B">
        <w:rPr>
          <w:rFonts w:ascii="Times New Roman" w:hAnsi="Times New Roman" w:cs="Times New Roman"/>
          <w:sz w:val="24"/>
          <w:szCs w:val="24"/>
          <w:lang w:val="bg-BG"/>
        </w:rPr>
        <w:t xml:space="preserve"> гарантиране на суверенните права на държавата </w:t>
      </w:r>
      <w:r w:rsidR="00905535" w:rsidRPr="00610B1B">
        <w:rPr>
          <w:rFonts w:ascii="Times New Roman" w:hAnsi="Times New Roman" w:cs="Times New Roman"/>
          <w:sz w:val="24"/>
          <w:szCs w:val="24"/>
          <w:lang w:val="bg-BG"/>
        </w:rPr>
        <w:t>С</w:t>
      </w:r>
      <w:r w:rsidR="007360D9" w:rsidRPr="00610B1B">
        <w:rPr>
          <w:rFonts w:ascii="Times New Roman" w:hAnsi="Times New Roman" w:cs="Times New Roman"/>
          <w:sz w:val="24"/>
          <w:szCs w:val="24"/>
          <w:lang w:val="bg-BG"/>
        </w:rPr>
        <w:t>ъгласно „Доктрина за морски операции“ (Национална публикация на въоръжените сили на Република България НП 3.1) и „План за развитие на Въоръжените сили до 2020 г.“, ВМС (самостоятелно или съвместно в национален или коалиционен формат) са основното силово средство за защита на националните морски пространства и националните интереси в открито море, чрез провеждане или участие в морски операции. Те защитават интересите на Република България в морск</w:t>
      </w:r>
      <w:r w:rsidR="0075098D" w:rsidRPr="00610B1B">
        <w:rPr>
          <w:rFonts w:ascii="Times New Roman" w:hAnsi="Times New Roman" w:cs="Times New Roman"/>
          <w:sz w:val="24"/>
          <w:szCs w:val="24"/>
          <w:lang w:val="bg-BG"/>
        </w:rPr>
        <w:t>ите</w:t>
      </w:r>
      <w:r w:rsidR="007360D9" w:rsidRPr="00610B1B">
        <w:rPr>
          <w:rFonts w:ascii="Times New Roman" w:hAnsi="Times New Roman" w:cs="Times New Roman"/>
          <w:sz w:val="24"/>
          <w:szCs w:val="24"/>
          <w:lang w:val="bg-BG"/>
        </w:rPr>
        <w:t xml:space="preserve"> пространств</w:t>
      </w:r>
      <w:r w:rsidR="0075098D" w:rsidRPr="00610B1B">
        <w:rPr>
          <w:rFonts w:ascii="Times New Roman" w:hAnsi="Times New Roman" w:cs="Times New Roman"/>
          <w:sz w:val="24"/>
          <w:szCs w:val="24"/>
          <w:lang w:val="bg-BG"/>
        </w:rPr>
        <w:t>а</w:t>
      </w:r>
      <w:r w:rsidR="007360D9" w:rsidRPr="00610B1B">
        <w:rPr>
          <w:rFonts w:ascii="Times New Roman" w:hAnsi="Times New Roman" w:cs="Times New Roman"/>
          <w:sz w:val="24"/>
          <w:szCs w:val="24"/>
          <w:lang w:val="bg-BG"/>
        </w:rPr>
        <w:t xml:space="preserve"> и във взаимодействие с другите видове въоръжени сили гарантират суверенитета и тер</w:t>
      </w:r>
      <w:r w:rsidR="00905535" w:rsidRPr="00610B1B">
        <w:rPr>
          <w:rFonts w:ascii="Times New Roman" w:hAnsi="Times New Roman" w:cs="Times New Roman"/>
          <w:sz w:val="24"/>
          <w:szCs w:val="24"/>
          <w:lang w:val="bg-BG"/>
        </w:rPr>
        <w:t xml:space="preserve">иториалната цялост на страната, участват в мисии по спасяване, в научни изследвания, опазване на околната среда и в </w:t>
      </w:r>
      <w:r w:rsidR="007360D9" w:rsidRPr="00610B1B">
        <w:rPr>
          <w:rFonts w:ascii="Times New Roman" w:hAnsi="Times New Roman" w:cs="Times New Roman"/>
          <w:sz w:val="24"/>
          <w:szCs w:val="24"/>
          <w:lang w:val="bg-BG"/>
        </w:rPr>
        <w:t>гарантиране на функционирането на държавната икономика</w:t>
      </w:r>
      <w:r w:rsidR="00BB4AD6" w:rsidRPr="00610B1B">
        <w:rPr>
          <w:rFonts w:ascii="Times New Roman" w:hAnsi="Times New Roman" w:cs="Times New Roman"/>
          <w:sz w:val="24"/>
          <w:szCs w:val="24"/>
          <w:lang w:val="bg-BG"/>
        </w:rPr>
        <w:t xml:space="preserve">. Дейността им е свързана </w:t>
      </w:r>
      <w:r w:rsidR="004D4768" w:rsidRPr="00610B1B">
        <w:rPr>
          <w:rFonts w:ascii="Times New Roman" w:hAnsi="Times New Roman" w:cs="Times New Roman"/>
          <w:sz w:val="24"/>
          <w:szCs w:val="24"/>
          <w:lang w:val="bg-BG"/>
        </w:rPr>
        <w:t xml:space="preserve">контрол на корабоплаването в условията, предвидени от Наредба № Н-8 за режима на корабоплаване в териториалното море, вътрешните води, пристанищата и рейдовете при осъществяване отбраната на страната, </w:t>
      </w:r>
      <w:r w:rsidR="007360D9" w:rsidRPr="00610B1B">
        <w:rPr>
          <w:rFonts w:ascii="Times New Roman" w:hAnsi="Times New Roman" w:cs="Times New Roman"/>
          <w:sz w:val="24"/>
          <w:szCs w:val="24"/>
          <w:lang w:val="bg-BG"/>
        </w:rPr>
        <w:t>издаване</w:t>
      </w:r>
      <w:r w:rsidR="00BB4AD6" w:rsidRPr="00610B1B">
        <w:rPr>
          <w:rFonts w:ascii="Times New Roman" w:hAnsi="Times New Roman" w:cs="Times New Roman"/>
          <w:sz w:val="24"/>
          <w:szCs w:val="24"/>
          <w:lang w:val="bg-BG"/>
        </w:rPr>
        <w:t>то</w:t>
      </w:r>
      <w:r w:rsidR="007360D9" w:rsidRPr="00610B1B">
        <w:rPr>
          <w:rFonts w:ascii="Times New Roman" w:hAnsi="Times New Roman" w:cs="Times New Roman"/>
          <w:sz w:val="24"/>
          <w:szCs w:val="24"/>
          <w:lang w:val="bg-BG"/>
        </w:rPr>
        <w:t xml:space="preserve"> на известия до мореплавателите, разпространение</w:t>
      </w:r>
      <w:r w:rsidR="00BB4AD6" w:rsidRPr="00610B1B">
        <w:rPr>
          <w:rFonts w:ascii="Times New Roman" w:hAnsi="Times New Roman" w:cs="Times New Roman"/>
          <w:sz w:val="24"/>
          <w:szCs w:val="24"/>
          <w:lang w:val="bg-BG"/>
        </w:rPr>
        <w:t>то</w:t>
      </w:r>
      <w:r w:rsidR="007360D9" w:rsidRPr="00610B1B">
        <w:rPr>
          <w:rFonts w:ascii="Times New Roman" w:hAnsi="Times New Roman" w:cs="Times New Roman"/>
          <w:sz w:val="24"/>
          <w:szCs w:val="24"/>
          <w:lang w:val="bg-BG"/>
        </w:rPr>
        <w:t xml:space="preserve"> на хидро-метеорологична информация, навигационно</w:t>
      </w:r>
      <w:r w:rsidR="00BB4AD6" w:rsidRPr="00610B1B">
        <w:rPr>
          <w:rFonts w:ascii="Times New Roman" w:hAnsi="Times New Roman" w:cs="Times New Roman"/>
          <w:sz w:val="24"/>
          <w:szCs w:val="24"/>
          <w:lang w:val="bg-BG"/>
        </w:rPr>
        <w:t>то</w:t>
      </w:r>
      <w:r w:rsidR="007360D9" w:rsidRPr="00610B1B">
        <w:rPr>
          <w:rFonts w:ascii="Times New Roman" w:hAnsi="Times New Roman" w:cs="Times New Roman"/>
          <w:sz w:val="24"/>
          <w:szCs w:val="24"/>
          <w:lang w:val="bg-BG"/>
        </w:rPr>
        <w:t xml:space="preserve"> осигуряване, </w:t>
      </w:r>
      <w:r w:rsidR="00BB4AD6" w:rsidRPr="00610B1B">
        <w:rPr>
          <w:rFonts w:ascii="Times New Roman" w:hAnsi="Times New Roman" w:cs="Times New Roman"/>
          <w:sz w:val="24"/>
          <w:szCs w:val="24"/>
          <w:lang w:val="bg-BG"/>
        </w:rPr>
        <w:t xml:space="preserve">картографирането, </w:t>
      </w:r>
      <w:r w:rsidR="00905535" w:rsidRPr="00610B1B">
        <w:rPr>
          <w:rFonts w:ascii="Times New Roman" w:hAnsi="Times New Roman" w:cs="Times New Roman"/>
          <w:sz w:val="24"/>
          <w:szCs w:val="24"/>
          <w:lang w:val="bg-BG"/>
        </w:rPr>
        <w:t>п</w:t>
      </w:r>
      <w:r w:rsidR="007360D9" w:rsidRPr="00610B1B">
        <w:rPr>
          <w:rFonts w:ascii="Times New Roman" w:hAnsi="Times New Roman" w:cs="Times New Roman"/>
          <w:sz w:val="24"/>
          <w:szCs w:val="24"/>
          <w:lang w:val="bg-BG"/>
        </w:rPr>
        <w:t>омощ при бедствия и кризи (вкл. при инцидент в пристанище)</w:t>
      </w:r>
      <w:r w:rsidR="00BB4AD6" w:rsidRPr="00610B1B">
        <w:rPr>
          <w:rFonts w:ascii="Times New Roman" w:hAnsi="Times New Roman" w:cs="Times New Roman"/>
          <w:sz w:val="24"/>
          <w:szCs w:val="24"/>
          <w:lang w:val="bg-BG"/>
        </w:rPr>
        <w:t>,</w:t>
      </w:r>
      <w:r w:rsidR="00905535" w:rsidRPr="00610B1B">
        <w:rPr>
          <w:rFonts w:ascii="Times New Roman" w:hAnsi="Times New Roman" w:cs="Times New Roman"/>
          <w:sz w:val="24"/>
          <w:szCs w:val="24"/>
          <w:lang w:val="bg-BG"/>
        </w:rPr>
        <w:t xml:space="preserve"> и т</w:t>
      </w:r>
      <w:r w:rsidR="007360D9" w:rsidRPr="00610B1B">
        <w:rPr>
          <w:rFonts w:ascii="Times New Roman" w:hAnsi="Times New Roman" w:cs="Times New Roman"/>
          <w:sz w:val="24"/>
          <w:szCs w:val="24"/>
          <w:lang w:val="bg-BG"/>
        </w:rPr>
        <w:t>ърсене и спасяване.</w:t>
      </w:r>
    </w:p>
    <w:p w14:paraId="4062A652" w14:textId="022267A2" w:rsidR="00C055CB" w:rsidRPr="00610B1B" w:rsidRDefault="00905535"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ВМС работят във взаимодействие с </w:t>
      </w:r>
      <w:r w:rsidR="007360D9" w:rsidRPr="00610B1B">
        <w:rPr>
          <w:rFonts w:ascii="Times New Roman" w:hAnsi="Times New Roman" w:cs="Times New Roman"/>
          <w:sz w:val="24"/>
          <w:szCs w:val="24"/>
          <w:lang w:val="bg-BG"/>
        </w:rPr>
        <w:t xml:space="preserve">Главна дирекция </w:t>
      </w:r>
      <w:r w:rsidR="00BB4AD6" w:rsidRPr="00610B1B">
        <w:rPr>
          <w:rFonts w:ascii="Times New Roman" w:hAnsi="Times New Roman" w:cs="Times New Roman"/>
          <w:sz w:val="24"/>
          <w:szCs w:val="24"/>
          <w:lang w:val="bg-BG"/>
        </w:rPr>
        <w:t>„</w:t>
      </w:r>
      <w:r w:rsidR="007360D9" w:rsidRPr="00610B1B">
        <w:rPr>
          <w:rFonts w:ascii="Times New Roman" w:hAnsi="Times New Roman" w:cs="Times New Roman"/>
          <w:sz w:val="24"/>
          <w:szCs w:val="24"/>
          <w:lang w:val="bg-BG"/>
        </w:rPr>
        <w:t>Гранична полиция</w:t>
      </w:r>
      <w:r w:rsidR="00BB4AD6" w:rsidRPr="00610B1B">
        <w:rPr>
          <w:rFonts w:ascii="Times New Roman" w:hAnsi="Times New Roman" w:cs="Times New Roman"/>
          <w:sz w:val="24"/>
          <w:szCs w:val="24"/>
          <w:lang w:val="bg-BG"/>
        </w:rPr>
        <w:t>“</w:t>
      </w:r>
      <w:r w:rsidR="007360D9" w:rsidRPr="00610B1B">
        <w:rPr>
          <w:rFonts w:ascii="Times New Roman" w:hAnsi="Times New Roman" w:cs="Times New Roman"/>
          <w:sz w:val="24"/>
          <w:szCs w:val="24"/>
          <w:lang w:val="bg-BG"/>
        </w:rPr>
        <w:t xml:space="preserve"> (ГДГП)</w:t>
      </w:r>
      <w:r w:rsidRPr="00610B1B">
        <w:rPr>
          <w:rFonts w:ascii="Times New Roman" w:hAnsi="Times New Roman" w:cs="Times New Roman"/>
          <w:sz w:val="24"/>
          <w:szCs w:val="24"/>
          <w:lang w:val="bg-BG"/>
        </w:rPr>
        <w:t xml:space="preserve">, </w:t>
      </w:r>
      <w:r w:rsidR="007360D9" w:rsidRPr="00610B1B">
        <w:rPr>
          <w:rFonts w:ascii="Times New Roman" w:hAnsi="Times New Roman" w:cs="Times New Roman"/>
          <w:sz w:val="24"/>
          <w:szCs w:val="24"/>
          <w:lang w:val="bg-BG"/>
        </w:rPr>
        <w:t xml:space="preserve">Изпълнителна агенция „Морска администрация“ </w:t>
      </w:r>
      <w:r w:rsidRPr="00610B1B">
        <w:rPr>
          <w:rFonts w:ascii="Times New Roman" w:hAnsi="Times New Roman" w:cs="Times New Roman"/>
          <w:sz w:val="24"/>
          <w:szCs w:val="24"/>
          <w:lang w:val="bg-BG"/>
        </w:rPr>
        <w:t>и териториалните дирекции във Варна и Бургас, Морския</w:t>
      </w:r>
      <w:r w:rsidR="007360D9" w:rsidRPr="00610B1B">
        <w:rPr>
          <w:rFonts w:ascii="Times New Roman" w:hAnsi="Times New Roman" w:cs="Times New Roman"/>
          <w:sz w:val="24"/>
          <w:szCs w:val="24"/>
          <w:lang w:val="bg-BG"/>
        </w:rPr>
        <w:t xml:space="preserve"> спасително-координационен център (МСКЦ) на Р. България</w:t>
      </w:r>
      <w:r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007360D9" w:rsidRPr="00610B1B">
        <w:rPr>
          <w:rFonts w:ascii="Times New Roman" w:hAnsi="Times New Roman" w:cs="Times New Roman"/>
          <w:sz w:val="24"/>
          <w:szCs w:val="24"/>
          <w:lang w:val="bg-BG"/>
        </w:rPr>
        <w:t xml:space="preserve">Държавно предприятие </w:t>
      </w:r>
      <w:r w:rsidR="00BB4AD6" w:rsidRPr="00610B1B">
        <w:rPr>
          <w:rFonts w:ascii="Times New Roman" w:hAnsi="Times New Roman" w:cs="Times New Roman"/>
          <w:sz w:val="24"/>
          <w:szCs w:val="24"/>
          <w:lang w:val="bg-BG"/>
        </w:rPr>
        <w:t>„</w:t>
      </w:r>
      <w:r w:rsidR="007360D9" w:rsidRPr="00610B1B">
        <w:rPr>
          <w:rFonts w:ascii="Times New Roman" w:hAnsi="Times New Roman" w:cs="Times New Roman"/>
          <w:sz w:val="24"/>
          <w:szCs w:val="24"/>
          <w:lang w:val="bg-BG"/>
        </w:rPr>
        <w:t>Пристанищна инфраструктура</w:t>
      </w:r>
      <w:r w:rsidR="00BB4AD6" w:rsidRPr="00610B1B">
        <w:rPr>
          <w:rFonts w:ascii="Times New Roman" w:hAnsi="Times New Roman" w:cs="Times New Roman"/>
          <w:sz w:val="24"/>
          <w:szCs w:val="24"/>
          <w:lang w:val="bg-BG"/>
        </w:rPr>
        <w:t>“</w:t>
      </w:r>
      <w:r w:rsidR="007360D9" w:rsidRPr="00610B1B">
        <w:rPr>
          <w:rFonts w:ascii="Times New Roman" w:hAnsi="Times New Roman" w:cs="Times New Roman"/>
          <w:sz w:val="24"/>
          <w:szCs w:val="24"/>
          <w:lang w:val="bg-BG"/>
        </w:rPr>
        <w:t xml:space="preserve"> (ДППИ) </w:t>
      </w:r>
      <w:r w:rsidR="00C055CB" w:rsidRPr="00610B1B">
        <w:rPr>
          <w:rFonts w:ascii="Times New Roman" w:hAnsi="Times New Roman" w:cs="Times New Roman"/>
          <w:sz w:val="24"/>
          <w:szCs w:val="24"/>
          <w:lang w:val="bg-BG"/>
        </w:rPr>
        <w:t>със структурите си в Бургас и Варна,</w:t>
      </w:r>
      <w:r w:rsidR="00D66FE0" w:rsidRPr="00610B1B">
        <w:rPr>
          <w:rFonts w:ascii="Times New Roman" w:hAnsi="Times New Roman" w:cs="Times New Roman"/>
          <w:sz w:val="24"/>
          <w:szCs w:val="24"/>
          <w:lang w:val="bg-BG"/>
        </w:rPr>
        <w:t xml:space="preserve"> </w:t>
      </w:r>
      <w:r w:rsidR="007360D9" w:rsidRPr="00610B1B">
        <w:rPr>
          <w:rFonts w:ascii="Times New Roman" w:hAnsi="Times New Roman" w:cs="Times New Roman"/>
          <w:sz w:val="24"/>
          <w:szCs w:val="24"/>
          <w:lang w:val="bg-BG"/>
        </w:rPr>
        <w:t xml:space="preserve">Дирекция </w:t>
      </w:r>
      <w:r w:rsidR="00BB4AD6" w:rsidRPr="00610B1B">
        <w:rPr>
          <w:rFonts w:ascii="Times New Roman" w:hAnsi="Times New Roman" w:cs="Times New Roman"/>
          <w:sz w:val="24"/>
          <w:szCs w:val="24"/>
          <w:lang w:val="bg-BG"/>
        </w:rPr>
        <w:t>„</w:t>
      </w:r>
      <w:r w:rsidR="007360D9" w:rsidRPr="00610B1B">
        <w:rPr>
          <w:rFonts w:ascii="Times New Roman" w:hAnsi="Times New Roman" w:cs="Times New Roman"/>
          <w:sz w:val="24"/>
          <w:szCs w:val="24"/>
          <w:lang w:val="bg-BG"/>
        </w:rPr>
        <w:t>Ръководство на корабния трафик - Черно море</w:t>
      </w:r>
      <w:r w:rsidR="00BB4AD6" w:rsidRPr="00610B1B">
        <w:rPr>
          <w:rFonts w:ascii="Times New Roman" w:hAnsi="Times New Roman" w:cs="Times New Roman"/>
          <w:sz w:val="24"/>
          <w:szCs w:val="24"/>
          <w:lang w:val="bg-BG"/>
        </w:rPr>
        <w:t>“</w:t>
      </w:r>
      <w:r w:rsidR="007360D9" w:rsidRPr="00610B1B">
        <w:rPr>
          <w:rFonts w:ascii="Times New Roman" w:hAnsi="Times New Roman" w:cs="Times New Roman"/>
          <w:sz w:val="24"/>
          <w:szCs w:val="24"/>
          <w:lang w:val="bg-BG"/>
        </w:rPr>
        <w:t xml:space="preserve"> </w:t>
      </w:r>
      <w:r w:rsidR="00C055CB" w:rsidRPr="00610B1B">
        <w:rPr>
          <w:rFonts w:ascii="Times New Roman" w:hAnsi="Times New Roman" w:cs="Times New Roman"/>
          <w:sz w:val="24"/>
          <w:szCs w:val="24"/>
          <w:lang w:val="bg-BG"/>
        </w:rPr>
        <w:t xml:space="preserve">и пристанищните </w:t>
      </w:r>
      <w:r w:rsidR="00C055CB" w:rsidRPr="00610B1B">
        <w:rPr>
          <w:rFonts w:ascii="Times New Roman" w:hAnsi="Times New Roman" w:cs="Times New Roman"/>
          <w:sz w:val="24"/>
          <w:szCs w:val="24"/>
          <w:lang w:val="bg-BG"/>
        </w:rPr>
        <w:lastRenderedPageBreak/>
        <w:t xml:space="preserve">оператори, БД „Черноморски район“, </w:t>
      </w:r>
      <w:r w:rsidR="007360D9" w:rsidRPr="00610B1B">
        <w:rPr>
          <w:rFonts w:ascii="Times New Roman" w:hAnsi="Times New Roman" w:cs="Times New Roman"/>
          <w:sz w:val="24"/>
          <w:szCs w:val="24"/>
          <w:lang w:val="bg-BG"/>
        </w:rPr>
        <w:t>„Поддържане чистотата на морските води” АД</w:t>
      </w:r>
      <w:r w:rsidR="00C055CB" w:rsidRPr="00610B1B">
        <w:rPr>
          <w:rFonts w:ascii="Times New Roman" w:hAnsi="Times New Roman" w:cs="Times New Roman"/>
          <w:sz w:val="24"/>
          <w:szCs w:val="24"/>
          <w:lang w:val="bg-BG"/>
        </w:rPr>
        <w:t>,</w:t>
      </w:r>
      <w:r w:rsidR="007360D9" w:rsidRPr="00610B1B">
        <w:rPr>
          <w:rFonts w:ascii="Times New Roman" w:hAnsi="Times New Roman" w:cs="Times New Roman"/>
          <w:sz w:val="24"/>
          <w:szCs w:val="24"/>
          <w:lang w:val="bg-BG"/>
        </w:rPr>
        <w:t xml:space="preserve"> Главна дирекция </w:t>
      </w:r>
      <w:r w:rsidR="00BB4AD6" w:rsidRPr="00610B1B">
        <w:rPr>
          <w:rFonts w:ascii="Times New Roman" w:hAnsi="Times New Roman" w:cs="Times New Roman"/>
          <w:sz w:val="24"/>
          <w:szCs w:val="24"/>
          <w:lang w:val="bg-BG"/>
        </w:rPr>
        <w:t>„</w:t>
      </w:r>
      <w:r w:rsidR="007360D9" w:rsidRPr="00610B1B">
        <w:rPr>
          <w:rFonts w:ascii="Times New Roman" w:hAnsi="Times New Roman" w:cs="Times New Roman"/>
          <w:sz w:val="24"/>
          <w:szCs w:val="24"/>
          <w:lang w:val="bg-BG"/>
        </w:rPr>
        <w:t>Национална полиция</w:t>
      </w:r>
      <w:r w:rsidR="00BB4AD6" w:rsidRPr="00610B1B">
        <w:rPr>
          <w:rFonts w:ascii="Times New Roman" w:hAnsi="Times New Roman" w:cs="Times New Roman"/>
          <w:sz w:val="24"/>
          <w:szCs w:val="24"/>
          <w:lang w:val="bg-BG"/>
        </w:rPr>
        <w:t>“</w:t>
      </w:r>
      <w:r w:rsidR="007360D9" w:rsidRPr="00610B1B">
        <w:rPr>
          <w:rFonts w:ascii="Times New Roman" w:hAnsi="Times New Roman" w:cs="Times New Roman"/>
          <w:sz w:val="24"/>
          <w:szCs w:val="24"/>
          <w:lang w:val="bg-BG"/>
        </w:rPr>
        <w:t xml:space="preserve"> (ГДНП)</w:t>
      </w:r>
      <w:r w:rsidR="00C055CB" w:rsidRPr="00610B1B">
        <w:rPr>
          <w:rFonts w:ascii="Times New Roman" w:hAnsi="Times New Roman" w:cs="Times New Roman"/>
          <w:sz w:val="24"/>
          <w:szCs w:val="24"/>
          <w:lang w:val="bg-BG"/>
        </w:rPr>
        <w:t>,</w:t>
      </w:r>
      <w:r w:rsidR="007360D9" w:rsidRPr="00610B1B">
        <w:rPr>
          <w:rFonts w:ascii="Times New Roman" w:hAnsi="Times New Roman" w:cs="Times New Roman"/>
          <w:sz w:val="24"/>
          <w:szCs w:val="24"/>
          <w:lang w:val="bg-BG"/>
        </w:rPr>
        <w:t xml:space="preserve"> Държавна агенция „Национална сигурност”</w:t>
      </w:r>
      <w:r w:rsidR="00C055CB"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007360D9" w:rsidRPr="00610B1B">
        <w:rPr>
          <w:rFonts w:ascii="Times New Roman" w:hAnsi="Times New Roman" w:cs="Times New Roman"/>
          <w:sz w:val="24"/>
          <w:szCs w:val="24"/>
          <w:lang w:val="bg-BG"/>
        </w:rPr>
        <w:t xml:space="preserve">Агенция „Митници” </w:t>
      </w:r>
      <w:r w:rsidR="00C055CB" w:rsidRPr="00610B1B">
        <w:rPr>
          <w:rFonts w:ascii="Times New Roman" w:hAnsi="Times New Roman" w:cs="Times New Roman"/>
          <w:sz w:val="24"/>
          <w:szCs w:val="24"/>
          <w:lang w:val="bg-BG"/>
        </w:rPr>
        <w:t xml:space="preserve">и други национални и регионални институции, които </w:t>
      </w:r>
      <w:r w:rsidR="007360D9" w:rsidRPr="00610B1B">
        <w:rPr>
          <w:rFonts w:ascii="Times New Roman" w:hAnsi="Times New Roman" w:cs="Times New Roman"/>
          <w:sz w:val="24"/>
          <w:szCs w:val="24"/>
          <w:lang w:val="bg-BG"/>
        </w:rPr>
        <w:t>участва</w:t>
      </w:r>
      <w:r w:rsidR="00C055CB" w:rsidRPr="00610B1B">
        <w:rPr>
          <w:rFonts w:ascii="Times New Roman" w:hAnsi="Times New Roman" w:cs="Times New Roman"/>
          <w:sz w:val="24"/>
          <w:szCs w:val="24"/>
          <w:lang w:val="bg-BG"/>
        </w:rPr>
        <w:t>т</w:t>
      </w:r>
      <w:r w:rsidR="007360D9" w:rsidRPr="00610B1B">
        <w:rPr>
          <w:rFonts w:ascii="Times New Roman" w:hAnsi="Times New Roman" w:cs="Times New Roman"/>
          <w:sz w:val="24"/>
          <w:szCs w:val="24"/>
          <w:lang w:val="bg-BG"/>
        </w:rPr>
        <w:t xml:space="preserve"> в контрола </w:t>
      </w:r>
      <w:r w:rsidR="00C055CB" w:rsidRPr="00610B1B">
        <w:rPr>
          <w:rFonts w:ascii="Times New Roman" w:hAnsi="Times New Roman" w:cs="Times New Roman"/>
          <w:sz w:val="24"/>
          <w:szCs w:val="24"/>
          <w:lang w:val="bg-BG"/>
        </w:rPr>
        <w:t>на националните морски пространства и</w:t>
      </w:r>
      <w:r w:rsidR="007360D9" w:rsidRPr="00610B1B">
        <w:rPr>
          <w:rFonts w:ascii="Times New Roman" w:hAnsi="Times New Roman" w:cs="Times New Roman"/>
          <w:sz w:val="24"/>
          <w:szCs w:val="24"/>
          <w:lang w:val="bg-BG"/>
        </w:rPr>
        <w:t xml:space="preserve"> гарантира</w:t>
      </w:r>
      <w:r w:rsidR="00C055CB" w:rsidRPr="00610B1B">
        <w:rPr>
          <w:rFonts w:ascii="Times New Roman" w:hAnsi="Times New Roman" w:cs="Times New Roman"/>
          <w:sz w:val="24"/>
          <w:szCs w:val="24"/>
          <w:lang w:val="bg-BG"/>
        </w:rPr>
        <w:t>т</w:t>
      </w:r>
      <w:r w:rsidR="007360D9" w:rsidRPr="00610B1B">
        <w:rPr>
          <w:rFonts w:ascii="Times New Roman" w:hAnsi="Times New Roman" w:cs="Times New Roman"/>
          <w:sz w:val="24"/>
          <w:szCs w:val="24"/>
          <w:lang w:val="bg-BG"/>
        </w:rPr>
        <w:t xml:space="preserve"> безопасността и сигурността на гражданите</w:t>
      </w:r>
      <w:r w:rsidR="00C055CB" w:rsidRPr="00610B1B">
        <w:rPr>
          <w:rFonts w:ascii="Times New Roman" w:hAnsi="Times New Roman" w:cs="Times New Roman"/>
          <w:sz w:val="24"/>
          <w:szCs w:val="24"/>
          <w:lang w:val="bg-BG"/>
        </w:rPr>
        <w:t xml:space="preserve">. </w:t>
      </w:r>
    </w:p>
    <w:p w14:paraId="7CEE5511" w14:textId="77777777" w:rsidR="009907CE" w:rsidRPr="00610B1B" w:rsidRDefault="009907CE" w:rsidP="00D32D6A">
      <w:pPr>
        <w:spacing w:after="120"/>
        <w:ind w:right="-153"/>
        <w:jc w:val="both"/>
        <w:rPr>
          <w:rFonts w:ascii="Times New Roman" w:hAnsi="Times New Roman" w:cs="Times New Roman"/>
          <w:sz w:val="24"/>
          <w:szCs w:val="24"/>
          <w:lang w:val="bg-BG"/>
        </w:rPr>
      </w:pPr>
    </w:p>
    <w:p w14:paraId="22573745" w14:textId="61442E76" w:rsidR="007360D9" w:rsidRPr="00610B1B" w:rsidRDefault="00C055CB" w:rsidP="00D32D6A">
      <w:pPr>
        <w:pStyle w:val="Heading3"/>
        <w:spacing w:before="0" w:line="276" w:lineRule="auto"/>
        <w:ind w:right="-153"/>
        <w:rPr>
          <w:rFonts w:cs="Times New Roman"/>
        </w:rPr>
      </w:pPr>
      <w:bookmarkStart w:id="378" w:name="_Toc83391389"/>
      <w:r w:rsidRPr="00610B1B">
        <w:rPr>
          <w:rFonts w:cs="Times New Roman"/>
        </w:rPr>
        <w:t xml:space="preserve">3.5.1. </w:t>
      </w:r>
      <w:r w:rsidR="007360D9" w:rsidRPr="00610B1B">
        <w:rPr>
          <w:rFonts w:cs="Times New Roman"/>
        </w:rPr>
        <w:t>Райони, свързани със сигурността</w:t>
      </w:r>
      <w:bookmarkEnd w:id="378"/>
    </w:p>
    <w:p w14:paraId="06F0058C" w14:textId="587C52AB" w:rsidR="007360D9" w:rsidRPr="00610B1B" w:rsidRDefault="007360D9"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Към тези райони се отнасят всички райони, към които се прилага по-специфичен режим</w:t>
      </w:r>
      <w:r w:rsidR="00BB4AD6" w:rsidRPr="00610B1B">
        <w:rPr>
          <w:rFonts w:ascii="Times New Roman" w:hAnsi="Times New Roman" w:cs="Times New Roman"/>
          <w:sz w:val="24"/>
          <w:szCs w:val="24"/>
          <w:lang w:val="bg-BG"/>
        </w:rPr>
        <w:t xml:space="preserve"> за сигурност</w:t>
      </w:r>
      <w:r w:rsidRPr="00610B1B">
        <w:rPr>
          <w:rFonts w:ascii="Times New Roman" w:hAnsi="Times New Roman" w:cs="Times New Roman"/>
          <w:sz w:val="24"/>
          <w:szCs w:val="24"/>
          <w:lang w:val="bg-BG"/>
        </w:rPr>
        <w:t>.</w:t>
      </w:r>
    </w:p>
    <w:p w14:paraId="4111772B" w14:textId="12D1FF00" w:rsidR="007360D9" w:rsidRPr="00610B1B" w:rsidRDefault="00C055CB" w:rsidP="00D32D6A">
      <w:pPr>
        <w:pStyle w:val="Heading4"/>
        <w:spacing w:before="0" w:line="276" w:lineRule="auto"/>
        <w:ind w:right="-153"/>
        <w:rPr>
          <w:rFonts w:cs="Times New Roman"/>
        </w:rPr>
      </w:pPr>
      <w:r w:rsidRPr="00610B1B">
        <w:rPr>
          <w:rFonts w:cs="Times New Roman"/>
        </w:rPr>
        <w:t xml:space="preserve">3.5.1.1. </w:t>
      </w:r>
      <w:r w:rsidR="007360D9" w:rsidRPr="00610B1B">
        <w:rPr>
          <w:rFonts w:cs="Times New Roman"/>
        </w:rPr>
        <w:t>Военни полигони</w:t>
      </w:r>
    </w:p>
    <w:p w14:paraId="56158602" w14:textId="75315F58" w:rsidR="007360D9" w:rsidRPr="00610B1B" w:rsidRDefault="00BB4AD6"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Из</w:t>
      </w:r>
      <w:r w:rsidR="007360D9" w:rsidRPr="00610B1B">
        <w:rPr>
          <w:rFonts w:ascii="Times New Roman" w:hAnsi="Times New Roman" w:cs="Times New Roman"/>
          <w:sz w:val="24"/>
          <w:szCs w:val="24"/>
          <w:lang w:val="bg-BG"/>
        </w:rPr>
        <w:t xml:space="preserve">ползване на военните полигони се определя </w:t>
      </w:r>
      <w:r w:rsidRPr="00610B1B">
        <w:rPr>
          <w:rFonts w:ascii="Times New Roman" w:hAnsi="Times New Roman" w:cs="Times New Roman"/>
          <w:sz w:val="24"/>
          <w:szCs w:val="24"/>
          <w:lang w:val="bg-BG"/>
        </w:rPr>
        <w:t xml:space="preserve">в зависимост от </w:t>
      </w:r>
      <w:r w:rsidR="007360D9" w:rsidRPr="00610B1B">
        <w:rPr>
          <w:rFonts w:ascii="Times New Roman" w:hAnsi="Times New Roman" w:cs="Times New Roman"/>
          <w:sz w:val="24"/>
          <w:szCs w:val="24"/>
          <w:lang w:val="bg-BG"/>
        </w:rPr>
        <w:t>разположение</w:t>
      </w:r>
      <w:r w:rsidRPr="00610B1B">
        <w:rPr>
          <w:rFonts w:ascii="Times New Roman" w:hAnsi="Times New Roman" w:cs="Times New Roman"/>
          <w:sz w:val="24"/>
          <w:szCs w:val="24"/>
          <w:lang w:val="bg-BG"/>
        </w:rPr>
        <w:t xml:space="preserve">то, </w:t>
      </w:r>
      <w:r w:rsidR="007360D9" w:rsidRPr="00610B1B">
        <w:rPr>
          <w:rFonts w:ascii="Times New Roman" w:hAnsi="Times New Roman" w:cs="Times New Roman"/>
          <w:sz w:val="24"/>
          <w:szCs w:val="24"/>
          <w:lang w:val="bg-BG"/>
        </w:rPr>
        <w:t>период</w:t>
      </w:r>
      <w:r w:rsidRPr="00610B1B">
        <w:rPr>
          <w:rFonts w:ascii="Times New Roman" w:hAnsi="Times New Roman" w:cs="Times New Roman"/>
          <w:sz w:val="24"/>
          <w:szCs w:val="24"/>
          <w:lang w:val="bg-BG"/>
        </w:rPr>
        <w:t xml:space="preserve">а на използване, </w:t>
      </w:r>
      <w:r w:rsidR="007360D9" w:rsidRPr="00610B1B">
        <w:rPr>
          <w:rFonts w:ascii="Times New Roman" w:hAnsi="Times New Roman" w:cs="Times New Roman"/>
          <w:sz w:val="24"/>
          <w:szCs w:val="24"/>
          <w:lang w:val="bg-BG"/>
        </w:rPr>
        <w:t>хидрометеорологични</w:t>
      </w:r>
      <w:r w:rsidRPr="00610B1B">
        <w:rPr>
          <w:rFonts w:ascii="Times New Roman" w:hAnsi="Times New Roman" w:cs="Times New Roman"/>
          <w:sz w:val="24"/>
          <w:szCs w:val="24"/>
          <w:lang w:val="bg-BG"/>
        </w:rPr>
        <w:t>те</w:t>
      </w:r>
      <w:r w:rsidR="007360D9" w:rsidRPr="00610B1B">
        <w:rPr>
          <w:rFonts w:ascii="Times New Roman" w:hAnsi="Times New Roman" w:cs="Times New Roman"/>
          <w:sz w:val="24"/>
          <w:szCs w:val="24"/>
          <w:lang w:val="bg-BG"/>
        </w:rPr>
        <w:t xml:space="preserve"> условия</w:t>
      </w:r>
      <w:r w:rsidRPr="00610B1B">
        <w:rPr>
          <w:rFonts w:ascii="Times New Roman" w:hAnsi="Times New Roman" w:cs="Times New Roman"/>
          <w:sz w:val="24"/>
          <w:szCs w:val="24"/>
          <w:lang w:val="bg-BG"/>
        </w:rPr>
        <w:t xml:space="preserve">, </w:t>
      </w:r>
      <w:r w:rsidR="007360D9" w:rsidRPr="00610B1B">
        <w:rPr>
          <w:rFonts w:ascii="Times New Roman" w:hAnsi="Times New Roman" w:cs="Times New Roman"/>
          <w:sz w:val="24"/>
          <w:szCs w:val="24"/>
          <w:lang w:val="bg-BG"/>
        </w:rPr>
        <w:t>налични</w:t>
      </w:r>
      <w:r w:rsidRPr="00610B1B">
        <w:rPr>
          <w:rFonts w:ascii="Times New Roman" w:hAnsi="Times New Roman" w:cs="Times New Roman"/>
          <w:sz w:val="24"/>
          <w:szCs w:val="24"/>
          <w:lang w:val="bg-BG"/>
        </w:rPr>
        <w:t>те</w:t>
      </w:r>
      <w:r w:rsidR="007360D9" w:rsidRPr="00610B1B">
        <w:rPr>
          <w:rFonts w:ascii="Times New Roman" w:hAnsi="Times New Roman" w:cs="Times New Roman"/>
          <w:sz w:val="24"/>
          <w:szCs w:val="24"/>
          <w:lang w:val="bg-BG"/>
        </w:rPr>
        <w:t xml:space="preserve"> ресурси</w:t>
      </w:r>
      <w:r w:rsidRPr="00610B1B">
        <w:rPr>
          <w:rFonts w:ascii="Times New Roman" w:hAnsi="Times New Roman" w:cs="Times New Roman"/>
          <w:sz w:val="24"/>
          <w:szCs w:val="24"/>
          <w:lang w:val="bg-BG"/>
        </w:rPr>
        <w:t>,</w:t>
      </w:r>
      <w:r w:rsidR="007360D9" w:rsidRPr="00610B1B">
        <w:rPr>
          <w:rFonts w:ascii="Times New Roman" w:hAnsi="Times New Roman" w:cs="Times New Roman"/>
          <w:sz w:val="24"/>
          <w:szCs w:val="24"/>
          <w:lang w:val="bg-BG"/>
        </w:rPr>
        <w:t xml:space="preserve"> цел</w:t>
      </w:r>
      <w:r w:rsidRPr="00610B1B">
        <w:rPr>
          <w:rFonts w:ascii="Times New Roman" w:hAnsi="Times New Roman" w:cs="Times New Roman"/>
          <w:sz w:val="24"/>
          <w:szCs w:val="24"/>
          <w:lang w:val="bg-BG"/>
        </w:rPr>
        <w:t>та</w:t>
      </w:r>
      <w:r w:rsidR="007360D9" w:rsidRPr="00610B1B">
        <w:rPr>
          <w:rFonts w:ascii="Times New Roman" w:hAnsi="Times New Roman" w:cs="Times New Roman"/>
          <w:sz w:val="24"/>
          <w:szCs w:val="24"/>
          <w:lang w:val="bg-BG"/>
        </w:rPr>
        <w:t xml:space="preserve"> и характер</w:t>
      </w:r>
      <w:r w:rsidRPr="00610B1B">
        <w:rPr>
          <w:rFonts w:ascii="Times New Roman" w:hAnsi="Times New Roman" w:cs="Times New Roman"/>
          <w:sz w:val="24"/>
          <w:szCs w:val="24"/>
          <w:lang w:val="bg-BG"/>
        </w:rPr>
        <w:t>а</w:t>
      </w:r>
      <w:r w:rsidR="007360D9" w:rsidRPr="00610B1B">
        <w:rPr>
          <w:rFonts w:ascii="Times New Roman" w:hAnsi="Times New Roman" w:cs="Times New Roman"/>
          <w:sz w:val="24"/>
          <w:szCs w:val="24"/>
          <w:lang w:val="bg-BG"/>
        </w:rPr>
        <w:t xml:space="preserve"> на провежданата дейност</w:t>
      </w:r>
      <w:r w:rsidRPr="00610B1B">
        <w:rPr>
          <w:rFonts w:ascii="Times New Roman" w:hAnsi="Times New Roman" w:cs="Times New Roman"/>
          <w:sz w:val="24"/>
          <w:szCs w:val="24"/>
          <w:lang w:val="bg-BG"/>
        </w:rPr>
        <w:t>,</w:t>
      </w:r>
      <w:r w:rsidR="007360D9" w:rsidRPr="00610B1B">
        <w:rPr>
          <w:rFonts w:ascii="Times New Roman" w:hAnsi="Times New Roman" w:cs="Times New Roman"/>
          <w:sz w:val="24"/>
          <w:szCs w:val="24"/>
          <w:lang w:val="bg-BG"/>
        </w:rPr>
        <w:t xml:space="preserve"> корабн</w:t>
      </w:r>
      <w:r w:rsidRPr="00610B1B">
        <w:rPr>
          <w:rFonts w:ascii="Times New Roman" w:hAnsi="Times New Roman" w:cs="Times New Roman"/>
          <w:sz w:val="24"/>
          <w:szCs w:val="24"/>
          <w:lang w:val="bg-BG"/>
        </w:rPr>
        <w:t>ия</w:t>
      </w:r>
      <w:r w:rsidR="007360D9" w:rsidRPr="00610B1B">
        <w:rPr>
          <w:rFonts w:ascii="Times New Roman" w:hAnsi="Times New Roman" w:cs="Times New Roman"/>
          <w:sz w:val="24"/>
          <w:szCs w:val="24"/>
          <w:lang w:val="bg-BG"/>
        </w:rPr>
        <w:t xml:space="preserve"> трафик в конкретния момент и др. Основните варианти за предназначение на военните полигони са </w:t>
      </w:r>
      <w:r w:rsidR="00BF79BE" w:rsidRPr="00610B1B">
        <w:rPr>
          <w:rFonts w:ascii="Times New Roman" w:hAnsi="Times New Roman" w:cs="Times New Roman"/>
          <w:sz w:val="24"/>
          <w:szCs w:val="24"/>
          <w:lang w:val="bg-BG"/>
        </w:rPr>
        <w:t>свързани с</w:t>
      </w:r>
      <w:r w:rsidR="007360D9" w:rsidRPr="00610B1B">
        <w:rPr>
          <w:rFonts w:ascii="Times New Roman" w:hAnsi="Times New Roman" w:cs="Times New Roman"/>
          <w:sz w:val="24"/>
          <w:szCs w:val="24"/>
          <w:lang w:val="bg-BG"/>
        </w:rPr>
        <w:t>:</w:t>
      </w:r>
    </w:p>
    <w:p w14:paraId="12C2EF51" w14:textId="3A93EA44" w:rsidR="007360D9" w:rsidRPr="00610B1B" w:rsidRDefault="007360D9" w:rsidP="00B46189">
      <w:pPr>
        <w:pStyle w:val="ListParagraph"/>
        <w:numPr>
          <w:ilvl w:val="0"/>
          <w:numId w:val="79"/>
        </w:numPr>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провеждане на артилерийски и ракетни стрелби по </w:t>
      </w:r>
      <w:r w:rsidR="00BF79BE" w:rsidRPr="00610B1B">
        <w:rPr>
          <w:rFonts w:ascii="Times New Roman" w:hAnsi="Times New Roman" w:cs="Times New Roman"/>
          <w:sz w:val="24"/>
          <w:szCs w:val="24"/>
          <w:lang w:val="bg-BG"/>
        </w:rPr>
        <w:t>различни цели, от различни позиции и с различно оръжие;</w:t>
      </w:r>
    </w:p>
    <w:p w14:paraId="01DC1FA3" w14:textId="77777777" w:rsidR="00CA0E47" w:rsidRPr="00610B1B" w:rsidRDefault="007360D9" w:rsidP="00B46189">
      <w:pPr>
        <w:pStyle w:val="ListParagraph"/>
        <w:numPr>
          <w:ilvl w:val="0"/>
          <w:numId w:val="79"/>
        </w:numPr>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провеждане на бойни упражнения</w:t>
      </w:r>
      <w:r w:rsidR="00BF79BE" w:rsidRPr="00610B1B">
        <w:rPr>
          <w:rFonts w:ascii="Times New Roman" w:hAnsi="Times New Roman" w:cs="Times New Roman"/>
          <w:sz w:val="24"/>
          <w:szCs w:val="24"/>
          <w:lang w:val="bg-BG"/>
        </w:rPr>
        <w:t>, минни операции и взривни дейности</w:t>
      </w:r>
      <w:r w:rsidR="00CA0E47" w:rsidRPr="00610B1B">
        <w:rPr>
          <w:rFonts w:ascii="Times New Roman" w:hAnsi="Times New Roman" w:cs="Times New Roman"/>
          <w:sz w:val="24"/>
          <w:szCs w:val="24"/>
          <w:lang w:val="bg-BG"/>
        </w:rPr>
        <w:t>;</w:t>
      </w:r>
    </w:p>
    <w:p w14:paraId="0DA05FB3" w14:textId="77777777" w:rsidR="00CA0E47" w:rsidRPr="00610B1B" w:rsidRDefault="007360D9" w:rsidP="00B46189">
      <w:pPr>
        <w:pStyle w:val="ListParagraph"/>
        <w:numPr>
          <w:ilvl w:val="0"/>
          <w:numId w:val="79"/>
        </w:numPr>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провеждане на учения по водене на бойни действия на кораби, на разнородни противоподводни сили с участие на подводници</w:t>
      </w:r>
      <w:r w:rsidR="00CA0E47"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на амфибийни сили</w:t>
      </w:r>
      <w:r w:rsidR="00CA0E47" w:rsidRPr="00610B1B">
        <w:rPr>
          <w:rFonts w:ascii="Times New Roman" w:hAnsi="Times New Roman" w:cs="Times New Roman"/>
          <w:sz w:val="24"/>
          <w:szCs w:val="24"/>
          <w:lang w:val="bg-BG"/>
        </w:rPr>
        <w:t xml:space="preserve"> и с различно базиран противник;</w:t>
      </w:r>
    </w:p>
    <w:p w14:paraId="6E966E57" w14:textId="77777777" w:rsidR="00CA0E47" w:rsidRPr="00610B1B" w:rsidRDefault="00CA0E47" w:rsidP="00B46189">
      <w:pPr>
        <w:pStyle w:val="ListParagraph"/>
        <w:numPr>
          <w:ilvl w:val="0"/>
          <w:numId w:val="79"/>
        </w:numPr>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тренировки по контрол на корабоплаването, комуникационен обмен, по борба за живучест, по потапяне, изплаване</w:t>
      </w:r>
      <w:r w:rsidR="007360D9" w:rsidRPr="00610B1B">
        <w:rPr>
          <w:rFonts w:ascii="Times New Roman" w:hAnsi="Times New Roman" w:cs="Times New Roman"/>
          <w:sz w:val="24"/>
          <w:szCs w:val="24"/>
          <w:lang w:val="bg-BG"/>
        </w:rPr>
        <w:t>, управление и маневриране под вода</w:t>
      </w:r>
      <w:r w:rsidRPr="00610B1B">
        <w:rPr>
          <w:rFonts w:ascii="Times New Roman" w:hAnsi="Times New Roman" w:cs="Times New Roman"/>
          <w:sz w:val="24"/>
          <w:szCs w:val="24"/>
          <w:lang w:val="bg-BG"/>
        </w:rPr>
        <w:t xml:space="preserve"> и др</w:t>
      </w:r>
      <w:r w:rsidR="007360D9"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w:t>
      </w:r>
    </w:p>
    <w:p w14:paraId="742473E6" w14:textId="77777777" w:rsidR="00CA0E47" w:rsidRPr="00610B1B" w:rsidRDefault="007360D9" w:rsidP="00B46189">
      <w:pPr>
        <w:pStyle w:val="ListParagraph"/>
        <w:numPr>
          <w:ilvl w:val="0"/>
          <w:numId w:val="79"/>
        </w:numPr>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обучение и тренировки на водолази и леководолази </w:t>
      </w:r>
      <w:r w:rsidR="00CA0E47" w:rsidRPr="00610B1B">
        <w:rPr>
          <w:rFonts w:ascii="Times New Roman" w:hAnsi="Times New Roman" w:cs="Times New Roman"/>
          <w:sz w:val="24"/>
          <w:szCs w:val="24"/>
          <w:lang w:val="bg-BG"/>
        </w:rPr>
        <w:t xml:space="preserve">за </w:t>
      </w:r>
      <w:r w:rsidRPr="00610B1B">
        <w:rPr>
          <w:rFonts w:ascii="Times New Roman" w:hAnsi="Times New Roman" w:cs="Times New Roman"/>
          <w:sz w:val="24"/>
          <w:szCs w:val="24"/>
          <w:lang w:val="bg-BG"/>
        </w:rPr>
        <w:t>подводна работа</w:t>
      </w:r>
      <w:r w:rsidR="00CA0E47" w:rsidRPr="00610B1B">
        <w:rPr>
          <w:rFonts w:ascii="Times New Roman" w:hAnsi="Times New Roman" w:cs="Times New Roman"/>
          <w:sz w:val="24"/>
          <w:szCs w:val="24"/>
          <w:lang w:val="bg-BG"/>
        </w:rPr>
        <w:t xml:space="preserve"> и </w:t>
      </w:r>
      <w:r w:rsidRPr="00610B1B">
        <w:rPr>
          <w:rFonts w:ascii="Times New Roman" w:hAnsi="Times New Roman" w:cs="Times New Roman"/>
          <w:sz w:val="24"/>
          <w:szCs w:val="24"/>
          <w:lang w:val="bg-BG"/>
        </w:rPr>
        <w:t>аварийно-спасителна дейност</w:t>
      </w:r>
      <w:r w:rsidR="00CA0E47" w:rsidRPr="00610B1B">
        <w:rPr>
          <w:rFonts w:ascii="Times New Roman" w:hAnsi="Times New Roman" w:cs="Times New Roman"/>
          <w:sz w:val="24"/>
          <w:szCs w:val="24"/>
          <w:lang w:val="bg-BG"/>
        </w:rPr>
        <w:t>;</w:t>
      </w:r>
    </w:p>
    <w:p w14:paraId="6EC45ADC" w14:textId="26DC8392" w:rsidR="007360D9" w:rsidRPr="00610B1B" w:rsidRDefault="007360D9" w:rsidP="00B46189">
      <w:pPr>
        <w:pStyle w:val="ListParagraph"/>
        <w:numPr>
          <w:ilvl w:val="0"/>
          <w:numId w:val="79"/>
        </w:numPr>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учения по търсене и спасяване</w:t>
      </w:r>
      <w:r w:rsidR="00CA0E47" w:rsidRPr="00610B1B">
        <w:rPr>
          <w:rFonts w:ascii="Times New Roman" w:hAnsi="Times New Roman" w:cs="Times New Roman"/>
          <w:sz w:val="24"/>
          <w:szCs w:val="24"/>
          <w:lang w:val="bg-BG"/>
        </w:rPr>
        <w:t xml:space="preserve"> и по </w:t>
      </w:r>
      <w:r w:rsidRPr="00610B1B">
        <w:rPr>
          <w:rFonts w:ascii="Times New Roman" w:hAnsi="Times New Roman" w:cs="Times New Roman"/>
          <w:sz w:val="24"/>
          <w:szCs w:val="24"/>
          <w:lang w:val="bg-BG"/>
        </w:rPr>
        <w:t>мащабни спасителни операции на екипажи и пътници на кораби и самолети, аварирали в/над района</w:t>
      </w:r>
      <w:r w:rsidR="00CA0E47"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за който Република България отговаря.</w:t>
      </w:r>
    </w:p>
    <w:p w14:paraId="7DDEA89F" w14:textId="3931FBD3" w:rsidR="007360D9" w:rsidRPr="00610B1B" w:rsidRDefault="00AD7E50" w:rsidP="00D32D6A">
      <w:pPr>
        <w:pStyle w:val="ListParagraph"/>
        <w:spacing w:after="120"/>
        <w:ind w:left="0" w:right="-158"/>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Тези повече от 20 дейности</w:t>
      </w:r>
      <w:r w:rsidR="000B48B7" w:rsidRPr="00610B1B">
        <w:rPr>
          <w:rFonts w:ascii="Times New Roman" w:hAnsi="Times New Roman" w:cs="Times New Roman"/>
          <w:sz w:val="24"/>
          <w:szCs w:val="24"/>
          <w:lang w:val="bg-BG"/>
        </w:rPr>
        <w:t xml:space="preserve">, свързани с учения и обучения, с провеждане на различни военни операции и на операции по търсене и спасяване, за работа под вода, за целите на Морския пространствен план </w:t>
      </w:r>
      <w:r w:rsidRPr="00610B1B">
        <w:rPr>
          <w:rFonts w:ascii="Times New Roman" w:hAnsi="Times New Roman" w:cs="Times New Roman"/>
          <w:sz w:val="24"/>
          <w:szCs w:val="24"/>
          <w:lang w:val="bg-BG"/>
        </w:rPr>
        <w:t>се групират в зависимост от сходството в ограниченията им и едва тогава да се обявят за</w:t>
      </w:r>
      <w:r w:rsidR="00D66FE0" w:rsidRPr="00610B1B">
        <w:rPr>
          <w:rFonts w:ascii="Times New Roman" w:hAnsi="Times New Roman" w:cs="Times New Roman"/>
          <w:sz w:val="24"/>
          <w:szCs w:val="24"/>
          <w:lang w:val="bg-BG"/>
        </w:rPr>
        <w:t xml:space="preserve"> </w:t>
      </w:r>
      <w:r w:rsidR="007360D9" w:rsidRPr="00610B1B">
        <w:rPr>
          <w:rFonts w:ascii="Times New Roman" w:hAnsi="Times New Roman" w:cs="Times New Roman"/>
          <w:sz w:val="24"/>
          <w:szCs w:val="24"/>
          <w:lang w:val="bg-BG"/>
        </w:rPr>
        <w:t>„забранени за корабоплаване“</w:t>
      </w:r>
      <w:r w:rsidRPr="00610B1B">
        <w:rPr>
          <w:rFonts w:ascii="Times New Roman" w:hAnsi="Times New Roman" w:cs="Times New Roman"/>
          <w:sz w:val="24"/>
          <w:szCs w:val="24"/>
          <w:lang w:val="bg-BG"/>
        </w:rPr>
        <w:t xml:space="preserve">, при ясен времеви диапазон на действие на забраните. </w:t>
      </w:r>
    </w:p>
    <w:p w14:paraId="6879C795" w14:textId="4199C826" w:rsidR="007360D9" w:rsidRPr="00610B1B" w:rsidRDefault="00E94973" w:rsidP="00D32D6A">
      <w:pPr>
        <w:pStyle w:val="Heading4"/>
        <w:spacing w:before="0" w:line="276" w:lineRule="auto"/>
        <w:ind w:right="-153"/>
        <w:rPr>
          <w:rFonts w:cs="Times New Roman"/>
        </w:rPr>
      </w:pPr>
      <w:r w:rsidRPr="00610B1B">
        <w:rPr>
          <w:rFonts w:cs="Times New Roman"/>
        </w:rPr>
        <w:t>3.5.1.</w:t>
      </w:r>
      <w:r w:rsidR="00492F69" w:rsidRPr="00610B1B">
        <w:rPr>
          <w:rFonts w:cs="Times New Roman"/>
        </w:rPr>
        <w:t>1</w:t>
      </w:r>
      <w:r w:rsidRPr="00610B1B">
        <w:rPr>
          <w:rFonts w:cs="Times New Roman"/>
        </w:rPr>
        <w:t xml:space="preserve">. </w:t>
      </w:r>
      <w:r w:rsidR="007360D9" w:rsidRPr="00610B1B">
        <w:rPr>
          <w:rFonts w:cs="Times New Roman"/>
        </w:rPr>
        <w:t>Военни пристанища</w:t>
      </w:r>
      <w:r w:rsidR="00D06882" w:rsidRPr="00610B1B">
        <w:rPr>
          <w:rFonts w:cs="Times New Roman"/>
        </w:rPr>
        <w:t xml:space="preserve"> и обекти, свързани със сигурността</w:t>
      </w:r>
    </w:p>
    <w:p w14:paraId="7AACD0D9" w14:textId="1902E25D" w:rsidR="004F554A" w:rsidRPr="00610B1B" w:rsidRDefault="004F554A"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bCs/>
          <w:sz w:val="24"/>
          <w:szCs w:val="24"/>
          <w:lang w:val="bg-BG"/>
        </w:rPr>
        <w:t>Военните пристанища</w:t>
      </w:r>
      <w:r w:rsidRPr="00610B1B">
        <w:rPr>
          <w:rFonts w:ascii="Times New Roman" w:hAnsi="Times New Roman" w:cs="Times New Roman"/>
          <w:sz w:val="24"/>
          <w:szCs w:val="24"/>
          <w:lang w:val="bg-BG"/>
        </w:rPr>
        <w:t xml:space="preserve"> са разположени край град Варна и град Бургас. Информацията за военните пристанища е чувствителна по отношение на сигурността и отбраната, поради което същата е защитена от Закона за защита на класифицираната информация (ЗЗКИ)</w:t>
      </w:r>
      <w:r w:rsidRPr="00610B1B">
        <w:rPr>
          <w:rStyle w:val="FootnoteReference"/>
          <w:rFonts w:ascii="Times New Roman" w:hAnsi="Times New Roman" w:cs="Times New Roman"/>
          <w:sz w:val="24"/>
          <w:szCs w:val="24"/>
          <w:lang w:val="bg-BG"/>
        </w:rPr>
        <w:footnoteReference w:id="128"/>
      </w:r>
      <w:r w:rsidRPr="00610B1B">
        <w:rPr>
          <w:rFonts w:ascii="Times New Roman" w:hAnsi="Times New Roman" w:cs="Times New Roman"/>
          <w:sz w:val="24"/>
          <w:szCs w:val="24"/>
          <w:lang w:val="bg-BG"/>
        </w:rPr>
        <w:t xml:space="preserve">. </w:t>
      </w:r>
    </w:p>
    <w:p w14:paraId="6262D5DC" w14:textId="4F594B90" w:rsidR="004F554A" w:rsidRPr="00610B1B" w:rsidRDefault="004F554A"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Други обекти, свързани със сигурността и безопасността в морските пространства попадат са местата за заставане на корабите на котва. В обхвата на зоните “</w:t>
      </w:r>
      <w:r w:rsidRPr="00610B1B">
        <w:rPr>
          <w:rFonts w:ascii="Times New Roman" w:hAnsi="Times New Roman" w:cs="Times New Roman"/>
          <w:b/>
          <w:bCs/>
          <w:sz w:val="24"/>
          <w:szCs w:val="24"/>
          <w:lang w:val="bg-BG"/>
        </w:rPr>
        <w:t>Котвени стоянки</w:t>
      </w:r>
      <w:r w:rsidRPr="00610B1B">
        <w:rPr>
          <w:rFonts w:ascii="Times New Roman" w:hAnsi="Times New Roman" w:cs="Times New Roman"/>
          <w:sz w:val="24"/>
          <w:szCs w:val="24"/>
          <w:lang w:val="bg-BG"/>
        </w:rPr>
        <w:t>” попадат защитени от опасни направления на вятъра котвени места. Всяко котвено място притежава специфични характеристики - безопасни дълбочини, безопасни разстояния, защитени от силни ветрове направления. Тези зони са във функционална зависимост от Системата за разделно движение (СРД) и препоръчаните пътища. Във Варненския залив са определени седем района за котвени стоянки, повечето от които във Варненското езеро, един южно от нос Галата (предимно за зимния период), един североизточно от устието на р. Камчия за кораби под карантина или пренасящи опасни товари и един район южно от пристанище</w:t>
      </w:r>
      <w:r w:rsidR="0018150C" w:rsidRPr="00610B1B">
        <w:rPr>
          <w:rFonts w:ascii="Times New Roman" w:hAnsi="Times New Roman" w:cs="Times New Roman"/>
          <w:sz w:val="24"/>
          <w:szCs w:val="24"/>
          <w:lang w:val="bg-BG"/>
        </w:rPr>
        <w:t>н терминал</w:t>
      </w:r>
      <w:r w:rsidRPr="00610B1B">
        <w:rPr>
          <w:rFonts w:ascii="Times New Roman" w:hAnsi="Times New Roman" w:cs="Times New Roman"/>
          <w:sz w:val="24"/>
          <w:szCs w:val="24"/>
          <w:lang w:val="bg-BG"/>
        </w:rPr>
        <w:t xml:space="preserve"> Балчик. Корабните стоянки на корабите от Бургаските пристанища между порт Бургас и нос Фарос са 5 броя с различен капацитет. Единият от районите е разположен югоизточно от пристанище</w:t>
      </w:r>
      <w:r w:rsidR="0018150C" w:rsidRPr="00610B1B">
        <w:rPr>
          <w:rFonts w:ascii="Times New Roman" w:hAnsi="Times New Roman" w:cs="Times New Roman"/>
          <w:sz w:val="24"/>
          <w:szCs w:val="24"/>
          <w:lang w:val="bg-BG"/>
        </w:rPr>
        <w:t xml:space="preserve"> за обществен транспорт</w:t>
      </w:r>
      <w:r w:rsidRPr="00610B1B">
        <w:rPr>
          <w:rFonts w:ascii="Times New Roman" w:hAnsi="Times New Roman" w:cs="Times New Roman"/>
          <w:sz w:val="24"/>
          <w:szCs w:val="24"/>
          <w:lang w:val="bg-BG"/>
        </w:rPr>
        <w:t xml:space="preserve"> Бургас, другият западно от остров Св. Анастасия. И двата района са предназначени за танкери с водоизместване до 5 000 t. Северно от нефтеното пристанище „Росенец“ е разположен район за заставане на котва на кораби с максимална дължина над 150 m. Котвената стоянка за корабите, посещаващи пристанище</w:t>
      </w:r>
      <w:r w:rsidR="0018150C" w:rsidRPr="00610B1B">
        <w:rPr>
          <w:rFonts w:ascii="Times New Roman" w:hAnsi="Times New Roman" w:cs="Times New Roman"/>
          <w:sz w:val="24"/>
          <w:szCs w:val="24"/>
          <w:lang w:val="bg-BG"/>
        </w:rPr>
        <w:t>н терминал</w:t>
      </w:r>
      <w:r w:rsidRPr="00610B1B">
        <w:rPr>
          <w:rFonts w:ascii="Times New Roman" w:hAnsi="Times New Roman" w:cs="Times New Roman"/>
          <w:sz w:val="24"/>
          <w:szCs w:val="24"/>
          <w:lang w:val="bg-BG"/>
        </w:rPr>
        <w:t xml:space="preserve"> Несебър, е на дистанция 0,7 морски мили югоизточно от входен фар – Несебър.</w:t>
      </w:r>
    </w:p>
    <w:p w14:paraId="6F13E8BC" w14:textId="249681A0" w:rsidR="004F554A" w:rsidRPr="00610B1B" w:rsidRDefault="004F554A"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bCs/>
          <w:sz w:val="24"/>
          <w:szCs w:val="24"/>
          <w:lang w:val="bg-BG"/>
        </w:rPr>
        <w:t xml:space="preserve">Забранените за </w:t>
      </w:r>
      <w:r w:rsidR="00F55BCD" w:rsidRPr="00610B1B">
        <w:rPr>
          <w:rFonts w:ascii="Times New Roman" w:hAnsi="Times New Roman" w:cs="Times New Roman"/>
          <w:b/>
          <w:bCs/>
          <w:sz w:val="24"/>
          <w:szCs w:val="24"/>
          <w:lang w:val="bg-BG"/>
        </w:rPr>
        <w:t>корабо</w:t>
      </w:r>
      <w:r w:rsidRPr="00610B1B">
        <w:rPr>
          <w:rFonts w:ascii="Times New Roman" w:hAnsi="Times New Roman" w:cs="Times New Roman"/>
          <w:b/>
          <w:bCs/>
          <w:sz w:val="24"/>
          <w:szCs w:val="24"/>
          <w:lang w:val="bg-BG"/>
        </w:rPr>
        <w:t>плаване райони</w:t>
      </w:r>
      <w:r w:rsidRPr="00610B1B">
        <w:rPr>
          <w:rFonts w:ascii="Times New Roman" w:hAnsi="Times New Roman" w:cs="Times New Roman"/>
          <w:sz w:val="24"/>
          <w:szCs w:val="24"/>
          <w:lang w:val="bg-BG"/>
        </w:rPr>
        <w:t xml:space="preserve"> се обявяват от компетентните органи в териториалното море и вътрешните морски води съответно с постоянни или временни забрани. Контролът на плаването във вътрешните морски води, в териториалното море и във вътрешните водни пътища на Република България на български и чуждестранни яхти, лодки и други плавателни средства за спорт, туризъм и развлечение се осъществява самостоятелно и съвместно от Изпълнителна агенция „Морска администрация“, Главна дирекция „Гранична полиция“ на Министерството на вътрешните работи и от Военноморските сили. Плаването се осъществява извън забранените райони. Полигоните за подготовка на ВМС (зоните и отделни райони) се обявяват „временно забранени за плаване”, когато са в териториалните и вътрешните води на Република България. Когато тези действия са извън териториалн</w:t>
      </w:r>
      <w:r w:rsidR="00BE6DD4" w:rsidRPr="00610B1B">
        <w:rPr>
          <w:rFonts w:ascii="Times New Roman" w:hAnsi="Times New Roman" w:cs="Times New Roman"/>
          <w:sz w:val="24"/>
          <w:szCs w:val="24"/>
          <w:lang w:val="bg-BG"/>
        </w:rPr>
        <w:t>ото море</w:t>
      </w:r>
      <w:r w:rsidRPr="00610B1B">
        <w:rPr>
          <w:rFonts w:ascii="Times New Roman" w:hAnsi="Times New Roman" w:cs="Times New Roman"/>
          <w:sz w:val="24"/>
          <w:szCs w:val="24"/>
          <w:lang w:val="bg-BG"/>
        </w:rPr>
        <w:t>, се обявяват зони за „временно опасни за плаване”. Такива райони са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разположени източно от нос Шабла, източно от Черни нос и западно от нос Атия.</w:t>
      </w:r>
    </w:p>
    <w:p w14:paraId="6B86669A" w14:textId="77777777" w:rsidR="004F554A" w:rsidRPr="00610B1B" w:rsidRDefault="004F554A"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Районите,</w:t>
      </w:r>
      <w:r w:rsidRPr="00610B1B">
        <w:rPr>
          <w:rFonts w:ascii="Times New Roman" w:hAnsi="Times New Roman" w:cs="Times New Roman"/>
          <w:b/>
          <w:color w:val="000000" w:themeColor="text1"/>
          <w:sz w:val="24"/>
          <w:szCs w:val="24"/>
          <w:lang w:val="bg-BG"/>
        </w:rPr>
        <w:t xml:space="preserve"> забранени за заставане на котва, риболов с придънни средства, за подводни и драгажни работи, за придънно тралене и взривове </w:t>
      </w:r>
      <w:r w:rsidRPr="00610B1B">
        <w:rPr>
          <w:rFonts w:ascii="Times New Roman" w:hAnsi="Times New Roman" w:cs="Times New Roman"/>
          <w:color w:val="000000" w:themeColor="text1"/>
          <w:sz w:val="24"/>
          <w:szCs w:val="24"/>
          <w:lang w:val="bg-BG"/>
        </w:rPr>
        <w:t xml:space="preserve">се определят с цел </w:t>
      </w:r>
      <w:bookmarkStart w:id="379" w:name="_Hlk47175997"/>
      <w:r w:rsidRPr="00610B1B">
        <w:rPr>
          <w:rFonts w:ascii="Times New Roman" w:hAnsi="Times New Roman" w:cs="Times New Roman"/>
          <w:color w:val="000000" w:themeColor="text1"/>
          <w:sz w:val="24"/>
          <w:szCs w:val="24"/>
          <w:lang w:val="bg-BG"/>
        </w:rPr>
        <w:t xml:space="preserve">опазване на инфраструктурата, съоръженията и оборудването от увреждане, на потъналите военни кораби, </w:t>
      </w:r>
      <w:r w:rsidRPr="00610B1B">
        <w:rPr>
          <w:rFonts w:ascii="Times New Roman" w:hAnsi="Times New Roman" w:cs="Times New Roman"/>
          <w:sz w:val="24"/>
          <w:szCs w:val="24"/>
          <w:lang w:val="bg-BG"/>
        </w:rPr>
        <w:t xml:space="preserve">историческите и археологическите обекти или природните ценности. </w:t>
      </w:r>
    </w:p>
    <w:bookmarkEnd w:id="379"/>
    <w:p w14:paraId="1E1B1ACF" w14:textId="5397E076" w:rsidR="004F554A" w:rsidRPr="00610B1B" w:rsidRDefault="004F554A" w:rsidP="00D32D6A">
      <w:pPr>
        <w:spacing w:after="120"/>
        <w:ind w:right="-153"/>
        <w:jc w:val="both"/>
        <w:rPr>
          <w:rFonts w:ascii="Times New Roman" w:eastAsia="Calibri" w:hAnsi="Times New Roman" w:cs="Times New Roman"/>
          <w:bCs/>
          <w:sz w:val="24"/>
          <w:szCs w:val="24"/>
          <w:lang w:val="bg-BG"/>
        </w:rPr>
      </w:pPr>
      <w:r w:rsidRPr="00610B1B">
        <w:rPr>
          <w:rFonts w:ascii="Times New Roman" w:hAnsi="Times New Roman" w:cs="Times New Roman"/>
          <w:sz w:val="24"/>
          <w:szCs w:val="24"/>
          <w:lang w:val="bg-BG"/>
        </w:rPr>
        <w:t>Синтезната карта с приложени координати за определяне на полигоните с различни забрани показва п</w:t>
      </w:r>
      <w:r w:rsidRPr="00610B1B">
        <w:rPr>
          <w:rFonts w:ascii="Times New Roman" w:eastAsia="Calibri" w:hAnsi="Times New Roman" w:cs="Times New Roman"/>
          <w:bCs/>
          <w:sz w:val="24"/>
          <w:szCs w:val="24"/>
          <w:lang w:val="bg-BG"/>
        </w:rPr>
        <w:t xml:space="preserve">рипокриването на много от районите, което може да предизвика конфликти, както и да доведе до неефективно използване на морските пространства. Припокриването със схеми за разделно движение, фарватери и препоръчителни пътища не е възможно винаги да се избягва, но трябва да се отчита вероятността от аварии. </w:t>
      </w:r>
    </w:p>
    <w:p w14:paraId="10E02A3B" w14:textId="00BDB9EA" w:rsidR="004F554A" w:rsidRPr="00610B1B" w:rsidRDefault="004F554A"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color w:val="000000" w:themeColor="text1"/>
          <w:sz w:val="24"/>
          <w:szCs w:val="24"/>
          <w:lang w:val="bg-BG"/>
        </w:rPr>
        <w:t xml:space="preserve">Данните за </w:t>
      </w:r>
      <w:r w:rsidRPr="00610B1B">
        <w:rPr>
          <w:rFonts w:ascii="Times New Roman" w:hAnsi="Times New Roman" w:cs="Times New Roman"/>
          <w:b/>
          <w:bCs/>
          <w:color w:val="000000" w:themeColor="text1"/>
          <w:sz w:val="24"/>
          <w:szCs w:val="24"/>
          <w:lang w:val="bg-BG"/>
        </w:rPr>
        <w:t>районите за изхвърляне на земни маси</w:t>
      </w:r>
      <w:r w:rsidRPr="00610B1B">
        <w:rPr>
          <w:rFonts w:ascii="Times New Roman" w:hAnsi="Times New Roman" w:cs="Times New Roman"/>
          <w:color w:val="000000" w:themeColor="text1"/>
          <w:sz w:val="24"/>
          <w:szCs w:val="24"/>
          <w:lang w:val="bg-BG"/>
        </w:rPr>
        <w:t xml:space="preserve"> са използвани за идентифициране на потенциалните конфликти, които биха възникнали</w:t>
      </w:r>
      <w:r w:rsidR="00D66FE0" w:rsidRPr="00610B1B">
        <w:rPr>
          <w:rFonts w:ascii="Times New Roman" w:hAnsi="Times New Roman" w:cs="Times New Roman"/>
          <w:color w:val="000000" w:themeColor="text1"/>
          <w:sz w:val="24"/>
          <w:szCs w:val="24"/>
          <w:lang w:val="bg-BG"/>
        </w:rPr>
        <w:t xml:space="preserve"> </w:t>
      </w:r>
      <w:r w:rsidRPr="00610B1B">
        <w:rPr>
          <w:rFonts w:ascii="Times New Roman" w:hAnsi="Times New Roman" w:cs="Times New Roman"/>
          <w:color w:val="000000" w:themeColor="text1"/>
          <w:sz w:val="24"/>
          <w:szCs w:val="24"/>
          <w:lang w:val="bg-BG"/>
        </w:rPr>
        <w:t xml:space="preserve">в резултат на навигационна авария, </w:t>
      </w:r>
      <w:r w:rsidRPr="00610B1B">
        <w:rPr>
          <w:rFonts w:ascii="Times New Roman" w:hAnsi="Times New Roman" w:cs="Times New Roman"/>
          <w:color w:val="000000" w:themeColor="text1"/>
          <w:sz w:val="24"/>
          <w:szCs w:val="24"/>
          <w:lang w:val="bg-BG"/>
        </w:rPr>
        <w:lastRenderedPageBreak/>
        <w:t>засядане при грешно определена дълбочина на изхвърляне, или поради друг инцидент, възникнал от детонация, подводен взрив, придъден трал и други.</w:t>
      </w:r>
    </w:p>
    <w:p w14:paraId="02C0C14D" w14:textId="77777777" w:rsidR="004F554A" w:rsidRPr="00610B1B" w:rsidRDefault="004F554A"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 xml:space="preserve">Капацитетът на пределното използване на тези райони е изчислен на база отредената площ, релефа на дъното, дълбочините в началото на използването му, изхвърлените количества, максималната дълбочина, до която могат да бъдат натрупвани и влиянието на натрупването върху съседни зони. Към настоящия момент сигурността и безопасността в райони за изхвърляне на земни маси е организирана нормативно и организационно въз основа на водещите световни практики, натрупания опит и законовите изисквания. </w:t>
      </w:r>
    </w:p>
    <w:p w14:paraId="37C44C5D" w14:textId="5E425541" w:rsidR="004F554A" w:rsidRPr="00610B1B" w:rsidRDefault="004F554A"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
          <w:sz w:val="24"/>
          <w:szCs w:val="24"/>
          <w:lang w:val="bg-BG"/>
        </w:rPr>
        <w:t>Районите за подводна дейност с учебни интереси и подводен туризъм</w:t>
      </w:r>
      <w:r w:rsidRPr="00610B1B">
        <w:rPr>
          <w:rFonts w:ascii="Times New Roman" w:eastAsia="Calibri" w:hAnsi="Times New Roman" w:cs="Times New Roman"/>
          <w:bCs/>
          <w:sz w:val="24"/>
          <w:szCs w:val="24"/>
          <w:lang w:val="bg-BG"/>
        </w:rPr>
        <w:t xml:space="preserve"> заемат площи във вътрешните води и териториалното море на Република България. В тях се извършват водолазни дейности за работа, спорт, туризъм и развлечения. Постоянни са само границите на полигоните за подготовка на водолази от Военноморските сили, а границите на другите райони се определят за времето на използването им, като се ограничава режима на корабоплаване в тях по реда на Наредба № Н-7 от 12 юни 2008 г. за извършване на водолазна и друга подводна дейност</w:t>
      </w:r>
      <w:r w:rsidRPr="00610B1B">
        <w:rPr>
          <w:rStyle w:val="FootnoteReference"/>
          <w:rFonts w:ascii="Times New Roman" w:eastAsia="Calibri" w:hAnsi="Times New Roman" w:cs="Times New Roman"/>
          <w:bCs/>
          <w:sz w:val="24"/>
          <w:szCs w:val="24"/>
          <w:lang w:val="bg-BG"/>
        </w:rPr>
        <w:footnoteReference w:id="129"/>
      </w:r>
      <w:r w:rsidRPr="00610B1B">
        <w:rPr>
          <w:rFonts w:ascii="Times New Roman" w:eastAsia="Calibri" w:hAnsi="Times New Roman" w:cs="Times New Roman"/>
          <w:bCs/>
          <w:sz w:val="24"/>
          <w:szCs w:val="24"/>
          <w:lang w:val="bg-BG"/>
        </w:rPr>
        <w:t>. Наредбата определя видовете водолазни работи, и забранява водолазна или друга подводна дейност в районите, обхванати от системата за движение. Другите райони за водолазна и подводна работа или дейност се обявяват в „Известие до мореплавателите“ от Хидрографска служба на Военноморските сили по определен ред. Границите на тези полигони варират. Указанията по използване на райони за подводна дейност с учебни интереси и подводен туризъм, осигуряват необходимата безопасност, посредством изискванията на цитираната по-горе наредба.</w:t>
      </w:r>
      <w:r w:rsidRPr="00610B1B">
        <w:rPr>
          <w:rFonts w:ascii="Times New Roman" w:eastAsia="Calibri" w:hAnsi="Times New Roman" w:cs="Times New Roman"/>
          <w:bCs/>
          <w:sz w:val="24"/>
          <w:szCs w:val="24"/>
          <w:vertAlign w:val="superscript"/>
          <w:lang w:val="bg-BG"/>
        </w:rPr>
        <w:footnoteReference w:id="130"/>
      </w:r>
    </w:p>
    <w:p w14:paraId="31CD748F" w14:textId="77777777" w:rsidR="009907CE" w:rsidRPr="00610B1B" w:rsidRDefault="009907CE" w:rsidP="00D32D6A">
      <w:pPr>
        <w:spacing w:after="120"/>
        <w:ind w:right="-153"/>
        <w:jc w:val="both"/>
        <w:rPr>
          <w:rFonts w:ascii="Times New Roman" w:eastAsia="Calibri" w:hAnsi="Times New Roman" w:cs="Times New Roman"/>
          <w:bCs/>
          <w:sz w:val="24"/>
          <w:szCs w:val="24"/>
          <w:lang w:val="bg-BG"/>
        </w:rPr>
      </w:pPr>
    </w:p>
    <w:p w14:paraId="4074189F" w14:textId="072546EE" w:rsidR="00AF2803" w:rsidRPr="00610B1B" w:rsidRDefault="000E7851" w:rsidP="000E7851">
      <w:pPr>
        <w:pStyle w:val="Heading3"/>
        <w:rPr>
          <w:rFonts w:cs="Times New Roman"/>
        </w:rPr>
      </w:pPr>
      <w:bookmarkStart w:id="380" w:name="_Toc83391390"/>
      <w:r w:rsidRPr="00610B1B">
        <w:rPr>
          <w:rFonts w:cs="Times New Roman"/>
        </w:rPr>
        <w:t>3.5</w:t>
      </w:r>
      <w:r w:rsidR="00492F69" w:rsidRPr="00610B1B">
        <w:rPr>
          <w:rFonts w:cs="Times New Roman"/>
        </w:rPr>
        <w:t>.2</w:t>
      </w:r>
      <w:r w:rsidR="00AF2803" w:rsidRPr="00610B1B">
        <w:rPr>
          <w:rFonts w:cs="Times New Roman"/>
        </w:rPr>
        <w:t>. Организация на движението в морските пространства</w:t>
      </w:r>
      <w:bookmarkEnd w:id="380"/>
    </w:p>
    <w:p w14:paraId="392248A5" w14:textId="3FD93B4B" w:rsidR="007360D9" w:rsidRPr="00610B1B" w:rsidRDefault="00733333"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Cs/>
          <w:sz w:val="24"/>
          <w:szCs w:val="24"/>
          <w:lang w:val="bg-BG"/>
        </w:rPr>
        <w:t xml:space="preserve">Във </w:t>
      </w:r>
      <w:r w:rsidR="00964F8E" w:rsidRPr="00610B1B">
        <w:rPr>
          <w:rFonts w:ascii="Times New Roman" w:hAnsi="Times New Roman" w:cs="Times New Roman"/>
          <w:bCs/>
          <w:sz w:val="24"/>
          <w:szCs w:val="24"/>
          <w:lang w:val="bg-BG"/>
        </w:rPr>
        <w:t>всички участъци на морските пространства на Р. България се пресичат м</w:t>
      </w:r>
      <w:r w:rsidR="007360D9" w:rsidRPr="00610B1B">
        <w:rPr>
          <w:rFonts w:ascii="Times New Roman" w:hAnsi="Times New Roman" w:cs="Times New Roman"/>
          <w:bCs/>
          <w:sz w:val="24"/>
          <w:szCs w:val="24"/>
          <w:lang w:val="bg-BG"/>
        </w:rPr>
        <w:t xml:space="preserve">аршрути на военните кораби и </w:t>
      </w:r>
      <w:r w:rsidR="00964F8E" w:rsidRPr="00610B1B">
        <w:rPr>
          <w:rFonts w:ascii="Times New Roman" w:hAnsi="Times New Roman" w:cs="Times New Roman"/>
          <w:bCs/>
          <w:sz w:val="24"/>
          <w:szCs w:val="24"/>
          <w:lang w:val="bg-BG"/>
        </w:rPr>
        <w:t xml:space="preserve">останалия </w:t>
      </w:r>
      <w:r w:rsidR="007360D9" w:rsidRPr="00610B1B">
        <w:rPr>
          <w:rFonts w:ascii="Times New Roman" w:hAnsi="Times New Roman" w:cs="Times New Roman"/>
          <w:bCs/>
          <w:sz w:val="24"/>
          <w:szCs w:val="24"/>
          <w:lang w:val="bg-BG"/>
        </w:rPr>
        <w:t>морски трафик</w:t>
      </w:r>
      <w:r w:rsidR="00964F8E" w:rsidRPr="00610B1B">
        <w:rPr>
          <w:rFonts w:ascii="Times New Roman" w:hAnsi="Times New Roman" w:cs="Times New Roman"/>
          <w:bCs/>
          <w:sz w:val="24"/>
          <w:szCs w:val="24"/>
          <w:lang w:val="bg-BG"/>
        </w:rPr>
        <w:t>. Това е резултат от постоянното увеличаване на трафика п</w:t>
      </w:r>
      <w:r w:rsidR="007360D9" w:rsidRPr="00610B1B">
        <w:rPr>
          <w:rFonts w:ascii="Times New Roman" w:eastAsia="Calibri" w:hAnsi="Times New Roman" w:cs="Times New Roman"/>
          <w:sz w:val="24"/>
          <w:szCs w:val="24"/>
          <w:lang w:val="bg-BG" w:eastAsia="ja-JP"/>
        </w:rPr>
        <w:t>рез последните десетилетия, което създава и предпоставки за възникване на повече инциденти и морски катастрофи</w:t>
      </w:r>
      <w:r w:rsidR="00964F8E" w:rsidRPr="00610B1B">
        <w:rPr>
          <w:rFonts w:ascii="Times New Roman" w:eastAsia="Calibri" w:hAnsi="Times New Roman" w:cs="Times New Roman"/>
          <w:sz w:val="24"/>
          <w:szCs w:val="24"/>
          <w:lang w:val="bg-BG" w:eastAsia="ja-JP"/>
        </w:rPr>
        <w:t>.</w:t>
      </w:r>
      <w:r w:rsidR="007360D9" w:rsidRPr="00610B1B">
        <w:rPr>
          <w:rFonts w:ascii="Times New Roman" w:eastAsia="Calibri" w:hAnsi="Times New Roman" w:cs="Times New Roman"/>
          <w:sz w:val="24"/>
          <w:szCs w:val="24"/>
          <w:lang w:val="bg-BG" w:eastAsia="ja-JP"/>
        </w:rPr>
        <w:t xml:space="preserve"> </w:t>
      </w:r>
      <w:r w:rsidR="00964F8E" w:rsidRPr="00610B1B">
        <w:rPr>
          <w:rFonts w:ascii="Times New Roman" w:eastAsia="Calibri" w:hAnsi="Times New Roman" w:cs="Times New Roman"/>
          <w:sz w:val="24"/>
          <w:szCs w:val="24"/>
          <w:lang w:val="bg-BG" w:eastAsia="ja-JP"/>
        </w:rPr>
        <w:t>Броят на търговските кораби, снабдени с автоматизирана информационна система (АИС), съгласно правило 19 на гл. 5 на конвенция СОЛАС’74, пътуващи ежедневно в районите на Босфора, Бургас, Варна, Констанца, Одеса и Азовско море надвишава 2 500 кораба едновременно. Ако се добавят необорудваните с АИС рибарски кораби (под 15 m), яхтите и другите плавателни средства за развлечение, броят им значително ще се увеличи.</w:t>
      </w:r>
      <w:r w:rsidR="0071119F" w:rsidRPr="00610B1B">
        <w:rPr>
          <w:rFonts w:ascii="Times New Roman" w:eastAsia="Calibri" w:hAnsi="Times New Roman" w:cs="Times New Roman"/>
          <w:sz w:val="24"/>
          <w:szCs w:val="24"/>
          <w:lang w:val="bg-BG" w:eastAsia="ja-JP"/>
        </w:rPr>
        <w:t xml:space="preserve"> Именно поради тази причина през последните години се обсъжда п</w:t>
      </w:r>
      <w:r w:rsidR="007360D9" w:rsidRPr="00610B1B">
        <w:rPr>
          <w:rFonts w:ascii="Times New Roman" w:eastAsia="Calibri" w:hAnsi="Times New Roman" w:cs="Times New Roman"/>
          <w:sz w:val="24"/>
          <w:szCs w:val="24"/>
          <w:lang w:val="bg-BG"/>
        </w:rPr>
        <w:t xml:space="preserve">рилагане на </w:t>
      </w:r>
      <w:r w:rsidR="0071119F" w:rsidRPr="00610B1B">
        <w:rPr>
          <w:rFonts w:ascii="Times New Roman" w:eastAsia="Calibri" w:hAnsi="Times New Roman" w:cs="Times New Roman"/>
          <w:sz w:val="24"/>
          <w:szCs w:val="24"/>
          <w:lang w:val="bg-BG"/>
        </w:rPr>
        <w:t xml:space="preserve">нова </w:t>
      </w:r>
      <w:r w:rsidR="0071119F" w:rsidRPr="00610B1B">
        <w:rPr>
          <w:rFonts w:ascii="Times New Roman" w:eastAsia="Calibri" w:hAnsi="Times New Roman" w:cs="Times New Roman"/>
          <w:b/>
          <w:bCs/>
          <w:sz w:val="24"/>
          <w:szCs w:val="24"/>
          <w:lang w:val="bg-BG"/>
        </w:rPr>
        <w:t xml:space="preserve">разделна </w:t>
      </w:r>
      <w:r w:rsidR="007360D9" w:rsidRPr="00610B1B">
        <w:rPr>
          <w:rFonts w:ascii="Times New Roman" w:eastAsia="Calibri" w:hAnsi="Times New Roman" w:cs="Times New Roman"/>
          <w:b/>
          <w:bCs/>
          <w:sz w:val="24"/>
          <w:szCs w:val="24"/>
          <w:lang w:val="bg-BG"/>
        </w:rPr>
        <w:t>система за движение в морските пространства</w:t>
      </w:r>
      <w:r w:rsidR="007360D9" w:rsidRPr="00610B1B">
        <w:rPr>
          <w:rFonts w:ascii="Times New Roman" w:eastAsia="Calibri" w:hAnsi="Times New Roman" w:cs="Times New Roman"/>
          <w:sz w:val="24"/>
          <w:szCs w:val="24"/>
          <w:lang w:val="bg-BG"/>
        </w:rPr>
        <w:t xml:space="preserve"> на Република България</w:t>
      </w:r>
      <w:r w:rsidR="0071119F" w:rsidRPr="00610B1B">
        <w:rPr>
          <w:rFonts w:ascii="Times New Roman" w:eastAsia="Calibri" w:hAnsi="Times New Roman" w:cs="Times New Roman"/>
          <w:sz w:val="24"/>
          <w:szCs w:val="24"/>
          <w:lang w:val="bg-BG"/>
        </w:rPr>
        <w:t xml:space="preserve">, с която да се </w:t>
      </w:r>
      <w:r w:rsidR="007360D9" w:rsidRPr="00610B1B">
        <w:rPr>
          <w:rFonts w:ascii="Times New Roman" w:eastAsia="Calibri" w:hAnsi="Times New Roman" w:cs="Times New Roman"/>
          <w:sz w:val="24"/>
          <w:szCs w:val="24"/>
          <w:lang w:val="bg-BG"/>
        </w:rPr>
        <w:t>повиш</w:t>
      </w:r>
      <w:r w:rsidR="0071119F" w:rsidRPr="00610B1B">
        <w:rPr>
          <w:rFonts w:ascii="Times New Roman" w:eastAsia="Calibri" w:hAnsi="Times New Roman" w:cs="Times New Roman"/>
          <w:sz w:val="24"/>
          <w:szCs w:val="24"/>
          <w:lang w:val="bg-BG"/>
        </w:rPr>
        <w:t>и</w:t>
      </w:r>
      <w:r w:rsidR="007360D9" w:rsidRPr="00610B1B">
        <w:rPr>
          <w:rFonts w:ascii="Times New Roman" w:eastAsia="Calibri" w:hAnsi="Times New Roman" w:cs="Times New Roman"/>
          <w:sz w:val="24"/>
          <w:szCs w:val="24"/>
          <w:lang w:val="bg-BG"/>
        </w:rPr>
        <w:t xml:space="preserve"> сигурността на човешкия живот на море, </w:t>
      </w:r>
      <w:r w:rsidR="0071119F" w:rsidRPr="00610B1B">
        <w:rPr>
          <w:rFonts w:ascii="Times New Roman" w:eastAsia="Calibri" w:hAnsi="Times New Roman" w:cs="Times New Roman"/>
          <w:sz w:val="24"/>
          <w:szCs w:val="24"/>
          <w:lang w:val="bg-BG"/>
        </w:rPr>
        <w:t xml:space="preserve">да се </w:t>
      </w:r>
      <w:r w:rsidR="007360D9" w:rsidRPr="00610B1B">
        <w:rPr>
          <w:rFonts w:ascii="Times New Roman" w:eastAsia="Calibri" w:hAnsi="Times New Roman" w:cs="Times New Roman"/>
          <w:sz w:val="24"/>
          <w:szCs w:val="24"/>
          <w:lang w:val="bg-BG"/>
        </w:rPr>
        <w:t>осигур</w:t>
      </w:r>
      <w:r w:rsidR="0071119F" w:rsidRPr="00610B1B">
        <w:rPr>
          <w:rFonts w:ascii="Times New Roman" w:eastAsia="Calibri" w:hAnsi="Times New Roman" w:cs="Times New Roman"/>
          <w:sz w:val="24"/>
          <w:szCs w:val="24"/>
          <w:lang w:val="bg-BG"/>
        </w:rPr>
        <w:t>и</w:t>
      </w:r>
      <w:r w:rsidR="007360D9" w:rsidRPr="00610B1B">
        <w:rPr>
          <w:rFonts w:ascii="Times New Roman" w:eastAsia="Calibri" w:hAnsi="Times New Roman" w:cs="Times New Roman"/>
          <w:sz w:val="24"/>
          <w:szCs w:val="24"/>
          <w:lang w:val="bg-BG"/>
        </w:rPr>
        <w:t xml:space="preserve"> безопасност на корабоплаването, по-добра защита на околната среда от замърсяване от кораби и </w:t>
      </w:r>
      <w:r w:rsidR="0071119F" w:rsidRPr="00610B1B">
        <w:rPr>
          <w:rFonts w:ascii="Times New Roman" w:eastAsia="Calibri" w:hAnsi="Times New Roman" w:cs="Times New Roman"/>
          <w:sz w:val="24"/>
          <w:szCs w:val="24"/>
          <w:lang w:val="bg-BG"/>
        </w:rPr>
        <w:t xml:space="preserve">да се </w:t>
      </w:r>
      <w:r w:rsidR="007360D9" w:rsidRPr="00610B1B">
        <w:rPr>
          <w:rFonts w:ascii="Times New Roman" w:eastAsia="Calibri" w:hAnsi="Times New Roman" w:cs="Times New Roman"/>
          <w:sz w:val="24"/>
          <w:szCs w:val="24"/>
          <w:lang w:val="bg-BG"/>
        </w:rPr>
        <w:t>намал</w:t>
      </w:r>
      <w:r w:rsidR="0071119F" w:rsidRPr="00610B1B">
        <w:rPr>
          <w:rFonts w:ascii="Times New Roman" w:eastAsia="Calibri" w:hAnsi="Times New Roman" w:cs="Times New Roman"/>
          <w:sz w:val="24"/>
          <w:szCs w:val="24"/>
          <w:lang w:val="bg-BG"/>
        </w:rPr>
        <w:t>и</w:t>
      </w:r>
      <w:r w:rsidR="007360D9" w:rsidRPr="00610B1B">
        <w:rPr>
          <w:rFonts w:ascii="Times New Roman" w:eastAsia="Calibri" w:hAnsi="Times New Roman" w:cs="Times New Roman"/>
          <w:sz w:val="24"/>
          <w:szCs w:val="24"/>
          <w:lang w:val="bg-BG"/>
        </w:rPr>
        <w:t xml:space="preserve"> риска от произшествия в корабоплаването.</w:t>
      </w:r>
      <w:r w:rsidR="00964F8E" w:rsidRPr="00610B1B">
        <w:rPr>
          <w:rFonts w:ascii="Times New Roman" w:eastAsia="Calibri" w:hAnsi="Times New Roman" w:cs="Times New Roman"/>
          <w:sz w:val="24"/>
          <w:szCs w:val="24"/>
          <w:lang w:val="bg-BG"/>
        </w:rPr>
        <w:t xml:space="preserve"> </w:t>
      </w:r>
      <w:r w:rsidR="0071119F" w:rsidRPr="00610B1B">
        <w:rPr>
          <w:rFonts w:ascii="Times New Roman" w:eastAsia="Calibri" w:hAnsi="Times New Roman" w:cs="Times New Roman"/>
          <w:sz w:val="24"/>
          <w:szCs w:val="24"/>
          <w:lang w:val="bg-BG"/>
        </w:rPr>
        <w:t xml:space="preserve">В разработеното по проект MARSPLAN BS проектно предложение системата </w:t>
      </w:r>
      <w:r w:rsidR="00964F8E" w:rsidRPr="00610B1B">
        <w:rPr>
          <w:rFonts w:ascii="Times New Roman" w:eastAsia="Calibri" w:hAnsi="Times New Roman" w:cs="Times New Roman"/>
          <w:sz w:val="24"/>
          <w:szCs w:val="24"/>
          <w:lang w:val="bg-BG"/>
        </w:rPr>
        <w:t>обхваща</w:t>
      </w:r>
      <w:r w:rsidR="0071119F" w:rsidRPr="00610B1B">
        <w:rPr>
          <w:rFonts w:ascii="Times New Roman" w:eastAsia="Calibri" w:hAnsi="Times New Roman" w:cs="Times New Roman"/>
          <w:sz w:val="24"/>
          <w:szCs w:val="24"/>
          <w:lang w:val="bg-BG"/>
        </w:rPr>
        <w:t xml:space="preserve"> </w:t>
      </w:r>
      <w:r w:rsidR="007360D9" w:rsidRPr="00610B1B">
        <w:rPr>
          <w:rFonts w:ascii="Times New Roman" w:hAnsi="Times New Roman" w:cs="Times New Roman"/>
          <w:sz w:val="24"/>
          <w:szCs w:val="24"/>
          <w:lang w:val="bg-BG"/>
        </w:rPr>
        <w:t xml:space="preserve">13 части. </w:t>
      </w:r>
      <w:r w:rsidRPr="00610B1B">
        <w:rPr>
          <w:rFonts w:ascii="Times New Roman" w:hAnsi="Times New Roman" w:cs="Times New Roman"/>
          <w:sz w:val="24"/>
          <w:szCs w:val="24"/>
          <w:lang w:val="bg-BG"/>
        </w:rPr>
        <w:t>То сл</w:t>
      </w:r>
      <w:r w:rsidR="007360D9" w:rsidRPr="00610B1B">
        <w:rPr>
          <w:rFonts w:ascii="Times New Roman" w:hAnsi="Times New Roman" w:cs="Times New Roman"/>
          <w:sz w:val="24"/>
          <w:szCs w:val="24"/>
          <w:lang w:val="bg-BG"/>
        </w:rPr>
        <w:t xml:space="preserve">ужи за извършване на плаване между пристанищата по </w:t>
      </w:r>
      <w:r w:rsidR="007360D9" w:rsidRPr="00610B1B">
        <w:rPr>
          <w:rFonts w:ascii="Times New Roman" w:hAnsi="Times New Roman" w:cs="Times New Roman"/>
          <w:sz w:val="24"/>
          <w:szCs w:val="24"/>
          <w:lang w:val="bg-BG"/>
        </w:rPr>
        <w:lastRenderedPageBreak/>
        <w:t xml:space="preserve">крайбрежието и подхождане (излизане) към (от) тях от всички чуждестранни и български кораби с водоизместване над 300 BT. Корабите трябва да плават само в определените коридори за движение, като спазват правилото разделителната зона (линия) да се намира от левия им борд. В коридорите за движение трябва да се влиза и да се излиза по правило в краищата им. Когато корабът напусне коридора в някой междинен участък или влезе в него отстрани, това трябва да става по възможно най-малък ъгъл към основната посока за движение. Пресичането на коридорите за движение трябва да се избягва, а когато е наложително, да става по възможност перпендикулярно на основната посока на движение. При плаване по схемата за разделно движение мореплавателите са длъжни да спазват изискванията на правило 10 от </w:t>
      </w:r>
      <w:r w:rsidRPr="00610B1B">
        <w:rPr>
          <w:rFonts w:ascii="Times New Roman" w:hAnsi="Times New Roman" w:cs="Times New Roman"/>
          <w:sz w:val="24"/>
          <w:szCs w:val="24"/>
          <w:lang w:val="bg-BG"/>
        </w:rPr>
        <w:t>Международните правила за предпазване от сблъскване на море (</w:t>
      </w:r>
      <w:r w:rsidR="007360D9" w:rsidRPr="00610B1B">
        <w:rPr>
          <w:rFonts w:ascii="Times New Roman" w:hAnsi="Times New Roman" w:cs="Times New Roman"/>
          <w:sz w:val="24"/>
          <w:szCs w:val="24"/>
          <w:lang w:val="bg-BG"/>
        </w:rPr>
        <w:t>МППСМ-72</w:t>
      </w:r>
      <w:r w:rsidRPr="00610B1B">
        <w:rPr>
          <w:rFonts w:ascii="Times New Roman" w:hAnsi="Times New Roman" w:cs="Times New Roman"/>
          <w:sz w:val="24"/>
          <w:szCs w:val="24"/>
          <w:lang w:val="bg-BG"/>
        </w:rPr>
        <w:t>)</w:t>
      </w:r>
      <w:r w:rsidR="00D50F8D" w:rsidRPr="00610B1B">
        <w:rPr>
          <w:rStyle w:val="FootnoteReference"/>
          <w:rFonts w:ascii="Times New Roman" w:hAnsi="Times New Roman" w:cs="Times New Roman"/>
          <w:sz w:val="24"/>
          <w:szCs w:val="24"/>
          <w:lang w:val="bg-BG"/>
        </w:rPr>
        <w:footnoteReference w:id="131"/>
      </w:r>
      <w:r w:rsidR="007360D9" w:rsidRPr="00610B1B">
        <w:rPr>
          <w:rFonts w:ascii="Times New Roman" w:hAnsi="Times New Roman" w:cs="Times New Roman"/>
          <w:sz w:val="24"/>
          <w:szCs w:val="24"/>
          <w:lang w:val="bg-BG"/>
        </w:rPr>
        <w:t>. Срещата с пилотските кораби трябва да става във вътрешните коридори за кръгово движение, а по искане</w:t>
      </w:r>
      <w:r w:rsidR="0071119F" w:rsidRPr="00610B1B">
        <w:rPr>
          <w:rFonts w:ascii="Times New Roman" w:hAnsi="Times New Roman" w:cs="Times New Roman"/>
          <w:sz w:val="24"/>
          <w:szCs w:val="24"/>
          <w:lang w:val="bg-BG"/>
        </w:rPr>
        <w:t xml:space="preserve"> </w:t>
      </w:r>
      <w:r w:rsidR="00461059" w:rsidRPr="00610B1B">
        <w:rPr>
          <w:rFonts w:ascii="Times New Roman" w:hAnsi="Times New Roman" w:cs="Times New Roman"/>
          <w:sz w:val="24"/>
          <w:szCs w:val="24"/>
          <w:lang w:val="bg-BG"/>
        </w:rPr>
        <w:t xml:space="preserve">– </w:t>
      </w:r>
      <w:r w:rsidR="007360D9" w:rsidRPr="00610B1B">
        <w:rPr>
          <w:rFonts w:ascii="Times New Roman" w:hAnsi="Times New Roman" w:cs="Times New Roman"/>
          <w:sz w:val="24"/>
          <w:szCs w:val="24"/>
          <w:lang w:val="bg-BG"/>
        </w:rPr>
        <w:t>и в мористите коридори.</w:t>
      </w:r>
    </w:p>
    <w:p w14:paraId="67891D43" w14:textId="5478931B" w:rsidR="00D50F8D" w:rsidRPr="00610B1B" w:rsidRDefault="00AF2803"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Предложената с</w:t>
      </w:r>
      <w:r w:rsidR="007360D9" w:rsidRPr="00610B1B">
        <w:rPr>
          <w:rFonts w:ascii="Times New Roman" w:hAnsi="Times New Roman" w:cs="Times New Roman"/>
          <w:sz w:val="24"/>
          <w:szCs w:val="24"/>
          <w:lang w:val="bg-BG"/>
        </w:rPr>
        <w:t xml:space="preserve">хема за разделно движение </w:t>
      </w:r>
      <w:r w:rsidRPr="00610B1B">
        <w:rPr>
          <w:rFonts w:ascii="Times New Roman" w:hAnsi="Times New Roman" w:cs="Times New Roman"/>
          <w:sz w:val="24"/>
          <w:szCs w:val="24"/>
          <w:lang w:val="bg-BG"/>
        </w:rPr>
        <w:t>е</w:t>
      </w:r>
      <w:r w:rsidR="007360D9" w:rsidRPr="00610B1B">
        <w:rPr>
          <w:rFonts w:ascii="Times New Roman" w:hAnsi="Times New Roman" w:cs="Times New Roman"/>
          <w:sz w:val="24"/>
          <w:szCs w:val="24"/>
          <w:lang w:val="bg-BG"/>
        </w:rPr>
        <w:t xml:space="preserve"> във функционална връзка с препоръчителните пътища за плаване до пристанищ</w:t>
      </w:r>
      <w:r w:rsidR="0018150C" w:rsidRPr="00610B1B">
        <w:rPr>
          <w:rFonts w:ascii="Times New Roman" w:hAnsi="Times New Roman" w:cs="Times New Roman"/>
          <w:sz w:val="24"/>
          <w:szCs w:val="24"/>
          <w:lang w:val="bg-BG"/>
        </w:rPr>
        <w:t>ен терминал</w:t>
      </w:r>
      <w:r w:rsidR="007360D9" w:rsidRPr="00610B1B">
        <w:rPr>
          <w:rFonts w:ascii="Times New Roman" w:hAnsi="Times New Roman" w:cs="Times New Roman"/>
          <w:sz w:val="24"/>
          <w:szCs w:val="24"/>
          <w:lang w:val="bg-BG"/>
        </w:rPr>
        <w:t xml:space="preserve"> Балчик и Каварна, препоръчан път до пристанище</w:t>
      </w:r>
      <w:r w:rsidR="0018150C" w:rsidRPr="00610B1B">
        <w:rPr>
          <w:rFonts w:ascii="Times New Roman" w:hAnsi="Times New Roman" w:cs="Times New Roman"/>
          <w:sz w:val="24"/>
          <w:szCs w:val="24"/>
          <w:lang w:val="bg-BG"/>
        </w:rPr>
        <w:t>н терминал</w:t>
      </w:r>
      <w:r w:rsidR="007360D9" w:rsidRPr="00610B1B">
        <w:rPr>
          <w:rFonts w:ascii="Times New Roman" w:hAnsi="Times New Roman" w:cs="Times New Roman"/>
          <w:sz w:val="24"/>
          <w:szCs w:val="24"/>
          <w:lang w:val="bg-BG"/>
        </w:rPr>
        <w:t xml:space="preserve"> Несебър, както и с препоръчителните пътища за малки пътнически кораби с водоизместимост до 300 тона от Варненския рейд до Балчик, от Балчик до Каварна, от Варненския рейд до пристанище Несебър, от пристанище Несебър до рейд Бургас, от рейд Бургас до Созопол, от Созопол до Приморско, и от Приморско до Царево. С</w:t>
      </w:r>
      <w:r w:rsidR="00607A22" w:rsidRPr="00610B1B">
        <w:rPr>
          <w:rFonts w:ascii="Times New Roman" w:hAnsi="Times New Roman" w:cs="Times New Roman"/>
          <w:sz w:val="24"/>
          <w:szCs w:val="24"/>
          <w:lang w:val="bg-BG"/>
        </w:rPr>
        <w:t xml:space="preserve">истемата за разделно движение </w:t>
      </w:r>
      <w:r w:rsidR="007360D9" w:rsidRPr="00610B1B">
        <w:rPr>
          <w:rFonts w:ascii="Times New Roman" w:hAnsi="Times New Roman" w:cs="Times New Roman"/>
          <w:sz w:val="24"/>
          <w:szCs w:val="24"/>
          <w:lang w:val="bg-BG"/>
        </w:rPr>
        <w:t xml:space="preserve">се намира във функционална връзка и със системата от ФВК и котвените места по </w:t>
      </w:r>
      <w:r w:rsidR="00607A22" w:rsidRPr="00610B1B">
        <w:rPr>
          <w:rFonts w:ascii="Times New Roman" w:hAnsi="Times New Roman" w:cs="Times New Roman"/>
          <w:sz w:val="24"/>
          <w:szCs w:val="24"/>
          <w:lang w:val="bg-BG"/>
        </w:rPr>
        <w:t xml:space="preserve">българското </w:t>
      </w:r>
      <w:r w:rsidR="00557B54" w:rsidRPr="00610B1B">
        <w:rPr>
          <w:rFonts w:ascii="Times New Roman" w:hAnsi="Times New Roman" w:cs="Times New Roman"/>
          <w:sz w:val="24"/>
          <w:szCs w:val="24"/>
          <w:lang w:val="bg-BG"/>
        </w:rPr>
        <w:t xml:space="preserve">Черноморско </w:t>
      </w:r>
      <w:r w:rsidR="00607A22" w:rsidRPr="00610B1B">
        <w:rPr>
          <w:rFonts w:ascii="Times New Roman" w:hAnsi="Times New Roman" w:cs="Times New Roman"/>
          <w:sz w:val="24"/>
          <w:szCs w:val="24"/>
          <w:lang w:val="bg-BG"/>
        </w:rPr>
        <w:t>крайбрежие</w:t>
      </w:r>
      <w:r w:rsidR="007360D9" w:rsidRPr="00610B1B">
        <w:rPr>
          <w:rFonts w:ascii="Times New Roman" w:hAnsi="Times New Roman" w:cs="Times New Roman"/>
          <w:sz w:val="24"/>
          <w:szCs w:val="24"/>
          <w:lang w:val="bg-BG"/>
        </w:rPr>
        <w:t>.</w:t>
      </w:r>
      <w:r w:rsidR="00857F73" w:rsidRPr="00610B1B">
        <w:rPr>
          <w:rFonts w:ascii="Times New Roman" w:hAnsi="Times New Roman" w:cs="Times New Roman"/>
          <w:sz w:val="24"/>
          <w:szCs w:val="24"/>
          <w:lang w:val="bg-BG"/>
        </w:rPr>
        <w:t xml:space="preserve"> </w:t>
      </w:r>
    </w:p>
    <w:p w14:paraId="3ABDBB9B" w14:textId="3DD2761A" w:rsidR="00857F73" w:rsidRPr="00610B1B" w:rsidRDefault="00857F73"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Зоните, ограничени от бреговата черта и разположени на запад, север и юг от ограничителните линии на системата за разделно движение - крайбрежните зони са свободни за плаване на: кораби под 300 тона; рибарски кораби с дължина до 24 m;</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плавателните съдове за развлечения; кораби за аварийно-спасителна, водолазна и подводно-техническа дейност; научно-изследователски кораби; пътнически туристически кораби с локална дестинация; снабдителни кораби, обслужващи платформи, независимо от тонажа; други кораби, чиято дейност е свързана с осигуряване на безопасността и сигурността на корабоплаването и предпазване на морето от замърсяване. Двупосочните пътища включват подходите към пристанищата Варна, Балчик, Бургас, Несебър. Движението на изток от ограничителните линии на предлаганата система за разделно движение се извършва при спазване на Международните правила за предпазване от сблъскване на море, ко</w:t>
      </w:r>
      <w:r w:rsidR="00D50F8D"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то осигурява</w:t>
      </w:r>
      <w:r w:rsidR="00D50F8D" w:rsidRPr="00610B1B">
        <w:rPr>
          <w:rFonts w:ascii="Times New Roman" w:hAnsi="Times New Roman" w:cs="Times New Roman"/>
          <w:sz w:val="24"/>
          <w:szCs w:val="24"/>
          <w:lang w:val="bg-BG"/>
        </w:rPr>
        <w:t>т</w:t>
      </w:r>
      <w:r w:rsidRPr="00610B1B">
        <w:rPr>
          <w:rFonts w:ascii="Times New Roman" w:hAnsi="Times New Roman" w:cs="Times New Roman"/>
          <w:sz w:val="24"/>
          <w:szCs w:val="24"/>
          <w:lang w:val="bg-BG"/>
        </w:rPr>
        <w:t xml:space="preserve"> свобода на корабоплаването в съответния район.</w:t>
      </w:r>
    </w:p>
    <w:p w14:paraId="7FA7E698" w14:textId="294C4F5F" w:rsidR="00AF2803" w:rsidRPr="00610B1B" w:rsidRDefault="007360D9"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Обобщени</w:t>
      </w:r>
      <w:r w:rsidR="00AF2803" w:rsidRPr="00610B1B">
        <w:rPr>
          <w:rFonts w:ascii="Times New Roman" w:hAnsi="Times New Roman" w:cs="Times New Roman"/>
          <w:b/>
          <w:sz w:val="24"/>
          <w:szCs w:val="24"/>
          <w:lang w:val="bg-BG"/>
        </w:rPr>
        <w:t>те</w:t>
      </w:r>
      <w:r w:rsidRPr="00610B1B">
        <w:rPr>
          <w:rFonts w:ascii="Times New Roman" w:hAnsi="Times New Roman" w:cs="Times New Roman"/>
          <w:b/>
          <w:sz w:val="24"/>
          <w:szCs w:val="24"/>
          <w:lang w:val="bg-BG"/>
        </w:rPr>
        <w:t xml:space="preserve"> изводи </w:t>
      </w:r>
      <w:r w:rsidRPr="00610B1B">
        <w:rPr>
          <w:rFonts w:ascii="Times New Roman" w:hAnsi="Times New Roman" w:cs="Times New Roman"/>
          <w:bCs/>
          <w:sz w:val="24"/>
          <w:szCs w:val="24"/>
          <w:lang w:val="bg-BG"/>
        </w:rPr>
        <w:t>за съвместимостта на разнотипните зони и препоръки за отстраняване на проблемните области</w:t>
      </w:r>
      <w:r w:rsidR="00AF2803" w:rsidRPr="00610B1B">
        <w:rPr>
          <w:rFonts w:ascii="Times New Roman" w:hAnsi="Times New Roman" w:cs="Times New Roman"/>
          <w:bCs/>
          <w:sz w:val="24"/>
          <w:szCs w:val="24"/>
          <w:lang w:val="bg-BG"/>
        </w:rPr>
        <w:t xml:space="preserve"> в морските пространства показват, че н</w:t>
      </w:r>
      <w:r w:rsidRPr="00610B1B">
        <w:rPr>
          <w:rFonts w:ascii="Times New Roman" w:hAnsi="Times New Roman" w:cs="Times New Roman"/>
          <w:sz w:val="24"/>
          <w:szCs w:val="24"/>
          <w:lang w:val="bg-BG"/>
        </w:rPr>
        <w:t xml:space="preserve">ай-голямо </w:t>
      </w:r>
      <w:r w:rsidRPr="00610B1B">
        <w:rPr>
          <w:rFonts w:ascii="Times New Roman" w:hAnsi="Times New Roman" w:cs="Times New Roman"/>
          <w:bCs/>
          <w:sz w:val="24"/>
          <w:szCs w:val="24"/>
          <w:lang w:val="bg-BG"/>
        </w:rPr>
        <w:t>предимство на</w:t>
      </w:r>
      <w:r w:rsidRPr="00610B1B">
        <w:rPr>
          <w:rFonts w:ascii="Times New Roman" w:hAnsi="Times New Roman" w:cs="Times New Roman"/>
          <w:sz w:val="24"/>
          <w:szCs w:val="24"/>
          <w:lang w:val="bg-BG"/>
        </w:rPr>
        <w:t xml:space="preserve"> съществуващата организация на трафика и дейностите по сигурността се свързва с тяхното дългогодишно съществуване и произтичащото от това съвместяване на дейностите.</w:t>
      </w:r>
      <w:r w:rsidR="00AF2803" w:rsidRPr="00610B1B">
        <w:rPr>
          <w:rFonts w:ascii="Times New Roman" w:hAnsi="Times New Roman" w:cs="Times New Roman"/>
          <w:sz w:val="24"/>
          <w:szCs w:val="24"/>
          <w:lang w:val="bg-BG"/>
        </w:rPr>
        <w:t xml:space="preserve"> Концепцията за подбор и функционалност на системата от котвени стоянки е утвърдена </w:t>
      </w:r>
      <w:r w:rsidRPr="00610B1B">
        <w:rPr>
          <w:rFonts w:ascii="Times New Roman" w:hAnsi="Times New Roman" w:cs="Times New Roman"/>
          <w:sz w:val="24"/>
          <w:szCs w:val="24"/>
          <w:lang w:val="bg-BG"/>
        </w:rPr>
        <w:t>в дългогодишната употреба</w:t>
      </w:r>
      <w:r w:rsidR="00AF2803" w:rsidRPr="00610B1B">
        <w:rPr>
          <w:rFonts w:ascii="Times New Roman" w:hAnsi="Times New Roman" w:cs="Times New Roman"/>
          <w:sz w:val="24"/>
          <w:szCs w:val="24"/>
          <w:lang w:val="bg-BG"/>
        </w:rPr>
        <w:t xml:space="preserve"> и предлага възможности </w:t>
      </w:r>
      <w:r w:rsidRPr="00610B1B">
        <w:rPr>
          <w:rFonts w:ascii="Times New Roman" w:hAnsi="Times New Roman" w:cs="Times New Roman"/>
          <w:sz w:val="24"/>
          <w:szCs w:val="24"/>
          <w:lang w:val="bg-BG"/>
        </w:rPr>
        <w:t>за разработване на аналитичен модел.</w:t>
      </w:r>
      <w:r w:rsidR="00AF2803" w:rsidRPr="00610B1B">
        <w:rPr>
          <w:rFonts w:ascii="Times New Roman" w:hAnsi="Times New Roman" w:cs="Times New Roman"/>
          <w:sz w:val="24"/>
          <w:szCs w:val="24"/>
          <w:lang w:val="bg-BG"/>
        </w:rPr>
        <w:t xml:space="preserve"> Забранените за плаване зони, резултат от изследването и прилагането на добри практики от водещи държави, </w:t>
      </w:r>
      <w:r w:rsidRPr="00610B1B">
        <w:rPr>
          <w:rFonts w:ascii="Times New Roman" w:hAnsi="Times New Roman" w:cs="Times New Roman"/>
          <w:sz w:val="24"/>
          <w:szCs w:val="24"/>
          <w:lang w:val="bg-BG"/>
        </w:rPr>
        <w:t xml:space="preserve">отговарят на специфичните потребности на МО и </w:t>
      </w:r>
      <w:r w:rsidRPr="00610B1B">
        <w:rPr>
          <w:rFonts w:ascii="Times New Roman" w:hAnsi="Times New Roman" w:cs="Times New Roman"/>
          <w:sz w:val="24"/>
          <w:szCs w:val="24"/>
          <w:lang w:val="bg-BG"/>
        </w:rPr>
        <w:lastRenderedPageBreak/>
        <w:t>МВР за подготовка на корабите и използване на оръжия и технически средства</w:t>
      </w:r>
      <w:r w:rsidR="00AF2803" w:rsidRPr="00610B1B">
        <w:rPr>
          <w:rFonts w:ascii="Times New Roman" w:hAnsi="Times New Roman" w:cs="Times New Roman"/>
          <w:sz w:val="24"/>
          <w:szCs w:val="24"/>
          <w:lang w:val="bg-BG"/>
        </w:rPr>
        <w:t xml:space="preserve">, както и на специфичните особености на националните морски пространства. </w:t>
      </w:r>
    </w:p>
    <w:p w14:paraId="2B95473F" w14:textId="23E0E499" w:rsidR="007360D9" w:rsidRPr="00610B1B" w:rsidRDefault="007360D9"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Географските граници на районите, </w:t>
      </w:r>
      <w:r w:rsidR="00AF2803" w:rsidRPr="00610B1B">
        <w:rPr>
          <w:rFonts w:ascii="Times New Roman" w:hAnsi="Times New Roman" w:cs="Times New Roman"/>
          <w:sz w:val="24"/>
          <w:szCs w:val="24"/>
          <w:lang w:val="bg-BG"/>
        </w:rPr>
        <w:t>със специфични забранителни режими са определени в оп</w:t>
      </w:r>
      <w:r w:rsidRPr="00610B1B">
        <w:rPr>
          <w:rFonts w:ascii="Times New Roman" w:hAnsi="Times New Roman" w:cs="Times New Roman"/>
          <w:sz w:val="24"/>
          <w:szCs w:val="24"/>
          <w:lang w:val="bg-BG"/>
        </w:rPr>
        <w:t>тимални граници</w:t>
      </w:r>
      <w:r w:rsidR="00AF2803"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за намаляване на нивото на риска</w:t>
      </w:r>
      <w:r w:rsidR="008657F1" w:rsidRPr="00610B1B">
        <w:rPr>
          <w:rFonts w:ascii="Times New Roman" w:hAnsi="Times New Roman" w:cs="Times New Roman"/>
          <w:sz w:val="24"/>
          <w:szCs w:val="24"/>
          <w:lang w:val="bg-BG"/>
        </w:rPr>
        <w:t>, но</w:t>
      </w:r>
      <w:r w:rsidRPr="00610B1B">
        <w:rPr>
          <w:rFonts w:ascii="Times New Roman" w:hAnsi="Times New Roman" w:cs="Times New Roman"/>
          <w:sz w:val="24"/>
          <w:szCs w:val="24"/>
          <w:lang w:val="bg-BG"/>
        </w:rPr>
        <w:t xml:space="preserve"> без излишно увеличаване, което би затруднило други дейности в териториалното море и вътрешните води на Република България.</w:t>
      </w:r>
      <w:r w:rsidR="008657F1" w:rsidRPr="00610B1B">
        <w:rPr>
          <w:rFonts w:ascii="Times New Roman" w:hAnsi="Times New Roman" w:cs="Times New Roman"/>
          <w:sz w:val="24"/>
          <w:szCs w:val="24"/>
          <w:lang w:val="bg-BG"/>
        </w:rPr>
        <w:t xml:space="preserve"> Създадена е </w:t>
      </w:r>
      <w:r w:rsidRPr="00610B1B">
        <w:rPr>
          <w:rFonts w:ascii="Times New Roman" w:hAnsi="Times New Roman" w:cs="Times New Roman"/>
          <w:sz w:val="24"/>
          <w:szCs w:val="24"/>
          <w:lang w:val="bg-BG"/>
        </w:rPr>
        <w:t>необходимата организация по обявяване на забраната в нови райони, за промян</w:t>
      </w:r>
      <w:r w:rsidR="008657F1" w:rsidRPr="00610B1B">
        <w:rPr>
          <w:rFonts w:ascii="Times New Roman" w:hAnsi="Times New Roman" w:cs="Times New Roman"/>
          <w:sz w:val="24"/>
          <w:szCs w:val="24"/>
          <w:lang w:val="bg-BG"/>
        </w:rPr>
        <w:t>а</w:t>
      </w:r>
      <w:r w:rsidRPr="00610B1B">
        <w:rPr>
          <w:rFonts w:ascii="Times New Roman" w:hAnsi="Times New Roman" w:cs="Times New Roman"/>
          <w:sz w:val="24"/>
          <w:szCs w:val="24"/>
          <w:lang w:val="bg-BG"/>
        </w:rPr>
        <w:t xml:space="preserve"> на параметрите на съществуващи райони или за прекратяване на забраната в райони, където е отпаднала необходимостта от ограничаване на корабоплаване</w:t>
      </w:r>
      <w:r w:rsidR="00D50F8D" w:rsidRPr="00610B1B">
        <w:rPr>
          <w:rFonts w:ascii="Times New Roman" w:hAnsi="Times New Roman" w:cs="Times New Roman"/>
          <w:sz w:val="24"/>
          <w:szCs w:val="24"/>
          <w:lang w:val="bg-BG"/>
        </w:rPr>
        <w:t>то</w:t>
      </w:r>
      <w:r w:rsidRPr="00610B1B">
        <w:rPr>
          <w:rFonts w:ascii="Times New Roman" w:hAnsi="Times New Roman" w:cs="Times New Roman"/>
          <w:sz w:val="24"/>
          <w:szCs w:val="24"/>
          <w:lang w:val="bg-BG"/>
        </w:rPr>
        <w:t>.</w:t>
      </w:r>
      <w:r w:rsidR="008657F1"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Нормативно </w:t>
      </w:r>
      <w:r w:rsidR="008657F1" w:rsidRPr="00610B1B">
        <w:rPr>
          <w:rFonts w:ascii="Times New Roman" w:hAnsi="Times New Roman" w:cs="Times New Roman"/>
          <w:sz w:val="24"/>
          <w:szCs w:val="24"/>
          <w:lang w:val="bg-BG"/>
        </w:rPr>
        <w:t>са</w:t>
      </w:r>
      <w:r w:rsidRPr="00610B1B">
        <w:rPr>
          <w:rFonts w:ascii="Times New Roman" w:hAnsi="Times New Roman" w:cs="Times New Roman"/>
          <w:sz w:val="24"/>
          <w:szCs w:val="24"/>
          <w:lang w:val="bg-BG"/>
        </w:rPr>
        <w:t xml:space="preserve"> уреден</w:t>
      </w:r>
      <w:r w:rsidR="008657F1"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xml:space="preserve"> отговорност</w:t>
      </w:r>
      <w:r w:rsidR="008657F1"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т</w:t>
      </w:r>
      <w:r w:rsidR="008657F1" w:rsidRPr="00610B1B">
        <w:rPr>
          <w:rFonts w:ascii="Times New Roman" w:hAnsi="Times New Roman" w:cs="Times New Roman"/>
          <w:sz w:val="24"/>
          <w:szCs w:val="24"/>
          <w:lang w:val="bg-BG"/>
        </w:rPr>
        <w:t>е</w:t>
      </w:r>
      <w:r w:rsidRPr="00610B1B">
        <w:rPr>
          <w:rFonts w:ascii="Times New Roman" w:hAnsi="Times New Roman" w:cs="Times New Roman"/>
          <w:sz w:val="24"/>
          <w:szCs w:val="24"/>
          <w:lang w:val="bg-BG"/>
        </w:rPr>
        <w:t xml:space="preserve"> на институциите, ведомствата и организациите по определяне на забрани и контрола за спазването им.</w:t>
      </w:r>
    </w:p>
    <w:p w14:paraId="1E4C327C" w14:textId="630D4DD7" w:rsidR="007360D9" w:rsidRPr="00610B1B" w:rsidRDefault="00A70213" w:rsidP="00D32D6A">
      <w:pPr>
        <w:tabs>
          <w:tab w:val="left" w:pos="1134"/>
        </w:tabs>
        <w:spacing w:after="12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Недостатъците</w:t>
      </w:r>
      <w:r w:rsidRPr="00610B1B">
        <w:rPr>
          <w:rFonts w:ascii="Times New Roman" w:hAnsi="Times New Roman" w:cs="Times New Roman"/>
          <w:sz w:val="24"/>
          <w:szCs w:val="24"/>
          <w:lang w:val="bg-BG"/>
        </w:rPr>
        <w:t xml:space="preserve"> </w:t>
      </w:r>
      <w:r w:rsidR="007360D9" w:rsidRPr="00610B1B">
        <w:rPr>
          <w:rFonts w:ascii="Times New Roman" w:hAnsi="Times New Roman" w:cs="Times New Roman"/>
          <w:sz w:val="24"/>
          <w:szCs w:val="24"/>
          <w:lang w:val="bg-BG"/>
        </w:rPr>
        <w:t xml:space="preserve">на </w:t>
      </w:r>
      <w:r w:rsidRPr="00610B1B">
        <w:rPr>
          <w:rFonts w:ascii="Times New Roman" w:hAnsi="Times New Roman" w:cs="Times New Roman"/>
          <w:sz w:val="24"/>
          <w:szCs w:val="24"/>
          <w:lang w:val="bg-BG"/>
        </w:rPr>
        <w:t xml:space="preserve">предложението </w:t>
      </w:r>
      <w:r w:rsidR="007360D9" w:rsidRPr="00610B1B">
        <w:rPr>
          <w:rFonts w:ascii="Times New Roman" w:hAnsi="Times New Roman" w:cs="Times New Roman"/>
          <w:sz w:val="24"/>
          <w:szCs w:val="24"/>
          <w:lang w:val="bg-BG"/>
        </w:rPr>
        <w:t xml:space="preserve">се свързват с въвеждането на </w:t>
      </w:r>
      <w:r w:rsidRPr="00610B1B">
        <w:rPr>
          <w:rFonts w:ascii="Times New Roman" w:hAnsi="Times New Roman" w:cs="Times New Roman"/>
          <w:sz w:val="24"/>
          <w:szCs w:val="24"/>
          <w:lang w:val="bg-BG"/>
        </w:rPr>
        <w:t xml:space="preserve">морски защитени </w:t>
      </w:r>
      <w:r w:rsidR="007360D9" w:rsidRPr="00610B1B">
        <w:rPr>
          <w:rFonts w:ascii="Times New Roman" w:hAnsi="Times New Roman" w:cs="Times New Roman"/>
          <w:sz w:val="24"/>
          <w:szCs w:val="24"/>
          <w:lang w:val="bg-BG"/>
        </w:rPr>
        <w:t>зони</w:t>
      </w:r>
      <w:r w:rsidRPr="00610B1B">
        <w:rPr>
          <w:rFonts w:ascii="Times New Roman" w:hAnsi="Times New Roman" w:cs="Times New Roman"/>
          <w:sz w:val="24"/>
          <w:szCs w:val="24"/>
          <w:lang w:val="bg-BG"/>
        </w:rPr>
        <w:t xml:space="preserve"> за опазване на биоразнообразието</w:t>
      </w:r>
      <w:r w:rsidR="007360D9"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макар че</w:t>
      </w:r>
      <w:r w:rsidR="007360D9" w:rsidRPr="00610B1B">
        <w:rPr>
          <w:rFonts w:ascii="Times New Roman" w:hAnsi="Times New Roman" w:cs="Times New Roman"/>
          <w:sz w:val="24"/>
          <w:szCs w:val="24"/>
          <w:lang w:val="bg-BG"/>
        </w:rPr>
        <w:t xml:space="preserve"> към момента на установяване на различните зони на морски трафик и сигурност подобни съображения не са били актуални. Други конкретни технологични недостатъци са свързани със съвременни предизвикателства, формирани след развитие на икономическия потенциал на </w:t>
      </w:r>
      <w:r w:rsidR="008657F1" w:rsidRPr="00610B1B">
        <w:rPr>
          <w:rFonts w:ascii="Times New Roman" w:hAnsi="Times New Roman" w:cs="Times New Roman"/>
          <w:sz w:val="24"/>
          <w:szCs w:val="24"/>
          <w:lang w:val="bg-BG"/>
        </w:rPr>
        <w:t xml:space="preserve">българското Черноморско крайбрежие </w:t>
      </w:r>
      <w:r w:rsidR="007360D9" w:rsidRPr="00610B1B">
        <w:rPr>
          <w:rFonts w:ascii="Times New Roman" w:hAnsi="Times New Roman" w:cs="Times New Roman"/>
          <w:sz w:val="24"/>
          <w:szCs w:val="24"/>
          <w:lang w:val="bg-BG"/>
        </w:rPr>
        <w:t>(туризъм, аквакултури).</w:t>
      </w:r>
      <w:r w:rsidR="008657F1" w:rsidRPr="00610B1B">
        <w:rPr>
          <w:rFonts w:ascii="Times New Roman" w:hAnsi="Times New Roman" w:cs="Times New Roman"/>
          <w:sz w:val="24"/>
          <w:szCs w:val="24"/>
          <w:lang w:val="bg-BG"/>
        </w:rPr>
        <w:t xml:space="preserve"> Съществува и </w:t>
      </w:r>
      <w:r w:rsidR="007360D9" w:rsidRPr="00610B1B">
        <w:rPr>
          <w:rFonts w:ascii="Times New Roman" w:hAnsi="Times New Roman" w:cs="Times New Roman"/>
          <w:sz w:val="24"/>
          <w:szCs w:val="24"/>
          <w:lang w:val="bg-BG"/>
        </w:rPr>
        <w:t>пространствено припокриване с други райони</w:t>
      </w:r>
      <w:r w:rsidR="008657F1" w:rsidRPr="00610B1B">
        <w:rPr>
          <w:rFonts w:ascii="Times New Roman" w:hAnsi="Times New Roman" w:cs="Times New Roman"/>
          <w:sz w:val="24"/>
          <w:szCs w:val="24"/>
          <w:lang w:val="bg-BG"/>
        </w:rPr>
        <w:t xml:space="preserve">, което поражда допълнителни конфликти между различните интереси и ползватели на морските пространства. Недостатъчно добре са проучени </w:t>
      </w:r>
      <w:r w:rsidR="007360D9" w:rsidRPr="00610B1B">
        <w:rPr>
          <w:rFonts w:ascii="Times New Roman" w:hAnsi="Times New Roman" w:cs="Times New Roman"/>
          <w:sz w:val="24"/>
          <w:szCs w:val="24"/>
          <w:lang w:val="bg-BG"/>
        </w:rPr>
        <w:t xml:space="preserve">теченията и противотеченията </w:t>
      </w:r>
      <w:r w:rsidR="008657F1" w:rsidRPr="00610B1B">
        <w:rPr>
          <w:rFonts w:ascii="Times New Roman" w:hAnsi="Times New Roman" w:cs="Times New Roman"/>
          <w:sz w:val="24"/>
          <w:szCs w:val="24"/>
          <w:lang w:val="bg-BG"/>
        </w:rPr>
        <w:t>в районите определени з</w:t>
      </w:r>
      <w:r w:rsidR="007360D9" w:rsidRPr="00610B1B">
        <w:rPr>
          <w:rFonts w:ascii="Times New Roman" w:hAnsi="Times New Roman" w:cs="Times New Roman"/>
          <w:sz w:val="24"/>
          <w:szCs w:val="24"/>
          <w:lang w:val="bg-BG"/>
        </w:rPr>
        <w:t>а изхвърл</w:t>
      </w:r>
      <w:r w:rsidR="008657F1" w:rsidRPr="00610B1B">
        <w:rPr>
          <w:rFonts w:ascii="Times New Roman" w:hAnsi="Times New Roman" w:cs="Times New Roman"/>
          <w:sz w:val="24"/>
          <w:szCs w:val="24"/>
          <w:lang w:val="bg-BG"/>
        </w:rPr>
        <w:t>яне на</w:t>
      </w:r>
      <w:r w:rsidR="007360D9" w:rsidRPr="00610B1B">
        <w:rPr>
          <w:rFonts w:ascii="Times New Roman" w:hAnsi="Times New Roman" w:cs="Times New Roman"/>
          <w:sz w:val="24"/>
          <w:szCs w:val="24"/>
          <w:lang w:val="bg-BG"/>
        </w:rPr>
        <w:t xml:space="preserve"> земни маси</w:t>
      </w:r>
      <w:r w:rsidR="008657F1" w:rsidRPr="00610B1B">
        <w:rPr>
          <w:rFonts w:ascii="Times New Roman" w:hAnsi="Times New Roman" w:cs="Times New Roman"/>
          <w:sz w:val="24"/>
          <w:szCs w:val="24"/>
          <w:lang w:val="bg-BG"/>
        </w:rPr>
        <w:t>, които могат да ги отнесат</w:t>
      </w:r>
      <w:r w:rsidR="007360D9" w:rsidRPr="00610B1B">
        <w:rPr>
          <w:rFonts w:ascii="Times New Roman" w:hAnsi="Times New Roman" w:cs="Times New Roman"/>
          <w:sz w:val="24"/>
          <w:szCs w:val="24"/>
          <w:lang w:val="bg-BG"/>
        </w:rPr>
        <w:t xml:space="preserve"> във фарватерите</w:t>
      </w:r>
      <w:r w:rsidR="008657F1" w:rsidRPr="00610B1B">
        <w:rPr>
          <w:rFonts w:ascii="Times New Roman" w:hAnsi="Times New Roman" w:cs="Times New Roman"/>
          <w:sz w:val="24"/>
          <w:szCs w:val="24"/>
          <w:lang w:val="bg-BG"/>
        </w:rPr>
        <w:t xml:space="preserve"> и да </w:t>
      </w:r>
      <w:r w:rsidR="007360D9" w:rsidRPr="00610B1B">
        <w:rPr>
          <w:rFonts w:ascii="Times New Roman" w:hAnsi="Times New Roman" w:cs="Times New Roman"/>
          <w:sz w:val="24"/>
          <w:szCs w:val="24"/>
          <w:lang w:val="bg-BG"/>
        </w:rPr>
        <w:t>намал</w:t>
      </w:r>
      <w:r w:rsidRPr="00610B1B">
        <w:rPr>
          <w:rFonts w:ascii="Times New Roman" w:hAnsi="Times New Roman" w:cs="Times New Roman"/>
          <w:sz w:val="24"/>
          <w:szCs w:val="24"/>
          <w:lang w:val="bg-BG"/>
        </w:rPr>
        <w:t>ят</w:t>
      </w:r>
      <w:r w:rsidR="007360D9" w:rsidRPr="00610B1B">
        <w:rPr>
          <w:rFonts w:ascii="Times New Roman" w:hAnsi="Times New Roman" w:cs="Times New Roman"/>
          <w:sz w:val="24"/>
          <w:szCs w:val="24"/>
          <w:lang w:val="bg-BG"/>
        </w:rPr>
        <w:t xml:space="preserve"> дълбочината им</w:t>
      </w:r>
      <w:r w:rsidR="008657F1"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008657F1" w:rsidRPr="00610B1B">
        <w:rPr>
          <w:rFonts w:ascii="Times New Roman" w:hAnsi="Times New Roman" w:cs="Times New Roman"/>
          <w:sz w:val="24"/>
          <w:szCs w:val="24"/>
          <w:lang w:val="bg-BG"/>
        </w:rPr>
        <w:t xml:space="preserve">Липсва анализ и оценка на риска за зоните, в които се осъществява </w:t>
      </w:r>
      <w:r w:rsidR="00F20157" w:rsidRPr="00610B1B">
        <w:rPr>
          <w:rFonts w:ascii="Times New Roman" w:hAnsi="Times New Roman" w:cs="Times New Roman"/>
          <w:sz w:val="24"/>
          <w:szCs w:val="24"/>
          <w:lang w:val="bg-BG"/>
        </w:rPr>
        <w:t xml:space="preserve">водолазна и друга </w:t>
      </w:r>
      <w:r w:rsidR="008657F1" w:rsidRPr="00610B1B">
        <w:rPr>
          <w:rFonts w:ascii="Times New Roman" w:hAnsi="Times New Roman" w:cs="Times New Roman"/>
          <w:sz w:val="24"/>
          <w:szCs w:val="24"/>
          <w:lang w:val="bg-BG"/>
        </w:rPr>
        <w:t xml:space="preserve">подводна дейност и подводен туризъм, за да се предотвратят вероятните инциденти от </w:t>
      </w:r>
      <w:r w:rsidR="00F20157" w:rsidRPr="00610B1B">
        <w:rPr>
          <w:rFonts w:ascii="Times New Roman" w:hAnsi="Times New Roman" w:cs="Times New Roman"/>
          <w:sz w:val="24"/>
          <w:szCs w:val="24"/>
          <w:lang w:val="bg-BG"/>
        </w:rPr>
        <w:t xml:space="preserve">злонамерени, </w:t>
      </w:r>
      <w:r w:rsidR="008657F1" w:rsidRPr="00610B1B">
        <w:rPr>
          <w:rFonts w:ascii="Times New Roman" w:hAnsi="Times New Roman" w:cs="Times New Roman"/>
          <w:sz w:val="24"/>
          <w:szCs w:val="24"/>
          <w:lang w:val="bg-BG"/>
        </w:rPr>
        <w:t>умишлени и незаконни действия</w:t>
      </w:r>
      <w:r w:rsidR="00F20157" w:rsidRPr="00610B1B">
        <w:rPr>
          <w:rFonts w:ascii="Times New Roman" w:hAnsi="Times New Roman" w:cs="Times New Roman"/>
          <w:sz w:val="24"/>
          <w:szCs w:val="24"/>
          <w:lang w:val="bg-BG"/>
        </w:rPr>
        <w:t xml:space="preserve"> в противоречие с действащата нормативна уредба.</w:t>
      </w:r>
      <w:r w:rsidR="008657F1" w:rsidRPr="00610B1B">
        <w:rPr>
          <w:rFonts w:ascii="Times New Roman" w:hAnsi="Times New Roman" w:cs="Times New Roman"/>
          <w:sz w:val="24"/>
          <w:szCs w:val="24"/>
          <w:lang w:val="bg-BG"/>
        </w:rPr>
        <w:t xml:space="preserve"> </w:t>
      </w:r>
    </w:p>
    <w:p w14:paraId="2C32F6B5" w14:textId="3AE6F7F5" w:rsidR="00F20157" w:rsidRPr="00610B1B" w:rsidRDefault="007360D9" w:rsidP="00D32D6A">
      <w:pPr>
        <w:tabs>
          <w:tab w:val="left" w:pos="1134"/>
        </w:tabs>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Недостатъците на Системата за разделно движение се свързват основно с факта, че морската транспортна система се развива динамично и това дава отражение върху интензивността на корабния трафик. Съществени изменения се очакват с началото на функциониране на офшорна промишленост в </w:t>
      </w:r>
      <w:r w:rsidR="00F20157" w:rsidRPr="00610B1B">
        <w:rPr>
          <w:rFonts w:ascii="Times New Roman" w:hAnsi="Times New Roman" w:cs="Times New Roman"/>
          <w:sz w:val="24"/>
          <w:szCs w:val="24"/>
          <w:lang w:val="bg-BG"/>
        </w:rPr>
        <w:t>националните морски пространства</w:t>
      </w:r>
      <w:r w:rsidRPr="00610B1B">
        <w:rPr>
          <w:rFonts w:ascii="Times New Roman" w:hAnsi="Times New Roman" w:cs="Times New Roman"/>
          <w:sz w:val="24"/>
          <w:szCs w:val="24"/>
          <w:lang w:val="bg-BG"/>
        </w:rPr>
        <w:t xml:space="preserve"> на Република България. Липсва аналитичен модел, който обективно да оценява нормалния и пределен капацитет на съществуващата </w:t>
      </w:r>
      <w:r w:rsidR="00F20157" w:rsidRPr="00610B1B">
        <w:rPr>
          <w:rFonts w:ascii="Times New Roman" w:hAnsi="Times New Roman" w:cs="Times New Roman"/>
          <w:sz w:val="24"/>
          <w:szCs w:val="24"/>
          <w:lang w:val="bg-BG"/>
        </w:rPr>
        <w:t>система</w:t>
      </w:r>
      <w:r w:rsidR="00BB6D9A" w:rsidRPr="00610B1B">
        <w:rPr>
          <w:rFonts w:ascii="Times New Roman" w:hAnsi="Times New Roman" w:cs="Times New Roman"/>
          <w:sz w:val="24"/>
          <w:szCs w:val="24"/>
          <w:lang w:val="bg-BG"/>
        </w:rPr>
        <w:t xml:space="preserve"> за движение</w:t>
      </w:r>
      <w:r w:rsidRPr="00610B1B">
        <w:rPr>
          <w:rFonts w:ascii="Times New Roman" w:hAnsi="Times New Roman" w:cs="Times New Roman"/>
          <w:sz w:val="24"/>
          <w:szCs w:val="24"/>
          <w:lang w:val="bg-BG"/>
        </w:rPr>
        <w:t>, както и да предоставя препоръки за вземане на обосновани решения за нейното усъвършенстване.</w:t>
      </w:r>
      <w:r w:rsidR="00BB6D9A" w:rsidRPr="00610B1B">
        <w:rPr>
          <w:rFonts w:ascii="Times New Roman" w:hAnsi="Times New Roman" w:cs="Times New Roman"/>
          <w:sz w:val="24"/>
          <w:szCs w:val="24"/>
          <w:lang w:val="bg-BG"/>
        </w:rPr>
        <w:t xml:space="preserve"> Поради тези причини това предложение остава актуално, но не се включва в конкретните предложения на МППРБ, за да може да бъде постигнат консенсус за интегриране и съвместни действия между институциите, ведомствата и организациите, защитаващи морския суверенитет на Република България за п</w:t>
      </w:r>
      <w:r w:rsidRPr="00610B1B">
        <w:rPr>
          <w:rFonts w:ascii="Times New Roman" w:eastAsia="Calibri" w:hAnsi="Times New Roman" w:cs="Times New Roman"/>
          <w:bCs/>
          <w:sz w:val="24"/>
          <w:szCs w:val="24"/>
          <w:lang w:val="bg-BG"/>
        </w:rPr>
        <w:t xml:space="preserve">одобряване на сигурността, безопасността и защитеността на околната среда в прилежащите </w:t>
      </w:r>
      <w:r w:rsidR="00F20157" w:rsidRPr="00610B1B">
        <w:rPr>
          <w:rFonts w:ascii="Times New Roman" w:eastAsia="Calibri" w:hAnsi="Times New Roman" w:cs="Times New Roman"/>
          <w:bCs/>
          <w:sz w:val="24"/>
          <w:szCs w:val="24"/>
          <w:lang w:val="bg-BG"/>
        </w:rPr>
        <w:t xml:space="preserve">пространства на </w:t>
      </w:r>
      <w:r w:rsidRPr="00610B1B">
        <w:rPr>
          <w:rFonts w:ascii="Times New Roman" w:eastAsia="Calibri" w:hAnsi="Times New Roman" w:cs="Times New Roman"/>
          <w:bCs/>
          <w:sz w:val="24"/>
          <w:szCs w:val="24"/>
          <w:lang w:val="bg-BG"/>
        </w:rPr>
        <w:t>райони</w:t>
      </w:r>
      <w:r w:rsidR="00F20157" w:rsidRPr="00610B1B">
        <w:rPr>
          <w:rFonts w:ascii="Times New Roman" w:eastAsia="Calibri" w:hAnsi="Times New Roman" w:cs="Times New Roman"/>
          <w:bCs/>
          <w:sz w:val="24"/>
          <w:szCs w:val="24"/>
          <w:lang w:val="bg-BG"/>
        </w:rPr>
        <w:t>те със специфични режими на движение</w:t>
      </w:r>
      <w:r w:rsidR="00BB6D9A" w:rsidRPr="00610B1B">
        <w:rPr>
          <w:rFonts w:ascii="Times New Roman" w:eastAsia="Calibri" w:hAnsi="Times New Roman" w:cs="Times New Roman"/>
          <w:bCs/>
          <w:sz w:val="24"/>
          <w:szCs w:val="24"/>
          <w:lang w:val="bg-BG"/>
        </w:rPr>
        <w:t>.</w:t>
      </w:r>
      <w:r w:rsidR="00D66FE0" w:rsidRPr="00610B1B">
        <w:rPr>
          <w:rFonts w:ascii="Times New Roman" w:eastAsia="Calibri" w:hAnsi="Times New Roman" w:cs="Times New Roman"/>
          <w:bCs/>
          <w:sz w:val="24"/>
          <w:szCs w:val="24"/>
          <w:lang w:val="bg-BG"/>
        </w:rPr>
        <w:t xml:space="preserve"> </w:t>
      </w:r>
    </w:p>
    <w:p w14:paraId="0036A9FB" w14:textId="77777777" w:rsidR="00E17EF6" w:rsidRPr="00610B1B" w:rsidRDefault="00E17EF6" w:rsidP="00D32D6A">
      <w:pPr>
        <w:spacing w:after="120"/>
        <w:ind w:right="-153"/>
        <w:rPr>
          <w:rFonts w:ascii="Times New Roman" w:hAnsi="Times New Roman" w:cs="Times New Roman"/>
          <w:i/>
          <w:sz w:val="24"/>
          <w:szCs w:val="24"/>
          <w:lang w:val="bg-BG"/>
        </w:rPr>
      </w:pPr>
    </w:p>
    <w:p w14:paraId="738FC1E1" w14:textId="3E26F4C6" w:rsidR="00FA208D" w:rsidRPr="00610B1B" w:rsidRDefault="007B78A7" w:rsidP="00D32D6A">
      <w:pPr>
        <w:pStyle w:val="Heading2"/>
        <w:spacing w:before="0" w:line="276" w:lineRule="auto"/>
        <w:ind w:right="-153"/>
        <w:rPr>
          <w:rFonts w:cs="Times New Roman"/>
          <w:b w:val="0"/>
          <w:bCs w:val="0"/>
          <w:sz w:val="24"/>
          <w:szCs w:val="24"/>
        </w:rPr>
      </w:pPr>
      <w:bookmarkStart w:id="381" w:name="_Toc83391391"/>
      <w:r w:rsidRPr="00610B1B">
        <w:rPr>
          <w:rFonts w:cs="Times New Roman"/>
        </w:rPr>
        <w:lastRenderedPageBreak/>
        <w:t>3</w:t>
      </w:r>
      <w:r w:rsidR="00641B2C" w:rsidRPr="00610B1B">
        <w:rPr>
          <w:rFonts w:cs="Times New Roman"/>
        </w:rPr>
        <w:t>.</w:t>
      </w:r>
      <w:r w:rsidR="00BF0D18" w:rsidRPr="00610B1B">
        <w:rPr>
          <w:rFonts w:cs="Times New Roman"/>
        </w:rPr>
        <w:t>6</w:t>
      </w:r>
      <w:r w:rsidR="00641B2C" w:rsidRPr="00610B1B">
        <w:rPr>
          <w:rFonts w:cs="Times New Roman"/>
        </w:rPr>
        <w:t xml:space="preserve">. </w:t>
      </w:r>
      <w:r w:rsidR="00A747CE" w:rsidRPr="00610B1B">
        <w:rPr>
          <w:rFonts w:cs="Times New Roman"/>
        </w:rPr>
        <w:t>Обобщен анализ на</w:t>
      </w:r>
      <w:r w:rsidR="00FA208D" w:rsidRPr="00610B1B">
        <w:rPr>
          <w:rFonts w:cs="Times New Roman"/>
        </w:rPr>
        <w:t xml:space="preserve"> морски</w:t>
      </w:r>
      <w:r w:rsidR="00BB6D9A" w:rsidRPr="00610B1B">
        <w:rPr>
          <w:rFonts w:cs="Times New Roman"/>
        </w:rPr>
        <w:t>те</w:t>
      </w:r>
      <w:r w:rsidR="00FA208D" w:rsidRPr="00610B1B">
        <w:rPr>
          <w:rFonts w:cs="Times New Roman"/>
        </w:rPr>
        <w:t xml:space="preserve"> икономически</w:t>
      </w:r>
      <w:r w:rsidRPr="00610B1B">
        <w:rPr>
          <w:rFonts w:cs="Times New Roman"/>
        </w:rPr>
        <w:t xml:space="preserve"> дейности</w:t>
      </w:r>
      <w:bookmarkEnd w:id="381"/>
    </w:p>
    <w:p w14:paraId="53478630" w14:textId="650AA616" w:rsidR="00527038" w:rsidRPr="00610B1B" w:rsidRDefault="00527038" w:rsidP="00D32D6A">
      <w:pPr>
        <w:pStyle w:val="Heading3"/>
        <w:spacing w:before="0" w:line="276" w:lineRule="auto"/>
        <w:ind w:right="-153"/>
        <w:rPr>
          <w:rFonts w:cs="Times New Roman"/>
        </w:rPr>
      </w:pPr>
      <w:bookmarkStart w:id="382" w:name="_Toc83391392"/>
      <w:r w:rsidRPr="00610B1B">
        <w:rPr>
          <w:rFonts w:cs="Times New Roman"/>
        </w:rPr>
        <w:t>3.6.1. Обща характеристика на морската икономика</w:t>
      </w:r>
      <w:bookmarkEnd w:id="382"/>
      <w:r w:rsidR="00D66FE0" w:rsidRPr="00610B1B">
        <w:rPr>
          <w:rFonts w:cs="Times New Roman"/>
        </w:rPr>
        <w:t xml:space="preserve"> </w:t>
      </w:r>
    </w:p>
    <w:p w14:paraId="79F3CB08" w14:textId="77777777"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Морската или „синята” икономика включва широк комплекс от дейности, свързани с морето. Включените в синята икономика дейности се разделят на:</w:t>
      </w:r>
      <w:r w:rsidRPr="00610B1B">
        <w:rPr>
          <w:rStyle w:val="FootnoteReference"/>
          <w:rFonts w:ascii="Times New Roman" w:hAnsi="Times New Roman" w:cs="Times New Roman"/>
          <w:sz w:val="24"/>
          <w:szCs w:val="24"/>
          <w:lang w:val="bg-BG"/>
        </w:rPr>
        <w:footnoteReference w:id="132"/>
      </w:r>
    </w:p>
    <w:p w14:paraId="3DDF2A0E" w14:textId="77777777" w:rsidR="00857F73" w:rsidRPr="00610B1B" w:rsidRDefault="00527038" w:rsidP="00B46189">
      <w:pPr>
        <w:pStyle w:val="ListParagraph"/>
        <w:numPr>
          <w:ilvl w:val="0"/>
          <w:numId w:val="38"/>
        </w:numPr>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i/>
          <w:sz w:val="24"/>
          <w:szCs w:val="24"/>
          <w:lang w:val="bg-BG"/>
        </w:rPr>
        <w:t>Морско базирани дейности</w:t>
      </w:r>
      <w:r w:rsidRPr="00610B1B">
        <w:rPr>
          <w:rFonts w:ascii="Times New Roman" w:hAnsi="Times New Roman" w:cs="Times New Roman"/>
          <w:sz w:val="24"/>
          <w:szCs w:val="24"/>
          <w:lang w:val="bg-BG"/>
        </w:rPr>
        <w:t>, включително тези, предприети в океанските, морските и крайбрежните райони, като риболов и аквакултура, морски нефт и газ, офшорна вятърна енергия, океанска енергия, обезсоляване, корабоплаване и морски транспорт и морски и крайбрежен туризъм.</w:t>
      </w:r>
    </w:p>
    <w:p w14:paraId="3C2378C8" w14:textId="376EF10D" w:rsidR="00527038" w:rsidRPr="00610B1B" w:rsidRDefault="00527038" w:rsidP="00B46189">
      <w:pPr>
        <w:pStyle w:val="ListParagraph"/>
        <w:numPr>
          <w:ilvl w:val="0"/>
          <w:numId w:val="38"/>
        </w:numPr>
        <w:spacing w:after="120"/>
        <w:ind w:right="-153"/>
        <w:contextualSpacing w:val="0"/>
        <w:jc w:val="both"/>
        <w:rPr>
          <w:rFonts w:ascii="Times New Roman" w:hAnsi="Times New Roman" w:cs="Times New Roman"/>
          <w:sz w:val="24"/>
          <w:szCs w:val="24"/>
          <w:lang w:val="bg-BG"/>
        </w:rPr>
      </w:pPr>
      <w:r w:rsidRPr="00610B1B">
        <w:rPr>
          <w:rFonts w:ascii="Times New Roman" w:hAnsi="Times New Roman" w:cs="Times New Roman"/>
          <w:i/>
          <w:sz w:val="24"/>
          <w:szCs w:val="24"/>
          <w:lang w:val="bg-BG"/>
        </w:rPr>
        <w:t>Морски дейности, които използват продукти и/или произвеждат продукти и услуги от океански и морски дейности</w:t>
      </w:r>
      <w:r w:rsidRPr="00610B1B">
        <w:rPr>
          <w:rFonts w:ascii="Times New Roman" w:hAnsi="Times New Roman" w:cs="Times New Roman"/>
          <w:sz w:val="24"/>
          <w:szCs w:val="24"/>
          <w:lang w:val="bg-BG"/>
        </w:rPr>
        <w:t>, например преработка на морски дарове, морска биотехнология, корабостроене и кораборемонт, пристанищни дейности, оборудване.</w:t>
      </w:r>
    </w:p>
    <w:p w14:paraId="30255FF2" w14:textId="1E2EE328" w:rsidR="00D703D4" w:rsidRPr="00610B1B" w:rsidRDefault="00527038" w:rsidP="00342BD5">
      <w:pPr>
        <w:spacing w:after="8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Морският бизнес в България през 2017 г. създава заетост на 73 хил. души и реализира брутна добавена стойност (БДС) за 732 млн. евро. В посочените цифри не са включени всички повлияни като развитие икономически дейности, тъй като е отчетен прекият ефект на посочените морски сектори върху БВП, и не се отчита косвеният и индуциран ефект, както и цялостното въздействие върху икономиката, демографията и живота на крайбрежните райони.</w:t>
      </w:r>
      <w:r w:rsidR="00D66FE0" w:rsidRPr="00610B1B">
        <w:rPr>
          <w:rFonts w:ascii="Times New Roman" w:hAnsi="Times New Roman" w:cs="Times New Roman"/>
          <w:sz w:val="24"/>
          <w:szCs w:val="24"/>
          <w:lang w:val="bg-BG"/>
        </w:rPr>
        <w:t xml:space="preserve"> </w:t>
      </w:r>
    </w:p>
    <w:p w14:paraId="4567EF01" w14:textId="26807AA9" w:rsidR="00527038" w:rsidRPr="00610B1B" w:rsidRDefault="00543303" w:rsidP="00342BD5">
      <w:pPr>
        <w:spacing w:after="60"/>
        <w:ind w:right="-153"/>
        <w:rPr>
          <w:rFonts w:ascii="Times New Roman" w:eastAsia="Calibri" w:hAnsi="Times New Roman" w:cs="Times New Roman"/>
          <w:bCs/>
          <w:sz w:val="24"/>
          <w:szCs w:val="24"/>
          <w:lang w:val="bg-BG"/>
        </w:rPr>
      </w:pPr>
      <w:bookmarkStart w:id="383" w:name="_Toc83391606"/>
      <w:r w:rsidRPr="00610B1B">
        <w:rPr>
          <w:rFonts w:ascii="Times New Roman" w:eastAsia="Calibri" w:hAnsi="Times New Roman" w:cs="Times New Roman"/>
          <w:bCs/>
          <w:sz w:val="24"/>
          <w:szCs w:val="24"/>
          <w:lang w:val="bg-BG"/>
        </w:rPr>
        <w:t xml:space="preserve">Таблица </w:t>
      </w:r>
      <w:r w:rsidRPr="00610B1B">
        <w:rPr>
          <w:rFonts w:ascii="Times New Roman" w:eastAsia="Calibri" w:hAnsi="Times New Roman" w:cs="Times New Roman"/>
          <w:bCs/>
          <w:sz w:val="24"/>
          <w:szCs w:val="24"/>
          <w:lang w:val="bg-BG"/>
        </w:rPr>
        <w:fldChar w:fldCharType="begin"/>
      </w:r>
      <w:r w:rsidRPr="00610B1B">
        <w:rPr>
          <w:rFonts w:ascii="Times New Roman" w:eastAsia="Calibri" w:hAnsi="Times New Roman" w:cs="Times New Roman"/>
          <w:bCs/>
          <w:sz w:val="24"/>
          <w:szCs w:val="24"/>
          <w:lang w:val="bg-BG"/>
        </w:rPr>
        <w:instrText xml:space="preserve"> SEQ Таблица \* ARABIC </w:instrText>
      </w:r>
      <w:r w:rsidRPr="00610B1B">
        <w:rPr>
          <w:rFonts w:ascii="Times New Roman" w:eastAsia="Calibri" w:hAnsi="Times New Roman" w:cs="Times New Roman"/>
          <w:bCs/>
          <w:sz w:val="24"/>
          <w:szCs w:val="24"/>
          <w:lang w:val="bg-BG"/>
        </w:rPr>
        <w:fldChar w:fldCharType="separate"/>
      </w:r>
      <w:r w:rsidR="00260629" w:rsidRPr="00610B1B">
        <w:rPr>
          <w:rFonts w:ascii="Times New Roman" w:eastAsia="Calibri" w:hAnsi="Times New Roman" w:cs="Times New Roman"/>
          <w:bCs/>
          <w:noProof/>
          <w:sz w:val="24"/>
          <w:szCs w:val="24"/>
          <w:lang w:val="bg-BG"/>
        </w:rPr>
        <w:t>10</w:t>
      </w:r>
      <w:r w:rsidRPr="00610B1B">
        <w:rPr>
          <w:rFonts w:ascii="Times New Roman" w:eastAsia="Calibri" w:hAnsi="Times New Roman" w:cs="Times New Roman"/>
          <w:bCs/>
          <w:sz w:val="24"/>
          <w:szCs w:val="24"/>
          <w:lang w:val="bg-BG"/>
        </w:rPr>
        <w:fldChar w:fldCharType="end"/>
      </w:r>
      <w:r w:rsidRPr="00610B1B">
        <w:rPr>
          <w:rFonts w:ascii="Times New Roman" w:eastAsia="Calibri" w:hAnsi="Times New Roman" w:cs="Times New Roman"/>
          <w:bCs/>
          <w:sz w:val="24"/>
          <w:szCs w:val="24"/>
          <w:lang w:val="bg-BG"/>
        </w:rPr>
        <w:t>:</w:t>
      </w:r>
      <w:r w:rsidR="00D66FE0" w:rsidRPr="00610B1B">
        <w:rPr>
          <w:rFonts w:ascii="Times New Roman" w:eastAsia="Calibri" w:hAnsi="Times New Roman" w:cs="Times New Roman"/>
          <w:bCs/>
          <w:sz w:val="24"/>
          <w:szCs w:val="24"/>
          <w:lang w:val="bg-BG"/>
        </w:rPr>
        <w:t xml:space="preserve"> </w:t>
      </w:r>
      <w:r w:rsidR="00527038" w:rsidRPr="00610B1B">
        <w:rPr>
          <w:rFonts w:ascii="Times New Roman" w:eastAsia="Calibri" w:hAnsi="Times New Roman" w:cs="Times New Roman"/>
          <w:bCs/>
          <w:sz w:val="24"/>
          <w:szCs w:val="24"/>
          <w:lang w:val="bg-BG"/>
        </w:rPr>
        <w:t>Индикатори за синята икономика на ЕС и България за 2017 г.</w:t>
      </w:r>
      <w:bookmarkEnd w:id="383"/>
    </w:p>
    <w:tbl>
      <w:tblPr>
        <w:tblW w:w="0" w:type="auto"/>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683"/>
        <w:gridCol w:w="2129"/>
        <w:gridCol w:w="1890"/>
      </w:tblGrid>
      <w:tr w:rsidR="00527038" w:rsidRPr="00610B1B" w14:paraId="506AB051" w14:textId="77777777" w:rsidTr="00AD3365">
        <w:trPr>
          <w:cantSplit/>
          <w:tblHeader/>
        </w:trPr>
        <w:tc>
          <w:tcPr>
            <w:tcW w:w="3683" w:type="dxa"/>
            <w:shd w:val="clear" w:color="auto" w:fill="C6D9F1" w:themeFill="text2" w:themeFillTint="33"/>
            <w:vAlign w:val="center"/>
          </w:tcPr>
          <w:p w14:paraId="3F48E0C4" w14:textId="77777777" w:rsidR="00527038" w:rsidRPr="00610B1B" w:rsidRDefault="00527038" w:rsidP="00AD3365">
            <w:pPr>
              <w:spacing w:before="20" w:after="20" w:line="240" w:lineRule="auto"/>
              <w:jc w:val="center"/>
              <w:rPr>
                <w:rFonts w:ascii="Times New Roman" w:hAnsi="Times New Roman" w:cs="Times New Roman"/>
                <w:b/>
                <w:lang w:val="bg-BG"/>
              </w:rPr>
            </w:pPr>
            <w:r w:rsidRPr="00610B1B">
              <w:rPr>
                <w:rFonts w:ascii="Times New Roman" w:hAnsi="Times New Roman" w:cs="Times New Roman"/>
                <w:b/>
                <w:lang w:val="bg-BG"/>
              </w:rPr>
              <w:t>Индикатори</w:t>
            </w:r>
          </w:p>
        </w:tc>
        <w:tc>
          <w:tcPr>
            <w:tcW w:w="2129" w:type="dxa"/>
            <w:shd w:val="clear" w:color="auto" w:fill="C6D9F1" w:themeFill="text2" w:themeFillTint="33"/>
            <w:vAlign w:val="center"/>
          </w:tcPr>
          <w:p w14:paraId="69E38C27" w14:textId="1BCB48B1" w:rsidR="00527038" w:rsidRPr="00610B1B" w:rsidRDefault="00527038" w:rsidP="00AD3365">
            <w:pPr>
              <w:spacing w:before="20" w:after="20" w:line="240" w:lineRule="auto"/>
              <w:jc w:val="center"/>
              <w:rPr>
                <w:rFonts w:ascii="Times New Roman" w:hAnsi="Times New Roman" w:cs="Times New Roman"/>
                <w:b/>
                <w:lang w:val="bg-BG"/>
              </w:rPr>
            </w:pPr>
            <w:r w:rsidRPr="00610B1B">
              <w:rPr>
                <w:rFonts w:ascii="Times New Roman" w:hAnsi="Times New Roman" w:cs="Times New Roman"/>
                <w:b/>
                <w:lang w:val="bg-BG"/>
              </w:rPr>
              <w:t>Европейски Съюз</w:t>
            </w:r>
          </w:p>
        </w:tc>
        <w:tc>
          <w:tcPr>
            <w:tcW w:w="1890" w:type="dxa"/>
            <w:shd w:val="clear" w:color="auto" w:fill="C6D9F1" w:themeFill="text2" w:themeFillTint="33"/>
            <w:vAlign w:val="center"/>
          </w:tcPr>
          <w:p w14:paraId="5984A2E9" w14:textId="77777777" w:rsidR="00527038" w:rsidRPr="00610B1B" w:rsidRDefault="00527038" w:rsidP="00AD3365">
            <w:pPr>
              <w:spacing w:before="20" w:after="20" w:line="240" w:lineRule="auto"/>
              <w:jc w:val="center"/>
              <w:rPr>
                <w:rFonts w:ascii="Times New Roman" w:hAnsi="Times New Roman" w:cs="Times New Roman"/>
                <w:b/>
                <w:lang w:val="bg-BG"/>
              </w:rPr>
            </w:pPr>
            <w:r w:rsidRPr="00610B1B">
              <w:rPr>
                <w:rFonts w:ascii="Times New Roman" w:hAnsi="Times New Roman" w:cs="Times New Roman"/>
                <w:b/>
                <w:lang w:val="bg-BG"/>
              </w:rPr>
              <w:t>България</w:t>
            </w:r>
          </w:p>
        </w:tc>
      </w:tr>
      <w:tr w:rsidR="00527038" w:rsidRPr="00610B1B" w14:paraId="042BCFC2" w14:textId="77777777" w:rsidTr="00AD3365">
        <w:trPr>
          <w:cantSplit/>
        </w:trPr>
        <w:tc>
          <w:tcPr>
            <w:tcW w:w="3683" w:type="dxa"/>
            <w:shd w:val="clear" w:color="auto" w:fill="auto"/>
          </w:tcPr>
          <w:p w14:paraId="27FAEDF1" w14:textId="77777777" w:rsidR="00527038" w:rsidRPr="00610B1B" w:rsidRDefault="00527038" w:rsidP="00AD3365">
            <w:pPr>
              <w:spacing w:before="20" w:after="20" w:line="240" w:lineRule="auto"/>
              <w:jc w:val="both"/>
              <w:rPr>
                <w:rFonts w:ascii="Times New Roman" w:hAnsi="Times New Roman" w:cs="Times New Roman"/>
                <w:b/>
                <w:bCs/>
                <w:lang w:val="bg-BG"/>
              </w:rPr>
            </w:pPr>
            <w:r w:rsidRPr="00610B1B">
              <w:rPr>
                <w:rFonts w:ascii="Times New Roman" w:hAnsi="Times New Roman" w:cs="Times New Roman"/>
                <w:b/>
                <w:bCs/>
                <w:lang w:val="bg-BG"/>
              </w:rPr>
              <w:t xml:space="preserve">Оборот </w:t>
            </w:r>
          </w:p>
        </w:tc>
        <w:tc>
          <w:tcPr>
            <w:tcW w:w="2129" w:type="dxa"/>
            <w:shd w:val="clear" w:color="auto" w:fill="auto"/>
          </w:tcPr>
          <w:p w14:paraId="6086FA36" w14:textId="77777777" w:rsidR="00527038" w:rsidRPr="00610B1B" w:rsidRDefault="00527038" w:rsidP="00AD3365">
            <w:pPr>
              <w:spacing w:before="20" w:after="20" w:line="240" w:lineRule="auto"/>
              <w:jc w:val="both"/>
              <w:rPr>
                <w:rFonts w:ascii="Times New Roman" w:hAnsi="Times New Roman" w:cs="Times New Roman"/>
                <w:b/>
                <w:bCs/>
                <w:lang w:val="bg-BG"/>
              </w:rPr>
            </w:pPr>
            <w:r w:rsidRPr="00610B1B">
              <w:rPr>
                <w:rFonts w:ascii="Times New Roman" w:hAnsi="Times New Roman" w:cs="Times New Roman"/>
                <w:b/>
                <w:bCs/>
                <w:lang w:val="bg-BG"/>
              </w:rPr>
              <w:t>658 млрд. евро</w:t>
            </w:r>
          </w:p>
        </w:tc>
        <w:tc>
          <w:tcPr>
            <w:tcW w:w="1890" w:type="dxa"/>
            <w:shd w:val="clear" w:color="auto" w:fill="auto"/>
          </w:tcPr>
          <w:p w14:paraId="3539C448" w14:textId="77777777" w:rsidR="00527038" w:rsidRPr="00610B1B" w:rsidRDefault="00527038" w:rsidP="00AD3365">
            <w:pPr>
              <w:spacing w:before="20" w:after="20" w:line="240" w:lineRule="auto"/>
              <w:jc w:val="both"/>
              <w:rPr>
                <w:rFonts w:ascii="Times New Roman" w:hAnsi="Times New Roman" w:cs="Times New Roman"/>
                <w:b/>
                <w:bCs/>
                <w:lang w:val="bg-BG"/>
              </w:rPr>
            </w:pPr>
            <w:r w:rsidRPr="00610B1B">
              <w:rPr>
                <w:rFonts w:ascii="Times New Roman" w:hAnsi="Times New Roman" w:cs="Times New Roman"/>
                <w:b/>
                <w:bCs/>
                <w:lang w:val="bg-BG"/>
              </w:rPr>
              <w:t>732 млн. евро</w:t>
            </w:r>
          </w:p>
        </w:tc>
      </w:tr>
      <w:tr w:rsidR="00527038" w:rsidRPr="00610B1B" w14:paraId="3A4AB44B" w14:textId="77777777" w:rsidTr="00AD3365">
        <w:trPr>
          <w:cantSplit/>
        </w:trPr>
        <w:tc>
          <w:tcPr>
            <w:tcW w:w="3683" w:type="dxa"/>
            <w:shd w:val="clear" w:color="auto" w:fill="FFFFFF"/>
          </w:tcPr>
          <w:p w14:paraId="1FCDF189" w14:textId="77777777" w:rsidR="00527038" w:rsidRPr="00610B1B" w:rsidRDefault="00527038" w:rsidP="00AD3365">
            <w:pPr>
              <w:spacing w:before="20" w:after="20" w:line="240" w:lineRule="auto"/>
              <w:jc w:val="both"/>
              <w:rPr>
                <w:rFonts w:ascii="Times New Roman" w:hAnsi="Times New Roman" w:cs="Times New Roman"/>
                <w:lang w:val="bg-BG"/>
              </w:rPr>
            </w:pPr>
            <w:r w:rsidRPr="00610B1B">
              <w:rPr>
                <w:rFonts w:ascii="Times New Roman" w:hAnsi="Times New Roman" w:cs="Times New Roman"/>
                <w:lang w:val="bg-BG"/>
              </w:rPr>
              <w:t xml:space="preserve">Брутна добавена стойност </w:t>
            </w:r>
          </w:p>
        </w:tc>
        <w:tc>
          <w:tcPr>
            <w:tcW w:w="2129" w:type="dxa"/>
            <w:shd w:val="clear" w:color="auto" w:fill="FFFFFF"/>
          </w:tcPr>
          <w:p w14:paraId="3AB7E71E" w14:textId="77777777" w:rsidR="00527038" w:rsidRPr="00610B1B" w:rsidRDefault="00527038" w:rsidP="00AD3365">
            <w:pPr>
              <w:spacing w:before="20" w:after="20" w:line="240" w:lineRule="auto"/>
              <w:jc w:val="both"/>
              <w:rPr>
                <w:rFonts w:ascii="Times New Roman" w:hAnsi="Times New Roman" w:cs="Times New Roman"/>
                <w:lang w:val="bg-BG"/>
              </w:rPr>
            </w:pPr>
            <w:r w:rsidRPr="00610B1B">
              <w:rPr>
                <w:rFonts w:ascii="Times New Roman" w:hAnsi="Times New Roman" w:cs="Times New Roman"/>
                <w:lang w:val="bg-BG"/>
              </w:rPr>
              <w:t>180 млрд. евро</w:t>
            </w:r>
          </w:p>
        </w:tc>
        <w:tc>
          <w:tcPr>
            <w:tcW w:w="1890" w:type="dxa"/>
            <w:shd w:val="clear" w:color="auto" w:fill="FFFFFF"/>
          </w:tcPr>
          <w:p w14:paraId="3C2A3547" w14:textId="77777777" w:rsidR="00527038" w:rsidRPr="00610B1B" w:rsidRDefault="00527038" w:rsidP="00AD3365">
            <w:pPr>
              <w:spacing w:before="20" w:after="20" w:line="240" w:lineRule="auto"/>
              <w:jc w:val="both"/>
              <w:rPr>
                <w:rFonts w:ascii="Times New Roman" w:hAnsi="Times New Roman" w:cs="Times New Roman"/>
                <w:lang w:val="bg-BG"/>
              </w:rPr>
            </w:pPr>
            <w:r w:rsidRPr="00610B1B">
              <w:rPr>
                <w:rFonts w:ascii="Times New Roman" w:hAnsi="Times New Roman" w:cs="Times New Roman"/>
                <w:lang w:val="bg-BG"/>
              </w:rPr>
              <w:t>2,954 млн. евро</w:t>
            </w:r>
          </w:p>
        </w:tc>
      </w:tr>
      <w:tr w:rsidR="00527038" w:rsidRPr="00610B1B" w14:paraId="0C99060A" w14:textId="77777777" w:rsidTr="00AD3365">
        <w:trPr>
          <w:cantSplit/>
        </w:trPr>
        <w:tc>
          <w:tcPr>
            <w:tcW w:w="3683" w:type="dxa"/>
            <w:shd w:val="clear" w:color="auto" w:fill="FFFFFF"/>
          </w:tcPr>
          <w:p w14:paraId="5EF3705E" w14:textId="77777777" w:rsidR="00527038" w:rsidRPr="00610B1B" w:rsidRDefault="00527038" w:rsidP="00AD3365">
            <w:pPr>
              <w:spacing w:before="20" w:after="20" w:line="240" w:lineRule="auto"/>
              <w:jc w:val="both"/>
              <w:rPr>
                <w:rFonts w:ascii="Times New Roman" w:hAnsi="Times New Roman" w:cs="Times New Roman"/>
                <w:lang w:val="bg-BG"/>
              </w:rPr>
            </w:pPr>
            <w:r w:rsidRPr="00610B1B">
              <w:rPr>
                <w:rFonts w:ascii="Times New Roman" w:hAnsi="Times New Roman" w:cs="Times New Roman"/>
                <w:lang w:val="bg-BG"/>
              </w:rPr>
              <w:t xml:space="preserve">Заетост </w:t>
            </w:r>
          </w:p>
        </w:tc>
        <w:tc>
          <w:tcPr>
            <w:tcW w:w="2129" w:type="dxa"/>
            <w:shd w:val="clear" w:color="auto" w:fill="FFFFFF"/>
          </w:tcPr>
          <w:p w14:paraId="3C2ABF28" w14:textId="77777777" w:rsidR="00527038" w:rsidRPr="00610B1B" w:rsidRDefault="00527038" w:rsidP="00AD3365">
            <w:pPr>
              <w:spacing w:before="20" w:after="20" w:line="240" w:lineRule="auto"/>
              <w:jc w:val="both"/>
              <w:rPr>
                <w:rFonts w:ascii="Times New Roman" w:hAnsi="Times New Roman" w:cs="Times New Roman"/>
                <w:lang w:val="bg-BG"/>
              </w:rPr>
            </w:pPr>
            <w:r w:rsidRPr="00610B1B">
              <w:rPr>
                <w:rFonts w:ascii="Times New Roman" w:hAnsi="Times New Roman" w:cs="Times New Roman"/>
                <w:lang w:val="bg-BG"/>
              </w:rPr>
              <w:t>4 милиона души</w:t>
            </w:r>
          </w:p>
        </w:tc>
        <w:tc>
          <w:tcPr>
            <w:tcW w:w="1890" w:type="dxa"/>
            <w:shd w:val="clear" w:color="auto" w:fill="FFFFFF"/>
          </w:tcPr>
          <w:p w14:paraId="4EF448C8" w14:textId="77777777" w:rsidR="00527038" w:rsidRPr="00610B1B" w:rsidRDefault="00527038" w:rsidP="00AD3365">
            <w:pPr>
              <w:spacing w:before="20" w:after="20" w:line="240" w:lineRule="auto"/>
              <w:jc w:val="both"/>
              <w:rPr>
                <w:rFonts w:ascii="Times New Roman" w:hAnsi="Times New Roman" w:cs="Times New Roman"/>
                <w:lang w:val="bg-BG"/>
              </w:rPr>
            </w:pPr>
            <w:r w:rsidRPr="00610B1B">
              <w:rPr>
                <w:rFonts w:ascii="Times New Roman" w:hAnsi="Times New Roman" w:cs="Times New Roman"/>
                <w:lang w:val="bg-BG"/>
              </w:rPr>
              <w:t>73 хиляди души</w:t>
            </w:r>
          </w:p>
        </w:tc>
      </w:tr>
    </w:tbl>
    <w:p w14:paraId="658957E4" w14:textId="77777777" w:rsidR="00527038" w:rsidRPr="00610B1B" w:rsidRDefault="00527038" w:rsidP="00342BD5">
      <w:pPr>
        <w:spacing w:before="60" w:after="120"/>
        <w:ind w:right="-153"/>
        <w:jc w:val="both"/>
        <w:rPr>
          <w:rFonts w:ascii="Times New Roman" w:hAnsi="Times New Roman" w:cs="Times New Roman"/>
          <w:iCs/>
          <w:lang w:val="bg-BG"/>
        </w:rPr>
      </w:pPr>
      <w:r w:rsidRPr="00610B1B">
        <w:rPr>
          <w:rFonts w:ascii="Times New Roman" w:hAnsi="Times New Roman" w:cs="Times New Roman"/>
          <w:iCs/>
          <w:lang w:val="bg-BG"/>
        </w:rPr>
        <w:t>Източник: Доклад „Синята икономика на ЕС” 2019 г. (The EU Blue Economy Report, 2019)</w:t>
      </w:r>
    </w:p>
    <w:p w14:paraId="7F72974E" w14:textId="6166EB52"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В периода 2009-2017 г. заетите лица в синята икономика на България са намалели с 5%, оборотът е нараснал с 18%, брутната добавена стойност (БДС) в номинално изражение е увеличена с 32%, производителността (БДС на зает в еквивалент на пълно работно време FTE) с 49%, разходите за заплата с 39%. Брутната добавена стойност показва увеличаване на растежа във всички сектори на синята икономика в България, с изключение на пристанищните дейности и морския транспорт след 2011 г. </w:t>
      </w:r>
    </w:p>
    <w:p w14:paraId="445E9237" w14:textId="66C7BAFE" w:rsidR="009907CE" w:rsidRPr="00610B1B" w:rsidRDefault="009907CE" w:rsidP="00D32D6A">
      <w:pPr>
        <w:spacing w:after="120"/>
        <w:ind w:right="-153"/>
        <w:jc w:val="both"/>
        <w:rPr>
          <w:rFonts w:ascii="Times New Roman" w:hAnsi="Times New Roman" w:cs="Times New Roman"/>
          <w:sz w:val="24"/>
          <w:szCs w:val="24"/>
          <w:lang w:val="bg-BG"/>
        </w:rPr>
      </w:pPr>
    </w:p>
    <w:p w14:paraId="175D97D7" w14:textId="402A3B44" w:rsidR="009907CE" w:rsidRPr="00610B1B" w:rsidRDefault="009907CE" w:rsidP="00D32D6A">
      <w:pPr>
        <w:spacing w:after="120"/>
        <w:ind w:right="-153"/>
        <w:jc w:val="both"/>
        <w:rPr>
          <w:rFonts w:ascii="Times New Roman" w:hAnsi="Times New Roman" w:cs="Times New Roman"/>
          <w:sz w:val="24"/>
          <w:szCs w:val="24"/>
          <w:lang w:val="bg-BG"/>
        </w:rPr>
      </w:pPr>
    </w:p>
    <w:p w14:paraId="2F3073C6" w14:textId="54B113B3" w:rsidR="009907CE" w:rsidRPr="00610B1B" w:rsidRDefault="009907CE" w:rsidP="00D32D6A">
      <w:pPr>
        <w:spacing w:after="120"/>
        <w:ind w:right="-153"/>
        <w:jc w:val="both"/>
        <w:rPr>
          <w:rFonts w:ascii="Times New Roman" w:hAnsi="Times New Roman" w:cs="Times New Roman"/>
          <w:sz w:val="24"/>
          <w:szCs w:val="24"/>
          <w:lang w:val="bg-BG"/>
        </w:rPr>
      </w:pPr>
    </w:p>
    <w:p w14:paraId="284DAEC4" w14:textId="233507BB" w:rsidR="009907CE" w:rsidRPr="00610B1B" w:rsidRDefault="009907CE" w:rsidP="00D32D6A">
      <w:pPr>
        <w:spacing w:after="120"/>
        <w:ind w:right="-153"/>
        <w:jc w:val="both"/>
        <w:rPr>
          <w:rFonts w:ascii="Times New Roman" w:hAnsi="Times New Roman" w:cs="Times New Roman"/>
          <w:sz w:val="24"/>
          <w:szCs w:val="24"/>
          <w:lang w:val="bg-BG"/>
        </w:rPr>
      </w:pPr>
    </w:p>
    <w:p w14:paraId="44765E69" w14:textId="58EA5002" w:rsidR="009907CE" w:rsidRPr="00610B1B" w:rsidRDefault="009907CE" w:rsidP="00D32D6A">
      <w:pPr>
        <w:spacing w:after="120"/>
        <w:ind w:right="-153"/>
        <w:jc w:val="both"/>
        <w:rPr>
          <w:rFonts w:ascii="Times New Roman" w:hAnsi="Times New Roman" w:cs="Times New Roman"/>
          <w:sz w:val="24"/>
          <w:szCs w:val="24"/>
          <w:lang w:val="bg-BG"/>
        </w:rPr>
      </w:pPr>
    </w:p>
    <w:p w14:paraId="300C548A" w14:textId="77777777" w:rsidR="009907CE" w:rsidRPr="00610B1B" w:rsidRDefault="009907CE" w:rsidP="00D32D6A">
      <w:pPr>
        <w:spacing w:after="120"/>
        <w:ind w:right="-153"/>
        <w:jc w:val="both"/>
        <w:rPr>
          <w:rFonts w:ascii="Times New Roman" w:hAnsi="Times New Roman" w:cs="Times New Roman"/>
          <w:lang w:val="bg-BG"/>
        </w:rPr>
      </w:pPr>
    </w:p>
    <w:tbl>
      <w:tblPr>
        <w:tblStyle w:val="TableGrid"/>
        <w:tblW w:w="935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7"/>
      </w:tblGrid>
      <w:tr w:rsidR="002F6792" w:rsidRPr="005C2B9F" w14:paraId="41D0021B" w14:textId="77777777" w:rsidTr="001757A5">
        <w:tc>
          <w:tcPr>
            <w:tcW w:w="4679" w:type="dxa"/>
          </w:tcPr>
          <w:p w14:paraId="69151577" w14:textId="0E6417AA" w:rsidR="002F6792" w:rsidRPr="00610B1B" w:rsidRDefault="00B62269" w:rsidP="00D32D6A">
            <w:pPr>
              <w:jc w:val="both"/>
              <w:rPr>
                <w:rFonts w:ascii="Times New Roman" w:hAnsi="Times New Roman" w:cs="Times New Roman"/>
                <w:sz w:val="24"/>
                <w:szCs w:val="24"/>
                <w:lang w:val="bg-BG"/>
              </w:rPr>
            </w:pPr>
            <w:bookmarkStart w:id="384" w:name="_Toc83391491"/>
            <w:r w:rsidRPr="00610B1B">
              <w:rPr>
                <w:rFonts w:ascii="Times New Roman" w:hAnsi="Times New Roman" w:cs="Times New Roman"/>
                <w:sz w:val="24"/>
                <w:szCs w:val="24"/>
                <w:lang w:val="bg-BG"/>
              </w:rPr>
              <w:lastRenderedPageBreak/>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28</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2F6792" w:rsidRPr="00610B1B">
              <w:rPr>
                <w:rFonts w:ascii="Times New Roman" w:hAnsi="Times New Roman" w:cs="Times New Roman"/>
                <w:sz w:val="24"/>
                <w:szCs w:val="24"/>
                <w:lang w:val="bg-BG"/>
              </w:rPr>
              <w:t>Заети лица в секторите на синята икономика в България, брой, 2017 г.</w:t>
            </w:r>
            <w:bookmarkEnd w:id="384"/>
          </w:p>
        </w:tc>
        <w:tc>
          <w:tcPr>
            <w:tcW w:w="4677" w:type="dxa"/>
          </w:tcPr>
          <w:p w14:paraId="68E55A8F" w14:textId="22BDF3DB" w:rsidR="002F6792" w:rsidRPr="00610B1B" w:rsidRDefault="00B62269" w:rsidP="00D32D6A">
            <w:pPr>
              <w:jc w:val="both"/>
              <w:rPr>
                <w:rFonts w:ascii="Times New Roman" w:hAnsi="Times New Roman" w:cs="Times New Roman"/>
                <w:sz w:val="24"/>
                <w:szCs w:val="24"/>
                <w:lang w:val="bg-BG"/>
              </w:rPr>
            </w:pPr>
            <w:bookmarkStart w:id="385" w:name="_Toc83391492"/>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29</w:t>
            </w:r>
            <w:r w:rsidRPr="00610B1B">
              <w:rPr>
                <w:rFonts w:ascii="Times New Roman" w:hAnsi="Times New Roman" w:cs="Times New Roman"/>
                <w:sz w:val="24"/>
                <w:szCs w:val="24"/>
                <w:lang w:val="bg-BG"/>
              </w:rPr>
              <w:fldChar w:fldCharType="end"/>
            </w:r>
            <w:r w:rsidR="002F6792" w:rsidRPr="00610B1B">
              <w:rPr>
                <w:rFonts w:ascii="Times New Roman" w:hAnsi="Times New Roman" w:cs="Times New Roman"/>
                <w:sz w:val="24"/>
                <w:szCs w:val="24"/>
                <w:lang w:val="bg-BG"/>
              </w:rPr>
              <w:t>: БДС на секторите на синята икономика в България, млн.евро, 2017 г.</w:t>
            </w:r>
            <w:bookmarkEnd w:id="385"/>
          </w:p>
        </w:tc>
      </w:tr>
      <w:tr w:rsidR="002F6792" w:rsidRPr="00610B1B" w14:paraId="61F7B30D" w14:textId="77777777" w:rsidTr="001757A5">
        <w:tc>
          <w:tcPr>
            <w:tcW w:w="4679" w:type="dxa"/>
          </w:tcPr>
          <w:p w14:paraId="63ED9DB3" w14:textId="13182045" w:rsidR="002F6792" w:rsidRPr="00610B1B" w:rsidRDefault="002F6792" w:rsidP="001757A5">
            <w:pPr>
              <w:jc w:val="center"/>
              <w:rPr>
                <w:rFonts w:ascii="Times New Roman" w:hAnsi="Times New Roman" w:cs="Times New Roman"/>
                <w:sz w:val="24"/>
                <w:szCs w:val="24"/>
                <w:lang w:val="bg-BG"/>
              </w:rPr>
            </w:pPr>
            <w:r w:rsidRPr="00610B1B">
              <w:rPr>
                <w:rFonts w:ascii="Times New Roman" w:hAnsi="Times New Roman" w:cs="Times New Roman"/>
                <w:noProof/>
                <w:lang w:val="bg-BG" w:eastAsia="bg-BG"/>
              </w:rPr>
              <w:drawing>
                <wp:inline distT="0" distB="0" distL="0" distR="0" wp14:anchorId="1F9AAA8B" wp14:editId="2ECB7746">
                  <wp:extent cx="2596347" cy="22514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a:extLst>
                              <a:ext uri="{28A0092B-C50C-407E-A947-70E740481C1C}">
                                <a14:useLocalDpi xmlns:a14="http://schemas.microsoft.com/office/drawing/2010/main" val="0"/>
                              </a:ext>
                            </a:extLst>
                          </a:blip>
                          <a:srcRect l="2806" t="2904" r="3388" b="2385"/>
                          <a:stretch/>
                        </pic:blipFill>
                        <pic:spPr bwMode="auto">
                          <a:xfrm>
                            <a:off x="0" y="0"/>
                            <a:ext cx="2620792" cy="22726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tcPr>
          <w:p w14:paraId="2DC7B857" w14:textId="34C10FCF" w:rsidR="002F6792" w:rsidRPr="00610B1B" w:rsidRDefault="002F6792" w:rsidP="001757A5">
            <w:pPr>
              <w:jc w:val="center"/>
              <w:rPr>
                <w:rFonts w:ascii="Times New Roman" w:hAnsi="Times New Roman" w:cs="Times New Roman"/>
                <w:sz w:val="24"/>
                <w:szCs w:val="24"/>
                <w:lang w:val="bg-BG"/>
              </w:rPr>
            </w:pPr>
            <w:r w:rsidRPr="00610B1B">
              <w:rPr>
                <w:rFonts w:ascii="Times New Roman" w:hAnsi="Times New Roman" w:cs="Times New Roman"/>
                <w:noProof/>
                <w:lang w:val="bg-BG" w:eastAsia="bg-BG"/>
              </w:rPr>
              <w:drawing>
                <wp:inline distT="0" distB="0" distL="0" distR="0" wp14:anchorId="6D884DD7" wp14:editId="258733B1">
                  <wp:extent cx="2674189" cy="220788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l="2742" t="4355" r="2750" b="2748"/>
                          <a:stretch/>
                        </pic:blipFill>
                        <pic:spPr bwMode="auto">
                          <a:xfrm>
                            <a:off x="0" y="0"/>
                            <a:ext cx="2690459" cy="22213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6792" w:rsidRPr="00610B1B" w14:paraId="3007DE31" w14:textId="77777777" w:rsidTr="001757A5">
        <w:tc>
          <w:tcPr>
            <w:tcW w:w="9356" w:type="dxa"/>
            <w:gridSpan w:val="2"/>
          </w:tcPr>
          <w:p w14:paraId="7BF98FA0" w14:textId="1A82520F" w:rsidR="002F6792" w:rsidRPr="00610B1B" w:rsidRDefault="002F6792" w:rsidP="00AD3365">
            <w:pPr>
              <w:spacing w:before="60"/>
              <w:jc w:val="both"/>
              <w:rPr>
                <w:rFonts w:ascii="Times New Roman" w:hAnsi="Times New Roman" w:cs="Times New Roman"/>
                <w:iCs/>
                <w:lang w:val="bg-BG"/>
              </w:rPr>
            </w:pPr>
            <w:r w:rsidRPr="00610B1B">
              <w:rPr>
                <w:rFonts w:ascii="Times New Roman" w:hAnsi="Times New Roman" w:cs="Times New Roman"/>
                <w:iCs/>
                <w:lang w:val="bg-BG"/>
              </w:rPr>
              <w:t>Източник: Изчислено по „Синята икономика на ЕС” 2019 г. „The EU Blue Economy Report, 2019”</w:t>
            </w:r>
          </w:p>
        </w:tc>
      </w:tr>
    </w:tbl>
    <w:p w14:paraId="27FC6DE4" w14:textId="77920092" w:rsidR="00BB6D9A" w:rsidRPr="00610B1B" w:rsidRDefault="00BB6D9A" w:rsidP="00FE53D2">
      <w:pPr>
        <w:spacing w:before="120"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Най-високи темпове на растеж се наблюдават в крайбрежния туризъм, който за периода 2009-2017 г. е увеличил БДС със 74.2%. Високо нарастване на БДС се отбелязва и в дейностите, свързани с добива на морски живи ресурси, където увеличението на БДС е с 60%. Дейностите, базирани на морски неживи ресурси, са с прираст на БДС от 38%. Корабостроенето и кораборемонтът се представят с нарастване от 19%. В този период пристанищните дейности отчитат спад на БДС от 43%, а морският транспорт – 6%. </w:t>
      </w:r>
      <w:r w:rsidR="00527038" w:rsidRPr="00610B1B">
        <w:rPr>
          <w:rFonts w:ascii="Times New Roman" w:hAnsi="Times New Roman" w:cs="Times New Roman"/>
          <w:sz w:val="24"/>
          <w:szCs w:val="24"/>
          <w:lang w:val="bg-BG"/>
        </w:rPr>
        <w:t>Развитието на морската икономика в крайбрежния район на страната се характеризира с определени различия в структурата и териториалната концентрация на дейностите. С най-висок брой активни предприятия се отличават общините Варна (</w:t>
      </w:r>
      <w:r w:rsidR="00527038" w:rsidRPr="00610B1B">
        <w:rPr>
          <w:rFonts w:ascii="Times New Roman" w:hAnsi="Times New Roman" w:cs="Times New Roman"/>
          <w:bCs/>
          <w:color w:val="000000"/>
          <w:sz w:val="24"/>
          <w:szCs w:val="24"/>
          <w:lang w:val="bg-BG"/>
        </w:rPr>
        <w:t>1413</w:t>
      </w:r>
      <w:r w:rsidR="00527038" w:rsidRPr="00610B1B">
        <w:rPr>
          <w:rFonts w:ascii="Times New Roman" w:hAnsi="Times New Roman" w:cs="Times New Roman"/>
          <w:sz w:val="24"/>
          <w:szCs w:val="24"/>
          <w:lang w:val="bg-BG"/>
        </w:rPr>
        <w:t>), Бургас (943) и Несебър (333) от общо 3</w:t>
      </w:r>
      <w:r w:rsidR="00857F73" w:rsidRPr="00610B1B">
        <w:rPr>
          <w:rFonts w:ascii="Times New Roman" w:hAnsi="Times New Roman" w:cs="Times New Roman"/>
          <w:sz w:val="24"/>
          <w:szCs w:val="24"/>
          <w:lang w:val="bg-BG"/>
        </w:rPr>
        <w:t> </w:t>
      </w:r>
      <w:r w:rsidR="00527038" w:rsidRPr="00610B1B">
        <w:rPr>
          <w:rFonts w:ascii="Times New Roman" w:hAnsi="Times New Roman" w:cs="Times New Roman"/>
          <w:sz w:val="24"/>
          <w:szCs w:val="24"/>
          <w:lang w:val="bg-BG"/>
        </w:rPr>
        <w:t>246 фирми в крайбрежния район, включващ 14 общини: Бургас, Несебър, Поморие, Приморско, Созопол, Царево, Аврен, Аксаково, Бяла, Варна, Долни чифлик, Балчик, Каварна, Шабла</w:t>
      </w:r>
      <w:r w:rsidR="00527038" w:rsidRPr="00610B1B">
        <w:rPr>
          <w:rStyle w:val="FootnoteReference"/>
          <w:rFonts w:ascii="Times New Roman" w:hAnsi="Times New Roman" w:cs="Times New Roman"/>
          <w:sz w:val="24"/>
          <w:szCs w:val="24"/>
          <w:lang w:val="bg-BG"/>
        </w:rPr>
        <w:footnoteReference w:id="133"/>
      </w:r>
      <w:r w:rsidR="00527038" w:rsidRPr="00610B1B">
        <w:rPr>
          <w:rFonts w:ascii="Times New Roman" w:hAnsi="Times New Roman" w:cs="Times New Roman"/>
          <w:sz w:val="24"/>
          <w:szCs w:val="24"/>
          <w:lang w:val="bg-BG"/>
        </w:rPr>
        <w:t>.</w:t>
      </w:r>
    </w:p>
    <w:p w14:paraId="1CD46776" w14:textId="77777777" w:rsidR="00BB6D9A"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Разпределението на предприятията според броя на заетите в тях показва, че абсолютно доминират микро- и малките предприятия (</w:t>
      </w:r>
      <w:r w:rsidRPr="00610B1B">
        <w:rPr>
          <w:rFonts w:ascii="Times New Roman" w:hAnsi="Times New Roman" w:cs="Times New Roman"/>
          <w:color w:val="000000"/>
          <w:sz w:val="24"/>
          <w:szCs w:val="24"/>
          <w:lang w:val="bg-BG"/>
        </w:rPr>
        <w:t>99.65%</w:t>
      </w:r>
      <w:r w:rsidRPr="00610B1B">
        <w:rPr>
          <w:rFonts w:ascii="Times New Roman" w:hAnsi="Times New Roman" w:cs="Times New Roman"/>
          <w:sz w:val="24"/>
          <w:szCs w:val="24"/>
          <w:lang w:val="bg-BG"/>
        </w:rPr>
        <w:t xml:space="preserve">). Преобладаващата част от дейностите на морската икономика са със силно изявен сезонен характер, като през летния сезон броят на заетите е с около 70% по-висок от този в края на годината, което е значителен проблем на пазара на труда в Черноморския район. </w:t>
      </w:r>
    </w:p>
    <w:p w14:paraId="6D6F6481" w14:textId="1F521125" w:rsidR="00BB6D9A"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Най-голям принос към развитието на морската икономика имат общините Варна (с 58% от приходите, 52% от общите активи и 48% от заетите лица) и Бургас (с 22% от приходите и заетите лица и 21% от активите на района)</w:t>
      </w:r>
      <w:r w:rsidRPr="00610B1B">
        <w:rPr>
          <w:rStyle w:val="FootnoteReference"/>
          <w:rFonts w:ascii="Times New Roman" w:hAnsi="Times New Roman" w:cs="Times New Roman"/>
          <w:sz w:val="24"/>
          <w:szCs w:val="24"/>
          <w:lang w:val="bg-BG"/>
        </w:rPr>
        <w:footnoteReference w:id="134"/>
      </w:r>
      <w:r w:rsidRPr="00610B1B">
        <w:rPr>
          <w:rFonts w:ascii="Times New Roman" w:hAnsi="Times New Roman" w:cs="Times New Roman"/>
          <w:sz w:val="24"/>
          <w:szCs w:val="24"/>
          <w:lang w:val="bg-BG"/>
        </w:rPr>
        <w:t>. Секторната структура на двете общини е сходна и в нея присъстват всички морски сектори.</w:t>
      </w:r>
      <w:r w:rsidR="00BB6D9A"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 относително</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висок дял на морски сектори са общините Несебър (с 8% от приходите и 12% от заетостта) и Балчик (с 6% от приходите и 8% от заетите). Отрасловата структура в тях е по-ограничена и включва риболов, преработка и консервиране на риба, пътнически морски транспорт, производство на спортни стоки, търговия на дребно с риба и морски храни, при доминиращо участие на туристическия сектор.</w:t>
      </w:r>
      <w:r w:rsidR="00D66FE0" w:rsidRPr="00610B1B">
        <w:rPr>
          <w:rFonts w:ascii="Times New Roman" w:hAnsi="Times New Roman" w:cs="Times New Roman"/>
          <w:sz w:val="24"/>
          <w:szCs w:val="24"/>
          <w:lang w:val="bg-BG"/>
        </w:rPr>
        <w:t xml:space="preserve"> </w:t>
      </w:r>
    </w:p>
    <w:p w14:paraId="1E5EBB2C" w14:textId="77777777" w:rsidR="00BB6D9A"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Общините Поморие, Созопол и Приморско формират групата на общините с дял 1-2% в реализираните приходи от морска икономика (2% за Поморие и 1% за Созопол и Приморско). Заетостта в първата община е 3%, в останалите две – 2%. Дейностите, свързани с туризма, формират основния дял от морската икономика на общините. Синята икономика се представя и от дейности като риболов и аквакултура, търговия на дребно с риба и други морски храни, производство на уреди и апарати за измерване, изпитване и навигация (Поморие), производство на спортни стоки (Поморие</w:t>
      </w:r>
      <w:r w:rsidR="007A72D9"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w:t>
      </w:r>
    </w:p>
    <w:p w14:paraId="2A87733F" w14:textId="77777777" w:rsidR="00BB6D9A"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Общините Каварна и Царево се включват в приходите, реализирани от морския бизнес, с участие от </w:t>
      </w:r>
      <w:r w:rsidRPr="00610B1B">
        <w:rPr>
          <w:rFonts w:ascii="Times New Roman" w:hAnsi="Times New Roman" w:cs="Times New Roman"/>
          <w:color w:val="000000"/>
          <w:sz w:val="24"/>
          <w:szCs w:val="24"/>
          <w:lang w:val="bg-BG"/>
        </w:rPr>
        <w:t xml:space="preserve">0.8% и 0.5%, и с принос към заетостта от 1.6% и 1.2%. Той се определя от </w:t>
      </w:r>
      <w:r w:rsidRPr="00610B1B">
        <w:rPr>
          <w:rFonts w:ascii="Times New Roman" w:hAnsi="Times New Roman" w:cs="Times New Roman"/>
          <w:sz w:val="24"/>
          <w:szCs w:val="24"/>
          <w:lang w:val="bg-BG"/>
        </w:rPr>
        <w:t>туризъм, риболов и аквакултура, търговия, преработка и консервиране на риба, строителство и ремонт на плавателни съдове (Царево), пътнически морски и крайбрежен транспорт (Царево).</w:t>
      </w:r>
    </w:p>
    <w:p w14:paraId="3698B084" w14:textId="114479A2" w:rsidR="00527038" w:rsidRPr="00610B1B" w:rsidRDefault="00BB6D9A"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Общините </w:t>
      </w:r>
      <w:r w:rsidR="00527038" w:rsidRPr="00610B1B">
        <w:rPr>
          <w:rFonts w:ascii="Times New Roman" w:hAnsi="Times New Roman" w:cs="Times New Roman"/>
          <w:sz w:val="24"/>
          <w:szCs w:val="24"/>
          <w:lang w:val="bg-BG"/>
        </w:rPr>
        <w:t xml:space="preserve">Шабла, Аксаково, Долни чифлик, Бяла и Аврен отбелязват скромен принос в морската икономика. Освен туризъм в тях се отчитат дейности, свързани с риболов (Бяла и Шабла), строителство и ремонт на плавателни съдове (Аксаково), преработка и консервиране на риба (Аксаково и Бяла), търговия на дребно с риба и други морски храни. </w:t>
      </w:r>
    </w:p>
    <w:p w14:paraId="1AB88847" w14:textId="4E8D91E0" w:rsidR="00527038" w:rsidRPr="00610B1B" w:rsidRDefault="00543303" w:rsidP="001757A5">
      <w:pPr>
        <w:pStyle w:val="Caption"/>
        <w:spacing w:before="0" w:after="60" w:line="240" w:lineRule="auto"/>
        <w:ind w:right="-153"/>
        <w:rPr>
          <w:rFonts w:eastAsiaTheme="minorHAnsi" w:cs="Times New Roman"/>
          <w:color w:val="auto"/>
          <w:lang w:eastAsia="en-US" w:bidi="ar-SA"/>
        </w:rPr>
      </w:pPr>
      <w:bookmarkStart w:id="386" w:name="_Toc83391607"/>
      <w:r w:rsidRPr="00610B1B">
        <w:rPr>
          <w:rFonts w:cs="Times New Roman"/>
        </w:rPr>
        <w:t xml:space="preserve">Таблица </w:t>
      </w:r>
      <w:r w:rsidRPr="00610B1B">
        <w:rPr>
          <w:rFonts w:cs="Times New Roman"/>
        </w:rPr>
        <w:fldChar w:fldCharType="begin"/>
      </w:r>
      <w:r w:rsidRPr="00610B1B">
        <w:rPr>
          <w:rFonts w:cs="Times New Roman"/>
        </w:rPr>
        <w:instrText xml:space="preserve"> SEQ Таблица \* ARABIC </w:instrText>
      </w:r>
      <w:r w:rsidRPr="00610B1B">
        <w:rPr>
          <w:rFonts w:cs="Times New Roman"/>
        </w:rPr>
        <w:fldChar w:fldCharType="separate"/>
      </w:r>
      <w:r w:rsidR="00260629" w:rsidRPr="00610B1B">
        <w:rPr>
          <w:rFonts w:cs="Times New Roman"/>
          <w:noProof/>
        </w:rPr>
        <w:t>11</w:t>
      </w:r>
      <w:r w:rsidRPr="00610B1B">
        <w:rPr>
          <w:rFonts w:cs="Times New Roman"/>
        </w:rPr>
        <w:fldChar w:fldCharType="end"/>
      </w:r>
      <w:r w:rsidRPr="00610B1B">
        <w:rPr>
          <w:rFonts w:cs="Times New Roman"/>
        </w:rPr>
        <w:t xml:space="preserve">: </w:t>
      </w:r>
      <w:r w:rsidR="00527038" w:rsidRPr="00610B1B">
        <w:rPr>
          <w:rFonts w:eastAsiaTheme="minorHAnsi" w:cs="Times New Roman"/>
          <w:color w:val="auto"/>
          <w:lang w:eastAsia="en-US" w:bidi="ar-SA"/>
        </w:rPr>
        <w:t>Относителен дял на показателите, характеризиращи морската икономика по общини, 2018 г.</w:t>
      </w:r>
      <w:bookmarkEnd w:id="386"/>
    </w:p>
    <w:tbl>
      <w:tblPr>
        <w:tblW w:w="8226" w:type="dxa"/>
        <w:tblBorders>
          <w:top w:val="single" w:sz="4" w:space="0" w:color="auto"/>
          <w:bottom w:val="single" w:sz="4" w:space="0" w:color="auto"/>
          <w:insideH w:val="single" w:sz="4" w:space="0" w:color="auto"/>
        </w:tblBorders>
        <w:tblCellMar>
          <w:left w:w="70" w:type="dxa"/>
          <w:right w:w="70" w:type="dxa"/>
        </w:tblCellMar>
        <w:tblLook w:val="0000" w:firstRow="0" w:lastRow="0" w:firstColumn="0" w:lastColumn="0" w:noHBand="0" w:noVBand="0"/>
      </w:tblPr>
      <w:tblGrid>
        <w:gridCol w:w="909"/>
        <w:gridCol w:w="1786"/>
        <w:gridCol w:w="1841"/>
        <w:gridCol w:w="1620"/>
        <w:gridCol w:w="2070"/>
      </w:tblGrid>
      <w:tr w:rsidR="00527038" w:rsidRPr="00610B1B" w14:paraId="3179E174" w14:textId="77777777" w:rsidTr="00AD3365">
        <w:trPr>
          <w:tblHeader/>
        </w:trPr>
        <w:tc>
          <w:tcPr>
            <w:tcW w:w="909" w:type="dxa"/>
            <w:shd w:val="clear" w:color="auto" w:fill="C6D9F1" w:themeFill="text2" w:themeFillTint="33"/>
            <w:vAlign w:val="center"/>
          </w:tcPr>
          <w:p w14:paraId="3450DAD8" w14:textId="77777777" w:rsidR="00527038" w:rsidRPr="00610B1B" w:rsidRDefault="00527038" w:rsidP="00097B37">
            <w:pPr>
              <w:spacing w:before="20" w:after="20" w:line="240" w:lineRule="auto"/>
              <w:jc w:val="center"/>
              <w:rPr>
                <w:rFonts w:ascii="Times New Roman" w:hAnsi="Times New Roman" w:cs="Times New Roman"/>
                <w:b/>
                <w:lang w:val="bg-BG"/>
              </w:rPr>
            </w:pPr>
            <w:r w:rsidRPr="00610B1B">
              <w:rPr>
                <w:rFonts w:ascii="Times New Roman" w:hAnsi="Times New Roman" w:cs="Times New Roman"/>
                <w:b/>
                <w:lang w:val="bg-BG"/>
              </w:rPr>
              <w:t>Област</w:t>
            </w:r>
          </w:p>
        </w:tc>
        <w:tc>
          <w:tcPr>
            <w:tcW w:w="1786" w:type="dxa"/>
            <w:shd w:val="clear" w:color="auto" w:fill="C6D9F1" w:themeFill="text2" w:themeFillTint="33"/>
            <w:vAlign w:val="center"/>
          </w:tcPr>
          <w:p w14:paraId="1CE85C26" w14:textId="77777777" w:rsidR="00527038" w:rsidRPr="00610B1B" w:rsidRDefault="00527038" w:rsidP="00097B37">
            <w:pPr>
              <w:spacing w:before="20" w:after="20" w:line="240" w:lineRule="auto"/>
              <w:jc w:val="center"/>
              <w:rPr>
                <w:rFonts w:ascii="Times New Roman" w:hAnsi="Times New Roman" w:cs="Times New Roman"/>
                <w:b/>
                <w:lang w:val="bg-BG"/>
              </w:rPr>
            </w:pPr>
            <w:r w:rsidRPr="00610B1B">
              <w:rPr>
                <w:rFonts w:ascii="Times New Roman" w:hAnsi="Times New Roman" w:cs="Times New Roman"/>
                <w:b/>
                <w:lang w:val="bg-BG"/>
              </w:rPr>
              <w:t>Община</w:t>
            </w:r>
          </w:p>
        </w:tc>
        <w:tc>
          <w:tcPr>
            <w:tcW w:w="1841" w:type="dxa"/>
            <w:shd w:val="clear" w:color="auto" w:fill="C6D9F1" w:themeFill="text2" w:themeFillTint="33"/>
            <w:vAlign w:val="center"/>
          </w:tcPr>
          <w:p w14:paraId="1923E2D1" w14:textId="77777777" w:rsidR="00527038" w:rsidRPr="00610B1B" w:rsidRDefault="00527038" w:rsidP="00097B37">
            <w:pPr>
              <w:spacing w:before="20" w:after="20" w:line="240" w:lineRule="auto"/>
              <w:jc w:val="center"/>
              <w:rPr>
                <w:rFonts w:ascii="Times New Roman" w:hAnsi="Times New Roman" w:cs="Times New Roman"/>
                <w:b/>
                <w:lang w:val="bg-BG"/>
              </w:rPr>
            </w:pPr>
            <w:r w:rsidRPr="00610B1B">
              <w:rPr>
                <w:rFonts w:ascii="Times New Roman" w:hAnsi="Times New Roman" w:cs="Times New Roman"/>
                <w:b/>
                <w:lang w:val="bg-BG"/>
              </w:rPr>
              <w:t xml:space="preserve">Общо приходи (оборот) </w:t>
            </w:r>
          </w:p>
        </w:tc>
        <w:tc>
          <w:tcPr>
            <w:tcW w:w="1620" w:type="dxa"/>
            <w:shd w:val="clear" w:color="auto" w:fill="C6D9F1" w:themeFill="text2" w:themeFillTint="33"/>
            <w:vAlign w:val="center"/>
          </w:tcPr>
          <w:p w14:paraId="10C12A92" w14:textId="77777777" w:rsidR="00527038" w:rsidRPr="00610B1B" w:rsidRDefault="00527038" w:rsidP="00097B37">
            <w:pPr>
              <w:spacing w:before="20" w:after="20" w:line="240" w:lineRule="auto"/>
              <w:jc w:val="center"/>
              <w:rPr>
                <w:rFonts w:ascii="Times New Roman" w:hAnsi="Times New Roman" w:cs="Times New Roman"/>
                <w:b/>
                <w:lang w:val="bg-BG"/>
              </w:rPr>
            </w:pPr>
            <w:r w:rsidRPr="00610B1B">
              <w:rPr>
                <w:rFonts w:ascii="Times New Roman" w:hAnsi="Times New Roman" w:cs="Times New Roman"/>
                <w:b/>
                <w:lang w:val="bg-BG"/>
              </w:rPr>
              <w:t xml:space="preserve">Общо активи </w:t>
            </w:r>
          </w:p>
        </w:tc>
        <w:tc>
          <w:tcPr>
            <w:tcW w:w="2070" w:type="dxa"/>
            <w:shd w:val="clear" w:color="auto" w:fill="C6D9F1" w:themeFill="text2" w:themeFillTint="33"/>
            <w:vAlign w:val="center"/>
          </w:tcPr>
          <w:p w14:paraId="5D8AD0D2" w14:textId="77777777" w:rsidR="00527038" w:rsidRPr="00610B1B" w:rsidRDefault="00527038" w:rsidP="00097B37">
            <w:pPr>
              <w:spacing w:before="20" w:after="20" w:line="240" w:lineRule="auto"/>
              <w:jc w:val="center"/>
              <w:rPr>
                <w:rFonts w:ascii="Times New Roman" w:hAnsi="Times New Roman" w:cs="Times New Roman"/>
                <w:b/>
                <w:lang w:val="bg-BG"/>
              </w:rPr>
            </w:pPr>
            <w:r w:rsidRPr="00610B1B">
              <w:rPr>
                <w:rFonts w:ascii="Times New Roman" w:hAnsi="Times New Roman" w:cs="Times New Roman"/>
                <w:b/>
                <w:lang w:val="bg-BG"/>
              </w:rPr>
              <w:t>Социално-осигурени лица</w:t>
            </w:r>
          </w:p>
        </w:tc>
      </w:tr>
      <w:tr w:rsidR="00527038" w:rsidRPr="00610B1B" w14:paraId="7BDF2C13" w14:textId="77777777" w:rsidTr="00AD3365">
        <w:tc>
          <w:tcPr>
            <w:tcW w:w="909" w:type="dxa"/>
            <w:shd w:val="clear" w:color="auto" w:fill="auto"/>
            <w:noWrap/>
            <w:vAlign w:val="bottom"/>
          </w:tcPr>
          <w:p w14:paraId="2BCAFED3"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Варна</w:t>
            </w:r>
          </w:p>
        </w:tc>
        <w:tc>
          <w:tcPr>
            <w:tcW w:w="1786" w:type="dxa"/>
            <w:shd w:val="clear" w:color="auto" w:fill="auto"/>
            <w:noWrap/>
            <w:vAlign w:val="bottom"/>
          </w:tcPr>
          <w:p w14:paraId="259EBCC5"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Варна</w:t>
            </w:r>
          </w:p>
        </w:tc>
        <w:tc>
          <w:tcPr>
            <w:tcW w:w="1841" w:type="dxa"/>
            <w:shd w:val="clear" w:color="auto" w:fill="auto"/>
            <w:noWrap/>
            <w:vAlign w:val="bottom"/>
          </w:tcPr>
          <w:p w14:paraId="55BC9C6B"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58.08%</w:t>
            </w:r>
          </w:p>
        </w:tc>
        <w:tc>
          <w:tcPr>
            <w:tcW w:w="1620" w:type="dxa"/>
            <w:shd w:val="clear" w:color="auto" w:fill="auto"/>
            <w:noWrap/>
            <w:vAlign w:val="bottom"/>
          </w:tcPr>
          <w:p w14:paraId="3FC9A052"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51.57%</w:t>
            </w:r>
          </w:p>
        </w:tc>
        <w:tc>
          <w:tcPr>
            <w:tcW w:w="2070" w:type="dxa"/>
            <w:shd w:val="clear" w:color="auto" w:fill="auto"/>
            <w:noWrap/>
            <w:vAlign w:val="bottom"/>
          </w:tcPr>
          <w:p w14:paraId="35182F66"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47.69%</w:t>
            </w:r>
          </w:p>
        </w:tc>
      </w:tr>
      <w:tr w:rsidR="00527038" w:rsidRPr="00610B1B" w14:paraId="2764DEBF" w14:textId="77777777" w:rsidTr="00AD3365">
        <w:tc>
          <w:tcPr>
            <w:tcW w:w="909" w:type="dxa"/>
            <w:shd w:val="clear" w:color="auto" w:fill="auto"/>
            <w:noWrap/>
            <w:vAlign w:val="bottom"/>
          </w:tcPr>
          <w:p w14:paraId="3BAAD4CE" w14:textId="16858A3C" w:rsidR="00527038" w:rsidRPr="00610B1B" w:rsidRDefault="00492F69"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Бургас</w:t>
            </w:r>
          </w:p>
        </w:tc>
        <w:tc>
          <w:tcPr>
            <w:tcW w:w="1786" w:type="dxa"/>
            <w:shd w:val="clear" w:color="auto" w:fill="auto"/>
            <w:noWrap/>
            <w:vAlign w:val="bottom"/>
          </w:tcPr>
          <w:p w14:paraId="23B2BF13"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Бургас</w:t>
            </w:r>
          </w:p>
        </w:tc>
        <w:tc>
          <w:tcPr>
            <w:tcW w:w="1841" w:type="dxa"/>
            <w:shd w:val="clear" w:color="auto" w:fill="auto"/>
            <w:noWrap/>
            <w:vAlign w:val="bottom"/>
          </w:tcPr>
          <w:p w14:paraId="1B590662"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21.69%</w:t>
            </w:r>
          </w:p>
        </w:tc>
        <w:tc>
          <w:tcPr>
            <w:tcW w:w="1620" w:type="dxa"/>
            <w:shd w:val="clear" w:color="auto" w:fill="auto"/>
            <w:noWrap/>
            <w:vAlign w:val="bottom"/>
          </w:tcPr>
          <w:p w14:paraId="4156A635"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20.67%</w:t>
            </w:r>
          </w:p>
        </w:tc>
        <w:tc>
          <w:tcPr>
            <w:tcW w:w="2070" w:type="dxa"/>
            <w:shd w:val="clear" w:color="auto" w:fill="auto"/>
            <w:noWrap/>
            <w:vAlign w:val="bottom"/>
          </w:tcPr>
          <w:p w14:paraId="34331978"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21.06%</w:t>
            </w:r>
          </w:p>
        </w:tc>
      </w:tr>
      <w:tr w:rsidR="00527038" w:rsidRPr="00610B1B" w14:paraId="422E04FE" w14:textId="77777777" w:rsidTr="00AD3365">
        <w:tc>
          <w:tcPr>
            <w:tcW w:w="909" w:type="dxa"/>
            <w:shd w:val="clear" w:color="auto" w:fill="auto"/>
            <w:noWrap/>
            <w:vAlign w:val="bottom"/>
          </w:tcPr>
          <w:p w14:paraId="63C20A2B" w14:textId="512BAF0C" w:rsidR="00527038" w:rsidRPr="00610B1B" w:rsidRDefault="00492F69"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Бургас</w:t>
            </w:r>
          </w:p>
        </w:tc>
        <w:tc>
          <w:tcPr>
            <w:tcW w:w="1786" w:type="dxa"/>
            <w:shd w:val="clear" w:color="auto" w:fill="auto"/>
            <w:noWrap/>
            <w:vAlign w:val="bottom"/>
          </w:tcPr>
          <w:p w14:paraId="260D0A16"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Несебър</w:t>
            </w:r>
          </w:p>
        </w:tc>
        <w:tc>
          <w:tcPr>
            <w:tcW w:w="1841" w:type="dxa"/>
            <w:shd w:val="clear" w:color="auto" w:fill="auto"/>
            <w:noWrap/>
            <w:vAlign w:val="bottom"/>
          </w:tcPr>
          <w:p w14:paraId="5D48A823"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8.03%</w:t>
            </w:r>
          </w:p>
        </w:tc>
        <w:tc>
          <w:tcPr>
            <w:tcW w:w="1620" w:type="dxa"/>
            <w:shd w:val="clear" w:color="auto" w:fill="auto"/>
            <w:noWrap/>
            <w:vAlign w:val="bottom"/>
          </w:tcPr>
          <w:p w14:paraId="47671EC1"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7.26%</w:t>
            </w:r>
          </w:p>
        </w:tc>
        <w:tc>
          <w:tcPr>
            <w:tcW w:w="2070" w:type="dxa"/>
            <w:shd w:val="clear" w:color="auto" w:fill="auto"/>
            <w:noWrap/>
            <w:vAlign w:val="bottom"/>
          </w:tcPr>
          <w:p w14:paraId="5A13BC5C"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12.19%</w:t>
            </w:r>
          </w:p>
        </w:tc>
      </w:tr>
      <w:tr w:rsidR="00527038" w:rsidRPr="00610B1B" w14:paraId="05993CD4" w14:textId="77777777" w:rsidTr="00AD3365">
        <w:tc>
          <w:tcPr>
            <w:tcW w:w="909" w:type="dxa"/>
            <w:shd w:val="clear" w:color="auto" w:fill="auto"/>
            <w:noWrap/>
            <w:vAlign w:val="bottom"/>
          </w:tcPr>
          <w:p w14:paraId="7A824981" w14:textId="31101EE5" w:rsidR="00527038" w:rsidRPr="00610B1B" w:rsidRDefault="00492F69"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Добрич</w:t>
            </w:r>
          </w:p>
        </w:tc>
        <w:tc>
          <w:tcPr>
            <w:tcW w:w="1786" w:type="dxa"/>
            <w:shd w:val="clear" w:color="auto" w:fill="auto"/>
            <w:noWrap/>
            <w:vAlign w:val="bottom"/>
          </w:tcPr>
          <w:p w14:paraId="734AD3C5"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Балчик</w:t>
            </w:r>
          </w:p>
        </w:tc>
        <w:tc>
          <w:tcPr>
            <w:tcW w:w="1841" w:type="dxa"/>
            <w:shd w:val="clear" w:color="auto" w:fill="auto"/>
            <w:noWrap/>
            <w:vAlign w:val="bottom"/>
          </w:tcPr>
          <w:p w14:paraId="18AB1ACA"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6.24%</w:t>
            </w:r>
          </w:p>
        </w:tc>
        <w:tc>
          <w:tcPr>
            <w:tcW w:w="1620" w:type="dxa"/>
            <w:shd w:val="clear" w:color="auto" w:fill="auto"/>
            <w:noWrap/>
            <w:vAlign w:val="bottom"/>
          </w:tcPr>
          <w:p w14:paraId="772F7259"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13.68%</w:t>
            </w:r>
          </w:p>
        </w:tc>
        <w:tc>
          <w:tcPr>
            <w:tcW w:w="2070" w:type="dxa"/>
            <w:shd w:val="clear" w:color="auto" w:fill="auto"/>
            <w:noWrap/>
            <w:vAlign w:val="bottom"/>
          </w:tcPr>
          <w:p w14:paraId="7242BEA9"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8.40%</w:t>
            </w:r>
          </w:p>
        </w:tc>
      </w:tr>
      <w:tr w:rsidR="00527038" w:rsidRPr="00610B1B" w14:paraId="725C1FC7" w14:textId="77777777" w:rsidTr="00AD3365">
        <w:tc>
          <w:tcPr>
            <w:tcW w:w="909" w:type="dxa"/>
            <w:shd w:val="clear" w:color="auto" w:fill="auto"/>
            <w:noWrap/>
            <w:vAlign w:val="bottom"/>
          </w:tcPr>
          <w:p w14:paraId="62BF45FD" w14:textId="197F6E52" w:rsidR="00527038" w:rsidRPr="00610B1B" w:rsidRDefault="00492F69"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 xml:space="preserve">Бургас </w:t>
            </w:r>
          </w:p>
        </w:tc>
        <w:tc>
          <w:tcPr>
            <w:tcW w:w="1786" w:type="dxa"/>
            <w:shd w:val="clear" w:color="auto" w:fill="auto"/>
            <w:noWrap/>
            <w:vAlign w:val="bottom"/>
          </w:tcPr>
          <w:p w14:paraId="5EECE4DB"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Поморие</w:t>
            </w:r>
          </w:p>
        </w:tc>
        <w:tc>
          <w:tcPr>
            <w:tcW w:w="1841" w:type="dxa"/>
            <w:shd w:val="clear" w:color="auto" w:fill="auto"/>
            <w:noWrap/>
            <w:vAlign w:val="bottom"/>
          </w:tcPr>
          <w:p w14:paraId="41149F9E"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2.23%</w:t>
            </w:r>
          </w:p>
        </w:tc>
        <w:tc>
          <w:tcPr>
            <w:tcW w:w="1620" w:type="dxa"/>
            <w:shd w:val="clear" w:color="auto" w:fill="auto"/>
            <w:noWrap/>
            <w:vAlign w:val="bottom"/>
          </w:tcPr>
          <w:p w14:paraId="4F3C461E"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1.38%</w:t>
            </w:r>
          </w:p>
        </w:tc>
        <w:tc>
          <w:tcPr>
            <w:tcW w:w="2070" w:type="dxa"/>
            <w:shd w:val="clear" w:color="auto" w:fill="auto"/>
            <w:noWrap/>
            <w:vAlign w:val="bottom"/>
          </w:tcPr>
          <w:p w14:paraId="565ABEF2"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2.99%</w:t>
            </w:r>
          </w:p>
        </w:tc>
      </w:tr>
      <w:tr w:rsidR="00527038" w:rsidRPr="00610B1B" w14:paraId="1E796547" w14:textId="77777777" w:rsidTr="00AD3365">
        <w:tc>
          <w:tcPr>
            <w:tcW w:w="909" w:type="dxa"/>
            <w:shd w:val="clear" w:color="auto" w:fill="auto"/>
            <w:noWrap/>
            <w:vAlign w:val="bottom"/>
          </w:tcPr>
          <w:p w14:paraId="533C1BA3"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Бургас</w:t>
            </w:r>
          </w:p>
        </w:tc>
        <w:tc>
          <w:tcPr>
            <w:tcW w:w="1786" w:type="dxa"/>
            <w:shd w:val="clear" w:color="auto" w:fill="auto"/>
            <w:noWrap/>
            <w:vAlign w:val="bottom"/>
          </w:tcPr>
          <w:p w14:paraId="43FD3047"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Созопол</w:t>
            </w:r>
          </w:p>
        </w:tc>
        <w:tc>
          <w:tcPr>
            <w:tcW w:w="1841" w:type="dxa"/>
            <w:shd w:val="clear" w:color="auto" w:fill="auto"/>
            <w:noWrap/>
            <w:vAlign w:val="bottom"/>
          </w:tcPr>
          <w:p w14:paraId="6331FB7E"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1.14%</w:t>
            </w:r>
          </w:p>
        </w:tc>
        <w:tc>
          <w:tcPr>
            <w:tcW w:w="1620" w:type="dxa"/>
            <w:shd w:val="clear" w:color="auto" w:fill="auto"/>
            <w:noWrap/>
            <w:vAlign w:val="bottom"/>
          </w:tcPr>
          <w:p w14:paraId="0F89F99A"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1.13%</w:t>
            </w:r>
          </w:p>
        </w:tc>
        <w:tc>
          <w:tcPr>
            <w:tcW w:w="2070" w:type="dxa"/>
            <w:shd w:val="clear" w:color="auto" w:fill="auto"/>
            <w:noWrap/>
            <w:vAlign w:val="bottom"/>
          </w:tcPr>
          <w:p w14:paraId="3B3940D8"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1.84%</w:t>
            </w:r>
          </w:p>
        </w:tc>
      </w:tr>
      <w:tr w:rsidR="00527038" w:rsidRPr="00610B1B" w14:paraId="2DE7309A" w14:textId="77777777" w:rsidTr="00AD3365">
        <w:tc>
          <w:tcPr>
            <w:tcW w:w="909" w:type="dxa"/>
            <w:shd w:val="clear" w:color="auto" w:fill="auto"/>
            <w:noWrap/>
            <w:vAlign w:val="bottom"/>
          </w:tcPr>
          <w:p w14:paraId="322F2139" w14:textId="574CB507" w:rsidR="00527038" w:rsidRPr="00610B1B" w:rsidRDefault="00492F69"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Бургас</w:t>
            </w:r>
          </w:p>
        </w:tc>
        <w:tc>
          <w:tcPr>
            <w:tcW w:w="1786" w:type="dxa"/>
            <w:shd w:val="clear" w:color="auto" w:fill="auto"/>
            <w:noWrap/>
            <w:vAlign w:val="bottom"/>
          </w:tcPr>
          <w:p w14:paraId="551A45AC"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Приморско</w:t>
            </w:r>
          </w:p>
        </w:tc>
        <w:tc>
          <w:tcPr>
            <w:tcW w:w="1841" w:type="dxa"/>
            <w:shd w:val="clear" w:color="auto" w:fill="auto"/>
            <w:noWrap/>
            <w:vAlign w:val="bottom"/>
          </w:tcPr>
          <w:p w14:paraId="6BEFB9A3"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0.97%</w:t>
            </w:r>
          </w:p>
        </w:tc>
        <w:tc>
          <w:tcPr>
            <w:tcW w:w="1620" w:type="dxa"/>
            <w:shd w:val="clear" w:color="auto" w:fill="auto"/>
            <w:noWrap/>
            <w:vAlign w:val="bottom"/>
          </w:tcPr>
          <w:p w14:paraId="66B1A078"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1.59%</w:t>
            </w:r>
          </w:p>
        </w:tc>
        <w:tc>
          <w:tcPr>
            <w:tcW w:w="2070" w:type="dxa"/>
            <w:shd w:val="clear" w:color="auto" w:fill="auto"/>
            <w:noWrap/>
            <w:vAlign w:val="bottom"/>
          </w:tcPr>
          <w:p w14:paraId="4765F7FB"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2.13%</w:t>
            </w:r>
          </w:p>
        </w:tc>
      </w:tr>
      <w:tr w:rsidR="00527038" w:rsidRPr="00610B1B" w14:paraId="229F87F9" w14:textId="77777777" w:rsidTr="00AD3365">
        <w:tc>
          <w:tcPr>
            <w:tcW w:w="909" w:type="dxa"/>
            <w:shd w:val="clear" w:color="auto" w:fill="auto"/>
            <w:noWrap/>
            <w:vAlign w:val="bottom"/>
          </w:tcPr>
          <w:p w14:paraId="19404450" w14:textId="596588DA" w:rsidR="00527038" w:rsidRPr="00610B1B" w:rsidRDefault="00492F69"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Добрич</w:t>
            </w:r>
          </w:p>
        </w:tc>
        <w:tc>
          <w:tcPr>
            <w:tcW w:w="1786" w:type="dxa"/>
            <w:shd w:val="clear" w:color="auto" w:fill="auto"/>
            <w:noWrap/>
            <w:vAlign w:val="bottom"/>
          </w:tcPr>
          <w:p w14:paraId="518965A9"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Каварна</w:t>
            </w:r>
          </w:p>
        </w:tc>
        <w:tc>
          <w:tcPr>
            <w:tcW w:w="1841" w:type="dxa"/>
            <w:shd w:val="clear" w:color="auto" w:fill="auto"/>
            <w:noWrap/>
            <w:vAlign w:val="bottom"/>
          </w:tcPr>
          <w:p w14:paraId="1F0DF1DE"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0.76%</w:t>
            </w:r>
          </w:p>
        </w:tc>
        <w:tc>
          <w:tcPr>
            <w:tcW w:w="1620" w:type="dxa"/>
            <w:shd w:val="clear" w:color="auto" w:fill="auto"/>
            <w:noWrap/>
            <w:vAlign w:val="bottom"/>
          </w:tcPr>
          <w:p w14:paraId="75049395"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1.85%</w:t>
            </w:r>
          </w:p>
        </w:tc>
        <w:tc>
          <w:tcPr>
            <w:tcW w:w="2070" w:type="dxa"/>
            <w:shd w:val="clear" w:color="auto" w:fill="auto"/>
            <w:noWrap/>
            <w:vAlign w:val="bottom"/>
          </w:tcPr>
          <w:p w14:paraId="4B9EB556"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1.56%</w:t>
            </w:r>
          </w:p>
        </w:tc>
      </w:tr>
      <w:tr w:rsidR="00527038" w:rsidRPr="00610B1B" w14:paraId="57737CAF" w14:textId="77777777" w:rsidTr="00AD3365">
        <w:tc>
          <w:tcPr>
            <w:tcW w:w="909" w:type="dxa"/>
            <w:shd w:val="clear" w:color="auto" w:fill="auto"/>
            <w:noWrap/>
            <w:vAlign w:val="bottom"/>
          </w:tcPr>
          <w:p w14:paraId="5D302C3A"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Бургас</w:t>
            </w:r>
          </w:p>
        </w:tc>
        <w:tc>
          <w:tcPr>
            <w:tcW w:w="1786" w:type="dxa"/>
            <w:shd w:val="clear" w:color="auto" w:fill="auto"/>
            <w:noWrap/>
            <w:vAlign w:val="bottom"/>
          </w:tcPr>
          <w:p w14:paraId="1C1DA5EF"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Царево</w:t>
            </w:r>
          </w:p>
        </w:tc>
        <w:tc>
          <w:tcPr>
            <w:tcW w:w="1841" w:type="dxa"/>
            <w:shd w:val="clear" w:color="auto" w:fill="auto"/>
            <w:noWrap/>
            <w:vAlign w:val="bottom"/>
          </w:tcPr>
          <w:p w14:paraId="387374C7"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0.51%</w:t>
            </w:r>
          </w:p>
        </w:tc>
        <w:tc>
          <w:tcPr>
            <w:tcW w:w="1620" w:type="dxa"/>
            <w:shd w:val="clear" w:color="auto" w:fill="auto"/>
            <w:noWrap/>
            <w:vAlign w:val="bottom"/>
          </w:tcPr>
          <w:p w14:paraId="4053BD8D"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0.64%</w:t>
            </w:r>
          </w:p>
        </w:tc>
        <w:tc>
          <w:tcPr>
            <w:tcW w:w="2070" w:type="dxa"/>
            <w:shd w:val="clear" w:color="auto" w:fill="auto"/>
            <w:noWrap/>
            <w:vAlign w:val="bottom"/>
          </w:tcPr>
          <w:p w14:paraId="679B9A18"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1.16%</w:t>
            </w:r>
          </w:p>
        </w:tc>
      </w:tr>
      <w:tr w:rsidR="00527038" w:rsidRPr="00610B1B" w14:paraId="7A339BD0" w14:textId="77777777" w:rsidTr="00AD3365">
        <w:tc>
          <w:tcPr>
            <w:tcW w:w="909" w:type="dxa"/>
            <w:shd w:val="clear" w:color="auto" w:fill="auto"/>
            <w:noWrap/>
            <w:vAlign w:val="bottom"/>
          </w:tcPr>
          <w:p w14:paraId="048329FB" w14:textId="774C5B58" w:rsidR="00527038" w:rsidRPr="00610B1B" w:rsidRDefault="00492F69"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Добрич</w:t>
            </w:r>
          </w:p>
        </w:tc>
        <w:tc>
          <w:tcPr>
            <w:tcW w:w="1786" w:type="dxa"/>
            <w:shd w:val="clear" w:color="auto" w:fill="auto"/>
            <w:noWrap/>
            <w:vAlign w:val="bottom"/>
          </w:tcPr>
          <w:p w14:paraId="36EE44F2"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Шабла</w:t>
            </w:r>
          </w:p>
        </w:tc>
        <w:tc>
          <w:tcPr>
            <w:tcW w:w="1841" w:type="dxa"/>
            <w:shd w:val="clear" w:color="auto" w:fill="auto"/>
            <w:noWrap/>
            <w:vAlign w:val="bottom"/>
          </w:tcPr>
          <w:p w14:paraId="6DD7CBAE"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0.10%</w:t>
            </w:r>
          </w:p>
        </w:tc>
        <w:tc>
          <w:tcPr>
            <w:tcW w:w="1620" w:type="dxa"/>
            <w:shd w:val="clear" w:color="auto" w:fill="auto"/>
            <w:noWrap/>
            <w:vAlign w:val="bottom"/>
          </w:tcPr>
          <w:p w14:paraId="0AADD544"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0.05%</w:t>
            </w:r>
          </w:p>
        </w:tc>
        <w:tc>
          <w:tcPr>
            <w:tcW w:w="2070" w:type="dxa"/>
            <w:shd w:val="clear" w:color="auto" w:fill="auto"/>
            <w:noWrap/>
            <w:vAlign w:val="bottom"/>
          </w:tcPr>
          <w:p w14:paraId="49DB3957"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0.28%</w:t>
            </w:r>
          </w:p>
        </w:tc>
      </w:tr>
      <w:tr w:rsidR="00527038" w:rsidRPr="00610B1B" w14:paraId="3B3A29B3" w14:textId="77777777" w:rsidTr="00AD3365">
        <w:tc>
          <w:tcPr>
            <w:tcW w:w="909" w:type="dxa"/>
            <w:shd w:val="clear" w:color="auto" w:fill="auto"/>
            <w:noWrap/>
            <w:vAlign w:val="bottom"/>
          </w:tcPr>
          <w:p w14:paraId="28ED7945" w14:textId="7CBDB816" w:rsidR="00527038" w:rsidRPr="00610B1B" w:rsidRDefault="00492F69"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Варна</w:t>
            </w:r>
          </w:p>
        </w:tc>
        <w:tc>
          <w:tcPr>
            <w:tcW w:w="1786" w:type="dxa"/>
            <w:shd w:val="clear" w:color="auto" w:fill="auto"/>
            <w:noWrap/>
            <w:vAlign w:val="bottom"/>
          </w:tcPr>
          <w:p w14:paraId="3952058A"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Аксаково</w:t>
            </w:r>
          </w:p>
        </w:tc>
        <w:tc>
          <w:tcPr>
            <w:tcW w:w="1841" w:type="dxa"/>
            <w:shd w:val="clear" w:color="auto" w:fill="auto"/>
            <w:noWrap/>
            <w:vAlign w:val="bottom"/>
          </w:tcPr>
          <w:p w14:paraId="1AAB3ED3"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0.09%</w:t>
            </w:r>
          </w:p>
        </w:tc>
        <w:tc>
          <w:tcPr>
            <w:tcW w:w="1620" w:type="dxa"/>
            <w:shd w:val="clear" w:color="auto" w:fill="auto"/>
            <w:noWrap/>
            <w:vAlign w:val="bottom"/>
          </w:tcPr>
          <w:p w14:paraId="3695E744"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0.04%</w:t>
            </w:r>
          </w:p>
        </w:tc>
        <w:tc>
          <w:tcPr>
            <w:tcW w:w="2070" w:type="dxa"/>
            <w:shd w:val="clear" w:color="auto" w:fill="auto"/>
            <w:noWrap/>
            <w:vAlign w:val="bottom"/>
          </w:tcPr>
          <w:p w14:paraId="2FD5E18A"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0.21%</w:t>
            </w:r>
          </w:p>
        </w:tc>
      </w:tr>
      <w:tr w:rsidR="00527038" w:rsidRPr="00610B1B" w14:paraId="0C69DC7E" w14:textId="77777777" w:rsidTr="00AD3365">
        <w:tc>
          <w:tcPr>
            <w:tcW w:w="909" w:type="dxa"/>
            <w:shd w:val="clear" w:color="auto" w:fill="auto"/>
            <w:noWrap/>
            <w:vAlign w:val="bottom"/>
          </w:tcPr>
          <w:p w14:paraId="415E8534" w14:textId="27CF4CC1" w:rsidR="00527038" w:rsidRPr="00610B1B" w:rsidRDefault="00492F69"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Варна</w:t>
            </w:r>
          </w:p>
        </w:tc>
        <w:tc>
          <w:tcPr>
            <w:tcW w:w="1786" w:type="dxa"/>
            <w:shd w:val="clear" w:color="auto" w:fill="auto"/>
            <w:noWrap/>
            <w:vAlign w:val="bottom"/>
          </w:tcPr>
          <w:p w14:paraId="6228F92D"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Долни чифлик</w:t>
            </w:r>
          </w:p>
        </w:tc>
        <w:tc>
          <w:tcPr>
            <w:tcW w:w="1841" w:type="dxa"/>
            <w:shd w:val="clear" w:color="auto" w:fill="auto"/>
            <w:noWrap/>
            <w:vAlign w:val="bottom"/>
          </w:tcPr>
          <w:p w14:paraId="58EC12A8"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0.08%</w:t>
            </w:r>
          </w:p>
        </w:tc>
        <w:tc>
          <w:tcPr>
            <w:tcW w:w="1620" w:type="dxa"/>
            <w:shd w:val="clear" w:color="auto" w:fill="auto"/>
            <w:noWrap/>
            <w:vAlign w:val="bottom"/>
          </w:tcPr>
          <w:p w14:paraId="739492AA"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0.06%</w:t>
            </w:r>
          </w:p>
        </w:tc>
        <w:tc>
          <w:tcPr>
            <w:tcW w:w="2070" w:type="dxa"/>
            <w:shd w:val="clear" w:color="auto" w:fill="auto"/>
            <w:noWrap/>
            <w:vAlign w:val="bottom"/>
          </w:tcPr>
          <w:p w14:paraId="25CB8995"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0.25%</w:t>
            </w:r>
          </w:p>
        </w:tc>
      </w:tr>
      <w:tr w:rsidR="00527038" w:rsidRPr="00610B1B" w14:paraId="161C1421" w14:textId="77777777" w:rsidTr="00AD3365">
        <w:tc>
          <w:tcPr>
            <w:tcW w:w="909" w:type="dxa"/>
            <w:shd w:val="clear" w:color="auto" w:fill="auto"/>
            <w:noWrap/>
            <w:vAlign w:val="bottom"/>
          </w:tcPr>
          <w:p w14:paraId="543C8C90" w14:textId="7AC82B5F" w:rsidR="00527038" w:rsidRPr="00610B1B" w:rsidRDefault="00492F69"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Варна</w:t>
            </w:r>
          </w:p>
        </w:tc>
        <w:tc>
          <w:tcPr>
            <w:tcW w:w="1786" w:type="dxa"/>
            <w:shd w:val="clear" w:color="auto" w:fill="auto"/>
            <w:noWrap/>
            <w:vAlign w:val="bottom"/>
          </w:tcPr>
          <w:p w14:paraId="31E95265"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Бяла</w:t>
            </w:r>
          </w:p>
        </w:tc>
        <w:tc>
          <w:tcPr>
            <w:tcW w:w="1841" w:type="dxa"/>
            <w:shd w:val="clear" w:color="auto" w:fill="auto"/>
            <w:noWrap/>
            <w:vAlign w:val="bottom"/>
          </w:tcPr>
          <w:p w14:paraId="5F0ABD9D"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0.05%</w:t>
            </w:r>
          </w:p>
        </w:tc>
        <w:tc>
          <w:tcPr>
            <w:tcW w:w="1620" w:type="dxa"/>
            <w:shd w:val="clear" w:color="auto" w:fill="auto"/>
            <w:noWrap/>
            <w:vAlign w:val="bottom"/>
          </w:tcPr>
          <w:p w14:paraId="3A191078"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0.07%</w:t>
            </w:r>
          </w:p>
        </w:tc>
        <w:tc>
          <w:tcPr>
            <w:tcW w:w="2070" w:type="dxa"/>
            <w:shd w:val="clear" w:color="auto" w:fill="auto"/>
            <w:noWrap/>
            <w:vAlign w:val="bottom"/>
          </w:tcPr>
          <w:p w14:paraId="6E999CAA"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0.15%</w:t>
            </w:r>
          </w:p>
        </w:tc>
      </w:tr>
      <w:tr w:rsidR="00527038" w:rsidRPr="00610B1B" w14:paraId="4F59FB28" w14:textId="77777777" w:rsidTr="00AD3365">
        <w:tc>
          <w:tcPr>
            <w:tcW w:w="909" w:type="dxa"/>
            <w:shd w:val="clear" w:color="auto" w:fill="auto"/>
            <w:noWrap/>
            <w:vAlign w:val="bottom"/>
          </w:tcPr>
          <w:p w14:paraId="4E3CFEE5"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Варна</w:t>
            </w:r>
          </w:p>
        </w:tc>
        <w:tc>
          <w:tcPr>
            <w:tcW w:w="1786" w:type="dxa"/>
            <w:shd w:val="clear" w:color="auto" w:fill="auto"/>
            <w:noWrap/>
            <w:vAlign w:val="bottom"/>
          </w:tcPr>
          <w:p w14:paraId="150B66EB" w14:textId="77777777" w:rsidR="00527038" w:rsidRPr="00610B1B" w:rsidRDefault="00527038" w:rsidP="00097B37">
            <w:pPr>
              <w:spacing w:before="20" w:after="20" w:line="240" w:lineRule="auto"/>
              <w:rPr>
                <w:rFonts w:ascii="Times New Roman" w:hAnsi="Times New Roman" w:cs="Times New Roman"/>
                <w:lang w:val="bg-BG"/>
              </w:rPr>
            </w:pPr>
            <w:r w:rsidRPr="00610B1B">
              <w:rPr>
                <w:rFonts w:ascii="Times New Roman" w:hAnsi="Times New Roman" w:cs="Times New Roman"/>
                <w:lang w:val="bg-BG"/>
              </w:rPr>
              <w:t>Аврен</w:t>
            </w:r>
          </w:p>
        </w:tc>
        <w:tc>
          <w:tcPr>
            <w:tcW w:w="1841" w:type="dxa"/>
            <w:shd w:val="clear" w:color="auto" w:fill="auto"/>
            <w:noWrap/>
            <w:vAlign w:val="bottom"/>
          </w:tcPr>
          <w:p w14:paraId="71780309"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0.03%</w:t>
            </w:r>
          </w:p>
        </w:tc>
        <w:tc>
          <w:tcPr>
            <w:tcW w:w="1620" w:type="dxa"/>
            <w:shd w:val="clear" w:color="auto" w:fill="auto"/>
            <w:noWrap/>
            <w:vAlign w:val="bottom"/>
          </w:tcPr>
          <w:p w14:paraId="24195CEB"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0.01%</w:t>
            </w:r>
          </w:p>
        </w:tc>
        <w:tc>
          <w:tcPr>
            <w:tcW w:w="2070" w:type="dxa"/>
            <w:shd w:val="clear" w:color="auto" w:fill="auto"/>
            <w:noWrap/>
            <w:vAlign w:val="bottom"/>
          </w:tcPr>
          <w:p w14:paraId="7C0E6588" w14:textId="77777777" w:rsidR="00527038" w:rsidRPr="00610B1B" w:rsidRDefault="00527038" w:rsidP="00097B37">
            <w:pPr>
              <w:spacing w:before="20" w:after="20" w:line="240" w:lineRule="auto"/>
              <w:jc w:val="right"/>
              <w:rPr>
                <w:rFonts w:ascii="Times New Roman" w:hAnsi="Times New Roman" w:cs="Times New Roman"/>
                <w:lang w:val="bg-BG"/>
              </w:rPr>
            </w:pPr>
            <w:r w:rsidRPr="00610B1B">
              <w:rPr>
                <w:rFonts w:ascii="Times New Roman" w:hAnsi="Times New Roman" w:cs="Times New Roman"/>
                <w:lang w:val="bg-BG"/>
              </w:rPr>
              <w:t>0.09%</w:t>
            </w:r>
          </w:p>
        </w:tc>
      </w:tr>
      <w:tr w:rsidR="00527038" w:rsidRPr="00610B1B" w14:paraId="2A372EF3" w14:textId="77777777" w:rsidTr="00AD3365">
        <w:tc>
          <w:tcPr>
            <w:tcW w:w="909" w:type="dxa"/>
            <w:shd w:val="clear" w:color="auto" w:fill="auto"/>
            <w:noWrap/>
            <w:vAlign w:val="bottom"/>
          </w:tcPr>
          <w:p w14:paraId="4A0504F9" w14:textId="77777777" w:rsidR="00527038" w:rsidRPr="00610B1B" w:rsidRDefault="00527038" w:rsidP="00097B37">
            <w:pPr>
              <w:spacing w:before="20" w:after="20" w:line="240" w:lineRule="auto"/>
              <w:rPr>
                <w:rFonts w:ascii="Times New Roman" w:hAnsi="Times New Roman" w:cs="Times New Roman"/>
                <w:b/>
                <w:lang w:val="bg-BG"/>
              </w:rPr>
            </w:pPr>
            <w:r w:rsidRPr="00610B1B">
              <w:rPr>
                <w:rFonts w:ascii="Times New Roman" w:hAnsi="Times New Roman" w:cs="Times New Roman"/>
                <w:b/>
                <w:lang w:val="bg-BG"/>
              </w:rPr>
              <w:t>Общо</w:t>
            </w:r>
          </w:p>
        </w:tc>
        <w:tc>
          <w:tcPr>
            <w:tcW w:w="1786" w:type="dxa"/>
            <w:shd w:val="clear" w:color="auto" w:fill="auto"/>
            <w:noWrap/>
            <w:vAlign w:val="bottom"/>
          </w:tcPr>
          <w:p w14:paraId="3D9C9D53" w14:textId="77777777" w:rsidR="00527038" w:rsidRPr="00610B1B" w:rsidRDefault="00527038" w:rsidP="00097B37">
            <w:pPr>
              <w:spacing w:before="20" w:after="20" w:line="240" w:lineRule="auto"/>
              <w:rPr>
                <w:rFonts w:ascii="Times New Roman" w:hAnsi="Times New Roman" w:cs="Times New Roman"/>
                <w:b/>
                <w:lang w:val="bg-BG"/>
              </w:rPr>
            </w:pPr>
          </w:p>
        </w:tc>
        <w:tc>
          <w:tcPr>
            <w:tcW w:w="1841" w:type="dxa"/>
            <w:shd w:val="clear" w:color="auto" w:fill="auto"/>
            <w:noWrap/>
            <w:vAlign w:val="bottom"/>
          </w:tcPr>
          <w:p w14:paraId="3C4C3CF7" w14:textId="19EEA31D" w:rsidR="00527038" w:rsidRPr="00610B1B" w:rsidRDefault="00527038" w:rsidP="00097B37">
            <w:pPr>
              <w:spacing w:before="20" w:after="20" w:line="240" w:lineRule="auto"/>
              <w:jc w:val="right"/>
              <w:rPr>
                <w:rFonts w:ascii="Times New Roman" w:hAnsi="Times New Roman" w:cs="Times New Roman"/>
                <w:b/>
                <w:lang w:val="bg-BG"/>
              </w:rPr>
            </w:pPr>
            <w:r w:rsidRPr="00610B1B">
              <w:rPr>
                <w:rFonts w:ascii="Times New Roman" w:hAnsi="Times New Roman" w:cs="Times New Roman"/>
                <w:b/>
                <w:lang w:val="bg-BG"/>
              </w:rPr>
              <w:t>100%</w:t>
            </w:r>
          </w:p>
        </w:tc>
        <w:tc>
          <w:tcPr>
            <w:tcW w:w="1620" w:type="dxa"/>
            <w:shd w:val="clear" w:color="auto" w:fill="auto"/>
            <w:noWrap/>
            <w:vAlign w:val="bottom"/>
          </w:tcPr>
          <w:p w14:paraId="53CB91F7" w14:textId="2D8B4F45" w:rsidR="00527038" w:rsidRPr="00610B1B" w:rsidRDefault="001757A5" w:rsidP="00097B37">
            <w:pPr>
              <w:spacing w:before="20" w:after="20" w:line="240" w:lineRule="auto"/>
              <w:jc w:val="right"/>
              <w:rPr>
                <w:rFonts w:ascii="Times New Roman" w:hAnsi="Times New Roman" w:cs="Times New Roman"/>
                <w:b/>
                <w:lang w:val="bg-BG"/>
              </w:rPr>
            </w:pPr>
            <w:r w:rsidRPr="00610B1B">
              <w:rPr>
                <w:rFonts w:ascii="Times New Roman" w:hAnsi="Times New Roman" w:cs="Times New Roman"/>
                <w:b/>
                <w:lang w:val="bg-BG"/>
              </w:rPr>
              <w:t>100%</w:t>
            </w:r>
          </w:p>
        </w:tc>
        <w:tc>
          <w:tcPr>
            <w:tcW w:w="2070" w:type="dxa"/>
            <w:shd w:val="clear" w:color="auto" w:fill="auto"/>
            <w:noWrap/>
            <w:vAlign w:val="bottom"/>
          </w:tcPr>
          <w:p w14:paraId="43ABA073" w14:textId="6CAA3867" w:rsidR="00527038" w:rsidRPr="00610B1B" w:rsidRDefault="001757A5" w:rsidP="00097B37">
            <w:pPr>
              <w:spacing w:before="20" w:after="20" w:line="240" w:lineRule="auto"/>
              <w:jc w:val="right"/>
              <w:rPr>
                <w:rFonts w:ascii="Times New Roman" w:hAnsi="Times New Roman" w:cs="Times New Roman"/>
                <w:b/>
                <w:lang w:val="bg-BG"/>
              </w:rPr>
            </w:pPr>
            <w:r w:rsidRPr="00610B1B">
              <w:rPr>
                <w:rFonts w:ascii="Times New Roman" w:hAnsi="Times New Roman" w:cs="Times New Roman"/>
                <w:b/>
                <w:lang w:val="bg-BG"/>
              </w:rPr>
              <w:t>100%</w:t>
            </w:r>
          </w:p>
        </w:tc>
      </w:tr>
    </w:tbl>
    <w:p w14:paraId="2210EB95" w14:textId="03F53D0E" w:rsidR="00527038" w:rsidRPr="00610B1B" w:rsidRDefault="00527038" w:rsidP="00D32D6A">
      <w:pPr>
        <w:spacing w:after="120"/>
        <w:ind w:right="-153"/>
        <w:rPr>
          <w:rFonts w:ascii="Times New Roman" w:hAnsi="Times New Roman" w:cs="Times New Roman"/>
          <w:iCs/>
          <w:lang w:val="bg-BG"/>
        </w:rPr>
      </w:pPr>
      <w:r w:rsidRPr="00610B1B">
        <w:rPr>
          <w:rFonts w:ascii="Times New Roman" w:hAnsi="Times New Roman" w:cs="Times New Roman"/>
          <w:iCs/>
          <w:lang w:val="bg-BG"/>
        </w:rPr>
        <w:t>Източник:</w:t>
      </w:r>
      <w:r w:rsidR="00D66FE0" w:rsidRPr="00610B1B">
        <w:rPr>
          <w:rFonts w:ascii="Times New Roman" w:hAnsi="Times New Roman" w:cs="Times New Roman"/>
          <w:iCs/>
          <w:lang w:val="bg-BG"/>
        </w:rPr>
        <w:t xml:space="preserve"> </w:t>
      </w:r>
      <w:r w:rsidRPr="00610B1B">
        <w:rPr>
          <w:rFonts w:ascii="Times New Roman" w:hAnsi="Times New Roman" w:cs="Times New Roman"/>
          <w:iCs/>
          <w:lang w:val="bg-BG"/>
        </w:rPr>
        <w:t>Търговски регистър, собствени изчисления</w:t>
      </w:r>
    </w:p>
    <w:p w14:paraId="7E2A7BA8" w14:textId="60728003" w:rsidR="00527038" w:rsidRPr="00610B1B" w:rsidRDefault="007A72D9"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Представеният по-долу </w:t>
      </w:r>
      <w:r w:rsidR="00527038" w:rsidRPr="00610B1B">
        <w:rPr>
          <w:rFonts w:ascii="Times New Roman" w:hAnsi="Times New Roman" w:cs="Times New Roman"/>
          <w:sz w:val="24"/>
          <w:szCs w:val="24"/>
          <w:lang w:val="bg-BG"/>
        </w:rPr>
        <w:t>преглед на секторите на морската икономика в страната</w:t>
      </w:r>
      <w:r w:rsidRPr="00610B1B">
        <w:rPr>
          <w:rFonts w:ascii="Times New Roman" w:hAnsi="Times New Roman" w:cs="Times New Roman"/>
          <w:sz w:val="24"/>
          <w:szCs w:val="24"/>
          <w:lang w:val="bg-BG"/>
        </w:rPr>
        <w:t xml:space="preserve"> </w:t>
      </w:r>
      <w:r w:rsidR="00DD507D" w:rsidRPr="00610B1B">
        <w:rPr>
          <w:rFonts w:ascii="Times New Roman" w:hAnsi="Times New Roman" w:cs="Times New Roman"/>
          <w:sz w:val="24"/>
          <w:szCs w:val="24"/>
          <w:lang w:val="bg-BG"/>
        </w:rPr>
        <w:t xml:space="preserve">следва класификацията, използвана в ЕС и </w:t>
      </w:r>
      <w:r w:rsidRPr="00610B1B">
        <w:rPr>
          <w:rFonts w:ascii="Times New Roman" w:hAnsi="Times New Roman" w:cs="Times New Roman"/>
          <w:sz w:val="24"/>
          <w:szCs w:val="24"/>
          <w:lang w:val="bg-BG"/>
        </w:rPr>
        <w:t>допълва секторните анализи, предимствата и недостатъците на съществуващата инфраструктура и дейност.</w:t>
      </w:r>
    </w:p>
    <w:p w14:paraId="3ED6D5A4" w14:textId="40E16AC8" w:rsidR="00527038" w:rsidRPr="00610B1B" w:rsidRDefault="00527038" w:rsidP="00D32D6A">
      <w:pPr>
        <w:pStyle w:val="Heading3"/>
        <w:spacing w:before="0" w:line="276" w:lineRule="auto"/>
        <w:ind w:right="-153"/>
        <w:rPr>
          <w:rFonts w:cs="Times New Roman"/>
          <w:caps/>
        </w:rPr>
      </w:pPr>
      <w:bookmarkStart w:id="387" w:name="_Toc83391393"/>
      <w:r w:rsidRPr="00610B1B">
        <w:rPr>
          <w:rFonts w:cs="Times New Roman"/>
          <w:caps/>
        </w:rPr>
        <w:lastRenderedPageBreak/>
        <w:t xml:space="preserve">3.6.2. </w:t>
      </w:r>
      <w:r w:rsidRPr="00610B1B">
        <w:rPr>
          <w:rFonts w:cs="Times New Roman"/>
        </w:rPr>
        <w:t>Крайбрежен туризъм</w:t>
      </w:r>
      <w:bookmarkEnd w:id="387"/>
    </w:p>
    <w:p w14:paraId="52CEC6EC" w14:textId="77777777"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Крайбрежният туризъм представлява 66% от работните места, 52% от оборота и 55% от БДС в морската икономика на България през 2017 г. Всички дейности на сектора нарастват значително през анализирания период като оборот. </w:t>
      </w:r>
    </w:p>
    <w:p w14:paraId="61B23D79" w14:textId="24D836D6"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Най-бързо развиващ сектор е „Настаняване”, в който през 2017 г. БДС е с прираст от 88% спрямо 2009 г. и достига 273 млн.евро Този резултат е постигнат с 26 хил.</w:t>
      </w:r>
      <w:r w:rsidR="00D80B15"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заети лица (нарастване от 10% спрямо 2009 г.). Реализираните нощувки в крайбрежния туризъм през целия период са в рамките на 65% (2009 г.) - 66% (2018 г.) от общите за страната.</w:t>
      </w:r>
      <w:r w:rsidR="00D66FE0" w:rsidRPr="00610B1B">
        <w:rPr>
          <w:rFonts w:ascii="Times New Roman" w:hAnsi="Times New Roman" w:cs="Times New Roman"/>
          <w:sz w:val="24"/>
          <w:szCs w:val="24"/>
          <w:lang w:val="bg-BG"/>
        </w:rPr>
        <w:t xml:space="preserve"> </w:t>
      </w:r>
    </w:p>
    <w:p w14:paraId="6443C027" w14:textId="31CA6235" w:rsidR="00527038" w:rsidRPr="00610B1B" w:rsidRDefault="00B62269" w:rsidP="00D32D6A">
      <w:pPr>
        <w:spacing w:after="120"/>
        <w:ind w:right="-153"/>
        <w:rPr>
          <w:rFonts w:ascii="Times New Roman" w:hAnsi="Times New Roman" w:cs="Times New Roman"/>
          <w:bCs/>
          <w:sz w:val="24"/>
          <w:szCs w:val="24"/>
          <w:lang w:val="bg-BG"/>
        </w:rPr>
      </w:pPr>
      <w:bookmarkStart w:id="388" w:name="_Toc83391493"/>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30</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527038" w:rsidRPr="00610B1B">
        <w:rPr>
          <w:rFonts w:ascii="Times New Roman" w:hAnsi="Times New Roman" w:cs="Times New Roman"/>
          <w:bCs/>
          <w:sz w:val="24"/>
          <w:szCs w:val="24"/>
          <w:lang w:val="bg-BG"/>
        </w:rPr>
        <w:t>Брой средства за подслон и места за настаняване –по общини</w:t>
      </w:r>
      <w:bookmarkEnd w:id="388"/>
    </w:p>
    <w:p w14:paraId="162F7F6C" w14:textId="33779AA2" w:rsidR="00527038" w:rsidRPr="00610B1B" w:rsidRDefault="0004160B" w:rsidP="00D32D6A">
      <w:pPr>
        <w:spacing w:after="120"/>
        <w:ind w:right="-153"/>
        <w:jc w:val="both"/>
        <w:rPr>
          <w:rFonts w:ascii="Times New Roman" w:hAnsi="Times New Roman" w:cs="Times New Roman"/>
          <w:lang w:val="bg-BG"/>
        </w:rPr>
      </w:pPr>
      <w:r w:rsidRPr="00610B1B">
        <w:rPr>
          <w:rFonts w:ascii="Times New Roman" w:hAnsi="Times New Roman" w:cs="Times New Roman"/>
          <w:noProof/>
          <w:lang w:val="bg-BG" w:eastAsia="bg-BG"/>
        </w:rPr>
        <w:drawing>
          <wp:inline distT="0" distB="0" distL="0" distR="0" wp14:anchorId="0E740D26" wp14:editId="3FD08A79">
            <wp:extent cx="5186149" cy="3340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204366" cy="3352626"/>
                    </a:xfrm>
                    <a:prstGeom prst="rect">
                      <a:avLst/>
                    </a:prstGeom>
                    <a:noFill/>
                    <a:ln>
                      <a:noFill/>
                    </a:ln>
                    <a:extLst>
                      <a:ext uri="{53640926-AAD7-44D8-BBD7-CCE9431645EC}">
                        <a14:shadowObscured xmlns:a14="http://schemas.microsoft.com/office/drawing/2010/main"/>
                      </a:ext>
                    </a:extLst>
                  </pic:spPr>
                </pic:pic>
              </a:graphicData>
            </a:graphic>
          </wp:inline>
        </w:drawing>
      </w:r>
    </w:p>
    <w:p w14:paraId="37381140" w14:textId="77777777" w:rsidR="00527038" w:rsidRPr="00610B1B" w:rsidRDefault="00527038" w:rsidP="00D32D6A">
      <w:pPr>
        <w:spacing w:after="120"/>
        <w:ind w:right="-153"/>
        <w:rPr>
          <w:rFonts w:ascii="Times New Roman" w:hAnsi="Times New Roman" w:cs="Times New Roman"/>
          <w:iCs/>
          <w:lang w:val="bg-BG"/>
        </w:rPr>
      </w:pPr>
      <w:r w:rsidRPr="00610B1B">
        <w:rPr>
          <w:rFonts w:ascii="Times New Roman" w:hAnsi="Times New Roman" w:cs="Times New Roman"/>
          <w:iCs/>
          <w:lang w:val="bg-BG"/>
        </w:rPr>
        <w:t>Източник: НСИ</w:t>
      </w:r>
    </w:p>
    <w:p w14:paraId="0AEAEE75" w14:textId="77777777" w:rsidR="00B328CF" w:rsidRPr="00610B1B" w:rsidRDefault="00B328CF" w:rsidP="00B328CF">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Най-голямо нарастване на броя на реализираните нощувки за периода се отбелязва в общините Бяла (564%), Царево (268%), Балчик (160%), Приморско (90%), Несебър (87%). Големите общини Варна и Бургас увеличават броя на нощувките с около 40%, Поморие и Созопол – около 60%. Намаление се отчита само в община Шабла.</w:t>
      </w:r>
    </w:p>
    <w:p w14:paraId="342E19EF" w14:textId="3DCBE58A"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 най-висок принос към приходите от крайбрежен туризъм през 2018 г. се оценяват общин</w:t>
      </w:r>
      <w:r w:rsidR="00DD507D" w:rsidRPr="00610B1B">
        <w:rPr>
          <w:rFonts w:ascii="Times New Roman" w:hAnsi="Times New Roman" w:cs="Times New Roman"/>
          <w:sz w:val="24"/>
          <w:szCs w:val="24"/>
          <w:lang w:val="bg-BG"/>
        </w:rPr>
        <w:t>ите</w:t>
      </w:r>
      <w:r w:rsidRPr="00610B1B">
        <w:rPr>
          <w:rFonts w:ascii="Times New Roman" w:hAnsi="Times New Roman" w:cs="Times New Roman"/>
          <w:sz w:val="24"/>
          <w:szCs w:val="24"/>
          <w:lang w:val="bg-BG"/>
        </w:rPr>
        <w:t xml:space="preserve"> Несебър (39%), Варна (29%), Балчик (10%), Приморско (4.5%)</w:t>
      </w:r>
      <w:r w:rsidR="00DD507D" w:rsidRPr="00610B1B">
        <w:rPr>
          <w:rFonts w:ascii="Times New Roman" w:hAnsi="Times New Roman" w:cs="Times New Roman"/>
          <w:sz w:val="24"/>
          <w:szCs w:val="24"/>
          <w:lang w:val="bg-BG"/>
        </w:rPr>
        <w:t xml:space="preserve"> и</w:t>
      </w:r>
      <w:r w:rsidRPr="00610B1B">
        <w:rPr>
          <w:rFonts w:ascii="Times New Roman" w:hAnsi="Times New Roman" w:cs="Times New Roman"/>
          <w:sz w:val="24"/>
          <w:szCs w:val="24"/>
          <w:lang w:val="bg-BG"/>
        </w:rPr>
        <w:t xml:space="preserve"> Созопол (4.2%). Община Бургас се включва с 2.3%.</w:t>
      </w:r>
    </w:p>
    <w:p w14:paraId="5231B5AD" w14:textId="59C5978A" w:rsidR="009907CE" w:rsidRPr="00610B1B" w:rsidRDefault="009907CE" w:rsidP="00D32D6A">
      <w:pPr>
        <w:spacing w:after="120"/>
        <w:ind w:right="-153"/>
        <w:jc w:val="both"/>
        <w:rPr>
          <w:rFonts w:ascii="Times New Roman" w:hAnsi="Times New Roman" w:cs="Times New Roman"/>
          <w:sz w:val="24"/>
          <w:szCs w:val="24"/>
          <w:lang w:val="bg-BG"/>
        </w:rPr>
      </w:pPr>
    </w:p>
    <w:p w14:paraId="0C537CC0" w14:textId="66E7784A" w:rsidR="009907CE" w:rsidRPr="00610B1B" w:rsidRDefault="009907CE" w:rsidP="00D32D6A">
      <w:pPr>
        <w:spacing w:after="120"/>
        <w:ind w:right="-153"/>
        <w:jc w:val="both"/>
        <w:rPr>
          <w:rFonts w:ascii="Times New Roman" w:hAnsi="Times New Roman" w:cs="Times New Roman"/>
          <w:sz w:val="24"/>
          <w:szCs w:val="24"/>
          <w:lang w:val="bg-BG"/>
        </w:rPr>
      </w:pPr>
    </w:p>
    <w:p w14:paraId="58FE91DD" w14:textId="5CCFA7F3" w:rsidR="009907CE" w:rsidRPr="00610B1B" w:rsidRDefault="009907CE" w:rsidP="00D32D6A">
      <w:pPr>
        <w:spacing w:after="120"/>
        <w:ind w:right="-153"/>
        <w:jc w:val="both"/>
        <w:rPr>
          <w:rFonts w:ascii="Times New Roman" w:hAnsi="Times New Roman" w:cs="Times New Roman"/>
          <w:sz w:val="24"/>
          <w:szCs w:val="24"/>
          <w:lang w:val="bg-BG"/>
        </w:rPr>
      </w:pPr>
    </w:p>
    <w:p w14:paraId="35115C1C" w14:textId="4E5E6BB0" w:rsidR="009907CE" w:rsidRPr="00610B1B" w:rsidRDefault="009907CE" w:rsidP="00D32D6A">
      <w:pPr>
        <w:spacing w:after="120"/>
        <w:ind w:right="-153"/>
        <w:jc w:val="both"/>
        <w:rPr>
          <w:rFonts w:ascii="Times New Roman" w:hAnsi="Times New Roman" w:cs="Times New Roman"/>
          <w:sz w:val="24"/>
          <w:szCs w:val="24"/>
          <w:lang w:val="bg-BG"/>
        </w:rPr>
      </w:pPr>
    </w:p>
    <w:p w14:paraId="17560D9D" w14:textId="77777777" w:rsidR="009907CE" w:rsidRPr="00610B1B" w:rsidRDefault="009907CE" w:rsidP="00D32D6A">
      <w:pPr>
        <w:spacing w:after="120"/>
        <w:ind w:right="-153"/>
        <w:jc w:val="both"/>
        <w:rPr>
          <w:rFonts w:ascii="Times New Roman" w:hAnsi="Times New Roman" w:cs="Times New Roman"/>
          <w:sz w:val="24"/>
          <w:szCs w:val="24"/>
          <w:lang w:val="bg-BG"/>
        </w:rPr>
      </w:pPr>
    </w:p>
    <w:p w14:paraId="67A5C774" w14:textId="7CDF769D" w:rsidR="00527038" w:rsidRPr="00610B1B" w:rsidRDefault="00B62269" w:rsidP="00D32D6A">
      <w:pPr>
        <w:spacing w:after="120"/>
        <w:ind w:right="-153"/>
        <w:rPr>
          <w:rFonts w:ascii="Times New Roman" w:hAnsi="Times New Roman" w:cs="Times New Roman"/>
          <w:bCs/>
          <w:sz w:val="24"/>
          <w:szCs w:val="24"/>
          <w:lang w:val="bg-BG"/>
        </w:rPr>
      </w:pPr>
      <w:bookmarkStart w:id="389" w:name="_Toc83391494"/>
      <w:r w:rsidRPr="00610B1B">
        <w:rPr>
          <w:rFonts w:ascii="Times New Roman" w:hAnsi="Times New Roman" w:cs="Times New Roman"/>
          <w:sz w:val="24"/>
          <w:szCs w:val="24"/>
          <w:lang w:val="bg-BG"/>
        </w:rPr>
        <w:lastRenderedPageBreak/>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31</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527038" w:rsidRPr="00610B1B">
        <w:rPr>
          <w:rFonts w:ascii="Times New Roman" w:hAnsi="Times New Roman" w:cs="Times New Roman"/>
          <w:bCs/>
          <w:sz w:val="24"/>
          <w:szCs w:val="24"/>
          <w:lang w:val="bg-BG"/>
        </w:rPr>
        <w:t>Приходи от нощувки – 2018 г. (%)</w:t>
      </w:r>
      <w:bookmarkEnd w:id="389"/>
    </w:p>
    <w:p w14:paraId="5DE1A0FA" w14:textId="4D3CB93B" w:rsidR="00527038" w:rsidRPr="00610B1B" w:rsidRDefault="0004160B" w:rsidP="00D32D6A">
      <w:pPr>
        <w:spacing w:after="120"/>
        <w:ind w:right="-153"/>
        <w:jc w:val="both"/>
        <w:rPr>
          <w:rFonts w:ascii="Times New Roman" w:hAnsi="Times New Roman" w:cs="Times New Roman"/>
          <w:bCs/>
          <w:lang w:val="bg-BG"/>
        </w:rPr>
      </w:pPr>
      <w:r w:rsidRPr="00610B1B">
        <w:rPr>
          <w:rFonts w:ascii="Times New Roman" w:hAnsi="Times New Roman" w:cs="Times New Roman"/>
          <w:iCs/>
          <w:noProof/>
          <w:szCs w:val="18"/>
          <w:lang w:val="bg-BG" w:eastAsia="bg-BG"/>
        </w:rPr>
        <w:drawing>
          <wp:inline distT="0" distB="0" distL="0" distR="0" wp14:anchorId="2D9AEEAB" wp14:editId="2BC2CE9E">
            <wp:extent cx="4320221" cy="273256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81330" cy="2771220"/>
                    </a:xfrm>
                    <a:prstGeom prst="rect">
                      <a:avLst/>
                    </a:prstGeom>
                    <a:noFill/>
                  </pic:spPr>
                </pic:pic>
              </a:graphicData>
            </a:graphic>
          </wp:inline>
        </w:drawing>
      </w:r>
    </w:p>
    <w:p w14:paraId="33E98FFB" w14:textId="23A5DB8B" w:rsidR="00527038" w:rsidRPr="00610B1B" w:rsidRDefault="00527038" w:rsidP="00D32D6A">
      <w:pPr>
        <w:spacing w:after="120"/>
        <w:ind w:right="-153"/>
        <w:rPr>
          <w:rFonts w:ascii="Times New Roman" w:hAnsi="Times New Roman" w:cs="Times New Roman"/>
          <w:iCs/>
          <w:lang w:val="bg-BG"/>
        </w:rPr>
      </w:pPr>
      <w:r w:rsidRPr="00610B1B">
        <w:rPr>
          <w:rFonts w:ascii="Times New Roman" w:hAnsi="Times New Roman" w:cs="Times New Roman"/>
          <w:iCs/>
          <w:lang w:val="bg-BG"/>
        </w:rPr>
        <w:t>Източник: НСИ</w:t>
      </w:r>
    </w:p>
    <w:p w14:paraId="7E026C18" w14:textId="77777777" w:rsidR="00DD507D" w:rsidRPr="00610B1B" w:rsidRDefault="00DD507D" w:rsidP="00D32D6A">
      <w:pPr>
        <w:spacing w:after="120"/>
        <w:ind w:right="-153"/>
        <w:rPr>
          <w:rFonts w:ascii="Times New Roman" w:hAnsi="Times New Roman" w:cs="Times New Roman"/>
          <w:iCs/>
          <w:lang w:val="bg-BG"/>
        </w:rPr>
      </w:pPr>
    </w:p>
    <w:p w14:paraId="22455F03" w14:textId="0DBE44A2" w:rsidR="00527038" w:rsidRPr="00610B1B" w:rsidRDefault="00527038" w:rsidP="00D32D6A">
      <w:pPr>
        <w:pStyle w:val="Heading3"/>
        <w:spacing w:before="0" w:line="276" w:lineRule="auto"/>
        <w:ind w:right="-153"/>
        <w:rPr>
          <w:rFonts w:cs="Times New Roman"/>
        </w:rPr>
      </w:pPr>
      <w:bookmarkStart w:id="390" w:name="_Toc83391394"/>
      <w:r w:rsidRPr="00610B1B">
        <w:rPr>
          <w:rFonts w:cs="Times New Roman"/>
        </w:rPr>
        <w:t>3.6.3. Добив и комерсиализация на морски живи ресурси</w:t>
      </w:r>
      <w:bookmarkEnd w:id="390"/>
    </w:p>
    <w:p w14:paraId="5A5AACDC" w14:textId="3370A6F8" w:rsidR="00527038" w:rsidRPr="00610B1B" w:rsidRDefault="00D80B15" w:rsidP="00D32D6A">
      <w:pPr>
        <w:pStyle w:val="Heading4"/>
        <w:spacing w:before="0" w:line="276" w:lineRule="auto"/>
        <w:ind w:right="-153"/>
        <w:rPr>
          <w:rFonts w:cs="Times New Roman"/>
          <w:caps/>
        </w:rPr>
      </w:pPr>
      <w:bookmarkStart w:id="391" w:name="_Hlk43647130"/>
      <w:r w:rsidRPr="00610B1B">
        <w:rPr>
          <w:rFonts w:cs="Times New Roman"/>
        </w:rPr>
        <w:t xml:space="preserve">3.6.3.1. </w:t>
      </w:r>
      <w:r w:rsidR="00527038" w:rsidRPr="00610B1B">
        <w:rPr>
          <w:rFonts w:cs="Times New Roman"/>
        </w:rPr>
        <w:t>Риболов</w:t>
      </w:r>
    </w:p>
    <w:bookmarkEnd w:id="391"/>
    <w:p w14:paraId="14D71951" w14:textId="5DF9887B"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Според Годишния икономически доклад от 2019 г. </w:t>
      </w:r>
      <w:r w:rsidR="00D80B15" w:rsidRPr="00610B1B">
        <w:rPr>
          <w:rFonts w:ascii="Times New Roman" w:hAnsi="Times New Roman" w:cs="Times New Roman"/>
          <w:sz w:val="24"/>
          <w:szCs w:val="24"/>
          <w:lang w:val="bg-BG"/>
        </w:rPr>
        <w:t>за</w:t>
      </w:r>
      <w:r w:rsidRPr="00610B1B">
        <w:rPr>
          <w:rFonts w:ascii="Times New Roman" w:hAnsi="Times New Roman" w:cs="Times New Roman"/>
          <w:sz w:val="24"/>
          <w:szCs w:val="24"/>
          <w:lang w:val="bg-BG"/>
        </w:rPr>
        <w:t xml:space="preserve"> риболовния флот на ЕС, основните характеристики на флота и икономическите резултати в сектор „Риболов” за България през 2017 г. </w:t>
      </w:r>
      <w:r w:rsidR="00D80B15" w:rsidRPr="00610B1B">
        <w:rPr>
          <w:rFonts w:ascii="Times New Roman" w:hAnsi="Times New Roman" w:cs="Times New Roman"/>
          <w:sz w:val="24"/>
          <w:szCs w:val="24"/>
          <w:lang w:val="bg-BG"/>
        </w:rPr>
        <w:t xml:space="preserve">данните показват, че </w:t>
      </w:r>
      <w:r w:rsidRPr="00610B1B">
        <w:rPr>
          <w:rFonts w:ascii="Times New Roman" w:hAnsi="Times New Roman" w:cs="Times New Roman"/>
          <w:sz w:val="24"/>
          <w:szCs w:val="24"/>
          <w:lang w:val="bg-BG"/>
        </w:rPr>
        <w:t>Българският риболовен флот се състои от 1</w:t>
      </w:r>
      <w:r w:rsidR="00DD507D"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864 регистрирани кораба, от които</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са действали 1</w:t>
      </w:r>
      <w:r w:rsidR="00DD507D"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205. Активният флот има комбиниран брутен тонаж (GT) от 4,78 хиляди тона и средна възраст от 23 години (най-младият по възраст в ЕС).</w:t>
      </w:r>
      <w:r w:rsidR="00D80B15"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Средно българските плавателни съдове са прекарали само 19 дни в морето, следвани от малтийските (33 дни), румънските (36 дни) и хърватските (39 дни).</w:t>
      </w:r>
      <w:r w:rsidRPr="00610B1B">
        <w:rPr>
          <w:rStyle w:val="FootnoteReference"/>
          <w:rFonts w:ascii="Times New Roman" w:hAnsi="Times New Roman" w:cs="Times New Roman"/>
          <w:sz w:val="24"/>
          <w:szCs w:val="24"/>
          <w:lang w:val="bg-BG"/>
        </w:rPr>
        <w:footnoteReference w:id="135"/>
      </w:r>
      <w:r w:rsidR="00ED611F"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Общата заетост на ангажирания екипаж през 2017 г. е оценена на 1</w:t>
      </w:r>
      <w:r w:rsidR="00DD507D"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947 работни места, което отговаря на 716 FTE (пълно работно време) със средно 0,55 FTE на активен кораб. </w:t>
      </w:r>
    </w:p>
    <w:p w14:paraId="1AF30322" w14:textId="77777777"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Брутната добавена стойност, брутната печалба и нетната печалба на риболова са оценени съответно на 3 млн. евро, 1.4 млн. евро и 1.1 млн. евро. До 2014 г. икономическите резултати са постоянно отрицателни, икономическата ситуация за 2015 г. се подобрява и през 2016 г. отново се влошава, но през 2017 г. ситуацията е по-добра по отношение на нетната печалба.</w:t>
      </w:r>
    </w:p>
    <w:p w14:paraId="77CBE67F" w14:textId="45514B45"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 xml:space="preserve">Българският флот има приблизителна стойност на физическия капитал в размер на 13 милиона евро, а инвестициите възлизат на 0,07 млн. евро. Много ниската стойност на инвестициите през 2017 г. </w:t>
      </w:r>
      <w:r w:rsidR="00DD507D" w:rsidRPr="00610B1B">
        <w:rPr>
          <w:rFonts w:ascii="Times New Roman" w:hAnsi="Times New Roman" w:cs="Times New Roman"/>
          <w:sz w:val="24"/>
          <w:szCs w:val="24"/>
          <w:lang w:val="bg-BG"/>
        </w:rPr>
        <w:t>се обяснява</w:t>
      </w:r>
      <w:r w:rsidRPr="00610B1B">
        <w:rPr>
          <w:rFonts w:ascii="Times New Roman" w:hAnsi="Times New Roman" w:cs="Times New Roman"/>
          <w:sz w:val="24"/>
          <w:szCs w:val="24"/>
          <w:lang w:val="bg-BG"/>
        </w:rPr>
        <w:t xml:space="preserve"> с ниския интерес предимно от риболовците на малкия крайбрежен флот и трудния достъп до финансиране от Програмата за морско дело и рибарство 2014-2020 г. Те изразходват собствени средства или използват допълнително финансиране и генерират дългове в размер на близо 0,1 милиона евро. Това може да е и причината за лошите икономически резултати в малкия риболовен флот.</w:t>
      </w:r>
    </w:p>
    <w:p w14:paraId="67066E0B" w14:textId="1C51854F"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Пазарът и търговията като ключов фактор влияят върху дейността, особено за нивото на цените. Вътрешният пазар не е увеличил търсенето на местния риболов, така че уловът е сходен (сравнително ниски нива за малки пелагични, както и за дънни видове). Местните продукти са изправени пред конкуренцията на вносна риба, особено от веригите супермаркети.</w:t>
      </w:r>
      <w:r w:rsidR="00954279"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Младите хора нямат мотивация да работят в сектора или да инвестират пари, поради ниското ниво на интерес от страна на местните власти за осигуряване на минимални условия за развитие на дейности за риболова. </w:t>
      </w:r>
    </w:p>
    <w:p w14:paraId="4D9B6CBF" w14:textId="25B33E1A" w:rsidR="00527038" w:rsidRPr="00610B1B" w:rsidRDefault="00B62269" w:rsidP="00FD59A8">
      <w:pPr>
        <w:spacing w:after="120" w:line="240" w:lineRule="auto"/>
        <w:ind w:right="-153"/>
        <w:rPr>
          <w:rFonts w:ascii="Times New Roman" w:hAnsi="Times New Roman" w:cs="Times New Roman"/>
          <w:bCs/>
          <w:sz w:val="24"/>
          <w:szCs w:val="24"/>
          <w:lang w:val="bg-BG"/>
        </w:rPr>
      </w:pPr>
      <w:bookmarkStart w:id="392" w:name="_Toc83391495"/>
      <w:r w:rsidRPr="00610B1B">
        <w:rPr>
          <w:rFonts w:ascii="Times New Roman" w:hAnsi="Times New Roman" w:cs="Times New Roman"/>
          <w:sz w:val="24"/>
          <w:szCs w:val="24"/>
          <w:lang w:val="bg-BG"/>
        </w:rPr>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32</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00527038" w:rsidRPr="00610B1B">
        <w:rPr>
          <w:rFonts w:ascii="Times New Roman" w:hAnsi="Times New Roman" w:cs="Times New Roman"/>
          <w:bCs/>
          <w:sz w:val="24"/>
          <w:szCs w:val="24"/>
          <w:lang w:val="bg-BG"/>
        </w:rPr>
        <w:t xml:space="preserve">Улови по общини за 2018 г., </w:t>
      </w:r>
      <w:r w:rsidR="00DD507D" w:rsidRPr="00610B1B">
        <w:rPr>
          <w:rFonts w:ascii="Times New Roman" w:hAnsi="Times New Roman" w:cs="Times New Roman"/>
          <w:bCs/>
          <w:sz w:val="24"/>
          <w:szCs w:val="24"/>
          <w:lang w:val="bg-BG"/>
        </w:rPr>
        <w:t>kg</w:t>
      </w:r>
      <w:bookmarkEnd w:id="392"/>
    </w:p>
    <w:p w14:paraId="5EA7C1F6" w14:textId="67DD0807" w:rsidR="00527038" w:rsidRPr="00610B1B" w:rsidRDefault="00CD6DB2" w:rsidP="00FD59A8">
      <w:pPr>
        <w:spacing w:after="0"/>
        <w:ind w:right="-153"/>
        <w:rPr>
          <w:rFonts w:ascii="Times New Roman" w:hAnsi="Times New Roman" w:cs="Times New Roman"/>
          <w:lang w:val="bg-BG"/>
        </w:rPr>
      </w:pPr>
      <w:r w:rsidRPr="00610B1B">
        <w:rPr>
          <w:rFonts w:ascii="Times New Roman" w:hAnsi="Times New Roman" w:cs="Times New Roman"/>
          <w:bCs/>
          <w:noProof/>
          <w:sz w:val="24"/>
          <w:szCs w:val="24"/>
          <w:lang w:val="bg-BG" w:eastAsia="bg-BG"/>
        </w:rPr>
        <w:drawing>
          <wp:inline distT="0" distB="0" distL="0" distR="0" wp14:anchorId="4576AC86" wp14:editId="325F2050">
            <wp:extent cx="3752193" cy="2976991"/>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50">
                      <a:extLst>
                        <a:ext uri="{28A0092B-C50C-407E-A947-70E740481C1C}">
                          <a14:useLocalDpi xmlns:a14="http://schemas.microsoft.com/office/drawing/2010/main" val="0"/>
                        </a:ext>
                      </a:extLst>
                    </a:blip>
                    <a:srcRect l="1674" t="3675" r="1951" b="3035"/>
                    <a:stretch/>
                  </pic:blipFill>
                  <pic:spPr bwMode="auto">
                    <a:xfrm>
                      <a:off x="0" y="0"/>
                      <a:ext cx="3813013" cy="3025246"/>
                    </a:xfrm>
                    <a:prstGeom prst="rect">
                      <a:avLst/>
                    </a:prstGeom>
                    <a:ln>
                      <a:noFill/>
                    </a:ln>
                    <a:extLst>
                      <a:ext uri="{53640926-AAD7-44D8-BBD7-CCE9431645EC}">
                        <a14:shadowObscured xmlns:a14="http://schemas.microsoft.com/office/drawing/2010/main"/>
                      </a:ext>
                    </a:extLst>
                  </pic:spPr>
                </pic:pic>
              </a:graphicData>
            </a:graphic>
          </wp:inline>
        </w:drawing>
      </w:r>
    </w:p>
    <w:p w14:paraId="64C8EDC1" w14:textId="2AF2BAD4" w:rsidR="00527038" w:rsidRPr="00610B1B" w:rsidRDefault="00527038" w:rsidP="00D32D6A">
      <w:pPr>
        <w:spacing w:after="120"/>
        <w:ind w:right="-153"/>
        <w:jc w:val="both"/>
        <w:rPr>
          <w:rFonts w:ascii="Times New Roman" w:hAnsi="Times New Roman" w:cs="Times New Roman"/>
          <w:iCs/>
          <w:lang w:val="bg-BG"/>
        </w:rPr>
      </w:pPr>
      <w:r w:rsidRPr="00610B1B">
        <w:rPr>
          <w:rFonts w:ascii="Times New Roman" w:hAnsi="Times New Roman" w:cs="Times New Roman"/>
          <w:iCs/>
          <w:lang w:val="bg-BG"/>
        </w:rPr>
        <w:t>Източник: Информационна система на ИАРА</w:t>
      </w:r>
    </w:p>
    <w:p w14:paraId="139C7872" w14:textId="77777777" w:rsidR="00954279" w:rsidRPr="00610B1B" w:rsidRDefault="00954279" w:rsidP="00954279">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Уловите на риба по общини варират от 9 322 хил. kg (2013 г.) до 7584 хил. kg (2018 г.). Определена тенденция на силен спад в общия размер на улова се отбелязва в общините Варна, Каварна и Бургас. Спадът на улова на риба през последните години се дължи на намаляването на рибните популации в Черно море. </w:t>
      </w:r>
    </w:p>
    <w:p w14:paraId="0B55FAD4" w14:textId="0B1B8095" w:rsidR="00527038" w:rsidRPr="00610B1B" w:rsidRDefault="00ED611F" w:rsidP="00D32D6A">
      <w:pPr>
        <w:pStyle w:val="Heading4"/>
        <w:spacing w:before="0" w:line="276" w:lineRule="auto"/>
        <w:ind w:right="-153"/>
        <w:rPr>
          <w:rFonts w:cs="Times New Roman"/>
        </w:rPr>
      </w:pPr>
      <w:r w:rsidRPr="00610B1B">
        <w:rPr>
          <w:rFonts w:cs="Times New Roman"/>
        </w:rPr>
        <w:t xml:space="preserve">3.6.3.2. </w:t>
      </w:r>
      <w:r w:rsidR="00527038" w:rsidRPr="00610B1B">
        <w:rPr>
          <w:rFonts w:cs="Times New Roman"/>
        </w:rPr>
        <w:t>Аквакултура</w:t>
      </w:r>
    </w:p>
    <w:p w14:paraId="26D94AF6" w14:textId="77777777" w:rsidR="00ED611F"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Общата тенденция е към увеличаване на производството на миди, както и </w:t>
      </w:r>
      <w:r w:rsidR="00DD507D" w:rsidRPr="00610B1B">
        <w:rPr>
          <w:rFonts w:ascii="Times New Roman" w:hAnsi="Times New Roman" w:cs="Times New Roman"/>
          <w:sz w:val="24"/>
          <w:szCs w:val="24"/>
          <w:lang w:val="bg-BG"/>
        </w:rPr>
        <w:t xml:space="preserve">на </w:t>
      </w:r>
      <w:r w:rsidRPr="00610B1B">
        <w:rPr>
          <w:rFonts w:ascii="Times New Roman" w:hAnsi="Times New Roman" w:cs="Times New Roman"/>
          <w:sz w:val="24"/>
          <w:szCs w:val="24"/>
          <w:lang w:val="bg-BG"/>
        </w:rPr>
        <w:t xml:space="preserve">равнището на заетост в периода 2009–2017 г. В края на 2017 г. функционират 32 стопанства за морски аквакултури (миди), разположени в общините Бургас, Царево, Несебър, Поморие, Созопол, Приморско, Каварна, Варна. </w:t>
      </w:r>
    </w:p>
    <w:p w14:paraId="7C845833" w14:textId="59F854C7"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Според данни от Търговския регистър през 2018 г. в тях са ангажирани около 80 човека (постоянно заети) и около 150 човека през летния сезон. Приходите в края на 2018 г. надхвърлят 5 млн. лв., общата сума на активите – 13 млн.лв.</w:t>
      </w:r>
    </w:p>
    <w:p w14:paraId="7C389DC6" w14:textId="5612958C" w:rsidR="00527038" w:rsidRPr="00610B1B" w:rsidRDefault="00ED611F" w:rsidP="00D32D6A">
      <w:pPr>
        <w:pStyle w:val="Heading4"/>
        <w:spacing w:before="0" w:line="276" w:lineRule="auto"/>
        <w:ind w:right="-153"/>
        <w:rPr>
          <w:rFonts w:cs="Times New Roman"/>
          <w:caps/>
        </w:rPr>
      </w:pPr>
      <w:r w:rsidRPr="00610B1B">
        <w:rPr>
          <w:rFonts w:cs="Times New Roman"/>
        </w:rPr>
        <w:t xml:space="preserve">3.6.3.3. </w:t>
      </w:r>
      <w:r w:rsidR="00527038" w:rsidRPr="00610B1B">
        <w:rPr>
          <w:rFonts w:cs="Times New Roman"/>
        </w:rPr>
        <w:t xml:space="preserve">Преработка на риба и дистрибуция </w:t>
      </w:r>
    </w:p>
    <w:p w14:paraId="2309C1DF" w14:textId="6BF2F17F" w:rsidR="00527038" w:rsidRPr="00610B1B" w:rsidRDefault="00527038" w:rsidP="00D32D6A">
      <w:pPr>
        <w:widowControl w:val="0"/>
        <w:tabs>
          <w:tab w:val="left" w:pos="0"/>
          <w:tab w:val="left" w:pos="9746"/>
        </w:tabs>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bCs/>
          <w:sz w:val="24"/>
          <w:szCs w:val="24"/>
          <w:lang w:val="bg-BG"/>
        </w:rPr>
        <w:t xml:space="preserve">Дейността за преработка и дистрибуция на риба включва преработка и консервиране на риба, търговия на едро с други храни, вкл. риба, продажба на дребно на риба, приготвени храни и ястия. </w:t>
      </w:r>
      <w:r w:rsidR="00ED611F" w:rsidRPr="00610B1B">
        <w:rPr>
          <w:rFonts w:ascii="Times New Roman" w:hAnsi="Times New Roman" w:cs="Times New Roman"/>
          <w:bCs/>
          <w:sz w:val="24"/>
          <w:szCs w:val="24"/>
          <w:lang w:val="bg-BG"/>
        </w:rPr>
        <w:t xml:space="preserve">Въпреки че има потенциал за развитие та аквакултура, </w:t>
      </w:r>
      <w:r w:rsidRPr="00610B1B">
        <w:rPr>
          <w:rFonts w:ascii="Times New Roman" w:hAnsi="Times New Roman" w:cs="Times New Roman"/>
          <w:sz w:val="24"/>
          <w:szCs w:val="24"/>
          <w:lang w:val="bg-BG"/>
        </w:rPr>
        <w:t>България задоволява едва 45% от консумираните количества риба и рибни продукти</w:t>
      </w:r>
      <w:r w:rsidR="00ED611F" w:rsidRPr="00610B1B">
        <w:rPr>
          <w:rFonts w:ascii="Times New Roman" w:hAnsi="Times New Roman" w:cs="Times New Roman"/>
          <w:sz w:val="24"/>
          <w:szCs w:val="24"/>
          <w:lang w:val="bg-BG"/>
        </w:rPr>
        <w:t xml:space="preserve"> на вътрешния пазар</w:t>
      </w:r>
      <w:r w:rsidRPr="00610B1B">
        <w:rPr>
          <w:rFonts w:ascii="Times New Roman" w:hAnsi="Times New Roman" w:cs="Times New Roman"/>
          <w:sz w:val="24"/>
          <w:szCs w:val="24"/>
          <w:lang w:val="bg-BG"/>
        </w:rPr>
        <w:t xml:space="preserve">, като нивото на потребление е в пъти по-ниско от средноевропейските нива на консумация. </w:t>
      </w:r>
    </w:p>
    <w:p w14:paraId="485F551D" w14:textId="3E5D0F2F"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Като производители на риба и рибни продукти в България са регистрирани 36 компании</w:t>
      </w:r>
      <w:r w:rsidRPr="00610B1B">
        <w:rPr>
          <w:rStyle w:val="FootnoteReference"/>
          <w:rFonts w:ascii="Times New Roman" w:hAnsi="Times New Roman" w:cs="Times New Roman"/>
          <w:sz w:val="24"/>
          <w:szCs w:val="24"/>
          <w:lang w:val="bg-BG"/>
        </w:rPr>
        <w:footnoteReference w:id="136"/>
      </w:r>
      <w:r w:rsidRPr="00610B1B">
        <w:rPr>
          <w:rFonts w:ascii="Times New Roman" w:hAnsi="Times New Roman" w:cs="Times New Roman"/>
          <w:sz w:val="24"/>
          <w:szCs w:val="24"/>
          <w:lang w:val="bg-BG"/>
        </w:rPr>
        <w:t>. Териториалното им разположение е основно в общините Бургас, Варна, Несебър, Каварна, Поморие, Созопол, Аксаково, като те са локализирани не само в крайбрежните общини, но и съседни на тях (напр. Айтос). Дейността на тези фирми в много случаи се комбинира с търговия с риба на едро и дребно. Преработката и консервирането на риба е концентрирано във Варна и Бургас, с близо 50% от общия оборот на тази дейност в страната. При нея се наблюдава умерен ръст на приходите от 5% в последните години, които достигат 43.8 млн. лв. през 2017 г.</w:t>
      </w:r>
    </w:p>
    <w:p w14:paraId="131C6601" w14:textId="77777777" w:rsidR="009907CE" w:rsidRPr="00610B1B" w:rsidRDefault="009907CE" w:rsidP="00D32D6A">
      <w:pPr>
        <w:spacing w:after="120"/>
        <w:ind w:right="-153"/>
        <w:jc w:val="both"/>
        <w:rPr>
          <w:rFonts w:ascii="Times New Roman" w:hAnsi="Times New Roman" w:cs="Times New Roman"/>
          <w:sz w:val="24"/>
          <w:szCs w:val="24"/>
          <w:lang w:val="bg-BG"/>
        </w:rPr>
      </w:pPr>
    </w:p>
    <w:p w14:paraId="0C510FDB" w14:textId="3D9A6732" w:rsidR="00527038" w:rsidRPr="00610B1B" w:rsidRDefault="00527038" w:rsidP="00D32D6A">
      <w:pPr>
        <w:pStyle w:val="Heading3"/>
        <w:spacing w:before="0" w:line="276" w:lineRule="auto"/>
        <w:ind w:right="-153"/>
        <w:rPr>
          <w:rFonts w:cs="Times New Roman"/>
        </w:rPr>
      </w:pPr>
      <w:bookmarkStart w:id="393" w:name="_Toc83391395"/>
      <w:r w:rsidRPr="00610B1B">
        <w:rPr>
          <w:rFonts w:cs="Times New Roman"/>
        </w:rPr>
        <w:t>3.6.4. Морски добив от минерали, нефт и газ (Добив на морски неживи ресурси)</w:t>
      </w:r>
      <w:bookmarkEnd w:id="393"/>
    </w:p>
    <w:p w14:paraId="1CDA01A1" w14:textId="6BABF0F2"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На територията на шелфа и изключителната икономическа зона на Р. България в Черно море, към настоящия момент има две действащи площи с действащи разре</w:t>
      </w:r>
      <w:r w:rsidR="008D3D80" w:rsidRPr="00610B1B">
        <w:rPr>
          <w:rFonts w:ascii="Times New Roman" w:hAnsi="Times New Roman" w:cs="Times New Roman"/>
          <w:sz w:val="24"/>
          <w:szCs w:val="24"/>
          <w:lang w:val="bg-BG"/>
        </w:rPr>
        <w:t>ше</w:t>
      </w:r>
      <w:r w:rsidRPr="00610B1B">
        <w:rPr>
          <w:rFonts w:ascii="Times New Roman" w:hAnsi="Times New Roman" w:cs="Times New Roman"/>
          <w:sz w:val="24"/>
          <w:szCs w:val="24"/>
          <w:lang w:val="bg-BG"/>
        </w:rPr>
        <w:t>ния за търсене и проучване на нефт и природен газ:</w:t>
      </w:r>
    </w:p>
    <w:p w14:paraId="727D3263" w14:textId="62D55D47" w:rsidR="00527038" w:rsidRPr="00610B1B" w:rsidRDefault="00527038" w:rsidP="00B46189">
      <w:pPr>
        <w:numPr>
          <w:ilvl w:val="0"/>
          <w:numId w:val="39"/>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Блок 1-14 Силистар/Хан Кубрат (решение № 94/22.02.2019</w:t>
      </w:r>
      <w:r w:rsidR="008D3D80" w:rsidRPr="00610B1B">
        <w:rPr>
          <w:rFonts w:ascii="Times New Roman" w:hAnsi="Times New Roman" w:cs="Times New Roman"/>
          <w:sz w:val="24"/>
          <w:szCs w:val="24"/>
          <w:lang w:val="bg-BG"/>
        </w:rPr>
        <w:t>г.)</w:t>
      </w:r>
      <w:r w:rsidRPr="00610B1B">
        <w:rPr>
          <w:rFonts w:ascii="Times New Roman" w:hAnsi="Times New Roman" w:cs="Times New Roman"/>
          <w:sz w:val="24"/>
          <w:szCs w:val="24"/>
          <w:lang w:val="bg-BG"/>
        </w:rPr>
        <w:t>, с обща площ от 6</w:t>
      </w:r>
      <w:r w:rsidR="008D3D80"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893 </w:t>
      </w:r>
      <w:r w:rsidR="008D3D80" w:rsidRPr="00610B1B">
        <w:rPr>
          <w:rFonts w:ascii="Times New Roman" w:hAnsi="Times New Roman" w:cs="Times New Roman"/>
          <w:sz w:val="24"/>
          <w:szCs w:val="24"/>
          <w:lang w:val="bg-BG"/>
        </w:rPr>
        <w:t>km</w:t>
      </w:r>
      <w:r w:rsidR="008D3D80" w:rsidRPr="00610B1B">
        <w:rPr>
          <w:rFonts w:ascii="Times New Roman" w:hAnsi="Times New Roman" w:cs="Times New Roman"/>
          <w:sz w:val="24"/>
          <w:szCs w:val="24"/>
          <w:vertAlign w:val="superscript"/>
          <w:lang w:val="bg-BG"/>
        </w:rPr>
        <w:t>2</w:t>
      </w:r>
      <w:r w:rsidRPr="00610B1B">
        <w:rPr>
          <w:rFonts w:ascii="Times New Roman" w:hAnsi="Times New Roman" w:cs="Times New Roman"/>
          <w:sz w:val="24"/>
          <w:szCs w:val="24"/>
          <w:lang w:val="bg-BG"/>
        </w:rPr>
        <w:t xml:space="preserve"> за срок за 5 години с титуляр </w:t>
      </w:r>
      <w:r w:rsidR="008D3D8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Шел интернешънъл експлорейшън енд дивелъпмънт Италия с.п.а.</w:t>
      </w:r>
      <w:r w:rsidR="008D3D8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(50%), </w:t>
      </w:r>
      <w:r w:rsidR="008D3D8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Уудсайд енерджи (България) лимитид</w:t>
      </w:r>
      <w:r w:rsidR="008D3D8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(30%) и </w:t>
      </w:r>
      <w:r w:rsidR="008D3D8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Репсол България Хан Кубрат с.а.</w:t>
      </w:r>
      <w:r w:rsidR="008D3D8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(20%).</w:t>
      </w:r>
    </w:p>
    <w:p w14:paraId="4802E2F2" w14:textId="3452A94B" w:rsidR="00527038" w:rsidRPr="00610B1B" w:rsidRDefault="00527038" w:rsidP="00B46189">
      <w:pPr>
        <w:numPr>
          <w:ilvl w:val="0"/>
          <w:numId w:val="39"/>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Блок 1-21 Хан Аспарух (решение № 146/15.03.2019</w:t>
      </w:r>
      <w:r w:rsidR="008D3D80" w:rsidRPr="00610B1B">
        <w:rPr>
          <w:rFonts w:ascii="Times New Roman" w:hAnsi="Times New Roman" w:cs="Times New Roman"/>
          <w:sz w:val="24"/>
          <w:szCs w:val="24"/>
          <w:lang w:val="bg-BG"/>
        </w:rPr>
        <w:t xml:space="preserve"> г.)</w:t>
      </w:r>
      <w:r w:rsidRPr="00610B1B">
        <w:rPr>
          <w:rFonts w:ascii="Times New Roman" w:hAnsi="Times New Roman" w:cs="Times New Roman"/>
          <w:sz w:val="24"/>
          <w:szCs w:val="24"/>
          <w:lang w:val="bg-BG"/>
        </w:rPr>
        <w:t xml:space="preserve"> с обща площ от 14</w:t>
      </w:r>
      <w:r w:rsidR="008D3D80" w:rsidRPr="00610B1B">
        <w:rPr>
          <w:rFonts w:ascii="Times New Roman" w:hAnsi="Times New Roman" w:cs="Times New Roman"/>
          <w:sz w:val="24"/>
          <w:szCs w:val="24"/>
          <w:lang w:val="bg-BG"/>
        </w:rPr>
        <w:t> </w:t>
      </w:r>
      <w:r w:rsidRPr="00610B1B">
        <w:rPr>
          <w:rFonts w:ascii="Times New Roman" w:hAnsi="Times New Roman" w:cs="Times New Roman"/>
          <w:sz w:val="24"/>
          <w:szCs w:val="24"/>
          <w:lang w:val="bg-BG"/>
        </w:rPr>
        <w:t xml:space="preserve">019 </w:t>
      </w:r>
      <w:r w:rsidR="008D3D80" w:rsidRPr="00610B1B">
        <w:rPr>
          <w:rFonts w:ascii="Times New Roman" w:hAnsi="Times New Roman" w:cs="Times New Roman"/>
          <w:sz w:val="24"/>
          <w:szCs w:val="24"/>
          <w:lang w:val="bg-BG"/>
        </w:rPr>
        <w:t>km</w:t>
      </w:r>
      <w:r w:rsidR="008D3D80" w:rsidRPr="00610B1B">
        <w:rPr>
          <w:rFonts w:ascii="Times New Roman" w:hAnsi="Times New Roman" w:cs="Times New Roman"/>
          <w:sz w:val="24"/>
          <w:szCs w:val="24"/>
          <w:vertAlign w:val="superscript"/>
          <w:lang w:val="bg-BG"/>
        </w:rPr>
        <w:t>2</w:t>
      </w:r>
      <w:r w:rsidR="008D3D8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за срок 5 години+135 дни+2 години+109 дни с титуляр </w:t>
      </w:r>
      <w:r w:rsidR="008D3D8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Тотал </w:t>
      </w:r>
      <w:r w:rsidR="008D3D80" w:rsidRPr="00610B1B">
        <w:rPr>
          <w:rFonts w:ascii="Times New Roman" w:hAnsi="Times New Roman" w:cs="Times New Roman"/>
          <w:sz w:val="24"/>
          <w:szCs w:val="24"/>
          <w:lang w:val="bg-BG"/>
        </w:rPr>
        <w:t>Е</w:t>
      </w:r>
      <w:r w:rsidRPr="00610B1B">
        <w:rPr>
          <w:rFonts w:ascii="Times New Roman" w:hAnsi="Times New Roman" w:cs="Times New Roman"/>
          <w:sz w:val="24"/>
          <w:szCs w:val="24"/>
          <w:lang w:val="bg-BG"/>
        </w:rPr>
        <w:t>&amp;</w:t>
      </w:r>
      <w:r w:rsidR="008D3D80" w:rsidRPr="00610B1B">
        <w:rPr>
          <w:rFonts w:ascii="Times New Roman" w:hAnsi="Times New Roman" w:cs="Times New Roman"/>
          <w:sz w:val="24"/>
          <w:szCs w:val="24"/>
          <w:lang w:val="bg-BG"/>
        </w:rPr>
        <w:t>П</w:t>
      </w:r>
      <w:r w:rsidRPr="00610B1B">
        <w:rPr>
          <w:rFonts w:ascii="Times New Roman" w:hAnsi="Times New Roman" w:cs="Times New Roman"/>
          <w:sz w:val="24"/>
          <w:szCs w:val="24"/>
          <w:lang w:val="bg-BG"/>
        </w:rPr>
        <w:t xml:space="preserve"> България</w:t>
      </w:r>
      <w:r w:rsidR="008D3D8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б.в. (40%), </w:t>
      </w:r>
      <w:r w:rsidR="008D3D8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ОМВ офшор България</w:t>
      </w:r>
      <w:r w:rsidR="008D3D8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w:t>
      </w:r>
      <w:r w:rsidR="008D3D80" w:rsidRPr="00610B1B">
        <w:rPr>
          <w:rFonts w:ascii="Times New Roman" w:hAnsi="Times New Roman" w:cs="Times New Roman"/>
          <w:sz w:val="24"/>
          <w:szCs w:val="24"/>
          <w:lang w:val="bg-BG"/>
        </w:rPr>
        <w:t xml:space="preserve">Гмбх </w:t>
      </w:r>
      <w:r w:rsidRPr="00610B1B">
        <w:rPr>
          <w:rFonts w:ascii="Times New Roman" w:hAnsi="Times New Roman" w:cs="Times New Roman"/>
          <w:sz w:val="24"/>
          <w:szCs w:val="24"/>
          <w:lang w:val="bg-BG"/>
        </w:rPr>
        <w:t xml:space="preserve">(30%) и </w:t>
      </w:r>
      <w:r w:rsidR="008D3D8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Репсол България</w:t>
      </w:r>
      <w:r w:rsidR="008D3D8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б.в. (30%).</w:t>
      </w:r>
    </w:p>
    <w:p w14:paraId="6235641B" w14:textId="38E79725" w:rsidR="009907CE" w:rsidRPr="00610B1B" w:rsidRDefault="009907CE" w:rsidP="009907CE">
      <w:pPr>
        <w:spacing w:after="120"/>
        <w:ind w:right="-153"/>
        <w:jc w:val="both"/>
        <w:rPr>
          <w:rFonts w:ascii="Times New Roman" w:hAnsi="Times New Roman" w:cs="Times New Roman"/>
          <w:sz w:val="24"/>
          <w:szCs w:val="24"/>
          <w:lang w:val="bg-BG"/>
        </w:rPr>
      </w:pPr>
    </w:p>
    <w:p w14:paraId="279E4095" w14:textId="2705FDE5" w:rsidR="009907CE" w:rsidRPr="00610B1B" w:rsidRDefault="009907CE" w:rsidP="009907CE">
      <w:pPr>
        <w:spacing w:after="120"/>
        <w:ind w:right="-153"/>
        <w:jc w:val="both"/>
        <w:rPr>
          <w:rFonts w:ascii="Times New Roman" w:hAnsi="Times New Roman" w:cs="Times New Roman"/>
          <w:sz w:val="24"/>
          <w:szCs w:val="24"/>
          <w:lang w:val="bg-BG"/>
        </w:rPr>
      </w:pPr>
    </w:p>
    <w:p w14:paraId="19AFCBCE" w14:textId="01FE20D4" w:rsidR="009907CE" w:rsidRPr="00610B1B" w:rsidRDefault="009907CE" w:rsidP="009907CE">
      <w:pPr>
        <w:spacing w:after="120"/>
        <w:ind w:right="-153"/>
        <w:jc w:val="both"/>
        <w:rPr>
          <w:rFonts w:ascii="Times New Roman" w:hAnsi="Times New Roman" w:cs="Times New Roman"/>
          <w:sz w:val="24"/>
          <w:szCs w:val="24"/>
          <w:lang w:val="bg-BG"/>
        </w:rPr>
      </w:pPr>
    </w:p>
    <w:p w14:paraId="0D3E14AC" w14:textId="0E9E480C" w:rsidR="009907CE" w:rsidRPr="00610B1B" w:rsidRDefault="009907CE" w:rsidP="009907CE">
      <w:pPr>
        <w:spacing w:after="120"/>
        <w:ind w:right="-153"/>
        <w:jc w:val="both"/>
        <w:rPr>
          <w:rFonts w:ascii="Times New Roman" w:hAnsi="Times New Roman" w:cs="Times New Roman"/>
          <w:sz w:val="24"/>
          <w:szCs w:val="24"/>
          <w:lang w:val="bg-BG"/>
        </w:rPr>
      </w:pPr>
    </w:p>
    <w:p w14:paraId="693EA2F6" w14:textId="77777777" w:rsidR="009907CE" w:rsidRPr="00610B1B" w:rsidRDefault="009907CE" w:rsidP="009907CE">
      <w:pPr>
        <w:spacing w:after="240"/>
        <w:ind w:right="-153"/>
        <w:jc w:val="both"/>
        <w:rPr>
          <w:rFonts w:ascii="Times New Roman" w:hAnsi="Times New Roman" w:cs="Times New Roman"/>
          <w:sz w:val="24"/>
          <w:szCs w:val="24"/>
          <w:lang w:val="bg-BG"/>
        </w:rPr>
      </w:pPr>
    </w:p>
    <w:p w14:paraId="0F21FC27" w14:textId="4CAA50FE" w:rsidR="00527038" w:rsidRPr="00610B1B" w:rsidRDefault="00B62269" w:rsidP="00CD6DB2">
      <w:pPr>
        <w:widowControl w:val="0"/>
        <w:tabs>
          <w:tab w:val="left" w:pos="0"/>
          <w:tab w:val="left" w:pos="9746"/>
        </w:tabs>
        <w:autoSpaceDE w:val="0"/>
        <w:autoSpaceDN w:val="0"/>
        <w:adjustRightInd w:val="0"/>
        <w:spacing w:after="80" w:line="240" w:lineRule="auto"/>
        <w:ind w:right="-153"/>
        <w:rPr>
          <w:rFonts w:ascii="Times New Roman" w:hAnsi="Times New Roman" w:cs="Times New Roman"/>
          <w:bCs/>
          <w:sz w:val="24"/>
          <w:szCs w:val="24"/>
          <w:lang w:val="bg-BG"/>
        </w:rPr>
      </w:pPr>
      <w:bookmarkStart w:id="394" w:name="_Toc83391496"/>
      <w:r w:rsidRPr="00610B1B">
        <w:rPr>
          <w:rFonts w:ascii="Times New Roman" w:hAnsi="Times New Roman" w:cs="Times New Roman"/>
          <w:sz w:val="24"/>
          <w:szCs w:val="24"/>
          <w:lang w:val="bg-BG"/>
        </w:rPr>
        <w:lastRenderedPageBreak/>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33</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640C4F" w:rsidRPr="00610B1B">
        <w:rPr>
          <w:rFonts w:ascii="Times New Roman" w:hAnsi="Times New Roman" w:cs="Times New Roman"/>
          <w:bCs/>
          <w:sz w:val="24"/>
          <w:szCs w:val="24"/>
          <w:lang w:val="bg-BG"/>
        </w:rPr>
        <w:t xml:space="preserve">Блоковете </w:t>
      </w:r>
      <w:r w:rsidR="00527038" w:rsidRPr="00610B1B">
        <w:rPr>
          <w:rFonts w:ascii="Times New Roman" w:hAnsi="Times New Roman" w:cs="Times New Roman"/>
          <w:bCs/>
          <w:sz w:val="24"/>
          <w:szCs w:val="24"/>
          <w:lang w:val="bg-BG"/>
        </w:rPr>
        <w:t xml:space="preserve">за търсене и проучване на нефт и природен газ на територията на Република България, континенталния шелф и </w:t>
      </w:r>
      <w:r w:rsidR="00640C4F" w:rsidRPr="00610B1B">
        <w:rPr>
          <w:rFonts w:ascii="Times New Roman" w:hAnsi="Times New Roman" w:cs="Times New Roman"/>
          <w:bCs/>
          <w:sz w:val="24"/>
          <w:szCs w:val="24"/>
          <w:lang w:val="bg-BG"/>
        </w:rPr>
        <w:t>ИИЗ</w:t>
      </w:r>
      <w:r w:rsidR="00527038" w:rsidRPr="00610B1B">
        <w:rPr>
          <w:rFonts w:ascii="Times New Roman" w:hAnsi="Times New Roman" w:cs="Times New Roman"/>
          <w:bCs/>
          <w:sz w:val="24"/>
          <w:szCs w:val="24"/>
          <w:lang w:val="bg-BG"/>
        </w:rPr>
        <w:t xml:space="preserve"> на Черно море</w:t>
      </w:r>
      <w:bookmarkEnd w:id="394"/>
    </w:p>
    <w:p w14:paraId="25D30F41" w14:textId="60C73FF5" w:rsidR="00527038" w:rsidRPr="00610B1B" w:rsidRDefault="00527038" w:rsidP="00CD6DB2">
      <w:pPr>
        <w:widowControl w:val="0"/>
        <w:tabs>
          <w:tab w:val="left" w:pos="0"/>
          <w:tab w:val="left" w:pos="9746"/>
        </w:tabs>
        <w:autoSpaceDE w:val="0"/>
        <w:autoSpaceDN w:val="0"/>
        <w:adjustRightInd w:val="0"/>
        <w:spacing w:after="60" w:line="240" w:lineRule="auto"/>
        <w:ind w:right="-153"/>
        <w:rPr>
          <w:rFonts w:ascii="Times New Roman" w:hAnsi="Times New Roman" w:cs="Times New Roman"/>
          <w:bCs/>
          <w:lang w:val="bg-BG"/>
        </w:rPr>
      </w:pPr>
      <w:r w:rsidRPr="00610B1B">
        <w:rPr>
          <w:rFonts w:ascii="Times New Roman" w:hAnsi="Times New Roman" w:cs="Times New Roman"/>
          <w:bCs/>
          <w:noProof/>
          <w:lang w:val="bg-BG" w:eastAsia="bg-BG"/>
        </w:rPr>
        <w:drawing>
          <wp:inline distT="0" distB="0" distL="0" distR="0" wp14:anchorId="379329FA" wp14:editId="28500EDB">
            <wp:extent cx="4908550" cy="3101340"/>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08550" cy="3101340"/>
                    </a:xfrm>
                    <a:prstGeom prst="rect">
                      <a:avLst/>
                    </a:prstGeom>
                    <a:noFill/>
                    <a:ln w="6350" cmpd="sng">
                      <a:noFill/>
                      <a:miter lim="800000"/>
                      <a:headEnd/>
                      <a:tailEnd/>
                    </a:ln>
                    <a:effectLst/>
                  </pic:spPr>
                </pic:pic>
              </a:graphicData>
            </a:graphic>
          </wp:inline>
        </w:drawing>
      </w:r>
    </w:p>
    <w:p w14:paraId="2CFCF519" w14:textId="3CF2043A" w:rsidR="00527038" w:rsidRPr="00610B1B" w:rsidRDefault="00527038" w:rsidP="00D32D6A">
      <w:pPr>
        <w:widowControl w:val="0"/>
        <w:tabs>
          <w:tab w:val="left" w:pos="0"/>
          <w:tab w:val="left" w:pos="9746"/>
        </w:tabs>
        <w:autoSpaceDE w:val="0"/>
        <w:autoSpaceDN w:val="0"/>
        <w:adjustRightInd w:val="0"/>
        <w:spacing w:after="120"/>
        <w:ind w:right="-153"/>
        <w:jc w:val="both"/>
        <w:rPr>
          <w:rFonts w:ascii="Times New Roman" w:hAnsi="Times New Roman" w:cs="Times New Roman"/>
          <w:bCs/>
          <w:iCs/>
          <w:lang w:val="bg-BG"/>
        </w:rPr>
      </w:pPr>
      <w:r w:rsidRPr="00610B1B">
        <w:rPr>
          <w:rFonts w:ascii="Times New Roman" w:hAnsi="Times New Roman" w:cs="Times New Roman"/>
          <w:bCs/>
          <w:iCs/>
          <w:lang w:val="bg-BG"/>
        </w:rPr>
        <w:t xml:space="preserve">Източник: </w:t>
      </w:r>
      <w:hyperlink r:id="rId52" w:history="1">
        <w:r w:rsidRPr="00610B1B">
          <w:rPr>
            <w:rStyle w:val="Hyperlink"/>
            <w:rFonts w:ascii="Times New Roman" w:hAnsi="Times New Roman" w:cs="Times New Roman"/>
            <w:bCs/>
            <w:iCs/>
            <w:lang w:val="bg-BG"/>
          </w:rPr>
          <w:t>https://www.me.government.bg/files/useruploads/files/karti/eve_wgs35_nefi&amp;gaz.pdf</w:t>
        </w:r>
      </w:hyperlink>
    </w:p>
    <w:p w14:paraId="28F15D02" w14:textId="037228D6" w:rsidR="0029238A" w:rsidRPr="00610B1B" w:rsidRDefault="0029238A" w:rsidP="00D32D6A">
      <w:pPr>
        <w:widowControl w:val="0"/>
        <w:tabs>
          <w:tab w:val="left" w:pos="0"/>
          <w:tab w:val="left" w:pos="9746"/>
        </w:tabs>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На територията на крайморските общини Шабла и Каварна попада “</w:t>
      </w:r>
      <w:r w:rsidR="008D3D80" w:rsidRPr="00610B1B">
        <w:rPr>
          <w:rFonts w:ascii="Times New Roman" w:hAnsi="Times New Roman" w:cs="Times New Roman"/>
          <w:sz w:val="24"/>
          <w:szCs w:val="24"/>
          <w:lang w:val="bg-BG"/>
        </w:rPr>
        <w:t xml:space="preserve">Блок </w:t>
      </w:r>
      <w:r w:rsidRPr="00610B1B">
        <w:rPr>
          <w:rFonts w:ascii="Times New Roman" w:hAnsi="Times New Roman" w:cs="Times New Roman"/>
          <w:sz w:val="24"/>
          <w:szCs w:val="24"/>
          <w:lang w:val="bg-BG"/>
        </w:rPr>
        <w:t>1-11 Вранино”, за който е издадено разрешение за търсене и проучване на нефт и природен газ с титуляр “Парк плейс енерджи корп”</w:t>
      </w:r>
      <w:r w:rsidR="00461059"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 обща площ от 397.42 km</w:t>
      </w:r>
      <w:r w:rsidRPr="00610B1B">
        <w:rPr>
          <w:rFonts w:ascii="Times New Roman" w:hAnsi="Times New Roman" w:cs="Times New Roman"/>
          <w:sz w:val="24"/>
          <w:szCs w:val="24"/>
          <w:vertAlign w:val="superscript"/>
          <w:lang w:val="bg-BG"/>
        </w:rPr>
        <w:t>2</w:t>
      </w:r>
      <w:r w:rsidRPr="00610B1B">
        <w:rPr>
          <w:rFonts w:ascii="Times New Roman" w:hAnsi="Times New Roman" w:cs="Times New Roman"/>
          <w:sz w:val="24"/>
          <w:szCs w:val="24"/>
          <w:lang w:val="bg-BG"/>
        </w:rPr>
        <w:t xml:space="preserve"> за срок от 5 години. Поради проведени съдебни процедури договорът </w:t>
      </w:r>
      <w:r w:rsidR="008D3D80" w:rsidRPr="00610B1B">
        <w:rPr>
          <w:rFonts w:ascii="Times New Roman" w:hAnsi="Times New Roman" w:cs="Times New Roman"/>
          <w:sz w:val="24"/>
          <w:szCs w:val="24"/>
          <w:lang w:val="bg-BG"/>
        </w:rPr>
        <w:t>за</w:t>
      </w:r>
      <w:r w:rsidRPr="00610B1B">
        <w:rPr>
          <w:rFonts w:ascii="Times New Roman" w:hAnsi="Times New Roman" w:cs="Times New Roman"/>
          <w:sz w:val="24"/>
          <w:szCs w:val="24"/>
          <w:lang w:val="bg-BG"/>
        </w:rPr>
        <w:t>почва да тече от 01.04.2014 г.</w:t>
      </w:r>
    </w:p>
    <w:p w14:paraId="7F539AAB" w14:textId="4674BE30" w:rsidR="00527038" w:rsidRPr="00610B1B" w:rsidRDefault="00543303" w:rsidP="00CD6DB2">
      <w:pPr>
        <w:widowControl w:val="0"/>
        <w:tabs>
          <w:tab w:val="left" w:pos="0"/>
          <w:tab w:val="left" w:pos="9746"/>
        </w:tabs>
        <w:autoSpaceDE w:val="0"/>
        <w:autoSpaceDN w:val="0"/>
        <w:adjustRightInd w:val="0"/>
        <w:spacing w:after="60" w:line="240" w:lineRule="auto"/>
        <w:ind w:right="-153"/>
        <w:rPr>
          <w:rFonts w:ascii="Times New Roman" w:hAnsi="Times New Roman" w:cs="Times New Roman"/>
          <w:sz w:val="24"/>
          <w:szCs w:val="24"/>
          <w:lang w:val="bg-BG"/>
        </w:rPr>
      </w:pPr>
      <w:bookmarkStart w:id="395" w:name="_Toc83391608"/>
      <w:r w:rsidRPr="00610B1B">
        <w:rPr>
          <w:rFonts w:ascii="Times New Roman" w:hAnsi="Times New Roman" w:cs="Times New Roman"/>
          <w:sz w:val="24"/>
          <w:szCs w:val="24"/>
          <w:lang w:val="bg-BG"/>
        </w:rPr>
        <w:t xml:space="preserve">Таблица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Таблица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12</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527038" w:rsidRPr="00610B1B">
        <w:rPr>
          <w:rFonts w:ascii="Times New Roman" w:hAnsi="Times New Roman" w:cs="Times New Roman"/>
          <w:sz w:val="24"/>
          <w:szCs w:val="24"/>
          <w:lang w:val="bg-BG"/>
        </w:rPr>
        <w:t>Концесии за добив и проучване на природен газ и нефт</w:t>
      </w:r>
      <w:bookmarkEnd w:id="395"/>
      <w:r w:rsidR="00527038" w:rsidRPr="00610B1B">
        <w:rPr>
          <w:rFonts w:ascii="Times New Roman" w:hAnsi="Times New Roman" w:cs="Times New Roman"/>
          <w:sz w:val="24"/>
          <w:szCs w:val="24"/>
          <w:lang w:val="bg-BG"/>
        </w:rPr>
        <w:t xml:space="preserve"> </w:t>
      </w:r>
    </w:p>
    <w:tbl>
      <w:tblPr>
        <w:tblW w:w="9368" w:type="dxa"/>
        <w:tblBorders>
          <w:top w:val="single" w:sz="4" w:space="0" w:color="auto"/>
          <w:bottom w:val="single" w:sz="4" w:space="0" w:color="auto"/>
          <w:insideH w:val="single" w:sz="4" w:space="0" w:color="auto"/>
        </w:tblBorders>
        <w:tblCellMar>
          <w:left w:w="28" w:type="dxa"/>
          <w:right w:w="28" w:type="dxa"/>
        </w:tblCellMar>
        <w:tblLook w:val="00A0" w:firstRow="1" w:lastRow="0" w:firstColumn="1" w:lastColumn="0" w:noHBand="0" w:noVBand="0"/>
      </w:tblPr>
      <w:tblGrid>
        <w:gridCol w:w="852"/>
        <w:gridCol w:w="1984"/>
        <w:gridCol w:w="1145"/>
        <w:gridCol w:w="736"/>
        <w:gridCol w:w="1300"/>
        <w:gridCol w:w="1225"/>
        <w:gridCol w:w="682"/>
        <w:gridCol w:w="1444"/>
      </w:tblGrid>
      <w:tr w:rsidR="00527038" w:rsidRPr="005C2B9F" w14:paraId="7FC665E0" w14:textId="77777777" w:rsidTr="001E3FED">
        <w:trPr>
          <w:trHeight w:val="900"/>
          <w:tblHeader/>
        </w:trPr>
        <w:tc>
          <w:tcPr>
            <w:tcW w:w="852" w:type="dxa"/>
            <w:shd w:val="clear" w:color="auto" w:fill="C6D9F1" w:themeFill="text2" w:themeFillTint="33"/>
            <w:vAlign w:val="center"/>
          </w:tcPr>
          <w:p w14:paraId="4561831D" w14:textId="77777777" w:rsidR="00527038" w:rsidRPr="00610B1B" w:rsidRDefault="00527038" w:rsidP="00D32D6A">
            <w:pPr>
              <w:spacing w:after="0" w:line="240" w:lineRule="auto"/>
              <w:jc w:val="center"/>
              <w:rPr>
                <w:rFonts w:ascii="Times New Roman" w:hAnsi="Times New Roman" w:cs="Times New Roman"/>
                <w:b/>
                <w:bCs/>
                <w:sz w:val="18"/>
                <w:szCs w:val="18"/>
                <w:lang w:val="bg-BG"/>
              </w:rPr>
            </w:pPr>
            <w:r w:rsidRPr="00610B1B">
              <w:rPr>
                <w:rFonts w:ascii="Times New Roman" w:hAnsi="Times New Roman" w:cs="Times New Roman"/>
                <w:b/>
                <w:bCs/>
                <w:sz w:val="18"/>
                <w:szCs w:val="18"/>
                <w:lang w:val="bg-BG"/>
              </w:rPr>
              <w:t>Партида</w:t>
            </w:r>
            <w:r w:rsidRPr="00610B1B">
              <w:rPr>
                <w:rFonts w:ascii="Times New Roman" w:hAnsi="Times New Roman" w:cs="Times New Roman"/>
                <w:b/>
                <w:bCs/>
                <w:sz w:val="18"/>
                <w:szCs w:val="18"/>
                <w:lang w:val="bg-BG"/>
              </w:rPr>
              <w:br/>
              <w:t>НКР №</w:t>
            </w:r>
          </w:p>
        </w:tc>
        <w:tc>
          <w:tcPr>
            <w:tcW w:w="1984" w:type="dxa"/>
            <w:shd w:val="clear" w:color="auto" w:fill="C6D9F1" w:themeFill="text2" w:themeFillTint="33"/>
            <w:vAlign w:val="center"/>
          </w:tcPr>
          <w:p w14:paraId="48EFC614" w14:textId="77777777" w:rsidR="00527038" w:rsidRPr="00610B1B" w:rsidRDefault="00527038" w:rsidP="00D32D6A">
            <w:pPr>
              <w:spacing w:after="0" w:line="240" w:lineRule="auto"/>
              <w:jc w:val="center"/>
              <w:rPr>
                <w:rFonts w:ascii="Times New Roman" w:hAnsi="Times New Roman" w:cs="Times New Roman"/>
                <w:b/>
                <w:bCs/>
                <w:sz w:val="18"/>
                <w:szCs w:val="18"/>
                <w:lang w:val="bg-BG"/>
              </w:rPr>
            </w:pPr>
            <w:r w:rsidRPr="00610B1B">
              <w:rPr>
                <w:rFonts w:ascii="Times New Roman" w:hAnsi="Times New Roman" w:cs="Times New Roman"/>
                <w:b/>
                <w:bCs/>
                <w:sz w:val="18"/>
                <w:szCs w:val="18"/>
                <w:lang w:val="bg-BG"/>
              </w:rPr>
              <w:t>Концесионер</w:t>
            </w:r>
          </w:p>
        </w:tc>
        <w:tc>
          <w:tcPr>
            <w:tcW w:w="1145" w:type="dxa"/>
            <w:shd w:val="clear" w:color="auto" w:fill="C6D9F1" w:themeFill="text2" w:themeFillTint="33"/>
            <w:vAlign w:val="center"/>
          </w:tcPr>
          <w:p w14:paraId="318EBF3D" w14:textId="77777777" w:rsidR="00527038" w:rsidRPr="00610B1B" w:rsidRDefault="00527038" w:rsidP="00D32D6A">
            <w:pPr>
              <w:spacing w:after="0" w:line="240" w:lineRule="auto"/>
              <w:jc w:val="center"/>
              <w:rPr>
                <w:rFonts w:ascii="Times New Roman" w:hAnsi="Times New Roman" w:cs="Times New Roman"/>
                <w:b/>
                <w:bCs/>
                <w:sz w:val="18"/>
                <w:szCs w:val="18"/>
                <w:lang w:val="bg-BG"/>
              </w:rPr>
            </w:pPr>
            <w:r w:rsidRPr="00610B1B">
              <w:rPr>
                <w:rFonts w:ascii="Times New Roman" w:hAnsi="Times New Roman" w:cs="Times New Roman"/>
                <w:b/>
                <w:bCs/>
                <w:sz w:val="18"/>
                <w:szCs w:val="18"/>
                <w:lang w:val="bg-BG"/>
              </w:rPr>
              <w:t>Находище</w:t>
            </w:r>
          </w:p>
        </w:tc>
        <w:tc>
          <w:tcPr>
            <w:tcW w:w="736" w:type="dxa"/>
            <w:shd w:val="clear" w:color="auto" w:fill="C6D9F1" w:themeFill="text2" w:themeFillTint="33"/>
            <w:vAlign w:val="center"/>
          </w:tcPr>
          <w:p w14:paraId="4C4B560F" w14:textId="77777777" w:rsidR="00527038" w:rsidRPr="00610B1B" w:rsidRDefault="00527038" w:rsidP="00D32D6A">
            <w:pPr>
              <w:spacing w:after="0" w:line="240" w:lineRule="auto"/>
              <w:jc w:val="center"/>
              <w:rPr>
                <w:rFonts w:ascii="Times New Roman" w:hAnsi="Times New Roman" w:cs="Times New Roman"/>
                <w:b/>
                <w:bCs/>
                <w:sz w:val="18"/>
                <w:szCs w:val="18"/>
                <w:lang w:val="bg-BG"/>
              </w:rPr>
            </w:pPr>
            <w:r w:rsidRPr="00610B1B">
              <w:rPr>
                <w:rFonts w:ascii="Times New Roman" w:hAnsi="Times New Roman" w:cs="Times New Roman"/>
                <w:b/>
                <w:bCs/>
                <w:sz w:val="18"/>
                <w:szCs w:val="18"/>
                <w:lang w:val="bg-BG"/>
              </w:rPr>
              <w:t>Община</w:t>
            </w:r>
          </w:p>
        </w:tc>
        <w:tc>
          <w:tcPr>
            <w:tcW w:w="1300" w:type="dxa"/>
            <w:shd w:val="clear" w:color="auto" w:fill="C6D9F1" w:themeFill="text2" w:themeFillTint="33"/>
            <w:vAlign w:val="center"/>
          </w:tcPr>
          <w:p w14:paraId="0131618F" w14:textId="77777777" w:rsidR="00527038" w:rsidRPr="00610B1B" w:rsidRDefault="00527038" w:rsidP="00D32D6A">
            <w:pPr>
              <w:spacing w:after="0" w:line="240" w:lineRule="auto"/>
              <w:jc w:val="center"/>
              <w:rPr>
                <w:rFonts w:ascii="Times New Roman" w:hAnsi="Times New Roman" w:cs="Times New Roman"/>
                <w:b/>
                <w:bCs/>
                <w:sz w:val="18"/>
                <w:szCs w:val="18"/>
                <w:lang w:val="bg-BG"/>
              </w:rPr>
            </w:pPr>
            <w:r w:rsidRPr="00610B1B">
              <w:rPr>
                <w:rFonts w:ascii="Times New Roman" w:hAnsi="Times New Roman" w:cs="Times New Roman"/>
                <w:b/>
                <w:bCs/>
                <w:sz w:val="18"/>
                <w:szCs w:val="18"/>
                <w:lang w:val="bg-BG"/>
              </w:rPr>
              <w:t>Област</w:t>
            </w:r>
          </w:p>
        </w:tc>
        <w:tc>
          <w:tcPr>
            <w:tcW w:w="1225" w:type="dxa"/>
            <w:shd w:val="clear" w:color="auto" w:fill="C6D9F1" w:themeFill="text2" w:themeFillTint="33"/>
            <w:vAlign w:val="center"/>
          </w:tcPr>
          <w:p w14:paraId="5E7851D6" w14:textId="4762B43B" w:rsidR="00527038" w:rsidRPr="00610B1B" w:rsidRDefault="00527038" w:rsidP="00D32D6A">
            <w:pPr>
              <w:spacing w:after="0" w:line="240" w:lineRule="auto"/>
              <w:jc w:val="center"/>
              <w:rPr>
                <w:rFonts w:ascii="Times New Roman" w:hAnsi="Times New Roman" w:cs="Times New Roman"/>
                <w:b/>
                <w:bCs/>
                <w:sz w:val="18"/>
                <w:szCs w:val="18"/>
                <w:lang w:val="bg-BG"/>
              </w:rPr>
            </w:pPr>
            <w:r w:rsidRPr="00610B1B">
              <w:rPr>
                <w:rFonts w:ascii="Times New Roman" w:hAnsi="Times New Roman" w:cs="Times New Roman"/>
                <w:b/>
                <w:bCs/>
                <w:sz w:val="18"/>
                <w:szCs w:val="18"/>
                <w:lang w:val="bg-BG"/>
              </w:rPr>
              <w:t xml:space="preserve">Вид на подземното </w:t>
            </w:r>
            <w:r w:rsidR="006011C0" w:rsidRPr="00610B1B">
              <w:rPr>
                <w:rFonts w:ascii="Times New Roman" w:hAnsi="Times New Roman" w:cs="Times New Roman"/>
                <w:b/>
                <w:bCs/>
                <w:sz w:val="18"/>
                <w:szCs w:val="18"/>
                <w:lang w:val="bg-BG"/>
              </w:rPr>
              <w:t>богатство</w:t>
            </w:r>
          </w:p>
        </w:tc>
        <w:tc>
          <w:tcPr>
            <w:tcW w:w="682" w:type="dxa"/>
            <w:shd w:val="clear" w:color="auto" w:fill="C6D9F1" w:themeFill="text2" w:themeFillTint="33"/>
            <w:vAlign w:val="center"/>
          </w:tcPr>
          <w:p w14:paraId="48E862FF" w14:textId="77777777" w:rsidR="00527038" w:rsidRPr="00610B1B" w:rsidRDefault="00527038" w:rsidP="00D32D6A">
            <w:pPr>
              <w:spacing w:after="0" w:line="240" w:lineRule="auto"/>
              <w:jc w:val="center"/>
              <w:rPr>
                <w:rFonts w:ascii="Times New Roman" w:hAnsi="Times New Roman" w:cs="Times New Roman"/>
                <w:b/>
                <w:bCs/>
                <w:sz w:val="18"/>
                <w:szCs w:val="18"/>
                <w:lang w:val="bg-BG"/>
              </w:rPr>
            </w:pPr>
            <w:r w:rsidRPr="00610B1B">
              <w:rPr>
                <w:rFonts w:ascii="Times New Roman" w:hAnsi="Times New Roman" w:cs="Times New Roman"/>
                <w:b/>
                <w:bCs/>
                <w:sz w:val="18"/>
                <w:szCs w:val="18"/>
                <w:lang w:val="bg-BG"/>
              </w:rPr>
              <w:t xml:space="preserve">Срок </w:t>
            </w:r>
          </w:p>
        </w:tc>
        <w:tc>
          <w:tcPr>
            <w:tcW w:w="1444" w:type="dxa"/>
            <w:shd w:val="clear" w:color="auto" w:fill="C6D9F1" w:themeFill="text2" w:themeFillTint="33"/>
            <w:vAlign w:val="center"/>
          </w:tcPr>
          <w:p w14:paraId="162AB74B" w14:textId="77777777" w:rsidR="00527038" w:rsidRPr="00610B1B" w:rsidRDefault="00527038" w:rsidP="00D32D6A">
            <w:pPr>
              <w:spacing w:after="0" w:line="240" w:lineRule="auto"/>
              <w:jc w:val="center"/>
              <w:rPr>
                <w:rFonts w:ascii="Times New Roman" w:hAnsi="Times New Roman" w:cs="Times New Roman"/>
                <w:b/>
                <w:bCs/>
                <w:sz w:val="18"/>
                <w:szCs w:val="18"/>
                <w:lang w:val="bg-BG"/>
              </w:rPr>
            </w:pPr>
            <w:r w:rsidRPr="00610B1B">
              <w:rPr>
                <w:rFonts w:ascii="Times New Roman" w:hAnsi="Times New Roman" w:cs="Times New Roman"/>
                <w:b/>
                <w:bCs/>
                <w:sz w:val="18"/>
                <w:szCs w:val="18"/>
                <w:lang w:val="bg-BG"/>
              </w:rPr>
              <w:t>Дата на влизане в сила на концесионния договор</w:t>
            </w:r>
          </w:p>
        </w:tc>
      </w:tr>
      <w:tr w:rsidR="00527038" w:rsidRPr="00610B1B" w14:paraId="7E58F32C" w14:textId="77777777" w:rsidTr="001E3FED">
        <w:trPr>
          <w:trHeight w:val="433"/>
        </w:trPr>
        <w:tc>
          <w:tcPr>
            <w:tcW w:w="852" w:type="dxa"/>
            <w:shd w:val="clear" w:color="auto" w:fill="FFFFFF"/>
            <w:vAlign w:val="center"/>
          </w:tcPr>
          <w:p w14:paraId="793F33F7"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D - 00106</w:t>
            </w:r>
          </w:p>
        </w:tc>
        <w:tc>
          <w:tcPr>
            <w:tcW w:w="1984" w:type="dxa"/>
            <w:shd w:val="clear" w:color="auto" w:fill="FFFFFF"/>
            <w:vAlign w:val="center"/>
          </w:tcPr>
          <w:p w14:paraId="08B972A9"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"Петрокелтик България" ЕООД, гр. Варна</w:t>
            </w:r>
          </w:p>
        </w:tc>
        <w:tc>
          <w:tcPr>
            <w:tcW w:w="1145" w:type="dxa"/>
            <w:shd w:val="clear" w:color="auto" w:fill="FFFFFF"/>
            <w:vAlign w:val="center"/>
          </w:tcPr>
          <w:p w14:paraId="4D706E79"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Галата</w:t>
            </w:r>
          </w:p>
        </w:tc>
        <w:tc>
          <w:tcPr>
            <w:tcW w:w="736" w:type="dxa"/>
            <w:shd w:val="clear" w:color="auto" w:fill="FFFFFF"/>
            <w:vAlign w:val="center"/>
          </w:tcPr>
          <w:p w14:paraId="6D4AF0D2"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 </w:t>
            </w:r>
          </w:p>
        </w:tc>
        <w:tc>
          <w:tcPr>
            <w:tcW w:w="1300" w:type="dxa"/>
            <w:shd w:val="clear" w:color="auto" w:fill="FFFFFF"/>
            <w:vAlign w:val="center"/>
          </w:tcPr>
          <w:p w14:paraId="6F059276"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Черно море</w:t>
            </w:r>
          </w:p>
        </w:tc>
        <w:tc>
          <w:tcPr>
            <w:tcW w:w="1225" w:type="dxa"/>
            <w:shd w:val="clear" w:color="auto" w:fill="FFFFFF"/>
            <w:vAlign w:val="center"/>
          </w:tcPr>
          <w:p w14:paraId="43D0A18B"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Природен газ</w:t>
            </w:r>
          </w:p>
        </w:tc>
        <w:tc>
          <w:tcPr>
            <w:tcW w:w="682" w:type="dxa"/>
            <w:shd w:val="clear" w:color="auto" w:fill="FFFFFF"/>
            <w:vAlign w:val="center"/>
          </w:tcPr>
          <w:p w14:paraId="35D221E5"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25 г.</w:t>
            </w:r>
          </w:p>
        </w:tc>
        <w:tc>
          <w:tcPr>
            <w:tcW w:w="1444" w:type="dxa"/>
            <w:shd w:val="clear" w:color="auto" w:fill="FFFFFF"/>
            <w:vAlign w:val="center"/>
          </w:tcPr>
          <w:p w14:paraId="596B2435"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16.5.2001 г.</w:t>
            </w:r>
          </w:p>
        </w:tc>
      </w:tr>
      <w:tr w:rsidR="00527038" w:rsidRPr="00610B1B" w14:paraId="771D32EE" w14:textId="77777777" w:rsidTr="001E3FED">
        <w:trPr>
          <w:trHeight w:val="469"/>
        </w:trPr>
        <w:tc>
          <w:tcPr>
            <w:tcW w:w="852" w:type="dxa"/>
            <w:shd w:val="clear" w:color="auto" w:fill="FFFFFF"/>
            <w:vAlign w:val="center"/>
          </w:tcPr>
          <w:p w14:paraId="3575CABB"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D - 00544</w:t>
            </w:r>
          </w:p>
        </w:tc>
        <w:tc>
          <w:tcPr>
            <w:tcW w:w="1984" w:type="dxa"/>
            <w:shd w:val="clear" w:color="auto" w:fill="FFFFFF"/>
            <w:vAlign w:val="center"/>
          </w:tcPr>
          <w:p w14:paraId="02EF4992"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"Петрокелтик България" ЕООД, гр. Варна</w:t>
            </w:r>
          </w:p>
        </w:tc>
        <w:tc>
          <w:tcPr>
            <w:tcW w:w="1145" w:type="dxa"/>
            <w:shd w:val="clear" w:color="auto" w:fill="FFFFFF"/>
            <w:vAlign w:val="center"/>
          </w:tcPr>
          <w:p w14:paraId="30E60D27"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Калиакра</w:t>
            </w:r>
          </w:p>
        </w:tc>
        <w:tc>
          <w:tcPr>
            <w:tcW w:w="736" w:type="dxa"/>
            <w:shd w:val="clear" w:color="auto" w:fill="FFFFFF"/>
            <w:vAlign w:val="center"/>
          </w:tcPr>
          <w:p w14:paraId="049363F8"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 </w:t>
            </w:r>
          </w:p>
        </w:tc>
        <w:tc>
          <w:tcPr>
            <w:tcW w:w="1300" w:type="dxa"/>
            <w:shd w:val="clear" w:color="auto" w:fill="FFFFFF"/>
            <w:vAlign w:val="center"/>
          </w:tcPr>
          <w:p w14:paraId="256EE08F"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Черно море</w:t>
            </w:r>
          </w:p>
        </w:tc>
        <w:tc>
          <w:tcPr>
            <w:tcW w:w="1225" w:type="dxa"/>
            <w:shd w:val="clear" w:color="auto" w:fill="FFFFFF"/>
            <w:vAlign w:val="center"/>
          </w:tcPr>
          <w:p w14:paraId="29A9A205"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Природен газ</w:t>
            </w:r>
          </w:p>
        </w:tc>
        <w:tc>
          <w:tcPr>
            <w:tcW w:w="682" w:type="dxa"/>
            <w:shd w:val="clear" w:color="auto" w:fill="FFFFFF"/>
            <w:vAlign w:val="center"/>
          </w:tcPr>
          <w:p w14:paraId="6BB96C03"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7 г.</w:t>
            </w:r>
          </w:p>
        </w:tc>
        <w:tc>
          <w:tcPr>
            <w:tcW w:w="1444" w:type="dxa"/>
            <w:shd w:val="clear" w:color="auto" w:fill="FFFFFF"/>
            <w:vAlign w:val="center"/>
          </w:tcPr>
          <w:p w14:paraId="437192E5"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1.11.2010 г.</w:t>
            </w:r>
          </w:p>
        </w:tc>
      </w:tr>
      <w:tr w:rsidR="00527038" w:rsidRPr="00610B1B" w14:paraId="2E4AF61E" w14:textId="77777777" w:rsidTr="001E3FED">
        <w:trPr>
          <w:trHeight w:val="363"/>
        </w:trPr>
        <w:tc>
          <w:tcPr>
            <w:tcW w:w="852" w:type="dxa"/>
            <w:shd w:val="clear" w:color="auto" w:fill="FFFFFF"/>
            <w:vAlign w:val="center"/>
          </w:tcPr>
          <w:p w14:paraId="3637C933"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D - 00543</w:t>
            </w:r>
          </w:p>
        </w:tc>
        <w:tc>
          <w:tcPr>
            <w:tcW w:w="1984" w:type="dxa"/>
            <w:shd w:val="clear" w:color="auto" w:fill="FFFFFF"/>
            <w:vAlign w:val="center"/>
          </w:tcPr>
          <w:p w14:paraId="152E835F"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"Петрокелтик България" ЕООД, гр. Варна</w:t>
            </w:r>
          </w:p>
        </w:tc>
        <w:tc>
          <w:tcPr>
            <w:tcW w:w="1145" w:type="dxa"/>
            <w:shd w:val="clear" w:color="auto" w:fill="FFFFFF"/>
            <w:vAlign w:val="center"/>
          </w:tcPr>
          <w:p w14:paraId="34727ED2"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Каварна</w:t>
            </w:r>
          </w:p>
        </w:tc>
        <w:tc>
          <w:tcPr>
            <w:tcW w:w="736" w:type="dxa"/>
            <w:shd w:val="clear" w:color="auto" w:fill="FFFFFF"/>
            <w:vAlign w:val="center"/>
          </w:tcPr>
          <w:p w14:paraId="277817AE"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 </w:t>
            </w:r>
          </w:p>
        </w:tc>
        <w:tc>
          <w:tcPr>
            <w:tcW w:w="1300" w:type="dxa"/>
            <w:shd w:val="clear" w:color="auto" w:fill="FFFFFF"/>
            <w:vAlign w:val="center"/>
          </w:tcPr>
          <w:p w14:paraId="45313C70"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Черно море</w:t>
            </w:r>
          </w:p>
        </w:tc>
        <w:tc>
          <w:tcPr>
            <w:tcW w:w="1225" w:type="dxa"/>
            <w:shd w:val="clear" w:color="auto" w:fill="FFFFFF"/>
            <w:vAlign w:val="center"/>
          </w:tcPr>
          <w:p w14:paraId="0CE86072"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Природен газ</w:t>
            </w:r>
          </w:p>
        </w:tc>
        <w:tc>
          <w:tcPr>
            <w:tcW w:w="682" w:type="dxa"/>
            <w:shd w:val="clear" w:color="auto" w:fill="FFFFFF"/>
            <w:vAlign w:val="center"/>
          </w:tcPr>
          <w:p w14:paraId="49C89B07"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10 г.</w:t>
            </w:r>
          </w:p>
        </w:tc>
        <w:tc>
          <w:tcPr>
            <w:tcW w:w="1444" w:type="dxa"/>
            <w:shd w:val="clear" w:color="auto" w:fill="FFFFFF"/>
            <w:vAlign w:val="center"/>
          </w:tcPr>
          <w:p w14:paraId="2FF03C6D"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1.11.2010 г.</w:t>
            </w:r>
          </w:p>
        </w:tc>
      </w:tr>
      <w:tr w:rsidR="00527038" w:rsidRPr="00610B1B" w14:paraId="2DDFE49C" w14:textId="77777777" w:rsidTr="001E3FED">
        <w:trPr>
          <w:trHeight w:val="413"/>
        </w:trPr>
        <w:tc>
          <w:tcPr>
            <w:tcW w:w="852" w:type="dxa"/>
            <w:shd w:val="clear" w:color="auto" w:fill="FFFFFF"/>
            <w:vAlign w:val="center"/>
          </w:tcPr>
          <w:p w14:paraId="0CD0B28C"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D - 00651</w:t>
            </w:r>
          </w:p>
        </w:tc>
        <w:tc>
          <w:tcPr>
            <w:tcW w:w="1984" w:type="dxa"/>
            <w:shd w:val="clear" w:color="auto" w:fill="FFFFFF"/>
            <w:vAlign w:val="center"/>
          </w:tcPr>
          <w:p w14:paraId="3D5E4993"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"Петрокелтик България" ЕООД, гр. Варна</w:t>
            </w:r>
          </w:p>
        </w:tc>
        <w:tc>
          <w:tcPr>
            <w:tcW w:w="1145" w:type="dxa"/>
            <w:shd w:val="clear" w:color="auto" w:fill="FFFFFF"/>
            <w:vAlign w:val="center"/>
          </w:tcPr>
          <w:p w14:paraId="65396664"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Каварна Изток</w:t>
            </w:r>
          </w:p>
        </w:tc>
        <w:tc>
          <w:tcPr>
            <w:tcW w:w="736" w:type="dxa"/>
            <w:shd w:val="clear" w:color="auto" w:fill="FFFFFF"/>
            <w:vAlign w:val="center"/>
          </w:tcPr>
          <w:p w14:paraId="6619E9EF"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 </w:t>
            </w:r>
          </w:p>
        </w:tc>
        <w:tc>
          <w:tcPr>
            <w:tcW w:w="1300" w:type="dxa"/>
            <w:shd w:val="clear" w:color="auto" w:fill="FFFFFF"/>
            <w:vAlign w:val="center"/>
          </w:tcPr>
          <w:p w14:paraId="0B306D57"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Черно море</w:t>
            </w:r>
          </w:p>
        </w:tc>
        <w:tc>
          <w:tcPr>
            <w:tcW w:w="1225" w:type="dxa"/>
            <w:shd w:val="clear" w:color="auto" w:fill="FFFFFF"/>
            <w:vAlign w:val="center"/>
          </w:tcPr>
          <w:p w14:paraId="5BDF4B37"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Природен газ</w:t>
            </w:r>
          </w:p>
        </w:tc>
        <w:tc>
          <w:tcPr>
            <w:tcW w:w="682" w:type="dxa"/>
            <w:shd w:val="clear" w:color="auto" w:fill="FFFFFF"/>
            <w:vAlign w:val="center"/>
          </w:tcPr>
          <w:p w14:paraId="2055680E"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6 г.</w:t>
            </w:r>
          </w:p>
        </w:tc>
        <w:tc>
          <w:tcPr>
            <w:tcW w:w="1444" w:type="dxa"/>
            <w:shd w:val="clear" w:color="auto" w:fill="FFFFFF"/>
            <w:vAlign w:val="center"/>
          </w:tcPr>
          <w:p w14:paraId="0785AA38"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04.03.2013 г.</w:t>
            </w:r>
          </w:p>
        </w:tc>
      </w:tr>
      <w:tr w:rsidR="00527038" w:rsidRPr="00610B1B" w14:paraId="6A07615B" w14:textId="77777777" w:rsidTr="001E3FED">
        <w:trPr>
          <w:trHeight w:val="139"/>
        </w:trPr>
        <w:tc>
          <w:tcPr>
            <w:tcW w:w="852" w:type="dxa"/>
            <w:shd w:val="clear" w:color="auto" w:fill="FFFFFF"/>
            <w:vAlign w:val="center"/>
          </w:tcPr>
          <w:p w14:paraId="01520C58"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D - 00461</w:t>
            </w:r>
          </w:p>
        </w:tc>
        <w:tc>
          <w:tcPr>
            <w:tcW w:w="1984" w:type="dxa"/>
            <w:shd w:val="clear" w:color="auto" w:fill="FFFFFF"/>
            <w:vAlign w:val="center"/>
          </w:tcPr>
          <w:p w14:paraId="43B02D03"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”Проучване и добив на нефт и газ” АД, гр. София</w:t>
            </w:r>
          </w:p>
        </w:tc>
        <w:tc>
          <w:tcPr>
            <w:tcW w:w="1145" w:type="dxa"/>
            <w:shd w:val="clear" w:color="auto" w:fill="FFFFFF"/>
            <w:vAlign w:val="center"/>
          </w:tcPr>
          <w:p w14:paraId="58BBA9E6"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Тюленово</w:t>
            </w:r>
          </w:p>
        </w:tc>
        <w:tc>
          <w:tcPr>
            <w:tcW w:w="736" w:type="dxa"/>
            <w:shd w:val="clear" w:color="auto" w:fill="FFFFFF"/>
            <w:vAlign w:val="center"/>
          </w:tcPr>
          <w:p w14:paraId="3271D1BE"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Каварна, Шабла</w:t>
            </w:r>
          </w:p>
        </w:tc>
        <w:tc>
          <w:tcPr>
            <w:tcW w:w="1300" w:type="dxa"/>
            <w:shd w:val="clear" w:color="auto" w:fill="FFFFFF"/>
            <w:vAlign w:val="center"/>
          </w:tcPr>
          <w:p w14:paraId="53884329"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Добрич</w:t>
            </w:r>
          </w:p>
        </w:tc>
        <w:tc>
          <w:tcPr>
            <w:tcW w:w="1225" w:type="dxa"/>
            <w:shd w:val="clear" w:color="auto" w:fill="FFFFFF"/>
            <w:vAlign w:val="center"/>
          </w:tcPr>
          <w:p w14:paraId="2D854D45"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Суров нефт</w:t>
            </w:r>
          </w:p>
        </w:tc>
        <w:tc>
          <w:tcPr>
            <w:tcW w:w="682" w:type="dxa"/>
            <w:shd w:val="clear" w:color="auto" w:fill="FFFFFF"/>
            <w:vAlign w:val="center"/>
          </w:tcPr>
          <w:p w14:paraId="6DF20D94"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35 г.</w:t>
            </w:r>
          </w:p>
        </w:tc>
        <w:tc>
          <w:tcPr>
            <w:tcW w:w="1444" w:type="dxa"/>
            <w:shd w:val="clear" w:color="auto" w:fill="FFFFFF"/>
            <w:vAlign w:val="center"/>
          </w:tcPr>
          <w:p w14:paraId="79FFEBD6"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12.9.2003 г.</w:t>
            </w:r>
          </w:p>
        </w:tc>
      </w:tr>
      <w:tr w:rsidR="00527038" w:rsidRPr="00610B1B" w14:paraId="0EE330A9" w14:textId="77777777" w:rsidTr="001E3FED">
        <w:trPr>
          <w:trHeight w:val="53"/>
        </w:trPr>
        <w:tc>
          <w:tcPr>
            <w:tcW w:w="852" w:type="dxa"/>
            <w:shd w:val="clear" w:color="auto" w:fill="FFFFFF"/>
            <w:vAlign w:val="center"/>
          </w:tcPr>
          <w:p w14:paraId="382EE090"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D - 00313</w:t>
            </w:r>
          </w:p>
        </w:tc>
        <w:tc>
          <w:tcPr>
            <w:tcW w:w="1984" w:type="dxa"/>
            <w:shd w:val="clear" w:color="auto" w:fill="FFFFFF"/>
            <w:vAlign w:val="center"/>
          </w:tcPr>
          <w:p w14:paraId="7969BB7E"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"Проучване и добив на нефт и газ" АД, гр. София</w:t>
            </w:r>
          </w:p>
        </w:tc>
        <w:tc>
          <w:tcPr>
            <w:tcW w:w="1145" w:type="dxa"/>
            <w:shd w:val="clear" w:color="auto" w:fill="FFFFFF"/>
            <w:vAlign w:val="center"/>
          </w:tcPr>
          <w:p w14:paraId="684AC00A"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Българево</w:t>
            </w:r>
          </w:p>
        </w:tc>
        <w:tc>
          <w:tcPr>
            <w:tcW w:w="736" w:type="dxa"/>
            <w:shd w:val="clear" w:color="auto" w:fill="FFFFFF"/>
            <w:vAlign w:val="center"/>
          </w:tcPr>
          <w:p w14:paraId="16B635CC"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Каварна</w:t>
            </w:r>
          </w:p>
        </w:tc>
        <w:tc>
          <w:tcPr>
            <w:tcW w:w="1300" w:type="dxa"/>
            <w:shd w:val="clear" w:color="auto" w:fill="FFFFFF"/>
            <w:vAlign w:val="center"/>
          </w:tcPr>
          <w:p w14:paraId="673A97BE"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Добрич</w:t>
            </w:r>
          </w:p>
        </w:tc>
        <w:tc>
          <w:tcPr>
            <w:tcW w:w="1225" w:type="dxa"/>
            <w:shd w:val="clear" w:color="auto" w:fill="FFFFFF"/>
            <w:vAlign w:val="center"/>
          </w:tcPr>
          <w:p w14:paraId="4DDC3C8C"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Природен газ</w:t>
            </w:r>
          </w:p>
        </w:tc>
        <w:tc>
          <w:tcPr>
            <w:tcW w:w="682" w:type="dxa"/>
            <w:shd w:val="clear" w:color="auto" w:fill="FFFFFF"/>
            <w:vAlign w:val="center"/>
          </w:tcPr>
          <w:p w14:paraId="150BAF9D"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35 г.</w:t>
            </w:r>
          </w:p>
        </w:tc>
        <w:tc>
          <w:tcPr>
            <w:tcW w:w="1444" w:type="dxa"/>
            <w:shd w:val="clear" w:color="auto" w:fill="FFFFFF"/>
            <w:vAlign w:val="center"/>
          </w:tcPr>
          <w:p w14:paraId="7C5CCAF6"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12.9.2003 г.</w:t>
            </w:r>
          </w:p>
        </w:tc>
      </w:tr>
      <w:tr w:rsidR="00527038" w:rsidRPr="00610B1B" w14:paraId="6F0F2C4D" w14:textId="77777777" w:rsidTr="001E3FED">
        <w:trPr>
          <w:trHeight w:val="53"/>
        </w:trPr>
        <w:tc>
          <w:tcPr>
            <w:tcW w:w="852" w:type="dxa"/>
            <w:shd w:val="clear" w:color="auto" w:fill="FFFFFF"/>
            <w:vAlign w:val="center"/>
          </w:tcPr>
          <w:p w14:paraId="3CCE8F73"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D - 00314</w:t>
            </w:r>
          </w:p>
        </w:tc>
        <w:tc>
          <w:tcPr>
            <w:tcW w:w="1984" w:type="dxa"/>
            <w:shd w:val="clear" w:color="auto" w:fill="FFFFFF"/>
            <w:vAlign w:val="center"/>
          </w:tcPr>
          <w:p w14:paraId="5B61F043"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”Проучване и добив на нефт и газ” АД, гр. София</w:t>
            </w:r>
          </w:p>
        </w:tc>
        <w:tc>
          <w:tcPr>
            <w:tcW w:w="1145" w:type="dxa"/>
            <w:shd w:val="clear" w:color="auto" w:fill="FFFFFF"/>
            <w:vAlign w:val="center"/>
          </w:tcPr>
          <w:p w14:paraId="574B311A"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Дуранкулак</w:t>
            </w:r>
          </w:p>
        </w:tc>
        <w:tc>
          <w:tcPr>
            <w:tcW w:w="736" w:type="dxa"/>
            <w:shd w:val="clear" w:color="auto" w:fill="FFFFFF"/>
            <w:vAlign w:val="center"/>
          </w:tcPr>
          <w:p w14:paraId="7AA78876" w14:textId="77777777" w:rsidR="00527038" w:rsidRPr="00610B1B" w:rsidRDefault="00527038" w:rsidP="00D32D6A">
            <w:pPr>
              <w:spacing w:after="0" w:line="240" w:lineRule="auto"/>
              <w:rPr>
                <w:rFonts w:ascii="Times New Roman" w:hAnsi="Times New Roman" w:cs="Times New Roman"/>
                <w:sz w:val="18"/>
                <w:szCs w:val="18"/>
                <w:lang w:val="bg-BG"/>
              </w:rPr>
            </w:pPr>
            <w:r w:rsidRPr="00610B1B">
              <w:rPr>
                <w:rFonts w:ascii="Times New Roman" w:hAnsi="Times New Roman" w:cs="Times New Roman"/>
                <w:sz w:val="18"/>
                <w:szCs w:val="18"/>
                <w:lang w:val="bg-BG"/>
              </w:rPr>
              <w:t>Шабла</w:t>
            </w:r>
          </w:p>
        </w:tc>
        <w:tc>
          <w:tcPr>
            <w:tcW w:w="1300" w:type="dxa"/>
            <w:shd w:val="clear" w:color="auto" w:fill="FFFFFF"/>
            <w:vAlign w:val="center"/>
          </w:tcPr>
          <w:p w14:paraId="082B04CA"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Добрич</w:t>
            </w:r>
          </w:p>
        </w:tc>
        <w:tc>
          <w:tcPr>
            <w:tcW w:w="1225" w:type="dxa"/>
            <w:shd w:val="clear" w:color="auto" w:fill="FFFFFF"/>
            <w:vAlign w:val="center"/>
          </w:tcPr>
          <w:p w14:paraId="75637ED7"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Природен газ</w:t>
            </w:r>
          </w:p>
        </w:tc>
        <w:tc>
          <w:tcPr>
            <w:tcW w:w="682" w:type="dxa"/>
            <w:shd w:val="clear" w:color="auto" w:fill="FFFFFF"/>
            <w:vAlign w:val="center"/>
          </w:tcPr>
          <w:p w14:paraId="0505E68F"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7 г. +15 г.</w:t>
            </w:r>
          </w:p>
        </w:tc>
        <w:tc>
          <w:tcPr>
            <w:tcW w:w="1444" w:type="dxa"/>
            <w:shd w:val="clear" w:color="auto" w:fill="FFFFFF"/>
            <w:vAlign w:val="center"/>
          </w:tcPr>
          <w:p w14:paraId="4E6AB784" w14:textId="77777777" w:rsidR="00527038" w:rsidRPr="00610B1B" w:rsidRDefault="00527038" w:rsidP="00D32D6A">
            <w:pPr>
              <w:spacing w:after="0" w:line="240" w:lineRule="auto"/>
              <w:jc w:val="center"/>
              <w:rPr>
                <w:rFonts w:ascii="Times New Roman" w:hAnsi="Times New Roman" w:cs="Times New Roman"/>
                <w:sz w:val="18"/>
                <w:szCs w:val="18"/>
                <w:lang w:val="bg-BG"/>
              </w:rPr>
            </w:pPr>
            <w:r w:rsidRPr="00610B1B">
              <w:rPr>
                <w:rFonts w:ascii="Times New Roman" w:hAnsi="Times New Roman" w:cs="Times New Roman"/>
                <w:sz w:val="18"/>
                <w:szCs w:val="18"/>
                <w:lang w:val="bg-BG"/>
              </w:rPr>
              <w:t>29.7.2004 г.</w:t>
            </w:r>
          </w:p>
        </w:tc>
      </w:tr>
    </w:tbl>
    <w:p w14:paraId="34236EA6" w14:textId="07B1163A" w:rsidR="00527038" w:rsidRPr="00610B1B" w:rsidRDefault="00527038" w:rsidP="00342BD5">
      <w:pPr>
        <w:widowControl w:val="0"/>
        <w:tabs>
          <w:tab w:val="left" w:pos="0"/>
          <w:tab w:val="left" w:pos="9746"/>
        </w:tabs>
        <w:autoSpaceDE w:val="0"/>
        <w:autoSpaceDN w:val="0"/>
        <w:adjustRightInd w:val="0"/>
        <w:spacing w:before="60" w:after="120"/>
        <w:ind w:right="-153"/>
        <w:jc w:val="both"/>
        <w:rPr>
          <w:rFonts w:ascii="Times New Roman" w:hAnsi="Times New Roman" w:cs="Times New Roman"/>
          <w:bCs/>
          <w:iCs/>
          <w:lang w:val="bg-BG"/>
        </w:rPr>
      </w:pPr>
      <w:r w:rsidRPr="00610B1B">
        <w:rPr>
          <w:rFonts w:ascii="Times New Roman" w:hAnsi="Times New Roman" w:cs="Times New Roman"/>
          <w:bCs/>
          <w:iCs/>
          <w:lang w:val="bg-BG"/>
        </w:rPr>
        <w:t xml:space="preserve">Източник: </w:t>
      </w:r>
      <w:hyperlink r:id="rId53" w:tgtFrame="_blank" w:history="1">
        <w:r w:rsidRPr="00610B1B">
          <w:rPr>
            <w:rStyle w:val="Hyperlink"/>
            <w:rFonts w:ascii="Times New Roman" w:hAnsi="Times New Roman" w:cs="Times New Roman"/>
            <w:iCs/>
            <w:lang w:val="bg-BG"/>
          </w:rPr>
          <w:t>https://www.me.government.bg/bg/themes/koncesii-za-dobiv-735-406.html</w:t>
        </w:r>
      </w:hyperlink>
    </w:p>
    <w:p w14:paraId="4E58A6B4" w14:textId="12CECCB7" w:rsidR="00527038" w:rsidRPr="00610B1B" w:rsidRDefault="00527038" w:rsidP="00D32D6A">
      <w:pPr>
        <w:widowControl w:val="0"/>
        <w:tabs>
          <w:tab w:val="left" w:pos="0"/>
          <w:tab w:val="left" w:pos="9746"/>
        </w:tabs>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b/>
          <w:bCs/>
          <w:sz w:val="24"/>
          <w:szCs w:val="24"/>
          <w:lang w:val="bg-BG"/>
        </w:rPr>
        <w:t>Добивът на морски минерали</w:t>
      </w:r>
      <w:r w:rsidRPr="00610B1B">
        <w:rPr>
          <w:rFonts w:ascii="Times New Roman" w:hAnsi="Times New Roman" w:cs="Times New Roman"/>
          <w:bCs/>
          <w:sz w:val="24"/>
          <w:szCs w:val="24"/>
          <w:lang w:val="bg-BG"/>
        </w:rPr>
        <w:t xml:space="preserve"> на територията на крайбрежния район се представя от добива на морска сол, луга и използване на лечебна кал. </w:t>
      </w:r>
      <w:r w:rsidRPr="00610B1B">
        <w:rPr>
          <w:rFonts w:ascii="Times New Roman" w:hAnsi="Times New Roman" w:cs="Times New Roman"/>
          <w:sz w:val="24"/>
          <w:szCs w:val="24"/>
          <w:lang w:val="bg-BG"/>
        </w:rPr>
        <w:t xml:space="preserve">Няма данни за извличане на пясък и чакъл и подводен минодобив в акваторията на Черно море, с изключение на концесията </w:t>
      </w:r>
      <w:r w:rsidRPr="00610B1B">
        <w:rPr>
          <w:rFonts w:ascii="Times New Roman" w:hAnsi="Times New Roman" w:cs="Times New Roman"/>
          <w:sz w:val="24"/>
          <w:szCs w:val="24"/>
          <w:lang w:val="bg-BG"/>
        </w:rPr>
        <w:lastRenderedPageBreak/>
        <w:t>за добив на пясък от Варненското езеро</w:t>
      </w:r>
      <w:r w:rsidR="00640C4F" w:rsidRPr="00610B1B">
        <w:rPr>
          <w:rFonts w:ascii="Times New Roman" w:hAnsi="Times New Roman" w:cs="Times New Roman"/>
          <w:sz w:val="24"/>
          <w:szCs w:val="24"/>
          <w:lang w:val="bg-BG"/>
        </w:rPr>
        <w:t xml:space="preserve"> от </w:t>
      </w:r>
      <w:r w:rsidRPr="00610B1B">
        <w:rPr>
          <w:rFonts w:ascii="Times New Roman" w:hAnsi="Times New Roman" w:cs="Times New Roman"/>
          <w:sz w:val="24"/>
          <w:szCs w:val="24"/>
          <w:lang w:val="bg-BG"/>
        </w:rPr>
        <w:t>“Ескана” АД, гр. Варна.</w:t>
      </w:r>
    </w:p>
    <w:p w14:paraId="2290355D" w14:textId="55E85AB2" w:rsidR="00665AEC" w:rsidRPr="00610B1B" w:rsidRDefault="00665AEC" w:rsidP="00D32D6A">
      <w:pPr>
        <w:widowControl w:val="0"/>
        <w:tabs>
          <w:tab w:val="left" w:pos="0"/>
          <w:tab w:val="left" w:pos="9746"/>
        </w:tabs>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Самата морска вода представлява необятен ресурс. Освен за солодобив, тя конкурентно може да бъде използвана за рибовъдство и отглеждане на аквакултури, </w:t>
      </w:r>
      <w:r w:rsidR="00B33136" w:rsidRPr="00610B1B">
        <w:rPr>
          <w:rFonts w:ascii="Times New Roman" w:hAnsi="Times New Roman" w:cs="Times New Roman"/>
          <w:sz w:val="24"/>
          <w:szCs w:val="24"/>
          <w:lang w:val="bg-BG"/>
        </w:rPr>
        <w:t>промишлени</w:t>
      </w:r>
      <w:r w:rsidRPr="00610B1B">
        <w:rPr>
          <w:rFonts w:ascii="Times New Roman" w:hAnsi="Times New Roman" w:cs="Times New Roman"/>
          <w:sz w:val="24"/>
          <w:szCs w:val="24"/>
          <w:lang w:val="bg-BG"/>
        </w:rPr>
        <w:t xml:space="preserve"> и противопожарни нужди, включително и за питейно-битови нужди. Този ресурс има огромен потенциал за развитие, особено с оглед климатичните промени и все по-големите летни засушавания.</w:t>
      </w:r>
    </w:p>
    <w:p w14:paraId="0021BD11" w14:textId="66E3705A" w:rsidR="00527038" w:rsidRPr="00610B1B" w:rsidRDefault="003079FF" w:rsidP="00097B37">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За извличане на сол от морската вода се използва древен анхиалски способ, свързан със старото име на Поморие, където сол се е добивала от около пети век преди Христа. „Черноморски солници“ АД е единствената фирма, която добива сол в България.</w:t>
      </w:r>
      <w:r w:rsidR="00D66FE0" w:rsidRPr="00610B1B">
        <w:rPr>
          <w:rFonts w:ascii="Times New Roman" w:eastAsia="Calibri" w:hAnsi="Times New Roman" w:cs="Times New Roman"/>
          <w:iCs/>
          <w:sz w:val="24"/>
          <w:szCs w:val="24"/>
          <w:lang w:val="bg-BG"/>
        </w:rPr>
        <w:t xml:space="preserve"> </w:t>
      </w:r>
      <w:r w:rsidRPr="00610B1B">
        <w:rPr>
          <w:rFonts w:ascii="Times New Roman" w:eastAsia="Calibri" w:hAnsi="Times New Roman" w:cs="Times New Roman"/>
          <w:iCs/>
          <w:sz w:val="24"/>
          <w:szCs w:val="24"/>
          <w:lang w:val="bg-BG"/>
        </w:rPr>
        <w:t>Приходите от дейността на дружеството за 2017 г. са 7.1 млн. лв., което е с 2 млн. над предходната година, но печалбата е малка - 134 хил. лв. Дружеството произвежда средно около 40 000 тона сол годишно. Най-голямото количество, добито през 2003 г. е 75 000 тона. Само 10% от добитата сол е готварска, която се добива в община Бургас и се пласира единствено на националния пазар с пазарен дял от около 30%. Известни количества от добитата сол се използват в транспорта, машиностроенето и др. Съпътстващо производство е т.нар. “цвете на солта”, която е най-скъпата в света сол за консумация.</w:t>
      </w:r>
    </w:p>
    <w:p w14:paraId="3E5A25EE" w14:textId="77777777" w:rsidR="009907CE" w:rsidRPr="00610B1B" w:rsidRDefault="009907CE" w:rsidP="00097B37">
      <w:pPr>
        <w:spacing w:after="120"/>
        <w:ind w:right="-153"/>
        <w:jc w:val="both"/>
        <w:rPr>
          <w:rFonts w:ascii="Times New Roman" w:hAnsi="Times New Roman" w:cs="Times New Roman"/>
          <w:b/>
          <w:bCs/>
          <w:caps/>
          <w:lang w:val="bg-BG"/>
        </w:rPr>
      </w:pPr>
    </w:p>
    <w:p w14:paraId="3A001D69" w14:textId="57ADDD52" w:rsidR="00527038" w:rsidRPr="00610B1B" w:rsidRDefault="00527038" w:rsidP="00D32D6A">
      <w:pPr>
        <w:pStyle w:val="Heading3"/>
        <w:spacing w:before="0" w:line="276" w:lineRule="auto"/>
        <w:ind w:right="-153"/>
        <w:rPr>
          <w:rFonts w:cs="Times New Roman"/>
        </w:rPr>
      </w:pPr>
      <w:bookmarkStart w:id="396" w:name="_Toc83391396"/>
      <w:r w:rsidRPr="00610B1B">
        <w:rPr>
          <w:rFonts w:cs="Times New Roman"/>
        </w:rPr>
        <w:t>3.6.5. Морски транспорт</w:t>
      </w:r>
      <w:bookmarkEnd w:id="396"/>
    </w:p>
    <w:p w14:paraId="31750CB4" w14:textId="0B8A389D" w:rsidR="00527038" w:rsidRPr="00610B1B" w:rsidRDefault="00527038" w:rsidP="00D32D6A">
      <w:pPr>
        <w:widowControl w:val="0"/>
        <w:tabs>
          <w:tab w:val="left" w:pos="0"/>
          <w:tab w:val="left" w:pos="9746"/>
        </w:tabs>
        <w:autoSpaceDE w:val="0"/>
        <w:autoSpaceDN w:val="0"/>
        <w:adjustRightInd w:val="0"/>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Тенденциите в развитието на морския транспорт в България са неблагоприятни. Той беше повлиян </w:t>
      </w:r>
      <w:r w:rsidR="00640C4F" w:rsidRPr="00610B1B">
        <w:rPr>
          <w:rFonts w:ascii="Times New Roman" w:hAnsi="Times New Roman" w:cs="Times New Roman"/>
          <w:bCs/>
          <w:sz w:val="24"/>
          <w:szCs w:val="24"/>
          <w:lang w:val="bg-BG"/>
        </w:rPr>
        <w:t xml:space="preserve">силно </w:t>
      </w:r>
      <w:r w:rsidRPr="00610B1B">
        <w:rPr>
          <w:rFonts w:ascii="Times New Roman" w:hAnsi="Times New Roman" w:cs="Times New Roman"/>
          <w:bCs/>
          <w:sz w:val="24"/>
          <w:szCs w:val="24"/>
          <w:lang w:val="bg-BG"/>
        </w:rPr>
        <w:t>от финансовата криза от 2008 г., която оказа въздействие върху развитието на сектора в глобален мащаб. По-голямата част от добавената стойност на морския транспорт в страната се генерира от товарния морски транспорт (92,5%). Увеличението на БДС в периода 2009-2017 г. се наблюдава в превоза на пътници, като през 2017</w:t>
      </w:r>
      <w:r w:rsidR="00342BD5" w:rsidRPr="00610B1B">
        <w:rPr>
          <w:rFonts w:ascii="Times New Roman" w:hAnsi="Times New Roman" w:cs="Times New Roman"/>
          <w:bCs/>
          <w:sz w:val="24"/>
          <w:szCs w:val="24"/>
          <w:lang w:val="bg-BG"/>
        </w:rPr>
        <w:t> </w:t>
      </w:r>
      <w:r w:rsidRPr="00610B1B">
        <w:rPr>
          <w:rFonts w:ascii="Times New Roman" w:hAnsi="Times New Roman" w:cs="Times New Roman"/>
          <w:bCs/>
          <w:sz w:val="24"/>
          <w:szCs w:val="24"/>
          <w:lang w:val="bg-BG"/>
        </w:rPr>
        <w:t>г. достига 2 млн. евро (двойно увеличение спрямо 2009 г.). За същия период товарният морски транспорт отбелязва намаление на БДС от 30%. През 2018 г. превозените товари от водния транспорт намаляват с 2,7% на годишна база. Извършената работа също намалява до 231,2 млн. ткм поради по-кратките разстояния. Превозените пътници през летния сезон от водния пътнически транспорт се увеличават с 11,9%. Извършената работа също нараства с 4,6% спрямо предходната година</w:t>
      </w:r>
      <w:r w:rsidRPr="00610B1B">
        <w:rPr>
          <w:rStyle w:val="FootnoteReference"/>
          <w:rFonts w:ascii="Times New Roman" w:hAnsi="Times New Roman" w:cs="Times New Roman"/>
          <w:bCs/>
          <w:sz w:val="24"/>
          <w:szCs w:val="24"/>
          <w:lang w:val="bg-BG"/>
        </w:rPr>
        <w:footnoteReference w:id="137"/>
      </w:r>
      <w:r w:rsidRPr="00610B1B">
        <w:rPr>
          <w:rFonts w:ascii="Times New Roman" w:hAnsi="Times New Roman" w:cs="Times New Roman"/>
          <w:bCs/>
          <w:sz w:val="24"/>
          <w:szCs w:val="24"/>
          <w:lang w:val="bg-BG"/>
        </w:rPr>
        <w:t xml:space="preserve">. </w:t>
      </w:r>
    </w:p>
    <w:p w14:paraId="72751AC5" w14:textId="6BDE6441" w:rsidR="00527038" w:rsidRPr="00610B1B" w:rsidRDefault="00527038" w:rsidP="00D32D6A">
      <w:pPr>
        <w:widowControl w:val="0"/>
        <w:tabs>
          <w:tab w:val="left" w:pos="0"/>
          <w:tab w:val="left" w:pos="9746"/>
        </w:tabs>
        <w:autoSpaceDE w:val="0"/>
        <w:autoSpaceDN w:val="0"/>
        <w:adjustRightInd w:val="0"/>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В преобладаващата част от крайбрежните общини (Бургас, Царево, Несебър, Поморие, Созопол, Приморско, Балчик, Бяла, Варна) има необходимата морска инфраструктура (яхтени пристанища) за посрещане на туристи и практикуване на водни спортове</w:t>
      </w:r>
      <w:r w:rsidR="00213DBF" w:rsidRPr="00610B1B">
        <w:rPr>
          <w:rFonts w:ascii="Times New Roman" w:hAnsi="Times New Roman" w:cs="Times New Roman"/>
          <w:bCs/>
          <w:sz w:val="24"/>
          <w:szCs w:val="24"/>
          <w:lang w:val="bg-BG"/>
        </w:rPr>
        <w:t>, за</w:t>
      </w:r>
      <w:r w:rsidRPr="00610B1B">
        <w:rPr>
          <w:rFonts w:ascii="Times New Roman" w:hAnsi="Times New Roman" w:cs="Times New Roman"/>
          <w:bCs/>
          <w:sz w:val="24"/>
          <w:szCs w:val="24"/>
          <w:lang w:val="bg-BG"/>
        </w:rPr>
        <w:t xml:space="preserve"> дейност</w:t>
      </w:r>
      <w:r w:rsidR="00213DBF" w:rsidRPr="00610B1B">
        <w:rPr>
          <w:rFonts w:ascii="Times New Roman" w:hAnsi="Times New Roman" w:cs="Times New Roman"/>
          <w:bCs/>
          <w:sz w:val="24"/>
          <w:szCs w:val="24"/>
          <w:lang w:val="bg-BG"/>
        </w:rPr>
        <w:t>и</w:t>
      </w:r>
      <w:r w:rsidRPr="00610B1B">
        <w:rPr>
          <w:rFonts w:ascii="Times New Roman" w:hAnsi="Times New Roman" w:cs="Times New Roman"/>
          <w:bCs/>
          <w:sz w:val="24"/>
          <w:szCs w:val="24"/>
          <w:lang w:val="bg-BG"/>
        </w:rPr>
        <w:t xml:space="preserve"> на пътническия морски и крайбрежен транспорт. С най-високи приходи от пътнически морски и крайбрежен транспорт е община Несебър (1</w:t>
      </w:r>
      <w:r w:rsidR="00213DBF" w:rsidRPr="00610B1B">
        <w:rPr>
          <w:rFonts w:ascii="Times New Roman" w:hAnsi="Times New Roman" w:cs="Times New Roman"/>
          <w:bCs/>
          <w:sz w:val="24"/>
          <w:szCs w:val="24"/>
          <w:lang w:val="bg-BG"/>
        </w:rPr>
        <w:t> </w:t>
      </w:r>
      <w:r w:rsidRPr="00610B1B">
        <w:rPr>
          <w:rFonts w:ascii="Times New Roman" w:hAnsi="Times New Roman" w:cs="Times New Roman"/>
          <w:bCs/>
          <w:sz w:val="24"/>
          <w:szCs w:val="24"/>
          <w:lang w:val="bg-BG"/>
        </w:rPr>
        <w:t xml:space="preserve">514 хил.лв. за 2017 г., НСИ), която </w:t>
      </w:r>
      <w:r w:rsidR="00ED74EC" w:rsidRPr="00610B1B">
        <w:rPr>
          <w:rFonts w:ascii="Times New Roman" w:hAnsi="Times New Roman" w:cs="Times New Roman"/>
          <w:bCs/>
          <w:sz w:val="24"/>
          <w:szCs w:val="24"/>
          <w:lang w:val="bg-BG"/>
        </w:rPr>
        <w:t>увеличава</w:t>
      </w:r>
      <w:r w:rsidRPr="00610B1B">
        <w:rPr>
          <w:rFonts w:ascii="Times New Roman" w:hAnsi="Times New Roman" w:cs="Times New Roman"/>
          <w:bCs/>
          <w:sz w:val="24"/>
          <w:szCs w:val="24"/>
          <w:lang w:val="bg-BG"/>
        </w:rPr>
        <w:t xml:space="preserve"> близо 2,5 пъти приходите си спрямо 2016 г. и 5 пъти спрямо 2015</w:t>
      </w:r>
      <w:r w:rsidR="00D703D4" w:rsidRPr="00610B1B">
        <w:rPr>
          <w:rFonts w:ascii="Times New Roman" w:hAnsi="Times New Roman" w:cs="Times New Roman"/>
          <w:bCs/>
          <w:sz w:val="24"/>
          <w:szCs w:val="24"/>
          <w:lang w:val="bg-BG"/>
        </w:rPr>
        <w:t> </w:t>
      </w:r>
      <w:r w:rsidRPr="00610B1B">
        <w:rPr>
          <w:rFonts w:ascii="Times New Roman" w:hAnsi="Times New Roman" w:cs="Times New Roman"/>
          <w:bCs/>
          <w:sz w:val="24"/>
          <w:szCs w:val="24"/>
          <w:lang w:val="bg-BG"/>
        </w:rPr>
        <w:t xml:space="preserve">г. </w:t>
      </w:r>
    </w:p>
    <w:p w14:paraId="1190FF6A" w14:textId="77777777" w:rsidR="00527038" w:rsidRPr="00610B1B" w:rsidRDefault="00527038"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sz w:val="24"/>
          <w:szCs w:val="24"/>
          <w:lang w:val="bg-BG"/>
        </w:rPr>
        <w:t xml:space="preserve">Развитието на морския транспорт в голяма степен e зависимо от изградеността и състоянието на пристанищната инфраструктура. </w:t>
      </w:r>
      <w:r w:rsidRPr="00610B1B">
        <w:rPr>
          <w:rFonts w:ascii="Times New Roman" w:hAnsi="Times New Roman" w:cs="Times New Roman"/>
          <w:bCs/>
          <w:sz w:val="24"/>
          <w:szCs w:val="24"/>
          <w:lang w:val="bg-BG"/>
        </w:rPr>
        <w:t xml:space="preserve">Черно море и морските пристанища на страната все още са относително малък пазар за сектора на круизните пътувания. </w:t>
      </w:r>
    </w:p>
    <w:p w14:paraId="4C9F9844" w14:textId="158007F8" w:rsidR="00527038" w:rsidRPr="00610B1B" w:rsidRDefault="00527038" w:rsidP="00D32D6A">
      <w:pPr>
        <w:pStyle w:val="Heading3"/>
        <w:spacing w:before="0" w:line="276" w:lineRule="auto"/>
        <w:ind w:right="-153"/>
        <w:rPr>
          <w:rFonts w:cs="Times New Roman"/>
        </w:rPr>
      </w:pPr>
      <w:bookmarkStart w:id="397" w:name="_Toc83391397"/>
      <w:r w:rsidRPr="00610B1B">
        <w:rPr>
          <w:rFonts w:cs="Times New Roman"/>
        </w:rPr>
        <w:lastRenderedPageBreak/>
        <w:t>3.6.6. Пристанищни дейности</w:t>
      </w:r>
      <w:bookmarkEnd w:id="397"/>
      <w:r w:rsidRPr="00610B1B">
        <w:rPr>
          <w:rFonts w:cs="Times New Roman"/>
        </w:rPr>
        <w:t xml:space="preserve"> </w:t>
      </w:r>
    </w:p>
    <w:p w14:paraId="21A15906" w14:textId="5AF95F8F"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След секторите на туризма и добив</w:t>
      </w:r>
      <w:r w:rsidR="00213DBF" w:rsidRPr="00610B1B">
        <w:rPr>
          <w:rFonts w:ascii="Times New Roman" w:hAnsi="Times New Roman" w:cs="Times New Roman"/>
          <w:sz w:val="24"/>
          <w:szCs w:val="24"/>
          <w:lang w:val="bg-BG"/>
        </w:rPr>
        <w:t>ът</w:t>
      </w:r>
      <w:r w:rsidRPr="00610B1B">
        <w:rPr>
          <w:rFonts w:ascii="Times New Roman" w:hAnsi="Times New Roman" w:cs="Times New Roman"/>
          <w:sz w:val="24"/>
          <w:szCs w:val="24"/>
          <w:lang w:val="bg-BG"/>
        </w:rPr>
        <w:t xml:space="preserve"> и комерсиализацията на морските живи ресурси най-голям дял в морската икономика на страната имат пристанищата. Добавената стойност за икономиката на този сектор да се оценява на 68 млн.евро (9.3% от синята икономика) в България през 2017 г. Растежът му върви в комплект със съживяването на икономиката и увеличения внос и износ на стоки. </w:t>
      </w:r>
    </w:p>
    <w:p w14:paraId="4238579E" w14:textId="17DCA93D" w:rsidR="00D106CF"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Динамиката на развитието на сектора в черноморските пристанища на страната е с изявен спад в периода 2009-2017 г. по отношение на заетостта и отчетената БДС. Работните места през 2017 г. са оценени на над 4 хил.</w:t>
      </w:r>
      <w:r w:rsidR="00461059"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души (6% от синята икономика), реализираният оборот – 200 млн.евро (18% от синята икономика). Заетостта е намаляла през последните години, като съотношението между работните места и БДС е довело до повишаване на производителността на труда през 2017 г. с 21 % спрямо 2009 г.</w:t>
      </w:r>
      <w:r w:rsidRPr="00610B1B">
        <w:rPr>
          <w:rStyle w:val="FootnoteReference"/>
          <w:rFonts w:ascii="Times New Roman" w:hAnsi="Times New Roman" w:cs="Times New Roman"/>
          <w:sz w:val="24"/>
          <w:szCs w:val="24"/>
          <w:lang w:val="bg-BG"/>
        </w:rPr>
        <w:footnoteReference w:id="138"/>
      </w:r>
      <w:r w:rsidRPr="00610B1B">
        <w:rPr>
          <w:rFonts w:ascii="Times New Roman" w:hAnsi="Times New Roman" w:cs="Times New Roman"/>
          <w:sz w:val="24"/>
          <w:szCs w:val="24"/>
          <w:lang w:val="bg-BG"/>
        </w:rPr>
        <w:t xml:space="preserve"> </w:t>
      </w:r>
    </w:p>
    <w:p w14:paraId="07554329" w14:textId="77777777" w:rsidR="009907CE" w:rsidRPr="00610B1B" w:rsidRDefault="009907CE" w:rsidP="00D32D6A">
      <w:pPr>
        <w:spacing w:after="120"/>
        <w:ind w:right="-153"/>
        <w:jc w:val="both"/>
        <w:rPr>
          <w:rFonts w:ascii="Times New Roman" w:hAnsi="Times New Roman" w:cs="Times New Roman"/>
          <w:sz w:val="24"/>
          <w:szCs w:val="24"/>
          <w:lang w:val="bg-BG"/>
        </w:rPr>
      </w:pPr>
    </w:p>
    <w:p w14:paraId="72C01993" w14:textId="65933980" w:rsidR="00527038" w:rsidRPr="00610B1B" w:rsidRDefault="00527038" w:rsidP="00D32D6A">
      <w:pPr>
        <w:pStyle w:val="Heading3"/>
        <w:spacing w:before="0" w:line="276" w:lineRule="auto"/>
        <w:ind w:right="-153"/>
        <w:rPr>
          <w:rFonts w:cs="Times New Roman"/>
        </w:rPr>
      </w:pPr>
      <w:bookmarkStart w:id="398" w:name="_Toc83391398"/>
      <w:r w:rsidRPr="00610B1B">
        <w:rPr>
          <w:rFonts w:cs="Times New Roman"/>
        </w:rPr>
        <w:t>3.6.7. Корабостроене и кораборемонт</w:t>
      </w:r>
      <w:bookmarkEnd w:id="398"/>
      <w:r w:rsidRPr="00610B1B">
        <w:rPr>
          <w:rFonts w:cs="Times New Roman"/>
        </w:rPr>
        <w:t xml:space="preserve"> </w:t>
      </w:r>
    </w:p>
    <w:p w14:paraId="4EA22020" w14:textId="77777777"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Корабостроенето e един от секторите по-силно засегнати от световната икономическа криза. Секторът се разширява бавно от последните ниски нива през 2009 и 2013 г., когато глобалните поръчки за корабостроене в ЕС спаднаха до 30-годишно дъно. </w:t>
      </w:r>
    </w:p>
    <w:p w14:paraId="3CB7520D" w14:textId="126C89D1"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Корабостроенето и кораборемонтът генерират 10.2% от брутната добавена стойност на синята икономика и 7.4 % от синята заетост през 2017 г.</w:t>
      </w:r>
      <w:r w:rsidRPr="00610B1B">
        <w:rPr>
          <w:rStyle w:val="FootnoteReference"/>
          <w:rFonts w:ascii="Times New Roman" w:hAnsi="Times New Roman" w:cs="Times New Roman"/>
          <w:sz w:val="24"/>
          <w:szCs w:val="24"/>
          <w:lang w:val="bg-BG"/>
        </w:rPr>
        <w:footnoteReference w:id="139"/>
      </w:r>
      <w:r w:rsidRPr="00610B1B">
        <w:rPr>
          <w:rFonts w:ascii="Times New Roman" w:hAnsi="Times New Roman" w:cs="Times New Roman"/>
          <w:sz w:val="24"/>
          <w:szCs w:val="24"/>
          <w:lang w:val="bg-BG"/>
        </w:rPr>
        <w:t xml:space="preserve"> Независимо че допринася само 0.2% за добавената стойност от националната икономика и заетостта в нея</w:t>
      </w:r>
      <w:r w:rsidR="00213DBF"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поради високото ниво на знание, което секторът привлича и задържа, и въздействието, което осъществява по веригата на стойността, той прехвърля изисквания за технологичност и иновативност към останалите фирми - участници в тази верига. </w:t>
      </w:r>
    </w:p>
    <w:p w14:paraId="5FD3A22D" w14:textId="4FAE8104" w:rsidR="00527038" w:rsidRPr="00610B1B" w:rsidRDefault="00543303" w:rsidP="00BC088E">
      <w:pPr>
        <w:spacing w:after="60" w:line="240" w:lineRule="auto"/>
        <w:ind w:right="-153"/>
        <w:rPr>
          <w:rFonts w:ascii="Times New Roman" w:hAnsi="Times New Roman" w:cs="Times New Roman"/>
          <w:sz w:val="24"/>
          <w:szCs w:val="24"/>
          <w:lang w:val="bg-BG"/>
        </w:rPr>
      </w:pPr>
      <w:bookmarkStart w:id="399" w:name="_Toc83391609"/>
      <w:r w:rsidRPr="00610B1B">
        <w:rPr>
          <w:rFonts w:ascii="Times New Roman" w:hAnsi="Times New Roman" w:cs="Times New Roman"/>
          <w:sz w:val="24"/>
          <w:szCs w:val="24"/>
          <w:lang w:val="bg-BG"/>
        </w:rPr>
        <w:t xml:space="preserve">Таблица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Таблица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13</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527038" w:rsidRPr="00610B1B">
        <w:rPr>
          <w:rFonts w:ascii="Times New Roman" w:hAnsi="Times New Roman" w:cs="Times New Roman"/>
          <w:sz w:val="24"/>
          <w:szCs w:val="24"/>
          <w:lang w:val="bg-BG"/>
        </w:rPr>
        <w:t>Дял на сектора на корабостроенето и кораборемонта в синята и националната икономика на България през периода 2008-2017 г., %</w:t>
      </w:r>
      <w:bookmarkEnd w:id="399"/>
    </w:p>
    <w:tbl>
      <w:tblPr>
        <w:tblW w:w="9791" w:type="dxa"/>
        <w:tblInd w:w="-284" w:type="dxa"/>
        <w:tblBorders>
          <w:top w:val="single" w:sz="4" w:space="0" w:color="auto"/>
          <w:bottom w:val="single" w:sz="4" w:space="0" w:color="auto"/>
          <w:insideH w:val="single" w:sz="4" w:space="0" w:color="auto"/>
        </w:tblBorders>
        <w:tblCellMar>
          <w:left w:w="70" w:type="dxa"/>
          <w:right w:w="70" w:type="dxa"/>
        </w:tblCellMar>
        <w:tblLook w:val="0000" w:firstRow="0" w:lastRow="0" w:firstColumn="0" w:lastColumn="0" w:noHBand="0" w:noVBand="0"/>
      </w:tblPr>
      <w:tblGrid>
        <w:gridCol w:w="3621"/>
        <w:gridCol w:w="690"/>
        <w:gridCol w:w="680"/>
        <w:gridCol w:w="680"/>
        <w:gridCol w:w="680"/>
        <w:gridCol w:w="690"/>
        <w:gridCol w:w="690"/>
        <w:gridCol w:w="680"/>
        <w:gridCol w:w="690"/>
        <w:gridCol w:w="690"/>
      </w:tblGrid>
      <w:tr w:rsidR="00527038" w:rsidRPr="00610B1B" w14:paraId="2166928B" w14:textId="77777777" w:rsidTr="00FD59A8">
        <w:trPr>
          <w:trHeight w:val="270"/>
          <w:tblHeader/>
        </w:trPr>
        <w:tc>
          <w:tcPr>
            <w:tcW w:w="3621" w:type="dxa"/>
            <w:shd w:val="clear" w:color="auto" w:fill="C6D9F1" w:themeFill="text2" w:themeFillTint="33"/>
            <w:noWrap/>
            <w:vAlign w:val="bottom"/>
          </w:tcPr>
          <w:p w14:paraId="55016FF0" w14:textId="77777777" w:rsidR="00527038" w:rsidRPr="00610B1B" w:rsidRDefault="00527038" w:rsidP="00D32D6A">
            <w:pPr>
              <w:spacing w:after="0" w:line="240" w:lineRule="auto"/>
              <w:rPr>
                <w:rFonts w:ascii="Times New Roman" w:hAnsi="Times New Roman" w:cs="Times New Roman"/>
                <w:sz w:val="20"/>
                <w:szCs w:val="20"/>
                <w:lang w:val="bg-BG"/>
              </w:rPr>
            </w:pPr>
            <w:r w:rsidRPr="00610B1B">
              <w:rPr>
                <w:rFonts w:ascii="Times New Roman" w:hAnsi="Times New Roman" w:cs="Times New Roman"/>
                <w:sz w:val="20"/>
                <w:szCs w:val="20"/>
                <w:lang w:val="bg-BG"/>
              </w:rPr>
              <w:t> </w:t>
            </w:r>
          </w:p>
        </w:tc>
        <w:tc>
          <w:tcPr>
            <w:tcW w:w="690" w:type="dxa"/>
            <w:shd w:val="clear" w:color="auto" w:fill="C6D9F1" w:themeFill="text2" w:themeFillTint="33"/>
            <w:vAlign w:val="center"/>
          </w:tcPr>
          <w:p w14:paraId="333030FD" w14:textId="77777777" w:rsidR="00527038" w:rsidRPr="00610B1B" w:rsidRDefault="00527038" w:rsidP="00D32D6A">
            <w:pPr>
              <w:spacing w:after="0" w:line="240" w:lineRule="auto"/>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2009</w:t>
            </w:r>
          </w:p>
        </w:tc>
        <w:tc>
          <w:tcPr>
            <w:tcW w:w="680" w:type="dxa"/>
            <w:shd w:val="clear" w:color="auto" w:fill="C6D9F1" w:themeFill="text2" w:themeFillTint="33"/>
            <w:vAlign w:val="center"/>
          </w:tcPr>
          <w:p w14:paraId="5AD43BD7" w14:textId="77777777" w:rsidR="00527038" w:rsidRPr="00610B1B" w:rsidRDefault="00527038" w:rsidP="00D32D6A">
            <w:pPr>
              <w:spacing w:after="0" w:line="240" w:lineRule="auto"/>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2010</w:t>
            </w:r>
          </w:p>
        </w:tc>
        <w:tc>
          <w:tcPr>
            <w:tcW w:w="680" w:type="dxa"/>
            <w:shd w:val="clear" w:color="auto" w:fill="C6D9F1" w:themeFill="text2" w:themeFillTint="33"/>
            <w:vAlign w:val="center"/>
          </w:tcPr>
          <w:p w14:paraId="1B089075" w14:textId="77777777" w:rsidR="00527038" w:rsidRPr="00610B1B" w:rsidRDefault="00527038" w:rsidP="00D32D6A">
            <w:pPr>
              <w:spacing w:after="0" w:line="240" w:lineRule="auto"/>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2011</w:t>
            </w:r>
          </w:p>
        </w:tc>
        <w:tc>
          <w:tcPr>
            <w:tcW w:w="680" w:type="dxa"/>
            <w:shd w:val="clear" w:color="auto" w:fill="C6D9F1" w:themeFill="text2" w:themeFillTint="33"/>
            <w:vAlign w:val="center"/>
          </w:tcPr>
          <w:p w14:paraId="329A9AD1" w14:textId="77777777" w:rsidR="00527038" w:rsidRPr="00610B1B" w:rsidRDefault="00527038" w:rsidP="00D32D6A">
            <w:pPr>
              <w:spacing w:after="0" w:line="240" w:lineRule="auto"/>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2012</w:t>
            </w:r>
          </w:p>
        </w:tc>
        <w:tc>
          <w:tcPr>
            <w:tcW w:w="690" w:type="dxa"/>
            <w:shd w:val="clear" w:color="auto" w:fill="C6D9F1" w:themeFill="text2" w:themeFillTint="33"/>
            <w:vAlign w:val="center"/>
          </w:tcPr>
          <w:p w14:paraId="7032143F" w14:textId="77777777" w:rsidR="00527038" w:rsidRPr="00610B1B" w:rsidRDefault="00527038" w:rsidP="00D32D6A">
            <w:pPr>
              <w:spacing w:after="0" w:line="240" w:lineRule="auto"/>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2013</w:t>
            </w:r>
          </w:p>
        </w:tc>
        <w:tc>
          <w:tcPr>
            <w:tcW w:w="690" w:type="dxa"/>
            <w:shd w:val="clear" w:color="auto" w:fill="C6D9F1" w:themeFill="text2" w:themeFillTint="33"/>
            <w:vAlign w:val="center"/>
          </w:tcPr>
          <w:p w14:paraId="4C3FAA4D" w14:textId="77777777" w:rsidR="00527038" w:rsidRPr="00610B1B" w:rsidRDefault="00527038" w:rsidP="00D32D6A">
            <w:pPr>
              <w:spacing w:after="0" w:line="240" w:lineRule="auto"/>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2014</w:t>
            </w:r>
          </w:p>
        </w:tc>
        <w:tc>
          <w:tcPr>
            <w:tcW w:w="680" w:type="dxa"/>
            <w:shd w:val="clear" w:color="auto" w:fill="C6D9F1" w:themeFill="text2" w:themeFillTint="33"/>
            <w:vAlign w:val="center"/>
          </w:tcPr>
          <w:p w14:paraId="417517BA" w14:textId="77777777" w:rsidR="00527038" w:rsidRPr="00610B1B" w:rsidRDefault="00527038" w:rsidP="00D32D6A">
            <w:pPr>
              <w:spacing w:after="0" w:line="240" w:lineRule="auto"/>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2015</w:t>
            </w:r>
          </w:p>
        </w:tc>
        <w:tc>
          <w:tcPr>
            <w:tcW w:w="690" w:type="dxa"/>
            <w:shd w:val="clear" w:color="auto" w:fill="C6D9F1" w:themeFill="text2" w:themeFillTint="33"/>
            <w:vAlign w:val="center"/>
          </w:tcPr>
          <w:p w14:paraId="441C068C" w14:textId="77777777" w:rsidR="00527038" w:rsidRPr="00610B1B" w:rsidRDefault="00527038" w:rsidP="00D32D6A">
            <w:pPr>
              <w:spacing w:after="0" w:line="240" w:lineRule="auto"/>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2016</w:t>
            </w:r>
          </w:p>
        </w:tc>
        <w:tc>
          <w:tcPr>
            <w:tcW w:w="690" w:type="dxa"/>
            <w:shd w:val="clear" w:color="auto" w:fill="C6D9F1" w:themeFill="text2" w:themeFillTint="33"/>
            <w:vAlign w:val="center"/>
          </w:tcPr>
          <w:p w14:paraId="023409BF" w14:textId="77777777" w:rsidR="00527038" w:rsidRPr="00610B1B" w:rsidRDefault="00527038" w:rsidP="00D32D6A">
            <w:pPr>
              <w:spacing w:after="0" w:line="240" w:lineRule="auto"/>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2017</w:t>
            </w:r>
          </w:p>
        </w:tc>
      </w:tr>
      <w:tr w:rsidR="00527038" w:rsidRPr="00610B1B" w14:paraId="04402B85" w14:textId="77777777" w:rsidTr="00FD59A8">
        <w:trPr>
          <w:trHeight w:val="270"/>
        </w:trPr>
        <w:tc>
          <w:tcPr>
            <w:tcW w:w="3621" w:type="dxa"/>
            <w:shd w:val="clear" w:color="auto" w:fill="auto"/>
            <w:noWrap/>
            <w:vAlign w:val="bottom"/>
          </w:tcPr>
          <w:p w14:paraId="7710B423" w14:textId="77777777" w:rsidR="00527038" w:rsidRPr="00610B1B" w:rsidRDefault="00527038" w:rsidP="00D32D6A">
            <w:pPr>
              <w:spacing w:after="0" w:line="240" w:lineRule="auto"/>
              <w:rPr>
                <w:rFonts w:ascii="Times New Roman" w:hAnsi="Times New Roman" w:cs="Times New Roman"/>
                <w:b/>
                <w:sz w:val="20"/>
                <w:szCs w:val="20"/>
                <w:lang w:val="bg-BG"/>
              </w:rPr>
            </w:pPr>
            <w:r w:rsidRPr="00610B1B">
              <w:rPr>
                <w:rFonts w:ascii="Times New Roman" w:hAnsi="Times New Roman" w:cs="Times New Roman"/>
                <w:b/>
                <w:sz w:val="20"/>
                <w:szCs w:val="20"/>
                <w:lang w:val="bg-BG"/>
              </w:rPr>
              <w:t>Заети лица - % от синята икономика</w:t>
            </w:r>
          </w:p>
        </w:tc>
        <w:tc>
          <w:tcPr>
            <w:tcW w:w="690" w:type="dxa"/>
            <w:shd w:val="clear" w:color="auto" w:fill="auto"/>
            <w:noWrap/>
            <w:vAlign w:val="center"/>
          </w:tcPr>
          <w:p w14:paraId="56DBAB28"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9.0%</w:t>
            </w:r>
          </w:p>
        </w:tc>
        <w:tc>
          <w:tcPr>
            <w:tcW w:w="680" w:type="dxa"/>
            <w:shd w:val="clear" w:color="auto" w:fill="auto"/>
            <w:noWrap/>
            <w:vAlign w:val="center"/>
          </w:tcPr>
          <w:p w14:paraId="444214E4"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8.4%</w:t>
            </w:r>
          </w:p>
        </w:tc>
        <w:tc>
          <w:tcPr>
            <w:tcW w:w="680" w:type="dxa"/>
            <w:shd w:val="clear" w:color="auto" w:fill="auto"/>
            <w:noWrap/>
            <w:vAlign w:val="center"/>
          </w:tcPr>
          <w:p w14:paraId="3628563B"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8.4%</w:t>
            </w:r>
          </w:p>
        </w:tc>
        <w:tc>
          <w:tcPr>
            <w:tcW w:w="680" w:type="dxa"/>
            <w:shd w:val="clear" w:color="auto" w:fill="auto"/>
            <w:noWrap/>
            <w:vAlign w:val="center"/>
          </w:tcPr>
          <w:p w14:paraId="4480E263"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8.1%</w:t>
            </w:r>
          </w:p>
        </w:tc>
        <w:tc>
          <w:tcPr>
            <w:tcW w:w="690" w:type="dxa"/>
            <w:shd w:val="clear" w:color="auto" w:fill="auto"/>
            <w:noWrap/>
            <w:vAlign w:val="center"/>
          </w:tcPr>
          <w:p w14:paraId="1F79B859"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8.3%</w:t>
            </w:r>
          </w:p>
        </w:tc>
        <w:tc>
          <w:tcPr>
            <w:tcW w:w="690" w:type="dxa"/>
            <w:shd w:val="clear" w:color="auto" w:fill="auto"/>
            <w:noWrap/>
            <w:vAlign w:val="center"/>
          </w:tcPr>
          <w:p w14:paraId="1BA1F3A5"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8.3%</w:t>
            </w:r>
          </w:p>
        </w:tc>
        <w:tc>
          <w:tcPr>
            <w:tcW w:w="680" w:type="dxa"/>
            <w:shd w:val="clear" w:color="auto" w:fill="auto"/>
            <w:noWrap/>
            <w:vAlign w:val="center"/>
          </w:tcPr>
          <w:p w14:paraId="2F0CB518"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8.9%</w:t>
            </w:r>
          </w:p>
        </w:tc>
        <w:tc>
          <w:tcPr>
            <w:tcW w:w="690" w:type="dxa"/>
            <w:shd w:val="clear" w:color="auto" w:fill="auto"/>
            <w:noWrap/>
            <w:vAlign w:val="center"/>
          </w:tcPr>
          <w:p w14:paraId="158C1D62"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8.1%</w:t>
            </w:r>
          </w:p>
        </w:tc>
        <w:tc>
          <w:tcPr>
            <w:tcW w:w="690" w:type="dxa"/>
            <w:shd w:val="clear" w:color="auto" w:fill="auto"/>
            <w:noWrap/>
            <w:vAlign w:val="center"/>
          </w:tcPr>
          <w:p w14:paraId="3B4FECE7"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7.4%</w:t>
            </w:r>
          </w:p>
        </w:tc>
      </w:tr>
      <w:tr w:rsidR="00527038" w:rsidRPr="00610B1B" w14:paraId="3F0D237E" w14:textId="77777777" w:rsidTr="00FD59A8">
        <w:trPr>
          <w:trHeight w:val="270"/>
        </w:trPr>
        <w:tc>
          <w:tcPr>
            <w:tcW w:w="3621" w:type="dxa"/>
            <w:shd w:val="clear" w:color="auto" w:fill="auto"/>
            <w:noWrap/>
            <w:vAlign w:val="bottom"/>
          </w:tcPr>
          <w:p w14:paraId="2CD23960" w14:textId="77777777" w:rsidR="00527038" w:rsidRPr="00610B1B" w:rsidRDefault="00527038" w:rsidP="00D32D6A">
            <w:pPr>
              <w:spacing w:after="0" w:line="240" w:lineRule="auto"/>
              <w:rPr>
                <w:rFonts w:ascii="Times New Roman" w:hAnsi="Times New Roman" w:cs="Times New Roman"/>
                <w:i/>
                <w:sz w:val="20"/>
                <w:szCs w:val="20"/>
                <w:lang w:val="bg-BG"/>
              </w:rPr>
            </w:pPr>
            <w:r w:rsidRPr="00610B1B">
              <w:rPr>
                <w:rFonts w:ascii="Times New Roman" w:hAnsi="Times New Roman" w:cs="Times New Roman"/>
                <w:i/>
                <w:sz w:val="20"/>
                <w:szCs w:val="20"/>
                <w:lang w:val="bg-BG"/>
              </w:rPr>
              <w:t>Заети лица - % от националната. икономика</w:t>
            </w:r>
          </w:p>
        </w:tc>
        <w:tc>
          <w:tcPr>
            <w:tcW w:w="690" w:type="dxa"/>
            <w:shd w:val="clear" w:color="auto" w:fill="auto"/>
            <w:noWrap/>
            <w:vAlign w:val="center"/>
          </w:tcPr>
          <w:p w14:paraId="17EFEA39"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c>
          <w:tcPr>
            <w:tcW w:w="680" w:type="dxa"/>
            <w:shd w:val="clear" w:color="auto" w:fill="auto"/>
            <w:noWrap/>
            <w:vAlign w:val="center"/>
          </w:tcPr>
          <w:p w14:paraId="69F95815"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c>
          <w:tcPr>
            <w:tcW w:w="680" w:type="dxa"/>
            <w:shd w:val="clear" w:color="auto" w:fill="auto"/>
            <w:noWrap/>
            <w:vAlign w:val="center"/>
          </w:tcPr>
          <w:p w14:paraId="1DB5137E"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c>
          <w:tcPr>
            <w:tcW w:w="680" w:type="dxa"/>
            <w:shd w:val="clear" w:color="auto" w:fill="auto"/>
            <w:noWrap/>
            <w:vAlign w:val="center"/>
          </w:tcPr>
          <w:p w14:paraId="46B997E6"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c>
          <w:tcPr>
            <w:tcW w:w="690" w:type="dxa"/>
            <w:shd w:val="clear" w:color="auto" w:fill="auto"/>
            <w:noWrap/>
            <w:vAlign w:val="center"/>
          </w:tcPr>
          <w:p w14:paraId="59052533"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c>
          <w:tcPr>
            <w:tcW w:w="690" w:type="dxa"/>
            <w:shd w:val="clear" w:color="auto" w:fill="auto"/>
            <w:noWrap/>
            <w:vAlign w:val="center"/>
          </w:tcPr>
          <w:p w14:paraId="3570FCC8"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c>
          <w:tcPr>
            <w:tcW w:w="680" w:type="dxa"/>
            <w:shd w:val="clear" w:color="auto" w:fill="auto"/>
            <w:noWrap/>
            <w:vAlign w:val="center"/>
          </w:tcPr>
          <w:p w14:paraId="4A9E43AC"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c>
          <w:tcPr>
            <w:tcW w:w="690" w:type="dxa"/>
            <w:shd w:val="clear" w:color="auto" w:fill="auto"/>
            <w:noWrap/>
            <w:vAlign w:val="center"/>
          </w:tcPr>
          <w:p w14:paraId="3496EE1C"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c>
          <w:tcPr>
            <w:tcW w:w="690" w:type="dxa"/>
            <w:shd w:val="clear" w:color="auto" w:fill="auto"/>
            <w:noWrap/>
            <w:vAlign w:val="center"/>
          </w:tcPr>
          <w:p w14:paraId="1D396CBC"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r>
      <w:tr w:rsidR="00527038" w:rsidRPr="00610B1B" w14:paraId="3060D362" w14:textId="77777777" w:rsidTr="00FD59A8">
        <w:trPr>
          <w:trHeight w:val="270"/>
        </w:trPr>
        <w:tc>
          <w:tcPr>
            <w:tcW w:w="3621" w:type="dxa"/>
            <w:shd w:val="clear" w:color="auto" w:fill="auto"/>
            <w:noWrap/>
            <w:vAlign w:val="bottom"/>
          </w:tcPr>
          <w:p w14:paraId="76175F47" w14:textId="77777777" w:rsidR="00527038" w:rsidRPr="00610B1B" w:rsidRDefault="00527038" w:rsidP="00D32D6A">
            <w:pPr>
              <w:spacing w:after="0" w:line="240" w:lineRule="auto"/>
              <w:rPr>
                <w:rFonts w:ascii="Times New Roman" w:hAnsi="Times New Roman" w:cs="Times New Roman"/>
                <w:b/>
                <w:sz w:val="20"/>
                <w:szCs w:val="20"/>
                <w:lang w:val="bg-BG"/>
              </w:rPr>
            </w:pPr>
            <w:r w:rsidRPr="00610B1B">
              <w:rPr>
                <w:rFonts w:ascii="Times New Roman" w:hAnsi="Times New Roman" w:cs="Times New Roman"/>
                <w:b/>
                <w:sz w:val="20"/>
                <w:szCs w:val="20"/>
                <w:lang w:val="bg-BG"/>
              </w:rPr>
              <w:t>БДС - % от синята икономика</w:t>
            </w:r>
          </w:p>
        </w:tc>
        <w:tc>
          <w:tcPr>
            <w:tcW w:w="690" w:type="dxa"/>
            <w:shd w:val="clear" w:color="auto" w:fill="auto"/>
            <w:noWrap/>
            <w:vAlign w:val="center"/>
          </w:tcPr>
          <w:p w14:paraId="79AF2412"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11.4%</w:t>
            </w:r>
          </w:p>
        </w:tc>
        <w:tc>
          <w:tcPr>
            <w:tcW w:w="680" w:type="dxa"/>
            <w:shd w:val="clear" w:color="auto" w:fill="auto"/>
            <w:noWrap/>
            <w:vAlign w:val="center"/>
          </w:tcPr>
          <w:p w14:paraId="4F07BB5A"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9.0%</w:t>
            </w:r>
          </w:p>
        </w:tc>
        <w:tc>
          <w:tcPr>
            <w:tcW w:w="680" w:type="dxa"/>
            <w:shd w:val="clear" w:color="auto" w:fill="auto"/>
            <w:noWrap/>
            <w:vAlign w:val="center"/>
          </w:tcPr>
          <w:p w14:paraId="76AB4C6D"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7.4%</w:t>
            </w:r>
          </w:p>
        </w:tc>
        <w:tc>
          <w:tcPr>
            <w:tcW w:w="680" w:type="dxa"/>
            <w:shd w:val="clear" w:color="auto" w:fill="auto"/>
            <w:noWrap/>
            <w:vAlign w:val="center"/>
          </w:tcPr>
          <w:p w14:paraId="249FDE8C"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8.8%</w:t>
            </w:r>
          </w:p>
        </w:tc>
        <w:tc>
          <w:tcPr>
            <w:tcW w:w="690" w:type="dxa"/>
            <w:shd w:val="clear" w:color="auto" w:fill="auto"/>
            <w:noWrap/>
            <w:vAlign w:val="center"/>
          </w:tcPr>
          <w:p w14:paraId="24295888"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11.6%</w:t>
            </w:r>
          </w:p>
        </w:tc>
        <w:tc>
          <w:tcPr>
            <w:tcW w:w="690" w:type="dxa"/>
            <w:shd w:val="clear" w:color="auto" w:fill="auto"/>
            <w:noWrap/>
            <w:vAlign w:val="center"/>
          </w:tcPr>
          <w:p w14:paraId="613631AC"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12.6%</w:t>
            </w:r>
          </w:p>
        </w:tc>
        <w:tc>
          <w:tcPr>
            <w:tcW w:w="680" w:type="dxa"/>
            <w:shd w:val="clear" w:color="auto" w:fill="auto"/>
            <w:noWrap/>
            <w:vAlign w:val="center"/>
          </w:tcPr>
          <w:p w14:paraId="771C6C45"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9.2%</w:t>
            </w:r>
          </w:p>
        </w:tc>
        <w:tc>
          <w:tcPr>
            <w:tcW w:w="690" w:type="dxa"/>
            <w:shd w:val="clear" w:color="auto" w:fill="auto"/>
            <w:noWrap/>
            <w:vAlign w:val="center"/>
          </w:tcPr>
          <w:p w14:paraId="18729CA3"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10.9%</w:t>
            </w:r>
          </w:p>
        </w:tc>
        <w:tc>
          <w:tcPr>
            <w:tcW w:w="690" w:type="dxa"/>
            <w:shd w:val="clear" w:color="auto" w:fill="auto"/>
            <w:noWrap/>
            <w:vAlign w:val="center"/>
          </w:tcPr>
          <w:p w14:paraId="7FEFDF92" w14:textId="77777777" w:rsidR="00527038" w:rsidRPr="00610B1B" w:rsidRDefault="00527038" w:rsidP="00D32D6A">
            <w:pPr>
              <w:spacing w:after="0" w:line="240" w:lineRule="auto"/>
              <w:jc w:val="right"/>
              <w:rPr>
                <w:rFonts w:ascii="Times New Roman" w:hAnsi="Times New Roman" w:cs="Times New Roman"/>
                <w:b/>
                <w:sz w:val="20"/>
                <w:szCs w:val="20"/>
                <w:lang w:val="bg-BG"/>
              </w:rPr>
            </w:pPr>
            <w:r w:rsidRPr="00610B1B">
              <w:rPr>
                <w:rFonts w:ascii="Times New Roman" w:hAnsi="Times New Roman" w:cs="Times New Roman"/>
                <w:b/>
                <w:sz w:val="20"/>
                <w:szCs w:val="20"/>
                <w:lang w:val="bg-BG"/>
              </w:rPr>
              <w:t>10.2%</w:t>
            </w:r>
          </w:p>
        </w:tc>
      </w:tr>
      <w:tr w:rsidR="00527038" w:rsidRPr="00610B1B" w14:paraId="005F4139" w14:textId="77777777" w:rsidTr="00FD59A8">
        <w:trPr>
          <w:trHeight w:val="270"/>
        </w:trPr>
        <w:tc>
          <w:tcPr>
            <w:tcW w:w="3621" w:type="dxa"/>
            <w:shd w:val="clear" w:color="auto" w:fill="auto"/>
            <w:noWrap/>
            <w:vAlign w:val="bottom"/>
          </w:tcPr>
          <w:p w14:paraId="0D9A2D72" w14:textId="77777777" w:rsidR="00527038" w:rsidRPr="00610B1B" w:rsidRDefault="00527038" w:rsidP="00D32D6A">
            <w:pPr>
              <w:spacing w:after="0" w:line="240" w:lineRule="auto"/>
              <w:rPr>
                <w:rFonts w:ascii="Times New Roman" w:hAnsi="Times New Roman" w:cs="Times New Roman"/>
                <w:i/>
                <w:sz w:val="20"/>
                <w:szCs w:val="20"/>
                <w:lang w:val="bg-BG"/>
              </w:rPr>
            </w:pPr>
            <w:r w:rsidRPr="00610B1B">
              <w:rPr>
                <w:rFonts w:ascii="Times New Roman" w:hAnsi="Times New Roman" w:cs="Times New Roman"/>
                <w:i/>
                <w:sz w:val="20"/>
                <w:szCs w:val="20"/>
                <w:lang w:val="bg-BG"/>
              </w:rPr>
              <w:t>БДС - % от националната икономика</w:t>
            </w:r>
          </w:p>
        </w:tc>
        <w:tc>
          <w:tcPr>
            <w:tcW w:w="690" w:type="dxa"/>
            <w:shd w:val="clear" w:color="auto" w:fill="auto"/>
            <w:noWrap/>
            <w:vAlign w:val="center"/>
          </w:tcPr>
          <w:p w14:paraId="6ECE35E5"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c>
          <w:tcPr>
            <w:tcW w:w="680" w:type="dxa"/>
            <w:shd w:val="clear" w:color="auto" w:fill="auto"/>
            <w:noWrap/>
            <w:vAlign w:val="center"/>
          </w:tcPr>
          <w:p w14:paraId="77F676F8"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0.1%</w:t>
            </w:r>
          </w:p>
        </w:tc>
        <w:tc>
          <w:tcPr>
            <w:tcW w:w="680" w:type="dxa"/>
            <w:shd w:val="clear" w:color="auto" w:fill="auto"/>
            <w:noWrap/>
            <w:vAlign w:val="center"/>
          </w:tcPr>
          <w:p w14:paraId="453EEDC5"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0.1%</w:t>
            </w:r>
          </w:p>
        </w:tc>
        <w:tc>
          <w:tcPr>
            <w:tcW w:w="680" w:type="dxa"/>
            <w:shd w:val="clear" w:color="auto" w:fill="auto"/>
            <w:noWrap/>
            <w:vAlign w:val="center"/>
          </w:tcPr>
          <w:p w14:paraId="1A348B24"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0.1%</w:t>
            </w:r>
          </w:p>
        </w:tc>
        <w:tc>
          <w:tcPr>
            <w:tcW w:w="690" w:type="dxa"/>
            <w:shd w:val="clear" w:color="auto" w:fill="auto"/>
            <w:noWrap/>
            <w:vAlign w:val="center"/>
          </w:tcPr>
          <w:p w14:paraId="6CCA9F1F"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c>
          <w:tcPr>
            <w:tcW w:w="690" w:type="dxa"/>
            <w:shd w:val="clear" w:color="auto" w:fill="auto"/>
            <w:noWrap/>
            <w:vAlign w:val="center"/>
          </w:tcPr>
          <w:p w14:paraId="34474732"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c>
          <w:tcPr>
            <w:tcW w:w="680" w:type="dxa"/>
            <w:shd w:val="clear" w:color="auto" w:fill="auto"/>
            <w:noWrap/>
            <w:vAlign w:val="center"/>
          </w:tcPr>
          <w:p w14:paraId="2D832866"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0.1%</w:t>
            </w:r>
          </w:p>
        </w:tc>
        <w:tc>
          <w:tcPr>
            <w:tcW w:w="690" w:type="dxa"/>
            <w:shd w:val="clear" w:color="auto" w:fill="auto"/>
            <w:noWrap/>
            <w:vAlign w:val="center"/>
          </w:tcPr>
          <w:p w14:paraId="1BB1A5BA"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c>
          <w:tcPr>
            <w:tcW w:w="690" w:type="dxa"/>
            <w:shd w:val="clear" w:color="auto" w:fill="auto"/>
            <w:noWrap/>
            <w:vAlign w:val="center"/>
          </w:tcPr>
          <w:p w14:paraId="092F8DCA" w14:textId="77777777" w:rsidR="00527038" w:rsidRPr="00610B1B" w:rsidRDefault="00527038" w:rsidP="00D32D6A">
            <w:pPr>
              <w:spacing w:after="0" w:line="240" w:lineRule="auto"/>
              <w:jc w:val="right"/>
              <w:rPr>
                <w:rFonts w:ascii="Times New Roman" w:hAnsi="Times New Roman" w:cs="Times New Roman"/>
                <w:i/>
                <w:sz w:val="20"/>
                <w:szCs w:val="20"/>
                <w:lang w:val="bg-BG"/>
              </w:rPr>
            </w:pPr>
            <w:r w:rsidRPr="00610B1B">
              <w:rPr>
                <w:rFonts w:ascii="Times New Roman" w:hAnsi="Times New Roman" w:cs="Times New Roman"/>
                <w:i/>
                <w:sz w:val="20"/>
                <w:szCs w:val="20"/>
                <w:lang w:val="bg-BG"/>
              </w:rPr>
              <w:t>0.2%</w:t>
            </w:r>
          </w:p>
        </w:tc>
      </w:tr>
    </w:tbl>
    <w:p w14:paraId="6155DC15" w14:textId="77777777" w:rsidR="00527038" w:rsidRPr="00610B1B" w:rsidRDefault="00527038" w:rsidP="00FD59A8">
      <w:pPr>
        <w:pStyle w:val="FootnoteText"/>
        <w:spacing w:before="40" w:after="120"/>
        <w:ind w:right="-153"/>
        <w:rPr>
          <w:rFonts w:cs="Times New Roman"/>
          <w:iCs/>
          <w:sz w:val="22"/>
          <w:szCs w:val="22"/>
          <w:lang w:val="bg-BG"/>
        </w:rPr>
      </w:pPr>
      <w:r w:rsidRPr="00610B1B">
        <w:rPr>
          <w:rFonts w:cs="Times New Roman"/>
          <w:iCs/>
          <w:sz w:val="22"/>
          <w:szCs w:val="22"/>
          <w:lang w:val="bg-BG"/>
        </w:rPr>
        <w:t xml:space="preserve">Източник: По данни за България от Доклад за синята икономика на ЕС, 2019 </w:t>
      </w:r>
    </w:p>
    <w:p w14:paraId="35E8EA32" w14:textId="77777777" w:rsidR="00527038" w:rsidRPr="00610B1B" w:rsidRDefault="00527038" w:rsidP="00D32D6A">
      <w:pPr>
        <w:spacing w:after="120"/>
        <w:ind w:right="-153"/>
        <w:jc w:val="both"/>
        <w:rPr>
          <w:rFonts w:ascii="Times New Roman" w:hAnsi="Times New Roman" w:cs="Times New Roman"/>
          <w:sz w:val="24"/>
          <w:szCs w:val="24"/>
          <w:shd w:val="clear" w:color="auto" w:fill="FFFFFF"/>
          <w:lang w:val="bg-BG"/>
        </w:rPr>
      </w:pPr>
      <w:r w:rsidRPr="00610B1B">
        <w:rPr>
          <w:rFonts w:ascii="Times New Roman" w:hAnsi="Times New Roman" w:cs="Times New Roman"/>
          <w:sz w:val="24"/>
          <w:szCs w:val="24"/>
          <w:shd w:val="clear" w:color="auto" w:fill="FFFFFF"/>
          <w:lang w:val="bg-BG"/>
        </w:rPr>
        <w:t xml:space="preserve">Секторът мина през различни трансформации, преструктуриране и раздробяване, свързани както с протичащите процеси в националната икономика, така и поради силната конкуренция на страни като Китай и Корея. </w:t>
      </w:r>
    </w:p>
    <w:p w14:paraId="436D5CDA" w14:textId="6E2138E9"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shd w:val="clear" w:color="auto" w:fill="FFFFFF"/>
          <w:lang w:val="bg-BG"/>
        </w:rPr>
        <w:t xml:space="preserve">През 2017 г. секторът в България </w:t>
      </w:r>
      <w:r w:rsidRPr="00610B1B">
        <w:rPr>
          <w:rFonts w:ascii="Times New Roman" w:hAnsi="Times New Roman" w:cs="Times New Roman"/>
          <w:sz w:val="24"/>
          <w:szCs w:val="24"/>
          <w:lang w:val="bg-BG"/>
        </w:rPr>
        <w:t>генерира брутна добавена стойност 67 млн. евро. Броят на работните места се определя на 4.7 хиляди души през 2017 г., голяма част от които са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lastRenderedPageBreak/>
        <w:t xml:space="preserve">висококвалифицирани специалисти. Отчетеният растеж на производителността на труда за периода 2009-2017 г. е близо 50%. </w:t>
      </w:r>
    </w:p>
    <w:p w14:paraId="558FE51F" w14:textId="77777777"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Наблюдава се ясно изразена тенденция на преструктуриране на сектора. Строителството на кораби и плаващи конструкции, както и строителството на плавателни съдове за отдих, намалиха оборота си със 70% през 2017 г. в сравнение с 2009 г. Тези загуби бяха уравновесени от значително увеличение на дейностите по ремонт и поддържане на плавателни съдове (+ 65%) и морското оборудване (+ 57%).</w:t>
      </w:r>
    </w:p>
    <w:p w14:paraId="0C55AC82" w14:textId="5DC9FBA5"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Основното териториално разположение на фирмите на корабостроенето и кораборемонта са в Черноморския район на страната, като най-големите от тях са разположени във Варна, Белослав и</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Бургас.</w:t>
      </w:r>
    </w:p>
    <w:p w14:paraId="4DC7AD53" w14:textId="154E4463" w:rsidR="00527038" w:rsidRPr="00610B1B" w:rsidRDefault="00527038" w:rsidP="00D32D6A">
      <w:pPr>
        <w:spacing w:after="120"/>
        <w:ind w:right="-153"/>
        <w:jc w:val="both"/>
        <w:rPr>
          <w:rFonts w:ascii="Times New Roman" w:hAnsi="Times New Roman" w:cs="Times New Roman"/>
          <w:sz w:val="24"/>
          <w:szCs w:val="24"/>
          <w:shd w:val="clear" w:color="auto" w:fill="FFFFFF"/>
          <w:lang w:val="bg-BG"/>
        </w:rPr>
      </w:pPr>
      <w:r w:rsidRPr="00610B1B">
        <w:rPr>
          <w:rFonts w:ascii="Times New Roman" w:hAnsi="Times New Roman" w:cs="Times New Roman"/>
          <w:b/>
          <w:sz w:val="24"/>
          <w:szCs w:val="24"/>
          <w:shd w:val="clear" w:color="auto" w:fill="FFFFFF"/>
          <w:lang w:val="bg-BG"/>
        </w:rPr>
        <w:t>Строителството на плавателни съдове, без тези за отдих</w:t>
      </w:r>
      <w:r w:rsidRPr="00610B1B">
        <w:rPr>
          <w:rStyle w:val="FootnoteReference"/>
          <w:rFonts w:ascii="Times New Roman" w:hAnsi="Times New Roman" w:cs="Times New Roman"/>
          <w:bCs/>
          <w:sz w:val="24"/>
          <w:szCs w:val="24"/>
          <w:shd w:val="clear" w:color="auto" w:fill="FFFFFF"/>
          <w:lang w:val="bg-BG"/>
        </w:rPr>
        <w:footnoteReference w:id="140"/>
      </w:r>
      <w:r w:rsidRPr="00610B1B">
        <w:rPr>
          <w:rFonts w:ascii="Times New Roman" w:hAnsi="Times New Roman" w:cs="Times New Roman"/>
          <w:sz w:val="24"/>
          <w:szCs w:val="24"/>
          <w:shd w:val="clear" w:color="auto" w:fill="FFFFFF"/>
          <w:lang w:val="bg-BG"/>
        </w:rPr>
        <w:t>, е локализирано в общините</w:t>
      </w:r>
      <w:r w:rsidR="00D66FE0" w:rsidRPr="00610B1B">
        <w:rPr>
          <w:rFonts w:ascii="Times New Roman" w:hAnsi="Times New Roman" w:cs="Times New Roman"/>
          <w:sz w:val="24"/>
          <w:szCs w:val="24"/>
          <w:shd w:val="clear" w:color="auto" w:fill="FFFFFF"/>
          <w:lang w:val="bg-BG"/>
        </w:rPr>
        <w:t xml:space="preserve"> </w:t>
      </w:r>
      <w:r w:rsidRPr="00610B1B">
        <w:rPr>
          <w:rFonts w:ascii="Times New Roman" w:hAnsi="Times New Roman" w:cs="Times New Roman"/>
          <w:sz w:val="24"/>
          <w:szCs w:val="24"/>
          <w:shd w:val="clear" w:color="auto" w:fill="FFFFFF"/>
          <w:lang w:val="bg-BG"/>
        </w:rPr>
        <w:t>Варна (</w:t>
      </w:r>
      <w:r w:rsidR="00434B1E" w:rsidRPr="00610B1B">
        <w:rPr>
          <w:rFonts w:ascii="Times New Roman" w:hAnsi="Times New Roman" w:cs="Times New Roman"/>
          <w:color w:val="000000"/>
          <w:sz w:val="24"/>
          <w:szCs w:val="24"/>
          <w:lang w:val="bg-BG"/>
        </w:rPr>
        <w:t>„</w:t>
      </w:r>
      <w:r w:rsidRPr="00610B1B">
        <w:rPr>
          <w:rFonts w:ascii="Times New Roman" w:hAnsi="Times New Roman" w:cs="Times New Roman"/>
          <w:color w:val="000000"/>
          <w:sz w:val="24"/>
          <w:szCs w:val="24"/>
          <w:lang w:val="bg-BG"/>
        </w:rPr>
        <w:t>Булярд корабостроителна индустрия</w:t>
      </w:r>
      <w:r w:rsidR="00434B1E" w:rsidRPr="00610B1B">
        <w:rPr>
          <w:rFonts w:ascii="Times New Roman" w:hAnsi="Times New Roman" w:cs="Times New Roman"/>
          <w:color w:val="000000"/>
          <w:sz w:val="24"/>
          <w:szCs w:val="24"/>
          <w:lang w:val="bg-BG"/>
        </w:rPr>
        <w:t>“</w:t>
      </w:r>
      <w:r w:rsidRPr="00610B1B">
        <w:rPr>
          <w:rFonts w:ascii="Times New Roman" w:hAnsi="Times New Roman" w:cs="Times New Roman"/>
          <w:color w:val="000000"/>
          <w:sz w:val="24"/>
          <w:szCs w:val="24"/>
          <w:lang w:val="bg-BG"/>
        </w:rPr>
        <w:t xml:space="preserve"> АД,</w:t>
      </w:r>
      <w:r w:rsidRPr="00610B1B">
        <w:rPr>
          <w:rFonts w:ascii="Times New Roman" w:hAnsi="Times New Roman" w:cs="Times New Roman"/>
          <w:b/>
          <w:color w:val="000000"/>
          <w:sz w:val="24"/>
          <w:szCs w:val="24"/>
          <w:lang w:val="bg-BG"/>
        </w:rPr>
        <w:t xml:space="preserve"> </w:t>
      </w:r>
      <w:r w:rsidRPr="00610B1B">
        <w:rPr>
          <w:rFonts w:ascii="Times New Roman" w:hAnsi="Times New Roman" w:cs="Times New Roman"/>
          <w:color w:val="000000"/>
          <w:sz w:val="24"/>
          <w:szCs w:val="24"/>
          <w:lang w:val="bg-BG"/>
        </w:rPr>
        <w:t>„Ула” ООД и др.</w:t>
      </w:r>
      <w:r w:rsidRPr="00610B1B">
        <w:rPr>
          <w:rFonts w:ascii="Times New Roman" w:hAnsi="Times New Roman" w:cs="Times New Roman"/>
          <w:sz w:val="24"/>
          <w:szCs w:val="24"/>
          <w:shd w:val="clear" w:color="auto" w:fill="FFFFFF"/>
          <w:lang w:val="bg-BG"/>
        </w:rPr>
        <w:t>), Бургас (</w:t>
      </w:r>
      <w:r w:rsidR="00434B1E" w:rsidRPr="00610B1B">
        <w:rPr>
          <w:rFonts w:ascii="Times New Roman" w:hAnsi="Times New Roman" w:cs="Times New Roman"/>
          <w:sz w:val="24"/>
          <w:szCs w:val="24"/>
          <w:shd w:val="clear" w:color="auto" w:fill="FFFFFF"/>
          <w:lang w:val="bg-BG"/>
        </w:rPr>
        <w:t>„</w:t>
      </w:r>
      <w:r w:rsidRPr="00610B1B">
        <w:rPr>
          <w:rFonts w:ascii="Times New Roman" w:hAnsi="Times New Roman" w:cs="Times New Roman"/>
          <w:sz w:val="24"/>
          <w:szCs w:val="24"/>
          <w:shd w:val="clear" w:color="auto" w:fill="FFFFFF"/>
          <w:lang w:val="bg-BG"/>
        </w:rPr>
        <w:t>Корабостроителница Бургас</w:t>
      </w:r>
      <w:r w:rsidR="00434B1E" w:rsidRPr="00610B1B">
        <w:rPr>
          <w:rFonts w:ascii="Times New Roman" w:hAnsi="Times New Roman" w:cs="Times New Roman"/>
          <w:sz w:val="24"/>
          <w:szCs w:val="24"/>
          <w:shd w:val="clear" w:color="auto" w:fill="FFFFFF"/>
          <w:lang w:val="bg-BG"/>
        </w:rPr>
        <w:t>“</w:t>
      </w:r>
      <w:r w:rsidRPr="00610B1B">
        <w:rPr>
          <w:rFonts w:ascii="Times New Roman" w:hAnsi="Times New Roman" w:cs="Times New Roman"/>
          <w:sz w:val="24"/>
          <w:szCs w:val="24"/>
          <w:shd w:val="clear" w:color="auto" w:fill="FFFFFF"/>
          <w:lang w:val="bg-BG"/>
        </w:rPr>
        <w:t xml:space="preserve"> ЕООД) и Белослав („МТГ-Делфин” АД). </w:t>
      </w:r>
      <w:r w:rsidRPr="00610B1B">
        <w:rPr>
          <w:rFonts w:ascii="Times New Roman" w:hAnsi="Times New Roman" w:cs="Times New Roman"/>
          <w:bCs/>
          <w:sz w:val="24"/>
          <w:szCs w:val="24"/>
          <w:lang w:val="bg-BG"/>
        </w:rPr>
        <w:t>Броят на заетите лица е около 2 хил. души</w:t>
      </w:r>
      <w:r w:rsidRPr="00610B1B">
        <w:rPr>
          <w:rStyle w:val="FootnoteReference"/>
          <w:rFonts w:ascii="Times New Roman" w:hAnsi="Times New Roman" w:cs="Times New Roman"/>
          <w:bCs/>
          <w:sz w:val="24"/>
          <w:szCs w:val="24"/>
          <w:lang w:val="bg-BG"/>
        </w:rPr>
        <w:footnoteReference w:id="141"/>
      </w:r>
      <w:r w:rsidRPr="00610B1B">
        <w:rPr>
          <w:rFonts w:ascii="Times New Roman" w:hAnsi="Times New Roman" w:cs="Times New Roman"/>
          <w:bCs/>
          <w:sz w:val="24"/>
          <w:szCs w:val="24"/>
          <w:lang w:val="bg-BG"/>
        </w:rPr>
        <w:t>.</w:t>
      </w:r>
    </w:p>
    <w:p w14:paraId="0051288A" w14:textId="77777777" w:rsidR="00527038" w:rsidRPr="00610B1B" w:rsidRDefault="00527038" w:rsidP="00D32D6A">
      <w:pPr>
        <w:spacing w:after="120"/>
        <w:ind w:right="-153"/>
        <w:jc w:val="both"/>
        <w:rPr>
          <w:rFonts w:ascii="Times New Roman" w:hAnsi="Times New Roman" w:cs="Times New Roman"/>
          <w:bCs/>
          <w:sz w:val="24"/>
          <w:szCs w:val="24"/>
          <w:shd w:val="clear" w:color="auto" w:fill="FFFFFF"/>
          <w:lang w:val="bg-BG"/>
        </w:rPr>
      </w:pPr>
      <w:r w:rsidRPr="00610B1B">
        <w:rPr>
          <w:rFonts w:ascii="Times New Roman" w:hAnsi="Times New Roman" w:cs="Times New Roman"/>
          <w:b/>
          <w:bCs/>
          <w:sz w:val="24"/>
          <w:szCs w:val="24"/>
          <w:lang w:val="bg-BG"/>
        </w:rPr>
        <w:t xml:space="preserve">Строителство на плавателни съдове за отдих (спорт и развлечение) </w:t>
      </w:r>
      <w:r w:rsidRPr="00610B1B">
        <w:rPr>
          <w:rFonts w:ascii="Times New Roman" w:hAnsi="Times New Roman" w:cs="Times New Roman"/>
          <w:bCs/>
          <w:sz w:val="24"/>
          <w:szCs w:val="24"/>
          <w:lang w:val="bg-BG"/>
        </w:rPr>
        <w:t>е локализирано основно в община Царево. Броят на заетите лица е 15 човека</w:t>
      </w:r>
      <w:r w:rsidRPr="00610B1B">
        <w:rPr>
          <w:rStyle w:val="FootnoteReference"/>
          <w:rFonts w:ascii="Times New Roman" w:hAnsi="Times New Roman" w:cs="Times New Roman"/>
          <w:bCs/>
          <w:sz w:val="24"/>
          <w:szCs w:val="24"/>
          <w:lang w:val="bg-BG"/>
        </w:rPr>
        <w:footnoteReference w:id="142"/>
      </w:r>
      <w:r w:rsidRPr="00610B1B">
        <w:rPr>
          <w:rFonts w:ascii="Times New Roman" w:hAnsi="Times New Roman" w:cs="Times New Roman"/>
          <w:bCs/>
          <w:sz w:val="24"/>
          <w:szCs w:val="24"/>
          <w:lang w:val="bg-BG"/>
        </w:rPr>
        <w:t xml:space="preserve">. </w:t>
      </w:r>
    </w:p>
    <w:p w14:paraId="448CF260" w14:textId="77777777" w:rsidR="00527038" w:rsidRPr="00610B1B" w:rsidRDefault="00527038" w:rsidP="00D32D6A">
      <w:pPr>
        <w:spacing w:after="120"/>
        <w:ind w:right="-153"/>
        <w:jc w:val="both"/>
        <w:rPr>
          <w:rFonts w:ascii="Times New Roman" w:hAnsi="Times New Roman" w:cs="Times New Roman"/>
          <w:sz w:val="24"/>
          <w:szCs w:val="24"/>
          <w:shd w:val="clear" w:color="auto" w:fill="FFFFFF"/>
          <w:lang w:val="bg-BG"/>
        </w:rPr>
      </w:pPr>
      <w:r w:rsidRPr="00610B1B">
        <w:rPr>
          <w:rFonts w:ascii="Times New Roman" w:hAnsi="Times New Roman" w:cs="Times New Roman"/>
          <w:b/>
          <w:sz w:val="24"/>
          <w:szCs w:val="24"/>
          <w:shd w:val="clear" w:color="auto" w:fill="FFFFFF"/>
          <w:lang w:val="bg-BG"/>
        </w:rPr>
        <w:t>Кораборемонтът</w:t>
      </w:r>
      <w:r w:rsidRPr="00610B1B">
        <w:rPr>
          <w:rStyle w:val="FootnoteReference"/>
          <w:rFonts w:ascii="Times New Roman" w:hAnsi="Times New Roman" w:cs="Times New Roman"/>
          <w:bCs/>
          <w:sz w:val="24"/>
          <w:szCs w:val="24"/>
          <w:shd w:val="clear" w:color="auto" w:fill="FFFFFF"/>
          <w:lang w:val="bg-BG"/>
        </w:rPr>
        <w:footnoteReference w:id="143"/>
      </w:r>
      <w:r w:rsidRPr="00610B1B">
        <w:rPr>
          <w:rFonts w:ascii="Times New Roman" w:hAnsi="Times New Roman" w:cs="Times New Roman"/>
          <w:sz w:val="24"/>
          <w:szCs w:val="24"/>
          <w:shd w:val="clear" w:color="auto" w:fill="FFFFFF"/>
          <w:lang w:val="bg-BG"/>
        </w:rPr>
        <w:t xml:space="preserve"> е най-силно представената дейност в сектора и крайбрежния район. Общата заетост надхвърля 2.5 хил.души през 2018 г. Териториалното разположение на предприятията е в общините Варна, Бургас, Белослав, Созопол. В общините Несебър, Царево, Аксаково също има регистрирани микрофирми с тази дейност.</w:t>
      </w:r>
    </w:p>
    <w:p w14:paraId="6E3B2836" w14:textId="77777777" w:rsidR="00527038" w:rsidRPr="00610B1B" w:rsidRDefault="00527038" w:rsidP="00D32D6A">
      <w:pPr>
        <w:spacing w:after="120"/>
        <w:ind w:right="-153"/>
        <w:jc w:val="both"/>
        <w:rPr>
          <w:rFonts w:ascii="Times New Roman" w:hAnsi="Times New Roman" w:cs="Times New Roman"/>
          <w:sz w:val="24"/>
          <w:szCs w:val="24"/>
          <w:shd w:val="clear" w:color="auto" w:fill="FFFFFF"/>
          <w:lang w:val="bg-BG"/>
        </w:rPr>
      </w:pPr>
      <w:r w:rsidRPr="00610B1B">
        <w:rPr>
          <w:rFonts w:ascii="Times New Roman" w:hAnsi="Times New Roman" w:cs="Times New Roman"/>
          <w:b/>
          <w:sz w:val="24"/>
          <w:szCs w:val="24"/>
          <w:shd w:val="clear" w:color="auto" w:fill="FFFFFF"/>
          <w:lang w:val="bg-BG"/>
        </w:rPr>
        <w:t>Производството на уреди и апарати за измерване, изпитване и навигация</w:t>
      </w:r>
      <w:r w:rsidRPr="00610B1B">
        <w:rPr>
          <w:rFonts w:ascii="Times New Roman" w:hAnsi="Times New Roman" w:cs="Times New Roman"/>
          <w:sz w:val="24"/>
          <w:szCs w:val="24"/>
          <w:shd w:val="clear" w:color="auto" w:fill="FFFFFF"/>
          <w:lang w:val="bg-BG"/>
        </w:rPr>
        <w:t xml:space="preserve">, както и </w:t>
      </w:r>
      <w:r w:rsidRPr="00610B1B">
        <w:rPr>
          <w:rFonts w:ascii="Times New Roman" w:hAnsi="Times New Roman" w:cs="Times New Roman"/>
          <w:b/>
          <w:sz w:val="24"/>
          <w:szCs w:val="24"/>
          <w:shd w:val="clear" w:color="auto" w:fill="FFFFFF"/>
          <w:lang w:val="bg-BG"/>
        </w:rPr>
        <w:t>производството на спортни стоки</w:t>
      </w:r>
      <w:r w:rsidRPr="00610B1B">
        <w:rPr>
          <w:rFonts w:ascii="Times New Roman" w:hAnsi="Times New Roman" w:cs="Times New Roman"/>
          <w:sz w:val="24"/>
          <w:szCs w:val="24"/>
          <w:shd w:val="clear" w:color="auto" w:fill="FFFFFF"/>
          <w:lang w:val="bg-BG"/>
        </w:rPr>
        <w:t>, са локализирани в общините Варна, Бургас и Поморие. Общата заетост през 2018 г. надхвърля 200 д.</w:t>
      </w:r>
      <w:r w:rsidRPr="00610B1B">
        <w:rPr>
          <w:rStyle w:val="FootnoteReference"/>
          <w:rFonts w:ascii="Times New Roman" w:hAnsi="Times New Roman" w:cs="Times New Roman"/>
          <w:sz w:val="24"/>
          <w:szCs w:val="24"/>
          <w:shd w:val="clear" w:color="auto" w:fill="FFFFFF"/>
          <w:lang w:val="bg-BG"/>
        </w:rPr>
        <w:footnoteReference w:id="144"/>
      </w:r>
    </w:p>
    <w:p w14:paraId="6E8297F3" w14:textId="17C1B77A" w:rsidR="00527038" w:rsidRPr="00610B1B" w:rsidRDefault="00527038" w:rsidP="00D32D6A">
      <w:pPr>
        <w:spacing w:after="120"/>
        <w:ind w:right="-153"/>
        <w:jc w:val="both"/>
        <w:rPr>
          <w:rFonts w:ascii="Times New Roman" w:hAnsi="Times New Roman" w:cs="Times New Roman"/>
          <w:sz w:val="24"/>
          <w:szCs w:val="24"/>
          <w:shd w:val="clear" w:color="auto" w:fill="FFFFFF"/>
          <w:lang w:val="bg-BG"/>
        </w:rPr>
      </w:pPr>
      <w:r w:rsidRPr="00610B1B">
        <w:rPr>
          <w:rFonts w:ascii="Times New Roman" w:hAnsi="Times New Roman" w:cs="Times New Roman"/>
          <w:sz w:val="24"/>
          <w:szCs w:val="24"/>
          <w:shd w:val="clear" w:color="auto" w:fill="FFFFFF"/>
          <w:lang w:val="bg-BG"/>
        </w:rPr>
        <w:t>Важна роля в сектора имат класификационните и проектантски организации и научни институти: Асоциация „Малки кораби и оборудване”; „Български корабен регистър” АД; „Германише лойд България” ЕООД; Институт по хидро- и аеродинамика – БАН; „Вартсила ИХБ корабно проектиране България” АД; „Корабен инженеринг, проектиране и изследвания” ООД; „Лавразия” ЕООД – Варна; „Морско проектиране” ЕООД; Териториална организация на научно-техническите съюзи – Варна.</w:t>
      </w:r>
    </w:p>
    <w:p w14:paraId="230C3AB1" w14:textId="7DA88986"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Според търговския регистър понастоящем в Черноморския район в дейности на сектора оперират над 100 фирми. Голяма част от тях са обединени в асоциации (Българска национална асоциация по корабостроене и кораборемонт – БНАКК, учредена на 28 Април 2009 г.) и клъстери (Морски клъстер България). </w:t>
      </w:r>
    </w:p>
    <w:p w14:paraId="2734640E" w14:textId="33A27621" w:rsidR="00527038" w:rsidRPr="00610B1B" w:rsidRDefault="00527038" w:rsidP="00D32D6A">
      <w:pPr>
        <w:pStyle w:val="Heading3"/>
        <w:spacing w:before="0" w:line="276" w:lineRule="auto"/>
        <w:ind w:right="-153"/>
        <w:rPr>
          <w:rFonts w:cs="Times New Roman"/>
        </w:rPr>
      </w:pPr>
      <w:bookmarkStart w:id="400" w:name="_Toc83391399"/>
      <w:r w:rsidRPr="00610B1B">
        <w:rPr>
          <w:rFonts w:cs="Times New Roman"/>
        </w:rPr>
        <w:lastRenderedPageBreak/>
        <w:t>3.6.8. Биотехнологии</w:t>
      </w:r>
      <w:bookmarkEnd w:id="400"/>
      <w:r w:rsidRPr="00610B1B">
        <w:rPr>
          <w:rFonts w:cs="Times New Roman"/>
        </w:rPr>
        <w:t xml:space="preserve"> </w:t>
      </w:r>
    </w:p>
    <w:p w14:paraId="376CFBB2" w14:textId="2DC5D7B7"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Биотехнологиите се определят като една от най-важните области за бъдещето на синята икономика. Основните приложения на биотехнологията в икономиката на ЕС попадат в четири широки групи: </w:t>
      </w:r>
    </w:p>
    <w:p w14:paraId="6B00B02E" w14:textId="595ACD63" w:rsidR="00527038" w:rsidRPr="00610B1B" w:rsidRDefault="00527038" w:rsidP="00B46189">
      <w:pPr>
        <w:numPr>
          <w:ilvl w:val="0"/>
          <w:numId w:val="45"/>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здравеопазването и фармацевтичните приложения</w:t>
      </w:r>
      <w:r w:rsidR="00213DBF" w:rsidRPr="00610B1B">
        <w:rPr>
          <w:rFonts w:ascii="Times New Roman" w:hAnsi="Times New Roman" w:cs="Times New Roman"/>
          <w:sz w:val="24"/>
          <w:szCs w:val="24"/>
          <w:lang w:val="bg-BG"/>
        </w:rPr>
        <w:t xml:space="preserve"> у</w:t>
      </w:r>
      <w:r w:rsidRPr="00610B1B">
        <w:rPr>
          <w:rFonts w:ascii="Times New Roman" w:hAnsi="Times New Roman" w:cs="Times New Roman"/>
          <w:sz w:val="24"/>
          <w:szCs w:val="24"/>
          <w:lang w:val="bg-BG"/>
        </w:rPr>
        <w:t xml:space="preserve">силията </w:t>
      </w:r>
      <w:r w:rsidR="00213DBF" w:rsidRPr="00610B1B">
        <w:rPr>
          <w:rFonts w:ascii="Times New Roman" w:hAnsi="Times New Roman" w:cs="Times New Roman"/>
          <w:sz w:val="24"/>
          <w:szCs w:val="24"/>
          <w:lang w:val="bg-BG"/>
        </w:rPr>
        <w:t xml:space="preserve">са </w:t>
      </w:r>
      <w:r w:rsidRPr="00610B1B">
        <w:rPr>
          <w:rFonts w:ascii="Times New Roman" w:hAnsi="Times New Roman" w:cs="Times New Roman"/>
          <w:sz w:val="24"/>
          <w:szCs w:val="24"/>
          <w:lang w:val="bg-BG"/>
        </w:rPr>
        <w:t xml:space="preserve">насочени към откриването и разработването на усъвършенствани лекарства, терапии, диагностика и ваксини; </w:t>
      </w:r>
    </w:p>
    <w:p w14:paraId="1473D0B8" w14:textId="7E4440DF" w:rsidR="00527038" w:rsidRPr="00610B1B" w:rsidRDefault="00527038" w:rsidP="00B46189">
      <w:pPr>
        <w:numPr>
          <w:ilvl w:val="0"/>
          <w:numId w:val="45"/>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селското стопанство, животновъдството, ветеринарните продукти и аквакултурите, където дейностите са свързани с производство на фуражи за животни, ваксини за добитък и подобр</w:t>
      </w:r>
      <w:r w:rsidR="00434B1E" w:rsidRPr="00610B1B">
        <w:rPr>
          <w:rFonts w:ascii="Times New Roman" w:hAnsi="Times New Roman" w:cs="Times New Roman"/>
          <w:sz w:val="24"/>
          <w:szCs w:val="24"/>
          <w:lang w:val="bg-BG"/>
        </w:rPr>
        <w:t xml:space="preserve">яване на </w:t>
      </w:r>
      <w:r w:rsidRPr="00610B1B">
        <w:rPr>
          <w:rFonts w:ascii="Times New Roman" w:hAnsi="Times New Roman" w:cs="Times New Roman"/>
          <w:sz w:val="24"/>
          <w:szCs w:val="24"/>
          <w:lang w:val="bg-BG"/>
        </w:rPr>
        <w:t xml:space="preserve">диагностиката за откриване на болести като СЕГ, шап и салмонела; </w:t>
      </w:r>
    </w:p>
    <w:p w14:paraId="3A1AEDFF" w14:textId="56458A2F" w:rsidR="00527038" w:rsidRPr="00610B1B" w:rsidRDefault="00527038" w:rsidP="00B46189">
      <w:pPr>
        <w:numPr>
          <w:ilvl w:val="0"/>
          <w:numId w:val="45"/>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в промишлените процеси и производството, биотехнологията е насочена </w:t>
      </w:r>
      <w:r w:rsidR="00434B1E" w:rsidRPr="00610B1B">
        <w:rPr>
          <w:rFonts w:ascii="Times New Roman" w:hAnsi="Times New Roman" w:cs="Times New Roman"/>
          <w:sz w:val="24"/>
          <w:szCs w:val="24"/>
          <w:lang w:val="bg-BG"/>
        </w:rPr>
        <w:t>към</w:t>
      </w:r>
      <w:r w:rsidRPr="00610B1B">
        <w:rPr>
          <w:rFonts w:ascii="Times New Roman" w:hAnsi="Times New Roman" w:cs="Times New Roman"/>
          <w:sz w:val="24"/>
          <w:szCs w:val="24"/>
          <w:lang w:val="bg-BG"/>
        </w:rPr>
        <w:t xml:space="preserve"> употреба на ензими в производството на детергенти, пулп и хартия, текстил и биомаса; </w:t>
      </w:r>
    </w:p>
    <w:p w14:paraId="36293098" w14:textId="7001E210" w:rsidR="00527038" w:rsidRPr="00610B1B" w:rsidRDefault="00527038" w:rsidP="00B46189">
      <w:pPr>
        <w:numPr>
          <w:ilvl w:val="0"/>
          <w:numId w:val="45"/>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производството на енергия, чрез употребата на технологи</w:t>
      </w:r>
      <w:r w:rsidR="00434B1E" w:rsidRPr="00610B1B">
        <w:rPr>
          <w:rFonts w:ascii="Times New Roman" w:hAnsi="Times New Roman" w:cs="Times New Roman"/>
          <w:sz w:val="24"/>
          <w:szCs w:val="24"/>
          <w:lang w:val="bg-BG"/>
        </w:rPr>
        <w:t>и</w:t>
      </w:r>
      <w:r w:rsidRPr="00610B1B">
        <w:rPr>
          <w:rFonts w:ascii="Times New Roman" w:hAnsi="Times New Roman" w:cs="Times New Roman"/>
          <w:sz w:val="24"/>
          <w:szCs w:val="24"/>
          <w:lang w:val="bg-BG"/>
        </w:rPr>
        <w:t xml:space="preserve"> с микроводорасли или биомаса от водорасли за биогориво.</w:t>
      </w:r>
    </w:p>
    <w:p w14:paraId="7FEC7B46" w14:textId="742F78D6"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Подсекторът на морската биотехнология е </w:t>
      </w:r>
      <w:r w:rsidR="00434B1E" w:rsidRPr="00610B1B">
        <w:rPr>
          <w:rFonts w:ascii="Times New Roman" w:hAnsi="Times New Roman" w:cs="Times New Roman"/>
          <w:sz w:val="24"/>
          <w:szCs w:val="24"/>
          <w:lang w:val="bg-BG"/>
        </w:rPr>
        <w:t>относително</w:t>
      </w:r>
      <w:r w:rsidRPr="00610B1B">
        <w:rPr>
          <w:rFonts w:ascii="Times New Roman" w:hAnsi="Times New Roman" w:cs="Times New Roman"/>
          <w:sz w:val="24"/>
          <w:szCs w:val="24"/>
          <w:lang w:val="bg-BG"/>
        </w:rPr>
        <w:t xml:space="preserve"> нов и в момента се ръководи и развива чрез национални и европейски проекти, които подкрепят и насърчават тази област. Български</w:t>
      </w:r>
      <w:r w:rsidR="00434B1E"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научни организации също участват в подобни проекти.</w:t>
      </w:r>
      <w:r w:rsidR="00434B1E"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Все още липсват систематизирани данни за развитието на сектора в България (както и в ЕС), но могат да се отбележат някои насоки в предприетите изследвания и приложението на биотехнологиите в района: </w:t>
      </w:r>
    </w:p>
    <w:p w14:paraId="2E421E3F" w14:textId="320124D8" w:rsidR="00527038" w:rsidRPr="00610B1B" w:rsidRDefault="00527038" w:rsidP="00B46189">
      <w:pPr>
        <w:numPr>
          <w:ilvl w:val="0"/>
          <w:numId w:val="3"/>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Лечебно</w:t>
      </w:r>
      <w:r w:rsidR="00434B1E" w:rsidRPr="00610B1B">
        <w:rPr>
          <w:rFonts w:ascii="Times New Roman" w:hAnsi="Times New Roman" w:cs="Times New Roman"/>
          <w:sz w:val="24"/>
          <w:szCs w:val="24"/>
          <w:lang w:val="bg-BG"/>
        </w:rPr>
        <w:t xml:space="preserve"> и козметично </w:t>
      </w:r>
      <w:r w:rsidRPr="00610B1B">
        <w:rPr>
          <w:rFonts w:ascii="Times New Roman" w:hAnsi="Times New Roman" w:cs="Times New Roman"/>
          <w:sz w:val="24"/>
          <w:szCs w:val="24"/>
          <w:lang w:val="bg-BG"/>
        </w:rPr>
        <w:t xml:space="preserve">приложение на лугата, която се добива в крайморските езера от морската вода, богата на редица соли. </w:t>
      </w:r>
    </w:p>
    <w:p w14:paraId="398F2D6E" w14:textId="2527C8FF" w:rsidR="00527038" w:rsidRPr="00610B1B" w:rsidRDefault="00527038" w:rsidP="00B46189">
      <w:pPr>
        <w:numPr>
          <w:ilvl w:val="0"/>
          <w:numId w:val="3"/>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Провеждане на терапии с лечебна кал, която се добива от крайморските езера и разширява лечебните възможности на българското крайбрежие. Практикува се в Поморие, с. </w:t>
      </w:r>
      <w:r w:rsidR="00213DBF" w:rsidRPr="00610B1B">
        <w:rPr>
          <w:rFonts w:ascii="Times New Roman" w:hAnsi="Times New Roman" w:cs="Times New Roman"/>
          <w:sz w:val="24"/>
          <w:szCs w:val="24"/>
          <w:lang w:val="bg-BG"/>
        </w:rPr>
        <w:t>Ветрен</w:t>
      </w:r>
      <w:r w:rsidRPr="00610B1B">
        <w:rPr>
          <w:rFonts w:ascii="Times New Roman" w:hAnsi="Times New Roman" w:cs="Times New Roman"/>
          <w:sz w:val="24"/>
          <w:szCs w:val="24"/>
          <w:lang w:val="bg-BG"/>
        </w:rPr>
        <w:t xml:space="preserve"> (Бургас), Тузлата край Балчик, с. Шабла и във Варненското езеро. </w:t>
      </w:r>
    </w:p>
    <w:p w14:paraId="44CEA6EF" w14:textId="57F395EC" w:rsidR="00527038" w:rsidRPr="00610B1B" w:rsidRDefault="00527038" w:rsidP="00B46189">
      <w:pPr>
        <w:numPr>
          <w:ilvl w:val="0"/>
          <w:numId w:val="3"/>
        </w:numPr>
        <w:tabs>
          <w:tab w:val="left" w:pos="4770"/>
        </w:tabs>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Изграждане на капацитет и обединяване на ресурси и знания във водещи направления на морските биотехнологии за практическото прилагане на политиките чрез национални научни програми. </w:t>
      </w:r>
      <w:r w:rsidR="00213DBF" w:rsidRPr="00610B1B">
        <w:rPr>
          <w:rFonts w:ascii="Times New Roman" w:hAnsi="Times New Roman" w:cs="Times New Roman"/>
          <w:sz w:val="24"/>
          <w:szCs w:val="24"/>
          <w:lang w:val="bg-BG"/>
        </w:rPr>
        <w:t xml:space="preserve">Подобни </w:t>
      </w:r>
      <w:r w:rsidRPr="00610B1B">
        <w:rPr>
          <w:rFonts w:ascii="Times New Roman" w:hAnsi="Times New Roman" w:cs="Times New Roman"/>
          <w:sz w:val="24"/>
          <w:szCs w:val="24"/>
          <w:lang w:val="bg-BG"/>
        </w:rPr>
        <w:t>дейности се предвиждат в</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Националната научна програма за здравословни храни за силна биоикономика и качество на живот</w:t>
      </w:r>
      <w:r w:rsidRPr="00610B1B">
        <w:rPr>
          <w:rStyle w:val="FootnoteReference"/>
          <w:rFonts w:ascii="Times New Roman" w:hAnsi="Times New Roman" w:cs="Times New Roman"/>
          <w:sz w:val="24"/>
          <w:szCs w:val="24"/>
          <w:lang w:val="bg-BG"/>
        </w:rPr>
        <w:footnoteReference w:id="145"/>
      </w:r>
      <w:r w:rsidRPr="00610B1B">
        <w:rPr>
          <w:rFonts w:ascii="Times New Roman" w:hAnsi="Times New Roman" w:cs="Times New Roman"/>
          <w:sz w:val="24"/>
          <w:szCs w:val="24"/>
          <w:lang w:val="bg-BG"/>
        </w:rPr>
        <w:t>, която се очаква да бъде финансирана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по приоритет „Продоволствена сигурност, устойчиво селско и горско стопанство, морски и вътрешноводни изследвания и биоикономика“ </w:t>
      </w:r>
      <w:r w:rsidR="00250A42" w:rsidRPr="00610B1B">
        <w:rPr>
          <w:rFonts w:ascii="Times New Roman" w:hAnsi="Times New Roman" w:cs="Times New Roman"/>
          <w:sz w:val="24"/>
          <w:szCs w:val="24"/>
          <w:lang w:val="bg-BG"/>
        </w:rPr>
        <w:t>на</w:t>
      </w:r>
      <w:r w:rsidRPr="00610B1B">
        <w:rPr>
          <w:rFonts w:ascii="Times New Roman" w:hAnsi="Times New Roman" w:cs="Times New Roman"/>
          <w:sz w:val="24"/>
          <w:szCs w:val="24"/>
          <w:lang w:val="bg-BG"/>
        </w:rPr>
        <w:t xml:space="preserve"> Рамковата програма на Европейския съюз за научни изследвания и иновации Хоризонт 2020 и бъдещата Рамкова програма Хоризонт Европа.</w:t>
      </w:r>
    </w:p>
    <w:p w14:paraId="46E6EDB9" w14:textId="3C94A8E6" w:rsidR="00527038" w:rsidRPr="00610B1B" w:rsidRDefault="00527038" w:rsidP="00B46189">
      <w:pPr>
        <w:numPr>
          <w:ilvl w:val="0"/>
          <w:numId w:val="3"/>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 xml:space="preserve">Провеждане на мащабно изследване от учени от Медицинския университет във Варна, което ще провери полезните съставки на черноморските водорасли, по-специално на пет вида водорасли (един вид червени водорасли, два вида зелени, и два </w:t>
      </w:r>
      <w:r w:rsidR="00434B1E" w:rsidRPr="00610B1B">
        <w:rPr>
          <w:rFonts w:ascii="Times New Roman" w:hAnsi="Times New Roman" w:cs="Times New Roman"/>
          <w:sz w:val="24"/>
          <w:szCs w:val="24"/>
          <w:lang w:val="bg-BG"/>
        </w:rPr>
        <w:t xml:space="preserve">вида </w:t>
      </w:r>
      <w:r w:rsidRPr="00610B1B">
        <w:rPr>
          <w:rFonts w:ascii="Times New Roman" w:hAnsi="Times New Roman" w:cs="Times New Roman"/>
          <w:sz w:val="24"/>
          <w:szCs w:val="24"/>
          <w:lang w:val="bg-BG"/>
        </w:rPr>
        <w:t>кафяви);</w:t>
      </w:r>
    </w:p>
    <w:p w14:paraId="243AB650" w14:textId="32DB0806" w:rsidR="00527038" w:rsidRPr="00610B1B" w:rsidRDefault="00527038" w:rsidP="00B46189">
      <w:pPr>
        <w:numPr>
          <w:ilvl w:val="0"/>
          <w:numId w:val="3"/>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Подкрепа на идеи за развитие на ферми за водорасли, което е свързано с редица изследвания относно качествата и приложенията на водораслите в Черно море</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и тяхното аквакултурно производство.</w:t>
      </w:r>
    </w:p>
    <w:p w14:paraId="7B70E84F" w14:textId="77777777" w:rsidR="00527038" w:rsidRPr="00610B1B" w:rsidRDefault="00527038"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Финансирането е основен проблем за малките и средните предприятия, участващи в синята биотехнология. При липса на лесен достъп до инвестиции, публичните фондове могат да работят в сътрудничество с изследователи в университети или по-големи индустриални компании. </w:t>
      </w:r>
    </w:p>
    <w:p w14:paraId="358D2951" w14:textId="77777777" w:rsidR="00527038" w:rsidRPr="00610B1B" w:rsidRDefault="00527038" w:rsidP="00D32D6A">
      <w:pPr>
        <w:spacing w:after="120"/>
        <w:ind w:right="-153"/>
        <w:jc w:val="both"/>
        <w:rPr>
          <w:rFonts w:ascii="Times New Roman" w:hAnsi="Times New Roman" w:cs="Times New Roman"/>
          <w:sz w:val="24"/>
          <w:szCs w:val="24"/>
          <w:lang w:val="bg-BG"/>
        </w:rPr>
      </w:pPr>
    </w:p>
    <w:p w14:paraId="45A8F1A0" w14:textId="355BC4E5" w:rsidR="009C0D93" w:rsidRPr="00610B1B" w:rsidRDefault="007B78A7" w:rsidP="00D32D6A">
      <w:pPr>
        <w:pStyle w:val="Heading2"/>
        <w:spacing w:before="0" w:line="276" w:lineRule="auto"/>
        <w:ind w:right="-153"/>
        <w:rPr>
          <w:rFonts w:eastAsia="Times New Roman" w:cs="Times New Roman"/>
          <w:b w:val="0"/>
          <w:sz w:val="24"/>
          <w:szCs w:val="24"/>
          <w:u w:val="single"/>
        </w:rPr>
      </w:pPr>
      <w:bookmarkStart w:id="401" w:name="_Toc83391400"/>
      <w:r w:rsidRPr="00610B1B">
        <w:rPr>
          <w:rFonts w:cs="Times New Roman"/>
        </w:rPr>
        <w:t>3</w:t>
      </w:r>
      <w:r w:rsidR="00BF417A" w:rsidRPr="00610B1B">
        <w:rPr>
          <w:rFonts w:cs="Times New Roman"/>
        </w:rPr>
        <w:t xml:space="preserve">.7. </w:t>
      </w:r>
      <w:r w:rsidR="00A22DF2" w:rsidRPr="00610B1B">
        <w:rPr>
          <w:rFonts w:cs="Times New Roman"/>
        </w:rPr>
        <w:t>Опазване на културното наследство</w:t>
      </w:r>
      <w:bookmarkEnd w:id="401"/>
    </w:p>
    <w:p w14:paraId="02D332D3" w14:textId="115FBCAB" w:rsidR="00250A42" w:rsidRPr="00610B1B" w:rsidRDefault="00442579" w:rsidP="00D32D6A">
      <w:pPr>
        <w:shd w:val="clear" w:color="auto" w:fill="FFFFFF"/>
        <w:adjustRightInd w:val="0"/>
        <w:spacing w:after="120"/>
        <w:ind w:right="-153"/>
        <w:jc w:val="both"/>
        <w:textAlignment w:val="baseline"/>
        <w:rPr>
          <w:rFonts w:ascii="Times New Roman" w:eastAsia="Times New Roman" w:hAnsi="Times New Roman" w:cs="Times New Roman"/>
          <w:sz w:val="24"/>
          <w:szCs w:val="24"/>
          <w:lang w:val="bg-BG"/>
        </w:rPr>
      </w:pPr>
      <w:r w:rsidRPr="00610B1B">
        <w:rPr>
          <w:rFonts w:ascii="Times New Roman" w:eastAsia="Times New Roman" w:hAnsi="Times New Roman" w:cs="Times New Roman"/>
          <w:bCs/>
          <w:iCs/>
          <w:sz w:val="24"/>
          <w:szCs w:val="24"/>
          <w:lang w:val="bg-BG" w:eastAsia="bg-BG"/>
        </w:rPr>
        <w:t xml:space="preserve">Дейностите, свързани с анализ, оценка и прогнози, отнасящи се до обектите на културното наследство </w:t>
      </w:r>
      <w:r w:rsidR="00014204" w:rsidRPr="00610B1B">
        <w:rPr>
          <w:rFonts w:ascii="Times New Roman" w:eastAsia="Times New Roman" w:hAnsi="Times New Roman" w:cs="Times New Roman"/>
          <w:bCs/>
          <w:iCs/>
          <w:sz w:val="24"/>
          <w:szCs w:val="24"/>
          <w:lang w:val="bg-BG" w:eastAsia="bg-BG"/>
        </w:rPr>
        <w:t xml:space="preserve">в </w:t>
      </w:r>
      <w:r w:rsidRPr="00610B1B">
        <w:rPr>
          <w:rFonts w:ascii="Times New Roman" w:eastAsia="Times New Roman" w:hAnsi="Times New Roman" w:cs="Times New Roman"/>
          <w:bCs/>
          <w:iCs/>
          <w:sz w:val="24"/>
          <w:szCs w:val="24"/>
          <w:lang w:val="bg-BG" w:eastAsia="bg-BG"/>
        </w:rPr>
        <w:t xml:space="preserve">българските морски пространства и крайбрежна зона (под вода и на суша) на Черно море, са неделима част от Морския пространствен план на Република България (МППРБ). </w:t>
      </w:r>
      <w:r w:rsidR="00014204" w:rsidRPr="00610B1B">
        <w:rPr>
          <w:rFonts w:ascii="Times New Roman" w:eastAsia="Times New Roman" w:hAnsi="Times New Roman" w:cs="Times New Roman"/>
          <w:bCs/>
          <w:iCs/>
          <w:sz w:val="24"/>
          <w:szCs w:val="24"/>
          <w:lang w:val="bg-BG" w:eastAsia="bg-BG"/>
        </w:rPr>
        <w:t>Той</w:t>
      </w:r>
      <w:r w:rsidRPr="00610B1B">
        <w:rPr>
          <w:rFonts w:ascii="Times New Roman" w:eastAsia="Times New Roman" w:hAnsi="Times New Roman" w:cs="Times New Roman"/>
          <w:sz w:val="24"/>
          <w:szCs w:val="24"/>
          <w:lang w:val="bg-BG"/>
        </w:rPr>
        <w:t xml:space="preserve"> е съобразен и със съществуващия европейски опит за </w:t>
      </w:r>
      <w:r w:rsidR="00014204" w:rsidRPr="00610B1B">
        <w:rPr>
          <w:rFonts w:ascii="Times New Roman" w:eastAsia="Times New Roman" w:hAnsi="Times New Roman" w:cs="Times New Roman"/>
          <w:sz w:val="24"/>
          <w:szCs w:val="24"/>
          <w:lang w:val="bg-BG"/>
        </w:rPr>
        <w:t xml:space="preserve">изготвяне </w:t>
      </w:r>
      <w:r w:rsidRPr="00610B1B">
        <w:rPr>
          <w:rFonts w:ascii="Times New Roman" w:eastAsia="Times New Roman" w:hAnsi="Times New Roman" w:cs="Times New Roman"/>
          <w:sz w:val="24"/>
          <w:szCs w:val="24"/>
          <w:lang w:val="bg-BG"/>
        </w:rPr>
        <w:t>на такива планове, особено в случаите,</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когато в техния териториален обхват попадат обекти на Световното културно наследство.</w:t>
      </w:r>
    </w:p>
    <w:p w14:paraId="44272F40" w14:textId="502136B8" w:rsidR="00442579" w:rsidRPr="00610B1B" w:rsidRDefault="00250A42" w:rsidP="00D32D6A">
      <w:pPr>
        <w:shd w:val="clear" w:color="auto" w:fill="FFFFFF"/>
        <w:adjustRightInd w:val="0"/>
        <w:spacing w:after="120"/>
        <w:ind w:right="-153"/>
        <w:jc w:val="both"/>
        <w:textAlignment w:val="baseline"/>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За целите на плана се приема </w:t>
      </w:r>
      <w:r w:rsidR="00442579" w:rsidRPr="00610B1B">
        <w:rPr>
          <w:rFonts w:ascii="Times New Roman" w:eastAsia="Times New Roman" w:hAnsi="Times New Roman" w:cs="Times New Roman"/>
          <w:sz w:val="24"/>
          <w:szCs w:val="24"/>
          <w:lang w:val="bg-BG"/>
        </w:rPr>
        <w:t xml:space="preserve">дефиницията на Конвенцията на ЮНЕСКО за опазване на подводното културно наследство (чл. 1, а), а именно </w:t>
      </w:r>
      <w:r w:rsidRPr="00610B1B">
        <w:rPr>
          <w:rFonts w:ascii="Times New Roman" w:eastAsia="Times New Roman" w:hAnsi="Times New Roman" w:cs="Times New Roman"/>
          <w:sz w:val="24"/>
          <w:szCs w:val="24"/>
          <w:lang w:val="bg-BG"/>
        </w:rPr>
        <w:t>„</w:t>
      </w:r>
      <w:r w:rsidR="00442579" w:rsidRPr="00610B1B">
        <w:rPr>
          <w:rFonts w:ascii="Times New Roman" w:eastAsia="Times New Roman" w:hAnsi="Times New Roman" w:cs="Times New Roman"/>
          <w:sz w:val="24"/>
          <w:szCs w:val="24"/>
          <w:lang w:val="bg-BG"/>
        </w:rPr>
        <w:t>подводно културно наследство са всички следи от човешко съществувание от културно, историческо или археологическо естество, които са частично или изцяло, периодично или постоянно под вода, от най-малко 100 години, а именно:</w:t>
      </w:r>
      <w:r w:rsidRPr="00610B1B">
        <w:rPr>
          <w:rFonts w:ascii="Times New Roman" w:eastAsia="Times New Roman" w:hAnsi="Times New Roman" w:cs="Times New Roman"/>
          <w:sz w:val="24"/>
          <w:szCs w:val="24"/>
          <w:lang w:val="bg-BG"/>
        </w:rPr>
        <w:t xml:space="preserve"> </w:t>
      </w:r>
      <w:r w:rsidR="00442579" w:rsidRPr="00610B1B">
        <w:rPr>
          <w:rFonts w:ascii="Times New Roman" w:eastAsia="Times New Roman" w:hAnsi="Times New Roman" w:cs="Times New Roman"/>
          <w:sz w:val="24"/>
          <w:szCs w:val="24"/>
          <w:lang w:val="bg-BG"/>
        </w:rPr>
        <w:t>селища, структурни, сгради, предмети и човешки останки, заедно с техния археологически и природен контекст;</w:t>
      </w:r>
      <w:r w:rsidRPr="00610B1B">
        <w:rPr>
          <w:rFonts w:ascii="Times New Roman" w:eastAsia="Times New Roman" w:hAnsi="Times New Roman" w:cs="Times New Roman"/>
          <w:sz w:val="24"/>
          <w:szCs w:val="24"/>
          <w:lang w:val="bg-BG"/>
        </w:rPr>
        <w:t xml:space="preserve"> п</w:t>
      </w:r>
      <w:r w:rsidR="00442579" w:rsidRPr="00610B1B">
        <w:rPr>
          <w:rFonts w:ascii="Times New Roman" w:eastAsia="Times New Roman" w:hAnsi="Times New Roman" w:cs="Times New Roman"/>
          <w:sz w:val="24"/>
          <w:szCs w:val="24"/>
          <w:lang w:val="bg-BG"/>
        </w:rPr>
        <w:t>лавателни съдове, въздухоплавателни средства, други превозни средства или части от тях, с техния товар или друго съдържание, заедно с техния археологически и природен контекст;</w:t>
      </w:r>
      <w:r w:rsidRPr="00610B1B">
        <w:rPr>
          <w:rFonts w:ascii="Times New Roman" w:eastAsia="Times New Roman" w:hAnsi="Times New Roman" w:cs="Times New Roman"/>
          <w:sz w:val="24"/>
          <w:szCs w:val="24"/>
          <w:lang w:val="bg-BG"/>
        </w:rPr>
        <w:t xml:space="preserve"> </w:t>
      </w:r>
      <w:r w:rsidR="00442579" w:rsidRPr="00610B1B">
        <w:rPr>
          <w:rFonts w:ascii="Times New Roman" w:eastAsia="Times New Roman" w:hAnsi="Times New Roman" w:cs="Times New Roman"/>
          <w:sz w:val="24"/>
          <w:szCs w:val="24"/>
          <w:lang w:val="bg-BG"/>
        </w:rPr>
        <w:t>праисторически предмети</w:t>
      </w:r>
      <w:r w:rsidRPr="00610B1B">
        <w:rPr>
          <w:rFonts w:ascii="Times New Roman" w:eastAsia="Times New Roman" w:hAnsi="Times New Roman" w:cs="Times New Roman"/>
          <w:sz w:val="24"/>
          <w:szCs w:val="24"/>
          <w:lang w:val="bg-BG"/>
        </w:rPr>
        <w:t>“</w:t>
      </w:r>
      <w:r w:rsidR="00442579" w:rsidRPr="00610B1B">
        <w:rPr>
          <w:rFonts w:ascii="Times New Roman" w:eastAsia="Times New Roman" w:hAnsi="Times New Roman" w:cs="Times New Roman"/>
          <w:sz w:val="24"/>
          <w:szCs w:val="24"/>
          <w:lang w:val="bg-BG"/>
        </w:rPr>
        <w:t xml:space="preserve">. </w:t>
      </w:r>
    </w:p>
    <w:p w14:paraId="685CD75A" w14:textId="73BD1714" w:rsidR="00442579" w:rsidRPr="00610B1B" w:rsidRDefault="00442579"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Cs/>
          <w:sz w:val="24"/>
          <w:szCs w:val="24"/>
          <w:lang w:val="bg-BG" w:eastAsia="bg-BG"/>
        </w:rPr>
        <w:t xml:space="preserve">Заедно с културно наследство, което днес е под вода, </w:t>
      </w:r>
      <w:r w:rsidR="00250A42" w:rsidRPr="00610B1B">
        <w:rPr>
          <w:rFonts w:ascii="Times New Roman" w:eastAsia="Times New Roman" w:hAnsi="Times New Roman" w:cs="Times New Roman"/>
          <w:bCs/>
          <w:iCs/>
          <w:sz w:val="24"/>
          <w:szCs w:val="24"/>
          <w:lang w:val="bg-BG" w:eastAsia="bg-BG"/>
        </w:rPr>
        <w:t>са</w:t>
      </w:r>
      <w:r w:rsidRPr="00610B1B">
        <w:rPr>
          <w:rFonts w:ascii="Times New Roman" w:eastAsia="Times New Roman" w:hAnsi="Times New Roman" w:cs="Times New Roman"/>
          <w:bCs/>
          <w:iCs/>
          <w:sz w:val="24"/>
          <w:szCs w:val="24"/>
          <w:lang w:val="bg-BG" w:eastAsia="bg-BG"/>
        </w:rPr>
        <w:t xml:space="preserve"> анализирани и намиращите се по бреговата ивица</w:t>
      </w:r>
      <w:r w:rsidR="00D66FE0" w:rsidRPr="00610B1B">
        <w:rPr>
          <w:rFonts w:ascii="Times New Roman" w:eastAsia="Times New Roman" w:hAnsi="Times New Roman" w:cs="Times New Roman"/>
          <w:bCs/>
          <w:iCs/>
          <w:sz w:val="24"/>
          <w:szCs w:val="24"/>
          <w:lang w:val="bg-BG" w:eastAsia="bg-BG"/>
        </w:rPr>
        <w:t xml:space="preserve"> </w:t>
      </w:r>
      <w:r w:rsidRPr="00610B1B">
        <w:rPr>
          <w:rFonts w:ascii="Times New Roman" w:eastAsia="Times New Roman" w:hAnsi="Times New Roman" w:cs="Times New Roman"/>
          <w:bCs/>
          <w:iCs/>
          <w:sz w:val="24"/>
          <w:szCs w:val="24"/>
          <w:lang w:val="bg-BG" w:eastAsia="bg-BG"/>
        </w:rPr>
        <w:t>недвижими културни ценности (НКЦ), които са</w:t>
      </w:r>
      <w:r w:rsidR="00D66FE0" w:rsidRPr="00610B1B">
        <w:rPr>
          <w:rFonts w:ascii="Times New Roman" w:eastAsia="Times New Roman" w:hAnsi="Times New Roman" w:cs="Times New Roman"/>
          <w:bCs/>
          <w:iCs/>
          <w:sz w:val="24"/>
          <w:szCs w:val="24"/>
          <w:lang w:val="bg-BG" w:eastAsia="bg-BG"/>
        </w:rPr>
        <w:t xml:space="preserve"> </w:t>
      </w:r>
      <w:r w:rsidRPr="00610B1B">
        <w:rPr>
          <w:rFonts w:ascii="Times New Roman" w:eastAsia="Times New Roman" w:hAnsi="Times New Roman" w:cs="Times New Roman"/>
          <w:bCs/>
          <w:iCs/>
          <w:sz w:val="24"/>
          <w:szCs w:val="24"/>
          <w:lang w:val="bg-BG" w:eastAsia="bg-BG"/>
        </w:rPr>
        <w:t>в непосредствена, смислова и физическа връзка с подводните такива</w:t>
      </w:r>
      <w:r w:rsidR="00250A42" w:rsidRPr="00610B1B">
        <w:rPr>
          <w:rFonts w:ascii="Times New Roman" w:eastAsia="Times New Roman" w:hAnsi="Times New Roman" w:cs="Times New Roman"/>
          <w:bCs/>
          <w:iCs/>
          <w:sz w:val="24"/>
          <w:szCs w:val="24"/>
          <w:lang w:val="bg-BG" w:eastAsia="bg-BG"/>
        </w:rPr>
        <w:t xml:space="preserve">. </w:t>
      </w:r>
      <w:r w:rsidR="00014204" w:rsidRPr="00610B1B">
        <w:rPr>
          <w:rFonts w:ascii="Times New Roman" w:eastAsia="Times New Roman" w:hAnsi="Times New Roman" w:cs="Times New Roman"/>
          <w:bCs/>
          <w:iCs/>
          <w:sz w:val="24"/>
          <w:szCs w:val="24"/>
          <w:lang w:val="bg-BG" w:eastAsia="bg-BG"/>
        </w:rPr>
        <w:t xml:space="preserve">Подходът на работа е съобразен с насоките на развитие на културното наследство </w:t>
      </w:r>
      <w:r w:rsidRPr="00610B1B">
        <w:rPr>
          <w:rFonts w:ascii="Times New Roman" w:eastAsia="Times New Roman" w:hAnsi="Times New Roman" w:cs="Times New Roman"/>
          <w:sz w:val="24"/>
          <w:szCs w:val="24"/>
          <w:lang w:val="bg-BG"/>
        </w:rPr>
        <w:t>и неговото опазване</w:t>
      </w:r>
      <w:r w:rsidR="008E4331" w:rsidRPr="00610B1B">
        <w:rPr>
          <w:rFonts w:ascii="Times New Roman" w:eastAsia="Times New Roman" w:hAnsi="Times New Roman" w:cs="Times New Roman"/>
          <w:sz w:val="24"/>
          <w:szCs w:val="24"/>
          <w:lang w:val="bg-BG"/>
        </w:rPr>
        <w:t xml:space="preserve"> и тенденциите за нарастване на неговото значение като </w:t>
      </w:r>
      <w:r w:rsidRPr="00610B1B">
        <w:rPr>
          <w:rFonts w:ascii="Times New Roman" w:eastAsia="Times New Roman" w:hAnsi="Times New Roman" w:cs="Times New Roman"/>
          <w:sz w:val="24"/>
          <w:szCs w:val="24"/>
          <w:lang w:val="bg-BG"/>
        </w:rPr>
        <w:t>ресурс</w:t>
      </w:r>
      <w:r w:rsidR="008E4331" w:rsidRPr="00610B1B">
        <w:rPr>
          <w:rFonts w:ascii="Times New Roman" w:eastAsia="Times New Roman" w:hAnsi="Times New Roman" w:cs="Times New Roman"/>
          <w:sz w:val="24"/>
          <w:szCs w:val="24"/>
          <w:lang w:val="bg-BG"/>
        </w:rPr>
        <w:t xml:space="preserve">, носител на традиции, памет, </w:t>
      </w:r>
      <w:r w:rsidRPr="00610B1B">
        <w:rPr>
          <w:rFonts w:ascii="Times New Roman" w:eastAsia="Times New Roman" w:hAnsi="Times New Roman" w:cs="Times New Roman"/>
          <w:sz w:val="24"/>
          <w:szCs w:val="24"/>
          <w:lang w:val="bg-BG"/>
        </w:rPr>
        <w:t>идентичност</w:t>
      </w:r>
      <w:r w:rsidR="008E4331" w:rsidRPr="00610B1B">
        <w:rPr>
          <w:rFonts w:ascii="Times New Roman" w:eastAsia="Times New Roman" w:hAnsi="Times New Roman" w:cs="Times New Roman"/>
          <w:sz w:val="24"/>
          <w:szCs w:val="24"/>
          <w:lang w:val="bg-BG"/>
        </w:rPr>
        <w:t>, уникалност и неповторимост. Отчетени са неговите разширяващи се социални функции и съдържание, което достига до и</w:t>
      </w:r>
      <w:r w:rsidRPr="00610B1B">
        <w:rPr>
          <w:rFonts w:ascii="Times New Roman" w:eastAsia="Times New Roman" w:hAnsi="Times New Roman" w:cs="Times New Roman"/>
          <w:sz w:val="24"/>
          <w:szCs w:val="24"/>
          <w:lang w:val="bg-BG"/>
        </w:rPr>
        <w:t>нтегрална</w:t>
      </w:r>
      <w:r w:rsidR="00CE3A92" w:rsidRPr="00610B1B">
        <w:rPr>
          <w:rFonts w:ascii="Times New Roman" w:eastAsia="Times New Roman" w:hAnsi="Times New Roman" w:cs="Times New Roman"/>
          <w:sz w:val="24"/>
          <w:szCs w:val="24"/>
          <w:lang w:val="bg-BG"/>
        </w:rPr>
        <w:t>та</w:t>
      </w:r>
      <w:r w:rsidRPr="00610B1B">
        <w:rPr>
          <w:rFonts w:ascii="Times New Roman" w:eastAsia="Times New Roman" w:hAnsi="Times New Roman" w:cs="Times New Roman"/>
          <w:sz w:val="24"/>
          <w:szCs w:val="24"/>
          <w:lang w:val="bg-BG"/>
        </w:rPr>
        <w:t xml:space="preserve"> културна среда, резултат от взаимодействие</w:t>
      </w:r>
      <w:r w:rsidR="008E4331" w:rsidRPr="00610B1B">
        <w:rPr>
          <w:rFonts w:ascii="Times New Roman" w:eastAsia="Times New Roman" w:hAnsi="Times New Roman" w:cs="Times New Roman"/>
          <w:sz w:val="24"/>
          <w:szCs w:val="24"/>
          <w:lang w:val="bg-BG"/>
        </w:rPr>
        <w:t>то</w:t>
      </w:r>
      <w:r w:rsidRPr="00610B1B">
        <w:rPr>
          <w:rFonts w:ascii="Times New Roman" w:eastAsia="Times New Roman" w:hAnsi="Times New Roman" w:cs="Times New Roman"/>
          <w:sz w:val="24"/>
          <w:szCs w:val="24"/>
          <w:lang w:val="bg-BG"/>
        </w:rPr>
        <w:t xml:space="preserve"> между човека и територията с всички наследени материални и нематериални</w:t>
      </w:r>
      <w:r w:rsidR="00CE3A92" w:rsidRPr="00610B1B">
        <w:rPr>
          <w:rFonts w:ascii="Times New Roman" w:eastAsia="Times New Roman" w:hAnsi="Times New Roman" w:cs="Times New Roman"/>
          <w:sz w:val="24"/>
          <w:szCs w:val="24"/>
          <w:lang w:val="bg-BG"/>
        </w:rPr>
        <w:t xml:space="preserve"> ценности</w:t>
      </w:r>
      <w:r w:rsidRPr="00610B1B">
        <w:rPr>
          <w:rFonts w:ascii="Times New Roman" w:eastAsia="Times New Roman" w:hAnsi="Times New Roman" w:cs="Times New Roman"/>
          <w:sz w:val="24"/>
          <w:szCs w:val="24"/>
          <w:lang w:val="bg-BG"/>
        </w:rPr>
        <w:t xml:space="preserve">. Териториалният обхват на културното наследство се разраства </w:t>
      </w:r>
      <w:r w:rsidR="00CE3A92" w:rsidRPr="00610B1B">
        <w:rPr>
          <w:rFonts w:ascii="Times New Roman" w:eastAsia="Times New Roman" w:hAnsi="Times New Roman" w:cs="Times New Roman"/>
          <w:sz w:val="24"/>
          <w:szCs w:val="24"/>
          <w:lang w:val="bg-BG"/>
        </w:rPr>
        <w:t>и о</w:t>
      </w:r>
      <w:r w:rsidRPr="00610B1B">
        <w:rPr>
          <w:rFonts w:ascii="Times New Roman" w:eastAsia="Times New Roman" w:hAnsi="Times New Roman" w:cs="Times New Roman"/>
          <w:sz w:val="24"/>
          <w:szCs w:val="24"/>
          <w:lang w:val="bg-BG"/>
        </w:rPr>
        <w:t xml:space="preserve">свен единичната културна ценност </w:t>
      </w:r>
      <w:r w:rsidR="008E4331" w:rsidRPr="00610B1B">
        <w:rPr>
          <w:rFonts w:ascii="Times New Roman" w:eastAsia="Times New Roman" w:hAnsi="Times New Roman" w:cs="Times New Roman"/>
          <w:sz w:val="24"/>
          <w:szCs w:val="24"/>
          <w:lang w:val="bg-BG"/>
        </w:rPr>
        <w:t>са разгледани</w:t>
      </w:r>
      <w:r w:rsidR="00CE3A92"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културн</w:t>
      </w:r>
      <w:r w:rsidR="008E4331" w:rsidRPr="00610B1B">
        <w:rPr>
          <w:rFonts w:ascii="Times New Roman" w:eastAsia="Times New Roman" w:hAnsi="Times New Roman" w:cs="Times New Roman"/>
          <w:sz w:val="24"/>
          <w:szCs w:val="24"/>
          <w:lang w:val="bg-BG"/>
        </w:rPr>
        <w:t>ия</w:t>
      </w:r>
      <w:r w:rsidRPr="00610B1B">
        <w:rPr>
          <w:rFonts w:ascii="Times New Roman" w:eastAsia="Times New Roman" w:hAnsi="Times New Roman" w:cs="Times New Roman"/>
          <w:sz w:val="24"/>
          <w:szCs w:val="24"/>
          <w:lang w:val="bg-BG"/>
        </w:rPr>
        <w:t xml:space="preserve"> ландшафт, културн</w:t>
      </w:r>
      <w:r w:rsidR="008E4331" w:rsidRPr="00610B1B">
        <w:rPr>
          <w:rFonts w:ascii="Times New Roman" w:eastAsia="Times New Roman" w:hAnsi="Times New Roman" w:cs="Times New Roman"/>
          <w:sz w:val="24"/>
          <w:szCs w:val="24"/>
          <w:lang w:val="bg-BG"/>
        </w:rPr>
        <w:t>ия</w:t>
      </w:r>
      <w:r w:rsidRPr="00610B1B">
        <w:rPr>
          <w:rFonts w:ascii="Times New Roman" w:eastAsia="Times New Roman" w:hAnsi="Times New Roman" w:cs="Times New Roman"/>
          <w:sz w:val="24"/>
          <w:szCs w:val="24"/>
          <w:lang w:val="bg-BG"/>
        </w:rPr>
        <w:t xml:space="preserve"> маршрут, исторически</w:t>
      </w:r>
      <w:r w:rsidR="008E4331" w:rsidRPr="00610B1B">
        <w:rPr>
          <w:rFonts w:ascii="Times New Roman" w:eastAsia="Times New Roman" w:hAnsi="Times New Roman" w:cs="Times New Roman"/>
          <w:sz w:val="24"/>
          <w:szCs w:val="24"/>
          <w:lang w:val="bg-BG"/>
        </w:rPr>
        <w:t>я</w:t>
      </w:r>
      <w:r w:rsidRPr="00610B1B">
        <w:rPr>
          <w:rFonts w:ascii="Times New Roman" w:eastAsia="Times New Roman" w:hAnsi="Times New Roman" w:cs="Times New Roman"/>
          <w:sz w:val="24"/>
          <w:szCs w:val="24"/>
          <w:lang w:val="bg-BG"/>
        </w:rPr>
        <w:t xml:space="preserve"> град и градски</w:t>
      </w:r>
      <w:r w:rsidR="008E4331" w:rsidRPr="00610B1B">
        <w:rPr>
          <w:rFonts w:ascii="Times New Roman" w:eastAsia="Times New Roman" w:hAnsi="Times New Roman" w:cs="Times New Roman"/>
          <w:sz w:val="24"/>
          <w:szCs w:val="24"/>
          <w:lang w:val="bg-BG"/>
        </w:rPr>
        <w:t>я</w:t>
      </w:r>
      <w:r w:rsidRPr="00610B1B">
        <w:rPr>
          <w:rFonts w:ascii="Times New Roman" w:eastAsia="Times New Roman" w:hAnsi="Times New Roman" w:cs="Times New Roman"/>
          <w:sz w:val="24"/>
          <w:szCs w:val="24"/>
          <w:lang w:val="bg-BG"/>
        </w:rPr>
        <w:t xml:space="preserve"> исторически пейзаж</w:t>
      </w:r>
      <w:r w:rsidR="00CE3A92" w:rsidRPr="00610B1B">
        <w:rPr>
          <w:rFonts w:ascii="Times New Roman" w:eastAsia="Times New Roman" w:hAnsi="Times New Roman" w:cs="Times New Roman"/>
          <w:sz w:val="24"/>
          <w:szCs w:val="24"/>
          <w:lang w:val="bg-BG"/>
        </w:rPr>
        <w:t>, подводно</w:t>
      </w:r>
      <w:r w:rsidR="008E4331" w:rsidRPr="00610B1B">
        <w:rPr>
          <w:rFonts w:ascii="Times New Roman" w:eastAsia="Times New Roman" w:hAnsi="Times New Roman" w:cs="Times New Roman"/>
          <w:sz w:val="24"/>
          <w:szCs w:val="24"/>
          <w:lang w:val="bg-BG"/>
        </w:rPr>
        <w:t>то</w:t>
      </w:r>
      <w:r w:rsidR="00CE3A92" w:rsidRPr="00610B1B">
        <w:rPr>
          <w:rFonts w:ascii="Times New Roman" w:eastAsia="Times New Roman" w:hAnsi="Times New Roman" w:cs="Times New Roman"/>
          <w:sz w:val="24"/>
          <w:szCs w:val="24"/>
          <w:lang w:val="bg-BG"/>
        </w:rPr>
        <w:t xml:space="preserve"> наследство</w:t>
      </w:r>
      <w:r w:rsidRPr="00610B1B">
        <w:rPr>
          <w:rFonts w:ascii="Times New Roman" w:eastAsia="Times New Roman" w:hAnsi="Times New Roman" w:cs="Times New Roman"/>
          <w:sz w:val="24"/>
          <w:szCs w:val="24"/>
          <w:lang w:val="bg-BG"/>
        </w:rPr>
        <w:t xml:space="preserve">. </w:t>
      </w:r>
      <w:r w:rsidR="008E4331" w:rsidRPr="00610B1B">
        <w:rPr>
          <w:rFonts w:ascii="Times New Roman" w:eastAsia="Times New Roman" w:hAnsi="Times New Roman" w:cs="Times New Roman"/>
          <w:sz w:val="24"/>
          <w:szCs w:val="24"/>
          <w:lang w:val="bg-BG"/>
        </w:rPr>
        <w:t xml:space="preserve">Времевият </w:t>
      </w:r>
      <w:r w:rsidRPr="00610B1B">
        <w:rPr>
          <w:rFonts w:ascii="Times New Roman" w:eastAsia="Times New Roman" w:hAnsi="Times New Roman" w:cs="Times New Roman"/>
          <w:sz w:val="24"/>
          <w:szCs w:val="24"/>
          <w:lang w:val="bg-BG"/>
        </w:rPr>
        <w:t>обхват на наследството</w:t>
      </w:r>
      <w:r w:rsidR="00CE3A92" w:rsidRPr="00610B1B">
        <w:rPr>
          <w:rFonts w:ascii="Times New Roman" w:eastAsia="Times New Roman" w:hAnsi="Times New Roman" w:cs="Times New Roman"/>
          <w:sz w:val="24"/>
          <w:szCs w:val="24"/>
          <w:lang w:val="bg-BG"/>
        </w:rPr>
        <w:t xml:space="preserve"> </w:t>
      </w:r>
      <w:r w:rsidR="008E4331" w:rsidRPr="00610B1B">
        <w:rPr>
          <w:rFonts w:ascii="Times New Roman" w:eastAsia="Times New Roman" w:hAnsi="Times New Roman" w:cs="Times New Roman"/>
          <w:sz w:val="24"/>
          <w:szCs w:val="24"/>
          <w:lang w:val="bg-BG"/>
        </w:rPr>
        <w:t xml:space="preserve">също се разширява, </w:t>
      </w:r>
      <w:r w:rsidR="00CE3A92" w:rsidRPr="00610B1B">
        <w:rPr>
          <w:rFonts w:ascii="Times New Roman" w:eastAsia="Times New Roman" w:hAnsi="Times New Roman" w:cs="Times New Roman"/>
          <w:sz w:val="24"/>
          <w:szCs w:val="24"/>
          <w:lang w:val="bg-BG"/>
        </w:rPr>
        <w:t xml:space="preserve">за да се включат културните ценности от </w:t>
      </w:r>
      <w:r w:rsidR="00F46876" w:rsidRPr="00610B1B">
        <w:rPr>
          <w:rFonts w:ascii="Times New Roman" w:eastAsia="Times New Roman" w:hAnsi="Times New Roman" w:cs="Times New Roman"/>
          <w:sz w:val="24"/>
          <w:szCs w:val="24"/>
          <w:lang w:val="bg-BG"/>
        </w:rPr>
        <w:t>20</w:t>
      </w:r>
      <w:r w:rsidRPr="00610B1B">
        <w:rPr>
          <w:rFonts w:ascii="Times New Roman" w:eastAsia="Times New Roman" w:hAnsi="Times New Roman" w:cs="Times New Roman"/>
          <w:sz w:val="24"/>
          <w:szCs w:val="24"/>
          <w:lang w:val="bg-BG"/>
        </w:rPr>
        <w:t xml:space="preserve"> век</w:t>
      </w:r>
      <w:r w:rsidR="00CE3A92" w:rsidRPr="00610B1B">
        <w:rPr>
          <w:rFonts w:ascii="Times New Roman" w:eastAsia="Times New Roman" w:hAnsi="Times New Roman" w:cs="Times New Roman"/>
          <w:sz w:val="24"/>
          <w:szCs w:val="24"/>
          <w:lang w:val="bg-BG"/>
        </w:rPr>
        <w:t>.</w:t>
      </w:r>
      <w:r w:rsidR="008E4331"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Освен представите за наследството се променят и методите, чрез които се извършва неговото </w:t>
      </w:r>
      <w:r w:rsidRPr="00610B1B">
        <w:rPr>
          <w:rFonts w:ascii="Times New Roman" w:eastAsia="Times New Roman" w:hAnsi="Times New Roman" w:cs="Times New Roman"/>
          <w:sz w:val="24"/>
          <w:szCs w:val="24"/>
          <w:lang w:val="bg-BG"/>
        </w:rPr>
        <w:lastRenderedPageBreak/>
        <w:t>опазване. В последните години е приложим методът на интегрирана консервация, чрез който се постига синтез между наследство и социално-икономическо развитие на съответната среда, както и на населението което я обитава.</w:t>
      </w:r>
    </w:p>
    <w:p w14:paraId="14E0F6A7" w14:textId="71AAC5CE" w:rsidR="00442579" w:rsidRPr="00610B1B" w:rsidRDefault="00442579" w:rsidP="00D32D6A">
      <w:pPr>
        <w:shd w:val="clear" w:color="auto" w:fill="FFFFFF"/>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sz w:val="24"/>
          <w:szCs w:val="24"/>
          <w:lang w:val="bg-BG"/>
        </w:rPr>
        <w:t>Предвид целите и териториалния обхват на настоящия план</w:t>
      </w:r>
      <w:r w:rsidR="008E4331" w:rsidRPr="00610B1B">
        <w:rPr>
          <w:rFonts w:ascii="Times New Roman" w:eastAsia="Times New Roman" w:hAnsi="Times New Roman" w:cs="Times New Roman"/>
          <w:sz w:val="24"/>
          <w:szCs w:val="24"/>
          <w:lang w:val="bg-BG"/>
        </w:rPr>
        <w:t xml:space="preserve">, </w:t>
      </w:r>
      <w:r w:rsidR="00CE3A92" w:rsidRPr="00610B1B">
        <w:rPr>
          <w:rFonts w:ascii="Times New Roman" w:eastAsia="Times New Roman" w:hAnsi="Times New Roman" w:cs="Times New Roman"/>
          <w:sz w:val="24"/>
          <w:szCs w:val="24"/>
          <w:lang w:val="bg-BG"/>
        </w:rPr>
        <w:t>спецификата и тенденциите в опазването на културното наследство, са обхванати онези културни ценности, които са разположени под в</w:t>
      </w:r>
      <w:r w:rsidR="00805776" w:rsidRPr="00610B1B">
        <w:rPr>
          <w:rFonts w:ascii="Times New Roman" w:eastAsia="Times New Roman" w:hAnsi="Times New Roman" w:cs="Times New Roman"/>
          <w:sz w:val="24"/>
          <w:szCs w:val="24"/>
          <w:lang w:val="bg-BG"/>
        </w:rPr>
        <w:t>ода в националните морски пространства</w:t>
      </w:r>
      <w:r w:rsidR="00CE3A92" w:rsidRPr="00610B1B">
        <w:rPr>
          <w:rFonts w:ascii="Times New Roman" w:eastAsia="Times New Roman" w:hAnsi="Times New Roman" w:cs="Times New Roman"/>
          <w:sz w:val="24"/>
          <w:szCs w:val="24"/>
          <w:lang w:val="bg-BG"/>
        </w:rPr>
        <w:t xml:space="preserve">, както и тези в </w:t>
      </w:r>
      <w:r w:rsidRPr="00610B1B">
        <w:rPr>
          <w:rFonts w:ascii="Times New Roman" w:eastAsia="Times New Roman" w:hAnsi="Times New Roman" w:cs="Times New Roman"/>
          <w:bCs/>
          <w:iCs/>
          <w:sz w:val="24"/>
          <w:szCs w:val="24"/>
          <w:lang w:val="bg-BG" w:eastAsia="bg-BG"/>
        </w:rPr>
        <w:t>крайбрежната ивица (</w:t>
      </w:r>
      <w:r w:rsidR="00CE3A92" w:rsidRPr="00610B1B">
        <w:rPr>
          <w:rFonts w:ascii="Times New Roman" w:eastAsia="Times New Roman" w:hAnsi="Times New Roman" w:cs="Times New Roman"/>
          <w:bCs/>
          <w:iCs/>
          <w:sz w:val="24"/>
          <w:szCs w:val="24"/>
          <w:lang w:val="bg-BG" w:eastAsia="bg-BG"/>
        </w:rPr>
        <w:t>зони „А“ и „Б“ на ЗУЧК</w:t>
      </w:r>
      <w:r w:rsidR="008E4331" w:rsidRPr="00610B1B">
        <w:rPr>
          <w:rFonts w:ascii="Times New Roman" w:eastAsia="Times New Roman" w:hAnsi="Times New Roman" w:cs="Times New Roman"/>
          <w:bCs/>
          <w:iCs/>
          <w:sz w:val="24"/>
          <w:szCs w:val="24"/>
          <w:lang w:val="bg-BG" w:eastAsia="bg-BG"/>
        </w:rPr>
        <w:t>)</w:t>
      </w:r>
      <w:r w:rsidR="00805776" w:rsidRPr="00610B1B">
        <w:rPr>
          <w:rFonts w:ascii="Times New Roman" w:eastAsia="Times New Roman" w:hAnsi="Times New Roman" w:cs="Times New Roman"/>
          <w:bCs/>
          <w:iCs/>
          <w:sz w:val="24"/>
          <w:szCs w:val="24"/>
          <w:lang w:val="bg-BG" w:eastAsia="bg-BG"/>
        </w:rPr>
        <w:t>.</w:t>
      </w:r>
      <w:r w:rsidRPr="00610B1B">
        <w:rPr>
          <w:rFonts w:ascii="Times New Roman" w:eastAsia="Times New Roman" w:hAnsi="Times New Roman" w:cs="Times New Roman"/>
          <w:bCs/>
          <w:iCs/>
          <w:sz w:val="24"/>
          <w:szCs w:val="24"/>
          <w:lang w:val="bg-BG" w:eastAsia="bg-BG"/>
        </w:rPr>
        <w:t xml:space="preserve"> В този обхват </w:t>
      </w:r>
      <w:r w:rsidR="001B44D8" w:rsidRPr="00610B1B">
        <w:rPr>
          <w:rFonts w:ascii="Times New Roman" w:eastAsia="Times New Roman" w:hAnsi="Times New Roman" w:cs="Times New Roman"/>
          <w:sz w:val="24"/>
          <w:szCs w:val="24"/>
          <w:lang w:val="bg-BG"/>
        </w:rPr>
        <w:t>са</w:t>
      </w:r>
      <w:r w:rsidRPr="00610B1B">
        <w:rPr>
          <w:rFonts w:ascii="Times New Roman" w:eastAsia="Times New Roman" w:hAnsi="Times New Roman" w:cs="Times New Roman"/>
          <w:sz w:val="24"/>
          <w:szCs w:val="24"/>
          <w:lang w:val="bg-BG"/>
        </w:rPr>
        <w:t xml:space="preserve"> разгледани НКЦ, които имат реална субстанция, разположени </w:t>
      </w:r>
      <w:r w:rsidR="008E4331" w:rsidRPr="00610B1B">
        <w:rPr>
          <w:rFonts w:ascii="Times New Roman" w:eastAsia="Times New Roman" w:hAnsi="Times New Roman" w:cs="Times New Roman"/>
          <w:sz w:val="24"/>
          <w:szCs w:val="24"/>
          <w:lang w:val="bg-BG"/>
        </w:rPr>
        <w:t xml:space="preserve">са </w:t>
      </w:r>
      <w:r w:rsidRPr="00610B1B">
        <w:rPr>
          <w:rFonts w:ascii="Times New Roman" w:eastAsia="Times New Roman" w:hAnsi="Times New Roman" w:cs="Times New Roman"/>
          <w:sz w:val="24"/>
          <w:szCs w:val="24"/>
          <w:lang w:val="bg-BG"/>
        </w:rPr>
        <w:t xml:space="preserve">в крайбрежната зона, под вода, както и такива в </w:t>
      </w:r>
      <w:r w:rsidRPr="00610B1B">
        <w:rPr>
          <w:rFonts w:ascii="Times New Roman" w:eastAsia="Times New Roman" w:hAnsi="Times New Roman" w:cs="Times New Roman"/>
          <w:color w:val="000000" w:themeColor="text1"/>
          <w:sz w:val="24"/>
          <w:szCs w:val="24"/>
          <w:lang w:val="bg-BG"/>
        </w:rPr>
        <w:t>крайбрежните езера</w:t>
      </w:r>
      <w:r w:rsidR="008E4331" w:rsidRPr="00610B1B">
        <w:rPr>
          <w:rFonts w:ascii="Times New Roman" w:eastAsia="Times New Roman" w:hAnsi="Times New Roman" w:cs="Times New Roman"/>
          <w:color w:val="000000" w:themeColor="text1"/>
          <w:sz w:val="24"/>
          <w:szCs w:val="24"/>
          <w:lang w:val="bg-BG"/>
        </w:rPr>
        <w:t>, които имат пряка естествена или изкуствена връзка с морето</w:t>
      </w:r>
      <w:r w:rsidRPr="00610B1B">
        <w:rPr>
          <w:rFonts w:ascii="Times New Roman" w:eastAsia="Times New Roman" w:hAnsi="Times New Roman" w:cs="Times New Roman"/>
          <w:color w:val="000000" w:themeColor="text1"/>
          <w:sz w:val="24"/>
          <w:szCs w:val="24"/>
          <w:lang w:val="bg-BG"/>
        </w:rPr>
        <w:t xml:space="preserve">. </w:t>
      </w:r>
      <w:r w:rsidR="006F0B40" w:rsidRPr="00610B1B">
        <w:rPr>
          <w:rFonts w:ascii="Times New Roman" w:hAnsi="Times New Roman" w:cs="Times New Roman"/>
          <w:color w:val="000000" w:themeColor="text1"/>
          <w:sz w:val="24"/>
          <w:szCs w:val="24"/>
          <w:lang w:val="bg-BG"/>
        </w:rPr>
        <w:t>Това са предимно археологически обекти, опазването на които е в прерогативите на държавата (по смисъла на чл.</w:t>
      </w:r>
      <w:r w:rsidR="009373EC" w:rsidRPr="00610B1B">
        <w:rPr>
          <w:rFonts w:ascii="Times New Roman" w:hAnsi="Times New Roman" w:cs="Times New Roman"/>
          <w:color w:val="000000" w:themeColor="text1"/>
          <w:sz w:val="24"/>
          <w:szCs w:val="24"/>
          <w:lang w:val="bg-BG"/>
        </w:rPr>
        <w:t xml:space="preserve"> </w:t>
      </w:r>
      <w:r w:rsidR="006F0B40" w:rsidRPr="00610B1B">
        <w:rPr>
          <w:rFonts w:ascii="Times New Roman" w:hAnsi="Times New Roman" w:cs="Times New Roman"/>
          <w:color w:val="000000" w:themeColor="text1"/>
          <w:sz w:val="24"/>
          <w:szCs w:val="24"/>
          <w:lang w:val="bg-BG"/>
        </w:rPr>
        <w:t xml:space="preserve">2а, ал.1 от ЗКН). </w:t>
      </w:r>
      <w:r w:rsidR="001B44D8" w:rsidRPr="00610B1B">
        <w:rPr>
          <w:rFonts w:ascii="Times New Roman" w:eastAsia="Times New Roman" w:hAnsi="Times New Roman" w:cs="Times New Roman"/>
          <w:color w:val="000000" w:themeColor="text1"/>
          <w:sz w:val="24"/>
          <w:szCs w:val="24"/>
          <w:lang w:val="bg-BG"/>
        </w:rPr>
        <w:t>Приоритетно са анализирани обектите със статут „световно“ или „национално“ значение.</w:t>
      </w:r>
      <w:r w:rsidR="007B00D8" w:rsidRPr="00610B1B">
        <w:rPr>
          <w:rFonts w:ascii="Times New Roman" w:eastAsia="Times New Roman" w:hAnsi="Times New Roman" w:cs="Times New Roman"/>
          <w:color w:val="000000" w:themeColor="text1"/>
          <w:sz w:val="24"/>
          <w:szCs w:val="24"/>
          <w:lang w:val="bg-BG"/>
        </w:rPr>
        <w:t xml:space="preserve"> </w:t>
      </w:r>
      <w:r w:rsidR="001B44D8" w:rsidRPr="00610B1B">
        <w:rPr>
          <w:rFonts w:ascii="Times New Roman" w:eastAsia="Times New Roman" w:hAnsi="Times New Roman" w:cs="Times New Roman"/>
          <w:color w:val="000000" w:themeColor="text1"/>
          <w:sz w:val="24"/>
          <w:szCs w:val="24"/>
          <w:lang w:val="bg-BG"/>
        </w:rPr>
        <w:t>Формулирани са</w:t>
      </w:r>
      <w:r w:rsidRPr="00610B1B">
        <w:rPr>
          <w:rFonts w:ascii="Times New Roman" w:eastAsia="Times New Roman" w:hAnsi="Times New Roman" w:cs="Times New Roman"/>
          <w:color w:val="000000" w:themeColor="text1"/>
          <w:sz w:val="24"/>
          <w:szCs w:val="24"/>
          <w:lang w:val="bg-BG"/>
        </w:rPr>
        <w:t xml:space="preserve"> допълнителни ограничители</w:t>
      </w:r>
      <w:r w:rsidR="001B44D8" w:rsidRPr="00610B1B">
        <w:rPr>
          <w:rFonts w:ascii="Times New Roman" w:eastAsia="Times New Roman" w:hAnsi="Times New Roman" w:cs="Times New Roman"/>
          <w:color w:val="000000" w:themeColor="text1"/>
          <w:sz w:val="24"/>
          <w:szCs w:val="24"/>
          <w:lang w:val="bg-BG"/>
        </w:rPr>
        <w:t xml:space="preserve"> на изследването, свързани с обществената им значимост, с културната и научна област, към която се отнасят, пряката им </w:t>
      </w:r>
      <w:r w:rsidRPr="00610B1B">
        <w:rPr>
          <w:rFonts w:ascii="Times New Roman" w:eastAsia="Times New Roman" w:hAnsi="Times New Roman" w:cs="Times New Roman"/>
          <w:color w:val="000000" w:themeColor="text1"/>
          <w:sz w:val="24"/>
          <w:szCs w:val="24"/>
          <w:lang w:val="bg-BG"/>
        </w:rPr>
        <w:t xml:space="preserve">смислова и физическа връзка с НКЦ под </w:t>
      </w:r>
      <w:r w:rsidRPr="00610B1B">
        <w:rPr>
          <w:rFonts w:ascii="Times New Roman" w:eastAsia="Times New Roman" w:hAnsi="Times New Roman" w:cs="Times New Roman"/>
          <w:sz w:val="24"/>
          <w:szCs w:val="24"/>
          <w:lang w:val="bg-BG"/>
        </w:rPr>
        <w:t>вода</w:t>
      </w:r>
      <w:r w:rsidR="001B44D8" w:rsidRPr="00610B1B">
        <w:rPr>
          <w:rFonts w:ascii="Times New Roman" w:eastAsia="Times New Roman" w:hAnsi="Times New Roman" w:cs="Times New Roman"/>
          <w:sz w:val="24"/>
          <w:szCs w:val="24"/>
          <w:lang w:val="bg-BG"/>
        </w:rPr>
        <w:t>, пр</w:t>
      </w:r>
      <w:r w:rsidR="00EB7874" w:rsidRPr="00610B1B">
        <w:rPr>
          <w:rFonts w:ascii="Times New Roman" w:eastAsia="Times New Roman" w:hAnsi="Times New Roman" w:cs="Times New Roman"/>
          <w:sz w:val="24"/>
          <w:szCs w:val="24"/>
          <w:lang w:val="bg-BG"/>
        </w:rPr>
        <w:t>и</w:t>
      </w:r>
      <w:r w:rsidR="001B44D8" w:rsidRPr="00610B1B">
        <w:rPr>
          <w:rFonts w:ascii="Times New Roman" w:eastAsia="Times New Roman" w:hAnsi="Times New Roman" w:cs="Times New Roman"/>
          <w:sz w:val="24"/>
          <w:szCs w:val="24"/>
          <w:lang w:val="bg-BG"/>
        </w:rPr>
        <w:t>надлежността към определен исторически период</w:t>
      </w:r>
      <w:r w:rsidR="00D66FE0" w:rsidRPr="00610B1B">
        <w:rPr>
          <w:rFonts w:ascii="Times New Roman" w:eastAsia="Times New Roman" w:hAnsi="Times New Roman" w:cs="Times New Roman"/>
          <w:sz w:val="24"/>
          <w:szCs w:val="24"/>
          <w:lang w:val="bg-BG"/>
        </w:rPr>
        <w:t xml:space="preserve"> </w:t>
      </w:r>
      <w:r w:rsidR="00EB7874" w:rsidRPr="00610B1B">
        <w:rPr>
          <w:rFonts w:ascii="Times New Roman" w:eastAsia="Times New Roman" w:hAnsi="Times New Roman" w:cs="Times New Roman"/>
          <w:sz w:val="24"/>
          <w:szCs w:val="24"/>
          <w:lang w:val="bg-BG"/>
        </w:rPr>
        <w:t xml:space="preserve">с предимство на </w:t>
      </w:r>
      <w:r w:rsidRPr="00610B1B">
        <w:rPr>
          <w:rFonts w:ascii="Times New Roman" w:eastAsia="Times New Roman" w:hAnsi="Times New Roman" w:cs="Times New Roman"/>
          <w:sz w:val="24"/>
          <w:szCs w:val="24"/>
          <w:lang w:val="bg-BG"/>
        </w:rPr>
        <w:t>праисторическия, античния и средновековен периоди</w:t>
      </w:r>
      <w:r w:rsidR="00EB7874" w:rsidRPr="00610B1B">
        <w:rPr>
          <w:rFonts w:ascii="Times New Roman" w:eastAsia="Times New Roman" w:hAnsi="Times New Roman" w:cs="Times New Roman"/>
          <w:sz w:val="24"/>
          <w:szCs w:val="24"/>
          <w:lang w:val="bg-BG"/>
        </w:rPr>
        <w:t>, обемно-пространствената им структура</w:t>
      </w:r>
      <w:r w:rsidRPr="00610B1B">
        <w:rPr>
          <w:rFonts w:ascii="Times New Roman" w:eastAsia="Times New Roman" w:hAnsi="Times New Roman" w:cs="Times New Roman"/>
          <w:sz w:val="24"/>
          <w:szCs w:val="24"/>
          <w:lang w:val="bg-BG"/>
        </w:rPr>
        <w:t xml:space="preserve">. </w:t>
      </w:r>
    </w:p>
    <w:p w14:paraId="6BD29739" w14:textId="4E61051B" w:rsidR="00442579" w:rsidRPr="00610B1B" w:rsidRDefault="00442579"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Изброените по-горе ограничители, както и наличните артефакти налагат специфичен обхват на анализираната територия. Наличните археологически обекти, открити в Дуранкулашкото, Белославското, Варненското, Поморийското, Атанасовското и Бургаските езера, налагат навлизане в дълбочина към сушата</w:t>
      </w:r>
      <w:r w:rsidR="00EB7874"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Това линеарно развитие към континенталн</w:t>
      </w:r>
      <w:r w:rsidR="001B44D8" w:rsidRPr="00610B1B">
        <w:rPr>
          <w:rFonts w:ascii="Times New Roman" w:eastAsia="Times New Roman" w:hAnsi="Times New Roman" w:cs="Times New Roman"/>
          <w:sz w:val="24"/>
          <w:szCs w:val="24"/>
          <w:lang w:val="bg-BG"/>
        </w:rPr>
        <w:t>а</w:t>
      </w:r>
      <w:r w:rsidRPr="00610B1B">
        <w:rPr>
          <w:rFonts w:ascii="Times New Roman" w:eastAsia="Times New Roman" w:hAnsi="Times New Roman" w:cs="Times New Roman"/>
          <w:sz w:val="24"/>
          <w:szCs w:val="24"/>
          <w:lang w:val="bg-BG"/>
        </w:rPr>
        <w:t>та част е особено видимо в областта на Варненското и Белославското езера. То е необходимо, както предвид физическата връзка между езерата и Черно море, така и поради наличните културни пластове в ареала.</w:t>
      </w:r>
    </w:p>
    <w:p w14:paraId="7B0DCB66" w14:textId="77777777" w:rsidR="002F6792" w:rsidRPr="00610B1B" w:rsidRDefault="002F6792" w:rsidP="00D32D6A">
      <w:pPr>
        <w:shd w:val="clear" w:color="auto" w:fill="FFFFFF"/>
        <w:spacing w:after="120"/>
        <w:ind w:right="-153"/>
        <w:jc w:val="both"/>
        <w:rPr>
          <w:rFonts w:ascii="Times New Roman" w:eastAsia="Times New Roman" w:hAnsi="Times New Roman" w:cs="Times New Roman"/>
          <w:sz w:val="24"/>
          <w:szCs w:val="24"/>
          <w:lang w:val="bg-BG"/>
        </w:rPr>
      </w:pPr>
    </w:p>
    <w:p w14:paraId="4E8E9348" w14:textId="1A42F4A8" w:rsidR="00442579" w:rsidRPr="00610B1B" w:rsidRDefault="00EB7874" w:rsidP="00D32D6A">
      <w:pPr>
        <w:pStyle w:val="Heading3"/>
        <w:spacing w:before="0" w:line="276" w:lineRule="auto"/>
        <w:ind w:right="-153"/>
        <w:rPr>
          <w:rFonts w:cs="Times New Roman"/>
        </w:rPr>
      </w:pPr>
      <w:bookmarkStart w:id="402" w:name="_Toc83391401"/>
      <w:r w:rsidRPr="00610B1B">
        <w:rPr>
          <w:rFonts w:cs="Times New Roman"/>
        </w:rPr>
        <w:t>3.7.</w:t>
      </w:r>
      <w:r w:rsidR="00F46876" w:rsidRPr="00610B1B">
        <w:rPr>
          <w:rFonts w:cs="Times New Roman"/>
        </w:rPr>
        <w:t>1</w:t>
      </w:r>
      <w:r w:rsidRPr="00610B1B">
        <w:rPr>
          <w:rFonts w:cs="Times New Roman"/>
        </w:rPr>
        <w:t>. Недвижими културни ценности (НКЦ) и музейна инфраструктура</w:t>
      </w:r>
      <w:bookmarkEnd w:id="402"/>
      <w:r w:rsidRPr="00610B1B">
        <w:rPr>
          <w:rFonts w:cs="Times New Roman"/>
        </w:rPr>
        <w:t xml:space="preserve"> </w:t>
      </w:r>
    </w:p>
    <w:p w14:paraId="15B08B07" w14:textId="5572AE14" w:rsidR="00F46876" w:rsidRPr="00610B1B" w:rsidRDefault="00F46876" w:rsidP="00D32D6A">
      <w:pPr>
        <w:pStyle w:val="Heading4"/>
        <w:spacing w:before="0" w:line="276" w:lineRule="auto"/>
        <w:ind w:right="-153"/>
        <w:rPr>
          <w:rFonts w:cs="Times New Roman"/>
        </w:rPr>
      </w:pPr>
      <w:r w:rsidRPr="00610B1B">
        <w:rPr>
          <w:rFonts w:cs="Times New Roman"/>
        </w:rPr>
        <w:t>3.7.1</w:t>
      </w:r>
      <w:r w:rsidR="00365A8D" w:rsidRPr="00610B1B">
        <w:rPr>
          <w:rFonts w:cs="Times New Roman"/>
        </w:rPr>
        <w:t>.1.</w:t>
      </w:r>
      <w:r w:rsidRPr="00610B1B">
        <w:rPr>
          <w:rFonts w:cs="Times New Roman"/>
        </w:rPr>
        <w:t xml:space="preserve"> </w:t>
      </w:r>
      <w:r w:rsidR="007E11E8" w:rsidRPr="00610B1B">
        <w:rPr>
          <w:rFonts w:cs="Times New Roman"/>
        </w:rPr>
        <w:t>НКЦ</w:t>
      </w:r>
      <w:r w:rsidRPr="00610B1B">
        <w:rPr>
          <w:rFonts w:cs="Times New Roman"/>
        </w:rPr>
        <w:t xml:space="preserve"> с категория „световно значение“</w:t>
      </w:r>
    </w:p>
    <w:p w14:paraId="1275897E" w14:textId="0C269C26" w:rsidR="00442579" w:rsidRPr="00610B1B" w:rsidRDefault="00442579" w:rsidP="00D32D6A">
      <w:pPr>
        <w:spacing w:after="120"/>
        <w:ind w:right="-153"/>
        <w:jc w:val="both"/>
        <w:rPr>
          <w:rFonts w:ascii="Times New Roman" w:eastAsia="Times New Roman" w:hAnsi="Times New Roman" w:cs="Times New Roman"/>
          <w:b/>
          <w:sz w:val="24"/>
          <w:szCs w:val="24"/>
          <w:u w:val="single"/>
          <w:lang w:val="bg-BG"/>
        </w:rPr>
      </w:pPr>
      <w:r w:rsidRPr="00610B1B">
        <w:rPr>
          <w:rFonts w:ascii="Times New Roman" w:eastAsia="Times New Roman" w:hAnsi="Times New Roman" w:cs="Times New Roman"/>
          <w:bCs/>
          <w:sz w:val="24"/>
          <w:szCs w:val="24"/>
          <w:lang w:val="bg-BG"/>
        </w:rPr>
        <w:t>Археологически</w:t>
      </w:r>
      <w:r w:rsidR="00C6211B" w:rsidRPr="00610B1B">
        <w:rPr>
          <w:rFonts w:ascii="Times New Roman" w:eastAsia="Times New Roman" w:hAnsi="Times New Roman" w:cs="Times New Roman"/>
          <w:bCs/>
          <w:sz w:val="24"/>
          <w:szCs w:val="24"/>
          <w:lang w:val="bg-BG"/>
        </w:rPr>
        <w:t>ят</w:t>
      </w:r>
      <w:r w:rsidRPr="00610B1B">
        <w:rPr>
          <w:rFonts w:ascii="Times New Roman" w:eastAsia="Times New Roman" w:hAnsi="Times New Roman" w:cs="Times New Roman"/>
          <w:bCs/>
          <w:sz w:val="24"/>
          <w:szCs w:val="24"/>
          <w:lang w:val="bg-BG"/>
        </w:rPr>
        <w:t xml:space="preserve"> и архитектурно-градоустройствен резерват „Старинен град Несебър”</w:t>
      </w:r>
      <w:r w:rsidR="00EB7874" w:rsidRPr="00610B1B">
        <w:rPr>
          <w:rFonts w:ascii="Times New Roman" w:eastAsia="Times New Roman" w:hAnsi="Times New Roman" w:cs="Times New Roman"/>
          <w:bCs/>
          <w:sz w:val="24"/>
          <w:szCs w:val="24"/>
          <w:lang w:val="bg-BG"/>
        </w:rPr>
        <w:t xml:space="preserve"> </w:t>
      </w:r>
      <w:r w:rsidR="00EB7874" w:rsidRPr="00610B1B">
        <w:rPr>
          <w:rFonts w:ascii="Times New Roman" w:eastAsia="Times New Roman" w:hAnsi="Times New Roman" w:cs="Times New Roman"/>
          <w:sz w:val="24"/>
          <w:szCs w:val="24"/>
          <w:lang w:val="bg-BG"/>
        </w:rPr>
        <w:t xml:space="preserve">е </w:t>
      </w:r>
      <w:r w:rsidRPr="00610B1B">
        <w:rPr>
          <w:rFonts w:ascii="Times New Roman" w:eastAsia="Times New Roman" w:hAnsi="Times New Roman" w:cs="Times New Roman"/>
          <w:sz w:val="24"/>
          <w:szCs w:val="24"/>
          <w:lang w:val="bg-BG"/>
        </w:rPr>
        <w:t xml:space="preserve">един от малкото „живи” исторически градове </w:t>
      </w:r>
      <w:r w:rsidR="00F91091" w:rsidRPr="00610B1B">
        <w:rPr>
          <w:rFonts w:ascii="Times New Roman" w:eastAsia="Times New Roman" w:hAnsi="Times New Roman" w:cs="Times New Roman"/>
          <w:sz w:val="24"/>
          <w:szCs w:val="24"/>
          <w:lang w:val="bg-BG"/>
        </w:rPr>
        <w:t>в</w:t>
      </w:r>
      <w:r w:rsidRPr="00610B1B">
        <w:rPr>
          <w:rFonts w:ascii="Times New Roman" w:eastAsia="Times New Roman" w:hAnsi="Times New Roman" w:cs="Times New Roman"/>
          <w:sz w:val="24"/>
          <w:szCs w:val="24"/>
          <w:lang w:val="bg-BG"/>
        </w:rPr>
        <w:t xml:space="preserve"> Европа, признати от ЮНЕСКО като обекти на световното културно наследство. С Постановление на МС № 174/03.09.1991 г. (Обн., ДВ бр.75 от 13.03.1991 г.) се определят границите на Националния археологически и архитектурно-градоустройствен резерват “Старинен Несебър” – световна културна ценност, актуализирани със Заповед на МК</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w:t>
      </w:r>
      <w:r w:rsidR="00F91091"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РД9Р-14</w:t>
      </w:r>
      <w:r w:rsidR="00F91091"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05.06.2015</w:t>
      </w:r>
      <w:r w:rsidR="00EB7874"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w:t>
      </w:r>
      <w:r w:rsidR="007E11E8"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обн</w:t>
      </w:r>
      <w:r w:rsidR="007E11E8"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в ДВ</w:t>
      </w:r>
      <w:r w:rsidR="00EB7874"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бр.</w:t>
      </w:r>
      <w:r w:rsidR="00F91091"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51/2015</w:t>
      </w:r>
      <w:r w:rsidR="00EB7874"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С този последен документ наименованието на обекта се променя на „Археологически резерват и историческ</w:t>
      </w:r>
      <w:r w:rsidR="00EB7874" w:rsidRPr="00610B1B">
        <w:rPr>
          <w:rFonts w:ascii="Times New Roman" w:eastAsia="Times New Roman" w:hAnsi="Times New Roman" w:cs="Times New Roman"/>
          <w:sz w:val="24"/>
          <w:szCs w:val="24"/>
          <w:lang w:val="bg-BG"/>
        </w:rPr>
        <w:t>о</w:t>
      </w:r>
      <w:r w:rsidRPr="00610B1B">
        <w:rPr>
          <w:rFonts w:ascii="Times New Roman" w:eastAsia="Times New Roman" w:hAnsi="Times New Roman" w:cs="Times New Roman"/>
          <w:sz w:val="24"/>
          <w:szCs w:val="24"/>
          <w:lang w:val="bg-BG"/>
        </w:rPr>
        <w:t xml:space="preserve"> селище</w:t>
      </w:r>
      <w:r w:rsidR="00EB7874"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w:t>
      </w:r>
      <w:r w:rsidR="00EB7874"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архитектурно-строителна и урбанистична недвижима културна ценност „Старинен град Несебър”</w:t>
      </w:r>
      <w:r w:rsidR="00F91091"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w:t>
      </w:r>
      <w:r w:rsidR="00F91091" w:rsidRPr="00610B1B">
        <w:rPr>
          <w:rFonts w:ascii="Times New Roman" w:eastAsia="Times New Roman" w:hAnsi="Times New Roman" w:cs="Times New Roman"/>
          <w:sz w:val="24"/>
          <w:szCs w:val="24"/>
          <w:lang w:val="bg-BG"/>
        </w:rPr>
        <w:t>с</w:t>
      </w:r>
      <w:r w:rsidRPr="00610B1B">
        <w:rPr>
          <w:rFonts w:ascii="Times New Roman" w:eastAsia="Times New Roman" w:hAnsi="Times New Roman" w:cs="Times New Roman"/>
          <w:sz w:val="24"/>
          <w:szCs w:val="24"/>
          <w:lang w:val="bg-BG"/>
        </w:rPr>
        <w:t xml:space="preserve"> определени граници и</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режими за опазване.</w:t>
      </w:r>
    </w:p>
    <w:p w14:paraId="18723795" w14:textId="2E89B202" w:rsidR="00442579" w:rsidRPr="00610B1B" w:rsidRDefault="00A339EF"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Уникалните </w:t>
      </w:r>
      <w:r w:rsidR="00442579" w:rsidRPr="00610B1B">
        <w:rPr>
          <w:rFonts w:ascii="Times New Roman" w:eastAsia="Times New Roman" w:hAnsi="Times New Roman" w:cs="Times New Roman"/>
          <w:sz w:val="24"/>
          <w:szCs w:val="24"/>
          <w:lang w:val="bg-BG"/>
        </w:rPr>
        <w:t>ценности на Несебър, запазени и до днес са традиционните направления в градската структура - основните улици с посока запад-изток и тези с ориентация юг-север от пристанището. По протежение</w:t>
      </w:r>
      <w:r w:rsidR="00EB7874" w:rsidRPr="00610B1B">
        <w:rPr>
          <w:rFonts w:ascii="Times New Roman" w:eastAsia="Times New Roman" w:hAnsi="Times New Roman" w:cs="Times New Roman"/>
          <w:sz w:val="24"/>
          <w:szCs w:val="24"/>
          <w:lang w:val="bg-BG"/>
        </w:rPr>
        <w:t>то им</w:t>
      </w:r>
      <w:r w:rsidR="00442579" w:rsidRPr="00610B1B">
        <w:rPr>
          <w:rFonts w:ascii="Times New Roman" w:eastAsia="Times New Roman" w:hAnsi="Times New Roman" w:cs="Times New Roman"/>
          <w:sz w:val="24"/>
          <w:szCs w:val="24"/>
          <w:lang w:val="bg-BG"/>
        </w:rPr>
        <w:t xml:space="preserve"> са запазили своето значение традиционни градски пространства</w:t>
      </w:r>
      <w:r w:rsidR="00EB7874" w:rsidRPr="00610B1B">
        <w:rPr>
          <w:rFonts w:ascii="Times New Roman" w:eastAsia="Times New Roman" w:hAnsi="Times New Roman" w:cs="Times New Roman"/>
          <w:sz w:val="24"/>
          <w:szCs w:val="24"/>
          <w:lang w:val="bg-BG"/>
        </w:rPr>
        <w:t xml:space="preserve">, които съхраняват </w:t>
      </w:r>
      <w:r w:rsidR="00442579" w:rsidRPr="00610B1B">
        <w:rPr>
          <w:rFonts w:ascii="Times New Roman" w:eastAsia="Times New Roman" w:hAnsi="Times New Roman" w:cs="Times New Roman"/>
          <w:sz w:val="24"/>
          <w:szCs w:val="24"/>
          <w:lang w:val="bg-BG"/>
        </w:rPr>
        <w:t>визуални</w:t>
      </w:r>
      <w:r w:rsidR="00C6211B" w:rsidRPr="00610B1B">
        <w:rPr>
          <w:rFonts w:ascii="Times New Roman" w:eastAsia="Times New Roman" w:hAnsi="Times New Roman" w:cs="Times New Roman"/>
          <w:sz w:val="24"/>
          <w:szCs w:val="24"/>
          <w:lang w:val="bg-BG"/>
        </w:rPr>
        <w:t>те</w:t>
      </w:r>
      <w:r w:rsidR="00442579" w:rsidRPr="00610B1B">
        <w:rPr>
          <w:rFonts w:ascii="Times New Roman" w:eastAsia="Times New Roman" w:hAnsi="Times New Roman" w:cs="Times New Roman"/>
          <w:sz w:val="24"/>
          <w:szCs w:val="24"/>
          <w:lang w:val="bg-BG"/>
        </w:rPr>
        <w:t xml:space="preserve"> връзки с морето. </w:t>
      </w:r>
      <w:r w:rsidR="00EB7874" w:rsidRPr="00610B1B">
        <w:rPr>
          <w:rFonts w:ascii="Times New Roman" w:eastAsia="Times New Roman" w:hAnsi="Times New Roman" w:cs="Times New Roman"/>
          <w:sz w:val="24"/>
          <w:szCs w:val="24"/>
          <w:lang w:val="bg-BG"/>
        </w:rPr>
        <w:t>В групата от материални ценности п</w:t>
      </w:r>
      <w:r w:rsidR="007E11E8" w:rsidRPr="00610B1B">
        <w:rPr>
          <w:rFonts w:ascii="Times New Roman" w:eastAsia="Times New Roman" w:hAnsi="Times New Roman" w:cs="Times New Roman"/>
          <w:sz w:val="24"/>
          <w:szCs w:val="24"/>
          <w:lang w:val="bg-BG"/>
        </w:rPr>
        <w:t>о</w:t>
      </w:r>
      <w:r w:rsidR="00EB7874" w:rsidRPr="00610B1B">
        <w:rPr>
          <w:rFonts w:ascii="Times New Roman" w:eastAsia="Times New Roman" w:hAnsi="Times New Roman" w:cs="Times New Roman"/>
          <w:sz w:val="24"/>
          <w:szCs w:val="24"/>
          <w:lang w:val="bg-BG"/>
        </w:rPr>
        <w:t xml:space="preserve">падат </w:t>
      </w:r>
      <w:r w:rsidR="00442579" w:rsidRPr="00610B1B">
        <w:rPr>
          <w:rFonts w:ascii="Times New Roman" w:eastAsia="Times New Roman" w:hAnsi="Times New Roman" w:cs="Times New Roman"/>
          <w:sz w:val="24"/>
          <w:szCs w:val="24"/>
          <w:lang w:val="bg-BG"/>
        </w:rPr>
        <w:t>укрепителна</w:t>
      </w:r>
      <w:r w:rsidR="00EB7874" w:rsidRPr="00610B1B">
        <w:rPr>
          <w:rFonts w:ascii="Times New Roman" w:eastAsia="Times New Roman" w:hAnsi="Times New Roman" w:cs="Times New Roman"/>
          <w:sz w:val="24"/>
          <w:szCs w:val="24"/>
          <w:lang w:val="bg-BG"/>
        </w:rPr>
        <w:t>та</w:t>
      </w:r>
      <w:r w:rsidR="00442579" w:rsidRPr="00610B1B">
        <w:rPr>
          <w:rFonts w:ascii="Times New Roman" w:eastAsia="Times New Roman" w:hAnsi="Times New Roman" w:cs="Times New Roman"/>
          <w:sz w:val="24"/>
          <w:szCs w:val="24"/>
          <w:lang w:val="bg-BG"/>
        </w:rPr>
        <w:t xml:space="preserve"> система и археологически</w:t>
      </w:r>
      <w:r w:rsidR="00EB7874" w:rsidRPr="00610B1B">
        <w:rPr>
          <w:rFonts w:ascii="Times New Roman" w:eastAsia="Times New Roman" w:hAnsi="Times New Roman" w:cs="Times New Roman"/>
          <w:sz w:val="24"/>
          <w:szCs w:val="24"/>
          <w:lang w:val="bg-BG"/>
        </w:rPr>
        <w:t>те</w:t>
      </w:r>
      <w:r w:rsidR="00442579" w:rsidRPr="00610B1B">
        <w:rPr>
          <w:rFonts w:ascii="Times New Roman" w:eastAsia="Times New Roman" w:hAnsi="Times New Roman" w:cs="Times New Roman"/>
          <w:sz w:val="24"/>
          <w:szCs w:val="24"/>
          <w:lang w:val="bg-BG"/>
        </w:rPr>
        <w:t xml:space="preserve"> структури - артефакти от най-древния тракийски период до последните укрепвания на крепостните стени по време </w:t>
      </w:r>
      <w:r w:rsidR="00442579" w:rsidRPr="00610B1B">
        <w:rPr>
          <w:rFonts w:ascii="Times New Roman" w:eastAsia="Times New Roman" w:hAnsi="Times New Roman" w:cs="Times New Roman"/>
          <w:sz w:val="24"/>
          <w:szCs w:val="24"/>
          <w:lang w:val="bg-BG"/>
        </w:rPr>
        <w:lastRenderedPageBreak/>
        <w:t>на османското владичество</w:t>
      </w:r>
      <w:r w:rsidR="00EB7874" w:rsidRPr="00610B1B">
        <w:rPr>
          <w:rFonts w:ascii="Times New Roman" w:eastAsia="Times New Roman" w:hAnsi="Times New Roman" w:cs="Times New Roman"/>
          <w:sz w:val="24"/>
          <w:szCs w:val="24"/>
          <w:lang w:val="bg-BG"/>
        </w:rPr>
        <w:t xml:space="preserve">. </w:t>
      </w:r>
      <w:r w:rsidR="001748FA" w:rsidRPr="00610B1B">
        <w:rPr>
          <w:rFonts w:ascii="Times New Roman" w:eastAsia="Times New Roman" w:hAnsi="Times New Roman" w:cs="Times New Roman"/>
          <w:sz w:val="24"/>
          <w:szCs w:val="24"/>
          <w:lang w:val="bg-BG"/>
        </w:rPr>
        <w:t xml:space="preserve">Ранновизантийските </w:t>
      </w:r>
      <w:r w:rsidR="00442579" w:rsidRPr="00610B1B">
        <w:rPr>
          <w:rFonts w:ascii="Times New Roman" w:eastAsia="Times New Roman" w:hAnsi="Times New Roman" w:cs="Times New Roman"/>
          <w:sz w:val="24"/>
          <w:szCs w:val="24"/>
          <w:lang w:val="bg-BG"/>
        </w:rPr>
        <w:t>базилики, средновековни</w:t>
      </w:r>
      <w:r w:rsidR="001748FA" w:rsidRPr="00610B1B">
        <w:rPr>
          <w:rFonts w:ascii="Times New Roman" w:eastAsia="Times New Roman" w:hAnsi="Times New Roman" w:cs="Times New Roman"/>
          <w:sz w:val="24"/>
          <w:szCs w:val="24"/>
          <w:lang w:val="bg-BG"/>
        </w:rPr>
        <w:t>те</w:t>
      </w:r>
      <w:r w:rsidR="00442579" w:rsidRPr="00610B1B">
        <w:rPr>
          <w:rFonts w:ascii="Times New Roman" w:eastAsia="Times New Roman" w:hAnsi="Times New Roman" w:cs="Times New Roman"/>
          <w:sz w:val="24"/>
          <w:szCs w:val="24"/>
          <w:lang w:val="bg-BG"/>
        </w:rPr>
        <w:t xml:space="preserve"> български църкви, възрожденски</w:t>
      </w:r>
      <w:r w:rsidR="001748FA" w:rsidRPr="00610B1B">
        <w:rPr>
          <w:rFonts w:ascii="Times New Roman" w:eastAsia="Times New Roman" w:hAnsi="Times New Roman" w:cs="Times New Roman"/>
          <w:sz w:val="24"/>
          <w:szCs w:val="24"/>
          <w:lang w:val="bg-BG"/>
        </w:rPr>
        <w:t>те</w:t>
      </w:r>
      <w:r w:rsidR="00442579" w:rsidRPr="00610B1B">
        <w:rPr>
          <w:rFonts w:ascii="Times New Roman" w:eastAsia="Times New Roman" w:hAnsi="Times New Roman" w:cs="Times New Roman"/>
          <w:sz w:val="24"/>
          <w:szCs w:val="24"/>
          <w:lang w:val="bg-BG"/>
        </w:rPr>
        <w:t xml:space="preserve"> и </w:t>
      </w:r>
      <w:r w:rsidR="006011C0" w:rsidRPr="00610B1B">
        <w:rPr>
          <w:rFonts w:ascii="Times New Roman" w:eastAsia="Times New Roman" w:hAnsi="Times New Roman" w:cs="Times New Roman"/>
          <w:sz w:val="24"/>
          <w:szCs w:val="24"/>
          <w:lang w:val="bg-BG"/>
        </w:rPr>
        <w:t>следосвобожденските</w:t>
      </w:r>
      <w:r w:rsidR="00442579" w:rsidRPr="00610B1B">
        <w:rPr>
          <w:rFonts w:ascii="Times New Roman" w:eastAsia="Times New Roman" w:hAnsi="Times New Roman" w:cs="Times New Roman"/>
          <w:sz w:val="24"/>
          <w:szCs w:val="24"/>
          <w:lang w:val="bg-BG"/>
        </w:rPr>
        <w:t xml:space="preserve"> църкви представя</w:t>
      </w:r>
      <w:r w:rsidR="001748FA" w:rsidRPr="00610B1B">
        <w:rPr>
          <w:rFonts w:ascii="Times New Roman" w:eastAsia="Times New Roman" w:hAnsi="Times New Roman" w:cs="Times New Roman"/>
          <w:sz w:val="24"/>
          <w:szCs w:val="24"/>
          <w:lang w:val="bg-BG"/>
        </w:rPr>
        <w:t xml:space="preserve">т </w:t>
      </w:r>
      <w:r w:rsidR="00442579" w:rsidRPr="00610B1B">
        <w:rPr>
          <w:rFonts w:ascii="Times New Roman" w:eastAsia="Times New Roman" w:hAnsi="Times New Roman" w:cs="Times New Roman"/>
          <w:sz w:val="24"/>
          <w:szCs w:val="24"/>
          <w:lang w:val="bg-BG"/>
        </w:rPr>
        <w:t xml:space="preserve">християнското храмово строителство, напластявано в Несебър от </w:t>
      </w:r>
      <w:r w:rsidR="00C57F93" w:rsidRPr="00610B1B">
        <w:rPr>
          <w:rFonts w:ascii="Times New Roman" w:eastAsia="Times New Roman" w:hAnsi="Times New Roman" w:cs="Times New Roman"/>
          <w:sz w:val="24"/>
          <w:szCs w:val="24"/>
          <w:lang w:val="bg-BG"/>
        </w:rPr>
        <w:t>V</w:t>
      </w:r>
      <w:r w:rsidR="00442579" w:rsidRPr="00610B1B">
        <w:rPr>
          <w:rFonts w:ascii="Times New Roman" w:eastAsia="Times New Roman" w:hAnsi="Times New Roman" w:cs="Times New Roman"/>
          <w:sz w:val="24"/>
          <w:szCs w:val="24"/>
          <w:lang w:val="bg-BG"/>
        </w:rPr>
        <w:t xml:space="preserve"> до края на </w:t>
      </w:r>
      <w:r w:rsidR="00C57F93" w:rsidRPr="00610B1B">
        <w:rPr>
          <w:rFonts w:ascii="Times New Roman" w:eastAsia="Times New Roman" w:hAnsi="Times New Roman" w:cs="Times New Roman"/>
          <w:sz w:val="24"/>
          <w:szCs w:val="24"/>
          <w:lang w:val="bg-BG"/>
        </w:rPr>
        <w:t>ХІХ</w:t>
      </w:r>
      <w:r w:rsidR="00442579" w:rsidRPr="00610B1B">
        <w:rPr>
          <w:rFonts w:ascii="Times New Roman" w:eastAsia="Times New Roman" w:hAnsi="Times New Roman" w:cs="Times New Roman"/>
          <w:sz w:val="24"/>
          <w:szCs w:val="24"/>
          <w:lang w:val="bg-BG"/>
        </w:rPr>
        <w:t xml:space="preserve"> в.</w:t>
      </w:r>
      <w:r w:rsidR="001748FA" w:rsidRPr="00610B1B">
        <w:rPr>
          <w:rFonts w:ascii="Times New Roman" w:eastAsia="Times New Roman" w:hAnsi="Times New Roman" w:cs="Times New Roman"/>
          <w:sz w:val="24"/>
          <w:szCs w:val="24"/>
          <w:lang w:val="bg-BG"/>
        </w:rPr>
        <w:t xml:space="preserve"> </w:t>
      </w:r>
    </w:p>
    <w:p w14:paraId="70CB1EED" w14:textId="3012B6A1"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sz w:val="24"/>
          <w:szCs w:val="24"/>
          <w:lang w:val="bg-BG"/>
        </w:rPr>
        <w:t>Недвижимите единични културни ценности са разпределят почти равномерно на територията на полуострова. Значителна част от културните ценности са в руинен вид, а в акваторията на югоизток и северозапад, в радиус от над 400 метра са локализирани елементи от укрепителната система на античния и средновековен</w:t>
      </w:r>
      <w:r w:rsidRPr="00610B1B">
        <w:rPr>
          <w:rFonts w:ascii="Times New Roman" w:eastAsia="Times New Roman" w:hAnsi="Times New Roman" w:cs="Times New Roman"/>
          <w:color w:val="00B0F0"/>
          <w:sz w:val="24"/>
          <w:szCs w:val="24"/>
          <w:lang w:val="bg-BG"/>
        </w:rPr>
        <w:t xml:space="preserve"> </w:t>
      </w:r>
      <w:r w:rsidRPr="00610B1B">
        <w:rPr>
          <w:rFonts w:ascii="Times New Roman" w:eastAsia="Times New Roman" w:hAnsi="Times New Roman" w:cs="Times New Roman"/>
          <w:sz w:val="24"/>
          <w:szCs w:val="24"/>
          <w:lang w:val="bg-BG"/>
        </w:rPr>
        <w:t>Несебър. По-голямата част от археологическите структури са все още не</w:t>
      </w:r>
      <w:r w:rsidR="00F91091" w:rsidRPr="00610B1B">
        <w:rPr>
          <w:rFonts w:ascii="Times New Roman" w:eastAsia="Times New Roman" w:hAnsi="Times New Roman" w:cs="Times New Roman"/>
          <w:sz w:val="24"/>
          <w:szCs w:val="24"/>
          <w:lang w:val="bg-BG"/>
        </w:rPr>
        <w:t xml:space="preserve"> са</w:t>
      </w:r>
      <w:r w:rsidRPr="00610B1B">
        <w:rPr>
          <w:rFonts w:ascii="Times New Roman" w:eastAsia="Times New Roman" w:hAnsi="Times New Roman" w:cs="Times New Roman"/>
          <w:sz w:val="24"/>
          <w:szCs w:val="24"/>
          <w:lang w:val="bg-BG"/>
        </w:rPr>
        <w:t xml:space="preserve"> проучени </w:t>
      </w:r>
      <w:r w:rsidR="00F91091" w:rsidRPr="00610B1B">
        <w:rPr>
          <w:rFonts w:ascii="Times New Roman" w:eastAsia="Times New Roman" w:hAnsi="Times New Roman" w:cs="Times New Roman"/>
          <w:sz w:val="24"/>
          <w:szCs w:val="24"/>
          <w:lang w:val="bg-BG"/>
        </w:rPr>
        <w:t>цялостно</w:t>
      </w:r>
      <w:r w:rsidRPr="00610B1B">
        <w:rPr>
          <w:rFonts w:ascii="Times New Roman" w:eastAsia="Times New Roman" w:hAnsi="Times New Roman" w:cs="Times New Roman"/>
          <w:sz w:val="24"/>
          <w:szCs w:val="24"/>
          <w:lang w:val="bg-BG"/>
        </w:rPr>
        <w:t xml:space="preserve">. </w:t>
      </w:r>
    </w:p>
    <w:p w14:paraId="12C3623F" w14:textId="1C717B1F"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На територията на полуострова преобладават</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жилищните сгради, като обществените (предимно от втората половина на </w:t>
      </w:r>
      <w:r w:rsidR="00C57F93" w:rsidRPr="00610B1B">
        <w:rPr>
          <w:rFonts w:ascii="Times New Roman" w:eastAsia="Times New Roman" w:hAnsi="Times New Roman" w:cs="Times New Roman"/>
          <w:sz w:val="24"/>
          <w:szCs w:val="24"/>
          <w:lang w:val="bg-BG"/>
        </w:rPr>
        <w:t>ХХ</w:t>
      </w:r>
      <w:r w:rsidRPr="00610B1B">
        <w:rPr>
          <w:rFonts w:ascii="Times New Roman" w:eastAsia="Times New Roman" w:hAnsi="Times New Roman" w:cs="Times New Roman"/>
          <w:sz w:val="24"/>
          <w:szCs w:val="24"/>
          <w:lang w:val="bg-BG"/>
        </w:rPr>
        <w:t xml:space="preserve"> в.) са съсредоточени в централната и западната части. Връзката на града с морето в най-източния край е възпрепятствана от сравнително обширна територия заета от Гранична полиция. Нови територии “отвоювани” от морето се простират в югозападната част край пристанището и по протежение на северно</w:t>
      </w:r>
      <w:r w:rsidR="00F91091" w:rsidRPr="00610B1B">
        <w:rPr>
          <w:rFonts w:ascii="Times New Roman" w:eastAsia="Times New Roman" w:hAnsi="Times New Roman" w:cs="Times New Roman"/>
          <w:sz w:val="24"/>
          <w:szCs w:val="24"/>
          <w:lang w:val="bg-BG"/>
        </w:rPr>
        <w:t>то</w:t>
      </w:r>
      <w:r w:rsidRPr="00610B1B">
        <w:rPr>
          <w:rFonts w:ascii="Times New Roman" w:eastAsia="Times New Roman" w:hAnsi="Times New Roman" w:cs="Times New Roman"/>
          <w:sz w:val="24"/>
          <w:szCs w:val="24"/>
          <w:lang w:val="bg-BG"/>
        </w:rPr>
        <w:t xml:space="preserve"> крайбрежие. Част от тези нови територии са свързани и с проведеното укрепване на бреговата ивица (80-те години на </w:t>
      </w:r>
      <w:r w:rsidR="00C57F93" w:rsidRPr="00610B1B">
        <w:rPr>
          <w:rFonts w:ascii="Times New Roman" w:eastAsia="Times New Roman" w:hAnsi="Times New Roman" w:cs="Times New Roman"/>
          <w:sz w:val="24"/>
          <w:szCs w:val="24"/>
          <w:lang w:val="bg-BG"/>
        </w:rPr>
        <w:t>ХХ</w:t>
      </w:r>
      <w:r w:rsidRPr="00610B1B">
        <w:rPr>
          <w:rFonts w:ascii="Times New Roman" w:eastAsia="Times New Roman" w:hAnsi="Times New Roman" w:cs="Times New Roman"/>
          <w:sz w:val="24"/>
          <w:szCs w:val="24"/>
          <w:lang w:val="bg-BG"/>
        </w:rPr>
        <w:t xml:space="preserve"> в.). Днес част от тях се използват за паркиране, големи територии в северната част остават пустеещи, докато тези в южната</w:t>
      </w:r>
      <w:r w:rsidR="00F91091" w:rsidRPr="00610B1B">
        <w:rPr>
          <w:rFonts w:ascii="Times New Roman" w:eastAsia="Times New Roman" w:hAnsi="Times New Roman" w:cs="Times New Roman"/>
          <w:sz w:val="24"/>
          <w:szCs w:val="24"/>
          <w:lang w:val="bg-BG"/>
        </w:rPr>
        <w:t xml:space="preserve"> част</w:t>
      </w:r>
      <w:r w:rsidRPr="00610B1B">
        <w:rPr>
          <w:rFonts w:ascii="Times New Roman" w:eastAsia="Times New Roman" w:hAnsi="Times New Roman" w:cs="Times New Roman"/>
          <w:sz w:val="24"/>
          <w:szCs w:val="24"/>
          <w:lang w:val="bg-BG"/>
        </w:rPr>
        <w:t xml:space="preserve">, покрай пристанището, се развиват за обществено обслужване. </w:t>
      </w:r>
    </w:p>
    <w:p w14:paraId="567BCDB8" w14:textId="623C860C"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sz w:val="24"/>
          <w:szCs w:val="24"/>
          <w:lang w:val="bg-BG"/>
        </w:rPr>
        <w:t xml:space="preserve">Запазена е неправилната улично-квартална структура на града, развивала се от средновековието до днес. </w:t>
      </w:r>
      <w:r w:rsidR="00F91091" w:rsidRPr="00610B1B">
        <w:rPr>
          <w:rFonts w:ascii="Times New Roman" w:eastAsia="Times New Roman" w:hAnsi="Times New Roman" w:cs="Times New Roman"/>
          <w:sz w:val="24"/>
          <w:szCs w:val="24"/>
          <w:lang w:val="bg-BG"/>
        </w:rPr>
        <w:t>По крайбрежието на</w:t>
      </w:r>
      <w:r w:rsidR="00C6211B" w:rsidRPr="00610B1B">
        <w:rPr>
          <w:rFonts w:ascii="Times New Roman" w:eastAsia="Times New Roman" w:hAnsi="Times New Roman" w:cs="Times New Roman"/>
          <w:sz w:val="24"/>
          <w:szCs w:val="24"/>
          <w:lang w:val="bg-BG"/>
        </w:rPr>
        <w:t xml:space="preserve"> </w:t>
      </w:r>
      <w:r w:rsidR="00F91091" w:rsidRPr="00610B1B">
        <w:rPr>
          <w:rFonts w:ascii="Times New Roman" w:eastAsia="Times New Roman" w:hAnsi="Times New Roman" w:cs="Times New Roman"/>
          <w:sz w:val="24"/>
          <w:szCs w:val="24"/>
          <w:lang w:val="bg-BG"/>
        </w:rPr>
        <w:t>„</w:t>
      </w:r>
      <w:r w:rsidR="00C6211B" w:rsidRPr="00610B1B">
        <w:rPr>
          <w:rFonts w:ascii="Times New Roman" w:eastAsia="Times New Roman" w:hAnsi="Times New Roman" w:cs="Times New Roman"/>
          <w:sz w:val="24"/>
          <w:szCs w:val="24"/>
          <w:lang w:val="bg-BG"/>
        </w:rPr>
        <w:t xml:space="preserve">Старинен </w:t>
      </w:r>
      <w:r w:rsidR="00F91091" w:rsidRPr="00610B1B">
        <w:rPr>
          <w:rFonts w:ascii="Times New Roman" w:eastAsia="Times New Roman" w:hAnsi="Times New Roman" w:cs="Times New Roman"/>
          <w:sz w:val="24"/>
          <w:szCs w:val="24"/>
          <w:lang w:val="bg-BG"/>
        </w:rPr>
        <w:t xml:space="preserve">Несебър“ </w:t>
      </w:r>
      <w:r w:rsidR="00C6211B" w:rsidRPr="00610B1B">
        <w:rPr>
          <w:rFonts w:ascii="Times New Roman" w:eastAsia="Times New Roman" w:hAnsi="Times New Roman" w:cs="Times New Roman"/>
          <w:sz w:val="24"/>
          <w:szCs w:val="24"/>
          <w:lang w:val="bg-BG"/>
        </w:rPr>
        <w:t>се съсредоточават заведения за обществено хранене, в централната част на полуострова - улична търговия. Сравнително тиха остава територията в източната част с предимно жилищни функции. Множество</w:t>
      </w:r>
      <w:r w:rsidRPr="00610B1B">
        <w:rPr>
          <w:rFonts w:ascii="Times New Roman" w:eastAsia="Times New Roman" w:hAnsi="Times New Roman" w:cs="Times New Roman"/>
          <w:sz w:val="24"/>
          <w:szCs w:val="24"/>
          <w:lang w:val="bg-BG"/>
        </w:rPr>
        <w:t xml:space="preserve"> обекти на общественото хранене са разположени плътно по протежение на южното крайбрежие</w:t>
      </w:r>
      <w:r w:rsidR="00C6211B"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включително в зоната на южното пристанище и по-разпокъсано, на групи, по северното крайбрежие. Това линеарно развитие по крайбрежието е нетипично за Несебър, чийто силует откъм морето е доминирал от крепостната стена, а след нейното постепенно рухване, от линията на застрояване на къщите, високо на платото на полуострова.</w:t>
      </w:r>
      <w:r w:rsidRPr="00610B1B">
        <w:rPr>
          <w:rFonts w:ascii="Times New Roman" w:eastAsia="Times New Roman" w:hAnsi="Times New Roman" w:cs="Times New Roman"/>
          <w:b/>
          <w:sz w:val="24"/>
          <w:szCs w:val="24"/>
          <w:lang w:val="bg-BG"/>
        </w:rPr>
        <w:t xml:space="preserve"> </w:t>
      </w:r>
      <w:r w:rsidR="00F91091" w:rsidRPr="00610B1B">
        <w:rPr>
          <w:rFonts w:ascii="Times New Roman" w:eastAsia="Times New Roman" w:hAnsi="Times New Roman" w:cs="Times New Roman"/>
          <w:sz w:val="24"/>
          <w:szCs w:val="24"/>
          <w:lang w:val="bg-BG"/>
        </w:rPr>
        <w:t xml:space="preserve">Търговската </w:t>
      </w:r>
      <w:r w:rsidRPr="00610B1B">
        <w:rPr>
          <w:rFonts w:ascii="Times New Roman" w:eastAsia="Times New Roman" w:hAnsi="Times New Roman" w:cs="Times New Roman"/>
          <w:sz w:val="24"/>
          <w:szCs w:val="24"/>
          <w:lang w:val="bg-BG"/>
        </w:rPr>
        <w:t xml:space="preserve">и занаятчийската дейност е традиционно развита </w:t>
      </w:r>
      <w:r w:rsidR="00F91091" w:rsidRPr="00610B1B">
        <w:rPr>
          <w:rFonts w:ascii="Times New Roman" w:eastAsia="Times New Roman" w:hAnsi="Times New Roman" w:cs="Times New Roman"/>
          <w:sz w:val="24"/>
          <w:szCs w:val="24"/>
          <w:lang w:val="bg-BG"/>
        </w:rPr>
        <w:t>в централната част</w:t>
      </w:r>
      <w:r w:rsidRPr="00610B1B">
        <w:rPr>
          <w:rFonts w:ascii="Times New Roman" w:eastAsia="Times New Roman" w:hAnsi="Times New Roman" w:cs="Times New Roman"/>
          <w:sz w:val="24"/>
          <w:szCs w:val="24"/>
          <w:lang w:val="bg-BG"/>
        </w:rPr>
        <w:t xml:space="preserve"> на града, но дюкяните са се разполагали</w:t>
      </w:r>
      <w:r w:rsidR="00C6211B"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в приземията</w:t>
      </w:r>
      <w:r w:rsidR="00F91091" w:rsidRPr="00610B1B">
        <w:rPr>
          <w:rFonts w:ascii="Times New Roman" w:eastAsia="Times New Roman" w:hAnsi="Times New Roman" w:cs="Times New Roman"/>
          <w:sz w:val="24"/>
          <w:szCs w:val="24"/>
          <w:lang w:val="bg-BG"/>
        </w:rPr>
        <w:t>, а не в уличното пространство</w:t>
      </w:r>
      <w:r w:rsidR="00CA7213" w:rsidRPr="00610B1B">
        <w:rPr>
          <w:rFonts w:ascii="Times New Roman" w:eastAsia="Times New Roman" w:hAnsi="Times New Roman" w:cs="Times New Roman"/>
          <w:sz w:val="24"/>
          <w:szCs w:val="24"/>
          <w:lang w:val="bg-BG"/>
        </w:rPr>
        <w:t>. Сегашната улична търговия</w:t>
      </w:r>
      <w:r w:rsidR="00F91091" w:rsidRPr="00610B1B">
        <w:rPr>
          <w:rFonts w:ascii="Times New Roman" w:eastAsia="Times New Roman" w:hAnsi="Times New Roman" w:cs="Times New Roman"/>
          <w:sz w:val="24"/>
          <w:szCs w:val="24"/>
          <w:lang w:val="bg-BG"/>
        </w:rPr>
        <w:t xml:space="preserve"> н</w:t>
      </w:r>
      <w:r w:rsidRPr="00610B1B">
        <w:rPr>
          <w:rFonts w:ascii="Times New Roman" w:eastAsia="Times New Roman" w:hAnsi="Times New Roman" w:cs="Times New Roman"/>
          <w:sz w:val="24"/>
          <w:szCs w:val="24"/>
          <w:lang w:val="bg-BG"/>
        </w:rPr>
        <w:t>арушава ценностни характеристики</w:t>
      </w:r>
      <w:r w:rsidR="00F91091" w:rsidRPr="00610B1B">
        <w:rPr>
          <w:rFonts w:ascii="Times New Roman" w:eastAsia="Times New Roman" w:hAnsi="Times New Roman" w:cs="Times New Roman"/>
          <w:sz w:val="24"/>
          <w:szCs w:val="24"/>
          <w:lang w:val="bg-BG"/>
        </w:rPr>
        <w:t xml:space="preserve">, </w:t>
      </w:r>
      <w:r w:rsidR="00CA7213" w:rsidRPr="00610B1B">
        <w:rPr>
          <w:rFonts w:ascii="Times New Roman" w:eastAsia="Times New Roman" w:hAnsi="Times New Roman" w:cs="Times New Roman"/>
          <w:sz w:val="24"/>
          <w:szCs w:val="24"/>
          <w:lang w:val="bg-BG"/>
        </w:rPr>
        <w:t>закрива</w:t>
      </w:r>
      <w:r w:rsidR="00F91091"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визуални връзки, неглижира</w:t>
      </w:r>
      <w:r w:rsidR="00F91091"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уличн</w:t>
      </w:r>
      <w:r w:rsidR="00CA7213" w:rsidRPr="00610B1B">
        <w:rPr>
          <w:rFonts w:ascii="Times New Roman" w:eastAsia="Times New Roman" w:hAnsi="Times New Roman" w:cs="Times New Roman"/>
          <w:sz w:val="24"/>
          <w:szCs w:val="24"/>
          <w:lang w:val="bg-BG"/>
        </w:rPr>
        <w:t>ия</w:t>
      </w:r>
      <w:r w:rsidRPr="00610B1B">
        <w:rPr>
          <w:rFonts w:ascii="Times New Roman" w:eastAsia="Times New Roman" w:hAnsi="Times New Roman" w:cs="Times New Roman"/>
          <w:sz w:val="24"/>
          <w:szCs w:val="24"/>
          <w:lang w:val="bg-BG"/>
        </w:rPr>
        <w:t xml:space="preserve"> силует </w:t>
      </w:r>
      <w:r w:rsidR="00CA7213" w:rsidRPr="00610B1B">
        <w:rPr>
          <w:rFonts w:ascii="Times New Roman" w:eastAsia="Times New Roman" w:hAnsi="Times New Roman" w:cs="Times New Roman"/>
          <w:sz w:val="24"/>
          <w:szCs w:val="24"/>
          <w:lang w:val="bg-BG"/>
        </w:rPr>
        <w:t>от</w:t>
      </w:r>
      <w:r w:rsidRPr="00610B1B">
        <w:rPr>
          <w:rFonts w:ascii="Times New Roman" w:eastAsia="Times New Roman" w:hAnsi="Times New Roman" w:cs="Times New Roman"/>
          <w:sz w:val="24"/>
          <w:szCs w:val="24"/>
          <w:lang w:val="bg-BG"/>
        </w:rPr>
        <w:t xml:space="preserve"> каменни приземия и дървени надстройки на етажа. </w:t>
      </w:r>
    </w:p>
    <w:p w14:paraId="668FFD35" w14:textId="2073A026" w:rsidR="00442579" w:rsidRPr="00610B1B" w:rsidRDefault="00442579" w:rsidP="00D32D6A">
      <w:pPr>
        <w:spacing w:after="120"/>
        <w:ind w:right="-153"/>
        <w:jc w:val="both"/>
        <w:rPr>
          <w:rFonts w:ascii="Times New Roman" w:hAnsi="Times New Roman" w:cs="Times New Roman"/>
          <w:color w:val="000000" w:themeColor="text1"/>
          <w:sz w:val="24"/>
          <w:szCs w:val="24"/>
          <w:lang w:val="bg-BG"/>
        </w:rPr>
      </w:pPr>
      <w:r w:rsidRPr="00610B1B">
        <w:rPr>
          <w:rFonts w:ascii="Times New Roman" w:eastAsia="Times New Roman" w:hAnsi="Times New Roman" w:cs="Times New Roman"/>
          <w:sz w:val="24"/>
          <w:szCs w:val="24"/>
          <w:lang w:val="bg-BG"/>
        </w:rPr>
        <w:t>Културният туризъм е свързан с няколко обекта към музе</w:t>
      </w:r>
      <w:r w:rsidR="0023542D" w:rsidRPr="00610B1B">
        <w:rPr>
          <w:rFonts w:ascii="Times New Roman" w:eastAsia="Times New Roman" w:hAnsi="Times New Roman" w:cs="Times New Roman"/>
          <w:sz w:val="24"/>
          <w:szCs w:val="24"/>
          <w:lang w:val="bg-BG"/>
        </w:rPr>
        <w:t>я</w:t>
      </w:r>
      <w:r w:rsidRPr="00610B1B">
        <w:rPr>
          <w:rFonts w:ascii="Times New Roman" w:eastAsia="Times New Roman" w:hAnsi="Times New Roman" w:cs="Times New Roman"/>
          <w:sz w:val="24"/>
          <w:szCs w:val="24"/>
          <w:lang w:val="bg-BG"/>
        </w:rPr>
        <w:t xml:space="preserve"> </w:t>
      </w:r>
      <w:r w:rsidR="00CA7213"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Старинен Несебър</w:t>
      </w:r>
      <w:r w:rsidR="00CA7213"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Проведените консервационн</w:t>
      </w:r>
      <w:r w:rsidR="00CA7213" w:rsidRPr="00610B1B">
        <w:rPr>
          <w:rFonts w:ascii="Times New Roman" w:eastAsia="Times New Roman" w:hAnsi="Times New Roman" w:cs="Times New Roman"/>
          <w:sz w:val="24"/>
          <w:szCs w:val="24"/>
          <w:lang w:val="bg-BG"/>
        </w:rPr>
        <w:t>о</w:t>
      </w:r>
      <w:r w:rsidRPr="00610B1B">
        <w:rPr>
          <w:rFonts w:ascii="Times New Roman" w:eastAsia="Times New Roman" w:hAnsi="Times New Roman" w:cs="Times New Roman"/>
          <w:sz w:val="24"/>
          <w:szCs w:val="24"/>
          <w:lang w:val="bg-BG"/>
        </w:rPr>
        <w:t>-реставрационни работи върху четири от църквите в Несебър и непосредствено прилежащи</w:t>
      </w:r>
      <w:r w:rsidR="0023542D" w:rsidRPr="00610B1B">
        <w:rPr>
          <w:rFonts w:ascii="Times New Roman" w:eastAsia="Times New Roman" w:hAnsi="Times New Roman" w:cs="Times New Roman"/>
          <w:sz w:val="24"/>
          <w:szCs w:val="24"/>
          <w:lang w:val="bg-BG"/>
        </w:rPr>
        <w:t>те</w:t>
      </w:r>
      <w:r w:rsidRPr="00610B1B">
        <w:rPr>
          <w:rFonts w:ascii="Times New Roman" w:eastAsia="Times New Roman" w:hAnsi="Times New Roman" w:cs="Times New Roman"/>
          <w:sz w:val="24"/>
          <w:szCs w:val="24"/>
          <w:lang w:val="bg-BG"/>
        </w:rPr>
        <w:t xml:space="preserve"> пространства ги включват в системата от обекти за туристическа обиколка </w:t>
      </w:r>
      <w:r w:rsidR="0023542D" w:rsidRPr="00610B1B">
        <w:rPr>
          <w:rFonts w:ascii="Times New Roman" w:eastAsia="Times New Roman" w:hAnsi="Times New Roman" w:cs="Times New Roman"/>
          <w:sz w:val="24"/>
          <w:szCs w:val="24"/>
          <w:lang w:val="bg-BG"/>
        </w:rPr>
        <w:t>на</w:t>
      </w:r>
      <w:r w:rsidRPr="00610B1B">
        <w:rPr>
          <w:rFonts w:ascii="Times New Roman" w:eastAsia="Times New Roman" w:hAnsi="Times New Roman" w:cs="Times New Roman"/>
          <w:sz w:val="24"/>
          <w:szCs w:val="24"/>
          <w:lang w:val="bg-BG"/>
        </w:rPr>
        <w:t xml:space="preserve"> града. Основните зони за градски прояви остават исторически</w:t>
      </w:r>
      <w:r w:rsidR="0023542D" w:rsidRPr="00610B1B">
        <w:rPr>
          <w:rFonts w:ascii="Times New Roman" w:eastAsia="Times New Roman" w:hAnsi="Times New Roman" w:cs="Times New Roman"/>
          <w:sz w:val="24"/>
          <w:szCs w:val="24"/>
          <w:lang w:val="bg-BG"/>
        </w:rPr>
        <w:t>те</w:t>
      </w:r>
      <w:r w:rsidRPr="00610B1B">
        <w:rPr>
          <w:rFonts w:ascii="Times New Roman" w:eastAsia="Times New Roman" w:hAnsi="Times New Roman" w:cs="Times New Roman"/>
          <w:sz w:val="24"/>
          <w:szCs w:val="24"/>
          <w:lang w:val="bg-BG"/>
        </w:rPr>
        <w:t xml:space="preserve"> пространства при С</w:t>
      </w:r>
      <w:r w:rsidR="004530E1" w:rsidRPr="00610B1B">
        <w:rPr>
          <w:rFonts w:ascii="Times New Roman" w:eastAsia="Times New Roman" w:hAnsi="Times New Roman" w:cs="Times New Roman"/>
          <w:sz w:val="24"/>
          <w:szCs w:val="24"/>
          <w:lang w:val="bg-BG"/>
        </w:rPr>
        <w:t xml:space="preserve">тарата митрополия и площад </w:t>
      </w:r>
      <w:r w:rsidR="00CA7213" w:rsidRPr="00610B1B">
        <w:rPr>
          <w:rFonts w:ascii="Times New Roman" w:eastAsia="Times New Roman" w:hAnsi="Times New Roman" w:cs="Times New Roman"/>
          <w:sz w:val="24"/>
          <w:szCs w:val="24"/>
          <w:lang w:val="bg-BG"/>
        </w:rPr>
        <w:t>„</w:t>
      </w:r>
      <w:r w:rsidR="004530E1" w:rsidRPr="00610B1B">
        <w:rPr>
          <w:rFonts w:ascii="Times New Roman" w:eastAsia="Times New Roman" w:hAnsi="Times New Roman" w:cs="Times New Roman"/>
          <w:sz w:val="24"/>
          <w:szCs w:val="24"/>
          <w:lang w:val="bg-BG"/>
        </w:rPr>
        <w:t>Месе</w:t>
      </w:r>
      <w:r w:rsidRPr="00610B1B">
        <w:rPr>
          <w:rFonts w:ascii="Times New Roman" w:eastAsia="Times New Roman" w:hAnsi="Times New Roman" w:cs="Times New Roman"/>
          <w:sz w:val="24"/>
          <w:szCs w:val="24"/>
          <w:lang w:val="bg-BG"/>
        </w:rPr>
        <w:t>мбрия</w:t>
      </w:r>
      <w:r w:rsidR="00A220E8"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и формиралите се зони до читалището, откритият театър при южното пристанище, и в по-редки случаи, градинката пре</w:t>
      </w:r>
      <w:r w:rsidR="00A220E8" w:rsidRPr="00610B1B">
        <w:rPr>
          <w:rFonts w:ascii="Times New Roman" w:eastAsia="Times New Roman" w:hAnsi="Times New Roman" w:cs="Times New Roman"/>
          <w:sz w:val="24"/>
          <w:szCs w:val="24"/>
          <w:lang w:val="bg-BG"/>
        </w:rPr>
        <w:t>д</w:t>
      </w:r>
      <w:r w:rsidRPr="00610B1B">
        <w:rPr>
          <w:rFonts w:ascii="Times New Roman" w:eastAsia="Times New Roman" w:hAnsi="Times New Roman" w:cs="Times New Roman"/>
          <w:sz w:val="24"/>
          <w:szCs w:val="24"/>
          <w:lang w:val="bg-BG"/>
        </w:rPr>
        <w:t xml:space="preserve"> западната крепостна стена. Неусвоени </w:t>
      </w:r>
      <w:r w:rsidR="0023542D" w:rsidRPr="00610B1B">
        <w:rPr>
          <w:rFonts w:ascii="Times New Roman" w:eastAsia="Times New Roman" w:hAnsi="Times New Roman" w:cs="Times New Roman"/>
          <w:sz w:val="24"/>
          <w:szCs w:val="24"/>
          <w:lang w:val="bg-BG"/>
        </w:rPr>
        <w:t>са</w:t>
      </w:r>
      <w:r w:rsidRPr="00610B1B">
        <w:rPr>
          <w:rFonts w:ascii="Times New Roman" w:eastAsia="Times New Roman" w:hAnsi="Times New Roman" w:cs="Times New Roman"/>
          <w:sz w:val="24"/>
          <w:szCs w:val="24"/>
          <w:lang w:val="bg-BG"/>
        </w:rPr>
        <w:t xml:space="preserve"> </w:t>
      </w:r>
      <w:r w:rsidR="007E11E8" w:rsidRPr="00610B1B">
        <w:rPr>
          <w:rFonts w:ascii="Times New Roman" w:eastAsia="Times New Roman" w:hAnsi="Times New Roman" w:cs="Times New Roman"/>
          <w:sz w:val="24"/>
          <w:szCs w:val="24"/>
          <w:lang w:val="bg-BG"/>
        </w:rPr>
        <w:t xml:space="preserve">някои </w:t>
      </w:r>
      <w:r w:rsidRPr="00610B1B">
        <w:rPr>
          <w:rFonts w:ascii="Times New Roman" w:eastAsia="Times New Roman" w:hAnsi="Times New Roman" w:cs="Times New Roman"/>
          <w:sz w:val="24"/>
          <w:szCs w:val="24"/>
          <w:lang w:val="bg-BG"/>
        </w:rPr>
        <w:t xml:space="preserve">територии с потенциал за </w:t>
      </w:r>
      <w:r w:rsidR="007E11E8" w:rsidRPr="00610B1B">
        <w:rPr>
          <w:rFonts w:ascii="Times New Roman" w:eastAsia="Times New Roman" w:hAnsi="Times New Roman" w:cs="Times New Roman"/>
          <w:sz w:val="24"/>
          <w:szCs w:val="24"/>
          <w:lang w:val="bg-BG"/>
        </w:rPr>
        <w:t xml:space="preserve">културни и образователни </w:t>
      </w:r>
      <w:r w:rsidRPr="00610B1B">
        <w:rPr>
          <w:rFonts w:ascii="Times New Roman" w:eastAsia="Times New Roman" w:hAnsi="Times New Roman" w:cs="Times New Roman"/>
          <w:sz w:val="24"/>
          <w:szCs w:val="24"/>
          <w:lang w:val="bg-BG"/>
        </w:rPr>
        <w:t>прояви - археологическият комплекс</w:t>
      </w:r>
      <w:r w:rsidR="007E11E8"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зад </w:t>
      </w:r>
      <w:r w:rsidRPr="00610B1B">
        <w:rPr>
          <w:rFonts w:ascii="Times New Roman" w:eastAsia="Times New Roman" w:hAnsi="Times New Roman" w:cs="Times New Roman"/>
          <w:color w:val="000000" w:themeColor="text1"/>
          <w:sz w:val="24"/>
          <w:szCs w:val="24"/>
          <w:lang w:val="bg-BG"/>
        </w:rPr>
        <w:t xml:space="preserve">западната крепостна стена, пространствата около църквата </w:t>
      </w:r>
      <w:r w:rsidR="00A220E8" w:rsidRPr="00610B1B">
        <w:rPr>
          <w:rFonts w:ascii="Times New Roman" w:eastAsia="Times New Roman" w:hAnsi="Times New Roman" w:cs="Times New Roman"/>
          <w:color w:val="000000" w:themeColor="text1"/>
          <w:sz w:val="24"/>
          <w:szCs w:val="24"/>
          <w:lang w:val="bg-BG"/>
        </w:rPr>
        <w:t>„</w:t>
      </w:r>
      <w:r w:rsidRPr="00610B1B">
        <w:rPr>
          <w:rFonts w:ascii="Times New Roman" w:eastAsia="Times New Roman" w:hAnsi="Times New Roman" w:cs="Times New Roman"/>
          <w:color w:val="000000" w:themeColor="text1"/>
          <w:sz w:val="24"/>
          <w:szCs w:val="24"/>
          <w:lang w:val="bg-BG"/>
        </w:rPr>
        <w:t>Св. Богородица Елеуса</w:t>
      </w:r>
      <w:r w:rsidR="00A220E8" w:rsidRPr="00610B1B">
        <w:rPr>
          <w:rFonts w:ascii="Times New Roman" w:eastAsia="Times New Roman" w:hAnsi="Times New Roman" w:cs="Times New Roman"/>
          <w:color w:val="000000" w:themeColor="text1"/>
          <w:sz w:val="24"/>
          <w:szCs w:val="24"/>
          <w:lang w:val="bg-BG"/>
        </w:rPr>
        <w:t>“</w:t>
      </w:r>
      <w:r w:rsidRPr="00610B1B">
        <w:rPr>
          <w:rFonts w:ascii="Times New Roman" w:eastAsia="Times New Roman" w:hAnsi="Times New Roman" w:cs="Times New Roman"/>
          <w:color w:val="000000" w:themeColor="text1"/>
          <w:sz w:val="24"/>
          <w:szCs w:val="24"/>
          <w:lang w:val="bg-BG"/>
        </w:rPr>
        <w:t>, територията на ранновизантийските терми</w:t>
      </w:r>
      <w:r w:rsidR="00C6211B" w:rsidRPr="00610B1B">
        <w:rPr>
          <w:rFonts w:ascii="Times New Roman" w:eastAsia="Times New Roman" w:hAnsi="Times New Roman" w:cs="Times New Roman"/>
          <w:color w:val="000000" w:themeColor="text1"/>
          <w:sz w:val="24"/>
          <w:szCs w:val="24"/>
          <w:lang w:val="bg-BG"/>
        </w:rPr>
        <w:t>, про</w:t>
      </w:r>
      <w:r w:rsidRPr="00610B1B">
        <w:rPr>
          <w:rFonts w:ascii="Times New Roman" w:eastAsia="Times New Roman" w:hAnsi="Times New Roman" w:cs="Times New Roman"/>
          <w:color w:val="000000" w:themeColor="text1"/>
          <w:sz w:val="24"/>
          <w:szCs w:val="24"/>
          <w:lang w:val="bg-BG"/>
        </w:rPr>
        <w:t>странството, собственост на Главна дирекция „Гранична полиция</w:t>
      </w:r>
      <w:bookmarkStart w:id="403" w:name="_Hlk46584559"/>
      <w:r w:rsidR="009373EC" w:rsidRPr="00610B1B">
        <w:rPr>
          <w:rFonts w:ascii="Times New Roman" w:eastAsia="Times New Roman" w:hAnsi="Times New Roman" w:cs="Times New Roman"/>
          <w:color w:val="000000" w:themeColor="text1"/>
          <w:sz w:val="24"/>
          <w:szCs w:val="24"/>
          <w:lang w:val="bg-BG"/>
        </w:rPr>
        <w:t>“</w:t>
      </w:r>
      <w:r w:rsidR="009373EC" w:rsidRPr="00610B1B">
        <w:rPr>
          <w:rFonts w:ascii="Times New Roman" w:hAnsi="Times New Roman" w:cs="Times New Roman"/>
          <w:color w:val="000000" w:themeColor="text1"/>
          <w:sz w:val="24"/>
          <w:szCs w:val="24"/>
          <w:lang w:val="bg-BG"/>
        </w:rPr>
        <w:t xml:space="preserve"> в източната част на полуострова, където не са проведени </w:t>
      </w:r>
      <w:r w:rsidR="009373EC" w:rsidRPr="00610B1B">
        <w:rPr>
          <w:rFonts w:ascii="Times New Roman" w:hAnsi="Times New Roman" w:cs="Times New Roman"/>
          <w:color w:val="000000" w:themeColor="text1"/>
          <w:sz w:val="24"/>
          <w:szCs w:val="24"/>
          <w:lang w:val="bg-BG"/>
        </w:rPr>
        <w:lastRenderedPageBreak/>
        <w:t xml:space="preserve">археологически </w:t>
      </w:r>
      <w:r w:rsidR="00461059" w:rsidRPr="00610B1B">
        <w:rPr>
          <w:rFonts w:ascii="Times New Roman" w:hAnsi="Times New Roman" w:cs="Times New Roman"/>
          <w:color w:val="000000" w:themeColor="text1"/>
          <w:sz w:val="24"/>
          <w:szCs w:val="24"/>
          <w:lang w:val="bg-BG"/>
        </w:rPr>
        <w:t>проучвания</w:t>
      </w:r>
      <w:r w:rsidR="009373EC" w:rsidRPr="00610B1B">
        <w:rPr>
          <w:rFonts w:ascii="Times New Roman" w:hAnsi="Times New Roman" w:cs="Times New Roman"/>
          <w:color w:val="000000" w:themeColor="text1"/>
          <w:sz w:val="24"/>
          <w:szCs w:val="24"/>
          <w:lang w:val="bg-BG"/>
        </w:rPr>
        <w:t xml:space="preserve">. Част от тази зона е свлечена в морето и е с потенциал за експониране и развитие на подводен туризъм. </w:t>
      </w:r>
      <w:bookmarkEnd w:id="403"/>
    </w:p>
    <w:p w14:paraId="60638A47" w14:textId="2AC3C1E7" w:rsidR="00A220E8"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
          <w:bCs/>
          <w:sz w:val="24"/>
          <w:szCs w:val="24"/>
          <w:lang w:val="bg-BG"/>
        </w:rPr>
        <w:t>Откритите под вода структури</w:t>
      </w:r>
      <w:r w:rsidRPr="00610B1B">
        <w:rPr>
          <w:rFonts w:ascii="Times New Roman" w:eastAsia="Times New Roman" w:hAnsi="Times New Roman" w:cs="Times New Roman"/>
          <w:sz w:val="24"/>
          <w:szCs w:val="24"/>
          <w:lang w:val="bg-BG"/>
        </w:rPr>
        <w:t xml:space="preserve">, в повечето случаи са </w:t>
      </w:r>
      <w:r w:rsidR="00461059" w:rsidRPr="00610B1B">
        <w:rPr>
          <w:rFonts w:ascii="Times New Roman" w:eastAsia="Times New Roman" w:hAnsi="Times New Roman" w:cs="Times New Roman"/>
          <w:sz w:val="24"/>
          <w:szCs w:val="24"/>
          <w:lang w:val="bg-BG"/>
        </w:rPr>
        <w:t>интерпретирани</w:t>
      </w:r>
      <w:r w:rsidRPr="00610B1B">
        <w:rPr>
          <w:rFonts w:ascii="Times New Roman" w:eastAsia="Times New Roman" w:hAnsi="Times New Roman" w:cs="Times New Roman"/>
          <w:sz w:val="24"/>
          <w:szCs w:val="24"/>
          <w:lang w:val="bg-BG"/>
        </w:rPr>
        <w:t xml:space="preserve"> като градежи, които първоначално са били на сушата, а след това</w:t>
      </w:r>
      <w:r w:rsidR="00C6211B"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под въздействието на различни фактори</w:t>
      </w:r>
      <w:r w:rsidR="00C6211B"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въздействащи върху околната среда</w:t>
      </w:r>
      <w:r w:rsidR="00C6211B"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са се оказали под днешното морско ниво.</w:t>
      </w:r>
      <w:r w:rsidR="00A220E8" w:rsidRPr="00610B1B">
        <w:rPr>
          <w:rFonts w:ascii="Times New Roman" w:eastAsia="Times New Roman" w:hAnsi="Times New Roman" w:cs="Times New Roman"/>
          <w:b/>
          <w:sz w:val="24"/>
          <w:szCs w:val="24"/>
          <w:lang w:val="bg-BG"/>
        </w:rPr>
        <w:t xml:space="preserve"> </w:t>
      </w:r>
      <w:r w:rsidRPr="00610B1B">
        <w:rPr>
          <w:rFonts w:ascii="Times New Roman" w:eastAsia="Times New Roman" w:hAnsi="Times New Roman" w:cs="Times New Roman"/>
          <w:sz w:val="24"/>
          <w:szCs w:val="24"/>
          <w:lang w:val="bg-BG"/>
        </w:rPr>
        <w:t>Подводните проучвания в района на Несебър започват през 1960 г</w:t>
      </w:r>
      <w:r w:rsidR="00C57F93"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като до края на </w:t>
      </w:r>
      <w:r w:rsidR="00C57F93" w:rsidRPr="00610B1B">
        <w:rPr>
          <w:rFonts w:ascii="Times New Roman" w:eastAsia="Times New Roman" w:hAnsi="Times New Roman" w:cs="Times New Roman"/>
          <w:sz w:val="24"/>
          <w:szCs w:val="24"/>
          <w:lang w:val="bg-BG"/>
        </w:rPr>
        <w:t>ХХ</w:t>
      </w:r>
      <w:r w:rsidRPr="00610B1B">
        <w:rPr>
          <w:rFonts w:ascii="Times New Roman" w:eastAsia="Times New Roman" w:hAnsi="Times New Roman" w:cs="Times New Roman"/>
          <w:sz w:val="24"/>
          <w:szCs w:val="24"/>
          <w:lang w:val="bg-BG"/>
        </w:rPr>
        <w:t xml:space="preserve"> век се провеждат 15 подводни</w:t>
      </w:r>
      <w:r w:rsidR="004530E1" w:rsidRPr="00610B1B">
        <w:rPr>
          <w:rFonts w:ascii="Times New Roman" w:eastAsia="Times New Roman" w:hAnsi="Times New Roman" w:cs="Times New Roman"/>
          <w:sz w:val="24"/>
          <w:szCs w:val="24"/>
          <w:lang w:val="bg-BG"/>
        </w:rPr>
        <w:t xml:space="preserve"> археологически експедиции. </w:t>
      </w:r>
    </w:p>
    <w:p w14:paraId="2450F7F2" w14:textId="65BCAD91" w:rsidR="00442579" w:rsidRPr="00610B1B" w:rsidRDefault="004530E1"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sz w:val="24"/>
          <w:szCs w:val="24"/>
          <w:lang w:val="bg-BG"/>
        </w:rPr>
        <w:t>Месе</w:t>
      </w:r>
      <w:r w:rsidR="00442579" w:rsidRPr="00610B1B">
        <w:rPr>
          <w:rFonts w:ascii="Times New Roman" w:eastAsia="Times New Roman" w:hAnsi="Times New Roman" w:cs="Times New Roman"/>
          <w:sz w:val="24"/>
          <w:szCs w:val="24"/>
          <w:lang w:val="bg-BG"/>
        </w:rPr>
        <w:t>мбрия е загубила около 1/3 от укрепената си територия вследствие на покачването на морско</w:t>
      </w:r>
      <w:r w:rsidR="00C6211B" w:rsidRPr="00610B1B">
        <w:rPr>
          <w:rFonts w:ascii="Times New Roman" w:eastAsia="Times New Roman" w:hAnsi="Times New Roman" w:cs="Times New Roman"/>
          <w:sz w:val="24"/>
          <w:szCs w:val="24"/>
          <w:lang w:val="bg-BG"/>
        </w:rPr>
        <w:t>то</w:t>
      </w:r>
      <w:r w:rsidR="00442579" w:rsidRPr="00610B1B">
        <w:rPr>
          <w:rFonts w:ascii="Times New Roman" w:eastAsia="Times New Roman" w:hAnsi="Times New Roman" w:cs="Times New Roman"/>
          <w:sz w:val="24"/>
          <w:szCs w:val="24"/>
          <w:lang w:val="bg-BG"/>
        </w:rPr>
        <w:t xml:space="preserve"> ниво, потъването на сушата, ерозията и абразията. </w:t>
      </w:r>
      <w:r w:rsidR="00C6211B" w:rsidRPr="00610B1B">
        <w:rPr>
          <w:rFonts w:ascii="Times New Roman" w:eastAsia="Times New Roman" w:hAnsi="Times New Roman" w:cs="Times New Roman"/>
          <w:sz w:val="24"/>
          <w:szCs w:val="24"/>
          <w:lang w:val="bg-BG"/>
        </w:rPr>
        <w:t xml:space="preserve">В </w:t>
      </w:r>
      <w:r w:rsidR="00442579" w:rsidRPr="00610B1B">
        <w:rPr>
          <w:rFonts w:ascii="Times New Roman" w:eastAsia="Times New Roman" w:hAnsi="Times New Roman" w:cs="Times New Roman"/>
          <w:sz w:val="24"/>
          <w:szCs w:val="24"/>
          <w:lang w:val="bg-BG"/>
        </w:rPr>
        <w:t>различни сектори от акваторията на полуострова са открити руини от крепостни стени, кули, стълбища и артефакти от предримската епоха до Възраждането. Структурите са открити на бр</w:t>
      </w:r>
      <w:r w:rsidR="007E11E8" w:rsidRPr="00610B1B">
        <w:rPr>
          <w:rFonts w:ascii="Times New Roman" w:eastAsia="Times New Roman" w:hAnsi="Times New Roman" w:cs="Times New Roman"/>
          <w:sz w:val="24"/>
          <w:szCs w:val="24"/>
          <w:lang w:val="bg-BG"/>
        </w:rPr>
        <w:t>е</w:t>
      </w:r>
      <w:r w:rsidR="00442579" w:rsidRPr="00610B1B">
        <w:rPr>
          <w:rFonts w:ascii="Times New Roman" w:eastAsia="Times New Roman" w:hAnsi="Times New Roman" w:cs="Times New Roman"/>
          <w:sz w:val="24"/>
          <w:szCs w:val="24"/>
          <w:lang w:val="bg-BG"/>
        </w:rPr>
        <w:t>г</w:t>
      </w:r>
      <w:r w:rsidR="007E11E8" w:rsidRPr="00610B1B">
        <w:rPr>
          <w:rFonts w:ascii="Times New Roman" w:eastAsia="Times New Roman" w:hAnsi="Times New Roman" w:cs="Times New Roman"/>
          <w:sz w:val="24"/>
          <w:szCs w:val="24"/>
          <w:lang w:val="bg-BG"/>
        </w:rPr>
        <w:t>а</w:t>
      </w:r>
      <w:r w:rsidR="00442579" w:rsidRPr="00610B1B">
        <w:rPr>
          <w:rFonts w:ascii="Times New Roman" w:eastAsia="Times New Roman" w:hAnsi="Times New Roman" w:cs="Times New Roman"/>
          <w:sz w:val="24"/>
          <w:szCs w:val="24"/>
          <w:lang w:val="bg-BG"/>
        </w:rPr>
        <w:t xml:space="preserve"> (в прибойната зона) и на дълбочини до 2–3 и 5–6 метра. По цялото северно протежение на Несебърския полуостров съществуват участъци от крепостни стени, които следват бреговата линия на дълбочина до 1,5 </w:t>
      </w:r>
      <w:r w:rsidR="00F46876" w:rsidRPr="00610B1B">
        <w:rPr>
          <w:rFonts w:ascii="Times New Roman" w:eastAsia="Times New Roman" w:hAnsi="Times New Roman" w:cs="Times New Roman"/>
          <w:sz w:val="24"/>
          <w:szCs w:val="24"/>
          <w:lang w:val="bg-BG"/>
        </w:rPr>
        <w:t>m</w:t>
      </w:r>
      <w:r w:rsidR="00442579" w:rsidRPr="00610B1B">
        <w:rPr>
          <w:rFonts w:ascii="Times New Roman" w:eastAsia="Times New Roman" w:hAnsi="Times New Roman" w:cs="Times New Roman"/>
          <w:sz w:val="24"/>
          <w:szCs w:val="24"/>
          <w:lang w:val="bg-BG"/>
        </w:rPr>
        <w:t xml:space="preserve">. Северната крепостна стена започва северно от западната порта на града. На изток е открита под водата, на разстояние до около 40 </w:t>
      </w:r>
      <w:r w:rsidR="00F46876" w:rsidRPr="00610B1B">
        <w:rPr>
          <w:rFonts w:ascii="Times New Roman" w:eastAsia="Times New Roman" w:hAnsi="Times New Roman" w:cs="Times New Roman"/>
          <w:sz w:val="24"/>
          <w:szCs w:val="24"/>
          <w:lang w:val="bg-BG"/>
        </w:rPr>
        <w:t>m</w:t>
      </w:r>
      <w:r w:rsidR="00442579" w:rsidRPr="00610B1B">
        <w:rPr>
          <w:rFonts w:ascii="Times New Roman" w:eastAsia="Times New Roman" w:hAnsi="Times New Roman" w:cs="Times New Roman"/>
          <w:sz w:val="24"/>
          <w:szCs w:val="24"/>
          <w:lang w:val="bg-BG"/>
        </w:rPr>
        <w:t xml:space="preserve"> от брега. В западния край на северната стена е регистрирана стена с направление север-юг, проследена до 80 </w:t>
      </w:r>
      <w:r w:rsidR="00F46876" w:rsidRPr="00610B1B">
        <w:rPr>
          <w:rFonts w:ascii="Times New Roman" w:eastAsia="Times New Roman" w:hAnsi="Times New Roman" w:cs="Times New Roman"/>
          <w:sz w:val="24"/>
          <w:szCs w:val="24"/>
          <w:lang w:val="bg-BG"/>
        </w:rPr>
        <w:t>m</w:t>
      </w:r>
      <w:r w:rsidR="00442579" w:rsidRPr="00610B1B">
        <w:rPr>
          <w:rFonts w:ascii="Times New Roman" w:eastAsia="Times New Roman" w:hAnsi="Times New Roman" w:cs="Times New Roman"/>
          <w:sz w:val="24"/>
          <w:szCs w:val="24"/>
          <w:lang w:val="bg-BG"/>
        </w:rPr>
        <w:t xml:space="preserve"> в северния залив и на дълбочина до 5 </w:t>
      </w:r>
      <w:r w:rsidR="00F46876" w:rsidRPr="00610B1B">
        <w:rPr>
          <w:rFonts w:ascii="Times New Roman" w:eastAsia="Times New Roman" w:hAnsi="Times New Roman" w:cs="Times New Roman"/>
          <w:sz w:val="24"/>
          <w:szCs w:val="24"/>
          <w:lang w:val="bg-BG"/>
        </w:rPr>
        <w:t>m</w:t>
      </w:r>
      <w:r w:rsidR="00442579" w:rsidRPr="00610B1B">
        <w:rPr>
          <w:rFonts w:ascii="Times New Roman" w:eastAsia="Times New Roman" w:hAnsi="Times New Roman" w:cs="Times New Roman"/>
          <w:sz w:val="24"/>
          <w:szCs w:val="24"/>
          <w:lang w:val="bg-BG"/>
        </w:rPr>
        <w:t xml:space="preserve">. Източно и югоизточно от Несебърския полуостров са установени участъци от крепостни стени, кули и бастиони. </w:t>
      </w:r>
    </w:p>
    <w:p w14:paraId="5144CFB0" w14:textId="2B9B988E" w:rsidR="00442579" w:rsidRPr="00610B1B" w:rsidRDefault="00A220E8" w:rsidP="00D32D6A">
      <w:pPr>
        <w:shd w:val="clear" w:color="auto" w:fill="FFFFFF"/>
        <w:spacing w:after="120"/>
        <w:ind w:right="-153"/>
        <w:jc w:val="both"/>
        <w:rPr>
          <w:rFonts w:ascii="Times New Roman" w:eastAsia="Times New Roman" w:hAnsi="Times New Roman" w:cs="Times New Roman"/>
          <w:i/>
          <w:sz w:val="24"/>
          <w:szCs w:val="24"/>
          <w:lang w:val="bg-BG"/>
        </w:rPr>
      </w:pPr>
      <w:r w:rsidRPr="00610B1B">
        <w:rPr>
          <w:rFonts w:ascii="Times New Roman" w:eastAsia="Times New Roman" w:hAnsi="Times New Roman" w:cs="Times New Roman"/>
          <w:sz w:val="24"/>
          <w:szCs w:val="24"/>
          <w:lang w:val="bg-BG"/>
        </w:rPr>
        <w:t xml:space="preserve">Бреговата </w:t>
      </w:r>
      <w:r w:rsidR="00442579" w:rsidRPr="00610B1B">
        <w:rPr>
          <w:rFonts w:ascii="Times New Roman" w:eastAsia="Times New Roman" w:hAnsi="Times New Roman" w:cs="Times New Roman"/>
          <w:sz w:val="24"/>
          <w:szCs w:val="24"/>
          <w:lang w:val="bg-BG"/>
        </w:rPr>
        <w:t xml:space="preserve">линия на </w:t>
      </w:r>
      <w:r w:rsidR="007E11E8" w:rsidRPr="00610B1B">
        <w:rPr>
          <w:rFonts w:ascii="Times New Roman" w:eastAsia="Times New Roman" w:hAnsi="Times New Roman" w:cs="Times New Roman"/>
          <w:sz w:val="24"/>
          <w:szCs w:val="24"/>
          <w:lang w:val="bg-BG"/>
        </w:rPr>
        <w:t xml:space="preserve">Несебърския </w:t>
      </w:r>
      <w:r w:rsidR="00442579" w:rsidRPr="00610B1B">
        <w:rPr>
          <w:rFonts w:ascii="Times New Roman" w:eastAsia="Times New Roman" w:hAnsi="Times New Roman" w:cs="Times New Roman"/>
          <w:sz w:val="24"/>
          <w:szCs w:val="24"/>
          <w:lang w:val="bg-BG"/>
        </w:rPr>
        <w:t xml:space="preserve">полуостров е променена значително </w:t>
      </w:r>
      <w:r w:rsidRPr="00610B1B">
        <w:rPr>
          <w:rFonts w:ascii="Times New Roman" w:eastAsia="Times New Roman" w:hAnsi="Times New Roman" w:cs="Times New Roman"/>
          <w:sz w:val="24"/>
          <w:szCs w:val="24"/>
          <w:lang w:val="bg-BG"/>
        </w:rPr>
        <w:t>при</w:t>
      </w:r>
      <w:r w:rsidR="00442579" w:rsidRPr="00610B1B">
        <w:rPr>
          <w:rFonts w:ascii="Times New Roman" w:eastAsia="Times New Roman" w:hAnsi="Times New Roman" w:cs="Times New Roman"/>
          <w:sz w:val="24"/>
          <w:szCs w:val="24"/>
          <w:lang w:val="bg-BG"/>
        </w:rPr>
        <w:t xml:space="preserve"> изграждането на брегоукрепителни съоръжения във втората половина на </w:t>
      </w:r>
      <w:r w:rsidR="0023542D" w:rsidRPr="00610B1B">
        <w:rPr>
          <w:rFonts w:ascii="Times New Roman" w:eastAsia="Times New Roman" w:hAnsi="Times New Roman" w:cs="Times New Roman"/>
          <w:sz w:val="24"/>
          <w:szCs w:val="24"/>
          <w:lang w:val="bg-BG"/>
        </w:rPr>
        <w:t>19</w:t>
      </w:r>
      <w:r w:rsidR="00442579" w:rsidRPr="00610B1B">
        <w:rPr>
          <w:rFonts w:ascii="Times New Roman" w:eastAsia="Times New Roman" w:hAnsi="Times New Roman" w:cs="Times New Roman"/>
          <w:sz w:val="24"/>
          <w:szCs w:val="24"/>
          <w:lang w:val="bg-BG"/>
        </w:rPr>
        <w:t>80-те години. При тези мероприятия по-голямата част от крепостните стени, които са били изследвани под вода до 1984 от северната и от източната страна на полуострова, са засипани и в момента са под насипи</w:t>
      </w:r>
      <w:r w:rsidRPr="00610B1B">
        <w:rPr>
          <w:rFonts w:ascii="Times New Roman" w:eastAsia="Times New Roman" w:hAnsi="Times New Roman" w:cs="Times New Roman"/>
          <w:sz w:val="24"/>
          <w:szCs w:val="24"/>
          <w:lang w:val="bg-BG"/>
        </w:rPr>
        <w:t>те</w:t>
      </w:r>
      <w:r w:rsidR="00442579" w:rsidRPr="00610B1B">
        <w:rPr>
          <w:rFonts w:ascii="Times New Roman" w:eastAsia="Times New Roman" w:hAnsi="Times New Roman" w:cs="Times New Roman"/>
          <w:sz w:val="24"/>
          <w:szCs w:val="24"/>
          <w:lang w:val="bg-BG"/>
        </w:rPr>
        <w:t>, крайбрежната алея и северния паркинг</w:t>
      </w:r>
      <w:r w:rsidR="00442579" w:rsidRPr="00610B1B">
        <w:rPr>
          <w:rFonts w:ascii="Times New Roman" w:eastAsia="Times New Roman" w:hAnsi="Times New Roman" w:cs="Times New Roman"/>
          <w:i/>
          <w:sz w:val="24"/>
          <w:szCs w:val="24"/>
          <w:lang w:val="bg-BG"/>
        </w:rPr>
        <w:t xml:space="preserve">. </w:t>
      </w:r>
    </w:p>
    <w:p w14:paraId="57E0656F" w14:textId="68E4077F" w:rsidR="00442579" w:rsidRPr="00610B1B" w:rsidRDefault="00442579"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През 2015 г., във връзка с проект на </w:t>
      </w:r>
      <w:r w:rsidR="007E11E8" w:rsidRPr="00610B1B">
        <w:rPr>
          <w:rFonts w:ascii="Times New Roman" w:eastAsia="Times New Roman" w:hAnsi="Times New Roman" w:cs="Times New Roman"/>
          <w:sz w:val="24"/>
          <w:szCs w:val="24"/>
          <w:lang w:val="bg-BG"/>
        </w:rPr>
        <w:t>общината</w:t>
      </w:r>
      <w:r w:rsidRPr="00610B1B">
        <w:rPr>
          <w:rFonts w:ascii="Times New Roman" w:eastAsia="Times New Roman" w:hAnsi="Times New Roman" w:cs="Times New Roman"/>
          <w:sz w:val="24"/>
          <w:szCs w:val="24"/>
          <w:lang w:val="bg-BG"/>
        </w:rPr>
        <w:t xml:space="preserve"> за преустройство на Северното пристанище, са възобновени </w:t>
      </w:r>
      <w:r w:rsidR="00A220E8" w:rsidRPr="00610B1B">
        <w:rPr>
          <w:rFonts w:ascii="Times New Roman" w:eastAsia="Times New Roman" w:hAnsi="Times New Roman" w:cs="Times New Roman"/>
          <w:sz w:val="24"/>
          <w:szCs w:val="24"/>
          <w:lang w:val="bg-BG"/>
        </w:rPr>
        <w:t xml:space="preserve">подводните </w:t>
      </w:r>
      <w:r w:rsidRPr="00610B1B">
        <w:rPr>
          <w:rFonts w:ascii="Times New Roman" w:eastAsia="Times New Roman" w:hAnsi="Times New Roman" w:cs="Times New Roman"/>
          <w:sz w:val="24"/>
          <w:szCs w:val="24"/>
          <w:lang w:val="bg-BG"/>
        </w:rPr>
        <w:t xml:space="preserve">археологически проучвания. Проведено е спасително геофизично проучване и археологически разкопки в акваторията на пристанище </w:t>
      </w:r>
      <w:r w:rsidR="00A220E8"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Северна буна</w:t>
      </w:r>
      <w:r w:rsidR="00F46876"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w:t>
      </w:r>
      <w:r w:rsidR="007E11E8" w:rsidRPr="00610B1B">
        <w:rPr>
          <w:rFonts w:ascii="Times New Roman" w:eastAsia="Times New Roman" w:hAnsi="Times New Roman" w:cs="Times New Roman"/>
          <w:sz w:val="24"/>
          <w:szCs w:val="24"/>
          <w:lang w:val="bg-BG"/>
        </w:rPr>
        <w:t>и</w:t>
      </w:r>
      <w:r w:rsidRPr="00610B1B">
        <w:rPr>
          <w:rFonts w:ascii="Times New Roman" w:eastAsia="Times New Roman" w:hAnsi="Times New Roman" w:cs="Times New Roman"/>
          <w:sz w:val="24"/>
          <w:szCs w:val="24"/>
          <w:lang w:val="bg-BG"/>
        </w:rPr>
        <w:t xml:space="preserve"> е проследена линейна структура от големи, натрупани един върху друг каменни блокове. Дължината на съоръжението е около 40 </w:t>
      </w:r>
      <w:r w:rsidR="00F46876"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като достига около 3 </w:t>
      </w:r>
      <w:r w:rsidR="00F46876"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дълбочина. Каменното съоръжение навярно е вълнолом или морска преграда от най-ранните етапи на строителство в Несебър. През 2017 г</w:t>
      </w:r>
      <w:r w:rsidR="00A220E8"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успоредно на описаната структура, на около 5 </w:t>
      </w:r>
      <w:r w:rsidR="00F46876"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западно от нея, са </w:t>
      </w:r>
      <w:r w:rsidR="00A220E8" w:rsidRPr="00610B1B">
        <w:rPr>
          <w:rFonts w:ascii="Times New Roman" w:eastAsia="Times New Roman" w:hAnsi="Times New Roman" w:cs="Times New Roman"/>
          <w:sz w:val="24"/>
          <w:szCs w:val="24"/>
          <w:lang w:val="bg-BG"/>
        </w:rPr>
        <w:t>открити</w:t>
      </w:r>
      <w:r w:rsidRPr="00610B1B">
        <w:rPr>
          <w:rFonts w:ascii="Times New Roman" w:eastAsia="Times New Roman" w:hAnsi="Times New Roman" w:cs="Times New Roman"/>
          <w:sz w:val="24"/>
          <w:szCs w:val="24"/>
          <w:lang w:val="bg-BG"/>
        </w:rPr>
        <w:t xml:space="preserve"> няколко сегмента от крепостна стена, която е успоредна на линията на вълнолома </w:t>
      </w:r>
      <w:r w:rsidR="006011C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проследима е в дължина около 20 </w:t>
      </w:r>
      <w:r w:rsidR="00F46876"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и се свързва със з</w:t>
      </w:r>
      <w:r w:rsidR="004530E1" w:rsidRPr="00610B1B">
        <w:rPr>
          <w:rFonts w:ascii="Times New Roman" w:eastAsia="Times New Roman" w:hAnsi="Times New Roman" w:cs="Times New Roman"/>
          <w:sz w:val="24"/>
          <w:szCs w:val="24"/>
          <w:lang w:val="bg-BG"/>
        </w:rPr>
        <w:t>ападната крепостна стена на Месе</w:t>
      </w:r>
      <w:r w:rsidRPr="00610B1B">
        <w:rPr>
          <w:rFonts w:ascii="Times New Roman" w:eastAsia="Times New Roman" w:hAnsi="Times New Roman" w:cs="Times New Roman"/>
          <w:sz w:val="24"/>
          <w:szCs w:val="24"/>
          <w:lang w:val="bg-BG"/>
        </w:rPr>
        <w:t>мбрия.</w:t>
      </w:r>
      <w:r w:rsidR="00D66FE0" w:rsidRPr="00610B1B">
        <w:rPr>
          <w:rFonts w:ascii="Times New Roman" w:eastAsia="Times New Roman" w:hAnsi="Times New Roman" w:cs="Times New Roman"/>
          <w:sz w:val="24"/>
          <w:szCs w:val="24"/>
          <w:lang w:val="bg-BG"/>
        </w:rPr>
        <w:t xml:space="preserve"> </w:t>
      </w:r>
    </w:p>
    <w:p w14:paraId="579BAAA8" w14:textId="4F7F046C" w:rsidR="007E11E8" w:rsidRPr="00610B1B" w:rsidRDefault="00442579"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Редовните подводни археологически проучвания в акваторията на Несебър от 2017 г. досега, освен към зоната на Северното пристанище, са насочени и към източния край на полуострова и южния му бряг, където са регистрирани и документирани археологически структури: кула и крепостен зид на дълбочина до 2.5</w:t>
      </w:r>
      <w:r w:rsidR="00F46876" w:rsidRPr="00610B1B">
        <w:rPr>
          <w:rFonts w:ascii="Times New Roman" w:eastAsia="Times New Roman" w:hAnsi="Times New Roman" w:cs="Times New Roman"/>
          <w:sz w:val="24"/>
          <w:szCs w:val="24"/>
          <w:lang w:val="bg-BG"/>
        </w:rPr>
        <w:t xml:space="preserve"> m</w:t>
      </w:r>
      <w:r w:rsidR="007E11E8" w:rsidRPr="00610B1B">
        <w:rPr>
          <w:rFonts w:ascii="Times New Roman" w:eastAsia="Times New Roman" w:hAnsi="Times New Roman" w:cs="Times New Roman"/>
          <w:sz w:val="24"/>
          <w:szCs w:val="24"/>
          <w:lang w:val="bg-BG"/>
        </w:rPr>
        <w:t xml:space="preserve"> и</w:t>
      </w:r>
      <w:r w:rsidRPr="00610B1B">
        <w:rPr>
          <w:rFonts w:ascii="Times New Roman" w:eastAsia="Times New Roman" w:hAnsi="Times New Roman" w:cs="Times New Roman"/>
          <w:sz w:val="24"/>
          <w:szCs w:val="24"/>
          <w:lang w:val="bg-BG"/>
        </w:rPr>
        <w:t xml:space="preserve"> </w:t>
      </w:r>
      <w:r w:rsidR="007E11E8" w:rsidRPr="00610B1B">
        <w:rPr>
          <w:rFonts w:ascii="Times New Roman" w:eastAsia="Times New Roman" w:hAnsi="Times New Roman" w:cs="Times New Roman"/>
          <w:sz w:val="24"/>
          <w:szCs w:val="24"/>
          <w:lang w:val="bg-BG"/>
        </w:rPr>
        <w:t xml:space="preserve">крепостен </w:t>
      </w:r>
      <w:r w:rsidRPr="00610B1B">
        <w:rPr>
          <w:rFonts w:ascii="Times New Roman" w:eastAsia="Times New Roman" w:hAnsi="Times New Roman" w:cs="Times New Roman"/>
          <w:sz w:val="24"/>
          <w:szCs w:val="24"/>
          <w:lang w:val="bg-BG"/>
        </w:rPr>
        <w:t>зид от квадри, дълъг 35</w:t>
      </w:r>
      <w:r w:rsidR="00F46876" w:rsidRPr="00610B1B">
        <w:rPr>
          <w:rFonts w:ascii="Times New Roman" w:eastAsia="Times New Roman" w:hAnsi="Times New Roman" w:cs="Times New Roman"/>
          <w:sz w:val="24"/>
          <w:szCs w:val="24"/>
          <w:lang w:val="bg-BG"/>
        </w:rPr>
        <w:t xml:space="preserve"> m</w:t>
      </w:r>
      <w:r w:rsidRPr="00610B1B">
        <w:rPr>
          <w:rFonts w:ascii="Times New Roman" w:eastAsia="Times New Roman" w:hAnsi="Times New Roman" w:cs="Times New Roman"/>
          <w:sz w:val="24"/>
          <w:szCs w:val="24"/>
          <w:lang w:val="bg-BG"/>
        </w:rPr>
        <w:t xml:space="preserve"> и на дълбочина до 4,7 </w:t>
      </w:r>
      <w:r w:rsidR="00F46876"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Отстоянието от</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брега е 130 </w:t>
      </w:r>
      <w:r w:rsidR="00F46876"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а посоката му е югоизток-северозапад.</w:t>
      </w:r>
      <w:r w:rsidR="007E11E8"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През 2017–2019 г. зидът е документиран фотографски, графично и фотограметрично. През 2019 </w:t>
      </w:r>
      <w:r w:rsidR="007E11E8" w:rsidRPr="00610B1B">
        <w:rPr>
          <w:rFonts w:ascii="Times New Roman" w:eastAsia="Times New Roman" w:hAnsi="Times New Roman" w:cs="Times New Roman"/>
          <w:sz w:val="24"/>
          <w:szCs w:val="24"/>
          <w:lang w:val="bg-BG"/>
        </w:rPr>
        <w:t xml:space="preserve">г. </w:t>
      </w:r>
      <w:r w:rsidRPr="00610B1B">
        <w:rPr>
          <w:rFonts w:ascii="Times New Roman" w:eastAsia="Times New Roman" w:hAnsi="Times New Roman" w:cs="Times New Roman"/>
          <w:sz w:val="24"/>
          <w:szCs w:val="24"/>
          <w:lang w:val="bg-BG"/>
        </w:rPr>
        <w:t>е извършен и археологически сондаж в основата му, където е констатирана скара от масивни дървени греди</w:t>
      </w:r>
      <w:r w:rsidR="00F46876" w:rsidRPr="00610B1B">
        <w:rPr>
          <w:rFonts w:ascii="Times New Roman" w:eastAsia="Times New Roman" w:hAnsi="Times New Roman" w:cs="Times New Roman"/>
          <w:sz w:val="24"/>
          <w:szCs w:val="24"/>
          <w:lang w:val="bg-BG"/>
        </w:rPr>
        <w:t>, п</w:t>
      </w:r>
      <w:r w:rsidRPr="00610B1B">
        <w:rPr>
          <w:rFonts w:ascii="Times New Roman" w:eastAsia="Times New Roman" w:hAnsi="Times New Roman" w:cs="Times New Roman"/>
          <w:sz w:val="24"/>
          <w:szCs w:val="24"/>
          <w:lang w:val="bg-BG"/>
        </w:rPr>
        <w:t>равоъгълна кула и части от стена</w:t>
      </w:r>
      <w:r w:rsidR="00A220E8"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източно и западно от нея на дълбочина ок</w:t>
      </w:r>
      <w:r w:rsidR="00F46876" w:rsidRPr="00610B1B">
        <w:rPr>
          <w:rFonts w:ascii="Times New Roman" w:eastAsia="Times New Roman" w:hAnsi="Times New Roman" w:cs="Times New Roman"/>
          <w:sz w:val="24"/>
          <w:szCs w:val="24"/>
          <w:lang w:val="bg-BG"/>
        </w:rPr>
        <w:t>оло</w:t>
      </w:r>
      <w:r w:rsidRPr="00610B1B">
        <w:rPr>
          <w:rFonts w:ascii="Times New Roman" w:eastAsia="Times New Roman" w:hAnsi="Times New Roman" w:cs="Times New Roman"/>
          <w:sz w:val="24"/>
          <w:szCs w:val="24"/>
          <w:lang w:val="bg-BG"/>
        </w:rPr>
        <w:t xml:space="preserve"> 3 </w:t>
      </w:r>
      <w:r w:rsidR="00F46876"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Кулата е с размери 8х8 </w:t>
      </w:r>
      <w:r w:rsidR="00F46876"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изградена от </w:t>
      </w:r>
      <w:r w:rsidRPr="00610B1B">
        <w:rPr>
          <w:rFonts w:ascii="Times New Roman" w:eastAsia="Times New Roman" w:hAnsi="Times New Roman" w:cs="Times New Roman"/>
          <w:sz w:val="24"/>
          <w:szCs w:val="24"/>
          <w:lang w:val="bg-BG"/>
        </w:rPr>
        <w:lastRenderedPageBreak/>
        <w:t xml:space="preserve">масивни блокове, с дълбочина при основата на блоковете около 3 </w:t>
      </w:r>
      <w:r w:rsidR="00F46876" w:rsidRPr="00610B1B">
        <w:rPr>
          <w:rFonts w:ascii="Times New Roman" w:eastAsia="Times New Roman" w:hAnsi="Times New Roman" w:cs="Times New Roman"/>
          <w:sz w:val="24"/>
          <w:szCs w:val="24"/>
          <w:lang w:val="bg-BG"/>
        </w:rPr>
        <w:t>m.</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Ранновизантийски или средновековни фрагменти от зидове </w:t>
      </w:r>
      <w:r w:rsidR="00F46876" w:rsidRPr="00610B1B">
        <w:rPr>
          <w:rFonts w:ascii="Times New Roman" w:eastAsia="Times New Roman" w:hAnsi="Times New Roman" w:cs="Times New Roman"/>
          <w:sz w:val="24"/>
          <w:szCs w:val="24"/>
          <w:lang w:val="bg-BG"/>
        </w:rPr>
        <w:t xml:space="preserve">са открити </w:t>
      </w:r>
      <w:r w:rsidRPr="00610B1B">
        <w:rPr>
          <w:rFonts w:ascii="Times New Roman" w:eastAsia="Times New Roman" w:hAnsi="Times New Roman" w:cs="Times New Roman"/>
          <w:sz w:val="24"/>
          <w:szCs w:val="24"/>
          <w:lang w:val="bg-BG"/>
        </w:rPr>
        <w:t xml:space="preserve">в залива западно от „Южна буна“. На дълбочина </w:t>
      </w:r>
      <w:r w:rsidR="00F46876" w:rsidRPr="00610B1B">
        <w:rPr>
          <w:rFonts w:ascii="Times New Roman" w:eastAsia="Times New Roman" w:hAnsi="Times New Roman" w:cs="Times New Roman"/>
          <w:sz w:val="24"/>
          <w:szCs w:val="24"/>
          <w:lang w:val="bg-BG"/>
        </w:rPr>
        <w:t>около</w:t>
      </w:r>
      <w:r w:rsidRPr="00610B1B">
        <w:rPr>
          <w:rFonts w:ascii="Times New Roman" w:eastAsia="Times New Roman" w:hAnsi="Times New Roman" w:cs="Times New Roman"/>
          <w:sz w:val="24"/>
          <w:szCs w:val="24"/>
          <w:lang w:val="bg-BG"/>
        </w:rPr>
        <w:t xml:space="preserve"> 2 </w:t>
      </w:r>
      <w:r w:rsidR="00F46876"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са документирани масивни фрагменти от крепостна стена, проследени по дължината на целия залив. Южно от стената, на около </w:t>
      </w:r>
      <w:r w:rsidR="007E11E8" w:rsidRPr="00610B1B">
        <w:rPr>
          <w:rFonts w:ascii="Times New Roman" w:eastAsia="Times New Roman" w:hAnsi="Times New Roman" w:cs="Times New Roman"/>
          <w:sz w:val="24"/>
          <w:szCs w:val="24"/>
          <w:lang w:val="bg-BG"/>
        </w:rPr>
        <w:t>2</w:t>
      </w:r>
      <w:r w:rsidRPr="00610B1B">
        <w:rPr>
          <w:rFonts w:ascii="Times New Roman" w:eastAsia="Times New Roman" w:hAnsi="Times New Roman" w:cs="Times New Roman"/>
          <w:sz w:val="24"/>
          <w:szCs w:val="24"/>
          <w:lang w:val="bg-BG"/>
        </w:rPr>
        <w:t xml:space="preserve"> метра е запазен фрагмент от хоросанова „стена“ с отпечатъци на хоризонтални и вертикални греди, с правоъгълно и кръгло сечение. След провеждане на археологически сондаж през 2019 г. под най-големия фрагмент от стена са констатирани дървени пилоти. Положението им сочи, че структурата е свлечена от брега</w:t>
      </w:r>
      <w:r w:rsidR="00F46876"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Отделни фрагменти от колони и добре обработени квадри</w:t>
      </w:r>
      <w:r w:rsidR="00F46876" w:rsidRPr="00610B1B">
        <w:rPr>
          <w:rFonts w:ascii="Times New Roman" w:eastAsia="Times New Roman" w:hAnsi="Times New Roman" w:cs="Times New Roman"/>
          <w:sz w:val="24"/>
          <w:szCs w:val="24"/>
          <w:lang w:val="bg-BG"/>
        </w:rPr>
        <w:t xml:space="preserve"> са</w:t>
      </w:r>
      <w:r w:rsidRPr="00610B1B">
        <w:rPr>
          <w:rFonts w:ascii="Times New Roman" w:eastAsia="Times New Roman" w:hAnsi="Times New Roman" w:cs="Times New Roman"/>
          <w:sz w:val="24"/>
          <w:szCs w:val="24"/>
          <w:lang w:val="bg-BG"/>
        </w:rPr>
        <w:t xml:space="preserve"> открити в южната акватория на Несебър.</w:t>
      </w:r>
    </w:p>
    <w:p w14:paraId="56D995F3" w14:textId="77777777" w:rsidR="009907CE" w:rsidRPr="00610B1B" w:rsidRDefault="009907CE" w:rsidP="00D32D6A">
      <w:pPr>
        <w:shd w:val="clear" w:color="auto" w:fill="FFFFFF"/>
        <w:spacing w:after="120"/>
        <w:ind w:right="-153"/>
        <w:jc w:val="both"/>
        <w:rPr>
          <w:rFonts w:ascii="Times New Roman" w:eastAsia="Times New Roman" w:hAnsi="Times New Roman" w:cs="Times New Roman"/>
          <w:sz w:val="24"/>
          <w:szCs w:val="24"/>
          <w:lang w:val="bg-BG"/>
        </w:rPr>
      </w:pPr>
    </w:p>
    <w:p w14:paraId="1B591F9E" w14:textId="2F318224" w:rsidR="00442579" w:rsidRPr="00610B1B" w:rsidRDefault="007E11E8" w:rsidP="00D32D6A">
      <w:pPr>
        <w:pStyle w:val="Heading3"/>
        <w:spacing w:before="0" w:line="276" w:lineRule="auto"/>
        <w:ind w:right="-153"/>
        <w:rPr>
          <w:rFonts w:cs="Times New Roman"/>
          <w:color w:val="00B0F0"/>
        </w:rPr>
      </w:pPr>
      <w:bookmarkStart w:id="404" w:name="_Toc83391402"/>
      <w:r w:rsidRPr="00610B1B">
        <w:rPr>
          <w:rFonts w:cs="Times New Roman"/>
        </w:rPr>
        <w:t xml:space="preserve">3.7.2. </w:t>
      </w:r>
      <w:r w:rsidR="00442579" w:rsidRPr="00610B1B">
        <w:rPr>
          <w:rFonts w:cs="Times New Roman"/>
        </w:rPr>
        <w:t xml:space="preserve">НКЦ </w:t>
      </w:r>
      <w:r w:rsidR="00285B77" w:rsidRPr="00610B1B">
        <w:rPr>
          <w:rFonts w:cs="Times New Roman"/>
        </w:rPr>
        <w:t>с категория „национално значение”</w:t>
      </w:r>
      <w:bookmarkEnd w:id="404"/>
    </w:p>
    <w:p w14:paraId="3102AFBF" w14:textId="45412F4D" w:rsidR="00285B77" w:rsidRPr="00610B1B" w:rsidRDefault="00285B77" w:rsidP="00D32D6A">
      <w:pPr>
        <w:pStyle w:val="Heading4"/>
        <w:spacing w:before="0" w:line="276" w:lineRule="auto"/>
        <w:ind w:right="-153"/>
        <w:rPr>
          <w:rFonts w:cs="Times New Roman"/>
        </w:rPr>
      </w:pPr>
      <w:r w:rsidRPr="00610B1B">
        <w:rPr>
          <w:rFonts w:cs="Times New Roman"/>
        </w:rPr>
        <w:t>3.7.2.1. Археологически</w:t>
      </w:r>
      <w:r w:rsidR="00D66FE0" w:rsidRPr="00610B1B">
        <w:rPr>
          <w:rFonts w:cs="Times New Roman"/>
        </w:rPr>
        <w:t xml:space="preserve"> </w:t>
      </w:r>
      <w:r w:rsidRPr="00610B1B">
        <w:rPr>
          <w:rFonts w:cs="Times New Roman"/>
        </w:rPr>
        <w:t xml:space="preserve">обекти </w:t>
      </w:r>
    </w:p>
    <w:p w14:paraId="24961D64" w14:textId="078FCD07"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Шестте групови обекта (резервати и комплекс) - Големият остров в Дуранкулашкото езеро, Яйлата, крепостта Калиакра, Античния</w:t>
      </w:r>
      <w:r w:rsidR="00984D79" w:rsidRPr="00610B1B">
        <w:rPr>
          <w:rFonts w:ascii="Times New Roman" w:eastAsia="Times New Roman" w:hAnsi="Times New Roman" w:cs="Times New Roman"/>
          <w:sz w:val="24"/>
          <w:szCs w:val="24"/>
          <w:lang w:val="bg-BG"/>
        </w:rPr>
        <w:t>т</w:t>
      </w:r>
      <w:r w:rsidRPr="00610B1B">
        <w:rPr>
          <w:rFonts w:ascii="Times New Roman" w:eastAsia="Times New Roman" w:hAnsi="Times New Roman" w:cs="Times New Roman"/>
          <w:sz w:val="24"/>
          <w:szCs w:val="24"/>
          <w:lang w:val="bg-BG"/>
        </w:rPr>
        <w:t xml:space="preserve"> град Одесос, островите </w:t>
      </w:r>
      <w:r w:rsidR="00984D79"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Св. Иван</w:t>
      </w:r>
      <w:r w:rsidR="00984D79"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и </w:t>
      </w:r>
      <w:r w:rsidR="00984D79"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Св. Петър” край Созопол и Античен град Аполония</w:t>
      </w:r>
      <w:r w:rsidR="00285B77"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са разположени на границата между морето и сушата. Това са и част от обектите, които имат свлечени участъци в морето. </w:t>
      </w:r>
    </w:p>
    <w:p w14:paraId="7D052C9C" w14:textId="09FE2E36" w:rsidR="00442579" w:rsidRPr="00610B1B" w:rsidRDefault="00442579" w:rsidP="00D32D6A">
      <w:pPr>
        <w:tabs>
          <w:tab w:val="left" w:pos="180"/>
        </w:tabs>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Археологически резерват „Праисторически, антични и средновековни структури в м. Яйлата</w:t>
      </w:r>
      <w:r w:rsidRPr="00610B1B">
        <w:rPr>
          <w:rFonts w:ascii="Times New Roman" w:eastAsia="Times New Roman" w:hAnsi="Times New Roman" w:cs="Times New Roman"/>
          <w:bCs/>
          <w:sz w:val="24"/>
          <w:szCs w:val="24"/>
          <w:lang w:val="bg-BG"/>
        </w:rPr>
        <w:t>”, общ</w:t>
      </w:r>
      <w:r w:rsidR="00285B77" w:rsidRPr="00610B1B">
        <w:rPr>
          <w:rFonts w:ascii="Times New Roman" w:eastAsia="Times New Roman" w:hAnsi="Times New Roman" w:cs="Times New Roman"/>
          <w:bCs/>
          <w:sz w:val="24"/>
          <w:szCs w:val="24"/>
          <w:lang w:val="bg-BG"/>
        </w:rPr>
        <w:t xml:space="preserve">ина </w:t>
      </w:r>
      <w:r w:rsidRPr="00610B1B">
        <w:rPr>
          <w:rFonts w:ascii="Times New Roman" w:eastAsia="Times New Roman" w:hAnsi="Times New Roman" w:cs="Times New Roman"/>
          <w:bCs/>
          <w:sz w:val="24"/>
          <w:szCs w:val="24"/>
          <w:lang w:val="bg-BG"/>
        </w:rPr>
        <w:t>Каварна</w:t>
      </w:r>
      <w:r w:rsidR="00285B77" w:rsidRPr="00610B1B">
        <w:rPr>
          <w:rFonts w:ascii="Times New Roman" w:eastAsia="Times New Roman" w:hAnsi="Times New Roman" w:cs="Times New Roman"/>
          <w:bCs/>
          <w:sz w:val="24"/>
          <w:szCs w:val="24"/>
          <w:lang w:val="bg-BG"/>
        </w:rPr>
        <w:t xml:space="preserve"> е НКЦ,</w:t>
      </w:r>
      <w:r w:rsidRPr="00610B1B">
        <w:rPr>
          <w:rFonts w:ascii="Times New Roman" w:eastAsia="Times New Roman" w:hAnsi="Times New Roman" w:cs="Times New Roman"/>
          <w:sz w:val="24"/>
          <w:szCs w:val="24"/>
          <w:lang w:val="bg-BG"/>
        </w:rPr>
        <w:t xml:space="preserve"> обявена за археологически резерват </w:t>
      </w:r>
      <w:r w:rsidR="00285B77"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ДВ бр. 14</w:t>
      </w:r>
      <w:r w:rsidR="00984D79"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1989</w:t>
      </w:r>
      <w:r w:rsidR="00285B7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w:t>
      </w:r>
      <w:r w:rsidR="00285B77"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с определени граници и действащ ОУП на резервата от 2003</w:t>
      </w:r>
      <w:r w:rsidR="00285B7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w:t>
      </w:r>
      <w:r w:rsidR="00285B7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Местността Яйлата представлява обширна тераса с размери 1,5 </w:t>
      </w:r>
      <w:r w:rsidR="00285B77" w:rsidRPr="00610B1B">
        <w:rPr>
          <w:rFonts w:ascii="Times New Roman" w:eastAsia="Times New Roman" w:hAnsi="Times New Roman" w:cs="Times New Roman"/>
          <w:sz w:val="24"/>
          <w:szCs w:val="24"/>
          <w:lang w:val="bg-BG"/>
        </w:rPr>
        <w:t>km</w:t>
      </w:r>
      <w:r w:rsidRPr="00610B1B">
        <w:rPr>
          <w:rFonts w:ascii="Times New Roman" w:eastAsia="Times New Roman" w:hAnsi="Times New Roman" w:cs="Times New Roman"/>
          <w:sz w:val="24"/>
          <w:szCs w:val="24"/>
          <w:lang w:val="bg-BG"/>
        </w:rPr>
        <w:t xml:space="preserve"> на 200</w:t>
      </w:r>
      <w:r w:rsidR="00285B77" w:rsidRPr="00610B1B">
        <w:rPr>
          <w:rFonts w:ascii="Times New Roman" w:eastAsia="Times New Roman" w:hAnsi="Times New Roman" w:cs="Times New Roman"/>
          <w:sz w:val="24"/>
          <w:szCs w:val="24"/>
          <w:lang w:val="bg-BG"/>
        </w:rPr>
        <w:t xml:space="preserve"> m</w:t>
      </w:r>
      <w:r w:rsidRPr="00610B1B">
        <w:rPr>
          <w:rFonts w:ascii="Times New Roman" w:eastAsia="Times New Roman" w:hAnsi="Times New Roman" w:cs="Times New Roman"/>
          <w:sz w:val="24"/>
          <w:szCs w:val="24"/>
          <w:lang w:val="bg-BG"/>
        </w:rPr>
        <w:t xml:space="preserve">, разположена на 15 </w:t>
      </w:r>
      <w:r w:rsidR="00285B77"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над морето и отделена с високи 30</w:t>
      </w:r>
      <w:r w:rsidR="00285B77" w:rsidRPr="00610B1B">
        <w:rPr>
          <w:rFonts w:ascii="Times New Roman" w:eastAsia="Times New Roman" w:hAnsi="Times New Roman" w:cs="Times New Roman"/>
          <w:sz w:val="24"/>
          <w:szCs w:val="24"/>
          <w:lang w:val="bg-BG"/>
        </w:rPr>
        <w:t xml:space="preserve"> m</w:t>
      </w:r>
      <w:r w:rsidRPr="00610B1B">
        <w:rPr>
          <w:rFonts w:ascii="Times New Roman" w:eastAsia="Times New Roman" w:hAnsi="Times New Roman" w:cs="Times New Roman"/>
          <w:sz w:val="24"/>
          <w:szCs w:val="24"/>
          <w:lang w:val="bg-BG"/>
        </w:rPr>
        <w:t xml:space="preserve"> скали от Добруджанското плато.</w:t>
      </w:r>
      <w:r w:rsidR="00285B7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През 1980 г. започват системни археологически проучвания, които водят до обявяването на местността за археологически резерват с решение на МС от 1998</w:t>
      </w:r>
      <w:r w:rsidR="00151853"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Към момента са проучени крепостната стена на античната крепост и около 1/5 от южната част на територията й; некропола и светилището над Малката Яйла; всички скални жилища, църква, килии, светилища и антични винарни на територията на Голямата Яйла, по и над скалния венец западно от нея</w:t>
      </w:r>
      <w:r w:rsidR="00C57F93"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w:t>
      </w:r>
      <w:r w:rsidR="00A67814" w:rsidRPr="00610B1B">
        <w:rPr>
          <w:rFonts w:ascii="Times New Roman" w:eastAsia="Times New Roman" w:hAnsi="Times New Roman" w:cs="Times New Roman"/>
          <w:sz w:val="24"/>
          <w:szCs w:val="24"/>
          <w:lang w:val="bg-BG"/>
        </w:rPr>
        <w:t xml:space="preserve">Проучени са части от </w:t>
      </w:r>
      <w:r w:rsidRPr="00610B1B">
        <w:rPr>
          <w:rFonts w:ascii="Times New Roman" w:eastAsia="Times New Roman" w:hAnsi="Times New Roman" w:cs="Times New Roman"/>
          <w:sz w:val="24"/>
          <w:szCs w:val="24"/>
          <w:lang w:val="bg-BG"/>
        </w:rPr>
        <w:t>южния и северния некропол</w:t>
      </w:r>
      <w:r w:rsidR="00A67814" w:rsidRPr="00610B1B">
        <w:rPr>
          <w:rFonts w:ascii="Times New Roman" w:eastAsia="Times New Roman" w:hAnsi="Times New Roman" w:cs="Times New Roman"/>
          <w:sz w:val="24"/>
          <w:szCs w:val="24"/>
          <w:lang w:val="bg-BG"/>
        </w:rPr>
        <w:t>,</w:t>
      </w:r>
      <w:r w:rsidR="00C57F93" w:rsidRPr="00610B1B">
        <w:rPr>
          <w:rFonts w:ascii="Times New Roman" w:eastAsia="Times New Roman" w:hAnsi="Times New Roman" w:cs="Times New Roman"/>
          <w:sz w:val="24"/>
          <w:szCs w:val="24"/>
          <w:lang w:val="bg-BG"/>
        </w:rPr>
        <w:t xml:space="preserve"> извършени </w:t>
      </w:r>
      <w:r w:rsidR="00A67814" w:rsidRPr="00610B1B">
        <w:rPr>
          <w:rFonts w:ascii="Times New Roman" w:eastAsia="Times New Roman" w:hAnsi="Times New Roman" w:cs="Times New Roman"/>
          <w:sz w:val="24"/>
          <w:szCs w:val="24"/>
          <w:lang w:val="bg-BG"/>
        </w:rPr>
        <w:t xml:space="preserve">са </w:t>
      </w:r>
      <w:r w:rsidR="00C57F93" w:rsidRPr="00610B1B">
        <w:rPr>
          <w:rFonts w:ascii="Times New Roman" w:eastAsia="Times New Roman" w:hAnsi="Times New Roman" w:cs="Times New Roman"/>
          <w:sz w:val="24"/>
          <w:szCs w:val="24"/>
          <w:lang w:val="bg-BG"/>
        </w:rPr>
        <w:t xml:space="preserve">реставрационни дейности за </w:t>
      </w:r>
      <w:r w:rsidRPr="00610B1B">
        <w:rPr>
          <w:rFonts w:ascii="Times New Roman" w:eastAsia="Times New Roman" w:hAnsi="Times New Roman" w:cs="Times New Roman"/>
          <w:sz w:val="24"/>
          <w:szCs w:val="24"/>
          <w:lang w:val="bg-BG"/>
        </w:rPr>
        <w:t>частична реинтеграция и запечатка на крепостната стена</w:t>
      </w:r>
      <w:r w:rsidR="00A67814" w:rsidRPr="00610B1B">
        <w:rPr>
          <w:rFonts w:ascii="Times New Roman" w:eastAsia="Times New Roman" w:hAnsi="Times New Roman" w:cs="Times New Roman"/>
          <w:sz w:val="24"/>
          <w:szCs w:val="24"/>
          <w:lang w:val="bg-BG"/>
        </w:rPr>
        <w:t xml:space="preserve">. Укрепена е и </w:t>
      </w:r>
      <w:r w:rsidRPr="00610B1B">
        <w:rPr>
          <w:rFonts w:ascii="Times New Roman" w:eastAsia="Times New Roman" w:hAnsi="Times New Roman" w:cs="Times New Roman"/>
          <w:sz w:val="24"/>
          <w:szCs w:val="24"/>
          <w:lang w:val="bg-BG"/>
        </w:rPr>
        <w:t>затв</w:t>
      </w:r>
      <w:r w:rsidR="00A67814" w:rsidRPr="00610B1B">
        <w:rPr>
          <w:rFonts w:ascii="Times New Roman" w:eastAsia="Times New Roman" w:hAnsi="Times New Roman" w:cs="Times New Roman"/>
          <w:sz w:val="24"/>
          <w:szCs w:val="24"/>
          <w:lang w:val="bg-BG"/>
        </w:rPr>
        <w:t>о</w:t>
      </w:r>
      <w:r w:rsidRPr="00610B1B">
        <w:rPr>
          <w:rFonts w:ascii="Times New Roman" w:eastAsia="Times New Roman" w:hAnsi="Times New Roman" w:cs="Times New Roman"/>
          <w:sz w:val="24"/>
          <w:szCs w:val="24"/>
          <w:lang w:val="bg-BG"/>
        </w:rPr>
        <w:t>р</w:t>
      </w:r>
      <w:r w:rsidR="00A67814" w:rsidRPr="00610B1B">
        <w:rPr>
          <w:rFonts w:ascii="Times New Roman" w:eastAsia="Times New Roman" w:hAnsi="Times New Roman" w:cs="Times New Roman"/>
          <w:sz w:val="24"/>
          <w:szCs w:val="24"/>
          <w:lang w:val="bg-BG"/>
        </w:rPr>
        <w:t>ена</w:t>
      </w:r>
      <w:r w:rsidRPr="00610B1B">
        <w:rPr>
          <w:rFonts w:ascii="Times New Roman" w:eastAsia="Times New Roman" w:hAnsi="Times New Roman" w:cs="Times New Roman"/>
          <w:sz w:val="24"/>
          <w:szCs w:val="24"/>
          <w:lang w:val="bg-BG"/>
        </w:rPr>
        <w:t xml:space="preserve"> с решетка скалната църква</w:t>
      </w:r>
      <w:r w:rsidR="00A67814"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частично </w:t>
      </w:r>
      <w:r w:rsidR="00A67814" w:rsidRPr="00610B1B">
        <w:rPr>
          <w:rFonts w:ascii="Times New Roman" w:eastAsia="Times New Roman" w:hAnsi="Times New Roman" w:cs="Times New Roman"/>
          <w:sz w:val="24"/>
          <w:szCs w:val="24"/>
          <w:lang w:val="bg-BG"/>
        </w:rPr>
        <w:t xml:space="preserve">са </w:t>
      </w:r>
      <w:r w:rsidRPr="00610B1B">
        <w:rPr>
          <w:rFonts w:ascii="Times New Roman" w:eastAsia="Times New Roman" w:hAnsi="Times New Roman" w:cs="Times New Roman"/>
          <w:sz w:val="24"/>
          <w:szCs w:val="24"/>
          <w:lang w:val="bg-BG"/>
        </w:rPr>
        <w:t>експониран</w:t>
      </w:r>
      <w:r w:rsidR="00A67814" w:rsidRPr="00610B1B">
        <w:rPr>
          <w:rFonts w:ascii="Times New Roman" w:eastAsia="Times New Roman" w:hAnsi="Times New Roman" w:cs="Times New Roman"/>
          <w:sz w:val="24"/>
          <w:szCs w:val="24"/>
          <w:lang w:val="bg-BG"/>
        </w:rPr>
        <w:t>и</w:t>
      </w:r>
      <w:r w:rsidRPr="00610B1B">
        <w:rPr>
          <w:rFonts w:ascii="Times New Roman" w:eastAsia="Times New Roman" w:hAnsi="Times New Roman" w:cs="Times New Roman"/>
          <w:sz w:val="24"/>
          <w:szCs w:val="24"/>
          <w:lang w:val="bg-BG"/>
        </w:rPr>
        <w:t xml:space="preserve"> и засип</w:t>
      </w:r>
      <w:r w:rsidR="00A67814" w:rsidRPr="00610B1B">
        <w:rPr>
          <w:rFonts w:ascii="Times New Roman" w:eastAsia="Times New Roman" w:hAnsi="Times New Roman" w:cs="Times New Roman"/>
          <w:sz w:val="24"/>
          <w:szCs w:val="24"/>
          <w:lang w:val="bg-BG"/>
        </w:rPr>
        <w:t>ани</w:t>
      </w:r>
      <w:r w:rsidRPr="00610B1B">
        <w:rPr>
          <w:rFonts w:ascii="Times New Roman" w:eastAsia="Times New Roman" w:hAnsi="Times New Roman" w:cs="Times New Roman"/>
          <w:sz w:val="24"/>
          <w:szCs w:val="24"/>
          <w:lang w:val="bg-BG"/>
        </w:rPr>
        <w:t xml:space="preserve"> някои от скалните гробници на некропола над Малката Яйла.</w:t>
      </w:r>
    </w:p>
    <w:p w14:paraId="4A8D5515" w14:textId="075B6FC4"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i/>
          <w:iCs/>
          <w:sz w:val="24"/>
          <w:szCs w:val="24"/>
          <w:lang w:val="bg-BG"/>
        </w:rPr>
        <w:t>В акваторията</w:t>
      </w:r>
      <w:r w:rsidRPr="00610B1B">
        <w:rPr>
          <w:rFonts w:ascii="Times New Roman" w:eastAsia="Times New Roman" w:hAnsi="Times New Roman" w:cs="Times New Roman"/>
          <w:sz w:val="24"/>
          <w:szCs w:val="24"/>
          <w:lang w:val="bg-BG"/>
        </w:rPr>
        <w:t xml:space="preserve"> източно и югоизточно от резервата "Яйлата" са извършвани археологически издирвания под вода през 80-те години на </w:t>
      </w:r>
      <w:r w:rsidR="00C57F93" w:rsidRPr="00610B1B">
        <w:rPr>
          <w:rFonts w:ascii="Times New Roman" w:eastAsia="Times New Roman" w:hAnsi="Times New Roman" w:cs="Times New Roman"/>
          <w:sz w:val="24"/>
          <w:szCs w:val="24"/>
          <w:lang w:val="bg-BG"/>
        </w:rPr>
        <w:t>ХХ</w:t>
      </w:r>
      <w:r w:rsidRPr="00610B1B">
        <w:rPr>
          <w:rFonts w:ascii="Times New Roman" w:eastAsia="Times New Roman" w:hAnsi="Times New Roman" w:cs="Times New Roman"/>
          <w:sz w:val="24"/>
          <w:szCs w:val="24"/>
          <w:lang w:val="bg-BG"/>
        </w:rPr>
        <w:t xml:space="preserve"> век. Констатирано е, че значителни части от стръмния скален бряг са пропаднали в морето. Открити са каменни блокове от части от стената на крепостта, фрагменти </w:t>
      </w:r>
      <w:r w:rsidR="00A67814" w:rsidRPr="00610B1B">
        <w:rPr>
          <w:rFonts w:ascii="Times New Roman" w:eastAsia="Times New Roman" w:hAnsi="Times New Roman" w:cs="Times New Roman"/>
          <w:sz w:val="24"/>
          <w:szCs w:val="24"/>
          <w:lang w:val="bg-BG"/>
        </w:rPr>
        <w:t xml:space="preserve">от </w:t>
      </w:r>
      <w:r w:rsidRPr="00610B1B">
        <w:rPr>
          <w:rFonts w:ascii="Times New Roman" w:eastAsia="Times New Roman" w:hAnsi="Times New Roman" w:cs="Times New Roman"/>
          <w:sz w:val="24"/>
          <w:szCs w:val="24"/>
          <w:lang w:val="bg-BG"/>
        </w:rPr>
        <w:t>строителна к</w:t>
      </w:r>
      <w:r w:rsidR="00C57F93" w:rsidRPr="00610B1B">
        <w:rPr>
          <w:rFonts w:ascii="Times New Roman" w:eastAsia="Times New Roman" w:hAnsi="Times New Roman" w:cs="Times New Roman"/>
          <w:sz w:val="24"/>
          <w:szCs w:val="24"/>
          <w:lang w:val="bg-BG"/>
        </w:rPr>
        <w:t>е</w:t>
      </w:r>
      <w:r w:rsidRPr="00610B1B">
        <w:rPr>
          <w:rFonts w:ascii="Times New Roman" w:eastAsia="Times New Roman" w:hAnsi="Times New Roman" w:cs="Times New Roman"/>
          <w:sz w:val="24"/>
          <w:szCs w:val="24"/>
          <w:lang w:val="bg-BG"/>
        </w:rPr>
        <w:t>р</w:t>
      </w:r>
      <w:r w:rsidR="00C57F93" w:rsidRPr="00610B1B">
        <w:rPr>
          <w:rFonts w:ascii="Times New Roman" w:eastAsia="Times New Roman" w:hAnsi="Times New Roman" w:cs="Times New Roman"/>
          <w:sz w:val="24"/>
          <w:szCs w:val="24"/>
          <w:lang w:val="bg-BG"/>
        </w:rPr>
        <w:t>а</w:t>
      </w:r>
      <w:r w:rsidRPr="00610B1B">
        <w:rPr>
          <w:rFonts w:ascii="Times New Roman" w:eastAsia="Times New Roman" w:hAnsi="Times New Roman" w:cs="Times New Roman"/>
          <w:sz w:val="24"/>
          <w:szCs w:val="24"/>
          <w:lang w:val="bg-BG"/>
        </w:rPr>
        <w:t xml:space="preserve">мика, от амфори и каменни котви. Находките се отнасят към късния елинистически период и късната античност. Вероятно в малкия залив пред крепостта и в залива на днешния курорт Русалка, са функционирали малки пристани от късната античност. </w:t>
      </w:r>
    </w:p>
    <w:p w14:paraId="5F64E0C7" w14:textId="1A6C1927"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bCs/>
          <w:i/>
          <w:iCs/>
          <w:sz w:val="24"/>
          <w:szCs w:val="24"/>
          <w:lang w:val="bg-BG"/>
        </w:rPr>
        <w:t>Археологически резерват „Антична и средновековната крепост „Калиакра</w:t>
      </w:r>
      <w:r w:rsidRPr="00610B1B">
        <w:rPr>
          <w:rFonts w:ascii="Times New Roman" w:eastAsia="Times New Roman" w:hAnsi="Times New Roman" w:cs="Times New Roman"/>
          <w:bCs/>
          <w:sz w:val="24"/>
          <w:szCs w:val="24"/>
          <w:lang w:val="bg-BG"/>
        </w:rPr>
        <w:t>”, общ</w:t>
      </w:r>
      <w:r w:rsidR="00C57F93" w:rsidRPr="00610B1B">
        <w:rPr>
          <w:rFonts w:ascii="Times New Roman" w:eastAsia="Times New Roman" w:hAnsi="Times New Roman" w:cs="Times New Roman"/>
          <w:bCs/>
          <w:sz w:val="24"/>
          <w:szCs w:val="24"/>
          <w:lang w:val="bg-BG"/>
        </w:rPr>
        <w:t xml:space="preserve">ина </w:t>
      </w:r>
      <w:r w:rsidRPr="00610B1B">
        <w:rPr>
          <w:rFonts w:ascii="Times New Roman" w:eastAsia="Times New Roman" w:hAnsi="Times New Roman" w:cs="Times New Roman"/>
          <w:bCs/>
          <w:sz w:val="24"/>
          <w:szCs w:val="24"/>
          <w:lang w:val="bg-BG"/>
        </w:rPr>
        <w:t>Каварна</w:t>
      </w:r>
      <w:r w:rsidR="00C57F93" w:rsidRPr="00610B1B">
        <w:rPr>
          <w:rFonts w:ascii="Times New Roman" w:eastAsia="Times New Roman" w:hAnsi="Times New Roman" w:cs="Times New Roman"/>
          <w:bCs/>
          <w:sz w:val="24"/>
          <w:szCs w:val="24"/>
          <w:lang w:val="bg-BG"/>
        </w:rPr>
        <w:t xml:space="preserve"> е НКЦ, </w:t>
      </w:r>
      <w:r w:rsidRPr="00610B1B">
        <w:rPr>
          <w:rFonts w:ascii="Times New Roman" w:eastAsia="Times New Roman" w:hAnsi="Times New Roman" w:cs="Times New Roman"/>
          <w:sz w:val="24"/>
          <w:szCs w:val="24"/>
          <w:lang w:val="bg-BG"/>
        </w:rPr>
        <w:t xml:space="preserve">обявена за археологически резерват </w:t>
      </w:r>
      <w:r w:rsidR="00C57F93"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ДВ бр.</w:t>
      </w:r>
      <w:r w:rsidR="00A67814"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4</w:t>
      </w:r>
      <w:r w:rsidR="00A67814"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2003</w:t>
      </w:r>
      <w:r w:rsidR="00C57F93"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w:t>
      </w:r>
      <w:r w:rsidR="00C57F93"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с определени режими на опазване, включително в акваторията.</w:t>
      </w:r>
      <w:r w:rsidR="00A67814" w:rsidRPr="00610B1B">
        <w:rPr>
          <w:rFonts w:ascii="Times New Roman" w:eastAsia="Times New Roman" w:hAnsi="Times New Roman" w:cs="Times New Roman"/>
          <w:sz w:val="24"/>
          <w:szCs w:val="24"/>
          <w:lang w:val="bg-BG"/>
        </w:rPr>
        <w:t xml:space="preserve"> </w:t>
      </w:r>
      <w:r w:rsidR="00C57F93" w:rsidRPr="00610B1B">
        <w:rPr>
          <w:rFonts w:ascii="Times New Roman" w:eastAsia="Times New Roman" w:hAnsi="Times New Roman" w:cs="Times New Roman"/>
          <w:sz w:val="24"/>
          <w:szCs w:val="24"/>
          <w:lang w:val="bg-BG"/>
        </w:rPr>
        <w:t>Още от древността н</w:t>
      </w:r>
      <w:r w:rsidRPr="00610B1B">
        <w:rPr>
          <w:rFonts w:ascii="Times New Roman" w:eastAsia="Times New Roman" w:hAnsi="Times New Roman" w:cs="Times New Roman"/>
          <w:sz w:val="24"/>
          <w:szCs w:val="24"/>
          <w:lang w:val="bg-BG"/>
        </w:rPr>
        <w:t>ос Калиакра е бил благоприятно за заселване място</w:t>
      </w:r>
      <w:r w:rsidR="00C57F93" w:rsidRPr="00610B1B">
        <w:rPr>
          <w:rFonts w:ascii="Times New Roman" w:eastAsia="Times New Roman" w:hAnsi="Times New Roman" w:cs="Times New Roman"/>
          <w:sz w:val="24"/>
          <w:szCs w:val="24"/>
          <w:lang w:val="bg-BG"/>
        </w:rPr>
        <w:t>, естествено защитено от о</w:t>
      </w:r>
      <w:r w:rsidRPr="00610B1B">
        <w:rPr>
          <w:rFonts w:ascii="Times New Roman" w:eastAsia="Times New Roman" w:hAnsi="Times New Roman" w:cs="Times New Roman"/>
          <w:sz w:val="24"/>
          <w:szCs w:val="24"/>
          <w:lang w:val="bg-BG"/>
        </w:rPr>
        <w:t xml:space="preserve">твесно спускащите се към </w:t>
      </w:r>
      <w:r w:rsidRPr="00610B1B">
        <w:rPr>
          <w:rFonts w:ascii="Times New Roman" w:eastAsia="Times New Roman" w:hAnsi="Times New Roman" w:cs="Times New Roman"/>
          <w:sz w:val="24"/>
          <w:szCs w:val="24"/>
          <w:lang w:val="bg-BG"/>
        </w:rPr>
        <w:lastRenderedPageBreak/>
        <w:t>морето скалисти брегове</w:t>
      </w:r>
      <w:r w:rsidR="00C57F93" w:rsidRPr="00610B1B">
        <w:rPr>
          <w:rFonts w:ascii="Times New Roman" w:eastAsia="Times New Roman" w:hAnsi="Times New Roman" w:cs="Times New Roman"/>
          <w:sz w:val="24"/>
          <w:szCs w:val="24"/>
          <w:lang w:val="bg-BG"/>
        </w:rPr>
        <w:t xml:space="preserve"> и в</w:t>
      </w:r>
      <w:r w:rsidRPr="00610B1B">
        <w:rPr>
          <w:rFonts w:ascii="Times New Roman" w:eastAsia="Times New Roman" w:hAnsi="Times New Roman" w:cs="Times New Roman"/>
          <w:sz w:val="24"/>
          <w:szCs w:val="24"/>
          <w:lang w:val="bg-BG"/>
        </w:rPr>
        <w:t xml:space="preserve"> близост до важни морски и сухоземни пътища. През V век пр. Хр. тракийското племе </w:t>
      </w:r>
      <w:r w:rsidRPr="00610B1B">
        <w:rPr>
          <w:rFonts w:ascii="Times New Roman" w:eastAsia="Times New Roman" w:hAnsi="Times New Roman" w:cs="Times New Roman"/>
          <w:i/>
          <w:iCs/>
          <w:sz w:val="24"/>
          <w:szCs w:val="24"/>
          <w:lang w:val="bg-BG"/>
        </w:rPr>
        <w:t>“теризи”</w:t>
      </w:r>
      <w:r w:rsidRPr="00610B1B">
        <w:rPr>
          <w:rFonts w:ascii="Times New Roman" w:eastAsia="Times New Roman" w:hAnsi="Times New Roman" w:cs="Times New Roman"/>
          <w:sz w:val="24"/>
          <w:szCs w:val="24"/>
          <w:lang w:val="bg-BG"/>
        </w:rPr>
        <w:t xml:space="preserve"> основава укрепено селище в южната част на носа, откъдето е и първото име на поселението. В края на V век пр. Хр. земите на теризите са включени в границите на Одриската държава. По време на Римската империя и нейните провинции на Балканите градът продължава да съществува. През този период, античното селище е част от веригата крепости, образуващи по-късно черноморския отбранителен пояс на Византийската империя срещу нашествията от север. Възходът на Калиакра от края на ХІІІ век е свързан с обявяването</w:t>
      </w:r>
      <w:r w:rsidR="00DE3A13" w:rsidRPr="00610B1B">
        <w:rPr>
          <w:rFonts w:ascii="Times New Roman" w:eastAsia="Times New Roman" w:hAnsi="Times New Roman" w:cs="Times New Roman"/>
          <w:sz w:val="24"/>
          <w:szCs w:val="24"/>
          <w:lang w:val="bg-BG"/>
        </w:rPr>
        <w:t xml:space="preserve"> ѝ </w:t>
      </w:r>
      <w:r w:rsidRPr="00610B1B">
        <w:rPr>
          <w:rFonts w:ascii="Times New Roman" w:eastAsia="Times New Roman" w:hAnsi="Times New Roman" w:cs="Times New Roman"/>
          <w:sz w:val="24"/>
          <w:szCs w:val="24"/>
          <w:lang w:val="bg-BG"/>
        </w:rPr>
        <w:t>за столица на Добруджанското деспотство, обхващащо североизточните български земи. Калиакра от това време има площ от около 550 дка. През XIV</w:t>
      </w:r>
      <w:r w:rsidR="00C57F93" w:rsidRPr="00610B1B">
        <w:rPr>
          <w:rFonts w:ascii="Times New Roman" w:eastAsia="Times New Roman" w:hAnsi="Times New Roman" w:cs="Times New Roman"/>
          <w:sz w:val="24"/>
          <w:szCs w:val="24"/>
          <w:lang w:val="bg-BG"/>
        </w:rPr>
        <w:t xml:space="preserve"> в</w:t>
      </w:r>
      <w:r w:rsidRPr="00610B1B">
        <w:rPr>
          <w:rFonts w:ascii="Times New Roman" w:eastAsia="Times New Roman" w:hAnsi="Times New Roman" w:cs="Times New Roman"/>
          <w:sz w:val="24"/>
          <w:szCs w:val="24"/>
          <w:lang w:val="bg-BG"/>
        </w:rPr>
        <w:t xml:space="preserve">. Калиакра е завладяна от османските турци. Писмените </w:t>
      </w:r>
      <w:r w:rsidR="00C57F93" w:rsidRPr="00610B1B">
        <w:rPr>
          <w:rFonts w:ascii="Times New Roman" w:eastAsia="Times New Roman" w:hAnsi="Times New Roman" w:cs="Times New Roman"/>
          <w:sz w:val="24"/>
          <w:szCs w:val="24"/>
          <w:lang w:val="bg-BG"/>
        </w:rPr>
        <w:t xml:space="preserve">източници </w:t>
      </w:r>
      <w:r w:rsidRPr="00610B1B">
        <w:rPr>
          <w:rFonts w:ascii="Times New Roman" w:eastAsia="Times New Roman" w:hAnsi="Times New Roman" w:cs="Times New Roman"/>
          <w:sz w:val="24"/>
          <w:szCs w:val="24"/>
          <w:lang w:val="bg-BG"/>
        </w:rPr>
        <w:t>от късното Средновековие споменават, че тук е съществувал дервишки манастир, както и едно от двете добруджански мюс</w:t>
      </w:r>
      <w:r w:rsidR="004A3547" w:rsidRPr="00610B1B">
        <w:rPr>
          <w:rFonts w:ascii="Times New Roman" w:eastAsia="Times New Roman" w:hAnsi="Times New Roman" w:cs="Times New Roman"/>
          <w:sz w:val="24"/>
          <w:szCs w:val="24"/>
          <w:lang w:val="bg-BG"/>
        </w:rPr>
        <w:t>ю</w:t>
      </w:r>
      <w:r w:rsidRPr="00610B1B">
        <w:rPr>
          <w:rFonts w:ascii="Times New Roman" w:eastAsia="Times New Roman" w:hAnsi="Times New Roman" w:cs="Times New Roman"/>
          <w:sz w:val="24"/>
          <w:szCs w:val="24"/>
          <w:lang w:val="bg-BG"/>
        </w:rPr>
        <w:t>лмански двуобредни текета, посветено на ислямския светец Саръ Салтък. Двухилядолетният живот на тази крепост замира в края на ХVІІ - началото на ХVІІІ век. Последното значително събитие, свързано с Калиакра е морската битка, проведена на 31.</w:t>
      </w:r>
      <w:r w:rsidR="00A67814" w:rsidRPr="00610B1B">
        <w:rPr>
          <w:rFonts w:ascii="Times New Roman" w:eastAsia="Times New Roman" w:hAnsi="Times New Roman" w:cs="Times New Roman"/>
          <w:sz w:val="24"/>
          <w:szCs w:val="24"/>
          <w:lang w:val="bg-BG"/>
        </w:rPr>
        <w:t>07</w:t>
      </w:r>
      <w:r w:rsidRPr="00610B1B">
        <w:rPr>
          <w:rFonts w:ascii="Times New Roman" w:eastAsia="Times New Roman" w:hAnsi="Times New Roman" w:cs="Times New Roman"/>
          <w:sz w:val="24"/>
          <w:szCs w:val="24"/>
          <w:lang w:val="bg-BG"/>
        </w:rPr>
        <w:t>.1791</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край бреговете</w:t>
      </w:r>
      <w:r w:rsidR="00DE3A13" w:rsidRPr="00610B1B">
        <w:rPr>
          <w:rFonts w:ascii="Times New Roman" w:eastAsia="Times New Roman" w:hAnsi="Times New Roman" w:cs="Times New Roman"/>
          <w:sz w:val="24"/>
          <w:szCs w:val="24"/>
          <w:lang w:val="bg-BG"/>
        </w:rPr>
        <w:t xml:space="preserve"> ѝ,</w:t>
      </w:r>
      <w:r w:rsidRPr="00610B1B">
        <w:rPr>
          <w:rFonts w:ascii="Times New Roman" w:eastAsia="Times New Roman" w:hAnsi="Times New Roman" w:cs="Times New Roman"/>
          <w:sz w:val="24"/>
          <w:szCs w:val="24"/>
          <w:lang w:val="bg-BG"/>
        </w:rPr>
        <w:t xml:space="preserve"> с която се слага край на Руско-турската война от 1787-1791</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г. </w:t>
      </w:r>
    </w:p>
    <w:p w14:paraId="4FC5197A" w14:textId="0C31245F"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Редовните археологически разкопки на античната и средновековна крепост “Калиакра” започват през 60-те години на миналия век. За първи път местност Калиакра получава статут на паметник на културата като “Антично и средновековно укрепление”, обявено в ДВ. бр. 77/1959</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В рамките на цитаделата е изпълнена реконструкция на античната крепостна стена и портата, консервация на верижни сгради, крепостна стена и кули от елинистическия период</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В рамките на Външния град е извършена реставрация на римските терми и средновековната църква, крепостната порта и крепостни стени</w:t>
      </w:r>
      <w:r w:rsidR="004A3547"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В рамките на подградието са изпълнени консервационни работи по отделни верижни сгради и крепостната стена, портата, потерните и кулите към нея. Извън укрепената територия са експонирани гробници от некропола. Консервация</w:t>
      </w:r>
      <w:r w:rsidR="0023542D" w:rsidRPr="00610B1B">
        <w:rPr>
          <w:rFonts w:ascii="Times New Roman" w:eastAsia="Times New Roman" w:hAnsi="Times New Roman" w:cs="Times New Roman"/>
          <w:sz w:val="24"/>
          <w:szCs w:val="24"/>
          <w:lang w:val="bg-BG"/>
        </w:rPr>
        <w:t>та</w:t>
      </w:r>
      <w:r w:rsidRPr="00610B1B">
        <w:rPr>
          <w:rFonts w:ascii="Times New Roman" w:eastAsia="Times New Roman" w:hAnsi="Times New Roman" w:cs="Times New Roman"/>
          <w:sz w:val="24"/>
          <w:szCs w:val="24"/>
          <w:lang w:val="bg-BG"/>
        </w:rPr>
        <w:t xml:space="preserve"> и реставрация</w:t>
      </w:r>
      <w:r w:rsidR="0023542D" w:rsidRPr="00610B1B">
        <w:rPr>
          <w:rFonts w:ascii="Times New Roman" w:eastAsia="Times New Roman" w:hAnsi="Times New Roman" w:cs="Times New Roman"/>
          <w:sz w:val="24"/>
          <w:szCs w:val="24"/>
          <w:lang w:val="bg-BG"/>
        </w:rPr>
        <w:t>та</w:t>
      </w:r>
      <w:r w:rsidRPr="00610B1B">
        <w:rPr>
          <w:rFonts w:ascii="Times New Roman" w:eastAsia="Times New Roman" w:hAnsi="Times New Roman" w:cs="Times New Roman"/>
          <w:sz w:val="24"/>
          <w:szCs w:val="24"/>
          <w:lang w:val="bg-BG"/>
        </w:rPr>
        <w:t xml:space="preserve"> на разкритите нови обекти продължава почти без прекъсване до 1993</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w:t>
      </w:r>
    </w:p>
    <w:p w14:paraId="576F4CF6" w14:textId="507B0891"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i/>
          <w:iCs/>
          <w:sz w:val="24"/>
          <w:szCs w:val="24"/>
          <w:lang w:val="bg-BG"/>
        </w:rPr>
        <w:t>В акваторията на нос Калиакра</w:t>
      </w:r>
      <w:r w:rsidRPr="00610B1B">
        <w:rPr>
          <w:rFonts w:ascii="Times New Roman" w:eastAsia="Times New Roman" w:hAnsi="Times New Roman" w:cs="Times New Roman"/>
          <w:sz w:val="24"/>
          <w:szCs w:val="24"/>
          <w:lang w:val="bg-BG"/>
        </w:rPr>
        <w:t xml:space="preserve"> през 1959</w:t>
      </w:r>
      <w:r w:rsidR="00A67814" w:rsidRPr="00610B1B">
        <w:rPr>
          <w:rFonts w:ascii="Times New Roman" w:eastAsia="Times New Roman" w:hAnsi="Times New Roman" w:cs="Times New Roman"/>
          <w:sz w:val="24"/>
          <w:szCs w:val="24"/>
          <w:lang w:val="bg-BG"/>
        </w:rPr>
        <w:t xml:space="preserve"> г.</w:t>
      </w:r>
      <w:r w:rsidRPr="00610B1B">
        <w:rPr>
          <w:rFonts w:ascii="Times New Roman" w:eastAsia="Times New Roman" w:hAnsi="Times New Roman" w:cs="Times New Roman"/>
          <w:sz w:val="24"/>
          <w:szCs w:val="24"/>
          <w:lang w:val="bg-BG"/>
        </w:rPr>
        <w:t xml:space="preserve"> се провежда първата подводна експедиция за търсене на останки от корабокрушения, свързани с битката от 11 август 1791 </w:t>
      </w:r>
      <w:r w:rsidR="004A3547" w:rsidRPr="00610B1B">
        <w:rPr>
          <w:rFonts w:ascii="Times New Roman" w:eastAsia="Times New Roman" w:hAnsi="Times New Roman" w:cs="Times New Roman"/>
          <w:sz w:val="24"/>
          <w:szCs w:val="24"/>
          <w:lang w:val="bg-BG"/>
        </w:rPr>
        <w:t xml:space="preserve">г. </w:t>
      </w:r>
      <w:r w:rsidRPr="00610B1B">
        <w:rPr>
          <w:rFonts w:ascii="Times New Roman" w:eastAsia="Times New Roman" w:hAnsi="Times New Roman" w:cs="Times New Roman"/>
          <w:sz w:val="24"/>
          <w:szCs w:val="24"/>
          <w:lang w:val="bg-BG"/>
        </w:rPr>
        <w:t xml:space="preserve">между османския и руския флот. Подводни проучвания се провеждат и през 70-те и 80-те години на </w:t>
      </w:r>
      <w:r w:rsidR="00C57F93" w:rsidRPr="00610B1B">
        <w:rPr>
          <w:rFonts w:ascii="Times New Roman" w:eastAsia="Times New Roman" w:hAnsi="Times New Roman" w:cs="Times New Roman"/>
          <w:sz w:val="24"/>
          <w:szCs w:val="24"/>
          <w:lang w:val="bg-BG"/>
        </w:rPr>
        <w:t>ХХ</w:t>
      </w:r>
      <w:r w:rsidRPr="00610B1B">
        <w:rPr>
          <w:rFonts w:ascii="Times New Roman" w:eastAsia="Times New Roman" w:hAnsi="Times New Roman" w:cs="Times New Roman"/>
          <w:sz w:val="24"/>
          <w:szCs w:val="24"/>
          <w:lang w:val="bg-BG"/>
        </w:rPr>
        <w:t xml:space="preserve"> век. Отделни находки на амфори, подсказват, че средновековното пристанище се е намирало от западната страна на носа, под крепостта</w:t>
      </w:r>
      <w:r w:rsidRPr="00610B1B">
        <w:rPr>
          <w:rFonts w:ascii="Times New Roman" w:eastAsia="Times New Roman" w:hAnsi="Times New Roman" w:cs="Times New Roman"/>
          <w:color w:val="0000FF"/>
          <w:sz w:val="24"/>
          <w:szCs w:val="24"/>
          <w:lang w:val="bg-BG"/>
        </w:rPr>
        <w:t xml:space="preserve">. </w:t>
      </w:r>
    </w:p>
    <w:p w14:paraId="10FB8269" w14:textId="1394B5A1" w:rsidR="00442579" w:rsidRPr="00610B1B" w:rsidRDefault="00442579"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 xml:space="preserve">Археологически резерват „Античен град Одесос” </w:t>
      </w:r>
      <w:r w:rsidRPr="00610B1B">
        <w:rPr>
          <w:rFonts w:ascii="Times New Roman" w:eastAsia="Times New Roman" w:hAnsi="Times New Roman" w:cs="Times New Roman"/>
          <w:bCs/>
          <w:sz w:val="24"/>
          <w:szCs w:val="24"/>
          <w:lang w:val="bg-BG"/>
        </w:rPr>
        <w:t>гр. Варна</w:t>
      </w:r>
      <w:r w:rsidR="00D66FE0" w:rsidRPr="00610B1B">
        <w:rPr>
          <w:rFonts w:ascii="Times New Roman" w:eastAsia="Times New Roman" w:hAnsi="Times New Roman" w:cs="Times New Roman"/>
          <w:bCs/>
          <w:sz w:val="24"/>
          <w:szCs w:val="24"/>
          <w:lang w:val="bg-BG"/>
        </w:rPr>
        <w:t xml:space="preserve"> </w:t>
      </w:r>
      <w:r w:rsidR="004A3547" w:rsidRPr="00610B1B">
        <w:rPr>
          <w:rFonts w:ascii="Times New Roman" w:eastAsia="Times New Roman" w:hAnsi="Times New Roman" w:cs="Times New Roman"/>
          <w:bCs/>
          <w:sz w:val="24"/>
          <w:szCs w:val="24"/>
          <w:lang w:val="bg-BG"/>
        </w:rPr>
        <w:t xml:space="preserve">е НКЦ, </w:t>
      </w:r>
      <w:r w:rsidRPr="00610B1B">
        <w:rPr>
          <w:rFonts w:ascii="Times New Roman" w:eastAsia="Times New Roman" w:hAnsi="Times New Roman" w:cs="Times New Roman"/>
          <w:sz w:val="24"/>
          <w:szCs w:val="24"/>
          <w:lang w:val="bg-BG"/>
        </w:rPr>
        <w:t>обявена за археологически резерват с определени граници съгласно Инструкция №</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1 на Комитета за изкуство и култура и Министерството на строежите и архитектурата, за опазване на архитектурния и</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археологически резерват „Античен град Одесос” във Варна, публикувана в ДВ №</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83</w:t>
      </w:r>
      <w:r w:rsidR="00A67814"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28.10.1975</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w:t>
      </w:r>
      <w:r w:rsidR="00A67814"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От 1975</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до днес няма информация за актуализиране на горепосочените граници на резервата и охранителната му зона, както и на определените правила за застрояване.</w:t>
      </w:r>
    </w:p>
    <w:p w14:paraId="4F642832" w14:textId="431C49A4"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 xml:space="preserve">Природен и археологически резерват </w:t>
      </w:r>
      <w:r w:rsidR="0075654A" w:rsidRPr="00610B1B">
        <w:rPr>
          <w:rFonts w:ascii="Times New Roman" w:eastAsia="Times New Roman" w:hAnsi="Times New Roman" w:cs="Times New Roman"/>
          <w:bCs/>
          <w:i/>
          <w:iCs/>
          <w:sz w:val="24"/>
          <w:szCs w:val="24"/>
          <w:lang w:val="bg-BG"/>
        </w:rPr>
        <w:t>„</w:t>
      </w:r>
      <w:r w:rsidRPr="00610B1B">
        <w:rPr>
          <w:rFonts w:ascii="Times New Roman" w:eastAsia="Times New Roman" w:hAnsi="Times New Roman" w:cs="Times New Roman"/>
          <w:bCs/>
          <w:i/>
          <w:iCs/>
          <w:sz w:val="24"/>
          <w:szCs w:val="24"/>
          <w:lang w:val="bg-BG"/>
        </w:rPr>
        <w:t xml:space="preserve">Острови </w:t>
      </w:r>
      <w:r w:rsidR="0075654A" w:rsidRPr="00610B1B">
        <w:rPr>
          <w:rFonts w:ascii="Times New Roman" w:eastAsia="Times New Roman" w:hAnsi="Times New Roman" w:cs="Times New Roman"/>
          <w:bCs/>
          <w:i/>
          <w:iCs/>
          <w:sz w:val="24"/>
          <w:szCs w:val="24"/>
          <w:lang w:val="bg-BG"/>
        </w:rPr>
        <w:t>„</w:t>
      </w:r>
      <w:r w:rsidRPr="00610B1B">
        <w:rPr>
          <w:rFonts w:ascii="Times New Roman" w:eastAsia="Times New Roman" w:hAnsi="Times New Roman" w:cs="Times New Roman"/>
          <w:bCs/>
          <w:i/>
          <w:iCs/>
          <w:sz w:val="24"/>
          <w:szCs w:val="24"/>
          <w:lang w:val="bg-BG"/>
        </w:rPr>
        <w:t>Св. Иван</w:t>
      </w:r>
      <w:r w:rsidR="0075654A" w:rsidRPr="00610B1B">
        <w:rPr>
          <w:rFonts w:ascii="Times New Roman" w:eastAsia="Times New Roman" w:hAnsi="Times New Roman" w:cs="Times New Roman"/>
          <w:bCs/>
          <w:i/>
          <w:iCs/>
          <w:sz w:val="24"/>
          <w:szCs w:val="24"/>
          <w:lang w:val="bg-BG"/>
        </w:rPr>
        <w:t>“</w:t>
      </w:r>
      <w:r w:rsidRPr="00610B1B">
        <w:rPr>
          <w:rFonts w:ascii="Times New Roman" w:eastAsia="Times New Roman" w:hAnsi="Times New Roman" w:cs="Times New Roman"/>
          <w:bCs/>
          <w:i/>
          <w:iCs/>
          <w:sz w:val="24"/>
          <w:szCs w:val="24"/>
          <w:lang w:val="bg-BG"/>
        </w:rPr>
        <w:t xml:space="preserve"> и </w:t>
      </w:r>
      <w:r w:rsidR="0075654A" w:rsidRPr="00610B1B">
        <w:rPr>
          <w:rFonts w:ascii="Times New Roman" w:eastAsia="Times New Roman" w:hAnsi="Times New Roman" w:cs="Times New Roman"/>
          <w:bCs/>
          <w:i/>
          <w:iCs/>
          <w:sz w:val="24"/>
          <w:szCs w:val="24"/>
          <w:lang w:val="bg-BG"/>
        </w:rPr>
        <w:t>„</w:t>
      </w:r>
      <w:r w:rsidRPr="00610B1B">
        <w:rPr>
          <w:rFonts w:ascii="Times New Roman" w:eastAsia="Times New Roman" w:hAnsi="Times New Roman" w:cs="Times New Roman"/>
          <w:bCs/>
          <w:i/>
          <w:iCs/>
          <w:sz w:val="24"/>
          <w:szCs w:val="24"/>
          <w:lang w:val="bg-BG"/>
        </w:rPr>
        <w:t>Св. Петър</w:t>
      </w:r>
      <w:r w:rsidR="0075654A" w:rsidRPr="00610B1B">
        <w:rPr>
          <w:rFonts w:ascii="Times New Roman" w:eastAsia="Times New Roman" w:hAnsi="Times New Roman" w:cs="Times New Roman"/>
          <w:bCs/>
          <w:i/>
          <w:iCs/>
          <w:sz w:val="24"/>
          <w:szCs w:val="24"/>
          <w:lang w:val="bg-BG"/>
        </w:rPr>
        <w:t>“</w:t>
      </w:r>
      <w:r w:rsidRPr="00610B1B">
        <w:rPr>
          <w:rFonts w:ascii="Times New Roman" w:eastAsia="Times New Roman" w:hAnsi="Times New Roman" w:cs="Times New Roman"/>
          <w:bCs/>
          <w:i/>
          <w:iCs/>
          <w:sz w:val="24"/>
          <w:szCs w:val="24"/>
          <w:lang w:val="bg-BG"/>
        </w:rPr>
        <w:t>, общ</w:t>
      </w:r>
      <w:r w:rsidR="004A3547" w:rsidRPr="00610B1B">
        <w:rPr>
          <w:rFonts w:ascii="Times New Roman" w:eastAsia="Times New Roman" w:hAnsi="Times New Roman" w:cs="Times New Roman"/>
          <w:bCs/>
          <w:i/>
          <w:iCs/>
          <w:sz w:val="24"/>
          <w:szCs w:val="24"/>
          <w:lang w:val="bg-BG"/>
        </w:rPr>
        <w:t xml:space="preserve">ина </w:t>
      </w:r>
      <w:r w:rsidRPr="00610B1B">
        <w:rPr>
          <w:rFonts w:ascii="Times New Roman" w:eastAsia="Times New Roman" w:hAnsi="Times New Roman" w:cs="Times New Roman"/>
          <w:bCs/>
          <w:i/>
          <w:iCs/>
          <w:sz w:val="24"/>
          <w:szCs w:val="24"/>
          <w:lang w:val="bg-BG"/>
        </w:rPr>
        <w:t xml:space="preserve">Созопол, </w:t>
      </w:r>
      <w:r w:rsidR="004A3547" w:rsidRPr="00610B1B">
        <w:rPr>
          <w:rFonts w:ascii="Times New Roman" w:eastAsia="Times New Roman" w:hAnsi="Times New Roman" w:cs="Times New Roman"/>
          <w:bCs/>
          <w:sz w:val="24"/>
          <w:szCs w:val="24"/>
          <w:lang w:val="bg-BG"/>
        </w:rPr>
        <w:t xml:space="preserve">е НКЦ, </w:t>
      </w:r>
      <w:r w:rsidRPr="00610B1B">
        <w:rPr>
          <w:rFonts w:ascii="Times New Roman" w:eastAsia="Times New Roman" w:hAnsi="Times New Roman" w:cs="Times New Roman"/>
          <w:sz w:val="24"/>
          <w:szCs w:val="24"/>
          <w:lang w:val="bg-BG"/>
        </w:rPr>
        <w:t>обявена за археологически резерват с определени режими на опазване.</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Границите на мидените полета и даляни, които са в акваторията на обекта, са с точно </w:t>
      </w:r>
      <w:r w:rsidRPr="00610B1B">
        <w:rPr>
          <w:rFonts w:ascii="Times New Roman" w:eastAsia="Times New Roman" w:hAnsi="Times New Roman" w:cs="Times New Roman"/>
          <w:sz w:val="24"/>
          <w:szCs w:val="24"/>
          <w:lang w:val="bg-BG"/>
        </w:rPr>
        <w:lastRenderedPageBreak/>
        <w:t xml:space="preserve">фиксирани граници в </w:t>
      </w:r>
      <w:r w:rsidR="004A3547" w:rsidRPr="00610B1B">
        <w:rPr>
          <w:rFonts w:ascii="Times New Roman" w:eastAsia="Times New Roman" w:hAnsi="Times New Roman" w:cs="Times New Roman"/>
          <w:sz w:val="24"/>
          <w:szCs w:val="24"/>
          <w:lang w:val="bg-BG"/>
        </w:rPr>
        <w:t>Центъра за подводна археология към МК</w:t>
      </w:r>
      <w:r w:rsidRPr="00610B1B">
        <w:rPr>
          <w:rFonts w:ascii="Times New Roman" w:eastAsia="Times New Roman" w:hAnsi="Times New Roman" w:cs="Times New Roman"/>
          <w:sz w:val="24"/>
          <w:szCs w:val="24"/>
          <w:lang w:val="bg-BG"/>
        </w:rPr>
        <w:t>.</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Границите на археологическия резерват и охранителната му зона не са отбелязани на кадастралната карта на града до 2012</w:t>
      </w:r>
      <w:r w:rsidR="00C57F93"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Няма информация за промяна към сегашния момент.</w:t>
      </w:r>
    </w:p>
    <w:p w14:paraId="5066EB64" w14:textId="0F670761"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i/>
          <w:iCs/>
          <w:sz w:val="24"/>
          <w:szCs w:val="24"/>
          <w:lang w:val="bg-BG"/>
        </w:rPr>
        <w:t>Остров „Св. Иван</w:t>
      </w:r>
      <w:r w:rsidRPr="00610B1B">
        <w:rPr>
          <w:rFonts w:ascii="Times New Roman" w:eastAsia="Times New Roman" w:hAnsi="Times New Roman" w:cs="Times New Roman"/>
          <w:sz w:val="24"/>
          <w:szCs w:val="24"/>
          <w:lang w:val="bg-BG"/>
        </w:rPr>
        <w:t>” е най-големият от петте острова</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локализирани по крайбрежната черноморска зона на България и</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един от трите острова в залива на Созопол. Намира са на една морска миля от Стария град на Созопол. Най-ранните следи от човешка дейност на о-</w:t>
      </w:r>
      <w:r w:rsidR="004A3547" w:rsidRPr="00610B1B">
        <w:rPr>
          <w:rFonts w:ascii="Times New Roman" w:eastAsia="Times New Roman" w:hAnsi="Times New Roman" w:cs="Times New Roman"/>
          <w:sz w:val="24"/>
          <w:szCs w:val="24"/>
          <w:lang w:val="bg-BG"/>
        </w:rPr>
        <w:t xml:space="preserve">в </w:t>
      </w:r>
      <w:r w:rsidRPr="00610B1B">
        <w:rPr>
          <w:rFonts w:ascii="Times New Roman" w:eastAsia="Times New Roman" w:hAnsi="Times New Roman" w:cs="Times New Roman"/>
          <w:sz w:val="24"/>
          <w:szCs w:val="24"/>
          <w:lang w:val="bg-BG"/>
        </w:rPr>
        <w:t>„Св.</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Иван” се отнасят към VII-IV</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в</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пр.</w:t>
      </w:r>
      <w:r w:rsidR="0075654A"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Хр. и вероятно следва да се свържат със светилище на Аполон Лечител. На същото място, в периода от края на IV</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в. и началото на V</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в. е издигната раннохристиянска базилика посветена на Света Богородица</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Калеоса, около която в следващите векове се развива манастирът „Св. Йоан Продром”. През този период това са земи на Българската държава. В средата на ХІІ в. е издигната кръстокуполна църква с богата декоративна украса и с покровител Св. Йоан Кръстител. През следващите векове манастирът става важен фактор в източната част на Балканския полуостров. Активната му книжовна дейност продължава и в първите векове след османското владичество. Краят на манастира настъпва през 1623 г., когато след нападение на пирати, е опожарен. </w:t>
      </w:r>
    </w:p>
    <w:p w14:paraId="09890A0B" w14:textId="5E275E9E"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Първите археологически проучвания на острова са проведени в периода</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1985-1994</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когато се разкриват и руините на първите структури отпреди новата ера. Проучванията се подновяват през 2008</w:t>
      </w:r>
      <w:r w:rsidR="00C57F93"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и заедно с тях се провеждат и някои консервационно-реставрационни работи. През 2010</w:t>
      </w:r>
      <w:r w:rsidR="00C57F93"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г., </w:t>
      </w:r>
      <w:r w:rsidR="0075654A" w:rsidRPr="00610B1B">
        <w:rPr>
          <w:rFonts w:ascii="Times New Roman" w:eastAsia="Times New Roman" w:hAnsi="Times New Roman" w:cs="Times New Roman"/>
          <w:sz w:val="24"/>
          <w:szCs w:val="24"/>
          <w:lang w:val="bg-BG"/>
        </w:rPr>
        <w:t>по</w:t>
      </w:r>
      <w:r w:rsidRPr="00610B1B">
        <w:rPr>
          <w:rFonts w:ascii="Times New Roman" w:eastAsia="Times New Roman" w:hAnsi="Times New Roman" w:cs="Times New Roman"/>
          <w:sz w:val="24"/>
          <w:szCs w:val="24"/>
          <w:lang w:val="bg-BG"/>
        </w:rPr>
        <w:t xml:space="preserve"> европейски проект „Старинен Созопол-манастир </w:t>
      </w:r>
      <w:r w:rsidR="00E73424" w:rsidRPr="00610B1B">
        <w:rPr>
          <w:rFonts w:ascii="Times New Roman" w:eastAsia="Times New Roman" w:hAnsi="Times New Roman" w:cs="Times New Roman"/>
          <w:sz w:val="24"/>
          <w:szCs w:val="24"/>
          <w:lang w:val="bg-BG"/>
        </w:rPr>
        <w:t>Св. Иван</w:t>
      </w:r>
      <w:r w:rsidRPr="00610B1B">
        <w:rPr>
          <w:rFonts w:ascii="Times New Roman" w:eastAsia="Times New Roman" w:hAnsi="Times New Roman" w:cs="Times New Roman"/>
          <w:sz w:val="24"/>
          <w:szCs w:val="24"/>
          <w:lang w:val="bg-BG"/>
        </w:rPr>
        <w:t xml:space="preserve"> Предтеча - култура през вековете” археологическите разкопки </w:t>
      </w:r>
      <w:r w:rsidR="0023542D" w:rsidRPr="00610B1B">
        <w:rPr>
          <w:rFonts w:ascii="Times New Roman" w:eastAsia="Times New Roman" w:hAnsi="Times New Roman" w:cs="Times New Roman"/>
          <w:sz w:val="24"/>
          <w:szCs w:val="24"/>
          <w:lang w:val="bg-BG"/>
        </w:rPr>
        <w:t xml:space="preserve">в манастира </w:t>
      </w:r>
      <w:r w:rsidRPr="00610B1B">
        <w:rPr>
          <w:rFonts w:ascii="Times New Roman" w:eastAsia="Times New Roman" w:hAnsi="Times New Roman" w:cs="Times New Roman"/>
          <w:sz w:val="24"/>
          <w:szCs w:val="24"/>
          <w:lang w:val="bg-BG"/>
        </w:rPr>
        <w:t>продължават. По проект</w:t>
      </w:r>
      <w:r w:rsidR="0023542D" w:rsidRPr="00610B1B">
        <w:rPr>
          <w:rFonts w:ascii="Times New Roman" w:eastAsia="Times New Roman" w:hAnsi="Times New Roman" w:cs="Times New Roman"/>
          <w:sz w:val="24"/>
          <w:szCs w:val="24"/>
          <w:lang w:val="bg-BG"/>
        </w:rPr>
        <w:t>а</w:t>
      </w:r>
      <w:r w:rsidRPr="00610B1B">
        <w:rPr>
          <w:rFonts w:ascii="Times New Roman" w:eastAsia="Times New Roman" w:hAnsi="Times New Roman" w:cs="Times New Roman"/>
          <w:sz w:val="24"/>
          <w:szCs w:val="24"/>
          <w:lang w:val="bg-BG"/>
        </w:rPr>
        <w:t xml:space="preserve"> са изпълнени и ремонтни работи до двата съществуващи морски пристана, два заслона. Извършени са дейности по социализацията на пространството </w:t>
      </w:r>
      <w:r w:rsidR="00CF62C0" w:rsidRPr="00610B1B">
        <w:rPr>
          <w:rFonts w:ascii="Times New Roman" w:eastAsia="Times New Roman" w:hAnsi="Times New Roman" w:cs="Times New Roman"/>
          <w:sz w:val="24"/>
          <w:szCs w:val="24"/>
          <w:lang w:val="bg-BG"/>
        </w:rPr>
        <w:t>с</w:t>
      </w:r>
      <w:r w:rsidRPr="00610B1B">
        <w:rPr>
          <w:rFonts w:ascii="Times New Roman" w:eastAsia="Times New Roman" w:hAnsi="Times New Roman" w:cs="Times New Roman"/>
          <w:sz w:val="24"/>
          <w:szCs w:val="24"/>
          <w:lang w:val="bg-BG"/>
        </w:rPr>
        <w:t xml:space="preserve"> пътеки и информационна</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указателна система.</w:t>
      </w:r>
      <w:r w:rsidR="004A3547" w:rsidRPr="00610B1B">
        <w:rPr>
          <w:rFonts w:ascii="Times New Roman" w:eastAsia="Times New Roman" w:hAnsi="Times New Roman" w:cs="Times New Roman"/>
          <w:sz w:val="24"/>
          <w:szCs w:val="24"/>
          <w:lang w:val="bg-BG"/>
        </w:rPr>
        <w:t xml:space="preserve"> </w:t>
      </w:r>
      <w:r w:rsidR="0075654A" w:rsidRPr="00610B1B">
        <w:rPr>
          <w:rFonts w:ascii="Times New Roman" w:eastAsia="Times New Roman" w:hAnsi="Times New Roman" w:cs="Times New Roman"/>
          <w:sz w:val="24"/>
          <w:szCs w:val="24"/>
          <w:lang w:val="bg-BG"/>
        </w:rPr>
        <w:t xml:space="preserve">На </w:t>
      </w:r>
      <w:r w:rsidRPr="00610B1B">
        <w:rPr>
          <w:rFonts w:ascii="Times New Roman" w:eastAsia="Times New Roman" w:hAnsi="Times New Roman" w:cs="Times New Roman"/>
          <w:sz w:val="24"/>
          <w:szCs w:val="24"/>
          <w:lang w:val="bg-BG"/>
        </w:rPr>
        <w:t>острова съществува имот, собственост на МНО, който също към 2012 г. не е отразен на кадастралната карта на Созопол.</w:t>
      </w:r>
      <w:r w:rsidR="0075654A" w:rsidRPr="00610B1B">
        <w:rPr>
          <w:rFonts w:ascii="Times New Roman" w:eastAsia="Times New Roman" w:hAnsi="Times New Roman" w:cs="Times New Roman"/>
          <w:sz w:val="24"/>
          <w:szCs w:val="24"/>
          <w:lang w:val="bg-BG"/>
        </w:rPr>
        <w:t xml:space="preserve"> </w:t>
      </w:r>
    </w:p>
    <w:p w14:paraId="3091769A" w14:textId="4F3A06A6"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До острова няма организирани туристически пътувания, независимо, че достъпът до него не е ограничен и се достига с лодка. На острова е запазен, поддържан и експлоатиран съществуващия сонарен фар.</w:t>
      </w:r>
      <w:r w:rsidR="0075654A"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Със Заповед № PД-53/26.05.2010</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на MOCB, островите Св.</w:t>
      </w:r>
      <w:r w:rsidR="004A3547"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Иван и Св. Петър попада</w:t>
      </w:r>
      <w:r w:rsidR="0075654A" w:rsidRPr="00610B1B">
        <w:rPr>
          <w:rFonts w:ascii="Times New Roman" w:eastAsia="Times New Roman" w:hAnsi="Times New Roman" w:cs="Times New Roman"/>
          <w:sz w:val="24"/>
          <w:szCs w:val="24"/>
          <w:lang w:val="bg-BG"/>
        </w:rPr>
        <w:t>т</w:t>
      </w:r>
      <w:r w:rsidRPr="00610B1B">
        <w:rPr>
          <w:rFonts w:ascii="Times New Roman" w:eastAsia="Times New Roman" w:hAnsi="Times New Roman" w:cs="Times New Roman"/>
          <w:sz w:val="24"/>
          <w:szCs w:val="24"/>
          <w:lang w:val="bg-BG"/>
        </w:rPr>
        <w:t xml:space="preserve"> в защитената зона „Бакърлъка” за опазване на дивите птици и за опазване на природните местообитания на дивите флора и фауна.</w:t>
      </w:r>
    </w:p>
    <w:p w14:paraId="577FCBB5" w14:textId="56A9DE82"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i/>
          <w:iCs/>
          <w:sz w:val="24"/>
          <w:szCs w:val="24"/>
          <w:lang w:val="bg-BG"/>
        </w:rPr>
        <w:t>В акваторията на островите Св. Иван и св. Петър</w:t>
      </w:r>
      <w:r w:rsidRPr="00610B1B">
        <w:rPr>
          <w:rFonts w:ascii="Times New Roman" w:eastAsia="Times New Roman" w:hAnsi="Times New Roman" w:cs="Times New Roman"/>
          <w:sz w:val="24"/>
          <w:szCs w:val="24"/>
          <w:lang w:val="bg-BG"/>
        </w:rPr>
        <w:t xml:space="preserve"> са открити десетки каменни и железни котви, каменни и оловни щокове. Общата хронология на находките следва тази на историческото развитие на Аполония Понтика – Созопол</w:t>
      </w:r>
      <w:r w:rsidR="00403E40" w:rsidRPr="00610B1B">
        <w:rPr>
          <w:rFonts w:ascii="Times New Roman" w:eastAsia="Times New Roman" w:hAnsi="Times New Roman" w:cs="Times New Roman"/>
          <w:sz w:val="24"/>
          <w:szCs w:val="24"/>
          <w:lang w:val="bg-BG"/>
        </w:rPr>
        <w:t>. Най</w:t>
      </w:r>
      <w:r w:rsidRPr="00610B1B">
        <w:rPr>
          <w:rFonts w:ascii="Times New Roman" w:eastAsia="Times New Roman" w:hAnsi="Times New Roman" w:cs="Times New Roman"/>
          <w:sz w:val="24"/>
          <w:szCs w:val="24"/>
          <w:lang w:val="bg-BG"/>
        </w:rPr>
        <w:t xml:space="preserve">-ранните находки се отнасят към VІІ в. пр. Хр. и свидетелстват за интензивно корабоплаване в района. Акваторията е включена в охранителната зона на резервата заради природния феномен </w:t>
      </w:r>
      <w:r w:rsidR="0075654A"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каменна гора</w:t>
      </w:r>
      <w:r w:rsidR="0075654A"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фосилизирани останки от гора (дънери, свалове, клони) от блатни кипариси. Феноменът се намира на дълбочина между 12 и 16 </w:t>
      </w:r>
      <w:r w:rsidR="00403E40"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между остров Св. Иван и </w:t>
      </w:r>
      <w:r w:rsidR="00E73424" w:rsidRPr="00610B1B">
        <w:rPr>
          <w:rFonts w:ascii="Times New Roman" w:eastAsia="Times New Roman" w:hAnsi="Times New Roman" w:cs="Times New Roman"/>
          <w:sz w:val="24"/>
          <w:szCs w:val="24"/>
          <w:lang w:val="bg-BG"/>
        </w:rPr>
        <w:t>полуостров</w:t>
      </w:r>
      <w:r w:rsidRPr="00610B1B">
        <w:rPr>
          <w:rFonts w:ascii="Times New Roman" w:eastAsia="Times New Roman" w:hAnsi="Times New Roman" w:cs="Times New Roman"/>
          <w:sz w:val="24"/>
          <w:szCs w:val="24"/>
          <w:lang w:val="bg-BG"/>
        </w:rPr>
        <w:t xml:space="preserve"> Скамни (стария град на Созопол). Смята се, че каменната гора се е образувала при заливане на крайбрежно блато от морските води преди десетки хиляди години или дори по-рано. </w:t>
      </w:r>
    </w:p>
    <w:p w14:paraId="6C4F88CC" w14:textId="346CD849" w:rsidR="00442579" w:rsidRPr="00610B1B" w:rsidRDefault="00403E40" w:rsidP="00D32D6A">
      <w:pPr>
        <w:pStyle w:val="Heading4"/>
        <w:spacing w:before="0" w:line="276" w:lineRule="auto"/>
        <w:ind w:right="-153"/>
        <w:rPr>
          <w:rFonts w:cs="Times New Roman"/>
        </w:rPr>
      </w:pPr>
      <w:r w:rsidRPr="00610B1B">
        <w:rPr>
          <w:rFonts w:cs="Times New Roman"/>
        </w:rPr>
        <w:lastRenderedPageBreak/>
        <w:t>3.7.2.2. Археологически комплекси</w:t>
      </w:r>
    </w:p>
    <w:p w14:paraId="214A3DF0" w14:textId="076B1885" w:rsidR="00403E40"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bCs/>
          <w:i/>
          <w:iCs/>
          <w:sz w:val="24"/>
          <w:szCs w:val="24"/>
          <w:lang w:val="bg-BG"/>
        </w:rPr>
        <w:t>Археологически комплекс „Големият Остров”, с. Дуранкулак, общ</w:t>
      </w:r>
      <w:r w:rsidR="00403E40" w:rsidRPr="00610B1B">
        <w:rPr>
          <w:rFonts w:ascii="Times New Roman" w:eastAsia="Times New Roman" w:hAnsi="Times New Roman" w:cs="Times New Roman"/>
          <w:bCs/>
          <w:i/>
          <w:iCs/>
          <w:sz w:val="24"/>
          <w:szCs w:val="24"/>
          <w:lang w:val="bg-BG"/>
        </w:rPr>
        <w:t>ина</w:t>
      </w:r>
      <w:r w:rsidRPr="00610B1B">
        <w:rPr>
          <w:rFonts w:ascii="Times New Roman" w:eastAsia="Times New Roman" w:hAnsi="Times New Roman" w:cs="Times New Roman"/>
          <w:bCs/>
          <w:i/>
          <w:iCs/>
          <w:sz w:val="24"/>
          <w:szCs w:val="24"/>
          <w:lang w:val="bg-BG"/>
        </w:rPr>
        <w:t xml:space="preserve"> Шабла,</w:t>
      </w:r>
      <w:r w:rsidR="00403E40" w:rsidRPr="00610B1B">
        <w:rPr>
          <w:rFonts w:ascii="Times New Roman" w:eastAsia="Times New Roman" w:hAnsi="Times New Roman" w:cs="Times New Roman"/>
          <w:bCs/>
          <w:sz w:val="24"/>
          <w:szCs w:val="24"/>
          <w:lang w:val="bg-BG"/>
        </w:rPr>
        <w:t xml:space="preserve"> </w:t>
      </w:r>
      <w:r w:rsidRPr="00610B1B">
        <w:rPr>
          <w:rFonts w:ascii="Times New Roman" w:eastAsia="Times New Roman" w:hAnsi="Times New Roman" w:cs="Times New Roman"/>
          <w:sz w:val="24"/>
          <w:szCs w:val="24"/>
          <w:lang w:val="bg-BG"/>
        </w:rPr>
        <w:t>е защитен като НКЦ по смисъла на чл.</w:t>
      </w:r>
      <w:r w:rsidR="00403E4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146 от ЗКН.</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Към момента на обекта не е предоставен статут и не е определена категория. За резервата са определени режими за опазване, определени </w:t>
      </w:r>
      <w:r w:rsidR="0075654A" w:rsidRPr="00610B1B">
        <w:rPr>
          <w:rFonts w:ascii="Times New Roman" w:eastAsia="Times New Roman" w:hAnsi="Times New Roman" w:cs="Times New Roman"/>
          <w:sz w:val="24"/>
          <w:szCs w:val="24"/>
          <w:lang w:val="bg-BG"/>
        </w:rPr>
        <w:t>с</w:t>
      </w:r>
      <w:r w:rsidRPr="00610B1B">
        <w:rPr>
          <w:rFonts w:ascii="Times New Roman" w:eastAsia="Times New Roman" w:hAnsi="Times New Roman" w:cs="Times New Roman"/>
          <w:sz w:val="24"/>
          <w:szCs w:val="24"/>
          <w:lang w:val="bg-BG"/>
        </w:rPr>
        <w:t xml:space="preserve"> Протокол от 27.07.2015 г. на комисията</w:t>
      </w:r>
      <w:r w:rsidR="0075654A" w:rsidRPr="00610B1B">
        <w:rPr>
          <w:rFonts w:ascii="Times New Roman" w:eastAsia="Times New Roman" w:hAnsi="Times New Roman" w:cs="Times New Roman"/>
          <w:sz w:val="24"/>
          <w:szCs w:val="24"/>
          <w:lang w:val="bg-BG"/>
        </w:rPr>
        <w:t>, им</w:t>
      </w:r>
      <w:r w:rsidRPr="00610B1B">
        <w:rPr>
          <w:rFonts w:ascii="Times New Roman" w:eastAsia="Times New Roman" w:hAnsi="Times New Roman" w:cs="Times New Roman"/>
          <w:sz w:val="24"/>
          <w:szCs w:val="24"/>
          <w:lang w:val="bg-BG"/>
        </w:rPr>
        <w:t>а и решение на СЕСОНКЦ.</w:t>
      </w:r>
      <w:r w:rsidR="00403E40" w:rsidRPr="00610B1B">
        <w:rPr>
          <w:rFonts w:ascii="Times New Roman" w:eastAsia="Times New Roman" w:hAnsi="Times New Roman" w:cs="Times New Roman"/>
          <w:b/>
          <w:sz w:val="24"/>
          <w:szCs w:val="24"/>
          <w:u w:val="single"/>
          <w:lang w:val="bg-BG"/>
        </w:rPr>
        <w:t xml:space="preserve"> </w:t>
      </w:r>
      <w:r w:rsidRPr="00610B1B">
        <w:rPr>
          <w:rFonts w:ascii="Times New Roman" w:eastAsia="Times New Roman" w:hAnsi="Times New Roman" w:cs="Times New Roman"/>
          <w:sz w:val="24"/>
          <w:szCs w:val="24"/>
          <w:lang w:val="bg-BG"/>
        </w:rPr>
        <w:t>Археологическият комплекс се състои от селищна могила на Големия остров, обитавана от халколита до ранното средновековие и от археологически комплекс на западния бряг на езерото.</w:t>
      </w:r>
      <w:bookmarkStart w:id="405" w:name="sdfootnote17anc"/>
      <w:r w:rsidRPr="00610B1B">
        <w:rPr>
          <w:rFonts w:ascii="Times New Roman" w:eastAsia="Times New Roman" w:hAnsi="Times New Roman" w:cs="Times New Roman"/>
          <w:sz w:val="24"/>
          <w:szCs w:val="24"/>
          <w:lang w:val="bg-BG"/>
        </w:rPr>
        <w:t xml:space="preserve"> Културният пласт на могилата илюстрира една от най-високо развитите култури в праисторическия свят, където е открита и най-старата каменна архитектура на Европейския континент.</w:t>
      </w:r>
      <w:bookmarkEnd w:id="405"/>
      <w:r w:rsidRPr="00610B1B">
        <w:rPr>
          <w:rFonts w:ascii="Times New Roman" w:eastAsia="Times New Roman" w:hAnsi="Times New Roman" w:cs="Times New Roman"/>
          <w:b/>
          <w:sz w:val="24"/>
          <w:szCs w:val="24"/>
          <w:lang w:val="bg-BG"/>
        </w:rPr>
        <w:t xml:space="preserve"> </w:t>
      </w:r>
      <w:r w:rsidRPr="00610B1B">
        <w:rPr>
          <w:rFonts w:ascii="Times New Roman" w:eastAsia="Times New Roman" w:hAnsi="Times New Roman" w:cs="Times New Roman"/>
          <w:sz w:val="24"/>
          <w:szCs w:val="24"/>
          <w:lang w:val="bg-BG"/>
        </w:rPr>
        <w:t>Дуранкулашкото езеро и неговия</w:t>
      </w:r>
      <w:r w:rsidR="00403E40" w:rsidRPr="00610B1B">
        <w:rPr>
          <w:rFonts w:ascii="Times New Roman" w:eastAsia="Times New Roman" w:hAnsi="Times New Roman" w:cs="Times New Roman"/>
          <w:sz w:val="24"/>
          <w:szCs w:val="24"/>
          <w:lang w:val="bg-BG"/>
        </w:rPr>
        <w:t>т</w:t>
      </w:r>
      <w:r w:rsidRPr="00610B1B">
        <w:rPr>
          <w:rFonts w:ascii="Times New Roman" w:eastAsia="Times New Roman" w:hAnsi="Times New Roman" w:cs="Times New Roman"/>
          <w:sz w:val="24"/>
          <w:szCs w:val="24"/>
          <w:lang w:val="bg-BG"/>
        </w:rPr>
        <w:t xml:space="preserve"> западен бряг са обитавани с прекъсвания повече от 6 000 години. По-голямата част от археологическите обекти на територията на целия комплекс са проучени. </w:t>
      </w:r>
    </w:p>
    <w:p w14:paraId="0B7FE89D" w14:textId="7DCBC51A" w:rsidR="00442579" w:rsidRPr="00610B1B" w:rsidRDefault="00442579" w:rsidP="00D32D6A">
      <w:pPr>
        <w:spacing w:after="120"/>
        <w:ind w:right="-153"/>
        <w:jc w:val="both"/>
        <w:rPr>
          <w:rFonts w:ascii="Times New Roman" w:eastAsia="Times New Roman" w:hAnsi="Times New Roman" w:cs="Times New Roman"/>
          <w:b/>
          <w:sz w:val="24"/>
          <w:szCs w:val="24"/>
          <w:u w:val="single"/>
          <w:lang w:val="bg-BG"/>
        </w:rPr>
      </w:pPr>
      <w:r w:rsidRPr="00610B1B">
        <w:rPr>
          <w:rFonts w:ascii="Times New Roman" w:eastAsia="Times New Roman" w:hAnsi="Times New Roman" w:cs="Times New Roman"/>
          <w:sz w:val="24"/>
          <w:szCs w:val="24"/>
          <w:lang w:val="bg-BG"/>
        </w:rPr>
        <w:t>През 2003</w:t>
      </w:r>
      <w:r w:rsidR="00403E4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г. е приет План за опазване на защитена местност „Дуранкулашко езеро”. </w:t>
      </w:r>
      <w:r w:rsidR="0075654A" w:rsidRPr="00610B1B">
        <w:rPr>
          <w:rFonts w:ascii="Times New Roman" w:eastAsia="Times New Roman" w:hAnsi="Times New Roman" w:cs="Times New Roman"/>
          <w:sz w:val="24"/>
          <w:szCs w:val="24"/>
          <w:lang w:val="bg-BG"/>
        </w:rPr>
        <w:t xml:space="preserve">Местността </w:t>
      </w:r>
      <w:r w:rsidRPr="00610B1B">
        <w:rPr>
          <w:rFonts w:ascii="Times New Roman" w:eastAsia="Times New Roman" w:hAnsi="Times New Roman" w:cs="Times New Roman"/>
          <w:sz w:val="24"/>
          <w:szCs w:val="24"/>
          <w:lang w:val="bg-BG"/>
        </w:rPr>
        <w:t>попада в по-голямата „Защитена зона за биологично разнообразие -Дуранкулашко езеро” обявена със Заповед РД-258/16.03.2010</w:t>
      </w:r>
      <w:r w:rsidR="00403E4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на МОСВ.</w:t>
      </w:r>
      <w:r w:rsidRPr="00610B1B">
        <w:rPr>
          <w:rFonts w:ascii="Times New Roman" w:eastAsia="Times New Roman" w:hAnsi="Times New Roman" w:cs="Times New Roman"/>
          <w:b/>
          <w:sz w:val="24"/>
          <w:szCs w:val="24"/>
          <w:lang w:val="bg-BG"/>
        </w:rPr>
        <w:t xml:space="preserve"> </w:t>
      </w:r>
      <w:r w:rsidRPr="00610B1B">
        <w:rPr>
          <w:rFonts w:ascii="Times New Roman" w:eastAsia="Times New Roman" w:hAnsi="Times New Roman" w:cs="Times New Roman"/>
          <w:sz w:val="24"/>
          <w:szCs w:val="24"/>
          <w:lang w:val="bg-BG"/>
        </w:rPr>
        <w:t>Археологическият</w:t>
      </w:r>
      <w:r w:rsidRPr="00610B1B">
        <w:rPr>
          <w:rFonts w:ascii="Times New Roman" w:eastAsia="Times New Roman" w:hAnsi="Times New Roman" w:cs="Times New Roman"/>
          <w:color w:val="00B0F0"/>
          <w:sz w:val="24"/>
          <w:szCs w:val="24"/>
          <w:lang w:val="bg-BG"/>
        </w:rPr>
        <w:t xml:space="preserve"> </w:t>
      </w:r>
      <w:r w:rsidRPr="00610B1B">
        <w:rPr>
          <w:rFonts w:ascii="Times New Roman" w:eastAsia="Times New Roman" w:hAnsi="Times New Roman" w:cs="Times New Roman"/>
          <w:sz w:val="24"/>
          <w:szCs w:val="24"/>
          <w:lang w:val="bg-BG"/>
        </w:rPr>
        <w:t>комплекс „Дуранкулак” е локализиран на т.н</w:t>
      </w:r>
      <w:r w:rsidR="00403E40" w:rsidRPr="00610B1B">
        <w:rPr>
          <w:rFonts w:ascii="Times New Roman" w:eastAsia="Times New Roman" w:hAnsi="Times New Roman" w:cs="Times New Roman"/>
          <w:sz w:val="24"/>
          <w:szCs w:val="24"/>
          <w:lang w:val="bg-BG"/>
        </w:rPr>
        <w:t>ар</w:t>
      </w:r>
      <w:r w:rsidRPr="00610B1B">
        <w:rPr>
          <w:rFonts w:ascii="Times New Roman" w:eastAsia="Times New Roman" w:hAnsi="Times New Roman" w:cs="Times New Roman"/>
          <w:sz w:val="24"/>
          <w:szCs w:val="24"/>
          <w:lang w:val="bg-BG"/>
        </w:rPr>
        <w:t>. „Голям остров” и западния бряг на езерото. Руините на оригиналната археологическа субстанция са проучени и разкрити с проведени частични аварийни мерки за консервационно-реставрационни работи. През 2004</w:t>
      </w:r>
      <w:r w:rsidR="00C57F93"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е реализиран проект за социализация на археологическия комплекс, а през 2014</w:t>
      </w:r>
      <w:r w:rsidR="00C57F93"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Община Шабла изпълнява и европейски проект</w:t>
      </w:r>
      <w:r w:rsidR="0075654A" w:rsidRPr="00610B1B">
        <w:rPr>
          <w:rFonts w:ascii="Times New Roman" w:eastAsia="Times New Roman" w:hAnsi="Times New Roman" w:cs="Times New Roman"/>
          <w:sz w:val="24"/>
          <w:szCs w:val="24"/>
          <w:lang w:val="bg-BG"/>
        </w:rPr>
        <w:t xml:space="preserve"> за</w:t>
      </w:r>
      <w:r w:rsidRPr="00610B1B">
        <w:rPr>
          <w:rFonts w:ascii="Times New Roman" w:eastAsia="Times New Roman" w:hAnsi="Times New Roman" w:cs="Times New Roman"/>
          <w:sz w:val="24"/>
          <w:szCs w:val="24"/>
          <w:lang w:val="bg-BG"/>
        </w:rPr>
        <w:t xml:space="preserve"> създаване на екологично и културно-исторически продукт</w:t>
      </w:r>
      <w:r w:rsidR="0075654A" w:rsidRPr="00610B1B">
        <w:rPr>
          <w:rFonts w:ascii="Times New Roman" w:eastAsia="Times New Roman" w:hAnsi="Times New Roman" w:cs="Times New Roman"/>
          <w:sz w:val="24"/>
          <w:szCs w:val="24"/>
          <w:lang w:val="bg-BG"/>
        </w:rPr>
        <w:t xml:space="preserve"> с посетителски център, информационна система и подобрена достъпност</w:t>
      </w:r>
      <w:r w:rsidRPr="00610B1B">
        <w:rPr>
          <w:rFonts w:ascii="Times New Roman" w:eastAsia="Times New Roman" w:hAnsi="Times New Roman" w:cs="Times New Roman"/>
          <w:sz w:val="24"/>
          <w:szCs w:val="24"/>
          <w:lang w:val="bg-BG"/>
        </w:rPr>
        <w:t xml:space="preserve">. </w:t>
      </w:r>
    </w:p>
    <w:p w14:paraId="450B8F40" w14:textId="508885AE"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i/>
          <w:iCs/>
          <w:sz w:val="24"/>
          <w:szCs w:val="24"/>
          <w:lang w:val="bg-BG"/>
        </w:rPr>
        <w:t xml:space="preserve">В акваторията на Дуранкулашкото езеро </w:t>
      </w:r>
      <w:r w:rsidRPr="00610B1B">
        <w:rPr>
          <w:rFonts w:ascii="Times New Roman" w:eastAsia="Times New Roman" w:hAnsi="Times New Roman" w:cs="Times New Roman"/>
          <w:sz w:val="24"/>
          <w:szCs w:val="24"/>
          <w:lang w:val="bg-BG"/>
        </w:rPr>
        <w:t>и в морето източно него са реализирани две морски археологически геофизични проучвания. Установена е палеогеографската ситуация на региона. При проучването в морето е регистрирана положителна форма на морското дъно, която има параметри</w:t>
      </w:r>
      <w:r w:rsidR="00403E40"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сходни на тези на селищна могила. През 2020 г. е планирано подводно археологическо проучване на мястото. </w:t>
      </w:r>
    </w:p>
    <w:p w14:paraId="01D51A70" w14:textId="18FBDAF5" w:rsidR="00403E40"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bCs/>
          <w:sz w:val="24"/>
          <w:szCs w:val="24"/>
          <w:lang w:val="bg-BG"/>
        </w:rPr>
        <w:t>Археологически комплекс „Късноантична крепост (Квадрибург), раннохристиянска базилика, раннохристиянска гробница и част от старобългарски вал”</w:t>
      </w:r>
      <w:r w:rsidR="00403E40" w:rsidRPr="00610B1B">
        <w:rPr>
          <w:rFonts w:ascii="Times New Roman" w:eastAsia="Times New Roman" w:hAnsi="Times New Roman" w:cs="Times New Roman"/>
          <w:bCs/>
          <w:sz w:val="24"/>
          <w:szCs w:val="24"/>
          <w:lang w:val="bg-BG"/>
        </w:rPr>
        <w:t xml:space="preserve"> в </w:t>
      </w:r>
      <w:r w:rsidRPr="00610B1B">
        <w:rPr>
          <w:rFonts w:ascii="Times New Roman" w:eastAsia="Times New Roman" w:hAnsi="Times New Roman" w:cs="Times New Roman"/>
          <w:bCs/>
          <w:sz w:val="24"/>
          <w:szCs w:val="24"/>
          <w:lang w:val="bg-BG"/>
        </w:rPr>
        <w:t>с. Шкорпиловци, общ</w:t>
      </w:r>
      <w:r w:rsidR="00403E40" w:rsidRPr="00610B1B">
        <w:rPr>
          <w:rFonts w:ascii="Times New Roman" w:eastAsia="Times New Roman" w:hAnsi="Times New Roman" w:cs="Times New Roman"/>
          <w:bCs/>
          <w:sz w:val="24"/>
          <w:szCs w:val="24"/>
          <w:lang w:val="bg-BG"/>
        </w:rPr>
        <w:t xml:space="preserve">ина </w:t>
      </w:r>
      <w:r w:rsidRPr="00610B1B">
        <w:rPr>
          <w:rFonts w:ascii="Times New Roman" w:eastAsia="Times New Roman" w:hAnsi="Times New Roman" w:cs="Times New Roman"/>
          <w:bCs/>
          <w:sz w:val="24"/>
          <w:szCs w:val="24"/>
          <w:lang w:val="bg-BG"/>
        </w:rPr>
        <w:t>Долни чифлик</w:t>
      </w:r>
      <w:r w:rsidR="00403E40" w:rsidRPr="00610B1B">
        <w:rPr>
          <w:rFonts w:ascii="Times New Roman" w:eastAsia="Times New Roman" w:hAnsi="Times New Roman" w:cs="Times New Roman"/>
          <w:bCs/>
          <w:sz w:val="24"/>
          <w:szCs w:val="24"/>
          <w:lang w:val="bg-BG"/>
        </w:rPr>
        <w:t xml:space="preserve"> </w:t>
      </w:r>
      <w:r w:rsidRPr="00610B1B">
        <w:rPr>
          <w:rFonts w:ascii="Times New Roman" w:eastAsia="Times New Roman" w:hAnsi="Times New Roman" w:cs="Times New Roman"/>
          <w:sz w:val="24"/>
          <w:szCs w:val="24"/>
          <w:lang w:val="bg-BG"/>
        </w:rPr>
        <w:t>са обявени за групова археологическа НКЦ, с категория „национално значение“.</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За НКЦ са определени режими за опазване. </w:t>
      </w:r>
    </w:p>
    <w:p w14:paraId="022F6804" w14:textId="7EF4EA1C" w:rsidR="00DD68AE" w:rsidRPr="00610B1B" w:rsidRDefault="00442579" w:rsidP="00D32D6A">
      <w:pPr>
        <w:spacing w:after="120"/>
        <w:ind w:right="-153"/>
        <w:jc w:val="both"/>
        <w:rPr>
          <w:rFonts w:ascii="Times New Roman" w:hAnsi="Times New Roman" w:cs="Times New Roman"/>
          <w:sz w:val="24"/>
          <w:szCs w:val="24"/>
          <w:lang w:val="bg-BG"/>
        </w:rPr>
      </w:pPr>
      <w:r w:rsidRPr="00610B1B">
        <w:rPr>
          <w:rFonts w:ascii="Times New Roman" w:eastAsia="Times New Roman" w:hAnsi="Times New Roman" w:cs="Times New Roman"/>
          <w:sz w:val="24"/>
          <w:szCs w:val="24"/>
          <w:lang w:val="bg-BG"/>
        </w:rPr>
        <w:t>Шкорпиловци е имал важно стратегическо значение през античността и средновековието.</w:t>
      </w:r>
      <w:r w:rsidRPr="00610B1B">
        <w:rPr>
          <w:rFonts w:ascii="Times New Roman" w:eastAsia="Times New Roman" w:hAnsi="Times New Roman" w:cs="Times New Roman"/>
          <w:color w:val="474747"/>
          <w:sz w:val="24"/>
          <w:szCs w:val="24"/>
          <w:shd w:val="clear" w:color="auto" w:fill="FFFFFF"/>
          <w:lang w:val="bg-BG"/>
        </w:rPr>
        <w:t xml:space="preserve"> </w:t>
      </w:r>
      <w:r w:rsidRPr="00610B1B">
        <w:rPr>
          <w:rFonts w:ascii="Times New Roman" w:eastAsia="Times New Roman" w:hAnsi="Times New Roman" w:cs="Times New Roman"/>
          <w:sz w:val="24"/>
          <w:szCs w:val="24"/>
          <w:shd w:val="clear" w:color="auto" w:fill="FFFFFF"/>
          <w:lang w:val="bg-BG"/>
        </w:rPr>
        <w:t>Крепостта е с четири кръгли кули в четирите си ъгъла</w:t>
      </w:r>
      <w:r w:rsidR="00403E40" w:rsidRPr="00610B1B">
        <w:rPr>
          <w:rFonts w:ascii="Times New Roman" w:eastAsia="Times New Roman" w:hAnsi="Times New Roman" w:cs="Times New Roman"/>
          <w:sz w:val="24"/>
          <w:szCs w:val="24"/>
          <w:shd w:val="clear" w:color="auto" w:fill="FFFFFF"/>
          <w:lang w:val="bg-BG"/>
        </w:rPr>
        <w:t xml:space="preserve"> </w:t>
      </w:r>
      <w:r w:rsidRPr="00610B1B">
        <w:rPr>
          <w:rFonts w:ascii="Times New Roman" w:eastAsia="Times New Roman" w:hAnsi="Times New Roman" w:cs="Times New Roman"/>
          <w:sz w:val="24"/>
          <w:szCs w:val="24"/>
          <w:shd w:val="clear" w:color="auto" w:fill="FFFFFF"/>
          <w:lang w:val="bg-BG"/>
        </w:rPr>
        <w:t>(IV- V в</w:t>
      </w:r>
      <w:r w:rsidR="00403E40" w:rsidRPr="00610B1B">
        <w:rPr>
          <w:rFonts w:ascii="Times New Roman" w:eastAsia="Times New Roman" w:hAnsi="Times New Roman" w:cs="Times New Roman"/>
          <w:sz w:val="24"/>
          <w:szCs w:val="24"/>
          <w:shd w:val="clear" w:color="auto" w:fill="FFFFFF"/>
          <w:lang w:val="bg-BG"/>
        </w:rPr>
        <w:t>.</w:t>
      </w:r>
      <w:r w:rsidRPr="00610B1B">
        <w:rPr>
          <w:rFonts w:ascii="Times New Roman" w:eastAsia="Times New Roman" w:hAnsi="Times New Roman" w:cs="Times New Roman"/>
          <w:sz w:val="24"/>
          <w:szCs w:val="24"/>
          <w:shd w:val="clear" w:color="auto" w:fill="FFFFFF"/>
          <w:lang w:val="bg-BG"/>
        </w:rPr>
        <w:t>) и е изградена на античния крайморски път от р. Дунав</w:t>
      </w:r>
      <w:r w:rsidR="00D66FE0" w:rsidRPr="00610B1B">
        <w:rPr>
          <w:rFonts w:ascii="Times New Roman" w:eastAsia="Times New Roman" w:hAnsi="Times New Roman" w:cs="Times New Roman"/>
          <w:sz w:val="24"/>
          <w:szCs w:val="24"/>
          <w:shd w:val="clear" w:color="auto" w:fill="FFFFFF"/>
          <w:lang w:val="bg-BG"/>
        </w:rPr>
        <w:t xml:space="preserve"> </w:t>
      </w:r>
      <w:r w:rsidRPr="00610B1B">
        <w:rPr>
          <w:rFonts w:ascii="Times New Roman" w:eastAsia="Times New Roman" w:hAnsi="Times New Roman" w:cs="Times New Roman"/>
          <w:sz w:val="24"/>
          <w:szCs w:val="24"/>
          <w:shd w:val="clear" w:color="auto" w:fill="FFFFFF"/>
          <w:lang w:val="bg-BG"/>
        </w:rPr>
        <w:t xml:space="preserve">до Константинопол. </w:t>
      </w:r>
      <w:r w:rsidR="00DD68AE" w:rsidRPr="00610B1B">
        <w:rPr>
          <w:rFonts w:ascii="Times New Roman" w:hAnsi="Times New Roman" w:cs="Times New Roman"/>
          <w:sz w:val="24"/>
          <w:szCs w:val="24"/>
          <w:shd w:val="clear" w:color="auto" w:fill="FFFFFF"/>
          <w:lang w:val="bg-BG"/>
        </w:rPr>
        <w:t>След като крепостта спира да функционира в нейните руини възниква късноантично селище, по-късно са изградени защитен земен вал и средновековна</w:t>
      </w:r>
      <w:r w:rsidR="00DD68AE" w:rsidRPr="00610B1B">
        <w:rPr>
          <w:rFonts w:ascii="Times New Roman" w:hAnsi="Times New Roman" w:cs="Times New Roman"/>
          <w:lang w:val="bg-BG"/>
        </w:rPr>
        <w:t xml:space="preserve"> </w:t>
      </w:r>
      <w:r w:rsidR="00DD68AE" w:rsidRPr="00610B1B">
        <w:rPr>
          <w:rFonts w:ascii="Times New Roman" w:hAnsi="Times New Roman" w:cs="Times New Roman"/>
          <w:sz w:val="24"/>
          <w:szCs w:val="24"/>
          <w:shd w:val="clear" w:color="auto" w:fill="FFFFFF"/>
          <w:lang w:val="bg-BG"/>
        </w:rPr>
        <w:t>трикорабна базилика.</w:t>
      </w:r>
      <w:r w:rsidR="00D66FE0" w:rsidRPr="00610B1B">
        <w:rPr>
          <w:rFonts w:ascii="Times New Roman" w:hAnsi="Times New Roman" w:cs="Times New Roman"/>
          <w:sz w:val="24"/>
          <w:szCs w:val="24"/>
          <w:shd w:val="clear" w:color="auto" w:fill="FFFFFF"/>
          <w:lang w:val="bg-BG"/>
        </w:rPr>
        <w:t xml:space="preserve"> </w:t>
      </w:r>
      <w:r w:rsidR="00DD68AE" w:rsidRPr="00610B1B">
        <w:rPr>
          <w:rFonts w:ascii="Times New Roman" w:hAnsi="Times New Roman" w:cs="Times New Roman"/>
          <w:sz w:val="24"/>
          <w:szCs w:val="24"/>
          <w:lang w:val="bg-BG"/>
        </w:rPr>
        <w:t>Археологическите проучвания на територията на обекта продължават до днес.</w:t>
      </w:r>
    </w:p>
    <w:p w14:paraId="7E0E9423" w14:textId="6FB61B38" w:rsidR="00403E40" w:rsidRPr="00610B1B" w:rsidRDefault="00403E40"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Други групови НКЦ, разположени в крайбрежната зона са следните: </w:t>
      </w:r>
    </w:p>
    <w:p w14:paraId="7AA1FA70" w14:textId="129A9B36"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Антично селище и късноантична крепост</w:t>
      </w:r>
      <w:r w:rsidRPr="00610B1B">
        <w:rPr>
          <w:rFonts w:ascii="Times New Roman" w:eastAsia="Times New Roman" w:hAnsi="Times New Roman" w:cs="Times New Roman"/>
          <w:bCs/>
          <w:sz w:val="24"/>
          <w:szCs w:val="24"/>
          <w:lang w:val="bg-BG"/>
        </w:rPr>
        <w:t>, разположена на нос „Св.</w:t>
      </w:r>
      <w:r w:rsidR="00403E40" w:rsidRPr="00610B1B">
        <w:rPr>
          <w:rFonts w:ascii="Times New Roman" w:eastAsia="Times New Roman" w:hAnsi="Times New Roman" w:cs="Times New Roman"/>
          <w:bCs/>
          <w:sz w:val="24"/>
          <w:szCs w:val="24"/>
          <w:lang w:val="bg-BG"/>
        </w:rPr>
        <w:t xml:space="preserve"> </w:t>
      </w:r>
      <w:r w:rsidRPr="00610B1B">
        <w:rPr>
          <w:rFonts w:ascii="Times New Roman" w:eastAsia="Times New Roman" w:hAnsi="Times New Roman" w:cs="Times New Roman"/>
          <w:bCs/>
          <w:sz w:val="24"/>
          <w:szCs w:val="24"/>
          <w:lang w:val="bg-BG"/>
        </w:rPr>
        <w:t>Атанас“ в гр. Бяла,</w:t>
      </w:r>
      <w:r w:rsidR="00D66FE0" w:rsidRPr="00610B1B">
        <w:rPr>
          <w:rFonts w:ascii="Times New Roman" w:eastAsia="Times New Roman" w:hAnsi="Times New Roman" w:cs="Times New Roman"/>
          <w:bCs/>
          <w:sz w:val="24"/>
          <w:szCs w:val="24"/>
          <w:lang w:val="bg-BG"/>
        </w:rPr>
        <w:t xml:space="preserve"> </w:t>
      </w:r>
      <w:r w:rsidRPr="00610B1B">
        <w:rPr>
          <w:rFonts w:ascii="Times New Roman" w:eastAsia="Times New Roman" w:hAnsi="Times New Roman" w:cs="Times New Roman"/>
          <w:bCs/>
          <w:sz w:val="24"/>
          <w:szCs w:val="24"/>
          <w:lang w:val="bg-BG"/>
        </w:rPr>
        <w:t>общ</w:t>
      </w:r>
      <w:r w:rsidR="00403E40" w:rsidRPr="00610B1B">
        <w:rPr>
          <w:rFonts w:ascii="Times New Roman" w:eastAsia="Times New Roman" w:hAnsi="Times New Roman" w:cs="Times New Roman"/>
          <w:bCs/>
          <w:sz w:val="24"/>
          <w:szCs w:val="24"/>
          <w:lang w:val="bg-BG"/>
        </w:rPr>
        <w:t xml:space="preserve">ина </w:t>
      </w:r>
      <w:r w:rsidRPr="00610B1B">
        <w:rPr>
          <w:rFonts w:ascii="Times New Roman" w:eastAsia="Times New Roman" w:hAnsi="Times New Roman" w:cs="Times New Roman"/>
          <w:bCs/>
          <w:sz w:val="24"/>
          <w:szCs w:val="24"/>
          <w:lang w:val="bg-BG"/>
        </w:rPr>
        <w:t>Бяла</w:t>
      </w:r>
      <w:r w:rsidR="00403E40" w:rsidRPr="00610B1B">
        <w:rPr>
          <w:rFonts w:ascii="Times New Roman" w:eastAsia="Times New Roman" w:hAnsi="Times New Roman" w:cs="Times New Roman"/>
          <w:bCs/>
          <w:sz w:val="24"/>
          <w:szCs w:val="24"/>
          <w:lang w:val="bg-BG"/>
        </w:rPr>
        <w:t xml:space="preserve"> - </w:t>
      </w:r>
      <w:r w:rsidRPr="00610B1B">
        <w:rPr>
          <w:rFonts w:ascii="Times New Roman" w:eastAsia="Times New Roman" w:hAnsi="Times New Roman" w:cs="Times New Roman"/>
          <w:sz w:val="24"/>
          <w:szCs w:val="24"/>
          <w:lang w:val="bg-BG"/>
        </w:rPr>
        <w:t>НКЦ с категория „национално значение“ с определени режими за опазване.</w:t>
      </w:r>
      <w:r w:rsidR="00403E4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Крепостта е спомената за пръв път от Шкорпил. Разположена е на около 3 </w:t>
      </w:r>
      <w:r w:rsidR="00403E40" w:rsidRPr="00610B1B">
        <w:rPr>
          <w:rFonts w:ascii="Times New Roman" w:eastAsia="Times New Roman" w:hAnsi="Times New Roman" w:cs="Times New Roman"/>
          <w:sz w:val="24"/>
          <w:szCs w:val="24"/>
          <w:lang w:val="bg-BG"/>
        </w:rPr>
        <w:t>km</w:t>
      </w:r>
      <w:r w:rsidRPr="00610B1B">
        <w:rPr>
          <w:rFonts w:ascii="Times New Roman" w:eastAsia="Times New Roman" w:hAnsi="Times New Roman" w:cs="Times New Roman"/>
          <w:sz w:val="24"/>
          <w:szCs w:val="24"/>
          <w:lang w:val="bg-BG"/>
        </w:rPr>
        <w:t xml:space="preserve"> южно от </w:t>
      </w:r>
      <w:r w:rsidRPr="00610B1B">
        <w:rPr>
          <w:rFonts w:ascii="Times New Roman" w:eastAsia="Times New Roman" w:hAnsi="Times New Roman" w:cs="Times New Roman"/>
          <w:sz w:val="24"/>
          <w:szCs w:val="24"/>
          <w:lang w:val="bg-BG"/>
        </w:rPr>
        <w:lastRenderedPageBreak/>
        <w:t>селището. В границите на укрепената площ са открити части от казармено помещение и базилика. Проведени подводни археологически проучвания показват наличието на антично селище и некропол западно от крепостта.</w:t>
      </w:r>
      <w:r w:rsidRPr="00610B1B">
        <w:rPr>
          <w:rFonts w:ascii="Times New Roman" w:eastAsia="Times New Roman" w:hAnsi="Times New Roman" w:cs="Times New Roman"/>
          <w:b/>
          <w:sz w:val="24"/>
          <w:szCs w:val="24"/>
          <w:lang w:val="bg-BG"/>
        </w:rPr>
        <w:t xml:space="preserve"> </w:t>
      </w:r>
      <w:r w:rsidRPr="00610B1B">
        <w:rPr>
          <w:rFonts w:ascii="Times New Roman" w:eastAsia="Times New Roman" w:hAnsi="Times New Roman" w:cs="Times New Roman"/>
          <w:sz w:val="24"/>
          <w:szCs w:val="24"/>
          <w:lang w:val="bg-BG"/>
        </w:rPr>
        <w:t>Археологическите разкопки започват през 2009 г., тъй като значителна част от НКЦ е в границите на бивш военен имот. Теренът е продаден</w:t>
      </w:r>
      <w:r w:rsidR="00561A00"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извършен</w:t>
      </w:r>
      <w:r w:rsidR="00E100A6" w:rsidRPr="00610B1B">
        <w:rPr>
          <w:rFonts w:ascii="Times New Roman" w:eastAsia="Times New Roman" w:hAnsi="Times New Roman" w:cs="Times New Roman"/>
          <w:sz w:val="24"/>
          <w:szCs w:val="24"/>
          <w:lang w:val="bg-BG"/>
        </w:rPr>
        <w:t>а</w:t>
      </w:r>
      <w:r w:rsidRPr="00610B1B">
        <w:rPr>
          <w:rFonts w:ascii="Times New Roman" w:eastAsia="Times New Roman" w:hAnsi="Times New Roman" w:cs="Times New Roman"/>
          <w:sz w:val="24"/>
          <w:szCs w:val="24"/>
          <w:lang w:val="bg-BG"/>
        </w:rPr>
        <w:t>та предстроителна дейност разрушава част от съществуващите постройки и отнема културен пласт от около 1 метър.</w:t>
      </w:r>
    </w:p>
    <w:p w14:paraId="461F469C" w14:textId="0BF55774"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iCs/>
          <w:sz w:val="24"/>
          <w:szCs w:val="24"/>
          <w:lang w:val="bg-BG"/>
        </w:rPr>
        <w:t>Варненски халколитен некропол край Варненското езеро, г</w:t>
      </w:r>
      <w:r w:rsidR="00E100A6" w:rsidRPr="00610B1B">
        <w:rPr>
          <w:rFonts w:ascii="Times New Roman" w:eastAsia="Times New Roman" w:hAnsi="Times New Roman" w:cs="Times New Roman"/>
          <w:i/>
          <w:iCs/>
          <w:sz w:val="24"/>
          <w:szCs w:val="24"/>
          <w:lang w:val="bg-BG"/>
        </w:rPr>
        <w:t>р</w:t>
      </w:r>
      <w:r w:rsidRPr="00610B1B">
        <w:rPr>
          <w:rFonts w:ascii="Times New Roman" w:eastAsia="Times New Roman" w:hAnsi="Times New Roman" w:cs="Times New Roman"/>
          <w:i/>
          <w:iCs/>
          <w:sz w:val="24"/>
          <w:szCs w:val="24"/>
          <w:lang w:val="bg-BG"/>
        </w:rPr>
        <w:t>.</w:t>
      </w:r>
      <w:r w:rsidR="00E100A6" w:rsidRPr="00610B1B">
        <w:rPr>
          <w:rFonts w:ascii="Times New Roman" w:eastAsia="Times New Roman" w:hAnsi="Times New Roman" w:cs="Times New Roman"/>
          <w:i/>
          <w:iCs/>
          <w:sz w:val="24"/>
          <w:szCs w:val="24"/>
          <w:lang w:val="bg-BG"/>
        </w:rPr>
        <w:t xml:space="preserve"> </w:t>
      </w:r>
      <w:r w:rsidRPr="00610B1B">
        <w:rPr>
          <w:rFonts w:ascii="Times New Roman" w:eastAsia="Times New Roman" w:hAnsi="Times New Roman" w:cs="Times New Roman"/>
          <w:i/>
          <w:iCs/>
          <w:sz w:val="24"/>
          <w:szCs w:val="24"/>
          <w:lang w:val="bg-BG"/>
        </w:rPr>
        <w:t xml:space="preserve">Варна, </w:t>
      </w:r>
      <w:r w:rsidR="00E100A6" w:rsidRPr="00610B1B">
        <w:rPr>
          <w:rFonts w:ascii="Times New Roman" w:eastAsia="Times New Roman" w:hAnsi="Times New Roman" w:cs="Times New Roman"/>
          <w:sz w:val="24"/>
          <w:szCs w:val="24"/>
          <w:lang w:val="bg-BG"/>
        </w:rPr>
        <w:t xml:space="preserve">e </w:t>
      </w:r>
      <w:r w:rsidRPr="00610B1B">
        <w:rPr>
          <w:rFonts w:ascii="Times New Roman" w:eastAsia="Times New Roman" w:hAnsi="Times New Roman" w:cs="Times New Roman"/>
          <w:sz w:val="24"/>
          <w:szCs w:val="24"/>
          <w:lang w:val="bg-BG"/>
        </w:rPr>
        <w:t xml:space="preserve">НКЦ с категория „национално значение“ за която няма сведение да са определени режими на опазване. </w:t>
      </w:r>
      <w:r w:rsidR="00E100A6" w:rsidRPr="00610B1B">
        <w:rPr>
          <w:rFonts w:ascii="Times New Roman" w:eastAsia="Times New Roman" w:hAnsi="Times New Roman" w:cs="Times New Roman"/>
          <w:bCs/>
          <w:sz w:val="24"/>
          <w:szCs w:val="24"/>
          <w:lang w:val="bg-BG"/>
        </w:rPr>
        <w:t>Това е</w:t>
      </w:r>
      <w:r w:rsidRPr="00610B1B">
        <w:rPr>
          <w:rFonts w:ascii="Times New Roman" w:eastAsia="Times New Roman" w:hAnsi="Times New Roman" w:cs="Times New Roman"/>
          <w:sz w:val="24"/>
          <w:szCs w:val="24"/>
          <w:lang w:val="bg-BG"/>
        </w:rPr>
        <w:t xml:space="preserve"> един от най-значимите археологически праисторически обекти на територията на България датиран в края на V –</w:t>
      </w:r>
      <w:r w:rsidR="00E100A6"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IV хил. пр. Хр. Според учените, находките от златни предмети, са най-старото технологично обработено злато в Европа и света, причислявано към т. нар. Култура Варна (4400 – 4100 г. пр. Хр.).</w:t>
      </w:r>
      <w:r w:rsidR="00E100A6"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Открит е през 1972</w:t>
      </w:r>
      <w:r w:rsidR="00E100A6"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и след последните археологически проучвания през 1991</w:t>
      </w:r>
      <w:r w:rsidR="00E100A6"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обектът е занемарен. Не са провеждани КРР дейности, липсва адаптация и социализация.</w:t>
      </w:r>
    </w:p>
    <w:p w14:paraId="29D8D059" w14:textId="7F348F1E"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bCs/>
          <w:i/>
          <w:iCs/>
          <w:sz w:val="24"/>
          <w:szCs w:val="24"/>
          <w:lang w:val="bg-BG"/>
        </w:rPr>
        <w:t>Манастирски комплекс в местност „Караач теке”, общ</w:t>
      </w:r>
      <w:r w:rsidR="00E100A6" w:rsidRPr="00610B1B">
        <w:rPr>
          <w:rFonts w:ascii="Times New Roman" w:eastAsia="Times New Roman" w:hAnsi="Times New Roman" w:cs="Times New Roman"/>
          <w:bCs/>
          <w:i/>
          <w:iCs/>
          <w:sz w:val="24"/>
          <w:szCs w:val="24"/>
          <w:lang w:val="bg-BG"/>
        </w:rPr>
        <w:t>ина</w:t>
      </w:r>
      <w:r w:rsidRPr="00610B1B">
        <w:rPr>
          <w:rFonts w:ascii="Times New Roman" w:eastAsia="Times New Roman" w:hAnsi="Times New Roman" w:cs="Times New Roman"/>
          <w:bCs/>
          <w:i/>
          <w:iCs/>
          <w:sz w:val="24"/>
          <w:szCs w:val="24"/>
          <w:lang w:val="bg-BG"/>
        </w:rPr>
        <w:t xml:space="preserve"> Варна</w:t>
      </w:r>
      <w:r w:rsidR="00E100A6" w:rsidRPr="00610B1B">
        <w:rPr>
          <w:rFonts w:ascii="Times New Roman" w:eastAsia="Times New Roman" w:hAnsi="Times New Roman" w:cs="Times New Roman"/>
          <w:bCs/>
          <w:i/>
          <w:iCs/>
          <w:sz w:val="24"/>
          <w:szCs w:val="24"/>
          <w:lang w:val="bg-BG"/>
        </w:rPr>
        <w:t xml:space="preserve"> </w:t>
      </w:r>
      <w:r w:rsidR="00E100A6" w:rsidRPr="00610B1B">
        <w:rPr>
          <w:rFonts w:ascii="Times New Roman" w:eastAsia="Times New Roman" w:hAnsi="Times New Roman" w:cs="Times New Roman"/>
          <w:bCs/>
          <w:sz w:val="24"/>
          <w:szCs w:val="24"/>
          <w:lang w:val="bg-BG"/>
        </w:rPr>
        <w:t>е</w:t>
      </w:r>
      <w:r w:rsidRPr="00610B1B">
        <w:rPr>
          <w:rFonts w:ascii="Times New Roman" w:eastAsia="Times New Roman" w:hAnsi="Times New Roman" w:cs="Times New Roman"/>
          <w:sz w:val="24"/>
          <w:szCs w:val="24"/>
          <w:lang w:val="bg-BG"/>
        </w:rPr>
        <w:t xml:space="preserve"> НКЦ с категория „национално значение“ за която са определени режими на опазване. Обща площ на НКЦ </w:t>
      </w:r>
      <w:r w:rsidR="00873E4B" w:rsidRPr="00610B1B">
        <w:rPr>
          <w:rFonts w:ascii="Times New Roman" w:eastAsia="Times New Roman" w:hAnsi="Times New Roman" w:cs="Times New Roman"/>
          <w:sz w:val="24"/>
          <w:szCs w:val="24"/>
          <w:lang w:val="bg-BG"/>
        </w:rPr>
        <w:t>е</w:t>
      </w:r>
      <w:r w:rsidRPr="00610B1B">
        <w:rPr>
          <w:rFonts w:ascii="Times New Roman" w:eastAsia="Times New Roman" w:hAnsi="Times New Roman" w:cs="Times New Roman"/>
          <w:sz w:val="24"/>
          <w:szCs w:val="24"/>
          <w:lang w:val="bg-BG"/>
        </w:rPr>
        <w:t xml:space="preserve"> 10,20 дка. Манастирският комплекс е един от най-големите на Балканите.</w:t>
      </w:r>
      <w:r w:rsidR="00D66FE0" w:rsidRPr="00610B1B">
        <w:rPr>
          <w:rFonts w:ascii="Times New Roman" w:eastAsia="Times New Roman" w:hAnsi="Times New Roman" w:cs="Times New Roman"/>
          <w:sz w:val="24"/>
          <w:szCs w:val="24"/>
          <w:lang w:val="bg-BG"/>
        </w:rPr>
        <w:t xml:space="preserve"> </w:t>
      </w:r>
      <w:r w:rsidR="00E100A6" w:rsidRPr="00610B1B">
        <w:rPr>
          <w:rFonts w:ascii="Times New Roman" w:eastAsia="Times New Roman" w:hAnsi="Times New Roman" w:cs="Times New Roman"/>
          <w:sz w:val="24"/>
          <w:szCs w:val="24"/>
          <w:lang w:val="bg-BG"/>
        </w:rPr>
        <w:t>Той</w:t>
      </w:r>
      <w:r w:rsidRPr="00610B1B">
        <w:rPr>
          <w:rFonts w:ascii="Times New Roman" w:eastAsia="Times New Roman" w:hAnsi="Times New Roman" w:cs="Times New Roman"/>
          <w:sz w:val="24"/>
          <w:szCs w:val="24"/>
          <w:lang w:val="bg-BG"/>
        </w:rPr>
        <w:t xml:space="preserve"> е уникален по своята планова схема и размери</w:t>
      </w:r>
      <w:r w:rsidR="00E100A6" w:rsidRPr="00610B1B">
        <w:rPr>
          <w:rFonts w:ascii="Times New Roman" w:eastAsia="Times New Roman" w:hAnsi="Times New Roman" w:cs="Times New Roman"/>
          <w:sz w:val="24"/>
          <w:szCs w:val="24"/>
          <w:lang w:val="bg-BG"/>
        </w:rPr>
        <w:t xml:space="preserve"> и </w:t>
      </w:r>
      <w:r w:rsidRPr="00610B1B">
        <w:rPr>
          <w:rFonts w:ascii="Times New Roman" w:eastAsia="Times New Roman" w:hAnsi="Times New Roman" w:cs="Times New Roman"/>
          <w:sz w:val="24"/>
          <w:szCs w:val="24"/>
          <w:lang w:val="bg-BG"/>
        </w:rPr>
        <w:t>е без аналог за българската и за византийската строителна традиции.</w:t>
      </w:r>
      <w:r w:rsidR="00E100A6"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Въпреки високата си категория, обектът все още не е достатъчно проучен, </w:t>
      </w:r>
      <w:r w:rsidR="00E100A6" w:rsidRPr="00610B1B">
        <w:rPr>
          <w:rFonts w:ascii="Times New Roman" w:eastAsia="Times New Roman" w:hAnsi="Times New Roman" w:cs="Times New Roman"/>
          <w:sz w:val="24"/>
          <w:szCs w:val="24"/>
          <w:lang w:val="bg-BG"/>
        </w:rPr>
        <w:t>няма</w:t>
      </w:r>
      <w:r w:rsidRPr="00610B1B">
        <w:rPr>
          <w:rFonts w:ascii="Times New Roman" w:eastAsia="Times New Roman" w:hAnsi="Times New Roman" w:cs="Times New Roman"/>
          <w:sz w:val="24"/>
          <w:szCs w:val="24"/>
          <w:lang w:val="bg-BG"/>
        </w:rPr>
        <w:t xml:space="preserve"> проведени КРР дейности, както и такива, свързани със социализацията му.</w:t>
      </w:r>
      <w:r w:rsidR="00D66FE0" w:rsidRPr="00610B1B">
        <w:rPr>
          <w:rFonts w:ascii="Times New Roman" w:eastAsia="Times New Roman" w:hAnsi="Times New Roman" w:cs="Times New Roman"/>
          <w:b/>
          <w:sz w:val="24"/>
          <w:szCs w:val="24"/>
          <w:lang w:val="bg-BG"/>
        </w:rPr>
        <w:t xml:space="preserve"> </w:t>
      </w:r>
    </w:p>
    <w:p w14:paraId="72CA31EE" w14:textId="6637571F" w:rsidR="00442579" w:rsidRPr="00610B1B" w:rsidRDefault="00442579" w:rsidP="00D32D6A">
      <w:pPr>
        <w:spacing w:after="120"/>
        <w:ind w:right="-153"/>
        <w:jc w:val="both"/>
        <w:rPr>
          <w:rFonts w:ascii="Times New Roman" w:eastAsia="Times New Roman" w:hAnsi="Times New Roman" w:cs="Times New Roman"/>
          <w:bCs/>
          <w:i/>
          <w:iCs/>
          <w:sz w:val="24"/>
          <w:szCs w:val="24"/>
          <w:lang w:val="bg-BG"/>
        </w:rPr>
      </w:pPr>
      <w:r w:rsidRPr="00610B1B">
        <w:rPr>
          <w:rFonts w:ascii="Times New Roman" w:eastAsia="Times New Roman" w:hAnsi="Times New Roman" w:cs="Times New Roman"/>
          <w:bCs/>
          <w:i/>
          <w:iCs/>
          <w:sz w:val="24"/>
          <w:szCs w:val="24"/>
          <w:lang w:val="bg-BG"/>
        </w:rPr>
        <w:t xml:space="preserve">Раннохристиянски манастир в местност „Джанавара” край Варна </w:t>
      </w:r>
      <w:r w:rsidR="00E100A6" w:rsidRPr="00610B1B">
        <w:rPr>
          <w:rFonts w:ascii="Times New Roman" w:eastAsia="Times New Roman" w:hAnsi="Times New Roman" w:cs="Times New Roman"/>
          <w:sz w:val="24"/>
          <w:szCs w:val="24"/>
          <w:lang w:val="bg-BG"/>
        </w:rPr>
        <w:t>е г</w:t>
      </w:r>
      <w:r w:rsidRPr="00610B1B">
        <w:rPr>
          <w:rFonts w:ascii="Times New Roman" w:eastAsia="Times New Roman" w:hAnsi="Times New Roman" w:cs="Times New Roman"/>
          <w:sz w:val="24"/>
          <w:szCs w:val="24"/>
          <w:lang w:val="bg-BG"/>
        </w:rPr>
        <w:t>рупова археологическа НКЦ, с категория „национално значение“ и с определени режими на опазване.</w:t>
      </w:r>
      <w:r w:rsidR="00E100A6"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Териториалн</w:t>
      </w:r>
      <w:r w:rsidR="00873E4B" w:rsidRPr="00610B1B">
        <w:rPr>
          <w:rFonts w:ascii="Times New Roman" w:eastAsia="Times New Roman" w:hAnsi="Times New Roman" w:cs="Times New Roman"/>
          <w:sz w:val="24"/>
          <w:szCs w:val="24"/>
          <w:lang w:val="bg-BG"/>
        </w:rPr>
        <w:t>ият</w:t>
      </w:r>
      <w:r w:rsidRPr="00610B1B">
        <w:rPr>
          <w:rFonts w:ascii="Times New Roman" w:eastAsia="Times New Roman" w:hAnsi="Times New Roman" w:cs="Times New Roman"/>
          <w:sz w:val="24"/>
          <w:szCs w:val="24"/>
          <w:lang w:val="bg-BG"/>
        </w:rPr>
        <w:t xml:space="preserve"> обхват </w:t>
      </w:r>
      <w:r w:rsidR="00873E4B" w:rsidRPr="00610B1B">
        <w:rPr>
          <w:rFonts w:ascii="Times New Roman" w:eastAsia="Times New Roman" w:hAnsi="Times New Roman" w:cs="Times New Roman"/>
          <w:sz w:val="24"/>
          <w:szCs w:val="24"/>
          <w:lang w:val="bg-BG"/>
        </w:rPr>
        <w:t>е</w:t>
      </w:r>
      <w:r w:rsidRPr="00610B1B">
        <w:rPr>
          <w:rFonts w:ascii="Times New Roman" w:eastAsia="Times New Roman" w:hAnsi="Times New Roman" w:cs="Times New Roman"/>
          <w:sz w:val="24"/>
          <w:szCs w:val="24"/>
          <w:lang w:val="bg-BG"/>
        </w:rPr>
        <w:t xml:space="preserve"> част от имот с </w:t>
      </w:r>
      <w:r w:rsidR="00E73424" w:rsidRPr="00610B1B">
        <w:rPr>
          <w:rFonts w:ascii="Times New Roman" w:eastAsia="Times New Roman" w:hAnsi="Times New Roman" w:cs="Times New Roman"/>
          <w:sz w:val="24"/>
          <w:szCs w:val="24"/>
          <w:lang w:val="bg-BG"/>
        </w:rPr>
        <w:t>идентификатор</w:t>
      </w:r>
      <w:r w:rsidRPr="00610B1B">
        <w:rPr>
          <w:rFonts w:ascii="Times New Roman" w:eastAsia="Times New Roman" w:hAnsi="Times New Roman" w:cs="Times New Roman"/>
          <w:sz w:val="24"/>
          <w:szCs w:val="24"/>
          <w:lang w:val="bg-BG"/>
        </w:rPr>
        <w:t xml:space="preserve"> 10135.5203.7 по КК с обща площ 8,24 дка. </w:t>
      </w:r>
      <w:r w:rsidRPr="00610B1B">
        <w:rPr>
          <w:rFonts w:ascii="Times New Roman" w:eastAsia="Times New Roman" w:hAnsi="Times New Roman" w:cs="Times New Roman"/>
          <w:bCs/>
          <w:sz w:val="24"/>
          <w:szCs w:val="24"/>
          <w:lang w:val="bg-BG"/>
        </w:rPr>
        <w:t>Актуално</w:t>
      </w:r>
      <w:r w:rsidR="00E100A6" w:rsidRPr="00610B1B">
        <w:rPr>
          <w:rFonts w:ascii="Times New Roman" w:eastAsia="Times New Roman" w:hAnsi="Times New Roman" w:cs="Times New Roman"/>
          <w:bCs/>
          <w:sz w:val="24"/>
          <w:szCs w:val="24"/>
          <w:lang w:val="bg-BG"/>
        </w:rPr>
        <w:t>то му</w:t>
      </w:r>
      <w:r w:rsidRPr="00610B1B">
        <w:rPr>
          <w:rFonts w:ascii="Times New Roman" w:eastAsia="Times New Roman" w:hAnsi="Times New Roman" w:cs="Times New Roman"/>
          <w:bCs/>
          <w:sz w:val="24"/>
          <w:szCs w:val="24"/>
          <w:lang w:val="bg-BG"/>
        </w:rPr>
        <w:t xml:space="preserve"> състояние</w:t>
      </w:r>
      <w:r w:rsidRPr="00610B1B">
        <w:rPr>
          <w:rFonts w:ascii="Times New Roman" w:eastAsia="Times New Roman" w:hAnsi="Times New Roman" w:cs="Times New Roman"/>
          <w:b/>
          <w:sz w:val="24"/>
          <w:szCs w:val="24"/>
          <w:lang w:val="bg-BG"/>
        </w:rPr>
        <w:t xml:space="preserve"> </w:t>
      </w:r>
      <w:r w:rsidR="00E100A6" w:rsidRPr="00610B1B">
        <w:rPr>
          <w:rFonts w:ascii="Times New Roman" w:eastAsia="Times New Roman" w:hAnsi="Times New Roman" w:cs="Times New Roman"/>
          <w:bCs/>
          <w:sz w:val="24"/>
          <w:szCs w:val="24"/>
          <w:lang w:val="bg-BG"/>
        </w:rPr>
        <w:t>показва, че е необходимо</w:t>
      </w:r>
      <w:r w:rsidR="00D66FE0" w:rsidRPr="00610B1B">
        <w:rPr>
          <w:rFonts w:ascii="Times New Roman" w:eastAsia="Times New Roman" w:hAnsi="Times New Roman" w:cs="Times New Roman"/>
          <w:b/>
          <w:sz w:val="24"/>
          <w:szCs w:val="24"/>
          <w:lang w:val="bg-BG"/>
        </w:rPr>
        <w:t xml:space="preserve"> </w:t>
      </w:r>
      <w:r w:rsidRPr="00610B1B">
        <w:rPr>
          <w:rFonts w:ascii="Times New Roman" w:eastAsia="Times New Roman" w:hAnsi="Times New Roman" w:cs="Times New Roman"/>
          <w:sz w:val="24"/>
          <w:szCs w:val="24"/>
          <w:lang w:val="bg-BG"/>
        </w:rPr>
        <w:t xml:space="preserve">проучване. </w:t>
      </w:r>
      <w:r w:rsidR="00E100A6" w:rsidRPr="00610B1B">
        <w:rPr>
          <w:rFonts w:ascii="Times New Roman" w:eastAsia="Times New Roman" w:hAnsi="Times New Roman" w:cs="Times New Roman"/>
          <w:sz w:val="24"/>
          <w:szCs w:val="24"/>
          <w:lang w:val="bg-BG"/>
        </w:rPr>
        <w:t xml:space="preserve">Няма </w:t>
      </w:r>
      <w:r w:rsidRPr="00610B1B">
        <w:rPr>
          <w:rFonts w:ascii="Times New Roman" w:eastAsia="Times New Roman" w:hAnsi="Times New Roman" w:cs="Times New Roman"/>
          <w:sz w:val="24"/>
          <w:szCs w:val="24"/>
          <w:lang w:val="bg-BG"/>
        </w:rPr>
        <w:t xml:space="preserve">проведени КРР </w:t>
      </w:r>
      <w:r w:rsidR="00E100A6" w:rsidRPr="00610B1B">
        <w:rPr>
          <w:rFonts w:ascii="Times New Roman" w:eastAsia="Times New Roman" w:hAnsi="Times New Roman" w:cs="Times New Roman"/>
          <w:sz w:val="24"/>
          <w:szCs w:val="24"/>
          <w:lang w:val="bg-BG"/>
        </w:rPr>
        <w:t xml:space="preserve">и </w:t>
      </w:r>
      <w:r w:rsidRPr="00610B1B">
        <w:rPr>
          <w:rFonts w:ascii="Times New Roman" w:eastAsia="Times New Roman" w:hAnsi="Times New Roman" w:cs="Times New Roman"/>
          <w:sz w:val="24"/>
          <w:szCs w:val="24"/>
          <w:lang w:val="bg-BG"/>
        </w:rPr>
        <w:t>дейности по адаптация и социализация на обекта.</w:t>
      </w:r>
    </w:p>
    <w:p w14:paraId="5A179F78" w14:textId="56EDB736" w:rsidR="00DD68AE" w:rsidRPr="00610B1B" w:rsidRDefault="00442579" w:rsidP="00D32D6A">
      <w:pPr>
        <w:tabs>
          <w:tab w:val="left" w:pos="6930"/>
        </w:tabs>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 xml:space="preserve">Аладжа манастир "Света Троица" край Варна </w:t>
      </w:r>
      <w:r w:rsidR="00873E4B" w:rsidRPr="00610B1B">
        <w:rPr>
          <w:rFonts w:ascii="Times New Roman" w:eastAsia="Times New Roman" w:hAnsi="Times New Roman" w:cs="Times New Roman"/>
          <w:bCs/>
          <w:sz w:val="24"/>
          <w:szCs w:val="24"/>
          <w:lang w:val="bg-BG"/>
        </w:rPr>
        <w:t xml:space="preserve">е </w:t>
      </w:r>
      <w:r w:rsidRPr="00610B1B">
        <w:rPr>
          <w:rFonts w:ascii="Times New Roman" w:eastAsia="Times New Roman" w:hAnsi="Times New Roman" w:cs="Times New Roman"/>
          <w:sz w:val="24"/>
          <w:szCs w:val="24"/>
          <w:lang w:val="bg-BG"/>
        </w:rPr>
        <w:t>Н</w:t>
      </w:r>
      <w:r w:rsidR="00E100A6" w:rsidRPr="00610B1B">
        <w:rPr>
          <w:rFonts w:ascii="Times New Roman" w:eastAsia="Times New Roman" w:hAnsi="Times New Roman" w:cs="Times New Roman"/>
          <w:sz w:val="24"/>
          <w:szCs w:val="24"/>
          <w:lang w:val="bg-BG"/>
        </w:rPr>
        <w:t>КЦ</w:t>
      </w:r>
      <w:r w:rsidRPr="00610B1B">
        <w:rPr>
          <w:rFonts w:ascii="Times New Roman" w:eastAsia="Times New Roman" w:hAnsi="Times New Roman" w:cs="Times New Roman"/>
          <w:sz w:val="24"/>
          <w:szCs w:val="24"/>
          <w:lang w:val="bg-BG"/>
        </w:rPr>
        <w:t xml:space="preserve"> с категория „национално значение” и определени режими на опазване</w:t>
      </w:r>
      <w:r w:rsidR="00DD68AE" w:rsidRPr="00610B1B">
        <w:rPr>
          <w:rFonts w:ascii="Times New Roman" w:eastAsia="Times New Roman" w:hAnsi="Times New Roman" w:cs="Times New Roman"/>
          <w:sz w:val="24"/>
          <w:szCs w:val="24"/>
          <w:lang w:val="bg-BG"/>
        </w:rPr>
        <w:t xml:space="preserve">, които предстои да се актуализират. Обектът е експониран и социализиран и предстои процедиране на проект за КРР и ревитализация на фрагменти от комплекса. </w:t>
      </w:r>
      <w:r w:rsidR="00192031" w:rsidRPr="00610B1B">
        <w:rPr>
          <w:rFonts w:ascii="Times New Roman" w:eastAsia="Times New Roman" w:hAnsi="Times New Roman" w:cs="Times New Roman"/>
          <w:sz w:val="24"/>
          <w:szCs w:val="24"/>
          <w:lang w:val="bg-BG"/>
        </w:rPr>
        <w:t>Аладжа мана</w:t>
      </w:r>
      <w:r w:rsidR="00ED6DFB" w:rsidRPr="00610B1B">
        <w:rPr>
          <w:rFonts w:ascii="Times New Roman" w:eastAsia="Times New Roman" w:hAnsi="Times New Roman" w:cs="Times New Roman"/>
          <w:sz w:val="24"/>
          <w:szCs w:val="24"/>
          <w:lang w:val="bg-BG"/>
        </w:rPr>
        <w:t xml:space="preserve">стир се поставя под защита с Постановление № 2132/03.02.1943 г. на Министерството на земеделието и държавните имоти и е включен като защитена местност с площ от 17 ha в Регистъра на защитените територии и защитени зони с код 163 след прекатегоризацията през 2002 г. </w:t>
      </w:r>
    </w:p>
    <w:p w14:paraId="51B88199" w14:textId="11DCA7A0" w:rsidR="00442579" w:rsidRPr="00610B1B" w:rsidRDefault="00442579" w:rsidP="00D32D6A">
      <w:pPr>
        <w:tabs>
          <w:tab w:val="left" w:pos="6930"/>
        </w:tabs>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„Античен и средновековен град Улпия Анхиалейон Палеокастро”, гр.</w:t>
      </w:r>
      <w:r w:rsidR="00E100A6" w:rsidRPr="00610B1B">
        <w:rPr>
          <w:rFonts w:ascii="Times New Roman" w:eastAsia="Times New Roman" w:hAnsi="Times New Roman" w:cs="Times New Roman"/>
          <w:bCs/>
          <w:i/>
          <w:iCs/>
          <w:sz w:val="24"/>
          <w:szCs w:val="24"/>
          <w:lang w:val="bg-BG"/>
        </w:rPr>
        <w:t xml:space="preserve"> </w:t>
      </w:r>
      <w:r w:rsidRPr="00610B1B">
        <w:rPr>
          <w:rFonts w:ascii="Times New Roman" w:eastAsia="Times New Roman" w:hAnsi="Times New Roman" w:cs="Times New Roman"/>
          <w:bCs/>
          <w:i/>
          <w:iCs/>
          <w:sz w:val="24"/>
          <w:szCs w:val="24"/>
          <w:lang w:val="bg-BG"/>
        </w:rPr>
        <w:t>Поморие,</w:t>
      </w:r>
      <w:r w:rsidRPr="00610B1B">
        <w:rPr>
          <w:rFonts w:ascii="Times New Roman" w:eastAsia="Times New Roman" w:hAnsi="Times New Roman" w:cs="Times New Roman"/>
          <w:bCs/>
          <w:sz w:val="24"/>
          <w:szCs w:val="24"/>
          <w:lang w:val="bg-BG"/>
        </w:rPr>
        <w:t xml:space="preserve"> </w:t>
      </w:r>
      <w:r w:rsidR="00E100A6" w:rsidRPr="00610B1B">
        <w:rPr>
          <w:rFonts w:ascii="Times New Roman" w:eastAsia="Times New Roman" w:hAnsi="Times New Roman" w:cs="Times New Roman"/>
          <w:bCs/>
          <w:sz w:val="24"/>
          <w:szCs w:val="24"/>
          <w:lang w:val="bg-BG"/>
        </w:rPr>
        <w:t xml:space="preserve">е </w:t>
      </w:r>
      <w:r w:rsidRPr="00610B1B">
        <w:rPr>
          <w:rFonts w:ascii="Times New Roman" w:eastAsia="Times New Roman" w:hAnsi="Times New Roman" w:cs="Times New Roman"/>
          <w:sz w:val="24"/>
          <w:szCs w:val="24"/>
          <w:lang w:val="bg-BG"/>
        </w:rPr>
        <w:t>НКЦ от национално значение. Със Заповед № РД-19-334/12.04.1990 г. на Министерство на културата</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и Министерство на строителството, архитектурата и благоустройството са определени режими за опазване. Във връзка с процедирането на проект за изменение на ОУП на града, със заповед на Министъра на културата е свикана междуведомствена комисия за разглеждане и прецизиране на режимите. Комисията констатира нерегламентирано строителство в </w:t>
      </w:r>
      <w:r w:rsidR="00DD68AE" w:rsidRPr="00610B1B">
        <w:rPr>
          <w:rFonts w:ascii="Times New Roman" w:eastAsia="Times New Roman" w:hAnsi="Times New Roman" w:cs="Times New Roman"/>
          <w:sz w:val="24"/>
          <w:szCs w:val="24"/>
          <w:lang w:val="bg-BG"/>
        </w:rPr>
        <w:t>зона Б на НКЦ където съществуват частни имоти.</w:t>
      </w:r>
      <w:r w:rsidRPr="00610B1B">
        <w:rPr>
          <w:rFonts w:ascii="Times New Roman" w:eastAsia="Times New Roman" w:hAnsi="Times New Roman" w:cs="Times New Roman"/>
          <w:sz w:val="24"/>
          <w:szCs w:val="24"/>
          <w:lang w:val="bg-BG"/>
        </w:rPr>
        <w:t xml:space="preserve"> </w:t>
      </w:r>
      <w:r w:rsidR="00873E4B" w:rsidRPr="00610B1B">
        <w:rPr>
          <w:rFonts w:ascii="Times New Roman" w:eastAsia="Times New Roman" w:hAnsi="Times New Roman" w:cs="Times New Roman"/>
          <w:sz w:val="24"/>
          <w:szCs w:val="24"/>
          <w:lang w:val="bg-BG"/>
        </w:rPr>
        <w:t xml:space="preserve">Отменя се </w:t>
      </w:r>
      <w:r w:rsidRPr="00610B1B">
        <w:rPr>
          <w:rFonts w:ascii="Times New Roman" w:eastAsia="Times New Roman" w:hAnsi="Times New Roman" w:cs="Times New Roman"/>
          <w:sz w:val="24"/>
          <w:szCs w:val="24"/>
          <w:lang w:val="bg-BG"/>
        </w:rPr>
        <w:t>охранителната зона</w:t>
      </w:r>
      <w:r w:rsidR="00873E4B" w:rsidRPr="00610B1B">
        <w:rPr>
          <w:rFonts w:ascii="Times New Roman" w:eastAsia="Times New Roman" w:hAnsi="Times New Roman" w:cs="Times New Roman"/>
          <w:sz w:val="24"/>
          <w:szCs w:val="24"/>
          <w:lang w:val="bg-BG"/>
        </w:rPr>
        <w:t>, а г</w:t>
      </w:r>
      <w:r w:rsidRPr="00610B1B">
        <w:rPr>
          <w:rFonts w:ascii="Times New Roman" w:eastAsia="Times New Roman" w:hAnsi="Times New Roman" w:cs="Times New Roman"/>
          <w:sz w:val="24"/>
          <w:szCs w:val="24"/>
          <w:lang w:val="bg-BG"/>
        </w:rPr>
        <w:t xml:space="preserve">руби строителни намеси от последните години пречат </w:t>
      </w:r>
      <w:r w:rsidRPr="00610B1B">
        <w:rPr>
          <w:rFonts w:ascii="Times New Roman" w:eastAsia="Times New Roman" w:hAnsi="Times New Roman" w:cs="Times New Roman"/>
          <w:sz w:val="24"/>
          <w:szCs w:val="24"/>
          <w:lang w:val="bg-BG"/>
        </w:rPr>
        <w:lastRenderedPageBreak/>
        <w:t xml:space="preserve">за възприемането на </w:t>
      </w:r>
      <w:r w:rsidR="00873E4B" w:rsidRPr="00610B1B">
        <w:rPr>
          <w:rFonts w:ascii="Times New Roman" w:eastAsia="Times New Roman" w:hAnsi="Times New Roman" w:cs="Times New Roman"/>
          <w:sz w:val="24"/>
          <w:szCs w:val="24"/>
          <w:lang w:val="bg-BG"/>
        </w:rPr>
        <w:t>обекта</w:t>
      </w:r>
      <w:r w:rsidRPr="00610B1B">
        <w:rPr>
          <w:rFonts w:ascii="Times New Roman" w:eastAsia="Times New Roman" w:hAnsi="Times New Roman" w:cs="Times New Roman"/>
          <w:sz w:val="24"/>
          <w:szCs w:val="24"/>
          <w:lang w:val="bg-BG"/>
        </w:rPr>
        <w:t>. Не са проведени КРР, както и дейности по социализация на обекта.</w:t>
      </w:r>
    </w:p>
    <w:p w14:paraId="070445BD" w14:textId="17DBA4D9"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color w:val="000000"/>
          <w:sz w:val="24"/>
          <w:szCs w:val="24"/>
          <w:lang w:val="bg-BG"/>
        </w:rPr>
        <w:t>„Античен комплекс и средновековна църква” , гр. Бургас, кв. Сарафово</w:t>
      </w:r>
      <w:r w:rsidR="00E100A6" w:rsidRPr="00610B1B">
        <w:rPr>
          <w:rFonts w:ascii="Times New Roman" w:eastAsia="Times New Roman" w:hAnsi="Times New Roman" w:cs="Times New Roman"/>
          <w:bCs/>
          <w:i/>
          <w:iCs/>
          <w:color w:val="000000"/>
          <w:sz w:val="24"/>
          <w:szCs w:val="24"/>
          <w:lang w:val="bg-BG"/>
        </w:rPr>
        <w:t xml:space="preserve"> </w:t>
      </w:r>
      <w:r w:rsidR="00E100A6" w:rsidRPr="00610B1B">
        <w:rPr>
          <w:rFonts w:ascii="Times New Roman" w:eastAsia="Times New Roman" w:hAnsi="Times New Roman" w:cs="Times New Roman"/>
          <w:bCs/>
          <w:color w:val="000000"/>
          <w:sz w:val="24"/>
          <w:szCs w:val="24"/>
          <w:lang w:val="bg-BG"/>
        </w:rPr>
        <w:t>е г</w:t>
      </w:r>
      <w:r w:rsidRPr="00610B1B">
        <w:rPr>
          <w:rFonts w:ascii="Times New Roman" w:eastAsia="Times New Roman" w:hAnsi="Times New Roman" w:cs="Times New Roman"/>
          <w:color w:val="000000"/>
          <w:sz w:val="24"/>
          <w:szCs w:val="24"/>
          <w:lang w:val="bg-BG"/>
        </w:rPr>
        <w:t>рупова НКЦ с категория „национално значение“ и с</w:t>
      </w:r>
      <w:r w:rsidRPr="00610B1B">
        <w:rPr>
          <w:rFonts w:ascii="Times New Roman" w:eastAsia="Times New Roman" w:hAnsi="Times New Roman" w:cs="Times New Roman"/>
          <w:sz w:val="24"/>
          <w:szCs w:val="24"/>
          <w:lang w:val="bg-BG"/>
        </w:rPr>
        <w:t xml:space="preserve"> определени режими на опазване</w:t>
      </w:r>
      <w:r w:rsidR="00E100A6" w:rsidRPr="00610B1B">
        <w:rPr>
          <w:rFonts w:ascii="Times New Roman" w:eastAsia="Times New Roman" w:hAnsi="Times New Roman" w:cs="Times New Roman"/>
          <w:sz w:val="24"/>
          <w:szCs w:val="24"/>
          <w:lang w:val="bg-BG"/>
        </w:rPr>
        <w:t xml:space="preserve">, която се нуждае от </w:t>
      </w:r>
      <w:r w:rsidRPr="00610B1B">
        <w:rPr>
          <w:rFonts w:ascii="Times New Roman" w:eastAsia="Times New Roman" w:hAnsi="Times New Roman" w:cs="Times New Roman"/>
          <w:sz w:val="24"/>
          <w:szCs w:val="24"/>
          <w:lang w:val="bg-BG"/>
        </w:rPr>
        <w:t>допълнителни археологически проучвания. Липс</w:t>
      </w:r>
      <w:r w:rsidR="00E100A6" w:rsidRPr="00610B1B">
        <w:rPr>
          <w:rFonts w:ascii="Times New Roman" w:eastAsia="Times New Roman" w:hAnsi="Times New Roman" w:cs="Times New Roman"/>
          <w:sz w:val="24"/>
          <w:szCs w:val="24"/>
          <w:lang w:val="bg-BG"/>
        </w:rPr>
        <w:t>ват</w:t>
      </w:r>
      <w:r w:rsidRPr="00610B1B">
        <w:rPr>
          <w:rFonts w:ascii="Times New Roman" w:eastAsia="Times New Roman" w:hAnsi="Times New Roman" w:cs="Times New Roman"/>
          <w:sz w:val="24"/>
          <w:szCs w:val="24"/>
          <w:lang w:val="bg-BG"/>
        </w:rPr>
        <w:t xml:space="preserve"> проведени КРР, адаптация и социализация на НКЦ.</w:t>
      </w:r>
    </w:p>
    <w:p w14:paraId="34704828" w14:textId="55B0D295"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„Късноантична и средновековна крепост“ разположена в землището на гр. Ахтопол</w:t>
      </w:r>
      <w:r w:rsidR="00E100A6" w:rsidRPr="00610B1B">
        <w:rPr>
          <w:rFonts w:ascii="Times New Roman" w:eastAsia="Times New Roman" w:hAnsi="Times New Roman" w:cs="Times New Roman"/>
          <w:bCs/>
          <w:i/>
          <w:iCs/>
          <w:sz w:val="24"/>
          <w:szCs w:val="24"/>
          <w:lang w:val="bg-BG"/>
        </w:rPr>
        <w:t xml:space="preserve"> </w:t>
      </w:r>
      <w:r w:rsidR="00E100A6" w:rsidRPr="00610B1B">
        <w:rPr>
          <w:rFonts w:ascii="Times New Roman" w:eastAsia="Times New Roman" w:hAnsi="Times New Roman" w:cs="Times New Roman"/>
          <w:bCs/>
          <w:sz w:val="24"/>
          <w:szCs w:val="24"/>
          <w:lang w:val="bg-BG"/>
        </w:rPr>
        <w:t>е</w:t>
      </w:r>
      <w:r w:rsidR="00C415D1" w:rsidRPr="00610B1B">
        <w:rPr>
          <w:rFonts w:ascii="Times New Roman" w:eastAsia="Times New Roman" w:hAnsi="Times New Roman" w:cs="Times New Roman"/>
          <w:bCs/>
          <w:sz w:val="24"/>
          <w:szCs w:val="24"/>
          <w:lang w:val="bg-BG"/>
        </w:rPr>
        <w:t xml:space="preserve"> </w:t>
      </w:r>
      <w:r w:rsidR="00E100A6" w:rsidRPr="00610B1B">
        <w:rPr>
          <w:rFonts w:ascii="Times New Roman" w:eastAsia="Times New Roman" w:hAnsi="Times New Roman" w:cs="Times New Roman"/>
          <w:sz w:val="24"/>
          <w:szCs w:val="24"/>
          <w:lang w:val="bg-BG"/>
        </w:rPr>
        <w:t xml:space="preserve">групова </w:t>
      </w:r>
      <w:r w:rsidRPr="00610B1B">
        <w:rPr>
          <w:rFonts w:ascii="Times New Roman" w:eastAsia="Times New Roman" w:hAnsi="Times New Roman" w:cs="Times New Roman"/>
          <w:sz w:val="24"/>
          <w:szCs w:val="24"/>
          <w:lang w:val="bg-BG"/>
        </w:rPr>
        <w:t>археологическа НКЦ, с категория „национално значение“, с определени режими на опазване</w:t>
      </w:r>
      <w:r w:rsidR="00E100A6" w:rsidRPr="00610B1B">
        <w:rPr>
          <w:rFonts w:ascii="Times New Roman" w:eastAsia="Times New Roman" w:hAnsi="Times New Roman" w:cs="Times New Roman"/>
          <w:sz w:val="24"/>
          <w:szCs w:val="24"/>
          <w:lang w:val="bg-BG"/>
        </w:rPr>
        <w:t>, с о</w:t>
      </w:r>
      <w:r w:rsidRPr="00610B1B">
        <w:rPr>
          <w:rFonts w:ascii="Times New Roman" w:eastAsia="Times New Roman" w:hAnsi="Times New Roman" w:cs="Times New Roman"/>
          <w:sz w:val="24"/>
          <w:szCs w:val="24"/>
          <w:lang w:val="bg-BG"/>
        </w:rPr>
        <w:t>бща площ 127,0</w:t>
      </w:r>
      <w:r w:rsidR="00E100A6" w:rsidRPr="00610B1B">
        <w:rPr>
          <w:rFonts w:ascii="Times New Roman" w:eastAsia="Times New Roman" w:hAnsi="Times New Roman" w:cs="Times New Roman"/>
          <w:sz w:val="24"/>
          <w:szCs w:val="24"/>
          <w:lang w:val="bg-BG"/>
        </w:rPr>
        <w:t>6</w:t>
      </w:r>
      <w:r w:rsidRPr="00610B1B">
        <w:rPr>
          <w:rFonts w:ascii="Times New Roman" w:eastAsia="Times New Roman" w:hAnsi="Times New Roman" w:cs="Times New Roman"/>
          <w:sz w:val="24"/>
          <w:szCs w:val="24"/>
          <w:lang w:val="bg-BG"/>
        </w:rPr>
        <w:t xml:space="preserve"> дка, а на охранителната зона – 82,3</w:t>
      </w:r>
      <w:r w:rsidR="00E100A6" w:rsidRPr="00610B1B">
        <w:rPr>
          <w:rFonts w:ascii="Times New Roman" w:eastAsia="Times New Roman" w:hAnsi="Times New Roman" w:cs="Times New Roman"/>
          <w:sz w:val="24"/>
          <w:szCs w:val="24"/>
          <w:lang w:val="bg-BG"/>
        </w:rPr>
        <w:t>2</w:t>
      </w:r>
      <w:r w:rsidRPr="00610B1B">
        <w:rPr>
          <w:rFonts w:ascii="Times New Roman" w:eastAsia="Times New Roman" w:hAnsi="Times New Roman" w:cs="Times New Roman"/>
          <w:sz w:val="24"/>
          <w:szCs w:val="24"/>
          <w:lang w:val="bg-BG"/>
        </w:rPr>
        <w:t xml:space="preserve"> дка. </w:t>
      </w:r>
      <w:r w:rsidR="0049641D" w:rsidRPr="00610B1B">
        <w:rPr>
          <w:rFonts w:ascii="Times New Roman" w:eastAsia="Times New Roman" w:hAnsi="Times New Roman" w:cs="Times New Roman"/>
          <w:sz w:val="24"/>
          <w:szCs w:val="24"/>
          <w:lang w:val="bg-BG"/>
        </w:rPr>
        <w:t>Крепостта все</w:t>
      </w:r>
      <w:r w:rsidRPr="00610B1B">
        <w:rPr>
          <w:rFonts w:ascii="Times New Roman" w:eastAsia="Times New Roman" w:hAnsi="Times New Roman" w:cs="Times New Roman"/>
          <w:sz w:val="24"/>
          <w:szCs w:val="24"/>
          <w:lang w:val="bg-BG"/>
        </w:rPr>
        <w:t xml:space="preserve"> още </w:t>
      </w:r>
      <w:r w:rsidR="0049641D" w:rsidRPr="00610B1B">
        <w:rPr>
          <w:rFonts w:ascii="Times New Roman" w:eastAsia="Times New Roman" w:hAnsi="Times New Roman" w:cs="Times New Roman"/>
          <w:sz w:val="24"/>
          <w:szCs w:val="24"/>
          <w:lang w:val="bg-BG"/>
        </w:rPr>
        <w:t xml:space="preserve">не е </w:t>
      </w:r>
      <w:r w:rsidRPr="00610B1B">
        <w:rPr>
          <w:rFonts w:ascii="Times New Roman" w:eastAsia="Times New Roman" w:hAnsi="Times New Roman" w:cs="Times New Roman"/>
          <w:sz w:val="24"/>
          <w:szCs w:val="24"/>
          <w:lang w:val="bg-BG"/>
        </w:rPr>
        <w:t>достатъчно проучена. Липсват проведени КРР дейности, както и такива по адаптация и социализация на обекта. Налични са строителни намеси от последните години, които пречат за възприемането на НКЦ.</w:t>
      </w:r>
    </w:p>
    <w:p w14:paraId="0251DC5B" w14:textId="70489140" w:rsidR="00442579" w:rsidRPr="00610B1B" w:rsidRDefault="0049641D" w:rsidP="00D32D6A">
      <w:pPr>
        <w:pStyle w:val="Heading4"/>
        <w:spacing w:before="0" w:line="276" w:lineRule="auto"/>
        <w:ind w:right="-153"/>
        <w:rPr>
          <w:rFonts w:cs="Times New Roman"/>
        </w:rPr>
      </w:pPr>
      <w:r w:rsidRPr="00610B1B">
        <w:rPr>
          <w:rFonts w:cs="Times New Roman"/>
        </w:rPr>
        <w:t xml:space="preserve">3.7.2.3. Единични археологически </w:t>
      </w:r>
      <w:r w:rsidR="00442579" w:rsidRPr="00610B1B">
        <w:rPr>
          <w:rFonts w:cs="Times New Roman"/>
        </w:rPr>
        <w:t>НКЦ</w:t>
      </w:r>
    </w:p>
    <w:p w14:paraId="44199D12" w14:textId="1056F76C"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„Античен храм на богинята Кибела”, гр.</w:t>
      </w:r>
      <w:r w:rsidR="0049641D" w:rsidRPr="00610B1B">
        <w:rPr>
          <w:rFonts w:ascii="Times New Roman" w:eastAsia="Times New Roman" w:hAnsi="Times New Roman" w:cs="Times New Roman"/>
          <w:bCs/>
          <w:i/>
          <w:iCs/>
          <w:sz w:val="24"/>
          <w:szCs w:val="24"/>
          <w:lang w:val="bg-BG"/>
        </w:rPr>
        <w:t xml:space="preserve"> </w:t>
      </w:r>
      <w:r w:rsidRPr="00610B1B">
        <w:rPr>
          <w:rFonts w:ascii="Times New Roman" w:eastAsia="Times New Roman" w:hAnsi="Times New Roman" w:cs="Times New Roman"/>
          <w:bCs/>
          <w:i/>
          <w:iCs/>
          <w:sz w:val="24"/>
          <w:szCs w:val="24"/>
          <w:lang w:val="bg-BG"/>
        </w:rPr>
        <w:t>Балчик</w:t>
      </w:r>
      <w:r w:rsidR="0049641D" w:rsidRPr="00610B1B">
        <w:rPr>
          <w:rFonts w:ascii="Times New Roman" w:eastAsia="Times New Roman" w:hAnsi="Times New Roman" w:cs="Times New Roman"/>
          <w:bCs/>
          <w:sz w:val="24"/>
          <w:szCs w:val="24"/>
          <w:lang w:val="bg-BG"/>
        </w:rPr>
        <w:t xml:space="preserve"> е а</w:t>
      </w:r>
      <w:r w:rsidRPr="00610B1B">
        <w:rPr>
          <w:rFonts w:ascii="Times New Roman" w:eastAsia="Times New Roman" w:hAnsi="Times New Roman" w:cs="Times New Roman"/>
          <w:sz w:val="24"/>
          <w:szCs w:val="24"/>
          <w:lang w:val="bg-BG"/>
        </w:rPr>
        <w:t xml:space="preserve">рхеологическа НКЦ с категория „национално значение“. Определени са режими за опазване. Храмът е с типичната за античните гръцки храмове планова схема </w:t>
      </w:r>
      <w:r w:rsidR="00461059"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правоъгълен наос и предхождан от пронаос. Датиран в периода 280-260 г. пр.</w:t>
      </w:r>
      <w:r w:rsidR="0049641D" w:rsidRPr="00610B1B">
        <w:rPr>
          <w:rFonts w:ascii="Times New Roman" w:eastAsia="Times New Roman" w:hAnsi="Times New Roman" w:cs="Times New Roman"/>
          <w:sz w:val="24"/>
          <w:szCs w:val="24"/>
          <w:lang w:val="bg-BG"/>
        </w:rPr>
        <w:t xml:space="preserve"> Хр</w:t>
      </w:r>
      <w:r w:rsidRPr="00610B1B">
        <w:rPr>
          <w:rFonts w:ascii="Times New Roman" w:eastAsia="Times New Roman" w:hAnsi="Times New Roman" w:cs="Times New Roman"/>
          <w:sz w:val="24"/>
          <w:szCs w:val="24"/>
          <w:lang w:val="bg-BG"/>
        </w:rPr>
        <w:t>. това е еди</w:t>
      </w:r>
      <w:r w:rsidR="0049641D" w:rsidRPr="00610B1B">
        <w:rPr>
          <w:rFonts w:ascii="Times New Roman" w:eastAsia="Times New Roman" w:hAnsi="Times New Roman" w:cs="Times New Roman"/>
          <w:sz w:val="24"/>
          <w:szCs w:val="24"/>
          <w:lang w:val="bg-BG"/>
        </w:rPr>
        <w:t>н</w:t>
      </w:r>
      <w:r w:rsidRPr="00610B1B">
        <w:rPr>
          <w:rFonts w:ascii="Times New Roman" w:eastAsia="Times New Roman" w:hAnsi="Times New Roman" w:cs="Times New Roman"/>
          <w:sz w:val="24"/>
          <w:szCs w:val="24"/>
          <w:lang w:val="bg-BG"/>
        </w:rPr>
        <w:t xml:space="preserve">ственият </w:t>
      </w:r>
      <w:r w:rsidR="0049641D" w:rsidRPr="00610B1B">
        <w:rPr>
          <w:rFonts w:ascii="Times New Roman" w:eastAsia="Times New Roman" w:hAnsi="Times New Roman" w:cs="Times New Roman"/>
          <w:sz w:val="24"/>
          <w:szCs w:val="24"/>
          <w:lang w:val="bg-BG"/>
        </w:rPr>
        <w:t xml:space="preserve">такъв </w:t>
      </w:r>
      <w:r w:rsidRPr="00610B1B">
        <w:rPr>
          <w:rFonts w:ascii="Times New Roman" w:eastAsia="Times New Roman" w:hAnsi="Times New Roman" w:cs="Times New Roman"/>
          <w:sz w:val="24"/>
          <w:szCs w:val="24"/>
          <w:lang w:val="bg-BG"/>
        </w:rPr>
        <w:t>храм, открит в източната част на Балканския п</w:t>
      </w:r>
      <w:r w:rsidR="00340BF8" w:rsidRPr="00610B1B">
        <w:rPr>
          <w:rFonts w:ascii="Times New Roman" w:eastAsia="Times New Roman" w:hAnsi="Times New Roman" w:cs="Times New Roman"/>
          <w:sz w:val="24"/>
          <w:szCs w:val="24"/>
          <w:lang w:val="bg-BG"/>
        </w:rPr>
        <w:t>олуостров</w:t>
      </w:r>
      <w:r w:rsidRPr="00610B1B">
        <w:rPr>
          <w:rFonts w:ascii="Times New Roman" w:eastAsia="Times New Roman" w:hAnsi="Times New Roman" w:cs="Times New Roman"/>
          <w:sz w:val="24"/>
          <w:szCs w:val="24"/>
          <w:lang w:val="bg-BG"/>
        </w:rPr>
        <w:t xml:space="preserve"> и най-добре запазеният храм от епохата на Елинизма в България.</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Експониран е in situ, но новопостроените сгради пречат на неговата изява. </w:t>
      </w:r>
    </w:p>
    <w:p w14:paraId="42943BA7" w14:textId="12CFD454"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„Епископска базилика на Одесос, ул. „Хан Крум””, „Късноантична баня (IV-VI век)”и „Антична сграда на римските терми”, гр. Варна</w:t>
      </w:r>
      <w:r w:rsidR="0049641D" w:rsidRPr="00610B1B">
        <w:rPr>
          <w:rFonts w:ascii="Times New Roman" w:eastAsia="Times New Roman" w:hAnsi="Times New Roman" w:cs="Times New Roman"/>
          <w:bCs/>
          <w:i/>
          <w:iCs/>
          <w:sz w:val="24"/>
          <w:szCs w:val="24"/>
          <w:lang w:val="bg-BG"/>
        </w:rPr>
        <w:t xml:space="preserve"> </w:t>
      </w:r>
      <w:r w:rsidR="0049641D" w:rsidRPr="00610B1B">
        <w:rPr>
          <w:rFonts w:ascii="Times New Roman" w:eastAsia="Times New Roman" w:hAnsi="Times New Roman" w:cs="Times New Roman"/>
          <w:bCs/>
          <w:sz w:val="24"/>
          <w:szCs w:val="24"/>
          <w:lang w:val="bg-BG"/>
        </w:rPr>
        <w:t>са г</w:t>
      </w:r>
      <w:r w:rsidRPr="00610B1B">
        <w:rPr>
          <w:rFonts w:ascii="Times New Roman" w:eastAsia="Times New Roman" w:hAnsi="Times New Roman" w:cs="Times New Roman"/>
          <w:sz w:val="24"/>
          <w:szCs w:val="24"/>
          <w:lang w:val="bg-BG"/>
        </w:rPr>
        <w:t>рупов</w:t>
      </w:r>
      <w:r w:rsidR="0049641D" w:rsidRPr="00610B1B">
        <w:rPr>
          <w:rFonts w:ascii="Times New Roman" w:eastAsia="Times New Roman" w:hAnsi="Times New Roman" w:cs="Times New Roman"/>
          <w:sz w:val="24"/>
          <w:szCs w:val="24"/>
          <w:lang w:val="bg-BG"/>
        </w:rPr>
        <w:t>а</w:t>
      </w:r>
      <w:r w:rsidRPr="00610B1B">
        <w:rPr>
          <w:rFonts w:ascii="Times New Roman" w:eastAsia="Times New Roman" w:hAnsi="Times New Roman" w:cs="Times New Roman"/>
          <w:sz w:val="24"/>
          <w:szCs w:val="24"/>
          <w:lang w:val="bg-BG"/>
        </w:rPr>
        <w:t xml:space="preserve"> археологическа НКЦ, с категория „национално значение“ и определени режими на опазване.</w:t>
      </w:r>
      <w:r w:rsidR="0049641D"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Обектите попадат в границите на АР „Одесос-Варна“ и не е дефинирана охранителна зона.</w:t>
      </w:r>
      <w:r w:rsidR="0049641D" w:rsidRPr="00610B1B">
        <w:rPr>
          <w:rFonts w:ascii="Times New Roman" w:eastAsia="Times New Roman" w:hAnsi="Times New Roman" w:cs="Times New Roman"/>
          <w:sz w:val="24"/>
          <w:szCs w:val="24"/>
          <w:lang w:val="bg-BG"/>
        </w:rPr>
        <w:t xml:space="preserve"> </w:t>
      </w:r>
      <w:r w:rsidR="00DD68AE" w:rsidRPr="00610B1B">
        <w:rPr>
          <w:rFonts w:ascii="Times New Roman" w:eastAsia="Times New Roman" w:hAnsi="Times New Roman" w:cs="Times New Roman"/>
          <w:sz w:val="24"/>
          <w:szCs w:val="24"/>
          <w:lang w:val="bg-BG"/>
        </w:rPr>
        <w:t>Въпреки че Античната сграда на римските терми е с проведени КРР, части от обекта се рушат и са необходими дейности по реконсервация. Обектите не са социализирани.</w:t>
      </w:r>
    </w:p>
    <w:p w14:paraId="6C64F8A0" w14:textId="3D777175" w:rsidR="00442579" w:rsidRPr="00610B1B" w:rsidRDefault="00442579" w:rsidP="00D32D6A">
      <w:pPr>
        <w:spacing w:after="120"/>
        <w:ind w:right="-153"/>
        <w:jc w:val="both"/>
        <w:rPr>
          <w:rFonts w:ascii="Times New Roman" w:eastAsia="Times New Roman" w:hAnsi="Times New Roman" w:cs="Times New Roman"/>
          <w:b/>
          <w:sz w:val="24"/>
          <w:szCs w:val="24"/>
          <w:u w:val="single"/>
          <w:lang w:val="bg-BG"/>
        </w:rPr>
      </w:pPr>
      <w:r w:rsidRPr="00610B1B">
        <w:rPr>
          <w:rFonts w:ascii="Times New Roman" w:eastAsia="Times New Roman" w:hAnsi="Times New Roman" w:cs="Times New Roman"/>
          <w:bCs/>
          <w:i/>
          <w:iCs/>
          <w:sz w:val="24"/>
          <w:szCs w:val="24"/>
          <w:lang w:val="bg-BG"/>
        </w:rPr>
        <w:t xml:space="preserve">Каменна защитна преградна стена </w:t>
      </w:r>
      <w:r w:rsidR="0049641D" w:rsidRPr="00610B1B">
        <w:rPr>
          <w:rFonts w:ascii="Times New Roman" w:eastAsia="Times New Roman" w:hAnsi="Times New Roman" w:cs="Times New Roman"/>
          <w:bCs/>
          <w:i/>
          <w:iCs/>
          <w:sz w:val="24"/>
          <w:szCs w:val="24"/>
          <w:lang w:val="bg-BG"/>
        </w:rPr>
        <w:t>(</w:t>
      </w:r>
      <w:r w:rsidRPr="00610B1B">
        <w:rPr>
          <w:rFonts w:ascii="Times New Roman" w:eastAsia="Times New Roman" w:hAnsi="Times New Roman" w:cs="Times New Roman"/>
          <w:bCs/>
          <w:i/>
          <w:iCs/>
          <w:sz w:val="24"/>
          <w:szCs w:val="24"/>
          <w:lang w:val="bg-BG"/>
        </w:rPr>
        <w:t>с укрепление към нея</w:t>
      </w:r>
      <w:r w:rsidR="0049641D" w:rsidRPr="00610B1B">
        <w:rPr>
          <w:rFonts w:ascii="Times New Roman" w:eastAsia="Times New Roman" w:hAnsi="Times New Roman" w:cs="Times New Roman"/>
          <w:bCs/>
          <w:i/>
          <w:iCs/>
          <w:sz w:val="24"/>
          <w:szCs w:val="24"/>
          <w:lang w:val="bg-BG"/>
        </w:rPr>
        <w:t>)</w:t>
      </w:r>
      <w:r w:rsidRPr="00610B1B">
        <w:rPr>
          <w:rFonts w:ascii="Times New Roman" w:eastAsia="Times New Roman" w:hAnsi="Times New Roman" w:cs="Times New Roman"/>
          <w:bCs/>
          <w:i/>
          <w:iCs/>
          <w:sz w:val="24"/>
          <w:szCs w:val="24"/>
          <w:lang w:val="bg-BG"/>
        </w:rPr>
        <w:t xml:space="preserve"> от ранновизантийската епоха, гр. Обзор</w:t>
      </w:r>
      <w:r w:rsidR="0049641D" w:rsidRPr="00610B1B">
        <w:rPr>
          <w:rFonts w:ascii="Times New Roman" w:eastAsia="Times New Roman" w:hAnsi="Times New Roman" w:cs="Times New Roman"/>
          <w:bCs/>
          <w:i/>
          <w:iCs/>
          <w:sz w:val="24"/>
          <w:szCs w:val="24"/>
          <w:u w:val="single"/>
          <w:lang w:val="bg-BG"/>
        </w:rPr>
        <w:t xml:space="preserve"> </w:t>
      </w:r>
      <w:r w:rsidR="0049641D" w:rsidRPr="00610B1B">
        <w:rPr>
          <w:rFonts w:ascii="Times New Roman" w:eastAsia="Times New Roman" w:hAnsi="Times New Roman" w:cs="Times New Roman"/>
          <w:bCs/>
          <w:sz w:val="24"/>
          <w:szCs w:val="24"/>
          <w:lang w:val="bg-BG"/>
        </w:rPr>
        <w:t xml:space="preserve">е </w:t>
      </w:r>
      <w:r w:rsidR="0049641D" w:rsidRPr="00610B1B">
        <w:rPr>
          <w:rFonts w:ascii="Times New Roman" w:eastAsia="Times New Roman" w:hAnsi="Times New Roman" w:cs="Times New Roman"/>
          <w:color w:val="000000"/>
          <w:sz w:val="24"/>
          <w:szCs w:val="24"/>
          <w:lang w:val="bg-BG"/>
        </w:rPr>
        <w:t xml:space="preserve">единична </w:t>
      </w:r>
      <w:r w:rsidRPr="00610B1B">
        <w:rPr>
          <w:rFonts w:ascii="Times New Roman" w:eastAsia="Times New Roman" w:hAnsi="Times New Roman" w:cs="Times New Roman"/>
          <w:color w:val="000000"/>
          <w:sz w:val="24"/>
          <w:szCs w:val="24"/>
          <w:lang w:val="bg-BG"/>
        </w:rPr>
        <w:t xml:space="preserve">археологическа НКЦ с категория „национално значение“. Липсват </w:t>
      </w:r>
      <w:r w:rsidRPr="00610B1B">
        <w:rPr>
          <w:rFonts w:ascii="Times New Roman" w:eastAsia="Times New Roman" w:hAnsi="Times New Roman" w:cs="Times New Roman"/>
          <w:sz w:val="24"/>
          <w:szCs w:val="24"/>
          <w:lang w:val="bg-BG"/>
        </w:rPr>
        <w:t>режими на опазване</w:t>
      </w:r>
      <w:r w:rsidR="0049641D"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КРР </w:t>
      </w:r>
      <w:r w:rsidR="0049641D" w:rsidRPr="00610B1B">
        <w:rPr>
          <w:rFonts w:ascii="Times New Roman" w:eastAsia="Times New Roman" w:hAnsi="Times New Roman" w:cs="Times New Roman"/>
          <w:sz w:val="24"/>
          <w:szCs w:val="24"/>
          <w:lang w:val="bg-BG"/>
        </w:rPr>
        <w:t xml:space="preserve">и </w:t>
      </w:r>
      <w:r w:rsidRPr="00610B1B">
        <w:rPr>
          <w:rFonts w:ascii="Times New Roman" w:eastAsia="Times New Roman" w:hAnsi="Times New Roman" w:cs="Times New Roman"/>
          <w:sz w:val="24"/>
          <w:szCs w:val="24"/>
          <w:lang w:val="bg-BG"/>
        </w:rPr>
        <w:t xml:space="preserve">дейности по адаптация и социализация на обекта. </w:t>
      </w:r>
    </w:p>
    <w:p w14:paraId="2081EF08" w14:textId="1E2C58C9" w:rsidR="00442579" w:rsidRPr="00610B1B" w:rsidRDefault="00442579" w:rsidP="00D32D6A">
      <w:pPr>
        <w:spacing w:after="120"/>
        <w:ind w:right="-153"/>
        <w:jc w:val="both"/>
        <w:rPr>
          <w:rFonts w:ascii="Times New Roman" w:eastAsia="Times New Roman" w:hAnsi="Times New Roman" w:cs="Times New Roman"/>
          <w:color w:val="000000"/>
          <w:sz w:val="24"/>
          <w:szCs w:val="24"/>
          <w:lang w:val="bg-BG"/>
        </w:rPr>
      </w:pPr>
      <w:r w:rsidRPr="00610B1B">
        <w:rPr>
          <w:rFonts w:ascii="Times New Roman" w:eastAsia="Times New Roman" w:hAnsi="Times New Roman" w:cs="Times New Roman"/>
          <w:bCs/>
          <w:i/>
          <w:iCs/>
          <w:sz w:val="24"/>
          <w:szCs w:val="24"/>
          <w:lang w:val="bg-BG"/>
        </w:rPr>
        <w:t>Крепост от ранновизантийската епоха</w:t>
      </w:r>
      <w:r w:rsidR="00D66FE0" w:rsidRPr="00610B1B">
        <w:rPr>
          <w:rFonts w:ascii="Times New Roman" w:eastAsia="Times New Roman" w:hAnsi="Times New Roman" w:cs="Times New Roman"/>
          <w:bCs/>
          <w:i/>
          <w:iCs/>
          <w:sz w:val="24"/>
          <w:szCs w:val="24"/>
          <w:lang w:val="bg-BG"/>
        </w:rPr>
        <w:t xml:space="preserve"> </w:t>
      </w:r>
      <w:r w:rsidRPr="00610B1B">
        <w:rPr>
          <w:rFonts w:ascii="Times New Roman" w:eastAsia="Times New Roman" w:hAnsi="Times New Roman" w:cs="Times New Roman"/>
          <w:bCs/>
          <w:i/>
          <w:iCs/>
          <w:sz w:val="24"/>
          <w:szCs w:val="24"/>
          <w:lang w:val="bg-BG"/>
        </w:rPr>
        <w:t xml:space="preserve">и българското средновековие </w:t>
      </w:r>
      <w:r w:rsidR="0049641D" w:rsidRPr="00610B1B">
        <w:rPr>
          <w:rFonts w:ascii="Times New Roman" w:eastAsia="Times New Roman" w:hAnsi="Times New Roman" w:cs="Times New Roman"/>
          <w:bCs/>
          <w:i/>
          <w:iCs/>
          <w:sz w:val="24"/>
          <w:szCs w:val="24"/>
          <w:lang w:val="bg-BG"/>
        </w:rPr>
        <w:t>(</w:t>
      </w:r>
      <w:r w:rsidRPr="00610B1B">
        <w:rPr>
          <w:rFonts w:ascii="Times New Roman" w:eastAsia="Times New Roman" w:hAnsi="Times New Roman" w:cs="Times New Roman"/>
          <w:bCs/>
          <w:i/>
          <w:iCs/>
          <w:sz w:val="24"/>
          <w:szCs w:val="24"/>
          <w:lang w:val="bg-BG"/>
        </w:rPr>
        <w:t>Козяк</w:t>
      </w:r>
      <w:r w:rsidR="0049641D" w:rsidRPr="00610B1B">
        <w:rPr>
          <w:rFonts w:ascii="Times New Roman" w:eastAsia="Times New Roman" w:hAnsi="Times New Roman" w:cs="Times New Roman"/>
          <w:bCs/>
          <w:i/>
          <w:iCs/>
          <w:sz w:val="24"/>
          <w:szCs w:val="24"/>
          <w:lang w:val="bg-BG"/>
        </w:rPr>
        <w:t>)</w:t>
      </w:r>
      <w:r w:rsidRPr="00610B1B">
        <w:rPr>
          <w:rFonts w:ascii="Times New Roman" w:eastAsia="Times New Roman" w:hAnsi="Times New Roman" w:cs="Times New Roman"/>
          <w:bCs/>
          <w:i/>
          <w:iCs/>
          <w:sz w:val="24"/>
          <w:szCs w:val="24"/>
          <w:lang w:val="bg-BG"/>
        </w:rPr>
        <w:t>,</w:t>
      </w:r>
      <w:r w:rsidR="00D66FE0" w:rsidRPr="00610B1B">
        <w:rPr>
          <w:rFonts w:ascii="Times New Roman" w:eastAsia="Times New Roman" w:hAnsi="Times New Roman" w:cs="Times New Roman"/>
          <w:bCs/>
          <w:i/>
          <w:iCs/>
          <w:sz w:val="24"/>
          <w:szCs w:val="24"/>
          <w:lang w:val="bg-BG"/>
        </w:rPr>
        <w:t xml:space="preserve"> </w:t>
      </w:r>
      <w:r w:rsidRPr="00610B1B">
        <w:rPr>
          <w:rFonts w:ascii="Times New Roman" w:eastAsia="Times New Roman" w:hAnsi="Times New Roman" w:cs="Times New Roman"/>
          <w:bCs/>
          <w:i/>
          <w:iCs/>
          <w:sz w:val="24"/>
          <w:szCs w:val="24"/>
          <w:lang w:val="bg-BG"/>
        </w:rPr>
        <w:t xml:space="preserve">гр. Обзор, </w:t>
      </w:r>
      <w:r w:rsidR="0049641D" w:rsidRPr="00610B1B">
        <w:rPr>
          <w:rFonts w:ascii="Times New Roman" w:eastAsia="Times New Roman" w:hAnsi="Times New Roman" w:cs="Times New Roman"/>
          <w:bCs/>
          <w:sz w:val="24"/>
          <w:szCs w:val="24"/>
          <w:lang w:val="bg-BG"/>
        </w:rPr>
        <w:t xml:space="preserve">е </w:t>
      </w:r>
      <w:r w:rsidR="0049641D" w:rsidRPr="00610B1B">
        <w:rPr>
          <w:rFonts w:ascii="Times New Roman" w:eastAsia="Times New Roman" w:hAnsi="Times New Roman" w:cs="Times New Roman"/>
          <w:color w:val="000000"/>
          <w:sz w:val="24"/>
          <w:szCs w:val="24"/>
          <w:lang w:val="bg-BG"/>
        </w:rPr>
        <w:t xml:space="preserve">единична </w:t>
      </w:r>
      <w:r w:rsidRPr="00610B1B">
        <w:rPr>
          <w:rFonts w:ascii="Times New Roman" w:eastAsia="Times New Roman" w:hAnsi="Times New Roman" w:cs="Times New Roman"/>
          <w:color w:val="000000"/>
          <w:sz w:val="24"/>
          <w:szCs w:val="24"/>
          <w:lang w:val="bg-BG"/>
        </w:rPr>
        <w:t>археологическа НКЦ, с категория „национално значение“.</w:t>
      </w:r>
      <w:r w:rsidR="0049641D" w:rsidRPr="00610B1B">
        <w:rPr>
          <w:rFonts w:ascii="Times New Roman" w:eastAsia="Times New Roman" w:hAnsi="Times New Roman" w:cs="Times New Roman"/>
          <w:color w:val="000000"/>
          <w:sz w:val="24"/>
          <w:szCs w:val="24"/>
          <w:lang w:val="bg-BG"/>
        </w:rPr>
        <w:t xml:space="preserve"> </w:t>
      </w:r>
      <w:r w:rsidRPr="00610B1B">
        <w:rPr>
          <w:rFonts w:ascii="Times New Roman" w:eastAsia="Times New Roman" w:hAnsi="Times New Roman" w:cs="Times New Roman"/>
          <w:sz w:val="24"/>
          <w:szCs w:val="24"/>
          <w:lang w:val="bg-BG"/>
        </w:rPr>
        <w:t>Липсват проведени КРР дейности, както и такива по адаптация и социализация на обекта. Необходимо</w:t>
      </w:r>
      <w:r w:rsidR="0049641D" w:rsidRPr="00610B1B">
        <w:rPr>
          <w:rFonts w:ascii="Times New Roman" w:eastAsia="Times New Roman" w:hAnsi="Times New Roman" w:cs="Times New Roman"/>
          <w:sz w:val="24"/>
          <w:szCs w:val="24"/>
          <w:lang w:val="bg-BG"/>
        </w:rPr>
        <w:t xml:space="preserve"> е </w:t>
      </w:r>
      <w:r w:rsidRPr="00610B1B">
        <w:rPr>
          <w:rFonts w:ascii="Times New Roman" w:eastAsia="Times New Roman" w:hAnsi="Times New Roman" w:cs="Times New Roman"/>
          <w:sz w:val="24"/>
          <w:szCs w:val="24"/>
          <w:lang w:val="bg-BG"/>
        </w:rPr>
        <w:t>допълнително проучване.</w:t>
      </w:r>
    </w:p>
    <w:p w14:paraId="0919A4D7" w14:textId="2CFC709B"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iCs/>
          <w:sz w:val="24"/>
          <w:szCs w:val="24"/>
          <w:lang w:val="bg-BG"/>
        </w:rPr>
        <w:t>„Средновековни манастирски комплекси на нос „Емине“ и в м</w:t>
      </w:r>
      <w:r w:rsidR="00461059" w:rsidRPr="00610B1B">
        <w:rPr>
          <w:rFonts w:ascii="Times New Roman" w:eastAsia="Times New Roman" w:hAnsi="Times New Roman" w:cs="Times New Roman"/>
          <w:i/>
          <w:iCs/>
          <w:sz w:val="24"/>
          <w:szCs w:val="24"/>
          <w:lang w:val="bg-BG"/>
        </w:rPr>
        <w:t> </w:t>
      </w:r>
      <w:r w:rsidRPr="00610B1B">
        <w:rPr>
          <w:rFonts w:ascii="Times New Roman" w:eastAsia="Times New Roman" w:hAnsi="Times New Roman" w:cs="Times New Roman"/>
          <w:i/>
          <w:iCs/>
          <w:sz w:val="24"/>
          <w:szCs w:val="24"/>
          <w:lang w:val="bg-BG"/>
        </w:rPr>
        <w:t>.„Козлука“ край</w:t>
      </w:r>
      <w:r w:rsidR="0049641D" w:rsidRPr="00610B1B">
        <w:rPr>
          <w:rFonts w:ascii="Times New Roman" w:eastAsia="Times New Roman" w:hAnsi="Times New Roman" w:cs="Times New Roman"/>
          <w:i/>
          <w:iCs/>
          <w:sz w:val="24"/>
          <w:szCs w:val="24"/>
          <w:lang w:val="bg-BG"/>
        </w:rPr>
        <w:t xml:space="preserve"> </w:t>
      </w:r>
      <w:r w:rsidRPr="00610B1B">
        <w:rPr>
          <w:rFonts w:ascii="Times New Roman" w:eastAsia="Times New Roman" w:hAnsi="Times New Roman" w:cs="Times New Roman"/>
          <w:i/>
          <w:iCs/>
          <w:sz w:val="24"/>
          <w:szCs w:val="24"/>
          <w:lang w:val="bg-BG"/>
        </w:rPr>
        <w:t>с. „Св. Влас</w:t>
      </w:r>
      <w:r w:rsidR="0049641D" w:rsidRPr="00610B1B">
        <w:rPr>
          <w:rFonts w:ascii="Times New Roman" w:eastAsia="Times New Roman" w:hAnsi="Times New Roman" w:cs="Times New Roman"/>
          <w:i/>
          <w:iCs/>
          <w:sz w:val="24"/>
          <w:szCs w:val="24"/>
          <w:lang w:val="bg-BG"/>
        </w:rPr>
        <w:t xml:space="preserve">“ </w:t>
      </w:r>
      <w:r w:rsidR="0049641D" w:rsidRPr="00610B1B">
        <w:rPr>
          <w:rFonts w:ascii="Times New Roman" w:eastAsia="Times New Roman" w:hAnsi="Times New Roman" w:cs="Times New Roman"/>
          <w:sz w:val="24"/>
          <w:szCs w:val="24"/>
          <w:lang w:val="bg-BG"/>
        </w:rPr>
        <w:t xml:space="preserve">е </w:t>
      </w:r>
      <w:r w:rsidR="00DD68AE" w:rsidRPr="00610B1B">
        <w:rPr>
          <w:rFonts w:ascii="Times New Roman" w:eastAsia="Times New Roman" w:hAnsi="Times New Roman" w:cs="Times New Roman"/>
          <w:sz w:val="24"/>
          <w:szCs w:val="24"/>
          <w:lang w:val="bg-BG"/>
        </w:rPr>
        <w:t xml:space="preserve">НКЦ </w:t>
      </w:r>
      <w:r w:rsidR="0049641D" w:rsidRPr="00610B1B">
        <w:rPr>
          <w:rFonts w:ascii="Times New Roman" w:eastAsia="Times New Roman" w:hAnsi="Times New Roman" w:cs="Times New Roman"/>
          <w:sz w:val="24"/>
          <w:szCs w:val="24"/>
          <w:lang w:val="bg-BG"/>
        </w:rPr>
        <w:t xml:space="preserve">с определени граници и режими на опазване съгласно Протокол </w:t>
      </w:r>
      <w:r w:rsidRPr="00610B1B">
        <w:rPr>
          <w:rFonts w:ascii="Times New Roman" w:eastAsia="Times New Roman" w:hAnsi="Times New Roman" w:cs="Times New Roman"/>
          <w:sz w:val="24"/>
          <w:szCs w:val="24"/>
          <w:lang w:val="bg-BG"/>
        </w:rPr>
        <w:t>на комисия в изпълнение на Заповед № РД-19-729/17.09.1990</w:t>
      </w:r>
      <w:r w:rsidR="0049641D"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на зам.</w:t>
      </w:r>
      <w:r w:rsidR="0049641D"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министър</w:t>
      </w:r>
      <w:r w:rsidR="0049641D" w:rsidRPr="00610B1B">
        <w:rPr>
          <w:rFonts w:ascii="Times New Roman" w:eastAsia="Times New Roman" w:hAnsi="Times New Roman" w:cs="Times New Roman"/>
          <w:sz w:val="24"/>
          <w:szCs w:val="24"/>
          <w:lang w:val="bg-BG"/>
        </w:rPr>
        <w:t>а</w:t>
      </w:r>
      <w:r w:rsidRPr="00610B1B">
        <w:rPr>
          <w:rFonts w:ascii="Times New Roman" w:eastAsia="Times New Roman" w:hAnsi="Times New Roman" w:cs="Times New Roman"/>
          <w:sz w:val="24"/>
          <w:szCs w:val="24"/>
          <w:lang w:val="bg-BG"/>
        </w:rPr>
        <w:t xml:space="preserve"> на </w:t>
      </w:r>
      <w:r w:rsidR="0049641D" w:rsidRPr="00610B1B">
        <w:rPr>
          <w:rFonts w:ascii="Times New Roman" w:eastAsia="Times New Roman" w:hAnsi="Times New Roman" w:cs="Times New Roman"/>
          <w:sz w:val="24"/>
          <w:szCs w:val="24"/>
          <w:lang w:val="bg-BG"/>
        </w:rPr>
        <w:t xml:space="preserve">културата. </w:t>
      </w:r>
      <w:r w:rsidRPr="00610B1B">
        <w:rPr>
          <w:rFonts w:ascii="Times New Roman" w:eastAsia="Times New Roman" w:hAnsi="Times New Roman" w:cs="Times New Roman"/>
          <w:sz w:val="24"/>
          <w:szCs w:val="24"/>
          <w:lang w:val="bg-BG"/>
        </w:rPr>
        <w:t xml:space="preserve">Средновековният манастирски комплекс „Св. Никола“ е разположен в близост до нос „Емине“. Археологическият обект е на територията на бивш военен полигон и поради това не са правени редовни археологически проучвания. Територия е с обща площ 56,7 </w:t>
      </w:r>
      <w:r w:rsidR="0049641D" w:rsidRPr="00610B1B">
        <w:rPr>
          <w:rFonts w:ascii="Times New Roman" w:eastAsia="Times New Roman" w:hAnsi="Times New Roman" w:cs="Times New Roman"/>
          <w:sz w:val="24"/>
          <w:szCs w:val="24"/>
          <w:lang w:val="bg-BG"/>
        </w:rPr>
        <w:t>ha</w:t>
      </w:r>
      <w:r w:rsidRPr="00610B1B">
        <w:rPr>
          <w:rFonts w:ascii="Times New Roman" w:eastAsia="Times New Roman" w:hAnsi="Times New Roman" w:cs="Times New Roman"/>
          <w:sz w:val="24"/>
          <w:szCs w:val="24"/>
          <w:lang w:val="bg-BG"/>
        </w:rPr>
        <w:t>,</w:t>
      </w:r>
      <w:r w:rsidR="0049641D"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от които 15 </w:t>
      </w:r>
      <w:r w:rsidR="0049641D" w:rsidRPr="00610B1B">
        <w:rPr>
          <w:rFonts w:ascii="Times New Roman" w:eastAsia="Times New Roman" w:hAnsi="Times New Roman" w:cs="Times New Roman"/>
          <w:sz w:val="24"/>
          <w:szCs w:val="24"/>
          <w:lang w:val="bg-BG"/>
        </w:rPr>
        <w:t>ha</w:t>
      </w:r>
      <w:r w:rsidRPr="00610B1B">
        <w:rPr>
          <w:rFonts w:ascii="Times New Roman" w:eastAsia="Times New Roman" w:hAnsi="Times New Roman" w:cs="Times New Roman"/>
          <w:sz w:val="24"/>
          <w:szCs w:val="24"/>
          <w:lang w:val="bg-BG"/>
        </w:rPr>
        <w:t xml:space="preserve"> горска площ. Средновековният манастир край с. </w:t>
      </w:r>
      <w:r w:rsidR="00F71111" w:rsidRPr="00610B1B">
        <w:rPr>
          <w:rFonts w:ascii="Times New Roman" w:eastAsia="Times New Roman" w:hAnsi="Times New Roman" w:cs="Times New Roman"/>
          <w:sz w:val="24"/>
          <w:szCs w:val="24"/>
          <w:lang w:val="bg-BG"/>
        </w:rPr>
        <w:t>С</w:t>
      </w:r>
      <w:r w:rsidRPr="00610B1B">
        <w:rPr>
          <w:rFonts w:ascii="Times New Roman" w:eastAsia="Times New Roman" w:hAnsi="Times New Roman" w:cs="Times New Roman"/>
          <w:sz w:val="24"/>
          <w:szCs w:val="24"/>
          <w:lang w:val="bg-BG"/>
        </w:rPr>
        <w:t xml:space="preserve">в. Влас е с проведени спасителни археологически проучвания. Площта на НКЦ е 2 </w:t>
      </w:r>
      <w:r w:rsidR="00F71111" w:rsidRPr="00610B1B">
        <w:rPr>
          <w:rFonts w:ascii="Times New Roman" w:eastAsia="Times New Roman" w:hAnsi="Times New Roman" w:cs="Times New Roman"/>
          <w:sz w:val="24"/>
          <w:szCs w:val="24"/>
          <w:lang w:val="bg-BG"/>
        </w:rPr>
        <w:t>ha</w:t>
      </w:r>
      <w:r w:rsidRPr="00610B1B">
        <w:rPr>
          <w:rFonts w:ascii="Times New Roman" w:eastAsia="Times New Roman" w:hAnsi="Times New Roman" w:cs="Times New Roman"/>
          <w:sz w:val="24"/>
          <w:szCs w:val="24"/>
          <w:lang w:val="bg-BG"/>
        </w:rPr>
        <w:t xml:space="preserve">, охранителната зона е </w:t>
      </w:r>
      <w:r w:rsidRPr="00610B1B">
        <w:rPr>
          <w:rFonts w:ascii="Times New Roman" w:eastAsia="Times New Roman" w:hAnsi="Times New Roman" w:cs="Times New Roman"/>
          <w:sz w:val="24"/>
          <w:szCs w:val="24"/>
          <w:lang w:val="bg-BG"/>
        </w:rPr>
        <w:lastRenderedPageBreak/>
        <w:t>7,5</w:t>
      </w:r>
      <w:r w:rsidR="00C3007B" w:rsidRPr="00610B1B">
        <w:rPr>
          <w:rFonts w:ascii="Times New Roman" w:eastAsia="Times New Roman" w:hAnsi="Times New Roman" w:cs="Times New Roman"/>
          <w:sz w:val="24"/>
          <w:szCs w:val="24"/>
          <w:lang w:val="bg-BG"/>
        </w:rPr>
        <w:t> </w:t>
      </w:r>
      <w:r w:rsidR="00F71111" w:rsidRPr="00610B1B">
        <w:rPr>
          <w:rFonts w:ascii="Times New Roman" w:eastAsia="Times New Roman" w:hAnsi="Times New Roman" w:cs="Times New Roman"/>
          <w:sz w:val="24"/>
          <w:szCs w:val="24"/>
          <w:lang w:val="bg-BG"/>
        </w:rPr>
        <w:t>ha</w:t>
      </w:r>
      <w:r w:rsidR="00340BF8"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предоставени за разширение на </w:t>
      </w:r>
      <w:r w:rsidR="00F71111" w:rsidRPr="00610B1B">
        <w:rPr>
          <w:rFonts w:ascii="Times New Roman" w:eastAsia="Times New Roman" w:hAnsi="Times New Roman" w:cs="Times New Roman"/>
          <w:sz w:val="24"/>
          <w:szCs w:val="24"/>
          <w:lang w:val="bg-BG"/>
        </w:rPr>
        <w:t xml:space="preserve">в.с. </w:t>
      </w:r>
      <w:r w:rsidRPr="00610B1B">
        <w:rPr>
          <w:rFonts w:ascii="Times New Roman" w:eastAsia="Times New Roman" w:hAnsi="Times New Roman" w:cs="Times New Roman"/>
          <w:sz w:val="24"/>
          <w:szCs w:val="24"/>
          <w:lang w:val="bg-BG"/>
        </w:rPr>
        <w:t>„Елените“ с решение на МС. Обектите все още нямат статут. Протоколът е от 1990 г. Археологическите разкопки продължават.</w:t>
      </w:r>
    </w:p>
    <w:p w14:paraId="316CBE7E" w14:textId="54524B8D"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Антична гробница, разположена в землището на гр. Поморие</w:t>
      </w:r>
      <w:r w:rsidR="00F71111" w:rsidRPr="00610B1B">
        <w:rPr>
          <w:rFonts w:ascii="Times New Roman" w:eastAsia="Times New Roman" w:hAnsi="Times New Roman" w:cs="Times New Roman"/>
          <w:bCs/>
          <w:sz w:val="24"/>
          <w:szCs w:val="24"/>
          <w:lang w:val="bg-BG"/>
        </w:rPr>
        <w:t xml:space="preserve"> e e</w:t>
      </w:r>
      <w:r w:rsidRPr="00610B1B">
        <w:rPr>
          <w:rFonts w:ascii="Times New Roman" w:eastAsia="Times New Roman" w:hAnsi="Times New Roman" w:cs="Times New Roman"/>
          <w:sz w:val="24"/>
          <w:szCs w:val="24"/>
          <w:lang w:val="bg-BG"/>
        </w:rPr>
        <w:t>динична археологическа НКЦ с категория „национално значение“ и определени режими за опазване.</w:t>
      </w:r>
      <w:r w:rsidR="00F71111"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Гробницата е част от обектите на Историческия музей в гр.</w:t>
      </w:r>
      <w:r w:rsidR="00F71111"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Поморие. Достъпът до нея е затруднен. Липсва адекватна информационна система. Има проведени КРР, но обектът е с необходимост </w:t>
      </w:r>
      <w:r w:rsidR="00340BF8" w:rsidRPr="00610B1B">
        <w:rPr>
          <w:rFonts w:ascii="Times New Roman" w:eastAsia="Times New Roman" w:hAnsi="Times New Roman" w:cs="Times New Roman"/>
          <w:sz w:val="24"/>
          <w:szCs w:val="24"/>
          <w:lang w:val="bg-BG"/>
        </w:rPr>
        <w:t xml:space="preserve">от </w:t>
      </w:r>
      <w:r w:rsidRPr="00610B1B">
        <w:rPr>
          <w:rFonts w:ascii="Times New Roman" w:eastAsia="Times New Roman" w:hAnsi="Times New Roman" w:cs="Times New Roman"/>
          <w:sz w:val="24"/>
          <w:szCs w:val="24"/>
          <w:lang w:val="bg-BG"/>
        </w:rPr>
        <w:t>реконсервация и социализация.</w:t>
      </w:r>
    </w:p>
    <w:p w14:paraId="7DF28C66" w14:textId="6492D222" w:rsidR="00442579" w:rsidRPr="00610B1B" w:rsidRDefault="00442579" w:rsidP="00D32D6A">
      <w:pPr>
        <w:autoSpaceDE w:val="0"/>
        <w:autoSpaceDN w:val="0"/>
        <w:adjustRightInd w:val="0"/>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iCs/>
          <w:color w:val="000000"/>
          <w:sz w:val="24"/>
          <w:szCs w:val="24"/>
          <w:lang w:val="bg-BG" w:eastAsia="bg-BG"/>
        </w:rPr>
        <w:t>„Средновековна крепост Порос на нос Форос и средновековно селище в м. Пода”,</w:t>
      </w:r>
      <w:r w:rsidR="00F71111" w:rsidRPr="00610B1B">
        <w:rPr>
          <w:rFonts w:ascii="Times New Roman" w:eastAsia="Times New Roman" w:hAnsi="Times New Roman" w:cs="Times New Roman"/>
          <w:i/>
          <w:iCs/>
          <w:color w:val="000000"/>
          <w:sz w:val="24"/>
          <w:szCs w:val="24"/>
          <w:lang w:val="bg-BG" w:eastAsia="bg-BG"/>
        </w:rPr>
        <w:t xml:space="preserve"> </w:t>
      </w:r>
      <w:r w:rsidRPr="00610B1B">
        <w:rPr>
          <w:rFonts w:ascii="Times New Roman" w:eastAsia="Times New Roman" w:hAnsi="Times New Roman" w:cs="Times New Roman"/>
          <w:i/>
          <w:iCs/>
          <w:color w:val="000000"/>
          <w:sz w:val="24"/>
          <w:szCs w:val="24"/>
          <w:lang w:val="bg-BG" w:eastAsia="bg-BG"/>
        </w:rPr>
        <w:t>кв. Крайморие”, гр.</w:t>
      </w:r>
      <w:r w:rsidR="00F71111" w:rsidRPr="00610B1B">
        <w:rPr>
          <w:rFonts w:ascii="Times New Roman" w:eastAsia="Times New Roman" w:hAnsi="Times New Roman" w:cs="Times New Roman"/>
          <w:i/>
          <w:iCs/>
          <w:color w:val="000000"/>
          <w:sz w:val="24"/>
          <w:szCs w:val="24"/>
          <w:lang w:val="bg-BG" w:eastAsia="bg-BG"/>
        </w:rPr>
        <w:t xml:space="preserve"> </w:t>
      </w:r>
      <w:r w:rsidRPr="00610B1B">
        <w:rPr>
          <w:rFonts w:ascii="Times New Roman" w:eastAsia="Times New Roman" w:hAnsi="Times New Roman" w:cs="Times New Roman"/>
          <w:i/>
          <w:iCs/>
          <w:color w:val="000000"/>
          <w:sz w:val="24"/>
          <w:szCs w:val="24"/>
          <w:lang w:val="bg-BG" w:eastAsia="bg-BG"/>
        </w:rPr>
        <w:t>Бургас</w:t>
      </w:r>
      <w:r w:rsidR="00F71111" w:rsidRPr="00610B1B">
        <w:rPr>
          <w:rFonts w:ascii="Times New Roman" w:eastAsia="Times New Roman" w:hAnsi="Times New Roman" w:cs="Times New Roman"/>
          <w:i/>
          <w:iCs/>
          <w:color w:val="000000"/>
          <w:sz w:val="24"/>
          <w:szCs w:val="24"/>
          <w:lang w:val="bg-BG" w:eastAsia="bg-BG"/>
        </w:rPr>
        <w:t xml:space="preserve"> </w:t>
      </w:r>
      <w:r w:rsidR="00F71111" w:rsidRPr="00610B1B">
        <w:rPr>
          <w:rFonts w:ascii="Times New Roman" w:eastAsia="Times New Roman" w:hAnsi="Times New Roman" w:cs="Times New Roman"/>
          <w:color w:val="000000"/>
          <w:sz w:val="24"/>
          <w:szCs w:val="24"/>
          <w:lang w:val="bg-BG" w:eastAsia="bg-BG"/>
        </w:rPr>
        <w:t xml:space="preserve">не са обявени за НКЦ, независимо от наличието на </w:t>
      </w:r>
      <w:r w:rsidRPr="00610B1B">
        <w:rPr>
          <w:rFonts w:ascii="Times New Roman" w:eastAsia="Times New Roman" w:hAnsi="Times New Roman" w:cs="Times New Roman"/>
          <w:sz w:val="24"/>
          <w:szCs w:val="24"/>
          <w:lang w:val="bg-BG"/>
        </w:rPr>
        <w:t>Заповед от 29.05.1989</w:t>
      </w:r>
      <w:r w:rsidR="00F71111"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на Комитета по култура за определяне границите и режимите за опазване на археологическите обекти в м.</w:t>
      </w:r>
      <w:r w:rsidR="00461059"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Пода и на нос Форос</w:t>
      </w:r>
      <w:r w:rsidR="00F71111"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Предстои придобиване на статут за НКЦ за обекта. Археологическите разкопки продължават до днес.</w:t>
      </w:r>
    </w:p>
    <w:p w14:paraId="2EE405D1" w14:textId="6B1076E4"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 xml:space="preserve">„Праисторическо селище от неолита и халколита в м. „Аклади чеири“, землище на с. Черноморец, </w:t>
      </w:r>
      <w:r w:rsidR="00F71111" w:rsidRPr="00610B1B">
        <w:rPr>
          <w:rFonts w:ascii="Times New Roman" w:eastAsia="Times New Roman" w:hAnsi="Times New Roman" w:cs="Times New Roman"/>
          <w:bCs/>
          <w:sz w:val="24"/>
          <w:szCs w:val="24"/>
          <w:lang w:val="bg-BG"/>
        </w:rPr>
        <w:t>е декларирана НКЦ с предварителна категория</w:t>
      </w:r>
      <w:r w:rsidR="00D66FE0" w:rsidRPr="00610B1B">
        <w:rPr>
          <w:rFonts w:ascii="Times New Roman" w:eastAsia="Times New Roman" w:hAnsi="Times New Roman" w:cs="Times New Roman"/>
          <w:bCs/>
          <w:i/>
          <w:iCs/>
          <w:sz w:val="24"/>
          <w:szCs w:val="24"/>
          <w:lang w:val="bg-BG"/>
        </w:rPr>
        <w:t xml:space="preserve"> </w:t>
      </w:r>
      <w:r w:rsidR="00F71111" w:rsidRPr="00610B1B">
        <w:rPr>
          <w:rFonts w:ascii="Times New Roman" w:eastAsia="Times New Roman" w:hAnsi="Times New Roman" w:cs="Times New Roman"/>
          <w:sz w:val="24"/>
          <w:szCs w:val="24"/>
          <w:lang w:val="bg-BG"/>
        </w:rPr>
        <w:t xml:space="preserve">„национално значение“ съгласно </w:t>
      </w:r>
      <w:r w:rsidRPr="00610B1B">
        <w:rPr>
          <w:rFonts w:ascii="Times New Roman" w:eastAsia="Times New Roman" w:hAnsi="Times New Roman" w:cs="Times New Roman"/>
          <w:sz w:val="24"/>
          <w:szCs w:val="24"/>
          <w:lang w:val="bg-BG"/>
        </w:rPr>
        <w:t>писмо от 30.01.2009 г. на НИПК. В писмото са определени и режими за опазване.</w:t>
      </w:r>
      <w:r w:rsidR="00F71111"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Обектът не е проучен</w:t>
      </w:r>
      <w:r w:rsidR="00340BF8" w:rsidRPr="00610B1B">
        <w:rPr>
          <w:rFonts w:ascii="Times New Roman" w:eastAsia="Times New Roman" w:hAnsi="Times New Roman" w:cs="Times New Roman"/>
          <w:sz w:val="24"/>
          <w:szCs w:val="24"/>
          <w:lang w:val="bg-BG"/>
        </w:rPr>
        <w:t xml:space="preserve"> докрай</w:t>
      </w:r>
      <w:r w:rsidRPr="00610B1B">
        <w:rPr>
          <w:rFonts w:ascii="Times New Roman" w:eastAsia="Times New Roman" w:hAnsi="Times New Roman" w:cs="Times New Roman"/>
          <w:sz w:val="24"/>
          <w:szCs w:val="24"/>
          <w:lang w:val="bg-BG"/>
        </w:rPr>
        <w:t>, липсват КРР дейности и социализация.</w:t>
      </w:r>
    </w:p>
    <w:p w14:paraId="6ADB0DAF" w14:textId="4AC87186"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„Археологически обе</w:t>
      </w:r>
      <w:r w:rsidR="00352BBB" w:rsidRPr="00610B1B">
        <w:rPr>
          <w:rFonts w:ascii="Times New Roman" w:eastAsia="Times New Roman" w:hAnsi="Times New Roman" w:cs="Times New Roman"/>
          <w:bCs/>
          <w:i/>
          <w:iCs/>
          <w:sz w:val="24"/>
          <w:szCs w:val="24"/>
          <w:lang w:val="bg-BG"/>
        </w:rPr>
        <w:t>к</w:t>
      </w:r>
      <w:r w:rsidRPr="00610B1B">
        <w:rPr>
          <w:rFonts w:ascii="Times New Roman" w:eastAsia="Times New Roman" w:hAnsi="Times New Roman" w:cs="Times New Roman"/>
          <w:bCs/>
          <w:i/>
          <w:iCs/>
          <w:sz w:val="24"/>
          <w:szCs w:val="24"/>
          <w:lang w:val="bg-BG"/>
        </w:rPr>
        <w:t>т н</w:t>
      </w:r>
      <w:r w:rsidR="00340BF8" w:rsidRPr="00610B1B">
        <w:rPr>
          <w:rFonts w:ascii="Times New Roman" w:eastAsia="Times New Roman" w:hAnsi="Times New Roman" w:cs="Times New Roman"/>
          <w:bCs/>
          <w:i/>
          <w:iCs/>
          <w:sz w:val="24"/>
          <w:szCs w:val="24"/>
          <w:lang w:val="bg-BG"/>
        </w:rPr>
        <w:t>а</w:t>
      </w:r>
      <w:r w:rsidRPr="00610B1B">
        <w:rPr>
          <w:rFonts w:ascii="Times New Roman" w:eastAsia="Times New Roman" w:hAnsi="Times New Roman" w:cs="Times New Roman"/>
          <w:bCs/>
          <w:i/>
          <w:iCs/>
          <w:sz w:val="24"/>
          <w:szCs w:val="24"/>
          <w:lang w:val="bg-BG"/>
        </w:rPr>
        <w:t xml:space="preserve"> нос „Акин” (Акра), землище на с. Черноморец,</w:t>
      </w:r>
      <w:r w:rsidRPr="00610B1B">
        <w:rPr>
          <w:rFonts w:ascii="Times New Roman" w:eastAsia="Times New Roman" w:hAnsi="Times New Roman" w:cs="Times New Roman"/>
          <w:bCs/>
          <w:sz w:val="24"/>
          <w:szCs w:val="24"/>
          <w:lang w:val="bg-BG"/>
        </w:rPr>
        <w:t xml:space="preserve"> </w:t>
      </w:r>
      <w:r w:rsidR="00F71111" w:rsidRPr="00610B1B">
        <w:rPr>
          <w:rFonts w:ascii="Times New Roman" w:eastAsia="Times New Roman" w:hAnsi="Times New Roman" w:cs="Times New Roman"/>
          <w:bCs/>
          <w:sz w:val="24"/>
          <w:szCs w:val="24"/>
          <w:lang w:val="bg-BG"/>
        </w:rPr>
        <w:t>е а</w:t>
      </w:r>
      <w:r w:rsidRPr="00610B1B">
        <w:rPr>
          <w:rFonts w:ascii="Times New Roman" w:eastAsia="Times New Roman" w:hAnsi="Times New Roman" w:cs="Times New Roman"/>
          <w:sz w:val="24"/>
          <w:szCs w:val="24"/>
          <w:lang w:val="bg-BG"/>
        </w:rPr>
        <w:t>рхеологическа НКЦ по смисъла на</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color w:val="000000"/>
          <w:sz w:val="24"/>
          <w:szCs w:val="24"/>
          <w:lang w:val="bg-BG"/>
        </w:rPr>
        <w:t>чл. 146, ал. 3 от ЗКН, все още без статут и категория и с определени временни режими на опазване.</w:t>
      </w:r>
    </w:p>
    <w:p w14:paraId="1C319125" w14:textId="280F4FBA"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Долмен „Змейова къща” и Крепост „Лъвската глава”/</w:t>
      </w:r>
      <w:r w:rsidR="00342BD5" w:rsidRPr="00610B1B">
        <w:rPr>
          <w:rFonts w:ascii="Times New Roman" w:eastAsia="Times New Roman" w:hAnsi="Times New Roman" w:cs="Times New Roman"/>
          <w:bCs/>
          <w:i/>
          <w:iCs/>
          <w:sz w:val="24"/>
          <w:szCs w:val="24"/>
          <w:lang w:val="bg-BG"/>
        </w:rPr>
        <w:t>„</w:t>
      </w:r>
      <w:r w:rsidRPr="00610B1B">
        <w:rPr>
          <w:rFonts w:ascii="Times New Roman" w:eastAsia="Times New Roman" w:hAnsi="Times New Roman" w:cs="Times New Roman"/>
          <w:bCs/>
          <w:i/>
          <w:iCs/>
          <w:sz w:val="24"/>
          <w:szCs w:val="24"/>
          <w:lang w:val="bg-BG"/>
        </w:rPr>
        <w:t>Вълчаново кале</w:t>
      </w:r>
      <w:r w:rsidR="00342BD5" w:rsidRPr="00610B1B">
        <w:rPr>
          <w:rFonts w:ascii="Times New Roman" w:eastAsia="Times New Roman" w:hAnsi="Times New Roman" w:cs="Times New Roman"/>
          <w:bCs/>
          <w:i/>
          <w:iCs/>
          <w:sz w:val="24"/>
          <w:szCs w:val="24"/>
          <w:lang w:val="bg-BG"/>
        </w:rPr>
        <w:t>”</w:t>
      </w:r>
      <w:r w:rsidRPr="00610B1B">
        <w:rPr>
          <w:rFonts w:ascii="Times New Roman" w:eastAsia="Times New Roman" w:hAnsi="Times New Roman" w:cs="Times New Roman"/>
          <w:bCs/>
          <w:i/>
          <w:iCs/>
          <w:sz w:val="24"/>
          <w:szCs w:val="24"/>
          <w:lang w:val="bg-BG"/>
        </w:rPr>
        <w:t>/</w:t>
      </w:r>
      <w:r w:rsidR="00342BD5" w:rsidRPr="00610B1B">
        <w:rPr>
          <w:rFonts w:ascii="Times New Roman" w:eastAsia="Times New Roman" w:hAnsi="Times New Roman" w:cs="Times New Roman"/>
          <w:bCs/>
          <w:i/>
          <w:iCs/>
          <w:sz w:val="24"/>
          <w:szCs w:val="24"/>
          <w:lang w:val="bg-BG"/>
        </w:rPr>
        <w:t>„</w:t>
      </w:r>
      <w:r w:rsidRPr="00610B1B">
        <w:rPr>
          <w:rFonts w:ascii="Times New Roman" w:eastAsia="Times New Roman" w:hAnsi="Times New Roman" w:cs="Times New Roman"/>
          <w:bCs/>
          <w:i/>
          <w:iCs/>
          <w:sz w:val="24"/>
          <w:szCs w:val="24"/>
          <w:lang w:val="bg-BG"/>
        </w:rPr>
        <w:t>Ранули</w:t>
      </w:r>
      <w:r w:rsidR="00342BD5" w:rsidRPr="00610B1B">
        <w:rPr>
          <w:rFonts w:ascii="Times New Roman" w:eastAsia="Times New Roman" w:hAnsi="Times New Roman" w:cs="Times New Roman"/>
          <w:bCs/>
          <w:i/>
          <w:iCs/>
          <w:sz w:val="24"/>
          <w:szCs w:val="24"/>
          <w:lang w:val="bg-BG"/>
        </w:rPr>
        <w:t>”</w:t>
      </w:r>
      <w:r w:rsidRPr="00610B1B">
        <w:rPr>
          <w:rFonts w:ascii="Times New Roman" w:eastAsia="Times New Roman" w:hAnsi="Times New Roman" w:cs="Times New Roman"/>
          <w:bCs/>
          <w:i/>
          <w:iCs/>
          <w:sz w:val="24"/>
          <w:szCs w:val="24"/>
          <w:lang w:val="bg-BG"/>
        </w:rPr>
        <w:t>,</w:t>
      </w:r>
      <w:r w:rsidR="00D66FE0" w:rsidRPr="00610B1B">
        <w:rPr>
          <w:rFonts w:ascii="Times New Roman" w:eastAsia="Times New Roman" w:hAnsi="Times New Roman" w:cs="Times New Roman"/>
          <w:bCs/>
          <w:i/>
          <w:iCs/>
          <w:sz w:val="24"/>
          <w:szCs w:val="24"/>
          <w:lang w:val="bg-BG"/>
        </w:rPr>
        <w:t xml:space="preserve"> </w:t>
      </w:r>
      <w:r w:rsidR="00F71111" w:rsidRPr="00610B1B">
        <w:rPr>
          <w:rFonts w:ascii="Times New Roman" w:eastAsia="Times New Roman" w:hAnsi="Times New Roman" w:cs="Times New Roman"/>
          <w:bCs/>
          <w:sz w:val="24"/>
          <w:szCs w:val="24"/>
          <w:lang w:val="bg-BG"/>
        </w:rPr>
        <w:t xml:space="preserve">са </w:t>
      </w:r>
      <w:r w:rsidRPr="00610B1B">
        <w:rPr>
          <w:rFonts w:ascii="Times New Roman" w:eastAsia="Times New Roman" w:hAnsi="Times New Roman" w:cs="Times New Roman"/>
          <w:bCs/>
          <w:sz w:val="24"/>
          <w:szCs w:val="24"/>
          <w:lang w:val="bg-BG"/>
        </w:rPr>
        <w:t>два обекта северозападно от гр. Приморско</w:t>
      </w:r>
      <w:r w:rsidR="00F71111" w:rsidRPr="00610B1B">
        <w:rPr>
          <w:rFonts w:ascii="Times New Roman" w:eastAsia="Times New Roman" w:hAnsi="Times New Roman" w:cs="Times New Roman"/>
          <w:bCs/>
          <w:sz w:val="24"/>
          <w:szCs w:val="24"/>
          <w:lang w:val="bg-BG"/>
        </w:rPr>
        <w:t xml:space="preserve">, </w:t>
      </w:r>
      <w:r w:rsidRPr="00610B1B">
        <w:rPr>
          <w:rFonts w:ascii="Times New Roman" w:eastAsia="Times New Roman" w:hAnsi="Times New Roman" w:cs="Times New Roman"/>
          <w:sz w:val="24"/>
          <w:szCs w:val="24"/>
          <w:lang w:val="bg-BG"/>
        </w:rPr>
        <w:t>единични археологически НКЦ, с категория „национално значение“ и с определени режими на опазване. Обектите са археологически проучен</w:t>
      </w:r>
      <w:r w:rsidR="00F71111" w:rsidRPr="00610B1B">
        <w:rPr>
          <w:rFonts w:ascii="Times New Roman" w:eastAsia="Times New Roman" w:hAnsi="Times New Roman" w:cs="Times New Roman"/>
          <w:sz w:val="24"/>
          <w:szCs w:val="24"/>
          <w:lang w:val="bg-BG"/>
        </w:rPr>
        <w:t>и</w:t>
      </w:r>
      <w:r w:rsidRPr="00610B1B">
        <w:rPr>
          <w:rFonts w:ascii="Times New Roman" w:eastAsia="Times New Roman" w:hAnsi="Times New Roman" w:cs="Times New Roman"/>
          <w:sz w:val="24"/>
          <w:szCs w:val="24"/>
          <w:lang w:val="bg-BG"/>
        </w:rPr>
        <w:t xml:space="preserve">, но липсват КРР дейности и проведена социализация. </w:t>
      </w:r>
    </w:p>
    <w:p w14:paraId="4ACF1D66" w14:textId="556DCBA5"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Скално светилище „Бегликташ</w:t>
      </w:r>
      <w:r w:rsidRPr="00610B1B">
        <w:rPr>
          <w:rFonts w:ascii="Times New Roman" w:eastAsia="Times New Roman" w:hAnsi="Times New Roman" w:cs="Times New Roman"/>
          <w:bCs/>
          <w:sz w:val="24"/>
          <w:szCs w:val="24"/>
          <w:lang w:val="bg-BG"/>
        </w:rPr>
        <w:t>”, разположено североизточно от гр. Приморско</w:t>
      </w:r>
      <w:r w:rsidR="00F71111" w:rsidRPr="00610B1B">
        <w:rPr>
          <w:rFonts w:ascii="Times New Roman" w:eastAsia="Times New Roman" w:hAnsi="Times New Roman" w:cs="Times New Roman"/>
          <w:bCs/>
          <w:sz w:val="24"/>
          <w:szCs w:val="24"/>
          <w:lang w:val="bg-BG"/>
        </w:rPr>
        <w:t xml:space="preserve"> е е</w:t>
      </w:r>
      <w:r w:rsidRPr="00610B1B">
        <w:rPr>
          <w:rFonts w:ascii="Times New Roman" w:eastAsia="Times New Roman" w:hAnsi="Times New Roman" w:cs="Times New Roman"/>
          <w:sz w:val="24"/>
          <w:szCs w:val="24"/>
          <w:lang w:val="bg-BG"/>
        </w:rPr>
        <w:t>динична НКЦ с категория „национално значение“ и определени режими на опазване</w:t>
      </w:r>
      <w:r w:rsidR="00F71111" w:rsidRPr="00610B1B">
        <w:rPr>
          <w:rFonts w:ascii="Times New Roman" w:eastAsia="Times New Roman" w:hAnsi="Times New Roman" w:cs="Times New Roman"/>
          <w:sz w:val="24"/>
          <w:szCs w:val="24"/>
          <w:lang w:val="bg-BG"/>
        </w:rPr>
        <w:t xml:space="preserve"> </w:t>
      </w:r>
      <w:r w:rsidR="00340BF8" w:rsidRPr="00610B1B">
        <w:rPr>
          <w:rFonts w:ascii="Times New Roman" w:eastAsia="Times New Roman" w:hAnsi="Times New Roman" w:cs="Times New Roman"/>
          <w:sz w:val="24"/>
          <w:szCs w:val="24"/>
          <w:lang w:val="bg-BG"/>
        </w:rPr>
        <w:t xml:space="preserve">и </w:t>
      </w:r>
      <w:r w:rsidR="00F71111" w:rsidRPr="00610B1B">
        <w:rPr>
          <w:rFonts w:ascii="Times New Roman" w:eastAsia="Times New Roman" w:hAnsi="Times New Roman" w:cs="Times New Roman"/>
          <w:sz w:val="24"/>
          <w:szCs w:val="24"/>
          <w:lang w:val="bg-BG"/>
        </w:rPr>
        <w:t>е е</w:t>
      </w:r>
      <w:r w:rsidRPr="00610B1B">
        <w:rPr>
          <w:rFonts w:ascii="Times New Roman" w:eastAsia="Times New Roman" w:hAnsi="Times New Roman" w:cs="Times New Roman"/>
          <w:sz w:val="24"/>
          <w:szCs w:val="24"/>
          <w:lang w:val="bg-BG"/>
        </w:rPr>
        <w:t>дин от най-популярните обекти по крайбрежието на Черно море. Обектът е проучен, изпълнени са частични КРР дейности</w:t>
      </w:r>
      <w:r w:rsidR="00340BF8"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но липсва адаптация и </w:t>
      </w:r>
      <w:r w:rsidR="00F71111" w:rsidRPr="00610B1B">
        <w:rPr>
          <w:rFonts w:ascii="Times New Roman" w:eastAsia="Times New Roman" w:hAnsi="Times New Roman" w:cs="Times New Roman"/>
          <w:sz w:val="24"/>
          <w:szCs w:val="24"/>
          <w:lang w:val="bg-BG"/>
        </w:rPr>
        <w:t xml:space="preserve">подходяща </w:t>
      </w:r>
      <w:r w:rsidRPr="00610B1B">
        <w:rPr>
          <w:rFonts w:ascii="Times New Roman" w:eastAsia="Times New Roman" w:hAnsi="Times New Roman" w:cs="Times New Roman"/>
          <w:sz w:val="24"/>
          <w:szCs w:val="24"/>
          <w:lang w:val="bg-BG"/>
        </w:rPr>
        <w:t>социализация.</w:t>
      </w:r>
    </w:p>
    <w:p w14:paraId="6C0C843F" w14:textId="2D4EBE45"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Антично селище на възвишението “Кондрус“, „Антична и средновековна крепост на Маслен нос“ и „Могила на устието на река Ропотамо“, всичките - разположени североизточно от гр. Приморско</w:t>
      </w:r>
      <w:r w:rsidR="00B720E4" w:rsidRPr="00610B1B">
        <w:rPr>
          <w:rFonts w:ascii="Times New Roman" w:eastAsia="Times New Roman" w:hAnsi="Times New Roman" w:cs="Times New Roman"/>
          <w:bCs/>
          <w:i/>
          <w:iCs/>
          <w:sz w:val="24"/>
          <w:szCs w:val="24"/>
          <w:lang w:val="bg-BG"/>
        </w:rPr>
        <w:t xml:space="preserve"> </w:t>
      </w:r>
      <w:r w:rsidR="00B720E4" w:rsidRPr="00610B1B">
        <w:rPr>
          <w:rFonts w:ascii="Times New Roman" w:eastAsia="Times New Roman" w:hAnsi="Times New Roman" w:cs="Times New Roman"/>
          <w:bCs/>
          <w:sz w:val="24"/>
          <w:szCs w:val="24"/>
          <w:lang w:val="bg-BG"/>
        </w:rPr>
        <w:t>са е</w:t>
      </w:r>
      <w:r w:rsidRPr="00610B1B">
        <w:rPr>
          <w:rFonts w:ascii="Times New Roman" w:eastAsia="Times New Roman" w:hAnsi="Times New Roman" w:cs="Times New Roman"/>
          <w:sz w:val="24"/>
          <w:szCs w:val="24"/>
          <w:lang w:val="bg-BG"/>
        </w:rPr>
        <w:t>динични археологически НКЦ, с категория „национално значение“ за които са определени режими на опазване. Обектите са проучени, но липсват КРР дейности и социализация.</w:t>
      </w:r>
    </w:p>
    <w:p w14:paraId="52C13DA8" w14:textId="3D4172C1"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Късноантично и средновековно селище, находящо се южно от местността “Ченгер“, северно от гр. Приморско</w:t>
      </w:r>
      <w:r w:rsidR="00B720E4" w:rsidRPr="00610B1B">
        <w:rPr>
          <w:rFonts w:ascii="Times New Roman" w:eastAsia="Times New Roman" w:hAnsi="Times New Roman" w:cs="Times New Roman"/>
          <w:bCs/>
          <w:i/>
          <w:iCs/>
          <w:sz w:val="24"/>
          <w:szCs w:val="24"/>
          <w:lang w:val="bg-BG"/>
        </w:rPr>
        <w:t xml:space="preserve"> </w:t>
      </w:r>
      <w:r w:rsidR="00B720E4" w:rsidRPr="00610B1B">
        <w:rPr>
          <w:rFonts w:ascii="Times New Roman" w:eastAsia="Times New Roman" w:hAnsi="Times New Roman" w:cs="Times New Roman"/>
          <w:bCs/>
          <w:sz w:val="24"/>
          <w:szCs w:val="24"/>
          <w:lang w:val="bg-BG"/>
        </w:rPr>
        <w:t>е е</w:t>
      </w:r>
      <w:r w:rsidRPr="00610B1B">
        <w:rPr>
          <w:rFonts w:ascii="Times New Roman" w:eastAsia="Times New Roman" w:hAnsi="Times New Roman" w:cs="Times New Roman"/>
          <w:sz w:val="24"/>
          <w:szCs w:val="24"/>
          <w:lang w:val="bg-BG"/>
        </w:rPr>
        <w:t>динична археологическа НКЦ с категория „национално значение“, с определени режими за опазване.</w:t>
      </w:r>
      <w:r w:rsidRPr="00610B1B">
        <w:rPr>
          <w:rFonts w:ascii="Times New Roman" w:eastAsia="Times New Roman" w:hAnsi="Times New Roman" w:cs="Times New Roman"/>
          <w:b/>
          <w:sz w:val="24"/>
          <w:szCs w:val="24"/>
          <w:lang w:val="bg-BG"/>
        </w:rPr>
        <w:t xml:space="preserve"> </w:t>
      </w:r>
      <w:r w:rsidRPr="00610B1B">
        <w:rPr>
          <w:rFonts w:ascii="Times New Roman" w:eastAsia="Times New Roman" w:hAnsi="Times New Roman" w:cs="Times New Roman"/>
          <w:sz w:val="24"/>
          <w:szCs w:val="24"/>
          <w:lang w:val="bg-BG"/>
        </w:rPr>
        <w:t>Обектът е археологически проучен, но липсват КРР дейности и социализация на НКЦ.</w:t>
      </w:r>
    </w:p>
    <w:p w14:paraId="437EF15D" w14:textId="0C4CCD7A"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bCs/>
          <w:i/>
          <w:iCs/>
          <w:sz w:val="24"/>
          <w:szCs w:val="24"/>
          <w:lang w:val="bg-BG"/>
        </w:rPr>
        <w:t>„Ранновизантийска и средновековна крепост на полуостров „Урдовиза”, гр.</w:t>
      </w:r>
      <w:r w:rsidR="00B720E4" w:rsidRPr="00610B1B">
        <w:rPr>
          <w:rFonts w:ascii="Times New Roman" w:eastAsia="Times New Roman" w:hAnsi="Times New Roman" w:cs="Times New Roman"/>
          <w:bCs/>
          <w:i/>
          <w:iCs/>
          <w:sz w:val="24"/>
          <w:szCs w:val="24"/>
          <w:lang w:val="bg-BG"/>
        </w:rPr>
        <w:t xml:space="preserve"> </w:t>
      </w:r>
      <w:r w:rsidRPr="00610B1B">
        <w:rPr>
          <w:rFonts w:ascii="Times New Roman" w:eastAsia="Times New Roman" w:hAnsi="Times New Roman" w:cs="Times New Roman"/>
          <w:bCs/>
          <w:i/>
          <w:iCs/>
          <w:sz w:val="24"/>
          <w:szCs w:val="24"/>
          <w:lang w:val="bg-BG"/>
        </w:rPr>
        <w:t>Китен</w:t>
      </w:r>
      <w:r w:rsidR="00B720E4" w:rsidRPr="00610B1B">
        <w:rPr>
          <w:rFonts w:ascii="Times New Roman" w:eastAsia="Times New Roman" w:hAnsi="Times New Roman" w:cs="Times New Roman"/>
          <w:bCs/>
          <w:sz w:val="24"/>
          <w:szCs w:val="24"/>
          <w:lang w:val="bg-BG"/>
        </w:rPr>
        <w:t xml:space="preserve"> е е</w:t>
      </w:r>
      <w:r w:rsidRPr="00610B1B">
        <w:rPr>
          <w:rFonts w:ascii="Times New Roman" w:eastAsia="Times New Roman" w:hAnsi="Times New Roman" w:cs="Times New Roman"/>
          <w:sz w:val="24"/>
          <w:szCs w:val="24"/>
          <w:lang w:val="bg-BG"/>
        </w:rPr>
        <w:t xml:space="preserve">динична археологическа НКЦ с категория „национално значение“, </w:t>
      </w:r>
      <w:r w:rsidR="00FA5B95" w:rsidRPr="00610B1B">
        <w:rPr>
          <w:rFonts w:ascii="Times New Roman" w:eastAsia="Times New Roman" w:hAnsi="Times New Roman" w:cs="Times New Roman"/>
          <w:sz w:val="24"/>
          <w:szCs w:val="24"/>
          <w:lang w:val="bg-BG"/>
        </w:rPr>
        <w:t>с определени режими за опазване, включващи и</w:t>
      </w:r>
      <w:r w:rsidR="00D66FE0" w:rsidRPr="00610B1B">
        <w:rPr>
          <w:rFonts w:ascii="Times New Roman" w:eastAsia="Times New Roman" w:hAnsi="Times New Roman" w:cs="Times New Roman"/>
          <w:sz w:val="24"/>
          <w:szCs w:val="24"/>
          <w:lang w:val="bg-BG"/>
        </w:rPr>
        <w:t xml:space="preserve"> </w:t>
      </w:r>
      <w:r w:rsidR="00FA5B95" w:rsidRPr="00610B1B">
        <w:rPr>
          <w:rFonts w:ascii="Times New Roman" w:eastAsia="Times New Roman" w:hAnsi="Times New Roman" w:cs="Times New Roman"/>
          <w:sz w:val="24"/>
          <w:szCs w:val="24"/>
          <w:lang w:val="bg-BG"/>
        </w:rPr>
        <w:t xml:space="preserve">акваторията. Обектът попада в имот на МО, с ограничен достъп. </w:t>
      </w:r>
      <w:r w:rsidR="00FA5B95" w:rsidRPr="00610B1B">
        <w:rPr>
          <w:rFonts w:ascii="Times New Roman" w:eastAsia="Times New Roman" w:hAnsi="Times New Roman" w:cs="Times New Roman"/>
          <w:sz w:val="24"/>
          <w:szCs w:val="24"/>
          <w:lang w:val="bg-BG"/>
        </w:rPr>
        <w:lastRenderedPageBreak/>
        <w:t xml:space="preserve">Актуализирани са режимите за опазване. Необходимо е извършване на КРР. </w:t>
      </w:r>
      <w:r w:rsidRPr="00610B1B">
        <w:rPr>
          <w:rFonts w:ascii="Times New Roman" w:eastAsia="Times New Roman" w:hAnsi="Times New Roman" w:cs="Times New Roman"/>
          <w:sz w:val="24"/>
          <w:szCs w:val="24"/>
          <w:lang w:val="bg-BG"/>
        </w:rPr>
        <w:t>Обектът не е експониран и социализиран.</w:t>
      </w:r>
    </w:p>
    <w:p w14:paraId="75845051" w14:textId="5E8AF9D0"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bCs/>
          <w:i/>
          <w:iCs/>
          <w:sz w:val="24"/>
          <w:szCs w:val="24"/>
          <w:lang w:val="bg-BG"/>
        </w:rPr>
        <w:t>„Тракийски владетелски дом“,</w:t>
      </w:r>
      <w:r w:rsidR="00D66FE0" w:rsidRPr="00610B1B">
        <w:rPr>
          <w:rFonts w:ascii="Times New Roman" w:eastAsia="Times New Roman" w:hAnsi="Times New Roman" w:cs="Times New Roman"/>
          <w:bCs/>
          <w:i/>
          <w:iCs/>
          <w:sz w:val="24"/>
          <w:szCs w:val="24"/>
          <w:lang w:val="bg-BG"/>
        </w:rPr>
        <w:t xml:space="preserve"> </w:t>
      </w:r>
      <w:r w:rsidRPr="00610B1B">
        <w:rPr>
          <w:rFonts w:ascii="Times New Roman" w:eastAsia="Times New Roman" w:hAnsi="Times New Roman" w:cs="Times New Roman"/>
          <w:bCs/>
          <w:i/>
          <w:iCs/>
          <w:sz w:val="24"/>
          <w:szCs w:val="24"/>
          <w:lang w:val="bg-BG"/>
        </w:rPr>
        <w:t>м. „Голата нива”, с. Синеморец, общ</w:t>
      </w:r>
      <w:r w:rsidR="00B720E4" w:rsidRPr="00610B1B">
        <w:rPr>
          <w:rFonts w:ascii="Times New Roman" w:eastAsia="Times New Roman" w:hAnsi="Times New Roman" w:cs="Times New Roman"/>
          <w:bCs/>
          <w:i/>
          <w:iCs/>
          <w:sz w:val="24"/>
          <w:szCs w:val="24"/>
          <w:lang w:val="bg-BG"/>
        </w:rPr>
        <w:t>ина</w:t>
      </w:r>
      <w:r w:rsidRPr="00610B1B">
        <w:rPr>
          <w:rFonts w:ascii="Times New Roman" w:eastAsia="Times New Roman" w:hAnsi="Times New Roman" w:cs="Times New Roman"/>
          <w:bCs/>
          <w:i/>
          <w:iCs/>
          <w:sz w:val="24"/>
          <w:szCs w:val="24"/>
          <w:lang w:val="bg-BG"/>
        </w:rPr>
        <w:t xml:space="preserve"> Царево</w:t>
      </w:r>
      <w:r w:rsidR="00B720E4" w:rsidRPr="00610B1B">
        <w:rPr>
          <w:rFonts w:ascii="Times New Roman" w:eastAsia="Times New Roman" w:hAnsi="Times New Roman" w:cs="Times New Roman"/>
          <w:bCs/>
          <w:i/>
          <w:iCs/>
          <w:sz w:val="24"/>
          <w:szCs w:val="24"/>
          <w:lang w:val="bg-BG"/>
        </w:rPr>
        <w:t xml:space="preserve"> </w:t>
      </w:r>
      <w:r w:rsidR="00B720E4" w:rsidRPr="00610B1B">
        <w:rPr>
          <w:rFonts w:ascii="Times New Roman" w:eastAsia="Times New Roman" w:hAnsi="Times New Roman" w:cs="Times New Roman"/>
          <w:bCs/>
          <w:sz w:val="24"/>
          <w:szCs w:val="24"/>
          <w:lang w:val="bg-BG"/>
        </w:rPr>
        <w:t>е е</w:t>
      </w:r>
      <w:r w:rsidRPr="00610B1B">
        <w:rPr>
          <w:rFonts w:ascii="Times New Roman" w:eastAsia="Times New Roman" w:hAnsi="Times New Roman" w:cs="Times New Roman"/>
          <w:sz w:val="24"/>
          <w:szCs w:val="24"/>
          <w:lang w:val="bg-BG"/>
        </w:rPr>
        <w:t>динична археологическа НКЦ с категория „национално значение“, с определени режими за опазване.</w:t>
      </w:r>
      <w:r w:rsidRPr="00610B1B">
        <w:rPr>
          <w:rFonts w:ascii="Times New Roman" w:eastAsia="Times New Roman" w:hAnsi="Times New Roman" w:cs="Times New Roman"/>
          <w:b/>
          <w:sz w:val="24"/>
          <w:szCs w:val="24"/>
          <w:lang w:val="bg-BG"/>
        </w:rPr>
        <w:t xml:space="preserve"> </w:t>
      </w:r>
      <w:r w:rsidRPr="00610B1B">
        <w:rPr>
          <w:rFonts w:ascii="Times New Roman" w:eastAsia="Times New Roman" w:hAnsi="Times New Roman" w:cs="Times New Roman"/>
          <w:sz w:val="24"/>
          <w:szCs w:val="24"/>
          <w:lang w:val="bg-BG"/>
        </w:rPr>
        <w:t>Обектът е археологически проучен, но липсват КРР дейности и социализация на НКЦ.</w:t>
      </w:r>
    </w:p>
    <w:p w14:paraId="516E849D" w14:textId="56921695" w:rsidR="00442579" w:rsidRPr="00610B1B" w:rsidRDefault="00B720E4" w:rsidP="00D32D6A">
      <w:pPr>
        <w:pStyle w:val="Heading4"/>
        <w:spacing w:before="0" w:line="276" w:lineRule="auto"/>
        <w:ind w:right="-153"/>
        <w:rPr>
          <w:rFonts w:cs="Times New Roman"/>
        </w:rPr>
      </w:pPr>
      <w:r w:rsidRPr="00610B1B">
        <w:rPr>
          <w:rFonts w:cs="Times New Roman"/>
        </w:rPr>
        <w:t xml:space="preserve">3.7.2.4. Други обекти </w:t>
      </w:r>
      <w:r w:rsidR="00442579" w:rsidRPr="00610B1B">
        <w:rPr>
          <w:rFonts w:cs="Times New Roman"/>
        </w:rPr>
        <w:t>НКЦ</w:t>
      </w:r>
    </w:p>
    <w:p w14:paraId="404CAA71" w14:textId="2109793A"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„Античен град Аполония”, гр.</w:t>
      </w:r>
      <w:r w:rsidR="00B720E4" w:rsidRPr="00610B1B">
        <w:rPr>
          <w:rFonts w:ascii="Times New Roman" w:eastAsia="Times New Roman" w:hAnsi="Times New Roman" w:cs="Times New Roman"/>
          <w:bCs/>
          <w:i/>
          <w:iCs/>
          <w:sz w:val="24"/>
          <w:szCs w:val="24"/>
          <w:lang w:val="bg-BG"/>
        </w:rPr>
        <w:t xml:space="preserve"> </w:t>
      </w:r>
      <w:r w:rsidRPr="00610B1B">
        <w:rPr>
          <w:rFonts w:ascii="Times New Roman" w:eastAsia="Times New Roman" w:hAnsi="Times New Roman" w:cs="Times New Roman"/>
          <w:bCs/>
          <w:i/>
          <w:iCs/>
          <w:sz w:val="24"/>
          <w:szCs w:val="24"/>
          <w:lang w:val="bg-BG"/>
        </w:rPr>
        <w:t>Созопол</w:t>
      </w:r>
      <w:r w:rsidR="00D66FE0" w:rsidRPr="00610B1B">
        <w:rPr>
          <w:rFonts w:ascii="Times New Roman" w:eastAsia="Times New Roman" w:hAnsi="Times New Roman" w:cs="Times New Roman"/>
          <w:bCs/>
          <w:i/>
          <w:iCs/>
          <w:sz w:val="24"/>
          <w:szCs w:val="24"/>
          <w:lang w:val="bg-BG"/>
        </w:rPr>
        <w:t xml:space="preserve"> </w:t>
      </w:r>
      <w:r w:rsidRPr="00610B1B">
        <w:rPr>
          <w:rFonts w:ascii="Times New Roman" w:eastAsia="Times New Roman" w:hAnsi="Times New Roman" w:cs="Times New Roman"/>
          <w:sz w:val="24"/>
          <w:szCs w:val="24"/>
          <w:lang w:val="bg-BG"/>
        </w:rPr>
        <w:t>притежава статут на археологически резерват с категория „национално значение”.</w:t>
      </w:r>
      <w:r w:rsidR="00B720E4"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Със Заповед №</w:t>
      </w:r>
      <w:r w:rsidR="00B720E4"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РД09-3</w:t>
      </w:r>
      <w:r w:rsidR="006E3575"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08.01.2014</w:t>
      </w:r>
      <w:r w:rsidR="00C57F93"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г., на „Рибарското училище” е определен статут на единична архитектурно-строителна и историческа НКЦ с категория „национално” значение. Със същата заповед са регламентирани териториалния обхват и предписанията за опазване на ценността. </w:t>
      </w:r>
    </w:p>
    <w:p w14:paraId="3A665E2F" w14:textId="6F945FA1"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Batang" w:hAnsi="Times New Roman" w:cs="Times New Roman"/>
          <w:sz w:val="24"/>
          <w:szCs w:val="24"/>
          <w:lang w:val="bg-BG" w:eastAsia="ko-KR"/>
        </w:rPr>
        <w:t xml:space="preserve">Античен град Аполония обхваща обекти от Античността до началото на XIX век, част от които са обявени за недвижими културни ценности. В Стария Созопол днес могат да се видят реставрирани фрагменти на южната крепостна стена с правоъгълна кула. </w:t>
      </w:r>
      <w:r w:rsidR="00FA5B95" w:rsidRPr="00610B1B">
        <w:rPr>
          <w:rFonts w:ascii="Times New Roman" w:eastAsia="Times New Roman" w:hAnsi="Times New Roman" w:cs="Times New Roman"/>
          <w:sz w:val="24"/>
          <w:szCs w:val="24"/>
          <w:lang w:val="bg-BG"/>
        </w:rPr>
        <w:t>Поради м</w:t>
      </w:r>
      <w:r w:rsidRPr="00610B1B">
        <w:rPr>
          <w:rFonts w:ascii="Times New Roman" w:eastAsia="Times New Roman" w:hAnsi="Times New Roman" w:cs="Times New Roman"/>
          <w:sz w:val="24"/>
          <w:szCs w:val="24"/>
          <w:lang w:val="bg-BG"/>
        </w:rPr>
        <w:t>асовото застрояване, включително и в защитените зони</w:t>
      </w:r>
      <w:r w:rsidR="00FA5B95" w:rsidRPr="00610B1B">
        <w:rPr>
          <w:rFonts w:ascii="Times New Roman" w:eastAsia="Times New Roman" w:hAnsi="Times New Roman" w:cs="Times New Roman"/>
          <w:sz w:val="24"/>
          <w:szCs w:val="24"/>
          <w:lang w:val="bg-BG"/>
        </w:rPr>
        <w:t>, п</w:t>
      </w:r>
      <w:r w:rsidR="006E3575" w:rsidRPr="00610B1B">
        <w:rPr>
          <w:rFonts w:ascii="Times New Roman" w:eastAsia="Times New Roman" w:hAnsi="Times New Roman" w:cs="Times New Roman"/>
          <w:sz w:val="24"/>
          <w:szCs w:val="24"/>
          <w:lang w:val="bg-BG"/>
        </w:rPr>
        <w:t xml:space="preserve">рез </w:t>
      </w:r>
      <w:r w:rsidR="00B720E4" w:rsidRPr="00610B1B">
        <w:rPr>
          <w:rFonts w:ascii="Times New Roman" w:eastAsia="Times New Roman" w:hAnsi="Times New Roman" w:cs="Times New Roman"/>
          <w:sz w:val="24"/>
          <w:szCs w:val="24"/>
          <w:lang w:val="bg-BG"/>
        </w:rPr>
        <w:t xml:space="preserve">последните години </w:t>
      </w:r>
      <w:r w:rsidR="006E3575" w:rsidRPr="00610B1B">
        <w:rPr>
          <w:rFonts w:ascii="Times New Roman" w:eastAsia="Times New Roman" w:hAnsi="Times New Roman" w:cs="Times New Roman"/>
          <w:sz w:val="24"/>
          <w:szCs w:val="24"/>
          <w:lang w:val="bg-BG"/>
        </w:rPr>
        <w:t xml:space="preserve">се </w:t>
      </w:r>
      <w:r w:rsidRPr="00610B1B">
        <w:rPr>
          <w:rFonts w:ascii="Times New Roman" w:eastAsia="Times New Roman" w:hAnsi="Times New Roman" w:cs="Times New Roman"/>
          <w:sz w:val="24"/>
          <w:szCs w:val="24"/>
          <w:lang w:val="bg-BG"/>
        </w:rPr>
        <w:t>заличиха сгради, недвижими културни ценности</w:t>
      </w:r>
      <w:r w:rsidR="006E3575" w:rsidRPr="00610B1B">
        <w:rPr>
          <w:rFonts w:ascii="Times New Roman" w:eastAsia="Times New Roman" w:hAnsi="Times New Roman" w:cs="Times New Roman"/>
          <w:sz w:val="24"/>
          <w:szCs w:val="24"/>
          <w:lang w:val="bg-BG"/>
        </w:rPr>
        <w:t xml:space="preserve">, унищожени са </w:t>
      </w:r>
      <w:r w:rsidRPr="00610B1B">
        <w:rPr>
          <w:rFonts w:ascii="Times New Roman" w:eastAsia="Times New Roman" w:hAnsi="Times New Roman" w:cs="Times New Roman"/>
          <w:sz w:val="24"/>
          <w:szCs w:val="24"/>
          <w:lang w:val="bg-BG"/>
        </w:rPr>
        <w:t xml:space="preserve">градоустройствени характеристики, които са създавали облика и неповторимостта на града </w:t>
      </w:r>
      <w:r w:rsidR="006E3575"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например т.н. „римни”</w:t>
      </w:r>
      <w:r w:rsidR="006E3575"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особено в крайбрежната зона. Голяма част от сградите са нараснали във височина, за да задоволят инвестиционни интереси. Постановките на изработения от НИПК (днешен НИНКН) през 1984</w:t>
      </w:r>
      <w:r w:rsidR="00B720E4"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г. Директивен план-концепция отдавна са нарушени. </w:t>
      </w:r>
      <w:r w:rsidR="00FA5B95" w:rsidRPr="00610B1B">
        <w:rPr>
          <w:rFonts w:ascii="Times New Roman" w:eastAsia="Times New Roman" w:hAnsi="Times New Roman" w:cs="Times New Roman"/>
          <w:sz w:val="24"/>
          <w:szCs w:val="24"/>
          <w:lang w:val="bg-BG"/>
        </w:rPr>
        <w:t>Това налага спешно провеждане на актуализация на режимите на опазване.</w:t>
      </w:r>
    </w:p>
    <w:p w14:paraId="72E568B6" w14:textId="5B41FB1E"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Всички обекти от археологическото наследство </w:t>
      </w:r>
      <w:r w:rsidR="00B720E4" w:rsidRPr="00610B1B">
        <w:rPr>
          <w:rFonts w:ascii="Times New Roman" w:eastAsia="Times New Roman" w:hAnsi="Times New Roman" w:cs="Times New Roman"/>
          <w:sz w:val="24"/>
          <w:szCs w:val="24"/>
          <w:lang w:val="bg-BG"/>
        </w:rPr>
        <w:t>в</w:t>
      </w:r>
      <w:r w:rsidRPr="00610B1B">
        <w:rPr>
          <w:rFonts w:ascii="Times New Roman" w:eastAsia="Times New Roman" w:hAnsi="Times New Roman" w:cs="Times New Roman"/>
          <w:sz w:val="24"/>
          <w:szCs w:val="24"/>
          <w:lang w:val="bg-BG"/>
        </w:rPr>
        <w:t xml:space="preserve"> резервата са проучени и с проведени консерв</w:t>
      </w:r>
      <w:r w:rsidR="00B720E4" w:rsidRPr="00610B1B">
        <w:rPr>
          <w:rFonts w:ascii="Times New Roman" w:eastAsia="Times New Roman" w:hAnsi="Times New Roman" w:cs="Times New Roman"/>
          <w:sz w:val="24"/>
          <w:szCs w:val="24"/>
          <w:lang w:val="bg-BG"/>
        </w:rPr>
        <w:t>а</w:t>
      </w:r>
      <w:r w:rsidRPr="00610B1B">
        <w:rPr>
          <w:rFonts w:ascii="Times New Roman" w:eastAsia="Times New Roman" w:hAnsi="Times New Roman" w:cs="Times New Roman"/>
          <w:sz w:val="24"/>
          <w:szCs w:val="24"/>
          <w:lang w:val="bg-BG"/>
        </w:rPr>
        <w:t>ционно-реставрационни работи. Тези работи, както и експонирането на отделните недвижими културни ценности, са проведени „на парче” и не са адекватни на тенденциите в областта на опазване на архитектурното/археологическо</w:t>
      </w:r>
      <w:r w:rsidR="00B720E4" w:rsidRPr="00610B1B">
        <w:rPr>
          <w:rFonts w:ascii="Times New Roman" w:eastAsia="Times New Roman" w:hAnsi="Times New Roman" w:cs="Times New Roman"/>
          <w:sz w:val="24"/>
          <w:szCs w:val="24"/>
          <w:lang w:val="bg-BG"/>
        </w:rPr>
        <w:t>то</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наследство. </w:t>
      </w:r>
      <w:r w:rsidR="00B720E4" w:rsidRPr="00610B1B">
        <w:rPr>
          <w:rFonts w:ascii="Times New Roman" w:eastAsia="Times New Roman" w:hAnsi="Times New Roman" w:cs="Times New Roman"/>
          <w:sz w:val="24"/>
          <w:szCs w:val="24"/>
          <w:lang w:val="bg-BG"/>
        </w:rPr>
        <w:t>Добри</w:t>
      </w:r>
      <w:r w:rsidRPr="00610B1B">
        <w:rPr>
          <w:rFonts w:ascii="Times New Roman" w:eastAsia="Times New Roman" w:hAnsi="Times New Roman" w:cs="Times New Roman"/>
          <w:sz w:val="24"/>
          <w:szCs w:val="24"/>
          <w:lang w:val="bg-BG"/>
        </w:rPr>
        <w:t xml:space="preserve"> разработки, като „Концепция за опазване и устойчиво развитие на о</w:t>
      </w:r>
      <w:r w:rsidR="00B720E4" w:rsidRPr="00610B1B">
        <w:rPr>
          <w:rFonts w:ascii="Times New Roman" w:eastAsia="Times New Roman" w:hAnsi="Times New Roman" w:cs="Times New Roman"/>
          <w:sz w:val="24"/>
          <w:szCs w:val="24"/>
          <w:lang w:val="bg-BG"/>
        </w:rPr>
        <w:t>-в</w:t>
      </w:r>
      <w:r w:rsidRPr="00610B1B">
        <w:rPr>
          <w:rFonts w:ascii="Times New Roman" w:eastAsia="Times New Roman" w:hAnsi="Times New Roman" w:cs="Times New Roman"/>
          <w:sz w:val="24"/>
          <w:szCs w:val="24"/>
          <w:lang w:val="bg-BG"/>
        </w:rPr>
        <w:t xml:space="preserve"> „Св.</w:t>
      </w:r>
      <w:r w:rsidR="00B720E4" w:rsidRPr="00610B1B">
        <w:rPr>
          <w:rFonts w:ascii="Times New Roman" w:eastAsia="Times New Roman" w:hAnsi="Times New Roman" w:cs="Times New Roman"/>
          <w:sz w:val="24"/>
          <w:szCs w:val="24"/>
          <w:lang w:val="bg-BG"/>
        </w:rPr>
        <w:t xml:space="preserve"> Св</w:t>
      </w:r>
      <w:r w:rsidRPr="00610B1B">
        <w:rPr>
          <w:rFonts w:ascii="Times New Roman" w:eastAsia="Times New Roman" w:hAnsi="Times New Roman" w:cs="Times New Roman"/>
          <w:sz w:val="24"/>
          <w:szCs w:val="24"/>
          <w:lang w:val="bg-BG"/>
        </w:rPr>
        <w:t>.</w:t>
      </w:r>
      <w:r w:rsidR="00B720E4"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Кирик и Юлита”</w:t>
      </w:r>
      <w:r w:rsidR="006E3575"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2011</w:t>
      </w:r>
      <w:r w:rsidR="00C57F93"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w:t>
      </w:r>
      <w:r w:rsidR="006E3575"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не са реализирани.</w:t>
      </w:r>
      <w:r w:rsidR="00B720E4"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Положително намерение, което очаква своята реализация, е старото Воен</w:t>
      </w:r>
      <w:r w:rsidR="00B720E4" w:rsidRPr="00610B1B">
        <w:rPr>
          <w:rFonts w:ascii="Times New Roman" w:eastAsia="Times New Roman" w:hAnsi="Times New Roman" w:cs="Times New Roman"/>
          <w:sz w:val="24"/>
          <w:szCs w:val="24"/>
          <w:lang w:val="bg-BG"/>
        </w:rPr>
        <w:t>н</w:t>
      </w:r>
      <w:r w:rsidRPr="00610B1B">
        <w:rPr>
          <w:rFonts w:ascii="Times New Roman" w:eastAsia="Times New Roman" w:hAnsi="Times New Roman" w:cs="Times New Roman"/>
          <w:sz w:val="24"/>
          <w:szCs w:val="24"/>
          <w:lang w:val="bg-BG"/>
        </w:rPr>
        <w:t>о-морско училище да се превърне в музей</w:t>
      </w:r>
      <w:r w:rsidR="006E3575" w:rsidRPr="00610B1B">
        <w:rPr>
          <w:rFonts w:ascii="Times New Roman" w:eastAsia="Times New Roman" w:hAnsi="Times New Roman" w:cs="Times New Roman"/>
          <w:sz w:val="24"/>
          <w:szCs w:val="24"/>
          <w:lang w:val="bg-BG"/>
        </w:rPr>
        <w:t xml:space="preserve"> и</w:t>
      </w:r>
      <w:r w:rsidRPr="00610B1B">
        <w:rPr>
          <w:rFonts w:ascii="Times New Roman" w:eastAsia="Times New Roman" w:hAnsi="Times New Roman" w:cs="Times New Roman"/>
          <w:sz w:val="24"/>
          <w:szCs w:val="24"/>
          <w:lang w:val="bg-BG"/>
        </w:rPr>
        <w:t xml:space="preserve"> в него </w:t>
      </w:r>
      <w:r w:rsidR="006E3575" w:rsidRPr="00610B1B">
        <w:rPr>
          <w:rFonts w:ascii="Times New Roman" w:eastAsia="Times New Roman" w:hAnsi="Times New Roman" w:cs="Times New Roman"/>
          <w:sz w:val="24"/>
          <w:szCs w:val="24"/>
          <w:lang w:val="bg-BG"/>
        </w:rPr>
        <w:t xml:space="preserve">да </w:t>
      </w:r>
      <w:r w:rsidRPr="00610B1B">
        <w:rPr>
          <w:rFonts w:ascii="Times New Roman" w:eastAsia="Times New Roman" w:hAnsi="Times New Roman" w:cs="Times New Roman"/>
          <w:sz w:val="24"/>
          <w:szCs w:val="24"/>
          <w:lang w:val="bg-BG"/>
        </w:rPr>
        <w:t>бъде интегрирана археологическата субстанция</w:t>
      </w:r>
      <w:r w:rsidR="006E3575"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разкрита непосредствено пред сградата, а територията около него да се превърне в зона за култура и рекреация.</w:t>
      </w:r>
      <w:r w:rsidR="00C415D1" w:rsidRPr="00610B1B">
        <w:rPr>
          <w:rFonts w:ascii="Times New Roman" w:eastAsia="Times New Roman" w:hAnsi="Times New Roman" w:cs="Times New Roman"/>
          <w:sz w:val="24"/>
          <w:szCs w:val="24"/>
          <w:lang w:val="bg-BG"/>
        </w:rPr>
        <w:t xml:space="preserve"> </w:t>
      </w:r>
    </w:p>
    <w:p w14:paraId="358E26FF" w14:textId="1824DC71"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bCs/>
          <w:i/>
          <w:iCs/>
          <w:sz w:val="24"/>
          <w:szCs w:val="24"/>
          <w:lang w:val="bg-BG"/>
        </w:rPr>
        <w:t>Архитектурно-парков комплекс „ Двореца”, гр.</w:t>
      </w:r>
      <w:r w:rsidR="00FA5B95" w:rsidRPr="00610B1B">
        <w:rPr>
          <w:rFonts w:ascii="Times New Roman" w:eastAsia="Times New Roman" w:hAnsi="Times New Roman" w:cs="Times New Roman"/>
          <w:bCs/>
          <w:i/>
          <w:iCs/>
          <w:sz w:val="24"/>
          <w:szCs w:val="24"/>
          <w:lang w:val="bg-BG"/>
        </w:rPr>
        <w:t xml:space="preserve"> </w:t>
      </w:r>
      <w:r w:rsidRPr="00610B1B">
        <w:rPr>
          <w:rFonts w:ascii="Times New Roman" w:eastAsia="Times New Roman" w:hAnsi="Times New Roman" w:cs="Times New Roman"/>
          <w:bCs/>
          <w:i/>
          <w:iCs/>
          <w:sz w:val="24"/>
          <w:szCs w:val="24"/>
          <w:lang w:val="bg-BG"/>
        </w:rPr>
        <w:t>Балчик</w:t>
      </w:r>
      <w:r w:rsidR="007A4FEC" w:rsidRPr="00610B1B">
        <w:rPr>
          <w:rFonts w:ascii="Times New Roman" w:eastAsia="Times New Roman" w:hAnsi="Times New Roman" w:cs="Times New Roman"/>
          <w:bCs/>
          <w:i/>
          <w:iCs/>
          <w:sz w:val="24"/>
          <w:szCs w:val="24"/>
          <w:lang w:val="bg-BG"/>
        </w:rPr>
        <w:t xml:space="preserve"> </w:t>
      </w:r>
      <w:r w:rsidR="007A4FEC" w:rsidRPr="00610B1B">
        <w:rPr>
          <w:rFonts w:ascii="Times New Roman" w:eastAsia="Times New Roman" w:hAnsi="Times New Roman" w:cs="Times New Roman"/>
          <w:bCs/>
          <w:sz w:val="24"/>
          <w:szCs w:val="24"/>
          <w:lang w:val="bg-BG"/>
        </w:rPr>
        <w:t xml:space="preserve">е </w:t>
      </w:r>
      <w:r w:rsidRPr="00610B1B">
        <w:rPr>
          <w:rFonts w:ascii="Times New Roman" w:eastAsia="Times New Roman" w:hAnsi="Times New Roman" w:cs="Times New Roman"/>
          <w:sz w:val="24"/>
          <w:szCs w:val="24"/>
          <w:lang w:val="bg-BG"/>
        </w:rPr>
        <w:t>НКЦ с категория „национално значение”</w:t>
      </w:r>
      <w:r w:rsidR="007A4FEC"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и с определени режими на опазване. Съставните елементи на комплекса са със статут на единични архитектурно-строителни и художествени НКЦ и са общо 15</w:t>
      </w:r>
      <w:r w:rsidR="007A4FEC" w:rsidRPr="00610B1B">
        <w:rPr>
          <w:rFonts w:ascii="Times New Roman" w:eastAsia="Times New Roman" w:hAnsi="Times New Roman" w:cs="Times New Roman"/>
          <w:sz w:val="24"/>
          <w:szCs w:val="24"/>
          <w:lang w:val="bg-BG"/>
        </w:rPr>
        <w:t xml:space="preserve"> броя</w:t>
      </w:r>
      <w:r w:rsidRPr="00610B1B">
        <w:rPr>
          <w:rFonts w:ascii="Times New Roman" w:eastAsia="Times New Roman" w:hAnsi="Times New Roman" w:cs="Times New Roman"/>
          <w:sz w:val="24"/>
          <w:szCs w:val="24"/>
          <w:lang w:val="bg-BG"/>
        </w:rPr>
        <w:t>.</w:t>
      </w:r>
      <w:r w:rsidR="00FA5B95"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Архитектурно-художественото оформление </w:t>
      </w:r>
      <w:r w:rsidR="00FA5B95" w:rsidRPr="00610B1B">
        <w:rPr>
          <w:rFonts w:ascii="Times New Roman" w:eastAsia="Times New Roman" w:hAnsi="Times New Roman" w:cs="Times New Roman"/>
          <w:sz w:val="24"/>
          <w:szCs w:val="24"/>
          <w:lang w:val="bg-BG"/>
        </w:rPr>
        <w:t xml:space="preserve">на вилата </w:t>
      </w:r>
      <w:r w:rsidRPr="00610B1B">
        <w:rPr>
          <w:rFonts w:ascii="Times New Roman" w:eastAsia="Times New Roman" w:hAnsi="Times New Roman" w:cs="Times New Roman"/>
          <w:sz w:val="24"/>
          <w:szCs w:val="24"/>
          <w:lang w:val="bg-BG"/>
        </w:rPr>
        <w:t>е изпълнено в маниера на националния и регионалния романтизъм. Парковата част е създадена от швейцарския ботаник Жани. През 60-те години на ХХ век комплексът е предоставен за почивна станция</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на Комитета за култура и в него са построени нови сгради. През </w:t>
      </w:r>
      <w:r w:rsidR="007A4FEC" w:rsidRPr="00610B1B">
        <w:rPr>
          <w:rFonts w:ascii="Times New Roman" w:eastAsia="Times New Roman" w:hAnsi="Times New Roman" w:cs="Times New Roman"/>
          <w:sz w:val="24"/>
          <w:szCs w:val="24"/>
          <w:lang w:val="bg-BG"/>
        </w:rPr>
        <w:t>19</w:t>
      </w:r>
      <w:r w:rsidRPr="00610B1B">
        <w:rPr>
          <w:rFonts w:ascii="Times New Roman" w:eastAsia="Times New Roman" w:hAnsi="Times New Roman" w:cs="Times New Roman"/>
          <w:sz w:val="24"/>
          <w:szCs w:val="24"/>
          <w:lang w:val="bg-BG"/>
        </w:rPr>
        <w:t>80-те го</w:t>
      </w:r>
      <w:r w:rsidR="007A4FEC" w:rsidRPr="00610B1B">
        <w:rPr>
          <w:rFonts w:ascii="Times New Roman" w:eastAsia="Times New Roman" w:hAnsi="Times New Roman" w:cs="Times New Roman"/>
          <w:sz w:val="24"/>
          <w:szCs w:val="24"/>
          <w:lang w:val="bg-BG"/>
        </w:rPr>
        <w:t>дини</w:t>
      </w:r>
      <w:r w:rsidRPr="00610B1B">
        <w:rPr>
          <w:rFonts w:ascii="Times New Roman" w:eastAsia="Times New Roman" w:hAnsi="Times New Roman" w:cs="Times New Roman"/>
          <w:sz w:val="24"/>
          <w:szCs w:val="24"/>
          <w:lang w:val="bg-BG"/>
        </w:rPr>
        <w:t xml:space="preserve"> е укреп</w:t>
      </w:r>
      <w:r w:rsidR="000E2DE5" w:rsidRPr="00610B1B">
        <w:rPr>
          <w:rFonts w:ascii="Times New Roman" w:eastAsia="Times New Roman" w:hAnsi="Times New Roman" w:cs="Times New Roman"/>
          <w:sz w:val="24"/>
          <w:szCs w:val="24"/>
          <w:lang w:val="bg-BG"/>
        </w:rPr>
        <w:t>ена</w:t>
      </w:r>
      <w:r w:rsidRPr="00610B1B">
        <w:rPr>
          <w:rFonts w:ascii="Times New Roman" w:eastAsia="Times New Roman" w:hAnsi="Times New Roman" w:cs="Times New Roman"/>
          <w:sz w:val="24"/>
          <w:szCs w:val="24"/>
          <w:lang w:val="bg-BG"/>
        </w:rPr>
        <w:t xml:space="preserve"> бреговата линия. Прокаран е панорамен път до </w:t>
      </w:r>
      <w:r w:rsidR="000E2DE5"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Албена</w:t>
      </w:r>
      <w:r w:rsidR="000E2DE5"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и е създадена изкуствена плажна ивица. Засиленото строителството в района през първото десетилетие на ХХI век води до </w:t>
      </w:r>
      <w:r w:rsidRPr="00610B1B">
        <w:rPr>
          <w:rFonts w:ascii="Times New Roman" w:eastAsia="Times New Roman" w:hAnsi="Times New Roman" w:cs="Times New Roman"/>
          <w:sz w:val="24"/>
          <w:szCs w:val="24"/>
          <w:lang w:val="bg-BG"/>
        </w:rPr>
        <w:lastRenderedPageBreak/>
        <w:t xml:space="preserve">свлачищна дейност и деструкция. Дворецът е превърнат в музей, </w:t>
      </w:r>
      <w:r w:rsidR="007A4FEC" w:rsidRPr="00610B1B">
        <w:rPr>
          <w:rFonts w:ascii="Times New Roman" w:eastAsia="Times New Roman" w:hAnsi="Times New Roman" w:cs="Times New Roman"/>
          <w:sz w:val="24"/>
          <w:szCs w:val="24"/>
          <w:lang w:val="bg-BG"/>
        </w:rPr>
        <w:t>посещаван от</w:t>
      </w:r>
      <w:r w:rsidRPr="00610B1B">
        <w:rPr>
          <w:rFonts w:ascii="Times New Roman" w:eastAsia="Times New Roman" w:hAnsi="Times New Roman" w:cs="Times New Roman"/>
          <w:sz w:val="24"/>
          <w:szCs w:val="24"/>
          <w:lang w:val="bg-BG"/>
        </w:rPr>
        <w:t xml:space="preserve"> български</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и</w:t>
      </w:r>
      <w:r w:rsidR="007A4FEC" w:rsidRPr="00610B1B">
        <w:rPr>
          <w:rFonts w:ascii="Times New Roman" w:eastAsia="Times New Roman" w:hAnsi="Times New Roman" w:cs="Times New Roman"/>
          <w:sz w:val="24"/>
          <w:szCs w:val="24"/>
          <w:lang w:val="bg-BG"/>
        </w:rPr>
        <w:t xml:space="preserve"> ч</w:t>
      </w:r>
      <w:r w:rsidRPr="00610B1B">
        <w:rPr>
          <w:rFonts w:ascii="Times New Roman" w:eastAsia="Times New Roman" w:hAnsi="Times New Roman" w:cs="Times New Roman"/>
          <w:sz w:val="24"/>
          <w:szCs w:val="24"/>
          <w:lang w:val="bg-BG"/>
        </w:rPr>
        <w:t xml:space="preserve">уждестранни туристи. </w:t>
      </w:r>
    </w:p>
    <w:p w14:paraId="6B1A2FF4" w14:textId="1675B3BF" w:rsidR="00442579" w:rsidRPr="00610B1B" w:rsidRDefault="00442579" w:rsidP="00D32D6A">
      <w:pPr>
        <w:spacing w:after="120"/>
        <w:ind w:right="-153"/>
        <w:jc w:val="both"/>
        <w:rPr>
          <w:rFonts w:ascii="Times New Roman" w:eastAsia="Times New Roman" w:hAnsi="Times New Roman" w:cs="Times New Roman"/>
          <w:b/>
          <w:color w:val="E36C0A"/>
          <w:sz w:val="24"/>
          <w:szCs w:val="24"/>
          <w:lang w:val="bg-BG"/>
        </w:rPr>
      </w:pPr>
      <w:r w:rsidRPr="00610B1B">
        <w:rPr>
          <w:rFonts w:ascii="Times New Roman" w:eastAsia="Times New Roman" w:hAnsi="Times New Roman" w:cs="Times New Roman"/>
          <w:bCs/>
          <w:i/>
          <w:iCs/>
          <w:sz w:val="24"/>
          <w:szCs w:val="24"/>
          <w:lang w:val="bg-BG"/>
        </w:rPr>
        <w:t>Комплекс „ Дворец Евксиноград и прилежащия му парк”, гр. Варна</w:t>
      </w:r>
      <w:r w:rsidR="00D66FE0" w:rsidRPr="00610B1B">
        <w:rPr>
          <w:rFonts w:ascii="Times New Roman" w:eastAsia="Times New Roman" w:hAnsi="Times New Roman" w:cs="Times New Roman"/>
          <w:bCs/>
          <w:i/>
          <w:iCs/>
          <w:sz w:val="24"/>
          <w:szCs w:val="24"/>
          <w:lang w:val="bg-BG"/>
        </w:rPr>
        <w:t xml:space="preserve"> </w:t>
      </w:r>
      <w:r w:rsidRPr="00610B1B">
        <w:rPr>
          <w:rFonts w:ascii="Times New Roman" w:eastAsia="Times New Roman" w:hAnsi="Times New Roman" w:cs="Times New Roman"/>
          <w:sz w:val="24"/>
          <w:szCs w:val="24"/>
          <w:lang w:val="bg-BG"/>
        </w:rPr>
        <w:t>е обявен за групова НКЦ с категория „национално значение“ с определени режими на опазване. Съставните елементи със статут на единични НКЦ са шест: „Парк Евксиноград“, „Дворец Евксиноград“, Сграда „АТЦ“,</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„Царска конюшна ЩАЛ“, „Оранжерии“ и „Късноантична и средновековна крепост „Кастрици““. От тях 4</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са с категория „национално значение“, 2 са с категория „местно значение“, а 4 с категория „за сведение“. </w:t>
      </w:r>
    </w:p>
    <w:p w14:paraId="7C514583" w14:textId="78AF7703"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Дворецът „Евксиноград“ е изграден в периода непосредствено след Съединението за лятна резиденция на българските монарси. Открит е през 1908 г. „Евксиноград“ представлява единствената запазена национална дворцова сграда, от която може да </w:t>
      </w:r>
      <w:r w:rsidR="007A4FEC" w:rsidRPr="00610B1B">
        <w:rPr>
          <w:rFonts w:ascii="Times New Roman" w:eastAsia="Times New Roman" w:hAnsi="Times New Roman" w:cs="Times New Roman"/>
          <w:sz w:val="24"/>
          <w:szCs w:val="24"/>
          <w:lang w:val="bg-BG"/>
        </w:rPr>
        <w:t xml:space="preserve">се </w:t>
      </w:r>
      <w:r w:rsidRPr="00610B1B">
        <w:rPr>
          <w:rFonts w:ascii="Times New Roman" w:eastAsia="Times New Roman" w:hAnsi="Times New Roman" w:cs="Times New Roman"/>
          <w:sz w:val="24"/>
          <w:szCs w:val="24"/>
          <w:lang w:val="bg-BG"/>
        </w:rPr>
        <w:t>съди за държавния и дворцовия протокол. Парк „Евксиноград“ е изграден в различни периоди. През 1886</w:t>
      </w:r>
      <w:r w:rsidR="007A4FEC"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е осъществен проекта на немския паркостроител Петцолд, а в периода 1893-1912 г. паркът се разширява. През 1903 г. е построено евксиноградското пристанище и са укрепени скалите на нос „Соганлък“. Очертават се паркова част на резиденцията по крайбрежието и стопанска – на север и запад. През 1921 г. паркът е част от Царските ботанически градини. През 1935 г. приключва композиционното изграждане на парка. След 1944</w:t>
      </w:r>
      <w:r w:rsidR="007A4FEC"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г. Евксиноград става правителствена резиденция. През второто десетилетие на ХХI</w:t>
      </w:r>
      <w:r w:rsidR="007A4FEC"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век е внесен проект за извършване на консервационно-реставрационни работи, който е съгласуван от МК</w:t>
      </w:r>
      <w:r w:rsidR="00FA5B95" w:rsidRPr="00610B1B">
        <w:rPr>
          <w:rFonts w:ascii="Times New Roman" w:eastAsia="Times New Roman" w:hAnsi="Times New Roman" w:cs="Times New Roman"/>
          <w:sz w:val="24"/>
          <w:szCs w:val="24"/>
          <w:lang w:val="bg-BG"/>
        </w:rPr>
        <w:t xml:space="preserve"> и е реализиран частично</w:t>
      </w:r>
      <w:r w:rsidRPr="00610B1B">
        <w:rPr>
          <w:rFonts w:ascii="Times New Roman" w:eastAsia="Times New Roman" w:hAnsi="Times New Roman" w:cs="Times New Roman"/>
          <w:sz w:val="24"/>
          <w:szCs w:val="24"/>
          <w:lang w:val="bg-BG"/>
        </w:rPr>
        <w:t>. Днес обектът се използва за правителствена почивна база. Има и организирани посещения на туристи.</w:t>
      </w:r>
    </w:p>
    <w:p w14:paraId="4682BDFA" w14:textId="1C8AAD64" w:rsidR="00442579" w:rsidRPr="00610B1B" w:rsidRDefault="007A4FEC"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В тази група НКЦ попадат и </w:t>
      </w:r>
      <w:r w:rsidR="00442579" w:rsidRPr="00610B1B">
        <w:rPr>
          <w:rFonts w:ascii="Times New Roman" w:eastAsia="Times New Roman" w:hAnsi="Times New Roman" w:cs="Times New Roman"/>
          <w:bCs/>
          <w:i/>
          <w:iCs/>
          <w:sz w:val="24"/>
          <w:szCs w:val="24"/>
          <w:lang w:val="bg-BG"/>
        </w:rPr>
        <w:t>Историческо</w:t>
      </w:r>
      <w:r w:rsidRPr="00610B1B">
        <w:rPr>
          <w:rFonts w:ascii="Times New Roman" w:eastAsia="Times New Roman" w:hAnsi="Times New Roman" w:cs="Times New Roman"/>
          <w:bCs/>
          <w:i/>
          <w:iCs/>
          <w:sz w:val="24"/>
          <w:szCs w:val="24"/>
          <w:lang w:val="bg-BG"/>
        </w:rPr>
        <w:t>то</w:t>
      </w:r>
      <w:r w:rsidR="00442579" w:rsidRPr="00610B1B">
        <w:rPr>
          <w:rFonts w:ascii="Times New Roman" w:eastAsia="Times New Roman" w:hAnsi="Times New Roman" w:cs="Times New Roman"/>
          <w:bCs/>
          <w:i/>
          <w:iCs/>
          <w:sz w:val="24"/>
          <w:szCs w:val="24"/>
          <w:lang w:val="bg-BG"/>
        </w:rPr>
        <w:t xml:space="preserve"> ядро на морската градина във Варна</w:t>
      </w:r>
      <w:r w:rsidRPr="00610B1B">
        <w:rPr>
          <w:rFonts w:ascii="Times New Roman" w:eastAsia="Times New Roman" w:hAnsi="Times New Roman" w:cs="Times New Roman"/>
          <w:bCs/>
          <w:i/>
          <w:iCs/>
          <w:sz w:val="24"/>
          <w:szCs w:val="24"/>
          <w:lang w:val="bg-BG"/>
        </w:rPr>
        <w:t xml:space="preserve">, </w:t>
      </w:r>
      <w:r w:rsidRPr="00610B1B">
        <w:rPr>
          <w:rFonts w:ascii="Times New Roman" w:eastAsia="Times New Roman" w:hAnsi="Times New Roman" w:cs="Times New Roman"/>
          <w:bCs/>
          <w:sz w:val="24"/>
          <w:szCs w:val="24"/>
          <w:lang w:val="bg-BG"/>
        </w:rPr>
        <w:t>която е Н</w:t>
      </w:r>
      <w:r w:rsidR="00442579" w:rsidRPr="00610B1B">
        <w:rPr>
          <w:rFonts w:ascii="Times New Roman" w:eastAsia="Times New Roman" w:hAnsi="Times New Roman" w:cs="Times New Roman"/>
          <w:bCs/>
          <w:sz w:val="24"/>
          <w:szCs w:val="24"/>
          <w:lang w:val="bg-BG"/>
        </w:rPr>
        <w:t>КЦ</w:t>
      </w:r>
      <w:r w:rsidR="00442579" w:rsidRPr="00610B1B">
        <w:rPr>
          <w:rFonts w:ascii="Times New Roman" w:eastAsia="Times New Roman" w:hAnsi="Times New Roman" w:cs="Times New Roman"/>
          <w:sz w:val="24"/>
          <w:szCs w:val="24"/>
          <w:lang w:val="bg-BG"/>
        </w:rPr>
        <w:t xml:space="preserve"> на градинското и парково изкуство, с категория „национално значение“ с определени режими за опазване</w:t>
      </w:r>
      <w:r w:rsidRPr="00610B1B">
        <w:rPr>
          <w:rFonts w:ascii="Times New Roman" w:eastAsia="Times New Roman" w:hAnsi="Times New Roman" w:cs="Times New Roman"/>
          <w:sz w:val="24"/>
          <w:szCs w:val="24"/>
          <w:lang w:val="bg-BG"/>
        </w:rPr>
        <w:t xml:space="preserve"> и </w:t>
      </w:r>
      <w:r w:rsidR="00442579" w:rsidRPr="00610B1B">
        <w:rPr>
          <w:rFonts w:ascii="Times New Roman" w:eastAsia="Times New Roman" w:hAnsi="Times New Roman" w:cs="Times New Roman"/>
          <w:bCs/>
          <w:i/>
          <w:iCs/>
          <w:sz w:val="24"/>
          <w:szCs w:val="24"/>
          <w:lang w:val="bg-BG"/>
        </w:rPr>
        <w:t xml:space="preserve">Историческо ядро на морската градина в Бургас, </w:t>
      </w:r>
      <w:r w:rsidRPr="00610B1B">
        <w:rPr>
          <w:rFonts w:ascii="Times New Roman" w:eastAsia="Times New Roman" w:hAnsi="Times New Roman" w:cs="Times New Roman"/>
          <w:bCs/>
          <w:sz w:val="24"/>
          <w:szCs w:val="24"/>
          <w:lang w:val="bg-BG"/>
        </w:rPr>
        <w:t xml:space="preserve">със същата категория и </w:t>
      </w:r>
      <w:r w:rsidR="00442579" w:rsidRPr="00610B1B">
        <w:rPr>
          <w:rFonts w:ascii="Times New Roman" w:eastAsia="Times New Roman" w:hAnsi="Times New Roman" w:cs="Times New Roman"/>
          <w:sz w:val="24"/>
          <w:szCs w:val="24"/>
          <w:lang w:val="bg-BG"/>
        </w:rPr>
        <w:t xml:space="preserve">определени режими за опазване. </w:t>
      </w:r>
    </w:p>
    <w:p w14:paraId="4CBB90F3" w14:textId="303DC156"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
          <w:iCs/>
          <w:sz w:val="24"/>
          <w:szCs w:val="24"/>
          <w:lang w:val="bg-BG"/>
        </w:rPr>
        <w:t>Поморийски солници, гр. Поморие</w:t>
      </w:r>
      <w:r w:rsidRPr="00610B1B">
        <w:rPr>
          <w:rFonts w:ascii="Times New Roman" w:eastAsia="Times New Roman" w:hAnsi="Times New Roman" w:cs="Times New Roman"/>
          <w:bCs/>
          <w:sz w:val="24"/>
          <w:szCs w:val="24"/>
          <w:lang w:val="bg-BG"/>
        </w:rPr>
        <w:t xml:space="preserve">, </w:t>
      </w:r>
      <w:r w:rsidR="00CC1F25" w:rsidRPr="00610B1B">
        <w:rPr>
          <w:rFonts w:ascii="Times New Roman" w:eastAsia="Times New Roman" w:hAnsi="Times New Roman" w:cs="Times New Roman"/>
          <w:bCs/>
          <w:sz w:val="24"/>
          <w:szCs w:val="24"/>
          <w:lang w:val="bg-BG"/>
        </w:rPr>
        <w:t>са е</w:t>
      </w:r>
      <w:r w:rsidRPr="00610B1B">
        <w:rPr>
          <w:rFonts w:ascii="Times New Roman" w:eastAsia="Times New Roman" w:hAnsi="Times New Roman" w:cs="Times New Roman"/>
          <w:sz w:val="24"/>
          <w:szCs w:val="24"/>
          <w:lang w:val="bg-BG"/>
        </w:rPr>
        <w:t>тнографска единична НКЦ, с предварителна категория „национално значение“, с определени режими за опазване.</w:t>
      </w:r>
      <w:r w:rsidR="00D66FE0" w:rsidRPr="00610B1B">
        <w:rPr>
          <w:rFonts w:ascii="Times New Roman" w:eastAsia="Times New Roman" w:hAnsi="Times New Roman" w:cs="Times New Roman"/>
          <w:sz w:val="24"/>
          <w:szCs w:val="24"/>
          <w:lang w:val="bg-BG"/>
        </w:rPr>
        <w:t xml:space="preserve"> </w:t>
      </w:r>
      <w:r w:rsidR="00CC1F25" w:rsidRPr="00610B1B">
        <w:rPr>
          <w:rFonts w:ascii="Times New Roman" w:eastAsia="Times New Roman" w:hAnsi="Times New Roman" w:cs="Times New Roman"/>
          <w:sz w:val="24"/>
          <w:szCs w:val="24"/>
          <w:lang w:val="bg-BG"/>
        </w:rPr>
        <w:t xml:space="preserve">Те </w:t>
      </w:r>
      <w:r w:rsidRPr="00610B1B">
        <w:rPr>
          <w:rFonts w:ascii="Times New Roman" w:eastAsia="Times New Roman" w:hAnsi="Times New Roman" w:cs="Times New Roman"/>
          <w:sz w:val="24"/>
          <w:szCs w:val="24"/>
          <w:lang w:val="bg-BG"/>
        </w:rPr>
        <w:t>се отличават със специфична</w:t>
      </w:r>
      <w:r w:rsidR="00CC1F25" w:rsidRPr="00610B1B">
        <w:rPr>
          <w:rFonts w:ascii="Times New Roman" w:eastAsia="Times New Roman" w:hAnsi="Times New Roman" w:cs="Times New Roman"/>
          <w:sz w:val="24"/>
          <w:szCs w:val="24"/>
          <w:lang w:val="bg-BG"/>
        </w:rPr>
        <w:t xml:space="preserve">та ръчна </w:t>
      </w:r>
      <w:r w:rsidRPr="00610B1B">
        <w:rPr>
          <w:rFonts w:ascii="Times New Roman" w:eastAsia="Times New Roman" w:hAnsi="Times New Roman" w:cs="Times New Roman"/>
          <w:sz w:val="24"/>
          <w:szCs w:val="24"/>
          <w:lang w:val="bg-BG"/>
        </w:rPr>
        <w:t>технология на солопроизводство, практикува</w:t>
      </w:r>
      <w:r w:rsidR="00CC1F25" w:rsidRPr="00610B1B">
        <w:rPr>
          <w:rFonts w:ascii="Times New Roman" w:eastAsia="Times New Roman" w:hAnsi="Times New Roman" w:cs="Times New Roman"/>
          <w:sz w:val="24"/>
          <w:szCs w:val="24"/>
          <w:lang w:val="bg-BG"/>
        </w:rPr>
        <w:t>н</w:t>
      </w:r>
      <w:r w:rsidRPr="00610B1B">
        <w:rPr>
          <w:rFonts w:ascii="Times New Roman" w:eastAsia="Times New Roman" w:hAnsi="Times New Roman" w:cs="Times New Roman"/>
          <w:sz w:val="24"/>
          <w:szCs w:val="24"/>
          <w:lang w:val="bg-BG"/>
        </w:rPr>
        <w:t>о от хилядолетия.</w:t>
      </w:r>
      <w:r w:rsidR="00CC1F25"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Солниците все още функционират предимно като демонстрационен обект, филиал на съществуващия Исторически музей в града. Социализацията на обекта, както и т.н. ”Музей на солта” не са адекватни на стойността на ценността и на съвременните тенденции </w:t>
      </w:r>
      <w:r w:rsidR="00C14AA0" w:rsidRPr="00610B1B">
        <w:rPr>
          <w:rFonts w:ascii="Times New Roman" w:eastAsia="Times New Roman" w:hAnsi="Times New Roman" w:cs="Times New Roman"/>
          <w:sz w:val="24"/>
          <w:szCs w:val="24"/>
          <w:lang w:val="bg-BG"/>
        </w:rPr>
        <w:t>за</w:t>
      </w:r>
      <w:r w:rsidRPr="00610B1B">
        <w:rPr>
          <w:rFonts w:ascii="Times New Roman" w:eastAsia="Times New Roman" w:hAnsi="Times New Roman" w:cs="Times New Roman"/>
          <w:sz w:val="24"/>
          <w:szCs w:val="24"/>
          <w:lang w:val="bg-BG"/>
        </w:rPr>
        <w:t xml:space="preserve"> експониране на такива обекти. </w:t>
      </w:r>
    </w:p>
    <w:p w14:paraId="4ABF45FA" w14:textId="77777777" w:rsidR="00C14AA0" w:rsidRPr="00610B1B" w:rsidRDefault="00CC1F25"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От краткия анализ на културните ценности със световно и национално значение, разположени на българското Черноморско крайбрежие и в морската акватория са систематизирани някои по-важни </w:t>
      </w:r>
      <w:r w:rsidRPr="00610B1B">
        <w:rPr>
          <w:rFonts w:ascii="Times New Roman" w:eastAsia="Times New Roman" w:hAnsi="Times New Roman" w:cs="Times New Roman"/>
          <w:b/>
          <w:bCs/>
          <w:sz w:val="24"/>
          <w:szCs w:val="24"/>
          <w:lang w:val="bg-BG"/>
        </w:rPr>
        <w:t>изводи</w:t>
      </w:r>
      <w:r w:rsidRPr="00610B1B">
        <w:rPr>
          <w:rFonts w:ascii="Times New Roman" w:eastAsia="Times New Roman" w:hAnsi="Times New Roman" w:cs="Times New Roman"/>
          <w:sz w:val="24"/>
          <w:szCs w:val="24"/>
          <w:lang w:val="bg-BG"/>
        </w:rPr>
        <w:t xml:space="preserve"> за историята и културата на тази част от страната. Първите </w:t>
      </w:r>
      <w:r w:rsidR="00442579" w:rsidRPr="00610B1B">
        <w:rPr>
          <w:rFonts w:ascii="Times New Roman" w:eastAsia="Times New Roman" w:hAnsi="Times New Roman" w:cs="Times New Roman"/>
          <w:sz w:val="24"/>
          <w:szCs w:val="24"/>
          <w:lang w:val="bg-BG"/>
        </w:rPr>
        <w:t xml:space="preserve">човешки общности се появяват през средния палеолит. Със съвременния човек homo sapiens се свързват някои къснопалеолитни материали и колекцията от мезолитни артефакти от района на Побитите камъни, Варненско. Най-ранните селища от района на Черноморието се отнасят към началната и късните фази на новокаменната епоха. </w:t>
      </w:r>
      <w:r w:rsidRPr="00610B1B">
        <w:rPr>
          <w:rFonts w:ascii="Times New Roman" w:eastAsia="Times New Roman" w:hAnsi="Times New Roman" w:cs="Times New Roman"/>
          <w:sz w:val="24"/>
          <w:szCs w:val="24"/>
          <w:lang w:val="bg-BG"/>
        </w:rPr>
        <w:t xml:space="preserve">Последните </w:t>
      </w:r>
      <w:r w:rsidR="00442579" w:rsidRPr="00610B1B">
        <w:rPr>
          <w:rFonts w:ascii="Times New Roman" w:eastAsia="Times New Roman" w:hAnsi="Times New Roman" w:cs="Times New Roman"/>
          <w:sz w:val="24"/>
          <w:szCs w:val="24"/>
          <w:lang w:val="bg-BG"/>
        </w:rPr>
        <w:t xml:space="preserve">изследвания за промените в нивото на морето, </w:t>
      </w:r>
      <w:r w:rsidRPr="00610B1B">
        <w:rPr>
          <w:rFonts w:ascii="Times New Roman" w:eastAsia="Times New Roman" w:hAnsi="Times New Roman" w:cs="Times New Roman"/>
          <w:sz w:val="24"/>
          <w:szCs w:val="24"/>
          <w:lang w:val="bg-BG"/>
        </w:rPr>
        <w:t>подсказват</w:t>
      </w:r>
      <w:r w:rsidR="00442579" w:rsidRPr="00610B1B">
        <w:rPr>
          <w:rFonts w:ascii="Times New Roman" w:eastAsia="Times New Roman" w:hAnsi="Times New Roman" w:cs="Times New Roman"/>
          <w:sz w:val="24"/>
          <w:szCs w:val="24"/>
          <w:lang w:val="bg-BG"/>
        </w:rPr>
        <w:t xml:space="preserve">, че по древната брегова ивица от 10 – 8-мото хилядолетие преди Христа, която днес се намира по 30-40 метрова изобата, могат да се очакват множество праисторически </w:t>
      </w:r>
      <w:r w:rsidR="00442579" w:rsidRPr="00610B1B">
        <w:rPr>
          <w:rFonts w:ascii="Times New Roman" w:eastAsia="Times New Roman" w:hAnsi="Times New Roman" w:cs="Times New Roman"/>
          <w:sz w:val="24"/>
          <w:szCs w:val="24"/>
          <w:lang w:val="bg-BG"/>
        </w:rPr>
        <w:lastRenderedPageBreak/>
        <w:t xml:space="preserve">селища от прехода между Мезолита и Ранната новокаменна епоха. Най-ранните материални архитектурни следи са тези около Дуранкулашкото езеро и са датирани в ранната каменно-медна епоха (V хил. пр. Хр.). Крайбрежието продължава да се развива и през останалите епохи. </w:t>
      </w:r>
    </w:p>
    <w:p w14:paraId="3D6B2032" w14:textId="77777777" w:rsidR="003A6D4A" w:rsidRPr="00610B1B" w:rsidRDefault="00442579" w:rsidP="00D32D6A">
      <w:pPr>
        <w:spacing w:after="120"/>
        <w:ind w:right="-153"/>
        <w:jc w:val="both"/>
        <w:rPr>
          <w:rFonts w:ascii="Times New Roman" w:hAnsi="Times New Roman" w:cs="Times New Roman"/>
          <w:sz w:val="24"/>
          <w:szCs w:val="24"/>
          <w:lang w:val="bg-BG"/>
        </w:rPr>
      </w:pPr>
      <w:r w:rsidRPr="00610B1B">
        <w:rPr>
          <w:rFonts w:ascii="Times New Roman" w:eastAsia="Times New Roman" w:hAnsi="Times New Roman" w:cs="Times New Roman"/>
          <w:sz w:val="24"/>
          <w:szCs w:val="24"/>
          <w:lang w:val="bg-BG"/>
        </w:rPr>
        <w:t>Недвижимите културни ценности, които могат да се дефинират на територията според историческата си принадлежност към определен период, обхващат целия темпорален диапазон фиксиран в ЗКН: праисторически, антични, средновековни, възраждане, ново и най-ново време</w:t>
      </w:r>
      <w:r w:rsidR="001B7D8F"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Според научната и културна област</w:t>
      </w:r>
      <w:r w:rsidR="00C14AA0"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към която се отнасят</w:t>
      </w:r>
      <w:r w:rsidR="00C14AA0"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превес имат археологическите обекти, следвани от архитектурно-строителните, урбанистичните и ценностите на градинското и парково изкуство. Акцент при анализа на </w:t>
      </w:r>
      <w:r w:rsidR="001B7D8F" w:rsidRPr="00610B1B">
        <w:rPr>
          <w:rFonts w:ascii="Times New Roman" w:eastAsia="Times New Roman" w:hAnsi="Times New Roman" w:cs="Times New Roman"/>
          <w:sz w:val="24"/>
          <w:szCs w:val="24"/>
          <w:lang w:val="bg-BG"/>
        </w:rPr>
        <w:t>културното наследство</w:t>
      </w:r>
      <w:r w:rsidRPr="00610B1B">
        <w:rPr>
          <w:rFonts w:ascii="Times New Roman" w:eastAsia="Times New Roman" w:hAnsi="Times New Roman" w:cs="Times New Roman"/>
          <w:sz w:val="24"/>
          <w:szCs w:val="24"/>
          <w:lang w:val="bg-BG"/>
        </w:rPr>
        <w:t xml:space="preserve"> </w:t>
      </w:r>
      <w:r w:rsidR="00C14AA0" w:rsidRPr="00610B1B">
        <w:rPr>
          <w:rFonts w:ascii="Times New Roman" w:eastAsia="Times New Roman" w:hAnsi="Times New Roman" w:cs="Times New Roman"/>
          <w:sz w:val="24"/>
          <w:szCs w:val="24"/>
          <w:lang w:val="bg-BG"/>
        </w:rPr>
        <w:t xml:space="preserve">са </w:t>
      </w:r>
      <w:r w:rsidRPr="00610B1B">
        <w:rPr>
          <w:rFonts w:ascii="Times New Roman" w:eastAsia="Times New Roman" w:hAnsi="Times New Roman" w:cs="Times New Roman"/>
          <w:sz w:val="24"/>
          <w:szCs w:val="24"/>
          <w:lang w:val="bg-BG"/>
        </w:rPr>
        <w:t>потъналите селища и архитектурно-строителни структури, които също са археологическо недвижимо наследство. В повечето случаи те са в пряка физическа и смислова връзка с археологическите обекти</w:t>
      </w:r>
      <w:r w:rsidR="001B7D8F"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в непосредствена близост до крайбрежната ивица. Според пространствената си структура и териториален обхват, най-много са </w:t>
      </w:r>
      <w:r w:rsidRPr="00610B1B">
        <w:rPr>
          <w:rFonts w:ascii="Times New Roman" w:eastAsia="Times New Roman" w:hAnsi="Times New Roman" w:cs="Times New Roman"/>
          <w:color w:val="000000" w:themeColor="text1"/>
          <w:sz w:val="24"/>
          <w:szCs w:val="24"/>
          <w:lang w:val="bg-BG"/>
        </w:rPr>
        <w:t>единичните НКЦ, следвани от груповите</w:t>
      </w:r>
      <w:r w:rsidR="003A6D4A" w:rsidRPr="00610B1B">
        <w:rPr>
          <w:rFonts w:ascii="Times New Roman" w:eastAsia="Times New Roman" w:hAnsi="Times New Roman" w:cs="Times New Roman"/>
          <w:color w:val="000000" w:themeColor="text1"/>
          <w:sz w:val="24"/>
          <w:szCs w:val="24"/>
          <w:lang w:val="bg-BG"/>
        </w:rPr>
        <w:t>,</w:t>
      </w:r>
      <w:r w:rsidR="003A6D4A" w:rsidRPr="00610B1B">
        <w:rPr>
          <w:rFonts w:ascii="Times New Roman" w:hAnsi="Times New Roman" w:cs="Times New Roman"/>
          <w:color w:val="000000" w:themeColor="text1"/>
          <w:lang w:val="bg-BG"/>
        </w:rPr>
        <w:t xml:space="preserve"> </w:t>
      </w:r>
      <w:r w:rsidR="003A6D4A" w:rsidRPr="00610B1B">
        <w:rPr>
          <w:rFonts w:ascii="Times New Roman" w:eastAsia="Times New Roman" w:hAnsi="Times New Roman" w:cs="Times New Roman"/>
          <w:color w:val="000000" w:themeColor="text1"/>
          <w:sz w:val="24"/>
          <w:szCs w:val="24"/>
          <w:lang w:val="bg-BG"/>
        </w:rPr>
        <w:t>сред които превес имат археологическите обекти.</w:t>
      </w:r>
      <w:r w:rsidR="003A6D4A" w:rsidRPr="00610B1B">
        <w:rPr>
          <w:rFonts w:ascii="Times New Roman" w:hAnsi="Times New Roman" w:cs="Times New Roman"/>
          <w:color w:val="000000" w:themeColor="text1"/>
          <w:sz w:val="24"/>
          <w:szCs w:val="24"/>
          <w:lang w:val="bg-BG"/>
        </w:rPr>
        <w:t xml:space="preserve"> В разглежданите територия и акватория НКЦ са предимно от национално и местно значение. Старинен град Несебър е единственият обект с категория „световното наследство.” В обхвата на плана могат да се окажат обекти НКЦ, които в бъдеще да получат категория „световно значение“. Потенциал за вписване в списъка на световното културно наследство имат останките от корабокрушения в Черно море, които поради </w:t>
      </w:r>
      <w:r w:rsidR="003A6D4A" w:rsidRPr="00610B1B">
        <w:rPr>
          <w:rFonts w:ascii="Times New Roman" w:hAnsi="Times New Roman" w:cs="Times New Roman"/>
          <w:sz w:val="24"/>
          <w:szCs w:val="24"/>
          <w:lang w:val="bg-BG"/>
        </w:rPr>
        <w:t>специфичните условия имат степен на запазеност, която не се среща в други морета.</w:t>
      </w:r>
    </w:p>
    <w:p w14:paraId="47400436" w14:textId="707CEF47"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Една не малка част от обектите със статут на НКЦ и категория „национално значение</w:t>
      </w:r>
      <w:r w:rsidR="001B7D8F"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са с непроведени КРР дейности и съответно </w:t>
      </w:r>
      <w:r w:rsidR="00C14AA0" w:rsidRPr="00610B1B">
        <w:rPr>
          <w:rFonts w:ascii="Times New Roman" w:eastAsia="Times New Roman" w:hAnsi="Times New Roman" w:cs="Times New Roman"/>
          <w:sz w:val="24"/>
          <w:szCs w:val="24"/>
          <w:lang w:val="bg-BG"/>
        </w:rPr>
        <w:t>без</w:t>
      </w:r>
      <w:r w:rsidRPr="00610B1B">
        <w:rPr>
          <w:rFonts w:ascii="Times New Roman" w:eastAsia="Times New Roman" w:hAnsi="Times New Roman" w:cs="Times New Roman"/>
          <w:sz w:val="24"/>
          <w:szCs w:val="24"/>
          <w:lang w:val="bg-BG"/>
        </w:rPr>
        <w:t xml:space="preserve"> адаптация и социализация, което ги прави популярни само в научните среди. </w:t>
      </w:r>
      <w:r w:rsidR="001B7D8F" w:rsidRPr="00610B1B">
        <w:rPr>
          <w:rFonts w:ascii="Times New Roman" w:eastAsia="Times New Roman" w:hAnsi="Times New Roman" w:cs="Times New Roman"/>
          <w:sz w:val="24"/>
          <w:szCs w:val="24"/>
          <w:lang w:val="bg-BG"/>
        </w:rPr>
        <w:t>Т</w:t>
      </w:r>
      <w:r w:rsidRPr="00610B1B">
        <w:rPr>
          <w:rFonts w:ascii="Times New Roman" w:eastAsia="Times New Roman" w:hAnsi="Times New Roman" w:cs="Times New Roman"/>
          <w:sz w:val="24"/>
          <w:szCs w:val="24"/>
          <w:lang w:val="bg-BG"/>
        </w:rPr>
        <w:t>ова са обекти</w:t>
      </w:r>
      <w:r w:rsidR="001B7D8F"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разположени в обхват</w:t>
      </w:r>
      <w:r w:rsidR="001B7D8F" w:rsidRPr="00610B1B">
        <w:rPr>
          <w:rFonts w:ascii="Times New Roman" w:eastAsia="Times New Roman" w:hAnsi="Times New Roman" w:cs="Times New Roman"/>
          <w:sz w:val="24"/>
          <w:szCs w:val="24"/>
          <w:lang w:val="bg-BG"/>
        </w:rPr>
        <w:t>а</w:t>
      </w:r>
      <w:r w:rsidRPr="00610B1B">
        <w:rPr>
          <w:rFonts w:ascii="Times New Roman" w:eastAsia="Times New Roman" w:hAnsi="Times New Roman" w:cs="Times New Roman"/>
          <w:sz w:val="24"/>
          <w:szCs w:val="24"/>
          <w:lang w:val="bg-BG"/>
        </w:rPr>
        <w:t xml:space="preserve"> на </w:t>
      </w:r>
      <w:r w:rsidR="001B7D8F" w:rsidRPr="00610B1B">
        <w:rPr>
          <w:rFonts w:ascii="Times New Roman" w:eastAsia="Times New Roman" w:hAnsi="Times New Roman" w:cs="Times New Roman"/>
          <w:sz w:val="24"/>
          <w:szCs w:val="24"/>
          <w:lang w:val="bg-BG"/>
        </w:rPr>
        <w:t>зони „А“ и „Б“ съгласно ЗУЧК, приет за граница на проучването</w:t>
      </w:r>
      <w:r w:rsidRPr="00610B1B">
        <w:rPr>
          <w:rFonts w:ascii="Times New Roman" w:eastAsia="Times New Roman" w:hAnsi="Times New Roman" w:cs="Times New Roman"/>
          <w:sz w:val="24"/>
          <w:szCs w:val="24"/>
          <w:lang w:val="bg-BG"/>
        </w:rPr>
        <w:t>. Тези структури формира</w:t>
      </w:r>
      <w:r w:rsidR="001B7D8F" w:rsidRPr="00610B1B">
        <w:rPr>
          <w:rFonts w:ascii="Times New Roman" w:eastAsia="Times New Roman" w:hAnsi="Times New Roman" w:cs="Times New Roman"/>
          <w:sz w:val="24"/>
          <w:szCs w:val="24"/>
          <w:lang w:val="bg-BG"/>
        </w:rPr>
        <w:t>т</w:t>
      </w:r>
      <w:r w:rsidRPr="00610B1B">
        <w:rPr>
          <w:rFonts w:ascii="Times New Roman" w:eastAsia="Times New Roman" w:hAnsi="Times New Roman" w:cs="Times New Roman"/>
          <w:sz w:val="24"/>
          <w:szCs w:val="24"/>
          <w:lang w:val="bg-BG"/>
        </w:rPr>
        <w:t xml:space="preserve"> силуета на бреговата ивица на България. </w:t>
      </w:r>
      <w:r w:rsidR="001B7D8F" w:rsidRPr="00610B1B">
        <w:rPr>
          <w:rFonts w:ascii="Times New Roman" w:eastAsia="Times New Roman" w:hAnsi="Times New Roman" w:cs="Times New Roman"/>
          <w:sz w:val="24"/>
          <w:szCs w:val="24"/>
          <w:lang w:val="bg-BG"/>
        </w:rPr>
        <w:t xml:space="preserve">Техният </w:t>
      </w:r>
      <w:r w:rsidRPr="00610B1B">
        <w:rPr>
          <w:rFonts w:ascii="Times New Roman" w:eastAsia="Times New Roman" w:hAnsi="Times New Roman" w:cs="Times New Roman"/>
          <w:sz w:val="24"/>
          <w:szCs w:val="24"/>
          <w:lang w:val="bg-BG"/>
        </w:rPr>
        <w:t>потенциал</w:t>
      </w:r>
      <w:r w:rsidR="001B7D8F" w:rsidRPr="00610B1B">
        <w:rPr>
          <w:rFonts w:ascii="Times New Roman" w:eastAsia="Times New Roman" w:hAnsi="Times New Roman" w:cs="Times New Roman"/>
          <w:sz w:val="24"/>
          <w:szCs w:val="24"/>
          <w:lang w:val="bg-BG"/>
        </w:rPr>
        <w:t xml:space="preserve"> не е използван, а те,</w:t>
      </w:r>
      <w:r w:rsidRPr="00610B1B">
        <w:rPr>
          <w:rFonts w:ascii="Times New Roman" w:eastAsia="Times New Roman" w:hAnsi="Times New Roman" w:cs="Times New Roman"/>
          <w:sz w:val="24"/>
          <w:szCs w:val="24"/>
          <w:lang w:val="bg-BG"/>
        </w:rPr>
        <w:t xml:space="preserve"> освен с научната си стойност, могат да привличат и по</w:t>
      </w:r>
      <w:r w:rsidR="001B7D8F" w:rsidRPr="00610B1B">
        <w:rPr>
          <w:rFonts w:ascii="Times New Roman" w:eastAsia="Times New Roman" w:hAnsi="Times New Roman" w:cs="Times New Roman"/>
          <w:sz w:val="24"/>
          <w:szCs w:val="24"/>
          <w:lang w:val="bg-BG"/>
        </w:rPr>
        <w:t>ч</w:t>
      </w:r>
      <w:r w:rsidRPr="00610B1B">
        <w:rPr>
          <w:rFonts w:ascii="Times New Roman" w:eastAsia="Times New Roman" w:hAnsi="Times New Roman" w:cs="Times New Roman"/>
          <w:sz w:val="24"/>
          <w:szCs w:val="24"/>
          <w:lang w:val="bg-BG"/>
        </w:rPr>
        <w:t xml:space="preserve">итатели на културния туризъм. </w:t>
      </w:r>
      <w:r w:rsidR="001B7D8F" w:rsidRPr="00610B1B">
        <w:rPr>
          <w:rFonts w:ascii="Times New Roman" w:eastAsia="Times New Roman" w:hAnsi="Times New Roman" w:cs="Times New Roman"/>
          <w:sz w:val="24"/>
          <w:szCs w:val="24"/>
          <w:lang w:val="bg-BG"/>
        </w:rPr>
        <w:t xml:space="preserve">За </w:t>
      </w:r>
      <w:r w:rsidRPr="00610B1B">
        <w:rPr>
          <w:rFonts w:ascii="Times New Roman" w:eastAsia="Times New Roman" w:hAnsi="Times New Roman" w:cs="Times New Roman"/>
          <w:sz w:val="24"/>
          <w:szCs w:val="24"/>
          <w:lang w:val="bg-BG"/>
        </w:rPr>
        <w:t>повечето от тях е факт, че имат участъци свлечени под вода, чието интегриране и експониране ще повиши интереса към тях.</w:t>
      </w:r>
    </w:p>
    <w:p w14:paraId="7DEE79AF" w14:textId="3C546A98" w:rsidR="00442579" w:rsidRPr="00610B1B" w:rsidRDefault="00442579" w:rsidP="00D32D6A">
      <w:pPr>
        <w:tabs>
          <w:tab w:val="left" w:pos="3060"/>
        </w:tabs>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По-голямата част от обектите</w:t>
      </w:r>
      <w:r w:rsidR="00DD51C3"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разположени по българската крайбрежна ивица на Черно море са единични обекти. Част от</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тях са най-често с местно или национално значение, но все още най-голям е броят на тези „за сведение”. Разпределението на обекти, които са недвижими културни ценности по общини (с включени и тези НКЦ които не попадат в обхвата на МППРБ), от север на юг и разположени на крайбрежната, сухоземна ивица е както следва:</w:t>
      </w:r>
    </w:p>
    <w:p w14:paraId="4978EB60" w14:textId="0D9FA89B" w:rsidR="000E7C6A" w:rsidRPr="00610B1B" w:rsidRDefault="00543303" w:rsidP="00D32D6A">
      <w:pPr>
        <w:tabs>
          <w:tab w:val="left" w:pos="3060"/>
        </w:tabs>
        <w:spacing w:after="120"/>
        <w:ind w:right="-153"/>
        <w:jc w:val="both"/>
        <w:rPr>
          <w:rFonts w:ascii="Times New Roman" w:eastAsia="Times New Roman" w:hAnsi="Times New Roman" w:cs="Times New Roman"/>
          <w:sz w:val="24"/>
          <w:szCs w:val="24"/>
          <w:lang w:val="bg-BG"/>
        </w:rPr>
      </w:pPr>
      <w:bookmarkStart w:id="406" w:name="_Toc83391610"/>
      <w:r w:rsidRPr="00610B1B">
        <w:rPr>
          <w:rFonts w:ascii="Times New Roman" w:hAnsi="Times New Roman" w:cs="Times New Roman"/>
          <w:sz w:val="24"/>
          <w:szCs w:val="24"/>
          <w:lang w:val="bg-BG"/>
        </w:rPr>
        <w:t xml:space="preserve">Таблица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Таблица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14</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0E7C6A" w:rsidRPr="00610B1B">
        <w:rPr>
          <w:rFonts w:ascii="Times New Roman" w:hAnsi="Times New Roman" w:cs="Times New Roman"/>
          <w:sz w:val="24"/>
          <w:szCs w:val="24"/>
          <w:lang w:val="bg-BG"/>
        </w:rPr>
        <w:t>Недвижими културни ценности по общини</w:t>
      </w:r>
      <w:bookmarkEnd w:id="406"/>
    </w:p>
    <w:tbl>
      <w:tblPr>
        <w:tblStyle w:val="TableGrid7"/>
        <w:tblW w:w="8844" w:type="dxa"/>
        <w:tblInd w:w="-5" w:type="dxa"/>
        <w:tblBorders>
          <w:left w:val="none" w:sz="0" w:space="0" w:color="auto"/>
          <w:right w:val="none" w:sz="0" w:space="0" w:color="auto"/>
          <w:insideV w:val="none" w:sz="0" w:space="0" w:color="auto"/>
        </w:tblBorders>
        <w:tblLayout w:type="fixed"/>
        <w:tblLook w:val="01E0" w:firstRow="1" w:lastRow="1" w:firstColumn="1" w:lastColumn="1" w:noHBand="0" w:noVBand="0"/>
      </w:tblPr>
      <w:tblGrid>
        <w:gridCol w:w="2409"/>
        <w:gridCol w:w="1134"/>
        <w:gridCol w:w="1418"/>
        <w:gridCol w:w="913"/>
        <w:gridCol w:w="1350"/>
        <w:gridCol w:w="810"/>
        <w:gridCol w:w="810"/>
      </w:tblGrid>
      <w:tr w:rsidR="00FD59A8" w:rsidRPr="00610B1B" w14:paraId="6DEEE67C" w14:textId="77777777" w:rsidTr="00FD59A8">
        <w:trPr>
          <w:tblHeader/>
        </w:trPr>
        <w:tc>
          <w:tcPr>
            <w:tcW w:w="2409" w:type="dxa"/>
            <w:vMerge w:val="restart"/>
            <w:shd w:val="clear" w:color="auto" w:fill="B8CCE4" w:themeFill="accent1" w:themeFillTint="66"/>
            <w:vAlign w:val="center"/>
          </w:tcPr>
          <w:p w14:paraId="210435A2" w14:textId="77777777" w:rsidR="00FD59A8" w:rsidRPr="00610B1B" w:rsidRDefault="00FD59A8" w:rsidP="00D32D6A">
            <w:pPr>
              <w:jc w:val="center"/>
              <w:rPr>
                <w:b/>
                <w:bCs/>
                <w:lang w:val="bg-BG"/>
              </w:rPr>
            </w:pPr>
            <w:r w:rsidRPr="00610B1B">
              <w:rPr>
                <w:b/>
                <w:bCs/>
                <w:lang w:val="bg-BG"/>
              </w:rPr>
              <w:t>Община</w:t>
            </w:r>
          </w:p>
        </w:tc>
        <w:tc>
          <w:tcPr>
            <w:tcW w:w="5625" w:type="dxa"/>
            <w:gridSpan w:val="5"/>
            <w:shd w:val="clear" w:color="auto" w:fill="B8CCE4" w:themeFill="accent1" w:themeFillTint="66"/>
            <w:vAlign w:val="center"/>
          </w:tcPr>
          <w:p w14:paraId="398A5BD9" w14:textId="77777777" w:rsidR="00FD59A8" w:rsidRPr="00610B1B" w:rsidRDefault="00FD59A8" w:rsidP="00D32D6A">
            <w:pPr>
              <w:jc w:val="center"/>
              <w:rPr>
                <w:b/>
                <w:bCs/>
                <w:lang w:val="bg-BG"/>
              </w:rPr>
            </w:pPr>
            <w:r w:rsidRPr="00610B1B">
              <w:rPr>
                <w:b/>
                <w:bCs/>
                <w:lang w:val="bg-BG"/>
              </w:rPr>
              <w:t>Категория на недвижимата културна ценност</w:t>
            </w:r>
          </w:p>
        </w:tc>
        <w:tc>
          <w:tcPr>
            <w:tcW w:w="810" w:type="dxa"/>
            <w:vMerge w:val="restart"/>
            <w:shd w:val="clear" w:color="auto" w:fill="B8CCE4" w:themeFill="accent1" w:themeFillTint="66"/>
            <w:vAlign w:val="center"/>
          </w:tcPr>
          <w:p w14:paraId="0BF26A91" w14:textId="77777777" w:rsidR="00FD59A8" w:rsidRPr="00610B1B" w:rsidRDefault="00FD59A8" w:rsidP="00D32D6A">
            <w:pPr>
              <w:jc w:val="center"/>
              <w:rPr>
                <w:b/>
                <w:bCs/>
                <w:lang w:val="bg-BG"/>
              </w:rPr>
            </w:pPr>
            <w:r w:rsidRPr="00610B1B">
              <w:rPr>
                <w:b/>
                <w:bCs/>
                <w:lang w:val="bg-BG"/>
              </w:rPr>
              <w:t>Общо НКЦ</w:t>
            </w:r>
          </w:p>
        </w:tc>
      </w:tr>
      <w:tr w:rsidR="00FD59A8" w:rsidRPr="00610B1B" w14:paraId="1F1FA2E8" w14:textId="77777777" w:rsidTr="00FD59A8">
        <w:trPr>
          <w:tblHeader/>
        </w:trPr>
        <w:tc>
          <w:tcPr>
            <w:tcW w:w="2409" w:type="dxa"/>
            <w:vMerge/>
          </w:tcPr>
          <w:p w14:paraId="6C598AAC" w14:textId="77777777" w:rsidR="00FD59A8" w:rsidRPr="00610B1B" w:rsidRDefault="00FD59A8" w:rsidP="00D32D6A">
            <w:pPr>
              <w:jc w:val="both"/>
              <w:rPr>
                <w:lang w:val="bg-BG"/>
              </w:rPr>
            </w:pPr>
          </w:p>
        </w:tc>
        <w:tc>
          <w:tcPr>
            <w:tcW w:w="1134" w:type="dxa"/>
            <w:shd w:val="clear" w:color="auto" w:fill="B8CCE4" w:themeFill="accent1" w:themeFillTint="66"/>
          </w:tcPr>
          <w:p w14:paraId="4229DA14" w14:textId="77777777" w:rsidR="00FD59A8" w:rsidRPr="00610B1B" w:rsidRDefault="00FD59A8" w:rsidP="00D32D6A">
            <w:pPr>
              <w:jc w:val="both"/>
              <w:rPr>
                <w:lang w:val="bg-BG"/>
              </w:rPr>
            </w:pPr>
            <w:r w:rsidRPr="00610B1B">
              <w:rPr>
                <w:lang w:val="bg-BG"/>
              </w:rPr>
              <w:t>световно</w:t>
            </w:r>
          </w:p>
        </w:tc>
        <w:tc>
          <w:tcPr>
            <w:tcW w:w="1418" w:type="dxa"/>
            <w:shd w:val="clear" w:color="auto" w:fill="B8CCE4" w:themeFill="accent1" w:themeFillTint="66"/>
          </w:tcPr>
          <w:p w14:paraId="5A9FFE5E" w14:textId="77777777" w:rsidR="00FD59A8" w:rsidRPr="00610B1B" w:rsidRDefault="00FD59A8" w:rsidP="00D32D6A">
            <w:pPr>
              <w:jc w:val="both"/>
              <w:rPr>
                <w:lang w:val="bg-BG"/>
              </w:rPr>
            </w:pPr>
            <w:r w:rsidRPr="00610B1B">
              <w:rPr>
                <w:lang w:val="bg-BG"/>
              </w:rPr>
              <w:t>национално</w:t>
            </w:r>
          </w:p>
        </w:tc>
        <w:tc>
          <w:tcPr>
            <w:tcW w:w="913" w:type="dxa"/>
            <w:shd w:val="clear" w:color="auto" w:fill="B8CCE4" w:themeFill="accent1" w:themeFillTint="66"/>
          </w:tcPr>
          <w:p w14:paraId="46EE3277" w14:textId="77777777" w:rsidR="00FD59A8" w:rsidRPr="00610B1B" w:rsidRDefault="00FD59A8" w:rsidP="00D32D6A">
            <w:pPr>
              <w:jc w:val="both"/>
              <w:rPr>
                <w:lang w:val="bg-BG"/>
              </w:rPr>
            </w:pPr>
            <w:r w:rsidRPr="00610B1B">
              <w:rPr>
                <w:lang w:val="bg-BG"/>
              </w:rPr>
              <w:t>местно</w:t>
            </w:r>
          </w:p>
        </w:tc>
        <w:tc>
          <w:tcPr>
            <w:tcW w:w="1350" w:type="dxa"/>
            <w:shd w:val="clear" w:color="auto" w:fill="B8CCE4" w:themeFill="accent1" w:themeFillTint="66"/>
          </w:tcPr>
          <w:p w14:paraId="3B12E2A9" w14:textId="77777777" w:rsidR="00FD59A8" w:rsidRPr="00610B1B" w:rsidRDefault="00FD59A8" w:rsidP="00D32D6A">
            <w:pPr>
              <w:jc w:val="both"/>
              <w:rPr>
                <w:lang w:val="bg-BG"/>
              </w:rPr>
            </w:pPr>
            <w:r w:rsidRPr="00610B1B">
              <w:rPr>
                <w:lang w:val="bg-BG"/>
              </w:rPr>
              <w:t>за сведение</w:t>
            </w:r>
          </w:p>
        </w:tc>
        <w:tc>
          <w:tcPr>
            <w:tcW w:w="810" w:type="dxa"/>
            <w:shd w:val="clear" w:color="auto" w:fill="B8CCE4" w:themeFill="accent1" w:themeFillTint="66"/>
          </w:tcPr>
          <w:p w14:paraId="5E8E48A8" w14:textId="77777777" w:rsidR="00FD59A8" w:rsidRPr="00610B1B" w:rsidRDefault="00FD59A8" w:rsidP="00D32D6A">
            <w:pPr>
              <w:jc w:val="both"/>
              <w:rPr>
                <w:lang w:val="bg-BG"/>
              </w:rPr>
            </w:pPr>
            <w:r w:rsidRPr="00610B1B">
              <w:rPr>
                <w:lang w:val="bg-BG"/>
              </w:rPr>
              <w:t>без</w:t>
            </w:r>
          </w:p>
        </w:tc>
        <w:tc>
          <w:tcPr>
            <w:tcW w:w="810" w:type="dxa"/>
            <w:vMerge/>
          </w:tcPr>
          <w:p w14:paraId="13863804" w14:textId="77777777" w:rsidR="00FD59A8" w:rsidRPr="00610B1B" w:rsidRDefault="00FD59A8" w:rsidP="00D32D6A">
            <w:pPr>
              <w:jc w:val="both"/>
              <w:rPr>
                <w:lang w:val="bg-BG"/>
              </w:rPr>
            </w:pPr>
          </w:p>
        </w:tc>
      </w:tr>
      <w:tr w:rsidR="00FD59A8" w:rsidRPr="00610B1B" w14:paraId="2C56EC41" w14:textId="77777777" w:rsidTr="00FD59A8">
        <w:tc>
          <w:tcPr>
            <w:tcW w:w="2409" w:type="dxa"/>
          </w:tcPr>
          <w:p w14:paraId="349596B2" w14:textId="77777777" w:rsidR="00FD59A8" w:rsidRPr="00610B1B" w:rsidRDefault="00FD59A8" w:rsidP="00D32D6A">
            <w:pPr>
              <w:jc w:val="both"/>
              <w:rPr>
                <w:bCs/>
                <w:lang w:val="bg-BG"/>
              </w:rPr>
            </w:pPr>
            <w:r w:rsidRPr="00610B1B">
              <w:rPr>
                <w:bCs/>
                <w:lang w:val="bg-BG"/>
              </w:rPr>
              <w:t>Община Шабла</w:t>
            </w:r>
          </w:p>
        </w:tc>
        <w:tc>
          <w:tcPr>
            <w:tcW w:w="1134" w:type="dxa"/>
          </w:tcPr>
          <w:p w14:paraId="69C2EEC6" w14:textId="77777777" w:rsidR="00FD59A8" w:rsidRPr="00610B1B" w:rsidRDefault="00FD59A8" w:rsidP="00D32D6A">
            <w:pPr>
              <w:jc w:val="center"/>
              <w:rPr>
                <w:lang w:val="bg-BG"/>
              </w:rPr>
            </w:pPr>
            <w:r w:rsidRPr="00610B1B">
              <w:rPr>
                <w:lang w:val="bg-BG"/>
              </w:rPr>
              <w:t>-</w:t>
            </w:r>
          </w:p>
        </w:tc>
        <w:tc>
          <w:tcPr>
            <w:tcW w:w="1418" w:type="dxa"/>
          </w:tcPr>
          <w:p w14:paraId="764F0009" w14:textId="77777777" w:rsidR="00FD59A8" w:rsidRPr="00610B1B" w:rsidRDefault="00FD59A8" w:rsidP="00D32D6A">
            <w:pPr>
              <w:jc w:val="center"/>
              <w:rPr>
                <w:lang w:val="bg-BG"/>
              </w:rPr>
            </w:pPr>
            <w:r w:rsidRPr="00610B1B">
              <w:rPr>
                <w:lang w:val="bg-BG"/>
              </w:rPr>
              <w:t>-</w:t>
            </w:r>
          </w:p>
        </w:tc>
        <w:tc>
          <w:tcPr>
            <w:tcW w:w="913" w:type="dxa"/>
          </w:tcPr>
          <w:p w14:paraId="4FC15EDE" w14:textId="77777777" w:rsidR="00FD59A8" w:rsidRPr="00610B1B" w:rsidRDefault="00FD59A8" w:rsidP="00D32D6A">
            <w:pPr>
              <w:jc w:val="center"/>
              <w:rPr>
                <w:lang w:val="bg-BG"/>
              </w:rPr>
            </w:pPr>
            <w:r w:rsidRPr="00610B1B">
              <w:rPr>
                <w:lang w:val="bg-BG"/>
              </w:rPr>
              <w:t>3</w:t>
            </w:r>
          </w:p>
        </w:tc>
        <w:tc>
          <w:tcPr>
            <w:tcW w:w="1350" w:type="dxa"/>
          </w:tcPr>
          <w:p w14:paraId="48613F64" w14:textId="77777777" w:rsidR="00FD59A8" w:rsidRPr="00610B1B" w:rsidRDefault="00FD59A8" w:rsidP="00D32D6A">
            <w:pPr>
              <w:jc w:val="center"/>
              <w:rPr>
                <w:lang w:val="bg-BG"/>
              </w:rPr>
            </w:pPr>
            <w:r w:rsidRPr="00610B1B">
              <w:rPr>
                <w:lang w:val="bg-BG"/>
              </w:rPr>
              <w:t>22</w:t>
            </w:r>
          </w:p>
        </w:tc>
        <w:tc>
          <w:tcPr>
            <w:tcW w:w="810" w:type="dxa"/>
          </w:tcPr>
          <w:p w14:paraId="55C9C9E0" w14:textId="77777777" w:rsidR="00FD59A8" w:rsidRPr="00610B1B" w:rsidRDefault="00FD59A8" w:rsidP="00D32D6A">
            <w:pPr>
              <w:jc w:val="center"/>
              <w:rPr>
                <w:lang w:val="bg-BG"/>
              </w:rPr>
            </w:pPr>
            <w:r w:rsidRPr="00610B1B">
              <w:rPr>
                <w:lang w:val="bg-BG"/>
              </w:rPr>
              <w:t>1</w:t>
            </w:r>
          </w:p>
        </w:tc>
        <w:tc>
          <w:tcPr>
            <w:tcW w:w="810" w:type="dxa"/>
          </w:tcPr>
          <w:p w14:paraId="39527B74" w14:textId="77777777" w:rsidR="00FD59A8" w:rsidRPr="00610B1B" w:rsidRDefault="00FD59A8" w:rsidP="00D32D6A">
            <w:pPr>
              <w:jc w:val="center"/>
              <w:rPr>
                <w:lang w:val="bg-BG"/>
              </w:rPr>
            </w:pPr>
            <w:r w:rsidRPr="00610B1B">
              <w:rPr>
                <w:lang w:val="bg-BG"/>
              </w:rPr>
              <w:t>26</w:t>
            </w:r>
          </w:p>
        </w:tc>
      </w:tr>
      <w:tr w:rsidR="00FD59A8" w:rsidRPr="00610B1B" w14:paraId="6642813F" w14:textId="77777777" w:rsidTr="00FD59A8">
        <w:tc>
          <w:tcPr>
            <w:tcW w:w="2409" w:type="dxa"/>
          </w:tcPr>
          <w:p w14:paraId="5C806317" w14:textId="77777777" w:rsidR="00FD59A8" w:rsidRPr="00610B1B" w:rsidRDefault="00FD59A8" w:rsidP="00D32D6A">
            <w:pPr>
              <w:jc w:val="both"/>
              <w:rPr>
                <w:bCs/>
                <w:lang w:val="bg-BG"/>
              </w:rPr>
            </w:pPr>
            <w:r w:rsidRPr="00610B1B">
              <w:rPr>
                <w:bCs/>
                <w:lang w:val="bg-BG"/>
              </w:rPr>
              <w:t>Община Каварна</w:t>
            </w:r>
          </w:p>
        </w:tc>
        <w:tc>
          <w:tcPr>
            <w:tcW w:w="1134" w:type="dxa"/>
          </w:tcPr>
          <w:p w14:paraId="44663DF3" w14:textId="77777777" w:rsidR="00FD59A8" w:rsidRPr="00610B1B" w:rsidRDefault="00FD59A8" w:rsidP="00D32D6A">
            <w:pPr>
              <w:jc w:val="center"/>
              <w:rPr>
                <w:lang w:val="bg-BG"/>
              </w:rPr>
            </w:pPr>
            <w:r w:rsidRPr="00610B1B">
              <w:rPr>
                <w:lang w:val="bg-BG"/>
              </w:rPr>
              <w:t>-</w:t>
            </w:r>
          </w:p>
        </w:tc>
        <w:tc>
          <w:tcPr>
            <w:tcW w:w="1418" w:type="dxa"/>
          </w:tcPr>
          <w:p w14:paraId="21636FE4" w14:textId="77777777" w:rsidR="00FD59A8" w:rsidRPr="00610B1B" w:rsidRDefault="00FD59A8" w:rsidP="00D32D6A">
            <w:pPr>
              <w:jc w:val="center"/>
              <w:rPr>
                <w:lang w:val="bg-BG"/>
              </w:rPr>
            </w:pPr>
            <w:r w:rsidRPr="00610B1B">
              <w:rPr>
                <w:lang w:val="bg-BG"/>
              </w:rPr>
              <w:t>5</w:t>
            </w:r>
          </w:p>
        </w:tc>
        <w:tc>
          <w:tcPr>
            <w:tcW w:w="913" w:type="dxa"/>
          </w:tcPr>
          <w:p w14:paraId="7EC844C8" w14:textId="77777777" w:rsidR="00FD59A8" w:rsidRPr="00610B1B" w:rsidRDefault="00FD59A8" w:rsidP="00D32D6A">
            <w:pPr>
              <w:jc w:val="center"/>
              <w:rPr>
                <w:lang w:val="bg-BG"/>
              </w:rPr>
            </w:pPr>
            <w:r w:rsidRPr="00610B1B">
              <w:rPr>
                <w:lang w:val="bg-BG"/>
              </w:rPr>
              <w:t>10</w:t>
            </w:r>
          </w:p>
        </w:tc>
        <w:tc>
          <w:tcPr>
            <w:tcW w:w="1350" w:type="dxa"/>
          </w:tcPr>
          <w:p w14:paraId="6403AD62" w14:textId="77777777" w:rsidR="00FD59A8" w:rsidRPr="00610B1B" w:rsidRDefault="00FD59A8" w:rsidP="00D32D6A">
            <w:pPr>
              <w:jc w:val="center"/>
              <w:rPr>
                <w:lang w:val="bg-BG"/>
              </w:rPr>
            </w:pPr>
            <w:r w:rsidRPr="00610B1B">
              <w:rPr>
                <w:lang w:val="bg-BG"/>
              </w:rPr>
              <w:t>70</w:t>
            </w:r>
          </w:p>
        </w:tc>
        <w:tc>
          <w:tcPr>
            <w:tcW w:w="810" w:type="dxa"/>
          </w:tcPr>
          <w:p w14:paraId="7C1F64D6" w14:textId="77777777" w:rsidR="00FD59A8" w:rsidRPr="00610B1B" w:rsidRDefault="00FD59A8" w:rsidP="00D32D6A">
            <w:pPr>
              <w:jc w:val="center"/>
              <w:rPr>
                <w:lang w:val="bg-BG"/>
              </w:rPr>
            </w:pPr>
          </w:p>
        </w:tc>
        <w:tc>
          <w:tcPr>
            <w:tcW w:w="810" w:type="dxa"/>
          </w:tcPr>
          <w:p w14:paraId="5B6C5695" w14:textId="77777777" w:rsidR="00FD59A8" w:rsidRPr="00610B1B" w:rsidRDefault="00FD59A8" w:rsidP="00D32D6A">
            <w:pPr>
              <w:jc w:val="center"/>
              <w:rPr>
                <w:lang w:val="bg-BG"/>
              </w:rPr>
            </w:pPr>
            <w:r w:rsidRPr="00610B1B">
              <w:rPr>
                <w:lang w:val="bg-BG"/>
              </w:rPr>
              <w:t>85</w:t>
            </w:r>
          </w:p>
        </w:tc>
      </w:tr>
      <w:tr w:rsidR="00FD59A8" w:rsidRPr="00610B1B" w14:paraId="225AB540" w14:textId="77777777" w:rsidTr="00FD59A8">
        <w:tc>
          <w:tcPr>
            <w:tcW w:w="2409" w:type="dxa"/>
          </w:tcPr>
          <w:p w14:paraId="65D6E38A" w14:textId="77777777" w:rsidR="00FD59A8" w:rsidRPr="00610B1B" w:rsidRDefault="00FD59A8" w:rsidP="00D32D6A">
            <w:pPr>
              <w:jc w:val="both"/>
              <w:rPr>
                <w:bCs/>
                <w:lang w:val="bg-BG"/>
              </w:rPr>
            </w:pPr>
            <w:r w:rsidRPr="00610B1B">
              <w:rPr>
                <w:bCs/>
                <w:lang w:val="bg-BG"/>
              </w:rPr>
              <w:t>Община Балчик</w:t>
            </w:r>
          </w:p>
        </w:tc>
        <w:tc>
          <w:tcPr>
            <w:tcW w:w="1134" w:type="dxa"/>
          </w:tcPr>
          <w:p w14:paraId="7FE41107" w14:textId="77777777" w:rsidR="00FD59A8" w:rsidRPr="00610B1B" w:rsidRDefault="00FD59A8" w:rsidP="00D32D6A">
            <w:pPr>
              <w:jc w:val="center"/>
              <w:rPr>
                <w:lang w:val="bg-BG"/>
              </w:rPr>
            </w:pPr>
            <w:r w:rsidRPr="00610B1B">
              <w:rPr>
                <w:lang w:val="bg-BG"/>
              </w:rPr>
              <w:t>-</w:t>
            </w:r>
          </w:p>
        </w:tc>
        <w:tc>
          <w:tcPr>
            <w:tcW w:w="1418" w:type="dxa"/>
          </w:tcPr>
          <w:p w14:paraId="6B6E28F6" w14:textId="77777777" w:rsidR="00FD59A8" w:rsidRPr="00610B1B" w:rsidRDefault="00FD59A8" w:rsidP="00D32D6A">
            <w:pPr>
              <w:jc w:val="center"/>
              <w:rPr>
                <w:lang w:val="bg-BG"/>
              </w:rPr>
            </w:pPr>
            <w:r w:rsidRPr="00610B1B">
              <w:rPr>
                <w:lang w:val="bg-BG"/>
              </w:rPr>
              <w:t>5</w:t>
            </w:r>
          </w:p>
        </w:tc>
        <w:tc>
          <w:tcPr>
            <w:tcW w:w="913" w:type="dxa"/>
          </w:tcPr>
          <w:p w14:paraId="7C264319" w14:textId="77777777" w:rsidR="00FD59A8" w:rsidRPr="00610B1B" w:rsidRDefault="00FD59A8" w:rsidP="00D32D6A">
            <w:pPr>
              <w:jc w:val="center"/>
              <w:rPr>
                <w:lang w:val="bg-BG"/>
              </w:rPr>
            </w:pPr>
            <w:r w:rsidRPr="00610B1B">
              <w:rPr>
                <w:lang w:val="bg-BG"/>
              </w:rPr>
              <w:t>61</w:t>
            </w:r>
          </w:p>
        </w:tc>
        <w:tc>
          <w:tcPr>
            <w:tcW w:w="1350" w:type="dxa"/>
          </w:tcPr>
          <w:p w14:paraId="62E91F46" w14:textId="77777777" w:rsidR="00FD59A8" w:rsidRPr="00610B1B" w:rsidRDefault="00FD59A8" w:rsidP="00D32D6A">
            <w:pPr>
              <w:jc w:val="center"/>
              <w:rPr>
                <w:lang w:val="bg-BG"/>
              </w:rPr>
            </w:pPr>
            <w:r w:rsidRPr="00610B1B">
              <w:rPr>
                <w:lang w:val="bg-BG"/>
              </w:rPr>
              <w:t>48</w:t>
            </w:r>
          </w:p>
        </w:tc>
        <w:tc>
          <w:tcPr>
            <w:tcW w:w="810" w:type="dxa"/>
          </w:tcPr>
          <w:p w14:paraId="2461B0C0" w14:textId="77777777" w:rsidR="00FD59A8" w:rsidRPr="00610B1B" w:rsidRDefault="00FD59A8" w:rsidP="00D32D6A">
            <w:pPr>
              <w:jc w:val="center"/>
              <w:rPr>
                <w:lang w:val="bg-BG"/>
              </w:rPr>
            </w:pPr>
            <w:r w:rsidRPr="00610B1B">
              <w:rPr>
                <w:lang w:val="bg-BG"/>
              </w:rPr>
              <w:t>6</w:t>
            </w:r>
          </w:p>
        </w:tc>
        <w:tc>
          <w:tcPr>
            <w:tcW w:w="810" w:type="dxa"/>
          </w:tcPr>
          <w:p w14:paraId="52C673F1" w14:textId="77777777" w:rsidR="00FD59A8" w:rsidRPr="00610B1B" w:rsidRDefault="00FD59A8" w:rsidP="00D32D6A">
            <w:pPr>
              <w:jc w:val="center"/>
              <w:rPr>
                <w:lang w:val="bg-BG"/>
              </w:rPr>
            </w:pPr>
            <w:r w:rsidRPr="00610B1B">
              <w:rPr>
                <w:lang w:val="bg-BG"/>
              </w:rPr>
              <w:t>120</w:t>
            </w:r>
          </w:p>
        </w:tc>
      </w:tr>
      <w:tr w:rsidR="00FD59A8" w:rsidRPr="00610B1B" w14:paraId="0AF0A8E2" w14:textId="77777777" w:rsidTr="00FD59A8">
        <w:tc>
          <w:tcPr>
            <w:tcW w:w="2409" w:type="dxa"/>
          </w:tcPr>
          <w:p w14:paraId="40B166BB" w14:textId="77777777" w:rsidR="00FD59A8" w:rsidRPr="00610B1B" w:rsidRDefault="00FD59A8" w:rsidP="00D32D6A">
            <w:pPr>
              <w:jc w:val="both"/>
              <w:rPr>
                <w:bCs/>
                <w:lang w:val="bg-BG"/>
              </w:rPr>
            </w:pPr>
            <w:r w:rsidRPr="00610B1B">
              <w:rPr>
                <w:bCs/>
                <w:lang w:val="bg-BG"/>
              </w:rPr>
              <w:t>Община Варна</w:t>
            </w:r>
          </w:p>
        </w:tc>
        <w:tc>
          <w:tcPr>
            <w:tcW w:w="1134" w:type="dxa"/>
          </w:tcPr>
          <w:p w14:paraId="70BEDAD0" w14:textId="77777777" w:rsidR="00FD59A8" w:rsidRPr="00610B1B" w:rsidRDefault="00FD59A8" w:rsidP="00D32D6A">
            <w:pPr>
              <w:jc w:val="center"/>
              <w:rPr>
                <w:lang w:val="bg-BG"/>
              </w:rPr>
            </w:pPr>
            <w:r w:rsidRPr="00610B1B">
              <w:rPr>
                <w:lang w:val="bg-BG"/>
              </w:rPr>
              <w:t>-</w:t>
            </w:r>
          </w:p>
        </w:tc>
        <w:tc>
          <w:tcPr>
            <w:tcW w:w="1418" w:type="dxa"/>
          </w:tcPr>
          <w:p w14:paraId="64DD5752" w14:textId="77777777" w:rsidR="00FD59A8" w:rsidRPr="00610B1B" w:rsidRDefault="00FD59A8" w:rsidP="00D32D6A">
            <w:pPr>
              <w:jc w:val="center"/>
              <w:rPr>
                <w:lang w:val="bg-BG"/>
              </w:rPr>
            </w:pPr>
            <w:r w:rsidRPr="00610B1B">
              <w:rPr>
                <w:lang w:val="bg-BG"/>
              </w:rPr>
              <w:t>24</w:t>
            </w:r>
          </w:p>
        </w:tc>
        <w:tc>
          <w:tcPr>
            <w:tcW w:w="3073" w:type="dxa"/>
            <w:gridSpan w:val="3"/>
          </w:tcPr>
          <w:p w14:paraId="1A6BC513" w14:textId="77777777" w:rsidR="00FD59A8" w:rsidRPr="00610B1B" w:rsidRDefault="00FD59A8" w:rsidP="00D32D6A">
            <w:pPr>
              <w:jc w:val="center"/>
              <w:rPr>
                <w:lang w:val="bg-BG"/>
              </w:rPr>
            </w:pPr>
            <w:r w:rsidRPr="00610B1B">
              <w:rPr>
                <w:lang w:val="bg-BG"/>
              </w:rPr>
              <w:t>няма сведение</w:t>
            </w:r>
          </w:p>
        </w:tc>
        <w:tc>
          <w:tcPr>
            <w:tcW w:w="810" w:type="dxa"/>
          </w:tcPr>
          <w:p w14:paraId="33742D0A" w14:textId="77777777" w:rsidR="00FD59A8" w:rsidRPr="00610B1B" w:rsidRDefault="00FD59A8" w:rsidP="00D32D6A">
            <w:pPr>
              <w:jc w:val="center"/>
              <w:rPr>
                <w:lang w:val="bg-BG"/>
              </w:rPr>
            </w:pPr>
          </w:p>
        </w:tc>
      </w:tr>
      <w:tr w:rsidR="00FD59A8" w:rsidRPr="00610B1B" w14:paraId="5ADF8E7A" w14:textId="77777777" w:rsidTr="00FD59A8">
        <w:tc>
          <w:tcPr>
            <w:tcW w:w="2409" w:type="dxa"/>
          </w:tcPr>
          <w:p w14:paraId="02A610E0" w14:textId="77777777" w:rsidR="00FD59A8" w:rsidRPr="00610B1B" w:rsidRDefault="00FD59A8" w:rsidP="00D32D6A">
            <w:pPr>
              <w:rPr>
                <w:bCs/>
                <w:lang w:val="bg-BG"/>
              </w:rPr>
            </w:pPr>
            <w:r w:rsidRPr="00610B1B">
              <w:rPr>
                <w:bCs/>
                <w:lang w:val="bg-BG"/>
              </w:rPr>
              <w:t>Община Долни чифлик</w:t>
            </w:r>
          </w:p>
        </w:tc>
        <w:tc>
          <w:tcPr>
            <w:tcW w:w="1134" w:type="dxa"/>
          </w:tcPr>
          <w:p w14:paraId="37E22603" w14:textId="77777777" w:rsidR="00FD59A8" w:rsidRPr="00610B1B" w:rsidRDefault="00FD59A8" w:rsidP="00D32D6A">
            <w:pPr>
              <w:jc w:val="center"/>
              <w:rPr>
                <w:lang w:val="bg-BG"/>
              </w:rPr>
            </w:pPr>
            <w:r w:rsidRPr="00610B1B">
              <w:rPr>
                <w:lang w:val="bg-BG"/>
              </w:rPr>
              <w:t>-</w:t>
            </w:r>
          </w:p>
        </w:tc>
        <w:tc>
          <w:tcPr>
            <w:tcW w:w="1418" w:type="dxa"/>
          </w:tcPr>
          <w:p w14:paraId="79D90340" w14:textId="77777777" w:rsidR="00FD59A8" w:rsidRPr="00610B1B" w:rsidRDefault="00FD59A8" w:rsidP="00D32D6A">
            <w:pPr>
              <w:jc w:val="center"/>
              <w:rPr>
                <w:lang w:val="bg-BG"/>
              </w:rPr>
            </w:pPr>
            <w:r w:rsidRPr="00610B1B">
              <w:rPr>
                <w:lang w:val="bg-BG"/>
              </w:rPr>
              <w:t>4</w:t>
            </w:r>
          </w:p>
        </w:tc>
        <w:tc>
          <w:tcPr>
            <w:tcW w:w="3073" w:type="dxa"/>
            <w:gridSpan w:val="3"/>
          </w:tcPr>
          <w:p w14:paraId="155EAE01" w14:textId="77777777" w:rsidR="00FD59A8" w:rsidRPr="00610B1B" w:rsidRDefault="00FD59A8" w:rsidP="00D32D6A">
            <w:pPr>
              <w:jc w:val="center"/>
              <w:rPr>
                <w:lang w:val="bg-BG"/>
              </w:rPr>
            </w:pPr>
            <w:r w:rsidRPr="00610B1B">
              <w:rPr>
                <w:lang w:val="bg-BG"/>
              </w:rPr>
              <w:t>няма сведение</w:t>
            </w:r>
          </w:p>
        </w:tc>
        <w:tc>
          <w:tcPr>
            <w:tcW w:w="810" w:type="dxa"/>
          </w:tcPr>
          <w:p w14:paraId="6C462AA9" w14:textId="77777777" w:rsidR="00FD59A8" w:rsidRPr="00610B1B" w:rsidRDefault="00FD59A8" w:rsidP="00D32D6A">
            <w:pPr>
              <w:jc w:val="center"/>
              <w:rPr>
                <w:lang w:val="bg-BG"/>
              </w:rPr>
            </w:pPr>
          </w:p>
        </w:tc>
      </w:tr>
      <w:tr w:rsidR="00FD59A8" w:rsidRPr="00610B1B" w14:paraId="436CCE77" w14:textId="77777777" w:rsidTr="00FD59A8">
        <w:tc>
          <w:tcPr>
            <w:tcW w:w="2409" w:type="dxa"/>
          </w:tcPr>
          <w:p w14:paraId="6ED8AB63" w14:textId="77777777" w:rsidR="00FD59A8" w:rsidRPr="00610B1B" w:rsidRDefault="00FD59A8" w:rsidP="00D32D6A">
            <w:pPr>
              <w:jc w:val="both"/>
              <w:rPr>
                <w:bCs/>
                <w:lang w:val="bg-BG"/>
              </w:rPr>
            </w:pPr>
            <w:r w:rsidRPr="00610B1B">
              <w:rPr>
                <w:bCs/>
                <w:lang w:val="bg-BG"/>
              </w:rPr>
              <w:t>Община Аврен</w:t>
            </w:r>
          </w:p>
        </w:tc>
        <w:tc>
          <w:tcPr>
            <w:tcW w:w="1134" w:type="dxa"/>
          </w:tcPr>
          <w:p w14:paraId="0933EC54" w14:textId="77777777" w:rsidR="00FD59A8" w:rsidRPr="00610B1B" w:rsidRDefault="00FD59A8" w:rsidP="00D32D6A">
            <w:pPr>
              <w:jc w:val="center"/>
              <w:rPr>
                <w:lang w:val="bg-BG"/>
              </w:rPr>
            </w:pPr>
            <w:r w:rsidRPr="00610B1B">
              <w:rPr>
                <w:lang w:val="bg-BG"/>
              </w:rPr>
              <w:t>-</w:t>
            </w:r>
          </w:p>
        </w:tc>
        <w:tc>
          <w:tcPr>
            <w:tcW w:w="1418" w:type="dxa"/>
          </w:tcPr>
          <w:p w14:paraId="27FE13A1" w14:textId="77777777" w:rsidR="00FD59A8" w:rsidRPr="00610B1B" w:rsidRDefault="00FD59A8" w:rsidP="00D32D6A">
            <w:pPr>
              <w:jc w:val="center"/>
              <w:rPr>
                <w:lang w:val="bg-BG"/>
              </w:rPr>
            </w:pPr>
            <w:r w:rsidRPr="00610B1B">
              <w:rPr>
                <w:lang w:val="bg-BG"/>
              </w:rPr>
              <w:t>2</w:t>
            </w:r>
          </w:p>
        </w:tc>
        <w:tc>
          <w:tcPr>
            <w:tcW w:w="3073" w:type="dxa"/>
            <w:gridSpan w:val="3"/>
          </w:tcPr>
          <w:p w14:paraId="5943DB68" w14:textId="77777777" w:rsidR="00FD59A8" w:rsidRPr="00610B1B" w:rsidRDefault="00FD59A8" w:rsidP="00D32D6A">
            <w:pPr>
              <w:jc w:val="center"/>
              <w:rPr>
                <w:lang w:val="bg-BG"/>
              </w:rPr>
            </w:pPr>
            <w:r w:rsidRPr="00610B1B">
              <w:rPr>
                <w:lang w:val="bg-BG"/>
              </w:rPr>
              <w:t>няма сведение</w:t>
            </w:r>
          </w:p>
        </w:tc>
        <w:tc>
          <w:tcPr>
            <w:tcW w:w="810" w:type="dxa"/>
          </w:tcPr>
          <w:p w14:paraId="1B450F68" w14:textId="77777777" w:rsidR="00FD59A8" w:rsidRPr="00610B1B" w:rsidRDefault="00FD59A8" w:rsidP="00D32D6A">
            <w:pPr>
              <w:jc w:val="center"/>
              <w:rPr>
                <w:lang w:val="bg-BG"/>
              </w:rPr>
            </w:pPr>
          </w:p>
        </w:tc>
      </w:tr>
      <w:tr w:rsidR="00FD59A8" w:rsidRPr="00610B1B" w14:paraId="5467DB3A" w14:textId="77777777" w:rsidTr="00FD59A8">
        <w:tc>
          <w:tcPr>
            <w:tcW w:w="2409" w:type="dxa"/>
          </w:tcPr>
          <w:p w14:paraId="79459A1F" w14:textId="77777777" w:rsidR="00FD59A8" w:rsidRPr="00610B1B" w:rsidRDefault="00FD59A8" w:rsidP="00D32D6A">
            <w:pPr>
              <w:jc w:val="both"/>
              <w:rPr>
                <w:bCs/>
                <w:lang w:val="bg-BG"/>
              </w:rPr>
            </w:pPr>
            <w:r w:rsidRPr="00610B1B">
              <w:rPr>
                <w:bCs/>
                <w:lang w:val="bg-BG"/>
              </w:rPr>
              <w:lastRenderedPageBreak/>
              <w:t>Община Бяла</w:t>
            </w:r>
          </w:p>
        </w:tc>
        <w:tc>
          <w:tcPr>
            <w:tcW w:w="1134" w:type="dxa"/>
          </w:tcPr>
          <w:p w14:paraId="7E369A28" w14:textId="77777777" w:rsidR="00FD59A8" w:rsidRPr="00610B1B" w:rsidRDefault="00FD59A8" w:rsidP="00D32D6A">
            <w:pPr>
              <w:jc w:val="center"/>
              <w:rPr>
                <w:lang w:val="bg-BG"/>
              </w:rPr>
            </w:pPr>
            <w:r w:rsidRPr="00610B1B">
              <w:rPr>
                <w:lang w:val="bg-BG"/>
              </w:rPr>
              <w:t>-</w:t>
            </w:r>
          </w:p>
        </w:tc>
        <w:tc>
          <w:tcPr>
            <w:tcW w:w="1418" w:type="dxa"/>
          </w:tcPr>
          <w:p w14:paraId="0FC4FD53" w14:textId="77777777" w:rsidR="00FD59A8" w:rsidRPr="00610B1B" w:rsidRDefault="00FD59A8" w:rsidP="00D32D6A">
            <w:pPr>
              <w:jc w:val="center"/>
              <w:rPr>
                <w:lang w:val="bg-BG"/>
              </w:rPr>
            </w:pPr>
            <w:r w:rsidRPr="00610B1B">
              <w:rPr>
                <w:lang w:val="bg-BG"/>
              </w:rPr>
              <w:t>2</w:t>
            </w:r>
          </w:p>
        </w:tc>
        <w:tc>
          <w:tcPr>
            <w:tcW w:w="3073" w:type="dxa"/>
            <w:gridSpan w:val="3"/>
          </w:tcPr>
          <w:p w14:paraId="13371852" w14:textId="77777777" w:rsidR="00FD59A8" w:rsidRPr="00610B1B" w:rsidRDefault="00FD59A8" w:rsidP="00D32D6A">
            <w:pPr>
              <w:jc w:val="center"/>
              <w:rPr>
                <w:lang w:val="bg-BG"/>
              </w:rPr>
            </w:pPr>
            <w:r w:rsidRPr="00610B1B">
              <w:rPr>
                <w:lang w:val="bg-BG"/>
              </w:rPr>
              <w:t>няма сведение</w:t>
            </w:r>
          </w:p>
        </w:tc>
        <w:tc>
          <w:tcPr>
            <w:tcW w:w="810" w:type="dxa"/>
          </w:tcPr>
          <w:p w14:paraId="43ACB9FC" w14:textId="77777777" w:rsidR="00FD59A8" w:rsidRPr="00610B1B" w:rsidRDefault="00FD59A8" w:rsidP="00D32D6A">
            <w:pPr>
              <w:jc w:val="center"/>
              <w:rPr>
                <w:lang w:val="bg-BG"/>
              </w:rPr>
            </w:pPr>
          </w:p>
        </w:tc>
      </w:tr>
      <w:tr w:rsidR="00FD59A8" w:rsidRPr="00610B1B" w14:paraId="01589D02" w14:textId="77777777" w:rsidTr="00FD59A8">
        <w:tc>
          <w:tcPr>
            <w:tcW w:w="2409" w:type="dxa"/>
          </w:tcPr>
          <w:p w14:paraId="7CFDA2B3" w14:textId="77777777" w:rsidR="00FD59A8" w:rsidRPr="00610B1B" w:rsidRDefault="00FD59A8" w:rsidP="00D32D6A">
            <w:pPr>
              <w:jc w:val="both"/>
              <w:rPr>
                <w:bCs/>
                <w:lang w:val="bg-BG"/>
              </w:rPr>
            </w:pPr>
            <w:r w:rsidRPr="00610B1B">
              <w:rPr>
                <w:bCs/>
                <w:lang w:val="bg-BG"/>
              </w:rPr>
              <w:t>Община Несебър</w:t>
            </w:r>
          </w:p>
        </w:tc>
        <w:tc>
          <w:tcPr>
            <w:tcW w:w="1134" w:type="dxa"/>
          </w:tcPr>
          <w:p w14:paraId="2957A776" w14:textId="77777777" w:rsidR="00FD59A8" w:rsidRPr="00610B1B" w:rsidRDefault="00FD59A8" w:rsidP="00D32D6A">
            <w:pPr>
              <w:jc w:val="center"/>
              <w:rPr>
                <w:lang w:val="bg-BG"/>
              </w:rPr>
            </w:pPr>
            <w:r w:rsidRPr="00610B1B">
              <w:rPr>
                <w:lang w:val="bg-BG"/>
              </w:rPr>
              <w:t>1*</w:t>
            </w:r>
          </w:p>
        </w:tc>
        <w:tc>
          <w:tcPr>
            <w:tcW w:w="1418" w:type="dxa"/>
          </w:tcPr>
          <w:p w14:paraId="22C02C37" w14:textId="77777777" w:rsidR="00FD59A8" w:rsidRPr="00610B1B" w:rsidRDefault="00FD59A8" w:rsidP="00D32D6A">
            <w:pPr>
              <w:jc w:val="center"/>
              <w:rPr>
                <w:lang w:val="bg-BG"/>
              </w:rPr>
            </w:pPr>
            <w:r w:rsidRPr="00610B1B">
              <w:rPr>
                <w:lang w:val="bg-BG"/>
              </w:rPr>
              <w:t>10</w:t>
            </w:r>
          </w:p>
        </w:tc>
        <w:tc>
          <w:tcPr>
            <w:tcW w:w="913" w:type="dxa"/>
          </w:tcPr>
          <w:p w14:paraId="416D055C" w14:textId="77777777" w:rsidR="00FD59A8" w:rsidRPr="00610B1B" w:rsidRDefault="00FD59A8" w:rsidP="00D32D6A">
            <w:pPr>
              <w:jc w:val="center"/>
              <w:rPr>
                <w:lang w:val="bg-BG"/>
              </w:rPr>
            </w:pPr>
            <w:r w:rsidRPr="00610B1B">
              <w:rPr>
                <w:lang w:val="bg-BG"/>
              </w:rPr>
              <w:t>2</w:t>
            </w:r>
          </w:p>
        </w:tc>
        <w:tc>
          <w:tcPr>
            <w:tcW w:w="1350" w:type="dxa"/>
          </w:tcPr>
          <w:p w14:paraId="0E7369ED" w14:textId="77777777" w:rsidR="00FD59A8" w:rsidRPr="00610B1B" w:rsidRDefault="00FD59A8" w:rsidP="00D32D6A">
            <w:pPr>
              <w:jc w:val="center"/>
              <w:rPr>
                <w:lang w:val="bg-BG"/>
              </w:rPr>
            </w:pPr>
          </w:p>
        </w:tc>
        <w:tc>
          <w:tcPr>
            <w:tcW w:w="810" w:type="dxa"/>
          </w:tcPr>
          <w:p w14:paraId="7CB351DB" w14:textId="77777777" w:rsidR="00FD59A8" w:rsidRPr="00610B1B" w:rsidRDefault="00FD59A8" w:rsidP="00D32D6A">
            <w:pPr>
              <w:jc w:val="center"/>
              <w:rPr>
                <w:lang w:val="bg-BG"/>
              </w:rPr>
            </w:pPr>
            <w:r w:rsidRPr="00610B1B">
              <w:rPr>
                <w:lang w:val="bg-BG"/>
              </w:rPr>
              <w:t>10</w:t>
            </w:r>
          </w:p>
        </w:tc>
        <w:tc>
          <w:tcPr>
            <w:tcW w:w="810" w:type="dxa"/>
          </w:tcPr>
          <w:p w14:paraId="06583792" w14:textId="77777777" w:rsidR="00FD59A8" w:rsidRPr="00610B1B" w:rsidRDefault="00FD59A8" w:rsidP="00D32D6A">
            <w:pPr>
              <w:jc w:val="center"/>
              <w:rPr>
                <w:lang w:val="bg-BG"/>
              </w:rPr>
            </w:pPr>
            <w:r w:rsidRPr="00610B1B">
              <w:rPr>
                <w:lang w:val="bg-BG"/>
              </w:rPr>
              <w:t>23</w:t>
            </w:r>
          </w:p>
        </w:tc>
      </w:tr>
      <w:tr w:rsidR="00FD59A8" w:rsidRPr="00610B1B" w14:paraId="2B9D680F" w14:textId="77777777" w:rsidTr="00FD59A8">
        <w:tc>
          <w:tcPr>
            <w:tcW w:w="2409" w:type="dxa"/>
          </w:tcPr>
          <w:p w14:paraId="775023D5" w14:textId="77777777" w:rsidR="00FD59A8" w:rsidRPr="00610B1B" w:rsidRDefault="00FD59A8" w:rsidP="00D32D6A">
            <w:pPr>
              <w:jc w:val="both"/>
              <w:rPr>
                <w:bCs/>
                <w:lang w:val="bg-BG"/>
              </w:rPr>
            </w:pPr>
            <w:r w:rsidRPr="00610B1B">
              <w:rPr>
                <w:bCs/>
                <w:lang w:val="bg-BG"/>
              </w:rPr>
              <w:t>Община Поморие</w:t>
            </w:r>
          </w:p>
        </w:tc>
        <w:tc>
          <w:tcPr>
            <w:tcW w:w="1134" w:type="dxa"/>
          </w:tcPr>
          <w:p w14:paraId="587B9924" w14:textId="77777777" w:rsidR="00FD59A8" w:rsidRPr="00610B1B" w:rsidRDefault="00FD59A8" w:rsidP="00D32D6A">
            <w:pPr>
              <w:jc w:val="center"/>
              <w:rPr>
                <w:lang w:val="bg-BG"/>
              </w:rPr>
            </w:pPr>
            <w:r w:rsidRPr="00610B1B">
              <w:rPr>
                <w:lang w:val="bg-BG"/>
              </w:rPr>
              <w:t>-</w:t>
            </w:r>
          </w:p>
        </w:tc>
        <w:tc>
          <w:tcPr>
            <w:tcW w:w="1418" w:type="dxa"/>
          </w:tcPr>
          <w:p w14:paraId="18AED02C" w14:textId="77777777" w:rsidR="00FD59A8" w:rsidRPr="00610B1B" w:rsidRDefault="00FD59A8" w:rsidP="00D32D6A">
            <w:pPr>
              <w:jc w:val="center"/>
              <w:rPr>
                <w:lang w:val="bg-BG"/>
              </w:rPr>
            </w:pPr>
            <w:r w:rsidRPr="00610B1B">
              <w:rPr>
                <w:lang w:val="bg-BG"/>
              </w:rPr>
              <w:t>4</w:t>
            </w:r>
          </w:p>
        </w:tc>
        <w:tc>
          <w:tcPr>
            <w:tcW w:w="913" w:type="dxa"/>
          </w:tcPr>
          <w:p w14:paraId="0574F683" w14:textId="77777777" w:rsidR="00FD59A8" w:rsidRPr="00610B1B" w:rsidRDefault="00FD59A8" w:rsidP="00D32D6A">
            <w:pPr>
              <w:jc w:val="center"/>
              <w:rPr>
                <w:lang w:val="bg-BG"/>
              </w:rPr>
            </w:pPr>
            <w:r w:rsidRPr="00610B1B">
              <w:rPr>
                <w:lang w:val="bg-BG"/>
              </w:rPr>
              <w:t>21</w:t>
            </w:r>
          </w:p>
        </w:tc>
        <w:tc>
          <w:tcPr>
            <w:tcW w:w="1350" w:type="dxa"/>
          </w:tcPr>
          <w:p w14:paraId="7321C0D9" w14:textId="77777777" w:rsidR="00FD59A8" w:rsidRPr="00610B1B" w:rsidRDefault="00FD59A8" w:rsidP="00D32D6A">
            <w:pPr>
              <w:jc w:val="center"/>
              <w:rPr>
                <w:lang w:val="bg-BG"/>
              </w:rPr>
            </w:pPr>
          </w:p>
        </w:tc>
        <w:tc>
          <w:tcPr>
            <w:tcW w:w="810" w:type="dxa"/>
          </w:tcPr>
          <w:p w14:paraId="70F04D0D" w14:textId="77777777" w:rsidR="00FD59A8" w:rsidRPr="00610B1B" w:rsidRDefault="00FD59A8" w:rsidP="00D32D6A">
            <w:pPr>
              <w:jc w:val="center"/>
              <w:rPr>
                <w:lang w:val="bg-BG"/>
              </w:rPr>
            </w:pPr>
            <w:r w:rsidRPr="00610B1B">
              <w:rPr>
                <w:lang w:val="bg-BG"/>
              </w:rPr>
              <w:t>13</w:t>
            </w:r>
          </w:p>
        </w:tc>
        <w:tc>
          <w:tcPr>
            <w:tcW w:w="810" w:type="dxa"/>
          </w:tcPr>
          <w:p w14:paraId="4DC8CE41" w14:textId="77777777" w:rsidR="00FD59A8" w:rsidRPr="00610B1B" w:rsidRDefault="00FD59A8" w:rsidP="00D32D6A">
            <w:pPr>
              <w:jc w:val="center"/>
              <w:rPr>
                <w:lang w:val="bg-BG"/>
              </w:rPr>
            </w:pPr>
            <w:r w:rsidRPr="00610B1B">
              <w:rPr>
                <w:lang w:val="bg-BG"/>
              </w:rPr>
              <w:t>28</w:t>
            </w:r>
          </w:p>
        </w:tc>
      </w:tr>
      <w:tr w:rsidR="00FD59A8" w:rsidRPr="00610B1B" w14:paraId="02BCC47F" w14:textId="77777777" w:rsidTr="00FD59A8">
        <w:tc>
          <w:tcPr>
            <w:tcW w:w="2409" w:type="dxa"/>
          </w:tcPr>
          <w:p w14:paraId="37FC58D3" w14:textId="77777777" w:rsidR="00FD59A8" w:rsidRPr="00610B1B" w:rsidRDefault="00FD59A8" w:rsidP="00D32D6A">
            <w:pPr>
              <w:jc w:val="both"/>
              <w:rPr>
                <w:bCs/>
                <w:lang w:val="bg-BG"/>
              </w:rPr>
            </w:pPr>
            <w:r w:rsidRPr="00610B1B">
              <w:rPr>
                <w:bCs/>
                <w:lang w:val="bg-BG"/>
              </w:rPr>
              <w:t>Община Бургас</w:t>
            </w:r>
          </w:p>
        </w:tc>
        <w:tc>
          <w:tcPr>
            <w:tcW w:w="1134" w:type="dxa"/>
          </w:tcPr>
          <w:p w14:paraId="66E87044" w14:textId="77777777" w:rsidR="00FD59A8" w:rsidRPr="00610B1B" w:rsidRDefault="00FD59A8" w:rsidP="00D32D6A">
            <w:pPr>
              <w:jc w:val="center"/>
              <w:rPr>
                <w:lang w:val="bg-BG"/>
              </w:rPr>
            </w:pPr>
            <w:r w:rsidRPr="00610B1B">
              <w:rPr>
                <w:lang w:val="bg-BG"/>
              </w:rPr>
              <w:t>-</w:t>
            </w:r>
          </w:p>
        </w:tc>
        <w:tc>
          <w:tcPr>
            <w:tcW w:w="1418" w:type="dxa"/>
          </w:tcPr>
          <w:p w14:paraId="7E27C3D4" w14:textId="77777777" w:rsidR="00FD59A8" w:rsidRPr="00610B1B" w:rsidRDefault="00FD59A8" w:rsidP="00D32D6A">
            <w:pPr>
              <w:jc w:val="center"/>
              <w:rPr>
                <w:lang w:val="bg-BG"/>
              </w:rPr>
            </w:pPr>
            <w:r w:rsidRPr="00610B1B">
              <w:rPr>
                <w:lang w:val="bg-BG"/>
              </w:rPr>
              <w:t>8</w:t>
            </w:r>
          </w:p>
        </w:tc>
        <w:tc>
          <w:tcPr>
            <w:tcW w:w="913" w:type="dxa"/>
          </w:tcPr>
          <w:p w14:paraId="5690A821" w14:textId="77777777" w:rsidR="00FD59A8" w:rsidRPr="00610B1B" w:rsidRDefault="00FD59A8" w:rsidP="00D32D6A">
            <w:pPr>
              <w:jc w:val="center"/>
              <w:rPr>
                <w:lang w:val="bg-BG"/>
              </w:rPr>
            </w:pPr>
            <w:r w:rsidRPr="00610B1B">
              <w:rPr>
                <w:lang w:val="bg-BG"/>
              </w:rPr>
              <w:t>92</w:t>
            </w:r>
          </w:p>
        </w:tc>
        <w:tc>
          <w:tcPr>
            <w:tcW w:w="1350" w:type="dxa"/>
          </w:tcPr>
          <w:p w14:paraId="068EED9B" w14:textId="77777777" w:rsidR="00FD59A8" w:rsidRPr="00610B1B" w:rsidRDefault="00FD59A8" w:rsidP="00D32D6A">
            <w:pPr>
              <w:jc w:val="center"/>
              <w:rPr>
                <w:lang w:val="bg-BG"/>
              </w:rPr>
            </w:pPr>
            <w:r w:rsidRPr="00610B1B">
              <w:rPr>
                <w:lang w:val="bg-BG"/>
              </w:rPr>
              <w:t>20</w:t>
            </w:r>
          </w:p>
        </w:tc>
        <w:tc>
          <w:tcPr>
            <w:tcW w:w="810" w:type="dxa"/>
          </w:tcPr>
          <w:p w14:paraId="343E1133" w14:textId="77777777" w:rsidR="00FD59A8" w:rsidRPr="00610B1B" w:rsidRDefault="00FD59A8" w:rsidP="00D32D6A">
            <w:pPr>
              <w:jc w:val="center"/>
              <w:rPr>
                <w:lang w:val="bg-BG"/>
              </w:rPr>
            </w:pPr>
            <w:r w:rsidRPr="00610B1B">
              <w:rPr>
                <w:lang w:val="bg-BG"/>
              </w:rPr>
              <w:t>209</w:t>
            </w:r>
          </w:p>
        </w:tc>
        <w:tc>
          <w:tcPr>
            <w:tcW w:w="810" w:type="dxa"/>
          </w:tcPr>
          <w:p w14:paraId="4C26ACB7" w14:textId="77777777" w:rsidR="00FD59A8" w:rsidRPr="00610B1B" w:rsidRDefault="00FD59A8" w:rsidP="00D32D6A">
            <w:pPr>
              <w:jc w:val="center"/>
              <w:rPr>
                <w:lang w:val="bg-BG"/>
              </w:rPr>
            </w:pPr>
            <w:r w:rsidRPr="00610B1B">
              <w:rPr>
                <w:lang w:val="bg-BG"/>
              </w:rPr>
              <w:t>329</w:t>
            </w:r>
          </w:p>
        </w:tc>
      </w:tr>
      <w:tr w:rsidR="00FD59A8" w:rsidRPr="00610B1B" w14:paraId="1A788B6D" w14:textId="77777777" w:rsidTr="00FD59A8">
        <w:tc>
          <w:tcPr>
            <w:tcW w:w="2409" w:type="dxa"/>
          </w:tcPr>
          <w:p w14:paraId="6AA7A816" w14:textId="77777777" w:rsidR="00FD59A8" w:rsidRPr="00610B1B" w:rsidRDefault="00FD59A8" w:rsidP="00D32D6A">
            <w:pPr>
              <w:jc w:val="both"/>
              <w:rPr>
                <w:bCs/>
                <w:lang w:val="bg-BG"/>
              </w:rPr>
            </w:pPr>
            <w:r w:rsidRPr="00610B1B">
              <w:rPr>
                <w:bCs/>
                <w:lang w:val="bg-BG"/>
              </w:rPr>
              <w:t>Община Созопол</w:t>
            </w:r>
          </w:p>
        </w:tc>
        <w:tc>
          <w:tcPr>
            <w:tcW w:w="1134" w:type="dxa"/>
          </w:tcPr>
          <w:p w14:paraId="3CE84416" w14:textId="77777777" w:rsidR="00FD59A8" w:rsidRPr="00610B1B" w:rsidRDefault="00FD59A8" w:rsidP="00D32D6A">
            <w:pPr>
              <w:jc w:val="center"/>
              <w:rPr>
                <w:lang w:val="bg-BG"/>
              </w:rPr>
            </w:pPr>
            <w:r w:rsidRPr="00610B1B">
              <w:rPr>
                <w:lang w:val="bg-BG"/>
              </w:rPr>
              <w:t>-</w:t>
            </w:r>
          </w:p>
        </w:tc>
        <w:tc>
          <w:tcPr>
            <w:tcW w:w="1418" w:type="dxa"/>
          </w:tcPr>
          <w:p w14:paraId="3588CFA4" w14:textId="77777777" w:rsidR="00FD59A8" w:rsidRPr="00610B1B" w:rsidRDefault="00FD59A8" w:rsidP="00D32D6A">
            <w:pPr>
              <w:jc w:val="center"/>
              <w:rPr>
                <w:lang w:val="bg-BG"/>
              </w:rPr>
            </w:pPr>
            <w:r w:rsidRPr="00610B1B">
              <w:rPr>
                <w:lang w:val="bg-BG"/>
              </w:rPr>
              <w:t>6</w:t>
            </w:r>
          </w:p>
        </w:tc>
        <w:tc>
          <w:tcPr>
            <w:tcW w:w="913" w:type="dxa"/>
          </w:tcPr>
          <w:p w14:paraId="5C92A3A3" w14:textId="77777777" w:rsidR="00FD59A8" w:rsidRPr="00610B1B" w:rsidRDefault="00FD59A8" w:rsidP="00D32D6A">
            <w:pPr>
              <w:jc w:val="center"/>
              <w:rPr>
                <w:lang w:val="bg-BG"/>
              </w:rPr>
            </w:pPr>
            <w:r w:rsidRPr="00610B1B">
              <w:rPr>
                <w:lang w:val="bg-BG"/>
              </w:rPr>
              <w:t>29</w:t>
            </w:r>
          </w:p>
        </w:tc>
        <w:tc>
          <w:tcPr>
            <w:tcW w:w="1350" w:type="dxa"/>
          </w:tcPr>
          <w:p w14:paraId="009C94FC" w14:textId="77777777" w:rsidR="00FD59A8" w:rsidRPr="00610B1B" w:rsidRDefault="00FD59A8" w:rsidP="00D32D6A">
            <w:pPr>
              <w:jc w:val="center"/>
              <w:rPr>
                <w:lang w:val="bg-BG"/>
              </w:rPr>
            </w:pPr>
            <w:r w:rsidRPr="00610B1B">
              <w:rPr>
                <w:lang w:val="bg-BG"/>
              </w:rPr>
              <w:t>5</w:t>
            </w:r>
          </w:p>
        </w:tc>
        <w:tc>
          <w:tcPr>
            <w:tcW w:w="810" w:type="dxa"/>
          </w:tcPr>
          <w:p w14:paraId="120C4930" w14:textId="77777777" w:rsidR="00FD59A8" w:rsidRPr="00610B1B" w:rsidRDefault="00FD59A8" w:rsidP="00D32D6A">
            <w:pPr>
              <w:jc w:val="center"/>
              <w:rPr>
                <w:lang w:val="bg-BG"/>
              </w:rPr>
            </w:pPr>
            <w:r w:rsidRPr="00610B1B">
              <w:rPr>
                <w:lang w:val="bg-BG"/>
              </w:rPr>
              <w:t>25</w:t>
            </w:r>
          </w:p>
        </w:tc>
        <w:tc>
          <w:tcPr>
            <w:tcW w:w="810" w:type="dxa"/>
          </w:tcPr>
          <w:p w14:paraId="7C606E68" w14:textId="77777777" w:rsidR="00FD59A8" w:rsidRPr="00610B1B" w:rsidRDefault="00FD59A8" w:rsidP="00D32D6A">
            <w:pPr>
              <w:jc w:val="center"/>
              <w:rPr>
                <w:lang w:val="bg-BG"/>
              </w:rPr>
            </w:pPr>
            <w:r w:rsidRPr="00610B1B">
              <w:rPr>
                <w:lang w:val="bg-BG"/>
              </w:rPr>
              <w:t>65</w:t>
            </w:r>
          </w:p>
        </w:tc>
      </w:tr>
      <w:tr w:rsidR="00FD59A8" w:rsidRPr="00610B1B" w14:paraId="0A2A440F" w14:textId="77777777" w:rsidTr="00FD59A8">
        <w:tc>
          <w:tcPr>
            <w:tcW w:w="2409" w:type="dxa"/>
          </w:tcPr>
          <w:p w14:paraId="3FC8D77D" w14:textId="77777777" w:rsidR="00FD59A8" w:rsidRPr="00610B1B" w:rsidRDefault="00FD59A8" w:rsidP="00D32D6A">
            <w:pPr>
              <w:jc w:val="both"/>
              <w:rPr>
                <w:bCs/>
                <w:lang w:val="bg-BG"/>
              </w:rPr>
            </w:pPr>
            <w:r w:rsidRPr="00610B1B">
              <w:rPr>
                <w:bCs/>
                <w:lang w:val="bg-BG"/>
              </w:rPr>
              <w:t>Община Приморско</w:t>
            </w:r>
          </w:p>
        </w:tc>
        <w:tc>
          <w:tcPr>
            <w:tcW w:w="1134" w:type="dxa"/>
            <w:shd w:val="clear" w:color="auto" w:fill="FFFFFF"/>
          </w:tcPr>
          <w:p w14:paraId="16FFB2F3" w14:textId="77777777" w:rsidR="00FD59A8" w:rsidRPr="00610B1B" w:rsidRDefault="00FD59A8" w:rsidP="00D32D6A">
            <w:pPr>
              <w:jc w:val="center"/>
              <w:rPr>
                <w:lang w:val="bg-BG"/>
              </w:rPr>
            </w:pPr>
            <w:r w:rsidRPr="00610B1B">
              <w:rPr>
                <w:lang w:val="bg-BG"/>
              </w:rPr>
              <w:t>-</w:t>
            </w:r>
          </w:p>
        </w:tc>
        <w:tc>
          <w:tcPr>
            <w:tcW w:w="1418" w:type="dxa"/>
            <w:shd w:val="clear" w:color="auto" w:fill="FFFFFF"/>
          </w:tcPr>
          <w:p w14:paraId="6A80D444" w14:textId="77777777" w:rsidR="00FD59A8" w:rsidRPr="00610B1B" w:rsidRDefault="00FD59A8" w:rsidP="00D32D6A">
            <w:pPr>
              <w:jc w:val="center"/>
              <w:rPr>
                <w:lang w:val="bg-BG"/>
              </w:rPr>
            </w:pPr>
            <w:r w:rsidRPr="00610B1B">
              <w:rPr>
                <w:lang w:val="bg-BG"/>
              </w:rPr>
              <w:t>7</w:t>
            </w:r>
          </w:p>
        </w:tc>
        <w:tc>
          <w:tcPr>
            <w:tcW w:w="913" w:type="dxa"/>
          </w:tcPr>
          <w:p w14:paraId="6B5C132F" w14:textId="77777777" w:rsidR="00FD59A8" w:rsidRPr="00610B1B" w:rsidRDefault="00FD59A8" w:rsidP="00D32D6A">
            <w:pPr>
              <w:jc w:val="center"/>
              <w:rPr>
                <w:lang w:val="bg-BG"/>
              </w:rPr>
            </w:pPr>
            <w:r w:rsidRPr="00610B1B">
              <w:rPr>
                <w:lang w:val="bg-BG"/>
              </w:rPr>
              <w:t>2</w:t>
            </w:r>
          </w:p>
        </w:tc>
        <w:tc>
          <w:tcPr>
            <w:tcW w:w="1350" w:type="dxa"/>
          </w:tcPr>
          <w:p w14:paraId="4658F426" w14:textId="77777777" w:rsidR="00FD59A8" w:rsidRPr="00610B1B" w:rsidRDefault="00FD59A8" w:rsidP="00D32D6A">
            <w:pPr>
              <w:jc w:val="center"/>
              <w:rPr>
                <w:lang w:val="bg-BG"/>
              </w:rPr>
            </w:pPr>
            <w:r w:rsidRPr="00610B1B">
              <w:rPr>
                <w:lang w:val="bg-BG"/>
              </w:rPr>
              <w:t>-</w:t>
            </w:r>
          </w:p>
        </w:tc>
        <w:tc>
          <w:tcPr>
            <w:tcW w:w="810" w:type="dxa"/>
          </w:tcPr>
          <w:p w14:paraId="5D9B3C3B" w14:textId="77777777" w:rsidR="00FD59A8" w:rsidRPr="00610B1B" w:rsidRDefault="00FD59A8" w:rsidP="00D32D6A">
            <w:pPr>
              <w:jc w:val="center"/>
              <w:rPr>
                <w:lang w:val="bg-BG"/>
              </w:rPr>
            </w:pPr>
            <w:r w:rsidRPr="00610B1B">
              <w:rPr>
                <w:lang w:val="bg-BG"/>
              </w:rPr>
              <w:t>1</w:t>
            </w:r>
          </w:p>
        </w:tc>
        <w:tc>
          <w:tcPr>
            <w:tcW w:w="810" w:type="dxa"/>
          </w:tcPr>
          <w:p w14:paraId="276288E3" w14:textId="77777777" w:rsidR="00FD59A8" w:rsidRPr="00610B1B" w:rsidRDefault="00FD59A8" w:rsidP="00D32D6A">
            <w:pPr>
              <w:jc w:val="center"/>
              <w:rPr>
                <w:lang w:val="bg-BG"/>
              </w:rPr>
            </w:pPr>
            <w:r w:rsidRPr="00610B1B">
              <w:rPr>
                <w:lang w:val="bg-BG"/>
              </w:rPr>
              <w:t>10</w:t>
            </w:r>
          </w:p>
        </w:tc>
      </w:tr>
      <w:tr w:rsidR="00FD59A8" w:rsidRPr="00610B1B" w14:paraId="16DF6C65" w14:textId="77777777" w:rsidTr="00FD59A8">
        <w:tc>
          <w:tcPr>
            <w:tcW w:w="2409" w:type="dxa"/>
          </w:tcPr>
          <w:p w14:paraId="14DEED66" w14:textId="77777777" w:rsidR="00FD59A8" w:rsidRPr="00610B1B" w:rsidRDefault="00FD59A8" w:rsidP="00D32D6A">
            <w:pPr>
              <w:jc w:val="both"/>
              <w:rPr>
                <w:bCs/>
                <w:lang w:val="bg-BG"/>
              </w:rPr>
            </w:pPr>
            <w:r w:rsidRPr="00610B1B">
              <w:rPr>
                <w:bCs/>
                <w:lang w:val="bg-BG"/>
              </w:rPr>
              <w:t>Община Царево</w:t>
            </w:r>
          </w:p>
        </w:tc>
        <w:tc>
          <w:tcPr>
            <w:tcW w:w="1134" w:type="dxa"/>
            <w:shd w:val="clear" w:color="auto" w:fill="FFFFFF"/>
          </w:tcPr>
          <w:p w14:paraId="4746250A" w14:textId="77777777" w:rsidR="00FD59A8" w:rsidRPr="00610B1B" w:rsidRDefault="00FD59A8" w:rsidP="00D32D6A">
            <w:pPr>
              <w:jc w:val="center"/>
              <w:rPr>
                <w:lang w:val="bg-BG"/>
              </w:rPr>
            </w:pPr>
            <w:r w:rsidRPr="00610B1B">
              <w:rPr>
                <w:lang w:val="bg-BG"/>
              </w:rPr>
              <w:t>-</w:t>
            </w:r>
          </w:p>
        </w:tc>
        <w:tc>
          <w:tcPr>
            <w:tcW w:w="1418" w:type="dxa"/>
            <w:shd w:val="clear" w:color="auto" w:fill="FFFFFF"/>
          </w:tcPr>
          <w:p w14:paraId="6907D94E" w14:textId="77777777" w:rsidR="00FD59A8" w:rsidRPr="00610B1B" w:rsidRDefault="00FD59A8" w:rsidP="00D32D6A">
            <w:pPr>
              <w:jc w:val="center"/>
              <w:rPr>
                <w:lang w:val="bg-BG"/>
              </w:rPr>
            </w:pPr>
            <w:r w:rsidRPr="00610B1B">
              <w:rPr>
                <w:lang w:val="bg-BG"/>
              </w:rPr>
              <w:t>2</w:t>
            </w:r>
          </w:p>
        </w:tc>
        <w:tc>
          <w:tcPr>
            <w:tcW w:w="913" w:type="dxa"/>
          </w:tcPr>
          <w:p w14:paraId="6D287C05" w14:textId="77777777" w:rsidR="00FD59A8" w:rsidRPr="00610B1B" w:rsidRDefault="00FD59A8" w:rsidP="00D32D6A">
            <w:pPr>
              <w:jc w:val="center"/>
              <w:rPr>
                <w:lang w:val="bg-BG"/>
              </w:rPr>
            </w:pPr>
            <w:r w:rsidRPr="00610B1B">
              <w:rPr>
                <w:lang w:val="bg-BG"/>
              </w:rPr>
              <w:t>2</w:t>
            </w:r>
          </w:p>
        </w:tc>
        <w:tc>
          <w:tcPr>
            <w:tcW w:w="1350" w:type="dxa"/>
          </w:tcPr>
          <w:p w14:paraId="452AC13B" w14:textId="77777777" w:rsidR="00FD59A8" w:rsidRPr="00610B1B" w:rsidRDefault="00FD59A8" w:rsidP="00D32D6A">
            <w:pPr>
              <w:jc w:val="center"/>
              <w:rPr>
                <w:lang w:val="bg-BG"/>
              </w:rPr>
            </w:pPr>
            <w:r w:rsidRPr="00610B1B">
              <w:rPr>
                <w:lang w:val="bg-BG"/>
              </w:rPr>
              <w:t>-</w:t>
            </w:r>
          </w:p>
        </w:tc>
        <w:tc>
          <w:tcPr>
            <w:tcW w:w="810" w:type="dxa"/>
          </w:tcPr>
          <w:p w14:paraId="1443C030" w14:textId="77777777" w:rsidR="00FD59A8" w:rsidRPr="00610B1B" w:rsidRDefault="00FD59A8" w:rsidP="00D32D6A">
            <w:pPr>
              <w:jc w:val="center"/>
              <w:rPr>
                <w:lang w:val="bg-BG"/>
              </w:rPr>
            </w:pPr>
            <w:r w:rsidRPr="00610B1B">
              <w:rPr>
                <w:lang w:val="bg-BG"/>
              </w:rPr>
              <w:t>50</w:t>
            </w:r>
          </w:p>
        </w:tc>
        <w:tc>
          <w:tcPr>
            <w:tcW w:w="810" w:type="dxa"/>
          </w:tcPr>
          <w:p w14:paraId="0630BD6B" w14:textId="77777777" w:rsidR="00FD59A8" w:rsidRPr="00610B1B" w:rsidRDefault="00FD59A8" w:rsidP="00D32D6A">
            <w:pPr>
              <w:jc w:val="center"/>
              <w:rPr>
                <w:lang w:val="bg-BG"/>
              </w:rPr>
            </w:pPr>
            <w:r w:rsidRPr="00610B1B">
              <w:rPr>
                <w:lang w:val="bg-BG"/>
              </w:rPr>
              <w:t>54</w:t>
            </w:r>
          </w:p>
        </w:tc>
      </w:tr>
    </w:tbl>
    <w:p w14:paraId="16DA23EB" w14:textId="07CBC3FD" w:rsidR="004E4CAD" w:rsidRPr="00610B1B" w:rsidRDefault="00442579" w:rsidP="00566CC3">
      <w:pPr>
        <w:spacing w:before="60" w:after="120" w:line="240" w:lineRule="auto"/>
        <w:ind w:right="-153"/>
        <w:jc w:val="both"/>
        <w:rPr>
          <w:rFonts w:ascii="Times New Roman" w:eastAsia="Times New Roman" w:hAnsi="Times New Roman" w:cs="Times New Roman"/>
          <w:sz w:val="20"/>
          <w:szCs w:val="20"/>
          <w:lang w:val="bg-BG"/>
        </w:rPr>
      </w:pPr>
      <w:r w:rsidRPr="00610B1B">
        <w:rPr>
          <w:rFonts w:ascii="Times New Roman" w:eastAsia="Times New Roman" w:hAnsi="Times New Roman" w:cs="Times New Roman"/>
          <w:sz w:val="20"/>
          <w:szCs w:val="20"/>
          <w:lang w:val="bg-BG"/>
        </w:rPr>
        <w:t>*Само в рамките на световната НКЦ „Стар град Несебър“ има</w:t>
      </w:r>
      <w:r w:rsidR="00D66FE0" w:rsidRPr="00610B1B">
        <w:rPr>
          <w:rFonts w:ascii="Times New Roman" w:eastAsia="Times New Roman" w:hAnsi="Times New Roman" w:cs="Times New Roman"/>
          <w:sz w:val="20"/>
          <w:szCs w:val="20"/>
          <w:lang w:val="bg-BG"/>
        </w:rPr>
        <w:t xml:space="preserve"> </w:t>
      </w:r>
      <w:r w:rsidRPr="00610B1B">
        <w:rPr>
          <w:rFonts w:ascii="Times New Roman" w:eastAsia="Times New Roman" w:hAnsi="Times New Roman" w:cs="Times New Roman"/>
          <w:sz w:val="20"/>
          <w:szCs w:val="20"/>
          <w:lang w:val="bg-BG"/>
        </w:rPr>
        <w:t>общо 118 НКЦ, от които 20 са с категория с „национално значение”, 50 – с „местно”, 34 - „за сведение”</w:t>
      </w:r>
    </w:p>
    <w:p w14:paraId="4D2BF00B" w14:textId="4CBA7610" w:rsidR="00442579" w:rsidRPr="00610B1B" w:rsidRDefault="001B7D8F" w:rsidP="00D32D6A">
      <w:pPr>
        <w:pStyle w:val="Heading4"/>
        <w:spacing w:before="0" w:line="276" w:lineRule="auto"/>
        <w:ind w:right="-153"/>
        <w:rPr>
          <w:rFonts w:cs="Times New Roman"/>
        </w:rPr>
      </w:pPr>
      <w:r w:rsidRPr="00610B1B">
        <w:rPr>
          <w:rFonts w:cs="Times New Roman"/>
        </w:rPr>
        <w:t xml:space="preserve">3.7.2.5. </w:t>
      </w:r>
      <w:r w:rsidR="00442579" w:rsidRPr="00610B1B">
        <w:rPr>
          <w:rFonts w:cs="Times New Roman"/>
        </w:rPr>
        <w:t xml:space="preserve">Актуално състояние на обектите КН под вода </w:t>
      </w:r>
    </w:p>
    <w:p w14:paraId="29A4B59B" w14:textId="082AA963"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България е една от първите страни в света, ко</w:t>
      </w:r>
      <w:r w:rsidR="001B7D8F" w:rsidRPr="00610B1B">
        <w:rPr>
          <w:rFonts w:ascii="Times New Roman" w:eastAsia="Times New Roman" w:hAnsi="Times New Roman" w:cs="Times New Roman"/>
          <w:sz w:val="24"/>
          <w:szCs w:val="24"/>
          <w:lang w:val="bg-BG"/>
        </w:rPr>
        <w:t>и</w:t>
      </w:r>
      <w:r w:rsidRPr="00610B1B">
        <w:rPr>
          <w:rFonts w:ascii="Times New Roman" w:eastAsia="Times New Roman" w:hAnsi="Times New Roman" w:cs="Times New Roman"/>
          <w:sz w:val="24"/>
          <w:szCs w:val="24"/>
          <w:lang w:val="bg-BG"/>
        </w:rPr>
        <w:t>то създават специализирана структура за опазване на културното наследство под вода. България е първата държава от Европа и втората в света, която се присъедини още през 2003 г. към Конвенцията на ЮНЕСКО за опазване на</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подводното културно наследство</w:t>
      </w:r>
      <w:r w:rsidR="00033AA4" w:rsidRPr="00610B1B">
        <w:rPr>
          <w:rFonts w:ascii="Times New Roman" w:eastAsia="Times New Roman" w:hAnsi="Times New Roman" w:cs="Times New Roman"/>
          <w:sz w:val="24"/>
          <w:szCs w:val="24"/>
          <w:lang w:val="bg-BG"/>
        </w:rPr>
        <w:t xml:space="preserve"> и </w:t>
      </w:r>
      <w:r w:rsidRPr="00610B1B">
        <w:rPr>
          <w:rFonts w:ascii="Times New Roman" w:eastAsia="Times New Roman" w:hAnsi="Times New Roman" w:cs="Times New Roman"/>
          <w:sz w:val="24"/>
          <w:szCs w:val="24"/>
          <w:lang w:val="bg-BG"/>
        </w:rPr>
        <w:t>от края на ХХ век българската подводна археология идентифицира своите основни обекти на проучване</w:t>
      </w:r>
      <w:r w:rsidR="001B7D8F" w:rsidRPr="00610B1B">
        <w:rPr>
          <w:rFonts w:ascii="Times New Roman" w:eastAsia="Times New Roman" w:hAnsi="Times New Roman" w:cs="Times New Roman"/>
          <w:sz w:val="24"/>
          <w:szCs w:val="24"/>
          <w:lang w:val="bg-BG"/>
        </w:rPr>
        <w:t xml:space="preserve">. Изследването </w:t>
      </w:r>
      <w:r w:rsidRPr="00610B1B">
        <w:rPr>
          <w:rFonts w:ascii="Times New Roman" w:eastAsia="Times New Roman" w:hAnsi="Times New Roman" w:cs="Times New Roman"/>
          <w:sz w:val="24"/>
          <w:szCs w:val="24"/>
          <w:lang w:val="bg-BG"/>
        </w:rPr>
        <w:t xml:space="preserve">на всяка от тези групи обекти през последните години получи допълнително развитие и се разшири с развитието на техническите средства и повишаването на човешкия капацитет. </w:t>
      </w:r>
    </w:p>
    <w:p w14:paraId="2ED7CC75" w14:textId="58F8E2AE"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b/>
          <w:sz w:val="24"/>
          <w:szCs w:val="24"/>
          <w:lang w:val="bg-BG"/>
        </w:rPr>
        <w:t xml:space="preserve">Останки от корабокрушения </w:t>
      </w:r>
    </w:p>
    <w:p w14:paraId="27CB737B" w14:textId="1DE7E94A" w:rsidR="00442579" w:rsidRPr="00610B1B" w:rsidRDefault="00DD51C3"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В крайбрежната зона на българското Черноморие ч</w:t>
      </w:r>
      <w:r w:rsidR="00442579" w:rsidRPr="00610B1B">
        <w:rPr>
          <w:rFonts w:ascii="Times New Roman" w:eastAsia="Times New Roman" w:hAnsi="Times New Roman" w:cs="Times New Roman"/>
          <w:sz w:val="24"/>
          <w:szCs w:val="24"/>
          <w:lang w:val="bg-BG"/>
        </w:rPr>
        <w:t xml:space="preserve">рез археологически разкопки в България са проучени две корабокрушения: </w:t>
      </w:r>
    </w:p>
    <w:p w14:paraId="4319FA65" w14:textId="07F7CAE7" w:rsidR="00442579" w:rsidRPr="00610B1B" w:rsidRDefault="00442579" w:rsidP="00B46189">
      <w:pPr>
        <w:pStyle w:val="ListParagraph"/>
        <w:numPr>
          <w:ilvl w:val="0"/>
          <w:numId w:val="40"/>
        </w:numPr>
        <w:spacing w:after="120"/>
        <w:ind w:right="-153"/>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корабокрушение на дървен ветроход от края на </w:t>
      </w:r>
      <w:r w:rsidR="00DD51C3" w:rsidRPr="00610B1B">
        <w:rPr>
          <w:rFonts w:ascii="Times New Roman" w:eastAsia="Times New Roman" w:hAnsi="Times New Roman" w:cs="Times New Roman"/>
          <w:sz w:val="24"/>
          <w:szCs w:val="24"/>
          <w:lang w:val="bg-BG"/>
        </w:rPr>
        <w:t>ХVIII</w:t>
      </w:r>
      <w:r w:rsidRPr="00610B1B">
        <w:rPr>
          <w:rFonts w:ascii="Times New Roman" w:eastAsia="Times New Roman" w:hAnsi="Times New Roman" w:cs="Times New Roman"/>
          <w:sz w:val="24"/>
          <w:szCs w:val="24"/>
          <w:lang w:val="bg-BG"/>
        </w:rPr>
        <w:t xml:space="preserve"> – началото на </w:t>
      </w:r>
      <w:r w:rsidR="00DD51C3" w:rsidRPr="00610B1B">
        <w:rPr>
          <w:rFonts w:ascii="Times New Roman" w:eastAsia="Times New Roman" w:hAnsi="Times New Roman" w:cs="Times New Roman"/>
          <w:sz w:val="24"/>
          <w:szCs w:val="24"/>
          <w:lang w:val="bg-BG"/>
        </w:rPr>
        <w:t>XIX</w:t>
      </w:r>
      <w:r w:rsidRPr="00610B1B">
        <w:rPr>
          <w:rFonts w:ascii="Times New Roman" w:eastAsia="Times New Roman" w:hAnsi="Times New Roman" w:cs="Times New Roman"/>
          <w:sz w:val="24"/>
          <w:szCs w:val="24"/>
          <w:lang w:val="bg-BG"/>
        </w:rPr>
        <w:t xml:space="preserve"> век в южния Китенски залив, гр. Китен, община Приморско;</w:t>
      </w:r>
      <w:r w:rsidR="00D66FE0" w:rsidRPr="00610B1B">
        <w:rPr>
          <w:rFonts w:ascii="Times New Roman" w:eastAsia="Times New Roman" w:hAnsi="Times New Roman" w:cs="Times New Roman"/>
          <w:sz w:val="24"/>
          <w:szCs w:val="24"/>
          <w:lang w:val="bg-BG"/>
        </w:rPr>
        <w:t xml:space="preserve"> </w:t>
      </w:r>
    </w:p>
    <w:p w14:paraId="56A7BDD2" w14:textId="4846533E" w:rsidR="00442579" w:rsidRPr="00610B1B" w:rsidRDefault="00442579" w:rsidP="00B46189">
      <w:pPr>
        <w:pStyle w:val="ListParagraph"/>
        <w:numPr>
          <w:ilvl w:val="0"/>
          <w:numId w:val="40"/>
        </w:numPr>
        <w:spacing w:after="120"/>
        <w:ind w:right="-153"/>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корабокрушение на дървен двумачтов в</w:t>
      </w:r>
      <w:r w:rsidR="00DD51C3" w:rsidRPr="00610B1B">
        <w:rPr>
          <w:rFonts w:ascii="Times New Roman" w:eastAsia="Times New Roman" w:hAnsi="Times New Roman" w:cs="Times New Roman"/>
          <w:sz w:val="24"/>
          <w:szCs w:val="24"/>
          <w:lang w:val="bg-BG"/>
        </w:rPr>
        <w:t>етроход от първата половина на XIX</w:t>
      </w:r>
      <w:r w:rsidRPr="00610B1B">
        <w:rPr>
          <w:rFonts w:ascii="Times New Roman" w:eastAsia="Times New Roman" w:hAnsi="Times New Roman" w:cs="Times New Roman"/>
          <w:sz w:val="24"/>
          <w:szCs w:val="24"/>
          <w:lang w:val="bg-BG"/>
        </w:rPr>
        <w:t xml:space="preserve"> век в залива Св. Никола, гр. Черноморец, община Созопол. </w:t>
      </w:r>
    </w:p>
    <w:p w14:paraId="7C2A05EA" w14:textId="7EF698D2"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През 60-те и 70-те година в района на Варна, нос Св. Атанас, Равда, Несебър и Поморие са извадени серии еднакви амфори или керемиди.</w:t>
      </w:r>
      <w:r w:rsidR="00DD51C3" w:rsidRPr="00610B1B">
        <w:rPr>
          <w:rFonts w:ascii="Times New Roman" w:eastAsia="Times New Roman" w:hAnsi="Times New Roman" w:cs="Times New Roman"/>
          <w:sz w:val="24"/>
          <w:szCs w:val="24"/>
          <w:lang w:val="bg-BG"/>
        </w:rPr>
        <w:t xml:space="preserve"> </w:t>
      </w:r>
      <w:r w:rsidR="00033AA4" w:rsidRPr="00610B1B">
        <w:rPr>
          <w:rFonts w:ascii="Times New Roman" w:eastAsia="Times New Roman" w:hAnsi="Times New Roman" w:cs="Times New Roman"/>
          <w:sz w:val="24"/>
          <w:szCs w:val="24"/>
          <w:lang w:val="bg-BG"/>
        </w:rPr>
        <w:t xml:space="preserve">Местата </w:t>
      </w:r>
      <w:r w:rsidRPr="00610B1B">
        <w:rPr>
          <w:rFonts w:ascii="Times New Roman" w:eastAsia="Times New Roman" w:hAnsi="Times New Roman" w:cs="Times New Roman"/>
          <w:sz w:val="24"/>
          <w:szCs w:val="24"/>
          <w:lang w:val="bg-BG"/>
        </w:rPr>
        <w:t>на повечето от тези находки не могат да се идентифицират точно.</w:t>
      </w:r>
      <w:r w:rsidR="00DD51C3" w:rsidRPr="00610B1B">
        <w:rPr>
          <w:rFonts w:ascii="Times New Roman" w:eastAsia="Times New Roman" w:hAnsi="Times New Roman" w:cs="Times New Roman"/>
          <w:sz w:val="24"/>
          <w:szCs w:val="24"/>
          <w:lang w:val="bg-BG"/>
        </w:rPr>
        <w:t xml:space="preserve"> Известни са </w:t>
      </w:r>
      <w:r w:rsidRPr="00610B1B">
        <w:rPr>
          <w:rFonts w:ascii="Times New Roman" w:eastAsia="Times New Roman" w:hAnsi="Times New Roman" w:cs="Times New Roman"/>
          <w:sz w:val="24"/>
          <w:szCs w:val="24"/>
          <w:lang w:val="bg-BG"/>
        </w:rPr>
        <w:t xml:space="preserve">останки от дървени ветроходи от </w:t>
      </w:r>
      <w:r w:rsidR="00DD51C3" w:rsidRPr="00610B1B">
        <w:rPr>
          <w:rFonts w:ascii="Times New Roman" w:eastAsia="Times New Roman" w:hAnsi="Times New Roman" w:cs="Times New Roman"/>
          <w:sz w:val="24"/>
          <w:szCs w:val="24"/>
          <w:lang w:val="bg-BG"/>
        </w:rPr>
        <w:t>XVII</w:t>
      </w:r>
      <w:r w:rsidRPr="00610B1B">
        <w:rPr>
          <w:rFonts w:ascii="Times New Roman" w:eastAsia="Times New Roman" w:hAnsi="Times New Roman" w:cs="Times New Roman"/>
          <w:sz w:val="24"/>
          <w:szCs w:val="24"/>
          <w:lang w:val="bg-BG"/>
        </w:rPr>
        <w:t>–</w:t>
      </w:r>
      <w:r w:rsidR="00DD51C3" w:rsidRPr="00610B1B">
        <w:rPr>
          <w:rFonts w:ascii="Times New Roman" w:eastAsia="Times New Roman" w:hAnsi="Times New Roman" w:cs="Times New Roman"/>
          <w:sz w:val="24"/>
          <w:szCs w:val="24"/>
          <w:lang w:val="bg-BG"/>
        </w:rPr>
        <w:t>XIX</w:t>
      </w:r>
      <w:r w:rsidRPr="00610B1B">
        <w:rPr>
          <w:rFonts w:ascii="Times New Roman" w:eastAsia="Times New Roman" w:hAnsi="Times New Roman" w:cs="Times New Roman"/>
          <w:sz w:val="24"/>
          <w:szCs w:val="24"/>
          <w:lang w:val="bg-BG"/>
        </w:rPr>
        <w:t xml:space="preserve"> век в крайбрежната зона в следните локации: северния плаж на Дуранкулак (корабокрушение от </w:t>
      </w:r>
      <w:r w:rsidR="00DD51C3" w:rsidRPr="00610B1B">
        <w:rPr>
          <w:rFonts w:ascii="Times New Roman" w:eastAsia="Times New Roman" w:hAnsi="Times New Roman" w:cs="Times New Roman"/>
          <w:sz w:val="24"/>
          <w:szCs w:val="24"/>
          <w:lang w:val="bg-BG"/>
        </w:rPr>
        <w:t>XVII</w:t>
      </w:r>
      <w:r w:rsidRPr="00610B1B">
        <w:rPr>
          <w:rFonts w:ascii="Times New Roman" w:eastAsia="Times New Roman" w:hAnsi="Times New Roman" w:cs="Times New Roman"/>
          <w:sz w:val="24"/>
          <w:szCs w:val="24"/>
          <w:lang w:val="bg-BG"/>
        </w:rPr>
        <w:t xml:space="preserve"> век); Шабла, северно от къмпинг Добруджа (корабокрушения от </w:t>
      </w:r>
      <w:r w:rsidR="00DD51C3" w:rsidRPr="00610B1B">
        <w:rPr>
          <w:rFonts w:ascii="Times New Roman" w:eastAsia="Times New Roman" w:hAnsi="Times New Roman" w:cs="Times New Roman"/>
          <w:sz w:val="24"/>
          <w:szCs w:val="24"/>
          <w:lang w:val="bg-BG"/>
        </w:rPr>
        <w:t xml:space="preserve">XVII–XVIII </w:t>
      </w:r>
      <w:r w:rsidRPr="00610B1B">
        <w:rPr>
          <w:rFonts w:ascii="Times New Roman" w:eastAsia="Times New Roman" w:hAnsi="Times New Roman" w:cs="Times New Roman"/>
          <w:sz w:val="24"/>
          <w:szCs w:val="24"/>
          <w:lang w:val="bg-BG"/>
        </w:rPr>
        <w:t>век), района н</w:t>
      </w:r>
      <w:r w:rsidR="00DD51C3" w:rsidRPr="00610B1B">
        <w:rPr>
          <w:rFonts w:ascii="Times New Roman" w:eastAsia="Times New Roman" w:hAnsi="Times New Roman" w:cs="Times New Roman"/>
          <w:sz w:val="24"/>
          <w:szCs w:val="24"/>
          <w:lang w:val="bg-BG"/>
        </w:rPr>
        <w:t>а с. Крапец (голям ветроход от XIX</w:t>
      </w:r>
      <w:r w:rsidRPr="00610B1B">
        <w:rPr>
          <w:rFonts w:ascii="Times New Roman" w:eastAsia="Times New Roman" w:hAnsi="Times New Roman" w:cs="Times New Roman"/>
          <w:sz w:val="24"/>
          <w:szCs w:val="24"/>
          <w:lang w:val="bg-BG"/>
        </w:rPr>
        <w:t xml:space="preserve"> век); южния залив на Китен - добре запазени корпуси на най-малко 3 дървени кораба. </w:t>
      </w:r>
    </w:p>
    <w:p w14:paraId="7331E009" w14:textId="77777777"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b/>
          <w:sz w:val="24"/>
          <w:szCs w:val="24"/>
          <w:lang w:val="bg-BG"/>
        </w:rPr>
        <w:t xml:space="preserve">Дълбоководни корабокрушения </w:t>
      </w:r>
    </w:p>
    <w:p w14:paraId="5B6CA730" w14:textId="3A30C2C0" w:rsidR="00442579" w:rsidRPr="00610B1B" w:rsidRDefault="002915C2"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Специфичните </w:t>
      </w:r>
      <w:r w:rsidR="00442579" w:rsidRPr="00610B1B">
        <w:rPr>
          <w:rFonts w:ascii="Times New Roman" w:eastAsia="Times New Roman" w:hAnsi="Times New Roman" w:cs="Times New Roman"/>
          <w:sz w:val="24"/>
          <w:szCs w:val="24"/>
          <w:lang w:val="bg-BG"/>
        </w:rPr>
        <w:t xml:space="preserve">условия в Черно море </w:t>
      </w:r>
      <w:r w:rsidRPr="00610B1B">
        <w:rPr>
          <w:rFonts w:ascii="Times New Roman" w:eastAsia="Times New Roman" w:hAnsi="Times New Roman" w:cs="Times New Roman"/>
          <w:sz w:val="24"/>
          <w:szCs w:val="24"/>
          <w:lang w:val="bg-BG"/>
        </w:rPr>
        <w:t xml:space="preserve">са причина </w:t>
      </w:r>
      <w:r w:rsidR="00442579" w:rsidRPr="00610B1B">
        <w:rPr>
          <w:rFonts w:ascii="Times New Roman" w:eastAsia="Times New Roman" w:hAnsi="Times New Roman" w:cs="Times New Roman"/>
          <w:sz w:val="24"/>
          <w:szCs w:val="24"/>
          <w:lang w:val="bg-BG"/>
        </w:rPr>
        <w:t xml:space="preserve">останките от дървени кораби </w:t>
      </w:r>
      <w:r w:rsidRPr="00610B1B">
        <w:rPr>
          <w:rFonts w:ascii="Times New Roman" w:eastAsia="Times New Roman" w:hAnsi="Times New Roman" w:cs="Times New Roman"/>
          <w:sz w:val="24"/>
          <w:szCs w:val="24"/>
          <w:lang w:val="bg-BG"/>
        </w:rPr>
        <w:t>да</w:t>
      </w:r>
      <w:r w:rsidR="00442579" w:rsidRPr="00610B1B">
        <w:rPr>
          <w:rFonts w:ascii="Times New Roman" w:eastAsia="Times New Roman" w:hAnsi="Times New Roman" w:cs="Times New Roman"/>
          <w:sz w:val="24"/>
          <w:szCs w:val="24"/>
          <w:lang w:val="bg-BG"/>
        </w:rPr>
        <w:t xml:space="preserve"> се запазват изключително добре. Поради това, дълбоководните корабокрушения в Черно море и особено тези от западната половина на басейна имат потенциал да бъдат декларирани като световно културно наследство по Конвенцията на </w:t>
      </w:r>
      <w:r w:rsidRPr="00610B1B">
        <w:rPr>
          <w:rFonts w:ascii="Times New Roman" w:eastAsia="Times New Roman" w:hAnsi="Times New Roman" w:cs="Times New Roman"/>
          <w:sz w:val="24"/>
          <w:szCs w:val="24"/>
          <w:lang w:val="bg-BG"/>
        </w:rPr>
        <w:t>ЮНЕСКО (</w:t>
      </w:r>
      <w:r w:rsidR="00442579" w:rsidRPr="00610B1B">
        <w:rPr>
          <w:rFonts w:ascii="Times New Roman" w:eastAsia="Times New Roman" w:hAnsi="Times New Roman" w:cs="Times New Roman"/>
          <w:sz w:val="24"/>
          <w:szCs w:val="24"/>
          <w:lang w:val="bg-BG"/>
        </w:rPr>
        <w:t>1972 г.</w:t>
      </w:r>
      <w:r w:rsidRPr="00610B1B">
        <w:rPr>
          <w:rFonts w:ascii="Times New Roman" w:eastAsia="Times New Roman" w:hAnsi="Times New Roman" w:cs="Times New Roman"/>
          <w:sz w:val="24"/>
          <w:szCs w:val="24"/>
          <w:lang w:val="bg-BG"/>
        </w:rPr>
        <w:t>).</w:t>
      </w:r>
      <w:r w:rsidR="00442579" w:rsidRPr="00610B1B">
        <w:rPr>
          <w:rFonts w:ascii="Times New Roman" w:eastAsia="Times New Roman" w:hAnsi="Times New Roman" w:cs="Times New Roman"/>
          <w:sz w:val="24"/>
          <w:szCs w:val="24"/>
          <w:lang w:val="bg-BG"/>
        </w:rPr>
        <w:t xml:space="preserve"> </w:t>
      </w:r>
    </w:p>
    <w:p w14:paraId="7256C842" w14:textId="5F1B626A"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При дълбоководни проучвания на ИО на БАН са регистрирани 4 корабокрушения източно и северно от Варна на дълбочини между 100 и 140 метра. Две корабокрушения се отнася към римски период (ІІІ - V в. сл.</w:t>
      </w:r>
      <w:r w:rsidR="002915C2" w:rsidRPr="00610B1B">
        <w:rPr>
          <w:rFonts w:ascii="Times New Roman" w:eastAsia="Times New Roman" w:hAnsi="Times New Roman" w:cs="Times New Roman"/>
          <w:sz w:val="24"/>
          <w:szCs w:val="24"/>
          <w:lang w:val="bg-BG"/>
        </w:rPr>
        <w:t xml:space="preserve"> Хр.), а другите са датирани в XIX </w:t>
      </w:r>
      <w:r w:rsidRPr="00610B1B">
        <w:rPr>
          <w:rFonts w:ascii="Times New Roman" w:eastAsia="Times New Roman" w:hAnsi="Times New Roman" w:cs="Times New Roman"/>
          <w:sz w:val="24"/>
          <w:szCs w:val="24"/>
          <w:lang w:val="bg-BG"/>
        </w:rPr>
        <w:t xml:space="preserve">век. </w:t>
      </w:r>
    </w:p>
    <w:p w14:paraId="785C3364" w14:textId="678C4C2C" w:rsidR="00442579" w:rsidRPr="00610B1B" w:rsidRDefault="00442579" w:rsidP="00D32D6A">
      <w:pPr>
        <w:spacing w:after="120"/>
        <w:ind w:right="-153"/>
        <w:jc w:val="both"/>
        <w:rPr>
          <w:rFonts w:ascii="Times New Roman" w:eastAsia="Times New Roman" w:hAnsi="Times New Roman" w:cs="Times New Roman"/>
          <w:color w:val="0000FF"/>
          <w:sz w:val="24"/>
          <w:szCs w:val="24"/>
          <w:lang w:val="bg-BG"/>
        </w:rPr>
      </w:pPr>
      <w:r w:rsidRPr="00610B1B">
        <w:rPr>
          <w:rFonts w:ascii="Times New Roman" w:eastAsia="Times New Roman" w:hAnsi="Times New Roman" w:cs="Times New Roman"/>
          <w:sz w:val="24"/>
          <w:szCs w:val="24"/>
          <w:lang w:val="bg-BG"/>
        </w:rPr>
        <w:lastRenderedPageBreak/>
        <w:t xml:space="preserve">При изпълнението на дълбоководния проект MAP Black Sea са изследвани две зони: южна – от Созопол до Резово и до 15 морски мили навътре в морето, и северна – линейна ширина от 2 до 10 </w:t>
      </w:r>
      <w:r w:rsidR="002915C2" w:rsidRPr="00610B1B">
        <w:rPr>
          <w:rFonts w:ascii="Times New Roman" w:eastAsia="Times New Roman" w:hAnsi="Times New Roman" w:cs="Times New Roman"/>
          <w:sz w:val="24"/>
          <w:szCs w:val="24"/>
          <w:lang w:val="bg-BG"/>
        </w:rPr>
        <w:t xml:space="preserve">km </w:t>
      </w:r>
      <w:r w:rsidRPr="00610B1B">
        <w:rPr>
          <w:rFonts w:ascii="Times New Roman" w:eastAsia="Times New Roman" w:hAnsi="Times New Roman" w:cs="Times New Roman"/>
          <w:sz w:val="24"/>
          <w:szCs w:val="24"/>
          <w:lang w:val="bg-BG"/>
        </w:rPr>
        <w:t>по трасето на нереализирания газопровод Южен поток от брега северно от Варна до граничната точка на ИИЗ на Република България. При проучванията са регистрирани и документирани общо 55 корабокрушения, по-голямата част, от които са датирани както следва</w:t>
      </w:r>
      <w:r w:rsidR="002915C2"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1</w:t>
      </w:r>
      <w:r w:rsidR="00033AA4"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антично (края на </w:t>
      </w:r>
      <w:r w:rsidR="002915C2" w:rsidRPr="00610B1B">
        <w:rPr>
          <w:rFonts w:ascii="Times New Roman" w:eastAsia="Times New Roman" w:hAnsi="Times New Roman" w:cs="Times New Roman"/>
          <w:sz w:val="24"/>
          <w:szCs w:val="24"/>
          <w:lang w:val="bg-BG"/>
        </w:rPr>
        <w:t>V</w:t>
      </w:r>
      <w:r w:rsidRPr="00610B1B">
        <w:rPr>
          <w:rFonts w:ascii="Times New Roman" w:eastAsia="Times New Roman" w:hAnsi="Times New Roman" w:cs="Times New Roman"/>
          <w:sz w:val="24"/>
          <w:szCs w:val="24"/>
          <w:lang w:val="bg-BG"/>
        </w:rPr>
        <w:t xml:space="preserve"> в – нач. на </w:t>
      </w:r>
      <w:r w:rsidR="002915C2" w:rsidRPr="00610B1B">
        <w:rPr>
          <w:rFonts w:ascii="Times New Roman" w:eastAsia="Times New Roman" w:hAnsi="Times New Roman" w:cs="Times New Roman"/>
          <w:sz w:val="24"/>
          <w:szCs w:val="24"/>
          <w:lang w:val="bg-BG"/>
        </w:rPr>
        <w:t>IV</w:t>
      </w:r>
      <w:r w:rsidRPr="00610B1B">
        <w:rPr>
          <w:rFonts w:ascii="Times New Roman" w:eastAsia="Times New Roman" w:hAnsi="Times New Roman" w:cs="Times New Roman"/>
          <w:sz w:val="24"/>
          <w:szCs w:val="24"/>
          <w:lang w:val="bg-BG"/>
        </w:rPr>
        <w:t xml:space="preserve"> в. п</w:t>
      </w:r>
      <w:r w:rsidR="002915C2" w:rsidRPr="00610B1B">
        <w:rPr>
          <w:rFonts w:ascii="Times New Roman" w:eastAsia="Times New Roman" w:hAnsi="Times New Roman" w:cs="Times New Roman"/>
          <w:sz w:val="24"/>
          <w:szCs w:val="24"/>
          <w:lang w:val="bg-BG"/>
        </w:rPr>
        <w:t xml:space="preserve">р. Хр.), 6 от римската епоха (I – V век), 2 средновековни (IX </w:t>
      </w:r>
      <w:r w:rsidRPr="00610B1B">
        <w:rPr>
          <w:rFonts w:ascii="Times New Roman" w:eastAsia="Times New Roman" w:hAnsi="Times New Roman" w:cs="Times New Roman"/>
          <w:sz w:val="24"/>
          <w:szCs w:val="24"/>
          <w:lang w:val="bg-BG"/>
        </w:rPr>
        <w:t xml:space="preserve">- </w:t>
      </w:r>
      <w:r w:rsidR="002915C2" w:rsidRPr="00610B1B">
        <w:rPr>
          <w:rFonts w:ascii="Times New Roman" w:eastAsia="Times New Roman" w:hAnsi="Times New Roman" w:cs="Times New Roman"/>
          <w:sz w:val="24"/>
          <w:szCs w:val="24"/>
          <w:lang w:val="bg-BG"/>
        </w:rPr>
        <w:t>X</w:t>
      </w:r>
      <w:r w:rsidRPr="00610B1B">
        <w:rPr>
          <w:rFonts w:ascii="Times New Roman" w:eastAsia="Times New Roman" w:hAnsi="Times New Roman" w:cs="Times New Roman"/>
          <w:sz w:val="24"/>
          <w:szCs w:val="24"/>
          <w:lang w:val="bg-BG"/>
        </w:rPr>
        <w:t xml:space="preserve"> век и </w:t>
      </w:r>
      <w:r w:rsidR="002915C2" w:rsidRPr="00610B1B">
        <w:rPr>
          <w:rFonts w:ascii="Times New Roman" w:eastAsia="Times New Roman" w:hAnsi="Times New Roman" w:cs="Times New Roman"/>
          <w:sz w:val="24"/>
          <w:szCs w:val="24"/>
          <w:lang w:val="bg-BG"/>
        </w:rPr>
        <w:t>XIII</w:t>
      </w:r>
      <w:r w:rsidRPr="00610B1B">
        <w:rPr>
          <w:rFonts w:ascii="Times New Roman" w:eastAsia="Times New Roman" w:hAnsi="Times New Roman" w:cs="Times New Roman"/>
          <w:sz w:val="24"/>
          <w:szCs w:val="24"/>
          <w:lang w:val="bg-BG"/>
        </w:rPr>
        <w:t xml:space="preserve"> – </w:t>
      </w:r>
      <w:r w:rsidR="002915C2" w:rsidRPr="00610B1B">
        <w:rPr>
          <w:rFonts w:ascii="Times New Roman" w:eastAsia="Times New Roman" w:hAnsi="Times New Roman" w:cs="Times New Roman"/>
          <w:sz w:val="24"/>
          <w:szCs w:val="24"/>
          <w:lang w:val="bg-BG"/>
        </w:rPr>
        <w:t>XIV</w:t>
      </w:r>
      <w:r w:rsidRPr="00610B1B">
        <w:rPr>
          <w:rFonts w:ascii="Times New Roman" w:eastAsia="Times New Roman" w:hAnsi="Times New Roman" w:cs="Times New Roman"/>
          <w:sz w:val="24"/>
          <w:szCs w:val="24"/>
          <w:lang w:val="bg-BG"/>
        </w:rPr>
        <w:t xml:space="preserve"> век), 20 османски типове (</w:t>
      </w:r>
      <w:r w:rsidR="002915C2" w:rsidRPr="00610B1B">
        <w:rPr>
          <w:rFonts w:ascii="Times New Roman" w:eastAsia="Times New Roman" w:hAnsi="Times New Roman" w:cs="Times New Roman"/>
          <w:sz w:val="24"/>
          <w:szCs w:val="24"/>
          <w:lang w:val="bg-BG"/>
        </w:rPr>
        <w:t>XVII</w:t>
      </w:r>
      <w:r w:rsidRPr="00610B1B">
        <w:rPr>
          <w:rFonts w:ascii="Times New Roman" w:eastAsia="Times New Roman" w:hAnsi="Times New Roman" w:cs="Times New Roman"/>
          <w:sz w:val="24"/>
          <w:szCs w:val="24"/>
          <w:lang w:val="bg-BG"/>
        </w:rPr>
        <w:t xml:space="preserve"> – </w:t>
      </w:r>
      <w:r w:rsidR="002915C2" w:rsidRPr="00610B1B">
        <w:rPr>
          <w:rFonts w:ascii="Times New Roman" w:eastAsia="Times New Roman" w:hAnsi="Times New Roman" w:cs="Times New Roman"/>
          <w:sz w:val="24"/>
          <w:szCs w:val="24"/>
          <w:lang w:val="bg-BG"/>
        </w:rPr>
        <w:t>XIX</w:t>
      </w:r>
      <w:r w:rsidRPr="00610B1B">
        <w:rPr>
          <w:rFonts w:ascii="Times New Roman" w:eastAsia="Times New Roman" w:hAnsi="Times New Roman" w:cs="Times New Roman"/>
          <w:sz w:val="24"/>
          <w:szCs w:val="24"/>
          <w:lang w:val="bg-BG"/>
        </w:rPr>
        <w:t xml:space="preserve"> век), 16 големи гребно-ветроходни лодки</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w:t>
      </w:r>
      <w:r w:rsidR="002915C2" w:rsidRPr="00610B1B">
        <w:rPr>
          <w:rFonts w:ascii="Times New Roman" w:eastAsia="Times New Roman" w:hAnsi="Times New Roman" w:cs="Times New Roman"/>
          <w:sz w:val="24"/>
          <w:szCs w:val="24"/>
          <w:lang w:val="bg-BG"/>
        </w:rPr>
        <w:t xml:space="preserve">XVIII </w:t>
      </w:r>
      <w:r w:rsidRPr="00610B1B">
        <w:rPr>
          <w:rFonts w:ascii="Times New Roman" w:eastAsia="Times New Roman" w:hAnsi="Times New Roman" w:cs="Times New Roman"/>
          <w:sz w:val="24"/>
          <w:szCs w:val="24"/>
          <w:lang w:val="bg-BG"/>
        </w:rPr>
        <w:t xml:space="preserve">век), 7 западноевропейски типове кораби от </w:t>
      </w:r>
      <w:r w:rsidR="002915C2" w:rsidRPr="00610B1B">
        <w:rPr>
          <w:rFonts w:ascii="Times New Roman" w:eastAsia="Times New Roman" w:hAnsi="Times New Roman" w:cs="Times New Roman"/>
          <w:sz w:val="24"/>
          <w:szCs w:val="24"/>
          <w:lang w:val="bg-BG"/>
        </w:rPr>
        <w:t xml:space="preserve">XVIII </w:t>
      </w:r>
      <w:r w:rsidRPr="00610B1B">
        <w:rPr>
          <w:rFonts w:ascii="Times New Roman" w:eastAsia="Times New Roman" w:hAnsi="Times New Roman" w:cs="Times New Roman"/>
          <w:sz w:val="24"/>
          <w:szCs w:val="24"/>
          <w:lang w:val="bg-BG"/>
        </w:rPr>
        <w:t>-</w:t>
      </w:r>
      <w:r w:rsidR="002915C2" w:rsidRPr="00610B1B">
        <w:rPr>
          <w:rFonts w:ascii="Times New Roman" w:eastAsia="Times New Roman" w:hAnsi="Times New Roman" w:cs="Times New Roman"/>
          <w:sz w:val="24"/>
          <w:szCs w:val="24"/>
          <w:lang w:val="bg-BG"/>
        </w:rPr>
        <w:t xml:space="preserve"> XIX</w:t>
      </w:r>
      <w:r w:rsidRPr="00610B1B">
        <w:rPr>
          <w:rFonts w:ascii="Times New Roman" w:eastAsia="Times New Roman" w:hAnsi="Times New Roman" w:cs="Times New Roman"/>
          <w:sz w:val="24"/>
          <w:szCs w:val="24"/>
          <w:lang w:val="bg-BG"/>
        </w:rPr>
        <w:t xml:space="preserve"> век</w:t>
      </w:r>
      <w:r w:rsidRPr="00610B1B">
        <w:rPr>
          <w:rFonts w:ascii="Times New Roman" w:eastAsia="Times New Roman" w:hAnsi="Times New Roman" w:cs="Times New Roman"/>
          <w:color w:val="0000FF"/>
          <w:sz w:val="24"/>
          <w:szCs w:val="24"/>
          <w:lang w:val="bg-BG"/>
        </w:rPr>
        <w:t>.</w:t>
      </w:r>
    </w:p>
    <w:p w14:paraId="042C6C02" w14:textId="2562D464"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Анализът на данните от MAP Black Sea показва, че в двете зони (северна и южна) има сходна гъстота на корабокрушенията от около 1 корабокрушение на 4 </w:t>
      </w:r>
      <w:r w:rsidR="002915C2" w:rsidRPr="00610B1B">
        <w:rPr>
          <w:rFonts w:ascii="Times New Roman" w:eastAsia="Times New Roman" w:hAnsi="Times New Roman" w:cs="Times New Roman"/>
          <w:sz w:val="24"/>
          <w:szCs w:val="24"/>
          <w:lang w:val="bg-BG"/>
        </w:rPr>
        <w:t>km</w:t>
      </w:r>
      <w:r w:rsidR="002915C2" w:rsidRPr="00610B1B">
        <w:rPr>
          <w:rFonts w:ascii="Times New Roman" w:eastAsia="Times New Roman" w:hAnsi="Times New Roman" w:cs="Times New Roman"/>
          <w:sz w:val="24"/>
          <w:szCs w:val="24"/>
          <w:vertAlign w:val="superscript"/>
          <w:lang w:val="bg-BG"/>
        </w:rPr>
        <w:t>2</w:t>
      </w:r>
      <w:r w:rsidR="002915C2"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Броят и хронологичното разпределение на регистрираните корабокрушения кореспондира с известното от историческите извори </w:t>
      </w:r>
      <w:r w:rsidR="00033AA4" w:rsidRPr="00610B1B">
        <w:rPr>
          <w:rFonts w:ascii="Times New Roman" w:eastAsia="Times New Roman" w:hAnsi="Times New Roman" w:cs="Times New Roman"/>
          <w:sz w:val="24"/>
          <w:szCs w:val="24"/>
          <w:lang w:val="bg-BG"/>
        </w:rPr>
        <w:t>за</w:t>
      </w:r>
      <w:r w:rsidRPr="00610B1B">
        <w:rPr>
          <w:rFonts w:ascii="Times New Roman" w:eastAsia="Times New Roman" w:hAnsi="Times New Roman" w:cs="Times New Roman"/>
          <w:sz w:val="24"/>
          <w:szCs w:val="24"/>
          <w:lang w:val="bg-BG"/>
        </w:rPr>
        <w:t xml:space="preserve"> морската икономическа активност в съответните периоди. Поради това данните от </w:t>
      </w:r>
      <w:r w:rsidR="002915C2" w:rsidRPr="00610B1B">
        <w:rPr>
          <w:rFonts w:ascii="Times New Roman" w:eastAsia="Times New Roman" w:hAnsi="Times New Roman" w:cs="Times New Roman"/>
          <w:sz w:val="24"/>
          <w:szCs w:val="24"/>
          <w:lang w:val="bg-BG"/>
        </w:rPr>
        <w:t>проекта</w:t>
      </w:r>
      <w:r w:rsidRPr="00610B1B">
        <w:rPr>
          <w:rFonts w:ascii="Times New Roman" w:eastAsia="Times New Roman" w:hAnsi="Times New Roman" w:cs="Times New Roman"/>
          <w:sz w:val="24"/>
          <w:szCs w:val="24"/>
          <w:lang w:val="bg-BG"/>
        </w:rPr>
        <w:t xml:space="preserve"> могат да се използват за обща оценка на очакваното количество и разпределението на корабокрушенията в обхвата на </w:t>
      </w:r>
      <w:r w:rsidR="002915C2" w:rsidRPr="00610B1B">
        <w:rPr>
          <w:rFonts w:ascii="Times New Roman" w:eastAsia="Times New Roman" w:hAnsi="Times New Roman" w:cs="Times New Roman"/>
          <w:sz w:val="24"/>
          <w:szCs w:val="24"/>
          <w:lang w:val="bg-BG"/>
        </w:rPr>
        <w:t>националните морски пространства</w:t>
      </w:r>
      <w:r w:rsidRPr="00610B1B">
        <w:rPr>
          <w:rFonts w:ascii="Times New Roman" w:eastAsia="Times New Roman" w:hAnsi="Times New Roman" w:cs="Times New Roman"/>
          <w:sz w:val="24"/>
          <w:szCs w:val="24"/>
          <w:lang w:val="bg-BG"/>
        </w:rPr>
        <w:t xml:space="preserve">. </w:t>
      </w:r>
    </w:p>
    <w:p w14:paraId="489B8F12" w14:textId="0F05A3DB"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Освен тези корабокрушения</w:t>
      </w:r>
      <w:r w:rsidR="002915C2"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в български води има и редица други останки, които имат хара</w:t>
      </w:r>
      <w:r w:rsidR="002915C2" w:rsidRPr="00610B1B">
        <w:rPr>
          <w:rFonts w:ascii="Times New Roman" w:eastAsia="Times New Roman" w:hAnsi="Times New Roman" w:cs="Times New Roman"/>
          <w:sz w:val="24"/>
          <w:szCs w:val="24"/>
          <w:lang w:val="bg-BG"/>
        </w:rPr>
        <w:t>ктер на войнишки гробове или кои</w:t>
      </w:r>
      <w:r w:rsidRPr="00610B1B">
        <w:rPr>
          <w:rFonts w:ascii="Times New Roman" w:eastAsia="Times New Roman" w:hAnsi="Times New Roman" w:cs="Times New Roman"/>
          <w:sz w:val="24"/>
          <w:szCs w:val="24"/>
          <w:lang w:val="bg-BG"/>
        </w:rPr>
        <w:t>то по смисъла на Конвенцията за</w:t>
      </w:r>
      <w:r w:rsidR="002915C2" w:rsidRPr="00610B1B">
        <w:rPr>
          <w:rFonts w:ascii="Times New Roman" w:eastAsia="Times New Roman" w:hAnsi="Times New Roman" w:cs="Times New Roman"/>
          <w:sz w:val="24"/>
          <w:szCs w:val="24"/>
          <w:lang w:val="bg-BG"/>
        </w:rPr>
        <w:t xml:space="preserve"> опазване на подводното културно наследство</w:t>
      </w:r>
      <w:r w:rsidRPr="00610B1B">
        <w:rPr>
          <w:rFonts w:ascii="Times New Roman" w:eastAsia="Times New Roman" w:hAnsi="Times New Roman" w:cs="Times New Roman"/>
          <w:sz w:val="24"/>
          <w:szCs w:val="24"/>
          <w:lang w:val="bg-BG"/>
        </w:rPr>
        <w:t xml:space="preserve"> също са под закрилата на закона. Това са съветски подводници, потънали в периода ноември 1941 – декември 1942 г.:</w:t>
      </w:r>
      <w:r w:rsidR="002915C2"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Щ 211 източно от Варна, Щ 204 южно от Варна, Щ 210 и Л-24 в района на Шабла. От всички изгубени подводници през Втората световна война засега не е открита само С-34, за която се предполага, че лежи източно–югоизточно от нос Емине. През 2010 години източно от Варна </w:t>
      </w:r>
      <w:r w:rsidR="002915C2" w:rsidRPr="00610B1B">
        <w:rPr>
          <w:rFonts w:ascii="Times New Roman" w:eastAsia="Times New Roman" w:hAnsi="Times New Roman" w:cs="Times New Roman"/>
          <w:sz w:val="24"/>
          <w:szCs w:val="24"/>
          <w:lang w:val="bg-BG"/>
        </w:rPr>
        <w:t>е</w:t>
      </w:r>
      <w:r w:rsidRPr="00610B1B">
        <w:rPr>
          <w:rFonts w:ascii="Times New Roman" w:eastAsia="Times New Roman" w:hAnsi="Times New Roman" w:cs="Times New Roman"/>
          <w:sz w:val="24"/>
          <w:szCs w:val="24"/>
          <w:lang w:val="bg-BG"/>
        </w:rPr>
        <w:t xml:space="preserve"> открита германска подводница от проекта UB-I от времето на Първата световна война. Смята се, че това е подводницата, която е служила под български флаг като Подводник № 18 и която е загубена през 1919 г. при опит да се извлече до Цариград. </w:t>
      </w:r>
    </w:p>
    <w:p w14:paraId="12CC77AA" w14:textId="2A25A3C4"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Освен подводниците в български води се намират и останките на няколко кораба с възраст повече от 50 години: “Мопанг” – Търговски кораб северно от Созопол, “Родина” – търговски</w:t>
      </w:r>
      <w:r w:rsidR="002915C2"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югоизточно от Созопол, “Лейтенант Пушчин” – руски ескадрен миноносец във Варнен</w:t>
      </w:r>
      <w:r w:rsidR="00461059" w:rsidRPr="00610B1B">
        <w:rPr>
          <w:rFonts w:ascii="Times New Roman" w:eastAsia="Times New Roman" w:hAnsi="Times New Roman" w:cs="Times New Roman"/>
          <w:sz w:val="24"/>
          <w:szCs w:val="24"/>
          <w:lang w:val="bg-BG"/>
        </w:rPr>
        <w:t>с</w:t>
      </w:r>
      <w:r w:rsidRPr="00610B1B">
        <w:rPr>
          <w:rFonts w:ascii="Times New Roman" w:eastAsia="Times New Roman" w:hAnsi="Times New Roman" w:cs="Times New Roman"/>
          <w:sz w:val="24"/>
          <w:szCs w:val="24"/>
          <w:lang w:val="bg-BG"/>
        </w:rPr>
        <w:t xml:space="preserve">кия залив и “Сефак” – търговски и пътнически кораб югоизточно от Царево. </w:t>
      </w:r>
    </w:p>
    <w:p w14:paraId="49176B3B" w14:textId="1350F045"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b/>
          <w:sz w:val="24"/>
          <w:szCs w:val="24"/>
          <w:lang w:val="bg-BG"/>
        </w:rPr>
        <w:t>Котви, амфори и други единични находки, позволяващи да се изследва непряко древното ко</w:t>
      </w:r>
      <w:r w:rsidR="002915C2" w:rsidRPr="00610B1B">
        <w:rPr>
          <w:rFonts w:ascii="Times New Roman" w:eastAsia="Times New Roman" w:hAnsi="Times New Roman" w:cs="Times New Roman"/>
          <w:b/>
          <w:sz w:val="24"/>
          <w:szCs w:val="24"/>
          <w:lang w:val="bg-BG"/>
        </w:rPr>
        <w:t>рабоплаване и културни контакти</w:t>
      </w:r>
    </w:p>
    <w:p w14:paraId="2279924C" w14:textId="33C4885E"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Подобни находки се откриват практически по почти цялото българско крайбрежие. През 70-те и 80-те много от тях са извадени и данните за намирането им са загубени. През </w:t>
      </w:r>
      <w:r w:rsidR="00033AA4" w:rsidRPr="00610B1B">
        <w:rPr>
          <w:rFonts w:ascii="Times New Roman" w:eastAsia="Times New Roman" w:hAnsi="Times New Roman" w:cs="Times New Roman"/>
          <w:sz w:val="24"/>
          <w:szCs w:val="24"/>
          <w:lang w:val="bg-BG"/>
        </w:rPr>
        <w:t>19</w:t>
      </w:r>
      <w:r w:rsidRPr="00610B1B">
        <w:rPr>
          <w:rFonts w:ascii="Times New Roman" w:eastAsia="Times New Roman" w:hAnsi="Times New Roman" w:cs="Times New Roman"/>
          <w:sz w:val="24"/>
          <w:szCs w:val="24"/>
          <w:lang w:val="bg-BG"/>
        </w:rPr>
        <w:t>90-те години, с разцвета на рапа</w:t>
      </w:r>
      <w:r w:rsidR="002915C2" w:rsidRPr="00610B1B">
        <w:rPr>
          <w:rFonts w:ascii="Times New Roman" w:eastAsia="Times New Roman" w:hAnsi="Times New Roman" w:cs="Times New Roman"/>
          <w:sz w:val="24"/>
          <w:szCs w:val="24"/>
          <w:lang w:val="bg-BG"/>
        </w:rPr>
        <w:t>н</w:t>
      </w:r>
      <w:r w:rsidRPr="00610B1B">
        <w:rPr>
          <w:rFonts w:ascii="Times New Roman" w:eastAsia="Times New Roman" w:hAnsi="Times New Roman" w:cs="Times New Roman"/>
          <w:sz w:val="24"/>
          <w:szCs w:val="24"/>
          <w:lang w:val="bg-BG"/>
        </w:rPr>
        <w:t>джийството, безконтролното изваждане на археологически материали продълж</w:t>
      </w:r>
      <w:r w:rsidR="00033AA4" w:rsidRPr="00610B1B">
        <w:rPr>
          <w:rFonts w:ascii="Times New Roman" w:eastAsia="Times New Roman" w:hAnsi="Times New Roman" w:cs="Times New Roman"/>
          <w:sz w:val="24"/>
          <w:szCs w:val="24"/>
          <w:lang w:val="bg-BG"/>
        </w:rPr>
        <w:t>ава</w:t>
      </w:r>
      <w:r w:rsidRPr="00610B1B">
        <w:rPr>
          <w:rFonts w:ascii="Times New Roman" w:eastAsia="Times New Roman" w:hAnsi="Times New Roman" w:cs="Times New Roman"/>
          <w:sz w:val="24"/>
          <w:szCs w:val="24"/>
          <w:lang w:val="bg-BG"/>
        </w:rPr>
        <w:t>.</w:t>
      </w:r>
      <w:r w:rsidR="00D66FE0" w:rsidRPr="00610B1B">
        <w:rPr>
          <w:rFonts w:ascii="Times New Roman" w:eastAsia="Times New Roman" w:hAnsi="Times New Roman" w:cs="Times New Roman"/>
          <w:sz w:val="24"/>
          <w:szCs w:val="24"/>
          <w:lang w:val="bg-BG"/>
        </w:rPr>
        <w:t xml:space="preserve"> </w:t>
      </w:r>
      <w:r w:rsidR="00033AA4" w:rsidRPr="00610B1B">
        <w:rPr>
          <w:rFonts w:ascii="Times New Roman" w:eastAsia="Times New Roman" w:hAnsi="Times New Roman" w:cs="Times New Roman"/>
          <w:sz w:val="24"/>
          <w:szCs w:val="24"/>
          <w:lang w:val="bg-BG"/>
        </w:rPr>
        <w:t>По</w:t>
      </w:r>
      <w:r w:rsidRPr="00610B1B">
        <w:rPr>
          <w:rFonts w:ascii="Times New Roman" w:eastAsia="Times New Roman" w:hAnsi="Times New Roman" w:cs="Times New Roman"/>
          <w:sz w:val="24"/>
          <w:szCs w:val="24"/>
          <w:lang w:val="bg-BG"/>
        </w:rPr>
        <w:t>-голямо количество находки са откривани в следните акватории: Шабла, района на древната Кария;</w:t>
      </w:r>
      <w:r w:rsidR="002915C2"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Каварна, районът на нос Чир</w:t>
      </w:r>
      <w:r w:rsidR="002915C2" w:rsidRPr="00610B1B">
        <w:rPr>
          <w:rFonts w:ascii="Times New Roman" w:eastAsia="Times New Roman" w:hAnsi="Times New Roman" w:cs="Times New Roman"/>
          <w:sz w:val="24"/>
          <w:szCs w:val="24"/>
          <w:lang w:val="bg-BG"/>
        </w:rPr>
        <w:t>акман и древната колония Бизоне;</w:t>
      </w:r>
      <w:r w:rsidRPr="00610B1B">
        <w:rPr>
          <w:rFonts w:ascii="Times New Roman" w:eastAsia="Times New Roman" w:hAnsi="Times New Roman" w:cs="Times New Roman"/>
          <w:sz w:val="24"/>
          <w:szCs w:val="24"/>
          <w:lang w:val="bg-BG"/>
        </w:rPr>
        <w:t xml:space="preserve"> Варне</w:t>
      </w:r>
      <w:r w:rsidR="002915C2" w:rsidRPr="00610B1B">
        <w:rPr>
          <w:rFonts w:ascii="Times New Roman" w:eastAsia="Times New Roman" w:hAnsi="Times New Roman" w:cs="Times New Roman"/>
          <w:sz w:val="24"/>
          <w:szCs w:val="24"/>
          <w:lang w:val="bg-BG"/>
        </w:rPr>
        <w:t>н</w:t>
      </w:r>
      <w:r w:rsidRPr="00610B1B">
        <w:rPr>
          <w:rFonts w:ascii="Times New Roman" w:eastAsia="Times New Roman" w:hAnsi="Times New Roman" w:cs="Times New Roman"/>
          <w:sz w:val="24"/>
          <w:szCs w:val="24"/>
          <w:lang w:val="bg-BG"/>
        </w:rPr>
        <w:t>ски залив в района на пристанището; Несебър, от северната и южната страна на полуострова</w:t>
      </w:r>
      <w:r w:rsidR="00033AA4" w:rsidRPr="00610B1B">
        <w:rPr>
          <w:rFonts w:ascii="Times New Roman" w:eastAsia="Times New Roman" w:hAnsi="Times New Roman" w:cs="Times New Roman"/>
          <w:sz w:val="24"/>
          <w:szCs w:val="24"/>
          <w:lang w:val="bg-BG"/>
        </w:rPr>
        <w:t xml:space="preserve"> около</w:t>
      </w:r>
      <w:r w:rsidRPr="00610B1B">
        <w:rPr>
          <w:rFonts w:ascii="Times New Roman" w:eastAsia="Times New Roman" w:hAnsi="Times New Roman" w:cs="Times New Roman"/>
          <w:sz w:val="24"/>
          <w:szCs w:val="24"/>
          <w:lang w:val="bg-BG"/>
        </w:rPr>
        <w:t xml:space="preserve"> пристанището; Поморие, източно от полуострова; Созопол, Маслен нос и цялата акватория южно от него.</w:t>
      </w:r>
    </w:p>
    <w:p w14:paraId="15B03E97" w14:textId="77777777" w:rsidR="009907CE" w:rsidRPr="00610B1B" w:rsidRDefault="009907CE" w:rsidP="00D32D6A">
      <w:pPr>
        <w:spacing w:after="120"/>
        <w:ind w:right="-153"/>
        <w:jc w:val="both"/>
        <w:rPr>
          <w:rFonts w:ascii="Times New Roman" w:eastAsia="Times New Roman" w:hAnsi="Times New Roman" w:cs="Times New Roman"/>
          <w:sz w:val="24"/>
          <w:szCs w:val="24"/>
          <w:lang w:val="bg-BG"/>
        </w:rPr>
      </w:pPr>
    </w:p>
    <w:p w14:paraId="2CEE3B9C" w14:textId="08FB3BC0"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b/>
          <w:sz w:val="24"/>
          <w:szCs w:val="24"/>
          <w:lang w:val="bg-BG"/>
        </w:rPr>
        <w:lastRenderedPageBreak/>
        <w:t>Древни прист</w:t>
      </w:r>
      <w:r w:rsidR="002915C2" w:rsidRPr="00610B1B">
        <w:rPr>
          <w:rFonts w:ascii="Times New Roman" w:eastAsia="Times New Roman" w:hAnsi="Times New Roman" w:cs="Times New Roman"/>
          <w:b/>
          <w:sz w:val="24"/>
          <w:szCs w:val="24"/>
          <w:lang w:val="bg-BG"/>
        </w:rPr>
        <w:t>анища и</w:t>
      </w:r>
      <w:r w:rsidR="00D66FE0" w:rsidRPr="00610B1B">
        <w:rPr>
          <w:rFonts w:ascii="Times New Roman" w:eastAsia="Times New Roman" w:hAnsi="Times New Roman" w:cs="Times New Roman"/>
          <w:b/>
          <w:sz w:val="24"/>
          <w:szCs w:val="24"/>
          <w:lang w:val="bg-BG"/>
        </w:rPr>
        <w:t xml:space="preserve"> </w:t>
      </w:r>
      <w:r w:rsidR="002915C2" w:rsidRPr="00610B1B">
        <w:rPr>
          <w:rFonts w:ascii="Times New Roman" w:eastAsia="Times New Roman" w:hAnsi="Times New Roman" w:cs="Times New Roman"/>
          <w:b/>
          <w:sz w:val="24"/>
          <w:szCs w:val="24"/>
          <w:lang w:val="bg-BG"/>
        </w:rPr>
        <w:t>пристанищни съоръжения</w:t>
      </w:r>
    </w:p>
    <w:p w14:paraId="06023272" w14:textId="2E098973"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Подобни съоръжения са документирани в </w:t>
      </w:r>
      <w:r w:rsidR="002915C2" w:rsidRPr="00610B1B">
        <w:rPr>
          <w:rFonts w:ascii="Times New Roman" w:eastAsia="Times New Roman" w:hAnsi="Times New Roman" w:cs="Times New Roman"/>
          <w:sz w:val="24"/>
          <w:szCs w:val="24"/>
          <w:lang w:val="bg-BG"/>
        </w:rPr>
        <w:t>няколко морски акватории - п</w:t>
      </w:r>
      <w:r w:rsidRPr="00610B1B">
        <w:rPr>
          <w:rFonts w:ascii="Times New Roman" w:eastAsia="Times New Roman" w:hAnsi="Times New Roman" w:cs="Times New Roman"/>
          <w:sz w:val="24"/>
          <w:szCs w:val="24"/>
          <w:lang w:val="bg-BG"/>
        </w:rPr>
        <w:t>ристанището на древната Кария в зоната на естествен риф източно от естакадата и фара на Шабла</w:t>
      </w:r>
      <w:r w:rsidR="002915C2" w:rsidRPr="00610B1B">
        <w:rPr>
          <w:rFonts w:ascii="Times New Roman" w:eastAsia="Times New Roman" w:hAnsi="Times New Roman" w:cs="Times New Roman"/>
          <w:sz w:val="24"/>
          <w:szCs w:val="24"/>
          <w:lang w:val="bg-BG"/>
        </w:rPr>
        <w:t xml:space="preserve"> и</w:t>
      </w:r>
      <w:r w:rsidRPr="00610B1B">
        <w:rPr>
          <w:rFonts w:ascii="Times New Roman" w:eastAsia="Times New Roman" w:hAnsi="Times New Roman" w:cs="Times New Roman"/>
          <w:sz w:val="24"/>
          <w:szCs w:val="24"/>
          <w:lang w:val="bg-BG"/>
        </w:rPr>
        <w:t xml:space="preserve"> </w:t>
      </w:r>
      <w:r w:rsidR="002915C2" w:rsidRPr="00610B1B">
        <w:rPr>
          <w:rFonts w:ascii="Times New Roman" w:eastAsia="Times New Roman" w:hAnsi="Times New Roman" w:cs="Times New Roman"/>
          <w:sz w:val="24"/>
          <w:szCs w:val="24"/>
          <w:lang w:val="bg-BG"/>
        </w:rPr>
        <w:t xml:space="preserve">пристанището </w:t>
      </w:r>
      <w:r w:rsidRPr="00610B1B">
        <w:rPr>
          <w:rFonts w:ascii="Times New Roman" w:eastAsia="Times New Roman" w:hAnsi="Times New Roman" w:cs="Times New Roman"/>
          <w:sz w:val="24"/>
          <w:szCs w:val="24"/>
          <w:lang w:val="bg-BG"/>
        </w:rPr>
        <w:t>на Бизоне в залива на Каварна. При строителството на съвременното пристанище на Варна са регистрирани структури и находки, които са интерпретирани като останки от древното пристанище на Одесос. В района на Карантината на южния бряг на Варненския залив са регистрирани находки, които вероятно маркират малък пристан, функционирал през Късната античност и Средновековието. Пристанищата на Месембрия са локализирани от южната страна на полуострова. Част от откритите структури под вода се свързват с изграждане на съоръжения на древните пристанища. Древното пристанището на Анхиало е затлачено през късноримския период и днес се намира изцяло на сушата в чертите на съвременния град Поморие. Две антични пристанища са локализирани в района на нос Акра северно от гр. Черноморец. Историческото пристанище на Созопол се намира в рамките на съвременното, между полуостров Скамни и остров Св. Св. Кирик и Юлита. Маркирано е от богати находки</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от края на </w:t>
      </w:r>
      <w:r w:rsidR="004530E1" w:rsidRPr="00610B1B">
        <w:rPr>
          <w:rFonts w:ascii="Times New Roman" w:eastAsia="Times New Roman" w:hAnsi="Times New Roman" w:cs="Times New Roman"/>
          <w:sz w:val="24"/>
          <w:szCs w:val="24"/>
          <w:lang w:val="bg-BG"/>
        </w:rPr>
        <w:t>VII</w:t>
      </w:r>
      <w:r w:rsidRPr="00610B1B">
        <w:rPr>
          <w:rFonts w:ascii="Times New Roman" w:eastAsia="Times New Roman" w:hAnsi="Times New Roman" w:cs="Times New Roman"/>
          <w:sz w:val="24"/>
          <w:szCs w:val="24"/>
          <w:lang w:val="bg-BG"/>
        </w:rPr>
        <w:t xml:space="preserve"> век пр. Хр.</w:t>
      </w:r>
      <w:r w:rsidR="004530E1"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до османския период. В този период е функционирало и </w:t>
      </w:r>
      <w:r w:rsidR="00BB78A1" w:rsidRPr="00610B1B">
        <w:rPr>
          <w:rFonts w:ascii="Times New Roman" w:eastAsia="Times New Roman" w:hAnsi="Times New Roman" w:cs="Times New Roman"/>
          <w:sz w:val="24"/>
          <w:szCs w:val="24"/>
          <w:lang w:val="bg-BG"/>
        </w:rPr>
        <w:t>пристанището</w:t>
      </w:r>
      <w:r w:rsidRPr="00610B1B">
        <w:rPr>
          <w:rFonts w:ascii="Times New Roman" w:eastAsia="Times New Roman" w:hAnsi="Times New Roman" w:cs="Times New Roman"/>
          <w:sz w:val="24"/>
          <w:szCs w:val="24"/>
          <w:lang w:val="bg-BG"/>
        </w:rPr>
        <w:t xml:space="preserve"> в залива пред устието на р. Ропотамо. Пристанище е локализирано и в залива южно от Маслен нос. Отделни малки пристани са идентифицирани в почти всички защитени заливи на юг от Маслен нос. </w:t>
      </w:r>
    </w:p>
    <w:p w14:paraId="1D55F8D0" w14:textId="7833EC07" w:rsidR="00442579" w:rsidRPr="00610B1B" w:rsidRDefault="00442579" w:rsidP="00D32D6A">
      <w:pPr>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b/>
          <w:sz w:val="24"/>
          <w:szCs w:val="24"/>
          <w:lang w:val="bg-BG"/>
        </w:rPr>
        <w:t xml:space="preserve">Потопени под нивото на морето селища, структури и съоръжения, които първоначално са били изградени на брега. </w:t>
      </w:r>
    </w:p>
    <w:p w14:paraId="0636FC49" w14:textId="161D3DEB"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Тази категория обекти е специфична за Черно море, което, поради затворения си характер, е претърпяло големи промени на бреговата линия в последните 10 000 години. Установено е, че бреговата линия в края на последния ледников период е била по днешната 30-40 </w:t>
      </w:r>
      <w:r w:rsidR="004530E1"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изобата. Констатирано е, че през </w:t>
      </w:r>
      <w:r w:rsidR="004530E1" w:rsidRPr="00610B1B">
        <w:rPr>
          <w:rFonts w:ascii="Times New Roman" w:eastAsia="Times New Roman" w:hAnsi="Times New Roman" w:cs="Times New Roman"/>
          <w:sz w:val="24"/>
          <w:szCs w:val="24"/>
          <w:lang w:val="bg-BG"/>
        </w:rPr>
        <w:t>V</w:t>
      </w:r>
      <w:r w:rsidRPr="00610B1B">
        <w:rPr>
          <w:rFonts w:ascii="Times New Roman" w:eastAsia="Times New Roman" w:hAnsi="Times New Roman" w:cs="Times New Roman"/>
          <w:sz w:val="24"/>
          <w:szCs w:val="24"/>
          <w:lang w:val="bg-BG"/>
        </w:rPr>
        <w:t xml:space="preserve"> хил. пр. </w:t>
      </w:r>
      <w:r w:rsidR="004530E1" w:rsidRPr="00610B1B">
        <w:rPr>
          <w:rFonts w:ascii="Times New Roman" w:eastAsia="Times New Roman" w:hAnsi="Times New Roman" w:cs="Times New Roman"/>
          <w:sz w:val="24"/>
          <w:szCs w:val="24"/>
          <w:lang w:val="bg-BG"/>
        </w:rPr>
        <w:t xml:space="preserve">Xp. </w:t>
      </w:r>
      <w:r w:rsidRPr="00610B1B">
        <w:rPr>
          <w:rFonts w:ascii="Times New Roman" w:eastAsia="Times New Roman" w:hAnsi="Times New Roman" w:cs="Times New Roman"/>
          <w:sz w:val="24"/>
          <w:szCs w:val="24"/>
          <w:lang w:val="bg-BG"/>
        </w:rPr>
        <w:t xml:space="preserve">нивото на морето по българския бряг на Черно море е около 6-7 </w:t>
      </w:r>
      <w:r w:rsidR="004530E1"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по-ниско от настоящето. Тази обща картина означава, че в зоната между 30-40 </w:t>
      </w:r>
      <w:r w:rsidR="004530E1"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изобата и днешния бряг, могат да се очакват селища и други археологически структури от праисторията. По-голяма част от известните обекти КН от тази категория са датирана в края на V хил. пр. Хр. или към IV-III хил. пр. Хр., но поради динамика</w:t>
      </w:r>
      <w:r w:rsidR="004530E1" w:rsidRPr="00610B1B">
        <w:rPr>
          <w:rFonts w:ascii="Times New Roman" w:eastAsia="Times New Roman" w:hAnsi="Times New Roman" w:cs="Times New Roman"/>
          <w:sz w:val="24"/>
          <w:szCs w:val="24"/>
          <w:lang w:val="bg-BG"/>
        </w:rPr>
        <w:t>та</w:t>
      </w:r>
      <w:r w:rsidRPr="00610B1B">
        <w:rPr>
          <w:rFonts w:ascii="Times New Roman" w:eastAsia="Times New Roman" w:hAnsi="Times New Roman" w:cs="Times New Roman"/>
          <w:sz w:val="24"/>
          <w:szCs w:val="24"/>
          <w:lang w:val="bg-BG"/>
        </w:rPr>
        <w:t xml:space="preserve"> на нивото на морето, има всички основания да се очакват и по-ранни материали. </w:t>
      </w:r>
    </w:p>
    <w:p w14:paraId="7A444A28" w14:textId="77777777" w:rsidR="004530E1"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
          <w:i/>
          <w:sz w:val="24"/>
          <w:szCs w:val="24"/>
          <w:lang w:val="bg-BG"/>
        </w:rPr>
        <w:t>Праисторически селищ</w:t>
      </w:r>
      <w:r w:rsidR="004530E1" w:rsidRPr="00610B1B">
        <w:rPr>
          <w:rFonts w:ascii="Times New Roman" w:eastAsia="Times New Roman" w:hAnsi="Times New Roman" w:cs="Times New Roman"/>
          <w:b/>
          <w:i/>
          <w:sz w:val="24"/>
          <w:szCs w:val="24"/>
          <w:lang w:val="bg-BG"/>
        </w:rPr>
        <w:t xml:space="preserve">а и обекти северно от нос Емине </w:t>
      </w:r>
      <w:r w:rsidRPr="00610B1B">
        <w:rPr>
          <w:rFonts w:ascii="Times New Roman" w:eastAsia="Times New Roman" w:hAnsi="Times New Roman" w:cs="Times New Roman"/>
          <w:sz w:val="24"/>
          <w:szCs w:val="24"/>
          <w:lang w:val="bg-BG"/>
        </w:rPr>
        <w:t xml:space="preserve">са регистрирани и документирани </w:t>
      </w:r>
      <w:r w:rsidR="004530E1" w:rsidRPr="00610B1B">
        <w:rPr>
          <w:rFonts w:ascii="Times New Roman" w:eastAsia="Times New Roman" w:hAnsi="Times New Roman" w:cs="Times New Roman"/>
          <w:sz w:val="24"/>
          <w:szCs w:val="24"/>
          <w:lang w:val="bg-BG"/>
        </w:rPr>
        <w:t xml:space="preserve">в </w:t>
      </w:r>
      <w:r w:rsidRPr="00610B1B">
        <w:rPr>
          <w:rFonts w:ascii="Times New Roman" w:eastAsia="Times New Roman" w:hAnsi="Times New Roman" w:cs="Times New Roman"/>
          <w:sz w:val="24"/>
          <w:szCs w:val="24"/>
          <w:lang w:val="bg-BG"/>
        </w:rPr>
        <w:t xml:space="preserve">акваторията </w:t>
      </w:r>
      <w:r w:rsidR="004530E1" w:rsidRPr="00610B1B">
        <w:rPr>
          <w:rFonts w:ascii="Times New Roman" w:eastAsia="Times New Roman" w:hAnsi="Times New Roman" w:cs="Times New Roman"/>
          <w:sz w:val="24"/>
          <w:szCs w:val="24"/>
          <w:lang w:val="bg-BG"/>
        </w:rPr>
        <w:t>на следните места:</w:t>
      </w:r>
    </w:p>
    <w:p w14:paraId="19FDF777" w14:textId="465FEA58" w:rsidR="004530E1" w:rsidRPr="00610B1B" w:rsidRDefault="00442579" w:rsidP="00B46189">
      <w:pPr>
        <w:pStyle w:val="ListParagraph"/>
        <w:numPr>
          <w:ilvl w:val="0"/>
          <w:numId w:val="41"/>
        </w:numPr>
        <w:spacing w:after="120"/>
        <w:ind w:left="284" w:right="-153" w:hanging="284"/>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източно от </w:t>
      </w:r>
      <w:r w:rsidR="00BB78A1" w:rsidRPr="00610B1B">
        <w:rPr>
          <w:rFonts w:ascii="Times New Roman" w:eastAsia="Times New Roman" w:hAnsi="Times New Roman" w:cs="Times New Roman"/>
          <w:sz w:val="24"/>
          <w:szCs w:val="24"/>
          <w:lang w:val="bg-BG"/>
        </w:rPr>
        <w:t>Дуранкулашкото</w:t>
      </w:r>
      <w:r w:rsidRPr="00610B1B">
        <w:rPr>
          <w:rFonts w:ascii="Times New Roman" w:eastAsia="Times New Roman" w:hAnsi="Times New Roman" w:cs="Times New Roman"/>
          <w:sz w:val="24"/>
          <w:szCs w:val="24"/>
          <w:lang w:val="bg-BG"/>
        </w:rPr>
        <w:t xml:space="preserve"> езеро </w:t>
      </w:r>
      <w:r w:rsidR="004530E1"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топографска форма</w:t>
      </w:r>
      <w:r w:rsidR="00A55C29" w:rsidRPr="00610B1B">
        <w:rPr>
          <w:rFonts w:ascii="Times New Roman" w:eastAsia="Times New Roman" w:hAnsi="Times New Roman" w:cs="Times New Roman"/>
          <w:sz w:val="24"/>
          <w:szCs w:val="24"/>
          <w:lang w:val="bg-BG"/>
        </w:rPr>
        <w:t xml:space="preserve"> с </w:t>
      </w:r>
      <w:r w:rsidRPr="00610B1B">
        <w:rPr>
          <w:rFonts w:ascii="Times New Roman" w:eastAsia="Times New Roman" w:hAnsi="Times New Roman" w:cs="Times New Roman"/>
          <w:sz w:val="24"/>
          <w:szCs w:val="24"/>
          <w:lang w:val="bg-BG"/>
        </w:rPr>
        <w:t>размери на селищна могила;</w:t>
      </w:r>
    </w:p>
    <w:p w14:paraId="3442DACC" w14:textId="65DFA133" w:rsidR="004530E1" w:rsidRPr="00610B1B" w:rsidRDefault="004530E1" w:rsidP="00B46189">
      <w:pPr>
        <w:pStyle w:val="ListParagraph"/>
        <w:numPr>
          <w:ilvl w:val="0"/>
          <w:numId w:val="41"/>
        </w:numPr>
        <w:spacing w:after="120"/>
        <w:ind w:left="284" w:right="-153" w:hanging="284"/>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в</w:t>
      </w:r>
      <w:r w:rsidR="00442579" w:rsidRPr="00610B1B">
        <w:rPr>
          <w:rFonts w:ascii="Times New Roman" w:eastAsia="Times New Roman" w:hAnsi="Times New Roman" w:cs="Times New Roman"/>
          <w:sz w:val="24"/>
          <w:szCs w:val="24"/>
          <w:lang w:val="bg-BG"/>
        </w:rPr>
        <w:t xml:space="preserve"> Дуранкулашкото езеро, източно от праисторическия некропол са откривани находки, които свидетелстват, че некрополът про</w:t>
      </w:r>
      <w:r w:rsidRPr="00610B1B">
        <w:rPr>
          <w:rFonts w:ascii="Times New Roman" w:eastAsia="Times New Roman" w:hAnsi="Times New Roman" w:cs="Times New Roman"/>
          <w:sz w:val="24"/>
          <w:szCs w:val="24"/>
          <w:lang w:val="bg-BG"/>
        </w:rPr>
        <w:t>дължава и под водите на езерото;</w:t>
      </w:r>
    </w:p>
    <w:p w14:paraId="2143C7EF" w14:textId="77777777" w:rsidR="004530E1" w:rsidRPr="00610B1B" w:rsidRDefault="004530E1" w:rsidP="00B46189">
      <w:pPr>
        <w:pStyle w:val="ListParagraph"/>
        <w:numPr>
          <w:ilvl w:val="0"/>
          <w:numId w:val="41"/>
        </w:numPr>
        <w:spacing w:after="120"/>
        <w:ind w:left="284" w:right="-153" w:hanging="284"/>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в</w:t>
      </w:r>
      <w:r w:rsidR="00442579" w:rsidRPr="00610B1B">
        <w:rPr>
          <w:rFonts w:ascii="Times New Roman" w:eastAsia="Times New Roman" w:hAnsi="Times New Roman" w:cs="Times New Roman"/>
          <w:sz w:val="24"/>
          <w:szCs w:val="24"/>
          <w:lang w:val="bg-BG"/>
        </w:rPr>
        <w:t xml:space="preserve"> акваторията на Шабла, северно от къмпинг „Добруджа” са открити 2 погребения под вода на дълбочина 3-4 </w:t>
      </w:r>
      <w:r w:rsidRPr="00610B1B">
        <w:rPr>
          <w:rFonts w:ascii="Times New Roman" w:eastAsia="Times New Roman" w:hAnsi="Times New Roman" w:cs="Times New Roman"/>
          <w:sz w:val="24"/>
          <w:szCs w:val="24"/>
          <w:lang w:val="bg-BG"/>
        </w:rPr>
        <w:t>m, които</w:t>
      </w:r>
      <w:r w:rsidR="00442579" w:rsidRPr="00610B1B">
        <w:rPr>
          <w:rFonts w:ascii="Times New Roman" w:eastAsia="Times New Roman" w:hAnsi="Times New Roman" w:cs="Times New Roman"/>
          <w:sz w:val="24"/>
          <w:szCs w:val="24"/>
          <w:lang w:val="bg-BG"/>
        </w:rPr>
        <w:t xml:space="preserve"> маркират залят праисторически некропол; </w:t>
      </w:r>
    </w:p>
    <w:p w14:paraId="4D65FCAE" w14:textId="525336C3" w:rsidR="004530E1" w:rsidRPr="00610B1B" w:rsidRDefault="004530E1" w:rsidP="00B46189">
      <w:pPr>
        <w:pStyle w:val="ListParagraph"/>
        <w:numPr>
          <w:ilvl w:val="0"/>
          <w:numId w:val="41"/>
        </w:numPr>
        <w:spacing w:after="120"/>
        <w:ind w:left="284" w:right="-153" w:hanging="284"/>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в</w:t>
      </w:r>
      <w:r w:rsidR="00442579" w:rsidRPr="00610B1B">
        <w:rPr>
          <w:rFonts w:ascii="Times New Roman" w:eastAsia="Times New Roman" w:hAnsi="Times New Roman" w:cs="Times New Roman"/>
          <w:sz w:val="24"/>
          <w:szCs w:val="24"/>
          <w:lang w:val="bg-BG"/>
        </w:rPr>
        <w:t xml:space="preserve"> ак</w:t>
      </w:r>
      <w:r w:rsidRPr="00610B1B">
        <w:rPr>
          <w:rFonts w:ascii="Times New Roman" w:eastAsia="Times New Roman" w:hAnsi="Times New Roman" w:cs="Times New Roman"/>
          <w:sz w:val="24"/>
          <w:szCs w:val="24"/>
          <w:lang w:val="bg-BG"/>
        </w:rPr>
        <w:t xml:space="preserve">ваторията на </w:t>
      </w:r>
      <w:r w:rsidR="00BB78A1" w:rsidRPr="00610B1B">
        <w:rPr>
          <w:rFonts w:ascii="Times New Roman" w:eastAsia="Times New Roman" w:hAnsi="Times New Roman" w:cs="Times New Roman"/>
          <w:sz w:val="24"/>
          <w:szCs w:val="24"/>
          <w:lang w:val="bg-BG"/>
        </w:rPr>
        <w:t>Варненското</w:t>
      </w:r>
      <w:r w:rsidRPr="00610B1B">
        <w:rPr>
          <w:rFonts w:ascii="Times New Roman" w:eastAsia="Times New Roman" w:hAnsi="Times New Roman" w:cs="Times New Roman"/>
          <w:sz w:val="24"/>
          <w:szCs w:val="24"/>
          <w:lang w:val="bg-BG"/>
        </w:rPr>
        <w:t xml:space="preserve"> и Белосл</w:t>
      </w:r>
      <w:r w:rsidR="00442579" w:rsidRPr="00610B1B">
        <w:rPr>
          <w:rFonts w:ascii="Times New Roman" w:eastAsia="Times New Roman" w:hAnsi="Times New Roman" w:cs="Times New Roman"/>
          <w:sz w:val="24"/>
          <w:szCs w:val="24"/>
          <w:lang w:val="bg-BG"/>
        </w:rPr>
        <w:t>а</w:t>
      </w:r>
      <w:r w:rsidRPr="00610B1B">
        <w:rPr>
          <w:rFonts w:ascii="Times New Roman" w:eastAsia="Times New Roman" w:hAnsi="Times New Roman" w:cs="Times New Roman"/>
          <w:sz w:val="24"/>
          <w:szCs w:val="24"/>
          <w:lang w:val="bg-BG"/>
        </w:rPr>
        <w:t>в</w:t>
      </w:r>
      <w:r w:rsidR="00442579" w:rsidRPr="00610B1B">
        <w:rPr>
          <w:rFonts w:ascii="Times New Roman" w:eastAsia="Times New Roman" w:hAnsi="Times New Roman" w:cs="Times New Roman"/>
          <w:sz w:val="24"/>
          <w:szCs w:val="24"/>
          <w:lang w:val="bg-BG"/>
        </w:rPr>
        <w:t xml:space="preserve">ското езера, при строителни работи, са открити и частично разрушени около 13 праисторически селища от късния халколит и </w:t>
      </w:r>
      <w:r w:rsidR="00442579" w:rsidRPr="00610B1B">
        <w:rPr>
          <w:rFonts w:ascii="Times New Roman" w:eastAsia="Times New Roman" w:hAnsi="Times New Roman" w:cs="Times New Roman"/>
          <w:sz w:val="24"/>
          <w:szCs w:val="24"/>
          <w:lang w:val="bg-BG"/>
        </w:rPr>
        <w:lastRenderedPageBreak/>
        <w:t>ранната бронзова епоха. При проучвания на ЦПА от последните години е установено, че части от поне пет от тези селища все още са запазени:</w:t>
      </w:r>
      <w:r w:rsidR="00D66FE0" w:rsidRPr="00610B1B">
        <w:rPr>
          <w:rFonts w:ascii="Times New Roman" w:eastAsia="Times New Roman" w:hAnsi="Times New Roman" w:cs="Times New Roman"/>
          <w:sz w:val="24"/>
          <w:szCs w:val="24"/>
          <w:lang w:val="bg-BG"/>
        </w:rPr>
        <w:t xml:space="preserve"> </w:t>
      </w:r>
    </w:p>
    <w:p w14:paraId="59C5FFF2" w14:textId="77777777" w:rsidR="004530E1" w:rsidRPr="00610B1B" w:rsidRDefault="00442579" w:rsidP="00FD59A8">
      <w:pPr>
        <w:pStyle w:val="ListParagraph"/>
        <w:numPr>
          <w:ilvl w:val="1"/>
          <w:numId w:val="107"/>
        </w:numPr>
        <w:spacing w:after="120"/>
        <w:ind w:left="993" w:right="-153"/>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Селище от ранната бронзова епоха в акваторията на Стария канал и северния бряг на езерото; </w:t>
      </w:r>
    </w:p>
    <w:p w14:paraId="5B18A3DE" w14:textId="77777777" w:rsidR="004530E1" w:rsidRPr="00610B1B" w:rsidRDefault="00442579" w:rsidP="00FD59A8">
      <w:pPr>
        <w:pStyle w:val="ListParagraph"/>
        <w:numPr>
          <w:ilvl w:val="1"/>
          <w:numId w:val="107"/>
        </w:numPr>
        <w:spacing w:after="120"/>
        <w:ind w:left="993" w:right="-153"/>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Селище "Морфлот" - регистрирано при строителни дейности, като местоположението му го свързва с Варненския халколитен некропол. Запазването и проучването на това селище е от изключителна важност; </w:t>
      </w:r>
    </w:p>
    <w:p w14:paraId="02820AE4" w14:textId="77777777" w:rsidR="004530E1" w:rsidRPr="00610B1B" w:rsidRDefault="00442579" w:rsidP="00FD59A8">
      <w:pPr>
        <w:pStyle w:val="ListParagraph"/>
        <w:numPr>
          <w:ilvl w:val="1"/>
          <w:numId w:val="107"/>
        </w:numPr>
        <w:spacing w:after="120"/>
        <w:ind w:left="993" w:right="-153"/>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Селище от ранната бронзова епоха в акваторията на ТЕЦ Варна и с. Езерово. Южната </w:t>
      </w:r>
      <w:r w:rsidR="004530E1" w:rsidRPr="00610B1B">
        <w:rPr>
          <w:rFonts w:ascii="Times New Roman" w:eastAsia="Times New Roman" w:hAnsi="Times New Roman" w:cs="Times New Roman"/>
          <w:sz w:val="24"/>
          <w:szCs w:val="24"/>
          <w:lang w:val="bg-BG"/>
        </w:rPr>
        <w:t xml:space="preserve">му </w:t>
      </w:r>
      <w:r w:rsidRPr="00610B1B">
        <w:rPr>
          <w:rFonts w:ascii="Times New Roman" w:eastAsia="Times New Roman" w:hAnsi="Times New Roman" w:cs="Times New Roman"/>
          <w:sz w:val="24"/>
          <w:szCs w:val="24"/>
          <w:lang w:val="bg-BG"/>
        </w:rPr>
        <w:t xml:space="preserve">част е разрушена при строителството на ТЕЦ-а, но другата му част е запазена; </w:t>
      </w:r>
    </w:p>
    <w:p w14:paraId="2515814A" w14:textId="41916950" w:rsidR="00442579" w:rsidRPr="00610B1B" w:rsidRDefault="00442579" w:rsidP="00FD59A8">
      <w:pPr>
        <w:pStyle w:val="ListParagraph"/>
        <w:numPr>
          <w:ilvl w:val="1"/>
          <w:numId w:val="107"/>
        </w:numPr>
        <w:spacing w:after="120"/>
        <w:ind w:left="993" w:right="-153"/>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Части от селището „Страшимирово” са запазени във Варненското езеро северно и южно от Канал 2. Също следва да са запазени части от селищата „Балтата” и „Повеляново” в Белославското езеро, извън пристанище Варна Запад. </w:t>
      </w:r>
    </w:p>
    <w:p w14:paraId="387B3EDA" w14:textId="40F2E6B2"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
          <w:i/>
          <w:sz w:val="24"/>
          <w:szCs w:val="24"/>
          <w:lang w:val="bg-BG"/>
        </w:rPr>
        <w:t>Праисторически селища под вода южно от Бургас</w:t>
      </w:r>
      <w:r w:rsidR="004530E1" w:rsidRPr="00610B1B">
        <w:rPr>
          <w:rFonts w:ascii="Times New Roman" w:eastAsia="Times New Roman" w:hAnsi="Times New Roman" w:cs="Times New Roman"/>
          <w:i/>
          <w:sz w:val="24"/>
          <w:szCs w:val="24"/>
          <w:lang w:val="bg-BG"/>
        </w:rPr>
        <w:t xml:space="preserve">, </w:t>
      </w:r>
      <w:r w:rsidRPr="00610B1B">
        <w:rPr>
          <w:rFonts w:ascii="Times New Roman" w:eastAsia="Times New Roman" w:hAnsi="Times New Roman" w:cs="Times New Roman"/>
          <w:sz w:val="24"/>
          <w:szCs w:val="24"/>
          <w:lang w:val="bg-BG"/>
        </w:rPr>
        <w:t>на база случайни открития на археологически материали, събрани при различни строителни и изкопни работи</w:t>
      </w:r>
      <w:r w:rsidR="004530E1" w:rsidRPr="00610B1B">
        <w:rPr>
          <w:rFonts w:ascii="Times New Roman" w:eastAsia="Times New Roman" w:hAnsi="Times New Roman" w:cs="Times New Roman"/>
          <w:sz w:val="24"/>
          <w:szCs w:val="24"/>
          <w:lang w:val="bg-BG"/>
        </w:rPr>
        <w:t xml:space="preserve"> и о</w:t>
      </w:r>
      <w:r w:rsidRPr="00610B1B">
        <w:rPr>
          <w:rFonts w:ascii="Times New Roman" w:eastAsia="Times New Roman" w:hAnsi="Times New Roman" w:cs="Times New Roman"/>
          <w:sz w:val="24"/>
          <w:szCs w:val="24"/>
          <w:lang w:val="bg-BG"/>
        </w:rPr>
        <w:t>граничени редовни и спасителни археологически разкопки</w:t>
      </w:r>
      <w:r w:rsidR="004530E1"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провеждани в пристанището на Созопол, в залива пред устието на р. Ропотамо и край Китен (Урдовиза)</w:t>
      </w:r>
      <w:r w:rsidR="004530E1" w:rsidRPr="00610B1B">
        <w:rPr>
          <w:rFonts w:ascii="Times New Roman" w:eastAsia="Times New Roman" w:hAnsi="Times New Roman" w:cs="Times New Roman"/>
          <w:sz w:val="24"/>
          <w:szCs w:val="24"/>
          <w:lang w:val="bg-BG"/>
        </w:rPr>
        <w:t xml:space="preserve"> показват, че </w:t>
      </w:r>
      <w:r w:rsidRPr="00610B1B">
        <w:rPr>
          <w:rFonts w:ascii="Times New Roman" w:eastAsia="Times New Roman" w:hAnsi="Times New Roman" w:cs="Times New Roman"/>
          <w:sz w:val="24"/>
          <w:szCs w:val="24"/>
          <w:lang w:val="bg-BG"/>
        </w:rPr>
        <w:t xml:space="preserve">единствено на последното разкопаната площ (около 900 </w:t>
      </w:r>
      <w:r w:rsidR="004530E1" w:rsidRPr="00610B1B">
        <w:rPr>
          <w:rFonts w:ascii="Times New Roman" w:eastAsia="Times New Roman" w:hAnsi="Times New Roman" w:cs="Times New Roman"/>
          <w:sz w:val="24"/>
          <w:szCs w:val="24"/>
          <w:lang w:val="bg-BG"/>
        </w:rPr>
        <w:t>m</w:t>
      </w:r>
      <w:r w:rsidR="004530E1" w:rsidRPr="00610B1B">
        <w:rPr>
          <w:rFonts w:ascii="Times New Roman" w:eastAsia="Times New Roman" w:hAnsi="Times New Roman" w:cs="Times New Roman"/>
          <w:sz w:val="24"/>
          <w:szCs w:val="24"/>
          <w:vertAlign w:val="superscript"/>
          <w:lang w:val="bg-BG"/>
        </w:rPr>
        <w:t>2</w:t>
      </w:r>
      <w:r w:rsidRPr="00610B1B">
        <w:rPr>
          <w:rFonts w:ascii="Times New Roman" w:eastAsia="Times New Roman" w:hAnsi="Times New Roman" w:cs="Times New Roman"/>
          <w:sz w:val="24"/>
          <w:szCs w:val="24"/>
          <w:lang w:val="bg-BG"/>
        </w:rPr>
        <w:t>) може да се оцени като значителна.</w:t>
      </w:r>
    </w:p>
    <w:p w14:paraId="3B33AD4F" w14:textId="5480F58B" w:rsidR="004530E1"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sz w:val="24"/>
          <w:szCs w:val="24"/>
          <w:lang w:val="bg-BG"/>
        </w:rPr>
        <w:t>Атанасовско езеро</w:t>
      </w:r>
      <w:r w:rsidRPr="00610B1B">
        <w:rPr>
          <w:rFonts w:ascii="Times New Roman" w:eastAsia="Times New Roman" w:hAnsi="Times New Roman" w:cs="Times New Roman"/>
          <w:sz w:val="24"/>
          <w:szCs w:val="24"/>
          <w:lang w:val="bg-BG"/>
        </w:rPr>
        <w:t xml:space="preserve"> - </w:t>
      </w:r>
      <w:r w:rsidR="00D64FC1" w:rsidRPr="00610B1B">
        <w:rPr>
          <w:rFonts w:ascii="Times New Roman" w:eastAsia="Times New Roman" w:hAnsi="Times New Roman" w:cs="Times New Roman"/>
          <w:sz w:val="24"/>
          <w:szCs w:val="24"/>
          <w:lang w:val="bg-BG"/>
        </w:rPr>
        <w:t xml:space="preserve">Първи </w:t>
      </w:r>
      <w:r w:rsidRPr="00610B1B">
        <w:rPr>
          <w:rFonts w:ascii="Times New Roman" w:eastAsia="Times New Roman" w:hAnsi="Times New Roman" w:cs="Times New Roman"/>
          <w:sz w:val="24"/>
          <w:szCs w:val="24"/>
          <w:lang w:val="bg-BG"/>
        </w:rPr>
        <w:t xml:space="preserve">сведения за праисторически находки от района на Бургас, открити под нивото на морето, от 1925 год. Тогава при прокопаване на канали между </w:t>
      </w:r>
      <w:r w:rsidR="00BB78A1" w:rsidRPr="00610B1B">
        <w:rPr>
          <w:rFonts w:ascii="Times New Roman" w:eastAsia="Times New Roman" w:hAnsi="Times New Roman" w:cs="Times New Roman"/>
          <w:sz w:val="24"/>
          <w:szCs w:val="24"/>
          <w:lang w:val="bg-BG"/>
        </w:rPr>
        <w:t>Атанасовското</w:t>
      </w:r>
      <w:r w:rsidRPr="00610B1B">
        <w:rPr>
          <w:rFonts w:ascii="Times New Roman" w:eastAsia="Times New Roman" w:hAnsi="Times New Roman" w:cs="Times New Roman"/>
          <w:sz w:val="24"/>
          <w:szCs w:val="24"/>
          <w:lang w:val="bg-BG"/>
        </w:rPr>
        <w:t xml:space="preserve"> езеро и Черно море (североизточно от града) от дълбочина до 1 </w:t>
      </w:r>
      <w:r w:rsidR="004530E1"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са събрани каменни оръдия и керамични фрагменти; </w:t>
      </w:r>
    </w:p>
    <w:p w14:paraId="70B6FD4F" w14:textId="77777777" w:rsidR="004530E1"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sz w:val="24"/>
          <w:szCs w:val="24"/>
          <w:lang w:val="bg-BG"/>
        </w:rPr>
        <w:t>Пристанище Бургас</w:t>
      </w:r>
      <w:r w:rsidRPr="00610B1B">
        <w:rPr>
          <w:rFonts w:ascii="Times New Roman" w:eastAsia="Times New Roman" w:hAnsi="Times New Roman" w:cs="Times New Roman"/>
          <w:sz w:val="24"/>
          <w:szCs w:val="24"/>
          <w:lang w:val="bg-BG"/>
        </w:rPr>
        <w:t xml:space="preserve"> - По време на драгиране на Бургаското пристанище през 1968 г. са извадени много археологически материали; </w:t>
      </w:r>
    </w:p>
    <w:p w14:paraId="6C8E313D" w14:textId="5CAC2DFC" w:rsidR="00521FE5"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sz w:val="24"/>
          <w:szCs w:val="24"/>
          <w:lang w:val="bg-BG"/>
        </w:rPr>
        <w:t>Атия</w:t>
      </w:r>
      <w:r w:rsidRPr="00610B1B">
        <w:rPr>
          <w:rFonts w:ascii="Times New Roman" w:eastAsia="Times New Roman" w:hAnsi="Times New Roman" w:cs="Times New Roman"/>
          <w:sz w:val="24"/>
          <w:szCs w:val="24"/>
          <w:lang w:val="bg-BG"/>
        </w:rPr>
        <w:t xml:space="preserve"> - </w:t>
      </w:r>
      <w:r w:rsidR="00D64FC1" w:rsidRPr="00610B1B">
        <w:rPr>
          <w:rFonts w:ascii="Times New Roman" w:eastAsia="Times New Roman" w:hAnsi="Times New Roman" w:cs="Times New Roman"/>
          <w:sz w:val="24"/>
          <w:szCs w:val="24"/>
          <w:lang w:val="bg-BG"/>
        </w:rPr>
        <w:t xml:space="preserve">Селището </w:t>
      </w:r>
      <w:r w:rsidRPr="00610B1B">
        <w:rPr>
          <w:rFonts w:ascii="Times New Roman" w:eastAsia="Times New Roman" w:hAnsi="Times New Roman" w:cs="Times New Roman"/>
          <w:sz w:val="24"/>
          <w:szCs w:val="24"/>
          <w:lang w:val="bg-BG"/>
        </w:rPr>
        <w:t xml:space="preserve">е открито през 1968 г. в западния залив на нос Атия, по време на строителството на военното пристанище. Под повърхностен пласт с находки от </w:t>
      </w:r>
      <w:r w:rsidR="00521FE5" w:rsidRPr="00610B1B">
        <w:rPr>
          <w:rFonts w:ascii="Times New Roman" w:eastAsia="Times New Roman" w:hAnsi="Times New Roman" w:cs="Times New Roman"/>
          <w:sz w:val="24"/>
          <w:szCs w:val="24"/>
          <w:lang w:val="bg-BG"/>
        </w:rPr>
        <w:t xml:space="preserve">Античността </w:t>
      </w:r>
      <w:r w:rsidRPr="00610B1B">
        <w:rPr>
          <w:rFonts w:ascii="Times New Roman" w:eastAsia="Times New Roman" w:hAnsi="Times New Roman" w:cs="Times New Roman"/>
          <w:sz w:val="24"/>
          <w:szCs w:val="24"/>
          <w:lang w:val="bg-BG"/>
        </w:rPr>
        <w:t xml:space="preserve">и </w:t>
      </w:r>
      <w:r w:rsidR="00521FE5" w:rsidRPr="00610B1B">
        <w:rPr>
          <w:rFonts w:ascii="Times New Roman" w:eastAsia="Times New Roman" w:hAnsi="Times New Roman" w:cs="Times New Roman"/>
          <w:sz w:val="24"/>
          <w:szCs w:val="24"/>
          <w:lang w:val="bg-BG"/>
        </w:rPr>
        <w:t>Средновековието</w:t>
      </w:r>
      <w:r w:rsidRPr="00610B1B">
        <w:rPr>
          <w:rFonts w:ascii="Times New Roman" w:eastAsia="Times New Roman" w:hAnsi="Times New Roman" w:cs="Times New Roman"/>
          <w:sz w:val="24"/>
          <w:szCs w:val="24"/>
          <w:lang w:val="bg-BG"/>
        </w:rPr>
        <w:t xml:space="preserve">, са открити следи от праисторически селища, датирани към Късния халколит и Раннобронзовата епоха. Праисторическите материали са вадени от дълбочина 7 – 9 </w:t>
      </w:r>
      <w:r w:rsidR="00521FE5"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Запазените съдове от Атия показват близки паралели с халколитната керамика от Созопол;</w:t>
      </w:r>
    </w:p>
    <w:p w14:paraId="0D864DA5" w14:textId="16857146" w:rsidR="00521FE5"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sz w:val="24"/>
          <w:szCs w:val="24"/>
          <w:lang w:val="bg-BG"/>
        </w:rPr>
        <w:t>Созопол</w:t>
      </w:r>
      <w:r w:rsidRPr="00610B1B">
        <w:rPr>
          <w:rFonts w:ascii="Times New Roman" w:eastAsia="Times New Roman" w:hAnsi="Times New Roman" w:cs="Times New Roman"/>
          <w:b/>
          <w:sz w:val="24"/>
          <w:szCs w:val="24"/>
          <w:lang w:val="bg-BG"/>
        </w:rPr>
        <w:t xml:space="preserve"> - </w:t>
      </w:r>
      <w:r w:rsidR="00D64FC1" w:rsidRPr="00610B1B">
        <w:rPr>
          <w:rFonts w:ascii="Times New Roman" w:eastAsia="Times New Roman" w:hAnsi="Times New Roman" w:cs="Times New Roman"/>
          <w:sz w:val="24"/>
          <w:szCs w:val="24"/>
          <w:lang w:val="bg-BG"/>
        </w:rPr>
        <w:t xml:space="preserve">През </w:t>
      </w:r>
      <w:r w:rsidRPr="00610B1B">
        <w:rPr>
          <w:rFonts w:ascii="Times New Roman" w:eastAsia="Times New Roman" w:hAnsi="Times New Roman" w:cs="Times New Roman"/>
          <w:sz w:val="24"/>
          <w:szCs w:val="24"/>
          <w:lang w:val="bg-BG"/>
        </w:rPr>
        <w:t xml:space="preserve">1927 год. при изграждане на кейовете и оформяне на басейна на „Старото пристанище“ на Созопол са извадени около 300 керамични фрагменти от различни епохи и антични надгробни. Находките са открити на дълбочина до 6 </w:t>
      </w:r>
      <w:r w:rsidR="00521FE5"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Първите подводни </w:t>
      </w:r>
      <w:r w:rsidR="00BB78A1" w:rsidRPr="00610B1B">
        <w:rPr>
          <w:rFonts w:ascii="Times New Roman" w:eastAsia="Times New Roman" w:hAnsi="Times New Roman" w:cs="Times New Roman"/>
          <w:sz w:val="24"/>
          <w:szCs w:val="24"/>
          <w:lang w:val="bg-BG"/>
        </w:rPr>
        <w:t>археологически</w:t>
      </w:r>
      <w:r w:rsidRPr="00610B1B">
        <w:rPr>
          <w:rFonts w:ascii="Times New Roman" w:eastAsia="Times New Roman" w:hAnsi="Times New Roman" w:cs="Times New Roman"/>
          <w:sz w:val="24"/>
          <w:szCs w:val="24"/>
          <w:lang w:val="bg-BG"/>
        </w:rPr>
        <w:t xml:space="preserve"> проучвания, свързани с праисторическите селища в акваторията на Созопол, се провеждат през 1986 </w:t>
      </w:r>
      <w:r w:rsidR="00521FE5" w:rsidRPr="00610B1B">
        <w:rPr>
          <w:rFonts w:ascii="Times New Roman" w:eastAsia="Times New Roman" w:hAnsi="Times New Roman" w:cs="Times New Roman"/>
          <w:sz w:val="24"/>
          <w:szCs w:val="24"/>
          <w:lang w:val="bg-BG"/>
        </w:rPr>
        <w:t>и</w:t>
      </w:r>
      <w:r w:rsidRPr="00610B1B">
        <w:rPr>
          <w:rFonts w:ascii="Times New Roman" w:eastAsia="Times New Roman" w:hAnsi="Times New Roman" w:cs="Times New Roman"/>
          <w:sz w:val="24"/>
          <w:szCs w:val="24"/>
          <w:lang w:val="bg-BG"/>
        </w:rPr>
        <w:t xml:space="preserve"> 1987 год. През 1990 и 1993 год. са проведени и две кампании </w:t>
      </w:r>
      <w:r w:rsidR="00D64FC1" w:rsidRPr="00610B1B">
        <w:rPr>
          <w:rFonts w:ascii="Times New Roman" w:eastAsia="Times New Roman" w:hAnsi="Times New Roman" w:cs="Times New Roman"/>
          <w:sz w:val="24"/>
          <w:szCs w:val="24"/>
          <w:lang w:val="bg-BG"/>
        </w:rPr>
        <w:t xml:space="preserve">за </w:t>
      </w:r>
      <w:r w:rsidRPr="00610B1B">
        <w:rPr>
          <w:rFonts w:ascii="Times New Roman" w:eastAsia="Times New Roman" w:hAnsi="Times New Roman" w:cs="Times New Roman"/>
          <w:sz w:val="24"/>
          <w:szCs w:val="24"/>
          <w:lang w:val="bg-BG"/>
        </w:rPr>
        <w:t xml:space="preserve">редовни подводни разкопки </w:t>
      </w:r>
      <w:r w:rsidR="00D64FC1" w:rsidRPr="00610B1B">
        <w:rPr>
          <w:rFonts w:ascii="Times New Roman" w:eastAsia="Times New Roman" w:hAnsi="Times New Roman" w:cs="Times New Roman"/>
          <w:sz w:val="24"/>
          <w:szCs w:val="24"/>
          <w:lang w:val="bg-BG"/>
        </w:rPr>
        <w:t>за</w:t>
      </w:r>
      <w:r w:rsidRPr="00610B1B">
        <w:rPr>
          <w:rFonts w:ascii="Times New Roman" w:eastAsia="Times New Roman" w:hAnsi="Times New Roman" w:cs="Times New Roman"/>
          <w:sz w:val="24"/>
          <w:szCs w:val="24"/>
          <w:lang w:val="bg-BG"/>
        </w:rPr>
        <w:t xml:space="preserve"> установяване стратиграфията на селищата, датиране и културно определяне, изясняване на тяхното разположение в древния ландшафт. Вертикалната и хоризонталната стратиграфия показват, че в акваторията на </w:t>
      </w:r>
      <w:r w:rsidRPr="00610B1B">
        <w:rPr>
          <w:rFonts w:ascii="Times New Roman" w:eastAsia="Times New Roman" w:hAnsi="Times New Roman" w:cs="Times New Roman"/>
          <w:sz w:val="24"/>
          <w:szCs w:val="24"/>
          <w:lang w:val="bg-BG"/>
        </w:rPr>
        <w:lastRenderedPageBreak/>
        <w:t>Созополското пристанище са съществували две праисторически селища: едно от късния халколит и друго от ранната бронзовата епоха, съществува</w:t>
      </w:r>
      <w:r w:rsidR="00521FE5" w:rsidRPr="00610B1B">
        <w:rPr>
          <w:rFonts w:ascii="Times New Roman" w:eastAsia="Times New Roman" w:hAnsi="Times New Roman" w:cs="Times New Roman"/>
          <w:sz w:val="24"/>
          <w:szCs w:val="24"/>
          <w:lang w:val="bg-BG"/>
        </w:rPr>
        <w:t>що около 150 - 200 г.</w:t>
      </w:r>
    </w:p>
    <w:p w14:paraId="10221FA6" w14:textId="63E0B2D3"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sz w:val="24"/>
          <w:szCs w:val="24"/>
          <w:lang w:val="bg-BG"/>
        </w:rPr>
        <w:t>Ропотамо</w:t>
      </w:r>
      <w:r w:rsidRPr="00610B1B">
        <w:rPr>
          <w:rFonts w:ascii="Times New Roman" w:eastAsia="Times New Roman" w:hAnsi="Times New Roman" w:cs="Times New Roman"/>
          <w:b/>
          <w:sz w:val="24"/>
          <w:szCs w:val="24"/>
          <w:lang w:val="bg-BG"/>
        </w:rPr>
        <w:t xml:space="preserve"> - </w:t>
      </w:r>
      <w:r w:rsidR="00D64FC1" w:rsidRPr="00610B1B">
        <w:rPr>
          <w:rFonts w:ascii="Times New Roman" w:eastAsia="Times New Roman" w:hAnsi="Times New Roman" w:cs="Times New Roman"/>
          <w:sz w:val="24"/>
          <w:szCs w:val="24"/>
          <w:lang w:val="bg-BG"/>
        </w:rPr>
        <w:t xml:space="preserve">Първите </w:t>
      </w:r>
      <w:r w:rsidRPr="00610B1B">
        <w:rPr>
          <w:rFonts w:ascii="Times New Roman" w:eastAsia="Times New Roman" w:hAnsi="Times New Roman" w:cs="Times New Roman"/>
          <w:sz w:val="24"/>
          <w:szCs w:val="24"/>
          <w:lang w:val="bg-BG"/>
        </w:rPr>
        <w:t>археологически материали под вода в морския залив пред устието на р. Ропотамо са открити през 1976 г. Извадени са находки от Късната античност и Средновековието като се откроява богатата колекция от късноримска червенолакова керамика</w:t>
      </w:r>
      <w:r w:rsidR="00521FE5"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Проучванията са подновени през 2017 г и продължават и в момента. Констатирано е, че в залива пред устието на р. Ропотамо е съществувало пристанище. На дълбочина около 4.8 </w:t>
      </w:r>
      <w:r w:rsidR="00521FE5"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под нивото на морето е открито селище от ранната бронзова епоха, датирано около началото на III хил. пр. Хр. </w:t>
      </w:r>
    </w:p>
    <w:p w14:paraId="0824E9F7" w14:textId="03B7EE49" w:rsidR="00442579" w:rsidRPr="00610B1B" w:rsidRDefault="00442579"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sz w:val="24"/>
          <w:szCs w:val="24"/>
          <w:lang w:val="bg-BG"/>
        </w:rPr>
        <w:t>Китен (Урдовиза)</w:t>
      </w:r>
      <w:r w:rsidRPr="00610B1B">
        <w:rPr>
          <w:rFonts w:ascii="Times New Roman" w:eastAsia="Times New Roman" w:hAnsi="Times New Roman" w:cs="Times New Roman"/>
          <w:b/>
          <w:sz w:val="24"/>
          <w:szCs w:val="24"/>
          <w:lang w:val="bg-BG"/>
        </w:rPr>
        <w:t xml:space="preserve"> - </w:t>
      </w:r>
      <w:r w:rsidRPr="00610B1B">
        <w:rPr>
          <w:rFonts w:ascii="Times New Roman" w:eastAsia="Times New Roman" w:hAnsi="Times New Roman" w:cs="Times New Roman"/>
          <w:sz w:val="24"/>
          <w:szCs w:val="24"/>
          <w:lang w:val="bg-BG"/>
        </w:rPr>
        <w:t>Селището от ранната бронзова епоха се намира в Южния залив на гр.</w:t>
      </w:r>
      <w:r w:rsidR="00521FE5"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Китен, югоизточно от нос Урдовиза. Част от него лежи под вълнолома на пристанището. Селището е идентифицирано през 1986 г. по време на разкопките на търговски кораб от Османската епоха. Тогава са разкрити части от дървените конструкции на сградите и други артефакти. През 1986 г. е достигната дълбочина 10 </w:t>
      </w:r>
      <w:r w:rsidR="00521FE5"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от повърхността на морето, като археологическите материали са откривани от осмия до десетия метър. Разкрито е голямо количество вертикално забити колове и отделни хоризонтални греди. Проведени са още три сондажа през 1987-88-89 години. Анализът на стратиграфските и тафономичните наблюдения водят до извода, че селището е било разположено на сушата, в близост до древното корито на р. Караагач и на разстояние от няколко стотин метра от морския бряг, като древното морско ниво е било с поне около 8.5 </w:t>
      </w:r>
      <w:r w:rsidR="00521FE5"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по-ниско от съвременното. Според датировките и културните характеристики селището при Китен попада в началото на втора фаза на ранната бронзова </w:t>
      </w:r>
      <w:r w:rsidR="00BB78A1" w:rsidRPr="00610B1B">
        <w:rPr>
          <w:rFonts w:ascii="Times New Roman" w:eastAsia="Times New Roman" w:hAnsi="Times New Roman" w:cs="Times New Roman"/>
          <w:sz w:val="24"/>
          <w:szCs w:val="24"/>
          <w:lang w:val="bg-BG"/>
        </w:rPr>
        <w:t>епоха</w:t>
      </w:r>
      <w:r w:rsidRPr="00610B1B">
        <w:rPr>
          <w:rFonts w:ascii="Times New Roman" w:eastAsia="Times New Roman" w:hAnsi="Times New Roman" w:cs="Times New Roman"/>
          <w:sz w:val="24"/>
          <w:szCs w:val="24"/>
          <w:lang w:val="bg-BG"/>
        </w:rPr>
        <w:t xml:space="preserve"> за Западното Черноморско крайбрежие. </w:t>
      </w:r>
      <w:r w:rsidR="00D64FC1" w:rsidRPr="00610B1B">
        <w:rPr>
          <w:rFonts w:ascii="Times New Roman" w:eastAsia="Times New Roman" w:hAnsi="Times New Roman" w:cs="Times New Roman"/>
          <w:sz w:val="24"/>
          <w:szCs w:val="24"/>
          <w:lang w:val="bg-BG"/>
        </w:rPr>
        <w:t xml:space="preserve">Селището </w:t>
      </w:r>
      <w:r w:rsidRPr="00610B1B">
        <w:rPr>
          <w:rFonts w:ascii="Times New Roman" w:eastAsia="Times New Roman" w:hAnsi="Times New Roman" w:cs="Times New Roman"/>
          <w:sz w:val="24"/>
          <w:szCs w:val="24"/>
          <w:lang w:val="bg-BG"/>
        </w:rPr>
        <w:t xml:space="preserve">е било изградено на терен със слаб наклон, като проучените пластове лежат между 5 – 6 </w:t>
      </w:r>
      <w:r w:rsidR="00521FE5"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и 9 – 10 </w:t>
      </w:r>
      <w:r w:rsidR="00521FE5" w:rsidRPr="00610B1B">
        <w:rPr>
          <w:rFonts w:ascii="Times New Roman" w:eastAsia="Times New Roman" w:hAnsi="Times New Roman" w:cs="Times New Roman"/>
          <w:sz w:val="24"/>
          <w:szCs w:val="24"/>
          <w:lang w:val="bg-BG"/>
        </w:rPr>
        <w:t>m</w:t>
      </w:r>
      <w:r w:rsidRPr="00610B1B">
        <w:rPr>
          <w:rFonts w:ascii="Times New Roman" w:eastAsia="Times New Roman" w:hAnsi="Times New Roman" w:cs="Times New Roman"/>
          <w:sz w:val="24"/>
          <w:szCs w:val="24"/>
          <w:lang w:val="bg-BG"/>
        </w:rPr>
        <w:t xml:space="preserve"> под морското ниво.</w:t>
      </w:r>
      <w:r w:rsidR="00521FE5"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През 1989 г. проучванията продължават под формата на интензивни спасителни разкопки, предшестващи строежа на кейовата стена на яхтеното пристанище. </w:t>
      </w:r>
    </w:p>
    <w:p w14:paraId="0B306739" w14:textId="6EBFEE0F" w:rsidR="00442579" w:rsidRPr="00610B1B" w:rsidRDefault="00BB78A1"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sz w:val="24"/>
          <w:szCs w:val="24"/>
          <w:lang w:val="bg-BG"/>
        </w:rPr>
        <w:t>Стомопло</w:t>
      </w:r>
      <w:r w:rsidR="00442579" w:rsidRPr="00610B1B">
        <w:rPr>
          <w:rFonts w:ascii="Times New Roman" w:eastAsia="Times New Roman" w:hAnsi="Times New Roman" w:cs="Times New Roman"/>
          <w:i/>
          <w:sz w:val="24"/>
          <w:szCs w:val="24"/>
          <w:lang w:val="bg-BG"/>
        </w:rPr>
        <w:t>, гр.</w:t>
      </w:r>
      <w:r w:rsidR="00521FE5" w:rsidRPr="00610B1B">
        <w:rPr>
          <w:rFonts w:ascii="Times New Roman" w:eastAsia="Times New Roman" w:hAnsi="Times New Roman" w:cs="Times New Roman"/>
          <w:i/>
          <w:sz w:val="24"/>
          <w:szCs w:val="24"/>
          <w:lang w:val="bg-BG"/>
        </w:rPr>
        <w:t xml:space="preserve"> </w:t>
      </w:r>
      <w:r w:rsidR="00442579" w:rsidRPr="00610B1B">
        <w:rPr>
          <w:rFonts w:ascii="Times New Roman" w:eastAsia="Times New Roman" w:hAnsi="Times New Roman" w:cs="Times New Roman"/>
          <w:i/>
          <w:sz w:val="24"/>
          <w:szCs w:val="24"/>
          <w:lang w:val="bg-BG"/>
        </w:rPr>
        <w:t>Приморско</w:t>
      </w:r>
      <w:r w:rsidR="00442579" w:rsidRPr="00610B1B">
        <w:rPr>
          <w:rFonts w:ascii="Times New Roman" w:eastAsia="Times New Roman" w:hAnsi="Times New Roman" w:cs="Times New Roman"/>
          <w:b/>
          <w:sz w:val="24"/>
          <w:szCs w:val="24"/>
          <w:lang w:val="bg-BG"/>
        </w:rPr>
        <w:t xml:space="preserve"> </w:t>
      </w:r>
      <w:r w:rsidR="00521FE5" w:rsidRPr="00610B1B">
        <w:rPr>
          <w:rFonts w:ascii="Times New Roman" w:eastAsia="Times New Roman" w:hAnsi="Times New Roman" w:cs="Times New Roman"/>
          <w:b/>
          <w:sz w:val="24"/>
          <w:szCs w:val="24"/>
          <w:lang w:val="bg-BG"/>
        </w:rPr>
        <w:t xml:space="preserve">- </w:t>
      </w:r>
      <w:r w:rsidR="00442579" w:rsidRPr="00610B1B">
        <w:rPr>
          <w:rFonts w:ascii="Times New Roman" w:eastAsia="Times New Roman" w:hAnsi="Times New Roman" w:cs="Times New Roman"/>
          <w:sz w:val="24"/>
          <w:szCs w:val="24"/>
          <w:lang w:val="bg-BG"/>
        </w:rPr>
        <w:t xml:space="preserve">През 1922 г. при прочистването на кладенеца Качката в местността Геренчето в северната част на лагуната </w:t>
      </w:r>
      <w:r w:rsidRPr="00610B1B">
        <w:rPr>
          <w:rFonts w:ascii="Times New Roman" w:eastAsia="Times New Roman" w:hAnsi="Times New Roman" w:cs="Times New Roman"/>
          <w:sz w:val="24"/>
          <w:szCs w:val="24"/>
          <w:lang w:val="bg-BG"/>
        </w:rPr>
        <w:t>Стомопло</w:t>
      </w:r>
      <w:r w:rsidR="00442579" w:rsidRPr="00610B1B">
        <w:rPr>
          <w:rFonts w:ascii="Times New Roman" w:eastAsia="Times New Roman" w:hAnsi="Times New Roman" w:cs="Times New Roman"/>
          <w:sz w:val="24"/>
          <w:szCs w:val="24"/>
          <w:lang w:val="bg-BG"/>
        </w:rPr>
        <w:t xml:space="preserve"> при гр. Приморско на дълбочина от 9 </w:t>
      </w:r>
      <w:r w:rsidR="00521FE5" w:rsidRPr="00610B1B">
        <w:rPr>
          <w:rFonts w:ascii="Times New Roman" w:eastAsia="Times New Roman" w:hAnsi="Times New Roman" w:cs="Times New Roman"/>
          <w:sz w:val="24"/>
          <w:szCs w:val="24"/>
          <w:lang w:val="bg-BG"/>
        </w:rPr>
        <w:t>m</w:t>
      </w:r>
      <w:r w:rsidR="00442579" w:rsidRPr="00610B1B">
        <w:rPr>
          <w:rFonts w:ascii="Times New Roman" w:eastAsia="Times New Roman" w:hAnsi="Times New Roman" w:cs="Times New Roman"/>
          <w:sz w:val="24"/>
          <w:szCs w:val="24"/>
          <w:lang w:val="bg-BG"/>
        </w:rPr>
        <w:t xml:space="preserve"> </w:t>
      </w:r>
      <w:r w:rsidR="00F8079E" w:rsidRPr="00610B1B">
        <w:rPr>
          <w:rFonts w:ascii="Times New Roman" w:eastAsia="Times New Roman" w:hAnsi="Times New Roman" w:cs="Times New Roman"/>
          <w:sz w:val="24"/>
          <w:szCs w:val="24"/>
          <w:lang w:val="bg-BG"/>
        </w:rPr>
        <w:t>са разкрити</w:t>
      </w:r>
      <w:r w:rsidR="00442579" w:rsidRPr="00610B1B">
        <w:rPr>
          <w:rFonts w:ascii="Times New Roman" w:eastAsia="Times New Roman" w:hAnsi="Times New Roman" w:cs="Times New Roman"/>
          <w:sz w:val="24"/>
          <w:szCs w:val="24"/>
          <w:lang w:val="bg-BG"/>
        </w:rPr>
        <w:t xml:space="preserve"> праисторически археологически находки. Възможно е те да се свържат</w:t>
      </w:r>
      <w:r w:rsidR="00521FE5" w:rsidRPr="00610B1B">
        <w:rPr>
          <w:rFonts w:ascii="Times New Roman" w:eastAsia="Times New Roman" w:hAnsi="Times New Roman" w:cs="Times New Roman"/>
          <w:sz w:val="24"/>
          <w:szCs w:val="24"/>
          <w:lang w:val="bg-BG"/>
        </w:rPr>
        <w:t xml:space="preserve"> с</w:t>
      </w:r>
      <w:r w:rsidR="00442579" w:rsidRPr="00610B1B">
        <w:rPr>
          <w:rFonts w:ascii="Times New Roman" w:eastAsia="Times New Roman" w:hAnsi="Times New Roman" w:cs="Times New Roman"/>
          <w:sz w:val="24"/>
          <w:szCs w:val="24"/>
          <w:lang w:val="bg-BG"/>
        </w:rPr>
        <w:t xml:space="preserve"> нивото на морето през късния неолит. Ако </w:t>
      </w:r>
      <w:r w:rsidR="00F8079E" w:rsidRPr="00610B1B">
        <w:rPr>
          <w:rFonts w:ascii="Times New Roman" w:eastAsia="Times New Roman" w:hAnsi="Times New Roman" w:cs="Times New Roman"/>
          <w:sz w:val="24"/>
          <w:szCs w:val="24"/>
          <w:lang w:val="bg-BG"/>
        </w:rPr>
        <w:t xml:space="preserve">това </w:t>
      </w:r>
      <w:r w:rsidR="00442579" w:rsidRPr="00610B1B">
        <w:rPr>
          <w:rFonts w:ascii="Times New Roman" w:eastAsia="Times New Roman" w:hAnsi="Times New Roman" w:cs="Times New Roman"/>
          <w:sz w:val="24"/>
          <w:szCs w:val="24"/>
          <w:lang w:val="bg-BG"/>
        </w:rPr>
        <w:t xml:space="preserve">е така, </w:t>
      </w:r>
      <w:r w:rsidR="00F8079E" w:rsidRPr="00610B1B">
        <w:rPr>
          <w:rFonts w:ascii="Times New Roman" w:eastAsia="Times New Roman" w:hAnsi="Times New Roman" w:cs="Times New Roman"/>
          <w:sz w:val="24"/>
          <w:szCs w:val="24"/>
          <w:lang w:val="bg-BG"/>
        </w:rPr>
        <w:t>може да се</w:t>
      </w:r>
      <w:r w:rsidR="00442579" w:rsidRPr="00610B1B">
        <w:rPr>
          <w:rFonts w:ascii="Times New Roman" w:eastAsia="Times New Roman" w:hAnsi="Times New Roman" w:cs="Times New Roman"/>
          <w:sz w:val="24"/>
          <w:szCs w:val="24"/>
          <w:lang w:val="bg-BG"/>
        </w:rPr>
        <w:t xml:space="preserve"> очакват неолитни материали по изобатата на 10 метър и на други места по българското крайбрежие. </w:t>
      </w:r>
    </w:p>
    <w:p w14:paraId="28A84820" w14:textId="01086ED9" w:rsidR="00C076B6" w:rsidRPr="00610B1B" w:rsidRDefault="00442579"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На база на направения анализ на актуалното състояние </w:t>
      </w:r>
      <w:r w:rsidR="00521FE5" w:rsidRPr="00610B1B">
        <w:rPr>
          <w:rFonts w:ascii="Times New Roman" w:eastAsia="Times New Roman" w:hAnsi="Times New Roman" w:cs="Times New Roman"/>
          <w:sz w:val="24"/>
          <w:szCs w:val="24"/>
          <w:lang w:val="bg-BG"/>
        </w:rPr>
        <w:t xml:space="preserve">могат да се </w:t>
      </w:r>
      <w:r w:rsidR="00D64FC1" w:rsidRPr="00610B1B">
        <w:rPr>
          <w:rFonts w:ascii="Times New Roman" w:eastAsia="Times New Roman" w:hAnsi="Times New Roman" w:cs="Times New Roman"/>
          <w:sz w:val="24"/>
          <w:szCs w:val="24"/>
          <w:lang w:val="bg-BG"/>
        </w:rPr>
        <w:t>направят</w:t>
      </w:r>
      <w:r w:rsidR="00521FE5" w:rsidRPr="00610B1B">
        <w:rPr>
          <w:rFonts w:ascii="Times New Roman" w:eastAsia="Times New Roman" w:hAnsi="Times New Roman" w:cs="Times New Roman"/>
          <w:sz w:val="24"/>
          <w:szCs w:val="24"/>
          <w:lang w:val="bg-BG"/>
        </w:rPr>
        <w:t xml:space="preserve"> </w:t>
      </w:r>
      <w:r w:rsidR="00521FE5" w:rsidRPr="00610B1B">
        <w:rPr>
          <w:rFonts w:ascii="Times New Roman" w:eastAsia="Times New Roman" w:hAnsi="Times New Roman" w:cs="Times New Roman"/>
          <w:b/>
          <w:sz w:val="24"/>
          <w:szCs w:val="24"/>
          <w:lang w:val="bg-BG"/>
        </w:rPr>
        <w:t xml:space="preserve">обобщени изводи </w:t>
      </w:r>
      <w:r w:rsidR="00521FE5" w:rsidRPr="00610B1B">
        <w:rPr>
          <w:rFonts w:ascii="Times New Roman" w:eastAsia="Times New Roman" w:hAnsi="Times New Roman" w:cs="Times New Roman"/>
          <w:sz w:val="24"/>
          <w:szCs w:val="24"/>
          <w:lang w:val="bg-BG"/>
        </w:rPr>
        <w:t xml:space="preserve">за идентифицираните проблеми, както на отделни обекти, така и </w:t>
      </w:r>
      <w:r w:rsidR="00C076B6" w:rsidRPr="00610B1B">
        <w:rPr>
          <w:rFonts w:ascii="Times New Roman" w:eastAsia="Times New Roman" w:hAnsi="Times New Roman" w:cs="Times New Roman"/>
          <w:sz w:val="24"/>
          <w:szCs w:val="24"/>
          <w:lang w:val="bg-BG"/>
        </w:rPr>
        <w:t>общи</w:t>
      </w:r>
      <w:r w:rsidRPr="00610B1B">
        <w:rPr>
          <w:rFonts w:ascii="Times New Roman" w:eastAsia="Times New Roman" w:hAnsi="Times New Roman" w:cs="Times New Roman"/>
          <w:sz w:val="24"/>
          <w:szCs w:val="24"/>
          <w:lang w:val="bg-BG"/>
        </w:rPr>
        <w:t xml:space="preserve">. </w:t>
      </w:r>
      <w:r w:rsidR="00C076B6" w:rsidRPr="00610B1B">
        <w:rPr>
          <w:rFonts w:ascii="Times New Roman" w:eastAsia="Times New Roman" w:hAnsi="Times New Roman" w:cs="Times New Roman"/>
          <w:sz w:val="24"/>
          <w:szCs w:val="24"/>
          <w:lang w:val="bg-BG"/>
        </w:rPr>
        <w:t>Проблемите на археологически и архитектурно-градоустройствен резерват „Старинен град Несебър”, обект на световното културно наследство са свързани основно с неговата фрагментираност, при продължаващи у</w:t>
      </w:r>
      <w:r w:rsidRPr="00610B1B">
        <w:rPr>
          <w:rFonts w:ascii="Times New Roman" w:eastAsia="Times New Roman" w:hAnsi="Times New Roman" w:cs="Times New Roman"/>
          <w:sz w:val="24"/>
          <w:szCs w:val="24"/>
          <w:lang w:val="bg-BG"/>
        </w:rPr>
        <w:t xml:space="preserve">силия на </w:t>
      </w:r>
      <w:r w:rsidR="00C076B6" w:rsidRPr="00610B1B">
        <w:rPr>
          <w:rFonts w:ascii="Times New Roman" w:eastAsia="Times New Roman" w:hAnsi="Times New Roman" w:cs="Times New Roman"/>
          <w:sz w:val="24"/>
          <w:szCs w:val="24"/>
          <w:lang w:val="bg-BG"/>
        </w:rPr>
        <w:t xml:space="preserve">община </w:t>
      </w:r>
      <w:r w:rsidRPr="00610B1B">
        <w:rPr>
          <w:rFonts w:ascii="Times New Roman" w:eastAsia="Times New Roman" w:hAnsi="Times New Roman" w:cs="Times New Roman"/>
          <w:sz w:val="24"/>
          <w:szCs w:val="24"/>
          <w:lang w:val="bg-BG"/>
        </w:rPr>
        <w:t xml:space="preserve">Несебър и различни неправителствени институции </w:t>
      </w:r>
      <w:r w:rsidR="00C076B6" w:rsidRPr="00610B1B">
        <w:rPr>
          <w:rFonts w:ascii="Times New Roman" w:eastAsia="Times New Roman" w:hAnsi="Times New Roman" w:cs="Times New Roman"/>
          <w:sz w:val="24"/>
          <w:szCs w:val="24"/>
          <w:lang w:val="bg-BG"/>
        </w:rPr>
        <w:t>за</w:t>
      </w:r>
      <w:r w:rsidRPr="00610B1B">
        <w:rPr>
          <w:rFonts w:ascii="Times New Roman" w:eastAsia="Times New Roman" w:hAnsi="Times New Roman" w:cs="Times New Roman"/>
          <w:sz w:val="24"/>
          <w:szCs w:val="24"/>
          <w:lang w:val="bg-BG"/>
        </w:rPr>
        <w:t xml:space="preserve"> </w:t>
      </w:r>
      <w:r w:rsidR="00D64FC1" w:rsidRPr="00610B1B">
        <w:rPr>
          <w:rFonts w:ascii="Times New Roman" w:eastAsia="Times New Roman" w:hAnsi="Times New Roman" w:cs="Times New Roman"/>
          <w:sz w:val="24"/>
          <w:szCs w:val="24"/>
          <w:lang w:val="bg-BG"/>
        </w:rPr>
        <w:t xml:space="preserve">изпълнение </w:t>
      </w:r>
      <w:r w:rsidRPr="00610B1B">
        <w:rPr>
          <w:rFonts w:ascii="Times New Roman" w:eastAsia="Times New Roman" w:hAnsi="Times New Roman" w:cs="Times New Roman"/>
          <w:sz w:val="24"/>
          <w:szCs w:val="24"/>
          <w:lang w:val="bg-BG"/>
        </w:rPr>
        <w:t>на препоръките на ЮНЕСКО</w:t>
      </w:r>
      <w:r w:rsidR="00C076B6" w:rsidRPr="00610B1B">
        <w:rPr>
          <w:rFonts w:ascii="Times New Roman" w:eastAsia="Times New Roman" w:hAnsi="Times New Roman" w:cs="Times New Roman"/>
          <w:sz w:val="24"/>
          <w:szCs w:val="24"/>
          <w:lang w:val="bg-BG"/>
        </w:rPr>
        <w:t xml:space="preserve"> и</w:t>
      </w:r>
      <w:r w:rsidRPr="00610B1B">
        <w:rPr>
          <w:rFonts w:ascii="Times New Roman" w:eastAsia="Times New Roman" w:hAnsi="Times New Roman" w:cs="Times New Roman"/>
          <w:sz w:val="24"/>
          <w:szCs w:val="24"/>
          <w:lang w:val="bg-BG"/>
        </w:rPr>
        <w:t xml:space="preserve"> за запазване на ценността.</w:t>
      </w:r>
      <w:r w:rsidR="00C076B6" w:rsidRPr="00610B1B">
        <w:rPr>
          <w:rFonts w:ascii="Times New Roman" w:eastAsia="Times New Roman" w:hAnsi="Times New Roman" w:cs="Times New Roman"/>
          <w:sz w:val="24"/>
          <w:szCs w:val="24"/>
          <w:lang w:val="bg-BG"/>
        </w:rPr>
        <w:t xml:space="preserve"> Необходимо е </w:t>
      </w:r>
      <w:r w:rsidRPr="00610B1B">
        <w:rPr>
          <w:rFonts w:ascii="Times New Roman" w:eastAsia="Times New Roman" w:hAnsi="Times New Roman" w:cs="Times New Roman"/>
          <w:sz w:val="24"/>
          <w:szCs w:val="24"/>
          <w:lang w:val="bg-BG"/>
        </w:rPr>
        <w:t>провеждане на реконсервация, нови КРР работи и социализация на обекти и зони, които са от съществено значение за ценностните характеристики на Несебър</w:t>
      </w:r>
      <w:r w:rsidR="00C076B6"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особено в неговите северна, източна и южна крайбрежни зони.</w:t>
      </w:r>
      <w:r w:rsidR="00C076B6"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Не са изявени и експонирани обектите на подводното културно наследство</w:t>
      </w:r>
      <w:r w:rsidR="00C076B6" w:rsidRPr="00610B1B">
        <w:rPr>
          <w:rFonts w:ascii="Times New Roman" w:eastAsia="Times New Roman" w:hAnsi="Times New Roman" w:cs="Times New Roman"/>
          <w:sz w:val="24"/>
          <w:szCs w:val="24"/>
          <w:lang w:val="bg-BG"/>
        </w:rPr>
        <w:t xml:space="preserve">, дори </w:t>
      </w:r>
      <w:r w:rsidR="00C076B6" w:rsidRPr="00610B1B">
        <w:rPr>
          <w:rFonts w:ascii="Times New Roman" w:eastAsia="Times New Roman" w:hAnsi="Times New Roman" w:cs="Times New Roman"/>
          <w:sz w:val="24"/>
          <w:szCs w:val="24"/>
          <w:lang w:val="bg-BG"/>
        </w:rPr>
        <w:lastRenderedPageBreak/>
        <w:t xml:space="preserve">тези, </w:t>
      </w:r>
      <w:r w:rsidRPr="00610B1B">
        <w:rPr>
          <w:rFonts w:ascii="Times New Roman" w:eastAsia="Times New Roman" w:hAnsi="Times New Roman" w:cs="Times New Roman"/>
          <w:sz w:val="24"/>
          <w:szCs w:val="24"/>
          <w:lang w:val="bg-BG"/>
        </w:rPr>
        <w:t>с възможност за пряко посещение</w:t>
      </w:r>
      <w:r w:rsidR="00C076B6" w:rsidRPr="00610B1B">
        <w:rPr>
          <w:rFonts w:ascii="Times New Roman" w:eastAsia="Times New Roman" w:hAnsi="Times New Roman" w:cs="Times New Roman"/>
          <w:sz w:val="24"/>
          <w:szCs w:val="24"/>
          <w:lang w:val="bg-BG"/>
        </w:rPr>
        <w:t xml:space="preserve">, което е </w:t>
      </w:r>
      <w:r w:rsidRPr="00610B1B">
        <w:rPr>
          <w:rFonts w:ascii="Times New Roman" w:eastAsia="Times New Roman" w:hAnsi="Times New Roman" w:cs="Times New Roman"/>
          <w:sz w:val="24"/>
          <w:szCs w:val="24"/>
          <w:lang w:val="bg-BG"/>
        </w:rPr>
        <w:t>изключително рядък случай.</w:t>
      </w:r>
      <w:r w:rsidR="00C076B6" w:rsidRPr="00610B1B">
        <w:rPr>
          <w:rFonts w:ascii="Times New Roman" w:eastAsia="Times New Roman" w:hAnsi="Times New Roman" w:cs="Times New Roman"/>
          <w:sz w:val="24"/>
          <w:szCs w:val="24"/>
          <w:lang w:val="bg-BG"/>
        </w:rPr>
        <w:t xml:space="preserve"> Дефинирани са множество проблеми, свързани с облика и силуета на града и с липсата на грижа за изява на уникалността на световната културна ценност. </w:t>
      </w:r>
    </w:p>
    <w:p w14:paraId="3B181EC6" w14:textId="72FC2C25" w:rsidR="00C076B6" w:rsidRPr="00610B1B" w:rsidRDefault="00C076B6" w:rsidP="00D32D6A">
      <w:pPr>
        <w:shd w:val="clear" w:color="auto" w:fill="FFFFFF"/>
        <w:spacing w:after="120"/>
        <w:ind w:right="-153"/>
        <w:jc w:val="both"/>
        <w:rPr>
          <w:rFonts w:ascii="Times New Roman" w:eastAsia="Times New Roman" w:hAnsi="Times New Roman" w:cs="Times New Roman"/>
          <w:b/>
          <w:sz w:val="24"/>
          <w:szCs w:val="24"/>
          <w:lang w:val="bg-BG"/>
        </w:rPr>
      </w:pPr>
      <w:r w:rsidRPr="00610B1B">
        <w:rPr>
          <w:rFonts w:ascii="Times New Roman" w:eastAsia="Times New Roman" w:hAnsi="Times New Roman" w:cs="Times New Roman"/>
          <w:sz w:val="24"/>
          <w:szCs w:val="24"/>
          <w:lang w:val="bg-BG"/>
        </w:rPr>
        <w:t>Обобщените проблеми на недвижимите културни ценности</w:t>
      </w:r>
      <w:r w:rsidR="00194619"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разположени в териториалния обхват на плана са аналогични и в повечето случаи са проблеми при идентифицирането, изучаването</w:t>
      </w:r>
      <w:r w:rsidR="005320C4"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опазването</w:t>
      </w:r>
      <w:r w:rsidR="005320C4" w:rsidRPr="00610B1B">
        <w:rPr>
          <w:rFonts w:ascii="Times New Roman" w:eastAsia="Times New Roman" w:hAnsi="Times New Roman" w:cs="Times New Roman"/>
          <w:sz w:val="24"/>
          <w:szCs w:val="24"/>
          <w:lang w:val="bg-BG"/>
        </w:rPr>
        <w:t xml:space="preserve"> и</w:t>
      </w:r>
      <w:r w:rsidR="005320C4" w:rsidRPr="00610B1B">
        <w:rPr>
          <w:rFonts w:ascii="Times New Roman" w:hAnsi="Times New Roman" w:cs="Times New Roman"/>
          <w:lang w:val="bg-BG"/>
        </w:rPr>
        <w:t xml:space="preserve"> </w:t>
      </w:r>
      <w:r w:rsidR="005320C4" w:rsidRPr="00610B1B">
        <w:rPr>
          <w:rFonts w:ascii="Times New Roman" w:eastAsia="Times New Roman" w:hAnsi="Times New Roman" w:cs="Times New Roman"/>
          <w:sz w:val="24"/>
          <w:szCs w:val="24"/>
          <w:lang w:val="bg-BG"/>
        </w:rPr>
        <w:t>инфраструктурата на културния туризъм</w:t>
      </w:r>
      <w:r w:rsidRPr="00610B1B">
        <w:rPr>
          <w:rFonts w:ascii="Times New Roman" w:eastAsia="Times New Roman" w:hAnsi="Times New Roman" w:cs="Times New Roman"/>
          <w:sz w:val="24"/>
          <w:szCs w:val="24"/>
          <w:lang w:val="bg-BG"/>
        </w:rPr>
        <w:t xml:space="preserve">. </w:t>
      </w:r>
      <w:r w:rsidR="005320C4" w:rsidRPr="00610B1B">
        <w:rPr>
          <w:rFonts w:ascii="Times New Roman" w:eastAsia="Times New Roman" w:hAnsi="Times New Roman" w:cs="Times New Roman"/>
          <w:sz w:val="24"/>
          <w:szCs w:val="24"/>
          <w:lang w:val="bg-BG"/>
        </w:rPr>
        <w:t xml:space="preserve">За археологическите обекти тези дейности са в прерогативите на няколко институции, </w:t>
      </w:r>
      <w:r w:rsidR="00B35A5F" w:rsidRPr="00610B1B">
        <w:rPr>
          <w:rFonts w:ascii="Times New Roman" w:eastAsia="Times New Roman" w:hAnsi="Times New Roman" w:cs="Times New Roman"/>
          <w:sz w:val="24"/>
          <w:szCs w:val="24"/>
          <w:lang w:val="bg-BG"/>
        </w:rPr>
        <w:t xml:space="preserve">поради което </w:t>
      </w:r>
      <w:r w:rsidR="005320C4" w:rsidRPr="00610B1B">
        <w:rPr>
          <w:rFonts w:ascii="Times New Roman" w:eastAsia="Times New Roman" w:hAnsi="Times New Roman" w:cs="Times New Roman"/>
          <w:sz w:val="24"/>
          <w:szCs w:val="24"/>
          <w:lang w:val="bg-BG"/>
        </w:rPr>
        <w:t>много често се стига само до предварителна оценка придобива</w:t>
      </w:r>
      <w:r w:rsidR="00B35A5F" w:rsidRPr="00610B1B">
        <w:rPr>
          <w:rFonts w:ascii="Times New Roman" w:eastAsia="Times New Roman" w:hAnsi="Times New Roman" w:cs="Times New Roman"/>
          <w:sz w:val="24"/>
          <w:szCs w:val="24"/>
          <w:lang w:val="bg-BG"/>
        </w:rPr>
        <w:t>не на</w:t>
      </w:r>
      <w:r w:rsidR="005320C4" w:rsidRPr="00610B1B">
        <w:rPr>
          <w:rFonts w:ascii="Times New Roman" w:eastAsia="Times New Roman" w:hAnsi="Times New Roman" w:cs="Times New Roman"/>
          <w:sz w:val="24"/>
          <w:szCs w:val="24"/>
          <w:lang w:val="bg-BG"/>
        </w:rPr>
        <w:t xml:space="preserve"> статут. Необходимо е да се идентифицират като НКЦ обекти, които са с потенциал за „културен маршрут” и „културен ландшафт”, както и такива, които са представители на наследството на ХХ век.</w:t>
      </w:r>
    </w:p>
    <w:p w14:paraId="1FD3540C" w14:textId="2533FC99" w:rsidR="00442579" w:rsidRPr="00610B1B" w:rsidRDefault="00442579"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Голяма ч</w:t>
      </w:r>
      <w:r w:rsidR="00C076B6" w:rsidRPr="00610B1B">
        <w:rPr>
          <w:rFonts w:ascii="Times New Roman" w:eastAsia="Times New Roman" w:hAnsi="Times New Roman" w:cs="Times New Roman"/>
          <w:sz w:val="24"/>
          <w:szCs w:val="24"/>
          <w:lang w:val="bg-BG"/>
        </w:rPr>
        <w:t xml:space="preserve">аст от археологическите обекти </w:t>
      </w:r>
      <w:r w:rsidRPr="00610B1B">
        <w:rPr>
          <w:rFonts w:ascii="Times New Roman" w:eastAsia="Times New Roman" w:hAnsi="Times New Roman" w:cs="Times New Roman"/>
          <w:sz w:val="24"/>
          <w:szCs w:val="24"/>
          <w:lang w:val="bg-BG"/>
        </w:rPr>
        <w:t>с категория „национално” значение, се нуждаят от допълнителни археологически и исторически проучвания. Продължителността във времето на тези дейности обаче, допринася за физическата деградация на обектите. За същите тези обекти са необходими и архитектурни проучвания, които се игнорират, но които са съществена предпоставка за адекватно пров</w:t>
      </w:r>
      <w:r w:rsidR="008629C3" w:rsidRPr="00610B1B">
        <w:rPr>
          <w:rFonts w:ascii="Times New Roman" w:eastAsia="Times New Roman" w:hAnsi="Times New Roman" w:cs="Times New Roman"/>
          <w:sz w:val="24"/>
          <w:szCs w:val="24"/>
          <w:lang w:val="bg-BG"/>
        </w:rPr>
        <w:t>едени КРР дейности</w:t>
      </w:r>
      <w:r w:rsidR="00194619" w:rsidRPr="00610B1B">
        <w:rPr>
          <w:rFonts w:ascii="Times New Roman" w:eastAsia="Times New Roman" w:hAnsi="Times New Roman" w:cs="Times New Roman"/>
          <w:sz w:val="24"/>
          <w:szCs w:val="24"/>
          <w:lang w:val="bg-BG"/>
        </w:rPr>
        <w:t xml:space="preserve"> впоследствие</w:t>
      </w:r>
      <w:r w:rsidR="008629C3" w:rsidRPr="00610B1B">
        <w:rPr>
          <w:rFonts w:ascii="Times New Roman" w:eastAsia="Times New Roman" w:hAnsi="Times New Roman" w:cs="Times New Roman"/>
          <w:sz w:val="24"/>
          <w:szCs w:val="24"/>
          <w:lang w:val="bg-BG"/>
        </w:rPr>
        <w:t xml:space="preserve">. </w:t>
      </w:r>
    </w:p>
    <w:p w14:paraId="094C008B" w14:textId="52BD8F7E" w:rsidR="00442579" w:rsidRPr="00610B1B" w:rsidRDefault="008629C3"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В </w:t>
      </w:r>
      <w:r w:rsidR="00442579" w:rsidRPr="00610B1B">
        <w:rPr>
          <w:rFonts w:ascii="Times New Roman" w:eastAsia="Times New Roman" w:hAnsi="Times New Roman" w:cs="Times New Roman"/>
          <w:sz w:val="24"/>
          <w:szCs w:val="24"/>
          <w:lang w:val="bg-BG"/>
        </w:rPr>
        <w:t>защитени</w:t>
      </w:r>
      <w:r w:rsidRPr="00610B1B">
        <w:rPr>
          <w:rFonts w:ascii="Times New Roman" w:eastAsia="Times New Roman" w:hAnsi="Times New Roman" w:cs="Times New Roman"/>
          <w:sz w:val="24"/>
          <w:szCs w:val="24"/>
          <w:lang w:val="bg-BG"/>
        </w:rPr>
        <w:t>те</w:t>
      </w:r>
      <w:r w:rsidR="00442579" w:rsidRPr="00610B1B">
        <w:rPr>
          <w:rFonts w:ascii="Times New Roman" w:eastAsia="Times New Roman" w:hAnsi="Times New Roman" w:cs="Times New Roman"/>
          <w:sz w:val="24"/>
          <w:szCs w:val="24"/>
          <w:lang w:val="bg-BG"/>
        </w:rPr>
        <w:t xml:space="preserve"> територии</w:t>
      </w:r>
      <w:r w:rsidR="00B35A5F" w:rsidRPr="00610B1B">
        <w:rPr>
          <w:rFonts w:ascii="Times New Roman" w:eastAsia="Times New Roman" w:hAnsi="Times New Roman" w:cs="Times New Roman"/>
          <w:sz w:val="24"/>
          <w:szCs w:val="24"/>
          <w:lang w:val="bg-BG"/>
        </w:rPr>
        <w:t>, в</w:t>
      </w:r>
      <w:r w:rsidR="00442579" w:rsidRPr="00610B1B">
        <w:rPr>
          <w:rFonts w:ascii="Times New Roman" w:eastAsia="Times New Roman" w:hAnsi="Times New Roman" w:cs="Times New Roman"/>
          <w:sz w:val="24"/>
          <w:szCs w:val="24"/>
          <w:lang w:val="bg-BG"/>
        </w:rPr>
        <w:t xml:space="preserve"> горски фонд</w:t>
      </w:r>
      <w:r w:rsidR="00B35A5F" w:rsidRPr="00610B1B">
        <w:rPr>
          <w:rStyle w:val="FootnoteReference"/>
          <w:rFonts w:ascii="Times New Roman" w:eastAsia="Times New Roman" w:hAnsi="Times New Roman" w:cs="Times New Roman"/>
          <w:sz w:val="24"/>
          <w:szCs w:val="24"/>
          <w:lang w:val="bg-BG"/>
        </w:rPr>
        <w:footnoteReference w:id="146"/>
      </w:r>
      <w:r w:rsidR="00442579"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и в </w:t>
      </w:r>
      <w:r w:rsidR="00442579" w:rsidRPr="00610B1B">
        <w:rPr>
          <w:rFonts w:ascii="Times New Roman" w:eastAsia="Times New Roman" w:hAnsi="Times New Roman" w:cs="Times New Roman"/>
          <w:sz w:val="24"/>
          <w:szCs w:val="24"/>
          <w:lang w:val="bg-BG"/>
        </w:rPr>
        <w:t>терени</w:t>
      </w:r>
      <w:r w:rsidR="00194619" w:rsidRPr="00610B1B">
        <w:rPr>
          <w:rFonts w:ascii="Times New Roman" w:eastAsia="Times New Roman" w:hAnsi="Times New Roman" w:cs="Times New Roman"/>
          <w:sz w:val="24"/>
          <w:szCs w:val="24"/>
          <w:lang w:val="bg-BG"/>
        </w:rPr>
        <w:t>,</w:t>
      </w:r>
      <w:r w:rsidR="00442579" w:rsidRPr="00610B1B">
        <w:rPr>
          <w:rFonts w:ascii="Times New Roman" w:eastAsia="Times New Roman" w:hAnsi="Times New Roman" w:cs="Times New Roman"/>
          <w:sz w:val="24"/>
          <w:szCs w:val="24"/>
          <w:lang w:val="bg-BG"/>
        </w:rPr>
        <w:t xml:space="preserve"> собственост </w:t>
      </w:r>
      <w:r w:rsidRPr="00610B1B">
        <w:rPr>
          <w:rFonts w:ascii="Times New Roman" w:eastAsia="Times New Roman" w:hAnsi="Times New Roman" w:cs="Times New Roman"/>
          <w:sz w:val="24"/>
          <w:szCs w:val="24"/>
          <w:lang w:val="bg-BG"/>
        </w:rPr>
        <w:t>на</w:t>
      </w:r>
      <w:r w:rsidR="00442579" w:rsidRPr="00610B1B">
        <w:rPr>
          <w:rFonts w:ascii="Times New Roman" w:eastAsia="Times New Roman" w:hAnsi="Times New Roman" w:cs="Times New Roman"/>
          <w:sz w:val="24"/>
          <w:szCs w:val="24"/>
          <w:lang w:val="bg-BG"/>
        </w:rPr>
        <w:t xml:space="preserve"> Министерство на отбраната и на Министерство на вътрешните работи, разположени непосредствено на или в близост до бреговата </w:t>
      </w:r>
      <w:r w:rsidR="00B35A5F" w:rsidRPr="00610B1B">
        <w:rPr>
          <w:rFonts w:ascii="Times New Roman" w:eastAsia="Times New Roman" w:hAnsi="Times New Roman" w:cs="Times New Roman"/>
          <w:sz w:val="24"/>
          <w:szCs w:val="24"/>
          <w:lang w:val="bg-BG"/>
        </w:rPr>
        <w:t>линия</w:t>
      </w:r>
      <w:r w:rsidR="00442579" w:rsidRPr="00610B1B">
        <w:rPr>
          <w:rFonts w:ascii="Times New Roman" w:eastAsia="Times New Roman" w:hAnsi="Times New Roman" w:cs="Times New Roman"/>
          <w:sz w:val="24"/>
          <w:szCs w:val="24"/>
          <w:lang w:val="bg-BG"/>
        </w:rPr>
        <w:t>, не се допуска извършва</w:t>
      </w:r>
      <w:r w:rsidRPr="00610B1B">
        <w:rPr>
          <w:rFonts w:ascii="Times New Roman" w:eastAsia="Times New Roman" w:hAnsi="Times New Roman" w:cs="Times New Roman"/>
          <w:sz w:val="24"/>
          <w:szCs w:val="24"/>
          <w:lang w:val="bg-BG"/>
        </w:rPr>
        <w:t xml:space="preserve">не на археологически проучвания, </w:t>
      </w:r>
      <w:r w:rsidR="00442579" w:rsidRPr="00610B1B">
        <w:rPr>
          <w:rFonts w:ascii="Times New Roman" w:eastAsia="Times New Roman" w:hAnsi="Times New Roman" w:cs="Times New Roman"/>
          <w:sz w:val="24"/>
          <w:szCs w:val="24"/>
          <w:lang w:val="bg-BG"/>
        </w:rPr>
        <w:t xml:space="preserve">КРР дейности и социализация. Предвид стратегическото положение на България като външна граница и на ЕС и на НАТО, следва да се потърсят компромисни решения, аналогично на </w:t>
      </w:r>
      <w:r w:rsidRPr="00610B1B">
        <w:rPr>
          <w:rFonts w:ascii="Times New Roman" w:eastAsia="Times New Roman" w:hAnsi="Times New Roman" w:cs="Times New Roman"/>
          <w:sz w:val="24"/>
          <w:szCs w:val="24"/>
          <w:lang w:val="bg-BG"/>
        </w:rPr>
        <w:t>тези в</w:t>
      </w:r>
      <w:r w:rsidR="00442579" w:rsidRPr="00610B1B">
        <w:rPr>
          <w:rFonts w:ascii="Times New Roman" w:eastAsia="Times New Roman" w:hAnsi="Times New Roman" w:cs="Times New Roman"/>
          <w:sz w:val="24"/>
          <w:szCs w:val="24"/>
          <w:lang w:val="bg-BG"/>
        </w:rPr>
        <w:t xml:space="preserve"> Гърция и Италия</w:t>
      </w:r>
      <w:r w:rsidR="00B35A5F" w:rsidRPr="00610B1B">
        <w:rPr>
          <w:rFonts w:ascii="Times New Roman" w:eastAsia="Times New Roman" w:hAnsi="Times New Roman" w:cs="Times New Roman"/>
          <w:sz w:val="24"/>
          <w:szCs w:val="24"/>
          <w:lang w:val="bg-BG"/>
        </w:rPr>
        <w:t>,</w:t>
      </w:r>
      <w:r w:rsidR="002F3575" w:rsidRPr="00610B1B">
        <w:rPr>
          <w:rFonts w:ascii="Times New Roman" w:eastAsia="Times New Roman" w:hAnsi="Times New Roman" w:cs="Times New Roman"/>
          <w:sz w:val="24"/>
          <w:szCs w:val="24"/>
          <w:lang w:val="bg-BG"/>
        </w:rPr>
        <w:t xml:space="preserve"> с в</w:t>
      </w:r>
      <w:r w:rsidR="00442579" w:rsidRPr="00610B1B">
        <w:rPr>
          <w:rFonts w:ascii="Times New Roman" w:eastAsia="Times New Roman" w:hAnsi="Times New Roman" w:cs="Times New Roman"/>
          <w:sz w:val="24"/>
          <w:szCs w:val="24"/>
          <w:lang w:val="bg-BG"/>
        </w:rPr>
        <w:t>ъзможност за изучаване и експониране на археологическото наслед</w:t>
      </w:r>
      <w:r w:rsidRPr="00610B1B">
        <w:rPr>
          <w:rFonts w:ascii="Times New Roman" w:eastAsia="Times New Roman" w:hAnsi="Times New Roman" w:cs="Times New Roman"/>
          <w:sz w:val="24"/>
          <w:szCs w:val="24"/>
          <w:lang w:val="bg-BG"/>
        </w:rPr>
        <w:t>ство в зони със специален режим.</w:t>
      </w:r>
    </w:p>
    <w:p w14:paraId="4B26B886" w14:textId="47089E19" w:rsidR="00731C0F" w:rsidRPr="00610B1B" w:rsidRDefault="00731C0F" w:rsidP="00D32D6A">
      <w:pPr>
        <w:shd w:val="clear" w:color="auto" w:fill="FFFFFF"/>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Проблемите по опазването основно са резултат от възприемането на културните ценности като препятствие за бъдещо развитие; </w:t>
      </w:r>
      <w:r w:rsidR="00461059" w:rsidRPr="00610B1B">
        <w:rPr>
          <w:rFonts w:ascii="Times New Roman" w:hAnsi="Times New Roman" w:cs="Times New Roman"/>
          <w:sz w:val="24"/>
          <w:szCs w:val="24"/>
          <w:lang w:val="bg-BG"/>
        </w:rPr>
        <w:t xml:space="preserve">затруднените </w:t>
      </w:r>
      <w:r w:rsidRPr="00610B1B">
        <w:rPr>
          <w:rFonts w:ascii="Times New Roman" w:hAnsi="Times New Roman" w:cs="Times New Roman"/>
          <w:sz w:val="24"/>
          <w:szCs w:val="24"/>
          <w:lang w:val="bg-BG"/>
        </w:rPr>
        <w:t xml:space="preserve">действия за опазването им в частни имоти и в територии със специален режим; фрагментарните мерки и действия, често изразяващи се единствено чрез аварийна консервация; липсата на реализирани ПОУ за основна част от обектите. Привлекателността на крайморските територии, включително такива с НКЦ, изострят конфликтите между засиления инвеститорски интерес и опазването. </w:t>
      </w:r>
    </w:p>
    <w:p w14:paraId="3C75F1FF" w14:textId="41B8FD8D" w:rsidR="00442579" w:rsidRPr="00610B1B" w:rsidRDefault="008629C3"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Проблемите при социализацията са резултат от липсата на взаимодействие </w:t>
      </w:r>
      <w:r w:rsidR="00442579" w:rsidRPr="00610B1B">
        <w:rPr>
          <w:rFonts w:ascii="Times New Roman" w:eastAsia="Times New Roman" w:hAnsi="Times New Roman" w:cs="Times New Roman"/>
          <w:sz w:val="24"/>
          <w:szCs w:val="24"/>
          <w:lang w:val="bg-BG"/>
        </w:rPr>
        <w:t>между действащите културни, образователни и научни политики, на общинско, областно и регионално ниво</w:t>
      </w:r>
      <w:r w:rsidRPr="00610B1B">
        <w:rPr>
          <w:rFonts w:ascii="Times New Roman" w:eastAsia="Times New Roman" w:hAnsi="Times New Roman" w:cs="Times New Roman"/>
          <w:sz w:val="24"/>
          <w:szCs w:val="24"/>
          <w:lang w:val="bg-BG"/>
        </w:rPr>
        <w:t xml:space="preserve"> и недобрата координация между институциите, които в морското пространствено планиране са повече и с по-усложнени </w:t>
      </w:r>
      <w:r w:rsidR="00BB78A1" w:rsidRPr="00610B1B">
        <w:rPr>
          <w:rFonts w:ascii="Times New Roman" w:eastAsia="Times New Roman" w:hAnsi="Times New Roman" w:cs="Times New Roman"/>
          <w:sz w:val="24"/>
          <w:szCs w:val="24"/>
          <w:lang w:val="bg-BG"/>
        </w:rPr>
        <w:t>взаимоотношения</w:t>
      </w:r>
      <w:r w:rsidRPr="00610B1B">
        <w:rPr>
          <w:rFonts w:ascii="Times New Roman" w:eastAsia="Times New Roman" w:hAnsi="Times New Roman" w:cs="Times New Roman"/>
          <w:sz w:val="24"/>
          <w:szCs w:val="24"/>
          <w:lang w:val="bg-BG"/>
        </w:rPr>
        <w:t xml:space="preserve">. </w:t>
      </w:r>
      <w:r w:rsidR="00442579" w:rsidRPr="00610B1B">
        <w:rPr>
          <w:rFonts w:ascii="Times New Roman" w:eastAsia="Times New Roman" w:hAnsi="Times New Roman" w:cs="Times New Roman"/>
          <w:sz w:val="24"/>
          <w:szCs w:val="24"/>
          <w:lang w:val="bg-BG"/>
        </w:rPr>
        <w:t>Не с</w:t>
      </w:r>
      <w:r w:rsidRPr="00610B1B">
        <w:rPr>
          <w:rFonts w:ascii="Times New Roman" w:eastAsia="Times New Roman" w:hAnsi="Times New Roman" w:cs="Times New Roman"/>
          <w:sz w:val="24"/>
          <w:szCs w:val="24"/>
          <w:lang w:val="bg-BG"/>
        </w:rPr>
        <w:t>а</w:t>
      </w:r>
      <w:r w:rsidR="00442579" w:rsidRPr="00610B1B">
        <w:rPr>
          <w:rFonts w:ascii="Times New Roman" w:eastAsia="Times New Roman" w:hAnsi="Times New Roman" w:cs="Times New Roman"/>
          <w:sz w:val="24"/>
          <w:szCs w:val="24"/>
          <w:lang w:val="bg-BG"/>
        </w:rPr>
        <w:t xml:space="preserve"> използва</w:t>
      </w:r>
      <w:r w:rsidRPr="00610B1B">
        <w:rPr>
          <w:rFonts w:ascii="Times New Roman" w:eastAsia="Times New Roman" w:hAnsi="Times New Roman" w:cs="Times New Roman"/>
          <w:sz w:val="24"/>
          <w:szCs w:val="24"/>
          <w:lang w:val="bg-BG"/>
        </w:rPr>
        <w:t xml:space="preserve">ни достатъчно </w:t>
      </w:r>
      <w:r w:rsidR="00442579" w:rsidRPr="00610B1B">
        <w:rPr>
          <w:rFonts w:ascii="Times New Roman" w:eastAsia="Times New Roman" w:hAnsi="Times New Roman" w:cs="Times New Roman"/>
          <w:sz w:val="24"/>
          <w:szCs w:val="24"/>
          <w:lang w:val="bg-BG"/>
        </w:rPr>
        <w:t xml:space="preserve">възможностите на съвременните информационни технологии за социализация </w:t>
      </w:r>
      <w:r w:rsidR="00731C0F" w:rsidRPr="00610B1B">
        <w:rPr>
          <w:rFonts w:ascii="Times New Roman" w:eastAsia="Times New Roman" w:hAnsi="Times New Roman" w:cs="Times New Roman"/>
          <w:sz w:val="24"/>
          <w:szCs w:val="24"/>
          <w:lang w:val="bg-BG"/>
        </w:rPr>
        <w:t>и достъпност до културното</w:t>
      </w:r>
      <w:r w:rsidR="00442579" w:rsidRPr="00610B1B">
        <w:rPr>
          <w:rFonts w:ascii="Times New Roman" w:eastAsia="Times New Roman" w:hAnsi="Times New Roman" w:cs="Times New Roman"/>
          <w:sz w:val="24"/>
          <w:szCs w:val="24"/>
          <w:lang w:val="bg-BG"/>
        </w:rPr>
        <w:t xml:space="preserve"> наследство.</w:t>
      </w:r>
      <w:r w:rsidRPr="00610B1B">
        <w:rPr>
          <w:rFonts w:ascii="Times New Roman" w:eastAsia="Times New Roman" w:hAnsi="Times New Roman" w:cs="Times New Roman"/>
          <w:sz w:val="24"/>
          <w:szCs w:val="24"/>
          <w:lang w:val="bg-BG"/>
        </w:rPr>
        <w:t xml:space="preserve"> Липсата на адекватна за </w:t>
      </w:r>
      <w:r w:rsidR="00442579" w:rsidRPr="00610B1B">
        <w:rPr>
          <w:rFonts w:ascii="Times New Roman" w:eastAsia="Times New Roman" w:hAnsi="Times New Roman" w:cs="Times New Roman"/>
          <w:sz w:val="24"/>
          <w:szCs w:val="24"/>
          <w:lang w:val="bg-BG"/>
        </w:rPr>
        <w:t>ХХI в. информационна система за НКЦ</w:t>
      </w:r>
      <w:r w:rsidRPr="00610B1B">
        <w:rPr>
          <w:rFonts w:ascii="Times New Roman" w:eastAsia="Times New Roman" w:hAnsi="Times New Roman" w:cs="Times New Roman"/>
          <w:sz w:val="24"/>
          <w:szCs w:val="24"/>
          <w:lang w:val="bg-BG"/>
        </w:rPr>
        <w:t xml:space="preserve">, на </w:t>
      </w:r>
      <w:r w:rsidR="00442579" w:rsidRPr="00610B1B">
        <w:rPr>
          <w:rFonts w:ascii="Times New Roman" w:eastAsia="Times New Roman" w:hAnsi="Times New Roman" w:cs="Times New Roman"/>
          <w:sz w:val="24"/>
          <w:szCs w:val="24"/>
          <w:lang w:val="bg-BG"/>
        </w:rPr>
        <w:t>единна регионална политика за информ</w:t>
      </w:r>
      <w:r w:rsidRPr="00610B1B">
        <w:rPr>
          <w:rFonts w:ascii="Times New Roman" w:eastAsia="Times New Roman" w:hAnsi="Times New Roman" w:cs="Times New Roman"/>
          <w:sz w:val="24"/>
          <w:szCs w:val="24"/>
          <w:lang w:val="bg-BG"/>
        </w:rPr>
        <w:t>ационна обвързаност на обектите и на модерна</w:t>
      </w:r>
      <w:r w:rsidR="00442579" w:rsidRPr="00610B1B">
        <w:rPr>
          <w:rFonts w:ascii="Times New Roman" w:eastAsia="Times New Roman" w:hAnsi="Times New Roman" w:cs="Times New Roman"/>
          <w:sz w:val="24"/>
          <w:szCs w:val="24"/>
          <w:lang w:val="bg-BG"/>
        </w:rPr>
        <w:t xml:space="preserve"> музейна инфраструктура</w:t>
      </w:r>
      <w:r w:rsidRPr="00610B1B">
        <w:rPr>
          <w:rFonts w:ascii="Times New Roman" w:eastAsia="Times New Roman" w:hAnsi="Times New Roman" w:cs="Times New Roman"/>
          <w:sz w:val="24"/>
          <w:szCs w:val="24"/>
          <w:lang w:val="bg-BG"/>
        </w:rPr>
        <w:t xml:space="preserve"> </w:t>
      </w:r>
      <w:r w:rsidR="00194619" w:rsidRPr="00610B1B">
        <w:rPr>
          <w:rFonts w:ascii="Times New Roman" w:eastAsia="Times New Roman" w:hAnsi="Times New Roman" w:cs="Times New Roman"/>
          <w:sz w:val="24"/>
          <w:szCs w:val="24"/>
          <w:lang w:val="bg-BG"/>
        </w:rPr>
        <w:t>създават</w:t>
      </w:r>
      <w:r w:rsidRPr="00610B1B">
        <w:rPr>
          <w:rFonts w:ascii="Times New Roman" w:eastAsia="Times New Roman" w:hAnsi="Times New Roman" w:cs="Times New Roman"/>
          <w:sz w:val="24"/>
          <w:szCs w:val="24"/>
          <w:lang w:val="bg-BG"/>
        </w:rPr>
        <w:t xml:space="preserve"> </w:t>
      </w:r>
      <w:r w:rsidR="00194619" w:rsidRPr="00610B1B">
        <w:rPr>
          <w:rFonts w:ascii="Times New Roman" w:eastAsia="Times New Roman" w:hAnsi="Times New Roman" w:cs="Times New Roman"/>
          <w:sz w:val="24"/>
          <w:szCs w:val="24"/>
          <w:lang w:val="bg-BG"/>
        </w:rPr>
        <w:t xml:space="preserve">допълнителни </w:t>
      </w:r>
      <w:r w:rsidRPr="00610B1B">
        <w:rPr>
          <w:rFonts w:ascii="Times New Roman" w:eastAsia="Times New Roman" w:hAnsi="Times New Roman" w:cs="Times New Roman"/>
          <w:sz w:val="24"/>
          <w:szCs w:val="24"/>
          <w:lang w:val="bg-BG"/>
        </w:rPr>
        <w:t>проблеми</w:t>
      </w:r>
      <w:r w:rsidR="00194619"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w:t>
      </w:r>
    </w:p>
    <w:p w14:paraId="45E65574" w14:textId="7BB07682" w:rsidR="00FD7CFF" w:rsidRPr="00610B1B" w:rsidRDefault="008629C3"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lastRenderedPageBreak/>
        <w:t xml:space="preserve">Проблемите при обектите под вода са специфични, една част от които произлизат от недостатъчната проученост на подводното културно наследство. </w:t>
      </w:r>
      <w:r w:rsidR="00442579" w:rsidRPr="00610B1B">
        <w:rPr>
          <w:rFonts w:ascii="Times New Roman" w:eastAsia="Times New Roman" w:hAnsi="Times New Roman" w:cs="Times New Roman"/>
          <w:sz w:val="24"/>
          <w:szCs w:val="24"/>
          <w:lang w:val="bg-BG"/>
        </w:rPr>
        <w:t>Дори най-съвременните методи на изследване не гарантират, че в изследваните зони са идентифицирани всички обекти. Много от тях, дори такива в много добро физическо състояние, остават напълно скрити в наноси под дъното. Идентифицираните обекти на подводното КН се нуждаят от цялостно проучване</w:t>
      </w:r>
      <w:r w:rsidR="00FD7CFF" w:rsidRPr="00610B1B">
        <w:rPr>
          <w:rFonts w:ascii="Times New Roman" w:eastAsia="Times New Roman" w:hAnsi="Times New Roman" w:cs="Times New Roman"/>
          <w:sz w:val="24"/>
          <w:szCs w:val="24"/>
          <w:lang w:val="bg-BG"/>
        </w:rPr>
        <w:t xml:space="preserve">, но систематичното изследване и картиране се нуждае от много финансови, човешки и технологични ресурси. </w:t>
      </w:r>
    </w:p>
    <w:p w14:paraId="10BE59E6" w14:textId="470E01AC" w:rsidR="00FD7CFF" w:rsidRPr="00610B1B" w:rsidRDefault="00442579"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Поради това, че изследваната част </w:t>
      </w:r>
      <w:r w:rsidR="00194619" w:rsidRPr="00610B1B">
        <w:rPr>
          <w:rFonts w:ascii="Times New Roman" w:eastAsia="Times New Roman" w:hAnsi="Times New Roman" w:cs="Times New Roman"/>
          <w:sz w:val="24"/>
          <w:szCs w:val="24"/>
          <w:lang w:val="bg-BG"/>
        </w:rPr>
        <w:t>в обхвата</w:t>
      </w:r>
      <w:r w:rsidRPr="00610B1B">
        <w:rPr>
          <w:rFonts w:ascii="Times New Roman" w:eastAsia="Times New Roman" w:hAnsi="Times New Roman" w:cs="Times New Roman"/>
          <w:sz w:val="24"/>
          <w:szCs w:val="24"/>
          <w:lang w:val="bg-BG"/>
        </w:rPr>
        <w:t xml:space="preserve"> на МППРБ е много малка, множество обекти КН са неизвестни и за тяхното опазване не могат да се предприемат адекватни мерки. Обектите на подводното КН често се възприемат като препятствие за осъществяване на стопанска дейност</w:t>
      </w:r>
      <w:r w:rsidR="00FD7CFF" w:rsidRPr="00610B1B">
        <w:rPr>
          <w:rFonts w:ascii="Times New Roman" w:eastAsia="Times New Roman" w:hAnsi="Times New Roman" w:cs="Times New Roman"/>
          <w:sz w:val="24"/>
          <w:szCs w:val="24"/>
          <w:lang w:val="bg-BG"/>
        </w:rPr>
        <w:t xml:space="preserve"> и п</w:t>
      </w:r>
      <w:r w:rsidRPr="00610B1B">
        <w:rPr>
          <w:rFonts w:ascii="Times New Roman" w:eastAsia="Times New Roman" w:hAnsi="Times New Roman" w:cs="Times New Roman"/>
          <w:sz w:val="24"/>
          <w:szCs w:val="24"/>
          <w:lang w:val="bg-BG"/>
        </w:rPr>
        <w:t>оради това</w:t>
      </w:r>
      <w:r w:rsidR="00FD7CFF"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при липса на законодателни мерки, подводното КН се разрушава. Развитието на технологиите за морски изследвания прави достъпни за все по-широк кръг лица множество обекти, които само преди 10 години </w:t>
      </w:r>
      <w:r w:rsidR="00194619" w:rsidRPr="00610B1B">
        <w:rPr>
          <w:rFonts w:ascii="Times New Roman" w:eastAsia="Times New Roman" w:hAnsi="Times New Roman" w:cs="Times New Roman"/>
          <w:sz w:val="24"/>
          <w:szCs w:val="24"/>
          <w:lang w:val="bg-BG"/>
        </w:rPr>
        <w:t xml:space="preserve">се считаха </w:t>
      </w:r>
      <w:r w:rsidRPr="00610B1B">
        <w:rPr>
          <w:rFonts w:ascii="Times New Roman" w:eastAsia="Times New Roman" w:hAnsi="Times New Roman" w:cs="Times New Roman"/>
          <w:sz w:val="24"/>
          <w:szCs w:val="24"/>
          <w:lang w:val="bg-BG"/>
        </w:rPr>
        <w:t xml:space="preserve">за опазени от своята недостъпност. В най-близка перспектива това засилва опасността от разграбване и унищожаване на обекти на подводното КН. Няма общ световен консенсус за нуждата от опазване на подводното </w:t>
      </w:r>
      <w:r w:rsidR="00FD7CFF" w:rsidRPr="00610B1B">
        <w:rPr>
          <w:rFonts w:ascii="Times New Roman" w:eastAsia="Times New Roman" w:hAnsi="Times New Roman" w:cs="Times New Roman"/>
          <w:sz w:val="24"/>
          <w:szCs w:val="24"/>
          <w:lang w:val="bg-BG"/>
        </w:rPr>
        <w:t>културно наследство</w:t>
      </w:r>
      <w:r w:rsidRPr="00610B1B">
        <w:rPr>
          <w:rFonts w:ascii="Times New Roman" w:eastAsia="Times New Roman" w:hAnsi="Times New Roman" w:cs="Times New Roman"/>
          <w:sz w:val="24"/>
          <w:szCs w:val="24"/>
          <w:lang w:val="bg-BG"/>
        </w:rPr>
        <w:t xml:space="preserve">. </w:t>
      </w:r>
    </w:p>
    <w:p w14:paraId="5C0FE52C" w14:textId="6E8C584D" w:rsidR="00442579" w:rsidRPr="00610B1B" w:rsidRDefault="00442579"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Социализацията на подводното </w:t>
      </w:r>
      <w:r w:rsidR="00FD7CFF" w:rsidRPr="00610B1B">
        <w:rPr>
          <w:rFonts w:ascii="Times New Roman" w:eastAsia="Times New Roman" w:hAnsi="Times New Roman" w:cs="Times New Roman"/>
          <w:sz w:val="24"/>
          <w:szCs w:val="24"/>
          <w:lang w:val="bg-BG"/>
        </w:rPr>
        <w:t>културно наследство</w:t>
      </w:r>
      <w:r w:rsidRPr="00610B1B">
        <w:rPr>
          <w:rFonts w:ascii="Times New Roman" w:eastAsia="Times New Roman" w:hAnsi="Times New Roman" w:cs="Times New Roman"/>
          <w:sz w:val="24"/>
          <w:szCs w:val="24"/>
          <w:lang w:val="bg-BG"/>
        </w:rPr>
        <w:t xml:space="preserve">, която би могла да </w:t>
      </w:r>
      <w:r w:rsidR="00FD7CFF" w:rsidRPr="00610B1B">
        <w:rPr>
          <w:rFonts w:ascii="Times New Roman" w:eastAsia="Times New Roman" w:hAnsi="Times New Roman" w:cs="Times New Roman"/>
          <w:sz w:val="24"/>
          <w:szCs w:val="24"/>
          <w:lang w:val="bg-BG"/>
        </w:rPr>
        <w:t>е</w:t>
      </w:r>
      <w:r w:rsidRPr="00610B1B">
        <w:rPr>
          <w:rFonts w:ascii="Times New Roman" w:eastAsia="Times New Roman" w:hAnsi="Times New Roman" w:cs="Times New Roman"/>
          <w:sz w:val="24"/>
          <w:szCs w:val="24"/>
          <w:lang w:val="bg-BG"/>
        </w:rPr>
        <w:t xml:space="preserve"> силен фактор за неговото опазване, е много по-трудна от тази на сухоземното </w:t>
      </w:r>
      <w:r w:rsidR="00FD7CFF" w:rsidRPr="00610B1B">
        <w:rPr>
          <w:rFonts w:ascii="Times New Roman" w:eastAsia="Times New Roman" w:hAnsi="Times New Roman" w:cs="Times New Roman"/>
          <w:sz w:val="24"/>
          <w:szCs w:val="24"/>
          <w:lang w:val="bg-BG"/>
        </w:rPr>
        <w:t>културно наследство</w:t>
      </w:r>
      <w:r w:rsidRPr="00610B1B">
        <w:rPr>
          <w:rFonts w:ascii="Times New Roman" w:eastAsia="Times New Roman" w:hAnsi="Times New Roman" w:cs="Times New Roman"/>
          <w:sz w:val="24"/>
          <w:szCs w:val="24"/>
          <w:lang w:val="bg-BG"/>
        </w:rPr>
        <w:t xml:space="preserve">. Независимо от избрания подход (пряко посещение, специализирани музейни сбирки и експозиции, прилагане на дигитални технологии), </w:t>
      </w:r>
      <w:r w:rsidR="00194619"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довеждането</w:t>
      </w:r>
      <w:r w:rsidR="00194619"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на обществото до подводното </w:t>
      </w:r>
      <w:r w:rsidR="00FD7CFF" w:rsidRPr="00610B1B">
        <w:rPr>
          <w:rFonts w:ascii="Times New Roman" w:eastAsia="Times New Roman" w:hAnsi="Times New Roman" w:cs="Times New Roman"/>
          <w:sz w:val="24"/>
          <w:szCs w:val="24"/>
          <w:lang w:val="bg-BG"/>
        </w:rPr>
        <w:t>културно наследство</w:t>
      </w:r>
      <w:r w:rsidRPr="00610B1B">
        <w:rPr>
          <w:rFonts w:ascii="Times New Roman" w:eastAsia="Times New Roman" w:hAnsi="Times New Roman" w:cs="Times New Roman"/>
          <w:sz w:val="24"/>
          <w:szCs w:val="24"/>
          <w:lang w:val="bg-BG"/>
        </w:rPr>
        <w:t xml:space="preserve"> остава сложна </w:t>
      </w:r>
      <w:r w:rsidR="00194619" w:rsidRPr="00610B1B">
        <w:rPr>
          <w:rFonts w:ascii="Times New Roman" w:eastAsia="Times New Roman" w:hAnsi="Times New Roman" w:cs="Times New Roman"/>
          <w:sz w:val="24"/>
          <w:szCs w:val="24"/>
          <w:lang w:val="bg-BG"/>
        </w:rPr>
        <w:t xml:space="preserve">и деликатна </w:t>
      </w:r>
      <w:r w:rsidRPr="00610B1B">
        <w:rPr>
          <w:rFonts w:ascii="Times New Roman" w:eastAsia="Times New Roman" w:hAnsi="Times New Roman" w:cs="Times New Roman"/>
          <w:sz w:val="24"/>
          <w:szCs w:val="24"/>
          <w:lang w:val="bg-BG"/>
        </w:rPr>
        <w:t>техническа задача.</w:t>
      </w:r>
      <w:r w:rsidR="00FD7CFF"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Социализирането на подводното КН може да се окаже разрушително за него поради иманярство, пряко въздействие или разрушаване на </w:t>
      </w:r>
      <w:r w:rsidR="00FD7CFF" w:rsidRPr="00610B1B">
        <w:rPr>
          <w:rFonts w:ascii="Times New Roman" w:eastAsia="Times New Roman" w:hAnsi="Times New Roman" w:cs="Times New Roman"/>
          <w:sz w:val="24"/>
          <w:szCs w:val="24"/>
          <w:lang w:val="bg-BG"/>
        </w:rPr>
        <w:t xml:space="preserve">подводната среда. </w:t>
      </w:r>
      <w:r w:rsidRPr="00610B1B">
        <w:rPr>
          <w:rFonts w:ascii="Times New Roman" w:eastAsia="Times New Roman" w:hAnsi="Times New Roman" w:cs="Times New Roman"/>
          <w:sz w:val="24"/>
          <w:szCs w:val="24"/>
          <w:lang w:val="bg-BG"/>
        </w:rPr>
        <w:t xml:space="preserve">В България са реализирани няколко опита за социализация и представяне на подводното </w:t>
      </w:r>
      <w:r w:rsidR="00FD7CFF" w:rsidRPr="00610B1B">
        <w:rPr>
          <w:rFonts w:ascii="Times New Roman" w:eastAsia="Times New Roman" w:hAnsi="Times New Roman" w:cs="Times New Roman"/>
          <w:sz w:val="24"/>
          <w:szCs w:val="24"/>
          <w:lang w:val="bg-BG"/>
        </w:rPr>
        <w:t>културно наследство в традиционна музейна среда, но с</w:t>
      </w:r>
      <w:r w:rsidRPr="00610B1B">
        <w:rPr>
          <w:rFonts w:ascii="Times New Roman" w:eastAsia="Times New Roman" w:hAnsi="Times New Roman" w:cs="Times New Roman"/>
          <w:sz w:val="24"/>
          <w:szCs w:val="24"/>
          <w:lang w:val="bg-BG"/>
        </w:rPr>
        <w:t>ъществуващата инфраструктура не е съобразена с</w:t>
      </w:r>
      <w:r w:rsidR="00FD7CFF" w:rsidRPr="00610B1B">
        <w:rPr>
          <w:rFonts w:ascii="Times New Roman" w:eastAsia="Times New Roman" w:hAnsi="Times New Roman" w:cs="Times New Roman"/>
          <w:sz w:val="24"/>
          <w:szCs w:val="24"/>
          <w:lang w:val="bg-BG"/>
        </w:rPr>
        <w:t xml:space="preserve">ъс спецификата му. </w:t>
      </w:r>
    </w:p>
    <w:p w14:paraId="232DC6AC" w14:textId="3C0A670F" w:rsidR="00E62919" w:rsidRPr="00610B1B" w:rsidRDefault="00FD7CFF"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Последната група проблеми е свързана с териториите в риск, като например бързите сеизмични съвременни движения в </w:t>
      </w:r>
      <w:r w:rsidR="00442579" w:rsidRPr="00610B1B">
        <w:rPr>
          <w:rFonts w:ascii="Times New Roman" w:eastAsia="Times New Roman" w:hAnsi="Times New Roman" w:cs="Times New Roman"/>
          <w:sz w:val="24"/>
          <w:szCs w:val="24"/>
          <w:lang w:val="bg-BG"/>
        </w:rPr>
        <w:t>приморската част на Добруджанското плато</w:t>
      </w:r>
      <w:r w:rsidRPr="00610B1B">
        <w:rPr>
          <w:rFonts w:ascii="Times New Roman" w:eastAsia="Times New Roman" w:hAnsi="Times New Roman" w:cs="Times New Roman"/>
          <w:sz w:val="24"/>
          <w:szCs w:val="24"/>
          <w:lang w:val="bg-BG"/>
        </w:rPr>
        <w:t xml:space="preserve">. </w:t>
      </w:r>
      <w:r w:rsidR="00442579" w:rsidRPr="00610B1B">
        <w:rPr>
          <w:rFonts w:ascii="Times New Roman" w:eastAsia="Times New Roman" w:hAnsi="Times New Roman" w:cs="Times New Roman"/>
          <w:sz w:val="24"/>
          <w:szCs w:val="24"/>
          <w:lang w:val="bg-BG"/>
        </w:rPr>
        <w:t>В района на Калиакра и Шабла те се проявяват с интензитет IX степен и сеизмичен коефициент 0,27. В този район е имало няколко разрушителни земетресения</w:t>
      </w:r>
      <w:r w:rsidR="00194619" w:rsidRPr="00610B1B">
        <w:rPr>
          <w:rFonts w:ascii="Times New Roman" w:eastAsia="Times New Roman" w:hAnsi="Times New Roman" w:cs="Times New Roman"/>
          <w:sz w:val="24"/>
          <w:szCs w:val="24"/>
          <w:lang w:val="bg-BG"/>
        </w:rPr>
        <w:t xml:space="preserve">, които </w:t>
      </w:r>
      <w:r w:rsidR="00442579" w:rsidRPr="00610B1B">
        <w:rPr>
          <w:rFonts w:ascii="Times New Roman" w:eastAsia="Times New Roman" w:hAnsi="Times New Roman" w:cs="Times New Roman"/>
          <w:sz w:val="24"/>
          <w:szCs w:val="24"/>
          <w:lang w:val="bg-BG"/>
        </w:rPr>
        <w:t>застрашават недвижимите културни ценности в крайбрежната зона северно от Каварна до г</w:t>
      </w:r>
      <w:r w:rsidRPr="00610B1B">
        <w:rPr>
          <w:rFonts w:ascii="Times New Roman" w:eastAsia="Times New Roman" w:hAnsi="Times New Roman" w:cs="Times New Roman"/>
          <w:sz w:val="24"/>
          <w:szCs w:val="24"/>
          <w:lang w:val="bg-BG"/>
        </w:rPr>
        <w:t xml:space="preserve">раницата с Румъния. </w:t>
      </w:r>
      <w:r w:rsidR="00194619" w:rsidRPr="00610B1B">
        <w:rPr>
          <w:rFonts w:ascii="Times New Roman" w:eastAsia="Times New Roman" w:hAnsi="Times New Roman" w:cs="Times New Roman"/>
          <w:sz w:val="24"/>
          <w:szCs w:val="24"/>
          <w:lang w:val="bg-BG"/>
        </w:rPr>
        <w:t xml:space="preserve">Районът </w:t>
      </w:r>
      <w:r w:rsidR="00442579" w:rsidRPr="00610B1B">
        <w:rPr>
          <w:rFonts w:ascii="Times New Roman" w:eastAsia="Times New Roman" w:hAnsi="Times New Roman" w:cs="Times New Roman"/>
          <w:sz w:val="24"/>
          <w:szCs w:val="24"/>
          <w:lang w:val="bg-BG"/>
        </w:rPr>
        <w:t>се характеризира с още един рисков фактор - свлачищата. Характерни образувания на релефа са свлачищните стъпала и срутища, които са типични явления и форми за тази част н</w:t>
      </w:r>
      <w:r w:rsidR="00E62919" w:rsidRPr="00610B1B">
        <w:rPr>
          <w:rFonts w:ascii="Times New Roman" w:eastAsia="Times New Roman" w:hAnsi="Times New Roman" w:cs="Times New Roman"/>
          <w:sz w:val="24"/>
          <w:szCs w:val="24"/>
          <w:lang w:val="bg-BG"/>
        </w:rPr>
        <w:t xml:space="preserve">а черноморското крайбрежие. </w:t>
      </w:r>
    </w:p>
    <w:p w14:paraId="612B86F2" w14:textId="3FF0D6B8" w:rsidR="00442579" w:rsidRPr="00610B1B" w:rsidRDefault="00442579"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Подводното КН е застрашено от реализацията на големи инфраструктурни проекти, които променят средата. Пример за това е промяната на нивата на Варненското и Белославското езеро след прокопаването на Канал 1 и Канала 2 и свързването на езерата с морето. Изграждането на пристанища и отделни крайбрежни съоръжения променя баланса на седиментите в района, което може да се окаже заплаха за самото подводно </w:t>
      </w:r>
      <w:r w:rsidR="00E62919" w:rsidRPr="00610B1B">
        <w:rPr>
          <w:rFonts w:ascii="Times New Roman" w:eastAsia="Times New Roman" w:hAnsi="Times New Roman" w:cs="Times New Roman"/>
          <w:sz w:val="24"/>
          <w:szCs w:val="24"/>
          <w:lang w:val="bg-BG"/>
        </w:rPr>
        <w:t>културно наследство</w:t>
      </w:r>
      <w:r w:rsidRPr="00610B1B">
        <w:rPr>
          <w:rFonts w:ascii="Times New Roman" w:eastAsia="Times New Roman" w:hAnsi="Times New Roman" w:cs="Times New Roman"/>
          <w:sz w:val="24"/>
          <w:szCs w:val="24"/>
          <w:lang w:val="bg-BG"/>
        </w:rPr>
        <w:t xml:space="preserve"> и за изучаване</w:t>
      </w:r>
      <w:r w:rsidR="00E62919" w:rsidRPr="00610B1B">
        <w:rPr>
          <w:rFonts w:ascii="Times New Roman" w:eastAsia="Times New Roman" w:hAnsi="Times New Roman" w:cs="Times New Roman"/>
          <w:sz w:val="24"/>
          <w:szCs w:val="24"/>
          <w:lang w:val="bg-BG"/>
        </w:rPr>
        <w:t>то му</w:t>
      </w:r>
      <w:r w:rsidRPr="00610B1B">
        <w:rPr>
          <w:rFonts w:ascii="Times New Roman" w:eastAsia="Times New Roman" w:hAnsi="Times New Roman" w:cs="Times New Roman"/>
          <w:sz w:val="24"/>
          <w:szCs w:val="24"/>
          <w:lang w:val="bg-BG"/>
        </w:rPr>
        <w:t xml:space="preserve">. Замърсяването на морето с органични и неорганични вещества, навлизането на инвазивни видове също са фактори за разрушаване на средата, в която </w:t>
      </w:r>
      <w:r w:rsidR="00E62919" w:rsidRPr="00610B1B">
        <w:rPr>
          <w:rFonts w:ascii="Times New Roman" w:eastAsia="Times New Roman" w:hAnsi="Times New Roman" w:cs="Times New Roman"/>
          <w:sz w:val="24"/>
          <w:szCs w:val="24"/>
          <w:lang w:val="bg-BG"/>
        </w:rPr>
        <w:t>то</w:t>
      </w:r>
      <w:r w:rsidRPr="00610B1B">
        <w:rPr>
          <w:rFonts w:ascii="Times New Roman" w:eastAsia="Times New Roman" w:hAnsi="Times New Roman" w:cs="Times New Roman"/>
          <w:sz w:val="24"/>
          <w:szCs w:val="24"/>
          <w:lang w:val="bg-BG"/>
        </w:rPr>
        <w:t xml:space="preserve"> се е съхранило досега. </w:t>
      </w:r>
    </w:p>
    <w:p w14:paraId="2FA2A32E" w14:textId="532B5FF2" w:rsidR="00442579" w:rsidRPr="00610B1B" w:rsidRDefault="00E62919" w:rsidP="00D32D6A">
      <w:pPr>
        <w:pStyle w:val="Heading4"/>
        <w:spacing w:before="0" w:line="276" w:lineRule="auto"/>
        <w:ind w:right="-153"/>
        <w:rPr>
          <w:rFonts w:cs="Times New Roman"/>
        </w:rPr>
      </w:pPr>
      <w:r w:rsidRPr="00610B1B">
        <w:rPr>
          <w:rFonts w:cs="Times New Roman"/>
        </w:rPr>
        <w:lastRenderedPageBreak/>
        <w:t xml:space="preserve">3.7.2.6. Музейна мрежа </w:t>
      </w:r>
    </w:p>
    <w:p w14:paraId="671FE153" w14:textId="477C9863" w:rsidR="00442579" w:rsidRPr="00610B1B" w:rsidRDefault="00442579" w:rsidP="00D32D6A">
      <w:pPr>
        <w:shd w:val="clear" w:color="auto" w:fill="FFFFFF"/>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Музеите, съществуващи в обхвата на </w:t>
      </w:r>
      <w:r w:rsidR="00E62919" w:rsidRPr="00610B1B">
        <w:rPr>
          <w:rFonts w:ascii="Times New Roman" w:eastAsia="Times New Roman" w:hAnsi="Times New Roman" w:cs="Times New Roman"/>
          <w:sz w:val="24"/>
          <w:szCs w:val="24"/>
          <w:lang w:val="bg-BG"/>
        </w:rPr>
        <w:t>Морския пространствен план,</w:t>
      </w:r>
      <w:r w:rsidRPr="00610B1B">
        <w:rPr>
          <w:rFonts w:ascii="Times New Roman" w:eastAsia="Times New Roman" w:hAnsi="Times New Roman" w:cs="Times New Roman"/>
          <w:sz w:val="24"/>
          <w:szCs w:val="24"/>
          <w:lang w:val="bg-BG"/>
        </w:rPr>
        <w:t xml:space="preserve"> са класифицирани съобразно чл. 26, ал.</w:t>
      </w:r>
      <w:r w:rsidR="00E62919"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2 от ЗКН, според техния териториален обхват на дейност</w:t>
      </w:r>
      <w:r w:rsidR="00E62919"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 национални, регионални и местни музеи.</w:t>
      </w:r>
      <w:r w:rsidR="00E62919"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Общо </w:t>
      </w:r>
      <w:r w:rsidR="00EF0966" w:rsidRPr="00610B1B">
        <w:rPr>
          <w:rFonts w:ascii="Times New Roman" w:eastAsia="Times New Roman" w:hAnsi="Times New Roman" w:cs="Times New Roman"/>
          <w:sz w:val="24"/>
          <w:szCs w:val="24"/>
          <w:lang w:val="bg-BG"/>
        </w:rPr>
        <w:t>в</w:t>
      </w:r>
      <w:r w:rsidRPr="00610B1B">
        <w:rPr>
          <w:rFonts w:ascii="Times New Roman" w:eastAsia="Times New Roman" w:hAnsi="Times New Roman" w:cs="Times New Roman"/>
          <w:sz w:val="24"/>
          <w:szCs w:val="24"/>
          <w:lang w:val="bg-BG"/>
        </w:rPr>
        <w:t xml:space="preserve"> </w:t>
      </w:r>
      <w:r w:rsidR="00EF0966" w:rsidRPr="00610B1B">
        <w:rPr>
          <w:rFonts w:ascii="Times New Roman" w:eastAsia="Times New Roman" w:hAnsi="Times New Roman" w:cs="Times New Roman"/>
          <w:sz w:val="24"/>
          <w:szCs w:val="24"/>
          <w:lang w:val="bg-BG"/>
        </w:rPr>
        <w:t>този</w:t>
      </w:r>
      <w:r w:rsidRPr="00610B1B">
        <w:rPr>
          <w:rFonts w:ascii="Times New Roman" w:eastAsia="Times New Roman" w:hAnsi="Times New Roman" w:cs="Times New Roman"/>
          <w:sz w:val="24"/>
          <w:szCs w:val="24"/>
          <w:lang w:val="bg-BG"/>
        </w:rPr>
        <w:t xml:space="preserve"> обхват </w:t>
      </w:r>
      <w:r w:rsidR="00EF0966" w:rsidRPr="00610B1B">
        <w:rPr>
          <w:rFonts w:ascii="Times New Roman" w:eastAsia="Times New Roman" w:hAnsi="Times New Roman" w:cs="Times New Roman"/>
          <w:sz w:val="24"/>
          <w:szCs w:val="24"/>
          <w:lang w:val="bg-BG"/>
        </w:rPr>
        <w:t>попадат 24</w:t>
      </w:r>
      <w:r w:rsidRPr="00610B1B">
        <w:rPr>
          <w:rFonts w:ascii="Times New Roman" w:eastAsia="Times New Roman" w:hAnsi="Times New Roman" w:cs="Times New Roman"/>
          <w:b/>
          <w:sz w:val="24"/>
          <w:szCs w:val="24"/>
          <w:lang w:val="bg-BG"/>
        </w:rPr>
        <w:t xml:space="preserve"> </w:t>
      </w:r>
      <w:r w:rsidRPr="00610B1B">
        <w:rPr>
          <w:rFonts w:ascii="Times New Roman" w:eastAsia="Times New Roman" w:hAnsi="Times New Roman" w:cs="Times New Roman"/>
          <w:sz w:val="24"/>
          <w:szCs w:val="24"/>
          <w:lang w:val="bg-BG"/>
        </w:rPr>
        <w:t>музе</w:t>
      </w:r>
      <w:r w:rsidR="00EF0966" w:rsidRPr="00610B1B">
        <w:rPr>
          <w:rFonts w:ascii="Times New Roman" w:eastAsia="Times New Roman" w:hAnsi="Times New Roman" w:cs="Times New Roman"/>
          <w:sz w:val="24"/>
          <w:szCs w:val="24"/>
          <w:lang w:val="bg-BG"/>
        </w:rPr>
        <w:t>я, 3</w:t>
      </w:r>
      <w:r w:rsidRPr="00610B1B">
        <w:rPr>
          <w:rFonts w:ascii="Times New Roman" w:eastAsia="Times New Roman" w:hAnsi="Times New Roman" w:cs="Times New Roman"/>
          <w:sz w:val="24"/>
          <w:szCs w:val="24"/>
          <w:lang w:val="bg-BG"/>
        </w:rPr>
        <w:t xml:space="preserve"> художествени галерии, </w:t>
      </w:r>
      <w:r w:rsidR="00EF0966" w:rsidRPr="00610B1B">
        <w:rPr>
          <w:rFonts w:ascii="Times New Roman" w:eastAsia="Times New Roman" w:hAnsi="Times New Roman" w:cs="Times New Roman"/>
          <w:sz w:val="24"/>
          <w:szCs w:val="24"/>
          <w:lang w:val="bg-BG"/>
        </w:rPr>
        <w:t xml:space="preserve">4 </w:t>
      </w:r>
      <w:r w:rsidRPr="00610B1B">
        <w:rPr>
          <w:rFonts w:ascii="Times New Roman" w:eastAsia="Times New Roman" w:hAnsi="Times New Roman" w:cs="Times New Roman"/>
          <w:sz w:val="24"/>
          <w:szCs w:val="24"/>
          <w:lang w:val="bg-BG"/>
        </w:rPr>
        <w:t>музейни сбирки</w:t>
      </w:r>
      <w:r w:rsidR="00EF0966" w:rsidRPr="00610B1B">
        <w:rPr>
          <w:rFonts w:ascii="Times New Roman" w:eastAsia="Times New Roman" w:hAnsi="Times New Roman" w:cs="Times New Roman"/>
          <w:sz w:val="24"/>
          <w:szCs w:val="24"/>
          <w:lang w:val="bg-BG"/>
        </w:rPr>
        <w:t xml:space="preserve"> и 1</w:t>
      </w:r>
      <w:r w:rsidRPr="00610B1B">
        <w:rPr>
          <w:rFonts w:ascii="Times New Roman" w:eastAsia="Times New Roman" w:hAnsi="Times New Roman" w:cs="Times New Roman"/>
          <w:sz w:val="24"/>
          <w:szCs w:val="24"/>
          <w:lang w:val="bg-BG"/>
        </w:rPr>
        <w:t xml:space="preserve"> част</w:t>
      </w:r>
      <w:r w:rsidR="00EF0966" w:rsidRPr="00610B1B">
        <w:rPr>
          <w:rFonts w:ascii="Times New Roman" w:eastAsia="Times New Roman" w:hAnsi="Times New Roman" w:cs="Times New Roman"/>
          <w:sz w:val="24"/>
          <w:szCs w:val="24"/>
          <w:lang w:val="bg-BG"/>
        </w:rPr>
        <w:t>е</w:t>
      </w:r>
      <w:r w:rsidRPr="00610B1B">
        <w:rPr>
          <w:rFonts w:ascii="Times New Roman" w:eastAsia="Times New Roman" w:hAnsi="Times New Roman" w:cs="Times New Roman"/>
          <w:sz w:val="24"/>
          <w:szCs w:val="24"/>
          <w:lang w:val="bg-BG"/>
        </w:rPr>
        <w:t>н музе</w:t>
      </w:r>
      <w:r w:rsidR="00EF0966" w:rsidRPr="00610B1B">
        <w:rPr>
          <w:rFonts w:ascii="Times New Roman" w:eastAsia="Times New Roman" w:hAnsi="Times New Roman" w:cs="Times New Roman"/>
          <w:sz w:val="24"/>
          <w:szCs w:val="24"/>
          <w:lang w:val="bg-BG"/>
        </w:rPr>
        <w:t>й</w:t>
      </w:r>
      <w:r w:rsidRPr="00610B1B">
        <w:rPr>
          <w:rFonts w:ascii="Times New Roman" w:eastAsia="Times New Roman" w:hAnsi="Times New Roman" w:cs="Times New Roman"/>
          <w:sz w:val="24"/>
          <w:szCs w:val="24"/>
          <w:lang w:val="bg-BG"/>
        </w:rPr>
        <w:t>.</w:t>
      </w:r>
    </w:p>
    <w:p w14:paraId="6B9E3B18" w14:textId="63B3C512" w:rsidR="00731C0F" w:rsidRPr="00610B1B" w:rsidRDefault="00731C0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Съвременната музейна институция има роля, много по-голяма от тази на медиатор между историческата среда и посетителите. Музеят разпространява знания, образова, информира и комуникира с посетителите. Преосмисля се начинът на представяне на ценностите с активното участие на интернет, чрез платформи и приложения за виртуални разходки. Освен чрез артефакти и експонати, това се осъществява и с помощта на дигиталните технологии, предопределящи разпространението на специфични експозиции, които са в основата на новия тип музей - интерактивния.</w:t>
      </w:r>
    </w:p>
    <w:p w14:paraId="304DEB26" w14:textId="103E6C1A" w:rsidR="00731C0F" w:rsidRPr="00610B1B" w:rsidRDefault="00731C0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Посочените тенденции предполагат и една нова териториална организация на музейните мрежи във връзка със селищните културни ценности, както и интегриране на групи музеи в цялостни комплексни музейни центрове. Търсят се нови форми за преодоляване на ведомственото профилиране на музеите, разширява се кръгът на приятелите на музеите и спонсорите, осигурява се финансиране от помощни дейности. Това би следвало да доведе както до постигане на синергия в съвместното действие на различни профилирани музеи и историческата среда, така и до утвърждаване на музейната институция, като фактор при управление на дейностите за опазване на културно наследство - материално и нематериално, движимо и недвижимо</w:t>
      </w:r>
      <w:r w:rsidR="001403D3" w:rsidRPr="00610B1B">
        <w:rPr>
          <w:rFonts w:ascii="Times New Roman" w:hAnsi="Times New Roman" w:cs="Times New Roman"/>
          <w:sz w:val="24"/>
          <w:szCs w:val="24"/>
          <w:lang w:val="bg-BG"/>
        </w:rPr>
        <w:t>, в акваторията и в прилежащата крайбрежна зона</w:t>
      </w:r>
      <w:r w:rsidRPr="00610B1B">
        <w:rPr>
          <w:rFonts w:ascii="Times New Roman" w:hAnsi="Times New Roman" w:cs="Times New Roman"/>
          <w:sz w:val="24"/>
          <w:szCs w:val="24"/>
          <w:lang w:val="bg-BG"/>
        </w:rPr>
        <w:t xml:space="preserve">. </w:t>
      </w:r>
    </w:p>
    <w:p w14:paraId="6270359C" w14:textId="77777777" w:rsidR="001403D3" w:rsidRPr="00610B1B" w:rsidRDefault="001403D3"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Музейното дело на цялата Черноморска крайбрежна зона на България, попадаща в териториалния обхват на МППРБ, има дълга история. Това допринася за идентифициране на културно-историческия ресурс, за съхраняване и изява на историческата стратификация в нейната автентичност.</w:t>
      </w:r>
    </w:p>
    <w:p w14:paraId="05C584CE" w14:textId="0375E9AF" w:rsidR="001403D3" w:rsidRPr="00610B1B" w:rsidRDefault="001403D3"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Наред с това съществуват проблеми, породени от липсата на съвременни концепции за интегрирани музейни комплекси, базирани на вътрешните връзки между музейните колекции. За голяма част (положителен пример са музеите в Царево и Приморско) от музеите начините на представяне на ценностите не са неадекватни както на стойността на представените артефакти, на съвременните изисквания на посетителите, така и на световните тенденции в тази област. Не са използвани възможностите на обекти с уникална стойност, не само на регионално, но и на световно ниво, като Дуранкулак, Яйлата, Несебър, Беглигташ, Урдовиза и др., които предполагат експониране в симбиоза на ценностите от сушата и тези под вода, чрез реализиране на интерактивни музеи или интерпретационни центрове. </w:t>
      </w:r>
    </w:p>
    <w:p w14:paraId="0584923B" w14:textId="77777777" w:rsidR="001403D3" w:rsidRPr="00610B1B" w:rsidRDefault="001403D3"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Със съществуващите 14 исторически и археологически музея и 1 историческа музейна сбирка в своя обхват, територията се характеризира със сравнително разпокъсана структура на музейната мрежа. Експозициите в голямата част от музеите се дублират. Това е резултат от мисленето „на парче” при развитието на отделните музейни обекти. В повечето от музеите липсват връзки между движимо и недвижимо културно наследство, на отношение към детската публика, към посетителите със специални потребности. </w:t>
      </w:r>
      <w:r w:rsidRPr="00610B1B">
        <w:rPr>
          <w:rFonts w:ascii="Times New Roman" w:hAnsi="Times New Roman" w:cs="Times New Roman"/>
          <w:sz w:val="24"/>
          <w:szCs w:val="24"/>
          <w:lang w:val="bg-BG"/>
        </w:rPr>
        <w:lastRenderedPageBreak/>
        <w:t xml:space="preserve">Дефицитът на стратегическо и системно мислене за опазването на културните ценности и за развитието на музейната мрежа в нейната цялост - в контекста на материалното и нематериално, движимото и недвижимото наследство, и особено на археологическите НКЦ - в националното морско пространство и на прилежащата територия на българското Черноморско крайбрежие, ограничава възможностите за ефективно управление и координация. </w:t>
      </w:r>
    </w:p>
    <w:p w14:paraId="29C451EA" w14:textId="77777777" w:rsidR="009C0D93" w:rsidRPr="00610B1B" w:rsidRDefault="009C0D93" w:rsidP="00F06832">
      <w:pPr>
        <w:spacing w:after="0" w:line="240" w:lineRule="auto"/>
        <w:ind w:right="-153"/>
        <w:jc w:val="both"/>
        <w:rPr>
          <w:rFonts w:ascii="Times New Roman" w:eastAsia="Times New Roman" w:hAnsi="Times New Roman" w:cs="Times New Roman"/>
          <w:b/>
          <w:color w:val="808080"/>
          <w:sz w:val="24"/>
          <w:szCs w:val="24"/>
          <w:lang w:val="bg-BG"/>
        </w:rPr>
      </w:pPr>
    </w:p>
    <w:p w14:paraId="4414BE7A" w14:textId="5C4D486C" w:rsidR="0005362C" w:rsidRPr="00610B1B" w:rsidRDefault="001377DF" w:rsidP="00D32D6A">
      <w:pPr>
        <w:pStyle w:val="Heading2"/>
        <w:spacing w:before="0" w:line="276" w:lineRule="auto"/>
        <w:ind w:right="-153"/>
        <w:rPr>
          <w:rFonts w:cs="Times New Roman"/>
          <w:b w:val="0"/>
          <w:sz w:val="24"/>
          <w:szCs w:val="24"/>
        </w:rPr>
      </w:pPr>
      <w:bookmarkStart w:id="407" w:name="_Toc83391403"/>
      <w:r w:rsidRPr="00610B1B">
        <w:rPr>
          <w:rStyle w:val="Heading2Char"/>
          <w:rFonts w:cs="Times New Roman"/>
          <w:b/>
        </w:rPr>
        <w:t>3.8</w:t>
      </w:r>
      <w:r w:rsidR="00A72142" w:rsidRPr="00610B1B">
        <w:rPr>
          <w:rStyle w:val="Heading2Char"/>
          <w:rFonts w:cs="Times New Roman"/>
          <w:b/>
        </w:rPr>
        <w:t xml:space="preserve">. </w:t>
      </w:r>
      <w:r w:rsidR="00A22DF2" w:rsidRPr="00610B1B">
        <w:rPr>
          <w:rStyle w:val="Heading2Char"/>
          <w:rFonts w:cs="Times New Roman"/>
          <w:b/>
        </w:rPr>
        <w:t>Обобщени изводи за използването на морск</w:t>
      </w:r>
      <w:r w:rsidR="0075098D" w:rsidRPr="00610B1B">
        <w:rPr>
          <w:rStyle w:val="Heading2Char"/>
          <w:rFonts w:cs="Times New Roman"/>
          <w:b/>
        </w:rPr>
        <w:t>ите</w:t>
      </w:r>
      <w:r w:rsidR="00A22DF2" w:rsidRPr="00610B1B">
        <w:rPr>
          <w:rStyle w:val="Heading2Char"/>
          <w:rFonts w:cs="Times New Roman"/>
          <w:b/>
        </w:rPr>
        <w:t xml:space="preserve"> пространств</w:t>
      </w:r>
      <w:r w:rsidR="0075098D" w:rsidRPr="00610B1B">
        <w:rPr>
          <w:rStyle w:val="Heading2Char"/>
          <w:rFonts w:cs="Times New Roman"/>
          <w:b/>
        </w:rPr>
        <w:t>а</w:t>
      </w:r>
      <w:r w:rsidR="00A22DF2" w:rsidRPr="00610B1B">
        <w:rPr>
          <w:rStyle w:val="Heading2Char"/>
          <w:rFonts w:cs="Times New Roman"/>
          <w:b/>
        </w:rPr>
        <w:t xml:space="preserve"> и взаимодействията между морето и крайбреж</w:t>
      </w:r>
      <w:r w:rsidR="006E2B4B" w:rsidRPr="00610B1B">
        <w:rPr>
          <w:rStyle w:val="Heading2Char"/>
          <w:rFonts w:cs="Times New Roman"/>
          <w:b/>
        </w:rPr>
        <w:t>ната зона</w:t>
      </w:r>
      <w:bookmarkEnd w:id="407"/>
      <w:r w:rsidR="00A22DF2" w:rsidRPr="00610B1B">
        <w:rPr>
          <w:rFonts w:cs="Times New Roman"/>
          <w:b w:val="0"/>
          <w:sz w:val="24"/>
          <w:szCs w:val="24"/>
        </w:rPr>
        <w:t xml:space="preserve"> </w:t>
      </w:r>
    </w:p>
    <w:p w14:paraId="57E691DA" w14:textId="7904CE44" w:rsidR="005F0F25" w:rsidRPr="00610B1B" w:rsidRDefault="001377DF" w:rsidP="00D32D6A">
      <w:pPr>
        <w:pStyle w:val="BodyText"/>
        <w:spacing w:before="0" w:after="120" w:line="276" w:lineRule="auto"/>
        <w:ind w:right="-153"/>
        <w:rPr>
          <w:rFonts w:cs="Times New Roman"/>
        </w:rPr>
      </w:pPr>
      <w:r w:rsidRPr="00610B1B">
        <w:rPr>
          <w:rFonts w:cs="Times New Roman"/>
        </w:rPr>
        <w:t>Предложените обо</w:t>
      </w:r>
      <w:r w:rsidR="00BE4E4C" w:rsidRPr="00610B1B">
        <w:rPr>
          <w:rFonts w:cs="Times New Roman"/>
        </w:rPr>
        <w:t>б</w:t>
      </w:r>
      <w:r w:rsidRPr="00610B1B">
        <w:rPr>
          <w:rFonts w:cs="Times New Roman"/>
        </w:rPr>
        <w:t>щени изводи за използването на морск</w:t>
      </w:r>
      <w:r w:rsidR="0075098D" w:rsidRPr="00610B1B">
        <w:rPr>
          <w:rFonts w:cs="Times New Roman"/>
        </w:rPr>
        <w:t>ите</w:t>
      </w:r>
      <w:r w:rsidRPr="00610B1B">
        <w:rPr>
          <w:rFonts w:cs="Times New Roman"/>
        </w:rPr>
        <w:t xml:space="preserve"> пространств</w:t>
      </w:r>
      <w:r w:rsidR="0075098D" w:rsidRPr="00610B1B">
        <w:rPr>
          <w:rFonts w:cs="Times New Roman"/>
        </w:rPr>
        <w:t>а</w:t>
      </w:r>
      <w:r w:rsidRPr="00610B1B">
        <w:rPr>
          <w:rFonts w:cs="Times New Roman"/>
        </w:rPr>
        <w:t xml:space="preserve"> </w:t>
      </w:r>
      <w:r w:rsidR="00EF0966" w:rsidRPr="00610B1B">
        <w:rPr>
          <w:rFonts w:cs="Times New Roman"/>
        </w:rPr>
        <w:t xml:space="preserve">са в основата </w:t>
      </w:r>
      <w:r w:rsidRPr="00610B1B">
        <w:rPr>
          <w:rFonts w:cs="Times New Roman"/>
        </w:rPr>
        <w:t>на стратегическата част на Морския пространствен план на Република България</w:t>
      </w:r>
      <w:r w:rsidR="00362739" w:rsidRPr="00610B1B">
        <w:rPr>
          <w:rFonts w:cs="Times New Roman"/>
        </w:rPr>
        <w:t>. Т</w:t>
      </w:r>
      <w:r w:rsidR="00EF0966" w:rsidRPr="00610B1B">
        <w:rPr>
          <w:rFonts w:cs="Times New Roman"/>
        </w:rPr>
        <w:t>е</w:t>
      </w:r>
      <w:r w:rsidR="00A75841" w:rsidRPr="00610B1B">
        <w:rPr>
          <w:rFonts w:cs="Times New Roman"/>
        </w:rPr>
        <w:t xml:space="preserve"> подпомогнат избора на оптимален сценарий за развитие и формулирането на стратегическите цели за постигане на желаната визия</w:t>
      </w:r>
      <w:r w:rsidRPr="00610B1B">
        <w:rPr>
          <w:rFonts w:cs="Times New Roman"/>
        </w:rPr>
        <w:t xml:space="preserve">. </w:t>
      </w:r>
      <w:r w:rsidR="00A75841" w:rsidRPr="00610B1B">
        <w:rPr>
          <w:rFonts w:cs="Times New Roman"/>
        </w:rPr>
        <w:t>Систематизирани са последователно за изследваните компоненти на морската околна среда и за морските икономически сектори.</w:t>
      </w:r>
    </w:p>
    <w:tbl>
      <w:tblPr>
        <w:tblW w:w="9924" w:type="dxa"/>
        <w:tblInd w:w="-426" w:type="dxa"/>
        <w:tblBorders>
          <w:top w:val="single" w:sz="4" w:space="0" w:color="auto"/>
          <w:bottom w:val="single" w:sz="4" w:space="0" w:color="auto"/>
          <w:insideH w:val="single" w:sz="4" w:space="0" w:color="auto"/>
        </w:tblBorders>
        <w:tblLayout w:type="fixed"/>
        <w:tblCellMar>
          <w:top w:w="55" w:type="dxa"/>
          <w:left w:w="45" w:type="dxa"/>
          <w:bottom w:w="55" w:type="dxa"/>
          <w:right w:w="55" w:type="dxa"/>
        </w:tblCellMar>
        <w:tblLook w:val="0000" w:firstRow="0" w:lastRow="0" w:firstColumn="0" w:lastColumn="0" w:noHBand="0" w:noVBand="0"/>
      </w:tblPr>
      <w:tblGrid>
        <w:gridCol w:w="4962"/>
        <w:gridCol w:w="63"/>
        <w:gridCol w:w="4899"/>
      </w:tblGrid>
      <w:tr w:rsidR="00232311" w:rsidRPr="00610B1B" w14:paraId="2AE8E34C" w14:textId="77777777" w:rsidTr="00AE254B">
        <w:trPr>
          <w:tblHeader/>
        </w:trPr>
        <w:tc>
          <w:tcPr>
            <w:tcW w:w="9924" w:type="dxa"/>
            <w:gridSpan w:val="3"/>
            <w:shd w:val="clear" w:color="auto" w:fill="72DBE0"/>
          </w:tcPr>
          <w:p w14:paraId="5F21B350" w14:textId="77777777" w:rsidR="00232311" w:rsidRPr="00610B1B" w:rsidRDefault="00232311" w:rsidP="00AE254B">
            <w:pPr>
              <w:pStyle w:val="Heading3"/>
              <w:spacing w:before="20" w:after="20"/>
              <w:jc w:val="center"/>
              <w:rPr>
                <w:rFonts w:cs="Times New Roman"/>
                <w:sz w:val="24"/>
                <w:szCs w:val="24"/>
              </w:rPr>
            </w:pPr>
            <w:bookmarkStart w:id="408" w:name="_gjdgxs" w:colFirst="0" w:colLast="0"/>
            <w:bookmarkStart w:id="409" w:name="_Toc83391404"/>
            <w:bookmarkEnd w:id="408"/>
            <w:r w:rsidRPr="00610B1B">
              <w:rPr>
                <w:rFonts w:cs="Times New Roman"/>
                <w:sz w:val="24"/>
                <w:szCs w:val="24"/>
              </w:rPr>
              <w:t>SWOT Анализ</w:t>
            </w:r>
            <w:bookmarkEnd w:id="409"/>
          </w:p>
        </w:tc>
      </w:tr>
      <w:tr w:rsidR="00232311" w:rsidRPr="00610B1B" w14:paraId="08A51A60" w14:textId="77777777" w:rsidTr="00AE254B">
        <w:tc>
          <w:tcPr>
            <w:tcW w:w="9924" w:type="dxa"/>
            <w:gridSpan w:val="3"/>
            <w:shd w:val="clear" w:color="auto" w:fill="92CDDC"/>
          </w:tcPr>
          <w:p w14:paraId="4364AF47" w14:textId="77777777" w:rsidR="00232311" w:rsidRPr="00610B1B" w:rsidRDefault="00232311" w:rsidP="00AE254B">
            <w:pPr>
              <w:pStyle w:val="Heading4"/>
              <w:spacing w:before="20" w:after="20"/>
              <w:jc w:val="center"/>
              <w:rPr>
                <w:rFonts w:cs="Times New Roman"/>
                <w:szCs w:val="24"/>
              </w:rPr>
            </w:pPr>
            <w:bookmarkStart w:id="410" w:name="_38t8wnr3swqy" w:colFirst="0" w:colLast="0"/>
            <w:bookmarkEnd w:id="410"/>
            <w:r w:rsidRPr="00610B1B">
              <w:rPr>
                <w:rFonts w:cs="Times New Roman"/>
                <w:szCs w:val="24"/>
              </w:rPr>
              <w:t>ГЕОЛОГИЯ И ГЕОМОРФОЛОГИЯ</w:t>
            </w:r>
          </w:p>
        </w:tc>
      </w:tr>
      <w:tr w:rsidR="00232311" w:rsidRPr="00610B1B" w14:paraId="70ABD91F" w14:textId="77777777" w:rsidTr="00AE254B">
        <w:tc>
          <w:tcPr>
            <w:tcW w:w="5025" w:type="dxa"/>
            <w:gridSpan w:val="2"/>
            <w:shd w:val="clear" w:color="auto" w:fill="B6DDE8"/>
          </w:tcPr>
          <w:p w14:paraId="40F197B6" w14:textId="77777777" w:rsidR="00232311" w:rsidRPr="00610B1B" w:rsidRDefault="00232311" w:rsidP="00AE254B">
            <w:pPr>
              <w:pStyle w:val="Normal1"/>
              <w:spacing w:before="20" w:after="20"/>
              <w:jc w:val="center"/>
              <w:rPr>
                <w:b/>
                <w:color w:val="000000"/>
                <w:sz w:val="24"/>
                <w:szCs w:val="24"/>
              </w:rPr>
            </w:pPr>
            <w:r w:rsidRPr="00610B1B">
              <w:rPr>
                <w:b/>
                <w:color w:val="000000"/>
                <w:sz w:val="24"/>
                <w:szCs w:val="24"/>
              </w:rPr>
              <w:t>Силни страни</w:t>
            </w:r>
          </w:p>
        </w:tc>
        <w:tc>
          <w:tcPr>
            <w:tcW w:w="4899" w:type="dxa"/>
            <w:shd w:val="clear" w:color="auto" w:fill="B6DDE8"/>
          </w:tcPr>
          <w:p w14:paraId="0F55FBDC" w14:textId="77777777" w:rsidR="00232311" w:rsidRPr="00610B1B" w:rsidRDefault="00232311" w:rsidP="00AE254B">
            <w:pPr>
              <w:pStyle w:val="Normal1"/>
              <w:spacing w:before="20" w:after="20"/>
              <w:jc w:val="center"/>
              <w:rPr>
                <w:b/>
                <w:color w:val="000000"/>
                <w:sz w:val="24"/>
                <w:szCs w:val="24"/>
              </w:rPr>
            </w:pPr>
            <w:r w:rsidRPr="00610B1B">
              <w:rPr>
                <w:b/>
                <w:color w:val="000000"/>
                <w:sz w:val="24"/>
                <w:szCs w:val="24"/>
              </w:rPr>
              <w:t>Слаби страни</w:t>
            </w:r>
          </w:p>
        </w:tc>
      </w:tr>
      <w:tr w:rsidR="00895324" w:rsidRPr="005C2B9F" w14:paraId="5E2BBC04" w14:textId="77777777" w:rsidTr="00AE254B">
        <w:tc>
          <w:tcPr>
            <w:tcW w:w="5025" w:type="dxa"/>
            <w:gridSpan w:val="2"/>
            <w:shd w:val="clear" w:color="auto" w:fill="FFFFFF"/>
          </w:tcPr>
          <w:p w14:paraId="0BB56EEE" w14:textId="12AB27C4" w:rsidR="00895324" w:rsidRPr="00610B1B" w:rsidRDefault="00895324" w:rsidP="00AE254B">
            <w:pPr>
              <w:pStyle w:val="Normal1"/>
              <w:spacing w:before="20" w:after="20"/>
              <w:rPr>
                <w:color w:val="000000"/>
                <w:sz w:val="24"/>
                <w:szCs w:val="24"/>
              </w:rPr>
            </w:pPr>
            <w:r w:rsidRPr="00610B1B">
              <w:rPr>
                <w:color w:val="000000"/>
                <w:sz w:val="24"/>
                <w:szCs w:val="24"/>
              </w:rPr>
              <w:t>Разнообразен и живописен морски бряг, оформен под въздействието на</w:t>
            </w:r>
            <w:r w:rsidR="00D66FE0" w:rsidRPr="00610B1B">
              <w:rPr>
                <w:color w:val="000000"/>
                <w:sz w:val="24"/>
                <w:szCs w:val="24"/>
              </w:rPr>
              <w:t xml:space="preserve"> </w:t>
            </w:r>
            <w:r w:rsidRPr="00610B1B">
              <w:rPr>
                <w:color w:val="000000"/>
                <w:sz w:val="24"/>
                <w:szCs w:val="24"/>
              </w:rPr>
              <w:t>абразионни и акумулационни процеси - обширни пясъчни плажове, пясъчни дюни, клифов бряг, морски тераси, долини, лимани и лагуни, малки полуострови и острови и вдадени в морето носове.</w:t>
            </w:r>
          </w:p>
        </w:tc>
        <w:tc>
          <w:tcPr>
            <w:tcW w:w="4899" w:type="dxa"/>
            <w:shd w:val="clear" w:color="auto" w:fill="FFFFFF"/>
          </w:tcPr>
          <w:p w14:paraId="4A6D4CE5" w14:textId="4F5D41F5" w:rsidR="00895324" w:rsidRPr="00610B1B" w:rsidRDefault="00895324" w:rsidP="00AE254B">
            <w:pPr>
              <w:pStyle w:val="Normal1"/>
              <w:spacing w:before="20" w:after="20"/>
              <w:rPr>
                <w:color w:val="000000"/>
                <w:sz w:val="24"/>
                <w:szCs w:val="24"/>
              </w:rPr>
            </w:pPr>
            <w:r w:rsidRPr="00610B1B">
              <w:rPr>
                <w:color w:val="000000"/>
                <w:sz w:val="24"/>
                <w:szCs w:val="24"/>
              </w:rPr>
              <w:t>Обширни области на интензивна абразия с клифов бряг, усложнени на много места от свлачищни процеси</w:t>
            </w:r>
            <w:r w:rsidR="00D86B15" w:rsidRPr="00610B1B">
              <w:rPr>
                <w:color w:val="000000"/>
                <w:sz w:val="24"/>
                <w:szCs w:val="24"/>
              </w:rPr>
              <w:t>.</w:t>
            </w:r>
          </w:p>
        </w:tc>
      </w:tr>
      <w:tr w:rsidR="00895324" w:rsidRPr="005C2B9F" w14:paraId="674C50F3" w14:textId="77777777" w:rsidTr="00AE254B">
        <w:tc>
          <w:tcPr>
            <w:tcW w:w="5025" w:type="dxa"/>
            <w:gridSpan w:val="2"/>
            <w:shd w:val="clear" w:color="auto" w:fill="FFFFFF"/>
          </w:tcPr>
          <w:p w14:paraId="4ED8C297" w14:textId="2D4BED2B" w:rsidR="00895324" w:rsidRPr="00610B1B" w:rsidRDefault="00895324" w:rsidP="00AE254B">
            <w:pPr>
              <w:pStyle w:val="Normal1"/>
              <w:spacing w:before="20" w:after="20"/>
              <w:rPr>
                <w:color w:val="000000"/>
                <w:sz w:val="24"/>
                <w:szCs w:val="24"/>
              </w:rPr>
            </w:pPr>
            <w:r w:rsidRPr="00610B1B">
              <w:rPr>
                <w:color w:val="000000"/>
                <w:sz w:val="24"/>
                <w:szCs w:val="24"/>
              </w:rPr>
              <w:t>Полегато пясъчно морско дъно с плавен наклон, изключително подходящ за плуване и къпане</w:t>
            </w:r>
          </w:p>
        </w:tc>
        <w:tc>
          <w:tcPr>
            <w:tcW w:w="4899" w:type="dxa"/>
            <w:shd w:val="clear" w:color="auto" w:fill="FFFFFF"/>
          </w:tcPr>
          <w:p w14:paraId="6CADEC3A" w14:textId="54D661C3" w:rsidR="00895324" w:rsidRPr="00610B1B" w:rsidRDefault="00895324" w:rsidP="00AE254B">
            <w:pPr>
              <w:pStyle w:val="Normal1"/>
              <w:spacing w:before="20" w:after="20"/>
              <w:rPr>
                <w:color w:val="000000"/>
                <w:sz w:val="24"/>
                <w:szCs w:val="24"/>
              </w:rPr>
            </w:pPr>
            <w:r w:rsidRPr="00610B1B">
              <w:rPr>
                <w:color w:val="000000"/>
                <w:sz w:val="24"/>
                <w:szCs w:val="24"/>
              </w:rPr>
              <w:t>Завишено антропогенно натоварване и свръхурбанизация в критични зони от крайбрежието с повишен риск от свлачища.</w:t>
            </w:r>
          </w:p>
        </w:tc>
      </w:tr>
      <w:tr w:rsidR="00895324" w:rsidRPr="005C2B9F" w14:paraId="78540B36" w14:textId="77777777" w:rsidTr="00AE254B">
        <w:tc>
          <w:tcPr>
            <w:tcW w:w="5025" w:type="dxa"/>
            <w:gridSpan w:val="2"/>
            <w:shd w:val="clear" w:color="auto" w:fill="FFFFFF"/>
          </w:tcPr>
          <w:p w14:paraId="75CA590F" w14:textId="5924E165" w:rsidR="00895324" w:rsidRPr="00610B1B" w:rsidRDefault="00895324" w:rsidP="00AE254B">
            <w:pPr>
              <w:pStyle w:val="Normal1"/>
              <w:spacing w:before="20" w:after="20"/>
              <w:rPr>
                <w:color w:val="000000"/>
                <w:sz w:val="24"/>
                <w:szCs w:val="24"/>
              </w:rPr>
            </w:pPr>
            <w:r w:rsidRPr="00610B1B">
              <w:rPr>
                <w:color w:val="000000"/>
                <w:sz w:val="24"/>
                <w:szCs w:val="24"/>
              </w:rPr>
              <w:t>Големи</w:t>
            </w:r>
            <w:r w:rsidR="00D66FE0" w:rsidRPr="00610B1B">
              <w:rPr>
                <w:color w:val="000000"/>
                <w:sz w:val="24"/>
                <w:szCs w:val="24"/>
              </w:rPr>
              <w:t xml:space="preserve"> </w:t>
            </w:r>
            <w:r w:rsidRPr="00610B1B">
              <w:rPr>
                <w:color w:val="000000"/>
                <w:sz w:val="24"/>
                <w:szCs w:val="24"/>
              </w:rPr>
              <w:t>заливи с достатъчна дълбочина за навлизане на съвременни плавателни съдове и за съвместяване на разнообразни дейности в тях – търговско корабоплаване, ветроходство, риболов, водни спортове и др.</w:t>
            </w:r>
          </w:p>
        </w:tc>
        <w:tc>
          <w:tcPr>
            <w:tcW w:w="4899" w:type="dxa"/>
            <w:shd w:val="clear" w:color="auto" w:fill="FFFFFF"/>
          </w:tcPr>
          <w:p w14:paraId="6EC78C08" w14:textId="7A77A775" w:rsidR="00895324" w:rsidRPr="00610B1B" w:rsidRDefault="00895324" w:rsidP="00AE254B">
            <w:pPr>
              <w:pStyle w:val="Normal1"/>
              <w:spacing w:before="20" w:after="20"/>
              <w:rPr>
                <w:color w:val="000000"/>
                <w:sz w:val="24"/>
                <w:szCs w:val="24"/>
              </w:rPr>
            </w:pPr>
            <w:r w:rsidRPr="00610B1B">
              <w:rPr>
                <w:color w:val="000000"/>
                <w:sz w:val="24"/>
                <w:szCs w:val="24"/>
              </w:rPr>
              <w:t>Липса на достатъчно знания за акваториалната част и за най-активната, интензивно експлоатирана и най-богата на биоразнообразие зона в нея.</w:t>
            </w:r>
          </w:p>
        </w:tc>
      </w:tr>
      <w:tr w:rsidR="00232311" w:rsidRPr="00610B1B" w14:paraId="627C665D" w14:textId="77777777" w:rsidTr="00AE254B">
        <w:tc>
          <w:tcPr>
            <w:tcW w:w="5025" w:type="dxa"/>
            <w:gridSpan w:val="2"/>
            <w:shd w:val="clear" w:color="auto" w:fill="BEE6F0"/>
          </w:tcPr>
          <w:p w14:paraId="4B3EFDA5" w14:textId="77777777" w:rsidR="00232311" w:rsidRPr="00610B1B" w:rsidRDefault="00232311" w:rsidP="00AE254B">
            <w:pPr>
              <w:pStyle w:val="Normal1"/>
              <w:spacing w:before="20" w:after="20"/>
              <w:jc w:val="center"/>
              <w:rPr>
                <w:b/>
                <w:color w:val="000000"/>
                <w:sz w:val="24"/>
                <w:szCs w:val="24"/>
              </w:rPr>
            </w:pPr>
            <w:r w:rsidRPr="00610B1B">
              <w:rPr>
                <w:b/>
                <w:color w:val="000000"/>
                <w:sz w:val="24"/>
                <w:szCs w:val="24"/>
              </w:rPr>
              <w:t>Възможности</w:t>
            </w:r>
          </w:p>
        </w:tc>
        <w:tc>
          <w:tcPr>
            <w:tcW w:w="4899" w:type="dxa"/>
            <w:shd w:val="clear" w:color="auto" w:fill="BEE6F0"/>
          </w:tcPr>
          <w:p w14:paraId="4A95737D" w14:textId="77777777" w:rsidR="00232311" w:rsidRPr="00610B1B" w:rsidRDefault="00232311" w:rsidP="00AE254B">
            <w:pPr>
              <w:pStyle w:val="Normal1"/>
              <w:spacing w:before="20" w:after="20"/>
              <w:jc w:val="center"/>
              <w:rPr>
                <w:b/>
                <w:color w:val="000000"/>
                <w:sz w:val="24"/>
                <w:szCs w:val="24"/>
              </w:rPr>
            </w:pPr>
            <w:bookmarkStart w:id="411" w:name="_30j0zll" w:colFirst="0" w:colLast="0"/>
            <w:bookmarkEnd w:id="411"/>
            <w:r w:rsidRPr="00610B1B">
              <w:rPr>
                <w:b/>
                <w:color w:val="000000"/>
                <w:sz w:val="24"/>
                <w:szCs w:val="24"/>
              </w:rPr>
              <w:t>Заплахи</w:t>
            </w:r>
          </w:p>
        </w:tc>
      </w:tr>
      <w:tr w:rsidR="00895324" w:rsidRPr="005C2B9F" w14:paraId="30AB543A" w14:textId="77777777" w:rsidTr="00AE254B">
        <w:tc>
          <w:tcPr>
            <w:tcW w:w="5025" w:type="dxa"/>
            <w:gridSpan w:val="2"/>
            <w:shd w:val="clear" w:color="auto" w:fill="FFFFFF"/>
          </w:tcPr>
          <w:p w14:paraId="596FE376" w14:textId="6397DF4D" w:rsidR="00895324" w:rsidRPr="00610B1B" w:rsidRDefault="00895324" w:rsidP="00AE254B">
            <w:pPr>
              <w:pStyle w:val="Normal1"/>
              <w:spacing w:before="20" w:after="20"/>
              <w:rPr>
                <w:color w:val="000000"/>
                <w:sz w:val="24"/>
                <w:szCs w:val="24"/>
              </w:rPr>
            </w:pPr>
            <w:r w:rsidRPr="00610B1B">
              <w:rPr>
                <w:color w:val="000000"/>
                <w:sz w:val="24"/>
                <w:szCs w:val="24"/>
              </w:rPr>
              <w:t>Подновяване на мониторинга на ерозионно-абразионните процеси по Черноморското крайбрежие.</w:t>
            </w:r>
          </w:p>
        </w:tc>
        <w:tc>
          <w:tcPr>
            <w:tcW w:w="4899" w:type="dxa"/>
            <w:shd w:val="clear" w:color="auto" w:fill="FFFFFF"/>
          </w:tcPr>
          <w:p w14:paraId="3476125D" w14:textId="32F925C0" w:rsidR="00895324" w:rsidRPr="00610B1B" w:rsidRDefault="00895324" w:rsidP="00AE254B">
            <w:pPr>
              <w:pStyle w:val="Normal1"/>
              <w:spacing w:before="20" w:after="20"/>
              <w:rPr>
                <w:color w:val="000000"/>
                <w:sz w:val="24"/>
                <w:szCs w:val="24"/>
              </w:rPr>
            </w:pPr>
            <w:r w:rsidRPr="00610B1B">
              <w:rPr>
                <w:color w:val="000000"/>
                <w:sz w:val="24"/>
                <w:szCs w:val="24"/>
              </w:rPr>
              <w:t>Засилване на негативни процеси – свлачища, срутища, абразия при закъснели мерки в свръхурбанизирани крайбрежни зони и</w:t>
            </w:r>
            <w:r w:rsidR="00D66FE0" w:rsidRPr="00610B1B">
              <w:rPr>
                <w:color w:val="000000"/>
                <w:sz w:val="24"/>
                <w:szCs w:val="24"/>
              </w:rPr>
              <w:t xml:space="preserve"> </w:t>
            </w:r>
            <w:r w:rsidRPr="00610B1B">
              <w:rPr>
                <w:color w:val="000000"/>
                <w:sz w:val="24"/>
                <w:szCs w:val="24"/>
              </w:rPr>
              <w:t>забавено изграждане на необходимата инфраструктура.</w:t>
            </w:r>
          </w:p>
        </w:tc>
      </w:tr>
      <w:tr w:rsidR="00895324" w:rsidRPr="005C2B9F" w14:paraId="2A1D5F59" w14:textId="77777777" w:rsidTr="00AE254B">
        <w:tc>
          <w:tcPr>
            <w:tcW w:w="5025" w:type="dxa"/>
            <w:gridSpan w:val="2"/>
            <w:shd w:val="clear" w:color="auto" w:fill="FFFFFF"/>
          </w:tcPr>
          <w:p w14:paraId="37CAF1C3" w14:textId="47B83197" w:rsidR="00895324" w:rsidRPr="00610B1B" w:rsidRDefault="00895324" w:rsidP="00AE254B">
            <w:pPr>
              <w:pStyle w:val="Normal1"/>
              <w:spacing w:before="20" w:after="20"/>
              <w:rPr>
                <w:color w:val="000000"/>
                <w:sz w:val="24"/>
                <w:szCs w:val="24"/>
              </w:rPr>
            </w:pPr>
            <w:r w:rsidRPr="00610B1B">
              <w:rPr>
                <w:color w:val="000000"/>
                <w:sz w:val="24"/>
                <w:szCs w:val="24"/>
              </w:rPr>
              <w:lastRenderedPageBreak/>
              <w:t>Изследване на динамиката на морския бряг и планиране на адекватни мерки за неговата защита чрез подходящи съвременни екологосъобразни съоръжения</w:t>
            </w:r>
            <w:r w:rsidR="00D86B15" w:rsidRPr="00610B1B">
              <w:rPr>
                <w:color w:val="000000"/>
                <w:sz w:val="24"/>
                <w:szCs w:val="24"/>
              </w:rPr>
              <w:t>.</w:t>
            </w:r>
            <w:r w:rsidRPr="00610B1B">
              <w:rPr>
                <w:color w:val="000000"/>
                <w:sz w:val="24"/>
                <w:szCs w:val="24"/>
              </w:rPr>
              <w:t xml:space="preserve"> </w:t>
            </w:r>
          </w:p>
        </w:tc>
        <w:tc>
          <w:tcPr>
            <w:tcW w:w="4899" w:type="dxa"/>
            <w:shd w:val="clear" w:color="auto" w:fill="FFFFFF"/>
          </w:tcPr>
          <w:p w14:paraId="7FA9A49F" w14:textId="3D76E8B4" w:rsidR="00895324" w:rsidRPr="00610B1B" w:rsidRDefault="00895324" w:rsidP="00AE254B">
            <w:pPr>
              <w:pStyle w:val="Normal1"/>
              <w:spacing w:before="20" w:after="20"/>
              <w:rPr>
                <w:color w:val="000000"/>
                <w:sz w:val="24"/>
                <w:szCs w:val="24"/>
              </w:rPr>
            </w:pPr>
            <w:r w:rsidRPr="00610B1B">
              <w:rPr>
                <w:color w:val="000000"/>
                <w:sz w:val="24"/>
                <w:szCs w:val="24"/>
              </w:rPr>
              <w:t xml:space="preserve">Промяна на морската динамика и на морския бряг поради неправилно проектирани и изпълнени брегозащитни и брегоукрепителни съоръжения. </w:t>
            </w:r>
          </w:p>
        </w:tc>
      </w:tr>
      <w:tr w:rsidR="00895324" w:rsidRPr="005C2B9F" w14:paraId="6B46341B" w14:textId="77777777" w:rsidTr="00AE254B">
        <w:tc>
          <w:tcPr>
            <w:tcW w:w="5025" w:type="dxa"/>
            <w:gridSpan w:val="2"/>
            <w:shd w:val="clear" w:color="auto" w:fill="FFFFFF"/>
          </w:tcPr>
          <w:p w14:paraId="43DFAF46" w14:textId="15CA1204" w:rsidR="00895324" w:rsidRPr="00610B1B" w:rsidRDefault="00895324" w:rsidP="00AE254B">
            <w:pPr>
              <w:pStyle w:val="Normal1"/>
              <w:spacing w:before="20" w:after="20"/>
              <w:rPr>
                <w:color w:val="000000"/>
                <w:sz w:val="24"/>
                <w:szCs w:val="24"/>
              </w:rPr>
            </w:pPr>
            <w:r w:rsidRPr="00610B1B">
              <w:rPr>
                <w:color w:val="000000"/>
                <w:sz w:val="24"/>
                <w:szCs w:val="24"/>
              </w:rPr>
              <w:t>Уеднаквяване на терминологията и синхронизиране на подзаконовата нормативна база, с оглед ясно вменяване на задължения на компетентните институции, отговорности и контрол.</w:t>
            </w:r>
          </w:p>
        </w:tc>
        <w:tc>
          <w:tcPr>
            <w:tcW w:w="4899" w:type="dxa"/>
            <w:shd w:val="clear" w:color="auto" w:fill="FFFFFF"/>
          </w:tcPr>
          <w:p w14:paraId="7753F761" w14:textId="0BF69BCC" w:rsidR="00895324" w:rsidRPr="00610B1B" w:rsidRDefault="00895324" w:rsidP="00AE254B">
            <w:pPr>
              <w:pStyle w:val="Normal1"/>
              <w:spacing w:before="20" w:after="20"/>
              <w:rPr>
                <w:color w:val="000000"/>
                <w:sz w:val="24"/>
                <w:szCs w:val="24"/>
              </w:rPr>
            </w:pPr>
          </w:p>
        </w:tc>
      </w:tr>
      <w:tr w:rsidR="00232311" w:rsidRPr="00610B1B" w14:paraId="4DE36A61" w14:textId="77777777" w:rsidTr="00AE254B">
        <w:tc>
          <w:tcPr>
            <w:tcW w:w="9924" w:type="dxa"/>
            <w:gridSpan w:val="3"/>
            <w:shd w:val="clear" w:color="auto" w:fill="92CDDC"/>
          </w:tcPr>
          <w:p w14:paraId="7F49D0FD" w14:textId="5CB2CD63" w:rsidR="00232311" w:rsidRPr="00610B1B" w:rsidRDefault="00232311" w:rsidP="00AE254B">
            <w:pPr>
              <w:pStyle w:val="Heading4"/>
              <w:spacing w:before="20" w:after="20"/>
              <w:jc w:val="center"/>
              <w:rPr>
                <w:rFonts w:cs="Times New Roman"/>
                <w:szCs w:val="24"/>
              </w:rPr>
            </w:pPr>
            <w:bookmarkStart w:id="412" w:name="_2b562psxlrer" w:colFirst="0" w:colLast="0"/>
            <w:bookmarkEnd w:id="412"/>
            <w:r w:rsidRPr="00610B1B">
              <w:rPr>
                <w:rFonts w:cs="Times New Roman"/>
                <w:szCs w:val="24"/>
              </w:rPr>
              <w:t>ХИДРОЛОГИЯ И ХИДРОГЕОЛОГИЯ</w:t>
            </w:r>
          </w:p>
        </w:tc>
      </w:tr>
      <w:tr w:rsidR="00232311" w:rsidRPr="00610B1B" w14:paraId="4E98E57A" w14:textId="77777777" w:rsidTr="00AE254B">
        <w:tc>
          <w:tcPr>
            <w:tcW w:w="5025" w:type="dxa"/>
            <w:gridSpan w:val="2"/>
            <w:shd w:val="clear" w:color="auto" w:fill="BEE6F0"/>
          </w:tcPr>
          <w:p w14:paraId="2874D771" w14:textId="77777777" w:rsidR="00232311" w:rsidRPr="00610B1B" w:rsidRDefault="00232311" w:rsidP="00AE254B">
            <w:pPr>
              <w:pStyle w:val="Normal1"/>
              <w:spacing w:before="20" w:after="20"/>
              <w:jc w:val="center"/>
              <w:rPr>
                <w:b/>
                <w:color w:val="000000"/>
                <w:sz w:val="24"/>
                <w:szCs w:val="24"/>
              </w:rPr>
            </w:pPr>
            <w:r w:rsidRPr="00610B1B">
              <w:rPr>
                <w:b/>
                <w:color w:val="000000"/>
                <w:sz w:val="24"/>
                <w:szCs w:val="24"/>
              </w:rPr>
              <w:t>Силни страни</w:t>
            </w:r>
          </w:p>
        </w:tc>
        <w:tc>
          <w:tcPr>
            <w:tcW w:w="4899" w:type="dxa"/>
            <w:shd w:val="clear" w:color="auto" w:fill="BEE6F0"/>
          </w:tcPr>
          <w:p w14:paraId="2579D97A" w14:textId="77777777" w:rsidR="00232311" w:rsidRPr="00610B1B" w:rsidRDefault="00232311" w:rsidP="00AE254B">
            <w:pPr>
              <w:pStyle w:val="Normal1"/>
              <w:spacing w:before="20" w:after="20"/>
              <w:jc w:val="center"/>
              <w:rPr>
                <w:b/>
                <w:color w:val="000000"/>
                <w:sz w:val="24"/>
                <w:szCs w:val="24"/>
              </w:rPr>
            </w:pPr>
            <w:r w:rsidRPr="00610B1B">
              <w:rPr>
                <w:b/>
                <w:color w:val="000000"/>
                <w:sz w:val="24"/>
                <w:szCs w:val="24"/>
              </w:rPr>
              <w:t>Слаби страни</w:t>
            </w:r>
          </w:p>
        </w:tc>
      </w:tr>
      <w:tr w:rsidR="00815A73" w:rsidRPr="005C2B9F" w14:paraId="78B3278B" w14:textId="77777777" w:rsidTr="00AE254B">
        <w:tc>
          <w:tcPr>
            <w:tcW w:w="5025" w:type="dxa"/>
            <w:gridSpan w:val="2"/>
            <w:shd w:val="clear" w:color="auto" w:fill="FFFFFF"/>
          </w:tcPr>
          <w:p w14:paraId="5AA85016" w14:textId="56EC5EA0" w:rsidR="00815A73" w:rsidRPr="00610B1B" w:rsidRDefault="00815A73" w:rsidP="00AE254B">
            <w:pPr>
              <w:pStyle w:val="Normal1"/>
              <w:spacing w:before="20" w:after="20"/>
              <w:rPr>
                <w:color w:val="000000"/>
                <w:sz w:val="24"/>
                <w:szCs w:val="24"/>
              </w:rPr>
            </w:pPr>
            <w:r w:rsidRPr="00610B1B">
              <w:rPr>
                <w:color w:val="000000"/>
                <w:sz w:val="24"/>
                <w:szCs w:val="24"/>
              </w:rPr>
              <w:t>Добри познания за основните характеристики на морската среда и тяхната сезонна и междугодишна динамика.</w:t>
            </w:r>
          </w:p>
        </w:tc>
        <w:tc>
          <w:tcPr>
            <w:tcW w:w="4899" w:type="dxa"/>
            <w:shd w:val="clear" w:color="auto" w:fill="FFFFFF"/>
          </w:tcPr>
          <w:p w14:paraId="061542DF" w14:textId="5DA9CE2B" w:rsidR="00815A73" w:rsidRPr="00610B1B" w:rsidRDefault="00815A73" w:rsidP="00AE254B">
            <w:pPr>
              <w:pStyle w:val="Normal1"/>
              <w:spacing w:before="20" w:after="20"/>
              <w:rPr>
                <w:color w:val="000000"/>
                <w:sz w:val="24"/>
                <w:szCs w:val="24"/>
              </w:rPr>
            </w:pPr>
            <w:r w:rsidRPr="00610B1B">
              <w:rPr>
                <w:color w:val="000000"/>
                <w:sz w:val="24"/>
                <w:szCs w:val="24"/>
              </w:rPr>
              <w:t>Недостатъчни времева честота и пространствено покритие на мониторинга на основните хидроложки характеристики. Липса на достатъчно данни за извеждане на многогодишни тенденции на изменение</w:t>
            </w:r>
            <w:r w:rsidR="00362739" w:rsidRPr="00610B1B">
              <w:rPr>
                <w:color w:val="000000"/>
                <w:sz w:val="24"/>
                <w:szCs w:val="24"/>
              </w:rPr>
              <w:t>то им</w:t>
            </w:r>
            <w:r w:rsidRPr="00610B1B">
              <w:rPr>
                <w:color w:val="000000"/>
                <w:sz w:val="24"/>
                <w:szCs w:val="24"/>
              </w:rPr>
              <w:t xml:space="preserve"> при отчитане на промените в климата.</w:t>
            </w:r>
          </w:p>
        </w:tc>
      </w:tr>
      <w:tr w:rsidR="00815A73" w:rsidRPr="005C2B9F" w14:paraId="3EC336AB" w14:textId="77777777" w:rsidTr="00AE254B">
        <w:tc>
          <w:tcPr>
            <w:tcW w:w="5025" w:type="dxa"/>
            <w:gridSpan w:val="2"/>
            <w:shd w:val="clear" w:color="auto" w:fill="FFFFFF"/>
          </w:tcPr>
          <w:p w14:paraId="0C010B17" w14:textId="516D4F93" w:rsidR="00815A73" w:rsidRPr="00610B1B" w:rsidRDefault="00815A73" w:rsidP="00AE254B">
            <w:pPr>
              <w:pStyle w:val="Normal1"/>
              <w:spacing w:before="20" w:after="20"/>
              <w:rPr>
                <w:color w:val="000000"/>
                <w:sz w:val="24"/>
                <w:szCs w:val="24"/>
              </w:rPr>
            </w:pPr>
            <w:r w:rsidRPr="00610B1B">
              <w:rPr>
                <w:color w:val="000000"/>
                <w:sz w:val="24"/>
                <w:szCs w:val="24"/>
              </w:rPr>
              <w:t>Добре развит и подържан международен обмен на хидроложки данни с достъп до Европейски бази данни и продукти.</w:t>
            </w:r>
          </w:p>
        </w:tc>
        <w:tc>
          <w:tcPr>
            <w:tcW w:w="4899" w:type="dxa"/>
            <w:shd w:val="clear" w:color="auto" w:fill="FFFFFF"/>
          </w:tcPr>
          <w:p w14:paraId="1F13341E" w14:textId="69929F2E" w:rsidR="00815A73" w:rsidRPr="00610B1B" w:rsidRDefault="00815A73" w:rsidP="00AE254B">
            <w:pPr>
              <w:pStyle w:val="Normal1"/>
              <w:spacing w:before="20" w:after="20"/>
              <w:rPr>
                <w:color w:val="000000"/>
                <w:sz w:val="24"/>
                <w:szCs w:val="24"/>
              </w:rPr>
            </w:pPr>
            <w:r w:rsidRPr="00610B1B">
              <w:rPr>
                <w:color w:val="000000"/>
                <w:sz w:val="24"/>
                <w:szCs w:val="24"/>
              </w:rPr>
              <w:t>Недостатъчен капацитет за моделиране и прогнозиране на хидродинамичните процеси в морската среда, в т.ч. с оглед на климатичните промени.</w:t>
            </w:r>
          </w:p>
        </w:tc>
      </w:tr>
      <w:tr w:rsidR="00815A73" w:rsidRPr="005C2B9F" w14:paraId="7812B2DD" w14:textId="77777777" w:rsidTr="00AE254B">
        <w:tc>
          <w:tcPr>
            <w:tcW w:w="5025" w:type="dxa"/>
            <w:gridSpan w:val="2"/>
            <w:shd w:val="clear" w:color="auto" w:fill="FFFFFF"/>
          </w:tcPr>
          <w:p w14:paraId="62151ACE" w14:textId="28A213D5" w:rsidR="00815A73" w:rsidRPr="00610B1B" w:rsidRDefault="00815A73" w:rsidP="00AE254B">
            <w:pPr>
              <w:pStyle w:val="Normal1"/>
              <w:spacing w:before="20" w:after="20"/>
              <w:rPr>
                <w:color w:val="000000"/>
                <w:sz w:val="24"/>
                <w:szCs w:val="24"/>
              </w:rPr>
            </w:pPr>
            <w:r w:rsidRPr="00610B1B">
              <w:rPr>
                <w:color w:val="000000"/>
                <w:sz w:val="24"/>
                <w:szCs w:val="24"/>
              </w:rPr>
              <w:t xml:space="preserve">Силен инвестиционен интерес за разширяване на съществуващи и строеж на нови </w:t>
            </w:r>
            <w:r w:rsidR="00BB78A1" w:rsidRPr="00610B1B">
              <w:rPr>
                <w:color w:val="000000"/>
                <w:sz w:val="24"/>
                <w:szCs w:val="24"/>
              </w:rPr>
              <w:t>яхтени</w:t>
            </w:r>
            <w:r w:rsidRPr="00610B1B">
              <w:rPr>
                <w:color w:val="000000"/>
                <w:sz w:val="24"/>
                <w:szCs w:val="24"/>
              </w:rPr>
              <w:t>, рибарски и по-големи пристанища.</w:t>
            </w:r>
          </w:p>
        </w:tc>
        <w:tc>
          <w:tcPr>
            <w:tcW w:w="4899" w:type="dxa"/>
            <w:shd w:val="clear" w:color="auto" w:fill="FFFFFF"/>
          </w:tcPr>
          <w:p w14:paraId="5EB24520" w14:textId="41080A45" w:rsidR="00815A73" w:rsidRPr="00610B1B" w:rsidRDefault="00815A73" w:rsidP="00AE254B">
            <w:pPr>
              <w:pStyle w:val="Normal1"/>
              <w:spacing w:before="20" w:after="20"/>
              <w:rPr>
                <w:color w:val="000000"/>
                <w:sz w:val="24"/>
                <w:szCs w:val="24"/>
              </w:rPr>
            </w:pPr>
            <w:r w:rsidRPr="00610B1B">
              <w:rPr>
                <w:color w:val="000000"/>
                <w:sz w:val="24"/>
                <w:szCs w:val="24"/>
              </w:rPr>
              <w:t>Недостатъчна изученост на процесите на взаимодействие между вълните и теченията и морското дъно в крайбрежните зони на страната, както и влиянието на съществуващите и новопланираните хидротехнически съоръжения върху бреговата динамика</w:t>
            </w:r>
            <w:r w:rsidR="003E0FDD" w:rsidRPr="00610B1B">
              <w:rPr>
                <w:color w:val="000000"/>
                <w:sz w:val="24"/>
                <w:szCs w:val="24"/>
              </w:rPr>
              <w:t>.</w:t>
            </w:r>
          </w:p>
        </w:tc>
      </w:tr>
      <w:tr w:rsidR="00815A73" w:rsidRPr="005C2B9F" w14:paraId="6FBFC914" w14:textId="77777777" w:rsidTr="00AE254B">
        <w:tc>
          <w:tcPr>
            <w:tcW w:w="5025" w:type="dxa"/>
            <w:gridSpan w:val="2"/>
            <w:shd w:val="clear" w:color="auto" w:fill="FFFFFF"/>
          </w:tcPr>
          <w:p w14:paraId="3A7630A2" w14:textId="091F1B31" w:rsidR="00815A73" w:rsidRPr="00610B1B" w:rsidRDefault="00815A73" w:rsidP="00AE254B">
            <w:pPr>
              <w:pStyle w:val="Normal1"/>
              <w:spacing w:before="20" w:after="20"/>
              <w:rPr>
                <w:color w:val="000000"/>
                <w:sz w:val="24"/>
                <w:szCs w:val="24"/>
              </w:rPr>
            </w:pPr>
            <w:r w:rsidRPr="00610B1B">
              <w:rPr>
                <w:color w:val="000000"/>
                <w:sz w:val="24"/>
                <w:szCs w:val="24"/>
              </w:rPr>
              <w:t>Многообразие от термоминерални води с различни физични и химични характеристики, минерализация и лечебни свойства с не напълно усвоен потенциал.</w:t>
            </w:r>
          </w:p>
        </w:tc>
        <w:tc>
          <w:tcPr>
            <w:tcW w:w="4899" w:type="dxa"/>
            <w:shd w:val="clear" w:color="auto" w:fill="FFFFFF"/>
          </w:tcPr>
          <w:p w14:paraId="63347D82" w14:textId="381BBEE8" w:rsidR="00815A73" w:rsidRPr="00610B1B" w:rsidRDefault="00815A73" w:rsidP="00AE254B">
            <w:pPr>
              <w:pStyle w:val="Normal1"/>
              <w:spacing w:before="20" w:after="20"/>
              <w:rPr>
                <w:color w:val="000000"/>
                <w:sz w:val="24"/>
                <w:szCs w:val="24"/>
              </w:rPr>
            </w:pPr>
            <w:r w:rsidRPr="00610B1B">
              <w:rPr>
                <w:color w:val="000000"/>
                <w:sz w:val="24"/>
                <w:szCs w:val="24"/>
              </w:rPr>
              <w:t>Много източници на минерална вода не са оценени и утвърдени, а други, въпреки че са изпитани, каптирани и водата е опробвана, не са надлежно описани и каталогизирани.</w:t>
            </w:r>
            <w:r w:rsidR="00D66FE0" w:rsidRPr="00610B1B">
              <w:rPr>
                <w:color w:val="000000"/>
                <w:sz w:val="24"/>
                <w:szCs w:val="24"/>
              </w:rPr>
              <w:t xml:space="preserve"> </w:t>
            </w:r>
          </w:p>
        </w:tc>
      </w:tr>
      <w:tr w:rsidR="00232311" w:rsidRPr="00610B1B" w14:paraId="26E379F0" w14:textId="77777777" w:rsidTr="00AE254B">
        <w:tc>
          <w:tcPr>
            <w:tcW w:w="5025" w:type="dxa"/>
            <w:gridSpan w:val="2"/>
            <w:shd w:val="clear" w:color="auto" w:fill="BEE6F0"/>
          </w:tcPr>
          <w:p w14:paraId="0064CB1D" w14:textId="77777777" w:rsidR="00232311" w:rsidRPr="00610B1B" w:rsidRDefault="00232311" w:rsidP="00AE254B">
            <w:pPr>
              <w:pStyle w:val="Normal1"/>
              <w:spacing w:before="20" w:after="20"/>
              <w:jc w:val="center"/>
              <w:rPr>
                <w:b/>
                <w:color w:val="000000"/>
                <w:sz w:val="24"/>
                <w:szCs w:val="24"/>
              </w:rPr>
            </w:pPr>
            <w:r w:rsidRPr="00610B1B">
              <w:rPr>
                <w:b/>
                <w:color w:val="000000"/>
                <w:sz w:val="24"/>
                <w:szCs w:val="24"/>
              </w:rPr>
              <w:t>Възможности</w:t>
            </w:r>
          </w:p>
        </w:tc>
        <w:tc>
          <w:tcPr>
            <w:tcW w:w="4899" w:type="dxa"/>
            <w:shd w:val="clear" w:color="auto" w:fill="BEE6F0"/>
          </w:tcPr>
          <w:p w14:paraId="35D0D0B5" w14:textId="77777777" w:rsidR="00232311" w:rsidRPr="00610B1B" w:rsidRDefault="00232311" w:rsidP="00AE254B">
            <w:pPr>
              <w:pStyle w:val="Normal1"/>
              <w:spacing w:before="20" w:after="20"/>
              <w:jc w:val="center"/>
              <w:rPr>
                <w:b/>
                <w:color w:val="000000"/>
                <w:sz w:val="24"/>
                <w:szCs w:val="24"/>
              </w:rPr>
            </w:pPr>
            <w:r w:rsidRPr="00610B1B">
              <w:rPr>
                <w:b/>
                <w:color w:val="000000"/>
                <w:sz w:val="24"/>
                <w:szCs w:val="24"/>
              </w:rPr>
              <w:t>Заплахи</w:t>
            </w:r>
          </w:p>
        </w:tc>
      </w:tr>
      <w:tr w:rsidR="00815A73" w:rsidRPr="00610B1B" w14:paraId="67E79C32" w14:textId="77777777" w:rsidTr="00AE254B">
        <w:tc>
          <w:tcPr>
            <w:tcW w:w="5025" w:type="dxa"/>
            <w:gridSpan w:val="2"/>
            <w:shd w:val="clear" w:color="auto" w:fill="FFFFFF"/>
          </w:tcPr>
          <w:p w14:paraId="7FC9A74D" w14:textId="4B2721DF" w:rsidR="00815A73" w:rsidRPr="00610B1B" w:rsidRDefault="00815A73" w:rsidP="00AE254B">
            <w:pPr>
              <w:pStyle w:val="Normal1"/>
              <w:spacing w:before="20" w:after="20"/>
              <w:rPr>
                <w:color w:val="000000"/>
                <w:sz w:val="24"/>
                <w:szCs w:val="24"/>
              </w:rPr>
            </w:pPr>
            <w:r w:rsidRPr="00610B1B">
              <w:rPr>
                <w:color w:val="000000"/>
                <w:sz w:val="24"/>
                <w:szCs w:val="24"/>
              </w:rPr>
              <w:t>Подобряване на мониторинга на термохалинните процеси по Черноморското крайбрежие, териториалните води и ИИЗ на Република България.</w:t>
            </w:r>
          </w:p>
        </w:tc>
        <w:tc>
          <w:tcPr>
            <w:tcW w:w="4899" w:type="dxa"/>
            <w:shd w:val="clear" w:color="auto" w:fill="FFFFFF"/>
          </w:tcPr>
          <w:p w14:paraId="7624413C" w14:textId="374B54F5" w:rsidR="00815A73" w:rsidRPr="00610B1B" w:rsidRDefault="00815A73" w:rsidP="00AE254B">
            <w:pPr>
              <w:pStyle w:val="Normal1"/>
              <w:spacing w:before="20" w:after="20"/>
              <w:rPr>
                <w:color w:val="000000"/>
                <w:sz w:val="24"/>
                <w:szCs w:val="24"/>
              </w:rPr>
            </w:pPr>
            <w:r w:rsidRPr="00610B1B">
              <w:rPr>
                <w:color w:val="000000"/>
                <w:sz w:val="24"/>
                <w:szCs w:val="24"/>
              </w:rPr>
              <w:t xml:space="preserve">Трайни промени във вертикалната стратификация на басейна и на интензивността на циркулацията в резултат на повишаване на температурата на морската вода. </w:t>
            </w:r>
            <w:r w:rsidRPr="00610B1B">
              <w:rPr>
                <w:rFonts w:eastAsia="SimSun"/>
                <w:color w:val="000000"/>
                <w:sz w:val="24"/>
                <w:szCs w:val="24"/>
                <w:lang w:eastAsia="zh-CN"/>
              </w:rPr>
              <w:t>Неефективна вентилация в активния слой на Черно море.</w:t>
            </w:r>
          </w:p>
        </w:tc>
      </w:tr>
      <w:tr w:rsidR="00815A73" w:rsidRPr="005C2B9F" w14:paraId="32D6AFBC" w14:textId="77777777" w:rsidTr="00AE254B">
        <w:tc>
          <w:tcPr>
            <w:tcW w:w="5025" w:type="dxa"/>
            <w:gridSpan w:val="2"/>
            <w:shd w:val="clear" w:color="auto" w:fill="FFFFFF"/>
          </w:tcPr>
          <w:p w14:paraId="3B601EAE" w14:textId="600718E3" w:rsidR="00815A73" w:rsidRPr="00610B1B" w:rsidRDefault="00815A73" w:rsidP="00AE254B">
            <w:pPr>
              <w:pStyle w:val="Normal1"/>
              <w:spacing w:before="20" w:after="20"/>
              <w:rPr>
                <w:color w:val="000000"/>
                <w:sz w:val="24"/>
                <w:szCs w:val="24"/>
              </w:rPr>
            </w:pPr>
            <w:r w:rsidRPr="00610B1B">
              <w:rPr>
                <w:color w:val="000000"/>
                <w:sz w:val="24"/>
                <w:szCs w:val="24"/>
              </w:rPr>
              <w:t xml:space="preserve">Изясняване на екологичните проблеми, свързани с влиянието на климатичните </w:t>
            </w:r>
            <w:r w:rsidRPr="00610B1B">
              <w:rPr>
                <w:color w:val="000000"/>
                <w:sz w:val="24"/>
                <w:szCs w:val="24"/>
              </w:rPr>
              <w:lastRenderedPageBreak/>
              <w:t>промени върху морската екосистема и нейното устойчиво управление и използване.</w:t>
            </w:r>
          </w:p>
        </w:tc>
        <w:tc>
          <w:tcPr>
            <w:tcW w:w="4899" w:type="dxa"/>
            <w:shd w:val="clear" w:color="auto" w:fill="FFFFFF"/>
          </w:tcPr>
          <w:p w14:paraId="7185BDFE" w14:textId="36381769" w:rsidR="00815A73" w:rsidRPr="00610B1B" w:rsidRDefault="00815A73" w:rsidP="00AE254B">
            <w:pPr>
              <w:pStyle w:val="Normal1"/>
              <w:spacing w:before="20" w:after="20"/>
              <w:rPr>
                <w:color w:val="000000"/>
                <w:sz w:val="24"/>
                <w:szCs w:val="24"/>
              </w:rPr>
            </w:pPr>
            <w:r w:rsidRPr="00610B1B">
              <w:rPr>
                <w:rFonts w:eastAsia="SimSun"/>
                <w:color w:val="000000"/>
                <w:sz w:val="24"/>
                <w:szCs w:val="24"/>
                <w:lang w:eastAsia="zh-CN"/>
              </w:rPr>
              <w:lastRenderedPageBreak/>
              <w:t xml:space="preserve">Промяна на характеристиките на студения междинен слой, което води до неговото изтъняване и дори изчезване. Това може да </w:t>
            </w:r>
            <w:r w:rsidRPr="00610B1B">
              <w:rPr>
                <w:rFonts w:eastAsia="SimSun"/>
                <w:color w:val="000000"/>
                <w:sz w:val="24"/>
                <w:szCs w:val="24"/>
                <w:lang w:eastAsia="zh-CN"/>
              </w:rPr>
              <w:lastRenderedPageBreak/>
              <w:t>стане причина за негативни последствия за черноморската екосистема.</w:t>
            </w:r>
          </w:p>
        </w:tc>
      </w:tr>
      <w:tr w:rsidR="00815A73" w:rsidRPr="005C2B9F" w14:paraId="6E59DA83" w14:textId="77777777" w:rsidTr="00AE254B">
        <w:tc>
          <w:tcPr>
            <w:tcW w:w="5025" w:type="dxa"/>
            <w:gridSpan w:val="2"/>
            <w:shd w:val="clear" w:color="auto" w:fill="FFFFFF"/>
          </w:tcPr>
          <w:p w14:paraId="71209FE0" w14:textId="3EBA4EC5" w:rsidR="00815A73" w:rsidRPr="00610B1B" w:rsidRDefault="00815A73" w:rsidP="00AE254B">
            <w:pPr>
              <w:pStyle w:val="Normal1"/>
              <w:spacing w:before="20" w:after="20"/>
              <w:rPr>
                <w:color w:val="000000"/>
                <w:sz w:val="24"/>
                <w:szCs w:val="24"/>
              </w:rPr>
            </w:pPr>
            <w:r w:rsidRPr="00610B1B">
              <w:rPr>
                <w:color w:val="000000"/>
                <w:sz w:val="24"/>
                <w:szCs w:val="24"/>
              </w:rPr>
              <w:lastRenderedPageBreak/>
              <w:t>Оползотворяване на потенциала на минералните води по Черноморското крайбрежие за разнообразяване на предлагания туристически продукт, привличане на интерес и инвестиции.</w:t>
            </w:r>
          </w:p>
        </w:tc>
        <w:tc>
          <w:tcPr>
            <w:tcW w:w="4899" w:type="dxa"/>
            <w:shd w:val="clear" w:color="auto" w:fill="FFFFFF"/>
          </w:tcPr>
          <w:p w14:paraId="0BA259C0" w14:textId="73B4785C" w:rsidR="00F06832" w:rsidRPr="00610B1B" w:rsidRDefault="00815A73" w:rsidP="00AE254B">
            <w:pPr>
              <w:pStyle w:val="Normal1"/>
              <w:spacing w:before="20" w:after="20"/>
              <w:rPr>
                <w:color w:val="000000"/>
                <w:sz w:val="24"/>
                <w:szCs w:val="24"/>
              </w:rPr>
            </w:pPr>
            <w:r w:rsidRPr="00610B1B">
              <w:rPr>
                <w:color w:val="000000"/>
                <w:sz w:val="24"/>
                <w:szCs w:val="24"/>
              </w:rPr>
              <w:t>Промяна на динамиката и интензивността на крайбрежните вълнови и седиментационни процеси и увеличаване на вероятността от наводнения с морски произход в изложените на риск рецептори в крайбрежната зона.</w:t>
            </w:r>
          </w:p>
        </w:tc>
      </w:tr>
      <w:tr w:rsidR="00232311" w:rsidRPr="00610B1B" w14:paraId="6BFA20A1" w14:textId="77777777" w:rsidTr="00AE254B">
        <w:tc>
          <w:tcPr>
            <w:tcW w:w="9924" w:type="dxa"/>
            <w:gridSpan w:val="3"/>
            <w:shd w:val="clear" w:color="auto" w:fill="92CDDC"/>
          </w:tcPr>
          <w:p w14:paraId="0820C389" w14:textId="77777777" w:rsidR="00232311" w:rsidRPr="00610B1B" w:rsidRDefault="00232311" w:rsidP="00AE254B">
            <w:pPr>
              <w:pStyle w:val="Normal1"/>
              <w:spacing w:before="20" w:after="20"/>
              <w:jc w:val="center"/>
              <w:rPr>
                <w:rFonts w:eastAsia="Source Han Sans CN Regular"/>
                <w:b/>
                <w:bCs/>
                <w:iCs/>
                <w:color w:val="0F243E" w:themeColor="text2" w:themeShade="80"/>
                <w:sz w:val="24"/>
                <w:szCs w:val="24"/>
                <w:lang w:eastAsia="zh-CN" w:bidi="hi-IN"/>
              </w:rPr>
            </w:pPr>
            <w:r w:rsidRPr="00610B1B">
              <w:rPr>
                <w:rFonts w:eastAsia="Source Han Sans CN Regular"/>
                <w:b/>
                <w:bCs/>
                <w:iCs/>
                <w:color w:val="0F243E" w:themeColor="text2" w:themeShade="80"/>
                <w:sz w:val="24"/>
                <w:szCs w:val="24"/>
                <w:lang w:eastAsia="zh-CN" w:bidi="hi-IN"/>
              </w:rPr>
              <w:t>КЛИМАТ</w:t>
            </w:r>
          </w:p>
        </w:tc>
      </w:tr>
      <w:tr w:rsidR="00232311" w:rsidRPr="00610B1B" w14:paraId="477FB594" w14:textId="77777777" w:rsidTr="00AE254B">
        <w:tc>
          <w:tcPr>
            <w:tcW w:w="5025" w:type="dxa"/>
            <w:gridSpan w:val="2"/>
            <w:shd w:val="clear" w:color="auto" w:fill="BEE6F0"/>
          </w:tcPr>
          <w:p w14:paraId="75C2B3BA" w14:textId="77777777" w:rsidR="00232311" w:rsidRPr="00610B1B" w:rsidRDefault="00232311" w:rsidP="00AE254B">
            <w:pPr>
              <w:pStyle w:val="Normal1"/>
              <w:spacing w:before="20" w:after="20"/>
              <w:jc w:val="center"/>
              <w:rPr>
                <w:b/>
                <w:color w:val="000000"/>
                <w:sz w:val="24"/>
                <w:szCs w:val="24"/>
              </w:rPr>
            </w:pPr>
            <w:r w:rsidRPr="00610B1B">
              <w:rPr>
                <w:b/>
                <w:color w:val="000000"/>
                <w:sz w:val="24"/>
                <w:szCs w:val="24"/>
              </w:rPr>
              <w:t>Силни страни</w:t>
            </w:r>
          </w:p>
        </w:tc>
        <w:tc>
          <w:tcPr>
            <w:tcW w:w="4899" w:type="dxa"/>
            <w:shd w:val="clear" w:color="auto" w:fill="BEE6F0"/>
          </w:tcPr>
          <w:p w14:paraId="4975CE7F" w14:textId="77777777" w:rsidR="00232311" w:rsidRPr="00610B1B" w:rsidRDefault="00232311" w:rsidP="00AE254B">
            <w:pPr>
              <w:pStyle w:val="Normal1"/>
              <w:spacing w:before="20" w:after="20"/>
              <w:jc w:val="center"/>
              <w:rPr>
                <w:b/>
                <w:color w:val="000000"/>
                <w:sz w:val="24"/>
                <w:szCs w:val="24"/>
              </w:rPr>
            </w:pPr>
            <w:r w:rsidRPr="00610B1B">
              <w:rPr>
                <w:b/>
                <w:color w:val="000000"/>
                <w:sz w:val="24"/>
                <w:szCs w:val="24"/>
              </w:rPr>
              <w:t>Слаби страни</w:t>
            </w:r>
          </w:p>
        </w:tc>
      </w:tr>
      <w:tr w:rsidR="00895324" w:rsidRPr="005C2B9F" w14:paraId="74EB1CFE" w14:textId="77777777" w:rsidTr="00AE254B">
        <w:tc>
          <w:tcPr>
            <w:tcW w:w="5025" w:type="dxa"/>
            <w:gridSpan w:val="2"/>
            <w:shd w:val="clear" w:color="auto" w:fill="FFFFFF"/>
          </w:tcPr>
          <w:p w14:paraId="0965C7A2" w14:textId="54C0FCC5" w:rsidR="00895324" w:rsidRPr="00610B1B" w:rsidRDefault="00895324" w:rsidP="00AE254B">
            <w:pPr>
              <w:pStyle w:val="Normal1"/>
              <w:spacing w:before="20" w:after="20"/>
              <w:rPr>
                <w:color w:val="000000"/>
                <w:sz w:val="24"/>
                <w:szCs w:val="24"/>
              </w:rPr>
            </w:pPr>
            <w:r w:rsidRPr="00610B1B">
              <w:rPr>
                <w:color w:val="000000"/>
                <w:sz w:val="24"/>
                <w:szCs w:val="24"/>
              </w:rPr>
              <w:t>Подходящи температури на въздуха през всички сезони, къса и прохладна пролет, продължителна и топла есен и мека зима.</w:t>
            </w:r>
          </w:p>
        </w:tc>
        <w:tc>
          <w:tcPr>
            <w:tcW w:w="4899" w:type="dxa"/>
            <w:shd w:val="clear" w:color="auto" w:fill="FFFFFF"/>
          </w:tcPr>
          <w:p w14:paraId="20A855AA" w14:textId="2822B6AC" w:rsidR="00895324" w:rsidRPr="00610B1B" w:rsidRDefault="00895324" w:rsidP="00AE254B">
            <w:pPr>
              <w:pStyle w:val="Normal1"/>
              <w:spacing w:before="20" w:after="20"/>
              <w:rPr>
                <w:strike/>
                <w:color w:val="000000"/>
                <w:sz w:val="24"/>
                <w:szCs w:val="24"/>
              </w:rPr>
            </w:pPr>
            <w:r w:rsidRPr="00610B1B">
              <w:rPr>
                <w:color w:val="000000"/>
                <w:sz w:val="24"/>
                <w:szCs w:val="24"/>
              </w:rPr>
              <w:t>Ограничен брой дни с валежи, огранич</w:t>
            </w:r>
            <w:r w:rsidR="00A71B9D" w:rsidRPr="00610B1B">
              <w:rPr>
                <w:color w:val="000000"/>
                <w:sz w:val="24"/>
                <w:szCs w:val="24"/>
              </w:rPr>
              <w:t>ено</w:t>
            </w:r>
            <w:r w:rsidRPr="00610B1B">
              <w:rPr>
                <w:color w:val="000000"/>
                <w:sz w:val="24"/>
                <w:szCs w:val="24"/>
              </w:rPr>
              <w:t xml:space="preserve"> подхранване на водните източници и предпоставки за воден стрес.</w:t>
            </w:r>
          </w:p>
        </w:tc>
      </w:tr>
      <w:tr w:rsidR="00895324" w:rsidRPr="005C2B9F" w14:paraId="5713FAA9" w14:textId="77777777" w:rsidTr="00AE254B">
        <w:tc>
          <w:tcPr>
            <w:tcW w:w="5025" w:type="dxa"/>
            <w:gridSpan w:val="2"/>
            <w:shd w:val="clear" w:color="auto" w:fill="FFFFFF"/>
          </w:tcPr>
          <w:p w14:paraId="7AC42BFD" w14:textId="4DC51F99" w:rsidR="00895324" w:rsidRPr="00610B1B" w:rsidRDefault="00895324" w:rsidP="00AE254B">
            <w:pPr>
              <w:pStyle w:val="Normal1"/>
              <w:spacing w:before="20" w:after="20"/>
              <w:rPr>
                <w:color w:val="000000"/>
                <w:sz w:val="24"/>
                <w:szCs w:val="24"/>
              </w:rPr>
            </w:pPr>
            <w:r w:rsidRPr="00610B1B">
              <w:rPr>
                <w:color w:val="000000"/>
                <w:sz w:val="24"/>
                <w:szCs w:val="24"/>
              </w:rPr>
              <w:t>Благоприятни температури на морската вода, предразполагащи към по-продължително използване на крайбрежието за морски туризъм и рекреация.</w:t>
            </w:r>
          </w:p>
        </w:tc>
        <w:tc>
          <w:tcPr>
            <w:tcW w:w="4899" w:type="dxa"/>
            <w:shd w:val="clear" w:color="auto" w:fill="FFFFFF"/>
          </w:tcPr>
          <w:p w14:paraId="52D88285" w14:textId="1E5A15BD" w:rsidR="00895324" w:rsidRPr="00610B1B" w:rsidRDefault="00895324" w:rsidP="00AE254B">
            <w:pPr>
              <w:pStyle w:val="Normal1"/>
              <w:spacing w:before="20" w:after="20"/>
              <w:rPr>
                <w:strike/>
                <w:color w:val="000000"/>
                <w:sz w:val="24"/>
                <w:szCs w:val="24"/>
              </w:rPr>
            </w:pPr>
            <w:r w:rsidRPr="00610B1B">
              <w:rPr>
                <w:color w:val="000000"/>
                <w:sz w:val="24"/>
                <w:szCs w:val="24"/>
              </w:rPr>
              <w:t>Резки промени в баричното налягане и предпоставки за драстични промени в нивото на морското равнище.</w:t>
            </w:r>
          </w:p>
        </w:tc>
      </w:tr>
      <w:tr w:rsidR="00895324" w:rsidRPr="005C2B9F" w14:paraId="0869321C" w14:textId="77777777" w:rsidTr="00AE254B">
        <w:tc>
          <w:tcPr>
            <w:tcW w:w="5025" w:type="dxa"/>
            <w:gridSpan w:val="2"/>
            <w:shd w:val="clear" w:color="auto" w:fill="FFFFFF"/>
          </w:tcPr>
          <w:p w14:paraId="34841723" w14:textId="0100AF62" w:rsidR="00895324" w:rsidRPr="00610B1B" w:rsidRDefault="00895324" w:rsidP="00AE254B">
            <w:pPr>
              <w:pStyle w:val="Normal1"/>
              <w:spacing w:before="20" w:after="20"/>
              <w:rPr>
                <w:color w:val="000000"/>
                <w:sz w:val="24"/>
                <w:szCs w:val="24"/>
              </w:rPr>
            </w:pPr>
            <w:r w:rsidRPr="00610B1B">
              <w:rPr>
                <w:color w:val="000000"/>
                <w:sz w:val="24"/>
                <w:szCs w:val="24"/>
              </w:rPr>
              <w:t xml:space="preserve">Благоприятни въздействия на морския бриз в горещия летен сезон, подобряващ климатичния комфорт. </w:t>
            </w:r>
          </w:p>
        </w:tc>
        <w:tc>
          <w:tcPr>
            <w:tcW w:w="4899" w:type="dxa"/>
            <w:shd w:val="clear" w:color="auto" w:fill="FFFFFF"/>
          </w:tcPr>
          <w:p w14:paraId="4A786937" w14:textId="5A3DE4C4" w:rsidR="00895324" w:rsidRPr="00610B1B" w:rsidRDefault="00895324" w:rsidP="00AE254B">
            <w:pPr>
              <w:pStyle w:val="Normal1"/>
              <w:spacing w:before="20" w:after="20"/>
              <w:rPr>
                <w:strike/>
                <w:color w:val="000000"/>
                <w:sz w:val="24"/>
                <w:szCs w:val="24"/>
              </w:rPr>
            </w:pPr>
            <w:r w:rsidRPr="00610B1B">
              <w:rPr>
                <w:color w:val="000000"/>
                <w:sz w:val="24"/>
                <w:szCs w:val="24"/>
              </w:rPr>
              <w:t xml:space="preserve">Налични дни с бурен вятър и щормова вълна, с разрушително въздействие върху брега и ограничаваща корабоплаването в </w:t>
            </w:r>
            <w:r w:rsidR="00BB78A1" w:rsidRPr="00610B1B">
              <w:rPr>
                <w:color w:val="000000"/>
                <w:sz w:val="24"/>
                <w:szCs w:val="24"/>
              </w:rPr>
              <w:t>района</w:t>
            </w:r>
            <w:r w:rsidRPr="00610B1B">
              <w:rPr>
                <w:color w:val="000000"/>
                <w:sz w:val="24"/>
                <w:szCs w:val="24"/>
              </w:rPr>
              <w:t>.</w:t>
            </w:r>
          </w:p>
        </w:tc>
      </w:tr>
      <w:tr w:rsidR="00895324" w:rsidRPr="00610B1B" w14:paraId="5934AEB4" w14:textId="77777777" w:rsidTr="00AE254B">
        <w:tc>
          <w:tcPr>
            <w:tcW w:w="5025" w:type="dxa"/>
            <w:gridSpan w:val="2"/>
            <w:shd w:val="clear" w:color="auto" w:fill="BEE6F0"/>
          </w:tcPr>
          <w:p w14:paraId="46B40874" w14:textId="77777777" w:rsidR="00895324" w:rsidRPr="00610B1B" w:rsidRDefault="00895324" w:rsidP="00AE254B">
            <w:pPr>
              <w:pStyle w:val="Normal1"/>
              <w:spacing w:before="20" w:after="20"/>
              <w:jc w:val="center"/>
              <w:rPr>
                <w:b/>
                <w:color w:val="000000"/>
                <w:sz w:val="24"/>
                <w:szCs w:val="24"/>
              </w:rPr>
            </w:pPr>
            <w:r w:rsidRPr="00610B1B">
              <w:rPr>
                <w:b/>
                <w:color w:val="000000"/>
                <w:sz w:val="24"/>
                <w:szCs w:val="24"/>
              </w:rPr>
              <w:t>Възможности</w:t>
            </w:r>
          </w:p>
        </w:tc>
        <w:tc>
          <w:tcPr>
            <w:tcW w:w="4899" w:type="dxa"/>
            <w:shd w:val="clear" w:color="auto" w:fill="BEE6F0"/>
          </w:tcPr>
          <w:p w14:paraId="03B53165" w14:textId="77777777" w:rsidR="00895324" w:rsidRPr="00610B1B" w:rsidRDefault="00895324" w:rsidP="00AE254B">
            <w:pPr>
              <w:pStyle w:val="Normal1"/>
              <w:spacing w:before="20" w:after="20"/>
              <w:jc w:val="center"/>
              <w:rPr>
                <w:b/>
                <w:color w:val="000000"/>
                <w:sz w:val="24"/>
                <w:szCs w:val="24"/>
              </w:rPr>
            </w:pPr>
            <w:r w:rsidRPr="00610B1B">
              <w:rPr>
                <w:b/>
                <w:color w:val="000000"/>
                <w:sz w:val="24"/>
                <w:szCs w:val="24"/>
              </w:rPr>
              <w:t>Заплахи</w:t>
            </w:r>
          </w:p>
        </w:tc>
      </w:tr>
      <w:tr w:rsidR="00895324" w:rsidRPr="005C2B9F" w14:paraId="300742AB" w14:textId="77777777" w:rsidTr="00AE254B">
        <w:tc>
          <w:tcPr>
            <w:tcW w:w="5025" w:type="dxa"/>
            <w:gridSpan w:val="2"/>
            <w:shd w:val="clear" w:color="auto" w:fill="FFFFFF"/>
          </w:tcPr>
          <w:p w14:paraId="551F2660" w14:textId="241C55C7" w:rsidR="00895324" w:rsidRPr="00610B1B" w:rsidRDefault="00895324" w:rsidP="00AE254B">
            <w:pPr>
              <w:pStyle w:val="Normal1"/>
              <w:spacing w:before="20" w:after="20"/>
              <w:rPr>
                <w:b/>
                <w:color w:val="000000"/>
                <w:sz w:val="24"/>
                <w:szCs w:val="24"/>
              </w:rPr>
            </w:pPr>
            <w:r w:rsidRPr="00610B1B">
              <w:rPr>
                <w:bCs/>
                <w:color w:val="000000"/>
                <w:sz w:val="24"/>
                <w:szCs w:val="24"/>
              </w:rPr>
              <w:t xml:space="preserve">Използване на по-благоприятните условия в сравнение с други страни за привличане на туристи през летния сезон по Черноморското крайбрежие </w:t>
            </w:r>
          </w:p>
        </w:tc>
        <w:tc>
          <w:tcPr>
            <w:tcW w:w="4899" w:type="dxa"/>
            <w:shd w:val="clear" w:color="auto" w:fill="FFFFFF"/>
          </w:tcPr>
          <w:p w14:paraId="27101BCD" w14:textId="6E13730E" w:rsidR="00895324" w:rsidRPr="00610B1B" w:rsidRDefault="00895324" w:rsidP="00AE254B">
            <w:pPr>
              <w:pStyle w:val="Normal1"/>
              <w:spacing w:before="20" w:after="20"/>
              <w:rPr>
                <w:b/>
                <w:color w:val="000000"/>
                <w:sz w:val="24"/>
                <w:szCs w:val="24"/>
              </w:rPr>
            </w:pPr>
            <w:r w:rsidRPr="00610B1B">
              <w:rPr>
                <w:bCs/>
                <w:color w:val="000000"/>
                <w:sz w:val="24"/>
                <w:szCs w:val="24"/>
              </w:rPr>
              <w:t xml:space="preserve">Повишаване на температурите на въздуха и на морската вода, които ще увеличат дните с климатичен дискомфорт за хората, особено през летния туристически сезон. </w:t>
            </w:r>
          </w:p>
        </w:tc>
      </w:tr>
      <w:tr w:rsidR="00895324" w:rsidRPr="005C2B9F" w14:paraId="3A5C7F3B" w14:textId="77777777" w:rsidTr="00AE254B">
        <w:tc>
          <w:tcPr>
            <w:tcW w:w="5025" w:type="dxa"/>
            <w:gridSpan w:val="2"/>
            <w:shd w:val="clear" w:color="auto" w:fill="FFFFFF"/>
          </w:tcPr>
          <w:p w14:paraId="219560A1" w14:textId="7B31D007" w:rsidR="00895324" w:rsidRPr="00610B1B" w:rsidRDefault="00895324" w:rsidP="00AE254B">
            <w:pPr>
              <w:pStyle w:val="Normal1"/>
              <w:spacing w:before="20" w:after="20"/>
              <w:rPr>
                <w:b/>
                <w:color w:val="000000"/>
                <w:sz w:val="24"/>
                <w:szCs w:val="24"/>
              </w:rPr>
            </w:pPr>
            <w:r w:rsidRPr="00610B1B">
              <w:rPr>
                <w:bCs/>
                <w:color w:val="000000"/>
                <w:sz w:val="24"/>
                <w:szCs w:val="24"/>
              </w:rPr>
              <w:t xml:space="preserve">Прилагане на иновативни решения за намаляване на риска от наводнения в рискови зони за защита на населението, на сгради и инфраструктура </w:t>
            </w:r>
          </w:p>
        </w:tc>
        <w:tc>
          <w:tcPr>
            <w:tcW w:w="4899" w:type="dxa"/>
            <w:shd w:val="clear" w:color="auto" w:fill="FFFFFF"/>
          </w:tcPr>
          <w:p w14:paraId="7AA8D767" w14:textId="410684C5" w:rsidR="00895324" w:rsidRPr="00610B1B" w:rsidRDefault="00895324" w:rsidP="00AE254B">
            <w:pPr>
              <w:pStyle w:val="Normal1"/>
              <w:spacing w:before="20" w:after="20"/>
              <w:rPr>
                <w:b/>
                <w:color w:val="000000"/>
                <w:sz w:val="24"/>
                <w:szCs w:val="24"/>
              </w:rPr>
            </w:pPr>
            <w:r w:rsidRPr="00610B1B">
              <w:rPr>
                <w:bCs/>
                <w:color w:val="000000"/>
                <w:sz w:val="24"/>
                <w:szCs w:val="24"/>
              </w:rPr>
              <w:t>Увеличаване на броя и интензивността на екстремните събития поради изменения на климата и на обема на нанесените щети.</w:t>
            </w:r>
          </w:p>
        </w:tc>
      </w:tr>
      <w:tr w:rsidR="00895324" w:rsidRPr="005C2B9F" w14:paraId="744BF3C6" w14:textId="77777777" w:rsidTr="00AE254B">
        <w:tc>
          <w:tcPr>
            <w:tcW w:w="5025" w:type="dxa"/>
            <w:gridSpan w:val="2"/>
            <w:shd w:val="clear" w:color="auto" w:fill="FFFFFF"/>
          </w:tcPr>
          <w:p w14:paraId="0989DB2B" w14:textId="2E4D5BC3" w:rsidR="00895324" w:rsidRPr="00610B1B" w:rsidRDefault="00895324" w:rsidP="00AE254B">
            <w:pPr>
              <w:pStyle w:val="Normal1"/>
              <w:spacing w:before="20" w:after="20"/>
              <w:rPr>
                <w:color w:val="000000"/>
                <w:sz w:val="24"/>
                <w:szCs w:val="24"/>
              </w:rPr>
            </w:pPr>
            <w:r w:rsidRPr="00610B1B">
              <w:rPr>
                <w:color w:val="000000"/>
                <w:sz w:val="24"/>
                <w:szCs w:val="24"/>
              </w:rPr>
              <w:t xml:space="preserve">Развитие на зелената система на населените места по крайбрежието и създаване на зони за охлаждане </w:t>
            </w:r>
            <w:r w:rsidR="00A71B9D" w:rsidRPr="00610B1B">
              <w:rPr>
                <w:color w:val="000000"/>
                <w:sz w:val="24"/>
                <w:szCs w:val="24"/>
              </w:rPr>
              <w:t xml:space="preserve">и климатичен комфорт </w:t>
            </w:r>
            <w:r w:rsidRPr="00610B1B">
              <w:rPr>
                <w:color w:val="000000"/>
                <w:sz w:val="24"/>
                <w:szCs w:val="24"/>
              </w:rPr>
              <w:t>чрез средствата на ландшафтната архитектура.</w:t>
            </w:r>
          </w:p>
        </w:tc>
        <w:tc>
          <w:tcPr>
            <w:tcW w:w="4899" w:type="dxa"/>
            <w:shd w:val="clear" w:color="auto" w:fill="FFFFFF"/>
          </w:tcPr>
          <w:p w14:paraId="08A9C735" w14:textId="1B3E24B3" w:rsidR="00895324" w:rsidRPr="00610B1B" w:rsidRDefault="00895324" w:rsidP="00AE254B">
            <w:pPr>
              <w:pStyle w:val="Normal1"/>
              <w:spacing w:before="20" w:after="20"/>
              <w:rPr>
                <w:strike/>
                <w:color w:val="000000"/>
                <w:sz w:val="24"/>
                <w:szCs w:val="24"/>
              </w:rPr>
            </w:pPr>
            <w:r w:rsidRPr="00610B1B">
              <w:rPr>
                <w:color w:val="000000"/>
                <w:sz w:val="24"/>
                <w:szCs w:val="24"/>
              </w:rPr>
              <w:t>Увеличаване на периодите на засушавания и завишаване на риска от пожари, воден стрес и загуба на биоразнообразие.</w:t>
            </w:r>
          </w:p>
        </w:tc>
      </w:tr>
      <w:tr w:rsidR="00895324" w:rsidRPr="00610B1B" w14:paraId="7BD02BCA" w14:textId="77777777" w:rsidTr="00AE254B">
        <w:tc>
          <w:tcPr>
            <w:tcW w:w="9924" w:type="dxa"/>
            <w:gridSpan w:val="3"/>
            <w:shd w:val="clear" w:color="auto" w:fill="92CDDC"/>
          </w:tcPr>
          <w:p w14:paraId="20D3E3A0" w14:textId="785944AB" w:rsidR="00895324" w:rsidRPr="00610B1B" w:rsidRDefault="00895324" w:rsidP="00AE254B">
            <w:pPr>
              <w:pStyle w:val="Heading4"/>
              <w:spacing w:before="20" w:after="20"/>
              <w:jc w:val="center"/>
              <w:rPr>
                <w:rFonts w:cs="Times New Roman"/>
                <w:szCs w:val="24"/>
              </w:rPr>
            </w:pPr>
            <w:bookmarkStart w:id="413" w:name="_993hxxfflbme" w:colFirst="0" w:colLast="0"/>
            <w:bookmarkEnd w:id="413"/>
            <w:r w:rsidRPr="00610B1B">
              <w:rPr>
                <w:rFonts w:cs="Times New Roman"/>
                <w:szCs w:val="24"/>
              </w:rPr>
              <w:t>БИОЛОГИЧНО РАЗНООБРАЗИЕ</w:t>
            </w:r>
          </w:p>
        </w:tc>
      </w:tr>
      <w:tr w:rsidR="00895324" w:rsidRPr="00610B1B" w14:paraId="7D6815E3" w14:textId="77777777" w:rsidTr="00AE254B">
        <w:tc>
          <w:tcPr>
            <w:tcW w:w="4962" w:type="dxa"/>
            <w:shd w:val="clear" w:color="auto" w:fill="BEE6F0"/>
          </w:tcPr>
          <w:p w14:paraId="7C2CED33" w14:textId="77777777" w:rsidR="00895324" w:rsidRPr="00610B1B" w:rsidRDefault="00895324" w:rsidP="00AE254B">
            <w:pPr>
              <w:pStyle w:val="Normal1"/>
              <w:spacing w:before="20" w:after="20"/>
              <w:jc w:val="center"/>
              <w:rPr>
                <w:b/>
                <w:color w:val="000000"/>
                <w:sz w:val="24"/>
                <w:szCs w:val="24"/>
              </w:rPr>
            </w:pPr>
            <w:r w:rsidRPr="00610B1B">
              <w:rPr>
                <w:b/>
                <w:color w:val="000000"/>
                <w:sz w:val="24"/>
                <w:szCs w:val="24"/>
              </w:rPr>
              <w:t>Силни страни</w:t>
            </w:r>
          </w:p>
        </w:tc>
        <w:tc>
          <w:tcPr>
            <w:tcW w:w="4962" w:type="dxa"/>
            <w:gridSpan w:val="2"/>
            <w:shd w:val="clear" w:color="auto" w:fill="BEE6F0"/>
          </w:tcPr>
          <w:p w14:paraId="6294B171" w14:textId="77777777" w:rsidR="00895324" w:rsidRPr="00610B1B" w:rsidRDefault="00895324" w:rsidP="00AE254B">
            <w:pPr>
              <w:pStyle w:val="Normal1"/>
              <w:spacing w:before="20" w:after="20"/>
              <w:jc w:val="center"/>
              <w:rPr>
                <w:b/>
                <w:color w:val="000000"/>
                <w:sz w:val="24"/>
                <w:szCs w:val="24"/>
              </w:rPr>
            </w:pPr>
            <w:r w:rsidRPr="00610B1B">
              <w:rPr>
                <w:b/>
                <w:color w:val="000000"/>
                <w:sz w:val="24"/>
                <w:szCs w:val="24"/>
              </w:rPr>
              <w:t>Слаби страни</w:t>
            </w:r>
          </w:p>
        </w:tc>
      </w:tr>
      <w:tr w:rsidR="00895324" w:rsidRPr="005C2B9F" w14:paraId="554188CB" w14:textId="77777777" w:rsidTr="00AE254B">
        <w:tc>
          <w:tcPr>
            <w:tcW w:w="4962" w:type="dxa"/>
            <w:shd w:val="clear" w:color="auto" w:fill="FFFFFF"/>
          </w:tcPr>
          <w:p w14:paraId="1D1C9D81" w14:textId="57C34C3A" w:rsidR="00895324" w:rsidRPr="00610B1B" w:rsidRDefault="00895324" w:rsidP="00AE254B">
            <w:pPr>
              <w:pStyle w:val="Normal1"/>
              <w:spacing w:before="20" w:after="20"/>
              <w:rPr>
                <w:color w:val="000000"/>
                <w:sz w:val="24"/>
                <w:szCs w:val="24"/>
              </w:rPr>
            </w:pPr>
            <w:r w:rsidRPr="00610B1B">
              <w:rPr>
                <w:color w:val="000000"/>
                <w:sz w:val="24"/>
                <w:szCs w:val="24"/>
              </w:rPr>
              <w:t>Приети важни стратегически документи в областта на биоразнообразието, горите, селското стопанство, изменението на климата и други важни сектори, свързани с Черно море и прилежащото крайбрежие</w:t>
            </w:r>
            <w:r w:rsidR="008357D8" w:rsidRPr="00610B1B">
              <w:rPr>
                <w:color w:val="000000"/>
                <w:sz w:val="24"/>
                <w:szCs w:val="24"/>
              </w:rPr>
              <w:t>.</w:t>
            </w:r>
            <w:r w:rsidR="00D66FE0" w:rsidRPr="00610B1B">
              <w:rPr>
                <w:color w:val="000000"/>
                <w:sz w:val="24"/>
                <w:szCs w:val="24"/>
              </w:rPr>
              <w:t xml:space="preserve"> </w:t>
            </w:r>
          </w:p>
        </w:tc>
        <w:tc>
          <w:tcPr>
            <w:tcW w:w="4962" w:type="dxa"/>
            <w:gridSpan w:val="2"/>
            <w:shd w:val="clear" w:color="auto" w:fill="FFFFFF"/>
          </w:tcPr>
          <w:p w14:paraId="6DD31109" w14:textId="6AE6D5BD" w:rsidR="003B0BD5" w:rsidRPr="00610B1B" w:rsidRDefault="00895324" w:rsidP="00AE254B">
            <w:pPr>
              <w:pStyle w:val="Normal1"/>
              <w:spacing w:before="20" w:after="20"/>
              <w:rPr>
                <w:color w:val="000000"/>
                <w:sz w:val="24"/>
                <w:szCs w:val="24"/>
              </w:rPr>
            </w:pPr>
            <w:r w:rsidRPr="00610B1B">
              <w:rPr>
                <w:color w:val="000000"/>
                <w:sz w:val="24"/>
                <w:szCs w:val="24"/>
              </w:rPr>
              <w:t xml:space="preserve">Липса на синтезна карта за допустимите дейности и зоните за съвместяването им за предотвратяване на конфликтите между различните ползвания на морската среда и ресурси, както и между икономическите дейности в морето и изискванията и режимите за опазване на ОС и биоразнообразието </w:t>
            </w:r>
          </w:p>
        </w:tc>
      </w:tr>
      <w:tr w:rsidR="00895324" w:rsidRPr="005C2B9F" w14:paraId="7608EE07" w14:textId="77777777" w:rsidTr="00AE254B">
        <w:tc>
          <w:tcPr>
            <w:tcW w:w="4962" w:type="dxa"/>
            <w:shd w:val="clear" w:color="auto" w:fill="FFFFFF"/>
          </w:tcPr>
          <w:p w14:paraId="4E29BDC5" w14:textId="3A12AC56" w:rsidR="00895324" w:rsidRPr="00610B1B" w:rsidRDefault="00895324" w:rsidP="00AE254B">
            <w:pPr>
              <w:pStyle w:val="Normal1"/>
              <w:spacing w:before="20" w:after="20"/>
              <w:rPr>
                <w:color w:val="000000"/>
                <w:sz w:val="24"/>
                <w:szCs w:val="24"/>
              </w:rPr>
            </w:pPr>
            <w:r w:rsidRPr="00610B1B">
              <w:rPr>
                <w:color w:val="000000"/>
                <w:sz w:val="24"/>
                <w:szCs w:val="24"/>
              </w:rPr>
              <w:lastRenderedPageBreak/>
              <w:t>Транспонирано законодателство на Европейския съюз в областта на биоразнообразието и управление на водите.</w:t>
            </w:r>
          </w:p>
        </w:tc>
        <w:tc>
          <w:tcPr>
            <w:tcW w:w="4962" w:type="dxa"/>
            <w:gridSpan w:val="2"/>
            <w:shd w:val="clear" w:color="auto" w:fill="FFFFFF"/>
          </w:tcPr>
          <w:p w14:paraId="3262093B" w14:textId="704D862D" w:rsidR="00895324" w:rsidRPr="00610B1B" w:rsidRDefault="003B0BD5" w:rsidP="00AE254B">
            <w:pPr>
              <w:pStyle w:val="Normal1"/>
              <w:spacing w:before="20" w:after="20"/>
              <w:rPr>
                <w:sz w:val="24"/>
                <w:szCs w:val="24"/>
              </w:rPr>
            </w:pPr>
            <w:r w:rsidRPr="00610B1B">
              <w:rPr>
                <w:sz w:val="24"/>
                <w:szCs w:val="24"/>
              </w:rPr>
              <w:t>Забавяне</w:t>
            </w:r>
            <w:r w:rsidR="00895324" w:rsidRPr="00610B1B">
              <w:rPr>
                <w:sz w:val="24"/>
                <w:szCs w:val="24"/>
              </w:rPr>
              <w:t xml:space="preserve"> изпълнение</w:t>
            </w:r>
            <w:r w:rsidRPr="00610B1B">
              <w:rPr>
                <w:sz w:val="24"/>
                <w:szCs w:val="24"/>
              </w:rPr>
              <w:t>то</w:t>
            </w:r>
            <w:r w:rsidR="00895324" w:rsidRPr="00610B1B">
              <w:rPr>
                <w:sz w:val="24"/>
                <w:szCs w:val="24"/>
              </w:rPr>
              <w:t xml:space="preserve"> на заложените мерки в ПУРБ 2016-2021 г. и програмата от мерки по чл. 13 от РДМС,</w:t>
            </w:r>
            <w:r w:rsidR="00D66FE0" w:rsidRPr="00610B1B">
              <w:rPr>
                <w:sz w:val="24"/>
                <w:szCs w:val="24"/>
              </w:rPr>
              <w:t xml:space="preserve"> </w:t>
            </w:r>
            <w:r w:rsidR="00895324" w:rsidRPr="00610B1B">
              <w:rPr>
                <w:sz w:val="24"/>
                <w:szCs w:val="24"/>
              </w:rPr>
              <w:t xml:space="preserve">което се отразява на </w:t>
            </w:r>
            <w:r w:rsidR="008357D8" w:rsidRPr="00610B1B">
              <w:rPr>
                <w:sz w:val="24"/>
                <w:szCs w:val="24"/>
              </w:rPr>
              <w:t xml:space="preserve">състоянието на </w:t>
            </w:r>
            <w:r w:rsidR="00895324" w:rsidRPr="00610B1B">
              <w:rPr>
                <w:sz w:val="24"/>
                <w:szCs w:val="24"/>
              </w:rPr>
              <w:t>морската среда по някои показатели.</w:t>
            </w:r>
          </w:p>
        </w:tc>
      </w:tr>
      <w:tr w:rsidR="00895324" w:rsidRPr="005C2B9F" w14:paraId="7DA844A9" w14:textId="77777777" w:rsidTr="00AE254B">
        <w:tc>
          <w:tcPr>
            <w:tcW w:w="4962" w:type="dxa"/>
            <w:shd w:val="clear" w:color="auto" w:fill="FFFFFF"/>
          </w:tcPr>
          <w:p w14:paraId="4FA07B54" w14:textId="4CFDA94C" w:rsidR="00895324" w:rsidRPr="00610B1B" w:rsidRDefault="008357D8" w:rsidP="00AE254B">
            <w:pPr>
              <w:pStyle w:val="Normal1"/>
              <w:spacing w:before="20" w:after="20"/>
              <w:rPr>
                <w:color w:val="000000"/>
                <w:sz w:val="24"/>
                <w:szCs w:val="24"/>
              </w:rPr>
            </w:pPr>
            <w:r w:rsidRPr="00610B1B">
              <w:rPr>
                <w:color w:val="000000"/>
                <w:sz w:val="24"/>
                <w:szCs w:val="24"/>
              </w:rPr>
              <w:t xml:space="preserve">Изпълняване на мониторинг и мерки от Програмата от мерки към приетата Морска стратегия на Р. България съгл. чл. 13 от РДМС и мерки по чл. 11 от РДВ. </w:t>
            </w:r>
          </w:p>
        </w:tc>
        <w:tc>
          <w:tcPr>
            <w:tcW w:w="4962" w:type="dxa"/>
            <w:gridSpan w:val="2"/>
            <w:shd w:val="clear" w:color="auto" w:fill="FFFFFF"/>
          </w:tcPr>
          <w:p w14:paraId="5AA817DC" w14:textId="7D82F40A" w:rsidR="00895324" w:rsidRPr="00610B1B" w:rsidRDefault="00782B42" w:rsidP="00AE254B">
            <w:pPr>
              <w:pStyle w:val="Normal1"/>
              <w:spacing w:before="20" w:after="20"/>
              <w:rPr>
                <w:sz w:val="24"/>
                <w:szCs w:val="24"/>
              </w:rPr>
            </w:pPr>
            <w:r w:rsidRPr="00610B1B">
              <w:rPr>
                <w:sz w:val="24"/>
                <w:szCs w:val="24"/>
              </w:rPr>
              <w:t xml:space="preserve">Непостигнато </w:t>
            </w:r>
            <w:r w:rsidR="00DC7A74" w:rsidRPr="00610B1B">
              <w:rPr>
                <w:sz w:val="24"/>
                <w:szCs w:val="24"/>
              </w:rPr>
              <w:t>добро състояние по повечето показатели на морската околна среда: фитопланктон, зоопланктон (поради наличието на инвазивни видове), риби, морски бозайници.</w:t>
            </w:r>
          </w:p>
        </w:tc>
      </w:tr>
      <w:tr w:rsidR="00DC7A74" w:rsidRPr="005C2B9F" w14:paraId="524243F6" w14:textId="77777777" w:rsidTr="00AE254B">
        <w:tc>
          <w:tcPr>
            <w:tcW w:w="4962" w:type="dxa"/>
            <w:shd w:val="clear" w:color="auto" w:fill="FFFFFF"/>
          </w:tcPr>
          <w:p w14:paraId="3B5EFD42" w14:textId="59AF0CD2" w:rsidR="00DC7A74" w:rsidRPr="00610B1B" w:rsidRDefault="00DC7A74" w:rsidP="00AE254B">
            <w:pPr>
              <w:pStyle w:val="Normal1"/>
              <w:spacing w:before="20" w:after="20"/>
              <w:rPr>
                <w:color w:val="000000"/>
                <w:sz w:val="24"/>
                <w:szCs w:val="24"/>
              </w:rPr>
            </w:pPr>
            <w:r w:rsidRPr="00610B1B">
              <w:rPr>
                <w:color w:val="000000"/>
                <w:sz w:val="24"/>
                <w:szCs w:val="24"/>
              </w:rPr>
              <w:t xml:space="preserve">Наличие на уникални за страната и Европа представители на растителния и животински свят и съхранени </w:t>
            </w:r>
            <w:r w:rsidR="00D11F2C" w:rsidRPr="00610B1B">
              <w:rPr>
                <w:color w:val="000000"/>
                <w:sz w:val="24"/>
                <w:szCs w:val="24"/>
              </w:rPr>
              <w:t xml:space="preserve">местообитания </w:t>
            </w:r>
            <w:r w:rsidRPr="00610B1B">
              <w:rPr>
                <w:color w:val="000000"/>
                <w:sz w:val="24"/>
                <w:szCs w:val="24"/>
              </w:rPr>
              <w:t>в акваторията на Черно море и крайбрежната зона. Изградена екологична мрежа от защитени територии и зони и съхранено биоразнообразие.</w:t>
            </w:r>
          </w:p>
        </w:tc>
        <w:tc>
          <w:tcPr>
            <w:tcW w:w="4962" w:type="dxa"/>
            <w:gridSpan w:val="2"/>
            <w:shd w:val="clear" w:color="auto" w:fill="FFFFFF"/>
          </w:tcPr>
          <w:p w14:paraId="46269C2D" w14:textId="6F61B886" w:rsidR="00DC7A74" w:rsidRPr="00610B1B" w:rsidRDefault="00DC7A74" w:rsidP="00AE254B">
            <w:pPr>
              <w:pStyle w:val="Normal1"/>
              <w:spacing w:before="20" w:after="20"/>
              <w:rPr>
                <w:color w:val="000000"/>
                <w:sz w:val="24"/>
                <w:szCs w:val="24"/>
              </w:rPr>
            </w:pPr>
            <w:r w:rsidRPr="00610B1B">
              <w:rPr>
                <w:color w:val="000000"/>
                <w:sz w:val="24"/>
                <w:szCs w:val="24"/>
              </w:rPr>
              <w:t>Засилване на засушаванията в резултат на промени в климата, промени в статуса на влажните зони, намаляване на рибните запаси, увреждане на горските екосистеми, засилване на свлачищните процеси и поява на нови свлачища поради неизграденост на канализациите.</w:t>
            </w:r>
          </w:p>
        </w:tc>
      </w:tr>
      <w:tr w:rsidR="00DC7A74" w:rsidRPr="005C2B9F" w14:paraId="5E358CB9" w14:textId="77777777" w:rsidTr="00AE254B">
        <w:tc>
          <w:tcPr>
            <w:tcW w:w="4962" w:type="dxa"/>
            <w:shd w:val="clear" w:color="auto" w:fill="FFFFFF"/>
          </w:tcPr>
          <w:p w14:paraId="20691FEE" w14:textId="7D4F306D" w:rsidR="00DC7A74" w:rsidRPr="00610B1B" w:rsidRDefault="00F767EC" w:rsidP="00AE254B">
            <w:pPr>
              <w:pStyle w:val="Normal1"/>
              <w:spacing w:before="20" w:after="20"/>
              <w:rPr>
                <w:color w:val="000000"/>
                <w:sz w:val="24"/>
                <w:szCs w:val="24"/>
              </w:rPr>
            </w:pPr>
            <w:r w:rsidRPr="00610B1B">
              <w:rPr>
                <w:color w:val="000000"/>
                <w:sz w:val="24"/>
                <w:szCs w:val="24"/>
              </w:rPr>
              <w:t xml:space="preserve">Периодично въвеждане на забрани за </w:t>
            </w:r>
            <w:r w:rsidR="00DD6CD4" w:rsidRPr="00610B1B">
              <w:rPr>
                <w:color w:val="000000"/>
                <w:sz w:val="24"/>
                <w:szCs w:val="24"/>
              </w:rPr>
              <w:t>стопански риболов</w:t>
            </w:r>
            <w:r w:rsidRPr="00610B1B">
              <w:rPr>
                <w:sz w:val="24"/>
                <w:szCs w:val="24"/>
              </w:rPr>
              <w:t xml:space="preserve"> </w:t>
            </w:r>
            <w:r w:rsidRPr="00610B1B">
              <w:rPr>
                <w:color w:val="000000"/>
                <w:sz w:val="24"/>
                <w:szCs w:val="24"/>
              </w:rPr>
              <w:t xml:space="preserve">в зоните за опазване на ценни видове риби, обект на </w:t>
            </w:r>
            <w:r w:rsidR="00DD6CD4" w:rsidRPr="00610B1B">
              <w:rPr>
                <w:color w:val="000000"/>
                <w:sz w:val="24"/>
                <w:szCs w:val="24"/>
              </w:rPr>
              <w:t>стопански риболов</w:t>
            </w:r>
            <w:r w:rsidRPr="00610B1B">
              <w:rPr>
                <w:color w:val="000000"/>
                <w:sz w:val="24"/>
                <w:szCs w:val="24"/>
              </w:rPr>
              <w:t>, с цел възстановяване на рибните популации.</w:t>
            </w:r>
          </w:p>
        </w:tc>
        <w:tc>
          <w:tcPr>
            <w:tcW w:w="4962" w:type="dxa"/>
            <w:gridSpan w:val="2"/>
            <w:shd w:val="clear" w:color="auto" w:fill="FFFFFF"/>
          </w:tcPr>
          <w:p w14:paraId="7BFAC3C6" w14:textId="170FBEA4" w:rsidR="00DC7A74" w:rsidRPr="00610B1B" w:rsidRDefault="00DD6CD4" w:rsidP="00AE254B">
            <w:pPr>
              <w:pStyle w:val="Normal1"/>
              <w:spacing w:before="20" w:after="20"/>
              <w:rPr>
                <w:color w:val="000000"/>
                <w:sz w:val="24"/>
                <w:szCs w:val="24"/>
              </w:rPr>
            </w:pPr>
            <w:r w:rsidRPr="00610B1B">
              <w:rPr>
                <w:color w:val="000000"/>
                <w:sz w:val="24"/>
                <w:szCs w:val="24"/>
              </w:rPr>
              <w:t>Намаляване на част от рибните запаси</w:t>
            </w:r>
            <w:r w:rsidR="00C415D1" w:rsidRPr="00610B1B">
              <w:rPr>
                <w:color w:val="000000"/>
                <w:sz w:val="24"/>
                <w:szCs w:val="24"/>
              </w:rPr>
              <w:t xml:space="preserve"> </w:t>
            </w:r>
            <w:r w:rsidRPr="00610B1B">
              <w:rPr>
                <w:color w:val="000000"/>
                <w:sz w:val="24"/>
                <w:szCs w:val="24"/>
              </w:rPr>
              <w:t>поради ниска степен на инвестиране в подмяната на риболовните уреди с по-селективни такива, неподходящи методи за риболов с негативно въздействие върху морската среда; незаконен, недеклариран и нерегулиран риболов.</w:t>
            </w:r>
          </w:p>
        </w:tc>
      </w:tr>
      <w:tr w:rsidR="00DC7A74" w:rsidRPr="00610B1B" w14:paraId="0250DE35" w14:textId="77777777" w:rsidTr="00AE254B">
        <w:tc>
          <w:tcPr>
            <w:tcW w:w="4962" w:type="dxa"/>
            <w:shd w:val="clear" w:color="auto" w:fill="BEE6F0"/>
          </w:tcPr>
          <w:p w14:paraId="7ED25AFB" w14:textId="77777777" w:rsidR="00DC7A74" w:rsidRPr="00610B1B" w:rsidRDefault="00DC7A74" w:rsidP="00AE254B">
            <w:pPr>
              <w:pStyle w:val="Normal1"/>
              <w:spacing w:before="20" w:after="20"/>
              <w:jc w:val="center"/>
              <w:rPr>
                <w:b/>
                <w:color w:val="000000"/>
                <w:sz w:val="24"/>
                <w:szCs w:val="24"/>
              </w:rPr>
            </w:pPr>
            <w:r w:rsidRPr="00610B1B">
              <w:rPr>
                <w:b/>
                <w:color w:val="000000"/>
                <w:sz w:val="24"/>
                <w:szCs w:val="24"/>
              </w:rPr>
              <w:t>Възможности</w:t>
            </w:r>
          </w:p>
        </w:tc>
        <w:tc>
          <w:tcPr>
            <w:tcW w:w="4962" w:type="dxa"/>
            <w:gridSpan w:val="2"/>
            <w:shd w:val="clear" w:color="auto" w:fill="BEE6F0"/>
          </w:tcPr>
          <w:p w14:paraId="66F93AC7" w14:textId="77777777" w:rsidR="00DC7A74" w:rsidRPr="00610B1B" w:rsidRDefault="00DC7A74" w:rsidP="00AE254B">
            <w:pPr>
              <w:pStyle w:val="Normal1"/>
              <w:spacing w:before="20" w:after="20"/>
              <w:jc w:val="center"/>
              <w:rPr>
                <w:b/>
                <w:color w:val="000000"/>
                <w:sz w:val="24"/>
                <w:szCs w:val="24"/>
              </w:rPr>
            </w:pPr>
            <w:r w:rsidRPr="00610B1B">
              <w:rPr>
                <w:b/>
                <w:color w:val="000000"/>
                <w:sz w:val="24"/>
                <w:szCs w:val="24"/>
              </w:rPr>
              <w:t>Заплахи</w:t>
            </w:r>
          </w:p>
        </w:tc>
      </w:tr>
      <w:tr w:rsidR="00DC7A74" w:rsidRPr="005C2B9F" w14:paraId="1E59C0AF" w14:textId="77777777" w:rsidTr="00AE254B">
        <w:tc>
          <w:tcPr>
            <w:tcW w:w="4962" w:type="dxa"/>
            <w:shd w:val="clear" w:color="auto" w:fill="FFFFFF"/>
          </w:tcPr>
          <w:p w14:paraId="736938AB" w14:textId="654A38C7" w:rsidR="00DC7A74" w:rsidRPr="00610B1B" w:rsidRDefault="00DC7A74" w:rsidP="00AE254B">
            <w:pPr>
              <w:pStyle w:val="Normal1"/>
              <w:spacing w:before="20" w:after="20"/>
              <w:rPr>
                <w:color w:val="000000"/>
                <w:sz w:val="24"/>
                <w:szCs w:val="24"/>
              </w:rPr>
            </w:pPr>
            <w:r w:rsidRPr="00610B1B">
              <w:rPr>
                <w:color w:val="000000"/>
                <w:sz w:val="24"/>
                <w:szCs w:val="24"/>
              </w:rPr>
              <w:t>Увеличаване на контрола върху изхвърлянето на баластни води от корабите</w:t>
            </w:r>
          </w:p>
        </w:tc>
        <w:tc>
          <w:tcPr>
            <w:tcW w:w="4962" w:type="dxa"/>
            <w:gridSpan w:val="2"/>
            <w:shd w:val="clear" w:color="auto" w:fill="FFFFFF"/>
          </w:tcPr>
          <w:p w14:paraId="47E7B00D" w14:textId="6B71240D" w:rsidR="00DC7A74" w:rsidRPr="00610B1B" w:rsidRDefault="00DC7A74" w:rsidP="00AE254B">
            <w:pPr>
              <w:pStyle w:val="Normal1"/>
              <w:spacing w:before="20" w:after="20"/>
              <w:rPr>
                <w:color w:val="000000"/>
                <w:sz w:val="24"/>
                <w:szCs w:val="24"/>
              </w:rPr>
            </w:pPr>
            <w:r w:rsidRPr="00610B1B">
              <w:rPr>
                <w:color w:val="000000"/>
                <w:sz w:val="24"/>
                <w:szCs w:val="24"/>
              </w:rPr>
              <w:t>Въвеждане и разпространение на чужди инвазивни видове</w:t>
            </w:r>
          </w:p>
        </w:tc>
      </w:tr>
      <w:tr w:rsidR="00DC7A74" w:rsidRPr="005C2B9F" w14:paraId="4903758E" w14:textId="77777777" w:rsidTr="00AE254B">
        <w:tc>
          <w:tcPr>
            <w:tcW w:w="4962" w:type="dxa"/>
            <w:shd w:val="clear" w:color="auto" w:fill="FFFFFF"/>
          </w:tcPr>
          <w:p w14:paraId="1B10A9ED" w14:textId="3FBECC75" w:rsidR="00DC7A74" w:rsidRPr="00610B1B" w:rsidRDefault="00DC7A74" w:rsidP="00AE254B">
            <w:pPr>
              <w:pStyle w:val="Normal1"/>
              <w:spacing w:before="20" w:after="20"/>
              <w:rPr>
                <w:color w:val="000000"/>
                <w:sz w:val="24"/>
                <w:szCs w:val="24"/>
              </w:rPr>
            </w:pPr>
            <w:r w:rsidRPr="00610B1B">
              <w:rPr>
                <w:color w:val="000000"/>
                <w:sz w:val="24"/>
                <w:szCs w:val="24"/>
              </w:rPr>
              <w:t>Използване на благоприятните условия за отглеждане на черната мида (</w:t>
            </w:r>
            <w:r w:rsidRPr="00610B1B">
              <w:rPr>
                <w:i/>
                <w:color w:val="000000"/>
                <w:sz w:val="24"/>
                <w:szCs w:val="24"/>
              </w:rPr>
              <w:t>Mytilus galloprovincialis</w:t>
            </w:r>
            <w:r w:rsidRPr="00610B1B">
              <w:rPr>
                <w:color w:val="000000"/>
                <w:sz w:val="24"/>
                <w:szCs w:val="24"/>
              </w:rPr>
              <w:t>)</w:t>
            </w:r>
            <w:r w:rsidR="00D66FE0" w:rsidRPr="00610B1B">
              <w:rPr>
                <w:color w:val="000000"/>
                <w:sz w:val="24"/>
                <w:szCs w:val="24"/>
              </w:rPr>
              <w:t xml:space="preserve"> </w:t>
            </w:r>
            <w:r w:rsidRPr="00610B1B">
              <w:rPr>
                <w:color w:val="000000"/>
                <w:sz w:val="24"/>
                <w:szCs w:val="24"/>
              </w:rPr>
              <w:t>за развитие на морските аквакултури.</w:t>
            </w:r>
          </w:p>
        </w:tc>
        <w:tc>
          <w:tcPr>
            <w:tcW w:w="4962" w:type="dxa"/>
            <w:gridSpan w:val="2"/>
            <w:shd w:val="clear" w:color="auto" w:fill="FFFFFF"/>
          </w:tcPr>
          <w:p w14:paraId="6953A590" w14:textId="12A862A8" w:rsidR="00DC7A74" w:rsidRPr="00610B1B" w:rsidRDefault="00DC7A74" w:rsidP="00AE254B">
            <w:pPr>
              <w:pStyle w:val="Normal1"/>
              <w:spacing w:before="20" w:after="20"/>
              <w:rPr>
                <w:color w:val="000000"/>
                <w:sz w:val="24"/>
                <w:szCs w:val="24"/>
              </w:rPr>
            </w:pPr>
            <w:r w:rsidRPr="00610B1B">
              <w:rPr>
                <w:color w:val="000000"/>
                <w:sz w:val="24"/>
                <w:szCs w:val="24"/>
              </w:rPr>
              <w:t xml:space="preserve">Увеличаване на </w:t>
            </w:r>
            <w:r w:rsidR="00421174" w:rsidRPr="00610B1B">
              <w:rPr>
                <w:color w:val="000000"/>
                <w:sz w:val="24"/>
                <w:szCs w:val="24"/>
              </w:rPr>
              <w:t>числеността</w:t>
            </w:r>
            <w:r w:rsidRPr="00610B1B">
              <w:rPr>
                <w:color w:val="000000"/>
                <w:sz w:val="24"/>
                <w:szCs w:val="24"/>
              </w:rPr>
              <w:t xml:space="preserve"> на хищния охлюв рапана (</w:t>
            </w:r>
            <w:r w:rsidRPr="00610B1B">
              <w:rPr>
                <w:i/>
                <w:color w:val="000000"/>
                <w:sz w:val="24"/>
                <w:szCs w:val="24"/>
              </w:rPr>
              <w:t>Rapana venosa</w:t>
            </w:r>
            <w:r w:rsidRPr="00610B1B">
              <w:rPr>
                <w:color w:val="000000"/>
                <w:sz w:val="24"/>
                <w:szCs w:val="24"/>
              </w:rPr>
              <w:t xml:space="preserve">) водещо до намаляване на обилието на средообразуващите видове </w:t>
            </w:r>
            <w:r w:rsidRPr="00610B1B">
              <w:rPr>
                <w:i/>
                <w:color w:val="000000"/>
                <w:sz w:val="24"/>
                <w:szCs w:val="24"/>
              </w:rPr>
              <w:t>Mytilus galloprovincialis</w:t>
            </w:r>
            <w:r w:rsidRPr="00610B1B">
              <w:rPr>
                <w:color w:val="000000"/>
                <w:sz w:val="24"/>
                <w:szCs w:val="24"/>
              </w:rPr>
              <w:t xml:space="preserve"> и </w:t>
            </w:r>
            <w:r w:rsidRPr="00610B1B">
              <w:rPr>
                <w:i/>
                <w:color w:val="000000"/>
                <w:sz w:val="24"/>
                <w:szCs w:val="24"/>
              </w:rPr>
              <w:t>Mytilaster lineatus</w:t>
            </w:r>
            <w:r w:rsidRPr="00610B1B">
              <w:rPr>
                <w:color w:val="000000"/>
                <w:sz w:val="24"/>
                <w:szCs w:val="24"/>
              </w:rPr>
              <w:t xml:space="preserve"> и площта на техните местообитания (1170 Рифове).</w:t>
            </w:r>
          </w:p>
        </w:tc>
      </w:tr>
      <w:tr w:rsidR="00DC7A74" w:rsidRPr="005C2B9F" w14:paraId="591C544B" w14:textId="77777777" w:rsidTr="00AE254B">
        <w:tc>
          <w:tcPr>
            <w:tcW w:w="4962" w:type="dxa"/>
            <w:shd w:val="clear" w:color="auto" w:fill="FFFFFF"/>
          </w:tcPr>
          <w:p w14:paraId="61208891" w14:textId="6D8CFC9E" w:rsidR="00F767EC" w:rsidRPr="00610B1B" w:rsidRDefault="00DC7A74" w:rsidP="00AE254B">
            <w:pPr>
              <w:pStyle w:val="Normal1"/>
              <w:spacing w:before="20" w:after="20"/>
              <w:rPr>
                <w:color w:val="000000"/>
                <w:sz w:val="24"/>
                <w:szCs w:val="24"/>
              </w:rPr>
            </w:pPr>
            <w:r w:rsidRPr="00610B1B">
              <w:rPr>
                <w:color w:val="000000"/>
                <w:sz w:val="24"/>
                <w:szCs w:val="24"/>
              </w:rPr>
              <w:t xml:space="preserve">По-висока ефективност при прилагане на мерките в ПУРБ и </w:t>
            </w:r>
            <w:r w:rsidR="00421174" w:rsidRPr="00610B1B">
              <w:rPr>
                <w:color w:val="000000"/>
                <w:sz w:val="24"/>
                <w:szCs w:val="24"/>
              </w:rPr>
              <w:t xml:space="preserve">Морската стратегия и </w:t>
            </w:r>
            <w:r w:rsidRPr="00610B1B">
              <w:rPr>
                <w:color w:val="000000"/>
                <w:sz w:val="24"/>
                <w:szCs w:val="24"/>
              </w:rPr>
              <w:t xml:space="preserve">създаване на по-ефективни мерки за намаляване притока на </w:t>
            </w:r>
            <w:r w:rsidR="00421174" w:rsidRPr="00610B1B">
              <w:rPr>
                <w:color w:val="000000"/>
                <w:sz w:val="24"/>
                <w:szCs w:val="24"/>
              </w:rPr>
              <w:t>замърсяващи вещества, морски отпадъци и подводен шум в морската среда.</w:t>
            </w:r>
          </w:p>
        </w:tc>
        <w:tc>
          <w:tcPr>
            <w:tcW w:w="4962" w:type="dxa"/>
            <w:gridSpan w:val="2"/>
            <w:shd w:val="clear" w:color="auto" w:fill="FFFFFF"/>
          </w:tcPr>
          <w:p w14:paraId="3824068E" w14:textId="374DC721" w:rsidR="00F767EC" w:rsidRPr="00610B1B" w:rsidRDefault="00F767EC" w:rsidP="00AE254B">
            <w:pPr>
              <w:pStyle w:val="Normal1"/>
              <w:spacing w:before="20" w:after="20"/>
              <w:rPr>
                <w:color w:val="000000"/>
                <w:sz w:val="24"/>
                <w:szCs w:val="24"/>
              </w:rPr>
            </w:pPr>
            <w:r w:rsidRPr="00610B1B">
              <w:rPr>
                <w:color w:val="000000"/>
                <w:sz w:val="24"/>
                <w:szCs w:val="24"/>
              </w:rPr>
              <w:t>Увеличаване на нивата на замърсители, морски отпадъци и подводен шум, влошаване на условията в пелагичните и дънни местообитания, загуба на биоразнообразие.</w:t>
            </w:r>
          </w:p>
        </w:tc>
      </w:tr>
      <w:tr w:rsidR="00DC7A74" w:rsidRPr="005C2B9F" w14:paraId="5B57BFCC" w14:textId="77777777" w:rsidTr="00AE254B">
        <w:trPr>
          <w:trHeight w:val="296"/>
        </w:trPr>
        <w:tc>
          <w:tcPr>
            <w:tcW w:w="4962" w:type="dxa"/>
            <w:vMerge w:val="restart"/>
            <w:shd w:val="clear" w:color="auto" w:fill="FFFFFF"/>
          </w:tcPr>
          <w:p w14:paraId="32C3E7F6" w14:textId="13287E04" w:rsidR="00DC7A74" w:rsidRPr="00610B1B" w:rsidRDefault="00DC7A74" w:rsidP="00AE254B">
            <w:pPr>
              <w:pStyle w:val="Normal1"/>
              <w:spacing w:before="20" w:after="20"/>
              <w:rPr>
                <w:color w:val="000000"/>
                <w:sz w:val="24"/>
                <w:szCs w:val="24"/>
              </w:rPr>
            </w:pPr>
            <w:r w:rsidRPr="00610B1B">
              <w:rPr>
                <w:color w:val="000000"/>
                <w:sz w:val="24"/>
                <w:szCs w:val="24"/>
              </w:rPr>
              <w:t>Използване на</w:t>
            </w:r>
            <w:r w:rsidR="00D66FE0" w:rsidRPr="00610B1B">
              <w:rPr>
                <w:color w:val="000000"/>
                <w:sz w:val="24"/>
                <w:szCs w:val="24"/>
              </w:rPr>
              <w:t xml:space="preserve"> </w:t>
            </w:r>
            <w:r w:rsidRPr="00610B1B">
              <w:rPr>
                <w:color w:val="000000"/>
                <w:sz w:val="24"/>
                <w:szCs w:val="24"/>
              </w:rPr>
              <w:t xml:space="preserve">инженерно-биологичен метод за брегозащита с цел намаляване на загубата на дънни местообитания поради затрупване, запечатване и влошена циркулация. </w:t>
            </w:r>
          </w:p>
          <w:p w14:paraId="400523EE" w14:textId="4EEE5898" w:rsidR="005F0F25" w:rsidRPr="00610B1B" w:rsidRDefault="005F0F25" w:rsidP="00AE254B">
            <w:pPr>
              <w:pStyle w:val="Normal1"/>
              <w:spacing w:before="20" w:after="20"/>
              <w:rPr>
                <w:color w:val="000000"/>
                <w:sz w:val="24"/>
                <w:szCs w:val="24"/>
              </w:rPr>
            </w:pPr>
          </w:p>
        </w:tc>
        <w:tc>
          <w:tcPr>
            <w:tcW w:w="4962" w:type="dxa"/>
            <w:gridSpan w:val="2"/>
            <w:vMerge w:val="restart"/>
            <w:shd w:val="clear" w:color="auto" w:fill="FFFFFF"/>
          </w:tcPr>
          <w:p w14:paraId="5B5808D5" w14:textId="55AF9921" w:rsidR="00DC7A74" w:rsidRPr="00610B1B" w:rsidRDefault="00DC7A74" w:rsidP="00AE254B">
            <w:pPr>
              <w:pStyle w:val="Normal1"/>
              <w:spacing w:before="20" w:after="20"/>
              <w:rPr>
                <w:color w:val="000000"/>
                <w:sz w:val="24"/>
                <w:szCs w:val="24"/>
              </w:rPr>
            </w:pPr>
            <w:r w:rsidRPr="00610B1B">
              <w:rPr>
                <w:color w:val="000000"/>
                <w:sz w:val="24"/>
                <w:szCs w:val="24"/>
              </w:rPr>
              <w:t xml:space="preserve">Загуба на биоразнообразие поради свръхулов на целеви и нецелеви видове дънни риби и други видове хидробионти и загуба на дънни местообитания на шелфа (1170; 1110) поради нарушаване на целостта на морското дъно, </w:t>
            </w:r>
            <w:r w:rsidRPr="00610B1B">
              <w:rPr>
                <w:color w:val="000000"/>
                <w:sz w:val="24"/>
                <w:szCs w:val="24"/>
              </w:rPr>
              <w:lastRenderedPageBreak/>
              <w:t xml:space="preserve">фрагментация на местообитанията в резултат от дънно тралене при </w:t>
            </w:r>
            <w:r w:rsidR="00DD6CD4" w:rsidRPr="00610B1B">
              <w:rPr>
                <w:color w:val="000000"/>
                <w:sz w:val="24"/>
                <w:szCs w:val="24"/>
              </w:rPr>
              <w:t>стопански</w:t>
            </w:r>
            <w:r w:rsidRPr="00610B1B">
              <w:rPr>
                <w:color w:val="000000"/>
                <w:sz w:val="24"/>
                <w:szCs w:val="24"/>
              </w:rPr>
              <w:t xml:space="preserve"> риболов, драгиране и депониране на драгираните инертни материали.</w:t>
            </w:r>
          </w:p>
        </w:tc>
      </w:tr>
      <w:tr w:rsidR="00DC7A74" w:rsidRPr="005C2B9F" w14:paraId="354D0FFB" w14:textId="77777777" w:rsidTr="00AE254B">
        <w:trPr>
          <w:trHeight w:val="316"/>
        </w:trPr>
        <w:tc>
          <w:tcPr>
            <w:tcW w:w="4962" w:type="dxa"/>
            <w:vMerge/>
            <w:shd w:val="clear" w:color="auto" w:fill="FFFFFF"/>
          </w:tcPr>
          <w:p w14:paraId="5065EEF1" w14:textId="77777777" w:rsidR="00DC7A74" w:rsidRPr="00610B1B" w:rsidRDefault="00DC7A74" w:rsidP="00AE254B">
            <w:pPr>
              <w:pStyle w:val="Normal1"/>
              <w:spacing w:before="20" w:after="20"/>
              <w:rPr>
                <w:color w:val="000000"/>
                <w:sz w:val="24"/>
                <w:szCs w:val="24"/>
              </w:rPr>
            </w:pPr>
          </w:p>
        </w:tc>
        <w:tc>
          <w:tcPr>
            <w:tcW w:w="4962" w:type="dxa"/>
            <w:gridSpan w:val="2"/>
            <w:vMerge/>
            <w:shd w:val="clear" w:color="auto" w:fill="FFFFFF"/>
          </w:tcPr>
          <w:p w14:paraId="718C7AB9" w14:textId="77777777" w:rsidR="00DC7A74" w:rsidRPr="00610B1B" w:rsidRDefault="00DC7A74" w:rsidP="00AE254B">
            <w:pPr>
              <w:pStyle w:val="Normal1"/>
              <w:spacing w:before="20" w:after="20"/>
              <w:rPr>
                <w:color w:val="000000"/>
                <w:sz w:val="24"/>
                <w:szCs w:val="24"/>
              </w:rPr>
            </w:pPr>
          </w:p>
        </w:tc>
      </w:tr>
      <w:tr w:rsidR="00DC7A74" w:rsidRPr="005C2B9F" w14:paraId="2E529905" w14:textId="77777777" w:rsidTr="00AE254B">
        <w:tc>
          <w:tcPr>
            <w:tcW w:w="4962" w:type="dxa"/>
            <w:shd w:val="clear" w:color="auto" w:fill="FFFFFF"/>
          </w:tcPr>
          <w:p w14:paraId="686AE4ED" w14:textId="64A6C548" w:rsidR="00DC7A74" w:rsidRPr="00610B1B" w:rsidRDefault="00DC7A74" w:rsidP="00AE254B">
            <w:pPr>
              <w:pStyle w:val="Normal1"/>
              <w:spacing w:before="20" w:after="20"/>
              <w:rPr>
                <w:color w:val="000000"/>
                <w:sz w:val="24"/>
                <w:szCs w:val="24"/>
              </w:rPr>
            </w:pPr>
            <w:r w:rsidRPr="00610B1B">
              <w:rPr>
                <w:color w:val="000000"/>
                <w:sz w:val="24"/>
                <w:szCs w:val="24"/>
              </w:rPr>
              <w:t>Използване на нови методи за риболов, които не увреждат дънните местообитания и намаляват случайния улов на нецелеви видове риби.</w:t>
            </w:r>
          </w:p>
        </w:tc>
        <w:tc>
          <w:tcPr>
            <w:tcW w:w="4962" w:type="dxa"/>
            <w:gridSpan w:val="2"/>
            <w:shd w:val="clear" w:color="auto" w:fill="FFFFFF"/>
          </w:tcPr>
          <w:p w14:paraId="67DD42A5" w14:textId="7DA1CC0F" w:rsidR="00DC7A74" w:rsidRPr="00610B1B" w:rsidRDefault="00DC7A74" w:rsidP="00AE254B">
            <w:pPr>
              <w:pStyle w:val="Normal1"/>
              <w:spacing w:before="20" w:after="20"/>
              <w:rPr>
                <w:color w:val="000000"/>
                <w:sz w:val="24"/>
                <w:szCs w:val="24"/>
              </w:rPr>
            </w:pPr>
            <w:r w:rsidRPr="00610B1B">
              <w:rPr>
                <w:color w:val="000000"/>
                <w:sz w:val="24"/>
                <w:szCs w:val="24"/>
              </w:rPr>
              <w:t>Влошаване на състоянието на ключови видове във високите звена на трофичните хранителни вериги - риби, птици и морски бозайници, поради случаен улов.</w:t>
            </w:r>
          </w:p>
        </w:tc>
      </w:tr>
      <w:tr w:rsidR="00DC7A74" w:rsidRPr="005C2B9F" w14:paraId="671D3EEB" w14:textId="77777777" w:rsidTr="00AE254B">
        <w:tc>
          <w:tcPr>
            <w:tcW w:w="4962" w:type="dxa"/>
            <w:shd w:val="clear" w:color="auto" w:fill="FFFFFF"/>
          </w:tcPr>
          <w:p w14:paraId="31C52FEE" w14:textId="0617D152" w:rsidR="00DC7A74" w:rsidRPr="00610B1B" w:rsidRDefault="00DC7A74" w:rsidP="00AE254B">
            <w:pPr>
              <w:pStyle w:val="Normal1"/>
              <w:spacing w:before="20" w:after="20"/>
              <w:rPr>
                <w:color w:val="000000"/>
                <w:sz w:val="24"/>
                <w:szCs w:val="24"/>
              </w:rPr>
            </w:pPr>
            <w:bookmarkStart w:id="414" w:name="_1fob9te" w:colFirst="0" w:colLast="0"/>
            <w:bookmarkEnd w:id="414"/>
            <w:r w:rsidRPr="00610B1B">
              <w:rPr>
                <w:color w:val="000000"/>
                <w:sz w:val="24"/>
                <w:szCs w:val="24"/>
              </w:rPr>
              <w:t>Разработване на смекчаващи мерки на базата на прогнози и сценарии за негативното въздействие от промените в климата.</w:t>
            </w:r>
          </w:p>
        </w:tc>
        <w:tc>
          <w:tcPr>
            <w:tcW w:w="4962" w:type="dxa"/>
            <w:gridSpan w:val="2"/>
            <w:shd w:val="clear" w:color="auto" w:fill="FFFFFF"/>
          </w:tcPr>
          <w:p w14:paraId="74CC9280" w14:textId="18BC2D05" w:rsidR="00DC7A74" w:rsidRPr="00610B1B" w:rsidRDefault="00DC7A74" w:rsidP="00AE254B">
            <w:pPr>
              <w:pStyle w:val="Normal1"/>
              <w:spacing w:before="20" w:after="20"/>
              <w:rPr>
                <w:color w:val="000000"/>
                <w:sz w:val="24"/>
                <w:szCs w:val="24"/>
              </w:rPr>
            </w:pPr>
            <w:r w:rsidRPr="00610B1B">
              <w:rPr>
                <w:color w:val="000000"/>
                <w:sz w:val="24"/>
                <w:szCs w:val="24"/>
              </w:rPr>
              <w:t>Изменения на климата и хидрографските условия (например температурата на морската вода) водещи до негативни изменения в средата за обитаване на морските организми.</w:t>
            </w:r>
          </w:p>
        </w:tc>
      </w:tr>
      <w:tr w:rsidR="00DC7A74" w:rsidRPr="005C2B9F" w14:paraId="4F829B03" w14:textId="77777777" w:rsidTr="00AE254B">
        <w:tc>
          <w:tcPr>
            <w:tcW w:w="4962" w:type="dxa"/>
            <w:shd w:val="clear" w:color="auto" w:fill="FFFFFF"/>
          </w:tcPr>
          <w:p w14:paraId="62F63ED2" w14:textId="57E41FE5" w:rsidR="00DC7A74" w:rsidRPr="00610B1B" w:rsidRDefault="00DC7A74" w:rsidP="00AE254B">
            <w:pPr>
              <w:pStyle w:val="Normal1"/>
              <w:spacing w:before="20" w:after="20"/>
              <w:rPr>
                <w:color w:val="000000"/>
                <w:sz w:val="24"/>
                <w:szCs w:val="24"/>
              </w:rPr>
            </w:pPr>
            <w:r w:rsidRPr="00610B1B">
              <w:rPr>
                <w:color w:val="000000"/>
                <w:sz w:val="24"/>
                <w:szCs w:val="24"/>
              </w:rPr>
              <w:t>Оценка на ефективността на съществуващите мерки по чл. 11 от РДВ и чл. 13 от РДМС и въвеждане на по-конкретните нови мерки при необходимост.</w:t>
            </w:r>
          </w:p>
        </w:tc>
        <w:tc>
          <w:tcPr>
            <w:tcW w:w="4962" w:type="dxa"/>
            <w:gridSpan w:val="2"/>
            <w:shd w:val="clear" w:color="auto" w:fill="FFFFFF"/>
          </w:tcPr>
          <w:p w14:paraId="1BD4D881" w14:textId="25BC95AF" w:rsidR="00DC7A74" w:rsidRPr="00610B1B" w:rsidRDefault="009D0D83" w:rsidP="00AE254B">
            <w:pPr>
              <w:pStyle w:val="Normal1"/>
              <w:spacing w:before="20" w:after="20"/>
              <w:rPr>
                <w:color w:val="000000"/>
                <w:sz w:val="24"/>
                <w:szCs w:val="24"/>
              </w:rPr>
            </w:pPr>
            <w:r w:rsidRPr="00610B1B">
              <w:rPr>
                <w:color w:val="000000"/>
                <w:sz w:val="24"/>
                <w:szCs w:val="24"/>
              </w:rPr>
              <w:t xml:space="preserve">Непостигане на заложените цели за добро състояние на морската среда, поради ненавременно и неефективно прилагане марките по РДВ и РДМС. </w:t>
            </w:r>
          </w:p>
        </w:tc>
      </w:tr>
      <w:tr w:rsidR="00DC7A74" w:rsidRPr="005C2B9F" w14:paraId="49D23D7C" w14:textId="77777777" w:rsidTr="00AE254B">
        <w:tc>
          <w:tcPr>
            <w:tcW w:w="4962" w:type="dxa"/>
            <w:shd w:val="clear" w:color="auto" w:fill="FFFFFF"/>
          </w:tcPr>
          <w:p w14:paraId="6081AD3C" w14:textId="41140DC3" w:rsidR="00496963" w:rsidRPr="00610B1B" w:rsidRDefault="00496963" w:rsidP="00AE254B">
            <w:pPr>
              <w:pStyle w:val="Normal1"/>
              <w:spacing w:before="20" w:after="20"/>
              <w:rPr>
                <w:color w:val="000000"/>
                <w:sz w:val="24"/>
                <w:szCs w:val="24"/>
              </w:rPr>
            </w:pPr>
            <w:r w:rsidRPr="00610B1B">
              <w:rPr>
                <w:color w:val="000000"/>
                <w:sz w:val="24"/>
                <w:szCs w:val="24"/>
              </w:rPr>
              <w:t xml:space="preserve">Картографиране на подводния шум и създаването на регистър на шума (по аналог на британския регистър на шума - URL: </w:t>
            </w:r>
            <w:hyperlink r:id="rId54" w:history="1">
              <w:r w:rsidR="005F0F25" w:rsidRPr="00610B1B">
                <w:rPr>
                  <w:rStyle w:val="Hyperlink"/>
                  <w:sz w:val="24"/>
                  <w:szCs w:val="24"/>
                </w:rPr>
                <w:t>https://mnr.jncc.gov.uk/</w:t>
              </w:r>
            </w:hyperlink>
            <w:r w:rsidRPr="00610B1B">
              <w:rPr>
                <w:color w:val="000000"/>
                <w:sz w:val="24"/>
                <w:szCs w:val="24"/>
              </w:rPr>
              <w:t xml:space="preserve">) за по-лесно прилагане на мерките, предвидени в Морската стратегия на Р. България и координиране на дейностите в морето. </w:t>
            </w:r>
          </w:p>
        </w:tc>
        <w:tc>
          <w:tcPr>
            <w:tcW w:w="4962" w:type="dxa"/>
            <w:gridSpan w:val="2"/>
            <w:shd w:val="clear" w:color="auto" w:fill="FFFFFF"/>
          </w:tcPr>
          <w:p w14:paraId="598B9FEA" w14:textId="77777777" w:rsidR="00DC7A74" w:rsidRPr="00610B1B" w:rsidRDefault="00DC7A74" w:rsidP="00AE254B">
            <w:pPr>
              <w:pStyle w:val="Normal1"/>
              <w:spacing w:before="20" w:after="20"/>
              <w:rPr>
                <w:color w:val="000000"/>
                <w:sz w:val="24"/>
                <w:szCs w:val="24"/>
              </w:rPr>
            </w:pPr>
          </w:p>
          <w:p w14:paraId="623822FE" w14:textId="77777777" w:rsidR="0098375E" w:rsidRPr="00610B1B" w:rsidRDefault="0098375E" w:rsidP="00AE254B">
            <w:pPr>
              <w:pStyle w:val="Normal1"/>
              <w:spacing w:before="20" w:after="20"/>
              <w:rPr>
                <w:color w:val="000000"/>
                <w:sz w:val="24"/>
                <w:szCs w:val="24"/>
              </w:rPr>
            </w:pPr>
          </w:p>
          <w:p w14:paraId="7C8F2F21" w14:textId="77777777" w:rsidR="0098375E" w:rsidRPr="00610B1B" w:rsidRDefault="0098375E" w:rsidP="00AE254B">
            <w:pPr>
              <w:pStyle w:val="Normal1"/>
              <w:spacing w:before="20" w:after="20"/>
              <w:rPr>
                <w:color w:val="000000"/>
                <w:sz w:val="24"/>
                <w:szCs w:val="24"/>
              </w:rPr>
            </w:pPr>
          </w:p>
          <w:p w14:paraId="69DFCD42" w14:textId="1C1000D9" w:rsidR="0098375E" w:rsidRPr="00610B1B" w:rsidRDefault="0098375E" w:rsidP="00AE254B">
            <w:pPr>
              <w:pStyle w:val="Normal1"/>
              <w:spacing w:before="20" w:after="20"/>
              <w:rPr>
                <w:color w:val="000000"/>
                <w:sz w:val="24"/>
                <w:szCs w:val="24"/>
              </w:rPr>
            </w:pPr>
          </w:p>
        </w:tc>
      </w:tr>
      <w:tr w:rsidR="00DC7A74" w:rsidRPr="005C2B9F" w14:paraId="51270800" w14:textId="77777777" w:rsidTr="00AE254B">
        <w:tc>
          <w:tcPr>
            <w:tcW w:w="9924" w:type="dxa"/>
            <w:gridSpan w:val="3"/>
            <w:shd w:val="clear" w:color="auto" w:fill="92CDDC"/>
          </w:tcPr>
          <w:p w14:paraId="301C84FF" w14:textId="77777777" w:rsidR="00DC7A74" w:rsidRPr="00610B1B" w:rsidRDefault="00DC7A74" w:rsidP="00AE254B">
            <w:pPr>
              <w:pStyle w:val="Heading4"/>
              <w:spacing w:before="20" w:after="20"/>
              <w:jc w:val="center"/>
              <w:rPr>
                <w:rFonts w:cs="Times New Roman"/>
                <w:szCs w:val="24"/>
              </w:rPr>
            </w:pPr>
            <w:bookmarkStart w:id="415" w:name="_1smshf8ihq3e" w:colFirst="0" w:colLast="0"/>
            <w:bookmarkEnd w:id="415"/>
            <w:r w:rsidRPr="00610B1B">
              <w:rPr>
                <w:rFonts w:cs="Times New Roman"/>
                <w:szCs w:val="24"/>
              </w:rPr>
              <w:t>УРБАНИЗАЦИЯ НА БЪЛГАРСКОТО ЧЕРНОМОРСКО КРАЙБРЕЖИЕ</w:t>
            </w:r>
          </w:p>
        </w:tc>
      </w:tr>
      <w:tr w:rsidR="00DC7A74" w:rsidRPr="00610B1B" w14:paraId="297157F3" w14:textId="77777777" w:rsidTr="00AE254B">
        <w:tc>
          <w:tcPr>
            <w:tcW w:w="4962" w:type="dxa"/>
            <w:shd w:val="clear" w:color="auto" w:fill="BEE6F0"/>
          </w:tcPr>
          <w:p w14:paraId="616ABEEA" w14:textId="77777777" w:rsidR="00DC7A74" w:rsidRPr="00610B1B" w:rsidRDefault="00DC7A74" w:rsidP="00AE254B">
            <w:pPr>
              <w:pStyle w:val="Normal1"/>
              <w:spacing w:before="20" w:after="20"/>
              <w:jc w:val="center"/>
              <w:rPr>
                <w:b/>
                <w:color w:val="000000"/>
                <w:sz w:val="24"/>
                <w:szCs w:val="24"/>
              </w:rPr>
            </w:pPr>
            <w:r w:rsidRPr="00610B1B">
              <w:rPr>
                <w:b/>
                <w:color w:val="000000"/>
                <w:sz w:val="24"/>
                <w:szCs w:val="24"/>
              </w:rPr>
              <w:t>Силни страни</w:t>
            </w:r>
          </w:p>
        </w:tc>
        <w:tc>
          <w:tcPr>
            <w:tcW w:w="4962" w:type="dxa"/>
            <w:gridSpan w:val="2"/>
            <w:shd w:val="clear" w:color="auto" w:fill="BEE6F0"/>
          </w:tcPr>
          <w:p w14:paraId="572B0BD2" w14:textId="77777777" w:rsidR="00DC7A74" w:rsidRPr="00610B1B" w:rsidRDefault="00DC7A74" w:rsidP="00AE254B">
            <w:pPr>
              <w:pStyle w:val="Normal1"/>
              <w:spacing w:before="20" w:after="20"/>
              <w:jc w:val="center"/>
              <w:rPr>
                <w:b/>
                <w:color w:val="000000"/>
                <w:sz w:val="24"/>
                <w:szCs w:val="24"/>
              </w:rPr>
            </w:pPr>
            <w:r w:rsidRPr="00610B1B">
              <w:rPr>
                <w:b/>
                <w:color w:val="000000"/>
                <w:sz w:val="24"/>
                <w:szCs w:val="24"/>
              </w:rPr>
              <w:t>Слаби страни</w:t>
            </w:r>
          </w:p>
        </w:tc>
      </w:tr>
      <w:tr w:rsidR="00DC7A74" w:rsidRPr="005C2B9F" w14:paraId="34A0150B" w14:textId="77777777" w:rsidTr="00AE254B">
        <w:tc>
          <w:tcPr>
            <w:tcW w:w="4962" w:type="dxa"/>
            <w:shd w:val="clear" w:color="auto" w:fill="auto"/>
          </w:tcPr>
          <w:p w14:paraId="7C47C4E3" w14:textId="16BF4155" w:rsidR="00DC7A74" w:rsidRPr="00610B1B" w:rsidRDefault="008168EF" w:rsidP="00AE254B">
            <w:pPr>
              <w:spacing w:before="20" w:after="20" w:line="240" w:lineRule="auto"/>
              <w:rPr>
                <w:rFonts w:ascii="Times New Roman" w:hAnsi="Times New Roman" w:cs="Times New Roman"/>
                <w:color w:val="000000"/>
                <w:sz w:val="24"/>
                <w:szCs w:val="24"/>
                <w:lang w:val="bg-BG"/>
              </w:rPr>
            </w:pPr>
            <w:r w:rsidRPr="00610B1B">
              <w:rPr>
                <w:rFonts w:ascii="Times New Roman" w:hAnsi="Times New Roman" w:cs="Times New Roman"/>
                <w:sz w:val="24"/>
                <w:szCs w:val="24"/>
                <w:lang w:val="bg-BG"/>
              </w:rPr>
              <w:t>Увеличаване на</w:t>
            </w:r>
            <w:r w:rsidR="00DC7A74" w:rsidRPr="00610B1B">
              <w:rPr>
                <w:rFonts w:ascii="Times New Roman" w:hAnsi="Times New Roman" w:cs="Times New Roman"/>
                <w:sz w:val="24"/>
                <w:szCs w:val="24"/>
                <w:lang w:val="bg-BG"/>
              </w:rPr>
              <w:t xml:space="preserve"> населението в градовете </w:t>
            </w:r>
            <w:r w:rsidR="000463D1" w:rsidRPr="00610B1B">
              <w:rPr>
                <w:rFonts w:ascii="Times New Roman" w:hAnsi="Times New Roman" w:cs="Times New Roman"/>
                <w:sz w:val="24"/>
                <w:szCs w:val="24"/>
                <w:lang w:val="bg-BG"/>
              </w:rPr>
              <w:t xml:space="preserve">по Черноморието </w:t>
            </w:r>
            <w:r w:rsidR="00DC7A74" w:rsidRPr="00610B1B">
              <w:rPr>
                <w:rFonts w:ascii="Times New Roman" w:hAnsi="Times New Roman" w:cs="Times New Roman"/>
                <w:sz w:val="24"/>
                <w:szCs w:val="24"/>
                <w:lang w:val="bg-BG"/>
              </w:rPr>
              <w:t>поради положителен механичен прираст с 0</w:t>
            </w:r>
            <w:r w:rsidR="000463D1" w:rsidRPr="00610B1B">
              <w:rPr>
                <w:rFonts w:ascii="Times New Roman" w:hAnsi="Times New Roman" w:cs="Times New Roman"/>
                <w:sz w:val="24"/>
                <w:szCs w:val="24"/>
                <w:lang w:val="bg-BG"/>
              </w:rPr>
              <w:t>,</w:t>
            </w:r>
            <w:r w:rsidR="00DC7A74" w:rsidRPr="00610B1B">
              <w:rPr>
                <w:rFonts w:ascii="Times New Roman" w:hAnsi="Times New Roman" w:cs="Times New Roman"/>
                <w:sz w:val="24"/>
                <w:szCs w:val="24"/>
                <w:lang w:val="bg-BG"/>
              </w:rPr>
              <w:t xml:space="preserve">9 %, </w:t>
            </w:r>
            <w:r w:rsidRPr="00610B1B">
              <w:rPr>
                <w:rFonts w:ascii="Times New Roman" w:hAnsi="Times New Roman" w:cs="Times New Roman"/>
                <w:sz w:val="24"/>
                <w:szCs w:val="24"/>
                <w:lang w:val="bg-BG"/>
              </w:rPr>
              <w:t xml:space="preserve">при намаление с 3,9% на </w:t>
            </w:r>
            <w:r w:rsidR="00DC7A74" w:rsidRPr="00610B1B">
              <w:rPr>
                <w:rFonts w:ascii="Times New Roman" w:hAnsi="Times New Roman" w:cs="Times New Roman"/>
                <w:sz w:val="24"/>
                <w:szCs w:val="24"/>
                <w:lang w:val="bg-BG"/>
              </w:rPr>
              <w:t>населението на градовете в стран</w:t>
            </w:r>
            <w:r w:rsidRPr="00610B1B">
              <w:rPr>
                <w:rFonts w:ascii="Times New Roman" w:hAnsi="Times New Roman" w:cs="Times New Roman"/>
                <w:sz w:val="24"/>
                <w:szCs w:val="24"/>
                <w:lang w:val="bg-BG"/>
              </w:rPr>
              <w:t>ата</w:t>
            </w:r>
            <w:r w:rsidR="00DC7A74" w:rsidRPr="00610B1B">
              <w:rPr>
                <w:rFonts w:ascii="Times New Roman" w:hAnsi="Times New Roman" w:cs="Times New Roman"/>
                <w:sz w:val="24"/>
                <w:szCs w:val="24"/>
                <w:lang w:val="bg-BG"/>
              </w:rPr>
              <w:t xml:space="preserve">. </w:t>
            </w:r>
            <w:r w:rsidR="000463D1" w:rsidRPr="00610B1B">
              <w:rPr>
                <w:rFonts w:ascii="Times New Roman" w:hAnsi="Times New Roman" w:cs="Times New Roman"/>
                <w:sz w:val="24"/>
                <w:szCs w:val="24"/>
                <w:lang w:val="bg-BG"/>
              </w:rPr>
              <w:t>З</w:t>
            </w:r>
            <w:r w:rsidR="00DC7A74" w:rsidRPr="00610B1B">
              <w:rPr>
                <w:rFonts w:ascii="Times New Roman" w:hAnsi="Times New Roman" w:cs="Times New Roman"/>
                <w:sz w:val="24"/>
                <w:szCs w:val="24"/>
                <w:lang w:val="bg-BG"/>
              </w:rPr>
              <w:t>начително увеличение на населението в градовете Бургас (2</w:t>
            </w:r>
            <w:r w:rsidRPr="00610B1B">
              <w:rPr>
                <w:rFonts w:ascii="Times New Roman" w:hAnsi="Times New Roman" w:cs="Times New Roman"/>
                <w:sz w:val="24"/>
                <w:szCs w:val="24"/>
                <w:lang w:val="bg-BG"/>
              </w:rPr>
              <w:t> </w:t>
            </w:r>
            <w:r w:rsidR="00DC7A74" w:rsidRPr="00610B1B">
              <w:rPr>
                <w:rFonts w:ascii="Times New Roman" w:hAnsi="Times New Roman" w:cs="Times New Roman"/>
                <w:sz w:val="24"/>
                <w:szCs w:val="24"/>
                <w:lang w:val="bg-BG"/>
              </w:rPr>
              <w:t>950 д.), Несебър (2</w:t>
            </w:r>
            <w:r w:rsidRPr="00610B1B">
              <w:rPr>
                <w:rFonts w:ascii="Times New Roman" w:hAnsi="Times New Roman" w:cs="Times New Roman"/>
                <w:sz w:val="24"/>
                <w:szCs w:val="24"/>
                <w:lang w:val="bg-BG"/>
              </w:rPr>
              <w:t> </w:t>
            </w:r>
            <w:r w:rsidR="00DC7A74" w:rsidRPr="00610B1B">
              <w:rPr>
                <w:rFonts w:ascii="Times New Roman" w:hAnsi="Times New Roman" w:cs="Times New Roman"/>
                <w:sz w:val="24"/>
                <w:szCs w:val="24"/>
                <w:lang w:val="bg-BG"/>
              </w:rPr>
              <w:t>512 д.) и Варна (1</w:t>
            </w:r>
            <w:r w:rsidRPr="00610B1B">
              <w:rPr>
                <w:rFonts w:ascii="Times New Roman" w:hAnsi="Times New Roman" w:cs="Times New Roman"/>
                <w:sz w:val="24"/>
                <w:szCs w:val="24"/>
                <w:lang w:val="bg-BG"/>
              </w:rPr>
              <w:t> </w:t>
            </w:r>
            <w:r w:rsidR="00DC7A74" w:rsidRPr="00610B1B">
              <w:rPr>
                <w:rFonts w:ascii="Times New Roman" w:hAnsi="Times New Roman" w:cs="Times New Roman"/>
                <w:sz w:val="24"/>
                <w:szCs w:val="24"/>
                <w:lang w:val="bg-BG"/>
              </w:rPr>
              <w:t>724 д.)</w:t>
            </w:r>
          </w:p>
        </w:tc>
        <w:tc>
          <w:tcPr>
            <w:tcW w:w="4962" w:type="dxa"/>
            <w:gridSpan w:val="2"/>
            <w:shd w:val="clear" w:color="auto" w:fill="auto"/>
          </w:tcPr>
          <w:p w14:paraId="43191BB2" w14:textId="46CC55A9" w:rsidR="00DC7A74" w:rsidRPr="00610B1B" w:rsidRDefault="00DC7A74" w:rsidP="00AE254B">
            <w:pPr>
              <w:spacing w:before="20" w:after="20" w:line="240" w:lineRule="auto"/>
              <w:rPr>
                <w:rFonts w:ascii="Times New Roman" w:hAnsi="Times New Roman" w:cs="Times New Roman"/>
                <w:sz w:val="24"/>
                <w:szCs w:val="24"/>
                <w:lang w:val="bg-BG"/>
              </w:rPr>
            </w:pPr>
            <w:r w:rsidRPr="00610B1B">
              <w:rPr>
                <w:rFonts w:ascii="Times New Roman" w:hAnsi="Times New Roman" w:cs="Times New Roman"/>
                <w:bCs/>
                <w:sz w:val="24"/>
                <w:szCs w:val="24"/>
                <w:lang w:val="bg-BG"/>
              </w:rPr>
              <w:t>Дисбаланс в териториалното разпределение на градското население</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в</w:t>
            </w:r>
            <w:r w:rsidRPr="00610B1B">
              <w:rPr>
                <w:rFonts w:ascii="Times New Roman" w:hAnsi="Times New Roman" w:cs="Times New Roman"/>
                <w:sz w:val="24"/>
                <w:szCs w:val="24"/>
                <w:lang w:val="bg-BG"/>
              </w:rPr>
              <w:t xml:space="preserve"> градовете</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 xml:space="preserve">Варна и Бургас е </w:t>
            </w:r>
            <w:r w:rsidR="008168EF" w:rsidRPr="00610B1B">
              <w:rPr>
                <w:rFonts w:ascii="Times New Roman" w:hAnsi="Times New Roman" w:cs="Times New Roman"/>
                <w:sz w:val="24"/>
                <w:szCs w:val="24"/>
                <w:lang w:val="bg-BG"/>
              </w:rPr>
              <w:t>съсредоточено</w:t>
            </w:r>
            <w:r w:rsidRPr="00610B1B">
              <w:rPr>
                <w:rFonts w:ascii="Times New Roman" w:hAnsi="Times New Roman" w:cs="Times New Roman"/>
                <w:sz w:val="24"/>
                <w:szCs w:val="24"/>
                <w:lang w:val="bg-BG"/>
              </w:rPr>
              <w:t xml:space="preserve"> над 84</w:t>
            </w:r>
            <w:r w:rsidR="000463D1"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0% от градското население</w:t>
            </w:r>
            <w:r w:rsidR="000463D1" w:rsidRPr="00610B1B">
              <w:rPr>
                <w:rFonts w:ascii="Times New Roman" w:hAnsi="Times New Roman" w:cs="Times New Roman"/>
                <w:sz w:val="24"/>
                <w:szCs w:val="24"/>
                <w:lang w:val="bg-BG"/>
              </w:rPr>
              <w:t>.</w:t>
            </w:r>
          </w:p>
          <w:p w14:paraId="35486038" w14:textId="77777777" w:rsidR="00DC7A74" w:rsidRPr="00610B1B" w:rsidRDefault="00DC7A74" w:rsidP="00AE254B">
            <w:pPr>
              <w:pStyle w:val="Normal1"/>
              <w:spacing w:before="20" w:after="20"/>
              <w:rPr>
                <w:color w:val="000000"/>
                <w:sz w:val="24"/>
                <w:szCs w:val="24"/>
              </w:rPr>
            </w:pPr>
          </w:p>
        </w:tc>
      </w:tr>
      <w:tr w:rsidR="00DC7A74" w:rsidRPr="005C2B9F" w14:paraId="1FEE18ED" w14:textId="77777777" w:rsidTr="00AE254B">
        <w:tc>
          <w:tcPr>
            <w:tcW w:w="4962" w:type="dxa"/>
            <w:shd w:val="clear" w:color="auto" w:fill="auto"/>
          </w:tcPr>
          <w:p w14:paraId="40577C1E" w14:textId="5411090F" w:rsidR="00DC7A74" w:rsidRPr="00610B1B" w:rsidRDefault="00DC7A74" w:rsidP="00AE254B">
            <w:pPr>
              <w:spacing w:before="20" w:after="20" w:line="240" w:lineRule="auto"/>
              <w:rPr>
                <w:rFonts w:ascii="Times New Roman" w:hAnsi="Times New Roman" w:cs="Times New Roman"/>
                <w:color w:val="000000"/>
                <w:sz w:val="24"/>
                <w:szCs w:val="24"/>
                <w:lang w:val="bg-BG"/>
              </w:rPr>
            </w:pPr>
            <w:r w:rsidRPr="00610B1B">
              <w:rPr>
                <w:rFonts w:ascii="Times New Roman" w:hAnsi="Times New Roman" w:cs="Times New Roman"/>
                <w:sz w:val="24"/>
                <w:szCs w:val="24"/>
                <w:lang w:val="bg-BG"/>
              </w:rPr>
              <w:t>Сравнително висок дял на населението в групата 15 до 64 г. (66</w:t>
            </w:r>
            <w:r w:rsidR="000463D1"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5 %), от която се формира основно трудовия потенциал</w:t>
            </w:r>
            <w:r w:rsidR="000463D1" w:rsidRPr="00610B1B">
              <w:rPr>
                <w:rFonts w:ascii="Times New Roman" w:hAnsi="Times New Roman" w:cs="Times New Roman"/>
                <w:sz w:val="24"/>
                <w:szCs w:val="24"/>
                <w:lang w:val="bg-BG"/>
              </w:rPr>
              <w:t>.</w:t>
            </w:r>
          </w:p>
        </w:tc>
        <w:tc>
          <w:tcPr>
            <w:tcW w:w="4962" w:type="dxa"/>
            <w:gridSpan w:val="2"/>
            <w:shd w:val="clear" w:color="auto" w:fill="auto"/>
          </w:tcPr>
          <w:p w14:paraId="774151DA" w14:textId="7F4DCE33" w:rsidR="00DC7A74" w:rsidRPr="00610B1B" w:rsidRDefault="00DC7A74" w:rsidP="00AE254B">
            <w:pPr>
              <w:autoSpaceDE w:val="0"/>
              <w:autoSpaceDN w:val="0"/>
              <w:adjustRightInd w:val="0"/>
              <w:spacing w:before="20" w:after="20" w:line="240" w:lineRule="auto"/>
              <w:rPr>
                <w:rFonts w:ascii="Times New Roman" w:hAnsi="Times New Roman" w:cs="Times New Roman"/>
                <w:color w:val="000000"/>
                <w:sz w:val="24"/>
                <w:szCs w:val="24"/>
                <w:lang w:val="bg-BG"/>
              </w:rPr>
            </w:pPr>
            <w:r w:rsidRPr="00610B1B">
              <w:rPr>
                <w:rFonts w:ascii="Times New Roman" w:hAnsi="Times New Roman" w:cs="Times New Roman"/>
                <w:sz w:val="24"/>
                <w:szCs w:val="24"/>
                <w:lang w:val="bg-BG"/>
              </w:rPr>
              <w:t>Претоварване на средата със застрояване, трафик, отпадъци, унищожаване на част от природната среда</w:t>
            </w:r>
            <w:r w:rsidR="008168EF" w:rsidRPr="00610B1B">
              <w:rPr>
                <w:rFonts w:ascii="Times New Roman" w:hAnsi="Times New Roman" w:cs="Times New Roman"/>
                <w:sz w:val="24"/>
                <w:szCs w:val="24"/>
                <w:lang w:val="bg-BG"/>
              </w:rPr>
              <w:t>, мащабно нарастване на н</w:t>
            </w:r>
            <w:r w:rsidRPr="00610B1B">
              <w:rPr>
                <w:rFonts w:ascii="Times New Roman" w:hAnsi="Times New Roman" w:cs="Times New Roman"/>
                <w:sz w:val="24"/>
                <w:szCs w:val="24"/>
                <w:lang w:val="bg-BG"/>
              </w:rPr>
              <w:t xml:space="preserve">аселението през летните месеци </w:t>
            </w:r>
            <w:r w:rsidR="008168EF" w:rsidRPr="00610B1B">
              <w:rPr>
                <w:rFonts w:ascii="Times New Roman" w:hAnsi="Times New Roman" w:cs="Times New Roman"/>
                <w:sz w:val="24"/>
                <w:szCs w:val="24"/>
                <w:lang w:val="bg-BG"/>
              </w:rPr>
              <w:t>и влошаване на условията за обитаване и отдих.</w:t>
            </w:r>
          </w:p>
        </w:tc>
      </w:tr>
      <w:tr w:rsidR="00DC7A74" w:rsidRPr="005C2B9F" w14:paraId="50986ACB" w14:textId="77777777" w:rsidTr="00AE254B">
        <w:tc>
          <w:tcPr>
            <w:tcW w:w="4962" w:type="dxa"/>
            <w:shd w:val="clear" w:color="auto" w:fill="auto"/>
          </w:tcPr>
          <w:p w14:paraId="0C3EF1F9" w14:textId="199A64C5" w:rsidR="00DC7A74" w:rsidRPr="00610B1B" w:rsidRDefault="00DC7A74" w:rsidP="00AE254B">
            <w:pPr>
              <w:spacing w:before="20" w:after="20" w:line="240" w:lineRule="auto"/>
              <w:rPr>
                <w:rFonts w:ascii="Times New Roman" w:hAnsi="Times New Roman" w:cs="Times New Roman"/>
                <w:color w:val="000000"/>
                <w:sz w:val="24"/>
                <w:szCs w:val="24"/>
                <w:lang w:val="bg-BG"/>
              </w:rPr>
            </w:pPr>
            <w:r w:rsidRPr="00610B1B">
              <w:rPr>
                <w:rFonts w:ascii="Times New Roman" w:hAnsi="Times New Roman" w:cs="Times New Roman"/>
                <w:sz w:val="24"/>
                <w:szCs w:val="24"/>
                <w:lang w:val="bg-BG"/>
              </w:rPr>
              <w:t>Висок дял на градско население с висше образование 26.8 % (158 020 лица от които 91</w:t>
            </w:r>
            <w:r w:rsidR="000463D1"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4% са във Варна и Бургас) при 19</w:t>
            </w:r>
            <w:r w:rsidR="008168EF"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6% средно за страната В градски аспект най-образовани са жителите на град Варна 30</w:t>
            </w:r>
            <w:r w:rsidR="000463D1"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6%. </w:t>
            </w:r>
          </w:p>
        </w:tc>
        <w:tc>
          <w:tcPr>
            <w:tcW w:w="4962" w:type="dxa"/>
            <w:gridSpan w:val="2"/>
            <w:shd w:val="clear" w:color="auto" w:fill="auto"/>
          </w:tcPr>
          <w:p w14:paraId="65D5A7EF" w14:textId="26877F37" w:rsidR="00DC7A74" w:rsidRPr="00610B1B" w:rsidRDefault="000463D1" w:rsidP="00AE254B">
            <w:pPr>
              <w:pStyle w:val="Normal1"/>
              <w:spacing w:before="20" w:after="20"/>
              <w:rPr>
                <w:color w:val="000000"/>
                <w:sz w:val="24"/>
                <w:szCs w:val="24"/>
              </w:rPr>
            </w:pPr>
            <w:r w:rsidRPr="00610B1B">
              <w:rPr>
                <w:sz w:val="24"/>
                <w:szCs w:val="24"/>
              </w:rPr>
              <w:t>Трудно задържане на образовани и способни кадри, което ограничава потенциала за иновации и научни постижения с принос към морската икономика.</w:t>
            </w:r>
          </w:p>
        </w:tc>
      </w:tr>
      <w:tr w:rsidR="00DC7A74" w:rsidRPr="00610B1B" w14:paraId="2142111B" w14:textId="77777777" w:rsidTr="00AE254B">
        <w:tc>
          <w:tcPr>
            <w:tcW w:w="4962" w:type="dxa"/>
            <w:shd w:val="clear" w:color="auto" w:fill="BEE6F0"/>
          </w:tcPr>
          <w:p w14:paraId="0245C7F7" w14:textId="77777777" w:rsidR="00DC7A74" w:rsidRPr="00610B1B" w:rsidRDefault="00DC7A74" w:rsidP="00AE254B">
            <w:pPr>
              <w:pStyle w:val="Normal1"/>
              <w:spacing w:before="20" w:after="20"/>
              <w:jc w:val="center"/>
              <w:rPr>
                <w:b/>
                <w:bCs/>
                <w:color w:val="000000" w:themeColor="text1"/>
                <w:sz w:val="24"/>
                <w:szCs w:val="24"/>
              </w:rPr>
            </w:pPr>
            <w:r w:rsidRPr="00610B1B">
              <w:rPr>
                <w:b/>
                <w:bCs/>
                <w:color w:val="000000" w:themeColor="text1"/>
                <w:sz w:val="24"/>
                <w:szCs w:val="24"/>
              </w:rPr>
              <w:lastRenderedPageBreak/>
              <w:t>Възможности</w:t>
            </w:r>
          </w:p>
        </w:tc>
        <w:tc>
          <w:tcPr>
            <w:tcW w:w="4962" w:type="dxa"/>
            <w:gridSpan w:val="2"/>
            <w:shd w:val="clear" w:color="auto" w:fill="BEE6F0"/>
          </w:tcPr>
          <w:p w14:paraId="4A14F684" w14:textId="77777777" w:rsidR="00DC7A74" w:rsidRPr="00610B1B" w:rsidRDefault="00DC7A74" w:rsidP="00AE254B">
            <w:pPr>
              <w:pStyle w:val="Normal1"/>
              <w:spacing w:before="20" w:after="20"/>
              <w:jc w:val="center"/>
              <w:rPr>
                <w:b/>
                <w:bCs/>
                <w:color w:val="000000" w:themeColor="text1"/>
                <w:sz w:val="24"/>
                <w:szCs w:val="24"/>
              </w:rPr>
            </w:pPr>
            <w:r w:rsidRPr="00610B1B">
              <w:rPr>
                <w:b/>
                <w:bCs/>
                <w:color w:val="000000" w:themeColor="text1"/>
                <w:sz w:val="24"/>
                <w:szCs w:val="24"/>
              </w:rPr>
              <w:t>Заплахи</w:t>
            </w:r>
          </w:p>
        </w:tc>
      </w:tr>
      <w:tr w:rsidR="00DC7A74" w:rsidRPr="005C2B9F" w14:paraId="1CEC2DEA" w14:textId="77777777" w:rsidTr="00AE254B">
        <w:tc>
          <w:tcPr>
            <w:tcW w:w="4962" w:type="dxa"/>
            <w:shd w:val="clear" w:color="auto" w:fill="auto"/>
          </w:tcPr>
          <w:p w14:paraId="7E96F98B" w14:textId="7D4DD6ED" w:rsidR="00DC7A74" w:rsidRPr="00610B1B" w:rsidRDefault="00DC7A74" w:rsidP="00AE254B">
            <w:pPr>
              <w:spacing w:before="20" w:after="20" w:line="240" w:lineRule="auto"/>
              <w:rPr>
                <w:rFonts w:ascii="Times New Roman" w:hAnsi="Times New Roman" w:cs="Times New Roman"/>
                <w:sz w:val="24"/>
                <w:szCs w:val="24"/>
                <w:lang w:val="bg-BG"/>
              </w:rPr>
            </w:pPr>
            <w:r w:rsidRPr="00610B1B">
              <w:rPr>
                <w:rFonts w:ascii="Times New Roman" w:hAnsi="Times New Roman" w:cs="Times New Roman"/>
                <w:sz w:val="24"/>
                <w:szCs w:val="24"/>
                <w:lang w:val="bg-BG"/>
              </w:rPr>
              <w:t>Привличане на младо и образовано</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население – в новия програмен период Варна и Бургас са предложени за центрове за растеж и двигатели за развитие на СИР и ЮИР.</w:t>
            </w:r>
          </w:p>
        </w:tc>
        <w:tc>
          <w:tcPr>
            <w:tcW w:w="4962" w:type="dxa"/>
            <w:gridSpan w:val="2"/>
            <w:shd w:val="clear" w:color="auto" w:fill="auto"/>
          </w:tcPr>
          <w:p w14:paraId="00F0474E" w14:textId="77777777" w:rsidR="00DC7A74" w:rsidRPr="00610B1B" w:rsidRDefault="00DC7A74" w:rsidP="00AE254B">
            <w:pPr>
              <w:spacing w:before="20" w:after="20" w:line="240" w:lineRule="auto"/>
              <w:rPr>
                <w:rFonts w:ascii="Times New Roman" w:hAnsi="Times New Roman" w:cs="Times New Roman"/>
                <w:color w:val="000000"/>
                <w:sz w:val="24"/>
                <w:szCs w:val="24"/>
                <w:lang w:val="bg-BG"/>
              </w:rPr>
            </w:pPr>
            <w:r w:rsidRPr="00610B1B">
              <w:rPr>
                <w:rFonts w:ascii="Times New Roman" w:hAnsi="Times New Roman" w:cs="Times New Roman"/>
                <w:sz w:val="24"/>
                <w:szCs w:val="24"/>
                <w:lang w:val="bg-BG"/>
              </w:rPr>
              <w:t>Продължаващ дисбаланс в териториалното разпределение на населението – затруднения в бъдещото пространствено развитие на отделни градове.</w:t>
            </w:r>
          </w:p>
        </w:tc>
      </w:tr>
      <w:tr w:rsidR="00DC7A74" w:rsidRPr="005C2B9F" w14:paraId="1AF21F61" w14:textId="77777777" w:rsidTr="00AE254B">
        <w:tc>
          <w:tcPr>
            <w:tcW w:w="4962" w:type="dxa"/>
            <w:shd w:val="clear" w:color="auto" w:fill="auto"/>
          </w:tcPr>
          <w:p w14:paraId="2BAA34CA" w14:textId="33B8F382" w:rsidR="00DC7A74" w:rsidRPr="00610B1B" w:rsidRDefault="00DC7A74" w:rsidP="00AE254B">
            <w:pPr>
              <w:spacing w:before="20" w:after="20" w:line="240" w:lineRule="auto"/>
              <w:rPr>
                <w:rFonts w:ascii="Times New Roman" w:hAnsi="Times New Roman" w:cs="Times New Roman"/>
                <w:color w:val="000000"/>
                <w:sz w:val="24"/>
                <w:szCs w:val="24"/>
                <w:lang w:val="bg-BG"/>
              </w:rPr>
            </w:pPr>
            <w:r w:rsidRPr="00610B1B">
              <w:rPr>
                <w:rFonts w:ascii="Times New Roman" w:hAnsi="Times New Roman" w:cs="Times New Roman"/>
                <w:sz w:val="24"/>
                <w:szCs w:val="24"/>
                <w:lang w:val="bg-BG"/>
              </w:rPr>
              <w:t>Реализиране на програми и проекти за създаване на предпоставки за задържане на населението в малките градове</w:t>
            </w:r>
            <w:r w:rsidR="000463D1" w:rsidRPr="00610B1B">
              <w:rPr>
                <w:rFonts w:ascii="Times New Roman" w:hAnsi="Times New Roman" w:cs="Times New Roman"/>
                <w:sz w:val="24"/>
                <w:szCs w:val="24"/>
                <w:lang w:val="bg-BG"/>
              </w:rPr>
              <w:t>.</w:t>
            </w:r>
          </w:p>
        </w:tc>
        <w:tc>
          <w:tcPr>
            <w:tcW w:w="4962" w:type="dxa"/>
            <w:gridSpan w:val="2"/>
            <w:shd w:val="clear" w:color="auto" w:fill="auto"/>
          </w:tcPr>
          <w:p w14:paraId="3BB7F300" w14:textId="25A60487" w:rsidR="00DC7A74" w:rsidRPr="00610B1B" w:rsidRDefault="00DC7A74" w:rsidP="00AE254B">
            <w:pPr>
              <w:spacing w:before="20" w:after="20" w:line="240" w:lineRule="auto"/>
              <w:rPr>
                <w:rFonts w:ascii="Times New Roman" w:hAnsi="Times New Roman" w:cs="Times New Roman"/>
                <w:color w:val="000000"/>
                <w:sz w:val="24"/>
                <w:szCs w:val="24"/>
                <w:lang w:val="bg-BG"/>
              </w:rPr>
            </w:pPr>
            <w:r w:rsidRPr="00610B1B">
              <w:rPr>
                <w:rFonts w:ascii="Times New Roman" w:hAnsi="Times New Roman" w:cs="Times New Roman"/>
                <w:sz w:val="24"/>
                <w:szCs w:val="24"/>
                <w:lang w:val="bg-BG"/>
              </w:rPr>
              <w:t>Влошаване на икономическата обстановка</w:t>
            </w:r>
            <w:r w:rsidR="00541C0D" w:rsidRPr="00610B1B">
              <w:rPr>
                <w:rFonts w:ascii="Times New Roman" w:hAnsi="Times New Roman" w:cs="Times New Roman"/>
                <w:sz w:val="24"/>
                <w:szCs w:val="24"/>
                <w:lang w:val="bg-BG"/>
              </w:rPr>
              <w:t xml:space="preserve">, трудно и бавно излизане от кризата след пандемията Covid 19. </w:t>
            </w:r>
          </w:p>
        </w:tc>
      </w:tr>
      <w:tr w:rsidR="00DC7A74" w:rsidRPr="005C2B9F" w14:paraId="745186E6" w14:textId="77777777" w:rsidTr="00AE254B">
        <w:tc>
          <w:tcPr>
            <w:tcW w:w="4962" w:type="dxa"/>
            <w:shd w:val="clear" w:color="auto" w:fill="auto"/>
          </w:tcPr>
          <w:p w14:paraId="55AA9C43" w14:textId="5318906A" w:rsidR="00DC7A74" w:rsidRPr="00610B1B" w:rsidRDefault="00DC7A74" w:rsidP="00AE254B">
            <w:pPr>
              <w:pStyle w:val="Normal1"/>
              <w:spacing w:before="20" w:after="20"/>
              <w:rPr>
                <w:color w:val="000000"/>
                <w:sz w:val="24"/>
                <w:szCs w:val="24"/>
              </w:rPr>
            </w:pPr>
            <w:r w:rsidRPr="00610B1B">
              <w:rPr>
                <w:sz w:val="24"/>
                <w:szCs w:val="24"/>
              </w:rPr>
              <w:t>Привличан</w:t>
            </w:r>
            <w:r w:rsidR="000463D1" w:rsidRPr="00610B1B">
              <w:rPr>
                <w:sz w:val="24"/>
                <w:szCs w:val="24"/>
              </w:rPr>
              <w:t>е</w:t>
            </w:r>
            <w:r w:rsidRPr="00610B1B">
              <w:rPr>
                <w:sz w:val="24"/>
                <w:szCs w:val="24"/>
              </w:rPr>
              <w:t xml:space="preserve"> на млади български квалифицирани специалисти</w:t>
            </w:r>
            <w:r w:rsidR="008168EF" w:rsidRPr="00610B1B">
              <w:rPr>
                <w:sz w:val="24"/>
                <w:szCs w:val="24"/>
              </w:rPr>
              <w:t>,</w:t>
            </w:r>
            <w:r w:rsidRPr="00610B1B">
              <w:rPr>
                <w:sz w:val="24"/>
                <w:szCs w:val="24"/>
              </w:rPr>
              <w:t xml:space="preserve"> емигрирали в чужбина</w:t>
            </w:r>
            <w:r w:rsidR="000463D1" w:rsidRPr="00610B1B">
              <w:rPr>
                <w:sz w:val="24"/>
                <w:szCs w:val="24"/>
              </w:rPr>
              <w:t xml:space="preserve"> чрез подходящи условия за кариера, създаване на семейство, мобилност и развлечения</w:t>
            </w:r>
            <w:r w:rsidRPr="00610B1B">
              <w:rPr>
                <w:sz w:val="24"/>
                <w:szCs w:val="24"/>
              </w:rPr>
              <w:t>.</w:t>
            </w:r>
          </w:p>
        </w:tc>
        <w:tc>
          <w:tcPr>
            <w:tcW w:w="4962" w:type="dxa"/>
            <w:gridSpan w:val="2"/>
            <w:shd w:val="clear" w:color="auto" w:fill="auto"/>
          </w:tcPr>
          <w:p w14:paraId="0D398FE2" w14:textId="0C0927AF" w:rsidR="00DC7A74" w:rsidRPr="00610B1B" w:rsidRDefault="00DC7A74" w:rsidP="00AE254B">
            <w:pPr>
              <w:pStyle w:val="Normal1"/>
              <w:spacing w:before="20" w:after="20"/>
              <w:rPr>
                <w:color w:val="000000"/>
                <w:sz w:val="24"/>
                <w:szCs w:val="24"/>
              </w:rPr>
            </w:pPr>
            <w:r w:rsidRPr="00610B1B">
              <w:rPr>
                <w:sz w:val="24"/>
                <w:szCs w:val="24"/>
              </w:rPr>
              <w:t xml:space="preserve">Нарастване на абсолютния и относителен дял на населението над 65 години </w:t>
            </w:r>
            <w:r w:rsidR="00152891" w:rsidRPr="00610B1B">
              <w:rPr>
                <w:sz w:val="24"/>
                <w:szCs w:val="24"/>
              </w:rPr>
              <w:t xml:space="preserve">в малките населени места по Черноморското крайбрежие </w:t>
            </w:r>
            <w:r w:rsidRPr="00610B1B">
              <w:rPr>
                <w:sz w:val="24"/>
                <w:szCs w:val="24"/>
              </w:rPr>
              <w:t>– натиск върху публичните разходи за пенсии, здравеопазване и социални услуги.</w:t>
            </w:r>
          </w:p>
        </w:tc>
      </w:tr>
      <w:tr w:rsidR="00DC7A74" w:rsidRPr="00610B1B" w14:paraId="01A9BBC4" w14:textId="77777777" w:rsidTr="00AE254B">
        <w:tc>
          <w:tcPr>
            <w:tcW w:w="9924" w:type="dxa"/>
            <w:gridSpan w:val="3"/>
            <w:shd w:val="clear" w:color="auto" w:fill="92CDDC"/>
          </w:tcPr>
          <w:p w14:paraId="76B10F6D" w14:textId="77777777" w:rsidR="00DC7A74" w:rsidRPr="00610B1B" w:rsidRDefault="00DC7A74" w:rsidP="00AE254B">
            <w:pPr>
              <w:pStyle w:val="Heading4"/>
              <w:spacing w:before="20" w:after="20"/>
              <w:ind w:left="0" w:firstLine="0"/>
              <w:jc w:val="center"/>
              <w:rPr>
                <w:rFonts w:cs="Times New Roman"/>
                <w:szCs w:val="24"/>
              </w:rPr>
            </w:pPr>
            <w:r w:rsidRPr="00610B1B">
              <w:rPr>
                <w:rFonts w:cs="Times New Roman"/>
                <w:szCs w:val="24"/>
              </w:rPr>
              <w:t>МОРСКИ ТРАНСПОРТ</w:t>
            </w:r>
          </w:p>
        </w:tc>
      </w:tr>
      <w:tr w:rsidR="00DC7A74" w:rsidRPr="00610B1B" w14:paraId="50BD41AD" w14:textId="77777777" w:rsidTr="00AE254B">
        <w:tc>
          <w:tcPr>
            <w:tcW w:w="4962" w:type="dxa"/>
            <w:shd w:val="clear" w:color="auto" w:fill="BEE6F0"/>
          </w:tcPr>
          <w:p w14:paraId="679508B8" w14:textId="77777777" w:rsidR="00DC7A74" w:rsidRPr="00610B1B" w:rsidRDefault="00DC7A74" w:rsidP="00AE254B">
            <w:pPr>
              <w:pStyle w:val="Normal1"/>
              <w:spacing w:before="20" w:after="20"/>
              <w:jc w:val="center"/>
              <w:rPr>
                <w:b/>
                <w:color w:val="000000"/>
                <w:sz w:val="24"/>
                <w:szCs w:val="24"/>
              </w:rPr>
            </w:pPr>
            <w:r w:rsidRPr="00610B1B">
              <w:rPr>
                <w:b/>
                <w:color w:val="000000"/>
                <w:sz w:val="24"/>
                <w:szCs w:val="24"/>
              </w:rPr>
              <w:t>Силни страни</w:t>
            </w:r>
          </w:p>
        </w:tc>
        <w:tc>
          <w:tcPr>
            <w:tcW w:w="4962" w:type="dxa"/>
            <w:gridSpan w:val="2"/>
            <w:shd w:val="clear" w:color="auto" w:fill="BEE6F0"/>
          </w:tcPr>
          <w:p w14:paraId="5B7C75BA" w14:textId="77777777" w:rsidR="00DC7A74" w:rsidRPr="00610B1B" w:rsidRDefault="00DC7A74" w:rsidP="00AE254B">
            <w:pPr>
              <w:pStyle w:val="Normal1"/>
              <w:spacing w:before="20" w:after="20"/>
              <w:jc w:val="center"/>
              <w:rPr>
                <w:b/>
                <w:color w:val="000000"/>
                <w:sz w:val="24"/>
                <w:szCs w:val="24"/>
              </w:rPr>
            </w:pPr>
            <w:r w:rsidRPr="00610B1B">
              <w:rPr>
                <w:b/>
                <w:color w:val="000000"/>
                <w:sz w:val="24"/>
                <w:szCs w:val="24"/>
              </w:rPr>
              <w:t>Слаби страни</w:t>
            </w:r>
          </w:p>
        </w:tc>
      </w:tr>
      <w:tr w:rsidR="00DC7A74" w:rsidRPr="005C2B9F" w14:paraId="0FF6CB53" w14:textId="77777777" w:rsidTr="00AE254B">
        <w:tc>
          <w:tcPr>
            <w:tcW w:w="4962" w:type="dxa"/>
          </w:tcPr>
          <w:p w14:paraId="078D7347" w14:textId="7C53AE16" w:rsidR="00DC7A74" w:rsidRPr="00610B1B" w:rsidRDefault="00DC7A74" w:rsidP="00AE254B">
            <w:pPr>
              <w:pStyle w:val="Normal1"/>
              <w:spacing w:before="20" w:after="20"/>
              <w:rPr>
                <w:b/>
                <w:color w:val="000000"/>
                <w:sz w:val="24"/>
                <w:szCs w:val="24"/>
              </w:rPr>
            </w:pPr>
            <w:r w:rsidRPr="00610B1B">
              <w:rPr>
                <w:sz w:val="24"/>
                <w:szCs w:val="24"/>
              </w:rPr>
              <w:t xml:space="preserve">Сравнително благоприятно географско местоположение на страната, </w:t>
            </w:r>
            <w:r w:rsidR="008168EF" w:rsidRPr="00610B1B">
              <w:rPr>
                <w:sz w:val="24"/>
                <w:szCs w:val="24"/>
              </w:rPr>
              <w:t>с</w:t>
            </w:r>
            <w:r w:rsidRPr="00610B1B">
              <w:rPr>
                <w:sz w:val="24"/>
                <w:szCs w:val="24"/>
              </w:rPr>
              <w:t xml:space="preserve"> възможност</w:t>
            </w:r>
            <w:r w:rsidR="008168EF" w:rsidRPr="00610B1B">
              <w:rPr>
                <w:sz w:val="24"/>
                <w:szCs w:val="24"/>
              </w:rPr>
              <w:t>и</w:t>
            </w:r>
            <w:r w:rsidRPr="00610B1B">
              <w:rPr>
                <w:sz w:val="24"/>
                <w:szCs w:val="24"/>
              </w:rPr>
              <w:t xml:space="preserve"> за развитие и осигуряване на превози на товари при сравнително ниски разходи и висока ефективност.</w:t>
            </w:r>
          </w:p>
        </w:tc>
        <w:tc>
          <w:tcPr>
            <w:tcW w:w="4962" w:type="dxa"/>
            <w:gridSpan w:val="2"/>
          </w:tcPr>
          <w:p w14:paraId="588C0DB5" w14:textId="2F7D178D" w:rsidR="00DC7A74" w:rsidRPr="00610B1B" w:rsidRDefault="00DC7A74" w:rsidP="00AE254B">
            <w:pPr>
              <w:pStyle w:val="Normal1"/>
              <w:spacing w:before="20" w:after="20"/>
              <w:rPr>
                <w:b/>
                <w:color w:val="000000"/>
                <w:sz w:val="24"/>
                <w:szCs w:val="24"/>
              </w:rPr>
            </w:pPr>
            <w:r w:rsidRPr="00610B1B">
              <w:rPr>
                <w:sz w:val="24"/>
                <w:szCs w:val="24"/>
              </w:rPr>
              <w:t>Липса на финансиране от страна на българските банки, което да стимулира корабособствениците</w:t>
            </w:r>
            <w:r w:rsidR="00D66FE0" w:rsidRPr="00610B1B">
              <w:rPr>
                <w:sz w:val="24"/>
                <w:szCs w:val="24"/>
              </w:rPr>
              <w:t xml:space="preserve"> </w:t>
            </w:r>
            <w:r w:rsidRPr="00610B1B">
              <w:rPr>
                <w:sz w:val="24"/>
                <w:szCs w:val="24"/>
              </w:rPr>
              <w:t>за закупуване на нови кораби.</w:t>
            </w:r>
          </w:p>
        </w:tc>
      </w:tr>
      <w:tr w:rsidR="00DC7A74" w:rsidRPr="005C2B9F" w14:paraId="752CDB7B" w14:textId="77777777" w:rsidTr="00AE254B">
        <w:tc>
          <w:tcPr>
            <w:tcW w:w="4962" w:type="dxa"/>
          </w:tcPr>
          <w:p w14:paraId="09E2D837" w14:textId="77777777" w:rsidR="00DC7A74" w:rsidRPr="00610B1B" w:rsidRDefault="00DC7A74" w:rsidP="00AE254B">
            <w:pPr>
              <w:pStyle w:val="Normal1"/>
              <w:spacing w:before="20" w:after="20"/>
              <w:rPr>
                <w:b/>
                <w:color w:val="000000"/>
                <w:sz w:val="24"/>
                <w:szCs w:val="24"/>
              </w:rPr>
            </w:pPr>
            <w:r w:rsidRPr="00610B1B">
              <w:rPr>
                <w:sz w:val="24"/>
                <w:szCs w:val="24"/>
              </w:rPr>
              <w:t>Високо ниво на конкуренция при предлагане на морските транспортни услуги.</w:t>
            </w:r>
          </w:p>
        </w:tc>
        <w:tc>
          <w:tcPr>
            <w:tcW w:w="4962" w:type="dxa"/>
            <w:gridSpan w:val="2"/>
          </w:tcPr>
          <w:p w14:paraId="5E8D7E23" w14:textId="77777777" w:rsidR="00DC7A74" w:rsidRPr="00610B1B" w:rsidRDefault="00DC7A74" w:rsidP="00AE254B">
            <w:pPr>
              <w:pStyle w:val="Normal1"/>
              <w:spacing w:before="20" w:after="20"/>
              <w:rPr>
                <w:b/>
                <w:color w:val="000000"/>
                <w:sz w:val="24"/>
                <w:szCs w:val="24"/>
              </w:rPr>
            </w:pPr>
            <w:r w:rsidRPr="00610B1B">
              <w:rPr>
                <w:sz w:val="24"/>
                <w:szCs w:val="24"/>
              </w:rPr>
              <w:t xml:space="preserve">Недостатъчно финансиране за развитие на научно-изследователската и развойна дейност. </w:t>
            </w:r>
          </w:p>
        </w:tc>
      </w:tr>
      <w:tr w:rsidR="00DC7A74" w:rsidRPr="005C2B9F" w14:paraId="3DC08BEE" w14:textId="77777777" w:rsidTr="00AE254B">
        <w:tc>
          <w:tcPr>
            <w:tcW w:w="4962" w:type="dxa"/>
          </w:tcPr>
          <w:p w14:paraId="54ECE48F" w14:textId="4D8FD4DD" w:rsidR="00DC7A74" w:rsidRPr="00610B1B" w:rsidRDefault="000929F1" w:rsidP="00AE254B">
            <w:pPr>
              <w:pStyle w:val="Normal1"/>
              <w:spacing w:before="20" w:after="20"/>
              <w:rPr>
                <w:b/>
                <w:color w:val="000000"/>
                <w:sz w:val="24"/>
                <w:szCs w:val="24"/>
              </w:rPr>
            </w:pPr>
            <w:r w:rsidRPr="00610B1B">
              <w:rPr>
                <w:sz w:val="24"/>
                <w:szCs w:val="24"/>
              </w:rPr>
              <w:t xml:space="preserve">Традиционно </w:t>
            </w:r>
            <w:r w:rsidR="00DC7A74" w:rsidRPr="00610B1B">
              <w:rPr>
                <w:sz w:val="24"/>
                <w:szCs w:val="24"/>
              </w:rPr>
              <w:t>добра образователна система за обучение и квалификация на морски кадри.</w:t>
            </w:r>
          </w:p>
        </w:tc>
        <w:tc>
          <w:tcPr>
            <w:tcW w:w="4962" w:type="dxa"/>
            <w:gridSpan w:val="2"/>
          </w:tcPr>
          <w:p w14:paraId="1F092AED" w14:textId="0AD566CF" w:rsidR="009D32BB" w:rsidRPr="00610B1B" w:rsidRDefault="00DC7A74" w:rsidP="009907CE">
            <w:pPr>
              <w:pStyle w:val="Normal1"/>
              <w:spacing w:before="20" w:after="20"/>
              <w:rPr>
                <w:b/>
                <w:color w:val="000000"/>
                <w:sz w:val="24"/>
                <w:szCs w:val="24"/>
              </w:rPr>
            </w:pPr>
            <w:r w:rsidRPr="00610B1B">
              <w:rPr>
                <w:sz w:val="24"/>
                <w:szCs w:val="24"/>
              </w:rPr>
              <w:t>Липса на подходящо законодателство, което да привлича корабособствениците да издигат българското знаме на своите кораби.</w:t>
            </w:r>
          </w:p>
        </w:tc>
      </w:tr>
      <w:tr w:rsidR="00DC7A74" w:rsidRPr="00610B1B" w14:paraId="2A1C3527" w14:textId="77777777" w:rsidTr="00AE254B">
        <w:tc>
          <w:tcPr>
            <w:tcW w:w="4962" w:type="dxa"/>
            <w:shd w:val="clear" w:color="auto" w:fill="BEE6F0"/>
          </w:tcPr>
          <w:p w14:paraId="1EC50E64" w14:textId="77777777" w:rsidR="00DC7A74" w:rsidRPr="00610B1B" w:rsidRDefault="00DC7A74" w:rsidP="00AE254B">
            <w:pPr>
              <w:pStyle w:val="Normal1"/>
              <w:spacing w:before="20" w:after="20"/>
              <w:jc w:val="center"/>
              <w:rPr>
                <w:b/>
                <w:color w:val="000000" w:themeColor="text1"/>
                <w:sz w:val="24"/>
                <w:szCs w:val="24"/>
              </w:rPr>
            </w:pPr>
            <w:r w:rsidRPr="00610B1B">
              <w:rPr>
                <w:b/>
                <w:bCs/>
                <w:color w:val="000000" w:themeColor="text1"/>
                <w:sz w:val="24"/>
                <w:szCs w:val="24"/>
              </w:rPr>
              <w:t>Възможности</w:t>
            </w:r>
          </w:p>
        </w:tc>
        <w:tc>
          <w:tcPr>
            <w:tcW w:w="4962" w:type="dxa"/>
            <w:gridSpan w:val="2"/>
            <w:shd w:val="clear" w:color="auto" w:fill="BEE6F0"/>
          </w:tcPr>
          <w:p w14:paraId="08C5DF82" w14:textId="77777777" w:rsidR="00DC7A74" w:rsidRPr="00610B1B" w:rsidRDefault="00DC7A74" w:rsidP="00AE254B">
            <w:pPr>
              <w:pStyle w:val="Normal1"/>
              <w:spacing w:before="20" w:after="20"/>
              <w:jc w:val="center"/>
              <w:rPr>
                <w:b/>
                <w:color w:val="000000" w:themeColor="text1"/>
                <w:sz w:val="24"/>
                <w:szCs w:val="24"/>
              </w:rPr>
            </w:pPr>
            <w:r w:rsidRPr="00610B1B">
              <w:rPr>
                <w:b/>
                <w:bCs/>
                <w:color w:val="000000" w:themeColor="text1"/>
                <w:sz w:val="24"/>
                <w:szCs w:val="24"/>
              </w:rPr>
              <w:t>Заплахи</w:t>
            </w:r>
          </w:p>
        </w:tc>
      </w:tr>
      <w:tr w:rsidR="00DC7A74" w:rsidRPr="005C2B9F" w14:paraId="2EA13D72" w14:textId="77777777" w:rsidTr="00AE254B">
        <w:tc>
          <w:tcPr>
            <w:tcW w:w="4962" w:type="dxa"/>
          </w:tcPr>
          <w:p w14:paraId="172FD21E" w14:textId="77C801C1" w:rsidR="00DC7A74" w:rsidRPr="00610B1B" w:rsidRDefault="00DC7A74" w:rsidP="00AE254B">
            <w:pPr>
              <w:pStyle w:val="Normal1"/>
              <w:spacing w:before="20" w:after="20"/>
              <w:rPr>
                <w:b/>
                <w:color w:val="000000"/>
                <w:sz w:val="24"/>
                <w:szCs w:val="24"/>
              </w:rPr>
            </w:pPr>
            <w:r w:rsidRPr="00610B1B">
              <w:rPr>
                <w:sz w:val="24"/>
                <w:szCs w:val="24"/>
              </w:rPr>
              <w:t>Привличане на български и чуждестранни инвеститори и модернизация на сектора чрез инвестиции и нови технологии. Концесиониране на пристанищни терминали</w:t>
            </w:r>
          </w:p>
        </w:tc>
        <w:tc>
          <w:tcPr>
            <w:tcW w:w="4962" w:type="dxa"/>
            <w:gridSpan w:val="2"/>
          </w:tcPr>
          <w:p w14:paraId="209C7E2D" w14:textId="4A57BDF7" w:rsidR="00DC7A74" w:rsidRPr="00610B1B" w:rsidRDefault="00DC7A74" w:rsidP="00AE254B">
            <w:pPr>
              <w:pStyle w:val="Normal1"/>
              <w:spacing w:before="20" w:after="20"/>
              <w:rPr>
                <w:b/>
                <w:color w:val="000000"/>
                <w:sz w:val="24"/>
                <w:szCs w:val="24"/>
              </w:rPr>
            </w:pPr>
            <w:r w:rsidRPr="00610B1B">
              <w:rPr>
                <w:sz w:val="24"/>
                <w:szCs w:val="24"/>
              </w:rPr>
              <w:t>Липса на реформи и преструктуриране на сектора, както и недостиг на квалифицирани кадри.</w:t>
            </w:r>
            <w:r w:rsidR="00D66FE0" w:rsidRPr="00610B1B">
              <w:rPr>
                <w:sz w:val="24"/>
                <w:szCs w:val="24"/>
              </w:rPr>
              <w:t xml:space="preserve"> </w:t>
            </w:r>
          </w:p>
        </w:tc>
      </w:tr>
      <w:tr w:rsidR="00DC7A74" w:rsidRPr="005C2B9F" w14:paraId="1134A9EF" w14:textId="77777777" w:rsidTr="00AE254B">
        <w:tc>
          <w:tcPr>
            <w:tcW w:w="4962" w:type="dxa"/>
          </w:tcPr>
          <w:p w14:paraId="7ABF019F" w14:textId="53281947" w:rsidR="00DC7A74" w:rsidRPr="00610B1B" w:rsidRDefault="00DC7A74" w:rsidP="00AE254B">
            <w:pPr>
              <w:pStyle w:val="Normal1"/>
              <w:spacing w:before="20" w:after="20"/>
              <w:rPr>
                <w:b/>
                <w:color w:val="000000"/>
                <w:sz w:val="24"/>
                <w:szCs w:val="24"/>
              </w:rPr>
            </w:pPr>
            <w:r w:rsidRPr="00610B1B">
              <w:rPr>
                <w:sz w:val="24"/>
                <w:szCs w:val="24"/>
              </w:rPr>
              <w:t>Привличане на международен транзитен трафик</w:t>
            </w:r>
            <w:r w:rsidR="000929F1" w:rsidRPr="00610B1B">
              <w:rPr>
                <w:sz w:val="24"/>
                <w:szCs w:val="24"/>
              </w:rPr>
              <w:t xml:space="preserve"> за</w:t>
            </w:r>
            <w:r w:rsidRPr="00610B1B">
              <w:rPr>
                <w:sz w:val="24"/>
                <w:szCs w:val="24"/>
              </w:rPr>
              <w:t xml:space="preserve"> увеличаване обема на морските превози.</w:t>
            </w:r>
          </w:p>
        </w:tc>
        <w:tc>
          <w:tcPr>
            <w:tcW w:w="4962" w:type="dxa"/>
            <w:gridSpan w:val="2"/>
          </w:tcPr>
          <w:p w14:paraId="0CAE2E58" w14:textId="77777777" w:rsidR="00DC7A74" w:rsidRPr="00610B1B" w:rsidRDefault="00DC7A74" w:rsidP="00AE254B">
            <w:pPr>
              <w:pStyle w:val="Normal1"/>
              <w:spacing w:before="20" w:after="20"/>
              <w:rPr>
                <w:b/>
                <w:color w:val="000000"/>
                <w:sz w:val="24"/>
                <w:szCs w:val="24"/>
              </w:rPr>
            </w:pPr>
            <w:r w:rsidRPr="00610B1B">
              <w:rPr>
                <w:sz w:val="24"/>
                <w:szCs w:val="24"/>
              </w:rPr>
              <w:t>Намаляване обема на международните товаропотоци и повишаване цените на горивата на международния пазар.</w:t>
            </w:r>
          </w:p>
        </w:tc>
      </w:tr>
      <w:tr w:rsidR="00DC7A74" w:rsidRPr="005C2B9F" w14:paraId="6AA0376F" w14:textId="77777777" w:rsidTr="00AE254B">
        <w:tc>
          <w:tcPr>
            <w:tcW w:w="4962" w:type="dxa"/>
          </w:tcPr>
          <w:p w14:paraId="2C67DFA3" w14:textId="77777777" w:rsidR="00DC7A74" w:rsidRPr="00610B1B" w:rsidRDefault="00DC7A74" w:rsidP="00AE254B">
            <w:pPr>
              <w:pStyle w:val="Normal1"/>
              <w:spacing w:before="20" w:after="20"/>
              <w:rPr>
                <w:b/>
                <w:color w:val="000000"/>
                <w:sz w:val="24"/>
                <w:szCs w:val="24"/>
              </w:rPr>
            </w:pPr>
            <w:r w:rsidRPr="00610B1B">
              <w:rPr>
                <w:sz w:val="24"/>
                <w:szCs w:val="24"/>
              </w:rPr>
              <w:t>Насърчаване развитието и внедряването на модерни системи, които ще повишат безопасността и надеждността на морските транспортни услуги.</w:t>
            </w:r>
          </w:p>
        </w:tc>
        <w:tc>
          <w:tcPr>
            <w:tcW w:w="4962" w:type="dxa"/>
            <w:gridSpan w:val="2"/>
          </w:tcPr>
          <w:p w14:paraId="1DC69CF2" w14:textId="77777777" w:rsidR="005F0F25" w:rsidRPr="00610B1B" w:rsidRDefault="00DC7A74" w:rsidP="00AE254B">
            <w:pPr>
              <w:pStyle w:val="Normal1"/>
              <w:spacing w:before="20" w:after="20"/>
              <w:rPr>
                <w:sz w:val="24"/>
                <w:szCs w:val="24"/>
              </w:rPr>
            </w:pPr>
            <w:r w:rsidRPr="00610B1B">
              <w:rPr>
                <w:sz w:val="24"/>
                <w:szCs w:val="24"/>
              </w:rPr>
              <w:t>Преструктуриране на българската икономика към производства, които не изискват внос или износ на корабни количества суровини</w:t>
            </w:r>
            <w:r w:rsidR="00CC2289" w:rsidRPr="00610B1B">
              <w:rPr>
                <w:sz w:val="24"/>
                <w:szCs w:val="24"/>
              </w:rPr>
              <w:t xml:space="preserve"> и</w:t>
            </w:r>
            <w:r w:rsidRPr="00610B1B">
              <w:rPr>
                <w:sz w:val="24"/>
                <w:szCs w:val="24"/>
              </w:rPr>
              <w:t xml:space="preserve"> сериозно намаляване на морските превози.</w:t>
            </w:r>
          </w:p>
          <w:p w14:paraId="2A4C7B3B" w14:textId="77777777" w:rsidR="009907CE" w:rsidRPr="00610B1B" w:rsidRDefault="009907CE" w:rsidP="00AE254B">
            <w:pPr>
              <w:pStyle w:val="Normal1"/>
              <w:spacing w:before="20" w:after="20"/>
              <w:rPr>
                <w:sz w:val="24"/>
                <w:szCs w:val="24"/>
              </w:rPr>
            </w:pPr>
          </w:p>
          <w:p w14:paraId="27FB3154" w14:textId="677FBB97" w:rsidR="009907CE" w:rsidRPr="00610B1B" w:rsidRDefault="009907CE" w:rsidP="00AE254B">
            <w:pPr>
              <w:pStyle w:val="Normal1"/>
              <w:spacing w:before="20" w:after="20"/>
              <w:rPr>
                <w:b/>
                <w:color w:val="000000"/>
                <w:sz w:val="24"/>
                <w:szCs w:val="24"/>
              </w:rPr>
            </w:pPr>
          </w:p>
        </w:tc>
      </w:tr>
      <w:tr w:rsidR="00DC7A74" w:rsidRPr="00610B1B" w14:paraId="611B3AF5" w14:textId="77777777" w:rsidTr="00AE254B">
        <w:tc>
          <w:tcPr>
            <w:tcW w:w="9924" w:type="dxa"/>
            <w:gridSpan w:val="3"/>
            <w:shd w:val="clear" w:color="auto" w:fill="92CDDC"/>
          </w:tcPr>
          <w:p w14:paraId="1F7B87F3" w14:textId="77777777" w:rsidR="00DC7A74" w:rsidRPr="00610B1B" w:rsidRDefault="00DC7A74" w:rsidP="00AE254B">
            <w:pPr>
              <w:pStyle w:val="Heading4"/>
              <w:spacing w:before="20" w:after="20"/>
              <w:jc w:val="center"/>
              <w:rPr>
                <w:rFonts w:cs="Times New Roman"/>
                <w:szCs w:val="24"/>
              </w:rPr>
            </w:pPr>
            <w:bookmarkStart w:id="416" w:name="_p4m4w79fdli7" w:colFirst="0" w:colLast="0"/>
            <w:bookmarkEnd w:id="416"/>
            <w:r w:rsidRPr="00610B1B">
              <w:rPr>
                <w:rFonts w:cs="Times New Roman"/>
                <w:szCs w:val="24"/>
              </w:rPr>
              <w:lastRenderedPageBreak/>
              <w:t>РИБАРСТВО И АКВАКУЛТУРИ</w:t>
            </w:r>
          </w:p>
        </w:tc>
      </w:tr>
      <w:tr w:rsidR="00DC7A74" w:rsidRPr="00610B1B" w14:paraId="380EF0A5" w14:textId="77777777" w:rsidTr="00AE254B">
        <w:tc>
          <w:tcPr>
            <w:tcW w:w="4962" w:type="dxa"/>
            <w:shd w:val="clear" w:color="auto" w:fill="BEE6F0"/>
          </w:tcPr>
          <w:p w14:paraId="6CB1C65B" w14:textId="77777777" w:rsidR="00DC7A74" w:rsidRPr="00610B1B" w:rsidRDefault="00DC7A74" w:rsidP="00AE254B">
            <w:pPr>
              <w:pStyle w:val="Normal1"/>
              <w:spacing w:before="20" w:after="20"/>
              <w:jc w:val="center"/>
              <w:rPr>
                <w:b/>
                <w:color w:val="000000"/>
                <w:sz w:val="24"/>
                <w:szCs w:val="24"/>
              </w:rPr>
            </w:pPr>
            <w:r w:rsidRPr="00610B1B">
              <w:rPr>
                <w:b/>
                <w:color w:val="000000"/>
                <w:sz w:val="24"/>
                <w:szCs w:val="24"/>
              </w:rPr>
              <w:t>Силни страни</w:t>
            </w:r>
          </w:p>
        </w:tc>
        <w:tc>
          <w:tcPr>
            <w:tcW w:w="4962" w:type="dxa"/>
            <w:gridSpan w:val="2"/>
            <w:shd w:val="clear" w:color="auto" w:fill="BEE6F0"/>
          </w:tcPr>
          <w:p w14:paraId="7B138CD6" w14:textId="77777777" w:rsidR="00DC7A74" w:rsidRPr="00610B1B" w:rsidRDefault="00DC7A74" w:rsidP="00AE254B">
            <w:pPr>
              <w:pStyle w:val="Normal1"/>
              <w:spacing w:before="20" w:after="20"/>
              <w:jc w:val="center"/>
              <w:rPr>
                <w:b/>
                <w:color w:val="000000"/>
                <w:sz w:val="24"/>
                <w:szCs w:val="24"/>
              </w:rPr>
            </w:pPr>
            <w:r w:rsidRPr="00610B1B">
              <w:rPr>
                <w:b/>
                <w:color w:val="000000"/>
                <w:sz w:val="24"/>
                <w:szCs w:val="24"/>
              </w:rPr>
              <w:t>Слаби страни</w:t>
            </w:r>
          </w:p>
        </w:tc>
      </w:tr>
      <w:tr w:rsidR="00DC7A74" w:rsidRPr="005C2B9F" w14:paraId="73D4A284" w14:textId="77777777" w:rsidTr="00AE254B">
        <w:tc>
          <w:tcPr>
            <w:tcW w:w="4962" w:type="dxa"/>
            <w:shd w:val="clear" w:color="auto" w:fill="FFFFFF"/>
          </w:tcPr>
          <w:p w14:paraId="3032AA02" w14:textId="5379824C" w:rsidR="00DC7A74" w:rsidRPr="00610B1B" w:rsidRDefault="00DC7A74" w:rsidP="00AE254B">
            <w:pPr>
              <w:pStyle w:val="Normal1"/>
              <w:spacing w:before="20" w:after="20"/>
              <w:rPr>
                <w:color w:val="000000"/>
                <w:sz w:val="24"/>
                <w:szCs w:val="24"/>
              </w:rPr>
            </w:pPr>
            <w:r w:rsidRPr="00610B1B">
              <w:rPr>
                <w:sz w:val="24"/>
                <w:szCs w:val="24"/>
              </w:rPr>
              <w:t xml:space="preserve">Непрекъснато наблюдение на кораби над 12 метра и постоянен мониторинг на риболовни кораби, извършващи улов на квотиран вид риба (калкан), с цел достоверност на данните при кръстосани проверки. </w:t>
            </w:r>
            <w:r w:rsidR="000929F1" w:rsidRPr="00610B1B">
              <w:rPr>
                <w:sz w:val="24"/>
                <w:szCs w:val="24"/>
              </w:rPr>
              <w:t>(</w:t>
            </w:r>
            <w:r w:rsidRPr="00610B1B">
              <w:rPr>
                <w:sz w:val="24"/>
                <w:szCs w:val="24"/>
              </w:rPr>
              <w:t>Съгласно установените на национално ниво правила, всеки кораб, който желае да лови калкан трябва да бъде оборудван с проследяващо устройство, свързано с Центъра за наблюдение на риболовните кораби.</w:t>
            </w:r>
            <w:r w:rsidR="000929F1" w:rsidRPr="00610B1B">
              <w:rPr>
                <w:sz w:val="24"/>
                <w:szCs w:val="24"/>
              </w:rPr>
              <w:t>)</w:t>
            </w:r>
          </w:p>
        </w:tc>
        <w:tc>
          <w:tcPr>
            <w:tcW w:w="4962" w:type="dxa"/>
            <w:gridSpan w:val="2"/>
            <w:shd w:val="clear" w:color="auto" w:fill="FFFFFF"/>
          </w:tcPr>
          <w:p w14:paraId="22B0CDD1" w14:textId="09413A52" w:rsidR="00DC7A74" w:rsidRPr="00610B1B" w:rsidRDefault="00DC7A74" w:rsidP="00AE254B">
            <w:pPr>
              <w:pStyle w:val="Normal1"/>
              <w:spacing w:before="20" w:after="20"/>
              <w:rPr>
                <w:color w:val="000000"/>
                <w:sz w:val="24"/>
                <w:szCs w:val="24"/>
              </w:rPr>
            </w:pPr>
            <w:r w:rsidRPr="00610B1B">
              <w:rPr>
                <w:sz w:val="24"/>
                <w:szCs w:val="24"/>
              </w:rPr>
              <w:t>Ограничен район на плаване на голяма част от риболовния фло</w:t>
            </w:r>
            <w:r w:rsidR="000929F1" w:rsidRPr="00610B1B">
              <w:rPr>
                <w:sz w:val="24"/>
                <w:szCs w:val="24"/>
              </w:rPr>
              <w:t xml:space="preserve">т и много голям относителен дял на </w:t>
            </w:r>
            <w:r w:rsidRPr="00610B1B">
              <w:rPr>
                <w:sz w:val="24"/>
                <w:szCs w:val="24"/>
              </w:rPr>
              <w:t>риболовни</w:t>
            </w:r>
            <w:r w:rsidR="000929F1" w:rsidRPr="00610B1B">
              <w:rPr>
                <w:sz w:val="24"/>
                <w:szCs w:val="24"/>
              </w:rPr>
              <w:t xml:space="preserve">те съдове </w:t>
            </w:r>
            <w:r w:rsidRPr="00610B1B">
              <w:rPr>
                <w:sz w:val="24"/>
                <w:szCs w:val="24"/>
              </w:rPr>
              <w:t xml:space="preserve">по-малки от 12 </w:t>
            </w:r>
            <w:r w:rsidR="000929F1" w:rsidRPr="00610B1B">
              <w:rPr>
                <w:sz w:val="24"/>
                <w:szCs w:val="24"/>
              </w:rPr>
              <w:t>m</w:t>
            </w:r>
            <w:r w:rsidRPr="00610B1B">
              <w:rPr>
                <w:sz w:val="24"/>
                <w:szCs w:val="24"/>
              </w:rPr>
              <w:t xml:space="preserve">, </w:t>
            </w:r>
            <w:r w:rsidR="000929F1" w:rsidRPr="00610B1B">
              <w:rPr>
                <w:sz w:val="24"/>
                <w:szCs w:val="24"/>
              </w:rPr>
              <w:t xml:space="preserve">с </w:t>
            </w:r>
            <w:r w:rsidRPr="00610B1B">
              <w:rPr>
                <w:sz w:val="24"/>
                <w:szCs w:val="24"/>
              </w:rPr>
              <w:t>разрешение за плаване в рамките на зоната до 2 морски мили от брега.</w:t>
            </w:r>
            <w:r w:rsidR="00D66FE0" w:rsidRPr="00610B1B">
              <w:rPr>
                <w:sz w:val="24"/>
                <w:szCs w:val="24"/>
              </w:rPr>
              <w:t xml:space="preserve"> </w:t>
            </w:r>
          </w:p>
        </w:tc>
      </w:tr>
      <w:tr w:rsidR="00DC7A74" w:rsidRPr="005C2B9F" w14:paraId="54A82D58" w14:textId="77777777" w:rsidTr="00AE254B">
        <w:tc>
          <w:tcPr>
            <w:tcW w:w="4962" w:type="dxa"/>
            <w:shd w:val="clear" w:color="auto" w:fill="FFFFFF"/>
          </w:tcPr>
          <w:p w14:paraId="3F6B88C1" w14:textId="2157CD17" w:rsidR="00DC7A74" w:rsidRPr="00610B1B" w:rsidRDefault="000929F1" w:rsidP="00AE254B">
            <w:pPr>
              <w:pStyle w:val="Normal1"/>
              <w:spacing w:before="20" w:after="20"/>
              <w:rPr>
                <w:color w:val="000000"/>
                <w:sz w:val="24"/>
                <w:szCs w:val="24"/>
              </w:rPr>
            </w:pPr>
            <w:r w:rsidRPr="00610B1B">
              <w:rPr>
                <w:sz w:val="24"/>
                <w:szCs w:val="24"/>
              </w:rPr>
              <w:t>Добро с</w:t>
            </w:r>
            <w:r w:rsidR="00DC7A74" w:rsidRPr="00610B1B">
              <w:rPr>
                <w:sz w:val="24"/>
                <w:szCs w:val="24"/>
              </w:rPr>
              <w:t xml:space="preserve">ътрудничество с други администрации по отношение на техническите характеристики на риболовните кораби </w:t>
            </w:r>
            <w:r w:rsidRPr="00610B1B">
              <w:rPr>
                <w:sz w:val="24"/>
                <w:szCs w:val="24"/>
              </w:rPr>
              <w:t xml:space="preserve">- </w:t>
            </w:r>
            <w:r w:rsidR="00DC7A74" w:rsidRPr="00610B1B">
              <w:rPr>
                <w:sz w:val="24"/>
                <w:szCs w:val="24"/>
              </w:rPr>
              <w:t xml:space="preserve">с ИАМА </w:t>
            </w:r>
            <w:r w:rsidRPr="00610B1B">
              <w:rPr>
                <w:sz w:val="24"/>
                <w:szCs w:val="24"/>
              </w:rPr>
              <w:t>в</w:t>
            </w:r>
            <w:r w:rsidR="00DC7A74" w:rsidRPr="00610B1B">
              <w:rPr>
                <w:sz w:val="24"/>
                <w:szCs w:val="24"/>
              </w:rPr>
              <w:t xml:space="preserve"> борбата с </w:t>
            </w:r>
            <w:bookmarkStart w:id="417" w:name="_Hlk46594356"/>
            <w:r w:rsidR="00DC7A74" w:rsidRPr="00610B1B">
              <w:rPr>
                <w:sz w:val="24"/>
                <w:szCs w:val="24"/>
              </w:rPr>
              <w:t>незаконния, недеклариран и нерегулиран</w:t>
            </w:r>
            <w:bookmarkEnd w:id="417"/>
            <w:r w:rsidR="00DC7A74" w:rsidRPr="00610B1B">
              <w:rPr>
                <w:sz w:val="24"/>
                <w:szCs w:val="24"/>
              </w:rPr>
              <w:t xml:space="preserve"> (ННН) риболов</w:t>
            </w:r>
            <w:r w:rsidRPr="00610B1B">
              <w:rPr>
                <w:sz w:val="24"/>
                <w:szCs w:val="24"/>
              </w:rPr>
              <w:t xml:space="preserve">, </w:t>
            </w:r>
            <w:r w:rsidR="00DC7A74" w:rsidRPr="00610B1B">
              <w:rPr>
                <w:sz w:val="24"/>
                <w:szCs w:val="24"/>
              </w:rPr>
              <w:t>Гранична полиция, Българска агенция по безопасност на храните, European Fisheries Control Agency (EFCA), Frontex, European Maritime Safety Agency (EMSA).</w:t>
            </w:r>
          </w:p>
        </w:tc>
        <w:tc>
          <w:tcPr>
            <w:tcW w:w="4962" w:type="dxa"/>
            <w:gridSpan w:val="2"/>
            <w:shd w:val="clear" w:color="auto" w:fill="FFFFFF"/>
          </w:tcPr>
          <w:p w14:paraId="1B6A360C" w14:textId="4063A8B9" w:rsidR="00DC7A74" w:rsidRPr="00610B1B" w:rsidRDefault="00DC7A74" w:rsidP="00AE254B">
            <w:pPr>
              <w:pStyle w:val="Normal1"/>
              <w:spacing w:before="20" w:after="20"/>
              <w:rPr>
                <w:color w:val="000000"/>
                <w:sz w:val="24"/>
                <w:szCs w:val="24"/>
              </w:rPr>
            </w:pPr>
            <w:r w:rsidRPr="00610B1B">
              <w:rPr>
                <w:sz w:val="24"/>
                <w:szCs w:val="24"/>
              </w:rPr>
              <w:t>Недостатъчно оборудване и стари производствени инсталации и риболовни кораби</w:t>
            </w:r>
            <w:r w:rsidR="000929F1" w:rsidRPr="00610B1B">
              <w:rPr>
                <w:sz w:val="24"/>
                <w:szCs w:val="24"/>
              </w:rPr>
              <w:t>,</w:t>
            </w:r>
            <w:r w:rsidRPr="00610B1B">
              <w:rPr>
                <w:sz w:val="24"/>
                <w:szCs w:val="24"/>
              </w:rPr>
              <w:t xml:space="preserve"> както и недостатъчно използване на научните достижения и новите технологии в сектора.</w:t>
            </w:r>
          </w:p>
        </w:tc>
      </w:tr>
      <w:tr w:rsidR="00DC7A74" w:rsidRPr="005C2B9F" w14:paraId="1EDBDAC1" w14:textId="77777777" w:rsidTr="00AE254B">
        <w:tc>
          <w:tcPr>
            <w:tcW w:w="4962" w:type="dxa"/>
            <w:shd w:val="clear" w:color="auto" w:fill="FFFFFF"/>
          </w:tcPr>
          <w:p w14:paraId="52E071A5" w14:textId="5C3CE44D" w:rsidR="00DC7A74" w:rsidRPr="00610B1B" w:rsidRDefault="00DC7A74" w:rsidP="00AE254B">
            <w:pPr>
              <w:pStyle w:val="Normal1"/>
              <w:spacing w:before="20" w:after="20"/>
              <w:rPr>
                <w:color w:val="000000"/>
                <w:sz w:val="24"/>
                <w:szCs w:val="24"/>
              </w:rPr>
            </w:pPr>
            <w:r w:rsidRPr="00610B1B">
              <w:rPr>
                <w:sz w:val="24"/>
                <w:szCs w:val="24"/>
              </w:rPr>
              <w:t>Наличие на база данни за анализ и оценка на</w:t>
            </w:r>
            <w:r w:rsidR="00D66FE0" w:rsidRPr="00610B1B">
              <w:rPr>
                <w:sz w:val="24"/>
                <w:szCs w:val="24"/>
              </w:rPr>
              <w:t xml:space="preserve"> </w:t>
            </w:r>
            <w:r w:rsidRPr="00610B1B">
              <w:rPr>
                <w:sz w:val="24"/>
                <w:szCs w:val="24"/>
              </w:rPr>
              <w:t>биологическите и социално-икономическите показатели в сектор „Рибарство и аквакултури“</w:t>
            </w:r>
            <w:r w:rsidR="00CC2289" w:rsidRPr="00610B1B">
              <w:rPr>
                <w:sz w:val="24"/>
                <w:szCs w:val="24"/>
              </w:rPr>
              <w:t xml:space="preserve"> с </w:t>
            </w:r>
            <w:r w:rsidRPr="00610B1B">
              <w:rPr>
                <w:sz w:val="24"/>
                <w:szCs w:val="24"/>
              </w:rPr>
              <w:t xml:space="preserve">важна роля за опазване и управление на живите водни ресурси. </w:t>
            </w:r>
          </w:p>
        </w:tc>
        <w:tc>
          <w:tcPr>
            <w:tcW w:w="4962" w:type="dxa"/>
            <w:gridSpan w:val="2"/>
            <w:shd w:val="clear" w:color="auto" w:fill="FFFFFF"/>
          </w:tcPr>
          <w:p w14:paraId="07749745" w14:textId="46A4E22D" w:rsidR="00DC7A74" w:rsidRPr="00610B1B" w:rsidRDefault="006F4640" w:rsidP="00AE254B">
            <w:pPr>
              <w:pStyle w:val="Normal1"/>
              <w:spacing w:before="20" w:after="20"/>
              <w:rPr>
                <w:color w:val="000000"/>
                <w:sz w:val="24"/>
                <w:szCs w:val="24"/>
              </w:rPr>
            </w:pPr>
            <w:r w:rsidRPr="00610B1B">
              <w:rPr>
                <w:sz w:val="24"/>
                <w:szCs w:val="24"/>
              </w:rPr>
              <w:t>Липса на координация с други институции за прилагане на единен формат на данните и постигане на по-надеждни научни изводи.</w:t>
            </w:r>
            <w:r w:rsidR="00DC7A74" w:rsidRPr="00610B1B">
              <w:rPr>
                <w:sz w:val="24"/>
                <w:szCs w:val="24"/>
              </w:rPr>
              <w:t xml:space="preserve"> </w:t>
            </w:r>
          </w:p>
        </w:tc>
      </w:tr>
      <w:tr w:rsidR="006F4640" w:rsidRPr="005C2B9F" w14:paraId="05841949" w14:textId="77777777" w:rsidTr="00AE254B">
        <w:tc>
          <w:tcPr>
            <w:tcW w:w="4962" w:type="dxa"/>
            <w:shd w:val="clear" w:color="auto" w:fill="FFFFFF"/>
          </w:tcPr>
          <w:p w14:paraId="4C5B9D84" w14:textId="77777777" w:rsidR="006F4640" w:rsidRPr="00610B1B" w:rsidRDefault="006F4640" w:rsidP="00AE254B">
            <w:pPr>
              <w:pStyle w:val="Normal1"/>
              <w:spacing w:before="20" w:after="20"/>
              <w:rPr>
                <w:sz w:val="24"/>
                <w:szCs w:val="24"/>
              </w:rPr>
            </w:pPr>
          </w:p>
        </w:tc>
        <w:tc>
          <w:tcPr>
            <w:tcW w:w="4962" w:type="dxa"/>
            <w:gridSpan w:val="2"/>
            <w:shd w:val="clear" w:color="auto" w:fill="FFFFFF"/>
          </w:tcPr>
          <w:p w14:paraId="71B69BCE" w14:textId="45A9FA41" w:rsidR="00ED74EC" w:rsidRPr="00610B1B" w:rsidRDefault="006F4640" w:rsidP="00AE254B">
            <w:pPr>
              <w:pStyle w:val="Normal1"/>
              <w:spacing w:before="20" w:after="20"/>
              <w:rPr>
                <w:sz w:val="24"/>
                <w:szCs w:val="24"/>
              </w:rPr>
            </w:pPr>
            <w:r w:rsidRPr="00610B1B">
              <w:rPr>
                <w:sz w:val="24"/>
                <w:szCs w:val="24"/>
              </w:rPr>
              <w:t xml:space="preserve">Липса на диверсификация на морските аквакултури (само черна морска мида) </w:t>
            </w:r>
          </w:p>
        </w:tc>
      </w:tr>
      <w:tr w:rsidR="006F4640" w:rsidRPr="00610B1B" w14:paraId="16713232" w14:textId="77777777" w:rsidTr="00AE254B">
        <w:tc>
          <w:tcPr>
            <w:tcW w:w="4962" w:type="dxa"/>
            <w:shd w:val="clear" w:color="auto" w:fill="BEE6F0"/>
          </w:tcPr>
          <w:p w14:paraId="7363E9CA" w14:textId="77777777" w:rsidR="006F4640" w:rsidRPr="00610B1B" w:rsidRDefault="006F4640" w:rsidP="00AE254B">
            <w:pPr>
              <w:pStyle w:val="Normal1"/>
              <w:spacing w:before="20" w:after="20"/>
              <w:jc w:val="center"/>
              <w:rPr>
                <w:b/>
                <w:bCs/>
                <w:color w:val="000000"/>
                <w:sz w:val="24"/>
                <w:szCs w:val="24"/>
              </w:rPr>
            </w:pPr>
            <w:r w:rsidRPr="00610B1B">
              <w:rPr>
                <w:b/>
                <w:bCs/>
                <w:sz w:val="24"/>
                <w:szCs w:val="24"/>
              </w:rPr>
              <w:t>Възможности</w:t>
            </w:r>
          </w:p>
        </w:tc>
        <w:tc>
          <w:tcPr>
            <w:tcW w:w="4962" w:type="dxa"/>
            <w:gridSpan w:val="2"/>
            <w:shd w:val="clear" w:color="auto" w:fill="BEE6F0"/>
          </w:tcPr>
          <w:p w14:paraId="5B0CD5C1" w14:textId="77777777" w:rsidR="006F4640" w:rsidRPr="00610B1B" w:rsidRDefault="006F4640" w:rsidP="00AE254B">
            <w:pPr>
              <w:pStyle w:val="Normal1"/>
              <w:spacing w:before="20" w:after="20"/>
              <w:jc w:val="center"/>
              <w:rPr>
                <w:b/>
                <w:bCs/>
                <w:color w:val="000000"/>
                <w:sz w:val="24"/>
                <w:szCs w:val="24"/>
              </w:rPr>
            </w:pPr>
            <w:r w:rsidRPr="00610B1B">
              <w:rPr>
                <w:b/>
                <w:bCs/>
                <w:sz w:val="24"/>
                <w:szCs w:val="24"/>
              </w:rPr>
              <w:t>Заплахи</w:t>
            </w:r>
          </w:p>
        </w:tc>
      </w:tr>
      <w:tr w:rsidR="006F4640" w:rsidRPr="005C2B9F" w14:paraId="26A49CC8" w14:textId="77777777" w:rsidTr="00AE254B">
        <w:tc>
          <w:tcPr>
            <w:tcW w:w="4962" w:type="dxa"/>
            <w:shd w:val="clear" w:color="auto" w:fill="FFFFFF"/>
          </w:tcPr>
          <w:p w14:paraId="0F9F5CEB" w14:textId="77777777" w:rsidR="006F4640" w:rsidRPr="00610B1B" w:rsidRDefault="006F4640" w:rsidP="00AE254B">
            <w:pPr>
              <w:pStyle w:val="Normal1"/>
              <w:spacing w:before="20" w:after="20"/>
              <w:rPr>
                <w:b/>
                <w:color w:val="000000"/>
                <w:sz w:val="24"/>
                <w:szCs w:val="24"/>
              </w:rPr>
            </w:pPr>
            <w:r w:rsidRPr="00610B1B">
              <w:rPr>
                <w:sz w:val="24"/>
                <w:szCs w:val="24"/>
              </w:rPr>
              <w:t>Инвестиции в подобряване на селективността на риболовните уреди с цел постигане на устойчив и отговорен риболов, както и намаляване отрицателното въздействие на рибарството върху околната среда.</w:t>
            </w:r>
          </w:p>
        </w:tc>
        <w:tc>
          <w:tcPr>
            <w:tcW w:w="4962" w:type="dxa"/>
            <w:gridSpan w:val="2"/>
            <w:shd w:val="clear" w:color="auto" w:fill="FFFFFF"/>
          </w:tcPr>
          <w:p w14:paraId="6FBC520D" w14:textId="77777777" w:rsidR="006F4640" w:rsidRPr="00610B1B" w:rsidRDefault="006F4640" w:rsidP="00AE254B">
            <w:pPr>
              <w:pStyle w:val="Normal1"/>
              <w:spacing w:before="20" w:after="20"/>
              <w:rPr>
                <w:color w:val="000000"/>
                <w:sz w:val="24"/>
                <w:szCs w:val="24"/>
              </w:rPr>
            </w:pPr>
            <w:r w:rsidRPr="00610B1B">
              <w:rPr>
                <w:color w:val="000000"/>
                <w:sz w:val="24"/>
                <w:szCs w:val="24"/>
              </w:rPr>
              <w:t>Негативно влияние на климатичните промени върху състоянието на околната среда и продължаващо намаляване на рибните ресурси.</w:t>
            </w:r>
          </w:p>
        </w:tc>
      </w:tr>
      <w:tr w:rsidR="006F4640" w:rsidRPr="005C2B9F" w14:paraId="73FF8105" w14:textId="77777777" w:rsidTr="00AE254B">
        <w:tc>
          <w:tcPr>
            <w:tcW w:w="4962" w:type="dxa"/>
            <w:shd w:val="clear" w:color="auto" w:fill="FFFFFF"/>
          </w:tcPr>
          <w:p w14:paraId="141F7967" w14:textId="4B3BB8BA" w:rsidR="006F4640" w:rsidRPr="00610B1B" w:rsidRDefault="006F4640" w:rsidP="00AE254B">
            <w:pPr>
              <w:pStyle w:val="Normal1"/>
              <w:spacing w:before="20" w:after="20"/>
              <w:rPr>
                <w:sz w:val="24"/>
                <w:szCs w:val="24"/>
              </w:rPr>
            </w:pPr>
            <w:r w:rsidRPr="00610B1B">
              <w:rPr>
                <w:sz w:val="24"/>
                <w:szCs w:val="24"/>
              </w:rPr>
              <w:t>Диверсифициране доходите на рибарите чрез участие в допълнителни дейности като туризъм, ресторантьорство, предоставяне на екологични услуги, в съответствие със същността на риболовния бизнес.</w:t>
            </w:r>
          </w:p>
        </w:tc>
        <w:tc>
          <w:tcPr>
            <w:tcW w:w="4962" w:type="dxa"/>
            <w:gridSpan w:val="2"/>
            <w:shd w:val="clear" w:color="auto" w:fill="FFFFFF"/>
          </w:tcPr>
          <w:p w14:paraId="1681289B" w14:textId="051E1888" w:rsidR="006F4640" w:rsidRPr="00610B1B" w:rsidRDefault="006F4640" w:rsidP="00AE254B">
            <w:pPr>
              <w:pStyle w:val="Normal1"/>
              <w:spacing w:before="20" w:after="20"/>
              <w:rPr>
                <w:color w:val="000000"/>
                <w:sz w:val="24"/>
                <w:szCs w:val="24"/>
              </w:rPr>
            </w:pPr>
            <w:r w:rsidRPr="00610B1B">
              <w:rPr>
                <w:color w:val="000000"/>
                <w:sz w:val="24"/>
                <w:szCs w:val="24"/>
              </w:rPr>
              <w:t>Намаляване на броя на активните кораби поради слабите икономически резултати. Намаляване на печалбите вследствие на увеличаването на разходите за осъществяване на дейността.</w:t>
            </w:r>
          </w:p>
        </w:tc>
      </w:tr>
      <w:tr w:rsidR="006F4640" w:rsidRPr="005C2B9F" w14:paraId="1D918EF1" w14:textId="77777777" w:rsidTr="00AE254B">
        <w:tc>
          <w:tcPr>
            <w:tcW w:w="4962" w:type="dxa"/>
            <w:shd w:val="clear" w:color="auto" w:fill="FFFFFF"/>
          </w:tcPr>
          <w:p w14:paraId="2C059E4B" w14:textId="77777777" w:rsidR="006F4640" w:rsidRPr="00610B1B" w:rsidRDefault="006F4640" w:rsidP="00AE254B">
            <w:pPr>
              <w:pStyle w:val="Normal1"/>
              <w:spacing w:before="20" w:after="20"/>
              <w:rPr>
                <w:sz w:val="24"/>
                <w:szCs w:val="24"/>
              </w:rPr>
            </w:pPr>
            <w:r w:rsidRPr="00610B1B">
              <w:rPr>
                <w:sz w:val="24"/>
                <w:szCs w:val="24"/>
              </w:rPr>
              <w:t>Намаляване капацитета на риболовния флот за балансиране на запасите.</w:t>
            </w:r>
          </w:p>
        </w:tc>
        <w:tc>
          <w:tcPr>
            <w:tcW w:w="4962" w:type="dxa"/>
            <w:gridSpan w:val="2"/>
            <w:shd w:val="clear" w:color="auto" w:fill="FFFFFF"/>
          </w:tcPr>
          <w:p w14:paraId="6E96784A" w14:textId="7DE056BB" w:rsidR="006F4640" w:rsidRPr="00610B1B" w:rsidRDefault="006F4640" w:rsidP="00AE254B">
            <w:pPr>
              <w:pStyle w:val="Normal1"/>
              <w:spacing w:before="20" w:after="20"/>
              <w:rPr>
                <w:color w:val="000000"/>
                <w:sz w:val="24"/>
                <w:szCs w:val="24"/>
              </w:rPr>
            </w:pPr>
            <w:r w:rsidRPr="00610B1B">
              <w:rPr>
                <w:color w:val="000000"/>
                <w:sz w:val="24"/>
                <w:szCs w:val="24"/>
              </w:rPr>
              <w:t>Неустойчива експлоатация на запасите поради липса на данни относно индикаторите за биоустойчивост, както и индикатори за морското дъно.</w:t>
            </w:r>
          </w:p>
        </w:tc>
      </w:tr>
      <w:tr w:rsidR="006F4640" w:rsidRPr="00610B1B" w14:paraId="5EEA8FCB" w14:textId="77777777" w:rsidTr="00AE254B">
        <w:tc>
          <w:tcPr>
            <w:tcW w:w="9924" w:type="dxa"/>
            <w:gridSpan w:val="3"/>
            <w:shd w:val="clear" w:color="auto" w:fill="92CDDC"/>
          </w:tcPr>
          <w:p w14:paraId="7425884B" w14:textId="77777777" w:rsidR="006F4640" w:rsidRPr="00610B1B" w:rsidRDefault="006F4640" w:rsidP="00AE254B">
            <w:pPr>
              <w:pStyle w:val="Heading4"/>
              <w:spacing w:before="20" w:after="20"/>
              <w:jc w:val="center"/>
              <w:rPr>
                <w:rFonts w:cs="Times New Roman"/>
                <w:szCs w:val="24"/>
              </w:rPr>
            </w:pPr>
            <w:bookmarkStart w:id="418" w:name="_wp9yhogfq8jw" w:colFirst="0" w:colLast="0"/>
            <w:bookmarkEnd w:id="418"/>
            <w:r w:rsidRPr="00610B1B">
              <w:rPr>
                <w:rFonts w:cs="Times New Roman"/>
                <w:szCs w:val="24"/>
              </w:rPr>
              <w:lastRenderedPageBreak/>
              <w:t>ТУРИЗЪМ</w:t>
            </w:r>
          </w:p>
        </w:tc>
      </w:tr>
      <w:tr w:rsidR="006F4640" w:rsidRPr="00610B1B" w14:paraId="67339807" w14:textId="77777777" w:rsidTr="00AE254B">
        <w:tc>
          <w:tcPr>
            <w:tcW w:w="4962" w:type="dxa"/>
            <w:shd w:val="clear" w:color="auto" w:fill="BEE6F0"/>
          </w:tcPr>
          <w:p w14:paraId="679B43F9" w14:textId="77777777" w:rsidR="006F4640" w:rsidRPr="00610B1B" w:rsidRDefault="006F4640" w:rsidP="00AE254B">
            <w:pPr>
              <w:pStyle w:val="Normal1"/>
              <w:spacing w:before="20" w:after="20"/>
              <w:jc w:val="center"/>
              <w:rPr>
                <w:b/>
                <w:color w:val="000000"/>
                <w:sz w:val="24"/>
                <w:szCs w:val="24"/>
              </w:rPr>
            </w:pPr>
            <w:r w:rsidRPr="00610B1B">
              <w:rPr>
                <w:b/>
                <w:color w:val="000000"/>
                <w:sz w:val="24"/>
                <w:szCs w:val="24"/>
              </w:rPr>
              <w:t>Силни страни</w:t>
            </w:r>
          </w:p>
        </w:tc>
        <w:tc>
          <w:tcPr>
            <w:tcW w:w="4962" w:type="dxa"/>
            <w:gridSpan w:val="2"/>
            <w:shd w:val="clear" w:color="auto" w:fill="BEE6F0"/>
          </w:tcPr>
          <w:p w14:paraId="4A8B9082" w14:textId="77777777" w:rsidR="006F4640" w:rsidRPr="00610B1B" w:rsidRDefault="006F4640" w:rsidP="00AE254B">
            <w:pPr>
              <w:pStyle w:val="Normal1"/>
              <w:spacing w:before="20" w:after="20"/>
              <w:jc w:val="center"/>
              <w:rPr>
                <w:b/>
                <w:color w:val="000000"/>
                <w:sz w:val="24"/>
                <w:szCs w:val="24"/>
              </w:rPr>
            </w:pPr>
            <w:r w:rsidRPr="00610B1B">
              <w:rPr>
                <w:b/>
                <w:color w:val="000000"/>
                <w:sz w:val="24"/>
                <w:szCs w:val="24"/>
              </w:rPr>
              <w:t>Слаби страни</w:t>
            </w:r>
          </w:p>
        </w:tc>
      </w:tr>
      <w:tr w:rsidR="006F4640" w:rsidRPr="005C2B9F" w14:paraId="4E4939A6" w14:textId="77777777" w:rsidTr="00AE254B">
        <w:tc>
          <w:tcPr>
            <w:tcW w:w="4962" w:type="dxa"/>
            <w:shd w:val="clear" w:color="auto" w:fill="FFFFFF"/>
          </w:tcPr>
          <w:p w14:paraId="415C255A" w14:textId="128302B2" w:rsidR="006F4640" w:rsidRPr="00610B1B" w:rsidRDefault="006F4640" w:rsidP="00AE254B">
            <w:pPr>
              <w:pStyle w:val="Normal1"/>
              <w:spacing w:before="20" w:after="20"/>
              <w:rPr>
                <w:color w:val="000000"/>
                <w:sz w:val="24"/>
                <w:szCs w:val="24"/>
              </w:rPr>
            </w:pPr>
            <w:r w:rsidRPr="00610B1B">
              <w:rPr>
                <w:color w:val="000000"/>
                <w:sz w:val="24"/>
                <w:szCs w:val="24"/>
              </w:rPr>
              <w:t>Стабилен контекст</w:t>
            </w:r>
            <w:r w:rsidR="00D66FE0" w:rsidRPr="00610B1B">
              <w:rPr>
                <w:color w:val="000000"/>
                <w:sz w:val="24"/>
                <w:szCs w:val="24"/>
              </w:rPr>
              <w:t xml:space="preserve"> </w:t>
            </w:r>
            <w:r w:rsidRPr="00610B1B">
              <w:rPr>
                <w:color w:val="000000"/>
                <w:sz w:val="24"/>
                <w:szCs w:val="24"/>
              </w:rPr>
              <w:t>- икономически растеж, финансова система и валута, данъчна и осигурителна политика, членство в ЕС, принадлежност към най-големия туристически пазар – европейския, съгласуваност на българската туристическа политика с международната рамка, действащ стратегически планов документ.</w:t>
            </w:r>
          </w:p>
        </w:tc>
        <w:tc>
          <w:tcPr>
            <w:tcW w:w="4962" w:type="dxa"/>
            <w:gridSpan w:val="2"/>
            <w:shd w:val="clear" w:color="auto" w:fill="FFFFFF"/>
          </w:tcPr>
          <w:p w14:paraId="0711BB40" w14:textId="7B602022" w:rsidR="006F4640" w:rsidRPr="00610B1B" w:rsidRDefault="006F4640" w:rsidP="00AE254B">
            <w:pPr>
              <w:pStyle w:val="Normal1"/>
              <w:spacing w:before="20" w:after="20"/>
              <w:rPr>
                <w:color w:val="000000"/>
                <w:sz w:val="24"/>
                <w:szCs w:val="24"/>
              </w:rPr>
            </w:pPr>
            <w:r w:rsidRPr="00610B1B">
              <w:rPr>
                <w:color w:val="000000"/>
                <w:sz w:val="24"/>
                <w:szCs w:val="24"/>
              </w:rPr>
              <w:t>Нискоефективно функциониране на сектора - подчертана сезонност, екстензивно използване на туристическите ресурси, ниска средногодишна заетост на легловата база, позициониране като евтина дестинация - нисък среден приход от турист, намаляване на продължителността на престоя, голям сив сектор, липса на добра маркетингова и брандинг стратегия.</w:t>
            </w:r>
          </w:p>
        </w:tc>
      </w:tr>
      <w:tr w:rsidR="006F4640" w:rsidRPr="005C2B9F" w14:paraId="5BB65C07" w14:textId="77777777" w:rsidTr="00AE254B">
        <w:tc>
          <w:tcPr>
            <w:tcW w:w="4962" w:type="dxa"/>
            <w:shd w:val="clear" w:color="auto" w:fill="FFFFFF"/>
          </w:tcPr>
          <w:p w14:paraId="6A35865F" w14:textId="12ED869C" w:rsidR="006F4640" w:rsidRPr="00610B1B" w:rsidRDefault="006F4640" w:rsidP="00AE254B">
            <w:pPr>
              <w:pStyle w:val="Normal1"/>
              <w:spacing w:before="20" w:after="20"/>
              <w:rPr>
                <w:color w:val="000000"/>
                <w:sz w:val="24"/>
                <w:szCs w:val="24"/>
              </w:rPr>
            </w:pPr>
            <w:r w:rsidRPr="00610B1B">
              <w:rPr>
                <w:color w:val="000000"/>
                <w:sz w:val="24"/>
                <w:szCs w:val="24"/>
              </w:rPr>
              <w:t>Привлекателност на дестинация „България”</w:t>
            </w:r>
            <w:r w:rsidR="00D66FE0" w:rsidRPr="00610B1B">
              <w:rPr>
                <w:color w:val="000000"/>
                <w:sz w:val="24"/>
                <w:szCs w:val="24"/>
              </w:rPr>
              <w:t xml:space="preserve"> </w:t>
            </w:r>
            <w:r w:rsidRPr="00610B1B">
              <w:rPr>
                <w:color w:val="000000"/>
                <w:sz w:val="24"/>
                <w:szCs w:val="24"/>
              </w:rPr>
              <w:t>- достъпност, близост до основни генериращи пазари, конкурентни цени, сигурност, национална идентичност/специфика; изявен морски туризъм.</w:t>
            </w:r>
          </w:p>
        </w:tc>
        <w:tc>
          <w:tcPr>
            <w:tcW w:w="4962" w:type="dxa"/>
            <w:gridSpan w:val="2"/>
            <w:shd w:val="clear" w:color="auto" w:fill="FFFFFF"/>
          </w:tcPr>
          <w:p w14:paraId="2270C806" w14:textId="3B16E3DE" w:rsidR="006F4640" w:rsidRPr="00610B1B" w:rsidRDefault="006F4640" w:rsidP="00AE254B">
            <w:pPr>
              <w:pStyle w:val="Normal1"/>
              <w:spacing w:before="20" w:after="20"/>
              <w:rPr>
                <w:color w:val="000000"/>
                <w:sz w:val="24"/>
                <w:szCs w:val="24"/>
              </w:rPr>
            </w:pPr>
            <w:r w:rsidRPr="00610B1B">
              <w:rPr>
                <w:color w:val="000000"/>
                <w:sz w:val="24"/>
                <w:szCs w:val="24"/>
              </w:rPr>
              <w:t>Дефицити в институционалния капацитет и управлението (недостиг на знания в комуникациите и PR, онлайн маркетинга, иновациите; малко сертифицирани фирми по стандарти за качество и устойчиво развитие; недобро взаимодействие между държавната администрация и туристическите сдружения и бизнеса; ниска информационна обезпеченост на дестинацията; човешки ресурси – недостатъчно количество и качество, слаба мотивация.</w:t>
            </w:r>
          </w:p>
        </w:tc>
      </w:tr>
      <w:tr w:rsidR="006F4640" w:rsidRPr="005C2B9F" w14:paraId="0A6E0B55" w14:textId="77777777" w:rsidTr="00AE254B">
        <w:tc>
          <w:tcPr>
            <w:tcW w:w="4962" w:type="dxa"/>
            <w:shd w:val="clear" w:color="auto" w:fill="FFFFFF"/>
          </w:tcPr>
          <w:p w14:paraId="7DF56E2D" w14:textId="082F93D6" w:rsidR="006F4640" w:rsidRPr="00610B1B" w:rsidRDefault="006F4640" w:rsidP="00AE254B">
            <w:pPr>
              <w:pStyle w:val="Normal1"/>
              <w:spacing w:before="20" w:after="20"/>
              <w:rPr>
                <w:color w:val="000000"/>
                <w:sz w:val="24"/>
                <w:szCs w:val="24"/>
              </w:rPr>
            </w:pPr>
            <w:r w:rsidRPr="00610B1B">
              <w:rPr>
                <w:color w:val="000000"/>
                <w:sz w:val="24"/>
                <w:szCs w:val="24"/>
              </w:rPr>
              <w:t>Разнообразни и пространствено наситени туристически ресурси</w:t>
            </w:r>
            <w:r w:rsidR="00D66FE0" w:rsidRPr="00610B1B">
              <w:rPr>
                <w:color w:val="000000"/>
                <w:sz w:val="24"/>
                <w:szCs w:val="24"/>
              </w:rPr>
              <w:t xml:space="preserve"> </w:t>
            </w:r>
            <w:r w:rsidRPr="00610B1B">
              <w:rPr>
                <w:color w:val="000000"/>
                <w:sz w:val="24"/>
                <w:szCs w:val="24"/>
              </w:rPr>
              <w:t>- природно и културно наследство, климат, атрактивно Черноморско крайбрежие, минерални води, биоразнообразие, защитени територии и видове, условия и продукти за много видове туризъм и тяхното комбиниране в 4 сезона.</w:t>
            </w:r>
          </w:p>
        </w:tc>
        <w:tc>
          <w:tcPr>
            <w:tcW w:w="4962" w:type="dxa"/>
            <w:gridSpan w:val="2"/>
            <w:shd w:val="clear" w:color="auto" w:fill="FFFFFF"/>
          </w:tcPr>
          <w:p w14:paraId="34A41083" w14:textId="77777777" w:rsidR="006F4640" w:rsidRPr="00610B1B" w:rsidRDefault="006F4640" w:rsidP="00AE254B">
            <w:pPr>
              <w:pStyle w:val="Normal1"/>
              <w:spacing w:before="20" w:after="20"/>
              <w:rPr>
                <w:color w:val="000000"/>
                <w:sz w:val="24"/>
                <w:szCs w:val="24"/>
              </w:rPr>
            </w:pPr>
            <w:r w:rsidRPr="00610B1B">
              <w:rPr>
                <w:color w:val="000000"/>
                <w:sz w:val="24"/>
                <w:szCs w:val="24"/>
              </w:rPr>
              <w:t>Силен натиск върху околната среда - неустойчиво управление на ресурсите; претоварено Черноморско крайбрежие с пренаселени курорти; недоизградена инфраструктура; липса на концепция за адаптация на сектора към климатичните промени.</w:t>
            </w:r>
          </w:p>
          <w:p w14:paraId="2CD80C1E" w14:textId="77777777" w:rsidR="00AE254B" w:rsidRPr="00610B1B" w:rsidRDefault="00AE254B" w:rsidP="00AE254B">
            <w:pPr>
              <w:pStyle w:val="Normal1"/>
              <w:spacing w:before="20" w:after="20"/>
              <w:rPr>
                <w:color w:val="000000"/>
                <w:sz w:val="24"/>
                <w:szCs w:val="24"/>
              </w:rPr>
            </w:pPr>
          </w:p>
          <w:p w14:paraId="4B90BB4B" w14:textId="151A4BBB" w:rsidR="00AE254B" w:rsidRPr="00610B1B" w:rsidRDefault="00AE254B" w:rsidP="00AE254B">
            <w:pPr>
              <w:pStyle w:val="Normal1"/>
              <w:spacing w:before="20" w:after="20"/>
              <w:rPr>
                <w:color w:val="000000"/>
                <w:sz w:val="24"/>
                <w:szCs w:val="24"/>
              </w:rPr>
            </w:pPr>
          </w:p>
        </w:tc>
      </w:tr>
      <w:tr w:rsidR="006F4640" w:rsidRPr="00610B1B" w14:paraId="72147839" w14:textId="77777777" w:rsidTr="00AE254B">
        <w:tc>
          <w:tcPr>
            <w:tcW w:w="4962" w:type="dxa"/>
            <w:shd w:val="clear" w:color="auto" w:fill="BEE6F0"/>
          </w:tcPr>
          <w:p w14:paraId="3AB5829D" w14:textId="77777777" w:rsidR="006F4640" w:rsidRPr="00610B1B" w:rsidRDefault="006F4640" w:rsidP="00AE254B">
            <w:pPr>
              <w:pStyle w:val="Normal1"/>
              <w:spacing w:before="20" w:after="20"/>
              <w:jc w:val="center"/>
              <w:rPr>
                <w:b/>
                <w:color w:val="000000"/>
                <w:sz w:val="24"/>
                <w:szCs w:val="24"/>
              </w:rPr>
            </w:pPr>
            <w:r w:rsidRPr="00610B1B">
              <w:rPr>
                <w:b/>
                <w:color w:val="000000"/>
                <w:sz w:val="24"/>
                <w:szCs w:val="24"/>
              </w:rPr>
              <w:t>Възможности</w:t>
            </w:r>
          </w:p>
        </w:tc>
        <w:tc>
          <w:tcPr>
            <w:tcW w:w="4962" w:type="dxa"/>
            <w:gridSpan w:val="2"/>
            <w:shd w:val="clear" w:color="auto" w:fill="BEE6F0"/>
          </w:tcPr>
          <w:p w14:paraId="6060867E" w14:textId="77777777" w:rsidR="006F4640" w:rsidRPr="00610B1B" w:rsidRDefault="006F4640" w:rsidP="00AE254B">
            <w:pPr>
              <w:pStyle w:val="Normal1"/>
              <w:spacing w:before="20" w:after="20"/>
              <w:jc w:val="center"/>
              <w:rPr>
                <w:b/>
                <w:color w:val="000000"/>
                <w:sz w:val="24"/>
                <w:szCs w:val="24"/>
              </w:rPr>
            </w:pPr>
            <w:r w:rsidRPr="00610B1B">
              <w:rPr>
                <w:b/>
                <w:color w:val="000000"/>
                <w:sz w:val="24"/>
                <w:szCs w:val="24"/>
              </w:rPr>
              <w:t>Заплахи</w:t>
            </w:r>
          </w:p>
        </w:tc>
      </w:tr>
      <w:tr w:rsidR="006F4640" w:rsidRPr="005C2B9F" w14:paraId="2E6729B8" w14:textId="77777777" w:rsidTr="00AE254B">
        <w:tc>
          <w:tcPr>
            <w:tcW w:w="4962" w:type="dxa"/>
            <w:shd w:val="clear" w:color="auto" w:fill="FFFFFF"/>
          </w:tcPr>
          <w:p w14:paraId="1655047E" w14:textId="34FDE67E" w:rsidR="006F4640" w:rsidRPr="00610B1B" w:rsidRDefault="006F4640" w:rsidP="00AE254B">
            <w:pPr>
              <w:pStyle w:val="Normal1"/>
              <w:spacing w:before="20" w:after="20"/>
              <w:rPr>
                <w:color w:val="000000"/>
                <w:sz w:val="24"/>
                <w:szCs w:val="24"/>
              </w:rPr>
            </w:pPr>
            <w:r w:rsidRPr="00610B1B">
              <w:rPr>
                <w:color w:val="000000"/>
                <w:sz w:val="24"/>
                <w:szCs w:val="24"/>
              </w:rPr>
              <w:t>Пренасочване на туристи от конкурентни дестинации с геополитически напрежения, икономически кризи и неблагоприятни последствия от глобалните климатични промени - поле за оползотворяване на благоприятните предпоставки.</w:t>
            </w:r>
          </w:p>
        </w:tc>
        <w:tc>
          <w:tcPr>
            <w:tcW w:w="4962" w:type="dxa"/>
            <w:gridSpan w:val="2"/>
            <w:shd w:val="clear" w:color="auto" w:fill="FFFFFF"/>
          </w:tcPr>
          <w:p w14:paraId="569A0AE6" w14:textId="77777777" w:rsidR="006F4640" w:rsidRPr="00610B1B" w:rsidRDefault="006F4640" w:rsidP="00AE254B">
            <w:pPr>
              <w:pStyle w:val="Normal1"/>
              <w:spacing w:before="20" w:after="20"/>
              <w:rPr>
                <w:color w:val="000000"/>
                <w:sz w:val="24"/>
                <w:szCs w:val="24"/>
              </w:rPr>
            </w:pPr>
            <w:r w:rsidRPr="00610B1B">
              <w:rPr>
                <w:color w:val="000000"/>
                <w:sz w:val="24"/>
                <w:szCs w:val="24"/>
              </w:rPr>
              <w:t>Глобални климатични промени - зачестяващи природни бедствия, влошени екологични показатели;</w:t>
            </w:r>
          </w:p>
          <w:p w14:paraId="6EA0EB13" w14:textId="77777777" w:rsidR="006F4640" w:rsidRPr="00610B1B" w:rsidRDefault="006F4640" w:rsidP="00AE254B">
            <w:pPr>
              <w:pStyle w:val="Normal1"/>
              <w:spacing w:before="20" w:after="20"/>
              <w:rPr>
                <w:color w:val="000000"/>
                <w:sz w:val="24"/>
                <w:szCs w:val="24"/>
              </w:rPr>
            </w:pPr>
          </w:p>
        </w:tc>
      </w:tr>
      <w:tr w:rsidR="006F4640" w:rsidRPr="005C2B9F" w14:paraId="5951AF16" w14:textId="77777777" w:rsidTr="00AE254B">
        <w:tc>
          <w:tcPr>
            <w:tcW w:w="4962" w:type="dxa"/>
            <w:shd w:val="clear" w:color="auto" w:fill="FFFFFF"/>
          </w:tcPr>
          <w:p w14:paraId="46B84E63" w14:textId="5BC297A2" w:rsidR="006F4640" w:rsidRPr="00610B1B" w:rsidRDefault="006F4640" w:rsidP="00AE254B">
            <w:pPr>
              <w:pStyle w:val="Normal1"/>
              <w:spacing w:before="20" w:after="20"/>
              <w:rPr>
                <w:color w:val="000000"/>
                <w:sz w:val="24"/>
                <w:szCs w:val="24"/>
              </w:rPr>
            </w:pPr>
            <w:r w:rsidRPr="00610B1B">
              <w:rPr>
                <w:color w:val="000000"/>
                <w:sz w:val="24"/>
                <w:szCs w:val="24"/>
              </w:rPr>
              <w:t>Благоприятна и стабилна икономическа среда, повишаваща се платежоспособност, свободно време и култура на пътуване</w:t>
            </w:r>
            <w:r w:rsidR="00D66FE0" w:rsidRPr="00610B1B">
              <w:rPr>
                <w:color w:val="000000"/>
                <w:sz w:val="24"/>
                <w:szCs w:val="24"/>
              </w:rPr>
              <w:t xml:space="preserve"> </w:t>
            </w:r>
            <w:r w:rsidRPr="00610B1B">
              <w:rPr>
                <w:color w:val="000000"/>
                <w:sz w:val="24"/>
                <w:szCs w:val="24"/>
              </w:rPr>
              <w:t>- поле за пренасочване към по-високите ценови сегменти и разнообразяване на предлагането – път към „4 seasons 4 you“</w:t>
            </w:r>
          </w:p>
        </w:tc>
        <w:tc>
          <w:tcPr>
            <w:tcW w:w="4962" w:type="dxa"/>
            <w:gridSpan w:val="2"/>
            <w:shd w:val="clear" w:color="auto" w:fill="FFFFFF"/>
          </w:tcPr>
          <w:p w14:paraId="27A3FDF0" w14:textId="6D82EA07" w:rsidR="006F4640" w:rsidRPr="00610B1B" w:rsidRDefault="006F4640" w:rsidP="00AE254B">
            <w:pPr>
              <w:pStyle w:val="Normal1"/>
              <w:spacing w:before="20" w:after="20"/>
              <w:rPr>
                <w:color w:val="000000"/>
                <w:sz w:val="24"/>
                <w:szCs w:val="24"/>
              </w:rPr>
            </w:pPr>
            <w:r w:rsidRPr="00610B1B">
              <w:rPr>
                <w:color w:val="000000"/>
                <w:sz w:val="24"/>
                <w:szCs w:val="24"/>
              </w:rPr>
              <w:t>Силни конкуренти – както по отношение на продукта „черноморски рекреационен туризъм“, така и по отношение на алтернативните форми.</w:t>
            </w:r>
          </w:p>
        </w:tc>
      </w:tr>
      <w:tr w:rsidR="006F4640" w:rsidRPr="005C2B9F" w14:paraId="345A9822" w14:textId="77777777" w:rsidTr="00AE254B">
        <w:tc>
          <w:tcPr>
            <w:tcW w:w="4962" w:type="dxa"/>
            <w:shd w:val="clear" w:color="auto" w:fill="FFFFFF"/>
          </w:tcPr>
          <w:p w14:paraId="2DB6C319" w14:textId="77777777" w:rsidR="006F4640" w:rsidRPr="00610B1B" w:rsidRDefault="006F4640" w:rsidP="00AE254B">
            <w:pPr>
              <w:pStyle w:val="Normal1"/>
              <w:spacing w:before="20" w:after="20"/>
              <w:rPr>
                <w:color w:val="000000"/>
                <w:sz w:val="24"/>
                <w:szCs w:val="24"/>
              </w:rPr>
            </w:pPr>
            <w:r w:rsidRPr="00610B1B">
              <w:rPr>
                <w:color w:val="000000"/>
                <w:sz w:val="24"/>
                <w:szCs w:val="24"/>
              </w:rPr>
              <w:lastRenderedPageBreak/>
              <w:t>Нарастване на екологичната култура и чувствителност към природата – увеличаващо се търсене на устойчиви алтернативни форми на туризъм (поле за засилено анимиране на престоя и включване на атрактивно културно и природно наследство)</w:t>
            </w:r>
          </w:p>
        </w:tc>
        <w:tc>
          <w:tcPr>
            <w:tcW w:w="4962" w:type="dxa"/>
            <w:gridSpan w:val="2"/>
            <w:shd w:val="clear" w:color="auto" w:fill="FFFFFF"/>
          </w:tcPr>
          <w:p w14:paraId="57676355" w14:textId="77777777" w:rsidR="006F4640" w:rsidRPr="00610B1B" w:rsidRDefault="006F4640" w:rsidP="00AE254B">
            <w:pPr>
              <w:pStyle w:val="Normal1"/>
              <w:spacing w:before="20" w:after="20"/>
              <w:rPr>
                <w:color w:val="000000"/>
                <w:sz w:val="24"/>
                <w:szCs w:val="24"/>
              </w:rPr>
            </w:pPr>
            <w:r w:rsidRPr="00610B1B">
              <w:rPr>
                <w:color w:val="000000"/>
                <w:sz w:val="24"/>
                <w:szCs w:val="24"/>
              </w:rPr>
              <w:t>Промени в поведението, нагласите и мотивацията на туристите – нетърпимост към остаряло предлагане, към липса на иновации, към информационните дефицити.</w:t>
            </w:r>
          </w:p>
        </w:tc>
      </w:tr>
      <w:tr w:rsidR="006F4640" w:rsidRPr="005C2B9F" w14:paraId="7B350EDB" w14:textId="77777777" w:rsidTr="00AE254B">
        <w:tc>
          <w:tcPr>
            <w:tcW w:w="4962" w:type="dxa"/>
            <w:shd w:val="clear" w:color="auto" w:fill="FFFFFF"/>
          </w:tcPr>
          <w:p w14:paraId="42173D30" w14:textId="0E5A8B8F" w:rsidR="006F4640" w:rsidRPr="00610B1B" w:rsidRDefault="006F4640" w:rsidP="00AE254B">
            <w:pPr>
              <w:pStyle w:val="Normal1"/>
              <w:spacing w:before="20" w:after="20"/>
              <w:rPr>
                <w:color w:val="000000"/>
                <w:sz w:val="24"/>
                <w:szCs w:val="24"/>
              </w:rPr>
            </w:pPr>
            <w:r w:rsidRPr="00610B1B">
              <w:rPr>
                <w:color w:val="000000"/>
                <w:sz w:val="24"/>
                <w:szCs w:val="24"/>
              </w:rPr>
              <w:t xml:space="preserve">Превръщане на част от негативните последици от Covid’19 кризата в предимство </w:t>
            </w:r>
            <w:r w:rsidR="00AA0CC2" w:rsidRPr="00610B1B">
              <w:rPr>
                <w:color w:val="000000"/>
                <w:sz w:val="24"/>
                <w:szCs w:val="24"/>
              </w:rPr>
              <w:t xml:space="preserve">чрез </w:t>
            </w:r>
            <w:r w:rsidRPr="00610B1B">
              <w:rPr>
                <w:color w:val="000000"/>
                <w:sz w:val="24"/>
                <w:szCs w:val="24"/>
              </w:rPr>
              <w:t xml:space="preserve">повишаване на </w:t>
            </w:r>
            <w:r w:rsidR="00AA0CC2" w:rsidRPr="00610B1B">
              <w:rPr>
                <w:color w:val="000000"/>
                <w:sz w:val="24"/>
                <w:szCs w:val="24"/>
              </w:rPr>
              <w:t>стандарта на обслужване, санитарно-хигиенните условия и комфорта.</w:t>
            </w:r>
          </w:p>
        </w:tc>
        <w:tc>
          <w:tcPr>
            <w:tcW w:w="4962" w:type="dxa"/>
            <w:gridSpan w:val="2"/>
            <w:shd w:val="clear" w:color="auto" w:fill="FFFFFF"/>
          </w:tcPr>
          <w:p w14:paraId="10933A6D" w14:textId="77777777" w:rsidR="006F4640" w:rsidRPr="00610B1B" w:rsidRDefault="006F4640" w:rsidP="00AE254B">
            <w:pPr>
              <w:pStyle w:val="Normal1"/>
              <w:spacing w:before="20" w:after="20"/>
              <w:rPr>
                <w:color w:val="000000"/>
                <w:sz w:val="24"/>
                <w:szCs w:val="24"/>
              </w:rPr>
            </w:pPr>
          </w:p>
        </w:tc>
      </w:tr>
      <w:tr w:rsidR="006F4640" w:rsidRPr="005C2B9F" w14:paraId="00122926" w14:textId="77777777" w:rsidTr="00AE254B">
        <w:tc>
          <w:tcPr>
            <w:tcW w:w="9924" w:type="dxa"/>
            <w:gridSpan w:val="3"/>
            <w:shd w:val="clear" w:color="auto" w:fill="92CDDC"/>
          </w:tcPr>
          <w:p w14:paraId="128B2B8B" w14:textId="77777777" w:rsidR="006F4640" w:rsidRPr="00610B1B" w:rsidRDefault="006F4640" w:rsidP="00AE254B">
            <w:pPr>
              <w:pStyle w:val="Heading4"/>
              <w:spacing w:before="20" w:after="20"/>
              <w:ind w:left="0" w:firstLine="0"/>
              <w:jc w:val="center"/>
              <w:rPr>
                <w:rFonts w:cs="Times New Roman"/>
                <w:szCs w:val="24"/>
              </w:rPr>
            </w:pPr>
            <w:bookmarkStart w:id="419" w:name="_tsnjpmd2kwnw" w:colFirst="0" w:colLast="0"/>
            <w:bookmarkEnd w:id="419"/>
            <w:r w:rsidRPr="00610B1B">
              <w:rPr>
                <w:rFonts w:cs="Times New Roman"/>
                <w:szCs w:val="24"/>
              </w:rPr>
              <w:t>МОРСКА ИНФРАСТРУКТУРА - Информационни и комуникационни технологии и инфраструктура</w:t>
            </w:r>
          </w:p>
        </w:tc>
      </w:tr>
      <w:tr w:rsidR="006F4640" w:rsidRPr="00610B1B" w14:paraId="2FDAA9FB" w14:textId="77777777" w:rsidTr="00AE254B">
        <w:tc>
          <w:tcPr>
            <w:tcW w:w="4962" w:type="dxa"/>
            <w:shd w:val="clear" w:color="auto" w:fill="BEE6F0"/>
          </w:tcPr>
          <w:p w14:paraId="53C14C61" w14:textId="77777777" w:rsidR="006F4640" w:rsidRPr="00610B1B" w:rsidRDefault="006F4640" w:rsidP="00AE254B">
            <w:pPr>
              <w:pStyle w:val="Normal1"/>
              <w:spacing w:before="20" w:after="20"/>
              <w:jc w:val="center"/>
              <w:rPr>
                <w:b/>
                <w:color w:val="000000"/>
                <w:sz w:val="24"/>
                <w:szCs w:val="24"/>
              </w:rPr>
            </w:pPr>
            <w:r w:rsidRPr="00610B1B">
              <w:rPr>
                <w:b/>
                <w:color w:val="000000"/>
                <w:sz w:val="24"/>
                <w:szCs w:val="24"/>
              </w:rPr>
              <w:t>Силни страни</w:t>
            </w:r>
          </w:p>
        </w:tc>
        <w:tc>
          <w:tcPr>
            <w:tcW w:w="4962" w:type="dxa"/>
            <w:gridSpan w:val="2"/>
            <w:shd w:val="clear" w:color="auto" w:fill="BEE6F0"/>
          </w:tcPr>
          <w:p w14:paraId="399BFA36" w14:textId="77777777" w:rsidR="006F4640" w:rsidRPr="00610B1B" w:rsidRDefault="006F4640" w:rsidP="00AE254B">
            <w:pPr>
              <w:pStyle w:val="Normal1"/>
              <w:spacing w:before="20" w:after="20"/>
              <w:jc w:val="center"/>
              <w:rPr>
                <w:b/>
                <w:color w:val="000000"/>
                <w:sz w:val="24"/>
                <w:szCs w:val="24"/>
              </w:rPr>
            </w:pPr>
            <w:r w:rsidRPr="00610B1B">
              <w:rPr>
                <w:b/>
                <w:color w:val="000000"/>
                <w:sz w:val="24"/>
                <w:szCs w:val="24"/>
              </w:rPr>
              <w:t>Слаби страни</w:t>
            </w:r>
          </w:p>
        </w:tc>
      </w:tr>
      <w:tr w:rsidR="006F4640" w:rsidRPr="005C2B9F" w14:paraId="623AF005" w14:textId="77777777" w:rsidTr="00AE254B">
        <w:tc>
          <w:tcPr>
            <w:tcW w:w="4962" w:type="dxa"/>
          </w:tcPr>
          <w:p w14:paraId="72B7DD25" w14:textId="398CA2CF" w:rsidR="006F4640" w:rsidRPr="00610B1B" w:rsidRDefault="006F4640" w:rsidP="00AE254B">
            <w:pPr>
              <w:pStyle w:val="Normal1"/>
              <w:spacing w:before="20" w:after="20"/>
              <w:rPr>
                <w:b/>
                <w:color w:val="000000"/>
                <w:sz w:val="24"/>
                <w:szCs w:val="24"/>
              </w:rPr>
            </w:pPr>
            <w:r w:rsidRPr="00610B1B">
              <w:rPr>
                <w:sz w:val="24"/>
                <w:szCs w:val="24"/>
              </w:rPr>
              <w:t>Добро географско положение. Сравнително добри връзки на пристанищата със сухоземната и железопътна национална пътна мрежа.</w:t>
            </w:r>
          </w:p>
        </w:tc>
        <w:tc>
          <w:tcPr>
            <w:tcW w:w="4962" w:type="dxa"/>
            <w:gridSpan w:val="2"/>
          </w:tcPr>
          <w:p w14:paraId="12ABC1EA" w14:textId="77777777" w:rsidR="006F4640" w:rsidRPr="00610B1B" w:rsidRDefault="006F4640" w:rsidP="00AE254B">
            <w:pPr>
              <w:pStyle w:val="Normal1"/>
              <w:spacing w:before="20" w:after="20"/>
              <w:rPr>
                <w:color w:val="000000"/>
                <w:sz w:val="24"/>
                <w:szCs w:val="24"/>
              </w:rPr>
            </w:pPr>
            <w:r w:rsidRPr="00610B1B">
              <w:rPr>
                <w:sz w:val="24"/>
                <w:szCs w:val="24"/>
              </w:rPr>
              <w:t>Морално и физически остаряла пристанищна инфраструктура.</w:t>
            </w:r>
          </w:p>
        </w:tc>
      </w:tr>
      <w:tr w:rsidR="006F4640" w:rsidRPr="005C2B9F" w14:paraId="6A854A5B" w14:textId="77777777" w:rsidTr="00AE254B">
        <w:tc>
          <w:tcPr>
            <w:tcW w:w="4962" w:type="dxa"/>
          </w:tcPr>
          <w:p w14:paraId="0A16CAA2" w14:textId="77777777" w:rsidR="006F4640" w:rsidRPr="00610B1B" w:rsidRDefault="006F4640" w:rsidP="00AE254B">
            <w:pPr>
              <w:pStyle w:val="Normal1"/>
              <w:spacing w:before="20" w:after="20"/>
              <w:rPr>
                <w:color w:val="000000"/>
                <w:sz w:val="24"/>
                <w:szCs w:val="24"/>
              </w:rPr>
            </w:pPr>
            <w:r w:rsidRPr="00610B1B">
              <w:rPr>
                <w:sz w:val="24"/>
                <w:szCs w:val="24"/>
              </w:rPr>
              <w:t>Свободни мощности за обработка на всички видове товари.</w:t>
            </w:r>
          </w:p>
        </w:tc>
        <w:tc>
          <w:tcPr>
            <w:tcW w:w="4962" w:type="dxa"/>
            <w:gridSpan w:val="2"/>
          </w:tcPr>
          <w:p w14:paraId="27686206" w14:textId="77777777" w:rsidR="006F4640" w:rsidRPr="00610B1B" w:rsidRDefault="006F4640" w:rsidP="00AE254B">
            <w:pPr>
              <w:pStyle w:val="Normal1"/>
              <w:spacing w:before="20" w:after="20"/>
              <w:rPr>
                <w:color w:val="000000"/>
                <w:sz w:val="24"/>
                <w:szCs w:val="24"/>
              </w:rPr>
            </w:pPr>
            <w:r w:rsidRPr="00610B1B">
              <w:rPr>
                <w:sz w:val="24"/>
                <w:szCs w:val="24"/>
              </w:rPr>
              <w:t>Недостатъчни специализирани пристанищни терминали, които да осигуряват високоефективна и конкурентна обработка на товарите.</w:t>
            </w:r>
          </w:p>
        </w:tc>
      </w:tr>
      <w:tr w:rsidR="006F4640" w:rsidRPr="005C2B9F" w14:paraId="55ED6B52" w14:textId="77777777" w:rsidTr="00AE254B">
        <w:tc>
          <w:tcPr>
            <w:tcW w:w="4962" w:type="dxa"/>
          </w:tcPr>
          <w:p w14:paraId="16827E85" w14:textId="47746DCD" w:rsidR="006F4640" w:rsidRPr="00610B1B" w:rsidRDefault="006F4640" w:rsidP="00AE254B">
            <w:pPr>
              <w:pStyle w:val="Normal1"/>
              <w:spacing w:before="20" w:after="20"/>
              <w:rPr>
                <w:color w:val="000000"/>
                <w:sz w:val="24"/>
                <w:szCs w:val="24"/>
              </w:rPr>
            </w:pPr>
            <w:r w:rsidRPr="00610B1B">
              <w:rPr>
                <w:sz w:val="24"/>
                <w:szCs w:val="24"/>
              </w:rPr>
              <w:t>Наличие на относително добри сухоземни и подводни оптични връзки.</w:t>
            </w:r>
          </w:p>
        </w:tc>
        <w:tc>
          <w:tcPr>
            <w:tcW w:w="4962" w:type="dxa"/>
            <w:gridSpan w:val="2"/>
          </w:tcPr>
          <w:p w14:paraId="273C78A7" w14:textId="77777777" w:rsidR="006F4640" w:rsidRPr="00610B1B" w:rsidRDefault="006F4640" w:rsidP="00AE254B">
            <w:pPr>
              <w:pStyle w:val="Normal1"/>
              <w:spacing w:before="20" w:after="20"/>
              <w:rPr>
                <w:color w:val="000000"/>
                <w:sz w:val="24"/>
                <w:szCs w:val="24"/>
              </w:rPr>
            </w:pPr>
            <w:r w:rsidRPr="00610B1B">
              <w:rPr>
                <w:sz w:val="24"/>
                <w:szCs w:val="24"/>
              </w:rPr>
              <w:t>Морално и физически остаряла претоварна пристанищна техника.</w:t>
            </w:r>
          </w:p>
        </w:tc>
      </w:tr>
      <w:tr w:rsidR="006F4640" w:rsidRPr="00610B1B" w14:paraId="30A50274" w14:textId="77777777" w:rsidTr="00AE254B">
        <w:tc>
          <w:tcPr>
            <w:tcW w:w="4962" w:type="dxa"/>
            <w:shd w:val="clear" w:color="auto" w:fill="BEE6F0"/>
          </w:tcPr>
          <w:p w14:paraId="103AFBAA" w14:textId="77777777" w:rsidR="006F4640" w:rsidRPr="00610B1B" w:rsidRDefault="006F4640" w:rsidP="00AE254B">
            <w:pPr>
              <w:pStyle w:val="Normal1"/>
              <w:spacing w:before="20" w:after="20"/>
              <w:jc w:val="center"/>
              <w:rPr>
                <w:b/>
                <w:sz w:val="24"/>
                <w:szCs w:val="24"/>
              </w:rPr>
            </w:pPr>
            <w:r w:rsidRPr="00610B1B">
              <w:rPr>
                <w:b/>
                <w:bCs/>
                <w:sz w:val="24"/>
                <w:szCs w:val="24"/>
              </w:rPr>
              <w:t>Възможности</w:t>
            </w:r>
          </w:p>
        </w:tc>
        <w:tc>
          <w:tcPr>
            <w:tcW w:w="4962" w:type="dxa"/>
            <w:gridSpan w:val="2"/>
            <w:shd w:val="clear" w:color="auto" w:fill="BEE6F0"/>
          </w:tcPr>
          <w:p w14:paraId="41D55830" w14:textId="77777777" w:rsidR="006F4640" w:rsidRPr="00610B1B" w:rsidRDefault="006F4640" w:rsidP="00AE254B">
            <w:pPr>
              <w:pStyle w:val="Normal1"/>
              <w:spacing w:before="20" w:after="20"/>
              <w:jc w:val="center"/>
              <w:rPr>
                <w:b/>
                <w:sz w:val="24"/>
                <w:szCs w:val="24"/>
              </w:rPr>
            </w:pPr>
            <w:r w:rsidRPr="00610B1B">
              <w:rPr>
                <w:b/>
                <w:bCs/>
                <w:sz w:val="24"/>
                <w:szCs w:val="24"/>
              </w:rPr>
              <w:t>Заплахи</w:t>
            </w:r>
          </w:p>
        </w:tc>
      </w:tr>
      <w:tr w:rsidR="006F4640" w:rsidRPr="00610B1B" w14:paraId="173351C2" w14:textId="77777777" w:rsidTr="00AE254B">
        <w:tc>
          <w:tcPr>
            <w:tcW w:w="4962" w:type="dxa"/>
          </w:tcPr>
          <w:p w14:paraId="455BEDE3" w14:textId="77777777" w:rsidR="006F4640" w:rsidRPr="00610B1B" w:rsidRDefault="006F4640" w:rsidP="00AE254B">
            <w:pPr>
              <w:pStyle w:val="Normal1"/>
              <w:spacing w:before="20" w:after="20"/>
              <w:rPr>
                <w:b/>
                <w:color w:val="000000"/>
                <w:sz w:val="24"/>
                <w:szCs w:val="24"/>
              </w:rPr>
            </w:pPr>
            <w:r w:rsidRPr="00610B1B">
              <w:rPr>
                <w:sz w:val="24"/>
                <w:szCs w:val="24"/>
              </w:rPr>
              <w:t>Привличане на български и чуждестранни инвеститори и пристанищни оператори, както и използване на публично частното партньорство.</w:t>
            </w:r>
          </w:p>
        </w:tc>
        <w:tc>
          <w:tcPr>
            <w:tcW w:w="4962" w:type="dxa"/>
            <w:gridSpan w:val="2"/>
          </w:tcPr>
          <w:p w14:paraId="72C1FDD2" w14:textId="77777777" w:rsidR="006F4640" w:rsidRPr="00610B1B" w:rsidRDefault="006F4640" w:rsidP="00AE254B">
            <w:pPr>
              <w:pStyle w:val="Normal1"/>
              <w:spacing w:before="20" w:after="20"/>
              <w:rPr>
                <w:color w:val="000000"/>
                <w:sz w:val="24"/>
                <w:szCs w:val="24"/>
              </w:rPr>
            </w:pPr>
            <w:r w:rsidRPr="00610B1B">
              <w:rPr>
                <w:sz w:val="24"/>
                <w:szCs w:val="24"/>
              </w:rPr>
              <w:t>Спад на международните товаропотоци.</w:t>
            </w:r>
          </w:p>
        </w:tc>
      </w:tr>
      <w:tr w:rsidR="006F4640" w:rsidRPr="00610B1B" w14:paraId="6ADF325E" w14:textId="77777777" w:rsidTr="00AE254B">
        <w:tc>
          <w:tcPr>
            <w:tcW w:w="4962" w:type="dxa"/>
          </w:tcPr>
          <w:p w14:paraId="26D44BAE" w14:textId="77777777" w:rsidR="006F4640" w:rsidRPr="00610B1B" w:rsidRDefault="006F4640" w:rsidP="00AE254B">
            <w:pPr>
              <w:pStyle w:val="Normal1"/>
              <w:spacing w:before="20" w:after="20"/>
              <w:rPr>
                <w:b/>
                <w:color w:val="000000"/>
                <w:sz w:val="24"/>
                <w:szCs w:val="24"/>
              </w:rPr>
            </w:pPr>
            <w:r w:rsidRPr="00610B1B">
              <w:rPr>
                <w:sz w:val="24"/>
                <w:szCs w:val="24"/>
              </w:rPr>
              <w:t xml:space="preserve">Ефективно използване на фондовете на Европейския съюз за развитие на пристанищната инфраструктура. </w:t>
            </w:r>
          </w:p>
        </w:tc>
        <w:tc>
          <w:tcPr>
            <w:tcW w:w="4962" w:type="dxa"/>
            <w:gridSpan w:val="2"/>
          </w:tcPr>
          <w:p w14:paraId="396821A3" w14:textId="559215AE" w:rsidR="006F4640" w:rsidRPr="00610B1B" w:rsidRDefault="006F4640" w:rsidP="00AE254B">
            <w:pPr>
              <w:pStyle w:val="Normal1"/>
              <w:spacing w:before="20" w:after="20"/>
              <w:rPr>
                <w:color w:val="000000"/>
                <w:sz w:val="24"/>
                <w:szCs w:val="24"/>
              </w:rPr>
            </w:pPr>
            <w:r w:rsidRPr="00610B1B">
              <w:rPr>
                <w:sz w:val="24"/>
                <w:szCs w:val="24"/>
              </w:rPr>
              <w:t>Забавяне на реформите, преструктурирането и модернизацията на пристанищната инфраструктура. Силна конкуренция на пристанищата от Черноморския район.</w:t>
            </w:r>
          </w:p>
        </w:tc>
      </w:tr>
      <w:tr w:rsidR="006F4640" w:rsidRPr="005C2B9F" w14:paraId="0EEA4FC4" w14:textId="77777777" w:rsidTr="00AE254B">
        <w:tc>
          <w:tcPr>
            <w:tcW w:w="4962" w:type="dxa"/>
          </w:tcPr>
          <w:p w14:paraId="0F9C3D48" w14:textId="77777777" w:rsidR="006F4640" w:rsidRPr="00610B1B" w:rsidRDefault="006F4640" w:rsidP="00AE254B">
            <w:pPr>
              <w:pStyle w:val="Normal1"/>
              <w:spacing w:before="20" w:after="20"/>
              <w:rPr>
                <w:b/>
                <w:color w:val="000000"/>
                <w:sz w:val="24"/>
                <w:szCs w:val="24"/>
              </w:rPr>
            </w:pPr>
            <w:r w:rsidRPr="00610B1B">
              <w:rPr>
                <w:sz w:val="24"/>
                <w:szCs w:val="24"/>
              </w:rPr>
              <w:t>Изместване на пристанищните терминали извън централните градски зони и развитие на интермодални терминали.</w:t>
            </w:r>
          </w:p>
        </w:tc>
        <w:tc>
          <w:tcPr>
            <w:tcW w:w="4962" w:type="dxa"/>
            <w:gridSpan w:val="2"/>
          </w:tcPr>
          <w:p w14:paraId="1806BE0D" w14:textId="77777777" w:rsidR="005F0F25" w:rsidRPr="00610B1B" w:rsidRDefault="006F4640" w:rsidP="00AE254B">
            <w:pPr>
              <w:pStyle w:val="Normal1"/>
              <w:spacing w:before="20" w:after="20"/>
              <w:rPr>
                <w:sz w:val="24"/>
                <w:szCs w:val="24"/>
              </w:rPr>
            </w:pPr>
            <w:r w:rsidRPr="00610B1B">
              <w:rPr>
                <w:sz w:val="24"/>
                <w:szCs w:val="24"/>
              </w:rPr>
              <w:t>Влошаване качеството на пристанищната инфраструктура в резултат на недостиг на финансови средства за нейното поддържане, експлоатация и развитие.</w:t>
            </w:r>
          </w:p>
          <w:p w14:paraId="3582135D" w14:textId="77777777" w:rsidR="009907CE" w:rsidRPr="00610B1B" w:rsidRDefault="009907CE" w:rsidP="00AE254B">
            <w:pPr>
              <w:pStyle w:val="Normal1"/>
              <w:spacing w:before="20" w:after="20"/>
              <w:rPr>
                <w:sz w:val="24"/>
                <w:szCs w:val="24"/>
              </w:rPr>
            </w:pPr>
          </w:p>
          <w:p w14:paraId="13137A11" w14:textId="77777777" w:rsidR="009907CE" w:rsidRPr="00610B1B" w:rsidRDefault="009907CE" w:rsidP="00AE254B">
            <w:pPr>
              <w:pStyle w:val="Normal1"/>
              <w:spacing w:before="20" w:after="20"/>
              <w:rPr>
                <w:sz w:val="24"/>
                <w:szCs w:val="24"/>
              </w:rPr>
            </w:pPr>
          </w:p>
          <w:p w14:paraId="12EDF649" w14:textId="77777777" w:rsidR="009907CE" w:rsidRPr="00610B1B" w:rsidRDefault="009907CE" w:rsidP="00AE254B">
            <w:pPr>
              <w:pStyle w:val="Normal1"/>
              <w:spacing w:before="20" w:after="20"/>
              <w:rPr>
                <w:sz w:val="24"/>
                <w:szCs w:val="24"/>
              </w:rPr>
            </w:pPr>
          </w:p>
          <w:p w14:paraId="77E7B3D1" w14:textId="6D3E87D5" w:rsidR="009907CE" w:rsidRPr="00610B1B" w:rsidRDefault="009907CE" w:rsidP="00AE254B">
            <w:pPr>
              <w:pStyle w:val="Normal1"/>
              <w:spacing w:before="20" w:after="20"/>
              <w:rPr>
                <w:color w:val="000000"/>
                <w:sz w:val="24"/>
                <w:szCs w:val="24"/>
              </w:rPr>
            </w:pPr>
          </w:p>
        </w:tc>
      </w:tr>
      <w:tr w:rsidR="006F4640" w:rsidRPr="005C2B9F" w14:paraId="2630090C" w14:textId="77777777" w:rsidTr="00AE254B">
        <w:tc>
          <w:tcPr>
            <w:tcW w:w="9924" w:type="dxa"/>
            <w:gridSpan w:val="3"/>
            <w:shd w:val="clear" w:color="auto" w:fill="92CDDC"/>
          </w:tcPr>
          <w:p w14:paraId="74A62D98" w14:textId="63561BCA" w:rsidR="006F4640" w:rsidRPr="00610B1B" w:rsidRDefault="006F4640" w:rsidP="00AE254B">
            <w:pPr>
              <w:pStyle w:val="Heading4"/>
              <w:spacing w:before="20" w:after="20"/>
              <w:ind w:left="0" w:firstLine="0"/>
              <w:jc w:val="center"/>
              <w:rPr>
                <w:rFonts w:cs="Times New Roman"/>
                <w:szCs w:val="24"/>
              </w:rPr>
            </w:pPr>
            <w:bookmarkStart w:id="420" w:name="_l557zult7zy3" w:colFirst="0" w:colLast="0"/>
            <w:bookmarkEnd w:id="420"/>
            <w:r w:rsidRPr="00610B1B">
              <w:rPr>
                <w:rFonts w:cs="Times New Roman"/>
                <w:szCs w:val="24"/>
              </w:rPr>
              <w:lastRenderedPageBreak/>
              <w:t>ПРОУЧВАНЕ, РАЗРАБОТВАНЕ И ДОБИВ НА ПРИРОДНИ РЕСУРСИ</w:t>
            </w:r>
          </w:p>
        </w:tc>
      </w:tr>
      <w:tr w:rsidR="006F4640" w:rsidRPr="00610B1B" w14:paraId="60BAE856" w14:textId="77777777" w:rsidTr="00AE254B">
        <w:tc>
          <w:tcPr>
            <w:tcW w:w="4962" w:type="dxa"/>
            <w:shd w:val="clear" w:color="auto" w:fill="BEE6F0"/>
          </w:tcPr>
          <w:p w14:paraId="1BD7C955" w14:textId="77777777" w:rsidR="006F4640" w:rsidRPr="00610B1B" w:rsidRDefault="006F4640" w:rsidP="00AE254B">
            <w:pPr>
              <w:pStyle w:val="Normal1"/>
              <w:spacing w:before="20" w:after="20"/>
              <w:jc w:val="center"/>
              <w:rPr>
                <w:b/>
                <w:color w:val="000000"/>
                <w:sz w:val="24"/>
                <w:szCs w:val="24"/>
              </w:rPr>
            </w:pPr>
            <w:r w:rsidRPr="00610B1B">
              <w:rPr>
                <w:b/>
                <w:color w:val="000000"/>
                <w:sz w:val="24"/>
                <w:szCs w:val="24"/>
              </w:rPr>
              <w:t>Силни страни</w:t>
            </w:r>
          </w:p>
        </w:tc>
        <w:tc>
          <w:tcPr>
            <w:tcW w:w="4962" w:type="dxa"/>
            <w:gridSpan w:val="2"/>
            <w:shd w:val="clear" w:color="auto" w:fill="BEE6F0"/>
          </w:tcPr>
          <w:p w14:paraId="40538FA8" w14:textId="77777777" w:rsidR="006F4640" w:rsidRPr="00610B1B" w:rsidRDefault="006F4640" w:rsidP="00AE254B">
            <w:pPr>
              <w:pStyle w:val="Normal1"/>
              <w:spacing w:before="20" w:after="20"/>
              <w:jc w:val="center"/>
              <w:rPr>
                <w:b/>
                <w:color w:val="000000"/>
                <w:sz w:val="24"/>
                <w:szCs w:val="24"/>
              </w:rPr>
            </w:pPr>
            <w:r w:rsidRPr="00610B1B">
              <w:rPr>
                <w:b/>
                <w:color w:val="000000"/>
                <w:sz w:val="24"/>
                <w:szCs w:val="24"/>
              </w:rPr>
              <w:t>Слаби страни</w:t>
            </w:r>
          </w:p>
        </w:tc>
      </w:tr>
      <w:tr w:rsidR="006F4640" w:rsidRPr="005C2B9F" w14:paraId="30160596" w14:textId="77777777" w:rsidTr="00AE254B">
        <w:tc>
          <w:tcPr>
            <w:tcW w:w="4962" w:type="dxa"/>
            <w:shd w:val="clear" w:color="auto" w:fill="FFFFFF"/>
          </w:tcPr>
          <w:p w14:paraId="7D700FF1" w14:textId="79E13492" w:rsidR="006F4640" w:rsidRPr="00610B1B" w:rsidRDefault="006F4640" w:rsidP="00AE254B">
            <w:pPr>
              <w:pStyle w:val="Normal1"/>
              <w:spacing w:before="20" w:after="20"/>
              <w:rPr>
                <w:b/>
                <w:color w:val="000000"/>
                <w:sz w:val="24"/>
                <w:szCs w:val="24"/>
              </w:rPr>
            </w:pPr>
            <w:r w:rsidRPr="00610B1B">
              <w:rPr>
                <w:color w:val="000000"/>
                <w:sz w:val="24"/>
                <w:szCs w:val="24"/>
              </w:rPr>
              <w:t>Добре изучено геоложко пространство на земните недра на българския континентален шелф.</w:t>
            </w:r>
          </w:p>
        </w:tc>
        <w:tc>
          <w:tcPr>
            <w:tcW w:w="4962" w:type="dxa"/>
            <w:gridSpan w:val="2"/>
            <w:shd w:val="clear" w:color="auto" w:fill="FFFFFF"/>
          </w:tcPr>
          <w:p w14:paraId="4F20958C" w14:textId="4FAACFF5" w:rsidR="006F4640" w:rsidRPr="00610B1B" w:rsidRDefault="006F4640" w:rsidP="00AE254B">
            <w:pPr>
              <w:pStyle w:val="Normal1"/>
              <w:spacing w:before="20" w:after="20"/>
              <w:rPr>
                <w:b/>
                <w:color w:val="000000"/>
                <w:sz w:val="24"/>
                <w:szCs w:val="24"/>
              </w:rPr>
            </w:pPr>
            <w:r w:rsidRPr="00610B1B">
              <w:rPr>
                <w:color w:val="000000"/>
                <w:sz w:val="24"/>
                <w:szCs w:val="24"/>
              </w:rPr>
              <w:t xml:space="preserve">Малки находища с локално значение и слаби перспективи за откриване на нови находища на нефт и природен газ. </w:t>
            </w:r>
          </w:p>
        </w:tc>
      </w:tr>
      <w:tr w:rsidR="006F4640" w:rsidRPr="005C2B9F" w14:paraId="104A4B16" w14:textId="77777777" w:rsidTr="00AE254B">
        <w:tc>
          <w:tcPr>
            <w:tcW w:w="4962" w:type="dxa"/>
            <w:shd w:val="clear" w:color="auto" w:fill="FFFFFF"/>
          </w:tcPr>
          <w:p w14:paraId="57E10A48" w14:textId="567655A4" w:rsidR="006F4640" w:rsidRPr="00610B1B" w:rsidRDefault="006F4640" w:rsidP="00AE254B">
            <w:pPr>
              <w:pStyle w:val="Normal1"/>
              <w:spacing w:before="20" w:after="20"/>
              <w:rPr>
                <w:b/>
                <w:color w:val="000000"/>
                <w:sz w:val="24"/>
                <w:szCs w:val="24"/>
              </w:rPr>
            </w:pPr>
            <w:r w:rsidRPr="00610B1B">
              <w:rPr>
                <w:color w:val="000000"/>
                <w:sz w:val="24"/>
                <w:szCs w:val="24"/>
              </w:rPr>
              <w:t>Благоприятни климатични условия и географски дадености за добив на морска сол.</w:t>
            </w:r>
          </w:p>
        </w:tc>
        <w:tc>
          <w:tcPr>
            <w:tcW w:w="4962" w:type="dxa"/>
            <w:gridSpan w:val="2"/>
            <w:shd w:val="clear" w:color="auto" w:fill="FFFFFF"/>
          </w:tcPr>
          <w:p w14:paraId="6F544E3C" w14:textId="6F2516A8" w:rsidR="006F4640" w:rsidRPr="00610B1B" w:rsidRDefault="006F4640" w:rsidP="00AE254B">
            <w:pPr>
              <w:pStyle w:val="Normal1"/>
              <w:spacing w:before="20" w:after="20"/>
              <w:rPr>
                <w:b/>
                <w:color w:val="000000"/>
                <w:sz w:val="24"/>
                <w:szCs w:val="24"/>
              </w:rPr>
            </w:pPr>
            <w:r w:rsidRPr="00610B1B">
              <w:rPr>
                <w:color w:val="000000"/>
                <w:sz w:val="24"/>
                <w:szCs w:val="24"/>
              </w:rPr>
              <w:t>Силно колебание на добива от климатичните особености на летния сезон.</w:t>
            </w:r>
          </w:p>
        </w:tc>
      </w:tr>
      <w:tr w:rsidR="006F4640" w:rsidRPr="005C2B9F" w14:paraId="6CC79778" w14:textId="77777777" w:rsidTr="00AE254B">
        <w:tc>
          <w:tcPr>
            <w:tcW w:w="4962" w:type="dxa"/>
            <w:shd w:val="clear" w:color="auto" w:fill="FFFFFF"/>
          </w:tcPr>
          <w:p w14:paraId="0D2F4511" w14:textId="72905AAF" w:rsidR="006F4640" w:rsidRPr="00610B1B" w:rsidRDefault="006F4640" w:rsidP="00AE254B">
            <w:pPr>
              <w:pStyle w:val="Normal1"/>
              <w:spacing w:before="20" w:after="20"/>
              <w:rPr>
                <w:b/>
                <w:color w:val="000000"/>
                <w:sz w:val="24"/>
                <w:szCs w:val="24"/>
              </w:rPr>
            </w:pPr>
            <w:r w:rsidRPr="00610B1B">
              <w:rPr>
                <w:color w:val="000000"/>
                <w:sz w:val="24"/>
                <w:szCs w:val="24"/>
              </w:rPr>
              <w:t>Перспективен източник на нетрадиционни природни ресурси като сероводород и газохидрати.</w:t>
            </w:r>
          </w:p>
        </w:tc>
        <w:tc>
          <w:tcPr>
            <w:tcW w:w="4962" w:type="dxa"/>
            <w:gridSpan w:val="2"/>
            <w:shd w:val="clear" w:color="auto" w:fill="FFFFFF"/>
          </w:tcPr>
          <w:p w14:paraId="697947E2" w14:textId="7755A3CD" w:rsidR="00C3007B" w:rsidRPr="00610B1B" w:rsidRDefault="006F4640" w:rsidP="00AE254B">
            <w:pPr>
              <w:spacing w:before="20" w:after="20" w:line="240" w:lineRule="auto"/>
              <w:rPr>
                <w:rFonts w:ascii="Times New Roman" w:hAnsi="Times New Roman" w:cs="Times New Roman"/>
                <w:color w:val="000000"/>
                <w:sz w:val="24"/>
                <w:szCs w:val="24"/>
                <w:lang w:val="bg-BG"/>
              </w:rPr>
            </w:pPr>
            <w:r w:rsidRPr="00610B1B">
              <w:rPr>
                <w:rFonts w:ascii="Times New Roman" w:eastAsia="Times New Roman" w:hAnsi="Times New Roman" w:cs="Times New Roman"/>
                <w:color w:val="000000"/>
                <w:sz w:val="24"/>
                <w:szCs w:val="24"/>
                <w:lang w:val="bg-BG" w:eastAsia="bg-BG"/>
              </w:rPr>
              <w:t xml:space="preserve">Начален етап на разработка на технологиите за извличане на енергия от сероводород и добив на газохидрати от морското дъно. </w:t>
            </w:r>
            <w:r w:rsidRPr="00610B1B">
              <w:rPr>
                <w:rFonts w:ascii="Times New Roman" w:hAnsi="Times New Roman" w:cs="Times New Roman"/>
                <w:color w:val="000000"/>
                <w:sz w:val="24"/>
                <w:szCs w:val="24"/>
                <w:lang w:val="bg-BG"/>
              </w:rPr>
              <w:t xml:space="preserve">Слаба изученост на дълбоководната акватория за наличие и вероятни струпвания и формиране на потенциални залежи от газохидрати. </w:t>
            </w:r>
          </w:p>
        </w:tc>
      </w:tr>
      <w:tr w:rsidR="006F4640" w:rsidRPr="00610B1B" w14:paraId="14AFE9DE" w14:textId="77777777" w:rsidTr="00AE254B">
        <w:tc>
          <w:tcPr>
            <w:tcW w:w="4962" w:type="dxa"/>
            <w:shd w:val="clear" w:color="auto" w:fill="BEE6F0"/>
          </w:tcPr>
          <w:p w14:paraId="400AC5CA" w14:textId="784E4FE5" w:rsidR="006F4640" w:rsidRPr="00610B1B" w:rsidRDefault="006F4640" w:rsidP="00AE254B">
            <w:pPr>
              <w:pStyle w:val="Normal1"/>
              <w:spacing w:before="20" w:after="20"/>
              <w:jc w:val="center"/>
              <w:rPr>
                <w:b/>
                <w:color w:val="000000"/>
                <w:sz w:val="24"/>
                <w:szCs w:val="24"/>
              </w:rPr>
            </w:pPr>
            <w:r w:rsidRPr="00610B1B">
              <w:rPr>
                <w:b/>
                <w:color w:val="000000"/>
                <w:sz w:val="24"/>
                <w:szCs w:val="24"/>
              </w:rPr>
              <w:t>Възможности</w:t>
            </w:r>
          </w:p>
        </w:tc>
        <w:tc>
          <w:tcPr>
            <w:tcW w:w="4962" w:type="dxa"/>
            <w:gridSpan w:val="2"/>
            <w:shd w:val="clear" w:color="auto" w:fill="BEE6F0"/>
          </w:tcPr>
          <w:p w14:paraId="78529F23" w14:textId="374F91F4" w:rsidR="006F4640" w:rsidRPr="00610B1B" w:rsidRDefault="006F4640" w:rsidP="00AE254B">
            <w:pPr>
              <w:pStyle w:val="Normal1"/>
              <w:spacing w:before="20" w:after="20"/>
              <w:jc w:val="center"/>
              <w:rPr>
                <w:b/>
                <w:color w:val="000000"/>
                <w:sz w:val="24"/>
                <w:szCs w:val="24"/>
              </w:rPr>
            </w:pPr>
            <w:r w:rsidRPr="00610B1B">
              <w:rPr>
                <w:b/>
                <w:color w:val="000000"/>
                <w:sz w:val="24"/>
                <w:szCs w:val="24"/>
              </w:rPr>
              <w:t>Заплахи</w:t>
            </w:r>
          </w:p>
        </w:tc>
      </w:tr>
      <w:tr w:rsidR="006F4640" w:rsidRPr="005C2B9F" w14:paraId="11AA1FE3" w14:textId="77777777" w:rsidTr="00AE254B">
        <w:tc>
          <w:tcPr>
            <w:tcW w:w="4962" w:type="dxa"/>
            <w:shd w:val="clear" w:color="auto" w:fill="FFFFFF"/>
          </w:tcPr>
          <w:p w14:paraId="3BABAFB5" w14:textId="029F1EFA" w:rsidR="006F4640" w:rsidRPr="00610B1B" w:rsidRDefault="006F4640" w:rsidP="00AE254B">
            <w:pPr>
              <w:pStyle w:val="Normal1"/>
              <w:spacing w:before="20" w:after="20"/>
              <w:rPr>
                <w:color w:val="000000"/>
                <w:sz w:val="24"/>
                <w:szCs w:val="24"/>
              </w:rPr>
            </w:pPr>
            <w:r w:rsidRPr="00610B1B">
              <w:rPr>
                <w:color w:val="000000"/>
                <w:sz w:val="24"/>
                <w:szCs w:val="24"/>
              </w:rPr>
              <w:t>Разработване на потенциала на крайбрежните езера и лимани за добив на лечебната кал за разнообразяване на предлагания туристически продукт, привличане на интерес и инвестиции.</w:t>
            </w:r>
          </w:p>
        </w:tc>
        <w:tc>
          <w:tcPr>
            <w:tcW w:w="4962" w:type="dxa"/>
            <w:gridSpan w:val="2"/>
            <w:shd w:val="clear" w:color="auto" w:fill="FFFFFF"/>
          </w:tcPr>
          <w:p w14:paraId="44808639" w14:textId="42A895DC" w:rsidR="006F4640" w:rsidRPr="00610B1B" w:rsidRDefault="006F4640" w:rsidP="00AE254B">
            <w:pPr>
              <w:pStyle w:val="Normal1"/>
              <w:spacing w:before="20" w:after="20"/>
              <w:rPr>
                <w:b/>
                <w:color w:val="000000"/>
                <w:sz w:val="24"/>
                <w:szCs w:val="24"/>
              </w:rPr>
            </w:pPr>
            <w:r w:rsidRPr="00610B1B">
              <w:rPr>
                <w:color w:val="000000"/>
                <w:sz w:val="24"/>
                <w:szCs w:val="24"/>
              </w:rPr>
              <w:t>Прекомерно използване на ресурса</w:t>
            </w:r>
            <w:r w:rsidR="00AA0CC2" w:rsidRPr="00610B1B">
              <w:rPr>
                <w:color w:val="000000"/>
                <w:sz w:val="24"/>
                <w:szCs w:val="24"/>
              </w:rPr>
              <w:t>,</w:t>
            </w:r>
            <w:r w:rsidRPr="00610B1B">
              <w:rPr>
                <w:color w:val="000000"/>
                <w:sz w:val="24"/>
                <w:szCs w:val="24"/>
              </w:rPr>
              <w:t xml:space="preserve"> надхвърлящо регенерационния му потенциал.</w:t>
            </w:r>
          </w:p>
        </w:tc>
      </w:tr>
      <w:tr w:rsidR="006F4640" w:rsidRPr="005C2B9F" w14:paraId="3170BC6E" w14:textId="77777777" w:rsidTr="00AE254B">
        <w:tc>
          <w:tcPr>
            <w:tcW w:w="4962" w:type="dxa"/>
            <w:shd w:val="clear" w:color="auto" w:fill="FFFFFF"/>
          </w:tcPr>
          <w:p w14:paraId="4695FF83" w14:textId="409AADDF" w:rsidR="006F4640" w:rsidRPr="00610B1B" w:rsidRDefault="006F4640" w:rsidP="00AE254B">
            <w:pPr>
              <w:pStyle w:val="Normal1"/>
              <w:spacing w:before="20" w:after="20"/>
              <w:rPr>
                <w:color w:val="000000"/>
                <w:sz w:val="24"/>
                <w:szCs w:val="24"/>
              </w:rPr>
            </w:pPr>
            <w:r w:rsidRPr="00610B1B">
              <w:rPr>
                <w:color w:val="000000"/>
                <w:sz w:val="24"/>
                <w:szCs w:val="24"/>
              </w:rPr>
              <w:t>Благоприятни условия за акумулация на инертни материали (пясъци) пригодни за строителни нужди в прибрежната зона, включително за изграждане на изкуствени острови.</w:t>
            </w:r>
          </w:p>
        </w:tc>
        <w:tc>
          <w:tcPr>
            <w:tcW w:w="4962" w:type="dxa"/>
            <w:gridSpan w:val="2"/>
            <w:shd w:val="clear" w:color="auto" w:fill="FFFFFF"/>
          </w:tcPr>
          <w:p w14:paraId="15D13449" w14:textId="6B4D4C8C" w:rsidR="006F4640" w:rsidRPr="00610B1B" w:rsidRDefault="006F4640" w:rsidP="00AE254B">
            <w:pPr>
              <w:spacing w:before="20" w:after="20" w:line="240" w:lineRule="auto"/>
              <w:rPr>
                <w:rFonts w:ascii="Times New Roman" w:eastAsia="Times New Roman" w:hAnsi="Times New Roman" w:cs="Times New Roman"/>
                <w:color w:val="000000"/>
                <w:sz w:val="24"/>
                <w:szCs w:val="24"/>
                <w:lang w:val="bg-BG" w:eastAsia="bg-BG"/>
              </w:rPr>
            </w:pPr>
            <w:r w:rsidRPr="00610B1B">
              <w:rPr>
                <w:rFonts w:ascii="Times New Roman" w:eastAsia="Times New Roman" w:hAnsi="Times New Roman" w:cs="Times New Roman"/>
                <w:color w:val="000000"/>
                <w:sz w:val="24"/>
                <w:szCs w:val="24"/>
                <w:lang w:val="bg-BG" w:eastAsia="bg-BG"/>
              </w:rPr>
              <w:t>Слаба изученост на вероятните залежи, техните подхранващи провинции и литодинамичните процеси на пренос и акумулация.</w:t>
            </w:r>
          </w:p>
          <w:p w14:paraId="03781956" w14:textId="15CF9051" w:rsidR="006F4640" w:rsidRPr="00610B1B" w:rsidRDefault="006F4640" w:rsidP="00AE254B">
            <w:pPr>
              <w:pStyle w:val="Normal1"/>
              <w:spacing w:before="20" w:after="20"/>
              <w:rPr>
                <w:b/>
                <w:color w:val="000000"/>
                <w:sz w:val="24"/>
                <w:szCs w:val="24"/>
              </w:rPr>
            </w:pPr>
            <w:r w:rsidRPr="00610B1B">
              <w:rPr>
                <w:color w:val="000000"/>
                <w:sz w:val="24"/>
                <w:szCs w:val="24"/>
              </w:rPr>
              <w:t>Промяна на хидро- и литодинамиката в крайбрежната зона.</w:t>
            </w:r>
          </w:p>
        </w:tc>
      </w:tr>
      <w:tr w:rsidR="006F4640" w:rsidRPr="005C2B9F" w14:paraId="5BAA3369" w14:textId="77777777" w:rsidTr="00AE254B">
        <w:tc>
          <w:tcPr>
            <w:tcW w:w="4962" w:type="dxa"/>
            <w:shd w:val="clear" w:color="auto" w:fill="FFFFFF"/>
          </w:tcPr>
          <w:p w14:paraId="4CF986AD" w14:textId="56E024F4" w:rsidR="006F4640" w:rsidRPr="00610B1B" w:rsidRDefault="006F4640" w:rsidP="00AE254B">
            <w:pPr>
              <w:pStyle w:val="Normal1"/>
              <w:spacing w:before="20" w:after="20"/>
              <w:rPr>
                <w:color w:val="000000"/>
                <w:sz w:val="24"/>
                <w:szCs w:val="24"/>
              </w:rPr>
            </w:pPr>
            <w:r w:rsidRPr="00610B1B">
              <w:rPr>
                <w:color w:val="000000"/>
                <w:sz w:val="24"/>
                <w:szCs w:val="24"/>
              </w:rPr>
              <w:t>Добре изучено геоложко пространство на земните недра на българския континентален шелф.</w:t>
            </w:r>
          </w:p>
        </w:tc>
        <w:tc>
          <w:tcPr>
            <w:tcW w:w="4962" w:type="dxa"/>
            <w:gridSpan w:val="2"/>
            <w:shd w:val="clear" w:color="auto" w:fill="FFFFFF"/>
          </w:tcPr>
          <w:p w14:paraId="1BB075F7" w14:textId="4035A8DF" w:rsidR="006F4640" w:rsidRPr="00610B1B" w:rsidRDefault="006F4640" w:rsidP="00AE254B">
            <w:pPr>
              <w:pStyle w:val="Normal1"/>
              <w:spacing w:before="20" w:after="20"/>
              <w:rPr>
                <w:b/>
                <w:color w:val="000000"/>
                <w:sz w:val="24"/>
                <w:szCs w:val="24"/>
              </w:rPr>
            </w:pPr>
            <w:r w:rsidRPr="00610B1B">
              <w:rPr>
                <w:color w:val="000000"/>
                <w:sz w:val="24"/>
                <w:szCs w:val="24"/>
              </w:rPr>
              <w:t xml:space="preserve">Завишаване на екологичните изисквания, с които </w:t>
            </w:r>
            <w:r w:rsidR="00AA0CC2" w:rsidRPr="00610B1B">
              <w:rPr>
                <w:color w:val="000000"/>
                <w:sz w:val="24"/>
                <w:szCs w:val="24"/>
              </w:rPr>
              <w:t>д</w:t>
            </w:r>
            <w:r w:rsidRPr="00610B1B">
              <w:rPr>
                <w:color w:val="000000"/>
                <w:sz w:val="24"/>
                <w:szCs w:val="24"/>
              </w:rPr>
              <w:t xml:space="preserve">а се ограничи търсенето и проучването и технологичните иновации. </w:t>
            </w:r>
          </w:p>
        </w:tc>
      </w:tr>
      <w:tr w:rsidR="006F4640" w:rsidRPr="00610B1B" w14:paraId="60EA567C" w14:textId="77777777" w:rsidTr="00AE254B">
        <w:tc>
          <w:tcPr>
            <w:tcW w:w="9924" w:type="dxa"/>
            <w:gridSpan w:val="3"/>
            <w:shd w:val="clear" w:color="auto" w:fill="92CDDC"/>
          </w:tcPr>
          <w:p w14:paraId="2B832334" w14:textId="77777777" w:rsidR="006F4640" w:rsidRPr="00610B1B" w:rsidRDefault="006F4640" w:rsidP="00AE254B">
            <w:pPr>
              <w:pStyle w:val="Heading4"/>
              <w:spacing w:before="20" w:after="20"/>
              <w:jc w:val="center"/>
              <w:rPr>
                <w:rFonts w:cs="Times New Roman"/>
                <w:szCs w:val="24"/>
              </w:rPr>
            </w:pPr>
            <w:bookmarkStart w:id="421" w:name="_r1irzwjdj5un" w:colFirst="0" w:colLast="0"/>
            <w:bookmarkEnd w:id="421"/>
            <w:r w:rsidRPr="00610B1B">
              <w:rPr>
                <w:rFonts w:cs="Times New Roman"/>
                <w:szCs w:val="24"/>
              </w:rPr>
              <w:t>МОРСКА ИКОНОМИКА</w:t>
            </w:r>
          </w:p>
        </w:tc>
      </w:tr>
      <w:tr w:rsidR="006F4640" w:rsidRPr="00610B1B" w14:paraId="4AAE300F" w14:textId="77777777" w:rsidTr="00AE254B">
        <w:tc>
          <w:tcPr>
            <w:tcW w:w="4962" w:type="dxa"/>
            <w:shd w:val="clear" w:color="auto" w:fill="BEE6F0"/>
          </w:tcPr>
          <w:p w14:paraId="1904AFA9" w14:textId="77777777" w:rsidR="006F4640" w:rsidRPr="00610B1B" w:rsidRDefault="006F4640" w:rsidP="00AE254B">
            <w:pPr>
              <w:pStyle w:val="Normal1"/>
              <w:spacing w:before="20" w:after="20"/>
              <w:jc w:val="center"/>
              <w:rPr>
                <w:b/>
                <w:color w:val="000000"/>
                <w:sz w:val="24"/>
                <w:szCs w:val="24"/>
              </w:rPr>
            </w:pPr>
            <w:r w:rsidRPr="00610B1B">
              <w:rPr>
                <w:b/>
                <w:color w:val="000000"/>
                <w:sz w:val="24"/>
                <w:szCs w:val="24"/>
              </w:rPr>
              <w:t>Силни страни</w:t>
            </w:r>
          </w:p>
        </w:tc>
        <w:tc>
          <w:tcPr>
            <w:tcW w:w="4962" w:type="dxa"/>
            <w:gridSpan w:val="2"/>
            <w:shd w:val="clear" w:color="auto" w:fill="BEE6F0"/>
          </w:tcPr>
          <w:p w14:paraId="63D3AD5A" w14:textId="77777777" w:rsidR="006F4640" w:rsidRPr="00610B1B" w:rsidRDefault="006F4640" w:rsidP="00AE254B">
            <w:pPr>
              <w:pStyle w:val="Normal1"/>
              <w:spacing w:before="20" w:after="20"/>
              <w:jc w:val="center"/>
              <w:rPr>
                <w:b/>
                <w:color w:val="000000"/>
                <w:sz w:val="24"/>
                <w:szCs w:val="24"/>
              </w:rPr>
            </w:pPr>
            <w:r w:rsidRPr="00610B1B">
              <w:rPr>
                <w:b/>
                <w:color w:val="000000"/>
                <w:sz w:val="24"/>
                <w:szCs w:val="24"/>
              </w:rPr>
              <w:t>Слаби страни</w:t>
            </w:r>
          </w:p>
        </w:tc>
      </w:tr>
      <w:tr w:rsidR="006F4640" w:rsidRPr="005C2B9F" w14:paraId="3F0A7A0C" w14:textId="77777777" w:rsidTr="00AE254B">
        <w:tc>
          <w:tcPr>
            <w:tcW w:w="4962" w:type="dxa"/>
            <w:shd w:val="clear" w:color="auto" w:fill="FFFFFF"/>
          </w:tcPr>
          <w:p w14:paraId="7E70672E" w14:textId="4C2F659B" w:rsidR="006F4640" w:rsidRPr="00610B1B" w:rsidRDefault="006F4640" w:rsidP="009907CE">
            <w:pPr>
              <w:pStyle w:val="Normal1"/>
              <w:spacing w:before="20" w:after="20"/>
              <w:rPr>
                <w:color w:val="000000"/>
                <w:sz w:val="24"/>
                <w:szCs w:val="24"/>
              </w:rPr>
            </w:pPr>
            <w:r w:rsidRPr="00610B1B">
              <w:rPr>
                <w:color w:val="000000"/>
                <w:sz w:val="24"/>
                <w:szCs w:val="24"/>
              </w:rPr>
              <w:t>Широк спектър от морски дейности, което</w:t>
            </w:r>
            <w:r w:rsidR="009907CE" w:rsidRPr="00610B1B">
              <w:rPr>
                <w:color w:val="000000"/>
                <w:sz w:val="24"/>
                <w:szCs w:val="24"/>
                <w:lang w:val="en-US"/>
              </w:rPr>
              <w:t xml:space="preserve"> </w:t>
            </w:r>
            <w:r w:rsidRPr="00610B1B">
              <w:rPr>
                <w:color w:val="000000"/>
                <w:sz w:val="24"/>
                <w:szCs w:val="24"/>
              </w:rPr>
              <w:t>определя важната функция на Черно море</w:t>
            </w:r>
            <w:r w:rsidR="009907CE" w:rsidRPr="00610B1B">
              <w:rPr>
                <w:color w:val="000000"/>
                <w:sz w:val="24"/>
                <w:szCs w:val="24"/>
                <w:lang w:val="en-US"/>
              </w:rPr>
              <w:t xml:space="preserve"> </w:t>
            </w:r>
            <w:r w:rsidRPr="00610B1B">
              <w:rPr>
                <w:color w:val="000000"/>
                <w:sz w:val="24"/>
                <w:szCs w:val="24"/>
              </w:rPr>
              <w:t>като източник на икономически растеж и</w:t>
            </w:r>
            <w:r w:rsidR="009907CE" w:rsidRPr="00610B1B">
              <w:rPr>
                <w:color w:val="000000"/>
                <w:sz w:val="24"/>
                <w:szCs w:val="24"/>
                <w:lang w:val="en-US"/>
              </w:rPr>
              <w:t xml:space="preserve"> </w:t>
            </w:r>
            <w:r w:rsidRPr="00610B1B">
              <w:rPr>
                <w:color w:val="000000"/>
                <w:sz w:val="24"/>
                <w:szCs w:val="24"/>
              </w:rPr>
              <w:t>заетост (2% от БВП и 3% от заетостта в</w:t>
            </w:r>
            <w:r w:rsidR="009907CE" w:rsidRPr="00610B1B">
              <w:rPr>
                <w:color w:val="000000"/>
                <w:sz w:val="24"/>
                <w:szCs w:val="24"/>
                <w:lang w:val="en-US"/>
              </w:rPr>
              <w:t xml:space="preserve"> </w:t>
            </w:r>
            <w:r w:rsidRPr="00610B1B">
              <w:rPr>
                <w:color w:val="000000"/>
                <w:sz w:val="24"/>
                <w:szCs w:val="24"/>
              </w:rPr>
              <w:t>страната като пряк ефект)</w:t>
            </w:r>
          </w:p>
        </w:tc>
        <w:tc>
          <w:tcPr>
            <w:tcW w:w="4962" w:type="dxa"/>
            <w:gridSpan w:val="2"/>
            <w:shd w:val="clear" w:color="auto" w:fill="FFFFFF"/>
          </w:tcPr>
          <w:p w14:paraId="25DD8A2C" w14:textId="1B53CA40" w:rsidR="006F4640" w:rsidRPr="00610B1B" w:rsidRDefault="006F4640" w:rsidP="00AE254B">
            <w:pPr>
              <w:pStyle w:val="Normal1"/>
              <w:spacing w:before="20" w:after="20"/>
              <w:rPr>
                <w:color w:val="000000"/>
                <w:sz w:val="24"/>
                <w:szCs w:val="24"/>
              </w:rPr>
            </w:pPr>
            <w:r w:rsidRPr="00610B1B">
              <w:rPr>
                <w:color w:val="000000"/>
                <w:sz w:val="24"/>
                <w:szCs w:val="24"/>
              </w:rPr>
              <w:t>Прекалено зависима от малките и средните</w:t>
            </w:r>
            <w:r w:rsidR="009907CE" w:rsidRPr="00D72982">
              <w:rPr>
                <w:color w:val="000000"/>
                <w:sz w:val="24"/>
                <w:szCs w:val="24"/>
              </w:rPr>
              <w:t xml:space="preserve"> </w:t>
            </w:r>
            <w:r w:rsidRPr="00610B1B">
              <w:rPr>
                <w:color w:val="000000"/>
                <w:sz w:val="24"/>
                <w:szCs w:val="24"/>
              </w:rPr>
              <w:t>предприятия морска икономика с ограничени</w:t>
            </w:r>
            <w:r w:rsidR="009907CE" w:rsidRPr="00D72982">
              <w:rPr>
                <w:color w:val="000000"/>
                <w:sz w:val="24"/>
                <w:szCs w:val="24"/>
              </w:rPr>
              <w:t xml:space="preserve"> </w:t>
            </w:r>
            <w:r w:rsidRPr="00610B1B">
              <w:rPr>
                <w:color w:val="000000"/>
                <w:sz w:val="24"/>
                <w:szCs w:val="24"/>
              </w:rPr>
              <w:t>възможности за растеж</w:t>
            </w:r>
          </w:p>
        </w:tc>
      </w:tr>
      <w:tr w:rsidR="006F4640" w:rsidRPr="005C2B9F" w14:paraId="78B3B2B7" w14:textId="77777777" w:rsidTr="00AE254B">
        <w:tc>
          <w:tcPr>
            <w:tcW w:w="4962" w:type="dxa"/>
            <w:shd w:val="clear" w:color="auto" w:fill="FFFFFF"/>
          </w:tcPr>
          <w:p w14:paraId="0FF903D1" w14:textId="77777777" w:rsidR="006F4640" w:rsidRPr="00610B1B" w:rsidRDefault="006F4640" w:rsidP="00AE254B">
            <w:pPr>
              <w:pStyle w:val="Normal1"/>
              <w:spacing w:before="20" w:after="20"/>
              <w:rPr>
                <w:color w:val="000000"/>
                <w:sz w:val="24"/>
                <w:szCs w:val="24"/>
              </w:rPr>
            </w:pPr>
            <w:r w:rsidRPr="00610B1B">
              <w:rPr>
                <w:color w:val="000000"/>
                <w:sz w:val="24"/>
                <w:szCs w:val="24"/>
              </w:rPr>
              <w:t>Потенциал за растеж на всички основни</w:t>
            </w:r>
          </w:p>
          <w:p w14:paraId="5F141A27" w14:textId="77777777" w:rsidR="006F4640" w:rsidRPr="00610B1B" w:rsidRDefault="006F4640" w:rsidP="00AE254B">
            <w:pPr>
              <w:pStyle w:val="Normal1"/>
              <w:spacing w:before="20" w:after="20"/>
              <w:rPr>
                <w:color w:val="000000"/>
                <w:sz w:val="24"/>
                <w:szCs w:val="24"/>
              </w:rPr>
            </w:pPr>
            <w:r w:rsidRPr="00610B1B">
              <w:rPr>
                <w:color w:val="000000"/>
                <w:sz w:val="24"/>
                <w:szCs w:val="24"/>
              </w:rPr>
              <w:t>морски дейности</w:t>
            </w:r>
          </w:p>
        </w:tc>
        <w:tc>
          <w:tcPr>
            <w:tcW w:w="4962" w:type="dxa"/>
            <w:gridSpan w:val="2"/>
            <w:shd w:val="clear" w:color="auto" w:fill="FFFFFF"/>
          </w:tcPr>
          <w:p w14:paraId="41B5DB87" w14:textId="1F934712" w:rsidR="006F4640" w:rsidRPr="00610B1B" w:rsidRDefault="006F4640" w:rsidP="009907CE">
            <w:pPr>
              <w:pStyle w:val="Normal1"/>
              <w:spacing w:before="20" w:after="20"/>
              <w:rPr>
                <w:color w:val="000000"/>
                <w:sz w:val="24"/>
                <w:szCs w:val="24"/>
              </w:rPr>
            </w:pPr>
            <w:r w:rsidRPr="00610B1B">
              <w:rPr>
                <w:color w:val="000000"/>
                <w:sz w:val="24"/>
                <w:szCs w:val="24"/>
              </w:rPr>
              <w:t>Неоползотворен потенциал за развитие на</w:t>
            </w:r>
            <w:r w:rsidR="009907CE" w:rsidRPr="00D72982">
              <w:rPr>
                <w:color w:val="000000"/>
                <w:sz w:val="24"/>
                <w:szCs w:val="24"/>
              </w:rPr>
              <w:t xml:space="preserve"> </w:t>
            </w:r>
            <w:r w:rsidRPr="00610B1B">
              <w:rPr>
                <w:color w:val="000000"/>
                <w:sz w:val="24"/>
                <w:szCs w:val="24"/>
              </w:rPr>
              <w:t>технологични и високоефективни устойчиви</w:t>
            </w:r>
            <w:r w:rsidR="009907CE" w:rsidRPr="00D72982">
              <w:rPr>
                <w:color w:val="000000"/>
                <w:sz w:val="24"/>
                <w:szCs w:val="24"/>
              </w:rPr>
              <w:t xml:space="preserve"> </w:t>
            </w:r>
            <w:r w:rsidRPr="00610B1B">
              <w:rPr>
                <w:color w:val="000000"/>
                <w:sz w:val="24"/>
                <w:szCs w:val="24"/>
              </w:rPr>
              <w:t>морски дейности</w:t>
            </w:r>
          </w:p>
        </w:tc>
      </w:tr>
      <w:tr w:rsidR="006F4640" w:rsidRPr="005C2B9F" w14:paraId="2F939B45" w14:textId="77777777" w:rsidTr="00AE254B">
        <w:tc>
          <w:tcPr>
            <w:tcW w:w="4962" w:type="dxa"/>
            <w:shd w:val="clear" w:color="auto" w:fill="FFFFFF"/>
          </w:tcPr>
          <w:p w14:paraId="20DC0D2B" w14:textId="77777777" w:rsidR="006F4640" w:rsidRPr="00610B1B" w:rsidRDefault="006F4640" w:rsidP="00AE254B">
            <w:pPr>
              <w:pStyle w:val="Normal1"/>
              <w:spacing w:before="20" w:after="20"/>
              <w:rPr>
                <w:color w:val="000000"/>
                <w:sz w:val="24"/>
                <w:szCs w:val="24"/>
              </w:rPr>
            </w:pPr>
            <w:r w:rsidRPr="00610B1B">
              <w:rPr>
                <w:color w:val="000000"/>
                <w:sz w:val="24"/>
                <w:szCs w:val="24"/>
              </w:rPr>
              <w:t>Фактор за поддържане на жизнени</w:t>
            </w:r>
          </w:p>
          <w:p w14:paraId="34F1F9AC" w14:textId="77777777" w:rsidR="006F4640" w:rsidRPr="00610B1B" w:rsidRDefault="006F4640" w:rsidP="00AE254B">
            <w:pPr>
              <w:pStyle w:val="Normal1"/>
              <w:spacing w:before="20" w:after="20"/>
              <w:rPr>
                <w:color w:val="000000"/>
                <w:sz w:val="24"/>
                <w:szCs w:val="24"/>
              </w:rPr>
            </w:pPr>
            <w:r w:rsidRPr="00610B1B">
              <w:rPr>
                <w:color w:val="000000"/>
                <w:sz w:val="24"/>
                <w:szCs w:val="24"/>
              </w:rPr>
              <w:t>крайбрежни райони на страната</w:t>
            </w:r>
          </w:p>
        </w:tc>
        <w:tc>
          <w:tcPr>
            <w:tcW w:w="4962" w:type="dxa"/>
            <w:gridSpan w:val="2"/>
            <w:shd w:val="clear" w:color="auto" w:fill="FFFFFF"/>
          </w:tcPr>
          <w:p w14:paraId="4204072A" w14:textId="58AD7D84" w:rsidR="006F4640" w:rsidRPr="00610B1B" w:rsidRDefault="006F4640" w:rsidP="00AE254B">
            <w:pPr>
              <w:pStyle w:val="Normal1"/>
              <w:spacing w:before="20" w:after="20"/>
              <w:rPr>
                <w:color w:val="000000"/>
                <w:sz w:val="24"/>
                <w:szCs w:val="24"/>
              </w:rPr>
            </w:pPr>
            <w:r w:rsidRPr="00610B1B">
              <w:rPr>
                <w:color w:val="000000"/>
                <w:sz w:val="24"/>
                <w:szCs w:val="24"/>
              </w:rPr>
              <w:t xml:space="preserve">Небалансиран пазар на труда - сезонност, липса на квалифицирани кадри, значителен </w:t>
            </w:r>
            <w:r w:rsidRPr="00610B1B">
              <w:rPr>
                <w:color w:val="000000"/>
                <w:sz w:val="24"/>
                <w:szCs w:val="24"/>
              </w:rPr>
              <w:lastRenderedPageBreak/>
              <w:t>дял на лицата, които не са приобщени към пазара на труда в района.</w:t>
            </w:r>
          </w:p>
        </w:tc>
      </w:tr>
      <w:tr w:rsidR="006F4640" w:rsidRPr="00610B1B" w14:paraId="615F1BB8" w14:textId="77777777" w:rsidTr="00AE254B">
        <w:tc>
          <w:tcPr>
            <w:tcW w:w="4962" w:type="dxa"/>
            <w:shd w:val="clear" w:color="auto" w:fill="BEE6F0"/>
          </w:tcPr>
          <w:p w14:paraId="4CB864B5" w14:textId="77777777" w:rsidR="006F4640" w:rsidRPr="00610B1B" w:rsidRDefault="006F4640" w:rsidP="00AE254B">
            <w:pPr>
              <w:pStyle w:val="Normal1"/>
              <w:spacing w:before="20" w:after="20"/>
              <w:jc w:val="center"/>
              <w:rPr>
                <w:b/>
                <w:color w:val="000000"/>
                <w:sz w:val="24"/>
                <w:szCs w:val="24"/>
              </w:rPr>
            </w:pPr>
            <w:r w:rsidRPr="00610B1B">
              <w:rPr>
                <w:b/>
                <w:color w:val="000000"/>
                <w:sz w:val="24"/>
                <w:szCs w:val="24"/>
              </w:rPr>
              <w:lastRenderedPageBreak/>
              <w:t>Възможности</w:t>
            </w:r>
          </w:p>
        </w:tc>
        <w:tc>
          <w:tcPr>
            <w:tcW w:w="4962" w:type="dxa"/>
            <w:gridSpan w:val="2"/>
            <w:shd w:val="clear" w:color="auto" w:fill="BEE6F0"/>
          </w:tcPr>
          <w:p w14:paraId="58FC47E6" w14:textId="77777777" w:rsidR="006F4640" w:rsidRPr="00610B1B" w:rsidRDefault="006F4640" w:rsidP="00AE254B">
            <w:pPr>
              <w:pStyle w:val="Normal1"/>
              <w:spacing w:before="20" w:after="20"/>
              <w:jc w:val="center"/>
              <w:rPr>
                <w:b/>
                <w:color w:val="000000"/>
                <w:sz w:val="24"/>
                <w:szCs w:val="24"/>
              </w:rPr>
            </w:pPr>
            <w:r w:rsidRPr="00610B1B">
              <w:rPr>
                <w:b/>
                <w:color w:val="000000"/>
                <w:sz w:val="24"/>
                <w:szCs w:val="24"/>
              </w:rPr>
              <w:t>Заплахи</w:t>
            </w:r>
          </w:p>
        </w:tc>
      </w:tr>
      <w:tr w:rsidR="006F4640" w:rsidRPr="005C2B9F" w14:paraId="10C7DFC0" w14:textId="77777777" w:rsidTr="00AE254B">
        <w:tc>
          <w:tcPr>
            <w:tcW w:w="4962" w:type="dxa"/>
          </w:tcPr>
          <w:p w14:paraId="18B74188" w14:textId="1C66BDDA" w:rsidR="006F4640" w:rsidRPr="00610B1B" w:rsidRDefault="006F4640" w:rsidP="00AE254B">
            <w:pPr>
              <w:pStyle w:val="Normal1"/>
              <w:spacing w:before="20" w:after="20"/>
              <w:rPr>
                <w:color w:val="000000"/>
                <w:sz w:val="24"/>
                <w:szCs w:val="24"/>
              </w:rPr>
            </w:pPr>
            <w:r w:rsidRPr="00610B1B">
              <w:rPr>
                <w:sz w:val="24"/>
                <w:szCs w:val="24"/>
              </w:rPr>
              <w:t>Създаване на планови и устройствени предпоставки за балансирано развитие на успешна и устойчива морска икономика, отчитаща социално-икономическите аспекти и адекватната защита на уязвимата морска екосистема</w:t>
            </w:r>
          </w:p>
        </w:tc>
        <w:tc>
          <w:tcPr>
            <w:tcW w:w="4962" w:type="dxa"/>
            <w:gridSpan w:val="2"/>
          </w:tcPr>
          <w:p w14:paraId="4959B029" w14:textId="77777777" w:rsidR="006F4640" w:rsidRPr="00610B1B" w:rsidRDefault="006F4640" w:rsidP="00AE254B">
            <w:pPr>
              <w:pStyle w:val="Normal1"/>
              <w:spacing w:before="20" w:after="20"/>
              <w:rPr>
                <w:color w:val="000000"/>
                <w:sz w:val="24"/>
                <w:szCs w:val="24"/>
              </w:rPr>
            </w:pPr>
            <w:r w:rsidRPr="00610B1B">
              <w:rPr>
                <w:bCs/>
                <w:sz w:val="24"/>
                <w:szCs w:val="24"/>
              </w:rPr>
              <w:t>Силна външна конкуренция, свързана с развитието на морските сектори в страната</w:t>
            </w:r>
          </w:p>
        </w:tc>
      </w:tr>
      <w:tr w:rsidR="006F4640" w:rsidRPr="005C2B9F" w14:paraId="5DED1CB8" w14:textId="77777777" w:rsidTr="00AE254B">
        <w:tc>
          <w:tcPr>
            <w:tcW w:w="4962" w:type="dxa"/>
          </w:tcPr>
          <w:p w14:paraId="5EDF8DD5" w14:textId="2CB1CD2B" w:rsidR="006F4640" w:rsidRPr="00610B1B" w:rsidRDefault="006F4640" w:rsidP="00AE254B">
            <w:pPr>
              <w:pStyle w:val="Normal1"/>
              <w:spacing w:before="20" w:after="20"/>
              <w:rPr>
                <w:color w:val="000000"/>
                <w:sz w:val="24"/>
                <w:szCs w:val="24"/>
              </w:rPr>
            </w:pPr>
            <w:r w:rsidRPr="00610B1B">
              <w:rPr>
                <w:sz w:val="24"/>
                <w:szCs w:val="24"/>
              </w:rPr>
              <w:t xml:space="preserve">Ефективно използване на подкрепата от ЕК за развитие на синята икономика и насърчаване на синия растеж </w:t>
            </w:r>
          </w:p>
        </w:tc>
        <w:tc>
          <w:tcPr>
            <w:tcW w:w="4962" w:type="dxa"/>
            <w:gridSpan w:val="2"/>
          </w:tcPr>
          <w:p w14:paraId="4151105A" w14:textId="77777777" w:rsidR="006F4640" w:rsidRPr="00610B1B" w:rsidRDefault="006F4640" w:rsidP="00AE254B">
            <w:pPr>
              <w:pStyle w:val="Normal1"/>
              <w:spacing w:before="20" w:after="20"/>
              <w:rPr>
                <w:color w:val="000000"/>
                <w:sz w:val="24"/>
                <w:szCs w:val="24"/>
              </w:rPr>
            </w:pPr>
            <w:r w:rsidRPr="00610B1B">
              <w:rPr>
                <w:sz w:val="24"/>
                <w:szCs w:val="24"/>
              </w:rPr>
              <w:t>Конфликтно използване на морските ресурси с оглед развитието на отделните морски дейности</w:t>
            </w:r>
          </w:p>
        </w:tc>
      </w:tr>
      <w:tr w:rsidR="006F4640" w:rsidRPr="005C2B9F" w14:paraId="42C96DF3" w14:textId="77777777" w:rsidTr="00AE254B">
        <w:tc>
          <w:tcPr>
            <w:tcW w:w="4962" w:type="dxa"/>
          </w:tcPr>
          <w:p w14:paraId="6C739861" w14:textId="77777777" w:rsidR="006F4640" w:rsidRPr="00610B1B" w:rsidRDefault="006F4640" w:rsidP="00AE254B">
            <w:pPr>
              <w:pStyle w:val="Normal1"/>
              <w:spacing w:before="20" w:after="20"/>
              <w:rPr>
                <w:color w:val="000000"/>
                <w:sz w:val="24"/>
                <w:szCs w:val="24"/>
              </w:rPr>
            </w:pPr>
            <w:r w:rsidRPr="00610B1B">
              <w:rPr>
                <w:sz w:val="24"/>
                <w:szCs w:val="24"/>
              </w:rPr>
              <w:t>Създаване на междусекторни (и трансгранични) синергии в развитието на морската икономика</w:t>
            </w:r>
          </w:p>
        </w:tc>
        <w:tc>
          <w:tcPr>
            <w:tcW w:w="4962" w:type="dxa"/>
            <w:gridSpan w:val="2"/>
          </w:tcPr>
          <w:p w14:paraId="70C7F9DC" w14:textId="5A269655" w:rsidR="006F4640" w:rsidRPr="00610B1B" w:rsidRDefault="006F4640" w:rsidP="00AE254B">
            <w:pPr>
              <w:spacing w:before="20" w:after="20" w:line="240" w:lineRule="auto"/>
              <w:rPr>
                <w:rFonts w:ascii="Times New Roman" w:hAnsi="Times New Roman" w:cs="Times New Roman"/>
                <w:color w:val="000000"/>
                <w:sz w:val="24"/>
                <w:szCs w:val="24"/>
                <w:lang w:val="bg-BG"/>
              </w:rPr>
            </w:pPr>
            <w:r w:rsidRPr="00610B1B">
              <w:rPr>
                <w:rFonts w:ascii="Times New Roman" w:hAnsi="Times New Roman" w:cs="Times New Roman"/>
                <w:sz w:val="24"/>
                <w:szCs w:val="24"/>
                <w:lang w:val="bg-BG"/>
              </w:rPr>
              <w:t>Продължаващо замърсяване на Черно море и</w:t>
            </w:r>
            <w:r w:rsidR="00035054" w:rsidRPr="00610B1B">
              <w:rPr>
                <w:rFonts w:ascii="Times New Roman" w:hAnsi="Times New Roman" w:cs="Times New Roman"/>
                <w:sz w:val="24"/>
                <w:szCs w:val="24"/>
                <w:lang w:val="bg-BG"/>
              </w:rPr>
              <w:t xml:space="preserve"> негативни въздействия на</w:t>
            </w:r>
            <w:r w:rsidRPr="00610B1B">
              <w:rPr>
                <w:rFonts w:ascii="Times New Roman" w:hAnsi="Times New Roman" w:cs="Times New Roman"/>
                <w:sz w:val="24"/>
                <w:szCs w:val="24"/>
                <w:lang w:val="bg-BG"/>
              </w:rPr>
              <w:t xml:space="preserve"> климатични</w:t>
            </w:r>
            <w:r w:rsidR="00035054"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промени</w:t>
            </w:r>
          </w:p>
        </w:tc>
      </w:tr>
      <w:tr w:rsidR="006F4640" w:rsidRPr="005C2B9F" w14:paraId="7391A33C" w14:textId="77777777" w:rsidTr="00AE254B">
        <w:tc>
          <w:tcPr>
            <w:tcW w:w="4962" w:type="dxa"/>
          </w:tcPr>
          <w:p w14:paraId="448BD506" w14:textId="77777777" w:rsidR="006F4640" w:rsidRPr="00610B1B" w:rsidRDefault="006F4640" w:rsidP="00AE254B">
            <w:pPr>
              <w:pStyle w:val="Normal1"/>
              <w:spacing w:before="20" w:after="20"/>
              <w:rPr>
                <w:sz w:val="24"/>
                <w:szCs w:val="24"/>
              </w:rPr>
            </w:pPr>
          </w:p>
        </w:tc>
        <w:tc>
          <w:tcPr>
            <w:tcW w:w="4962" w:type="dxa"/>
            <w:gridSpan w:val="2"/>
          </w:tcPr>
          <w:p w14:paraId="4378278A" w14:textId="2B79E590" w:rsidR="00C3007B" w:rsidRPr="00610B1B" w:rsidRDefault="006F4640" w:rsidP="00AE254B">
            <w:pPr>
              <w:pStyle w:val="Normal1"/>
              <w:spacing w:before="20" w:after="20"/>
              <w:rPr>
                <w:sz w:val="24"/>
                <w:szCs w:val="24"/>
              </w:rPr>
            </w:pPr>
            <w:r w:rsidRPr="00610B1B">
              <w:rPr>
                <w:sz w:val="24"/>
                <w:szCs w:val="24"/>
              </w:rPr>
              <w:t>Външни конфликти и кризи в развитието на световната икономика</w:t>
            </w:r>
            <w:r w:rsidR="00AA0CC2" w:rsidRPr="00610B1B">
              <w:rPr>
                <w:sz w:val="24"/>
                <w:szCs w:val="24"/>
              </w:rPr>
              <w:t>. Задълбочаваща се световна криза, последица от Covid’19.</w:t>
            </w:r>
            <w:r w:rsidR="00D66FE0" w:rsidRPr="00610B1B">
              <w:rPr>
                <w:sz w:val="24"/>
                <w:szCs w:val="24"/>
              </w:rPr>
              <w:t xml:space="preserve"> </w:t>
            </w:r>
          </w:p>
        </w:tc>
      </w:tr>
      <w:tr w:rsidR="006F4640" w:rsidRPr="00610B1B" w14:paraId="13600A57" w14:textId="77777777" w:rsidTr="00AE254B">
        <w:tc>
          <w:tcPr>
            <w:tcW w:w="9924" w:type="dxa"/>
            <w:gridSpan w:val="3"/>
            <w:shd w:val="clear" w:color="auto" w:fill="92CDDC"/>
          </w:tcPr>
          <w:p w14:paraId="3530274A" w14:textId="0452E136" w:rsidR="006F4640" w:rsidRPr="00610B1B" w:rsidRDefault="006F4640" w:rsidP="00AE254B">
            <w:pPr>
              <w:pStyle w:val="Heading4"/>
              <w:spacing w:before="20" w:after="20"/>
              <w:jc w:val="center"/>
              <w:rPr>
                <w:rFonts w:cs="Times New Roman"/>
                <w:szCs w:val="24"/>
              </w:rPr>
            </w:pPr>
            <w:bookmarkStart w:id="422" w:name="_nms69n6mwo3a" w:colFirst="0" w:colLast="0"/>
            <w:bookmarkEnd w:id="422"/>
            <w:r w:rsidRPr="00610B1B">
              <w:rPr>
                <w:rFonts w:cs="Times New Roman"/>
                <w:szCs w:val="24"/>
              </w:rPr>
              <w:t>КУЛТУРНО НАСЛЕДСТВО</w:t>
            </w:r>
          </w:p>
        </w:tc>
      </w:tr>
      <w:tr w:rsidR="006F4640" w:rsidRPr="00610B1B" w14:paraId="55089F2C" w14:textId="77777777" w:rsidTr="00AE254B">
        <w:tc>
          <w:tcPr>
            <w:tcW w:w="4962" w:type="dxa"/>
            <w:shd w:val="clear" w:color="auto" w:fill="BEE6F0"/>
          </w:tcPr>
          <w:p w14:paraId="667977E1" w14:textId="77777777" w:rsidR="006F4640" w:rsidRPr="00610B1B" w:rsidRDefault="006F4640" w:rsidP="00AE254B">
            <w:pPr>
              <w:pStyle w:val="Normal1"/>
              <w:spacing w:before="20" w:after="20"/>
              <w:jc w:val="center"/>
              <w:rPr>
                <w:b/>
                <w:color w:val="000000" w:themeColor="text1"/>
                <w:sz w:val="24"/>
                <w:szCs w:val="24"/>
              </w:rPr>
            </w:pPr>
            <w:r w:rsidRPr="00610B1B">
              <w:rPr>
                <w:b/>
                <w:color w:val="000000" w:themeColor="text1"/>
                <w:sz w:val="24"/>
                <w:szCs w:val="24"/>
              </w:rPr>
              <w:t>Силни страни</w:t>
            </w:r>
          </w:p>
        </w:tc>
        <w:tc>
          <w:tcPr>
            <w:tcW w:w="4962" w:type="dxa"/>
            <w:gridSpan w:val="2"/>
            <w:shd w:val="clear" w:color="auto" w:fill="BEE6F0"/>
          </w:tcPr>
          <w:p w14:paraId="5CF8EF7E" w14:textId="77777777" w:rsidR="006F4640" w:rsidRPr="00610B1B" w:rsidRDefault="006F4640" w:rsidP="00AE254B">
            <w:pPr>
              <w:pStyle w:val="Normal1"/>
              <w:spacing w:before="20" w:after="20"/>
              <w:jc w:val="center"/>
              <w:rPr>
                <w:b/>
                <w:color w:val="000000" w:themeColor="text1"/>
                <w:sz w:val="24"/>
                <w:szCs w:val="24"/>
              </w:rPr>
            </w:pPr>
            <w:r w:rsidRPr="00610B1B">
              <w:rPr>
                <w:b/>
                <w:color w:val="000000" w:themeColor="text1"/>
                <w:sz w:val="24"/>
                <w:szCs w:val="24"/>
              </w:rPr>
              <w:t>Слаби страни</w:t>
            </w:r>
          </w:p>
        </w:tc>
      </w:tr>
      <w:tr w:rsidR="006F4640" w:rsidRPr="005C2B9F" w14:paraId="10ABD46D" w14:textId="77777777" w:rsidTr="00AE254B">
        <w:tc>
          <w:tcPr>
            <w:tcW w:w="4962" w:type="dxa"/>
            <w:shd w:val="clear" w:color="auto" w:fill="FFFFFF"/>
          </w:tcPr>
          <w:p w14:paraId="46CF3220" w14:textId="2F4655C3" w:rsidR="006F4640" w:rsidRPr="00610B1B" w:rsidRDefault="006F4640" w:rsidP="00AE254B">
            <w:pPr>
              <w:pStyle w:val="Normal1"/>
              <w:spacing w:before="20" w:after="20"/>
              <w:rPr>
                <w:color w:val="000000" w:themeColor="text1"/>
                <w:sz w:val="24"/>
                <w:szCs w:val="24"/>
              </w:rPr>
            </w:pPr>
            <w:r w:rsidRPr="00610B1B">
              <w:rPr>
                <w:bCs/>
                <w:color w:val="000000" w:themeColor="text1"/>
                <w:sz w:val="24"/>
                <w:szCs w:val="24"/>
              </w:rPr>
              <w:t>Наличие на</w:t>
            </w:r>
            <w:r w:rsidR="00D66FE0" w:rsidRPr="00610B1B">
              <w:rPr>
                <w:b/>
                <w:color w:val="000000" w:themeColor="text1"/>
                <w:sz w:val="24"/>
                <w:szCs w:val="24"/>
              </w:rPr>
              <w:t xml:space="preserve"> </w:t>
            </w:r>
            <w:r w:rsidRPr="00610B1B">
              <w:rPr>
                <w:color w:val="000000" w:themeColor="text1"/>
                <w:sz w:val="24"/>
                <w:szCs w:val="24"/>
              </w:rPr>
              <w:t xml:space="preserve">уникално и многообразно недвижимо културно наследство, което обхваща периоди от праисторията до ХХ век. </w:t>
            </w:r>
            <w:r w:rsidR="00AA0CC2" w:rsidRPr="00610B1B">
              <w:rPr>
                <w:color w:val="000000" w:themeColor="text1"/>
                <w:sz w:val="24"/>
                <w:szCs w:val="24"/>
              </w:rPr>
              <w:t>В обхвата на МППРБ е</w:t>
            </w:r>
            <w:r w:rsidRPr="00610B1B">
              <w:rPr>
                <w:color w:val="000000" w:themeColor="text1"/>
                <w:sz w:val="24"/>
                <w:szCs w:val="24"/>
              </w:rPr>
              <w:t xml:space="preserve"> Старинен град Несебър</w:t>
            </w:r>
            <w:r w:rsidR="00AA0CC2" w:rsidRPr="00610B1B">
              <w:rPr>
                <w:color w:val="000000" w:themeColor="text1"/>
                <w:sz w:val="24"/>
                <w:szCs w:val="24"/>
              </w:rPr>
              <w:t xml:space="preserve"> с категория „световно значение“ от списъка на ЮНЕСКО.</w:t>
            </w:r>
          </w:p>
        </w:tc>
        <w:tc>
          <w:tcPr>
            <w:tcW w:w="4962" w:type="dxa"/>
            <w:gridSpan w:val="2"/>
            <w:shd w:val="clear" w:color="auto" w:fill="FFFFFF"/>
          </w:tcPr>
          <w:p w14:paraId="6F0AE97A" w14:textId="2EE9E250"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Голяма част от обектите НКЦ не са изцяло проучени. Липсват извършени консервационно-реставрационни работи, както и съпътстваща</w:t>
            </w:r>
            <w:r w:rsidR="00D66FE0" w:rsidRPr="00610B1B">
              <w:rPr>
                <w:color w:val="000000" w:themeColor="text1"/>
                <w:sz w:val="24"/>
                <w:szCs w:val="24"/>
              </w:rPr>
              <w:t xml:space="preserve"> </w:t>
            </w:r>
            <w:r w:rsidRPr="00610B1B">
              <w:rPr>
                <w:color w:val="000000" w:themeColor="text1"/>
                <w:sz w:val="24"/>
                <w:szCs w:val="24"/>
              </w:rPr>
              <w:t xml:space="preserve">социализация </w:t>
            </w:r>
            <w:r w:rsidR="003915DA" w:rsidRPr="00610B1B">
              <w:rPr>
                <w:color w:val="000000" w:themeColor="text1"/>
                <w:sz w:val="24"/>
                <w:szCs w:val="24"/>
              </w:rPr>
              <w:t xml:space="preserve">на </w:t>
            </w:r>
            <w:r w:rsidRPr="00610B1B">
              <w:rPr>
                <w:color w:val="000000" w:themeColor="text1"/>
                <w:sz w:val="24"/>
                <w:szCs w:val="24"/>
              </w:rPr>
              <w:t>обекти</w:t>
            </w:r>
            <w:r w:rsidR="003915DA" w:rsidRPr="00610B1B">
              <w:rPr>
                <w:color w:val="000000" w:themeColor="text1"/>
                <w:sz w:val="24"/>
                <w:szCs w:val="24"/>
              </w:rPr>
              <w:t>те</w:t>
            </w:r>
            <w:r w:rsidRPr="00610B1B">
              <w:rPr>
                <w:color w:val="000000" w:themeColor="text1"/>
                <w:sz w:val="24"/>
                <w:szCs w:val="24"/>
              </w:rPr>
              <w:t xml:space="preserve"> и на пространството около тях.</w:t>
            </w:r>
          </w:p>
        </w:tc>
      </w:tr>
      <w:tr w:rsidR="006F4640" w:rsidRPr="005C2B9F" w14:paraId="37AE9B4B" w14:textId="77777777" w:rsidTr="00AE254B">
        <w:tc>
          <w:tcPr>
            <w:tcW w:w="4962" w:type="dxa"/>
            <w:shd w:val="clear" w:color="auto" w:fill="FFFFFF"/>
          </w:tcPr>
          <w:p w14:paraId="2B010AAD" w14:textId="5044DD32"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Местоположението на голяма част от тези обекти е непосредствено на бреговата ивица на България с Черно море. Достъпът до тези обекти е възможен с малки намеси и социализация на съответните НКЦ.</w:t>
            </w:r>
          </w:p>
        </w:tc>
        <w:tc>
          <w:tcPr>
            <w:tcW w:w="4962" w:type="dxa"/>
            <w:gridSpan w:val="2"/>
            <w:shd w:val="clear" w:color="auto" w:fill="FFFFFF"/>
          </w:tcPr>
          <w:p w14:paraId="620367B6" w14:textId="77777777" w:rsidR="006F4640" w:rsidRPr="00610B1B" w:rsidRDefault="006F4640" w:rsidP="00AE254B">
            <w:pPr>
              <w:pStyle w:val="Normal1"/>
              <w:spacing w:before="20" w:after="20"/>
              <w:rPr>
                <w:bCs/>
                <w:color w:val="000000" w:themeColor="text1"/>
                <w:sz w:val="24"/>
                <w:szCs w:val="24"/>
              </w:rPr>
            </w:pPr>
            <w:r w:rsidRPr="00610B1B">
              <w:rPr>
                <w:bCs/>
                <w:color w:val="000000" w:themeColor="text1"/>
                <w:sz w:val="24"/>
                <w:szCs w:val="24"/>
              </w:rPr>
              <w:t>Липсват изработени граници и режими на опазване на съответните НКЦ</w:t>
            </w:r>
          </w:p>
        </w:tc>
      </w:tr>
      <w:tr w:rsidR="006F4640" w:rsidRPr="005C2B9F" w14:paraId="45D3BA29" w14:textId="77777777" w:rsidTr="00AE254B">
        <w:tc>
          <w:tcPr>
            <w:tcW w:w="4962" w:type="dxa"/>
            <w:shd w:val="clear" w:color="auto" w:fill="FFFFFF"/>
          </w:tcPr>
          <w:p w14:paraId="40884E7C" w14:textId="537AC145"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 xml:space="preserve">Наличие на обекти, които са НКЦ под вода в близост до тези на сушата. </w:t>
            </w:r>
          </w:p>
          <w:p w14:paraId="4837B467" w14:textId="77777777"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Повишен интерес към културното наследство на България от страна на наши и чуждестранни туристи.</w:t>
            </w:r>
          </w:p>
        </w:tc>
        <w:tc>
          <w:tcPr>
            <w:tcW w:w="4962" w:type="dxa"/>
            <w:gridSpan w:val="2"/>
            <w:shd w:val="clear" w:color="auto" w:fill="FFFFFF"/>
          </w:tcPr>
          <w:p w14:paraId="1C10A697" w14:textId="48748A63" w:rsidR="006F4640" w:rsidRPr="00610B1B" w:rsidRDefault="006F4640" w:rsidP="00AE254B">
            <w:pPr>
              <w:pStyle w:val="Normal1"/>
              <w:spacing w:before="20" w:after="20"/>
              <w:rPr>
                <w:bCs/>
                <w:color w:val="000000" w:themeColor="text1"/>
                <w:sz w:val="24"/>
                <w:szCs w:val="24"/>
              </w:rPr>
            </w:pPr>
            <w:r w:rsidRPr="00610B1B">
              <w:rPr>
                <w:bCs/>
                <w:color w:val="000000" w:themeColor="text1"/>
                <w:sz w:val="24"/>
                <w:szCs w:val="24"/>
              </w:rPr>
              <w:t>Част от значимите археологически обекти попадат в зони, които са територии под егидата на гранична полиция</w:t>
            </w:r>
            <w:r w:rsidR="003915DA" w:rsidRPr="00610B1B">
              <w:rPr>
                <w:bCs/>
                <w:color w:val="000000" w:themeColor="text1"/>
                <w:sz w:val="24"/>
                <w:szCs w:val="24"/>
              </w:rPr>
              <w:t xml:space="preserve"> или МО, в защитени, горски или</w:t>
            </w:r>
            <w:r w:rsidRPr="00610B1B">
              <w:rPr>
                <w:bCs/>
                <w:color w:val="000000" w:themeColor="text1"/>
                <w:sz w:val="24"/>
                <w:szCs w:val="24"/>
              </w:rPr>
              <w:t xml:space="preserve"> земеделски </w:t>
            </w:r>
            <w:r w:rsidR="003915DA" w:rsidRPr="00610B1B">
              <w:rPr>
                <w:bCs/>
                <w:color w:val="000000" w:themeColor="text1"/>
                <w:sz w:val="24"/>
                <w:szCs w:val="24"/>
              </w:rPr>
              <w:t xml:space="preserve">територии, с ограничен достъп за изследване и опазване. </w:t>
            </w:r>
          </w:p>
        </w:tc>
      </w:tr>
      <w:tr w:rsidR="006F4640" w:rsidRPr="005C2B9F" w14:paraId="18F7E589" w14:textId="77777777" w:rsidTr="00AE254B">
        <w:tc>
          <w:tcPr>
            <w:tcW w:w="4962" w:type="dxa"/>
            <w:shd w:val="clear" w:color="auto" w:fill="FFFFFF"/>
          </w:tcPr>
          <w:p w14:paraId="409BEEAB" w14:textId="38BBDC48" w:rsidR="006F4640" w:rsidRPr="00610B1B" w:rsidRDefault="006F4640" w:rsidP="00AE254B">
            <w:pPr>
              <w:pStyle w:val="Normal1"/>
              <w:spacing w:before="20" w:after="20"/>
              <w:rPr>
                <w:sz w:val="24"/>
                <w:szCs w:val="24"/>
              </w:rPr>
            </w:pPr>
            <w:r w:rsidRPr="00610B1B">
              <w:rPr>
                <w:sz w:val="24"/>
                <w:szCs w:val="24"/>
              </w:rPr>
              <w:t>Наличие на добре запазени дълбоководни корабокрушения</w:t>
            </w:r>
            <w:r w:rsidR="003915DA" w:rsidRPr="00610B1B">
              <w:rPr>
                <w:sz w:val="24"/>
                <w:szCs w:val="24"/>
              </w:rPr>
              <w:t xml:space="preserve"> - у</w:t>
            </w:r>
            <w:r w:rsidRPr="00610B1B">
              <w:rPr>
                <w:sz w:val="24"/>
                <w:szCs w:val="24"/>
              </w:rPr>
              <w:t xml:space="preserve">никален </w:t>
            </w:r>
            <w:r w:rsidR="003915DA" w:rsidRPr="00610B1B">
              <w:rPr>
                <w:sz w:val="24"/>
                <w:szCs w:val="24"/>
              </w:rPr>
              <w:t xml:space="preserve">ресурс </w:t>
            </w:r>
            <w:r w:rsidRPr="00610B1B">
              <w:rPr>
                <w:sz w:val="24"/>
                <w:szCs w:val="24"/>
              </w:rPr>
              <w:t>в световен мащаб</w:t>
            </w:r>
            <w:r w:rsidR="003915DA" w:rsidRPr="00610B1B">
              <w:rPr>
                <w:sz w:val="24"/>
                <w:szCs w:val="24"/>
              </w:rPr>
              <w:t>.</w:t>
            </w:r>
          </w:p>
        </w:tc>
        <w:tc>
          <w:tcPr>
            <w:tcW w:w="4962" w:type="dxa"/>
            <w:gridSpan w:val="2"/>
            <w:shd w:val="clear" w:color="auto" w:fill="FFFFFF"/>
          </w:tcPr>
          <w:p w14:paraId="391FEDF0" w14:textId="08B43138" w:rsidR="006F4640" w:rsidRPr="00610B1B" w:rsidRDefault="006F4640" w:rsidP="00AE254B">
            <w:pPr>
              <w:pStyle w:val="Normal1"/>
              <w:spacing w:before="20" w:after="20"/>
              <w:rPr>
                <w:bCs/>
                <w:sz w:val="24"/>
                <w:szCs w:val="24"/>
              </w:rPr>
            </w:pPr>
            <w:r w:rsidRPr="00610B1B">
              <w:rPr>
                <w:sz w:val="24"/>
                <w:szCs w:val="24"/>
              </w:rPr>
              <w:t>Изследвана</w:t>
            </w:r>
            <w:r w:rsidR="00954279" w:rsidRPr="00610B1B">
              <w:rPr>
                <w:sz w:val="24"/>
                <w:szCs w:val="24"/>
              </w:rPr>
              <w:t xml:space="preserve"> и документирана </w:t>
            </w:r>
            <w:r w:rsidRPr="00610B1B">
              <w:rPr>
                <w:sz w:val="24"/>
                <w:szCs w:val="24"/>
              </w:rPr>
              <w:t xml:space="preserve">малка част от корабокрушенията. Недостъпност за пряко наблюдение в днешно време. Липса на постоянна съвременна експозиция, която да представи изследваните кораби. </w:t>
            </w:r>
          </w:p>
        </w:tc>
      </w:tr>
      <w:tr w:rsidR="006F4640" w:rsidRPr="00610B1B" w14:paraId="6AFC6FBD" w14:textId="77777777" w:rsidTr="00AE254B">
        <w:tc>
          <w:tcPr>
            <w:tcW w:w="4962" w:type="dxa"/>
            <w:shd w:val="clear" w:color="auto" w:fill="BEE6F0"/>
          </w:tcPr>
          <w:p w14:paraId="66997F6C" w14:textId="77777777" w:rsidR="006F4640" w:rsidRPr="00610B1B" w:rsidRDefault="006F4640" w:rsidP="00AE254B">
            <w:pPr>
              <w:pStyle w:val="Normal1"/>
              <w:spacing w:before="20" w:after="20"/>
              <w:jc w:val="center"/>
              <w:rPr>
                <w:b/>
                <w:color w:val="000000" w:themeColor="text1"/>
                <w:sz w:val="24"/>
                <w:szCs w:val="24"/>
              </w:rPr>
            </w:pPr>
            <w:r w:rsidRPr="00610B1B">
              <w:rPr>
                <w:b/>
                <w:color w:val="000000" w:themeColor="text1"/>
                <w:sz w:val="24"/>
                <w:szCs w:val="24"/>
              </w:rPr>
              <w:lastRenderedPageBreak/>
              <w:t>Възможности</w:t>
            </w:r>
          </w:p>
        </w:tc>
        <w:tc>
          <w:tcPr>
            <w:tcW w:w="4962" w:type="dxa"/>
            <w:gridSpan w:val="2"/>
            <w:shd w:val="clear" w:color="auto" w:fill="BEE6F0"/>
          </w:tcPr>
          <w:p w14:paraId="29BA4BD8" w14:textId="77777777" w:rsidR="006F4640" w:rsidRPr="00610B1B" w:rsidRDefault="006F4640" w:rsidP="00AE254B">
            <w:pPr>
              <w:pStyle w:val="Normal1"/>
              <w:spacing w:before="20" w:after="20"/>
              <w:jc w:val="center"/>
              <w:rPr>
                <w:b/>
                <w:color w:val="000000" w:themeColor="text1"/>
                <w:sz w:val="24"/>
                <w:szCs w:val="24"/>
              </w:rPr>
            </w:pPr>
            <w:r w:rsidRPr="00610B1B">
              <w:rPr>
                <w:b/>
                <w:color w:val="000000" w:themeColor="text1"/>
                <w:sz w:val="24"/>
                <w:szCs w:val="24"/>
              </w:rPr>
              <w:t>Заплахи</w:t>
            </w:r>
          </w:p>
        </w:tc>
      </w:tr>
      <w:tr w:rsidR="006F4640" w:rsidRPr="005C2B9F" w14:paraId="56A6D0B0" w14:textId="77777777" w:rsidTr="00AE254B">
        <w:tc>
          <w:tcPr>
            <w:tcW w:w="4962" w:type="dxa"/>
            <w:shd w:val="clear" w:color="auto" w:fill="FFFFFF"/>
          </w:tcPr>
          <w:p w14:paraId="7157906E" w14:textId="3E49F900"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 xml:space="preserve">Разкриване на пълния потенциал на обектите на културно наследство по </w:t>
            </w:r>
            <w:r w:rsidR="003915DA" w:rsidRPr="00610B1B">
              <w:rPr>
                <w:color w:val="000000" w:themeColor="text1"/>
                <w:sz w:val="24"/>
                <w:szCs w:val="24"/>
              </w:rPr>
              <w:t xml:space="preserve">Черноморското </w:t>
            </w:r>
            <w:r w:rsidRPr="00610B1B">
              <w:rPr>
                <w:color w:val="000000" w:themeColor="text1"/>
                <w:sz w:val="24"/>
                <w:szCs w:val="24"/>
              </w:rPr>
              <w:t>ни крайбрежие, чрез интегрирането им в различни туристически продукти.</w:t>
            </w:r>
          </w:p>
        </w:tc>
        <w:tc>
          <w:tcPr>
            <w:tcW w:w="4962" w:type="dxa"/>
            <w:gridSpan w:val="2"/>
            <w:shd w:val="clear" w:color="auto" w:fill="FFFFFF"/>
          </w:tcPr>
          <w:p w14:paraId="474CC605" w14:textId="6B6461E9"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Възприемане на обектите на културното наследство единствено като туристическа атракция</w:t>
            </w:r>
            <w:r w:rsidR="003915DA" w:rsidRPr="00610B1B">
              <w:rPr>
                <w:color w:val="000000" w:themeColor="text1"/>
                <w:sz w:val="24"/>
                <w:szCs w:val="24"/>
              </w:rPr>
              <w:t xml:space="preserve"> или като </w:t>
            </w:r>
            <w:r w:rsidR="00BA5862" w:rsidRPr="00610B1B">
              <w:rPr>
                <w:color w:val="000000" w:themeColor="text1"/>
                <w:sz w:val="24"/>
                <w:szCs w:val="24"/>
              </w:rPr>
              <w:t>ограничение</w:t>
            </w:r>
            <w:r w:rsidR="003915DA" w:rsidRPr="00610B1B">
              <w:rPr>
                <w:color w:val="000000" w:themeColor="text1"/>
                <w:sz w:val="24"/>
                <w:szCs w:val="24"/>
              </w:rPr>
              <w:t xml:space="preserve"> за развитие</w:t>
            </w:r>
            <w:r w:rsidRPr="00610B1B">
              <w:rPr>
                <w:color w:val="000000" w:themeColor="text1"/>
                <w:sz w:val="24"/>
                <w:szCs w:val="24"/>
              </w:rPr>
              <w:t>.</w:t>
            </w:r>
          </w:p>
          <w:p w14:paraId="6755839B" w14:textId="77777777" w:rsidR="006F4640" w:rsidRPr="00610B1B" w:rsidRDefault="006F4640" w:rsidP="00AE254B">
            <w:pPr>
              <w:pStyle w:val="Normal1"/>
              <w:spacing w:before="20" w:after="20"/>
              <w:rPr>
                <w:color w:val="000000" w:themeColor="text1"/>
                <w:sz w:val="24"/>
                <w:szCs w:val="24"/>
              </w:rPr>
            </w:pPr>
          </w:p>
        </w:tc>
      </w:tr>
      <w:tr w:rsidR="006F4640" w:rsidRPr="005C2B9F" w14:paraId="09CF38EF" w14:textId="77777777" w:rsidTr="00AE254B">
        <w:tc>
          <w:tcPr>
            <w:tcW w:w="4962" w:type="dxa"/>
            <w:shd w:val="clear" w:color="auto" w:fill="FFFFFF"/>
          </w:tcPr>
          <w:p w14:paraId="58A0C1AF" w14:textId="42E01278"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Разумно развиване на потенциала на НКЦ</w:t>
            </w:r>
            <w:r w:rsidR="003915DA" w:rsidRPr="00610B1B">
              <w:rPr>
                <w:color w:val="000000" w:themeColor="text1"/>
                <w:sz w:val="24"/>
                <w:szCs w:val="24"/>
              </w:rPr>
              <w:t>,</w:t>
            </w:r>
            <w:r w:rsidRPr="00610B1B">
              <w:rPr>
                <w:color w:val="000000" w:themeColor="text1"/>
                <w:sz w:val="24"/>
                <w:szCs w:val="24"/>
              </w:rPr>
              <w:t xml:space="preserve"> намиращи се под вода</w:t>
            </w:r>
          </w:p>
        </w:tc>
        <w:tc>
          <w:tcPr>
            <w:tcW w:w="4962" w:type="dxa"/>
            <w:gridSpan w:val="2"/>
            <w:shd w:val="clear" w:color="auto" w:fill="FFFFFF"/>
          </w:tcPr>
          <w:p w14:paraId="2A3336EF" w14:textId="21BB7B3C"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 xml:space="preserve">Свлачищни процеси в териториите по северното </w:t>
            </w:r>
            <w:r w:rsidR="003915DA" w:rsidRPr="00610B1B">
              <w:rPr>
                <w:color w:val="000000" w:themeColor="text1"/>
                <w:sz w:val="24"/>
                <w:szCs w:val="24"/>
              </w:rPr>
              <w:t xml:space="preserve">Черноморско </w:t>
            </w:r>
            <w:r w:rsidRPr="00610B1B">
              <w:rPr>
                <w:color w:val="000000" w:themeColor="text1"/>
                <w:sz w:val="24"/>
                <w:szCs w:val="24"/>
              </w:rPr>
              <w:t>крайбрежие на България.</w:t>
            </w:r>
          </w:p>
        </w:tc>
      </w:tr>
      <w:tr w:rsidR="006F4640" w:rsidRPr="005C2B9F" w14:paraId="1F82AC6B" w14:textId="77777777" w:rsidTr="00AE254B">
        <w:tc>
          <w:tcPr>
            <w:tcW w:w="4962" w:type="dxa"/>
            <w:shd w:val="clear" w:color="auto" w:fill="FFFFFF"/>
          </w:tcPr>
          <w:p w14:paraId="6DC7CE96" w14:textId="100363B5"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Прилагане на интегрирана консервация за археологическите обекти</w:t>
            </w:r>
            <w:r w:rsidR="003915DA" w:rsidRPr="00610B1B">
              <w:rPr>
                <w:color w:val="000000" w:themeColor="text1"/>
                <w:sz w:val="24"/>
                <w:szCs w:val="24"/>
              </w:rPr>
              <w:t>,</w:t>
            </w:r>
            <w:r w:rsidRPr="00610B1B">
              <w:rPr>
                <w:color w:val="000000" w:themeColor="text1"/>
                <w:sz w:val="24"/>
                <w:szCs w:val="24"/>
              </w:rPr>
              <w:t xml:space="preserve"> локализирани в урбанизираните крайбрежни територии.</w:t>
            </w:r>
          </w:p>
        </w:tc>
        <w:tc>
          <w:tcPr>
            <w:tcW w:w="4962" w:type="dxa"/>
            <w:gridSpan w:val="2"/>
            <w:shd w:val="clear" w:color="auto" w:fill="FFFFFF"/>
          </w:tcPr>
          <w:p w14:paraId="254D3F50" w14:textId="4C80B28B" w:rsidR="006F4640" w:rsidRPr="00610B1B" w:rsidRDefault="003915DA" w:rsidP="00AE254B">
            <w:pPr>
              <w:pStyle w:val="Normal1"/>
              <w:spacing w:before="20" w:after="20"/>
              <w:rPr>
                <w:color w:val="000000" w:themeColor="text1"/>
                <w:sz w:val="24"/>
                <w:szCs w:val="24"/>
              </w:rPr>
            </w:pPr>
            <w:r w:rsidRPr="00610B1B">
              <w:rPr>
                <w:color w:val="000000" w:themeColor="text1"/>
                <w:sz w:val="24"/>
                <w:szCs w:val="24"/>
              </w:rPr>
              <w:t>Засилен и</w:t>
            </w:r>
            <w:r w:rsidR="006F4640" w:rsidRPr="00610B1B">
              <w:rPr>
                <w:color w:val="000000" w:themeColor="text1"/>
                <w:sz w:val="24"/>
                <w:szCs w:val="24"/>
              </w:rPr>
              <w:t>нвестиционен строителен интерес към териториите, на които са разположени обектите НКЦ.</w:t>
            </w:r>
          </w:p>
        </w:tc>
      </w:tr>
      <w:tr w:rsidR="006F4640" w:rsidRPr="005C2B9F" w14:paraId="50B3F0B0" w14:textId="77777777" w:rsidTr="00AE254B">
        <w:tc>
          <w:tcPr>
            <w:tcW w:w="4962" w:type="dxa"/>
            <w:shd w:val="clear" w:color="auto" w:fill="FFFFFF"/>
          </w:tcPr>
          <w:p w14:paraId="731D3BDE" w14:textId="77777777"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Изследване на възможностите за експониране на обектите на културното наследство в защитени територии или в такива с охранителен режим.</w:t>
            </w:r>
          </w:p>
        </w:tc>
        <w:tc>
          <w:tcPr>
            <w:tcW w:w="4962" w:type="dxa"/>
            <w:gridSpan w:val="2"/>
            <w:shd w:val="clear" w:color="auto" w:fill="FFFFFF"/>
          </w:tcPr>
          <w:p w14:paraId="438E99ED" w14:textId="1A619AC2"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Струпване на голям брой туристи в населените места по крайбрежието, особено през летния сезон, чието обслужване често е за сметка на обектите на културното наследство.</w:t>
            </w:r>
          </w:p>
        </w:tc>
      </w:tr>
      <w:tr w:rsidR="006F4640" w:rsidRPr="005C2B9F" w14:paraId="185B1435" w14:textId="77777777" w:rsidTr="00AE254B">
        <w:tc>
          <w:tcPr>
            <w:tcW w:w="4962" w:type="dxa"/>
            <w:shd w:val="clear" w:color="auto" w:fill="FFFFFF"/>
          </w:tcPr>
          <w:p w14:paraId="222576BE" w14:textId="42AF1D01"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Създаване на адекватно социализирана среда около обектите</w:t>
            </w:r>
            <w:r w:rsidR="00D66FE0" w:rsidRPr="00610B1B">
              <w:rPr>
                <w:color w:val="000000" w:themeColor="text1"/>
                <w:sz w:val="24"/>
                <w:szCs w:val="24"/>
              </w:rPr>
              <w:t xml:space="preserve"> </w:t>
            </w:r>
            <w:r w:rsidRPr="00610B1B">
              <w:rPr>
                <w:color w:val="000000" w:themeColor="text1"/>
                <w:sz w:val="24"/>
                <w:szCs w:val="24"/>
              </w:rPr>
              <w:t>на културно наследство, която да повиши културата на туризъм и качеството на обитаване в населените места.</w:t>
            </w:r>
          </w:p>
        </w:tc>
        <w:tc>
          <w:tcPr>
            <w:tcW w:w="4962" w:type="dxa"/>
            <w:gridSpan w:val="2"/>
            <w:shd w:val="clear" w:color="auto" w:fill="FFFFFF"/>
          </w:tcPr>
          <w:p w14:paraId="12491298" w14:textId="3F5F791A"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Неглижиране на културните ценности заради търговски и инвестиционни интереси.</w:t>
            </w:r>
          </w:p>
        </w:tc>
      </w:tr>
      <w:tr w:rsidR="006F4640" w:rsidRPr="005C2B9F" w14:paraId="05726DA9" w14:textId="77777777" w:rsidTr="00AE254B">
        <w:tc>
          <w:tcPr>
            <w:tcW w:w="4962" w:type="dxa"/>
            <w:shd w:val="clear" w:color="auto" w:fill="FFFFFF"/>
          </w:tcPr>
          <w:p w14:paraId="7A19B97C" w14:textId="004E4FA6" w:rsidR="006F4640" w:rsidRPr="00610B1B" w:rsidRDefault="006F4640" w:rsidP="00AE254B">
            <w:pPr>
              <w:pStyle w:val="Normal1"/>
              <w:spacing w:before="20" w:after="20"/>
              <w:rPr>
                <w:color w:val="000000" w:themeColor="text1"/>
                <w:sz w:val="24"/>
                <w:szCs w:val="24"/>
              </w:rPr>
            </w:pPr>
            <w:r w:rsidRPr="00610B1B">
              <w:rPr>
                <w:sz w:val="24"/>
                <w:szCs w:val="24"/>
              </w:rPr>
              <w:t>Изследване и експониране на дълбоководни корабокрушения</w:t>
            </w:r>
            <w:r w:rsidR="003915DA" w:rsidRPr="00610B1B">
              <w:rPr>
                <w:sz w:val="24"/>
                <w:szCs w:val="24"/>
              </w:rPr>
              <w:t>.</w:t>
            </w:r>
          </w:p>
        </w:tc>
        <w:tc>
          <w:tcPr>
            <w:tcW w:w="4962" w:type="dxa"/>
            <w:gridSpan w:val="2"/>
            <w:shd w:val="clear" w:color="auto" w:fill="FFFFFF"/>
          </w:tcPr>
          <w:p w14:paraId="47EDB62B" w14:textId="33A3C2DD" w:rsidR="005F0F25" w:rsidRPr="00610B1B" w:rsidRDefault="00954279" w:rsidP="00AE254B">
            <w:pPr>
              <w:pStyle w:val="Normal1"/>
              <w:spacing w:before="20" w:after="20"/>
              <w:rPr>
                <w:sz w:val="24"/>
                <w:szCs w:val="24"/>
              </w:rPr>
            </w:pPr>
            <w:r w:rsidRPr="00610B1B">
              <w:rPr>
                <w:sz w:val="24"/>
                <w:szCs w:val="24"/>
              </w:rPr>
              <w:t xml:space="preserve">Разрушаване на </w:t>
            </w:r>
            <w:r w:rsidR="003915DA" w:rsidRPr="00610B1B">
              <w:rPr>
                <w:sz w:val="24"/>
                <w:szCs w:val="24"/>
              </w:rPr>
              <w:t>зони с дълбоководни к</w:t>
            </w:r>
            <w:r w:rsidR="006F4640" w:rsidRPr="00610B1B">
              <w:rPr>
                <w:sz w:val="24"/>
                <w:szCs w:val="24"/>
              </w:rPr>
              <w:t xml:space="preserve">орабокрушения </w:t>
            </w:r>
            <w:r w:rsidR="003915DA" w:rsidRPr="00610B1B">
              <w:rPr>
                <w:sz w:val="24"/>
                <w:szCs w:val="24"/>
              </w:rPr>
              <w:t>поради</w:t>
            </w:r>
            <w:r w:rsidR="006F4640" w:rsidRPr="00610B1B">
              <w:rPr>
                <w:sz w:val="24"/>
                <w:szCs w:val="24"/>
              </w:rPr>
              <w:t xml:space="preserve"> трален риболов </w:t>
            </w:r>
            <w:r w:rsidR="003915DA" w:rsidRPr="00610B1B">
              <w:rPr>
                <w:sz w:val="24"/>
                <w:szCs w:val="24"/>
              </w:rPr>
              <w:t>или и</w:t>
            </w:r>
            <w:r w:rsidR="006F4640" w:rsidRPr="00610B1B">
              <w:rPr>
                <w:sz w:val="24"/>
                <w:szCs w:val="24"/>
              </w:rPr>
              <w:t>зграждане на подводна инфраструктура</w:t>
            </w:r>
            <w:r w:rsidR="003915DA" w:rsidRPr="00610B1B">
              <w:rPr>
                <w:sz w:val="24"/>
                <w:szCs w:val="24"/>
              </w:rPr>
              <w:t>.</w:t>
            </w:r>
          </w:p>
        </w:tc>
      </w:tr>
      <w:tr w:rsidR="006F4640" w:rsidRPr="00610B1B" w14:paraId="2092455D" w14:textId="77777777" w:rsidTr="00AE254B">
        <w:tc>
          <w:tcPr>
            <w:tcW w:w="9924" w:type="dxa"/>
            <w:gridSpan w:val="3"/>
            <w:shd w:val="clear" w:color="auto" w:fill="92CDDC"/>
          </w:tcPr>
          <w:p w14:paraId="0B178692" w14:textId="64D01F5F" w:rsidR="006F4640" w:rsidRPr="00610B1B" w:rsidRDefault="006F4640" w:rsidP="00AE254B">
            <w:pPr>
              <w:pStyle w:val="Normal1"/>
              <w:spacing w:before="20" w:after="20"/>
              <w:jc w:val="center"/>
              <w:rPr>
                <w:b/>
                <w:color w:val="000000" w:themeColor="text1"/>
                <w:sz w:val="24"/>
                <w:szCs w:val="24"/>
              </w:rPr>
            </w:pPr>
            <w:r w:rsidRPr="00610B1B">
              <w:rPr>
                <w:b/>
                <w:color w:val="002060"/>
                <w:sz w:val="24"/>
                <w:szCs w:val="24"/>
              </w:rPr>
              <w:t>ТЕРИТОРИАЛНО СЪТРУДНИЧЕСТВО</w:t>
            </w:r>
          </w:p>
        </w:tc>
      </w:tr>
      <w:tr w:rsidR="006F4640" w:rsidRPr="00610B1B" w14:paraId="47185C56" w14:textId="77777777" w:rsidTr="00AE254B">
        <w:tc>
          <w:tcPr>
            <w:tcW w:w="4962" w:type="dxa"/>
            <w:shd w:val="clear" w:color="auto" w:fill="BEE6F0"/>
          </w:tcPr>
          <w:p w14:paraId="597411AA" w14:textId="4281214C" w:rsidR="006F4640" w:rsidRPr="00610B1B" w:rsidRDefault="006F4640" w:rsidP="00AE254B">
            <w:pPr>
              <w:pStyle w:val="Normal1"/>
              <w:spacing w:before="20" w:after="20"/>
              <w:jc w:val="center"/>
              <w:rPr>
                <w:b/>
                <w:color w:val="000000" w:themeColor="text1"/>
                <w:sz w:val="24"/>
                <w:szCs w:val="24"/>
              </w:rPr>
            </w:pPr>
            <w:r w:rsidRPr="00610B1B">
              <w:rPr>
                <w:b/>
                <w:color w:val="000000" w:themeColor="text1"/>
                <w:sz w:val="24"/>
                <w:szCs w:val="24"/>
              </w:rPr>
              <w:t>Силни страни</w:t>
            </w:r>
          </w:p>
        </w:tc>
        <w:tc>
          <w:tcPr>
            <w:tcW w:w="4962" w:type="dxa"/>
            <w:gridSpan w:val="2"/>
            <w:shd w:val="clear" w:color="auto" w:fill="BEE6F0"/>
          </w:tcPr>
          <w:p w14:paraId="54D694D4" w14:textId="308A38EC" w:rsidR="006F4640" w:rsidRPr="00610B1B" w:rsidRDefault="006F4640" w:rsidP="00AE254B">
            <w:pPr>
              <w:pStyle w:val="Normal1"/>
              <w:spacing w:before="20" w:after="20"/>
              <w:jc w:val="center"/>
              <w:rPr>
                <w:b/>
                <w:color w:val="000000" w:themeColor="text1"/>
                <w:sz w:val="24"/>
                <w:szCs w:val="24"/>
              </w:rPr>
            </w:pPr>
            <w:r w:rsidRPr="00610B1B">
              <w:rPr>
                <w:b/>
                <w:color w:val="000000" w:themeColor="text1"/>
                <w:sz w:val="24"/>
                <w:szCs w:val="24"/>
              </w:rPr>
              <w:t>Слаби страни</w:t>
            </w:r>
          </w:p>
        </w:tc>
      </w:tr>
      <w:tr w:rsidR="006F4640" w:rsidRPr="005C2B9F" w14:paraId="6944453B" w14:textId="77777777" w:rsidTr="00AE254B">
        <w:tc>
          <w:tcPr>
            <w:tcW w:w="4962" w:type="dxa"/>
          </w:tcPr>
          <w:p w14:paraId="4A2A18D8" w14:textId="22C8AC2B" w:rsidR="006F4640" w:rsidRPr="00610B1B" w:rsidRDefault="006F4640" w:rsidP="00AE254B">
            <w:pPr>
              <w:spacing w:before="20" w:after="20" w:line="240" w:lineRule="auto"/>
              <w:rPr>
                <w:rFonts w:ascii="Times New Roman" w:hAnsi="Times New Roman" w:cs="Times New Roman"/>
                <w:iCs/>
                <w:sz w:val="24"/>
                <w:szCs w:val="24"/>
                <w:lang w:val="bg-BG"/>
              </w:rPr>
            </w:pPr>
            <w:r w:rsidRPr="00610B1B">
              <w:rPr>
                <w:rFonts w:ascii="Times New Roman" w:hAnsi="Times New Roman" w:cs="Times New Roman"/>
                <w:sz w:val="24"/>
                <w:szCs w:val="24"/>
                <w:lang w:val="bg-BG"/>
              </w:rPr>
              <w:t xml:space="preserve">Обусловено от ратифицирани международни документи сътрудничество, което води до </w:t>
            </w:r>
            <w:r w:rsidRPr="00610B1B">
              <w:rPr>
                <w:rFonts w:ascii="Times New Roman" w:hAnsi="Times New Roman" w:cs="Times New Roman"/>
                <w:iCs/>
                <w:sz w:val="24"/>
                <w:szCs w:val="24"/>
                <w:lang w:val="bg-BG"/>
              </w:rPr>
              <w:t>координирани политики и съгласувани</w:t>
            </w:r>
            <w:r w:rsidR="00D66FE0" w:rsidRPr="00610B1B">
              <w:rPr>
                <w:rFonts w:ascii="Times New Roman" w:hAnsi="Times New Roman" w:cs="Times New Roman"/>
                <w:iCs/>
                <w:sz w:val="24"/>
                <w:szCs w:val="24"/>
                <w:lang w:val="bg-BG"/>
              </w:rPr>
              <w:t xml:space="preserve"> </w:t>
            </w:r>
            <w:r w:rsidRPr="00610B1B">
              <w:rPr>
                <w:rFonts w:ascii="Times New Roman" w:hAnsi="Times New Roman" w:cs="Times New Roman"/>
                <w:iCs/>
                <w:sz w:val="24"/>
                <w:szCs w:val="24"/>
                <w:lang w:val="bg-BG"/>
              </w:rPr>
              <w:t>мерки въпреки различните юрисдикции.</w:t>
            </w:r>
          </w:p>
        </w:tc>
        <w:tc>
          <w:tcPr>
            <w:tcW w:w="4962" w:type="dxa"/>
            <w:gridSpan w:val="2"/>
            <w:shd w:val="clear" w:color="auto" w:fill="FFFFFF"/>
          </w:tcPr>
          <w:p w14:paraId="4C07FB66" w14:textId="30005A37" w:rsidR="006F4640" w:rsidRPr="00610B1B" w:rsidRDefault="006F4640" w:rsidP="00AE254B">
            <w:pPr>
              <w:spacing w:before="20" w:after="20" w:line="240" w:lineRule="auto"/>
              <w:rPr>
                <w:rFonts w:ascii="Times New Roman" w:hAnsi="Times New Roman" w:cs="Times New Roman"/>
                <w:sz w:val="24"/>
                <w:szCs w:val="24"/>
                <w:lang w:val="bg-BG"/>
              </w:rPr>
            </w:pPr>
            <w:r w:rsidRPr="00610B1B">
              <w:rPr>
                <w:rFonts w:ascii="Times New Roman" w:hAnsi="Times New Roman" w:cs="Times New Roman"/>
                <w:sz w:val="24"/>
                <w:szCs w:val="24"/>
                <w:lang w:val="bg-BG"/>
              </w:rPr>
              <w:t>Липса на официално приети граници на морските пространства с Република Румъния.</w:t>
            </w:r>
          </w:p>
        </w:tc>
      </w:tr>
      <w:tr w:rsidR="006F4640" w:rsidRPr="005C2B9F" w14:paraId="13451390" w14:textId="77777777" w:rsidTr="00AE254B">
        <w:tc>
          <w:tcPr>
            <w:tcW w:w="4962" w:type="dxa"/>
          </w:tcPr>
          <w:p w14:paraId="3CAC3C34" w14:textId="37AE7E63" w:rsidR="006F4640" w:rsidRPr="00610B1B" w:rsidRDefault="006F4640" w:rsidP="00AE254B">
            <w:pPr>
              <w:spacing w:before="20" w:after="20" w:line="240" w:lineRule="auto"/>
              <w:rPr>
                <w:rFonts w:ascii="Times New Roman" w:hAnsi="Times New Roman" w:cs="Times New Roman"/>
                <w:sz w:val="24"/>
                <w:szCs w:val="24"/>
                <w:lang w:val="bg-BG"/>
              </w:rPr>
            </w:pPr>
            <w:r w:rsidRPr="00610B1B">
              <w:rPr>
                <w:rFonts w:ascii="Times New Roman" w:hAnsi="Times New Roman" w:cs="Times New Roman"/>
                <w:sz w:val="24"/>
                <w:szCs w:val="24"/>
                <w:lang w:val="bg-BG"/>
              </w:rPr>
              <w:t>Възможности за подобряване на ефективността на планирането и управлението на крайбрежните и морските ресурси и дейности в морското пространствено планиране</w:t>
            </w:r>
            <w:r w:rsidR="003915DA" w:rsidRPr="00610B1B">
              <w:rPr>
                <w:rFonts w:ascii="Times New Roman" w:hAnsi="Times New Roman" w:cs="Times New Roman"/>
                <w:sz w:val="24"/>
                <w:szCs w:val="24"/>
                <w:lang w:val="bg-BG"/>
              </w:rPr>
              <w:t xml:space="preserve"> чрез </w:t>
            </w:r>
            <w:r w:rsidRPr="00610B1B">
              <w:rPr>
                <w:rFonts w:ascii="Times New Roman" w:hAnsi="Times New Roman" w:cs="Times New Roman"/>
                <w:sz w:val="24"/>
                <w:szCs w:val="24"/>
                <w:lang w:val="bg-BG"/>
              </w:rPr>
              <w:t>ТС.</w:t>
            </w:r>
          </w:p>
        </w:tc>
        <w:tc>
          <w:tcPr>
            <w:tcW w:w="4962" w:type="dxa"/>
            <w:gridSpan w:val="2"/>
            <w:shd w:val="clear" w:color="auto" w:fill="FFFFFF"/>
          </w:tcPr>
          <w:p w14:paraId="368E7C58" w14:textId="6735C8D7" w:rsidR="006F4640" w:rsidRPr="00610B1B" w:rsidRDefault="006F4640" w:rsidP="00AE254B">
            <w:pPr>
              <w:spacing w:before="20" w:after="20" w:line="240" w:lineRule="auto"/>
              <w:rPr>
                <w:rFonts w:ascii="Times New Roman" w:hAnsi="Times New Roman" w:cs="Times New Roman"/>
                <w:bCs/>
                <w:sz w:val="24"/>
                <w:szCs w:val="24"/>
                <w:lang w:val="bg-BG"/>
              </w:rPr>
            </w:pPr>
            <w:r w:rsidRPr="00610B1B">
              <w:rPr>
                <w:rFonts w:ascii="Times New Roman" w:hAnsi="Times New Roman" w:cs="Times New Roman"/>
                <w:bCs/>
                <w:sz w:val="24"/>
                <w:szCs w:val="24"/>
                <w:lang w:val="bg-BG"/>
              </w:rPr>
              <w:t>Силна зависимост и уязвимост на териториалното сътрудничество от политическите фактори.</w:t>
            </w:r>
          </w:p>
        </w:tc>
      </w:tr>
      <w:tr w:rsidR="006F4640" w:rsidRPr="005C2B9F" w14:paraId="31B3F77E" w14:textId="77777777" w:rsidTr="00AE254B">
        <w:tc>
          <w:tcPr>
            <w:tcW w:w="4962" w:type="dxa"/>
          </w:tcPr>
          <w:p w14:paraId="387830E2" w14:textId="77777777" w:rsidR="006F4640" w:rsidRPr="00610B1B" w:rsidRDefault="006F4640" w:rsidP="00AE254B">
            <w:pPr>
              <w:pStyle w:val="Normal1"/>
              <w:spacing w:before="20" w:after="20"/>
              <w:rPr>
                <w:sz w:val="24"/>
                <w:szCs w:val="24"/>
              </w:rPr>
            </w:pPr>
            <w:r w:rsidRPr="00610B1B">
              <w:rPr>
                <w:sz w:val="24"/>
                <w:szCs w:val="24"/>
              </w:rPr>
              <w:t xml:space="preserve">Създадени механизми за съвместното управление на общи ресурси и възможност за координирана реакция на общи заплахи, което превръща ТС в незаменим инструмент за решаване </w:t>
            </w:r>
            <w:r w:rsidR="003915DA" w:rsidRPr="00610B1B">
              <w:rPr>
                <w:sz w:val="24"/>
                <w:szCs w:val="24"/>
              </w:rPr>
              <w:t xml:space="preserve">на </w:t>
            </w:r>
            <w:r w:rsidRPr="00610B1B">
              <w:rPr>
                <w:sz w:val="24"/>
                <w:szCs w:val="24"/>
              </w:rPr>
              <w:t xml:space="preserve">глобални проблеми като климатични промени, пандемии, общи заплахи за сигурността, бедствия в морето. </w:t>
            </w:r>
          </w:p>
          <w:p w14:paraId="5CE158DA" w14:textId="01AADF90" w:rsidR="009907CE" w:rsidRPr="00610B1B" w:rsidRDefault="009907CE" w:rsidP="00AE254B">
            <w:pPr>
              <w:pStyle w:val="Normal1"/>
              <w:spacing w:before="20" w:after="20"/>
              <w:rPr>
                <w:color w:val="000000" w:themeColor="text1"/>
                <w:sz w:val="24"/>
                <w:szCs w:val="24"/>
              </w:rPr>
            </w:pPr>
          </w:p>
        </w:tc>
        <w:tc>
          <w:tcPr>
            <w:tcW w:w="4962" w:type="dxa"/>
            <w:gridSpan w:val="2"/>
            <w:shd w:val="clear" w:color="auto" w:fill="FFFFFF"/>
          </w:tcPr>
          <w:p w14:paraId="4C1A8D85" w14:textId="39E7A859"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Липса на консенсус поради сериозно разминаване между визиите за развитие на отделните държави, което се отразява на трансграничното сътрудничество.</w:t>
            </w:r>
          </w:p>
        </w:tc>
      </w:tr>
      <w:tr w:rsidR="006F4640" w:rsidRPr="00610B1B" w14:paraId="35F952A4" w14:textId="77777777" w:rsidTr="00AE254B">
        <w:tc>
          <w:tcPr>
            <w:tcW w:w="4962" w:type="dxa"/>
            <w:shd w:val="clear" w:color="auto" w:fill="BEE6F0"/>
          </w:tcPr>
          <w:p w14:paraId="5C6F4A82" w14:textId="423F5419" w:rsidR="006F4640" w:rsidRPr="00610B1B" w:rsidRDefault="006F4640" w:rsidP="00AE254B">
            <w:pPr>
              <w:pStyle w:val="Normal1"/>
              <w:spacing w:before="20" w:after="20"/>
              <w:jc w:val="center"/>
              <w:rPr>
                <w:color w:val="000000" w:themeColor="text1"/>
                <w:sz w:val="24"/>
                <w:szCs w:val="24"/>
              </w:rPr>
            </w:pPr>
            <w:r w:rsidRPr="00610B1B">
              <w:rPr>
                <w:b/>
                <w:color w:val="000000" w:themeColor="text1"/>
                <w:sz w:val="24"/>
                <w:szCs w:val="24"/>
              </w:rPr>
              <w:lastRenderedPageBreak/>
              <w:t>Възможности</w:t>
            </w:r>
          </w:p>
        </w:tc>
        <w:tc>
          <w:tcPr>
            <w:tcW w:w="4962" w:type="dxa"/>
            <w:gridSpan w:val="2"/>
            <w:shd w:val="clear" w:color="auto" w:fill="BEE6F0"/>
          </w:tcPr>
          <w:p w14:paraId="348A3AAA" w14:textId="128A0CE4" w:rsidR="006F4640" w:rsidRPr="00610B1B" w:rsidRDefault="006F4640" w:rsidP="00AE254B">
            <w:pPr>
              <w:pStyle w:val="Normal1"/>
              <w:spacing w:before="20" w:after="20"/>
              <w:jc w:val="center"/>
              <w:rPr>
                <w:color w:val="000000" w:themeColor="text1"/>
                <w:sz w:val="24"/>
                <w:szCs w:val="24"/>
              </w:rPr>
            </w:pPr>
            <w:r w:rsidRPr="00610B1B">
              <w:rPr>
                <w:b/>
                <w:color w:val="000000" w:themeColor="text1"/>
                <w:sz w:val="24"/>
                <w:szCs w:val="24"/>
              </w:rPr>
              <w:t>Заплахи</w:t>
            </w:r>
          </w:p>
        </w:tc>
      </w:tr>
      <w:tr w:rsidR="006F4640" w:rsidRPr="005C2B9F" w14:paraId="71F6EE2A" w14:textId="77777777" w:rsidTr="00AE254B">
        <w:tc>
          <w:tcPr>
            <w:tcW w:w="4962" w:type="dxa"/>
          </w:tcPr>
          <w:p w14:paraId="722BDCF2" w14:textId="50018A13" w:rsidR="006F4640" w:rsidRPr="00610B1B" w:rsidRDefault="006F4640" w:rsidP="00AE254B">
            <w:pPr>
              <w:spacing w:before="20" w:after="20" w:line="240" w:lineRule="auto"/>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Разширяващ се диалог с Европейската комисия </w:t>
            </w:r>
            <w:r w:rsidR="003915DA" w:rsidRPr="00610B1B">
              <w:rPr>
                <w:rFonts w:ascii="Times New Roman" w:hAnsi="Times New Roman" w:cs="Times New Roman"/>
                <w:sz w:val="24"/>
                <w:szCs w:val="24"/>
                <w:lang w:val="bg-BG"/>
              </w:rPr>
              <w:t xml:space="preserve">и </w:t>
            </w:r>
            <w:r w:rsidRPr="00610B1B">
              <w:rPr>
                <w:rFonts w:ascii="Times New Roman" w:hAnsi="Times New Roman" w:cs="Times New Roman"/>
                <w:sz w:val="24"/>
                <w:szCs w:val="24"/>
                <w:lang w:val="bg-BG"/>
              </w:rPr>
              <w:t>със заинтересованите лица (публични и частни) за повишаване на капацитет</w:t>
            </w:r>
            <w:r w:rsidR="00954279" w:rsidRPr="00610B1B">
              <w:rPr>
                <w:rFonts w:ascii="Times New Roman" w:hAnsi="Times New Roman" w:cs="Times New Roman"/>
                <w:sz w:val="24"/>
                <w:szCs w:val="24"/>
                <w:lang w:val="bg-BG"/>
              </w:rPr>
              <w:t>а</w:t>
            </w:r>
            <w:r w:rsidRPr="00610B1B">
              <w:rPr>
                <w:rFonts w:ascii="Times New Roman" w:hAnsi="Times New Roman" w:cs="Times New Roman"/>
                <w:sz w:val="24"/>
                <w:szCs w:val="24"/>
                <w:lang w:val="bg-BG"/>
              </w:rPr>
              <w:t xml:space="preserve"> и постигане на съгласуваност и координация между основни сектори на сините икономики на страните</w:t>
            </w:r>
            <w:r w:rsidR="00954279"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възможности за съвместни проекти.</w:t>
            </w:r>
          </w:p>
        </w:tc>
        <w:tc>
          <w:tcPr>
            <w:tcW w:w="4962" w:type="dxa"/>
            <w:gridSpan w:val="2"/>
          </w:tcPr>
          <w:p w14:paraId="17C815BF" w14:textId="2125A992" w:rsidR="006F4640" w:rsidRPr="00610B1B" w:rsidRDefault="006F4640" w:rsidP="00AE254B">
            <w:pPr>
              <w:spacing w:before="20" w:after="20" w:line="240" w:lineRule="auto"/>
              <w:rPr>
                <w:rFonts w:ascii="Times New Roman" w:hAnsi="Times New Roman" w:cs="Times New Roman"/>
                <w:sz w:val="24"/>
                <w:szCs w:val="24"/>
                <w:lang w:val="bg-BG"/>
              </w:rPr>
            </w:pPr>
            <w:r w:rsidRPr="00610B1B">
              <w:rPr>
                <w:rFonts w:ascii="Times New Roman" w:hAnsi="Times New Roman" w:cs="Times New Roman"/>
                <w:sz w:val="24"/>
                <w:szCs w:val="24"/>
                <w:lang w:val="bg-BG"/>
              </w:rPr>
              <w:t>Различна степен на ангажираност на отделните държави с намаляване на въглеродните емисии, което ограничава възможностите за формулиране на обща регионална политика за „Синя икономика”.</w:t>
            </w:r>
          </w:p>
        </w:tc>
      </w:tr>
      <w:tr w:rsidR="006F4640" w:rsidRPr="005C2B9F" w14:paraId="4DC6C477" w14:textId="77777777" w:rsidTr="00AE254B">
        <w:tc>
          <w:tcPr>
            <w:tcW w:w="4962" w:type="dxa"/>
            <w:shd w:val="clear" w:color="auto" w:fill="FFFFFF"/>
          </w:tcPr>
          <w:p w14:paraId="1E73E86B" w14:textId="17A2D8FE" w:rsidR="006F4640" w:rsidRPr="00610B1B" w:rsidRDefault="00954279" w:rsidP="00AE254B">
            <w:pPr>
              <w:pStyle w:val="Normal1"/>
              <w:spacing w:before="20" w:after="20"/>
              <w:rPr>
                <w:color w:val="000000" w:themeColor="text1"/>
                <w:sz w:val="24"/>
                <w:szCs w:val="24"/>
              </w:rPr>
            </w:pPr>
            <w:r w:rsidRPr="00610B1B">
              <w:rPr>
                <w:color w:val="000000" w:themeColor="text1"/>
                <w:sz w:val="24"/>
                <w:szCs w:val="24"/>
              </w:rPr>
              <w:t xml:space="preserve">Непрекъснато </w:t>
            </w:r>
            <w:r w:rsidR="006F4640" w:rsidRPr="00610B1B">
              <w:rPr>
                <w:color w:val="000000" w:themeColor="text1"/>
                <w:sz w:val="24"/>
                <w:szCs w:val="24"/>
              </w:rPr>
              <w:t>развиваща се във времето система от институции на ОЧИС разширяващи се</w:t>
            </w:r>
            <w:r w:rsidR="00D66FE0" w:rsidRPr="00610B1B">
              <w:rPr>
                <w:color w:val="000000" w:themeColor="text1"/>
                <w:sz w:val="24"/>
                <w:szCs w:val="24"/>
              </w:rPr>
              <w:t xml:space="preserve"> </w:t>
            </w:r>
            <w:r w:rsidR="006F4640" w:rsidRPr="00610B1B">
              <w:rPr>
                <w:color w:val="000000" w:themeColor="text1"/>
                <w:sz w:val="24"/>
                <w:szCs w:val="24"/>
              </w:rPr>
              <w:t>икономическо, търговско, социално, културно и политическо сътрудничество.</w:t>
            </w:r>
          </w:p>
        </w:tc>
        <w:tc>
          <w:tcPr>
            <w:tcW w:w="4962" w:type="dxa"/>
            <w:gridSpan w:val="2"/>
            <w:shd w:val="clear" w:color="auto" w:fill="FFFFFF"/>
          </w:tcPr>
          <w:p w14:paraId="17F4F8F6" w14:textId="4E51FD0C"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Конфликтите</w:t>
            </w:r>
            <w:r w:rsidR="003915DA" w:rsidRPr="00610B1B">
              <w:rPr>
                <w:color w:val="000000" w:themeColor="text1"/>
                <w:sz w:val="24"/>
                <w:szCs w:val="24"/>
              </w:rPr>
              <w:t>,</w:t>
            </w:r>
            <w:r w:rsidRPr="00610B1B">
              <w:rPr>
                <w:color w:val="000000" w:themeColor="text1"/>
                <w:sz w:val="24"/>
                <w:szCs w:val="24"/>
              </w:rPr>
              <w:t xml:space="preserve"> свързани с анексирането на Крим от Руската федерация са пряка заплаха за неформалното осъществяване на трансгранично сътрудничество.</w:t>
            </w:r>
          </w:p>
          <w:p w14:paraId="5FA811FB" w14:textId="7B643731" w:rsidR="006F4640" w:rsidRPr="00610B1B" w:rsidRDefault="006F4640" w:rsidP="00AE254B">
            <w:pPr>
              <w:pStyle w:val="Normal1"/>
              <w:spacing w:before="20" w:after="20"/>
              <w:rPr>
                <w:color w:val="000000" w:themeColor="text1"/>
                <w:sz w:val="24"/>
                <w:szCs w:val="24"/>
              </w:rPr>
            </w:pPr>
          </w:p>
        </w:tc>
      </w:tr>
      <w:tr w:rsidR="006F4640" w:rsidRPr="005C2B9F" w14:paraId="49EE8B1D" w14:textId="77777777" w:rsidTr="00AE254B">
        <w:tc>
          <w:tcPr>
            <w:tcW w:w="4962" w:type="dxa"/>
            <w:shd w:val="clear" w:color="auto" w:fill="FFFFFF"/>
          </w:tcPr>
          <w:p w14:paraId="62E9B135" w14:textId="622C4AC5"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Създаване на съвместни програми за мониторинг на морската среда, намаляването на отпадъците, шума и замърсяването.</w:t>
            </w:r>
          </w:p>
        </w:tc>
        <w:tc>
          <w:tcPr>
            <w:tcW w:w="4962" w:type="dxa"/>
            <w:gridSpan w:val="2"/>
            <w:shd w:val="clear" w:color="auto" w:fill="FFFFFF"/>
          </w:tcPr>
          <w:p w14:paraId="3A402595" w14:textId="3DA5170D" w:rsidR="006F4640" w:rsidRPr="00610B1B" w:rsidRDefault="006F4640" w:rsidP="00AE254B">
            <w:pPr>
              <w:pStyle w:val="Normal1"/>
              <w:spacing w:before="20" w:after="20"/>
              <w:rPr>
                <w:color w:val="000000" w:themeColor="text1"/>
                <w:sz w:val="24"/>
                <w:szCs w:val="24"/>
              </w:rPr>
            </w:pPr>
            <w:r w:rsidRPr="00610B1B">
              <w:rPr>
                <w:color w:val="000000" w:themeColor="text1"/>
                <w:sz w:val="24"/>
                <w:szCs w:val="24"/>
              </w:rPr>
              <w:t>Продължаваща криза с коронавируса</w:t>
            </w:r>
            <w:r w:rsidR="00D66FE0" w:rsidRPr="00610B1B">
              <w:rPr>
                <w:color w:val="000000" w:themeColor="text1"/>
                <w:sz w:val="24"/>
                <w:szCs w:val="24"/>
              </w:rPr>
              <w:t xml:space="preserve"> </w:t>
            </w:r>
            <w:r w:rsidR="003915DA" w:rsidRPr="00610B1B">
              <w:rPr>
                <w:color w:val="000000" w:themeColor="text1"/>
                <w:sz w:val="24"/>
                <w:szCs w:val="24"/>
              </w:rPr>
              <w:t xml:space="preserve">и </w:t>
            </w:r>
            <w:r w:rsidRPr="00610B1B">
              <w:rPr>
                <w:color w:val="000000" w:themeColor="text1"/>
                <w:sz w:val="24"/>
                <w:szCs w:val="24"/>
              </w:rPr>
              <w:t>затв</w:t>
            </w:r>
            <w:r w:rsidR="003915DA" w:rsidRPr="00610B1B">
              <w:rPr>
                <w:color w:val="000000" w:themeColor="text1"/>
                <w:sz w:val="24"/>
                <w:szCs w:val="24"/>
              </w:rPr>
              <w:t>аряне на</w:t>
            </w:r>
            <w:r w:rsidRPr="00610B1B">
              <w:rPr>
                <w:color w:val="000000" w:themeColor="text1"/>
                <w:sz w:val="24"/>
                <w:szCs w:val="24"/>
              </w:rPr>
              <w:t xml:space="preserve"> държавните граници</w:t>
            </w:r>
            <w:r w:rsidR="003915DA" w:rsidRPr="00610B1B">
              <w:rPr>
                <w:color w:val="000000" w:themeColor="text1"/>
                <w:sz w:val="24"/>
                <w:szCs w:val="24"/>
              </w:rPr>
              <w:t>,</w:t>
            </w:r>
            <w:r w:rsidRPr="00610B1B">
              <w:rPr>
                <w:color w:val="000000" w:themeColor="text1"/>
                <w:sz w:val="24"/>
                <w:szCs w:val="24"/>
              </w:rPr>
              <w:t xml:space="preserve"> прекъс</w:t>
            </w:r>
            <w:r w:rsidR="003915DA" w:rsidRPr="00610B1B">
              <w:rPr>
                <w:color w:val="000000" w:themeColor="text1"/>
                <w:sz w:val="24"/>
                <w:szCs w:val="24"/>
              </w:rPr>
              <w:t xml:space="preserve">ване на </w:t>
            </w:r>
            <w:r w:rsidRPr="00610B1B">
              <w:rPr>
                <w:color w:val="000000" w:themeColor="text1"/>
                <w:sz w:val="24"/>
                <w:szCs w:val="24"/>
              </w:rPr>
              <w:t>международния обмен на хора и товари</w:t>
            </w:r>
            <w:r w:rsidR="003915DA" w:rsidRPr="00610B1B">
              <w:rPr>
                <w:color w:val="000000" w:themeColor="text1"/>
                <w:sz w:val="24"/>
                <w:szCs w:val="24"/>
              </w:rPr>
              <w:t>.</w:t>
            </w:r>
            <w:r w:rsidR="00D66FE0" w:rsidRPr="00610B1B">
              <w:rPr>
                <w:color w:val="000000" w:themeColor="text1"/>
                <w:sz w:val="24"/>
                <w:szCs w:val="24"/>
              </w:rPr>
              <w:t xml:space="preserve"> </w:t>
            </w:r>
            <w:r w:rsidR="00B6058C" w:rsidRPr="00610B1B">
              <w:rPr>
                <w:color w:val="000000" w:themeColor="text1"/>
                <w:sz w:val="24"/>
                <w:szCs w:val="24"/>
              </w:rPr>
              <w:t xml:space="preserve">Ориентиране на </w:t>
            </w:r>
            <w:r w:rsidRPr="00610B1B">
              <w:rPr>
                <w:color w:val="000000" w:themeColor="text1"/>
                <w:sz w:val="24"/>
                <w:szCs w:val="24"/>
              </w:rPr>
              <w:t xml:space="preserve">мерките за намаляване щетите от пандемията към вътрешните проблеми и </w:t>
            </w:r>
            <w:r w:rsidR="00B6058C" w:rsidRPr="00610B1B">
              <w:rPr>
                <w:color w:val="000000" w:themeColor="text1"/>
                <w:sz w:val="24"/>
                <w:szCs w:val="24"/>
              </w:rPr>
              <w:t xml:space="preserve">оставяне на заден план </w:t>
            </w:r>
            <w:r w:rsidRPr="00610B1B">
              <w:rPr>
                <w:color w:val="000000" w:themeColor="text1"/>
                <w:sz w:val="24"/>
                <w:szCs w:val="24"/>
              </w:rPr>
              <w:t>трансграничните контакти.</w:t>
            </w:r>
          </w:p>
        </w:tc>
      </w:tr>
    </w:tbl>
    <w:p w14:paraId="22FD9412" w14:textId="4087AC83" w:rsidR="00ED118F" w:rsidRPr="00610B1B" w:rsidRDefault="00ED118F" w:rsidP="00D32D6A">
      <w:pPr>
        <w:spacing w:after="120"/>
        <w:ind w:right="-153"/>
        <w:rPr>
          <w:rFonts w:ascii="Times New Roman" w:hAnsi="Times New Roman" w:cs="Times New Roman"/>
          <w:color w:val="000000" w:themeColor="text1"/>
          <w:lang w:val="bg-BG"/>
        </w:rPr>
      </w:pPr>
      <w:r w:rsidRPr="00610B1B">
        <w:rPr>
          <w:rFonts w:ascii="Times New Roman" w:hAnsi="Times New Roman" w:cs="Times New Roman"/>
          <w:color w:val="000000" w:themeColor="text1"/>
          <w:lang w:val="bg-BG"/>
        </w:rPr>
        <w:br w:type="page"/>
      </w:r>
    </w:p>
    <w:p w14:paraId="3106CC9C" w14:textId="40733B1D" w:rsidR="005F7D40" w:rsidRPr="00610B1B" w:rsidRDefault="007F718F" w:rsidP="00D32D6A">
      <w:pPr>
        <w:pStyle w:val="Heading1"/>
        <w:spacing w:before="0" w:line="276" w:lineRule="auto"/>
        <w:rPr>
          <w:rFonts w:cs="Times New Roman"/>
        </w:rPr>
      </w:pPr>
      <w:bookmarkStart w:id="423" w:name="_Toc83391405"/>
      <w:r w:rsidRPr="00610B1B">
        <w:rPr>
          <w:rStyle w:val="Heading1Char"/>
          <w:rFonts w:cs="Times New Roman"/>
          <w:b/>
          <w:bCs/>
        </w:rPr>
        <w:lastRenderedPageBreak/>
        <w:t xml:space="preserve">4. </w:t>
      </w:r>
      <w:r w:rsidR="0005362C" w:rsidRPr="00610B1B">
        <w:rPr>
          <w:rFonts w:cs="Times New Roman"/>
        </w:rPr>
        <w:t>ПРОГНОЗИ ЗА РАЗВИТИЕ</w:t>
      </w:r>
      <w:r w:rsidR="006E2B4B" w:rsidRPr="00610B1B">
        <w:rPr>
          <w:rFonts w:cs="Times New Roman"/>
        </w:rPr>
        <w:t xml:space="preserve"> И</w:t>
      </w:r>
      <w:r w:rsidR="0005362C" w:rsidRPr="00610B1B">
        <w:rPr>
          <w:rFonts w:cs="Times New Roman"/>
        </w:rPr>
        <w:t xml:space="preserve"> ОПАЗВАНЕ НА МОРСК</w:t>
      </w:r>
      <w:r w:rsidR="0075098D" w:rsidRPr="00610B1B">
        <w:rPr>
          <w:rFonts w:cs="Times New Roman"/>
        </w:rPr>
        <w:t>И</w:t>
      </w:r>
      <w:r w:rsidR="0005362C" w:rsidRPr="00610B1B">
        <w:rPr>
          <w:rFonts w:cs="Times New Roman"/>
        </w:rPr>
        <w:t>Т</w:t>
      </w:r>
      <w:r w:rsidR="0075098D" w:rsidRPr="00610B1B">
        <w:rPr>
          <w:rFonts w:cs="Times New Roman"/>
        </w:rPr>
        <w:t>Е</w:t>
      </w:r>
      <w:r w:rsidR="0005362C" w:rsidRPr="00610B1B">
        <w:rPr>
          <w:rFonts w:cs="Times New Roman"/>
        </w:rPr>
        <w:t xml:space="preserve"> ПРОСТРАНСТВ</w:t>
      </w:r>
      <w:r w:rsidR="0075098D" w:rsidRPr="00610B1B">
        <w:rPr>
          <w:rFonts w:cs="Times New Roman"/>
        </w:rPr>
        <w:t>А</w:t>
      </w:r>
      <w:bookmarkEnd w:id="423"/>
      <w:r w:rsidR="0050362A" w:rsidRPr="00610B1B">
        <w:rPr>
          <w:rFonts w:cs="Times New Roman"/>
        </w:rPr>
        <w:t xml:space="preserve"> </w:t>
      </w:r>
    </w:p>
    <w:p w14:paraId="3E1E7E43" w14:textId="77777777"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Прогнозите за развитие на социално-икономическия комплекс в морското пространство на Черно море и в прилежащата крайбрежна зона отчитат:</w:t>
      </w:r>
    </w:p>
    <w:p w14:paraId="32DE9F77" w14:textId="77777777" w:rsidR="00442579" w:rsidRPr="00610B1B" w:rsidRDefault="00442579" w:rsidP="00B46189">
      <w:pPr>
        <w:numPr>
          <w:ilvl w:val="0"/>
          <w:numId w:val="16"/>
        </w:num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Действащите законодателни документи в страната, в които са транспонирани основните принципи на международните и европейски документи за морско пространствено планиране;</w:t>
      </w:r>
    </w:p>
    <w:p w14:paraId="21986AE1" w14:textId="77777777" w:rsidR="00442579" w:rsidRPr="00610B1B" w:rsidRDefault="00442579" w:rsidP="00B46189">
      <w:pPr>
        <w:numPr>
          <w:ilvl w:val="0"/>
          <w:numId w:val="16"/>
        </w:num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Изискванията на Техническата спецификация за разработване на Морския пространствен план на Република България (МППРБ);</w:t>
      </w:r>
    </w:p>
    <w:p w14:paraId="6F48FAA0" w14:textId="150B2971" w:rsidR="00442579" w:rsidRPr="00610B1B" w:rsidRDefault="00442579" w:rsidP="00B46189">
      <w:pPr>
        <w:numPr>
          <w:ilvl w:val="0"/>
          <w:numId w:val="16"/>
        </w:num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Факторите, които обуславят перспективното развитие на социално-икономически</w:t>
      </w:r>
      <w:r w:rsidR="00BC0234" w:rsidRPr="00610B1B">
        <w:rPr>
          <w:rFonts w:ascii="Times New Roman" w:eastAsia="Calibri" w:hAnsi="Times New Roman" w:cs="Times New Roman"/>
          <w:bCs/>
          <w:sz w:val="24"/>
          <w:szCs w:val="24"/>
          <w:lang w:val="bg-BG"/>
        </w:rPr>
        <w:t>я</w:t>
      </w:r>
      <w:r w:rsidRPr="00610B1B">
        <w:rPr>
          <w:rFonts w:ascii="Times New Roman" w:eastAsia="Calibri" w:hAnsi="Times New Roman" w:cs="Times New Roman"/>
          <w:bCs/>
          <w:sz w:val="24"/>
          <w:szCs w:val="24"/>
          <w:lang w:val="bg-BG"/>
        </w:rPr>
        <w:t xml:space="preserve"> комплекс при възприетите</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варианти на прогнозните проучвания;</w:t>
      </w:r>
    </w:p>
    <w:p w14:paraId="5DC3B180" w14:textId="1D263EE9" w:rsidR="00442579" w:rsidRPr="00610B1B" w:rsidRDefault="00442579" w:rsidP="00B46189">
      <w:pPr>
        <w:numPr>
          <w:ilvl w:val="0"/>
          <w:numId w:val="16"/>
        </w:num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Етапността на документа – междинен етап до 2024 г. и в дългосрочен план до края на действие на МППРБ – 2035 г.;</w:t>
      </w:r>
    </w:p>
    <w:p w14:paraId="377D7290" w14:textId="77777777" w:rsidR="00442579" w:rsidRPr="00610B1B" w:rsidRDefault="00442579" w:rsidP="00B46189">
      <w:pPr>
        <w:numPr>
          <w:ilvl w:val="0"/>
          <w:numId w:val="16"/>
        </w:num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Конкретните разчети за възрастовата структура на населението от разработената за целите на МППРБ демографска прогноза;</w:t>
      </w:r>
    </w:p>
    <w:p w14:paraId="62A0C9D7" w14:textId="77777777" w:rsidR="00442579" w:rsidRPr="00610B1B" w:rsidRDefault="00442579" w:rsidP="00B46189">
      <w:pPr>
        <w:numPr>
          <w:ilvl w:val="0"/>
          <w:numId w:val="16"/>
        </w:num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Насоките и приоритетите на други секторни документи в страната и на изготвени морски пространствени планове в други държави-членки на ЕС.</w:t>
      </w:r>
    </w:p>
    <w:p w14:paraId="4D6C1A8A" w14:textId="77777777" w:rsidR="00442579" w:rsidRPr="00610B1B" w:rsidRDefault="00442579" w:rsidP="00D32D6A">
      <w:pPr>
        <w:spacing w:after="120"/>
        <w:ind w:left="720" w:right="-153"/>
        <w:jc w:val="both"/>
        <w:rPr>
          <w:rFonts w:ascii="Times New Roman" w:eastAsia="Calibri" w:hAnsi="Times New Roman" w:cs="Times New Roman"/>
          <w:bCs/>
          <w:sz w:val="12"/>
          <w:szCs w:val="12"/>
          <w:lang w:val="bg-BG"/>
        </w:rPr>
      </w:pPr>
    </w:p>
    <w:p w14:paraId="47430D61" w14:textId="5B8A46C9" w:rsidR="00442579" w:rsidRPr="00610B1B" w:rsidRDefault="00A75841" w:rsidP="00D32D6A">
      <w:pPr>
        <w:pStyle w:val="Heading2"/>
        <w:spacing w:before="0" w:line="276" w:lineRule="auto"/>
        <w:ind w:right="-153"/>
        <w:rPr>
          <w:rFonts w:cs="Times New Roman"/>
        </w:rPr>
      </w:pPr>
      <w:bookmarkStart w:id="424" w:name="_Toc83391406"/>
      <w:r w:rsidRPr="00610B1B">
        <w:rPr>
          <w:rFonts w:cs="Times New Roman"/>
        </w:rPr>
        <w:t xml:space="preserve">4.1. </w:t>
      </w:r>
      <w:r w:rsidR="00442579" w:rsidRPr="00610B1B">
        <w:rPr>
          <w:rFonts w:cs="Times New Roman"/>
        </w:rPr>
        <w:t>Фактори и условия, определящи развитието на морск</w:t>
      </w:r>
      <w:r w:rsidR="0075098D" w:rsidRPr="00610B1B">
        <w:rPr>
          <w:rFonts w:cs="Times New Roman"/>
        </w:rPr>
        <w:t>и</w:t>
      </w:r>
      <w:r w:rsidR="00442579" w:rsidRPr="00610B1B">
        <w:rPr>
          <w:rFonts w:cs="Times New Roman"/>
        </w:rPr>
        <w:t>т</w:t>
      </w:r>
      <w:r w:rsidR="0075098D" w:rsidRPr="00610B1B">
        <w:rPr>
          <w:rFonts w:cs="Times New Roman"/>
        </w:rPr>
        <w:t>е</w:t>
      </w:r>
      <w:r w:rsidR="00442579" w:rsidRPr="00610B1B">
        <w:rPr>
          <w:rFonts w:cs="Times New Roman"/>
        </w:rPr>
        <w:t xml:space="preserve"> пространств</w:t>
      </w:r>
      <w:r w:rsidR="0075098D" w:rsidRPr="00610B1B">
        <w:rPr>
          <w:rFonts w:cs="Times New Roman"/>
        </w:rPr>
        <w:t>а</w:t>
      </w:r>
      <w:r w:rsidR="00442579" w:rsidRPr="00610B1B">
        <w:rPr>
          <w:rFonts w:cs="Times New Roman"/>
        </w:rPr>
        <w:t xml:space="preserve"> в периода 2021 - 2035 г.</w:t>
      </w:r>
      <w:bookmarkEnd w:id="424"/>
      <w:r w:rsidR="00442579" w:rsidRPr="00610B1B">
        <w:rPr>
          <w:rFonts w:cs="Times New Roman"/>
        </w:rPr>
        <w:t xml:space="preserve"> </w:t>
      </w:r>
    </w:p>
    <w:p w14:paraId="726515A1" w14:textId="70618A95"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 xml:space="preserve">За разработването на прогнозите за използване, опазване и устройство на националното морско пространство са отчетени въздействията на основните </w:t>
      </w:r>
      <w:r w:rsidR="00A75841" w:rsidRPr="00610B1B">
        <w:rPr>
          <w:rFonts w:ascii="Times New Roman" w:eastAsia="Calibri" w:hAnsi="Times New Roman" w:cs="Times New Roman"/>
          <w:bCs/>
          <w:sz w:val="24"/>
          <w:szCs w:val="24"/>
          <w:lang w:val="bg-BG"/>
        </w:rPr>
        <w:t xml:space="preserve">политически, икономически, социални и технологични </w:t>
      </w:r>
      <w:r w:rsidRPr="00610B1B">
        <w:rPr>
          <w:rFonts w:ascii="Times New Roman" w:eastAsia="Calibri" w:hAnsi="Times New Roman" w:cs="Times New Roman"/>
          <w:bCs/>
          <w:sz w:val="24"/>
          <w:szCs w:val="24"/>
          <w:lang w:val="bg-BG"/>
        </w:rPr>
        <w:t xml:space="preserve">фактори върху морското пространствено развитие. </w:t>
      </w:r>
    </w:p>
    <w:p w14:paraId="2AFBC810" w14:textId="0E618AFF"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
          <w:i/>
          <w:iCs/>
          <w:sz w:val="24"/>
          <w:szCs w:val="24"/>
          <w:lang w:val="bg-BG"/>
        </w:rPr>
        <w:t>Политическите фактори</w:t>
      </w:r>
      <w:r w:rsidRPr="00610B1B">
        <w:rPr>
          <w:rFonts w:ascii="Times New Roman" w:eastAsia="Calibri" w:hAnsi="Times New Roman" w:cs="Times New Roman"/>
          <w:bCs/>
          <w:sz w:val="24"/>
          <w:szCs w:val="24"/>
          <w:lang w:val="bg-BG"/>
        </w:rPr>
        <w:t xml:space="preserve"> са отражение на политиката на ЕС за Черноморския регион и на държави</w:t>
      </w:r>
      <w:r w:rsidR="00F151C6" w:rsidRPr="00610B1B">
        <w:rPr>
          <w:rFonts w:ascii="Times New Roman" w:eastAsia="Calibri" w:hAnsi="Times New Roman" w:cs="Times New Roman"/>
          <w:bCs/>
          <w:sz w:val="24"/>
          <w:szCs w:val="24"/>
          <w:lang w:val="bg-BG"/>
        </w:rPr>
        <w:t>те</w:t>
      </w:r>
      <w:r w:rsidRPr="00610B1B">
        <w:rPr>
          <w:rFonts w:ascii="Times New Roman" w:eastAsia="Calibri" w:hAnsi="Times New Roman" w:cs="Times New Roman"/>
          <w:bCs/>
          <w:sz w:val="24"/>
          <w:szCs w:val="24"/>
          <w:lang w:val="bg-BG"/>
        </w:rPr>
        <w:t xml:space="preserve"> в региона, само две от които – България и Румъния, по силата на членството си в ЕС, са задължени да прилагат рамковите директиви за водите, за морска стратегия, за морско пространствено планиране. Останалите прилагат приетите </w:t>
      </w:r>
      <w:r w:rsidR="00281401" w:rsidRPr="00610B1B">
        <w:rPr>
          <w:rFonts w:ascii="Times New Roman" w:eastAsia="Calibri" w:hAnsi="Times New Roman" w:cs="Times New Roman"/>
          <w:bCs/>
          <w:sz w:val="24"/>
          <w:szCs w:val="24"/>
          <w:lang w:val="bg-BG"/>
        </w:rPr>
        <w:t xml:space="preserve">от тях </w:t>
      </w:r>
      <w:r w:rsidRPr="00610B1B">
        <w:rPr>
          <w:rFonts w:ascii="Times New Roman" w:eastAsia="Calibri" w:hAnsi="Times New Roman" w:cs="Times New Roman"/>
          <w:bCs/>
          <w:sz w:val="24"/>
          <w:szCs w:val="24"/>
          <w:lang w:val="bg-BG"/>
        </w:rPr>
        <w:t>и ратифицирани международни конвенции и протоколи, които определят политическата рамка на морското пространствено планиране и координирането на трансграничното сътрудничество в Черно море. Дългосрочна цел на сътрудничеството в Черноморския регион е стимулирането на съвместните научни изследвания, които да подпомогнат процеса на вземане на решения за устойчивото развитие на региона.</w:t>
      </w:r>
    </w:p>
    <w:p w14:paraId="08EF768E" w14:textId="6C0E725B"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Пандемията „</w:t>
      </w:r>
      <w:r w:rsidR="00A75841" w:rsidRPr="00610B1B">
        <w:rPr>
          <w:rFonts w:ascii="Times New Roman" w:eastAsia="Calibri" w:hAnsi="Times New Roman" w:cs="Times New Roman"/>
          <w:bCs/>
          <w:sz w:val="24"/>
          <w:szCs w:val="24"/>
          <w:lang w:val="bg-BG"/>
        </w:rPr>
        <w:t>Covid</w:t>
      </w:r>
      <w:r w:rsidRPr="00610B1B">
        <w:rPr>
          <w:rFonts w:ascii="Times New Roman" w:eastAsia="Calibri" w:hAnsi="Times New Roman" w:cs="Times New Roman"/>
          <w:bCs/>
          <w:sz w:val="24"/>
          <w:szCs w:val="24"/>
          <w:lang w:val="bg-BG"/>
        </w:rPr>
        <w:t xml:space="preserve"> 19“ предизвика дълбока глобална и национална социално-икономическа криза. Рискът от задълбочаването</w:t>
      </w:r>
      <w:r w:rsidR="00DE3A13" w:rsidRPr="00610B1B">
        <w:rPr>
          <w:rFonts w:ascii="Times New Roman" w:eastAsia="Calibri" w:hAnsi="Times New Roman" w:cs="Times New Roman"/>
          <w:bCs/>
          <w:sz w:val="24"/>
          <w:szCs w:val="24"/>
          <w:lang w:val="bg-BG"/>
        </w:rPr>
        <w:t xml:space="preserve"> ѝ </w:t>
      </w:r>
      <w:r w:rsidRPr="00610B1B">
        <w:rPr>
          <w:rFonts w:ascii="Times New Roman" w:eastAsia="Calibri" w:hAnsi="Times New Roman" w:cs="Times New Roman"/>
          <w:bCs/>
          <w:sz w:val="24"/>
          <w:szCs w:val="24"/>
          <w:lang w:val="bg-BG"/>
        </w:rPr>
        <w:t xml:space="preserve">още не е избегнат и към момента не съществуват добри перспективи за формиране на обществен консенсус в областта на устойчивата синя икономика. Този контекст пряко засяга </w:t>
      </w:r>
      <w:r w:rsidR="00F151C6" w:rsidRPr="00610B1B">
        <w:rPr>
          <w:rFonts w:ascii="Times New Roman" w:eastAsia="Calibri" w:hAnsi="Times New Roman" w:cs="Times New Roman"/>
          <w:bCs/>
          <w:sz w:val="24"/>
          <w:szCs w:val="24"/>
          <w:lang w:val="bg-BG"/>
        </w:rPr>
        <w:t xml:space="preserve">и </w:t>
      </w:r>
      <w:r w:rsidRPr="00610B1B">
        <w:rPr>
          <w:rFonts w:ascii="Times New Roman" w:eastAsia="Calibri" w:hAnsi="Times New Roman" w:cs="Times New Roman"/>
          <w:bCs/>
          <w:sz w:val="24"/>
          <w:szCs w:val="24"/>
          <w:lang w:val="bg-BG"/>
        </w:rPr>
        <w:t>процеса на морското пространствено планиране. Компенсиращ политически фактор е постигнатия</w:t>
      </w:r>
      <w:r w:rsidR="00A75841" w:rsidRPr="00610B1B">
        <w:rPr>
          <w:rFonts w:ascii="Times New Roman" w:eastAsia="Calibri" w:hAnsi="Times New Roman" w:cs="Times New Roman"/>
          <w:bCs/>
          <w:sz w:val="24"/>
          <w:szCs w:val="24"/>
          <w:lang w:val="bg-BG"/>
        </w:rPr>
        <w:t>т</w:t>
      </w:r>
      <w:r w:rsidRPr="00610B1B">
        <w:rPr>
          <w:rFonts w:ascii="Times New Roman" w:eastAsia="Calibri" w:hAnsi="Times New Roman" w:cs="Times New Roman"/>
          <w:bCs/>
          <w:sz w:val="24"/>
          <w:szCs w:val="24"/>
          <w:lang w:val="bg-BG"/>
        </w:rPr>
        <w:t xml:space="preserve"> консенсус </w:t>
      </w:r>
      <w:r w:rsidRPr="00610B1B">
        <w:rPr>
          <w:rFonts w:ascii="Times New Roman" w:eastAsia="Calibri" w:hAnsi="Times New Roman" w:cs="Times New Roman"/>
          <w:bCs/>
          <w:sz w:val="24"/>
          <w:szCs w:val="24"/>
          <w:lang w:val="bg-BG"/>
        </w:rPr>
        <w:lastRenderedPageBreak/>
        <w:t>по интегрираната морска политика на ЕС и независимо, че само две от шестте страни от черноморския басейн са пряко обвързани, възможността България да изработи и приложи МППРБ за интегрирано и съгласувано използване на ресурсите и на българската акватория, не е заплашена. Екосистемният подход и трансгранично сътрудничество остават принципни цели на морското пространствено планиране на България.</w:t>
      </w:r>
    </w:p>
    <w:p w14:paraId="65A3ED4A" w14:textId="4F4D19F4"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Очакваното придвижване на страната по пътя на европейската интеграция (приемането на България в Шенген и Еврозоната) ще даде допълнителна сигурност и ще доведе до нарастване на чуждестранните инвестиции. Политически фактор с решаващо значение е и ефективността на борбата с корупцията и повишаване на качеството в административните услуги, които са предпоставки за подобряване на бизнес климата.</w:t>
      </w:r>
    </w:p>
    <w:p w14:paraId="5CD32991" w14:textId="1C8D3E5D"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Финансовата опора за реализиране на Зелената сделка ще позволи инвестиране във всички сектори на синята икономика и в обекта на МППБР.</w:t>
      </w:r>
    </w:p>
    <w:p w14:paraId="1B8E8A53" w14:textId="34E7E3FE" w:rsidR="001B3DB0"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
          <w:i/>
          <w:iCs/>
          <w:sz w:val="24"/>
          <w:szCs w:val="24"/>
          <w:lang w:val="bg-BG"/>
        </w:rPr>
        <w:t>Икономическите фактори</w:t>
      </w:r>
      <w:r w:rsidRPr="00610B1B">
        <w:rPr>
          <w:rFonts w:ascii="Times New Roman" w:eastAsia="Calibri" w:hAnsi="Times New Roman" w:cs="Times New Roman"/>
          <w:bCs/>
          <w:sz w:val="24"/>
          <w:szCs w:val="24"/>
          <w:lang w:val="bg-BG"/>
        </w:rPr>
        <w:t xml:space="preserve"> променят своето въздействие в зависимост от глобалните и от регионалните</w:t>
      </w:r>
      <w:r w:rsidR="00A75841" w:rsidRPr="00610B1B">
        <w:rPr>
          <w:rFonts w:ascii="Times New Roman" w:eastAsia="Calibri" w:hAnsi="Times New Roman" w:cs="Times New Roman"/>
          <w:bCs/>
          <w:sz w:val="24"/>
          <w:szCs w:val="24"/>
          <w:lang w:val="bg-BG"/>
        </w:rPr>
        <w:t xml:space="preserve"> процеси</w:t>
      </w:r>
      <w:r w:rsidRPr="00610B1B">
        <w:rPr>
          <w:rFonts w:ascii="Times New Roman" w:eastAsia="Calibri" w:hAnsi="Times New Roman" w:cs="Times New Roman"/>
          <w:bCs/>
          <w:sz w:val="24"/>
          <w:szCs w:val="24"/>
          <w:lang w:val="bg-BG"/>
        </w:rPr>
        <w:t>, от цялостната макроикономическата рамка и показатели. За изготвянето на прогнозите са използвани допускания на Българската народна банка, Световната банка, Европейската банка за възстановяване и развитие и Европейската комисия относно международната конюнктура и динамиката на международните пазари, които ще окажат влияние и върху икономическия растеж в Черноморския регион. Всички тези фактори би следвало да бъдат пречупени през призмата на пандемията Covid-19</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и очаквания срив на икономиките в света в резултат от това, съпроводен от свиване на потреблението</w:t>
      </w:r>
      <w:r w:rsidR="00E66E6C" w:rsidRPr="00610B1B">
        <w:rPr>
          <w:rFonts w:ascii="Times New Roman" w:eastAsia="Calibri" w:hAnsi="Times New Roman" w:cs="Times New Roman"/>
          <w:bCs/>
          <w:sz w:val="24"/>
          <w:szCs w:val="24"/>
          <w:lang w:val="bg-BG"/>
        </w:rPr>
        <w:t xml:space="preserve"> и</w:t>
      </w:r>
      <w:r w:rsidRPr="00610B1B">
        <w:rPr>
          <w:rFonts w:ascii="Times New Roman" w:eastAsia="Calibri" w:hAnsi="Times New Roman" w:cs="Times New Roman"/>
          <w:bCs/>
          <w:sz w:val="24"/>
          <w:szCs w:val="24"/>
          <w:lang w:val="bg-BG"/>
        </w:rPr>
        <w:t xml:space="preserve"> в производството, прекъсване на веригите за доставки, колебания на петролните пазари, повишаване на цените на транспортните услуги, промяна на поведението на потребителите, несигурност в снабдяването с храни. </w:t>
      </w:r>
    </w:p>
    <w:p w14:paraId="2F111A64" w14:textId="2508864E"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Очакваните положителни въздействия са свързани с преструктуриране на веригите на доставки в полза на някои местни и регионални пазари и намаляване на натиска върху околната среда.</w:t>
      </w:r>
      <w:r w:rsidRPr="00610B1B">
        <w:rPr>
          <w:rFonts w:ascii="Times New Roman" w:eastAsia="Calibri" w:hAnsi="Times New Roman" w:cs="Times New Roman"/>
          <w:bCs/>
          <w:sz w:val="24"/>
          <w:szCs w:val="24"/>
          <w:vertAlign w:val="superscript"/>
          <w:lang w:val="bg-BG"/>
        </w:rPr>
        <w:footnoteReference w:id="147"/>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Постигнатите най-ниски нива на световните финансови пазари към момента са по-неблагоприятни в сравнение с тези от кризата през 2008 г., за чието възстановяване в България се предвиждаха 3-4 години. Съгласно доклада на ЕБВР от май 2020 г. се предвижда възстановя</w:t>
      </w:r>
      <w:r w:rsidR="00BB78A1" w:rsidRPr="00610B1B">
        <w:rPr>
          <w:rFonts w:ascii="Times New Roman" w:eastAsia="Calibri" w:hAnsi="Times New Roman" w:cs="Times New Roman"/>
          <w:bCs/>
          <w:sz w:val="24"/>
          <w:szCs w:val="24"/>
          <w:lang w:val="bg-BG"/>
        </w:rPr>
        <w:t>ва</w:t>
      </w:r>
      <w:r w:rsidRPr="00610B1B">
        <w:rPr>
          <w:rFonts w:ascii="Times New Roman" w:eastAsia="Calibri" w:hAnsi="Times New Roman" w:cs="Times New Roman"/>
          <w:bCs/>
          <w:sz w:val="24"/>
          <w:szCs w:val="24"/>
          <w:lang w:val="bg-BG"/>
        </w:rPr>
        <w:t xml:space="preserve">нето на икономиката в България да започне през следващата година с ръст на БВП от </w:t>
      </w:r>
      <w:r w:rsidR="00BC0234" w:rsidRPr="00610B1B">
        <w:rPr>
          <w:rFonts w:ascii="Times New Roman" w:eastAsia="Calibri" w:hAnsi="Times New Roman" w:cs="Times New Roman"/>
          <w:bCs/>
          <w:sz w:val="24"/>
          <w:szCs w:val="24"/>
          <w:lang w:val="bg-BG"/>
        </w:rPr>
        <w:t>3</w:t>
      </w:r>
      <w:r w:rsidRPr="00610B1B">
        <w:rPr>
          <w:rFonts w:ascii="Times New Roman" w:eastAsia="Calibri" w:hAnsi="Times New Roman" w:cs="Times New Roman"/>
          <w:bCs/>
          <w:sz w:val="24"/>
          <w:szCs w:val="24"/>
          <w:lang w:val="bg-BG"/>
        </w:rPr>
        <w:t>.</w:t>
      </w:r>
      <w:r w:rsidR="00BC0234" w:rsidRPr="00610B1B">
        <w:rPr>
          <w:rFonts w:ascii="Times New Roman" w:eastAsia="Calibri" w:hAnsi="Times New Roman" w:cs="Times New Roman"/>
          <w:bCs/>
          <w:sz w:val="24"/>
          <w:szCs w:val="24"/>
          <w:lang w:val="bg-BG"/>
        </w:rPr>
        <w:t>9</w:t>
      </w:r>
      <w:r w:rsidRPr="00610B1B">
        <w:rPr>
          <w:rFonts w:ascii="Times New Roman" w:eastAsia="Calibri" w:hAnsi="Times New Roman" w:cs="Times New Roman"/>
          <w:bCs/>
          <w:sz w:val="24"/>
          <w:szCs w:val="24"/>
          <w:lang w:val="bg-BG"/>
        </w:rPr>
        <w:t>%.</w:t>
      </w:r>
      <w:r w:rsidRPr="00610B1B">
        <w:rPr>
          <w:rFonts w:ascii="Times New Roman" w:eastAsia="Calibri" w:hAnsi="Times New Roman" w:cs="Times New Roman"/>
          <w:bCs/>
          <w:sz w:val="24"/>
          <w:szCs w:val="24"/>
          <w:vertAlign w:val="superscript"/>
          <w:lang w:val="bg-BG"/>
        </w:rPr>
        <w:footnoteReference w:id="148"/>
      </w:r>
    </w:p>
    <w:p w14:paraId="3E2E39A2" w14:textId="764134A1"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Сега, когато са необходими ефективни иновации и координация между институциите, анализите отчитат неефективна и разпокъсана система за научни изследвания, слаби връзки между науката и предприятията. Това е сериозна заплаха за реализирането на общоевропейските и национални политики както за синия растеж, така и за цялостното икономическо развитие. Тежко засегнати са структурни сектори на българската икономика (включително свързани със синия растеж) като търговия на дребно, транспорт, хотели</w:t>
      </w:r>
      <w:r w:rsidR="004901F6" w:rsidRPr="00610B1B">
        <w:rPr>
          <w:rFonts w:ascii="Times New Roman" w:eastAsia="Calibri" w:hAnsi="Times New Roman" w:cs="Times New Roman"/>
          <w:bCs/>
          <w:sz w:val="24"/>
          <w:szCs w:val="24"/>
          <w:lang w:val="bg-BG"/>
        </w:rPr>
        <w:t>ерство</w:t>
      </w:r>
      <w:r w:rsidRPr="00610B1B">
        <w:rPr>
          <w:rFonts w:ascii="Times New Roman" w:eastAsia="Calibri" w:hAnsi="Times New Roman" w:cs="Times New Roman"/>
          <w:bCs/>
          <w:sz w:val="24"/>
          <w:szCs w:val="24"/>
          <w:lang w:val="bg-BG"/>
        </w:rPr>
        <w:t xml:space="preserve"> и ресторант</w:t>
      </w:r>
      <w:r w:rsidR="004901F6" w:rsidRPr="00610B1B">
        <w:rPr>
          <w:rFonts w:ascii="Times New Roman" w:eastAsia="Calibri" w:hAnsi="Times New Roman" w:cs="Times New Roman"/>
          <w:bCs/>
          <w:sz w:val="24"/>
          <w:szCs w:val="24"/>
          <w:lang w:val="bg-BG"/>
        </w:rPr>
        <w:t>ьорство</w:t>
      </w:r>
      <w:r w:rsidRPr="00610B1B">
        <w:rPr>
          <w:rFonts w:ascii="Times New Roman" w:eastAsia="Calibri" w:hAnsi="Times New Roman" w:cs="Times New Roman"/>
          <w:bCs/>
          <w:sz w:val="24"/>
          <w:szCs w:val="24"/>
          <w:lang w:val="bg-BG"/>
        </w:rPr>
        <w:t xml:space="preserve">. Доскоро те формираха над 20% от БВП на страната. </w:t>
      </w:r>
      <w:r w:rsidRPr="00610B1B">
        <w:rPr>
          <w:rFonts w:ascii="Times New Roman" w:eastAsia="Calibri" w:hAnsi="Times New Roman" w:cs="Times New Roman"/>
          <w:bCs/>
          <w:sz w:val="24"/>
          <w:szCs w:val="24"/>
          <w:lang w:val="bg-BG"/>
        </w:rPr>
        <w:lastRenderedPageBreak/>
        <w:t>Експортната ориентация на реалната ни икономика и глобалните зависимости са допълнителни препятствия за бързото възстановяване.</w:t>
      </w:r>
    </w:p>
    <w:p w14:paraId="0E65C463" w14:textId="29FFE965"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Шансовете за бързо възстановяване в рамките на ЕС се подсигуряват от европейските структурни и инвестиционни фондове (ЕСИФ), както и от до</w:t>
      </w:r>
      <w:r w:rsidR="001B3DB0" w:rsidRPr="00610B1B">
        <w:rPr>
          <w:rFonts w:ascii="Times New Roman" w:eastAsia="Calibri" w:hAnsi="Times New Roman" w:cs="Times New Roman"/>
          <w:bCs/>
          <w:sz w:val="24"/>
          <w:szCs w:val="24"/>
          <w:lang w:val="bg-BG"/>
        </w:rPr>
        <w:t>п</w:t>
      </w:r>
      <w:r w:rsidRPr="00610B1B">
        <w:rPr>
          <w:rFonts w:ascii="Times New Roman" w:eastAsia="Calibri" w:hAnsi="Times New Roman" w:cs="Times New Roman"/>
          <w:bCs/>
          <w:sz w:val="24"/>
          <w:szCs w:val="24"/>
          <w:lang w:val="bg-BG"/>
        </w:rPr>
        <w:t xml:space="preserve">ълнителните целеви антикризисни инвестиции, олицетворяващи европейската солидарност в икономическата сфера. Важна </w:t>
      </w:r>
      <w:r w:rsidR="00E66E6C" w:rsidRPr="00610B1B">
        <w:rPr>
          <w:rFonts w:ascii="Times New Roman" w:eastAsia="Calibri" w:hAnsi="Times New Roman" w:cs="Times New Roman"/>
          <w:bCs/>
          <w:sz w:val="24"/>
          <w:szCs w:val="24"/>
          <w:lang w:val="bg-BG"/>
        </w:rPr>
        <w:t xml:space="preserve">е </w:t>
      </w:r>
      <w:r w:rsidRPr="00610B1B">
        <w:rPr>
          <w:rFonts w:ascii="Times New Roman" w:eastAsia="Calibri" w:hAnsi="Times New Roman" w:cs="Times New Roman"/>
          <w:bCs/>
          <w:sz w:val="24"/>
          <w:szCs w:val="24"/>
          <w:lang w:val="bg-BG"/>
        </w:rPr>
        <w:t>и стратегическата насоченост на публичните инвестиции в предстоящите години. Инвестициите в транспортна, енергийна и екологична инфраструктура не само ще удовлетворят обективни потребности и ще компенсират дефицитите в пазарите на заетостта, но ще подпомогнат повишаването на конкурентоспособността на българските предприятия. Предвидените в ЕСИФ инвестиции в цифровизация и НИРД, в комбинация с повишаване качеството на управление на проектите, могат</w:t>
      </w:r>
      <w:r w:rsidR="00E66E6C" w:rsidRPr="00610B1B">
        <w:rPr>
          <w:rFonts w:ascii="Times New Roman" w:eastAsia="Calibri" w:hAnsi="Times New Roman" w:cs="Times New Roman"/>
          <w:bCs/>
          <w:sz w:val="24"/>
          <w:szCs w:val="24"/>
          <w:lang w:val="bg-BG"/>
        </w:rPr>
        <w:t xml:space="preserve"> да</w:t>
      </w:r>
      <w:r w:rsidRPr="00610B1B">
        <w:rPr>
          <w:rFonts w:ascii="Times New Roman" w:eastAsia="Calibri" w:hAnsi="Times New Roman" w:cs="Times New Roman"/>
          <w:bCs/>
          <w:sz w:val="24"/>
          <w:szCs w:val="24"/>
          <w:lang w:val="bg-BG"/>
        </w:rPr>
        <w:t xml:space="preserve"> повиша</w:t>
      </w:r>
      <w:r w:rsidR="00E66E6C" w:rsidRPr="00610B1B">
        <w:rPr>
          <w:rFonts w:ascii="Times New Roman" w:eastAsia="Calibri" w:hAnsi="Times New Roman" w:cs="Times New Roman"/>
          <w:bCs/>
          <w:sz w:val="24"/>
          <w:szCs w:val="24"/>
          <w:lang w:val="bg-BG"/>
        </w:rPr>
        <w:t>т</w:t>
      </w:r>
      <w:r w:rsidRPr="00610B1B">
        <w:rPr>
          <w:rFonts w:ascii="Times New Roman" w:eastAsia="Calibri" w:hAnsi="Times New Roman" w:cs="Times New Roman"/>
          <w:bCs/>
          <w:sz w:val="24"/>
          <w:szCs w:val="24"/>
          <w:lang w:val="bg-BG"/>
        </w:rPr>
        <w:t xml:space="preserve"> производителността. Комбинирането на публични и частни инвестиции в </w:t>
      </w:r>
      <w:r w:rsidR="00E66E6C" w:rsidRPr="00610B1B">
        <w:rPr>
          <w:rFonts w:ascii="Times New Roman" w:eastAsia="Calibri" w:hAnsi="Times New Roman" w:cs="Times New Roman"/>
          <w:bCs/>
          <w:sz w:val="24"/>
          <w:szCs w:val="24"/>
          <w:lang w:val="bg-BG"/>
        </w:rPr>
        <w:t>партньорство</w:t>
      </w:r>
      <w:r w:rsidRPr="00610B1B">
        <w:rPr>
          <w:rFonts w:ascii="Times New Roman" w:eastAsia="Calibri" w:hAnsi="Times New Roman" w:cs="Times New Roman"/>
          <w:bCs/>
          <w:sz w:val="24"/>
          <w:szCs w:val="24"/>
          <w:lang w:val="bg-BG"/>
        </w:rPr>
        <w:t xml:space="preserve"> и насочването на интегрирани териториални инвестиции (ИТИ) към територии със специфични потенциали и потребности, ще намал</w:t>
      </w:r>
      <w:r w:rsidR="00E66E6C" w:rsidRPr="00610B1B">
        <w:rPr>
          <w:rFonts w:ascii="Times New Roman" w:eastAsia="Calibri" w:hAnsi="Times New Roman" w:cs="Times New Roman"/>
          <w:bCs/>
          <w:sz w:val="24"/>
          <w:szCs w:val="24"/>
          <w:lang w:val="bg-BG"/>
        </w:rPr>
        <w:t>и</w:t>
      </w:r>
      <w:r w:rsidRPr="00610B1B">
        <w:rPr>
          <w:rFonts w:ascii="Times New Roman" w:eastAsia="Calibri" w:hAnsi="Times New Roman" w:cs="Times New Roman"/>
          <w:bCs/>
          <w:sz w:val="24"/>
          <w:szCs w:val="24"/>
          <w:lang w:val="bg-BG"/>
        </w:rPr>
        <w:t xml:space="preserve"> регионалните неравенства и </w:t>
      </w:r>
      <w:r w:rsidR="00E66E6C" w:rsidRPr="00610B1B">
        <w:rPr>
          <w:rFonts w:ascii="Times New Roman" w:eastAsia="Calibri" w:hAnsi="Times New Roman" w:cs="Times New Roman"/>
          <w:bCs/>
          <w:sz w:val="24"/>
          <w:szCs w:val="24"/>
          <w:lang w:val="bg-BG"/>
        </w:rPr>
        <w:t xml:space="preserve">ще доведе до </w:t>
      </w:r>
      <w:r w:rsidRPr="00610B1B">
        <w:rPr>
          <w:rFonts w:ascii="Times New Roman" w:eastAsia="Calibri" w:hAnsi="Times New Roman" w:cs="Times New Roman"/>
          <w:bCs/>
          <w:sz w:val="24"/>
          <w:szCs w:val="24"/>
          <w:lang w:val="bg-BG"/>
        </w:rPr>
        <w:t>по-пълно оползотворяване на ресурсите в националната територия и акватория.</w:t>
      </w:r>
    </w:p>
    <w:p w14:paraId="3512751B" w14:textId="6BB4FA95"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
          <w:i/>
          <w:iCs/>
          <w:sz w:val="24"/>
          <w:szCs w:val="24"/>
          <w:lang w:val="bg-BG"/>
        </w:rPr>
        <w:t>Демографските фактори</w:t>
      </w:r>
      <w:r w:rsidRPr="00610B1B">
        <w:rPr>
          <w:rFonts w:ascii="Times New Roman" w:eastAsia="Calibri" w:hAnsi="Times New Roman" w:cs="Times New Roman"/>
          <w:bCs/>
          <w:sz w:val="24"/>
          <w:szCs w:val="24"/>
          <w:lang w:val="bg-BG"/>
        </w:rPr>
        <w:t>, които са най-сериозното предизвикателство за нашата страна, ще повлияят върху цялостното развитие на страната, а оттам и върху синята икономика,</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пазара на труда, потенциала за иновации и технологично обновяване, върху социалната сфера. В тази сфера ще бъдат използвани допусканията на Националния статистически институт и неговите официални прогнози, коментара върху тях в Социално-икономическия анализ на районите (</w:t>
      </w:r>
      <w:r w:rsidR="004901F6" w:rsidRPr="00610B1B">
        <w:rPr>
          <w:rFonts w:ascii="Times New Roman" w:eastAsia="Calibri" w:hAnsi="Times New Roman" w:cs="Times New Roman"/>
          <w:bCs/>
          <w:sz w:val="24"/>
          <w:szCs w:val="24"/>
          <w:lang w:val="bg-BG"/>
        </w:rPr>
        <w:t>А</w:t>
      </w:r>
      <w:r w:rsidR="001B3DB0" w:rsidRPr="00610B1B">
        <w:rPr>
          <w:rFonts w:ascii="Times New Roman" w:eastAsia="Calibri" w:hAnsi="Times New Roman" w:cs="Times New Roman"/>
          <w:bCs/>
          <w:sz w:val="24"/>
          <w:szCs w:val="24"/>
          <w:lang w:val="bg-BG"/>
        </w:rPr>
        <w:t>ктуализация 2020 г.</w:t>
      </w:r>
      <w:r w:rsidRPr="00610B1B">
        <w:rPr>
          <w:rFonts w:ascii="Times New Roman" w:eastAsia="Calibri" w:hAnsi="Times New Roman" w:cs="Times New Roman"/>
          <w:bCs/>
          <w:sz w:val="24"/>
          <w:szCs w:val="24"/>
          <w:lang w:val="bg-BG"/>
        </w:rPr>
        <w:t>) и специално изготвени</w:t>
      </w:r>
      <w:r w:rsidR="00E66E6C" w:rsidRPr="00610B1B">
        <w:rPr>
          <w:rFonts w:ascii="Times New Roman" w:eastAsia="Calibri" w:hAnsi="Times New Roman" w:cs="Times New Roman"/>
          <w:bCs/>
          <w:sz w:val="24"/>
          <w:szCs w:val="24"/>
          <w:lang w:val="bg-BG"/>
        </w:rPr>
        <w:t>те</w:t>
      </w:r>
      <w:r w:rsidRPr="00610B1B">
        <w:rPr>
          <w:rFonts w:ascii="Times New Roman" w:eastAsia="Calibri" w:hAnsi="Times New Roman" w:cs="Times New Roman"/>
          <w:bCs/>
          <w:sz w:val="24"/>
          <w:szCs w:val="24"/>
          <w:lang w:val="bg-BG"/>
        </w:rPr>
        <w:t xml:space="preserve"> за целите на морското пространствено планира</w:t>
      </w:r>
      <w:r w:rsidR="00AF5170" w:rsidRPr="00610B1B">
        <w:rPr>
          <w:rFonts w:ascii="Times New Roman" w:eastAsia="Calibri" w:hAnsi="Times New Roman" w:cs="Times New Roman"/>
          <w:bCs/>
          <w:sz w:val="24"/>
          <w:szCs w:val="24"/>
          <w:lang w:val="bg-BG"/>
        </w:rPr>
        <w:t>не демографски прогнози</w:t>
      </w:r>
      <w:r w:rsidRPr="00610B1B">
        <w:rPr>
          <w:rFonts w:ascii="Times New Roman" w:eastAsia="Calibri" w:hAnsi="Times New Roman" w:cs="Times New Roman"/>
          <w:bCs/>
          <w:sz w:val="24"/>
          <w:szCs w:val="24"/>
          <w:lang w:val="bg-BG"/>
        </w:rPr>
        <w:t xml:space="preserve">. </w:t>
      </w:r>
    </w:p>
    <w:p w14:paraId="2023515F" w14:textId="4134A607"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 xml:space="preserve">Към тази група фактори би следвало да се включат и </w:t>
      </w:r>
      <w:r w:rsidRPr="00610B1B">
        <w:rPr>
          <w:rFonts w:ascii="Times New Roman" w:eastAsia="Calibri" w:hAnsi="Times New Roman" w:cs="Times New Roman"/>
          <w:b/>
          <w:i/>
          <w:iCs/>
          <w:sz w:val="24"/>
          <w:szCs w:val="24"/>
          <w:lang w:val="bg-BG"/>
        </w:rPr>
        <w:t>социалните фактори</w:t>
      </w:r>
      <w:r w:rsidRPr="00610B1B">
        <w:rPr>
          <w:rFonts w:ascii="Times New Roman" w:eastAsia="Calibri" w:hAnsi="Times New Roman" w:cs="Times New Roman"/>
          <w:bCs/>
          <w:sz w:val="24"/>
          <w:szCs w:val="24"/>
          <w:lang w:val="bg-BG"/>
        </w:rPr>
        <w:t xml:space="preserve">, свързани с настоящата обстановка, която ще се отрази на най-уязвимите групи – възрастните, бедните, социално слабите, завърналите се от работа в чужбина представители на различни общности, предимно от общини и населени места с висок дял на безработните. Население в тези уязвими социални групи има и в големите </w:t>
      </w:r>
      <w:r w:rsidR="001B3DB0" w:rsidRPr="00610B1B">
        <w:rPr>
          <w:rFonts w:ascii="Times New Roman" w:eastAsia="Calibri" w:hAnsi="Times New Roman" w:cs="Times New Roman"/>
          <w:bCs/>
          <w:sz w:val="24"/>
          <w:szCs w:val="24"/>
          <w:lang w:val="bg-BG"/>
        </w:rPr>
        <w:t xml:space="preserve">черноморски </w:t>
      </w:r>
      <w:r w:rsidRPr="00610B1B">
        <w:rPr>
          <w:rFonts w:ascii="Times New Roman" w:eastAsia="Calibri" w:hAnsi="Times New Roman" w:cs="Times New Roman"/>
          <w:bCs/>
          <w:sz w:val="24"/>
          <w:szCs w:val="24"/>
          <w:lang w:val="bg-BG"/>
        </w:rPr>
        <w:t>градове Варна и Бургас.</w:t>
      </w:r>
      <w:r w:rsidRPr="00610B1B">
        <w:rPr>
          <w:rFonts w:ascii="Times New Roman" w:eastAsia="Calibri" w:hAnsi="Times New Roman" w:cs="Times New Roman"/>
          <w:lang w:val="bg-BG"/>
        </w:rPr>
        <w:t xml:space="preserve"> </w:t>
      </w:r>
      <w:r w:rsidRPr="00610B1B">
        <w:rPr>
          <w:rFonts w:ascii="Times New Roman" w:eastAsia="Calibri" w:hAnsi="Times New Roman" w:cs="Times New Roman"/>
          <w:bCs/>
          <w:sz w:val="24"/>
          <w:szCs w:val="24"/>
          <w:lang w:val="bg-BG"/>
        </w:rPr>
        <w:t xml:space="preserve">Въздействието на социалните фактори </w:t>
      </w:r>
      <w:r w:rsidR="00512B41" w:rsidRPr="00610B1B">
        <w:rPr>
          <w:rFonts w:ascii="Times New Roman" w:eastAsia="Calibri" w:hAnsi="Times New Roman" w:cs="Times New Roman"/>
          <w:bCs/>
          <w:sz w:val="24"/>
          <w:szCs w:val="24"/>
          <w:lang w:val="bg-BG"/>
        </w:rPr>
        <w:t>е</w:t>
      </w:r>
      <w:r w:rsidRPr="00610B1B">
        <w:rPr>
          <w:rFonts w:ascii="Times New Roman" w:eastAsia="Calibri" w:hAnsi="Times New Roman" w:cs="Times New Roman"/>
          <w:bCs/>
          <w:sz w:val="24"/>
          <w:szCs w:val="24"/>
          <w:lang w:val="bg-BG"/>
        </w:rPr>
        <w:t xml:space="preserve"> анализирано и посредством обвързаността на последните с пазара на труда, качеството на образователните и здравните услуги, които осигуряват развитието на икономиката и туризма, гарантират опазването на морската околна среда и крайбрежието и подобрява</w:t>
      </w:r>
      <w:r w:rsidR="00E66E6C" w:rsidRPr="00610B1B">
        <w:rPr>
          <w:rFonts w:ascii="Times New Roman" w:eastAsia="Calibri" w:hAnsi="Times New Roman" w:cs="Times New Roman"/>
          <w:bCs/>
          <w:sz w:val="24"/>
          <w:szCs w:val="24"/>
          <w:lang w:val="bg-BG"/>
        </w:rPr>
        <w:t>т</w:t>
      </w:r>
      <w:r w:rsidRPr="00610B1B">
        <w:rPr>
          <w:rFonts w:ascii="Times New Roman" w:eastAsia="Calibri" w:hAnsi="Times New Roman" w:cs="Times New Roman"/>
          <w:bCs/>
          <w:sz w:val="24"/>
          <w:szCs w:val="24"/>
          <w:lang w:val="bg-BG"/>
        </w:rPr>
        <w:t xml:space="preserve"> благосъстоянието на населението.</w:t>
      </w:r>
      <w:r w:rsidRPr="00610B1B">
        <w:rPr>
          <w:rFonts w:ascii="Times New Roman" w:eastAsia="Calibri" w:hAnsi="Times New Roman" w:cs="Times New Roman"/>
          <w:lang w:val="bg-BG"/>
        </w:rPr>
        <w:t xml:space="preserve"> </w:t>
      </w:r>
      <w:r w:rsidRPr="00610B1B">
        <w:rPr>
          <w:rFonts w:ascii="Times New Roman" w:eastAsia="Calibri" w:hAnsi="Times New Roman" w:cs="Times New Roman"/>
          <w:bCs/>
          <w:sz w:val="24"/>
          <w:szCs w:val="24"/>
          <w:lang w:val="bg-BG"/>
        </w:rPr>
        <w:t>Публикуваният анализ на Световната банка от април 2020 г. препоръчва</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приоритизиране на инвестициите в здравната система и осигуряване на „спасителни мрежи“ за най-засегнатите представители</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от пандемията Covid-19.</w:t>
      </w:r>
      <w:r w:rsidRPr="00610B1B">
        <w:rPr>
          <w:rFonts w:ascii="Times New Roman" w:eastAsia="Calibri" w:hAnsi="Times New Roman" w:cs="Times New Roman"/>
          <w:bCs/>
          <w:sz w:val="24"/>
          <w:szCs w:val="24"/>
          <w:vertAlign w:val="superscript"/>
          <w:lang w:val="bg-BG"/>
        </w:rPr>
        <w:footnoteReference w:id="149"/>
      </w:r>
      <w:r w:rsidRPr="00610B1B">
        <w:rPr>
          <w:rFonts w:ascii="Times New Roman" w:eastAsia="Calibri" w:hAnsi="Times New Roman" w:cs="Times New Roman"/>
          <w:bCs/>
          <w:sz w:val="24"/>
          <w:szCs w:val="24"/>
          <w:lang w:val="bg-BG"/>
        </w:rPr>
        <w:t xml:space="preserve"> Аналогични са препоръките и на ОИСР относно промяна на политиките и увеличаване на публичните разходи за подкрепа на отделни сектори и социални групи.</w:t>
      </w:r>
      <w:r w:rsidRPr="00610B1B">
        <w:rPr>
          <w:rFonts w:ascii="Times New Roman" w:eastAsia="Calibri" w:hAnsi="Times New Roman" w:cs="Times New Roman"/>
          <w:bCs/>
          <w:sz w:val="24"/>
          <w:szCs w:val="24"/>
          <w:vertAlign w:val="superscript"/>
          <w:lang w:val="bg-BG"/>
        </w:rPr>
        <w:footnoteReference w:id="150"/>
      </w:r>
    </w:p>
    <w:p w14:paraId="05F564B5" w14:textId="4286408A"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 xml:space="preserve">Социалният резонанс към състоянието на морската околна среда e чувствителен, но разнопосочен. Актуалните към 2019 г. нагласи на обществото съдържат 65% мнения, че </w:t>
      </w:r>
      <w:r w:rsidRPr="00610B1B">
        <w:rPr>
          <w:rFonts w:ascii="Times New Roman" w:eastAsia="Calibri" w:hAnsi="Times New Roman" w:cs="Times New Roman"/>
          <w:bCs/>
          <w:sz w:val="24"/>
          <w:szCs w:val="24"/>
          <w:lang w:val="bg-BG"/>
        </w:rPr>
        <w:lastRenderedPageBreak/>
        <w:t xml:space="preserve">българското </w:t>
      </w:r>
      <w:r w:rsidR="00512B41" w:rsidRPr="00610B1B">
        <w:rPr>
          <w:rFonts w:ascii="Times New Roman" w:eastAsia="Calibri" w:hAnsi="Times New Roman" w:cs="Times New Roman"/>
          <w:bCs/>
          <w:sz w:val="24"/>
          <w:szCs w:val="24"/>
          <w:lang w:val="bg-BG"/>
        </w:rPr>
        <w:t xml:space="preserve">Черноморие </w:t>
      </w:r>
      <w:r w:rsidRPr="00610B1B">
        <w:rPr>
          <w:rFonts w:ascii="Times New Roman" w:eastAsia="Calibri" w:hAnsi="Times New Roman" w:cs="Times New Roman"/>
          <w:bCs/>
          <w:sz w:val="24"/>
          <w:szCs w:val="24"/>
          <w:lang w:val="bg-BG"/>
        </w:rPr>
        <w:t xml:space="preserve">е замърсено и 86%, че е презастроено. Същевременно, </w:t>
      </w:r>
      <w:r w:rsidR="00BA5862" w:rsidRPr="00610B1B">
        <w:rPr>
          <w:rFonts w:ascii="Times New Roman" w:eastAsia="Calibri" w:hAnsi="Times New Roman" w:cs="Times New Roman"/>
          <w:bCs/>
          <w:sz w:val="24"/>
          <w:szCs w:val="24"/>
          <w:lang w:val="bg-BG"/>
        </w:rPr>
        <w:t>дълбочинни</w:t>
      </w:r>
      <w:r w:rsidRPr="00610B1B">
        <w:rPr>
          <w:rFonts w:ascii="Times New Roman" w:eastAsia="Calibri" w:hAnsi="Times New Roman" w:cs="Times New Roman"/>
          <w:bCs/>
          <w:sz w:val="24"/>
          <w:szCs w:val="24"/>
          <w:lang w:val="bg-BG"/>
        </w:rPr>
        <w:t xml:space="preserve"> интервюта сред експерти потвърждават презастрояването като основен проблем. Социологическите проучвания не успяват да установят фаворизиране на някой от аспектите на устойчивото развитие – екологичен, социален или икономически. Този факт доказва балансираната представа на хората и посветените специалисти за неразривната цялост на жизнената среда. В друго проучване на общественото мнение се стига до извода, че „в масовото съзнание, противоречие между развитието на икономиката и опазването на природата не съществува” и „обществото приема почти по инерция всякакви идеи за опазване на Черноморието и природата въобще”.</w:t>
      </w:r>
    </w:p>
    <w:p w14:paraId="5938F341" w14:textId="1AF8AD39"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
          <w:i/>
          <w:iCs/>
          <w:sz w:val="24"/>
          <w:szCs w:val="24"/>
          <w:lang w:val="bg-BG"/>
        </w:rPr>
        <w:t>Технологичните фактори</w:t>
      </w:r>
      <w:r w:rsidRPr="00610B1B">
        <w:rPr>
          <w:rFonts w:ascii="Times New Roman" w:eastAsia="Calibri" w:hAnsi="Times New Roman" w:cs="Times New Roman"/>
          <w:bCs/>
          <w:sz w:val="24"/>
          <w:szCs w:val="24"/>
          <w:lang w:val="bg-BG"/>
        </w:rPr>
        <w:t xml:space="preserve"> са свързани с всички сектори на морската икономиката и дейностите, които развиват, с опазването на околната среда и биоразнообразието.</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sz w:val="24"/>
          <w:szCs w:val="24"/>
          <w:lang w:val="bg-BG"/>
        </w:rPr>
        <w:t xml:space="preserve">Днес те обхващат </w:t>
      </w:r>
      <w:r w:rsidRPr="00610B1B">
        <w:rPr>
          <w:rFonts w:ascii="Times New Roman" w:eastAsia="Calibri" w:hAnsi="Times New Roman" w:cs="Times New Roman"/>
          <w:bCs/>
          <w:sz w:val="24"/>
          <w:szCs w:val="24"/>
          <w:lang w:val="bg-BG"/>
        </w:rPr>
        <w:t>добив на енергия от възобновяеми източници в офшорни зони, пристанища и морски транспорт, наблюдение и спасяване в морето, кибер сигурност, риболов, отглеждане на аквакултури, опазване на биоразнообразието, морски изследвания и наблюдения</w:t>
      </w:r>
      <w:r w:rsidR="006C1B95" w:rsidRPr="00610B1B">
        <w:rPr>
          <w:rFonts w:ascii="Times New Roman" w:eastAsia="Calibri" w:hAnsi="Times New Roman" w:cs="Times New Roman"/>
          <w:bCs/>
          <w:sz w:val="24"/>
          <w:szCs w:val="24"/>
          <w:lang w:val="bg-BG"/>
        </w:rPr>
        <w:t xml:space="preserve"> и</w:t>
      </w:r>
      <w:r w:rsidRPr="00610B1B">
        <w:rPr>
          <w:rFonts w:ascii="Times New Roman" w:eastAsia="Calibri" w:hAnsi="Times New Roman" w:cs="Times New Roman"/>
          <w:bCs/>
          <w:sz w:val="24"/>
          <w:szCs w:val="24"/>
          <w:lang w:val="bg-BG"/>
        </w:rPr>
        <w:t xml:space="preserve"> биотехнологии. Част от новите космически, видео и дигитални технологии, използването на роботи и подводна апаратура, на сателитни наблюдения, изисква значителен финансов ресурс, непосилен за малка страна като България, но прилагането им е от изключителна важност. Те подпомагат изследването на потънали селища, пристанища и кораби, наблюдението на състоянието на морето, подобряват техниките за проучване и добив на ресурси, отстраняването на замърсявания, намаляването на емисиите от парникови газове и на въздействията върху морските екосистеми.</w:t>
      </w:r>
      <w:r w:rsidRPr="00610B1B">
        <w:rPr>
          <w:rFonts w:ascii="Times New Roman" w:eastAsia="Calibri" w:hAnsi="Times New Roman" w:cs="Times New Roman"/>
          <w:bCs/>
          <w:sz w:val="24"/>
          <w:szCs w:val="24"/>
          <w:vertAlign w:val="superscript"/>
          <w:lang w:val="bg-BG"/>
        </w:rPr>
        <w:footnoteReference w:id="151"/>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 xml:space="preserve">Именно в тези сфери могат да се открият възможности за коопериране на усилията на няколко черноморски държави за иновации и интелигентен син растеж. </w:t>
      </w:r>
    </w:p>
    <w:p w14:paraId="78D8F96C" w14:textId="367CC6BD" w:rsidR="00442579" w:rsidRPr="00610B1B" w:rsidRDefault="006C1B95"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i/>
          <w:iCs/>
          <w:sz w:val="24"/>
          <w:szCs w:val="24"/>
          <w:lang w:val="bg-BG"/>
        </w:rPr>
        <w:t xml:space="preserve">Корабоплаване: </w:t>
      </w:r>
      <w:r w:rsidRPr="00610B1B">
        <w:rPr>
          <w:rFonts w:ascii="Times New Roman" w:eastAsia="Calibri" w:hAnsi="Times New Roman" w:cs="Times New Roman"/>
          <w:bCs/>
          <w:sz w:val="24"/>
          <w:szCs w:val="24"/>
          <w:lang w:val="bg-BG"/>
        </w:rPr>
        <w:t xml:space="preserve">Новите </w:t>
      </w:r>
      <w:r w:rsidR="00442579" w:rsidRPr="00610B1B">
        <w:rPr>
          <w:rFonts w:ascii="Times New Roman" w:eastAsia="Calibri" w:hAnsi="Times New Roman" w:cs="Times New Roman"/>
          <w:bCs/>
          <w:sz w:val="24"/>
          <w:szCs w:val="24"/>
          <w:lang w:val="bg-BG"/>
        </w:rPr>
        <w:t>технологии, заедно с дигиталната свързаност, ще го трансформират, ще повишат конкурентоспособността и устойчивостта на цялата морска индустрия. Посоката на развитие е към автоматизирани „интелигентни” плавателни съдове, ползващи зелена енергия и изкуствен интелект, принадлежащи към интегрирани вериги за транспорт. Корабите ще стават по-безопасни, по-ефективни и по-ефикасни.</w:t>
      </w:r>
    </w:p>
    <w:p w14:paraId="36E5AB42" w14:textId="2F5C935E"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i/>
          <w:sz w:val="24"/>
          <w:szCs w:val="24"/>
          <w:lang w:val="bg-BG"/>
        </w:rPr>
        <w:t>Подводно културно наследство</w:t>
      </w:r>
      <w:r w:rsidRPr="00610B1B">
        <w:rPr>
          <w:rFonts w:ascii="Times New Roman" w:eastAsia="Calibri" w:hAnsi="Times New Roman" w:cs="Times New Roman"/>
          <w:bCs/>
          <w:sz w:val="24"/>
          <w:szCs w:val="24"/>
          <w:lang w:val="bg-BG"/>
        </w:rPr>
        <w:t>: технологиите</w:t>
      </w:r>
      <w:r w:rsidR="006C1B95" w:rsidRPr="00610B1B">
        <w:rPr>
          <w:rFonts w:ascii="Times New Roman" w:eastAsia="Calibri" w:hAnsi="Times New Roman" w:cs="Times New Roman"/>
          <w:bCs/>
          <w:sz w:val="24"/>
          <w:szCs w:val="24"/>
          <w:lang w:val="bg-BG"/>
        </w:rPr>
        <w:t xml:space="preserve"> за</w:t>
      </w:r>
      <w:r w:rsidRPr="00610B1B">
        <w:rPr>
          <w:rFonts w:ascii="Times New Roman" w:eastAsia="Calibri" w:hAnsi="Times New Roman" w:cs="Times New Roman"/>
          <w:bCs/>
          <w:sz w:val="24"/>
          <w:szCs w:val="24"/>
          <w:lang w:val="bg-BG"/>
        </w:rPr>
        <w:t xml:space="preserve"> локализирането и изучаването му дават възможност за дистанционно откриване и заснемане чрез </w:t>
      </w:r>
      <w:r w:rsidR="004901F6" w:rsidRPr="00610B1B">
        <w:rPr>
          <w:rFonts w:ascii="Times New Roman" w:eastAsia="Calibri" w:hAnsi="Times New Roman" w:cs="Times New Roman"/>
          <w:bCs/>
          <w:sz w:val="24"/>
          <w:szCs w:val="24"/>
          <w:lang w:val="bg-BG"/>
        </w:rPr>
        <w:t xml:space="preserve">сонари, </w:t>
      </w:r>
      <w:r w:rsidRPr="00610B1B">
        <w:rPr>
          <w:rFonts w:ascii="Times New Roman" w:eastAsia="Calibri" w:hAnsi="Times New Roman" w:cs="Times New Roman"/>
          <w:bCs/>
          <w:sz w:val="24"/>
          <w:szCs w:val="24"/>
          <w:lang w:val="bg-BG"/>
        </w:rPr>
        <w:t xml:space="preserve">магнитометри, батиметри и др. ГИС платформи позволяват определяне на триизмерните координати на обектите и включването им в световна координатна мрежа. </w:t>
      </w:r>
      <w:r w:rsidR="004901F6" w:rsidRPr="00610B1B">
        <w:rPr>
          <w:rFonts w:ascii="Times New Roman" w:eastAsia="Calibri" w:hAnsi="Times New Roman" w:cs="Times New Roman"/>
          <w:bCs/>
          <w:sz w:val="24"/>
          <w:szCs w:val="24"/>
          <w:lang w:val="bg-BG"/>
        </w:rPr>
        <w:t>Развитието на те</w:t>
      </w:r>
      <w:r w:rsidRPr="00610B1B">
        <w:rPr>
          <w:rFonts w:ascii="Times New Roman" w:eastAsia="Calibri" w:hAnsi="Times New Roman" w:cs="Times New Roman"/>
          <w:bCs/>
          <w:sz w:val="24"/>
          <w:szCs w:val="24"/>
          <w:lang w:val="bg-BG"/>
        </w:rPr>
        <w:t xml:space="preserve">хнологията </w:t>
      </w:r>
      <w:r w:rsidR="004901F6" w:rsidRPr="00610B1B">
        <w:rPr>
          <w:rFonts w:ascii="Times New Roman" w:eastAsia="Calibri" w:hAnsi="Times New Roman" w:cs="Times New Roman"/>
          <w:bCs/>
          <w:sz w:val="24"/>
          <w:szCs w:val="24"/>
          <w:lang w:val="bg-BG"/>
        </w:rPr>
        <w:t>дава</w:t>
      </w:r>
      <w:r w:rsidRPr="00610B1B">
        <w:rPr>
          <w:rFonts w:ascii="Times New Roman" w:eastAsia="Calibri" w:hAnsi="Times New Roman" w:cs="Times New Roman"/>
          <w:bCs/>
          <w:sz w:val="24"/>
          <w:szCs w:val="24"/>
          <w:lang w:val="bg-BG"/>
        </w:rPr>
        <w:t xml:space="preserve"> по-точни изображения и „разрези“ на обектите. Все по-често се използват дистанционно управляеми подводни апарати.</w:t>
      </w:r>
    </w:p>
    <w:p w14:paraId="23E7C2BE" w14:textId="5973359A"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i/>
          <w:sz w:val="24"/>
          <w:szCs w:val="24"/>
          <w:lang w:val="bg-BG"/>
        </w:rPr>
        <w:t>Морски изследвания</w:t>
      </w:r>
      <w:r w:rsidRPr="00610B1B">
        <w:rPr>
          <w:rFonts w:ascii="Times New Roman" w:eastAsia="Calibri" w:hAnsi="Times New Roman" w:cs="Times New Roman"/>
          <w:bCs/>
          <w:sz w:val="24"/>
          <w:szCs w:val="24"/>
          <w:lang w:val="bg-BG"/>
        </w:rPr>
        <w:t>: прилаганите модерни системи</w:t>
      </w:r>
      <w:r w:rsidRPr="00610B1B">
        <w:rPr>
          <w:rFonts w:ascii="Times New Roman" w:eastAsia="Calibri" w:hAnsi="Times New Roman" w:cs="Times New Roman"/>
          <w:bCs/>
          <w:sz w:val="24"/>
          <w:szCs w:val="24"/>
          <w:vertAlign w:val="superscript"/>
          <w:lang w:val="bg-BG"/>
        </w:rPr>
        <w:footnoteReference w:id="152"/>
      </w:r>
      <w:r w:rsidRPr="00610B1B">
        <w:rPr>
          <w:rFonts w:ascii="Times New Roman" w:eastAsia="Calibri" w:hAnsi="Times New Roman" w:cs="Times New Roman"/>
          <w:bCs/>
          <w:sz w:val="24"/>
          <w:szCs w:val="24"/>
          <w:lang w:val="bg-BG"/>
        </w:rPr>
        <w:t xml:space="preserve"> за наблюдение в морето събират важна информация</w:t>
      </w:r>
      <w:r w:rsidR="006C1B95"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за прогнози</w:t>
      </w:r>
      <w:r w:rsidR="006C1B95" w:rsidRPr="00610B1B">
        <w:rPr>
          <w:rFonts w:ascii="Times New Roman" w:eastAsia="Calibri" w:hAnsi="Times New Roman" w:cs="Times New Roman"/>
          <w:bCs/>
          <w:sz w:val="24"/>
          <w:szCs w:val="24"/>
          <w:lang w:val="bg-BG"/>
        </w:rPr>
        <w:t>ране</w:t>
      </w:r>
      <w:r w:rsidRPr="00610B1B">
        <w:rPr>
          <w:rFonts w:ascii="Times New Roman" w:eastAsia="Calibri" w:hAnsi="Times New Roman" w:cs="Times New Roman"/>
          <w:bCs/>
          <w:sz w:val="24"/>
          <w:szCs w:val="24"/>
          <w:lang w:val="bg-BG"/>
        </w:rPr>
        <w:t xml:space="preserve"> на метеорологичните и морски условия, за </w:t>
      </w:r>
      <w:r w:rsidRPr="00610B1B">
        <w:rPr>
          <w:rFonts w:ascii="Times New Roman" w:eastAsia="Calibri" w:hAnsi="Times New Roman" w:cs="Times New Roman"/>
          <w:bCs/>
          <w:sz w:val="24"/>
          <w:szCs w:val="24"/>
          <w:lang w:val="bg-BG"/>
        </w:rPr>
        <w:lastRenderedPageBreak/>
        <w:t>замърсяването на морето, за климатичните промени, природните ресурси, промените в морските течения, морските организми и др.</w:t>
      </w:r>
    </w:p>
    <w:p w14:paraId="0D26BC9B" w14:textId="0C1560CD"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i/>
          <w:sz w:val="24"/>
          <w:szCs w:val="24"/>
          <w:lang w:val="bg-BG"/>
        </w:rPr>
        <w:t>Проучване и добив</w:t>
      </w:r>
      <w:r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i/>
          <w:sz w:val="24"/>
          <w:szCs w:val="24"/>
          <w:lang w:val="bg-BG"/>
        </w:rPr>
        <w:t>на нефт и газ</w:t>
      </w:r>
      <w:r w:rsidRPr="00610B1B">
        <w:rPr>
          <w:rFonts w:ascii="Times New Roman" w:eastAsia="Calibri" w:hAnsi="Times New Roman" w:cs="Times New Roman"/>
          <w:bCs/>
          <w:sz w:val="24"/>
          <w:szCs w:val="24"/>
          <w:lang w:val="bg-BG"/>
        </w:rPr>
        <w:t>: използват се сеизмични данни за създаване на триизмерни изображения във виртуална реалност. В България се ползват чужди компании за търсене и добив в морето. Те имат редица програми за иновации</w:t>
      </w:r>
      <w:r w:rsidR="00D4500D" w:rsidRPr="00610B1B">
        <w:rPr>
          <w:rFonts w:ascii="Times New Roman" w:eastAsia="Calibri" w:hAnsi="Times New Roman" w:cs="Times New Roman"/>
          <w:bCs/>
          <w:sz w:val="24"/>
          <w:szCs w:val="24"/>
          <w:lang w:val="bg-BG"/>
        </w:rPr>
        <w:t xml:space="preserve"> и</w:t>
      </w:r>
      <w:r w:rsidRPr="00610B1B">
        <w:rPr>
          <w:rFonts w:ascii="Times New Roman" w:eastAsia="Calibri" w:hAnsi="Times New Roman" w:cs="Times New Roman"/>
          <w:bCs/>
          <w:sz w:val="24"/>
          <w:szCs w:val="24"/>
          <w:lang w:val="bg-BG"/>
        </w:rPr>
        <w:t xml:space="preserve"> партньорства с правителства, академични общности и иноватори.</w:t>
      </w:r>
    </w:p>
    <w:p w14:paraId="221E4806" w14:textId="1C2EE7B7"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i/>
          <w:sz w:val="24"/>
          <w:szCs w:val="24"/>
          <w:lang w:val="bg-BG"/>
        </w:rPr>
        <w:t>Риболов:</w:t>
      </w:r>
      <w:r w:rsidRPr="00610B1B">
        <w:rPr>
          <w:rFonts w:ascii="Times New Roman" w:eastAsia="Calibri" w:hAnsi="Times New Roman" w:cs="Times New Roman"/>
          <w:bCs/>
          <w:sz w:val="24"/>
          <w:szCs w:val="24"/>
          <w:lang w:val="bg-BG"/>
        </w:rPr>
        <w:t xml:space="preserve"> технологичното развитие в риболова доведе до широкото използване на синтетични влакна, хидравлично оборудване за съоръжения и обработка на риба, електроника за намиране на риба, сателитна технология за навигация и комуникации. Новите технологии са по-ефективни и ефикасни, намаляват необходимия физически труд за единица продукция, улесняват достъпа до рибните ресурси, но увеличават риска от тяхната прекомерна експлоатация.</w:t>
      </w:r>
    </w:p>
    <w:p w14:paraId="7EBDCD1E" w14:textId="755F050C"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i/>
          <w:sz w:val="24"/>
          <w:szCs w:val="24"/>
          <w:lang w:val="bg-BG"/>
        </w:rPr>
        <w:t>Подводна инфраструктура</w:t>
      </w:r>
      <w:r w:rsidRPr="00610B1B">
        <w:rPr>
          <w:rFonts w:ascii="Times New Roman" w:eastAsia="Calibri" w:hAnsi="Times New Roman" w:cs="Times New Roman"/>
          <w:bCs/>
          <w:sz w:val="24"/>
          <w:szCs w:val="24"/>
          <w:lang w:val="bg-BG"/>
        </w:rPr>
        <w:t>: подводните кабели имат предимства пред сателитите от гледна точка на надеждността, скоростта на сигнала, капацитета и цената. Въпреки голямата дължина, въздействието и</w:t>
      </w:r>
      <w:r w:rsidR="00512B41" w:rsidRPr="00610B1B">
        <w:rPr>
          <w:rFonts w:ascii="Times New Roman" w:eastAsia="Calibri" w:hAnsi="Times New Roman" w:cs="Times New Roman"/>
          <w:bCs/>
          <w:sz w:val="24"/>
          <w:szCs w:val="24"/>
          <w:lang w:val="bg-BG"/>
        </w:rPr>
        <w:t>м върху морската среда е незначително.</w:t>
      </w:r>
      <w:r w:rsidR="00D66FE0" w:rsidRPr="00610B1B">
        <w:rPr>
          <w:rFonts w:ascii="Times New Roman" w:eastAsia="Calibri" w:hAnsi="Times New Roman" w:cs="Times New Roman"/>
          <w:bCs/>
          <w:sz w:val="24"/>
          <w:szCs w:val="24"/>
          <w:lang w:val="bg-BG"/>
        </w:rPr>
        <w:t xml:space="preserve"> </w:t>
      </w:r>
    </w:p>
    <w:p w14:paraId="5272E7EA" w14:textId="528403CD"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i/>
          <w:sz w:val="24"/>
          <w:szCs w:val="24"/>
          <w:lang w:val="bg-BG"/>
        </w:rPr>
        <w:t>Отбрана</w:t>
      </w:r>
      <w:r w:rsidRPr="00610B1B">
        <w:rPr>
          <w:rFonts w:ascii="Times New Roman" w:eastAsia="Calibri" w:hAnsi="Times New Roman" w:cs="Times New Roman"/>
          <w:bCs/>
          <w:sz w:val="24"/>
          <w:szCs w:val="24"/>
          <w:lang w:val="bg-BG"/>
        </w:rPr>
        <w:t xml:space="preserve">: членството в НАТО е определящ фактор за развитие. Според </w:t>
      </w:r>
      <w:r w:rsidR="00BB78A1" w:rsidRPr="00610B1B">
        <w:rPr>
          <w:rFonts w:ascii="Times New Roman" w:eastAsia="Calibri" w:hAnsi="Times New Roman" w:cs="Times New Roman"/>
          <w:bCs/>
          <w:sz w:val="24"/>
          <w:szCs w:val="24"/>
          <w:lang w:val="bg-BG"/>
        </w:rPr>
        <w:t>Северноатлантическия</w:t>
      </w:r>
      <w:r w:rsidRPr="00610B1B">
        <w:rPr>
          <w:rFonts w:ascii="Times New Roman" w:eastAsia="Calibri" w:hAnsi="Times New Roman" w:cs="Times New Roman"/>
          <w:bCs/>
          <w:sz w:val="24"/>
          <w:szCs w:val="24"/>
          <w:lang w:val="bg-BG"/>
        </w:rPr>
        <w:t xml:space="preserve"> договор, страните-членки се задължават „да поддържат и развиват своите индивидуални и колективни способности да се противопоставят на въоръжено нападение“.</w:t>
      </w:r>
      <w:r w:rsidR="00512B41" w:rsidRPr="00610B1B">
        <w:rPr>
          <w:rFonts w:ascii="Times New Roman" w:eastAsia="Calibri" w:hAnsi="Times New Roman" w:cs="Times New Roman"/>
          <w:bCs/>
          <w:sz w:val="24"/>
          <w:szCs w:val="24"/>
          <w:lang w:val="bg-BG"/>
        </w:rPr>
        <w:t xml:space="preserve"> В тази сфера се разкриват огромни възможности за модерните технологии.</w:t>
      </w:r>
    </w:p>
    <w:p w14:paraId="1D37EB21" w14:textId="43161A1C"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i/>
          <w:sz w:val="24"/>
          <w:szCs w:val="24"/>
          <w:lang w:val="bg-BG"/>
        </w:rPr>
        <w:t>Планиране и управление на морското пространство</w:t>
      </w:r>
      <w:r w:rsidRPr="00610B1B">
        <w:rPr>
          <w:rFonts w:ascii="Times New Roman" w:eastAsia="Calibri" w:hAnsi="Times New Roman" w:cs="Times New Roman"/>
          <w:bCs/>
          <w:sz w:val="24"/>
          <w:szCs w:val="24"/>
          <w:lang w:val="bg-BG"/>
        </w:rPr>
        <w:t xml:space="preserve">: Директива 2014/89/ЕС за установяване на рамка за морско пространствено планиране дефинира своеобразна технология на планиране и управление на морското пространство, базирана на координиран, интегриран и трансграничен подход, съчетан с екосистемния подход и обвързан с взаимодействията земя-море. Съгласно Доклад за </w:t>
      </w:r>
      <w:r w:rsidR="006C1B95" w:rsidRPr="00610B1B">
        <w:rPr>
          <w:rFonts w:ascii="Times New Roman" w:eastAsia="Calibri" w:hAnsi="Times New Roman" w:cs="Times New Roman"/>
          <w:bCs/>
          <w:sz w:val="24"/>
          <w:szCs w:val="24"/>
          <w:lang w:val="bg-BG"/>
        </w:rPr>
        <w:t xml:space="preserve">Европейската </w:t>
      </w:r>
      <w:r w:rsidRPr="00610B1B">
        <w:rPr>
          <w:rFonts w:ascii="Times New Roman" w:eastAsia="Calibri" w:hAnsi="Times New Roman" w:cs="Times New Roman"/>
          <w:bCs/>
          <w:sz w:val="24"/>
          <w:szCs w:val="24"/>
          <w:lang w:val="bg-BG"/>
        </w:rPr>
        <w:t xml:space="preserve">синя икономика </w:t>
      </w:r>
      <w:r w:rsidR="006C1B95" w:rsidRPr="00610B1B">
        <w:rPr>
          <w:rFonts w:ascii="Times New Roman" w:eastAsia="Calibri" w:hAnsi="Times New Roman" w:cs="Times New Roman"/>
          <w:bCs/>
          <w:sz w:val="24"/>
          <w:szCs w:val="24"/>
          <w:lang w:val="bg-BG"/>
        </w:rPr>
        <w:t>2020</w:t>
      </w:r>
      <w:r w:rsidR="006C1B95" w:rsidRPr="00610B1B">
        <w:rPr>
          <w:rStyle w:val="FootnoteReference"/>
          <w:rFonts w:ascii="Times New Roman" w:eastAsia="Calibri" w:hAnsi="Times New Roman" w:cs="Times New Roman"/>
          <w:bCs/>
          <w:sz w:val="24"/>
          <w:szCs w:val="24"/>
          <w:lang w:val="bg-BG"/>
        </w:rPr>
        <w:footnoteReference w:id="153"/>
      </w:r>
      <w:r w:rsidRPr="00610B1B">
        <w:rPr>
          <w:rFonts w:ascii="Times New Roman" w:eastAsia="Calibri" w:hAnsi="Times New Roman" w:cs="Times New Roman"/>
          <w:bCs/>
          <w:sz w:val="24"/>
          <w:szCs w:val="24"/>
          <w:lang w:val="bg-BG"/>
        </w:rPr>
        <w:t>, морското пространствено планиране има положително въздействие в редица морски сектори.</w:t>
      </w:r>
      <w:r w:rsidR="00512B41" w:rsidRPr="00610B1B">
        <w:rPr>
          <w:rFonts w:ascii="Times New Roman" w:eastAsia="Calibri" w:hAnsi="Times New Roman" w:cs="Times New Roman"/>
          <w:bCs/>
          <w:sz w:val="24"/>
          <w:szCs w:val="24"/>
          <w:lang w:val="bg-BG"/>
        </w:rPr>
        <w:t xml:space="preserve"> Именно модерните технологии за изследване и прогнозиране трябва да подпомогн</w:t>
      </w:r>
      <w:r w:rsidR="00D4500D" w:rsidRPr="00610B1B">
        <w:rPr>
          <w:rFonts w:ascii="Times New Roman" w:eastAsia="Calibri" w:hAnsi="Times New Roman" w:cs="Times New Roman"/>
          <w:bCs/>
          <w:sz w:val="24"/>
          <w:szCs w:val="24"/>
          <w:lang w:val="bg-BG"/>
        </w:rPr>
        <w:t>ат</w:t>
      </w:r>
      <w:r w:rsidR="00512B41" w:rsidRPr="00610B1B">
        <w:rPr>
          <w:rFonts w:ascii="Times New Roman" w:eastAsia="Calibri" w:hAnsi="Times New Roman" w:cs="Times New Roman"/>
          <w:bCs/>
          <w:sz w:val="24"/>
          <w:szCs w:val="24"/>
          <w:lang w:val="bg-BG"/>
        </w:rPr>
        <w:t xml:space="preserve"> постигането на главната цел на морското пространствено планиране – да се интегрират информация, идеи и институции и да се подпомогне междуинституционалната координация.</w:t>
      </w:r>
    </w:p>
    <w:p w14:paraId="054412C7" w14:textId="45D1CF55"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На фона на градивните въздействия на новите технологии, злоупотребата с тях или недостатъчният ресурс за усвояването им могат да имат обратни въздействия. Типичен пример за злоупотреба с технологии са иманярите, включително на подводна археология. Друг проблемен аспект е хроничният недостиг на висококвалифицирана работна ръка, водещ до забавено внедряване и ограничено ползване на авангардните технологии. Натрупването на голям обем разнопосочна информация при отсъствие на стандарти за качество и обработка вод</w:t>
      </w:r>
      <w:r w:rsidR="009E1CCA" w:rsidRPr="00610B1B">
        <w:rPr>
          <w:rFonts w:ascii="Times New Roman" w:eastAsia="Calibri" w:hAnsi="Times New Roman" w:cs="Times New Roman"/>
          <w:bCs/>
          <w:sz w:val="24"/>
          <w:szCs w:val="24"/>
          <w:lang w:val="bg-BG"/>
        </w:rPr>
        <w:t>и</w:t>
      </w:r>
      <w:r w:rsidRPr="00610B1B">
        <w:rPr>
          <w:rFonts w:ascii="Times New Roman" w:eastAsia="Calibri" w:hAnsi="Times New Roman" w:cs="Times New Roman"/>
          <w:bCs/>
          <w:sz w:val="24"/>
          <w:szCs w:val="24"/>
          <w:lang w:val="bg-BG"/>
        </w:rPr>
        <w:t xml:space="preserve"> до „информационен хаос”, </w:t>
      </w:r>
      <w:r w:rsidR="00BB78A1" w:rsidRPr="00610B1B">
        <w:rPr>
          <w:rFonts w:ascii="Times New Roman" w:eastAsia="Calibri" w:hAnsi="Times New Roman" w:cs="Times New Roman"/>
          <w:bCs/>
          <w:sz w:val="24"/>
          <w:szCs w:val="24"/>
          <w:lang w:val="bg-BG"/>
        </w:rPr>
        <w:t>обезсмислящ</w:t>
      </w:r>
      <w:r w:rsidRPr="00610B1B">
        <w:rPr>
          <w:rFonts w:ascii="Times New Roman" w:eastAsia="Calibri" w:hAnsi="Times New Roman" w:cs="Times New Roman"/>
          <w:bCs/>
          <w:sz w:val="24"/>
          <w:szCs w:val="24"/>
          <w:lang w:val="bg-BG"/>
        </w:rPr>
        <w:t xml:space="preserve"> вложените ресурси за това. </w:t>
      </w:r>
      <w:r w:rsidR="00AB0916" w:rsidRPr="00610B1B">
        <w:rPr>
          <w:rFonts w:ascii="Times New Roman" w:eastAsia="Calibri" w:hAnsi="Times New Roman" w:cs="Times New Roman"/>
          <w:bCs/>
          <w:sz w:val="24"/>
          <w:szCs w:val="24"/>
          <w:lang w:val="bg-BG"/>
        </w:rPr>
        <w:t xml:space="preserve">Именно поради това една от важните задачи на новите технологии в морското </w:t>
      </w:r>
      <w:r w:rsidR="00AB0916" w:rsidRPr="00610B1B">
        <w:rPr>
          <w:rFonts w:ascii="Times New Roman" w:eastAsia="Calibri" w:hAnsi="Times New Roman" w:cs="Times New Roman"/>
          <w:bCs/>
          <w:sz w:val="24"/>
          <w:szCs w:val="24"/>
          <w:lang w:val="bg-BG"/>
        </w:rPr>
        <w:lastRenderedPageBreak/>
        <w:t xml:space="preserve">пространствено планиране </w:t>
      </w:r>
      <w:r w:rsidR="00B267B4" w:rsidRPr="00610B1B">
        <w:rPr>
          <w:rFonts w:ascii="Times New Roman" w:eastAsia="Calibri" w:hAnsi="Times New Roman" w:cs="Times New Roman"/>
          <w:bCs/>
          <w:sz w:val="24"/>
          <w:szCs w:val="24"/>
          <w:lang w:val="bg-BG"/>
        </w:rPr>
        <w:t>e</w:t>
      </w:r>
      <w:r w:rsidR="00AB0916" w:rsidRPr="00610B1B">
        <w:rPr>
          <w:rFonts w:ascii="Times New Roman" w:eastAsia="Calibri" w:hAnsi="Times New Roman" w:cs="Times New Roman"/>
          <w:bCs/>
          <w:sz w:val="24"/>
          <w:szCs w:val="24"/>
          <w:lang w:val="bg-BG"/>
        </w:rPr>
        <w:t xml:space="preserve"> да се осигури самия процес на събиране и поддържане на данните в добре организирана и управлявана единна информационна система. </w:t>
      </w:r>
    </w:p>
    <w:p w14:paraId="7C00E981" w14:textId="2A643714" w:rsidR="001D5354"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
          <w:i/>
          <w:iCs/>
          <w:sz w:val="24"/>
          <w:szCs w:val="24"/>
          <w:lang w:val="bg-BG"/>
        </w:rPr>
        <w:t>Екологичните фактори</w:t>
      </w:r>
      <w:r w:rsidRPr="00610B1B">
        <w:rPr>
          <w:rFonts w:ascii="Times New Roman" w:eastAsia="Calibri" w:hAnsi="Times New Roman" w:cs="Times New Roman"/>
          <w:bCs/>
          <w:sz w:val="24"/>
          <w:szCs w:val="24"/>
          <w:lang w:val="bg-BG"/>
        </w:rPr>
        <w:t xml:space="preserve"> ще окажат въздействие върху развитието, опазването и устройството на морск</w:t>
      </w:r>
      <w:r w:rsidR="0075098D" w:rsidRPr="00610B1B">
        <w:rPr>
          <w:rFonts w:ascii="Times New Roman" w:eastAsia="Calibri" w:hAnsi="Times New Roman" w:cs="Times New Roman"/>
          <w:bCs/>
          <w:sz w:val="24"/>
          <w:szCs w:val="24"/>
          <w:lang w:val="bg-BG"/>
        </w:rPr>
        <w:t>и</w:t>
      </w:r>
      <w:r w:rsidRPr="00610B1B">
        <w:rPr>
          <w:rFonts w:ascii="Times New Roman" w:eastAsia="Calibri" w:hAnsi="Times New Roman" w:cs="Times New Roman"/>
          <w:bCs/>
          <w:sz w:val="24"/>
          <w:szCs w:val="24"/>
          <w:lang w:val="bg-BG"/>
        </w:rPr>
        <w:t>т</w:t>
      </w:r>
      <w:r w:rsidR="0075098D" w:rsidRPr="00610B1B">
        <w:rPr>
          <w:rFonts w:ascii="Times New Roman" w:eastAsia="Calibri" w:hAnsi="Times New Roman" w:cs="Times New Roman"/>
          <w:bCs/>
          <w:sz w:val="24"/>
          <w:szCs w:val="24"/>
          <w:lang w:val="bg-BG"/>
        </w:rPr>
        <w:t>е</w:t>
      </w:r>
      <w:r w:rsidRPr="00610B1B">
        <w:rPr>
          <w:rFonts w:ascii="Times New Roman" w:eastAsia="Calibri" w:hAnsi="Times New Roman" w:cs="Times New Roman"/>
          <w:bCs/>
          <w:sz w:val="24"/>
          <w:szCs w:val="24"/>
          <w:lang w:val="bg-BG"/>
        </w:rPr>
        <w:t xml:space="preserve"> пространств</w:t>
      </w:r>
      <w:r w:rsidR="0075098D" w:rsidRPr="00610B1B">
        <w:rPr>
          <w:rFonts w:ascii="Times New Roman" w:eastAsia="Calibri" w:hAnsi="Times New Roman" w:cs="Times New Roman"/>
          <w:bCs/>
          <w:sz w:val="24"/>
          <w:szCs w:val="24"/>
          <w:lang w:val="bg-BG"/>
        </w:rPr>
        <w:t>а</w:t>
      </w:r>
      <w:r w:rsidRPr="00610B1B">
        <w:rPr>
          <w:rFonts w:ascii="Times New Roman" w:eastAsia="Calibri" w:hAnsi="Times New Roman" w:cs="Times New Roman"/>
          <w:bCs/>
          <w:sz w:val="24"/>
          <w:szCs w:val="24"/>
          <w:lang w:val="bg-BG"/>
        </w:rPr>
        <w:t xml:space="preserve"> най-вече с очакваните изменения в климата. За оценка на тези въздействия са използвани допусканията и прогнозите на Междуправителствения панел за климатични промени (IPCC), на отдела за Климатични промени на Института по околна среда и устойчиво развитие на Европейската комисия и Изследователския център (JRC), резултатите от наблюденията и изследванията на Института по метеорология и хидрология </w:t>
      </w:r>
      <w:r w:rsidR="00B267B4" w:rsidRPr="00610B1B">
        <w:rPr>
          <w:rFonts w:ascii="Times New Roman" w:eastAsia="Calibri" w:hAnsi="Times New Roman" w:cs="Times New Roman"/>
          <w:bCs/>
          <w:sz w:val="24"/>
          <w:szCs w:val="24"/>
          <w:lang w:val="bg-BG"/>
        </w:rPr>
        <w:t>на</w:t>
      </w:r>
      <w:r w:rsidRPr="00610B1B">
        <w:rPr>
          <w:rFonts w:ascii="Times New Roman" w:eastAsia="Calibri" w:hAnsi="Times New Roman" w:cs="Times New Roman"/>
          <w:bCs/>
          <w:sz w:val="24"/>
          <w:szCs w:val="24"/>
          <w:lang w:val="bg-BG"/>
        </w:rPr>
        <w:t xml:space="preserve"> БАН.</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 xml:space="preserve">Допълнително за прогнозиране на промените в състоянието на морската среда и биоразнообразието са използвани резултатите от ежегодните мониторингови доклади на БДЧР </w:t>
      </w:r>
      <w:r w:rsidR="00C40FFC" w:rsidRPr="00610B1B">
        <w:rPr>
          <w:rFonts w:ascii="Times New Roman" w:eastAsia="Calibri" w:hAnsi="Times New Roman" w:cs="Times New Roman"/>
          <w:bCs/>
          <w:sz w:val="24"/>
          <w:szCs w:val="24"/>
          <w:lang w:val="bg-BG"/>
        </w:rPr>
        <w:t>и</w:t>
      </w:r>
      <w:r w:rsidRPr="00610B1B">
        <w:rPr>
          <w:rFonts w:ascii="Times New Roman" w:eastAsia="Calibri" w:hAnsi="Times New Roman" w:cs="Times New Roman"/>
          <w:bCs/>
          <w:sz w:val="24"/>
          <w:szCs w:val="24"/>
          <w:lang w:val="bg-BG"/>
        </w:rPr>
        <w:t xml:space="preserve"> Института по Океанология при БАН във връзка с Националната морска стратегия на </w:t>
      </w:r>
      <w:r w:rsidR="00B267B4" w:rsidRPr="00610B1B">
        <w:rPr>
          <w:rFonts w:ascii="Times New Roman" w:eastAsia="Calibri" w:hAnsi="Times New Roman" w:cs="Times New Roman"/>
          <w:bCs/>
          <w:sz w:val="24"/>
          <w:szCs w:val="24"/>
          <w:lang w:val="bg-BG"/>
        </w:rPr>
        <w:t xml:space="preserve">Република </w:t>
      </w:r>
      <w:r w:rsidRPr="00610B1B">
        <w:rPr>
          <w:rFonts w:ascii="Times New Roman" w:eastAsia="Calibri" w:hAnsi="Times New Roman" w:cs="Times New Roman"/>
          <w:bCs/>
          <w:sz w:val="24"/>
          <w:szCs w:val="24"/>
          <w:lang w:val="bg-BG"/>
        </w:rPr>
        <w:t>България.</w:t>
      </w:r>
      <w:r w:rsidR="001D5354" w:rsidRPr="00610B1B">
        <w:rPr>
          <w:rFonts w:ascii="Times New Roman" w:eastAsia="Calibri" w:hAnsi="Times New Roman" w:cs="Times New Roman"/>
          <w:bCs/>
          <w:sz w:val="24"/>
          <w:szCs w:val="24"/>
          <w:lang w:val="bg-BG"/>
        </w:rPr>
        <w:t xml:space="preserve"> </w:t>
      </w:r>
    </w:p>
    <w:p w14:paraId="67812379" w14:textId="1758CCBC" w:rsidR="009E1CCA" w:rsidRPr="00610B1B" w:rsidRDefault="001D5354"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Свързани с екологичните фактори, които ще окажат въздействие върху планирането, използването и</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 xml:space="preserve">опазването на морските пространства са биологичното разнообразие, от съхранението на което зависи цялата верига от взаимодействия в морето, спазването на екологичните стандарти и завишените изисквания към всички дейности в Черно море, от които зависи чистотата на водите и опазването на добрия статус на морската околна среда. </w:t>
      </w:r>
    </w:p>
    <w:p w14:paraId="1DD9EA6D" w14:textId="44AB4C0D" w:rsidR="00442579" w:rsidRPr="00610B1B" w:rsidRDefault="001D5354"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Прогнозирането на</w:t>
      </w:r>
      <w:r w:rsidR="00442579" w:rsidRPr="00610B1B">
        <w:rPr>
          <w:rFonts w:ascii="Times New Roman" w:eastAsia="Calibri" w:hAnsi="Times New Roman" w:cs="Times New Roman"/>
          <w:bCs/>
          <w:sz w:val="24"/>
          <w:szCs w:val="24"/>
          <w:lang w:val="bg-BG"/>
        </w:rPr>
        <w:t xml:space="preserve"> съвместим</w:t>
      </w:r>
      <w:r w:rsidRPr="00610B1B">
        <w:rPr>
          <w:rFonts w:ascii="Times New Roman" w:eastAsia="Calibri" w:hAnsi="Times New Roman" w:cs="Times New Roman"/>
          <w:bCs/>
          <w:sz w:val="24"/>
          <w:szCs w:val="24"/>
          <w:lang w:val="bg-BG"/>
        </w:rPr>
        <w:t xml:space="preserve">ата </w:t>
      </w:r>
      <w:r w:rsidR="00442579" w:rsidRPr="00610B1B">
        <w:rPr>
          <w:rFonts w:ascii="Times New Roman" w:eastAsia="Calibri" w:hAnsi="Times New Roman" w:cs="Times New Roman"/>
          <w:bCs/>
          <w:sz w:val="24"/>
          <w:szCs w:val="24"/>
          <w:lang w:val="bg-BG"/>
        </w:rPr>
        <w:t>икономическа активност с природозащитните дейности в морските пространства използва</w:t>
      </w:r>
      <w:r w:rsidRPr="00610B1B">
        <w:rPr>
          <w:rFonts w:ascii="Times New Roman" w:eastAsia="Calibri" w:hAnsi="Times New Roman" w:cs="Times New Roman"/>
          <w:bCs/>
          <w:sz w:val="24"/>
          <w:szCs w:val="24"/>
          <w:lang w:val="bg-BG"/>
        </w:rPr>
        <w:t xml:space="preserve"> екосистем</w:t>
      </w:r>
      <w:r w:rsidR="00442579" w:rsidRPr="00610B1B">
        <w:rPr>
          <w:rFonts w:ascii="Times New Roman" w:eastAsia="Calibri" w:hAnsi="Times New Roman" w:cs="Times New Roman"/>
          <w:bCs/>
          <w:sz w:val="24"/>
          <w:szCs w:val="24"/>
          <w:lang w:val="bg-BG"/>
        </w:rPr>
        <w:t>н</w:t>
      </w:r>
      <w:r w:rsidRPr="00610B1B">
        <w:rPr>
          <w:rFonts w:ascii="Times New Roman" w:eastAsia="Calibri" w:hAnsi="Times New Roman" w:cs="Times New Roman"/>
          <w:bCs/>
          <w:sz w:val="24"/>
          <w:szCs w:val="24"/>
          <w:lang w:val="bg-BG"/>
        </w:rPr>
        <w:t>ия</w:t>
      </w:r>
      <w:r w:rsidR="00442579" w:rsidRPr="00610B1B">
        <w:rPr>
          <w:rFonts w:ascii="Times New Roman" w:eastAsia="Calibri" w:hAnsi="Times New Roman" w:cs="Times New Roman"/>
          <w:bCs/>
          <w:sz w:val="24"/>
          <w:szCs w:val="24"/>
          <w:lang w:val="bg-BG"/>
        </w:rPr>
        <w:t xml:space="preserve"> подход, основан на модела DPSIR (Driver-Pressure-State-Impact-Response/Дейност-Натиск-Състояние-Въздействие</w:t>
      </w:r>
      <w:r w:rsidR="00D57899" w:rsidRPr="00610B1B">
        <w:rPr>
          <w:rFonts w:ascii="Times New Roman" w:eastAsia="Calibri" w:hAnsi="Times New Roman" w:cs="Times New Roman"/>
          <w:bCs/>
          <w:sz w:val="24"/>
          <w:szCs w:val="24"/>
          <w:lang w:val="bg-BG"/>
        </w:rPr>
        <w:t>-Р</w:t>
      </w:r>
      <w:r w:rsidR="00442579" w:rsidRPr="00610B1B">
        <w:rPr>
          <w:rFonts w:ascii="Times New Roman" w:eastAsia="Calibri" w:hAnsi="Times New Roman" w:cs="Times New Roman"/>
          <w:bCs/>
          <w:sz w:val="24"/>
          <w:szCs w:val="24"/>
          <w:lang w:val="bg-BG"/>
        </w:rPr>
        <w:t>еакция)</w:t>
      </w:r>
      <w:r w:rsidRPr="00610B1B">
        <w:rPr>
          <w:rStyle w:val="FootnoteReference"/>
          <w:rFonts w:ascii="Times New Roman" w:eastAsia="Calibri" w:hAnsi="Times New Roman" w:cs="Times New Roman"/>
          <w:bCs/>
          <w:sz w:val="24"/>
          <w:szCs w:val="24"/>
          <w:lang w:val="bg-BG"/>
        </w:rPr>
        <w:footnoteReference w:id="154"/>
      </w:r>
      <w:r w:rsidR="00442579" w:rsidRPr="00610B1B">
        <w:rPr>
          <w:rFonts w:ascii="Times New Roman" w:eastAsia="Calibri" w:hAnsi="Times New Roman" w:cs="Times New Roman"/>
          <w:bCs/>
          <w:sz w:val="24"/>
          <w:szCs w:val="24"/>
          <w:lang w:val="bg-BG"/>
        </w:rPr>
        <w:t xml:space="preserve">, прилаган от Европейската агенция по околна среда от средата на 1990-те години, включително и за интегрирано управление на крайбрежни зони. </w:t>
      </w:r>
    </w:p>
    <w:p w14:paraId="4C0320A7" w14:textId="3CDE8FCB"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
          <w:i/>
          <w:iCs/>
          <w:sz w:val="24"/>
          <w:szCs w:val="24"/>
          <w:lang w:val="bg-BG"/>
        </w:rPr>
        <w:t>Урбанистичните фактори</w:t>
      </w:r>
      <w:r w:rsidRPr="00610B1B">
        <w:rPr>
          <w:rFonts w:ascii="Times New Roman" w:eastAsia="Calibri" w:hAnsi="Times New Roman" w:cs="Times New Roman"/>
          <w:bCs/>
          <w:sz w:val="24"/>
          <w:szCs w:val="24"/>
          <w:lang w:val="bg-BG"/>
        </w:rPr>
        <w:t xml:space="preserve"> </w:t>
      </w:r>
      <w:r w:rsidR="001D5354" w:rsidRPr="00610B1B">
        <w:rPr>
          <w:rFonts w:ascii="Times New Roman" w:eastAsia="Calibri" w:hAnsi="Times New Roman" w:cs="Times New Roman"/>
          <w:bCs/>
          <w:sz w:val="24"/>
          <w:szCs w:val="24"/>
          <w:lang w:val="bg-BG"/>
        </w:rPr>
        <w:t>отразяват</w:t>
      </w:r>
      <w:r w:rsidRPr="00610B1B">
        <w:rPr>
          <w:rFonts w:ascii="Times New Roman" w:eastAsia="Calibri" w:hAnsi="Times New Roman" w:cs="Times New Roman"/>
          <w:bCs/>
          <w:sz w:val="24"/>
          <w:szCs w:val="24"/>
          <w:lang w:val="bg-BG"/>
        </w:rPr>
        <w:t xml:space="preserve"> световните тенденции </w:t>
      </w:r>
      <w:r w:rsidR="001D5354" w:rsidRPr="00610B1B">
        <w:rPr>
          <w:rFonts w:ascii="Times New Roman" w:eastAsia="Calibri" w:hAnsi="Times New Roman" w:cs="Times New Roman"/>
          <w:bCs/>
          <w:sz w:val="24"/>
          <w:szCs w:val="24"/>
          <w:lang w:val="bg-BG"/>
        </w:rPr>
        <w:t>за увеличаване на населението в крайбрежните зони. П</w:t>
      </w:r>
      <w:r w:rsidRPr="00610B1B">
        <w:rPr>
          <w:rFonts w:ascii="Times New Roman" w:eastAsia="Calibri" w:hAnsi="Times New Roman" w:cs="Times New Roman"/>
          <w:bCs/>
          <w:sz w:val="24"/>
          <w:szCs w:val="24"/>
          <w:lang w:val="bg-BG"/>
        </w:rPr>
        <w:t xml:space="preserve">о данни </w:t>
      </w:r>
      <w:r w:rsidR="001D5354" w:rsidRPr="00610B1B">
        <w:rPr>
          <w:rFonts w:ascii="Times New Roman" w:eastAsia="Calibri" w:hAnsi="Times New Roman" w:cs="Times New Roman"/>
          <w:bCs/>
          <w:sz w:val="24"/>
          <w:szCs w:val="24"/>
          <w:lang w:val="bg-BG"/>
        </w:rPr>
        <w:t xml:space="preserve">на НСИ от </w:t>
      </w:r>
      <w:r w:rsidRPr="00610B1B">
        <w:rPr>
          <w:rFonts w:ascii="Times New Roman" w:eastAsia="Calibri" w:hAnsi="Times New Roman" w:cs="Times New Roman"/>
          <w:bCs/>
          <w:sz w:val="24"/>
          <w:szCs w:val="24"/>
          <w:lang w:val="bg-BG"/>
        </w:rPr>
        <w:t>края на 201</w:t>
      </w:r>
      <w:r w:rsidR="006F7055" w:rsidRPr="00610B1B">
        <w:rPr>
          <w:rFonts w:ascii="Times New Roman" w:eastAsia="Calibri" w:hAnsi="Times New Roman" w:cs="Times New Roman"/>
          <w:bCs/>
          <w:sz w:val="24"/>
          <w:szCs w:val="24"/>
          <w:lang w:val="bg-BG"/>
        </w:rPr>
        <w:t>9</w:t>
      </w:r>
      <w:r w:rsidRPr="00610B1B">
        <w:rPr>
          <w:rFonts w:ascii="Times New Roman" w:eastAsia="Calibri" w:hAnsi="Times New Roman" w:cs="Times New Roman"/>
          <w:bCs/>
          <w:sz w:val="24"/>
          <w:szCs w:val="24"/>
          <w:lang w:val="bg-BG"/>
        </w:rPr>
        <w:t xml:space="preserve"> г.</w:t>
      </w:r>
      <w:r w:rsidR="001D5354" w:rsidRPr="00610B1B">
        <w:rPr>
          <w:rFonts w:ascii="Times New Roman" w:eastAsia="Calibri" w:hAnsi="Times New Roman" w:cs="Times New Roman"/>
          <w:bCs/>
          <w:sz w:val="24"/>
          <w:szCs w:val="24"/>
          <w:lang w:val="bg-BG"/>
        </w:rPr>
        <w:t xml:space="preserve"> по българското Черноморско крайбрежие</w:t>
      </w:r>
      <w:r w:rsidRPr="00610B1B">
        <w:rPr>
          <w:rFonts w:ascii="Times New Roman" w:eastAsia="Calibri" w:hAnsi="Times New Roman" w:cs="Times New Roman"/>
          <w:bCs/>
          <w:sz w:val="24"/>
          <w:szCs w:val="24"/>
          <w:lang w:val="bg-BG"/>
        </w:rPr>
        <w:t xml:space="preserve"> са разположени </w:t>
      </w:r>
      <w:r w:rsidR="006F7055" w:rsidRPr="00610B1B">
        <w:rPr>
          <w:rFonts w:ascii="Times New Roman" w:eastAsia="Calibri" w:hAnsi="Times New Roman" w:cs="Times New Roman"/>
          <w:bCs/>
          <w:sz w:val="24"/>
          <w:szCs w:val="24"/>
          <w:lang w:val="bg-BG"/>
        </w:rPr>
        <w:t>6,</w:t>
      </w:r>
      <w:r w:rsidRPr="00610B1B">
        <w:rPr>
          <w:rFonts w:ascii="Times New Roman" w:eastAsia="Calibri" w:hAnsi="Times New Roman" w:cs="Times New Roman"/>
          <w:bCs/>
          <w:sz w:val="24"/>
          <w:szCs w:val="24"/>
          <w:lang w:val="bg-BG"/>
        </w:rPr>
        <w:t>6% от градовете и е концентрирано 12</w:t>
      </w:r>
      <w:r w:rsidR="006F7055" w:rsidRPr="00610B1B">
        <w:rPr>
          <w:rFonts w:ascii="Times New Roman" w:eastAsia="Calibri" w:hAnsi="Times New Roman" w:cs="Times New Roman"/>
          <w:bCs/>
          <w:sz w:val="24"/>
          <w:szCs w:val="24"/>
          <w:lang w:val="bg-BG"/>
        </w:rPr>
        <w:t>,0</w:t>
      </w:r>
      <w:r w:rsidRPr="00610B1B">
        <w:rPr>
          <w:rFonts w:ascii="Times New Roman" w:eastAsia="Calibri" w:hAnsi="Times New Roman" w:cs="Times New Roman"/>
          <w:bCs/>
          <w:sz w:val="24"/>
          <w:szCs w:val="24"/>
          <w:lang w:val="bg-BG"/>
        </w:rPr>
        <w:t xml:space="preserve">% от градското население на страната. През летния туристически </w:t>
      </w:r>
      <w:r w:rsidRPr="00610B1B">
        <w:rPr>
          <w:rFonts w:ascii="Times New Roman" w:eastAsia="Calibri" w:hAnsi="Times New Roman" w:cs="Times New Roman"/>
          <w:bCs/>
          <w:color w:val="000000"/>
          <w:sz w:val="24"/>
          <w:szCs w:val="24"/>
          <w:lang w:val="bg-BG"/>
        </w:rPr>
        <w:t xml:space="preserve">сезон антропогенното присъствие край морето </w:t>
      </w:r>
      <w:r w:rsidRPr="00610B1B">
        <w:rPr>
          <w:rFonts w:ascii="Times New Roman" w:eastAsia="Calibri" w:hAnsi="Times New Roman" w:cs="Times New Roman"/>
          <w:bCs/>
          <w:sz w:val="24"/>
          <w:szCs w:val="24"/>
          <w:lang w:val="bg-BG"/>
        </w:rPr>
        <w:t>нараства до 1.5 млн</w:t>
      </w:r>
      <w:r w:rsidR="002629C4" w:rsidRPr="00390518">
        <w:rPr>
          <w:rFonts w:ascii="Times New Roman" w:eastAsia="Calibri" w:hAnsi="Times New Roman" w:cs="Times New Roman"/>
          <w:bCs/>
          <w:sz w:val="24"/>
          <w:szCs w:val="24"/>
          <w:lang w:val="bg-BG"/>
        </w:rPr>
        <w:t>.</w:t>
      </w:r>
      <w:r w:rsidRPr="00610B1B">
        <w:rPr>
          <w:rFonts w:ascii="Times New Roman" w:eastAsia="Calibri" w:hAnsi="Times New Roman" w:cs="Times New Roman"/>
          <w:bCs/>
          <w:sz w:val="24"/>
          <w:szCs w:val="24"/>
          <w:lang w:val="bg-BG"/>
        </w:rPr>
        <w:t>, което е допълнителен натиск за инфраструктурата и оттам върху морската околна среда. Ускореното застрояване на свободните територии в крайбрежната зона с курортни комплекси и апартаментни хотели, при изоставащо изграждане на необходимата инфраструктура, променя цялостния облик на ландшафта, разрушава уникални негови компоненти, оказва въздействие върху морската околна среда. От друга страна, концентрацията на образователни, изследователски, транспортни, културни и административни функции в двата областни центъра Варна и Бургас създават условия за развитие на човешкия капитал и за изпълнение на важни проекти в областта на интегрираната морска политика.</w:t>
      </w:r>
      <w:r w:rsidRPr="00610B1B">
        <w:rPr>
          <w:rFonts w:ascii="Times New Roman" w:eastAsia="Calibri" w:hAnsi="Times New Roman" w:cs="Times New Roman"/>
          <w:bCs/>
          <w:sz w:val="24"/>
          <w:szCs w:val="24"/>
          <w:vertAlign w:val="superscript"/>
          <w:lang w:val="bg-BG"/>
        </w:rPr>
        <w:footnoteReference w:id="155"/>
      </w:r>
    </w:p>
    <w:p w14:paraId="2F088454" w14:textId="03166424"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 xml:space="preserve">Прогнозите за състоянието на средата в различни зони от акваторията, за потенциалното развитие на основни сектори от синята икономика, на транспортната и техническата инфраструктура, на трансграничното сътрудничество, последното и под въздействието на </w:t>
      </w:r>
      <w:r w:rsidR="006F7055" w:rsidRPr="00610B1B">
        <w:rPr>
          <w:rFonts w:ascii="Times New Roman" w:eastAsia="Calibri" w:hAnsi="Times New Roman" w:cs="Times New Roman"/>
          <w:bCs/>
          <w:sz w:val="24"/>
          <w:szCs w:val="24"/>
          <w:lang w:val="bg-BG"/>
        </w:rPr>
        <w:t xml:space="preserve">глобалната и регионалната </w:t>
      </w:r>
      <w:r w:rsidRPr="00610B1B">
        <w:rPr>
          <w:rFonts w:ascii="Times New Roman" w:eastAsia="Calibri" w:hAnsi="Times New Roman" w:cs="Times New Roman"/>
          <w:bCs/>
          <w:sz w:val="24"/>
          <w:szCs w:val="24"/>
          <w:lang w:val="bg-BG"/>
        </w:rPr>
        <w:t>политическ</w:t>
      </w:r>
      <w:r w:rsidR="006F7055" w:rsidRPr="00610B1B">
        <w:rPr>
          <w:rFonts w:ascii="Times New Roman" w:eastAsia="Calibri" w:hAnsi="Times New Roman" w:cs="Times New Roman"/>
          <w:bCs/>
          <w:sz w:val="24"/>
          <w:szCs w:val="24"/>
          <w:lang w:val="bg-BG"/>
        </w:rPr>
        <w:t>а обста</w:t>
      </w:r>
      <w:r w:rsidR="00BA5862" w:rsidRPr="00610B1B">
        <w:rPr>
          <w:rFonts w:ascii="Times New Roman" w:eastAsia="Calibri" w:hAnsi="Times New Roman" w:cs="Times New Roman"/>
          <w:bCs/>
          <w:sz w:val="24"/>
          <w:szCs w:val="24"/>
          <w:lang w:val="bg-BG"/>
        </w:rPr>
        <w:t>нов</w:t>
      </w:r>
      <w:r w:rsidR="006F7055" w:rsidRPr="00610B1B">
        <w:rPr>
          <w:rFonts w:ascii="Times New Roman" w:eastAsia="Calibri" w:hAnsi="Times New Roman" w:cs="Times New Roman"/>
          <w:bCs/>
          <w:sz w:val="24"/>
          <w:szCs w:val="24"/>
          <w:lang w:val="bg-BG"/>
        </w:rPr>
        <w:t>ка,</w:t>
      </w:r>
      <w:r w:rsidRPr="00610B1B">
        <w:rPr>
          <w:rFonts w:ascii="Times New Roman" w:eastAsia="Calibri" w:hAnsi="Times New Roman" w:cs="Times New Roman"/>
          <w:bCs/>
          <w:sz w:val="24"/>
          <w:szCs w:val="24"/>
          <w:lang w:val="bg-BG"/>
        </w:rPr>
        <w:t xml:space="preserve"> отчитат въздействието на изброените </w:t>
      </w:r>
      <w:r w:rsidRPr="00610B1B">
        <w:rPr>
          <w:rFonts w:ascii="Times New Roman" w:eastAsia="Calibri" w:hAnsi="Times New Roman" w:cs="Times New Roman"/>
          <w:bCs/>
          <w:sz w:val="24"/>
          <w:szCs w:val="24"/>
          <w:lang w:val="bg-BG"/>
        </w:rPr>
        <w:lastRenderedPageBreak/>
        <w:t>фактори. Извън контекста на конкретна политика или сценарий за развитие и ползване на морското пространство, тези фактори и тяхното проявление, се приемат за принципни. Прогнозният контекст се определя от избран сценарий за развитие, съпътстван от политика за интегриране на функциите и стратегически пакет от цели и мерки.</w:t>
      </w:r>
    </w:p>
    <w:p w14:paraId="74C9664D" w14:textId="77777777" w:rsidR="00442579" w:rsidRPr="00610B1B" w:rsidRDefault="00442579" w:rsidP="00D32D6A">
      <w:pPr>
        <w:spacing w:after="120"/>
        <w:ind w:right="-153"/>
        <w:jc w:val="both"/>
        <w:rPr>
          <w:rFonts w:ascii="Times New Roman" w:eastAsia="Calibri" w:hAnsi="Times New Roman" w:cs="Times New Roman"/>
          <w:bCs/>
          <w:sz w:val="24"/>
          <w:szCs w:val="24"/>
          <w:lang w:val="bg-BG"/>
        </w:rPr>
      </w:pPr>
    </w:p>
    <w:p w14:paraId="6D66855E" w14:textId="7B639FBD" w:rsidR="00442579" w:rsidRPr="00610B1B" w:rsidRDefault="009E1CCA" w:rsidP="00D32D6A">
      <w:pPr>
        <w:pStyle w:val="Heading2"/>
        <w:spacing w:before="0" w:line="276" w:lineRule="auto"/>
        <w:ind w:right="-153"/>
        <w:rPr>
          <w:rFonts w:cs="Times New Roman"/>
        </w:rPr>
      </w:pPr>
      <w:bookmarkStart w:id="425" w:name="_Toc83391407"/>
      <w:r w:rsidRPr="00610B1B">
        <w:rPr>
          <w:rFonts w:cs="Times New Roman"/>
        </w:rPr>
        <w:t xml:space="preserve">4.2. </w:t>
      </w:r>
      <w:r w:rsidR="00442579" w:rsidRPr="00610B1B">
        <w:rPr>
          <w:rFonts w:cs="Times New Roman"/>
        </w:rPr>
        <w:t>Прогноза за социално-икономическото развитие</w:t>
      </w:r>
      <w:bookmarkEnd w:id="425"/>
      <w:r w:rsidR="00442579" w:rsidRPr="00610B1B">
        <w:rPr>
          <w:rFonts w:cs="Times New Roman"/>
        </w:rPr>
        <w:t xml:space="preserve"> </w:t>
      </w:r>
    </w:p>
    <w:p w14:paraId="6D589974" w14:textId="63A19CCE" w:rsidR="00442579" w:rsidRPr="00610B1B" w:rsidRDefault="00442579" w:rsidP="00AE254B">
      <w:pPr>
        <w:tabs>
          <w:tab w:val="left" w:pos="3960"/>
        </w:tabs>
        <w:spacing w:after="120"/>
        <w:ind w:right="-153"/>
        <w:jc w:val="both"/>
        <w:rPr>
          <w:rFonts w:ascii="Times New Roman" w:eastAsia="Calibri" w:hAnsi="Times New Roman" w:cs="Times New Roman"/>
          <w:sz w:val="24"/>
          <w:szCs w:val="24"/>
          <w:lang w:val="bg-BG"/>
        </w:rPr>
      </w:pPr>
      <w:bookmarkStart w:id="426" w:name="_Hlk41169536"/>
      <w:r w:rsidRPr="00610B1B">
        <w:rPr>
          <w:rFonts w:ascii="Times New Roman" w:eastAsia="Calibri" w:hAnsi="Times New Roman" w:cs="Times New Roman"/>
          <w:sz w:val="24"/>
          <w:szCs w:val="24"/>
          <w:lang w:val="bg-BG"/>
        </w:rPr>
        <w:t xml:space="preserve">Прогнозата за социално-икономическото развитие се разработва в период с нарастваща безпрецедентна несигурност, поради което стъпва на </w:t>
      </w:r>
      <w:r w:rsidR="00BB78A1" w:rsidRPr="00610B1B">
        <w:rPr>
          <w:rFonts w:ascii="Times New Roman" w:eastAsia="Calibri" w:hAnsi="Times New Roman" w:cs="Times New Roman"/>
          <w:sz w:val="24"/>
          <w:szCs w:val="24"/>
          <w:lang w:val="bg-BG"/>
        </w:rPr>
        <w:t>контекста</w:t>
      </w:r>
      <w:r w:rsidRPr="00610B1B">
        <w:rPr>
          <w:rFonts w:ascii="Times New Roman" w:eastAsia="Calibri" w:hAnsi="Times New Roman" w:cs="Times New Roman"/>
          <w:sz w:val="24"/>
          <w:szCs w:val="24"/>
          <w:lang w:val="bg-BG"/>
        </w:rPr>
        <w:t xml:space="preserve"> и тенденциите от предходните няколко години, на определената от законодателството рамка и предвижданията на приети национални стратегически документи с времеви хоризонт, близък до 2035 г. Резултатите от първите анализи на световни организации за състоянието на синята икономика и възможностите за възстановяване след пандемията показват, че най-засегнатите сектори са туризмът</w:t>
      </w:r>
      <w:r w:rsidR="00AF5170" w:rsidRPr="00610B1B">
        <w:rPr>
          <w:rFonts w:ascii="Times New Roman" w:eastAsia="Calibri" w:hAnsi="Times New Roman" w:cs="Times New Roman"/>
          <w:sz w:val="24"/>
          <w:szCs w:val="24"/>
          <w:lang w:val="bg-BG"/>
        </w:rPr>
        <w:t xml:space="preserve"> с всички дейности по настаняването, изхранването и атракциите</w:t>
      </w:r>
      <w:r w:rsidRPr="00610B1B">
        <w:rPr>
          <w:rFonts w:ascii="Times New Roman" w:eastAsia="Calibri" w:hAnsi="Times New Roman" w:cs="Times New Roman"/>
          <w:sz w:val="24"/>
          <w:szCs w:val="24"/>
          <w:lang w:val="bg-BG"/>
        </w:rPr>
        <w:t xml:space="preserve">, морският транспорт, рибарството и </w:t>
      </w:r>
      <w:r w:rsidR="00BB78A1" w:rsidRPr="00610B1B">
        <w:rPr>
          <w:rFonts w:ascii="Times New Roman" w:eastAsia="Calibri" w:hAnsi="Times New Roman" w:cs="Times New Roman"/>
          <w:sz w:val="24"/>
          <w:szCs w:val="24"/>
          <w:lang w:val="bg-BG"/>
        </w:rPr>
        <w:t>аквакултурите</w:t>
      </w:r>
      <w:r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vertAlign w:val="superscript"/>
          <w:lang w:val="bg-BG"/>
        </w:rPr>
        <w:footnoteReference w:id="156"/>
      </w:r>
      <w:r w:rsidRPr="00610B1B">
        <w:rPr>
          <w:rFonts w:ascii="Times New Roman" w:eastAsia="Calibri" w:hAnsi="Times New Roman" w:cs="Times New Roman"/>
          <w:sz w:val="24"/>
          <w:szCs w:val="24"/>
          <w:lang w:val="bg-BG"/>
        </w:rPr>
        <w:t xml:space="preserve"> </w:t>
      </w:r>
      <w:bookmarkEnd w:id="426"/>
    </w:p>
    <w:p w14:paraId="4A097FA6" w14:textId="77777777" w:rsidR="009907CE" w:rsidRPr="00610B1B" w:rsidRDefault="009907CE" w:rsidP="00AE254B">
      <w:pPr>
        <w:tabs>
          <w:tab w:val="left" w:pos="3960"/>
        </w:tabs>
        <w:spacing w:after="120"/>
        <w:ind w:right="-153"/>
        <w:jc w:val="both"/>
        <w:rPr>
          <w:rFonts w:ascii="Times New Roman" w:eastAsia="Calibri" w:hAnsi="Times New Roman" w:cs="Times New Roman"/>
          <w:color w:val="00B050"/>
          <w:sz w:val="24"/>
          <w:szCs w:val="24"/>
          <w:lang w:val="bg-BG"/>
        </w:rPr>
      </w:pPr>
    </w:p>
    <w:p w14:paraId="7B03E6B5" w14:textId="5F2DB118" w:rsidR="00442579" w:rsidRPr="00610B1B" w:rsidRDefault="009E1CCA" w:rsidP="00D32D6A">
      <w:pPr>
        <w:pStyle w:val="Heading3"/>
        <w:spacing w:before="0" w:line="276" w:lineRule="auto"/>
        <w:ind w:right="-153"/>
        <w:rPr>
          <w:rFonts w:cs="Times New Roman"/>
        </w:rPr>
      </w:pPr>
      <w:bookmarkStart w:id="427" w:name="_Toc83391408"/>
      <w:r w:rsidRPr="00610B1B">
        <w:rPr>
          <w:rFonts w:cs="Times New Roman"/>
        </w:rPr>
        <w:t xml:space="preserve">4.2.1. </w:t>
      </w:r>
      <w:r w:rsidR="00442579" w:rsidRPr="00610B1B">
        <w:rPr>
          <w:rFonts w:cs="Times New Roman"/>
        </w:rPr>
        <w:t>Прогноза за демографското развитие на черноморските общини</w:t>
      </w:r>
      <w:bookmarkEnd w:id="427"/>
    </w:p>
    <w:p w14:paraId="7B28C52F" w14:textId="77777777"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Както в краткосрочен, така и в дългосрочен план, може да се прогнозира относително стабилно развитие на демографските процеси в големите черноморски общини. Малките са по-уязвими и демографското им развитие ще бъде в пряка зависимост от модела на туристическото развитие. Позитивен принос би имало и евентуалното възраждане на интензивното земеделие в хинтерланда на черноморските общини. </w:t>
      </w:r>
    </w:p>
    <w:p w14:paraId="302D9BB8" w14:textId="7CBE72E4"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Основавайки се на презумпцията за дълготрайност, естествена и целево опазвана устойчивост на рекреационния ресурс на черноморското крайбрежие, установеният с десетилетия синдром на </w:t>
      </w:r>
      <w:r w:rsidRPr="00610B1B">
        <w:rPr>
          <w:rFonts w:ascii="Times New Roman" w:eastAsia="Calibri" w:hAnsi="Times New Roman" w:cs="Times New Roman"/>
          <w:i/>
          <w:sz w:val="24"/>
          <w:szCs w:val="24"/>
          <w:lang w:val="bg-BG"/>
        </w:rPr>
        <w:t>сезонна пулсация в човешкото присъствие</w:t>
      </w:r>
      <w:r w:rsidRPr="00610B1B">
        <w:rPr>
          <w:rFonts w:ascii="Times New Roman" w:eastAsia="Calibri" w:hAnsi="Times New Roman" w:cs="Times New Roman"/>
          <w:sz w:val="24"/>
          <w:szCs w:val="24"/>
          <w:lang w:val="bg-BG"/>
        </w:rPr>
        <w:t xml:space="preserve"> </w:t>
      </w:r>
      <w:r w:rsidR="005C3375" w:rsidRPr="00610B1B">
        <w:rPr>
          <w:rFonts w:ascii="Times New Roman" w:eastAsia="Calibri" w:hAnsi="Times New Roman" w:cs="Times New Roman"/>
          <w:sz w:val="24"/>
          <w:szCs w:val="24"/>
          <w:lang w:val="bg-BG"/>
        </w:rPr>
        <w:t xml:space="preserve">(почиващи и сезонно заети) </w:t>
      </w:r>
      <w:r w:rsidRPr="00610B1B">
        <w:rPr>
          <w:rFonts w:ascii="Times New Roman" w:eastAsia="Calibri" w:hAnsi="Times New Roman" w:cs="Times New Roman"/>
          <w:sz w:val="24"/>
          <w:szCs w:val="24"/>
          <w:lang w:val="bg-BG"/>
        </w:rPr>
        <w:t>и съответните антропогенни натоварвания ще продължи. Тезата, че именно сезонната пулсация, а не постоянното население е потенциален източник на нежелани негативни въздействия, е отдавна доказана и призната. Тя се трансформира в прогноза, без да се нуждае от допълнителни аргументи.</w:t>
      </w:r>
    </w:p>
    <w:p w14:paraId="100EFE3B" w14:textId="27FF4EF5" w:rsidR="008B3DB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При най-оптимистичната прогноза се очаква населението на Черноморските общини в края на времевия хоризонт на Морския пространствен план да достигне 748</w:t>
      </w:r>
      <w:r w:rsidR="006F7055" w:rsidRPr="00610B1B">
        <w:rPr>
          <w:rFonts w:ascii="Times New Roman" w:eastAsia="Calibri" w:hAnsi="Times New Roman" w:cs="Times New Roman"/>
          <w:sz w:val="24"/>
          <w:szCs w:val="24"/>
          <w:lang w:val="bg-BG"/>
        </w:rPr>
        <w:t> </w:t>
      </w:r>
      <w:r w:rsidRPr="00610B1B">
        <w:rPr>
          <w:rFonts w:ascii="Times New Roman" w:eastAsia="Calibri" w:hAnsi="Times New Roman" w:cs="Times New Roman"/>
          <w:sz w:val="24"/>
          <w:szCs w:val="24"/>
          <w:lang w:val="bg-BG"/>
        </w:rPr>
        <w:t>479 д. (2035</w:t>
      </w:r>
      <w:r w:rsidR="00FB58CD" w:rsidRPr="00610B1B">
        <w:rPr>
          <w:rFonts w:ascii="Times New Roman" w:hAnsi="Times New Roman" w:cs="Times New Roman"/>
          <w:lang w:val="bg-BG"/>
        </w:rPr>
        <w:t> </w:t>
      </w:r>
      <w:r w:rsidRPr="00610B1B">
        <w:rPr>
          <w:rFonts w:ascii="Times New Roman" w:eastAsia="Calibri" w:hAnsi="Times New Roman" w:cs="Times New Roman"/>
          <w:sz w:val="24"/>
          <w:szCs w:val="24"/>
          <w:lang w:val="bg-BG"/>
        </w:rPr>
        <w:t>г.) и спрямо 2018</w:t>
      </w:r>
      <w:r w:rsidR="00FB58CD" w:rsidRPr="00610B1B">
        <w:rPr>
          <w:rFonts w:ascii="Times New Roman" w:eastAsia="Calibri" w:hAnsi="Times New Roman" w:cs="Times New Roman"/>
          <w:sz w:val="24"/>
          <w:szCs w:val="24"/>
          <w:lang w:val="bg-BG"/>
        </w:rPr>
        <w:t> </w:t>
      </w:r>
      <w:r w:rsidRPr="00610B1B">
        <w:rPr>
          <w:rFonts w:ascii="Times New Roman" w:eastAsia="Calibri" w:hAnsi="Times New Roman" w:cs="Times New Roman"/>
          <w:sz w:val="24"/>
          <w:szCs w:val="24"/>
          <w:lang w:val="bg-BG"/>
        </w:rPr>
        <w:t>г. увеличението да е около 3.0%. Реалистичният (тенденциалният) вариант на демографската прогноза, който е по-подходящ за целите на МППРБ</w:t>
      </w:r>
      <w:r w:rsidR="006F7055"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предвижда към 2035 г. населението на </w:t>
      </w:r>
      <w:r w:rsidR="007E73F3" w:rsidRPr="00610B1B">
        <w:rPr>
          <w:rFonts w:ascii="Times New Roman" w:eastAsia="Calibri" w:hAnsi="Times New Roman" w:cs="Times New Roman"/>
          <w:sz w:val="24"/>
          <w:szCs w:val="24"/>
          <w:lang w:val="bg-BG"/>
        </w:rPr>
        <w:t>Черноморските общини да достигне</w:t>
      </w:r>
      <w:r w:rsidRPr="00610B1B">
        <w:rPr>
          <w:rFonts w:ascii="Times New Roman" w:eastAsia="Calibri" w:hAnsi="Times New Roman" w:cs="Times New Roman"/>
          <w:sz w:val="24"/>
          <w:szCs w:val="24"/>
          <w:lang w:val="bg-BG"/>
        </w:rPr>
        <w:t xml:space="preserve"> 740 479 д. </w:t>
      </w:r>
      <w:r w:rsidR="007E73F3" w:rsidRPr="00610B1B">
        <w:rPr>
          <w:rFonts w:ascii="Times New Roman" w:eastAsia="Calibri" w:hAnsi="Times New Roman" w:cs="Times New Roman"/>
          <w:sz w:val="24"/>
          <w:szCs w:val="24"/>
          <w:lang w:val="bg-BG"/>
        </w:rPr>
        <w:t>п</w:t>
      </w:r>
      <w:r w:rsidRPr="00610B1B">
        <w:rPr>
          <w:rFonts w:ascii="Times New Roman" w:eastAsia="Calibri" w:hAnsi="Times New Roman" w:cs="Times New Roman"/>
          <w:sz w:val="24"/>
          <w:szCs w:val="24"/>
          <w:lang w:val="bg-BG"/>
        </w:rPr>
        <w:t xml:space="preserve">ри увеличение за прогнозния </w:t>
      </w:r>
      <w:r w:rsidR="007E73F3" w:rsidRPr="00610B1B">
        <w:rPr>
          <w:rFonts w:ascii="Times New Roman" w:eastAsia="Calibri" w:hAnsi="Times New Roman" w:cs="Times New Roman"/>
          <w:sz w:val="24"/>
          <w:szCs w:val="24"/>
          <w:lang w:val="bg-BG"/>
        </w:rPr>
        <w:t>период с 13 734 д., или с 1</w:t>
      </w:r>
      <w:r w:rsidR="006F7055" w:rsidRPr="00610B1B">
        <w:rPr>
          <w:rFonts w:ascii="Times New Roman" w:eastAsia="Calibri" w:hAnsi="Times New Roman" w:cs="Times New Roman"/>
          <w:sz w:val="24"/>
          <w:szCs w:val="24"/>
          <w:lang w:val="bg-BG"/>
        </w:rPr>
        <w:t>,</w:t>
      </w:r>
      <w:r w:rsidR="007E73F3" w:rsidRPr="00610B1B">
        <w:rPr>
          <w:rFonts w:ascii="Times New Roman" w:eastAsia="Calibri" w:hAnsi="Times New Roman" w:cs="Times New Roman"/>
          <w:sz w:val="24"/>
          <w:szCs w:val="24"/>
          <w:lang w:val="bg-BG"/>
        </w:rPr>
        <w:t>9%.</w:t>
      </w:r>
      <w:r w:rsidRPr="00610B1B">
        <w:rPr>
          <w:rFonts w:ascii="Times New Roman" w:eastAsia="Calibri" w:hAnsi="Times New Roman" w:cs="Times New Roman"/>
          <w:sz w:val="24"/>
          <w:szCs w:val="24"/>
          <w:lang w:val="bg-BG"/>
        </w:rPr>
        <w:t xml:space="preserve"> </w:t>
      </w:r>
    </w:p>
    <w:p w14:paraId="7351192B" w14:textId="5B413CCF" w:rsidR="009E1CCA"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Стойностите на раждаемостта и </w:t>
      </w:r>
      <w:r w:rsidR="00BB78A1" w:rsidRPr="00610B1B">
        <w:rPr>
          <w:rFonts w:ascii="Times New Roman" w:eastAsia="Calibri" w:hAnsi="Times New Roman" w:cs="Times New Roman"/>
          <w:sz w:val="24"/>
          <w:szCs w:val="24"/>
          <w:lang w:val="bg-BG"/>
        </w:rPr>
        <w:t>смъртността</w:t>
      </w:r>
      <w:r w:rsidRPr="00610B1B">
        <w:rPr>
          <w:rFonts w:ascii="Times New Roman" w:eastAsia="Calibri" w:hAnsi="Times New Roman" w:cs="Times New Roman"/>
          <w:sz w:val="24"/>
          <w:szCs w:val="24"/>
          <w:lang w:val="bg-BG"/>
        </w:rPr>
        <w:t xml:space="preserve"> ще се подобрят значително, но няма да достигнат интензитета на най-добрите години. Основният </w:t>
      </w:r>
      <w:r w:rsidR="00BB78A1" w:rsidRPr="00610B1B">
        <w:rPr>
          <w:rFonts w:ascii="Times New Roman" w:eastAsia="Calibri" w:hAnsi="Times New Roman" w:cs="Times New Roman"/>
          <w:sz w:val="24"/>
          <w:szCs w:val="24"/>
          <w:lang w:val="bg-BG"/>
        </w:rPr>
        <w:t>прираст</w:t>
      </w:r>
      <w:r w:rsidRPr="00610B1B">
        <w:rPr>
          <w:rFonts w:ascii="Times New Roman" w:eastAsia="Calibri" w:hAnsi="Times New Roman" w:cs="Times New Roman"/>
          <w:sz w:val="24"/>
          <w:szCs w:val="24"/>
          <w:lang w:val="bg-BG"/>
        </w:rPr>
        <w:t xml:space="preserve"> на население се очаква да е от заселници, намерили работа в производствените предприятия </w:t>
      </w:r>
      <w:r w:rsidR="008B3DB9" w:rsidRPr="00610B1B">
        <w:rPr>
          <w:rFonts w:ascii="Times New Roman" w:eastAsia="Calibri" w:hAnsi="Times New Roman" w:cs="Times New Roman"/>
          <w:sz w:val="24"/>
          <w:szCs w:val="24"/>
          <w:lang w:val="bg-BG"/>
        </w:rPr>
        <w:t>на</w:t>
      </w:r>
      <w:r w:rsidRPr="00610B1B">
        <w:rPr>
          <w:rFonts w:ascii="Times New Roman" w:eastAsia="Calibri" w:hAnsi="Times New Roman" w:cs="Times New Roman"/>
          <w:sz w:val="24"/>
          <w:szCs w:val="24"/>
          <w:lang w:val="bg-BG"/>
        </w:rPr>
        <w:t xml:space="preserve"> Варна и Бургас </w:t>
      </w:r>
      <w:r w:rsidRPr="00610B1B">
        <w:rPr>
          <w:rFonts w:ascii="Times New Roman" w:eastAsia="Calibri" w:hAnsi="Times New Roman" w:cs="Times New Roman"/>
          <w:sz w:val="24"/>
          <w:szCs w:val="24"/>
          <w:lang w:val="bg-BG"/>
        </w:rPr>
        <w:lastRenderedPageBreak/>
        <w:t xml:space="preserve">или закупили </w:t>
      </w:r>
      <w:r w:rsidR="008B3DB9" w:rsidRPr="00610B1B">
        <w:rPr>
          <w:rFonts w:ascii="Times New Roman" w:eastAsia="Calibri" w:hAnsi="Times New Roman" w:cs="Times New Roman"/>
          <w:sz w:val="24"/>
          <w:szCs w:val="24"/>
          <w:lang w:val="bg-BG"/>
        </w:rPr>
        <w:t xml:space="preserve">втори жилищен </w:t>
      </w:r>
      <w:r w:rsidRPr="00610B1B">
        <w:rPr>
          <w:rFonts w:ascii="Times New Roman" w:eastAsia="Calibri" w:hAnsi="Times New Roman" w:cs="Times New Roman"/>
          <w:sz w:val="24"/>
          <w:szCs w:val="24"/>
          <w:lang w:val="bg-BG"/>
        </w:rPr>
        <w:t>имот, главно в общините Несебър</w:t>
      </w:r>
      <w:r w:rsidR="009E1CCA" w:rsidRPr="00610B1B">
        <w:rPr>
          <w:rFonts w:ascii="Times New Roman" w:eastAsia="Calibri" w:hAnsi="Times New Roman" w:cs="Times New Roman"/>
          <w:sz w:val="24"/>
          <w:szCs w:val="24"/>
          <w:lang w:val="bg-BG"/>
        </w:rPr>
        <w:t>, Поморие, Созопол и Приморско.</w:t>
      </w:r>
      <w:r w:rsidR="008B3DB9"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В периода до 2035 г. ще нараства населението в общините Варна, Несебър и Созопол. Най-малко ще е намалението на населението в община Бургас (0</w:t>
      </w:r>
      <w:r w:rsidR="006F7055"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4%). В останалите 10 общини населението до 2035 г. ще намалява, като най-значително ще е в община Шабла (-37</w:t>
      </w:r>
      <w:r w:rsidR="006F7055"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5%), докато в община По</w:t>
      </w:r>
      <w:r w:rsidR="007E73F3" w:rsidRPr="00610B1B">
        <w:rPr>
          <w:rFonts w:ascii="Times New Roman" w:eastAsia="Calibri" w:hAnsi="Times New Roman" w:cs="Times New Roman"/>
          <w:sz w:val="24"/>
          <w:szCs w:val="24"/>
          <w:lang w:val="bg-BG"/>
        </w:rPr>
        <w:t>морие на</w:t>
      </w:r>
      <w:r w:rsidR="006F7055" w:rsidRPr="00610B1B">
        <w:rPr>
          <w:rFonts w:ascii="Times New Roman" w:eastAsia="Calibri" w:hAnsi="Times New Roman" w:cs="Times New Roman"/>
          <w:sz w:val="24"/>
          <w:szCs w:val="24"/>
          <w:lang w:val="bg-BG"/>
        </w:rPr>
        <w:t>се</w:t>
      </w:r>
      <w:r w:rsidR="007E73F3" w:rsidRPr="00610B1B">
        <w:rPr>
          <w:rFonts w:ascii="Times New Roman" w:eastAsia="Calibri" w:hAnsi="Times New Roman" w:cs="Times New Roman"/>
          <w:sz w:val="24"/>
          <w:szCs w:val="24"/>
          <w:lang w:val="bg-BG"/>
        </w:rPr>
        <w:t>лението ще намалее с -2</w:t>
      </w:r>
      <w:r w:rsidR="006F7055" w:rsidRPr="00610B1B">
        <w:rPr>
          <w:rFonts w:ascii="Times New Roman" w:eastAsia="Calibri" w:hAnsi="Times New Roman" w:cs="Times New Roman"/>
          <w:sz w:val="24"/>
          <w:szCs w:val="24"/>
          <w:lang w:val="bg-BG"/>
        </w:rPr>
        <w:t>,</w:t>
      </w:r>
      <w:r w:rsidR="007E73F3" w:rsidRPr="00610B1B">
        <w:rPr>
          <w:rFonts w:ascii="Times New Roman" w:eastAsia="Calibri" w:hAnsi="Times New Roman" w:cs="Times New Roman"/>
          <w:sz w:val="24"/>
          <w:szCs w:val="24"/>
          <w:lang w:val="bg-BG"/>
        </w:rPr>
        <w:t>6%</w:t>
      </w:r>
      <w:r w:rsidR="009E1CCA" w:rsidRPr="00610B1B">
        <w:rPr>
          <w:rFonts w:ascii="Times New Roman" w:eastAsia="Calibri" w:hAnsi="Times New Roman" w:cs="Times New Roman"/>
          <w:sz w:val="24"/>
          <w:szCs w:val="24"/>
          <w:lang w:val="bg-BG"/>
        </w:rPr>
        <w:t xml:space="preserve">. </w:t>
      </w:r>
    </w:p>
    <w:p w14:paraId="6F68B8BA" w14:textId="0AC78185"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По крайбрежието е концентрирано 85</w:t>
      </w:r>
      <w:r w:rsidR="006F7055"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7% от населението на черноморските общини общо от 31 населени места</w:t>
      </w:r>
      <w:r w:rsidR="006F7055" w:rsidRPr="00610B1B">
        <w:rPr>
          <w:rFonts w:ascii="Times New Roman" w:eastAsia="Calibri" w:hAnsi="Times New Roman" w:cs="Times New Roman"/>
          <w:sz w:val="24"/>
          <w:szCs w:val="24"/>
          <w:lang w:val="bg-BG"/>
        </w:rPr>
        <w:t xml:space="preserve"> в края на 2018 г.</w:t>
      </w:r>
      <w:r w:rsidRPr="00610B1B">
        <w:rPr>
          <w:rFonts w:ascii="Times New Roman" w:eastAsia="Calibri" w:hAnsi="Times New Roman" w:cs="Times New Roman"/>
          <w:sz w:val="24"/>
          <w:szCs w:val="24"/>
          <w:lang w:val="bg-BG"/>
        </w:rPr>
        <w:t xml:space="preserve"> През 2035 г. в крайбрежната зона ще е концентрирано 92</w:t>
      </w:r>
      <w:r w:rsidR="006F7055"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0% от населението на общините, или дисбалансът в териториалното разпределение на населението ще продължи. В двете големи общини Врана и Бургас през 2035 г. ще бъде концентрирано над 80</w:t>
      </w:r>
      <w:r w:rsidR="006F7055"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0% от населението (при 76</w:t>
      </w:r>
      <w:r w:rsidR="006F7055"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3% в края на 2018 г.).</w:t>
      </w:r>
    </w:p>
    <w:p w14:paraId="1F839BD4" w14:textId="4799A4BF"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И в периода до 2035 г. ще се запази тенденцията</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в населените места, в морските курорти и вилните селища в крайбрежната зона през върховия туристически сезон да пребивават почиващи и хора, свързани с туризма и ресторантьорството, </w:t>
      </w:r>
      <w:r w:rsidR="008B3DB9" w:rsidRPr="00610B1B">
        <w:rPr>
          <w:rFonts w:ascii="Times New Roman" w:eastAsia="Calibri" w:hAnsi="Times New Roman" w:cs="Times New Roman"/>
          <w:sz w:val="24"/>
          <w:szCs w:val="24"/>
          <w:lang w:val="bg-BG"/>
        </w:rPr>
        <w:t xml:space="preserve">с </w:t>
      </w:r>
      <w:r w:rsidRPr="00610B1B">
        <w:rPr>
          <w:rFonts w:ascii="Times New Roman" w:eastAsia="Calibri" w:hAnsi="Times New Roman" w:cs="Times New Roman"/>
          <w:sz w:val="24"/>
          <w:szCs w:val="24"/>
          <w:lang w:val="bg-BG"/>
        </w:rPr>
        <w:t>обслужването и тър</w:t>
      </w:r>
      <w:r w:rsidR="008B3DB9" w:rsidRPr="00610B1B">
        <w:rPr>
          <w:rFonts w:ascii="Times New Roman" w:eastAsia="Calibri" w:hAnsi="Times New Roman" w:cs="Times New Roman"/>
          <w:sz w:val="24"/>
          <w:szCs w:val="24"/>
          <w:lang w:val="bg-BG"/>
        </w:rPr>
        <w:t>говията</w:t>
      </w:r>
      <w:r w:rsidR="00D66FE0" w:rsidRPr="00610B1B">
        <w:rPr>
          <w:rFonts w:ascii="Times New Roman" w:eastAsia="Calibri" w:hAnsi="Times New Roman" w:cs="Times New Roman"/>
          <w:sz w:val="24"/>
          <w:szCs w:val="24"/>
          <w:lang w:val="bg-BG"/>
        </w:rPr>
        <w:t xml:space="preserve"> </w:t>
      </w:r>
      <w:r w:rsidR="008B3DB9" w:rsidRPr="00610B1B">
        <w:rPr>
          <w:rFonts w:ascii="Times New Roman" w:eastAsia="Calibri" w:hAnsi="Times New Roman" w:cs="Times New Roman"/>
          <w:sz w:val="24"/>
          <w:szCs w:val="24"/>
          <w:lang w:val="bg-BG"/>
        </w:rPr>
        <w:t xml:space="preserve">и със строителството през </w:t>
      </w:r>
      <w:r w:rsidRPr="00610B1B">
        <w:rPr>
          <w:rFonts w:ascii="Times New Roman" w:eastAsia="Calibri" w:hAnsi="Times New Roman" w:cs="Times New Roman"/>
          <w:sz w:val="24"/>
          <w:szCs w:val="24"/>
          <w:lang w:val="bg-BG"/>
        </w:rPr>
        <w:t xml:space="preserve">зимния сезон. Това оказва значително влияние върху социалната и техническата инфраструктура. </w:t>
      </w:r>
    </w:p>
    <w:p w14:paraId="6C51FEFD" w14:textId="77777777" w:rsidR="009907CE" w:rsidRPr="00610B1B" w:rsidRDefault="009907CE" w:rsidP="00D32D6A">
      <w:pPr>
        <w:spacing w:after="120"/>
        <w:ind w:right="-153"/>
        <w:jc w:val="both"/>
        <w:rPr>
          <w:rFonts w:ascii="Times New Roman" w:eastAsia="Calibri" w:hAnsi="Times New Roman" w:cs="Times New Roman"/>
          <w:sz w:val="24"/>
          <w:szCs w:val="24"/>
          <w:lang w:val="bg-BG"/>
        </w:rPr>
      </w:pPr>
    </w:p>
    <w:p w14:paraId="16FDC8FE" w14:textId="099361AA" w:rsidR="00442579" w:rsidRPr="00610B1B" w:rsidRDefault="009E1CCA" w:rsidP="00D32D6A">
      <w:pPr>
        <w:pStyle w:val="Heading3"/>
        <w:spacing w:before="0" w:line="276" w:lineRule="auto"/>
        <w:ind w:right="-153"/>
        <w:rPr>
          <w:rFonts w:cs="Times New Roman"/>
        </w:rPr>
      </w:pPr>
      <w:bookmarkStart w:id="428" w:name="_Toc83391409"/>
      <w:r w:rsidRPr="00610B1B">
        <w:rPr>
          <w:rFonts w:cs="Times New Roman"/>
        </w:rPr>
        <w:t xml:space="preserve">4.2.2. </w:t>
      </w:r>
      <w:r w:rsidR="00442579" w:rsidRPr="00610B1B">
        <w:rPr>
          <w:rFonts w:cs="Times New Roman"/>
        </w:rPr>
        <w:t>Прогноза за работната сила</w:t>
      </w:r>
      <w:bookmarkEnd w:id="428"/>
    </w:p>
    <w:p w14:paraId="21147BDC" w14:textId="304C2D59"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 xml:space="preserve">Работната хипотеза за прогнозното развитие на работната сила в срока на действие на МППРБ, отчита основно очакваното влияние на икономическия и на демографския фактор. Тяхното влияние в сферата на заетостта през прогнозния период са свързани с две тенденции, отчитащи </w:t>
      </w:r>
      <w:r w:rsidR="005C3375" w:rsidRPr="00610B1B">
        <w:rPr>
          <w:rFonts w:ascii="Times New Roman" w:eastAsia="Calibri" w:hAnsi="Times New Roman" w:cs="Times New Roman"/>
          <w:bCs/>
          <w:sz w:val="24"/>
          <w:szCs w:val="24"/>
          <w:lang w:val="bg-BG"/>
        </w:rPr>
        <w:t>поведението</w:t>
      </w:r>
      <w:r w:rsidRPr="00610B1B">
        <w:rPr>
          <w:rFonts w:ascii="Times New Roman" w:eastAsia="Calibri" w:hAnsi="Times New Roman" w:cs="Times New Roman"/>
          <w:bCs/>
          <w:sz w:val="24"/>
          <w:szCs w:val="24"/>
          <w:lang w:val="bg-BG"/>
        </w:rPr>
        <w:t xml:space="preserve"> на икономическата и социалната среда. </w:t>
      </w:r>
    </w:p>
    <w:p w14:paraId="29E07A9E" w14:textId="12E9CE1B"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 xml:space="preserve">Първата е с краткосрочен хоризонт (до 2024 г.) и се обуславя с </w:t>
      </w:r>
      <w:r w:rsidR="005C3375" w:rsidRPr="00610B1B">
        <w:rPr>
          <w:rFonts w:ascii="Times New Roman" w:eastAsia="Calibri" w:hAnsi="Times New Roman" w:cs="Times New Roman"/>
          <w:bCs/>
          <w:sz w:val="24"/>
          <w:szCs w:val="24"/>
          <w:lang w:val="bg-BG"/>
        </w:rPr>
        <w:t xml:space="preserve">очакваните </w:t>
      </w:r>
      <w:r w:rsidRPr="00610B1B">
        <w:rPr>
          <w:rFonts w:ascii="Times New Roman" w:eastAsia="Calibri" w:hAnsi="Times New Roman" w:cs="Times New Roman"/>
          <w:bCs/>
          <w:sz w:val="24"/>
          <w:szCs w:val="24"/>
          <w:lang w:val="bg-BG"/>
        </w:rPr>
        <w:t xml:space="preserve">последици от пандемията и последвалата световна икономическа криза. Темповете на нарастване на работната сила в този период се залага да бъдат по-ниски, поради реалната тенденция на намаляване на броя на работните места и свързаното с това нарастване на равнището на безработица. </w:t>
      </w:r>
    </w:p>
    <w:p w14:paraId="23CCD51E" w14:textId="3A474735"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 xml:space="preserve">Втората тенденция е свързана с очакванията за преход към положително </w:t>
      </w:r>
      <w:r w:rsidR="005C3375" w:rsidRPr="00610B1B">
        <w:rPr>
          <w:rFonts w:ascii="Times New Roman" w:eastAsia="Calibri" w:hAnsi="Times New Roman" w:cs="Times New Roman"/>
          <w:bCs/>
          <w:sz w:val="24"/>
          <w:szCs w:val="24"/>
          <w:lang w:val="bg-BG"/>
        </w:rPr>
        <w:t xml:space="preserve">социално-икономическо </w:t>
      </w:r>
      <w:r w:rsidRPr="00610B1B">
        <w:rPr>
          <w:rFonts w:ascii="Times New Roman" w:eastAsia="Calibri" w:hAnsi="Times New Roman" w:cs="Times New Roman"/>
          <w:bCs/>
          <w:sz w:val="24"/>
          <w:szCs w:val="24"/>
          <w:lang w:val="bg-BG"/>
        </w:rPr>
        <w:t xml:space="preserve">развитие след </w:t>
      </w:r>
      <w:r w:rsidR="005C3375" w:rsidRPr="00610B1B">
        <w:rPr>
          <w:rFonts w:ascii="Times New Roman" w:eastAsia="Calibri" w:hAnsi="Times New Roman" w:cs="Times New Roman"/>
          <w:bCs/>
          <w:sz w:val="24"/>
          <w:szCs w:val="24"/>
          <w:lang w:val="bg-BG"/>
        </w:rPr>
        <w:t>2024 г.</w:t>
      </w:r>
      <w:r w:rsidRPr="00610B1B">
        <w:rPr>
          <w:rFonts w:ascii="Times New Roman" w:eastAsia="Calibri" w:hAnsi="Times New Roman" w:cs="Times New Roman"/>
          <w:bCs/>
          <w:sz w:val="24"/>
          <w:szCs w:val="24"/>
          <w:lang w:val="bg-BG"/>
        </w:rPr>
        <w:t xml:space="preserve">, за постепенен ръст на работната сила и повишаване на инвестиционната активност в определени сектори за излизане от кризата и за по-ефективно използване на природните, материалните и човешките ресурси. Реализацията на тази тенденция в прогнозното развитие на работната сила се основава на предвижданията за </w:t>
      </w:r>
      <w:r w:rsidR="005C3375" w:rsidRPr="00610B1B">
        <w:rPr>
          <w:rFonts w:ascii="Times New Roman" w:eastAsia="Calibri" w:hAnsi="Times New Roman" w:cs="Times New Roman"/>
          <w:bCs/>
          <w:sz w:val="24"/>
          <w:szCs w:val="24"/>
          <w:lang w:val="bg-BG"/>
        </w:rPr>
        <w:t>връщане към нивата на трудова заетост до началото на 2020</w:t>
      </w:r>
      <w:r w:rsidR="00033EAD" w:rsidRPr="00610B1B">
        <w:rPr>
          <w:rFonts w:ascii="Times New Roman" w:eastAsia="Calibri" w:hAnsi="Times New Roman" w:cs="Times New Roman"/>
          <w:bCs/>
          <w:sz w:val="24"/>
          <w:szCs w:val="24"/>
          <w:lang w:val="bg-BG"/>
        </w:rPr>
        <w:t xml:space="preserve"> г. </w:t>
      </w:r>
      <w:r w:rsidRPr="00610B1B">
        <w:rPr>
          <w:rFonts w:ascii="Times New Roman" w:eastAsia="Calibri" w:hAnsi="Times New Roman" w:cs="Times New Roman"/>
          <w:bCs/>
          <w:sz w:val="24"/>
          <w:szCs w:val="24"/>
          <w:lang w:val="bg-BG"/>
        </w:rPr>
        <w:t>на икономически</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активното население при минимален коефициент на безработица.</w:t>
      </w:r>
    </w:p>
    <w:p w14:paraId="5B8398F0" w14:textId="77777777" w:rsidR="009907CE" w:rsidRPr="00610B1B" w:rsidRDefault="009907CE" w:rsidP="00D32D6A">
      <w:pPr>
        <w:spacing w:after="120"/>
        <w:ind w:right="-153"/>
        <w:jc w:val="both"/>
        <w:rPr>
          <w:rFonts w:ascii="Times New Roman" w:eastAsia="Calibri" w:hAnsi="Times New Roman" w:cs="Times New Roman"/>
          <w:bCs/>
          <w:sz w:val="24"/>
          <w:szCs w:val="24"/>
          <w:lang w:val="bg-BG"/>
        </w:rPr>
      </w:pPr>
    </w:p>
    <w:p w14:paraId="0418B1F3" w14:textId="2209BD00" w:rsidR="00442579" w:rsidRPr="00610B1B" w:rsidRDefault="009E1CCA" w:rsidP="00AE254B">
      <w:pPr>
        <w:pStyle w:val="Heading3"/>
        <w:numPr>
          <w:ilvl w:val="0"/>
          <w:numId w:val="0"/>
        </w:numPr>
        <w:spacing w:before="0" w:line="276" w:lineRule="auto"/>
        <w:ind w:right="-153"/>
        <w:rPr>
          <w:rFonts w:cs="Times New Roman"/>
        </w:rPr>
      </w:pPr>
      <w:bookmarkStart w:id="429" w:name="_Toc83391410"/>
      <w:r w:rsidRPr="00610B1B">
        <w:rPr>
          <w:rFonts w:cs="Times New Roman"/>
        </w:rPr>
        <w:t xml:space="preserve">4.2.3. </w:t>
      </w:r>
      <w:r w:rsidR="00442579" w:rsidRPr="00610B1B">
        <w:rPr>
          <w:rFonts w:cs="Times New Roman"/>
        </w:rPr>
        <w:t>Прогноза за икономическото развитие</w:t>
      </w:r>
      <w:bookmarkEnd w:id="429"/>
      <w:r w:rsidR="00442579" w:rsidRPr="00610B1B">
        <w:rPr>
          <w:rFonts w:cs="Times New Roman"/>
        </w:rPr>
        <w:t xml:space="preserve"> </w:t>
      </w:r>
    </w:p>
    <w:p w14:paraId="426F66C8" w14:textId="77777777"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Прогнозата за икономическото развитие е разработена и представена по сектори и е съобразена с влиянието на следните основни фактори и условия:</w:t>
      </w:r>
    </w:p>
    <w:p w14:paraId="46C6E6A4" w14:textId="3C4DEB08" w:rsidR="00442579" w:rsidRPr="00610B1B" w:rsidRDefault="00442579" w:rsidP="00B46189">
      <w:pPr>
        <w:numPr>
          <w:ilvl w:val="0"/>
          <w:numId w:val="17"/>
        </w:num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lastRenderedPageBreak/>
        <w:t>Насоките и приоритетите за развитие на свързаните с морск</w:t>
      </w:r>
      <w:r w:rsidR="0075098D" w:rsidRPr="00610B1B">
        <w:rPr>
          <w:rFonts w:ascii="Times New Roman" w:eastAsia="Calibri" w:hAnsi="Times New Roman" w:cs="Times New Roman"/>
          <w:bCs/>
          <w:sz w:val="24"/>
          <w:szCs w:val="24"/>
          <w:lang w:val="bg-BG"/>
        </w:rPr>
        <w:t>ите</w:t>
      </w:r>
      <w:r w:rsidRPr="00610B1B">
        <w:rPr>
          <w:rFonts w:ascii="Times New Roman" w:eastAsia="Calibri" w:hAnsi="Times New Roman" w:cs="Times New Roman"/>
          <w:bCs/>
          <w:sz w:val="24"/>
          <w:szCs w:val="24"/>
          <w:lang w:val="bg-BG"/>
        </w:rPr>
        <w:t xml:space="preserve"> пространств</w:t>
      </w:r>
      <w:r w:rsidR="0075098D" w:rsidRPr="00610B1B">
        <w:rPr>
          <w:rFonts w:ascii="Times New Roman" w:eastAsia="Calibri" w:hAnsi="Times New Roman" w:cs="Times New Roman"/>
          <w:bCs/>
          <w:sz w:val="24"/>
          <w:szCs w:val="24"/>
          <w:lang w:val="bg-BG"/>
        </w:rPr>
        <w:t>а</w:t>
      </w:r>
      <w:r w:rsidRPr="00610B1B">
        <w:rPr>
          <w:rFonts w:ascii="Times New Roman" w:eastAsia="Calibri" w:hAnsi="Times New Roman" w:cs="Times New Roman"/>
          <w:bCs/>
          <w:sz w:val="24"/>
          <w:szCs w:val="24"/>
          <w:lang w:val="bg-BG"/>
        </w:rPr>
        <w:t xml:space="preserve"> и с крайбрежната зона сектори, определени в национални програмни и стратегически секторни документи; </w:t>
      </w:r>
    </w:p>
    <w:p w14:paraId="578AEF34" w14:textId="77777777" w:rsidR="00442579" w:rsidRPr="00610B1B" w:rsidRDefault="00442579" w:rsidP="00B46189">
      <w:pPr>
        <w:numPr>
          <w:ilvl w:val="0"/>
          <w:numId w:val="17"/>
        </w:num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Мястото и значимостта на тези сектори за националната икономика, създадените традиции и натрупания производствен опит;</w:t>
      </w:r>
    </w:p>
    <w:p w14:paraId="08077EA0" w14:textId="77777777" w:rsidR="00442579" w:rsidRPr="00610B1B" w:rsidRDefault="00442579" w:rsidP="00B46189">
      <w:pPr>
        <w:numPr>
          <w:ilvl w:val="0"/>
          <w:numId w:val="17"/>
        </w:num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 xml:space="preserve">Резултатите от анализа на сектора, установените тенденции в развитието, идентифицираните проблеми, потребности и налични ресурси и систематизираните изводи за предимствата и възможностите; </w:t>
      </w:r>
    </w:p>
    <w:p w14:paraId="229186B6" w14:textId="5AC5E6A7" w:rsidR="00442579" w:rsidRPr="00610B1B" w:rsidRDefault="008604A1" w:rsidP="00B46189">
      <w:pPr>
        <w:numPr>
          <w:ilvl w:val="0"/>
          <w:numId w:val="17"/>
        </w:num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Изградена</w:t>
      </w:r>
      <w:r w:rsidR="00033EAD" w:rsidRPr="00610B1B">
        <w:rPr>
          <w:rFonts w:ascii="Times New Roman" w:eastAsia="Calibri" w:hAnsi="Times New Roman" w:cs="Times New Roman"/>
          <w:bCs/>
          <w:sz w:val="24"/>
          <w:szCs w:val="24"/>
          <w:lang w:val="bg-BG"/>
        </w:rPr>
        <w:t>та</w:t>
      </w:r>
      <w:r w:rsidRPr="00610B1B">
        <w:rPr>
          <w:rFonts w:ascii="Times New Roman" w:eastAsia="Calibri" w:hAnsi="Times New Roman" w:cs="Times New Roman"/>
          <w:bCs/>
          <w:sz w:val="24"/>
          <w:szCs w:val="24"/>
          <w:lang w:val="bg-BG"/>
        </w:rPr>
        <w:t xml:space="preserve"> </w:t>
      </w:r>
      <w:r w:rsidR="00442579" w:rsidRPr="00610B1B">
        <w:rPr>
          <w:rFonts w:ascii="Times New Roman" w:eastAsia="Calibri" w:hAnsi="Times New Roman" w:cs="Times New Roman"/>
          <w:bCs/>
          <w:sz w:val="24"/>
          <w:szCs w:val="24"/>
          <w:lang w:val="bg-BG"/>
        </w:rPr>
        <w:t>инфраструктура и съоръжения за развитие на дейностите в съответния сектор и установени</w:t>
      </w:r>
      <w:r w:rsidR="00033EAD" w:rsidRPr="00610B1B">
        <w:rPr>
          <w:rFonts w:ascii="Times New Roman" w:eastAsia="Calibri" w:hAnsi="Times New Roman" w:cs="Times New Roman"/>
          <w:bCs/>
          <w:sz w:val="24"/>
          <w:szCs w:val="24"/>
          <w:lang w:val="bg-BG"/>
        </w:rPr>
        <w:t>те</w:t>
      </w:r>
      <w:r w:rsidR="00442579" w:rsidRPr="00610B1B">
        <w:rPr>
          <w:rFonts w:ascii="Times New Roman" w:eastAsia="Calibri" w:hAnsi="Times New Roman" w:cs="Times New Roman"/>
          <w:bCs/>
          <w:sz w:val="24"/>
          <w:szCs w:val="24"/>
          <w:lang w:val="bg-BG"/>
        </w:rPr>
        <w:t xml:space="preserve"> потребности </w:t>
      </w:r>
      <w:r w:rsidRPr="00610B1B">
        <w:rPr>
          <w:rFonts w:ascii="Times New Roman" w:eastAsia="Calibri" w:hAnsi="Times New Roman" w:cs="Times New Roman"/>
          <w:bCs/>
          <w:sz w:val="24"/>
          <w:szCs w:val="24"/>
          <w:lang w:val="bg-BG"/>
        </w:rPr>
        <w:t>от</w:t>
      </w:r>
      <w:r w:rsidR="00442579" w:rsidRPr="00610B1B">
        <w:rPr>
          <w:rFonts w:ascii="Times New Roman" w:eastAsia="Calibri" w:hAnsi="Times New Roman" w:cs="Times New Roman"/>
          <w:bCs/>
          <w:sz w:val="24"/>
          <w:szCs w:val="24"/>
          <w:lang w:val="bg-BG"/>
        </w:rPr>
        <w:t xml:space="preserve"> нови елементи на инфраструктурните системи;</w:t>
      </w:r>
    </w:p>
    <w:p w14:paraId="6247420D" w14:textId="783BE8CB" w:rsidR="009E1CCA" w:rsidRPr="00610B1B" w:rsidRDefault="00442579" w:rsidP="00B46189">
      <w:pPr>
        <w:numPr>
          <w:ilvl w:val="0"/>
          <w:numId w:val="17"/>
        </w:num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Предизвикателствата на настоящата криза и възможностите, които се разкриват за иновации, нови стандарти и техно</w:t>
      </w:r>
      <w:r w:rsidR="009E1CCA" w:rsidRPr="00610B1B">
        <w:rPr>
          <w:rFonts w:ascii="Times New Roman" w:eastAsia="Calibri" w:hAnsi="Times New Roman" w:cs="Times New Roman"/>
          <w:bCs/>
          <w:sz w:val="24"/>
          <w:szCs w:val="24"/>
          <w:lang w:val="bg-BG"/>
        </w:rPr>
        <w:t>логии в най-засегнатите сектори.</w:t>
      </w:r>
      <w:r w:rsidR="00D66FE0" w:rsidRPr="00610B1B">
        <w:rPr>
          <w:rFonts w:ascii="Times New Roman" w:eastAsia="Calibri" w:hAnsi="Times New Roman" w:cs="Times New Roman"/>
          <w:bCs/>
          <w:sz w:val="24"/>
          <w:szCs w:val="24"/>
          <w:lang w:val="bg-BG"/>
        </w:rPr>
        <w:t xml:space="preserve"> </w:t>
      </w:r>
    </w:p>
    <w:p w14:paraId="766A7CE7" w14:textId="473622BC" w:rsidR="00442579" w:rsidRPr="00610B1B" w:rsidRDefault="00892EA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В</w:t>
      </w:r>
      <w:r w:rsidR="00442579" w:rsidRPr="00610B1B">
        <w:rPr>
          <w:rFonts w:ascii="Times New Roman" w:eastAsia="Calibri" w:hAnsi="Times New Roman" w:cs="Times New Roman"/>
          <w:bCs/>
          <w:sz w:val="24"/>
          <w:szCs w:val="24"/>
          <w:lang w:val="bg-BG"/>
        </w:rPr>
        <w:t xml:space="preserve"> икономическата прогноза се констатира прекъсване на петгодишната положителна тенденция на ръст на БВП. Изчислено е, че сектори като търговия на дребно, транспорт, хотели</w:t>
      </w:r>
      <w:r w:rsidR="00033EAD" w:rsidRPr="00610B1B">
        <w:rPr>
          <w:rFonts w:ascii="Times New Roman" w:eastAsia="Calibri" w:hAnsi="Times New Roman" w:cs="Times New Roman"/>
          <w:bCs/>
          <w:sz w:val="24"/>
          <w:szCs w:val="24"/>
          <w:lang w:val="bg-BG"/>
        </w:rPr>
        <w:t>ерство</w:t>
      </w:r>
      <w:r w:rsidR="00442579" w:rsidRPr="00610B1B">
        <w:rPr>
          <w:rFonts w:ascii="Times New Roman" w:eastAsia="Calibri" w:hAnsi="Times New Roman" w:cs="Times New Roman"/>
          <w:bCs/>
          <w:sz w:val="24"/>
          <w:szCs w:val="24"/>
          <w:lang w:val="bg-BG"/>
        </w:rPr>
        <w:t xml:space="preserve"> и ресторант</w:t>
      </w:r>
      <w:r w:rsidR="00033EAD" w:rsidRPr="00610B1B">
        <w:rPr>
          <w:rFonts w:ascii="Times New Roman" w:eastAsia="Calibri" w:hAnsi="Times New Roman" w:cs="Times New Roman"/>
          <w:bCs/>
          <w:sz w:val="24"/>
          <w:szCs w:val="24"/>
          <w:lang w:val="bg-BG"/>
        </w:rPr>
        <w:t>ьорство</w:t>
      </w:r>
      <w:r w:rsidR="00442579" w:rsidRPr="00610B1B">
        <w:rPr>
          <w:rFonts w:ascii="Times New Roman" w:eastAsia="Calibri" w:hAnsi="Times New Roman" w:cs="Times New Roman"/>
          <w:bCs/>
          <w:sz w:val="24"/>
          <w:szCs w:val="24"/>
          <w:lang w:val="bg-BG"/>
        </w:rPr>
        <w:t>, изкуство и развлечения са функционирали на 30-40% от капацитет</w:t>
      </w:r>
      <w:r w:rsidR="009E1CCA" w:rsidRPr="00610B1B">
        <w:rPr>
          <w:rFonts w:ascii="Times New Roman" w:eastAsia="Calibri" w:hAnsi="Times New Roman" w:cs="Times New Roman"/>
          <w:bCs/>
          <w:sz w:val="24"/>
          <w:szCs w:val="24"/>
          <w:lang w:val="bg-BG"/>
        </w:rPr>
        <w:t>а</w:t>
      </w:r>
      <w:r w:rsidR="00442579" w:rsidRPr="00610B1B">
        <w:rPr>
          <w:rFonts w:ascii="Times New Roman" w:eastAsia="Calibri" w:hAnsi="Times New Roman" w:cs="Times New Roman"/>
          <w:bCs/>
          <w:sz w:val="24"/>
          <w:szCs w:val="24"/>
          <w:lang w:val="bg-BG"/>
        </w:rPr>
        <w:t xml:space="preserve"> си, като същевременно се очаква преливане на отрицателни ефекти в останалата част от икономиката. Като се има предвид, че най-важните сектори на българската икономика през 2018 г. са били промишлеността (23,1%) и търговията на едро и дребно, транспортът, хотелиерството и ресторантьорството (22,6%), се очаква реалният БВП на България да се свие над 7% през 2020 г.</w:t>
      </w:r>
    </w:p>
    <w:p w14:paraId="6E46B150" w14:textId="235897FA" w:rsidR="00442579"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Предполага се възстановяване на икономическата активност с постепенното вдигане на мерките срещу разпространение на коронавируса и нормализиране на обществения живот, което ще доведе до засилване на вътрешното търсене още през третото тримесечие на 2020 г. Въпреки държавните мерки за защита на доходите и запазване на работните места, потреблението на домакинствата през 2020 г. се очаква да отбележи спад с почти 6%, а инвестициите да се свият с 18%.</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 xml:space="preserve">През 2021 г. се очаква растежът да се възстанови </w:t>
      </w:r>
      <w:r w:rsidR="00285023" w:rsidRPr="00610B1B">
        <w:rPr>
          <w:rFonts w:ascii="Times New Roman" w:eastAsia="Calibri" w:hAnsi="Times New Roman" w:cs="Times New Roman"/>
          <w:bCs/>
          <w:sz w:val="24"/>
          <w:szCs w:val="24"/>
          <w:lang w:val="bg-BG"/>
        </w:rPr>
        <w:t xml:space="preserve">между 3.8% </w:t>
      </w:r>
      <w:r w:rsidRPr="00610B1B">
        <w:rPr>
          <w:rFonts w:ascii="Times New Roman" w:eastAsia="Calibri" w:hAnsi="Times New Roman" w:cs="Times New Roman"/>
          <w:bCs/>
          <w:sz w:val="24"/>
          <w:szCs w:val="24"/>
          <w:lang w:val="bg-BG"/>
        </w:rPr>
        <w:t xml:space="preserve">до около 6%, което частично ще компенсира спада през 2020 г. Както е присъщо, инвестициите ще следват много по-бавен път за възстановяване. Годишният им растеж се очаква да бъде в рамките на </w:t>
      </w:r>
      <w:r w:rsidR="00033EAD" w:rsidRPr="00610B1B">
        <w:rPr>
          <w:rFonts w:ascii="Times New Roman" w:eastAsia="Calibri" w:hAnsi="Times New Roman" w:cs="Times New Roman"/>
          <w:bCs/>
          <w:sz w:val="24"/>
          <w:szCs w:val="24"/>
          <w:lang w:val="bg-BG"/>
        </w:rPr>
        <w:t xml:space="preserve">само </w:t>
      </w:r>
      <w:r w:rsidRPr="00610B1B">
        <w:rPr>
          <w:rFonts w:ascii="Times New Roman" w:eastAsia="Calibri" w:hAnsi="Times New Roman" w:cs="Times New Roman"/>
          <w:bCs/>
          <w:sz w:val="24"/>
          <w:szCs w:val="24"/>
          <w:lang w:val="bg-BG"/>
        </w:rPr>
        <w:t>1%.</w:t>
      </w:r>
    </w:p>
    <w:p w14:paraId="797497A9" w14:textId="50A7B451" w:rsidR="00442579" w:rsidRPr="00610B1B" w:rsidRDefault="00442579" w:rsidP="00D32D6A">
      <w:pPr>
        <w:spacing w:after="120"/>
        <w:ind w:right="-153"/>
        <w:rPr>
          <w:rFonts w:ascii="Times New Roman" w:eastAsia="Calibri" w:hAnsi="Times New Roman" w:cs="Times New Roman"/>
          <w:b/>
          <w:i/>
          <w:iCs/>
          <w:sz w:val="24"/>
          <w:szCs w:val="24"/>
          <w:lang w:val="bg-BG"/>
        </w:rPr>
      </w:pPr>
      <w:r w:rsidRPr="00610B1B">
        <w:rPr>
          <w:rFonts w:ascii="Times New Roman" w:eastAsia="Calibri" w:hAnsi="Times New Roman" w:cs="Times New Roman"/>
          <w:b/>
          <w:i/>
          <w:iCs/>
          <w:sz w:val="24"/>
          <w:szCs w:val="24"/>
          <w:lang w:val="bg-BG"/>
        </w:rPr>
        <w:t>Рибарство и аквакултури</w:t>
      </w:r>
      <w:r w:rsidRPr="00610B1B">
        <w:rPr>
          <w:rFonts w:ascii="Times New Roman" w:eastAsia="Calibri" w:hAnsi="Times New Roman" w:cs="Times New Roman"/>
          <w:bCs/>
          <w:sz w:val="24"/>
          <w:szCs w:val="24"/>
          <w:lang w:val="bg-BG"/>
        </w:rPr>
        <w:t xml:space="preserve"> </w:t>
      </w:r>
    </w:p>
    <w:p w14:paraId="08EB2370" w14:textId="7303F3EC" w:rsidR="00442579" w:rsidRPr="00610B1B" w:rsidRDefault="00442579"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 xml:space="preserve">Черно море е с трайно намаляващи рибни ресурси. В краткосрочен план, прогнозата е тенденцията да се запази, което се свързва с ограничения район на плаване на голяма част от риболовния флот, малките риболовни кораби с недостатъчно и остаряло оборудване и производствени инсталации и липса на потенциал за иновации и технологично обновяване. Намаляването на печалбите вследствие на постоянно увеличаване на разходите за осъществяване на дейността и съответно незадоволителните икономически резултати, са сред причините за намаляване на броя на активните кораби. В допълнение на това, върху рибните запаси негативно влияние имат замърсяването, инвазивните видове, климатичните промени и повишените температури на морската вода, </w:t>
      </w:r>
      <w:r w:rsidRPr="00610B1B">
        <w:rPr>
          <w:rFonts w:ascii="Times New Roman" w:eastAsia="Calibri" w:hAnsi="Times New Roman" w:cs="Times New Roman"/>
          <w:iCs/>
          <w:sz w:val="24"/>
          <w:szCs w:val="24"/>
          <w:lang w:val="bg-BG"/>
        </w:rPr>
        <w:lastRenderedPageBreak/>
        <w:t xml:space="preserve">незаконният, недеклариран и нерегулиран риболов, цялостната промяна на състоянието на морската среда и неустойчивата експлоатация на рибните ресурси. </w:t>
      </w:r>
    </w:p>
    <w:p w14:paraId="3FBB28AC" w14:textId="43C773E3" w:rsidR="00442579" w:rsidRPr="00610B1B" w:rsidRDefault="008604A1"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 xml:space="preserve">Последни </w:t>
      </w:r>
      <w:r w:rsidR="00442579" w:rsidRPr="00610B1B">
        <w:rPr>
          <w:rFonts w:ascii="Times New Roman" w:eastAsia="Calibri" w:hAnsi="Times New Roman" w:cs="Times New Roman"/>
          <w:iCs/>
          <w:sz w:val="24"/>
          <w:szCs w:val="24"/>
          <w:lang w:val="bg-BG"/>
        </w:rPr>
        <w:t>проучвания на международни изследователски центрове и мозъчни тръстове към Организацията по прехрана и земеделие (FAO), Конференцията за търговия и развитие на обединените нации (UNCTAD) и други</w:t>
      </w:r>
      <w:r w:rsidR="00442579" w:rsidRPr="00610B1B">
        <w:rPr>
          <w:rFonts w:ascii="Times New Roman" w:eastAsia="Calibri" w:hAnsi="Times New Roman" w:cs="Times New Roman"/>
          <w:iCs/>
          <w:sz w:val="24"/>
          <w:szCs w:val="24"/>
          <w:vertAlign w:val="superscript"/>
          <w:lang w:val="bg-BG"/>
        </w:rPr>
        <w:footnoteReference w:id="157"/>
      </w:r>
      <w:r w:rsidR="00442579" w:rsidRPr="00610B1B">
        <w:rPr>
          <w:rFonts w:ascii="Times New Roman" w:eastAsia="Calibri" w:hAnsi="Times New Roman" w:cs="Times New Roman"/>
          <w:iCs/>
          <w:sz w:val="24"/>
          <w:szCs w:val="24"/>
          <w:lang w:val="bg-BG"/>
        </w:rPr>
        <w:t xml:space="preserve">, показват че въпреки стагнацията </w:t>
      </w:r>
      <w:r w:rsidRPr="00610B1B">
        <w:rPr>
          <w:rFonts w:ascii="Times New Roman" w:eastAsia="Calibri" w:hAnsi="Times New Roman" w:cs="Times New Roman"/>
          <w:iCs/>
          <w:sz w:val="24"/>
          <w:szCs w:val="24"/>
          <w:lang w:val="bg-BG"/>
        </w:rPr>
        <w:t xml:space="preserve">през 2020 г. </w:t>
      </w:r>
      <w:r w:rsidR="00442579" w:rsidRPr="00610B1B">
        <w:rPr>
          <w:rFonts w:ascii="Times New Roman" w:eastAsia="Calibri" w:hAnsi="Times New Roman" w:cs="Times New Roman"/>
          <w:iCs/>
          <w:sz w:val="24"/>
          <w:szCs w:val="24"/>
          <w:lang w:val="bg-BG"/>
        </w:rPr>
        <w:t xml:space="preserve">поради ограничаването на движението на риболовните кораби, затварянето на ресторантите, промените в консумацията на риба и рибни продукти, в световен мащаб консумацията на риба и рибни продукти няма да намалее. В условията на пандемия се търсят повече консервирани и замразени продукти, и това засилва високата оценка за значението на рибопреработката в българската акватория на Черно море. </w:t>
      </w:r>
    </w:p>
    <w:p w14:paraId="0A14360A" w14:textId="0D0C6BCF" w:rsidR="00442579" w:rsidRPr="00610B1B" w:rsidRDefault="00442579"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В сектора на аквакултурите (представен единствено от ферми за черна мида), наблюдаваният през последното десетилетие висок ръст беше обусловен почти изцяло от наличните ресурси по целевата програма</w:t>
      </w:r>
      <w:r w:rsidRPr="00610B1B">
        <w:rPr>
          <w:rFonts w:ascii="Times New Roman" w:eastAsia="Calibri" w:hAnsi="Times New Roman" w:cs="Times New Roman"/>
          <w:iCs/>
          <w:sz w:val="24"/>
          <w:szCs w:val="24"/>
          <w:vertAlign w:val="superscript"/>
          <w:lang w:val="bg-BG"/>
        </w:rPr>
        <w:footnoteReference w:id="158"/>
      </w:r>
      <w:r w:rsidRPr="00610B1B">
        <w:rPr>
          <w:rFonts w:ascii="Times New Roman" w:eastAsia="Calibri" w:hAnsi="Times New Roman" w:cs="Times New Roman"/>
          <w:iCs/>
          <w:sz w:val="24"/>
          <w:szCs w:val="24"/>
          <w:lang w:val="bg-BG"/>
        </w:rPr>
        <w:t xml:space="preserve"> на ЕС за България. Пазарното поведение на сектора демонстрира неустойчивост и негативн</w:t>
      </w:r>
      <w:r w:rsidR="003079FF" w:rsidRPr="00610B1B">
        <w:rPr>
          <w:rFonts w:ascii="Times New Roman" w:eastAsia="Calibri" w:hAnsi="Times New Roman" w:cs="Times New Roman"/>
          <w:iCs/>
          <w:sz w:val="24"/>
          <w:szCs w:val="24"/>
          <w:lang w:val="bg-BG"/>
        </w:rPr>
        <w:t>и тенденции</w:t>
      </w:r>
      <w:r w:rsidRPr="00610B1B">
        <w:rPr>
          <w:rFonts w:ascii="Times New Roman" w:eastAsia="Calibri" w:hAnsi="Times New Roman" w:cs="Times New Roman"/>
          <w:iCs/>
          <w:sz w:val="24"/>
          <w:szCs w:val="24"/>
          <w:lang w:val="bg-BG"/>
        </w:rPr>
        <w:t xml:space="preserve">. В краткосрочен план се очаква продължаване на спада, а в дългосрочен – стабилизиране и нов подем, но в контекст на отстранени причини за сегашния упадък и евентуално политика в името на диверсифицирана местна икономика, заетост и благоденствие на местното население. </w:t>
      </w:r>
    </w:p>
    <w:p w14:paraId="4469D228" w14:textId="42E14064" w:rsidR="00442579" w:rsidRPr="00610B1B" w:rsidRDefault="00442579"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Към 2030 г. се очаква 62% от консумацията на риба и рибни продукти в света да се задоволява от аквакултура</w:t>
      </w:r>
      <w:r w:rsidRPr="00610B1B">
        <w:rPr>
          <w:rFonts w:ascii="Times New Roman" w:eastAsia="Calibri" w:hAnsi="Times New Roman" w:cs="Times New Roman"/>
          <w:iCs/>
          <w:sz w:val="24"/>
          <w:szCs w:val="24"/>
          <w:vertAlign w:val="superscript"/>
          <w:lang w:val="bg-BG"/>
        </w:rPr>
        <w:footnoteReference w:id="159"/>
      </w:r>
      <w:r w:rsidRPr="00610B1B">
        <w:rPr>
          <w:rFonts w:ascii="Times New Roman" w:eastAsia="Calibri" w:hAnsi="Times New Roman" w:cs="Times New Roman"/>
          <w:iCs/>
          <w:sz w:val="24"/>
          <w:szCs w:val="24"/>
          <w:lang w:val="bg-BG"/>
        </w:rPr>
        <w:t>. Заедно с нарастващата тенденция за консумация на преработени и консервирани продукти от аквакултура това подсказва възможностите за развитието на сектора в перспектива, при разнообразяване на морската аквакултура. Използването на</w:t>
      </w:r>
      <w:r w:rsidR="00D66FE0" w:rsidRPr="00610B1B">
        <w:rPr>
          <w:rFonts w:ascii="Times New Roman" w:eastAsia="Calibri" w:hAnsi="Times New Roman" w:cs="Times New Roman"/>
          <w:iCs/>
          <w:sz w:val="24"/>
          <w:szCs w:val="24"/>
          <w:lang w:val="bg-BG"/>
        </w:rPr>
        <w:t xml:space="preserve"> </w:t>
      </w:r>
      <w:r w:rsidRPr="00610B1B">
        <w:rPr>
          <w:rFonts w:ascii="Times New Roman" w:eastAsia="Calibri" w:hAnsi="Times New Roman" w:cs="Times New Roman"/>
          <w:iCs/>
          <w:sz w:val="24"/>
          <w:szCs w:val="24"/>
          <w:lang w:val="bg-BG"/>
        </w:rPr>
        <w:t>благоприятните условия за мидени ферми по българското черноморско крайбрежие, доброто качество на отглежданите миди и високият рандеман, позволяват създаване на затворен цикъл на производството, чрез изграждане на преработвателни предприятия към мидените плантации.</w:t>
      </w:r>
      <w:r w:rsidR="00033EAD" w:rsidRPr="00610B1B">
        <w:rPr>
          <w:rFonts w:ascii="Times New Roman" w:eastAsia="Calibri" w:hAnsi="Times New Roman" w:cs="Times New Roman"/>
          <w:iCs/>
          <w:sz w:val="24"/>
          <w:szCs w:val="24"/>
          <w:lang w:val="bg-BG"/>
        </w:rPr>
        <w:t xml:space="preserve"> Допълнителен принос към развитието на аквакултурите се очаква да има и работата по създаването на демонстрационни центрове във Варна и Бургас за отглеждане на най-търсените риби </w:t>
      </w:r>
      <w:r w:rsidR="00BA5862" w:rsidRPr="00610B1B">
        <w:rPr>
          <w:rFonts w:ascii="Times New Roman" w:eastAsia="Calibri" w:hAnsi="Times New Roman" w:cs="Times New Roman"/>
          <w:iCs/>
          <w:sz w:val="24"/>
          <w:szCs w:val="24"/>
          <w:lang w:val="bg-BG"/>
        </w:rPr>
        <w:t>–</w:t>
      </w:r>
      <w:r w:rsidR="00033EAD" w:rsidRPr="00610B1B">
        <w:rPr>
          <w:rFonts w:ascii="Times New Roman" w:eastAsia="Calibri" w:hAnsi="Times New Roman" w:cs="Times New Roman"/>
          <w:iCs/>
          <w:sz w:val="24"/>
          <w:szCs w:val="24"/>
          <w:lang w:val="bg-BG"/>
        </w:rPr>
        <w:t xml:space="preserve"> калкан, ципура и лаврак. </w:t>
      </w:r>
    </w:p>
    <w:p w14:paraId="2AB02F09" w14:textId="129011FF" w:rsidR="00442579" w:rsidRPr="00610B1B" w:rsidRDefault="00442579" w:rsidP="00D32D6A">
      <w:pPr>
        <w:spacing w:after="120"/>
        <w:ind w:right="-153"/>
        <w:rPr>
          <w:rFonts w:ascii="Times New Roman" w:eastAsia="Calibri" w:hAnsi="Times New Roman" w:cs="Times New Roman"/>
          <w:b/>
          <w:i/>
          <w:iCs/>
          <w:sz w:val="24"/>
          <w:szCs w:val="24"/>
          <w:lang w:val="bg-BG"/>
        </w:rPr>
      </w:pPr>
      <w:r w:rsidRPr="00610B1B">
        <w:rPr>
          <w:rFonts w:ascii="Times New Roman" w:eastAsia="Calibri" w:hAnsi="Times New Roman" w:cs="Times New Roman"/>
          <w:b/>
          <w:i/>
          <w:iCs/>
          <w:sz w:val="24"/>
          <w:szCs w:val="24"/>
          <w:lang w:val="bg-BG"/>
        </w:rPr>
        <w:t>Добив на морски неживи ресурси (суров нефт, природен газ, морски минерали и спомагателни дейности)</w:t>
      </w:r>
    </w:p>
    <w:p w14:paraId="6E64CE7E" w14:textId="7E3A1214" w:rsidR="00285023"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По данни на Министерство на енергетиката</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на територията на</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 xml:space="preserve">българските крайморски общини попадат три находища на нефт и природен газ – “Тюленово”, “Дуранкулак” и “Българево”. </w:t>
      </w:r>
      <w:r w:rsidR="0056166E" w:rsidRPr="00610B1B">
        <w:rPr>
          <w:rFonts w:ascii="Times New Roman" w:eastAsia="Calibri" w:hAnsi="Times New Roman" w:cs="Times New Roman"/>
          <w:bCs/>
          <w:sz w:val="24"/>
          <w:szCs w:val="24"/>
          <w:lang w:val="bg-BG"/>
        </w:rPr>
        <w:t>Те</w:t>
      </w:r>
      <w:r w:rsidRPr="00610B1B">
        <w:rPr>
          <w:rFonts w:ascii="Times New Roman" w:eastAsia="Calibri" w:hAnsi="Times New Roman" w:cs="Times New Roman"/>
          <w:bCs/>
          <w:sz w:val="24"/>
          <w:szCs w:val="24"/>
          <w:lang w:val="bg-BG"/>
        </w:rPr>
        <w:t xml:space="preserve"> са в процес на експлоатация чрез издадени концесии за добив в полза на “Проучване и добив на нефт и газ” АД, гр. София.</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Почти всички концесионни договори надхвърлят времевия хоризонт на МППРБ – 2035 г.</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 xml:space="preserve">Прогнозите за развитието на сектора могат да се базират единствено на резултатите от досегашната дейност, поради липсата на достъп до информация за бъдещи проучвания и планове на </w:t>
      </w:r>
      <w:r w:rsidR="003079FF" w:rsidRPr="00610B1B">
        <w:rPr>
          <w:rFonts w:ascii="Times New Roman" w:eastAsia="Calibri" w:hAnsi="Times New Roman" w:cs="Times New Roman"/>
          <w:bCs/>
          <w:sz w:val="24"/>
          <w:szCs w:val="24"/>
          <w:lang w:val="bg-BG"/>
        </w:rPr>
        <w:t>ангажираните в това</w:t>
      </w:r>
      <w:r w:rsidR="00033EAD" w:rsidRPr="00610B1B">
        <w:rPr>
          <w:rFonts w:ascii="Times New Roman" w:eastAsia="Calibri" w:hAnsi="Times New Roman" w:cs="Times New Roman"/>
          <w:bCs/>
          <w:sz w:val="24"/>
          <w:szCs w:val="24"/>
          <w:lang w:val="bg-BG"/>
        </w:rPr>
        <w:t xml:space="preserve"> международни</w:t>
      </w:r>
      <w:r w:rsidR="003079FF"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 xml:space="preserve">компании. </w:t>
      </w:r>
    </w:p>
    <w:p w14:paraId="32C164A4" w14:textId="6407AEF0" w:rsidR="00285023"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lastRenderedPageBreak/>
        <w:t xml:space="preserve">В българския сектор на Черно море са извършени над 40 крупни 2D и 3D сеизмични проучвателни проекта от различни </w:t>
      </w:r>
      <w:r w:rsidR="0056166E" w:rsidRPr="00610B1B">
        <w:rPr>
          <w:rFonts w:ascii="Times New Roman" w:eastAsia="Calibri" w:hAnsi="Times New Roman" w:cs="Times New Roman"/>
          <w:bCs/>
          <w:sz w:val="24"/>
          <w:szCs w:val="24"/>
          <w:lang w:val="bg-BG"/>
        </w:rPr>
        <w:t xml:space="preserve">световни </w:t>
      </w:r>
      <w:r w:rsidRPr="00610B1B">
        <w:rPr>
          <w:rFonts w:ascii="Times New Roman" w:eastAsia="Calibri" w:hAnsi="Times New Roman" w:cs="Times New Roman"/>
          <w:bCs/>
          <w:sz w:val="24"/>
          <w:szCs w:val="24"/>
          <w:lang w:val="bg-BG"/>
        </w:rPr>
        <w:t xml:space="preserve">петролни компании, с модерни технологии и оборудване, но програмата за проучване на нефт и газ не даде очакваните резултати. След повече от 50 години проучвания, в геоложкото пространство на българския черноморски шелф и ИИЗ, не се очаква разкриване </w:t>
      </w:r>
      <w:r w:rsidR="00285023" w:rsidRPr="00610B1B">
        <w:rPr>
          <w:rFonts w:ascii="Times New Roman" w:eastAsia="Calibri" w:hAnsi="Times New Roman" w:cs="Times New Roman"/>
          <w:bCs/>
          <w:sz w:val="24"/>
          <w:szCs w:val="24"/>
          <w:lang w:val="bg-BG"/>
        </w:rPr>
        <w:t xml:space="preserve">на нови перспективни находища. </w:t>
      </w:r>
    </w:p>
    <w:p w14:paraId="0D8893F5" w14:textId="146B4844" w:rsidR="00285023"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Издадените към края на 2019 г. три концеси</w:t>
      </w:r>
      <w:r w:rsidR="00285023" w:rsidRPr="00610B1B">
        <w:rPr>
          <w:rFonts w:ascii="Times New Roman" w:eastAsia="Calibri" w:hAnsi="Times New Roman" w:cs="Times New Roman"/>
          <w:bCs/>
          <w:sz w:val="24"/>
          <w:szCs w:val="24"/>
          <w:lang w:val="bg-BG"/>
        </w:rPr>
        <w:t>и</w:t>
      </w:r>
      <w:r w:rsidRPr="00610B1B">
        <w:rPr>
          <w:rFonts w:ascii="Times New Roman" w:eastAsia="Calibri" w:hAnsi="Times New Roman" w:cs="Times New Roman"/>
          <w:bCs/>
          <w:sz w:val="24"/>
          <w:szCs w:val="24"/>
          <w:lang w:val="bg-BG"/>
        </w:rPr>
        <w:t xml:space="preserve"> за добив на строителни</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(инертни) материали – пясъци, на територията на общините Варна, Несебър и Бургас са със значителни срокове на действие, приключващи съответно през 2030, 2036 и 2040</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г.</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Неоправдано дългите срокове надхвърлят времето за изчерпване на ресурса, изискват стриктен контрол на изпълнението на концесионните договори. Доказателство за това е прекратената концесия за добив на пясък в кв. Акациите, гр. Бургас през м. април 2019 г. поради изчерпване на ресурса. Познанията за наличието и разпространението на този ресурс все още са слаби. Това налага в прогнозния период да се извърши планомерно и комплексно проучване на околната среда, включително, хидро- и литодинамичен режим, подхранващи провинции, седиментен транспорт и моделиране на из</w:t>
      </w:r>
      <w:r w:rsidR="00285023" w:rsidRPr="00610B1B">
        <w:rPr>
          <w:rFonts w:ascii="Times New Roman" w:eastAsia="Calibri" w:hAnsi="Times New Roman" w:cs="Times New Roman"/>
          <w:bCs/>
          <w:sz w:val="24"/>
          <w:szCs w:val="24"/>
          <w:lang w:val="bg-BG"/>
        </w:rPr>
        <w:t>мененията при евентуален добив.</w:t>
      </w:r>
    </w:p>
    <w:p w14:paraId="13E5B79C" w14:textId="77777777" w:rsidR="00285023" w:rsidRPr="00610B1B" w:rsidRDefault="00442579"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sz w:val="24"/>
          <w:szCs w:val="24"/>
          <w:lang w:val="bg-BG"/>
        </w:rPr>
        <w:t>Добивът на морски минерали на територията на крайбрежния район се представя от добива на морска сол, луга и използване на лечебна кал.</w:t>
      </w:r>
    </w:p>
    <w:p w14:paraId="3B16B6C5" w14:textId="4B751FD5" w:rsidR="00285023" w:rsidRPr="00610B1B" w:rsidRDefault="008466D0"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iCs/>
          <w:sz w:val="24"/>
          <w:szCs w:val="24"/>
          <w:lang w:val="bg-BG"/>
        </w:rPr>
        <w:t>Данните за добив на морска сол от последните години показват свиване на производството до около 40 000 тона сол годишно. Производството е силно зависимо от климатичните условия, използваният традиционен ръчен способ изисква наличие на работна ръка. Може да се предполага, че с целенасочената подкрепа на държавата и общините това производство ще бъде запазено с дял от около 30% на националните пазари, предимно поради голямата му културна и историческа стойност.</w:t>
      </w:r>
      <w:r w:rsidR="00D66FE0" w:rsidRPr="00610B1B">
        <w:rPr>
          <w:rFonts w:ascii="Times New Roman" w:eastAsia="Calibri" w:hAnsi="Times New Roman" w:cs="Times New Roman"/>
          <w:iCs/>
          <w:sz w:val="24"/>
          <w:szCs w:val="24"/>
          <w:lang w:val="bg-BG"/>
        </w:rPr>
        <w:t xml:space="preserve"> </w:t>
      </w:r>
    </w:p>
    <w:p w14:paraId="660EFD43" w14:textId="78609326" w:rsidR="00285023" w:rsidRPr="00610B1B" w:rsidRDefault="00442579"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Друг продукт на солодобива е лугата, която съдържа магнезий, калий, сяра, натриев хлорид</w:t>
      </w:r>
      <w:r w:rsidR="00D66FE0" w:rsidRPr="00610B1B">
        <w:rPr>
          <w:rFonts w:ascii="Times New Roman" w:eastAsia="Calibri" w:hAnsi="Times New Roman" w:cs="Times New Roman"/>
          <w:iCs/>
          <w:sz w:val="24"/>
          <w:szCs w:val="24"/>
          <w:lang w:val="bg-BG"/>
        </w:rPr>
        <w:t xml:space="preserve"> </w:t>
      </w:r>
      <w:r w:rsidRPr="00610B1B">
        <w:rPr>
          <w:rFonts w:ascii="Times New Roman" w:eastAsia="Calibri" w:hAnsi="Times New Roman" w:cs="Times New Roman"/>
          <w:iCs/>
          <w:sz w:val="24"/>
          <w:szCs w:val="24"/>
          <w:lang w:val="bg-BG"/>
        </w:rPr>
        <w:t>и има утвърдено приложение в балнеолечението и профилактика</w:t>
      </w:r>
      <w:r w:rsidR="0056166E" w:rsidRPr="00610B1B">
        <w:rPr>
          <w:rFonts w:ascii="Times New Roman" w:eastAsia="Calibri" w:hAnsi="Times New Roman" w:cs="Times New Roman"/>
          <w:iCs/>
          <w:sz w:val="24"/>
          <w:szCs w:val="24"/>
          <w:lang w:val="bg-BG"/>
        </w:rPr>
        <w:t>та</w:t>
      </w:r>
      <w:r w:rsidRPr="00610B1B">
        <w:rPr>
          <w:rFonts w:ascii="Times New Roman" w:eastAsia="Calibri" w:hAnsi="Times New Roman" w:cs="Times New Roman"/>
          <w:iCs/>
          <w:sz w:val="24"/>
          <w:szCs w:val="24"/>
          <w:lang w:val="bg-BG"/>
        </w:rPr>
        <w:t xml:space="preserve"> на болести на костната система. </w:t>
      </w:r>
      <w:r w:rsidR="008466D0" w:rsidRPr="00610B1B">
        <w:rPr>
          <w:rFonts w:ascii="Times New Roman" w:eastAsia="Calibri" w:hAnsi="Times New Roman" w:cs="Times New Roman"/>
          <w:iCs/>
          <w:sz w:val="24"/>
          <w:szCs w:val="24"/>
          <w:lang w:val="bg-BG"/>
        </w:rPr>
        <w:t>Лабораторията към БАН, разположена до Атанасовското езеро, гр. Бургас работи по иновативни козметични и биопродукти, нуждаещи се от подходяща реклама на международния пазар.</w:t>
      </w:r>
    </w:p>
    <w:p w14:paraId="25DC1510" w14:textId="02973E3D" w:rsidR="00285023" w:rsidRPr="00610B1B" w:rsidRDefault="00FC501B"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Зависимостта на д</w:t>
      </w:r>
      <w:r w:rsidR="00442579" w:rsidRPr="00610B1B">
        <w:rPr>
          <w:rFonts w:ascii="Times New Roman" w:eastAsia="Calibri" w:hAnsi="Times New Roman" w:cs="Times New Roman"/>
          <w:iCs/>
          <w:sz w:val="24"/>
          <w:szCs w:val="24"/>
          <w:lang w:val="bg-BG"/>
        </w:rPr>
        <w:t>обив</w:t>
      </w:r>
      <w:r w:rsidRPr="00610B1B">
        <w:rPr>
          <w:rFonts w:ascii="Times New Roman" w:eastAsia="Calibri" w:hAnsi="Times New Roman" w:cs="Times New Roman"/>
          <w:iCs/>
          <w:sz w:val="24"/>
          <w:szCs w:val="24"/>
          <w:lang w:val="bg-BG"/>
        </w:rPr>
        <w:t>а</w:t>
      </w:r>
      <w:r w:rsidR="00442579" w:rsidRPr="00610B1B">
        <w:rPr>
          <w:rFonts w:ascii="Times New Roman" w:eastAsia="Calibri" w:hAnsi="Times New Roman" w:cs="Times New Roman"/>
          <w:iCs/>
          <w:sz w:val="24"/>
          <w:szCs w:val="24"/>
          <w:lang w:val="bg-BG"/>
        </w:rPr>
        <w:t xml:space="preserve"> на морска сол и други съпътстващи продукти от климатичните условия</w:t>
      </w:r>
      <w:r w:rsidRPr="00610B1B">
        <w:rPr>
          <w:rFonts w:ascii="Times New Roman" w:eastAsia="Calibri" w:hAnsi="Times New Roman" w:cs="Times New Roman"/>
          <w:iCs/>
          <w:sz w:val="24"/>
          <w:szCs w:val="24"/>
          <w:lang w:val="bg-BG"/>
        </w:rPr>
        <w:t xml:space="preserve"> затруднява прогнозирането</w:t>
      </w:r>
      <w:r w:rsidR="00442579" w:rsidRPr="00610B1B">
        <w:rPr>
          <w:rFonts w:ascii="Times New Roman" w:eastAsia="Calibri" w:hAnsi="Times New Roman" w:cs="Times New Roman"/>
          <w:iCs/>
          <w:sz w:val="24"/>
          <w:szCs w:val="24"/>
          <w:lang w:val="bg-BG"/>
        </w:rPr>
        <w:t>. Не са известни и плановете за развитие на фирмата. Това е една от дейностите, която трябва да се съхрани като пример за устойчиво развитие с перфектен, безконфликтен баланс между стопанска дейност и природозащита и чиста форма на самовъзпроизвеждаща се екосистемна услуга. Прогнозата е „устойчиво развитие без експанзия“, а въздейст</w:t>
      </w:r>
      <w:r w:rsidR="00285023" w:rsidRPr="00610B1B">
        <w:rPr>
          <w:rFonts w:ascii="Times New Roman" w:eastAsia="Calibri" w:hAnsi="Times New Roman" w:cs="Times New Roman"/>
          <w:iCs/>
          <w:sz w:val="24"/>
          <w:szCs w:val="24"/>
          <w:lang w:val="bg-BG"/>
        </w:rPr>
        <w:t xml:space="preserve">вието – „неутрално-позитивно“. </w:t>
      </w:r>
    </w:p>
    <w:p w14:paraId="7F3B55D7" w14:textId="7B926793" w:rsidR="00C1644A" w:rsidRPr="00610B1B" w:rsidRDefault="00C1644A" w:rsidP="00D32D6A">
      <w:pPr>
        <w:spacing w:after="120"/>
        <w:ind w:right="-153"/>
        <w:jc w:val="both"/>
        <w:rPr>
          <w:rFonts w:ascii="Times New Roman" w:eastAsia="Calibri" w:hAnsi="Times New Roman" w:cs="Times New Roman"/>
          <w:b/>
          <w:bCs/>
          <w:i/>
          <w:sz w:val="24"/>
          <w:szCs w:val="24"/>
          <w:lang w:val="bg-BG"/>
        </w:rPr>
      </w:pPr>
      <w:r w:rsidRPr="00610B1B">
        <w:rPr>
          <w:rFonts w:ascii="Times New Roman" w:eastAsia="Calibri" w:hAnsi="Times New Roman" w:cs="Times New Roman"/>
          <w:b/>
          <w:bCs/>
          <w:i/>
          <w:sz w:val="24"/>
          <w:szCs w:val="24"/>
          <w:lang w:val="bg-BG"/>
        </w:rPr>
        <w:t>Производство на елекроенергия от възобновяеми енергийни източници. Офшорна вятърна енергия</w:t>
      </w:r>
    </w:p>
    <w:p w14:paraId="3A9C5A07" w14:textId="573181A0" w:rsidR="00C1644A" w:rsidRPr="00610B1B" w:rsidRDefault="00C1644A"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В края на 2020 г. е приета Стратегия на ЕС за офшорна възобновяема енергия, съгласно</w:t>
      </w:r>
      <w:r w:rsidR="001A58D0" w:rsidRPr="00610B1B">
        <w:rPr>
          <w:rFonts w:ascii="Times New Roman" w:eastAsia="Calibri" w:hAnsi="Times New Roman" w:cs="Times New Roman"/>
          <w:iCs/>
          <w:sz w:val="24"/>
          <w:szCs w:val="24"/>
          <w:lang w:val="bg-BG"/>
        </w:rPr>
        <w:t>,</w:t>
      </w:r>
      <w:r w:rsidRPr="00610B1B">
        <w:rPr>
          <w:rFonts w:ascii="Times New Roman" w:eastAsia="Calibri" w:hAnsi="Times New Roman" w:cs="Times New Roman"/>
          <w:iCs/>
          <w:sz w:val="24"/>
          <w:szCs w:val="24"/>
          <w:lang w:val="bg-BG"/>
        </w:rPr>
        <w:t xml:space="preserve"> която добиването на вятърна енергия в морето постига няколко кумулативни ефекта</w:t>
      </w:r>
      <w:r w:rsidR="001A58D0" w:rsidRPr="00610B1B">
        <w:rPr>
          <w:rFonts w:ascii="Times New Roman" w:eastAsia="Calibri" w:hAnsi="Times New Roman" w:cs="Times New Roman"/>
          <w:iCs/>
          <w:sz w:val="24"/>
          <w:szCs w:val="24"/>
          <w:lang w:val="bg-BG"/>
        </w:rPr>
        <w:t xml:space="preserve">: стимулиране на нисковъглеродното икономическо развитие на крайбрежните региони; осигуряване на конкурентноспособна и сигурна енергия и намаляване на зависимостта на държавите членки  от вноса на енергия. Това е първият европейски стратегически </w:t>
      </w:r>
      <w:r w:rsidR="001A58D0" w:rsidRPr="00610B1B">
        <w:rPr>
          <w:rFonts w:ascii="Times New Roman" w:eastAsia="Calibri" w:hAnsi="Times New Roman" w:cs="Times New Roman"/>
          <w:iCs/>
          <w:sz w:val="24"/>
          <w:szCs w:val="24"/>
          <w:lang w:val="bg-BG"/>
        </w:rPr>
        <w:lastRenderedPageBreak/>
        <w:t>документ,</w:t>
      </w:r>
      <w:r w:rsidR="00FB0824" w:rsidRPr="00610B1B">
        <w:rPr>
          <w:rFonts w:ascii="Times New Roman" w:eastAsia="Calibri" w:hAnsi="Times New Roman" w:cs="Times New Roman"/>
          <w:iCs/>
          <w:sz w:val="24"/>
          <w:szCs w:val="24"/>
          <w:lang w:val="bg-BG"/>
        </w:rPr>
        <w:t xml:space="preserve"> </w:t>
      </w:r>
      <w:r w:rsidR="001A58D0" w:rsidRPr="00610B1B">
        <w:rPr>
          <w:rFonts w:ascii="Times New Roman" w:eastAsia="Calibri" w:hAnsi="Times New Roman" w:cs="Times New Roman"/>
          <w:iCs/>
          <w:sz w:val="24"/>
          <w:szCs w:val="24"/>
          <w:lang w:val="bg-BG"/>
        </w:rPr>
        <w:t>който признава</w:t>
      </w:r>
      <w:r w:rsidR="00FB0824" w:rsidRPr="00610B1B">
        <w:rPr>
          <w:rFonts w:ascii="Times New Roman" w:eastAsia="Calibri" w:hAnsi="Times New Roman" w:cs="Times New Roman"/>
          <w:iCs/>
          <w:sz w:val="24"/>
          <w:szCs w:val="24"/>
          <w:lang w:val="bg-BG"/>
        </w:rPr>
        <w:t xml:space="preserve"> </w:t>
      </w:r>
      <w:r w:rsidR="00E45844" w:rsidRPr="00610B1B">
        <w:rPr>
          <w:rFonts w:ascii="Times New Roman" w:eastAsia="Calibri" w:hAnsi="Times New Roman" w:cs="Times New Roman"/>
          <w:iCs/>
          <w:sz w:val="24"/>
          <w:szCs w:val="24"/>
          <w:lang w:val="bg-BG"/>
        </w:rPr>
        <w:t>добрият природен потенциал за добив на енергия от ветроенергийни паркове в Черно море.</w:t>
      </w:r>
      <w:r w:rsidR="007C60B4" w:rsidRPr="00610B1B">
        <w:rPr>
          <w:rFonts w:ascii="Times New Roman" w:eastAsia="Calibri" w:hAnsi="Times New Roman" w:cs="Times New Roman"/>
          <w:iCs/>
          <w:sz w:val="24"/>
          <w:szCs w:val="24"/>
          <w:lang w:val="bg-BG"/>
        </w:rPr>
        <w:t xml:space="preserve"> В отговор на енергийната криза настъпваща през последните години</w:t>
      </w:r>
      <w:r w:rsidR="00AA1092" w:rsidRPr="00610B1B">
        <w:rPr>
          <w:rFonts w:ascii="Times New Roman" w:eastAsia="Calibri" w:hAnsi="Times New Roman" w:cs="Times New Roman"/>
          <w:iCs/>
          <w:sz w:val="24"/>
          <w:szCs w:val="24"/>
          <w:lang w:val="bg-BG"/>
        </w:rPr>
        <w:t>,</w:t>
      </w:r>
      <w:r w:rsidR="007C60B4" w:rsidRPr="00610B1B">
        <w:rPr>
          <w:rFonts w:ascii="Times New Roman" w:eastAsia="Calibri" w:hAnsi="Times New Roman" w:cs="Times New Roman"/>
          <w:iCs/>
          <w:sz w:val="24"/>
          <w:szCs w:val="24"/>
          <w:lang w:val="bg-BG"/>
        </w:rPr>
        <w:t xml:space="preserve"> все по-належащо става </w:t>
      </w:r>
      <w:r w:rsidR="00AA1092" w:rsidRPr="00610B1B">
        <w:rPr>
          <w:rFonts w:ascii="Times New Roman" w:eastAsia="Calibri" w:hAnsi="Times New Roman" w:cs="Times New Roman"/>
          <w:iCs/>
          <w:sz w:val="24"/>
          <w:szCs w:val="24"/>
          <w:lang w:val="bg-BG"/>
        </w:rPr>
        <w:t xml:space="preserve">осъществяването на </w:t>
      </w:r>
      <w:r w:rsidR="007C60B4" w:rsidRPr="00610B1B">
        <w:rPr>
          <w:rFonts w:ascii="Times New Roman" w:eastAsia="Calibri" w:hAnsi="Times New Roman" w:cs="Times New Roman"/>
          <w:iCs/>
          <w:sz w:val="24"/>
          <w:szCs w:val="24"/>
          <w:lang w:val="bg-BG"/>
        </w:rPr>
        <w:t xml:space="preserve"> допълнителни проучвания </w:t>
      </w:r>
      <w:r w:rsidR="00AA1092" w:rsidRPr="00610B1B">
        <w:rPr>
          <w:rFonts w:ascii="Times New Roman" w:eastAsia="Calibri" w:hAnsi="Times New Roman" w:cs="Times New Roman"/>
          <w:iCs/>
          <w:sz w:val="24"/>
          <w:szCs w:val="24"/>
          <w:lang w:val="bg-BG"/>
        </w:rPr>
        <w:t>по отношение на добива на енергия от възобновяеми източници в Черно море. Стратегическата програма за научни изследвания и иновации за Черно море посочва като един от приоритетите си стимулирането на  нововъзникващите отрасли на синята икономика, каквито са технологиите за производство на енергия от ветроенергийни паркове.</w:t>
      </w:r>
      <w:r w:rsidR="00AE054A" w:rsidRPr="00610B1B">
        <w:rPr>
          <w:rFonts w:ascii="Times New Roman" w:eastAsia="Calibri" w:hAnsi="Times New Roman" w:cs="Times New Roman"/>
          <w:iCs/>
          <w:sz w:val="24"/>
          <w:szCs w:val="24"/>
          <w:lang w:val="bg-BG"/>
        </w:rPr>
        <w:t xml:space="preserve"> Както финансова, така и техническа помощ се предлага по линия на механизмите на ЕЗС и програмата </w:t>
      </w:r>
      <w:r w:rsidR="00AE054A" w:rsidRPr="00610B1B">
        <w:rPr>
          <w:rFonts w:ascii="Times New Roman" w:eastAsia="Calibri" w:hAnsi="Times New Roman" w:cs="Times New Roman"/>
          <w:iCs/>
          <w:sz w:val="24"/>
          <w:szCs w:val="24"/>
          <w:lang w:val="en-US"/>
        </w:rPr>
        <w:t>Connecting</w:t>
      </w:r>
      <w:r w:rsidR="00AE054A" w:rsidRPr="00D72982">
        <w:rPr>
          <w:rFonts w:ascii="Times New Roman" w:eastAsia="Calibri" w:hAnsi="Times New Roman" w:cs="Times New Roman"/>
          <w:iCs/>
          <w:sz w:val="24"/>
          <w:szCs w:val="24"/>
          <w:lang w:val="bg-BG"/>
        </w:rPr>
        <w:t xml:space="preserve"> </w:t>
      </w:r>
      <w:r w:rsidR="00AE054A" w:rsidRPr="00610B1B">
        <w:rPr>
          <w:rFonts w:ascii="Times New Roman" w:eastAsia="Calibri" w:hAnsi="Times New Roman" w:cs="Times New Roman"/>
          <w:iCs/>
          <w:sz w:val="24"/>
          <w:szCs w:val="24"/>
          <w:lang w:val="en-US"/>
        </w:rPr>
        <w:t>Europe</w:t>
      </w:r>
      <w:r w:rsidR="00AE054A" w:rsidRPr="00D72982">
        <w:rPr>
          <w:rFonts w:ascii="Times New Roman" w:eastAsia="Calibri" w:hAnsi="Times New Roman" w:cs="Times New Roman"/>
          <w:iCs/>
          <w:sz w:val="24"/>
          <w:szCs w:val="24"/>
          <w:lang w:val="bg-BG"/>
        </w:rPr>
        <w:t>=</w:t>
      </w:r>
      <w:r w:rsidR="00AE054A" w:rsidRPr="00610B1B">
        <w:rPr>
          <w:rFonts w:ascii="Times New Roman" w:eastAsia="Calibri" w:hAnsi="Times New Roman" w:cs="Times New Roman"/>
          <w:iCs/>
          <w:sz w:val="24"/>
          <w:szCs w:val="24"/>
          <w:lang w:val="bg-BG"/>
        </w:rPr>
        <w:t xml:space="preserve">Групата на високо равнище на </w:t>
      </w:r>
      <w:r w:rsidR="00AE054A" w:rsidRPr="00610B1B">
        <w:rPr>
          <w:rFonts w:ascii="Times New Roman" w:eastAsia="Calibri" w:hAnsi="Times New Roman" w:cs="Times New Roman"/>
          <w:iCs/>
          <w:sz w:val="24"/>
          <w:szCs w:val="24"/>
          <w:lang w:val="en-US"/>
        </w:rPr>
        <w:t>CESEC</w:t>
      </w:r>
      <w:r w:rsidR="00AE054A" w:rsidRPr="00D72982">
        <w:rPr>
          <w:rFonts w:ascii="Times New Roman" w:eastAsia="Calibri" w:hAnsi="Times New Roman" w:cs="Times New Roman"/>
          <w:iCs/>
          <w:sz w:val="24"/>
          <w:szCs w:val="24"/>
          <w:lang w:val="bg-BG"/>
        </w:rPr>
        <w:t xml:space="preserve"> </w:t>
      </w:r>
      <w:r w:rsidR="00AE054A" w:rsidRPr="00610B1B">
        <w:rPr>
          <w:rFonts w:ascii="Times New Roman" w:eastAsia="Calibri" w:hAnsi="Times New Roman" w:cs="Times New Roman"/>
          <w:iCs/>
          <w:sz w:val="24"/>
          <w:szCs w:val="24"/>
          <w:lang w:val="bg-BG"/>
        </w:rPr>
        <w:t>би могла също да подпомага инициативите за регионално сътрудничество в Черно море, така както  и Общата морска програма за черно море.</w:t>
      </w:r>
    </w:p>
    <w:p w14:paraId="2146C2F3" w14:textId="099145F4" w:rsidR="00AB46C3" w:rsidRPr="00610B1B" w:rsidRDefault="00AB46C3"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Енергията, добивана от слънцето, вятъра и сероводорода наличен в Черно море е устойчива, тъй като тези източници са практически неизчерпаеми. С цел насърчаване на устойчивия растеж на морската икономика и в съответствие с политиката на ЕС за преход към чиста енергийна система, потенциалното използване на офшорната възобновяема енергия се подкрепя принципно от отговорните институции на национално ниво. Успоредно с това се забелязва и нарастване на инвестиционния интерес.</w:t>
      </w:r>
    </w:p>
    <w:p w14:paraId="69F431A7" w14:textId="649EF37C" w:rsidR="001A58D0" w:rsidRPr="00610B1B" w:rsidRDefault="00053CAD"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През последните 3 години бяха проведени техноикономически оценки на ветровия потенциал в Българската акватория на Черно море и идентифицирани благоприятни зони</w:t>
      </w:r>
      <w:r w:rsidR="009054C7" w:rsidRPr="00610B1B">
        <w:rPr>
          <w:rFonts w:ascii="Times New Roman" w:eastAsia="Calibri" w:hAnsi="Times New Roman" w:cs="Times New Roman"/>
          <w:iCs/>
          <w:sz w:val="24"/>
          <w:szCs w:val="24"/>
          <w:lang w:val="bg-BG"/>
        </w:rPr>
        <w:t xml:space="preserve"> </w:t>
      </w:r>
      <w:r w:rsidRPr="00610B1B">
        <w:rPr>
          <w:rFonts w:ascii="Times New Roman" w:eastAsia="Calibri" w:hAnsi="Times New Roman" w:cs="Times New Roman"/>
          <w:iCs/>
          <w:sz w:val="24"/>
          <w:szCs w:val="24"/>
          <w:lang w:val="bg-BG"/>
        </w:rPr>
        <w:t xml:space="preserve">за бъдещо развитие. Към настоящият момент все още се проучват регулаторни модели за офшорната възобновяема енергийна индустрия и протичат консултации за подходящо нормативно регулиране на този сектор. По отношение на морското пространствено планиране, следва да бъдат извършени допълнителни проучвания с цел постигане </w:t>
      </w:r>
      <w:r w:rsidR="003542B5" w:rsidRPr="00610B1B">
        <w:rPr>
          <w:rFonts w:ascii="Times New Roman" w:eastAsia="Calibri" w:hAnsi="Times New Roman" w:cs="Times New Roman"/>
          <w:iCs/>
          <w:sz w:val="24"/>
          <w:szCs w:val="24"/>
          <w:lang w:val="bg-BG"/>
        </w:rPr>
        <w:t>на синергия за производство на офшорна вятърна енергия с останалите съществуващи морски дейности, за да бъдат избегнати отрицателни въздействия и конфликтни точки.</w:t>
      </w:r>
    </w:p>
    <w:p w14:paraId="156AB35C" w14:textId="30551372" w:rsidR="00285023" w:rsidRPr="00610B1B" w:rsidRDefault="00285023"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b/>
          <w:i/>
          <w:iCs/>
          <w:sz w:val="24"/>
          <w:szCs w:val="24"/>
          <w:lang w:val="bg-BG"/>
        </w:rPr>
        <w:t>Морски биотехнологии</w:t>
      </w:r>
    </w:p>
    <w:p w14:paraId="4424C5B7" w14:textId="413F204F" w:rsidR="00285023" w:rsidRPr="00610B1B" w:rsidRDefault="00285023"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 xml:space="preserve">Биотехнологиите, </w:t>
      </w:r>
      <w:r w:rsidR="00442579" w:rsidRPr="00610B1B">
        <w:rPr>
          <w:rFonts w:ascii="Times New Roman" w:eastAsia="Calibri" w:hAnsi="Times New Roman" w:cs="Times New Roman"/>
          <w:iCs/>
          <w:sz w:val="24"/>
          <w:szCs w:val="24"/>
          <w:lang w:val="bg-BG"/>
        </w:rPr>
        <w:t xml:space="preserve">една от най-важните области за бъдещето на синята икономика, се очаква да са сред бързо развиващите се сектори. Това се </w:t>
      </w:r>
      <w:r w:rsidR="00BB78A1" w:rsidRPr="00610B1B">
        <w:rPr>
          <w:rFonts w:ascii="Times New Roman" w:eastAsia="Calibri" w:hAnsi="Times New Roman" w:cs="Times New Roman"/>
          <w:iCs/>
          <w:sz w:val="24"/>
          <w:szCs w:val="24"/>
          <w:lang w:val="bg-BG"/>
        </w:rPr>
        <w:t>потвърждава</w:t>
      </w:r>
      <w:r w:rsidR="00442579" w:rsidRPr="00610B1B">
        <w:rPr>
          <w:rFonts w:ascii="Times New Roman" w:eastAsia="Calibri" w:hAnsi="Times New Roman" w:cs="Times New Roman"/>
          <w:iCs/>
          <w:sz w:val="24"/>
          <w:szCs w:val="24"/>
          <w:lang w:val="bg-BG"/>
        </w:rPr>
        <w:t xml:space="preserve"> от обявената подкрепа по време на BlueInvest Day в Брюксел през февруари 2020 г. чрез инвестиране на 115 млн. евро </w:t>
      </w:r>
      <w:r w:rsidR="00341579" w:rsidRPr="00610B1B">
        <w:rPr>
          <w:rFonts w:ascii="Times New Roman" w:eastAsia="Calibri" w:hAnsi="Times New Roman" w:cs="Times New Roman"/>
          <w:iCs/>
          <w:sz w:val="24"/>
          <w:szCs w:val="24"/>
          <w:lang w:val="bg-BG"/>
        </w:rPr>
        <w:t>за</w:t>
      </w:r>
      <w:r w:rsidR="00442579" w:rsidRPr="00610B1B">
        <w:rPr>
          <w:rFonts w:ascii="Times New Roman" w:eastAsia="Calibri" w:hAnsi="Times New Roman" w:cs="Times New Roman"/>
          <w:iCs/>
          <w:sz w:val="24"/>
          <w:szCs w:val="24"/>
          <w:lang w:val="bg-BG"/>
        </w:rPr>
        <w:t xml:space="preserve"> новаторски проекти в синята икономика. Част от средствата ще се предоставят от новоучредения фонд BlueInvest, създаден от Европейската комисия в сътрудничество с Европейския инвестиционен фонд (ЕИФ) с капитал от 75 млн</w:t>
      </w:r>
      <w:r w:rsidR="002629C4" w:rsidRPr="00D72982">
        <w:rPr>
          <w:rFonts w:ascii="Times New Roman" w:eastAsia="Calibri" w:hAnsi="Times New Roman" w:cs="Times New Roman"/>
          <w:iCs/>
          <w:sz w:val="24"/>
          <w:szCs w:val="24"/>
          <w:lang w:val="bg-BG"/>
        </w:rPr>
        <w:t>.</w:t>
      </w:r>
      <w:r w:rsidR="00442579" w:rsidRPr="00610B1B">
        <w:rPr>
          <w:rFonts w:ascii="Times New Roman" w:eastAsia="Calibri" w:hAnsi="Times New Roman" w:cs="Times New Roman"/>
          <w:iCs/>
          <w:sz w:val="24"/>
          <w:szCs w:val="24"/>
          <w:lang w:val="bg-BG"/>
        </w:rPr>
        <w:t xml:space="preserve"> евро. Тези проекти ще бъдат </w:t>
      </w:r>
      <w:r w:rsidR="00341579" w:rsidRPr="00610B1B">
        <w:rPr>
          <w:rFonts w:ascii="Times New Roman" w:eastAsia="Calibri" w:hAnsi="Times New Roman" w:cs="Times New Roman"/>
          <w:iCs/>
          <w:sz w:val="24"/>
          <w:szCs w:val="24"/>
          <w:lang w:val="bg-BG"/>
        </w:rPr>
        <w:t>в</w:t>
      </w:r>
      <w:r w:rsidR="00442579" w:rsidRPr="00610B1B">
        <w:rPr>
          <w:rFonts w:ascii="Times New Roman" w:eastAsia="Calibri" w:hAnsi="Times New Roman" w:cs="Times New Roman"/>
          <w:iCs/>
          <w:sz w:val="24"/>
          <w:szCs w:val="24"/>
          <w:lang w:val="bg-BG"/>
        </w:rPr>
        <w:t xml:space="preserve"> областта на възобновяемата енергия</w:t>
      </w:r>
      <w:r w:rsidR="00442579" w:rsidRPr="00610B1B">
        <w:rPr>
          <w:rFonts w:ascii="Times New Roman" w:eastAsia="Calibri" w:hAnsi="Times New Roman" w:cs="Times New Roman"/>
          <w:lang w:val="bg-BG"/>
        </w:rPr>
        <w:t xml:space="preserve"> и </w:t>
      </w:r>
      <w:r w:rsidR="00442579" w:rsidRPr="00610B1B">
        <w:rPr>
          <w:rFonts w:ascii="Times New Roman" w:eastAsia="Calibri" w:hAnsi="Times New Roman" w:cs="Times New Roman"/>
          <w:iCs/>
          <w:sz w:val="24"/>
          <w:szCs w:val="24"/>
          <w:lang w:val="bg-BG"/>
        </w:rPr>
        <w:t xml:space="preserve">намаляването на въглеродните емисии, устойчивите морски дарове, сините биотехнологии, морските информационни технологии, намаляването на въглеродните емисии. Чрез ЕФМДР ще се осигурява и безвъзмездна помощ с бюджет 40 млн. евро, за стартъпи и МСП от синята икономика при разработване и пазарна реализация на новаторски и устойчиви </w:t>
      </w:r>
      <w:r w:rsidRPr="00610B1B">
        <w:rPr>
          <w:rFonts w:ascii="Times New Roman" w:eastAsia="Calibri" w:hAnsi="Times New Roman" w:cs="Times New Roman"/>
          <w:iCs/>
          <w:sz w:val="24"/>
          <w:szCs w:val="24"/>
          <w:lang w:val="bg-BG"/>
        </w:rPr>
        <w:t xml:space="preserve">продукти, технологии и услуги. </w:t>
      </w:r>
      <w:r w:rsidR="00442579" w:rsidRPr="00610B1B">
        <w:rPr>
          <w:rFonts w:ascii="Times New Roman" w:eastAsia="Calibri" w:hAnsi="Times New Roman" w:cs="Times New Roman"/>
          <w:iCs/>
          <w:sz w:val="24"/>
          <w:szCs w:val="24"/>
          <w:lang w:val="bg-BG"/>
        </w:rPr>
        <w:t xml:space="preserve">Това е възможност един от основните недостатъци на българската синя икономика –зависимостта от МСП, да се превърне в предимство в оползотворяването на потенциала за иновативни решения в областта на биотехнологиите, за развитие на технологични и високоефективни устойчиви морски дейности. </w:t>
      </w:r>
    </w:p>
    <w:p w14:paraId="7C9A289E" w14:textId="77777777" w:rsidR="00285023" w:rsidRPr="00610B1B" w:rsidRDefault="00442579"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b/>
          <w:i/>
          <w:iCs/>
          <w:sz w:val="24"/>
          <w:szCs w:val="24"/>
          <w:lang w:val="bg-BG"/>
        </w:rPr>
        <w:t>Кораборемонтна и корабостроителна дейност</w:t>
      </w:r>
    </w:p>
    <w:p w14:paraId="5B58FE00" w14:textId="32B606B7" w:rsidR="00285023" w:rsidRPr="00610B1B" w:rsidRDefault="00442579"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lastRenderedPageBreak/>
        <w:t>В сектора „Корабостроителство и кораборемонт“, преминал през множество трансформации, преструктуриране и раздробяване, в периода след кризата между 2009 – 2013 г.</w:t>
      </w:r>
      <w:r w:rsidR="00AB5F09" w:rsidRPr="00610B1B">
        <w:rPr>
          <w:rFonts w:ascii="Times New Roman" w:eastAsia="Calibri" w:hAnsi="Times New Roman" w:cs="Times New Roman"/>
          <w:iCs/>
          <w:sz w:val="24"/>
          <w:szCs w:val="24"/>
          <w:lang w:val="bg-BG"/>
        </w:rPr>
        <w:t>,</w:t>
      </w:r>
      <w:r w:rsidRPr="00610B1B">
        <w:rPr>
          <w:rFonts w:ascii="Times New Roman" w:eastAsia="Calibri" w:hAnsi="Times New Roman" w:cs="Times New Roman"/>
          <w:iCs/>
          <w:sz w:val="24"/>
          <w:szCs w:val="24"/>
          <w:lang w:val="bg-BG"/>
        </w:rPr>
        <w:t xml:space="preserve"> също се наблюдава спад в много от показателите, като резултат от настоящата ситуация. По данни от доклада на EК за растежа на синята икономика през 2019 г.</w:t>
      </w:r>
      <w:r w:rsidRPr="00610B1B">
        <w:rPr>
          <w:rFonts w:ascii="Times New Roman" w:eastAsia="Calibri" w:hAnsi="Times New Roman" w:cs="Times New Roman"/>
          <w:iCs/>
          <w:sz w:val="24"/>
          <w:szCs w:val="24"/>
          <w:vertAlign w:val="superscript"/>
          <w:lang w:val="bg-BG"/>
        </w:rPr>
        <w:footnoteReference w:id="160"/>
      </w:r>
      <w:r w:rsidRPr="00610B1B">
        <w:rPr>
          <w:rFonts w:ascii="Times New Roman" w:eastAsia="Calibri" w:hAnsi="Times New Roman" w:cs="Times New Roman"/>
          <w:iCs/>
          <w:sz w:val="24"/>
          <w:szCs w:val="24"/>
          <w:lang w:val="bg-BG"/>
        </w:rPr>
        <w:t xml:space="preserve"> през 2017 г. секторът в България генерира брутна добавена стойност 67 млн. евро. Броят на работните места се определя на 4.7 хиляди души през 2017 г., голяма част от които са висококвалифицирани специалисти. Отчетеният растеж на производителността на труда за пер</w:t>
      </w:r>
      <w:r w:rsidR="00285023" w:rsidRPr="00610B1B">
        <w:rPr>
          <w:rFonts w:ascii="Times New Roman" w:eastAsia="Calibri" w:hAnsi="Times New Roman" w:cs="Times New Roman"/>
          <w:iCs/>
          <w:sz w:val="24"/>
          <w:szCs w:val="24"/>
          <w:lang w:val="bg-BG"/>
        </w:rPr>
        <w:t xml:space="preserve">иода 2009-2017 г. е близо 50%. </w:t>
      </w:r>
    </w:p>
    <w:p w14:paraId="00507B97" w14:textId="346A75CD" w:rsidR="00285023" w:rsidRPr="00610B1B" w:rsidRDefault="00442579"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Тенденциите, които се наблюдават в сектора, са свързани с преструктурирането му въз основа на данните за намаляване на оборота в строителството на кораби, плаващи конструкции и плавателни съдове за отдих с около 70% през 2017 г. в сравнение с 2009 г. Загубите са компенсирани от увеличението на дейностите по ремонт и поддържане на плавателни съдове</w:t>
      </w:r>
      <w:r w:rsidR="00D66FE0" w:rsidRPr="00610B1B">
        <w:rPr>
          <w:rFonts w:ascii="Times New Roman" w:eastAsia="Calibri" w:hAnsi="Times New Roman" w:cs="Times New Roman"/>
          <w:iCs/>
          <w:sz w:val="24"/>
          <w:szCs w:val="24"/>
          <w:lang w:val="bg-BG"/>
        </w:rPr>
        <w:t xml:space="preserve"> </w:t>
      </w:r>
      <w:r w:rsidR="004A3399" w:rsidRPr="00610B1B">
        <w:rPr>
          <w:rFonts w:ascii="Times New Roman" w:eastAsia="Calibri" w:hAnsi="Times New Roman" w:cs="Times New Roman"/>
          <w:iCs/>
          <w:sz w:val="24"/>
          <w:szCs w:val="24"/>
          <w:lang w:val="bg-BG"/>
        </w:rPr>
        <w:t xml:space="preserve">с около </w:t>
      </w:r>
      <w:r w:rsidRPr="00610B1B">
        <w:rPr>
          <w:rFonts w:ascii="Times New Roman" w:eastAsia="Calibri" w:hAnsi="Times New Roman" w:cs="Times New Roman"/>
          <w:iCs/>
          <w:sz w:val="24"/>
          <w:szCs w:val="24"/>
          <w:lang w:val="bg-BG"/>
        </w:rPr>
        <w:t>65% и мор</w:t>
      </w:r>
      <w:r w:rsidR="004A3399" w:rsidRPr="00610B1B">
        <w:rPr>
          <w:rFonts w:ascii="Times New Roman" w:eastAsia="Calibri" w:hAnsi="Times New Roman" w:cs="Times New Roman"/>
          <w:iCs/>
          <w:sz w:val="24"/>
          <w:szCs w:val="24"/>
          <w:lang w:val="bg-BG"/>
        </w:rPr>
        <w:t xml:space="preserve">ско оборудване с около </w:t>
      </w:r>
      <w:r w:rsidR="00285023" w:rsidRPr="00610B1B">
        <w:rPr>
          <w:rFonts w:ascii="Times New Roman" w:eastAsia="Calibri" w:hAnsi="Times New Roman" w:cs="Times New Roman"/>
          <w:iCs/>
          <w:sz w:val="24"/>
          <w:szCs w:val="24"/>
          <w:lang w:val="bg-BG"/>
        </w:rPr>
        <w:t>57%.</w:t>
      </w:r>
    </w:p>
    <w:p w14:paraId="191BDE9B" w14:textId="0DCCAE89" w:rsidR="00442579" w:rsidRPr="00610B1B" w:rsidRDefault="00442579"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Кораборемонтът е най-силно представената дейност в сектора и крайбрежния район. Общата заетост надхвърля 2.5 хил.души през 2018 г. Териториалното разположение на предприятията е в общините Варна, Бургас, Белослав, Созопол. В общините Несебър, Царево, Аксаково също има регистрирани микрофирми с тази дейност.</w:t>
      </w:r>
    </w:p>
    <w:p w14:paraId="5D37AE75" w14:textId="77777777" w:rsidR="00442579" w:rsidRPr="00610B1B" w:rsidRDefault="00442579"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 xml:space="preserve">Производството на уреди и апарати за измерване, изпитване и навигация, както и производството на спортни стоки, са локализирани в общините Варна, Бургас и Поморие. Общата заетост през 2018 г. надхвърля 200 д. </w:t>
      </w:r>
    </w:p>
    <w:p w14:paraId="3C2CA9A7" w14:textId="401DD1C6" w:rsidR="00442579" w:rsidRPr="00610B1B" w:rsidRDefault="00442579" w:rsidP="00D32D6A">
      <w:pPr>
        <w:spacing w:after="120"/>
        <w:ind w:right="-153"/>
        <w:jc w:val="both"/>
        <w:rPr>
          <w:rFonts w:ascii="Times New Roman" w:eastAsia="Calibri" w:hAnsi="Times New Roman" w:cs="Times New Roman"/>
          <w:iCs/>
          <w:sz w:val="24"/>
          <w:szCs w:val="24"/>
          <w:lang w:val="bg-BG"/>
        </w:rPr>
      </w:pPr>
      <w:r w:rsidRPr="00610B1B">
        <w:rPr>
          <w:rFonts w:ascii="Times New Roman" w:eastAsia="Calibri" w:hAnsi="Times New Roman" w:cs="Times New Roman"/>
          <w:iCs/>
          <w:sz w:val="24"/>
          <w:szCs w:val="24"/>
          <w:lang w:val="bg-BG"/>
        </w:rPr>
        <w:t xml:space="preserve">В краткосрочна перспектива не се очаква разширяване на дейността в този сектор и съответно разкриване на нови работни места. В дългосрочен план е възможно да се заложи на по-голям ръст в производството и поддържането на уреди и апарати за измерване, изпитване и навигация, както и на съпътстващи морските атракции, водните спортове и морския туризъм производства. </w:t>
      </w:r>
    </w:p>
    <w:p w14:paraId="369285D6" w14:textId="681BC8C4" w:rsidR="009907CE" w:rsidRPr="00610B1B" w:rsidRDefault="009907CE" w:rsidP="00D32D6A">
      <w:pPr>
        <w:spacing w:after="120"/>
        <w:ind w:right="-153"/>
        <w:jc w:val="both"/>
        <w:rPr>
          <w:rFonts w:ascii="Times New Roman" w:eastAsia="Calibri" w:hAnsi="Times New Roman" w:cs="Times New Roman"/>
          <w:iCs/>
          <w:sz w:val="24"/>
          <w:szCs w:val="24"/>
          <w:lang w:val="bg-BG"/>
        </w:rPr>
      </w:pPr>
    </w:p>
    <w:p w14:paraId="0CF1E790" w14:textId="77777777" w:rsidR="009907CE" w:rsidRPr="00610B1B" w:rsidRDefault="009907CE" w:rsidP="009907CE">
      <w:pPr>
        <w:spacing w:after="240"/>
        <w:ind w:right="-153"/>
        <w:jc w:val="both"/>
        <w:rPr>
          <w:rFonts w:ascii="Times New Roman" w:eastAsia="Calibri" w:hAnsi="Times New Roman" w:cs="Times New Roman"/>
          <w:iCs/>
          <w:sz w:val="24"/>
          <w:szCs w:val="24"/>
          <w:lang w:val="bg-BG"/>
        </w:rPr>
      </w:pPr>
    </w:p>
    <w:p w14:paraId="18753BC5" w14:textId="612F0ACC" w:rsidR="00442579" w:rsidRPr="00610B1B" w:rsidRDefault="00442579" w:rsidP="00D32D6A">
      <w:pPr>
        <w:pStyle w:val="Heading3"/>
        <w:numPr>
          <w:ilvl w:val="0"/>
          <w:numId w:val="0"/>
        </w:numPr>
        <w:spacing w:before="0" w:line="276" w:lineRule="auto"/>
        <w:ind w:right="-153"/>
        <w:rPr>
          <w:rFonts w:cs="Times New Roman"/>
        </w:rPr>
      </w:pPr>
      <w:bookmarkStart w:id="430" w:name="_Toc83391411"/>
      <w:r w:rsidRPr="00610B1B">
        <w:rPr>
          <w:rFonts w:cs="Times New Roman"/>
        </w:rPr>
        <w:t>4.</w:t>
      </w:r>
      <w:r w:rsidR="009278D0" w:rsidRPr="00610B1B">
        <w:rPr>
          <w:rFonts w:cs="Times New Roman"/>
        </w:rPr>
        <w:t>2</w:t>
      </w:r>
      <w:r w:rsidRPr="00610B1B">
        <w:rPr>
          <w:rFonts w:cs="Times New Roman"/>
        </w:rPr>
        <w:t>.4. Прогнозно развитие на морския трафик и пристанищната дейност</w:t>
      </w:r>
      <w:bookmarkEnd w:id="430"/>
      <w:r w:rsidRPr="00610B1B">
        <w:rPr>
          <w:rFonts w:cs="Times New Roman"/>
        </w:rPr>
        <w:t xml:space="preserve"> </w:t>
      </w:r>
    </w:p>
    <w:p w14:paraId="4D8441DF" w14:textId="7ECC9B0A" w:rsidR="00285023"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Морският трафик е един от най-засегнатите сектори на морската икономика от Covid-19 пандемия</w:t>
      </w:r>
      <w:r w:rsidR="004A3399" w:rsidRPr="00610B1B">
        <w:rPr>
          <w:rFonts w:ascii="Times New Roman" w:eastAsia="Calibri" w:hAnsi="Times New Roman" w:cs="Times New Roman"/>
          <w:sz w:val="24"/>
          <w:szCs w:val="24"/>
          <w:lang w:val="bg-BG"/>
        </w:rPr>
        <w:t>та</w:t>
      </w:r>
      <w:r w:rsidRPr="00610B1B">
        <w:rPr>
          <w:rFonts w:ascii="Times New Roman" w:eastAsia="Calibri" w:hAnsi="Times New Roman" w:cs="Times New Roman"/>
          <w:sz w:val="24"/>
          <w:szCs w:val="24"/>
          <w:lang w:val="bg-BG"/>
        </w:rPr>
        <w:t>, поради затваряне на пристанища, прекратяване на круизите, намаляване на доставките с изключение на медицински</w:t>
      </w:r>
      <w:r w:rsidR="00AC48C0"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и свързани с безопасността стоки и продукти. </w:t>
      </w:r>
    </w:p>
    <w:p w14:paraId="6482AEB5" w14:textId="7D280EE0"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Прогнозирането на морския трафик използва заложените параметри на одобрената Интегрирана транспортна стратегия в периода до 2030 г. на Министерство на транспорта, информационните технологии и съобщенията. Предвиденото натоварване на пристанищата във Варна, Бургас и Несебър е изчислено при условие</w:t>
      </w:r>
      <w:r w:rsidR="00285023"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че не се увеличава</w:t>
      </w:r>
      <w:r w:rsidR="00AC48C0" w:rsidRPr="00610B1B">
        <w:rPr>
          <w:rFonts w:ascii="Times New Roman" w:eastAsia="Calibri" w:hAnsi="Times New Roman" w:cs="Times New Roman"/>
          <w:sz w:val="24"/>
          <w:szCs w:val="24"/>
          <w:lang w:val="bg-BG"/>
        </w:rPr>
        <w:t>т</w:t>
      </w:r>
      <w:r w:rsidRPr="00610B1B">
        <w:rPr>
          <w:rFonts w:ascii="Times New Roman" w:eastAsia="Calibri" w:hAnsi="Times New Roman" w:cs="Times New Roman"/>
          <w:sz w:val="24"/>
          <w:szCs w:val="24"/>
          <w:lang w:val="bg-BG"/>
        </w:rPr>
        <w:t xml:space="preserve"> транзитните товари от български пристанища къ</w:t>
      </w:r>
      <w:r w:rsidR="00285023" w:rsidRPr="00610B1B">
        <w:rPr>
          <w:rFonts w:ascii="Times New Roman" w:eastAsia="Calibri" w:hAnsi="Times New Roman" w:cs="Times New Roman"/>
          <w:sz w:val="24"/>
          <w:szCs w:val="24"/>
          <w:lang w:val="bg-BG"/>
        </w:rPr>
        <w:t xml:space="preserve">м съседните страни. Приема се, че </w:t>
      </w:r>
      <w:r w:rsidR="00285023" w:rsidRPr="00610B1B">
        <w:rPr>
          <w:rFonts w:ascii="Times New Roman" w:eastAsia="Calibri" w:hAnsi="Times New Roman" w:cs="Times New Roman"/>
          <w:sz w:val="24"/>
          <w:szCs w:val="24"/>
          <w:lang w:val="bg-BG"/>
        </w:rPr>
        <w:lastRenderedPageBreak/>
        <w:t xml:space="preserve">българските </w:t>
      </w:r>
      <w:r w:rsidRPr="00610B1B">
        <w:rPr>
          <w:rFonts w:ascii="Times New Roman" w:eastAsia="Calibri" w:hAnsi="Times New Roman" w:cs="Times New Roman"/>
          <w:sz w:val="24"/>
          <w:szCs w:val="24"/>
          <w:lang w:val="bg-BG"/>
        </w:rPr>
        <w:t>пристанища не са логистично ефективен вариант за товари, идващи извън района на Черно море</w:t>
      </w:r>
      <w:r w:rsidR="00285023" w:rsidRPr="00610B1B">
        <w:rPr>
          <w:rFonts w:ascii="Times New Roman" w:eastAsia="Calibri" w:hAnsi="Times New Roman" w:cs="Times New Roman"/>
          <w:sz w:val="24"/>
          <w:szCs w:val="24"/>
          <w:lang w:val="bg-BG"/>
        </w:rPr>
        <w:t>.</w:t>
      </w:r>
      <w:r w:rsidR="00D66FE0" w:rsidRPr="00610B1B">
        <w:rPr>
          <w:rFonts w:ascii="Times New Roman" w:eastAsia="Calibri" w:hAnsi="Times New Roman" w:cs="Times New Roman"/>
          <w:sz w:val="24"/>
          <w:szCs w:val="24"/>
          <w:lang w:val="bg-BG"/>
        </w:rPr>
        <w:t xml:space="preserve"> </w:t>
      </w:r>
      <w:r w:rsidR="00285023" w:rsidRPr="00610B1B">
        <w:rPr>
          <w:rFonts w:ascii="Times New Roman" w:eastAsia="Calibri" w:hAnsi="Times New Roman" w:cs="Times New Roman"/>
          <w:sz w:val="24"/>
          <w:szCs w:val="24"/>
          <w:lang w:val="bg-BG"/>
        </w:rPr>
        <w:t xml:space="preserve">Влияние оказва и фактът, че товарооборотът </w:t>
      </w:r>
      <w:r w:rsidRPr="00610B1B">
        <w:rPr>
          <w:rFonts w:ascii="Times New Roman" w:eastAsia="Calibri" w:hAnsi="Times New Roman" w:cs="Times New Roman"/>
          <w:sz w:val="24"/>
          <w:szCs w:val="24"/>
          <w:lang w:val="bg-BG"/>
        </w:rPr>
        <w:t>на контейнери с начална точка Черно море е ограничен</w:t>
      </w:r>
      <w:r w:rsidR="00105B23" w:rsidRPr="00610B1B">
        <w:rPr>
          <w:rFonts w:ascii="Times New Roman" w:eastAsia="Calibri" w:hAnsi="Times New Roman" w:cs="Times New Roman"/>
          <w:sz w:val="24"/>
          <w:szCs w:val="24"/>
          <w:lang w:val="bg-BG"/>
        </w:rPr>
        <w:t>, а</w:t>
      </w:r>
      <w:r w:rsidRPr="00610B1B">
        <w:rPr>
          <w:rFonts w:ascii="Times New Roman" w:eastAsia="Calibri" w:hAnsi="Times New Roman" w:cs="Times New Roman"/>
          <w:sz w:val="24"/>
          <w:szCs w:val="24"/>
          <w:lang w:val="bg-BG"/>
        </w:rPr>
        <w:t xml:space="preserve"> от Украйна, Русия и Турция европейският континент може да се достигне и </w:t>
      </w:r>
      <w:r w:rsidR="004A3399" w:rsidRPr="00610B1B">
        <w:rPr>
          <w:rFonts w:ascii="Times New Roman" w:eastAsia="Calibri" w:hAnsi="Times New Roman" w:cs="Times New Roman"/>
          <w:sz w:val="24"/>
          <w:szCs w:val="24"/>
          <w:lang w:val="bg-BG"/>
        </w:rPr>
        <w:t xml:space="preserve">със </w:t>
      </w:r>
      <w:r w:rsidRPr="00610B1B">
        <w:rPr>
          <w:rFonts w:ascii="Times New Roman" w:eastAsia="Calibri" w:hAnsi="Times New Roman" w:cs="Times New Roman"/>
          <w:sz w:val="24"/>
          <w:szCs w:val="24"/>
          <w:lang w:val="bg-BG"/>
        </w:rPr>
        <w:t>сухоземен транспорт.</w:t>
      </w:r>
    </w:p>
    <w:p w14:paraId="04755429" w14:textId="040244B9"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Прогнозите за пакетираните товари, превозвани с контейнери</w:t>
      </w:r>
      <w:r w:rsidR="00AC48C0"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отчитат нарастване на нивото на контейнеризация от 48% през 2013 г. на 60% през 2030 г., което се запазва на това ниво до 2050 г. и дял от 33.5% на пакетирани товари, които се обработват през морските пристанища. </w:t>
      </w:r>
    </w:p>
    <w:p w14:paraId="242A6CC8" w14:textId="74490148"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За насипните зърнени товари, обработени в българските пристанища</w:t>
      </w:r>
      <w:r w:rsidR="004A3399"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се изчислява единствено износа на българска продукция, като се отчита </w:t>
      </w:r>
      <w:r w:rsidR="00BB78A1" w:rsidRPr="00610B1B">
        <w:rPr>
          <w:rFonts w:ascii="Times New Roman" w:eastAsia="Calibri" w:hAnsi="Times New Roman" w:cs="Times New Roman"/>
          <w:sz w:val="24"/>
          <w:szCs w:val="24"/>
          <w:lang w:val="bg-BG"/>
        </w:rPr>
        <w:t>нарасналото</w:t>
      </w:r>
      <w:r w:rsidRPr="00610B1B">
        <w:rPr>
          <w:rFonts w:ascii="Times New Roman" w:eastAsia="Calibri" w:hAnsi="Times New Roman" w:cs="Times New Roman"/>
          <w:sz w:val="24"/>
          <w:szCs w:val="24"/>
          <w:lang w:val="bg-BG"/>
        </w:rPr>
        <w:t xml:space="preserve"> търсене в световен мащаб на зърнени храни и маслодайни семена и количествата, които България успява да произведе и да изнесе след като зад</w:t>
      </w:r>
      <w:r w:rsidR="00105B23" w:rsidRPr="00610B1B">
        <w:rPr>
          <w:rFonts w:ascii="Times New Roman" w:eastAsia="Calibri" w:hAnsi="Times New Roman" w:cs="Times New Roman"/>
          <w:sz w:val="24"/>
          <w:szCs w:val="24"/>
          <w:lang w:val="bg-BG"/>
        </w:rPr>
        <w:t>о</w:t>
      </w:r>
      <w:r w:rsidRPr="00610B1B">
        <w:rPr>
          <w:rFonts w:ascii="Times New Roman" w:eastAsia="Calibri" w:hAnsi="Times New Roman" w:cs="Times New Roman"/>
          <w:sz w:val="24"/>
          <w:szCs w:val="24"/>
          <w:lang w:val="bg-BG"/>
        </w:rPr>
        <w:t xml:space="preserve">воли местното потребление. </w:t>
      </w:r>
      <w:r w:rsidR="00BB78A1" w:rsidRPr="00610B1B">
        <w:rPr>
          <w:rFonts w:ascii="Times New Roman" w:eastAsia="Calibri" w:hAnsi="Times New Roman" w:cs="Times New Roman"/>
          <w:sz w:val="24"/>
          <w:szCs w:val="24"/>
          <w:lang w:val="bg-BG"/>
        </w:rPr>
        <w:t>Товарооборотът</w:t>
      </w:r>
      <w:r w:rsidRPr="00610B1B">
        <w:rPr>
          <w:rFonts w:ascii="Times New Roman" w:eastAsia="Calibri" w:hAnsi="Times New Roman" w:cs="Times New Roman"/>
          <w:sz w:val="24"/>
          <w:szCs w:val="24"/>
          <w:lang w:val="bg-BG"/>
        </w:rPr>
        <w:t xml:space="preserve"> на пристанищата Варна и Бургас нараства неколкократно до 2030 г. Варна остава най-голямото пристанище за износ на насипни земеделски продукти, независимо от инвестициите, направени в пристанище Бургас. </w:t>
      </w:r>
    </w:p>
    <w:p w14:paraId="0A9BFDDD" w14:textId="2F1196DB"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При износа на меден концентрат водеща роля има пристанище Бургас, като износът се увеличава до изчерпване на използваемите запаси през 2025 г., докато ролята на пристанище Варна до 2020 г. се свежда до 0.</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При вноса то не играе никаква роля, защото дейността е насочена към пристанище Бургас, където до 2034 г. се предвижда обработените товари да достигнат до 1 134 137 млн. тона. </w:t>
      </w:r>
    </w:p>
    <w:p w14:paraId="1D66CC85" w14:textId="4E9B5A2B"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Прогноза за товарооборота на въглищата от внос е трудно да се даде на този етап, на база на стратегическите разчети на Министерството на енергетиката, поради промяна на политиките в енергийния сектор във връзка със Зелената сделка. Пазарните дялове в товарооборота на други насипни товари на пристанищата (цимент, торове, химикали,</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инертни материали) се приема</w:t>
      </w:r>
      <w:r w:rsidR="00105B23"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че остават еднакви. Повечето от тези товари се насочват към пристанище Варна, поради близостта на производствата, за които са предназначени. Прогноза за износа на сярна киселина през пристанищата Бургас и Варна показва леко увеличение за периода до 2034 г. и равно разпределение между двете пристанища след изграждане на съоръжение за съхранение на терминал Бургас-Изток 2. В прогнозите за внос на машини пристанище Варна не присъства, а товарооборотът на пристанище Бургас към 2034 г. се увеличава с около 50% в сравнение с 2020 г. </w:t>
      </w:r>
      <w:r w:rsidR="00105B23" w:rsidRPr="00610B1B">
        <w:rPr>
          <w:rFonts w:ascii="Times New Roman" w:eastAsia="Calibri" w:hAnsi="Times New Roman" w:cs="Times New Roman"/>
          <w:sz w:val="24"/>
          <w:szCs w:val="24"/>
          <w:lang w:val="bg-BG"/>
        </w:rPr>
        <w:t xml:space="preserve">Количествата </w:t>
      </w:r>
      <w:r w:rsidRPr="00610B1B">
        <w:rPr>
          <w:rFonts w:ascii="Times New Roman" w:eastAsia="Calibri" w:hAnsi="Times New Roman" w:cs="Times New Roman"/>
          <w:sz w:val="24"/>
          <w:szCs w:val="24"/>
          <w:lang w:val="bg-BG"/>
        </w:rPr>
        <w:t>обработени течни горива е многократно по-голям в пристанище Бургас, като достига общ</w:t>
      </w:r>
      <w:r w:rsidR="00105B23" w:rsidRPr="00610B1B">
        <w:rPr>
          <w:rFonts w:ascii="Times New Roman" w:eastAsia="Calibri" w:hAnsi="Times New Roman" w:cs="Times New Roman"/>
          <w:sz w:val="24"/>
          <w:szCs w:val="24"/>
          <w:lang w:val="bg-BG"/>
        </w:rPr>
        <w:t>о</w:t>
      </w:r>
      <w:r w:rsidRPr="00610B1B">
        <w:rPr>
          <w:rFonts w:ascii="Times New Roman" w:eastAsia="Calibri" w:hAnsi="Times New Roman" w:cs="Times New Roman"/>
          <w:sz w:val="24"/>
          <w:szCs w:val="24"/>
          <w:lang w:val="bg-BG"/>
        </w:rPr>
        <w:t xml:space="preserve"> 13,8 милиона тона през 2030 г., след което товарооборотът остава същият. Пристанище Варна остава с много малък дял </w:t>
      </w:r>
      <w:r w:rsidR="00105B23" w:rsidRPr="00610B1B">
        <w:rPr>
          <w:rFonts w:ascii="Times New Roman" w:eastAsia="Calibri" w:hAnsi="Times New Roman" w:cs="Times New Roman"/>
          <w:sz w:val="24"/>
          <w:szCs w:val="24"/>
          <w:lang w:val="bg-BG"/>
        </w:rPr>
        <w:t xml:space="preserve">на </w:t>
      </w:r>
      <w:r w:rsidRPr="00610B1B">
        <w:rPr>
          <w:rFonts w:ascii="Times New Roman" w:eastAsia="Calibri" w:hAnsi="Times New Roman" w:cs="Times New Roman"/>
          <w:sz w:val="24"/>
          <w:szCs w:val="24"/>
          <w:lang w:val="bg-BG"/>
        </w:rPr>
        <w:t>българския пазар.</w:t>
      </w:r>
      <w:r w:rsidR="00D66FE0" w:rsidRPr="00610B1B">
        <w:rPr>
          <w:rFonts w:ascii="Times New Roman" w:eastAsia="Calibri" w:hAnsi="Times New Roman" w:cs="Times New Roman"/>
          <w:sz w:val="24"/>
          <w:szCs w:val="24"/>
          <w:lang w:val="bg-BG"/>
        </w:rPr>
        <w:t xml:space="preserve"> </w:t>
      </w:r>
    </w:p>
    <w:p w14:paraId="0BC0DDDD" w14:textId="5910AC7D"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При прогнозирането на морските круизни пътувания в националната интегрирана стратегия се отчита вероятността от увеличаване на морските круизи, но все още няма точни прогнози за световните тенденции след пандемията и новите изисквания за подобни пътувания. Българските круизни пристанища са между пристанищата Истанбул и Констанца, но е трудно да се прогнозира дела на круизните обиколки на Черно море, въпреки бързото развитие на този пазар със средно 6.5% в световен мащаб.</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Приема се</w:t>
      </w:r>
      <w:r w:rsidR="00105B23"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че българските пристанища ще следват световните тенденции на нарастване в краткосрочна перспектива, след което ръстът ще падне до 2% годишно. Големи инвестиции в тази </w:t>
      </w:r>
      <w:r w:rsidRPr="00610B1B">
        <w:rPr>
          <w:rFonts w:ascii="Times New Roman" w:eastAsia="Calibri" w:hAnsi="Times New Roman" w:cs="Times New Roman"/>
          <w:sz w:val="24"/>
          <w:szCs w:val="24"/>
          <w:lang w:val="bg-BG"/>
        </w:rPr>
        <w:lastRenderedPageBreak/>
        <w:t xml:space="preserve">насока се предвиждат за обществената зона на пристанище Бургас, независимо от противоречивите оценки на точно този тип туризъм. </w:t>
      </w:r>
    </w:p>
    <w:p w14:paraId="6FB616A4" w14:textId="77777777" w:rsidR="009907CE" w:rsidRPr="00610B1B" w:rsidRDefault="009907CE" w:rsidP="00D32D6A">
      <w:pPr>
        <w:spacing w:after="120"/>
        <w:ind w:right="-153"/>
        <w:jc w:val="both"/>
        <w:rPr>
          <w:rFonts w:ascii="Times New Roman" w:eastAsia="Calibri" w:hAnsi="Times New Roman" w:cs="Times New Roman"/>
          <w:sz w:val="24"/>
          <w:szCs w:val="24"/>
          <w:lang w:val="bg-BG"/>
        </w:rPr>
      </w:pPr>
    </w:p>
    <w:p w14:paraId="010C2F12" w14:textId="6D127374" w:rsidR="00442579" w:rsidRPr="00610B1B" w:rsidRDefault="00442579" w:rsidP="00D32D6A">
      <w:pPr>
        <w:pStyle w:val="Heading3"/>
        <w:spacing w:before="0" w:line="276" w:lineRule="auto"/>
        <w:ind w:right="-153"/>
        <w:rPr>
          <w:rFonts w:cs="Times New Roman"/>
        </w:rPr>
      </w:pPr>
      <w:bookmarkStart w:id="431" w:name="_Toc83391412"/>
      <w:r w:rsidRPr="00610B1B">
        <w:rPr>
          <w:rFonts w:cs="Times New Roman"/>
        </w:rPr>
        <w:t>4.</w:t>
      </w:r>
      <w:r w:rsidR="009278D0" w:rsidRPr="00610B1B">
        <w:rPr>
          <w:rFonts w:cs="Times New Roman"/>
        </w:rPr>
        <w:t>2</w:t>
      </w:r>
      <w:r w:rsidRPr="00610B1B">
        <w:rPr>
          <w:rFonts w:cs="Times New Roman"/>
        </w:rPr>
        <w:t>.5. Прогнозно развитие на морския туризъм</w:t>
      </w:r>
      <w:bookmarkEnd w:id="431"/>
    </w:p>
    <w:p w14:paraId="4B767977" w14:textId="457495CE"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Отчитайки настоящото пълно блокиране на сектора в контекст на очаквана икономическа </w:t>
      </w:r>
      <w:r w:rsidR="004A3399" w:rsidRPr="00610B1B">
        <w:rPr>
          <w:rFonts w:ascii="Times New Roman" w:eastAsia="Calibri" w:hAnsi="Times New Roman" w:cs="Times New Roman"/>
          <w:sz w:val="24"/>
          <w:szCs w:val="24"/>
          <w:lang w:val="bg-BG"/>
        </w:rPr>
        <w:t>криза</w:t>
      </w:r>
      <w:r w:rsidRPr="00610B1B">
        <w:rPr>
          <w:rFonts w:ascii="Times New Roman" w:eastAsia="Calibri" w:hAnsi="Times New Roman" w:cs="Times New Roman"/>
          <w:sz w:val="24"/>
          <w:szCs w:val="24"/>
          <w:lang w:val="bg-BG"/>
        </w:rPr>
        <w:t xml:space="preserve"> и драстичен спад на доходите, може да се прогнозира, че в краткосрочен (1-2 години) и дори средносрочен (3-4 години) план, количествените параметри на туризма в световен мащаб няма да достигнат нивата от пред-кризисната </w:t>
      </w:r>
      <w:r w:rsidR="004A3399" w:rsidRPr="00610B1B">
        <w:rPr>
          <w:rFonts w:ascii="Times New Roman" w:eastAsia="Calibri" w:hAnsi="Times New Roman" w:cs="Times New Roman"/>
          <w:sz w:val="24"/>
          <w:szCs w:val="24"/>
          <w:lang w:val="bg-BG"/>
        </w:rPr>
        <w:t xml:space="preserve">2019 </w:t>
      </w:r>
      <w:r w:rsidRPr="00610B1B">
        <w:rPr>
          <w:rFonts w:ascii="Times New Roman" w:eastAsia="Calibri" w:hAnsi="Times New Roman" w:cs="Times New Roman"/>
          <w:sz w:val="24"/>
          <w:szCs w:val="24"/>
          <w:lang w:val="bg-BG"/>
        </w:rPr>
        <w:t>година.</w:t>
      </w:r>
    </w:p>
    <w:p w14:paraId="00D40BD4" w14:textId="0818B8D2"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Подобна прогноза би могла да се адресира към българския и в частност, към морския туризъм. Основен контингент през последните години беше емитиран от европейските пазари. Чрез проста интерполация на прогнозата за силна стагнация и в тях може да се мотивира изразена негативна прогноза и за българския черноморски туризъм. Отворен остава въпросът за количествените измерения на спада, </w:t>
      </w:r>
      <w:r w:rsidR="00A264DA" w:rsidRPr="00610B1B">
        <w:rPr>
          <w:rFonts w:ascii="Times New Roman" w:eastAsia="Calibri" w:hAnsi="Times New Roman" w:cs="Times New Roman"/>
          <w:sz w:val="24"/>
          <w:szCs w:val="24"/>
          <w:lang w:val="bg-BG"/>
        </w:rPr>
        <w:t>които</w:t>
      </w:r>
      <w:r w:rsidRPr="00610B1B">
        <w:rPr>
          <w:rFonts w:ascii="Times New Roman" w:eastAsia="Calibri" w:hAnsi="Times New Roman" w:cs="Times New Roman"/>
          <w:sz w:val="24"/>
          <w:szCs w:val="24"/>
          <w:lang w:val="bg-BG"/>
        </w:rPr>
        <w:t xml:space="preserve"> засега са непредсказуеми. Най-вероятно, сезонът през 2020 г. ще бъде фокусиран върху рестартирането и адаптацията към нови</w:t>
      </w:r>
      <w:r w:rsidR="00A264DA" w:rsidRPr="00610B1B">
        <w:rPr>
          <w:rFonts w:ascii="Times New Roman" w:eastAsia="Calibri" w:hAnsi="Times New Roman" w:cs="Times New Roman"/>
          <w:sz w:val="24"/>
          <w:szCs w:val="24"/>
          <w:lang w:val="bg-BG"/>
        </w:rPr>
        <w:t>те</w:t>
      </w:r>
      <w:r w:rsidRPr="00610B1B">
        <w:rPr>
          <w:rFonts w:ascii="Times New Roman" w:eastAsia="Calibri" w:hAnsi="Times New Roman" w:cs="Times New Roman"/>
          <w:sz w:val="24"/>
          <w:szCs w:val="24"/>
          <w:lang w:val="bg-BG"/>
        </w:rPr>
        <w:t xml:space="preserve"> ограничителни санитарно-хигиенни условия за всички традиционни услуги.</w:t>
      </w:r>
    </w:p>
    <w:p w14:paraId="61D6661B" w14:textId="5C4B8316"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На фона на пред-кризисните предизвикателства (силна конкуренция, слаба държавна протекция, нежелани последствия от климатични промени, сезонност и евтини туристически продукти), развитието на туризма в бъдеще ще се сблъсква с още по-сложни препятствия. Новите рамкови фактори (политически, нормативно-правни, икономически, екологични, социо-културни</w:t>
      </w:r>
      <w:r w:rsidR="00A264DA" w:rsidRPr="00610B1B">
        <w:rPr>
          <w:rFonts w:ascii="Times New Roman" w:eastAsia="Calibri" w:hAnsi="Times New Roman" w:cs="Times New Roman"/>
          <w:sz w:val="24"/>
          <w:szCs w:val="24"/>
          <w:lang w:val="bg-BG"/>
        </w:rPr>
        <w:t>, здравни</w:t>
      </w:r>
      <w:r w:rsidRPr="00610B1B">
        <w:rPr>
          <w:rFonts w:ascii="Times New Roman" w:eastAsia="Calibri" w:hAnsi="Times New Roman" w:cs="Times New Roman"/>
          <w:sz w:val="24"/>
          <w:szCs w:val="24"/>
          <w:lang w:val="bg-BG"/>
        </w:rPr>
        <w:t xml:space="preserve"> и технологични) ще бъдат силно променени </w:t>
      </w:r>
      <w:r w:rsidR="006B1272" w:rsidRPr="00610B1B">
        <w:rPr>
          <w:rFonts w:ascii="Times New Roman" w:eastAsia="Calibri" w:hAnsi="Times New Roman" w:cs="Times New Roman"/>
          <w:sz w:val="24"/>
          <w:szCs w:val="24"/>
          <w:lang w:val="bg-BG"/>
        </w:rPr>
        <w:t>вероятно</w:t>
      </w:r>
      <w:r w:rsidRPr="00610B1B">
        <w:rPr>
          <w:rFonts w:ascii="Times New Roman" w:eastAsia="Calibri" w:hAnsi="Times New Roman" w:cs="Times New Roman"/>
          <w:sz w:val="24"/>
          <w:szCs w:val="24"/>
          <w:lang w:val="bg-BG"/>
        </w:rPr>
        <w:t xml:space="preserve"> в негативен аспект и бързата адаптация на туристическата индустрия към динамичния контекст ще е решаваща за отвоюването на предишните пазарни позиции. </w:t>
      </w:r>
    </w:p>
    <w:p w14:paraId="79180C72" w14:textId="4E2673E6"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Докато силни местни икономики като Варна и Бургас имат алтернативи, то основна опора на малките черноморски общини е туризмът, който трябва да бъде възстановен, адаптиран и укрепен на всяка цена. Голяма част от тази „цена“ е прилагането на принципите на устойчивото развитие и мерките за намаляване на негативните въздействия от климатичните промени. Последните изискват от туристическата индустрия усилия за намаляване на емисиите от парникови газове, а от черноморските дестинации адаптация към промените чрез обогатяване на туристическото предлагане и преодоляване на прекомерната зависимост от тясната сезонност. </w:t>
      </w:r>
      <w:r w:rsidR="0056125D" w:rsidRPr="00610B1B">
        <w:rPr>
          <w:rFonts w:ascii="Times New Roman" w:eastAsia="Calibri" w:hAnsi="Times New Roman" w:cs="Times New Roman"/>
          <w:sz w:val="24"/>
          <w:szCs w:val="24"/>
          <w:lang w:val="bg-BG"/>
        </w:rPr>
        <w:t xml:space="preserve">Позитивна </w:t>
      </w:r>
      <w:r w:rsidRPr="00610B1B">
        <w:rPr>
          <w:rFonts w:ascii="Times New Roman" w:eastAsia="Calibri" w:hAnsi="Times New Roman" w:cs="Times New Roman"/>
          <w:sz w:val="24"/>
          <w:szCs w:val="24"/>
          <w:lang w:val="bg-BG"/>
        </w:rPr>
        <w:t>прогноза в средносрочен план</w:t>
      </w:r>
      <w:r w:rsidR="0056125D" w:rsidRPr="00610B1B">
        <w:rPr>
          <w:rFonts w:ascii="Times New Roman" w:eastAsia="Calibri" w:hAnsi="Times New Roman" w:cs="Times New Roman"/>
          <w:sz w:val="24"/>
          <w:szCs w:val="24"/>
          <w:lang w:val="bg-BG"/>
        </w:rPr>
        <w:t xml:space="preserve"> може да се мотивира</w:t>
      </w:r>
      <w:r w:rsidRPr="00610B1B">
        <w:rPr>
          <w:rFonts w:ascii="Times New Roman" w:eastAsia="Calibri" w:hAnsi="Times New Roman" w:cs="Times New Roman"/>
          <w:sz w:val="24"/>
          <w:szCs w:val="24"/>
          <w:lang w:val="bg-BG"/>
        </w:rPr>
        <w:t>, ако отсега усилията на черноморските общини се насочат към реализиране на „устойчив туризъм в четири сезона“</w:t>
      </w:r>
      <w:r w:rsidRPr="00610B1B">
        <w:rPr>
          <w:rFonts w:ascii="Times New Roman" w:eastAsia="Calibri" w:hAnsi="Times New Roman" w:cs="Times New Roman"/>
          <w:sz w:val="24"/>
          <w:szCs w:val="24"/>
          <w:vertAlign w:val="superscript"/>
          <w:lang w:val="bg-BG"/>
        </w:rPr>
        <w:footnoteReference w:id="161"/>
      </w:r>
      <w:r w:rsidRPr="00610B1B">
        <w:rPr>
          <w:rFonts w:ascii="Times New Roman" w:eastAsia="Calibri" w:hAnsi="Times New Roman" w:cs="Times New Roman"/>
          <w:sz w:val="24"/>
          <w:szCs w:val="24"/>
          <w:lang w:val="bg-BG"/>
        </w:rPr>
        <w:t>.</w:t>
      </w:r>
    </w:p>
    <w:p w14:paraId="5620D43D" w14:textId="77777777" w:rsidR="000E7C6A" w:rsidRPr="00610B1B" w:rsidRDefault="000E7C6A" w:rsidP="00D32D6A">
      <w:pPr>
        <w:spacing w:after="120"/>
        <w:ind w:right="-153"/>
        <w:jc w:val="both"/>
        <w:rPr>
          <w:rFonts w:ascii="Times New Roman" w:eastAsia="Calibri" w:hAnsi="Times New Roman" w:cs="Times New Roman"/>
          <w:sz w:val="24"/>
          <w:szCs w:val="24"/>
          <w:lang w:val="bg-BG"/>
        </w:rPr>
      </w:pPr>
    </w:p>
    <w:p w14:paraId="2AA279A3" w14:textId="02477DDE" w:rsidR="00442579" w:rsidRPr="00610B1B" w:rsidRDefault="00442579" w:rsidP="00D32D6A">
      <w:pPr>
        <w:pStyle w:val="Heading3"/>
        <w:spacing w:before="0" w:line="276" w:lineRule="auto"/>
        <w:ind w:right="-153"/>
        <w:rPr>
          <w:rFonts w:cs="Times New Roman"/>
        </w:rPr>
      </w:pPr>
      <w:bookmarkStart w:id="432" w:name="_Toc83391413"/>
      <w:r w:rsidRPr="00610B1B">
        <w:rPr>
          <w:rFonts w:cs="Times New Roman"/>
        </w:rPr>
        <w:t>4.</w:t>
      </w:r>
      <w:r w:rsidR="009278D0" w:rsidRPr="00610B1B">
        <w:rPr>
          <w:rFonts w:cs="Times New Roman"/>
        </w:rPr>
        <w:t>2</w:t>
      </w:r>
      <w:r w:rsidRPr="00610B1B">
        <w:rPr>
          <w:rFonts w:cs="Times New Roman"/>
        </w:rPr>
        <w:t>.6. Прогнозно развитие на техн</w:t>
      </w:r>
      <w:r w:rsidR="00D0096F" w:rsidRPr="00610B1B">
        <w:rPr>
          <w:rFonts w:cs="Times New Roman"/>
        </w:rPr>
        <w:t>ическата инфраструктура в морски</w:t>
      </w:r>
      <w:r w:rsidRPr="00610B1B">
        <w:rPr>
          <w:rFonts w:cs="Times New Roman"/>
        </w:rPr>
        <w:t>т</w:t>
      </w:r>
      <w:r w:rsidR="00D0096F" w:rsidRPr="00610B1B">
        <w:rPr>
          <w:rFonts w:cs="Times New Roman"/>
        </w:rPr>
        <w:t xml:space="preserve">е </w:t>
      </w:r>
      <w:r w:rsidRPr="00610B1B">
        <w:rPr>
          <w:rFonts w:cs="Times New Roman"/>
        </w:rPr>
        <w:lastRenderedPageBreak/>
        <w:t>пространств</w:t>
      </w:r>
      <w:r w:rsidR="00D0096F" w:rsidRPr="00610B1B">
        <w:rPr>
          <w:rFonts w:cs="Times New Roman"/>
        </w:rPr>
        <w:t>а</w:t>
      </w:r>
      <w:bookmarkEnd w:id="432"/>
      <w:r w:rsidRPr="00610B1B">
        <w:rPr>
          <w:rFonts w:cs="Times New Roman"/>
        </w:rPr>
        <w:t xml:space="preserve"> </w:t>
      </w:r>
    </w:p>
    <w:p w14:paraId="2F9769F9" w14:textId="76D269F7"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Развитието на крайбрежната транспортна инфраструктура е предопределено от функционирането на </w:t>
      </w:r>
      <w:r w:rsidR="0018150C" w:rsidRPr="00610B1B">
        <w:rPr>
          <w:rFonts w:ascii="Times New Roman" w:eastAsia="Calibri" w:hAnsi="Times New Roman" w:cs="Times New Roman"/>
          <w:sz w:val="24"/>
          <w:szCs w:val="24"/>
          <w:lang w:val="bg-BG"/>
        </w:rPr>
        <w:t xml:space="preserve">двете най-големи </w:t>
      </w:r>
      <w:r w:rsidRPr="00610B1B">
        <w:rPr>
          <w:rFonts w:ascii="Times New Roman" w:eastAsia="Calibri" w:hAnsi="Times New Roman" w:cs="Times New Roman"/>
          <w:sz w:val="24"/>
          <w:szCs w:val="24"/>
          <w:lang w:val="bg-BG"/>
        </w:rPr>
        <w:t xml:space="preserve">пристанища Бургас и Варна като пресечни точки на сухоземния и морски транспорт. И двете пристанища, както и довеждащата до тях транспортна инфраструктура са включени в Трансевропейската транспортна мрежа TEN-T. </w:t>
      </w:r>
      <w:r w:rsidR="0056125D" w:rsidRPr="00610B1B">
        <w:rPr>
          <w:rFonts w:ascii="Times New Roman" w:eastAsia="Calibri" w:hAnsi="Times New Roman" w:cs="Times New Roman"/>
          <w:sz w:val="24"/>
          <w:szCs w:val="24"/>
          <w:lang w:val="bg-BG"/>
        </w:rPr>
        <w:t xml:space="preserve">Качествата на съществуващите </w:t>
      </w:r>
      <w:r w:rsidRPr="00610B1B">
        <w:rPr>
          <w:rFonts w:ascii="Times New Roman" w:eastAsia="Calibri" w:hAnsi="Times New Roman" w:cs="Times New Roman"/>
          <w:sz w:val="24"/>
          <w:szCs w:val="24"/>
          <w:lang w:val="bg-BG"/>
        </w:rPr>
        <w:t>пътна и железопътна инфраструктура не съответстват на изискванията за сигурност и ефективност като съставни елементи на TEN-T мрежата.</w:t>
      </w:r>
    </w:p>
    <w:p w14:paraId="5EC93D29" w14:textId="77777777"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Предстои доизграждането на АМ „Черно море“ между градовете (респ. пристанищата) Варна и Бургас, както и рехабилитацията и модернизирането на железопътните връзки към пристанище Варна. Изграждането на интермодални терминали в Бургас и Варна и осигуряване на липсващите връзки с останалите видове транспорт ще създаде условия за оптимално взаимодействие и интеграция на различните видове транспорт и повишаване качеството на предоставяните товарни транспортни услуги в унисон с политиката за изграждане на TEN-T мрежата и подобряване на интермодалността в югоизточния регион на ЕС. </w:t>
      </w:r>
    </w:p>
    <w:p w14:paraId="693C4793" w14:textId="0532BCF5"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Реализирането на всеки от предвижданите проекти е свързано с оказване натиск върху околната среда, присъщ за транспортните съоръжения, особено тези от по-висок клас. Промяна на предназначението на </w:t>
      </w:r>
      <w:r w:rsidR="003103F7" w:rsidRPr="00610B1B">
        <w:rPr>
          <w:rFonts w:ascii="Times New Roman" w:eastAsia="Calibri" w:hAnsi="Times New Roman" w:cs="Times New Roman"/>
          <w:sz w:val="24"/>
          <w:szCs w:val="24"/>
          <w:lang w:val="bg-BG"/>
        </w:rPr>
        <w:t>земята</w:t>
      </w:r>
      <w:r w:rsidRPr="00610B1B">
        <w:rPr>
          <w:rFonts w:ascii="Times New Roman" w:eastAsia="Calibri" w:hAnsi="Times New Roman" w:cs="Times New Roman"/>
          <w:sz w:val="24"/>
          <w:szCs w:val="24"/>
          <w:lang w:val="bg-BG"/>
        </w:rPr>
        <w:t>, затруднения при намиране на свободни терени, необходимост от интегриране с други инфраструктурни съоръжения със съответните сервитутни изисквания често налагат промяна в първоначалните проекти, докато се намери необходимия компромис за най-малко въздействие върху околната среда.</w:t>
      </w:r>
    </w:p>
    <w:p w14:paraId="4892D201" w14:textId="5255792B"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Взаимодействието с морската среда се осъществява посредством пристанищната инфраструктура и всички дейности, свързани с реализацията на транспортната инфраструктура в морска среда</w:t>
      </w:r>
      <w:r w:rsidR="0056125D" w:rsidRPr="00610B1B">
        <w:rPr>
          <w:rFonts w:ascii="Times New Roman" w:eastAsia="Calibri" w:hAnsi="Times New Roman" w:cs="Times New Roman"/>
          <w:sz w:val="24"/>
          <w:szCs w:val="24"/>
          <w:lang w:val="bg-BG"/>
        </w:rPr>
        <w:t>, които</w:t>
      </w:r>
      <w:r w:rsidRPr="00610B1B">
        <w:rPr>
          <w:rFonts w:ascii="Times New Roman" w:eastAsia="Calibri" w:hAnsi="Times New Roman" w:cs="Times New Roman"/>
          <w:sz w:val="24"/>
          <w:szCs w:val="24"/>
          <w:lang w:val="bg-BG"/>
        </w:rPr>
        <w:t xml:space="preserve"> се извършват в съответствие с регламентите за изграждане на пристанища и </w:t>
      </w:r>
      <w:r w:rsidR="0056125D" w:rsidRPr="00610B1B">
        <w:rPr>
          <w:rFonts w:ascii="Times New Roman" w:eastAsia="Calibri" w:hAnsi="Times New Roman" w:cs="Times New Roman"/>
          <w:sz w:val="24"/>
          <w:szCs w:val="24"/>
          <w:lang w:val="bg-BG"/>
        </w:rPr>
        <w:t xml:space="preserve">за </w:t>
      </w:r>
      <w:r w:rsidRPr="00610B1B">
        <w:rPr>
          <w:rFonts w:ascii="Times New Roman" w:eastAsia="Calibri" w:hAnsi="Times New Roman" w:cs="Times New Roman"/>
          <w:sz w:val="24"/>
          <w:szCs w:val="24"/>
          <w:lang w:val="bg-BG"/>
        </w:rPr>
        <w:t xml:space="preserve">тяхната дейност. </w:t>
      </w:r>
    </w:p>
    <w:p w14:paraId="438F5704" w14:textId="4A09BF7D"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Положените по дъното на Черно море оптични кабелни системи KAFOS, BSFOCS и CAUCASUS позволяват транзитиране на големи съобщителни потоци от Русия, Украйна, Грузия и Задкавказието през територията на България към Гърция и Кипър, а чрез тях – към Средиземноморието и Северна Африка и чрез наземни връзки - с Трансевропейската телекомуникационна мрежа.</w:t>
      </w:r>
    </w:p>
    <w:p w14:paraId="6D0A0872" w14:textId="681E68F8"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Изградената телекомуникационна инфраструктура в Черно море осигурява необходимия достъп до дестинации в Европа,</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Близкия Изток, Югоизточна Азия и САЩ, но развитието на бизнеса би могло да наложи увеличаване капацитета на наличната инфраструктура. Потенциален конфликт</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по отношение на околната среда може да се очаква при подмяна на съществуващите или полагане на нови кабели на морското дъно. </w:t>
      </w:r>
    </w:p>
    <w:p w14:paraId="23288826" w14:textId="38970665"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Инсталирането на кабел за подводни предавания е свързано с редица изисквания. </w:t>
      </w:r>
      <w:r w:rsidR="0056125D" w:rsidRPr="00610B1B">
        <w:rPr>
          <w:rFonts w:ascii="Times New Roman" w:eastAsia="Calibri" w:hAnsi="Times New Roman" w:cs="Times New Roman"/>
          <w:sz w:val="24"/>
          <w:szCs w:val="24"/>
          <w:lang w:val="bg-BG"/>
        </w:rPr>
        <w:t>Поддържането му и отстраняването на неизправности е скъпо</w:t>
      </w:r>
      <w:r w:rsidRPr="00610B1B">
        <w:rPr>
          <w:rFonts w:ascii="Times New Roman" w:eastAsia="Calibri" w:hAnsi="Times New Roman" w:cs="Times New Roman"/>
          <w:sz w:val="24"/>
          <w:szCs w:val="24"/>
          <w:lang w:val="bg-BG"/>
        </w:rPr>
        <w:t xml:space="preserve"> и трудн</w:t>
      </w:r>
      <w:r w:rsidR="0056125D" w:rsidRPr="00610B1B">
        <w:rPr>
          <w:rFonts w:ascii="Times New Roman" w:eastAsia="Calibri" w:hAnsi="Times New Roman" w:cs="Times New Roman"/>
          <w:sz w:val="24"/>
          <w:szCs w:val="24"/>
          <w:lang w:val="bg-BG"/>
        </w:rPr>
        <w:t>о.</w:t>
      </w:r>
      <w:r w:rsidRPr="00610B1B">
        <w:rPr>
          <w:rFonts w:ascii="Times New Roman" w:eastAsia="Calibri" w:hAnsi="Times New Roman" w:cs="Times New Roman"/>
          <w:sz w:val="24"/>
          <w:szCs w:val="24"/>
          <w:lang w:val="bg-BG"/>
        </w:rPr>
        <w:t xml:space="preserve"> </w:t>
      </w:r>
      <w:r w:rsidR="0056125D" w:rsidRPr="00610B1B">
        <w:rPr>
          <w:rFonts w:ascii="Times New Roman" w:eastAsia="Calibri" w:hAnsi="Times New Roman" w:cs="Times New Roman"/>
          <w:sz w:val="24"/>
          <w:szCs w:val="24"/>
          <w:lang w:val="bg-BG"/>
        </w:rPr>
        <w:t xml:space="preserve">Кабелният </w:t>
      </w:r>
      <w:r w:rsidRPr="00610B1B">
        <w:rPr>
          <w:rFonts w:ascii="Times New Roman" w:eastAsia="Calibri" w:hAnsi="Times New Roman" w:cs="Times New Roman"/>
          <w:sz w:val="24"/>
          <w:szCs w:val="24"/>
          <w:lang w:val="bg-BG"/>
        </w:rPr>
        <w:t>маршрут се проучва и избира внимателно, за да се сведе до минимум въздействието върху околната среда и да се осигури максимална защита на самия кабел и неговите функции. Подводните кабели са предмет на няколко международни договора, които регулират техния статут</w:t>
      </w:r>
      <w:r w:rsidR="003103F7" w:rsidRPr="00610B1B">
        <w:rPr>
          <w:rFonts w:ascii="Times New Roman" w:eastAsia="Calibri" w:hAnsi="Times New Roman" w:cs="Times New Roman"/>
          <w:sz w:val="24"/>
          <w:szCs w:val="24"/>
          <w:lang w:val="bg-BG"/>
        </w:rPr>
        <w:t xml:space="preserve"> и </w:t>
      </w:r>
      <w:r w:rsidRPr="00610B1B">
        <w:rPr>
          <w:rFonts w:ascii="Times New Roman" w:eastAsia="Calibri" w:hAnsi="Times New Roman" w:cs="Times New Roman"/>
          <w:sz w:val="24"/>
          <w:szCs w:val="24"/>
          <w:lang w:val="bg-BG"/>
        </w:rPr>
        <w:t xml:space="preserve">установяват норми </w:t>
      </w:r>
      <w:r w:rsidR="0056125D" w:rsidRPr="00610B1B">
        <w:rPr>
          <w:rFonts w:ascii="Times New Roman" w:eastAsia="Calibri" w:hAnsi="Times New Roman" w:cs="Times New Roman"/>
          <w:sz w:val="24"/>
          <w:szCs w:val="24"/>
          <w:lang w:val="bg-BG"/>
        </w:rPr>
        <w:t xml:space="preserve">за </w:t>
      </w:r>
      <w:r w:rsidRPr="00610B1B">
        <w:rPr>
          <w:rFonts w:ascii="Times New Roman" w:eastAsia="Calibri" w:hAnsi="Times New Roman" w:cs="Times New Roman"/>
          <w:sz w:val="24"/>
          <w:szCs w:val="24"/>
          <w:lang w:val="bg-BG"/>
        </w:rPr>
        <w:t xml:space="preserve">правата и задълженията на държавите, които желаят </w:t>
      </w:r>
      <w:r w:rsidRPr="00610B1B">
        <w:rPr>
          <w:rFonts w:ascii="Times New Roman" w:eastAsia="Calibri" w:hAnsi="Times New Roman" w:cs="Times New Roman"/>
          <w:sz w:val="24"/>
          <w:szCs w:val="24"/>
          <w:lang w:val="bg-BG"/>
        </w:rPr>
        <w:lastRenderedPageBreak/>
        <w:t xml:space="preserve">да поставят такива кабели, както и за държавите, чиито териториални води са прекосявани от кабелите. </w:t>
      </w:r>
      <w:r w:rsidR="0056125D" w:rsidRPr="00610B1B">
        <w:rPr>
          <w:rFonts w:ascii="Times New Roman" w:eastAsia="Calibri" w:hAnsi="Times New Roman" w:cs="Times New Roman"/>
          <w:sz w:val="24"/>
          <w:szCs w:val="24"/>
          <w:lang w:val="bg-BG"/>
        </w:rPr>
        <w:t xml:space="preserve">С </w:t>
      </w:r>
      <w:r w:rsidRPr="00610B1B">
        <w:rPr>
          <w:rFonts w:ascii="Times New Roman" w:eastAsia="Calibri" w:hAnsi="Times New Roman" w:cs="Times New Roman"/>
          <w:sz w:val="24"/>
          <w:szCs w:val="24"/>
          <w:lang w:val="bg-BG"/>
        </w:rPr>
        <w:t>подводни</w:t>
      </w:r>
      <w:r w:rsidR="0056125D" w:rsidRPr="00610B1B">
        <w:rPr>
          <w:rFonts w:ascii="Times New Roman" w:eastAsia="Calibri" w:hAnsi="Times New Roman" w:cs="Times New Roman"/>
          <w:sz w:val="24"/>
          <w:szCs w:val="24"/>
          <w:lang w:val="bg-BG"/>
        </w:rPr>
        <w:t>те</w:t>
      </w:r>
      <w:r w:rsidRPr="00610B1B">
        <w:rPr>
          <w:rFonts w:ascii="Times New Roman" w:eastAsia="Calibri" w:hAnsi="Times New Roman" w:cs="Times New Roman"/>
          <w:sz w:val="24"/>
          <w:szCs w:val="24"/>
          <w:lang w:val="bg-BG"/>
        </w:rPr>
        <w:t xml:space="preserve"> кабели</w:t>
      </w:r>
      <w:r w:rsidR="0056125D" w:rsidRPr="00610B1B">
        <w:rPr>
          <w:rFonts w:ascii="Times New Roman" w:eastAsia="Calibri" w:hAnsi="Times New Roman" w:cs="Times New Roman"/>
          <w:sz w:val="24"/>
          <w:szCs w:val="24"/>
          <w:lang w:val="bg-BG"/>
        </w:rPr>
        <w:t xml:space="preserve"> се занимават</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Международната конвенция за защита на подводните кабели (</w:t>
      </w:r>
      <w:r w:rsidR="0056125D" w:rsidRPr="00610B1B">
        <w:rPr>
          <w:rFonts w:ascii="Times New Roman" w:eastAsia="Calibri" w:hAnsi="Times New Roman" w:cs="Times New Roman"/>
          <w:sz w:val="24"/>
          <w:szCs w:val="24"/>
          <w:lang w:val="bg-BG"/>
        </w:rPr>
        <w:t>1884 г.), Женевските конвенции з</w:t>
      </w:r>
      <w:r w:rsidRPr="00610B1B">
        <w:rPr>
          <w:rFonts w:ascii="Times New Roman" w:eastAsia="Calibri" w:hAnsi="Times New Roman" w:cs="Times New Roman"/>
          <w:sz w:val="24"/>
          <w:szCs w:val="24"/>
          <w:lang w:val="bg-BG"/>
        </w:rPr>
        <w:t>а континенталния шелф и открито</w:t>
      </w:r>
      <w:r w:rsidR="0056125D" w:rsidRPr="00610B1B">
        <w:rPr>
          <w:rFonts w:ascii="Times New Roman" w:eastAsia="Calibri" w:hAnsi="Times New Roman" w:cs="Times New Roman"/>
          <w:sz w:val="24"/>
          <w:szCs w:val="24"/>
          <w:lang w:val="bg-BG"/>
        </w:rPr>
        <w:t>то</w:t>
      </w:r>
      <w:r w:rsidRPr="00610B1B">
        <w:rPr>
          <w:rFonts w:ascii="Times New Roman" w:eastAsia="Calibri" w:hAnsi="Times New Roman" w:cs="Times New Roman"/>
          <w:sz w:val="24"/>
          <w:szCs w:val="24"/>
          <w:lang w:val="bg-BG"/>
        </w:rPr>
        <w:t xml:space="preserve"> море (1958</w:t>
      </w:r>
      <w:r w:rsidR="000E7C6A" w:rsidRPr="00610B1B">
        <w:rPr>
          <w:rFonts w:ascii="Times New Roman" w:eastAsia="Calibri" w:hAnsi="Times New Roman" w:cs="Times New Roman"/>
          <w:sz w:val="24"/>
          <w:szCs w:val="24"/>
          <w:lang w:val="bg-BG"/>
        </w:rPr>
        <w:t> </w:t>
      </w:r>
      <w:r w:rsidR="0056125D" w:rsidRPr="00610B1B">
        <w:rPr>
          <w:rFonts w:ascii="Times New Roman" w:eastAsia="Calibri" w:hAnsi="Times New Roman" w:cs="Times New Roman"/>
          <w:sz w:val="24"/>
          <w:szCs w:val="24"/>
          <w:lang w:val="bg-BG"/>
        </w:rPr>
        <w:t>г.)</w:t>
      </w:r>
      <w:r w:rsidRPr="00610B1B">
        <w:rPr>
          <w:rFonts w:ascii="Times New Roman" w:eastAsia="Calibri" w:hAnsi="Times New Roman" w:cs="Times New Roman"/>
          <w:sz w:val="24"/>
          <w:szCs w:val="24"/>
          <w:lang w:val="bg-BG"/>
        </w:rPr>
        <w:t xml:space="preserve"> и Конвенцията на ООН по морско право - UNCLOS (1982 г.).</w:t>
      </w:r>
    </w:p>
    <w:p w14:paraId="2E0FD186" w14:textId="1E887A35"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Основните заплахи за подводните кабели са външните въздействия, дължащи се предимно на котви и риболовни съоръжения. За да се сведе до минимум рискът от разкъсване на кабела вследствие на закотвяне на плавател</w:t>
      </w:r>
      <w:r w:rsidR="0056125D" w:rsidRPr="00610B1B">
        <w:rPr>
          <w:rFonts w:ascii="Times New Roman" w:eastAsia="Calibri" w:hAnsi="Times New Roman" w:cs="Times New Roman"/>
          <w:sz w:val="24"/>
          <w:szCs w:val="24"/>
          <w:lang w:val="bg-BG"/>
        </w:rPr>
        <w:t>е</w:t>
      </w:r>
      <w:r w:rsidRPr="00610B1B">
        <w:rPr>
          <w:rFonts w:ascii="Times New Roman" w:eastAsia="Calibri" w:hAnsi="Times New Roman" w:cs="Times New Roman"/>
          <w:sz w:val="24"/>
          <w:szCs w:val="24"/>
          <w:lang w:val="bg-BG"/>
        </w:rPr>
        <w:t>н съд, по протежение н</w:t>
      </w:r>
      <w:r w:rsidR="0056125D" w:rsidRPr="00610B1B">
        <w:rPr>
          <w:rFonts w:ascii="Times New Roman" w:eastAsia="Calibri" w:hAnsi="Times New Roman" w:cs="Times New Roman"/>
          <w:sz w:val="24"/>
          <w:szCs w:val="24"/>
          <w:lang w:val="bg-BG"/>
        </w:rPr>
        <w:t xml:space="preserve">а </w:t>
      </w:r>
      <w:r w:rsidR="003F7344" w:rsidRPr="00610B1B">
        <w:rPr>
          <w:rFonts w:ascii="Times New Roman" w:eastAsia="Calibri" w:hAnsi="Times New Roman" w:cs="Times New Roman"/>
          <w:sz w:val="24"/>
          <w:szCs w:val="24"/>
          <w:lang w:val="bg-BG"/>
        </w:rPr>
        <w:t>неговото трасе</w:t>
      </w:r>
      <w:r w:rsidR="0056125D" w:rsidRPr="00610B1B">
        <w:rPr>
          <w:rFonts w:ascii="Times New Roman" w:eastAsia="Calibri" w:hAnsi="Times New Roman" w:cs="Times New Roman"/>
          <w:sz w:val="24"/>
          <w:szCs w:val="24"/>
          <w:lang w:val="bg-BG"/>
        </w:rPr>
        <w:t xml:space="preserve"> се установява „зона за защита на кабела“ (</w:t>
      </w:r>
      <w:r w:rsidRPr="00610B1B">
        <w:rPr>
          <w:rFonts w:ascii="Times New Roman" w:eastAsia="Calibri" w:hAnsi="Times New Roman" w:cs="Times New Roman"/>
          <w:sz w:val="24"/>
          <w:szCs w:val="24"/>
          <w:lang w:val="bg-BG"/>
        </w:rPr>
        <w:t>CPZ</w:t>
      </w:r>
      <w:r w:rsidR="0056125D"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Тези зони са </w:t>
      </w:r>
      <w:r w:rsidR="0056125D" w:rsidRPr="00610B1B">
        <w:rPr>
          <w:rFonts w:ascii="Times New Roman" w:eastAsia="Calibri" w:hAnsi="Times New Roman" w:cs="Times New Roman"/>
          <w:sz w:val="24"/>
          <w:szCs w:val="24"/>
          <w:lang w:val="bg-BG"/>
        </w:rPr>
        <w:t xml:space="preserve">законово </w:t>
      </w:r>
      <w:r w:rsidRPr="00610B1B">
        <w:rPr>
          <w:rFonts w:ascii="Times New Roman" w:eastAsia="Calibri" w:hAnsi="Times New Roman" w:cs="Times New Roman"/>
          <w:sz w:val="24"/>
          <w:szCs w:val="24"/>
          <w:lang w:val="bg-BG"/>
        </w:rPr>
        <w:t>дефинирани и означени на морски</w:t>
      </w:r>
      <w:r w:rsidR="003103F7" w:rsidRPr="00610B1B">
        <w:rPr>
          <w:rFonts w:ascii="Times New Roman" w:eastAsia="Calibri" w:hAnsi="Times New Roman" w:cs="Times New Roman"/>
          <w:sz w:val="24"/>
          <w:szCs w:val="24"/>
          <w:lang w:val="bg-BG"/>
        </w:rPr>
        <w:t>те</w:t>
      </w:r>
      <w:r w:rsidRPr="00610B1B">
        <w:rPr>
          <w:rFonts w:ascii="Times New Roman" w:eastAsia="Calibri" w:hAnsi="Times New Roman" w:cs="Times New Roman"/>
          <w:sz w:val="24"/>
          <w:szCs w:val="24"/>
          <w:lang w:val="bg-BG"/>
        </w:rPr>
        <w:t xml:space="preserve"> карти</w:t>
      </w:r>
      <w:r w:rsidR="003103F7" w:rsidRPr="00610B1B">
        <w:rPr>
          <w:rFonts w:ascii="Times New Roman" w:eastAsia="Calibri" w:hAnsi="Times New Roman" w:cs="Times New Roman"/>
          <w:sz w:val="24"/>
          <w:szCs w:val="24"/>
          <w:lang w:val="bg-BG"/>
        </w:rPr>
        <w:t xml:space="preserve"> и в тях </w:t>
      </w:r>
      <w:r w:rsidRPr="00610B1B">
        <w:rPr>
          <w:rFonts w:ascii="Times New Roman" w:eastAsia="Calibri" w:hAnsi="Times New Roman" w:cs="Times New Roman"/>
          <w:sz w:val="24"/>
          <w:szCs w:val="24"/>
          <w:lang w:val="bg-BG"/>
        </w:rPr>
        <w:t>дейности</w:t>
      </w:r>
      <w:r w:rsidR="003103F7" w:rsidRPr="00610B1B">
        <w:rPr>
          <w:rFonts w:ascii="Times New Roman" w:eastAsia="Calibri" w:hAnsi="Times New Roman" w:cs="Times New Roman"/>
          <w:sz w:val="24"/>
          <w:szCs w:val="24"/>
          <w:lang w:val="bg-BG"/>
        </w:rPr>
        <w:t>те</w:t>
      </w:r>
      <w:r w:rsidRPr="00610B1B">
        <w:rPr>
          <w:rFonts w:ascii="Times New Roman" w:eastAsia="Calibri" w:hAnsi="Times New Roman" w:cs="Times New Roman"/>
          <w:sz w:val="24"/>
          <w:szCs w:val="24"/>
          <w:lang w:val="bg-BG"/>
        </w:rPr>
        <w:t>, които могат да повредят кабелите, са строго регулирани и контролирани.</w:t>
      </w:r>
      <w:r w:rsidR="004035B4" w:rsidRPr="00610B1B">
        <w:rPr>
          <w:rFonts w:ascii="Times New Roman" w:eastAsia="Calibri" w:hAnsi="Times New Roman" w:cs="Times New Roman"/>
          <w:sz w:val="24"/>
          <w:szCs w:val="24"/>
          <w:lang w:val="bg-BG"/>
        </w:rPr>
        <w:t xml:space="preserve"> Зоните</w:t>
      </w:r>
      <w:r w:rsidRPr="00610B1B">
        <w:rPr>
          <w:rFonts w:ascii="Times New Roman" w:eastAsia="Calibri" w:hAnsi="Times New Roman" w:cs="Times New Roman"/>
          <w:sz w:val="24"/>
          <w:szCs w:val="24"/>
          <w:lang w:val="bg-BG"/>
        </w:rPr>
        <w:t xml:space="preserve"> могат да се различават по размер в зависимост от националните правила/закони и местните условия (напр. Военноморски трафик). </w:t>
      </w:r>
    </w:p>
    <w:p w14:paraId="2FE5CE8F" w14:textId="0F118464"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Пример за добра практика е свързан с информационната услуга Kingfisher </w:t>
      </w:r>
      <w:r w:rsidR="00BA5862"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Проект за </w:t>
      </w:r>
      <w:r w:rsidR="00BA5862" w:rsidRPr="00610B1B">
        <w:rPr>
          <w:rFonts w:ascii="Times New Roman" w:eastAsia="Calibri" w:hAnsi="Times New Roman" w:cs="Times New Roman"/>
          <w:sz w:val="24"/>
          <w:szCs w:val="24"/>
          <w:lang w:val="bg-BG"/>
        </w:rPr>
        <w:t>о</w:t>
      </w:r>
      <w:r w:rsidRPr="00610B1B">
        <w:rPr>
          <w:rFonts w:ascii="Times New Roman" w:eastAsia="Calibri" w:hAnsi="Times New Roman" w:cs="Times New Roman"/>
          <w:sz w:val="24"/>
          <w:szCs w:val="24"/>
          <w:lang w:val="bg-BG"/>
        </w:rPr>
        <w:t>фшорни възобновяеми и кабелни комуникации (KIS-ORCA), съвместна инициатива между Subsea Cables UK и Renewable UK, която повишава осведомеността за локалните мрежи за кабели сред операторите в риболовната индустрия в Северно море и западната граница на Европа. На неговия Интернет сайт са включени онлайн актуализирани карти</w:t>
      </w:r>
      <w:r w:rsidR="003103F7" w:rsidRPr="00610B1B">
        <w:rPr>
          <w:rFonts w:ascii="Times New Roman" w:eastAsia="Calibri" w:hAnsi="Times New Roman" w:cs="Times New Roman"/>
          <w:sz w:val="24"/>
          <w:szCs w:val="24"/>
          <w:lang w:val="bg-BG"/>
        </w:rPr>
        <w:t xml:space="preserve"> на </w:t>
      </w:r>
      <w:r w:rsidRPr="00610B1B">
        <w:rPr>
          <w:rFonts w:ascii="Times New Roman" w:eastAsia="Calibri" w:hAnsi="Times New Roman" w:cs="Times New Roman"/>
          <w:sz w:val="24"/>
          <w:szCs w:val="24"/>
          <w:lang w:val="bg-BG"/>
        </w:rPr>
        <w:t>морската инфраструктура (тръбопроводи, подводни кабели за електроенергия и телекомуникации</w:t>
      </w:r>
      <w:r w:rsidR="003103F7"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съпътстващо оборудване) с данни за контакт в случай на инциденти</w:t>
      </w:r>
      <w:r w:rsidR="004035B4" w:rsidRPr="00610B1B">
        <w:rPr>
          <w:rStyle w:val="FootnoteReference"/>
          <w:rFonts w:ascii="Times New Roman" w:eastAsia="Calibri" w:hAnsi="Times New Roman" w:cs="Times New Roman"/>
          <w:sz w:val="24"/>
          <w:szCs w:val="24"/>
          <w:lang w:val="bg-BG"/>
        </w:rPr>
        <w:footnoteReference w:id="162"/>
      </w:r>
      <w:r w:rsidRPr="00610B1B">
        <w:rPr>
          <w:rFonts w:ascii="Times New Roman" w:eastAsia="Calibri" w:hAnsi="Times New Roman" w:cs="Times New Roman"/>
          <w:sz w:val="24"/>
          <w:szCs w:val="24"/>
          <w:lang w:val="bg-BG"/>
        </w:rPr>
        <w:t xml:space="preserve">. </w:t>
      </w:r>
    </w:p>
    <w:p w14:paraId="1E32055D" w14:textId="77777777"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Промишлените организации като Международния комитет по защита на кабелите (ICPC) и Северноамериканската асоциация за кабелни подводници (NASCA) имат изготвен набор от препоръки относно защитните мерки, които трябва да бъдат приложени за по-безопасен и по-дълъг живот на подводни кабели (CSRIC 2014).</w:t>
      </w:r>
    </w:p>
    <w:p w14:paraId="00048A38" w14:textId="19A7F042"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През акваториятa на Черно море в момента преминава само един международен енергиен коридор – газопроводът „Син поток”, транспортиращ природен газ от Русия за Турция, извън обхвата на </w:t>
      </w:r>
      <w:r w:rsidR="003103F7" w:rsidRPr="00610B1B">
        <w:rPr>
          <w:rFonts w:ascii="Times New Roman" w:eastAsia="Calibri" w:hAnsi="Times New Roman" w:cs="Times New Roman"/>
          <w:sz w:val="24"/>
          <w:szCs w:val="24"/>
          <w:lang w:val="bg-BG"/>
        </w:rPr>
        <w:t xml:space="preserve">Морския пространствен план </w:t>
      </w:r>
      <w:r w:rsidRPr="00610B1B">
        <w:rPr>
          <w:rFonts w:ascii="Times New Roman" w:eastAsia="Calibri" w:hAnsi="Times New Roman" w:cs="Times New Roman"/>
          <w:sz w:val="24"/>
          <w:szCs w:val="24"/>
          <w:lang w:val="bg-BG"/>
        </w:rPr>
        <w:t xml:space="preserve">на Р. България. </w:t>
      </w:r>
    </w:p>
    <w:p w14:paraId="645C6974" w14:textId="6771E030" w:rsidR="000E7C6A"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Предвижданият руско-европейски коридор „Южен поток”, осигуряващ транспортирането на природен газ от Русия до Южна и Западна Европа с</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предвиден маршрут от руското черноморско пристанище Анапа, </w:t>
      </w:r>
      <w:r w:rsidR="00A36718" w:rsidRPr="00610B1B">
        <w:rPr>
          <w:rFonts w:ascii="Times New Roman" w:eastAsia="Calibri" w:hAnsi="Times New Roman" w:cs="Times New Roman"/>
          <w:sz w:val="24"/>
          <w:szCs w:val="24"/>
          <w:lang w:val="bg-BG"/>
        </w:rPr>
        <w:t xml:space="preserve">който </w:t>
      </w:r>
      <w:r w:rsidRPr="00610B1B">
        <w:rPr>
          <w:rFonts w:ascii="Times New Roman" w:eastAsia="Calibri" w:hAnsi="Times New Roman" w:cs="Times New Roman"/>
          <w:sz w:val="24"/>
          <w:szCs w:val="24"/>
          <w:lang w:val="bg-BG"/>
        </w:rPr>
        <w:t>преминава през турските териториални води в Черно море, през българските териториални води и излиза на сушата южно от Провадия, близо до Варна, не е актуален. Не е актуален и нефтопровод</w:t>
      </w:r>
      <w:r w:rsidR="00A36718" w:rsidRPr="00610B1B">
        <w:rPr>
          <w:rFonts w:ascii="Times New Roman" w:eastAsia="Calibri" w:hAnsi="Times New Roman" w:cs="Times New Roman"/>
          <w:sz w:val="24"/>
          <w:szCs w:val="24"/>
          <w:lang w:val="bg-BG"/>
        </w:rPr>
        <w:t>ът</w:t>
      </w:r>
      <w:r w:rsidRPr="00610B1B">
        <w:rPr>
          <w:rFonts w:ascii="Times New Roman" w:eastAsia="Calibri" w:hAnsi="Times New Roman" w:cs="Times New Roman"/>
          <w:sz w:val="24"/>
          <w:szCs w:val="24"/>
          <w:lang w:val="bg-BG"/>
        </w:rPr>
        <w:t xml:space="preserve"> „Бургас-Александруполис“. Към този момент в обхвата на МПП</w:t>
      </w:r>
      <w:r w:rsidR="003103F7" w:rsidRPr="00610B1B">
        <w:rPr>
          <w:rFonts w:ascii="Times New Roman" w:eastAsia="Calibri" w:hAnsi="Times New Roman" w:cs="Times New Roman"/>
          <w:sz w:val="24"/>
          <w:szCs w:val="24"/>
          <w:lang w:val="bg-BG"/>
        </w:rPr>
        <w:t>РБ</w:t>
      </w:r>
      <w:r w:rsidRPr="00610B1B">
        <w:rPr>
          <w:rFonts w:ascii="Times New Roman" w:eastAsia="Calibri" w:hAnsi="Times New Roman" w:cs="Times New Roman"/>
          <w:sz w:val="24"/>
          <w:szCs w:val="24"/>
          <w:lang w:val="bg-BG"/>
        </w:rPr>
        <w:t xml:space="preserve"> не се предвижда изграждане на нефто и/или газопроводи.</w:t>
      </w:r>
    </w:p>
    <w:p w14:paraId="16B28A4D" w14:textId="77777777" w:rsidR="009907CE" w:rsidRPr="00610B1B" w:rsidRDefault="009907CE" w:rsidP="00D32D6A">
      <w:pPr>
        <w:spacing w:after="120"/>
        <w:ind w:right="-153"/>
        <w:jc w:val="both"/>
        <w:rPr>
          <w:rFonts w:ascii="Times New Roman" w:eastAsia="Calibri" w:hAnsi="Times New Roman" w:cs="Times New Roman"/>
          <w:sz w:val="24"/>
          <w:szCs w:val="24"/>
          <w:lang w:val="bg-BG"/>
        </w:rPr>
      </w:pPr>
    </w:p>
    <w:p w14:paraId="566DB58E" w14:textId="212FE39D" w:rsidR="00442579" w:rsidRPr="00610B1B" w:rsidRDefault="00442579" w:rsidP="00D32D6A">
      <w:pPr>
        <w:pStyle w:val="Heading3"/>
        <w:spacing w:before="0" w:line="276" w:lineRule="auto"/>
        <w:ind w:right="-153"/>
        <w:rPr>
          <w:rFonts w:cs="Times New Roman"/>
        </w:rPr>
      </w:pPr>
      <w:bookmarkStart w:id="433" w:name="_Toc83391414"/>
      <w:r w:rsidRPr="00610B1B">
        <w:rPr>
          <w:rFonts w:cs="Times New Roman"/>
        </w:rPr>
        <w:t>4.</w:t>
      </w:r>
      <w:r w:rsidR="009278D0" w:rsidRPr="00610B1B">
        <w:rPr>
          <w:rFonts w:cs="Times New Roman"/>
        </w:rPr>
        <w:t>2</w:t>
      </w:r>
      <w:r w:rsidRPr="00610B1B">
        <w:rPr>
          <w:rFonts w:cs="Times New Roman"/>
        </w:rPr>
        <w:t>.7. Прогнозно развитие на военните дейности, учения и трафик и необходимата инфраструктура</w:t>
      </w:r>
      <w:bookmarkEnd w:id="433"/>
      <w:r w:rsidRPr="00610B1B">
        <w:rPr>
          <w:rFonts w:cs="Times New Roman"/>
        </w:rPr>
        <w:t xml:space="preserve"> </w:t>
      </w:r>
    </w:p>
    <w:p w14:paraId="072073FC" w14:textId="4A5105B7" w:rsidR="008873BD" w:rsidRPr="00610B1B" w:rsidRDefault="008873B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Доктриналните документи, отразяващи дейността на ВМС в акваторията на Р</w:t>
      </w:r>
      <w:r w:rsidR="00EF1EFD"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България поставят основите на съвременните операции и определят принципите за най-ефективно използване на войските и силите </w:t>
      </w:r>
      <w:r w:rsidR="00EF1EFD" w:rsidRPr="00610B1B">
        <w:rPr>
          <w:rFonts w:ascii="Times New Roman" w:hAnsi="Times New Roman" w:cs="Times New Roman"/>
          <w:sz w:val="24"/>
          <w:szCs w:val="24"/>
          <w:lang w:val="bg-BG"/>
        </w:rPr>
        <w:t>за</w:t>
      </w:r>
      <w:r w:rsidRPr="00610B1B">
        <w:rPr>
          <w:rFonts w:ascii="Times New Roman" w:hAnsi="Times New Roman" w:cs="Times New Roman"/>
          <w:sz w:val="24"/>
          <w:szCs w:val="24"/>
          <w:lang w:val="bg-BG"/>
        </w:rPr>
        <w:t xml:space="preserve"> постигане на поставените цели. </w:t>
      </w:r>
      <w:r w:rsidR="00EF1EFD" w:rsidRPr="00610B1B">
        <w:rPr>
          <w:rFonts w:ascii="Times New Roman" w:hAnsi="Times New Roman" w:cs="Times New Roman"/>
          <w:sz w:val="24"/>
          <w:szCs w:val="24"/>
          <w:lang w:val="bg-BG"/>
        </w:rPr>
        <w:t>Те поставят</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основ</w:t>
      </w:r>
      <w:r w:rsidR="00EF1EFD" w:rsidRPr="00610B1B">
        <w:rPr>
          <w:rFonts w:ascii="Times New Roman" w:hAnsi="Times New Roman" w:cs="Times New Roman"/>
          <w:sz w:val="24"/>
          <w:szCs w:val="24"/>
          <w:lang w:val="bg-BG"/>
        </w:rPr>
        <w:t>ите</w:t>
      </w:r>
      <w:r w:rsidRPr="00610B1B">
        <w:rPr>
          <w:rFonts w:ascii="Times New Roman" w:hAnsi="Times New Roman" w:cs="Times New Roman"/>
          <w:sz w:val="24"/>
          <w:szCs w:val="24"/>
          <w:lang w:val="bg-BG"/>
        </w:rPr>
        <w:t xml:space="preserve"> за съвместна подготовка</w:t>
      </w:r>
      <w:r w:rsidR="00EF1EFD" w:rsidRPr="00610B1B">
        <w:rPr>
          <w:rFonts w:ascii="Times New Roman" w:hAnsi="Times New Roman" w:cs="Times New Roman"/>
          <w:sz w:val="24"/>
          <w:szCs w:val="24"/>
          <w:lang w:val="bg-BG"/>
        </w:rPr>
        <w:t xml:space="preserve">, определят </w:t>
      </w:r>
      <w:r w:rsidRPr="00610B1B">
        <w:rPr>
          <w:rFonts w:ascii="Times New Roman" w:hAnsi="Times New Roman" w:cs="Times New Roman"/>
          <w:sz w:val="24"/>
          <w:szCs w:val="24"/>
          <w:lang w:val="bg-BG"/>
        </w:rPr>
        <w:t xml:space="preserve">единни оперативни методи, обща терминология и </w:t>
      </w:r>
      <w:r w:rsidRPr="00610B1B">
        <w:rPr>
          <w:rFonts w:ascii="Times New Roman" w:hAnsi="Times New Roman" w:cs="Times New Roman"/>
          <w:sz w:val="24"/>
          <w:szCs w:val="24"/>
          <w:lang w:val="bg-BG"/>
        </w:rPr>
        <w:lastRenderedPageBreak/>
        <w:t>процедури</w:t>
      </w:r>
      <w:r w:rsidR="00EF1EFD" w:rsidRPr="00610B1B">
        <w:rPr>
          <w:rFonts w:ascii="Times New Roman" w:hAnsi="Times New Roman" w:cs="Times New Roman"/>
          <w:sz w:val="24"/>
          <w:szCs w:val="24"/>
          <w:lang w:val="bg-BG"/>
        </w:rPr>
        <w:t xml:space="preserve"> и </w:t>
      </w:r>
      <w:r w:rsidRPr="00610B1B">
        <w:rPr>
          <w:rFonts w:ascii="Times New Roman" w:hAnsi="Times New Roman" w:cs="Times New Roman"/>
          <w:sz w:val="24"/>
          <w:szCs w:val="24"/>
          <w:lang w:val="bg-BG"/>
        </w:rPr>
        <w:t>подпомага</w:t>
      </w:r>
      <w:r w:rsidR="00EF1EFD" w:rsidRPr="00610B1B">
        <w:rPr>
          <w:rFonts w:ascii="Times New Roman" w:hAnsi="Times New Roman" w:cs="Times New Roman"/>
          <w:sz w:val="24"/>
          <w:szCs w:val="24"/>
          <w:lang w:val="bg-BG"/>
        </w:rPr>
        <w:t>т</w:t>
      </w:r>
      <w:r w:rsidRPr="00610B1B">
        <w:rPr>
          <w:rFonts w:ascii="Times New Roman" w:hAnsi="Times New Roman" w:cs="Times New Roman"/>
          <w:sz w:val="24"/>
          <w:szCs w:val="24"/>
          <w:lang w:val="bg-BG"/>
        </w:rPr>
        <w:t xml:space="preserve"> командирите и щабове</w:t>
      </w:r>
      <w:r w:rsidR="00EF1EFD"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в разработването на стандарти за съвместна подготовка и обучение.</w:t>
      </w:r>
      <w:r w:rsidR="00EF1EFD"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Доктрината на въоръжените сили на Р</w:t>
      </w:r>
      <w:r w:rsidR="00192401"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България заема най-високото място в йерархията от документи, регламентиращи използването на войските. </w:t>
      </w:r>
      <w:r w:rsidR="007C06FF" w:rsidRPr="00610B1B">
        <w:rPr>
          <w:rFonts w:ascii="Times New Roman" w:hAnsi="Times New Roman" w:cs="Times New Roman"/>
          <w:sz w:val="24"/>
          <w:szCs w:val="24"/>
          <w:lang w:val="bg-BG"/>
        </w:rPr>
        <w:t>С</w:t>
      </w:r>
      <w:r w:rsidRPr="00610B1B">
        <w:rPr>
          <w:rFonts w:ascii="Times New Roman" w:hAnsi="Times New Roman" w:cs="Times New Roman"/>
          <w:sz w:val="24"/>
          <w:szCs w:val="24"/>
          <w:lang w:val="bg-BG"/>
        </w:rPr>
        <w:t xml:space="preserve"> използването на ВМС </w:t>
      </w:r>
      <w:r w:rsidR="007C06FF" w:rsidRPr="00610B1B">
        <w:rPr>
          <w:rFonts w:ascii="Times New Roman" w:hAnsi="Times New Roman" w:cs="Times New Roman"/>
          <w:sz w:val="24"/>
          <w:szCs w:val="24"/>
          <w:lang w:val="bg-BG"/>
        </w:rPr>
        <w:t>са свързани</w:t>
      </w:r>
      <w:r w:rsidRPr="00610B1B">
        <w:rPr>
          <w:rFonts w:ascii="Times New Roman" w:hAnsi="Times New Roman" w:cs="Times New Roman"/>
          <w:sz w:val="24"/>
          <w:szCs w:val="24"/>
          <w:lang w:val="bg-BG"/>
        </w:rPr>
        <w:t xml:space="preserve"> почти всички доктрини от трите нива, но с приоритетно отношение са Доктрината на въоръжените сили на Република България, Доктрината за операциите НП-3 и Доктрината за морски операции-НП-3.1. </w:t>
      </w:r>
    </w:p>
    <w:p w14:paraId="030E4991" w14:textId="76371924" w:rsidR="008873BD" w:rsidRPr="00610B1B" w:rsidRDefault="008873B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Основните съюзни документи</w:t>
      </w:r>
      <w:r w:rsidR="00EF1EFD"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регламентиращи подготовката на ВМС включват: (AJP) – 01 (D) Allied Joint Doctrine; MXP1(D) (Navy) (Air) - Multinational Submarine And Antisubmarine Exercise Manual; MXP2 (C) (Navy) (Air) - The Multinational Maritime Above Water Warfare Exercise Manual; AXP-3(C), Allied Naval Communication Exercises и др</w:t>
      </w:r>
      <w:r w:rsidR="00BA5862" w:rsidRPr="00610B1B">
        <w:rPr>
          <w:rFonts w:ascii="Times New Roman" w:hAnsi="Times New Roman" w:cs="Times New Roman"/>
          <w:sz w:val="24"/>
          <w:szCs w:val="24"/>
          <w:lang w:val="bg-BG"/>
        </w:rPr>
        <w:t>уги</w:t>
      </w:r>
      <w:r w:rsidRPr="00610B1B">
        <w:rPr>
          <w:rFonts w:ascii="Times New Roman" w:hAnsi="Times New Roman" w:cs="Times New Roman"/>
          <w:sz w:val="24"/>
          <w:szCs w:val="24"/>
          <w:lang w:val="bg-BG"/>
        </w:rPr>
        <w:t>.</w:t>
      </w:r>
    </w:p>
    <w:p w14:paraId="5628E9EF" w14:textId="5495AE4F" w:rsidR="008873BD" w:rsidRPr="00610B1B" w:rsidRDefault="008873B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съответствие с правата и юрисдикциите, утвърдени от международното право, всички държави имат еднакви права за достъп до преобладаваща част от морето и прилежащото му въздушно пространство. Следователно, морските операции се отличават от сухопътните по това, че морето не може да бъде притежавано така както сушата. Страните могат да тълкуват международното морско право с различни нюа</w:t>
      </w:r>
      <w:r w:rsidR="007C06FF" w:rsidRPr="00610B1B">
        <w:rPr>
          <w:rFonts w:ascii="Times New Roman" w:hAnsi="Times New Roman" w:cs="Times New Roman"/>
          <w:sz w:val="24"/>
          <w:szCs w:val="24"/>
          <w:lang w:val="bg-BG"/>
        </w:rPr>
        <w:t xml:space="preserve">нси или </w:t>
      </w:r>
      <w:r w:rsidRPr="00610B1B">
        <w:rPr>
          <w:rFonts w:ascii="Times New Roman" w:hAnsi="Times New Roman" w:cs="Times New Roman"/>
          <w:sz w:val="24"/>
          <w:szCs w:val="24"/>
          <w:lang w:val="bg-BG"/>
        </w:rPr>
        <w:t xml:space="preserve">със съществени различия от останалите съюзници, партньори или противостоящите сили. </w:t>
      </w:r>
    </w:p>
    <w:p w14:paraId="68C377F2" w14:textId="4E7DB579" w:rsidR="008873BD" w:rsidRPr="00610B1B" w:rsidRDefault="008873B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Военноморските сили провеждат операции над, на или под водата. В случаи на политически кризи, океаните и литоралните води осигуряват триизмерно пространство, в което военноморските сили провеждат операции и маневри за демонстриране на възможности и воля за използване на сила.</w:t>
      </w:r>
      <w:r w:rsidR="007C06FF"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Действията в близост до брега създават ограничения върху свободата на движение или посоката на подхода към него, особено при необходимост от преминаване през географски или създадени от противника тесни морски пространства. Военноморски</w:t>
      </w:r>
      <w:r w:rsidR="00C872DC"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сили трябва да поддържат и развиват способности за провеждане на операции в националните морски пространства, а съвместно със съюзниците от НАТО и ЕС – в открития океан и в крайбрежните води на други държави. </w:t>
      </w:r>
    </w:p>
    <w:p w14:paraId="2123E475" w14:textId="17E171DA" w:rsidR="008873BD" w:rsidRPr="00610B1B" w:rsidRDefault="008873B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Доктрините определят </w:t>
      </w:r>
      <w:r w:rsidR="00EF1EFD" w:rsidRPr="00610B1B">
        <w:rPr>
          <w:rFonts w:ascii="Times New Roman" w:hAnsi="Times New Roman" w:cs="Times New Roman"/>
          <w:sz w:val="24"/>
          <w:szCs w:val="24"/>
          <w:lang w:val="bg-BG"/>
        </w:rPr>
        <w:t>как</w:t>
      </w:r>
      <w:r w:rsidRPr="00610B1B">
        <w:rPr>
          <w:rFonts w:ascii="Times New Roman" w:hAnsi="Times New Roman" w:cs="Times New Roman"/>
          <w:sz w:val="24"/>
          <w:szCs w:val="24"/>
          <w:lang w:val="bg-BG"/>
        </w:rPr>
        <w:t xml:space="preserve">, а не </w:t>
      </w:r>
      <w:r w:rsidR="007C06FF" w:rsidRPr="00610B1B">
        <w:rPr>
          <w:rFonts w:ascii="Times New Roman" w:hAnsi="Times New Roman" w:cs="Times New Roman"/>
          <w:sz w:val="24"/>
          <w:szCs w:val="24"/>
          <w:lang w:val="bg-BG"/>
        </w:rPr>
        <w:t xml:space="preserve">какво </w:t>
      </w:r>
      <w:r w:rsidRPr="00610B1B">
        <w:rPr>
          <w:rFonts w:ascii="Times New Roman" w:hAnsi="Times New Roman" w:cs="Times New Roman"/>
          <w:sz w:val="24"/>
          <w:szCs w:val="24"/>
          <w:lang w:val="bg-BG"/>
        </w:rPr>
        <w:t xml:space="preserve">да се предприеме в зависимост от условията на средата. Те подпомагат аналитичното мислене, необходимо за планиране и водене на операциите. Същевременно доктрините са достатъчно обхватни, </w:t>
      </w:r>
      <w:r w:rsidR="00C872DC" w:rsidRPr="00610B1B">
        <w:rPr>
          <w:rFonts w:ascii="Times New Roman" w:hAnsi="Times New Roman" w:cs="Times New Roman"/>
          <w:sz w:val="24"/>
          <w:szCs w:val="24"/>
          <w:lang w:val="bg-BG"/>
        </w:rPr>
        <w:t>за</w:t>
      </w:r>
      <w:r w:rsidRPr="00610B1B">
        <w:rPr>
          <w:rFonts w:ascii="Times New Roman" w:hAnsi="Times New Roman" w:cs="Times New Roman"/>
          <w:sz w:val="24"/>
          <w:szCs w:val="24"/>
          <w:lang w:val="bg-BG"/>
        </w:rPr>
        <w:t xml:space="preserve"> да подпомагат провеждането на различните видове операции и достатъчно гъвкави, за да отчет</w:t>
      </w:r>
      <w:r w:rsidR="00C872DC" w:rsidRPr="00610B1B">
        <w:rPr>
          <w:rFonts w:ascii="Times New Roman" w:hAnsi="Times New Roman" w:cs="Times New Roman"/>
          <w:sz w:val="24"/>
          <w:szCs w:val="24"/>
          <w:lang w:val="bg-BG"/>
        </w:rPr>
        <w:t>ат</w:t>
      </w:r>
      <w:r w:rsidRPr="00610B1B">
        <w:rPr>
          <w:rFonts w:ascii="Times New Roman" w:hAnsi="Times New Roman" w:cs="Times New Roman"/>
          <w:sz w:val="24"/>
          <w:szCs w:val="24"/>
          <w:lang w:val="bg-BG"/>
        </w:rPr>
        <w:t xml:space="preserve"> голямото разнообразие от ситуации. </w:t>
      </w:r>
      <w:r w:rsidR="007C06FF"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не предвиждат развитието на районите, свързани с провеждането на подготовката от ВМС.</w:t>
      </w:r>
    </w:p>
    <w:p w14:paraId="790026C1" w14:textId="77777777" w:rsidR="008873BD" w:rsidRPr="00610B1B" w:rsidRDefault="008873B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стратегическа перспектива членството в ЕС и НАТО не предполагат към момента промени в режима на ползване на морските пространства. Въпреки това анализът на съществуващите тенденции в областта налагат следните възможни промени в сектора за сигурност на морските пространства и транспорта:</w:t>
      </w:r>
    </w:p>
    <w:p w14:paraId="15DBBA8B" w14:textId="77777777" w:rsidR="008873BD" w:rsidRPr="00610B1B" w:rsidRDefault="008873BD" w:rsidP="00B46189">
      <w:pPr>
        <w:pStyle w:val="ListParagraph"/>
        <w:numPr>
          <w:ilvl w:val="0"/>
          <w:numId w:val="42"/>
        </w:numPr>
        <w:spacing w:after="120"/>
        <w:ind w:left="284" w:right="-153" w:hanging="284"/>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Разширяване на зоните за тренинг в мористо направление в съчетание със запазване на зоните, непосредствено намиращи се в близост до брега.</w:t>
      </w:r>
    </w:p>
    <w:p w14:paraId="299026DC" w14:textId="740264EE" w:rsidR="008873BD" w:rsidRPr="00610B1B" w:rsidRDefault="008873BD" w:rsidP="00B46189">
      <w:pPr>
        <w:pStyle w:val="ListParagraph"/>
        <w:numPr>
          <w:ilvl w:val="0"/>
          <w:numId w:val="42"/>
        </w:numPr>
        <w:spacing w:after="120"/>
        <w:ind w:left="284" w:right="-153" w:hanging="284"/>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Установяване на нови зони с ограничения за корабоплаването в резултат от развитие на офшорната индустрия в потенциални райони за добив на морски суровини. Потенциалните райони съвпадат с</w:t>
      </w:r>
      <w:r w:rsidR="00C872DC" w:rsidRPr="00610B1B">
        <w:rPr>
          <w:rFonts w:ascii="Times New Roman" w:hAnsi="Times New Roman" w:cs="Times New Roman"/>
          <w:sz w:val="24"/>
          <w:szCs w:val="24"/>
          <w:lang w:val="bg-BG"/>
        </w:rPr>
        <w:t>ъс</w:t>
      </w:r>
      <w:r w:rsidRPr="00610B1B">
        <w:rPr>
          <w:rFonts w:ascii="Times New Roman" w:hAnsi="Times New Roman" w:cs="Times New Roman"/>
          <w:sz w:val="24"/>
          <w:szCs w:val="24"/>
          <w:lang w:val="bg-BG"/>
        </w:rPr>
        <w:t xml:space="preserve"> зоните, дадени </w:t>
      </w:r>
      <w:r w:rsidR="00C872DC" w:rsidRPr="00610B1B">
        <w:rPr>
          <w:rFonts w:ascii="Times New Roman" w:hAnsi="Times New Roman" w:cs="Times New Roman"/>
          <w:sz w:val="24"/>
          <w:szCs w:val="24"/>
          <w:lang w:val="bg-BG"/>
        </w:rPr>
        <w:t xml:space="preserve">на </w:t>
      </w:r>
      <w:r w:rsidRPr="00610B1B">
        <w:rPr>
          <w:rFonts w:ascii="Times New Roman" w:hAnsi="Times New Roman" w:cs="Times New Roman"/>
          <w:sz w:val="24"/>
          <w:szCs w:val="24"/>
          <w:lang w:val="bg-BG"/>
        </w:rPr>
        <w:t xml:space="preserve">концесия за проучвания за добив </w:t>
      </w:r>
      <w:r w:rsidR="00C872DC" w:rsidRPr="00610B1B">
        <w:rPr>
          <w:rFonts w:ascii="Times New Roman" w:hAnsi="Times New Roman" w:cs="Times New Roman"/>
          <w:sz w:val="24"/>
          <w:szCs w:val="24"/>
          <w:lang w:val="bg-BG"/>
        </w:rPr>
        <w:t>на нефт и газ</w:t>
      </w:r>
      <w:r w:rsidRPr="00610B1B">
        <w:rPr>
          <w:rFonts w:ascii="Times New Roman" w:hAnsi="Times New Roman" w:cs="Times New Roman"/>
          <w:sz w:val="24"/>
          <w:szCs w:val="24"/>
          <w:lang w:val="bg-BG"/>
        </w:rPr>
        <w:t>.</w:t>
      </w:r>
    </w:p>
    <w:p w14:paraId="1A2FA0E3" w14:textId="77777777" w:rsidR="008873BD" w:rsidRPr="00610B1B" w:rsidRDefault="008873BD" w:rsidP="00B46189">
      <w:pPr>
        <w:pStyle w:val="ListParagraph"/>
        <w:numPr>
          <w:ilvl w:val="0"/>
          <w:numId w:val="42"/>
        </w:numPr>
        <w:spacing w:after="120"/>
        <w:ind w:left="284" w:right="-153" w:hanging="284"/>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Установяване на нови зони с ограничения в корабоплаването и свързани дейности, произтичащи от потенциални проекти за пренос на енергоносители. Потенциалните прибрежни зони са близки до проектните зони на Бургас-Александруполис и Южен поток.</w:t>
      </w:r>
    </w:p>
    <w:p w14:paraId="303BEB93" w14:textId="60A6C273" w:rsidR="008873BD" w:rsidRPr="00610B1B" w:rsidRDefault="00EF1EFD" w:rsidP="00B46189">
      <w:pPr>
        <w:pStyle w:val="ListParagraph"/>
        <w:numPr>
          <w:ilvl w:val="0"/>
          <w:numId w:val="42"/>
        </w:numPr>
        <w:spacing w:after="120"/>
        <w:ind w:left="284" w:right="-153" w:hanging="284"/>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Разработване и въвеждане</w:t>
      </w:r>
      <w:r w:rsidR="008873BD" w:rsidRPr="00610B1B">
        <w:rPr>
          <w:rFonts w:ascii="Times New Roman" w:hAnsi="Times New Roman" w:cs="Times New Roman"/>
          <w:sz w:val="24"/>
          <w:szCs w:val="24"/>
          <w:lang w:val="bg-BG"/>
        </w:rPr>
        <w:t xml:space="preserve"> на нова система за разделно движение</w:t>
      </w:r>
      <w:r w:rsidR="009450A4" w:rsidRPr="00610B1B">
        <w:rPr>
          <w:rFonts w:ascii="Times New Roman" w:hAnsi="Times New Roman" w:cs="Times New Roman"/>
          <w:sz w:val="24"/>
          <w:szCs w:val="24"/>
          <w:lang w:val="bg-BG"/>
        </w:rPr>
        <w:t xml:space="preserve"> (СРД)</w:t>
      </w:r>
      <w:r w:rsidR="008873BD" w:rsidRPr="00610B1B">
        <w:rPr>
          <w:rFonts w:ascii="Times New Roman" w:hAnsi="Times New Roman" w:cs="Times New Roman"/>
          <w:sz w:val="24"/>
          <w:szCs w:val="24"/>
          <w:lang w:val="bg-BG"/>
        </w:rPr>
        <w:t xml:space="preserve"> с произтичащо преразглеждане на зоните, свързани с корабоплаването.</w:t>
      </w:r>
    </w:p>
    <w:p w14:paraId="34909740" w14:textId="5877F5F1" w:rsidR="008873BD" w:rsidRPr="00610B1B" w:rsidRDefault="008873B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Доколкото в стратегически контекст най-вероятна и предстояща се очертава дейността по установяване на нова система за разделно движение, последователността от дейности в това направление</w:t>
      </w:r>
      <w:r w:rsidR="007C06FF" w:rsidRPr="00610B1B">
        <w:rPr>
          <w:rFonts w:ascii="Times New Roman" w:hAnsi="Times New Roman" w:cs="Times New Roman"/>
          <w:sz w:val="24"/>
          <w:szCs w:val="24"/>
          <w:lang w:val="bg-BG"/>
        </w:rPr>
        <w:t xml:space="preserve"> следва изискванията на </w:t>
      </w:r>
      <w:r w:rsidRPr="00610B1B">
        <w:rPr>
          <w:rFonts w:ascii="Times New Roman" w:hAnsi="Times New Roman" w:cs="Times New Roman"/>
          <w:sz w:val="24"/>
          <w:szCs w:val="24"/>
          <w:lang w:val="bg-BG"/>
        </w:rPr>
        <w:t>Резолюция А572 (14)</w:t>
      </w:r>
      <w:r w:rsidR="00EC20C3" w:rsidRPr="00610B1B">
        <w:rPr>
          <w:rFonts w:ascii="Times New Roman" w:hAnsi="Times New Roman" w:cs="Times New Roman"/>
          <w:sz w:val="24"/>
          <w:szCs w:val="24"/>
          <w:lang w:val="bg-BG"/>
        </w:rPr>
        <w:t xml:space="preserve"> за съгласуване на действия с ММО (</w:t>
      </w:r>
      <w:r w:rsidRPr="00610B1B">
        <w:rPr>
          <w:rFonts w:ascii="Times New Roman" w:hAnsi="Times New Roman" w:cs="Times New Roman"/>
          <w:sz w:val="24"/>
          <w:szCs w:val="24"/>
          <w:lang w:val="bg-BG"/>
        </w:rPr>
        <w:t>IMO</w:t>
      </w:r>
      <w:r w:rsidR="00EC20C3"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Новата система приета от IMO не встъпва в сила до датата</w:t>
      </w:r>
      <w:r w:rsidR="009450A4"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обявена от правителството. Тази дата не трябва да е по-рано от шест месеца след датата на приемане от IMO. Ако издаването на нови карти изисква повече време, то датата на въвеждане може да се отложи от IMO с отчитане на конкретните особености. </w:t>
      </w:r>
    </w:p>
    <w:p w14:paraId="2A073D08" w14:textId="3E7A45F9" w:rsidR="008873BD" w:rsidRPr="00610B1B" w:rsidRDefault="008873B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Въвеждането на СРД се съгласува със заинтересованите министерства на Р</w:t>
      </w:r>
      <w:r w:rsidR="0075098D"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Б</w:t>
      </w:r>
      <w:r w:rsidR="0075098D" w:rsidRPr="00610B1B">
        <w:rPr>
          <w:rFonts w:ascii="Times New Roman" w:hAnsi="Times New Roman" w:cs="Times New Roman"/>
          <w:sz w:val="24"/>
          <w:szCs w:val="24"/>
          <w:lang w:val="bg-BG"/>
        </w:rPr>
        <w:t>ългария</w:t>
      </w:r>
      <w:r w:rsidRPr="00610B1B">
        <w:rPr>
          <w:rFonts w:ascii="Times New Roman" w:hAnsi="Times New Roman" w:cs="Times New Roman"/>
          <w:sz w:val="24"/>
          <w:szCs w:val="24"/>
          <w:lang w:val="bg-BG"/>
        </w:rPr>
        <w:t>:</w:t>
      </w:r>
    </w:p>
    <w:p w14:paraId="72BD1A05" w14:textId="4D4EB01E" w:rsidR="008873BD" w:rsidRPr="00610B1B" w:rsidRDefault="008873BD" w:rsidP="00B46189">
      <w:pPr>
        <w:pStyle w:val="ListParagraph"/>
        <w:numPr>
          <w:ilvl w:val="1"/>
          <w:numId w:val="43"/>
        </w:numPr>
        <w:spacing w:after="120"/>
        <w:ind w:left="709" w:right="-153" w:hanging="28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МРРБ – в частта си морско пространствено планиране</w:t>
      </w:r>
      <w:r w:rsidR="00192401" w:rsidRPr="00610B1B">
        <w:rPr>
          <w:rFonts w:ascii="Times New Roman" w:hAnsi="Times New Roman" w:cs="Times New Roman"/>
          <w:sz w:val="24"/>
          <w:szCs w:val="24"/>
          <w:lang w:val="bg-BG"/>
        </w:rPr>
        <w:t xml:space="preserve"> и опазване на културното наследство</w:t>
      </w:r>
      <w:r w:rsidRPr="00610B1B">
        <w:rPr>
          <w:rFonts w:ascii="Times New Roman" w:hAnsi="Times New Roman" w:cs="Times New Roman"/>
          <w:sz w:val="24"/>
          <w:szCs w:val="24"/>
          <w:lang w:val="bg-BG"/>
        </w:rPr>
        <w:t>;</w:t>
      </w:r>
    </w:p>
    <w:p w14:paraId="5B9C21E8" w14:textId="6A694EB3" w:rsidR="008873BD" w:rsidRPr="00610B1B" w:rsidRDefault="008873BD" w:rsidP="00B46189">
      <w:pPr>
        <w:pStyle w:val="ListParagraph"/>
        <w:numPr>
          <w:ilvl w:val="1"/>
          <w:numId w:val="43"/>
        </w:numPr>
        <w:spacing w:after="120"/>
        <w:ind w:left="709" w:right="-153" w:hanging="28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Министерство на околната среда </w:t>
      </w:r>
      <w:r w:rsidR="009450A4" w:rsidRPr="00610B1B">
        <w:rPr>
          <w:rFonts w:ascii="Times New Roman" w:hAnsi="Times New Roman" w:cs="Times New Roman"/>
          <w:sz w:val="24"/>
          <w:szCs w:val="24"/>
          <w:lang w:val="bg-BG"/>
        </w:rPr>
        <w:t xml:space="preserve">и водите </w:t>
      </w:r>
      <w:r w:rsidRPr="00610B1B">
        <w:rPr>
          <w:rFonts w:ascii="Times New Roman" w:hAnsi="Times New Roman" w:cs="Times New Roman"/>
          <w:sz w:val="24"/>
          <w:szCs w:val="24"/>
          <w:lang w:val="bg-BG"/>
        </w:rPr>
        <w:t>– по опазване на морската среда, биологичните видове</w:t>
      </w:r>
      <w:r w:rsidR="00EC20C3" w:rsidRPr="00610B1B">
        <w:rPr>
          <w:rFonts w:ascii="Times New Roman" w:hAnsi="Times New Roman" w:cs="Times New Roman"/>
          <w:sz w:val="24"/>
          <w:szCs w:val="24"/>
          <w:lang w:val="bg-BG"/>
        </w:rPr>
        <w:t>, защитените територии и защитените зони</w:t>
      </w:r>
      <w:r w:rsidRPr="00610B1B">
        <w:rPr>
          <w:rFonts w:ascii="Times New Roman" w:hAnsi="Times New Roman" w:cs="Times New Roman"/>
          <w:sz w:val="24"/>
          <w:szCs w:val="24"/>
          <w:lang w:val="bg-BG"/>
        </w:rPr>
        <w:t xml:space="preserve"> и т.н.;</w:t>
      </w:r>
    </w:p>
    <w:p w14:paraId="0FCDB74C" w14:textId="1B71D0B7" w:rsidR="008873BD" w:rsidRPr="00610B1B" w:rsidRDefault="008873BD" w:rsidP="00B46189">
      <w:pPr>
        <w:pStyle w:val="ListParagraph"/>
        <w:numPr>
          <w:ilvl w:val="1"/>
          <w:numId w:val="43"/>
        </w:numPr>
        <w:spacing w:after="120"/>
        <w:ind w:left="709" w:right="-153" w:hanging="28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МО – в частта зони за военни дейности</w:t>
      </w:r>
      <w:r w:rsidR="00C93349" w:rsidRPr="00610B1B">
        <w:rPr>
          <w:rFonts w:ascii="Times New Roman" w:hAnsi="Times New Roman" w:cs="Times New Roman"/>
          <w:sz w:val="24"/>
          <w:szCs w:val="24"/>
          <w:lang w:val="bg-BG"/>
        </w:rPr>
        <w:t xml:space="preserve"> и учения</w:t>
      </w:r>
      <w:r w:rsidRPr="00610B1B">
        <w:rPr>
          <w:rFonts w:ascii="Times New Roman" w:hAnsi="Times New Roman" w:cs="Times New Roman"/>
          <w:sz w:val="24"/>
          <w:szCs w:val="24"/>
          <w:lang w:val="bg-BG"/>
        </w:rPr>
        <w:t>;</w:t>
      </w:r>
    </w:p>
    <w:p w14:paraId="61FD954E" w14:textId="60F76C62" w:rsidR="008873BD" w:rsidRPr="00610B1B" w:rsidRDefault="008873BD" w:rsidP="00B46189">
      <w:pPr>
        <w:pStyle w:val="ListParagraph"/>
        <w:numPr>
          <w:ilvl w:val="1"/>
          <w:numId w:val="43"/>
        </w:numPr>
        <w:spacing w:after="120"/>
        <w:ind w:left="709" w:right="-153" w:hanging="28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Министерство на икономиката </w:t>
      </w:r>
      <w:r w:rsidR="00EC20C3" w:rsidRPr="00610B1B">
        <w:rPr>
          <w:rFonts w:ascii="Times New Roman" w:hAnsi="Times New Roman" w:cs="Times New Roman"/>
          <w:sz w:val="24"/>
          <w:szCs w:val="24"/>
          <w:lang w:val="bg-BG"/>
        </w:rPr>
        <w:t xml:space="preserve">и Министерство на енергетиката </w:t>
      </w:r>
      <w:r w:rsidRPr="00610B1B">
        <w:rPr>
          <w:rFonts w:ascii="Times New Roman" w:hAnsi="Times New Roman" w:cs="Times New Roman"/>
          <w:sz w:val="24"/>
          <w:szCs w:val="24"/>
          <w:lang w:val="bg-BG"/>
        </w:rPr>
        <w:t>– в частта зони за добиване и проучване на минерални и др</w:t>
      </w:r>
      <w:r w:rsidR="00C872DC" w:rsidRPr="00610B1B">
        <w:rPr>
          <w:rFonts w:ascii="Times New Roman" w:hAnsi="Times New Roman" w:cs="Times New Roman"/>
          <w:sz w:val="24"/>
          <w:szCs w:val="24"/>
          <w:lang w:val="bg-BG"/>
        </w:rPr>
        <w:t>уги</w:t>
      </w:r>
      <w:r w:rsidRPr="00610B1B">
        <w:rPr>
          <w:rFonts w:ascii="Times New Roman" w:hAnsi="Times New Roman" w:cs="Times New Roman"/>
          <w:sz w:val="24"/>
          <w:szCs w:val="24"/>
          <w:lang w:val="bg-BG"/>
        </w:rPr>
        <w:t xml:space="preserve"> ресурси;</w:t>
      </w:r>
    </w:p>
    <w:p w14:paraId="5855C21A" w14:textId="5A3E01BD" w:rsidR="008873BD" w:rsidRPr="00610B1B" w:rsidRDefault="008873BD" w:rsidP="00B46189">
      <w:pPr>
        <w:pStyle w:val="ListParagraph"/>
        <w:numPr>
          <w:ilvl w:val="1"/>
          <w:numId w:val="43"/>
        </w:numPr>
        <w:spacing w:after="120"/>
        <w:ind w:left="709" w:right="-153" w:hanging="28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Министерство на туризма – в частта зони за морски туризъм;</w:t>
      </w:r>
    </w:p>
    <w:p w14:paraId="6D044771" w14:textId="48C809D6" w:rsidR="008873BD" w:rsidRPr="00610B1B" w:rsidRDefault="008873BD" w:rsidP="00B46189">
      <w:pPr>
        <w:pStyle w:val="ListParagraph"/>
        <w:numPr>
          <w:ilvl w:val="1"/>
          <w:numId w:val="43"/>
        </w:numPr>
        <w:spacing w:after="120"/>
        <w:ind w:left="709" w:right="-153" w:hanging="28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Министерството на земеделието</w:t>
      </w:r>
      <w:r w:rsidR="00EC20C3" w:rsidRPr="00610B1B">
        <w:rPr>
          <w:rFonts w:ascii="Times New Roman" w:hAnsi="Times New Roman" w:cs="Times New Roman"/>
          <w:sz w:val="24"/>
          <w:szCs w:val="24"/>
          <w:lang w:val="bg-BG"/>
        </w:rPr>
        <w:t xml:space="preserve">, храните и горите </w:t>
      </w:r>
      <w:r w:rsidRPr="00610B1B">
        <w:rPr>
          <w:rFonts w:ascii="Times New Roman" w:hAnsi="Times New Roman" w:cs="Times New Roman"/>
          <w:sz w:val="24"/>
          <w:szCs w:val="24"/>
          <w:lang w:val="bg-BG"/>
        </w:rPr>
        <w:t>– в частта рибарство и аквакултури;</w:t>
      </w:r>
    </w:p>
    <w:p w14:paraId="5835BEBF" w14:textId="564922B1" w:rsidR="008873BD" w:rsidRPr="00610B1B" w:rsidRDefault="008873BD" w:rsidP="00B46189">
      <w:pPr>
        <w:pStyle w:val="ListParagraph"/>
        <w:numPr>
          <w:ilvl w:val="1"/>
          <w:numId w:val="43"/>
        </w:numPr>
        <w:spacing w:after="120"/>
        <w:ind w:left="709" w:right="-153" w:hanging="28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МВР – когато системата или час</w:t>
      </w:r>
      <w:r w:rsidR="009450A4" w:rsidRPr="00610B1B">
        <w:rPr>
          <w:rFonts w:ascii="Times New Roman" w:hAnsi="Times New Roman" w:cs="Times New Roman"/>
          <w:sz w:val="24"/>
          <w:szCs w:val="24"/>
          <w:lang w:val="bg-BG"/>
        </w:rPr>
        <w:t>т от нея са в териториално море.</w:t>
      </w:r>
    </w:p>
    <w:p w14:paraId="56887838" w14:textId="00DB1064" w:rsidR="008873BD" w:rsidRPr="00610B1B" w:rsidRDefault="008873BD"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След като предложения</w:t>
      </w:r>
      <w:r w:rsidR="00D50DD5" w:rsidRPr="00610B1B">
        <w:rPr>
          <w:rFonts w:ascii="Times New Roman" w:hAnsi="Times New Roman" w:cs="Times New Roman"/>
          <w:sz w:val="24"/>
          <w:szCs w:val="24"/>
          <w:lang w:val="bg-BG"/>
        </w:rPr>
        <w:t>т</w:t>
      </w:r>
      <w:r w:rsidRPr="00610B1B">
        <w:rPr>
          <w:rFonts w:ascii="Times New Roman" w:hAnsi="Times New Roman" w:cs="Times New Roman"/>
          <w:sz w:val="24"/>
          <w:szCs w:val="24"/>
          <w:lang w:val="bg-BG"/>
        </w:rPr>
        <w:t xml:space="preserve"> проект за СРД се съгласува с всички заинтересовани структури се съгласува с </w:t>
      </w:r>
      <w:r w:rsidR="00C93349" w:rsidRPr="00610B1B">
        <w:rPr>
          <w:rFonts w:ascii="Times New Roman" w:hAnsi="Times New Roman" w:cs="Times New Roman"/>
          <w:sz w:val="24"/>
          <w:szCs w:val="24"/>
          <w:lang w:val="bg-BG"/>
        </w:rPr>
        <w:t>IMO</w:t>
      </w:r>
      <w:r w:rsidRPr="00610B1B">
        <w:rPr>
          <w:rFonts w:ascii="Times New Roman" w:hAnsi="Times New Roman" w:cs="Times New Roman"/>
          <w:sz w:val="24"/>
          <w:szCs w:val="24"/>
          <w:lang w:val="bg-BG"/>
        </w:rPr>
        <w:t>.</w:t>
      </w:r>
      <w:r w:rsidR="00EC20C3"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Ако правителството реши да не представи СРД пред Международната морска организация, то следва да оповести по надлежен път мореплавателите, като осигури на картите и навигационните пособия да има точни указания по отношение на правила</w:t>
      </w:r>
      <w:r w:rsidR="00192401" w:rsidRPr="00610B1B">
        <w:rPr>
          <w:rFonts w:ascii="Times New Roman" w:hAnsi="Times New Roman" w:cs="Times New Roman"/>
          <w:sz w:val="24"/>
          <w:szCs w:val="24"/>
          <w:lang w:val="bg-BG"/>
        </w:rPr>
        <w:t>та, които</w:t>
      </w:r>
      <w:r w:rsidRPr="00610B1B">
        <w:rPr>
          <w:rFonts w:ascii="Times New Roman" w:hAnsi="Times New Roman" w:cs="Times New Roman"/>
          <w:sz w:val="24"/>
          <w:szCs w:val="24"/>
          <w:lang w:val="bg-BG"/>
        </w:rPr>
        <w:t xml:space="preserve"> се прилагат при използването на тази система.</w:t>
      </w:r>
    </w:p>
    <w:p w14:paraId="49DAF1A3" w14:textId="33F34A53" w:rsidR="00442579" w:rsidRPr="00610B1B" w:rsidRDefault="00EC20C3" w:rsidP="003F3C59">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Предвид сложната процедура, която може да блокира одобряването на МППРБ, тези идеи се планират за последващата актуализация на плана</w:t>
      </w:r>
      <w:r w:rsidR="009450A4" w:rsidRPr="00610B1B">
        <w:rPr>
          <w:rFonts w:ascii="Times New Roman" w:hAnsi="Times New Roman" w:cs="Times New Roman"/>
          <w:sz w:val="24"/>
          <w:szCs w:val="24"/>
          <w:lang w:val="bg-BG"/>
        </w:rPr>
        <w:t xml:space="preserve">, като дотогава се проведат всички </w:t>
      </w:r>
      <w:r w:rsidR="00D50DD5" w:rsidRPr="00610B1B">
        <w:rPr>
          <w:rFonts w:ascii="Times New Roman" w:hAnsi="Times New Roman" w:cs="Times New Roman"/>
          <w:sz w:val="24"/>
          <w:szCs w:val="24"/>
          <w:lang w:val="bg-BG"/>
        </w:rPr>
        <w:t xml:space="preserve">вътрешни </w:t>
      </w:r>
      <w:r w:rsidR="009450A4" w:rsidRPr="00610B1B">
        <w:rPr>
          <w:rFonts w:ascii="Times New Roman" w:hAnsi="Times New Roman" w:cs="Times New Roman"/>
          <w:sz w:val="24"/>
          <w:szCs w:val="24"/>
          <w:lang w:val="bg-BG"/>
        </w:rPr>
        <w:t>съгласувания и координирани дейности.</w:t>
      </w:r>
      <w:r w:rsidRPr="00610B1B">
        <w:rPr>
          <w:rFonts w:ascii="Times New Roman" w:hAnsi="Times New Roman" w:cs="Times New Roman"/>
          <w:sz w:val="24"/>
          <w:szCs w:val="24"/>
          <w:lang w:val="bg-BG"/>
        </w:rPr>
        <w:t xml:space="preserve"> </w:t>
      </w:r>
      <w:r w:rsidR="00D50DD5" w:rsidRPr="00610B1B">
        <w:rPr>
          <w:rFonts w:ascii="Times New Roman" w:hAnsi="Times New Roman" w:cs="Times New Roman"/>
          <w:sz w:val="24"/>
          <w:szCs w:val="24"/>
          <w:lang w:val="bg-BG"/>
        </w:rPr>
        <w:t>Това ще съвпадне с предстоящия проект за мониторинг</w:t>
      </w:r>
      <w:r w:rsidR="00C93349" w:rsidRPr="00610B1B">
        <w:rPr>
          <w:rFonts w:ascii="Times New Roman" w:hAnsi="Times New Roman" w:cs="Times New Roman"/>
          <w:sz w:val="24"/>
          <w:szCs w:val="24"/>
          <w:lang w:val="bg-BG"/>
        </w:rPr>
        <w:t xml:space="preserve"> на ИО-БАН</w:t>
      </w:r>
      <w:r w:rsidR="00D50DD5" w:rsidRPr="00610B1B">
        <w:rPr>
          <w:rFonts w:ascii="Times New Roman" w:hAnsi="Times New Roman" w:cs="Times New Roman"/>
          <w:sz w:val="24"/>
          <w:szCs w:val="24"/>
          <w:lang w:val="bg-BG"/>
        </w:rPr>
        <w:t xml:space="preserve">, който се </w:t>
      </w:r>
      <w:r w:rsidR="00C93349" w:rsidRPr="00610B1B">
        <w:rPr>
          <w:rFonts w:ascii="Times New Roman" w:hAnsi="Times New Roman" w:cs="Times New Roman"/>
          <w:sz w:val="24"/>
          <w:szCs w:val="24"/>
          <w:lang w:val="bg-BG"/>
        </w:rPr>
        <w:t xml:space="preserve">предвижда да направи </w:t>
      </w:r>
      <w:r w:rsidR="00D50DD5" w:rsidRPr="00610B1B">
        <w:rPr>
          <w:rFonts w:ascii="Times New Roman" w:hAnsi="Times New Roman" w:cs="Times New Roman"/>
          <w:sz w:val="24"/>
          <w:szCs w:val="24"/>
          <w:lang w:val="bg-BG"/>
        </w:rPr>
        <w:t xml:space="preserve">оценка на състоянието и </w:t>
      </w:r>
      <w:r w:rsidR="00C93349" w:rsidRPr="00610B1B">
        <w:rPr>
          <w:rFonts w:ascii="Times New Roman" w:hAnsi="Times New Roman" w:cs="Times New Roman"/>
          <w:sz w:val="24"/>
          <w:szCs w:val="24"/>
          <w:lang w:val="bg-BG"/>
        </w:rPr>
        <w:t>да</w:t>
      </w:r>
      <w:r w:rsidR="00D50DD5" w:rsidRPr="00610B1B">
        <w:rPr>
          <w:rFonts w:ascii="Times New Roman" w:hAnsi="Times New Roman" w:cs="Times New Roman"/>
          <w:sz w:val="24"/>
          <w:szCs w:val="24"/>
          <w:lang w:val="bg-BG"/>
        </w:rPr>
        <w:t xml:space="preserve"> прецизира границите на защитените зони</w:t>
      </w:r>
      <w:r w:rsidR="00C93349" w:rsidRPr="00610B1B">
        <w:rPr>
          <w:rFonts w:ascii="Times New Roman" w:hAnsi="Times New Roman" w:cs="Times New Roman"/>
          <w:sz w:val="24"/>
          <w:szCs w:val="24"/>
          <w:lang w:val="bg-BG"/>
        </w:rPr>
        <w:t>. Това</w:t>
      </w:r>
      <w:r w:rsidR="00D50DD5" w:rsidRPr="00610B1B">
        <w:rPr>
          <w:rFonts w:ascii="Times New Roman" w:hAnsi="Times New Roman" w:cs="Times New Roman"/>
          <w:sz w:val="24"/>
          <w:szCs w:val="24"/>
          <w:lang w:val="bg-BG"/>
        </w:rPr>
        <w:t xml:space="preserve"> ще редуцира конфликтите между тях и</w:t>
      </w:r>
      <w:r w:rsidR="005B5860" w:rsidRPr="00610B1B">
        <w:rPr>
          <w:rFonts w:ascii="Times New Roman" w:hAnsi="Times New Roman" w:cs="Times New Roman"/>
          <w:sz w:val="24"/>
          <w:szCs w:val="24"/>
          <w:lang w:val="bg-BG"/>
        </w:rPr>
        <w:t xml:space="preserve"> останалите дейности в морското пространство, включително и със</w:t>
      </w:r>
      <w:r w:rsidR="00D50DD5" w:rsidRPr="00610B1B">
        <w:rPr>
          <w:rFonts w:ascii="Times New Roman" w:hAnsi="Times New Roman" w:cs="Times New Roman"/>
          <w:sz w:val="24"/>
          <w:szCs w:val="24"/>
          <w:lang w:val="bg-BG"/>
        </w:rPr>
        <w:t xml:space="preserve"> СРД. </w:t>
      </w:r>
    </w:p>
    <w:p w14:paraId="17773270" w14:textId="2BDC7900" w:rsidR="003F3C59" w:rsidRPr="00610B1B" w:rsidRDefault="003F3C59" w:rsidP="003F3C59">
      <w:pPr>
        <w:spacing w:after="120"/>
        <w:ind w:right="-153"/>
        <w:jc w:val="both"/>
        <w:rPr>
          <w:rFonts w:ascii="Times New Roman" w:hAnsi="Times New Roman" w:cs="Times New Roman"/>
          <w:sz w:val="24"/>
          <w:szCs w:val="24"/>
          <w:lang w:val="bg-BG"/>
        </w:rPr>
      </w:pPr>
    </w:p>
    <w:p w14:paraId="6F74C704" w14:textId="1FEFAEF3" w:rsidR="00442579" w:rsidRPr="00610B1B" w:rsidRDefault="00442579" w:rsidP="00D32D6A">
      <w:pPr>
        <w:pStyle w:val="Heading3"/>
        <w:spacing w:before="0" w:line="276" w:lineRule="auto"/>
        <w:ind w:right="-153"/>
        <w:rPr>
          <w:rFonts w:cs="Times New Roman"/>
        </w:rPr>
      </w:pPr>
      <w:bookmarkStart w:id="434" w:name="_Toc83391415"/>
      <w:r w:rsidRPr="00610B1B">
        <w:rPr>
          <w:rFonts w:cs="Times New Roman"/>
        </w:rPr>
        <w:t>4.</w:t>
      </w:r>
      <w:r w:rsidR="009278D0" w:rsidRPr="00610B1B">
        <w:rPr>
          <w:rFonts w:cs="Times New Roman"/>
        </w:rPr>
        <w:t>2</w:t>
      </w:r>
      <w:r w:rsidRPr="00610B1B">
        <w:rPr>
          <w:rFonts w:cs="Times New Roman"/>
        </w:rPr>
        <w:t>.8. Прогнозно развитие на т</w:t>
      </w:r>
      <w:r w:rsidR="00C93A41" w:rsidRPr="00610B1B">
        <w:rPr>
          <w:rFonts w:cs="Times New Roman"/>
        </w:rPr>
        <w:t>ериториалното</w:t>
      </w:r>
      <w:r w:rsidRPr="00610B1B">
        <w:rPr>
          <w:rFonts w:cs="Times New Roman"/>
        </w:rPr>
        <w:t xml:space="preserve"> сътрудничество в </w:t>
      </w:r>
      <w:r w:rsidRPr="00610B1B">
        <w:rPr>
          <w:rFonts w:cs="Times New Roman"/>
        </w:rPr>
        <w:lastRenderedPageBreak/>
        <w:t>Черноморския регион</w:t>
      </w:r>
      <w:bookmarkEnd w:id="434"/>
      <w:r w:rsidRPr="00610B1B">
        <w:rPr>
          <w:rFonts w:cs="Times New Roman"/>
        </w:rPr>
        <w:t xml:space="preserve"> </w:t>
      </w:r>
    </w:p>
    <w:p w14:paraId="21B368E5" w14:textId="2907BE5D" w:rsidR="00442579"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Трансграничното сътрудничество в региона на Черно море е обусловено от политическите фактори, основани на поетите от страните ангажименти по редица международни документи. </w:t>
      </w:r>
      <w:r w:rsidR="00FC5588" w:rsidRPr="00610B1B">
        <w:rPr>
          <w:rFonts w:ascii="Times New Roman" w:eastAsia="Calibri" w:hAnsi="Times New Roman" w:cs="Times New Roman"/>
          <w:sz w:val="24"/>
          <w:szCs w:val="24"/>
          <w:lang w:val="bg-BG"/>
        </w:rPr>
        <w:t>В перспектива т</w:t>
      </w:r>
      <w:r w:rsidRPr="00610B1B">
        <w:rPr>
          <w:rFonts w:ascii="Times New Roman" w:eastAsia="Calibri" w:hAnsi="Times New Roman" w:cs="Times New Roman"/>
          <w:sz w:val="24"/>
          <w:szCs w:val="24"/>
          <w:lang w:val="bg-BG"/>
        </w:rPr>
        <w:t xml:space="preserve">рансграничното сътрудничество </w:t>
      </w:r>
      <w:r w:rsidR="00FC5588" w:rsidRPr="00610B1B">
        <w:rPr>
          <w:rFonts w:ascii="Times New Roman" w:eastAsia="Calibri" w:hAnsi="Times New Roman" w:cs="Times New Roman"/>
          <w:sz w:val="24"/>
          <w:szCs w:val="24"/>
          <w:lang w:val="bg-BG"/>
        </w:rPr>
        <w:t xml:space="preserve">ще продължи да </w:t>
      </w:r>
      <w:r w:rsidRPr="00610B1B">
        <w:rPr>
          <w:rFonts w:ascii="Times New Roman" w:eastAsia="Calibri" w:hAnsi="Times New Roman" w:cs="Times New Roman"/>
          <w:sz w:val="24"/>
          <w:szCs w:val="24"/>
          <w:lang w:val="bg-BG"/>
        </w:rPr>
        <w:t>се осъществява чрез участие на страните от региона в програмите на ЕС „Черноморски басейн” за периодите 20</w:t>
      </w:r>
      <w:r w:rsidR="00FC5588" w:rsidRPr="00610B1B">
        <w:rPr>
          <w:rFonts w:ascii="Times New Roman" w:eastAsia="Calibri" w:hAnsi="Times New Roman" w:cs="Times New Roman"/>
          <w:sz w:val="24"/>
          <w:szCs w:val="24"/>
          <w:lang w:val="bg-BG"/>
        </w:rPr>
        <w:t>14</w:t>
      </w:r>
      <w:r w:rsidRPr="00610B1B">
        <w:rPr>
          <w:rFonts w:ascii="Times New Roman" w:eastAsia="Calibri" w:hAnsi="Times New Roman" w:cs="Times New Roman"/>
          <w:sz w:val="24"/>
          <w:szCs w:val="24"/>
          <w:lang w:val="bg-BG"/>
        </w:rPr>
        <w:t>-20</w:t>
      </w:r>
      <w:r w:rsidR="00FC5588" w:rsidRPr="00610B1B">
        <w:rPr>
          <w:rFonts w:ascii="Times New Roman" w:eastAsia="Calibri" w:hAnsi="Times New Roman" w:cs="Times New Roman"/>
          <w:sz w:val="24"/>
          <w:szCs w:val="24"/>
          <w:lang w:val="bg-BG"/>
        </w:rPr>
        <w:t>20</w:t>
      </w:r>
      <w:r w:rsidRPr="00610B1B">
        <w:rPr>
          <w:rFonts w:ascii="Times New Roman" w:eastAsia="Calibri" w:hAnsi="Times New Roman" w:cs="Times New Roman"/>
          <w:sz w:val="24"/>
          <w:szCs w:val="24"/>
          <w:lang w:val="bg-BG"/>
        </w:rPr>
        <w:t xml:space="preserve"> и 20</w:t>
      </w:r>
      <w:r w:rsidR="00FC5588" w:rsidRPr="00610B1B">
        <w:rPr>
          <w:rFonts w:ascii="Times New Roman" w:eastAsia="Calibri" w:hAnsi="Times New Roman" w:cs="Times New Roman"/>
          <w:sz w:val="24"/>
          <w:szCs w:val="24"/>
          <w:lang w:val="bg-BG"/>
        </w:rPr>
        <w:t>21</w:t>
      </w:r>
      <w:r w:rsidRPr="00610B1B">
        <w:rPr>
          <w:rFonts w:ascii="Times New Roman" w:eastAsia="Calibri" w:hAnsi="Times New Roman" w:cs="Times New Roman"/>
          <w:sz w:val="24"/>
          <w:szCs w:val="24"/>
          <w:lang w:val="bg-BG"/>
        </w:rPr>
        <w:t>-202</w:t>
      </w:r>
      <w:r w:rsidR="00FC5588" w:rsidRPr="00610B1B">
        <w:rPr>
          <w:rFonts w:ascii="Times New Roman" w:eastAsia="Calibri" w:hAnsi="Times New Roman" w:cs="Times New Roman"/>
          <w:sz w:val="24"/>
          <w:szCs w:val="24"/>
          <w:lang w:val="bg-BG"/>
        </w:rPr>
        <w:t>7</w:t>
      </w:r>
      <w:r w:rsidR="00C93349" w:rsidRPr="00610B1B">
        <w:rPr>
          <w:rFonts w:ascii="Times New Roman" w:eastAsia="Calibri" w:hAnsi="Times New Roman" w:cs="Times New Roman"/>
          <w:sz w:val="24"/>
          <w:szCs w:val="24"/>
          <w:lang w:val="bg-BG"/>
        </w:rPr>
        <w:t xml:space="preserve"> г.</w:t>
      </w:r>
      <w:r w:rsidRPr="00610B1B">
        <w:rPr>
          <w:rFonts w:ascii="Times New Roman" w:eastAsia="Calibri" w:hAnsi="Times New Roman" w:cs="Times New Roman"/>
          <w:sz w:val="24"/>
          <w:szCs w:val="24"/>
          <w:lang w:val="bg-BG"/>
        </w:rPr>
        <w:t>, в организацията за Черноморско икономическо сътрудничество и в Комисията по опазване на Черно море от замърсяване.</w:t>
      </w:r>
      <w:r w:rsidR="00FC5588" w:rsidRPr="00610B1B">
        <w:rPr>
          <w:rFonts w:ascii="Times New Roman" w:eastAsia="Calibri" w:hAnsi="Times New Roman" w:cs="Times New Roman"/>
          <w:sz w:val="24"/>
          <w:szCs w:val="24"/>
          <w:lang w:val="bg-BG"/>
        </w:rPr>
        <w:t xml:space="preserve"> Тази прогноза се базира на разбирането че до момента п</w:t>
      </w:r>
      <w:r w:rsidRPr="00610B1B">
        <w:rPr>
          <w:rFonts w:ascii="Times New Roman" w:eastAsia="Calibri" w:hAnsi="Times New Roman" w:cs="Times New Roman"/>
          <w:sz w:val="24"/>
          <w:szCs w:val="24"/>
          <w:lang w:val="bg-BG"/>
        </w:rPr>
        <w:t>рограмите за Черноморския басейн 2007-2013 г. и 2014-2020 г.</w:t>
      </w:r>
      <w:r w:rsidR="0065428D" w:rsidRPr="00610B1B">
        <w:rPr>
          <w:rStyle w:val="FootnoteReference"/>
          <w:rFonts w:ascii="Times New Roman" w:eastAsia="Calibri" w:hAnsi="Times New Roman" w:cs="Times New Roman"/>
          <w:sz w:val="24"/>
          <w:szCs w:val="24"/>
          <w:lang w:val="bg-BG"/>
        </w:rPr>
        <w:footnoteReference w:id="163"/>
      </w:r>
      <w:r w:rsidR="00EC20C3"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са част от политиката за териториално сътрудничество на Европейския съюз. В техния фокус е реализирането на проекти</w:t>
      </w:r>
      <w:r w:rsidR="005B5860" w:rsidRPr="00610B1B">
        <w:rPr>
          <w:rFonts w:ascii="Times New Roman" w:eastAsia="Calibri" w:hAnsi="Times New Roman" w:cs="Times New Roman"/>
          <w:sz w:val="24"/>
          <w:szCs w:val="24"/>
          <w:lang w:val="bg-BG"/>
        </w:rPr>
        <w:t xml:space="preserve"> за</w:t>
      </w:r>
      <w:r w:rsidRPr="00610B1B">
        <w:rPr>
          <w:rFonts w:ascii="Times New Roman" w:eastAsia="Calibri" w:hAnsi="Times New Roman" w:cs="Times New Roman"/>
          <w:sz w:val="24"/>
          <w:szCs w:val="24"/>
          <w:lang w:val="bg-BG"/>
        </w:rPr>
        <w:t xml:space="preserve"> развитие на бизнеса и МСП, включително в сферата на туризма и културата, защита на околната среда</w:t>
      </w:r>
      <w:r w:rsidR="00C93349"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и адаптиране</w:t>
      </w:r>
      <w:r w:rsidR="009450A4" w:rsidRPr="00610B1B">
        <w:rPr>
          <w:rFonts w:ascii="Times New Roman" w:eastAsia="Calibri" w:hAnsi="Times New Roman" w:cs="Times New Roman"/>
          <w:sz w:val="24"/>
          <w:szCs w:val="24"/>
          <w:lang w:val="bg-BG"/>
        </w:rPr>
        <w:t xml:space="preserve"> към изменението на климата</w:t>
      </w:r>
      <w:r w:rsidRPr="00610B1B">
        <w:rPr>
          <w:rFonts w:ascii="Times New Roman" w:eastAsia="Calibri" w:hAnsi="Times New Roman" w:cs="Times New Roman"/>
          <w:sz w:val="24"/>
          <w:szCs w:val="24"/>
          <w:lang w:val="bg-BG"/>
        </w:rPr>
        <w:t>. Най-активни участници в програмата са България и Румъния, като членове на ЕС с пряк излаз на Черно море. Бенефициенти</w:t>
      </w:r>
      <w:r w:rsidR="00C93349" w:rsidRPr="00610B1B">
        <w:rPr>
          <w:rFonts w:ascii="Times New Roman" w:eastAsia="Calibri" w:hAnsi="Times New Roman" w:cs="Times New Roman"/>
          <w:sz w:val="24"/>
          <w:szCs w:val="24"/>
          <w:lang w:val="bg-BG"/>
        </w:rPr>
        <w:t>те</w:t>
      </w:r>
      <w:r w:rsidRPr="00610B1B">
        <w:rPr>
          <w:rFonts w:ascii="Times New Roman" w:eastAsia="Calibri" w:hAnsi="Times New Roman" w:cs="Times New Roman"/>
          <w:sz w:val="24"/>
          <w:szCs w:val="24"/>
          <w:lang w:val="bg-BG"/>
        </w:rPr>
        <w:t xml:space="preserve"> по програмата от Гърция, Турция, Молдова и Украйна също са активни. В част от проектите вземат участие и партнь</w:t>
      </w:r>
      <w:r w:rsidR="00EC20C3" w:rsidRPr="00610B1B">
        <w:rPr>
          <w:rFonts w:ascii="Times New Roman" w:eastAsia="Calibri" w:hAnsi="Times New Roman" w:cs="Times New Roman"/>
          <w:sz w:val="24"/>
          <w:szCs w:val="24"/>
          <w:lang w:val="bg-BG"/>
        </w:rPr>
        <w:t>ори от Грузия и Армения</w:t>
      </w:r>
      <w:r w:rsidRPr="00610B1B">
        <w:rPr>
          <w:rFonts w:ascii="Times New Roman" w:eastAsia="Calibri" w:hAnsi="Times New Roman" w:cs="Times New Roman"/>
          <w:sz w:val="24"/>
          <w:szCs w:val="24"/>
          <w:lang w:val="bg-BG"/>
        </w:rPr>
        <w:t xml:space="preserve">. </w:t>
      </w:r>
      <w:r w:rsidR="00EC20C3" w:rsidRPr="00610B1B">
        <w:rPr>
          <w:rFonts w:ascii="Times New Roman" w:eastAsia="Calibri" w:hAnsi="Times New Roman" w:cs="Times New Roman"/>
          <w:sz w:val="24"/>
          <w:szCs w:val="24"/>
          <w:lang w:val="bg-BG"/>
        </w:rPr>
        <w:t xml:space="preserve">Отчита се </w:t>
      </w:r>
      <w:r w:rsidRPr="00610B1B">
        <w:rPr>
          <w:rFonts w:ascii="Times New Roman" w:eastAsia="Calibri" w:hAnsi="Times New Roman" w:cs="Times New Roman"/>
          <w:sz w:val="24"/>
          <w:szCs w:val="24"/>
          <w:lang w:val="bg-BG"/>
        </w:rPr>
        <w:t xml:space="preserve">устойчива тенденция на участие на бенефициенти от отделните държави, като за програмния период 2014-2020 г. се забелязва отчетливо активизиране </w:t>
      </w:r>
      <w:r w:rsidR="009450A4" w:rsidRPr="00610B1B">
        <w:rPr>
          <w:rFonts w:ascii="Times New Roman" w:eastAsia="Calibri" w:hAnsi="Times New Roman" w:cs="Times New Roman"/>
          <w:sz w:val="24"/>
          <w:szCs w:val="24"/>
          <w:lang w:val="bg-BG"/>
        </w:rPr>
        <w:t>на</w:t>
      </w:r>
      <w:r w:rsidRPr="00610B1B">
        <w:rPr>
          <w:rFonts w:ascii="Times New Roman" w:eastAsia="Calibri" w:hAnsi="Times New Roman" w:cs="Times New Roman"/>
          <w:sz w:val="24"/>
          <w:szCs w:val="24"/>
          <w:lang w:val="bg-BG"/>
        </w:rPr>
        <w:t xml:space="preserve"> </w:t>
      </w:r>
      <w:r w:rsidR="009450A4" w:rsidRPr="00610B1B">
        <w:rPr>
          <w:rFonts w:ascii="Times New Roman" w:eastAsia="Calibri" w:hAnsi="Times New Roman" w:cs="Times New Roman"/>
          <w:sz w:val="24"/>
          <w:szCs w:val="24"/>
          <w:lang w:val="bg-BG"/>
        </w:rPr>
        <w:t>Армения</w:t>
      </w:r>
      <w:r w:rsidRPr="00610B1B">
        <w:rPr>
          <w:rFonts w:ascii="Times New Roman" w:eastAsia="Calibri" w:hAnsi="Times New Roman" w:cs="Times New Roman"/>
          <w:sz w:val="24"/>
          <w:szCs w:val="24"/>
          <w:lang w:val="bg-BG"/>
        </w:rPr>
        <w:t>.</w:t>
      </w:r>
    </w:p>
    <w:p w14:paraId="7EAF1F99" w14:textId="291EC729" w:rsidR="007779C5" w:rsidRPr="00610B1B" w:rsidRDefault="00442579"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eastAsia="Calibri" w:hAnsi="Times New Roman" w:cs="Times New Roman"/>
          <w:i/>
          <w:sz w:val="24"/>
          <w:szCs w:val="24"/>
          <w:lang w:val="bg-BG"/>
        </w:rPr>
        <w:t>Организацията за Черноморско икономическо сътрудничество</w:t>
      </w:r>
      <w:r w:rsidR="00925561" w:rsidRPr="00610B1B">
        <w:rPr>
          <w:rStyle w:val="FootnoteReference"/>
          <w:rFonts w:ascii="Times New Roman" w:eastAsia="Calibri" w:hAnsi="Times New Roman" w:cs="Times New Roman"/>
          <w:i/>
          <w:sz w:val="24"/>
          <w:szCs w:val="24"/>
          <w:lang w:val="bg-BG"/>
        </w:rPr>
        <w:footnoteReference w:id="164"/>
      </w:r>
      <w:r w:rsidR="009450A4" w:rsidRPr="00610B1B">
        <w:rPr>
          <w:rFonts w:ascii="Times New Roman" w:eastAsia="Calibri" w:hAnsi="Times New Roman" w:cs="Times New Roman"/>
          <w:sz w:val="24"/>
          <w:szCs w:val="24"/>
          <w:lang w:val="bg-BG"/>
        </w:rPr>
        <w:t>, като</w:t>
      </w:r>
      <w:r w:rsidRPr="00610B1B">
        <w:rPr>
          <w:rFonts w:ascii="Times New Roman" w:eastAsia="Calibri" w:hAnsi="Times New Roman" w:cs="Times New Roman"/>
          <w:sz w:val="24"/>
          <w:szCs w:val="24"/>
          <w:lang w:val="bg-BG"/>
        </w:rPr>
        <w:t xml:space="preserve"> международна регионална икономическа организация на страните от Черноморския регион</w:t>
      </w:r>
      <w:r w:rsidR="009450A4"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помага за координация </w:t>
      </w:r>
      <w:r w:rsidR="00B0756C" w:rsidRPr="00610B1B">
        <w:rPr>
          <w:rFonts w:ascii="Times New Roman" w:eastAsia="Calibri" w:hAnsi="Times New Roman" w:cs="Times New Roman"/>
          <w:sz w:val="24"/>
          <w:szCs w:val="24"/>
          <w:lang w:val="bg-BG"/>
        </w:rPr>
        <w:t xml:space="preserve">на </w:t>
      </w:r>
      <w:r w:rsidRPr="00610B1B">
        <w:rPr>
          <w:rFonts w:ascii="Times New Roman" w:eastAsia="Calibri" w:hAnsi="Times New Roman" w:cs="Times New Roman"/>
          <w:sz w:val="24"/>
          <w:szCs w:val="24"/>
          <w:lang w:val="bg-BG"/>
        </w:rPr>
        <w:t xml:space="preserve">регионалното сътрудничество в търговията и банковото дело, комуникациите, енергетиката, транспорта, земеделието, здравеопазването, екологията, борбата с организираната престъпност и др. Организацията </w:t>
      </w:r>
      <w:r w:rsidR="00EC20C3" w:rsidRPr="00610B1B">
        <w:rPr>
          <w:rFonts w:ascii="Times New Roman" w:eastAsia="Calibri" w:hAnsi="Times New Roman" w:cs="Times New Roman"/>
          <w:sz w:val="24"/>
          <w:szCs w:val="24"/>
          <w:lang w:val="bg-BG"/>
        </w:rPr>
        <w:t xml:space="preserve">постепенно се превръща </w:t>
      </w:r>
      <w:r w:rsidRPr="00610B1B">
        <w:rPr>
          <w:rFonts w:ascii="Times New Roman" w:eastAsia="Calibri" w:hAnsi="Times New Roman" w:cs="Times New Roman"/>
          <w:sz w:val="24"/>
          <w:szCs w:val="24"/>
          <w:lang w:val="bg-BG"/>
        </w:rPr>
        <w:t>от форум за обмен на идеи на междудържавно равнище, към движеща сила за иницииране и реализиране на конкретни проекти с програмно-ориентирано бюджетиране.</w:t>
      </w:r>
      <w:r w:rsidR="00B0756C" w:rsidRPr="00610B1B">
        <w:rPr>
          <w:rFonts w:ascii="Times New Roman" w:eastAsia="Calibri" w:hAnsi="Times New Roman" w:cs="Times New Roman"/>
          <w:sz w:val="24"/>
          <w:szCs w:val="24"/>
          <w:lang w:val="bg-BG"/>
        </w:rPr>
        <w:t xml:space="preserve"> </w:t>
      </w:r>
      <w:r w:rsidR="007779C5" w:rsidRPr="00610B1B">
        <w:rPr>
          <w:rFonts w:ascii="Times New Roman" w:eastAsia="Calibri" w:hAnsi="Times New Roman" w:cs="Times New Roman"/>
          <w:sz w:val="24"/>
          <w:szCs w:val="24"/>
          <w:lang w:val="bg-BG"/>
        </w:rPr>
        <w:t>В подкрепа на своята мисия т</w:t>
      </w:r>
      <w:r w:rsidR="00B0756C" w:rsidRPr="00610B1B">
        <w:rPr>
          <w:rFonts w:ascii="Times New Roman" w:eastAsia="Calibri" w:hAnsi="Times New Roman" w:cs="Times New Roman"/>
          <w:sz w:val="24"/>
          <w:szCs w:val="24"/>
          <w:lang w:val="bg-BG"/>
        </w:rPr>
        <w:t>я работи с допълнително създадените институции</w:t>
      </w:r>
      <w:r w:rsidR="007779C5" w:rsidRPr="00610B1B">
        <w:rPr>
          <w:rFonts w:ascii="Times New Roman" w:eastAsia="Calibri" w:hAnsi="Times New Roman" w:cs="Times New Roman"/>
          <w:sz w:val="24"/>
          <w:szCs w:val="24"/>
          <w:lang w:val="bg-BG"/>
        </w:rPr>
        <w:t>.</w:t>
      </w:r>
      <w:r w:rsidR="005B5860" w:rsidRPr="00610B1B">
        <w:rPr>
          <w:rFonts w:ascii="Times New Roman" w:eastAsia="Calibri" w:hAnsi="Times New Roman" w:cs="Times New Roman"/>
          <w:sz w:val="24"/>
          <w:szCs w:val="24"/>
          <w:lang w:val="bg-BG"/>
        </w:rPr>
        <w:t xml:space="preserve"> </w:t>
      </w:r>
      <w:r w:rsidR="00B0756C" w:rsidRPr="00610B1B">
        <w:rPr>
          <w:rFonts w:ascii="Times New Roman" w:hAnsi="Times New Roman" w:cs="Times New Roman"/>
          <w:sz w:val="24"/>
          <w:szCs w:val="24"/>
          <w:lang w:val="bg-BG"/>
        </w:rPr>
        <w:t>Парламентарната асамблея на Черноморското икономическо сътрудничество (PABSEC)</w:t>
      </w:r>
      <w:r w:rsidR="00B0756C" w:rsidRPr="00610B1B">
        <w:rPr>
          <w:rStyle w:val="FootnoteReference"/>
          <w:rFonts w:ascii="Times New Roman" w:hAnsi="Times New Roman" w:cs="Times New Roman"/>
          <w:sz w:val="24"/>
          <w:szCs w:val="24"/>
          <w:lang w:val="bg-BG"/>
        </w:rPr>
        <w:footnoteReference w:id="165"/>
      </w:r>
      <w:r w:rsidR="00B0756C" w:rsidRPr="00610B1B">
        <w:rPr>
          <w:rFonts w:ascii="Times New Roman" w:hAnsi="Times New Roman" w:cs="Times New Roman"/>
          <w:sz w:val="24"/>
          <w:szCs w:val="24"/>
          <w:lang w:val="bg-BG"/>
        </w:rPr>
        <w:t xml:space="preserve"> осигурява правна основа за икономическо, търговско, социално, културно и политическо сътрудничество между страните членки и работи с три специализирани комисии - Комисия по икономически, търговски, технологични и екологични въпроси; Комитет по правни и политически въпроси и Комитет по културни, образователни и социални въпроси. </w:t>
      </w:r>
    </w:p>
    <w:p w14:paraId="7BD80CFF" w14:textId="14D60104" w:rsidR="00B0756C" w:rsidRPr="00610B1B" w:rsidRDefault="00B0756C" w:rsidP="00D32D6A">
      <w:pPr>
        <w:autoSpaceDE w:val="0"/>
        <w:autoSpaceDN w:val="0"/>
        <w:adjustRightInd w:val="0"/>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Черноморската банка за търговия и развитие (ЧБТР) оказва финансова подкрепа на инициативи свързани с икономическото развитие и регионалното сътрудничество в Черноморския регион чрез търговско и проектно кредитиране, гаранции и дялово участие в частни предприятия и публични образувания в страните членки.</w:t>
      </w:r>
      <w:r w:rsidRPr="00610B1B">
        <w:rPr>
          <w:rStyle w:val="FootnoteReference"/>
          <w:rFonts w:ascii="Times New Roman" w:hAnsi="Times New Roman" w:cs="Times New Roman"/>
          <w:sz w:val="24"/>
          <w:szCs w:val="24"/>
          <w:lang w:val="bg-BG"/>
        </w:rPr>
        <w:footnoteReference w:id="166"/>
      </w:r>
      <w:r w:rsidR="00D66FE0" w:rsidRPr="00610B1B">
        <w:rPr>
          <w:rFonts w:ascii="Times New Roman" w:hAnsi="Times New Roman" w:cs="Times New Roman"/>
          <w:sz w:val="24"/>
          <w:szCs w:val="24"/>
          <w:lang w:val="bg-BG"/>
        </w:rPr>
        <w:t xml:space="preserve"> </w:t>
      </w:r>
    </w:p>
    <w:p w14:paraId="5FBDC984" w14:textId="223D47BF" w:rsidR="007779C5" w:rsidRPr="00610B1B" w:rsidRDefault="00B0756C"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Основаният през 1998 г. Международен център за черноморски изследвания (МЦЧИ) е нестопанска организация с основни цели научноизследователска и обучаваща дейност, фокусирана върху по-широкия регион на Черно море. Институцията </w:t>
      </w:r>
      <w:r w:rsidR="007779C5" w:rsidRPr="00610B1B">
        <w:rPr>
          <w:rFonts w:ascii="Times New Roman" w:hAnsi="Times New Roman" w:cs="Times New Roman"/>
          <w:sz w:val="24"/>
          <w:szCs w:val="24"/>
          <w:lang w:val="bg-BG"/>
        </w:rPr>
        <w:t xml:space="preserve">служи като мозъчен </w:t>
      </w:r>
      <w:r w:rsidR="007779C5" w:rsidRPr="00610B1B">
        <w:rPr>
          <w:rFonts w:ascii="Times New Roman" w:hAnsi="Times New Roman" w:cs="Times New Roman"/>
          <w:sz w:val="24"/>
          <w:szCs w:val="24"/>
          <w:lang w:val="bg-BG"/>
        </w:rPr>
        <w:lastRenderedPageBreak/>
        <w:t xml:space="preserve">тръст на </w:t>
      </w:r>
      <w:r w:rsidRPr="00610B1B">
        <w:rPr>
          <w:rFonts w:ascii="Times New Roman" w:hAnsi="Times New Roman" w:cs="Times New Roman"/>
          <w:sz w:val="24"/>
          <w:szCs w:val="24"/>
          <w:lang w:val="bg-BG"/>
        </w:rPr>
        <w:t>Организацията на Черноморско</w:t>
      </w:r>
      <w:r w:rsidR="007779C5" w:rsidRPr="00610B1B">
        <w:rPr>
          <w:rFonts w:ascii="Times New Roman" w:hAnsi="Times New Roman" w:cs="Times New Roman"/>
          <w:sz w:val="24"/>
          <w:szCs w:val="24"/>
          <w:lang w:val="bg-BG"/>
        </w:rPr>
        <w:t xml:space="preserve">то икономическо сътрудничество и има за цел </w:t>
      </w:r>
      <w:r w:rsidRPr="00610B1B">
        <w:rPr>
          <w:rFonts w:ascii="Times New Roman" w:hAnsi="Times New Roman" w:cs="Times New Roman"/>
          <w:sz w:val="24"/>
          <w:szCs w:val="24"/>
          <w:lang w:val="bg-BG"/>
        </w:rPr>
        <w:t>утвърждаването на нов модел за насърчаване на принципите на устойчивото развитие и иновациите</w:t>
      </w:r>
      <w:r w:rsidR="007779C5" w:rsidRPr="00610B1B">
        <w:rPr>
          <w:rFonts w:ascii="Times New Roman" w:hAnsi="Times New Roman" w:cs="Times New Roman"/>
          <w:sz w:val="24"/>
          <w:szCs w:val="24"/>
          <w:lang w:val="bg-BG"/>
        </w:rPr>
        <w:t>.</w:t>
      </w:r>
      <w:r w:rsidRPr="00610B1B">
        <w:rPr>
          <w:rStyle w:val="FootnoteReference"/>
          <w:rFonts w:ascii="Times New Roman" w:hAnsi="Times New Roman" w:cs="Times New Roman"/>
          <w:sz w:val="24"/>
          <w:szCs w:val="24"/>
          <w:lang w:val="bg-BG"/>
        </w:rPr>
        <w:footnoteReference w:id="167"/>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Основните акценти в новия модел „Зелено Черно море“ са свързани с ефективното използване на природните ресурси, активиране и засилване на човешкия капитал и насърчаване на политическа и целево ориентирана рамка за перспективите за устойчиво развитие на региона, с особен акцент вър</w:t>
      </w:r>
      <w:r w:rsidR="007779C5" w:rsidRPr="00610B1B">
        <w:rPr>
          <w:rFonts w:ascii="Times New Roman" w:hAnsi="Times New Roman" w:cs="Times New Roman"/>
          <w:sz w:val="24"/>
          <w:szCs w:val="24"/>
          <w:lang w:val="bg-BG"/>
        </w:rPr>
        <w:t>ху регионалното сътрудничество.</w:t>
      </w:r>
    </w:p>
    <w:p w14:paraId="77F71361" w14:textId="4425F5D7" w:rsidR="00D3151E"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Ратифицирали </w:t>
      </w:r>
      <w:r w:rsidR="00D3151E" w:rsidRPr="00610B1B">
        <w:rPr>
          <w:rFonts w:ascii="Times New Roman" w:eastAsia="Calibri" w:hAnsi="Times New Roman" w:cs="Times New Roman"/>
          <w:sz w:val="24"/>
          <w:szCs w:val="24"/>
          <w:lang w:val="bg-BG"/>
        </w:rPr>
        <w:t xml:space="preserve">Конвенцията </w:t>
      </w:r>
      <w:r w:rsidRPr="00610B1B">
        <w:rPr>
          <w:rFonts w:ascii="Times New Roman" w:eastAsia="Calibri" w:hAnsi="Times New Roman" w:cs="Times New Roman"/>
          <w:sz w:val="24"/>
          <w:szCs w:val="24"/>
          <w:lang w:val="bg-BG"/>
        </w:rPr>
        <w:t xml:space="preserve">за опазване на Черно море от замърсяване, на базата на която е създадена </w:t>
      </w:r>
      <w:r w:rsidRPr="00610B1B">
        <w:rPr>
          <w:rFonts w:ascii="Times New Roman" w:eastAsia="Calibri" w:hAnsi="Times New Roman" w:cs="Times New Roman"/>
          <w:i/>
          <w:sz w:val="24"/>
          <w:szCs w:val="24"/>
          <w:lang w:val="bg-BG"/>
        </w:rPr>
        <w:t>Комисията по опазване на Черно море от замърсяване</w:t>
      </w:r>
      <w:r w:rsidR="00925561" w:rsidRPr="00610B1B">
        <w:rPr>
          <w:rStyle w:val="FootnoteReference"/>
          <w:rFonts w:ascii="Times New Roman" w:eastAsia="Calibri" w:hAnsi="Times New Roman" w:cs="Times New Roman"/>
          <w:i/>
          <w:sz w:val="24"/>
          <w:szCs w:val="24"/>
          <w:lang w:val="bg-BG"/>
        </w:rPr>
        <w:footnoteReference w:id="168"/>
      </w:r>
      <w:r w:rsidRPr="00610B1B">
        <w:rPr>
          <w:rFonts w:ascii="Times New Roman" w:eastAsia="Calibri" w:hAnsi="Times New Roman" w:cs="Times New Roman"/>
          <w:sz w:val="24"/>
          <w:szCs w:val="24"/>
          <w:lang w:val="bg-BG"/>
        </w:rPr>
        <w:t>, са шестте държави от Черноморския регион – България, Грузия, Румъния, Русия, Турция и Украйна. Комисията осъществява сътрудничество и консултации с други междуправителствени организации по въпросите за замърсяването на морето на глобално и регионално ниво. Анализът на работата на комисията показва, че след изготвени и приложени стратегически план и регионален план за действие</w:t>
      </w:r>
      <w:r w:rsidR="007779C5" w:rsidRPr="00610B1B">
        <w:rPr>
          <w:rFonts w:ascii="Times New Roman" w:eastAsia="Calibri" w:hAnsi="Times New Roman" w:cs="Times New Roman"/>
          <w:sz w:val="24"/>
          <w:szCs w:val="24"/>
          <w:lang w:val="bg-BG"/>
        </w:rPr>
        <w:t xml:space="preserve"> (2018 г.)</w:t>
      </w:r>
      <w:r w:rsidR="00EC20C3"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следващата стъпка е създаване на</w:t>
      </w:r>
      <w:r w:rsidR="00C93349" w:rsidRPr="00610B1B">
        <w:rPr>
          <w:rFonts w:ascii="Times New Roman" w:eastAsia="Calibri" w:hAnsi="Times New Roman" w:cs="Times New Roman"/>
          <w:sz w:val="24"/>
          <w:szCs w:val="24"/>
          <w:lang w:val="bg-BG"/>
        </w:rPr>
        <w:t xml:space="preserve"> дългосрочна </w:t>
      </w:r>
      <w:r w:rsidRPr="00610B1B">
        <w:rPr>
          <w:rFonts w:ascii="Times New Roman" w:eastAsia="Calibri" w:hAnsi="Times New Roman" w:cs="Times New Roman"/>
          <w:sz w:val="24"/>
          <w:szCs w:val="24"/>
          <w:lang w:val="bg-BG"/>
        </w:rPr>
        <w:t>програма за мониторинг</w:t>
      </w:r>
      <w:r w:rsidR="007779C5" w:rsidRPr="00610B1B">
        <w:rPr>
          <w:rFonts w:ascii="Times New Roman" w:eastAsia="Calibri" w:hAnsi="Times New Roman" w:cs="Times New Roman"/>
          <w:sz w:val="24"/>
          <w:szCs w:val="24"/>
          <w:lang w:val="bg-BG"/>
        </w:rPr>
        <w:t xml:space="preserve"> (2019 г.)</w:t>
      </w:r>
      <w:r w:rsidRPr="00610B1B">
        <w:rPr>
          <w:rFonts w:ascii="Times New Roman" w:eastAsia="Calibri" w:hAnsi="Times New Roman" w:cs="Times New Roman"/>
          <w:sz w:val="24"/>
          <w:szCs w:val="24"/>
          <w:lang w:val="bg-BG"/>
        </w:rPr>
        <w:t>.</w:t>
      </w:r>
      <w:r w:rsidR="007779C5" w:rsidRPr="00610B1B">
        <w:rPr>
          <w:rFonts w:ascii="Times New Roman" w:hAnsi="Times New Roman" w:cs="Times New Roman"/>
          <w:lang w:val="bg-BG"/>
        </w:rPr>
        <w:t xml:space="preserve"> </w:t>
      </w:r>
    </w:p>
    <w:p w14:paraId="29DDF38E" w14:textId="799EF1C7" w:rsidR="00D3151E" w:rsidRPr="00610B1B" w:rsidRDefault="0044257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Кризата с </w:t>
      </w:r>
      <w:r w:rsidR="00D3151E" w:rsidRPr="00610B1B">
        <w:rPr>
          <w:rFonts w:ascii="Times New Roman" w:eastAsia="Calibri" w:hAnsi="Times New Roman" w:cs="Times New Roman"/>
          <w:sz w:val="24"/>
          <w:szCs w:val="24"/>
          <w:lang w:val="bg-BG"/>
        </w:rPr>
        <w:t>Covid</w:t>
      </w:r>
      <w:r w:rsidR="003F3C59" w:rsidRPr="00610B1B">
        <w:rPr>
          <w:rFonts w:ascii="Times New Roman" w:eastAsia="Calibri" w:hAnsi="Times New Roman" w:cs="Times New Roman"/>
          <w:sz w:val="24"/>
          <w:szCs w:val="24"/>
          <w:lang w:val="bg-BG"/>
        </w:rPr>
        <w:t>-</w:t>
      </w:r>
      <w:r w:rsidR="00D3151E" w:rsidRPr="00610B1B">
        <w:rPr>
          <w:rFonts w:ascii="Times New Roman" w:eastAsia="Calibri" w:hAnsi="Times New Roman" w:cs="Times New Roman"/>
          <w:sz w:val="24"/>
          <w:szCs w:val="24"/>
          <w:lang w:val="bg-BG"/>
        </w:rPr>
        <w:t>19, която засегна значително и секторите на синята икономика,</w:t>
      </w:r>
      <w:r w:rsidR="00D66FE0" w:rsidRPr="00610B1B">
        <w:rPr>
          <w:rFonts w:ascii="Times New Roman" w:eastAsia="Calibri" w:hAnsi="Times New Roman" w:cs="Times New Roman"/>
          <w:sz w:val="24"/>
          <w:szCs w:val="24"/>
          <w:lang w:val="bg-BG"/>
        </w:rPr>
        <w:t xml:space="preserve"> </w:t>
      </w:r>
      <w:r w:rsidR="00D3151E" w:rsidRPr="00610B1B">
        <w:rPr>
          <w:rFonts w:ascii="Times New Roman" w:eastAsia="Calibri" w:hAnsi="Times New Roman" w:cs="Times New Roman"/>
          <w:sz w:val="24"/>
          <w:szCs w:val="24"/>
          <w:lang w:val="bg-BG"/>
        </w:rPr>
        <w:t>наложи</w:t>
      </w:r>
      <w:r w:rsidRPr="00610B1B">
        <w:rPr>
          <w:rFonts w:ascii="Times New Roman" w:eastAsia="Calibri" w:hAnsi="Times New Roman" w:cs="Times New Roman"/>
          <w:sz w:val="24"/>
          <w:szCs w:val="24"/>
          <w:lang w:val="bg-BG"/>
        </w:rPr>
        <w:t xml:space="preserve"> затв</w:t>
      </w:r>
      <w:r w:rsidR="00D3151E" w:rsidRPr="00610B1B">
        <w:rPr>
          <w:rFonts w:ascii="Times New Roman" w:eastAsia="Calibri" w:hAnsi="Times New Roman" w:cs="Times New Roman"/>
          <w:sz w:val="24"/>
          <w:szCs w:val="24"/>
          <w:lang w:val="bg-BG"/>
        </w:rPr>
        <w:t>аряне на</w:t>
      </w:r>
      <w:r w:rsidRPr="00610B1B">
        <w:rPr>
          <w:rFonts w:ascii="Times New Roman" w:eastAsia="Calibri" w:hAnsi="Times New Roman" w:cs="Times New Roman"/>
          <w:sz w:val="24"/>
          <w:szCs w:val="24"/>
          <w:lang w:val="bg-BG"/>
        </w:rPr>
        <w:t xml:space="preserve"> държавните граници и прекъс</w:t>
      </w:r>
      <w:r w:rsidR="00D3151E" w:rsidRPr="00610B1B">
        <w:rPr>
          <w:rFonts w:ascii="Times New Roman" w:eastAsia="Calibri" w:hAnsi="Times New Roman" w:cs="Times New Roman"/>
          <w:sz w:val="24"/>
          <w:szCs w:val="24"/>
          <w:lang w:val="bg-BG"/>
        </w:rPr>
        <w:t>ване на</w:t>
      </w:r>
      <w:r w:rsidRPr="00610B1B">
        <w:rPr>
          <w:rFonts w:ascii="Times New Roman" w:eastAsia="Calibri" w:hAnsi="Times New Roman" w:cs="Times New Roman"/>
          <w:sz w:val="24"/>
          <w:szCs w:val="24"/>
          <w:lang w:val="bg-BG"/>
        </w:rPr>
        <w:t xml:space="preserve"> международния обмен на хора и товари</w:t>
      </w:r>
      <w:r w:rsidR="00D3151E" w:rsidRPr="00610B1B">
        <w:rPr>
          <w:rFonts w:ascii="Times New Roman" w:eastAsia="Calibri" w:hAnsi="Times New Roman" w:cs="Times New Roman"/>
          <w:sz w:val="24"/>
          <w:szCs w:val="24"/>
          <w:lang w:val="bg-BG"/>
        </w:rPr>
        <w:t>, поради спиране на морския трафик</w:t>
      </w:r>
      <w:r w:rsidRPr="00610B1B">
        <w:rPr>
          <w:rFonts w:ascii="Times New Roman" w:eastAsia="Calibri" w:hAnsi="Times New Roman" w:cs="Times New Roman"/>
          <w:sz w:val="24"/>
          <w:szCs w:val="24"/>
          <w:lang w:val="bg-BG"/>
        </w:rPr>
        <w:t>. Социално-икономическият живот беше ограничен от рестриктивни мерки, които действаха заедно с мерки</w:t>
      </w:r>
      <w:r w:rsidR="00D3151E" w:rsidRPr="00610B1B">
        <w:rPr>
          <w:rFonts w:ascii="Times New Roman" w:eastAsia="Calibri" w:hAnsi="Times New Roman" w:cs="Times New Roman"/>
          <w:sz w:val="24"/>
          <w:szCs w:val="24"/>
          <w:lang w:val="bg-BG"/>
        </w:rPr>
        <w:t xml:space="preserve"> за </w:t>
      </w:r>
      <w:r w:rsidRPr="00610B1B">
        <w:rPr>
          <w:rFonts w:ascii="Times New Roman" w:eastAsia="Calibri" w:hAnsi="Times New Roman" w:cs="Times New Roman"/>
          <w:sz w:val="24"/>
          <w:szCs w:val="24"/>
          <w:lang w:val="bg-BG"/>
        </w:rPr>
        <w:t>подпомагане на националните икономики и най-пострадалите групи от населението. Те бяха ориентиран</w:t>
      </w:r>
      <w:r w:rsidR="00EC20C3" w:rsidRPr="00610B1B">
        <w:rPr>
          <w:rFonts w:ascii="Times New Roman" w:eastAsia="Calibri" w:hAnsi="Times New Roman" w:cs="Times New Roman"/>
          <w:sz w:val="24"/>
          <w:szCs w:val="24"/>
          <w:lang w:val="bg-BG"/>
        </w:rPr>
        <w:t>и</w:t>
      </w:r>
      <w:r w:rsidRPr="00610B1B">
        <w:rPr>
          <w:rFonts w:ascii="Times New Roman" w:eastAsia="Calibri" w:hAnsi="Times New Roman" w:cs="Times New Roman"/>
          <w:sz w:val="24"/>
          <w:szCs w:val="24"/>
          <w:lang w:val="bg-BG"/>
        </w:rPr>
        <w:t xml:space="preserve"> към вътрешните проблеми и трансграничните контакти останаха на заден план. С облекчаване на рестрикциите</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и преодоляване на първоначалния шок се очаква да започне възстановяване </w:t>
      </w:r>
      <w:r w:rsidR="00EC20C3" w:rsidRPr="00610B1B">
        <w:rPr>
          <w:rFonts w:ascii="Times New Roman" w:eastAsia="Calibri" w:hAnsi="Times New Roman" w:cs="Times New Roman"/>
          <w:sz w:val="24"/>
          <w:szCs w:val="24"/>
          <w:lang w:val="bg-BG"/>
        </w:rPr>
        <w:t xml:space="preserve">на </w:t>
      </w:r>
      <w:r w:rsidRPr="00610B1B">
        <w:rPr>
          <w:rFonts w:ascii="Times New Roman" w:eastAsia="Calibri" w:hAnsi="Times New Roman" w:cs="Times New Roman"/>
          <w:sz w:val="24"/>
          <w:szCs w:val="24"/>
          <w:lang w:val="bg-BG"/>
        </w:rPr>
        <w:t>интензивността и на трансграничното сътрудничество, като един от основните инструменти за социално-икономическо разви</w:t>
      </w:r>
      <w:r w:rsidR="009450A4" w:rsidRPr="00610B1B">
        <w:rPr>
          <w:rFonts w:ascii="Times New Roman" w:eastAsia="Calibri" w:hAnsi="Times New Roman" w:cs="Times New Roman"/>
          <w:sz w:val="24"/>
          <w:szCs w:val="24"/>
          <w:lang w:val="bg-BG"/>
        </w:rPr>
        <w:t xml:space="preserve">тие. </w:t>
      </w:r>
    </w:p>
    <w:p w14:paraId="7E89F547" w14:textId="5096F9C3" w:rsidR="00D3151E" w:rsidRPr="00610B1B" w:rsidRDefault="009450A4"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Зелен</w:t>
      </w:r>
      <w:r w:rsidR="00341579" w:rsidRPr="00610B1B">
        <w:rPr>
          <w:rFonts w:ascii="Times New Roman" w:eastAsia="Calibri" w:hAnsi="Times New Roman" w:cs="Times New Roman"/>
          <w:sz w:val="24"/>
          <w:szCs w:val="24"/>
          <w:lang w:val="bg-BG"/>
        </w:rPr>
        <w:t>ата сделка</w:t>
      </w:r>
      <w:r w:rsidRPr="00610B1B">
        <w:rPr>
          <w:rFonts w:ascii="Times New Roman" w:eastAsia="Calibri" w:hAnsi="Times New Roman" w:cs="Times New Roman"/>
          <w:sz w:val="24"/>
          <w:szCs w:val="24"/>
          <w:lang w:val="bg-BG"/>
        </w:rPr>
        <w:t xml:space="preserve"> се очертава</w:t>
      </w:r>
      <w:r w:rsidR="00442579" w:rsidRPr="00610B1B">
        <w:rPr>
          <w:rFonts w:ascii="Times New Roman" w:eastAsia="Calibri" w:hAnsi="Times New Roman" w:cs="Times New Roman"/>
          <w:sz w:val="24"/>
          <w:szCs w:val="24"/>
          <w:lang w:val="bg-BG"/>
        </w:rPr>
        <w:t xml:space="preserve"> като основна стратегия з</w:t>
      </w:r>
      <w:r w:rsidR="00D04DCD" w:rsidRPr="00610B1B">
        <w:rPr>
          <w:rFonts w:ascii="Times New Roman" w:eastAsia="Calibri" w:hAnsi="Times New Roman" w:cs="Times New Roman"/>
          <w:sz w:val="24"/>
          <w:szCs w:val="24"/>
          <w:lang w:val="bg-BG"/>
        </w:rPr>
        <w:t xml:space="preserve">а развитие на Европейския съюз. </w:t>
      </w:r>
      <w:r w:rsidR="00442579" w:rsidRPr="00610B1B">
        <w:rPr>
          <w:rFonts w:ascii="Times New Roman" w:eastAsia="Calibri" w:hAnsi="Times New Roman" w:cs="Times New Roman"/>
          <w:sz w:val="24"/>
          <w:szCs w:val="24"/>
          <w:lang w:val="bg-BG"/>
        </w:rPr>
        <w:t>Огромният финансов ресурс</w:t>
      </w:r>
      <w:r w:rsidR="00EC20C3" w:rsidRPr="00610B1B">
        <w:rPr>
          <w:rFonts w:ascii="Times New Roman" w:eastAsia="Calibri" w:hAnsi="Times New Roman" w:cs="Times New Roman"/>
          <w:sz w:val="24"/>
          <w:szCs w:val="24"/>
          <w:lang w:val="bg-BG"/>
        </w:rPr>
        <w:t>,</w:t>
      </w:r>
      <w:r w:rsidR="00442579" w:rsidRPr="00610B1B">
        <w:rPr>
          <w:rFonts w:ascii="Times New Roman" w:eastAsia="Calibri" w:hAnsi="Times New Roman" w:cs="Times New Roman"/>
          <w:sz w:val="24"/>
          <w:szCs w:val="24"/>
          <w:lang w:val="bg-BG"/>
        </w:rPr>
        <w:t xml:space="preserve"> отделен за нисковъглеродна икономика и икономическо възстановяване, на европейско и национално ниво, допълнително ще засили развитието на трансграничното сътрудничество по Европейски</w:t>
      </w:r>
      <w:r w:rsidR="00C9400B" w:rsidRPr="00610B1B">
        <w:rPr>
          <w:rFonts w:ascii="Times New Roman" w:eastAsia="Calibri" w:hAnsi="Times New Roman" w:cs="Times New Roman"/>
          <w:sz w:val="24"/>
          <w:szCs w:val="24"/>
          <w:lang w:val="bg-BG"/>
        </w:rPr>
        <w:t>я</w:t>
      </w:r>
      <w:r w:rsidR="00442579" w:rsidRPr="00610B1B">
        <w:rPr>
          <w:rFonts w:ascii="Times New Roman" w:eastAsia="Calibri" w:hAnsi="Times New Roman" w:cs="Times New Roman"/>
          <w:sz w:val="24"/>
          <w:szCs w:val="24"/>
          <w:lang w:val="bg-BG"/>
        </w:rPr>
        <w:t xml:space="preserve"> инструмент за съседство. Мерките по реализиране на Зелен</w:t>
      </w:r>
      <w:r w:rsidR="00C9400B" w:rsidRPr="00610B1B">
        <w:rPr>
          <w:rFonts w:ascii="Times New Roman" w:eastAsia="Calibri" w:hAnsi="Times New Roman" w:cs="Times New Roman"/>
          <w:sz w:val="24"/>
          <w:szCs w:val="24"/>
          <w:lang w:val="bg-BG"/>
        </w:rPr>
        <w:t>ата сделка</w:t>
      </w:r>
      <w:r w:rsidR="00D66FE0" w:rsidRPr="00610B1B">
        <w:rPr>
          <w:rFonts w:ascii="Times New Roman" w:eastAsia="Calibri" w:hAnsi="Times New Roman" w:cs="Times New Roman"/>
          <w:sz w:val="24"/>
          <w:szCs w:val="24"/>
          <w:lang w:val="bg-BG"/>
        </w:rPr>
        <w:t xml:space="preserve"> </w:t>
      </w:r>
      <w:r w:rsidR="00442579" w:rsidRPr="00610B1B">
        <w:rPr>
          <w:rFonts w:ascii="Times New Roman" w:eastAsia="Calibri" w:hAnsi="Times New Roman" w:cs="Times New Roman"/>
          <w:sz w:val="24"/>
          <w:szCs w:val="24"/>
          <w:lang w:val="bg-BG"/>
        </w:rPr>
        <w:t>ще окажат влияние и върху политиките на Организацията за Черноморско икономическо сътрудничество и Комисията за опазване на Черно море от замърсяване, тъй като две от участващите страни са членове на ЕС, съюзът е основ</w:t>
      </w:r>
      <w:r w:rsidR="002A02CC" w:rsidRPr="00610B1B">
        <w:rPr>
          <w:rFonts w:ascii="Times New Roman" w:eastAsia="Calibri" w:hAnsi="Times New Roman" w:cs="Times New Roman"/>
          <w:sz w:val="24"/>
          <w:szCs w:val="24"/>
          <w:lang w:val="bg-BG"/>
        </w:rPr>
        <w:t>е</w:t>
      </w:r>
      <w:r w:rsidR="00442579" w:rsidRPr="00610B1B">
        <w:rPr>
          <w:rFonts w:ascii="Times New Roman" w:eastAsia="Calibri" w:hAnsi="Times New Roman" w:cs="Times New Roman"/>
          <w:sz w:val="24"/>
          <w:szCs w:val="24"/>
          <w:lang w:val="bg-BG"/>
        </w:rPr>
        <w:t>н партньор</w:t>
      </w:r>
      <w:r w:rsidR="002A02CC" w:rsidRPr="00610B1B">
        <w:rPr>
          <w:rFonts w:ascii="Times New Roman" w:eastAsia="Calibri" w:hAnsi="Times New Roman" w:cs="Times New Roman"/>
          <w:sz w:val="24"/>
          <w:szCs w:val="24"/>
          <w:lang w:val="bg-BG"/>
        </w:rPr>
        <w:t xml:space="preserve"> </w:t>
      </w:r>
      <w:r w:rsidR="00442579" w:rsidRPr="00610B1B">
        <w:rPr>
          <w:rFonts w:ascii="Times New Roman" w:eastAsia="Calibri" w:hAnsi="Times New Roman" w:cs="Times New Roman"/>
          <w:sz w:val="24"/>
          <w:szCs w:val="24"/>
          <w:lang w:val="bg-BG"/>
        </w:rPr>
        <w:t>на двете организации</w:t>
      </w:r>
      <w:r w:rsidR="00D3151E" w:rsidRPr="00610B1B">
        <w:rPr>
          <w:rFonts w:ascii="Times New Roman" w:eastAsia="Calibri" w:hAnsi="Times New Roman" w:cs="Times New Roman"/>
          <w:sz w:val="24"/>
          <w:szCs w:val="24"/>
          <w:lang w:val="bg-BG"/>
        </w:rPr>
        <w:t xml:space="preserve"> и </w:t>
      </w:r>
      <w:r w:rsidR="002B3D05" w:rsidRPr="00610B1B">
        <w:rPr>
          <w:rFonts w:ascii="Times New Roman" w:eastAsia="Calibri" w:hAnsi="Times New Roman" w:cs="Times New Roman"/>
          <w:sz w:val="24"/>
          <w:szCs w:val="24"/>
          <w:lang w:val="bg-BG"/>
        </w:rPr>
        <w:t>се очаква синята икономика да допринесе значително за постигане на амбицио</w:t>
      </w:r>
      <w:r w:rsidR="00C9400B" w:rsidRPr="00610B1B">
        <w:rPr>
          <w:rFonts w:ascii="Times New Roman" w:eastAsia="Calibri" w:hAnsi="Times New Roman" w:cs="Times New Roman"/>
          <w:sz w:val="24"/>
          <w:szCs w:val="24"/>
          <w:lang w:val="bg-BG"/>
        </w:rPr>
        <w:t>з</w:t>
      </w:r>
      <w:r w:rsidR="002B3D05" w:rsidRPr="00610B1B">
        <w:rPr>
          <w:rFonts w:ascii="Times New Roman" w:eastAsia="Calibri" w:hAnsi="Times New Roman" w:cs="Times New Roman"/>
          <w:sz w:val="24"/>
          <w:szCs w:val="24"/>
          <w:lang w:val="bg-BG"/>
        </w:rPr>
        <w:t xml:space="preserve">ните цели на документа до 2050 г. </w:t>
      </w:r>
    </w:p>
    <w:p w14:paraId="6E873217" w14:textId="4906BE9B" w:rsidR="002B3D05" w:rsidRPr="00610B1B" w:rsidRDefault="00C619EB"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Европейската Директива 2014/89/ЕС, за създаване на рамка за МПП</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се счита не само за стъпка напред към приемането на принципите и добрите практики на </w:t>
      </w:r>
      <w:r w:rsidR="00CE5067" w:rsidRPr="00610B1B">
        <w:rPr>
          <w:rFonts w:ascii="Times New Roman" w:eastAsia="Calibri" w:hAnsi="Times New Roman" w:cs="Times New Roman"/>
          <w:sz w:val="24"/>
          <w:szCs w:val="24"/>
          <w:lang w:val="bg-BG"/>
        </w:rPr>
        <w:t>морско пространствено планиране</w:t>
      </w:r>
      <w:r w:rsidRPr="00610B1B">
        <w:rPr>
          <w:rFonts w:ascii="Times New Roman" w:eastAsia="Calibri" w:hAnsi="Times New Roman" w:cs="Times New Roman"/>
          <w:sz w:val="24"/>
          <w:szCs w:val="24"/>
          <w:lang w:val="bg-BG"/>
        </w:rPr>
        <w:t xml:space="preserve"> от държавите-членки на ЕС, но и за гарант за</w:t>
      </w:r>
      <w:r w:rsidR="00D66FE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по-ефективно и устойчиво развитие на морските и крайбрежните ресурси, и засилване на трансграничното сътрудничество по морските въпроси. В Директивата трансграничното сътрудничество е дефинирано по отношение на държавите-членки или с трети страни в съответните морски региони в съответствие с международното право</w:t>
      </w:r>
      <w:r w:rsidR="002B3D05" w:rsidRPr="00610B1B">
        <w:rPr>
          <w:rFonts w:ascii="Times New Roman" w:eastAsia="Calibri" w:hAnsi="Times New Roman" w:cs="Times New Roman"/>
          <w:sz w:val="24"/>
          <w:szCs w:val="24"/>
          <w:lang w:val="bg-BG"/>
        </w:rPr>
        <w:t xml:space="preserve"> (Член 11). Това </w:t>
      </w:r>
      <w:r w:rsidRPr="00610B1B">
        <w:rPr>
          <w:rFonts w:ascii="Times New Roman" w:eastAsia="Calibri" w:hAnsi="Times New Roman" w:cs="Times New Roman"/>
          <w:sz w:val="24"/>
          <w:szCs w:val="24"/>
          <w:lang w:val="bg-BG"/>
        </w:rPr>
        <w:t xml:space="preserve">сътрудничество ще се осъществява </w:t>
      </w:r>
      <w:r w:rsidR="00CE5067" w:rsidRPr="00610B1B">
        <w:rPr>
          <w:rFonts w:ascii="Times New Roman" w:eastAsia="Calibri" w:hAnsi="Times New Roman" w:cs="Times New Roman"/>
          <w:sz w:val="24"/>
          <w:szCs w:val="24"/>
          <w:lang w:val="bg-BG"/>
        </w:rPr>
        <w:t>посредством</w:t>
      </w:r>
      <w:r w:rsidRPr="00610B1B">
        <w:rPr>
          <w:rFonts w:ascii="Times New Roman" w:eastAsia="Calibri" w:hAnsi="Times New Roman" w:cs="Times New Roman"/>
          <w:sz w:val="24"/>
          <w:szCs w:val="24"/>
          <w:lang w:val="bg-BG"/>
        </w:rPr>
        <w:t xml:space="preserve"> съществуващи структури за регионално институционално </w:t>
      </w:r>
      <w:r w:rsidRPr="00610B1B">
        <w:rPr>
          <w:rFonts w:ascii="Times New Roman" w:eastAsia="Calibri" w:hAnsi="Times New Roman" w:cs="Times New Roman"/>
          <w:sz w:val="24"/>
          <w:szCs w:val="24"/>
          <w:lang w:val="bg-BG"/>
        </w:rPr>
        <w:lastRenderedPageBreak/>
        <w:t>сътрудничество (напр. регионални морски конвенции); мрежи/структури на компетентните органи на държавите-членки; и/или всеки друг метод (например макростратегии за морски басейн).</w:t>
      </w:r>
    </w:p>
    <w:p w14:paraId="49BEC1DA" w14:textId="34A1F0DA" w:rsidR="00C9400B" w:rsidRPr="00610B1B" w:rsidRDefault="00C619EB"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Морското пространствено планиране </w:t>
      </w:r>
      <w:r w:rsidR="00105A09" w:rsidRPr="00610B1B">
        <w:rPr>
          <w:rFonts w:ascii="Times New Roman" w:eastAsia="Calibri" w:hAnsi="Times New Roman" w:cs="Times New Roman"/>
          <w:sz w:val="24"/>
          <w:szCs w:val="24"/>
          <w:lang w:val="bg-BG"/>
        </w:rPr>
        <w:t xml:space="preserve">освен за </w:t>
      </w:r>
      <w:r w:rsidRPr="00610B1B">
        <w:rPr>
          <w:rFonts w:ascii="Times New Roman" w:eastAsia="Calibri" w:hAnsi="Times New Roman" w:cs="Times New Roman"/>
          <w:sz w:val="24"/>
          <w:szCs w:val="24"/>
          <w:lang w:val="bg-BG"/>
        </w:rPr>
        <w:t>пространствен анализ</w:t>
      </w:r>
      <w:r w:rsidR="00105A09" w:rsidRPr="00610B1B">
        <w:rPr>
          <w:rFonts w:ascii="Times New Roman" w:eastAsia="Calibri" w:hAnsi="Times New Roman" w:cs="Times New Roman"/>
          <w:sz w:val="24"/>
          <w:szCs w:val="24"/>
          <w:lang w:val="bg-BG"/>
        </w:rPr>
        <w:t xml:space="preserve"> се използва</w:t>
      </w:r>
      <w:r w:rsidRPr="00610B1B">
        <w:rPr>
          <w:rFonts w:ascii="Times New Roman" w:eastAsia="Calibri" w:hAnsi="Times New Roman" w:cs="Times New Roman"/>
          <w:sz w:val="24"/>
          <w:szCs w:val="24"/>
          <w:lang w:val="bg-BG"/>
        </w:rPr>
        <w:t xml:space="preserve"> и за очертаване на границите на морските дейности или екосистеми в морските райони, които не </w:t>
      </w:r>
      <w:r w:rsidR="00105A09" w:rsidRPr="00610B1B">
        <w:rPr>
          <w:rFonts w:ascii="Times New Roman" w:eastAsia="Calibri" w:hAnsi="Times New Roman" w:cs="Times New Roman"/>
          <w:sz w:val="24"/>
          <w:szCs w:val="24"/>
          <w:lang w:val="bg-BG"/>
        </w:rPr>
        <w:t>всякога съвпадат с</w:t>
      </w:r>
      <w:r w:rsidRPr="00610B1B">
        <w:rPr>
          <w:rFonts w:ascii="Times New Roman" w:eastAsia="Calibri" w:hAnsi="Times New Roman" w:cs="Times New Roman"/>
          <w:sz w:val="24"/>
          <w:szCs w:val="24"/>
          <w:lang w:val="bg-BG"/>
        </w:rPr>
        <w:t xml:space="preserve"> държавните и регионални граници. Замърсяването на морската околна среда също не</w:t>
      </w:r>
      <w:r w:rsidR="00105A09" w:rsidRPr="00610B1B">
        <w:rPr>
          <w:rFonts w:ascii="Times New Roman" w:eastAsia="Calibri" w:hAnsi="Times New Roman" w:cs="Times New Roman"/>
          <w:sz w:val="24"/>
          <w:szCs w:val="24"/>
          <w:lang w:val="bg-BG"/>
        </w:rPr>
        <w:t xml:space="preserve"> признава държавни граници. В </w:t>
      </w:r>
      <w:r w:rsidRPr="00610B1B">
        <w:rPr>
          <w:rFonts w:ascii="Times New Roman" w:eastAsia="Calibri" w:hAnsi="Times New Roman" w:cs="Times New Roman"/>
          <w:sz w:val="24"/>
          <w:szCs w:val="24"/>
          <w:lang w:val="bg-BG"/>
        </w:rPr>
        <w:t>този контекст трансграничното сътрудничество в МПП предоставя възможност за подобряване на ефективността на планирането и управлението на крайбрежните и морските ресурси и дейности</w:t>
      </w:r>
      <w:r w:rsidR="002B3D05" w:rsidRPr="00610B1B">
        <w:rPr>
          <w:rFonts w:ascii="Times New Roman" w:eastAsia="Calibri" w:hAnsi="Times New Roman" w:cs="Times New Roman"/>
          <w:sz w:val="24"/>
          <w:szCs w:val="24"/>
          <w:lang w:val="bg-BG"/>
        </w:rPr>
        <w:t xml:space="preserve"> и постигане и поддържане на добро състояние на морската околна среда</w:t>
      </w:r>
      <w:r w:rsidRPr="00610B1B">
        <w:rPr>
          <w:rFonts w:ascii="Times New Roman" w:eastAsia="Calibri" w:hAnsi="Times New Roman" w:cs="Times New Roman"/>
          <w:sz w:val="24"/>
          <w:szCs w:val="24"/>
          <w:lang w:val="bg-BG"/>
        </w:rPr>
        <w:t xml:space="preserve">. </w:t>
      </w:r>
      <w:r w:rsidR="002B3D05" w:rsidRPr="00610B1B">
        <w:rPr>
          <w:rFonts w:ascii="Times New Roman" w:eastAsia="Calibri" w:hAnsi="Times New Roman" w:cs="Times New Roman"/>
          <w:sz w:val="24"/>
          <w:szCs w:val="24"/>
          <w:lang w:val="bg-BG"/>
        </w:rPr>
        <w:t xml:space="preserve">Това е особено важно за Черноморския регион, тъй като </w:t>
      </w:r>
      <w:r w:rsidR="00954279" w:rsidRPr="00610B1B">
        <w:rPr>
          <w:rFonts w:ascii="Times New Roman" w:eastAsia="Calibri" w:hAnsi="Times New Roman" w:cs="Times New Roman"/>
          <w:sz w:val="24"/>
          <w:szCs w:val="24"/>
          <w:lang w:val="bg-BG"/>
        </w:rPr>
        <w:t>около 7</w:t>
      </w:r>
      <w:r w:rsidR="002B3D05" w:rsidRPr="00610B1B">
        <w:rPr>
          <w:rFonts w:ascii="Times New Roman" w:eastAsia="Calibri" w:hAnsi="Times New Roman" w:cs="Times New Roman"/>
          <w:sz w:val="24"/>
          <w:szCs w:val="24"/>
          <w:lang w:val="bg-BG"/>
        </w:rPr>
        <w:t>0% от замърсяването се пренася от вливащите се големи европейски реки в Черно море.</w:t>
      </w:r>
    </w:p>
    <w:p w14:paraId="5A195717" w14:textId="2BE9BF21" w:rsidR="00C9400B" w:rsidRPr="00610B1B" w:rsidRDefault="00105A09"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Проектът </w:t>
      </w:r>
      <w:r w:rsidR="00C619EB" w:rsidRPr="00610B1B">
        <w:rPr>
          <w:rFonts w:ascii="Times New Roman" w:eastAsia="Calibri" w:hAnsi="Times New Roman" w:cs="Times New Roman"/>
          <w:sz w:val="24"/>
          <w:szCs w:val="24"/>
          <w:lang w:val="bg-BG"/>
        </w:rPr>
        <w:t>MARSPLAN-BS</w:t>
      </w:r>
      <w:r w:rsidR="00925561" w:rsidRPr="00610B1B">
        <w:rPr>
          <w:rStyle w:val="FootnoteReference"/>
          <w:rFonts w:ascii="Times New Roman" w:eastAsia="Calibri" w:hAnsi="Times New Roman" w:cs="Times New Roman"/>
          <w:sz w:val="24"/>
          <w:szCs w:val="24"/>
          <w:lang w:val="bg-BG"/>
        </w:rPr>
        <w:footnoteReference w:id="169"/>
      </w:r>
      <w:r w:rsidRPr="00610B1B">
        <w:rPr>
          <w:rFonts w:ascii="Times New Roman" w:eastAsia="Calibri" w:hAnsi="Times New Roman" w:cs="Times New Roman"/>
          <w:sz w:val="24"/>
          <w:szCs w:val="24"/>
          <w:lang w:val="bg-BG"/>
        </w:rPr>
        <w:t xml:space="preserve">, съфинансиран от Европейския съюз подпомага създаването </w:t>
      </w:r>
      <w:r w:rsidR="00C619EB" w:rsidRPr="00610B1B">
        <w:rPr>
          <w:rFonts w:ascii="Times New Roman" w:eastAsia="Calibri" w:hAnsi="Times New Roman" w:cs="Times New Roman"/>
          <w:sz w:val="24"/>
          <w:szCs w:val="24"/>
          <w:lang w:val="bg-BG"/>
        </w:rPr>
        <w:t>на институционална рамка за трансгранично морско пространствено планиране, насърчава развитието на сътрудничеството със съседните държави в Черноморския регион и по-специално консолидиране на трансграничното сътрудничество и обмен на информация между Румъния и България.</w:t>
      </w:r>
      <w:r w:rsidRPr="00610B1B">
        <w:rPr>
          <w:rFonts w:ascii="Times New Roman" w:eastAsia="Calibri" w:hAnsi="Times New Roman" w:cs="Times New Roman"/>
          <w:sz w:val="24"/>
          <w:szCs w:val="24"/>
          <w:lang w:val="bg-BG"/>
        </w:rPr>
        <w:t xml:space="preserve"> Продължението на</w:t>
      </w:r>
      <w:r w:rsidR="00C619EB" w:rsidRPr="00610B1B">
        <w:rPr>
          <w:rFonts w:ascii="Times New Roman" w:eastAsia="Calibri" w:hAnsi="Times New Roman" w:cs="Times New Roman"/>
          <w:sz w:val="24"/>
          <w:szCs w:val="24"/>
          <w:lang w:val="bg-BG"/>
        </w:rPr>
        <w:t xml:space="preserve"> проект</w:t>
      </w:r>
      <w:r w:rsidRPr="00610B1B">
        <w:rPr>
          <w:rFonts w:ascii="Times New Roman" w:eastAsia="Calibri" w:hAnsi="Times New Roman" w:cs="Times New Roman"/>
          <w:sz w:val="24"/>
          <w:szCs w:val="24"/>
          <w:lang w:val="bg-BG"/>
        </w:rPr>
        <w:t>а</w:t>
      </w:r>
      <w:r w:rsidR="00C619EB" w:rsidRPr="00610B1B">
        <w:rPr>
          <w:rFonts w:ascii="Times New Roman" w:eastAsia="Calibri" w:hAnsi="Times New Roman" w:cs="Times New Roman"/>
          <w:sz w:val="24"/>
          <w:szCs w:val="24"/>
          <w:lang w:val="bg-BG"/>
        </w:rPr>
        <w:t xml:space="preserve"> MARSPLAN-BS II</w:t>
      </w:r>
      <w:r w:rsidR="00925561" w:rsidRPr="00610B1B">
        <w:rPr>
          <w:rStyle w:val="FootnoteReference"/>
          <w:rFonts w:ascii="Times New Roman" w:eastAsia="Calibri" w:hAnsi="Times New Roman" w:cs="Times New Roman"/>
          <w:sz w:val="24"/>
          <w:szCs w:val="24"/>
          <w:lang w:val="bg-BG"/>
        </w:rPr>
        <w:footnoteReference w:id="170"/>
      </w:r>
      <w:r w:rsidR="00C619EB" w:rsidRPr="00610B1B">
        <w:rPr>
          <w:rFonts w:ascii="Times New Roman" w:eastAsia="Calibri" w:hAnsi="Times New Roman" w:cs="Times New Roman"/>
          <w:sz w:val="24"/>
          <w:szCs w:val="24"/>
          <w:lang w:val="bg-BG"/>
        </w:rPr>
        <w:t xml:space="preserve"> </w:t>
      </w:r>
      <w:r w:rsidR="00BA5862" w:rsidRPr="00610B1B">
        <w:rPr>
          <w:rFonts w:ascii="Times New Roman" w:eastAsia="Calibri" w:hAnsi="Times New Roman" w:cs="Times New Roman"/>
          <w:sz w:val="24"/>
          <w:szCs w:val="24"/>
          <w:lang w:val="bg-BG"/>
        </w:rPr>
        <w:t>обединява</w:t>
      </w:r>
      <w:r w:rsidR="00C619EB" w:rsidRPr="00610B1B">
        <w:rPr>
          <w:rFonts w:ascii="Times New Roman" w:eastAsia="Calibri" w:hAnsi="Times New Roman" w:cs="Times New Roman"/>
          <w:sz w:val="24"/>
          <w:szCs w:val="24"/>
          <w:lang w:val="bg-BG"/>
        </w:rPr>
        <w:t xml:space="preserve"> компетентните органи от двете съседни държави-членки в </w:t>
      </w:r>
      <w:r w:rsidRPr="00610B1B">
        <w:rPr>
          <w:rFonts w:ascii="Times New Roman" w:eastAsia="Calibri" w:hAnsi="Times New Roman" w:cs="Times New Roman"/>
          <w:sz w:val="24"/>
          <w:szCs w:val="24"/>
          <w:lang w:val="bg-BG"/>
        </w:rPr>
        <w:t xml:space="preserve">прилагането </w:t>
      </w:r>
      <w:r w:rsidR="00C619EB" w:rsidRPr="00610B1B">
        <w:rPr>
          <w:rFonts w:ascii="Times New Roman" w:eastAsia="Calibri" w:hAnsi="Times New Roman" w:cs="Times New Roman"/>
          <w:sz w:val="24"/>
          <w:szCs w:val="24"/>
          <w:lang w:val="bg-BG"/>
        </w:rPr>
        <w:t xml:space="preserve">на </w:t>
      </w:r>
      <w:r w:rsidRPr="00610B1B">
        <w:rPr>
          <w:rFonts w:ascii="Times New Roman" w:eastAsia="Calibri" w:hAnsi="Times New Roman" w:cs="Times New Roman"/>
          <w:sz w:val="24"/>
          <w:szCs w:val="24"/>
          <w:lang w:val="bg-BG"/>
        </w:rPr>
        <w:t>коо</w:t>
      </w:r>
      <w:r w:rsidR="002B3D05" w:rsidRPr="00610B1B">
        <w:rPr>
          <w:rFonts w:ascii="Times New Roman" w:eastAsia="Calibri" w:hAnsi="Times New Roman" w:cs="Times New Roman"/>
          <w:sz w:val="24"/>
          <w:szCs w:val="24"/>
          <w:lang w:val="bg-BG"/>
        </w:rPr>
        <w:t>р</w:t>
      </w:r>
      <w:r w:rsidRPr="00610B1B">
        <w:rPr>
          <w:rFonts w:ascii="Times New Roman" w:eastAsia="Calibri" w:hAnsi="Times New Roman" w:cs="Times New Roman"/>
          <w:sz w:val="24"/>
          <w:szCs w:val="24"/>
          <w:lang w:val="bg-BG"/>
        </w:rPr>
        <w:t xml:space="preserve">диниран </w:t>
      </w:r>
      <w:r w:rsidR="00C619EB" w:rsidRPr="00610B1B">
        <w:rPr>
          <w:rFonts w:ascii="Times New Roman" w:eastAsia="Calibri" w:hAnsi="Times New Roman" w:cs="Times New Roman"/>
          <w:sz w:val="24"/>
          <w:szCs w:val="24"/>
          <w:lang w:val="bg-BG"/>
        </w:rPr>
        <w:t>национален и трансграничен процес на мо</w:t>
      </w:r>
      <w:r w:rsidRPr="00610B1B">
        <w:rPr>
          <w:rFonts w:ascii="Times New Roman" w:eastAsia="Calibri" w:hAnsi="Times New Roman" w:cs="Times New Roman"/>
          <w:sz w:val="24"/>
          <w:szCs w:val="24"/>
          <w:lang w:val="bg-BG"/>
        </w:rPr>
        <w:t xml:space="preserve">рско пространствено планиране </w:t>
      </w:r>
      <w:r w:rsidR="00C619EB" w:rsidRPr="00610B1B">
        <w:rPr>
          <w:rFonts w:ascii="Times New Roman" w:eastAsia="Calibri" w:hAnsi="Times New Roman" w:cs="Times New Roman"/>
          <w:sz w:val="24"/>
          <w:szCs w:val="24"/>
          <w:lang w:val="bg-BG"/>
        </w:rPr>
        <w:t xml:space="preserve">и създаване на дълготраен механизъм за трансгранично сътрудничество </w:t>
      </w:r>
      <w:r w:rsidRPr="00610B1B">
        <w:rPr>
          <w:rFonts w:ascii="Times New Roman" w:eastAsia="Calibri" w:hAnsi="Times New Roman" w:cs="Times New Roman"/>
          <w:sz w:val="24"/>
          <w:szCs w:val="24"/>
          <w:lang w:val="bg-BG"/>
        </w:rPr>
        <w:t>в</w:t>
      </w:r>
      <w:r w:rsidR="00C619EB" w:rsidRPr="00610B1B">
        <w:rPr>
          <w:rFonts w:ascii="Times New Roman" w:eastAsia="Calibri" w:hAnsi="Times New Roman" w:cs="Times New Roman"/>
          <w:sz w:val="24"/>
          <w:szCs w:val="24"/>
          <w:lang w:val="bg-BG"/>
        </w:rPr>
        <w:t xml:space="preserve"> Черноморския басейн.</w:t>
      </w:r>
      <w:r w:rsidRPr="00610B1B">
        <w:rPr>
          <w:rFonts w:ascii="Times New Roman" w:eastAsia="Calibri" w:hAnsi="Times New Roman" w:cs="Times New Roman"/>
          <w:sz w:val="24"/>
          <w:szCs w:val="24"/>
          <w:lang w:val="bg-BG"/>
        </w:rPr>
        <w:t xml:space="preserve"> </w:t>
      </w:r>
      <w:r w:rsidR="00C619EB" w:rsidRPr="00610B1B">
        <w:rPr>
          <w:rFonts w:ascii="Times New Roman" w:eastAsia="Calibri" w:hAnsi="Times New Roman" w:cs="Times New Roman"/>
          <w:sz w:val="24"/>
          <w:szCs w:val="24"/>
          <w:lang w:val="bg-BG"/>
        </w:rPr>
        <w:t>Цялостната концепция на проекта се основава на общата визия в подкрепа на прилагането на морското пространствено планиране. В основата му</w:t>
      </w:r>
      <w:r w:rsidR="002B3D05" w:rsidRPr="00610B1B">
        <w:rPr>
          <w:rFonts w:ascii="Times New Roman" w:eastAsia="Calibri" w:hAnsi="Times New Roman" w:cs="Times New Roman"/>
          <w:sz w:val="24"/>
          <w:szCs w:val="24"/>
          <w:lang w:val="bg-BG"/>
        </w:rPr>
        <w:t xml:space="preserve"> са</w:t>
      </w:r>
      <w:r w:rsidR="00C619EB" w:rsidRPr="00610B1B">
        <w:rPr>
          <w:rFonts w:ascii="Times New Roman" w:eastAsia="Calibri" w:hAnsi="Times New Roman" w:cs="Times New Roman"/>
          <w:sz w:val="24"/>
          <w:szCs w:val="24"/>
          <w:lang w:val="bg-BG"/>
        </w:rPr>
        <w:t xml:space="preserve"> обща стратегия за устойчиво трансгранично сътрудничество, ясни законодателни и институционални рамки, цялостен екосистемен подход, интегрирана и актуализирана база данни, координирани системи за мониторинг и оценка и активно участие на заинтересованите страни.</w:t>
      </w:r>
    </w:p>
    <w:p w14:paraId="50761E2C" w14:textId="3AF18782" w:rsidR="000E7C6A" w:rsidRPr="00610B1B" w:rsidRDefault="00C619EB"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В Закона за морските пространства, вътрешните водни пътища и пристанищата на Република България е определено като задължително сътрудничеството на Република България с „държавите от Черноморския регион, включително в рамките на Организацията за черноморско икономическо сътрудничество и на Комисията по опазване на Черно море от замърсяване“. Поставен е акцент на сътрудничеството </w:t>
      </w:r>
      <w:r w:rsidR="00770DBA" w:rsidRPr="00610B1B">
        <w:rPr>
          <w:rFonts w:ascii="Times New Roman" w:eastAsia="Calibri" w:hAnsi="Times New Roman" w:cs="Times New Roman"/>
          <w:sz w:val="24"/>
          <w:szCs w:val="24"/>
          <w:lang w:val="bg-BG"/>
        </w:rPr>
        <w:t xml:space="preserve">на България </w:t>
      </w:r>
      <w:r w:rsidRPr="00610B1B">
        <w:rPr>
          <w:rFonts w:ascii="Times New Roman" w:eastAsia="Calibri" w:hAnsi="Times New Roman" w:cs="Times New Roman"/>
          <w:sz w:val="24"/>
          <w:szCs w:val="24"/>
          <w:lang w:val="bg-BG"/>
        </w:rPr>
        <w:t>с Румъния от гледна точка на по-добрата съгласуваност и координираност по въпросите с транснационален характер. За създадените с тази цел механизми се предоставя инф</w:t>
      </w:r>
      <w:r w:rsidR="0065428D" w:rsidRPr="00610B1B">
        <w:rPr>
          <w:rFonts w:ascii="Times New Roman" w:eastAsia="Calibri" w:hAnsi="Times New Roman" w:cs="Times New Roman"/>
          <w:sz w:val="24"/>
          <w:szCs w:val="24"/>
          <w:lang w:val="bg-BG"/>
        </w:rPr>
        <w:t>ормация на Европейската комисия, каквато ще бъде представена и за съчетаването на трансграничното морско пространствено планиране с националните системи за планиране, за инкорпорирането на резултатите от съ</w:t>
      </w:r>
      <w:r w:rsidR="007779C5" w:rsidRPr="00610B1B">
        <w:rPr>
          <w:rFonts w:ascii="Times New Roman" w:eastAsia="Calibri" w:hAnsi="Times New Roman" w:cs="Times New Roman"/>
          <w:sz w:val="24"/>
          <w:szCs w:val="24"/>
          <w:lang w:val="bg-BG"/>
        </w:rPr>
        <w:t>финансираните от ЕС проекти в на</w:t>
      </w:r>
      <w:r w:rsidR="0065428D" w:rsidRPr="00610B1B">
        <w:rPr>
          <w:rFonts w:ascii="Times New Roman" w:eastAsia="Calibri" w:hAnsi="Times New Roman" w:cs="Times New Roman"/>
          <w:sz w:val="24"/>
          <w:szCs w:val="24"/>
          <w:lang w:val="bg-BG"/>
        </w:rPr>
        <w:t>ционалния морски пространствен план на Република България.</w:t>
      </w:r>
    </w:p>
    <w:p w14:paraId="5C89BE53" w14:textId="40677FEF" w:rsidR="007779C5" w:rsidRPr="00610B1B" w:rsidRDefault="007779C5"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iCs/>
          <w:sz w:val="24"/>
          <w:szCs w:val="24"/>
          <w:lang w:val="bg-BG"/>
        </w:rPr>
        <w:t xml:space="preserve">Трансграничното сътрудничество в Черноморския регион се явява много ценен, а в някои случаи и незаменим инструмент за постигане на устойчив син растеж, </w:t>
      </w:r>
      <w:r w:rsidRPr="00610B1B">
        <w:rPr>
          <w:rFonts w:ascii="Times New Roman" w:hAnsi="Times New Roman" w:cs="Times New Roman"/>
          <w:sz w:val="24"/>
          <w:szCs w:val="24"/>
          <w:lang w:val="bg-BG"/>
        </w:rPr>
        <w:t xml:space="preserve">за ефективно планиране и управление на крайбрежните и морските ресурси и дейности, и за навременна </w:t>
      </w:r>
      <w:r w:rsidRPr="00610B1B">
        <w:rPr>
          <w:rFonts w:ascii="Times New Roman" w:hAnsi="Times New Roman" w:cs="Times New Roman"/>
          <w:sz w:val="24"/>
          <w:szCs w:val="24"/>
          <w:lang w:val="bg-BG"/>
        </w:rPr>
        <w:lastRenderedPageBreak/>
        <w:t xml:space="preserve">и адекватна реакция на свързани с морето заплахи. В същото време, то </w:t>
      </w:r>
      <w:r w:rsidRPr="00610B1B">
        <w:rPr>
          <w:rFonts w:ascii="Times New Roman" w:hAnsi="Times New Roman" w:cs="Times New Roman"/>
          <w:bCs/>
          <w:sz w:val="24"/>
          <w:szCs w:val="24"/>
          <w:lang w:val="bg-BG"/>
        </w:rPr>
        <w:t xml:space="preserve">до голяма степен </w:t>
      </w:r>
      <w:r w:rsidR="0084164F" w:rsidRPr="00610B1B">
        <w:rPr>
          <w:rFonts w:ascii="Times New Roman" w:hAnsi="Times New Roman" w:cs="Times New Roman"/>
          <w:bCs/>
          <w:sz w:val="24"/>
          <w:szCs w:val="24"/>
          <w:lang w:val="bg-BG"/>
        </w:rPr>
        <w:t xml:space="preserve">е </w:t>
      </w:r>
      <w:r w:rsidRPr="00610B1B">
        <w:rPr>
          <w:rFonts w:ascii="Times New Roman" w:hAnsi="Times New Roman" w:cs="Times New Roman"/>
          <w:bCs/>
          <w:sz w:val="24"/>
          <w:szCs w:val="24"/>
          <w:lang w:val="bg-BG"/>
        </w:rPr>
        <w:t xml:space="preserve">обусловено от политическите фактори и това го прави уязвимо при потенциални конфликти между държавите или при невъзможен консенсус по политически, икономически, </w:t>
      </w:r>
      <w:r w:rsidR="00E0439B" w:rsidRPr="00610B1B">
        <w:rPr>
          <w:rFonts w:ascii="Times New Roman" w:hAnsi="Times New Roman" w:cs="Times New Roman"/>
          <w:bCs/>
          <w:sz w:val="24"/>
          <w:szCs w:val="24"/>
          <w:lang w:val="bg-BG"/>
        </w:rPr>
        <w:t xml:space="preserve">екологични и </w:t>
      </w:r>
      <w:r w:rsidRPr="00610B1B">
        <w:rPr>
          <w:rFonts w:ascii="Times New Roman" w:hAnsi="Times New Roman" w:cs="Times New Roman"/>
          <w:bCs/>
          <w:sz w:val="24"/>
          <w:szCs w:val="24"/>
          <w:lang w:val="bg-BG"/>
        </w:rPr>
        <w:t>културни въпроси.</w:t>
      </w:r>
    </w:p>
    <w:p w14:paraId="5DA3BF6D" w14:textId="77777777" w:rsidR="009907CE" w:rsidRPr="00610B1B" w:rsidRDefault="009907CE" w:rsidP="00D32D6A">
      <w:pPr>
        <w:spacing w:after="120"/>
        <w:ind w:right="-153"/>
        <w:jc w:val="both"/>
        <w:rPr>
          <w:rFonts w:ascii="Times New Roman" w:hAnsi="Times New Roman" w:cs="Times New Roman"/>
          <w:sz w:val="24"/>
          <w:szCs w:val="24"/>
          <w:lang w:val="bg-BG"/>
        </w:rPr>
      </w:pPr>
    </w:p>
    <w:p w14:paraId="34A8DAA5" w14:textId="238C8FE5" w:rsidR="00FB58CD" w:rsidRPr="00610B1B" w:rsidRDefault="00442579" w:rsidP="00D32D6A">
      <w:pPr>
        <w:pStyle w:val="Heading3"/>
        <w:spacing w:before="0" w:line="276" w:lineRule="auto"/>
        <w:ind w:right="-153"/>
        <w:rPr>
          <w:rFonts w:cs="Times New Roman"/>
        </w:rPr>
      </w:pPr>
      <w:bookmarkStart w:id="435" w:name="_Toc83391416"/>
      <w:r w:rsidRPr="00610B1B">
        <w:rPr>
          <w:rFonts w:cs="Times New Roman"/>
        </w:rPr>
        <w:t>4.</w:t>
      </w:r>
      <w:r w:rsidR="009278D0" w:rsidRPr="00610B1B">
        <w:rPr>
          <w:rFonts w:cs="Times New Roman"/>
        </w:rPr>
        <w:t>2</w:t>
      </w:r>
      <w:r w:rsidRPr="00610B1B">
        <w:rPr>
          <w:rFonts w:cs="Times New Roman"/>
        </w:rPr>
        <w:t xml:space="preserve">.9. </w:t>
      </w:r>
      <w:r w:rsidR="00FB58CD" w:rsidRPr="00610B1B">
        <w:rPr>
          <w:rFonts w:cs="Times New Roman"/>
        </w:rPr>
        <w:t>Прогнозно развитие на дейностите по опазването и социализирането на културни</w:t>
      </w:r>
      <w:r w:rsidR="00C93A41" w:rsidRPr="00610B1B">
        <w:rPr>
          <w:rFonts w:cs="Times New Roman"/>
        </w:rPr>
        <w:t>те</w:t>
      </w:r>
      <w:r w:rsidR="00FB58CD" w:rsidRPr="00610B1B">
        <w:rPr>
          <w:rFonts w:cs="Times New Roman"/>
        </w:rPr>
        <w:t xml:space="preserve"> ценности</w:t>
      </w:r>
      <w:bookmarkEnd w:id="435"/>
      <w:r w:rsidR="00FB58CD" w:rsidRPr="00610B1B">
        <w:rPr>
          <w:rFonts w:cs="Times New Roman"/>
        </w:rPr>
        <w:t xml:space="preserve"> </w:t>
      </w:r>
    </w:p>
    <w:p w14:paraId="4CD8A9AF" w14:textId="62408549" w:rsidR="00FB58CD" w:rsidRPr="00610B1B" w:rsidRDefault="00FB58CD"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Прогнозите за недвижимото културно наследство, краткосрочни или дългосрочни, се разглеждат в два тясно обвързани аспекта: 1) прогнози, свързани с дейностите по идентификацията и проучването на отделните обекти, които водят до придобиване на защита като „културна ценност” по смисъла на ЗКН на съответните обекти и 2) прогнози, свързани с провеждане на консервационно-реставрационни работи (КРР), адаптация и социализация на обявените НКЦ.</w:t>
      </w:r>
    </w:p>
    <w:p w14:paraId="2EF26BD4" w14:textId="673AD881" w:rsidR="00FB58CD" w:rsidRPr="00610B1B" w:rsidRDefault="00FB58CD"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Икономическият спад, съпът</w:t>
      </w:r>
      <w:r w:rsidR="00BB78A1" w:rsidRPr="00610B1B">
        <w:rPr>
          <w:rFonts w:ascii="Times New Roman" w:eastAsia="Calibri" w:hAnsi="Times New Roman" w:cs="Times New Roman"/>
          <w:sz w:val="24"/>
          <w:szCs w:val="24"/>
          <w:lang w:val="bg-BG"/>
        </w:rPr>
        <w:t>ст</w:t>
      </w:r>
      <w:r w:rsidRPr="00610B1B">
        <w:rPr>
          <w:rFonts w:ascii="Times New Roman" w:eastAsia="Calibri" w:hAnsi="Times New Roman" w:cs="Times New Roman"/>
          <w:sz w:val="24"/>
          <w:szCs w:val="24"/>
          <w:lang w:val="bg-BG"/>
        </w:rPr>
        <w:t xml:space="preserve">ващ настоящата пандемия, се отразява и на опазването на </w:t>
      </w:r>
      <w:r w:rsidR="00BB78A1" w:rsidRPr="00610B1B">
        <w:rPr>
          <w:rFonts w:ascii="Times New Roman" w:eastAsia="Calibri" w:hAnsi="Times New Roman" w:cs="Times New Roman"/>
          <w:sz w:val="24"/>
          <w:szCs w:val="24"/>
          <w:lang w:val="bg-BG"/>
        </w:rPr>
        <w:t>недвижимите</w:t>
      </w:r>
      <w:r w:rsidRPr="00610B1B">
        <w:rPr>
          <w:rFonts w:ascii="Times New Roman" w:eastAsia="Calibri" w:hAnsi="Times New Roman" w:cs="Times New Roman"/>
          <w:sz w:val="24"/>
          <w:szCs w:val="24"/>
          <w:lang w:val="bg-BG"/>
        </w:rPr>
        <w:t xml:space="preserve"> културни ценности. Вероятно за периода 2020-2021 г. броят на археологически проучваните обекти в крайбрежната зона и под вода ще се намали значително, поради ограничения държавен бюджет и необходимостта от пренасочване на публични ресурси към други дейности. Завършването на вече стартирали </w:t>
      </w:r>
      <w:r w:rsidR="00771593" w:rsidRPr="00610B1B">
        <w:rPr>
          <w:rFonts w:ascii="Times New Roman" w:eastAsia="Calibri" w:hAnsi="Times New Roman" w:cs="Times New Roman"/>
          <w:sz w:val="24"/>
          <w:szCs w:val="24"/>
          <w:lang w:val="bg-BG"/>
        </w:rPr>
        <w:t>проекти</w:t>
      </w:r>
      <w:r w:rsidRPr="00610B1B">
        <w:rPr>
          <w:rFonts w:ascii="Times New Roman" w:eastAsia="Calibri" w:hAnsi="Times New Roman" w:cs="Times New Roman"/>
          <w:sz w:val="24"/>
          <w:szCs w:val="24"/>
          <w:lang w:val="bg-BG"/>
        </w:rPr>
        <w:t xml:space="preserve"> също е под въпрос. Това от своя страна ще спре реализирането на дейностите</w:t>
      </w:r>
      <w:r w:rsidR="00771593" w:rsidRPr="00610B1B">
        <w:rPr>
          <w:rFonts w:ascii="Times New Roman" w:eastAsia="Calibri" w:hAnsi="Times New Roman" w:cs="Times New Roman"/>
          <w:sz w:val="24"/>
          <w:szCs w:val="24"/>
          <w:lang w:val="bg-BG"/>
        </w:rPr>
        <w:t xml:space="preserve"> по </w:t>
      </w:r>
      <w:r w:rsidRPr="00610B1B">
        <w:rPr>
          <w:rFonts w:ascii="Times New Roman" w:eastAsia="Calibri" w:hAnsi="Times New Roman" w:cs="Times New Roman"/>
          <w:sz w:val="24"/>
          <w:szCs w:val="24"/>
          <w:lang w:val="bg-BG"/>
        </w:rPr>
        <w:t xml:space="preserve">консервация, адаптация и социализация на обектите обявени като НКЦ. Периодът обаче е подходящ за финализиране на научни разработки и анализи, посветени на разкритите по археологически път обекти. Подходящ е и за финализиране на дейностите по придобиване на статут на НКЦ, определяне на категория и режими на опазване на чакащи тази защита обекти. </w:t>
      </w:r>
      <w:r w:rsidR="00771593" w:rsidRPr="00610B1B">
        <w:rPr>
          <w:rFonts w:ascii="Times New Roman" w:eastAsia="Calibri" w:hAnsi="Times New Roman" w:cs="Times New Roman"/>
          <w:sz w:val="24"/>
          <w:szCs w:val="24"/>
          <w:lang w:val="bg-BG"/>
        </w:rPr>
        <w:t xml:space="preserve">Бързата </w:t>
      </w:r>
      <w:r w:rsidRPr="00610B1B">
        <w:rPr>
          <w:rFonts w:ascii="Times New Roman" w:eastAsia="Calibri" w:hAnsi="Times New Roman" w:cs="Times New Roman"/>
          <w:sz w:val="24"/>
          <w:szCs w:val="24"/>
          <w:lang w:val="bg-BG"/>
        </w:rPr>
        <w:t>адаптация и действие от страна на институциите, в чиито прерогативи е опазването на недвижимото културно наследство, е наложителна.</w:t>
      </w:r>
      <w:r w:rsidR="00D66FE0" w:rsidRPr="00610B1B">
        <w:rPr>
          <w:rFonts w:ascii="Times New Roman" w:eastAsia="Calibri" w:hAnsi="Times New Roman" w:cs="Times New Roman"/>
          <w:sz w:val="24"/>
          <w:szCs w:val="24"/>
          <w:lang w:val="bg-BG"/>
        </w:rPr>
        <w:t xml:space="preserve"> </w:t>
      </w:r>
    </w:p>
    <w:p w14:paraId="3FFBDC78" w14:textId="0F728B3A" w:rsidR="00FB58CD" w:rsidRPr="00610B1B" w:rsidRDefault="00C9400B" w:rsidP="00D32D6A">
      <w:pPr>
        <w:spacing w:after="120"/>
        <w:ind w:right="-153"/>
        <w:jc w:val="both"/>
        <w:rPr>
          <w:rFonts w:ascii="Times New Roman" w:eastAsia="Calibri" w:hAnsi="Times New Roman" w:cs="Times New Roman"/>
          <w:strike/>
          <w:sz w:val="24"/>
          <w:szCs w:val="24"/>
          <w:lang w:val="bg-BG"/>
        </w:rPr>
      </w:pPr>
      <w:r w:rsidRPr="00610B1B">
        <w:rPr>
          <w:rFonts w:ascii="Times New Roman" w:eastAsia="Calibri" w:hAnsi="Times New Roman" w:cs="Times New Roman"/>
          <w:sz w:val="24"/>
          <w:szCs w:val="24"/>
          <w:lang w:val="bg-BG"/>
        </w:rPr>
        <w:t>Отлагането</w:t>
      </w:r>
      <w:r w:rsidR="00FB58CD" w:rsidRPr="00610B1B">
        <w:rPr>
          <w:rFonts w:ascii="Times New Roman" w:eastAsia="Calibri" w:hAnsi="Times New Roman" w:cs="Times New Roman"/>
          <w:sz w:val="24"/>
          <w:szCs w:val="24"/>
          <w:lang w:val="bg-BG"/>
        </w:rPr>
        <w:t xml:space="preserve"> на планираните консервационно-реставрационни работи (КРР), както и на дейности по адаптация и социализация на обекти, предвид очакваната икономическа криза, ще има негативни последици за наследството. В предстоящите месеци Несебър - единствената НКЦ с категория „световно значение” по Черноморието е застрашен от отнемане на тази категорията, ако не бъдат изпълнени предписанията на ЮНЕСКО за КРР</w:t>
      </w:r>
      <w:r w:rsidR="00771593" w:rsidRPr="00610B1B">
        <w:rPr>
          <w:rFonts w:ascii="Times New Roman" w:eastAsia="Calibri" w:hAnsi="Times New Roman" w:cs="Times New Roman"/>
          <w:sz w:val="24"/>
          <w:szCs w:val="24"/>
          <w:lang w:val="bg-BG"/>
        </w:rPr>
        <w:t xml:space="preserve">, </w:t>
      </w:r>
      <w:r w:rsidR="00FB58CD" w:rsidRPr="00610B1B">
        <w:rPr>
          <w:rFonts w:ascii="Times New Roman" w:eastAsia="Calibri" w:hAnsi="Times New Roman" w:cs="Times New Roman"/>
          <w:sz w:val="24"/>
          <w:szCs w:val="24"/>
          <w:lang w:val="bg-BG"/>
        </w:rPr>
        <w:t>адаптация и социализация на наземни и подводни обекти.</w:t>
      </w:r>
      <w:r w:rsidR="00771593" w:rsidRPr="00610B1B">
        <w:rPr>
          <w:rFonts w:ascii="Times New Roman" w:eastAsia="Calibri" w:hAnsi="Times New Roman" w:cs="Times New Roman"/>
          <w:sz w:val="24"/>
          <w:szCs w:val="24"/>
          <w:lang w:val="bg-BG"/>
        </w:rPr>
        <w:t xml:space="preserve"> </w:t>
      </w:r>
      <w:r w:rsidR="00FB58CD" w:rsidRPr="00610B1B">
        <w:rPr>
          <w:rFonts w:ascii="Times New Roman" w:eastAsia="Calibri" w:hAnsi="Times New Roman" w:cs="Times New Roman"/>
          <w:sz w:val="24"/>
          <w:szCs w:val="24"/>
          <w:lang w:val="bg-BG"/>
        </w:rPr>
        <w:t>Старинен град Несебър логично е приоритет (за държавна</w:t>
      </w:r>
      <w:r w:rsidR="00771593" w:rsidRPr="00610B1B">
        <w:rPr>
          <w:rFonts w:ascii="Times New Roman" w:eastAsia="Calibri" w:hAnsi="Times New Roman" w:cs="Times New Roman"/>
          <w:sz w:val="24"/>
          <w:szCs w:val="24"/>
          <w:lang w:val="bg-BG"/>
        </w:rPr>
        <w:t>та</w:t>
      </w:r>
      <w:r w:rsidR="00FB58CD" w:rsidRPr="00610B1B">
        <w:rPr>
          <w:rFonts w:ascii="Times New Roman" w:eastAsia="Calibri" w:hAnsi="Times New Roman" w:cs="Times New Roman"/>
          <w:sz w:val="24"/>
          <w:szCs w:val="24"/>
          <w:lang w:val="bg-BG"/>
        </w:rPr>
        <w:t xml:space="preserve"> и общинска власт), но за малките, принципно по-бедни черноморски общини, особено в двата противоположни края на бреговата ни ивица, това не е и няма да е приоритет. Част от тези общини стопанисват НКЦ на територията си, но нямат средства за опазването и поддържането им</w:t>
      </w:r>
    </w:p>
    <w:p w14:paraId="674166AC" w14:textId="2B878979" w:rsidR="0084164F" w:rsidRPr="00610B1B" w:rsidRDefault="00FB58CD"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Тъй като кризата засегна най-тежко сектора на туризма, може да се очаква, че броят на посетителите на обекти на културното наследство също ще спадне. Независимо от своята уникалност и ценност, НКЦ разположени по крайбрежието и в акваторията на Черно море, все още са допълващи туристическите услуги, а не първостепенен фактор за привличане на туристи. Това е следствие както от сезонността на туризма по морето, така и от липсата на устойчива политика за популяризиране и целогодишно функциониране на обектите. </w:t>
      </w:r>
      <w:r w:rsidRPr="00610B1B">
        <w:rPr>
          <w:rFonts w:ascii="Times New Roman" w:eastAsia="Calibri" w:hAnsi="Times New Roman" w:cs="Times New Roman"/>
          <w:sz w:val="24"/>
          <w:szCs w:val="24"/>
          <w:lang w:val="bg-BG"/>
        </w:rPr>
        <w:lastRenderedPageBreak/>
        <w:t xml:space="preserve">Проблемът е </w:t>
      </w:r>
      <w:r w:rsidR="00C9400B" w:rsidRPr="00610B1B">
        <w:rPr>
          <w:rFonts w:ascii="Times New Roman" w:eastAsia="Calibri" w:hAnsi="Times New Roman" w:cs="Times New Roman"/>
          <w:sz w:val="24"/>
          <w:szCs w:val="24"/>
          <w:lang w:val="bg-BG"/>
        </w:rPr>
        <w:t>значителен</w:t>
      </w:r>
      <w:r w:rsidRPr="00610B1B">
        <w:rPr>
          <w:rFonts w:ascii="Times New Roman" w:eastAsia="Calibri" w:hAnsi="Times New Roman" w:cs="Times New Roman"/>
          <w:sz w:val="24"/>
          <w:szCs w:val="24"/>
          <w:lang w:val="bg-BG"/>
        </w:rPr>
        <w:t xml:space="preserve">, особено в малките черноморски общини с ограничени ресурси, и поради липсата на адекватни съвременни дейности по адаптация и социализация на НКЦ. От значение е и липсата на </w:t>
      </w:r>
      <w:r w:rsidR="00771593" w:rsidRPr="00610B1B">
        <w:rPr>
          <w:rFonts w:ascii="Times New Roman" w:eastAsia="Calibri" w:hAnsi="Times New Roman" w:cs="Times New Roman"/>
          <w:sz w:val="24"/>
          <w:szCs w:val="24"/>
          <w:lang w:val="bg-BG"/>
        </w:rPr>
        <w:t>нов</w:t>
      </w:r>
      <w:r w:rsidRPr="00610B1B">
        <w:rPr>
          <w:rFonts w:ascii="Times New Roman" w:eastAsia="Calibri" w:hAnsi="Times New Roman" w:cs="Times New Roman"/>
          <w:sz w:val="24"/>
          <w:szCs w:val="24"/>
          <w:lang w:val="bg-BG"/>
        </w:rPr>
        <w:t xml:space="preserve"> тип интерактивни музеи и интерпретационни центрове, които адекватно на уникалността на НКЦ да представят наземното и подводното културно наследство. </w:t>
      </w:r>
      <w:r w:rsidR="00C9400B" w:rsidRPr="00610B1B">
        <w:rPr>
          <w:rFonts w:ascii="Times New Roman" w:eastAsia="Calibri" w:hAnsi="Times New Roman" w:cs="Times New Roman"/>
          <w:sz w:val="24"/>
          <w:szCs w:val="24"/>
          <w:lang w:val="bg-BG"/>
        </w:rPr>
        <w:t>Т</w:t>
      </w:r>
      <w:r w:rsidRPr="00610B1B">
        <w:rPr>
          <w:rFonts w:ascii="Times New Roman" w:eastAsia="Calibri" w:hAnsi="Times New Roman" w:cs="Times New Roman"/>
          <w:sz w:val="24"/>
          <w:szCs w:val="24"/>
          <w:lang w:val="bg-BG"/>
        </w:rPr>
        <w:t>е ще обогатя</w:t>
      </w:r>
      <w:r w:rsidR="00770DBA" w:rsidRPr="00610B1B">
        <w:rPr>
          <w:rFonts w:ascii="Times New Roman" w:eastAsia="Calibri" w:hAnsi="Times New Roman" w:cs="Times New Roman"/>
          <w:sz w:val="24"/>
          <w:szCs w:val="24"/>
          <w:lang w:val="bg-BG"/>
        </w:rPr>
        <w:t>т</w:t>
      </w:r>
      <w:r w:rsidRPr="00610B1B">
        <w:rPr>
          <w:rFonts w:ascii="Times New Roman" w:eastAsia="Calibri" w:hAnsi="Times New Roman" w:cs="Times New Roman"/>
          <w:sz w:val="24"/>
          <w:szCs w:val="24"/>
          <w:lang w:val="bg-BG"/>
        </w:rPr>
        <w:t xml:space="preserve"> туристическото предлагане по Черноморието, ще подпомогнат развитието на целогодишен туризъм и създаването на атрактивни работни места, ще повишат общото знание за българската история и култура. </w:t>
      </w:r>
    </w:p>
    <w:p w14:paraId="09B1A441" w14:textId="77777777" w:rsidR="009907CE" w:rsidRPr="00610B1B" w:rsidRDefault="009907CE" w:rsidP="00D32D6A">
      <w:pPr>
        <w:spacing w:after="120"/>
        <w:ind w:right="-153"/>
        <w:jc w:val="both"/>
        <w:rPr>
          <w:rFonts w:ascii="Times New Roman" w:eastAsia="Calibri" w:hAnsi="Times New Roman" w:cs="Times New Roman"/>
          <w:sz w:val="24"/>
          <w:szCs w:val="24"/>
          <w:lang w:val="bg-BG"/>
        </w:rPr>
      </w:pPr>
    </w:p>
    <w:p w14:paraId="6DD6CD90" w14:textId="560FC94D" w:rsidR="00FB58CD" w:rsidRPr="00610B1B" w:rsidRDefault="00FB58CD" w:rsidP="00D32D6A">
      <w:pPr>
        <w:pStyle w:val="Heading3"/>
        <w:spacing w:before="0" w:line="276" w:lineRule="auto"/>
        <w:ind w:right="-153"/>
        <w:rPr>
          <w:rFonts w:cs="Times New Roman"/>
        </w:rPr>
      </w:pPr>
      <w:bookmarkStart w:id="436" w:name="_Toc83391417"/>
      <w:r w:rsidRPr="00610B1B">
        <w:rPr>
          <w:rFonts w:cs="Times New Roman"/>
        </w:rPr>
        <w:t>4.</w:t>
      </w:r>
      <w:r w:rsidR="009278D0" w:rsidRPr="00610B1B">
        <w:rPr>
          <w:rFonts w:cs="Times New Roman"/>
        </w:rPr>
        <w:t>2</w:t>
      </w:r>
      <w:r w:rsidRPr="00610B1B">
        <w:rPr>
          <w:rFonts w:cs="Times New Roman"/>
        </w:rPr>
        <w:t>.10. Прогнозно развитие на дейностите по опазване на околната среда</w:t>
      </w:r>
      <w:bookmarkEnd w:id="436"/>
    </w:p>
    <w:p w14:paraId="662C44E8" w14:textId="3D6119DE" w:rsidR="00C4204D" w:rsidRPr="00610B1B" w:rsidRDefault="00C4204D"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Сценариите за промените в климата, разработени от Междуправителствения панел за климатични промени (Intergovernmental Panel on Climate Change, IPCC), предвиждат повишаване на средногодишната температура на въздуха в България и региона в дългосрочен план. През 2017</w:t>
      </w:r>
      <w:r w:rsidR="00770DBA" w:rsidRPr="00610B1B">
        <w:rPr>
          <w:rFonts w:ascii="Times New Roman" w:hAnsi="Times New Roman" w:cs="Times New Roman"/>
          <w:bCs/>
          <w:sz w:val="24"/>
          <w:szCs w:val="24"/>
          <w:lang w:val="bg-BG"/>
        </w:rPr>
        <w:t xml:space="preserve"> г.</w:t>
      </w:r>
      <w:r w:rsidRPr="00610B1B">
        <w:rPr>
          <w:rFonts w:ascii="Times New Roman" w:hAnsi="Times New Roman" w:cs="Times New Roman"/>
          <w:bCs/>
          <w:sz w:val="24"/>
          <w:szCs w:val="24"/>
          <w:lang w:val="bg-BG"/>
        </w:rPr>
        <w:t xml:space="preserve"> температурната аномалия на водната повърхност е с 0.292 ± 0.001°C над средната за периода 1993-2014 г., а нивото на Черно море се повишава средно с 2.32 mm/година през периода 1993-2019 г. (CMEMS, 2020). Натиск върху морската екосистема оказва и намаляването на дълбочината на обитаемия аеробен слой от 140 m на 90 m (CMEMS, 2019). Може да се очаква, че при запазване на тези тенденции, същите изменения ще се наблюдават и в бъдеще. Прогнозните модели разработени от Съвместния изследователски център (Joint Research Center) към ЕК предвиждат морските и речни наводнения да засегнат ниските територии в крайбрежните черноморски общини, увеличавайки размерите на щетите, разходите за брегозащита, защитата срещу наводнения и интрузия на солени морски води</w:t>
      </w:r>
      <w:r w:rsidRPr="00610B1B">
        <w:rPr>
          <w:rStyle w:val="FootnoteReference"/>
          <w:rFonts w:ascii="Times New Roman" w:hAnsi="Times New Roman" w:cs="Times New Roman"/>
          <w:bCs/>
          <w:sz w:val="24"/>
          <w:szCs w:val="24"/>
          <w:lang w:val="bg-BG"/>
        </w:rPr>
        <w:footnoteReference w:id="171"/>
      </w:r>
      <w:r w:rsidRPr="00610B1B">
        <w:rPr>
          <w:rFonts w:ascii="Times New Roman" w:hAnsi="Times New Roman" w:cs="Times New Roman"/>
          <w:bCs/>
          <w:sz w:val="24"/>
          <w:szCs w:val="24"/>
          <w:lang w:val="bg-BG"/>
        </w:rPr>
        <w:t>.</w:t>
      </w:r>
    </w:p>
    <w:p w14:paraId="4B5C7509" w14:textId="0D8BA467" w:rsidR="00C4204D" w:rsidRPr="00610B1B" w:rsidRDefault="00C4204D"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В условията на глобални изменения, очакваното развитие на дейностите е в съответствие с приетата Морска стратегия на Република България и Програмата от мерки. Дейностите по опазване на околната среда ще се насочат към намаляване на замърсяващите вещества, твърдите отпадъци и подводния шум до нива, които не увреждат морските организми и екосистеми. Това ще доведе до подобряване на състоянието на морската среда и намаляване на риска за човешкото здраве, повишаване на биологичното разнообразие и рационалното използване на морските ресурси.</w:t>
      </w:r>
    </w:p>
    <w:p w14:paraId="3502C4AB" w14:textId="7388336F" w:rsidR="00C4204D" w:rsidRPr="00610B1B" w:rsidRDefault="00C4204D"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Ще бъдат въведени ефективни мерки за намаляване на навлизането на неместни видове чрез контрол на баластните води от корабите. Въпреки това, повишаването на средната годишна температура на морските води ще създаде условия за развитие на топлолюбиви чужди видове, някои от които инвазивни. Това ще доведе до непредвидими промени в морските екосистеми, подобни на наблюдаваните в Черно море през 1970 - </w:t>
      </w:r>
      <w:r w:rsidR="00B4146C" w:rsidRPr="00610B1B">
        <w:rPr>
          <w:rFonts w:ascii="Times New Roman" w:hAnsi="Times New Roman" w:cs="Times New Roman"/>
          <w:bCs/>
          <w:sz w:val="24"/>
          <w:szCs w:val="24"/>
          <w:lang w:val="bg-BG"/>
        </w:rPr>
        <w:t>19</w:t>
      </w:r>
      <w:r w:rsidRPr="00610B1B">
        <w:rPr>
          <w:rFonts w:ascii="Times New Roman" w:hAnsi="Times New Roman" w:cs="Times New Roman"/>
          <w:bCs/>
          <w:sz w:val="24"/>
          <w:szCs w:val="24"/>
          <w:lang w:val="bg-BG"/>
        </w:rPr>
        <w:t>80-те години (Daskalov et al., 2007). Постигането и поддържането на високо биологично разнообразие е естествена бариера срещу инвази</w:t>
      </w:r>
      <w:r w:rsidR="00B36ECD" w:rsidRPr="00610B1B">
        <w:rPr>
          <w:rFonts w:ascii="Times New Roman" w:hAnsi="Times New Roman" w:cs="Times New Roman"/>
          <w:bCs/>
          <w:sz w:val="24"/>
          <w:szCs w:val="24"/>
          <w:lang w:val="bg-BG"/>
        </w:rPr>
        <w:t>вн</w:t>
      </w:r>
      <w:r w:rsidRPr="00610B1B">
        <w:rPr>
          <w:rFonts w:ascii="Times New Roman" w:hAnsi="Times New Roman" w:cs="Times New Roman"/>
          <w:bCs/>
          <w:sz w:val="24"/>
          <w:szCs w:val="24"/>
          <w:lang w:val="bg-BG"/>
        </w:rPr>
        <w:t>и</w:t>
      </w:r>
      <w:r w:rsidR="00B36ECD" w:rsidRPr="00610B1B">
        <w:rPr>
          <w:rFonts w:ascii="Times New Roman" w:hAnsi="Times New Roman" w:cs="Times New Roman"/>
          <w:bCs/>
          <w:sz w:val="24"/>
          <w:szCs w:val="24"/>
          <w:lang w:val="bg-BG"/>
        </w:rPr>
        <w:t xml:space="preserve"> видове</w:t>
      </w:r>
      <w:r w:rsidRPr="00610B1B">
        <w:rPr>
          <w:rFonts w:ascii="Times New Roman" w:hAnsi="Times New Roman" w:cs="Times New Roman"/>
          <w:bCs/>
          <w:sz w:val="24"/>
          <w:szCs w:val="24"/>
          <w:lang w:val="bg-BG"/>
        </w:rPr>
        <w:t>, тъй като ниското биологично разнообразие означава незаети екологични ниши, които винаги се запълват.</w:t>
      </w:r>
    </w:p>
    <w:p w14:paraId="463FAB43" w14:textId="660DF8C7" w:rsidR="00C4204D" w:rsidRPr="00610B1B" w:rsidRDefault="00C4204D"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lastRenderedPageBreak/>
        <w:t>Важна дейност ще бъде максимално</w:t>
      </w:r>
      <w:r w:rsidR="00C5300D" w:rsidRPr="00610B1B">
        <w:rPr>
          <w:rFonts w:ascii="Times New Roman" w:hAnsi="Times New Roman" w:cs="Times New Roman"/>
          <w:bCs/>
          <w:sz w:val="24"/>
          <w:szCs w:val="24"/>
          <w:lang w:val="bg-BG"/>
        </w:rPr>
        <w:t>то</w:t>
      </w:r>
      <w:r w:rsidRPr="00610B1B">
        <w:rPr>
          <w:rFonts w:ascii="Times New Roman" w:hAnsi="Times New Roman" w:cs="Times New Roman"/>
          <w:bCs/>
          <w:sz w:val="24"/>
          <w:szCs w:val="24"/>
          <w:lang w:val="bg-BG"/>
        </w:rPr>
        <w:t xml:space="preserve"> ограничаване на притока на замърсяващи вещества в българския сектор на Черно море. Най-важни действия по крайбрежието в краткосрочен план са изграждането и модернизацията на съществуващите ПСОВ и канализационни системи и включването на всички населени места и курортни обекти към тях. Необходимо е ограничаване на постъпването на замърсяващи вещества от водосборната област, морския транспорт и чрез атмосферата. Това включва и въвеждането на ефективни земеделски практики за намаляване на водната и ветрова ерозия на водосбора, които са предвидени в Плана за управление на речните басейни и неговата актуализация. Ще се прекрати дълбоководното заустване като начин за изместване на проблема със замърсяването от крайбрежните екосистеми върху екосистемите на шелфа, където то не се вижда, но съществува.</w:t>
      </w:r>
    </w:p>
    <w:p w14:paraId="139A0CB3" w14:textId="66E49958" w:rsidR="00C4204D" w:rsidRPr="00610B1B" w:rsidRDefault="00C4204D"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Необходимо е засилване на превантивната дейност и контрола за недопускане на аварийни разливи на замърсяващи вещества в морските пространства от кораби и съоръжения за проучване и добив на нефт и газ, за да се предотвратят неконтролируемите нефтени разливи.</w:t>
      </w:r>
    </w:p>
    <w:p w14:paraId="17E5DCF6" w14:textId="7884216D" w:rsidR="00C4204D" w:rsidRPr="00610B1B" w:rsidRDefault="00C4204D"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Ще се засили контрола над </w:t>
      </w:r>
      <w:r w:rsidR="00DD6CD4" w:rsidRPr="00610B1B">
        <w:rPr>
          <w:rFonts w:ascii="Times New Roman" w:hAnsi="Times New Roman" w:cs="Times New Roman"/>
          <w:bCs/>
          <w:sz w:val="24"/>
          <w:szCs w:val="24"/>
          <w:lang w:val="bg-BG"/>
        </w:rPr>
        <w:t>стопанския риболов</w:t>
      </w:r>
      <w:r w:rsidRPr="00610B1B">
        <w:rPr>
          <w:rFonts w:ascii="Times New Roman" w:hAnsi="Times New Roman" w:cs="Times New Roman"/>
          <w:bCs/>
          <w:sz w:val="24"/>
          <w:szCs w:val="24"/>
          <w:lang w:val="bg-BG"/>
        </w:rPr>
        <w:t xml:space="preserve">, нерегламентирания, неконтролиран и нерегистриран риболов, както и на нецелевия улов чрез използването на по-екологични риболовни уреди и техники, които не увреждат дънните местообитания. Контролът може да се подобри и чрез прилагане на иновативни и достъпни методи за регистрация на риболовната активност (de Souza et al., 2016). Това ще допринесе за възстановяване на рибните запаси поне до нивата на максималния устойчив улов. Положителният икономически ефект ще бъде възстановяването на традиционния и </w:t>
      </w:r>
      <w:r w:rsidR="00DD6CD4" w:rsidRPr="00610B1B">
        <w:rPr>
          <w:rFonts w:ascii="Times New Roman" w:hAnsi="Times New Roman" w:cs="Times New Roman"/>
          <w:bCs/>
          <w:sz w:val="24"/>
          <w:szCs w:val="24"/>
          <w:lang w:val="bg-BG"/>
        </w:rPr>
        <w:t>стопански риболов</w:t>
      </w:r>
      <w:r w:rsidRPr="00610B1B">
        <w:rPr>
          <w:rFonts w:ascii="Times New Roman" w:hAnsi="Times New Roman" w:cs="Times New Roman"/>
          <w:bCs/>
          <w:sz w:val="24"/>
          <w:szCs w:val="24"/>
          <w:lang w:val="bg-BG"/>
        </w:rPr>
        <w:t xml:space="preserve"> в рамките на естествената способност за самовъзстановяване на популации</w:t>
      </w:r>
      <w:r w:rsidR="0005519C" w:rsidRPr="00610B1B">
        <w:rPr>
          <w:rFonts w:ascii="Times New Roman" w:hAnsi="Times New Roman" w:cs="Times New Roman"/>
          <w:bCs/>
          <w:sz w:val="24"/>
          <w:szCs w:val="24"/>
          <w:lang w:val="bg-BG"/>
        </w:rPr>
        <w:t>те</w:t>
      </w:r>
      <w:r w:rsidRPr="00610B1B">
        <w:rPr>
          <w:rFonts w:ascii="Times New Roman" w:hAnsi="Times New Roman" w:cs="Times New Roman"/>
          <w:bCs/>
          <w:sz w:val="24"/>
          <w:szCs w:val="24"/>
          <w:lang w:val="bg-BG"/>
        </w:rPr>
        <w:t>. Морските аквакултури ще осигурят допълнителен източник на морски храни, което ще намали натиска и ще ускори възстановяването на популациите на рибните и нерибни видове.</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Ще се търсят възможности за съвместно използване на морск</w:t>
      </w:r>
      <w:r w:rsidR="0075098D" w:rsidRPr="00610B1B">
        <w:rPr>
          <w:rFonts w:ascii="Times New Roman" w:hAnsi="Times New Roman" w:cs="Times New Roman"/>
          <w:bCs/>
          <w:sz w:val="24"/>
          <w:szCs w:val="24"/>
          <w:lang w:val="bg-BG"/>
        </w:rPr>
        <w:t>ите</w:t>
      </w:r>
      <w:r w:rsidRPr="00610B1B">
        <w:rPr>
          <w:rFonts w:ascii="Times New Roman" w:hAnsi="Times New Roman" w:cs="Times New Roman"/>
          <w:bCs/>
          <w:sz w:val="24"/>
          <w:szCs w:val="24"/>
          <w:lang w:val="bg-BG"/>
        </w:rPr>
        <w:t xml:space="preserve"> пространств</w:t>
      </w:r>
      <w:r w:rsidR="0075098D" w:rsidRPr="00610B1B">
        <w:rPr>
          <w:rFonts w:ascii="Times New Roman" w:hAnsi="Times New Roman" w:cs="Times New Roman"/>
          <w:bCs/>
          <w:sz w:val="24"/>
          <w:szCs w:val="24"/>
          <w:lang w:val="bg-BG"/>
        </w:rPr>
        <w:t>а</w:t>
      </w:r>
      <w:r w:rsidRPr="00610B1B">
        <w:rPr>
          <w:rFonts w:ascii="Times New Roman" w:hAnsi="Times New Roman" w:cs="Times New Roman"/>
          <w:bCs/>
          <w:sz w:val="24"/>
          <w:szCs w:val="24"/>
          <w:lang w:val="bg-BG"/>
        </w:rPr>
        <w:t xml:space="preserve"> за аквакултури, с което се постига едновременно биоремедиация и брегозащита по аналог с</w:t>
      </w:r>
      <w:r w:rsidR="0005519C" w:rsidRPr="00610B1B">
        <w:rPr>
          <w:rFonts w:ascii="Times New Roman" w:hAnsi="Times New Roman" w:cs="Times New Roman"/>
          <w:bCs/>
          <w:sz w:val="24"/>
          <w:szCs w:val="24"/>
          <w:lang w:val="bg-BG"/>
        </w:rPr>
        <w:t>ъс</w:t>
      </w:r>
      <w:r w:rsidRPr="00610B1B">
        <w:rPr>
          <w:rFonts w:ascii="Times New Roman" w:hAnsi="Times New Roman" w:cs="Times New Roman"/>
          <w:bCs/>
          <w:sz w:val="24"/>
          <w:szCs w:val="24"/>
          <w:lang w:val="bg-BG"/>
        </w:rPr>
        <w:t xml:space="preserve"> съществуващи примери от световната практика (Buck et al., 2017).</w:t>
      </w:r>
    </w:p>
    <w:p w14:paraId="685A8A1A" w14:textId="38681B1D" w:rsidR="00C4204D" w:rsidRPr="00610B1B" w:rsidRDefault="00C4204D"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Определянето на зоните за изграждане на брегозащитни и пристанищни съоръжения ще</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се извършва след предварителна оценка на въздействието върху околната среда, включваща числено моделиране на хидродинамичните и литодинамичните процеси. Това ще позволи избор на оптимални технически решения, които не водят до необратими хидрологични и морфологични изменения в дългосрочен план. Ще се поощрява изкуствено подхранване на плажните ивици с пясъчни наноси като екологична алтернатива и естествен метод за борба с основната причина за абразията - наносния дефицит в бреговата зона. Възстановяването на ширината на плажните ивици и образуването им там, където липсват, ще намали разходите за изграждане и поддръжка на традиционни брегозащитни съоръжения (буни и дамби). Те са доказано неефективни като бре</w:t>
      </w:r>
      <w:r w:rsidR="005A3291" w:rsidRPr="00610B1B">
        <w:rPr>
          <w:rFonts w:ascii="Times New Roman" w:hAnsi="Times New Roman" w:cs="Times New Roman"/>
          <w:bCs/>
          <w:sz w:val="24"/>
          <w:szCs w:val="24"/>
          <w:lang w:val="bg-BG"/>
        </w:rPr>
        <w:t>гозащитни съоръжения в цял свят, а също и по б</w:t>
      </w:r>
      <w:r w:rsidRPr="00610B1B">
        <w:rPr>
          <w:rFonts w:ascii="Times New Roman" w:hAnsi="Times New Roman" w:cs="Times New Roman"/>
          <w:bCs/>
          <w:sz w:val="24"/>
          <w:szCs w:val="24"/>
          <w:lang w:val="bg-BG"/>
        </w:rPr>
        <w:t>ългарското Черноморско крайбрежие</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(Марински, 1998, 2006; Д. Пърличев, 1985; Д. Пърличев, Николчев, 1989; Станчева, 2005, 2008). Ще се търсят решения, близки до естествения крайбрежен ландшафт, </w:t>
      </w:r>
      <w:r w:rsidR="00C5300D" w:rsidRPr="00610B1B">
        <w:rPr>
          <w:rFonts w:ascii="Times New Roman" w:hAnsi="Times New Roman" w:cs="Times New Roman"/>
          <w:bCs/>
          <w:sz w:val="24"/>
          <w:szCs w:val="24"/>
          <w:lang w:val="bg-BG"/>
        </w:rPr>
        <w:t xml:space="preserve">които се </w:t>
      </w:r>
      <w:r w:rsidRPr="00610B1B">
        <w:rPr>
          <w:rFonts w:ascii="Times New Roman" w:hAnsi="Times New Roman" w:cs="Times New Roman"/>
          <w:bCs/>
          <w:sz w:val="24"/>
          <w:szCs w:val="24"/>
          <w:lang w:val="bg-BG"/>
        </w:rPr>
        <w:t xml:space="preserve">сливат с него </w:t>
      </w:r>
      <w:r w:rsidR="004F3AE8" w:rsidRPr="00610B1B">
        <w:rPr>
          <w:rFonts w:ascii="Times New Roman" w:hAnsi="Times New Roman" w:cs="Times New Roman"/>
          <w:bCs/>
          <w:sz w:val="24"/>
          <w:szCs w:val="24"/>
          <w:lang w:val="bg-BG"/>
        </w:rPr>
        <w:t>и</w:t>
      </w:r>
      <w:r w:rsidRPr="00610B1B">
        <w:rPr>
          <w:rFonts w:ascii="Times New Roman" w:hAnsi="Times New Roman" w:cs="Times New Roman"/>
          <w:bCs/>
          <w:sz w:val="24"/>
          <w:szCs w:val="24"/>
          <w:lang w:val="bg-BG"/>
        </w:rPr>
        <w:t xml:space="preserve"> оказват минимално отрицателно въздействие върху естествена</w:t>
      </w:r>
      <w:r w:rsidR="005A3291" w:rsidRPr="00610B1B">
        <w:rPr>
          <w:rFonts w:ascii="Times New Roman" w:hAnsi="Times New Roman" w:cs="Times New Roman"/>
          <w:bCs/>
          <w:sz w:val="24"/>
          <w:szCs w:val="24"/>
          <w:lang w:val="bg-BG"/>
        </w:rPr>
        <w:t>та му</w:t>
      </w:r>
      <w:r w:rsidRPr="00610B1B">
        <w:rPr>
          <w:rFonts w:ascii="Times New Roman" w:hAnsi="Times New Roman" w:cs="Times New Roman"/>
          <w:bCs/>
          <w:sz w:val="24"/>
          <w:szCs w:val="24"/>
          <w:lang w:val="bg-BG"/>
        </w:rPr>
        <w:t xml:space="preserve"> привлекателност като туристически ресурс</w:t>
      </w:r>
      <w:r w:rsidR="00C5300D"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w:t>
      </w:r>
      <w:r w:rsidR="004F3AE8" w:rsidRPr="00610B1B">
        <w:rPr>
          <w:rFonts w:ascii="Times New Roman" w:hAnsi="Times New Roman" w:cs="Times New Roman"/>
          <w:bCs/>
          <w:sz w:val="24"/>
          <w:szCs w:val="24"/>
          <w:lang w:val="bg-BG"/>
        </w:rPr>
        <w:t>без да</w:t>
      </w:r>
      <w:r w:rsidRPr="00610B1B">
        <w:rPr>
          <w:rFonts w:ascii="Times New Roman" w:hAnsi="Times New Roman" w:cs="Times New Roman"/>
          <w:bCs/>
          <w:sz w:val="24"/>
          <w:szCs w:val="24"/>
          <w:lang w:val="bg-BG"/>
        </w:rPr>
        <w:t xml:space="preserve"> създават опасност при достъпа на </w:t>
      </w:r>
      <w:r w:rsidRPr="00610B1B">
        <w:rPr>
          <w:rFonts w:ascii="Times New Roman" w:hAnsi="Times New Roman" w:cs="Times New Roman"/>
          <w:bCs/>
          <w:sz w:val="24"/>
          <w:szCs w:val="24"/>
          <w:lang w:val="bg-BG"/>
        </w:rPr>
        <w:lastRenderedPageBreak/>
        <w:t>хората до морето. Ще се преустанови безконтролното брегозащитно и пристанищно строителство, което ще допринесе за постигане на целите за опазване на медиолиторалните местообитания, определени в Морската стратегия на Р</w:t>
      </w:r>
      <w:r w:rsidR="00B4146C" w:rsidRPr="00610B1B">
        <w:rPr>
          <w:rFonts w:ascii="Times New Roman" w:hAnsi="Times New Roman" w:cs="Times New Roman"/>
          <w:bCs/>
          <w:sz w:val="24"/>
          <w:szCs w:val="24"/>
          <w:lang w:val="bg-BG"/>
        </w:rPr>
        <w:t>.</w:t>
      </w:r>
      <w:r w:rsidRPr="00610B1B">
        <w:rPr>
          <w:rFonts w:ascii="Times New Roman" w:hAnsi="Times New Roman" w:cs="Times New Roman"/>
          <w:bCs/>
          <w:sz w:val="24"/>
          <w:szCs w:val="24"/>
          <w:lang w:val="bg-BG"/>
        </w:rPr>
        <w:t xml:space="preserve"> България. В резултат, възстановяването и увеличаването на ширината на плажните ивици ще се създад</w:t>
      </w:r>
      <w:r w:rsidR="004F3AE8" w:rsidRPr="00610B1B">
        <w:rPr>
          <w:rFonts w:ascii="Times New Roman" w:hAnsi="Times New Roman" w:cs="Times New Roman"/>
          <w:bCs/>
          <w:sz w:val="24"/>
          <w:szCs w:val="24"/>
          <w:lang w:val="bg-BG"/>
        </w:rPr>
        <w:t>ат</w:t>
      </w:r>
      <w:r w:rsidRPr="00610B1B">
        <w:rPr>
          <w:rFonts w:ascii="Times New Roman" w:hAnsi="Times New Roman" w:cs="Times New Roman"/>
          <w:bCs/>
          <w:sz w:val="24"/>
          <w:szCs w:val="24"/>
          <w:lang w:val="bg-BG"/>
        </w:rPr>
        <w:t xml:space="preserve"> условия за синерги</w:t>
      </w:r>
      <w:r w:rsidR="004F3AE8" w:rsidRPr="00610B1B">
        <w:rPr>
          <w:rFonts w:ascii="Times New Roman" w:hAnsi="Times New Roman" w:cs="Times New Roman"/>
          <w:bCs/>
          <w:sz w:val="24"/>
          <w:szCs w:val="24"/>
          <w:lang w:val="bg-BG"/>
        </w:rPr>
        <w:t>я</w:t>
      </w:r>
      <w:r w:rsidRPr="00610B1B">
        <w:rPr>
          <w:rFonts w:ascii="Times New Roman" w:hAnsi="Times New Roman" w:cs="Times New Roman"/>
          <w:bCs/>
          <w:sz w:val="24"/>
          <w:szCs w:val="24"/>
          <w:lang w:val="bg-BG"/>
        </w:rPr>
        <w:t xml:space="preserve"> между брегозащитата и крайбрежния туризъм.</w:t>
      </w:r>
    </w:p>
    <w:p w14:paraId="7471053F" w14:textId="57DEDDB2" w:rsidR="00C4204D" w:rsidRPr="00610B1B" w:rsidRDefault="00C4204D"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Ще се приложи екосистемен подход, който използва биогеохимичния кръговрат на въглерода в крайбрежните екосистеми – скални рифове, пясъчни и тинести местообитания в плитководието, пясъчни дюни и крайбрежни влажни зони на сушата, които са естествени резервоари за атмосферния въглероден диоксид, чието възстановяване ще допринесе за смекчаване на </w:t>
      </w:r>
      <w:r w:rsidR="004F3AE8" w:rsidRPr="00610B1B">
        <w:rPr>
          <w:rFonts w:ascii="Times New Roman" w:hAnsi="Times New Roman" w:cs="Times New Roman"/>
          <w:bCs/>
          <w:sz w:val="24"/>
          <w:szCs w:val="24"/>
          <w:lang w:val="bg-BG"/>
        </w:rPr>
        <w:t xml:space="preserve">глобалното </w:t>
      </w:r>
      <w:r w:rsidRPr="00610B1B">
        <w:rPr>
          <w:rFonts w:ascii="Times New Roman" w:hAnsi="Times New Roman" w:cs="Times New Roman"/>
          <w:bCs/>
          <w:sz w:val="24"/>
          <w:szCs w:val="24"/>
          <w:lang w:val="bg-BG"/>
        </w:rPr>
        <w:t xml:space="preserve">затопляне. Ще се намали натиска върху крайбрежните местообитания на морското скално и пясъчно дъно, възстановявайки естествената способност на брега да се защитава от ерозия чрез биологичната продуктивност </w:t>
      </w:r>
      <w:r w:rsidR="005A3291" w:rsidRPr="00610B1B">
        <w:rPr>
          <w:rFonts w:ascii="Times New Roman" w:hAnsi="Times New Roman" w:cs="Times New Roman"/>
          <w:bCs/>
          <w:sz w:val="24"/>
          <w:szCs w:val="24"/>
          <w:lang w:val="bg-BG"/>
        </w:rPr>
        <w:t xml:space="preserve">на </w:t>
      </w:r>
      <w:r w:rsidRPr="00610B1B">
        <w:rPr>
          <w:rFonts w:ascii="Times New Roman" w:hAnsi="Times New Roman" w:cs="Times New Roman"/>
          <w:bCs/>
          <w:sz w:val="24"/>
          <w:szCs w:val="24"/>
          <w:lang w:val="bg-BG"/>
        </w:rPr>
        <w:t>карбонатните черупчести организми. Те са естествени филтратори на морската води и източник на наноси за подхранване на пясъчните плажове там, където има условия за развитие</w:t>
      </w:r>
      <w:r w:rsidR="004F3AE8" w:rsidRPr="00610B1B">
        <w:rPr>
          <w:rFonts w:ascii="Times New Roman" w:hAnsi="Times New Roman" w:cs="Times New Roman"/>
          <w:bCs/>
          <w:sz w:val="24"/>
          <w:szCs w:val="24"/>
          <w:lang w:val="bg-BG"/>
        </w:rPr>
        <w:t>то им</w:t>
      </w:r>
      <w:r w:rsidRPr="00610B1B">
        <w:rPr>
          <w:rFonts w:ascii="Times New Roman" w:hAnsi="Times New Roman" w:cs="Times New Roman"/>
          <w:bCs/>
          <w:sz w:val="24"/>
          <w:szCs w:val="24"/>
          <w:lang w:val="bg-BG"/>
        </w:rPr>
        <w:t xml:space="preserve">. </w:t>
      </w:r>
      <w:r w:rsidR="005A3291" w:rsidRPr="00610B1B">
        <w:rPr>
          <w:rFonts w:ascii="Times New Roman" w:hAnsi="Times New Roman" w:cs="Times New Roman"/>
          <w:bCs/>
          <w:sz w:val="24"/>
          <w:szCs w:val="24"/>
          <w:lang w:val="bg-BG"/>
        </w:rPr>
        <w:t>Доказана е значителната роля на к</w:t>
      </w:r>
      <w:r w:rsidRPr="00610B1B">
        <w:rPr>
          <w:rFonts w:ascii="Times New Roman" w:hAnsi="Times New Roman" w:cs="Times New Roman"/>
          <w:bCs/>
          <w:sz w:val="24"/>
          <w:szCs w:val="24"/>
          <w:lang w:val="bg-BG"/>
        </w:rPr>
        <w:t>арбонатни</w:t>
      </w:r>
      <w:r w:rsidR="005A3291" w:rsidRPr="00610B1B">
        <w:rPr>
          <w:rFonts w:ascii="Times New Roman" w:hAnsi="Times New Roman" w:cs="Times New Roman"/>
          <w:bCs/>
          <w:sz w:val="24"/>
          <w:szCs w:val="24"/>
          <w:lang w:val="bg-BG"/>
        </w:rPr>
        <w:t>те</w:t>
      </w:r>
      <w:r w:rsidRPr="00610B1B">
        <w:rPr>
          <w:rFonts w:ascii="Times New Roman" w:hAnsi="Times New Roman" w:cs="Times New Roman"/>
          <w:bCs/>
          <w:sz w:val="24"/>
          <w:szCs w:val="24"/>
          <w:lang w:val="bg-BG"/>
        </w:rPr>
        <w:t xml:space="preserve"> плажове от биогенен произход</w:t>
      </w:r>
      <w:r w:rsidR="005A3291" w:rsidRPr="00610B1B">
        <w:rPr>
          <w:rFonts w:ascii="Times New Roman" w:hAnsi="Times New Roman" w:cs="Times New Roman"/>
          <w:bCs/>
          <w:sz w:val="24"/>
          <w:szCs w:val="24"/>
          <w:lang w:val="bg-BG"/>
        </w:rPr>
        <w:t>, които съществуват в света,</w:t>
      </w:r>
      <w:r w:rsidRPr="00610B1B">
        <w:rPr>
          <w:rFonts w:ascii="Times New Roman" w:hAnsi="Times New Roman" w:cs="Times New Roman"/>
          <w:bCs/>
          <w:sz w:val="24"/>
          <w:szCs w:val="24"/>
          <w:lang w:val="bg-BG"/>
        </w:rPr>
        <w:t xml:space="preserve"> в баланса на наносите в бреговата зона на Черно море</w:t>
      </w:r>
      <w:r w:rsidR="005A3291"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включително и по </w:t>
      </w:r>
      <w:r w:rsidR="00B4146C" w:rsidRPr="00610B1B">
        <w:rPr>
          <w:rFonts w:ascii="Times New Roman" w:hAnsi="Times New Roman" w:cs="Times New Roman"/>
          <w:bCs/>
          <w:sz w:val="24"/>
          <w:szCs w:val="24"/>
          <w:lang w:val="bg-BG"/>
        </w:rPr>
        <w:t xml:space="preserve">българското </w:t>
      </w:r>
      <w:r w:rsidRPr="00610B1B">
        <w:rPr>
          <w:rFonts w:ascii="Times New Roman" w:hAnsi="Times New Roman" w:cs="Times New Roman"/>
          <w:bCs/>
          <w:sz w:val="24"/>
          <w:szCs w:val="24"/>
          <w:lang w:val="bg-BG"/>
        </w:rPr>
        <w:t>Черноморско крайбрежие (Дачев, Чернева, 1979; Попов, Мишев, 1974; Рождественски, 1967). По-екологични брегозащитни съоръжения (биоинженерни, инженерно-биологични) ще използват естествения процес на секвестиране на атмосферния въглероден диоксид по веригата фитопланктон-зообентос, съчетавайки вълногасящия ефект на подводните вълноломи с биопродуктивността на естествените скални рифове, осигурявайки екосистемни услуги като биосеквестиране на разтворения в морската вода атмосферен въглероден диоксид, биофилтрация и плажообразуване (Parlichev, 2000; Parlichev &amp; Parlichev, 2003; Пърличев, 2011). Последното ще допринесе за възстановяване на карбонатните пясъчни плажове северно от н</w:t>
      </w:r>
      <w:r w:rsidR="004F3AE8" w:rsidRPr="00610B1B">
        <w:rPr>
          <w:rFonts w:ascii="Times New Roman" w:hAnsi="Times New Roman" w:cs="Times New Roman"/>
          <w:bCs/>
          <w:sz w:val="24"/>
          <w:szCs w:val="24"/>
          <w:lang w:val="bg-BG"/>
        </w:rPr>
        <w:t>ос</w:t>
      </w:r>
      <w:r w:rsidRPr="00610B1B">
        <w:rPr>
          <w:rFonts w:ascii="Times New Roman" w:hAnsi="Times New Roman" w:cs="Times New Roman"/>
          <w:bCs/>
          <w:sz w:val="24"/>
          <w:szCs w:val="24"/>
          <w:lang w:val="bg-BG"/>
        </w:rPr>
        <w:t xml:space="preserve"> Калиакра и южно от гр. Созопол.</w:t>
      </w:r>
    </w:p>
    <w:p w14:paraId="2EE3411E" w14:textId="5DC3A6DA" w:rsidR="00C4204D" w:rsidRPr="00610B1B" w:rsidRDefault="00C4204D"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Ще се преразгледат зоните за депониране на драгирани инертни материали на шелфа, което води до затрупване на дънните местообитания</w:t>
      </w:r>
      <w:r w:rsidR="004F3AE8"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 xml:space="preserve">на шелфови местообитания, които имат важно значение за биологичната продуктивност, биоразнообразието и за риболова на някои </w:t>
      </w:r>
      <w:r w:rsidR="00C415D1" w:rsidRPr="00610B1B">
        <w:rPr>
          <w:rFonts w:ascii="Times New Roman" w:hAnsi="Times New Roman" w:cs="Times New Roman"/>
          <w:bCs/>
          <w:sz w:val="24"/>
          <w:szCs w:val="24"/>
          <w:lang w:val="bg-BG"/>
        </w:rPr>
        <w:t>стопанско</w:t>
      </w:r>
      <w:r w:rsidRPr="00610B1B">
        <w:rPr>
          <w:rFonts w:ascii="Times New Roman" w:hAnsi="Times New Roman" w:cs="Times New Roman"/>
          <w:bCs/>
          <w:sz w:val="24"/>
          <w:szCs w:val="24"/>
          <w:lang w:val="bg-BG"/>
        </w:rPr>
        <w:t xml:space="preserve"> ценни дънни видове риби, </w:t>
      </w:r>
      <w:r w:rsidR="004F3AE8" w:rsidRPr="00610B1B">
        <w:rPr>
          <w:rFonts w:ascii="Times New Roman" w:hAnsi="Times New Roman" w:cs="Times New Roman"/>
          <w:bCs/>
          <w:sz w:val="24"/>
          <w:szCs w:val="24"/>
          <w:lang w:val="bg-BG"/>
        </w:rPr>
        <w:t>като</w:t>
      </w:r>
      <w:r w:rsidRPr="00610B1B">
        <w:rPr>
          <w:rFonts w:ascii="Times New Roman" w:hAnsi="Times New Roman" w:cs="Times New Roman"/>
          <w:bCs/>
          <w:sz w:val="24"/>
          <w:szCs w:val="24"/>
          <w:lang w:val="bg-BG"/>
        </w:rPr>
        <w:t xml:space="preserve"> калкана. Съществува възможност за синерги</w:t>
      </w:r>
      <w:r w:rsidR="005A3291" w:rsidRPr="00610B1B">
        <w:rPr>
          <w:rFonts w:ascii="Times New Roman" w:hAnsi="Times New Roman" w:cs="Times New Roman"/>
          <w:bCs/>
          <w:sz w:val="24"/>
          <w:szCs w:val="24"/>
          <w:lang w:val="bg-BG"/>
        </w:rPr>
        <w:t>я</w:t>
      </w:r>
      <w:r w:rsidRPr="00610B1B">
        <w:rPr>
          <w:rFonts w:ascii="Times New Roman" w:hAnsi="Times New Roman" w:cs="Times New Roman"/>
          <w:bCs/>
          <w:sz w:val="24"/>
          <w:szCs w:val="24"/>
          <w:lang w:val="bg-BG"/>
        </w:rPr>
        <w:t xml:space="preserve"> между пристанищните дейности, по-конкретно драгирането и депонирането, и брегозащитата. Драгираните материали могат </w:t>
      </w:r>
      <w:r w:rsidR="005A3291" w:rsidRPr="00610B1B">
        <w:rPr>
          <w:rFonts w:ascii="Times New Roman" w:hAnsi="Times New Roman" w:cs="Times New Roman"/>
          <w:bCs/>
          <w:sz w:val="24"/>
          <w:szCs w:val="24"/>
          <w:lang w:val="bg-BG"/>
        </w:rPr>
        <w:t xml:space="preserve">да се </w:t>
      </w:r>
      <w:r w:rsidRPr="00610B1B">
        <w:rPr>
          <w:rFonts w:ascii="Times New Roman" w:hAnsi="Times New Roman" w:cs="Times New Roman"/>
          <w:bCs/>
          <w:sz w:val="24"/>
          <w:szCs w:val="24"/>
          <w:lang w:val="bg-BG"/>
        </w:rPr>
        <w:t>оползотворяват като източник на наноси за изкуствено подхранване на пясъчните плажове</w:t>
      </w:r>
      <w:r w:rsidR="0066785F" w:rsidRPr="00610B1B">
        <w:rPr>
          <w:rFonts w:ascii="Times New Roman" w:hAnsi="Times New Roman" w:cs="Times New Roman"/>
          <w:bCs/>
          <w:sz w:val="24"/>
          <w:szCs w:val="24"/>
          <w:lang w:val="bg-BG"/>
        </w:rPr>
        <w:t xml:space="preserve"> </w:t>
      </w:r>
      <w:r w:rsidR="002F2988" w:rsidRPr="00610B1B">
        <w:rPr>
          <w:rFonts w:ascii="Times New Roman" w:hAnsi="Times New Roman" w:cs="Times New Roman"/>
          <w:bCs/>
          <w:sz w:val="24"/>
          <w:szCs w:val="24"/>
          <w:lang w:val="bg-BG"/>
        </w:rPr>
        <w:t xml:space="preserve">и за зелена инфраструктура, </w:t>
      </w:r>
      <w:r w:rsidRPr="00610B1B">
        <w:rPr>
          <w:rFonts w:ascii="Times New Roman" w:hAnsi="Times New Roman" w:cs="Times New Roman"/>
          <w:bCs/>
          <w:sz w:val="24"/>
          <w:szCs w:val="24"/>
          <w:lang w:val="bg-BG"/>
        </w:rPr>
        <w:t>следвайки добрите практики в световната брегозащита с акцент върху решения, работещи с природата (STOWA, 2020)</w:t>
      </w:r>
      <w:r w:rsidR="0050183D" w:rsidRPr="00610B1B">
        <w:rPr>
          <w:rStyle w:val="FootnoteReference"/>
          <w:rFonts w:ascii="Times New Roman" w:hAnsi="Times New Roman" w:cs="Times New Roman"/>
          <w:bCs/>
          <w:sz w:val="24"/>
          <w:szCs w:val="24"/>
          <w:lang w:val="bg-BG"/>
        </w:rPr>
        <w:footnoteReference w:id="172"/>
      </w:r>
      <w:r w:rsidRPr="00610B1B">
        <w:rPr>
          <w:rFonts w:ascii="Times New Roman" w:hAnsi="Times New Roman" w:cs="Times New Roman"/>
          <w:bCs/>
          <w:sz w:val="24"/>
          <w:szCs w:val="24"/>
          <w:lang w:val="bg-BG"/>
        </w:rPr>
        <w:t>. Така ще се прекрати текущото увреждане поради затрупване на дънните местообитания на шелфа и ще се осигури потенциален източник за изкуствено подхранване на плажните ивици</w:t>
      </w:r>
      <w:r w:rsidR="004F3AE8" w:rsidRPr="00610B1B">
        <w:rPr>
          <w:rFonts w:ascii="Times New Roman" w:hAnsi="Times New Roman" w:cs="Times New Roman"/>
          <w:bCs/>
          <w:sz w:val="24"/>
          <w:szCs w:val="24"/>
          <w:lang w:val="bg-BG"/>
        </w:rPr>
        <w:t xml:space="preserve"> при изчерпване на </w:t>
      </w:r>
      <w:r w:rsidRPr="00610B1B">
        <w:rPr>
          <w:rFonts w:ascii="Times New Roman" w:hAnsi="Times New Roman" w:cs="Times New Roman"/>
          <w:bCs/>
          <w:sz w:val="24"/>
          <w:szCs w:val="24"/>
          <w:lang w:val="bg-BG"/>
        </w:rPr>
        <w:t>съществуващите източници на наноси</w:t>
      </w:r>
      <w:r w:rsidR="004F3AE8" w:rsidRPr="00610B1B">
        <w:rPr>
          <w:rFonts w:ascii="Times New Roman" w:hAnsi="Times New Roman" w:cs="Times New Roman"/>
          <w:bCs/>
          <w:sz w:val="24"/>
          <w:szCs w:val="24"/>
          <w:lang w:val="bg-BG"/>
        </w:rPr>
        <w:t xml:space="preserve">. </w:t>
      </w:r>
    </w:p>
    <w:p w14:paraId="181F10E8" w14:textId="4A249E05" w:rsidR="001514E1" w:rsidRPr="00610B1B" w:rsidRDefault="00C4204D" w:rsidP="00D32D6A">
      <w:pPr>
        <w:spacing w:after="120"/>
        <w:ind w:right="-153"/>
        <w:jc w:val="both"/>
        <w:rPr>
          <w:rFonts w:ascii="Times New Roman" w:hAnsi="Times New Roman" w:cs="Times New Roman"/>
          <w:bCs/>
          <w:sz w:val="24"/>
          <w:szCs w:val="24"/>
          <w:lang w:val="bg-BG"/>
        </w:rPr>
      </w:pPr>
      <w:r w:rsidRPr="00610B1B">
        <w:rPr>
          <w:rFonts w:ascii="Times New Roman" w:hAnsi="Times New Roman" w:cs="Times New Roman"/>
          <w:bCs/>
          <w:sz w:val="24"/>
          <w:szCs w:val="24"/>
          <w:lang w:val="bg-BG"/>
        </w:rPr>
        <w:t xml:space="preserve">Ще се приложи Регионален план за действие за Черно море по отношение на морските отпадъци. Ще се </w:t>
      </w:r>
      <w:r w:rsidR="00B4146C" w:rsidRPr="00610B1B">
        <w:rPr>
          <w:rFonts w:ascii="Times New Roman" w:hAnsi="Times New Roman" w:cs="Times New Roman"/>
          <w:bCs/>
          <w:sz w:val="24"/>
          <w:szCs w:val="24"/>
          <w:lang w:val="bg-BG"/>
        </w:rPr>
        <w:t xml:space="preserve">картографира подводния шум и ще се </w:t>
      </w:r>
      <w:r w:rsidRPr="00610B1B">
        <w:rPr>
          <w:rFonts w:ascii="Times New Roman" w:hAnsi="Times New Roman" w:cs="Times New Roman"/>
          <w:bCs/>
          <w:sz w:val="24"/>
          <w:szCs w:val="24"/>
          <w:lang w:val="bg-BG"/>
        </w:rPr>
        <w:t xml:space="preserve">предприемат действия за </w:t>
      </w:r>
      <w:r w:rsidRPr="00610B1B">
        <w:rPr>
          <w:rFonts w:ascii="Times New Roman" w:hAnsi="Times New Roman" w:cs="Times New Roman"/>
          <w:bCs/>
          <w:sz w:val="24"/>
          <w:szCs w:val="24"/>
          <w:lang w:val="bg-BG"/>
        </w:rPr>
        <w:lastRenderedPageBreak/>
        <w:t>ограничаване</w:t>
      </w:r>
      <w:r w:rsidR="00B4146C" w:rsidRPr="00610B1B">
        <w:rPr>
          <w:rFonts w:ascii="Times New Roman" w:hAnsi="Times New Roman" w:cs="Times New Roman"/>
          <w:bCs/>
          <w:sz w:val="24"/>
          <w:szCs w:val="24"/>
          <w:lang w:val="bg-BG"/>
        </w:rPr>
        <w:t xml:space="preserve">то му </w:t>
      </w:r>
      <w:r w:rsidRPr="00610B1B">
        <w:rPr>
          <w:rFonts w:ascii="Times New Roman" w:hAnsi="Times New Roman" w:cs="Times New Roman"/>
          <w:bCs/>
          <w:sz w:val="24"/>
          <w:szCs w:val="24"/>
          <w:lang w:val="bg-BG"/>
        </w:rPr>
        <w:t>в морската среда от различни източници.</w:t>
      </w:r>
      <w:r w:rsidR="004F3AE8"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Ще се подкрепя</w:t>
      </w:r>
      <w:r w:rsidR="00D66FE0" w:rsidRPr="00610B1B">
        <w:rPr>
          <w:rFonts w:ascii="Times New Roman" w:hAnsi="Times New Roman" w:cs="Times New Roman"/>
          <w:bCs/>
          <w:sz w:val="24"/>
          <w:szCs w:val="24"/>
          <w:lang w:val="bg-BG"/>
        </w:rPr>
        <w:t xml:space="preserve"> </w:t>
      </w:r>
      <w:r w:rsidRPr="00610B1B">
        <w:rPr>
          <w:rFonts w:ascii="Times New Roman" w:hAnsi="Times New Roman" w:cs="Times New Roman"/>
          <w:bCs/>
          <w:sz w:val="24"/>
          <w:szCs w:val="24"/>
          <w:lang w:val="bg-BG"/>
        </w:rPr>
        <w:t>провеждането на годишни кампании за повишаване на осведомеността на заинтересованите страни по отношение на последствията от неустойчивите човешки дейности върху морската околна среда и ще се посочат нови възможности за по-екологично развитие на Синята икономика, в съответствие с визията и целите на Морския пространствен план и Морската стратегия на Република България.</w:t>
      </w:r>
    </w:p>
    <w:p w14:paraId="44B3D36B" w14:textId="77777777" w:rsidR="005A3291" w:rsidRPr="00610B1B" w:rsidRDefault="005A3291" w:rsidP="00D32D6A">
      <w:pPr>
        <w:spacing w:after="120"/>
        <w:ind w:right="-153"/>
        <w:jc w:val="both"/>
        <w:rPr>
          <w:rFonts w:ascii="Times New Roman" w:eastAsia="Calibri" w:hAnsi="Times New Roman" w:cs="Times New Roman"/>
          <w:strike/>
          <w:color w:val="FF0000"/>
          <w:sz w:val="24"/>
          <w:szCs w:val="24"/>
          <w:lang w:val="bg-BG"/>
        </w:rPr>
      </w:pPr>
    </w:p>
    <w:p w14:paraId="5B7D00E2" w14:textId="43051F6A" w:rsidR="00442579" w:rsidRPr="00610B1B" w:rsidRDefault="00EC20C3" w:rsidP="00D32D6A">
      <w:pPr>
        <w:pStyle w:val="Heading2"/>
        <w:spacing w:before="0" w:line="276" w:lineRule="auto"/>
        <w:ind w:right="-153"/>
        <w:rPr>
          <w:rFonts w:cs="Times New Roman"/>
        </w:rPr>
      </w:pPr>
      <w:bookmarkStart w:id="437" w:name="_Toc83391418"/>
      <w:r w:rsidRPr="00610B1B">
        <w:rPr>
          <w:rFonts w:cs="Times New Roman"/>
        </w:rPr>
        <w:t>4.</w:t>
      </w:r>
      <w:r w:rsidR="009278D0" w:rsidRPr="00610B1B">
        <w:rPr>
          <w:rFonts w:cs="Times New Roman"/>
        </w:rPr>
        <w:t>3</w:t>
      </w:r>
      <w:r w:rsidRPr="00610B1B">
        <w:rPr>
          <w:rFonts w:cs="Times New Roman"/>
        </w:rPr>
        <w:t xml:space="preserve">. </w:t>
      </w:r>
      <w:r w:rsidR="007F718F" w:rsidRPr="00610B1B">
        <w:rPr>
          <w:rFonts w:cs="Times New Roman"/>
        </w:rPr>
        <w:t>Прогнозни с</w:t>
      </w:r>
      <w:r w:rsidR="00442579" w:rsidRPr="00610B1B">
        <w:rPr>
          <w:rFonts w:cs="Times New Roman"/>
        </w:rPr>
        <w:t>ценарии и модели за устойчи</w:t>
      </w:r>
      <w:r w:rsidR="00D0096F" w:rsidRPr="00610B1B">
        <w:rPr>
          <w:rFonts w:cs="Times New Roman"/>
        </w:rPr>
        <w:t>во развитие и опазване на морски</w:t>
      </w:r>
      <w:r w:rsidR="00442579" w:rsidRPr="00610B1B">
        <w:rPr>
          <w:rFonts w:cs="Times New Roman"/>
        </w:rPr>
        <w:t>т</w:t>
      </w:r>
      <w:r w:rsidR="00D0096F" w:rsidRPr="00610B1B">
        <w:rPr>
          <w:rFonts w:cs="Times New Roman"/>
        </w:rPr>
        <w:t>е</w:t>
      </w:r>
      <w:r w:rsidR="00442579" w:rsidRPr="00610B1B">
        <w:rPr>
          <w:rFonts w:cs="Times New Roman"/>
        </w:rPr>
        <w:t xml:space="preserve"> пространств</w:t>
      </w:r>
      <w:r w:rsidR="00D0096F" w:rsidRPr="00610B1B">
        <w:rPr>
          <w:rFonts w:cs="Times New Roman"/>
        </w:rPr>
        <w:t>а</w:t>
      </w:r>
      <w:bookmarkEnd w:id="437"/>
      <w:r w:rsidR="00442579" w:rsidRPr="00610B1B">
        <w:rPr>
          <w:rFonts w:cs="Times New Roman"/>
        </w:rPr>
        <w:t xml:space="preserve"> </w:t>
      </w:r>
    </w:p>
    <w:p w14:paraId="74FD2957" w14:textId="13DC9119"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Изграждането на сценариите</w:t>
      </w:r>
      <w:r w:rsidR="00D66FE0" w:rsidRPr="00610B1B">
        <w:rPr>
          <w:rFonts w:ascii="Times New Roman" w:eastAsia="Calibri" w:hAnsi="Times New Roman" w:cs="Times New Roman"/>
          <w:bCs/>
          <w:color w:val="000000" w:themeColor="text1"/>
          <w:sz w:val="24"/>
          <w:szCs w:val="24"/>
          <w:lang w:val="bg-BG"/>
        </w:rPr>
        <w:t xml:space="preserve"> </w:t>
      </w:r>
      <w:r w:rsidR="005828EF" w:rsidRPr="00610B1B">
        <w:rPr>
          <w:rFonts w:ascii="Times New Roman" w:eastAsia="Calibri" w:hAnsi="Times New Roman" w:cs="Times New Roman"/>
          <w:bCs/>
          <w:color w:val="000000" w:themeColor="text1"/>
          <w:sz w:val="24"/>
          <w:szCs w:val="24"/>
          <w:lang w:val="bg-BG"/>
        </w:rPr>
        <w:t xml:space="preserve">в морския пространствен план </w:t>
      </w:r>
      <w:r w:rsidRPr="00610B1B">
        <w:rPr>
          <w:rFonts w:ascii="Times New Roman" w:eastAsia="Calibri" w:hAnsi="Times New Roman" w:cs="Times New Roman"/>
          <w:bCs/>
          <w:color w:val="000000" w:themeColor="text1"/>
          <w:sz w:val="24"/>
          <w:szCs w:val="24"/>
          <w:lang w:val="bg-BG"/>
        </w:rPr>
        <w:t xml:space="preserve">се базира на идентифицираните възможни посоки на развитие в зависимост от определящите фактори (движещи сили), които влияят на морските ресурси и пространствените ползвания, както и на икономическите дейности, свързани с морето. Различните политики и обществени приоритети са конфронтиращи се избори за развитие. </w:t>
      </w:r>
    </w:p>
    <w:p w14:paraId="2F27F22E" w14:textId="7DF5119F"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При разглеждането на контекст</w:t>
      </w:r>
      <w:r w:rsidR="00E07025" w:rsidRPr="00610B1B">
        <w:rPr>
          <w:rFonts w:ascii="Times New Roman" w:eastAsia="Calibri" w:hAnsi="Times New Roman" w:cs="Times New Roman"/>
          <w:bCs/>
          <w:color w:val="000000" w:themeColor="text1"/>
          <w:sz w:val="24"/>
          <w:szCs w:val="24"/>
          <w:lang w:val="bg-BG"/>
        </w:rPr>
        <w:t>а</w:t>
      </w:r>
      <w:r w:rsidRPr="00610B1B">
        <w:rPr>
          <w:rFonts w:ascii="Times New Roman" w:eastAsia="Calibri" w:hAnsi="Times New Roman" w:cs="Times New Roman"/>
          <w:bCs/>
          <w:color w:val="000000" w:themeColor="text1"/>
          <w:sz w:val="24"/>
          <w:szCs w:val="24"/>
          <w:lang w:val="bg-BG"/>
        </w:rPr>
        <w:t xml:space="preserve"> на устойчивото развитие в различни сценари</w:t>
      </w:r>
      <w:r w:rsidR="0084164F" w:rsidRPr="00610B1B">
        <w:rPr>
          <w:rFonts w:ascii="Times New Roman" w:eastAsia="Calibri" w:hAnsi="Times New Roman" w:cs="Times New Roman"/>
          <w:bCs/>
          <w:color w:val="000000" w:themeColor="text1"/>
          <w:sz w:val="24"/>
          <w:szCs w:val="24"/>
          <w:lang w:val="bg-BG"/>
        </w:rPr>
        <w:t>и</w:t>
      </w:r>
      <w:r w:rsidRPr="00610B1B">
        <w:rPr>
          <w:rFonts w:ascii="Times New Roman" w:eastAsia="Calibri" w:hAnsi="Times New Roman" w:cs="Times New Roman"/>
          <w:bCs/>
          <w:color w:val="000000" w:themeColor="text1"/>
          <w:sz w:val="24"/>
          <w:szCs w:val="24"/>
          <w:lang w:val="bg-BG"/>
        </w:rPr>
        <w:t>, посветени на икономическия растеж, на опазването на морските екосистеми и на социалния просперитет, се използват методи, прилагани при контекстуалните сценарии. Последните до голяма степен са описателни и използват прогнозиране, изследват взаимодействия и оценяват въздействия. Базирани на политиката за постигане на бъдещото желано развитие, в разработените сценарии присъстват елементи и от политически сценарии, които определят насоките за промяна на политическата и нормативна рамка на морското пространствено планиране.</w:t>
      </w:r>
      <w:r w:rsidR="00D66FE0" w:rsidRPr="00610B1B">
        <w:rPr>
          <w:rFonts w:ascii="Times New Roman" w:eastAsia="Calibri" w:hAnsi="Times New Roman" w:cs="Times New Roman"/>
          <w:bCs/>
          <w:color w:val="000000" w:themeColor="text1"/>
          <w:sz w:val="24"/>
          <w:szCs w:val="24"/>
          <w:lang w:val="bg-BG"/>
        </w:rPr>
        <w:t xml:space="preserve"> </w:t>
      </w:r>
    </w:p>
    <w:p w14:paraId="2A82A70E"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Отправна плоскост на бъдещия МППРБ е устойчивото развитие и екосистемните услуги. Същата платформа се използва и за изграждането на възможните сценарии за развитие. Трите опорни точки на устойчивото развитие (икономическа, социална и екологична) са основа за три различни сценария, във всеки от които е приоритизиран съответен аспект:</w:t>
      </w:r>
    </w:p>
    <w:p w14:paraId="714F7D7A" w14:textId="77777777" w:rsidR="0055674E" w:rsidRPr="00610B1B" w:rsidRDefault="0055674E" w:rsidP="00B46189">
      <w:pPr>
        <w:numPr>
          <w:ilvl w:val="0"/>
          <w:numId w:val="33"/>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Сценарий A – Икономически растеж;</w:t>
      </w:r>
    </w:p>
    <w:p w14:paraId="118DB6C5" w14:textId="77777777" w:rsidR="0055674E" w:rsidRPr="00610B1B" w:rsidRDefault="0055674E" w:rsidP="00B46189">
      <w:pPr>
        <w:numPr>
          <w:ilvl w:val="0"/>
          <w:numId w:val="33"/>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Сценарий В – Екология; </w:t>
      </w:r>
    </w:p>
    <w:p w14:paraId="04A96A61" w14:textId="77777777" w:rsidR="0055674E" w:rsidRPr="00610B1B" w:rsidRDefault="0055674E" w:rsidP="00B46189">
      <w:pPr>
        <w:numPr>
          <w:ilvl w:val="0"/>
          <w:numId w:val="33"/>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Сценарий С – Социално равновесие.</w:t>
      </w:r>
    </w:p>
    <w:p w14:paraId="7262B14D"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Тези три сценария биха могли да се изградят и приложат чрез ясно подчертан секторен подход. Това е и масовата настояща практика в развитието на морските ползвания и съответните им сектори. В конкретния случай, за целите на морското пространствено планиране и в трите сценария са интерпретирани елементи от трите аспекта – икономически, социален или екологичен, но с доминираща роля на един от тях. </w:t>
      </w:r>
    </w:p>
    <w:p w14:paraId="4F38BB4D" w14:textId="3329D4A2"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Макар и с повече съвместни усилия, е възможен и нов, средови подход, постигащ консенсус за крайната цел „устойчива морска екосистема“ още на ниво „сценарий“. Така се стига до четвърти сценарий за постигане на устойчиво развитие. Прилагането му изисква промени в ценностни системи, промени във фокуса и целите на планирането. В днешната ситуация на преструктуриране след пандемия и трудно прогнозируема </w:t>
      </w:r>
      <w:r w:rsidRPr="00610B1B">
        <w:rPr>
          <w:rFonts w:ascii="Times New Roman" w:eastAsia="Calibri" w:hAnsi="Times New Roman" w:cs="Times New Roman"/>
          <w:bCs/>
          <w:color w:val="000000" w:themeColor="text1"/>
          <w:sz w:val="24"/>
          <w:szCs w:val="24"/>
          <w:lang w:val="bg-BG"/>
        </w:rPr>
        <w:lastRenderedPageBreak/>
        <w:t>икономическа криза, нараства вероятността за постигане на такъв сценарий, чиято оценка за реализуемост би била много по-ниска в началото на 2020 г.</w:t>
      </w:r>
    </w:p>
    <w:p w14:paraId="4E765B34"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Ако се направи допускане, че във времевия хоризонт на бъдещия МППРБ нито една секторна политика или фактор няма да оказват съществено въздействие върху сегашните ползвания на морското пространство, ще бъде налице и нулев сценарий или „нулева алтернатива“, която експертите задължително оценяват в Екологичната оценка.</w:t>
      </w:r>
    </w:p>
    <w:p w14:paraId="2D95B8C0"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За да се постигне правдоподобност и реализуемост, в следващите стъпки по изграждането на сценариите са извършени: </w:t>
      </w:r>
    </w:p>
    <w:p w14:paraId="63DD75F0" w14:textId="77777777" w:rsidR="0055674E" w:rsidRPr="00610B1B" w:rsidRDefault="0055674E" w:rsidP="00B46189">
      <w:pPr>
        <w:numPr>
          <w:ilvl w:val="0"/>
          <w:numId w:val="18"/>
        </w:numPr>
        <w:spacing w:after="120"/>
        <w:ind w:left="360"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Анализ на факторите</w:t>
      </w:r>
      <w:r w:rsidRPr="00610B1B">
        <w:rPr>
          <w:rFonts w:ascii="Times New Roman" w:eastAsia="Calibri" w:hAnsi="Times New Roman" w:cs="Times New Roman"/>
          <w:bCs/>
          <w:color w:val="000000" w:themeColor="text1"/>
          <w:sz w:val="24"/>
          <w:szCs w:val="24"/>
          <w:lang w:val="bg-BG"/>
        </w:rPr>
        <w:t xml:space="preserve"> (движещите сили), определящи развитието – социално-икономическите предпоставки за промени (пространствени, количествени и качествени) в ползванията на морските пространства, както и свързаните с тези промени тенденции на развитие. Анализът отчита актуалните цели на ангажираните секторни политики и потенциалите за развитие на съответните сектори;</w:t>
      </w:r>
    </w:p>
    <w:p w14:paraId="4202705F" w14:textId="66CF0C1D" w:rsidR="0055674E" w:rsidRPr="00610B1B" w:rsidRDefault="0055674E" w:rsidP="00B46189">
      <w:pPr>
        <w:numPr>
          <w:ilvl w:val="0"/>
          <w:numId w:val="18"/>
        </w:numPr>
        <w:spacing w:after="120"/>
        <w:ind w:left="360"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Оценка на ограничителите</w:t>
      </w:r>
      <w:r w:rsidRPr="00610B1B">
        <w:rPr>
          <w:rFonts w:ascii="Times New Roman" w:eastAsia="Calibri" w:hAnsi="Times New Roman" w:cs="Times New Roman"/>
          <w:bCs/>
          <w:color w:val="000000" w:themeColor="text1"/>
          <w:sz w:val="24"/>
          <w:szCs w:val="24"/>
          <w:lang w:val="bg-BG"/>
        </w:rPr>
        <w:t xml:space="preserve"> за ползване на морските пространства – правна рамка, природни условия, морски ресурси, устойчивост на екосистемите (необходимост от опазване на чувствителните/уязвимите и ценните в екологично отношение), пространствено разграничаване на несъвместими функции (например платформи за добив на нефт/газ и коридори с интензивно корабоплаване или военни полигони);</w:t>
      </w:r>
    </w:p>
    <w:p w14:paraId="729DD3D6" w14:textId="1571D684" w:rsidR="0055674E" w:rsidRPr="00610B1B" w:rsidRDefault="0055674E" w:rsidP="00B46189">
      <w:pPr>
        <w:numPr>
          <w:ilvl w:val="0"/>
          <w:numId w:val="18"/>
        </w:numPr>
        <w:spacing w:after="120"/>
        <w:ind w:left="360"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Консултации със заинтересованите страни</w:t>
      </w:r>
      <w:r w:rsidRPr="00610B1B">
        <w:rPr>
          <w:rFonts w:ascii="Times New Roman" w:eastAsia="Calibri" w:hAnsi="Times New Roman" w:cs="Times New Roman"/>
          <w:bCs/>
          <w:color w:val="000000" w:themeColor="text1"/>
          <w:sz w:val="24"/>
          <w:szCs w:val="24"/>
          <w:lang w:val="bg-BG"/>
        </w:rPr>
        <w:t xml:space="preserve"> – всички възможни форми в условията на извънредно положение и използване на резултатите от дълбочинното интервю</w:t>
      </w:r>
      <w:r w:rsidR="00E07927" w:rsidRPr="00610B1B">
        <w:rPr>
          <w:rFonts w:ascii="Times New Roman" w:eastAsia="Calibri" w:hAnsi="Times New Roman" w:cs="Times New Roman"/>
          <w:bCs/>
          <w:color w:val="000000" w:themeColor="text1"/>
          <w:sz w:val="24"/>
          <w:szCs w:val="24"/>
          <w:lang w:val="bg-BG"/>
        </w:rPr>
        <w:t xml:space="preserve"> и от интердисциплинарния семинар.</w:t>
      </w:r>
    </w:p>
    <w:p w14:paraId="043D4B13" w14:textId="6DB139F2" w:rsidR="003E6FF9" w:rsidRPr="00610B1B" w:rsidRDefault="003E6FF9"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Всички сценарии и предвидените дейности се съобразяват с Методиката за оценка и картиране на състоянието на морските екосистеми и техните услуги в България (Част Б9)</w:t>
      </w:r>
      <w:r w:rsidR="001A1698" w:rsidRPr="00610B1B">
        <w:rPr>
          <w:rStyle w:val="FootnoteReference"/>
          <w:rFonts w:ascii="Times New Roman" w:eastAsia="Calibri" w:hAnsi="Times New Roman" w:cs="Times New Roman"/>
          <w:bCs/>
          <w:color w:val="000000" w:themeColor="text1"/>
          <w:sz w:val="24"/>
          <w:szCs w:val="24"/>
          <w:lang w:val="bg-BG"/>
        </w:rPr>
        <w:footnoteReference w:id="173"/>
      </w:r>
      <w:r w:rsidR="001A1698" w:rsidRPr="00610B1B">
        <w:rPr>
          <w:rFonts w:ascii="Times New Roman" w:eastAsia="Calibri" w:hAnsi="Times New Roman" w:cs="Times New Roman"/>
          <w:bCs/>
          <w:color w:val="000000" w:themeColor="text1"/>
          <w:sz w:val="24"/>
          <w:szCs w:val="24"/>
          <w:lang w:val="bg-BG"/>
        </w:rPr>
        <w:t>, съгласно която морските екосистеми са класифицирани в 4 подкласа - морски заливи и преходни води; крайбрежни зони;</w:t>
      </w:r>
      <w:r w:rsidR="00D66FE0" w:rsidRPr="00610B1B">
        <w:rPr>
          <w:rFonts w:ascii="Times New Roman" w:eastAsia="Calibri" w:hAnsi="Times New Roman" w:cs="Times New Roman"/>
          <w:bCs/>
          <w:color w:val="000000" w:themeColor="text1"/>
          <w:sz w:val="24"/>
          <w:szCs w:val="24"/>
          <w:lang w:val="bg-BG"/>
        </w:rPr>
        <w:t xml:space="preserve"> </w:t>
      </w:r>
      <w:r w:rsidR="001A1698" w:rsidRPr="00610B1B">
        <w:rPr>
          <w:rFonts w:ascii="Times New Roman" w:eastAsia="Calibri" w:hAnsi="Times New Roman" w:cs="Times New Roman"/>
          <w:bCs/>
          <w:color w:val="000000" w:themeColor="text1"/>
          <w:sz w:val="24"/>
          <w:szCs w:val="24"/>
          <w:lang w:val="bg-BG"/>
        </w:rPr>
        <w:t>шелф и открито море. Това съвпада с подхода в Морския пространствен план на Р. България</w:t>
      </w:r>
      <w:r w:rsidRPr="00610B1B">
        <w:rPr>
          <w:rFonts w:ascii="Times New Roman" w:eastAsia="Calibri" w:hAnsi="Times New Roman" w:cs="Times New Roman"/>
          <w:bCs/>
          <w:color w:val="000000" w:themeColor="text1"/>
          <w:sz w:val="24"/>
          <w:szCs w:val="24"/>
          <w:lang w:val="bg-BG"/>
        </w:rPr>
        <w:t xml:space="preserve">. </w:t>
      </w:r>
    </w:p>
    <w:p w14:paraId="63ABCC58" w14:textId="4E98632F" w:rsidR="00566026" w:rsidRPr="00610B1B" w:rsidRDefault="0055674E" w:rsidP="003F3C59">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Последната стъпка в изграждането на сценариите е осигуряването на обективна възможност за оценяването им, преди да се пристъпи към избор на оптимален сценарий. Такава възможност се дава чрез подбор на ключови социално-икономически и екологични индикатори за съответните въздействия на различните сценарии. Тъй като водеща роля има екосистемният подход и опазването на морската околна среда, тези индикатори могат да бъдат насочени именно към тази предварителна оценка</w:t>
      </w:r>
      <w:r w:rsidR="003F3C59" w:rsidRPr="00610B1B">
        <w:rPr>
          <w:rFonts w:ascii="Times New Roman" w:eastAsia="Calibri" w:hAnsi="Times New Roman" w:cs="Times New Roman"/>
          <w:bCs/>
          <w:color w:val="000000" w:themeColor="text1"/>
          <w:sz w:val="24"/>
          <w:szCs w:val="24"/>
          <w:lang w:val="bg-BG"/>
        </w:rPr>
        <w:t>.</w:t>
      </w:r>
    </w:p>
    <w:p w14:paraId="4721EFB2" w14:textId="77777777" w:rsidR="003F3C59" w:rsidRPr="00610B1B" w:rsidRDefault="003F3C59" w:rsidP="003F3C59">
      <w:pPr>
        <w:spacing w:after="120"/>
        <w:ind w:right="-153"/>
        <w:jc w:val="both"/>
        <w:rPr>
          <w:rStyle w:val="Heading3Char"/>
          <w:rFonts w:eastAsia="Calibri" w:cs="Times New Roman"/>
          <w:b w:val="0"/>
          <w:color w:val="000000" w:themeColor="text1"/>
          <w:sz w:val="24"/>
          <w:szCs w:val="24"/>
        </w:rPr>
      </w:pPr>
    </w:p>
    <w:p w14:paraId="5C148F99" w14:textId="413DE0CA" w:rsidR="0055674E" w:rsidRPr="00610B1B" w:rsidRDefault="0055674E" w:rsidP="00D32D6A">
      <w:pPr>
        <w:pStyle w:val="Heading3"/>
        <w:spacing w:before="0" w:line="276" w:lineRule="auto"/>
        <w:ind w:right="-153"/>
        <w:rPr>
          <w:rFonts w:eastAsia="Calibri" w:cs="Times New Roman"/>
          <w:b w:val="0"/>
          <w:color w:val="000000" w:themeColor="text1"/>
          <w:sz w:val="24"/>
          <w:szCs w:val="24"/>
        </w:rPr>
      </w:pPr>
      <w:bookmarkStart w:id="438" w:name="_Toc83391419"/>
      <w:r w:rsidRPr="00610B1B">
        <w:rPr>
          <w:rStyle w:val="Heading3Char"/>
          <w:rFonts w:cs="Times New Roman"/>
          <w:b/>
        </w:rPr>
        <w:t>4.</w:t>
      </w:r>
      <w:r w:rsidR="009278D0" w:rsidRPr="00610B1B">
        <w:rPr>
          <w:rStyle w:val="Heading3Char"/>
          <w:rFonts w:cs="Times New Roman"/>
          <w:b/>
        </w:rPr>
        <w:t>3</w:t>
      </w:r>
      <w:r w:rsidRPr="00610B1B">
        <w:rPr>
          <w:rStyle w:val="Heading3Char"/>
          <w:rFonts w:cs="Times New Roman"/>
          <w:b/>
        </w:rPr>
        <w:t>.1. Сценарий А – Икономическ</w:t>
      </w:r>
      <w:r w:rsidR="00160777" w:rsidRPr="00610B1B">
        <w:rPr>
          <w:rStyle w:val="Heading3Char"/>
          <w:rFonts w:cs="Times New Roman"/>
          <w:b/>
        </w:rPr>
        <w:t>о</w:t>
      </w:r>
      <w:r w:rsidRPr="00610B1B">
        <w:rPr>
          <w:rStyle w:val="Heading3Char"/>
          <w:rFonts w:cs="Times New Roman"/>
          <w:b/>
        </w:rPr>
        <w:t xml:space="preserve"> ра</w:t>
      </w:r>
      <w:r w:rsidR="00160777" w:rsidRPr="00610B1B">
        <w:rPr>
          <w:rStyle w:val="Heading3Char"/>
          <w:rFonts w:cs="Times New Roman"/>
          <w:b/>
        </w:rPr>
        <w:t>звитие</w:t>
      </w:r>
      <w:r w:rsidRPr="00610B1B">
        <w:rPr>
          <w:rStyle w:val="Heading3Char"/>
          <w:rFonts w:cs="Times New Roman"/>
          <w:b/>
        </w:rPr>
        <w:t xml:space="preserve"> чрез оптимално използване на морските ресурси за син растеж</w:t>
      </w:r>
      <w:bookmarkEnd w:id="438"/>
      <w:r w:rsidRPr="00610B1B">
        <w:rPr>
          <w:rFonts w:eastAsia="Calibri" w:cs="Times New Roman"/>
          <w:b w:val="0"/>
          <w:color w:val="000000" w:themeColor="text1"/>
          <w:sz w:val="24"/>
          <w:szCs w:val="24"/>
        </w:rPr>
        <w:t xml:space="preserve"> </w:t>
      </w:r>
    </w:p>
    <w:p w14:paraId="1BD5B661" w14:textId="4E5C7B50"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Сценарият се развива на основата на пълна експлоатация на морските ресурси. Насочен е към икономически пробив, задвижен от конкурентоспособност и висока добавена стойност на морските индустрии. Включени са развитие на пристанищата, товарен и </w:t>
      </w:r>
      <w:r w:rsidRPr="00610B1B">
        <w:rPr>
          <w:rFonts w:ascii="Times New Roman" w:eastAsia="Calibri" w:hAnsi="Times New Roman" w:cs="Times New Roman"/>
          <w:bCs/>
          <w:color w:val="000000" w:themeColor="text1"/>
          <w:sz w:val="24"/>
          <w:szCs w:val="24"/>
          <w:lang w:val="bg-BG"/>
        </w:rPr>
        <w:lastRenderedPageBreak/>
        <w:t xml:space="preserve">пътнически морски транспорт, круизен и рекреационен туризъм, обосновано и пестеливо разрастване на курортите. Насърчаван приоритет ще бъде развитието на технологиите и иновациите във всички морски икономически сектори. Развитието на рибарството ще </w:t>
      </w:r>
      <w:r w:rsidR="001A1698" w:rsidRPr="00610B1B">
        <w:rPr>
          <w:rFonts w:ascii="Times New Roman" w:eastAsia="Calibri" w:hAnsi="Times New Roman" w:cs="Times New Roman"/>
          <w:bCs/>
          <w:color w:val="000000" w:themeColor="text1"/>
          <w:sz w:val="24"/>
          <w:szCs w:val="24"/>
          <w:lang w:val="bg-BG"/>
        </w:rPr>
        <w:t>отчита</w:t>
      </w:r>
      <w:r w:rsidRPr="00610B1B">
        <w:rPr>
          <w:rFonts w:ascii="Times New Roman" w:eastAsia="Calibri" w:hAnsi="Times New Roman" w:cs="Times New Roman"/>
          <w:bCs/>
          <w:color w:val="000000" w:themeColor="text1"/>
          <w:sz w:val="24"/>
          <w:szCs w:val="24"/>
          <w:lang w:val="bg-BG"/>
        </w:rPr>
        <w:t xml:space="preserve"> наличните рибни ресурси и международно установените квоти. Концесиите за проучване и добив на нефт и газ ще преминат към фаза „добив“ с агресивно налагане на интересите на международни и национални компании. Безпрецедентната криза ще изтласка идеалните цели за развитие на туризма за времето след приключване на борбата за оцеляване на сектора чрез прилагане на най-търсеното, най-достъпното и най-бързо възвръщаемото предлагане. Ще се развива масов туризъм с количествени измерения, в среда с повишена конкуренция и заплаха от преразпределение на емитиращите пазари.</w:t>
      </w:r>
    </w:p>
    <w:p w14:paraId="70C259E3" w14:textId="0BA1B303"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Този сценарий намира опора в Националната програма за развитие „България 2030“ и </w:t>
      </w:r>
      <w:r w:rsidR="001A1698" w:rsidRPr="00610B1B">
        <w:rPr>
          <w:rFonts w:ascii="Times New Roman" w:eastAsia="Calibri" w:hAnsi="Times New Roman" w:cs="Times New Roman"/>
          <w:bCs/>
          <w:color w:val="000000" w:themeColor="text1"/>
          <w:sz w:val="24"/>
          <w:szCs w:val="24"/>
          <w:lang w:val="bg-BG"/>
        </w:rPr>
        <w:t xml:space="preserve">в </w:t>
      </w:r>
      <w:r w:rsidRPr="00610B1B">
        <w:rPr>
          <w:rFonts w:ascii="Times New Roman" w:eastAsia="Calibri" w:hAnsi="Times New Roman" w:cs="Times New Roman"/>
          <w:bCs/>
          <w:color w:val="000000" w:themeColor="text1"/>
          <w:sz w:val="24"/>
          <w:szCs w:val="24"/>
          <w:lang w:val="bg-BG"/>
        </w:rPr>
        <w:t>първата</w:t>
      </w:r>
      <w:r w:rsidR="00DE3A13" w:rsidRPr="00610B1B">
        <w:rPr>
          <w:rFonts w:ascii="Times New Roman" w:eastAsia="Calibri" w:hAnsi="Times New Roman" w:cs="Times New Roman"/>
          <w:bCs/>
          <w:color w:val="000000" w:themeColor="text1"/>
          <w:sz w:val="24"/>
          <w:szCs w:val="24"/>
          <w:lang w:val="bg-BG"/>
        </w:rPr>
        <w:t xml:space="preserve"> ѝ </w:t>
      </w:r>
      <w:r w:rsidRPr="00610B1B">
        <w:rPr>
          <w:rFonts w:ascii="Times New Roman" w:eastAsia="Calibri" w:hAnsi="Times New Roman" w:cs="Times New Roman"/>
          <w:bCs/>
          <w:color w:val="000000" w:themeColor="text1"/>
          <w:sz w:val="24"/>
          <w:szCs w:val="24"/>
          <w:lang w:val="bg-BG"/>
        </w:rPr>
        <w:t>стратегическа цел „Ускорено икономическо развитие“. Постигането на целта означава ускоряване на икономическото сближаване в контекста на ЕС чрез държавна подкрепа за отрасли с висока технологична и научноизследователска интензивност. Своевременната технологична трансформация на икономиката, свързана с морето, както и повишаването на ресурсната</w:t>
      </w:r>
      <w:r w:rsidR="00DE3A13" w:rsidRPr="00610B1B">
        <w:rPr>
          <w:rFonts w:ascii="Times New Roman" w:eastAsia="Calibri" w:hAnsi="Times New Roman" w:cs="Times New Roman"/>
          <w:bCs/>
          <w:color w:val="000000" w:themeColor="text1"/>
          <w:sz w:val="24"/>
          <w:szCs w:val="24"/>
          <w:lang w:val="bg-BG"/>
        </w:rPr>
        <w:t xml:space="preserve"> ѝ </w:t>
      </w:r>
      <w:r w:rsidRPr="00610B1B">
        <w:rPr>
          <w:rFonts w:ascii="Times New Roman" w:eastAsia="Calibri" w:hAnsi="Times New Roman" w:cs="Times New Roman"/>
          <w:bCs/>
          <w:color w:val="000000" w:themeColor="text1"/>
          <w:sz w:val="24"/>
          <w:szCs w:val="24"/>
          <w:lang w:val="bg-BG"/>
        </w:rPr>
        <w:t>ефективност, имат потенциал да я изведат на по-висока траектория на растеж, да я доближат до философията на синята икономика. Същевременно, недостатъчният опит и знания за синята икономика к</w:t>
      </w:r>
      <w:r w:rsidRPr="00610B1B">
        <w:rPr>
          <w:rFonts w:ascii="Times New Roman" w:eastAsia="Calibri" w:hAnsi="Times New Roman" w:cs="Times New Roman"/>
          <w:color w:val="000000" w:themeColor="text1"/>
          <w:sz w:val="24"/>
          <w:szCs w:val="24"/>
          <w:lang w:val="bg-BG"/>
        </w:rPr>
        <w:t>рие опасност от прокарване на вредни за природата решения под формата на природосъобразни иновации.</w:t>
      </w:r>
    </w:p>
    <w:p w14:paraId="6AFF5193"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Движещи сили с </w:t>
      </w:r>
      <w:r w:rsidRPr="00610B1B">
        <w:rPr>
          <w:rFonts w:ascii="Times New Roman" w:eastAsia="Calibri" w:hAnsi="Times New Roman" w:cs="Times New Roman"/>
          <w:bCs/>
          <w:i/>
          <w:color w:val="000000" w:themeColor="text1"/>
          <w:sz w:val="24"/>
          <w:szCs w:val="24"/>
          <w:lang w:val="bg-BG"/>
        </w:rPr>
        <w:t>политически</w:t>
      </w:r>
      <w:r w:rsidRPr="00610B1B">
        <w:rPr>
          <w:rFonts w:ascii="Times New Roman" w:eastAsia="Calibri" w:hAnsi="Times New Roman" w:cs="Times New Roman"/>
          <w:bCs/>
          <w:color w:val="000000" w:themeColor="text1"/>
          <w:sz w:val="24"/>
          <w:szCs w:val="24"/>
          <w:lang w:val="bg-BG"/>
        </w:rPr>
        <w:t xml:space="preserve"> характер в реализирането на този сценарий ще бъдат:</w:t>
      </w:r>
    </w:p>
    <w:p w14:paraId="5FE954D5" w14:textId="77777777" w:rsidR="0055674E" w:rsidRPr="00610B1B" w:rsidRDefault="0055674E" w:rsidP="00B46189">
      <w:pPr>
        <w:numPr>
          <w:ilvl w:val="0"/>
          <w:numId w:val="19"/>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Националната икономическа политика, която ще подкрепя само конкурентен бизнес с висока принадена стойност, както и привличане на инвестиции в екологосъобразен бизнес и инфраструктура;</w:t>
      </w:r>
    </w:p>
    <w:p w14:paraId="156866E4" w14:textId="47334923" w:rsidR="0055674E" w:rsidRPr="00610B1B" w:rsidRDefault="00E07927" w:rsidP="00B46189">
      <w:pPr>
        <w:numPr>
          <w:ilvl w:val="0"/>
          <w:numId w:val="19"/>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Политиките </w:t>
      </w:r>
      <w:r w:rsidR="0055674E" w:rsidRPr="00610B1B">
        <w:rPr>
          <w:rFonts w:ascii="Times New Roman" w:eastAsia="Calibri" w:hAnsi="Times New Roman" w:cs="Times New Roman"/>
          <w:bCs/>
          <w:color w:val="000000" w:themeColor="text1"/>
          <w:sz w:val="24"/>
          <w:szCs w:val="24"/>
          <w:lang w:val="bg-BG"/>
        </w:rPr>
        <w:t>на ЕС за „Син растеж“</w:t>
      </w:r>
      <w:r w:rsidR="0055674E" w:rsidRPr="00610B1B">
        <w:rPr>
          <w:rFonts w:ascii="Times New Roman" w:eastAsia="Calibri" w:hAnsi="Times New Roman" w:cs="Times New Roman"/>
          <w:bCs/>
          <w:color w:val="000000" w:themeColor="text1"/>
          <w:sz w:val="24"/>
          <w:szCs w:val="24"/>
          <w:vertAlign w:val="superscript"/>
          <w:lang w:val="bg-BG"/>
        </w:rPr>
        <w:footnoteReference w:id="174"/>
      </w:r>
      <w:r w:rsidRPr="00610B1B">
        <w:rPr>
          <w:rFonts w:ascii="Times New Roman" w:eastAsia="Calibri" w:hAnsi="Times New Roman" w:cs="Times New Roman"/>
          <w:bCs/>
          <w:color w:val="000000" w:themeColor="text1"/>
          <w:sz w:val="24"/>
          <w:szCs w:val="24"/>
          <w:lang w:val="bg-BG"/>
        </w:rPr>
        <w:t>,</w:t>
      </w:r>
      <w:r w:rsidR="0055674E" w:rsidRPr="00610B1B">
        <w:rPr>
          <w:rFonts w:ascii="Times New Roman" w:eastAsia="Calibri" w:hAnsi="Times New Roman" w:cs="Times New Roman"/>
          <w:bCs/>
          <w:color w:val="000000" w:themeColor="text1"/>
          <w:sz w:val="24"/>
          <w:szCs w:val="24"/>
          <w:lang w:val="bg-BG"/>
        </w:rPr>
        <w:t xml:space="preserve"> „Европейски пространства за корабоплаване без бариери“</w:t>
      </w:r>
      <w:r w:rsidRPr="00610B1B">
        <w:rPr>
          <w:rFonts w:ascii="Times New Roman" w:eastAsia="Calibri" w:hAnsi="Times New Roman" w:cs="Times New Roman"/>
          <w:bCs/>
          <w:color w:val="000000" w:themeColor="text1"/>
          <w:sz w:val="24"/>
          <w:szCs w:val="24"/>
          <w:lang w:val="bg-BG"/>
        </w:rPr>
        <w:t xml:space="preserve"> както и новообособеният</w:t>
      </w:r>
      <w:r w:rsidR="00D66FE0" w:rsidRPr="00610B1B">
        <w:rPr>
          <w:rFonts w:ascii="Times New Roman" w:eastAsia="Calibri" w:hAnsi="Times New Roman" w:cs="Times New Roman"/>
          <w:bCs/>
          <w:color w:val="000000" w:themeColor="text1"/>
          <w:sz w:val="24"/>
          <w:szCs w:val="24"/>
          <w:lang w:val="bg-BG"/>
        </w:rPr>
        <w:t xml:space="preserve"> </w:t>
      </w:r>
      <w:r w:rsidRPr="00610B1B">
        <w:rPr>
          <w:rFonts w:ascii="Times New Roman" w:eastAsia="Calibri" w:hAnsi="Times New Roman" w:cs="Times New Roman"/>
          <w:bCs/>
          <w:color w:val="000000" w:themeColor="text1"/>
          <w:sz w:val="24"/>
          <w:szCs w:val="24"/>
          <w:lang w:val="bg-BG"/>
        </w:rPr>
        <w:t>фонд за синята икономика</w:t>
      </w:r>
      <w:r w:rsidR="0055674E" w:rsidRPr="00610B1B">
        <w:rPr>
          <w:rFonts w:ascii="Times New Roman" w:eastAsia="Calibri" w:hAnsi="Times New Roman" w:cs="Times New Roman"/>
          <w:bCs/>
          <w:color w:val="000000" w:themeColor="text1"/>
          <w:sz w:val="24"/>
          <w:szCs w:val="24"/>
          <w:lang w:val="bg-BG"/>
        </w:rPr>
        <w:t>;</w:t>
      </w:r>
    </w:p>
    <w:p w14:paraId="614007CD" w14:textId="74D60254" w:rsidR="0055674E" w:rsidRPr="00610B1B" w:rsidRDefault="0055674E" w:rsidP="00B46189">
      <w:pPr>
        <w:numPr>
          <w:ilvl w:val="0"/>
          <w:numId w:val="19"/>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Финансираните програми за подкрепа на клъстери с експортен потенциал.</w:t>
      </w:r>
    </w:p>
    <w:p w14:paraId="512441A8" w14:textId="77777777" w:rsidR="009907CE" w:rsidRPr="00610B1B" w:rsidRDefault="009907CE" w:rsidP="009907CE">
      <w:pPr>
        <w:spacing w:after="120"/>
        <w:ind w:right="-153"/>
        <w:jc w:val="both"/>
        <w:rPr>
          <w:rFonts w:ascii="Times New Roman" w:eastAsia="Calibri" w:hAnsi="Times New Roman" w:cs="Times New Roman"/>
          <w:bCs/>
          <w:color w:val="000000" w:themeColor="text1"/>
          <w:sz w:val="24"/>
          <w:szCs w:val="24"/>
          <w:lang w:val="bg-BG"/>
        </w:rPr>
      </w:pPr>
    </w:p>
    <w:p w14:paraId="70782E8B"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Икономическите</w:t>
      </w:r>
      <w:r w:rsidRPr="00610B1B">
        <w:rPr>
          <w:rFonts w:ascii="Times New Roman" w:eastAsia="Calibri" w:hAnsi="Times New Roman" w:cs="Times New Roman"/>
          <w:bCs/>
          <w:color w:val="000000" w:themeColor="text1"/>
          <w:sz w:val="24"/>
          <w:szCs w:val="24"/>
          <w:lang w:val="bg-BG"/>
        </w:rPr>
        <w:t xml:space="preserve"> фактори и движещи сили:</w:t>
      </w:r>
    </w:p>
    <w:p w14:paraId="4D9E79FD" w14:textId="58B9616D" w:rsidR="0055674E" w:rsidRPr="00610B1B" w:rsidRDefault="0055674E"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Бизнесът, който ще се концентрира и развива основно в двата областни центъра (Варна и Бургас) и националните курорти.</w:t>
      </w:r>
      <w:r w:rsidR="001A1698" w:rsidRPr="00610B1B">
        <w:rPr>
          <w:rFonts w:ascii="Times New Roman" w:eastAsia="Calibri" w:hAnsi="Times New Roman" w:cs="Times New Roman"/>
          <w:bCs/>
          <w:color w:val="000000" w:themeColor="text1"/>
          <w:sz w:val="24"/>
          <w:szCs w:val="24"/>
          <w:lang w:val="bg-BG"/>
        </w:rPr>
        <w:t xml:space="preserve"> Формиращите се </w:t>
      </w:r>
      <w:r w:rsidRPr="00610B1B">
        <w:rPr>
          <w:rFonts w:ascii="Times New Roman" w:eastAsia="Calibri" w:hAnsi="Times New Roman" w:cs="Times New Roman"/>
          <w:bCs/>
          <w:color w:val="000000" w:themeColor="text1"/>
          <w:sz w:val="24"/>
          <w:szCs w:val="24"/>
          <w:lang w:val="bg-BG"/>
        </w:rPr>
        <w:t>морски клъстери</w:t>
      </w:r>
      <w:r w:rsidR="001A1698" w:rsidRPr="00610B1B">
        <w:rPr>
          <w:rFonts w:ascii="Times New Roman" w:eastAsia="Calibri" w:hAnsi="Times New Roman" w:cs="Times New Roman"/>
          <w:bCs/>
          <w:color w:val="000000" w:themeColor="text1"/>
          <w:sz w:val="24"/>
          <w:szCs w:val="24"/>
          <w:lang w:val="bg-BG"/>
        </w:rPr>
        <w:t>,</w:t>
      </w:r>
      <w:r w:rsidR="00D66FE0" w:rsidRPr="00610B1B">
        <w:rPr>
          <w:rFonts w:ascii="Times New Roman" w:eastAsia="Calibri" w:hAnsi="Times New Roman" w:cs="Times New Roman"/>
          <w:bCs/>
          <w:color w:val="000000" w:themeColor="text1"/>
          <w:sz w:val="24"/>
          <w:szCs w:val="24"/>
          <w:lang w:val="bg-BG"/>
        </w:rPr>
        <w:t xml:space="preserve"> </w:t>
      </w:r>
      <w:r w:rsidRPr="00610B1B">
        <w:rPr>
          <w:rFonts w:ascii="Times New Roman" w:eastAsia="Calibri" w:hAnsi="Times New Roman" w:cs="Times New Roman"/>
          <w:bCs/>
          <w:color w:val="000000" w:themeColor="text1"/>
          <w:sz w:val="24"/>
          <w:szCs w:val="24"/>
          <w:lang w:val="bg-BG"/>
        </w:rPr>
        <w:t>ориентирани към стратегически мрежи</w:t>
      </w:r>
      <w:r w:rsidR="001A1698" w:rsidRPr="00610B1B">
        <w:rPr>
          <w:rFonts w:ascii="Times New Roman" w:eastAsia="Calibri" w:hAnsi="Times New Roman" w:cs="Times New Roman"/>
          <w:bCs/>
          <w:color w:val="000000" w:themeColor="text1"/>
          <w:sz w:val="24"/>
          <w:szCs w:val="24"/>
          <w:lang w:val="bg-BG"/>
        </w:rPr>
        <w:t xml:space="preserve"> ще </w:t>
      </w:r>
      <w:r w:rsidRPr="00610B1B">
        <w:rPr>
          <w:rFonts w:ascii="Times New Roman" w:eastAsia="Calibri" w:hAnsi="Times New Roman" w:cs="Times New Roman"/>
          <w:bCs/>
          <w:color w:val="000000" w:themeColor="text1"/>
          <w:sz w:val="24"/>
          <w:szCs w:val="24"/>
          <w:lang w:val="bg-BG"/>
        </w:rPr>
        <w:t>включва</w:t>
      </w:r>
      <w:r w:rsidR="001A1698" w:rsidRPr="00610B1B">
        <w:rPr>
          <w:rFonts w:ascii="Times New Roman" w:eastAsia="Calibri" w:hAnsi="Times New Roman" w:cs="Times New Roman"/>
          <w:bCs/>
          <w:color w:val="000000" w:themeColor="text1"/>
          <w:sz w:val="24"/>
          <w:szCs w:val="24"/>
          <w:lang w:val="bg-BG"/>
        </w:rPr>
        <w:t>т</w:t>
      </w:r>
      <w:r w:rsidRPr="00610B1B">
        <w:rPr>
          <w:rFonts w:ascii="Times New Roman" w:eastAsia="Calibri" w:hAnsi="Times New Roman" w:cs="Times New Roman"/>
          <w:bCs/>
          <w:color w:val="000000" w:themeColor="text1"/>
          <w:sz w:val="24"/>
          <w:szCs w:val="24"/>
          <w:lang w:val="bg-BG"/>
        </w:rPr>
        <w:t xml:space="preserve"> експортни компании, доставчици на суровини, туристически структури, научно-изследователски центрове и доставчици на интелигентни услуги.</w:t>
      </w:r>
    </w:p>
    <w:p w14:paraId="53BAC38A" w14:textId="77777777" w:rsidR="0055674E" w:rsidRPr="00610B1B" w:rsidRDefault="0055674E"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Пазарното търсене на суровини и потребителски стоки, което ще нараства, ще провокира и нарастване на морските товарни превози.</w:t>
      </w:r>
    </w:p>
    <w:p w14:paraId="3EEC5CCD" w14:textId="77777777" w:rsidR="0055674E" w:rsidRPr="00610B1B" w:rsidRDefault="0055674E"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Икономическият растеж ще продължава да е водеща цел и интензификацията на всички икономически дейности на дневен ред – в масовия туризъм, в </w:t>
      </w:r>
      <w:r w:rsidRPr="00610B1B">
        <w:rPr>
          <w:rFonts w:ascii="Times New Roman" w:eastAsia="Calibri" w:hAnsi="Times New Roman" w:cs="Times New Roman"/>
          <w:bCs/>
          <w:color w:val="000000" w:themeColor="text1"/>
          <w:sz w:val="24"/>
          <w:szCs w:val="24"/>
          <w:lang w:val="bg-BG"/>
        </w:rPr>
        <w:lastRenderedPageBreak/>
        <w:t>производствата, в инвестициите. Последните се концентрират там, където има най-висока печалба.</w:t>
      </w:r>
    </w:p>
    <w:p w14:paraId="0CB0EBE2" w14:textId="77777777" w:rsidR="0055674E" w:rsidRPr="00610B1B" w:rsidRDefault="0055674E"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Икономическият растеж и повишените доходи ще водят до повишено потребление на електрическа енергия и енергийни ресурси. Възможна става мотивацията за експанзия на крайбрежните вятърни паркове и дори развитие на такива в морското пространство.</w:t>
      </w:r>
    </w:p>
    <w:p w14:paraId="7A55F48C" w14:textId="77777777" w:rsidR="0055674E" w:rsidRPr="00610B1B" w:rsidRDefault="0055674E"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Мерките в подкрепа на мисията на Националната стратегия за устойчиво развитие на туризма „Развитие и прилагане на целенасочена и последователна туристическа политика за създаване на благоприятна политическа, правна, икономическа, екологична, социокултурна и технологична среда за развитие на устойчив туризъм, конкурентоспособен туристически сектор и качествен туристически продукт“. </w:t>
      </w:r>
    </w:p>
    <w:p w14:paraId="4E938895" w14:textId="77777777" w:rsidR="0055674E" w:rsidRPr="00610B1B" w:rsidRDefault="0055674E"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Интензификацията на морските товарни превози и туризма, ще наложат и реципрочни мерки спрямо довеждащата наземна инфраструктура.</w:t>
      </w:r>
    </w:p>
    <w:p w14:paraId="0CEBA15C" w14:textId="77777777" w:rsidR="0055674E" w:rsidRPr="00610B1B" w:rsidRDefault="0055674E"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Информационните и комуникационните технологии ще са с изявен напредък в мобилните технологии. Конкурентоспособността на туризма се обуславя от наличието на услуги, специфични за съответната локализация, от директния достъп до точна, актуална и изчерпателна маркетингова информация, от предлагането на новостите в СПА лечението.</w:t>
      </w:r>
    </w:p>
    <w:p w14:paraId="469A091C" w14:textId="60F8D474" w:rsidR="0055674E" w:rsidRPr="00610B1B" w:rsidRDefault="0055674E"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Иновациите в сферата на отдиха ще предлагат нови технологични решения за ползването на морето, за водни спортове и рекреация. Мерките за сигурност и капацитетът на спасителните служби се увеличават, защото подобни услуги ще се предлагат в големи курортни структури със струпване на много хора и съответно повишени рискове.</w:t>
      </w:r>
    </w:p>
    <w:p w14:paraId="1E5C43FA"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 xml:space="preserve">Социални </w:t>
      </w:r>
      <w:r w:rsidRPr="00610B1B">
        <w:rPr>
          <w:rFonts w:ascii="Times New Roman" w:eastAsia="Calibri" w:hAnsi="Times New Roman" w:cs="Times New Roman"/>
          <w:bCs/>
          <w:color w:val="000000" w:themeColor="text1"/>
          <w:sz w:val="24"/>
          <w:szCs w:val="24"/>
          <w:lang w:val="bg-BG"/>
        </w:rPr>
        <w:t>движещи сили:</w:t>
      </w:r>
    </w:p>
    <w:p w14:paraId="54A88843" w14:textId="77777777" w:rsidR="0055674E" w:rsidRPr="00610B1B" w:rsidRDefault="0055674E" w:rsidP="00B46189">
      <w:pPr>
        <w:numPr>
          <w:ilvl w:val="0"/>
          <w:numId w:val="22"/>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Демографската динамика - На фона на негативните демографски прогнози в националното пространство, Варна и Бургас задържат населението си, осигурявайки достатъчна квалифицирана работна ръка за развитие на мощни индустриални центрове и сини икономики.</w:t>
      </w:r>
    </w:p>
    <w:p w14:paraId="60806641" w14:textId="77777777" w:rsidR="0055674E" w:rsidRPr="00610B1B" w:rsidRDefault="0055674E" w:rsidP="00B46189">
      <w:pPr>
        <w:numPr>
          <w:ilvl w:val="0"/>
          <w:numId w:val="22"/>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Малките черноморски общини губят икономическа мощ и население. </w:t>
      </w:r>
    </w:p>
    <w:p w14:paraId="38DFA561" w14:textId="77777777" w:rsidR="0055674E" w:rsidRPr="00610B1B" w:rsidRDefault="0055674E" w:rsidP="00B46189">
      <w:pPr>
        <w:numPr>
          <w:ilvl w:val="0"/>
          <w:numId w:val="22"/>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Формира се задълбочаващо се подоходно разслояване в местните общности, водещо до нарастващи социални напрежения.</w:t>
      </w:r>
    </w:p>
    <w:p w14:paraId="76D844F0" w14:textId="0B5265EA" w:rsidR="0055674E" w:rsidRPr="00610B1B" w:rsidRDefault="0055674E" w:rsidP="00B46189">
      <w:pPr>
        <w:numPr>
          <w:ilvl w:val="0"/>
          <w:numId w:val="22"/>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Традиционната лятна пулсация на антропогенното присъствие по морския бряг продължава, предизвиквайки все по-големи дефицити в пазара на труда и съответен внос на сезонна работна ръка от чужбина.</w:t>
      </w:r>
    </w:p>
    <w:p w14:paraId="61D9AF0F"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Екологични и природни</w:t>
      </w:r>
      <w:r w:rsidRPr="00610B1B">
        <w:rPr>
          <w:rFonts w:ascii="Times New Roman" w:eastAsia="Calibri" w:hAnsi="Times New Roman" w:cs="Times New Roman"/>
          <w:bCs/>
          <w:color w:val="000000" w:themeColor="text1"/>
          <w:sz w:val="24"/>
          <w:szCs w:val="24"/>
          <w:lang w:val="bg-BG"/>
        </w:rPr>
        <w:t xml:space="preserve"> условия:</w:t>
      </w:r>
    </w:p>
    <w:p w14:paraId="771DC6A9" w14:textId="77777777" w:rsidR="0055674E" w:rsidRPr="00610B1B" w:rsidRDefault="0055674E" w:rsidP="00B46189">
      <w:pPr>
        <w:numPr>
          <w:ilvl w:val="0"/>
          <w:numId w:val="21"/>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Наличните природни ресурси се използват до пределния им капацитет;</w:t>
      </w:r>
    </w:p>
    <w:p w14:paraId="4C5B3708" w14:textId="350E3E75" w:rsidR="0055674E" w:rsidRPr="00610B1B" w:rsidRDefault="0055674E" w:rsidP="00B46189">
      <w:pPr>
        <w:numPr>
          <w:ilvl w:val="0"/>
          <w:numId w:val="21"/>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Настоящите екологични стандарти се поддържат при развитието на отделните икономически сектори, но въпреки това, претоварването с функции и пределното изчерпване на ресурсите неизбежно води до негативни ефекти и влошаване на </w:t>
      </w:r>
      <w:r w:rsidRPr="00610B1B">
        <w:rPr>
          <w:rFonts w:ascii="Times New Roman" w:eastAsia="Calibri" w:hAnsi="Times New Roman" w:cs="Times New Roman"/>
          <w:bCs/>
          <w:color w:val="000000" w:themeColor="text1"/>
          <w:sz w:val="24"/>
          <w:szCs w:val="24"/>
          <w:lang w:val="bg-BG"/>
        </w:rPr>
        <w:lastRenderedPageBreak/>
        <w:t>общото екологично състояние на околната среда. Неопровержимо доказателство са зоните на големите пристанища, нефтените терминали, големите курорти</w:t>
      </w:r>
      <w:r w:rsidR="004838DC" w:rsidRPr="00610B1B">
        <w:rPr>
          <w:rFonts w:ascii="Times New Roman" w:eastAsia="Calibri" w:hAnsi="Times New Roman" w:cs="Times New Roman"/>
          <w:bCs/>
          <w:color w:val="000000" w:themeColor="text1"/>
          <w:sz w:val="24"/>
          <w:szCs w:val="24"/>
          <w:lang w:val="bg-BG"/>
        </w:rPr>
        <w:t>.</w:t>
      </w:r>
      <w:r w:rsidRPr="00610B1B">
        <w:rPr>
          <w:rFonts w:ascii="Times New Roman" w:eastAsia="Calibri" w:hAnsi="Times New Roman" w:cs="Times New Roman"/>
          <w:bCs/>
          <w:color w:val="000000" w:themeColor="text1"/>
          <w:sz w:val="24"/>
          <w:szCs w:val="24"/>
          <w:lang w:val="bg-BG"/>
        </w:rPr>
        <w:t xml:space="preserve"> </w:t>
      </w:r>
    </w:p>
    <w:p w14:paraId="625B0EA3" w14:textId="77777777" w:rsidR="0055674E" w:rsidRPr="00610B1B" w:rsidRDefault="0055674E" w:rsidP="00B46189">
      <w:pPr>
        <w:numPr>
          <w:ilvl w:val="0"/>
          <w:numId w:val="21"/>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Първите забележими ефекти от климатичните промени вече са факт и в зоната на Черноморското крайбрежие. Ускоряват се процесите на бреговата абразия, все по-често се наблюдават негативните ефекти от морски бури, засушаванията в хинтерланда стават все по-остри и продължителни.</w:t>
      </w:r>
    </w:p>
    <w:p w14:paraId="5A4D7029" w14:textId="77777777" w:rsidR="0055674E" w:rsidRPr="00610B1B" w:rsidRDefault="0055674E" w:rsidP="00B46189">
      <w:pPr>
        <w:numPr>
          <w:ilvl w:val="0"/>
          <w:numId w:val="21"/>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Прекомерната експлоатация на природните ресурси води до намаляване на рибните запаси, влошаване на чистотата на морската вода, загуба на биологично разнообразие и намаляване на естествената привлекателност на българското Черноморско крайбрежие като туристическа дестинация, отстъпление в конкурентния пазар на предлагането и последваща деградация. </w:t>
      </w:r>
    </w:p>
    <w:p w14:paraId="67D4B2C7" w14:textId="77777777" w:rsidR="0055674E" w:rsidRPr="00610B1B" w:rsidRDefault="0055674E" w:rsidP="00B46189">
      <w:pPr>
        <w:numPr>
          <w:ilvl w:val="0"/>
          <w:numId w:val="21"/>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Аспект на този сценарий е и развитието/предлагането на туристически услуги във високите ценови сегменти на пазара. Така се реализират повече приходи с по-малък екологичен отпечатък.</w:t>
      </w:r>
    </w:p>
    <w:p w14:paraId="65DB6CFC" w14:textId="77777777" w:rsidR="0055674E" w:rsidRPr="00610B1B" w:rsidRDefault="0055674E" w:rsidP="00D32D6A">
      <w:pPr>
        <w:spacing w:after="120"/>
        <w:ind w:right="-153"/>
        <w:jc w:val="both"/>
        <w:rPr>
          <w:rFonts w:ascii="Times New Roman" w:eastAsia="Calibri" w:hAnsi="Times New Roman" w:cs="Times New Roman"/>
          <w:b/>
          <w:bCs/>
          <w:color w:val="000000" w:themeColor="text1"/>
          <w:sz w:val="24"/>
          <w:szCs w:val="24"/>
          <w:lang w:val="bg-BG"/>
        </w:rPr>
      </w:pPr>
      <w:r w:rsidRPr="00610B1B">
        <w:rPr>
          <w:rFonts w:ascii="Times New Roman" w:eastAsia="Calibri" w:hAnsi="Times New Roman" w:cs="Times New Roman"/>
          <w:b/>
          <w:bCs/>
          <w:color w:val="000000" w:themeColor="text1"/>
          <w:sz w:val="24"/>
          <w:szCs w:val="24"/>
          <w:lang w:val="bg-BG"/>
        </w:rPr>
        <w:t xml:space="preserve">Вероятни въздействия върху околната среда по сектори от морската икономика при прилагането на Сценарий А </w:t>
      </w:r>
    </w:p>
    <w:p w14:paraId="2DF0E095" w14:textId="2E26BE82" w:rsidR="0055674E" w:rsidRPr="00610B1B" w:rsidRDefault="0055674E"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i/>
          <w:color w:val="000000" w:themeColor="text1"/>
          <w:sz w:val="24"/>
          <w:szCs w:val="24"/>
          <w:lang w:val="bg-BG"/>
        </w:rPr>
        <w:t>Морски транспорт</w:t>
      </w:r>
      <w:r w:rsidRPr="00610B1B">
        <w:rPr>
          <w:rFonts w:ascii="Times New Roman" w:eastAsia="Calibri" w:hAnsi="Times New Roman" w:cs="Times New Roman"/>
          <w:bCs/>
          <w:color w:val="000000" w:themeColor="text1"/>
          <w:sz w:val="24"/>
          <w:szCs w:val="24"/>
          <w:lang w:val="bg-BG"/>
        </w:rPr>
        <w:t xml:space="preserve"> – </w:t>
      </w:r>
      <w:r w:rsidR="004D4DE9" w:rsidRPr="00610B1B">
        <w:rPr>
          <w:rFonts w:ascii="Times New Roman" w:eastAsia="Calibri" w:hAnsi="Times New Roman" w:cs="Times New Roman"/>
          <w:bCs/>
          <w:color w:val="000000" w:themeColor="text1"/>
          <w:sz w:val="24"/>
          <w:szCs w:val="24"/>
          <w:lang w:val="bg-BG"/>
        </w:rPr>
        <w:t xml:space="preserve">Интензивното </w:t>
      </w:r>
      <w:r w:rsidRPr="00610B1B">
        <w:rPr>
          <w:rFonts w:ascii="Times New Roman" w:eastAsia="Calibri" w:hAnsi="Times New Roman" w:cs="Times New Roman"/>
          <w:bCs/>
          <w:color w:val="000000" w:themeColor="text1"/>
          <w:sz w:val="24"/>
          <w:szCs w:val="24"/>
          <w:lang w:val="bg-BG"/>
        </w:rPr>
        <w:t xml:space="preserve">развитие на сектора води до увеличаване на шумовото замърсяване. Най-силно са засегнати морските бозайници, чиято численост и ареал на разпространение показват тенденция към </w:t>
      </w:r>
      <w:r w:rsidRPr="00610B1B">
        <w:rPr>
          <w:rFonts w:ascii="Times New Roman" w:eastAsia="Calibri" w:hAnsi="Times New Roman" w:cs="Times New Roman"/>
          <w:bCs/>
          <w:sz w:val="24"/>
          <w:szCs w:val="24"/>
          <w:lang w:val="bg-BG"/>
        </w:rPr>
        <w:t xml:space="preserve">намаляване, особено в районите на двата големи морски залива – Варненския и Бургаския. </w:t>
      </w:r>
      <w:r w:rsidR="00654BD7" w:rsidRPr="00610B1B">
        <w:rPr>
          <w:rFonts w:ascii="Times New Roman" w:eastAsia="Calibri" w:hAnsi="Times New Roman" w:cs="Times New Roman"/>
          <w:bCs/>
          <w:sz w:val="24"/>
          <w:szCs w:val="24"/>
          <w:lang w:val="bg-BG"/>
        </w:rPr>
        <w:t xml:space="preserve">Морската </w:t>
      </w:r>
      <w:r w:rsidRPr="00610B1B">
        <w:rPr>
          <w:rFonts w:ascii="Times New Roman" w:eastAsia="Calibri" w:hAnsi="Times New Roman" w:cs="Times New Roman"/>
          <w:bCs/>
          <w:sz w:val="24"/>
          <w:szCs w:val="24"/>
          <w:lang w:val="bg-BG"/>
        </w:rPr>
        <w:t xml:space="preserve">среда в пристанищните </w:t>
      </w:r>
      <w:r w:rsidR="00654BD7" w:rsidRPr="00610B1B">
        <w:rPr>
          <w:rFonts w:ascii="Times New Roman" w:eastAsia="Calibri" w:hAnsi="Times New Roman" w:cs="Times New Roman"/>
          <w:bCs/>
          <w:sz w:val="24"/>
          <w:szCs w:val="24"/>
          <w:lang w:val="bg-BG"/>
        </w:rPr>
        <w:t>акватории е необратимо увредена.</w:t>
      </w:r>
      <w:r w:rsidR="00D66FE0" w:rsidRPr="00610B1B">
        <w:rPr>
          <w:rFonts w:ascii="Times New Roman" w:eastAsia="Calibri" w:hAnsi="Times New Roman" w:cs="Times New Roman"/>
          <w:bCs/>
          <w:sz w:val="24"/>
          <w:szCs w:val="24"/>
          <w:lang w:val="bg-BG"/>
        </w:rPr>
        <w:t xml:space="preserve"> </w:t>
      </w:r>
      <w:r w:rsidRPr="00610B1B">
        <w:rPr>
          <w:rFonts w:ascii="Times New Roman" w:eastAsia="Calibri" w:hAnsi="Times New Roman" w:cs="Times New Roman"/>
          <w:bCs/>
          <w:sz w:val="24"/>
          <w:szCs w:val="24"/>
          <w:lang w:val="bg-BG"/>
        </w:rPr>
        <w:t>Незаконното изхвърляне на твърди и течни отпадъци в морето значително намалява.</w:t>
      </w:r>
    </w:p>
    <w:p w14:paraId="0CE4703A" w14:textId="43837640" w:rsidR="0055674E" w:rsidRPr="00610B1B" w:rsidRDefault="00DD6CD4" w:rsidP="00D32D6A">
      <w:pPr>
        <w:spacing w:after="120"/>
        <w:ind w:right="-153"/>
        <w:jc w:val="both"/>
        <w:rPr>
          <w:rFonts w:ascii="Times New Roman" w:eastAsia="Calibri" w:hAnsi="Times New Roman" w:cs="Times New Roman"/>
          <w:bCs/>
          <w:sz w:val="24"/>
          <w:szCs w:val="24"/>
          <w:lang w:val="bg-BG"/>
        </w:rPr>
      </w:pPr>
      <w:r w:rsidRPr="00610B1B">
        <w:rPr>
          <w:rFonts w:ascii="Times New Roman" w:eastAsia="Calibri" w:hAnsi="Times New Roman" w:cs="Times New Roman"/>
          <w:bCs/>
          <w:i/>
          <w:sz w:val="24"/>
          <w:szCs w:val="24"/>
          <w:lang w:val="bg-BG"/>
        </w:rPr>
        <w:t>Стопански риболов</w:t>
      </w:r>
      <w:r w:rsidR="00C3007B" w:rsidRPr="00610B1B">
        <w:rPr>
          <w:rFonts w:ascii="Times New Roman" w:eastAsia="Calibri" w:hAnsi="Times New Roman" w:cs="Times New Roman"/>
          <w:bCs/>
          <w:i/>
          <w:sz w:val="24"/>
          <w:szCs w:val="24"/>
          <w:lang w:val="bg-BG"/>
        </w:rPr>
        <w:t xml:space="preserve"> – </w:t>
      </w:r>
      <w:r w:rsidR="004D4DE9" w:rsidRPr="00610B1B">
        <w:rPr>
          <w:rFonts w:ascii="Times New Roman" w:eastAsia="Calibri" w:hAnsi="Times New Roman" w:cs="Times New Roman"/>
          <w:bCs/>
          <w:sz w:val="24"/>
          <w:szCs w:val="24"/>
          <w:lang w:val="bg-BG"/>
        </w:rPr>
        <w:t>В</w:t>
      </w:r>
      <w:r w:rsidR="0055674E" w:rsidRPr="00610B1B">
        <w:rPr>
          <w:rFonts w:ascii="Times New Roman" w:eastAsia="Calibri" w:hAnsi="Times New Roman" w:cs="Times New Roman"/>
          <w:bCs/>
          <w:sz w:val="24"/>
          <w:szCs w:val="24"/>
          <w:lang w:val="bg-BG"/>
        </w:rPr>
        <w:t xml:space="preserve"> откритите морски пространства рибните запаси намаляват. Въпреки, че риболовът е в границите на установените квоти, максималният устойчив улов е непостижим поради наличието на замърсяващи вещества, морски отпадъци и </w:t>
      </w:r>
      <w:r w:rsidR="00B36ECD" w:rsidRPr="00610B1B">
        <w:rPr>
          <w:rFonts w:ascii="Times New Roman" w:eastAsia="Calibri" w:hAnsi="Times New Roman" w:cs="Times New Roman"/>
          <w:bCs/>
          <w:sz w:val="24"/>
          <w:szCs w:val="24"/>
          <w:lang w:val="bg-BG"/>
        </w:rPr>
        <w:t>и</w:t>
      </w:r>
      <w:r w:rsidR="0055674E" w:rsidRPr="00610B1B">
        <w:rPr>
          <w:rFonts w:ascii="Times New Roman" w:eastAsia="Calibri" w:hAnsi="Times New Roman" w:cs="Times New Roman"/>
          <w:bCs/>
          <w:sz w:val="24"/>
          <w:szCs w:val="24"/>
          <w:lang w:val="bg-BG"/>
        </w:rPr>
        <w:t>нвази</w:t>
      </w:r>
      <w:r w:rsidR="00B36ECD" w:rsidRPr="00610B1B">
        <w:rPr>
          <w:rFonts w:ascii="Times New Roman" w:eastAsia="Calibri" w:hAnsi="Times New Roman" w:cs="Times New Roman"/>
          <w:bCs/>
          <w:sz w:val="24"/>
          <w:szCs w:val="24"/>
          <w:lang w:val="bg-BG"/>
        </w:rPr>
        <w:t>вн</w:t>
      </w:r>
      <w:r w:rsidR="0055674E" w:rsidRPr="00610B1B">
        <w:rPr>
          <w:rFonts w:ascii="Times New Roman" w:eastAsia="Calibri" w:hAnsi="Times New Roman" w:cs="Times New Roman"/>
          <w:bCs/>
          <w:sz w:val="24"/>
          <w:szCs w:val="24"/>
          <w:lang w:val="bg-BG"/>
        </w:rPr>
        <w:t>и</w:t>
      </w:r>
      <w:r w:rsidR="00B36ECD" w:rsidRPr="00610B1B">
        <w:rPr>
          <w:rFonts w:ascii="Times New Roman" w:eastAsia="Calibri" w:hAnsi="Times New Roman" w:cs="Times New Roman"/>
          <w:bCs/>
          <w:sz w:val="24"/>
          <w:szCs w:val="24"/>
          <w:lang w:val="bg-BG"/>
        </w:rPr>
        <w:t xml:space="preserve"> видове</w:t>
      </w:r>
      <w:r w:rsidR="0055674E" w:rsidRPr="00610B1B">
        <w:rPr>
          <w:rFonts w:ascii="Times New Roman" w:eastAsia="Calibri" w:hAnsi="Times New Roman" w:cs="Times New Roman"/>
          <w:bCs/>
          <w:sz w:val="24"/>
          <w:szCs w:val="24"/>
          <w:lang w:val="bg-BG"/>
        </w:rPr>
        <w:t>. Голяма част от рибната продукция се осигурява чрез внос, който задоволява пазарното търсене, но за сметка на упадъка на дребномащабния риболов, което намалява възможностите за развитие на по-малките крайбрежни населени места.</w:t>
      </w:r>
    </w:p>
    <w:p w14:paraId="32B2081C" w14:textId="383ECF66"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sz w:val="24"/>
          <w:szCs w:val="24"/>
          <w:lang w:val="bg-BG"/>
        </w:rPr>
        <w:t>Морски аквакултури</w:t>
      </w:r>
      <w:r w:rsidR="00C3007B" w:rsidRPr="00610B1B">
        <w:rPr>
          <w:rFonts w:ascii="Times New Roman" w:eastAsia="Calibri" w:hAnsi="Times New Roman" w:cs="Times New Roman"/>
          <w:bCs/>
          <w:i/>
          <w:sz w:val="24"/>
          <w:szCs w:val="24"/>
          <w:lang w:val="bg-BG"/>
        </w:rPr>
        <w:t xml:space="preserve"> – </w:t>
      </w:r>
      <w:r w:rsidR="004D4DE9" w:rsidRPr="00610B1B">
        <w:rPr>
          <w:rFonts w:ascii="Times New Roman" w:eastAsia="Calibri" w:hAnsi="Times New Roman" w:cs="Times New Roman"/>
          <w:bCs/>
          <w:sz w:val="24"/>
          <w:szCs w:val="24"/>
          <w:lang w:val="bg-BG"/>
        </w:rPr>
        <w:t>В</w:t>
      </w:r>
      <w:r w:rsidRPr="00610B1B">
        <w:rPr>
          <w:rFonts w:ascii="Times New Roman" w:eastAsia="Calibri" w:hAnsi="Times New Roman" w:cs="Times New Roman"/>
          <w:bCs/>
          <w:sz w:val="24"/>
          <w:szCs w:val="24"/>
          <w:lang w:val="bg-BG"/>
        </w:rPr>
        <w:t xml:space="preserve"> района между н. Калиакра и Балчик, източно от н. Емине и южно от Созопол се наблюдава интензивно развитие на морските аквакултури, което е обусловено от благоприятните условия и експозиция </w:t>
      </w:r>
      <w:r w:rsidRPr="00610B1B">
        <w:rPr>
          <w:rFonts w:ascii="Times New Roman" w:eastAsia="Calibri" w:hAnsi="Times New Roman" w:cs="Times New Roman"/>
          <w:bCs/>
          <w:color w:val="000000" w:themeColor="text1"/>
          <w:sz w:val="24"/>
          <w:szCs w:val="24"/>
          <w:lang w:val="bg-BG"/>
        </w:rPr>
        <w:t xml:space="preserve">на брега. Въпреки положителния екологичен ефект от култивацията на миди като естествени филтратори на морската вода, високата плътност влошава чистотата на морските води и </w:t>
      </w:r>
      <w:r w:rsidR="00B345CA" w:rsidRPr="00610B1B">
        <w:rPr>
          <w:rFonts w:ascii="Times New Roman" w:eastAsia="Calibri" w:hAnsi="Times New Roman" w:cs="Times New Roman"/>
          <w:bCs/>
          <w:color w:val="000000" w:themeColor="text1"/>
          <w:sz w:val="24"/>
          <w:szCs w:val="24"/>
          <w:lang w:val="bg-BG"/>
        </w:rPr>
        <w:t xml:space="preserve">поражда </w:t>
      </w:r>
      <w:r w:rsidRPr="00610B1B">
        <w:rPr>
          <w:rFonts w:ascii="Times New Roman" w:eastAsia="Calibri" w:hAnsi="Times New Roman" w:cs="Times New Roman"/>
          <w:bCs/>
          <w:color w:val="000000" w:themeColor="text1"/>
          <w:sz w:val="24"/>
          <w:szCs w:val="24"/>
          <w:lang w:val="bg-BG"/>
        </w:rPr>
        <w:t>конфликти с крайбрежния туризъм. Неблагоприятно въздействие оказват високите концентрации на някои замърсители,</w:t>
      </w:r>
      <w:r w:rsidR="00D66FE0" w:rsidRPr="00610B1B">
        <w:rPr>
          <w:rFonts w:ascii="Times New Roman" w:eastAsia="Calibri" w:hAnsi="Times New Roman" w:cs="Times New Roman"/>
          <w:bCs/>
          <w:color w:val="000000" w:themeColor="text1"/>
          <w:sz w:val="24"/>
          <w:szCs w:val="24"/>
          <w:lang w:val="bg-BG"/>
        </w:rPr>
        <w:t xml:space="preserve"> </w:t>
      </w:r>
      <w:r w:rsidRPr="00610B1B">
        <w:rPr>
          <w:rFonts w:ascii="Times New Roman" w:eastAsia="Calibri" w:hAnsi="Times New Roman" w:cs="Times New Roman"/>
          <w:bCs/>
          <w:color w:val="000000" w:themeColor="text1"/>
          <w:sz w:val="24"/>
          <w:szCs w:val="24"/>
          <w:lang w:val="bg-BG"/>
        </w:rPr>
        <w:t>които се натрупват в месото на мидите. Част от дейността се изнася в дълбоководието, но е по-скъпо и съществува потенциален конфликт с морския тра</w:t>
      </w:r>
      <w:r w:rsidR="00B345CA" w:rsidRPr="00610B1B">
        <w:rPr>
          <w:rFonts w:ascii="Times New Roman" w:eastAsia="Calibri" w:hAnsi="Times New Roman" w:cs="Times New Roman"/>
          <w:bCs/>
          <w:color w:val="000000" w:themeColor="text1"/>
          <w:sz w:val="24"/>
          <w:szCs w:val="24"/>
          <w:lang w:val="bg-BG"/>
        </w:rPr>
        <w:t>фик.</w:t>
      </w:r>
    </w:p>
    <w:p w14:paraId="72EDE5FF" w14:textId="33BDA6FA"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Морски туризъм</w:t>
      </w:r>
      <w:r w:rsidR="00C3007B" w:rsidRPr="00610B1B">
        <w:rPr>
          <w:rFonts w:ascii="Times New Roman" w:eastAsia="Calibri" w:hAnsi="Times New Roman" w:cs="Times New Roman"/>
          <w:bCs/>
          <w:i/>
          <w:color w:val="000000" w:themeColor="text1"/>
          <w:sz w:val="24"/>
          <w:szCs w:val="24"/>
          <w:lang w:val="bg-BG"/>
        </w:rPr>
        <w:t xml:space="preserve"> – </w:t>
      </w:r>
      <w:r w:rsidRPr="00610B1B">
        <w:rPr>
          <w:rFonts w:ascii="Times New Roman" w:eastAsia="Calibri" w:hAnsi="Times New Roman" w:cs="Times New Roman"/>
          <w:bCs/>
          <w:color w:val="000000" w:themeColor="text1"/>
          <w:sz w:val="24"/>
          <w:szCs w:val="24"/>
          <w:lang w:val="bg-BG"/>
        </w:rPr>
        <w:t>Традиционните пулсации на летния туризъм водят до претоварване на пречиствателните станции за отпадъчни води. Съществуват населени места с недостатъчна степен на пречистване. Осъществява се дълбоководно заустване, което отвежда пречистените отпадъчни води далеч от брега. При благоприятна крайбрежна циркулация на въздушните маси се създава ветровото вълнение и течения</w:t>
      </w:r>
      <w:r w:rsidR="004838DC" w:rsidRPr="00610B1B">
        <w:rPr>
          <w:rFonts w:ascii="Times New Roman" w:eastAsia="Calibri" w:hAnsi="Times New Roman" w:cs="Times New Roman"/>
          <w:bCs/>
          <w:color w:val="000000" w:themeColor="text1"/>
          <w:sz w:val="24"/>
          <w:szCs w:val="24"/>
          <w:lang w:val="bg-BG"/>
        </w:rPr>
        <w:t>та</w:t>
      </w:r>
      <w:r w:rsidRPr="00610B1B">
        <w:rPr>
          <w:rFonts w:ascii="Times New Roman" w:eastAsia="Calibri" w:hAnsi="Times New Roman" w:cs="Times New Roman"/>
          <w:bCs/>
          <w:color w:val="000000" w:themeColor="text1"/>
          <w:sz w:val="24"/>
          <w:szCs w:val="24"/>
          <w:lang w:val="bg-BG"/>
        </w:rPr>
        <w:t xml:space="preserve"> изтласкват </w:t>
      </w:r>
      <w:r w:rsidRPr="00610B1B">
        <w:rPr>
          <w:rFonts w:ascii="Times New Roman" w:eastAsia="Calibri" w:hAnsi="Times New Roman" w:cs="Times New Roman"/>
          <w:bCs/>
          <w:color w:val="000000" w:themeColor="text1"/>
          <w:sz w:val="24"/>
          <w:szCs w:val="24"/>
          <w:lang w:val="bg-BG"/>
        </w:rPr>
        <w:lastRenderedPageBreak/>
        <w:t xml:space="preserve">замърсените води в близост до зоните за къпане, което </w:t>
      </w:r>
      <w:r w:rsidR="004838DC" w:rsidRPr="00610B1B">
        <w:rPr>
          <w:rFonts w:ascii="Times New Roman" w:eastAsia="Calibri" w:hAnsi="Times New Roman" w:cs="Times New Roman"/>
          <w:bCs/>
          <w:color w:val="000000" w:themeColor="text1"/>
          <w:sz w:val="24"/>
          <w:szCs w:val="24"/>
          <w:lang w:val="bg-BG"/>
        </w:rPr>
        <w:t xml:space="preserve">влошава условията за </w:t>
      </w:r>
      <w:r w:rsidRPr="00610B1B">
        <w:rPr>
          <w:rFonts w:ascii="Times New Roman" w:eastAsia="Calibri" w:hAnsi="Times New Roman" w:cs="Times New Roman"/>
          <w:bCs/>
          <w:color w:val="000000" w:themeColor="text1"/>
          <w:sz w:val="24"/>
          <w:szCs w:val="24"/>
          <w:lang w:val="bg-BG"/>
        </w:rPr>
        <w:t>крайбреж</w:t>
      </w:r>
      <w:r w:rsidR="00654BD7" w:rsidRPr="00610B1B">
        <w:rPr>
          <w:rFonts w:ascii="Times New Roman" w:eastAsia="Calibri" w:hAnsi="Times New Roman" w:cs="Times New Roman"/>
          <w:bCs/>
          <w:color w:val="000000" w:themeColor="text1"/>
          <w:sz w:val="24"/>
          <w:szCs w:val="24"/>
          <w:lang w:val="bg-BG"/>
        </w:rPr>
        <w:t>е</w:t>
      </w:r>
      <w:r w:rsidRPr="00610B1B">
        <w:rPr>
          <w:rFonts w:ascii="Times New Roman" w:eastAsia="Calibri" w:hAnsi="Times New Roman" w:cs="Times New Roman"/>
          <w:bCs/>
          <w:color w:val="000000" w:themeColor="text1"/>
          <w:sz w:val="24"/>
          <w:szCs w:val="24"/>
          <w:lang w:val="bg-BG"/>
        </w:rPr>
        <w:t xml:space="preserve">н туризъм. Струпването на много хора върху ограничена плажна площ води до разрушаване на дюните, утъпкване на дъното и увреждане на плитките дънни местообитания на дълбочина до 1.5 m. Използването на високоскоростни плавателни съдове за развлечение създава подводен шум в плитката крайбрежна зона и прогонва риби и морски бозайници. Птиците </w:t>
      </w:r>
      <w:r w:rsidR="004838DC" w:rsidRPr="00610B1B">
        <w:rPr>
          <w:rFonts w:ascii="Times New Roman" w:eastAsia="Calibri" w:hAnsi="Times New Roman" w:cs="Times New Roman"/>
          <w:bCs/>
          <w:color w:val="000000" w:themeColor="text1"/>
          <w:sz w:val="24"/>
          <w:szCs w:val="24"/>
          <w:lang w:val="bg-BG"/>
        </w:rPr>
        <w:t xml:space="preserve">са </w:t>
      </w:r>
      <w:r w:rsidRPr="00610B1B">
        <w:rPr>
          <w:rFonts w:ascii="Times New Roman" w:eastAsia="Calibri" w:hAnsi="Times New Roman" w:cs="Times New Roman"/>
          <w:bCs/>
          <w:color w:val="000000" w:themeColor="text1"/>
          <w:sz w:val="24"/>
          <w:szCs w:val="24"/>
          <w:lang w:val="bg-BG"/>
        </w:rPr>
        <w:t>обезпокоявани в места</w:t>
      </w:r>
      <w:r w:rsidR="004838DC" w:rsidRPr="00610B1B">
        <w:rPr>
          <w:rFonts w:ascii="Times New Roman" w:eastAsia="Calibri" w:hAnsi="Times New Roman" w:cs="Times New Roman"/>
          <w:bCs/>
          <w:color w:val="000000" w:themeColor="text1"/>
          <w:sz w:val="24"/>
          <w:szCs w:val="24"/>
          <w:lang w:val="bg-BG"/>
        </w:rPr>
        <w:t>та</w:t>
      </w:r>
      <w:r w:rsidRPr="00610B1B">
        <w:rPr>
          <w:rFonts w:ascii="Times New Roman" w:eastAsia="Calibri" w:hAnsi="Times New Roman" w:cs="Times New Roman"/>
          <w:bCs/>
          <w:color w:val="000000" w:themeColor="text1"/>
          <w:sz w:val="24"/>
          <w:szCs w:val="24"/>
          <w:lang w:val="bg-BG"/>
        </w:rPr>
        <w:t xml:space="preserve"> за хранене и гнездене, поради липса на конкретни действия за прекратяване на произволния достъп.</w:t>
      </w:r>
    </w:p>
    <w:p w14:paraId="2B9D60F2" w14:textId="579D14EC"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Брегозащита</w:t>
      </w:r>
      <w:r w:rsidRPr="00610B1B">
        <w:rPr>
          <w:rFonts w:ascii="Times New Roman" w:eastAsia="Calibri" w:hAnsi="Times New Roman" w:cs="Times New Roman"/>
          <w:bCs/>
          <w:color w:val="000000" w:themeColor="text1"/>
          <w:sz w:val="24"/>
          <w:szCs w:val="24"/>
          <w:lang w:val="bg-BG"/>
        </w:rPr>
        <w:t xml:space="preserve"> </w:t>
      </w:r>
      <w:r w:rsidR="00C3007B" w:rsidRPr="00610B1B">
        <w:rPr>
          <w:rFonts w:ascii="Times New Roman" w:eastAsia="Calibri" w:hAnsi="Times New Roman" w:cs="Times New Roman"/>
          <w:bCs/>
          <w:i/>
          <w:color w:val="000000" w:themeColor="text1"/>
          <w:sz w:val="24"/>
          <w:szCs w:val="24"/>
          <w:lang w:val="bg-BG"/>
        </w:rPr>
        <w:t xml:space="preserve">– </w:t>
      </w:r>
      <w:r w:rsidR="004D4DE9" w:rsidRPr="00610B1B">
        <w:rPr>
          <w:rFonts w:ascii="Times New Roman" w:eastAsia="Calibri" w:hAnsi="Times New Roman" w:cs="Times New Roman"/>
          <w:bCs/>
          <w:color w:val="000000" w:themeColor="text1"/>
          <w:sz w:val="24"/>
          <w:szCs w:val="24"/>
          <w:lang w:val="bg-BG"/>
        </w:rPr>
        <w:t>Одобрените</w:t>
      </w:r>
      <w:r w:rsidRPr="00610B1B">
        <w:rPr>
          <w:rFonts w:ascii="Times New Roman" w:eastAsia="Calibri" w:hAnsi="Times New Roman" w:cs="Times New Roman"/>
          <w:bCs/>
          <w:color w:val="000000" w:themeColor="text1"/>
          <w:sz w:val="24"/>
          <w:szCs w:val="24"/>
          <w:lang w:val="bg-BG"/>
        </w:rPr>
        <w:t xml:space="preserve"> инвестиционни предложения за брегозащитни съоръжения и яхтени пристанища, юридически и инженерно обосновани, предизвикват необратими хидрологични изменения </w:t>
      </w:r>
      <w:r w:rsidR="004D4DE9" w:rsidRPr="00610B1B">
        <w:rPr>
          <w:rFonts w:ascii="Times New Roman" w:eastAsia="Calibri" w:hAnsi="Times New Roman" w:cs="Times New Roman"/>
          <w:bCs/>
          <w:color w:val="000000" w:themeColor="text1"/>
          <w:sz w:val="24"/>
          <w:szCs w:val="24"/>
          <w:lang w:val="bg-BG"/>
        </w:rPr>
        <w:t xml:space="preserve">в дългосрочен план </w:t>
      </w:r>
      <w:r w:rsidRPr="00610B1B">
        <w:rPr>
          <w:rFonts w:ascii="Times New Roman" w:eastAsia="Calibri" w:hAnsi="Times New Roman" w:cs="Times New Roman"/>
          <w:bCs/>
          <w:color w:val="000000" w:themeColor="text1"/>
          <w:sz w:val="24"/>
          <w:szCs w:val="24"/>
          <w:lang w:val="bg-BG"/>
        </w:rPr>
        <w:t>поради недостатъчни изследвания на бреговите и екологични процеси в участъците на строителство. Затрупването и запечатването води до намаляване на площта на преобладаващите дънни местообитания на дълбочина до 5 m и засяга медиолиторалните и плитките сублиторални местообитания. Наблюдава се подветрена абразия на плажните ивици, които се размиват поради въздействието на непроницаемите брегозащитни съоръжения в условията на наносен дефицит. Най-силно засегнати са уязвимите към абразия участъци - н. Сиврибурун – н. Шабла, н. Калиакра – Каварна, Каварна – Албена, Албена – н. Свети Георги, н. Галата – н. Емине, н. Емине – Несебър, Поморие – н. Форос.</w:t>
      </w:r>
    </w:p>
    <w:p w14:paraId="4F9D00C0" w14:textId="5173AD60"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Морска енергетика</w:t>
      </w:r>
      <w:r w:rsidR="00C3007B" w:rsidRPr="00610B1B">
        <w:rPr>
          <w:rFonts w:ascii="Times New Roman" w:eastAsia="Calibri" w:hAnsi="Times New Roman" w:cs="Times New Roman"/>
          <w:bCs/>
          <w:i/>
          <w:color w:val="000000" w:themeColor="text1"/>
          <w:sz w:val="24"/>
          <w:szCs w:val="24"/>
          <w:lang w:val="bg-BG"/>
        </w:rPr>
        <w:t xml:space="preserve"> – </w:t>
      </w:r>
      <w:r w:rsidR="004D4DE9" w:rsidRPr="00610B1B">
        <w:rPr>
          <w:rFonts w:ascii="Times New Roman" w:eastAsia="Calibri" w:hAnsi="Times New Roman" w:cs="Times New Roman"/>
          <w:bCs/>
          <w:color w:val="000000" w:themeColor="text1"/>
          <w:sz w:val="24"/>
          <w:szCs w:val="24"/>
          <w:lang w:val="bg-BG"/>
        </w:rPr>
        <w:t xml:space="preserve">Агресивното </w:t>
      </w:r>
      <w:r w:rsidRPr="00610B1B">
        <w:rPr>
          <w:rFonts w:ascii="Times New Roman" w:eastAsia="Calibri" w:hAnsi="Times New Roman" w:cs="Times New Roman"/>
          <w:bCs/>
          <w:color w:val="000000" w:themeColor="text1"/>
          <w:sz w:val="24"/>
          <w:szCs w:val="24"/>
          <w:lang w:val="bg-BG"/>
        </w:rPr>
        <w:t xml:space="preserve">проучване и добив на нефт и газ води до повишено шумово замърсяване, загуба на естествен дънен субстрат и замърсяване на придънните слоеве. Това </w:t>
      </w:r>
      <w:r w:rsidR="0093725E" w:rsidRPr="00610B1B">
        <w:rPr>
          <w:rFonts w:ascii="Times New Roman" w:eastAsia="Calibri" w:hAnsi="Times New Roman" w:cs="Times New Roman"/>
          <w:bCs/>
          <w:color w:val="000000" w:themeColor="text1"/>
          <w:sz w:val="24"/>
          <w:szCs w:val="24"/>
          <w:lang w:val="bg-BG"/>
        </w:rPr>
        <w:t>предизвиква</w:t>
      </w:r>
      <w:r w:rsidRPr="00610B1B">
        <w:rPr>
          <w:rFonts w:ascii="Times New Roman" w:eastAsia="Calibri" w:hAnsi="Times New Roman" w:cs="Times New Roman"/>
          <w:bCs/>
          <w:color w:val="000000" w:themeColor="text1"/>
          <w:sz w:val="24"/>
          <w:szCs w:val="24"/>
          <w:lang w:val="bg-BG"/>
        </w:rPr>
        <w:t xml:space="preserve"> промяна в поведението на чувствителните към шум пелагични и дънни видове морски риби и бозайници, което от своя страна променя тяхното разпространение. Рискът от нефтени разливи не е за подценяване, тъй като животът в Черно море е съсредоточен предимно в повърхностния слой (100 m) и това го прави изключително уязвим. Съчетаването на интензивен добив на нефт и намаляващата дълбочина на кислородния слой правят значителни площи от дънните местообитания между 60-100 m необитаеми. Това води до намаляване на запаса на дънни видове риби, които са обект на </w:t>
      </w:r>
      <w:r w:rsidR="00DD6CD4" w:rsidRPr="00610B1B">
        <w:rPr>
          <w:rFonts w:ascii="Times New Roman" w:eastAsia="Calibri" w:hAnsi="Times New Roman" w:cs="Times New Roman"/>
          <w:bCs/>
          <w:color w:val="000000" w:themeColor="text1"/>
          <w:sz w:val="24"/>
          <w:szCs w:val="24"/>
          <w:lang w:val="bg-BG"/>
        </w:rPr>
        <w:t>стопански риболов</w:t>
      </w:r>
      <w:r w:rsidRPr="00610B1B">
        <w:rPr>
          <w:rFonts w:ascii="Times New Roman" w:eastAsia="Calibri" w:hAnsi="Times New Roman" w:cs="Times New Roman"/>
          <w:bCs/>
          <w:color w:val="000000" w:themeColor="text1"/>
          <w:sz w:val="24"/>
          <w:szCs w:val="24"/>
          <w:lang w:val="bg-BG"/>
        </w:rPr>
        <w:t>.</w:t>
      </w:r>
    </w:p>
    <w:p w14:paraId="5532A19C" w14:textId="0CC13ADC"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Научни изследвания</w:t>
      </w:r>
      <w:r w:rsidRPr="00610B1B">
        <w:rPr>
          <w:rFonts w:ascii="Times New Roman" w:eastAsia="Calibri" w:hAnsi="Times New Roman" w:cs="Times New Roman"/>
          <w:bCs/>
          <w:color w:val="000000" w:themeColor="text1"/>
          <w:sz w:val="24"/>
          <w:szCs w:val="24"/>
          <w:lang w:val="bg-BG"/>
        </w:rPr>
        <w:t xml:space="preserve"> – Продължава тенденцията в корабостроенето за изграждане на морски плавателни съдове с икономически по-изгодните в краткосрочен план дизелови двигатели, въпреки че съществуват по-безшумни и съответно по-екологични турбо-електрически и електрически задвижващи системи. Мониторингът върху морската среда включва както вече съществуващите инвазивни методи, които изискват улов и умъртвяване на индивидите за целите на анализа, така и нови, не-летални и дистанционни методи за мониторинг на морските организми. Изследванията върху културното наследство се извършват, но на първо място са икономическите интереси за добив на нефт и газ и интензивния риболов, което води до разрушаване на част от потъналите археологически обекти. Морската енергетика разчита предимно на традиционни енергийни източници, за които има разработени съоръжения за добив, поради което изследванията са съсредоточен</w:t>
      </w:r>
      <w:r w:rsidR="00022EE3" w:rsidRPr="00610B1B">
        <w:rPr>
          <w:rFonts w:ascii="Times New Roman" w:eastAsia="Calibri" w:hAnsi="Times New Roman" w:cs="Times New Roman"/>
          <w:bCs/>
          <w:color w:val="000000" w:themeColor="text1"/>
          <w:sz w:val="24"/>
          <w:szCs w:val="24"/>
          <w:lang w:val="bg-BG"/>
        </w:rPr>
        <w:t>и</w:t>
      </w:r>
      <w:r w:rsidRPr="00610B1B">
        <w:rPr>
          <w:rFonts w:ascii="Times New Roman" w:eastAsia="Calibri" w:hAnsi="Times New Roman" w:cs="Times New Roman"/>
          <w:bCs/>
          <w:color w:val="000000" w:themeColor="text1"/>
          <w:sz w:val="24"/>
          <w:szCs w:val="24"/>
          <w:lang w:val="bg-BG"/>
        </w:rPr>
        <w:t xml:space="preserve"> предимно върху откриването на потенциалните находища на нефт и газ на шелфа.</w:t>
      </w:r>
    </w:p>
    <w:p w14:paraId="126ED20A" w14:textId="6EC2A528"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lastRenderedPageBreak/>
        <w:t>Взаимодействие суша-море</w:t>
      </w:r>
      <w:r w:rsidR="00C3007B" w:rsidRPr="00610B1B">
        <w:rPr>
          <w:rFonts w:ascii="Times New Roman" w:eastAsia="Calibri" w:hAnsi="Times New Roman" w:cs="Times New Roman"/>
          <w:bCs/>
          <w:i/>
          <w:color w:val="000000" w:themeColor="text1"/>
          <w:sz w:val="24"/>
          <w:szCs w:val="24"/>
          <w:lang w:val="bg-BG"/>
        </w:rPr>
        <w:t xml:space="preserve"> – </w:t>
      </w:r>
      <w:r w:rsidR="004D4DE9" w:rsidRPr="00610B1B">
        <w:rPr>
          <w:rFonts w:ascii="Times New Roman" w:eastAsia="Calibri" w:hAnsi="Times New Roman" w:cs="Times New Roman"/>
          <w:bCs/>
          <w:color w:val="000000" w:themeColor="text1"/>
          <w:sz w:val="24"/>
          <w:szCs w:val="24"/>
          <w:lang w:val="bg-BG"/>
        </w:rPr>
        <w:t xml:space="preserve">Изграждането </w:t>
      </w:r>
      <w:r w:rsidRPr="00610B1B">
        <w:rPr>
          <w:rFonts w:ascii="Times New Roman" w:eastAsia="Calibri" w:hAnsi="Times New Roman" w:cs="Times New Roman"/>
          <w:bCs/>
          <w:color w:val="000000" w:themeColor="text1"/>
          <w:sz w:val="24"/>
          <w:szCs w:val="24"/>
          <w:lang w:val="bg-BG"/>
        </w:rPr>
        <w:t>и модернизацията на пречиствателни станции за отпадъчни води намалява замърсяването от населените места и промишлеността. Развитието на екологично земеделие в прилежащите територии намалява степента на антропогенната еутрофикацията и замърсяването с пестициди на крайбрежните води. Някои пречиствателни станции за отпадъчни води са с недостатъчна степен на пречистване. Дълбоководно</w:t>
      </w:r>
      <w:r w:rsidR="004838DC" w:rsidRPr="00610B1B">
        <w:rPr>
          <w:rFonts w:ascii="Times New Roman" w:eastAsia="Calibri" w:hAnsi="Times New Roman" w:cs="Times New Roman"/>
          <w:bCs/>
          <w:color w:val="000000" w:themeColor="text1"/>
          <w:sz w:val="24"/>
          <w:szCs w:val="24"/>
          <w:lang w:val="bg-BG"/>
        </w:rPr>
        <w:t>то</w:t>
      </w:r>
      <w:r w:rsidRPr="00610B1B">
        <w:rPr>
          <w:rFonts w:ascii="Times New Roman" w:eastAsia="Calibri" w:hAnsi="Times New Roman" w:cs="Times New Roman"/>
          <w:bCs/>
          <w:color w:val="000000" w:themeColor="text1"/>
          <w:sz w:val="24"/>
          <w:szCs w:val="24"/>
          <w:lang w:val="bg-BG"/>
        </w:rPr>
        <w:t xml:space="preserve"> заустване отдалечава натиска от крайбрежните морски води и зоните за къпане, но при източна посока на вятъра и морските течения, по-леките пречистени отпадъчни води изплават на повърхността и се връщат обратно в крайбрежната зона.</w:t>
      </w:r>
    </w:p>
    <w:p w14:paraId="407C807B" w14:textId="6FC34158"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Взаимодействие море-суша</w:t>
      </w:r>
      <w:r w:rsidRPr="00610B1B">
        <w:rPr>
          <w:rFonts w:ascii="Times New Roman" w:eastAsia="Calibri" w:hAnsi="Times New Roman" w:cs="Times New Roman"/>
          <w:bCs/>
          <w:color w:val="000000" w:themeColor="text1"/>
          <w:sz w:val="24"/>
          <w:szCs w:val="24"/>
          <w:lang w:val="bg-BG"/>
        </w:rPr>
        <w:t xml:space="preserve"> – </w:t>
      </w:r>
      <w:r w:rsidR="004D4DE9" w:rsidRPr="00610B1B">
        <w:rPr>
          <w:rFonts w:ascii="Times New Roman" w:eastAsia="Calibri" w:hAnsi="Times New Roman" w:cs="Times New Roman"/>
          <w:bCs/>
          <w:color w:val="000000" w:themeColor="text1"/>
          <w:sz w:val="24"/>
          <w:szCs w:val="24"/>
          <w:lang w:val="bg-BG"/>
        </w:rPr>
        <w:t xml:space="preserve">Лошото </w:t>
      </w:r>
      <w:r w:rsidRPr="00610B1B">
        <w:rPr>
          <w:rFonts w:ascii="Times New Roman" w:eastAsia="Calibri" w:hAnsi="Times New Roman" w:cs="Times New Roman"/>
          <w:bCs/>
          <w:color w:val="000000" w:themeColor="text1"/>
          <w:sz w:val="24"/>
          <w:szCs w:val="24"/>
          <w:lang w:val="bg-BG"/>
        </w:rPr>
        <w:t>състояние на морската среда се отразява отрицателно върху развитието на крайбрежния туризъм, рибарството и морските аквакултури, поради което приходите от тях намаляват. Задълбочава се социалното неравенство между по-малките населени места и центровете на Синята икономика – Варна и Бургас. Интензивното крайбрежно строителство разрушава крайбрежния ландшафт и намалява неговата привлекателност като туристически ресурс</w:t>
      </w:r>
      <w:r w:rsidR="003F3C59" w:rsidRPr="00610B1B">
        <w:rPr>
          <w:rFonts w:ascii="Times New Roman" w:eastAsia="Calibri" w:hAnsi="Times New Roman" w:cs="Times New Roman"/>
          <w:bCs/>
          <w:color w:val="000000" w:themeColor="text1"/>
          <w:sz w:val="24"/>
          <w:szCs w:val="24"/>
          <w:lang w:val="bg-BG"/>
        </w:rPr>
        <w:t>.</w:t>
      </w:r>
    </w:p>
    <w:p w14:paraId="30AEBBCA" w14:textId="77777777" w:rsidR="003F3C59" w:rsidRPr="00610B1B" w:rsidRDefault="003F3C59" w:rsidP="00D32D6A">
      <w:pPr>
        <w:spacing w:after="120"/>
        <w:ind w:right="-153"/>
        <w:jc w:val="both"/>
        <w:rPr>
          <w:rFonts w:ascii="Times New Roman" w:eastAsia="Calibri" w:hAnsi="Times New Roman" w:cs="Times New Roman"/>
          <w:bCs/>
          <w:color w:val="000000" w:themeColor="text1"/>
          <w:sz w:val="24"/>
          <w:szCs w:val="24"/>
          <w:lang w:val="bg-BG"/>
        </w:rPr>
      </w:pPr>
    </w:p>
    <w:p w14:paraId="263510F1" w14:textId="6571805B" w:rsidR="0055674E" w:rsidRPr="00610B1B" w:rsidRDefault="0055674E" w:rsidP="00D32D6A">
      <w:pPr>
        <w:pStyle w:val="Heading3"/>
        <w:spacing w:before="0" w:line="276" w:lineRule="auto"/>
        <w:ind w:right="-153"/>
        <w:rPr>
          <w:rFonts w:cs="Times New Roman"/>
          <w:b w:val="0"/>
          <w:sz w:val="24"/>
          <w:szCs w:val="24"/>
        </w:rPr>
      </w:pPr>
      <w:bookmarkStart w:id="439" w:name="_Toc83391420"/>
      <w:r w:rsidRPr="00610B1B">
        <w:rPr>
          <w:rFonts w:cs="Times New Roman"/>
        </w:rPr>
        <w:t>4.</w:t>
      </w:r>
      <w:r w:rsidR="009278D0" w:rsidRPr="00610B1B">
        <w:rPr>
          <w:rFonts w:cs="Times New Roman"/>
        </w:rPr>
        <w:t>3</w:t>
      </w:r>
      <w:r w:rsidRPr="00610B1B">
        <w:rPr>
          <w:rFonts w:cs="Times New Roman"/>
        </w:rPr>
        <w:t>.2. Сценарий B –</w:t>
      </w:r>
      <w:r w:rsidR="00D66FE0" w:rsidRPr="00610B1B">
        <w:rPr>
          <w:rFonts w:cs="Times New Roman"/>
        </w:rPr>
        <w:t xml:space="preserve"> </w:t>
      </w:r>
      <w:r w:rsidRPr="00610B1B">
        <w:rPr>
          <w:rFonts w:cs="Times New Roman"/>
        </w:rPr>
        <w:t>Устойчива морска среда, съхраняваща ценните морски екосистеми</w:t>
      </w:r>
      <w:bookmarkEnd w:id="439"/>
      <w:r w:rsidR="00D66FE0" w:rsidRPr="00610B1B">
        <w:rPr>
          <w:rFonts w:cs="Times New Roman"/>
        </w:rPr>
        <w:t xml:space="preserve"> </w:t>
      </w:r>
    </w:p>
    <w:p w14:paraId="5CD7A645" w14:textId="47E4A369"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Фокусът на Сценарий В е поддържането на чиста околна среда и издръжлива/устойчива морска екосистема. Това е базовото условие за устойчиво развитие и благоденствие на местните общности. Опазването на уникалната и крехка екосистема на Черно море става приоритет и ограничител при развитието на всички морски ползвания. Насочва се адекватно внимание и ресурси за изпълнение на глобалната цел за намаляване на eмисиите от парникови газове (GHG) в контекста на цел 13 „Предприемане на спешни действия за борба с климатичните промени и въздействието им“ и цел 14</w:t>
      </w:r>
      <w:r w:rsidR="00D66FE0" w:rsidRPr="00610B1B">
        <w:rPr>
          <w:rFonts w:ascii="Times New Roman" w:eastAsia="Calibri" w:hAnsi="Times New Roman" w:cs="Times New Roman"/>
          <w:bCs/>
          <w:color w:val="000000" w:themeColor="text1"/>
          <w:sz w:val="24"/>
          <w:szCs w:val="24"/>
          <w:lang w:val="bg-BG"/>
        </w:rPr>
        <w:t xml:space="preserve"> </w:t>
      </w:r>
      <w:r w:rsidRPr="00610B1B">
        <w:rPr>
          <w:rFonts w:ascii="Times New Roman" w:eastAsia="Calibri" w:hAnsi="Times New Roman" w:cs="Times New Roman"/>
          <w:bCs/>
          <w:color w:val="000000" w:themeColor="text1"/>
          <w:sz w:val="24"/>
          <w:szCs w:val="24"/>
          <w:lang w:val="bg-BG"/>
        </w:rPr>
        <w:t xml:space="preserve">„Съхранение и устойчиво ползване на океаните, моретата и морските ресурси за устойчиво развитие“ от Стратегията на ООН за устойчиво развитие. </w:t>
      </w:r>
    </w:p>
    <w:p w14:paraId="58129229" w14:textId="3B1D438A"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Морската политика по този сценарий ще подкрепя предимно дейности, гарантиращи безопасен и чист морски транспорт, устойчиво рибарство и аквакултури, ефективен и устойчив туризъм. За да се осигури интегритет, жизненост и биоразнообразие на морската екосистема, може да се създадат нови защитени зони в морското пространство, извън границите на териториалните води. Това ще допринесе и за изпълнение на международните спогодби за опазване на биологичното разнообразие.</w:t>
      </w:r>
    </w:p>
    <w:p w14:paraId="5B7E1AB7" w14:textId="15F69326"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Мотивационна опора на екологичния сценарий е Националната програма за развитие „България 2030“ (Ос 2 „Зелена и устойчива България“), както и специализираният секторен планов документ „Морска стратегия за опазване на околната среда в морските води на Република България“. Принадлежността на морето към единната природна система на националното пространство прави Сценарий В съпричастен и към Националната Стратегия за адаптация към изменението на климата и Плана за действие</w:t>
      </w:r>
      <w:r w:rsidR="00AF6E4D" w:rsidRPr="00610B1B">
        <w:rPr>
          <w:rFonts w:ascii="Times New Roman" w:eastAsia="Calibri" w:hAnsi="Times New Roman" w:cs="Times New Roman"/>
          <w:bCs/>
          <w:color w:val="000000" w:themeColor="text1"/>
          <w:sz w:val="24"/>
          <w:szCs w:val="24"/>
          <w:lang w:val="bg-BG"/>
        </w:rPr>
        <w:t xml:space="preserve"> (НСАИКПД)</w:t>
      </w:r>
      <w:r w:rsidRPr="00610B1B">
        <w:rPr>
          <w:rFonts w:ascii="Times New Roman" w:eastAsia="Calibri" w:hAnsi="Times New Roman" w:cs="Times New Roman"/>
          <w:bCs/>
          <w:color w:val="000000" w:themeColor="text1"/>
          <w:sz w:val="24"/>
          <w:szCs w:val="24"/>
          <w:lang w:val="bg-BG"/>
        </w:rPr>
        <w:t xml:space="preserve">. Това е референтен документ, определящ рамка за действия за адаптиране </w:t>
      </w:r>
      <w:r w:rsidRPr="00610B1B">
        <w:rPr>
          <w:rFonts w:ascii="Times New Roman" w:eastAsia="Calibri" w:hAnsi="Times New Roman" w:cs="Times New Roman"/>
          <w:bCs/>
          <w:color w:val="000000" w:themeColor="text1"/>
          <w:sz w:val="24"/>
          <w:szCs w:val="24"/>
          <w:lang w:val="bg-BG"/>
        </w:rPr>
        <w:lastRenderedPageBreak/>
        <w:t>към изменението на климата до 2030 г. Идентифицираните действия за адаптиране касаят цялата икономика, всички ползвания, включително и тези в морската екосистема.</w:t>
      </w:r>
    </w:p>
    <w:p w14:paraId="0FD3C6EF"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Движещи сили с </w:t>
      </w:r>
      <w:r w:rsidRPr="00610B1B">
        <w:rPr>
          <w:rFonts w:ascii="Times New Roman" w:eastAsia="Calibri" w:hAnsi="Times New Roman" w:cs="Times New Roman"/>
          <w:bCs/>
          <w:i/>
          <w:color w:val="000000" w:themeColor="text1"/>
          <w:sz w:val="24"/>
          <w:szCs w:val="24"/>
          <w:lang w:val="bg-BG"/>
        </w:rPr>
        <w:t>политически</w:t>
      </w:r>
      <w:r w:rsidRPr="00610B1B">
        <w:rPr>
          <w:rFonts w:ascii="Times New Roman" w:eastAsia="Calibri" w:hAnsi="Times New Roman" w:cs="Times New Roman"/>
          <w:bCs/>
          <w:color w:val="000000" w:themeColor="text1"/>
          <w:sz w:val="24"/>
          <w:szCs w:val="24"/>
          <w:lang w:val="bg-BG"/>
        </w:rPr>
        <w:t xml:space="preserve"> характер:</w:t>
      </w:r>
    </w:p>
    <w:p w14:paraId="4A837A3E" w14:textId="77777777" w:rsidR="0055674E" w:rsidRPr="00610B1B" w:rsidRDefault="0055674E" w:rsidP="00B46189">
      <w:pPr>
        <w:pStyle w:val="ListParagraph"/>
        <w:numPr>
          <w:ilvl w:val="0"/>
          <w:numId w:val="23"/>
        </w:numPr>
        <w:spacing w:after="120"/>
        <w:ind w:right="-153"/>
        <w:contextualSpacing w:val="0"/>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Постигането на трайно добро екологично състояние на Черно море се реализира чрез приемане на стриктни екологични изисквания и съответна програма от мерки, обвързващи всички икономически сектори, обща политика и споделена отговорност на Черноморските страни;</w:t>
      </w:r>
    </w:p>
    <w:p w14:paraId="30F577F0" w14:textId="104BF904" w:rsidR="0055674E" w:rsidRPr="00610B1B" w:rsidRDefault="0055674E" w:rsidP="00B46189">
      <w:pPr>
        <w:numPr>
          <w:ilvl w:val="0"/>
          <w:numId w:val="23"/>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Оползотворяване</w:t>
      </w:r>
      <w:r w:rsidR="0074775A" w:rsidRPr="00610B1B">
        <w:rPr>
          <w:rFonts w:ascii="Times New Roman" w:eastAsia="Calibri" w:hAnsi="Times New Roman" w:cs="Times New Roman"/>
          <w:bCs/>
          <w:color w:val="000000" w:themeColor="text1"/>
          <w:sz w:val="24"/>
          <w:szCs w:val="24"/>
          <w:lang w:val="bg-BG"/>
        </w:rPr>
        <w:t>то</w:t>
      </w:r>
      <w:r w:rsidRPr="00610B1B">
        <w:rPr>
          <w:rFonts w:ascii="Times New Roman" w:eastAsia="Calibri" w:hAnsi="Times New Roman" w:cs="Times New Roman"/>
          <w:bCs/>
          <w:color w:val="000000" w:themeColor="text1"/>
          <w:sz w:val="24"/>
          <w:szCs w:val="24"/>
          <w:lang w:val="bg-BG"/>
        </w:rPr>
        <w:t xml:space="preserve"> на възобновяемите източници на енергия (най-вече ветровата) е един от ключовите национални приоритети</w:t>
      </w:r>
      <w:r w:rsidRPr="00610B1B">
        <w:rPr>
          <w:rFonts w:ascii="Times New Roman" w:eastAsia="Calibri" w:hAnsi="Times New Roman" w:cs="Times New Roman"/>
          <w:bCs/>
          <w:color w:val="000000" w:themeColor="text1"/>
          <w:sz w:val="24"/>
          <w:szCs w:val="24"/>
          <w:vertAlign w:val="superscript"/>
          <w:lang w:val="bg-BG"/>
        </w:rPr>
        <w:footnoteReference w:id="175"/>
      </w:r>
      <w:r w:rsidRPr="00610B1B">
        <w:rPr>
          <w:rFonts w:ascii="Times New Roman" w:eastAsia="Calibri" w:hAnsi="Times New Roman" w:cs="Times New Roman"/>
          <w:bCs/>
          <w:color w:val="000000" w:themeColor="text1"/>
          <w:sz w:val="24"/>
          <w:szCs w:val="24"/>
          <w:lang w:val="bg-BG"/>
        </w:rPr>
        <w:t>;</w:t>
      </w:r>
    </w:p>
    <w:p w14:paraId="5406FCBE" w14:textId="77777777" w:rsidR="0055674E" w:rsidRPr="00610B1B" w:rsidRDefault="0055674E" w:rsidP="00B46189">
      <w:pPr>
        <w:numPr>
          <w:ilvl w:val="0"/>
          <w:numId w:val="23"/>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Секторната туристическа политика лансира концепцията за 4 сезона и „бавен туризъм“, предполагаща разнообразяване на предлагането и по-щадяща експлоатация на ресурсите чрез форми на културен и еко-туризъм;</w:t>
      </w:r>
    </w:p>
    <w:p w14:paraId="2B1AD499"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Икономически</w:t>
      </w:r>
      <w:r w:rsidRPr="00610B1B">
        <w:rPr>
          <w:rFonts w:ascii="Times New Roman" w:eastAsia="Calibri" w:hAnsi="Times New Roman" w:cs="Times New Roman"/>
          <w:bCs/>
          <w:color w:val="000000" w:themeColor="text1"/>
          <w:sz w:val="24"/>
          <w:szCs w:val="24"/>
          <w:lang w:val="bg-BG"/>
        </w:rPr>
        <w:t xml:space="preserve"> движещи сили:</w:t>
      </w:r>
    </w:p>
    <w:p w14:paraId="3F5AC7AD" w14:textId="77777777" w:rsidR="0055674E" w:rsidRPr="00610B1B" w:rsidRDefault="0055674E" w:rsidP="00B46189">
      <w:pPr>
        <w:numPr>
          <w:ilvl w:val="0"/>
          <w:numId w:val="24"/>
        </w:numPr>
        <w:spacing w:after="120"/>
        <w:ind w:right="-158"/>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Предприемачеството в пространството на Черноморското крайбрежие ще се съсредоточи в двата областни центъра Варна и Бургас, като приоритетно ще се развиват клъстери, базирани на смарт технологии в морски индустрии.</w:t>
      </w:r>
    </w:p>
    <w:p w14:paraId="18AB0660" w14:textId="7F332B38" w:rsidR="0055674E" w:rsidRPr="00610B1B" w:rsidRDefault="0055674E" w:rsidP="00B46189">
      <w:pPr>
        <w:numPr>
          <w:ilvl w:val="0"/>
          <w:numId w:val="24"/>
        </w:numPr>
        <w:spacing w:after="120"/>
        <w:ind w:right="-158"/>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Поради строгите екологични стандарти, товарните превози ще се изтеглят от малките пристанища и ще се съсредоточат само в </w:t>
      </w:r>
      <w:r w:rsidR="0074775A" w:rsidRPr="00610B1B">
        <w:rPr>
          <w:rFonts w:ascii="Times New Roman" w:eastAsia="Calibri" w:hAnsi="Times New Roman" w:cs="Times New Roman"/>
          <w:bCs/>
          <w:color w:val="000000" w:themeColor="text1"/>
          <w:sz w:val="24"/>
          <w:szCs w:val="24"/>
          <w:lang w:val="bg-BG"/>
        </w:rPr>
        <w:t xml:space="preserve">Бургаското </w:t>
      </w:r>
      <w:r w:rsidRPr="00610B1B">
        <w:rPr>
          <w:rFonts w:ascii="Times New Roman" w:eastAsia="Calibri" w:hAnsi="Times New Roman" w:cs="Times New Roman"/>
          <w:bCs/>
          <w:color w:val="000000" w:themeColor="text1"/>
          <w:sz w:val="24"/>
          <w:szCs w:val="24"/>
          <w:lang w:val="bg-BG"/>
        </w:rPr>
        <w:t xml:space="preserve">и </w:t>
      </w:r>
      <w:r w:rsidR="0074775A" w:rsidRPr="00610B1B">
        <w:rPr>
          <w:rFonts w:ascii="Times New Roman" w:eastAsia="Calibri" w:hAnsi="Times New Roman" w:cs="Times New Roman"/>
          <w:bCs/>
          <w:color w:val="000000" w:themeColor="text1"/>
          <w:sz w:val="24"/>
          <w:szCs w:val="24"/>
          <w:lang w:val="bg-BG"/>
        </w:rPr>
        <w:t xml:space="preserve">Варненското </w:t>
      </w:r>
      <w:r w:rsidRPr="00610B1B">
        <w:rPr>
          <w:rFonts w:ascii="Times New Roman" w:eastAsia="Calibri" w:hAnsi="Times New Roman" w:cs="Times New Roman"/>
          <w:bCs/>
          <w:color w:val="000000" w:themeColor="text1"/>
          <w:sz w:val="24"/>
          <w:szCs w:val="24"/>
          <w:lang w:val="bg-BG"/>
        </w:rPr>
        <w:t>пристанища. Така ще се повиши и ефективността на инвестициите в мерки за опазване на околната среда.</w:t>
      </w:r>
    </w:p>
    <w:p w14:paraId="74205222" w14:textId="79D7F4DE" w:rsidR="0055674E" w:rsidRPr="00610B1B" w:rsidRDefault="0055674E" w:rsidP="00B46189">
      <w:pPr>
        <w:pStyle w:val="ListParagraph"/>
        <w:numPr>
          <w:ilvl w:val="0"/>
          <w:numId w:val="24"/>
        </w:numPr>
        <w:spacing w:after="120"/>
        <w:ind w:right="-158"/>
        <w:contextualSpacing w:val="0"/>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Чистата околна среда, адекватната инфраструктура, плажовете със сертификат „Син флаг“ и съхраненото природно наследство ще създадат качествени и атрактивни възможности за рекреация на туристи, уважаващи природата и нематериалните ценности. Това е възможност за валоризиране и същевременно, опазване на природните ценности по крайбрежието и в прилежащото морско пространство. Това е път за устойчиво развитие на туристическа дестинация.</w:t>
      </w:r>
    </w:p>
    <w:p w14:paraId="16FBEA93" w14:textId="752805EE" w:rsidR="0055674E" w:rsidRPr="00610B1B" w:rsidRDefault="0055674E" w:rsidP="00B46189">
      <w:pPr>
        <w:numPr>
          <w:ilvl w:val="0"/>
          <w:numId w:val="24"/>
        </w:numPr>
        <w:spacing w:after="120"/>
        <w:ind w:right="-158"/>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Доброто екологично състояние на морето осигурява достатъчно рибни ресурси и възможността за стабилен улов в рамките на максималния устойчив улов;</w:t>
      </w:r>
    </w:p>
    <w:p w14:paraId="5962C592" w14:textId="77777777" w:rsidR="0055674E" w:rsidRPr="00610B1B" w:rsidRDefault="0055674E" w:rsidP="00B46189">
      <w:pPr>
        <w:numPr>
          <w:ilvl w:val="0"/>
          <w:numId w:val="24"/>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Съхранената екосистема на морето ще създаде дългосрочна и икономически обоснована среда за значими инвестиции в „зелени“ технологии – като морски транспорт и енергетика.</w:t>
      </w:r>
    </w:p>
    <w:p w14:paraId="3D424669" w14:textId="72B81E2B"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Движещи сили в </w:t>
      </w:r>
      <w:r w:rsidRPr="00610B1B">
        <w:rPr>
          <w:rFonts w:ascii="Times New Roman" w:eastAsia="Calibri" w:hAnsi="Times New Roman" w:cs="Times New Roman"/>
          <w:bCs/>
          <w:i/>
          <w:color w:val="000000" w:themeColor="text1"/>
          <w:sz w:val="24"/>
          <w:szCs w:val="24"/>
          <w:lang w:val="bg-BG"/>
        </w:rPr>
        <w:t>технологичен</w:t>
      </w:r>
      <w:r w:rsidRPr="00610B1B">
        <w:rPr>
          <w:rFonts w:ascii="Times New Roman" w:eastAsia="Calibri" w:hAnsi="Times New Roman" w:cs="Times New Roman"/>
          <w:bCs/>
          <w:color w:val="000000" w:themeColor="text1"/>
          <w:sz w:val="24"/>
          <w:szCs w:val="24"/>
          <w:lang w:val="bg-BG"/>
        </w:rPr>
        <w:t xml:space="preserve"> аспект:</w:t>
      </w:r>
    </w:p>
    <w:p w14:paraId="3293F1DA" w14:textId="2F377B18" w:rsidR="0055674E" w:rsidRPr="00610B1B" w:rsidRDefault="0055674E" w:rsidP="00B46189">
      <w:pPr>
        <w:numPr>
          <w:ilvl w:val="0"/>
          <w:numId w:val="25"/>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Изследванията и иновациите са насочени предимно към природосъобразни технологии. </w:t>
      </w:r>
      <w:r w:rsidR="00A1764F" w:rsidRPr="00610B1B">
        <w:rPr>
          <w:rFonts w:ascii="Times New Roman" w:eastAsia="Calibri" w:hAnsi="Times New Roman" w:cs="Times New Roman"/>
          <w:bCs/>
          <w:color w:val="000000" w:themeColor="text1"/>
          <w:sz w:val="24"/>
          <w:szCs w:val="24"/>
          <w:lang w:val="bg-BG"/>
        </w:rPr>
        <w:t>Към останалите сектори са поставени по-високи е</w:t>
      </w:r>
      <w:r w:rsidRPr="00610B1B">
        <w:rPr>
          <w:rFonts w:ascii="Times New Roman" w:eastAsia="Calibri" w:hAnsi="Times New Roman" w:cs="Times New Roman"/>
          <w:bCs/>
          <w:color w:val="000000" w:themeColor="text1"/>
          <w:sz w:val="24"/>
          <w:szCs w:val="24"/>
          <w:lang w:val="bg-BG"/>
        </w:rPr>
        <w:t>кологични изисквания и цели</w:t>
      </w:r>
      <w:r w:rsidR="00A1764F" w:rsidRPr="00610B1B">
        <w:rPr>
          <w:rFonts w:ascii="Times New Roman" w:eastAsia="Calibri" w:hAnsi="Times New Roman" w:cs="Times New Roman"/>
          <w:bCs/>
          <w:color w:val="000000" w:themeColor="text1"/>
          <w:sz w:val="24"/>
          <w:szCs w:val="24"/>
          <w:lang w:val="bg-BG"/>
        </w:rPr>
        <w:t>, които</w:t>
      </w:r>
      <w:r w:rsidRPr="00610B1B">
        <w:rPr>
          <w:rFonts w:ascii="Times New Roman" w:eastAsia="Calibri" w:hAnsi="Times New Roman" w:cs="Times New Roman"/>
          <w:bCs/>
          <w:color w:val="000000" w:themeColor="text1"/>
          <w:sz w:val="24"/>
          <w:szCs w:val="24"/>
          <w:lang w:val="bg-BG"/>
        </w:rPr>
        <w:t xml:space="preserve"> са в основата на развитието по този сценарий.</w:t>
      </w:r>
    </w:p>
    <w:p w14:paraId="70B20B83" w14:textId="77777777" w:rsidR="0055674E" w:rsidRPr="00610B1B" w:rsidRDefault="0055674E" w:rsidP="00B46189">
      <w:pPr>
        <w:numPr>
          <w:ilvl w:val="0"/>
          <w:numId w:val="25"/>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lastRenderedPageBreak/>
        <w:t>В сферата на туризма се развиват и оползотворяват еко-иновациите, увеличава се значението и предлагането на продукти за екотуризъм и културен туризъм. Превес в транспортната модалност добиват електромобилността, придвижването с велосипед и обществен транспорт, за сметка на личните автомобили.</w:t>
      </w:r>
    </w:p>
    <w:p w14:paraId="7970A031"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 xml:space="preserve">Социалните </w:t>
      </w:r>
      <w:r w:rsidRPr="00610B1B">
        <w:rPr>
          <w:rFonts w:ascii="Times New Roman" w:eastAsia="Calibri" w:hAnsi="Times New Roman" w:cs="Times New Roman"/>
          <w:bCs/>
          <w:color w:val="000000" w:themeColor="text1"/>
          <w:sz w:val="24"/>
          <w:szCs w:val="24"/>
          <w:lang w:val="bg-BG"/>
        </w:rPr>
        <w:t>движещи сили:</w:t>
      </w:r>
    </w:p>
    <w:p w14:paraId="70BE5E86" w14:textId="21657FA5" w:rsidR="0055674E" w:rsidRPr="00610B1B" w:rsidRDefault="0055674E" w:rsidP="00B46189">
      <w:pPr>
        <w:numPr>
          <w:ilvl w:val="0"/>
          <w:numId w:val="27"/>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Демографските процеси ще продължат да се развиват в контекста на негативните </w:t>
      </w:r>
      <w:r w:rsidR="00A1764F" w:rsidRPr="00610B1B">
        <w:rPr>
          <w:rFonts w:ascii="Times New Roman" w:eastAsia="Calibri" w:hAnsi="Times New Roman" w:cs="Times New Roman"/>
          <w:bCs/>
          <w:color w:val="000000" w:themeColor="text1"/>
          <w:sz w:val="24"/>
          <w:szCs w:val="24"/>
          <w:lang w:val="bg-BG"/>
        </w:rPr>
        <w:t>тенденции</w:t>
      </w:r>
      <w:r w:rsidRPr="00610B1B">
        <w:rPr>
          <w:rFonts w:ascii="Times New Roman" w:eastAsia="Calibri" w:hAnsi="Times New Roman" w:cs="Times New Roman"/>
          <w:bCs/>
          <w:color w:val="000000" w:themeColor="text1"/>
          <w:sz w:val="24"/>
          <w:szCs w:val="24"/>
          <w:lang w:val="bg-BG"/>
        </w:rPr>
        <w:t xml:space="preserve"> – влош</w:t>
      </w:r>
      <w:r w:rsidR="0074775A" w:rsidRPr="00610B1B">
        <w:rPr>
          <w:rFonts w:ascii="Times New Roman" w:eastAsia="Calibri" w:hAnsi="Times New Roman" w:cs="Times New Roman"/>
          <w:bCs/>
          <w:color w:val="000000" w:themeColor="text1"/>
          <w:sz w:val="24"/>
          <w:szCs w:val="24"/>
          <w:lang w:val="bg-BG"/>
        </w:rPr>
        <w:t>ена</w:t>
      </w:r>
      <w:r w:rsidRPr="00610B1B">
        <w:rPr>
          <w:rFonts w:ascii="Times New Roman" w:eastAsia="Calibri" w:hAnsi="Times New Roman" w:cs="Times New Roman"/>
          <w:bCs/>
          <w:color w:val="000000" w:themeColor="text1"/>
          <w:sz w:val="24"/>
          <w:szCs w:val="24"/>
          <w:lang w:val="bg-BG"/>
        </w:rPr>
        <w:t xml:space="preserve"> възрастова структура, отрицателен естествен прираст, намаляваща фертилност. В резултат на това пазарът на труда ще изпитва дефицити в периоди на сезонни пулсации, а системите за социално подпомагане – повишен натиск.</w:t>
      </w:r>
    </w:p>
    <w:p w14:paraId="523D3C14" w14:textId="4DDE9583" w:rsidR="0055674E" w:rsidRPr="00610B1B" w:rsidRDefault="0055674E" w:rsidP="00B46189">
      <w:pPr>
        <w:numPr>
          <w:ilvl w:val="0"/>
          <w:numId w:val="27"/>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Благодарение на постигнатия добър екологичен статус, крайбрежието ще стане атрактивно не само за рекреация</w:t>
      </w:r>
      <w:r w:rsidR="00A1764F" w:rsidRPr="00610B1B">
        <w:rPr>
          <w:rFonts w:ascii="Times New Roman" w:eastAsia="Calibri" w:hAnsi="Times New Roman" w:cs="Times New Roman"/>
          <w:bCs/>
          <w:color w:val="000000" w:themeColor="text1"/>
          <w:sz w:val="24"/>
          <w:szCs w:val="24"/>
          <w:lang w:val="bg-BG"/>
        </w:rPr>
        <w:t>,</w:t>
      </w:r>
      <w:r w:rsidRPr="00610B1B">
        <w:rPr>
          <w:rFonts w:ascii="Times New Roman" w:eastAsia="Calibri" w:hAnsi="Times New Roman" w:cs="Times New Roman"/>
          <w:bCs/>
          <w:color w:val="000000" w:themeColor="text1"/>
          <w:sz w:val="24"/>
          <w:szCs w:val="24"/>
          <w:lang w:val="bg-BG"/>
        </w:rPr>
        <w:t xml:space="preserve"> но и за заселване на хора, ценящи природните аспекти в стандарта си на живот. Това ще стане още един мотив за механичния прираст в селищата по крайбрежието.</w:t>
      </w:r>
    </w:p>
    <w:p w14:paraId="1236BFC8" w14:textId="6BBC1073" w:rsidR="0055674E" w:rsidRPr="00610B1B" w:rsidRDefault="0055674E" w:rsidP="00B46189">
      <w:pPr>
        <w:numPr>
          <w:ilvl w:val="0"/>
          <w:numId w:val="27"/>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Увеличените разходи за защита на природата за сметка на реалната икономика ще породят социални напрежения между привържениците на този сценарий и негови</w:t>
      </w:r>
      <w:r w:rsidR="00A1764F" w:rsidRPr="00610B1B">
        <w:rPr>
          <w:rFonts w:ascii="Times New Roman" w:eastAsia="Calibri" w:hAnsi="Times New Roman" w:cs="Times New Roman"/>
          <w:bCs/>
          <w:color w:val="000000" w:themeColor="text1"/>
          <w:sz w:val="24"/>
          <w:szCs w:val="24"/>
          <w:lang w:val="bg-BG"/>
        </w:rPr>
        <w:t>те</w:t>
      </w:r>
      <w:r w:rsidRPr="00610B1B">
        <w:rPr>
          <w:rFonts w:ascii="Times New Roman" w:eastAsia="Calibri" w:hAnsi="Times New Roman" w:cs="Times New Roman"/>
          <w:bCs/>
          <w:color w:val="000000" w:themeColor="text1"/>
          <w:sz w:val="24"/>
          <w:szCs w:val="24"/>
          <w:lang w:val="bg-BG"/>
        </w:rPr>
        <w:t xml:space="preserve"> противници.</w:t>
      </w:r>
    </w:p>
    <w:p w14:paraId="59682070" w14:textId="77777777" w:rsidR="0055674E" w:rsidRPr="00610B1B" w:rsidRDefault="0055674E" w:rsidP="00B46189">
      <w:pPr>
        <w:numPr>
          <w:ilvl w:val="0"/>
          <w:numId w:val="27"/>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Търпимостта на местните общности към чужди култури и ценности, както въобще към туристите, ще се повиши с промяна на профила от туристи-консуматори, към туристи – любители на природното и културното наследство. </w:t>
      </w:r>
    </w:p>
    <w:p w14:paraId="0AB15F27"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Условия на </w:t>
      </w:r>
      <w:r w:rsidRPr="00610B1B">
        <w:rPr>
          <w:rFonts w:ascii="Times New Roman" w:eastAsia="Calibri" w:hAnsi="Times New Roman" w:cs="Times New Roman"/>
          <w:bCs/>
          <w:i/>
          <w:color w:val="000000" w:themeColor="text1"/>
          <w:sz w:val="24"/>
          <w:szCs w:val="24"/>
          <w:lang w:val="bg-BG"/>
        </w:rPr>
        <w:t>околната среда и природата</w:t>
      </w:r>
      <w:r w:rsidRPr="00610B1B">
        <w:rPr>
          <w:rFonts w:ascii="Times New Roman" w:eastAsia="Calibri" w:hAnsi="Times New Roman" w:cs="Times New Roman"/>
          <w:bCs/>
          <w:color w:val="000000" w:themeColor="text1"/>
          <w:sz w:val="24"/>
          <w:szCs w:val="24"/>
          <w:lang w:val="bg-BG"/>
        </w:rPr>
        <w:t>:</w:t>
      </w:r>
    </w:p>
    <w:p w14:paraId="519C1550" w14:textId="77777777" w:rsidR="0055674E" w:rsidRPr="00610B1B" w:rsidRDefault="0055674E" w:rsidP="00B46189">
      <w:pPr>
        <w:pStyle w:val="ListParagraph"/>
        <w:numPr>
          <w:ilvl w:val="0"/>
          <w:numId w:val="26"/>
        </w:numPr>
        <w:spacing w:after="120"/>
        <w:ind w:right="-153"/>
        <w:contextualSpacing w:val="0"/>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В морската среда е постигнато добро екологично състояние. Стойностите на индикаторите за състоянието се намират и поддържат в границите, характеризиращи доброто състояние.</w:t>
      </w:r>
    </w:p>
    <w:p w14:paraId="6BEA761A" w14:textId="77777777" w:rsidR="0055674E" w:rsidRPr="00610B1B" w:rsidRDefault="0055674E" w:rsidP="00B46189">
      <w:pPr>
        <w:numPr>
          <w:ilvl w:val="0"/>
          <w:numId w:val="26"/>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Природните ресурси и биоразнообразието са в добро консервационно състояние. Увеличава се биоразнообразието в определени хабитати и сред определени общности от видове.</w:t>
      </w:r>
    </w:p>
    <w:p w14:paraId="1CC1ADB2" w14:textId="73B9DFBC" w:rsidR="0055674E" w:rsidRPr="00610B1B" w:rsidRDefault="0055674E" w:rsidP="00B46189">
      <w:pPr>
        <w:numPr>
          <w:ilvl w:val="0"/>
          <w:numId w:val="26"/>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Благодарение на национални мерки и международно сътрудничество в Черноморския басейн, възможните последствия от климатичните промени по морското крайбрежие са редуцирани или предотвратени.</w:t>
      </w:r>
    </w:p>
    <w:p w14:paraId="4D314F05" w14:textId="77777777" w:rsidR="0055674E" w:rsidRPr="00610B1B" w:rsidRDefault="0055674E" w:rsidP="00D32D6A">
      <w:pPr>
        <w:spacing w:after="120"/>
        <w:ind w:right="-153"/>
        <w:jc w:val="both"/>
        <w:rPr>
          <w:rFonts w:ascii="Times New Roman" w:eastAsia="Calibri" w:hAnsi="Times New Roman" w:cs="Times New Roman"/>
          <w:b/>
          <w:bCs/>
          <w:color w:val="000000" w:themeColor="text1"/>
          <w:sz w:val="24"/>
          <w:szCs w:val="24"/>
          <w:lang w:val="bg-BG"/>
        </w:rPr>
      </w:pPr>
      <w:r w:rsidRPr="00610B1B">
        <w:rPr>
          <w:rFonts w:ascii="Times New Roman" w:eastAsia="Calibri" w:hAnsi="Times New Roman" w:cs="Times New Roman"/>
          <w:b/>
          <w:bCs/>
          <w:color w:val="000000" w:themeColor="text1"/>
          <w:sz w:val="24"/>
          <w:szCs w:val="24"/>
          <w:lang w:val="bg-BG"/>
        </w:rPr>
        <w:t>Вероятни въздействия върху околната среда по сектори от морската икономика при прилагането на Сценарий B</w:t>
      </w:r>
    </w:p>
    <w:p w14:paraId="77B145FC" w14:textId="4E7C4704" w:rsidR="0055674E" w:rsidRPr="00610B1B" w:rsidRDefault="0055674E" w:rsidP="00D32D6A">
      <w:pPr>
        <w:pStyle w:val="BodyText"/>
        <w:spacing w:before="0" w:after="120" w:line="276" w:lineRule="auto"/>
        <w:ind w:right="-153"/>
        <w:rPr>
          <w:rFonts w:cs="Times New Roman"/>
        </w:rPr>
      </w:pPr>
      <w:r w:rsidRPr="00610B1B">
        <w:rPr>
          <w:rFonts w:cs="Times New Roman"/>
          <w:i/>
        </w:rPr>
        <w:t>Морски транспорт</w:t>
      </w:r>
      <w:r w:rsidRPr="00610B1B">
        <w:rPr>
          <w:rFonts w:cs="Times New Roman"/>
        </w:rPr>
        <w:t xml:space="preserve"> – </w:t>
      </w:r>
      <w:r w:rsidR="004D4DE9" w:rsidRPr="00610B1B">
        <w:rPr>
          <w:rFonts w:cs="Times New Roman"/>
        </w:rPr>
        <w:t xml:space="preserve">Създаден </w:t>
      </w:r>
      <w:r w:rsidRPr="00610B1B">
        <w:rPr>
          <w:rFonts w:cs="Times New Roman"/>
        </w:rPr>
        <w:t>е регистър на подводния шум, който позволява мониторинг и контрол върху нивата на шума</w:t>
      </w:r>
      <w:r w:rsidR="004D4DE9" w:rsidRPr="00610B1B">
        <w:rPr>
          <w:rFonts w:cs="Times New Roman"/>
        </w:rPr>
        <w:t xml:space="preserve"> и под</w:t>
      </w:r>
      <w:r w:rsidRPr="00610B1B">
        <w:rPr>
          <w:rFonts w:cs="Times New Roman"/>
        </w:rPr>
        <w:t>помага изпълнение</w:t>
      </w:r>
      <w:r w:rsidR="004D4DE9" w:rsidRPr="00610B1B">
        <w:rPr>
          <w:rFonts w:cs="Times New Roman"/>
        </w:rPr>
        <w:t>то</w:t>
      </w:r>
      <w:r w:rsidRPr="00610B1B">
        <w:rPr>
          <w:rFonts w:cs="Times New Roman"/>
        </w:rPr>
        <w:t xml:space="preserve"> на целите и мерките, предвидени в Морската стратегия. </w:t>
      </w:r>
      <w:r w:rsidR="00B9353E" w:rsidRPr="00610B1B">
        <w:rPr>
          <w:rFonts w:cs="Times New Roman"/>
        </w:rPr>
        <w:t xml:space="preserve">Намалява </w:t>
      </w:r>
      <w:r w:rsidRPr="00610B1B">
        <w:rPr>
          <w:rFonts w:cs="Times New Roman"/>
        </w:rPr>
        <w:t>натиск</w:t>
      </w:r>
      <w:r w:rsidR="00B9353E" w:rsidRPr="00610B1B">
        <w:rPr>
          <w:rFonts w:cs="Times New Roman"/>
        </w:rPr>
        <w:t>ът</w:t>
      </w:r>
      <w:r w:rsidRPr="00610B1B">
        <w:rPr>
          <w:rFonts w:cs="Times New Roman"/>
        </w:rPr>
        <w:t xml:space="preserve"> върху чувствителните към шум морски риби и бозайници. Увеличава се числеността им и в близост до големите пристанища, а не само в отдалечените райони. Подобреният контрол върху баластните води на корабите намалява </w:t>
      </w:r>
      <w:r w:rsidR="00F40505" w:rsidRPr="00610B1B">
        <w:rPr>
          <w:rFonts w:cs="Times New Roman"/>
        </w:rPr>
        <w:t>броя на новите инвазивни видове</w:t>
      </w:r>
      <w:r w:rsidRPr="00610B1B">
        <w:rPr>
          <w:rFonts w:cs="Times New Roman"/>
        </w:rPr>
        <w:t xml:space="preserve">. Прилагането на дистанционни методи води до прекратяване на незаконно изхвърляне на замърсители и отпадъци от корабите в морските пространства. Видимо се подобрява прозрачността на </w:t>
      </w:r>
      <w:r w:rsidRPr="00610B1B">
        <w:rPr>
          <w:rFonts w:cs="Times New Roman"/>
        </w:rPr>
        <w:lastRenderedPageBreak/>
        <w:t xml:space="preserve">морската вода в пристанищните акватории, </w:t>
      </w:r>
      <w:r w:rsidR="00BA5862" w:rsidRPr="00610B1B">
        <w:rPr>
          <w:rFonts w:cs="Times New Roman"/>
        </w:rPr>
        <w:t>намаляват</w:t>
      </w:r>
      <w:r w:rsidR="00A1764F" w:rsidRPr="00610B1B">
        <w:rPr>
          <w:rFonts w:cs="Times New Roman"/>
        </w:rPr>
        <w:t xml:space="preserve"> </w:t>
      </w:r>
      <w:r w:rsidRPr="00610B1B">
        <w:rPr>
          <w:rFonts w:cs="Times New Roman"/>
        </w:rPr>
        <w:t xml:space="preserve">цъфтежите на вида </w:t>
      </w:r>
      <w:r w:rsidRPr="00610B1B">
        <w:rPr>
          <w:rFonts w:cs="Times New Roman"/>
          <w:i/>
          <w:iCs/>
        </w:rPr>
        <w:t>Noctuluca scintillans</w:t>
      </w:r>
      <w:r w:rsidRPr="00610B1B">
        <w:rPr>
          <w:rFonts w:cs="Times New Roman"/>
        </w:rPr>
        <w:t xml:space="preserve"> като индикатор за еутрофикация.</w:t>
      </w:r>
    </w:p>
    <w:p w14:paraId="66D6C636" w14:textId="0946F31B" w:rsidR="0055674E" w:rsidRPr="00610B1B" w:rsidRDefault="00DD6CD4" w:rsidP="00D32D6A">
      <w:pPr>
        <w:pStyle w:val="BodyText"/>
        <w:spacing w:before="0" w:after="120" w:line="276" w:lineRule="auto"/>
        <w:ind w:right="-153"/>
        <w:rPr>
          <w:rFonts w:cs="Times New Roman"/>
        </w:rPr>
      </w:pPr>
      <w:r w:rsidRPr="00610B1B">
        <w:rPr>
          <w:rFonts w:cs="Times New Roman"/>
          <w:i/>
        </w:rPr>
        <w:t>Стопански риболов</w:t>
      </w:r>
      <w:r w:rsidR="0055674E" w:rsidRPr="00610B1B">
        <w:rPr>
          <w:rFonts w:cs="Times New Roman"/>
        </w:rPr>
        <w:t xml:space="preserve"> – </w:t>
      </w:r>
      <w:r w:rsidR="004D4DE9" w:rsidRPr="00610B1B">
        <w:rPr>
          <w:rFonts w:cs="Times New Roman"/>
        </w:rPr>
        <w:t xml:space="preserve">Риболовът </w:t>
      </w:r>
      <w:r w:rsidR="0055674E" w:rsidRPr="00610B1B">
        <w:rPr>
          <w:rFonts w:cs="Times New Roman"/>
        </w:rPr>
        <w:t xml:space="preserve">се извършва със селективни риболовни уреди, щадящи околната среда. Натискът е извън защитените зони. Намалява натискът върху пелагичните и шелфовите дънни местообитания в района на Варненския и Бургаски залив, което помага за тяхното възстановяване. Добивът на рибни видове не надхвърля максималния устойчив улов. Дейността се извършва не само в големите центрове на </w:t>
      </w:r>
      <w:r w:rsidRPr="00610B1B">
        <w:rPr>
          <w:rFonts w:cs="Times New Roman"/>
        </w:rPr>
        <w:t>стопански риболов</w:t>
      </w:r>
      <w:r w:rsidR="00C3007B" w:rsidRPr="00610B1B">
        <w:rPr>
          <w:rFonts w:cs="Times New Roman"/>
        </w:rPr>
        <w:t> </w:t>
      </w:r>
      <w:r w:rsidR="0055674E" w:rsidRPr="00610B1B">
        <w:rPr>
          <w:rFonts w:cs="Times New Roman"/>
        </w:rPr>
        <w:t>– Варна и Бургас, а и в по-малките – Балчик, Несебър, Поморие, Созопол, Царево и Ахтопол. Част от морските храни се осигурява</w:t>
      </w:r>
      <w:r w:rsidR="00B9353E" w:rsidRPr="00610B1B">
        <w:rPr>
          <w:rFonts w:cs="Times New Roman"/>
        </w:rPr>
        <w:t>т</w:t>
      </w:r>
      <w:r w:rsidR="0055674E" w:rsidRPr="00610B1B">
        <w:rPr>
          <w:rFonts w:cs="Times New Roman"/>
        </w:rPr>
        <w:t xml:space="preserve"> от аквакултури, друга от мест</w:t>
      </w:r>
      <w:r w:rsidR="009021CB" w:rsidRPr="00610B1B">
        <w:rPr>
          <w:rFonts w:cs="Times New Roman"/>
        </w:rPr>
        <w:t>н</w:t>
      </w:r>
      <w:r w:rsidR="0055674E" w:rsidRPr="00610B1B">
        <w:rPr>
          <w:rFonts w:cs="Times New Roman"/>
        </w:rPr>
        <w:t xml:space="preserve">и рибари. </w:t>
      </w:r>
      <w:r w:rsidR="00B9353E" w:rsidRPr="00610B1B">
        <w:rPr>
          <w:rFonts w:cs="Times New Roman"/>
        </w:rPr>
        <w:t xml:space="preserve">Осигурява се </w:t>
      </w:r>
      <w:r w:rsidR="0055674E" w:rsidRPr="00610B1B">
        <w:rPr>
          <w:rFonts w:cs="Times New Roman"/>
        </w:rPr>
        <w:t>поминък за по-малките крайбрежни населени места.</w:t>
      </w:r>
    </w:p>
    <w:p w14:paraId="587EF496" w14:textId="05318375" w:rsidR="0055674E" w:rsidRPr="00610B1B" w:rsidRDefault="0055674E" w:rsidP="00D32D6A">
      <w:pPr>
        <w:pStyle w:val="BodyText"/>
        <w:spacing w:before="0" w:after="120" w:line="276" w:lineRule="auto"/>
        <w:ind w:right="-153"/>
        <w:rPr>
          <w:rFonts w:cs="Times New Roman"/>
        </w:rPr>
      </w:pPr>
      <w:r w:rsidRPr="00610B1B">
        <w:rPr>
          <w:rFonts w:cs="Times New Roman"/>
          <w:i/>
        </w:rPr>
        <w:t>Морски аквакултури</w:t>
      </w:r>
      <w:r w:rsidRPr="00610B1B">
        <w:rPr>
          <w:rFonts w:cs="Times New Roman"/>
        </w:rPr>
        <w:t xml:space="preserve"> – </w:t>
      </w:r>
      <w:r w:rsidR="004D4DE9" w:rsidRPr="00610B1B">
        <w:rPr>
          <w:rFonts w:cs="Times New Roman"/>
        </w:rPr>
        <w:t xml:space="preserve">Развиват </w:t>
      </w:r>
      <w:r w:rsidRPr="00610B1B">
        <w:rPr>
          <w:rFonts w:cs="Times New Roman"/>
        </w:rPr>
        <w:t>се основните райони между н. Калиакра-Каварна, източно от н. Емине и южно от Созопол. Търсят се възможности за развитието на дълбоководни аквакултури и синергия между аквакултури с вятърни паркове - източно от н. Калиакра. Развиват се и мултитрофни аквакултури, съчетаващи отглеждането на риби с нерибни видове (миди).</w:t>
      </w:r>
    </w:p>
    <w:p w14:paraId="1979F8B5" w14:textId="71B3C5F2" w:rsidR="0055674E" w:rsidRPr="00610B1B" w:rsidRDefault="0055674E" w:rsidP="00D32D6A">
      <w:pPr>
        <w:pStyle w:val="BodyText"/>
        <w:spacing w:before="0" w:after="120" w:line="276" w:lineRule="auto"/>
        <w:ind w:right="-153"/>
        <w:rPr>
          <w:rFonts w:cs="Times New Roman"/>
        </w:rPr>
      </w:pPr>
      <w:r w:rsidRPr="00610B1B">
        <w:rPr>
          <w:rFonts w:cs="Times New Roman"/>
          <w:i/>
        </w:rPr>
        <w:t xml:space="preserve">Туризъм </w:t>
      </w:r>
      <w:r w:rsidRPr="00610B1B">
        <w:rPr>
          <w:rFonts w:cs="Times New Roman"/>
        </w:rPr>
        <w:t xml:space="preserve">– </w:t>
      </w:r>
      <w:r w:rsidR="004D4DE9" w:rsidRPr="00610B1B">
        <w:rPr>
          <w:rFonts w:cs="Times New Roman"/>
        </w:rPr>
        <w:t xml:space="preserve">Натоварването </w:t>
      </w:r>
      <w:r w:rsidRPr="00610B1B">
        <w:rPr>
          <w:rFonts w:cs="Times New Roman"/>
        </w:rPr>
        <w:t>на плажните ивици се намалява чрез определяне на легловата база в зависимост от оптималното плажно пространство на човек. Това намалява приходите от масовия туризъм. За сметка на това се увеличават общите приходи поради развитието на екологичен и алтернативен туризъм, както и създаването на условия за развитие на дейността извън летния сезон. Това смекчава натиска върху пясъчните дюни, плажната растителност и плитководните местообитания. Въпреки намаления брой туристи и приходи в краткосрочен план, ще се запази привлекателността на Българското Черноморие като дългосрочен туристически ресурс.</w:t>
      </w:r>
    </w:p>
    <w:p w14:paraId="774705E7" w14:textId="6D38E481" w:rsidR="0055674E" w:rsidRPr="00610B1B" w:rsidRDefault="0055674E" w:rsidP="00D32D6A">
      <w:pPr>
        <w:pStyle w:val="BodyText"/>
        <w:spacing w:before="0" w:after="120" w:line="276" w:lineRule="auto"/>
        <w:ind w:right="-153"/>
        <w:rPr>
          <w:rFonts w:cs="Times New Roman"/>
        </w:rPr>
      </w:pPr>
      <w:r w:rsidRPr="00610B1B">
        <w:rPr>
          <w:rFonts w:cs="Times New Roman"/>
          <w:i/>
        </w:rPr>
        <w:t>Брегозащита</w:t>
      </w:r>
      <w:r w:rsidRPr="00610B1B">
        <w:rPr>
          <w:rFonts w:cs="Times New Roman"/>
        </w:rPr>
        <w:t xml:space="preserve"> – </w:t>
      </w:r>
      <w:r w:rsidR="004D4DE9" w:rsidRPr="00610B1B">
        <w:rPr>
          <w:rFonts w:cs="Times New Roman"/>
        </w:rPr>
        <w:t xml:space="preserve">Насърчава се </w:t>
      </w:r>
      <w:r w:rsidRPr="00610B1B">
        <w:rPr>
          <w:rFonts w:cs="Times New Roman"/>
        </w:rPr>
        <w:t xml:space="preserve">прилагането на по-екологични брегозащитни съоръжения </w:t>
      </w:r>
      <w:r w:rsidR="00A1764F" w:rsidRPr="00610B1B">
        <w:rPr>
          <w:rFonts w:cs="Times New Roman"/>
        </w:rPr>
        <w:t xml:space="preserve">от </w:t>
      </w:r>
      <w:r w:rsidRPr="00610B1B">
        <w:rPr>
          <w:rFonts w:cs="Times New Roman"/>
        </w:rPr>
        <w:t>тип</w:t>
      </w:r>
      <w:r w:rsidR="00A1764F" w:rsidRPr="00610B1B">
        <w:rPr>
          <w:rFonts w:cs="Times New Roman"/>
        </w:rPr>
        <w:t>а на</w:t>
      </w:r>
      <w:r w:rsidRPr="00610B1B">
        <w:rPr>
          <w:rFonts w:cs="Times New Roman"/>
        </w:rPr>
        <w:t xml:space="preserve"> подводни</w:t>
      </w:r>
      <w:r w:rsidR="00A1764F" w:rsidRPr="00610B1B">
        <w:rPr>
          <w:rFonts w:cs="Times New Roman"/>
        </w:rPr>
        <w:t>те</w:t>
      </w:r>
      <w:r w:rsidRPr="00610B1B">
        <w:rPr>
          <w:rFonts w:cs="Times New Roman"/>
        </w:rPr>
        <w:t xml:space="preserve"> вълноломи-рифове, дистанционна</w:t>
      </w:r>
      <w:r w:rsidR="00A1764F" w:rsidRPr="00610B1B">
        <w:rPr>
          <w:rFonts w:cs="Times New Roman"/>
        </w:rPr>
        <w:t>та</w:t>
      </w:r>
      <w:r w:rsidRPr="00610B1B">
        <w:rPr>
          <w:rFonts w:cs="Times New Roman"/>
        </w:rPr>
        <w:t xml:space="preserve"> брегозащита и изкуственото подхранване с плажни наноси. По този начин се запазва естествения ландшафт. Използването на проницаеми съоръжения намалява натиска върху дънните местообитания. Търсят се възможности за използването на наноси от драгиране в пристанищните зони за намаляване на наносния дефицит.</w:t>
      </w:r>
    </w:p>
    <w:p w14:paraId="7ABA5A10" w14:textId="6170927E" w:rsidR="0055674E" w:rsidRPr="00610B1B" w:rsidRDefault="0055674E" w:rsidP="00D32D6A">
      <w:pPr>
        <w:pStyle w:val="BodyText"/>
        <w:spacing w:before="0" w:after="120" w:line="276" w:lineRule="auto"/>
        <w:ind w:right="-153"/>
        <w:rPr>
          <w:rFonts w:cs="Times New Roman"/>
        </w:rPr>
      </w:pPr>
      <w:r w:rsidRPr="00610B1B">
        <w:rPr>
          <w:rFonts w:cs="Times New Roman"/>
          <w:i/>
        </w:rPr>
        <w:t>Пристанищни дейности</w:t>
      </w:r>
      <w:r w:rsidRPr="00610B1B">
        <w:rPr>
          <w:rFonts w:cs="Times New Roman"/>
        </w:rPr>
        <w:t xml:space="preserve"> – Основната дейност е съсредоточена в пристанищата Варна и Бургас. Повишените екологични изисквания помагат за предотвратяване на попадането на замърсители и нефтени разливи в морските акватории в резултат от товаро-разтоварни дейности. По-малките пристанища</w:t>
      </w:r>
      <w:r w:rsidR="00A102FE" w:rsidRPr="00610B1B">
        <w:rPr>
          <w:rFonts w:cs="Times New Roman"/>
        </w:rPr>
        <w:t xml:space="preserve"> и пристанищни терминали</w:t>
      </w:r>
      <w:r w:rsidRPr="00610B1B">
        <w:rPr>
          <w:rFonts w:cs="Times New Roman"/>
        </w:rPr>
        <w:t xml:space="preserve"> Балчик, Несебър, Поморие, Созопол, Царево и Ахтопол се използват за морски туризъм. Доброто състояние на морската среда в пристанищата позволява използването на наносите от драгиране за изкуствено подхранване на съседните плажни участъци по метода на напречния байпас.</w:t>
      </w:r>
    </w:p>
    <w:p w14:paraId="5A1E0E6C" w14:textId="092725B3" w:rsidR="0055674E" w:rsidRPr="00610B1B" w:rsidRDefault="0055674E" w:rsidP="00D32D6A">
      <w:pPr>
        <w:pStyle w:val="BodyText"/>
        <w:spacing w:before="0" w:after="120" w:line="276" w:lineRule="auto"/>
        <w:ind w:right="-153"/>
        <w:rPr>
          <w:rFonts w:cs="Times New Roman"/>
        </w:rPr>
      </w:pPr>
      <w:bookmarkStart w:id="440" w:name="__DdeLink__3687_1783762392"/>
      <w:bookmarkEnd w:id="440"/>
      <w:r w:rsidRPr="00610B1B">
        <w:rPr>
          <w:rFonts w:cs="Times New Roman"/>
          <w:i/>
        </w:rPr>
        <w:t>Морска енергетика</w:t>
      </w:r>
      <w:r w:rsidRPr="00610B1B">
        <w:rPr>
          <w:rFonts w:cs="Times New Roman"/>
        </w:rPr>
        <w:t xml:space="preserve"> – </w:t>
      </w:r>
      <w:r w:rsidR="004D4DE9" w:rsidRPr="00610B1B">
        <w:rPr>
          <w:rFonts w:cs="Times New Roman"/>
        </w:rPr>
        <w:t xml:space="preserve">Продължават </w:t>
      </w:r>
      <w:r w:rsidRPr="00610B1B">
        <w:rPr>
          <w:rFonts w:cs="Times New Roman"/>
        </w:rPr>
        <w:t xml:space="preserve">проучванията за добив на нефт и газ върху шелфа, но се търсят алтернативни енергийни източници. Носещите конструкции </w:t>
      </w:r>
      <w:r w:rsidR="005410E5" w:rsidRPr="00610B1B">
        <w:rPr>
          <w:rFonts w:cs="Times New Roman"/>
        </w:rPr>
        <w:t xml:space="preserve">на </w:t>
      </w:r>
      <w:r w:rsidR="009021CB" w:rsidRPr="00610B1B">
        <w:rPr>
          <w:rFonts w:cs="Times New Roman"/>
        </w:rPr>
        <w:t xml:space="preserve">платформите за проучвания за добив или на други съоръжения поемат инсталации за добив на енергия от вятъра </w:t>
      </w:r>
      <w:r w:rsidR="005410E5" w:rsidRPr="00610B1B">
        <w:rPr>
          <w:rFonts w:cs="Times New Roman"/>
        </w:rPr>
        <w:t>в морето</w:t>
      </w:r>
      <w:r w:rsidR="009021CB" w:rsidRPr="00610B1B">
        <w:rPr>
          <w:rFonts w:cs="Times New Roman"/>
        </w:rPr>
        <w:t>,</w:t>
      </w:r>
      <w:r w:rsidR="005410E5" w:rsidRPr="00610B1B">
        <w:rPr>
          <w:rFonts w:cs="Times New Roman"/>
        </w:rPr>
        <w:t xml:space="preserve"> </w:t>
      </w:r>
      <w:r w:rsidRPr="00610B1B">
        <w:rPr>
          <w:rFonts w:cs="Times New Roman"/>
        </w:rPr>
        <w:t>осигуряват възможности за синергия с морските аквакултури и изнасянето им в дълбоководието, или в условията на открит бряг.</w:t>
      </w:r>
    </w:p>
    <w:p w14:paraId="4E1C33C1" w14:textId="0E79574D" w:rsidR="0055674E" w:rsidRPr="00610B1B" w:rsidRDefault="0055674E" w:rsidP="00D32D6A">
      <w:pPr>
        <w:pStyle w:val="BodyText"/>
        <w:spacing w:before="0" w:after="120" w:line="276" w:lineRule="auto"/>
        <w:ind w:right="-153"/>
        <w:rPr>
          <w:rFonts w:cs="Times New Roman"/>
        </w:rPr>
      </w:pPr>
      <w:r w:rsidRPr="00610B1B">
        <w:rPr>
          <w:rFonts w:cs="Times New Roman"/>
          <w:i/>
        </w:rPr>
        <w:lastRenderedPageBreak/>
        <w:t>Научни изследвания</w:t>
      </w:r>
      <w:r w:rsidRPr="00610B1B">
        <w:rPr>
          <w:rFonts w:cs="Times New Roman"/>
        </w:rPr>
        <w:t xml:space="preserve"> – „Черноморският дневен ред за стратегически научни изследвания и иновации“ обединява научните усилия на страните от Черноморския регион, </w:t>
      </w:r>
      <w:r w:rsidR="00A1764F" w:rsidRPr="00610B1B">
        <w:rPr>
          <w:rFonts w:cs="Times New Roman"/>
        </w:rPr>
        <w:t xml:space="preserve">с </w:t>
      </w:r>
      <w:r w:rsidRPr="00610B1B">
        <w:rPr>
          <w:rFonts w:cs="Times New Roman"/>
        </w:rPr>
        <w:t xml:space="preserve">което </w:t>
      </w:r>
      <w:r w:rsidR="00A1764F" w:rsidRPr="00610B1B">
        <w:rPr>
          <w:rFonts w:cs="Times New Roman"/>
        </w:rPr>
        <w:t>се повишава синергичния ефект</w:t>
      </w:r>
      <w:r w:rsidRPr="00610B1B">
        <w:rPr>
          <w:rFonts w:cs="Times New Roman"/>
        </w:rPr>
        <w:t>. Увеличаването на екологичните изисквания към корабостроенето създава възможности за нови научни ра</w:t>
      </w:r>
      <w:r w:rsidR="009021CB" w:rsidRPr="00610B1B">
        <w:rPr>
          <w:rFonts w:cs="Times New Roman"/>
        </w:rPr>
        <w:t>зработки. Използват се нови, не</w:t>
      </w:r>
      <w:r w:rsidRPr="00610B1B">
        <w:rPr>
          <w:rFonts w:cs="Times New Roman"/>
        </w:rPr>
        <w:t>смъртоносни и дистанционни методи за мониторинг на морските организми. Създаването на мрежа от свързани морски защитени територии позволява синергия между опазването на морската околна среда и опазването на археологическите обекти на морското дъно. Следвайки целите на ЕС до 2030 г. да се съкратят поне 49% от емисиите на парникови газове и да се увеличи дела на възобновяемата енергия поне до 32%, в морските пространства са реализирани пилотни проекти за разработване на перспективни възобновяеми енергийни източници.</w:t>
      </w:r>
    </w:p>
    <w:p w14:paraId="2AFA49E2" w14:textId="1AB3C293" w:rsidR="0055674E" w:rsidRPr="00610B1B" w:rsidRDefault="0055674E" w:rsidP="00D32D6A">
      <w:pPr>
        <w:pStyle w:val="BodyText"/>
        <w:spacing w:before="0" w:after="120" w:line="276" w:lineRule="auto"/>
        <w:ind w:right="-153"/>
        <w:rPr>
          <w:rFonts w:cs="Times New Roman"/>
        </w:rPr>
      </w:pPr>
      <w:r w:rsidRPr="00610B1B">
        <w:rPr>
          <w:rFonts w:cs="Times New Roman"/>
          <w:i/>
        </w:rPr>
        <w:t>Взаимодействие суша-море</w:t>
      </w:r>
      <w:r w:rsidR="00C3007B" w:rsidRPr="00610B1B">
        <w:rPr>
          <w:rFonts w:eastAsia="Calibri" w:cs="Times New Roman"/>
          <w:bCs/>
          <w:i/>
          <w:color w:val="000000" w:themeColor="text1"/>
        </w:rPr>
        <w:t xml:space="preserve"> – </w:t>
      </w:r>
      <w:r w:rsidR="005410E5" w:rsidRPr="00610B1B">
        <w:rPr>
          <w:rFonts w:cs="Times New Roman"/>
        </w:rPr>
        <w:t xml:space="preserve">Изграждането </w:t>
      </w:r>
      <w:r w:rsidRPr="00610B1B">
        <w:rPr>
          <w:rFonts w:cs="Times New Roman"/>
        </w:rPr>
        <w:t>и модернизацията на пречиствателни станции за отпадъчни води допринася за намаляване на замърсяването от населените места и промишлеността. Дълбоководно заустване не е необходимо поради достатъчна</w:t>
      </w:r>
      <w:r w:rsidR="009021CB" w:rsidRPr="00610B1B">
        <w:rPr>
          <w:rFonts w:cs="Times New Roman"/>
        </w:rPr>
        <w:t>та</w:t>
      </w:r>
      <w:r w:rsidRPr="00610B1B">
        <w:rPr>
          <w:rFonts w:cs="Times New Roman"/>
        </w:rPr>
        <w:t xml:space="preserve"> степен на пречистване на отпадъчните води. Развитието на екологично земеделие в прилежащата </w:t>
      </w:r>
      <w:r w:rsidR="00566026" w:rsidRPr="00610B1B">
        <w:rPr>
          <w:rFonts w:cs="Times New Roman"/>
        </w:rPr>
        <w:t xml:space="preserve">крайбрежна </w:t>
      </w:r>
      <w:r w:rsidRPr="00610B1B">
        <w:rPr>
          <w:rFonts w:cs="Times New Roman"/>
        </w:rPr>
        <w:t>територия намалява антропогенната еутрофикацията и замърсяването с пестициди на крайбрежните води. По реките се премахват препятствия, осигурява се непрекъснатост на водните течения, миграция на преходните и сладководни видове риби и приток на наноси за плажовете с теригенно подхранване. По време на морските научни изследвания намалява количеството на твърди отпадъци, открити в проби от морски риби.</w:t>
      </w:r>
    </w:p>
    <w:p w14:paraId="5EF1239D" w14:textId="74A3B389" w:rsidR="0055674E" w:rsidRPr="00610B1B" w:rsidRDefault="0055674E" w:rsidP="00D32D6A">
      <w:pPr>
        <w:pStyle w:val="BodyText"/>
        <w:spacing w:before="0" w:after="120" w:line="276" w:lineRule="auto"/>
        <w:ind w:right="-153"/>
        <w:rPr>
          <w:rFonts w:cs="Times New Roman"/>
        </w:rPr>
      </w:pPr>
      <w:r w:rsidRPr="00610B1B">
        <w:rPr>
          <w:rFonts w:cs="Times New Roman"/>
          <w:i/>
        </w:rPr>
        <w:t>Взаимодействие море-суша</w:t>
      </w:r>
      <w:r w:rsidRPr="00610B1B">
        <w:rPr>
          <w:rFonts w:cs="Times New Roman"/>
        </w:rPr>
        <w:t xml:space="preserve"> – Доброто състояние на морската среда води до повишаване на приходите от морски риболов и аквакултури. Възстановяването на морските екосистемни услуги допринася за развитието на крайбрежния и морски туризъм. </w:t>
      </w:r>
      <w:r w:rsidR="005410E5" w:rsidRPr="00610B1B">
        <w:rPr>
          <w:rFonts w:cs="Times New Roman"/>
        </w:rPr>
        <w:t>Морските п</w:t>
      </w:r>
      <w:r w:rsidRPr="00610B1B">
        <w:rPr>
          <w:rFonts w:cs="Times New Roman"/>
        </w:rPr>
        <w:t xml:space="preserve">тици връщат на сушата част от фосфора, отмит в морето в резултат на водната и ветрова ерозия. Повишава се биологичната продуктивност на сухоземните екосистеми и влажните зони, които са естествени складове </w:t>
      </w:r>
      <w:r w:rsidR="005410E5" w:rsidRPr="00610B1B">
        <w:rPr>
          <w:rFonts w:cs="Times New Roman"/>
        </w:rPr>
        <w:t>на</w:t>
      </w:r>
      <w:r w:rsidRPr="00610B1B">
        <w:rPr>
          <w:rFonts w:cs="Times New Roman"/>
        </w:rPr>
        <w:t xml:space="preserve"> атмосферен въглерод.</w:t>
      </w:r>
    </w:p>
    <w:p w14:paraId="526B9E02" w14:textId="77777777" w:rsidR="00566026" w:rsidRPr="00610B1B" w:rsidRDefault="00566026" w:rsidP="00D32D6A">
      <w:pPr>
        <w:pStyle w:val="Default"/>
        <w:spacing w:after="120" w:line="276" w:lineRule="auto"/>
        <w:rPr>
          <w:rFonts w:cs="Times New Roman"/>
          <w:lang w:val="bg-BG"/>
        </w:rPr>
      </w:pPr>
    </w:p>
    <w:p w14:paraId="63F026EF" w14:textId="56073BE1" w:rsidR="0055674E" w:rsidRPr="00610B1B" w:rsidRDefault="0055674E" w:rsidP="00D32D6A">
      <w:pPr>
        <w:pStyle w:val="Heading3"/>
        <w:spacing w:before="0" w:line="276" w:lineRule="auto"/>
        <w:ind w:right="-153"/>
        <w:rPr>
          <w:rFonts w:cs="Times New Roman"/>
        </w:rPr>
      </w:pPr>
      <w:bookmarkStart w:id="441" w:name="_Toc83391421"/>
      <w:r w:rsidRPr="00610B1B">
        <w:rPr>
          <w:rFonts w:cs="Times New Roman"/>
        </w:rPr>
        <w:t>4.</w:t>
      </w:r>
      <w:r w:rsidR="009278D0" w:rsidRPr="00610B1B">
        <w:rPr>
          <w:rFonts w:cs="Times New Roman"/>
        </w:rPr>
        <w:t>3</w:t>
      </w:r>
      <w:r w:rsidRPr="00610B1B">
        <w:rPr>
          <w:rFonts w:cs="Times New Roman"/>
        </w:rPr>
        <w:t>.3. Сценарий С – Социално равновесие</w:t>
      </w:r>
      <w:bookmarkEnd w:id="441"/>
      <w:r w:rsidRPr="00610B1B">
        <w:rPr>
          <w:rFonts w:cs="Times New Roman"/>
        </w:rPr>
        <w:t xml:space="preserve"> </w:t>
      </w:r>
    </w:p>
    <w:p w14:paraId="0F12840E" w14:textId="708A9DCA"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Отправна точка на този сценарий е човекът и затова той е изграден върху основите на политиката за социално сближаване. Същността</w:t>
      </w:r>
      <w:r w:rsidR="00DE3A13" w:rsidRPr="00610B1B">
        <w:rPr>
          <w:rFonts w:ascii="Times New Roman" w:eastAsia="Calibri" w:hAnsi="Times New Roman" w:cs="Times New Roman"/>
          <w:color w:val="000000" w:themeColor="text1"/>
          <w:sz w:val="24"/>
          <w:szCs w:val="24"/>
          <w:lang w:val="bg-BG"/>
        </w:rPr>
        <w:t xml:space="preserve"> ѝ </w:t>
      </w:r>
      <w:r w:rsidRPr="00610B1B">
        <w:rPr>
          <w:rFonts w:ascii="Times New Roman" w:eastAsia="Calibri" w:hAnsi="Times New Roman" w:cs="Times New Roman"/>
          <w:color w:val="000000" w:themeColor="text1"/>
          <w:sz w:val="24"/>
          <w:szCs w:val="24"/>
          <w:lang w:val="bg-BG"/>
        </w:rPr>
        <w:t>се изразява в балансирано развитие на всички черноморски общини; диверсифицирани местни икономики, осигуряващи заетост не само през активния туристически сезон, но целогодишно</w:t>
      </w:r>
      <w:r w:rsidR="009021CB" w:rsidRPr="00610B1B">
        <w:rPr>
          <w:rFonts w:ascii="Times New Roman" w:eastAsia="Calibri" w:hAnsi="Times New Roman" w:cs="Times New Roman"/>
          <w:color w:val="000000" w:themeColor="text1"/>
          <w:sz w:val="24"/>
          <w:szCs w:val="24"/>
          <w:lang w:val="bg-BG"/>
        </w:rPr>
        <w:t>,</w:t>
      </w:r>
      <w:r w:rsidRPr="00610B1B">
        <w:rPr>
          <w:rFonts w:ascii="Times New Roman" w:eastAsia="Calibri" w:hAnsi="Times New Roman" w:cs="Times New Roman"/>
          <w:color w:val="000000" w:themeColor="text1"/>
          <w:sz w:val="24"/>
          <w:szCs w:val="24"/>
          <w:lang w:val="bg-BG"/>
        </w:rPr>
        <w:t xml:space="preserve"> и разкриване на нов бизнес с висока добавена стойност и високи доходи. Приоритетна подкрепа се предоставя за морските дейности, които осигуряват висока заетост и атрактивни доходи - туризъм и рекреация (с всички съпътстващи дейности като яхтени клубове и водни спортове), рибарство и аквакултура, пътнически транспорт (включително разходки по море). Туристическото предлагане в специфични пазарни ниши с индивидуализиран</w:t>
      </w:r>
      <w:r w:rsidR="005410E5" w:rsidRPr="00610B1B">
        <w:rPr>
          <w:rFonts w:ascii="Times New Roman" w:eastAsia="Calibri" w:hAnsi="Times New Roman" w:cs="Times New Roman"/>
          <w:color w:val="000000" w:themeColor="text1"/>
          <w:sz w:val="24"/>
          <w:szCs w:val="24"/>
          <w:lang w:val="bg-BG"/>
        </w:rPr>
        <w:t>и</w:t>
      </w:r>
      <w:r w:rsidRPr="00610B1B">
        <w:rPr>
          <w:rFonts w:ascii="Times New Roman" w:eastAsia="Calibri" w:hAnsi="Times New Roman" w:cs="Times New Roman"/>
          <w:color w:val="000000" w:themeColor="text1"/>
          <w:sz w:val="24"/>
          <w:szCs w:val="24"/>
          <w:lang w:val="bg-BG"/>
        </w:rPr>
        <w:t xml:space="preserve"> услуги се засилва за сметка на ограничаване в масовия „all inclusive” продукт и постепенно преминаване от „масов“, количествен туризъм, към устойчив, щадящ и ефективен туризъм. </w:t>
      </w:r>
      <w:r w:rsidR="00566026" w:rsidRPr="00610B1B">
        <w:rPr>
          <w:rFonts w:ascii="Times New Roman" w:eastAsia="Calibri" w:hAnsi="Times New Roman" w:cs="Times New Roman"/>
          <w:color w:val="000000" w:themeColor="text1"/>
          <w:sz w:val="24"/>
          <w:szCs w:val="24"/>
          <w:lang w:val="bg-BG"/>
        </w:rPr>
        <w:t>Освен</w:t>
      </w:r>
      <w:r w:rsidRPr="00610B1B">
        <w:rPr>
          <w:rFonts w:ascii="Times New Roman" w:eastAsia="Calibri" w:hAnsi="Times New Roman" w:cs="Times New Roman"/>
          <w:color w:val="000000" w:themeColor="text1"/>
          <w:sz w:val="24"/>
          <w:szCs w:val="24"/>
          <w:lang w:val="bg-BG"/>
        </w:rPr>
        <w:t xml:space="preserve"> в регионалните центрове Варна и Бургас, и в останали</w:t>
      </w:r>
      <w:r w:rsidR="009021CB" w:rsidRPr="00610B1B">
        <w:rPr>
          <w:rFonts w:ascii="Times New Roman" w:eastAsia="Calibri" w:hAnsi="Times New Roman" w:cs="Times New Roman"/>
          <w:color w:val="000000" w:themeColor="text1"/>
          <w:sz w:val="24"/>
          <w:szCs w:val="24"/>
          <w:lang w:val="bg-BG"/>
        </w:rPr>
        <w:t>те</w:t>
      </w:r>
      <w:r w:rsidRPr="00610B1B">
        <w:rPr>
          <w:rFonts w:ascii="Times New Roman" w:eastAsia="Calibri" w:hAnsi="Times New Roman" w:cs="Times New Roman"/>
          <w:color w:val="000000" w:themeColor="text1"/>
          <w:sz w:val="24"/>
          <w:szCs w:val="24"/>
          <w:lang w:val="bg-BG"/>
        </w:rPr>
        <w:t xml:space="preserve"> </w:t>
      </w:r>
      <w:r w:rsidR="00566026" w:rsidRPr="00610B1B">
        <w:rPr>
          <w:rFonts w:ascii="Times New Roman" w:eastAsia="Calibri" w:hAnsi="Times New Roman" w:cs="Times New Roman"/>
          <w:color w:val="000000" w:themeColor="text1"/>
          <w:sz w:val="24"/>
          <w:szCs w:val="24"/>
          <w:lang w:val="bg-BG"/>
        </w:rPr>
        <w:t xml:space="preserve">черноморски </w:t>
      </w:r>
      <w:r w:rsidRPr="00610B1B">
        <w:rPr>
          <w:rFonts w:ascii="Times New Roman" w:eastAsia="Calibri" w:hAnsi="Times New Roman" w:cs="Times New Roman"/>
          <w:color w:val="000000" w:themeColor="text1"/>
          <w:sz w:val="24"/>
          <w:szCs w:val="24"/>
          <w:lang w:val="bg-BG"/>
        </w:rPr>
        <w:lastRenderedPageBreak/>
        <w:t>общини ще се развият мрежи за коопериране, образование и изграждане на капацитет за МСП.</w:t>
      </w:r>
    </w:p>
    <w:p w14:paraId="5460CFC5" w14:textId="77777777"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Стимулира се ревитализацията на аграрни дейности като производство на плодове и зеленчуци в хинтерланда на морския бряг, което подобрява взаимодействието между крайбрежните зони и селските райони и предлага екологична чиста храна на местното население и на туристите. Осигурява се поддържане на качествена инфраструктура по протежение на целия бряг, включително пътища, ВиК системи, електроснабдяване, широколентов достъп до интернет, покритие на мобилните оператори и равностоен достъп до качествени социални услуги за местните общности.</w:t>
      </w:r>
    </w:p>
    <w:p w14:paraId="210FABBC" w14:textId="5828BA44"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Сценарият кореспондира с една от трите стратегически цели на Националната програма „България 2030“ – „Намаляване на неравенствата“. Въпреки постигнатия значителен напредък в подобряването на стандарта на живот през последните 10 години, реализираният икономически растеж не е достатъчно изразителен, за да способства за намаляване на социалните неравенства. Относителният дял на лицата, изложени на риск от бедност в национален мащаб, е сред най-високите в ЕС. Рискът от остри дефицити в натрупаните резерви е голям. </w:t>
      </w:r>
      <w:r w:rsidR="005410E5" w:rsidRPr="00610B1B">
        <w:rPr>
          <w:rFonts w:ascii="Times New Roman" w:eastAsia="Calibri" w:hAnsi="Times New Roman" w:cs="Times New Roman"/>
          <w:color w:val="000000" w:themeColor="text1"/>
          <w:sz w:val="24"/>
          <w:szCs w:val="24"/>
          <w:lang w:val="bg-BG"/>
        </w:rPr>
        <w:t>Не</w:t>
      </w:r>
      <w:r w:rsidRPr="00610B1B">
        <w:rPr>
          <w:rFonts w:ascii="Times New Roman" w:eastAsia="Calibri" w:hAnsi="Times New Roman" w:cs="Times New Roman"/>
          <w:color w:val="000000" w:themeColor="text1"/>
          <w:sz w:val="24"/>
          <w:szCs w:val="24"/>
          <w:lang w:val="bg-BG"/>
        </w:rPr>
        <w:t xml:space="preserve"> всички имат </w:t>
      </w:r>
      <w:r w:rsidR="005410E5" w:rsidRPr="00610B1B">
        <w:rPr>
          <w:rFonts w:ascii="Times New Roman" w:eastAsia="Calibri" w:hAnsi="Times New Roman" w:cs="Times New Roman"/>
          <w:color w:val="000000" w:themeColor="text1"/>
          <w:sz w:val="24"/>
          <w:szCs w:val="24"/>
          <w:lang w:val="bg-BG"/>
        </w:rPr>
        <w:t xml:space="preserve">пряка или косвена </w:t>
      </w:r>
      <w:r w:rsidRPr="00610B1B">
        <w:rPr>
          <w:rFonts w:ascii="Times New Roman" w:eastAsia="Calibri" w:hAnsi="Times New Roman" w:cs="Times New Roman"/>
          <w:color w:val="000000" w:themeColor="text1"/>
          <w:sz w:val="24"/>
          <w:szCs w:val="24"/>
          <w:lang w:val="bg-BG"/>
        </w:rPr>
        <w:t xml:space="preserve">заетост в туристическия сектор. Разликите в доходите продължават да се увеличават, защото мерките за намаляването на бедността и неравенството са с недостатъчно ресурси и ограничено въздействие. </w:t>
      </w:r>
      <w:r w:rsidR="005410E5" w:rsidRPr="00610B1B">
        <w:rPr>
          <w:rFonts w:ascii="Times New Roman" w:eastAsia="Calibri" w:hAnsi="Times New Roman" w:cs="Times New Roman"/>
          <w:color w:val="000000" w:themeColor="text1"/>
          <w:sz w:val="24"/>
          <w:szCs w:val="24"/>
          <w:lang w:val="bg-BG"/>
        </w:rPr>
        <w:t xml:space="preserve">Задълбочават се </w:t>
      </w:r>
      <w:r w:rsidRPr="00610B1B">
        <w:rPr>
          <w:rFonts w:ascii="Times New Roman" w:eastAsia="Calibri" w:hAnsi="Times New Roman" w:cs="Times New Roman"/>
          <w:color w:val="000000" w:themeColor="text1"/>
          <w:sz w:val="24"/>
          <w:szCs w:val="24"/>
          <w:lang w:val="bg-BG"/>
        </w:rPr>
        <w:t>диспропорциите в развитието както на общността „черноморски общини“, така и на крайбрежните зони и вътрешността на тези общини.</w:t>
      </w:r>
    </w:p>
    <w:p w14:paraId="713C05BD" w14:textId="77777777"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Социалното сближаване е сред основните цели и на Националната концепция за пространствено развитие (Актуализация 2019). Тя ще се реализира чрез създаване на равнопоставени условия за развитие и реализация на човешките ресурси, намаляване на негативните демографски процеси и подобряване качеството на живот.</w:t>
      </w:r>
    </w:p>
    <w:p w14:paraId="26B51793"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Движещи сили с </w:t>
      </w:r>
      <w:r w:rsidRPr="00610B1B">
        <w:rPr>
          <w:rFonts w:ascii="Times New Roman" w:eastAsia="Calibri" w:hAnsi="Times New Roman" w:cs="Times New Roman"/>
          <w:bCs/>
          <w:i/>
          <w:color w:val="000000" w:themeColor="text1"/>
          <w:sz w:val="24"/>
          <w:szCs w:val="24"/>
          <w:lang w:val="bg-BG"/>
        </w:rPr>
        <w:t>политически</w:t>
      </w:r>
      <w:r w:rsidRPr="00610B1B">
        <w:rPr>
          <w:rFonts w:ascii="Times New Roman" w:eastAsia="Calibri" w:hAnsi="Times New Roman" w:cs="Times New Roman"/>
          <w:bCs/>
          <w:color w:val="000000" w:themeColor="text1"/>
          <w:sz w:val="24"/>
          <w:szCs w:val="24"/>
          <w:lang w:val="bg-BG"/>
        </w:rPr>
        <w:t xml:space="preserve"> характер:</w:t>
      </w:r>
    </w:p>
    <w:p w14:paraId="0C563C3F" w14:textId="78027516" w:rsidR="0055674E" w:rsidRPr="00610B1B" w:rsidRDefault="0055674E" w:rsidP="00B46189">
      <w:pPr>
        <w:numPr>
          <w:ilvl w:val="0"/>
          <w:numId w:val="29"/>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Регионалната политика на Р. България, насочена към балансирано развитие на </w:t>
      </w:r>
      <w:r w:rsidR="009E37C8" w:rsidRPr="00610B1B">
        <w:rPr>
          <w:rFonts w:ascii="Times New Roman" w:eastAsia="Calibri" w:hAnsi="Times New Roman" w:cs="Times New Roman"/>
          <w:color w:val="000000" w:themeColor="text1"/>
          <w:sz w:val="24"/>
          <w:szCs w:val="24"/>
          <w:lang w:val="bg-BG"/>
        </w:rPr>
        <w:t xml:space="preserve">регионите </w:t>
      </w:r>
      <w:r w:rsidRPr="00610B1B">
        <w:rPr>
          <w:rFonts w:ascii="Times New Roman" w:eastAsia="Calibri" w:hAnsi="Times New Roman" w:cs="Times New Roman"/>
          <w:color w:val="000000" w:themeColor="text1"/>
          <w:sz w:val="24"/>
          <w:szCs w:val="24"/>
          <w:lang w:val="bg-BG"/>
        </w:rPr>
        <w:t>и намаляване на неравенствата между тях. Пряко засегнати са Североизточният и Югоизточният региони за планиране от ниво 2 с центрове Варна и Бургас.</w:t>
      </w:r>
    </w:p>
    <w:p w14:paraId="6351E832" w14:textId="77777777" w:rsidR="0055674E" w:rsidRPr="00610B1B" w:rsidRDefault="0055674E" w:rsidP="00B46189">
      <w:pPr>
        <w:numPr>
          <w:ilvl w:val="0"/>
          <w:numId w:val="29"/>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Националната икономическа политика, стимулираща предприемачеството, МСП, научните изследвания и иновациите. Пряко засегнати са туризмът, рибарството и аквакултурите.</w:t>
      </w:r>
    </w:p>
    <w:p w14:paraId="58459F8D" w14:textId="77777777" w:rsidR="0055674E" w:rsidRPr="00610B1B" w:rsidRDefault="0055674E" w:rsidP="00B46189">
      <w:pPr>
        <w:numPr>
          <w:ilvl w:val="0"/>
          <w:numId w:val="29"/>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Националната политика за развитие на ВиК сектора ще повлияе благоприятно ВиК системите на всички населени места и други урбанизирани територии по цялото Черноморско крайбрежие, които при претоварване оказват натиск върху морските екосистеми.</w:t>
      </w:r>
    </w:p>
    <w:p w14:paraId="0206D8D1" w14:textId="17ACD85A" w:rsidR="0055674E" w:rsidRPr="00610B1B" w:rsidRDefault="0055674E" w:rsidP="00B46189">
      <w:pPr>
        <w:numPr>
          <w:ilvl w:val="0"/>
          <w:numId w:val="29"/>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Националната политика за развитие на транспортната инфраструктура ще подобри </w:t>
      </w:r>
      <w:r w:rsidR="00566026" w:rsidRPr="00610B1B">
        <w:rPr>
          <w:rFonts w:ascii="Times New Roman" w:eastAsia="Calibri" w:hAnsi="Times New Roman" w:cs="Times New Roman"/>
          <w:color w:val="000000" w:themeColor="text1"/>
          <w:sz w:val="24"/>
          <w:szCs w:val="24"/>
          <w:lang w:val="bg-BG"/>
        </w:rPr>
        <w:t xml:space="preserve">достъпността, </w:t>
      </w:r>
      <w:r w:rsidRPr="00610B1B">
        <w:rPr>
          <w:rFonts w:ascii="Times New Roman" w:eastAsia="Calibri" w:hAnsi="Times New Roman" w:cs="Times New Roman"/>
          <w:color w:val="000000" w:themeColor="text1"/>
          <w:sz w:val="24"/>
          <w:szCs w:val="24"/>
          <w:lang w:val="bg-BG"/>
        </w:rPr>
        <w:t>свързаността и комуникациите по цялото българско Черноморско крайбрежие и ще повиши безопасността на движението.</w:t>
      </w:r>
    </w:p>
    <w:p w14:paraId="5BB86F50" w14:textId="77777777" w:rsidR="0055674E" w:rsidRPr="00610B1B" w:rsidRDefault="0055674E" w:rsidP="00B46189">
      <w:pPr>
        <w:numPr>
          <w:ilvl w:val="0"/>
          <w:numId w:val="29"/>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lastRenderedPageBreak/>
        <w:t>Хипотетичната промяна в основния критерий за възходящо развитие – от сегашния стремеж към бърз икономически растеж (чисто количествен подход) към по-бавен растеж за сметка на повишено качество на живот (качествен подход) в по-чиста природна среда, с повече свободно време и по-къс работен ден при повишена култура на потребление.</w:t>
      </w:r>
    </w:p>
    <w:p w14:paraId="4D934268" w14:textId="77777777"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Движещи сили с </w:t>
      </w:r>
      <w:r w:rsidRPr="00610B1B">
        <w:rPr>
          <w:rFonts w:ascii="Times New Roman" w:eastAsia="Calibri" w:hAnsi="Times New Roman" w:cs="Times New Roman"/>
          <w:i/>
          <w:iCs/>
          <w:color w:val="000000" w:themeColor="text1"/>
          <w:sz w:val="24"/>
          <w:szCs w:val="24"/>
          <w:lang w:val="bg-BG"/>
        </w:rPr>
        <w:t>икономически</w:t>
      </w:r>
      <w:r w:rsidRPr="00610B1B">
        <w:rPr>
          <w:rFonts w:ascii="Times New Roman" w:eastAsia="Calibri" w:hAnsi="Times New Roman" w:cs="Times New Roman"/>
          <w:color w:val="000000" w:themeColor="text1"/>
          <w:sz w:val="24"/>
          <w:szCs w:val="24"/>
          <w:lang w:val="bg-BG"/>
        </w:rPr>
        <w:t xml:space="preserve"> характер:</w:t>
      </w:r>
    </w:p>
    <w:p w14:paraId="2567614E" w14:textId="5CF4BBBA" w:rsidR="0055674E" w:rsidRPr="00610B1B" w:rsidRDefault="0055674E" w:rsidP="00B46189">
      <w:pPr>
        <w:pStyle w:val="ListParagraph"/>
        <w:numPr>
          <w:ilvl w:val="0"/>
          <w:numId w:val="44"/>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Благодарение на равномерното пространствено разпределение на държавната подкрепа, макар и с по-бавни темпове, предприемачеството ще се развие по цялото Черноморско крайбрежие, осигурявайки широка заетост, висока икономическа активност и в резултат, намалени диспропорции в доходите и повишено благосъстояние на всички местни общности. </w:t>
      </w:r>
    </w:p>
    <w:p w14:paraId="0A0CB8CB" w14:textId="0795BF0D" w:rsidR="0055674E" w:rsidRPr="00610B1B" w:rsidRDefault="0055674E" w:rsidP="00B46189">
      <w:pPr>
        <w:numPr>
          <w:ilvl w:val="0"/>
          <w:numId w:val="30"/>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Малките пристанища </w:t>
      </w:r>
      <w:r w:rsidR="00A102FE" w:rsidRPr="00610B1B">
        <w:rPr>
          <w:rFonts w:ascii="Times New Roman" w:eastAsia="Calibri" w:hAnsi="Times New Roman" w:cs="Times New Roman"/>
          <w:color w:val="000000" w:themeColor="text1"/>
          <w:sz w:val="24"/>
          <w:szCs w:val="24"/>
          <w:lang w:val="bg-BG"/>
        </w:rPr>
        <w:t xml:space="preserve">и пристанищни терминали </w:t>
      </w:r>
      <w:r w:rsidRPr="00610B1B">
        <w:rPr>
          <w:rFonts w:ascii="Times New Roman" w:eastAsia="Calibri" w:hAnsi="Times New Roman" w:cs="Times New Roman"/>
          <w:color w:val="000000" w:themeColor="text1"/>
          <w:sz w:val="24"/>
          <w:szCs w:val="24"/>
          <w:lang w:val="bg-BG"/>
        </w:rPr>
        <w:t>(като тези в Каварна, Балчик, Несебър, Созопол, Приморско, Царево, Ахтопол) ще имат по-големи възможности за обновяване и развитие чрез подходящи за целта финансови инструменти.</w:t>
      </w:r>
    </w:p>
    <w:p w14:paraId="2519F3DA" w14:textId="5B5914BD" w:rsidR="0055674E" w:rsidRPr="00610B1B" w:rsidRDefault="0055674E" w:rsidP="00B46189">
      <w:pPr>
        <w:numPr>
          <w:ilvl w:val="0"/>
          <w:numId w:val="30"/>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Благодарение на възходящото развитие и разширяването на времевия обхват на туризма по цялото крайбрежие, както и очакваното относително изравняване на доходите на местното население, търсенето на потребителски стоки ще нараства количествено и качествено. Ще се увеличи потреблението на електроенергия, но не за сметка на възобновяеми източници от района, а на избрани по-целесъобразни приоритети в екосистемните услуги на морето.</w:t>
      </w:r>
    </w:p>
    <w:p w14:paraId="6FACBD32" w14:textId="77777777" w:rsidR="0055674E" w:rsidRPr="00610B1B" w:rsidRDefault="0055674E" w:rsidP="00B46189">
      <w:pPr>
        <w:numPr>
          <w:ilvl w:val="0"/>
          <w:numId w:val="30"/>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Подкрепата за риболова и аквакултурите по линия на ОП „Морско дело, рибарство и аквакултури 2021-2027“ ще допринесе за развитието на рибопреработвателната индустрия – както за местния пазар, така и за износ.</w:t>
      </w:r>
    </w:p>
    <w:p w14:paraId="50E3208C" w14:textId="61862C51" w:rsidR="0055674E" w:rsidRPr="00610B1B" w:rsidRDefault="0055674E" w:rsidP="00B46189">
      <w:pPr>
        <w:numPr>
          <w:ilvl w:val="0"/>
          <w:numId w:val="30"/>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Културният и селският туризъм </w:t>
      </w:r>
      <w:r w:rsidR="00566026" w:rsidRPr="00610B1B">
        <w:rPr>
          <w:rFonts w:ascii="Times New Roman" w:eastAsia="Calibri" w:hAnsi="Times New Roman" w:cs="Times New Roman"/>
          <w:color w:val="000000" w:themeColor="text1"/>
          <w:sz w:val="24"/>
          <w:szCs w:val="24"/>
          <w:lang w:val="bg-BG"/>
        </w:rPr>
        <w:t xml:space="preserve">ще </w:t>
      </w:r>
      <w:r w:rsidRPr="00610B1B">
        <w:rPr>
          <w:rFonts w:ascii="Times New Roman" w:eastAsia="Calibri" w:hAnsi="Times New Roman" w:cs="Times New Roman"/>
          <w:color w:val="000000" w:themeColor="text1"/>
          <w:sz w:val="24"/>
          <w:szCs w:val="24"/>
          <w:lang w:val="bg-BG"/>
        </w:rPr>
        <w:t xml:space="preserve">обогатят палитрата от туристическо предлагане по крайбрежието, ангажирайки все по-голям пространствен и времеви обхват. Паралелно с това се развиват услуги в по-високите ценови нива, допринасяйки за постепенно придвижване към по-богати групи в емитивните чуждестранни пазари. </w:t>
      </w:r>
    </w:p>
    <w:p w14:paraId="34647E97" w14:textId="77777777"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i/>
          <w:color w:val="000000" w:themeColor="text1"/>
          <w:sz w:val="24"/>
          <w:szCs w:val="24"/>
          <w:lang w:val="bg-BG"/>
        </w:rPr>
        <w:t>Технологични</w:t>
      </w:r>
      <w:r w:rsidRPr="00610B1B">
        <w:rPr>
          <w:rFonts w:ascii="Times New Roman" w:eastAsia="Calibri" w:hAnsi="Times New Roman" w:cs="Times New Roman"/>
          <w:color w:val="000000" w:themeColor="text1"/>
          <w:sz w:val="24"/>
          <w:szCs w:val="24"/>
          <w:lang w:val="bg-BG"/>
        </w:rPr>
        <w:t xml:space="preserve"> движещи сили:</w:t>
      </w:r>
    </w:p>
    <w:p w14:paraId="0E5937A2" w14:textId="77777777" w:rsidR="0055674E" w:rsidRPr="00610B1B" w:rsidRDefault="0055674E" w:rsidP="00B46189">
      <w:pPr>
        <w:numPr>
          <w:ilvl w:val="0"/>
          <w:numId w:val="31"/>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Подкрепата за образованието в целия обхват от началните и основните училища до регионалните университети е база за изграждане на компетенции и умения в младите поколения, предпоставка за развитие на иновативно предприемачество по цялото крайбрежие.</w:t>
      </w:r>
    </w:p>
    <w:p w14:paraId="0FB7EDFD" w14:textId="0E8DB139" w:rsidR="0055674E" w:rsidRPr="00610B1B" w:rsidRDefault="0055674E" w:rsidP="00B46189">
      <w:pPr>
        <w:numPr>
          <w:ilvl w:val="0"/>
          <w:numId w:val="31"/>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Оперативна програма „Иновации и конкурентоспособност“</w:t>
      </w:r>
      <w:r w:rsidR="00D66FE0" w:rsidRPr="00610B1B">
        <w:rPr>
          <w:rFonts w:ascii="Times New Roman" w:eastAsia="Calibri" w:hAnsi="Times New Roman" w:cs="Times New Roman"/>
          <w:color w:val="000000" w:themeColor="text1"/>
          <w:sz w:val="24"/>
          <w:szCs w:val="24"/>
          <w:lang w:val="bg-BG"/>
        </w:rPr>
        <w:t xml:space="preserve"> </w:t>
      </w:r>
      <w:r w:rsidRPr="00610B1B">
        <w:rPr>
          <w:rFonts w:ascii="Times New Roman" w:eastAsia="Calibri" w:hAnsi="Times New Roman" w:cs="Times New Roman"/>
          <w:color w:val="000000" w:themeColor="text1"/>
          <w:sz w:val="24"/>
          <w:szCs w:val="24"/>
          <w:lang w:val="bg-BG"/>
        </w:rPr>
        <w:t>(2021-2027) ще осигури подкрепа и инвестиции в технологичното развитие на МСП. Ще се подкрепят иновативни решения, моделирани по специфичните нужди на морските общини.</w:t>
      </w:r>
    </w:p>
    <w:p w14:paraId="1E31B5DD" w14:textId="2520F6DF" w:rsidR="0055674E" w:rsidRPr="00610B1B" w:rsidRDefault="00150F08" w:rsidP="00B46189">
      <w:pPr>
        <w:numPr>
          <w:ilvl w:val="0"/>
          <w:numId w:val="31"/>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Технологии </w:t>
      </w:r>
      <w:r w:rsidR="0055674E" w:rsidRPr="00610B1B">
        <w:rPr>
          <w:rFonts w:ascii="Times New Roman" w:eastAsia="Calibri" w:hAnsi="Times New Roman" w:cs="Times New Roman"/>
          <w:color w:val="000000" w:themeColor="text1"/>
          <w:sz w:val="24"/>
          <w:szCs w:val="24"/>
          <w:lang w:val="bg-BG"/>
        </w:rPr>
        <w:t>като дигитален маркетинг и дистанционни плащания</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повишават своята актуалност.</w:t>
      </w:r>
      <w:r w:rsidR="0055674E" w:rsidRPr="00610B1B">
        <w:rPr>
          <w:rFonts w:ascii="Times New Roman" w:eastAsia="Calibri" w:hAnsi="Times New Roman" w:cs="Times New Roman"/>
          <w:color w:val="000000" w:themeColor="text1"/>
          <w:sz w:val="24"/>
          <w:szCs w:val="24"/>
          <w:lang w:val="bg-BG"/>
        </w:rPr>
        <w:t xml:space="preserve"> Така се преодолява проблема „център – периферия“.</w:t>
      </w:r>
    </w:p>
    <w:p w14:paraId="741AA68A" w14:textId="2D9FE0AE" w:rsidR="0055674E" w:rsidRPr="00610B1B" w:rsidRDefault="0055674E" w:rsidP="00B46189">
      <w:pPr>
        <w:numPr>
          <w:ilvl w:val="0"/>
          <w:numId w:val="31"/>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lastRenderedPageBreak/>
        <w:t>Своевременното внедряване на технологичните иновации в МСП</w:t>
      </w:r>
      <w:r w:rsidR="00150F08" w:rsidRPr="00610B1B">
        <w:rPr>
          <w:rFonts w:ascii="Times New Roman" w:eastAsia="Calibri" w:hAnsi="Times New Roman" w:cs="Times New Roman"/>
          <w:color w:val="000000" w:themeColor="text1"/>
          <w:sz w:val="24"/>
          <w:szCs w:val="24"/>
          <w:lang w:val="bg-BG"/>
        </w:rPr>
        <w:t xml:space="preserve"> налага търсене на възможности за допълване на ограничените ресурси чрез </w:t>
      </w:r>
      <w:r w:rsidRPr="00610B1B">
        <w:rPr>
          <w:rFonts w:ascii="Times New Roman" w:eastAsia="Calibri" w:hAnsi="Times New Roman" w:cs="Times New Roman"/>
          <w:color w:val="000000" w:themeColor="text1"/>
          <w:sz w:val="24"/>
          <w:szCs w:val="24"/>
          <w:lang w:val="bg-BG"/>
        </w:rPr>
        <w:t>съфинансиране на изследователската работа и изготвянето на прототипи.</w:t>
      </w:r>
    </w:p>
    <w:p w14:paraId="3D73F25F" w14:textId="77777777"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i/>
          <w:color w:val="000000" w:themeColor="text1"/>
          <w:sz w:val="24"/>
          <w:szCs w:val="24"/>
          <w:lang w:val="bg-BG"/>
        </w:rPr>
        <w:t xml:space="preserve">Социални и демографски </w:t>
      </w:r>
      <w:r w:rsidRPr="00610B1B">
        <w:rPr>
          <w:rFonts w:ascii="Times New Roman" w:eastAsia="Calibri" w:hAnsi="Times New Roman" w:cs="Times New Roman"/>
          <w:color w:val="000000" w:themeColor="text1"/>
          <w:sz w:val="24"/>
          <w:szCs w:val="24"/>
          <w:lang w:val="bg-BG"/>
        </w:rPr>
        <w:t>движещи сили:</w:t>
      </w:r>
    </w:p>
    <w:p w14:paraId="2425F244" w14:textId="77777777" w:rsidR="0055674E" w:rsidRPr="00610B1B" w:rsidRDefault="0055674E" w:rsidP="00B46189">
      <w:pPr>
        <w:numPr>
          <w:ilvl w:val="0"/>
          <w:numId w:val="32"/>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Благодарение на общата социално-икономическа политика на държавата, демографските показатели се стабилизират и постепенно показват подобрение – увеличена продължителност на живота, намалена смъртност, увеличена раждаемост;</w:t>
      </w:r>
    </w:p>
    <w:p w14:paraId="5ECBE6AE" w14:textId="0319FEAD" w:rsidR="0055674E" w:rsidRPr="00610B1B" w:rsidRDefault="0055674E" w:rsidP="00B46189">
      <w:pPr>
        <w:numPr>
          <w:ilvl w:val="0"/>
          <w:numId w:val="32"/>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Отрицателният механичен прираст затихва и постепенно преминава към положителен. Хипотезата се подкрепя от очакваната повишена атрактивност на крайбрежието поради обновена и доизградена инфраструктура, благоустроена и екологична жизнена среда, осигурени услуги и </w:t>
      </w:r>
      <w:r w:rsidR="00150F08" w:rsidRPr="00610B1B">
        <w:rPr>
          <w:rFonts w:ascii="Times New Roman" w:eastAsia="Calibri" w:hAnsi="Times New Roman" w:cs="Times New Roman"/>
          <w:color w:val="000000" w:themeColor="text1"/>
          <w:sz w:val="24"/>
          <w:szCs w:val="24"/>
          <w:lang w:val="bg-BG"/>
        </w:rPr>
        <w:t xml:space="preserve">целогодишна </w:t>
      </w:r>
      <w:r w:rsidRPr="00610B1B">
        <w:rPr>
          <w:rFonts w:ascii="Times New Roman" w:eastAsia="Calibri" w:hAnsi="Times New Roman" w:cs="Times New Roman"/>
          <w:color w:val="000000" w:themeColor="text1"/>
          <w:sz w:val="24"/>
          <w:szCs w:val="24"/>
          <w:lang w:val="bg-BG"/>
        </w:rPr>
        <w:t>заетост в различни сектори.</w:t>
      </w:r>
    </w:p>
    <w:p w14:paraId="4F5D8218" w14:textId="77777777" w:rsidR="0055674E" w:rsidRPr="00610B1B" w:rsidRDefault="0055674E" w:rsidP="00B46189">
      <w:pPr>
        <w:numPr>
          <w:ilvl w:val="0"/>
          <w:numId w:val="32"/>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Рисковете от силна социална сегрегация са намалени, за разлика от поляризацията, която ще бъде резултат от икономическия сценарий.</w:t>
      </w:r>
    </w:p>
    <w:p w14:paraId="5154A73D" w14:textId="13BBAB2C" w:rsidR="0055674E" w:rsidRPr="00610B1B" w:rsidRDefault="0055674E" w:rsidP="00B46189">
      <w:pPr>
        <w:numPr>
          <w:ilvl w:val="0"/>
          <w:numId w:val="32"/>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Благодарение на подкрепата за широк спектър от малък и среден бизнес, ще се възродят традиционни производства и занаяти, ще се </w:t>
      </w:r>
      <w:r w:rsidR="009E37C8" w:rsidRPr="00610B1B">
        <w:rPr>
          <w:rFonts w:ascii="Times New Roman" w:eastAsia="Calibri" w:hAnsi="Times New Roman" w:cs="Times New Roman"/>
          <w:color w:val="000000" w:themeColor="text1"/>
          <w:sz w:val="24"/>
          <w:szCs w:val="24"/>
          <w:lang w:val="bg-BG"/>
        </w:rPr>
        <w:t>подобрят</w:t>
      </w:r>
      <w:r w:rsidRPr="00610B1B">
        <w:rPr>
          <w:rFonts w:ascii="Times New Roman" w:eastAsia="Calibri" w:hAnsi="Times New Roman" w:cs="Times New Roman"/>
          <w:color w:val="000000" w:themeColor="text1"/>
          <w:sz w:val="24"/>
          <w:szCs w:val="24"/>
          <w:lang w:val="bg-BG"/>
        </w:rPr>
        <w:t xml:space="preserve"> фамилните връзки между поколенията, идентичността на местните общности ще се открои и засили.</w:t>
      </w:r>
    </w:p>
    <w:p w14:paraId="37A0A4CE"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Условия на </w:t>
      </w:r>
      <w:r w:rsidRPr="00610B1B">
        <w:rPr>
          <w:rFonts w:ascii="Times New Roman" w:eastAsia="Calibri" w:hAnsi="Times New Roman" w:cs="Times New Roman"/>
          <w:bCs/>
          <w:i/>
          <w:color w:val="000000" w:themeColor="text1"/>
          <w:sz w:val="24"/>
          <w:szCs w:val="24"/>
          <w:lang w:val="bg-BG"/>
        </w:rPr>
        <w:t>околната среда и природата</w:t>
      </w:r>
      <w:r w:rsidRPr="00610B1B">
        <w:rPr>
          <w:rFonts w:ascii="Times New Roman" w:eastAsia="Calibri" w:hAnsi="Times New Roman" w:cs="Times New Roman"/>
          <w:bCs/>
          <w:color w:val="000000" w:themeColor="text1"/>
          <w:sz w:val="24"/>
          <w:szCs w:val="24"/>
          <w:lang w:val="bg-BG"/>
        </w:rPr>
        <w:t>:</w:t>
      </w:r>
    </w:p>
    <w:p w14:paraId="28DF3DEA" w14:textId="21A27D58" w:rsidR="0055674E" w:rsidRPr="00610B1B" w:rsidRDefault="0055674E" w:rsidP="00B46189">
      <w:pPr>
        <w:numPr>
          <w:ilvl w:val="0"/>
          <w:numId w:val="32"/>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Природните ресурси на морето и крайбрежието се оползотворяват в рамките на границите за устойчиво възпроизводство. За целта се налагат и спазват съответни норми (напр. квоти за улов на риба, максимално антропогенно натоварване на плажните ивици).</w:t>
      </w:r>
    </w:p>
    <w:p w14:paraId="17571400" w14:textId="31DC9A23" w:rsidR="0055674E" w:rsidRPr="00610B1B" w:rsidRDefault="0055674E" w:rsidP="00B46189">
      <w:pPr>
        <w:numPr>
          <w:ilvl w:val="0"/>
          <w:numId w:val="32"/>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Сегашните екологични стандарти </w:t>
      </w:r>
      <w:r w:rsidR="00150F08" w:rsidRPr="00610B1B">
        <w:rPr>
          <w:rFonts w:ascii="Times New Roman" w:eastAsia="Calibri" w:hAnsi="Times New Roman" w:cs="Times New Roman"/>
          <w:color w:val="000000" w:themeColor="text1"/>
          <w:sz w:val="24"/>
          <w:szCs w:val="24"/>
          <w:lang w:val="bg-BG"/>
        </w:rPr>
        <w:t>за</w:t>
      </w:r>
      <w:r w:rsidRPr="00610B1B">
        <w:rPr>
          <w:rFonts w:ascii="Times New Roman" w:eastAsia="Calibri" w:hAnsi="Times New Roman" w:cs="Times New Roman"/>
          <w:color w:val="000000" w:themeColor="text1"/>
          <w:sz w:val="24"/>
          <w:szCs w:val="24"/>
          <w:lang w:val="bg-BG"/>
        </w:rPr>
        <w:t xml:space="preserve"> крайбреж</w:t>
      </w:r>
      <w:r w:rsidR="00150F08" w:rsidRPr="00610B1B">
        <w:rPr>
          <w:rFonts w:ascii="Times New Roman" w:eastAsia="Calibri" w:hAnsi="Times New Roman" w:cs="Times New Roman"/>
          <w:color w:val="000000" w:themeColor="text1"/>
          <w:sz w:val="24"/>
          <w:szCs w:val="24"/>
          <w:lang w:val="bg-BG"/>
        </w:rPr>
        <w:t>е</w:t>
      </w:r>
      <w:r w:rsidRPr="00610B1B">
        <w:rPr>
          <w:rFonts w:ascii="Times New Roman" w:eastAsia="Calibri" w:hAnsi="Times New Roman" w:cs="Times New Roman"/>
          <w:color w:val="000000" w:themeColor="text1"/>
          <w:sz w:val="24"/>
          <w:szCs w:val="24"/>
          <w:lang w:val="bg-BG"/>
        </w:rPr>
        <w:t>н туризъм и рекреация се запазват и обогатяват с по-стриктни изисквания за качество и сигурност на околната среда.</w:t>
      </w:r>
    </w:p>
    <w:p w14:paraId="02A6FD40" w14:textId="77777777" w:rsidR="0055674E" w:rsidRPr="00610B1B" w:rsidRDefault="0055674E" w:rsidP="00B46189">
      <w:pPr>
        <w:numPr>
          <w:ilvl w:val="0"/>
          <w:numId w:val="32"/>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Превантивните мерки по отношение на бреговите свлачища, абразия и ерозия се засилват, инвестициите в предотвратяване на природни бедствия се увеличават.</w:t>
      </w:r>
    </w:p>
    <w:p w14:paraId="5B4E2B08" w14:textId="383C6A5F" w:rsidR="0055674E" w:rsidRPr="00610B1B" w:rsidRDefault="0055674E" w:rsidP="00B46189">
      <w:pPr>
        <w:numPr>
          <w:ilvl w:val="0"/>
          <w:numId w:val="32"/>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Урбанизацията на бреговата ивица се ограничава до неизбежния минимум.</w:t>
      </w:r>
    </w:p>
    <w:p w14:paraId="00C983E6" w14:textId="77777777" w:rsidR="009907CE" w:rsidRPr="00610B1B" w:rsidRDefault="009907CE" w:rsidP="009907CE">
      <w:pPr>
        <w:spacing w:after="120"/>
        <w:ind w:right="-153"/>
        <w:jc w:val="both"/>
        <w:rPr>
          <w:rFonts w:ascii="Times New Roman" w:eastAsia="Calibri" w:hAnsi="Times New Roman" w:cs="Times New Roman"/>
          <w:color w:val="000000" w:themeColor="text1"/>
          <w:sz w:val="24"/>
          <w:szCs w:val="24"/>
          <w:lang w:val="bg-BG"/>
        </w:rPr>
      </w:pPr>
    </w:p>
    <w:p w14:paraId="60D5C73F" w14:textId="77777777" w:rsidR="0055674E" w:rsidRPr="00610B1B" w:rsidRDefault="0055674E" w:rsidP="00D32D6A">
      <w:pPr>
        <w:spacing w:after="120"/>
        <w:ind w:right="-153"/>
        <w:jc w:val="both"/>
        <w:rPr>
          <w:rFonts w:ascii="Times New Roman" w:eastAsia="Calibri" w:hAnsi="Times New Roman" w:cs="Times New Roman"/>
          <w:b/>
          <w:bCs/>
          <w:color w:val="000000" w:themeColor="text1"/>
          <w:sz w:val="24"/>
          <w:szCs w:val="24"/>
          <w:lang w:val="bg-BG"/>
        </w:rPr>
      </w:pPr>
      <w:r w:rsidRPr="00610B1B">
        <w:rPr>
          <w:rFonts w:ascii="Times New Roman" w:eastAsia="Calibri" w:hAnsi="Times New Roman" w:cs="Times New Roman"/>
          <w:b/>
          <w:bCs/>
          <w:color w:val="000000" w:themeColor="text1"/>
          <w:sz w:val="24"/>
          <w:szCs w:val="24"/>
          <w:lang w:val="bg-BG"/>
        </w:rPr>
        <w:t xml:space="preserve">Вероятни въздействия върху околната среда по сектори от морската икономика при прилагането на Сценарий С </w:t>
      </w:r>
    </w:p>
    <w:p w14:paraId="0449979A" w14:textId="254F2E21" w:rsidR="0055674E" w:rsidRPr="00610B1B" w:rsidRDefault="0055674E" w:rsidP="00D32D6A">
      <w:pPr>
        <w:pStyle w:val="BodyText"/>
        <w:spacing w:before="0" w:after="120" w:line="276" w:lineRule="auto"/>
        <w:ind w:right="-158"/>
        <w:rPr>
          <w:rFonts w:eastAsia="Calibri" w:cs="Times New Roman"/>
          <w:color w:val="000000" w:themeColor="text1"/>
          <w:lang w:eastAsia="en-US" w:bidi="ar-SA"/>
        </w:rPr>
      </w:pPr>
      <w:r w:rsidRPr="00610B1B">
        <w:rPr>
          <w:rFonts w:cs="Times New Roman"/>
          <w:bCs/>
          <w:i/>
          <w:iCs/>
          <w:color w:val="000000" w:themeColor="text1"/>
          <w:lang w:eastAsia="en-US" w:bidi="ar-SA"/>
        </w:rPr>
        <w:t>Морски транспорт</w:t>
      </w:r>
      <w:r w:rsidRPr="00610B1B">
        <w:rPr>
          <w:rFonts w:cs="Times New Roman"/>
          <w:bCs/>
          <w:color w:val="000000" w:themeColor="text1"/>
          <w:lang w:eastAsia="en-US" w:bidi="ar-SA"/>
        </w:rPr>
        <w:t xml:space="preserve"> – </w:t>
      </w:r>
      <w:r w:rsidR="009E37C8" w:rsidRPr="00610B1B">
        <w:rPr>
          <w:rFonts w:cs="Times New Roman"/>
          <w:bCs/>
          <w:color w:val="000000" w:themeColor="text1"/>
          <w:lang w:eastAsia="en-US" w:bidi="ar-SA"/>
        </w:rPr>
        <w:t xml:space="preserve">Устойчивото </w:t>
      </w:r>
      <w:r w:rsidRPr="00610B1B">
        <w:rPr>
          <w:rFonts w:cs="Times New Roman"/>
          <w:bCs/>
          <w:lang w:eastAsia="en-US" w:bidi="ar-SA"/>
        </w:rPr>
        <w:t>икономическо развитие забавя разрастването на морския транспорт, което намалява натиска от инвази</w:t>
      </w:r>
      <w:r w:rsidR="00B36ECD" w:rsidRPr="00610B1B">
        <w:rPr>
          <w:rFonts w:cs="Times New Roman"/>
          <w:bCs/>
          <w:lang w:eastAsia="en-US" w:bidi="ar-SA"/>
        </w:rPr>
        <w:t>вн</w:t>
      </w:r>
      <w:r w:rsidRPr="00610B1B">
        <w:rPr>
          <w:rFonts w:cs="Times New Roman"/>
          <w:bCs/>
          <w:lang w:eastAsia="en-US" w:bidi="ar-SA"/>
        </w:rPr>
        <w:t>и</w:t>
      </w:r>
      <w:r w:rsidR="00B36ECD" w:rsidRPr="00610B1B">
        <w:rPr>
          <w:rFonts w:cs="Times New Roman"/>
          <w:bCs/>
          <w:lang w:eastAsia="en-US" w:bidi="ar-SA"/>
        </w:rPr>
        <w:t xml:space="preserve"> видове</w:t>
      </w:r>
      <w:r w:rsidRPr="00610B1B">
        <w:rPr>
          <w:rFonts w:cs="Times New Roman"/>
          <w:bCs/>
          <w:lang w:eastAsia="en-US" w:bidi="ar-SA"/>
        </w:rPr>
        <w:t xml:space="preserve">, подводен шум и замърсяване. </w:t>
      </w:r>
      <w:r w:rsidR="00F40505" w:rsidRPr="00610B1B">
        <w:rPr>
          <w:rFonts w:cs="Times New Roman"/>
          <w:bCs/>
          <w:lang w:eastAsia="en-US" w:bidi="ar-SA"/>
        </w:rPr>
        <w:t>Инвазивните видове</w:t>
      </w:r>
      <w:r w:rsidRPr="00610B1B">
        <w:rPr>
          <w:rFonts w:cs="Times New Roman"/>
          <w:bCs/>
          <w:lang w:eastAsia="en-US" w:bidi="ar-SA"/>
        </w:rPr>
        <w:t xml:space="preserve"> засягат както водния стълб, така и морското дъно, но има тенденция за намаляване на числеността и концентрация</w:t>
      </w:r>
      <w:r w:rsidR="00526628" w:rsidRPr="00610B1B">
        <w:rPr>
          <w:rFonts w:cs="Times New Roman"/>
          <w:bCs/>
          <w:lang w:eastAsia="en-US" w:bidi="ar-SA"/>
        </w:rPr>
        <w:t>та</w:t>
      </w:r>
      <w:r w:rsidRPr="00610B1B">
        <w:rPr>
          <w:rFonts w:cs="Times New Roman"/>
          <w:bCs/>
          <w:lang w:eastAsia="en-US" w:bidi="ar-SA"/>
        </w:rPr>
        <w:t xml:space="preserve"> на нови видове в дългосрочен план. Крайбрежното корабоплаване също е фактор за натиск чрез подводния </w:t>
      </w:r>
      <w:r w:rsidRPr="00610B1B">
        <w:rPr>
          <w:rFonts w:cs="Times New Roman"/>
          <w:bCs/>
          <w:color w:val="000000" w:themeColor="text1"/>
          <w:lang w:eastAsia="en-US" w:bidi="ar-SA"/>
        </w:rPr>
        <w:t>шум и промяна в разпространението на рибите и морските бозайници.</w:t>
      </w:r>
    </w:p>
    <w:p w14:paraId="1649AF03" w14:textId="0DD575C1" w:rsidR="0055674E" w:rsidRPr="00610B1B" w:rsidRDefault="0055674E" w:rsidP="00D32D6A">
      <w:pPr>
        <w:pStyle w:val="BodyText"/>
        <w:spacing w:before="0" w:after="120" w:line="276" w:lineRule="auto"/>
        <w:ind w:right="-158"/>
        <w:rPr>
          <w:rFonts w:eastAsia="Calibri" w:cs="Times New Roman"/>
          <w:color w:val="000000" w:themeColor="text1"/>
          <w:lang w:eastAsia="en-US" w:bidi="ar-SA"/>
        </w:rPr>
      </w:pPr>
      <w:r w:rsidRPr="00610B1B">
        <w:rPr>
          <w:rFonts w:cs="Times New Roman"/>
          <w:bCs/>
          <w:i/>
          <w:iCs/>
          <w:color w:val="000000" w:themeColor="text1"/>
          <w:lang w:eastAsia="en-US" w:bidi="ar-SA"/>
        </w:rPr>
        <w:t>Крайбрежен и морски туризъм</w:t>
      </w:r>
      <w:r w:rsidR="009E6842" w:rsidRPr="00610B1B">
        <w:rPr>
          <w:rFonts w:cs="Times New Roman"/>
          <w:bCs/>
          <w:color w:val="000000" w:themeColor="text1"/>
          <w:lang w:eastAsia="en-US" w:bidi="ar-SA"/>
        </w:rPr>
        <w:t xml:space="preserve"> – </w:t>
      </w:r>
      <w:r w:rsidR="004D4DE9" w:rsidRPr="00610B1B">
        <w:rPr>
          <w:rFonts w:cs="Times New Roman"/>
          <w:bCs/>
          <w:color w:val="000000" w:themeColor="text1"/>
          <w:lang w:eastAsia="en-US" w:bidi="ar-SA"/>
        </w:rPr>
        <w:t xml:space="preserve">Развитието </w:t>
      </w:r>
      <w:r w:rsidRPr="00610B1B">
        <w:rPr>
          <w:rFonts w:cs="Times New Roman"/>
          <w:bCs/>
          <w:color w:val="000000" w:themeColor="text1"/>
          <w:lang w:eastAsia="en-US" w:bidi="ar-SA"/>
        </w:rPr>
        <w:t>на крайбрежния и морски туризъм и в по-</w:t>
      </w:r>
      <w:r w:rsidRPr="00610B1B">
        <w:rPr>
          <w:rFonts w:cs="Times New Roman"/>
          <w:bCs/>
          <w:color w:val="000000" w:themeColor="text1"/>
          <w:lang w:eastAsia="en-US" w:bidi="ar-SA"/>
        </w:rPr>
        <w:lastRenderedPageBreak/>
        <w:t xml:space="preserve">малките крайбрежни общини води до изграждането на яхтени пристанища и брегозащитни съоръжения северно от н. Калиакра, в района на Камчия – Шкорпиловци, в райони, които все още не са засегнати. Южно от Созопол застрояването е предимно на сушата. В някои участъци естествените пясъчни дюни </w:t>
      </w:r>
      <w:r w:rsidR="00150F08" w:rsidRPr="00610B1B">
        <w:rPr>
          <w:rFonts w:cs="Times New Roman"/>
          <w:bCs/>
          <w:color w:val="000000" w:themeColor="text1"/>
          <w:lang w:eastAsia="en-US" w:bidi="ar-SA"/>
        </w:rPr>
        <w:t xml:space="preserve">са </w:t>
      </w:r>
      <w:r w:rsidRPr="00610B1B">
        <w:rPr>
          <w:rFonts w:cs="Times New Roman"/>
          <w:bCs/>
          <w:color w:val="000000" w:themeColor="text1"/>
          <w:lang w:eastAsia="en-US" w:bidi="ar-SA"/>
        </w:rPr>
        <w:t>необратимо разрушени поради икономически интереси. Всичко това влошава екологичните условия и естествената привлекателност на брега в райони за екологичен туризъм.</w:t>
      </w:r>
    </w:p>
    <w:p w14:paraId="23CBC52E" w14:textId="451EBF2F" w:rsidR="0055674E" w:rsidRPr="00610B1B" w:rsidRDefault="00DD6CD4" w:rsidP="00D32D6A">
      <w:pPr>
        <w:pStyle w:val="BodyText"/>
        <w:spacing w:before="0" w:after="120" w:line="276" w:lineRule="auto"/>
        <w:ind w:right="-158"/>
        <w:rPr>
          <w:rFonts w:eastAsia="Calibri" w:cs="Times New Roman"/>
          <w:color w:val="000000" w:themeColor="text1"/>
          <w:lang w:eastAsia="en-US" w:bidi="ar-SA"/>
        </w:rPr>
      </w:pPr>
      <w:r w:rsidRPr="00610B1B">
        <w:rPr>
          <w:rFonts w:cs="Times New Roman"/>
          <w:bCs/>
          <w:i/>
          <w:iCs/>
          <w:color w:val="000000" w:themeColor="text1"/>
          <w:lang w:eastAsia="en-US" w:bidi="ar-SA"/>
        </w:rPr>
        <w:t>Стопански риболов</w:t>
      </w:r>
      <w:r w:rsidR="0055674E" w:rsidRPr="00610B1B">
        <w:rPr>
          <w:rFonts w:cs="Times New Roman"/>
          <w:bCs/>
          <w:color w:val="000000" w:themeColor="text1"/>
          <w:lang w:eastAsia="en-US" w:bidi="ar-SA"/>
        </w:rPr>
        <w:t xml:space="preserve"> – </w:t>
      </w:r>
      <w:r w:rsidR="004D4DE9" w:rsidRPr="00610B1B">
        <w:rPr>
          <w:rFonts w:cs="Times New Roman"/>
          <w:bCs/>
          <w:color w:val="000000" w:themeColor="text1"/>
          <w:lang w:eastAsia="en-US" w:bidi="ar-SA"/>
        </w:rPr>
        <w:t xml:space="preserve">Натискът </w:t>
      </w:r>
      <w:r w:rsidR="0055674E" w:rsidRPr="00610B1B">
        <w:rPr>
          <w:rFonts w:cs="Times New Roman"/>
          <w:bCs/>
          <w:color w:val="000000" w:themeColor="text1"/>
          <w:lang w:eastAsia="en-US" w:bidi="ar-SA"/>
        </w:rPr>
        <w:t>е не само в района на Варненския и Бургаския залив, но и извън тях. Насърчава</w:t>
      </w:r>
      <w:r w:rsidR="00150F08" w:rsidRPr="00610B1B">
        <w:rPr>
          <w:rFonts w:cs="Times New Roman"/>
          <w:bCs/>
          <w:color w:val="000000" w:themeColor="text1"/>
          <w:lang w:eastAsia="en-US" w:bidi="ar-SA"/>
        </w:rPr>
        <w:t>т се</w:t>
      </w:r>
      <w:r w:rsidR="00D66FE0" w:rsidRPr="00610B1B">
        <w:rPr>
          <w:rFonts w:cs="Times New Roman"/>
          <w:bCs/>
          <w:color w:val="000000" w:themeColor="text1"/>
          <w:lang w:eastAsia="en-US" w:bidi="ar-SA"/>
        </w:rPr>
        <w:t xml:space="preserve"> </w:t>
      </w:r>
      <w:r w:rsidR="0055674E" w:rsidRPr="00610B1B">
        <w:rPr>
          <w:rFonts w:cs="Times New Roman"/>
          <w:bCs/>
          <w:color w:val="000000" w:themeColor="text1"/>
          <w:lang w:eastAsia="en-US" w:bidi="ar-SA"/>
        </w:rPr>
        <w:t>щадящи околната среда методи и практики и дребномащабния риболов, пространствено ограничен в крайбрежната зона и извън размножителния сезон (пролет и есен). Това спомага за възстановяване на рибните запаси в по-обширни морски пространства.</w:t>
      </w:r>
    </w:p>
    <w:p w14:paraId="5B584D4D" w14:textId="09C2FA13" w:rsidR="0055674E" w:rsidRPr="00610B1B" w:rsidRDefault="0055674E" w:rsidP="00D32D6A">
      <w:pPr>
        <w:pStyle w:val="BodyText"/>
        <w:spacing w:before="0" w:after="120" w:line="276" w:lineRule="auto"/>
        <w:ind w:right="-158"/>
        <w:rPr>
          <w:rFonts w:cs="Times New Roman"/>
          <w:bCs/>
          <w:color w:val="000000" w:themeColor="text1"/>
          <w:lang w:eastAsia="en-US" w:bidi="ar-SA"/>
        </w:rPr>
      </w:pPr>
      <w:r w:rsidRPr="00610B1B">
        <w:rPr>
          <w:rFonts w:cs="Times New Roman"/>
          <w:bCs/>
          <w:i/>
          <w:iCs/>
          <w:color w:val="000000" w:themeColor="text1"/>
          <w:lang w:eastAsia="en-US" w:bidi="ar-SA"/>
        </w:rPr>
        <w:t>Морски аквакултури</w:t>
      </w:r>
      <w:r w:rsidR="009E6842" w:rsidRPr="00610B1B">
        <w:rPr>
          <w:rFonts w:cs="Times New Roman"/>
          <w:bCs/>
          <w:color w:val="000000" w:themeColor="text1"/>
          <w:lang w:eastAsia="en-US" w:bidi="ar-SA"/>
        </w:rPr>
        <w:t xml:space="preserve"> – </w:t>
      </w:r>
      <w:r w:rsidR="004D4DE9" w:rsidRPr="00610B1B">
        <w:rPr>
          <w:rFonts w:cs="Times New Roman"/>
          <w:bCs/>
          <w:color w:val="000000" w:themeColor="text1"/>
          <w:lang w:eastAsia="en-US" w:bidi="ar-SA"/>
        </w:rPr>
        <w:t>В</w:t>
      </w:r>
      <w:r w:rsidRPr="00610B1B">
        <w:rPr>
          <w:rFonts w:cs="Times New Roman"/>
          <w:bCs/>
          <w:color w:val="000000" w:themeColor="text1"/>
          <w:lang w:eastAsia="en-US" w:bidi="ar-SA"/>
        </w:rPr>
        <w:t xml:space="preserve"> района между н. Калиакра и Балчик, източно от н. Емине и южно от Созопол се развиват морските аквакултури. Оптималното разположение на съоръженията и отчитането на допустимото натоварване на средата предотвратяват замърсяване</w:t>
      </w:r>
      <w:r w:rsidR="00150F08" w:rsidRPr="00610B1B">
        <w:rPr>
          <w:rFonts w:cs="Times New Roman"/>
          <w:bCs/>
          <w:color w:val="000000" w:themeColor="text1"/>
          <w:lang w:eastAsia="en-US" w:bidi="ar-SA"/>
        </w:rPr>
        <w:t>то</w:t>
      </w:r>
      <w:r w:rsidRPr="00610B1B">
        <w:rPr>
          <w:rFonts w:cs="Times New Roman"/>
          <w:bCs/>
          <w:color w:val="000000" w:themeColor="text1"/>
          <w:lang w:eastAsia="en-US" w:bidi="ar-SA"/>
        </w:rPr>
        <w:t xml:space="preserve"> на морската среда в резултат </w:t>
      </w:r>
      <w:r w:rsidR="0050166D" w:rsidRPr="00610B1B">
        <w:rPr>
          <w:rFonts w:cs="Times New Roman"/>
          <w:bCs/>
          <w:color w:val="000000" w:themeColor="text1"/>
          <w:lang w:eastAsia="en-US" w:bidi="ar-SA"/>
        </w:rPr>
        <w:t>на</w:t>
      </w:r>
      <w:r w:rsidRPr="00610B1B">
        <w:rPr>
          <w:rFonts w:cs="Times New Roman"/>
          <w:bCs/>
          <w:color w:val="000000" w:themeColor="text1"/>
          <w:lang w:eastAsia="en-US" w:bidi="ar-SA"/>
        </w:rPr>
        <w:t xml:space="preserve"> високата плътност на култивиране. Това влияе благоприятно върху развитието на сектора.</w:t>
      </w:r>
    </w:p>
    <w:p w14:paraId="659A69C6" w14:textId="5B03CA4D" w:rsidR="0055674E" w:rsidRPr="00610B1B" w:rsidRDefault="0055674E" w:rsidP="00D32D6A">
      <w:pPr>
        <w:pStyle w:val="BodyText"/>
        <w:spacing w:before="0" w:after="120" w:line="276" w:lineRule="auto"/>
        <w:ind w:right="-158"/>
        <w:rPr>
          <w:rFonts w:eastAsia="Calibri" w:cs="Times New Roman"/>
          <w:color w:val="000000" w:themeColor="text1"/>
          <w:lang w:eastAsia="en-US" w:bidi="ar-SA"/>
        </w:rPr>
      </w:pPr>
      <w:r w:rsidRPr="00610B1B">
        <w:rPr>
          <w:rFonts w:cs="Times New Roman"/>
          <w:bCs/>
          <w:i/>
          <w:iCs/>
          <w:color w:val="000000" w:themeColor="text1"/>
          <w:lang w:eastAsia="en-US" w:bidi="ar-SA"/>
        </w:rPr>
        <w:t>Брегозащита</w:t>
      </w:r>
      <w:r w:rsidRPr="00610B1B">
        <w:rPr>
          <w:rFonts w:cs="Times New Roman"/>
          <w:bCs/>
          <w:color w:val="000000" w:themeColor="text1"/>
          <w:lang w:eastAsia="en-US" w:bidi="ar-SA"/>
        </w:rPr>
        <w:t xml:space="preserve"> – </w:t>
      </w:r>
      <w:r w:rsidR="004D4DE9" w:rsidRPr="00610B1B">
        <w:rPr>
          <w:rFonts w:cs="Times New Roman"/>
          <w:bCs/>
          <w:color w:val="000000" w:themeColor="text1"/>
          <w:lang w:eastAsia="en-US" w:bidi="ar-SA"/>
        </w:rPr>
        <w:t xml:space="preserve">Изграждането </w:t>
      </w:r>
      <w:r w:rsidRPr="00610B1B">
        <w:rPr>
          <w:rFonts w:cs="Times New Roman"/>
          <w:bCs/>
          <w:color w:val="000000" w:themeColor="text1"/>
          <w:lang w:eastAsia="en-US" w:bidi="ar-SA"/>
        </w:rPr>
        <w:t>на дънни съоръжения води до увеличаване на натоварването върху дънните местообитания на дълбочина до 5–7 m.</w:t>
      </w:r>
      <w:r w:rsidR="00D66FE0" w:rsidRPr="00610B1B">
        <w:rPr>
          <w:rFonts w:cs="Times New Roman"/>
          <w:bCs/>
          <w:color w:val="000000" w:themeColor="text1"/>
          <w:lang w:eastAsia="en-US" w:bidi="ar-SA"/>
        </w:rPr>
        <w:t xml:space="preserve"> </w:t>
      </w:r>
      <w:r w:rsidRPr="00610B1B">
        <w:rPr>
          <w:rFonts w:cs="Times New Roman"/>
          <w:bCs/>
          <w:color w:val="000000" w:themeColor="text1"/>
          <w:lang w:eastAsia="en-US" w:bidi="ar-SA"/>
        </w:rPr>
        <w:t>Защитата от абразия, свлачища и наводнения е осигурена, но в условията на наносен дефицит предизвиква абразия в съседни абразионни участъци – Каварна</w:t>
      </w:r>
      <w:r w:rsidR="0050166D" w:rsidRPr="00610B1B">
        <w:rPr>
          <w:rFonts w:cs="Times New Roman"/>
          <w:bCs/>
          <w:color w:val="000000" w:themeColor="text1"/>
          <w:lang w:eastAsia="en-US" w:bidi="ar-SA"/>
        </w:rPr>
        <w:t xml:space="preserve"> </w:t>
      </w:r>
      <w:r w:rsidRPr="00610B1B">
        <w:rPr>
          <w:rFonts w:cs="Times New Roman"/>
          <w:bCs/>
          <w:color w:val="000000" w:themeColor="text1"/>
          <w:lang w:eastAsia="en-US" w:bidi="ar-SA"/>
        </w:rPr>
        <w:t>-</w:t>
      </w:r>
      <w:r w:rsidR="0050166D" w:rsidRPr="00610B1B">
        <w:rPr>
          <w:rFonts w:cs="Times New Roman"/>
          <w:bCs/>
          <w:color w:val="000000" w:themeColor="text1"/>
          <w:lang w:eastAsia="en-US" w:bidi="ar-SA"/>
        </w:rPr>
        <w:t xml:space="preserve"> </w:t>
      </w:r>
      <w:r w:rsidRPr="00610B1B">
        <w:rPr>
          <w:rFonts w:cs="Times New Roman"/>
          <w:bCs/>
          <w:color w:val="000000" w:themeColor="text1"/>
          <w:lang w:eastAsia="en-US" w:bidi="ar-SA"/>
        </w:rPr>
        <w:t>Албена, н. Св. Георги</w:t>
      </w:r>
      <w:r w:rsidR="0050166D" w:rsidRPr="00610B1B">
        <w:rPr>
          <w:rFonts w:cs="Times New Roman"/>
          <w:bCs/>
          <w:color w:val="000000" w:themeColor="text1"/>
          <w:lang w:eastAsia="en-US" w:bidi="ar-SA"/>
        </w:rPr>
        <w:t xml:space="preserve"> </w:t>
      </w:r>
      <w:r w:rsidRPr="00610B1B">
        <w:rPr>
          <w:rFonts w:cs="Times New Roman"/>
          <w:bCs/>
          <w:color w:val="000000" w:themeColor="text1"/>
          <w:lang w:eastAsia="en-US" w:bidi="ar-SA"/>
        </w:rPr>
        <w:t>-</w:t>
      </w:r>
      <w:r w:rsidR="0050166D" w:rsidRPr="00610B1B">
        <w:rPr>
          <w:rFonts w:cs="Times New Roman"/>
          <w:bCs/>
          <w:color w:val="000000" w:themeColor="text1"/>
          <w:lang w:eastAsia="en-US" w:bidi="ar-SA"/>
        </w:rPr>
        <w:t xml:space="preserve"> </w:t>
      </w:r>
      <w:r w:rsidRPr="00610B1B">
        <w:rPr>
          <w:rFonts w:cs="Times New Roman"/>
          <w:bCs/>
          <w:color w:val="000000" w:themeColor="text1"/>
          <w:lang w:eastAsia="en-US" w:bidi="ar-SA"/>
        </w:rPr>
        <w:t>Галата, Галата</w:t>
      </w:r>
      <w:r w:rsidR="0050166D" w:rsidRPr="00610B1B">
        <w:rPr>
          <w:rFonts w:cs="Times New Roman"/>
          <w:bCs/>
          <w:color w:val="000000" w:themeColor="text1"/>
          <w:lang w:eastAsia="en-US" w:bidi="ar-SA"/>
        </w:rPr>
        <w:t xml:space="preserve"> </w:t>
      </w:r>
      <w:r w:rsidRPr="00610B1B">
        <w:rPr>
          <w:rFonts w:cs="Times New Roman"/>
          <w:bCs/>
          <w:color w:val="000000" w:themeColor="text1"/>
          <w:lang w:eastAsia="en-US" w:bidi="ar-SA"/>
        </w:rPr>
        <w:t>-</w:t>
      </w:r>
      <w:r w:rsidR="0050166D" w:rsidRPr="00610B1B">
        <w:rPr>
          <w:rFonts w:cs="Times New Roman"/>
          <w:bCs/>
          <w:color w:val="000000" w:themeColor="text1"/>
          <w:lang w:eastAsia="en-US" w:bidi="ar-SA"/>
        </w:rPr>
        <w:t xml:space="preserve"> </w:t>
      </w:r>
      <w:r w:rsidRPr="00610B1B">
        <w:rPr>
          <w:rFonts w:cs="Times New Roman"/>
          <w:bCs/>
          <w:color w:val="000000" w:themeColor="text1"/>
          <w:lang w:eastAsia="en-US" w:bidi="ar-SA"/>
        </w:rPr>
        <w:t>Емине, Поморие</w:t>
      </w:r>
      <w:r w:rsidR="0050166D" w:rsidRPr="00610B1B">
        <w:rPr>
          <w:rFonts w:cs="Times New Roman"/>
          <w:bCs/>
          <w:color w:val="000000" w:themeColor="text1"/>
          <w:lang w:eastAsia="en-US" w:bidi="ar-SA"/>
        </w:rPr>
        <w:t xml:space="preserve"> </w:t>
      </w:r>
      <w:r w:rsidRPr="00610B1B">
        <w:rPr>
          <w:rFonts w:cs="Times New Roman"/>
          <w:bCs/>
          <w:color w:val="000000" w:themeColor="text1"/>
          <w:lang w:eastAsia="en-US" w:bidi="ar-SA"/>
        </w:rPr>
        <w:t>-</w:t>
      </w:r>
      <w:r w:rsidR="0050166D" w:rsidRPr="00610B1B">
        <w:rPr>
          <w:rFonts w:cs="Times New Roman"/>
          <w:bCs/>
          <w:color w:val="000000" w:themeColor="text1"/>
          <w:lang w:eastAsia="en-US" w:bidi="ar-SA"/>
        </w:rPr>
        <w:t xml:space="preserve"> </w:t>
      </w:r>
      <w:r w:rsidRPr="00610B1B">
        <w:rPr>
          <w:rFonts w:cs="Times New Roman"/>
          <w:bCs/>
          <w:color w:val="000000" w:themeColor="text1"/>
          <w:lang w:eastAsia="en-US" w:bidi="ar-SA"/>
        </w:rPr>
        <w:t>н. Форос.</w:t>
      </w:r>
    </w:p>
    <w:p w14:paraId="6FD8B2DC" w14:textId="39F405DF" w:rsidR="0055674E" w:rsidRPr="00610B1B" w:rsidRDefault="0055674E" w:rsidP="00D32D6A">
      <w:pPr>
        <w:pStyle w:val="BodyText"/>
        <w:spacing w:before="0" w:after="120" w:line="276" w:lineRule="auto"/>
        <w:ind w:right="-153"/>
        <w:rPr>
          <w:rFonts w:cs="Times New Roman"/>
          <w:bCs/>
          <w:color w:val="000000" w:themeColor="text1"/>
          <w:lang w:eastAsia="en-US" w:bidi="ar-SA"/>
        </w:rPr>
      </w:pPr>
      <w:bookmarkStart w:id="442" w:name="__DdeLink__86_92323857"/>
      <w:r w:rsidRPr="00610B1B">
        <w:rPr>
          <w:rFonts w:cs="Times New Roman"/>
          <w:bCs/>
          <w:i/>
          <w:iCs/>
          <w:color w:val="000000" w:themeColor="text1"/>
          <w:lang w:eastAsia="en-US" w:bidi="ar-SA"/>
        </w:rPr>
        <w:t>Морска енергетика</w:t>
      </w:r>
      <w:r w:rsidRPr="00610B1B">
        <w:rPr>
          <w:rFonts w:cs="Times New Roman"/>
          <w:bCs/>
          <w:color w:val="000000" w:themeColor="text1"/>
          <w:lang w:eastAsia="en-US" w:bidi="ar-SA"/>
        </w:rPr>
        <w:t xml:space="preserve"> – </w:t>
      </w:r>
      <w:r w:rsidR="004D4DE9" w:rsidRPr="00610B1B">
        <w:rPr>
          <w:rFonts w:cs="Times New Roman"/>
          <w:bCs/>
          <w:color w:val="000000" w:themeColor="text1"/>
          <w:lang w:eastAsia="en-US" w:bidi="ar-SA"/>
        </w:rPr>
        <w:t xml:space="preserve">Развиват </w:t>
      </w:r>
      <w:r w:rsidRPr="00610B1B">
        <w:rPr>
          <w:rFonts w:cs="Times New Roman"/>
          <w:bCs/>
          <w:color w:val="000000" w:themeColor="text1"/>
          <w:lang w:eastAsia="en-US" w:bidi="ar-SA"/>
        </w:rPr>
        <w:t>се традиционни източници (нефт и газ) и нетрадиционни – енергия от вятъра</w:t>
      </w:r>
      <w:r w:rsidR="0050166D" w:rsidRPr="00610B1B">
        <w:rPr>
          <w:rFonts w:cs="Times New Roman"/>
          <w:bCs/>
          <w:color w:val="000000" w:themeColor="text1"/>
          <w:lang w:eastAsia="en-US" w:bidi="ar-SA"/>
        </w:rPr>
        <w:t xml:space="preserve"> и слънцето</w:t>
      </w:r>
      <w:r w:rsidRPr="00610B1B">
        <w:rPr>
          <w:rFonts w:cs="Times New Roman"/>
          <w:bCs/>
          <w:color w:val="000000" w:themeColor="text1"/>
          <w:lang w:eastAsia="en-US" w:bidi="ar-SA"/>
        </w:rPr>
        <w:t xml:space="preserve">. По-умереното икономическо развитие не позволява инвестиции в по-рискови авангардни технологии, което забавя развитието на </w:t>
      </w:r>
      <w:r w:rsidR="004D4DE9" w:rsidRPr="00610B1B">
        <w:rPr>
          <w:rFonts w:cs="Times New Roman"/>
          <w:bCs/>
          <w:color w:val="000000" w:themeColor="text1"/>
          <w:lang w:eastAsia="en-US" w:bidi="ar-SA"/>
        </w:rPr>
        <w:t xml:space="preserve">проучванията за </w:t>
      </w:r>
      <w:r w:rsidRPr="00610B1B">
        <w:rPr>
          <w:rFonts w:cs="Times New Roman"/>
          <w:bCs/>
          <w:color w:val="000000" w:themeColor="text1"/>
          <w:lang w:eastAsia="en-US" w:bidi="ar-SA"/>
        </w:rPr>
        <w:t xml:space="preserve">добив и извличане на енергията от газови </w:t>
      </w:r>
      <w:bookmarkEnd w:id="442"/>
      <w:r w:rsidRPr="00610B1B">
        <w:rPr>
          <w:rFonts w:cs="Times New Roman"/>
          <w:bCs/>
          <w:color w:val="000000" w:themeColor="text1"/>
          <w:lang w:eastAsia="en-US" w:bidi="ar-SA"/>
        </w:rPr>
        <w:t>хидрати и сероводород.</w:t>
      </w:r>
    </w:p>
    <w:p w14:paraId="67528B45" w14:textId="5A00D422" w:rsidR="0055674E" w:rsidRPr="00610B1B" w:rsidRDefault="0055674E" w:rsidP="00D32D6A">
      <w:pPr>
        <w:pStyle w:val="BodyText"/>
        <w:spacing w:before="0" w:after="120" w:line="276" w:lineRule="auto"/>
        <w:ind w:right="-153"/>
        <w:rPr>
          <w:rFonts w:cs="Times New Roman"/>
          <w:bCs/>
          <w:color w:val="000000" w:themeColor="text1"/>
          <w:lang w:eastAsia="en-US" w:bidi="ar-SA"/>
        </w:rPr>
      </w:pPr>
      <w:r w:rsidRPr="00610B1B">
        <w:rPr>
          <w:rFonts w:cs="Times New Roman"/>
          <w:bCs/>
          <w:i/>
          <w:iCs/>
          <w:color w:val="000000" w:themeColor="text1"/>
          <w:lang w:eastAsia="en-US" w:bidi="ar-SA"/>
        </w:rPr>
        <w:t>Научни изследвания</w:t>
      </w:r>
      <w:r w:rsidRPr="00610B1B">
        <w:rPr>
          <w:rFonts w:cs="Times New Roman"/>
          <w:bCs/>
          <w:color w:val="000000" w:themeColor="text1"/>
          <w:lang w:eastAsia="en-US" w:bidi="ar-SA"/>
        </w:rPr>
        <w:t xml:space="preserve"> – „Черноморският дневен ред за стратегически научни изследвания и иновации“ обединява научните усилия на страните от Черноморския регион</w:t>
      </w:r>
      <w:r w:rsidR="0050166D" w:rsidRPr="00610B1B">
        <w:rPr>
          <w:rFonts w:cs="Times New Roman"/>
          <w:bCs/>
          <w:color w:val="000000" w:themeColor="text1"/>
          <w:lang w:eastAsia="en-US" w:bidi="ar-SA"/>
        </w:rPr>
        <w:t xml:space="preserve"> и подпомага </w:t>
      </w:r>
      <w:r w:rsidRPr="00610B1B">
        <w:rPr>
          <w:rFonts w:cs="Times New Roman"/>
          <w:bCs/>
          <w:color w:val="000000" w:themeColor="text1"/>
          <w:lang w:eastAsia="en-US" w:bidi="ar-SA"/>
        </w:rPr>
        <w:t xml:space="preserve">развитието в приоритетните сектори „Рибарството и аквакултури“. Използват се нови и дистанционни методи за мониторинг на морските организми. Създаването на мрежа от свързани морски защитени територии </w:t>
      </w:r>
      <w:r w:rsidR="0050166D" w:rsidRPr="00610B1B">
        <w:rPr>
          <w:rFonts w:cs="Times New Roman"/>
          <w:bCs/>
          <w:color w:val="000000" w:themeColor="text1"/>
          <w:lang w:eastAsia="en-US" w:bidi="ar-SA"/>
        </w:rPr>
        <w:t xml:space="preserve">повишава </w:t>
      </w:r>
      <w:r w:rsidRPr="00610B1B">
        <w:rPr>
          <w:rFonts w:cs="Times New Roman"/>
          <w:bCs/>
          <w:color w:val="000000" w:themeColor="text1"/>
          <w:lang w:eastAsia="en-US" w:bidi="ar-SA"/>
        </w:rPr>
        <w:t>синергия</w:t>
      </w:r>
      <w:r w:rsidR="0050166D" w:rsidRPr="00610B1B">
        <w:rPr>
          <w:rFonts w:cs="Times New Roman"/>
          <w:bCs/>
          <w:color w:val="000000" w:themeColor="text1"/>
          <w:lang w:eastAsia="en-US" w:bidi="ar-SA"/>
        </w:rPr>
        <w:t>та</w:t>
      </w:r>
      <w:r w:rsidRPr="00610B1B">
        <w:rPr>
          <w:rFonts w:cs="Times New Roman"/>
          <w:bCs/>
          <w:color w:val="000000" w:themeColor="text1"/>
          <w:lang w:eastAsia="en-US" w:bidi="ar-SA"/>
        </w:rPr>
        <w:t xml:space="preserve"> между опазването на морската околна среда и на археологическите обекти на морското дъно. Своевременното внедряване на нови енергийни източници е възпрепятствано от недостига на ресурси за финансиране на изследователската работа и изготвянето на прототипи.</w:t>
      </w:r>
    </w:p>
    <w:p w14:paraId="64B5BEE4" w14:textId="26789558" w:rsidR="0055674E" w:rsidRPr="00610B1B" w:rsidRDefault="0055674E" w:rsidP="00D32D6A">
      <w:pPr>
        <w:pStyle w:val="BodyText"/>
        <w:spacing w:before="0" w:after="120" w:line="276" w:lineRule="auto"/>
        <w:ind w:right="-153"/>
        <w:rPr>
          <w:rFonts w:cs="Times New Roman"/>
          <w:bCs/>
          <w:color w:val="000000" w:themeColor="text1"/>
          <w:lang w:eastAsia="en-US" w:bidi="ar-SA"/>
        </w:rPr>
      </w:pPr>
      <w:r w:rsidRPr="00610B1B">
        <w:rPr>
          <w:rFonts w:cs="Times New Roman"/>
          <w:bCs/>
          <w:i/>
          <w:iCs/>
          <w:color w:val="000000" w:themeColor="text1"/>
          <w:lang w:eastAsia="en-US" w:bidi="ar-SA"/>
        </w:rPr>
        <w:t>Взаимодействие суша-море</w:t>
      </w:r>
      <w:r w:rsidR="009E6842" w:rsidRPr="00610B1B">
        <w:rPr>
          <w:rFonts w:cs="Times New Roman"/>
          <w:bCs/>
          <w:color w:val="000000" w:themeColor="text1"/>
          <w:lang w:eastAsia="en-US" w:bidi="ar-SA"/>
        </w:rPr>
        <w:t xml:space="preserve"> – </w:t>
      </w:r>
      <w:r w:rsidR="004D4DE9" w:rsidRPr="00610B1B">
        <w:rPr>
          <w:rFonts w:cs="Times New Roman"/>
          <w:bCs/>
          <w:color w:val="000000" w:themeColor="text1"/>
          <w:lang w:eastAsia="en-US" w:bidi="ar-SA"/>
        </w:rPr>
        <w:t xml:space="preserve">Изграждането </w:t>
      </w:r>
      <w:r w:rsidRPr="00610B1B">
        <w:rPr>
          <w:rFonts w:cs="Times New Roman"/>
          <w:bCs/>
          <w:color w:val="000000" w:themeColor="text1"/>
          <w:lang w:eastAsia="en-US" w:bidi="ar-SA"/>
        </w:rPr>
        <w:t xml:space="preserve">и модернизацията на пречиствателни станции за отпадъчни води допринася за намаляване на замърсяването от населените места и промишлеността. Дълбоководно заустване не е необходимо поради достатъчна степен на пречистване на отпадъчните води и намалената интензивност на летния туризъм. Развитието на екологично земеделие в прилежащите </w:t>
      </w:r>
      <w:r w:rsidR="004D4DE9" w:rsidRPr="00610B1B">
        <w:rPr>
          <w:rFonts w:cs="Times New Roman"/>
          <w:bCs/>
          <w:color w:val="000000" w:themeColor="text1"/>
          <w:lang w:eastAsia="en-US" w:bidi="ar-SA"/>
        </w:rPr>
        <w:t xml:space="preserve">крайбрежни </w:t>
      </w:r>
      <w:r w:rsidRPr="00610B1B">
        <w:rPr>
          <w:rFonts w:cs="Times New Roman"/>
          <w:bCs/>
          <w:color w:val="000000" w:themeColor="text1"/>
          <w:lang w:eastAsia="en-US" w:bidi="ar-SA"/>
        </w:rPr>
        <w:t>територии води до намаляване на антропогенната еутрофикацията и на замърсяването с пестициди на крайбрежните води.</w:t>
      </w:r>
    </w:p>
    <w:p w14:paraId="2B690F17" w14:textId="245878CB" w:rsidR="0055674E" w:rsidRPr="00610B1B" w:rsidRDefault="0055674E" w:rsidP="00D32D6A">
      <w:pPr>
        <w:pStyle w:val="BodyText"/>
        <w:spacing w:before="0" w:after="120" w:line="276" w:lineRule="auto"/>
        <w:ind w:right="-153"/>
        <w:rPr>
          <w:rStyle w:val="Heading3Char"/>
          <w:rFonts w:eastAsia="Calibri" w:cs="Times New Roman"/>
          <w:b w:val="0"/>
          <w:color w:val="000000"/>
          <w:sz w:val="24"/>
          <w:szCs w:val="24"/>
        </w:rPr>
      </w:pPr>
      <w:r w:rsidRPr="00610B1B">
        <w:rPr>
          <w:rFonts w:cs="Times New Roman"/>
          <w:bCs/>
          <w:i/>
          <w:iCs/>
          <w:color w:val="000000" w:themeColor="text1"/>
          <w:lang w:eastAsia="en-US" w:bidi="ar-SA"/>
        </w:rPr>
        <w:t>Взаимодействие море-суша</w:t>
      </w:r>
      <w:r w:rsidRPr="00610B1B">
        <w:rPr>
          <w:rFonts w:cs="Times New Roman"/>
          <w:bCs/>
          <w:color w:val="000000" w:themeColor="text1"/>
          <w:lang w:eastAsia="en-US" w:bidi="ar-SA"/>
        </w:rPr>
        <w:t xml:space="preserve"> – постигането на добро състояние на морската среда </w:t>
      </w:r>
      <w:r w:rsidRPr="00610B1B">
        <w:rPr>
          <w:rFonts w:cs="Times New Roman"/>
          <w:bCs/>
          <w:color w:val="000000" w:themeColor="text1"/>
          <w:lang w:eastAsia="en-US" w:bidi="ar-SA"/>
        </w:rPr>
        <w:lastRenderedPageBreak/>
        <w:t>благоприятства развитието на крайбрежния и морски туризъм, рибарството и аквакултурите. Това допринася за развитието на местната икономика и съответно благоприятно въздействие върху заетостта и качеството на живот</w:t>
      </w:r>
      <w:r w:rsidRPr="00610B1B">
        <w:rPr>
          <w:rStyle w:val="Heading3Char"/>
          <w:rFonts w:eastAsia="Calibri" w:cs="Times New Roman"/>
          <w:b w:val="0"/>
          <w:color w:val="000000"/>
          <w:sz w:val="24"/>
          <w:szCs w:val="24"/>
        </w:rPr>
        <w:t xml:space="preserve"> на местното население.</w:t>
      </w:r>
    </w:p>
    <w:p w14:paraId="48388589" w14:textId="77777777" w:rsidR="00B5638E" w:rsidRPr="00610B1B" w:rsidRDefault="00B5638E" w:rsidP="00D32D6A">
      <w:pPr>
        <w:pStyle w:val="BodyText"/>
        <w:spacing w:before="0" w:after="120" w:line="276" w:lineRule="auto"/>
        <w:ind w:right="-153"/>
        <w:rPr>
          <w:rStyle w:val="Heading3Char"/>
          <w:rFonts w:eastAsia="Calibri" w:cs="Times New Roman"/>
          <w:b w:val="0"/>
          <w:color w:val="000000"/>
          <w:sz w:val="24"/>
          <w:szCs w:val="24"/>
        </w:rPr>
      </w:pPr>
    </w:p>
    <w:p w14:paraId="7874AC29" w14:textId="4B6E43D6" w:rsidR="0055674E" w:rsidRPr="00610B1B" w:rsidRDefault="0055674E" w:rsidP="00D32D6A">
      <w:pPr>
        <w:pStyle w:val="Heading3"/>
        <w:spacing w:before="0" w:line="276" w:lineRule="auto"/>
        <w:ind w:right="-153"/>
        <w:jc w:val="both"/>
        <w:rPr>
          <w:rFonts w:eastAsia="Calibri" w:cs="Times New Roman"/>
          <w:b w:val="0"/>
          <w:color w:val="000000" w:themeColor="text1"/>
          <w:sz w:val="24"/>
          <w:szCs w:val="24"/>
        </w:rPr>
      </w:pPr>
      <w:bookmarkStart w:id="443" w:name="_Toc83391422"/>
      <w:r w:rsidRPr="00610B1B">
        <w:rPr>
          <w:rFonts w:cs="Times New Roman"/>
        </w:rPr>
        <w:t>4.</w:t>
      </w:r>
      <w:r w:rsidR="009278D0" w:rsidRPr="00610B1B">
        <w:rPr>
          <w:rFonts w:cs="Times New Roman"/>
        </w:rPr>
        <w:t>3</w:t>
      </w:r>
      <w:r w:rsidRPr="00610B1B">
        <w:rPr>
          <w:rFonts w:cs="Times New Roman"/>
        </w:rPr>
        <w:t>.4. Сценарий D – Интегрирани местни, национални, регионални и общоевропейски интереси</w:t>
      </w:r>
      <w:bookmarkEnd w:id="443"/>
      <w:r w:rsidRPr="00610B1B">
        <w:rPr>
          <w:rFonts w:cs="Times New Roman"/>
        </w:rPr>
        <w:t xml:space="preserve"> </w:t>
      </w:r>
    </w:p>
    <w:p w14:paraId="2EFD93B0" w14:textId="6CD70B05"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Този сценарий има три различни обхвата за развитие: 1) балансиране на трите аспекта на устойчивото развитие (икономически, екологичен и социален) в националн</w:t>
      </w:r>
      <w:r w:rsidR="00160777" w:rsidRPr="00610B1B">
        <w:rPr>
          <w:rFonts w:ascii="Times New Roman" w:eastAsia="Calibri" w:hAnsi="Times New Roman" w:cs="Times New Roman"/>
          <w:color w:val="000000" w:themeColor="text1"/>
          <w:sz w:val="24"/>
          <w:szCs w:val="24"/>
          <w:lang w:val="bg-BG"/>
        </w:rPr>
        <w:t>ите</w:t>
      </w:r>
      <w:r w:rsidRPr="00610B1B">
        <w:rPr>
          <w:rFonts w:ascii="Times New Roman" w:eastAsia="Calibri" w:hAnsi="Times New Roman" w:cs="Times New Roman"/>
          <w:color w:val="000000" w:themeColor="text1"/>
          <w:sz w:val="24"/>
          <w:szCs w:val="24"/>
          <w:lang w:val="bg-BG"/>
        </w:rPr>
        <w:t xml:space="preserve"> морск</w:t>
      </w:r>
      <w:r w:rsidR="00160777" w:rsidRPr="00610B1B">
        <w:rPr>
          <w:rFonts w:ascii="Times New Roman" w:eastAsia="Calibri" w:hAnsi="Times New Roman" w:cs="Times New Roman"/>
          <w:color w:val="000000" w:themeColor="text1"/>
          <w:sz w:val="24"/>
          <w:szCs w:val="24"/>
          <w:lang w:val="bg-BG"/>
        </w:rPr>
        <w:t>и</w:t>
      </w:r>
      <w:r w:rsidRPr="00610B1B">
        <w:rPr>
          <w:rFonts w:ascii="Times New Roman" w:eastAsia="Calibri" w:hAnsi="Times New Roman" w:cs="Times New Roman"/>
          <w:color w:val="000000" w:themeColor="text1"/>
          <w:sz w:val="24"/>
          <w:szCs w:val="24"/>
          <w:lang w:val="bg-BG"/>
        </w:rPr>
        <w:t xml:space="preserve"> пространств</w:t>
      </w:r>
      <w:r w:rsidR="00160777" w:rsidRPr="00610B1B">
        <w:rPr>
          <w:rFonts w:ascii="Times New Roman" w:eastAsia="Calibri" w:hAnsi="Times New Roman" w:cs="Times New Roman"/>
          <w:color w:val="000000" w:themeColor="text1"/>
          <w:sz w:val="24"/>
          <w:szCs w:val="24"/>
          <w:lang w:val="bg-BG"/>
        </w:rPr>
        <w:t>а</w:t>
      </w:r>
      <w:r w:rsidRPr="00610B1B">
        <w:rPr>
          <w:rFonts w:ascii="Times New Roman" w:eastAsia="Calibri" w:hAnsi="Times New Roman" w:cs="Times New Roman"/>
          <w:color w:val="000000" w:themeColor="text1"/>
          <w:sz w:val="24"/>
          <w:szCs w:val="24"/>
          <w:lang w:val="bg-BG"/>
        </w:rPr>
        <w:t xml:space="preserve">; 2) интегрирана морска политика за устойчиво развитие в Черноморския регион, обхващаща шестте държави с излаз на Черно море – България, Румъния, Украйна, Русия, Грузия и Турция и 3) съчетаване на морското пространствено планиране с интегрираното управление на крайбрежни зони. </w:t>
      </w:r>
    </w:p>
    <w:p w14:paraId="511784E7" w14:textId="0AE3C215"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Сценарият интегрира най-добрите идеи от икономическия, екологичния и социалния сценарии. Икономическите аспекти се разгръщат на основата на повишени конкурентоспособност и добавена стойност, приложени съвременни технологии и иновации във всички морски сектори. Най-голям потенциал за развитие имат пристанищната дейност и морският транспорт, ако се реализират обновяването на пристанищата и съвременното технологично оборудване, с което да се повиши ефективността и качеството за обслужване на пътници и обработка на товари.</w:t>
      </w:r>
      <w:r w:rsidR="00D66FE0" w:rsidRPr="00610B1B">
        <w:rPr>
          <w:rFonts w:ascii="Times New Roman" w:eastAsia="Calibri" w:hAnsi="Times New Roman" w:cs="Times New Roman"/>
          <w:color w:val="000000" w:themeColor="text1"/>
          <w:sz w:val="24"/>
          <w:szCs w:val="24"/>
          <w:lang w:val="bg-BG"/>
        </w:rPr>
        <w:t xml:space="preserve"> </w:t>
      </w:r>
      <w:r w:rsidRPr="00610B1B">
        <w:rPr>
          <w:rFonts w:ascii="Times New Roman" w:eastAsia="Calibri" w:hAnsi="Times New Roman" w:cs="Times New Roman"/>
          <w:color w:val="000000" w:themeColor="text1"/>
          <w:sz w:val="24"/>
          <w:szCs w:val="24"/>
          <w:lang w:val="bg-BG"/>
        </w:rPr>
        <w:t>Развитието на рибарството не може да надхвърли рамките на наличните рибни запаси и международно установените квоти, но може да бъде подпомогнато за своевременно модернизиране на риболовния флот, подобряване на риболовните техники и завишаването на контрола върху тази дейност. Така ще се запази добро състояние на морската околна среда, от което зависи опазването на видовете и рибните ресурси. Разнообразяването на асортимента на аквакултурите, решаване</w:t>
      </w:r>
      <w:r w:rsidR="004D4DE9" w:rsidRPr="00610B1B">
        <w:rPr>
          <w:rFonts w:ascii="Times New Roman" w:eastAsia="Calibri" w:hAnsi="Times New Roman" w:cs="Times New Roman"/>
          <w:color w:val="000000" w:themeColor="text1"/>
          <w:sz w:val="24"/>
          <w:szCs w:val="24"/>
          <w:lang w:val="bg-BG"/>
        </w:rPr>
        <w:t>то</w:t>
      </w:r>
      <w:r w:rsidRPr="00610B1B">
        <w:rPr>
          <w:rFonts w:ascii="Times New Roman" w:eastAsia="Calibri" w:hAnsi="Times New Roman" w:cs="Times New Roman"/>
          <w:color w:val="000000" w:themeColor="text1"/>
          <w:sz w:val="24"/>
          <w:szCs w:val="24"/>
          <w:lang w:val="bg-BG"/>
        </w:rPr>
        <w:t xml:space="preserve"> на конфликтите с туристическия сектор и рекреационните морски дейности в близост до брега, повишаването на контрола върху съоръженията и обектите по време и след приключване на експлоатацията, ще увеличи значимостта и приноса на този сектор. </w:t>
      </w:r>
    </w:p>
    <w:p w14:paraId="0E527414" w14:textId="626403F3"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Туризмът, с най-високите стойности на заетост и БДС</w:t>
      </w:r>
      <w:r w:rsidR="0050166D" w:rsidRPr="00610B1B">
        <w:rPr>
          <w:rFonts w:ascii="Times New Roman" w:eastAsia="Calibri" w:hAnsi="Times New Roman" w:cs="Times New Roman"/>
          <w:color w:val="000000" w:themeColor="text1"/>
          <w:sz w:val="24"/>
          <w:szCs w:val="24"/>
          <w:lang w:val="bg-BG"/>
        </w:rPr>
        <w:t>,</w:t>
      </w:r>
      <w:r w:rsidRPr="00610B1B">
        <w:rPr>
          <w:rFonts w:ascii="Times New Roman" w:eastAsia="Calibri" w:hAnsi="Times New Roman" w:cs="Times New Roman"/>
          <w:color w:val="000000" w:themeColor="text1"/>
          <w:sz w:val="24"/>
          <w:szCs w:val="24"/>
          <w:lang w:val="bg-BG"/>
        </w:rPr>
        <w:t xml:space="preserve"> сред всички свързани с морската икономика дейности, ще оптимизира своите параметри по отношение на легловата база и урбанизираните територии в крайбрежната зона, увеличаване на асортимента на услугите и повишаване на качеството, развитие на алтернативни форми, рекреационни и спортни дейности в прилежащата акватория. Добивът на луга и лечебна кал, производството на козметични и лечебни продукти от морската вода и от солта ще привлекат интерес към съпътстващи лечебни и козметични процедури в системата на СПА туризма. </w:t>
      </w:r>
    </w:p>
    <w:p w14:paraId="0C3BD4CC" w14:textId="77777777"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Ще се развиват биотехнологии, свързани с морето, ще се търси по-добро и ефективно обвързване на бизнеса, научните изследвания и образованието. Ще продължават проучванията за добив на нефт и газ при засилен контрол и екологични норми, ще се развият технологиите за извличане на енергия от сероводород и добив на газохидрати от морското дъно. Ще се съхрани добивът на морска сол по традиционни способи. </w:t>
      </w:r>
    </w:p>
    <w:p w14:paraId="6E5F4C0E" w14:textId="3F92D57C"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lastRenderedPageBreak/>
        <w:t>Ще се развиват и съпътстващите морските сектори производств</w:t>
      </w:r>
      <w:r w:rsidR="00651060" w:rsidRPr="00610B1B">
        <w:rPr>
          <w:rFonts w:ascii="Times New Roman" w:eastAsia="Calibri" w:hAnsi="Times New Roman" w:cs="Times New Roman"/>
          <w:color w:val="000000" w:themeColor="text1"/>
          <w:sz w:val="24"/>
          <w:szCs w:val="24"/>
          <w:lang w:val="bg-BG"/>
        </w:rPr>
        <w:t>а</w:t>
      </w:r>
      <w:r w:rsidRPr="00610B1B">
        <w:rPr>
          <w:rFonts w:ascii="Times New Roman" w:eastAsia="Calibri" w:hAnsi="Times New Roman" w:cs="Times New Roman"/>
          <w:color w:val="000000" w:themeColor="text1"/>
          <w:sz w:val="24"/>
          <w:szCs w:val="24"/>
          <w:lang w:val="bg-BG"/>
        </w:rPr>
        <w:t xml:space="preserve"> на специализиран текстил, въжета, екипировка и облекла за водни спортове. Ще се подкрепи изследователската дейност в подводните морски пространства за по-пълно разкриване на културните ценности, останки от цивилизации и исторически събития и ще се реализират възможностите за най-доброто експониране на това богатство, удовлетворяващо разбиранията за модерна интерактивна експозиция. Военните учения и обучения в морето ще увеличат своята значимост </w:t>
      </w:r>
      <w:r w:rsidR="00651060" w:rsidRPr="00610B1B">
        <w:rPr>
          <w:rFonts w:ascii="Times New Roman" w:eastAsia="Calibri" w:hAnsi="Times New Roman" w:cs="Times New Roman"/>
          <w:color w:val="000000" w:themeColor="text1"/>
          <w:sz w:val="24"/>
          <w:szCs w:val="24"/>
          <w:lang w:val="bg-BG"/>
        </w:rPr>
        <w:t>в</w:t>
      </w:r>
      <w:r w:rsidRPr="00610B1B">
        <w:rPr>
          <w:rFonts w:ascii="Times New Roman" w:eastAsia="Calibri" w:hAnsi="Times New Roman" w:cs="Times New Roman"/>
          <w:color w:val="000000" w:themeColor="text1"/>
          <w:sz w:val="24"/>
          <w:szCs w:val="24"/>
          <w:lang w:val="bg-BG"/>
        </w:rPr>
        <w:t xml:space="preserve"> подготовката на кадри за морски изследвания, за спасяване в морето и </w:t>
      </w:r>
      <w:r w:rsidR="002A78FB" w:rsidRPr="00610B1B">
        <w:rPr>
          <w:rFonts w:ascii="Times New Roman" w:eastAsia="Calibri" w:hAnsi="Times New Roman" w:cs="Times New Roman"/>
          <w:color w:val="000000" w:themeColor="text1"/>
          <w:sz w:val="24"/>
          <w:szCs w:val="24"/>
          <w:lang w:val="bg-BG"/>
        </w:rPr>
        <w:t xml:space="preserve">за </w:t>
      </w:r>
      <w:r w:rsidRPr="00610B1B">
        <w:rPr>
          <w:rFonts w:ascii="Times New Roman" w:eastAsia="Calibri" w:hAnsi="Times New Roman" w:cs="Times New Roman"/>
          <w:color w:val="000000" w:themeColor="text1"/>
          <w:sz w:val="24"/>
          <w:szCs w:val="24"/>
          <w:lang w:val="bg-BG"/>
        </w:rPr>
        <w:t>поддържане на висока степен на сигурност при критични вълнения и бури, възпрепятстване на трафик на хора, наркотици и оръжие.</w:t>
      </w:r>
    </w:p>
    <w:p w14:paraId="58F5ACE5" w14:textId="7D4A1DCE"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Съхраняването на морската околна среда, възстановяването на нейното добро състояние </w:t>
      </w:r>
      <w:r w:rsidR="0050166D" w:rsidRPr="00610B1B">
        <w:rPr>
          <w:rFonts w:ascii="Times New Roman" w:eastAsia="Calibri" w:hAnsi="Times New Roman" w:cs="Times New Roman"/>
          <w:color w:val="000000" w:themeColor="text1"/>
          <w:sz w:val="24"/>
          <w:szCs w:val="24"/>
          <w:lang w:val="bg-BG"/>
        </w:rPr>
        <w:t xml:space="preserve">и </w:t>
      </w:r>
      <w:r w:rsidRPr="00610B1B">
        <w:rPr>
          <w:rFonts w:ascii="Times New Roman" w:eastAsia="Calibri" w:hAnsi="Times New Roman" w:cs="Times New Roman"/>
          <w:color w:val="000000" w:themeColor="text1"/>
          <w:sz w:val="24"/>
          <w:szCs w:val="24"/>
          <w:lang w:val="bg-BG"/>
        </w:rPr>
        <w:t xml:space="preserve">опазване на биоразнообразието </w:t>
      </w:r>
      <w:r w:rsidR="0050166D" w:rsidRPr="00610B1B">
        <w:rPr>
          <w:rFonts w:ascii="Times New Roman" w:eastAsia="Calibri" w:hAnsi="Times New Roman" w:cs="Times New Roman"/>
          <w:color w:val="000000" w:themeColor="text1"/>
          <w:sz w:val="24"/>
          <w:szCs w:val="24"/>
          <w:lang w:val="bg-BG"/>
        </w:rPr>
        <w:t>са</w:t>
      </w:r>
      <w:r w:rsidRPr="00610B1B">
        <w:rPr>
          <w:rFonts w:ascii="Times New Roman" w:eastAsia="Calibri" w:hAnsi="Times New Roman" w:cs="Times New Roman"/>
          <w:color w:val="000000" w:themeColor="text1"/>
          <w:sz w:val="24"/>
          <w:szCs w:val="24"/>
          <w:lang w:val="bg-BG"/>
        </w:rPr>
        <w:t xml:space="preserve"> в основата на този сценарий, защото само това ще гарантира успешното развитие на всички морски сектори. Устойчивото опазване и използване на ресурсите, намаляването на натиска от отпадъчни води, баластни води, подводен шум, инвазивни видове, замърсяване от аварии, отлагане на драгажни маси, нелегален, незаконен и нерегламентиран улов на рибни ресурси ще</w:t>
      </w:r>
      <w:r w:rsidR="00D66FE0" w:rsidRPr="00610B1B">
        <w:rPr>
          <w:rFonts w:ascii="Times New Roman" w:eastAsia="Calibri" w:hAnsi="Times New Roman" w:cs="Times New Roman"/>
          <w:color w:val="000000" w:themeColor="text1"/>
          <w:sz w:val="24"/>
          <w:szCs w:val="24"/>
          <w:lang w:val="bg-BG"/>
        </w:rPr>
        <w:t xml:space="preserve"> </w:t>
      </w:r>
      <w:r w:rsidRPr="00610B1B">
        <w:rPr>
          <w:rFonts w:ascii="Times New Roman" w:eastAsia="Calibri" w:hAnsi="Times New Roman" w:cs="Times New Roman"/>
          <w:color w:val="000000" w:themeColor="text1"/>
          <w:sz w:val="24"/>
          <w:szCs w:val="24"/>
          <w:lang w:val="bg-BG"/>
        </w:rPr>
        <w:t>създаде условия за възстановяване на доброто екологично състояние на морската околна среда в съответствие с Морската стратегия на Р</w:t>
      </w:r>
      <w:r w:rsidR="002A78FB" w:rsidRPr="00610B1B">
        <w:rPr>
          <w:rFonts w:ascii="Times New Roman" w:eastAsia="Calibri" w:hAnsi="Times New Roman" w:cs="Times New Roman"/>
          <w:color w:val="000000" w:themeColor="text1"/>
          <w:sz w:val="24"/>
          <w:szCs w:val="24"/>
          <w:lang w:val="bg-BG"/>
        </w:rPr>
        <w:t>епублика</w:t>
      </w:r>
      <w:r w:rsidRPr="00610B1B">
        <w:rPr>
          <w:rFonts w:ascii="Times New Roman" w:eastAsia="Calibri" w:hAnsi="Times New Roman" w:cs="Times New Roman"/>
          <w:color w:val="000000" w:themeColor="text1"/>
          <w:sz w:val="24"/>
          <w:szCs w:val="24"/>
          <w:lang w:val="bg-BG"/>
        </w:rPr>
        <w:t xml:space="preserve"> България.</w:t>
      </w:r>
      <w:r w:rsidR="00C415D1" w:rsidRPr="00610B1B">
        <w:rPr>
          <w:rFonts w:ascii="Times New Roman" w:eastAsia="Calibri" w:hAnsi="Times New Roman" w:cs="Times New Roman"/>
          <w:color w:val="000000" w:themeColor="text1"/>
          <w:sz w:val="24"/>
          <w:szCs w:val="24"/>
          <w:lang w:val="bg-BG"/>
        </w:rPr>
        <w:t xml:space="preserve"> </w:t>
      </w:r>
    </w:p>
    <w:p w14:paraId="63F6B81D" w14:textId="77777777"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В този сценарий са заложени и необходимите предпоставки за намаляване на диспропорциите, на негативните демографски процеси, за равнопоставеност, за подпомагане на местните рибарски общности и МСП, за създаване на условия за активно и отговорно участие в разработването и прилагането на МППРБ.</w:t>
      </w:r>
    </w:p>
    <w:p w14:paraId="0B021218" w14:textId="77777777"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Факторите, стимулиращи развитието по този сценарий са основните движещи сили с политически, икономически, екологичен, технологичен и социален характер.</w:t>
      </w:r>
    </w:p>
    <w:p w14:paraId="697CE939"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Движещи сили с </w:t>
      </w:r>
      <w:r w:rsidRPr="00610B1B">
        <w:rPr>
          <w:rFonts w:ascii="Times New Roman" w:eastAsia="Calibri" w:hAnsi="Times New Roman" w:cs="Times New Roman"/>
          <w:bCs/>
          <w:i/>
          <w:color w:val="000000" w:themeColor="text1"/>
          <w:sz w:val="24"/>
          <w:szCs w:val="24"/>
          <w:lang w:val="bg-BG"/>
        </w:rPr>
        <w:t>политически</w:t>
      </w:r>
      <w:r w:rsidRPr="00610B1B">
        <w:rPr>
          <w:rFonts w:ascii="Times New Roman" w:eastAsia="Calibri" w:hAnsi="Times New Roman" w:cs="Times New Roman"/>
          <w:bCs/>
          <w:color w:val="000000" w:themeColor="text1"/>
          <w:sz w:val="24"/>
          <w:szCs w:val="24"/>
          <w:lang w:val="bg-BG"/>
        </w:rPr>
        <w:t xml:space="preserve"> характер:</w:t>
      </w:r>
    </w:p>
    <w:p w14:paraId="780C2CFC" w14:textId="7C2834C0" w:rsidR="0055674E" w:rsidRPr="00610B1B" w:rsidRDefault="0055674E" w:rsidP="00B46189">
      <w:pPr>
        <w:numPr>
          <w:ilvl w:val="0"/>
          <w:numId w:val="19"/>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Политиките на ЕС за „Син растеж“</w:t>
      </w:r>
      <w:r w:rsidRPr="00610B1B">
        <w:rPr>
          <w:rFonts w:ascii="Times New Roman" w:eastAsia="Calibri" w:hAnsi="Times New Roman" w:cs="Times New Roman"/>
          <w:bCs/>
          <w:color w:val="000000" w:themeColor="text1"/>
          <w:sz w:val="24"/>
          <w:szCs w:val="24"/>
          <w:vertAlign w:val="superscript"/>
          <w:lang w:val="bg-BG"/>
        </w:rPr>
        <w:footnoteReference w:id="176"/>
      </w:r>
      <w:r w:rsidRPr="00610B1B">
        <w:rPr>
          <w:rFonts w:ascii="Times New Roman" w:eastAsia="Calibri" w:hAnsi="Times New Roman" w:cs="Times New Roman"/>
          <w:bCs/>
          <w:color w:val="000000" w:themeColor="text1"/>
          <w:sz w:val="24"/>
          <w:szCs w:val="24"/>
          <w:lang w:val="bg-BG"/>
        </w:rPr>
        <w:t xml:space="preserve"> и „Европейски пространства за корабоплаване без бариери“</w:t>
      </w:r>
      <w:r w:rsidR="002A78FB" w:rsidRPr="00610B1B">
        <w:rPr>
          <w:rFonts w:ascii="Times New Roman" w:eastAsia="Calibri" w:hAnsi="Times New Roman" w:cs="Times New Roman"/>
          <w:bCs/>
          <w:color w:val="000000" w:themeColor="text1"/>
          <w:sz w:val="24"/>
          <w:szCs w:val="24"/>
          <w:lang w:val="bg-BG"/>
        </w:rPr>
        <w:t>, които</w:t>
      </w:r>
      <w:r w:rsidRPr="00610B1B">
        <w:rPr>
          <w:rFonts w:ascii="Times New Roman" w:eastAsia="Calibri" w:hAnsi="Times New Roman" w:cs="Times New Roman"/>
          <w:bCs/>
          <w:color w:val="000000" w:themeColor="text1"/>
          <w:sz w:val="24"/>
          <w:szCs w:val="24"/>
          <w:lang w:val="bg-BG"/>
        </w:rPr>
        <w:t xml:space="preserve"> се прилагат, паралелно с националните политики за интелигентно развитие на дейностите свързани с морето;</w:t>
      </w:r>
    </w:p>
    <w:p w14:paraId="59B9DEB5" w14:textId="4C1CC9A2" w:rsidR="00D16E58" w:rsidRPr="00610B1B" w:rsidRDefault="00D16E58" w:rsidP="00B46189">
      <w:pPr>
        <w:numPr>
          <w:ilvl w:val="0"/>
          <w:numId w:val="19"/>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Инициативата „Три морета“ за сътрудничество и интеграция на страните от региона </w:t>
      </w:r>
      <w:r w:rsidR="0050166D" w:rsidRPr="00610B1B">
        <w:rPr>
          <w:rFonts w:ascii="Times New Roman" w:eastAsia="Calibri" w:hAnsi="Times New Roman" w:cs="Times New Roman"/>
          <w:bCs/>
          <w:color w:val="000000" w:themeColor="text1"/>
          <w:sz w:val="24"/>
          <w:szCs w:val="24"/>
          <w:lang w:val="bg-BG"/>
        </w:rPr>
        <w:t>на</w:t>
      </w:r>
      <w:r w:rsidRPr="00610B1B">
        <w:rPr>
          <w:rFonts w:ascii="Times New Roman" w:eastAsia="Calibri" w:hAnsi="Times New Roman" w:cs="Times New Roman"/>
          <w:bCs/>
          <w:color w:val="000000" w:themeColor="text1"/>
          <w:sz w:val="24"/>
          <w:szCs w:val="24"/>
          <w:lang w:val="bg-BG"/>
        </w:rPr>
        <w:t xml:space="preserve"> Балтийско, Адриатическо и Черно море и създаване на по-голяма свързаност между тях в областта на енергетиката, транспорта, комуникациите, информационните технологии, бизнеса.</w:t>
      </w:r>
    </w:p>
    <w:p w14:paraId="65A270EF" w14:textId="77777777" w:rsidR="002A78FB" w:rsidRPr="00610B1B" w:rsidRDefault="0055674E" w:rsidP="00B46189">
      <w:pPr>
        <w:pStyle w:val="ListParagraph"/>
        <w:numPr>
          <w:ilvl w:val="0"/>
          <w:numId w:val="34"/>
        </w:numPr>
        <w:spacing w:after="120"/>
        <w:ind w:right="-153"/>
        <w:contextualSpacing w:val="0"/>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Националната икономическа политика, стимулираща предприемачеството, МСП и иновациите в секторите на синята икономика.</w:t>
      </w:r>
    </w:p>
    <w:p w14:paraId="15E20E28" w14:textId="64D0A062" w:rsidR="0055674E" w:rsidRPr="00610B1B" w:rsidRDefault="0055674E" w:rsidP="00B46189">
      <w:pPr>
        <w:pStyle w:val="ListParagraph"/>
        <w:numPr>
          <w:ilvl w:val="0"/>
          <w:numId w:val="34"/>
        </w:numPr>
        <w:spacing w:after="120"/>
        <w:ind w:right="-153"/>
        <w:contextualSpacing w:val="0"/>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Регионалната политика на Р. България, насочена към балансирано развитие на р</w:t>
      </w:r>
      <w:r w:rsidR="00D16E58" w:rsidRPr="00610B1B">
        <w:rPr>
          <w:rFonts w:ascii="Times New Roman" w:eastAsia="Calibri" w:hAnsi="Times New Roman" w:cs="Times New Roman"/>
          <w:bCs/>
          <w:color w:val="000000" w:themeColor="text1"/>
          <w:sz w:val="24"/>
          <w:szCs w:val="24"/>
          <w:lang w:val="bg-BG"/>
        </w:rPr>
        <w:t xml:space="preserve">егионите за планиране от ниво 2 и </w:t>
      </w:r>
      <w:r w:rsidRPr="00610B1B">
        <w:rPr>
          <w:rFonts w:ascii="Times New Roman" w:eastAsia="Calibri" w:hAnsi="Times New Roman" w:cs="Times New Roman"/>
          <w:bCs/>
          <w:color w:val="000000" w:themeColor="text1"/>
          <w:sz w:val="24"/>
          <w:szCs w:val="24"/>
          <w:lang w:val="bg-BG"/>
        </w:rPr>
        <w:t>намаляване на неравенствата между тях, между градските и селските райони, между крайбрежните големи градове и селските райони в хинтерланда.</w:t>
      </w:r>
    </w:p>
    <w:p w14:paraId="1C45DB1E" w14:textId="1B55A68C" w:rsidR="0055674E" w:rsidRPr="00610B1B" w:rsidRDefault="0055674E" w:rsidP="00B46189">
      <w:pPr>
        <w:pStyle w:val="ListParagraph"/>
        <w:numPr>
          <w:ilvl w:val="0"/>
          <w:numId w:val="34"/>
        </w:numPr>
        <w:spacing w:after="120"/>
        <w:ind w:right="-153"/>
        <w:contextualSpacing w:val="0"/>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lastRenderedPageBreak/>
        <w:t xml:space="preserve">Секторната туристическа политика с концепцията за </w:t>
      </w:r>
      <w:r w:rsidR="005D5EFC" w:rsidRPr="00610B1B">
        <w:rPr>
          <w:rFonts w:ascii="Times New Roman" w:eastAsia="Calibri" w:hAnsi="Times New Roman" w:cs="Times New Roman"/>
          <w:bCs/>
          <w:color w:val="000000" w:themeColor="text1"/>
          <w:sz w:val="24"/>
          <w:szCs w:val="24"/>
          <w:lang w:val="bg-BG"/>
        </w:rPr>
        <w:t xml:space="preserve">туризъм с по-високо качество в </w:t>
      </w:r>
      <w:r w:rsidRPr="00610B1B">
        <w:rPr>
          <w:rFonts w:ascii="Times New Roman" w:eastAsia="Calibri" w:hAnsi="Times New Roman" w:cs="Times New Roman"/>
          <w:bCs/>
          <w:color w:val="000000" w:themeColor="text1"/>
          <w:sz w:val="24"/>
          <w:szCs w:val="24"/>
          <w:lang w:val="bg-BG"/>
        </w:rPr>
        <w:t>4 сезона, предполагаща разнообразяване на предлагането и по-щадяща експлоатация на ресурсите чрез форми на културен, еко-туризъм и таласотерапия;</w:t>
      </w:r>
    </w:p>
    <w:p w14:paraId="3EF3C56C" w14:textId="77777777" w:rsidR="0055674E" w:rsidRPr="00610B1B" w:rsidRDefault="0055674E" w:rsidP="00B46189">
      <w:pPr>
        <w:numPr>
          <w:ilvl w:val="0"/>
          <w:numId w:val="36"/>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Националната политика за развитие на ВиК сектора и доизграждане на мрежите и обектите на канализацията за намаляване на натиска върху морските води.</w:t>
      </w:r>
    </w:p>
    <w:p w14:paraId="28E98A91" w14:textId="4B28A5EE" w:rsidR="0055674E" w:rsidRPr="00610B1B" w:rsidRDefault="0055674E" w:rsidP="00B46189">
      <w:pPr>
        <w:numPr>
          <w:ilvl w:val="0"/>
          <w:numId w:val="36"/>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Националната транспортна политика с идеите за интермодалност, свързаност, достъпност и мобилност по цялото </w:t>
      </w:r>
      <w:r w:rsidR="002A78FB" w:rsidRPr="00610B1B">
        <w:rPr>
          <w:rFonts w:ascii="Times New Roman" w:eastAsia="Calibri" w:hAnsi="Times New Roman" w:cs="Times New Roman"/>
          <w:bCs/>
          <w:color w:val="000000" w:themeColor="text1"/>
          <w:sz w:val="24"/>
          <w:szCs w:val="24"/>
          <w:lang w:val="bg-BG"/>
        </w:rPr>
        <w:t xml:space="preserve">Черноморско </w:t>
      </w:r>
      <w:r w:rsidRPr="00610B1B">
        <w:rPr>
          <w:rFonts w:ascii="Times New Roman" w:eastAsia="Calibri" w:hAnsi="Times New Roman" w:cs="Times New Roman"/>
          <w:bCs/>
          <w:color w:val="000000" w:themeColor="text1"/>
          <w:sz w:val="24"/>
          <w:szCs w:val="24"/>
          <w:lang w:val="bg-BG"/>
        </w:rPr>
        <w:t>крайбрежие.</w:t>
      </w:r>
    </w:p>
    <w:p w14:paraId="22759759"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Икономическите</w:t>
      </w:r>
      <w:r w:rsidRPr="00610B1B">
        <w:rPr>
          <w:rFonts w:ascii="Times New Roman" w:eastAsia="Calibri" w:hAnsi="Times New Roman" w:cs="Times New Roman"/>
          <w:bCs/>
          <w:color w:val="000000" w:themeColor="text1"/>
          <w:sz w:val="24"/>
          <w:szCs w:val="24"/>
          <w:lang w:val="bg-BG"/>
        </w:rPr>
        <w:t xml:space="preserve"> фактори и движещи сили:</w:t>
      </w:r>
    </w:p>
    <w:p w14:paraId="143BED6D" w14:textId="63D48773" w:rsidR="0055674E" w:rsidRPr="00610B1B" w:rsidRDefault="005D5EFC"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Концентрация на б</w:t>
      </w:r>
      <w:r w:rsidR="0055674E" w:rsidRPr="00610B1B">
        <w:rPr>
          <w:rFonts w:ascii="Times New Roman" w:eastAsia="Calibri" w:hAnsi="Times New Roman" w:cs="Times New Roman"/>
          <w:bCs/>
          <w:color w:val="000000" w:themeColor="text1"/>
          <w:sz w:val="24"/>
          <w:szCs w:val="24"/>
          <w:lang w:val="bg-BG"/>
        </w:rPr>
        <w:t>изнес</w:t>
      </w:r>
      <w:r w:rsidRPr="00610B1B">
        <w:rPr>
          <w:rFonts w:ascii="Times New Roman" w:eastAsia="Calibri" w:hAnsi="Times New Roman" w:cs="Times New Roman"/>
          <w:bCs/>
          <w:color w:val="000000" w:themeColor="text1"/>
          <w:sz w:val="24"/>
          <w:szCs w:val="24"/>
          <w:lang w:val="bg-BG"/>
        </w:rPr>
        <w:t>а</w:t>
      </w:r>
      <w:r w:rsidR="0055674E" w:rsidRPr="00610B1B">
        <w:rPr>
          <w:rFonts w:ascii="Times New Roman" w:eastAsia="Calibri" w:hAnsi="Times New Roman" w:cs="Times New Roman"/>
          <w:bCs/>
          <w:color w:val="000000" w:themeColor="text1"/>
          <w:sz w:val="24"/>
          <w:szCs w:val="24"/>
          <w:lang w:val="bg-BG"/>
        </w:rPr>
        <w:t xml:space="preserve"> основно в двата областни центъра (Варна и Бургас) и националните курорти, на базата на установени връзки между бизнес, образование и научни изследвания. Ще се формират морски клъстери ориентирани към стратегически мрежи, включващи експортни компании, доставчици на суровини, туристически структури, научно-изследователски центрове и доставчици на интелигентни услуги.</w:t>
      </w:r>
    </w:p>
    <w:p w14:paraId="5A103BFF" w14:textId="77777777" w:rsidR="0055674E" w:rsidRPr="00610B1B" w:rsidRDefault="0055674E"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В по-малките населени места ще се търсят възможности за коопериране и агломериране, за създаване и изпълнение на проекти с принос към няколко общини, които ще подпомогнат преодоляването на диспропорциите в развитието, достъпа до по-качествени услуги и ще предлагат по-добро качество на живот. </w:t>
      </w:r>
    </w:p>
    <w:p w14:paraId="3BDA97D4" w14:textId="77777777" w:rsidR="0055674E" w:rsidRPr="00610B1B" w:rsidRDefault="0055674E"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Мисията на Националната стратегия за устойчиво развитие на туризма за развитие и прилагане на целенасочена и последователна туристическа политика, за създаване на благоприятна политическа, правна, икономическа, екологична, социокултурна и технологична среда за развитие на устойчив туризъм, конкурентоспособен туристически сектор и качествен туристически продукт. </w:t>
      </w:r>
    </w:p>
    <w:p w14:paraId="4BFF72F6" w14:textId="0B51163F" w:rsidR="0055674E" w:rsidRPr="00610B1B" w:rsidRDefault="0055674E"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Информационните и комуникационните технологии са с изявен напредък в мобилните технологии. Конкурентоспособността и развитието на почти всички сектори в сферата на морската икономика (от риболова до управлението на морския трафик), ще зависи от</w:t>
      </w:r>
      <w:r w:rsidR="00D66FE0" w:rsidRPr="00610B1B">
        <w:rPr>
          <w:rFonts w:ascii="Times New Roman" w:eastAsia="Calibri" w:hAnsi="Times New Roman" w:cs="Times New Roman"/>
          <w:bCs/>
          <w:color w:val="000000" w:themeColor="text1"/>
          <w:sz w:val="24"/>
          <w:szCs w:val="24"/>
          <w:lang w:val="bg-BG"/>
        </w:rPr>
        <w:t xml:space="preserve"> </w:t>
      </w:r>
      <w:r w:rsidRPr="00610B1B">
        <w:rPr>
          <w:rFonts w:ascii="Times New Roman" w:eastAsia="Calibri" w:hAnsi="Times New Roman" w:cs="Times New Roman"/>
          <w:bCs/>
          <w:color w:val="000000" w:themeColor="text1"/>
          <w:sz w:val="24"/>
          <w:szCs w:val="24"/>
          <w:lang w:val="bg-BG"/>
        </w:rPr>
        <w:t>предлагането на електронни услуги, от директния достъп до точна, актуална и изчерпателна информация, от предлагането на иновативни решения.</w:t>
      </w:r>
    </w:p>
    <w:p w14:paraId="21EA2421" w14:textId="77777777" w:rsidR="0055674E" w:rsidRPr="00610B1B" w:rsidRDefault="0055674E"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Доброто екологично състояние на морето ще осигурява достатъчно рибни ресурси и възможности за стабилен улов в рамките на максимално допустимите граници. Допълнителната държавна подкрепа и такава от европейските фондове ще допринесе за развитието и на преработвателната промишленост. </w:t>
      </w:r>
    </w:p>
    <w:p w14:paraId="2E78DAE2" w14:textId="77777777" w:rsidR="0055674E" w:rsidRPr="00610B1B" w:rsidRDefault="0055674E" w:rsidP="00B46189">
      <w:pPr>
        <w:numPr>
          <w:ilvl w:val="0"/>
          <w:numId w:val="20"/>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Съхранената екосистема на морето ще създаде дългосрочна и икономически обоснована среда за значими инвестиции в „зелени“ технологии като морски транспорт и енергетика.</w:t>
      </w:r>
    </w:p>
    <w:p w14:paraId="6D71E238" w14:textId="77777777" w:rsidR="0055674E" w:rsidRPr="00610B1B" w:rsidRDefault="0055674E" w:rsidP="00B46189">
      <w:pPr>
        <w:numPr>
          <w:ilvl w:val="0"/>
          <w:numId w:val="20"/>
        </w:numPr>
        <w:spacing w:after="120"/>
        <w:ind w:right="-153"/>
        <w:jc w:val="both"/>
        <w:rPr>
          <w:rFonts w:ascii="Times New Roman" w:eastAsia="Calibri" w:hAnsi="Times New Roman" w:cs="Times New Roman"/>
          <w:bCs/>
          <w:i/>
          <w:i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Обогатяването на палитрата на туристическия продукт с подходящи алтернативни, щадящи природата форми и използващи по-пълноценно местните ресурси ще привлекат нов тип туристи с по-различна култура и адекватно поведение.</w:t>
      </w:r>
    </w:p>
    <w:p w14:paraId="4500818B" w14:textId="77777777" w:rsidR="0055674E" w:rsidRPr="00610B1B" w:rsidRDefault="0055674E" w:rsidP="00D32D6A">
      <w:pPr>
        <w:spacing w:after="120"/>
        <w:ind w:right="-153"/>
        <w:jc w:val="both"/>
        <w:rPr>
          <w:rFonts w:ascii="Times New Roman" w:eastAsia="Calibri" w:hAnsi="Times New Roman" w:cs="Times New Roman"/>
          <w:bCs/>
          <w:i/>
          <w:iCs/>
          <w:color w:val="000000" w:themeColor="text1"/>
          <w:sz w:val="24"/>
          <w:szCs w:val="24"/>
          <w:lang w:val="bg-BG"/>
        </w:rPr>
      </w:pPr>
      <w:r w:rsidRPr="00610B1B">
        <w:rPr>
          <w:rFonts w:ascii="Times New Roman" w:eastAsia="Calibri" w:hAnsi="Times New Roman" w:cs="Times New Roman"/>
          <w:bCs/>
          <w:i/>
          <w:iCs/>
          <w:color w:val="000000" w:themeColor="text1"/>
          <w:sz w:val="24"/>
          <w:szCs w:val="24"/>
          <w:lang w:val="bg-BG"/>
        </w:rPr>
        <w:t xml:space="preserve">Технологични </w:t>
      </w:r>
      <w:r w:rsidRPr="00610B1B">
        <w:rPr>
          <w:rFonts w:ascii="Times New Roman" w:eastAsia="Calibri" w:hAnsi="Times New Roman" w:cs="Times New Roman"/>
          <w:bCs/>
          <w:iCs/>
          <w:color w:val="000000" w:themeColor="text1"/>
          <w:sz w:val="24"/>
          <w:szCs w:val="24"/>
          <w:lang w:val="bg-BG"/>
        </w:rPr>
        <w:t>движещи сили:</w:t>
      </w:r>
    </w:p>
    <w:p w14:paraId="3F768D6F" w14:textId="77777777" w:rsidR="0055674E" w:rsidRPr="00610B1B" w:rsidRDefault="0055674E" w:rsidP="00B46189">
      <w:pPr>
        <w:numPr>
          <w:ilvl w:val="0"/>
          <w:numId w:val="35"/>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lastRenderedPageBreak/>
        <w:t>Изследванията и иновациите са насочени предимно към природосъобразни технологии. В туризма се развиват и оползотворяват еко-иновациите, увеличава се значението и предлагането на продукти за екотуризъм и културен туризъм. Превес в транспортната модалност добиват алтернативни форми на придвижване, което не замърсява околната среда.</w:t>
      </w:r>
      <w:r w:rsidRPr="00610B1B">
        <w:rPr>
          <w:rFonts w:ascii="Times New Roman" w:eastAsia="Calibri" w:hAnsi="Times New Roman" w:cs="Times New Roman"/>
          <w:color w:val="000000" w:themeColor="text1"/>
          <w:lang w:val="bg-BG"/>
        </w:rPr>
        <w:t xml:space="preserve"> </w:t>
      </w:r>
    </w:p>
    <w:p w14:paraId="421CB04B" w14:textId="77777777" w:rsidR="0055674E" w:rsidRPr="00610B1B" w:rsidRDefault="0055674E" w:rsidP="00B46189">
      <w:pPr>
        <w:numPr>
          <w:ilvl w:val="0"/>
          <w:numId w:val="35"/>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Технологичното обновяване на пристанищата, на риболовните кораби, на инсталациите и съоръженията за отглеждане на аквакултури, за изследвания и проучвания в морето, ще открият нови ниши и нов тип работни места, ще намалят отрицателните последици от дейности в морето.</w:t>
      </w:r>
    </w:p>
    <w:p w14:paraId="61A40656" w14:textId="77777777" w:rsidR="0055674E" w:rsidRPr="00610B1B" w:rsidRDefault="0055674E" w:rsidP="00B46189">
      <w:pPr>
        <w:numPr>
          <w:ilvl w:val="0"/>
          <w:numId w:val="35"/>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Подкрепата за образованието в целия обхват от началните и основните училища до регионалните университети е база за изграждане на компетенции и умения в младите поколения, предпоставка за развитие на иновативно предприемачество по цялото крайбрежие, за повишаване на културата в използването на морето и създаване на адекватно отношение към тази изключителна ценност за България.</w:t>
      </w:r>
    </w:p>
    <w:p w14:paraId="6C93E9F4"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 xml:space="preserve">Социалните </w:t>
      </w:r>
      <w:r w:rsidRPr="00610B1B">
        <w:rPr>
          <w:rFonts w:ascii="Times New Roman" w:eastAsia="Calibri" w:hAnsi="Times New Roman" w:cs="Times New Roman"/>
          <w:bCs/>
          <w:color w:val="000000" w:themeColor="text1"/>
          <w:sz w:val="24"/>
          <w:szCs w:val="24"/>
          <w:lang w:val="bg-BG"/>
        </w:rPr>
        <w:t>движещи сили:</w:t>
      </w:r>
    </w:p>
    <w:p w14:paraId="0183383F" w14:textId="77777777" w:rsidR="0055674E" w:rsidRPr="00610B1B" w:rsidRDefault="0055674E" w:rsidP="00B46189">
      <w:pPr>
        <w:numPr>
          <w:ilvl w:val="0"/>
          <w:numId w:val="22"/>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На фона на негативните демографски прогнози в националното пространство, Варна и Бургас задържат населението си, осигурявайки достатъчна квалифицирана работна ръка за развитие на мощни индустриални центрове и сини икономики.</w:t>
      </w:r>
    </w:p>
    <w:p w14:paraId="22116D14" w14:textId="77777777" w:rsidR="0055674E" w:rsidRPr="00610B1B" w:rsidRDefault="0055674E" w:rsidP="00B46189">
      <w:pPr>
        <w:numPr>
          <w:ilvl w:val="0"/>
          <w:numId w:val="22"/>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Благодарение на постигнатия добър екологичен статус, крайбрежието ще стане атрактивно не само за рекреация, но и за заселване на хора, ценящи природните аспекти в стандарта си на живот, с което ще се редуцират диспропорциите в разпределението на населението. </w:t>
      </w:r>
    </w:p>
    <w:p w14:paraId="119267D8" w14:textId="62005B9E" w:rsidR="0055674E" w:rsidRPr="00610B1B" w:rsidRDefault="0055674E" w:rsidP="00B46189">
      <w:pPr>
        <w:numPr>
          <w:ilvl w:val="0"/>
          <w:numId w:val="22"/>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Благодарение на общата социално-икономическа политика на държавата, демографските показатели се стабилизират и постепенно </w:t>
      </w:r>
      <w:r w:rsidR="005D5EFC" w:rsidRPr="00610B1B">
        <w:rPr>
          <w:rFonts w:ascii="Times New Roman" w:eastAsia="Calibri" w:hAnsi="Times New Roman" w:cs="Times New Roman"/>
          <w:bCs/>
          <w:color w:val="000000" w:themeColor="text1"/>
          <w:sz w:val="24"/>
          <w:szCs w:val="24"/>
          <w:lang w:val="bg-BG"/>
        </w:rPr>
        <w:t xml:space="preserve">се </w:t>
      </w:r>
      <w:r w:rsidRPr="00610B1B">
        <w:rPr>
          <w:rFonts w:ascii="Times New Roman" w:eastAsia="Calibri" w:hAnsi="Times New Roman" w:cs="Times New Roman"/>
          <w:bCs/>
          <w:color w:val="000000" w:themeColor="text1"/>
          <w:sz w:val="24"/>
          <w:szCs w:val="24"/>
          <w:lang w:val="bg-BG"/>
        </w:rPr>
        <w:t>подобр</w:t>
      </w:r>
      <w:r w:rsidR="005D5EFC" w:rsidRPr="00610B1B">
        <w:rPr>
          <w:rFonts w:ascii="Times New Roman" w:eastAsia="Calibri" w:hAnsi="Times New Roman" w:cs="Times New Roman"/>
          <w:bCs/>
          <w:color w:val="000000" w:themeColor="text1"/>
          <w:sz w:val="24"/>
          <w:szCs w:val="24"/>
          <w:lang w:val="bg-BG"/>
        </w:rPr>
        <w:t>яват</w:t>
      </w:r>
      <w:r w:rsidRPr="00610B1B">
        <w:rPr>
          <w:rFonts w:ascii="Times New Roman" w:eastAsia="Calibri" w:hAnsi="Times New Roman" w:cs="Times New Roman"/>
          <w:bCs/>
          <w:color w:val="000000" w:themeColor="text1"/>
          <w:sz w:val="24"/>
          <w:szCs w:val="24"/>
          <w:lang w:val="bg-BG"/>
        </w:rPr>
        <w:t xml:space="preserve"> – увелича</w:t>
      </w:r>
      <w:r w:rsidR="005D5EFC" w:rsidRPr="00610B1B">
        <w:rPr>
          <w:rFonts w:ascii="Times New Roman" w:eastAsia="Calibri" w:hAnsi="Times New Roman" w:cs="Times New Roman"/>
          <w:bCs/>
          <w:color w:val="000000" w:themeColor="text1"/>
          <w:sz w:val="24"/>
          <w:szCs w:val="24"/>
          <w:lang w:val="bg-BG"/>
        </w:rPr>
        <w:t xml:space="preserve">ват се </w:t>
      </w:r>
      <w:r w:rsidRPr="00610B1B">
        <w:rPr>
          <w:rFonts w:ascii="Times New Roman" w:eastAsia="Calibri" w:hAnsi="Times New Roman" w:cs="Times New Roman"/>
          <w:bCs/>
          <w:color w:val="000000" w:themeColor="text1"/>
          <w:sz w:val="24"/>
          <w:szCs w:val="24"/>
          <w:lang w:val="bg-BG"/>
        </w:rPr>
        <w:t>продължителност</w:t>
      </w:r>
      <w:r w:rsidR="005D5EFC" w:rsidRPr="00610B1B">
        <w:rPr>
          <w:rFonts w:ascii="Times New Roman" w:eastAsia="Calibri" w:hAnsi="Times New Roman" w:cs="Times New Roman"/>
          <w:bCs/>
          <w:color w:val="000000" w:themeColor="text1"/>
          <w:sz w:val="24"/>
          <w:szCs w:val="24"/>
          <w:lang w:val="bg-BG"/>
        </w:rPr>
        <w:t>та</w:t>
      </w:r>
      <w:r w:rsidRPr="00610B1B">
        <w:rPr>
          <w:rFonts w:ascii="Times New Roman" w:eastAsia="Calibri" w:hAnsi="Times New Roman" w:cs="Times New Roman"/>
          <w:bCs/>
          <w:color w:val="000000" w:themeColor="text1"/>
          <w:sz w:val="24"/>
          <w:szCs w:val="24"/>
          <w:lang w:val="bg-BG"/>
        </w:rPr>
        <w:t xml:space="preserve"> на живота </w:t>
      </w:r>
      <w:r w:rsidR="005D5EFC" w:rsidRPr="00610B1B">
        <w:rPr>
          <w:rFonts w:ascii="Times New Roman" w:eastAsia="Calibri" w:hAnsi="Times New Roman" w:cs="Times New Roman"/>
          <w:bCs/>
          <w:color w:val="000000" w:themeColor="text1"/>
          <w:sz w:val="24"/>
          <w:szCs w:val="24"/>
          <w:lang w:val="bg-BG"/>
        </w:rPr>
        <w:t>и</w:t>
      </w:r>
      <w:r w:rsidRPr="00610B1B">
        <w:rPr>
          <w:rFonts w:ascii="Times New Roman" w:eastAsia="Calibri" w:hAnsi="Times New Roman" w:cs="Times New Roman"/>
          <w:bCs/>
          <w:color w:val="000000" w:themeColor="text1"/>
          <w:sz w:val="24"/>
          <w:szCs w:val="24"/>
          <w:lang w:val="bg-BG"/>
        </w:rPr>
        <w:t xml:space="preserve"> раждаемост</w:t>
      </w:r>
      <w:r w:rsidR="005D5EFC" w:rsidRPr="00610B1B">
        <w:rPr>
          <w:rFonts w:ascii="Times New Roman" w:eastAsia="Calibri" w:hAnsi="Times New Roman" w:cs="Times New Roman"/>
          <w:bCs/>
          <w:color w:val="000000" w:themeColor="text1"/>
          <w:sz w:val="24"/>
          <w:szCs w:val="24"/>
          <w:lang w:val="bg-BG"/>
        </w:rPr>
        <w:t>та, намалява детската смъртност</w:t>
      </w:r>
      <w:r w:rsidRPr="00610B1B">
        <w:rPr>
          <w:rFonts w:ascii="Times New Roman" w:eastAsia="Calibri" w:hAnsi="Times New Roman" w:cs="Times New Roman"/>
          <w:bCs/>
          <w:color w:val="000000" w:themeColor="text1"/>
          <w:sz w:val="24"/>
          <w:szCs w:val="24"/>
          <w:lang w:val="bg-BG"/>
        </w:rPr>
        <w:t>.</w:t>
      </w:r>
    </w:p>
    <w:p w14:paraId="38A684B3" w14:textId="77777777" w:rsidR="0055674E" w:rsidRPr="00610B1B" w:rsidRDefault="0055674E" w:rsidP="00B46189">
      <w:pPr>
        <w:numPr>
          <w:ilvl w:val="0"/>
          <w:numId w:val="22"/>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Ще се съхранят, а където е възможно, ще се възродят традиционни производства и занаяти, ще се засилят фамилните връзки между поколенията и идентичността на местните общности.</w:t>
      </w:r>
    </w:p>
    <w:p w14:paraId="673DA433" w14:textId="77777777" w:rsidR="0055674E" w:rsidRPr="00610B1B" w:rsidRDefault="0055674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i/>
          <w:color w:val="000000" w:themeColor="text1"/>
          <w:sz w:val="24"/>
          <w:szCs w:val="24"/>
          <w:lang w:val="bg-BG"/>
        </w:rPr>
        <w:t>Екологични и природни</w:t>
      </w:r>
      <w:r w:rsidRPr="00610B1B">
        <w:rPr>
          <w:rFonts w:ascii="Times New Roman" w:eastAsia="Calibri" w:hAnsi="Times New Roman" w:cs="Times New Roman"/>
          <w:bCs/>
          <w:color w:val="000000" w:themeColor="text1"/>
          <w:sz w:val="24"/>
          <w:szCs w:val="24"/>
          <w:lang w:val="bg-BG"/>
        </w:rPr>
        <w:t xml:space="preserve"> условия:</w:t>
      </w:r>
    </w:p>
    <w:p w14:paraId="42D12087" w14:textId="65ADF839" w:rsidR="0055674E" w:rsidRPr="00610B1B" w:rsidRDefault="0055674E" w:rsidP="00B46189">
      <w:pPr>
        <w:pStyle w:val="ListParagraph"/>
        <w:numPr>
          <w:ilvl w:val="0"/>
          <w:numId w:val="21"/>
        </w:numPr>
        <w:spacing w:after="120"/>
        <w:ind w:right="-153"/>
        <w:contextualSpacing w:val="0"/>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Постигнато е и се поддържа добро състояние на морската среда, високо биологично разнообразие и добър консервационен статус на застрашените видове и техните местообитания.</w:t>
      </w:r>
      <w:r w:rsidR="00D66FE0" w:rsidRPr="00610B1B">
        <w:rPr>
          <w:rFonts w:ascii="Times New Roman" w:eastAsia="Calibri" w:hAnsi="Times New Roman" w:cs="Times New Roman"/>
          <w:bCs/>
          <w:color w:val="000000" w:themeColor="text1"/>
          <w:sz w:val="24"/>
          <w:szCs w:val="24"/>
          <w:lang w:val="bg-BG"/>
        </w:rPr>
        <w:t xml:space="preserve"> </w:t>
      </w:r>
      <w:r w:rsidRPr="00610B1B">
        <w:rPr>
          <w:rFonts w:ascii="Times New Roman" w:eastAsia="Calibri" w:hAnsi="Times New Roman" w:cs="Times New Roman"/>
          <w:bCs/>
          <w:color w:val="000000" w:themeColor="text1"/>
          <w:sz w:val="24"/>
          <w:szCs w:val="24"/>
          <w:lang w:val="bg-BG"/>
        </w:rPr>
        <w:t>Замърсяващите вещества са в концентрации, които не увреждат морските екосистеми.</w:t>
      </w:r>
    </w:p>
    <w:p w14:paraId="6BD9B960" w14:textId="77777777" w:rsidR="0055674E" w:rsidRPr="00610B1B" w:rsidRDefault="0055674E" w:rsidP="00B46189">
      <w:pPr>
        <w:numPr>
          <w:ilvl w:val="0"/>
          <w:numId w:val="21"/>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Благодарение на национални мерки и международно сътрудничество в Черноморския басейн, възможните последствия от климатичните промени по морското крайбрежие са редуцирани и са въведени адекватни мерки за адаптация.</w:t>
      </w:r>
    </w:p>
    <w:p w14:paraId="1AA98C04" w14:textId="77777777" w:rsidR="0055674E" w:rsidRPr="00610B1B" w:rsidRDefault="0055674E" w:rsidP="00B46189">
      <w:pPr>
        <w:numPr>
          <w:ilvl w:val="0"/>
          <w:numId w:val="21"/>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Природните ресурси на морето и крайбрежието се оползотворяват в рамките на границите за устойчиво възпроизводство и при спазването на съвременните </w:t>
      </w:r>
      <w:r w:rsidRPr="00610B1B">
        <w:rPr>
          <w:rFonts w:ascii="Times New Roman" w:eastAsia="Calibri" w:hAnsi="Times New Roman" w:cs="Times New Roman"/>
          <w:bCs/>
          <w:color w:val="000000" w:themeColor="text1"/>
          <w:sz w:val="24"/>
          <w:szCs w:val="24"/>
          <w:lang w:val="bg-BG"/>
        </w:rPr>
        <w:lastRenderedPageBreak/>
        <w:t>екологични стандарти. За целта се налагат и спазват нормите за улов на риба, за максимално антропогенно натоварване на плажните ивици и др.</w:t>
      </w:r>
    </w:p>
    <w:p w14:paraId="756D3DE8" w14:textId="77777777" w:rsidR="0055674E" w:rsidRPr="00610B1B" w:rsidRDefault="0055674E" w:rsidP="00B46189">
      <w:pPr>
        <w:numPr>
          <w:ilvl w:val="0"/>
          <w:numId w:val="21"/>
        </w:num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Превантивните мерки по отношение на бреговите свлачища, абразията и ерозията се засилват, инвестициите в предотвратяване на природни бедствия и за отстраняване на щети от антропогенна дейност се увеличават. </w:t>
      </w:r>
    </w:p>
    <w:p w14:paraId="7AECDFEB" w14:textId="22A79F16" w:rsidR="0055674E" w:rsidRPr="00610B1B" w:rsidRDefault="0055674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Общата идея на сценария е да се координират всички секторни политики на морските индустрии, за да се постигне устойчиво ползване на Черно море и на екосистемните му услуги, в името на устойчивото развитие на местните общности. Първият обхват е до границите на изключителната икономическа зона на България, а вторият – целият черноморски </w:t>
      </w:r>
      <w:r w:rsidR="002A78FB" w:rsidRPr="00610B1B">
        <w:rPr>
          <w:rFonts w:ascii="Times New Roman" w:eastAsia="Calibri" w:hAnsi="Times New Roman" w:cs="Times New Roman"/>
          <w:color w:val="000000" w:themeColor="text1"/>
          <w:sz w:val="24"/>
          <w:szCs w:val="24"/>
          <w:lang w:val="bg-BG"/>
        </w:rPr>
        <w:t>регион</w:t>
      </w:r>
      <w:r w:rsidRPr="00610B1B">
        <w:rPr>
          <w:rFonts w:ascii="Times New Roman" w:eastAsia="Calibri" w:hAnsi="Times New Roman" w:cs="Times New Roman"/>
          <w:color w:val="000000" w:themeColor="text1"/>
          <w:sz w:val="24"/>
          <w:szCs w:val="24"/>
          <w:lang w:val="bg-BG"/>
        </w:rPr>
        <w:t>. Предвид пространствените ограничения на прерогативите на българския МПП и отсъствието на междудържавни спогодби в контекста на желаното развитие, този сценарий се развива само за българското морско пространство, но следвайки всички насоки на интегрираната морска политика (ИМП) на ЕС.</w:t>
      </w:r>
    </w:p>
    <w:p w14:paraId="6C573746" w14:textId="77777777" w:rsidR="0055674E" w:rsidRPr="00610B1B" w:rsidRDefault="0055674E" w:rsidP="00D32D6A">
      <w:pPr>
        <w:spacing w:after="120"/>
        <w:ind w:right="-153"/>
        <w:jc w:val="both"/>
        <w:rPr>
          <w:rFonts w:ascii="Times New Roman" w:eastAsia="Calibri" w:hAnsi="Times New Roman" w:cs="Times New Roman"/>
          <w:b/>
          <w:bCs/>
          <w:color w:val="000000" w:themeColor="text1"/>
          <w:sz w:val="24"/>
          <w:szCs w:val="24"/>
          <w:lang w:val="bg-BG"/>
        </w:rPr>
      </w:pPr>
      <w:r w:rsidRPr="00610B1B">
        <w:rPr>
          <w:rFonts w:ascii="Times New Roman" w:eastAsia="Calibri" w:hAnsi="Times New Roman" w:cs="Times New Roman"/>
          <w:b/>
          <w:bCs/>
          <w:color w:val="000000" w:themeColor="text1"/>
          <w:sz w:val="24"/>
          <w:szCs w:val="24"/>
          <w:lang w:val="bg-BG"/>
        </w:rPr>
        <w:t>Вероятни въздействия върху околната среда по сектори от морската икономика при прилагането на Сценарий D</w:t>
      </w:r>
    </w:p>
    <w:p w14:paraId="68F070D6" w14:textId="75C933FD" w:rsidR="0055674E" w:rsidRPr="00610B1B" w:rsidRDefault="0055674E" w:rsidP="00D32D6A">
      <w:pPr>
        <w:pStyle w:val="BodyText"/>
        <w:spacing w:before="0" w:after="120" w:line="276" w:lineRule="auto"/>
        <w:ind w:right="-153"/>
        <w:rPr>
          <w:rFonts w:eastAsia="Calibri" w:cs="Times New Roman"/>
          <w:color w:val="000000" w:themeColor="text1"/>
          <w:lang w:eastAsia="en-US" w:bidi="ar-SA"/>
        </w:rPr>
      </w:pPr>
      <w:r w:rsidRPr="00610B1B">
        <w:rPr>
          <w:rFonts w:cs="Times New Roman"/>
          <w:bCs/>
          <w:i/>
          <w:iCs/>
          <w:color w:val="000000" w:themeColor="text1"/>
          <w:lang w:eastAsia="en-US" w:bidi="ar-SA"/>
        </w:rPr>
        <w:t>Морски транспорт</w:t>
      </w:r>
      <w:r w:rsidRPr="00610B1B">
        <w:rPr>
          <w:rFonts w:cs="Times New Roman"/>
          <w:bCs/>
          <w:color w:val="000000" w:themeColor="text1"/>
          <w:lang w:eastAsia="en-US" w:bidi="ar-SA"/>
        </w:rPr>
        <w:t xml:space="preserve"> – </w:t>
      </w:r>
      <w:r w:rsidR="00A17F38" w:rsidRPr="00610B1B">
        <w:rPr>
          <w:rFonts w:cs="Times New Roman"/>
          <w:bCs/>
          <w:color w:val="000000" w:themeColor="text1"/>
          <w:lang w:eastAsia="en-US" w:bidi="ar-SA"/>
        </w:rPr>
        <w:t xml:space="preserve">Корабните </w:t>
      </w:r>
      <w:r w:rsidRPr="00610B1B">
        <w:rPr>
          <w:rFonts w:cs="Times New Roman"/>
          <w:bCs/>
          <w:color w:val="000000" w:themeColor="text1"/>
          <w:lang w:eastAsia="en-US" w:bidi="ar-SA"/>
        </w:rPr>
        <w:t xml:space="preserve">маршрути заобикалят изградената мрежа от представителни защитени територии, което намалява въздействието от подводния шум, нараняване или смъртност при сблъсък </w:t>
      </w:r>
      <w:r w:rsidR="002A78FB" w:rsidRPr="00610B1B">
        <w:rPr>
          <w:rFonts w:cs="Times New Roman"/>
          <w:bCs/>
          <w:color w:val="000000" w:themeColor="text1"/>
          <w:lang w:eastAsia="en-US" w:bidi="ar-SA"/>
        </w:rPr>
        <w:t>с</w:t>
      </w:r>
      <w:r w:rsidRPr="00610B1B">
        <w:rPr>
          <w:rFonts w:cs="Times New Roman"/>
          <w:bCs/>
          <w:color w:val="000000" w:themeColor="text1"/>
          <w:lang w:eastAsia="en-US" w:bidi="ar-SA"/>
        </w:rPr>
        <w:t xml:space="preserve"> морски риби и бозайници. Създаденият регистър на подводния шум, макар и необходима първа стъпка за установяване на степента на натиск върху морската среда, не е достатъчна мярка за подобряване на условията за съществуване на морските риби и бозайници. Използването по-тихите турбо-електрически двигатели е потенциално решение за редуциране на подводния шум при строителството на нови кораби. </w:t>
      </w:r>
      <w:r w:rsidR="00640742" w:rsidRPr="00610B1B">
        <w:rPr>
          <w:rFonts w:cs="Times New Roman"/>
          <w:bCs/>
          <w:color w:val="000000" w:themeColor="text1"/>
          <w:lang w:eastAsia="en-US" w:bidi="ar-SA"/>
        </w:rPr>
        <w:t>Икономически най-</w:t>
      </w:r>
      <w:r w:rsidRPr="00610B1B">
        <w:rPr>
          <w:rFonts w:cs="Times New Roman"/>
          <w:bCs/>
          <w:color w:val="000000" w:themeColor="text1"/>
          <w:lang w:eastAsia="en-US" w:bidi="ar-SA"/>
        </w:rPr>
        <w:t xml:space="preserve">целесъобразната първа стъпка е оборудването на вече съществуващи търговски и военни кораби с такива двигатели. В по-дългосрочен план, съществуват възможности за синергия между корабостроенето, военноморските сили и опазването на околната среда под формата на научно-изследователски и приложни проекти за развитието на по-модерни </w:t>
      </w:r>
      <w:r w:rsidR="00A17F38" w:rsidRPr="00610B1B">
        <w:rPr>
          <w:rFonts w:cs="Times New Roman"/>
          <w:bCs/>
          <w:color w:val="000000" w:themeColor="text1"/>
          <w:lang w:eastAsia="en-US" w:bidi="ar-SA"/>
        </w:rPr>
        <w:t>двигатели</w:t>
      </w:r>
      <w:r w:rsidRPr="00610B1B">
        <w:rPr>
          <w:rFonts w:cs="Times New Roman"/>
          <w:bCs/>
          <w:color w:val="000000" w:themeColor="text1"/>
          <w:lang w:eastAsia="en-US" w:bidi="ar-SA"/>
        </w:rPr>
        <w:t>, а с увеличаване на енергийната плътност на батериите и на изцяло електрически задвижващи механизми. Това ще допринесе за възраждане на сектора „корабостроене и кораборемонт“ и постигане на добро състояние на морската среда.</w:t>
      </w:r>
    </w:p>
    <w:p w14:paraId="6B25BE0C" w14:textId="5D1B3CAE" w:rsidR="0055674E" w:rsidRPr="00610B1B" w:rsidRDefault="00DD6CD4" w:rsidP="00D32D6A">
      <w:pPr>
        <w:pStyle w:val="BodyText"/>
        <w:spacing w:before="0" w:after="120" w:line="276" w:lineRule="auto"/>
        <w:ind w:right="-153"/>
        <w:rPr>
          <w:rFonts w:eastAsia="Calibri" w:cs="Times New Roman"/>
          <w:color w:val="000000" w:themeColor="text1"/>
          <w:lang w:eastAsia="en-US" w:bidi="ar-SA"/>
        </w:rPr>
      </w:pPr>
      <w:r w:rsidRPr="00610B1B">
        <w:rPr>
          <w:rFonts w:cs="Times New Roman"/>
          <w:bCs/>
          <w:i/>
          <w:iCs/>
          <w:color w:val="000000" w:themeColor="text1"/>
          <w:lang w:eastAsia="en-US" w:bidi="ar-SA"/>
        </w:rPr>
        <w:t>Стопански риболов</w:t>
      </w:r>
      <w:r w:rsidR="0055674E" w:rsidRPr="00610B1B">
        <w:rPr>
          <w:rFonts w:cs="Times New Roman"/>
          <w:bCs/>
          <w:color w:val="000000" w:themeColor="text1"/>
          <w:lang w:eastAsia="en-US" w:bidi="ar-SA"/>
        </w:rPr>
        <w:t xml:space="preserve"> – </w:t>
      </w:r>
      <w:r w:rsidR="00A17F38" w:rsidRPr="00610B1B">
        <w:rPr>
          <w:rFonts w:cs="Times New Roman"/>
          <w:bCs/>
          <w:color w:val="000000" w:themeColor="text1"/>
          <w:lang w:eastAsia="en-US" w:bidi="ar-SA"/>
        </w:rPr>
        <w:t xml:space="preserve">Натискът </w:t>
      </w:r>
      <w:r w:rsidR="0055674E" w:rsidRPr="00610B1B">
        <w:rPr>
          <w:rFonts w:cs="Times New Roman"/>
          <w:bCs/>
          <w:color w:val="000000" w:themeColor="text1"/>
          <w:lang w:eastAsia="en-US" w:bidi="ar-SA"/>
        </w:rPr>
        <w:t>е не само в района на Варненския и Бургаския залив, но и извън тях. Издават се разрешителни само при доказано използване на щадящи околната среда методи и практики</w:t>
      </w:r>
      <w:r w:rsidR="001A625C" w:rsidRPr="00610B1B">
        <w:rPr>
          <w:rFonts w:cs="Times New Roman"/>
          <w:bCs/>
          <w:color w:val="000000" w:themeColor="text1"/>
          <w:lang w:eastAsia="en-US" w:bidi="ar-SA"/>
        </w:rPr>
        <w:t xml:space="preserve">, а </w:t>
      </w:r>
      <w:r w:rsidR="0055674E" w:rsidRPr="00610B1B">
        <w:rPr>
          <w:rFonts w:cs="Times New Roman"/>
          <w:bCs/>
          <w:color w:val="000000" w:themeColor="text1"/>
          <w:lang w:eastAsia="en-US" w:bidi="ar-SA"/>
        </w:rPr>
        <w:t>дребномащабния</w:t>
      </w:r>
      <w:r w:rsidR="001A625C" w:rsidRPr="00610B1B">
        <w:rPr>
          <w:rFonts w:cs="Times New Roman"/>
          <w:bCs/>
          <w:color w:val="000000" w:themeColor="text1"/>
          <w:lang w:eastAsia="en-US" w:bidi="ar-SA"/>
        </w:rPr>
        <w:t>т риболов е</w:t>
      </w:r>
      <w:r w:rsidR="0055674E" w:rsidRPr="00610B1B">
        <w:rPr>
          <w:rFonts w:cs="Times New Roman"/>
          <w:bCs/>
          <w:color w:val="000000" w:themeColor="text1"/>
          <w:lang w:eastAsia="en-US" w:bidi="ar-SA"/>
        </w:rPr>
        <w:t xml:space="preserve"> пространствено ограничен в крайбрежната зона и извън размножителния сезон, пролет и есен, в зависимост от вида. Част от пазарното търсене се осигурява от високо технологични морски аквакултури и биотехнологии. Възстановяването на рибните запаси допринася за възстановяването </w:t>
      </w:r>
      <w:r w:rsidR="001A625C" w:rsidRPr="00610B1B">
        <w:rPr>
          <w:rFonts w:cs="Times New Roman"/>
          <w:bCs/>
          <w:color w:val="000000" w:themeColor="text1"/>
          <w:lang w:eastAsia="en-US" w:bidi="ar-SA"/>
        </w:rPr>
        <w:t xml:space="preserve">и </w:t>
      </w:r>
      <w:r w:rsidR="0055674E" w:rsidRPr="00610B1B">
        <w:rPr>
          <w:rFonts w:cs="Times New Roman"/>
          <w:bCs/>
          <w:color w:val="000000" w:themeColor="text1"/>
          <w:lang w:eastAsia="en-US" w:bidi="ar-SA"/>
        </w:rPr>
        <w:t>на морските птици и бозайници.</w:t>
      </w:r>
    </w:p>
    <w:p w14:paraId="21F8B950" w14:textId="3BA41BA6" w:rsidR="0055674E" w:rsidRPr="00610B1B" w:rsidRDefault="0055674E" w:rsidP="00D32D6A">
      <w:pPr>
        <w:pStyle w:val="BodyText"/>
        <w:spacing w:before="0" w:after="120" w:line="276" w:lineRule="auto"/>
        <w:ind w:right="-153"/>
        <w:rPr>
          <w:rFonts w:eastAsia="Calibri" w:cs="Times New Roman"/>
          <w:color w:val="000000" w:themeColor="text1"/>
          <w:lang w:eastAsia="en-US" w:bidi="ar-SA"/>
        </w:rPr>
      </w:pPr>
      <w:r w:rsidRPr="00610B1B">
        <w:rPr>
          <w:rFonts w:cs="Times New Roman"/>
          <w:bCs/>
          <w:i/>
          <w:iCs/>
          <w:color w:val="000000" w:themeColor="text1"/>
          <w:lang w:eastAsia="en-US" w:bidi="ar-SA"/>
        </w:rPr>
        <w:t>Морски аквакултури</w:t>
      </w:r>
      <w:r w:rsidRPr="00610B1B">
        <w:rPr>
          <w:rFonts w:cs="Times New Roman"/>
          <w:bCs/>
          <w:color w:val="000000" w:themeColor="text1"/>
          <w:lang w:eastAsia="en-US" w:bidi="ar-SA"/>
        </w:rPr>
        <w:t xml:space="preserve"> - </w:t>
      </w:r>
      <w:r w:rsidR="00A17F38" w:rsidRPr="00610B1B">
        <w:rPr>
          <w:rFonts w:cs="Times New Roman"/>
          <w:bCs/>
          <w:color w:val="000000" w:themeColor="text1"/>
          <w:lang w:eastAsia="en-US" w:bidi="ar-SA"/>
        </w:rPr>
        <w:t xml:space="preserve">Развиват </w:t>
      </w:r>
      <w:r w:rsidRPr="00610B1B">
        <w:rPr>
          <w:rFonts w:cs="Times New Roman"/>
          <w:bCs/>
          <w:color w:val="000000" w:themeColor="text1"/>
          <w:lang w:eastAsia="en-US" w:bidi="ar-SA"/>
        </w:rPr>
        <w:t xml:space="preserve">се традиционните ферми за миди, както и мултитрофни аквакултури, съчетаващи рибни и нерибни видове (черупчести видове, морски водорасли) в крайбрежните води, териториалното море и изключителната икономическа зона. Това намалява зависимостта от естествените рибни запаси и допринася за тяхното </w:t>
      </w:r>
      <w:r w:rsidRPr="00610B1B">
        <w:rPr>
          <w:rFonts w:cs="Times New Roman"/>
          <w:bCs/>
          <w:color w:val="000000" w:themeColor="text1"/>
          <w:lang w:eastAsia="en-US" w:bidi="ar-SA"/>
        </w:rPr>
        <w:lastRenderedPageBreak/>
        <w:t xml:space="preserve">възстановяване. Пазарното търсене на дънни и пелагични видове риби, които са обект на </w:t>
      </w:r>
      <w:r w:rsidR="00DD6CD4" w:rsidRPr="00610B1B">
        <w:rPr>
          <w:rFonts w:cs="Times New Roman"/>
          <w:bCs/>
          <w:color w:val="000000" w:themeColor="text1"/>
          <w:lang w:eastAsia="en-US" w:bidi="ar-SA"/>
        </w:rPr>
        <w:t>стопански риболов</w:t>
      </w:r>
      <w:r w:rsidRPr="00610B1B">
        <w:rPr>
          <w:rFonts w:cs="Times New Roman"/>
          <w:bCs/>
          <w:color w:val="000000" w:themeColor="text1"/>
          <w:lang w:eastAsia="en-US" w:bidi="ar-SA"/>
        </w:rPr>
        <w:t xml:space="preserve"> (например калкан), от една страна, и строгият контрол върху рибните запаси от друга, принуждават изнасяне на част от дейността на сушата под формата на ферми за изкуствено развъждане на калкан и други видове риби. Това създава работни места и подпомага развитието на научните изследвания в сектора „</w:t>
      </w:r>
      <w:r w:rsidR="00456EF6" w:rsidRPr="00610B1B">
        <w:rPr>
          <w:rFonts w:cs="Times New Roman"/>
          <w:bCs/>
          <w:color w:val="000000" w:themeColor="text1"/>
          <w:lang w:eastAsia="en-US" w:bidi="ar-SA"/>
        </w:rPr>
        <w:t xml:space="preserve">Рибарство </w:t>
      </w:r>
      <w:r w:rsidRPr="00610B1B">
        <w:rPr>
          <w:rFonts w:cs="Times New Roman"/>
          <w:bCs/>
          <w:color w:val="000000" w:themeColor="text1"/>
          <w:lang w:eastAsia="en-US" w:bidi="ar-SA"/>
        </w:rPr>
        <w:t>и аквакултури“. Част от рибните ларви се връщат обратно в морето и възстановяват рибните запаси. Друга част се отглеждат в плоскодънни мрежи в крайбрежната зона, с което се задоволяват изискванията на пазара. Предварителни проучвания върху ветровото вълнение и теченията позволяват разполагане на колекторите за миди и рибните ферми в открити спрямо ветровото вълнение и течения участъци от брега, с което се осигурява отделяне на отпадъчните продукти от култивацията по естествен път.</w:t>
      </w:r>
    </w:p>
    <w:p w14:paraId="5DE9FBB7" w14:textId="7C20EAD7" w:rsidR="0055674E" w:rsidRPr="00610B1B" w:rsidRDefault="0055674E" w:rsidP="00D32D6A">
      <w:pPr>
        <w:pStyle w:val="BodyText"/>
        <w:spacing w:before="0" w:after="120" w:line="276" w:lineRule="auto"/>
        <w:ind w:right="-153"/>
        <w:rPr>
          <w:rFonts w:eastAsia="Calibri" w:cs="Times New Roman"/>
          <w:color w:val="000000" w:themeColor="text1"/>
          <w:lang w:eastAsia="en-US" w:bidi="ar-SA"/>
        </w:rPr>
      </w:pPr>
      <w:r w:rsidRPr="00610B1B">
        <w:rPr>
          <w:rFonts w:cs="Times New Roman"/>
          <w:bCs/>
          <w:i/>
          <w:iCs/>
          <w:color w:val="000000" w:themeColor="text1"/>
          <w:lang w:eastAsia="en-US" w:bidi="ar-SA"/>
        </w:rPr>
        <w:t>Брегозащита</w:t>
      </w:r>
      <w:r w:rsidRPr="00610B1B">
        <w:rPr>
          <w:rFonts w:cs="Times New Roman"/>
          <w:bCs/>
          <w:color w:val="000000" w:themeColor="text1"/>
          <w:lang w:eastAsia="en-US" w:bidi="ar-SA"/>
        </w:rPr>
        <w:t xml:space="preserve"> – </w:t>
      </w:r>
      <w:r w:rsidR="00A17F38" w:rsidRPr="00610B1B">
        <w:rPr>
          <w:rFonts w:cs="Times New Roman"/>
          <w:bCs/>
          <w:color w:val="000000" w:themeColor="text1"/>
          <w:lang w:eastAsia="en-US" w:bidi="ar-SA"/>
        </w:rPr>
        <w:t xml:space="preserve">Използват </w:t>
      </w:r>
      <w:r w:rsidRPr="00610B1B">
        <w:rPr>
          <w:rFonts w:cs="Times New Roman"/>
          <w:bCs/>
          <w:color w:val="000000" w:themeColor="text1"/>
          <w:lang w:eastAsia="en-US" w:bidi="ar-SA"/>
        </w:rPr>
        <w:t>се само прекъснати схеми за брегозащита в уязвимите към абразия носови участъци. Спирането на абразията в тези участъци стабилизира плажните ивици в съседните заливни участъци поради естествения надлъжно-брегови транспорт на наноси от носовете към дъната на заливите. Познаването на биогеохимичния кръговрат в бреговата зона и прилагането му в брегозащитата намалява наносния дефицит. Използването на проницаеми вълноломи-рифове, които поддържат високопродуктивни рифообразуватели (екосистемни инженери) миди и други черупчести, помага за плажообразуване чрез фиксиране на атмосферния въглероден диоксид и превръщането му в инертен карбонатен детрит за образуване на черупчести и пясъчни плажни наноси. Чистите пристанищни акватории са източник на плажни седименти, които се използват повторно за намаляване на наносния дефицит при скалист бряг и подводен брегови склон, където твърди</w:t>
      </w:r>
      <w:r w:rsidR="00A17F38" w:rsidRPr="00610B1B">
        <w:rPr>
          <w:rFonts w:cs="Times New Roman"/>
          <w:bCs/>
          <w:color w:val="000000" w:themeColor="text1"/>
          <w:lang w:eastAsia="en-US" w:bidi="ar-SA"/>
        </w:rPr>
        <w:t>те</w:t>
      </w:r>
      <w:r w:rsidRPr="00610B1B">
        <w:rPr>
          <w:rFonts w:cs="Times New Roman"/>
          <w:bCs/>
          <w:color w:val="000000" w:themeColor="text1"/>
          <w:lang w:eastAsia="en-US" w:bidi="ar-SA"/>
        </w:rPr>
        <w:t xml:space="preserve"> брегозащитни съоръжения </w:t>
      </w:r>
      <w:r w:rsidR="00A17F38" w:rsidRPr="00610B1B">
        <w:rPr>
          <w:rFonts w:cs="Times New Roman"/>
          <w:bCs/>
          <w:color w:val="000000" w:themeColor="text1"/>
          <w:lang w:eastAsia="en-US" w:bidi="ar-SA"/>
        </w:rPr>
        <w:t>са</w:t>
      </w:r>
      <w:r w:rsidRPr="00610B1B">
        <w:rPr>
          <w:rFonts w:cs="Times New Roman"/>
          <w:bCs/>
          <w:color w:val="000000" w:themeColor="text1"/>
          <w:lang w:eastAsia="en-US" w:bidi="ar-SA"/>
        </w:rPr>
        <w:t xml:space="preserve"> екологично нецелесъобразн</w:t>
      </w:r>
      <w:r w:rsidR="00A17F38" w:rsidRPr="00610B1B">
        <w:rPr>
          <w:rFonts w:cs="Times New Roman"/>
          <w:bCs/>
          <w:color w:val="000000" w:themeColor="text1"/>
          <w:lang w:eastAsia="en-US" w:bidi="ar-SA"/>
        </w:rPr>
        <w:t>и</w:t>
      </w:r>
      <w:r w:rsidRPr="00610B1B">
        <w:rPr>
          <w:rFonts w:cs="Times New Roman"/>
          <w:bCs/>
          <w:color w:val="000000" w:themeColor="text1"/>
          <w:lang w:eastAsia="en-US" w:bidi="ar-SA"/>
        </w:rPr>
        <w:t xml:space="preserve"> поради съществуването на естествени скални рифове.</w:t>
      </w:r>
    </w:p>
    <w:p w14:paraId="746A8A85" w14:textId="5660BC0F" w:rsidR="0055674E" w:rsidRPr="00610B1B" w:rsidRDefault="0055674E" w:rsidP="00D32D6A">
      <w:pPr>
        <w:pStyle w:val="BodyText"/>
        <w:spacing w:before="0" w:after="120" w:line="276" w:lineRule="auto"/>
        <w:ind w:right="-153"/>
        <w:rPr>
          <w:rFonts w:eastAsia="Calibri" w:cs="Times New Roman"/>
          <w:color w:val="000000" w:themeColor="text1"/>
          <w:lang w:eastAsia="en-US" w:bidi="ar-SA"/>
        </w:rPr>
      </w:pPr>
      <w:r w:rsidRPr="00610B1B">
        <w:rPr>
          <w:rFonts w:cs="Times New Roman"/>
          <w:bCs/>
          <w:i/>
          <w:iCs/>
          <w:color w:val="000000" w:themeColor="text1"/>
          <w:lang w:eastAsia="en-US" w:bidi="ar-SA"/>
        </w:rPr>
        <w:t>Крайбрежен и морски туризъм</w:t>
      </w:r>
      <w:r w:rsidRPr="00610B1B">
        <w:rPr>
          <w:rFonts w:cs="Times New Roman"/>
          <w:bCs/>
          <w:color w:val="000000" w:themeColor="text1"/>
          <w:lang w:eastAsia="en-US" w:bidi="ar-SA"/>
        </w:rPr>
        <w:t xml:space="preserve"> - </w:t>
      </w:r>
      <w:r w:rsidR="00A17F38" w:rsidRPr="00610B1B">
        <w:rPr>
          <w:rFonts w:cs="Times New Roman"/>
          <w:bCs/>
          <w:color w:val="000000" w:themeColor="text1"/>
          <w:lang w:eastAsia="en-US" w:bidi="ar-SA"/>
        </w:rPr>
        <w:t xml:space="preserve">Развитието </w:t>
      </w:r>
      <w:r w:rsidRPr="00610B1B">
        <w:rPr>
          <w:rFonts w:cs="Times New Roman"/>
          <w:bCs/>
          <w:color w:val="000000" w:themeColor="text1"/>
          <w:lang w:eastAsia="en-US" w:bidi="ar-SA"/>
        </w:rPr>
        <w:t xml:space="preserve">на крайбрежния и морски туризъм и в по-малките крайбрежни общини </w:t>
      </w:r>
      <w:r w:rsidR="00640742" w:rsidRPr="00610B1B">
        <w:rPr>
          <w:rFonts w:cs="Times New Roman"/>
          <w:bCs/>
          <w:color w:val="000000" w:themeColor="text1"/>
          <w:lang w:eastAsia="en-US" w:bidi="ar-SA"/>
        </w:rPr>
        <w:t>поражда интерес за</w:t>
      </w:r>
      <w:r w:rsidRPr="00610B1B">
        <w:rPr>
          <w:rFonts w:cs="Times New Roman"/>
          <w:bCs/>
          <w:color w:val="000000" w:themeColor="text1"/>
          <w:lang w:eastAsia="en-US" w:bidi="ar-SA"/>
        </w:rPr>
        <w:t xml:space="preserve"> изграждане на яхтени пристанища и брегозащитни съоръжения северно от н. Калиакра, в района на Камчия – Шкорпиловци, в райони, които все още не са засегнати от туристическа експанзия. В някои участъци естествените пясъчни дюни </w:t>
      </w:r>
      <w:r w:rsidR="00640742" w:rsidRPr="00610B1B">
        <w:rPr>
          <w:rFonts w:cs="Times New Roman"/>
          <w:bCs/>
          <w:color w:val="000000" w:themeColor="text1"/>
          <w:lang w:eastAsia="en-US" w:bidi="ar-SA"/>
        </w:rPr>
        <w:t>са</w:t>
      </w:r>
      <w:r w:rsidRPr="00610B1B">
        <w:rPr>
          <w:rFonts w:cs="Times New Roman"/>
          <w:bCs/>
          <w:color w:val="000000" w:themeColor="text1"/>
          <w:lang w:eastAsia="en-US" w:bidi="ar-SA"/>
        </w:rPr>
        <w:t xml:space="preserve"> необратимо разрушени поради икономически интереси. </w:t>
      </w:r>
      <w:r w:rsidR="00A17F38" w:rsidRPr="00610B1B">
        <w:rPr>
          <w:rFonts w:cs="Times New Roman"/>
          <w:bCs/>
          <w:color w:val="000000" w:themeColor="text1"/>
          <w:lang w:eastAsia="en-US" w:bidi="ar-SA"/>
        </w:rPr>
        <w:t xml:space="preserve">Това </w:t>
      </w:r>
      <w:r w:rsidRPr="00610B1B">
        <w:rPr>
          <w:rFonts w:cs="Times New Roman"/>
          <w:bCs/>
          <w:color w:val="000000" w:themeColor="text1"/>
          <w:lang w:eastAsia="en-US" w:bidi="ar-SA"/>
        </w:rPr>
        <w:t>влошава екологичните условия и естествената привлекателност на брега в райони за екологичен туризъм.</w:t>
      </w:r>
    </w:p>
    <w:p w14:paraId="365117DD" w14:textId="57A4283D" w:rsidR="0055674E" w:rsidRPr="00610B1B" w:rsidRDefault="0055674E" w:rsidP="00D32D6A">
      <w:pPr>
        <w:pStyle w:val="BodyText"/>
        <w:spacing w:before="0" w:after="120" w:line="276" w:lineRule="auto"/>
        <w:ind w:right="-153"/>
        <w:rPr>
          <w:rFonts w:eastAsia="Calibri" w:cs="Times New Roman"/>
          <w:color w:val="000000" w:themeColor="text1"/>
          <w:lang w:eastAsia="en-US" w:bidi="ar-SA"/>
        </w:rPr>
      </w:pPr>
      <w:r w:rsidRPr="00610B1B">
        <w:rPr>
          <w:rFonts w:eastAsia="Calibri" w:cs="Times New Roman"/>
          <w:i/>
          <w:iCs/>
          <w:color w:val="000000" w:themeColor="text1"/>
          <w:lang w:eastAsia="en-US" w:bidi="ar-SA"/>
        </w:rPr>
        <w:t>Морска енергетика</w:t>
      </w:r>
      <w:r w:rsidRPr="00610B1B">
        <w:rPr>
          <w:rFonts w:eastAsia="Calibri" w:cs="Times New Roman"/>
          <w:color w:val="000000" w:themeColor="text1"/>
          <w:lang w:eastAsia="en-US" w:bidi="ar-SA"/>
        </w:rPr>
        <w:t xml:space="preserve"> – </w:t>
      </w:r>
      <w:r w:rsidR="00A17F38" w:rsidRPr="00610B1B">
        <w:rPr>
          <w:rFonts w:eastAsia="Calibri" w:cs="Times New Roman"/>
          <w:color w:val="000000" w:themeColor="text1"/>
          <w:lang w:eastAsia="en-US" w:bidi="ar-SA"/>
        </w:rPr>
        <w:t xml:space="preserve">Насърчава </w:t>
      </w:r>
      <w:r w:rsidRPr="00610B1B">
        <w:rPr>
          <w:rFonts w:eastAsia="Calibri" w:cs="Times New Roman"/>
          <w:color w:val="000000" w:themeColor="text1"/>
          <w:lang w:eastAsia="en-US" w:bidi="ar-SA"/>
        </w:rPr>
        <w:t xml:space="preserve">се разработването на нови технологии за добив на енергия от вятъра, газовите хидрати и сероводорода. Запасите от нефт и газ се проучват, но се разглеждат като краен стратегически резерв. От една страна, това води до намаляване на натиска от проучванията за добив на нефт и газ, а от друга - до намаляване на въглеродния отпечатък на страната и смекчаване на въздействието върху измененията на климата. Сероводородът е практически неизчерпаем ресурс, който би осигурил енергийните нужди на промишлеността на </w:t>
      </w:r>
      <w:r w:rsidR="00A17F38" w:rsidRPr="00610B1B">
        <w:rPr>
          <w:rFonts w:eastAsia="Calibri" w:cs="Times New Roman"/>
          <w:color w:val="000000" w:themeColor="text1"/>
          <w:lang w:eastAsia="en-US" w:bidi="ar-SA"/>
        </w:rPr>
        <w:t xml:space="preserve">Черноморските </w:t>
      </w:r>
      <w:r w:rsidRPr="00610B1B">
        <w:rPr>
          <w:rFonts w:eastAsia="Calibri" w:cs="Times New Roman"/>
          <w:color w:val="000000" w:themeColor="text1"/>
          <w:lang w:eastAsia="en-US" w:bidi="ar-SA"/>
        </w:rPr>
        <w:t>държави.</w:t>
      </w:r>
    </w:p>
    <w:p w14:paraId="600D4363" w14:textId="22E63991" w:rsidR="0055674E" w:rsidRPr="00610B1B" w:rsidRDefault="0055674E" w:rsidP="00D32D6A">
      <w:pPr>
        <w:pStyle w:val="BodyText"/>
        <w:spacing w:before="0" w:after="120" w:line="276" w:lineRule="auto"/>
        <w:ind w:right="-153"/>
        <w:rPr>
          <w:rFonts w:eastAsia="Calibri" w:cs="Times New Roman"/>
          <w:color w:val="000000" w:themeColor="text1"/>
          <w:lang w:eastAsia="en-US" w:bidi="ar-SA"/>
        </w:rPr>
      </w:pPr>
      <w:r w:rsidRPr="00610B1B">
        <w:rPr>
          <w:rFonts w:eastAsia="Calibri" w:cs="Times New Roman"/>
          <w:i/>
          <w:iCs/>
          <w:color w:val="000000" w:themeColor="text1"/>
          <w:lang w:eastAsia="en-US" w:bidi="ar-SA"/>
        </w:rPr>
        <w:t>Научни изследвания</w:t>
      </w:r>
      <w:r w:rsidRPr="00610B1B">
        <w:rPr>
          <w:rFonts w:eastAsia="Calibri" w:cs="Times New Roman"/>
          <w:color w:val="000000" w:themeColor="text1"/>
          <w:lang w:eastAsia="en-US" w:bidi="ar-SA"/>
        </w:rPr>
        <w:t xml:space="preserve"> – „Черноморският дневен ред за стратегически научни изследвания и иновации“ обединява научните усилия на страните от Черноморския регион и </w:t>
      </w:r>
      <w:r w:rsidR="00640742" w:rsidRPr="00610B1B">
        <w:rPr>
          <w:rFonts w:eastAsia="Calibri" w:cs="Times New Roman"/>
          <w:color w:val="000000" w:themeColor="text1"/>
          <w:lang w:eastAsia="en-US" w:bidi="ar-SA"/>
        </w:rPr>
        <w:t>повишава сирнергичния ефект от прилагането им</w:t>
      </w:r>
      <w:r w:rsidRPr="00610B1B">
        <w:rPr>
          <w:rFonts w:eastAsia="Calibri" w:cs="Times New Roman"/>
          <w:color w:val="000000" w:themeColor="text1"/>
          <w:lang w:eastAsia="en-US" w:bidi="ar-SA"/>
        </w:rPr>
        <w:t xml:space="preserve">. В корабостроенето се изграждат нови, по-екологични плавателни съдове, резултат от сътрудничеството между научните институти </w:t>
      </w:r>
      <w:r w:rsidRPr="00610B1B">
        <w:rPr>
          <w:rFonts w:eastAsia="Calibri" w:cs="Times New Roman"/>
          <w:color w:val="000000" w:themeColor="text1"/>
          <w:lang w:eastAsia="en-US" w:bidi="ar-SA"/>
        </w:rPr>
        <w:lastRenderedPageBreak/>
        <w:t xml:space="preserve">и </w:t>
      </w:r>
      <w:r w:rsidR="00A17F38" w:rsidRPr="00610B1B">
        <w:rPr>
          <w:rFonts w:eastAsia="Calibri" w:cs="Times New Roman"/>
          <w:color w:val="000000" w:themeColor="text1"/>
          <w:lang w:eastAsia="en-US" w:bidi="ar-SA"/>
        </w:rPr>
        <w:t>бизнеса</w:t>
      </w:r>
      <w:r w:rsidR="001A625C" w:rsidRPr="00610B1B">
        <w:rPr>
          <w:rFonts w:eastAsia="Calibri" w:cs="Times New Roman"/>
          <w:color w:val="000000" w:themeColor="text1"/>
          <w:lang w:eastAsia="en-US" w:bidi="ar-SA"/>
        </w:rPr>
        <w:t>. Използват се нови, не</w:t>
      </w:r>
      <w:r w:rsidRPr="00610B1B">
        <w:rPr>
          <w:rFonts w:eastAsia="Calibri" w:cs="Times New Roman"/>
          <w:color w:val="000000" w:themeColor="text1"/>
          <w:lang w:eastAsia="en-US" w:bidi="ar-SA"/>
        </w:rPr>
        <w:t>смъртоносни и дистанционни методи за мониторинг на морски</w:t>
      </w:r>
      <w:r w:rsidR="00640742" w:rsidRPr="00610B1B">
        <w:rPr>
          <w:rFonts w:eastAsia="Calibri" w:cs="Times New Roman"/>
          <w:color w:val="000000" w:themeColor="text1"/>
          <w:lang w:eastAsia="en-US" w:bidi="ar-SA"/>
        </w:rPr>
        <w:t>те</w:t>
      </w:r>
      <w:r w:rsidRPr="00610B1B">
        <w:rPr>
          <w:rFonts w:eastAsia="Calibri" w:cs="Times New Roman"/>
          <w:color w:val="000000" w:themeColor="text1"/>
          <w:lang w:eastAsia="en-US" w:bidi="ar-SA"/>
        </w:rPr>
        <w:t xml:space="preserve"> организми. Създаването на мрежа от свързани морски защитени територии позволява синергия между опазването на морската околна среда и на археологическите обекти на морското дъно. Следвайки целите на ЕС до 2030 г. да се съкратят поне 49% от емисиите на парникови газове и да се увеличи дела на възобновяемата енергия поне до 32%, в морските пространства са реализирани научни и пилотни проекти за разработване на по-перспективните възобновяеми енергийни източници, което намалява въглеродния отпечатък от дейността.</w:t>
      </w:r>
    </w:p>
    <w:p w14:paraId="77DF1F74" w14:textId="452FF0AE" w:rsidR="0055674E" w:rsidRPr="00610B1B" w:rsidRDefault="0055674E" w:rsidP="00D32D6A">
      <w:pPr>
        <w:pStyle w:val="BodyText"/>
        <w:spacing w:before="0" w:after="120" w:line="276" w:lineRule="auto"/>
        <w:ind w:right="-153"/>
        <w:rPr>
          <w:rFonts w:eastAsia="Calibri" w:cs="Times New Roman"/>
          <w:color w:val="000000" w:themeColor="text1"/>
          <w:lang w:eastAsia="en-US" w:bidi="ar-SA"/>
        </w:rPr>
      </w:pPr>
      <w:r w:rsidRPr="00610B1B">
        <w:rPr>
          <w:rFonts w:eastAsia="Calibri" w:cs="Times New Roman"/>
          <w:i/>
          <w:iCs/>
          <w:color w:val="000000" w:themeColor="text1"/>
          <w:lang w:eastAsia="en-US" w:bidi="ar-SA"/>
        </w:rPr>
        <w:t>Взаимодействие суша-море</w:t>
      </w:r>
      <w:r w:rsidRPr="00610B1B">
        <w:rPr>
          <w:rFonts w:eastAsia="Calibri" w:cs="Times New Roman"/>
          <w:color w:val="000000" w:themeColor="text1"/>
          <w:lang w:eastAsia="en-US" w:bidi="ar-SA"/>
        </w:rPr>
        <w:t xml:space="preserve"> - </w:t>
      </w:r>
      <w:r w:rsidR="00A17F38" w:rsidRPr="00610B1B">
        <w:rPr>
          <w:rFonts w:eastAsia="Calibri" w:cs="Times New Roman"/>
          <w:color w:val="000000" w:themeColor="text1"/>
          <w:lang w:eastAsia="en-US" w:bidi="ar-SA"/>
        </w:rPr>
        <w:t xml:space="preserve">Изграждането </w:t>
      </w:r>
      <w:r w:rsidRPr="00610B1B">
        <w:rPr>
          <w:rFonts w:eastAsia="Calibri" w:cs="Times New Roman"/>
          <w:color w:val="000000" w:themeColor="text1"/>
          <w:lang w:eastAsia="en-US" w:bidi="ar-SA"/>
        </w:rPr>
        <w:t>и модернизацията на пречиствателни станции за отпадъчни води намалява замърсяването от населените места и промишлеността. Дълбоководно заустване не е необходимо, поради достатъчна степен на пречистване на отпадъчните води. Развитието на екологично земеделие в прилежащите територии намалява антропогенната еутрофикацията и замърсяването на крайбрежните води с пестициди. Премахват се препятствията по теченията на реките, с което се осигурява непрекъснатост на речните течения, миграция на преходните и сладководни видове риби и приток на наноси за плажните пясъчни ивици с теригенно подхранване.</w:t>
      </w:r>
    </w:p>
    <w:p w14:paraId="45C693F6" w14:textId="15B78501" w:rsidR="0055674E" w:rsidRPr="00610B1B" w:rsidRDefault="0055674E" w:rsidP="00D32D6A">
      <w:pPr>
        <w:pStyle w:val="BodyText"/>
        <w:spacing w:before="0" w:after="120" w:line="276" w:lineRule="auto"/>
        <w:ind w:right="-153"/>
        <w:rPr>
          <w:rFonts w:eastAsia="Calibri" w:cs="Times New Roman"/>
          <w:color w:val="000000" w:themeColor="text1"/>
          <w:lang w:eastAsia="en-US" w:bidi="ar-SA"/>
        </w:rPr>
      </w:pPr>
      <w:r w:rsidRPr="00610B1B">
        <w:rPr>
          <w:rFonts w:eastAsia="Calibri" w:cs="Times New Roman"/>
          <w:i/>
          <w:iCs/>
          <w:color w:val="000000" w:themeColor="text1"/>
          <w:lang w:eastAsia="en-US" w:bidi="ar-SA"/>
        </w:rPr>
        <w:t>Взаимодействие море-суша</w:t>
      </w:r>
      <w:r w:rsidRPr="00610B1B">
        <w:rPr>
          <w:rFonts w:eastAsia="Calibri" w:cs="Times New Roman"/>
          <w:color w:val="000000" w:themeColor="text1"/>
          <w:lang w:eastAsia="en-US" w:bidi="ar-SA"/>
        </w:rPr>
        <w:t xml:space="preserve"> – Доброто състояние на морската среда води до повишаване на приходите от морския риболов и аквакултури. Възстановяването на морските екосистемни услуги допринася за развитието на крайбрежния и морски туризъм. Птиците, хранещи се с морска риба, връщат на сушата част от фосфора отмит в морето в резултат от водната и ветрова ерозия. Повишава се биологичната продуктивност на сухоземните екосистеми и влажните зони</w:t>
      </w:r>
      <w:r w:rsidR="00B82500" w:rsidRPr="00610B1B">
        <w:rPr>
          <w:rFonts w:eastAsia="Calibri" w:cs="Times New Roman"/>
          <w:color w:val="000000" w:themeColor="text1"/>
          <w:lang w:eastAsia="en-US" w:bidi="ar-SA"/>
        </w:rPr>
        <w:t>, които са естествени складове на</w:t>
      </w:r>
      <w:r w:rsidRPr="00610B1B">
        <w:rPr>
          <w:rFonts w:eastAsia="Calibri" w:cs="Times New Roman"/>
          <w:color w:val="000000" w:themeColor="text1"/>
          <w:lang w:eastAsia="en-US" w:bidi="ar-SA"/>
        </w:rPr>
        <w:t xml:space="preserve"> атмосферен въглерод.</w:t>
      </w:r>
    </w:p>
    <w:p w14:paraId="6E2710B7" w14:textId="77777777" w:rsidR="0055674E" w:rsidRPr="00610B1B" w:rsidRDefault="0055674E" w:rsidP="00D32D6A">
      <w:pPr>
        <w:spacing w:after="120"/>
        <w:ind w:right="-153"/>
        <w:rPr>
          <w:rFonts w:ascii="Times New Roman" w:hAnsi="Times New Roman" w:cs="Times New Roman"/>
          <w:sz w:val="24"/>
          <w:szCs w:val="24"/>
          <w:lang w:val="bg-BG"/>
        </w:rPr>
      </w:pPr>
    </w:p>
    <w:p w14:paraId="7B5F5E76" w14:textId="414F3799" w:rsidR="00442579" w:rsidRPr="00610B1B" w:rsidRDefault="007F718F" w:rsidP="00D32D6A">
      <w:pPr>
        <w:pStyle w:val="Heading3"/>
        <w:spacing w:before="0" w:line="276" w:lineRule="auto"/>
        <w:ind w:right="-153"/>
        <w:rPr>
          <w:rFonts w:cs="Times New Roman"/>
        </w:rPr>
      </w:pPr>
      <w:bookmarkStart w:id="444" w:name="_Toc83391423"/>
      <w:bookmarkStart w:id="445" w:name="_Hlk46058792"/>
      <w:r w:rsidRPr="00610B1B">
        <w:rPr>
          <w:rFonts w:cs="Times New Roman"/>
        </w:rPr>
        <w:t>4.</w:t>
      </w:r>
      <w:r w:rsidR="009278D0" w:rsidRPr="00610B1B">
        <w:rPr>
          <w:rFonts w:cs="Times New Roman"/>
        </w:rPr>
        <w:t>3</w:t>
      </w:r>
      <w:r w:rsidRPr="00610B1B">
        <w:rPr>
          <w:rFonts w:cs="Times New Roman"/>
        </w:rPr>
        <w:t xml:space="preserve">.5. Избор </w:t>
      </w:r>
      <w:r w:rsidR="00442579" w:rsidRPr="00610B1B">
        <w:rPr>
          <w:rFonts w:cs="Times New Roman"/>
        </w:rPr>
        <w:t>на оптимален сценарий</w:t>
      </w:r>
      <w:bookmarkEnd w:id="444"/>
    </w:p>
    <w:p w14:paraId="1FFEDF27" w14:textId="4CCEE8B7" w:rsidR="005C4C99" w:rsidRPr="00610B1B" w:rsidRDefault="002F1FCE"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Предложените четири сценария отразяват основните цели на морския пространствен план – икономика, опазване на морската околна среда и социално сближаване. Изборът </w:t>
      </w:r>
      <w:r w:rsidR="00A17F38" w:rsidRPr="00610B1B">
        <w:rPr>
          <w:rFonts w:ascii="Times New Roman" w:eastAsia="Calibri" w:hAnsi="Times New Roman" w:cs="Times New Roman"/>
          <w:bCs/>
          <w:color w:val="000000" w:themeColor="text1"/>
          <w:sz w:val="24"/>
          <w:szCs w:val="24"/>
          <w:lang w:val="bg-BG"/>
        </w:rPr>
        <w:t>на оптимален сценарий</w:t>
      </w:r>
      <w:r w:rsidRPr="00610B1B">
        <w:rPr>
          <w:rFonts w:ascii="Times New Roman" w:eastAsia="Calibri" w:hAnsi="Times New Roman" w:cs="Times New Roman"/>
          <w:bCs/>
          <w:color w:val="000000" w:themeColor="text1"/>
          <w:sz w:val="24"/>
          <w:szCs w:val="24"/>
          <w:lang w:val="bg-BG"/>
        </w:rPr>
        <w:t xml:space="preserve"> </w:t>
      </w:r>
      <w:r w:rsidR="00442579" w:rsidRPr="00610B1B">
        <w:rPr>
          <w:rFonts w:ascii="Times New Roman" w:eastAsia="Calibri" w:hAnsi="Times New Roman" w:cs="Times New Roman"/>
          <w:bCs/>
          <w:color w:val="000000" w:themeColor="text1"/>
          <w:sz w:val="24"/>
          <w:szCs w:val="24"/>
          <w:lang w:val="bg-BG"/>
        </w:rPr>
        <w:t xml:space="preserve">се </w:t>
      </w:r>
      <w:r w:rsidRPr="00610B1B">
        <w:rPr>
          <w:rFonts w:ascii="Times New Roman" w:eastAsia="Calibri" w:hAnsi="Times New Roman" w:cs="Times New Roman"/>
          <w:bCs/>
          <w:color w:val="000000" w:themeColor="text1"/>
          <w:sz w:val="24"/>
          <w:szCs w:val="24"/>
          <w:lang w:val="bg-BG"/>
        </w:rPr>
        <w:t>подпомага от анализа и предварителната оценка на предполагаемите въздействия върху морската околна среда, биоразнообразието</w:t>
      </w:r>
      <w:r w:rsidRPr="00610B1B">
        <w:rPr>
          <w:rFonts w:ascii="Times New Roman" w:hAnsi="Times New Roman" w:cs="Times New Roman"/>
          <w:color w:val="000000" w:themeColor="text1"/>
          <w:lang w:val="bg-BG"/>
        </w:rPr>
        <w:t xml:space="preserve"> </w:t>
      </w:r>
      <w:r w:rsidRPr="00610B1B">
        <w:rPr>
          <w:rFonts w:ascii="Times New Roman" w:eastAsia="Calibri" w:hAnsi="Times New Roman" w:cs="Times New Roman"/>
          <w:bCs/>
          <w:color w:val="000000" w:themeColor="text1"/>
          <w:sz w:val="24"/>
          <w:szCs w:val="24"/>
          <w:lang w:val="bg-BG"/>
        </w:rPr>
        <w:t>и поставените под защита екоси</w:t>
      </w:r>
      <w:r w:rsidR="00B82500" w:rsidRPr="00610B1B">
        <w:rPr>
          <w:rFonts w:ascii="Times New Roman" w:eastAsia="Calibri" w:hAnsi="Times New Roman" w:cs="Times New Roman"/>
          <w:bCs/>
          <w:color w:val="000000" w:themeColor="text1"/>
          <w:sz w:val="24"/>
          <w:szCs w:val="24"/>
          <w:lang w:val="bg-BG"/>
        </w:rPr>
        <w:t>стеми, икономиката и условията з</w:t>
      </w:r>
      <w:r w:rsidRPr="00610B1B">
        <w:rPr>
          <w:rFonts w:ascii="Times New Roman" w:eastAsia="Calibri" w:hAnsi="Times New Roman" w:cs="Times New Roman"/>
          <w:bCs/>
          <w:color w:val="000000" w:themeColor="text1"/>
          <w:sz w:val="24"/>
          <w:szCs w:val="24"/>
          <w:lang w:val="bg-BG"/>
        </w:rPr>
        <w:t xml:space="preserve">а живот на местните общности. </w:t>
      </w:r>
      <w:r w:rsidR="00D30E1E" w:rsidRPr="00610B1B">
        <w:rPr>
          <w:rFonts w:ascii="Times New Roman" w:eastAsia="Calibri" w:hAnsi="Times New Roman" w:cs="Times New Roman"/>
          <w:bCs/>
          <w:color w:val="000000" w:themeColor="text1"/>
          <w:sz w:val="24"/>
          <w:szCs w:val="24"/>
          <w:lang w:val="bg-BG"/>
        </w:rPr>
        <w:t>В подкрепа на избора на най-подходящ сценарий и като инструмент за оценка на състоянието на средата по ключови елементи са използвани и възможностите за анализ на създадената за целите на плана Географска информационна система.</w:t>
      </w:r>
    </w:p>
    <w:p w14:paraId="60C7AD9F" w14:textId="491D4D0D" w:rsidR="005C4C99" w:rsidRPr="00610B1B" w:rsidRDefault="005C4C99" w:rsidP="00D32D6A">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Разработен е модел, чрез използване на GRID технология с клетки с размер 1 km х 1 km. Всички важни и основни данни за </w:t>
      </w:r>
      <w:r w:rsidR="00D30E1E" w:rsidRPr="00610B1B">
        <w:rPr>
          <w:rFonts w:ascii="Times New Roman" w:eastAsia="Calibri" w:hAnsi="Times New Roman" w:cs="Times New Roman"/>
          <w:bCs/>
          <w:color w:val="000000" w:themeColor="text1"/>
          <w:sz w:val="24"/>
          <w:szCs w:val="24"/>
          <w:lang w:val="bg-BG"/>
        </w:rPr>
        <w:t xml:space="preserve">акваторията и </w:t>
      </w:r>
      <w:r w:rsidRPr="00610B1B">
        <w:rPr>
          <w:rFonts w:ascii="Times New Roman" w:eastAsia="Calibri" w:hAnsi="Times New Roman" w:cs="Times New Roman"/>
          <w:bCs/>
          <w:color w:val="000000" w:themeColor="text1"/>
          <w:sz w:val="24"/>
          <w:szCs w:val="24"/>
          <w:lang w:val="bg-BG"/>
        </w:rPr>
        <w:t xml:space="preserve">територията, независимо от първоначалното им пространствено представяне (полигони, линии, точки, статистически данни, свързани с обект), са модифицирани и унифицирани под формата на грид представяне и данни. Тази технология е успешен инструмент за анализ на съществуващо състояние като дадености, възможности, проблеми и заплахи. Тя дава възможност и за оценка на потенциалните екологични, икономически и социални въздействия на всеки един от предложените сценарии върху развитието на отделните сектори в националните морски пространства. Използвани са и експертни мнения за степента на положително или </w:t>
      </w:r>
      <w:r w:rsidRPr="00610B1B">
        <w:rPr>
          <w:rFonts w:ascii="Times New Roman" w:eastAsia="Calibri" w:hAnsi="Times New Roman" w:cs="Times New Roman"/>
          <w:bCs/>
          <w:color w:val="000000" w:themeColor="text1"/>
          <w:sz w:val="24"/>
          <w:szCs w:val="24"/>
          <w:lang w:val="bg-BG"/>
        </w:rPr>
        <w:lastRenderedPageBreak/>
        <w:t>негативно влияние на всеки от компонентите/факторите. Оценяват се всички възможни дейности, осъществявани в морските пространства по всеки един сценарий, ранжират по важност.</w:t>
      </w:r>
    </w:p>
    <w:p w14:paraId="50720DAD" w14:textId="0E1C31D6" w:rsidR="00CF5B6B" w:rsidRPr="00610B1B" w:rsidRDefault="00CF5B6B" w:rsidP="00CF5B6B">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Резултатите от разработените модели се визуализират графично </w:t>
      </w:r>
      <w:r w:rsidR="00D30E1E" w:rsidRPr="00610B1B">
        <w:rPr>
          <w:rFonts w:ascii="Times New Roman" w:eastAsia="Calibri" w:hAnsi="Times New Roman" w:cs="Times New Roman"/>
          <w:bCs/>
          <w:color w:val="000000" w:themeColor="text1"/>
          <w:sz w:val="24"/>
          <w:szCs w:val="24"/>
          <w:lang w:val="bg-BG"/>
        </w:rPr>
        <w:t xml:space="preserve">в тематични карти </w:t>
      </w:r>
      <w:r w:rsidRPr="00610B1B">
        <w:rPr>
          <w:rFonts w:ascii="Times New Roman" w:eastAsia="Calibri" w:hAnsi="Times New Roman" w:cs="Times New Roman"/>
          <w:bCs/>
          <w:color w:val="000000" w:themeColor="text1"/>
          <w:sz w:val="24"/>
          <w:szCs w:val="24"/>
          <w:lang w:val="bg-BG"/>
        </w:rPr>
        <w:t xml:space="preserve">и подпомагат определянето на конфликтните зони и зоните, подложени на най-голям натиск, както и други видове зони. </w:t>
      </w:r>
    </w:p>
    <w:p w14:paraId="42837C77" w14:textId="77777777" w:rsidR="00CF5B6B" w:rsidRPr="00610B1B" w:rsidRDefault="00CF5B6B" w:rsidP="00CF5B6B">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 xml:space="preserve">В оценката и избора на оптимален сценарий са привлечени представители на всички заинтересовани страни. Най-висока експертна оценка получава сценарий D, поради възможността за интегриране на национални, регионални и европейски ценности, приоритети и регламенти. </w:t>
      </w:r>
    </w:p>
    <w:p w14:paraId="494ABA2C" w14:textId="41CC1498" w:rsidR="00CF5B6B" w:rsidRPr="00610B1B" w:rsidRDefault="00CF5B6B" w:rsidP="00CF5B6B">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Разработеният модел на настоящия етап е използван основно за подпомагане на екипа по разработването на МППРБ за вземането на решения по определяне на приоритети</w:t>
      </w:r>
      <w:r w:rsidR="00D30E1E" w:rsidRPr="00610B1B">
        <w:rPr>
          <w:rFonts w:ascii="Times New Roman" w:eastAsia="Calibri" w:hAnsi="Times New Roman" w:cs="Times New Roman"/>
          <w:bCs/>
          <w:color w:val="000000" w:themeColor="text1"/>
          <w:sz w:val="24"/>
          <w:szCs w:val="24"/>
          <w:lang w:val="bg-BG"/>
        </w:rPr>
        <w:t xml:space="preserve"> и</w:t>
      </w:r>
      <w:r w:rsidRPr="00610B1B">
        <w:rPr>
          <w:rFonts w:ascii="Times New Roman" w:eastAsia="Calibri" w:hAnsi="Times New Roman" w:cs="Times New Roman"/>
          <w:bCs/>
          <w:color w:val="000000" w:themeColor="text1"/>
          <w:sz w:val="24"/>
          <w:szCs w:val="24"/>
          <w:lang w:val="bg-BG"/>
        </w:rPr>
        <w:t xml:space="preserve"> специфични зони. Бъдещото му по-широко прилагане е възможно след обсъждане и прецизиране.</w:t>
      </w:r>
    </w:p>
    <w:p w14:paraId="582F53E5" w14:textId="52D4F4C3" w:rsidR="00CF5B6B" w:rsidRPr="00610B1B" w:rsidRDefault="00CF5B6B" w:rsidP="00CF5B6B">
      <w:pPr>
        <w:spacing w:after="120"/>
        <w:ind w:right="-153"/>
        <w:jc w:val="both"/>
        <w:rPr>
          <w:rFonts w:ascii="Times New Roman" w:eastAsia="Calibri" w:hAnsi="Times New Roman" w:cs="Times New Roman"/>
          <w:bCs/>
          <w:color w:val="000000" w:themeColor="text1"/>
          <w:sz w:val="24"/>
          <w:szCs w:val="24"/>
          <w:lang w:val="bg-BG"/>
        </w:rPr>
      </w:pPr>
      <w:r w:rsidRPr="00610B1B">
        <w:rPr>
          <w:rFonts w:ascii="Times New Roman" w:eastAsia="Calibri" w:hAnsi="Times New Roman" w:cs="Times New Roman"/>
          <w:bCs/>
          <w:color w:val="000000" w:themeColor="text1"/>
          <w:sz w:val="24"/>
          <w:szCs w:val="24"/>
          <w:lang w:val="bg-BG"/>
        </w:rPr>
        <w:t>В следващата таблица са посочени примерни индикатори за оценка на въздействието на избран/конкретен сценарий – по видове дейности и съобразно с възможност за осигуряване на данни за проследяване на ефекта от прилагането му.</w:t>
      </w:r>
    </w:p>
    <w:p w14:paraId="07AEFE80" w14:textId="08310CE1" w:rsidR="001912E5" w:rsidRPr="00610B1B" w:rsidRDefault="00C519AD" w:rsidP="009463FB">
      <w:pPr>
        <w:spacing w:after="120" w:line="240" w:lineRule="auto"/>
        <w:ind w:right="-153"/>
        <w:jc w:val="both"/>
        <w:rPr>
          <w:rFonts w:ascii="Times New Roman" w:eastAsia="Calibri" w:hAnsi="Times New Roman" w:cs="Times New Roman"/>
          <w:bCs/>
          <w:color w:val="000000" w:themeColor="text1"/>
          <w:sz w:val="24"/>
          <w:szCs w:val="24"/>
          <w:lang w:val="bg-BG"/>
        </w:rPr>
      </w:pPr>
      <w:bookmarkStart w:id="446" w:name="_Toc83391611"/>
      <w:r w:rsidRPr="00610B1B">
        <w:rPr>
          <w:rFonts w:ascii="Times New Roman" w:hAnsi="Times New Roman" w:cs="Times New Roman"/>
          <w:sz w:val="24"/>
          <w:szCs w:val="24"/>
          <w:lang w:val="bg-BG"/>
        </w:rPr>
        <w:t xml:space="preserve">Таблица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Таблица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15</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1912E5" w:rsidRPr="00610B1B">
        <w:rPr>
          <w:rFonts w:ascii="Times New Roman" w:eastAsia="Calibri" w:hAnsi="Times New Roman" w:cs="Times New Roman"/>
          <w:bCs/>
          <w:color w:val="000000" w:themeColor="text1"/>
          <w:sz w:val="24"/>
          <w:szCs w:val="24"/>
          <w:lang w:val="bg-BG"/>
        </w:rPr>
        <w:t>Индикатори за оценка на въздействието на сценариите върху осъществяваните дейности в морските пространства</w:t>
      </w:r>
      <w:bookmarkEnd w:id="446"/>
      <w:r w:rsidR="001912E5" w:rsidRPr="00610B1B">
        <w:rPr>
          <w:rFonts w:ascii="Times New Roman" w:eastAsia="Calibri" w:hAnsi="Times New Roman" w:cs="Times New Roman"/>
          <w:bCs/>
          <w:color w:val="000000" w:themeColor="text1"/>
          <w:sz w:val="24"/>
          <w:szCs w:val="24"/>
          <w:lang w:val="bg-BG"/>
        </w:rPr>
        <w:t xml:space="preserve"> </w:t>
      </w:r>
    </w:p>
    <w:tbl>
      <w:tblPr>
        <w:tblW w:w="9684" w:type="dxa"/>
        <w:tblInd w:w="96" w:type="dxa"/>
        <w:tblBorders>
          <w:top w:val="single" w:sz="4" w:space="0" w:color="auto"/>
          <w:bottom w:val="single" w:sz="4" w:space="0" w:color="auto"/>
          <w:insideH w:val="single" w:sz="4" w:space="0" w:color="auto"/>
        </w:tblBorders>
        <w:tblLayout w:type="fixed"/>
        <w:tblCellMar>
          <w:top w:w="55" w:type="dxa"/>
          <w:left w:w="54" w:type="dxa"/>
          <w:bottom w:w="55" w:type="dxa"/>
          <w:right w:w="55" w:type="dxa"/>
        </w:tblCellMar>
        <w:tblLook w:val="0000" w:firstRow="0" w:lastRow="0" w:firstColumn="0" w:lastColumn="0" w:noHBand="0" w:noVBand="0"/>
      </w:tblPr>
      <w:tblGrid>
        <w:gridCol w:w="2172"/>
        <w:gridCol w:w="2391"/>
        <w:gridCol w:w="1684"/>
        <w:gridCol w:w="3437"/>
      </w:tblGrid>
      <w:tr w:rsidR="00442579" w:rsidRPr="00610B1B" w14:paraId="4564F520" w14:textId="77777777" w:rsidTr="005F0F25">
        <w:trPr>
          <w:tblHeader/>
        </w:trPr>
        <w:tc>
          <w:tcPr>
            <w:tcW w:w="2172" w:type="dxa"/>
            <w:shd w:val="clear" w:color="auto" w:fill="C6D9F1" w:themeFill="text2" w:themeFillTint="33"/>
            <w:tcMar>
              <w:left w:w="54" w:type="dxa"/>
            </w:tcMar>
            <w:vAlign w:val="center"/>
          </w:tcPr>
          <w:p w14:paraId="692B7FAB" w14:textId="77777777" w:rsidR="00442579" w:rsidRPr="00610B1B" w:rsidRDefault="00442579" w:rsidP="00D32D6A">
            <w:pPr>
              <w:widowControl w:val="0"/>
              <w:spacing w:after="0" w:line="240" w:lineRule="auto"/>
              <w:jc w:val="center"/>
              <w:rPr>
                <w:rFonts w:ascii="Times New Roman" w:eastAsia="Source Han Sans CN Regular" w:hAnsi="Times New Roman" w:cs="Times New Roman"/>
                <w:b/>
                <w:bCs/>
                <w:color w:val="000000" w:themeColor="text1"/>
                <w:sz w:val="20"/>
                <w:szCs w:val="20"/>
                <w:lang w:val="bg-BG" w:eastAsia="zh-CN" w:bidi="hi-IN"/>
              </w:rPr>
            </w:pPr>
            <w:r w:rsidRPr="00610B1B">
              <w:rPr>
                <w:rFonts w:ascii="Times New Roman" w:eastAsia="Source Han Sans CN Regular" w:hAnsi="Times New Roman" w:cs="Times New Roman"/>
                <w:b/>
                <w:bCs/>
                <w:color w:val="000000" w:themeColor="text1"/>
                <w:sz w:val="20"/>
                <w:szCs w:val="20"/>
                <w:lang w:val="bg-BG" w:eastAsia="zh-CN" w:bidi="hi-IN"/>
              </w:rPr>
              <w:t>Вид дейност/ползване на морското пространство</w:t>
            </w:r>
          </w:p>
        </w:tc>
        <w:tc>
          <w:tcPr>
            <w:tcW w:w="2391" w:type="dxa"/>
            <w:shd w:val="clear" w:color="auto" w:fill="C6D9F1" w:themeFill="text2" w:themeFillTint="33"/>
            <w:tcMar>
              <w:left w:w="54" w:type="dxa"/>
            </w:tcMar>
            <w:vAlign w:val="center"/>
          </w:tcPr>
          <w:p w14:paraId="44CDA02F" w14:textId="77777777" w:rsidR="00442579" w:rsidRPr="00610B1B" w:rsidRDefault="00442579" w:rsidP="00D32D6A">
            <w:pPr>
              <w:widowControl w:val="0"/>
              <w:spacing w:after="0" w:line="240" w:lineRule="auto"/>
              <w:jc w:val="center"/>
              <w:rPr>
                <w:rFonts w:ascii="Times New Roman" w:eastAsia="Source Han Sans CN Regular" w:hAnsi="Times New Roman" w:cs="Times New Roman"/>
                <w:b/>
                <w:bCs/>
                <w:color w:val="000000" w:themeColor="text1"/>
                <w:sz w:val="20"/>
                <w:szCs w:val="20"/>
                <w:lang w:val="bg-BG" w:eastAsia="zh-CN" w:bidi="hi-IN"/>
              </w:rPr>
            </w:pPr>
            <w:r w:rsidRPr="00610B1B">
              <w:rPr>
                <w:rFonts w:ascii="Times New Roman" w:eastAsia="Source Han Sans CN Regular" w:hAnsi="Times New Roman" w:cs="Times New Roman"/>
                <w:b/>
                <w:bCs/>
                <w:color w:val="000000" w:themeColor="text1"/>
                <w:sz w:val="20"/>
                <w:szCs w:val="20"/>
                <w:lang w:val="bg-BG" w:eastAsia="zh-CN" w:bidi="hi-IN"/>
              </w:rPr>
              <w:t>Индикатор</w:t>
            </w:r>
          </w:p>
        </w:tc>
        <w:tc>
          <w:tcPr>
            <w:tcW w:w="1684" w:type="dxa"/>
            <w:shd w:val="clear" w:color="auto" w:fill="C6D9F1" w:themeFill="text2" w:themeFillTint="33"/>
            <w:tcMar>
              <w:left w:w="54" w:type="dxa"/>
            </w:tcMar>
            <w:vAlign w:val="center"/>
          </w:tcPr>
          <w:p w14:paraId="1F86F57B" w14:textId="77777777" w:rsidR="00442579" w:rsidRPr="00610B1B" w:rsidRDefault="00442579" w:rsidP="00D32D6A">
            <w:pPr>
              <w:widowControl w:val="0"/>
              <w:spacing w:after="0" w:line="240" w:lineRule="auto"/>
              <w:jc w:val="center"/>
              <w:rPr>
                <w:rFonts w:ascii="Times New Roman" w:eastAsia="Source Han Sans CN Regular" w:hAnsi="Times New Roman" w:cs="Times New Roman"/>
                <w:b/>
                <w:bCs/>
                <w:color w:val="000000" w:themeColor="text1"/>
                <w:sz w:val="20"/>
                <w:szCs w:val="20"/>
                <w:lang w:val="bg-BG" w:eastAsia="zh-CN" w:bidi="hi-IN"/>
              </w:rPr>
            </w:pPr>
            <w:r w:rsidRPr="00610B1B">
              <w:rPr>
                <w:rFonts w:ascii="Times New Roman" w:eastAsia="Source Han Sans CN Regular" w:hAnsi="Times New Roman" w:cs="Times New Roman"/>
                <w:b/>
                <w:bCs/>
                <w:color w:val="000000" w:themeColor="text1"/>
                <w:sz w:val="20"/>
                <w:szCs w:val="20"/>
                <w:lang w:val="bg-BG" w:eastAsia="zh-CN" w:bidi="hi-IN"/>
              </w:rPr>
              <w:t>Мерна единица</w:t>
            </w:r>
          </w:p>
        </w:tc>
        <w:tc>
          <w:tcPr>
            <w:tcW w:w="3437" w:type="dxa"/>
            <w:shd w:val="clear" w:color="auto" w:fill="C6D9F1" w:themeFill="text2" w:themeFillTint="33"/>
            <w:tcMar>
              <w:left w:w="54" w:type="dxa"/>
            </w:tcMar>
            <w:vAlign w:val="center"/>
          </w:tcPr>
          <w:p w14:paraId="17843153" w14:textId="77777777" w:rsidR="00442579" w:rsidRPr="00610B1B" w:rsidRDefault="00442579" w:rsidP="00D32D6A">
            <w:pPr>
              <w:widowControl w:val="0"/>
              <w:spacing w:after="0" w:line="240" w:lineRule="auto"/>
              <w:jc w:val="center"/>
              <w:rPr>
                <w:rFonts w:ascii="Times New Roman" w:eastAsia="Source Han Sans CN Regular" w:hAnsi="Times New Roman" w:cs="Times New Roman"/>
                <w:b/>
                <w:bCs/>
                <w:color w:val="000000" w:themeColor="text1"/>
                <w:sz w:val="20"/>
                <w:szCs w:val="20"/>
                <w:lang w:val="bg-BG" w:eastAsia="zh-CN" w:bidi="hi-IN"/>
              </w:rPr>
            </w:pPr>
            <w:r w:rsidRPr="00610B1B">
              <w:rPr>
                <w:rFonts w:ascii="Times New Roman" w:eastAsia="Source Han Sans CN Regular" w:hAnsi="Times New Roman" w:cs="Times New Roman"/>
                <w:b/>
                <w:bCs/>
                <w:color w:val="000000" w:themeColor="text1"/>
                <w:sz w:val="20"/>
                <w:szCs w:val="20"/>
                <w:lang w:val="bg-BG" w:eastAsia="zh-CN" w:bidi="hi-IN"/>
              </w:rPr>
              <w:t>Налична информация</w:t>
            </w:r>
          </w:p>
        </w:tc>
      </w:tr>
      <w:tr w:rsidR="00442579" w:rsidRPr="00610B1B" w14:paraId="160EF839" w14:textId="77777777" w:rsidTr="00173C7E">
        <w:tc>
          <w:tcPr>
            <w:tcW w:w="2172" w:type="dxa"/>
            <w:shd w:val="clear" w:color="auto" w:fill="auto"/>
            <w:tcMar>
              <w:left w:w="54" w:type="dxa"/>
            </w:tcMar>
            <w:vAlign w:val="center"/>
          </w:tcPr>
          <w:p w14:paraId="4D1C9A66" w14:textId="2C1FB572" w:rsidR="00442579" w:rsidRPr="00610B1B" w:rsidRDefault="00DD6CD4" w:rsidP="00173C7E">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Стопански морски риболов</w:t>
            </w:r>
          </w:p>
        </w:tc>
        <w:tc>
          <w:tcPr>
            <w:tcW w:w="2391" w:type="dxa"/>
            <w:shd w:val="clear" w:color="auto" w:fill="auto"/>
            <w:tcMar>
              <w:left w:w="54" w:type="dxa"/>
            </w:tcMar>
          </w:tcPr>
          <w:p w14:paraId="5D5C29B9"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Плътност на корабния трафик (риболов)</w:t>
            </w:r>
          </w:p>
          <w:p w14:paraId="33B982E9"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 xml:space="preserve">Заети лица </w:t>
            </w:r>
          </w:p>
        </w:tc>
        <w:tc>
          <w:tcPr>
            <w:tcW w:w="1684" w:type="dxa"/>
            <w:shd w:val="clear" w:color="auto" w:fill="auto"/>
            <w:tcMar>
              <w:left w:w="54" w:type="dxa"/>
            </w:tcMar>
          </w:tcPr>
          <w:p w14:paraId="6EE00347"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часове/km</w:t>
            </w:r>
            <w:r w:rsidRPr="00610B1B">
              <w:rPr>
                <w:rFonts w:ascii="Times New Roman" w:eastAsia="Source Han Sans CN Regular" w:hAnsi="Times New Roman" w:cs="Times New Roman"/>
                <w:color w:val="000000" w:themeColor="text1"/>
                <w:sz w:val="20"/>
                <w:szCs w:val="20"/>
                <w:vertAlign w:val="superscript"/>
                <w:lang w:val="bg-BG" w:eastAsia="zh-CN" w:bidi="hi-IN"/>
              </w:rPr>
              <w:t>2</w:t>
            </w:r>
            <w:r w:rsidRPr="00610B1B">
              <w:rPr>
                <w:rFonts w:ascii="Times New Roman" w:eastAsia="Source Han Sans CN Regular" w:hAnsi="Times New Roman" w:cs="Times New Roman"/>
                <w:color w:val="000000" w:themeColor="text1"/>
                <w:sz w:val="20"/>
                <w:szCs w:val="20"/>
                <w:lang w:val="bg-BG" w:eastAsia="zh-CN" w:bidi="hi-IN"/>
              </w:rPr>
              <w:t>.година</w:t>
            </w:r>
          </w:p>
          <w:p w14:paraId="22EAA472"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p>
          <w:p w14:paraId="1EB36163"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брой</w:t>
            </w:r>
          </w:p>
        </w:tc>
        <w:tc>
          <w:tcPr>
            <w:tcW w:w="3437" w:type="dxa"/>
            <w:shd w:val="clear" w:color="auto" w:fill="auto"/>
            <w:tcMar>
              <w:left w:w="54" w:type="dxa"/>
            </w:tcMar>
          </w:tcPr>
          <w:p w14:paraId="62ABE0BD"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 xml:space="preserve">EMODnet Human Activities: Vessel </w:t>
            </w:r>
          </w:p>
          <w:p w14:paraId="4874ABA8"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Density Map (Fishing)</w:t>
            </w:r>
          </w:p>
          <w:p w14:paraId="76D9A154" w14:textId="2C83C18F" w:rsidR="001912E5" w:rsidRPr="00610B1B" w:rsidRDefault="001912E5"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НСИ, БСК</w:t>
            </w:r>
          </w:p>
        </w:tc>
      </w:tr>
      <w:tr w:rsidR="00442579" w:rsidRPr="00610B1B" w14:paraId="28039AE0" w14:textId="77777777" w:rsidTr="00173C7E">
        <w:tc>
          <w:tcPr>
            <w:tcW w:w="2172" w:type="dxa"/>
            <w:shd w:val="clear" w:color="auto" w:fill="auto"/>
            <w:tcMar>
              <w:left w:w="54" w:type="dxa"/>
            </w:tcMar>
            <w:vAlign w:val="center"/>
          </w:tcPr>
          <w:p w14:paraId="57555AFA" w14:textId="77777777" w:rsidR="00442579" w:rsidRPr="00610B1B" w:rsidRDefault="00442579" w:rsidP="00173C7E">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Морски аквакултури</w:t>
            </w:r>
          </w:p>
        </w:tc>
        <w:tc>
          <w:tcPr>
            <w:tcW w:w="2391" w:type="dxa"/>
            <w:shd w:val="clear" w:color="auto" w:fill="auto"/>
            <w:tcMar>
              <w:left w:w="54" w:type="dxa"/>
            </w:tcMar>
          </w:tcPr>
          <w:p w14:paraId="00901279"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Мидени ферми</w:t>
            </w:r>
          </w:p>
          <w:p w14:paraId="322163C8"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Заети лица</w:t>
            </w:r>
          </w:p>
        </w:tc>
        <w:tc>
          <w:tcPr>
            <w:tcW w:w="1684" w:type="dxa"/>
            <w:shd w:val="clear" w:color="auto" w:fill="auto"/>
            <w:tcMar>
              <w:left w:w="54" w:type="dxa"/>
            </w:tcMar>
          </w:tcPr>
          <w:p w14:paraId="45FDAF7F"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брой</w:t>
            </w:r>
          </w:p>
          <w:p w14:paraId="30427730"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брой</w:t>
            </w:r>
          </w:p>
        </w:tc>
        <w:tc>
          <w:tcPr>
            <w:tcW w:w="3437" w:type="dxa"/>
            <w:shd w:val="clear" w:color="auto" w:fill="auto"/>
            <w:tcMar>
              <w:left w:w="54" w:type="dxa"/>
            </w:tcMar>
          </w:tcPr>
          <w:p w14:paraId="3A3B799D" w14:textId="5CC7BE25"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Ползване на воден обект за други цели в Черно море (</w:t>
            </w:r>
            <w:hyperlink r:id="rId55" w:history="1">
              <w:r w:rsidR="00173C7E" w:rsidRPr="00610B1B">
                <w:rPr>
                  <w:rStyle w:val="Hyperlink"/>
                  <w:rFonts w:ascii="Times New Roman" w:eastAsia="Source Han Sans CN Regular" w:hAnsi="Times New Roman" w:cs="Times New Roman"/>
                  <w:sz w:val="20"/>
                  <w:szCs w:val="20"/>
                  <w:lang w:val="bg-BG" w:eastAsia="zh-CN" w:bidi="hi-IN"/>
                </w:rPr>
                <w:t>https://www.bsbd.org/registri/r/pvo_za_drugi_celi_black_sea.xlsx</w:t>
              </w:r>
            </w:hyperlink>
            <w:r w:rsidRPr="00610B1B">
              <w:rPr>
                <w:rFonts w:ascii="Times New Roman" w:eastAsia="Source Han Sans CN Regular" w:hAnsi="Times New Roman" w:cs="Times New Roman"/>
                <w:color w:val="000000" w:themeColor="text1"/>
                <w:sz w:val="20"/>
                <w:szCs w:val="20"/>
                <w:lang w:val="bg-BG" w:eastAsia="zh-CN" w:bidi="hi-IN"/>
              </w:rPr>
              <w:t>)</w:t>
            </w:r>
          </w:p>
          <w:p w14:paraId="00E338B8" w14:textId="5390FAC8" w:rsidR="00173C7E" w:rsidRPr="00610B1B" w:rsidRDefault="00173C7E"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ИАРА</w:t>
            </w:r>
          </w:p>
        </w:tc>
      </w:tr>
      <w:tr w:rsidR="00442579" w:rsidRPr="00610B1B" w14:paraId="3696606A" w14:textId="77777777" w:rsidTr="00173C7E">
        <w:tc>
          <w:tcPr>
            <w:tcW w:w="2172" w:type="dxa"/>
            <w:shd w:val="clear" w:color="auto" w:fill="auto"/>
            <w:tcMar>
              <w:left w:w="54" w:type="dxa"/>
            </w:tcMar>
            <w:vAlign w:val="center"/>
          </w:tcPr>
          <w:p w14:paraId="2D59476A" w14:textId="77777777" w:rsidR="00442579" w:rsidRPr="00610B1B" w:rsidRDefault="00442579" w:rsidP="00173C7E">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Драгиране</w:t>
            </w:r>
          </w:p>
        </w:tc>
        <w:tc>
          <w:tcPr>
            <w:tcW w:w="2391" w:type="dxa"/>
            <w:shd w:val="clear" w:color="auto" w:fill="auto"/>
            <w:tcMar>
              <w:left w:w="54" w:type="dxa"/>
            </w:tcMar>
          </w:tcPr>
          <w:p w14:paraId="551569C9"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Плътност на корабния трафик (драгиране)</w:t>
            </w:r>
          </w:p>
        </w:tc>
        <w:tc>
          <w:tcPr>
            <w:tcW w:w="1684" w:type="dxa"/>
            <w:shd w:val="clear" w:color="auto" w:fill="auto"/>
            <w:tcMar>
              <w:left w:w="54" w:type="dxa"/>
            </w:tcMar>
          </w:tcPr>
          <w:p w14:paraId="31883606"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часове/km</w:t>
            </w:r>
            <w:r w:rsidRPr="00610B1B">
              <w:rPr>
                <w:rFonts w:ascii="Times New Roman" w:eastAsia="Source Han Sans CN Regular" w:hAnsi="Times New Roman" w:cs="Times New Roman"/>
                <w:color w:val="000000" w:themeColor="text1"/>
                <w:sz w:val="20"/>
                <w:szCs w:val="20"/>
                <w:vertAlign w:val="superscript"/>
                <w:lang w:val="bg-BG" w:eastAsia="zh-CN" w:bidi="hi-IN"/>
              </w:rPr>
              <w:t>2</w:t>
            </w:r>
            <w:r w:rsidRPr="00610B1B">
              <w:rPr>
                <w:rFonts w:ascii="Times New Roman" w:eastAsia="Source Han Sans CN Regular" w:hAnsi="Times New Roman" w:cs="Times New Roman"/>
                <w:color w:val="000000" w:themeColor="text1"/>
                <w:sz w:val="20"/>
                <w:szCs w:val="20"/>
                <w:lang w:val="bg-BG" w:eastAsia="zh-CN" w:bidi="hi-IN"/>
              </w:rPr>
              <w:t>.година</w:t>
            </w:r>
          </w:p>
        </w:tc>
        <w:tc>
          <w:tcPr>
            <w:tcW w:w="3437" w:type="dxa"/>
            <w:shd w:val="clear" w:color="auto" w:fill="auto"/>
            <w:tcMar>
              <w:left w:w="54" w:type="dxa"/>
            </w:tcMar>
          </w:tcPr>
          <w:p w14:paraId="518D58D9"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EMODnet Human Activities: Vessel Density Map (Dredging)</w:t>
            </w:r>
          </w:p>
        </w:tc>
      </w:tr>
      <w:tr w:rsidR="00442579" w:rsidRPr="00610B1B" w14:paraId="70B11850" w14:textId="77777777" w:rsidTr="00173C7E">
        <w:tc>
          <w:tcPr>
            <w:tcW w:w="2172" w:type="dxa"/>
            <w:shd w:val="clear" w:color="auto" w:fill="auto"/>
            <w:tcMar>
              <w:left w:w="54" w:type="dxa"/>
            </w:tcMar>
            <w:vAlign w:val="center"/>
          </w:tcPr>
          <w:p w14:paraId="41FD8558" w14:textId="77777777" w:rsidR="00442579" w:rsidRPr="00610B1B" w:rsidRDefault="00442579" w:rsidP="00173C7E">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Пристанищни дейности</w:t>
            </w:r>
          </w:p>
        </w:tc>
        <w:tc>
          <w:tcPr>
            <w:tcW w:w="2391" w:type="dxa"/>
            <w:shd w:val="clear" w:color="auto" w:fill="auto"/>
            <w:tcMar>
              <w:left w:w="54" w:type="dxa"/>
            </w:tcMar>
          </w:tcPr>
          <w:p w14:paraId="35F15BB5"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Плътност на корабния трафик (буксири)</w:t>
            </w:r>
          </w:p>
          <w:p w14:paraId="07580753"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Обработени товари</w:t>
            </w:r>
          </w:p>
        </w:tc>
        <w:tc>
          <w:tcPr>
            <w:tcW w:w="1684" w:type="dxa"/>
            <w:shd w:val="clear" w:color="auto" w:fill="auto"/>
            <w:tcMar>
              <w:left w:w="54" w:type="dxa"/>
            </w:tcMar>
          </w:tcPr>
          <w:p w14:paraId="571DA317"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часове/km</w:t>
            </w:r>
            <w:r w:rsidRPr="00610B1B">
              <w:rPr>
                <w:rFonts w:ascii="Times New Roman" w:eastAsia="Source Han Sans CN Regular" w:hAnsi="Times New Roman" w:cs="Times New Roman"/>
                <w:color w:val="000000" w:themeColor="text1"/>
                <w:sz w:val="20"/>
                <w:szCs w:val="20"/>
                <w:vertAlign w:val="superscript"/>
                <w:lang w:val="bg-BG" w:eastAsia="zh-CN" w:bidi="hi-IN"/>
              </w:rPr>
              <w:t>2</w:t>
            </w:r>
            <w:r w:rsidRPr="00610B1B">
              <w:rPr>
                <w:rFonts w:ascii="Times New Roman" w:eastAsia="Source Han Sans CN Regular" w:hAnsi="Times New Roman" w:cs="Times New Roman"/>
                <w:color w:val="000000" w:themeColor="text1"/>
                <w:sz w:val="20"/>
                <w:szCs w:val="20"/>
                <w:lang w:val="bg-BG" w:eastAsia="zh-CN" w:bidi="hi-IN"/>
              </w:rPr>
              <w:t>.година</w:t>
            </w:r>
          </w:p>
          <w:p w14:paraId="27067C14"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p>
          <w:p w14:paraId="3ED2D31F"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 xml:space="preserve">количество обработени товари годишно </w:t>
            </w:r>
          </w:p>
        </w:tc>
        <w:tc>
          <w:tcPr>
            <w:tcW w:w="3437" w:type="dxa"/>
            <w:shd w:val="clear" w:color="auto" w:fill="auto"/>
            <w:tcMar>
              <w:left w:w="54" w:type="dxa"/>
            </w:tcMar>
          </w:tcPr>
          <w:p w14:paraId="38FA2D85"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EMODnet Human Activities: Vessel Density Map (Service + Tug and Towing)</w:t>
            </w:r>
          </w:p>
        </w:tc>
      </w:tr>
      <w:tr w:rsidR="00442579" w:rsidRPr="00610B1B" w14:paraId="0BB8C4DA" w14:textId="77777777" w:rsidTr="00173C7E">
        <w:tc>
          <w:tcPr>
            <w:tcW w:w="2172" w:type="dxa"/>
            <w:shd w:val="clear" w:color="auto" w:fill="auto"/>
            <w:tcMar>
              <w:left w:w="54" w:type="dxa"/>
            </w:tcMar>
            <w:vAlign w:val="center"/>
          </w:tcPr>
          <w:p w14:paraId="54FE9C76" w14:textId="77777777" w:rsidR="00442579" w:rsidRPr="00610B1B" w:rsidRDefault="00442579" w:rsidP="00173C7E">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Морски туризъм</w:t>
            </w:r>
          </w:p>
        </w:tc>
        <w:tc>
          <w:tcPr>
            <w:tcW w:w="2391" w:type="dxa"/>
            <w:shd w:val="clear" w:color="auto" w:fill="auto"/>
            <w:tcMar>
              <w:left w:w="54" w:type="dxa"/>
            </w:tcMar>
          </w:tcPr>
          <w:p w14:paraId="46C54E2F"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Плътност на корабния трафик (ветроходни, развлекателни, високоскоростни)</w:t>
            </w:r>
          </w:p>
          <w:p w14:paraId="1A552975"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Превозени пътници</w:t>
            </w:r>
          </w:p>
        </w:tc>
        <w:tc>
          <w:tcPr>
            <w:tcW w:w="1684" w:type="dxa"/>
            <w:shd w:val="clear" w:color="auto" w:fill="auto"/>
            <w:tcMar>
              <w:left w:w="54" w:type="dxa"/>
            </w:tcMar>
          </w:tcPr>
          <w:p w14:paraId="502432D0"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часове/km</w:t>
            </w:r>
            <w:r w:rsidRPr="00610B1B">
              <w:rPr>
                <w:rFonts w:ascii="Times New Roman" w:eastAsia="Source Han Sans CN Regular" w:hAnsi="Times New Roman" w:cs="Times New Roman"/>
                <w:color w:val="000000" w:themeColor="text1"/>
                <w:sz w:val="20"/>
                <w:szCs w:val="20"/>
                <w:vertAlign w:val="superscript"/>
                <w:lang w:val="bg-BG" w:eastAsia="zh-CN" w:bidi="hi-IN"/>
              </w:rPr>
              <w:t>2</w:t>
            </w:r>
            <w:r w:rsidRPr="00610B1B">
              <w:rPr>
                <w:rFonts w:ascii="Times New Roman" w:eastAsia="Source Han Sans CN Regular" w:hAnsi="Times New Roman" w:cs="Times New Roman"/>
                <w:color w:val="000000" w:themeColor="text1"/>
                <w:sz w:val="20"/>
                <w:szCs w:val="20"/>
                <w:lang w:val="bg-BG" w:eastAsia="zh-CN" w:bidi="hi-IN"/>
              </w:rPr>
              <w:t>.година</w:t>
            </w:r>
          </w:p>
          <w:p w14:paraId="17BE3014"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p>
          <w:p w14:paraId="764732EC"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p>
          <w:p w14:paraId="247988C3"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брой пасажери/год. в хиляди</w:t>
            </w:r>
          </w:p>
        </w:tc>
        <w:tc>
          <w:tcPr>
            <w:tcW w:w="3437" w:type="dxa"/>
            <w:shd w:val="clear" w:color="auto" w:fill="auto"/>
            <w:tcMar>
              <w:left w:w="54" w:type="dxa"/>
            </w:tcMar>
          </w:tcPr>
          <w:p w14:paraId="65807296"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EMODnet Human Activities: Vessel Density Map (Sailing + Pleasure Craft + High Speed Craft)</w:t>
            </w:r>
          </w:p>
        </w:tc>
      </w:tr>
      <w:tr w:rsidR="00442579" w:rsidRPr="00610B1B" w14:paraId="00B304D1" w14:textId="77777777" w:rsidTr="00173C7E">
        <w:tc>
          <w:tcPr>
            <w:tcW w:w="2172" w:type="dxa"/>
            <w:shd w:val="clear" w:color="auto" w:fill="auto"/>
            <w:tcMar>
              <w:left w:w="54" w:type="dxa"/>
            </w:tcMar>
            <w:vAlign w:val="center"/>
          </w:tcPr>
          <w:p w14:paraId="4A64A94D" w14:textId="77777777" w:rsidR="00442579" w:rsidRPr="00610B1B" w:rsidRDefault="00442579" w:rsidP="00173C7E">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Крайбрежен туризъм</w:t>
            </w:r>
          </w:p>
        </w:tc>
        <w:tc>
          <w:tcPr>
            <w:tcW w:w="2391" w:type="dxa"/>
            <w:shd w:val="clear" w:color="auto" w:fill="auto"/>
            <w:tcMar>
              <w:left w:w="54" w:type="dxa"/>
            </w:tcMar>
          </w:tcPr>
          <w:p w14:paraId="12BFBB1A"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Зони на водите за къпане</w:t>
            </w:r>
          </w:p>
          <w:p w14:paraId="60799CE6"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Легла в зони А и Б</w:t>
            </w:r>
          </w:p>
          <w:p w14:paraId="34851632"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Посетители туристи</w:t>
            </w:r>
          </w:p>
          <w:p w14:paraId="70B1528E"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 xml:space="preserve">Яхтени пристанища и </w:t>
            </w:r>
            <w:r w:rsidRPr="00610B1B">
              <w:rPr>
                <w:rFonts w:ascii="Times New Roman" w:eastAsia="Source Han Sans CN Regular" w:hAnsi="Times New Roman" w:cs="Times New Roman"/>
                <w:color w:val="000000" w:themeColor="text1"/>
                <w:sz w:val="20"/>
                <w:szCs w:val="20"/>
                <w:lang w:val="bg-BG" w:eastAsia="zh-CN" w:bidi="hi-IN"/>
              </w:rPr>
              <w:lastRenderedPageBreak/>
              <w:t>плажове със сертификат Син флаг</w:t>
            </w:r>
          </w:p>
        </w:tc>
        <w:tc>
          <w:tcPr>
            <w:tcW w:w="1684" w:type="dxa"/>
            <w:shd w:val="clear" w:color="auto" w:fill="auto"/>
            <w:tcMar>
              <w:left w:w="54" w:type="dxa"/>
            </w:tcMar>
          </w:tcPr>
          <w:p w14:paraId="5DB8FBFC"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lastRenderedPageBreak/>
              <w:t>брой</w:t>
            </w:r>
          </w:p>
          <w:p w14:paraId="1CA7C9B1"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p>
          <w:p w14:paraId="6BF1484A"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брой</w:t>
            </w:r>
          </w:p>
          <w:p w14:paraId="226F398B"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p>
          <w:p w14:paraId="1FFF4A50"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lastRenderedPageBreak/>
              <w:t>брой</w:t>
            </w:r>
          </w:p>
        </w:tc>
        <w:tc>
          <w:tcPr>
            <w:tcW w:w="3437" w:type="dxa"/>
            <w:shd w:val="clear" w:color="auto" w:fill="auto"/>
            <w:tcMar>
              <w:left w:w="54" w:type="dxa"/>
            </w:tcMar>
          </w:tcPr>
          <w:p w14:paraId="1FD2971C"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lastRenderedPageBreak/>
              <w:t>EMODnet Human Activities: Bathing Waters</w:t>
            </w:r>
          </w:p>
          <w:p w14:paraId="6CFBE1EA"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p>
          <w:p w14:paraId="1616B88F"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НСИ, Министерство на туризма</w:t>
            </w:r>
          </w:p>
        </w:tc>
      </w:tr>
      <w:tr w:rsidR="00442579" w:rsidRPr="00610B1B" w14:paraId="68A8C1BF" w14:textId="77777777" w:rsidTr="00173C7E">
        <w:tc>
          <w:tcPr>
            <w:tcW w:w="2172" w:type="dxa"/>
            <w:shd w:val="clear" w:color="auto" w:fill="auto"/>
            <w:tcMar>
              <w:left w:w="54" w:type="dxa"/>
            </w:tcMar>
            <w:vAlign w:val="center"/>
          </w:tcPr>
          <w:p w14:paraId="6ECC889C" w14:textId="77777777" w:rsidR="00442579" w:rsidRPr="00610B1B" w:rsidRDefault="00442579" w:rsidP="00173C7E">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Морски транспорт – пасажери</w:t>
            </w:r>
          </w:p>
        </w:tc>
        <w:tc>
          <w:tcPr>
            <w:tcW w:w="2391" w:type="dxa"/>
            <w:shd w:val="clear" w:color="auto" w:fill="auto"/>
            <w:tcMar>
              <w:left w:w="54" w:type="dxa"/>
            </w:tcMar>
          </w:tcPr>
          <w:p w14:paraId="37A1BBD7"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Плътност на корабния трафик (пасажерски)</w:t>
            </w:r>
          </w:p>
        </w:tc>
        <w:tc>
          <w:tcPr>
            <w:tcW w:w="1684" w:type="dxa"/>
            <w:shd w:val="clear" w:color="auto" w:fill="auto"/>
            <w:tcMar>
              <w:left w:w="54" w:type="dxa"/>
            </w:tcMar>
          </w:tcPr>
          <w:p w14:paraId="52AFED2A"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часове/km</w:t>
            </w:r>
            <w:r w:rsidRPr="00610B1B">
              <w:rPr>
                <w:rFonts w:ascii="Times New Roman" w:eastAsia="Source Han Sans CN Regular" w:hAnsi="Times New Roman" w:cs="Times New Roman"/>
                <w:color w:val="000000" w:themeColor="text1"/>
                <w:sz w:val="20"/>
                <w:szCs w:val="20"/>
                <w:vertAlign w:val="superscript"/>
                <w:lang w:val="bg-BG" w:eastAsia="zh-CN" w:bidi="hi-IN"/>
              </w:rPr>
              <w:t>2</w:t>
            </w:r>
            <w:r w:rsidRPr="00610B1B">
              <w:rPr>
                <w:rFonts w:ascii="Times New Roman" w:eastAsia="Source Han Sans CN Regular" w:hAnsi="Times New Roman" w:cs="Times New Roman"/>
                <w:color w:val="000000" w:themeColor="text1"/>
                <w:sz w:val="20"/>
                <w:szCs w:val="20"/>
                <w:lang w:val="bg-BG" w:eastAsia="zh-CN" w:bidi="hi-IN"/>
              </w:rPr>
              <w:t>.година</w:t>
            </w:r>
          </w:p>
        </w:tc>
        <w:tc>
          <w:tcPr>
            <w:tcW w:w="3437" w:type="dxa"/>
            <w:shd w:val="clear" w:color="auto" w:fill="auto"/>
            <w:tcMar>
              <w:left w:w="54" w:type="dxa"/>
            </w:tcMar>
          </w:tcPr>
          <w:p w14:paraId="422A37BA"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EMODnet Human Activities: Vessel Density Map (Passenger)</w:t>
            </w:r>
          </w:p>
        </w:tc>
      </w:tr>
      <w:tr w:rsidR="00442579" w:rsidRPr="00610B1B" w14:paraId="45809B8F" w14:textId="77777777" w:rsidTr="00173C7E">
        <w:tc>
          <w:tcPr>
            <w:tcW w:w="2172" w:type="dxa"/>
            <w:shd w:val="clear" w:color="auto" w:fill="auto"/>
            <w:tcMar>
              <w:left w:w="54" w:type="dxa"/>
            </w:tcMar>
            <w:vAlign w:val="center"/>
          </w:tcPr>
          <w:p w14:paraId="2D1D9ACC" w14:textId="77777777" w:rsidR="00442579" w:rsidRPr="00610B1B" w:rsidRDefault="00442579" w:rsidP="00173C7E">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Морски транспорт – товари</w:t>
            </w:r>
          </w:p>
        </w:tc>
        <w:tc>
          <w:tcPr>
            <w:tcW w:w="2391" w:type="dxa"/>
            <w:shd w:val="clear" w:color="auto" w:fill="auto"/>
            <w:tcMar>
              <w:left w:w="54" w:type="dxa"/>
            </w:tcMar>
          </w:tcPr>
          <w:p w14:paraId="63C858DA"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Плътност на корабния трафик (карго + танкери)</w:t>
            </w:r>
          </w:p>
        </w:tc>
        <w:tc>
          <w:tcPr>
            <w:tcW w:w="1684" w:type="dxa"/>
            <w:shd w:val="clear" w:color="auto" w:fill="auto"/>
            <w:tcMar>
              <w:left w:w="54" w:type="dxa"/>
            </w:tcMar>
          </w:tcPr>
          <w:p w14:paraId="18058DBF"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часове/km</w:t>
            </w:r>
            <w:r w:rsidRPr="00610B1B">
              <w:rPr>
                <w:rFonts w:ascii="Times New Roman" w:eastAsia="Source Han Sans CN Regular" w:hAnsi="Times New Roman" w:cs="Times New Roman"/>
                <w:color w:val="000000" w:themeColor="text1"/>
                <w:sz w:val="20"/>
                <w:szCs w:val="20"/>
                <w:vertAlign w:val="superscript"/>
                <w:lang w:val="bg-BG" w:eastAsia="zh-CN" w:bidi="hi-IN"/>
              </w:rPr>
              <w:t>2</w:t>
            </w:r>
            <w:r w:rsidRPr="00610B1B">
              <w:rPr>
                <w:rFonts w:ascii="Times New Roman" w:eastAsia="Source Han Sans CN Regular" w:hAnsi="Times New Roman" w:cs="Times New Roman"/>
                <w:color w:val="000000" w:themeColor="text1"/>
                <w:sz w:val="20"/>
                <w:szCs w:val="20"/>
                <w:lang w:val="bg-BG" w:eastAsia="zh-CN" w:bidi="hi-IN"/>
              </w:rPr>
              <w:t>.година</w:t>
            </w:r>
          </w:p>
        </w:tc>
        <w:tc>
          <w:tcPr>
            <w:tcW w:w="3437" w:type="dxa"/>
            <w:shd w:val="clear" w:color="auto" w:fill="auto"/>
            <w:tcMar>
              <w:left w:w="54" w:type="dxa"/>
            </w:tcMar>
          </w:tcPr>
          <w:p w14:paraId="281B971A"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EMODnet Human Activities: Vessel Density Map (Cargo + Tankers)</w:t>
            </w:r>
          </w:p>
        </w:tc>
      </w:tr>
      <w:tr w:rsidR="00442579" w:rsidRPr="00610B1B" w14:paraId="38ADABEE" w14:textId="77777777" w:rsidTr="00173C7E">
        <w:tc>
          <w:tcPr>
            <w:tcW w:w="2172" w:type="dxa"/>
            <w:shd w:val="clear" w:color="auto" w:fill="auto"/>
            <w:tcMar>
              <w:left w:w="54" w:type="dxa"/>
            </w:tcMar>
            <w:vAlign w:val="center"/>
          </w:tcPr>
          <w:p w14:paraId="71DC91FD" w14:textId="23936C34" w:rsidR="00442579" w:rsidRPr="00610B1B" w:rsidRDefault="00442579" w:rsidP="00173C7E">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Военни дейности</w:t>
            </w:r>
            <w:r w:rsidR="009F3C0B" w:rsidRPr="00610B1B">
              <w:rPr>
                <w:rFonts w:ascii="Times New Roman" w:eastAsia="Source Han Sans CN Regular" w:hAnsi="Times New Roman" w:cs="Times New Roman"/>
                <w:color w:val="000000" w:themeColor="text1"/>
                <w:sz w:val="20"/>
                <w:szCs w:val="20"/>
                <w:lang w:val="bg-BG" w:eastAsia="zh-CN" w:bidi="hi-IN"/>
              </w:rPr>
              <w:t xml:space="preserve"> и учения</w:t>
            </w:r>
          </w:p>
        </w:tc>
        <w:tc>
          <w:tcPr>
            <w:tcW w:w="2391" w:type="dxa"/>
            <w:shd w:val="clear" w:color="auto" w:fill="auto"/>
            <w:tcMar>
              <w:left w:w="54" w:type="dxa"/>
            </w:tcMar>
          </w:tcPr>
          <w:p w14:paraId="35D99D55"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Плътност на корабния трафик</w:t>
            </w:r>
          </w:p>
        </w:tc>
        <w:tc>
          <w:tcPr>
            <w:tcW w:w="1684" w:type="dxa"/>
            <w:shd w:val="clear" w:color="auto" w:fill="auto"/>
            <w:tcMar>
              <w:left w:w="54" w:type="dxa"/>
            </w:tcMar>
          </w:tcPr>
          <w:p w14:paraId="78759A9F"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часове/km</w:t>
            </w:r>
            <w:r w:rsidRPr="00610B1B">
              <w:rPr>
                <w:rFonts w:ascii="Times New Roman" w:eastAsia="Source Han Sans CN Regular" w:hAnsi="Times New Roman" w:cs="Times New Roman"/>
                <w:color w:val="000000" w:themeColor="text1"/>
                <w:sz w:val="20"/>
                <w:szCs w:val="20"/>
                <w:vertAlign w:val="superscript"/>
                <w:lang w:val="bg-BG" w:eastAsia="zh-CN" w:bidi="hi-IN"/>
              </w:rPr>
              <w:t>2</w:t>
            </w:r>
            <w:r w:rsidRPr="00610B1B">
              <w:rPr>
                <w:rFonts w:ascii="Times New Roman" w:eastAsia="Source Han Sans CN Regular" w:hAnsi="Times New Roman" w:cs="Times New Roman"/>
                <w:color w:val="000000" w:themeColor="text1"/>
                <w:sz w:val="20"/>
                <w:szCs w:val="20"/>
                <w:lang w:val="bg-BG" w:eastAsia="zh-CN" w:bidi="hi-IN"/>
              </w:rPr>
              <w:t>.година</w:t>
            </w:r>
          </w:p>
        </w:tc>
        <w:tc>
          <w:tcPr>
            <w:tcW w:w="3437" w:type="dxa"/>
            <w:shd w:val="clear" w:color="auto" w:fill="auto"/>
            <w:tcMar>
              <w:left w:w="54" w:type="dxa"/>
            </w:tcMar>
          </w:tcPr>
          <w:p w14:paraId="52B9B04F"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EMODnet Human Activities: Vessel Density Map (Military)</w:t>
            </w:r>
          </w:p>
        </w:tc>
      </w:tr>
      <w:tr w:rsidR="00442579" w:rsidRPr="005C2B9F" w14:paraId="6ACBF04D" w14:textId="77777777" w:rsidTr="00173C7E">
        <w:tc>
          <w:tcPr>
            <w:tcW w:w="2172" w:type="dxa"/>
            <w:shd w:val="clear" w:color="auto" w:fill="auto"/>
            <w:tcMar>
              <w:left w:w="54" w:type="dxa"/>
            </w:tcMar>
            <w:vAlign w:val="center"/>
          </w:tcPr>
          <w:p w14:paraId="79A98C25" w14:textId="77777777" w:rsidR="00442579" w:rsidRPr="00610B1B" w:rsidRDefault="00442579" w:rsidP="00173C7E">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Добив на нефт и газ</w:t>
            </w:r>
          </w:p>
        </w:tc>
        <w:tc>
          <w:tcPr>
            <w:tcW w:w="2391" w:type="dxa"/>
            <w:shd w:val="clear" w:color="auto" w:fill="auto"/>
            <w:tcMar>
              <w:left w:w="54" w:type="dxa"/>
            </w:tcMar>
          </w:tcPr>
          <w:p w14:paraId="78725A9A" w14:textId="4322A046" w:rsidR="00442579" w:rsidRPr="00610B1B" w:rsidRDefault="00B7768B"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Концесии</w:t>
            </w:r>
          </w:p>
        </w:tc>
        <w:tc>
          <w:tcPr>
            <w:tcW w:w="1684" w:type="dxa"/>
            <w:shd w:val="clear" w:color="auto" w:fill="auto"/>
            <w:tcMar>
              <w:left w:w="54" w:type="dxa"/>
            </w:tcMar>
          </w:tcPr>
          <w:p w14:paraId="560ACD31" w14:textId="4B78CAB9"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площ (</w:t>
            </w:r>
            <w:r w:rsidR="006A30BA" w:rsidRPr="00610B1B">
              <w:rPr>
                <w:rFonts w:ascii="Times New Roman" w:eastAsia="Source Han Sans CN Regular" w:hAnsi="Times New Roman" w:cs="Times New Roman"/>
                <w:color w:val="000000" w:themeColor="text1"/>
                <w:sz w:val="20"/>
                <w:szCs w:val="20"/>
                <w:lang w:val="bg-BG" w:eastAsia="zh-CN" w:bidi="hi-IN"/>
              </w:rPr>
              <w:t>km</w:t>
            </w:r>
            <w:r w:rsidRPr="00610B1B">
              <w:rPr>
                <w:rFonts w:ascii="Times New Roman" w:eastAsia="Source Han Sans CN Regular" w:hAnsi="Times New Roman" w:cs="Times New Roman"/>
                <w:color w:val="000000" w:themeColor="text1"/>
                <w:sz w:val="20"/>
                <w:szCs w:val="20"/>
                <w:vertAlign w:val="superscript"/>
                <w:lang w:val="bg-BG" w:eastAsia="zh-CN" w:bidi="hi-IN"/>
              </w:rPr>
              <w:t>2</w:t>
            </w:r>
            <w:r w:rsidRPr="00610B1B">
              <w:rPr>
                <w:rFonts w:ascii="Times New Roman" w:eastAsia="Source Han Sans CN Regular" w:hAnsi="Times New Roman" w:cs="Times New Roman"/>
                <w:color w:val="000000" w:themeColor="text1"/>
                <w:sz w:val="20"/>
                <w:szCs w:val="20"/>
                <w:lang w:val="bg-BG" w:eastAsia="zh-CN" w:bidi="hi-IN"/>
              </w:rPr>
              <w:t>)</w:t>
            </w:r>
          </w:p>
        </w:tc>
        <w:tc>
          <w:tcPr>
            <w:tcW w:w="3437" w:type="dxa"/>
            <w:shd w:val="clear" w:color="auto" w:fill="auto"/>
            <w:tcMar>
              <w:left w:w="54" w:type="dxa"/>
            </w:tcMar>
          </w:tcPr>
          <w:p w14:paraId="776EA564" w14:textId="75D68A4C"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1"/>
                <w:szCs w:val="24"/>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Министерство на енергетиката – регистър на концесиите за добив (</w:t>
            </w:r>
            <w:hyperlink r:id="rId56" w:history="1">
              <w:r w:rsidR="00C3007B" w:rsidRPr="00610B1B">
                <w:rPr>
                  <w:rStyle w:val="Hyperlink"/>
                  <w:rFonts w:ascii="Times New Roman" w:eastAsia="Source Han Sans CN Regular" w:hAnsi="Times New Roman" w:cs="Times New Roman"/>
                  <w:sz w:val="20"/>
                  <w:szCs w:val="20"/>
                  <w:lang w:val="bg-BG" w:eastAsia="zh-CN" w:bidi="hi-IN"/>
                </w:rPr>
                <w:t>https://www.me.government.bg/bg/themes/koncesii-za-dobiv-735-406.html</w:t>
              </w:r>
            </w:hyperlink>
            <w:r w:rsidRPr="00610B1B">
              <w:rPr>
                <w:rFonts w:ascii="Times New Roman" w:eastAsia="Source Han Sans CN Regular" w:hAnsi="Times New Roman" w:cs="Times New Roman"/>
                <w:color w:val="000000" w:themeColor="text1"/>
                <w:sz w:val="20"/>
                <w:szCs w:val="20"/>
                <w:lang w:val="bg-BG" w:eastAsia="zh-CN" w:bidi="hi-IN"/>
              </w:rPr>
              <w:t>)</w:t>
            </w:r>
          </w:p>
        </w:tc>
      </w:tr>
      <w:tr w:rsidR="00442579" w:rsidRPr="005C2B9F" w14:paraId="731AB7A6" w14:textId="77777777" w:rsidTr="00173C7E">
        <w:tc>
          <w:tcPr>
            <w:tcW w:w="2172" w:type="dxa"/>
            <w:shd w:val="clear" w:color="auto" w:fill="auto"/>
            <w:tcMar>
              <w:left w:w="54" w:type="dxa"/>
            </w:tcMar>
            <w:vAlign w:val="center"/>
          </w:tcPr>
          <w:p w14:paraId="2CCEA74B" w14:textId="49661F7B" w:rsidR="00442579" w:rsidRPr="00610B1B" w:rsidRDefault="00442579" w:rsidP="00173C7E">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 xml:space="preserve">Научни </w:t>
            </w:r>
            <w:r w:rsidR="009F3C0B" w:rsidRPr="00610B1B">
              <w:rPr>
                <w:rFonts w:ascii="Times New Roman" w:eastAsia="Source Han Sans CN Regular" w:hAnsi="Times New Roman" w:cs="Times New Roman"/>
                <w:color w:val="000000" w:themeColor="text1"/>
                <w:sz w:val="20"/>
                <w:szCs w:val="20"/>
                <w:lang w:val="bg-BG" w:eastAsia="zh-CN" w:bidi="hi-IN"/>
              </w:rPr>
              <w:t>изследвания</w:t>
            </w:r>
            <w:r w:rsidRPr="00610B1B">
              <w:rPr>
                <w:rFonts w:ascii="Times New Roman" w:eastAsia="Source Han Sans CN Regular" w:hAnsi="Times New Roman" w:cs="Times New Roman"/>
                <w:color w:val="000000" w:themeColor="text1"/>
                <w:sz w:val="20"/>
                <w:szCs w:val="20"/>
                <w:lang w:val="bg-BG" w:eastAsia="zh-CN" w:bidi="hi-IN"/>
              </w:rPr>
              <w:t xml:space="preserve"> и мониторинг</w:t>
            </w:r>
          </w:p>
        </w:tc>
        <w:tc>
          <w:tcPr>
            <w:tcW w:w="2391" w:type="dxa"/>
            <w:shd w:val="clear" w:color="auto" w:fill="auto"/>
            <w:tcMar>
              <w:left w:w="54" w:type="dxa"/>
            </w:tcMar>
          </w:tcPr>
          <w:p w14:paraId="0EF4C2B0" w14:textId="4705903F" w:rsidR="00442579" w:rsidRPr="00610B1B" w:rsidRDefault="00173C7E"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 xml:space="preserve">Пунктове </w:t>
            </w:r>
            <w:r w:rsidR="00442579" w:rsidRPr="00610B1B">
              <w:rPr>
                <w:rFonts w:ascii="Times New Roman" w:eastAsia="Source Han Sans CN Regular" w:hAnsi="Times New Roman" w:cs="Times New Roman"/>
                <w:color w:val="000000" w:themeColor="text1"/>
                <w:sz w:val="20"/>
                <w:szCs w:val="20"/>
                <w:lang w:val="bg-BG" w:eastAsia="zh-CN" w:bidi="hi-IN"/>
              </w:rPr>
              <w:t>за мониторинг</w:t>
            </w:r>
          </w:p>
        </w:tc>
        <w:tc>
          <w:tcPr>
            <w:tcW w:w="1684" w:type="dxa"/>
            <w:shd w:val="clear" w:color="auto" w:fill="auto"/>
            <w:tcMar>
              <w:left w:w="54" w:type="dxa"/>
            </w:tcMar>
          </w:tcPr>
          <w:p w14:paraId="5EDD96A1"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брой</w:t>
            </w:r>
          </w:p>
        </w:tc>
        <w:tc>
          <w:tcPr>
            <w:tcW w:w="3437" w:type="dxa"/>
            <w:shd w:val="clear" w:color="auto" w:fill="auto"/>
            <w:tcMar>
              <w:left w:w="54" w:type="dxa"/>
            </w:tcMar>
          </w:tcPr>
          <w:p w14:paraId="75E87D45" w14:textId="4284854A" w:rsidR="00442579" w:rsidRPr="00610B1B" w:rsidRDefault="002A152C" w:rsidP="00D32D6A">
            <w:pPr>
              <w:widowControl w:val="0"/>
              <w:spacing w:after="0" w:line="240" w:lineRule="auto"/>
              <w:rPr>
                <w:rStyle w:val="Hyperlink"/>
                <w:rFonts w:ascii="Times New Roman" w:hAnsi="Times New Roman" w:cs="Times New Roman"/>
                <w:sz w:val="20"/>
                <w:szCs w:val="20"/>
                <w:lang w:val="bg-BG"/>
              </w:rPr>
            </w:pPr>
            <w:hyperlink r:id="rId57">
              <w:r w:rsidR="00442579" w:rsidRPr="00610B1B">
                <w:rPr>
                  <w:rStyle w:val="Hyperlink"/>
                  <w:rFonts w:ascii="Times New Roman" w:hAnsi="Times New Roman" w:cs="Times New Roman"/>
                  <w:sz w:val="20"/>
                  <w:szCs w:val="20"/>
                  <w:lang w:val="bg-BG"/>
                </w:rPr>
                <w:t>https://www.moew.government.bg/bg/vodi/planove-za-upravlenie/planove-za-upravlenie-na-rechnite-basejni-purb/</w:t>
              </w:r>
            </w:hyperlink>
          </w:p>
        </w:tc>
      </w:tr>
      <w:tr w:rsidR="00442579" w:rsidRPr="00610B1B" w14:paraId="4394E2D9" w14:textId="77777777" w:rsidTr="00173C7E">
        <w:tc>
          <w:tcPr>
            <w:tcW w:w="2172" w:type="dxa"/>
            <w:shd w:val="clear" w:color="auto" w:fill="auto"/>
            <w:tcMar>
              <w:left w:w="54" w:type="dxa"/>
            </w:tcMar>
            <w:vAlign w:val="center"/>
          </w:tcPr>
          <w:p w14:paraId="6304579C" w14:textId="77777777" w:rsidR="00442579" w:rsidRPr="00610B1B" w:rsidRDefault="00442579" w:rsidP="00173C7E">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Брегозащитни/пристанищни съоръжения</w:t>
            </w:r>
          </w:p>
        </w:tc>
        <w:tc>
          <w:tcPr>
            <w:tcW w:w="2391" w:type="dxa"/>
            <w:shd w:val="clear" w:color="auto" w:fill="auto"/>
            <w:tcMar>
              <w:left w:w="54" w:type="dxa"/>
            </w:tcMar>
          </w:tcPr>
          <w:p w14:paraId="38A1E2B3" w14:textId="12BD22C9" w:rsidR="00442579" w:rsidRPr="00610B1B" w:rsidRDefault="00173C7E"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 xml:space="preserve">Брегозащитни </w:t>
            </w:r>
            <w:r w:rsidR="00442579" w:rsidRPr="00610B1B">
              <w:rPr>
                <w:rFonts w:ascii="Times New Roman" w:eastAsia="Source Han Sans CN Regular" w:hAnsi="Times New Roman" w:cs="Times New Roman"/>
                <w:color w:val="000000" w:themeColor="text1"/>
                <w:sz w:val="20"/>
                <w:szCs w:val="20"/>
                <w:lang w:val="bg-BG" w:eastAsia="zh-CN" w:bidi="hi-IN"/>
              </w:rPr>
              <w:t>съоръжения</w:t>
            </w:r>
          </w:p>
        </w:tc>
        <w:tc>
          <w:tcPr>
            <w:tcW w:w="1684" w:type="dxa"/>
            <w:shd w:val="clear" w:color="auto" w:fill="auto"/>
            <w:tcMar>
              <w:left w:w="54" w:type="dxa"/>
            </w:tcMar>
          </w:tcPr>
          <w:p w14:paraId="3582BD80"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брой</w:t>
            </w:r>
          </w:p>
        </w:tc>
        <w:tc>
          <w:tcPr>
            <w:tcW w:w="3437" w:type="dxa"/>
            <w:shd w:val="clear" w:color="auto" w:fill="auto"/>
            <w:tcMar>
              <w:left w:w="54" w:type="dxa"/>
            </w:tcMar>
          </w:tcPr>
          <w:p w14:paraId="73ACB47C" w14:textId="48EF47F4"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1"/>
                <w:szCs w:val="24"/>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EEA coastline for analysis (</w:t>
            </w:r>
            <w:hyperlink r:id="rId58">
              <w:r w:rsidRPr="00610B1B">
                <w:rPr>
                  <w:rStyle w:val="Hyperlink"/>
                  <w:rFonts w:ascii="Times New Roman" w:hAnsi="Times New Roman" w:cs="Times New Roman"/>
                  <w:sz w:val="20"/>
                  <w:szCs w:val="20"/>
                  <w:lang w:val="bg-BG"/>
                </w:rPr>
                <w:t>https://www.eea.europa.eu/data-and-maps/data/eea-coastline-for-analysis-2</w:t>
              </w:r>
            </w:hyperlink>
            <w:r w:rsidRPr="00610B1B">
              <w:rPr>
                <w:rFonts w:ascii="Times New Roman" w:eastAsia="Calibri" w:hAnsi="Times New Roman" w:cs="Times New Roman"/>
                <w:iCs/>
                <w:color w:val="000000" w:themeColor="text1"/>
                <w:sz w:val="24"/>
                <w:szCs w:val="24"/>
                <w:lang w:val="bg-BG"/>
              </w:rPr>
              <w:t>)</w:t>
            </w:r>
            <w:r w:rsidRPr="00610B1B">
              <w:rPr>
                <w:rStyle w:val="Hyperlink"/>
                <w:rFonts w:ascii="Times New Roman" w:hAnsi="Times New Roman" w:cs="Times New Roman"/>
                <w:iCs/>
                <w:lang w:val="bg-BG"/>
              </w:rPr>
              <w:t>;</w:t>
            </w:r>
            <w:r w:rsidRPr="00610B1B">
              <w:rPr>
                <w:rFonts w:ascii="Times New Roman" w:eastAsia="Source Han Sans CN Regular" w:hAnsi="Times New Roman" w:cs="Times New Roman"/>
                <w:iCs/>
                <w:color w:val="000000" w:themeColor="text1"/>
                <w:sz w:val="20"/>
                <w:szCs w:val="20"/>
                <w:lang w:val="bg-BG" w:eastAsia="zh-CN" w:bidi="hi-IN"/>
              </w:rPr>
              <w:t xml:space="preserve"> Openstreetmap </w:t>
            </w:r>
            <w:r w:rsidRPr="00610B1B">
              <w:rPr>
                <w:rStyle w:val="Hyperlink"/>
                <w:rFonts w:ascii="Times New Roman" w:hAnsi="Times New Roman" w:cs="Times New Roman"/>
                <w:iCs/>
                <w:sz w:val="20"/>
                <w:szCs w:val="20"/>
                <w:lang w:val="bg-BG"/>
              </w:rPr>
              <w:t>(</w:t>
            </w:r>
            <w:hyperlink r:id="rId59">
              <w:r w:rsidRPr="00610B1B">
                <w:rPr>
                  <w:rStyle w:val="Hyperlink"/>
                  <w:rFonts w:ascii="Times New Roman" w:hAnsi="Times New Roman" w:cs="Times New Roman"/>
                  <w:iCs/>
                  <w:sz w:val="20"/>
                  <w:szCs w:val="20"/>
                  <w:lang w:val="bg-BG"/>
                </w:rPr>
                <w:t>https://www.openstreetmap.org/</w:t>
              </w:r>
            </w:hyperlink>
            <w:r w:rsidRPr="00610B1B">
              <w:rPr>
                <w:rFonts w:ascii="Times New Roman" w:eastAsia="Source Han Sans CN Regular" w:hAnsi="Times New Roman" w:cs="Times New Roman"/>
                <w:iCs/>
                <w:color w:val="000000" w:themeColor="text1"/>
                <w:sz w:val="20"/>
                <w:szCs w:val="20"/>
                <w:lang w:val="bg-BG" w:eastAsia="zh-CN" w:bidi="hi-IN"/>
              </w:rPr>
              <w:t>)</w:t>
            </w:r>
            <w:r w:rsidR="006907C2" w:rsidRPr="00610B1B">
              <w:rPr>
                <w:rFonts w:ascii="Times New Roman" w:eastAsia="Source Han Sans CN Regular" w:hAnsi="Times New Roman" w:cs="Times New Roman"/>
                <w:iCs/>
                <w:color w:val="000000" w:themeColor="text1"/>
                <w:sz w:val="20"/>
                <w:szCs w:val="20"/>
                <w:lang w:val="bg-BG" w:eastAsia="zh-CN" w:bidi="hi-IN"/>
              </w:rPr>
              <w:t xml:space="preserve">, </w:t>
            </w:r>
            <w:r w:rsidR="006907C2" w:rsidRPr="00610B1B">
              <w:rPr>
                <w:rFonts w:ascii="Times New Roman" w:eastAsia="Source Han Sans CN Regular" w:hAnsi="Times New Roman" w:cs="Times New Roman"/>
                <w:color w:val="000000" w:themeColor="text1"/>
                <w:sz w:val="20"/>
                <w:szCs w:val="20"/>
                <w:lang w:val="bg-BG" w:eastAsia="zh-CN" w:bidi="hi-IN"/>
              </w:rPr>
              <w:t>АГКК</w:t>
            </w:r>
          </w:p>
        </w:tc>
      </w:tr>
      <w:tr w:rsidR="00442579" w:rsidRPr="00610B1B" w14:paraId="6F00C4CA" w14:textId="77777777" w:rsidTr="00173C7E">
        <w:tc>
          <w:tcPr>
            <w:tcW w:w="2172" w:type="dxa"/>
            <w:shd w:val="clear" w:color="auto" w:fill="auto"/>
            <w:tcMar>
              <w:left w:w="54" w:type="dxa"/>
            </w:tcMar>
            <w:vAlign w:val="center"/>
          </w:tcPr>
          <w:p w14:paraId="41CF6497" w14:textId="77777777" w:rsidR="00442579" w:rsidRPr="00610B1B" w:rsidRDefault="00442579" w:rsidP="00173C7E">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Социални индикатори</w:t>
            </w:r>
          </w:p>
        </w:tc>
        <w:tc>
          <w:tcPr>
            <w:tcW w:w="2391" w:type="dxa"/>
            <w:shd w:val="clear" w:color="auto" w:fill="auto"/>
            <w:tcMar>
              <w:left w:w="54" w:type="dxa"/>
            </w:tcMar>
          </w:tcPr>
          <w:p w14:paraId="4C52D2D1"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Население в крайбрежната зона (населени места със землище на брега или в зона Б (ЗУЧК)</w:t>
            </w:r>
          </w:p>
          <w:p w14:paraId="206E6D3A"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Население в големите градове</w:t>
            </w:r>
          </w:p>
          <w:p w14:paraId="6F61903A" w14:textId="2D882118"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Население с висше образование</w:t>
            </w:r>
          </w:p>
        </w:tc>
        <w:tc>
          <w:tcPr>
            <w:tcW w:w="1684" w:type="dxa"/>
            <w:shd w:val="clear" w:color="auto" w:fill="auto"/>
            <w:tcMar>
              <w:left w:w="54" w:type="dxa"/>
            </w:tcMar>
          </w:tcPr>
          <w:p w14:paraId="0CE6F151"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брой</w:t>
            </w:r>
          </w:p>
          <w:p w14:paraId="12C467CD" w14:textId="0686185A"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p>
          <w:p w14:paraId="6160E0E7" w14:textId="1ECDC0CB" w:rsidR="00D106CF" w:rsidRPr="00610B1B" w:rsidRDefault="00D106CF"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p>
          <w:p w14:paraId="5669F3D3" w14:textId="39BBDBD1" w:rsidR="00D106CF" w:rsidRPr="00610B1B" w:rsidRDefault="00D106CF"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p>
          <w:p w14:paraId="76ECA58F" w14:textId="77777777" w:rsidR="00D106CF" w:rsidRPr="00610B1B" w:rsidRDefault="00D106CF"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p>
          <w:p w14:paraId="13CEDFDE"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брой</w:t>
            </w:r>
          </w:p>
          <w:p w14:paraId="78F4F1A7" w14:textId="2E7BE09C"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p>
          <w:p w14:paraId="67E78E7A"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p>
          <w:p w14:paraId="3951C400"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 от населението</w:t>
            </w:r>
          </w:p>
        </w:tc>
        <w:tc>
          <w:tcPr>
            <w:tcW w:w="3437" w:type="dxa"/>
            <w:shd w:val="clear" w:color="auto" w:fill="auto"/>
            <w:tcMar>
              <w:left w:w="54" w:type="dxa"/>
            </w:tcMar>
          </w:tcPr>
          <w:p w14:paraId="10D8FA23" w14:textId="77777777" w:rsidR="00442579" w:rsidRPr="00610B1B" w:rsidRDefault="00442579" w:rsidP="00D32D6A">
            <w:pPr>
              <w:widowControl w:val="0"/>
              <w:spacing w:after="0" w:line="240" w:lineRule="auto"/>
              <w:rPr>
                <w:rFonts w:ascii="Times New Roman" w:eastAsia="Source Han Sans CN Regular" w:hAnsi="Times New Roman" w:cs="Times New Roman"/>
                <w:color w:val="000000" w:themeColor="text1"/>
                <w:sz w:val="20"/>
                <w:szCs w:val="20"/>
                <w:lang w:val="bg-BG" w:eastAsia="zh-CN" w:bidi="hi-IN"/>
              </w:rPr>
            </w:pPr>
            <w:r w:rsidRPr="00610B1B">
              <w:rPr>
                <w:rFonts w:ascii="Times New Roman" w:eastAsia="Source Han Sans CN Regular" w:hAnsi="Times New Roman" w:cs="Times New Roman"/>
                <w:color w:val="000000" w:themeColor="text1"/>
                <w:sz w:val="20"/>
                <w:szCs w:val="20"/>
                <w:lang w:val="bg-BG" w:eastAsia="zh-CN" w:bidi="hi-IN"/>
              </w:rPr>
              <w:t>НСИ, Демографска статистика</w:t>
            </w:r>
          </w:p>
        </w:tc>
      </w:tr>
    </w:tbl>
    <w:p w14:paraId="5B244C55" w14:textId="77777777" w:rsidR="001912E5" w:rsidRPr="00610B1B" w:rsidRDefault="001912E5" w:rsidP="00D32D6A">
      <w:pPr>
        <w:spacing w:after="120"/>
        <w:ind w:right="-153"/>
        <w:rPr>
          <w:rFonts w:ascii="Times New Roman" w:eastAsia="Calibri" w:hAnsi="Times New Roman" w:cs="Times New Roman"/>
          <w:color w:val="000000" w:themeColor="text1"/>
          <w:sz w:val="24"/>
          <w:szCs w:val="24"/>
          <w:lang w:val="bg-BG"/>
        </w:rPr>
      </w:pPr>
    </w:p>
    <w:p w14:paraId="1DA6B164" w14:textId="77777777" w:rsidR="009907CE" w:rsidRPr="00610B1B" w:rsidRDefault="001912E5"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Допълнителна оценка е извършена и на база информацията от платформата за наблюдение на човешките дейности в морските пространства и състоянието на морската околна среда</w:t>
      </w:r>
      <w:r w:rsidR="00D66FE0" w:rsidRPr="00610B1B">
        <w:rPr>
          <w:rFonts w:ascii="Times New Roman" w:eastAsia="Calibri" w:hAnsi="Times New Roman" w:cs="Times New Roman"/>
          <w:color w:val="000000" w:themeColor="text1"/>
          <w:sz w:val="24"/>
          <w:szCs w:val="24"/>
          <w:lang w:val="bg-BG"/>
        </w:rPr>
        <w:t xml:space="preserve"> </w:t>
      </w:r>
      <w:r w:rsidRPr="00610B1B">
        <w:rPr>
          <w:rFonts w:ascii="Times New Roman" w:eastAsia="Calibri" w:hAnsi="Times New Roman" w:cs="Times New Roman"/>
          <w:color w:val="000000" w:themeColor="text1"/>
          <w:sz w:val="24"/>
          <w:szCs w:val="24"/>
          <w:lang w:val="bg-BG"/>
        </w:rPr>
        <w:t xml:space="preserve">EMODnet. </w:t>
      </w:r>
    </w:p>
    <w:p w14:paraId="703184E6" w14:textId="4DD5C9AC" w:rsidR="00EA4600" w:rsidRPr="00610B1B" w:rsidRDefault="00EA4600"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br w:type="page"/>
      </w:r>
    </w:p>
    <w:p w14:paraId="453E4A06" w14:textId="4A3D8F39" w:rsidR="00442579" w:rsidRPr="00610B1B" w:rsidRDefault="007F718F" w:rsidP="00D32D6A">
      <w:pPr>
        <w:pStyle w:val="Heading1"/>
        <w:spacing w:before="0" w:line="276" w:lineRule="auto"/>
        <w:rPr>
          <w:rStyle w:val="Heading1Char"/>
          <w:rFonts w:cs="Times New Roman"/>
          <w:b/>
          <w:bCs/>
        </w:rPr>
      </w:pPr>
      <w:bookmarkStart w:id="447" w:name="_Toc83391424"/>
      <w:bookmarkEnd w:id="445"/>
      <w:r w:rsidRPr="00610B1B">
        <w:rPr>
          <w:rFonts w:cs="Times New Roman"/>
        </w:rPr>
        <w:lastRenderedPageBreak/>
        <w:t>5.</w:t>
      </w:r>
      <w:r w:rsidRPr="00610B1B">
        <w:rPr>
          <w:rFonts w:cs="Times New Roman"/>
          <w:b w:val="0"/>
          <w:bCs w:val="0"/>
        </w:rPr>
        <w:t xml:space="preserve"> </w:t>
      </w:r>
      <w:r w:rsidR="00442579" w:rsidRPr="00610B1B">
        <w:rPr>
          <w:rStyle w:val="Heading1Char"/>
          <w:rFonts w:cs="Times New Roman"/>
          <w:b/>
          <w:bCs/>
        </w:rPr>
        <w:t>ВИЗИЯ, СТРАТЕГИЧЕСКИ ЦЕЛИ И ПРИОРИТЕТИ</w:t>
      </w:r>
      <w:bookmarkEnd w:id="447"/>
      <w:r w:rsidR="00D66FE0" w:rsidRPr="00610B1B">
        <w:rPr>
          <w:rStyle w:val="Heading1Char"/>
          <w:rFonts w:cs="Times New Roman"/>
          <w:b/>
          <w:bCs/>
        </w:rPr>
        <w:t xml:space="preserve"> </w:t>
      </w:r>
    </w:p>
    <w:p w14:paraId="0C5551A0" w14:textId="16951113" w:rsidR="00442579" w:rsidRPr="00610B1B" w:rsidRDefault="007F718F" w:rsidP="00D32D6A">
      <w:pPr>
        <w:pStyle w:val="Heading2"/>
        <w:spacing w:before="0" w:line="276" w:lineRule="auto"/>
        <w:ind w:right="-153"/>
        <w:rPr>
          <w:rFonts w:cs="Times New Roman"/>
        </w:rPr>
      </w:pPr>
      <w:bookmarkStart w:id="448" w:name="_Toc83391425"/>
      <w:r w:rsidRPr="00610B1B">
        <w:rPr>
          <w:rFonts w:cs="Times New Roman"/>
        </w:rPr>
        <w:t xml:space="preserve">5.1. </w:t>
      </w:r>
      <w:r w:rsidR="00442579" w:rsidRPr="00610B1B">
        <w:rPr>
          <w:rFonts w:cs="Times New Roman"/>
        </w:rPr>
        <w:t>Визия за развитие, опазване и използване на морското пространство</w:t>
      </w:r>
      <w:bookmarkEnd w:id="448"/>
    </w:p>
    <w:p w14:paraId="06D40D40" w14:textId="4FC28C76" w:rsidR="00442579" w:rsidRPr="00610B1B" w:rsidRDefault="00A572F0"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Визията за развитие, опазване и използване на националното морско пространство се гради върху мотото на плана „</w:t>
      </w:r>
      <w:bookmarkStart w:id="449" w:name="_Hlk46663017"/>
      <w:r w:rsidRPr="00610B1B">
        <w:rPr>
          <w:rFonts w:ascii="Times New Roman" w:eastAsia="Calibri" w:hAnsi="Times New Roman" w:cs="Times New Roman"/>
          <w:b/>
          <w:bCs/>
          <w:color w:val="000000" w:themeColor="text1"/>
          <w:sz w:val="24"/>
          <w:szCs w:val="24"/>
          <w:lang w:val="bg-BG"/>
        </w:rPr>
        <w:t xml:space="preserve">Черно море – отворена врата към света, българското Черноморско крайбрежие – </w:t>
      </w:r>
      <w:r w:rsidR="00953270" w:rsidRPr="00610B1B">
        <w:rPr>
          <w:rFonts w:ascii="Times New Roman" w:eastAsia="Calibri" w:hAnsi="Times New Roman" w:cs="Times New Roman"/>
          <w:b/>
          <w:bCs/>
          <w:color w:val="000000" w:themeColor="text1"/>
          <w:sz w:val="24"/>
          <w:szCs w:val="24"/>
          <w:lang w:val="bg-BG"/>
        </w:rPr>
        <w:t>наша</w:t>
      </w:r>
      <w:r w:rsidRPr="00610B1B">
        <w:rPr>
          <w:rFonts w:ascii="Times New Roman" w:eastAsia="Calibri" w:hAnsi="Times New Roman" w:cs="Times New Roman"/>
          <w:b/>
          <w:bCs/>
          <w:color w:val="000000" w:themeColor="text1"/>
          <w:sz w:val="24"/>
          <w:szCs w:val="24"/>
          <w:lang w:val="bg-BG"/>
        </w:rPr>
        <w:t xml:space="preserve"> отговорност и </w:t>
      </w:r>
      <w:r w:rsidR="008B3B5A" w:rsidRPr="00610B1B">
        <w:rPr>
          <w:rFonts w:ascii="Times New Roman" w:eastAsia="Calibri" w:hAnsi="Times New Roman" w:cs="Times New Roman"/>
          <w:b/>
          <w:bCs/>
          <w:color w:val="000000" w:themeColor="text1"/>
          <w:sz w:val="24"/>
          <w:szCs w:val="24"/>
          <w:lang w:val="bg-BG"/>
        </w:rPr>
        <w:t xml:space="preserve">общо </w:t>
      </w:r>
      <w:r w:rsidRPr="00610B1B">
        <w:rPr>
          <w:rFonts w:ascii="Times New Roman" w:eastAsia="Calibri" w:hAnsi="Times New Roman" w:cs="Times New Roman"/>
          <w:b/>
          <w:bCs/>
          <w:color w:val="000000" w:themeColor="text1"/>
          <w:sz w:val="24"/>
          <w:szCs w:val="24"/>
          <w:lang w:val="bg-BG"/>
        </w:rPr>
        <w:t>наследство</w:t>
      </w:r>
      <w:bookmarkEnd w:id="449"/>
      <w:r w:rsidRPr="00610B1B">
        <w:rPr>
          <w:rFonts w:ascii="Times New Roman" w:eastAsia="Calibri" w:hAnsi="Times New Roman" w:cs="Times New Roman"/>
          <w:color w:val="000000" w:themeColor="text1"/>
          <w:sz w:val="24"/>
          <w:szCs w:val="24"/>
          <w:lang w:val="bg-BG"/>
        </w:rPr>
        <w:t xml:space="preserve">“, което осъществява връзките с Националната концепция за пространствено развитие за периода 2013-2025 г. и нейната Актуализация от 2019 г. Тя се изгражда в </w:t>
      </w:r>
      <w:r w:rsidR="00442579" w:rsidRPr="00610B1B">
        <w:rPr>
          <w:rFonts w:ascii="Times New Roman" w:eastAsia="Calibri" w:hAnsi="Times New Roman" w:cs="Times New Roman"/>
          <w:color w:val="000000" w:themeColor="text1"/>
          <w:sz w:val="24"/>
          <w:szCs w:val="24"/>
          <w:lang w:val="bg-BG"/>
        </w:rPr>
        <w:t>контекст</w:t>
      </w:r>
      <w:r w:rsidR="008F57C6" w:rsidRPr="00610B1B">
        <w:rPr>
          <w:rFonts w:ascii="Times New Roman" w:eastAsia="Calibri" w:hAnsi="Times New Roman" w:cs="Times New Roman"/>
          <w:color w:val="000000" w:themeColor="text1"/>
          <w:sz w:val="24"/>
          <w:szCs w:val="24"/>
          <w:lang w:val="bg-BG"/>
        </w:rPr>
        <w:t>а на</w:t>
      </w:r>
      <w:r w:rsidR="00442579" w:rsidRPr="00610B1B">
        <w:rPr>
          <w:rFonts w:ascii="Times New Roman" w:eastAsia="Calibri" w:hAnsi="Times New Roman" w:cs="Times New Roman"/>
          <w:color w:val="000000" w:themeColor="text1"/>
          <w:sz w:val="24"/>
          <w:szCs w:val="24"/>
          <w:lang w:val="bg-BG"/>
        </w:rPr>
        <w:t xml:space="preserve"> три различни мащаба:</w:t>
      </w:r>
    </w:p>
    <w:p w14:paraId="3C7A734A" w14:textId="0CA1A7CB" w:rsidR="009879BF" w:rsidRPr="00610B1B" w:rsidRDefault="00442579" w:rsidP="00B46189">
      <w:pPr>
        <w:pStyle w:val="ListParagraph"/>
        <w:numPr>
          <w:ilvl w:val="0"/>
          <w:numId w:val="28"/>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i/>
          <w:sz w:val="24"/>
          <w:szCs w:val="24"/>
          <w:lang w:val="bg-BG"/>
        </w:rPr>
        <w:t>Глобален мащаб</w:t>
      </w:r>
      <w:r w:rsidRPr="00610B1B">
        <w:rPr>
          <w:rFonts w:ascii="Times New Roman" w:eastAsia="Calibri" w:hAnsi="Times New Roman" w:cs="Times New Roman"/>
          <w:sz w:val="24"/>
          <w:szCs w:val="24"/>
          <w:lang w:val="bg-BG"/>
        </w:rPr>
        <w:t xml:space="preserve"> </w:t>
      </w:r>
      <w:r w:rsidR="009879BF" w:rsidRPr="00610B1B">
        <w:rPr>
          <w:rFonts w:ascii="Times New Roman" w:eastAsia="Calibri" w:hAnsi="Times New Roman" w:cs="Times New Roman"/>
          <w:sz w:val="24"/>
          <w:szCs w:val="24"/>
          <w:lang w:val="bg-BG"/>
        </w:rPr>
        <w:t>–</w:t>
      </w:r>
      <w:r w:rsidR="00D66FE0" w:rsidRPr="00610B1B">
        <w:rPr>
          <w:rFonts w:ascii="Times New Roman" w:eastAsia="Calibri" w:hAnsi="Times New Roman" w:cs="Times New Roman"/>
          <w:sz w:val="24"/>
          <w:szCs w:val="24"/>
          <w:lang w:val="bg-BG"/>
        </w:rPr>
        <w:t xml:space="preserve"> </w:t>
      </w:r>
      <w:r w:rsidR="009879BF" w:rsidRPr="00610B1B">
        <w:rPr>
          <w:rFonts w:ascii="Times New Roman" w:eastAsia="Calibri" w:hAnsi="Times New Roman" w:cs="Times New Roman"/>
          <w:sz w:val="24"/>
          <w:szCs w:val="24"/>
          <w:lang w:val="bg-BG"/>
        </w:rPr>
        <w:t>Цел 14 на ООН за устойчиво развитие „Съхранение и устойчиво ползване на океаните, моретата и морските ресурси за устойчиво развитие“ е основа и ориентир за глобалната визия „човек – море“. Обективната зависимост показва, че колкото по-дълго и по-добре се съхранят морските екосистеми, толкова по-дълго ще съществуват и по-добри ще са шансовете за устойчиво развитие на зависимите от морето региони и морските индустрии.</w:t>
      </w:r>
    </w:p>
    <w:p w14:paraId="5C41002B" w14:textId="17F2597E" w:rsidR="00442579" w:rsidRPr="00610B1B" w:rsidRDefault="00442579" w:rsidP="00B46189">
      <w:pPr>
        <w:numPr>
          <w:ilvl w:val="0"/>
          <w:numId w:val="28"/>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i/>
          <w:sz w:val="24"/>
          <w:szCs w:val="24"/>
          <w:lang w:val="bg-BG"/>
        </w:rPr>
        <w:t xml:space="preserve">Европейски мащаб </w:t>
      </w:r>
      <w:r w:rsidRPr="00610B1B">
        <w:rPr>
          <w:rFonts w:ascii="Times New Roman" w:eastAsia="Calibri" w:hAnsi="Times New Roman" w:cs="Times New Roman"/>
          <w:sz w:val="24"/>
          <w:szCs w:val="24"/>
          <w:lang w:val="bg-BG"/>
        </w:rPr>
        <w:t>– Интегрираната морска политика (ИМП) на ЕС представлява цялостен подход към всички политики на ЕС, свързани с моретата и океаните</w:t>
      </w:r>
      <w:r w:rsidRPr="00610B1B">
        <w:rPr>
          <w:rFonts w:ascii="Times New Roman" w:eastAsia="Calibri" w:hAnsi="Times New Roman" w:cs="Times New Roman"/>
          <w:color w:val="000000" w:themeColor="text1"/>
          <w:sz w:val="24"/>
          <w:szCs w:val="24"/>
          <w:lang w:val="bg-BG"/>
        </w:rPr>
        <w:t>. ИМП е основана на идеята, че ЕС може да извлече по-голяма полза от моретата и океаните с по-малко въздействие върху околната среда чрез координиране на своите политики. ИМП обхваща почти всички морски ползвания - рибарство и аквакултури, морско корабоплаване и пристанища, морска среда, морски изследвания, енергия от разположени в морето инсталации, корабостроене и индустрии, свързани с морето, морски надзор, морски и крайбрежен туризъм, заетост, развитие на крайбрежните региони и външни отношения в морското дело.</w:t>
      </w:r>
    </w:p>
    <w:p w14:paraId="44B04624" w14:textId="608912BA" w:rsidR="00442579" w:rsidRPr="00610B1B" w:rsidRDefault="00442579" w:rsidP="00B46189">
      <w:pPr>
        <w:numPr>
          <w:ilvl w:val="0"/>
          <w:numId w:val="28"/>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i/>
          <w:color w:val="000000" w:themeColor="text1"/>
          <w:sz w:val="24"/>
          <w:szCs w:val="24"/>
          <w:lang w:val="bg-BG"/>
        </w:rPr>
        <w:t xml:space="preserve">Национален мащаб </w:t>
      </w:r>
      <w:r w:rsidRPr="00610B1B">
        <w:rPr>
          <w:rFonts w:ascii="Times New Roman" w:eastAsia="Calibri" w:hAnsi="Times New Roman" w:cs="Times New Roman"/>
          <w:color w:val="000000" w:themeColor="text1"/>
          <w:sz w:val="24"/>
          <w:szCs w:val="24"/>
          <w:lang w:val="bg-BG"/>
        </w:rPr>
        <w:t>– конкретизира желаното състояние на морето и прилежащите пространства при ползвания</w:t>
      </w:r>
      <w:r w:rsidR="006B2463" w:rsidRPr="00610B1B">
        <w:rPr>
          <w:rFonts w:ascii="Times New Roman" w:eastAsia="Calibri" w:hAnsi="Times New Roman" w:cs="Times New Roman"/>
          <w:color w:val="000000" w:themeColor="text1"/>
          <w:sz w:val="24"/>
          <w:szCs w:val="24"/>
          <w:lang w:val="bg-BG"/>
        </w:rPr>
        <w:t>,</w:t>
      </w:r>
      <w:r w:rsidRPr="00610B1B">
        <w:rPr>
          <w:rFonts w:ascii="Times New Roman" w:eastAsia="Calibri" w:hAnsi="Times New Roman" w:cs="Times New Roman"/>
          <w:color w:val="000000" w:themeColor="text1"/>
          <w:sz w:val="24"/>
          <w:szCs w:val="24"/>
          <w:lang w:val="bg-BG"/>
        </w:rPr>
        <w:t xml:space="preserve"> съобразно избрания сценарий</w:t>
      </w:r>
      <w:r w:rsidR="00A572F0" w:rsidRPr="00610B1B">
        <w:rPr>
          <w:rFonts w:ascii="Times New Roman" w:eastAsia="Calibri" w:hAnsi="Times New Roman" w:cs="Times New Roman"/>
          <w:color w:val="000000" w:themeColor="text1"/>
          <w:sz w:val="24"/>
          <w:szCs w:val="24"/>
          <w:lang w:val="bg-BG"/>
        </w:rPr>
        <w:t xml:space="preserve">: </w:t>
      </w:r>
    </w:p>
    <w:p w14:paraId="397FA8B9" w14:textId="66F0BA27" w:rsidR="00442579" w:rsidRPr="00610B1B" w:rsidRDefault="00A572F0" w:rsidP="00B46189">
      <w:pPr>
        <w:numPr>
          <w:ilvl w:val="1"/>
          <w:numId w:val="28"/>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Ясно избрани приоритети за разв</w:t>
      </w:r>
      <w:r w:rsidR="006B2463" w:rsidRPr="00610B1B">
        <w:rPr>
          <w:rFonts w:ascii="Times New Roman" w:eastAsia="Calibri" w:hAnsi="Times New Roman" w:cs="Times New Roman"/>
          <w:color w:val="000000" w:themeColor="text1"/>
          <w:sz w:val="24"/>
          <w:szCs w:val="24"/>
          <w:lang w:val="bg-BG"/>
        </w:rPr>
        <w:t>и</w:t>
      </w:r>
      <w:r w:rsidRPr="00610B1B">
        <w:rPr>
          <w:rFonts w:ascii="Times New Roman" w:eastAsia="Calibri" w:hAnsi="Times New Roman" w:cs="Times New Roman"/>
          <w:color w:val="000000" w:themeColor="text1"/>
          <w:sz w:val="24"/>
          <w:szCs w:val="24"/>
          <w:lang w:val="bg-BG"/>
        </w:rPr>
        <w:t xml:space="preserve">тие с балансирани </w:t>
      </w:r>
      <w:r w:rsidR="00442579" w:rsidRPr="00610B1B">
        <w:rPr>
          <w:rFonts w:ascii="Times New Roman" w:eastAsia="Calibri" w:hAnsi="Times New Roman" w:cs="Times New Roman"/>
          <w:color w:val="000000" w:themeColor="text1"/>
          <w:sz w:val="24"/>
          <w:szCs w:val="24"/>
          <w:lang w:val="bg-BG"/>
        </w:rPr>
        <w:t>икономически, социални и екологични ползи, конкурентна, иновативна и устойчива морска индустрия;</w:t>
      </w:r>
    </w:p>
    <w:p w14:paraId="71788C48" w14:textId="77777777" w:rsidR="00442579" w:rsidRPr="00610B1B" w:rsidRDefault="00442579" w:rsidP="00B46189">
      <w:pPr>
        <w:numPr>
          <w:ilvl w:val="1"/>
          <w:numId w:val="28"/>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Морето запазва и подобрява екологичния си статус и биологичното си разнообразие;</w:t>
      </w:r>
    </w:p>
    <w:p w14:paraId="38AAA682" w14:textId="51BB9602" w:rsidR="00442579" w:rsidRPr="00610B1B" w:rsidRDefault="00442579" w:rsidP="00B46189">
      <w:pPr>
        <w:numPr>
          <w:ilvl w:val="1"/>
          <w:numId w:val="28"/>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Местните общности по цялото българско </w:t>
      </w:r>
      <w:r w:rsidR="00A572F0" w:rsidRPr="00610B1B">
        <w:rPr>
          <w:rFonts w:ascii="Times New Roman" w:eastAsia="Calibri" w:hAnsi="Times New Roman" w:cs="Times New Roman"/>
          <w:color w:val="000000" w:themeColor="text1"/>
          <w:sz w:val="24"/>
          <w:szCs w:val="24"/>
          <w:lang w:val="bg-BG"/>
        </w:rPr>
        <w:t xml:space="preserve">Черноморско </w:t>
      </w:r>
      <w:r w:rsidRPr="00610B1B">
        <w:rPr>
          <w:rFonts w:ascii="Times New Roman" w:eastAsia="Calibri" w:hAnsi="Times New Roman" w:cs="Times New Roman"/>
          <w:color w:val="000000" w:themeColor="text1"/>
          <w:sz w:val="24"/>
          <w:szCs w:val="24"/>
          <w:lang w:val="bg-BG"/>
        </w:rPr>
        <w:t>крайбрежие имат стабилна и равномерна заетост, повишено благосъстояние, изявена идентичност и сплотеност;</w:t>
      </w:r>
    </w:p>
    <w:p w14:paraId="05C2A8EA" w14:textId="77777777" w:rsidR="00442579" w:rsidRPr="00610B1B" w:rsidRDefault="00442579" w:rsidP="00B46189">
      <w:pPr>
        <w:numPr>
          <w:ilvl w:val="1"/>
          <w:numId w:val="28"/>
        </w:num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МППРБ е институционализиран, прилага се ефективно и осигурява безконфликтни ползвания в лимитите на устойчивите екосистемни услуги на Черно море. </w:t>
      </w:r>
    </w:p>
    <w:p w14:paraId="76326796" w14:textId="7DD3D7B1" w:rsidR="00442579" w:rsidRPr="00610B1B" w:rsidRDefault="00442579" w:rsidP="00527A14">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lastRenderedPageBreak/>
        <w:t>На тази основа, визията на МППРБ описва желания резултат от прилагането му чрез общи</w:t>
      </w:r>
      <w:r w:rsidR="007F718F" w:rsidRPr="00610B1B">
        <w:rPr>
          <w:rFonts w:ascii="Times New Roman" w:eastAsia="Calibri" w:hAnsi="Times New Roman" w:cs="Times New Roman"/>
          <w:color w:val="000000" w:themeColor="text1"/>
          <w:sz w:val="24"/>
          <w:szCs w:val="24"/>
          <w:lang w:val="bg-BG"/>
        </w:rPr>
        <w:t xml:space="preserve"> еднопосочни</w:t>
      </w:r>
      <w:r w:rsidRPr="00610B1B">
        <w:rPr>
          <w:rFonts w:ascii="Times New Roman" w:eastAsia="Calibri" w:hAnsi="Times New Roman" w:cs="Times New Roman"/>
          <w:color w:val="000000" w:themeColor="text1"/>
          <w:sz w:val="24"/>
          <w:szCs w:val="24"/>
          <w:lang w:val="bg-BG"/>
        </w:rPr>
        <w:t xml:space="preserve"> послания</w:t>
      </w:r>
      <w:r w:rsidR="009F3C0B" w:rsidRPr="00610B1B">
        <w:rPr>
          <w:rFonts w:ascii="Times New Roman" w:eastAsia="Calibri" w:hAnsi="Times New Roman" w:cs="Times New Roman"/>
          <w:color w:val="000000" w:themeColor="text1"/>
          <w:sz w:val="24"/>
          <w:szCs w:val="24"/>
          <w:lang w:val="bg-BG"/>
        </w:rPr>
        <w:t xml:space="preserve">. </w:t>
      </w:r>
      <w:r w:rsidRPr="00610B1B">
        <w:rPr>
          <w:rFonts w:ascii="Times New Roman" w:eastAsia="Calibri" w:hAnsi="Times New Roman" w:cs="Times New Roman"/>
          <w:color w:val="000000" w:themeColor="text1"/>
          <w:sz w:val="24"/>
          <w:szCs w:val="24"/>
          <w:lang w:val="bg-BG"/>
        </w:rPr>
        <w:t>Това е Визия на помирението и на баланса, отправна цел не само на МППРБ, но и на всички секторни политики с интерес в морското пространство.</w:t>
      </w:r>
      <w:r w:rsidR="00527A14" w:rsidRPr="00610B1B">
        <w:rPr>
          <w:rFonts w:ascii="Times New Roman" w:eastAsia="Calibri" w:hAnsi="Times New Roman" w:cs="Times New Roman"/>
          <w:color w:val="000000" w:themeColor="text1"/>
          <w:sz w:val="24"/>
          <w:szCs w:val="24"/>
          <w:lang w:val="bg-BG"/>
        </w:rPr>
        <w:t xml:space="preserve"> </w:t>
      </w:r>
      <w:bookmarkStart w:id="450" w:name="_Hlk46663195"/>
    </w:p>
    <w:bookmarkEnd w:id="450"/>
    <w:p w14:paraId="053B26FC" w14:textId="2452214A" w:rsidR="00F24CC3" w:rsidRPr="00610B1B" w:rsidRDefault="00F37D59"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Изборът на най-подходяща версия </w:t>
      </w:r>
      <w:r w:rsidR="00527A14" w:rsidRPr="00610B1B">
        <w:rPr>
          <w:rFonts w:ascii="Times New Roman" w:eastAsia="Calibri" w:hAnsi="Times New Roman" w:cs="Times New Roman"/>
          <w:color w:val="000000" w:themeColor="text1"/>
          <w:sz w:val="24"/>
          <w:szCs w:val="24"/>
          <w:lang w:val="bg-BG"/>
        </w:rPr>
        <w:t>премина през</w:t>
      </w:r>
      <w:r w:rsidRPr="00610B1B">
        <w:rPr>
          <w:rFonts w:ascii="Times New Roman" w:eastAsia="Calibri" w:hAnsi="Times New Roman" w:cs="Times New Roman"/>
          <w:color w:val="000000" w:themeColor="text1"/>
          <w:sz w:val="24"/>
          <w:szCs w:val="24"/>
          <w:lang w:val="bg-BG"/>
        </w:rPr>
        <w:t xml:space="preserve"> процес на консултации </w:t>
      </w:r>
      <w:r w:rsidR="006B2463" w:rsidRPr="00610B1B">
        <w:rPr>
          <w:rFonts w:ascii="Times New Roman" w:eastAsia="Calibri" w:hAnsi="Times New Roman" w:cs="Times New Roman"/>
          <w:color w:val="000000" w:themeColor="text1"/>
          <w:sz w:val="24"/>
          <w:szCs w:val="24"/>
          <w:lang w:val="bg-BG"/>
        </w:rPr>
        <w:t xml:space="preserve">с </w:t>
      </w:r>
      <w:r w:rsidRPr="00610B1B">
        <w:rPr>
          <w:rFonts w:ascii="Times New Roman" w:eastAsia="Calibri" w:hAnsi="Times New Roman" w:cs="Times New Roman"/>
          <w:color w:val="000000" w:themeColor="text1"/>
          <w:sz w:val="24"/>
          <w:szCs w:val="24"/>
          <w:lang w:val="bg-BG"/>
        </w:rPr>
        <w:t>представители на заинтересованите страни по МППРБ.</w:t>
      </w:r>
      <w:r w:rsidR="00F24CC3" w:rsidRPr="00610B1B">
        <w:rPr>
          <w:rFonts w:ascii="Times New Roman" w:hAnsi="Times New Roman" w:cs="Times New Roman"/>
          <w:lang w:val="bg-BG"/>
        </w:rPr>
        <w:t xml:space="preserve"> </w:t>
      </w:r>
      <w:r w:rsidR="00F24CC3" w:rsidRPr="00610B1B">
        <w:rPr>
          <w:rFonts w:ascii="Times New Roman" w:eastAsia="Calibri" w:hAnsi="Times New Roman" w:cs="Times New Roman"/>
          <w:color w:val="000000" w:themeColor="text1"/>
          <w:sz w:val="24"/>
          <w:szCs w:val="24"/>
          <w:lang w:val="bg-BG"/>
        </w:rPr>
        <w:t>В рамките на интердисциплинарните семинари „Синя синергия“ и „Какво бъдеще за нашето Черно море“</w:t>
      </w:r>
      <w:r w:rsidR="002D5B90" w:rsidRPr="00610B1B">
        <w:rPr>
          <w:rFonts w:ascii="Times New Roman" w:eastAsia="Calibri" w:hAnsi="Times New Roman" w:cs="Times New Roman"/>
          <w:color w:val="000000" w:themeColor="text1"/>
          <w:sz w:val="24"/>
          <w:szCs w:val="24"/>
          <w:lang w:val="bg-BG"/>
        </w:rPr>
        <w:t xml:space="preserve"> (</w:t>
      </w:r>
      <w:r w:rsidR="00F24CC3" w:rsidRPr="00610B1B">
        <w:rPr>
          <w:rFonts w:ascii="Times New Roman" w:eastAsia="Calibri" w:hAnsi="Times New Roman" w:cs="Times New Roman"/>
          <w:color w:val="000000" w:themeColor="text1"/>
          <w:sz w:val="24"/>
          <w:szCs w:val="24"/>
          <w:lang w:val="bg-BG"/>
        </w:rPr>
        <w:t>Бургас</w:t>
      </w:r>
      <w:r w:rsidR="002D5B90" w:rsidRPr="00610B1B">
        <w:rPr>
          <w:rFonts w:ascii="Times New Roman" w:eastAsia="Calibri" w:hAnsi="Times New Roman" w:cs="Times New Roman"/>
          <w:color w:val="000000" w:themeColor="text1"/>
          <w:sz w:val="24"/>
          <w:szCs w:val="24"/>
          <w:lang w:val="bg-BG"/>
        </w:rPr>
        <w:t xml:space="preserve">, </w:t>
      </w:r>
      <w:r w:rsidR="00F24CC3" w:rsidRPr="00610B1B">
        <w:rPr>
          <w:rFonts w:ascii="Times New Roman" w:eastAsia="Calibri" w:hAnsi="Times New Roman" w:cs="Times New Roman"/>
          <w:color w:val="000000" w:themeColor="text1"/>
          <w:sz w:val="24"/>
          <w:szCs w:val="24"/>
          <w:lang w:val="bg-BG"/>
        </w:rPr>
        <w:t>10</w:t>
      </w:r>
      <w:r w:rsidR="002D5B90" w:rsidRPr="00610B1B">
        <w:rPr>
          <w:rFonts w:ascii="Times New Roman" w:eastAsia="Calibri" w:hAnsi="Times New Roman" w:cs="Times New Roman"/>
          <w:color w:val="000000" w:themeColor="text1"/>
          <w:sz w:val="24"/>
          <w:szCs w:val="24"/>
          <w:lang w:val="bg-BG"/>
        </w:rPr>
        <w:t>.07.</w:t>
      </w:r>
      <w:r w:rsidR="00F24CC3" w:rsidRPr="00610B1B">
        <w:rPr>
          <w:rFonts w:ascii="Times New Roman" w:eastAsia="Calibri" w:hAnsi="Times New Roman" w:cs="Times New Roman"/>
          <w:color w:val="000000" w:themeColor="text1"/>
          <w:sz w:val="24"/>
          <w:szCs w:val="24"/>
          <w:lang w:val="bg-BG"/>
        </w:rPr>
        <w:t>2020 г</w:t>
      </w:r>
      <w:r w:rsidR="002D5B90" w:rsidRPr="00610B1B">
        <w:rPr>
          <w:rFonts w:ascii="Times New Roman" w:eastAsia="Calibri" w:hAnsi="Times New Roman" w:cs="Times New Roman"/>
          <w:color w:val="000000" w:themeColor="text1"/>
          <w:sz w:val="24"/>
          <w:szCs w:val="24"/>
          <w:lang w:val="bg-BG"/>
        </w:rPr>
        <w:t>.)</w:t>
      </w:r>
      <w:r w:rsidR="00F24CC3" w:rsidRPr="00610B1B">
        <w:rPr>
          <w:rFonts w:ascii="Times New Roman" w:eastAsia="Calibri" w:hAnsi="Times New Roman" w:cs="Times New Roman"/>
          <w:color w:val="000000" w:themeColor="text1"/>
          <w:sz w:val="24"/>
          <w:szCs w:val="24"/>
          <w:lang w:val="bg-BG"/>
        </w:rPr>
        <w:t xml:space="preserve">, </w:t>
      </w:r>
      <w:r w:rsidR="002D5B90" w:rsidRPr="00610B1B">
        <w:rPr>
          <w:rFonts w:ascii="Times New Roman" w:eastAsia="Calibri" w:hAnsi="Times New Roman" w:cs="Times New Roman"/>
          <w:color w:val="000000" w:themeColor="text1"/>
          <w:sz w:val="24"/>
          <w:szCs w:val="24"/>
          <w:lang w:val="bg-BG"/>
        </w:rPr>
        <w:t>н</w:t>
      </w:r>
      <w:r w:rsidR="00F24CC3" w:rsidRPr="00610B1B">
        <w:rPr>
          <w:rFonts w:ascii="Times New Roman" w:eastAsia="Calibri" w:hAnsi="Times New Roman" w:cs="Times New Roman"/>
          <w:color w:val="000000" w:themeColor="text1"/>
          <w:sz w:val="24"/>
          <w:szCs w:val="24"/>
          <w:lang w:val="bg-BG"/>
        </w:rPr>
        <w:t xml:space="preserve">а всички участници беше предоставена възможност за участие в </w:t>
      </w:r>
      <w:r w:rsidR="002D5B90" w:rsidRPr="00610B1B">
        <w:rPr>
          <w:rFonts w:ascii="Times New Roman" w:eastAsia="Calibri" w:hAnsi="Times New Roman" w:cs="Times New Roman"/>
          <w:color w:val="000000" w:themeColor="text1"/>
          <w:sz w:val="24"/>
          <w:szCs w:val="24"/>
          <w:lang w:val="bg-BG"/>
        </w:rPr>
        <w:t xml:space="preserve">социологическо </w:t>
      </w:r>
      <w:r w:rsidR="00F24CC3" w:rsidRPr="00610B1B">
        <w:rPr>
          <w:rFonts w:ascii="Times New Roman" w:eastAsia="Calibri" w:hAnsi="Times New Roman" w:cs="Times New Roman"/>
          <w:color w:val="000000" w:themeColor="text1"/>
          <w:sz w:val="24"/>
          <w:szCs w:val="24"/>
          <w:lang w:val="bg-BG"/>
        </w:rPr>
        <w:t>изследване</w:t>
      </w:r>
      <w:r w:rsidR="002D5B90" w:rsidRPr="00610B1B">
        <w:rPr>
          <w:rFonts w:ascii="Times New Roman" w:eastAsia="Calibri" w:hAnsi="Times New Roman" w:cs="Times New Roman"/>
          <w:color w:val="000000" w:themeColor="text1"/>
          <w:sz w:val="24"/>
          <w:szCs w:val="24"/>
          <w:lang w:val="bg-BG"/>
        </w:rPr>
        <w:t xml:space="preserve"> за </w:t>
      </w:r>
      <w:r w:rsidR="00F24CC3" w:rsidRPr="00610B1B">
        <w:rPr>
          <w:rFonts w:ascii="Times New Roman" w:eastAsia="Calibri" w:hAnsi="Times New Roman" w:cs="Times New Roman"/>
          <w:color w:val="000000" w:themeColor="text1"/>
          <w:sz w:val="24"/>
          <w:szCs w:val="24"/>
          <w:lang w:val="bg-BG"/>
        </w:rPr>
        <w:t xml:space="preserve">избор на визия на Морския пространствен план на Република България 2021-2035 с цел да се провери избраната посока на развитие и нагласите към предложенията. В социологическото проучване са се включили 37 от присъствалите на събитието експерти, което е близо ¾ от всички участници в семинарите. Най-високо са оценени обхватът и отразяването на важните за визията теми, които отговарят на разбиранията на експертите за желания образ на българското Черноморие след 15-20 години. Най-много критични оценки получават </w:t>
      </w:r>
      <w:r w:rsidR="00527A14" w:rsidRPr="00610B1B">
        <w:rPr>
          <w:rFonts w:ascii="Times New Roman" w:eastAsia="Calibri" w:hAnsi="Times New Roman" w:cs="Times New Roman"/>
          <w:color w:val="000000" w:themeColor="text1"/>
          <w:sz w:val="24"/>
          <w:szCs w:val="24"/>
          <w:lang w:val="bg-BG"/>
        </w:rPr>
        <w:t>вариантите</w:t>
      </w:r>
      <w:r w:rsidR="00F24CC3" w:rsidRPr="00610B1B">
        <w:rPr>
          <w:rFonts w:ascii="Times New Roman" w:eastAsia="Calibri" w:hAnsi="Times New Roman" w:cs="Times New Roman"/>
          <w:color w:val="000000" w:themeColor="text1"/>
          <w:sz w:val="24"/>
          <w:szCs w:val="24"/>
          <w:lang w:val="bg-BG"/>
        </w:rPr>
        <w:t xml:space="preserve"> за реалистичност и правдоподобност. </w:t>
      </w:r>
    </w:p>
    <w:p w14:paraId="360D0762" w14:textId="40FA9395" w:rsidR="00E72539" w:rsidRPr="00610B1B" w:rsidRDefault="002D5B90"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w:t>
      </w:r>
      <w:r w:rsidR="00DE7F8C" w:rsidRPr="00610B1B">
        <w:rPr>
          <w:rFonts w:ascii="Times New Roman" w:eastAsia="Calibri" w:hAnsi="Times New Roman" w:cs="Times New Roman"/>
          <w:color w:val="000000" w:themeColor="text1"/>
          <w:sz w:val="24"/>
          <w:szCs w:val="24"/>
          <w:lang w:val="bg-BG"/>
        </w:rPr>
        <w:t xml:space="preserve">роведените предварителни консултации, експертни оценки и анкетно проучване имат за цел да подпомогнат </w:t>
      </w:r>
      <w:r w:rsidRPr="00610B1B">
        <w:rPr>
          <w:rFonts w:ascii="Times New Roman" w:eastAsia="Calibri" w:hAnsi="Times New Roman" w:cs="Times New Roman"/>
          <w:color w:val="000000" w:themeColor="text1"/>
          <w:sz w:val="24"/>
          <w:szCs w:val="24"/>
          <w:lang w:val="bg-BG"/>
        </w:rPr>
        <w:t>Консултативния съвет при избора на визия</w:t>
      </w:r>
      <w:r w:rsidR="00DE7F8C" w:rsidRPr="00610B1B">
        <w:rPr>
          <w:rFonts w:ascii="Times New Roman" w:eastAsia="Calibri" w:hAnsi="Times New Roman" w:cs="Times New Roman"/>
          <w:color w:val="000000" w:themeColor="text1"/>
          <w:sz w:val="24"/>
          <w:szCs w:val="24"/>
          <w:lang w:val="bg-BG"/>
        </w:rPr>
        <w:t xml:space="preserve">. </w:t>
      </w:r>
      <w:r w:rsidRPr="00610B1B">
        <w:rPr>
          <w:rFonts w:ascii="Times New Roman" w:eastAsia="Calibri" w:hAnsi="Times New Roman" w:cs="Times New Roman"/>
          <w:color w:val="000000" w:themeColor="text1"/>
          <w:sz w:val="24"/>
          <w:szCs w:val="24"/>
          <w:lang w:val="bg-BG"/>
        </w:rPr>
        <w:t>Мненията</w:t>
      </w:r>
      <w:r w:rsidR="00DE7F8C" w:rsidRPr="00610B1B">
        <w:rPr>
          <w:rFonts w:ascii="Times New Roman" w:eastAsia="Calibri" w:hAnsi="Times New Roman" w:cs="Times New Roman"/>
          <w:color w:val="000000" w:themeColor="text1"/>
          <w:sz w:val="24"/>
          <w:szCs w:val="24"/>
          <w:lang w:val="bg-BG"/>
        </w:rPr>
        <w:t xml:space="preserve"> са разнопосочни</w:t>
      </w:r>
      <w:r w:rsidR="00DE7F8C" w:rsidRPr="00610B1B">
        <w:rPr>
          <w:rStyle w:val="FootnoteReference"/>
          <w:rFonts w:ascii="Times New Roman" w:eastAsia="Calibri" w:hAnsi="Times New Roman" w:cs="Times New Roman"/>
          <w:color w:val="000000" w:themeColor="text1"/>
          <w:sz w:val="24"/>
          <w:szCs w:val="24"/>
          <w:lang w:val="bg-BG"/>
        </w:rPr>
        <w:footnoteReference w:id="177"/>
      </w:r>
      <w:r w:rsidR="00DE7F8C" w:rsidRPr="00610B1B">
        <w:rPr>
          <w:rFonts w:ascii="Times New Roman" w:eastAsia="Calibri" w:hAnsi="Times New Roman" w:cs="Times New Roman"/>
          <w:color w:val="000000" w:themeColor="text1"/>
          <w:sz w:val="24"/>
          <w:szCs w:val="24"/>
          <w:lang w:val="bg-BG"/>
        </w:rPr>
        <w:t xml:space="preserve">, но показват ясно недостатъците, които трябва да бъдат отразени в окончателната редакция на избрания вариант. </w:t>
      </w:r>
      <w:r w:rsidR="00E72539" w:rsidRPr="00610B1B">
        <w:rPr>
          <w:rFonts w:ascii="Times New Roman" w:eastAsia="Calibri" w:hAnsi="Times New Roman" w:cs="Times New Roman"/>
          <w:color w:val="000000" w:themeColor="text1"/>
          <w:sz w:val="24"/>
          <w:szCs w:val="24"/>
          <w:lang w:val="bg-BG"/>
        </w:rPr>
        <w:t>Финализираната версия след Консултативния съвет е:</w:t>
      </w:r>
    </w:p>
    <w:p w14:paraId="62CDFA13" w14:textId="26CC135C" w:rsidR="00E72539" w:rsidRPr="00610B1B" w:rsidRDefault="00E72539" w:rsidP="003F3C59">
      <w:pPr>
        <w:pBdr>
          <w:top w:val="single" w:sz="4" w:space="1" w:color="auto"/>
          <w:left w:val="single" w:sz="4" w:space="4" w:color="auto"/>
          <w:bottom w:val="single" w:sz="4" w:space="1" w:color="auto"/>
          <w:right w:val="single" w:sz="4" w:space="4" w:color="auto"/>
        </w:pBdr>
        <w:shd w:val="clear" w:color="auto" w:fill="BEE6F0"/>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През 2035 г. в морските пространства на Република България е постигнато и се поддържа добро състояние на морската среда и богато биологично разнообразие. Най-значимите морски екосистемни услуги и културни ценности са възстановени и опазени. Морските пространства се използват от иновативна, конкурентна и устойчива Синя икономика. Морският пространствен план осигурява предвидимост и сигурност в морските пространства, координация и синергия между ползванията и намалява вредните въздействия от човешката дейност. Сътрудничеството между управлението, науката и икономиката създава нови знания и култура, услуги и биотехнологии в подкрепа на Синия растеж и подобреното благосъстояние на местните общности.</w:t>
      </w:r>
    </w:p>
    <w:p w14:paraId="708E8BA7" w14:textId="1EF00978" w:rsidR="00F37D59" w:rsidRPr="00610B1B" w:rsidRDefault="00F37D59" w:rsidP="00D32D6A">
      <w:pPr>
        <w:spacing w:after="120"/>
        <w:ind w:right="-153"/>
        <w:jc w:val="both"/>
        <w:rPr>
          <w:rFonts w:ascii="Times New Roman" w:eastAsia="Calibri" w:hAnsi="Times New Roman" w:cs="Times New Roman"/>
          <w:color w:val="000000" w:themeColor="text1"/>
          <w:sz w:val="24"/>
          <w:szCs w:val="24"/>
          <w:lang w:val="bg-BG"/>
        </w:rPr>
      </w:pPr>
    </w:p>
    <w:p w14:paraId="61B1C9F5" w14:textId="6D98ECAA" w:rsidR="00442579" w:rsidRPr="00610B1B" w:rsidRDefault="00F37D59" w:rsidP="00D32D6A">
      <w:pPr>
        <w:pStyle w:val="Heading2"/>
        <w:spacing w:before="0" w:line="276" w:lineRule="auto"/>
        <w:ind w:right="-153"/>
        <w:rPr>
          <w:rFonts w:cs="Times New Roman"/>
        </w:rPr>
      </w:pPr>
      <w:bookmarkStart w:id="451" w:name="_Toc83391426"/>
      <w:r w:rsidRPr="00610B1B">
        <w:rPr>
          <w:rFonts w:cs="Times New Roman"/>
        </w:rPr>
        <w:t xml:space="preserve">5.2. </w:t>
      </w:r>
      <w:r w:rsidR="00442579" w:rsidRPr="00610B1B">
        <w:rPr>
          <w:rFonts w:cs="Times New Roman"/>
        </w:rPr>
        <w:t>Стратегически цели</w:t>
      </w:r>
      <w:bookmarkEnd w:id="451"/>
    </w:p>
    <w:p w14:paraId="63F934ED" w14:textId="68488796" w:rsidR="00BC2B4F" w:rsidRPr="00610B1B" w:rsidRDefault="00BC2B4F"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Пакетът от стратегически цели на Морския пространствен план на Република България е разгърнат обвързано със стратегически международни, Европейски и национални документи, които определят насоките за развитие през следващите десетилетия. </w:t>
      </w:r>
    </w:p>
    <w:p w14:paraId="1F5FFCAF" w14:textId="4C4DE93A" w:rsidR="00AF4C05" w:rsidRPr="00610B1B" w:rsidRDefault="00442579"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Една от целите на ООН за устойчиво развитие е пряко свързана с обекта на МППРБ – „Съхранение и устойчиво ползване на океаните, моретата и морските ресурси за устойчиво развитие“. Смисловото тълкуване на визията води към същото обобщено послание, което е и основата за формулиране на </w:t>
      </w:r>
      <w:bookmarkStart w:id="452" w:name="_Hlk46660869"/>
      <w:r w:rsidRPr="00610B1B">
        <w:rPr>
          <w:rFonts w:ascii="Times New Roman" w:eastAsia="Calibri" w:hAnsi="Times New Roman" w:cs="Times New Roman"/>
          <w:color w:val="000000" w:themeColor="text1"/>
          <w:sz w:val="24"/>
          <w:szCs w:val="24"/>
          <w:lang w:val="bg-BG"/>
        </w:rPr>
        <w:t>Главната стратегическа цел на МППРБ:</w:t>
      </w:r>
    </w:p>
    <w:p w14:paraId="4758F0CF" w14:textId="17A3E7A8" w:rsidR="00442579" w:rsidRPr="00610B1B" w:rsidRDefault="00442579" w:rsidP="00D32D6A">
      <w:pPr>
        <w:spacing w:after="120"/>
        <w:ind w:right="-153"/>
        <w:jc w:val="both"/>
        <w:rPr>
          <w:rFonts w:ascii="Times New Roman" w:eastAsia="Calibri" w:hAnsi="Times New Roman" w:cs="Times New Roman"/>
          <w:b/>
          <w:color w:val="000000" w:themeColor="text1"/>
          <w:sz w:val="28"/>
          <w:szCs w:val="28"/>
          <w:lang w:val="bg-BG"/>
        </w:rPr>
      </w:pPr>
      <w:r w:rsidRPr="00610B1B">
        <w:rPr>
          <w:rFonts w:ascii="Times New Roman" w:eastAsia="Calibri" w:hAnsi="Times New Roman" w:cs="Times New Roman"/>
          <w:b/>
          <w:i/>
          <w:color w:val="000000" w:themeColor="text1"/>
          <w:sz w:val="28"/>
          <w:szCs w:val="28"/>
          <w:lang w:val="bg-BG"/>
        </w:rPr>
        <w:lastRenderedPageBreak/>
        <w:t>Устойчиво ползване за устойчиво развитие</w:t>
      </w:r>
      <w:r w:rsidR="00C03406" w:rsidRPr="00610B1B">
        <w:rPr>
          <w:rFonts w:ascii="Times New Roman" w:eastAsia="Calibri" w:hAnsi="Times New Roman" w:cs="Times New Roman"/>
          <w:b/>
          <w:i/>
          <w:color w:val="000000" w:themeColor="text1"/>
          <w:sz w:val="28"/>
          <w:szCs w:val="28"/>
          <w:lang w:val="bg-BG"/>
        </w:rPr>
        <w:t xml:space="preserve"> </w:t>
      </w:r>
    </w:p>
    <w:p w14:paraId="3A1B1422" w14:textId="77777777" w:rsidR="00442579" w:rsidRPr="00610B1B" w:rsidRDefault="00442579" w:rsidP="00B46189">
      <w:pPr>
        <w:pStyle w:val="ListParagraph"/>
        <w:numPr>
          <w:ilvl w:val="0"/>
          <w:numId w:val="66"/>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i/>
          <w:color w:val="000000" w:themeColor="text1"/>
          <w:sz w:val="24"/>
          <w:szCs w:val="24"/>
          <w:lang w:val="bg-BG"/>
        </w:rPr>
        <w:t>Устойчиво ползване</w:t>
      </w:r>
      <w:r w:rsidRPr="00610B1B">
        <w:rPr>
          <w:rFonts w:ascii="Times New Roman" w:eastAsia="Calibri" w:hAnsi="Times New Roman" w:cs="Times New Roman"/>
          <w:color w:val="000000" w:themeColor="text1"/>
          <w:sz w:val="24"/>
          <w:szCs w:val="24"/>
          <w:lang w:val="bg-BG"/>
        </w:rPr>
        <w:t xml:space="preserve"> на морските ресурси, за да се съхрани уязвимата екосистема на Черно море и се осигурят дълговечни условия за екосистемните му услуги.</w:t>
      </w:r>
    </w:p>
    <w:p w14:paraId="3BE03B83" w14:textId="5E6891B7" w:rsidR="00442579" w:rsidRPr="00610B1B" w:rsidRDefault="00442579" w:rsidP="00B46189">
      <w:pPr>
        <w:pStyle w:val="ListParagraph"/>
        <w:numPr>
          <w:ilvl w:val="0"/>
          <w:numId w:val="66"/>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i/>
          <w:color w:val="000000" w:themeColor="text1"/>
          <w:sz w:val="24"/>
          <w:szCs w:val="24"/>
          <w:lang w:val="bg-BG"/>
        </w:rPr>
        <w:t>Устойчиво развитие</w:t>
      </w:r>
      <w:r w:rsidRPr="00610B1B">
        <w:rPr>
          <w:rFonts w:ascii="Times New Roman" w:eastAsia="Calibri" w:hAnsi="Times New Roman" w:cs="Times New Roman"/>
          <w:color w:val="000000" w:themeColor="text1"/>
          <w:sz w:val="24"/>
          <w:szCs w:val="24"/>
          <w:lang w:val="bg-BG"/>
        </w:rPr>
        <w:t xml:space="preserve"> на местните общности (14 черноморски </w:t>
      </w:r>
      <w:r w:rsidRPr="00610B1B">
        <w:rPr>
          <w:rFonts w:ascii="Times New Roman" w:eastAsia="Calibri" w:hAnsi="Times New Roman" w:cs="Times New Roman"/>
          <w:sz w:val="24"/>
          <w:szCs w:val="24"/>
          <w:lang w:val="bg-BG"/>
        </w:rPr>
        <w:t xml:space="preserve">общини, два </w:t>
      </w:r>
      <w:r w:rsidR="00BA3583" w:rsidRPr="00610B1B">
        <w:rPr>
          <w:rFonts w:ascii="Times New Roman" w:eastAsia="Calibri" w:hAnsi="Times New Roman" w:cs="Times New Roman"/>
          <w:sz w:val="24"/>
          <w:szCs w:val="24"/>
          <w:lang w:val="bg-BG"/>
        </w:rPr>
        <w:t>региона за планиране</w:t>
      </w:r>
      <w:r w:rsidRPr="00610B1B">
        <w:rPr>
          <w:rFonts w:ascii="Times New Roman" w:eastAsia="Calibri" w:hAnsi="Times New Roman" w:cs="Times New Roman"/>
          <w:sz w:val="24"/>
          <w:szCs w:val="24"/>
          <w:lang w:val="bg-BG"/>
        </w:rPr>
        <w:t xml:space="preserve"> от ниво 2, държавата като цяло) чрез координирано управление на морските ползвания</w:t>
      </w:r>
      <w:r w:rsidR="00BC2B4F" w:rsidRPr="00610B1B">
        <w:rPr>
          <w:rFonts w:ascii="Times New Roman" w:eastAsia="Calibri" w:hAnsi="Times New Roman" w:cs="Times New Roman"/>
          <w:sz w:val="24"/>
          <w:szCs w:val="24"/>
          <w:lang w:val="bg-BG"/>
        </w:rPr>
        <w:t xml:space="preserve"> и съобразено с макростратегическите документи за развитие на региона</w:t>
      </w:r>
      <w:r w:rsidRPr="00610B1B">
        <w:rPr>
          <w:rFonts w:ascii="Times New Roman" w:eastAsia="Calibri" w:hAnsi="Times New Roman" w:cs="Times New Roman"/>
          <w:sz w:val="24"/>
          <w:szCs w:val="24"/>
          <w:lang w:val="bg-BG"/>
        </w:rPr>
        <w:t>.</w:t>
      </w:r>
    </w:p>
    <w:p w14:paraId="2457DE4B" w14:textId="4EFBB3A8" w:rsidR="00442579" w:rsidRPr="00610B1B" w:rsidRDefault="00442579"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Тази Главна</w:t>
      </w:r>
      <w:r w:rsidR="00A0799A" w:rsidRPr="00610B1B">
        <w:rPr>
          <w:rFonts w:ascii="Times New Roman" w:eastAsia="Calibri" w:hAnsi="Times New Roman" w:cs="Times New Roman"/>
          <w:color w:val="000000" w:themeColor="text1"/>
          <w:sz w:val="24"/>
          <w:szCs w:val="24"/>
          <w:lang w:val="bg-BG"/>
        </w:rPr>
        <w:t xml:space="preserve"> и </w:t>
      </w:r>
      <w:r w:rsidRPr="00610B1B">
        <w:rPr>
          <w:rFonts w:ascii="Times New Roman" w:eastAsia="Calibri" w:hAnsi="Times New Roman" w:cs="Times New Roman"/>
          <w:color w:val="000000" w:themeColor="text1"/>
          <w:sz w:val="24"/>
          <w:szCs w:val="24"/>
          <w:lang w:val="bg-BG"/>
        </w:rPr>
        <w:t>диалектична стратегическа цел се дезагрегира на 4 Стратегически цели, отразяващи най-важните аспекти, необходими за постигането й:</w:t>
      </w:r>
    </w:p>
    <w:p w14:paraId="5E806CB9" w14:textId="4CFE9863" w:rsidR="00F37D59" w:rsidRPr="00610B1B" w:rsidRDefault="00F37D59" w:rsidP="00D32D6A">
      <w:pPr>
        <w:spacing w:after="120"/>
        <w:ind w:right="-153"/>
        <w:jc w:val="both"/>
        <w:rPr>
          <w:rFonts w:ascii="Times New Roman" w:eastAsia="Calibri" w:hAnsi="Times New Roman" w:cs="Times New Roman"/>
          <w:color w:val="000000" w:themeColor="text1"/>
          <w:sz w:val="12"/>
          <w:szCs w:val="12"/>
          <w:lang w:val="bg-BG"/>
        </w:rPr>
      </w:pPr>
    </w:p>
    <w:p w14:paraId="59F7A495" w14:textId="54CDC1A7" w:rsidR="00442579" w:rsidRPr="00610B1B" w:rsidRDefault="00442579" w:rsidP="003F3C59">
      <w:pPr>
        <w:shd w:val="clear" w:color="auto" w:fill="BEE6F0"/>
        <w:spacing w:after="120"/>
        <w:ind w:right="-153"/>
        <w:jc w:val="both"/>
        <w:rPr>
          <w:rFonts w:ascii="Times New Roman" w:eastAsia="Calibri" w:hAnsi="Times New Roman" w:cs="Times New Roman"/>
          <w:b/>
          <w:color w:val="000000" w:themeColor="text1"/>
          <w:sz w:val="24"/>
          <w:szCs w:val="24"/>
          <w:lang w:val="bg-BG"/>
        </w:rPr>
      </w:pPr>
      <w:bookmarkStart w:id="453" w:name="_Hlk47885245"/>
      <w:r w:rsidRPr="00610B1B">
        <w:rPr>
          <w:rFonts w:ascii="Times New Roman" w:eastAsia="Calibri" w:hAnsi="Times New Roman" w:cs="Times New Roman"/>
          <w:b/>
          <w:color w:val="000000" w:themeColor="text1"/>
          <w:sz w:val="24"/>
          <w:szCs w:val="24"/>
          <w:lang w:val="bg-BG"/>
        </w:rPr>
        <w:t>Стратегическа</w:t>
      </w:r>
      <w:r w:rsidR="00AF4C05" w:rsidRPr="00610B1B">
        <w:rPr>
          <w:rFonts w:ascii="Times New Roman" w:eastAsia="Calibri" w:hAnsi="Times New Roman" w:cs="Times New Roman"/>
          <w:b/>
          <w:color w:val="000000" w:themeColor="text1"/>
          <w:sz w:val="24"/>
          <w:szCs w:val="24"/>
          <w:lang w:val="bg-BG"/>
        </w:rPr>
        <w:t> </w:t>
      </w:r>
      <w:r w:rsidRPr="00610B1B">
        <w:rPr>
          <w:rFonts w:ascii="Times New Roman" w:eastAsia="Calibri" w:hAnsi="Times New Roman" w:cs="Times New Roman"/>
          <w:b/>
          <w:color w:val="000000" w:themeColor="text1"/>
          <w:sz w:val="24"/>
          <w:szCs w:val="24"/>
          <w:lang w:val="bg-BG"/>
        </w:rPr>
        <w:t>цел</w:t>
      </w:r>
      <w:r w:rsidR="00AF4C05" w:rsidRPr="00610B1B">
        <w:rPr>
          <w:rFonts w:ascii="Times New Roman" w:eastAsia="Calibri" w:hAnsi="Times New Roman" w:cs="Times New Roman"/>
          <w:b/>
          <w:color w:val="000000" w:themeColor="text1"/>
          <w:sz w:val="24"/>
          <w:szCs w:val="24"/>
          <w:lang w:val="bg-BG"/>
        </w:rPr>
        <w:t> </w:t>
      </w:r>
      <w:r w:rsidRPr="00610B1B">
        <w:rPr>
          <w:rFonts w:ascii="Times New Roman" w:eastAsia="Calibri" w:hAnsi="Times New Roman" w:cs="Times New Roman"/>
          <w:b/>
          <w:color w:val="000000" w:themeColor="text1"/>
          <w:sz w:val="24"/>
          <w:szCs w:val="24"/>
          <w:lang w:val="bg-BG"/>
        </w:rPr>
        <w:t>1: Регулиране и координиране на морските ползвания</w:t>
      </w:r>
    </w:p>
    <w:p w14:paraId="079193CE" w14:textId="39E17B65" w:rsidR="000747BC" w:rsidRPr="00610B1B" w:rsidRDefault="000747BC" w:rsidP="00D32D6A">
      <w:pPr>
        <w:spacing w:after="120"/>
        <w:ind w:right="-153"/>
        <w:jc w:val="both"/>
        <w:rPr>
          <w:rFonts w:ascii="Times New Roman" w:eastAsia="Calibri" w:hAnsi="Times New Roman" w:cs="Times New Roman"/>
          <w:color w:val="FF0000"/>
          <w:sz w:val="24"/>
          <w:szCs w:val="24"/>
          <w:lang w:val="bg-BG"/>
        </w:rPr>
      </w:pPr>
      <w:r w:rsidRPr="00610B1B">
        <w:rPr>
          <w:rFonts w:ascii="Times New Roman" w:eastAsia="Calibri" w:hAnsi="Times New Roman" w:cs="Times New Roman"/>
          <w:color w:val="000000" w:themeColor="text1"/>
          <w:sz w:val="24"/>
          <w:szCs w:val="24"/>
          <w:lang w:val="bg-BG"/>
        </w:rPr>
        <w:t xml:space="preserve">Регулирането и координирането на морските ползвания е същността на МППРБ. Целта е да се осигурят </w:t>
      </w:r>
      <w:r w:rsidRPr="00610B1B">
        <w:rPr>
          <w:rFonts w:ascii="Times New Roman" w:eastAsia="Calibri" w:hAnsi="Times New Roman" w:cs="Times New Roman"/>
          <w:i/>
          <w:color w:val="000000" w:themeColor="text1"/>
          <w:sz w:val="24"/>
          <w:szCs w:val="24"/>
          <w:lang w:val="bg-BG"/>
        </w:rPr>
        <w:t>ясни граници за пределните ползвания на морски екосистемни услуги</w:t>
      </w:r>
      <w:r w:rsidRPr="00610B1B">
        <w:rPr>
          <w:rFonts w:ascii="Times New Roman" w:eastAsia="Calibri" w:hAnsi="Times New Roman" w:cs="Times New Roman"/>
          <w:color w:val="000000" w:themeColor="text1"/>
          <w:sz w:val="24"/>
          <w:szCs w:val="24"/>
          <w:lang w:val="bg-BG"/>
        </w:rPr>
        <w:t xml:space="preserve">, както и </w:t>
      </w:r>
      <w:r w:rsidRPr="00610B1B">
        <w:rPr>
          <w:rFonts w:ascii="Times New Roman" w:eastAsia="Calibri" w:hAnsi="Times New Roman" w:cs="Times New Roman"/>
          <w:i/>
          <w:color w:val="000000" w:themeColor="text1"/>
          <w:sz w:val="24"/>
          <w:szCs w:val="24"/>
          <w:lang w:val="bg-BG"/>
        </w:rPr>
        <w:t>да се избегнат конфликти</w:t>
      </w:r>
      <w:r w:rsidRPr="00610B1B">
        <w:rPr>
          <w:rFonts w:ascii="Times New Roman" w:eastAsia="Calibri" w:hAnsi="Times New Roman" w:cs="Times New Roman"/>
          <w:color w:val="000000" w:themeColor="text1"/>
          <w:sz w:val="24"/>
          <w:szCs w:val="24"/>
          <w:lang w:val="bg-BG"/>
        </w:rPr>
        <w:t xml:space="preserve"> при различните ползвания. </w:t>
      </w:r>
    </w:p>
    <w:p w14:paraId="76DFE946" w14:textId="1A47A4CA" w:rsidR="000747BC" w:rsidRPr="00610B1B" w:rsidRDefault="000747BC"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Постигането на тази цел има два аспекта – планов и приложен. Плановият ще бъде реализиран с акта на създаване на самия план. Приложният е предмет на контрол и мониторинг през целия период на действие на плановия документ. Именно приложният аспект обикновено е проблем в цялата сфера на планиране. Затова е необходима адекватна институционализация и ресурсно осигуряване на финанси и на компетенции.</w:t>
      </w:r>
    </w:p>
    <w:p w14:paraId="6A92D815" w14:textId="5C10B7ED" w:rsidR="000747BC" w:rsidRPr="00610B1B" w:rsidRDefault="000747BC"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Тази цел е първа по номерация, първа и по важност, защото ако не се постигне, всички останали стават безпредметни.</w:t>
      </w:r>
      <w:r w:rsidR="002D5B90" w:rsidRPr="00610B1B">
        <w:rPr>
          <w:rFonts w:ascii="Times New Roman" w:eastAsia="Calibri" w:hAnsi="Times New Roman" w:cs="Times New Roman"/>
          <w:color w:val="000000" w:themeColor="text1"/>
          <w:sz w:val="24"/>
          <w:szCs w:val="24"/>
          <w:lang w:val="bg-BG"/>
        </w:rPr>
        <w:t xml:space="preserve"> </w:t>
      </w:r>
      <w:r w:rsidRPr="00610B1B">
        <w:rPr>
          <w:rFonts w:ascii="Times New Roman" w:eastAsia="Calibri" w:hAnsi="Times New Roman" w:cs="Times New Roman"/>
          <w:color w:val="000000" w:themeColor="text1"/>
          <w:sz w:val="24"/>
          <w:szCs w:val="24"/>
          <w:lang w:val="bg-BG"/>
        </w:rPr>
        <w:t>Ло</w:t>
      </w:r>
      <w:r w:rsidR="002D5B90" w:rsidRPr="00610B1B">
        <w:rPr>
          <w:rFonts w:ascii="Times New Roman" w:eastAsia="Calibri" w:hAnsi="Times New Roman" w:cs="Times New Roman"/>
          <w:color w:val="000000" w:themeColor="text1"/>
          <w:sz w:val="24"/>
          <w:szCs w:val="24"/>
          <w:lang w:val="bg-BG"/>
        </w:rPr>
        <w:t>г</w:t>
      </w:r>
      <w:r w:rsidRPr="00610B1B">
        <w:rPr>
          <w:rFonts w:ascii="Times New Roman" w:eastAsia="Calibri" w:hAnsi="Times New Roman" w:cs="Times New Roman"/>
          <w:color w:val="000000" w:themeColor="text1"/>
          <w:sz w:val="24"/>
          <w:szCs w:val="24"/>
          <w:lang w:val="bg-BG"/>
        </w:rPr>
        <w:t xml:space="preserve">ическата схема за постигане на Стратегическа цел 1 включва няколко последователни стъпки: 1) функционално зониране, 2) консенсус на заинтересованите страни 3) институционализация на контрола 4) мониторинг. Тези стъпки се трансформират в съответни </w:t>
      </w:r>
      <w:r w:rsidRPr="00610B1B">
        <w:rPr>
          <w:rFonts w:ascii="Times New Roman" w:eastAsia="Calibri" w:hAnsi="Times New Roman" w:cs="Times New Roman"/>
          <w:i/>
          <w:color w:val="000000" w:themeColor="text1"/>
          <w:sz w:val="24"/>
          <w:szCs w:val="24"/>
          <w:lang w:val="bg-BG"/>
        </w:rPr>
        <w:t>специфични цели</w:t>
      </w:r>
      <w:r w:rsidRPr="00610B1B">
        <w:rPr>
          <w:rFonts w:ascii="Times New Roman" w:eastAsia="Calibri" w:hAnsi="Times New Roman" w:cs="Times New Roman"/>
          <w:color w:val="000000" w:themeColor="text1"/>
          <w:sz w:val="24"/>
          <w:szCs w:val="24"/>
          <w:lang w:val="bg-BG"/>
        </w:rPr>
        <w:t>.</w:t>
      </w:r>
    </w:p>
    <w:p w14:paraId="257AC002" w14:textId="77777777" w:rsidR="000747BC" w:rsidRPr="00610B1B" w:rsidRDefault="000747BC" w:rsidP="00D32D6A">
      <w:pPr>
        <w:spacing w:after="120"/>
        <w:ind w:right="-153"/>
        <w:jc w:val="both"/>
        <w:rPr>
          <w:rFonts w:ascii="Times New Roman" w:eastAsia="Calibri" w:hAnsi="Times New Roman" w:cs="Times New Roman"/>
          <w:b/>
          <w:i/>
          <w:color w:val="000000" w:themeColor="text1"/>
          <w:sz w:val="24"/>
          <w:szCs w:val="24"/>
          <w:lang w:val="bg-BG"/>
        </w:rPr>
      </w:pPr>
      <w:r w:rsidRPr="00610B1B">
        <w:rPr>
          <w:rFonts w:ascii="Times New Roman" w:eastAsia="Calibri" w:hAnsi="Times New Roman" w:cs="Times New Roman"/>
          <w:b/>
          <w:i/>
          <w:color w:val="000000" w:themeColor="text1"/>
          <w:sz w:val="24"/>
          <w:szCs w:val="24"/>
          <w:lang w:val="bg-BG"/>
        </w:rPr>
        <w:t>Специфична цел 1.1. Функционално зониране на морското пространство</w:t>
      </w:r>
    </w:p>
    <w:p w14:paraId="7124C36C" w14:textId="4F0671D6" w:rsidR="000747BC" w:rsidRPr="00610B1B" w:rsidRDefault="000747BC"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Функционалното зониране е едновременно част от работата по създаване на МППРБ и цел на самия план. С реализирането на тази цел се създава планова основа за регулиране и координиране на функциите в морските пространства (морските ползвания). </w:t>
      </w:r>
      <w:r w:rsidR="006A51B4" w:rsidRPr="00610B1B">
        <w:rPr>
          <w:rFonts w:ascii="Times New Roman" w:eastAsia="Calibri" w:hAnsi="Times New Roman" w:cs="Times New Roman"/>
          <w:color w:val="000000" w:themeColor="text1"/>
          <w:sz w:val="24"/>
          <w:szCs w:val="24"/>
          <w:lang w:val="bg-BG"/>
        </w:rPr>
        <w:t xml:space="preserve">Реалното </w:t>
      </w:r>
      <w:r w:rsidRPr="00610B1B">
        <w:rPr>
          <w:rFonts w:ascii="Times New Roman" w:eastAsia="Calibri" w:hAnsi="Times New Roman" w:cs="Times New Roman"/>
          <w:color w:val="000000" w:themeColor="text1"/>
          <w:sz w:val="24"/>
          <w:szCs w:val="24"/>
          <w:lang w:val="bg-BG"/>
        </w:rPr>
        <w:t xml:space="preserve">зониране </w:t>
      </w:r>
      <w:r w:rsidR="006A51B4" w:rsidRPr="00610B1B">
        <w:rPr>
          <w:rFonts w:ascii="Times New Roman" w:eastAsia="Calibri" w:hAnsi="Times New Roman" w:cs="Times New Roman"/>
          <w:color w:val="000000" w:themeColor="text1"/>
          <w:sz w:val="24"/>
          <w:szCs w:val="24"/>
          <w:lang w:val="bg-BG"/>
        </w:rPr>
        <w:t xml:space="preserve">обаче </w:t>
      </w:r>
      <w:r w:rsidRPr="00610B1B">
        <w:rPr>
          <w:rFonts w:ascii="Times New Roman" w:eastAsia="Calibri" w:hAnsi="Times New Roman" w:cs="Times New Roman"/>
          <w:color w:val="000000" w:themeColor="text1"/>
          <w:sz w:val="24"/>
          <w:szCs w:val="24"/>
          <w:lang w:val="bg-BG"/>
        </w:rPr>
        <w:t xml:space="preserve">означава постигнат консенсус между заинтересованите </w:t>
      </w:r>
      <w:r w:rsidR="006A51B4" w:rsidRPr="00610B1B">
        <w:rPr>
          <w:rFonts w:ascii="Times New Roman" w:eastAsia="Calibri" w:hAnsi="Times New Roman" w:cs="Times New Roman"/>
          <w:color w:val="000000" w:themeColor="text1"/>
          <w:sz w:val="24"/>
          <w:szCs w:val="24"/>
          <w:lang w:val="bg-BG"/>
        </w:rPr>
        <w:t xml:space="preserve">страни </w:t>
      </w:r>
      <w:r w:rsidRPr="00610B1B">
        <w:rPr>
          <w:rFonts w:ascii="Times New Roman" w:eastAsia="Calibri" w:hAnsi="Times New Roman" w:cs="Times New Roman"/>
          <w:color w:val="000000" w:themeColor="text1"/>
          <w:sz w:val="24"/>
          <w:szCs w:val="24"/>
          <w:lang w:val="bg-BG"/>
        </w:rPr>
        <w:t>от морските ползвания при стриктно спазване на изискванията на ЗМПВВППРБ. Това от своя страна означава дълъг процес на съгласуване и решения на спорни въпроси чрез взаимни компромиси</w:t>
      </w:r>
      <w:r w:rsidR="00172ADA" w:rsidRPr="00610B1B">
        <w:rPr>
          <w:rFonts w:ascii="Times New Roman" w:eastAsia="Calibri" w:hAnsi="Times New Roman" w:cs="Times New Roman"/>
          <w:color w:val="000000" w:themeColor="text1"/>
          <w:sz w:val="24"/>
          <w:szCs w:val="24"/>
          <w:lang w:val="bg-BG"/>
        </w:rPr>
        <w:t>, както при разработването и одобряването на плана, така и при неговото прилагане.</w:t>
      </w:r>
      <w:r w:rsidR="00CC761E" w:rsidRPr="00610B1B">
        <w:rPr>
          <w:rFonts w:ascii="Times New Roman" w:eastAsia="Calibri" w:hAnsi="Times New Roman" w:cs="Times New Roman"/>
          <w:color w:val="000000" w:themeColor="text1"/>
          <w:sz w:val="24"/>
          <w:szCs w:val="24"/>
          <w:lang w:val="bg-BG"/>
        </w:rPr>
        <w:t xml:space="preserve"> Именно поради </w:t>
      </w:r>
      <w:r w:rsidR="009F3C0B" w:rsidRPr="00610B1B">
        <w:rPr>
          <w:rFonts w:ascii="Times New Roman" w:eastAsia="Calibri" w:hAnsi="Times New Roman" w:cs="Times New Roman"/>
          <w:color w:val="000000" w:themeColor="text1"/>
          <w:sz w:val="24"/>
          <w:szCs w:val="24"/>
          <w:lang w:val="bg-BG"/>
        </w:rPr>
        <w:t>това</w:t>
      </w:r>
      <w:r w:rsidR="00CC761E" w:rsidRPr="00610B1B">
        <w:rPr>
          <w:rFonts w:ascii="Times New Roman" w:eastAsia="Calibri" w:hAnsi="Times New Roman" w:cs="Times New Roman"/>
          <w:color w:val="000000" w:themeColor="text1"/>
          <w:sz w:val="24"/>
          <w:szCs w:val="24"/>
          <w:lang w:val="bg-BG"/>
        </w:rPr>
        <w:t xml:space="preserve"> работата по изпълнението на тази цел не може да спре до етапа на одобряване. </w:t>
      </w:r>
      <w:r w:rsidR="008A4842" w:rsidRPr="00610B1B">
        <w:rPr>
          <w:rFonts w:ascii="Times New Roman" w:eastAsia="Calibri" w:hAnsi="Times New Roman" w:cs="Times New Roman"/>
          <w:color w:val="000000" w:themeColor="text1"/>
          <w:sz w:val="24"/>
          <w:szCs w:val="24"/>
          <w:lang w:val="bg-BG"/>
        </w:rPr>
        <w:t>Тя съпътства и всички дейности, свързани с координиране на нови функции в определени за целта зони за бъдещо развитие.</w:t>
      </w:r>
    </w:p>
    <w:p w14:paraId="3E35A313" w14:textId="77777777" w:rsidR="000747BC" w:rsidRPr="00610B1B" w:rsidRDefault="000747BC"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b/>
          <w:i/>
          <w:color w:val="000000" w:themeColor="text1"/>
          <w:sz w:val="24"/>
          <w:szCs w:val="24"/>
          <w:lang w:val="bg-BG"/>
        </w:rPr>
        <w:t>Специфична цел 1.2. Постигане на консенсус между заинтересованите страни</w:t>
      </w:r>
    </w:p>
    <w:p w14:paraId="2ABDF535" w14:textId="3DBBB0EE" w:rsidR="000747BC" w:rsidRPr="00610B1B" w:rsidRDefault="00660473"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Тази специфична цел е насочена към разработване и приемане на </w:t>
      </w:r>
      <w:r w:rsidR="000747BC" w:rsidRPr="00610B1B">
        <w:rPr>
          <w:rFonts w:ascii="Times New Roman" w:eastAsia="Calibri" w:hAnsi="Times New Roman" w:cs="Times New Roman"/>
          <w:color w:val="000000" w:themeColor="text1"/>
          <w:sz w:val="24"/>
          <w:szCs w:val="24"/>
          <w:lang w:val="bg-BG"/>
        </w:rPr>
        <w:t>технология</w:t>
      </w:r>
      <w:r w:rsidRPr="00610B1B">
        <w:rPr>
          <w:rFonts w:ascii="Times New Roman" w:eastAsia="Calibri" w:hAnsi="Times New Roman" w:cs="Times New Roman"/>
          <w:color w:val="000000" w:themeColor="text1"/>
          <w:sz w:val="24"/>
          <w:szCs w:val="24"/>
          <w:lang w:val="bg-BG"/>
        </w:rPr>
        <w:t xml:space="preserve"> </w:t>
      </w:r>
      <w:r w:rsidR="000747BC" w:rsidRPr="00610B1B">
        <w:rPr>
          <w:rFonts w:ascii="Times New Roman" w:eastAsia="Calibri" w:hAnsi="Times New Roman" w:cs="Times New Roman"/>
          <w:color w:val="000000" w:themeColor="text1"/>
          <w:sz w:val="24"/>
          <w:szCs w:val="24"/>
          <w:lang w:val="bg-BG"/>
        </w:rPr>
        <w:t>на съгласуване,</w:t>
      </w:r>
      <w:r w:rsidRPr="00610B1B">
        <w:rPr>
          <w:rFonts w:ascii="Times New Roman" w:eastAsia="Calibri" w:hAnsi="Times New Roman" w:cs="Times New Roman"/>
          <w:color w:val="000000" w:themeColor="text1"/>
          <w:sz w:val="24"/>
          <w:szCs w:val="24"/>
          <w:lang w:val="bg-BG"/>
        </w:rPr>
        <w:t xml:space="preserve"> прилагане, монитор</w:t>
      </w:r>
      <w:r w:rsidR="00CC761E" w:rsidRPr="00610B1B">
        <w:rPr>
          <w:rFonts w:ascii="Times New Roman" w:eastAsia="Calibri" w:hAnsi="Times New Roman" w:cs="Times New Roman"/>
          <w:color w:val="000000" w:themeColor="text1"/>
          <w:sz w:val="24"/>
          <w:szCs w:val="24"/>
          <w:lang w:val="bg-BG"/>
        </w:rPr>
        <w:t>и</w:t>
      </w:r>
      <w:r w:rsidRPr="00610B1B">
        <w:rPr>
          <w:rFonts w:ascii="Times New Roman" w:eastAsia="Calibri" w:hAnsi="Times New Roman" w:cs="Times New Roman"/>
          <w:color w:val="000000" w:themeColor="text1"/>
          <w:sz w:val="24"/>
          <w:szCs w:val="24"/>
          <w:lang w:val="bg-BG"/>
        </w:rPr>
        <w:t xml:space="preserve">нг и контрол на изпълнението на Морския пространствен план и координирането му със секторните политики и стратегически </w:t>
      </w:r>
      <w:r w:rsidRPr="00610B1B">
        <w:rPr>
          <w:rFonts w:ascii="Times New Roman" w:eastAsia="Calibri" w:hAnsi="Times New Roman" w:cs="Times New Roman"/>
          <w:color w:val="000000" w:themeColor="text1"/>
          <w:sz w:val="24"/>
          <w:szCs w:val="24"/>
          <w:lang w:val="bg-BG"/>
        </w:rPr>
        <w:lastRenderedPageBreak/>
        <w:t>документи, свързани с морето. Това изисква координирани действия при формулирани</w:t>
      </w:r>
      <w:r w:rsidR="00D66FE0" w:rsidRPr="00610B1B">
        <w:rPr>
          <w:rFonts w:ascii="Times New Roman" w:eastAsia="Calibri" w:hAnsi="Times New Roman" w:cs="Times New Roman"/>
          <w:color w:val="000000" w:themeColor="text1"/>
          <w:sz w:val="24"/>
          <w:szCs w:val="24"/>
          <w:lang w:val="bg-BG"/>
        </w:rPr>
        <w:t xml:space="preserve"> </w:t>
      </w:r>
      <w:r w:rsidR="000747BC" w:rsidRPr="00610B1B">
        <w:rPr>
          <w:rFonts w:ascii="Times New Roman" w:eastAsia="Calibri" w:hAnsi="Times New Roman" w:cs="Times New Roman"/>
          <w:color w:val="000000" w:themeColor="text1"/>
          <w:sz w:val="24"/>
          <w:szCs w:val="24"/>
          <w:lang w:val="bg-BG"/>
        </w:rPr>
        <w:t xml:space="preserve">ясни изисквания </w:t>
      </w:r>
      <w:r w:rsidRPr="00610B1B">
        <w:rPr>
          <w:rFonts w:ascii="Times New Roman" w:eastAsia="Calibri" w:hAnsi="Times New Roman" w:cs="Times New Roman"/>
          <w:color w:val="000000" w:themeColor="text1"/>
          <w:sz w:val="24"/>
          <w:szCs w:val="24"/>
          <w:lang w:val="bg-BG"/>
        </w:rPr>
        <w:t xml:space="preserve">за внасяне на промени в действащите </w:t>
      </w:r>
      <w:r w:rsidR="00CC761E" w:rsidRPr="00610B1B">
        <w:rPr>
          <w:rFonts w:ascii="Times New Roman" w:eastAsia="Calibri" w:hAnsi="Times New Roman" w:cs="Times New Roman"/>
          <w:color w:val="000000" w:themeColor="text1"/>
          <w:sz w:val="24"/>
          <w:szCs w:val="24"/>
          <w:lang w:val="bg-BG"/>
        </w:rPr>
        <w:t xml:space="preserve">регламенти, </w:t>
      </w:r>
      <w:r w:rsidRPr="00610B1B">
        <w:rPr>
          <w:rFonts w:ascii="Times New Roman" w:eastAsia="Calibri" w:hAnsi="Times New Roman" w:cs="Times New Roman"/>
          <w:color w:val="000000" w:themeColor="text1"/>
          <w:sz w:val="24"/>
          <w:szCs w:val="24"/>
          <w:lang w:val="bg-BG"/>
        </w:rPr>
        <w:t xml:space="preserve">правила и процедури, по които работят всички заинтересовани страни, ако е необходимо. </w:t>
      </w:r>
      <w:r w:rsidR="00CC761E" w:rsidRPr="00610B1B">
        <w:rPr>
          <w:rFonts w:ascii="Times New Roman" w:eastAsia="Calibri" w:hAnsi="Times New Roman" w:cs="Times New Roman"/>
          <w:color w:val="000000" w:themeColor="text1"/>
          <w:sz w:val="24"/>
          <w:szCs w:val="24"/>
          <w:lang w:val="bg-BG"/>
        </w:rPr>
        <w:t>Така тази специфична цел, заедно с останалите с</w:t>
      </w:r>
      <w:r w:rsidR="00F357D2" w:rsidRPr="00610B1B">
        <w:rPr>
          <w:rFonts w:ascii="Times New Roman" w:eastAsia="Calibri" w:hAnsi="Times New Roman" w:cs="Times New Roman"/>
          <w:color w:val="000000" w:themeColor="text1"/>
          <w:sz w:val="24"/>
          <w:szCs w:val="24"/>
          <w:lang w:val="bg-BG"/>
        </w:rPr>
        <w:t>п</w:t>
      </w:r>
      <w:r w:rsidR="00CC761E" w:rsidRPr="00610B1B">
        <w:rPr>
          <w:rFonts w:ascii="Times New Roman" w:eastAsia="Calibri" w:hAnsi="Times New Roman" w:cs="Times New Roman"/>
          <w:color w:val="000000" w:themeColor="text1"/>
          <w:sz w:val="24"/>
          <w:szCs w:val="24"/>
          <w:lang w:val="bg-BG"/>
        </w:rPr>
        <w:t xml:space="preserve">ецифични цели към Стратегическа цел 1, е обвързана с промени в законодателната рамка при необходимост, които ще доразвият постановките на Директива 2014/89 и ЗМПВВППРБ, без да се отклоняват от общите регламенти. </w:t>
      </w:r>
    </w:p>
    <w:p w14:paraId="12B52B56" w14:textId="77777777" w:rsidR="000747BC" w:rsidRPr="00610B1B" w:rsidRDefault="000747BC"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b/>
          <w:i/>
          <w:color w:val="000000" w:themeColor="text1"/>
          <w:sz w:val="24"/>
          <w:szCs w:val="24"/>
          <w:lang w:val="bg-BG"/>
        </w:rPr>
        <w:t>Специфична цел 1.3. Институционализация на МППРБ</w:t>
      </w:r>
    </w:p>
    <w:p w14:paraId="22A95178" w14:textId="078F4BCE" w:rsidR="00ED5DA6" w:rsidRPr="00610B1B" w:rsidRDefault="00172ADA"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color w:val="000000" w:themeColor="text1"/>
          <w:sz w:val="24"/>
          <w:szCs w:val="24"/>
          <w:lang w:val="bg-BG"/>
        </w:rPr>
        <w:t xml:space="preserve">С тази специфична цел се доразвиват определените ангажименти, </w:t>
      </w:r>
      <w:r w:rsidR="00DA54EA" w:rsidRPr="00610B1B">
        <w:rPr>
          <w:rFonts w:ascii="Times New Roman" w:eastAsia="Calibri" w:hAnsi="Times New Roman" w:cs="Times New Roman"/>
          <w:color w:val="000000" w:themeColor="text1"/>
          <w:sz w:val="24"/>
          <w:szCs w:val="24"/>
          <w:lang w:val="bg-BG"/>
        </w:rPr>
        <w:t xml:space="preserve">в съответствие с </w:t>
      </w:r>
      <w:r w:rsidRPr="00610B1B">
        <w:rPr>
          <w:rFonts w:ascii="Times New Roman" w:eastAsia="Calibri" w:hAnsi="Times New Roman" w:cs="Times New Roman"/>
          <w:color w:val="000000" w:themeColor="text1"/>
          <w:sz w:val="24"/>
          <w:szCs w:val="24"/>
          <w:lang w:val="bg-BG"/>
        </w:rPr>
        <w:t xml:space="preserve">чл. 51б на ЗМПВВППРБ, </w:t>
      </w:r>
      <w:r w:rsidR="00DA54EA" w:rsidRPr="00610B1B">
        <w:rPr>
          <w:rFonts w:ascii="Times New Roman" w:eastAsia="Calibri" w:hAnsi="Times New Roman" w:cs="Times New Roman"/>
          <w:color w:val="000000" w:themeColor="text1"/>
          <w:sz w:val="24"/>
          <w:szCs w:val="24"/>
          <w:lang w:val="bg-BG"/>
        </w:rPr>
        <w:t>според</w:t>
      </w:r>
      <w:r w:rsidRPr="00610B1B">
        <w:rPr>
          <w:rFonts w:ascii="Times New Roman" w:eastAsia="Calibri" w:hAnsi="Times New Roman" w:cs="Times New Roman"/>
          <w:color w:val="000000" w:themeColor="text1"/>
          <w:sz w:val="24"/>
          <w:szCs w:val="24"/>
          <w:lang w:val="bg-BG"/>
        </w:rPr>
        <w:t xml:space="preserve"> ко</w:t>
      </w:r>
      <w:r w:rsidR="008C59C2" w:rsidRPr="00610B1B">
        <w:rPr>
          <w:rFonts w:ascii="Times New Roman" w:eastAsia="Calibri" w:hAnsi="Times New Roman" w:cs="Times New Roman"/>
          <w:color w:val="000000" w:themeColor="text1"/>
          <w:sz w:val="24"/>
          <w:szCs w:val="24"/>
          <w:lang w:val="bg-BG"/>
        </w:rPr>
        <w:t>й</w:t>
      </w:r>
      <w:r w:rsidRPr="00610B1B">
        <w:rPr>
          <w:rFonts w:ascii="Times New Roman" w:eastAsia="Calibri" w:hAnsi="Times New Roman" w:cs="Times New Roman"/>
          <w:color w:val="000000" w:themeColor="text1"/>
          <w:sz w:val="24"/>
          <w:szCs w:val="24"/>
          <w:lang w:val="bg-BG"/>
        </w:rPr>
        <w:t>то м</w:t>
      </w:r>
      <w:r w:rsidR="000747BC" w:rsidRPr="00610B1B">
        <w:rPr>
          <w:rFonts w:ascii="Times New Roman" w:eastAsia="Calibri" w:hAnsi="Times New Roman" w:cs="Times New Roman"/>
          <w:color w:val="000000" w:themeColor="text1"/>
          <w:sz w:val="24"/>
          <w:szCs w:val="24"/>
          <w:lang w:val="bg-BG"/>
        </w:rPr>
        <w:t>инистърът на регионалното развитие и благоустройството осигурява провеждането на правителствена политика, свързана с разработване и поддържане на Морския пространствен план на Република България</w:t>
      </w:r>
      <w:r w:rsidR="00DA54EA" w:rsidRPr="00610B1B">
        <w:rPr>
          <w:rFonts w:ascii="Times New Roman" w:eastAsia="Calibri" w:hAnsi="Times New Roman" w:cs="Times New Roman"/>
          <w:color w:val="000000" w:themeColor="text1"/>
          <w:sz w:val="24"/>
          <w:szCs w:val="24"/>
          <w:lang w:val="bg-BG"/>
        </w:rPr>
        <w:t xml:space="preserve">. </w:t>
      </w:r>
      <w:r w:rsidR="008C59C2" w:rsidRPr="00610B1B">
        <w:rPr>
          <w:rFonts w:ascii="Times New Roman" w:eastAsia="Calibri" w:hAnsi="Times New Roman" w:cs="Times New Roman"/>
          <w:color w:val="000000" w:themeColor="text1"/>
          <w:sz w:val="24"/>
          <w:szCs w:val="24"/>
          <w:lang w:val="bg-BG"/>
        </w:rPr>
        <w:t xml:space="preserve">Той </w:t>
      </w:r>
      <w:r w:rsidR="00DA54EA" w:rsidRPr="00610B1B">
        <w:rPr>
          <w:rFonts w:ascii="Times New Roman" w:eastAsia="Calibri" w:hAnsi="Times New Roman" w:cs="Times New Roman"/>
          <w:color w:val="000000" w:themeColor="text1"/>
          <w:sz w:val="24"/>
          <w:szCs w:val="24"/>
          <w:lang w:val="bg-BG"/>
        </w:rPr>
        <w:t>се подпомага от сформирания Консултативен съвет, в който са представени всички заинтересовани страни в сферата на морското пространствено планиране</w:t>
      </w:r>
      <w:r w:rsidR="00660473" w:rsidRPr="00610B1B">
        <w:rPr>
          <w:rFonts w:ascii="Times New Roman" w:eastAsia="Calibri" w:hAnsi="Times New Roman" w:cs="Times New Roman"/>
          <w:color w:val="000000" w:themeColor="text1"/>
          <w:sz w:val="24"/>
          <w:szCs w:val="24"/>
          <w:lang w:val="bg-BG"/>
        </w:rPr>
        <w:t xml:space="preserve"> и</w:t>
      </w:r>
      <w:r w:rsidR="00DA54EA" w:rsidRPr="00610B1B">
        <w:rPr>
          <w:rFonts w:ascii="Times New Roman" w:eastAsia="Calibri" w:hAnsi="Times New Roman" w:cs="Times New Roman"/>
          <w:color w:val="000000" w:themeColor="text1"/>
          <w:sz w:val="24"/>
          <w:szCs w:val="24"/>
          <w:lang w:val="bg-BG"/>
        </w:rPr>
        <w:t xml:space="preserve"> чиято дейност се регламентира с </w:t>
      </w:r>
      <w:bookmarkStart w:id="454" w:name="_Hlk46081709"/>
      <w:r w:rsidR="00DA54EA" w:rsidRPr="00610B1B">
        <w:rPr>
          <w:rFonts w:ascii="Times New Roman" w:eastAsia="Calibri" w:hAnsi="Times New Roman" w:cs="Times New Roman"/>
          <w:color w:val="000000" w:themeColor="text1"/>
          <w:sz w:val="24"/>
          <w:szCs w:val="24"/>
          <w:lang w:val="bg-BG"/>
        </w:rPr>
        <w:t>Правилник</w:t>
      </w:r>
      <w:r w:rsidR="00ED5DA6" w:rsidRPr="00610B1B">
        <w:rPr>
          <w:rFonts w:ascii="Times New Roman" w:eastAsia="Calibri" w:hAnsi="Times New Roman" w:cs="Times New Roman"/>
          <w:color w:val="000000" w:themeColor="text1"/>
          <w:sz w:val="24"/>
          <w:szCs w:val="24"/>
          <w:lang w:val="bg-BG"/>
        </w:rPr>
        <w:t>а, обн. ДВ бр.</w:t>
      </w:r>
      <w:r w:rsidR="00ED5DA6" w:rsidRPr="00610B1B">
        <w:rPr>
          <w:rFonts w:ascii="Times New Roman" w:hAnsi="Times New Roman" w:cs="Times New Roman"/>
          <w:color w:val="000000" w:themeColor="text1"/>
          <w:lang w:val="bg-BG"/>
        </w:rPr>
        <w:t xml:space="preserve"> </w:t>
      </w:r>
      <w:r w:rsidR="00ED5DA6" w:rsidRPr="00610B1B">
        <w:rPr>
          <w:rFonts w:ascii="Times New Roman" w:eastAsia="Calibri" w:hAnsi="Times New Roman" w:cs="Times New Roman"/>
          <w:color w:val="000000" w:themeColor="text1"/>
          <w:sz w:val="24"/>
          <w:szCs w:val="24"/>
          <w:lang w:val="bg-BG"/>
        </w:rPr>
        <w:t>79 от 25 септември 2018 г.</w:t>
      </w:r>
      <w:r w:rsidR="00D66FE0" w:rsidRPr="00610B1B">
        <w:rPr>
          <w:rFonts w:ascii="Times New Roman" w:eastAsia="Calibri" w:hAnsi="Times New Roman" w:cs="Times New Roman"/>
          <w:color w:val="000000" w:themeColor="text1"/>
          <w:sz w:val="24"/>
          <w:szCs w:val="24"/>
          <w:lang w:val="bg-BG"/>
        </w:rPr>
        <w:t xml:space="preserve"> </w:t>
      </w:r>
      <w:r w:rsidR="00B13CFC" w:rsidRPr="00610B1B">
        <w:rPr>
          <w:rFonts w:ascii="Times New Roman" w:eastAsia="Calibri" w:hAnsi="Times New Roman" w:cs="Times New Roman"/>
          <w:color w:val="000000" w:themeColor="text1"/>
          <w:sz w:val="24"/>
          <w:szCs w:val="24"/>
          <w:lang w:val="bg-BG"/>
        </w:rPr>
        <w:t xml:space="preserve">На </w:t>
      </w:r>
      <w:r w:rsidR="00ED5DA6" w:rsidRPr="00610B1B">
        <w:rPr>
          <w:rFonts w:ascii="Times New Roman" w:eastAsia="Calibri" w:hAnsi="Times New Roman" w:cs="Times New Roman"/>
          <w:color w:val="000000" w:themeColor="text1"/>
          <w:sz w:val="24"/>
          <w:szCs w:val="24"/>
          <w:lang w:val="bg-BG"/>
        </w:rPr>
        <w:t xml:space="preserve">Консултативния съвет </w:t>
      </w:r>
      <w:r w:rsidR="00B13CFC" w:rsidRPr="00610B1B">
        <w:rPr>
          <w:rFonts w:ascii="Times New Roman" w:eastAsia="Calibri" w:hAnsi="Times New Roman" w:cs="Times New Roman"/>
          <w:color w:val="000000" w:themeColor="text1"/>
          <w:sz w:val="24"/>
          <w:szCs w:val="24"/>
          <w:lang w:val="bg-BG"/>
        </w:rPr>
        <w:t xml:space="preserve">са отредени </w:t>
      </w:r>
      <w:r w:rsidR="00B13CFC" w:rsidRPr="00610B1B">
        <w:rPr>
          <w:rFonts w:ascii="Times New Roman" w:eastAsia="Calibri" w:hAnsi="Times New Roman" w:cs="Times New Roman"/>
          <w:sz w:val="24"/>
          <w:szCs w:val="24"/>
          <w:lang w:val="bg-BG"/>
        </w:rPr>
        <w:t xml:space="preserve">множество координационни, консултативни, съгласувателни и контролни функции по разработването и изпълнението на МППРБ. </w:t>
      </w:r>
    </w:p>
    <w:p w14:paraId="7A71F95D" w14:textId="037F2954" w:rsidR="004D76ED" w:rsidRPr="00610B1B" w:rsidRDefault="00B13CFC" w:rsidP="00D32D6A">
      <w:pPr>
        <w:spacing w:after="120"/>
        <w:ind w:right="-153"/>
        <w:jc w:val="both"/>
        <w:rPr>
          <w:rFonts w:ascii="Times New Roman" w:hAnsi="Times New Roman" w:cs="Times New Roman"/>
          <w:sz w:val="24"/>
          <w:szCs w:val="24"/>
          <w:lang w:val="bg-BG"/>
        </w:rPr>
      </w:pPr>
      <w:r w:rsidRPr="00610B1B">
        <w:rPr>
          <w:rFonts w:ascii="Times New Roman" w:eastAsia="Calibri" w:hAnsi="Times New Roman" w:cs="Times New Roman"/>
          <w:sz w:val="24"/>
          <w:szCs w:val="24"/>
          <w:lang w:val="bg-BG"/>
        </w:rPr>
        <w:t xml:space="preserve">Допълнителни дейности са възложени на Главна дирекция „Стратегическо планиране и програми за регионално развитие“ на МРРБ съгласно чл. 28 ал. 1 т. „м“ на Устройствения </w:t>
      </w:r>
      <w:r w:rsidR="00BA5862" w:rsidRPr="00610B1B">
        <w:rPr>
          <w:rFonts w:ascii="Times New Roman" w:eastAsia="Calibri" w:hAnsi="Times New Roman" w:cs="Times New Roman"/>
          <w:sz w:val="24"/>
          <w:szCs w:val="24"/>
          <w:lang w:val="bg-BG"/>
        </w:rPr>
        <w:t>правилник</w:t>
      </w:r>
      <w:r w:rsidRPr="00610B1B">
        <w:rPr>
          <w:rFonts w:ascii="Times New Roman" w:eastAsia="Calibri" w:hAnsi="Times New Roman" w:cs="Times New Roman"/>
          <w:sz w:val="24"/>
          <w:szCs w:val="24"/>
          <w:lang w:val="bg-BG"/>
        </w:rPr>
        <w:t xml:space="preserve"> на Министерството. Дирекцията осъществява координация и контрол по разработването, съгласуването, обсъждането и приемането на МППРБ</w:t>
      </w:r>
      <w:r w:rsidR="0015205E"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и наблюдение и контрол по неговото изпълнение. </w:t>
      </w:r>
      <w:r w:rsidR="004D76ED" w:rsidRPr="00610B1B">
        <w:rPr>
          <w:rFonts w:ascii="Times New Roman" w:eastAsia="Calibri" w:hAnsi="Times New Roman" w:cs="Times New Roman"/>
          <w:sz w:val="24"/>
          <w:szCs w:val="24"/>
          <w:lang w:val="bg-BG"/>
        </w:rPr>
        <w:t xml:space="preserve">В тези си дейности тя може да бъде подпомагана от </w:t>
      </w:r>
      <w:r w:rsidR="004D76ED" w:rsidRPr="00610B1B">
        <w:rPr>
          <w:rFonts w:ascii="Times New Roman" w:hAnsi="Times New Roman" w:cs="Times New Roman"/>
          <w:sz w:val="24"/>
          <w:szCs w:val="24"/>
          <w:lang w:val="bg-BG"/>
        </w:rPr>
        <w:t>Дирекция „Устройство на територията и административно-териториално устройство</w:t>
      </w:r>
      <w:r w:rsidR="00514936" w:rsidRPr="00610B1B">
        <w:rPr>
          <w:rFonts w:ascii="Times New Roman" w:hAnsi="Times New Roman" w:cs="Times New Roman"/>
          <w:sz w:val="24"/>
          <w:szCs w:val="24"/>
          <w:lang w:val="bg-BG"/>
        </w:rPr>
        <w:t>“, тъй като последната изготвя ста</w:t>
      </w:r>
      <w:r w:rsidR="004D76ED" w:rsidRPr="00610B1B">
        <w:rPr>
          <w:rFonts w:ascii="Times New Roman" w:hAnsi="Times New Roman" w:cs="Times New Roman"/>
          <w:sz w:val="24"/>
          <w:szCs w:val="24"/>
          <w:lang w:val="bg-BG"/>
        </w:rPr>
        <w:t>новища и съгласува проекти на устройствени планове и техни изменения съгласно Закона за устройство на територията, Закона за устройството на Черноморското крайбрежие, Закона за морските пространства, вътрешните водни пътища и пристанищата на Република България</w:t>
      </w:r>
      <w:r w:rsidR="00514936" w:rsidRPr="00610B1B">
        <w:rPr>
          <w:rFonts w:ascii="Times New Roman" w:hAnsi="Times New Roman" w:cs="Times New Roman"/>
          <w:sz w:val="24"/>
          <w:szCs w:val="24"/>
          <w:lang w:val="bg-BG"/>
        </w:rPr>
        <w:t>.</w:t>
      </w:r>
    </w:p>
    <w:p w14:paraId="3E971554" w14:textId="1545F6F9" w:rsidR="00C82519" w:rsidRPr="00610B1B" w:rsidRDefault="00C82519"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sz w:val="24"/>
          <w:szCs w:val="24"/>
          <w:lang w:val="bg-BG"/>
        </w:rPr>
        <w:t xml:space="preserve">Специфична цел 1.3. </w:t>
      </w:r>
      <w:r w:rsidR="00CC761E" w:rsidRPr="00610B1B">
        <w:rPr>
          <w:rFonts w:ascii="Times New Roman" w:eastAsia="Calibri" w:hAnsi="Times New Roman" w:cs="Times New Roman"/>
          <w:color w:val="000000" w:themeColor="text1"/>
          <w:sz w:val="24"/>
          <w:szCs w:val="24"/>
          <w:lang w:val="bg-BG"/>
        </w:rPr>
        <w:t>до</w:t>
      </w:r>
      <w:r w:rsidRPr="00610B1B">
        <w:rPr>
          <w:rFonts w:ascii="Times New Roman" w:eastAsia="Calibri" w:hAnsi="Times New Roman" w:cs="Times New Roman"/>
          <w:color w:val="000000" w:themeColor="text1"/>
          <w:sz w:val="24"/>
          <w:szCs w:val="24"/>
          <w:lang w:val="bg-BG"/>
        </w:rPr>
        <w:t>изясн</w:t>
      </w:r>
      <w:r w:rsidR="00F64178" w:rsidRPr="00610B1B">
        <w:rPr>
          <w:rFonts w:ascii="Times New Roman" w:eastAsia="Calibri" w:hAnsi="Times New Roman" w:cs="Times New Roman"/>
          <w:color w:val="000000" w:themeColor="text1"/>
          <w:sz w:val="24"/>
          <w:szCs w:val="24"/>
          <w:lang w:val="bg-BG"/>
        </w:rPr>
        <w:t>ява</w:t>
      </w:r>
      <w:r w:rsidRPr="00610B1B">
        <w:rPr>
          <w:rFonts w:ascii="Times New Roman" w:eastAsia="Calibri" w:hAnsi="Times New Roman" w:cs="Times New Roman"/>
          <w:color w:val="000000" w:themeColor="text1"/>
          <w:sz w:val="24"/>
          <w:szCs w:val="24"/>
          <w:lang w:val="bg-BG"/>
        </w:rPr>
        <w:t xml:space="preserve"> взаимодействията между тези </w:t>
      </w:r>
      <w:r w:rsidR="0015205E" w:rsidRPr="00610B1B">
        <w:rPr>
          <w:rFonts w:ascii="Times New Roman" w:eastAsia="Calibri" w:hAnsi="Times New Roman" w:cs="Times New Roman"/>
          <w:color w:val="000000" w:themeColor="text1"/>
          <w:sz w:val="24"/>
          <w:szCs w:val="24"/>
          <w:lang w:val="bg-BG"/>
        </w:rPr>
        <w:t>звена и заинтересованите страни</w:t>
      </w:r>
      <w:r w:rsidRPr="00610B1B">
        <w:rPr>
          <w:rFonts w:ascii="Times New Roman" w:eastAsia="Calibri" w:hAnsi="Times New Roman" w:cs="Times New Roman"/>
          <w:color w:val="000000" w:themeColor="text1"/>
          <w:sz w:val="24"/>
          <w:szCs w:val="24"/>
          <w:lang w:val="bg-BG"/>
        </w:rPr>
        <w:t>, регулира техните взаимоотношения и задължения и определ</w:t>
      </w:r>
      <w:r w:rsidR="00F64178" w:rsidRPr="00610B1B">
        <w:rPr>
          <w:rFonts w:ascii="Times New Roman" w:eastAsia="Calibri" w:hAnsi="Times New Roman" w:cs="Times New Roman"/>
          <w:color w:val="000000" w:themeColor="text1"/>
          <w:sz w:val="24"/>
          <w:szCs w:val="24"/>
          <w:lang w:val="bg-BG"/>
        </w:rPr>
        <w:t>я</w:t>
      </w:r>
      <w:r w:rsidRPr="00610B1B">
        <w:rPr>
          <w:rFonts w:ascii="Times New Roman" w:eastAsia="Calibri" w:hAnsi="Times New Roman" w:cs="Times New Roman"/>
          <w:color w:val="000000" w:themeColor="text1"/>
          <w:sz w:val="24"/>
          <w:szCs w:val="24"/>
          <w:lang w:val="bg-BG"/>
        </w:rPr>
        <w:t xml:space="preserve"> оперативно звено, което ще изпълнява всички необходими дейности по тези етапи в морското пространствено планиране.</w:t>
      </w:r>
      <w:r w:rsidR="0015205E" w:rsidRPr="00610B1B">
        <w:rPr>
          <w:rFonts w:ascii="Times New Roman" w:eastAsia="Calibri" w:hAnsi="Times New Roman" w:cs="Times New Roman"/>
          <w:color w:val="000000" w:themeColor="text1"/>
          <w:sz w:val="24"/>
          <w:szCs w:val="24"/>
          <w:lang w:val="bg-BG"/>
        </w:rPr>
        <w:t xml:space="preserve"> Последното е най-важната задача на тази цел, без изпълнението на която трудно може да се очаква успех.</w:t>
      </w:r>
    </w:p>
    <w:p w14:paraId="385A5ECE" w14:textId="5EC7007F" w:rsidR="0015205E" w:rsidRPr="00610B1B" w:rsidRDefault="00C82519"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Паралелно с това трябва да се доизяснят взаимоотношенията с останалите водещи институции, отговорни за морската безопасност и сигурност, за опазване на морската околна среда от замърсяване и подобряване на нейното състояние</w:t>
      </w:r>
      <w:r w:rsidR="009030B4" w:rsidRPr="00610B1B">
        <w:rPr>
          <w:rFonts w:ascii="Times New Roman" w:eastAsia="Calibri" w:hAnsi="Times New Roman" w:cs="Times New Roman"/>
          <w:color w:val="000000" w:themeColor="text1"/>
          <w:sz w:val="24"/>
          <w:szCs w:val="24"/>
          <w:lang w:val="bg-BG"/>
        </w:rPr>
        <w:t>,</w:t>
      </w:r>
      <w:r w:rsidRPr="00610B1B">
        <w:rPr>
          <w:rFonts w:ascii="Times New Roman" w:eastAsia="Calibri" w:hAnsi="Times New Roman" w:cs="Times New Roman"/>
          <w:color w:val="000000" w:themeColor="text1"/>
          <w:sz w:val="24"/>
          <w:szCs w:val="24"/>
          <w:lang w:val="bg-BG"/>
        </w:rPr>
        <w:t xml:space="preserve"> за да се координират по-добре действията им. </w:t>
      </w:r>
      <w:bookmarkEnd w:id="454"/>
      <w:r w:rsidRPr="00610B1B">
        <w:rPr>
          <w:rFonts w:ascii="Times New Roman" w:eastAsia="Calibri" w:hAnsi="Times New Roman" w:cs="Times New Roman"/>
          <w:color w:val="000000" w:themeColor="text1"/>
          <w:sz w:val="24"/>
          <w:szCs w:val="24"/>
          <w:lang w:val="bg-BG"/>
        </w:rPr>
        <w:t xml:space="preserve">Това са </w:t>
      </w:r>
      <w:r w:rsidR="0015205E" w:rsidRPr="00610B1B">
        <w:rPr>
          <w:rFonts w:ascii="Times New Roman" w:eastAsia="Calibri" w:hAnsi="Times New Roman" w:cs="Times New Roman"/>
          <w:color w:val="000000" w:themeColor="text1"/>
          <w:sz w:val="24"/>
          <w:szCs w:val="24"/>
          <w:lang w:val="bg-BG"/>
        </w:rPr>
        <w:t>14 държавни институции в областта на морската безопасност</w:t>
      </w:r>
      <w:r w:rsidR="009030B4" w:rsidRPr="00610B1B">
        <w:rPr>
          <w:rFonts w:ascii="Times New Roman" w:eastAsia="Calibri" w:hAnsi="Times New Roman" w:cs="Times New Roman"/>
          <w:color w:val="000000" w:themeColor="text1"/>
          <w:sz w:val="24"/>
          <w:szCs w:val="24"/>
          <w:lang w:val="bg-BG"/>
        </w:rPr>
        <w:t xml:space="preserve"> и сигурност</w:t>
      </w:r>
      <w:r w:rsidR="0015205E" w:rsidRPr="00610B1B">
        <w:rPr>
          <w:rFonts w:ascii="Times New Roman" w:eastAsia="Calibri" w:hAnsi="Times New Roman" w:cs="Times New Roman"/>
          <w:color w:val="000000" w:themeColor="text1"/>
          <w:sz w:val="24"/>
          <w:szCs w:val="24"/>
          <w:lang w:val="bg-BG"/>
        </w:rPr>
        <w:t xml:space="preserve"> и 12 държавни и регионални институции в сферата на опазването на морската околна среда. </w:t>
      </w:r>
    </w:p>
    <w:p w14:paraId="62A909A2" w14:textId="136B03FF" w:rsidR="00CC761E" w:rsidRPr="00610B1B" w:rsidRDefault="0015205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Най-важната част от тази институционализация остават дейностите, свързани с оперативното изпълнение и с информационното осигуряване</w:t>
      </w:r>
      <w:r w:rsidR="008A4842" w:rsidRPr="00610B1B">
        <w:rPr>
          <w:rFonts w:ascii="Times New Roman" w:eastAsia="Calibri" w:hAnsi="Times New Roman" w:cs="Times New Roman"/>
          <w:color w:val="000000" w:themeColor="text1"/>
          <w:sz w:val="24"/>
          <w:szCs w:val="24"/>
          <w:lang w:val="bg-BG"/>
        </w:rPr>
        <w:t>, които поради това</w:t>
      </w:r>
      <w:r w:rsidR="009030B4" w:rsidRPr="00610B1B">
        <w:rPr>
          <w:rFonts w:ascii="Times New Roman" w:eastAsia="Calibri" w:hAnsi="Times New Roman" w:cs="Times New Roman"/>
          <w:color w:val="000000" w:themeColor="text1"/>
          <w:sz w:val="24"/>
          <w:szCs w:val="24"/>
          <w:lang w:val="bg-BG"/>
        </w:rPr>
        <w:t>,</w:t>
      </w:r>
      <w:r w:rsidR="008A4842" w:rsidRPr="00610B1B">
        <w:rPr>
          <w:rFonts w:ascii="Times New Roman" w:eastAsia="Calibri" w:hAnsi="Times New Roman" w:cs="Times New Roman"/>
          <w:color w:val="000000" w:themeColor="text1"/>
          <w:sz w:val="24"/>
          <w:szCs w:val="24"/>
          <w:lang w:val="bg-BG"/>
        </w:rPr>
        <w:t xml:space="preserve"> че са свързани с компетенции на лица на различно подчинение, би следвало да се регламентират с акт, одобрен от Министерски съвет</w:t>
      </w:r>
      <w:r w:rsidRPr="00610B1B">
        <w:rPr>
          <w:rFonts w:ascii="Times New Roman" w:eastAsia="Calibri" w:hAnsi="Times New Roman" w:cs="Times New Roman"/>
          <w:color w:val="000000" w:themeColor="text1"/>
          <w:sz w:val="24"/>
          <w:szCs w:val="24"/>
          <w:lang w:val="bg-BG"/>
        </w:rPr>
        <w:t xml:space="preserve">. </w:t>
      </w:r>
    </w:p>
    <w:p w14:paraId="799E651D" w14:textId="433912FD" w:rsidR="00CC761E" w:rsidRPr="00610B1B" w:rsidRDefault="00CC761E" w:rsidP="00D32D6A">
      <w:pPr>
        <w:spacing w:after="120"/>
        <w:ind w:right="-153"/>
        <w:jc w:val="both"/>
        <w:rPr>
          <w:rFonts w:ascii="Times New Roman" w:eastAsia="Calibri" w:hAnsi="Times New Roman" w:cs="Times New Roman"/>
          <w:b/>
          <w:bCs/>
          <w:i/>
          <w:iCs/>
          <w:color w:val="000000" w:themeColor="text1"/>
          <w:sz w:val="24"/>
          <w:szCs w:val="24"/>
          <w:lang w:val="bg-BG"/>
        </w:rPr>
      </w:pPr>
      <w:r w:rsidRPr="00610B1B">
        <w:rPr>
          <w:rFonts w:ascii="Times New Roman" w:eastAsia="Calibri" w:hAnsi="Times New Roman" w:cs="Times New Roman"/>
          <w:b/>
          <w:bCs/>
          <w:i/>
          <w:iCs/>
          <w:color w:val="000000" w:themeColor="text1"/>
          <w:sz w:val="24"/>
          <w:szCs w:val="24"/>
          <w:lang w:val="bg-BG"/>
        </w:rPr>
        <w:lastRenderedPageBreak/>
        <w:t>Специфична цел 1.</w:t>
      </w:r>
      <w:r w:rsidR="008A4842" w:rsidRPr="00610B1B">
        <w:rPr>
          <w:rFonts w:ascii="Times New Roman" w:eastAsia="Calibri" w:hAnsi="Times New Roman" w:cs="Times New Roman"/>
          <w:b/>
          <w:bCs/>
          <w:i/>
          <w:iCs/>
          <w:color w:val="000000" w:themeColor="text1"/>
          <w:sz w:val="24"/>
          <w:szCs w:val="24"/>
          <w:lang w:val="bg-BG"/>
        </w:rPr>
        <w:t>4</w:t>
      </w:r>
      <w:r w:rsidRPr="00610B1B">
        <w:rPr>
          <w:rFonts w:ascii="Times New Roman" w:eastAsia="Calibri" w:hAnsi="Times New Roman" w:cs="Times New Roman"/>
          <w:b/>
          <w:bCs/>
          <w:i/>
          <w:iCs/>
          <w:color w:val="000000" w:themeColor="text1"/>
          <w:sz w:val="24"/>
          <w:szCs w:val="24"/>
          <w:lang w:val="bg-BG"/>
        </w:rPr>
        <w:t>. Информационно осигуряване на прилагането, мониторинга и контрола по прилагането на МППРБ</w:t>
      </w:r>
    </w:p>
    <w:p w14:paraId="61318F8B" w14:textId="77777777" w:rsidR="00CC761E" w:rsidRPr="00610B1B" w:rsidRDefault="0015205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Регламентирането на правила, по които България да има актуална, проверена, съгласувана</w:t>
      </w:r>
      <w:r w:rsidR="00B63594" w:rsidRPr="00610B1B">
        <w:rPr>
          <w:rFonts w:ascii="Times New Roman" w:eastAsia="Calibri" w:hAnsi="Times New Roman" w:cs="Times New Roman"/>
          <w:color w:val="000000" w:themeColor="text1"/>
          <w:sz w:val="24"/>
          <w:szCs w:val="24"/>
          <w:lang w:val="bg-BG"/>
        </w:rPr>
        <w:t>, надеждна</w:t>
      </w:r>
      <w:r w:rsidRPr="00610B1B">
        <w:rPr>
          <w:rFonts w:ascii="Times New Roman" w:eastAsia="Calibri" w:hAnsi="Times New Roman" w:cs="Times New Roman"/>
          <w:color w:val="000000" w:themeColor="text1"/>
          <w:sz w:val="24"/>
          <w:szCs w:val="24"/>
          <w:lang w:val="bg-BG"/>
        </w:rPr>
        <w:t xml:space="preserve"> и интегрирана информационна система за морско пространствено планиране</w:t>
      </w:r>
      <w:r w:rsidR="00B63594" w:rsidRPr="00610B1B">
        <w:rPr>
          <w:rFonts w:ascii="Times New Roman" w:eastAsia="Calibri" w:hAnsi="Times New Roman" w:cs="Times New Roman"/>
          <w:color w:val="000000" w:themeColor="text1"/>
          <w:sz w:val="24"/>
          <w:szCs w:val="24"/>
          <w:lang w:val="bg-BG"/>
        </w:rPr>
        <w:t xml:space="preserve">, </w:t>
      </w:r>
      <w:r w:rsidR="0028400F" w:rsidRPr="00610B1B">
        <w:rPr>
          <w:rFonts w:ascii="Times New Roman" w:eastAsia="Calibri" w:hAnsi="Times New Roman" w:cs="Times New Roman"/>
          <w:color w:val="000000" w:themeColor="text1"/>
          <w:sz w:val="24"/>
          <w:szCs w:val="24"/>
          <w:lang w:val="bg-BG"/>
        </w:rPr>
        <w:t>в допълнение на</w:t>
      </w:r>
      <w:r w:rsidR="00B63594" w:rsidRPr="00610B1B">
        <w:rPr>
          <w:rFonts w:ascii="Times New Roman" w:eastAsia="Calibri" w:hAnsi="Times New Roman" w:cs="Times New Roman"/>
          <w:color w:val="000000" w:themeColor="text1"/>
          <w:sz w:val="24"/>
          <w:szCs w:val="24"/>
          <w:lang w:val="bg-BG"/>
        </w:rPr>
        <w:t xml:space="preserve"> данните за страната от други Европейски платформи е най-важната задача за постигане на тази специфична цел</w:t>
      </w:r>
      <w:r w:rsidR="00CC761E" w:rsidRPr="00610B1B">
        <w:rPr>
          <w:rFonts w:ascii="Times New Roman" w:eastAsia="Calibri" w:hAnsi="Times New Roman" w:cs="Times New Roman"/>
          <w:color w:val="000000" w:themeColor="text1"/>
          <w:sz w:val="24"/>
          <w:szCs w:val="24"/>
          <w:lang w:val="bg-BG"/>
        </w:rPr>
        <w:t xml:space="preserve">. </w:t>
      </w:r>
    </w:p>
    <w:p w14:paraId="31B81086" w14:textId="20F8360C" w:rsidR="0015205E" w:rsidRPr="00610B1B" w:rsidRDefault="00CC761E"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Постоянно поддържана информация е необходима във всички етапи от разработването, мониторинга, контрола по приложението и изменението</w:t>
      </w:r>
      <w:r w:rsidR="00D66FE0" w:rsidRPr="00610B1B">
        <w:rPr>
          <w:rFonts w:ascii="Times New Roman" w:eastAsia="Calibri" w:hAnsi="Times New Roman" w:cs="Times New Roman"/>
          <w:color w:val="000000" w:themeColor="text1"/>
          <w:sz w:val="24"/>
          <w:szCs w:val="24"/>
          <w:lang w:val="bg-BG"/>
        </w:rPr>
        <w:t xml:space="preserve"> </w:t>
      </w:r>
      <w:r w:rsidRPr="00610B1B">
        <w:rPr>
          <w:rFonts w:ascii="Times New Roman" w:eastAsia="Calibri" w:hAnsi="Times New Roman" w:cs="Times New Roman"/>
          <w:color w:val="000000" w:themeColor="text1"/>
          <w:sz w:val="24"/>
          <w:szCs w:val="24"/>
          <w:lang w:val="bg-BG"/>
        </w:rPr>
        <w:t>на МППРБ. Тя подсигурява и избраните индикатори за мониторинг, позволява да се правят анализи и сравнения с развитието на секторите в морската икономика в други струни от ЕС, за да се вземат правилни и навр</w:t>
      </w:r>
      <w:r w:rsidR="008A4842" w:rsidRPr="00610B1B">
        <w:rPr>
          <w:rFonts w:ascii="Times New Roman" w:eastAsia="Calibri" w:hAnsi="Times New Roman" w:cs="Times New Roman"/>
          <w:color w:val="000000" w:themeColor="text1"/>
          <w:sz w:val="24"/>
          <w:szCs w:val="24"/>
          <w:lang w:val="bg-BG"/>
        </w:rPr>
        <w:t>е</w:t>
      </w:r>
      <w:r w:rsidRPr="00610B1B">
        <w:rPr>
          <w:rFonts w:ascii="Times New Roman" w:eastAsia="Calibri" w:hAnsi="Times New Roman" w:cs="Times New Roman"/>
          <w:color w:val="000000" w:themeColor="text1"/>
          <w:sz w:val="24"/>
          <w:szCs w:val="24"/>
          <w:lang w:val="bg-BG"/>
        </w:rPr>
        <w:t xml:space="preserve">менни политически решения. </w:t>
      </w:r>
      <w:r w:rsidR="008A4842" w:rsidRPr="00610B1B">
        <w:rPr>
          <w:rFonts w:ascii="Times New Roman" w:eastAsia="Calibri" w:hAnsi="Times New Roman" w:cs="Times New Roman"/>
          <w:color w:val="000000" w:themeColor="text1"/>
          <w:sz w:val="24"/>
          <w:szCs w:val="24"/>
          <w:lang w:val="bg-BG"/>
        </w:rPr>
        <w:t>По този начин се</w:t>
      </w:r>
      <w:r w:rsidR="00D372F9" w:rsidRPr="00610B1B">
        <w:rPr>
          <w:rFonts w:ascii="Times New Roman" w:eastAsia="Calibri" w:hAnsi="Times New Roman" w:cs="Times New Roman"/>
          <w:color w:val="000000" w:themeColor="text1"/>
          <w:sz w:val="24"/>
          <w:szCs w:val="24"/>
          <w:lang w:val="bg-BG"/>
        </w:rPr>
        <w:t xml:space="preserve"> прилагат цялостно изискванията както на Директива 2014/89, така и на Директива 2007/2/EО за създаване на инфраструктура за пространствена информация в Европейската общност (INSPIRE), за да се удовлетворят изискванията на ЕК при оценката на морските пространствени планове. </w:t>
      </w:r>
    </w:p>
    <w:p w14:paraId="2C800661" w14:textId="77777777" w:rsidR="00F37D59" w:rsidRPr="00610B1B" w:rsidRDefault="00F37D59" w:rsidP="00D32D6A">
      <w:pPr>
        <w:spacing w:after="120"/>
        <w:ind w:right="-153"/>
        <w:jc w:val="both"/>
        <w:rPr>
          <w:rFonts w:ascii="Times New Roman" w:eastAsia="Calibri" w:hAnsi="Times New Roman" w:cs="Times New Roman"/>
          <w:color w:val="000000" w:themeColor="text1"/>
          <w:sz w:val="12"/>
          <w:szCs w:val="12"/>
          <w:lang w:val="bg-BG"/>
        </w:rPr>
      </w:pPr>
    </w:p>
    <w:p w14:paraId="0569FEE8" w14:textId="73223C8C" w:rsidR="00442579" w:rsidRPr="00610B1B" w:rsidRDefault="00442579" w:rsidP="003F3C59">
      <w:pPr>
        <w:shd w:val="clear" w:color="auto" w:fill="BEE6F0"/>
        <w:spacing w:after="120"/>
        <w:ind w:right="-153"/>
        <w:jc w:val="both"/>
        <w:rPr>
          <w:rFonts w:ascii="Times New Roman" w:eastAsia="Calibri" w:hAnsi="Times New Roman" w:cs="Times New Roman"/>
          <w:b/>
          <w:color w:val="000000" w:themeColor="text1"/>
          <w:sz w:val="24"/>
          <w:szCs w:val="24"/>
          <w:lang w:val="bg-BG"/>
        </w:rPr>
      </w:pPr>
      <w:r w:rsidRPr="00610B1B">
        <w:rPr>
          <w:rFonts w:ascii="Times New Roman" w:eastAsia="Calibri" w:hAnsi="Times New Roman" w:cs="Times New Roman"/>
          <w:b/>
          <w:color w:val="000000" w:themeColor="text1"/>
          <w:sz w:val="24"/>
          <w:szCs w:val="24"/>
          <w:lang w:val="bg-BG"/>
        </w:rPr>
        <w:t>Стратегическа</w:t>
      </w:r>
      <w:r w:rsidR="00AF4C05" w:rsidRPr="00610B1B">
        <w:rPr>
          <w:rFonts w:ascii="Times New Roman" w:eastAsia="Calibri" w:hAnsi="Times New Roman" w:cs="Times New Roman"/>
          <w:b/>
          <w:color w:val="000000" w:themeColor="text1"/>
          <w:sz w:val="24"/>
          <w:szCs w:val="24"/>
          <w:lang w:val="bg-BG"/>
        </w:rPr>
        <w:t> </w:t>
      </w:r>
      <w:r w:rsidRPr="00610B1B">
        <w:rPr>
          <w:rFonts w:ascii="Times New Roman" w:eastAsia="Calibri" w:hAnsi="Times New Roman" w:cs="Times New Roman"/>
          <w:b/>
          <w:color w:val="000000" w:themeColor="text1"/>
          <w:sz w:val="24"/>
          <w:szCs w:val="24"/>
          <w:lang w:val="bg-BG"/>
        </w:rPr>
        <w:t>цел</w:t>
      </w:r>
      <w:r w:rsidR="00AF4C05" w:rsidRPr="00610B1B">
        <w:rPr>
          <w:rFonts w:ascii="Times New Roman" w:eastAsia="Calibri" w:hAnsi="Times New Roman" w:cs="Times New Roman"/>
          <w:b/>
          <w:color w:val="000000" w:themeColor="text1"/>
          <w:sz w:val="24"/>
          <w:szCs w:val="24"/>
          <w:lang w:val="bg-BG"/>
        </w:rPr>
        <w:t> </w:t>
      </w:r>
      <w:r w:rsidRPr="00610B1B">
        <w:rPr>
          <w:rFonts w:ascii="Times New Roman" w:eastAsia="Calibri" w:hAnsi="Times New Roman" w:cs="Times New Roman"/>
          <w:b/>
          <w:color w:val="000000" w:themeColor="text1"/>
          <w:sz w:val="24"/>
          <w:szCs w:val="24"/>
          <w:lang w:val="bg-BG"/>
        </w:rPr>
        <w:t xml:space="preserve">2: Изграждане на диверсифицирана и устойчива морска икономика и жизнени териториални общности </w:t>
      </w:r>
    </w:p>
    <w:p w14:paraId="4E64AABA" w14:textId="048C9B17" w:rsidR="00442579" w:rsidRPr="00610B1B" w:rsidRDefault="005547A1"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Стратегическа цел 2</w:t>
      </w:r>
      <w:r w:rsidR="00442579" w:rsidRPr="00610B1B">
        <w:rPr>
          <w:rFonts w:ascii="Times New Roman" w:eastAsia="Calibri" w:hAnsi="Times New Roman" w:cs="Times New Roman"/>
          <w:color w:val="000000" w:themeColor="text1"/>
          <w:sz w:val="24"/>
          <w:szCs w:val="24"/>
          <w:lang w:val="bg-BG"/>
        </w:rPr>
        <w:t xml:space="preserve"> е свързана с политики за устойчиво използване на морските и крайбрежните </w:t>
      </w:r>
      <w:r w:rsidR="00BC2B4F" w:rsidRPr="00610B1B">
        <w:rPr>
          <w:rFonts w:ascii="Times New Roman" w:eastAsia="Calibri" w:hAnsi="Times New Roman" w:cs="Times New Roman"/>
          <w:color w:val="000000" w:themeColor="text1"/>
          <w:sz w:val="24"/>
          <w:szCs w:val="24"/>
          <w:lang w:val="bg-BG"/>
        </w:rPr>
        <w:t xml:space="preserve">ресурси и </w:t>
      </w:r>
      <w:r w:rsidR="0028400F" w:rsidRPr="00610B1B">
        <w:rPr>
          <w:rFonts w:ascii="Times New Roman" w:eastAsia="Calibri" w:hAnsi="Times New Roman" w:cs="Times New Roman"/>
          <w:color w:val="000000" w:themeColor="text1"/>
          <w:sz w:val="24"/>
          <w:szCs w:val="24"/>
          <w:lang w:val="bg-BG"/>
        </w:rPr>
        <w:t xml:space="preserve">екосистемни </w:t>
      </w:r>
      <w:r w:rsidR="00442579" w:rsidRPr="00610B1B">
        <w:rPr>
          <w:rFonts w:ascii="Times New Roman" w:eastAsia="Calibri" w:hAnsi="Times New Roman" w:cs="Times New Roman"/>
          <w:color w:val="000000" w:themeColor="text1"/>
          <w:sz w:val="24"/>
          <w:szCs w:val="24"/>
          <w:lang w:val="bg-BG"/>
        </w:rPr>
        <w:t>услуги на Черно море.</w:t>
      </w:r>
      <w:r w:rsidR="00D66FE0" w:rsidRPr="00610B1B">
        <w:rPr>
          <w:rFonts w:ascii="Times New Roman" w:eastAsia="Calibri" w:hAnsi="Times New Roman" w:cs="Times New Roman"/>
          <w:color w:val="000000" w:themeColor="text1"/>
          <w:sz w:val="24"/>
          <w:szCs w:val="24"/>
          <w:lang w:val="bg-BG"/>
        </w:rPr>
        <w:t xml:space="preserve"> </w:t>
      </w:r>
      <w:r w:rsidR="00442579" w:rsidRPr="00610B1B">
        <w:rPr>
          <w:rFonts w:ascii="Times New Roman" w:eastAsia="Calibri" w:hAnsi="Times New Roman" w:cs="Times New Roman"/>
          <w:color w:val="000000" w:themeColor="text1"/>
          <w:sz w:val="24"/>
          <w:szCs w:val="24"/>
          <w:lang w:val="bg-BG"/>
        </w:rPr>
        <w:t xml:space="preserve">Реализирането на потенциалните ползи ще изисква стратегии, които създават </w:t>
      </w:r>
      <w:r w:rsidR="00B7057E" w:rsidRPr="00610B1B">
        <w:rPr>
          <w:rFonts w:ascii="Times New Roman" w:eastAsia="Calibri" w:hAnsi="Times New Roman" w:cs="Times New Roman"/>
          <w:color w:val="000000" w:themeColor="text1"/>
          <w:sz w:val="24"/>
          <w:szCs w:val="24"/>
          <w:lang w:val="bg-BG"/>
        </w:rPr>
        <w:t>условия</w:t>
      </w:r>
      <w:r w:rsidR="00442579" w:rsidRPr="00610B1B">
        <w:rPr>
          <w:rFonts w:ascii="Times New Roman" w:eastAsia="Calibri" w:hAnsi="Times New Roman" w:cs="Times New Roman"/>
          <w:color w:val="000000" w:themeColor="text1"/>
          <w:sz w:val="24"/>
          <w:szCs w:val="24"/>
          <w:lang w:val="bg-BG"/>
        </w:rPr>
        <w:t xml:space="preserve"> за:</w:t>
      </w:r>
    </w:p>
    <w:p w14:paraId="06F66E00" w14:textId="77777777" w:rsidR="00442579" w:rsidRPr="00610B1B" w:rsidRDefault="00442579" w:rsidP="00B46189">
      <w:pPr>
        <w:numPr>
          <w:ilvl w:val="0"/>
          <w:numId w:val="37"/>
        </w:numPr>
        <w:spacing w:after="120"/>
        <w:ind w:left="714" w:right="-153" w:hanging="357"/>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Увеличаване на инвестициите в развитието на съществуващите сектори;</w:t>
      </w:r>
    </w:p>
    <w:p w14:paraId="36E6B3F7" w14:textId="4B7EEF03" w:rsidR="00442579" w:rsidRPr="00610B1B" w:rsidRDefault="00442579" w:rsidP="00B46189">
      <w:pPr>
        <w:numPr>
          <w:ilvl w:val="0"/>
          <w:numId w:val="37"/>
        </w:numPr>
        <w:spacing w:after="120"/>
        <w:ind w:left="714" w:right="-153" w:hanging="357"/>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Насърчаване на </w:t>
      </w:r>
      <w:r w:rsidR="00B7057E" w:rsidRPr="00610B1B">
        <w:rPr>
          <w:rFonts w:ascii="Times New Roman" w:eastAsia="Calibri" w:hAnsi="Times New Roman" w:cs="Times New Roman"/>
          <w:color w:val="000000" w:themeColor="text1"/>
          <w:sz w:val="24"/>
          <w:szCs w:val="24"/>
          <w:lang w:val="bg-BG"/>
        </w:rPr>
        <w:t>инвестиции</w:t>
      </w:r>
      <w:r w:rsidRPr="00610B1B">
        <w:rPr>
          <w:rFonts w:ascii="Times New Roman" w:eastAsia="Calibri" w:hAnsi="Times New Roman" w:cs="Times New Roman"/>
          <w:color w:val="000000" w:themeColor="text1"/>
          <w:sz w:val="24"/>
          <w:szCs w:val="24"/>
          <w:lang w:val="bg-BG"/>
        </w:rPr>
        <w:t>, иновации и технологични трансформации в подкрепа на развитието на нови и нововъзникващи сектори на синята икономика;</w:t>
      </w:r>
    </w:p>
    <w:p w14:paraId="4B92ECE3" w14:textId="4ED1996E" w:rsidR="00442579" w:rsidRPr="00610B1B" w:rsidRDefault="00442579" w:rsidP="00B46189">
      <w:pPr>
        <w:numPr>
          <w:ilvl w:val="0"/>
          <w:numId w:val="37"/>
        </w:numPr>
        <w:spacing w:after="120"/>
        <w:ind w:left="714" w:right="-153" w:hanging="357"/>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Реализиране на кръгова икономика</w:t>
      </w:r>
      <w:r w:rsidR="00BC2B4F" w:rsidRPr="00610B1B">
        <w:rPr>
          <w:rFonts w:ascii="Times New Roman" w:eastAsia="Calibri" w:hAnsi="Times New Roman" w:cs="Times New Roman"/>
          <w:color w:val="000000" w:themeColor="text1"/>
          <w:sz w:val="24"/>
          <w:szCs w:val="24"/>
          <w:lang w:val="bg-BG"/>
        </w:rPr>
        <w:t>;</w:t>
      </w:r>
    </w:p>
    <w:p w14:paraId="4973C592" w14:textId="77777777" w:rsidR="00B63594" w:rsidRPr="00610B1B" w:rsidRDefault="00442579" w:rsidP="00B46189">
      <w:pPr>
        <w:numPr>
          <w:ilvl w:val="0"/>
          <w:numId w:val="37"/>
        </w:numPr>
        <w:spacing w:after="120"/>
        <w:ind w:left="714" w:right="-153" w:hanging="357"/>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Допълнително развиване на връзки нагоре и надолу във веригите на стойността на съществуващите сектори.</w:t>
      </w:r>
    </w:p>
    <w:p w14:paraId="0B5DB9A0" w14:textId="5DB31E56" w:rsidR="00B63594" w:rsidRPr="00610B1B" w:rsidRDefault="00B63594"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Тази цел олицетворява желания резултат от постигане на първата „Регулиране и координиране на морските ползвания“. Институционализираната в ЗМПВВППРБ необходимост от морски пространствен план означава и намерение за насочване на публични ресурси към пространствата на морската икономика. Специфичните цели в тази сфера са:</w:t>
      </w:r>
    </w:p>
    <w:p w14:paraId="25A6F6C2" w14:textId="13F3C0F7" w:rsidR="00B63594" w:rsidRPr="00610B1B" w:rsidRDefault="00B63594" w:rsidP="00D32D6A">
      <w:pPr>
        <w:spacing w:after="120"/>
        <w:ind w:right="-153"/>
        <w:jc w:val="both"/>
        <w:rPr>
          <w:rFonts w:ascii="Times New Roman" w:eastAsia="Calibri" w:hAnsi="Times New Roman" w:cs="Times New Roman"/>
          <w:b/>
          <w:bCs/>
          <w:i/>
          <w:iCs/>
          <w:color w:val="000000" w:themeColor="text1"/>
          <w:sz w:val="24"/>
          <w:szCs w:val="24"/>
          <w:lang w:val="bg-BG"/>
        </w:rPr>
      </w:pPr>
      <w:r w:rsidRPr="00610B1B">
        <w:rPr>
          <w:rFonts w:ascii="Times New Roman" w:eastAsia="Calibri" w:hAnsi="Times New Roman" w:cs="Times New Roman"/>
          <w:b/>
          <w:bCs/>
          <w:i/>
          <w:iCs/>
          <w:color w:val="000000" w:themeColor="text1"/>
          <w:sz w:val="24"/>
          <w:szCs w:val="24"/>
          <w:lang w:val="bg-BG"/>
        </w:rPr>
        <w:t xml:space="preserve">Специфична цел 2.1. Координация на секторните политики в </w:t>
      </w:r>
      <w:r w:rsidR="00953270" w:rsidRPr="00610B1B">
        <w:rPr>
          <w:rFonts w:ascii="Times New Roman" w:eastAsia="Calibri" w:hAnsi="Times New Roman" w:cs="Times New Roman"/>
          <w:b/>
          <w:bCs/>
          <w:i/>
          <w:iCs/>
          <w:color w:val="000000" w:themeColor="text1"/>
          <w:sz w:val="24"/>
          <w:szCs w:val="24"/>
          <w:lang w:val="bg-BG"/>
        </w:rPr>
        <w:t>морската</w:t>
      </w:r>
      <w:r w:rsidRPr="00610B1B">
        <w:rPr>
          <w:rFonts w:ascii="Times New Roman" w:eastAsia="Calibri" w:hAnsi="Times New Roman" w:cs="Times New Roman"/>
          <w:b/>
          <w:bCs/>
          <w:i/>
          <w:iCs/>
          <w:color w:val="000000" w:themeColor="text1"/>
          <w:sz w:val="24"/>
          <w:szCs w:val="24"/>
          <w:lang w:val="bg-BG"/>
        </w:rPr>
        <w:t xml:space="preserve"> икономика</w:t>
      </w:r>
      <w:r w:rsidR="00953270" w:rsidRPr="00610B1B">
        <w:rPr>
          <w:rFonts w:ascii="Times New Roman" w:eastAsia="Calibri" w:hAnsi="Times New Roman" w:cs="Times New Roman"/>
          <w:b/>
          <w:bCs/>
          <w:i/>
          <w:iCs/>
          <w:color w:val="000000" w:themeColor="text1"/>
          <w:sz w:val="24"/>
          <w:szCs w:val="24"/>
          <w:lang w:val="bg-BG"/>
        </w:rPr>
        <w:t xml:space="preserve"> в подкрепа на Зелен</w:t>
      </w:r>
      <w:r w:rsidR="009030B4" w:rsidRPr="00610B1B">
        <w:rPr>
          <w:rFonts w:ascii="Times New Roman" w:eastAsia="Calibri" w:hAnsi="Times New Roman" w:cs="Times New Roman"/>
          <w:b/>
          <w:bCs/>
          <w:i/>
          <w:iCs/>
          <w:color w:val="000000" w:themeColor="text1"/>
          <w:sz w:val="24"/>
          <w:szCs w:val="24"/>
          <w:lang w:val="bg-BG"/>
        </w:rPr>
        <w:t>ата сделка</w:t>
      </w:r>
    </w:p>
    <w:p w14:paraId="11553CD5" w14:textId="5906FBF3" w:rsidR="00B63594" w:rsidRPr="00610B1B" w:rsidRDefault="00B63594"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В основата на тази специфична цел е координацията за постигане на синергичен ефект от въз</w:t>
      </w:r>
      <w:r w:rsidR="003416A7" w:rsidRPr="00610B1B">
        <w:rPr>
          <w:rFonts w:ascii="Times New Roman" w:eastAsia="Calibri" w:hAnsi="Times New Roman" w:cs="Times New Roman"/>
          <w:color w:val="000000" w:themeColor="text1"/>
          <w:sz w:val="24"/>
          <w:szCs w:val="24"/>
          <w:lang w:val="bg-BG"/>
        </w:rPr>
        <w:t>д</w:t>
      </w:r>
      <w:r w:rsidRPr="00610B1B">
        <w:rPr>
          <w:rFonts w:ascii="Times New Roman" w:eastAsia="Calibri" w:hAnsi="Times New Roman" w:cs="Times New Roman"/>
          <w:color w:val="000000" w:themeColor="text1"/>
          <w:sz w:val="24"/>
          <w:szCs w:val="24"/>
          <w:lang w:val="bg-BG"/>
        </w:rPr>
        <w:t>ействията на отделните секторни политики за морско дело – корабостроене и кораборем</w:t>
      </w:r>
      <w:r w:rsidR="0028400F" w:rsidRPr="00610B1B">
        <w:rPr>
          <w:rFonts w:ascii="Times New Roman" w:eastAsia="Calibri" w:hAnsi="Times New Roman" w:cs="Times New Roman"/>
          <w:color w:val="000000" w:themeColor="text1"/>
          <w:sz w:val="24"/>
          <w:szCs w:val="24"/>
          <w:lang w:val="bg-BG"/>
        </w:rPr>
        <w:t>о</w:t>
      </w:r>
      <w:r w:rsidRPr="00610B1B">
        <w:rPr>
          <w:rFonts w:ascii="Times New Roman" w:eastAsia="Calibri" w:hAnsi="Times New Roman" w:cs="Times New Roman"/>
          <w:color w:val="000000" w:themeColor="text1"/>
          <w:sz w:val="24"/>
          <w:szCs w:val="24"/>
          <w:lang w:val="bg-BG"/>
        </w:rPr>
        <w:t>нт, морски транспорт, туризъм, добив на суровини и енергия от морето, рибарство, аквакултури и др.</w:t>
      </w:r>
      <w:r w:rsidR="00953270" w:rsidRPr="00610B1B">
        <w:rPr>
          <w:rFonts w:ascii="Times New Roman" w:eastAsia="Calibri" w:hAnsi="Times New Roman" w:cs="Times New Roman"/>
          <w:color w:val="000000" w:themeColor="text1"/>
          <w:sz w:val="24"/>
          <w:szCs w:val="24"/>
          <w:lang w:val="bg-BG"/>
        </w:rPr>
        <w:t xml:space="preserve"> Всички те са обвързани с</w:t>
      </w:r>
      <w:r w:rsidR="00CF53D2" w:rsidRPr="00610B1B">
        <w:rPr>
          <w:rFonts w:ascii="Times New Roman" w:eastAsia="Calibri" w:hAnsi="Times New Roman" w:cs="Times New Roman"/>
          <w:color w:val="000000" w:themeColor="text1"/>
          <w:sz w:val="24"/>
          <w:szCs w:val="24"/>
          <w:lang w:val="bg-BG"/>
        </w:rPr>
        <w:t xml:space="preserve"> целите на Зелен</w:t>
      </w:r>
      <w:r w:rsidR="009030B4" w:rsidRPr="00610B1B">
        <w:rPr>
          <w:rFonts w:ascii="Times New Roman" w:eastAsia="Calibri" w:hAnsi="Times New Roman" w:cs="Times New Roman"/>
          <w:color w:val="000000" w:themeColor="text1"/>
          <w:sz w:val="24"/>
          <w:szCs w:val="24"/>
          <w:lang w:val="bg-BG"/>
        </w:rPr>
        <w:t>ата сделка</w:t>
      </w:r>
      <w:r w:rsidR="00CF53D2" w:rsidRPr="00610B1B">
        <w:rPr>
          <w:rFonts w:ascii="Times New Roman" w:eastAsia="Calibri" w:hAnsi="Times New Roman" w:cs="Times New Roman"/>
          <w:color w:val="000000" w:themeColor="text1"/>
          <w:sz w:val="24"/>
          <w:szCs w:val="24"/>
          <w:lang w:val="bg-BG"/>
        </w:rPr>
        <w:t>, ко</w:t>
      </w:r>
      <w:r w:rsidR="009030B4" w:rsidRPr="00610B1B">
        <w:rPr>
          <w:rFonts w:ascii="Times New Roman" w:eastAsia="Calibri" w:hAnsi="Times New Roman" w:cs="Times New Roman"/>
          <w:color w:val="000000" w:themeColor="text1"/>
          <w:sz w:val="24"/>
          <w:szCs w:val="24"/>
          <w:lang w:val="bg-BG"/>
        </w:rPr>
        <w:t>я</w:t>
      </w:r>
      <w:r w:rsidR="00CF53D2" w:rsidRPr="00610B1B">
        <w:rPr>
          <w:rFonts w:ascii="Times New Roman" w:eastAsia="Calibri" w:hAnsi="Times New Roman" w:cs="Times New Roman"/>
          <w:color w:val="000000" w:themeColor="text1"/>
          <w:sz w:val="24"/>
          <w:szCs w:val="24"/>
          <w:lang w:val="bg-BG"/>
        </w:rPr>
        <w:t>то по същество е новата стратегия за растеж и опит за интегриране на общите политики на ЕС в единен стратегически пакет за посрещане на съвременните предизвикателства.</w:t>
      </w:r>
      <w:r w:rsidR="00D66FE0" w:rsidRPr="00610B1B">
        <w:rPr>
          <w:rFonts w:ascii="Times New Roman" w:eastAsia="Calibri" w:hAnsi="Times New Roman" w:cs="Times New Roman"/>
          <w:color w:val="000000" w:themeColor="text1"/>
          <w:sz w:val="24"/>
          <w:szCs w:val="24"/>
          <w:lang w:val="bg-BG"/>
        </w:rPr>
        <w:t xml:space="preserve"> </w:t>
      </w:r>
    </w:p>
    <w:p w14:paraId="0E0B6E61" w14:textId="77777777" w:rsidR="00B63594" w:rsidRPr="00610B1B" w:rsidRDefault="00B63594"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lastRenderedPageBreak/>
        <w:t xml:space="preserve">И през новия програмен период 2021-2027 г., Европейският фонд за морско дело и рибарство ще бъде основен източник на публична подкрепа за морската икономика. Следва да се търсят възможности за обмен на добри практики и финансиране на проекти с цел обединяване на междусекторните политики за устойчив „син растеж“, за интегрирано управление на крайбрежните зони, за морско наблюдение, за намаляване на рисковете и повишаване на ефективността в опазването и използването на ресурсите. На практика, това са и основните насоки на Интегрираната морска политика на ЕС. </w:t>
      </w:r>
    </w:p>
    <w:p w14:paraId="67963F26" w14:textId="77777777" w:rsidR="00B63594" w:rsidRPr="00610B1B" w:rsidRDefault="00B63594"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Специфичната цел би била изпълнена при координирано реализиране на следните мерки:</w:t>
      </w:r>
    </w:p>
    <w:p w14:paraId="62D1A01A" w14:textId="7CF33151" w:rsidR="007F21D9" w:rsidRPr="00610B1B" w:rsidRDefault="00B63594" w:rsidP="00B46189">
      <w:pPr>
        <w:pStyle w:val="ListParagraph"/>
        <w:numPr>
          <w:ilvl w:val="0"/>
          <w:numId w:val="5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Създаване на предпоставки за растеж на устойчива синя икономика</w:t>
      </w:r>
      <w:r w:rsidR="00B0602F" w:rsidRPr="00610B1B">
        <w:rPr>
          <w:rFonts w:ascii="Times New Roman" w:eastAsia="Calibri" w:hAnsi="Times New Roman" w:cs="Times New Roman"/>
          <w:color w:val="000000" w:themeColor="text1"/>
          <w:sz w:val="24"/>
          <w:szCs w:val="24"/>
          <w:lang w:val="bg-BG"/>
        </w:rPr>
        <w:t xml:space="preserve"> и енергоефективни сектори</w:t>
      </w:r>
      <w:r w:rsidRPr="00610B1B">
        <w:rPr>
          <w:rFonts w:ascii="Times New Roman" w:eastAsia="Calibri" w:hAnsi="Times New Roman" w:cs="Times New Roman"/>
          <w:color w:val="000000" w:themeColor="text1"/>
          <w:sz w:val="24"/>
          <w:szCs w:val="24"/>
          <w:lang w:val="bg-BG"/>
        </w:rPr>
        <w:t>;</w:t>
      </w:r>
    </w:p>
    <w:p w14:paraId="4D30901A" w14:textId="77777777" w:rsidR="007F21D9" w:rsidRPr="00610B1B" w:rsidRDefault="00B63594" w:rsidP="00B46189">
      <w:pPr>
        <w:pStyle w:val="ListParagraph"/>
        <w:numPr>
          <w:ilvl w:val="0"/>
          <w:numId w:val="5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Подобряване на инфраструктурата, свързана с развитието на морската индустрия;</w:t>
      </w:r>
    </w:p>
    <w:p w14:paraId="42647B03" w14:textId="74608FBF" w:rsidR="007F21D9" w:rsidRPr="00610B1B" w:rsidRDefault="00B63594" w:rsidP="00B46189">
      <w:pPr>
        <w:pStyle w:val="ListParagraph"/>
        <w:numPr>
          <w:ilvl w:val="0"/>
          <w:numId w:val="5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Създаване и развитие на регионални клъстери на база </w:t>
      </w:r>
      <w:r w:rsidR="00CF53D2" w:rsidRPr="00610B1B">
        <w:rPr>
          <w:rFonts w:ascii="Times New Roman" w:eastAsia="Calibri" w:hAnsi="Times New Roman" w:cs="Times New Roman"/>
          <w:color w:val="000000" w:themeColor="text1"/>
          <w:sz w:val="24"/>
          <w:szCs w:val="24"/>
          <w:lang w:val="bg-BG"/>
        </w:rPr>
        <w:t xml:space="preserve">иновации в </w:t>
      </w:r>
      <w:r w:rsidRPr="00610B1B">
        <w:rPr>
          <w:rFonts w:ascii="Times New Roman" w:eastAsia="Calibri" w:hAnsi="Times New Roman" w:cs="Times New Roman"/>
          <w:color w:val="000000" w:themeColor="text1"/>
          <w:sz w:val="24"/>
          <w:szCs w:val="24"/>
          <w:lang w:val="bg-BG"/>
        </w:rPr>
        <w:t>морска</w:t>
      </w:r>
      <w:r w:rsidR="00CF53D2" w:rsidRPr="00610B1B">
        <w:rPr>
          <w:rFonts w:ascii="Times New Roman" w:eastAsia="Calibri" w:hAnsi="Times New Roman" w:cs="Times New Roman"/>
          <w:color w:val="000000" w:themeColor="text1"/>
          <w:sz w:val="24"/>
          <w:szCs w:val="24"/>
          <w:lang w:val="bg-BG"/>
        </w:rPr>
        <w:t>та</w:t>
      </w:r>
      <w:r w:rsidRPr="00610B1B">
        <w:rPr>
          <w:rFonts w:ascii="Times New Roman" w:eastAsia="Calibri" w:hAnsi="Times New Roman" w:cs="Times New Roman"/>
          <w:color w:val="000000" w:themeColor="text1"/>
          <w:sz w:val="24"/>
          <w:szCs w:val="24"/>
          <w:lang w:val="bg-BG"/>
        </w:rPr>
        <w:t xml:space="preserve"> индустрия; </w:t>
      </w:r>
    </w:p>
    <w:p w14:paraId="535E320E" w14:textId="77777777" w:rsidR="007F21D9" w:rsidRPr="00610B1B" w:rsidRDefault="00B63594" w:rsidP="00B46189">
      <w:pPr>
        <w:pStyle w:val="ListParagraph"/>
        <w:numPr>
          <w:ilvl w:val="0"/>
          <w:numId w:val="5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Стимулиране на общностите, заети с рибарство и аквакултури;</w:t>
      </w:r>
    </w:p>
    <w:p w14:paraId="41B9B55F" w14:textId="77777777" w:rsidR="007F21D9" w:rsidRPr="00610B1B" w:rsidRDefault="00B63594" w:rsidP="00B46189">
      <w:pPr>
        <w:pStyle w:val="ListParagraph"/>
        <w:numPr>
          <w:ilvl w:val="0"/>
          <w:numId w:val="5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Опазване на водните биологични ресурси чрез устойчиво/щадящо рибарство;</w:t>
      </w:r>
    </w:p>
    <w:p w14:paraId="6143A775" w14:textId="45C914DF" w:rsidR="007F21D9" w:rsidRPr="00610B1B" w:rsidRDefault="00B63594" w:rsidP="00B46189">
      <w:pPr>
        <w:pStyle w:val="ListParagraph"/>
        <w:numPr>
          <w:ilvl w:val="0"/>
          <w:numId w:val="5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Подобряване на състоянието и качеството на риболовния флот и рибарската инфраструктура (рибарски пристанища, лодкостоянки, селища), на стопанства</w:t>
      </w:r>
      <w:r w:rsidR="00CF53D2" w:rsidRPr="00610B1B">
        <w:rPr>
          <w:rFonts w:ascii="Times New Roman" w:eastAsia="Calibri" w:hAnsi="Times New Roman" w:cs="Times New Roman"/>
          <w:color w:val="000000" w:themeColor="text1"/>
          <w:sz w:val="24"/>
          <w:szCs w:val="24"/>
          <w:lang w:val="bg-BG"/>
        </w:rPr>
        <w:t>та за отглеждане на аквакултура</w:t>
      </w:r>
      <w:r w:rsidRPr="00610B1B">
        <w:rPr>
          <w:rFonts w:ascii="Times New Roman" w:eastAsia="Calibri" w:hAnsi="Times New Roman" w:cs="Times New Roman"/>
          <w:color w:val="000000" w:themeColor="text1"/>
          <w:sz w:val="24"/>
          <w:szCs w:val="24"/>
          <w:lang w:val="bg-BG"/>
        </w:rPr>
        <w:t>;</w:t>
      </w:r>
    </w:p>
    <w:p w14:paraId="6F72F358" w14:textId="77777777" w:rsidR="007F21D9" w:rsidRPr="00610B1B" w:rsidRDefault="00B63594" w:rsidP="00B46189">
      <w:pPr>
        <w:pStyle w:val="ListParagraph"/>
        <w:numPr>
          <w:ilvl w:val="0"/>
          <w:numId w:val="5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Стимулирано разработване и реализация на съвместни проекти (от научни институти и фирми), базирани на аквакултури и морски минерални ресурси;</w:t>
      </w:r>
    </w:p>
    <w:p w14:paraId="7CA02DEA" w14:textId="77777777" w:rsidR="007F21D9" w:rsidRPr="00610B1B" w:rsidRDefault="00B63594" w:rsidP="00B46189">
      <w:pPr>
        <w:pStyle w:val="ListParagraph"/>
        <w:numPr>
          <w:ilvl w:val="0"/>
          <w:numId w:val="50"/>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color w:val="000000" w:themeColor="text1"/>
          <w:sz w:val="24"/>
          <w:szCs w:val="24"/>
          <w:lang w:val="bg-BG"/>
        </w:rPr>
        <w:t>Прилагане на екоиновативни технологии във всички сектори на морската икономика;</w:t>
      </w:r>
    </w:p>
    <w:p w14:paraId="143360F4" w14:textId="3DAE2741" w:rsidR="007F21D9" w:rsidRPr="00610B1B" w:rsidRDefault="00B63594" w:rsidP="00B46189">
      <w:pPr>
        <w:pStyle w:val="ListParagraph"/>
        <w:numPr>
          <w:ilvl w:val="0"/>
          <w:numId w:val="50"/>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Интегрирано управление на крайбрежната зона</w:t>
      </w:r>
      <w:r w:rsidR="00DE1E57" w:rsidRPr="00610B1B">
        <w:rPr>
          <w:rFonts w:ascii="Times New Roman" w:eastAsia="Calibri" w:hAnsi="Times New Roman" w:cs="Times New Roman"/>
          <w:sz w:val="24"/>
          <w:szCs w:val="24"/>
          <w:lang w:val="bg-BG"/>
        </w:rPr>
        <w:t xml:space="preserve"> чрез ресурсно и комуникационно обезпечаване на всички нива на планиране и управление, включващо разработване и осъществяване на подходящи и актуални мерки за достъп и опазване на средата </w:t>
      </w:r>
      <w:r w:rsidR="003C41B4" w:rsidRPr="00610B1B">
        <w:rPr>
          <w:rFonts w:ascii="Times New Roman" w:eastAsia="Calibri" w:hAnsi="Times New Roman" w:cs="Times New Roman"/>
          <w:sz w:val="24"/>
          <w:szCs w:val="24"/>
          <w:lang w:val="bg-BG"/>
        </w:rPr>
        <w:t>вкл.</w:t>
      </w:r>
      <w:r w:rsidRPr="00610B1B">
        <w:rPr>
          <w:rFonts w:ascii="Times New Roman" w:eastAsia="Calibri" w:hAnsi="Times New Roman" w:cs="Times New Roman"/>
          <w:sz w:val="24"/>
          <w:szCs w:val="24"/>
          <w:lang w:val="bg-BG"/>
        </w:rPr>
        <w:t>;</w:t>
      </w:r>
    </w:p>
    <w:p w14:paraId="3DCB5480" w14:textId="270BFC94" w:rsidR="00B63594" w:rsidRPr="00610B1B" w:rsidRDefault="00B63594" w:rsidP="00B46189">
      <w:pPr>
        <w:pStyle w:val="ListParagraph"/>
        <w:numPr>
          <w:ilvl w:val="0"/>
          <w:numId w:val="5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sz w:val="24"/>
          <w:szCs w:val="24"/>
          <w:lang w:val="bg-BG"/>
        </w:rPr>
        <w:t xml:space="preserve">Насърчаване на водено от общностите местно развитие </w:t>
      </w:r>
      <w:r w:rsidRPr="00610B1B">
        <w:rPr>
          <w:rFonts w:ascii="Times New Roman" w:eastAsia="Calibri" w:hAnsi="Times New Roman" w:cs="Times New Roman"/>
          <w:color w:val="000000" w:themeColor="text1"/>
          <w:sz w:val="24"/>
          <w:szCs w:val="24"/>
          <w:lang w:val="bg-BG"/>
        </w:rPr>
        <w:t>(ВОМР) чрез формиране на местни инициат</w:t>
      </w:r>
      <w:r w:rsidR="006746B0" w:rsidRPr="00610B1B">
        <w:rPr>
          <w:rFonts w:ascii="Times New Roman" w:eastAsia="Calibri" w:hAnsi="Times New Roman" w:cs="Times New Roman"/>
          <w:color w:val="000000" w:themeColor="text1"/>
          <w:sz w:val="24"/>
          <w:szCs w:val="24"/>
          <w:lang w:val="bg-BG"/>
        </w:rPr>
        <w:t>и</w:t>
      </w:r>
      <w:r w:rsidRPr="00610B1B">
        <w:rPr>
          <w:rFonts w:ascii="Times New Roman" w:eastAsia="Calibri" w:hAnsi="Times New Roman" w:cs="Times New Roman"/>
          <w:color w:val="000000" w:themeColor="text1"/>
          <w:sz w:val="24"/>
          <w:szCs w:val="24"/>
          <w:lang w:val="bg-BG"/>
        </w:rPr>
        <w:t>вни групи (МИГ</w:t>
      </w:r>
      <w:r w:rsidR="00CF53D2" w:rsidRPr="00610B1B">
        <w:rPr>
          <w:rFonts w:ascii="Times New Roman" w:eastAsia="Calibri" w:hAnsi="Times New Roman" w:cs="Times New Roman"/>
          <w:color w:val="000000" w:themeColor="text1"/>
          <w:sz w:val="24"/>
          <w:szCs w:val="24"/>
          <w:lang w:val="bg-BG"/>
        </w:rPr>
        <w:t xml:space="preserve"> и МИРГ</w:t>
      </w:r>
      <w:r w:rsidRPr="00610B1B">
        <w:rPr>
          <w:rFonts w:ascii="Times New Roman" w:eastAsia="Calibri" w:hAnsi="Times New Roman" w:cs="Times New Roman"/>
          <w:color w:val="000000" w:themeColor="text1"/>
          <w:sz w:val="24"/>
          <w:szCs w:val="24"/>
          <w:lang w:val="bg-BG"/>
        </w:rPr>
        <w:t>) и подкрепа на разработени от тях стратегии.</w:t>
      </w:r>
    </w:p>
    <w:p w14:paraId="3C75988E" w14:textId="2A6475D6" w:rsidR="00B63594" w:rsidRPr="00610B1B" w:rsidRDefault="00B63594"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color w:val="000000" w:themeColor="text1"/>
          <w:sz w:val="24"/>
          <w:szCs w:val="24"/>
          <w:lang w:val="bg-BG"/>
        </w:rPr>
        <w:t xml:space="preserve">Обединяваща платформа за реализиране на тази координираща цел е съвкупността от стратегически документи – морски пространствен план, интегрирани териториални стратегии, планове за интегрирано развитие на морските общини, общите устройствени планове на тези </w:t>
      </w:r>
      <w:r w:rsidRPr="00610B1B">
        <w:rPr>
          <w:rFonts w:ascii="Times New Roman" w:eastAsia="Calibri" w:hAnsi="Times New Roman" w:cs="Times New Roman"/>
          <w:sz w:val="24"/>
          <w:szCs w:val="24"/>
          <w:lang w:val="bg-BG"/>
        </w:rPr>
        <w:t>общини</w:t>
      </w:r>
      <w:r w:rsidR="00DE1E57" w:rsidRPr="00610B1B">
        <w:rPr>
          <w:rFonts w:ascii="Times New Roman" w:eastAsia="Calibri" w:hAnsi="Times New Roman" w:cs="Times New Roman"/>
          <w:sz w:val="24"/>
          <w:szCs w:val="24"/>
          <w:lang w:val="bg-BG"/>
        </w:rPr>
        <w:t>, подробните устройствени планове в обхвата на зона „А“ със специализирани проучвания и съпътстващи схеми, както и други, синхронизирани с тях актове, договори и отношения насочени към развитие, управление, ползване, достъп, контрол и опазване</w:t>
      </w:r>
      <w:r w:rsidRPr="00610B1B">
        <w:rPr>
          <w:rFonts w:ascii="Times New Roman" w:eastAsia="Calibri" w:hAnsi="Times New Roman" w:cs="Times New Roman"/>
          <w:sz w:val="24"/>
          <w:szCs w:val="24"/>
          <w:lang w:val="bg-BG"/>
        </w:rPr>
        <w:t xml:space="preserve">. </w:t>
      </w:r>
    </w:p>
    <w:p w14:paraId="066A4233" w14:textId="76134ADB" w:rsidR="00B63594" w:rsidRPr="00610B1B" w:rsidRDefault="00B63594"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sz w:val="24"/>
          <w:szCs w:val="24"/>
          <w:lang w:val="bg-BG"/>
        </w:rPr>
        <w:t xml:space="preserve">Постигането на „интелигентна синя икономика“ с висок принос към растежа </w:t>
      </w:r>
      <w:r w:rsidR="00B0602F" w:rsidRPr="00610B1B">
        <w:rPr>
          <w:rFonts w:ascii="Times New Roman" w:eastAsia="Calibri" w:hAnsi="Times New Roman" w:cs="Times New Roman"/>
          <w:sz w:val="24"/>
          <w:szCs w:val="24"/>
          <w:lang w:val="bg-BG"/>
        </w:rPr>
        <w:t xml:space="preserve">и енергоефективността </w:t>
      </w:r>
      <w:r w:rsidRPr="00610B1B">
        <w:rPr>
          <w:rFonts w:ascii="Times New Roman" w:eastAsia="Calibri" w:hAnsi="Times New Roman" w:cs="Times New Roman"/>
          <w:sz w:val="24"/>
          <w:szCs w:val="24"/>
          <w:lang w:val="bg-BG"/>
        </w:rPr>
        <w:t xml:space="preserve">зависи от комбинирането на политики и мерки, подкрепени както от различни публични източници, така и </w:t>
      </w:r>
      <w:r w:rsidRPr="00610B1B">
        <w:rPr>
          <w:rFonts w:ascii="Times New Roman" w:eastAsia="Calibri" w:hAnsi="Times New Roman" w:cs="Times New Roman"/>
          <w:color w:val="000000" w:themeColor="text1"/>
          <w:sz w:val="24"/>
          <w:szCs w:val="24"/>
          <w:lang w:val="bg-BG"/>
        </w:rPr>
        <w:t xml:space="preserve">от частни инвестиции. Тези съставни </w:t>
      </w:r>
      <w:r w:rsidRPr="00610B1B">
        <w:rPr>
          <w:rFonts w:ascii="Times New Roman" w:eastAsia="Calibri" w:hAnsi="Times New Roman" w:cs="Times New Roman"/>
          <w:color w:val="000000" w:themeColor="text1"/>
          <w:sz w:val="24"/>
          <w:szCs w:val="24"/>
          <w:lang w:val="bg-BG"/>
        </w:rPr>
        <w:lastRenderedPageBreak/>
        <w:t>инструменти следва да бъдат комбинирани в пакети, адресирани към съответните територии (на суша и море). Това са интегрирани териториални инвестиции (ИТИ), създадени като инструмент за ефективно съчетаване на всички възможни източници на финансиране, за да се реализират сложни многоаспектни инвестиционни програми и проекти както на сушата, така и в морето.</w:t>
      </w:r>
    </w:p>
    <w:p w14:paraId="1155C21C" w14:textId="1324A6AC" w:rsidR="006746B0" w:rsidRPr="00610B1B" w:rsidRDefault="006746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b/>
          <w:i/>
          <w:sz w:val="24"/>
          <w:szCs w:val="24"/>
          <w:lang w:val="bg-BG"/>
        </w:rPr>
        <w:t xml:space="preserve">Специфична цел 2.2. </w:t>
      </w:r>
      <w:r w:rsidR="00B0602F" w:rsidRPr="00610B1B">
        <w:rPr>
          <w:rFonts w:ascii="Times New Roman" w:eastAsia="Calibri" w:hAnsi="Times New Roman" w:cs="Times New Roman"/>
          <w:b/>
          <w:i/>
          <w:sz w:val="24"/>
          <w:szCs w:val="24"/>
          <w:lang w:val="bg-BG"/>
        </w:rPr>
        <w:t>Устойчиво р</w:t>
      </w:r>
      <w:r w:rsidRPr="00610B1B">
        <w:rPr>
          <w:rFonts w:ascii="Times New Roman" w:eastAsia="Calibri" w:hAnsi="Times New Roman" w:cs="Times New Roman"/>
          <w:b/>
          <w:i/>
          <w:sz w:val="24"/>
          <w:szCs w:val="24"/>
          <w:lang w:val="bg-BG"/>
        </w:rPr>
        <w:t xml:space="preserve">азвитие на </w:t>
      </w:r>
      <w:r w:rsidR="00B0602F" w:rsidRPr="00610B1B">
        <w:rPr>
          <w:rFonts w:ascii="Times New Roman" w:eastAsia="Calibri" w:hAnsi="Times New Roman" w:cs="Times New Roman"/>
          <w:b/>
          <w:i/>
          <w:sz w:val="24"/>
          <w:szCs w:val="24"/>
          <w:lang w:val="bg-BG"/>
        </w:rPr>
        <w:t xml:space="preserve">крайбрежния и морски </w:t>
      </w:r>
      <w:r w:rsidRPr="00610B1B">
        <w:rPr>
          <w:rFonts w:ascii="Times New Roman" w:eastAsia="Calibri" w:hAnsi="Times New Roman" w:cs="Times New Roman"/>
          <w:b/>
          <w:i/>
          <w:sz w:val="24"/>
          <w:szCs w:val="24"/>
          <w:lang w:val="bg-BG"/>
        </w:rPr>
        <w:t>туриз</w:t>
      </w:r>
      <w:r w:rsidR="00B0602F" w:rsidRPr="00610B1B">
        <w:rPr>
          <w:rFonts w:ascii="Times New Roman" w:eastAsia="Calibri" w:hAnsi="Times New Roman" w:cs="Times New Roman"/>
          <w:b/>
          <w:i/>
          <w:sz w:val="24"/>
          <w:szCs w:val="24"/>
          <w:lang w:val="bg-BG"/>
        </w:rPr>
        <w:t>ъ</w:t>
      </w:r>
      <w:r w:rsidRPr="00610B1B">
        <w:rPr>
          <w:rFonts w:ascii="Times New Roman" w:eastAsia="Calibri" w:hAnsi="Times New Roman" w:cs="Times New Roman"/>
          <w:b/>
          <w:i/>
          <w:sz w:val="24"/>
          <w:szCs w:val="24"/>
          <w:lang w:val="bg-BG"/>
        </w:rPr>
        <w:t xml:space="preserve">м </w:t>
      </w:r>
    </w:p>
    <w:p w14:paraId="1FFDF0A3" w14:textId="3055DF7B" w:rsidR="006746B0" w:rsidRPr="00610B1B" w:rsidRDefault="006746B0" w:rsidP="00D32D6A">
      <w:pPr>
        <w:spacing w:after="120"/>
        <w:ind w:right="-153"/>
        <w:jc w:val="both"/>
        <w:rPr>
          <w:rFonts w:ascii="Times New Roman" w:eastAsia="Calibri" w:hAnsi="Times New Roman" w:cs="Times New Roman"/>
          <w:sz w:val="24"/>
          <w:szCs w:val="24"/>
          <w:lang w:val="bg-BG"/>
        </w:rPr>
      </w:pPr>
      <w:r w:rsidRPr="00610B1B">
        <w:rPr>
          <w:rFonts w:ascii="Times New Roman" w:hAnsi="Times New Roman" w:cs="Times New Roman"/>
          <w:sz w:val="24"/>
          <w:szCs w:val="24"/>
          <w:lang w:val="bg-BG"/>
        </w:rPr>
        <w:t xml:space="preserve">Устойчивият туризъм се извежда като приоритет за екосистемна услуга по целия български Черноморски бряг. Необходим е постепенен обрат от масовия модел към </w:t>
      </w:r>
      <w:r w:rsidR="00B0602F" w:rsidRPr="00610B1B">
        <w:rPr>
          <w:rFonts w:ascii="Times New Roman" w:hAnsi="Times New Roman" w:cs="Times New Roman"/>
          <w:sz w:val="24"/>
          <w:szCs w:val="24"/>
          <w:lang w:val="bg-BG"/>
        </w:rPr>
        <w:t xml:space="preserve">създаден </w:t>
      </w:r>
      <w:r w:rsidRPr="00610B1B">
        <w:rPr>
          <w:rFonts w:ascii="Times New Roman" w:hAnsi="Times New Roman" w:cs="Times New Roman"/>
          <w:sz w:val="24"/>
          <w:szCs w:val="24"/>
          <w:lang w:val="bg-BG"/>
        </w:rPr>
        <w:t xml:space="preserve">по индивидуалните предпочитания модел на туристически услуги чрез пространствено, тематично и времево обогатяване на предлагането – културно наследство (включително подводно), водни спортове, балнеология, уелнес, шопинг, орнитология, голф, лов. </w:t>
      </w:r>
      <w:r w:rsidRPr="00610B1B">
        <w:rPr>
          <w:rFonts w:ascii="Times New Roman" w:eastAsia="Calibri" w:hAnsi="Times New Roman" w:cs="Times New Roman"/>
          <w:sz w:val="24"/>
          <w:szCs w:val="24"/>
          <w:lang w:val="bg-BG"/>
        </w:rPr>
        <w:t xml:space="preserve">Природното и културното наследство е едно от най-силно изразените сравнителни предимства на българските </w:t>
      </w:r>
      <w:r w:rsidR="00B0602F" w:rsidRPr="00610B1B">
        <w:rPr>
          <w:rFonts w:ascii="Times New Roman" w:eastAsia="Calibri" w:hAnsi="Times New Roman" w:cs="Times New Roman"/>
          <w:sz w:val="24"/>
          <w:szCs w:val="24"/>
          <w:lang w:val="bg-BG"/>
        </w:rPr>
        <w:t xml:space="preserve">региони </w:t>
      </w:r>
      <w:r w:rsidRPr="00610B1B">
        <w:rPr>
          <w:rFonts w:ascii="Times New Roman" w:eastAsia="Calibri" w:hAnsi="Times New Roman" w:cs="Times New Roman"/>
          <w:sz w:val="24"/>
          <w:szCs w:val="24"/>
          <w:lang w:val="bg-BG"/>
        </w:rPr>
        <w:t>в глобализиращия се свят. Разнообразяването на туристическия продукт със специфични видове туризъм и с активно включване на туристическите ресурси на хинтерланда ще допринесе за преодоляване на изразената сезонност на рекреативния морски туризъм.</w:t>
      </w:r>
    </w:p>
    <w:p w14:paraId="6247E2CB" w14:textId="49A425F0" w:rsidR="006746B0" w:rsidRPr="00610B1B" w:rsidRDefault="006746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Специфичната цел би била изпълнена при координирано реализиране на следните </w:t>
      </w:r>
      <w:r w:rsidR="00B0602F" w:rsidRPr="00610B1B">
        <w:rPr>
          <w:rFonts w:ascii="Times New Roman" w:eastAsia="Calibri" w:hAnsi="Times New Roman" w:cs="Times New Roman"/>
          <w:sz w:val="24"/>
          <w:szCs w:val="24"/>
          <w:lang w:val="bg-BG"/>
        </w:rPr>
        <w:t xml:space="preserve">по-важни </w:t>
      </w:r>
      <w:r w:rsidR="00A508F7" w:rsidRPr="00610B1B">
        <w:rPr>
          <w:rFonts w:ascii="Times New Roman" w:eastAsia="Calibri" w:hAnsi="Times New Roman" w:cs="Times New Roman"/>
          <w:sz w:val="24"/>
          <w:szCs w:val="24"/>
          <w:lang w:val="bg-BG"/>
        </w:rPr>
        <w:t xml:space="preserve">мерки </w:t>
      </w:r>
      <w:r w:rsidRPr="00610B1B">
        <w:rPr>
          <w:rFonts w:ascii="Times New Roman" w:eastAsia="Calibri" w:hAnsi="Times New Roman" w:cs="Times New Roman"/>
          <w:sz w:val="24"/>
          <w:szCs w:val="24"/>
          <w:lang w:val="bg-BG"/>
        </w:rPr>
        <w:t xml:space="preserve">със съдействието на новосъздадените органи за управление на туристическите райони (ОУТР) – Варненско </w:t>
      </w:r>
      <w:r w:rsidR="00C1799D" w:rsidRPr="00610B1B">
        <w:rPr>
          <w:rFonts w:ascii="Times New Roman" w:eastAsia="Calibri" w:hAnsi="Times New Roman" w:cs="Times New Roman"/>
          <w:sz w:val="24"/>
          <w:szCs w:val="24"/>
          <w:lang w:val="bg-BG"/>
        </w:rPr>
        <w:t xml:space="preserve">Черноморие </w:t>
      </w:r>
      <w:r w:rsidRPr="00610B1B">
        <w:rPr>
          <w:rFonts w:ascii="Times New Roman" w:eastAsia="Calibri" w:hAnsi="Times New Roman" w:cs="Times New Roman"/>
          <w:sz w:val="24"/>
          <w:szCs w:val="24"/>
          <w:lang w:val="bg-BG"/>
        </w:rPr>
        <w:t xml:space="preserve">и Бургаско </w:t>
      </w:r>
      <w:r w:rsidR="00C1799D" w:rsidRPr="00610B1B">
        <w:rPr>
          <w:rFonts w:ascii="Times New Roman" w:eastAsia="Calibri" w:hAnsi="Times New Roman" w:cs="Times New Roman"/>
          <w:sz w:val="24"/>
          <w:szCs w:val="24"/>
          <w:lang w:val="bg-BG"/>
        </w:rPr>
        <w:t>Черноморие</w:t>
      </w:r>
      <w:r w:rsidRPr="00610B1B">
        <w:rPr>
          <w:rFonts w:ascii="Times New Roman" w:eastAsia="Calibri" w:hAnsi="Times New Roman" w:cs="Times New Roman"/>
          <w:sz w:val="24"/>
          <w:szCs w:val="24"/>
          <w:lang w:val="bg-BG"/>
        </w:rPr>
        <w:t>:</w:t>
      </w:r>
    </w:p>
    <w:p w14:paraId="2C030BB4" w14:textId="77777777" w:rsidR="007C3D7E" w:rsidRPr="00610B1B" w:rsidRDefault="006746B0" w:rsidP="00B46189">
      <w:pPr>
        <w:pStyle w:val="ListParagraph"/>
        <w:numPr>
          <w:ilvl w:val="0"/>
          <w:numId w:val="51"/>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Създаване на регионални туристически продукти за двата туристически района с разпознаваеми брандове и специализации;</w:t>
      </w:r>
    </w:p>
    <w:p w14:paraId="7ED66F64" w14:textId="542F5CE2" w:rsidR="007C3D7E" w:rsidRPr="00610B1B" w:rsidRDefault="006746B0" w:rsidP="00B46189">
      <w:pPr>
        <w:pStyle w:val="ListParagraph"/>
        <w:numPr>
          <w:ilvl w:val="0"/>
          <w:numId w:val="51"/>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Мерки</w:t>
      </w:r>
      <w:r w:rsidR="00B0602F" w:rsidRPr="00610B1B">
        <w:rPr>
          <w:rFonts w:ascii="Times New Roman" w:eastAsia="Calibri" w:hAnsi="Times New Roman" w:cs="Times New Roman"/>
          <w:sz w:val="24"/>
          <w:szCs w:val="24"/>
          <w:lang w:val="bg-BG"/>
        </w:rPr>
        <w:t xml:space="preserve"> за</w:t>
      </w:r>
      <w:r w:rsidRPr="00610B1B">
        <w:rPr>
          <w:rFonts w:ascii="Times New Roman" w:eastAsia="Calibri" w:hAnsi="Times New Roman" w:cs="Times New Roman"/>
          <w:sz w:val="24"/>
          <w:szCs w:val="24"/>
          <w:lang w:val="bg-BG"/>
        </w:rPr>
        <w:t xml:space="preserve"> осезателно намаляване на сезонността в туристическия бизнес</w:t>
      </w:r>
      <w:r w:rsidR="007C3D7E" w:rsidRPr="00610B1B">
        <w:rPr>
          <w:rFonts w:ascii="Times New Roman" w:eastAsia="Calibri" w:hAnsi="Times New Roman" w:cs="Times New Roman"/>
          <w:sz w:val="24"/>
          <w:szCs w:val="24"/>
          <w:lang w:val="bg-BG"/>
        </w:rPr>
        <w:t xml:space="preserve"> и преодоляване на кризата в резултат на Covid’19</w:t>
      </w:r>
      <w:r w:rsidR="00B0602F" w:rsidRPr="00610B1B">
        <w:rPr>
          <w:rFonts w:ascii="Times New Roman" w:eastAsia="Calibri" w:hAnsi="Times New Roman" w:cs="Times New Roman"/>
          <w:sz w:val="24"/>
          <w:szCs w:val="24"/>
          <w:lang w:val="bg-BG"/>
        </w:rPr>
        <w:t xml:space="preserve">, включително чрез повишаване на санитарно-хигиенните стандарти и </w:t>
      </w:r>
      <w:r w:rsidR="00DE1E57" w:rsidRPr="00610B1B">
        <w:rPr>
          <w:rFonts w:ascii="Times New Roman" w:eastAsia="Calibri" w:hAnsi="Times New Roman" w:cs="Times New Roman"/>
          <w:sz w:val="24"/>
          <w:szCs w:val="24"/>
          <w:lang w:val="bg-BG"/>
        </w:rPr>
        <w:t xml:space="preserve">намаляване на </w:t>
      </w:r>
      <w:r w:rsidR="00B0602F" w:rsidRPr="00610B1B">
        <w:rPr>
          <w:rFonts w:ascii="Times New Roman" w:eastAsia="Calibri" w:hAnsi="Times New Roman" w:cs="Times New Roman"/>
          <w:sz w:val="24"/>
          <w:szCs w:val="24"/>
          <w:lang w:val="bg-BG"/>
        </w:rPr>
        <w:t>натовареността на средата</w:t>
      </w:r>
      <w:r w:rsidRPr="00610B1B">
        <w:rPr>
          <w:rFonts w:ascii="Times New Roman" w:eastAsia="Calibri" w:hAnsi="Times New Roman" w:cs="Times New Roman"/>
          <w:sz w:val="24"/>
          <w:szCs w:val="24"/>
          <w:lang w:val="bg-BG"/>
        </w:rPr>
        <w:t xml:space="preserve">; </w:t>
      </w:r>
    </w:p>
    <w:p w14:paraId="6307CE34" w14:textId="36DC68B8" w:rsidR="007C3D7E" w:rsidRPr="00610B1B" w:rsidRDefault="006746B0" w:rsidP="00B46189">
      <w:pPr>
        <w:pStyle w:val="ListParagraph"/>
        <w:numPr>
          <w:ilvl w:val="0"/>
          <w:numId w:val="51"/>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Предлагане на </w:t>
      </w:r>
      <w:r w:rsidR="007C3D7E" w:rsidRPr="00610B1B">
        <w:rPr>
          <w:rFonts w:ascii="Times New Roman" w:eastAsia="Calibri" w:hAnsi="Times New Roman" w:cs="Times New Roman"/>
          <w:sz w:val="24"/>
          <w:szCs w:val="24"/>
          <w:lang w:val="bg-BG"/>
        </w:rPr>
        <w:t xml:space="preserve">комбинирани </w:t>
      </w:r>
      <w:r w:rsidRPr="00610B1B">
        <w:rPr>
          <w:rFonts w:ascii="Times New Roman" w:eastAsia="Calibri" w:hAnsi="Times New Roman" w:cs="Times New Roman"/>
          <w:sz w:val="24"/>
          <w:szCs w:val="24"/>
          <w:lang w:val="bg-BG"/>
        </w:rPr>
        <w:t xml:space="preserve">туристически пакети </w:t>
      </w:r>
      <w:r w:rsidR="007C3D7E"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голф, подводна археология и яхтен туризъм, съчетани с посещения </w:t>
      </w:r>
      <w:r w:rsidR="007C3D7E" w:rsidRPr="00610B1B">
        <w:rPr>
          <w:rFonts w:ascii="Times New Roman" w:eastAsia="Calibri" w:hAnsi="Times New Roman" w:cs="Times New Roman"/>
          <w:sz w:val="24"/>
          <w:szCs w:val="24"/>
          <w:lang w:val="bg-BG"/>
        </w:rPr>
        <w:t>на</w:t>
      </w:r>
      <w:r w:rsidRPr="00610B1B">
        <w:rPr>
          <w:rFonts w:ascii="Times New Roman" w:eastAsia="Calibri" w:hAnsi="Times New Roman" w:cs="Times New Roman"/>
          <w:sz w:val="24"/>
          <w:szCs w:val="24"/>
          <w:lang w:val="bg-BG"/>
        </w:rPr>
        <w:t xml:space="preserve"> културни и природни ценности във вътрешността на страната;</w:t>
      </w:r>
    </w:p>
    <w:p w14:paraId="40AA2180" w14:textId="10D4BB65" w:rsidR="00DE1E57" w:rsidRPr="00610B1B" w:rsidRDefault="00DE1E57" w:rsidP="00136FB2">
      <w:pPr>
        <w:pStyle w:val="ListParagraph"/>
        <w:numPr>
          <w:ilvl w:val="0"/>
          <w:numId w:val="51"/>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Установяване на възможности и правила за практикуване на екстремни спортове (напр. кайт сърфиране и др.) с минимален риск за посетителите в и около зоните за къпане;</w:t>
      </w:r>
    </w:p>
    <w:p w14:paraId="0D4294C1" w14:textId="3834F780" w:rsidR="006746B0" w:rsidRPr="00610B1B" w:rsidRDefault="006746B0" w:rsidP="00B46189">
      <w:pPr>
        <w:pStyle w:val="ListParagraph"/>
        <w:numPr>
          <w:ilvl w:val="0"/>
          <w:numId w:val="51"/>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Подкрепа за съхраняване и стимулиране на фестивалите и конкурсите в двата района, които представят по уникален начин тяхната културна идентичност;</w:t>
      </w:r>
    </w:p>
    <w:p w14:paraId="22CE1062" w14:textId="395AFDE8" w:rsidR="006746B0" w:rsidRPr="00610B1B" w:rsidRDefault="006746B0" w:rsidP="00B46189">
      <w:pPr>
        <w:numPr>
          <w:ilvl w:val="0"/>
          <w:numId w:val="52"/>
        </w:num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Подобряване на инфраструктурата, обслужваща туризма</w:t>
      </w:r>
      <w:r w:rsidR="007C3D7E" w:rsidRPr="00610B1B">
        <w:rPr>
          <w:rFonts w:ascii="Times New Roman" w:eastAsia="Calibri" w:hAnsi="Times New Roman" w:cs="Times New Roman"/>
          <w:sz w:val="24"/>
          <w:szCs w:val="24"/>
          <w:lang w:val="bg-BG"/>
        </w:rPr>
        <w:t>; и</w:t>
      </w:r>
      <w:r w:rsidRPr="00610B1B">
        <w:rPr>
          <w:rFonts w:ascii="Times New Roman" w:eastAsia="Calibri" w:hAnsi="Times New Roman" w:cs="Times New Roman"/>
          <w:sz w:val="24"/>
          <w:szCs w:val="24"/>
          <w:lang w:val="bg-BG"/>
        </w:rPr>
        <w:t>зграждане на нова туристическа инфраструктура и разработване потенциала на нови дестинации (например Дуранкулашко езеро и „Шабленска тузла”);</w:t>
      </w:r>
    </w:p>
    <w:p w14:paraId="56574D3A" w14:textId="3D357401" w:rsidR="006746B0" w:rsidRPr="00610B1B" w:rsidRDefault="006746B0" w:rsidP="00B46189">
      <w:pPr>
        <w:numPr>
          <w:ilvl w:val="0"/>
          <w:numId w:val="52"/>
        </w:num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Възстановяване на местните морски пътнически превози от Бургас до Варна, </w:t>
      </w:r>
      <w:r w:rsidR="00F15077" w:rsidRPr="00610B1B">
        <w:rPr>
          <w:rFonts w:ascii="Times New Roman" w:eastAsia="Calibri" w:hAnsi="Times New Roman" w:cs="Times New Roman"/>
          <w:sz w:val="24"/>
          <w:szCs w:val="24"/>
          <w:lang w:val="bg-BG"/>
        </w:rPr>
        <w:t xml:space="preserve">Балчик, </w:t>
      </w:r>
      <w:r w:rsidRPr="00610B1B">
        <w:rPr>
          <w:rFonts w:ascii="Times New Roman" w:eastAsia="Calibri" w:hAnsi="Times New Roman" w:cs="Times New Roman"/>
          <w:sz w:val="24"/>
          <w:szCs w:val="24"/>
          <w:lang w:val="bg-BG"/>
        </w:rPr>
        <w:t>Несебър, Поморие, Черноморец</w:t>
      </w:r>
      <w:r w:rsidR="00F15077" w:rsidRPr="00610B1B">
        <w:rPr>
          <w:rFonts w:ascii="Times New Roman" w:eastAsia="Calibri" w:hAnsi="Times New Roman" w:cs="Times New Roman"/>
          <w:sz w:val="24"/>
          <w:szCs w:val="24"/>
          <w:lang w:val="bg-BG"/>
        </w:rPr>
        <w:t>,</w:t>
      </w:r>
      <w:r w:rsidRPr="00610B1B">
        <w:rPr>
          <w:rFonts w:ascii="Times New Roman" w:eastAsia="Calibri" w:hAnsi="Times New Roman" w:cs="Times New Roman"/>
          <w:sz w:val="24"/>
          <w:szCs w:val="24"/>
          <w:lang w:val="bg-BG"/>
        </w:rPr>
        <w:t xml:space="preserve"> Созопол</w:t>
      </w:r>
      <w:r w:rsidR="00F15077" w:rsidRPr="00610B1B">
        <w:rPr>
          <w:rFonts w:ascii="Times New Roman" w:eastAsia="Calibri" w:hAnsi="Times New Roman" w:cs="Times New Roman"/>
          <w:sz w:val="24"/>
          <w:szCs w:val="24"/>
          <w:lang w:val="bg-BG"/>
        </w:rPr>
        <w:t>, Ахтопол и Царево</w:t>
      </w:r>
      <w:r w:rsidRPr="00610B1B">
        <w:rPr>
          <w:rFonts w:ascii="Times New Roman" w:eastAsia="Calibri" w:hAnsi="Times New Roman" w:cs="Times New Roman"/>
          <w:sz w:val="24"/>
          <w:szCs w:val="24"/>
          <w:lang w:val="bg-BG"/>
        </w:rPr>
        <w:t xml:space="preserve"> през летния сезон;</w:t>
      </w:r>
    </w:p>
    <w:p w14:paraId="6E3A8ACD" w14:textId="77777777" w:rsidR="006746B0" w:rsidRPr="00610B1B" w:rsidRDefault="006746B0" w:rsidP="00B46189">
      <w:pPr>
        <w:numPr>
          <w:ilvl w:val="0"/>
          <w:numId w:val="52"/>
        </w:num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Увеличаване на броя, видовете и качеството на транспортните и съпътстващите ги услуги за гражданите и гостите на черноморските общини;</w:t>
      </w:r>
    </w:p>
    <w:p w14:paraId="56EBC76B" w14:textId="77777777" w:rsidR="006746B0" w:rsidRPr="00610B1B" w:rsidRDefault="006746B0" w:rsidP="00B46189">
      <w:pPr>
        <w:numPr>
          <w:ilvl w:val="0"/>
          <w:numId w:val="52"/>
        </w:num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lastRenderedPageBreak/>
        <w:t>Интеграция и концентрация на митнически, гранични, агентски, брокерски, куриерски, пощенски, финансови и културно-развлекателни, търговски и други видове услуги;</w:t>
      </w:r>
    </w:p>
    <w:p w14:paraId="08DD698D" w14:textId="01A28B00" w:rsidR="006746B0" w:rsidRPr="00610B1B" w:rsidRDefault="006746B0" w:rsidP="00B46189">
      <w:pPr>
        <w:numPr>
          <w:ilvl w:val="0"/>
          <w:numId w:val="52"/>
        </w:num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Активно въвеждане на цифрови технологии в реклам</w:t>
      </w:r>
      <w:r w:rsidR="007C3D7E" w:rsidRPr="00610B1B">
        <w:rPr>
          <w:rFonts w:ascii="Times New Roman" w:eastAsia="Calibri" w:hAnsi="Times New Roman" w:cs="Times New Roman"/>
          <w:sz w:val="24"/>
          <w:szCs w:val="24"/>
          <w:lang w:val="bg-BG"/>
        </w:rPr>
        <w:t xml:space="preserve">ата, маркетинга и </w:t>
      </w:r>
      <w:r w:rsidRPr="00610B1B">
        <w:rPr>
          <w:rFonts w:ascii="Times New Roman" w:eastAsia="Calibri" w:hAnsi="Times New Roman" w:cs="Times New Roman"/>
          <w:sz w:val="24"/>
          <w:szCs w:val="24"/>
          <w:lang w:val="bg-BG"/>
        </w:rPr>
        <w:t>развитието на туризма.</w:t>
      </w:r>
    </w:p>
    <w:p w14:paraId="3126F8A7" w14:textId="5353A87E" w:rsidR="006746B0" w:rsidRPr="00610B1B" w:rsidRDefault="00B0602F" w:rsidP="00D32D6A">
      <w:pPr>
        <w:spacing w:after="120"/>
        <w:ind w:right="-158"/>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Тези </w:t>
      </w:r>
      <w:r w:rsidR="00A508F7" w:rsidRPr="00610B1B">
        <w:rPr>
          <w:rFonts w:ascii="Times New Roman" w:eastAsia="Calibri" w:hAnsi="Times New Roman" w:cs="Times New Roman"/>
          <w:sz w:val="24"/>
          <w:szCs w:val="24"/>
          <w:lang w:val="bg-BG"/>
        </w:rPr>
        <w:t>мерки</w:t>
      </w:r>
      <w:r w:rsidRPr="00610B1B">
        <w:rPr>
          <w:rFonts w:ascii="Times New Roman" w:eastAsia="Calibri" w:hAnsi="Times New Roman" w:cs="Times New Roman"/>
          <w:sz w:val="24"/>
          <w:szCs w:val="24"/>
          <w:lang w:val="bg-BG"/>
        </w:rPr>
        <w:t xml:space="preserve"> се изпълняват паралелно и съгласувано с целите по опазване на природните и културни ценности, на ландшафта и биологичното разнообразие, с развитието на транспорта, инфраструктурата, иновациите и съвременните технологии. </w:t>
      </w:r>
    </w:p>
    <w:p w14:paraId="3F1DDB83" w14:textId="6BF717AF" w:rsidR="006746B0" w:rsidRPr="00610B1B" w:rsidRDefault="006746B0" w:rsidP="00D32D6A">
      <w:pPr>
        <w:spacing w:after="120"/>
        <w:ind w:right="-153"/>
        <w:jc w:val="both"/>
        <w:rPr>
          <w:rFonts w:ascii="Times New Roman" w:eastAsia="Calibri" w:hAnsi="Times New Roman" w:cs="Times New Roman"/>
          <w:b/>
          <w:i/>
          <w:sz w:val="24"/>
          <w:szCs w:val="24"/>
          <w:lang w:val="bg-BG"/>
        </w:rPr>
      </w:pPr>
      <w:r w:rsidRPr="00610B1B">
        <w:rPr>
          <w:rFonts w:ascii="Times New Roman" w:eastAsia="Calibri" w:hAnsi="Times New Roman" w:cs="Times New Roman"/>
          <w:b/>
          <w:i/>
          <w:sz w:val="24"/>
          <w:szCs w:val="24"/>
          <w:lang w:val="bg-BG"/>
        </w:rPr>
        <w:t xml:space="preserve">Специфична цел 2.3. Устойчиво развитие на корабоплаването и корабостроенето </w:t>
      </w:r>
    </w:p>
    <w:p w14:paraId="777AF6F2" w14:textId="390BFD7E" w:rsidR="006746B0" w:rsidRPr="00610B1B" w:rsidRDefault="006746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Морският транспорт </w:t>
      </w:r>
      <w:r w:rsidR="009B79CD" w:rsidRPr="00610B1B">
        <w:rPr>
          <w:rFonts w:ascii="Times New Roman" w:hAnsi="Times New Roman" w:cs="Times New Roman"/>
          <w:sz w:val="24"/>
          <w:szCs w:val="24"/>
          <w:lang w:val="bg-BG"/>
        </w:rPr>
        <w:t xml:space="preserve">играе съществена роля в глобалната верига на доставки, и е ключов сектор на икономиката на страната. </w:t>
      </w:r>
      <w:r w:rsidR="009B79CD" w:rsidRPr="00610B1B">
        <w:rPr>
          <w:rFonts w:ascii="Times New Roman" w:hAnsi="Times New Roman" w:cs="Times New Roman"/>
          <w:sz w:val="24"/>
          <w:szCs w:val="24"/>
          <w:lang w:val="bg-BG" w:eastAsia="bg-BG"/>
        </w:rPr>
        <w:t xml:space="preserve">Развитието на </w:t>
      </w:r>
      <w:r w:rsidR="009B79CD" w:rsidRPr="00610B1B">
        <w:rPr>
          <w:rFonts w:ascii="Times New Roman" w:hAnsi="Times New Roman" w:cs="Times New Roman"/>
          <w:b/>
          <w:bCs/>
          <w:sz w:val="24"/>
          <w:szCs w:val="24"/>
          <w:lang w:val="bg-BG" w:eastAsia="bg-BG"/>
        </w:rPr>
        <w:t>икономика</w:t>
      </w:r>
      <w:r w:rsidR="00B0602F" w:rsidRPr="00610B1B">
        <w:rPr>
          <w:rFonts w:ascii="Times New Roman" w:hAnsi="Times New Roman" w:cs="Times New Roman"/>
          <w:b/>
          <w:bCs/>
          <w:sz w:val="24"/>
          <w:szCs w:val="24"/>
          <w:lang w:val="bg-BG" w:eastAsia="bg-BG"/>
        </w:rPr>
        <w:t>та</w:t>
      </w:r>
      <w:r w:rsidR="009B79CD" w:rsidRPr="00610B1B">
        <w:rPr>
          <w:rFonts w:ascii="Times New Roman" w:hAnsi="Times New Roman" w:cs="Times New Roman"/>
          <w:b/>
          <w:bCs/>
          <w:sz w:val="24"/>
          <w:szCs w:val="24"/>
          <w:lang w:val="bg-BG" w:eastAsia="bg-BG"/>
        </w:rPr>
        <w:t>, свързана с морето</w:t>
      </w:r>
      <w:r w:rsidR="009B79CD" w:rsidRPr="00610B1B">
        <w:rPr>
          <w:rFonts w:ascii="Times New Roman" w:hAnsi="Times New Roman" w:cs="Times New Roman"/>
          <w:bCs/>
          <w:sz w:val="24"/>
          <w:szCs w:val="24"/>
          <w:lang w:val="bg-BG" w:eastAsia="bg-BG"/>
        </w:rPr>
        <w:t xml:space="preserve">, </w:t>
      </w:r>
      <w:r w:rsidR="007F1AF6" w:rsidRPr="00610B1B">
        <w:rPr>
          <w:rFonts w:ascii="Times New Roman" w:hAnsi="Times New Roman" w:cs="Times New Roman"/>
          <w:sz w:val="24"/>
          <w:szCs w:val="24"/>
          <w:lang w:val="bg-BG" w:eastAsia="bg-BG"/>
        </w:rPr>
        <w:t>е определена</w:t>
      </w:r>
      <w:r w:rsidR="009B79CD" w:rsidRPr="00610B1B">
        <w:rPr>
          <w:rFonts w:ascii="Times New Roman" w:hAnsi="Times New Roman" w:cs="Times New Roman"/>
          <w:sz w:val="24"/>
          <w:szCs w:val="24"/>
          <w:lang w:val="bg-BG" w:eastAsia="bg-BG"/>
        </w:rPr>
        <w:t xml:space="preserve"> като приоритетн</w:t>
      </w:r>
      <w:r w:rsidR="007F1AF6" w:rsidRPr="00610B1B">
        <w:rPr>
          <w:rFonts w:ascii="Times New Roman" w:hAnsi="Times New Roman" w:cs="Times New Roman"/>
          <w:sz w:val="24"/>
          <w:szCs w:val="24"/>
          <w:lang w:val="bg-BG" w:eastAsia="bg-BG"/>
        </w:rPr>
        <w:t>а</w:t>
      </w:r>
      <w:r w:rsidR="009B79CD" w:rsidRPr="00610B1B">
        <w:rPr>
          <w:rFonts w:ascii="Times New Roman" w:hAnsi="Times New Roman" w:cs="Times New Roman"/>
          <w:sz w:val="24"/>
          <w:szCs w:val="24"/>
          <w:lang w:val="bg-BG" w:eastAsia="bg-BG"/>
        </w:rPr>
        <w:t xml:space="preserve"> през програмния период 2021–2027 г. Важен фокус на подкрепата ще бъде влагането на ресурси за чистотата на морската вода, за намаляване на въглеродните емисии от корабите, за опазване на водните биологични ресурси. </w:t>
      </w:r>
      <w:r w:rsidR="007F1AF6" w:rsidRPr="00610B1B">
        <w:rPr>
          <w:rFonts w:ascii="Times New Roman" w:hAnsi="Times New Roman" w:cs="Times New Roman"/>
          <w:sz w:val="24"/>
          <w:szCs w:val="24"/>
          <w:lang w:val="bg-BG" w:eastAsia="bg-BG"/>
        </w:rPr>
        <w:t>България трябва да се върне на световната карта, като страна с</w:t>
      </w:r>
      <w:r w:rsidR="004E3310" w:rsidRPr="00610B1B">
        <w:rPr>
          <w:rFonts w:ascii="Times New Roman" w:hAnsi="Times New Roman" w:cs="Times New Roman"/>
          <w:sz w:val="24"/>
          <w:szCs w:val="24"/>
          <w:lang w:val="bg-BG" w:eastAsia="bg-BG"/>
        </w:rPr>
        <w:t>ъс</w:t>
      </w:r>
      <w:r w:rsidR="007F1AF6" w:rsidRPr="00610B1B">
        <w:rPr>
          <w:rFonts w:ascii="Times New Roman" w:hAnsi="Times New Roman" w:cs="Times New Roman"/>
          <w:sz w:val="24"/>
          <w:szCs w:val="24"/>
          <w:lang w:val="bg-BG" w:eastAsia="bg-BG"/>
        </w:rPr>
        <w:t xml:space="preserve"> 127 годишна история в корабоплаването, като в същото време, трябва да възстанови позициите си в корабостроенето.</w:t>
      </w:r>
    </w:p>
    <w:p w14:paraId="43609142" w14:textId="1525EC02" w:rsidR="006746B0" w:rsidRPr="00610B1B" w:rsidRDefault="006746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 xml:space="preserve">Постигането на тази </w:t>
      </w:r>
      <w:r w:rsidR="000F4270" w:rsidRPr="00610B1B">
        <w:rPr>
          <w:rFonts w:ascii="Times New Roman" w:eastAsia="Calibri" w:hAnsi="Times New Roman" w:cs="Times New Roman"/>
          <w:sz w:val="24"/>
          <w:szCs w:val="24"/>
          <w:lang w:val="bg-BG"/>
        </w:rPr>
        <w:t xml:space="preserve">специфична цел </w:t>
      </w:r>
      <w:r w:rsidRPr="00610B1B">
        <w:rPr>
          <w:rFonts w:ascii="Times New Roman" w:eastAsia="Calibri" w:hAnsi="Times New Roman" w:cs="Times New Roman"/>
          <w:sz w:val="24"/>
          <w:szCs w:val="24"/>
          <w:lang w:val="bg-BG"/>
        </w:rPr>
        <w:t>би се реализирало чрез</w:t>
      </w:r>
      <w:r w:rsidR="007C3D7E" w:rsidRPr="00610B1B">
        <w:rPr>
          <w:rFonts w:ascii="Times New Roman" w:eastAsia="Calibri" w:hAnsi="Times New Roman" w:cs="Times New Roman"/>
          <w:sz w:val="24"/>
          <w:szCs w:val="24"/>
          <w:lang w:val="bg-BG"/>
        </w:rPr>
        <w:t xml:space="preserve"> следните мерки</w:t>
      </w:r>
      <w:r w:rsidRPr="00610B1B">
        <w:rPr>
          <w:rFonts w:ascii="Times New Roman" w:eastAsia="Calibri" w:hAnsi="Times New Roman" w:cs="Times New Roman"/>
          <w:sz w:val="24"/>
          <w:szCs w:val="24"/>
          <w:lang w:val="bg-BG"/>
        </w:rPr>
        <w:t>:</w:t>
      </w:r>
    </w:p>
    <w:p w14:paraId="3F9E5C7F" w14:textId="76722DA7" w:rsidR="004E3310" w:rsidRPr="00610B1B" w:rsidRDefault="007F1AF6" w:rsidP="00B46189">
      <w:pPr>
        <w:pStyle w:val="ListParagraph"/>
        <w:numPr>
          <w:ilvl w:val="0"/>
          <w:numId w:val="67"/>
        </w:numPr>
        <w:spacing w:after="120"/>
        <w:ind w:right="-153"/>
        <w:contextualSpacing w:val="0"/>
        <w:jc w:val="both"/>
        <w:rPr>
          <w:rFonts w:ascii="Times New Roman" w:hAnsi="Times New Roman" w:cs="Times New Roman"/>
          <w:sz w:val="24"/>
          <w:szCs w:val="24"/>
          <w:lang w:val="bg-BG" w:eastAsia="bg-BG"/>
        </w:rPr>
      </w:pPr>
      <w:r w:rsidRPr="00610B1B">
        <w:rPr>
          <w:rFonts w:ascii="Times New Roman" w:hAnsi="Times New Roman" w:cs="Times New Roman"/>
          <w:sz w:val="24"/>
          <w:szCs w:val="24"/>
          <w:lang w:val="bg-BG" w:eastAsia="bg-BG"/>
        </w:rPr>
        <w:t>Насочване на</w:t>
      </w:r>
      <w:r w:rsidR="00D66FE0" w:rsidRPr="00610B1B">
        <w:rPr>
          <w:rFonts w:ascii="Times New Roman" w:hAnsi="Times New Roman" w:cs="Times New Roman"/>
          <w:sz w:val="24"/>
          <w:szCs w:val="24"/>
          <w:lang w:val="bg-BG" w:eastAsia="bg-BG"/>
        </w:rPr>
        <w:t xml:space="preserve"> </w:t>
      </w:r>
      <w:r w:rsidRPr="00610B1B">
        <w:rPr>
          <w:rFonts w:ascii="Times New Roman" w:hAnsi="Times New Roman" w:cs="Times New Roman"/>
          <w:sz w:val="24"/>
          <w:szCs w:val="24"/>
          <w:lang w:val="bg-BG" w:eastAsia="bg-BG"/>
        </w:rPr>
        <w:t>усилия към</w:t>
      </w:r>
      <w:r w:rsidR="00D66FE0" w:rsidRPr="00610B1B">
        <w:rPr>
          <w:rFonts w:ascii="Times New Roman" w:hAnsi="Times New Roman" w:cs="Times New Roman"/>
          <w:sz w:val="24"/>
          <w:szCs w:val="24"/>
          <w:lang w:val="bg-BG" w:eastAsia="bg-BG"/>
        </w:rPr>
        <w:t xml:space="preserve"> </w:t>
      </w:r>
      <w:r w:rsidRPr="00610B1B">
        <w:rPr>
          <w:rFonts w:ascii="Times New Roman" w:hAnsi="Times New Roman" w:cs="Times New Roman"/>
          <w:sz w:val="24"/>
          <w:szCs w:val="24"/>
          <w:lang w:val="bg-BG" w:eastAsia="bg-BG"/>
        </w:rPr>
        <w:t xml:space="preserve">развитие на пристанищните дейности и подкрепа на </w:t>
      </w:r>
      <w:r w:rsidR="00C1799D" w:rsidRPr="00610B1B">
        <w:rPr>
          <w:rFonts w:ascii="Times New Roman" w:hAnsi="Times New Roman" w:cs="Times New Roman"/>
          <w:sz w:val="24"/>
          <w:szCs w:val="24"/>
          <w:lang w:val="bg-BG" w:eastAsia="bg-BG"/>
        </w:rPr>
        <w:t xml:space="preserve">мултимодален </w:t>
      </w:r>
      <w:r w:rsidRPr="00610B1B">
        <w:rPr>
          <w:rFonts w:ascii="Times New Roman" w:hAnsi="Times New Roman" w:cs="Times New Roman"/>
          <w:sz w:val="24"/>
          <w:szCs w:val="24"/>
          <w:lang w:val="bg-BG" w:eastAsia="bg-BG"/>
        </w:rPr>
        <w:t>транспорт (TEN-T). Реализирането на проекта за разширение и развитие на пристанищните терминали в Бургас</w:t>
      </w:r>
      <w:r w:rsidR="00B354DD" w:rsidRPr="00610B1B">
        <w:rPr>
          <w:rFonts w:ascii="Times New Roman" w:hAnsi="Times New Roman" w:cs="Times New Roman"/>
          <w:sz w:val="24"/>
          <w:szCs w:val="24"/>
          <w:lang w:val="bg-BG" w:eastAsia="bg-BG"/>
        </w:rPr>
        <w:t xml:space="preserve"> и Варна</w:t>
      </w:r>
      <w:r w:rsidRPr="00610B1B">
        <w:rPr>
          <w:rFonts w:ascii="Times New Roman" w:hAnsi="Times New Roman" w:cs="Times New Roman"/>
          <w:sz w:val="24"/>
          <w:szCs w:val="24"/>
          <w:lang w:val="bg-BG" w:eastAsia="bg-BG"/>
        </w:rPr>
        <w:t xml:space="preserve"> предвижда пълна интеграция между морски</w:t>
      </w:r>
      <w:r w:rsidR="00B354DD" w:rsidRPr="00610B1B">
        <w:rPr>
          <w:rFonts w:ascii="Times New Roman" w:hAnsi="Times New Roman" w:cs="Times New Roman"/>
          <w:sz w:val="24"/>
          <w:szCs w:val="24"/>
          <w:lang w:val="bg-BG" w:eastAsia="bg-BG"/>
        </w:rPr>
        <w:t>я, автомобилния</w:t>
      </w:r>
      <w:r w:rsidRPr="00610B1B">
        <w:rPr>
          <w:rFonts w:ascii="Times New Roman" w:hAnsi="Times New Roman" w:cs="Times New Roman"/>
          <w:sz w:val="24"/>
          <w:szCs w:val="24"/>
          <w:lang w:val="bg-BG" w:eastAsia="bg-BG"/>
        </w:rPr>
        <w:t xml:space="preserve"> и жп транспорт. </w:t>
      </w:r>
    </w:p>
    <w:p w14:paraId="53AB7ED1" w14:textId="7AE8FDF2" w:rsidR="007F1AF6" w:rsidRPr="00610B1B" w:rsidRDefault="007F1AF6" w:rsidP="00B46189">
      <w:pPr>
        <w:pStyle w:val="ListParagraph"/>
        <w:numPr>
          <w:ilvl w:val="0"/>
          <w:numId w:val="67"/>
        </w:numPr>
        <w:spacing w:after="120"/>
        <w:ind w:right="-153"/>
        <w:contextualSpacing w:val="0"/>
        <w:jc w:val="both"/>
        <w:rPr>
          <w:rFonts w:ascii="Times New Roman" w:hAnsi="Times New Roman" w:cs="Times New Roman"/>
          <w:sz w:val="24"/>
          <w:szCs w:val="24"/>
          <w:lang w:val="bg-BG" w:eastAsia="bg-BG"/>
        </w:rPr>
      </w:pPr>
      <w:r w:rsidRPr="00610B1B">
        <w:rPr>
          <w:rFonts w:ascii="Times New Roman" w:hAnsi="Times New Roman" w:cs="Times New Roman"/>
          <w:sz w:val="24"/>
          <w:szCs w:val="24"/>
          <w:lang w:val="bg-BG" w:eastAsia="bg-BG"/>
        </w:rPr>
        <w:t xml:space="preserve">Развитието на коридора </w:t>
      </w:r>
      <w:r w:rsidRPr="00610B1B">
        <w:rPr>
          <w:rFonts w:ascii="Times New Roman" w:hAnsi="Times New Roman" w:cs="Times New Roman"/>
          <w:i/>
          <w:iCs/>
          <w:sz w:val="24"/>
          <w:szCs w:val="24"/>
          <w:lang w:val="bg-BG" w:eastAsia="bg-BG"/>
        </w:rPr>
        <w:t>Ориент/Източно–Средиземноморски</w:t>
      </w:r>
      <w:r w:rsidRPr="00610B1B">
        <w:rPr>
          <w:rFonts w:ascii="Times New Roman" w:hAnsi="Times New Roman" w:cs="Times New Roman"/>
          <w:sz w:val="24"/>
          <w:szCs w:val="24"/>
          <w:lang w:val="bg-BG" w:eastAsia="bg-BG"/>
        </w:rPr>
        <w:t>“ и неговото разширяване на изток, където прераства в ТРАСЕКА (транспортен коридор Европа–Кавказ–Азия) е от особена важност за функционирането на националната транспортна система. То е важно за управлението и разработването на потенциални пазари на източния бряг на Черно море и страните от Централна Азия и за превръщане на пристанищ</w:t>
      </w:r>
      <w:r w:rsidR="00B354DD" w:rsidRPr="00610B1B">
        <w:rPr>
          <w:rFonts w:ascii="Times New Roman" w:hAnsi="Times New Roman" w:cs="Times New Roman"/>
          <w:sz w:val="24"/>
          <w:szCs w:val="24"/>
          <w:lang w:val="bg-BG" w:eastAsia="bg-BG"/>
        </w:rPr>
        <w:t>ата Варна и</w:t>
      </w:r>
      <w:r w:rsidR="00D66FE0" w:rsidRPr="00610B1B">
        <w:rPr>
          <w:rFonts w:ascii="Times New Roman" w:hAnsi="Times New Roman" w:cs="Times New Roman"/>
          <w:sz w:val="24"/>
          <w:szCs w:val="24"/>
          <w:lang w:val="bg-BG" w:eastAsia="bg-BG"/>
        </w:rPr>
        <w:t xml:space="preserve"> </w:t>
      </w:r>
      <w:r w:rsidRPr="00610B1B">
        <w:rPr>
          <w:rFonts w:ascii="Times New Roman" w:hAnsi="Times New Roman" w:cs="Times New Roman"/>
          <w:sz w:val="24"/>
          <w:szCs w:val="24"/>
          <w:lang w:val="bg-BG" w:eastAsia="bg-BG"/>
        </w:rPr>
        <w:t xml:space="preserve">Бургас в основна връзка между континента Европа и Близкия изток. </w:t>
      </w:r>
    </w:p>
    <w:p w14:paraId="252FC3DA" w14:textId="5358859C" w:rsidR="00B354DD" w:rsidRPr="00610B1B" w:rsidRDefault="00B354DD" w:rsidP="00B46189">
      <w:pPr>
        <w:pStyle w:val="ListParagraph"/>
        <w:numPr>
          <w:ilvl w:val="0"/>
          <w:numId w:val="63"/>
        </w:numPr>
        <w:spacing w:after="120"/>
        <w:ind w:right="-153"/>
        <w:contextualSpacing w:val="0"/>
        <w:jc w:val="both"/>
        <w:rPr>
          <w:rFonts w:ascii="Times New Roman" w:hAnsi="Times New Roman" w:cs="Times New Roman"/>
          <w:sz w:val="24"/>
          <w:szCs w:val="24"/>
          <w:lang w:val="bg-BG" w:eastAsia="bg-BG"/>
        </w:rPr>
      </w:pPr>
      <w:r w:rsidRPr="00610B1B">
        <w:rPr>
          <w:rFonts w:ascii="Times New Roman" w:hAnsi="Times New Roman" w:cs="Times New Roman"/>
          <w:sz w:val="24"/>
          <w:szCs w:val="24"/>
          <w:lang w:val="bg-BG" w:eastAsia="bg-BG"/>
        </w:rPr>
        <w:t>Активизация и технологичн</w:t>
      </w:r>
      <w:r w:rsidR="004E3310" w:rsidRPr="00610B1B">
        <w:rPr>
          <w:rFonts w:ascii="Times New Roman" w:hAnsi="Times New Roman" w:cs="Times New Roman"/>
          <w:sz w:val="24"/>
          <w:szCs w:val="24"/>
          <w:lang w:val="bg-BG" w:eastAsia="bg-BG"/>
        </w:rPr>
        <w:t xml:space="preserve">о обновяване </w:t>
      </w:r>
      <w:r w:rsidRPr="00610B1B">
        <w:rPr>
          <w:rFonts w:ascii="Times New Roman" w:hAnsi="Times New Roman" w:cs="Times New Roman"/>
          <w:sz w:val="24"/>
          <w:szCs w:val="24"/>
          <w:lang w:val="bg-BG" w:eastAsia="bg-BG"/>
        </w:rPr>
        <w:t>на основните корабостроителни</w:t>
      </w:r>
      <w:r w:rsidR="004E3310" w:rsidRPr="00610B1B">
        <w:rPr>
          <w:rFonts w:ascii="Times New Roman" w:hAnsi="Times New Roman" w:cs="Times New Roman"/>
          <w:sz w:val="24"/>
          <w:szCs w:val="24"/>
          <w:lang w:val="bg-BG" w:eastAsia="bg-BG"/>
        </w:rPr>
        <w:t xml:space="preserve"> предприятия в черноморските градове, повишаване на тяхната конкурентоспособност и адаптиране към икономическите реалности и </w:t>
      </w:r>
      <w:r w:rsidR="00B232B2" w:rsidRPr="00610B1B">
        <w:rPr>
          <w:rFonts w:ascii="Times New Roman" w:hAnsi="Times New Roman" w:cs="Times New Roman"/>
          <w:sz w:val="24"/>
          <w:szCs w:val="24"/>
          <w:lang w:val="bg-BG" w:eastAsia="bg-BG"/>
        </w:rPr>
        <w:t xml:space="preserve">бизнес </w:t>
      </w:r>
      <w:r w:rsidR="004E3310" w:rsidRPr="00610B1B">
        <w:rPr>
          <w:rFonts w:ascii="Times New Roman" w:hAnsi="Times New Roman" w:cs="Times New Roman"/>
          <w:sz w:val="24"/>
          <w:szCs w:val="24"/>
          <w:lang w:val="bg-BG" w:eastAsia="bg-BG"/>
        </w:rPr>
        <w:t>средата</w:t>
      </w:r>
      <w:r w:rsidR="004E3310" w:rsidRPr="00610B1B">
        <w:rPr>
          <w:rStyle w:val="FootnoteReference"/>
          <w:rFonts w:ascii="Times New Roman" w:hAnsi="Times New Roman" w:cs="Times New Roman"/>
          <w:sz w:val="24"/>
          <w:szCs w:val="24"/>
          <w:lang w:val="bg-BG" w:eastAsia="bg-BG"/>
        </w:rPr>
        <w:footnoteReference w:id="178"/>
      </w:r>
      <w:r w:rsidR="004E3310" w:rsidRPr="00610B1B">
        <w:rPr>
          <w:rFonts w:ascii="Times New Roman" w:hAnsi="Times New Roman" w:cs="Times New Roman"/>
          <w:sz w:val="24"/>
          <w:szCs w:val="24"/>
          <w:lang w:val="bg-BG" w:eastAsia="bg-BG"/>
        </w:rPr>
        <w:t>.</w:t>
      </w:r>
    </w:p>
    <w:p w14:paraId="65E9660F" w14:textId="18837EFD" w:rsidR="006746B0" w:rsidRPr="00610B1B" w:rsidRDefault="006746B0"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b/>
          <w:i/>
          <w:sz w:val="24"/>
          <w:szCs w:val="24"/>
          <w:lang w:val="bg-BG"/>
        </w:rPr>
        <w:t xml:space="preserve">Специфична цел 2.4. Устойчиво развитие на сектор „Рибарство и аквакултури“ – </w:t>
      </w:r>
    </w:p>
    <w:p w14:paraId="65551B84" w14:textId="3657EE02" w:rsidR="006746B0" w:rsidRPr="00610B1B" w:rsidRDefault="007C3D7E" w:rsidP="00D32D6A">
      <w:pPr>
        <w:spacing w:after="120"/>
        <w:ind w:right="-153"/>
        <w:jc w:val="both"/>
        <w:rPr>
          <w:rFonts w:ascii="Times New Roman" w:eastAsia="Calibri" w:hAnsi="Times New Roman" w:cs="Times New Roman"/>
          <w:sz w:val="24"/>
          <w:szCs w:val="24"/>
          <w:lang w:val="bg-BG"/>
        </w:rPr>
      </w:pPr>
      <w:r w:rsidRPr="00610B1B">
        <w:rPr>
          <w:rFonts w:ascii="Times New Roman" w:eastAsia="Calibri" w:hAnsi="Times New Roman" w:cs="Times New Roman"/>
          <w:bCs/>
          <w:sz w:val="24"/>
          <w:szCs w:val="24"/>
          <w:lang w:val="bg-BG"/>
        </w:rPr>
        <w:t xml:space="preserve">Тази специфична цел е свързана с прилагането на </w:t>
      </w:r>
      <w:r w:rsidR="006746B0" w:rsidRPr="00610B1B">
        <w:rPr>
          <w:rFonts w:ascii="Times New Roman" w:eastAsia="Calibri" w:hAnsi="Times New Roman" w:cs="Times New Roman"/>
          <w:bCs/>
          <w:sz w:val="24"/>
          <w:szCs w:val="24"/>
          <w:lang w:val="bg-BG"/>
        </w:rPr>
        <w:t>Общата политика в областта на рибарството (ОПОР)</w:t>
      </w:r>
      <w:r w:rsidRPr="00610B1B">
        <w:rPr>
          <w:rFonts w:ascii="Times New Roman" w:eastAsia="Calibri" w:hAnsi="Times New Roman" w:cs="Times New Roman"/>
          <w:bCs/>
          <w:sz w:val="24"/>
          <w:szCs w:val="24"/>
          <w:lang w:val="bg-BG"/>
        </w:rPr>
        <w:t>, която</w:t>
      </w:r>
      <w:r w:rsidR="006746B0" w:rsidRPr="00610B1B">
        <w:rPr>
          <w:rFonts w:ascii="Times New Roman" w:eastAsia="Calibri" w:hAnsi="Times New Roman" w:cs="Times New Roman"/>
          <w:bCs/>
          <w:sz w:val="24"/>
          <w:szCs w:val="24"/>
          <w:lang w:val="bg-BG"/>
        </w:rPr>
        <w:t xml:space="preserve"> </w:t>
      </w:r>
      <w:r w:rsidR="006746B0" w:rsidRPr="00610B1B">
        <w:rPr>
          <w:rFonts w:ascii="Times New Roman" w:eastAsia="Calibri" w:hAnsi="Times New Roman" w:cs="Times New Roman"/>
          <w:sz w:val="24"/>
          <w:szCs w:val="24"/>
          <w:lang w:val="bg-BG"/>
        </w:rPr>
        <w:t xml:space="preserve">има за цел да гарантира, че риболовът и аквакултурата са устойчиви от екологична, икономическа и социална гледна точка и осигуряват на </w:t>
      </w:r>
      <w:r w:rsidR="006746B0" w:rsidRPr="00610B1B">
        <w:rPr>
          <w:rFonts w:ascii="Times New Roman" w:eastAsia="Calibri" w:hAnsi="Times New Roman" w:cs="Times New Roman"/>
          <w:sz w:val="24"/>
          <w:szCs w:val="24"/>
          <w:lang w:val="bg-BG"/>
        </w:rPr>
        <w:lastRenderedPageBreak/>
        <w:t>гражданите на ЕС здравословна храна</w:t>
      </w:r>
      <w:r w:rsidRPr="00610B1B">
        <w:rPr>
          <w:rFonts w:ascii="Times New Roman" w:eastAsia="Calibri" w:hAnsi="Times New Roman" w:cs="Times New Roman"/>
          <w:sz w:val="24"/>
          <w:szCs w:val="24"/>
          <w:lang w:val="bg-BG"/>
        </w:rPr>
        <w:t>, без да се застрашават рибните запаси</w:t>
      </w:r>
      <w:r w:rsidR="006746B0" w:rsidRPr="00610B1B">
        <w:rPr>
          <w:rFonts w:ascii="Times New Roman" w:eastAsia="Calibri" w:hAnsi="Times New Roman" w:cs="Times New Roman"/>
          <w:sz w:val="24"/>
          <w:szCs w:val="24"/>
          <w:lang w:val="bg-BG"/>
        </w:rPr>
        <w:t>. Чрез нея се насърчава динамичността в риболовната промишленост и се осигур</w:t>
      </w:r>
      <w:r w:rsidRPr="00610B1B">
        <w:rPr>
          <w:rFonts w:ascii="Times New Roman" w:eastAsia="Calibri" w:hAnsi="Times New Roman" w:cs="Times New Roman"/>
          <w:sz w:val="24"/>
          <w:szCs w:val="24"/>
          <w:lang w:val="bg-BG"/>
        </w:rPr>
        <w:t>ява</w:t>
      </w:r>
      <w:r w:rsidR="006746B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по-</w:t>
      </w:r>
      <w:r w:rsidR="006746B0" w:rsidRPr="00610B1B">
        <w:rPr>
          <w:rFonts w:ascii="Times New Roman" w:eastAsia="Calibri" w:hAnsi="Times New Roman" w:cs="Times New Roman"/>
          <w:sz w:val="24"/>
          <w:szCs w:val="24"/>
          <w:lang w:val="bg-BG"/>
        </w:rPr>
        <w:t>справедлив стандарт на живот за риболовните общности.</w:t>
      </w:r>
      <w:r w:rsidRPr="00610B1B">
        <w:rPr>
          <w:rFonts w:ascii="Times New Roman" w:eastAsia="Calibri" w:hAnsi="Times New Roman" w:cs="Times New Roman"/>
          <w:sz w:val="24"/>
          <w:szCs w:val="24"/>
          <w:lang w:val="bg-BG"/>
        </w:rPr>
        <w:t xml:space="preserve"> Тя</w:t>
      </w:r>
      <w:r w:rsidR="000F4270"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отразява и </w:t>
      </w:r>
      <w:r w:rsidR="000F4270" w:rsidRPr="00610B1B">
        <w:rPr>
          <w:rFonts w:ascii="Times New Roman" w:eastAsia="Calibri" w:hAnsi="Times New Roman" w:cs="Times New Roman"/>
          <w:sz w:val="24"/>
          <w:szCs w:val="24"/>
          <w:lang w:val="bg-BG"/>
        </w:rPr>
        <w:t xml:space="preserve">определените насоки за развитието на сектора в публикувания „Ситуационен анализ на </w:t>
      </w:r>
      <w:r w:rsidR="0090694C" w:rsidRPr="00610B1B">
        <w:rPr>
          <w:rFonts w:ascii="Times New Roman" w:eastAsia="Calibri" w:hAnsi="Times New Roman" w:cs="Times New Roman"/>
          <w:sz w:val="24"/>
          <w:szCs w:val="24"/>
          <w:lang w:val="bg-BG"/>
        </w:rPr>
        <w:t>състоянието на сектор „Рибарство“ в България“ (2020 г.)</w:t>
      </w:r>
      <w:r w:rsidR="0090694C" w:rsidRPr="00610B1B">
        <w:rPr>
          <w:rStyle w:val="FootnoteReference"/>
          <w:rFonts w:ascii="Times New Roman" w:eastAsia="Calibri" w:hAnsi="Times New Roman" w:cs="Times New Roman"/>
          <w:sz w:val="24"/>
          <w:szCs w:val="24"/>
          <w:lang w:val="bg-BG"/>
        </w:rPr>
        <w:footnoteReference w:id="179"/>
      </w:r>
      <w:r w:rsidR="0090694C" w:rsidRPr="00610B1B">
        <w:rPr>
          <w:rFonts w:ascii="Times New Roman" w:eastAsia="Calibri" w:hAnsi="Times New Roman" w:cs="Times New Roman"/>
          <w:sz w:val="24"/>
          <w:szCs w:val="24"/>
          <w:lang w:val="bg-BG"/>
        </w:rPr>
        <w:t xml:space="preserve">. </w:t>
      </w:r>
      <w:r w:rsidR="00B23091" w:rsidRPr="00610B1B">
        <w:rPr>
          <w:rFonts w:ascii="Times New Roman" w:eastAsia="Calibri" w:hAnsi="Times New Roman" w:cs="Times New Roman"/>
          <w:sz w:val="24"/>
          <w:szCs w:val="24"/>
          <w:lang w:val="bg-BG"/>
        </w:rPr>
        <w:t>Те</w:t>
      </w:r>
      <w:r w:rsidR="0090694C" w:rsidRPr="00610B1B">
        <w:rPr>
          <w:rFonts w:ascii="Times New Roman" w:eastAsia="Calibri" w:hAnsi="Times New Roman" w:cs="Times New Roman"/>
          <w:sz w:val="24"/>
          <w:szCs w:val="24"/>
          <w:lang w:val="bg-BG"/>
        </w:rPr>
        <w:t xml:space="preserve"> са резултат от прегледа на действащите политики, регламенти, програмни и стратегически документи в сектора и обхващат:</w:t>
      </w:r>
    </w:p>
    <w:p w14:paraId="39510606" w14:textId="77777777" w:rsidR="00C74B1F" w:rsidRPr="00610B1B" w:rsidRDefault="0090694C" w:rsidP="00B46189">
      <w:pPr>
        <w:pStyle w:val="ListParagraph"/>
        <w:numPr>
          <w:ilvl w:val="0"/>
          <w:numId w:val="53"/>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разширение и модернизация на съществуващи</w:t>
      </w:r>
      <w:r w:rsidR="00C74B1F" w:rsidRPr="00610B1B">
        <w:rPr>
          <w:rFonts w:ascii="Times New Roman" w:eastAsia="Calibri" w:hAnsi="Times New Roman" w:cs="Times New Roman"/>
          <w:sz w:val="24"/>
          <w:szCs w:val="24"/>
          <w:lang w:val="bg-BG"/>
        </w:rPr>
        <w:t xml:space="preserve">те </w:t>
      </w:r>
      <w:r w:rsidRPr="00610B1B">
        <w:rPr>
          <w:rFonts w:ascii="Times New Roman" w:eastAsia="Calibri" w:hAnsi="Times New Roman" w:cs="Times New Roman"/>
          <w:sz w:val="24"/>
          <w:szCs w:val="24"/>
          <w:lang w:val="bg-BG"/>
        </w:rPr>
        <w:t>производствени мощности и изграждане на нови,</w:t>
      </w:r>
      <w:r w:rsidR="00C74B1F"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 xml:space="preserve">прилагащи технологии, </w:t>
      </w:r>
      <w:r w:rsidR="00C74B1F" w:rsidRPr="00610B1B">
        <w:rPr>
          <w:rFonts w:ascii="Times New Roman" w:eastAsia="Calibri" w:hAnsi="Times New Roman" w:cs="Times New Roman"/>
          <w:sz w:val="24"/>
          <w:szCs w:val="24"/>
          <w:lang w:val="bg-BG"/>
        </w:rPr>
        <w:t>съобразени с изискванията за запазване на добрия екологичен статус на морската околна среда и съхраняване на ресурсите;</w:t>
      </w:r>
    </w:p>
    <w:p w14:paraId="6B20FF24" w14:textId="77777777" w:rsidR="00C74B1F" w:rsidRPr="00610B1B" w:rsidRDefault="0090694C" w:rsidP="00B46189">
      <w:pPr>
        <w:pStyle w:val="ListParagraph"/>
        <w:numPr>
          <w:ilvl w:val="0"/>
          <w:numId w:val="53"/>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повишаване на производството на аквакултури в условията на устойчив</w:t>
      </w:r>
      <w:r w:rsidR="00C74B1F"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растеж</w:t>
      </w:r>
      <w:r w:rsidR="00C74B1F" w:rsidRPr="00610B1B">
        <w:rPr>
          <w:rFonts w:ascii="Times New Roman" w:eastAsia="Calibri" w:hAnsi="Times New Roman" w:cs="Times New Roman"/>
          <w:sz w:val="24"/>
          <w:szCs w:val="24"/>
          <w:lang w:val="bg-BG"/>
        </w:rPr>
        <w:t xml:space="preserve"> и разнообразяване на отглежданите видове;</w:t>
      </w:r>
    </w:p>
    <w:p w14:paraId="52CBEB63" w14:textId="77777777" w:rsidR="00C74B1F" w:rsidRPr="00610B1B" w:rsidRDefault="0090694C" w:rsidP="00B46189">
      <w:pPr>
        <w:pStyle w:val="ListParagraph"/>
        <w:numPr>
          <w:ilvl w:val="0"/>
          <w:numId w:val="53"/>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увеличаване на икономическата ефективност на производството на</w:t>
      </w:r>
      <w:r w:rsidR="00C74B1F"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аквакултури и риболова чрез директни продажби, добавена стойност,</w:t>
      </w:r>
      <w:r w:rsidR="00C74B1F"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диверсификация на дейностите, регионално коопериране, организации на</w:t>
      </w:r>
      <w:r w:rsidR="00C74B1F"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пазара и др.</w:t>
      </w:r>
    </w:p>
    <w:p w14:paraId="04C9544B" w14:textId="24934A8C" w:rsidR="00C74B1F" w:rsidRPr="00610B1B" w:rsidRDefault="0090694C" w:rsidP="00B46189">
      <w:pPr>
        <w:pStyle w:val="ListParagraph"/>
        <w:numPr>
          <w:ilvl w:val="0"/>
          <w:numId w:val="53"/>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прилагане принципите на устойчив риболов и опазване на околната среда</w:t>
      </w:r>
      <w:r w:rsidR="00C74B1F"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чрез модернизиране на флота</w:t>
      </w:r>
      <w:r w:rsidR="00C74B1F" w:rsidRPr="00610B1B">
        <w:rPr>
          <w:rFonts w:ascii="Times New Roman" w:eastAsia="Calibri" w:hAnsi="Times New Roman" w:cs="Times New Roman"/>
          <w:sz w:val="24"/>
          <w:szCs w:val="24"/>
          <w:lang w:val="bg-BG"/>
        </w:rPr>
        <w:t xml:space="preserve"> и насърчаване на щадящи морската околна среда и опазването на запасите практики</w:t>
      </w:r>
      <w:r w:rsidRPr="00610B1B">
        <w:rPr>
          <w:rFonts w:ascii="Times New Roman" w:eastAsia="Calibri" w:hAnsi="Times New Roman" w:cs="Times New Roman"/>
          <w:sz w:val="24"/>
          <w:szCs w:val="24"/>
          <w:lang w:val="bg-BG"/>
        </w:rPr>
        <w:t>;</w:t>
      </w:r>
    </w:p>
    <w:p w14:paraId="64491CA2" w14:textId="77777777" w:rsidR="00C74B1F" w:rsidRPr="00610B1B" w:rsidRDefault="0090694C" w:rsidP="00B46189">
      <w:pPr>
        <w:pStyle w:val="ListParagraph"/>
        <w:numPr>
          <w:ilvl w:val="0"/>
          <w:numId w:val="53"/>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насърчаване растежа на секторите, допринасящи за синята икономика и</w:t>
      </w:r>
      <w:r w:rsidR="00C74B1F"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стимулиране на развитието на общностите в районите с традиции в</w:t>
      </w:r>
      <w:r w:rsidR="00C74B1F"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рибарство и развиващи аквакултури в крайбрежните и вътрешните райони</w:t>
      </w:r>
      <w:r w:rsidR="00C74B1F" w:rsidRPr="00610B1B">
        <w:rPr>
          <w:rFonts w:ascii="Times New Roman" w:eastAsia="Calibri" w:hAnsi="Times New Roman" w:cs="Times New Roman"/>
          <w:sz w:val="24"/>
          <w:szCs w:val="24"/>
          <w:lang w:val="bg-BG"/>
        </w:rPr>
        <w:t>;</w:t>
      </w:r>
    </w:p>
    <w:p w14:paraId="4F52E25E" w14:textId="0E26C108" w:rsidR="006746B0" w:rsidRPr="00610B1B" w:rsidRDefault="006746B0" w:rsidP="00B46189">
      <w:pPr>
        <w:pStyle w:val="ListParagraph"/>
        <w:numPr>
          <w:ilvl w:val="0"/>
          <w:numId w:val="53"/>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преструктуриране и модернизация на риболовния флот и риболовните пристанищни съоръжения</w:t>
      </w:r>
      <w:r w:rsidR="00A508F7" w:rsidRPr="00610B1B">
        <w:rPr>
          <w:rFonts w:ascii="Times New Roman" w:eastAsia="Calibri" w:hAnsi="Times New Roman" w:cs="Times New Roman"/>
          <w:sz w:val="24"/>
          <w:szCs w:val="24"/>
          <w:lang w:val="bg-BG"/>
        </w:rPr>
        <w:t xml:space="preserve"> и инфраструктура на сектора</w:t>
      </w:r>
      <w:r w:rsidR="00C74B1F" w:rsidRPr="00610B1B">
        <w:rPr>
          <w:rFonts w:ascii="Times New Roman" w:eastAsia="Calibri" w:hAnsi="Times New Roman" w:cs="Times New Roman"/>
          <w:sz w:val="24"/>
          <w:szCs w:val="24"/>
          <w:lang w:val="bg-BG"/>
        </w:rPr>
        <w:t>;</w:t>
      </w:r>
    </w:p>
    <w:p w14:paraId="75F4E47D" w14:textId="4F4001C9" w:rsidR="006746B0" w:rsidRPr="00610B1B" w:rsidRDefault="00C74B1F" w:rsidP="00B46189">
      <w:pPr>
        <w:pStyle w:val="ListParagraph"/>
        <w:numPr>
          <w:ilvl w:val="0"/>
          <w:numId w:val="53"/>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насърчаване на връзките между дейностите в</w:t>
      </w:r>
      <w:r w:rsidR="00A508F7" w:rsidRPr="00610B1B">
        <w:rPr>
          <w:rFonts w:ascii="Times New Roman" w:eastAsia="Calibri" w:hAnsi="Times New Roman" w:cs="Times New Roman"/>
          <w:sz w:val="24"/>
          <w:szCs w:val="24"/>
          <w:lang w:val="bg-BG"/>
        </w:rPr>
        <w:t xml:space="preserve"> </w:t>
      </w:r>
      <w:r w:rsidRPr="00610B1B">
        <w:rPr>
          <w:rFonts w:ascii="Times New Roman" w:eastAsia="Calibri" w:hAnsi="Times New Roman" w:cs="Times New Roman"/>
          <w:sz w:val="24"/>
          <w:szCs w:val="24"/>
          <w:lang w:val="bg-BG"/>
        </w:rPr>
        <w:t>морето и на сушата, на тези между рибарството, аквакултурите и опазването на околната среда и биоразнообр</w:t>
      </w:r>
      <w:r w:rsidR="00A508F7" w:rsidRPr="00610B1B">
        <w:rPr>
          <w:rFonts w:ascii="Times New Roman" w:eastAsia="Calibri" w:hAnsi="Times New Roman" w:cs="Times New Roman"/>
          <w:sz w:val="24"/>
          <w:szCs w:val="24"/>
          <w:lang w:val="bg-BG"/>
        </w:rPr>
        <w:t>а</w:t>
      </w:r>
      <w:r w:rsidRPr="00610B1B">
        <w:rPr>
          <w:rFonts w:ascii="Times New Roman" w:eastAsia="Calibri" w:hAnsi="Times New Roman" w:cs="Times New Roman"/>
          <w:sz w:val="24"/>
          <w:szCs w:val="24"/>
          <w:lang w:val="bg-BG"/>
        </w:rPr>
        <w:t>зието; на връзките наука и практика.</w:t>
      </w:r>
    </w:p>
    <w:p w14:paraId="1A9F434C" w14:textId="77777777" w:rsidR="00B0139B" w:rsidRPr="00610B1B" w:rsidRDefault="00B0139B" w:rsidP="00D32D6A">
      <w:pPr>
        <w:spacing w:after="120"/>
        <w:ind w:right="-153"/>
        <w:jc w:val="both"/>
        <w:rPr>
          <w:rFonts w:ascii="Times New Roman" w:eastAsia="Calibri" w:hAnsi="Times New Roman" w:cs="Times New Roman"/>
          <w:color w:val="000000" w:themeColor="text1"/>
          <w:sz w:val="12"/>
          <w:szCs w:val="12"/>
          <w:lang w:val="bg-BG"/>
        </w:rPr>
      </w:pPr>
    </w:p>
    <w:p w14:paraId="525FB75F" w14:textId="49806F40" w:rsidR="00442579" w:rsidRPr="00610B1B" w:rsidRDefault="00442579" w:rsidP="003F3C59">
      <w:pPr>
        <w:shd w:val="clear" w:color="auto" w:fill="BEE6F0"/>
        <w:spacing w:after="120"/>
        <w:ind w:right="-153"/>
        <w:jc w:val="both"/>
        <w:rPr>
          <w:rFonts w:ascii="Times New Roman" w:eastAsia="Calibri" w:hAnsi="Times New Roman" w:cs="Times New Roman"/>
          <w:b/>
          <w:color w:val="000000" w:themeColor="text1"/>
          <w:sz w:val="24"/>
          <w:szCs w:val="24"/>
          <w:lang w:val="bg-BG"/>
        </w:rPr>
      </w:pPr>
      <w:r w:rsidRPr="00610B1B">
        <w:rPr>
          <w:rFonts w:ascii="Times New Roman" w:eastAsia="Calibri" w:hAnsi="Times New Roman" w:cs="Times New Roman"/>
          <w:b/>
          <w:color w:val="000000" w:themeColor="text1"/>
          <w:sz w:val="24"/>
          <w:szCs w:val="24"/>
          <w:lang w:val="bg-BG"/>
        </w:rPr>
        <w:t>Стратегическа</w:t>
      </w:r>
      <w:r w:rsidR="00AF4C05" w:rsidRPr="00610B1B">
        <w:rPr>
          <w:rFonts w:ascii="Times New Roman" w:eastAsia="Calibri" w:hAnsi="Times New Roman" w:cs="Times New Roman"/>
          <w:b/>
          <w:color w:val="000000" w:themeColor="text1"/>
          <w:sz w:val="24"/>
          <w:szCs w:val="24"/>
          <w:lang w:val="bg-BG"/>
        </w:rPr>
        <w:t> </w:t>
      </w:r>
      <w:r w:rsidRPr="00610B1B">
        <w:rPr>
          <w:rFonts w:ascii="Times New Roman" w:eastAsia="Calibri" w:hAnsi="Times New Roman" w:cs="Times New Roman"/>
          <w:b/>
          <w:color w:val="000000" w:themeColor="text1"/>
          <w:sz w:val="24"/>
          <w:szCs w:val="24"/>
          <w:lang w:val="bg-BG"/>
        </w:rPr>
        <w:t>цел</w:t>
      </w:r>
      <w:r w:rsidR="00AF4C05" w:rsidRPr="00610B1B">
        <w:rPr>
          <w:rFonts w:ascii="Times New Roman" w:eastAsia="Calibri" w:hAnsi="Times New Roman" w:cs="Times New Roman"/>
          <w:b/>
          <w:color w:val="000000" w:themeColor="text1"/>
          <w:sz w:val="24"/>
          <w:szCs w:val="24"/>
          <w:lang w:val="bg-BG"/>
        </w:rPr>
        <w:t> </w:t>
      </w:r>
      <w:r w:rsidRPr="00610B1B">
        <w:rPr>
          <w:rFonts w:ascii="Times New Roman" w:eastAsia="Calibri" w:hAnsi="Times New Roman" w:cs="Times New Roman"/>
          <w:b/>
          <w:color w:val="000000" w:themeColor="text1"/>
          <w:sz w:val="24"/>
          <w:szCs w:val="24"/>
          <w:lang w:val="bg-BG"/>
        </w:rPr>
        <w:t>3: Повишаване на морската култура, образование и знание</w:t>
      </w:r>
    </w:p>
    <w:p w14:paraId="341D2CF7" w14:textId="77777777" w:rsidR="003416A7" w:rsidRPr="00610B1B" w:rsidRDefault="003416A7" w:rsidP="00D32D6A">
      <w:pPr>
        <w:spacing w:after="120"/>
        <w:ind w:right="-153"/>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 xml:space="preserve">Изграждането, поддържането и достъпът до съвременни научни инфраструктури, внедряването на нови технологии и прилагането на иновации е най-сигурният път за повишаване на конкурентоспособността на синята икономика. Този тип публични интервенции са с доказана устойчивост и способност за привличане на желани инвестиции, водещи до създаване на привлекателни работни места, задържане на човешкия капитал и генериране на регионален и национален растеж. </w:t>
      </w:r>
    </w:p>
    <w:p w14:paraId="5E52D393" w14:textId="66528244" w:rsidR="003416A7" w:rsidRPr="00610B1B" w:rsidRDefault="003416A7" w:rsidP="00D32D6A">
      <w:pPr>
        <w:spacing w:after="120"/>
        <w:ind w:right="-153"/>
        <w:jc w:val="both"/>
        <w:rPr>
          <w:rFonts w:ascii="Times New Roman" w:eastAsia="Calibri" w:hAnsi="Times New Roman" w:cs="Times New Roman"/>
          <w:color w:val="000000" w:themeColor="text1"/>
          <w:sz w:val="24"/>
          <w:szCs w:val="24"/>
          <w:lang w:val="bg-BG" w:eastAsia="bg-BG"/>
        </w:rPr>
      </w:pPr>
      <w:r w:rsidRPr="00610B1B">
        <w:rPr>
          <w:rFonts w:ascii="Times New Roman" w:eastAsia="Calibri" w:hAnsi="Times New Roman" w:cs="Times New Roman"/>
          <w:color w:val="000000" w:themeColor="text1"/>
          <w:sz w:val="24"/>
          <w:szCs w:val="24"/>
          <w:lang w:val="bg-BG"/>
        </w:rPr>
        <w:t xml:space="preserve">Реализирането на тази цел включва изграждане на база от знания и иновации за морски политики във всички сфери – морски транспорт, кораборемонт и корабостроене, рибарство, аквакултури, морски туризъм, технологии за проучване и добив на минерални ресурси. Паралелно се създават и реализират програми за екологично възпитание и знание </w:t>
      </w:r>
      <w:r w:rsidRPr="00610B1B">
        <w:rPr>
          <w:rFonts w:ascii="Times New Roman" w:eastAsia="Calibri" w:hAnsi="Times New Roman" w:cs="Times New Roman"/>
          <w:color w:val="000000" w:themeColor="text1"/>
          <w:sz w:val="24"/>
          <w:szCs w:val="24"/>
          <w:lang w:val="bg-BG"/>
        </w:rPr>
        <w:lastRenderedPageBreak/>
        <w:t xml:space="preserve">за морето както в училищата, така и в медийните среди. Чрез подходящи програми и проекти се предвижда </w:t>
      </w:r>
      <w:r w:rsidRPr="00610B1B">
        <w:rPr>
          <w:rFonts w:ascii="Times New Roman" w:eastAsia="Calibri" w:hAnsi="Times New Roman" w:cs="Times New Roman"/>
          <w:color w:val="000000" w:themeColor="text1"/>
          <w:sz w:val="24"/>
          <w:szCs w:val="24"/>
          <w:lang w:val="bg-BG" w:eastAsia="bg-BG"/>
        </w:rPr>
        <w:t>разработване на отворени системи за обучение, регулиращи професионалната подготовка според нуждите на регионалния пазар на труда, съвместно със социално-икономическите партньори.</w:t>
      </w:r>
    </w:p>
    <w:p w14:paraId="2A8B920F" w14:textId="74D584A6" w:rsidR="003416A7" w:rsidRPr="00610B1B" w:rsidRDefault="003416A7" w:rsidP="00D32D6A">
      <w:pPr>
        <w:spacing w:after="120"/>
        <w:ind w:right="-153"/>
        <w:jc w:val="both"/>
        <w:rPr>
          <w:rFonts w:ascii="Times New Roman" w:eastAsia="Calibri" w:hAnsi="Times New Roman" w:cs="Times New Roman"/>
          <w:color w:val="000000" w:themeColor="text1"/>
          <w:sz w:val="24"/>
          <w:szCs w:val="24"/>
          <w:lang w:val="bg-BG" w:eastAsia="bg-BG"/>
        </w:rPr>
      </w:pPr>
      <w:r w:rsidRPr="00610B1B">
        <w:rPr>
          <w:rFonts w:ascii="Times New Roman" w:eastAsia="Calibri" w:hAnsi="Times New Roman" w:cs="Times New Roman"/>
          <w:color w:val="000000" w:themeColor="text1"/>
          <w:sz w:val="24"/>
          <w:szCs w:val="24"/>
          <w:lang w:val="bg-BG" w:eastAsia="bg-BG"/>
        </w:rPr>
        <w:t>Основните направления в тази ‘интелигентна’ цел се изразяват в следните специфични цели:</w:t>
      </w:r>
    </w:p>
    <w:p w14:paraId="476F1341" w14:textId="77777777" w:rsidR="003416A7" w:rsidRPr="00610B1B" w:rsidRDefault="003416A7" w:rsidP="00D32D6A">
      <w:pPr>
        <w:spacing w:after="120"/>
        <w:ind w:right="-153"/>
        <w:jc w:val="both"/>
        <w:rPr>
          <w:rFonts w:ascii="Times New Roman" w:eastAsia="Calibri" w:hAnsi="Times New Roman" w:cs="Times New Roman"/>
          <w:color w:val="000000" w:themeColor="text1"/>
          <w:sz w:val="24"/>
          <w:szCs w:val="24"/>
          <w:lang w:val="bg-BG" w:eastAsia="bg-BG"/>
        </w:rPr>
      </w:pPr>
      <w:r w:rsidRPr="00610B1B">
        <w:rPr>
          <w:rFonts w:ascii="Times New Roman" w:eastAsia="Calibri" w:hAnsi="Times New Roman" w:cs="Times New Roman"/>
          <w:b/>
          <w:i/>
          <w:sz w:val="24"/>
          <w:szCs w:val="24"/>
          <w:lang w:val="bg-BG"/>
        </w:rPr>
        <w:t>Специфична цел 3.1. Развитие на научна инфраструктура и изследователски капацитет</w:t>
      </w:r>
    </w:p>
    <w:p w14:paraId="107E5F60" w14:textId="3FCF6C0B" w:rsidR="003416A7" w:rsidRPr="00610B1B" w:rsidRDefault="003416A7" w:rsidP="00D32D6A">
      <w:pPr>
        <w:spacing w:after="120"/>
        <w:ind w:right="-153"/>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Наличието на модерна база за научно-изследователска и развойна дейност осигурява благоприятни условия за обучение и кариерно развитие на учените, както и за привличане на чуждестранни изследователи и насърчаване на мобилността. Индикативните мерки,</w:t>
      </w:r>
      <w:r w:rsidR="00A508F7" w:rsidRPr="00610B1B">
        <w:rPr>
          <w:rFonts w:ascii="Times New Roman" w:eastAsia="Calibri" w:hAnsi="Times New Roman" w:cs="Times New Roman"/>
          <w:sz w:val="24"/>
          <w:szCs w:val="24"/>
          <w:lang w:val="bg-BG" w:eastAsia="bg-BG"/>
        </w:rPr>
        <w:t xml:space="preserve"> стимулирани от инициативите и визията за развитието на научните изследвания и иновациите в Черноморския регион,</w:t>
      </w:r>
      <w:r w:rsidRPr="00610B1B">
        <w:rPr>
          <w:rFonts w:ascii="Times New Roman" w:eastAsia="Calibri" w:hAnsi="Times New Roman" w:cs="Times New Roman"/>
          <w:sz w:val="24"/>
          <w:szCs w:val="24"/>
          <w:lang w:val="bg-BG" w:eastAsia="bg-BG"/>
        </w:rPr>
        <w:t xml:space="preserve"> </w:t>
      </w:r>
      <w:r w:rsidR="00A508F7" w:rsidRPr="00610B1B">
        <w:rPr>
          <w:rFonts w:ascii="Times New Roman" w:eastAsia="Calibri" w:hAnsi="Times New Roman" w:cs="Times New Roman"/>
          <w:sz w:val="24"/>
          <w:szCs w:val="24"/>
          <w:lang w:val="bg-BG" w:eastAsia="bg-BG"/>
        </w:rPr>
        <w:t>защитени</w:t>
      </w:r>
      <w:r w:rsidRPr="00610B1B">
        <w:rPr>
          <w:rFonts w:ascii="Times New Roman" w:eastAsia="Calibri" w:hAnsi="Times New Roman" w:cs="Times New Roman"/>
          <w:sz w:val="24"/>
          <w:szCs w:val="24"/>
          <w:lang w:val="bg-BG" w:eastAsia="bg-BG"/>
        </w:rPr>
        <w:t xml:space="preserve"> от местните общности</w:t>
      </w:r>
      <w:r w:rsidR="00A508F7" w:rsidRPr="00610B1B">
        <w:rPr>
          <w:rFonts w:ascii="Times New Roman" w:eastAsia="Calibri" w:hAnsi="Times New Roman" w:cs="Times New Roman"/>
          <w:sz w:val="24"/>
          <w:szCs w:val="24"/>
          <w:lang w:val="bg-BG" w:eastAsia="bg-BG"/>
        </w:rPr>
        <w:t xml:space="preserve"> в новите стратегически документи и залегнали в ИТСР</w:t>
      </w:r>
      <w:r w:rsidRPr="00610B1B">
        <w:rPr>
          <w:rFonts w:ascii="Times New Roman" w:eastAsia="Calibri" w:hAnsi="Times New Roman" w:cs="Times New Roman"/>
          <w:sz w:val="24"/>
          <w:szCs w:val="24"/>
          <w:lang w:val="bg-BG" w:eastAsia="bg-BG"/>
        </w:rPr>
        <w:t xml:space="preserve"> включват:</w:t>
      </w:r>
    </w:p>
    <w:p w14:paraId="5B1DB0A7" w14:textId="24C9CE42" w:rsidR="003416A7" w:rsidRPr="00610B1B" w:rsidRDefault="003416A7" w:rsidP="00B46189">
      <w:pPr>
        <w:pStyle w:val="ListParagraph"/>
        <w:numPr>
          <w:ilvl w:val="0"/>
          <w:numId w:val="54"/>
        </w:numPr>
        <w:spacing w:after="120"/>
        <w:ind w:right="-153"/>
        <w:contextualSpacing w:val="0"/>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 xml:space="preserve">Създаване на два Регионални иновационни центъра (Варна и Бургас) </w:t>
      </w:r>
      <w:r w:rsidR="00A508F7" w:rsidRPr="00610B1B">
        <w:rPr>
          <w:rFonts w:ascii="Times New Roman" w:eastAsia="Calibri" w:hAnsi="Times New Roman" w:cs="Times New Roman"/>
          <w:sz w:val="24"/>
          <w:szCs w:val="24"/>
          <w:lang w:val="bg-BG" w:eastAsia="bg-BG"/>
        </w:rPr>
        <w:t>със</w:t>
      </w:r>
      <w:r w:rsidRPr="00610B1B">
        <w:rPr>
          <w:rFonts w:ascii="Times New Roman" w:eastAsia="Calibri" w:hAnsi="Times New Roman" w:cs="Times New Roman"/>
          <w:sz w:val="24"/>
          <w:szCs w:val="24"/>
          <w:lang w:val="bg-BG" w:eastAsia="bg-BG"/>
        </w:rPr>
        <w:t xml:space="preserve"> звена за върхови постижения</w:t>
      </w:r>
      <w:r w:rsidR="00A508F7" w:rsidRPr="00610B1B">
        <w:rPr>
          <w:rFonts w:ascii="Times New Roman" w:eastAsia="Calibri" w:hAnsi="Times New Roman" w:cs="Times New Roman"/>
          <w:sz w:val="24"/>
          <w:szCs w:val="24"/>
          <w:lang w:val="bg-BG" w:eastAsia="bg-BG"/>
        </w:rPr>
        <w:t xml:space="preserve"> и</w:t>
      </w:r>
      <w:r w:rsidRPr="00610B1B">
        <w:rPr>
          <w:rFonts w:ascii="Times New Roman" w:eastAsia="Calibri" w:hAnsi="Times New Roman" w:cs="Times New Roman"/>
          <w:sz w:val="24"/>
          <w:szCs w:val="24"/>
          <w:lang w:val="bg-BG" w:eastAsia="bg-BG"/>
        </w:rPr>
        <w:t xml:space="preserve"> развойна дейност и лаборатории за технологични изпитвания;</w:t>
      </w:r>
    </w:p>
    <w:p w14:paraId="1D0EDB26" w14:textId="74FB5DAC" w:rsidR="003416A7" w:rsidRPr="00610B1B" w:rsidRDefault="003416A7" w:rsidP="00B46189">
      <w:pPr>
        <w:numPr>
          <w:ilvl w:val="0"/>
          <w:numId w:val="55"/>
        </w:numPr>
        <w:spacing w:after="120"/>
        <w:ind w:right="-153"/>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Създаване на „Високотехнологичен академичен център Бургас“ за изграждане на научна инфраструктура за високи технологии, биофизика и биомеханика;</w:t>
      </w:r>
    </w:p>
    <w:p w14:paraId="5DFA0A88" w14:textId="72A9BE6D" w:rsidR="003416A7" w:rsidRPr="00610B1B" w:rsidRDefault="003416A7" w:rsidP="00B46189">
      <w:pPr>
        <w:numPr>
          <w:ilvl w:val="0"/>
          <w:numId w:val="55"/>
        </w:numPr>
        <w:spacing w:after="120"/>
        <w:ind w:right="-153"/>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 xml:space="preserve">Създаване на „Черноморски център за син растеж и иновации“, включващ Черноморска лаборатория за мониторинг на пластмаса, Лаборатория за приложение на нови методи и технологии в устойчивото ползване на речни и морски ресурси; </w:t>
      </w:r>
    </w:p>
    <w:p w14:paraId="41D75AEF" w14:textId="065C45BF" w:rsidR="003416A7" w:rsidRPr="00610B1B" w:rsidRDefault="003416A7" w:rsidP="00B46189">
      <w:pPr>
        <w:numPr>
          <w:ilvl w:val="0"/>
          <w:numId w:val="55"/>
        </w:numPr>
        <w:spacing w:after="120"/>
        <w:ind w:right="-153"/>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Създаване на общински фондове „Наука” в общините Варна и Бургас за стимулиране на обмен на преподаватели и студенти и за разработване и внедряване на научни разработки от студенти и учени от висшите училища във Варна и Бургас;</w:t>
      </w:r>
    </w:p>
    <w:p w14:paraId="7DC84D39" w14:textId="77777777" w:rsidR="003416A7" w:rsidRPr="00610B1B" w:rsidRDefault="003416A7" w:rsidP="00B46189">
      <w:pPr>
        <w:numPr>
          <w:ilvl w:val="0"/>
          <w:numId w:val="55"/>
        </w:numPr>
        <w:spacing w:after="120"/>
        <w:ind w:right="-153"/>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Създаване на мрежи (клъстери) от регионални институции, научни организации и високотехнологични предприятия за изпълнение на целеви регионални задачи и програми;</w:t>
      </w:r>
    </w:p>
    <w:p w14:paraId="08479213" w14:textId="77777777" w:rsidR="003416A7" w:rsidRPr="00610B1B" w:rsidRDefault="003416A7" w:rsidP="00B46189">
      <w:pPr>
        <w:numPr>
          <w:ilvl w:val="0"/>
          <w:numId w:val="55"/>
        </w:numPr>
        <w:spacing w:after="120"/>
        <w:ind w:right="-153"/>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Стимулиране на сътрудничеството между научните организации, публичния и частния сектор на синята икономика;</w:t>
      </w:r>
    </w:p>
    <w:p w14:paraId="3CBB9AE0" w14:textId="63CEA727" w:rsidR="003416A7" w:rsidRPr="00610B1B" w:rsidRDefault="003416A7" w:rsidP="00D32D6A">
      <w:pPr>
        <w:spacing w:after="120"/>
        <w:ind w:right="-158"/>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 xml:space="preserve">Освен инвестиции в публични изследователски центрове и висши учебни заведения, свързани с научноизследователски и иновационни дейности и трансфер на иновации, в периода на действие на МППРБ ще се подкрепят: </w:t>
      </w:r>
    </w:p>
    <w:p w14:paraId="04315128" w14:textId="77777777" w:rsidR="003416A7" w:rsidRPr="00610B1B" w:rsidRDefault="003416A7" w:rsidP="00B46189">
      <w:pPr>
        <w:numPr>
          <w:ilvl w:val="0"/>
          <w:numId w:val="56"/>
        </w:numPr>
        <w:spacing w:after="120"/>
        <w:ind w:right="-153"/>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Инвестиции в микро и МСП, пряко свързани с научноизследователски и иновационни дейности, включително частни изследователски центрове;</w:t>
      </w:r>
    </w:p>
    <w:p w14:paraId="73030D79" w14:textId="77777777" w:rsidR="003416A7" w:rsidRPr="00610B1B" w:rsidRDefault="003416A7" w:rsidP="00B46189">
      <w:pPr>
        <w:numPr>
          <w:ilvl w:val="0"/>
          <w:numId w:val="56"/>
        </w:numPr>
        <w:spacing w:after="120"/>
        <w:ind w:right="-153"/>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Научноизследователски и иновационни дейности в микропредприятия, малки и средни предприятия, включително изграждане на мрежи (индустриални научни изследвания, експериментално развитие, проучвания за реализуемост);</w:t>
      </w:r>
    </w:p>
    <w:p w14:paraId="5728BFA9" w14:textId="3ADBE8CD" w:rsidR="003416A7" w:rsidRPr="00610B1B" w:rsidRDefault="003416A7" w:rsidP="00B46189">
      <w:pPr>
        <w:numPr>
          <w:ilvl w:val="0"/>
          <w:numId w:val="56"/>
        </w:numPr>
        <w:spacing w:after="120"/>
        <w:ind w:right="-153"/>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lastRenderedPageBreak/>
        <w:t>Прилагането на принципите на кръговата икономика от фирми в р</w:t>
      </w:r>
      <w:r w:rsidR="00A508F7" w:rsidRPr="00610B1B">
        <w:rPr>
          <w:rFonts w:ascii="Times New Roman" w:eastAsia="Calibri" w:hAnsi="Times New Roman" w:cs="Times New Roman"/>
          <w:sz w:val="24"/>
          <w:szCs w:val="24"/>
          <w:lang w:val="bg-BG" w:eastAsia="bg-BG"/>
        </w:rPr>
        <w:t>егиона</w:t>
      </w:r>
      <w:r w:rsidRPr="00610B1B">
        <w:rPr>
          <w:rFonts w:ascii="Times New Roman" w:eastAsia="Calibri" w:hAnsi="Times New Roman" w:cs="Times New Roman"/>
          <w:sz w:val="24"/>
          <w:szCs w:val="24"/>
          <w:lang w:val="bg-BG" w:eastAsia="bg-BG"/>
        </w:rPr>
        <w:t>.</w:t>
      </w:r>
    </w:p>
    <w:p w14:paraId="514D9507" w14:textId="43D3D20D" w:rsidR="003416A7" w:rsidRPr="00610B1B" w:rsidRDefault="003416A7" w:rsidP="00D32D6A">
      <w:pPr>
        <w:spacing w:after="120"/>
        <w:ind w:right="-153"/>
        <w:jc w:val="both"/>
        <w:rPr>
          <w:rFonts w:ascii="Times New Roman" w:eastAsia="Calibri" w:hAnsi="Times New Roman" w:cs="Times New Roman"/>
          <w:b/>
          <w:i/>
          <w:sz w:val="24"/>
          <w:szCs w:val="24"/>
          <w:lang w:val="bg-BG" w:eastAsia="bg-BG"/>
        </w:rPr>
      </w:pPr>
      <w:r w:rsidRPr="00610B1B">
        <w:rPr>
          <w:rFonts w:ascii="Times New Roman" w:eastAsia="Calibri" w:hAnsi="Times New Roman" w:cs="Times New Roman"/>
          <w:b/>
          <w:i/>
          <w:sz w:val="24"/>
          <w:szCs w:val="24"/>
          <w:lang w:val="bg-BG"/>
        </w:rPr>
        <w:t xml:space="preserve">Специфична цел 3.2. </w:t>
      </w:r>
      <w:r w:rsidRPr="00610B1B">
        <w:rPr>
          <w:rFonts w:ascii="Times New Roman" w:eastAsia="Calibri" w:hAnsi="Times New Roman" w:cs="Times New Roman"/>
          <w:b/>
          <w:i/>
          <w:sz w:val="24"/>
          <w:szCs w:val="24"/>
          <w:lang w:val="bg-BG" w:eastAsia="bg-BG"/>
        </w:rPr>
        <w:t xml:space="preserve">Подобряване на връзките на образованието и научно-изследователската дейност с бизнеса </w:t>
      </w:r>
    </w:p>
    <w:p w14:paraId="302E0B19" w14:textId="67535476" w:rsidR="003416A7" w:rsidRPr="00610B1B" w:rsidRDefault="003416A7" w:rsidP="00D32D6A">
      <w:pPr>
        <w:spacing w:after="120"/>
        <w:ind w:right="-153"/>
        <w:jc w:val="both"/>
        <w:rPr>
          <w:rFonts w:ascii="Times New Roman" w:eastAsia="Calibri" w:hAnsi="Times New Roman" w:cs="Times New Roman"/>
          <w:bCs/>
          <w:iCs/>
          <w:sz w:val="24"/>
          <w:szCs w:val="24"/>
          <w:lang w:val="bg-BG" w:eastAsia="bg-BG"/>
        </w:rPr>
      </w:pPr>
      <w:r w:rsidRPr="00610B1B">
        <w:rPr>
          <w:rFonts w:ascii="Times New Roman" w:eastAsia="Calibri" w:hAnsi="Times New Roman" w:cs="Times New Roman"/>
          <w:bCs/>
          <w:iCs/>
          <w:sz w:val="24"/>
          <w:szCs w:val="24"/>
          <w:lang w:val="bg-BG" w:eastAsia="bg-BG"/>
        </w:rPr>
        <w:t xml:space="preserve">Реализирането на целта ще се постигне посредством приложението на следните мерки: </w:t>
      </w:r>
    </w:p>
    <w:p w14:paraId="03782056" w14:textId="77777777" w:rsidR="00FB7CDE" w:rsidRPr="00610B1B" w:rsidRDefault="00B232B2" w:rsidP="00B46189">
      <w:pPr>
        <w:numPr>
          <w:ilvl w:val="0"/>
          <w:numId w:val="64"/>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eastAsia="bg-BG"/>
        </w:rPr>
        <w:t xml:space="preserve">Стимулиране </w:t>
      </w:r>
      <w:r w:rsidR="00826228" w:rsidRPr="00610B1B">
        <w:rPr>
          <w:rFonts w:ascii="Times New Roman" w:hAnsi="Times New Roman" w:cs="Times New Roman"/>
          <w:sz w:val="24"/>
          <w:szCs w:val="24"/>
          <w:lang w:val="bg-BG" w:eastAsia="bg-BG"/>
        </w:rPr>
        <w:t>развитието на научно-изследователска инфраструктура и сътрудничеството между научните организации, публичния и частния сектор</w:t>
      </w:r>
      <w:r w:rsidR="00FB7CDE" w:rsidRPr="00610B1B">
        <w:rPr>
          <w:rFonts w:ascii="Times New Roman" w:hAnsi="Times New Roman" w:cs="Times New Roman"/>
          <w:sz w:val="24"/>
          <w:szCs w:val="24"/>
          <w:lang w:val="bg-BG" w:eastAsia="bg-BG"/>
        </w:rPr>
        <w:t>;</w:t>
      </w:r>
    </w:p>
    <w:p w14:paraId="0FB7A58C" w14:textId="011215B4" w:rsidR="00826228" w:rsidRPr="00610B1B" w:rsidRDefault="00FB7CDE" w:rsidP="00B46189">
      <w:pPr>
        <w:numPr>
          <w:ilvl w:val="0"/>
          <w:numId w:val="64"/>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Подкрепа </w:t>
      </w:r>
      <w:r w:rsidR="00826228" w:rsidRPr="00610B1B">
        <w:rPr>
          <w:rFonts w:ascii="Times New Roman" w:hAnsi="Times New Roman" w:cs="Times New Roman"/>
          <w:sz w:val="24"/>
          <w:szCs w:val="24"/>
          <w:lang w:val="bg-BG"/>
        </w:rPr>
        <w:t>за инвестиции в научноизследователски и иновационни дейности и насърчаване на трансфера на модерни технологии</w:t>
      </w:r>
      <w:r w:rsidRPr="00610B1B">
        <w:rPr>
          <w:rFonts w:ascii="Times New Roman" w:hAnsi="Times New Roman" w:cs="Times New Roman"/>
          <w:sz w:val="24"/>
          <w:szCs w:val="24"/>
          <w:lang w:val="bg-BG"/>
        </w:rPr>
        <w:t xml:space="preserve"> във всички сектори на синята икономика</w:t>
      </w:r>
      <w:r w:rsidR="00826228" w:rsidRPr="00610B1B">
        <w:rPr>
          <w:rFonts w:ascii="Times New Roman" w:hAnsi="Times New Roman" w:cs="Times New Roman"/>
          <w:sz w:val="24"/>
          <w:szCs w:val="24"/>
          <w:lang w:val="bg-BG"/>
        </w:rPr>
        <w:t>;</w:t>
      </w:r>
    </w:p>
    <w:p w14:paraId="621AB17D" w14:textId="77777777" w:rsidR="00B232B2" w:rsidRPr="00610B1B" w:rsidRDefault="00B232B2" w:rsidP="00B46189">
      <w:pPr>
        <w:pStyle w:val="ListParagraph"/>
        <w:numPr>
          <w:ilvl w:val="0"/>
          <w:numId w:val="65"/>
        </w:numPr>
        <w:spacing w:after="120"/>
        <w:ind w:left="709" w:right="-153"/>
        <w:contextualSpacing w:val="0"/>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Създаване </w:t>
      </w:r>
      <w:r w:rsidR="00826228" w:rsidRPr="00610B1B">
        <w:rPr>
          <w:rFonts w:ascii="Times New Roman" w:hAnsi="Times New Roman" w:cs="Times New Roman"/>
          <w:sz w:val="24"/>
          <w:szCs w:val="24"/>
          <w:lang w:val="bg-BG"/>
        </w:rPr>
        <w:t xml:space="preserve">на иновативни стартиращи предприятия, приоритетно с основна дейност във високотехнологичните или средно-високо технологичните сектори на преработващата промишленост и интензивните на знание услуги. </w:t>
      </w:r>
    </w:p>
    <w:p w14:paraId="13569A18" w14:textId="10DB1FB0" w:rsidR="00826228" w:rsidRPr="00610B1B" w:rsidRDefault="00FB7CD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Тези мерки ще бъдат стимулирани в съответствие с </w:t>
      </w:r>
      <w:r w:rsidR="00330627" w:rsidRPr="00610B1B">
        <w:rPr>
          <w:rFonts w:ascii="Times New Roman" w:hAnsi="Times New Roman" w:cs="Times New Roman"/>
          <w:sz w:val="24"/>
          <w:szCs w:val="24"/>
          <w:lang w:val="bg-BG"/>
        </w:rPr>
        <w:t xml:space="preserve">общите и регионални </w:t>
      </w:r>
      <w:r w:rsidRPr="00610B1B">
        <w:rPr>
          <w:rFonts w:ascii="Times New Roman" w:hAnsi="Times New Roman" w:cs="Times New Roman"/>
          <w:sz w:val="24"/>
          <w:szCs w:val="24"/>
          <w:lang w:val="bg-BG"/>
        </w:rPr>
        <w:t xml:space="preserve">приоритети на новата Програма „Иновации и конкурентоспособност“ (2021-2027 г.), </w:t>
      </w:r>
      <w:r w:rsidR="00826228" w:rsidRPr="00610B1B">
        <w:rPr>
          <w:rFonts w:ascii="Times New Roman" w:hAnsi="Times New Roman" w:cs="Times New Roman"/>
          <w:sz w:val="24"/>
          <w:szCs w:val="24"/>
          <w:lang w:val="bg-BG"/>
        </w:rPr>
        <w:t>Иновационната стратегия за интелигентна специализация 20</w:t>
      </w:r>
      <w:r w:rsidR="00330627" w:rsidRPr="00610B1B">
        <w:rPr>
          <w:rFonts w:ascii="Times New Roman" w:hAnsi="Times New Roman" w:cs="Times New Roman"/>
          <w:sz w:val="24"/>
          <w:szCs w:val="24"/>
          <w:lang w:val="bg-BG"/>
        </w:rPr>
        <w:t>14</w:t>
      </w:r>
      <w:r w:rsidR="00826228" w:rsidRPr="00610B1B">
        <w:rPr>
          <w:rFonts w:ascii="Times New Roman" w:hAnsi="Times New Roman" w:cs="Times New Roman"/>
          <w:sz w:val="24"/>
          <w:szCs w:val="24"/>
          <w:lang w:val="bg-BG"/>
        </w:rPr>
        <w:t>–202</w:t>
      </w:r>
      <w:r w:rsidR="00330627" w:rsidRPr="00610B1B">
        <w:rPr>
          <w:rFonts w:ascii="Times New Roman" w:hAnsi="Times New Roman" w:cs="Times New Roman"/>
          <w:sz w:val="24"/>
          <w:szCs w:val="24"/>
          <w:lang w:val="bg-BG"/>
        </w:rPr>
        <w:t xml:space="preserve">0 и </w:t>
      </w:r>
      <w:r w:rsidR="00B23091" w:rsidRPr="00610B1B">
        <w:rPr>
          <w:rFonts w:ascii="Times New Roman" w:hAnsi="Times New Roman" w:cs="Times New Roman"/>
          <w:sz w:val="24"/>
          <w:szCs w:val="24"/>
          <w:lang w:val="bg-BG"/>
        </w:rPr>
        <w:t xml:space="preserve">препоръките на </w:t>
      </w:r>
      <w:r w:rsidR="00330627" w:rsidRPr="00610B1B">
        <w:rPr>
          <w:rFonts w:ascii="Times New Roman" w:hAnsi="Times New Roman" w:cs="Times New Roman"/>
          <w:sz w:val="24"/>
          <w:szCs w:val="24"/>
          <w:lang w:val="bg-BG"/>
        </w:rPr>
        <w:t>Междинна</w:t>
      </w:r>
      <w:r w:rsidR="00B23091" w:rsidRPr="00610B1B">
        <w:rPr>
          <w:rFonts w:ascii="Times New Roman" w:hAnsi="Times New Roman" w:cs="Times New Roman"/>
          <w:sz w:val="24"/>
          <w:szCs w:val="24"/>
          <w:lang w:val="bg-BG"/>
        </w:rPr>
        <w:t>та</w:t>
      </w:r>
      <w:r w:rsidR="00DE3A13" w:rsidRPr="00610B1B">
        <w:rPr>
          <w:rFonts w:ascii="Times New Roman" w:hAnsi="Times New Roman" w:cs="Times New Roman"/>
          <w:sz w:val="24"/>
          <w:szCs w:val="24"/>
          <w:lang w:val="bg-BG"/>
        </w:rPr>
        <w:t xml:space="preserve"> ѝ</w:t>
      </w:r>
      <w:r w:rsidR="00D66FE0" w:rsidRPr="00610B1B">
        <w:rPr>
          <w:rFonts w:ascii="Times New Roman" w:hAnsi="Times New Roman" w:cs="Times New Roman"/>
          <w:sz w:val="24"/>
          <w:szCs w:val="24"/>
          <w:lang w:val="bg-BG"/>
        </w:rPr>
        <w:t xml:space="preserve"> </w:t>
      </w:r>
      <w:r w:rsidR="00330627" w:rsidRPr="00610B1B">
        <w:rPr>
          <w:rFonts w:ascii="Times New Roman" w:hAnsi="Times New Roman" w:cs="Times New Roman"/>
          <w:sz w:val="24"/>
          <w:szCs w:val="24"/>
          <w:lang w:val="bg-BG"/>
        </w:rPr>
        <w:t>оценка</w:t>
      </w:r>
      <w:r w:rsidR="00B232B2" w:rsidRPr="00610B1B">
        <w:rPr>
          <w:rStyle w:val="FootnoteReference"/>
          <w:rFonts w:ascii="Times New Roman" w:hAnsi="Times New Roman" w:cs="Times New Roman"/>
          <w:sz w:val="24"/>
          <w:szCs w:val="24"/>
          <w:lang w:val="bg-BG"/>
        </w:rPr>
        <w:footnoteReference w:id="180"/>
      </w:r>
      <w:r w:rsidR="00826228" w:rsidRPr="00610B1B">
        <w:rPr>
          <w:rFonts w:ascii="Times New Roman" w:hAnsi="Times New Roman" w:cs="Times New Roman"/>
          <w:sz w:val="24"/>
          <w:szCs w:val="24"/>
          <w:lang w:val="bg-BG"/>
        </w:rPr>
        <w:t xml:space="preserve"> </w:t>
      </w:r>
      <w:r w:rsidR="00B232B2" w:rsidRPr="00610B1B">
        <w:rPr>
          <w:rFonts w:ascii="Times New Roman" w:hAnsi="Times New Roman" w:cs="Times New Roman"/>
          <w:sz w:val="24"/>
          <w:szCs w:val="24"/>
          <w:lang w:val="bg-BG"/>
        </w:rPr>
        <w:t xml:space="preserve">и предвижданията на Национална стратегия за развитие на научните изследвания в Република България 2017–2030. </w:t>
      </w:r>
      <w:r w:rsidR="00B23091" w:rsidRPr="00610B1B">
        <w:rPr>
          <w:rFonts w:ascii="Times New Roman" w:hAnsi="Times New Roman" w:cs="Times New Roman"/>
          <w:sz w:val="24"/>
          <w:szCs w:val="24"/>
          <w:lang w:val="bg-BG"/>
        </w:rPr>
        <w:t>„</w:t>
      </w:r>
      <w:r w:rsidR="00B232B2" w:rsidRPr="00610B1B">
        <w:rPr>
          <w:rFonts w:ascii="Times New Roman" w:hAnsi="Times New Roman" w:cs="Times New Roman"/>
          <w:sz w:val="24"/>
          <w:szCs w:val="24"/>
          <w:lang w:val="bg-BG"/>
        </w:rPr>
        <w:t>По-добра наука за по-добра България</w:t>
      </w:r>
      <w:r w:rsidR="00B23091" w:rsidRPr="00610B1B">
        <w:rPr>
          <w:rFonts w:ascii="Times New Roman" w:hAnsi="Times New Roman" w:cs="Times New Roman"/>
          <w:sz w:val="24"/>
          <w:szCs w:val="24"/>
          <w:lang w:val="bg-BG"/>
        </w:rPr>
        <w:t>“</w:t>
      </w:r>
      <w:r w:rsidR="00330627" w:rsidRPr="00610B1B">
        <w:rPr>
          <w:rFonts w:ascii="Times New Roman" w:hAnsi="Times New Roman" w:cs="Times New Roman"/>
          <w:sz w:val="24"/>
          <w:szCs w:val="24"/>
          <w:lang w:val="bg-BG"/>
        </w:rPr>
        <w:t>.</w:t>
      </w:r>
      <w:r w:rsidR="00B232B2" w:rsidRPr="00610B1B">
        <w:rPr>
          <w:rStyle w:val="FootnoteReference"/>
          <w:rFonts w:ascii="Times New Roman" w:hAnsi="Times New Roman" w:cs="Times New Roman"/>
          <w:sz w:val="24"/>
          <w:szCs w:val="24"/>
          <w:lang w:val="bg-BG"/>
        </w:rPr>
        <w:footnoteReference w:id="181"/>
      </w:r>
    </w:p>
    <w:p w14:paraId="285B1732" w14:textId="77777777" w:rsidR="003416A7" w:rsidRPr="00610B1B" w:rsidRDefault="003416A7" w:rsidP="00D32D6A">
      <w:pPr>
        <w:spacing w:after="120"/>
        <w:ind w:right="-153"/>
        <w:jc w:val="both"/>
        <w:rPr>
          <w:rFonts w:ascii="Times New Roman" w:eastAsia="Calibri" w:hAnsi="Times New Roman" w:cs="Times New Roman"/>
          <w:b/>
          <w:i/>
          <w:sz w:val="24"/>
          <w:szCs w:val="24"/>
          <w:lang w:val="bg-BG" w:eastAsia="bg-BG"/>
        </w:rPr>
      </w:pPr>
      <w:r w:rsidRPr="00610B1B">
        <w:rPr>
          <w:rFonts w:ascii="Times New Roman" w:eastAsia="Calibri" w:hAnsi="Times New Roman" w:cs="Times New Roman"/>
          <w:b/>
          <w:i/>
          <w:sz w:val="24"/>
          <w:szCs w:val="24"/>
          <w:lang w:val="bg-BG"/>
        </w:rPr>
        <w:t xml:space="preserve">Специфична цел 3.3. </w:t>
      </w:r>
      <w:r w:rsidRPr="00610B1B">
        <w:rPr>
          <w:rFonts w:ascii="Times New Roman" w:eastAsia="Calibri" w:hAnsi="Times New Roman" w:cs="Times New Roman"/>
          <w:b/>
          <w:i/>
          <w:sz w:val="24"/>
          <w:szCs w:val="24"/>
          <w:lang w:val="bg-BG" w:eastAsia="bg-BG"/>
        </w:rPr>
        <w:t xml:space="preserve">Изграждане на база от знания и иновации за морска политика </w:t>
      </w:r>
    </w:p>
    <w:p w14:paraId="499590FC" w14:textId="48FCFFAC" w:rsidR="003416A7" w:rsidRPr="00610B1B" w:rsidRDefault="003416A7" w:rsidP="00D32D6A">
      <w:pPr>
        <w:spacing w:after="120"/>
        <w:ind w:right="-153"/>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Тази цел е израз на единната европейска стратегия за мореплавателски и морски изследвания и естествено продължение на Седма рамкова програма за научни изследвания – в частта за интегриран подход към морското дело. Целта ще се реализира и чрез новата Рамковата програма за научни изследвания и технологично развитие, финансираща съвместни междусекторни проекти за иновации в синята икономика. Съществена подкрепа ще получат и научните изследвания на изменението на климата и последиците от него за морските дейности, околната среда, крайбрежните райони и островите. Базата от знания и иновации за морската политика има международен характер и е израз на европейското партньорство в морските науки с цел диалог между научната общност, синята икономика и политическите среди.</w:t>
      </w:r>
    </w:p>
    <w:p w14:paraId="2CE93610" w14:textId="7DAF9039" w:rsidR="003416A7" w:rsidRPr="00610B1B" w:rsidRDefault="003416A7" w:rsidP="00D32D6A">
      <w:pPr>
        <w:spacing w:after="120"/>
        <w:ind w:right="-153"/>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Мерките, които съпътстват изпълнението на тази специфична цел са следните:</w:t>
      </w:r>
    </w:p>
    <w:p w14:paraId="5F331D2A" w14:textId="0B793C5E" w:rsidR="00826228" w:rsidRPr="00610B1B" w:rsidRDefault="00FB7CDE" w:rsidP="00B46189">
      <w:pPr>
        <w:numPr>
          <w:ilvl w:val="0"/>
          <w:numId w:val="65"/>
        </w:numPr>
        <w:spacing w:after="120"/>
        <w:ind w:right="-153"/>
        <w:jc w:val="both"/>
        <w:rPr>
          <w:rFonts w:ascii="Times New Roman" w:hAnsi="Times New Roman" w:cs="Times New Roman"/>
          <w:sz w:val="24"/>
          <w:szCs w:val="24"/>
          <w:lang w:val="bg-BG" w:eastAsia="bg-BG"/>
        </w:rPr>
      </w:pPr>
      <w:r w:rsidRPr="00610B1B">
        <w:rPr>
          <w:rFonts w:ascii="Times New Roman" w:hAnsi="Times New Roman" w:cs="Times New Roman"/>
          <w:sz w:val="24"/>
          <w:szCs w:val="24"/>
          <w:lang w:val="bg-BG" w:eastAsia="bg-BG"/>
        </w:rPr>
        <w:t xml:space="preserve">Валидиране </w:t>
      </w:r>
      <w:r w:rsidR="00826228" w:rsidRPr="00610B1B">
        <w:rPr>
          <w:rFonts w:ascii="Times New Roman" w:hAnsi="Times New Roman" w:cs="Times New Roman"/>
          <w:sz w:val="24"/>
          <w:szCs w:val="24"/>
          <w:lang w:val="bg-BG" w:eastAsia="bg-BG"/>
        </w:rPr>
        <w:t xml:space="preserve">на знания, умения и компетентности. </w:t>
      </w:r>
    </w:p>
    <w:p w14:paraId="533CDDE8" w14:textId="42003FF0" w:rsidR="00826228" w:rsidRPr="00610B1B" w:rsidRDefault="00F2671E" w:rsidP="00B46189">
      <w:pPr>
        <w:pStyle w:val="ListParagraph"/>
        <w:numPr>
          <w:ilvl w:val="0"/>
          <w:numId w:val="65"/>
        </w:numPr>
        <w:spacing w:after="120"/>
        <w:ind w:right="-153"/>
        <w:contextualSpacing w:val="0"/>
        <w:jc w:val="both"/>
        <w:rPr>
          <w:rFonts w:ascii="Times New Roman" w:eastAsia="Calibri" w:hAnsi="Times New Roman" w:cs="Times New Roman"/>
          <w:sz w:val="24"/>
          <w:szCs w:val="24"/>
          <w:lang w:val="bg-BG" w:eastAsia="bg-BG"/>
        </w:rPr>
      </w:pPr>
      <w:r w:rsidRPr="00610B1B">
        <w:rPr>
          <w:rFonts w:ascii="Times New Roman" w:eastAsia="Calibri" w:hAnsi="Times New Roman" w:cs="Times New Roman"/>
          <w:sz w:val="24"/>
          <w:szCs w:val="24"/>
          <w:lang w:val="bg-BG" w:eastAsia="bg-BG"/>
        </w:rPr>
        <w:t>Извеждане на национална програма „Море“</w:t>
      </w:r>
    </w:p>
    <w:p w14:paraId="09E7F9C1" w14:textId="07F2E0BD" w:rsidR="003416A7" w:rsidRPr="00610B1B" w:rsidRDefault="003416A7" w:rsidP="00D32D6A">
      <w:pPr>
        <w:spacing w:after="120"/>
        <w:ind w:right="-153"/>
        <w:jc w:val="both"/>
        <w:rPr>
          <w:rFonts w:ascii="Times New Roman" w:eastAsia="Calibri" w:hAnsi="Times New Roman" w:cs="Times New Roman"/>
          <w:b/>
          <w:i/>
          <w:sz w:val="24"/>
          <w:szCs w:val="24"/>
          <w:lang w:val="bg-BG"/>
        </w:rPr>
      </w:pPr>
      <w:r w:rsidRPr="00610B1B">
        <w:rPr>
          <w:rFonts w:ascii="Times New Roman" w:eastAsia="Calibri" w:hAnsi="Times New Roman" w:cs="Times New Roman"/>
          <w:b/>
          <w:i/>
          <w:sz w:val="24"/>
          <w:szCs w:val="24"/>
          <w:lang w:val="bg-BG"/>
        </w:rPr>
        <w:t xml:space="preserve">Специфична цел 3.4. Повишаване на екологичното възпитание и знание за морето </w:t>
      </w:r>
    </w:p>
    <w:p w14:paraId="0BA47054" w14:textId="0391E8AF" w:rsidR="003416A7" w:rsidRPr="00610B1B" w:rsidRDefault="0049452E"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Превръщането на знанията в отношение, на отношенията в </w:t>
      </w:r>
      <w:r w:rsidR="00330627" w:rsidRPr="00610B1B">
        <w:rPr>
          <w:rFonts w:ascii="Times New Roman" w:hAnsi="Times New Roman" w:cs="Times New Roman"/>
          <w:sz w:val="24"/>
          <w:szCs w:val="24"/>
          <w:lang w:val="bg-BG"/>
        </w:rPr>
        <w:t>социално поведение</w:t>
      </w:r>
      <w:r w:rsidRPr="00610B1B">
        <w:rPr>
          <w:rFonts w:ascii="Times New Roman" w:hAnsi="Times New Roman" w:cs="Times New Roman"/>
          <w:sz w:val="24"/>
          <w:szCs w:val="24"/>
          <w:lang w:val="bg-BG"/>
        </w:rPr>
        <w:t xml:space="preserve"> и оттам формирането на активна жизнена позиция на личността към околната среда се осъществява в екологичното образование</w:t>
      </w:r>
      <w:r w:rsidR="00D32A44" w:rsidRPr="00610B1B">
        <w:rPr>
          <w:rFonts w:ascii="Times New Roman" w:hAnsi="Times New Roman" w:cs="Times New Roman"/>
          <w:sz w:val="24"/>
          <w:szCs w:val="24"/>
          <w:lang w:val="bg-BG"/>
        </w:rPr>
        <w:t xml:space="preserve"> и чрез повишаване на екологичното възпитание </w:t>
      </w:r>
      <w:r w:rsidR="00D32A44" w:rsidRPr="00610B1B">
        <w:rPr>
          <w:rFonts w:ascii="Times New Roman" w:hAnsi="Times New Roman" w:cs="Times New Roman"/>
          <w:sz w:val="24"/>
          <w:szCs w:val="24"/>
          <w:lang w:val="bg-BG"/>
        </w:rPr>
        <w:lastRenderedPageBreak/>
        <w:t>и знание за морето. Процесът трябва да обхваща всички възрасти, като се започне от децата, бъдещите ползватели и пазители на морето.</w:t>
      </w:r>
    </w:p>
    <w:p w14:paraId="0F9845B0" w14:textId="36F71647" w:rsidR="00330627" w:rsidRPr="00610B1B" w:rsidRDefault="00330627" w:rsidP="00D32D6A">
      <w:pPr>
        <w:spacing w:after="120"/>
        <w:ind w:right="-153"/>
        <w:jc w:val="both"/>
        <w:rPr>
          <w:rFonts w:ascii="Times New Roman" w:eastAsia="Calibri" w:hAnsi="Times New Roman" w:cs="Times New Roman"/>
          <w:sz w:val="24"/>
          <w:szCs w:val="24"/>
          <w:lang w:val="bg-BG" w:eastAsia="bg-BG"/>
        </w:rPr>
      </w:pPr>
      <w:r w:rsidRPr="00610B1B">
        <w:rPr>
          <w:rFonts w:ascii="Times New Roman" w:hAnsi="Times New Roman" w:cs="Times New Roman"/>
          <w:sz w:val="24"/>
          <w:szCs w:val="24"/>
          <w:lang w:val="bg-BG"/>
        </w:rPr>
        <w:t>Постигането на специ</w:t>
      </w:r>
      <w:r w:rsidR="00491157" w:rsidRPr="00610B1B">
        <w:rPr>
          <w:rFonts w:ascii="Times New Roman" w:hAnsi="Times New Roman" w:cs="Times New Roman"/>
          <w:sz w:val="24"/>
          <w:szCs w:val="24"/>
          <w:lang w:val="bg-BG"/>
        </w:rPr>
        <w:t>ф</w:t>
      </w:r>
      <w:r w:rsidRPr="00610B1B">
        <w:rPr>
          <w:rFonts w:ascii="Times New Roman" w:hAnsi="Times New Roman" w:cs="Times New Roman"/>
          <w:sz w:val="24"/>
          <w:szCs w:val="24"/>
          <w:lang w:val="bg-BG"/>
        </w:rPr>
        <w:t>ичната цел се осъществява</w:t>
      </w:r>
      <w:r w:rsidR="00491157" w:rsidRPr="00610B1B">
        <w:rPr>
          <w:rFonts w:ascii="Times New Roman" w:hAnsi="Times New Roman" w:cs="Times New Roman"/>
          <w:sz w:val="24"/>
          <w:szCs w:val="24"/>
          <w:lang w:val="bg-BG"/>
        </w:rPr>
        <w:t xml:space="preserve"> с участието на всички заинтересовани страни, мерките са адресирани към всички социални и възрастови групи, прилагат</w:t>
      </w:r>
      <w:r w:rsidR="00283192" w:rsidRPr="00610B1B">
        <w:rPr>
          <w:rFonts w:ascii="Times New Roman" w:hAnsi="Times New Roman" w:cs="Times New Roman"/>
          <w:sz w:val="24"/>
          <w:szCs w:val="24"/>
          <w:lang w:val="bg-BG"/>
        </w:rPr>
        <w:t xml:space="preserve"> се</w:t>
      </w:r>
      <w:r w:rsidR="00491157" w:rsidRPr="00610B1B">
        <w:rPr>
          <w:rFonts w:ascii="Times New Roman" w:hAnsi="Times New Roman" w:cs="Times New Roman"/>
          <w:sz w:val="24"/>
          <w:szCs w:val="24"/>
          <w:lang w:val="bg-BG"/>
        </w:rPr>
        <w:t xml:space="preserve"> съвременни технологии, инструменти и платформи за обмен на знания и идеи. Те се интегрират с приоритетите и целите в политиките по опазването на околната среда, съхраняването и експонирането на културното наследство, адаптирането към изменението на климата и изграждането на устойчивата и сигурна среда на познанието.</w:t>
      </w:r>
      <w:r w:rsidR="00C415D1" w:rsidRPr="00610B1B">
        <w:rPr>
          <w:rFonts w:ascii="Times New Roman" w:hAnsi="Times New Roman" w:cs="Times New Roman"/>
          <w:sz w:val="24"/>
          <w:szCs w:val="24"/>
          <w:lang w:val="bg-BG"/>
        </w:rPr>
        <w:t xml:space="preserve"> </w:t>
      </w:r>
    </w:p>
    <w:p w14:paraId="307C117C" w14:textId="77777777" w:rsidR="00F37D59" w:rsidRPr="00610B1B" w:rsidRDefault="00F37D59" w:rsidP="00D32D6A">
      <w:pPr>
        <w:spacing w:after="120"/>
        <w:ind w:right="-153"/>
        <w:jc w:val="both"/>
        <w:rPr>
          <w:rFonts w:ascii="Times New Roman" w:eastAsia="Calibri" w:hAnsi="Times New Roman" w:cs="Times New Roman"/>
          <w:sz w:val="12"/>
          <w:szCs w:val="12"/>
          <w:lang w:val="bg-BG"/>
        </w:rPr>
      </w:pPr>
    </w:p>
    <w:p w14:paraId="5CBB4BA6" w14:textId="77777777" w:rsidR="00442579" w:rsidRPr="00610B1B" w:rsidRDefault="00442579" w:rsidP="003F3C59">
      <w:pPr>
        <w:shd w:val="clear" w:color="auto" w:fill="BEE6F0"/>
        <w:spacing w:after="120"/>
        <w:ind w:right="-153"/>
        <w:jc w:val="both"/>
        <w:rPr>
          <w:rFonts w:ascii="Times New Roman" w:eastAsia="Calibri" w:hAnsi="Times New Roman" w:cs="Times New Roman"/>
          <w:b/>
          <w:sz w:val="24"/>
          <w:szCs w:val="24"/>
          <w:lang w:val="bg-BG"/>
        </w:rPr>
      </w:pPr>
      <w:r w:rsidRPr="00610B1B">
        <w:rPr>
          <w:rFonts w:ascii="Times New Roman" w:eastAsia="Calibri" w:hAnsi="Times New Roman" w:cs="Times New Roman"/>
          <w:b/>
          <w:sz w:val="24"/>
          <w:szCs w:val="24"/>
          <w:lang w:val="bg-BG"/>
        </w:rPr>
        <w:t>Стратегическа цел 4: Международно и регионално сътрудничество за опазване и ползване на черноморските ресурси</w:t>
      </w:r>
    </w:p>
    <w:p w14:paraId="1DC90147" w14:textId="7274CED8" w:rsidR="002C575F" w:rsidRPr="00610B1B" w:rsidRDefault="002C575F" w:rsidP="00D32D6A">
      <w:pPr>
        <w:widowControl w:val="0"/>
        <w:spacing w:after="120"/>
        <w:jc w:val="both"/>
        <w:rPr>
          <w:rFonts w:ascii="Times New Roman" w:eastAsia="Times New Roman" w:hAnsi="Times New Roman" w:cs="Times New Roman"/>
          <w:sz w:val="24"/>
          <w:szCs w:val="24"/>
          <w:lang w:val="bg-BG" w:eastAsia="zh-CN" w:bidi="hi-IN"/>
        </w:rPr>
      </w:pPr>
      <w:r w:rsidRPr="00610B1B">
        <w:rPr>
          <w:rFonts w:ascii="Times New Roman" w:eastAsia="Times New Roman" w:hAnsi="Times New Roman" w:cs="Times New Roman"/>
          <w:sz w:val="24"/>
          <w:szCs w:val="24"/>
          <w:lang w:val="bg-BG" w:eastAsia="zh-CN" w:bidi="hi-IN"/>
        </w:rPr>
        <w:t>Според предложения Нулев проект на рамка за биологичното разнообразие след 2020 г. (CBD, 2020) е необходимо до 2030 г. поне 30% от сушата и морето да бъдат защитени. Европейският съюз поставя същата обща цел за опазване на биоразнообразието (</w:t>
      </w:r>
      <w:r w:rsidRPr="00610B1B">
        <w:rPr>
          <w:rFonts w:ascii="Times New Roman" w:eastAsia="Times New Roman" w:hAnsi="Times New Roman" w:cs="Times New Roman"/>
          <w:i/>
          <w:sz w:val="24"/>
          <w:szCs w:val="24"/>
          <w:lang w:val="bg-BG" w:eastAsia="zh-CN" w:bidi="hi-IN"/>
        </w:rPr>
        <w:t>EU Biodiversity Strategy for 2030</w:t>
      </w:r>
      <w:r w:rsidRPr="00610B1B">
        <w:rPr>
          <w:rFonts w:ascii="Times New Roman" w:eastAsia="Times New Roman" w:hAnsi="Times New Roman" w:cs="Times New Roman"/>
          <w:sz w:val="24"/>
          <w:szCs w:val="24"/>
          <w:lang w:val="bg-BG" w:eastAsia="zh-CN" w:bidi="hi-IN"/>
        </w:rPr>
        <w:t>, n.d.). Тази цел надгражда досега съществуващата цел 14.5 за защита на поне 10% от крайбрежните и морски пространства (United Nations, 2015). Понастоящем, около 7.8% от морските пространства на Република България се намират в защитени зони от НЕМ Натура 2000.</w:t>
      </w:r>
    </w:p>
    <w:p w14:paraId="1B97E70D" w14:textId="37462583" w:rsidR="003B6F94" w:rsidRPr="00610B1B" w:rsidRDefault="00444977" w:rsidP="00D32D6A">
      <w:pPr>
        <w:widowControl w:val="0"/>
        <w:spacing w:after="120"/>
        <w:jc w:val="both"/>
        <w:rPr>
          <w:rFonts w:ascii="Times New Roman" w:eastAsia="Calibri" w:hAnsi="Times New Roman" w:cs="Times New Roman"/>
          <w:color w:val="000000" w:themeColor="text1"/>
          <w:sz w:val="24"/>
          <w:szCs w:val="24"/>
          <w:lang w:val="bg-BG"/>
        </w:rPr>
      </w:pPr>
      <w:r w:rsidRPr="00610B1B">
        <w:rPr>
          <w:rFonts w:ascii="Times New Roman" w:eastAsia="Times New Roman" w:hAnsi="Times New Roman" w:cs="Times New Roman"/>
          <w:sz w:val="24"/>
          <w:szCs w:val="24"/>
          <w:lang w:val="bg-BG" w:eastAsia="zh-CN" w:bidi="hi-IN"/>
        </w:rPr>
        <w:t>Опазването на ресурсите и на биологичното разнообразие в Черноморския регион изисква съвместни усилия на държавите в региона и на институц</w:t>
      </w:r>
      <w:r w:rsidRPr="00610B1B">
        <w:rPr>
          <w:rFonts w:ascii="Times New Roman" w:eastAsia="Times New Roman" w:hAnsi="Times New Roman" w:cs="Times New Roman"/>
          <w:color w:val="00000A"/>
          <w:sz w:val="24"/>
          <w:szCs w:val="24"/>
          <w:lang w:val="bg-BG" w:eastAsia="zh-CN" w:bidi="hi-IN"/>
        </w:rPr>
        <w:t>иите в тях, поради което целите от тези документи са обвързани с темата за международното сътрудничество. Т</w:t>
      </w:r>
      <w:r w:rsidR="00F37D59" w:rsidRPr="00610B1B">
        <w:rPr>
          <w:rFonts w:ascii="Times New Roman" w:eastAsia="Calibri" w:hAnsi="Times New Roman" w:cs="Times New Roman"/>
          <w:color w:val="000000" w:themeColor="text1"/>
          <w:sz w:val="24"/>
          <w:szCs w:val="24"/>
          <w:lang w:val="bg-BG"/>
        </w:rPr>
        <w:t xml:space="preserve">ова сътрудничество се очаква да се задълбочи и разшири с всички страни от Черноморския регион. </w:t>
      </w:r>
      <w:r w:rsidR="003B6F94" w:rsidRPr="00610B1B">
        <w:rPr>
          <w:rFonts w:ascii="Times New Roman" w:eastAsia="Calibri" w:hAnsi="Times New Roman" w:cs="Times New Roman"/>
          <w:color w:val="000000" w:themeColor="text1"/>
          <w:sz w:val="24"/>
          <w:szCs w:val="24"/>
          <w:lang w:val="bg-BG"/>
        </w:rPr>
        <w:t xml:space="preserve">То ще следва приоритетите на изпълняваните в момента програми за </w:t>
      </w:r>
      <w:r w:rsidR="00491157" w:rsidRPr="00610B1B">
        <w:rPr>
          <w:rFonts w:ascii="Times New Roman" w:eastAsia="Calibri" w:hAnsi="Times New Roman" w:cs="Times New Roman"/>
          <w:color w:val="000000" w:themeColor="text1"/>
          <w:sz w:val="24"/>
          <w:szCs w:val="24"/>
          <w:lang w:val="bg-BG"/>
        </w:rPr>
        <w:t xml:space="preserve">Черноморския </w:t>
      </w:r>
      <w:r w:rsidR="003B6F94" w:rsidRPr="00610B1B">
        <w:rPr>
          <w:rFonts w:ascii="Times New Roman" w:eastAsia="Calibri" w:hAnsi="Times New Roman" w:cs="Times New Roman"/>
          <w:color w:val="000000" w:themeColor="text1"/>
          <w:sz w:val="24"/>
          <w:szCs w:val="24"/>
          <w:lang w:val="bg-BG"/>
        </w:rPr>
        <w:t xml:space="preserve">регион, както и документите на активните институции за коопериране в областта на инфраструктурите, научните изследвания, технологичното развитие, опазването на околната среда и иновациите. Ще се подпомагат съвместни действия за насърчаване на прехода към кръгова икономика, изграждане на капацитет на заинтересованите страни, кампании за повишаване на осведомеността за насърчаване на устойчиви практики и поведение. </w:t>
      </w:r>
    </w:p>
    <w:p w14:paraId="2D87A954" w14:textId="598980E3" w:rsidR="003B6F94" w:rsidRPr="00610B1B" w:rsidRDefault="003B6F94"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Пренасяйки целите на съвместната оперативна програма за трансгранично сътрудничество „Черноморски басейн 2014-2020“, МППРБ потвърждава необходимостта от насърчаване на бизнеса и предприемачеството в сферата на туризма и културата, на търговията и модернизацията на селското стопанство и свързаните сектори, на съвместния мониторинг на околната среда и управлението на морските отпадъци. Програмата е от изключителна важност за страната поради факта, че само две от шестте страни, с излаз на Черно море са членки на ЕС. Тя се изпълнява паралелно с дейностите по приложение на Рамковата директива за морска стратегия, които имат за цел подобряване на екологичния статус на морската среда.</w:t>
      </w:r>
      <w:r w:rsidR="00D66FE0" w:rsidRPr="00610B1B">
        <w:rPr>
          <w:rFonts w:ascii="Times New Roman" w:eastAsia="Calibri" w:hAnsi="Times New Roman" w:cs="Times New Roman"/>
          <w:color w:val="000000" w:themeColor="text1"/>
          <w:sz w:val="24"/>
          <w:szCs w:val="24"/>
          <w:lang w:val="bg-BG"/>
        </w:rPr>
        <w:t xml:space="preserve"> </w:t>
      </w:r>
    </w:p>
    <w:p w14:paraId="4877B98E" w14:textId="1032A85D" w:rsidR="003B6F94" w:rsidRPr="00610B1B" w:rsidRDefault="003B6F94"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От стратегическа важност за развитието не само на черноморското крайбрежие, но и на дълбокия хинтерланд е проектирането и изграждането на АМ „Черно море“. Предложението е тази магистрала да продължи като първокласен четирилентов път на север от Варна до Шабла с връзка към Констанца и Тулча, а на юг от Бургас – до Созопол </w:t>
      </w:r>
      <w:r w:rsidRPr="00610B1B">
        <w:rPr>
          <w:rFonts w:ascii="Times New Roman" w:eastAsia="Calibri" w:hAnsi="Times New Roman" w:cs="Times New Roman"/>
          <w:color w:val="000000" w:themeColor="text1"/>
          <w:sz w:val="24"/>
          <w:szCs w:val="24"/>
          <w:lang w:val="bg-BG"/>
        </w:rPr>
        <w:lastRenderedPageBreak/>
        <w:t>и Резово с връзка към Демиркьой и Истанбул. Така ще се подобри свързаността и ще се създадат условия за валоризиране на специфичните потенциали на черноморското крайбрежие -</w:t>
      </w:r>
      <w:r w:rsidR="00596BC1" w:rsidRPr="00610B1B">
        <w:rPr>
          <w:rFonts w:ascii="Times New Roman" w:eastAsia="Calibri" w:hAnsi="Times New Roman" w:cs="Times New Roman"/>
          <w:color w:val="000000" w:themeColor="text1"/>
          <w:sz w:val="24"/>
          <w:szCs w:val="24"/>
          <w:lang w:val="bg-BG"/>
        </w:rPr>
        <w:t xml:space="preserve"> </w:t>
      </w:r>
      <w:r w:rsidRPr="00610B1B">
        <w:rPr>
          <w:rFonts w:ascii="Times New Roman" w:eastAsia="Calibri" w:hAnsi="Times New Roman" w:cs="Times New Roman"/>
          <w:color w:val="000000" w:themeColor="text1"/>
          <w:sz w:val="24"/>
          <w:szCs w:val="24"/>
          <w:lang w:val="bg-BG"/>
        </w:rPr>
        <w:t xml:space="preserve">туризъм, синя индустрия, пулсиращи трудови пазари, пулсираща търговия, специфичния атрактивен ресурс на “Via Pontica”. </w:t>
      </w:r>
    </w:p>
    <w:p w14:paraId="359C4327" w14:textId="79190412" w:rsidR="003B6F94" w:rsidRPr="00610B1B" w:rsidRDefault="003B6F94" w:rsidP="00D32D6A">
      <w:pPr>
        <w:spacing w:after="120"/>
        <w:ind w:right="-153"/>
        <w:jc w:val="both"/>
        <w:rPr>
          <w:rFonts w:ascii="Times New Roman" w:eastAsia="Calibri" w:hAnsi="Times New Roman" w:cs="Times New Roman"/>
          <w:b/>
          <w:bCs/>
          <w:i/>
          <w:iCs/>
          <w:color w:val="000000" w:themeColor="text1"/>
          <w:sz w:val="24"/>
          <w:szCs w:val="24"/>
          <w:lang w:val="bg-BG"/>
        </w:rPr>
      </w:pPr>
      <w:r w:rsidRPr="00610B1B">
        <w:rPr>
          <w:rFonts w:ascii="Times New Roman" w:eastAsia="Calibri" w:hAnsi="Times New Roman" w:cs="Times New Roman"/>
          <w:b/>
          <w:bCs/>
          <w:i/>
          <w:iCs/>
          <w:color w:val="000000" w:themeColor="text1"/>
          <w:sz w:val="24"/>
          <w:szCs w:val="24"/>
          <w:lang w:val="bg-BG"/>
        </w:rPr>
        <w:t xml:space="preserve">Специфична цел 4.1. Сътрудничество за намаляване нивата на замърсителите до безвредни за морските екосистеми стойности </w:t>
      </w:r>
    </w:p>
    <w:p w14:paraId="6114B42D" w14:textId="77777777" w:rsidR="000B5FFA" w:rsidRPr="00610B1B" w:rsidRDefault="000B5FFA"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Тази специфична цел е възможно да бъде постигната посредством изпълнението на следните мерки, значителна част от които в условията на трансгранично сътрудничество:</w:t>
      </w:r>
    </w:p>
    <w:p w14:paraId="497876B1" w14:textId="01381BD3" w:rsidR="000B5FFA" w:rsidRPr="00610B1B" w:rsidRDefault="000B5FFA" w:rsidP="00B46189">
      <w:pPr>
        <w:pStyle w:val="ListParagraph"/>
        <w:numPr>
          <w:ilvl w:val="0"/>
          <w:numId w:val="68"/>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color w:val="000000" w:themeColor="text1"/>
          <w:sz w:val="24"/>
          <w:szCs w:val="24"/>
          <w:lang w:val="bg-BG"/>
        </w:rPr>
        <w:t xml:space="preserve">Намаляване на нивата на всички видове замърсители до стойности, които не са вредни за морските екосистеми, чрез предотвратяване на </w:t>
      </w:r>
      <w:r w:rsidRPr="00610B1B">
        <w:rPr>
          <w:rFonts w:ascii="Times New Roman" w:eastAsia="Calibri" w:hAnsi="Times New Roman" w:cs="Times New Roman"/>
          <w:sz w:val="24"/>
          <w:szCs w:val="24"/>
          <w:lang w:val="bg-BG"/>
        </w:rPr>
        <w:t>инциденти, съгласувано и ефективно управление на наземните източници на замърсяване и индустриалните дейности в крайбрежните зони и шелфа</w:t>
      </w:r>
      <w:r w:rsidR="00DE1E57" w:rsidRPr="00610B1B">
        <w:rPr>
          <w:rFonts w:ascii="Times New Roman" w:eastAsia="Calibri" w:hAnsi="Times New Roman" w:cs="Times New Roman"/>
          <w:sz w:val="24"/>
          <w:szCs w:val="24"/>
          <w:lang w:val="bg-BG"/>
        </w:rPr>
        <w:t xml:space="preserve"> в т.ч. ефективен контрол и постепенно ограничаване или санкциониране на дейността на обекти извън обхвата</w:t>
      </w:r>
      <w:r w:rsidR="008753B6" w:rsidRPr="00610B1B">
        <w:rPr>
          <w:rFonts w:ascii="Times New Roman" w:eastAsia="Calibri" w:hAnsi="Times New Roman" w:cs="Times New Roman"/>
          <w:sz w:val="24"/>
          <w:szCs w:val="24"/>
          <w:lang w:val="bg-BG"/>
        </w:rPr>
        <w:t xml:space="preserve"> </w:t>
      </w:r>
      <w:r w:rsidR="00DE1E57" w:rsidRPr="00610B1B">
        <w:rPr>
          <w:rFonts w:ascii="Times New Roman" w:eastAsia="Calibri" w:hAnsi="Times New Roman" w:cs="Times New Roman"/>
          <w:sz w:val="24"/>
          <w:szCs w:val="24"/>
          <w:lang w:val="bg-BG"/>
        </w:rPr>
        <w:t>на изградените канализационни системи или без адекватно функциониращи собствени пречиствателни съоръжения, както и въвеждане на иновативни санитарни решения в границите на плажовете извън зоната на концесиите;</w:t>
      </w:r>
      <w:r w:rsidR="00D66FE0" w:rsidRPr="00610B1B">
        <w:rPr>
          <w:rFonts w:ascii="Times New Roman" w:eastAsia="Calibri" w:hAnsi="Times New Roman" w:cs="Times New Roman"/>
          <w:sz w:val="24"/>
          <w:szCs w:val="24"/>
          <w:lang w:val="bg-BG"/>
        </w:rPr>
        <w:t xml:space="preserve"> </w:t>
      </w:r>
    </w:p>
    <w:p w14:paraId="383F7373" w14:textId="643284BE" w:rsidR="000B5FFA" w:rsidRPr="00610B1B" w:rsidRDefault="000B5FFA" w:rsidP="00B46189">
      <w:pPr>
        <w:pStyle w:val="ListParagraph"/>
        <w:numPr>
          <w:ilvl w:val="0"/>
          <w:numId w:val="68"/>
        </w:numPr>
        <w:spacing w:after="120"/>
        <w:ind w:right="-153"/>
        <w:contextualSpacing w:val="0"/>
        <w:jc w:val="both"/>
        <w:rPr>
          <w:rFonts w:ascii="Times New Roman" w:eastAsia="Calibri" w:hAnsi="Times New Roman" w:cs="Times New Roman"/>
          <w:sz w:val="24"/>
          <w:szCs w:val="24"/>
          <w:lang w:val="bg-BG"/>
        </w:rPr>
      </w:pPr>
      <w:r w:rsidRPr="00610B1B">
        <w:rPr>
          <w:rFonts w:ascii="Times New Roman" w:eastAsia="Calibri" w:hAnsi="Times New Roman" w:cs="Times New Roman"/>
          <w:sz w:val="24"/>
          <w:szCs w:val="24"/>
          <w:lang w:val="bg-BG"/>
        </w:rPr>
        <w:t>Значително намаляване на количествата отпадъци, постъпващи или присъстващи в морето чрез ефективен контрол на образуването на отпадъци в зоните от акваторията</w:t>
      </w:r>
      <w:r w:rsidR="00D66FE0" w:rsidRPr="00610B1B">
        <w:rPr>
          <w:rFonts w:ascii="Times New Roman" w:eastAsia="Calibri" w:hAnsi="Times New Roman" w:cs="Times New Roman"/>
          <w:sz w:val="24"/>
          <w:szCs w:val="24"/>
          <w:lang w:val="bg-BG"/>
        </w:rPr>
        <w:t xml:space="preserve"> </w:t>
      </w:r>
      <w:r w:rsidR="00372811" w:rsidRPr="00610B1B">
        <w:rPr>
          <w:rFonts w:ascii="Times New Roman" w:eastAsia="Calibri" w:hAnsi="Times New Roman" w:cs="Times New Roman"/>
          <w:sz w:val="24"/>
          <w:szCs w:val="24"/>
          <w:lang w:val="bg-BG"/>
        </w:rPr>
        <w:t xml:space="preserve">и територията </w:t>
      </w:r>
      <w:r w:rsidRPr="00610B1B">
        <w:rPr>
          <w:rFonts w:ascii="Times New Roman" w:eastAsia="Calibri" w:hAnsi="Times New Roman" w:cs="Times New Roman"/>
          <w:sz w:val="24"/>
          <w:szCs w:val="24"/>
          <w:lang w:val="bg-BG"/>
        </w:rPr>
        <w:t>на Черноморското крайбрежие;</w:t>
      </w:r>
    </w:p>
    <w:p w14:paraId="381CA1FF" w14:textId="4A57061B" w:rsidR="00372811" w:rsidRPr="00610B1B" w:rsidRDefault="000B5FFA" w:rsidP="00B46189">
      <w:pPr>
        <w:pStyle w:val="ListParagraph"/>
        <w:numPr>
          <w:ilvl w:val="0"/>
          <w:numId w:val="68"/>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sz w:val="24"/>
          <w:szCs w:val="24"/>
          <w:lang w:val="bg-BG"/>
        </w:rPr>
        <w:t>Намаляване на подводния шум чрез контрол на индустриалните дейности</w:t>
      </w:r>
      <w:r w:rsidRPr="00610B1B">
        <w:rPr>
          <w:rFonts w:ascii="Times New Roman" w:eastAsia="Calibri" w:hAnsi="Times New Roman" w:cs="Times New Roman"/>
          <w:color w:val="000000" w:themeColor="text1"/>
          <w:sz w:val="24"/>
          <w:szCs w:val="24"/>
          <w:lang w:val="bg-BG"/>
        </w:rPr>
        <w:t xml:space="preserve">, вкл. проучванията и добиването на </w:t>
      </w:r>
      <w:r w:rsidR="00283192" w:rsidRPr="00610B1B">
        <w:rPr>
          <w:rFonts w:ascii="Times New Roman" w:eastAsia="Calibri" w:hAnsi="Times New Roman" w:cs="Times New Roman"/>
          <w:color w:val="000000" w:themeColor="text1"/>
          <w:sz w:val="24"/>
          <w:szCs w:val="24"/>
          <w:lang w:val="bg-BG"/>
        </w:rPr>
        <w:t>минерални ресурси</w:t>
      </w:r>
      <w:r w:rsidRPr="00610B1B">
        <w:rPr>
          <w:rFonts w:ascii="Times New Roman" w:eastAsia="Calibri" w:hAnsi="Times New Roman" w:cs="Times New Roman"/>
          <w:color w:val="000000" w:themeColor="text1"/>
          <w:sz w:val="24"/>
          <w:szCs w:val="24"/>
          <w:lang w:val="bg-BG"/>
        </w:rPr>
        <w:t xml:space="preserve">, актуализиране на съществуващите корабни маршрути и въвеждане на “тихи зони” с ограничения за навлизане на моторни плавателни съдове, отчитайки целите </w:t>
      </w:r>
      <w:r w:rsidR="00372811" w:rsidRPr="00610B1B">
        <w:rPr>
          <w:rFonts w:ascii="Times New Roman" w:eastAsia="Calibri" w:hAnsi="Times New Roman" w:cs="Times New Roman"/>
          <w:color w:val="000000" w:themeColor="text1"/>
          <w:sz w:val="24"/>
          <w:szCs w:val="24"/>
          <w:lang w:val="bg-BG"/>
        </w:rPr>
        <w:t>на</w:t>
      </w:r>
      <w:r w:rsidRPr="00610B1B">
        <w:rPr>
          <w:rFonts w:ascii="Times New Roman" w:eastAsia="Calibri" w:hAnsi="Times New Roman" w:cs="Times New Roman"/>
          <w:color w:val="000000" w:themeColor="text1"/>
          <w:sz w:val="24"/>
          <w:szCs w:val="24"/>
          <w:lang w:val="bg-BG"/>
        </w:rPr>
        <w:t xml:space="preserve"> Рамковата директива за морска стратегия и разположението на морски</w:t>
      </w:r>
      <w:r w:rsidR="00283192" w:rsidRPr="00610B1B">
        <w:rPr>
          <w:rFonts w:ascii="Times New Roman" w:eastAsia="Calibri" w:hAnsi="Times New Roman" w:cs="Times New Roman"/>
          <w:color w:val="000000" w:themeColor="text1"/>
          <w:sz w:val="24"/>
          <w:szCs w:val="24"/>
          <w:lang w:val="bg-BG"/>
        </w:rPr>
        <w:t>те</w:t>
      </w:r>
      <w:r w:rsidRPr="00610B1B">
        <w:rPr>
          <w:rFonts w:ascii="Times New Roman" w:eastAsia="Calibri" w:hAnsi="Times New Roman" w:cs="Times New Roman"/>
          <w:color w:val="000000" w:themeColor="text1"/>
          <w:sz w:val="24"/>
          <w:szCs w:val="24"/>
          <w:lang w:val="bg-BG"/>
        </w:rPr>
        <w:t xml:space="preserve"> защитени територии.</w:t>
      </w:r>
    </w:p>
    <w:p w14:paraId="6442E977" w14:textId="6DAF8665" w:rsidR="000B5FFA" w:rsidRPr="00610B1B" w:rsidRDefault="00372811" w:rsidP="00B46189">
      <w:pPr>
        <w:pStyle w:val="ListParagraph"/>
        <w:numPr>
          <w:ilvl w:val="0"/>
          <w:numId w:val="68"/>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Определяне </w:t>
      </w:r>
      <w:r w:rsidR="000B5FFA" w:rsidRPr="00610B1B">
        <w:rPr>
          <w:rFonts w:ascii="Times New Roman" w:eastAsia="Calibri" w:hAnsi="Times New Roman" w:cs="Times New Roman"/>
          <w:color w:val="000000" w:themeColor="text1"/>
          <w:sz w:val="24"/>
          <w:szCs w:val="24"/>
          <w:lang w:val="bg-BG"/>
        </w:rPr>
        <w:t>на специализирани зони и инсталации за събиране и обезвреждане на седименти и обраствания в пристанищата, недопускане на обмен на баластни води в крайбрежните води</w:t>
      </w:r>
      <w:r w:rsidRPr="00610B1B">
        <w:rPr>
          <w:rFonts w:ascii="Times New Roman" w:eastAsia="Calibri" w:hAnsi="Times New Roman" w:cs="Times New Roman"/>
          <w:color w:val="000000" w:themeColor="text1"/>
          <w:sz w:val="24"/>
          <w:szCs w:val="24"/>
          <w:lang w:val="bg-BG"/>
        </w:rPr>
        <w:t xml:space="preserve"> за ограничаване навлизането на чужди видове</w:t>
      </w:r>
      <w:r w:rsidR="000B5FFA" w:rsidRPr="00610B1B">
        <w:rPr>
          <w:rFonts w:ascii="Times New Roman" w:eastAsia="Calibri" w:hAnsi="Times New Roman" w:cs="Times New Roman"/>
          <w:color w:val="000000" w:themeColor="text1"/>
          <w:sz w:val="24"/>
          <w:szCs w:val="24"/>
          <w:lang w:val="bg-BG"/>
        </w:rPr>
        <w:t>.</w:t>
      </w:r>
    </w:p>
    <w:p w14:paraId="23A9684E" w14:textId="39A0A492" w:rsidR="00372811" w:rsidRPr="00610B1B" w:rsidRDefault="00372811" w:rsidP="00B46189">
      <w:pPr>
        <w:pStyle w:val="ListParagraph"/>
        <w:numPr>
          <w:ilvl w:val="0"/>
          <w:numId w:val="68"/>
        </w:numPr>
        <w:spacing w:after="120"/>
        <w:ind w:right="-153"/>
        <w:contextualSpacing w:val="0"/>
        <w:jc w:val="both"/>
        <w:rPr>
          <w:rFonts w:ascii="Times New Roman" w:eastAsia="Calibri" w:hAnsi="Times New Roman" w:cs="Times New Roman"/>
          <w:b/>
          <w:bCs/>
          <w:i/>
          <w:iCs/>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Прекратяване </w:t>
      </w:r>
      <w:r w:rsidR="000B5FFA" w:rsidRPr="00610B1B">
        <w:rPr>
          <w:rFonts w:ascii="Times New Roman" w:eastAsia="Calibri" w:hAnsi="Times New Roman" w:cs="Times New Roman"/>
          <w:color w:val="000000" w:themeColor="text1"/>
          <w:sz w:val="24"/>
          <w:szCs w:val="24"/>
          <w:lang w:val="bg-BG"/>
        </w:rPr>
        <w:t>затрупването на шелфовите местообитания с драгажни маси от пристанищни дейности и използване на незамърсени наноси с подходящ гранулометричен състав за изкуствено подхранване на участъци от брега, където съществува абразия на плажните ивици поради вълново въздействие и повишаване на морското равнище.</w:t>
      </w:r>
    </w:p>
    <w:p w14:paraId="62D657DE" w14:textId="5C596EB0" w:rsidR="00372811" w:rsidRPr="00610B1B" w:rsidRDefault="00372811"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Значителна част от тези мерки ще се изпълнят посредством съвместни усилия,</w:t>
      </w:r>
      <w:r w:rsidR="00D66FE0" w:rsidRPr="00610B1B">
        <w:rPr>
          <w:rFonts w:ascii="Times New Roman" w:eastAsia="Calibri" w:hAnsi="Times New Roman" w:cs="Times New Roman"/>
          <w:color w:val="000000" w:themeColor="text1"/>
          <w:sz w:val="24"/>
          <w:szCs w:val="24"/>
          <w:lang w:val="bg-BG"/>
        </w:rPr>
        <w:t xml:space="preserve"> </w:t>
      </w:r>
      <w:r w:rsidRPr="00610B1B">
        <w:rPr>
          <w:rFonts w:ascii="Times New Roman" w:eastAsia="Calibri" w:hAnsi="Times New Roman" w:cs="Times New Roman"/>
          <w:color w:val="000000" w:themeColor="text1"/>
          <w:sz w:val="24"/>
          <w:szCs w:val="24"/>
          <w:lang w:val="bg-BG"/>
        </w:rPr>
        <w:t>обмен на знания, добри практики и експертиза в специфичните сфери</w:t>
      </w:r>
      <w:r w:rsidR="00600C58" w:rsidRPr="00610B1B">
        <w:rPr>
          <w:rFonts w:ascii="Times New Roman" w:eastAsia="Calibri" w:hAnsi="Times New Roman" w:cs="Times New Roman"/>
          <w:color w:val="000000" w:themeColor="text1"/>
          <w:sz w:val="24"/>
          <w:szCs w:val="24"/>
          <w:lang w:val="bg-BG"/>
        </w:rPr>
        <w:t xml:space="preserve"> на действие на целите с екологична насоченост, обвързано и съгласувано с Морската стратегия и нейната Програма от мерки, без повторение и припокриване.</w:t>
      </w:r>
      <w:r w:rsidR="00D66FE0" w:rsidRPr="00610B1B">
        <w:rPr>
          <w:rFonts w:ascii="Times New Roman" w:eastAsia="Calibri" w:hAnsi="Times New Roman" w:cs="Times New Roman"/>
          <w:color w:val="000000" w:themeColor="text1"/>
          <w:sz w:val="24"/>
          <w:szCs w:val="24"/>
          <w:lang w:val="bg-BG"/>
        </w:rPr>
        <w:t xml:space="preserve"> </w:t>
      </w:r>
    </w:p>
    <w:p w14:paraId="3F642866" w14:textId="63648E06" w:rsidR="003B6F94" w:rsidRPr="00610B1B" w:rsidRDefault="003B6F94" w:rsidP="00D32D6A">
      <w:pPr>
        <w:spacing w:after="120"/>
        <w:ind w:right="-153"/>
        <w:jc w:val="both"/>
        <w:rPr>
          <w:rFonts w:ascii="Times New Roman" w:eastAsia="Calibri" w:hAnsi="Times New Roman" w:cs="Times New Roman"/>
          <w:b/>
          <w:bCs/>
          <w:i/>
          <w:iCs/>
          <w:color w:val="000000" w:themeColor="text1"/>
          <w:sz w:val="24"/>
          <w:szCs w:val="24"/>
          <w:lang w:val="bg-BG"/>
        </w:rPr>
      </w:pPr>
      <w:r w:rsidRPr="00610B1B">
        <w:rPr>
          <w:rFonts w:ascii="Times New Roman" w:eastAsia="Calibri" w:hAnsi="Times New Roman" w:cs="Times New Roman"/>
          <w:b/>
          <w:bCs/>
          <w:i/>
          <w:iCs/>
          <w:color w:val="000000" w:themeColor="text1"/>
          <w:sz w:val="24"/>
          <w:szCs w:val="24"/>
          <w:lang w:val="bg-BG"/>
        </w:rPr>
        <w:t>Специфична цел 4.2. Сътрудничество за ефективно управление на риболова и прекратяване на свръхулова</w:t>
      </w:r>
    </w:p>
    <w:p w14:paraId="3E95C039" w14:textId="29BDF56D" w:rsidR="00600C58" w:rsidRPr="00610B1B" w:rsidRDefault="00600C58"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Специфичната цел адресира опазването на един от най-важните ресурси на морето, от което зависи съхраняването на популацията на морските бозайници, на морските птици, </w:t>
      </w:r>
      <w:r w:rsidRPr="00610B1B">
        <w:rPr>
          <w:rFonts w:ascii="Times New Roman" w:eastAsia="Calibri" w:hAnsi="Times New Roman" w:cs="Times New Roman"/>
          <w:color w:val="000000" w:themeColor="text1"/>
          <w:sz w:val="24"/>
          <w:szCs w:val="24"/>
          <w:lang w:val="bg-BG"/>
        </w:rPr>
        <w:lastRenderedPageBreak/>
        <w:t xml:space="preserve">запазването на традиционния поминък за някои населени места и удовлетворяване потребностите на населението и на </w:t>
      </w:r>
      <w:r w:rsidR="00DE2EB3" w:rsidRPr="00610B1B">
        <w:rPr>
          <w:rFonts w:ascii="Times New Roman" w:eastAsia="Calibri" w:hAnsi="Times New Roman" w:cs="Times New Roman"/>
          <w:color w:val="000000" w:themeColor="text1"/>
          <w:sz w:val="24"/>
          <w:szCs w:val="24"/>
          <w:lang w:val="bg-BG"/>
        </w:rPr>
        <w:t>м</w:t>
      </w:r>
      <w:r w:rsidRPr="00610B1B">
        <w:rPr>
          <w:rFonts w:ascii="Times New Roman" w:eastAsia="Calibri" w:hAnsi="Times New Roman" w:cs="Times New Roman"/>
          <w:color w:val="000000" w:themeColor="text1"/>
          <w:sz w:val="24"/>
          <w:szCs w:val="24"/>
          <w:lang w:val="bg-BG"/>
        </w:rPr>
        <w:t xml:space="preserve">орския туризъм. Поради тази причина се предвижда до 2025 г. да бъде постигнато намаляване на натиска от развитието на сектор „Рибарство и аквакултури“ и същевременно с това, създаване на по-благоприятни условия за неговото устойчиво развитие в една по-чиста морска околна среда. </w:t>
      </w:r>
    </w:p>
    <w:p w14:paraId="274B3DE0" w14:textId="69D592D1" w:rsidR="00DE2EB3" w:rsidRPr="00610B1B" w:rsidRDefault="00DE2EB3"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Освен мерките за намаляване на натиска върху морските екосистеми и ресурси, ограничаване на замърсяването и</w:t>
      </w:r>
      <w:r w:rsidR="00D66FE0" w:rsidRPr="00610B1B">
        <w:rPr>
          <w:rFonts w:ascii="Times New Roman" w:eastAsia="Calibri" w:hAnsi="Times New Roman" w:cs="Times New Roman"/>
          <w:color w:val="000000" w:themeColor="text1"/>
          <w:sz w:val="24"/>
          <w:szCs w:val="24"/>
          <w:lang w:val="bg-BG"/>
        </w:rPr>
        <w:t xml:space="preserve"> </w:t>
      </w:r>
      <w:r w:rsidRPr="00610B1B">
        <w:rPr>
          <w:rFonts w:ascii="Times New Roman" w:eastAsia="Calibri" w:hAnsi="Times New Roman" w:cs="Times New Roman"/>
          <w:color w:val="000000" w:themeColor="text1"/>
          <w:sz w:val="24"/>
          <w:szCs w:val="24"/>
          <w:lang w:val="bg-BG"/>
        </w:rPr>
        <w:t>подобряване на състоянието на морската околна среда</w:t>
      </w:r>
      <w:r w:rsidR="00283192" w:rsidRPr="00610B1B">
        <w:rPr>
          <w:rFonts w:ascii="Times New Roman" w:eastAsia="Calibri" w:hAnsi="Times New Roman" w:cs="Times New Roman"/>
          <w:color w:val="000000" w:themeColor="text1"/>
          <w:sz w:val="24"/>
          <w:szCs w:val="24"/>
          <w:lang w:val="bg-BG"/>
        </w:rPr>
        <w:t>,</w:t>
      </w:r>
      <w:r w:rsidRPr="00610B1B">
        <w:rPr>
          <w:rFonts w:ascii="Times New Roman" w:eastAsia="Calibri" w:hAnsi="Times New Roman" w:cs="Times New Roman"/>
          <w:color w:val="000000" w:themeColor="text1"/>
          <w:sz w:val="24"/>
          <w:szCs w:val="24"/>
          <w:lang w:val="bg-BG"/>
        </w:rPr>
        <w:t xml:space="preserve"> за постигането на тази специфична цел се предвижда още:</w:t>
      </w:r>
    </w:p>
    <w:p w14:paraId="63C25EA0" w14:textId="77777777" w:rsidR="00DE2EB3" w:rsidRPr="00610B1B" w:rsidRDefault="00DE2EB3" w:rsidP="00B46189">
      <w:pPr>
        <w:pStyle w:val="ListParagraph"/>
        <w:numPr>
          <w:ilvl w:val="0"/>
          <w:numId w:val="69"/>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Ефективен </w:t>
      </w:r>
      <w:r w:rsidR="00600C58" w:rsidRPr="00610B1B">
        <w:rPr>
          <w:rFonts w:ascii="Times New Roman" w:eastAsia="Calibri" w:hAnsi="Times New Roman" w:cs="Times New Roman"/>
          <w:color w:val="000000" w:themeColor="text1"/>
          <w:sz w:val="24"/>
          <w:szCs w:val="24"/>
          <w:lang w:val="bg-BG"/>
        </w:rPr>
        <w:t>контрол на зоните за риболов, определяне на научно обосновани квоти за експлоатираните видове и контрол на нерегламентирания риболов.</w:t>
      </w:r>
    </w:p>
    <w:p w14:paraId="1C65256C" w14:textId="77777777" w:rsidR="00DE2EB3" w:rsidRPr="00610B1B" w:rsidRDefault="00DE2EB3" w:rsidP="00B46189">
      <w:pPr>
        <w:pStyle w:val="ListParagraph"/>
        <w:numPr>
          <w:ilvl w:val="0"/>
          <w:numId w:val="69"/>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Въвеждане на </w:t>
      </w:r>
      <w:r w:rsidR="00600C58" w:rsidRPr="00610B1B">
        <w:rPr>
          <w:rFonts w:ascii="Times New Roman" w:eastAsia="Calibri" w:hAnsi="Times New Roman" w:cs="Times New Roman"/>
          <w:color w:val="000000" w:themeColor="text1"/>
          <w:sz w:val="24"/>
          <w:szCs w:val="24"/>
          <w:lang w:val="bg-BG"/>
        </w:rPr>
        <w:t xml:space="preserve">методи и критерии за оценка на допустимостта на инвестиционни предложения в зависимост от екологичния носещ капацитет на морската среда (https://www.eionet.europa.eu/gemet/bg/concept/1198). </w:t>
      </w:r>
    </w:p>
    <w:p w14:paraId="257E4428" w14:textId="2BE0538B" w:rsidR="00600C58" w:rsidRPr="00610B1B" w:rsidRDefault="00DE2EB3" w:rsidP="00B46189">
      <w:pPr>
        <w:pStyle w:val="ListParagraph"/>
        <w:numPr>
          <w:ilvl w:val="0"/>
          <w:numId w:val="69"/>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Разработване и въвеждане на регламенти </w:t>
      </w:r>
      <w:r w:rsidR="00600C58" w:rsidRPr="00610B1B">
        <w:rPr>
          <w:rFonts w:ascii="Times New Roman" w:eastAsia="Calibri" w:hAnsi="Times New Roman" w:cs="Times New Roman"/>
          <w:color w:val="000000" w:themeColor="text1"/>
          <w:sz w:val="24"/>
          <w:szCs w:val="24"/>
          <w:lang w:val="bg-BG"/>
        </w:rPr>
        <w:t xml:space="preserve">за премахване на </w:t>
      </w:r>
      <w:r w:rsidRPr="00610B1B">
        <w:rPr>
          <w:rFonts w:ascii="Times New Roman" w:eastAsia="Calibri" w:hAnsi="Times New Roman" w:cs="Times New Roman"/>
          <w:color w:val="000000" w:themeColor="text1"/>
          <w:sz w:val="24"/>
          <w:szCs w:val="24"/>
          <w:lang w:val="bg-BG"/>
        </w:rPr>
        <w:t xml:space="preserve">изоставени инсталации за отглеждане на </w:t>
      </w:r>
      <w:r w:rsidR="00600C58" w:rsidRPr="00610B1B">
        <w:rPr>
          <w:rFonts w:ascii="Times New Roman" w:eastAsia="Calibri" w:hAnsi="Times New Roman" w:cs="Times New Roman"/>
          <w:color w:val="000000" w:themeColor="text1"/>
          <w:sz w:val="24"/>
          <w:szCs w:val="24"/>
          <w:lang w:val="bg-BG"/>
        </w:rPr>
        <w:t>аквакултур</w:t>
      </w:r>
      <w:r w:rsidRPr="00610B1B">
        <w:rPr>
          <w:rFonts w:ascii="Times New Roman" w:eastAsia="Calibri" w:hAnsi="Times New Roman" w:cs="Times New Roman"/>
          <w:color w:val="000000" w:themeColor="text1"/>
          <w:sz w:val="24"/>
          <w:szCs w:val="24"/>
          <w:lang w:val="bg-BG"/>
        </w:rPr>
        <w:t>и</w:t>
      </w:r>
      <w:r w:rsidR="00600C58" w:rsidRPr="00610B1B">
        <w:rPr>
          <w:rFonts w:ascii="Times New Roman" w:eastAsia="Calibri" w:hAnsi="Times New Roman" w:cs="Times New Roman"/>
          <w:color w:val="000000" w:themeColor="text1"/>
          <w:sz w:val="24"/>
          <w:szCs w:val="24"/>
          <w:lang w:val="bg-BG"/>
        </w:rPr>
        <w:t xml:space="preserve"> </w:t>
      </w:r>
      <w:r w:rsidRPr="00610B1B">
        <w:rPr>
          <w:rFonts w:ascii="Times New Roman" w:eastAsia="Calibri" w:hAnsi="Times New Roman" w:cs="Times New Roman"/>
          <w:color w:val="000000" w:themeColor="text1"/>
          <w:sz w:val="24"/>
          <w:szCs w:val="24"/>
          <w:lang w:val="bg-BG"/>
        </w:rPr>
        <w:t xml:space="preserve">и на даляни, </w:t>
      </w:r>
      <w:r w:rsidR="00600C58" w:rsidRPr="00610B1B">
        <w:rPr>
          <w:rFonts w:ascii="Times New Roman" w:eastAsia="Calibri" w:hAnsi="Times New Roman" w:cs="Times New Roman"/>
          <w:color w:val="000000" w:themeColor="text1"/>
          <w:sz w:val="24"/>
          <w:szCs w:val="24"/>
          <w:lang w:val="bg-BG"/>
        </w:rPr>
        <w:t>след прекратяване на дейността</w:t>
      </w:r>
      <w:r w:rsidRPr="00610B1B">
        <w:rPr>
          <w:rFonts w:ascii="Times New Roman" w:eastAsia="Calibri" w:hAnsi="Times New Roman" w:cs="Times New Roman"/>
          <w:color w:val="000000" w:themeColor="text1"/>
          <w:sz w:val="24"/>
          <w:szCs w:val="24"/>
          <w:lang w:val="bg-BG"/>
        </w:rPr>
        <w:t>,</w:t>
      </w:r>
      <w:r w:rsidR="00600C58" w:rsidRPr="00610B1B">
        <w:rPr>
          <w:rFonts w:ascii="Times New Roman" w:eastAsia="Calibri" w:hAnsi="Times New Roman" w:cs="Times New Roman"/>
          <w:color w:val="000000" w:themeColor="text1"/>
          <w:sz w:val="24"/>
          <w:szCs w:val="24"/>
          <w:lang w:val="bg-BG"/>
        </w:rPr>
        <w:t xml:space="preserve"> с цел предотвратяване на замърсяване</w:t>
      </w:r>
      <w:r w:rsidRPr="00610B1B">
        <w:rPr>
          <w:rFonts w:ascii="Times New Roman" w:eastAsia="Calibri" w:hAnsi="Times New Roman" w:cs="Times New Roman"/>
          <w:color w:val="000000" w:themeColor="text1"/>
          <w:sz w:val="24"/>
          <w:szCs w:val="24"/>
          <w:lang w:val="bg-BG"/>
        </w:rPr>
        <w:t>то</w:t>
      </w:r>
      <w:r w:rsidR="00600C58" w:rsidRPr="00610B1B">
        <w:rPr>
          <w:rFonts w:ascii="Times New Roman" w:eastAsia="Calibri" w:hAnsi="Times New Roman" w:cs="Times New Roman"/>
          <w:color w:val="000000" w:themeColor="text1"/>
          <w:sz w:val="24"/>
          <w:szCs w:val="24"/>
          <w:lang w:val="bg-BG"/>
        </w:rPr>
        <w:t xml:space="preserve"> на морската среда с твърди отпадъци</w:t>
      </w:r>
      <w:r w:rsidR="00275F94" w:rsidRPr="00610B1B">
        <w:rPr>
          <w:rFonts w:ascii="Times New Roman" w:eastAsia="Calibri" w:hAnsi="Times New Roman" w:cs="Times New Roman"/>
          <w:color w:val="000000" w:themeColor="text1"/>
          <w:sz w:val="24"/>
          <w:szCs w:val="24"/>
          <w:lang w:val="bg-BG"/>
        </w:rPr>
        <w:t xml:space="preserve"> и намаляване на риска от инциденти</w:t>
      </w:r>
      <w:r w:rsidR="00600C58" w:rsidRPr="00610B1B">
        <w:rPr>
          <w:rFonts w:ascii="Times New Roman" w:eastAsia="Calibri" w:hAnsi="Times New Roman" w:cs="Times New Roman"/>
          <w:color w:val="000000" w:themeColor="text1"/>
          <w:sz w:val="24"/>
          <w:szCs w:val="24"/>
          <w:lang w:val="bg-BG"/>
        </w:rPr>
        <w:t>.</w:t>
      </w:r>
    </w:p>
    <w:p w14:paraId="56F11DAD" w14:textId="6A21028D" w:rsidR="00DE2EB3" w:rsidRPr="00610B1B" w:rsidRDefault="00DE2EB3"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Съвместното опазване на рибните ресурси ще изисква значителни усилия от страна на черноморските държави, включително и за завишаване на контрола върху морския трафик, престоя на риболовните кораби в определени зони и дейността им.</w:t>
      </w:r>
      <w:r w:rsidR="00C415D1" w:rsidRPr="00610B1B">
        <w:rPr>
          <w:rFonts w:ascii="Times New Roman" w:eastAsia="Calibri" w:hAnsi="Times New Roman" w:cs="Times New Roman"/>
          <w:color w:val="000000" w:themeColor="text1"/>
          <w:sz w:val="24"/>
          <w:szCs w:val="24"/>
          <w:lang w:val="bg-BG"/>
        </w:rPr>
        <w:t xml:space="preserve"> </w:t>
      </w:r>
    </w:p>
    <w:p w14:paraId="51CBA103" w14:textId="629AC99D" w:rsidR="003B6F94" w:rsidRPr="00610B1B" w:rsidRDefault="003B6F94" w:rsidP="00D32D6A">
      <w:pPr>
        <w:spacing w:after="120"/>
        <w:ind w:right="-153"/>
        <w:jc w:val="both"/>
        <w:rPr>
          <w:rFonts w:ascii="Times New Roman" w:eastAsia="Calibri" w:hAnsi="Times New Roman" w:cs="Times New Roman"/>
          <w:b/>
          <w:bCs/>
          <w:i/>
          <w:iCs/>
          <w:color w:val="FF0000"/>
          <w:sz w:val="24"/>
          <w:szCs w:val="24"/>
          <w:lang w:val="bg-BG"/>
        </w:rPr>
      </w:pPr>
      <w:r w:rsidRPr="00610B1B">
        <w:rPr>
          <w:rFonts w:ascii="Times New Roman" w:eastAsia="Calibri" w:hAnsi="Times New Roman" w:cs="Times New Roman"/>
          <w:b/>
          <w:bCs/>
          <w:i/>
          <w:iCs/>
          <w:color w:val="000000" w:themeColor="text1"/>
          <w:sz w:val="24"/>
          <w:szCs w:val="24"/>
          <w:lang w:val="bg-BG"/>
        </w:rPr>
        <w:t xml:space="preserve">Специфична цел 4.3. Сътрудничество за </w:t>
      </w:r>
      <w:r w:rsidR="00CE31A6" w:rsidRPr="00610B1B">
        <w:rPr>
          <w:rFonts w:ascii="Times New Roman" w:eastAsia="Calibri" w:hAnsi="Times New Roman" w:cs="Times New Roman"/>
          <w:b/>
          <w:bCs/>
          <w:i/>
          <w:iCs/>
          <w:color w:val="000000" w:themeColor="text1"/>
          <w:sz w:val="24"/>
          <w:szCs w:val="24"/>
          <w:lang w:val="bg-BG"/>
        </w:rPr>
        <w:t>споделени</w:t>
      </w:r>
      <w:r w:rsidR="00DE2EB3" w:rsidRPr="00610B1B">
        <w:rPr>
          <w:rFonts w:ascii="Times New Roman" w:eastAsia="Calibri" w:hAnsi="Times New Roman" w:cs="Times New Roman"/>
          <w:b/>
          <w:bCs/>
          <w:i/>
          <w:iCs/>
          <w:color w:val="000000" w:themeColor="text1"/>
          <w:sz w:val="24"/>
          <w:szCs w:val="24"/>
          <w:lang w:val="bg-BG"/>
        </w:rPr>
        <w:t xml:space="preserve"> услуги</w:t>
      </w:r>
      <w:r w:rsidR="00CE31A6" w:rsidRPr="00610B1B">
        <w:rPr>
          <w:rFonts w:ascii="Times New Roman" w:eastAsia="Calibri" w:hAnsi="Times New Roman" w:cs="Times New Roman"/>
          <w:b/>
          <w:bCs/>
          <w:i/>
          <w:iCs/>
          <w:color w:val="000000" w:themeColor="text1"/>
          <w:sz w:val="24"/>
          <w:szCs w:val="24"/>
          <w:lang w:val="bg-BG"/>
        </w:rPr>
        <w:t>,</w:t>
      </w:r>
      <w:r w:rsidR="00DE2EB3" w:rsidRPr="00610B1B">
        <w:rPr>
          <w:rFonts w:ascii="Times New Roman" w:eastAsia="Calibri" w:hAnsi="Times New Roman" w:cs="Times New Roman"/>
          <w:b/>
          <w:bCs/>
          <w:i/>
          <w:iCs/>
          <w:color w:val="000000" w:themeColor="text1"/>
          <w:sz w:val="24"/>
          <w:szCs w:val="24"/>
          <w:lang w:val="bg-BG"/>
        </w:rPr>
        <w:t xml:space="preserve"> работни места</w:t>
      </w:r>
      <w:r w:rsidR="00CE31A6" w:rsidRPr="00610B1B">
        <w:rPr>
          <w:rFonts w:ascii="Times New Roman" w:eastAsia="Calibri" w:hAnsi="Times New Roman" w:cs="Times New Roman"/>
          <w:b/>
          <w:bCs/>
          <w:i/>
          <w:iCs/>
          <w:color w:val="000000" w:themeColor="text1"/>
          <w:sz w:val="24"/>
          <w:szCs w:val="24"/>
          <w:lang w:val="bg-BG"/>
        </w:rPr>
        <w:t xml:space="preserve"> и продукти</w:t>
      </w:r>
    </w:p>
    <w:p w14:paraId="3BA305A7" w14:textId="77777777" w:rsidR="0068147B" w:rsidRPr="00610B1B" w:rsidRDefault="0068147B"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Специфичната цел е инспирирана от стратегическата програма за развитие на синята икономика в страните от региона „Дневен ред за Черно море“, лансирана по време на румънското председателство през 2019 г. и подписаните декларации от предходни форуми. В нея е очертано сътрудничеството в няколко области, между които по-важните:</w:t>
      </w:r>
    </w:p>
    <w:p w14:paraId="7ED894B0" w14:textId="0FF734AC" w:rsidR="0068147B" w:rsidRPr="00610B1B" w:rsidRDefault="0068147B" w:rsidP="00B46189">
      <w:pPr>
        <w:pStyle w:val="ListParagraph"/>
        <w:numPr>
          <w:ilvl w:val="0"/>
          <w:numId w:val="7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Times New Roman" w:hAnsi="Times New Roman" w:cs="Times New Roman"/>
          <w:color w:val="000000"/>
          <w:sz w:val="24"/>
          <w:szCs w:val="24"/>
          <w:bdr w:val="none" w:sz="0" w:space="0" w:color="auto" w:frame="1"/>
          <w:lang w:val="bg-BG"/>
        </w:rPr>
        <w:t>Транспортна свързаност, морски трафик и пристанищна дейности чрез разкриване на</w:t>
      </w:r>
      <w:r w:rsidR="00D66FE0" w:rsidRPr="00610B1B">
        <w:rPr>
          <w:rFonts w:ascii="Times New Roman" w:eastAsia="Times New Roman" w:hAnsi="Times New Roman" w:cs="Times New Roman"/>
          <w:color w:val="000000"/>
          <w:sz w:val="24"/>
          <w:szCs w:val="24"/>
          <w:bdr w:val="none" w:sz="0" w:space="0" w:color="auto" w:frame="1"/>
          <w:lang w:val="bg-BG"/>
        </w:rPr>
        <w:t xml:space="preserve"> </w:t>
      </w:r>
      <w:r w:rsidRPr="00610B1B">
        <w:rPr>
          <w:rFonts w:ascii="Times New Roman" w:eastAsia="Times New Roman" w:hAnsi="Times New Roman" w:cs="Times New Roman"/>
          <w:color w:val="000000"/>
          <w:sz w:val="24"/>
          <w:szCs w:val="24"/>
          <w:bdr w:val="none" w:sz="0" w:space="0" w:color="auto" w:frame="1"/>
          <w:lang w:val="bg-BG"/>
        </w:rPr>
        <w:t>нови корабоплавателни линии за товари, пътници и круизи;</w:t>
      </w:r>
    </w:p>
    <w:p w14:paraId="1FCE8E86" w14:textId="675CA9BF" w:rsidR="0068147B" w:rsidRPr="00610B1B" w:rsidRDefault="0068147B" w:rsidP="00B46189">
      <w:pPr>
        <w:pStyle w:val="ListParagraph"/>
        <w:numPr>
          <w:ilvl w:val="0"/>
          <w:numId w:val="7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Times New Roman" w:hAnsi="Times New Roman" w:cs="Times New Roman"/>
          <w:color w:val="000000"/>
          <w:sz w:val="24"/>
          <w:szCs w:val="24"/>
          <w:bdr w:val="none" w:sz="0" w:space="0" w:color="auto" w:frame="1"/>
          <w:lang w:val="bg-BG"/>
        </w:rPr>
        <w:t>Стимулиране на сътрудничеството за устойчиво развитие на синята икономика чрез съвм</w:t>
      </w:r>
      <w:r w:rsidR="00B2201E" w:rsidRPr="00610B1B">
        <w:rPr>
          <w:rFonts w:ascii="Times New Roman" w:eastAsia="Times New Roman" w:hAnsi="Times New Roman" w:cs="Times New Roman"/>
          <w:color w:val="000000"/>
          <w:sz w:val="24"/>
          <w:szCs w:val="24"/>
          <w:bdr w:val="none" w:sz="0" w:space="0" w:color="auto" w:frame="1"/>
          <w:lang w:val="bg-BG"/>
        </w:rPr>
        <w:t>е</w:t>
      </w:r>
      <w:r w:rsidRPr="00610B1B">
        <w:rPr>
          <w:rFonts w:ascii="Times New Roman" w:eastAsia="Times New Roman" w:hAnsi="Times New Roman" w:cs="Times New Roman"/>
          <w:color w:val="000000"/>
          <w:sz w:val="24"/>
          <w:szCs w:val="24"/>
          <w:bdr w:val="none" w:sz="0" w:space="0" w:color="auto" w:frame="1"/>
          <w:lang w:val="bg-BG"/>
        </w:rPr>
        <w:t>стни програми и продукти в областта на крайбрежния и морски туризъм;</w:t>
      </w:r>
    </w:p>
    <w:p w14:paraId="13DF6B1B" w14:textId="268BFC89" w:rsidR="00B2201E" w:rsidRPr="00610B1B" w:rsidRDefault="0068147B" w:rsidP="00B46189">
      <w:pPr>
        <w:pStyle w:val="ListParagraph"/>
        <w:numPr>
          <w:ilvl w:val="0"/>
          <w:numId w:val="7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Times New Roman" w:hAnsi="Times New Roman" w:cs="Times New Roman"/>
          <w:color w:val="000000"/>
          <w:sz w:val="24"/>
          <w:szCs w:val="24"/>
          <w:bdr w:val="none" w:sz="0" w:space="0" w:color="auto" w:frame="1"/>
          <w:lang w:val="bg-BG"/>
        </w:rPr>
        <w:t xml:space="preserve">Развитие на науките за морето и на морското образование и обучение за развиване на нови умения </w:t>
      </w:r>
      <w:r w:rsidR="00B2201E" w:rsidRPr="00610B1B">
        <w:rPr>
          <w:rFonts w:ascii="Times New Roman" w:eastAsia="Times New Roman" w:hAnsi="Times New Roman" w:cs="Times New Roman"/>
          <w:color w:val="000000"/>
          <w:sz w:val="24"/>
          <w:szCs w:val="24"/>
          <w:bdr w:val="none" w:sz="0" w:space="0" w:color="auto" w:frame="1"/>
          <w:lang w:val="bg-BG"/>
        </w:rPr>
        <w:t xml:space="preserve">и капацитет </w:t>
      </w:r>
      <w:r w:rsidRPr="00610B1B">
        <w:rPr>
          <w:rFonts w:ascii="Times New Roman" w:eastAsia="Times New Roman" w:hAnsi="Times New Roman" w:cs="Times New Roman"/>
          <w:color w:val="000000"/>
          <w:sz w:val="24"/>
          <w:szCs w:val="24"/>
          <w:bdr w:val="none" w:sz="0" w:space="0" w:color="auto" w:frame="1"/>
          <w:lang w:val="bg-BG"/>
        </w:rPr>
        <w:t xml:space="preserve">в </w:t>
      </w:r>
      <w:r w:rsidR="00B2201E" w:rsidRPr="00610B1B">
        <w:rPr>
          <w:rFonts w:ascii="Times New Roman" w:eastAsia="Times New Roman" w:hAnsi="Times New Roman" w:cs="Times New Roman"/>
          <w:color w:val="000000"/>
          <w:sz w:val="24"/>
          <w:szCs w:val="24"/>
          <w:bdr w:val="none" w:sz="0" w:space="0" w:color="auto" w:frame="1"/>
          <w:lang w:val="bg-BG"/>
        </w:rPr>
        <w:t>секторите на морската икономика;</w:t>
      </w:r>
    </w:p>
    <w:p w14:paraId="4DCC9DE5" w14:textId="77777777" w:rsidR="00B2201E" w:rsidRPr="00610B1B" w:rsidRDefault="00B2201E" w:rsidP="00B46189">
      <w:pPr>
        <w:pStyle w:val="ListParagraph"/>
        <w:numPr>
          <w:ilvl w:val="0"/>
          <w:numId w:val="7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Times New Roman" w:hAnsi="Times New Roman" w:cs="Times New Roman"/>
          <w:color w:val="000000"/>
          <w:sz w:val="24"/>
          <w:szCs w:val="24"/>
          <w:bdr w:val="none" w:sz="0" w:space="0" w:color="auto" w:frame="1"/>
          <w:lang w:val="bg-BG"/>
        </w:rPr>
        <w:t xml:space="preserve">Морски </w:t>
      </w:r>
      <w:r w:rsidR="0068147B" w:rsidRPr="00610B1B">
        <w:rPr>
          <w:rFonts w:ascii="Times New Roman" w:eastAsia="Times New Roman" w:hAnsi="Times New Roman" w:cs="Times New Roman"/>
          <w:color w:val="000000"/>
          <w:sz w:val="24"/>
          <w:szCs w:val="24"/>
          <w:bdr w:val="none" w:sz="0" w:space="0" w:color="auto" w:frame="1"/>
          <w:lang w:val="bg-BG"/>
        </w:rPr>
        <w:t>изследвания и иновации</w:t>
      </w:r>
      <w:r w:rsidRPr="00610B1B">
        <w:rPr>
          <w:rFonts w:ascii="Times New Roman" w:eastAsia="Times New Roman" w:hAnsi="Times New Roman" w:cs="Times New Roman"/>
          <w:color w:val="000000"/>
          <w:sz w:val="24"/>
          <w:szCs w:val="24"/>
          <w:bdr w:val="none" w:sz="0" w:space="0" w:color="auto" w:frame="1"/>
          <w:lang w:val="bg-BG"/>
        </w:rPr>
        <w:t xml:space="preserve"> чрез обвързване на наука, бизнес и образование и използване на експертния капацитет в региона;</w:t>
      </w:r>
      <w:r w:rsidR="0068147B" w:rsidRPr="00610B1B">
        <w:rPr>
          <w:rFonts w:ascii="Times New Roman" w:eastAsia="Times New Roman" w:hAnsi="Times New Roman" w:cs="Times New Roman"/>
          <w:color w:val="000000"/>
          <w:sz w:val="24"/>
          <w:szCs w:val="24"/>
          <w:bdr w:val="none" w:sz="0" w:space="0" w:color="auto" w:frame="1"/>
          <w:lang w:val="bg-BG"/>
        </w:rPr>
        <w:t xml:space="preserve"> </w:t>
      </w:r>
    </w:p>
    <w:p w14:paraId="46363B1C" w14:textId="77777777" w:rsidR="00B2201E" w:rsidRPr="00610B1B" w:rsidRDefault="00B2201E" w:rsidP="00B46189">
      <w:pPr>
        <w:pStyle w:val="ListParagraph"/>
        <w:numPr>
          <w:ilvl w:val="0"/>
          <w:numId w:val="7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Times New Roman" w:hAnsi="Times New Roman" w:cs="Times New Roman"/>
          <w:color w:val="000000"/>
          <w:sz w:val="24"/>
          <w:szCs w:val="24"/>
          <w:bdr w:val="none" w:sz="0" w:space="0" w:color="auto" w:frame="1"/>
          <w:lang w:val="bg-BG"/>
        </w:rPr>
        <w:t xml:space="preserve">Подобряване на състоянието </w:t>
      </w:r>
      <w:r w:rsidR="0068147B" w:rsidRPr="00610B1B">
        <w:rPr>
          <w:rFonts w:ascii="Times New Roman" w:eastAsia="Times New Roman" w:hAnsi="Times New Roman" w:cs="Times New Roman"/>
          <w:color w:val="000000"/>
          <w:sz w:val="24"/>
          <w:szCs w:val="24"/>
          <w:bdr w:val="none" w:sz="0" w:space="0" w:color="auto" w:frame="1"/>
          <w:lang w:val="bg-BG"/>
        </w:rPr>
        <w:t>на морската среда и координация</w:t>
      </w:r>
      <w:r w:rsidRPr="00610B1B">
        <w:rPr>
          <w:rFonts w:ascii="Times New Roman" w:eastAsia="Times New Roman" w:hAnsi="Times New Roman" w:cs="Times New Roman"/>
          <w:color w:val="000000"/>
          <w:sz w:val="24"/>
          <w:szCs w:val="24"/>
          <w:bdr w:val="none" w:sz="0" w:space="0" w:color="auto" w:frame="1"/>
          <w:lang w:val="bg-BG"/>
        </w:rPr>
        <w:t xml:space="preserve"> на действията за </w:t>
      </w:r>
      <w:r w:rsidR="0068147B" w:rsidRPr="00610B1B">
        <w:rPr>
          <w:rFonts w:ascii="Times New Roman" w:eastAsia="Times New Roman" w:hAnsi="Times New Roman" w:cs="Times New Roman"/>
          <w:color w:val="000000"/>
          <w:sz w:val="24"/>
          <w:szCs w:val="24"/>
          <w:bdr w:val="none" w:sz="0" w:space="0" w:color="auto" w:frame="1"/>
          <w:lang w:val="bg-BG"/>
        </w:rPr>
        <w:t>справяне с трансграничните екологични предизвикателства</w:t>
      </w:r>
      <w:r w:rsidRPr="00610B1B">
        <w:rPr>
          <w:rFonts w:ascii="Times New Roman" w:eastAsia="Times New Roman" w:hAnsi="Times New Roman" w:cs="Times New Roman"/>
          <w:color w:val="000000"/>
          <w:sz w:val="24"/>
          <w:szCs w:val="24"/>
          <w:bdr w:val="none" w:sz="0" w:space="0" w:color="auto" w:frame="1"/>
          <w:lang w:val="bg-BG"/>
        </w:rPr>
        <w:t xml:space="preserve"> и намаляване на </w:t>
      </w:r>
      <w:r w:rsidR="0068147B" w:rsidRPr="00610B1B">
        <w:rPr>
          <w:rFonts w:ascii="Times New Roman" w:eastAsia="Times New Roman" w:hAnsi="Times New Roman" w:cs="Times New Roman"/>
          <w:color w:val="000000"/>
          <w:sz w:val="24"/>
          <w:szCs w:val="24"/>
          <w:bdr w:val="none" w:sz="0" w:space="0" w:color="auto" w:frame="1"/>
          <w:lang w:val="bg-BG"/>
        </w:rPr>
        <w:t xml:space="preserve">пластмасовите морски отпадъци. </w:t>
      </w:r>
    </w:p>
    <w:p w14:paraId="5C94A683" w14:textId="07582D31" w:rsidR="0068147B" w:rsidRPr="00610B1B" w:rsidRDefault="00B2201E" w:rsidP="00B46189">
      <w:pPr>
        <w:pStyle w:val="ListParagraph"/>
        <w:numPr>
          <w:ilvl w:val="0"/>
          <w:numId w:val="70"/>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Times New Roman" w:hAnsi="Times New Roman" w:cs="Times New Roman"/>
          <w:color w:val="000000"/>
          <w:sz w:val="24"/>
          <w:szCs w:val="24"/>
          <w:bdr w:val="none" w:sz="0" w:space="0" w:color="auto" w:frame="1"/>
          <w:lang w:val="bg-BG"/>
        </w:rPr>
        <w:t>Съвместни н</w:t>
      </w:r>
      <w:r w:rsidR="0068147B" w:rsidRPr="00610B1B">
        <w:rPr>
          <w:rFonts w:ascii="Times New Roman" w:eastAsia="Times New Roman" w:hAnsi="Times New Roman" w:cs="Times New Roman"/>
          <w:color w:val="000000"/>
          <w:sz w:val="24"/>
          <w:szCs w:val="24"/>
          <w:bdr w:val="none" w:sz="0" w:space="0" w:color="auto" w:frame="1"/>
          <w:lang w:val="bg-BG"/>
        </w:rPr>
        <w:t xml:space="preserve">аблюдения и мониторинг на </w:t>
      </w:r>
      <w:r w:rsidRPr="00610B1B">
        <w:rPr>
          <w:rFonts w:ascii="Times New Roman" w:eastAsia="Times New Roman" w:hAnsi="Times New Roman" w:cs="Times New Roman"/>
          <w:color w:val="000000"/>
          <w:sz w:val="24"/>
          <w:szCs w:val="24"/>
          <w:bdr w:val="none" w:sz="0" w:space="0" w:color="auto" w:frame="1"/>
          <w:lang w:val="bg-BG"/>
        </w:rPr>
        <w:t>дейностите в морето</w:t>
      </w:r>
      <w:r w:rsidR="0068147B" w:rsidRPr="00610B1B">
        <w:rPr>
          <w:rFonts w:ascii="Times New Roman" w:eastAsia="Times New Roman" w:hAnsi="Times New Roman" w:cs="Times New Roman"/>
          <w:color w:val="000000"/>
          <w:sz w:val="24"/>
          <w:szCs w:val="24"/>
          <w:bdr w:val="none" w:sz="0" w:space="0" w:color="auto" w:frame="1"/>
          <w:lang w:val="bg-BG"/>
        </w:rPr>
        <w:t xml:space="preserve"> и околната среда за устойчиво използване на морските ресурси.</w:t>
      </w:r>
    </w:p>
    <w:p w14:paraId="4DC4E06E" w14:textId="28243AED" w:rsidR="0068147B" w:rsidRPr="00610B1B" w:rsidRDefault="00B2201E" w:rsidP="00D32D6A">
      <w:pPr>
        <w:spacing w:after="120"/>
        <w:ind w:right="-153"/>
        <w:jc w:val="both"/>
        <w:rPr>
          <w:rFonts w:ascii="Times New Roman" w:eastAsia="Times New Roman" w:hAnsi="Times New Roman" w:cs="Times New Roman"/>
          <w:color w:val="747474"/>
          <w:sz w:val="21"/>
          <w:szCs w:val="21"/>
          <w:lang w:val="bg-BG"/>
        </w:rPr>
      </w:pPr>
      <w:r w:rsidRPr="00610B1B">
        <w:rPr>
          <w:rFonts w:ascii="Times New Roman" w:eastAsia="Calibri" w:hAnsi="Times New Roman" w:cs="Times New Roman"/>
          <w:color w:val="000000" w:themeColor="text1"/>
          <w:sz w:val="24"/>
          <w:szCs w:val="24"/>
          <w:lang w:val="bg-BG"/>
        </w:rPr>
        <w:lastRenderedPageBreak/>
        <w:t>Изготвен</w:t>
      </w:r>
      <w:r w:rsidR="00483373" w:rsidRPr="00610B1B">
        <w:rPr>
          <w:rFonts w:ascii="Times New Roman" w:eastAsia="Calibri" w:hAnsi="Times New Roman" w:cs="Times New Roman"/>
          <w:color w:val="000000" w:themeColor="text1"/>
          <w:sz w:val="24"/>
          <w:szCs w:val="24"/>
          <w:lang w:val="bg-BG"/>
        </w:rPr>
        <w:t>а</w:t>
      </w:r>
      <w:r w:rsidRPr="00610B1B">
        <w:rPr>
          <w:rFonts w:ascii="Times New Roman" w:eastAsia="Calibri" w:hAnsi="Times New Roman" w:cs="Times New Roman"/>
          <w:color w:val="000000" w:themeColor="text1"/>
          <w:sz w:val="24"/>
          <w:szCs w:val="24"/>
          <w:lang w:val="bg-BG"/>
        </w:rPr>
        <w:t xml:space="preserve"> по подобие на макрорегионалните стратегии за Алпите, за Балтийско и за Адриатическо море, след повече от 10 години дебати за не</w:t>
      </w:r>
      <w:r w:rsidR="00483373" w:rsidRPr="00610B1B">
        <w:rPr>
          <w:rFonts w:ascii="Times New Roman" w:eastAsia="Calibri" w:hAnsi="Times New Roman" w:cs="Times New Roman"/>
          <w:color w:val="000000" w:themeColor="text1"/>
          <w:sz w:val="24"/>
          <w:szCs w:val="24"/>
          <w:lang w:val="bg-BG"/>
        </w:rPr>
        <w:t>йната</w:t>
      </w:r>
      <w:r w:rsidRPr="00610B1B">
        <w:rPr>
          <w:rFonts w:ascii="Times New Roman" w:eastAsia="Calibri" w:hAnsi="Times New Roman" w:cs="Times New Roman"/>
          <w:color w:val="000000" w:themeColor="text1"/>
          <w:sz w:val="24"/>
          <w:szCs w:val="24"/>
          <w:lang w:val="bg-BG"/>
        </w:rPr>
        <w:t xml:space="preserve"> необходимост, </w:t>
      </w:r>
      <w:r w:rsidR="00483373" w:rsidRPr="00610B1B">
        <w:rPr>
          <w:rFonts w:ascii="Times New Roman" w:eastAsia="Calibri" w:hAnsi="Times New Roman" w:cs="Times New Roman"/>
          <w:color w:val="000000" w:themeColor="text1"/>
          <w:sz w:val="24"/>
          <w:szCs w:val="24"/>
          <w:lang w:val="bg-BG"/>
        </w:rPr>
        <w:t>стратегията</w:t>
      </w:r>
      <w:r w:rsidRPr="00610B1B">
        <w:rPr>
          <w:rFonts w:ascii="Times New Roman" w:eastAsia="Calibri" w:hAnsi="Times New Roman" w:cs="Times New Roman"/>
          <w:color w:val="000000" w:themeColor="text1"/>
          <w:sz w:val="24"/>
          <w:szCs w:val="24"/>
          <w:lang w:val="bg-BG"/>
        </w:rPr>
        <w:t xml:space="preserve"> запазва водещите принципи на този вид документи: не създава нови институции; </w:t>
      </w:r>
      <w:r w:rsidR="00483373" w:rsidRPr="00610B1B">
        <w:rPr>
          <w:rFonts w:ascii="Times New Roman" w:eastAsia="Calibri" w:hAnsi="Times New Roman" w:cs="Times New Roman"/>
          <w:color w:val="000000" w:themeColor="text1"/>
          <w:sz w:val="24"/>
          <w:szCs w:val="24"/>
          <w:lang w:val="bg-BG"/>
        </w:rPr>
        <w:t xml:space="preserve">не променя законодателни рамки, </w:t>
      </w:r>
      <w:r w:rsidRPr="00610B1B">
        <w:rPr>
          <w:rFonts w:ascii="Times New Roman" w:eastAsia="Calibri" w:hAnsi="Times New Roman" w:cs="Times New Roman"/>
          <w:color w:val="000000" w:themeColor="text1"/>
          <w:sz w:val="24"/>
          <w:szCs w:val="24"/>
          <w:lang w:val="bg-BG"/>
        </w:rPr>
        <w:t>не насочва</w:t>
      </w:r>
      <w:r w:rsidR="00483373" w:rsidRPr="00610B1B">
        <w:rPr>
          <w:rFonts w:ascii="Times New Roman" w:eastAsia="Calibri" w:hAnsi="Times New Roman" w:cs="Times New Roman"/>
          <w:color w:val="000000" w:themeColor="text1"/>
          <w:sz w:val="24"/>
          <w:szCs w:val="24"/>
          <w:lang w:val="bg-BG"/>
        </w:rPr>
        <w:t xml:space="preserve"> целеви финансов ресурс. Тя подпомага решаването на общи проблеми в географски определени райони. Задължително е обвързването</w:t>
      </w:r>
      <w:r w:rsidR="00DE3A13" w:rsidRPr="00610B1B">
        <w:rPr>
          <w:rFonts w:ascii="Times New Roman" w:eastAsia="Calibri" w:hAnsi="Times New Roman" w:cs="Times New Roman"/>
          <w:color w:val="000000" w:themeColor="text1"/>
          <w:sz w:val="24"/>
          <w:szCs w:val="24"/>
          <w:lang w:val="bg-BG"/>
        </w:rPr>
        <w:t xml:space="preserve"> ѝ </w:t>
      </w:r>
      <w:r w:rsidR="00483373" w:rsidRPr="00610B1B">
        <w:rPr>
          <w:rFonts w:ascii="Times New Roman" w:eastAsia="Calibri" w:hAnsi="Times New Roman" w:cs="Times New Roman"/>
          <w:color w:val="000000" w:themeColor="text1"/>
          <w:sz w:val="24"/>
          <w:szCs w:val="24"/>
          <w:lang w:val="bg-BG"/>
        </w:rPr>
        <w:t xml:space="preserve">с Дунавската стратегия (2009 г.) и с националните стратегически документи. </w:t>
      </w:r>
    </w:p>
    <w:p w14:paraId="6ECF8B46" w14:textId="0549F049" w:rsidR="003B6F94" w:rsidRPr="00610B1B" w:rsidRDefault="003B6F94" w:rsidP="00D32D6A">
      <w:pPr>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Постигането на тези специфични цели</w:t>
      </w:r>
      <w:r w:rsidR="00D66FE0" w:rsidRPr="00610B1B">
        <w:rPr>
          <w:rFonts w:ascii="Times New Roman" w:eastAsia="Calibri" w:hAnsi="Times New Roman" w:cs="Times New Roman"/>
          <w:color w:val="000000" w:themeColor="text1"/>
          <w:sz w:val="24"/>
          <w:szCs w:val="24"/>
          <w:lang w:val="bg-BG"/>
        </w:rPr>
        <w:t xml:space="preserve"> </w:t>
      </w:r>
      <w:r w:rsidRPr="00610B1B">
        <w:rPr>
          <w:rFonts w:ascii="Times New Roman" w:eastAsia="Calibri" w:hAnsi="Times New Roman" w:cs="Times New Roman"/>
          <w:color w:val="000000" w:themeColor="text1"/>
          <w:sz w:val="24"/>
          <w:szCs w:val="24"/>
          <w:lang w:val="bg-BG"/>
        </w:rPr>
        <w:t>с очакван осезаем положителен ефект</w:t>
      </w:r>
      <w:r w:rsidR="00483373" w:rsidRPr="00610B1B">
        <w:rPr>
          <w:rFonts w:ascii="Times New Roman" w:eastAsia="Calibri" w:hAnsi="Times New Roman" w:cs="Times New Roman"/>
          <w:color w:val="000000" w:themeColor="text1"/>
          <w:sz w:val="24"/>
          <w:szCs w:val="24"/>
          <w:lang w:val="bg-BG"/>
        </w:rPr>
        <w:t xml:space="preserve"> включват</w:t>
      </w:r>
      <w:r w:rsidRPr="00610B1B">
        <w:rPr>
          <w:rFonts w:ascii="Times New Roman" w:eastAsia="Calibri" w:hAnsi="Times New Roman" w:cs="Times New Roman"/>
          <w:color w:val="000000" w:themeColor="text1"/>
          <w:sz w:val="24"/>
          <w:szCs w:val="24"/>
          <w:lang w:val="bg-BG"/>
        </w:rPr>
        <w:t>:</w:t>
      </w:r>
    </w:p>
    <w:p w14:paraId="55EBA372" w14:textId="4ADA65BE" w:rsidR="003B6F94" w:rsidRPr="00610B1B" w:rsidRDefault="003B6F94" w:rsidP="00B46189">
      <w:pPr>
        <w:pStyle w:val="ListParagraph"/>
        <w:numPr>
          <w:ilvl w:val="0"/>
          <w:numId w:val="57"/>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Инвестиране в общи продукти и услуги, свързани с историческото, природното и културното наследство, със силен акцент върху създаването на заетост за малките и семейните предприятия;</w:t>
      </w:r>
    </w:p>
    <w:p w14:paraId="4D40CCE2" w14:textId="548E764D" w:rsidR="003B6F94" w:rsidRPr="00610B1B" w:rsidRDefault="003B6F94" w:rsidP="00B46189">
      <w:pPr>
        <w:pStyle w:val="ListParagraph"/>
        <w:numPr>
          <w:ilvl w:val="0"/>
          <w:numId w:val="57"/>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Изпълнение на съвместни мерки за стимулиране на заетостта, чрез подкрепа за подходящи учебни дейности и активно включване на уязвимите групи;</w:t>
      </w:r>
    </w:p>
    <w:p w14:paraId="5AD8E24A" w14:textId="15842BAD" w:rsidR="00C534F3" w:rsidRPr="00610B1B" w:rsidRDefault="003B6F94" w:rsidP="00B46189">
      <w:pPr>
        <w:pStyle w:val="ListParagraph"/>
        <w:numPr>
          <w:ilvl w:val="0"/>
          <w:numId w:val="57"/>
        </w:numPr>
        <w:spacing w:after="120"/>
        <w:ind w:right="-153"/>
        <w:contextualSpacing w:val="0"/>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Обмен на добри практики и изпълнение на съвместни мерки, насочени към политиките за устойчив „син растеж“, за интегрирано управление на крайбрежните зони, морско наблюдение, намаляване на рисковете и повишаване на ефективността в опазването и използването на ресурсите, в съответствие със съвременните изисквания на Интегрираната морска политика на ЕС.</w:t>
      </w:r>
    </w:p>
    <w:bookmarkEnd w:id="453"/>
    <w:p w14:paraId="5E0BFBB6" w14:textId="77046B79" w:rsidR="00A10A70" w:rsidRPr="00610B1B" w:rsidRDefault="00483373" w:rsidP="00D32D6A">
      <w:pPr>
        <w:tabs>
          <w:tab w:val="left" w:pos="3330"/>
        </w:tabs>
        <w:spacing w:after="120"/>
        <w:ind w:right="-153"/>
        <w:jc w:val="both"/>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t xml:space="preserve">Част от приоритетите на „Дневен ред за Черно море“ са обхванати от специфичните цели към предходните стратегически цели. Те могат да се допълват и обновяват в съответствие с настъпили промени в условията и потребностите, </w:t>
      </w:r>
      <w:r w:rsidR="00F04B0A" w:rsidRPr="00610B1B">
        <w:rPr>
          <w:rFonts w:ascii="Times New Roman" w:eastAsia="Calibri" w:hAnsi="Times New Roman" w:cs="Times New Roman"/>
          <w:color w:val="000000" w:themeColor="text1"/>
          <w:sz w:val="24"/>
          <w:szCs w:val="24"/>
          <w:lang w:val="bg-BG"/>
        </w:rPr>
        <w:t xml:space="preserve">и отговарящи на динамичния характер на Морския пространствен план. </w:t>
      </w:r>
    </w:p>
    <w:p w14:paraId="60228F08" w14:textId="28D6025F" w:rsidR="00506859" w:rsidRPr="00610B1B" w:rsidRDefault="00506859" w:rsidP="00D32D6A">
      <w:pPr>
        <w:spacing w:after="120"/>
        <w:ind w:right="-153"/>
        <w:rPr>
          <w:rFonts w:ascii="Times New Roman" w:eastAsia="Calibri" w:hAnsi="Times New Roman" w:cs="Times New Roman"/>
          <w:color w:val="000000" w:themeColor="text1"/>
          <w:sz w:val="24"/>
          <w:szCs w:val="24"/>
          <w:lang w:val="bg-BG"/>
        </w:rPr>
      </w:pPr>
      <w:r w:rsidRPr="00610B1B">
        <w:rPr>
          <w:rFonts w:ascii="Times New Roman" w:eastAsia="Calibri" w:hAnsi="Times New Roman" w:cs="Times New Roman"/>
          <w:color w:val="000000" w:themeColor="text1"/>
          <w:sz w:val="24"/>
          <w:szCs w:val="24"/>
          <w:lang w:val="bg-BG"/>
        </w:rPr>
        <w:br w:type="page"/>
      </w:r>
    </w:p>
    <w:p w14:paraId="4B80D978" w14:textId="12EBEC50" w:rsidR="00183FEA" w:rsidRPr="00610B1B" w:rsidRDefault="007F718F" w:rsidP="00A67B42">
      <w:pPr>
        <w:pStyle w:val="Heading1"/>
        <w:rPr>
          <w:rStyle w:val="Heading1Char"/>
          <w:rFonts w:cs="Times New Roman"/>
          <w:b/>
          <w:bCs/>
        </w:rPr>
      </w:pPr>
      <w:bookmarkStart w:id="455" w:name="_Toc83391427"/>
      <w:bookmarkEnd w:id="452"/>
      <w:r w:rsidRPr="00610B1B">
        <w:rPr>
          <w:rFonts w:cs="Times New Roman"/>
        </w:rPr>
        <w:lastRenderedPageBreak/>
        <w:t xml:space="preserve">6. </w:t>
      </w:r>
      <w:r w:rsidR="0075098D" w:rsidRPr="00610B1B">
        <w:rPr>
          <w:rStyle w:val="Heading1Char"/>
          <w:rFonts w:cs="Times New Roman"/>
          <w:b/>
          <w:bCs/>
        </w:rPr>
        <w:t>ЗОНИРАНЕ НА МОРСКИТЕ ПРОСТРАНСТВА</w:t>
      </w:r>
      <w:r w:rsidR="00183FEA" w:rsidRPr="00610B1B">
        <w:rPr>
          <w:rStyle w:val="Heading1Char"/>
          <w:rFonts w:cs="Times New Roman"/>
          <w:b/>
          <w:bCs/>
        </w:rPr>
        <w:t xml:space="preserve"> И ИНТЕГРИРАНЕ НА ФУНКЦИИТЕ И ДЕЙНОСТИТЕ</w:t>
      </w:r>
      <w:bookmarkEnd w:id="455"/>
      <w:r w:rsidR="0050362A" w:rsidRPr="00610B1B">
        <w:rPr>
          <w:rStyle w:val="Heading1Char"/>
          <w:rFonts w:cs="Times New Roman"/>
          <w:b/>
          <w:bCs/>
        </w:rPr>
        <w:t xml:space="preserve"> </w:t>
      </w:r>
    </w:p>
    <w:p w14:paraId="2923A74A" w14:textId="4ADB845F" w:rsidR="00183FEA" w:rsidRPr="00610B1B" w:rsidRDefault="00F37D59" w:rsidP="00D32D6A">
      <w:pPr>
        <w:pStyle w:val="Heading2"/>
        <w:spacing w:before="0" w:line="276" w:lineRule="auto"/>
        <w:ind w:right="-153"/>
        <w:rPr>
          <w:rFonts w:cs="Times New Roman"/>
        </w:rPr>
      </w:pPr>
      <w:bookmarkStart w:id="456" w:name="_Toc83391428"/>
      <w:r w:rsidRPr="00610B1B">
        <w:rPr>
          <w:rFonts w:cs="Times New Roman"/>
        </w:rPr>
        <w:t xml:space="preserve">6.1. </w:t>
      </w:r>
      <w:r w:rsidR="00E23207" w:rsidRPr="00610B1B">
        <w:rPr>
          <w:rFonts w:cs="Times New Roman"/>
        </w:rPr>
        <w:t>Основни принципи за зониране на морското пространство</w:t>
      </w:r>
      <w:bookmarkEnd w:id="456"/>
    </w:p>
    <w:p w14:paraId="1648D27B" w14:textId="57F1BAF6" w:rsidR="005B5A56" w:rsidRPr="00610B1B" w:rsidRDefault="004A73AB" w:rsidP="00D32D6A">
      <w:pPr>
        <w:pStyle w:val="BodyText"/>
        <w:spacing w:before="0" w:after="120" w:line="276" w:lineRule="auto"/>
        <w:ind w:right="-153"/>
        <w:rPr>
          <w:rFonts w:cs="Times New Roman"/>
        </w:rPr>
      </w:pPr>
      <w:bookmarkStart w:id="457" w:name="_Hlk48383028"/>
      <w:r w:rsidRPr="00610B1B">
        <w:rPr>
          <w:rFonts w:cs="Times New Roman"/>
        </w:rPr>
        <w:t xml:space="preserve">Концепцията за мултифункционалните зони в териториалното и градското планиране </w:t>
      </w:r>
      <w:r w:rsidR="004948F8" w:rsidRPr="00610B1B">
        <w:rPr>
          <w:rFonts w:cs="Times New Roman"/>
        </w:rPr>
        <w:t xml:space="preserve">се свързва с идеите </w:t>
      </w:r>
      <w:r w:rsidRPr="00610B1B">
        <w:rPr>
          <w:rFonts w:cs="Times New Roman"/>
        </w:rPr>
        <w:t>от средата на 1960-те години</w:t>
      </w:r>
      <w:r w:rsidRPr="00610B1B">
        <w:rPr>
          <w:rStyle w:val="FootnoteReference"/>
          <w:rFonts w:cs="Times New Roman"/>
        </w:rPr>
        <w:footnoteReference w:id="182"/>
      </w:r>
      <w:r w:rsidRPr="00610B1B">
        <w:rPr>
          <w:rFonts w:cs="Times New Roman"/>
        </w:rPr>
        <w:t>, имащи за цел да повишат ефективността на използването на пространствата</w:t>
      </w:r>
      <w:r w:rsidR="00251E0D" w:rsidRPr="00610B1B">
        <w:rPr>
          <w:rFonts w:cs="Times New Roman"/>
        </w:rPr>
        <w:t>, да предложа</w:t>
      </w:r>
      <w:r w:rsidR="008D739F" w:rsidRPr="00610B1B">
        <w:rPr>
          <w:rFonts w:cs="Times New Roman"/>
        </w:rPr>
        <w:t>т икономия от мащаба и разнообразна и по-качествена среда. Макар че за морското пространствено планиране т</w:t>
      </w:r>
      <w:r w:rsidR="00480E02" w:rsidRPr="00610B1B">
        <w:rPr>
          <w:rFonts w:cs="Times New Roman"/>
        </w:rPr>
        <w:t xml:space="preserve">я </w:t>
      </w:r>
      <w:r w:rsidR="008D739F" w:rsidRPr="00610B1B">
        <w:rPr>
          <w:rFonts w:cs="Times New Roman"/>
        </w:rPr>
        <w:t xml:space="preserve">е сравнително по-нова, идеите за споделено ползване и координация на дейностите в морето за постигане на синергия преследват аналогични цели. </w:t>
      </w:r>
      <w:r w:rsidR="00480E02" w:rsidRPr="00610B1B">
        <w:rPr>
          <w:rFonts w:cs="Times New Roman"/>
        </w:rPr>
        <w:t xml:space="preserve">Те са водеща цел на тази част от работата по Морския пространствен план. </w:t>
      </w:r>
    </w:p>
    <w:p w14:paraId="2CC9F3A3" w14:textId="7D0410A4" w:rsidR="001920BC" w:rsidRPr="00610B1B" w:rsidRDefault="00275F94" w:rsidP="00D32D6A">
      <w:pPr>
        <w:pStyle w:val="BodyText"/>
        <w:spacing w:before="0" w:after="120" w:line="276" w:lineRule="auto"/>
        <w:ind w:right="-153"/>
        <w:rPr>
          <w:rFonts w:cs="Times New Roman"/>
        </w:rPr>
      </w:pPr>
      <w:r w:rsidRPr="00610B1B">
        <w:rPr>
          <w:rFonts w:cs="Times New Roman"/>
        </w:rPr>
        <w:t xml:space="preserve">Пренесени от MARSPLAN BS, дефинираните цели на </w:t>
      </w:r>
      <w:r w:rsidR="001920BC" w:rsidRPr="00610B1B">
        <w:rPr>
          <w:rFonts w:cs="Times New Roman"/>
        </w:rPr>
        <w:t xml:space="preserve">функционалното зониране </w:t>
      </w:r>
      <w:r w:rsidRPr="00610B1B">
        <w:rPr>
          <w:rFonts w:cs="Times New Roman"/>
        </w:rPr>
        <w:t>в морското пространствено планиране са насочени към:</w:t>
      </w:r>
    </w:p>
    <w:p w14:paraId="4A79F839" w14:textId="1FFF4FB4" w:rsidR="001920BC" w:rsidRPr="00610B1B" w:rsidRDefault="001920BC" w:rsidP="00C3007B">
      <w:pPr>
        <w:pStyle w:val="BodyText"/>
        <w:numPr>
          <w:ilvl w:val="0"/>
          <w:numId w:val="83"/>
        </w:numPr>
        <w:spacing w:before="0" w:after="100" w:line="276" w:lineRule="auto"/>
        <w:ind w:left="629" w:right="-153" w:hanging="357"/>
        <w:rPr>
          <w:rFonts w:cs="Times New Roman"/>
        </w:rPr>
      </w:pPr>
      <w:r w:rsidRPr="00610B1B">
        <w:rPr>
          <w:rFonts w:cs="Times New Roman"/>
        </w:rPr>
        <w:t>опазване на хабитатите, екосистемите и екологичните процеси;</w:t>
      </w:r>
    </w:p>
    <w:p w14:paraId="1D3EA788" w14:textId="1DB73800" w:rsidR="001920BC" w:rsidRPr="00610B1B" w:rsidRDefault="00275F94" w:rsidP="00C3007B">
      <w:pPr>
        <w:pStyle w:val="BodyText"/>
        <w:numPr>
          <w:ilvl w:val="0"/>
          <w:numId w:val="83"/>
        </w:numPr>
        <w:spacing w:before="0" w:after="100" w:line="276" w:lineRule="auto"/>
        <w:ind w:left="629" w:right="-153" w:hanging="357"/>
        <w:rPr>
          <w:rFonts w:cs="Times New Roman"/>
        </w:rPr>
      </w:pPr>
      <w:r w:rsidRPr="00610B1B">
        <w:rPr>
          <w:rFonts w:cs="Times New Roman"/>
        </w:rPr>
        <w:t>разделяне на</w:t>
      </w:r>
      <w:r w:rsidR="001920BC" w:rsidRPr="00610B1B">
        <w:rPr>
          <w:rFonts w:cs="Times New Roman"/>
        </w:rPr>
        <w:t xml:space="preserve"> конфликтните дейности и </w:t>
      </w:r>
      <w:r w:rsidRPr="00610B1B">
        <w:rPr>
          <w:rFonts w:cs="Times New Roman"/>
        </w:rPr>
        <w:t>обединяване на</w:t>
      </w:r>
      <w:r w:rsidR="001920BC" w:rsidRPr="00610B1B">
        <w:rPr>
          <w:rFonts w:cs="Times New Roman"/>
        </w:rPr>
        <w:t xml:space="preserve"> съвместимите човешки дейности;</w:t>
      </w:r>
    </w:p>
    <w:p w14:paraId="112641FE" w14:textId="7C70C243" w:rsidR="001920BC" w:rsidRPr="00610B1B" w:rsidRDefault="00275F94" w:rsidP="00C3007B">
      <w:pPr>
        <w:pStyle w:val="BodyText"/>
        <w:numPr>
          <w:ilvl w:val="0"/>
          <w:numId w:val="83"/>
        </w:numPr>
        <w:spacing w:before="0" w:after="100" w:line="276" w:lineRule="auto"/>
        <w:ind w:left="629" w:right="-153" w:hanging="357"/>
        <w:rPr>
          <w:rFonts w:cs="Times New Roman"/>
        </w:rPr>
      </w:pPr>
      <w:r w:rsidRPr="00610B1B">
        <w:rPr>
          <w:rFonts w:cs="Times New Roman"/>
        </w:rPr>
        <w:t>опазване на</w:t>
      </w:r>
      <w:r w:rsidR="001920BC" w:rsidRPr="00610B1B">
        <w:rPr>
          <w:rFonts w:cs="Times New Roman"/>
        </w:rPr>
        <w:t xml:space="preserve"> природните ценности на морските пространства </w:t>
      </w:r>
      <w:r w:rsidRPr="00610B1B">
        <w:rPr>
          <w:rFonts w:cs="Times New Roman"/>
        </w:rPr>
        <w:t>и</w:t>
      </w:r>
      <w:r w:rsidR="001920BC" w:rsidRPr="00610B1B">
        <w:rPr>
          <w:rFonts w:cs="Times New Roman"/>
        </w:rPr>
        <w:t xml:space="preserve"> разумно </w:t>
      </w:r>
      <w:r w:rsidRPr="00610B1B">
        <w:rPr>
          <w:rFonts w:cs="Times New Roman"/>
        </w:rPr>
        <w:t xml:space="preserve">използване на </w:t>
      </w:r>
      <w:r w:rsidR="001920BC" w:rsidRPr="00610B1B">
        <w:rPr>
          <w:rFonts w:cs="Times New Roman"/>
        </w:rPr>
        <w:t>наличните ресурси;</w:t>
      </w:r>
    </w:p>
    <w:p w14:paraId="0D45F10F" w14:textId="77777777" w:rsidR="00275F94" w:rsidRPr="00610B1B" w:rsidRDefault="001920BC" w:rsidP="00C3007B">
      <w:pPr>
        <w:pStyle w:val="BodyText"/>
        <w:numPr>
          <w:ilvl w:val="0"/>
          <w:numId w:val="83"/>
        </w:numPr>
        <w:spacing w:before="0" w:after="100" w:line="276" w:lineRule="auto"/>
        <w:ind w:left="629" w:right="-153" w:hanging="357"/>
        <w:rPr>
          <w:rFonts w:cs="Times New Roman"/>
        </w:rPr>
      </w:pPr>
      <w:r w:rsidRPr="00610B1B">
        <w:rPr>
          <w:rFonts w:cs="Times New Roman"/>
        </w:rPr>
        <w:t xml:space="preserve">разполагане на </w:t>
      </w:r>
      <w:r w:rsidR="004965FA" w:rsidRPr="00610B1B">
        <w:rPr>
          <w:rFonts w:cs="Times New Roman"/>
        </w:rPr>
        <w:t xml:space="preserve">дейностите </w:t>
      </w:r>
      <w:r w:rsidR="00275F94" w:rsidRPr="00610B1B">
        <w:rPr>
          <w:rFonts w:cs="Times New Roman"/>
        </w:rPr>
        <w:t xml:space="preserve">съобразно изискванията за </w:t>
      </w:r>
      <w:r w:rsidR="004965FA" w:rsidRPr="00610B1B">
        <w:rPr>
          <w:rFonts w:cs="Times New Roman"/>
        </w:rPr>
        <w:t>намал</w:t>
      </w:r>
      <w:r w:rsidR="00275F94" w:rsidRPr="00610B1B">
        <w:rPr>
          <w:rFonts w:cs="Times New Roman"/>
        </w:rPr>
        <w:t xml:space="preserve">яване на </w:t>
      </w:r>
      <w:r w:rsidR="004965FA" w:rsidRPr="00610B1B">
        <w:rPr>
          <w:rFonts w:cs="Times New Roman"/>
        </w:rPr>
        <w:t>вредните въздействия върху морската околна среда;</w:t>
      </w:r>
    </w:p>
    <w:p w14:paraId="35A11808" w14:textId="3846C024" w:rsidR="001920BC" w:rsidRPr="00610B1B" w:rsidRDefault="001920BC" w:rsidP="00B46189">
      <w:pPr>
        <w:pStyle w:val="BodyText"/>
        <w:numPr>
          <w:ilvl w:val="0"/>
          <w:numId w:val="83"/>
        </w:numPr>
        <w:spacing w:before="0" w:after="120" w:line="276" w:lineRule="auto"/>
        <w:ind w:right="-153"/>
        <w:rPr>
          <w:rFonts w:cs="Times New Roman"/>
        </w:rPr>
      </w:pPr>
      <w:r w:rsidRPr="00610B1B">
        <w:rPr>
          <w:rFonts w:cs="Times New Roman"/>
        </w:rPr>
        <w:t>съхран</w:t>
      </w:r>
      <w:r w:rsidR="00275F94" w:rsidRPr="00610B1B">
        <w:rPr>
          <w:rFonts w:cs="Times New Roman"/>
        </w:rPr>
        <w:t>яване на</w:t>
      </w:r>
      <w:r w:rsidRPr="00610B1B">
        <w:rPr>
          <w:rFonts w:cs="Times New Roman"/>
        </w:rPr>
        <w:t xml:space="preserve"> някои морски пространства в техния естествен вид, необезпокоявани от човешките дейности</w:t>
      </w:r>
      <w:r w:rsidR="004965FA" w:rsidRPr="00610B1B">
        <w:rPr>
          <w:rFonts w:cs="Times New Roman"/>
        </w:rPr>
        <w:t xml:space="preserve">, освен за образователни и научни цели. </w:t>
      </w:r>
    </w:p>
    <w:p w14:paraId="62720507" w14:textId="35170105" w:rsidR="0033525D" w:rsidRPr="00610B1B" w:rsidRDefault="005B5A56" w:rsidP="00D32D6A">
      <w:pPr>
        <w:pStyle w:val="BodyText"/>
        <w:spacing w:before="0" w:after="120" w:line="276" w:lineRule="auto"/>
        <w:ind w:right="-153"/>
        <w:rPr>
          <w:rFonts w:cs="Times New Roman"/>
        </w:rPr>
      </w:pPr>
      <w:r w:rsidRPr="00610B1B">
        <w:rPr>
          <w:rFonts w:cs="Times New Roman"/>
        </w:rPr>
        <w:t xml:space="preserve">При зонирането на морските пространства </w:t>
      </w:r>
      <w:r w:rsidR="00480E02" w:rsidRPr="00610B1B">
        <w:rPr>
          <w:rFonts w:cs="Times New Roman"/>
        </w:rPr>
        <w:t>нам</w:t>
      </w:r>
      <w:r w:rsidR="00F250D0" w:rsidRPr="00610B1B">
        <w:rPr>
          <w:rFonts w:cs="Times New Roman"/>
        </w:rPr>
        <w:t>ират</w:t>
      </w:r>
      <w:r w:rsidR="00480E02" w:rsidRPr="00610B1B">
        <w:rPr>
          <w:rFonts w:cs="Times New Roman"/>
        </w:rPr>
        <w:t xml:space="preserve"> приложение </w:t>
      </w:r>
      <w:r w:rsidR="00F250D0" w:rsidRPr="00610B1B">
        <w:rPr>
          <w:rFonts w:cs="Times New Roman"/>
        </w:rPr>
        <w:t xml:space="preserve">и </w:t>
      </w:r>
      <w:r w:rsidRPr="00610B1B">
        <w:rPr>
          <w:rFonts w:cs="Times New Roman"/>
        </w:rPr>
        <w:t xml:space="preserve">част от </w:t>
      </w:r>
      <w:r w:rsidR="00480E02" w:rsidRPr="00610B1B">
        <w:rPr>
          <w:rFonts w:cs="Times New Roman"/>
        </w:rPr>
        <w:t>о</w:t>
      </w:r>
      <w:r w:rsidR="008D739F" w:rsidRPr="00610B1B">
        <w:rPr>
          <w:rFonts w:cs="Times New Roman"/>
        </w:rPr>
        <w:t xml:space="preserve">сновните </w:t>
      </w:r>
      <w:r w:rsidR="008D739F" w:rsidRPr="00610B1B">
        <w:rPr>
          <w:rFonts w:cs="Times New Roman"/>
          <w:b/>
        </w:rPr>
        <w:t>прин</w:t>
      </w:r>
      <w:r w:rsidR="0033525D" w:rsidRPr="00610B1B">
        <w:rPr>
          <w:rFonts w:cs="Times New Roman"/>
          <w:b/>
        </w:rPr>
        <w:t>ципи,</w:t>
      </w:r>
      <w:r w:rsidR="0033525D" w:rsidRPr="00610B1B">
        <w:rPr>
          <w:rFonts w:cs="Times New Roman"/>
        </w:rPr>
        <w:t xml:space="preserve"> приети в План за действие за рехабилитация на Черно море пр</w:t>
      </w:r>
      <w:r w:rsidR="00DF3365" w:rsidRPr="00610B1B">
        <w:rPr>
          <w:rFonts w:cs="Times New Roman"/>
        </w:rPr>
        <w:t>е</w:t>
      </w:r>
      <w:r w:rsidR="0033525D" w:rsidRPr="00610B1B">
        <w:rPr>
          <w:rFonts w:cs="Times New Roman"/>
        </w:rPr>
        <w:t>з 1996 г. и актуализиран</w:t>
      </w:r>
      <w:r w:rsidR="00336B78" w:rsidRPr="00610B1B">
        <w:rPr>
          <w:rFonts w:cs="Times New Roman"/>
        </w:rPr>
        <w:t>и</w:t>
      </w:r>
      <w:r w:rsidR="0033525D" w:rsidRPr="00610B1B">
        <w:rPr>
          <w:rFonts w:cs="Times New Roman"/>
        </w:rPr>
        <w:t xml:space="preserve"> през 2006 г. на срещата в София</w:t>
      </w:r>
      <w:r w:rsidR="00336B78" w:rsidRPr="00610B1B">
        <w:rPr>
          <w:rFonts w:cs="Times New Roman"/>
        </w:rPr>
        <w:t>,</w:t>
      </w:r>
      <w:r w:rsidR="0033525D" w:rsidRPr="00610B1B">
        <w:rPr>
          <w:rFonts w:cs="Times New Roman"/>
        </w:rPr>
        <w:t xml:space="preserve"> </w:t>
      </w:r>
      <w:r w:rsidR="00480E02" w:rsidRPr="00610B1B">
        <w:rPr>
          <w:rFonts w:cs="Times New Roman"/>
        </w:rPr>
        <w:t xml:space="preserve">които са </w:t>
      </w:r>
      <w:r w:rsidR="008D739F" w:rsidRPr="00610B1B">
        <w:rPr>
          <w:rFonts w:cs="Times New Roman"/>
        </w:rPr>
        <w:t>запаз</w:t>
      </w:r>
      <w:r w:rsidR="00480E02" w:rsidRPr="00610B1B">
        <w:rPr>
          <w:rFonts w:cs="Times New Roman"/>
        </w:rPr>
        <w:t>или</w:t>
      </w:r>
      <w:r w:rsidR="008D739F" w:rsidRPr="00610B1B">
        <w:rPr>
          <w:rFonts w:cs="Times New Roman"/>
        </w:rPr>
        <w:t xml:space="preserve"> своята актуалност</w:t>
      </w:r>
      <w:r w:rsidR="00382FAE" w:rsidRPr="00610B1B">
        <w:rPr>
          <w:rFonts w:cs="Times New Roman"/>
        </w:rPr>
        <w:t>:</w:t>
      </w:r>
      <w:r w:rsidR="0033525D" w:rsidRPr="00610B1B">
        <w:rPr>
          <w:rStyle w:val="FootnoteReference"/>
          <w:rFonts w:cs="Times New Roman"/>
        </w:rPr>
        <w:footnoteReference w:id="183"/>
      </w:r>
    </w:p>
    <w:p w14:paraId="0C17398D" w14:textId="23ED16A7" w:rsidR="00506859" w:rsidRPr="00610B1B" w:rsidRDefault="00506859" w:rsidP="00B46189">
      <w:pPr>
        <w:pStyle w:val="BodyText"/>
        <w:numPr>
          <w:ilvl w:val="0"/>
          <w:numId w:val="58"/>
        </w:numPr>
        <w:spacing w:before="0" w:after="120" w:line="276" w:lineRule="auto"/>
        <w:ind w:right="-153"/>
        <w:rPr>
          <w:rFonts w:cs="Times New Roman"/>
        </w:rPr>
      </w:pPr>
      <w:r w:rsidRPr="00610B1B">
        <w:rPr>
          <w:rFonts w:cs="Times New Roman"/>
        </w:rPr>
        <w:t>Прилагане на концепцията за устойчиво развитие в съответствие с капацитета на Черноморските екосистеми и интересите на бъдещите поколения;</w:t>
      </w:r>
    </w:p>
    <w:p w14:paraId="598AD703" w14:textId="7F892FDD" w:rsidR="00506859" w:rsidRPr="00610B1B" w:rsidRDefault="00506859" w:rsidP="00B46189">
      <w:pPr>
        <w:pStyle w:val="BodyText"/>
        <w:numPr>
          <w:ilvl w:val="0"/>
          <w:numId w:val="58"/>
        </w:numPr>
        <w:spacing w:before="0" w:after="120" w:line="276" w:lineRule="auto"/>
        <w:ind w:right="-153"/>
        <w:rPr>
          <w:rFonts w:cs="Times New Roman"/>
        </w:rPr>
      </w:pPr>
      <w:r w:rsidRPr="00610B1B">
        <w:rPr>
          <w:rFonts w:cs="Times New Roman"/>
        </w:rPr>
        <w:t>Прилагане на превантивни мерки, когато съществува риск за здравето на хората, опасност за живите ресурси и морските екосистеми, дори и когато няма категорични доказателства</w:t>
      </w:r>
      <w:r w:rsidR="00336B78" w:rsidRPr="00610B1B">
        <w:rPr>
          <w:rFonts w:cs="Times New Roman"/>
        </w:rPr>
        <w:t>,</w:t>
      </w:r>
      <w:r w:rsidRPr="00610B1B">
        <w:rPr>
          <w:rFonts w:cs="Times New Roman"/>
        </w:rPr>
        <w:t xml:space="preserve"> </w:t>
      </w:r>
      <w:r w:rsidR="00336B78" w:rsidRPr="00610B1B">
        <w:rPr>
          <w:rFonts w:cs="Times New Roman"/>
        </w:rPr>
        <w:t>а</w:t>
      </w:r>
      <w:r w:rsidRPr="00610B1B">
        <w:rPr>
          <w:rFonts w:cs="Times New Roman"/>
        </w:rPr>
        <w:t xml:space="preserve"> информацията е ненадеждна или недостатъчна</w:t>
      </w:r>
      <w:r w:rsidR="00470C13" w:rsidRPr="00610B1B">
        <w:rPr>
          <w:rFonts w:cs="Times New Roman"/>
        </w:rPr>
        <w:t>;</w:t>
      </w:r>
    </w:p>
    <w:p w14:paraId="3D5BEA6C" w14:textId="2436DB04" w:rsidR="00470C13" w:rsidRPr="00610B1B" w:rsidRDefault="00470C13" w:rsidP="00B46189">
      <w:pPr>
        <w:pStyle w:val="BodyText"/>
        <w:numPr>
          <w:ilvl w:val="0"/>
          <w:numId w:val="58"/>
        </w:numPr>
        <w:spacing w:before="0" w:after="120" w:line="276" w:lineRule="auto"/>
        <w:ind w:right="-153"/>
        <w:rPr>
          <w:rFonts w:cs="Times New Roman"/>
        </w:rPr>
      </w:pPr>
      <w:r w:rsidRPr="00610B1B">
        <w:rPr>
          <w:rFonts w:cs="Times New Roman"/>
        </w:rPr>
        <w:t>Планиране на извънредни ситуации, прилагане на оценка на въздействието върху околната среда и стратегическа оценка, включително оценка на последствията от правителствените политики, програми и планове</w:t>
      </w:r>
      <w:r w:rsidR="00336B78" w:rsidRPr="00610B1B">
        <w:rPr>
          <w:rFonts w:cs="Times New Roman"/>
        </w:rPr>
        <w:t>,</w:t>
      </w:r>
      <w:r w:rsidRPr="00610B1B">
        <w:rPr>
          <w:rFonts w:cs="Times New Roman"/>
        </w:rPr>
        <w:t xml:space="preserve"> върху околната среда;</w:t>
      </w:r>
    </w:p>
    <w:p w14:paraId="677CF1BB" w14:textId="77777777" w:rsidR="00695BEA" w:rsidRPr="00610B1B" w:rsidRDefault="00695BEA" w:rsidP="00695BEA">
      <w:pPr>
        <w:pStyle w:val="BodyText"/>
        <w:spacing w:before="0" w:after="120" w:line="276" w:lineRule="auto"/>
        <w:ind w:right="-153"/>
        <w:rPr>
          <w:rFonts w:cs="Times New Roman"/>
        </w:rPr>
      </w:pPr>
    </w:p>
    <w:p w14:paraId="0E806FD4" w14:textId="05F3A06F" w:rsidR="00470C13" w:rsidRPr="00610B1B" w:rsidRDefault="00470C13" w:rsidP="00B46189">
      <w:pPr>
        <w:pStyle w:val="BodyText"/>
        <w:numPr>
          <w:ilvl w:val="0"/>
          <w:numId w:val="58"/>
        </w:numPr>
        <w:spacing w:before="0" w:after="120" w:line="276" w:lineRule="auto"/>
        <w:ind w:right="-153"/>
        <w:rPr>
          <w:rFonts w:cs="Times New Roman"/>
        </w:rPr>
      </w:pPr>
      <w:r w:rsidRPr="00610B1B">
        <w:rPr>
          <w:rFonts w:cs="Times New Roman"/>
        </w:rPr>
        <w:lastRenderedPageBreak/>
        <w:t>Стимулиране използването на чисти технологии,</w:t>
      </w:r>
      <w:r w:rsidR="005B5A56" w:rsidRPr="00610B1B">
        <w:rPr>
          <w:rFonts w:cs="Times New Roman"/>
        </w:rPr>
        <w:t xml:space="preserve"> чрез</w:t>
      </w:r>
      <w:r w:rsidRPr="00610B1B">
        <w:rPr>
          <w:rFonts w:cs="Times New Roman"/>
        </w:rPr>
        <w:t xml:space="preserve"> постепенно прекратяване на технологиите</w:t>
      </w:r>
      <w:r w:rsidR="00336B78" w:rsidRPr="00610B1B">
        <w:rPr>
          <w:rFonts w:cs="Times New Roman"/>
        </w:rPr>
        <w:t xml:space="preserve">, които </w:t>
      </w:r>
      <w:r w:rsidRPr="00610B1B">
        <w:rPr>
          <w:rFonts w:cs="Times New Roman"/>
        </w:rPr>
        <w:t>генерира</w:t>
      </w:r>
      <w:r w:rsidR="00336B78" w:rsidRPr="00610B1B">
        <w:rPr>
          <w:rFonts w:cs="Times New Roman"/>
        </w:rPr>
        <w:t>т</w:t>
      </w:r>
      <w:r w:rsidRPr="00610B1B">
        <w:rPr>
          <w:rFonts w:cs="Times New Roman"/>
        </w:rPr>
        <w:t xml:space="preserve"> отпадъци;</w:t>
      </w:r>
    </w:p>
    <w:p w14:paraId="270ECD99" w14:textId="7E6017BB" w:rsidR="00470C13" w:rsidRPr="00610B1B" w:rsidRDefault="00470C13" w:rsidP="00B46189">
      <w:pPr>
        <w:pStyle w:val="BodyText"/>
        <w:numPr>
          <w:ilvl w:val="0"/>
          <w:numId w:val="58"/>
        </w:numPr>
        <w:spacing w:before="0" w:after="120" w:line="276" w:lineRule="auto"/>
        <w:ind w:right="-153"/>
        <w:rPr>
          <w:rFonts w:cs="Times New Roman"/>
        </w:rPr>
      </w:pPr>
      <w:r w:rsidRPr="00610B1B">
        <w:rPr>
          <w:rFonts w:cs="Times New Roman"/>
        </w:rPr>
        <w:t>Прилагане на икономически инструменти за насърчаване на устойчиви практики и икономически стимули за въвеждане на екологични технологии и дейности;</w:t>
      </w:r>
    </w:p>
    <w:p w14:paraId="137DCA5B" w14:textId="5A2D9B9F" w:rsidR="00506859" w:rsidRPr="00610B1B" w:rsidRDefault="00336B78" w:rsidP="00B46189">
      <w:pPr>
        <w:pStyle w:val="BodyText"/>
        <w:numPr>
          <w:ilvl w:val="0"/>
          <w:numId w:val="58"/>
        </w:numPr>
        <w:spacing w:before="0" w:after="120" w:line="276" w:lineRule="auto"/>
        <w:ind w:right="-153"/>
        <w:rPr>
          <w:rFonts w:cs="Times New Roman"/>
        </w:rPr>
      </w:pPr>
      <w:r w:rsidRPr="00610B1B">
        <w:rPr>
          <w:rFonts w:cs="Times New Roman"/>
        </w:rPr>
        <w:t>Приемане на временни договорености, които улесняват възстановяването и опазването на черноморската екосистема и устойчивото управление на нейните ресурси</w:t>
      </w:r>
      <w:r w:rsidR="00060F79" w:rsidRPr="00610B1B">
        <w:rPr>
          <w:rFonts w:cs="Times New Roman"/>
        </w:rPr>
        <w:t>,</w:t>
      </w:r>
      <w:r w:rsidRPr="00610B1B">
        <w:rPr>
          <w:rFonts w:cs="Times New Roman"/>
        </w:rPr>
        <w:t xml:space="preserve"> д</w:t>
      </w:r>
      <w:r w:rsidR="00470C13" w:rsidRPr="00610B1B">
        <w:rPr>
          <w:rFonts w:cs="Times New Roman"/>
        </w:rPr>
        <w:t xml:space="preserve">о решаването на въпросите </w:t>
      </w:r>
      <w:r w:rsidRPr="00610B1B">
        <w:rPr>
          <w:rFonts w:cs="Times New Roman"/>
        </w:rPr>
        <w:t xml:space="preserve">за морските граници </w:t>
      </w:r>
      <w:r w:rsidR="00470C13" w:rsidRPr="00610B1B">
        <w:rPr>
          <w:rFonts w:cs="Times New Roman"/>
        </w:rPr>
        <w:t>в региона;</w:t>
      </w:r>
    </w:p>
    <w:p w14:paraId="60AF0131" w14:textId="76622D61" w:rsidR="00470C13" w:rsidRPr="00610B1B" w:rsidRDefault="00470C13" w:rsidP="00B46189">
      <w:pPr>
        <w:pStyle w:val="BodyText"/>
        <w:numPr>
          <w:ilvl w:val="0"/>
          <w:numId w:val="58"/>
        </w:numPr>
        <w:spacing w:before="0" w:after="120" w:line="276" w:lineRule="auto"/>
        <w:ind w:right="-153"/>
        <w:rPr>
          <w:rFonts w:cs="Times New Roman"/>
        </w:rPr>
      </w:pPr>
      <w:r w:rsidRPr="00610B1B">
        <w:rPr>
          <w:rFonts w:cs="Times New Roman"/>
        </w:rPr>
        <w:t>Насърчаване на сътрудничеството между всички държави на Черноморския басейн и по-специално между черноморските крайбрежни държави и държавите от басейна на река Дунав;</w:t>
      </w:r>
    </w:p>
    <w:p w14:paraId="2F73DBEC" w14:textId="0BE9E202" w:rsidR="00470C13" w:rsidRPr="00610B1B" w:rsidRDefault="00470C13" w:rsidP="00B46189">
      <w:pPr>
        <w:pStyle w:val="BodyText"/>
        <w:numPr>
          <w:ilvl w:val="0"/>
          <w:numId w:val="58"/>
        </w:numPr>
        <w:spacing w:before="0" w:after="120" w:line="276" w:lineRule="auto"/>
        <w:ind w:right="-153"/>
        <w:rPr>
          <w:rFonts w:cs="Times New Roman"/>
        </w:rPr>
      </w:pPr>
      <w:r w:rsidRPr="00610B1B">
        <w:rPr>
          <w:rFonts w:cs="Times New Roman"/>
        </w:rPr>
        <w:t>Насърчаване на прозрачностт</w:t>
      </w:r>
      <w:r w:rsidR="00AE376C" w:rsidRPr="00610B1B">
        <w:rPr>
          <w:rFonts w:cs="Times New Roman"/>
        </w:rPr>
        <w:t>а</w:t>
      </w:r>
      <w:r w:rsidRPr="00610B1B">
        <w:rPr>
          <w:rFonts w:cs="Times New Roman"/>
        </w:rPr>
        <w:t xml:space="preserve"> и участието на обществеността чрез широко разпространение на информация за работата за възстановяване и защита на Черно море, признаване и упражняване на правото на участие на обществеността</w:t>
      </w:r>
      <w:r w:rsidR="005E0A6E" w:rsidRPr="00610B1B">
        <w:rPr>
          <w:rFonts w:cs="Times New Roman"/>
        </w:rPr>
        <w:t xml:space="preserve"> </w:t>
      </w:r>
      <w:r w:rsidRPr="00610B1B">
        <w:rPr>
          <w:rFonts w:cs="Times New Roman"/>
        </w:rPr>
        <w:t>в процеса на вземане на решения</w:t>
      </w:r>
      <w:r w:rsidR="005B5A56" w:rsidRPr="00610B1B">
        <w:rPr>
          <w:rFonts w:cs="Times New Roman"/>
        </w:rPr>
        <w:t>;</w:t>
      </w:r>
    </w:p>
    <w:p w14:paraId="6C7F1290" w14:textId="466D4B57" w:rsidR="005B5A56" w:rsidRPr="00610B1B" w:rsidRDefault="005B5A56" w:rsidP="00B46189">
      <w:pPr>
        <w:pStyle w:val="BodyText"/>
        <w:numPr>
          <w:ilvl w:val="0"/>
          <w:numId w:val="58"/>
        </w:numPr>
        <w:spacing w:before="0" w:after="120" w:line="276" w:lineRule="auto"/>
        <w:ind w:right="-153"/>
        <w:rPr>
          <w:rFonts w:cs="Times New Roman"/>
        </w:rPr>
      </w:pPr>
      <w:r w:rsidRPr="00610B1B">
        <w:rPr>
          <w:rFonts w:cs="Times New Roman"/>
        </w:rPr>
        <w:t>Включване на въпросите за околната среда и здравето във всички политики и секторни планове – морски транспорт, туризъм, морски индустрии, рибарство и аквакултура, градоустройство.</w:t>
      </w:r>
    </w:p>
    <w:p w14:paraId="605DCC65" w14:textId="667E4E23" w:rsidR="00AE376C" w:rsidRPr="00610B1B" w:rsidRDefault="00AE376C" w:rsidP="00D32D6A">
      <w:pPr>
        <w:pStyle w:val="BodyText"/>
        <w:spacing w:before="0" w:after="120" w:line="276" w:lineRule="auto"/>
        <w:ind w:right="-153"/>
        <w:rPr>
          <w:rFonts w:cs="Times New Roman"/>
        </w:rPr>
      </w:pPr>
      <w:r w:rsidRPr="00610B1B">
        <w:rPr>
          <w:rFonts w:cs="Times New Roman"/>
        </w:rPr>
        <w:t xml:space="preserve">Към тези </w:t>
      </w:r>
      <w:r w:rsidR="00615A13" w:rsidRPr="00610B1B">
        <w:rPr>
          <w:rFonts w:cs="Times New Roman"/>
        </w:rPr>
        <w:t xml:space="preserve">общи </w:t>
      </w:r>
      <w:r w:rsidRPr="00610B1B">
        <w:rPr>
          <w:rFonts w:cs="Times New Roman"/>
        </w:rPr>
        <w:t>принципи</w:t>
      </w:r>
      <w:r w:rsidR="00615A13" w:rsidRPr="00610B1B">
        <w:rPr>
          <w:rFonts w:cs="Times New Roman"/>
        </w:rPr>
        <w:t>, засяга</w:t>
      </w:r>
      <w:r w:rsidR="006875FD" w:rsidRPr="00610B1B">
        <w:rPr>
          <w:rFonts w:cs="Times New Roman"/>
        </w:rPr>
        <w:t>щи</w:t>
      </w:r>
      <w:r w:rsidR="00615A13" w:rsidRPr="00610B1B">
        <w:rPr>
          <w:rFonts w:cs="Times New Roman"/>
        </w:rPr>
        <w:t xml:space="preserve"> различни сектори на морската икономика и всички</w:t>
      </w:r>
      <w:r w:rsidRPr="00610B1B">
        <w:rPr>
          <w:rFonts w:cs="Times New Roman"/>
        </w:rPr>
        <w:t xml:space="preserve"> </w:t>
      </w:r>
      <w:r w:rsidR="006875FD" w:rsidRPr="00610B1B">
        <w:rPr>
          <w:rFonts w:cs="Times New Roman"/>
        </w:rPr>
        <w:t xml:space="preserve">по-важни въпроси, свързани с устойчивото развитие на Черноморския регион, </w:t>
      </w:r>
      <w:r w:rsidRPr="00610B1B">
        <w:rPr>
          <w:rFonts w:cs="Times New Roman"/>
        </w:rPr>
        <w:t xml:space="preserve">следва да се добавят </w:t>
      </w:r>
      <w:r w:rsidR="006875FD" w:rsidRPr="00610B1B">
        <w:rPr>
          <w:rFonts w:cs="Times New Roman"/>
        </w:rPr>
        <w:t>още и директно насочени</w:t>
      </w:r>
      <w:r w:rsidR="005B5A56" w:rsidRPr="00610B1B">
        <w:rPr>
          <w:rFonts w:cs="Times New Roman"/>
        </w:rPr>
        <w:t>те</w:t>
      </w:r>
      <w:r w:rsidR="006875FD" w:rsidRPr="00610B1B">
        <w:rPr>
          <w:rFonts w:cs="Times New Roman"/>
        </w:rPr>
        <w:t xml:space="preserve"> към функционалното зониране</w:t>
      </w:r>
      <w:r w:rsidR="005B5A56" w:rsidRPr="00610B1B">
        <w:rPr>
          <w:rFonts w:cs="Times New Roman"/>
        </w:rPr>
        <w:t xml:space="preserve"> принципи</w:t>
      </w:r>
      <w:r w:rsidR="006875FD" w:rsidRPr="00610B1B">
        <w:rPr>
          <w:rFonts w:cs="Times New Roman"/>
        </w:rPr>
        <w:t>:</w:t>
      </w:r>
    </w:p>
    <w:p w14:paraId="3556850B" w14:textId="62F2F3FA" w:rsidR="006875FD" w:rsidRPr="00610B1B" w:rsidRDefault="003C09AE" w:rsidP="00B46189">
      <w:pPr>
        <w:pStyle w:val="BodyText"/>
        <w:numPr>
          <w:ilvl w:val="0"/>
          <w:numId w:val="59"/>
        </w:numPr>
        <w:spacing w:before="0" w:after="120" w:line="276" w:lineRule="auto"/>
        <w:ind w:right="-153"/>
        <w:rPr>
          <w:rFonts w:cs="Times New Roman"/>
        </w:rPr>
      </w:pPr>
      <w:r w:rsidRPr="00610B1B">
        <w:rPr>
          <w:rFonts w:cs="Times New Roman"/>
          <w:i/>
        </w:rPr>
        <w:t xml:space="preserve">Организационна </w:t>
      </w:r>
      <w:r w:rsidR="008D739F" w:rsidRPr="00610B1B">
        <w:rPr>
          <w:rFonts w:cs="Times New Roman"/>
          <w:i/>
        </w:rPr>
        <w:t>ефективност</w:t>
      </w:r>
      <w:r w:rsidR="008D739F" w:rsidRPr="00610B1B">
        <w:rPr>
          <w:rFonts w:cs="Times New Roman"/>
        </w:rPr>
        <w:t xml:space="preserve"> при съвместяване на фу</w:t>
      </w:r>
      <w:r w:rsidR="001807DB" w:rsidRPr="00610B1B">
        <w:rPr>
          <w:rFonts w:cs="Times New Roman"/>
        </w:rPr>
        <w:t>нкциите и</w:t>
      </w:r>
      <w:r w:rsidR="008D739F" w:rsidRPr="00610B1B">
        <w:rPr>
          <w:rFonts w:cs="Times New Roman"/>
        </w:rPr>
        <w:t xml:space="preserve"> на </w:t>
      </w:r>
      <w:r w:rsidRPr="00610B1B">
        <w:rPr>
          <w:rFonts w:cs="Times New Roman"/>
        </w:rPr>
        <w:t xml:space="preserve">логистичните, </w:t>
      </w:r>
      <w:r w:rsidR="008D739F" w:rsidRPr="00610B1B">
        <w:rPr>
          <w:rFonts w:cs="Times New Roman"/>
        </w:rPr>
        <w:t>транспортните и комуникационни</w:t>
      </w:r>
      <w:r w:rsidRPr="00610B1B">
        <w:rPr>
          <w:rFonts w:cs="Times New Roman"/>
        </w:rPr>
        <w:t>те</w:t>
      </w:r>
      <w:r w:rsidR="008D739F" w:rsidRPr="00610B1B">
        <w:rPr>
          <w:rFonts w:cs="Times New Roman"/>
        </w:rPr>
        <w:t xml:space="preserve"> потоци</w:t>
      </w:r>
      <w:r w:rsidR="006418C3" w:rsidRPr="00610B1B">
        <w:rPr>
          <w:rFonts w:cs="Times New Roman"/>
        </w:rPr>
        <w:t xml:space="preserve"> в морските пространства</w:t>
      </w:r>
      <w:r w:rsidR="001807DB" w:rsidRPr="00610B1B">
        <w:rPr>
          <w:rFonts w:cs="Times New Roman"/>
        </w:rPr>
        <w:t xml:space="preserve"> </w:t>
      </w:r>
      <w:r w:rsidRPr="00610B1B">
        <w:rPr>
          <w:rFonts w:cs="Times New Roman"/>
        </w:rPr>
        <w:t>за</w:t>
      </w:r>
      <w:r w:rsidR="001807DB" w:rsidRPr="00610B1B">
        <w:rPr>
          <w:rFonts w:cs="Times New Roman"/>
        </w:rPr>
        <w:t xml:space="preserve"> намаляване на разходите</w:t>
      </w:r>
      <w:r w:rsidRPr="00610B1B">
        <w:rPr>
          <w:rFonts w:cs="Times New Roman"/>
        </w:rPr>
        <w:t>,</w:t>
      </w:r>
      <w:r w:rsidR="001807DB" w:rsidRPr="00610B1B">
        <w:rPr>
          <w:rFonts w:cs="Times New Roman"/>
        </w:rPr>
        <w:t xml:space="preserve"> на замърсяването на околната среда и на конфликтите; </w:t>
      </w:r>
    </w:p>
    <w:p w14:paraId="07C9B360" w14:textId="4E8EECC4" w:rsidR="001807DB" w:rsidRPr="00610B1B" w:rsidRDefault="003C09AE" w:rsidP="00B46189">
      <w:pPr>
        <w:pStyle w:val="BodyText"/>
        <w:numPr>
          <w:ilvl w:val="0"/>
          <w:numId w:val="59"/>
        </w:numPr>
        <w:spacing w:before="0" w:after="120" w:line="276" w:lineRule="auto"/>
        <w:ind w:right="-153"/>
        <w:rPr>
          <w:rFonts w:cs="Times New Roman"/>
        </w:rPr>
      </w:pPr>
      <w:r w:rsidRPr="00610B1B">
        <w:rPr>
          <w:rFonts w:cs="Times New Roman"/>
          <w:i/>
        </w:rPr>
        <w:t xml:space="preserve">Технологична </w:t>
      </w:r>
      <w:r w:rsidR="001807DB" w:rsidRPr="00610B1B">
        <w:rPr>
          <w:rFonts w:cs="Times New Roman"/>
          <w:i/>
        </w:rPr>
        <w:t>ефективност</w:t>
      </w:r>
      <w:r w:rsidR="001807DB" w:rsidRPr="00610B1B">
        <w:rPr>
          <w:rFonts w:cs="Times New Roman"/>
        </w:rPr>
        <w:t xml:space="preserve"> чрез съвместяване на дейностите и операциите в морските пространства</w:t>
      </w:r>
      <w:r w:rsidR="006418C3" w:rsidRPr="00610B1B">
        <w:rPr>
          <w:rFonts w:cs="Times New Roman"/>
        </w:rPr>
        <w:t xml:space="preserve">, включително при проучвания за </w:t>
      </w:r>
      <w:r w:rsidR="005E42BA" w:rsidRPr="00610B1B">
        <w:rPr>
          <w:rFonts w:cs="Times New Roman"/>
        </w:rPr>
        <w:t>доб</w:t>
      </w:r>
      <w:r w:rsidR="00F250D0" w:rsidRPr="00610B1B">
        <w:rPr>
          <w:rFonts w:cs="Times New Roman"/>
        </w:rPr>
        <w:t>и</w:t>
      </w:r>
      <w:r w:rsidR="005E42BA" w:rsidRPr="00610B1B">
        <w:rPr>
          <w:rFonts w:cs="Times New Roman"/>
        </w:rPr>
        <w:t xml:space="preserve">в на </w:t>
      </w:r>
      <w:r w:rsidR="006418C3" w:rsidRPr="00610B1B">
        <w:rPr>
          <w:rFonts w:cs="Times New Roman"/>
        </w:rPr>
        <w:t>нефт и газ, риболов, отглеждане на аквакултури, изследване на обекти на подводното културно наследство, пристанищни дейности и др.</w:t>
      </w:r>
      <w:r w:rsidR="005E0A6E" w:rsidRPr="00610B1B">
        <w:rPr>
          <w:rFonts w:cs="Times New Roman"/>
        </w:rPr>
        <w:t>,</w:t>
      </w:r>
      <w:r w:rsidR="006418C3" w:rsidRPr="00610B1B">
        <w:rPr>
          <w:rFonts w:cs="Times New Roman"/>
        </w:rPr>
        <w:t xml:space="preserve"> с оглед намаляване на натиска върху </w:t>
      </w:r>
      <w:r w:rsidR="005E42BA" w:rsidRPr="00610B1B">
        <w:rPr>
          <w:rFonts w:cs="Times New Roman"/>
        </w:rPr>
        <w:t xml:space="preserve">морската </w:t>
      </w:r>
      <w:r w:rsidR="006418C3" w:rsidRPr="00610B1B">
        <w:rPr>
          <w:rFonts w:cs="Times New Roman"/>
        </w:rPr>
        <w:t>околна среда и бреговата зона</w:t>
      </w:r>
      <w:r w:rsidR="005B5A56" w:rsidRPr="00610B1B">
        <w:rPr>
          <w:rFonts w:cs="Times New Roman"/>
        </w:rPr>
        <w:t xml:space="preserve"> и намаляване на риска от инциденти</w:t>
      </w:r>
      <w:r w:rsidR="006418C3" w:rsidRPr="00610B1B">
        <w:rPr>
          <w:rFonts w:cs="Times New Roman"/>
        </w:rPr>
        <w:t>;</w:t>
      </w:r>
    </w:p>
    <w:p w14:paraId="0D07CF8E" w14:textId="74CCE254" w:rsidR="006418C3" w:rsidRPr="00610B1B" w:rsidRDefault="003C09AE" w:rsidP="00B46189">
      <w:pPr>
        <w:pStyle w:val="BodyText"/>
        <w:numPr>
          <w:ilvl w:val="0"/>
          <w:numId w:val="59"/>
        </w:numPr>
        <w:spacing w:before="0" w:after="120" w:line="276" w:lineRule="auto"/>
        <w:ind w:right="-153"/>
        <w:rPr>
          <w:rFonts w:cs="Times New Roman"/>
        </w:rPr>
      </w:pPr>
      <w:r w:rsidRPr="00610B1B">
        <w:rPr>
          <w:rFonts w:cs="Times New Roman"/>
          <w:i/>
        </w:rPr>
        <w:t xml:space="preserve">Функционална съвместимост </w:t>
      </w:r>
      <w:r w:rsidR="00CF3856" w:rsidRPr="00610B1B">
        <w:rPr>
          <w:rFonts w:cs="Times New Roman"/>
          <w:i/>
        </w:rPr>
        <w:t xml:space="preserve">и синергия </w:t>
      </w:r>
      <w:r w:rsidRPr="00610B1B">
        <w:rPr>
          <w:rFonts w:cs="Times New Roman"/>
        </w:rPr>
        <w:t>от безконфликтното съчетаване на взаимно допълващи се дейности</w:t>
      </w:r>
      <w:r w:rsidR="00CF3856" w:rsidRPr="00610B1B">
        <w:rPr>
          <w:rFonts w:cs="Times New Roman"/>
        </w:rPr>
        <w:t xml:space="preserve"> в морските пространства и постигане на по-висока добавена стойност и по-високо качество на морските ползвания. </w:t>
      </w:r>
    </w:p>
    <w:p w14:paraId="19FE2E59" w14:textId="5C1DEDC6" w:rsidR="006875FD" w:rsidRPr="00610B1B" w:rsidRDefault="00CF3856" w:rsidP="00D32D6A">
      <w:pPr>
        <w:pStyle w:val="BodyText"/>
        <w:spacing w:before="0" w:after="120" w:line="276" w:lineRule="auto"/>
        <w:ind w:right="-153"/>
        <w:rPr>
          <w:rFonts w:cs="Times New Roman"/>
        </w:rPr>
      </w:pPr>
      <w:r w:rsidRPr="00610B1B">
        <w:rPr>
          <w:rFonts w:cs="Times New Roman"/>
        </w:rPr>
        <w:t>В</w:t>
      </w:r>
      <w:r w:rsidR="00772A7D" w:rsidRPr="00610B1B">
        <w:rPr>
          <w:rFonts w:cs="Times New Roman"/>
        </w:rPr>
        <w:t>ъв</w:t>
      </w:r>
      <w:r w:rsidRPr="00610B1B">
        <w:rPr>
          <w:rFonts w:cs="Times New Roman"/>
        </w:rPr>
        <w:t xml:space="preserve"> функционални</w:t>
      </w:r>
      <w:r w:rsidR="00C03406" w:rsidRPr="00610B1B">
        <w:rPr>
          <w:rFonts w:cs="Times New Roman"/>
        </w:rPr>
        <w:t>те</w:t>
      </w:r>
      <w:r w:rsidRPr="00610B1B">
        <w:rPr>
          <w:rFonts w:cs="Times New Roman"/>
        </w:rPr>
        <w:t xml:space="preserve"> зони съ</w:t>
      </w:r>
      <w:r w:rsidR="00C12C3D" w:rsidRPr="00610B1B">
        <w:rPr>
          <w:rFonts w:cs="Times New Roman"/>
        </w:rPr>
        <w:t>гласно</w:t>
      </w:r>
      <w:r w:rsidRPr="00610B1B">
        <w:rPr>
          <w:rFonts w:cs="Times New Roman"/>
        </w:rPr>
        <w:t xml:space="preserve"> ЗМПВВППРБ се прилагат режимите</w:t>
      </w:r>
      <w:r w:rsidR="005E0A6E" w:rsidRPr="00610B1B">
        <w:rPr>
          <w:rFonts w:cs="Times New Roman"/>
        </w:rPr>
        <w:t xml:space="preserve">, определени от действащите общи и специализирани законови и подзаконови актове, от приети споразумения и протоколи и стратегически документи. </w:t>
      </w:r>
    </w:p>
    <w:p w14:paraId="5524072E" w14:textId="28A90D4F" w:rsidR="00D32D6A" w:rsidRPr="00610B1B" w:rsidRDefault="00D32D6A" w:rsidP="00D32D6A">
      <w:pPr>
        <w:shd w:val="clear" w:color="auto" w:fill="FFFFFF"/>
        <w:spacing w:after="120"/>
        <w:jc w:val="both"/>
        <w:rPr>
          <w:rFonts w:ascii="Times New Roman" w:eastAsia="Times New Roman" w:hAnsi="Times New Roman" w:cs="Times New Roman"/>
          <w:i/>
          <w:iCs/>
          <w:color w:val="222222"/>
          <w:sz w:val="24"/>
          <w:szCs w:val="24"/>
          <w:lang w:val="bg-BG"/>
        </w:rPr>
      </w:pPr>
    </w:p>
    <w:p w14:paraId="78705E25" w14:textId="09D8B877" w:rsidR="00140F67" w:rsidRPr="00610B1B" w:rsidRDefault="00140F67" w:rsidP="00D32D6A">
      <w:pPr>
        <w:shd w:val="clear" w:color="auto" w:fill="FFFFFF"/>
        <w:spacing w:after="120"/>
        <w:jc w:val="both"/>
        <w:rPr>
          <w:rFonts w:ascii="Times New Roman" w:eastAsia="Times New Roman" w:hAnsi="Times New Roman" w:cs="Times New Roman"/>
          <w:i/>
          <w:iCs/>
          <w:color w:val="222222"/>
          <w:sz w:val="24"/>
          <w:szCs w:val="24"/>
          <w:lang w:val="bg-BG"/>
        </w:rPr>
      </w:pPr>
    </w:p>
    <w:p w14:paraId="1D780E95" w14:textId="1E4AAA36" w:rsidR="00D32D6A" w:rsidRPr="00610B1B" w:rsidRDefault="00D32D6A" w:rsidP="00D32D6A">
      <w:pPr>
        <w:shd w:val="clear" w:color="auto" w:fill="FFFFFF"/>
        <w:spacing w:after="120"/>
        <w:jc w:val="both"/>
        <w:rPr>
          <w:rFonts w:ascii="Times New Roman" w:eastAsia="Times New Roman" w:hAnsi="Times New Roman" w:cs="Times New Roman"/>
          <w:i/>
          <w:iCs/>
          <w:color w:val="222222"/>
          <w:sz w:val="24"/>
          <w:szCs w:val="24"/>
          <w:lang w:val="bg-BG"/>
        </w:rPr>
      </w:pPr>
    </w:p>
    <w:p w14:paraId="3170A3A6" w14:textId="77777777" w:rsidR="00D32D6A" w:rsidRPr="00610B1B" w:rsidRDefault="00D32D6A" w:rsidP="00D32D6A">
      <w:pPr>
        <w:shd w:val="clear" w:color="auto" w:fill="FFFFFF"/>
        <w:spacing w:after="120"/>
        <w:jc w:val="both"/>
        <w:rPr>
          <w:rFonts w:ascii="Times New Roman" w:eastAsia="Times New Roman" w:hAnsi="Times New Roman" w:cs="Times New Roman"/>
          <w:i/>
          <w:iCs/>
          <w:color w:val="222222"/>
          <w:sz w:val="24"/>
          <w:szCs w:val="24"/>
          <w:lang w:val="bg-BG"/>
        </w:rPr>
      </w:pPr>
    </w:p>
    <w:p w14:paraId="4A3547B2" w14:textId="59B0506E" w:rsidR="00183FEA" w:rsidRPr="00610B1B" w:rsidRDefault="004B7385" w:rsidP="00D32D6A">
      <w:pPr>
        <w:pStyle w:val="Heading2"/>
        <w:numPr>
          <w:ilvl w:val="0"/>
          <w:numId w:val="0"/>
        </w:numPr>
        <w:spacing w:before="0" w:line="276" w:lineRule="auto"/>
        <w:ind w:left="576" w:right="-153" w:hanging="576"/>
        <w:rPr>
          <w:rFonts w:cs="Times New Roman"/>
        </w:rPr>
      </w:pPr>
      <w:bookmarkStart w:id="458" w:name="_Toc83391429"/>
      <w:r w:rsidRPr="00610B1B">
        <w:rPr>
          <w:rFonts w:cs="Times New Roman"/>
        </w:rPr>
        <w:lastRenderedPageBreak/>
        <w:t>6.</w:t>
      </w:r>
      <w:r w:rsidR="00DE4B4C" w:rsidRPr="00610B1B">
        <w:rPr>
          <w:rFonts w:cs="Times New Roman"/>
        </w:rPr>
        <w:t>2</w:t>
      </w:r>
      <w:r w:rsidRPr="00610B1B">
        <w:rPr>
          <w:rFonts w:cs="Times New Roman"/>
        </w:rPr>
        <w:t xml:space="preserve">. </w:t>
      </w:r>
      <w:r w:rsidR="00E85735" w:rsidRPr="00610B1B">
        <w:rPr>
          <w:rFonts w:cs="Times New Roman"/>
        </w:rPr>
        <w:t>Конфликти и синергия във функционалното зониране на морските пространства</w:t>
      </w:r>
      <w:bookmarkEnd w:id="458"/>
    </w:p>
    <w:p w14:paraId="59FF2E06" w14:textId="164E8CC2" w:rsidR="00012D1F" w:rsidRPr="00610B1B" w:rsidRDefault="00B45276" w:rsidP="00D32D6A">
      <w:pPr>
        <w:pStyle w:val="Heading3"/>
        <w:spacing w:before="0" w:line="276" w:lineRule="auto"/>
        <w:rPr>
          <w:rFonts w:cs="Times New Roman"/>
        </w:rPr>
      </w:pPr>
      <w:bookmarkStart w:id="459" w:name="_Toc83391430"/>
      <w:r w:rsidRPr="00610B1B">
        <w:rPr>
          <w:rFonts w:cs="Times New Roman"/>
        </w:rPr>
        <w:t>6.</w:t>
      </w:r>
      <w:r w:rsidR="00DE4B4C" w:rsidRPr="00610B1B">
        <w:rPr>
          <w:rFonts w:cs="Times New Roman"/>
        </w:rPr>
        <w:t>2</w:t>
      </w:r>
      <w:r w:rsidRPr="00610B1B">
        <w:rPr>
          <w:rFonts w:cs="Times New Roman"/>
        </w:rPr>
        <w:t xml:space="preserve">.1. </w:t>
      </w:r>
      <w:r w:rsidR="00012D1F" w:rsidRPr="00610B1B">
        <w:rPr>
          <w:rFonts w:cs="Times New Roman"/>
        </w:rPr>
        <w:t>Съвместими и несъвместими функции и дейности.</w:t>
      </w:r>
      <w:bookmarkEnd w:id="459"/>
    </w:p>
    <w:p w14:paraId="2D957499" w14:textId="77777777" w:rsidR="00012D1F" w:rsidRPr="00610B1B" w:rsidRDefault="00012D1F" w:rsidP="00695BEA">
      <w:pPr>
        <w:pStyle w:val="BodyText"/>
        <w:spacing w:before="0" w:after="120" w:line="240" w:lineRule="auto"/>
        <w:rPr>
          <w:rFonts w:cs="Times New Roman"/>
        </w:rPr>
      </w:pPr>
      <w:r w:rsidRPr="00610B1B">
        <w:rPr>
          <w:rFonts w:cs="Times New Roman"/>
          <w:b/>
          <w:bCs/>
        </w:rPr>
        <w:t>Морски транспорт</w:t>
      </w:r>
    </w:p>
    <w:p w14:paraId="59A6D1F2" w14:textId="7CEC2D77" w:rsidR="00012D1F" w:rsidRPr="00610B1B" w:rsidRDefault="00012D1F" w:rsidP="00D32D6A">
      <w:pPr>
        <w:pStyle w:val="BodyText"/>
        <w:spacing w:before="0" w:after="120" w:line="276" w:lineRule="auto"/>
        <w:rPr>
          <w:rFonts w:cs="Times New Roman"/>
        </w:rPr>
      </w:pPr>
      <w:r w:rsidRPr="00610B1B">
        <w:rPr>
          <w:rFonts w:cs="Times New Roman"/>
        </w:rPr>
        <w:t xml:space="preserve">Морският транспорт и </w:t>
      </w:r>
      <w:r w:rsidR="00DD6CD4" w:rsidRPr="00610B1B">
        <w:rPr>
          <w:rFonts w:cs="Times New Roman"/>
        </w:rPr>
        <w:t>стопанският риболов</w:t>
      </w:r>
      <w:r w:rsidRPr="00610B1B">
        <w:rPr>
          <w:rFonts w:cs="Times New Roman"/>
        </w:rPr>
        <w:t xml:space="preserve"> са пространствено съвместими, но при спазване на Конвенция</w:t>
      </w:r>
      <w:r w:rsidR="00D603E3" w:rsidRPr="00610B1B">
        <w:rPr>
          <w:rFonts w:cs="Times New Roman"/>
        </w:rPr>
        <w:t>та</w:t>
      </w:r>
      <w:r w:rsidRPr="00610B1B">
        <w:rPr>
          <w:rFonts w:cs="Times New Roman"/>
        </w:rPr>
        <w:t xml:space="preserve"> за международните правила за предпазване от сблъскване на море, 1972 г.</w:t>
      </w:r>
      <w:bookmarkStart w:id="460" w:name="_RefF7"/>
      <w:bookmarkEnd w:id="460"/>
      <w:r w:rsidRPr="00610B1B">
        <w:rPr>
          <w:rStyle w:val="FootnoteAnchor"/>
          <w:rFonts w:cs="Times New Roman"/>
        </w:rPr>
        <w:footnoteReference w:id="184"/>
      </w:r>
      <w:r w:rsidRPr="00610B1B">
        <w:rPr>
          <w:rFonts w:cs="Times New Roman"/>
        </w:rPr>
        <w:t xml:space="preserve">. Въздействието върху </w:t>
      </w:r>
      <w:r w:rsidR="00DD6CD4" w:rsidRPr="00610B1B">
        <w:rPr>
          <w:rFonts w:cs="Times New Roman"/>
          <w:b/>
          <w:bCs/>
        </w:rPr>
        <w:t>стопански</w:t>
      </w:r>
      <w:r w:rsidR="00173C7E" w:rsidRPr="00610B1B">
        <w:rPr>
          <w:rFonts w:cs="Times New Roman"/>
          <w:b/>
          <w:bCs/>
        </w:rPr>
        <w:t>я</w:t>
      </w:r>
      <w:r w:rsidR="00DD6CD4" w:rsidRPr="00610B1B">
        <w:rPr>
          <w:rFonts w:cs="Times New Roman"/>
          <w:b/>
          <w:bCs/>
        </w:rPr>
        <w:t xml:space="preserve"> риболов</w:t>
      </w:r>
      <w:r w:rsidRPr="00610B1B">
        <w:rPr>
          <w:rFonts w:cs="Times New Roman"/>
        </w:rPr>
        <w:t xml:space="preserve"> е непряко, в резултат от натиск върху характеристиките на морската среда. Пространственото взаимодействие между двете дейности е най-силно в</w:t>
      </w:r>
      <w:r w:rsidR="00D66FE0" w:rsidRPr="00610B1B">
        <w:rPr>
          <w:rFonts w:cs="Times New Roman"/>
        </w:rPr>
        <w:t xml:space="preserve"> </w:t>
      </w:r>
      <w:r w:rsidRPr="00610B1B">
        <w:rPr>
          <w:rFonts w:cs="Times New Roman"/>
        </w:rPr>
        <w:t xml:space="preserve">крайбрежните води, териториалното море и ИИЗ около Варненския и Бургаски залив, където зоните за корабоплаване се припокриват със зоните за </w:t>
      </w:r>
      <w:r w:rsidR="00DD6CD4" w:rsidRPr="00610B1B">
        <w:rPr>
          <w:rFonts w:cs="Times New Roman"/>
        </w:rPr>
        <w:t>стопански риболов</w:t>
      </w:r>
      <w:r w:rsidRPr="00610B1B">
        <w:rPr>
          <w:rFonts w:cs="Times New Roman"/>
        </w:rPr>
        <w:t>.</w:t>
      </w:r>
    </w:p>
    <w:p w14:paraId="6FD10BE0" w14:textId="750BD185" w:rsidR="00012D1F" w:rsidRPr="00610B1B" w:rsidRDefault="00012D1F" w:rsidP="00E750E4">
      <w:pPr>
        <w:pStyle w:val="BodyText"/>
        <w:spacing w:after="120"/>
        <w:rPr>
          <w:rFonts w:cs="Times New Roman"/>
        </w:rPr>
      </w:pPr>
      <w:r w:rsidRPr="00610B1B">
        <w:rPr>
          <w:rFonts w:cs="Times New Roman"/>
        </w:rPr>
        <w:t xml:space="preserve">Зоните за </w:t>
      </w:r>
      <w:r w:rsidR="00F250D0" w:rsidRPr="00610B1B">
        <w:rPr>
          <w:rFonts w:cs="Times New Roman"/>
        </w:rPr>
        <w:t>корабо</w:t>
      </w:r>
      <w:r w:rsidRPr="00610B1B">
        <w:rPr>
          <w:rFonts w:cs="Times New Roman"/>
        </w:rPr>
        <w:t>плаване не се припокрива</w:t>
      </w:r>
      <w:bookmarkEnd w:id="457"/>
      <w:r w:rsidRPr="00610B1B">
        <w:rPr>
          <w:rFonts w:cs="Times New Roman"/>
        </w:rPr>
        <w:t xml:space="preserve">т със зоните за развитие на </w:t>
      </w:r>
      <w:r w:rsidRPr="00610B1B">
        <w:rPr>
          <w:rFonts w:cs="Times New Roman"/>
          <w:b/>
          <w:bCs/>
        </w:rPr>
        <w:t>морските аквакултури</w:t>
      </w:r>
      <w:r w:rsidRPr="00610B1B">
        <w:rPr>
          <w:rFonts w:cs="Times New Roman"/>
        </w:rPr>
        <w:t xml:space="preserve">, </w:t>
      </w:r>
      <w:r w:rsidR="00E750E4" w:rsidRPr="00610B1B">
        <w:rPr>
          <w:rFonts w:cs="Times New Roman"/>
        </w:rPr>
        <w:t xml:space="preserve">където се извършва предимно отглеждане на миди. </w:t>
      </w:r>
      <w:r w:rsidRPr="00610B1B">
        <w:rPr>
          <w:rFonts w:cs="Times New Roman"/>
        </w:rPr>
        <w:t>Непрякото въздействие е аналогично на това върху околната среда, тъй като култивираните миди натрупват замърсители при филтрация на морската вода, което може да ги направи опасни за консумация от човека. Най-силно засегнати могат да бъдат мидените ферми в района на Бургаския залив поради пространствена близост на зоните за корабоплаване.</w:t>
      </w:r>
      <w:r w:rsidR="00822E31" w:rsidRPr="00610B1B">
        <w:rPr>
          <w:rFonts w:cs="Times New Roman"/>
        </w:rPr>
        <w:t xml:space="preserve"> БДЧР има издадени действащи разрешителни за ферми за отглеждане на риби, но тази дейност има вероятност да бъде с неблагоприятно въздействие върху околната среда. </w:t>
      </w:r>
    </w:p>
    <w:p w14:paraId="41C17DD8" w14:textId="7A82AC35" w:rsidR="00012D1F" w:rsidRPr="00610B1B" w:rsidRDefault="00012D1F" w:rsidP="00D32D6A">
      <w:pPr>
        <w:pStyle w:val="BodyText"/>
        <w:spacing w:before="0" w:after="120" w:line="276" w:lineRule="auto"/>
        <w:rPr>
          <w:rFonts w:cs="Times New Roman"/>
        </w:rPr>
      </w:pPr>
      <w:r w:rsidRPr="00610B1B">
        <w:rPr>
          <w:rFonts w:cs="Times New Roman"/>
        </w:rPr>
        <w:t xml:space="preserve">Зоните за корабоплаване се припокриват частично със зоните за развитие на </w:t>
      </w:r>
      <w:r w:rsidRPr="00610B1B">
        <w:rPr>
          <w:rFonts w:cs="Times New Roman"/>
          <w:b/>
          <w:bCs/>
        </w:rPr>
        <w:t>крайбрежния туризъм</w:t>
      </w:r>
      <w:r w:rsidRPr="00610B1B">
        <w:rPr>
          <w:rFonts w:cs="Times New Roman"/>
        </w:rPr>
        <w:t xml:space="preserve">, в зависимост от вида на морския транспорт. Плавателните средства за спорт, туризъм и развлечение, както и високоскоростните плавателни съдове, подпомагат развитието на крайбрежния и морски туризъм. Останалите видове транспорт (пътнически, търговски, риболовни, военни, гранично-полицейски и държавни кораби) се извършват извън зоните за </w:t>
      </w:r>
      <w:r w:rsidR="00112FEA" w:rsidRPr="00610B1B">
        <w:rPr>
          <w:rFonts w:cs="Times New Roman"/>
        </w:rPr>
        <w:t xml:space="preserve">морски </w:t>
      </w:r>
      <w:r w:rsidRPr="00610B1B">
        <w:rPr>
          <w:rFonts w:cs="Times New Roman"/>
        </w:rPr>
        <w:t>туризъм, поради което няма причина за несъвместимост. При тях има риск от непряко отрицателно въздействие, доколкото замърсяване с нефтопродукти, твърди и течни отпадъци може да достигне до зоните на водите за къпане и да доведе до влошаването на тяхното състояние.</w:t>
      </w:r>
    </w:p>
    <w:p w14:paraId="3705AFD8" w14:textId="17E9C071" w:rsidR="00012D1F" w:rsidRPr="00610B1B" w:rsidRDefault="00012D1F" w:rsidP="00D32D6A">
      <w:pPr>
        <w:pStyle w:val="BodyText"/>
        <w:spacing w:before="0" w:after="120" w:line="276" w:lineRule="auto"/>
        <w:rPr>
          <w:rFonts w:cs="Times New Roman"/>
        </w:rPr>
      </w:pPr>
      <w:r w:rsidRPr="00610B1B">
        <w:rPr>
          <w:rFonts w:cs="Times New Roman"/>
        </w:rPr>
        <w:t xml:space="preserve">Съществува висока степен на съвместимост между развитието на </w:t>
      </w:r>
      <w:r w:rsidRPr="00610B1B">
        <w:rPr>
          <w:rFonts w:cs="Times New Roman"/>
          <w:b/>
          <w:bCs/>
        </w:rPr>
        <w:t>техническата инфраструктура</w:t>
      </w:r>
      <w:r w:rsidRPr="00610B1B">
        <w:rPr>
          <w:rFonts w:cs="Times New Roman"/>
        </w:rPr>
        <w:t xml:space="preserve">, свързано с изграждането и модернизацията </w:t>
      </w:r>
      <w:r w:rsidR="00112FEA" w:rsidRPr="00610B1B">
        <w:rPr>
          <w:rFonts w:cs="Times New Roman"/>
        </w:rPr>
        <w:t xml:space="preserve">на </w:t>
      </w:r>
      <w:r w:rsidRPr="00610B1B">
        <w:rPr>
          <w:rFonts w:cs="Times New Roman"/>
        </w:rPr>
        <w:t>пристанища</w:t>
      </w:r>
      <w:r w:rsidR="00112FEA" w:rsidRPr="00610B1B">
        <w:rPr>
          <w:rFonts w:cs="Times New Roman"/>
        </w:rPr>
        <w:t xml:space="preserve">та </w:t>
      </w:r>
      <w:r w:rsidRPr="00610B1B">
        <w:rPr>
          <w:rFonts w:cs="Times New Roman"/>
        </w:rPr>
        <w:t>и развитието на морския транспорт. Драгирането на пристанищните акватории подобрява проходимостта на морските плавателни пътища.</w:t>
      </w:r>
    </w:p>
    <w:p w14:paraId="7037CC47" w14:textId="2D08AB3E" w:rsidR="00012D1F" w:rsidRPr="00610B1B" w:rsidRDefault="00012D1F" w:rsidP="00D32D6A">
      <w:pPr>
        <w:pStyle w:val="BodyText"/>
        <w:spacing w:before="0" w:after="120" w:line="276" w:lineRule="auto"/>
        <w:rPr>
          <w:rFonts w:cs="Times New Roman"/>
        </w:rPr>
      </w:pPr>
      <w:r w:rsidRPr="00610B1B">
        <w:rPr>
          <w:rFonts w:cs="Times New Roman"/>
        </w:rPr>
        <w:t xml:space="preserve">Морският транспорт е несъвместим със зоните за </w:t>
      </w:r>
      <w:r w:rsidRPr="00610B1B">
        <w:rPr>
          <w:rFonts w:cs="Times New Roman"/>
          <w:b/>
          <w:bCs/>
        </w:rPr>
        <w:t>проучване и добив</w:t>
      </w:r>
      <w:r w:rsidRPr="00610B1B">
        <w:rPr>
          <w:rFonts w:cs="Times New Roman"/>
        </w:rPr>
        <w:t xml:space="preserve"> на енергийни и минерални ресурси. Находищата Галата и Каварна (югоизточно от н. Галата, Варненски залив) са разположени в</w:t>
      </w:r>
      <w:r w:rsidR="000B7461" w:rsidRPr="00610B1B">
        <w:rPr>
          <w:rFonts w:cs="Times New Roman"/>
        </w:rPr>
        <w:t xml:space="preserve"> близост до съществуващата система за разделно движение, което създава рискове</w:t>
      </w:r>
      <w:r w:rsidR="00F250D0" w:rsidRPr="00610B1B">
        <w:rPr>
          <w:rFonts w:cs="Times New Roman"/>
        </w:rPr>
        <w:t>. В</w:t>
      </w:r>
      <w:r w:rsidRPr="00610B1B">
        <w:rPr>
          <w:rFonts w:cs="Times New Roman"/>
        </w:rPr>
        <w:t xml:space="preserve"> зоните около тях се забранява влизането и пребиваването на </w:t>
      </w:r>
      <w:r w:rsidRPr="00610B1B">
        <w:rPr>
          <w:rFonts w:cs="Times New Roman"/>
        </w:rPr>
        <w:lastRenderedPageBreak/>
        <w:t>плавателни съдове, освен обслужващите кораби.</w:t>
      </w:r>
      <w:bookmarkStart w:id="461" w:name="_RefF1"/>
      <w:bookmarkStart w:id="462" w:name="_RefF0"/>
      <w:bookmarkEnd w:id="461"/>
      <w:bookmarkEnd w:id="462"/>
      <w:r w:rsidRPr="00610B1B">
        <w:rPr>
          <w:rStyle w:val="FootnoteAnchor"/>
          <w:rFonts w:cs="Times New Roman"/>
        </w:rPr>
        <w:footnoteReference w:id="185"/>
      </w:r>
    </w:p>
    <w:p w14:paraId="27A4C5B1" w14:textId="1D7DC72B" w:rsidR="00012D1F" w:rsidRPr="00610B1B" w:rsidRDefault="00012D1F" w:rsidP="00D32D6A">
      <w:pPr>
        <w:pStyle w:val="BodyText"/>
        <w:spacing w:before="0" w:after="120" w:line="276" w:lineRule="auto"/>
        <w:rPr>
          <w:rFonts w:cs="Times New Roman"/>
        </w:rPr>
      </w:pPr>
      <w:r w:rsidRPr="00610B1B">
        <w:rPr>
          <w:rFonts w:cs="Times New Roman"/>
        </w:rPr>
        <w:t xml:space="preserve">Морският транспорт е несъвместим и с дейностите свързани с </w:t>
      </w:r>
      <w:r w:rsidRPr="00610B1B">
        <w:rPr>
          <w:rFonts w:cs="Times New Roman"/>
          <w:b/>
          <w:bCs/>
        </w:rPr>
        <w:t>военни учения</w:t>
      </w:r>
      <w:r w:rsidRPr="00610B1B">
        <w:rPr>
          <w:rFonts w:cs="Times New Roman"/>
        </w:rPr>
        <w:t>, тъй като зоните са временно или постоянно затворени за морски плавателни съдове или се намират встрани от морските пътища.</w:t>
      </w:r>
      <w:r w:rsidR="000B7461" w:rsidRPr="00610B1B">
        <w:rPr>
          <w:rFonts w:cs="Times New Roman"/>
        </w:rPr>
        <w:t xml:space="preserve"> Близостта на Системата за разделно движение до районите за военни учения е предпоставка за възникване на инциденти по сигурността и безопасността.</w:t>
      </w:r>
    </w:p>
    <w:p w14:paraId="7740E18D" w14:textId="77777777" w:rsidR="00012D1F" w:rsidRPr="00610B1B" w:rsidRDefault="00012D1F" w:rsidP="00D32D6A">
      <w:pPr>
        <w:pStyle w:val="BodyText"/>
        <w:spacing w:before="0" w:after="120" w:line="276" w:lineRule="auto"/>
        <w:rPr>
          <w:rFonts w:cs="Times New Roman"/>
        </w:rPr>
      </w:pPr>
      <w:r w:rsidRPr="00610B1B">
        <w:rPr>
          <w:rFonts w:cs="Times New Roman"/>
        </w:rPr>
        <w:t xml:space="preserve">Морският транспорт оказва различни видове натиск върху </w:t>
      </w:r>
      <w:r w:rsidRPr="00610B1B">
        <w:rPr>
          <w:rFonts w:cs="Times New Roman"/>
          <w:b/>
          <w:bCs/>
        </w:rPr>
        <w:t>околната среда,</w:t>
      </w:r>
      <w:r w:rsidRPr="00610B1B">
        <w:rPr>
          <w:rFonts w:cs="Times New Roman"/>
        </w:rPr>
        <w:t xml:space="preserve"> посочени в приложение III на РДМС</w:t>
      </w:r>
      <w:r w:rsidRPr="00610B1B">
        <w:rPr>
          <w:rStyle w:val="FootnoteAnchor"/>
          <w:rFonts w:cs="Times New Roman"/>
        </w:rPr>
        <w:footnoteReference w:id="186"/>
      </w:r>
      <w:r w:rsidRPr="00610B1B">
        <w:rPr>
          <w:rFonts w:cs="Times New Roman"/>
        </w:rPr>
        <w:t>:</w:t>
      </w:r>
    </w:p>
    <w:p w14:paraId="0F19DEA7" w14:textId="3479260F" w:rsidR="00012D1F" w:rsidRPr="00610B1B" w:rsidRDefault="00012D1F" w:rsidP="00B46189">
      <w:pPr>
        <w:pStyle w:val="BodyText"/>
        <w:numPr>
          <w:ilvl w:val="0"/>
          <w:numId w:val="93"/>
        </w:numPr>
        <w:spacing w:before="0" w:after="120" w:line="276" w:lineRule="auto"/>
        <w:rPr>
          <w:rFonts w:cs="Times New Roman"/>
        </w:rPr>
      </w:pPr>
      <w:r w:rsidRPr="00610B1B">
        <w:rPr>
          <w:rFonts w:cs="Times New Roman"/>
        </w:rPr>
        <w:t>пренос на инвази</w:t>
      </w:r>
      <w:r w:rsidR="00822E31" w:rsidRPr="00610B1B">
        <w:rPr>
          <w:rFonts w:cs="Times New Roman"/>
        </w:rPr>
        <w:t>вни видове</w:t>
      </w:r>
      <w:r w:rsidRPr="00610B1B">
        <w:rPr>
          <w:rFonts w:cs="Times New Roman"/>
        </w:rPr>
        <w:t xml:space="preserve"> чрез баластните води и обраствания по корпуса (дескриптор 2);</w:t>
      </w:r>
    </w:p>
    <w:p w14:paraId="6E7F6D07" w14:textId="6C2D4BC5" w:rsidR="00012D1F" w:rsidRPr="00610B1B" w:rsidRDefault="00012D1F" w:rsidP="00B46189">
      <w:pPr>
        <w:pStyle w:val="BodyText"/>
        <w:numPr>
          <w:ilvl w:val="0"/>
          <w:numId w:val="93"/>
        </w:numPr>
        <w:spacing w:before="0" w:after="120" w:line="276" w:lineRule="auto"/>
        <w:rPr>
          <w:rFonts w:cs="Times New Roman"/>
        </w:rPr>
      </w:pPr>
      <w:r w:rsidRPr="00610B1B">
        <w:rPr>
          <w:rFonts w:cs="Times New Roman"/>
        </w:rPr>
        <w:t>замърсяване с органични вещества – отпадъчни води от жилищните пространства и сервизните помещения на корабите (дескриптор 8);</w:t>
      </w:r>
    </w:p>
    <w:p w14:paraId="2986A6DF" w14:textId="77777777" w:rsidR="00012D1F" w:rsidRPr="00610B1B" w:rsidRDefault="00012D1F" w:rsidP="00B46189">
      <w:pPr>
        <w:pStyle w:val="BodyText"/>
        <w:numPr>
          <w:ilvl w:val="0"/>
          <w:numId w:val="93"/>
        </w:numPr>
        <w:spacing w:before="0" w:after="120" w:line="276" w:lineRule="auto"/>
        <w:rPr>
          <w:rFonts w:cs="Times New Roman"/>
        </w:rPr>
      </w:pPr>
      <w:r w:rsidRPr="00610B1B">
        <w:rPr>
          <w:rFonts w:cs="Times New Roman"/>
        </w:rPr>
        <w:t>замърсяване с нефтопродукти при аварии, катастрофи или незаконно изхвърляне на сантинни (смесени с нефтопродукти) води от машинните отделения;</w:t>
      </w:r>
    </w:p>
    <w:p w14:paraId="2DBC8045" w14:textId="77777777" w:rsidR="00012D1F" w:rsidRPr="00610B1B" w:rsidRDefault="00012D1F" w:rsidP="00B46189">
      <w:pPr>
        <w:pStyle w:val="BodyText"/>
        <w:numPr>
          <w:ilvl w:val="0"/>
          <w:numId w:val="93"/>
        </w:numPr>
        <w:spacing w:before="0" w:after="120" w:line="276" w:lineRule="auto"/>
        <w:rPr>
          <w:rFonts w:cs="Times New Roman"/>
        </w:rPr>
      </w:pPr>
      <w:r w:rsidRPr="00610B1B">
        <w:rPr>
          <w:rFonts w:cs="Times New Roman"/>
        </w:rPr>
        <w:t>отработените газове от двигателите (въглероден диоксид, серни и азотни оксиди) попадащи в морската среда чрез атмосферата (дескриптор 8). Намаляването на този натиск се осъществява по реда на Наредба за изискванията за качеството на течните горива, условията, реда и начина за техния контрол</w:t>
      </w:r>
      <w:r w:rsidRPr="00610B1B">
        <w:rPr>
          <w:rStyle w:val="FootnoteAnchor"/>
          <w:rFonts w:cs="Times New Roman"/>
        </w:rPr>
        <w:footnoteReference w:id="187"/>
      </w:r>
      <w:r w:rsidRPr="00610B1B">
        <w:rPr>
          <w:rFonts w:cs="Times New Roman"/>
        </w:rPr>
        <w:t>;</w:t>
      </w:r>
    </w:p>
    <w:p w14:paraId="3391A6F1" w14:textId="77777777" w:rsidR="00012D1F" w:rsidRPr="00610B1B" w:rsidRDefault="00012D1F" w:rsidP="00B46189">
      <w:pPr>
        <w:pStyle w:val="BodyText"/>
        <w:numPr>
          <w:ilvl w:val="0"/>
          <w:numId w:val="93"/>
        </w:numPr>
        <w:spacing w:before="0" w:after="120" w:line="276" w:lineRule="auto"/>
        <w:rPr>
          <w:rFonts w:cs="Times New Roman"/>
        </w:rPr>
      </w:pPr>
      <w:r w:rsidRPr="00610B1B">
        <w:rPr>
          <w:rFonts w:cs="Times New Roman"/>
        </w:rPr>
        <w:t>твърди отпадъци – попадащи в морето при транспорт и при разсипване на насипни товари в пристанищните терминали (дескриптор 10);</w:t>
      </w:r>
    </w:p>
    <w:p w14:paraId="75BE3727" w14:textId="77777777" w:rsidR="00012D1F" w:rsidRPr="00610B1B" w:rsidRDefault="00012D1F" w:rsidP="00695BEA">
      <w:pPr>
        <w:pStyle w:val="BodyText"/>
        <w:numPr>
          <w:ilvl w:val="0"/>
          <w:numId w:val="93"/>
        </w:numPr>
        <w:spacing w:before="0" w:after="120" w:line="240" w:lineRule="auto"/>
        <w:ind w:left="714" w:hanging="357"/>
        <w:rPr>
          <w:rFonts w:cs="Times New Roman"/>
        </w:rPr>
      </w:pPr>
      <w:r w:rsidRPr="00610B1B">
        <w:rPr>
          <w:rFonts w:cs="Times New Roman"/>
        </w:rPr>
        <w:t>шумово замърсяване (дескриптор 11).</w:t>
      </w:r>
    </w:p>
    <w:p w14:paraId="1D56B793" w14:textId="7FF647F6" w:rsidR="00012D1F" w:rsidRPr="00610B1B" w:rsidRDefault="00012D1F" w:rsidP="00D32D6A">
      <w:pPr>
        <w:pStyle w:val="BodyText"/>
        <w:spacing w:before="0" w:after="120" w:line="276" w:lineRule="auto"/>
        <w:rPr>
          <w:rFonts w:cs="Times New Roman"/>
        </w:rPr>
      </w:pPr>
      <w:r w:rsidRPr="00610B1B">
        <w:rPr>
          <w:rFonts w:cs="Times New Roman"/>
        </w:rPr>
        <w:t>В района на н. Галата през 2015 и 2016 г. са установени високи концентрации на кадмий и трибутилкалаени съединения, които се използват в корабните бои срещу обраствания по корпуса и попадат в морската среда при бластирането на корабите. Поради припокриване на корабните маршрути със защитените територии има висока степен на въздействие върху защитените зони от НЕМ Натура 2000 южно и източн</w:t>
      </w:r>
      <w:r w:rsidR="00B95195" w:rsidRPr="00610B1B">
        <w:rPr>
          <w:rFonts w:cs="Times New Roman"/>
        </w:rPr>
        <w:t>о</w:t>
      </w:r>
      <w:r w:rsidRPr="00610B1B">
        <w:rPr>
          <w:rFonts w:cs="Times New Roman"/>
        </w:rPr>
        <w:t xml:space="preserve"> от н. Калиакра, и в района на Бургаския залив.</w:t>
      </w:r>
    </w:p>
    <w:p w14:paraId="22CD452A" w14:textId="06B43E4E" w:rsidR="00012D1F" w:rsidRPr="00610B1B" w:rsidRDefault="00012D1F" w:rsidP="00D32D6A">
      <w:pPr>
        <w:pStyle w:val="BodyText"/>
        <w:spacing w:before="0" w:after="120" w:line="276" w:lineRule="auto"/>
        <w:rPr>
          <w:rFonts w:cs="Times New Roman"/>
        </w:rPr>
      </w:pPr>
      <w:bookmarkStart w:id="463" w:name="_Hlk49714181"/>
      <w:r w:rsidRPr="00610B1B">
        <w:rPr>
          <w:rFonts w:cs="Times New Roman"/>
        </w:rPr>
        <w:t xml:space="preserve">Отрицателното въздействие върху </w:t>
      </w:r>
      <w:r w:rsidRPr="00610B1B">
        <w:rPr>
          <w:rFonts w:cs="Times New Roman"/>
          <w:b/>
          <w:bCs/>
        </w:rPr>
        <w:t>подводно</w:t>
      </w:r>
      <w:r w:rsidR="00B95195" w:rsidRPr="00610B1B">
        <w:rPr>
          <w:rFonts w:cs="Times New Roman"/>
          <w:b/>
          <w:bCs/>
        </w:rPr>
        <w:t>то</w:t>
      </w:r>
      <w:r w:rsidRPr="00610B1B">
        <w:rPr>
          <w:rFonts w:cs="Times New Roman"/>
          <w:b/>
          <w:bCs/>
        </w:rPr>
        <w:t xml:space="preserve"> културно наследство</w:t>
      </w:r>
      <w:r w:rsidRPr="00610B1B">
        <w:rPr>
          <w:rFonts w:cs="Times New Roman"/>
        </w:rPr>
        <w:t xml:space="preserve"> не може да се определи, но е възможно при заставане на котва да бъдат повредени подводни археологически обекти, които не са обозначени.</w:t>
      </w:r>
    </w:p>
    <w:bookmarkEnd w:id="463"/>
    <w:p w14:paraId="37E33007" w14:textId="32DE8194" w:rsidR="00012D1F" w:rsidRPr="00610B1B" w:rsidRDefault="00012D1F" w:rsidP="00D32D6A">
      <w:pPr>
        <w:pStyle w:val="BodyText"/>
        <w:spacing w:before="0" w:after="120" w:line="276" w:lineRule="auto"/>
        <w:rPr>
          <w:rFonts w:cs="Times New Roman"/>
        </w:rPr>
      </w:pPr>
      <w:r w:rsidRPr="00610B1B">
        <w:rPr>
          <w:rFonts w:cs="Times New Roman"/>
          <w:b/>
          <w:bCs/>
        </w:rPr>
        <w:t>Научните изследвания</w:t>
      </w:r>
      <w:r w:rsidRPr="00610B1B">
        <w:rPr>
          <w:rFonts w:cs="Times New Roman"/>
        </w:rPr>
        <w:t xml:space="preserve"> върху морската среда често се извършват в райони, които съвпадат със зоните за корабоплаване, но при корабоплаването има ясно установени правила за морска навигация </w:t>
      </w:r>
      <w:r w:rsidR="00B95195" w:rsidRPr="00610B1B">
        <w:rPr>
          <w:rFonts w:cs="Times New Roman"/>
        </w:rPr>
        <w:t>(</w:t>
      </w:r>
      <w:r w:rsidRPr="00610B1B">
        <w:rPr>
          <w:rFonts w:cs="Times New Roman"/>
        </w:rPr>
        <w:t xml:space="preserve">Конвенция за международните правила за предпазване от </w:t>
      </w:r>
      <w:r w:rsidRPr="00610B1B">
        <w:rPr>
          <w:rFonts w:cs="Times New Roman"/>
        </w:rPr>
        <w:lastRenderedPageBreak/>
        <w:t>сблъскване на море, 1972 г.). Освен това, съгласно чл. 52, ал. 2 от ЗМ</w:t>
      </w:r>
      <w:r w:rsidR="00B95195" w:rsidRPr="00610B1B">
        <w:rPr>
          <w:rFonts w:cs="Times New Roman"/>
        </w:rPr>
        <w:t>П</w:t>
      </w:r>
      <w:r w:rsidRPr="00610B1B">
        <w:rPr>
          <w:rFonts w:cs="Times New Roman"/>
        </w:rPr>
        <w:t>ВВП</w:t>
      </w:r>
      <w:r w:rsidR="00B95195" w:rsidRPr="00610B1B">
        <w:rPr>
          <w:rFonts w:cs="Times New Roman"/>
        </w:rPr>
        <w:t>ПРБ</w:t>
      </w:r>
      <w:r w:rsidR="00D603E3" w:rsidRPr="00610B1B">
        <w:rPr>
          <w:rFonts w:cs="Times New Roman"/>
        </w:rPr>
        <w:t xml:space="preserve"> научните изследвания се извършват след одобрение на Министерския съвет</w:t>
      </w:r>
      <w:r w:rsidRPr="00610B1B">
        <w:rPr>
          <w:rFonts w:cs="Times New Roman"/>
        </w:rPr>
        <w:t xml:space="preserve">. Синергия се постига, когато се използва възможността морски кораби да бъдат оборудвани с ферибокс системи, което осигурява по-голям пространствен и времеви обхват </w:t>
      </w:r>
      <w:r w:rsidR="00F250D0" w:rsidRPr="00610B1B">
        <w:rPr>
          <w:rFonts w:cs="Times New Roman"/>
        </w:rPr>
        <w:t xml:space="preserve">за </w:t>
      </w:r>
      <w:r w:rsidRPr="00610B1B">
        <w:rPr>
          <w:rFonts w:cs="Times New Roman"/>
        </w:rPr>
        <w:t>мониторинг на параметрите на морската околна среда (физически, химически, биологични)</w:t>
      </w:r>
      <w:r w:rsidRPr="00610B1B">
        <w:rPr>
          <w:rStyle w:val="FootnoteAnchor"/>
          <w:rFonts w:cs="Times New Roman"/>
        </w:rPr>
        <w:footnoteReference w:id="188"/>
      </w:r>
      <w:r w:rsidRPr="00610B1B">
        <w:rPr>
          <w:rFonts w:cs="Times New Roman"/>
        </w:rPr>
        <w:t>.</w:t>
      </w:r>
    </w:p>
    <w:p w14:paraId="21B6593B" w14:textId="77777777" w:rsidR="00012D1F" w:rsidRPr="00610B1B" w:rsidRDefault="00012D1F" w:rsidP="00695BEA">
      <w:pPr>
        <w:pStyle w:val="BodyText"/>
        <w:spacing w:before="0" w:after="120" w:line="240" w:lineRule="auto"/>
        <w:rPr>
          <w:rFonts w:cs="Times New Roman"/>
        </w:rPr>
      </w:pPr>
      <w:r w:rsidRPr="00610B1B">
        <w:rPr>
          <w:rFonts w:cs="Times New Roman"/>
          <w:b/>
          <w:bCs/>
        </w:rPr>
        <w:t>Рибарство</w:t>
      </w:r>
    </w:p>
    <w:p w14:paraId="6B89FA5B" w14:textId="66A5BBB6" w:rsidR="00012D1F" w:rsidRPr="00610B1B" w:rsidRDefault="00012D1F" w:rsidP="00D32D6A">
      <w:pPr>
        <w:pStyle w:val="BodyText"/>
        <w:spacing w:before="0" w:after="120" w:line="276" w:lineRule="auto"/>
        <w:rPr>
          <w:rFonts w:cs="Times New Roman"/>
        </w:rPr>
      </w:pPr>
      <w:r w:rsidRPr="00610B1B">
        <w:rPr>
          <w:rFonts w:cs="Times New Roman"/>
        </w:rPr>
        <w:t xml:space="preserve">Дейностите рибарство и </w:t>
      </w:r>
      <w:r w:rsidRPr="00610B1B">
        <w:rPr>
          <w:rFonts w:cs="Times New Roman"/>
          <w:b/>
          <w:bCs/>
        </w:rPr>
        <w:t>морските аквакултури</w:t>
      </w:r>
      <w:r w:rsidRPr="00610B1B">
        <w:rPr>
          <w:rFonts w:cs="Times New Roman"/>
        </w:rPr>
        <w:t xml:space="preserve"> са пространствено несъвместими, тъй като риболовът не се осъществява в зоните на съоръженията за аквакултури, в които други дейности не се извършват. В бъдеще, между двата вида дейности може да има функционална съвместимост, ако в морето или на сушата бъдат създадени ферми за изкуствено отглеждане на морски видове риби, които да осигуряват ларви за попълване на рибните запаси на видовете – обект на </w:t>
      </w:r>
      <w:r w:rsidR="00DD6CD4" w:rsidRPr="00610B1B">
        <w:rPr>
          <w:rFonts w:cs="Times New Roman"/>
        </w:rPr>
        <w:t>стопански риболов</w:t>
      </w:r>
      <w:r w:rsidRPr="00610B1B">
        <w:rPr>
          <w:rFonts w:cs="Times New Roman"/>
        </w:rPr>
        <w:t>.</w:t>
      </w:r>
    </w:p>
    <w:p w14:paraId="275671AB" w14:textId="451D8D0B" w:rsidR="00012D1F" w:rsidRPr="00610B1B" w:rsidRDefault="00012D1F" w:rsidP="00D32D6A">
      <w:pPr>
        <w:pStyle w:val="BodyText"/>
        <w:spacing w:before="0" w:after="120" w:line="276" w:lineRule="auto"/>
        <w:rPr>
          <w:rFonts w:cs="Times New Roman"/>
        </w:rPr>
      </w:pPr>
      <w:r w:rsidRPr="00610B1B">
        <w:rPr>
          <w:rFonts w:cs="Times New Roman"/>
        </w:rPr>
        <w:t xml:space="preserve">Между рибарството и </w:t>
      </w:r>
      <w:r w:rsidRPr="00610B1B">
        <w:rPr>
          <w:rFonts w:cs="Times New Roman"/>
          <w:b/>
          <w:bCs/>
        </w:rPr>
        <w:t>крайбрежния и морски туризъм</w:t>
      </w:r>
      <w:r w:rsidR="00D66FE0" w:rsidRPr="00610B1B">
        <w:rPr>
          <w:rFonts w:cs="Times New Roman"/>
        </w:rPr>
        <w:t xml:space="preserve"> </w:t>
      </w:r>
      <w:r w:rsidRPr="00610B1B">
        <w:rPr>
          <w:rFonts w:cs="Times New Roman"/>
        </w:rPr>
        <w:t>няма припокриване, защото морският риболов обикновено се извършва далеч от зоните на водите за къпане. Крайбрежният туризъм може да бъде причина за загуба на местообитания на някои дънни видове риби, които са обект на търговски риболов, поради отъпкване на дъното в зоните за къпане на дълбочина 0 – 1.</w:t>
      </w:r>
      <w:r w:rsidR="00F250D0" w:rsidRPr="00610B1B">
        <w:rPr>
          <w:rFonts w:cs="Times New Roman"/>
        </w:rPr>
        <w:t>5</w:t>
      </w:r>
      <w:r w:rsidRPr="00610B1B">
        <w:rPr>
          <w:rFonts w:cs="Times New Roman"/>
        </w:rPr>
        <w:t xml:space="preserve"> m. Плавателните средства за спорт, туризъм и развлечения са източник на подводен шум, свързан с избягване и промяна на разпространението на рибите. Изключение правят ветроходните плавателни средства.</w:t>
      </w:r>
    </w:p>
    <w:p w14:paraId="3A53634C" w14:textId="16ACA0EA" w:rsidR="00012D1F" w:rsidRPr="00610B1B" w:rsidRDefault="00012D1F" w:rsidP="00D32D6A">
      <w:pPr>
        <w:pStyle w:val="BodyText"/>
        <w:spacing w:before="0" w:after="120" w:line="276" w:lineRule="auto"/>
        <w:rPr>
          <w:rFonts w:cs="Times New Roman"/>
        </w:rPr>
      </w:pPr>
      <w:r w:rsidRPr="00610B1B">
        <w:rPr>
          <w:rFonts w:cs="Times New Roman"/>
        </w:rPr>
        <w:t xml:space="preserve">Съвместимостта на рибарството и съоръженията на </w:t>
      </w:r>
      <w:r w:rsidRPr="00610B1B">
        <w:rPr>
          <w:rFonts w:cs="Times New Roman"/>
          <w:b/>
          <w:bCs/>
        </w:rPr>
        <w:t>техническата инфраструктура</w:t>
      </w:r>
      <w:r w:rsidRPr="00610B1B">
        <w:rPr>
          <w:rFonts w:cs="Times New Roman"/>
        </w:rPr>
        <w:t xml:space="preserve"> зависи от вида съоръжения. Рибарските пристанища Балчик, Варна и Созопол създават условия за развитие на морски риболов, което определя и високата интензивност на </w:t>
      </w:r>
      <w:r w:rsidR="00DD6CD4" w:rsidRPr="00610B1B">
        <w:rPr>
          <w:rFonts w:cs="Times New Roman"/>
        </w:rPr>
        <w:t>стопанския риболов</w:t>
      </w:r>
      <w:r w:rsidRPr="00610B1B">
        <w:rPr>
          <w:rFonts w:cs="Times New Roman"/>
        </w:rPr>
        <w:t xml:space="preserve"> в прилежащата акватория. Дънното тралене може да доведе до повреждане или прекъсване на подводни линейни съоръжения (комуникационни кабели, тръбопроводи). Най-висок риск има за кабела KAFOS, тъй като попада в зони с плътност на корабния трафик е 0.26-3.95 часа/km</w:t>
      </w:r>
      <w:r w:rsidRPr="00610B1B">
        <w:rPr>
          <w:rFonts w:cs="Times New Roman"/>
          <w:vertAlign w:val="superscript"/>
        </w:rPr>
        <w:t>2</w:t>
      </w:r>
      <w:r w:rsidRPr="00610B1B">
        <w:rPr>
          <w:rFonts w:cs="Times New Roman"/>
        </w:rPr>
        <w:t>.година, следван от Caucasus Cable System (0.004-0.25 часа/km</w:t>
      </w:r>
      <w:r w:rsidRPr="00610B1B">
        <w:rPr>
          <w:rFonts w:cs="Times New Roman"/>
          <w:vertAlign w:val="superscript"/>
        </w:rPr>
        <w:t>2</w:t>
      </w:r>
      <w:r w:rsidRPr="00610B1B">
        <w:rPr>
          <w:rFonts w:cs="Times New Roman"/>
        </w:rPr>
        <w:t>.година) и кабела BSFOCS (0.01-014 часа/km</w:t>
      </w:r>
      <w:r w:rsidRPr="00610B1B">
        <w:rPr>
          <w:rFonts w:cs="Times New Roman"/>
          <w:vertAlign w:val="superscript"/>
        </w:rPr>
        <w:t>2</w:t>
      </w:r>
      <w:r w:rsidRPr="00610B1B">
        <w:rPr>
          <w:rFonts w:cs="Times New Roman"/>
        </w:rPr>
        <w:t>.година)</w:t>
      </w:r>
      <w:r w:rsidR="009F57D1" w:rsidRPr="00610B1B">
        <w:rPr>
          <w:rFonts w:cs="Times New Roman"/>
        </w:rPr>
        <w:t>, съгласно данните от EMOD</w:t>
      </w:r>
      <w:r w:rsidR="008D5400" w:rsidRPr="00610B1B">
        <w:rPr>
          <w:rFonts w:cs="Times New Roman"/>
        </w:rPr>
        <w:t>n</w:t>
      </w:r>
      <w:r w:rsidR="009F57D1" w:rsidRPr="00610B1B">
        <w:rPr>
          <w:rFonts w:cs="Times New Roman"/>
        </w:rPr>
        <w:t>et</w:t>
      </w:r>
      <w:r w:rsidRPr="00610B1B">
        <w:rPr>
          <w:rFonts w:cs="Times New Roman"/>
        </w:rPr>
        <w:t>.</w:t>
      </w:r>
    </w:p>
    <w:p w14:paraId="2C151A9A" w14:textId="1BD67DDB" w:rsidR="00012D1F" w:rsidRPr="00610B1B" w:rsidRDefault="00DD6CD4" w:rsidP="00D32D6A">
      <w:pPr>
        <w:pStyle w:val="BodyText"/>
        <w:spacing w:before="0" w:after="120" w:line="276" w:lineRule="auto"/>
        <w:rPr>
          <w:rFonts w:cs="Times New Roman"/>
        </w:rPr>
      </w:pPr>
      <w:bookmarkStart w:id="464" w:name="__DdeLink__95395_1312354255"/>
      <w:r w:rsidRPr="00610B1B">
        <w:rPr>
          <w:rFonts w:cs="Times New Roman"/>
        </w:rPr>
        <w:t>Стопанският риболов</w:t>
      </w:r>
      <w:r w:rsidR="00012D1F" w:rsidRPr="00610B1B">
        <w:rPr>
          <w:rFonts w:cs="Times New Roman"/>
        </w:rPr>
        <w:t xml:space="preserve"> </w:t>
      </w:r>
      <w:bookmarkEnd w:id="464"/>
      <w:r w:rsidR="00012D1F" w:rsidRPr="00610B1B">
        <w:rPr>
          <w:rFonts w:cs="Times New Roman"/>
        </w:rPr>
        <w:t xml:space="preserve">е несъвместим с дейностите за </w:t>
      </w:r>
      <w:r w:rsidR="00012D1F" w:rsidRPr="00610B1B">
        <w:rPr>
          <w:rFonts w:cs="Times New Roman"/>
          <w:b/>
          <w:bCs/>
        </w:rPr>
        <w:t>проучване и добив</w:t>
      </w:r>
      <w:r w:rsidR="00012D1F" w:rsidRPr="00610B1B">
        <w:rPr>
          <w:rFonts w:cs="Times New Roman"/>
        </w:rPr>
        <w:t xml:space="preserve"> на енергийни и минерални ресурси, тъй като в зоните за проучване и добив се забранява влизането и пребиваването на плавателни съдове</w:t>
      </w:r>
      <w:r w:rsidR="009F57D1" w:rsidRPr="00610B1B">
        <w:rPr>
          <w:rFonts w:cs="Times New Roman"/>
        </w:rPr>
        <w:t>.</w:t>
      </w:r>
    </w:p>
    <w:p w14:paraId="40AA3E11" w14:textId="6211A3B3" w:rsidR="00012D1F" w:rsidRPr="00610B1B" w:rsidRDefault="00012D1F" w:rsidP="00D32D6A">
      <w:pPr>
        <w:pStyle w:val="BodyText"/>
        <w:spacing w:before="0" w:after="120" w:line="276" w:lineRule="auto"/>
        <w:rPr>
          <w:rFonts w:cs="Times New Roman"/>
        </w:rPr>
      </w:pPr>
      <w:r w:rsidRPr="00610B1B">
        <w:rPr>
          <w:rFonts w:cs="Times New Roman"/>
        </w:rPr>
        <w:t xml:space="preserve">Дейността е несъвместима и с дейностите свързани с </w:t>
      </w:r>
      <w:r w:rsidRPr="00610B1B">
        <w:rPr>
          <w:rFonts w:cs="Times New Roman"/>
          <w:b/>
          <w:bCs/>
        </w:rPr>
        <w:t>военните учения</w:t>
      </w:r>
      <w:r w:rsidRPr="00610B1B">
        <w:rPr>
          <w:rFonts w:cs="Times New Roman"/>
        </w:rPr>
        <w:t>, тъй като зоните за военни учения са временно или постоянно затворени за морски плавателни съдове или се намират встрани от зоните за корабоплаване.</w:t>
      </w:r>
      <w:r w:rsidR="000B7461" w:rsidRPr="00610B1B">
        <w:rPr>
          <w:rFonts w:cs="Times New Roman"/>
        </w:rPr>
        <w:t xml:space="preserve"> По време на учения се налагат ограничения за риболовните кораби.</w:t>
      </w:r>
    </w:p>
    <w:p w14:paraId="5E1BEDE3" w14:textId="0803EB3A" w:rsidR="00012D1F" w:rsidRPr="00610B1B" w:rsidRDefault="00012D1F" w:rsidP="00D32D6A">
      <w:pPr>
        <w:pStyle w:val="BodyText"/>
        <w:spacing w:before="0" w:after="120" w:line="276" w:lineRule="auto"/>
        <w:rPr>
          <w:rFonts w:cs="Times New Roman"/>
        </w:rPr>
      </w:pPr>
      <w:r w:rsidRPr="00610B1B">
        <w:rPr>
          <w:rFonts w:cs="Times New Roman"/>
        </w:rPr>
        <w:t xml:space="preserve">Уловът на живи организми оказва натиск върху </w:t>
      </w:r>
      <w:r w:rsidRPr="00610B1B">
        <w:rPr>
          <w:rFonts w:cs="Times New Roman"/>
          <w:b/>
          <w:bCs/>
        </w:rPr>
        <w:t>околната среда</w:t>
      </w:r>
      <w:r w:rsidRPr="00610B1B">
        <w:rPr>
          <w:rFonts w:cs="Times New Roman"/>
        </w:rPr>
        <w:t xml:space="preserve">. От гледна точка на опазването на околната среда, двете дейности са несъвместими. Риболовните уреди улавят дънни и пелагични видове риби – обект на търговски риболов, но въздействието е по-голямо от количеството на целевия улов, тъй като в мрежите попадат случайно </w:t>
      </w:r>
      <w:r w:rsidRPr="00610B1B">
        <w:rPr>
          <w:rFonts w:cs="Times New Roman"/>
        </w:rPr>
        <w:lastRenderedPageBreak/>
        <w:t>уловени видове риби, които не са обект на търговски риболов, птици и бозайници. Освен това, при движението си върху морското дъно, риболовните уреди нарушават структурата на субстрата. Изхвърлените и загубени риболовни уреди могат да се превърнат в капан за морски организми или да причинят нараняване.</w:t>
      </w:r>
    </w:p>
    <w:p w14:paraId="708203E4" w14:textId="08EC8FF8" w:rsidR="00012D1F" w:rsidRPr="00610B1B" w:rsidRDefault="00DD6CD4" w:rsidP="00D32D6A">
      <w:pPr>
        <w:pStyle w:val="BodyText"/>
        <w:spacing w:before="0" w:after="120" w:line="276" w:lineRule="auto"/>
        <w:rPr>
          <w:rFonts w:cs="Times New Roman"/>
        </w:rPr>
      </w:pPr>
      <w:bookmarkStart w:id="465" w:name="_Hlk49714210"/>
      <w:r w:rsidRPr="00610B1B">
        <w:rPr>
          <w:rFonts w:cs="Times New Roman"/>
        </w:rPr>
        <w:t>Стопанският риболов</w:t>
      </w:r>
      <w:r w:rsidR="00012D1F" w:rsidRPr="00610B1B">
        <w:rPr>
          <w:rFonts w:cs="Times New Roman"/>
        </w:rPr>
        <w:t xml:space="preserve"> се извършва в зони с потънали археологични обекти (останки от корабокрушения) и потънали брегови линии на шелфа. Риболовните уреди могат да унищожат обекти на </w:t>
      </w:r>
      <w:r w:rsidR="00012D1F" w:rsidRPr="00610B1B">
        <w:rPr>
          <w:rFonts w:cs="Times New Roman"/>
          <w:b/>
          <w:bCs/>
        </w:rPr>
        <w:t>подводното културно наследство</w:t>
      </w:r>
      <w:r w:rsidR="00012D1F" w:rsidRPr="00610B1B">
        <w:rPr>
          <w:rFonts w:cs="Times New Roman"/>
        </w:rPr>
        <w:t>, поради което двете дейности са несъвместими.</w:t>
      </w:r>
    </w:p>
    <w:bookmarkEnd w:id="465"/>
    <w:p w14:paraId="0D9406DE" w14:textId="245F7522" w:rsidR="00175199" w:rsidRPr="00610B1B" w:rsidRDefault="00012D1F" w:rsidP="00175199">
      <w:pPr>
        <w:pStyle w:val="BodyText"/>
        <w:spacing w:after="120"/>
        <w:rPr>
          <w:rFonts w:cs="Times New Roman"/>
        </w:rPr>
      </w:pPr>
      <w:r w:rsidRPr="00610B1B">
        <w:rPr>
          <w:rFonts w:cs="Times New Roman"/>
          <w:b/>
          <w:bCs/>
        </w:rPr>
        <w:t>Научните изследвания</w:t>
      </w:r>
      <w:r w:rsidRPr="00610B1B">
        <w:rPr>
          <w:rFonts w:cs="Times New Roman"/>
        </w:rPr>
        <w:t xml:space="preserve"> </w:t>
      </w:r>
      <w:r w:rsidR="00175199" w:rsidRPr="00610B1B">
        <w:rPr>
          <w:rFonts w:cs="Times New Roman"/>
        </w:rPr>
        <w:t xml:space="preserve">на рибите и нерибните видове, обект на промишлен риболов, </w:t>
      </w:r>
      <w:r w:rsidRPr="00610B1B">
        <w:rPr>
          <w:rFonts w:cs="Times New Roman"/>
        </w:rPr>
        <w:t>са пространствено съвместими с</w:t>
      </w:r>
      <w:r w:rsidR="00173C7E" w:rsidRPr="00610B1B">
        <w:rPr>
          <w:rFonts w:cs="Times New Roman"/>
        </w:rPr>
        <w:t>ъс</w:t>
      </w:r>
      <w:r w:rsidRPr="00610B1B">
        <w:rPr>
          <w:rFonts w:cs="Times New Roman"/>
        </w:rPr>
        <w:t xml:space="preserve"> </w:t>
      </w:r>
      <w:r w:rsidR="00DD6CD4" w:rsidRPr="00610B1B">
        <w:rPr>
          <w:rFonts w:cs="Times New Roman"/>
        </w:rPr>
        <w:t>стопанския риболов</w:t>
      </w:r>
      <w:r w:rsidR="00175199" w:rsidRPr="00610B1B">
        <w:rPr>
          <w:rFonts w:cs="Times New Roman"/>
        </w:rPr>
        <w:t xml:space="preserve"> на тези видове, но степента на отрицателно въздействие (смъртност) от научните изследвания е значително по-малка, а ползите от придобитите знания допринасят за подобряване на познанията за тях. Мониторингът </w:t>
      </w:r>
      <w:r w:rsidRPr="00610B1B">
        <w:rPr>
          <w:rFonts w:cs="Times New Roman"/>
        </w:rPr>
        <w:t>на риби</w:t>
      </w:r>
      <w:r w:rsidR="00175199" w:rsidRPr="00610B1B">
        <w:rPr>
          <w:rFonts w:cs="Times New Roman"/>
        </w:rPr>
        <w:t>те</w:t>
      </w:r>
      <w:r w:rsidRPr="00610B1B">
        <w:rPr>
          <w:rFonts w:cs="Times New Roman"/>
        </w:rPr>
        <w:t xml:space="preserve">, обект на </w:t>
      </w:r>
      <w:r w:rsidR="00DD6CD4" w:rsidRPr="00610B1B">
        <w:rPr>
          <w:rFonts w:cs="Times New Roman"/>
        </w:rPr>
        <w:t>стопански риболов</w:t>
      </w:r>
      <w:r w:rsidRPr="00610B1B">
        <w:rPr>
          <w:rFonts w:cs="Times New Roman"/>
        </w:rPr>
        <w:t xml:space="preserve">, се извършва съгласно програмата за мониторинг по </w:t>
      </w:r>
      <w:r w:rsidR="00173C7E" w:rsidRPr="00610B1B">
        <w:rPr>
          <w:rFonts w:cs="Times New Roman"/>
        </w:rPr>
        <w:t xml:space="preserve">Дескриптор </w:t>
      </w:r>
      <w:r w:rsidRPr="00610B1B">
        <w:rPr>
          <w:rFonts w:cs="Times New Roman"/>
        </w:rPr>
        <w:t>3</w:t>
      </w:r>
      <w:r w:rsidR="00E750E4" w:rsidRPr="00610B1B">
        <w:rPr>
          <w:rFonts w:cs="Times New Roman"/>
        </w:rPr>
        <w:t xml:space="preserve"> - видове риби и черупкови, обект на търговски риболов</w:t>
      </w:r>
      <w:r w:rsidRPr="00610B1B">
        <w:rPr>
          <w:rFonts w:cs="Times New Roman"/>
        </w:rPr>
        <w:t xml:space="preserve"> от РДМС</w:t>
      </w:r>
      <w:r w:rsidRPr="00610B1B">
        <w:rPr>
          <w:rStyle w:val="FootnoteAnchor"/>
          <w:rFonts w:cs="Times New Roman"/>
        </w:rPr>
        <w:footnoteReference w:id="189"/>
      </w:r>
      <w:r w:rsidR="00175199" w:rsidRPr="00610B1B">
        <w:rPr>
          <w:rFonts w:cs="Times New Roman"/>
        </w:rPr>
        <w:t xml:space="preserve"> и</w:t>
      </w:r>
      <w:r w:rsidRPr="00610B1B">
        <w:rPr>
          <w:rFonts w:cs="Times New Roman"/>
        </w:rPr>
        <w:t xml:space="preserve"> включва </w:t>
      </w:r>
      <w:r w:rsidR="00175199" w:rsidRPr="00610B1B">
        <w:rPr>
          <w:rFonts w:cs="Times New Roman"/>
        </w:rPr>
        <w:t xml:space="preserve">и </w:t>
      </w:r>
      <w:r w:rsidRPr="00610B1B">
        <w:rPr>
          <w:rFonts w:cs="Times New Roman"/>
        </w:rPr>
        <w:t xml:space="preserve">риболов с научна цел. </w:t>
      </w:r>
    </w:p>
    <w:p w14:paraId="06DBCCE7" w14:textId="77777777" w:rsidR="00012D1F" w:rsidRPr="00610B1B" w:rsidRDefault="00012D1F" w:rsidP="00695BEA">
      <w:pPr>
        <w:pStyle w:val="BodyText"/>
        <w:spacing w:before="0" w:after="120" w:line="240" w:lineRule="auto"/>
        <w:rPr>
          <w:rFonts w:cs="Times New Roman"/>
        </w:rPr>
      </w:pPr>
      <w:r w:rsidRPr="00610B1B">
        <w:rPr>
          <w:rFonts w:cs="Times New Roman"/>
          <w:b/>
          <w:bCs/>
        </w:rPr>
        <w:t>Аквакултури</w:t>
      </w:r>
    </w:p>
    <w:p w14:paraId="395061EE" w14:textId="336C1E2B" w:rsidR="00012D1F" w:rsidRPr="00610B1B" w:rsidRDefault="00012D1F" w:rsidP="00D32D6A">
      <w:pPr>
        <w:pStyle w:val="BodyText"/>
        <w:spacing w:before="0" w:after="120" w:line="276" w:lineRule="auto"/>
        <w:rPr>
          <w:rFonts w:cs="Times New Roman"/>
        </w:rPr>
      </w:pPr>
      <w:r w:rsidRPr="00610B1B">
        <w:rPr>
          <w:rFonts w:cs="Times New Roman"/>
        </w:rPr>
        <w:t xml:space="preserve">Местата на съоръженията за морски аквакултури не </w:t>
      </w:r>
      <w:r w:rsidR="0098119F" w:rsidRPr="00610B1B">
        <w:rPr>
          <w:rFonts w:cs="Times New Roman"/>
        </w:rPr>
        <w:t xml:space="preserve">се припокриват пространствено с </w:t>
      </w:r>
      <w:r w:rsidRPr="00610B1B">
        <w:rPr>
          <w:rFonts w:cs="Times New Roman"/>
          <w:b/>
          <w:bCs/>
        </w:rPr>
        <w:t>крайбрежния и морски туризъм</w:t>
      </w:r>
      <w:r w:rsidR="00634606" w:rsidRPr="00610B1B">
        <w:rPr>
          <w:rFonts w:cs="Times New Roman"/>
        </w:rPr>
        <w:t>,</w:t>
      </w:r>
      <w:r w:rsidRPr="00610B1B">
        <w:rPr>
          <w:rFonts w:cs="Times New Roman"/>
        </w:rPr>
        <w:t xml:space="preserve"> поради което няма конфликт за ползване на морското</w:t>
      </w:r>
      <w:r w:rsidR="009F57D1" w:rsidRPr="00610B1B">
        <w:rPr>
          <w:rFonts w:cs="Times New Roman"/>
        </w:rPr>
        <w:t xml:space="preserve"> пространство</w:t>
      </w:r>
      <w:r w:rsidRPr="00610B1B">
        <w:rPr>
          <w:rFonts w:cs="Times New Roman"/>
        </w:rPr>
        <w:t xml:space="preserve">. Близостта на мидените ферми може да допринесе </w:t>
      </w:r>
      <w:r w:rsidR="009F57D1" w:rsidRPr="00610B1B">
        <w:rPr>
          <w:rFonts w:cs="Times New Roman"/>
        </w:rPr>
        <w:t xml:space="preserve">за </w:t>
      </w:r>
      <w:r w:rsidRPr="00610B1B">
        <w:rPr>
          <w:rFonts w:cs="Times New Roman"/>
        </w:rPr>
        <w:t>подобряване на качеството на водата в зоните за къпане, ако производството не води до отделянето на отпадъчни води и твърди отпадъци. Замърсяването с отпадъчни води и твърди отпадъци от туризма може да влош</w:t>
      </w:r>
      <w:r w:rsidR="009F57D1" w:rsidRPr="00610B1B">
        <w:rPr>
          <w:rFonts w:cs="Times New Roman"/>
        </w:rPr>
        <w:t>и</w:t>
      </w:r>
      <w:r w:rsidRPr="00610B1B">
        <w:rPr>
          <w:rFonts w:cs="Times New Roman"/>
        </w:rPr>
        <w:t xml:space="preserve"> качеството на продукцията на мидените ферми.</w:t>
      </w:r>
      <w:r w:rsidR="0098119F" w:rsidRPr="00610B1B">
        <w:rPr>
          <w:rFonts w:cs="Times New Roman"/>
        </w:rPr>
        <w:t xml:space="preserve"> Присъствието на последните в близост до плажове ограничава възможностите за водни спортове и забавления. </w:t>
      </w:r>
    </w:p>
    <w:p w14:paraId="5BC9C126" w14:textId="27142876" w:rsidR="00012D1F" w:rsidRPr="00610B1B" w:rsidRDefault="00012D1F" w:rsidP="00D32D6A">
      <w:pPr>
        <w:pStyle w:val="BodyText"/>
        <w:spacing w:before="0" w:after="120" w:line="276" w:lineRule="auto"/>
        <w:rPr>
          <w:rFonts w:cs="Times New Roman"/>
        </w:rPr>
      </w:pPr>
      <w:r w:rsidRPr="00610B1B">
        <w:rPr>
          <w:rFonts w:cs="Times New Roman"/>
        </w:rPr>
        <w:t xml:space="preserve">Няма припокриване между мидените ферми и съществуващите съоръжения на </w:t>
      </w:r>
      <w:r w:rsidRPr="00610B1B">
        <w:rPr>
          <w:rFonts w:cs="Times New Roman"/>
          <w:b/>
          <w:bCs/>
        </w:rPr>
        <w:t>техническата инфраструктура</w:t>
      </w:r>
      <w:r w:rsidRPr="00610B1B">
        <w:rPr>
          <w:rFonts w:cs="Times New Roman"/>
        </w:rPr>
        <w:t xml:space="preserve"> – буни, дамби, морски пристанища. Няма отрицателно функционално взаимодействие между буните и дамбите, от една страна, и мидените ферми, от друга. Замърсените води от някои морски пристанища могат да причинят влошаване на продукцията на мидени ферми,</w:t>
      </w:r>
      <w:r w:rsidR="00450A13" w:rsidRPr="00610B1B">
        <w:rPr>
          <w:rFonts w:cs="Times New Roman"/>
        </w:rPr>
        <w:t xml:space="preserve"> </w:t>
      </w:r>
      <w:r w:rsidRPr="00610B1B">
        <w:rPr>
          <w:rFonts w:cs="Times New Roman"/>
        </w:rPr>
        <w:t xml:space="preserve">разположени в близост (1.5-2 km). </w:t>
      </w:r>
      <w:r w:rsidR="00450A13" w:rsidRPr="00610B1B">
        <w:rPr>
          <w:rFonts w:cs="Times New Roman"/>
        </w:rPr>
        <w:t xml:space="preserve">Най-замърсени са пристанищата Варна и Бургас, единични сигнали за замърсяване последните 10 години по данни на БДЧР има за Несебър, Созопол и Царево, но броят им не омаловажава проблема. </w:t>
      </w:r>
      <w:r w:rsidRPr="00610B1B">
        <w:rPr>
          <w:rFonts w:cs="Times New Roman"/>
        </w:rPr>
        <w:t>В бъдеще може да се търси синергия между двата вида ползване под формата на изкуствени рифове, които да осигуряват развитието на високопродуктивни съобщества на миди и други видове макрозообентос, като по този начин допринасят за подобряване на качеството на морската вода.</w:t>
      </w:r>
    </w:p>
    <w:p w14:paraId="6603B8E7" w14:textId="19FEFDEA" w:rsidR="00012D1F" w:rsidRPr="00610B1B" w:rsidRDefault="00012D1F" w:rsidP="00D32D6A">
      <w:pPr>
        <w:pStyle w:val="BodyText"/>
        <w:spacing w:before="0" w:after="120" w:line="276" w:lineRule="auto"/>
        <w:rPr>
          <w:rFonts w:cs="Times New Roman"/>
        </w:rPr>
      </w:pPr>
      <w:r w:rsidRPr="00610B1B">
        <w:rPr>
          <w:rFonts w:cs="Times New Roman"/>
        </w:rPr>
        <w:t xml:space="preserve">Няма припокриване между зоните за аквакултури и зоните </w:t>
      </w:r>
      <w:r w:rsidR="009F57D1" w:rsidRPr="00610B1B">
        <w:rPr>
          <w:rFonts w:cs="Times New Roman"/>
        </w:rPr>
        <w:t xml:space="preserve">за </w:t>
      </w:r>
      <w:r w:rsidRPr="00610B1B">
        <w:rPr>
          <w:rFonts w:cs="Times New Roman"/>
          <w:b/>
          <w:bCs/>
        </w:rPr>
        <w:t>проучване и добив</w:t>
      </w:r>
      <w:r w:rsidRPr="00610B1B">
        <w:rPr>
          <w:rFonts w:cs="Times New Roman"/>
        </w:rPr>
        <w:t xml:space="preserve"> на нефт и газ, които са на значително разстояние в зоната на шелфа.</w:t>
      </w:r>
    </w:p>
    <w:p w14:paraId="37D9578D" w14:textId="4F4B1B30" w:rsidR="00012D1F" w:rsidRPr="00610B1B" w:rsidRDefault="00012D1F" w:rsidP="00D32D6A">
      <w:pPr>
        <w:pStyle w:val="BodyText"/>
        <w:spacing w:before="0" w:after="120" w:line="276" w:lineRule="auto"/>
        <w:rPr>
          <w:rFonts w:cs="Times New Roman"/>
        </w:rPr>
      </w:pPr>
      <w:r w:rsidRPr="00610B1B">
        <w:rPr>
          <w:rFonts w:cs="Times New Roman"/>
        </w:rPr>
        <w:t xml:space="preserve">Няма припокриване и оттам – несъвместимост с дейностите свързани с </w:t>
      </w:r>
      <w:r w:rsidRPr="00610B1B">
        <w:rPr>
          <w:rFonts w:cs="Times New Roman"/>
          <w:b/>
          <w:bCs/>
        </w:rPr>
        <w:t>военните учения</w:t>
      </w:r>
      <w:r w:rsidRPr="00610B1B">
        <w:rPr>
          <w:rFonts w:cs="Times New Roman"/>
        </w:rPr>
        <w:t xml:space="preserve">. Инвестиционните предложения за съоръжения за аквакултури се издават за </w:t>
      </w:r>
      <w:r w:rsidRPr="00610B1B">
        <w:rPr>
          <w:rFonts w:cs="Times New Roman"/>
        </w:rPr>
        <w:lastRenderedPageBreak/>
        <w:t>зони, в които не се извършват военни учения.</w:t>
      </w:r>
      <w:r w:rsidR="000B7461" w:rsidRPr="00610B1B">
        <w:rPr>
          <w:rFonts w:cs="Times New Roman"/>
        </w:rPr>
        <w:t xml:space="preserve"> </w:t>
      </w:r>
    </w:p>
    <w:p w14:paraId="280089B3" w14:textId="54DB950B" w:rsidR="00012D1F" w:rsidRPr="00610B1B" w:rsidRDefault="00012D1F" w:rsidP="00D32D6A">
      <w:pPr>
        <w:pStyle w:val="BodyText"/>
        <w:spacing w:before="0" w:after="120" w:line="276" w:lineRule="auto"/>
        <w:rPr>
          <w:rFonts w:cs="Times New Roman"/>
        </w:rPr>
      </w:pPr>
      <w:r w:rsidRPr="00610B1B">
        <w:rPr>
          <w:rFonts w:cs="Times New Roman"/>
        </w:rPr>
        <w:t xml:space="preserve">Зоните за морски аквакултури се припокриват със зоните за </w:t>
      </w:r>
      <w:r w:rsidRPr="00610B1B">
        <w:rPr>
          <w:rFonts w:cs="Times New Roman"/>
          <w:b/>
          <w:bCs/>
        </w:rPr>
        <w:t>опазване на околната среда</w:t>
      </w:r>
      <w:r w:rsidRPr="00610B1B">
        <w:rPr>
          <w:rFonts w:cs="Times New Roman"/>
        </w:rPr>
        <w:t xml:space="preserve"> –защитените зони от НЕМ Натура 2000. Съгласно информацията от Регистъра на разрешителните за ползване на воден обект за други цели в Черно море</w:t>
      </w:r>
      <w:r w:rsidR="00CC0CB7" w:rsidRPr="00610B1B">
        <w:rPr>
          <w:rFonts w:cs="Times New Roman"/>
        </w:rPr>
        <w:t xml:space="preserve"> </w:t>
      </w:r>
      <w:r w:rsidRPr="00610B1B">
        <w:rPr>
          <w:rFonts w:cs="Times New Roman"/>
        </w:rPr>
        <w:t>на БДЧР</w:t>
      </w:r>
      <w:r w:rsidRPr="00610B1B">
        <w:rPr>
          <w:rStyle w:val="FootnoteAnchor"/>
          <w:rFonts w:cs="Times New Roman"/>
        </w:rPr>
        <w:footnoteReference w:id="190"/>
      </w:r>
      <w:r w:rsidRPr="00610B1B">
        <w:rPr>
          <w:rFonts w:cs="Times New Roman"/>
        </w:rPr>
        <w:t xml:space="preserve">, част от мидените ферми попадат в Натура 2000. </w:t>
      </w:r>
      <w:r w:rsidR="008D5400" w:rsidRPr="00610B1B">
        <w:rPr>
          <w:rFonts w:cs="Times New Roman"/>
        </w:rPr>
        <w:t xml:space="preserve">Фермите </w:t>
      </w:r>
      <w:r w:rsidRPr="00610B1B">
        <w:rPr>
          <w:rFonts w:cs="Times New Roman"/>
        </w:rPr>
        <w:t>биха могли да осигуряват биологично пречистване чрез способността на мидите да филтрират суспендираните частици в морската вода. При образуване на твърди и течни отпадъци в резултат от производството на миди, двете дейности са несъвместими.</w:t>
      </w:r>
    </w:p>
    <w:p w14:paraId="37AF6AD3" w14:textId="77777777" w:rsidR="00012D1F" w:rsidRPr="00610B1B" w:rsidRDefault="00012D1F" w:rsidP="00D32D6A">
      <w:pPr>
        <w:pStyle w:val="BodyText"/>
        <w:spacing w:before="0" w:after="120" w:line="276" w:lineRule="auto"/>
        <w:rPr>
          <w:rFonts w:cs="Times New Roman"/>
        </w:rPr>
      </w:pPr>
      <w:bookmarkStart w:id="466" w:name="_Hlk49714259"/>
      <w:r w:rsidRPr="00610B1B">
        <w:rPr>
          <w:rFonts w:cs="Times New Roman"/>
        </w:rPr>
        <w:t xml:space="preserve">Районите на водите за отглеждане на черупкови организми се припокриват с районите на потънали археологически обекти от </w:t>
      </w:r>
      <w:r w:rsidRPr="00610B1B">
        <w:rPr>
          <w:rFonts w:cs="Times New Roman"/>
          <w:b/>
          <w:bCs/>
        </w:rPr>
        <w:t>подводното културно наследство</w:t>
      </w:r>
      <w:r w:rsidRPr="00610B1B">
        <w:rPr>
          <w:rFonts w:cs="Times New Roman"/>
        </w:rPr>
        <w:t>, но издадените до момента разрешителни показват, че инсталациите са на разстояние от откритите кораби, поради което може да се приеме, че няма взаимодействие.</w:t>
      </w:r>
    </w:p>
    <w:bookmarkEnd w:id="466"/>
    <w:p w14:paraId="5FA1EF7A" w14:textId="30E5E33C" w:rsidR="00012D1F" w:rsidRPr="00610B1B" w:rsidRDefault="00012D1F" w:rsidP="00D32D6A">
      <w:pPr>
        <w:pStyle w:val="BodyText"/>
        <w:spacing w:before="0" w:after="120" w:line="276" w:lineRule="auto"/>
        <w:rPr>
          <w:rFonts w:cs="Times New Roman"/>
        </w:rPr>
      </w:pPr>
      <w:r w:rsidRPr="00610B1B">
        <w:rPr>
          <w:rFonts w:cs="Times New Roman"/>
          <w:b/>
          <w:bCs/>
        </w:rPr>
        <w:t>Научните изследвания</w:t>
      </w:r>
      <w:r w:rsidRPr="00610B1B">
        <w:rPr>
          <w:rFonts w:cs="Times New Roman"/>
        </w:rPr>
        <w:t xml:space="preserve"> са пространствено несъвместими с морските аквакултури, тъй като в зоните на мидените ферми не се извършва мониторинг. Изключение прави собствения</w:t>
      </w:r>
      <w:r w:rsidR="0098119F" w:rsidRPr="00610B1B">
        <w:rPr>
          <w:rFonts w:cs="Times New Roman"/>
        </w:rPr>
        <w:t>т</w:t>
      </w:r>
      <w:r w:rsidRPr="00610B1B">
        <w:rPr>
          <w:rFonts w:cs="Times New Roman"/>
        </w:rPr>
        <w:t xml:space="preserve"> мониторинг на мидените ферми, определен в условията на разрешителните за аквакултури, който се извършва съгласно чл. 174 от Закона за водите и Наредба №</w:t>
      </w:r>
      <w:r w:rsidR="0098119F" w:rsidRPr="00610B1B">
        <w:rPr>
          <w:rFonts w:cs="Times New Roman"/>
        </w:rPr>
        <w:t xml:space="preserve"> </w:t>
      </w:r>
      <w:r w:rsidRPr="00610B1B">
        <w:rPr>
          <w:rFonts w:cs="Times New Roman"/>
        </w:rPr>
        <w:t>1 от 11.04.2011 г. за мониторинг на водите</w:t>
      </w:r>
      <w:r w:rsidRPr="00610B1B">
        <w:rPr>
          <w:rStyle w:val="FootnoteAnchor"/>
          <w:rFonts w:cs="Times New Roman"/>
        </w:rPr>
        <w:footnoteReference w:id="191"/>
      </w:r>
      <w:r w:rsidRPr="00610B1B">
        <w:rPr>
          <w:rFonts w:cs="Times New Roman"/>
        </w:rPr>
        <w:t xml:space="preserve"> и се взема предвид при оценка на състояние на крайбрежните морски води в Плана за управление на речните басейни (ПУРБ) 2016-2021 г.</w:t>
      </w:r>
    </w:p>
    <w:p w14:paraId="626CF874" w14:textId="77777777" w:rsidR="00012D1F" w:rsidRPr="00610B1B" w:rsidRDefault="00012D1F" w:rsidP="00695BEA">
      <w:pPr>
        <w:pStyle w:val="BodyText"/>
        <w:spacing w:before="0" w:after="120" w:line="240" w:lineRule="auto"/>
        <w:rPr>
          <w:rFonts w:cs="Times New Roman"/>
          <w:b/>
          <w:bCs/>
        </w:rPr>
      </w:pPr>
      <w:r w:rsidRPr="00610B1B">
        <w:rPr>
          <w:rFonts w:cs="Times New Roman"/>
          <w:b/>
          <w:bCs/>
        </w:rPr>
        <w:t>Туризъм</w:t>
      </w:r>
    </w:p>
    <w:p w14:paraId="098471E1" w14:textId="3911D2DA" w:rsidR="00012D1F" w:rsidRPr="00610B1B" w:rsidRDefault="00012D1F" w:rsidP="00D32D6A">
      <w:pPr>
        <w:pStyle w:val="BodyText"/>
        <w:spacing w:before="0" w:after="120" w:line="276" w:lineRule="auto"/>
        <w:rPr>
          <w:rFonts w:cs="Times New Roman"/>
        </w:rPr>
      </w:pPr>
      <w:r w:rsidRPr="00610B1B">
        <w:rPr>
          <w:rFonts w:cs="Times New Roman"/>
        </w:rPr>
        <w:t xml:space="preserve">Крайбрежният и морски туризъм зависи от създадената </w:t>
      </w:r>
      <w:r w:rsidRPr="00610B1B">
        <w:rPr>
          <w:rFonts w:cs="Times New Roman"/>
          <w:b/>
          <w:bCs/>
        </w:rPr>
        <w:t>техническа инфраструктура</w:t>
      </w:r>
      <w:r w:rsidRPr="00610B1B">
        <w:rPr>
          <w:rFonts w:cs="Times New Roman"/>
        </w:rPr>
        <w:t xml:space="preserve"> – буни, дамби, морски пристанища. Дамбите осигуряват защита на разположената на брега туристическа инфраструктура от ветровото вълнение, но правят морето недостъпно за туристите. Буните също осигуряват известна защита от ветровото вълнение и задържане на пясъка от наветрената страна. Но това е причина за подветрена ерозия на плажните ивици при недостатъчна мощност на наносния поток, поради което имат както положително, така и отрицателно въздействие върху широчината на достъпната плажна площ. Буните и дамбите променят естествения ландшафт, което прави брега по-малко привлекателен за туристите.</w:t>
      </w:r>
      <w:r w:rsidR="008D5400" w:rsidRPr="00610B1B">
        <w:rPr>
          <w:rFonts w:cs="Times New Roman"/>
        </w:rPr>
        <w:t xml:space="preserve"> Положените на морското дъно кабели нямат отрицателно въздействие върху развитието на морския туризъм.</w:t>
      </w:r>
    </w:p>
    <w:p w14:paraId="39118241" w14:textId="52F2E577" w:rsidR="00012D1F" w:rsidRPr="00610B1B" w:rsidRDefault="00012D1F" w:rsidP="00D32D6A">
      <w:pPr>
        <w:pStyle w:val="BodyText"/>
        <w:spacing w:before="0" w:after="120" w:line="276" w:lineRule="auto"/>
        <w:rPr>
          <w:rFonts w:cs="Times New Roman"/>
        </w:rPr>
      </w:pPr>
      <w:r w:rsidRPr="00610B1B">
        <w:rPr>
          <w:rFonts w:cs="Times New Roman"/>
        </w:rPr>
        <w:t xml:space="preserve">Няма припокриване между крайбрежния и морски туризъм и зоните </w:t>
      </w:r>
      <w:r w:rsidR="00737206" w:rsidRPr="00610B1B">
        <w:rPr>
          <w:rFonts w:cs="Times New Roman"/>
        </w:rPr>
        <w:t xml:space="preserve">за </w:t>
      </w:r>
      <w:r w:rsidRPr="00610B1B">
        <w:rPr>
          <w:rFonts w:cs="Times New Roman"/>
          <w:b/>
          <w:bCs/>
        </w:rPr>
        <w:t>проучване и добив</w:t>
      </w:r>
      <w:r w:rsidRPr="00610B1B">
        <w:rPr>
          <w:rFonts w:cs="Times New Roman"/>
        </w:rPr>
        <w:t xml:space="preserve"> на нефт и газ, които са на значително разстояние в зоната на шелфа. В тези зони се забранява влизането и пребиваването на плавателни съдове, освен обслужващите кораби</w:t>
      </w:r>
      <w:bookmarkStart w:id="467" w:name="_RefF11"/>
      <w:bookmarkStart w:id="468" w:name="_RefF01"/>
      <w:bookmarkEnd w:id="467"/>
      <w:bookmarkEnd w:id="468"/>
      <w:r w:rsidRPr="00610B1B">
        <w:rPr>
          <w:rFonts w:cs="Times New Roman"/>
        </w:rPr>
        <w:t>.</w:t>
      </w:r>
    </w:p>
    <w:p w14:paraId="6FBED652" w14:textId="79125846" w:rsidR="00012D1F" w:rsidRPr="00610B1B" w:rsidRDefault="00012D1F" w:rsidP="00D32D6A">
      <w:pPr>
        <w:pStyle w:val="BodyText"/>
        <w:spacing w:before="0" w:after="120" w:line="276" w:lineRule="auto"/>
        <w:rPr>
          <w:rFonts w:cs="Times New Roman"/>
        </w:rPr>
      </w:pPr>
      <w:r w:rsidRPr="00610B1B">
        <w:rPr>
          <w:rFonts w:cs="Times New Roman"/>
        </w:rPr>
        <w:t xml:space="preserve">Съществува несъвместимост между </w:t>
      </w:r>
      <w:r w:rsidRPr="00610B1B">
        <w:rPr>
          <w:rFonts w:cs="Times New Roman"/>
          <w:b/>
          <w:bCs/>
        </w:rPr>
        <w:t>военните учения</w:t>
      </w:r>
      <w:r w:rsidRPr="00610B1B">
        <w:rPr>
          <w:rFonts w:cs="Times New Roman"/>
        </w:rPr>
        <w:t xml:space="preserve"> и туризма, </w:t>
      </w:r>
      <w:r w:rsidR="008D5400" w:rsidRPr="00610B1B">
        <w:rPr>
          <w:rFonts w:cs="Times New Roman"/>
        </w:rPr>
        <w:t>поради което</w:t>
      </w:r>
      <w:r w:rsidRPr="00610B1B">
        <w:rPr>
          <w:rFonts w:cs="Times New Roman"/>
        </w:rPr>
        <w:t xml:space="preserve"> зоните, в които се извършват военни учения са временно или постоянно затворени за достъп</w:t>
      </w:r>
      <w:r w:rsidR="008D5400" w:rsidRPr="00610B1B">
        <w:rPr>
          <w:rFonts w:cs="Times New Roman"/>
        </w:rPr>
        <w:t>, за да се ограничи риска за пребиваващите в близост до тези зони</w:t>
      </w:r>
      <w:r w:rsidRPr="00610B1B">
        <w:rPr>
          <w:rFonts w:cs="Times New Roman"/>
        </w:rPr>
        <w:t>.</w:t>
      </w:r>
    </w:p>
    <w:p w14:paraId="0730F869" w14:textId="757587CD" w:rsidR="00012D1F" w:rsidRPr="00610B1B" w:rsidRDefault="00012D1F" w:rsidP="0064716E">
      <w:pPr>
        <w:pStyle w:val="BodyText"/>
        <w:spacing w:after="120"/>
        <w:rPr>
          <w:rFonts w:cs="Times New Roman"/>
          <w:color w:val="000000"/>
        </w:rPr>
      </w:pPr>
      <w:r w:rsidRPr="00610B1B">
        <w:rPr>
          <w:rFonts w:cs="Times New Roman"/>
        </w:rPr>
        <w:t xml:space="preserve">Туристическите дейности се припокриват със зоните за </w:t>
      </w:r>
      <w:r w:rsidRPr="00610B1B">
        <w:rPr>
          <w:rFonts w:cs="Times New Roman"/>
          <w:b/>
          <w:bCs/>
        </w:rPr>
        <w:t>опазване на околната среда</w:t>
      </w:r>
      <w:r w:rsidRPr="00610B1B">
        <w:rPr>
          <w:rFonts w:cs="Times New Roman"/>
        </w:rPr>
        <w:t xml:space="preserve"> –</w:t>
      </w:r>
      <w:r w:rsidRPr="00610B1B">
        <w:rPr>
          <w:rFonts w:cs="Times New Roman"/>
        </w:rPr>
        <w:lastRenderedPageBreak/>
        <w:t>защитените зони от НЕМ Натура 2000.</w:t>
      </w:r>
      <w:r w:rsidR="00D66FE0" w:rsidRPr="00610B1B">
        <w:rPr>
          <w:rFonts w:cs="Times New Roman"/>
        </w:rPr>
        <w:t xml:space="preserve"> </w:t>
      </w:r>
      <w:r w:rsidRPr="00610B1B">
        <w:rPr>
          <w:rFonts w:cs="Times New Roman"/>
          <w:color w:val="000000"/>
        </w:rPr>
        <w:t xml:space="preserve">Населените места и селищни образувания, курортите, курортните комплекси, ваканционните селища и вилните зони по крайбрежието могат да бъдат източник на замърсяване с </w:t>
      </w:r>
      <w:r w:rsidR="008D5400" w:rsidRPr="00610B1B">
        <w:rPr>
          <w:rFonts w:cs="Times New Roman"/>
          <w:color w:val="000000"/>
        </w:rPr>
        <w:t xml:space="preserve">недобре </w:t>
      </w:r>
      <w:r w:rsidRPr="00610B1B">
        <w:rPr>
          <w:rFonts w:cs="Times New Roman"/>
          <w:color w:val="000000"/>
        </w:rPr>
        <w:t xml:space="preserve">пречистени отпадъчни води, въпреки че при извършване на дейности, свързани с ползване на води за заустване в повърхностен воден обект е необходимо разрешително, съгласно чл. 46, ал. 1 от Закона за водите. </w:t>
      </w:r>
      <w:r w:rsidR="008D5400" w:rsidRPr="00610B1B">
        <w:rPr>
          <w:rFonts w:cs="Times New Roman"/>
          <w:color w:val="000000"/>
        </w:rPr>
        <w:t>Съгласно П</w:t>
      </w:r>
      <w:r w:rsidRPr="00610B1B">
        <w:rPr>
          <w:rFonts w:cs="Times New Roman"/>
          <w:color w:val="000000"/>
        </w:rPr>
        <w:t>риложение III от РДМС</w:t>
      </w:r>
      <w:r w:rsidR="00AA27F1" w:rsidRPr="00610B1B">
        <w:rPr>
          <w:rFonts w:cs="Times New Roman"/>
          <w:color w:val="000000"/>
        </w:rPr>
        <w:t xml:space="preserve"> са възможни следните видове натиск</w:t>
      </w:r>
      <w:r w:rsidRPr="00610B1B">
        <w:rPr>
          <w:rFonts w:cs="Times New Roman"/>
          <w:color w:val="000000"/>
        </w:rPr>
        <w:t>: въвеждане на микробни патогени; физически смущения на морското дъно (временни или обратими) (дескриптор 6 от РДМС); въвеждане на хранителни вещества (дескриптор</w:t>
      </w:r>
      <w:r w:rsidR="00695BEA" w:rsidRPr="00610B1B">
        <w:rPr>
          <w:rFonts w:cs="Times New Roman"/>
          <w:color w:val="000000"/>
        </w:rPr>
        <w:t> </w:t>
      </w:r>
      <w:r w:rsidRPr="00610B1B">
        <w:rPr>
          <w:rFonts w:cs="Times New Roman"/>
          <w:color w:val="000000"/>
        </w:rPr>
        <w:t xml:space="preserve">5 - еутрофикация); обезпокояване на видове </w:t>
      </w:r>
      <w:r w:rsidR="00AA27F1" w:rsidRPr="00610B1B">
        <w:rPr>
          <w:rFonts w:cs="Times New Roman"/>
          <w:color w:val="000000"/>
        </w:rPr>
        <w:t>в пространствата за</w:t>
      </w:r>
      <w:r w:rsidRPr="00610B1B">
        <w:rPr>
          <w:rFonts w:cs="Times New Roman"/>
          <w:color w:val="000000"/>
        </w:rPr>
        <w:t xml:space="preserve"> размножава</w:t>
      </w:r>
      <w:r w:rsidR="00AA27F1" w:rsidRPr="00610B1B">
        <w:rPr>
          <w:rFonts w:cs="Times New Roman"/>
          <w:color w:val="000000"/>
        </w:rPr>
        <w:t>не</w:t>
      </w:r>
      <w:r w:rsidRPr="00610B1B">
        <w:rPr>
          <w:rFonts w:cs="Times New Roman"/>
          <w:color w:val="000000"/>
        </w:rPr>
        <w:t>, почив</w:t>
      </w:r>
      <w:r w:rsidR="00AA27F1" w:rsidRPr="00610B1B">
        <w:rPr>
          <w:rFonts w:cs="Times New Roman"/>
          <w:color w:val="000000"/>
        </w:rPr>
        <w:t>к</w:t>
      </w:r>
      <w:r w:rsidRPr="00610B1B">
        <w:rPr>
          <w:rFonts w:cs="Times New Roman"/>
          <w:color w:val="000000"/>
        </w:rPr>
        <w:t>а и хран</w:t>
      </w:r>
      <w:r w:rsidR="00AA27F1" w:rsidRPr="00610B1B">
        <w:rPr>
          <w:rFonts w:cs="Times New Roman"/>
          <w:color w:val="000000"/>
        </w:rPr>
        <w:t>ене</w:t>
      </w:r>
      <w:r w:rsidRPr="00610B1B">
        <w:rPr>
          <w:rFonts w:cs="Times New Roman"/>
          <w:color w:val="000000"/>
        </w:rPr>
        <w:t xml:space="preserve"> поради човешко присъствие (дескриптор 1 - биоразнообразие); въвеждане на синтетични вещества</w:t>
      </w:r>
      <w:r w:rsidR="0064716E" w:rsidRPr="00610B1B">
        <w:rPr>
          <w:rFonts w:cs="Times New Roman"/>
          <w:color w:val="000000"/>
        </w:rPr>
        <w:t>,</w:t>
      </w:r>
      <w:r w:rsidRPr="00610B1B">
        <w:rPr>
          <w:rFonts w:cs="Times New Roman"/>
          <w:color w:val="000000"/>
        </w:rPr>
        <w:t xml:space="preserve"> несинтетични вещества</w:t>
      </w:r>
      <w:r w:rsidR="0064716E" w:rsidRPr="00610B1B">
        <w:rPr>
          <w:rFonts w:cs="Times New Roman"/>
          <w:color w:val="000000"/>
        </w:rPr>
        <w:t>,</w:t>
      </w:r>
      <w:r w:rsidRPr="00610B1B">
        <w:rPr>
          <w:rFonts w:cs="Times New Roman"/>
          <w:color w:val="000000"/>
        </w:rPr>
        <w:t xml:space="preserve"> </w:t>
      </w:r>
      <w:r w:rsidR="0064716E" w:rsidRPr="00610B1B">
        <w:rPr>
          <w:rFonts w:cs="Times New Roman"/>
          <w:color w:val="000000"/>
        </w:rPr>
        <w:t xml:space="preserve">радионуклиди - дифузни източници, точкови източници, атмосферни отлагания и случаи на интензивно замърсяване </w:t>
      </w:r>
      <w:r w:rsidRPr="00610B1B">
        <w:rPr>
          <w:rFonts w:cs="Times New Roman"/>
          <w:color w:val="000000"/>
        </w:rPr>
        <w:t>(дескриптор 8 – замърсители в морската среда); въвеждане на органични вещества; въвеждане на отпадъци (твърди отпадъци, включително микроотпадъци) (дескриптор</w:t>
      </w:r>
      <w:r w:rsidR="00695BEA" w:rsidRPr="00610B1B">
        <w:rPr>
          <w:rFonts w:cs="Times New Roman"/>
          <w:color w:val="000000"/>
        </w:rPr>
        <w:t> </w:t>
      </w:r>
      <w:r w:rsidRPr="00610B1B">
        <w:rPr>
          <w:rFonts w:cs="Times New Roman"/>
          <w:color w:val="000000"/>
        </w:rPr>
        <w:t>10</w:t>
      </w:r>
      <w:r w:rsidR="00695BEA" w:rsidRPr="00610B1B">
        <w:rPr>
          <w:rFonts w:cs="Times New Roman"/>
          <w:color w:val="000000"/>
        </w:rPr>
        <w:t> </w:t>
      </w:r>
      <w:r w:rsidRPr="00610B1B">
        <w:rPr>
          <w:rFonts w:cs="Times New Roman"/>
          <w:color w:val="000000"/>
        </w:rPr>
        <w:t xml:space="preserve">- морски отпадъци). Освен това плавателните средства за спорт, туризъм и развлечение са източник на </w:t>
      </w:r>
      <w:r w:rsidR="003C41B4" w:rsidRPr="00610B1B">
        <w:rPr>
          <w:rFonts w:cs="Times New Roman"/>
        </w:rPr>
        <w:t>антропогенен</w:t>
      </w:r>
      <w:r w:rsidR="0064716E" w:rsidRPr="00610B1B">
        <w:rPr>
          <w:rFonts w:cs="Times New Roman"/>
        </w:rPr>
        <w:t xml:space="preserve"> звук (импулсен или постоянен)</w:t>
      </w:r>
      <w:r w:rsidR="0064716E" w:rsidRPr="00610B1B">
        <w:rPr>
          <w:rFonts w:cs="Times New Roman"/>
          <w:color w:val="000000"/>
        </w:rPr>
        <w:t xml:space="preserve"> </w:t>
      </w:r>
      <w:r w:rsidRPr="00610B1B">
        <w:rPr>
          <w:rFonts w:cs="Times New Roman"/>
          <w:color w:val="000000"/>
        </w:rPr>
        <w:t>(дескриптор 11) за морските риби и бозайници.</w:t>
      </w:r>
    </w:p>
    <w:p w14:paraId="7CB687EB" w14:textId="77777777" w:rsidR="00012D1F" w:rsidRPr="00610B1B" w:rsidRDefault="00012D1F" w:rsidP="00D32D6A">
      <w:pPr>
        <w:pStyle w:val="BodyText"/>
        <w:spacing w:before="0" w:after="120" w:line="276" w:lineRule="auto"/>
        <w:rPr>
          <w:rFonts w:cs="Times New Roman"/>
        </w:rPr>
      </w:pPr>
      <w:bookmarkStart w:id="469" w:name="_Hlk49714298"/>
      <w:r w:rsidRPr="00610B1B">
        <w:rPr>
          <w:rFonts w:cs="Times New Roman"/>
        </w:rPr>
        <w:t xml:space="preserve">Дейностите на морския туризъм са съвместими с дейностите по опазване на потънали археологически обекти от </w:t>
      </w:r>
      <w:r w:rsidRPr="00610B1B">
        <w:rPr>
          <w:rFonts w:cs="Times New Roman"/>
          <w:b/>
          <w:bCs/>
        </w:rPr>
        <w:t>подводното културно наследство</w:t>
      </w:r>
      <w:r w:rsidRPr="00610B1B">
        <w:rPr>
          <w:rFonts w:cs="Times New Roman"/>
        </w:rPr>
        <w:t>.</w:t>
      </w:r>
    </w:p>
    <w:bookmarkEnd w:id="469"/>
    <w:p w14:paraId="01892FEC" w14:textId="77777777" w:rsidR="00012D1F" w:rsidRPr="00610B1B" w:rsidRDefault="00012D1F" w:rsidP="00D32D6A">
      <w:pPr>
        <w:pStyle w:val="BodyText"/>
        <w:spacing w:before="0" w:after="120" w:line="276" w:lineRule="auto"/>
        <w:rPr>
          <w:rFonts w:cs="Times New Roman"/>
        </w:rPr>
      </w:pPr>
      <w:r w:rsidRPr="00610B1B">
        <w:rPr>
          <w:rFonts w:cs="Times New Roman"/>
          <w:b/>
          <w:bCs/>
        </w:rPr>
        <w:t>Научните изследвания</w:t>
      </w:r>
      <w:r w:rsidRPr="00610B1B">
        <w:rPr>
          <w:rFonts w:cs="Times New Roman"/>
        </w:rPr>
        <w:t xml:space="preserve"> са пространствено съвместими с морския туризъм, тъй като морският туризъм не затруднява мониторинга, въпреки че в някои случаи дейностите се припокриват, особено при изследване на крайбрежните дънни местообитания.</w:t>
      </w:r>
    </w:p>
    <w:p w14:paraId="0700136E" w14:textId="77777777" w:rsidR="00012D1F" w:rsidRPr="00610B1B" w:rsidRDefault="00012D1F" w:rsidP="00695BEA">
      <w:pPr>
        <w:pStyle w:val="BodyText"/>
        <w:spacing w:before="0" w:after="120" w:line="240" w:lineRule="auto"/>
        <w:rPr>
          <w:rFonts w:cs="Times New Roman"/>
          <w:b/>
          <w:bCs/>
        </w:rPr>
      </w:pPr>
      <w:r w:rsidRPr="00610B1B">
        <w:rPr>
          <w:rFonts w:cs="Times New Roman"/>
          <w:b/>
          <w:bCs/>
        </w:rPr>
        <w:t>Техническа инфраструктура</w:t>
      </w:r>
    </w:p>
    <w:p w14:paraId="28F61A43" w14:textId="77777777" w:rsidR="00012D1F" w:rsidRPr="00610B1B" w:rsidRDefault="00012D1F" w:rsidP="00D32D6A">
      <w:pPr>
        <w:pStyle w:val="BodyText"/>
        <w:spacing w:before="0" w:after="120" w:line="276" w:lineRule="auto"/>
        <w:rPr>
          <w:rFonts w:cs="Times New Roman"/>
        </w:rPr>
      </w:pPr>
      <w:r w:rsidRPr="00610B1B">
        <w:rPr>
          <w:rFonts w:cs="Times New Roman"/>
        </w:rPr>
        <w:t xml:space="preserve">Техническата инфраструктура (пристанища, брегозащитни съоръжения, подводни комуникационни кабели) не се припокрива със съществуващите съоръжения за </w:t>
      </w:r>
      <w:r w:rsidRPr="00610B1B">
        <w:rPr>
          <w:rFonts w:cs="Times New Roman"/>
          <w:b/>
          <w:bCs/>
        </w:rPr>
        <w:t>проучване и добив</w:t>
      </w:r>
      <w:r w:rsidRPr="00610B1B">
        <w:rPr>
          <w:rFonts w:cs="Times New Roman"/>
        </w:rPr>
        <w:t xml:space="preserve"> на нефт и газ, поради което няма несъвместимост.</w:t>
      </w:r>
    </w:p>
    <w:p w14:paraId="045A3D45" w14:textId="4F946094" w:rsidR="00012D1F" w:rsidRPr="00610B1B" w:rsidRDefault="00012D1F" w:rsidP="00D32D6A">
      <w:pPr>
        <w:pStyle w:val="BodyText"/>
        <w:spacing w:before="0" w:after="120" w:line="276" w:lineRule="auto"/>
        <w:rPr>
          <w:rFonts w:cs="Times New Roman"/>
        </w:rPr>
      </w:pPr>
      <w:r w:rsidRPr="00610B1B">
        <w:rPr>
          <w:rFonts w:cs="Times New Roman"/>
        </w:rPr>
        <w:t xml:space="preserve">Обектите на техническата инфраструктура са извън зони за </w:t>
      </w:r>
      <w:r w:rsidRPr="00610B1B">
        <w:rPr>
          <w:rFonts w:cs="Times New Roman"/>
          <w:b/>
          <w:bCs/>
        </w:rPr>
        <w:t>военни учения</w:t>
      </w:r>
      <w:r w:rsidRPr="00610B1B">
        <w:rPr>
          <w:rFonts w:cs="Times New Roman"/>
        </w:rPr>
        <w:t xml:space="preserve"> или са съвместими, когато са предназначени </w:t>
      </w:r>
      <w:r w:rsidR="00737206" w:rsidRPr="00610B1B">
        <w:rPr>
          <w:rFonts w:cs="Times New Roman"/>
        </w:rPr>
        <w:t>з</w:t>
      </w:r>
      <w:r w:rsidRPr="00610B1B">
        <w:rPr>
          <w:rFonts w:cs="Times New Roman"/>
        </w:rPr>
        <w:t>а обекти на отбраната (например военни пристанища).</w:t>
      </w:r>
    </w:p>
    <w:p w14:paraId="14ED2F63" w14:textId="2A229369" w:rsidR="00012D1F" w:rsidRPr="00610B1B" w:rsidRDefault="00012D1F" w:rsidP="00695BEA">
      <w:pPr>
        <w:pStyle w:val="BodyText"/>
        <w:spacing w:before="0" w:after="0" w:line="276" w:lineRule="auto"/>
        <w:rPr>
          <w:rFonts w:cs="Times New Roman"/>
        </w:rPr>
      </w:pPr>
      <w:r w:rsidRPr="00610B1B">
        <w:rPr>
          <w:rFonts w:cs="Times New Roman"/>
        </w:rPr>
        <w:t xml:space="preserve">В зоните за </w:t>
      </w:r>
      <w:r w:rsidRPr="00610B1B">
        <w:rPr>
          <w:rFonts w:cs="Times New Roman"/>
          <w:b/>
          <w:bCs/>
        </w:rPr>
        <w:t>опазване на околната среда</w:t>
      </w:r>
      <w:r w:rsidRPr="00610B1B">
        <w:rPr>
          <w:rFonts w:cs="Times New Roman"/>
        </w:rPr>
        <w:t xml:space="preserve"> – защитените зони от НЕМ Натура 2000 с морска акватория, са изградени различни съоръжения на техническата инфраструктура</w:t>
      </w:r>
      <w:r w:rsidR="00695BEA" w:rsidRPr="00610B1B">
        <w:rPr>
          <w:rFonts w:cs="Times New Roman"/>
        </w:rPr>
        <w:t> </w:t>
      </w:r>
      <w:r w:rsidRPr="00610B1B">
        <w:rPr>
          <w:rFonts w:cs="Times New Roman"/>
        </w:rPr>
        <w:t>– буни, дамби, пристанища, подводни комуникационни кабели.</w:t>
      </w:r>
      <w:r w:rsidR="00D66FE0" w:rsidRPr="00610B1B">
        <w:rPr>
          <w:rFonts w:cs="Times New Roman"/>
        </w:rPr>
        <w:t xml:space="preserve"> </w:t>
      </w:r>
      <w:r w:rsidRPr="00610B1B">
        <w:rPr>
          <w:rFonts w:cs="Times New Roman"/>
          <w:color w:val="000000"/>
        </w:rPr>
        <w:t xml:space="preserve">На сушата има пречиствателни станции за отпадъчни води, които заустват в повърхностни водни обекти или в морето. Приложими са следните видове натиск от </w:t>
      </w:r>
      <w:r w:rsidR="00AA27F1" w:rsidRPr="00610B1B">
        <w:rPr>
          <w:rFonts w:cs="Times New Roman"/>
          <w:color w:val="000000"/>
        </w:rPr>
        <w:t xml:space="preserve">Приложение </w:t>
      </w:r>
      <w:r w:rsidRPr="00610B1B">
        <w:rPr>
          <w:rFonts w:cs="Times New Roman"/>
          <w:color w:val="000000"/>
        </w:rPr>
        <w:t>III от РДМС:</w:t>
      </w:r>
    </w:p>
    <w:p w14:paraId="6A3FA458" w14:textId="74DCFA0A" w:rsidR="00012D1F" w:rsidRPr="00610B1B" w:rsidRDefault="00B24CAE" w:rsidP="00B46189">
      <w:pPr>
        <w:pStyle w:val="BodyText"/>
        <w:numPr>
          <w:ilvl w:val="0"/>
          <w:numId w:val="82"/>
        </w:numPr>
        <w:spacing w:before="0" w:after="120" w:line="276" w:lineRule="auto"/>
        <w:rPr>
          <w:rFonts w:cs="Times New Roman"/>
        </w:rPr>
      </w:pPr>
      <w:r w:rsidRPr="00610B1B">
        <w:rPr>
          <w:rFonts w:cs="Times New Roman"/>
        </w:rPr>
        <w:t>При з</w:t>
      </w:r>
      <w:r w:rsidR="00012D1F" w:rsidRPr="00610B1B">
        <w:rPr>
          <w:rFonts w:cs="Times New Roman"/>
        </w:rPr>
        <w:t xml:space="preserve">аустване на непречистени отпадъчни води – </w:t>
      </w:r>
      <w:r w:rsidR="003D460D" w:rsidRPr="00610B1B">
        <w:rPr>
          <w:rFonts w:cs="Times New Roman"/>
        </w:rPr>
        <w:t>обогатяване с</w:t>
      </w:r>
      <w:r w:rsidR="00D66FE0" w:rsidRPr="00610B1B">
        <w:rPr>
          <w:rFonts w:cs="Times New Roman"/>
        </w:rPr>
        <w:t xml:space="preserve"> </w:t>
      </w:r>
      <w:r w:rsidR="00012D1F" w:rsidRPr="00610B1B">
        <w:rPr>
          <w:rFonts w:cs="Times New Roman"/>
        </w:rPr>
        <w:t>хранителни вещества</w:t>
      </w:r>
      <w:r w:rsidR="003D460D" w:rsidRPr="00610B1B">
        <w:rPr>
          <w:rFonts w:cs="Times New Roman"/>
        </w:rPr>
        <w:t xml:space="preserve"> и органична маса</w:t>
      </w:r>
      <w:r w:rsidR="00012D1F" w:rsidRPr="00610B1B">
        <w:rPr>
          <w:rFonts w:cs="Times New Roman"/>
        </w:rPr>
        <w:t xml:space="preserve"> (дескриптор 5 – еутрофикация); </w:t>
      </w:r>
      <w:r w:rsidRPr="00610B1B">
        <w:rPr>
          <w:rFonts w:cs="Times New Roman"/>
        </w:rPr>
        <w:t>замърсяване с опасни вещества</w:t>
      </w:r>
      <w:r w:rsidR="00D66FE0" w:rsidRPr="00610B1B">
        <w:rPr>
          <w:rFonts w:cs="Times New Roman"/>
        </w:rPr>
        <w:t xml:space="preserve"> </w:t>
      </w:r>
      <w:r w:rsidR="00012D1F" w:rsidRPr="00610B1B">
        <w:rPr>
          <w:rFonts w:cs="Times New Roman"/>
        </w:rPr>
        <w:t xml:space="preserve">(дескриптор 8 – замърсители в морската среда); </w:t>
      </w:r>
      <w:r w:rsidRPr="00610B1B">
        <w:rPr>
          <w:rFonts w:cs="Times New Roman"/>
        </w:rPr>
        <w:t>и други физически смущения, причиняващи замърсяване с морски отпадъци, вкл.</w:t>
      </w:r>
      <w:r w:rsidR="00D66FE0" w:rsidRPr="00610B1B">
        <w:rPr>
          <w:rFonts w:cs="Times New Roman"/>
        </w:rPr>
        <w:t xml:space="preserve"> </w:t>
      </w:r>
      <w:r w:rsidR="00012D1F" w:rsidRPr="00610B1B">
        <w:rPr>
          <w:rFonts w:cs="Times New Roman"/>
        </w:rPr>
        <w:t>микроотпадъци</w:t>
      </w:r>
      <w:r w:rsidR="00695BEA" w:rsidRPr="00610B1B">
        <w:rPr>
          <w:rFonts w:cs="Times New Roman"/>
        </w:rPr>
        <w:t> </w:t>
      </w:r>
      <w:r w:rsidR="00012D1F" w:rsidRPr="00610B1B">
        <w:rPr>
          <w:rFonts w:cs="Times New Roman"/>
          <w:color w:val="000000"/>
        </w:rPr>
        <w:t>(дескриптор 10 - морски отпадъци).</w:t>
      </w:r>
    </w:p>
    <w:p w14:paraId="7FCE662D" w14:textId="6E121B50" w:rsidR="00737206" w:rsidRPr="00610B1B" w:rsidRDefault="00B24CAE" w:rsidP="00B46189">
      <w:pPr>
        <w:pStyle w:val="BodyText"/>
        <w:numPr>
          <w:ilvl w:val="0"/>
          <w:numId w:val="82"/>
        </w:numPr>
        <w:spacing w:before="0" w:after="120" w:line="276" w:lineRule="auto"/>
        <w:rPr>
          <w:rFonts w:cs="Times New Roman"/>
        </w:rPr>
      </w:pPr>
      <w:r w:rsidRPr="00610B1B">
        <w:rPr>
          <w:rFonts w:cs="Times New Roman"/>
        </w:rPr>
        <w:lastRenderedPageBreak/>
        <w:t>При и</w:t>
      </w:r>
      <w:r w:rsidR="00012D1F" w:rsidRPr="00610B1B">
        <w:rPr>
          <w:rFonts w:cs="Times New Roman"/>
        </w:rPr>
        <w:t>зграждане на морски хидротехнически съоръжения – физическ</w:t>
      </w:r>
      <w:r w:rsidRPr="00610B1B">
        <w:rPr>
          <w:rFonts w:cs="Times New Roman"/>
        </w:rPr>
        <w:t>и</w:t>
      </w:r>
      <w:r w:rsidR="00012D1F" w:rsidRPr="00610B1B">
        <w:rPr>
          <w:rFonts w:cs="Times New Roman"/>
        </w:rPr>
        <w:t xml:space="preserve"> загуб</w:t>
      </w:r>
      <w:r w:rsidRPr="00610B1B">
        <w:rPr>
          <w:rFonts w:cs="Times New Roman"/>
        </w:rPr>
        <w:t>и, поради затрупване или запечатване</w:t>
      </w:r>
      <w:r w:rsidR="00012D1F" w:rsidRPr="00610B1B">
        <w:rPr>
          <w:rFonts w:cs="Times New Roman"/>
        </w:rPr>
        <w:t xml:space="preserve"> (дескриптор 6 от РДМС</w:t>
      </w:r>
      <w:r w:rsidR="003D460D" w:rsidRPr="00610B1B">
        <w:rPr>
          <w:rFonts w:cs="Times New Roman"/>
        </w:rPr>
        <w:t xml:space="preserve"> – Дънни местообитания</w:t>
      </w:r>
      <w:r w:rsidR="00012D1F" w:rsidRPr="00610B1B">
        <w:rPr>
          <w:rFonts w:cs="Times New Roman"/>
        </w:rPr>
        <w:t xml:space="preserve">), включително промяна на естествения субстрат (например пясъчен) с изкуствен (бетон); </w:t>
      </w:r>
      <w:r w:rsidRPr="00610B1B">
        <w:rPr>
          <w:rFonts w:cs="Times New Roman"/>
        </w:rPr>
        <w:t xml:space="preserve">Намеса </w:t>
      </w:r>
      <w:r w:rsidR="00012D1F" w:rsidRPr="00610B1B">
        <w:rPr>
          <w:rFonts w:cs="Times New Roman"/>
        </w:rPr>
        <w:t xml:space="preserve">в хидроложки </w:t>
      </w:r>
      <w:r w:rsidRPr="00610B1B">
        <w:rPr>
          <w:rFonts w:cs="Times New Roman"/>
        </w:rPr>
        <w:t>процеси</w:t>
      </w:r>
      <w:r w:rsidR="00012D1F" w:rsidRPr="00610B1B">
        <w:rPr>
          <w:rFonts w:cs="Times New Roman"/>
        </w:rPr>
        <w:t xml:space="preserve"> (дескриптор 7 от РДМС</w:t>
      </w:r>
      <w:r w:rsidR="003D460D" w:rsidRPr="00610B1B">
        <w:rPr>
          <w:rFonts w:cs="Times New Roman"/>
        </w:rPr>
        <w:t xml:space="preserve"> Изменения на хидрографските условия</w:t>
      </w:r>
      <w:r w:rsidR="00012D1F" w:rsidRPr="00610B1B">
        <w:rPr>
          <w:rFonts w:cs="Times New Roman"/>
        </w:rPr>
        <w:t>) във връзка с промяна на контура на брегов</w:t>
      </w:r>
      <w:r w:rsidR="00737206" w:rsidRPr="00610B1B">
        <w:rPr>
          <w:rFonts w:cs="Times New Roman"/>
        </w:rPr>
        <w:t>ата</w:t>
      </w:r>
      <w:r w:rsidR="00012D1F" w:rsidRPr="00610B1B">
        <w:rPr>
          <w:rFonts w:cs="Times New Roman"/>
        </w:rPr>
        <w:t xml:space="preserve"> линия, което води до промяна в наносния транспорт, задържане на наноси</w:t>
      </w:r>
      <w:r w:rsidR="00D66FE0" w:rsidRPr="00610B1B">
        <w:rPr>
          <w:rFonts w:cs="Times New Roman"/>
        </w:rPr>
        <w:t xml:space="preserve"> </w:t>
      </w:r>
      <w:r w:rsidR="00012D1F" w:rsidRPr="00610B1B">
        <w:rPr>
          <w:rFonts w:cs="Times New Roman"/>
        </w:rPr>
        <w:t>в наветрената страна на буните и при недостиг на наноси – подветрена абразия.</w:t>
      </w:r>
    </w:p>
    <w:p w14:paraId="17997207" w14:textId="17F61D6B" w:rsidR="00012D1F" w:rsidRPr="00610B1B" w:rsidRDefault="00D50BAF" w:rsidP="00B46189">
      <w:pPr>
        <w:pStyle w:val="BodyText"/>
        <w:numPr>
          <w:ilvl w:val="0"/>
          <w:numId w:val="82"/>
        </w:numPr>
        <w:spacing w:before="0" w:after="120" w:line="276" w:lineRule="auto"/>
        <w:rPr>
          <w:rFonts w:cs="Times New Roman"/>
        </w:rPr>
      </w:pPr>
      <w:r w:rsidRPr="00610B1B">
        <w:rPr>
          <w:rFonts w:cs="Times New Roman"/>
        </w:rPr>
        <w:t>При и</w:t>
      </w:r>
      <w:r w:rsidR="00012D1F" w:rsidRPr="00610B1B">
        <w:rPr>
          <w:rFonts w:cs="Times New Roman"/>
        </w:rPr>
        <w:t xml:space="preserve">зграждане на съоръжения </w:t>
      </w:r>
      <w:r w:rsidR="00737206" w:rsidRPr="00610B1B">
        <w:rPr>
          <w:rFonts w:cs="Times New Roman"/>
        </w:rPr>
        <w:t>з</w:t>
      </w:r>
      <w:r w:rsidR="00012D1F" w:rsidRPr="00610B1B">
        <w:rPr>
          <w:rFonts w:cs="Times New Roman"/>
        </w:rPr>
        <w:t xml:space="preserve">а добив на нефт и газ в морето – въпреки че изградените в морето съоръжения не попадат в защитени зони от НЕМ Натура 2000, проучването и добива на морски енергийни ресурси са свързани с физически </w:t>
      </w:r>
      <w:r w:rsidR="003F0443" w:rsidRPr="00610B1B">
        <w:rPr>
          <w:rFonts w:cs="Times New Roman"/>
        </w:rPr>
        <w:t xml:space="preserve">щети </w:t>
      </w:r>
      <w:r w:rsidR="00012D1F" w:rsidRPr="00610B1B">
        <w:rPr>
          <w:rFonts w:cs="Times New Roman"/>
        </w:rPr>
        <w:t>(временни или обратими</w:t>
      </w:r>
      <w:r w:rsidR="003F0443" w:rsidRPr="00610B1B">
        <w:rPr>
          <w:rFonts w:cs="Times New Roman"/>
        </w:rPr>
        <w:t xml:space="preserve"> промени върху морското дъно</w:t>
      </w:r>
      <w:r w:rsidR="00012D1F" w:rsidRPr="00610B1B">
        <w:rPr>
          <w:rFonts w:cs="Times New Roman"/>
        </w:rPr>
        <w:t>) (дескриптор 6</w:t>
      </w:r>
      <w:r w:rsidR="003D460D" w:rsidRPr="00610B1B">
        <w:rPr>
          <w:rFonts w:cs="Times New Roman"/>
        </w:rPr>
        <w:t xml:space="preserve"> </w:t>
      </w:r>
      <w:r w:rsidRPr="00610B1B">
        <w:rPr>
          <w:rFonts w:cs="Times New Roman"/>
        </w:rPr>
        <w:t xml:space="preserve">- </w:t>
      </w:r>
      <w:r w:rsidR="003D460D" w:rsidRPr="00610B1B">
        <w:rPr>
          <w:rFonts w:cs="Times New Roman"/>
        </w:rPr>
        <w:t>Дънни местообитания</w:t>
      </w:r>
      <w:r w:rsidR="00012D1F" w:rsidRPr="00610B1B">
        <w:rPr>
          <w:rFonts w:cs="Times New Roman"/>
        </w:rPr>
        <w:t xml:space="preserve">) и </w:t>
      </w:r>
      <w:r w:rsidR="003F0443" w:rsidRPr="00610B1B">
        <w:rPr>
          <w:rFonts w:cs="Times New Roman"/>
        </w:rPr>
        <w:t>други физически смущения,</w:t>
      </w:r>
      <w:r w:rsidR="00D66FE0" w:rsidRPr="00610B1B">
        <w:rPr>
          <w:rFonts w:cs="Times New Roman"/>
        </w:rPr>
        <w:t xml:space="preserve"> </w:t>
      </w:r>
      <w:r w:rsidR="003F0443" w:rsidRPr="00610B1B">
        <w:rPr>
          <w:rFonts w:cs="Times New Roman"/>
        </w:rPr>
        <w:t xml:space="preserve">между които въздействия като </w:t>
      </w:r>
      <w:r w:rsidR="00012D1F" w:rsidRPr="00610B1B">
        <w:rPr>
          <w:rFonts w:cs="Times New Roman"/>
        </w:rPr>
        <w:t>подводен шум (дескриптор 11</w:t>
      </w:r>
      <w:r w:rsidR="003D460D" w:rsidRPr="00610B1B">
        <w:rPr>
          <w:rFonts w:cs="Times New Roman"/>
        </w:rPr>
        <w:t xml:space="preserve"> </w:t>
      </w:r>
      <w:r w:rsidRPr="00610B1B">
        <w:rPr>
          <w:rFonts w:cs="Times New Roman"/>
        </w:rPr>
        <w:t xml:space="preserve">- </w:t>
      </w:r>
      <w:r w:rsidR="003D460D" w:rsidRPr="00610B1B">
        <w:rPr>
          <w:rFonts w:cs="Times New Roman"/>
        </w:rPr>
        <w:t>Подводен шум</w:t>
      </w:r>
      <w:r w:rsidR="00012D1F" w:rsidRPr="00610B1B">
        <w:rPr>
          <w:rFonts w:cs="Times New Roman"/>
        </w:rPr>
        <w:t>).</w:t>
      </w:r>
    </w:p>
    <w:p w14:paraId="74B82F43" w14:textId="6848AA8A" w:rsidR="00012D1F" w:rsidRPr="00610B1B" w:rsidRDefault="00012D1F" w:rsidP="00D32D6A">
      <w:pPr>
        <w:pStyle w:val="BodyText"/>
        <w:spacing w:before="0" w:after="120" w:line="276" w:lineRule="auto"/>
        <w:rPr>
          <w:rFonts w:cs="Times New Roman"/>
        </w:rPr>
      </w:pPr>
      <w:bookmarkStart w:id="470" w:name="_Hlk49714325"/>
      <w:r w:rsidRPr="00610B1B">
        <w:rPr>
          <w:rFonts w:cs="Times New Roman"/>
        </w:rPr>
        <w:t xml:space="preserve">Районите с техническа инфраструктура не се припокриват с районите на потънали археологически обекти от </w:t>
      </w:r>
      <w:r w:rsidRPr="00610B1B">
        <w:rPr>
          <w:rFonts w:cs="Times New Roman"/>
          <w:b/>
          <w:bCs/>
        </w:rPr>
        <w:t>подводното културно наследство</w:t>
      </w:r>
      <w:r w:rsidRPr="00610B1B">
        <w:rPr>
          <w:rFonts w:cs="Times New Roman"/>
        </w:rPr>
        <w:t xml:space="preserve">, поради което може да се приеме, че </w:t>
      </w:r>
      <w:r w:rsidR="00AA27F1" w:rsidRPr="00610B1B">
        <w:rPr>
          <w:rFonts w:cs="Times New Roman"/>
        </w:rPr>
        <w:t>няма</w:t>
      </w:r>
      <w:r w:rsidRPr="00610B1B">
        <w:rPr>
          <w:rFonts w:cs="Times New Roman"/>
        </w:rPr>
        <w:t xml:space="preserve"> несъвместимост.</w:t>
      </w:r>
      <w:r w:rsidR="0098119F" w:rsidRPr="00610B1B">
        <w:rPr>
          <w:rFonts w:cs="Times New Roman"/>
        </w:rPr>
        <w:t xml:space="preserve"> Изключения правят трасетата на подводни кабели и проводи, положени на морското дъно.</w:t>
      </w:r>
    </w:p>
    <w:bookmarkEnd w:id="470"/>
    <w:p w14:paraId="58FA0A6F" w14:textId="77777777" w:rsidR="00012D1F" w:rsidRPr="00610B1B" w:rsidRDefault="00012D1F" w:rsidP="00D32D6A">
      <w:pPr>
        <w:pStyle w:val="BodyText"/>
        <w:spacing w:before="0" w:after="120" w:line="276" w:lineRule="auto"/>
        <w:rPr>
          <w:rFonts w:cs="Times New Roman"/>
        </w:rPr>
      </w:pPr>
      <w:r w:rsidRPr="00610B1B">
        <w:rPr>
          <w:rFonts w:cs="Times New Roman"/>
          <w:b/>
          <w:bCs/>
        </w:rPr>
        <w:t>Научните изследвания</w:t>
      </w:r>
      <w:r w:rsidRPr="00610B1B">
        <w:rPr>
          <w:rFonts w:cs="Times New Roman"/>
        </w:rPr>
        <w:t xml:space="preserve"> често се извършват в близост до съоръжения от морската техническа инфраструктура, но двете дейности не са пространствено несъвместими.</w:t>
      </w:r>
    </w:p>
    <w:p w14:paraId="0B6F3026" w14:textId="77777777" w:rsidR="00012D1F" w:rsidRPr="00610B1B" w:rsidRDefault="00012D1F" w:rsidP="00D32D6A">
      <w:pPr>
        <w:pStyle w:val="BodyText"/>
        <w:spacing w:before="0" w:after="120" w:line="276" w:lineRule="auto"/>
        <w:rPr>
          <w:rFonts w:cs="Times New Roman"/>
          <w:b/>
          <w:bCs/>
        </w:rPr>
      </w:pPr>
      <w:r w:rsidRPr="00610B1B">
        <w:rPr>
          <w:rFonts w:cs="Times New Roman"/>
          <w:b/>
          <w:bCs/>
        </w:rPr>
        <w:t>Проучване и добив</w:t>
      </w:r>
    </w:p>
    <w:p w14:paraId="4396E3E4" w14:textId="4D4463C4" w:rsidR="00012D1F" w:rsidRPr="00610B1B" w:rsidRDefault="00012D1F" w:rsidP="00D32D6A">
      <w:pPr>
        <w:pStyle w:val="BodyText"/>
        <w:spacing w:before="0" w:after="120" w:line="276" w:lineRule="auto"/>
        <w:rPr>
          <w:rFonts w:cs="Times New Roman"/>
        </w:rPr>
      </w:pPr>
      <w:r w:rsidRPr="00610B1B">
        <w:rPr>
          <w:rFonts w:cs="Times New Roman"/>
        </w:rPr>
        <w:t xml:space="preserve">Дейностите за проучване и добив не се извършват в райони, предвидени за </w:t>
      </w:r>
      <w:r w:rsidRPr="00610B1B">
        <w:rPr>
          <w:rFonts w:cs="Times New Roman"/>
          <w:b/>
          <w:bCs/>
        </w:rPr>
        <w:t>военни учения</w:t>
      </w:r>
      <w:r w:rsidR="00737206" w:rsidRPr="00610B1B">
        <w:rPr>
          <w:rFonts w:cs="Times New Roman"/>
        </w:rPr>
        <w:t>,</w:t>
      </w:r>
      <w:r w:rsidRPr="00610B1B">
        <w:rPr>
          <w:rFonts w:cs="Times New Roman"/>
        </w:rPr>
        <w:t xml:space="preserve"> поради което между двата вида дейности не съществуват конфликти за ползване на морските пространства.</w:t>
      </w:r>
    </w:p>
    <w:p w14:paraId="0EB1839D" w14:textId="2A5F62CE" w:rsidR="00012D1F" w:rsidRPr="00610B1B" w:rsidRDefault="00012D1F" w:rsidP="00D32D6A">
      <w:pPr>
        <w:pStyle w:val="BodyText"/>
        <w:spacing w:before="0" w:after="120" w:line="276" w:lineRule="auto"/>
        <w:rPr>
          <w:rFonts w:cs="Times New Roman"/>
        </w:rPr>
      </w:pPr>
      <w:r w:rsidRPr="00610B1B">
        <w:rPr>
          <w:rFonts w:cs="Times New Roman"/>
        </w:rPr>
        <w:t xml:space="preserve">В зоните за </w:t>
      </w:r>
      <w:r w:rsidRPr="00610B1B">
        <w:rPr>
          <w:rFonts w:cs="Times New Roman"/>
          <w:b/>
          <w:bCs/>
        </w:rPr>
        <w:t>опазване на околната среда</w:t>
      </w:r>
      <w:r w:rsidRPr="00610B1B">
        <w:rPr>
          <w:rFonts w:cs="Times New Roman"/>
        </w:rPr>
        <w:t xml:space="preserve"> – в защитените зони от НЕМ Натура 2000 с морска акватория, са изградени съоръжения за проучване и добив на нефт – Дуранкулак (защитени местности Дуранкулак и Дур</w:t>
      </w:r>
      <w:r w:rsidR="003C41B4" w:rsidRPr="00610B1B">
        <w:rPr>
          <w:rFonts w:cs="Times New Roman"/>
          <w:lang w:val="en-US"/>
        </w:rPr>
        <w:t>a</w:t>
      </w:r>
      <w:r w:rsidRPr="00610B1B">
        <w:rPr>
          <w:rFonts w:cs="Times New Roman"/>
        </w:rPr>
        <w:t>нкулашко езеро), Тюленово (защитени местности Калиакра и Комплекс Калиакра) и Българево (защитени местности Калиакра, Комплекс Калиакра, Белите скали).</w:t>
      </w:r>
      <w:r w:rsidR="00D66FE0" w:rsidRPr="00610B1B">
        <w:rPr>
          <w:rFonts w:cs="Times New Roman"/>
        </w:rPr>
        <w:t xml:space="preserve"> </w:t>
      </w:r>
      <w:r w:rsidRPr="00610B1B">
        <w:rPr>
          <w:rFonts w:cs="Times New Roman"/>
          <w:color w:val="000000"/>
        </w:rPr>
        <w:t>Съществува риск от интензивно замърсяване при аварии (дескриптори 8 и 9 от РДМС). Във водните тела има точки на заустване на отпадъчни води на съответните находища. Крайбрежните водни тела от н. Дуранкулак до н. Шабла и от Камен бряг до н. Калиакра не постигат добро химично състояние през 2015 и 2016 г.</w:t>
      </w:r>
    </w:p>
    <w:p w14:paraId="4B12D316" w14:textId="77777777" w:rsidR="00012D1F" w:rsidRPr="00610B1B" w:rsidRDefault="00012D1F" w:rsidP="00D32D6A">
      <w:pPr>
        <w:pStyle w:val="BodyText"/>
        <w:spacing w:before="0" w:after="120" w:line="276" w:lineRule="auto"/>
        <w:rPr>
          <w:rFonts w:cs="Times New Roman"/>
        </w:rPr>
      </w:pPr>
      <w:r w:rsidRPr="00610B1B">
        <w:rPr>
          <w:rFonts w:cs="Times New Roman"/>
        </w:rPr>
        <w:t xml:space="preserve">Районите с проучване и добив на нефт и газ в морето не се припокриват с районите на обекти от </w:t>
      </w:r>
      <w:r w:rsidRPr="00610B1B">
        <w:rPr>
          <w:rFonts w:cs="Times New Roman"/>
          <w:b/>
          <w:bCs/>
        </w:rPr>
        <w:t>подводното културно наследство</w:t>
      </w:r>
      <w:r w:rsidRPr="00610B1B">
        <w:rPr>
          <w:rFonts w:cs="Times New Roman"/>
        </w:rPr>
        <w:t>, поради което може да се приеме, че не съществува несъвместимост.</w:t>
      </w:r>
    </w:p>
    <w:p w14:paraId="2C38BD8C" w14:textId="23DD641F" w:rsidR="00012D1F" w:rsidRPr="00610B1B" w:rsidRDefault="00012D1F" w:rsidP="00D32D6A">
      <w:pPr>
        <w:pStyle w:val="BodyText"/>
        <w:spacing w:before="0" w:after="120" w:line="276" w:lineRule="auto"/>
        <w:rPr>
          <w:rFonts w:cs="Times New Roman"/>
        </w:rPr>
      </w:pPr>
      <w:r w:rsidRPr="00610B1B">
        <w:rPr>
          <w:rFonts w:cs="Times New Roman"/>
          <w:b/>
          <w:bCs/>
        </w:rPr>
        <w:t>Научните изследвания</w:t>
      </w:r>
      <w:r w:rsidRPr="00610B1B">
        <w:rPr>
          <w:rFonts w:cs="Times New Roman"/>
        </w:rPr>
        <w:t xml:space="preserve"> на морската среда не се извършват в близост до зоните за </w:t>
      </w:r>
      <w:r w:rsidRPr="00610B1B">
        <w:rPr>
          <w:rFonts w:cs="Times New Roman"/>
          <w:b/>
          <w:bCs/>
        </w:rPr>
        <w:t>проучване и добив</w:t>
      </w:r>
      <w:r w:rsidRPr="00610B1B">
        <w:rPr>
          <w:rFonts w:cs="Times New Roman"/>
        </w:rPr>
        <w:t>, тъй като в зоните около тях се забранява влизането и пребиваването на плавателни съдове, освен обслужващите кораби.</w:t>
      </w:r>
    </w:p>
    <w:p w14:paraId="7F56C3BD" w14:textId="77777777" w:rsidR="00695BEA" w:rsidRPr="00610B1B" w:rsidRDefault="00695BEA" w:rsidP="00D32D6A">
      <w:pPr>
        <w:pStyle w:val="BodyText"/>
        <w:spacing w:before="0" w:after="120" w:line="276" w:lineRule="auto"/>
        <w:rPr>
          <w:rFonts w:cs="Times New Roman"/>
        </w:rPr>
      </w:pPr>
    </w:p>
    <w:p w14:paraId="17CC7370" w14:textId="77777777" w:rsidR="00012D1F" w:rsidRPr="00610B1B" w:rsidRDefault="00012D1F" w:rsidP="00695BEA">
      <w:pPr>
        <w:pStyle w:val="BodyText"/>
        <w:spacing w:before="0" w:after="120" w:line="240" w:lineRule="auto"/>
        <w:rPr>
          <w:rFonts w:cs="Times New Roman"/>
          <w:b/>
          <w:bCs/>
        </w:rPr>
      </w:pPr>
      <w:r w:rsidRPr="00610B1B">
        <w:rPr>
          <w:rFonts w:cs="Times New Roman"/>
          <w:b/>
          <w:bCs/>
        </w:rPr>
        <w:lastRenderedPageBreak/>
        <w:t>Военни учения</w:t>
      </w:r>
    </w:p>
    <w:p w14:paraId="19753F6B" w14:textId="29748F43" w:rsidR="00012D1F" w:rsidRPr="00610B1B" w:rsidRDefault="00012D1F" w:rsidP="00D32D6A">
      <w:pPr>
        <w:pStyle w:val="BodyText"/>
        <w:spacing w:before="0" w:after="120" w:line="276" w:lineRule="auto"/>
        <w:rPr>
          <w:rFonts w:cs="Times New Roman"/>
        </w:rPr>
      </w:pPr>
      <w:r w:rsidRPr="00610B1B">
        <w:rPr>
          <w:rFonts w:cs="Times New Roman"/>
        </w:rPr>
        <w:t xml:space="preserve">В зоните за </w:t>
      </w:r>
      <w:r w:rsidRPr="00610B1B">
        <w:rPr>
          <w:rFonts w:cs="Times New Roman"/>
          <w:b/>
          <w:bCs/>
        </w:rPr>
        <w:t>опазване на околната среда</w:t>
      </w:r>
      <w:r w:rsidRPr="00610B1B">
        <w:rPr>
          <w:rFonts w:cs="Times New Roman"/>
        </w:rPr>
        <w:t xml:space="preserve"> </w:t>
      </w:r>
      <w:r w:rsidRPr="00610B1B">
        <w:rPr>
          <w:rFonts w:cs="Times New Roman"/>
          <w:color w:val="000000"/>
        </w:rPr>
        <w:t>не съществуват забрани за провеждане на военни учения в защитените зони от НЕМ Натура 2000, но съгласно Директива 92/43/ЕИО</w:t>
      </w:r>
      <w:r w:rsidR="00D66FE0" w:rsidRPr="00610B1B">
        <w:rPr>
          <w:rFonts w:cs="Times New Roman"/>
          <w:color w:val="000000"/>
        </w:rPr>
        <w:t xml:space="preserve"> </w:t>
      </w:r>
      <w:r w:rsidRPr="00610B1B">
        <w:rPr>
          <w:rFonts w:cs="Times New Roman"/>
          <w:color w:val="000000"/>
        </w:rPr>
        <w:t xml:space="preserve">за опазване на естествените местообитания и на дивата флора и фауна от държавите членки се изисква да </w:t>
      </w:r>
      <w:r w:rsidR="00737206" w:rsidRPr="00610B1B">
        <w:rPr>
          <w:rFonts w:cs="Times New Roman"/>
          <w:color w:val="000000"/>
        </w:rPr>
        <w:t xml:space="preserve">се </w:t>
      </w:r>
      <w:r w:rsidRPr="00610B1B">
        <w:rPr>
          <w:rFonts w:cs="Times New Roman"/>
          <w:color w:val="000000"/>
        </w:rPr>
        <w:t>избягва</w:t>
      </w:r>
      <w:r w:rsidR="00737206" w:rsidRPr="00610B1B">
        <w:rPr>
          <w:rFonts w:cs="Times New Roman"/>
          <w:color w:val="000000"/>
        </w:rPr>
        <w:t xml:space="preserve"> </w:t>
      </w:r>
      <w:r w:rsidRPr="00610B1B">
        <w:rPr>
          <w:rFonts w:cs="Times New Roman"/>
          <w:color w:val="000000"/>
        </w:rPr>
        <w:t>влошаване на</w:t>
      </w:r>
      <w:r w:rsidR="00D66FE0" w:rsidRPr="00610B1B">
        <w:rPr>
          <w:rFonts w:cs="Times New Roman"/>
          <w:color w:val="000000"/>
        </w:rPr>
        <w:t xml:space="preserve"> </w:t>
      </w:r>
      <w:r w:rsidRPr="00610B1B">
        <w:rPr>
          <w:rFonts w:cs="Times New Roman"/>
          <w:color w:val="000000"/>
        </w:rPr>
        <w:t>състоянието на</w:t>
      </w:r>
      <w:r w:rsidR="00D66FE0" w:rsidRPr="00610B1B">
        <w:rPr>
          <w:rFonts w:cs="Times New Roman"/>
          <w:color w:val="000000"/>
        </w:rPr>
        <w:t xml:space="preserve"> </w:t>
      </w:r>
      <w:r w:rsidRPr="00610B1B">
        <w:rPr>
          <w:rFonts w:cs="Times New Roman"/>
          <w:color w:val="000000"/>
        </w:rPr>
        <w:t>естествените местообитания, както и значително обезпокояване на видовете, за които са определени тези територии. При провеждане на учения и бойни стрелби в организационните указания се включва приложение по опазване и възстановяване на околната среда и се извършва оценка на вероятното екологично въздействие на планираните мероприятия по подготовка на силите, съгласно чл. 341 от Корабен устав на военноморските сили на Република България</w:t>
      </w:r>
      <w:r w:rsidRPr="00610B1B">
        <w:rPr>
          <w:rStyle w:val="FootnoteAnchor"/>
          <w:rFonts w:cs="Times New Roman"/>
          <w:color w:val="000000"/>
        </w:rPr>
        <w:footnoteReference w:id="192"/>
      </w:r>
      <w:r w:rsidRPr="00610B1B">
        <w:rPr>
          <w:rFonts w:cs="Times New Roman"/>
          <w:color w:val="000000"/>
        </w:rPr>
        <w:t>.</w:t>
      </w:r>
    </w:p>
    <w:p w14:paraId="420EBA65" w14:textId="495C6B4E" w:rsidR="00012D1F" w:rsidRPr="00610B1B" w:rsidRDefault="00012D1F" w:rsidP="00D32D6A">
      <w:pPr>
        <w:pStyle w:val="BodyText"/>
        <w:spacing w:before="0" w:after="120" w:line="276" w:lineRule="auto"/>
        <w:rPr>
          <w:rFonts w:cs="Times New Roman"/>
        </w:rPr>
      </w:pPr>
      <w:bookmarkStart w:id="471" w:name="_Hlk49714349"/>
      <w:r w:rsidRPr="00610B1B">
        <w:rPr>
          <w:rFonts w:cs="Times New Roman"/>
        </w:rPr>
        <w:t xml:space="preserve">Няма информация за припокриване на районите за военни учения в морето с районите на потънали археологически обекти от </w:t>
      </w:r>
      <w:r w:rsidRPr="00610B1B">
        <w:rPr>
          <w:rFonts w:cs="Times New Roman"/>
          <w:b/>
          <w:bCs/>
        </w:rPr>
        <w:t>подводното културно наследство</w:t>
      </w:r>
      <w:r w:rsidRPr="00610B1B">
        <w:rPr>
          <w:rFonts w:cs="Times New Roman"/>
        </w:rPr>
        <w:t>, поради което може да се приеме, че не съществува несъвместимост.</w:t>
      </w:r>
      <w:r w:rsidR="00196EE1" w:rsidRPr="00610B1B">
        <w:rPr>
          <w:rFonts w:cs="Times New Roman"/>
        </w:rPr>
        <w:t xml:space="preserve"> Изключение правят само районите, които могат да бъдат обявявани като временно опасни за корабоплаване. </w:t>
      </w:r>
    </w:p>
    <w:p w14:paraId="4A119C51" w14:textId="77777777" w:rsidR="00012D1F" w:rsidRPr="00610B1B" w:rsidRDefault="00012D1F" w:rsidP="00D32D6A">
      <w:pPr>
        <w:pStyle w:val="BodyText"/>
        <w:spacing w:before="0" w:after="120" w:line="276" w:lineRule="auto"/>
        <w:rPr>
          <w:rFonts w:cs="Times New Roman"/>
        </w:rPr>
      </w:pPr>
      <w:bookmarkStart w:id="472" w:name="_RefF12"/>
      <w:bookmarkStart w:id="473" w:name="_RefF02"/>
      <w:bookmarkEnd w:id="471"/>
      <w:bookmarkEnd w:id="472"/>
      <w:bookmarkEnd w:id="473"/>
      <w:r w:rsidRPr="00610B1B">
        <w:rPr>
          <w:rFonts w:cs="Times New Roman"/>
          <w:b/>
          <w:bCs/>
        </w:rPr>
        <w:t>Научните изследвания</w:t>
      </w:r>
      <w:r w:rsidRPr="00610B1B">
        <w:rPr>
          <w:rFonts w:cs="Times New Roman"/>
        </w:rPr>
        <w:t xml:space="preserve"> на морската среда не съвпадат по време и място със зоните за военни учения, поради което може да се приеме, че между тях няма конфликт за ползване.</w:t>
      </w:r>
    </w:p>
    <w:p w14:paraId="20A6B149" w14:textId="77777777" w:rsidR="00012D1F" w:rsidRPr="00610B1B" w:rsidRDefault="00012D1F" w:rsidP="00695BEA">
      <w:pPr>
        <w:pStyle w:val="BodyText"/>
        <w:spacing w:before="0" w:after="120" w:line="240" w:lineRule="auto"/>
        <w:rPr>
          <w:rFonts w:cs="Times New Roman"/>
          <w:b/>
          <w:bCs/>
        </w:rPr>
      </w:pPr>
      <w:r w:rsidRPr="00610B1B">
        <w:rPr>
          <w:rFonts w:cs="Times New Roman"/>
          <w:b/>
          <w:bCs/>
        </w:rPr>
        <w:t>Опазване на околната среда</w:t>
      </w:r>
    </w:p>
    <w:p w14:paraId="35EBF98A" w14:textId="7659A436" w:rsidR="00012D1F" w:rsidRPr="00610B1B" w:rsidRDefault="00012D1F" w:rsidP="00D32D6A">
      <w:pPr>
        <w:pStyle w:val="BodyText"/>
        <w:spacing w:before="0" w:after="120" w:line="276" w:lineRule="auto"/>
        <w:rPr>
          <w:rFonts w:cs="Times New Roman"/>
        </w:rPr>
      </w:pPr>
      <w:r w:rsidRPr="00610B1B">
        <w:rPr>
          <w:rFonts w:cs="Times New Roman"/>
        </w:rPr>
        <w:t xml:space="preserve">Зоните за опазване на околната среда от НЕМ Натура 2000 са съвместими с опазването на потънали археологически обекти от </w:t>
      </w:r>
      <w:r w:rsidRPr="00610B1B">
        <w:rPr>
          <w:rFonts w:cs="Times New Roman"/>
          <w:b/>
          <w:bCs/>
        </w:rPr>
        <w:t>подводното културно наследство</w:t>
      </w:r>
      <w:r w:rsidRPr="00610B1B">
        <w:rPr>
          <w:rFonts w:cs="Times New Roman"/>
        </w:rPr>
        <w:t>, тъй като дават възможност за прилагане на общи мерки. Например, въвеждането на забрана за тралене дава възможност за опазване на потънали археологични обект</w:t>
      </w:r>
      <w:r w:rsidR="00196EE1" w:rsidRPr="00610B1B">
        <w:rPr>
          <w:rFonts w:cs="Times New Roman"/>
        </w:rPr>
        <w:t>и</w:t>
      </w:r>
      <w:r w:rsidRPr="00610B1B">
        <w:rPr>
          <w:rFonts w:cs="Times New Roman"/>
        </w:rPr>
        <w:t>, които могат да бъдат засегнати от риболова.</w:t>
      </w:r>
    </w:p>
    <w:p w14:paraId="38D0E991" w14:textId="74E69AAE" w:rsidR="00012D1F" w:rsidRPr="00610B1B" w:rsidRDefault="00012D1F" w:rsidP="00D32D6A">
      <w:pPr>
        <w:pStyle w:val="BodyText"/>
        <w:spacing w:before="0" w:after="120" w:line="276" w:lineRule="auto"/>
        <w:rPr>
          <w:rFonts w:cs="Times New Roman"/>
        </w:rPr>
      </w:pPr>
      <w:bookmarkStart w:id="474" w:name="_RefF121"/>
      <w:bookmarkStart w:id="475" w:name="_RefF021"/>
      <w:bookmarkStart w:id="476" w:name="__DdeLink__251_147844175"/>
      <w:bookmarkEnd w:id="474"/>
      <w:bookmarkEnd w:id="475"/>
      <w:r w:rsidRPr="00610B1B">
        <w:rPr>
          <w:rFonts w:cs="Times New Roman"/>
          <w:b/>
          <w:bCs/>
        </w:rPr>
        <w:t>Научните изследвания</w:t>
      </w:r>
      <w:bookmarkEnd w:id="476"/>
      <w:r w:rsidRPr="00610B1B">
        <w:rPr>
          <w:rFonts w:cs="Times New Roman"/>
        </w:rPr>
        <w:t xml:space="preserve"> на морската среда са съвместими, тъй като се извършват с цел опазване на околната среда съгласно директивите за водите и биоразнообразие</w:t>
      </w:r>
      <w:r w:rsidR="00AA27F1" w:rsidRPr="00610B1B">
        <w:rPr>
          <w:rFonts w:cs="Times New Roman"/>
        </w:rPr>
        <w:t>то</w:t>
      </w:r>
      <w:r w:rsidR="00196EE1" w:rsidRPr="00610B1B">
        <w:rPr>
          <w:rFonts w:cs="Times New Roman"/>
        </w:rPr>
        <w:t>,</w:t>
      </w:r>
      <w:r w:rsidRPr="00610B1B">
        <w:rPr>
          <w:rFonts w:cs="Times New Roman"/>
        </w:rPr>
        <w:t xml:space="preserve"> </w:t>
      </w:r>
      <w:r w:rsidR="00450A13" w:rsidRPr="00610B1B">
        <w:rPr>
          <w:rFonts w:cs="Times New Roman"/>
        </w:rPr>
        <w:t>транспонирани</w:t>
      </w:r>
      <w:r w:rsidRPr="00610B1B">
        <w:rPr>
          <w:rFonts w:cs="Times New Roman"/>
        </w:rPr>
        <w:t xml:space="preserve"> в националното законодателство чрез Закона за водите, Закона за опазване на околната среда, </w:t>
      </w:r>
      <w:r w:rsidR="00196EE1" w:rsidRPr="00610B1B">
        <w:rPr>
          <w:rFonts w:cs="Times New Roman"/>
        </w:rPr>
        <w:t xml:space="preserve">Закона за защитените територии, </w:t>
      </w:r>
      <w:r w:rsidRPr="00610B1B">
        <w:rPr>
          <w:rFonts w:cs="Times New Roman"/>
        </w:rPr>
        <w:t>Закона за биологичното разнообразие</w:t>
      </w:r>
      <w:r w:rsidR="00196EE1" w:rsidRPr="00610B1B">
        <w:rPr>
          <w:rFonts w:cs="Times New Roman"/>
        </w:rPr>
        <w:t>, Наредбата за опазване на околната среда в морските води</w:t>
      </w:r>
      <w:r w:rsidRPr="00610B1B">
        <w:rPr>
          <w:rFonts w:cs="Times New Roman"/>
        </w:rPr>
        <w:t xml:space="preserve"> и други закони и подзаконови актове.</w:t>
      </w:r>
    </w:p>
    <w:p w14:paraId="419D2FA0" w14:textId="77777777" w:rsidR="00012D1F" w:rsidRPr="00610B1B" w:rsidRDefault="00012D1F" w:rsidP="00695BEA">
      <w:pPr>
        <w:pStyle w:val="BodyText"/>
        <w:spacing w:before="0" w:after="120" w:line="240" w:lineRule="auto"/>
        <w:rPr>
          <w:rFonts w:cs="Times New Roman"/>
        </w:rPr>
      </w:pPr>
      <w:r w:rsidRPr="00610B1B">
        <w:rPr>
          <w:rFonts w:cs="Times New Roman"/>
          <w:b/>
          <w:bCs/>
        </w:rPr>
        <w:t>Подводно културно наследство</w:t>
      </w:r>
    </w:p>
    <w:p w14:paraId="408CE46B" w14:textId="77777777" w:rsidR="000B7461" w:rsidRPr="00610B1B" w:rsidRDefault="00012D1F" w:rsidP="00D32D6A">
      <w:pPr>
        <w:pStyle w:val="BodyText"/>
        <w:spacing w:before="0" w:after="120" w:line="276" w:lineRule="auto"/>
        <w:rPr>
          <w:rFonts w:cs="Times New Roman"/>
        </w:rPr>
      </w:pPr>
      <w:bookmarkStart w:id="477" w:name="_RefF1211"/>
      <w:bookmarkStart w:id="478" w:name="_RefF0211"/>
      <w:bookmarkEnd w:id="477"/>
      <w:bookmarkEnd w:id="478"/>
      <w:r w:rsidRPr="00610B1B">
        <w:rPr>
          <w:rFonts w:cs="Times New Roman"/>
          <w:b/>
          <w:bCs/>
        </w:rPr>
        <w:t>Научните изследвания</w:t>
      </w:r>
      <w:r w:rsidRPr="00610B1B">
        <w:rPr>
          <w:rFonts w:cs="Times New Roman"/>
        </w:rPr>
        <w:t xml:space="preserve"> на морската среда използват методи, които позволяват откриване, заснемане и обозначаване на географските координати на обекти от </w:t>
      </w:r>
      <w:r w:rsidRPr="00610B1B">
        <w:rPr>
          <w:rFonts w:cs="Times New Roman"/>
          <w:b/>
          <w:bCs/>
        </w:rPr>
        <w:t>подводното културно наследство</w:t>
      </w:r>
      <w:r w:rsidRPr="00610B1B">
        <w:rPr>
          <w:rFonts w:cs="Times New Roman"/>
        </w:rPr>
        <w:t>. Поради това двата вида дейности са съвместими. При дънното тралене с цел научен риболов е възможно както откриването, така и увреждането на потънали археологически обекти. При извършване на този вид дейност е необходимо отчитане на местоположението на тези обекти с цел тяхното опазване.</w:t>
      </w:r>
    </w:p>
    <w:p w14:paraId="2B33EECA" w14:textId="22CCB777" w:rsidR="000B7461" w:rsidRPr="00610B1B" w:rsidRDefault="000B7461" w:rsidP="00D32D6A">
      <w:pPr>
        <w:pStyle w:val="BodyText"/>
        <w:spacing w:before="0" w:after="120" w:line="276" w:lineRule="auto"/>
        <w:rPr>
          <w:rFonts w:cs="Times New Roman"/>
        </w:rPr>
      </w:pPr>
      <w:r w:rsidRPr="00610B1B">
        <w:rPr>
          <w:rFonts w:cs="Times New Roman"/>
        </w:rPr>
        <w:t xml:space="preserve">Подводното културно наследство е заплашено от инвестиционни и икономически дейности, които имат пряко физическо въздействие върху морското дъно или променят </w:t>
      </w:r>
      <w:r w:rsidRPr="00610B1B">
        <w:rPr>
          <w:rFonts w:cs="Times New Roman"/>
        </w:rPr>
        <w:lastRenderedPageBreak/>
        <w:t>средата, в която подводното културно наследство се е запазило. Най-общо заплахите за подводното културно наследство с пряко въздействие са: изграждане на съоръжения (пристанища, буни, тръбопроводи, засипване на крайбрежие, брегоукрепване, изкуствени рифове, инсталации за аквакултури и други съоръжения); драгажни работи и изхвърляне/депониране на драгажни маси; проучване и добив на полезни изкопаеми (инертни материали, нефт, газ, газови хидрати, други); добив на морски организми чрез тралене, събиране на рапани и миди; търговска експлоатация на подводно културно наследство (търсене и вадене на „съкровища“ и товари на кораби, вадене на скрап;</w:t>
      </w:r>
      <w:r w:rsidR="00D66FE0" w:rsidRPr="00610B1B">
        <w:rPr>
          <w:rFonts w:cs="Times New Roman"/>
        </w:rPr>
        <w:t xml:space="preserve"> </w:t>
      </w:r>
      <w:r w:rsidRPr="00610B1B">
        <w:rPr>
          <w:rFonts w:cs="Times New Roman"/>
        </w:rPr>
        <w:t xml:space="preserve">иманярство и събиране на сувенири и подводна туристическа дейност. </w:t>
      </w:r>
    </w:p>
    <w:p w14:paraId="51EAD4F1" w14:textId="33F0F3B4" w:rsidR="000B7461" w:rsidRPr="00610B1B" w:rsidRDefault="00391F0A" w:rsidP="00695BEA">
      <w:pPr>
        <w:pStyle w:val="BodyText"/>
        <w:spacing w:before="0" w:after="0" w:line="276" w:lineRule="auto"/>
        <w:rPr>
          <w:rFonts w:cs="Times New Roman"/>
        </w:rPr>
      </w:pPr>
      <w:r w:rsidRPr="00610B1B">
        <w:rPr>
          <w:rFonts w:cs="Times New Roman"/>
        </w:rPr>
        <w:t xml:space="preserve">Непрякото </w:t>
      </w:r>
      <w:r w:rsidR="000B7461" w:rsidRPr="00610B1B">
        <w:rPr>
          <w:rFonts w:cs="Times New Roman"/>
        </w:rPr>
        <w:t xml:space="preserve">въздействие върху подводно културно наследство чрез промяна на физическата средата </w:t>
      </w:r>
      <w:r w:rsidRPr="00610B1B">
        <w:rPr>
          <w:rFonts w:cs="Times New Roman"/>
        </w:rPr>
        <w:t xml:space="preserve">се проявява в резултат от замърсяване на средата, от </w:t>
      </w:r>
      <w:r w:rsidR="000B7461" w:rsidRPr="00610B1B">
        <w:rPr>
          <w:rFonts w:cs="Times New Roman"/>
        </w:rPr>
        <w:t>изграждане</w:t>
      </w:r>
      <w:r w:rsidRPr="00610B1B">
        <w:rPr>
          <w:rFonts w:cs="Times New Roman"/>
        </w:rPr>
        <w:t>то</w:t>
      </w:r>
      <w:r w:rsidR="000B7461" w:rsidRPr="00610B1B">
        <w:rPr>
          <w:rFonts w:cs="Times New Roman"/>
        </w:rPr>
        <w:t xml:space="preserve"> на съоръжения и </w:t>
      </w:r>
      <w:r w:rsidRPr="00610B1B">
        <w:rPr>
          <w:rFonts w:cs="Times New Roman"/>
        </w:rPr>
        <w:t>от някои</w:t>
      </w:r>
      <w:r w:rsidR="000B7461" w:rsidRPr="00610B1B">
        <w:rPr>
          <w:rFonts w:cs="Times New Roman"/>
        </w:rPr>
        <w:t xml:space="preserve"> </w:t>
      </w:r>
      <w:r w:rsidRPr="00610B1B">
        <w:rPr>
          <w:rFonts w:cs="Times New Roman"/>
        </w:rPr>
        <w:t xml:space="preserve">антропогенни </w:t>
      </w:r>
      <w:r w:rsidR="000B7461" w:rsidRPr="00610B1B">
        <w:rPr>
          <w:rFonts w:cs="Times New Roman"/>
        </w:rPr>
        <w:t>дейности</w:t>
      </w:r>
      <w:r w:rsidRPr="00610B1B">
        <w:rPr>
          <w:rFonts w:cs="Times New Roman"/>
        </w:rPr>
        <w:t xml:space="preserve">. Изградените буни и брегозащитни съоръжения променят движението на седиментите, което </w:t>
      </w:r>
      <w:r w:rsidR="000B7461" w:rsidRPr="00610B1B">
        <w:rPr>
          <w:rFonts w:cs="Times New Roman"/>
        </w:rPr>
        <w:t>нарушава средата, в която има съхранено подводно културно наследство</w:t>
      </w:r>
      <w:r w:rsidRPr="00610B1B">
        <w:rPr>
          <w:rFonts w:cs="Times New Roman"/>
        </w:rPr>
        <w:t>. Разширяването и модернизирането на пристанищата създава риск за подводните археологически обекти. Дори презастрояването на Слънчев бряг и Св. Влас променят рамката, в която се експонира старинния град Несебър.</w:t>
      </w:r>
    </w:p>
    <w:p w14:paraId="14A1A3BB" w14:textId="52453BCF" w:rsidR="00391F0A" w:rsidRPr="00610B1B" w:rsidRDefault="00391F0A" w:rsidP="00695BEA">
      <w:pPr>
        <w:pStyle w:val="BodyText"/>
        <w:spacing w:before="0" w:after="0" w:line="240" w:lineRule="auto"/>
        <w:rPr>
          <w:rFonts w:cs="Times New Roman"/>
        </w:rPr>
      </w:pPr>
    </w:p>
    <w:p w14:paraId="7BCFCBEA" w14:textId="21C09E05" w:rsidR="00292AFC" w:rsidRPr="00610B1B" w:rsidRDefault="002722B7" w:rsidP="00D32D6A">
      <w:pPr>
        <w:pStyle w:val="Heading3"/>
        <w:spacing w:before="0" w:line="276" w:lineRule="auto"/>
        <w:rPr>
          <w:rFonts w:cs="Times New Roman"/>
        </w:rPr>
      </w:pPr>
      <w:bookmarkStart w:id="479" w:name="_Toc83391431"/>
      <w:r w:rsidRPr="00610B1B">
        <w:rPr>
          <w:rFonts w:cs="Times New Roman"/>
        </w:rPr>
        <w:t>6.</w:t>
      </w:r>
      <w:r w:rsidR="00DE4B4C" w:rsidRPr="00610B1B">
        <w:rPr>
          <w:rFonts w:cs="Times New Roman"/>
        </w:rPr>
        <w:t>2</w:t>
      </w:r>
      <w:r w:rsidRPr="00610B1B">
        <w:rPr>
          <w:rFonts w:cs="Times New Roman"/>
        </w:rPr>
        <w:t>.2. Взаимодействия земя-</w:t>
      </w:r>
      <w:r w:rsidR="003547AA" w:rsidRPr="00610B1B">
        <w:rPr>
          <w:rFonts w:cs="Times New Roman"/>
        </w:rPr>
        <w:t>море</w:t>
      </w:r>
      <w:r w:rsidRPr="00610B1B">
        <w:rPr>
          <w:rFonts w:cs="Times New Roman"/>
        </w:rPr>
        <w:t xml:space="preserve"> и </w:t>
      </w:r>
      <w:r w:rsidR="003547AA" w:rsidRPr="00610B1B">
        <w:rPr>
          <w:rFonts w:cs="Times New Roman"/>
        </w:rPr>
        <w:t>море</w:t>
      </w:r>
      <w:r w:rsidRPr="00610B1B">
        <w:rPr>
          <w:rFonts w:cs="Times New Roman"/>
        </w:rPr>
        <w:t>-земя и идентифицирани конфликтни точки и зони на крайбрежието</w:t>
      </w:r>
      <w:bookmarkEnd w:id="479"/>
    </w:p>
    <w:p w14:paraId="5C4A8DAB" w14:textId="754ACB8B" w:rsidR="003547AA" w:rsidRPr="00610B1B" w:rsidRDefault="00292AFC" w:rsidP="00695BEA">
      <w:pPr>
        <w:pStyle w:val="BodyText"/>
        <w:spacing w:before="0" w:after="60" w:line="276" w:lineRule="auto"/>
        <w:rPr>
          <w:rFonts w:cs="Times New Roman"/>
          <w:color w:val="000000" w:themeColor="text1"/>
        </w:rPr>
      </w:pPr>
      <w:r w:rsidRPr="00610B1B">
        <w:rPr>
          <w:rFonts w:cs="Times New Roman"/>
          <w:color w:val="000000" w:themeColor="text1"/>
        </w:rPr>
        <w:t>Взаимодействията земя-</w:t>
      </w:r>
      <w:r w:rsidR="003547AA" w:rsidRPr="00610B1B">
        <w:rPr>
          <w:rFonts w:cs="Times New Roman"/>
          <w:color w:val="000000" w:themeColor="text1"/>
        </w:rPr>
        <w:t>море</w:t>
      </w:r>
      <w:r w:rsidRPr="00610B1B">
        <w:rPr>
          <w:rFonts w:cs="Times New Roman"/>
          <w:color w:val="000000" w:themeColor="text1"/>
        </w:rPr>
        <w:t xml:space="preserve"> и </w:t>
      </w:r>
      <w:r w:rsidR="003547AA" w:rsidRPr="00610B1B">
        <w:rPr>
          <w:rFonts w:cs="Times New Roman"/>
          <w:color w:val="000000" w:themeColor="text1"/>
        </w:rPr>
        <w:t>море</w:t>
      </w:r>
      <w:r w:rsidRPr="00610B1B">
        <w:rPr>
          <w:rFonts w:cs="Times New Roman"/>
          <w:color w:val="000000" w:themeColor="text1"/>
        </w:rPr>
        <w:t xml:space="preserve">-земя са изследвани паралелно с анализа на всички компоненти на морската среда и на ползванията, които се осъществяват на брега и в морските пространства. Отчетена е необходимостта от идентифициране и анализиране на взаимодействията между </w:t>
      </w:r>
      <w:r w:rsidR="003547AA" w:rsidRPr="00610B1B">
        <w:rPr>
          <w:rFonts w:cs="Times New Roman"/>
          <w:color w:val="000000" w:themeColor="text1"/>
        </w:rPr>
        <w:t xml:space="preserve">отделните </w:t>
      </w:r>
      <w:r w:rsidRPr="00610B1B">
        <w:rPr>
          <w:rFonts w:cs="Times New Roman"/>
          <w:color w:val="000000" w:themeColor="text1"/>
        </w:rPr>
        <w:t>ползванията и между ползванията и околната среда, както и на въздействията на отделните природни фактори и ресурси и на човешките дейности. Използваните методологии следват добрите практики</w:t>
      </w:r>
      <w:r w:rsidRPr="00610B1B">
        <w:rPr>
          <w:rStyle w:val="FootnoteReference"/>
          <w:rFonts w:cs="Times New Roman"/>
          <w:color w:val="000000" w:themeColor="text1"/>
        </w:rPr>
        <w:footnoteReference w:id="193"/>
      </w:r>
      <w:r w:rsidRPr="00610B1B">
        <w:rPr>
          <w:rFonts w:cs="Times New Roman"/>
          <w:color w:val="000000" w:themeColor="text1"/>
        </w:rPr>
        <w:t xml:space="preserve"> и опита от приключили проекти</w:t>
      </w:r>
      <w:r w:rsidR="003547AA" w:rsidRPr="00610B1B">
        <w:rPr>
          <w:rFonts w:cs="Times New Roman"/>
          <w:color w:val="000000" w:themeColor="text1"/>
        </w:rPr>
        <w:t xml:space="preserve"> и показват следното:</w:t>
      </w:r>
    </w:p>
    <w:p w14:paraId="015E28D3" w14:textId="77777777" w:rsidR="0062582C" w:rsidRPr="00610B1B" w:rsidRDefault="003547AA" w:rsidP="00695BEA">
      <w:pPr>
        <w:pStyle w:val="BodyText"/>
        <w:numPr>
          <w:ilvl w:val="0"/>
          <w:numId w:val="78"/>
        </w:numPr>
        <w:spacing w:before="0" w:after="80" w:line="276" w:lineRule="auto"/>
        <w:ind w:left="714" w:hanging="357"/>
        <w:rPr>
          <w:rFonts w:cs="Times New Roman"/>
          <w:color w:val="000000" w:themeColor="text1"/>
        </w:rPr>
      </w:pPr>
      <w:r w:rsidRPr="00610B1B">
        <w:rPr>
          <w:rFonts w:cs="Times New Roman"/>
          <w:color w:val="000000" w:themeColor="text1"/>
        </w:rPr>
        <w:t xml:space="preserve">За да бъдат приложени в морския пространствен план, взаимодействията между земята и морето </w:t>
      </w:r>
      <w:r w:rsidR="0062582C" w:rsidRPr="00610B1B">
        <w:rPr>
          <w:rFonts w:cs="Times New Roman"/>
          <w:color w:val="000000" w:themeColor="text1"/>
        </w:rPr>
        <w:t>се съобразяват с</w:t>
      </w:r>
      <w:r w:rsidRPr="00610B1B">
        <w:rPr>
          <w:rFonts w:cs="Times New Roman"/>
          <w:color w:val="000000" w:themeColor="text1"/>
        </w:rPr>
        <w:t xml:space="preserve"> обхвата, целите и контекста на самия план;</w:t>
      </w:r>
    </w:p>
    <w:p w14:paraId="3B44CAD8" w14:textId="7C7F85D6" w:rsidR="003547AA" w:rsidRPr="00610B1B" w:rsidRDefault="003547AA" w:rsidP="00695BEA">
      <w:pPr>
        <w:pStyle w:val="BodyText"/>
        <w:numPr>
          <w:ilvl w:val="0"/>
          <w:numId w:val="78"/>
        </w:numPr>
        <w:spacing w:before="0" w:after="80" w:line="276" w:lineRule="auto"/>
        <w:ind w:left="714" w:hanging="357"/>
        <w:rPr>
          <w:rFonts w:cs="Times New Roman"/>
          <w:color w:val="000000" w:themeColor="text1"/>
        </w:rPr>
      </w:pPr>
      <w:r w:rsidRPr="00610B1B">
        <w:rPr>
          <w:rFonts w:cs="Times New Roman"/>
          <w:color w:val="000000" w:themeColor="text1"/>
        </w:rPr>
        <w:t>Тези взаимодействия са динамични и зависят както от природни и антропогенни фактори, така и от географските</w:t>
      </w:r>
      <w:r w:rsidR="00D66FE0" w:rsidRPr="00610B1B">
        <w:rPr>
          <w:rFonts w:cs="Times New Roman"/>
          <w:color w:val="000000" w:themeColor="text1"/>
        </w:rPr>
        <w:t xml:space="preserve"> </w:t>
      </w:r>
      <w:r w:rsidRPr="00610B1B">
        <w:rPr>
          <w:rFonts w:cs="Times New Roman"/>
          <w:color w:val="000000" w:themeColor="text1"/>
        </w:rPr>
        <w:t xml:space="preserve">характеристики на </w:t>
      </w:r>
      <w:r w:rsidR="0062582C" w:rsidRPr="00610B1B">
        <w:rPr>
          <w:rFonts w:cs="Times New Roman"/>
          <w:color w:val="000000" w:themeColor="text1"/>
        </w:rPr>
        <w:t>района</w:t>
      </w:r>
      <w:r w:rsidRPr="00610B1B">
        <w:rPr>
          <w:rFonts w:cs="Times New Roman"/>
          <w:color w:val="000000" w:themeColor="text1"/>
        </w:rPr>
        <w:t>, в ко</w:t>
      </w:r>
      <w:r w:rsidR="0062582C" w:rsidRPr="00610B1B">
        <w:rPr>
          <w:rFonts w:cs="Times New Roman"/>
          <w:color w:val="000000" w:themeColor="text1"/>
        </w:rPr>
        <w:t>й</w:t>
      </w:r>
      <w:r w:rsidRPr="00610B1B">
        <w:rPr>
          <w:rFonts w:cs="Times New Roman"/>
          <w:color w:val="000000" w:themeColor="text1"/>
        </w:rPr>
        <w:t>то се изследват</w:t>
      </w:r>
      <w:r w:rsidR="00826726" w:rsidRPr="00610B1B">
        <w:rPr>
          <w:rFonts w:cs="Times New Roman"/>
          <w:color w:val="000000" w:themeColor="text1"/>
        </w:rPr>
        <w:t>, затова се различават във всеки залив и участък от крайбрежието</w:t>
      </w:r>
      <w:r w:rsidR="0062582C" w:rsidRPr="00610B1B">
        <w:rPr>
          <w:rFonts w:cs="Times New Roman"/>
          <w:color w:val="000000" w:themeColor="text1"/>
        </w:rPr>
        <w:t>;</w:t>
      </w:r>
    </w:p>
    <w:p w14:paraId="4BE24BDB" w14:textId="2D5D669A" w:rsidR="0062582C" w:rsidRPr="00610B1B" w:rsidRDefault="0062582C" w:rsidP="00695BEA">
      <w:pPr>
        <w:pStyle w:val="BodyText"/>
        <w:numPr>
          <w:ilvl w:val="0"/>
          <w:numId w:val="78"/>
        </w:numPr>
        <w:spacing w:before="0" w:after="80" w:line="276" w:lineRule="auto"/>
        <w:ind w:left="714" w:hanging="357"/>
        <w:rPr>
          <w:rFonts w:cs="Times New Roman"/>
          <w:color w:val="000000" w:themeColor="text1"/>
        </w:rPr>
      </w:pPr>
      <w:r w:rsidRPr="00610B1B">
        <w:rPr>
          <w:rFonts w:cs="Times New Roman"/>
          <w:color w:val="000000" w:themeColor="text1"/>
        </w:rPr>
        <w:t>За да се направи обобщена оценка на взаимодействията земя-море и море-земя трябва да се систематизират най-характерните от тях, въз основа на различните им проявления в отделни участъци от крайбрежието;</w:t>
      </w:r>
    </w:p>
    <w:p w14:paraId="7335E77A" w14:textId="02D7A7B8" w:rsidR="0062582C" w:rsidRPr="00610B1B" w:rsidRDefault="0062582C" w:rsidP="00B46189">
      <w:pPr>
        <w:pStyle w:val="BodyText"/>
        <w:numPr>
          <w:ilvl w:val="0"/>
          <w:numId w:val="78"/>
        </w:numPr>
        <w:spacing w:before="0" w:after="120" w:line="276" w:lineRule="auto"/>
        <w:rPr>
          <w:rFonts w:cs="Times New Roman"/>
          <w:color w:val="000000" w:themeColor="text1"/>
        </w:rPr>
      </w:pPr>
      <w:r w:rsidRPr="00610B1B">
        <w:rPr>
          <w:rFonts w:cs="Times New Roman"/>
          <w:color w:val="000000" w:themeColor="text1"/>
        </w:rPr>
        <w:t>Тази обобщена оценка не може да бъде базирана само и единствено на резултати и данни от научни и приложни изследвания, тя трябва да бъде допълнена от знанието на представителите на заинтересовани</w:t>
      </w:r>
      <w:r w:rsidR="00826726" w:rsidRPr="00610B1B">
        <w:rPr>
          <w:rFonts w:cs="Times New Roman"/>
          <w:color w:val="000000" w:themeColor="text1"/>
        </w:rPr>
        <w:t>те</w:t>
      </w:r>
      <w:r w:rsidRPr="00610B1B">
        <w:rPr>
          <w:rFonts w:cs="Times New Roman"/>
          <w:color w:val="000000" w:themeColor="text1"/>
        </w:rPr>
        <w:t xml:space="preserve"> страни и от знанието на местните общности, натрупано през годините от наблюдението на тези взаимодействия и въздействия. </w:t>
      </w:r>
    </w:p>
    <w:p w14:paraId="62B8DC1A" w14:textId="060DA08F" w:rsidR="00225F69" w:rsidRPr="00610B1B" w:rsidRDefault="0062582C" w:rsidP="00D32D6A">
      <w:pPr>
        <w:pStyle w:val="BodyText"/>
        <w:spacing w:before="0" w:after="120" w:line="276" w:lineRule="auto"/>
        <w:rPr>
          <w:rFonts w:cs="Times New Roman"/>
          <w:color w:val="000000" w:themeColor="text1"/>
        </w:rPr>
      </w:pPr>
      <w:r w:rsidRPr="00610B1B">
        <w:rPr>
          <w:rFonts w:cs="Times New Roman"/>
          <w:color w:val="000000" w:themeColor="text1"/>
        </w:rPr>
        <w:lastRenderedPageBreak/>
        <w:t xml:space="preserve">Изследване </w:t>
      </w:r>
      <w:r w:rsidR="0013343B" w:rsidRPr="00610B1B">
        <w:rPr>
          <w:rFonts w:cs="Times New Roman"/>
          <w:color w:val="000000" w:themeColor="text1"/>
        </w:rPr>
        <w:t>на взаимодействията земя-суша и суша-земя на база взаимодействията между отделните човешки дейности и между тях и морската околна среда е извършено за Бургаския залив по проект Cross</w:t>
      </w:r>
      <w:r w:rsidR="003C41B4" w:rsidRPr="00AC64E1">
        <w:rPr>
          <w:rFonts w:cs="Times New Roman"/>
          <w:color w:val="000000" w:themeColor="text1"/>
        </w:rPr>
        <w:t>-</w:t>
      </w:r>
      <w:r w:rsidR="0013343B" w:rsidRPr="00610B1B">
        <w:rPr>
          <w:rFonts w:cs="Times New Roman"/>
          <w:color w:val="000000" w:themeColor="text1"/>
        </w:rPr>
        <w:t>border maritime spatial planning in the Black Sea – Romania and Bulgaria (MARSPLAN-BS) EASME/EMFF/2014/1.2.1.5/2/SI2.707672 MSP LOT 1/Black Sea/MARSPLAN BS в периода 2016-2017 г.</w:t>
      </w:r>
      <w:r w:rsidR="00D66FE0" w:rsidRPr="00610B1B">
        <w:rPr>
          <w:rFonts w:cs="Times New Roman"/>
          <w:color w:val="000000" w:themeColor="text1"/>
        </w:rPr>
        <w:t xml:space="preserve"> </w:t>
      </w:r>
      <w:r w:rsidR="0013343B" w:rsidRPr="00610B1B">
        <w:rPr>
          <w:rFonts w:cs="Times New Roman"/>
          <w:color w:val="000000" w:themeColor="text1"/>
        </w:rPr>
        <w:t>от екипа на проекта под ръководството на експертите от Института по океанология при БАН</w:t>
      </w:r>
      <w:r w:rsidR="00826726" w:rsidRPr="00610B1B">
        <w:rPr>
          <w:rStyle w:val="FootnoteReference"/>
          <w:rFonts w:cs="Times New Roman"/>
          <w:color w:val="000000" w:themeColor="text1"/>
        </w:rPr>
        <w:footnoteReference w:id="194"/>
      </w:r>
      <w:r w:rsidR="0013343B" w:rsidRPr="00610B1B">
        <w:rPr>
          <w:rFonts w:cs="Times New Roman"/>
          <w:color w:val="000000" w:themeColor="text1"/>
        </w:rPr>
        <w:t>. По аналогичен начин оценка на тези взаимодействия се изследват и във втората фаза на този проект MARSPLAN BS II</w:t>
      </w:r>
      <w:r w:rsidR="00D66FE0" w:rsidRPr="00610B1B">
        <w:rPr>
          <w:rFonts w:cs="Times New Roman"/>
          <w:color w:val="000000" w:themeColor="text1"/>
        </w:rPr>
        <w:t xml:space="preserve"> </w:t>
      </w:r>
      <w:r w:rsidR="0013343B" w:rsidRPr="00610B1B">
        <w:rPr>
          <w:rFonts w:cs="Times New Roman"/>
          <w:color w:val="000000" w:themeColor="text1"/>
        </w:rPr>
        <w:t xml:space="preserve">за участъка </w:t>
      </w:r>
      <w:r w:rsidR="001D6B42" w:rsidRPr="00610B1B">
        <w:rPr>
          <w:rFonts w:cs="Times New Roman"/>
          <w:color w:val="000000" w:themeColor="text1"/>
        </w:rPr>
        <w:t>между Каварна/</w:t>
      </w:r>
      <w:r w:rsidR="0013343B" w:rsidRPr="00610B1B">
        <w:rPr>
          <w:rFonts w:cs="Times New Roman"/>
          <w:color w:val="000000" w:themeColor="text1"/>
        </w:rPr>
        <w:t xml:space="preserve">Шабла </w:t>
      </w:r>
      <w:r w:rsidR="001D6B42" w:rsidRPr="00610B1B">
        <w:rPr>
          <w:rFonts w:cs="Times New Roman"/>
          <w:color w:val="000000" w:themeColor="text1"/>
        </w:rPr>
        <w:t>и</w:t>
      </w:r>
      <w:r w:rsidR="0013343B" w:rsidRPr="00610B1B">
        <w:rPr>
          <w:rFonts w:cs="Times New Roman"/>
          <w:color w:val="000000" w:themeColor="text1"/>
        </w:rPr>
        <w:t xml:space="preserve"> Констанца. </w:t>
      </w:r>
    </w:p>
    <w:p w14:paraId="5BCAE494" w14:textId="77777777" w:rsidR="00826726" w:rsidRPr="00610B1B" w:rsidRDefault="00826726" w:rsidP="00D32D6A">
      <w:pPr>
        <w:pStyle w:val="BodyText"/>
        <w:spacing w:before="0" w:after="120" w:line="276" w:lineRule="auto"/>
        <w:rPr>
          <w:rFonts w:cs="Times New Roman"/>
          <w:color w:val="000000" w:themeColor="text1"/>
        </w:rPr>
      </w:pPr>
      <w:r w:rsidRPr="00610B1B">
        <w:rPr>
          <w:rFonts w:cs="Times New Roman"/>
          <w:color w:val="000000" w:themeColor="text1"/>
        </w:rPr>
        <w:t xml:space="preserve">Главна цел на изследването на взаимодействията земя-море и море-земя е да идентифицира основните конфликти и конфликтни зони, „горещите точки“ по крайбрежието и да предложи възможни мерки за намаляването им. </w:t>
      </w:r>
    </w:p>
    <w:p w14:paraId="2D133CC3" w14:textId="77258FF4" w:rsidR="00B70ED4" w:rsidRPr="00610B1B" w:rsidRDefault="001D6B42" w:rsidP="00D32D6A">
      <w:pPr>
        <w:pStyle w:val="BodyText"/>
        <w:spacing w:before="0" w:after="120" w:line="276" w:lineRule="auto"/>
        <w:rPr>
          <w:rFonts w:cs="Times New Roman"/>
          <w:color w:val="000000" w:themeColor="text1"/>
        </w:rPr>
      </w:pPr>
      <w:r w:rsidRPr="00610B1B">
        <w:rPr>
          <w:rFonts w:cs="Times New Roman"/>
          <w:color w:val="000000" w:themeColor="text1"/>
        </w:rPr>
        <w:t>Най-типичните</w:t>
      </w:r>
      <w:r w:rsidR="00D66FE0" w:rsidRPr="00610B1B">
        <w:rPr>
          <w:rFonts w:cs="Times New Roman"/>
          <w:color w:val="000000" w:themeColor="text1"/>
        </w:rPr>
        <w:t xml:space="preserve"> </w:t>
      </w:r>
      <w:r w:rsidRPr="00610B1B">
        <w:rPr>
          <w:rFonts w:cs="Times New Roman"/>
          <w:color w:val="000000" w:themeColor="text1"/>
        </w:rPr>
        <w:t>взаимодействия между отделните ползвания в морските пространства и на брега и между тях и околната среда са систематизирани в следващата таблица</w:t>
      </w:r>
      <w:r w:rsidR="002939EC" w:rsidRPr="00610B1B">
        <w:rPr>
          <w:rFonts w:cs="Times New Roman"/>
          <w:color w:val="000000" w:themeColor="text1"/>
        </w:rPr>
        <w:t>, като е използвано предложеното ръководство на Европейската комисия в неговата дигитална версия</w:t>
      </w:r>
      <w:r w:rsidR="00622D3E" w:rsidRPr="00610B1B">
        <w:rPr>
          <w:rFonts w:cs="Times New Roman"/>
          <w:color w:val="000000" w:themeColor="text1"/>
        </w:rPr>
        <w:t>.</w:t>
      </w:r>
      <w:r w:rsidR="00622D3E" w:rsidRPr="00610B1B">
        <w:rPr>
          <w:rStyle w:val="FootnoteReference"/>
          <w:rFonts w:cs="Times New Roman"/>
          <w:color w:val="000000" w:themeColor="text1"/>
        </w:rPr>
        <w:footnoteReference w:id="195"/>
      </w:r>
      <w:r w:rsidRPr="00610B1B">
        <w:rPr>
          <w:rFonts w:cs="Times New Roman"/>
          <w:color w:val="000000" w:themeColor="text1"/>
        </w:rPr>
        <w:t>:</w:t>
      </w:r>
    </w:p>
    <w:p w14:paraId="2BB80E67" w14:textId="459478E2" w:rsidR="00A7683E" w:rsidRPr="00610B1B" w:rsidRDefault="00C519AD" w:rsidP="00D32D6A">
      <w:pPr>
        <w:pStyle w:val="BodyText"/>
        <w:spacing w:before="0" w:after="120" w:line="276" w:lineRule="auto"/>
        <w:rPr>
          <w:rFonts w:cs="Times New Roman"/>
          <w:color w:val="000000" w:themeColor="text1"/>
        </w:rPr>
      </w:pPr>
      <w:bookmarkStart w:id="480" w:name="_Toc83391612"/>
      <w:r w:rsidRPr="00610B1B">
        <w:rPr>
          <w:rFonts w:cs="Times New Roman"/>
        </w:rPr>
        <w:t xml:space="preserve">Таблица </w:t>
      </w:r>
      <w:r w:rsidRPr="00610B1B">
        <w:rPr>
          <w:rFonts w:cs="Times New Roman"/>
        </w:rPr>
        <w:fldChar w:fldCharType="begin"/>
      </w:r>
      <w:r w:rsidRPr="00610B1B">
        <w:rPr>
          <w:rFonts w:cs="Times New Roman"/>
        </w:rPr>
        <w:instrText xml:space="preserve"> SEQ Таблица \* ARABIC </w:instrText>
      </w:r>
      <w:r w:rsidRPr="00610B1B">
        <w:rPr>
          <w:rFonts w:cs="Times New Roman"/>
        </w:rPr>
        <w:fldChar w:fldCharType="separate"/>
      </w:r>
      <w:r w:rsidR="00260629" w:rsidRPr="00610B1B">
        <w:rPr>
          <w:rFonts w:cs="Times New Roman"/>
          <w:noProof/>
        </w:rPr>
        <w:t>16</w:t>
      </w:r>
      <w:r w:rsidRPr="00610B1B">
        <w:rPr>
          <w:rFonts w:cs="Times New Roman"/>
        </w:rPr>
        <w:fldChar w:fldCharType="end"/>
      </w:r>
      <w:r w:rsidRPr="00610B1B">
        <w:rPr>
          <w:rFonts w:cs="Times New Roman"/>
        </w:rPr>
        <w:t xml:space="preserve">: </w:t>
      </w:r>
      <w:r w:rsidR="00D52898" w:rsidRPr="00610B1B">
        <w:rPr>
          <w:rFonts w:cs="Times New Roman"/>
          <w:color w:val="000000" w:themeColor="text1"/>
        </w:rPr>
        <w:t>Взаимодействия и въздействия на секторите в морските пространства и крайбрежната зона</w:t>
      </w:r>
      <w:bookmarkEnd w:id="480"/>
      <w:r w:rsidR="00D66FE0" w:rsidRPr="00610B1B">
        <w:rPr>
          <w:rFonts w:cs="Times New Roman"/>
          <w:color w:val="000000" w:themeColor="text1"/>
        </w:rPr>
        <w:t xml:space="preserve"> </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3"/>
        <w:gridCol w:w="1984"/>
        <w:gridCol w:w="1866"/>
        <w:gridCol w:w="1820"/>
        <w:gridCol w:w="1934"/>
      </w:tblGrid>
      <w:tr w:rsidR="00BF79BE" w:rsidRPr="00610B1B" w14:paraId="79B8BE59" w14:textId="77777777" w:rsidTr="00ED74EC">
        <w:trPr>
          <w:tblHeader/>
        </w:trPr>
        <w:tc>
          <w:tcPr>
            <w:tcW w:w="1413" w:type="dxa"/>
            <w:vMerge w:val="restart"/>
            <w:shd w:val="clear" w:color="auto" w:fill="C6D9F1" w:themeFill="text2" w:themeFillTint="33"/>
            <w:vAlign w:val="center"/>
          </w:tcPr>
          <w:p w14:paraId="70EA2A91" w14:textId="77777777" w:rsidR="00B70ED4" w:rsidRPr="00610B1B" w:rsidRDefault="00B70ED4" w:rsidP="00ED74EC">
            <w:pPr>
              <w:pStyle w:val="BodyText"/>
              <w:spacing w:before="0" w:after="0" w:line="240" w:lineRule="auto"/>
              <w:jc w:val="center"/>
              <w:rPr>
                <w:rFonts w:cs="Times New Roman"/>
                <w:b/>
                <w:bCs/>
                <w:sz w:val="22"/>
                <w:szCs w:val="22"/>
              </w:rPr>
            </w:pPr>
            <w:r w:rsidRPr="00610B1B">
              <w:rPr>
                <w:rFonts w:cs="Times New Roman"/>
                <w:b/>
                <w:bCs/>
                <w:sz w:val="22"/>
                <w:szCs w:val="22"/>
              </w:rPr>
              <w:t>Ползвания</w:t>
            </w:r>
          </w:p>
        </w:tc>
        <w:tc>
          <w:tcPr>
            <w:tcW w:w="7604" w:type="dxa"/>
            <w:gridSpan w:val="4"/>
            <w:shd w:val="clear" w:color="auto" w:fill="C6D9F1" w:themeFill="text2" w:themeFillTint="33"/>
            <w:vAlign w:val="center"/>
          </w:tcPr>
          <w:p w14:paraId="626FE533" w14:textId="77777777" w:rsidR="00B70ED4" w:rsidRPr="00610B1B" w:rsidRDefault="00B70ED4" w:rsidP="00ED74EC">
            <w:pPr>
              <w:pStyle w:val="BodyText"/>
              <w:spacing w:before="0" w:after="0" w:line="240" w:lineRule="auto"/>
              <w:jc w:val="center"/>
              <w:rPr>
                <w:rFonts w:cs="Times New Roman"/>
                <w:b/>
                <w:bCs/>
                <w:sz w:val="22"/>
                <w:szCs w:val="22"/>
              </w:rPr>
            </w:pPr>
            <w:r w:rsidRPr="00610B1B">
              <w:rPr>
                <w:rFonts w:cs="Times New Roman"/>
                <w:b/>
                <w:bCs/>
                <w:sz w:val="22"/>
                <w:szCs w:val="22"/>
              </w:rPr>
              <w:t>Взаимодействия и въздействия</w:t>
            </w:r>
          </w:p>
        </w:tc>
      </w:tr>
      <w:tr w:rsidR="00BF79BE" w:rsidRPr="00610B1B" w14:paraId="064995C1" w14:textId="77777777" w:rsidTr="00ED74EC">
        <w:trPr>
          <w:tblHeader/>
        </w:trPr>
        <w:tc>
          <w:tcPr>
            <w:tcW w:w="1413" w:type="dxa"/>
            <w:vMerge/>
            <w:shd w:val="clear" w:color="auto" w:fill="C6D9F1" w:themeFill="text2" w:themeFillTint="33"/>
            <w:vAlign w:val="center"/>
          </w:tcPr>
          <w:p w14:paraId="41BF06CB" w14:textId="77777777" w:rsidR="00B70ED4" w:rsidRPr="00610B1B" w:rsidRDefault="00B70ED4" w:rsidP="00ED74EC">
            <w:pPr>
              <w:pStyle w:val="BodyText"/>
              <w:spacing w:before="0" w:after="0" w:line="240" w:lineRule="auto"/>
              <w:jc w:val="center"/>
              <w:rPr>
                <w:rFonts w:cs="Times New Roman"/>
                <w:b/>
                <w:bCs/>
                <w:sz w:val="22"/>
                <w:szCs w:val="22"/>
              </w:rPr>
            </w:pPr>
          </w:p>
        </w:tc>
        <w:tc>
          <w:tcPr>
            <w:tcW w:w="1984" w:type="dxa"/>
            <w:shd w:val="clear" w:color="auto" w:fill="C6D9F1" w:themeFill="text2" w:themeFillTint="33"/>
            <w:vAlign w:val="center"/>
          </w:tcPr>
          <w:p w14:paraId="0D7E32B2" w14:textId="4E6848F3" w:rsidR="00B70ED4" w:rsidRPr="00610B1B" w:rsidRDefault="00B70ED4" w:rsidP="00ED74EC">
            <w:pPr>
              <w:pStyle w:val="BodyText"/>
              <w:spacing w:before="0" w:after="0" w:line="240" w:lineRule="auto"/>
              <w:jc w:val="center"/>
              <w:rPr>
                <w:rFonts w:cs="Times New Roman"/>
                <w:b/>
                <w:bCs/>
                <w:sz w:val="22"/>
                <w:szCs w:val="22"/>
              </w:rPr>
            </w:pPr>
            <w:r w:rsidRPr="00610B1B">
              <w:rPr>
                <w:rFonts w:cs="Times New Roman"/>
                <w:b/>
                <w:bCs/>
                <w:sz w:val="22"/>
                <w:szCs w:val="22"/>
              </w:rPr>
              <w:t>Екологични</w:t>
            </w:r>
          </w:p>
        </w:tc>
        <w:tc>
          <w:tcPr>
            <w:tcW w:w="1866" w:type="dxa"/>
            <w:shd w:val="clear" w:color="auto" w:fill="C6D9F1" w:themeFill="text2" w:themeFillTint="33"/>
            <w:vAlign w:val="center"/>
          </w:tcPr>
          <w:p w14:paraId="3D6B8831" w14:textId="02713C26" w:rsidR="00B70ED4" w:rsidRPr="00610B1B" w:rsidRDefault="00B70ED4" w:rsidP="00ED74EC">
            <w:pPr>
              <w:pStyle w:val="BodyText"/>
              <w:spacing w:before="0" w:after="0" w:line="240" w:lineRule="auto"/>
              <w:jc w:val="center"/>
              <w:rPr>
                <w:rFonts w:cs="Times New Roman"/>
                <w:b/>
                <w:bCs/>
                <w:sz w:val="22"/>
                <w:szCs w:val="22"/>
              </w:rPr>
            </w:pPr>
            <w:r w:rsidRPr="00610B1B">
              <w:rPr>
                <w:rFonts w:cs="Times New Roman"/>
                <w:b/>
                <w:bCs/>
                <w:sz w:val="22"/>
                <w:szCs w:val="22"/>
              </w:rPr>
              <w:t>Икономически</w:t>
            </w:r>
          </w:p>
        </w:tc>
        <w:tc>
          <w:tcPr>
            <w:tcW w:w="1820" w:type="dxa"/>
            <w:shd w:val="clear" w:color="auto" w:fill="C6D9F1" w:themeFill="text2" w:themeFillTint="33"/>
            <w:vAlign w:val="center"/>
          </w:tcPr>
          <w:p w14:paraId="61549C1C" w14:textId="46A5B425" w:rsidR="00B70ED4" w:rsidRPr="00610B1B" w:rsidRDefault="00B70ED4" w:rsidP="00ED74EC">
            <w:pPr>
              <w:pStyle w:val="BodyText"/>
              <w:spacing w:before="0" w:after="0" w:line="240" w:lineRule="auto"/>
              <w:jc w:val="center"/>
              <w:rPr>
                <w:rFonts w:cs="Times New Roman"/>
                <w:b/>
                <w:bCs/>
                <w:sz w:val="22"/>
                <w:szCs w:val="22"/>
              </w:rPr>
            </w:pPr>
            <w:r w:rsidRPr="00610B1B">
              <w:rPr>
                <w:rFonts w:cs="Times New Roman"/>
                <w:b/>
                <w:bCs/>
                <w:sz w:val="22"/>
                <w:szCs w:val="22"/>
              </w:rPr>
              <w:t>Социални</w:t>
            </w:r>
          </w:p>
        </w:tc>
        <w:tc>
          <w:tcPr>
            <w:tcW w:w="1934" w:type="dxa"/>
            <w:shd w:val="clear" w:color="auto" w:fill="C6D9F1" w:themeFill="text2" w:themeFillTint="33"/>
            <w:vAlign w:val="center"/>
          </w:tcPr>
          <w:p w14:paraId="58747216" w14:textId="77C1A8A5" w:rsidR="00B70ED4" w:rsidRPr="00610B1B" w:rsidRDefault="00B70ED4" w:rsidP="00ED74EC">
            <w:pPr>
              <w:pStyle w:val="BodyText"/>
              <w:spacing w:before="0" w:after="0" w:line="240" w:lineRule="auto"/>
              <w:jc w:val="center"/>
              <w:rPr>
                <w:rFonts w:cs="Times New Roman"/>
                <w:b/>
                <w:bCs/>
                <w:sz w:val="22"/>
                <w:szCs w:val="22"/>
              </w:rPr>
            </w:pPr>
            <w:r w:rsidRPr="00610B1B">
              <w:rPr>
                <w:rFonts w:cs="Times New Roman"/>
                <w:b/>
                <w:bCs/>
                <w:sz w:val="22"/>
                <w:szCs w:val="22"/>
              </w:rPr>
              <w:t>Технологични</w:t>
            </w:r>
          </w:p>
        </w:tc>
      </w:tr>
      <w:tr w:rsidR="00AB2DBE" w:rsidRPr="005C2B9F" w14:paraId="00527E4F" w14:textId="77777777" w:rsidTr="006F5FF5">
        <w:tc>
          <w:tcPr>
            <w:tcW w:w="1413" w:type="dxa"/>
            <w:vMerge w:val="restart"/>
            <w:shd w:val="clear" w:color="auto" w:fill="DBE5F1" w:themeFill="accent1" w:themeFillTint="33"/>
            <w:vAlign w:val="center"/>
          </w:tcPr>
          <w:p w14:paraId="30057CE0" w14:textId="4E215202" w:rsidR="00AB2DBE" w:rsidRPr="00610B1B" w:rsidRDefault="00391F0A"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Морски транспорт, п</w:t>
            </w:r>
            <w:r w:rsidR="00AB2DBE" w:rsidRPr="00610B1B">
              <w:rPr>
                <w:rFonts w:cs="Times New Roman"/>
                <w:color w:val="000000" w:themeColor="text1"/>
                <w:sz w:val="20"/>
                <w:szCs w:val="20"/>
              </w:rPr>
              <w:t>ристанища</w:t>
            </w:r>
          </w:p>
        </w:tc>
        <w:tc>
          <w:tcPr>
            <w:tcW w:w="1984" w:type="dxa"/>
          </w:tcPr>
          <w:p w14:paraId="5D947317" w14:textId="7B7A398F" w:rsidR="00AB2DBE" w:rsidRPr="00610B1B" w:rsidRDefault="00AB2D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Нарушаване и унищожаване на морски видове и хабитати при драгиране</w:t>
            </w:r>
          </w:p>
        </w:tc>
        <w:tc>
          <w:tcPr>
            <w:tcW w:w="1866" w:type="dxa"/>
            <w:shd w:val="clear" w:color="auto" w:fill="BEE6F0"/>
          </w:tcPr>
          <w:p w14:paraId="231031C4" w14:textId="5339B25A" w:rsidR="00AB2DBE" w:rsidRPr="00610B1B" w:rsidRDefault="00AB2D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Стимулиране развитието на съпътстващ пристанищната дейност бизнес</w:t>
            </w:r>
          </w:p>
        </w:tc>
        <w:tc>
          <w:tcPr>
            <w:tcW w:w="1820" w:type="dxa"/>
            <w:shd w:val="clear" w:color="auto" w:fill="BEE6F0"/>
          </w:tcPr>
          <w:p w14:paraId="3F520212" w14:textId="1EB99998" w:rsidR="00AB2DBE" w:rsidRPr="00610B1B" w:rsidRDefault="00AB2D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Създаване на заетост и работни места</w:t>
            </w:r>
          </w:p>
        </w:tc>
        <w:tc>
          <w:tcPr>
            <w:tcW w:w="1934" w:type="dxa"/>
            <w:shd w:val="clear" w:color="auto" w:fill="BEE6F0"/>
          </w:tcPr>
          <w:p w14:paraId="48264C86" w14:textId="26DF705D" w:rsidR="00AB2DBE" w:rsidRPr="00610B1B" w:rsidRDefault="00AB2D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Подобряване на връзките с наземната инфраструктура</w:t>
            </w:r>
          </w:p>
        </w:tc>
      </w:tr>
      <w:tr w:rsidR="00AB2DBE" w:rsidRPr="005C2B9F" w14:paraId="2F5B355B" w14:textId="77777777" w:rsidTr="006F5FF5">
        <w:tc>
          <w:tcPr>
            <w:tcW w:w="1413" w:type="dxa"/>
            <w:vMerge/>
            <w:shd w:val="clear" w:color="auto" w:fill="DBE5F1" w:themeFill="accent1" w:themeFillTint="33"/>
          </w:tcPr>
          <w:p w14:paraId="74DE7A46" w14:textId="77777777" w:rsidR="00AB2DBE" w:rsidRPr="00610B1B" w:rsidRDefault="00AB2DBE" w:rsidP="00D32D6A">
            <w:pPr>
              <w:pStyle w:val="BodyText"/>
              <w:spacing w:before="0" w:after="0" w:line="240" w:lineRule="auto"/>
              <w:jc w:val="left"/>
              <w:rPr>
                <w:rFonts w:cs="Times New Roman"/>
                <w:color w:val="000000" w:themeColor="text1"/>
                <w:sz w:val="20"/>
                <w:szCs w:val="20"/>
              </w:rPr>
            </w:pPr>
          </w:p>
        </w:tc>
        <w:tc>
          <w:tcPr>
            <w:tcW w:w="1984" w:type="dxa"/>
          </w:tcPr>
          <w:p w14:paraId="1605CC1D" w14:textId="50DA41A6" w:rsidR="00AB2DBE" w:rsidRPr="00610B1B" w:rsidRDefault="00AB2D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Замърсяване, подводен шум</w:t>
            </w:r>
          </w:p>
        </w:tc>
        <w:tc>
          <w:tcPr>
            <w:tcW w:w="1866" w:type="dxa"/>
            <w:shd w:val="clear" w:color="auto" w:fill="BEE6F0"/>
          </w:tcPr>
          <w:p w14:paraId="77743199" w14:textId="3819ADB8" w:rsidR="00AB2DBE" w:rsidRPr="00610B1B" w:rsidRDefault="00AB2D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Стимулиране развитието на морския туризъм</w:t>
            </w:r>
          </w:p>
        </w:tc>
        <w:tc>
          <w:tcPr>
            <w:tcW w:w="1820" w:type="dxa"/>
            <w:shd w:val="clear" w:color="auto" w:fill="BEE6F0"/>
          </w:tcPr>
          <w:p w14:paraId="3F9FBC35" w14:textId="2239CFF4" w:rsidR="00AB2DBE" w:rsidRPr="00610B1B" w:rsidRDefault="00AB2D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Повишаване на доходите</w:t>
            </w:r>
          </w:p>
        </w:tc>
        <w:tc>
          <w:tcPr>
            <w:tcW w:w="1934" w:type="dxa"/>
            <w:shd w:val="clear" w:color="auto" w:fill="BEE6F0"/>
          </w:tcPr>
          <w:p w14:paraId="6E042062" w14:textId="04E54CD5" w:rsidR="00AB2DBE" w:rsidRPr="00610B1B" w:rsidRDefault="00AB2D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Разширяване на националната транспортна мрежа</w:t>
            </w:r>
          </w:p>
        </w:tc>
      </w:tr>
      <w:tr w:rsidR="00AB2DBE" w:rsidRPr="005C2B9F" w14:paraId="7F84179C" w14:textId="77777777" w:rsidTr="006F5FF5">
        <w:tc>
          <w:tcPr>
            <w:tcW w:w="1413" w:type="dxa"/>
            <w:vMerge/>
            <w:shd w:val="clear" w:color="auto" w:fill="DBE5F1" w:themeFill="accent1" w:themeFillTint="33"/>
          </w:tcPr>
          <w:p w14:paraId="67501438" w14:textId="77777777" w:rsidR="00AB2DBE" w:rsidRPr="00610B1B" w:rsidRDefault="00AB2DBE" w:rsidP="00D32D6A">
            <w:pPr>
              <w:pStyle w:val="BodyText"/>
              <w:spacing w:before="0" w:after="0" w:line="240" w:lineRule="auto"/>
              <w:jc w:val="left"/>
              <w:rPr>
                <w:rFonts w:cs="Times New Roman"/>
                <w:color w:val="000000" w:themeColor="text1"/>
                <w:sz w:val="20"/>
                <w:szCs w:val="20"/>
              </w:rPr>
            </w:pPr>
          </w:p>
        </w:tc>
        <w:tc>
          <w:tcPr>
            <w:tcW w:w="1984" w:type="dxa"/>
          </w:tcPr>
          <w:p w14:paraId="0624990A" w14:textId="62CBCD63" w:rsidR="00AB2DBE" w:rsidRPr="00610B1B" w:rsidRDefault="00AB2D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Пренос на инвазивни видове</w:t>
            </w:r>
          </w:p>
        </w:tc>
        <w:tc>
          <w:tcPr>
            <w:tcW w:w="1866" w:type="dxa"/>
            <w:shd w:val="clear" w:color="auto" w:fill="BEE6F0"/>
          </w:tcPr>
          <w:p w14:paraId="450FCF4D" w14:textId="34F36F5D" w:rsidR="00AB2DBE" w:rsidRPr="00610B1B" w:rsidRDefault="00AB2D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Развитие на интермодални терминали</w:t>
            </w:r>
          </w:p>
        </w:tc>
        <w:tc>
          <w:tcPr>
            <w:tcW w:w="1820" w:type="dxa"/>
            <w:shd w:val="clear" w:color="auto" w:fill="BEE6F0"/>
          </w:tcPr>
          <w:p w14:paraId="0A909F6F" w14:textId="6D0E1196" w:rsidR="00AB2DBE" w:rsidRPr="00610B1B" w:rsidRDefault="00AB2D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Подобряване на достъпа до публични зони</w:t>
            </w:r>
          </w:p>
        </w:tc>
        <w:tc>
          <w:tcPr>
            <w:tcW w:w="1934" w:type="dxa"/>
          </w:tcPr>
          <w:p w14:paraId="69410C5C" w14:textId="14F8E533" w:rsidR="00AB2DBE" w:rsidRPr="00610B1B" w:rsidRDefault="00885C17"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Риск от разрушаване на подводна ТИ при заставане на котва</w:t>
            </w:r>
          </w:p>
        </w:tc>
      </w:tr>
      <w:tr w:rsidR="0025746D" w:rsidRPr="005C2B9F" w14:paraId="06C9C411" w14:textId="77777777" w:rsidTr="001E3FED">
        <w:tc>
          <w:tcPr>
            <w:tcW w:w="1413" w:type="dxa"/>
            <w:vMerge/>
            <w:shd w:val="clear" w:color="auto" w:fill="DBE5F1" w:themeFill="accent1" w:themeFillTint="33"/>
          </w:tcPr>
          <w:p w14:paraId="62112C8B"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984" w:type="dxa"/>
          </w:tcPr>
          <w:p w14:paraId="47E6A9F6" w14:textId="7A040C49"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Увеличаване на обслужващия трафик, замърсяване на въздуха, шум</w:t>
            </w:r>
          </w:p>
        </w:tc>
        <w:tc>
          <w:tcPr>
            <w:tcW w:w="1866" w:type="dxa"/>
          </w:tcPr>
          <w:p w14:paraId="7713178F"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820" w:type="dxa"/>
          </w:tcPr>
          <w:p w14:paraId="327BB6F2"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934" w:type="dxa"/>
          </w:tcPr>
          <w:p w14:paraId="4F262E44" w14:textId="14AA5466" w:rsidR="0025746D" w:rsidRPr="00610B1B" w:rsidRDefault="00E779AD" w:rsidP="00D32D6A">
            <w:pPr>
              <w:pStyle w:val="BodyText"/>
              <w:spacing w:before="0" w:after="0" w:line="240" w:lineRule="auto"/>
              <w:jc w:val="left"/>
              <w:rPr>
                <w:rFonts w:cs="Times New Roman"/>
                <w:color w:val="000000" w:themeColor="text1"/>
                <w:sz w:val="20"/>
                <w:szCs w:val="20"/>
              </w:rPr>
            </w:pPr>
            <w:r w:rsidRPr="00610B1B">
              <w:rPr>
                <w:rFonts w:cs="Times New Roman"/>
                <w:sz w:val="20"/>
                <w:szCs w:val="20"/>
              </w:rPr>
              <w:t>Риск от</w:t>
            </w:r>
            <w:r w:rsidR="0025746D" w:rsidRPr="00610B1B">
              <w:rPr>
                <w:rFonts w:cs="Times New Roman"/>
                <w:sz w:val="20"/>
                <w:szCs w:val="20"/>
              </w:rPr>
              <w:t xml:space="preserve"> инциденти по сигурността и безопасността</w:t>
            </w:r>
            <w:r w:rsidRPr="00610B1B">
              <w:rPr>
                <w:rFonts w:cs="Times New Roman"/>
                <w:sz w:val="20"/>
                <w:szCs w:val="20"/>
              </w:rPr>
              <w:t xml:space="preserve"> поради близостта на СРД до брега</w:t>
            </w:r>
          </w:p>
        </w:tc>
      </w:tr>
      <w:tr w:rsidR="0025746D" w:rsidRPr="005C2B9F" w14:paraId="5DE5A326" w14:textId="77777777" w:rsidTr="001E3FED">
        <w:tc>
          <w:tcPr>
            <w:tcW w:w="1413" w:type="dxa"/>
            <w:vMerge/>
            <w:shd w:val="clear" w:color="auto" w:fill="DBE5F1" w:themeFill="accent1" w:themeFillTint="33"/>
          </w:tcPr>
          <w:p w14:paraId="26FE0D28"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984" w:type="dxa"/>
          </w:tcPr>
          <w:p w14:paraId="7B4B7D10" w14:textId="63FDC38F"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Повишен риск от инциденти </w:t>
            </w:r>
          </w:p>
        </w:tc>
        <w:tc>
          <w:tcPr>
            <w:tcW w:w="1866" w:type="dxa"/>
          </w:tcPr>
          <w:p w14:paraId="1A09BE3C"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820" w:type="dxa"/>
          </w:tcPr>
          <w:p w14:paraId="02D3BB2C"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934" w:type="dxa"/>
          </w:tcPr>
          <w:p w14:paraId="0FC04361" w14:textId="767F263D" w:rsidR="0025746D" w:rsidRPr="00610B1B" w:rsidRDefault="00BF79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Ограничаване на трафика по време на подводни проучвания на </w:t>
            </w:r>
            <w:r w:rsidR="0005678A" w:rsidRPr="00610B1B">
              <w:rPr>
                <w:rFonts w:cs="Times New Roman"/>
                <w:color w:val="000000" w:themeColor="text1"/>
                <w:sz w:val="20"/>
                <w:szCs w:val="20"/>
              </w:rPr>
              <w:t>НКЦ</w:t>
            </w:r>
          </w:p>
        </w:tc>
      </w:tr>
      <w:tr w:rsidR="0025746D" w:rsidRPr="005C2B9F" w14:paraId="4AC2654C" w14:textId="77777777" w:rsidTr="006F5FF5">
        <w:tc>
          <w:tcPr>
            <w:tcW w:w="1413" w:type="dxa"/>
            <w:vMerge w:val="restart"/>
            <w:shd w:val="clear" w:color="auto" w:fill="DBE5F1" w:themeFill="accent1" w:themeFillTint="33"/>
            <w:vAlign w:val="center"/>
          </w:tcPr>
          <w:p w14:paraId="3BCA76D1" w14:textId="681AB068"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Рибарство</w:t>
            </w:r>
          </w:p>
        </w:tc>
        <w:tc>
          <w:tcPr>
            <w:tcW w:w="1984" w:type="dxa"/>
          </w:tcPr>
          <w:p w14:paraId="613D0D5C" w14:textId="0AB27F23"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Въздействия върху рибните запаси от улов над допустимите квоти и под допустимите размери/зрялост</w:t>
            </w:r>
          </w:p>
        </w:tc>
        <w:tc>
          <w:tcPr>
            <w:tcW w:w="1866" w:type="dxa"/>
            <w:shd w:val="clear" w:color="auto" w:fill="BEE6F0"/>
          </w:tcPr>
          <w:p w14:paraId="7E366FAA" w14:textId="33DCE8C8"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Стимулиране на съпътстващи преработвателни предприятия</w:t>
            </w:r>
          </w:p>
        </w:tc>
        <w:tc>
          <w:tcPr>
            <w:tcW w:w="1820" w:type="dxa"/>
            <w:shd w:val="clear" w:color="auto" w:fill="BEE6F0"/>
          </w:tcPr>
          <w:p w14:paraId="0966C685" w14:textId="397A82C6"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Създаване на работни места и заетост</w:t>
            </w:r>
          </w:p>
        </w:tc>
        <w:tc>
          <w:tcPr>
            <w:tcW w:w="1934" w:type="dxa"/>
            <w:shd w:val="clear" w:color="auto" w:fill="BEE6F0"/>
          </w:tcPr>
          <w:p w14:paraId="46DA963C" w14:textId="0513F1AB"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Подобряване на връзките с обслужващата наземна транспортна инфраструктура</w:t>
            </w:r>
          </w:p>
        </w:tc>
      </w:tr>
      <w:tr w:rsidR="0025746D" w:rsidRPr="005C2B9F" w14:paraId="6D881851" w14:textId="77777777" w:rsidTr="006F5FF5">
        <w:tc>
          <w:tcPr>
            <w:tcW w:w="1413" w:type="dxa"/>
            <w:vMerge/>
            <w:shd w:val="clear" w:color="auto" w:fill="DBE5F1" w:themeFill="accent1" w:themeFillTint="33"/>
          </w:tcPr>
          <w:p w14:paraId="4EAB0149"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984" w:type="dxa"/>
          </w:tcPr>
          <w:p w14:paraId="115D39F2" w14:textId="10396722"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Намаляване на биологичната </w:t>
            </w:r>
            <w:r w:rsidRPr="00610B1B">
              <w:rPr>
                <w:rFonts w:cs="Times New Roman"/>
                <w:color w:val="000000" w:themeColor="text1"/>
                <w:sz w:val="20"/>
                <w:szCs w:val="20"/>
              </w:rPr>
              <w:lastRenderedPageBreak/>
              <w:t>продуктивност и оттам въздействия върху приходи, работни места и др.</w:t>
            </w:r>
          </w:p>
        </w:tc>
        <w:tc>
          <w:tcPr>
            <w:tcW w:w="1866" w:type="dxa"/>
            <w:shd w:val="clear" w:color="auto" w:fill="BEE6F0"/>
          </w:tcPr>
          <w:p w14:paraId="4084A605" w14:textId="38DF4853"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lastRenderedPageBreak/>
              <w:t>Стимулиране развитието на</w:t>
            </w:r>
            <w:r w:rsidR="00D66FE0" w:rsidRPr="00610B1B">
              <w:rPr>
                <w:rFonts w:cs="Times New Roman"/>
                <w:color w:val="000000" w:themeColor="text1"/>
                <w:sz w:val="20"/>
                <w:szCs w:val="20"/>
              </w:rPr>
              <w:t xml:space="preserve"> </w:t>
            </w:r>
            <w:r w:rsidRPr="00610B1B">
              <w:rPr>
                <w:rFonts w:cs="Times New Roman"/>
                <w:color w:val="000000" w:themeColor="text1"/>
                <w:sz w:val="20"/>
                <w:szCs w:val="20"/>
              </w:rPr>
              <w:lastRenderedPageBreak/>
              <w:t>дейности по веригата на доставките</w:t>
            </w:r>
          </w:p>
        </w:tc>
        <w:tc>
          <w:tcPr>
            <w:tcW w:w="1820" w:type="dxa"/>
            <w:shd w:val="clear" w:color="auto" w:fill="BEE6F0"/>
          </w:tcPr>
          <w:p w14:paraId="3BE1F4FE" w14:textId="2BF7ABD7"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lastRenderedPageBreak/>
              <w:t>Приходи от дейност в сектора</w:t>
            </w:r>
          </w:p>
        </w:tc>
        <w:tc>
          <w:tcPr>
            <w:tcW w:w="1934" w:type="dxa"/>
            <w:shd w:val="clear" w:color="auto" w:fill="BEE6F0"/>
          </w:tcPr>
          <w:p w14:paraId="668092AE" w14:textId="53832DE7"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Технологични връзки с </w:t>
            </w:r>
            <w:r w:rsidRPr="00610B1B">
              <w:rPr>
                <w:rFonts w:cs="Times New Roman"/>
                <w:color w:val="000000" w:themeColor="text1"/>
                <w:sz w:val="20"/>
                <w:szCs w:val="20"/>
              </w:rPr>
              <w:lastRenderedPageBreak/>
              <w:t>преработващи предприятия</w:t>
            </w:r>
          </w:p>
        </w:tc>
      </w:tr>
      <w:tr w:rsidR="0025746D" w:rsidRPr="005C2B9F" w14:paraId="60B67F59" w14:textId="77777777" w:rsidTr="006F5FF5">
        <w:tc>
          <w:tcPr>
            <w:tcW w:w="1413" w:type="dxa"/>
            <w:vMerge/>
            <w:shd w:val="clear" w:color="auto" w:fill="DBE5F1" w:themeFill="accent1" w:themeFillTint="33"/>
          </w:tcPr>
          <w:p w14:paraId="1A320DCF"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984" w:type="dxa"/>
          </w:tcPr>
          <w:p w14:paraId="0D487773" w14:textId="794842E3"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Замърсяване на околната среда от изоставени </w:t>
            </w:r>
            <w:r w:rsidR="00173C7E" w:rsidRPr="00610B1B">
              <w:rPr>
                <w:rFonts w:cs="Times New Roman"/>
                <w:color w:val="000000" w:themeColor="text1"/>
                <w:sz w:val="20"/>
                <w:szCs w:val="20"/>
              </w:rPr>
              <w:t>аквакултурни стопанства</w:t>
            </w:r>
            <w:r w:rsidRPr="00610B1B">
              <w:rPr>
                <w:rFonts w:cs="Times New Roman"/>
                <w:color w:val="000000" w:themeColor="text1"/>
                <w:sz w:val="20"/>
                <w:szCs w:val="20"/>
              </w:rPr>
              <w:t xml:space="preserve"> и конфликти с водните спортове и морски туризъм</w:t>
            </w:r>
          </w:p>
        </w:tc>
        <w:tc>
          <w:tcPr>
            <w:tcW w:w="1866" w:type="dxa"/>
          </w:tcPr>
          <w:p w14:paraId="301B2190" w14:textId="5BB594BD"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Намаляване на възможностите за любителски риболов и въздействие върху туризма</w:t>
            </w:r>
          </w:p>
        </w:tc>
        <w:tc>
          <w:tcPr>
            <w:tcW w:w="1820" w:type="dxa"/>
            <w:shd w:val="clear" w:color="auto" w:fill="BEE6F0"/>
          </w:tcPr>
          <w:p w14:paraId="1BE3604A" w14:textId="6BC0A087"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Съхраняване на традиционния поминък</w:t>
            </w:r>
          </w:p>
        </w:tc>
        <w:tc>
          <w:tcPr>
            <w:tcW w:w="1934" w:type="dxa"/>
            <w:shd w:val="clear" w:color="auto" w:fill="BEE6F0"/>
          </w:tcPr>
          <w:p w14:paraId="7CF1BB97" w14:textId="13E77C98" w:rsidR="0025746D" w:rsidRPr="00610B1B" w:rsidRDefault="0005678A"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Изграждане </w:t>
            </w:r>
            <w:r w:rsidR="0025746D" w:rsidRPr="00610B1B">
              <w:rPr>
                <w:rFonts w:cs="Times New Roman"/>
                <w:color w:val="000000" w:themeColor="text1"/>
                <w:sz w:val="20"/>
                <w:szCs w:val="20"/>
              </w:rPr>
              <w:t>от съпътстваща инфраструктура за обработка и съхранение на улова</w:t>
            </w:r>
          </w:p>
        </w:tc>
      </w:tr>
      <w:tr w:rsidR="0025746D" w:rsidRPr="005C2B9F" w14:paraId="561A97B5" w14:textId="77777777" w:rsidTr="001E3FED">
        <w:tc>
          <w:tcPr>
            <w:tcW w:w="1413" w:type="dxa"/>
            <w:vMerge/>
            <w:shd w:val="clear" w:color="auto" w:fill="DBE5F1" w:themeFill="accent1" w:themeFillTint="33"/>
          </w:tcPr>
          <w:p w14:paraId="6A62A7B5"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984" w:type="dxa"/>
          </w:tcPr>
          <w:p w14:paraId="65C8C988" w14:textId="2E2B5A92"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Нарушаване на морското дъно при риболов с придънни средства</w:t>
            </w:r>
          </w:p>
        </w:tc>
        <w:tc>
          <w:tcPr>
            <w:tcW w:w="1866" w:type="dxa"/>
          </w:tcPr>
          <w:p w14:paraId="62E84D22"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820" w:type="dxa"/>
          </w:tcPr>
          <w:p w14:paraId="04E3EC52"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934" w:type="dxa"/>
          </w:tcPr>
          <w:p w14:paraId="36EDA689"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r>
      <w:tr w:rsidR="0025746D" w:rsidRPr="005C2B9F" w14:paraId="6537481B" w14:textId="77777777" w:rsidTr="006F5FF5">
        <w:tc>
          <w:tcPr>
            <w:tcW w:w="1413" w:type="dxa"/>
            <w:vMerge w:val="restart"/>
            <w:shd w:val="clear" w:color="auto" w:fill="DBE5F1" w:themeFill="accent1" w:themeFillTint="33"/>
            <w:vAlign w:val="center"/>
          </w:tcPr>
          <w:p w14:paraId="72938F8D" w14:textId="0240363B"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Аквакултури</w:t>
            </w:r>
          </w:p>
        </w:tc>
        <w:tc>
          <w:tcPr>
            <w:tcW w:w="1984" w:type="dxa"/>
          </w:tcPr>
          <w:p w14:paraId="21F70D9C" w14:textId="039CF959"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Промени в качеството на водите</w:t>
            </w:r>
          </w:p>
        </w:tc>
        <w:tc>
          <w:tcPr>
            <w:tcW w:w="1866" w:type="dxa"/>
            <w:shd w:val="clear" w:color="auto" w:fill="BEE6F0"/>
          </w:tcPr>
          <w:p w14:paraId="1DD1D70A" w14:textId="71E71534"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Стимулиране на съпътстващи преработвателни предприятия</w:t>
            </w:r>
          </w:p>
        </w:tc>
        <w:tc>
          <w:tcPr>
            <w:tcW w:w="1820" w:type="dxa"/>
            <w:shd w:val="clear" w:color="auto" w:fill="BEE6F0"/>
          </w:tcPr>
          <w:p w14:paraId="16336B69" w14:textId="5A24C21D"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Създаване на работни места и заетост</w:t>
            </w:r>
          </w:p>
        </w:tc>
        <w:tc>
          <w:tcPr>
            <w:tcW w:w="1934" w:type="dxa"/>
            <w:shd w:val="clear" w:color="auto" w:fill="BEE6F0"/>
          </w:tcPr>
          <w:p w14:paraId="4DAC4747" w14:textId="43DF225E" w:rsidR="0025746D" w:rsidRPr="00610B1B" w:rsidRDefault="0005678A"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Изграждане </w:t>
            </w:r>
            <w:r w:rsidR="0025746D" w:rsidRPr="00610B1B">
              <w:rPr>
                <w:rFonts w:cs="Times New Roman"/>
                <w:color w:val="000000" w:themeColor="text1"/>
                <w:sz w:val="20"/>
                <w:szCs w:val="20"/>
              </w:rPr>
              <w:t>на връзки с наземния транспорт</w:t>
            </w:r>
          </w:p>
        </w:tc>
      </w:tr>
      <w:tr w:rsidR="0025746D" w:rsidRPr="00610B1B" w14:paraId="2097A1E4" w14:textId="77777777" w:rsidTr="006F5FF5">
        <w:tc>
          <w:tcPr>
            <w:tcW w:w="1413" w:type="dxa"/>
            <w:vMerge/>
            <w:shd w:val="clear" w:color="auto" w:fill="DBE5F1" w:themeFill="accent1" w:themeFillTint="33"/>
          </w:tcPr>
          <w:p w14:paraId="27C79746"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984" w:type="dxa"/>
          </w:tcPr>
          <w:p w14:paraId="2F032DC6" w14:textId="6FC3E65F"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Визуални промени в ландшафта от присъствието на инсталациите</w:t>
            </w:r>
          </w:p>
        </w:tc>
        <w:tc>
          <w:tcPr>
            <w:tcW w:w="1866" w:type="dxa"/>
          </w:tcPr>
          <w:p w14:paraId="27FFDA80" w14:textId="682397CF"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Конкуре</w:t>
            </w:r>
            <w:r w:rsidR="00622D3E" w:rsidRPr="00610B1B">
              <w:rPr>
                <w:rFonts w:cs="Times New Roman"/>
                <w:color w:val="000000" w:themeColor="text1"/>
                <w:sz w:val="20"/>
                <w:szCs w:val="20"/>
              </w:rPr>
              <w:t>н</w:t>
            </w:r>
            <w:r w:rsidRPr="00610B1B">
              <w:rPr>
                <w:rFonts w:cs="Times New Roman"/>
                <w:color w:val="000000" w:themeColor="text1"/>
                <w:sz w:val="20"/>
                <w:szCs w:val="20"/>
              </w:rPr>
              <w:t>тност с</w:t>
            </w:r>
            <w:r w:rsidR="00D66FE0" w:rsidRPr="00610B1B">
              <w:rPr>
                <w:rFonts w:cs="Times New Roman"/>
                <w:color w:val="000000" w:themeColor="text1"/>
                <w:sz w:val="20"/>
                <w:szCs w:val="20"/>
              </w:rPr>
              <w:t xml:space="preserve"> </w:t>
            </w:r>
            <w:r w:rsidRPr="00610B1B">
              <w:rPr>
                <w:rFonts w:cs="Times New Roman"/>
                <w:color w:val="000000" w:themeColor="text1"/>
                <w:sz w:val="20"/>
                <w:szCs w:val="20"/>
              </w:rPr>
              <w:t>риболова в акваториите</w:t>
            </w:r>
            <w:r w:rsidR="00622D3E" w:rsidRPr="00610B1B">
              <w:rPr>
                <w:rFonts w:cs="Times New Roman"/>
                <w:color w:val="000000" w:themeColor="text1"/>
                <w:sz w:val="20"/>
                <w:szCs w:val="20"/>
              </w:rPr>
              <w:t>,</w:t>
            </w:r>
            <w:r w:rsidRPr="00610B1B">
              <w:rPr>
                <w:rFonts w:cs="Times New Roman"/>
                <w:color w:val="000000" w:themeColor="text1"/>
                <w:sz w:val="20"/>
                <w:szCs w:val="20"/>
              </w:rPr>
              <w:t xml:space="preserve"> заети от инсталации</w:t>
            </w:r>
          </w:p>
        </w:tc>
        <w:tc>
          <w:tcPr>
            <w:tcW w:w="1820" w:type="dxa"/>
            <w:shd w:val="clear" w:color="auto" w:fill="BEE6F0"/>
          </w:tcPr>
          <w:p w14:paraId="1D6E249D" w14:textId="470235CC"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Приходи от дейност в сектора</w:t>
            </w:r>
          </w:p>
        </w:tc>
        <w:tc>
          <w:tcPr>
            <w:tcW w:w="1934" w:type="dxa"/>
            <w:shd w:val="clear" w:color="auto" w:fill="BEE6F0"/>
          </w:tcPr>
          <w:p w14:paraId="257F52C9" w14:textId="565063BB"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Връзки с преработващи предприятия</w:t>
            </w:r>
          </w:p>
        </w:tc>
      </w:tr>
      <w:tr w:rsidR="0025746D" w:rsidRPr="005C2B9F" w14:paraId="76B3F5CD" w14:textId="77777777" w:rsidTr="006F5FF5">
        <w:tc>
          <w:tcPr>
            <w:tcW w:w="1413" w:type="dxa"/>
            <w:vMerge/>
            <w:shd w:val="clear" w:color="auto" w:fill="DBE5F1" w:themeFill="accent1" w:themeFillTint="33"/>
          </w:tcPr>
          <w:p w14:paraId="234E03BE"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984" w:type="dxa"/>
          </w:tcPr>
          <w:p w14:paraId="02F2570F" w14:textId="18B42F4C"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Замърсяване на морските пространства с изоставени инсталации</w:t>
            </w:r>
          </w:p>
        </w:tc>
        <w:tc>
          <w:tcPr>
            <w:tcW w:w="1866" w:type="dxa"/>
          </w:tcPr>
          <w:p w14:paraId="2602956B" w14:textId="77777777" w:rsidR="0025746D" w:rsidRPr="00610B1B" w:rsidRDefault="0025746D" w:rsidP="00D32D6A">
            <w:pPr>
              <w:pStyle w:val="BodyText"/>
              <w:spacing w:before="0" w:after="0" w:line="240" w:lineRule="auto"/>
              <w:jc w:val="left"/>
              <w:rPr>
                <w:rFonts w:cs="Times New Roman"/>
                <w:color w:val="000000" w:themeColor="text1"/>
                <w:sz w:val="20"/>
                <w:szCs w:val="20"/>
              </w:rPr>
            </w:pPr>
          </w:p>
        </w:tc>
        <w:tc>
          <w:tcPr>
            <w:tcW w:w="1820" w:type="dxa"/>
          </w:tcPr>
          <w:p w14:paraId="4C2B01D7" w14:textId="071F1577" w:rsidR="0025746D" w:rsidRPr="00610B1B" w:rsidRDefault="0025746D"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Ограничаване на възможностите за водни спортове</w:t>
            </w:r>
          </w:p>
        </w:tc>
        <w:tc>
          <w:tcPr>
            <w:tcW w:w="1934" w:type="dxa"/>
            <w:shd w:val="clear" w:color="auto" w:fill="BEE6F0"/>
          </w:tcPr>
          <w:p w14:paraId="28F26907" w14:textId="05D32B10" w:rsidR="0025746D" w:rsidRPr="00610B1B" w:rsidRDefault="001552E0"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Интегрирано </w:t>
            </w:r>
            <w:r w:rsidR="0025746D" w:rsidRPr="00610B1B">
              <w:rPr>
                <w:rFonts w:cs="Times New Roman"/>
                <w:color w:val="000000" w:themeColor="text1"/>
                <w:sz w:val="20"/>
                <w:szCs w:val="20"/>
              </w:rPr>
              <w:t>управление на водите в близост до урбанизирани територии</w:t>
            </w:r>
          </w:p>
        </w:tc>
      </w:tr>
      <w:tr w:rsidR="00BF79BE" w:rsidRPr="005C2B9F" w14:paraId="167C3F85" w14:textId="77777777" w:rsidTr="006F5FF5">
        <w:tc>
          <w:tcPr>
            <w:tcW w:w="1413" w:type="dxa"/>
            <w:vMerge w:val="restart"/>
            <w:shd w:val="clear" w:color="auto" w:fill="DBE5F1" w:themeFill="accent1" w:themeFillTint="33"/>
            <w:vAlign w:val="center"/>
          </w:tcPr>
          <w:p w14:paraId="3AB805E8" w14:textId="2B57815A" w:rsidR="00BF79BE" w:rsidRPr="00610B1B" w:rsidRDefault="00BF79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Туризъм и водни спортове</w:t>
            </w:r>
          </w:p>
        </w:tc>
        <w:tc>
          <w:tcPr>
            <w:tcW w:w="1984" w:type="dxa"/>
          </w:tcPr>
          <w:p w14:paraId="40C777BD" w14:textId="5EFADCF6" w:rsidR="00BF79BE" w:rsidRPr="00610B1B" w:rsidRDefault="00BF79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Замърсяване на околната среда (води, въздух, шум, отпадъци) от повишен туристически натиск</w:t>
            </w:r>
          </w:p>
        </w:tc>
        <w:tc>
          <w:tcPr>
            <w:tcW w:w="1866" w:type="dxa"/>
            <w:shd w:val="clear" w:color="auto" w:fill="BEE6F0"/>
          </w:tcPr>
          <w:p w14:paraId="3F495B10" w14:textId="395BFC0C" w:rsidR="00BF79BE" w:rsidRPr="00610B1B" w:rsidRDefault="00BF79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Развитие на съпътстващи туризма </w:t>
            </w:r>
            <w:r w:rsidR="00622D3E" w:rsidRPr="00610B1B">
              <w:rPr>
                <w:rFonts w:cs="Times New Roman"/>
                <w:color w:val="000000" w:themeColor="text1"/>
                <w:sz w:val="20"/>
                <w:szCs w:val="20"/>
              </w:rPr>
              <w:t xml:space="preserve">производства и </w:t>
            </w:r>
            <w:r w:rsidRPr="00610B1B">
              <w:rPr>
                <w:rFonts w:cs="Times New Roman"/>
                <w:color w:val="000000" w:themeColor="text1"/>
                <w:sz w:val="20"/>
                <w:szCs w:val="20"/>
              </w:rPr>
              <w:t>дейности</w:t>
            </w:r>
          </w:p>
        </w:tc>
        <w:tc>
          <w:tcPr>
            <w:tcW w:w="1820" w:type="dxa"/>
          </w:tcPr>
          <w:p w14:paraId="7C3740A3" w14:textId="0B714BEC" w:rsidR="00BF79BE" w:rsidRPr="00610B1B" w:rsidRDefault="00BF79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Ограничен достъп до бреговата ивица от изградени затворени комплекси</w:t>
            </w:r>
          </w:p>
        </w:tc>
        <w:tc>
          <w:tcPr>
            <w:tcW w:w="1934" w:type="dxa"/>
            <w:shd w:val="clear" w:color="auto" w:fill="BEE6F0"/>
          </w:tcPr>
          <w:p w14:paraId="6EB7A685" w14:textId="50D36EB8" w:rsidR="00BF79BE" w:rsidRPr="00610B1B" w:rsidRDefault="00BF79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Технологично обслужване</w:t>
            </w:r>
            <w:r w:rsidR="00D66FE0" w:rsidRPr="00610B1B">
              <w:rPr>
                <w:rFonts w:cs="Times New Roman"/>
                <w:color w:val="000000" w:themeColor="text1"/>
                <w:sz w:val="20"/>
                <w:szCs w:val="20"/>
              </w:rPr>
              <w:t xml:space="preserve"> </w:t>
            </w:r>
            <w:r w:rsidRPr="00610B1B">
              <w:rPr>
                <w:rFonts w:cs="Times New Roman"/>
                <w:color w:val="000000" w:themeColor="text1"/>
                <w:sz w:val="20"/>
                <w:szCs w:val="20"/>
              </w:rPr>
              <w:t>и обвързване на</w:t>
            </w:r>
            <w:r w:rsidR="00D66FE0" w:rsidRPr="00610B1B">
              <w:rPr>
                <w:rFonts w:cs="Times New Roman"/>
                <w:color w:val="000000" w:themeColor="text1"/>
                <w:sz w:val="20"/>
                <w:szCs w:val="20"/>
              </w:rPr>
              <w:t xml:space="preserve"> </w:t>
            </w:r>
            <w:r w:rsidRPr="00610B1B">
              <w:rPr>
                <w:rFonts w:cs="Times New Roman"/>
                <w:color w:val="000000" w:themeColor="text1"/>
                <w:sz w:val="20"/>
                <w:szCs w:val="20"/>
              </w:rPr>
              <w:t>морския туризъм с крайбрежния</w:t>
            </w:r>
          </w:p>
        </w:tc>
      </w:tr>
      <w:tr w:rsidR="00BF79BE" w:rsidRPr="005C2B9F" w14:paraId="16F719B9" w14:textId="77777777" w:rsidTr="006F5FF5">
        <w:tc>
          <w:tcPr>
            <w:tcW w:w="1413" w:type="dxa"/>
            <w:vMerge/>
            <w:shd w:val="clear" w:color="auto" w:fill="DBE5F1" w:themeFill="accent1" w:themeFillTint="33"/>
          </w:tcPr>
          <w:p w14:paraId="1D150234" w14:textId="77777777" w:rsidR="00BF79BE" w:rsidRPr="00610B1B" w:rsidRDefault="00BF79BE" w:rsidP="00D32D6A">
            <w:pPr>
              <w:pStyle w:val="BodyText"/>
              <w:spacing w:before="0" w:after="0" w:line="240" w:lineRule="auto"/>
              <w:jc w:val="left"/>
              <w:rPr>
                <w:rFonts w:cs="Times New Roman"/>
                <w:color w:val="000000" w:themeColor="text1"/>
                <w:sz w:val="20"/>
                <w:szCs w:val="20"/>
              </w:rPr>
            </w:pPr>
          </w:p>
        </w:tc>
        <w:tc>
          <w:tcPr>
            <w:tcW w:w="1984" w:type="dxa"/>
          </w:tcPr>
          <w:p w14:paraId="4A02415C" w14:textId="2A4208A1" w:rsidR="00BF79BE" w:rsidRPr="00610B1B" w:rsidRDefault="00BF79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Променена динамиката на брега и пренос на седименти поради множество изградени яхтени пристанища и стоянки</w:t>
            </w:r>
          </w:p>
        </w:tc>
        <w:tc>
          <w:tcPr>
            <w:tcW w:w="1866" w:type="dxa"/>
            <w:shd w:val="clear" w:color="auto" w:fill="BEE6F0"/>
          </w:tcPr>
          <w:p w14:paraId="5392304D" w14:textId="327254E5" w:rsidR="00BF79BE" w:rsidRPr="00610B1B" w:rsidRDefault="001552E0"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Съчетаване </w:t>
            </w:r>
            <w:r w:rsidR="00BF79BE" w:rsidRPr="00610B1B">
              <w:rPr>
                <w:rFonts w:cs="Times New Roman"/>
                <w:color w:val="000000" w:themeColor="text1"/>
                <w:sz w:val="20"/>
                <w:szCs w:val="20"/>
              </w:rPr>
              <w:t>на туристически маршрути и атракции на брега и в акваторията на база културно наследство</w:t>
            </w:r>
          </w:p>
        </w:tc>
        <w:tc>
          <w:tcPr>
            <w:tcW w:w="1820" w:type="dxa"/>
            <w:shd w:val="clear" w:color="auto" w:fill="BEE6F0"/>
          </w:tcPr>
          <w:p w14:paraId="2A53D78F" w14:textId="7538B70F" w:rsidR="00BF79BE" w:rsidRPr="00610B1B" w:rsidRDefault="00BF79BE"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Разкриване на работни места и повишаване на заетостта</w:t>
            </w:r>
          </w:p>
        </w:tc>
        <w:tc>
          <w:tcPr>
            <w:tcW w:w="1934" w:type="dxa"/>
            <w:shd w:val="clear" w:color="auto" w:fill="BEE6F0"/>
          </w:tcPr>
          <w:p w14:paraId="6D815DC4" w14:textId="210799A9" w:rsidR="00BF79BE" w:rsidRPr="00610B1B" w:rsidRDefault="001552E0" w:rsidP="00D32D6A">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Използване </w:t>
            </w:r>
            <w:r w:rsidR="00BF79BE" w:rsidRPr="00610B1B">
              <w:rPr>
                <w:rFonts w:cs="Times New Roman"/>
                <w:color w:val="000000" w:themeColor="text1"/>
                <w:sz w:val="20"/>
                <w:szCs w:val="20"/>
              </w:rPr>
              <w:t>на съвременни технологии за разкриване на подводното културно наследство</w:t>
            </w:r>
          </w:p>
        </w:tc>
      </w:tr>
      <w:tr w:rsidR="00F80626" w:rsidRPr="005C2B9F" w14:paraId="13D19ACC" w14:textId="77777777" w:rsidTr="006F5FF5">
        <w:tc>
          <w:tcPr>
            <w:tcW w:w="1413" w:type="dxa"/>
            <w:vMerge/>
            <w:shd w:val="clear" w:color="auto" w:fill="DBE5F1" w:themeFill="accent1" w:themeFillTint="33"/>
          </w:tcPr>
          <w:p w14:paraId="73238E59"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84" w:type="dxa"/>
          </w:tcPr>
          <w:p w14:paraId="3618F11B" w14:textId="7EC1269F"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Унищожаване на дюнни образувания и загуба на ценни псамофитни видове и местообитания</w:t>
            </w:r>
          </w:p>
        </w:tc>
        <w:tc>
          <w:tcPr>
            <w:tcW w:w="1866" w:type="dxa"/>
            <w:shd w:val="clear" w:color="auto" w:fill="BEE6F0"/>
          </w:tcPr>
          <w:p w14:paraId="75E66D8D" w14:textId="52F3A915"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Обогатяване на предлагането чрез използване на продукти от морето в СПА туризма</w:t>
            </w:r>
          </w:p>
        </w:tc>
        <w:tc>
          <w:tcPr>
            <w:tcW w:w="1820" w:type="dxa"/>
            <w:shd w:val="clear" w:color="auto" w:fill="BEE6F0"/>
          </w:tcPr>
          <w:p w14:paraId="2405A4C6" w14:textId="68AA6644"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Повишени приходи от туристическа дейност за местните общности</w:t>
            </w:r>
          </w:p>
        </w:tc>
        <w:tc>
          <w:tcPr>
            <w:tcW w:w="1934" w:type="dxa"/>
            <w:shd w:val="clear" w:color="auto" w:fill="BEE6F0"/>
          </w:tcPr>
          <w:p w14:paraId="078EFECC" w14:textId="6C221E29"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Съвременни биотехнологии във фармацевтичната и козметичната индустрия</w:t>
            </w:r>
          </w:p>
        </w:tc>
      </w:tr>
      <w:tr w:rsidR="00F80626" w:rsidRPr="005C2B9F" w14:paraId="211ACDD4" w14:textId="77777777" w:rsidTr="00136FB2">
        <w:tc>
          <w:tcPr>
            <w:tcW w:w="1413" w:type="dxa"/>
            <w:vMerge/>
            <w:shd w:val="clear" w:color="auto" w:fill="DBE5F1" w:themeFill="accent1" w:themeFillTint="33"/>
          </w:tcPr>
          <w:p w14:paraId="1DF319B4"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84" w:type="dxa"/>
          </w:tcPr>
          <w:p w14:paraId="122DCE3C" w14:textId="60902120" w:rsidR="00F80626" w:rsidRPr="00610B1B" w:rsidRDefault="00F80626" w:rsidP="00F80626">
            <w:pPr>
              <w:pStyle w:val="BodyText"/>
              <w:spacing w:before="0" w:after="0" w:line="240" w:lineRule="auto"/>
              <w:jc w:val="left"/>
              <w:rPr>
                <w:rFonts w:cs="Times New Roman"/>
                <w:sz w:val="20"/>
                <w:szCs w:val="20"/>
              </w:rPr>
            </w:pPr>
            <w:r w:rsidRPr="00610B1B">
              <w:rPr>
                <w:rFonts w:cs="Times New Roman"/>
                <w:sz w:val="20"/>
                <w:szCs w:val="20"/>
              </w:rPr>
              <w:t xml:space="preserve">Свръхурбанизация, небалансирано застрояване, разпръснати селищни елементи, концентрация и висока интензивност в и </w:t>
            </w:r>
            <w:r w:rsidRPr="00610B1B">
              <w:rPr>
                <w:rFonts w:cs="Times New Roman"/>
                <w:sz w:val="20"/>
                <w:szCs w:val="20"/>
              </w:rPr>
              <w:lastRenderedPageBreak/>
              <w:t>около зона „А“ с вредни въздействия върху околната среда, инфраструктурата и удовлетвореността от контакта с крайбрежието и морските пространства.</w:t>
            </w:r>
          </w:p>
        </w:tc>
        <w:tc>
          <w:tcPr>
            <w:tcW w:w="1866" w:type="dxa"/>
            <w:shd w:val="clear" w:color="auto" w:fill="auto"/>
          </w:tcPr>
          <w:p w14:paraId="024D7DFC" w14:textId="1453C0AA"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820" w:type="dxa"/>
            <w:shd w:val="clear" w:color="auto" w:fill="auto"/>
          </w:tcPr>
          <w:p w14:paraId="71E6EA23" w14:textId="2ECA7576"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34" w:type="dxa"/>
            <w:shd w:val="clear" w:color="auto" w:fill="auto"/>
          </w:tcPr>
          <w:p w14:paraId="42B12665" w14:textId="2808EAFD" w:rsidR="00F80626" w:rsidRPr="00610B1B" w:rsidRDefault="00F80626" w:rsidP="00F80626">
            <w:pPr>
              <w:pStyle w:val="BodyText"/>
              <w:spacing w:before="0" w:after="0" w:line="240" w:lineRule="auto"/>
              <w:jc w:val="left"/>
              <w:rPr>
                <w:rFonts w:cs="Times New Roman"/>
                <w:color w:val="000000" w:themeColor="text1"/>
                <w:sz w:val="20"/>
                <w:szCs w:val="20"/>
              </w:rPr>
            </w:pPr>
          </w:p>
        </w:tc>
      </w:tr>
      <w:tr w:rsidR="00F80626" w:rsidRPr="005C2B9F" w14:paraId="5EBDC936" w14:textId="77777777" w:rsidTr="006F5FF5">
        <w:tc>
          <w:tcPr>
            <w:tcW w:w="1413" w:type="dxa"/>
            <w:vMerge w:val="restart"/>
            <w:shd w:val="clear" w:color="auto" w:fill="DBE5F1" w:themeFill="accent1" w:themeFillTint="33"/>
            <w:vAlign w:val="center"/>
          </w:tcPr>
          <w:p w14:paraId="4716759B" w14:textId="26CA59DA"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Техническа инфраструктура</w:t>
            </w:r>
          </w:p>
        </w:tc>
        <w:tc>
          <w:tcPr>
            <w:tcW w:w="1984" w:type="dxa"/>
          </w:tcPr>
          <w:p w14:paraId="43AA984B" w14:textId="2861D44B"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Деградация или загуба на хабитати от изграждането на подводната инфраструктура</w:t>
            </w:r>
          </w:p>
        </w:tc>
        <w:tc>
          <w:tcPr>
            <w:tcW w:w="1866" w:type="dxa"/>
            <w:shd w:val="clear" w:color="auto" w:fill="BEE6F0"/>
          </w:tcPr>
          <w:p w14:paraId="02A15F0D" w14:textId="2F6C474A"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Подобряване обслужването на крайбрежната инфраструктура и обекти</w:t>
            </w:r>
          </w:p>
        </w:tc>
        <w:tc>
          <w:tcPr>
            <w:tcW w:w="1820" w:type="dxa"/>
            <w:shd w:val="clear" w:color="auto" w:fill="BEE6F0"/>
          </w:tcPr>
          <w:p w14:paraId="03C8151F" w14:textId="353CE667"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Създаване на работни места и заетост по време на изграждане/полагане на кабели/проводи</w:t>
            </w:r>
          </w:p>
        </w:tc>
        <w:tc>
          <w:tcPr>
            <w:tcW w:w="1934" w:type="dxa"/>
            <w:shd w:val="clear" w:color="auto" w:fill="BEE6F0"/>
          </w:tcPr>
          <w:p w14:paraId="2DDEFDDD" w14:textId="64222495"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Връзки с наземната техническа инфраструктура</w:t>
            </w:r>
          </w:p>
        </w:tc>
      </w:tr>
      <w:tr w:rsidR="00F80626" w:rsidRPr="005C2B9F" w14:paraId="0348AB1C" w14:textId="77777777" w:rsidTr="006F5FF5">
        <w:tc>
          <w:tcPr>
            <w:tcW w:w="1413" w:type="dxa"/>
            <w:vMerge/>
            <w:shd w:val="clear" w:color="auto" w:fill="DBE5F1" w:themeFill="accent1" w:themeFillTint="33"/>
          </w:tcPr>
          <w:p w14:paraId="3C4D5219"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84" w:type="dxa"/>
          </w:tcPr>
          <w:p w14:paraId="7D536384" w14:textId="76224744"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Риск от разрушаване на културни ценности на морското дъно</w:t>
            </w:r>
          </w:p>
        </w:tc>
        <w:tc>
          <w:tcPr>
            <w:tcW w:w="1866" w:type="dxa"/>
          </w:tcPr>
          <w:p w14:paraId="031DC860"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820" w:type="dxa"/>
          </w:tcPr>
          <w:p w14:paraId="289CC373"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34" w:type="dxa"/>
            <w:shd w:val="clear" w:color="auto" w:fill="BEE6F0"/>
          </w:tcPr>
          <w:p w14:paraId="2102CB94" w14:textId="18D43E20"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Стимулиране технологичното обновяване на пристанищата</w:t>
            </w:r>
          </w:p>
        </w:tc>
      </w:tr>
      <w:tr w:rsidR="00F80626" w:rsidRPr="005C2B9F" w14:paraId="240BB6C6" w14:textId="77777777" w:rsidTr="001E3FED">
        <w:tc>
          <w:tcPr>
            <w:tcW w:w="1413" w:type="dxa"/>
            <w:shd w:val="clear" w:color="auto" w:fill="DBE5F1" w:themeFill="accent1" w:themeFillTint="33"/>
          </w:tcPr>
          <w:p w14:paraId="22FC3D57" w14:textId="7A4BC62A"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Проучване и добив на неживи ресурси</w:t>
            </w:r>
          </w:p>
        </w:tc>
        <w:tc>
          <w:tcPr>
            <w:tcW w:w="1984" w:type="dxa"/>
          </w:tcPr>
          <w:p w14:paraId="41C9FB36" w14:textId="2AC45562"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Потенциален риск от замърсяване с нефтопродукти, разрушаване на морското дъно, подводен шум.</w:t>
            </w:r>
          </w:p>
        </w:tc>
        <w:tc>
          <w:tcPr>
            <w:tcW w:w="1866" w:type="dxa"/>
          </w:tcPr>
          <w:p w14:paraId="7CB720D4"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820" w:type="dxa"/>
          </w:tcPr>
          <w:p w14:paraId="18735988"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34" w:type="dxa"/>
            <w:shd w:val="clear" w:color="auto" w:fill="auto"/>
          </w:tcPr>
          <w:p w14:paraId="1C3E7B45"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r>
      <w:tr w:rsidR="00F80626" w:rsidRPr="005C2B9F" w14:paraId="3DF25967" w14:textId="77777777" w:rsidTr="006F5FF5">
        <w:tc>
          <w:tcPr>
            <w:tcW w:w="1413" w:type="dxa"/>
            <w:vMerge w:val="restart"/>
            <w:shd w:val="clear" w:color="auto" w:fill="DBE5F1" w:themeFill="accent1" w:themeFillTint="33"/>
            <w:vAlign w:val="center"/>
          </w:tcPr>
          <w:p w14:paraId="539AF2D1" w14:textId="0E69464D"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Военни учения</w:t>
            </w:r>
          </w:p>
        </w:tc>
        <w:tc>
          <w:tcPr>
            <w:tcW w:w="1984" w:type="dxa"/>
          </w:tcPr>
          <w:p w14:paraId="7A621683" w14:textId="1437C4B9"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Замърсяване на околната среда, повишен подводен шум</w:t>
            </w:r>
          </w:p>
        </w:tc>
        <w:tc>
          <w:tcPr>
            <w:tcW w:w="1866" w:type="dxa"/>
          </w:tcPr>
          <w:p w14:paraId="20069095" w14:textId="085B44CF"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Ограничаване на възможностите за риболов в зоните със забрани за ползване</w:t>
            </w:r>
          </w:p>
        </w:tc>
        <w:tc>
          <w:tcPr>
            <w:tcW w:w="1820" w:type="dxa"/>
          </w:tcPr>
          <w:p w14:paraId="36E57AAC" w14:textId="5C2986C5"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Конфликт със зоните за туризъм и рекреация по време на учения</w:t>
            </w:r>
          </w:p>
        </w:tc>
        <w:tc>
          <w:tcPr>
            <w:tcW w:w="1934" w:type="dxa"/>
            <w:shd w:val="clear" w:color="auto" w:fill="BEE6F0"/>
          </w:tcPr>
          <w:p w14:paraId="1C9FEA75" w14:textId="7EFA0FBF"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Логистични връзки с бреговата инфраструктура – пристанища, котвени стоянки, полигони и др.</w:t>
            </w:r>
          </w:p>
        </w:tc>
      </w:tr>
      <w:tr w:rsidR="00F80626" w:rsidRPr="005C2B9F" w14:paraId="2BCD2546" w14:textId="77777777" w:rsidTr="001E3FED">
        <w:tc>
          <w:tcPr>
            <w:tcW w:w="1413" w:type="dxa"/>
            <w:vMerge/>
            <w:shd w:val="clear" w:color="auto" w:fill="DBE5F1" w:themeFill="accent1" w:themeFillTint="33"/>
            <w:vAlign w:val="center"/>
          </w:tcPr>
          <w:p w14:paraId="5B14631B"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84" w:type="dxa"/>
          </w:tcPr>
          <w:p w14:paraId="382AF812" w14:textId="183E2F1D"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Несъвместимост със зоните за отглеждане на аквакултури</w:t>
            </w:r>
          </w:p>
        </w:tc>
        <w:tc>
          <w:tcPr>
            <w:tcW w:w="1866" w:type="dxa"/>
          </w:tcPr>
          <w:p w14:paraId="637BAEA4"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820" w:type="dxa"/>
          </w:tcPr>
          <w:p w14:paraId="1AE7BD32" w14:textId="562F1805"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Близостта на СРД до райони за военни учения -предпоставка за възникване на инциденти по сигурността и безопасността</w:t>
            </w:r>
          </w:p>
        </w:tc>
        <w:tc>
          <w:tcPr>
            <w:tcW w:w="1934" w:type="dxa"/>
          </w:tcPr>
          <w:p w14:paraId="4751E50E" w14:textId="45D32279"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Припокриване на зоните с различни режими на ползване</w:t>
            </w:r>
          </w:p>
        </w:tc>
      </w:tr>
      <w:tr w:rsidR="00F80626" w:rsidRPr="005C2B9F" w14:paraId="71342EEC" w14:textId="77777777" w:rsidTr="006F5FF5">
        <w:tc>
          <w:tcPr>
            <w:tcW w:w="1413" w:type="dxa"/>
            <w:vMerge w:val="restart"/>
            <w:shd w:val="clear" w:color="auto" w:fill="DBE5F1" w:themeFill="accent1" w:themeFillTint="33"/>
            <w:vAlign w:val="center"/>
          </w:tcPr>
          <w:p w14:paraId="1B6B0F0F" w14:textId="6A89F46A"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Културно наследство</w:t>
            </w:r>
          </w:p>
        </w:tc>
        <w:tc>
          <w:tcPr>
            <w:tcW w:w="1984" w:type="dxa"/>
          </w:tcPr>
          <w:p w14:paraId="752D7761" w14:textId="71BBFC97"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Минимални отрицателни въздействия около НКЦ в ареала на брега и попадащи в защитени зони - замърсяване на средата в резултат на увеличен туристически поток. </w:t>
            </w:r>
          </w:p>
        </w:tc>
        <w:tc>
          <w:tcPr>
            <w:tcW w:w="1866" w:type="dxa"/>
            <w:shd w:val="clear" w:color="auto" w:fill="BEE6F0"/>
          </w:tcPr>
          <w:p w14:paraId="6C49C8A2" w14:textId="7DA84462"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Силен фактор за развитие на културния туризъм, благодарение на който последният би могъл да повиши приноса си към БВП</w:t>
            </w:r>
          </w:p>
        </w:tc>
        <w:tc>
          <w:tcPr>
            <w:tcW w:w="1820" w:type="dxa"/>
            <w:shd w:val="clear" w:color="auto" w:fill="BEE6F0"/>
          </w:tcPr>
          <w:p w14:paraId="65A2ED8E" w14:textId="0B3FE5AE"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Нови работни места в целогодишен културен туризъм, който предоставя възможност и за взаимодействие на локално, общинско и областно ниво. </w:t>
            </w:r>
          </w:p>
        </w:tc>
        <w:tc>
          <w:tcPr>
            <w:tcW w:w="1934" w:type="dxa"/>
            <w:shd w:val="clear" w:color="auto" w:fill="BEE6F0"/>
          </w:tcPr>
          <w:p w14:paraId="3680406C" w14:textId="64566A0E"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Използване на съвременни технологии за експониране на подводното културно наследство</w:t>
            </w:r>
          </w:p>
        </w:tc>
      </w:tr>
      <w:tr w:rsidR="00F80626" w:rsidRPr="005C2B9F" w14:paraId="3FC44213" w14:textId="77777777" w:rsidTr="006F5FF5">
        <w:tc>
          <w:tcPr>
            <w:tcW w:w="1413" w:type="dxa"/>
            <w:vMerge/>
            <w:shd w:val="clear" w:color="auto" w:fill="DBE5F1" w:themeFill="accent1" w:themeFillTint="33"/>
          </w:tcPr>
          <w:p w14:paraId="01270F7F"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84" w:type="dxa"/>
          </w:tcPr>
          <w:p w14:paraId="528A1E5A" w14:textId="2A6C3F8D"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Слаба вероятност от замърсяване на морската вода вследствие интензивен туристически интерес към </w:t>
            </w:r>
            <w:r w:rsidRPr="00610B1B">
              <w:rPr>
                <w:rFonts w:cs="Times New Roman"/>
                <w:color w:val="000000" w:themeColor="text1"/>
                <w:sz w:val="20"/>
                <w:szCs w:val="20"/>
              </w:rPr>
              <w:lastRenderedPageBreak/>
              <w:t>подводното наследство, когато то бъде експонирано.</w:t>
            </w:r>
          </w:p>
        </w:tc>
        <w:tc>
          <w:tcPr>
            <w:tcW w:w="1866" w:type="dxa"/>
          </w:tcPr>
          <w:p w14:paraId="17BB4AC6" w14:textId="686C66FA"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lastRenderedPageBreak/>
              <w:t>Необходимост от инфраструктурни намеси, целящи социализиране на НКЦ и прилежащите му пространства.</w:t>
            </w:r>
          </w:p>
        </w:tc>
        <w:tc>
          <w:tcPr>
            <w:tcW w:w="1820" w:type="dxa"/>
            <w:shd w:val="clear" w:color="auto" w:fill="BEE6F0"/>
          </w:tcPr>
          <w:p w14:paraId="07305856" w14:textId="21B7767D"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Повишаване нивото на обща култура и придобиване на научно познание, както на местните жители, така и на </w:t>
            </w:r>
            <w:r w:rsidRPr="00610B1B">
              <w:rPr>
                <w:rFonts w:cs="Times New Roman"/>
                <w:color w:val="000000" w:themeColor="text1"/>
                <w:sz w:val="20"/>
                <w:szCs w:val="20"/>
              </w:rPr>
              <w:lastRenderedPageBreak/>
              <w:t>туристите</w:t>
            </w:r>
          </w:p>
        </w:tc>
        <w:tc>
          <w:tcPr>
            <w:tcW w:w="1934" w:type="dxa"/>
            <w:shd w:val="clear" w:color="auto" w:fill="BEE6F0"/>
          </w:tcPr>
          <w:p w14:paraId="64B99CE1" w14:textId="17AB758B"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lastRenderedPageBreak/>
              <w:t xml:space="preserve">Прилагане на нови технологии в обекти обслужващи КН в неговия широк диапазон - материално, нематериално, </w:t>
            </w:r>
            <w:r w:rsidRPr="00610B1B">
              <w:rPr>
                <w:rFonts w:cs="Times New Roman"/>
                <w:color w:val="000000" w:themeColor="text1"/>
                <w:sz w:val="20"/>
                <w:szCs w:val="20"/>
              </w:rPr>
              <w:lastRenderedPageBreak/>
              <w:t>движимо и недвижимо, на сушата и под вода</w:t>
            </w:r>
          </w:p>
        </w:tc>
      </w:tr>
      <w:tr w:rsidR="00F80626" w:rsidRPr="005C2B9F" w14:paraId="0CF2EB22" w14:textId="77777777" w:rsidTr="006F5FF5">
        <w:tc>
          <w:tcPr>
            <w:tcW w:w="1413" w:type="dxa"/>
            <w:vMerge/>
            <w:shd w:val="clear" w:color="auto" w:fill="DBE5F1" w:themeFill="accent1" w:themeFillTint="33"/>
          </w:tcPr>
          <w:p w14:paraId="1704454C"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84" w:type="dxa"/>
          </w:tcPr>
          <w:p w14:paraId="07CD1E6F" w14:textId="57D3D3A1"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Навлизане в горски територии за належащи археологически проучвания на НКЦ, необходими за последващи дейности по опазване на обектите. </w:t>
            </w:r>
          </w:p>
          <w:p w14:paraId="19E32EAE" w14:textId="2DBB5688"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Регулируем процес при синхронизация на ЗКН с другите нормативни актове</w:t>
            </w:r>
          </w:p>
        </w:tc>
        <w:tc>
          <w:tcPr>
            <w:tcW w:w="1866" w:type="dxa"/>
            <w:shd w:val="clear" w:color="auto" w:fill="BEE6F0"/>
          </w:tcPr>
          <w:p w14:paraId="3B829A49" w14:textId="33D707F6"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Силно взаимодействие между обектите на суша и под вода, с положителен ефект в съпътстващи сфери - морски атракционен транспорт, риболов и др. </w:t>
            </w:r>
          </w:p>
        </w:tc>
        <w:tc>
          <w:tcPr>
            <w:tcW w:w="1820" w:type="dxa"/>
            <w:shd w:val="clear" w:color="auto" w:fill="BEE6F0"/>
          </w:tcPr>
          <w:p w14:paraId="1C65AA87" w14:textId="313BE6CE"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Развитие на научна дейност за проучване и изучаване на културното наследство под вода, предполагаща привличане на специалисти от различни области, които да работят на място и през четирите сезона.</w:t>
            </w:r>
          </w:p>
        </w:tc>
        <w:tc>
          <w:tcPr>
            <w:tcW w:w="1934" w:type="dxa"/>
            <w:shd w:val="clear" w:color="auto" w:fill="BEE6F0"/>
          </w:tcPr>
          <w:p w14:paraId="034BC5E1" w14:textId="0EC9FDE1"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Изграждане на високо-технологичен научен център за изследване на обектите на културното наследство в най- широк диапазон, както и на всички други аспекти, дали отражение върху тяхното възникване.</w:t>
            </w:r>
          </w:p>
        </w:tc>
      </w:tr>
      <w:tr w:rsidR="00F80626" w:rsidRPr="005C2B9F" w14:paraId="3B1BDC6D" w14:textId="77777777" w:rsidTr="006F5FF5">
        <w:tc>
          <w:tcPr>
            <w:tcW w:w="1413" w:type="dxa"/>
            <w:vMerge/>
            <w:shd w:val="clear" w:color="auto" w:fill="DBE5F1" w:themeFill="accent1" w:themeFillTint="33"/>
          </w:tcPr>
          <w:p w14:paraId="2386039C"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84" w:type="dxa"/>
            <w:shd w:val="clear" w:color="auto" w:fill="BEE6F0"/>
          </w:tcPr>
          <w:p w14:paraId="67454957" w14:textId="556C433B"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Допълнителен положителен ефект и синергия със защитата на природните ценности при ограничаване на дейностите за опазване на НКЦ.</w:t>
            </w:r>
          </w:p>
        </w:tc>
        <w:tc>
          <w:tcPr>
            <w:tcW w:w="1866" w:type="dxa"/>
            <w:shd w:val="clear" w:color="auto" w:fill="BEE6F0"/>
          </w:tcPr>
          <w:p w14:paraId="681B8E5B" w14:textId="4B004FB8"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Налагане на България като качествена туристическа дестинация и взаимно допълване на ползите от опазването на НКЦ на сушата и под вода. </w:t>
            </w:r>
          </w:p>
        </w:tc>
        <w:tc>
          <w:tcPr>
            <w:tcW w:w="1820" w:type="dxa"/>
            <w:shd w:val="clear" w:color="auto" w:fill="BEE6F0"/>
          </w:tcPr>
          <w:p w14:paraId="04312DA7" w14:textId="02DABD1A"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Интегрирани работни места – на сушата и в морето по опазване на НКЦ.</w:t>
            </w:r>
          </w:p>
        </w:tc>
        <w:tc>
          <w:tcPr>
            <w:tcW w:w="1934" w:type="dxa"/>
            <w:shd w:val="clear" w:color="auto" w:fill="BEE6F0"/>
          </w:tcPr>
          <w:p w14:paraId="6DB1050E" w14:textId="68B11656"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Необходимост от инвестиции в съвременни технологии, съоръжения и апаратура за подводни изследвания.</w:t>
            </w:r>
          </w:p>
        </w:tc>
      </w:tr>
      <w:tr w:rsidR="00F80626" w:rsidRPr="005C2B9F" w14:paraId="6C6E8149" w14:textId="77777777" w:rsidTr="006F5FF5">
        <w:tc>
          <w:tcPr>
            <w:tcW w:w="1413" w:type="dxa"/>
            <w:vMerge w:val="restart"/>
            <w:shd w:val="clear" w:color="auto" w:fill="DBE5F1" w:themeFill="accent1" w:themeFillTint="33"/>
            <w:vAlign w:val="center"/>
          </w:tcPr>
          <w:p w14:paraId="171F5CBE" w14:textId="6169C2F7"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Опазване на околната среда</w:t>
            </w:r>
          </w:p>
        </w:tc>
        <w:tc>
          <w:tcPr>
            <w:tcW w:w="1984" w:type="dxa"/>
            <w:shd w:val="clear" w:color="auto" w:fill="BEE6F0"/>
          </w:tcPr>
          <w:p w14:paraId="2935B1E7" w14:textId="269CBDAA"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Подпомагане прилагането на Програмата от мерки към МС и подобряване състоянието на морската околна среда в съответствие с РДВ, РДМС, ДБР.</w:t>
            </w:r>
          </w:p>
        </w:tc>
        <w:tc>
          <w:tcPr>
            <w:tcW w:w="1866" w:type="dxa"/>
            <w:shd w:val="clear" w:color="auto" w:fill="BEE6F0"/>
          </w:tcPr>
          <w:p w14:paraId="0BF6AC55" w14:textId="46CECE93"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Възстановяване на екосистемни услуги с принос към БВП</w:t>
            </w:r>
          </w:p>
        </w:tc>
        <w:tc>
          <w:tcPr>
            <w:tcW w:w="1820" w:type="dxa"/>
            <w:shd w:val="clear" w:color="auto" w:fill="BEE6F0"/>
          </w:tcPr>
          <w:p w14:paraId="113E0250" w14:textId="2115F6EA"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Повишаване на екологичната култура и отношение към морето чрез подходящи публични събития, съпътстващи обсъждането на МППРБ</w:t>
            </w:r>
          </w:p>
        </w:tc>
        <w:tc>
          <w:tcPr>
            <w:tcW w:w="1934" w:type="dxa"/>
            <w:shd w:val="clear" w:color="auto" w:fill="BEE6F0"/>
          </w:tcPr>
          <w:p w14:paraId="12EB6AD7" w14:textId="2FDA5BE1" w:rsidR="00F80626" w:rsidRPr="00610B1B" w:rsidRDefault="00F80626" w:rsidP="00F80626">
            <w:pPr>
              <w:pStyle w:val="BodyText"/>
              <w:spacing w:before="0" w:after="0" w:line="240" w:lineRule="auto"/>
              <w:jc w:val="left"/>
              <w:rPr>
                <w:rFonts w:cs="Times New Roman"/>
                <w:color w:val="000000" w:themeColor="text1"/>
                <w:sz w:val="20"/>
                <w:szCs w:val="20"/>
              </w:rPr>
            </w:pPr>
          </w:p>
        </w:tc>
      </w:tr>
      <w:tr w:rsidR="00F80626" w:rsidRPr="005C2B9F" w14:paraId="78027D28" w14:textId="77777777" w:rsidTr="006F5FF5">
        <w:tc>
          <w:tcPr>
            <w:tcW w:w="1413" w:type="dxa"/>
            <w:vMerge/>
            <w:shd w:val="clear" w:color="auto" w:fill="DBE5F1" w:themeFill="accent1" w:themeFillTint="33"/>
          </w:tcPr>
          <w:p w14:paraId="000345A6"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84" w:type="dxa"/>
            <w:shd w:val="clear" w:color="auto" w:fill="BEE6F0"/>
          </w:tcPr>
          <w:p w14:paraId="1893B245" w14:textId="111747EE"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Подобряване на ефективността на брегозащитните съоръжения </w:t>
            </w:r>
          </w:p>
        </w:tc>
        <w:tc>
          <w:tcPr>
            <w:tcW w:w="1866" w:type="dxa"/>
            <w:shd w:val="clear" w:color="auto" w:fill="BEE6F0"/>
          </w:tcPr>
          <w:p w14:paraId="752AC70C" w14:textId="229FD4BE"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Положителен ефект от приложени научни изследвания на морето и взаимодействията с крайбрежната зона</w:t>
            </w:r>
          </w:p>
        </w:tc>
        <w:tc>
          <w:tcPr>
            <w:tcW w:w="1820" w:type="dxa"/>
            <w:shd w:val="clear" w:color="auto" w:fill="BEE6F0"/>
          </w:tcPr>
          <w:p w14:paraId="0523180D" w14:textId="68B14148"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Завишен интерес към нови дейности от местните общности и бизнеса, свързани с опазването на морската околна среда</w:t>
            </w:r>
          </w:p>
        </w:tc>
        <w:tc>
          <w:tcPr>
            <w:tcW w:w="1934" w:type="dxa"/>
            <w:shd w:val="clear" w:color="auto" w:fill="BEE6F0"/>
          </w:tcPr>
          <w:p w14:paraId="2E5E702F" w14:textId="132334ED"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Прилагане на нови методи в брегозащитата и брегоукрепването.</w:t>
            </w:r>
          </w:p>
        </w:tc>
      </w:tr>
      <w:tr w:rsidR="00F80626" w:rsidRPr="005C2B9F" w14:paraId="415D93F3" w14:textId="77777777" w:rsidTr="006F5FF5">
        <w:tc>
          <w:tcPr>
            <w:tcW w:w="1413" w:type="dxa"/>
            <w:vMerge/>
            <w:shd w:val="clear" w:color="auto" w:fill="DBE5F1" w:themeFill="accent1" w:themeFillTint="33"/>
          </w:tcPr>
          <w:p w14:paraId="44E86AA9"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84" w:type="dxa"/>
            <w:shd w:val="clear" w:color="auto" w:fill="BEE6F0"/>
          </w:tcPr>
          <w:p w14:paraId="2350C125" w14:textId="3218964E"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Подобряване състоянието на дънните местообитания, в резултат на екологично обосновани методи и схема за брегозащита</w:t>
            </w:r>
          </w:p>
        </w:tc>
        <w:tc>
          <w:tcPr>
            <w:tcW w:w="1866" w:type="dxa"/>
            <w:shd w:val="clear" w:color="auto" w:fill="BEE6F0"/>
          </w:tcPr>
          <w:p w14:paraId="6C0E638F" w14:textId="4A7064E3"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Намаляване на разходите за отстраняване на щети от свлачища, ерозионни и абразионни процеси</w:t>
            </w:r>
          </w:p>
        </w:tc>
        <w:tc>
          <w:tcPr>
            <w:tcW w:w="1820" w:type="dxa"/>
            <w:shd w:val="clear" w:color="auto" w:fill="BEE6F0"/>
          </w:tcPr>
          <w:p w14:paraId="7F0E4AD9" w14:textId="1ED1DE44"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Подобряване на ефективността в опазването на критичната инфраструктура.</w:t>
            </w:r>
          </w:p>
        </w:tc>
        <w:tc>
          <w:tcPr>
            <w:tcW w:w="1934" w:type="dxa"/>
            <w:shd w:val="clear" w:color="auto" w:fill="BEE6F0"/>
          </w:tcPr>
          <w:p w14:paraId="625A683B" w14:textId="5FBE0C35"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Повишаване на контрола и намаляване на натиска от стопански риболов, чрез нови технологии за отчитане на движението и дейността на </w:t>
            </w:r>
            <w:r w:rsidRPr="00610B1B">
              <w:rPr>
                <w:rFonts w:cs="Times New Roman"/>
                <w:color w:val="000000" w:themeColor="text1"/>
                <w:sz w:val="20"/>
                <w:szCs w:val="20"/>
              </w:rPr>
              <w:lastRenderedPageBreak/>
              <w:t xml:space="preserve">риболовните кораби. </w:t>
            </w:r>
          </w:p>
        </w:tc>
      </w:tr>
      <w:tr w:rsidR="00F80626" w:rsidRPr="005C2B9F" w14:paraId="2D8795C6" w14:textId="77777777" w:rsidTr="006F5FF5">
        <w:tc>
          <w:tcPr>
            <w:tcW w:w="1413" w:type="dxa"/>
            <w:vMerge/>
            <w:shd w:val="clear" w:color="auto" w:fill="DBE5F1" w:themeFill="accent1" w:themeFillTint="33"/>
          </w:tcPr>
          <w:p w14:paraId="30E85473"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84" w:type="dxa"/>
            <w:shd w:val="clear" w:color="auto" w:fill="BEE6F0"/>
          </w:tcPr>
          <w:p w14:paraId="5BFC7E1E" w14:textId="725C2A73"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Намаляване на нивата на замърсяване до допустимите за морските екосистеми стойности чрез завишен контрол върху дейностите в крайбрежната зона и в акваторията. </w:t>
            </w:r>
          </w:p>
        </w:tc>
        <w:tc>
          <w:tcPr>
            <w:tcW w:w="1866" w:type="dxa"/>
            <w:shd w:val="clear" w:color="auto" w:fill="BEE6F0"/>
          </w:tcPr>
          <w:p w14:paraId="007F2389" w14:textId="51AD4270"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Намаляване на разходите за отстраняване на стари и нововъзникнали замърсявания на морската околна среда и прилежащата крайбрежна зона.</w:t>
            </w:r>
          </w:p>
        </w:tc>
        <w:tc>
          <w:tcPr>
            <w:tcW w:w="1820" w:type="dxa"/>
            <w:shd w:val="clear" w:color="auto" w:fill="BEE6F0"/>
          </w:tcPr>
          <w:p w14:paraId="2883020F" w14:textId="675E9783"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Ефективно и интегрирано управление на морски и крайбрежни местообитания, с принос към биологичното разнообразие и екосистемните услуги. </w:t>
            </w:r>
          </w:p>
        </w:tc>
        <w:tc>
          <w:tcPr>
            <w:tcW w:w="1934" w:type="dxa"/>
            <w:shd w:val="clear" w:color="auto" w:fill="BEE6F0"/>
          </w:tcPr>
          <w:p w14:paraId="44F2B146" w14:textId="02141739"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Повишаване на интереса към научни изследвания за управление на отпадъците в морската среда.</w:t>
            </w:r>
          </w:p>
        </w:tc>
      </w:tr>
      <w:tr w:rsidR="00F80626" w:rsidRPr="005C2B9F" w14:paraId="1C52DD19" w14:textId="77777777" w:rsidTr="006F5FF5">
        <w:tc>
          <w:tcPr>
            <w:tcW w:w="1413" w:type="dxa"/>
            <w:vMerge/>
            <w:shd w:val="clear" w:color="auto" w:fill="DBE5F1" w:themeFill="accent1" w:themeFillTint="33"/>
          </w:tcPr>
          <w:p w14:paraId="13EEE872"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84" w:type="dxa"/>
            <w:shd w:val="clear" w:color="auto" w:fill="BEE6F0"/>
          </w:tcPr>
          <w:p w14:paraId="4F580C18" w14:textId="03A83F43"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 xml:space="preserve">Намаляване нивата на подводния шум в защитените зони чрез регулиране на трафика и насочване към избрани корабни маршрути и обособяване на „тихи зони“. </w:t>
            </w:r>
          </w:p>
        </w:tc>
        <w:tc>
          <w:tcPr>
            <w:tcW w:w="1866" w:type="dxa"/>
            <w:shd w:val="clear" w:color="auto" w:fill="BEE6F0"/>
          </w:tcPr>
          <w:p w14:paraId="7FD4D4C6" w14:textId="28F91843" w:rsidR="00F80626" w:rsidRPr="00610B1B" w:rsidRDefault="00F80626" w:rsidP="00F80626">
            <w:pPr>
              <w:pStyle w:val="BodyText"/>
              <w:spacing w:before="0" w:after="0" w:line="240" w:lineRule="auto"/>
              <w:jc w:val="left"/>
              <w:rPr>
                <w:rFonts w:cs="Times New Roman"/>
                <w:color w:val="000000" w:themeColor="text1"/>
                <w:sz w:val="20"/>
                <w:szCs w:val="20"/>
              </w:rPr>
            </w:pPr>
            <w:r w:rsidRPr="00610B1B">
              <w:rPr>
                <w:rFonts w:cs="Times New Roman"/>
                <w:color w:val="000000" w:themeColor="text1"/>
                <w:sz w:val="20"/>
                <w:szCs w:val="20"/>
              </w:rPr>
              <w:t>Въвеждане на принципите на кръговата икономика в секторите на морската икономика.</w:t>
            </w:r>
          </w:p>
        </w:tc>
        <w:tc>
          <w:tcPr>
            <w:tcW w:w="1820" w:type="dxa"/>
            <w:shd w:val="clear" w:color="auto" w:fill="auto"/>
          </w:tcPr>
          <w:p w14:paraId="22F3AAE4"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c>
          <w:tcPr>
            <w:tcW w:w="1934" w:type="dxa"/>
            <w:shd w:val="clear" w:color="auto" w:fill="auto"/>
          </w:tcPr>
          <w:p w14:paraId="78EFA326" w14:textId="77777777" w:rsidR="00F80626" w:rsidRPr="00610B1B" w:rsidRDefault="00F80626" w:rsidP="00F80626">
            <w:pPr>
              <w:pStyle w:val="BodyText"/>
              <w:spacing w:before="0" w:after="0" w:line="240" w:lineRule="auto"/>
              <w:jc w:val="left"/>
              <w:rPr>
                <w:rFonts w:cs="Times New Roman"/>
                <w:color w:val="000000" w:themeColor="text1"/>
                <w:sz w:val="20"/>
                <w:szCs w:val="20"/>
              </w:rPr>
            </w:pPr>
          </w:p>
        </w:tc>
      </w:tr>
    </w:tbl>
    <w:p w14:paraId="1F54AE32" w14:textId="7F52C4FC" w:rsidR="00633377" w:rsidRPr="00610B1B" w:rsidRDefault="00633377" w:rsidP="006543DF">
      <w:pPr>
        <w:pStyle w:val="BodyText"/>
        <w:spacing w:before="120" w:after="120" w:line="276" w:lineRule="auto"/>
        <w:rPr>
          <w:rFonts w:cs="Times New Roman"/>
        </w:rPr>
      </w:pPr>
      <w:r w:rsidRPr="00610B1B">
        <w:rPr>
          <w:rFonts w:cs="Times New Roman"/>
          <w:noProof/>
          <w:lang w:eastAsia="bg-BG" w:bidi="ar-SA"/>
        </w:rPr>
        <mc:AlternateContent>
          <mc:Choice Requires="wps">
            <w:drawing>
              <wp:anchor distT="0" distB="0" distL="114300" distR="114300" simplePos="0" relativeHeight="251724800" behindDoc="0" locked="0" layoutInCell="1" allowOverlap="1" wp14:anchorId="5E313FB3" wp14:editId="454600F9">
                <wp:simplePos x="0" y="0"/>
                <wp:positionH relativeFrom="column">
                  <wp:posOffset>0</wp:posOffset>
                </wp:positionH>
                <wp:positionV relativeFrom="paragraph">
                  <wp:posOffset>80010</wp:posOffset>
                </wp:positionV>
                <wp:extent cx="914400" cy="190500"/>
                <wp:effectExtent l="0" t="0" r="19050" b="19050"/>
                <wp:wrapSquare wrapText="bothSides"/>
                <wp:docPr id="11" name="Rectangle 11"/>
                <wp:cNvGraphicFramePr/>
                <a:graphic xmlns:a="http://schemas.openxmlformats.org/drawingml/2006/main">
                  <a:graphicData uri="http://schemas.microsoft.com/office/word/2010/wordprocessingShape">
                    <wps:wsp>
                      <wps:cNvSpPr/>
                      <wps:spPr>
                        <a:xfrm>
                          <a:off x="0" y="0"/>
                          <a:ext cx="914400" cy="190500"/>
                        </a:xfrm>
                        <a:prstGeom prst="rect">
                          <a:avLst/>
                        </a:prstGeom>
                        <a:solidFill>
                          <a:srgbClr val="BEE6F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D9C48EF" id="Rectangle 11" o:spid="_x0000_s1026" style="position:absolute;margin-left:0;margin-top:6.3pt;width:1in;height: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" fillcolor="#bee6f0" strokecolor="black [3213]" strokeweight=".25pt">
                <w10:wrap type="square"/>
              </v:rect>
            </w:pict>
          </mc:Fallback>
        </mc:AlternateContent>
      </w:r>
      <w:r w:rsidRPr="00610B1B">
        <w:rPr>
          <w:rFonts w:cs="Times New Roman"/>
        </w:rPr>
        <w:t xml:space="preserve">Потенциални положителни взаимодействия и въздействия </w:t>
      </w:r>
    </w:p>
    <w:p w14:paraId="7F512354" w14:textId="2FAF04A5" w:rsidR="00B0678F" w:rsidRPr="00610B1B" w:rsidRDefault="00FB2A12" w:rsidP="00D32D6A">
      <w:pPr>
        <w:pStyle w:val="Default"/>
        <w:spacing w:after="120" w:line="276" w:lineRule="auto"/>
        <w:jc w:val="both"/>
        <w:rPr>
          <w:rFonts w:cs="Times New Roman"/>
          <w:lang w:val="bg-BG"/>
        </w:rPr>
      </w:pPr>
      <w:r w:rsidRPr="00610B1B">
        <w:rPr>
          <w:rFonts w:cs="Times New Roman"/>
          <w:lang w:val="bg-BG"/>
        </w:rPr>
        <w:t>Систематизирането на най-</w:t>
      </w:r>
      <w:r w:rsidR="00633377" w:rsidRPr="00610B1B">
        <w:rPr>
          <w:rFonts w:cs="Times New Roman"/>
          <w:lang w:val="bg-BG"/>
        </w:rPr>
        <w:t>характерните</w:t>
      </w:r>
      <w:r w:rsidRPr="00610B1B">
        <w:rPr>
          <w:rFonts w:cs="Times New Roman"/>
          <w:lang w:val="bg-BG"/>
        </w:rPr>
        <w:t xml:space="preserve"> взаимодействия и потенциални въздействия от развитието на различните ползвания в морето</w:t>
      </w:r>
      <w:r w:rsidR="00633377" w:rsidRPr="00610B1B">
        <w:rPr>
          <w:rFonts w:cs="Times New Roman"/>
          <w:lang w:val="bg-BG"/>
        </w:rPr>
        <w:t xml:space="preserve"> показва, че най-неблагоприятни са екологичните въздействия, които въпреки вложените усилия</w:t>
      </w:r>
      <w:r w:rsidR="00B0678F" w:rsidRPr="00610B1B">
        <w:rPr>
          <w:rFonts w:cs="Times New Roman"/>
          <w:lang w:val="bg-BG"/>
        </w:rPr>
        <w:t xml:space="preserve"> и </w:t>
      </w:r>
      <w:r w:rsidR="00BA5862" w:rsidRPr="00610B1B">
        <w:rPr>
          <w:rFonts w:cs="Times New Roman"/>
          <w:lang w:val="bg-BG"/>
        </w:rPr>
        <w:t>инвестиции</w:t>
      </w:r>
      <w:r w:rsidR="00633377" w:rsidRPr="00610B1B">
        <w:rPr>
          <w:rFonts w:cs="Times New Roman"/>
          <w:lang w:val="bg-BG"/>
        </w:rPr>
        <w:t xml:space="preserve"> и реализираните проекти от различни институции и подразделения на Министерството на околната среда и водите, </w:t>
      </w:r>
      <w:r w:rsidR="00B0678F" w:rsidRPr="00610B1B">
        <w:rPr>
          <w:rFonts w:cs="Times New Roman"/>
          <w:lang w:val="bg-BG"/>
        </w:rPr>
        <w:t xml:space="preserve">от общините и от бизнеса, </w:t>
      </w:r>
      <w:r w:rsidR="00633377" w:rsidRPr="00610B1B">
        <w:rPr>
          <w:rFonts w:cs="Times New Roman"/>
          <w:lang w:val="bg-BG"/>
        </w:rPr>
        <w:t xml:space="preserve">все още трудно постигат </w:t>
      </w:r>
      <w:r w:rsidR="0016487D" w:rsidRPr="00610B1B">
        <w:rPr>
          <w:rFonts w:cs="Times New Roman"/>
          <w:lang w:val="bg-BG"/>
        </w:rPr>
        <w:t>желаното</w:t>
      </w:r>
      <w:r w:rsidR="00633377" w:rsidRPr="00610B1B">
        <w:rPr>
          <w:rFonts w:cs="Times New Roman"/>
          <w:lang w:val="bg-BG"/>
        </w:rPr>
        <w:t xml:space="preserve"> </w:t>
      </w:r>
      <w:r w:rsidR="0016487D" w:rsidRPr="00610B1B">
        <w:rPr>
          <w:rFonts w:cs="Times New Roman"/>
          <w:lang w:val="bg-BG"/>
        </w:rPr>
        <w:t xml:space="preserve">добро </w:t>
      </w:r>
      <w:r w:rsidR="00633377" w:rsidRPr="00610B1B">
        <w:rPr>
          <w:rFonts w:cs="Times New Roman"/>
          <w:lang w:val="bg-BG"/>
        </w:rPr>
        <w:t xml:space="preserve">състояние на морската околна среда по някои от наблюдаваните показатели. Именно поради тази причина, всички предложения за различни ползвания в Морския пространствен план трябва да отговарят на екологичните изисквания за щадящо използване на морските ресурси, ограничаване на замърсяванията от дейността и намаляване на конфликтите между несъвместими дейности, които биха довели до необратими увреждания. </w:t>
      </w:r>
    </w:p>
    <w:p w14:paraId="3A217AD8" w14:textId="72761AAD" w:rsidR="00ED74EC" w:rsidRPr="00610B1B" w:rsidRDefault="00633377" w:rsidP="00ED74EC">
      <w:pPr>
        <w:pStyle w:val="Default"/>
        <w:spacing w:after="120" w:line="276" w:lineRule="auto"/>
        <w:jc w:val="both"/>
        <w:rPr>
          <w:rFonts w:cs="Times New Roman"/>
          <w:lang w:val="bg-BG"/>
        </w:rPr>
      </w:pPr>
      <w:r w:rsidRPr="00610B1B">
        <w:rPr>
          <w:rFonts w:cs="Times New Roman"/>
          <w:lang w:val="bg-BG"/>
        </w:rPr>
        <w:t>С най-голям положителен принос</w:t>
      </w:r>
      <w:r w:rsidR="00B0678F" w:rsidRPr="00610B1B">
        <w:rPr>
          <w:rFonts w:cs="Times New Roman"/>
          <w:lang w:val="bg-BG"/>
        </w:rPr>
        <w:t xml:space="preserve"> са </w:t>
      </w:r>
      <w:r w:rsidR="003F68E4" w:rsidRPr="00610B1B">
        <w:rPr>
          <w:rFonts w:cs="Times New Roman"/>
          <w:lang w:val="bg-BG"/>
        </w:rPr>
        <w:t xml:space="preserve">съвременните </w:t>
      </w:r>
      <w:r w:rsidR="00B0678F" w:rsidRPr="00610B1B">
        <w:rPr>
          <w:rFonts w:cs="Times New Roman"/>
          <w:lang w:val="bg-BG"/>
        </w:rPr>
        <w:t>технологи</w:t>
      </w:r>
      <w:r w:rsidR="003F68E4" w:rsidRPr="00610B1B">
        <w:rPr>
          <w:rFonts w:cs="Times New Roman"/>
          <w:lang w:val="bg-BG"/>
        </w:rPr>
        <w:t>и и иновациите в секторите на морската икономика, с които се очаква да бъдат решени значителна част от проблемите в морската околна среда.</w:t>
      </w:r>
      <w:r w:rsidR="00D66FE0" w:rsidRPr="00610B1B">
        <w:rPr>
          <w:rFonts w:cs="Times New Roman"/>
          <w:lang w:val="bg-BG"/>
        </w:rPr>
        <w:t xml:space="preserve"> </w:t>
      </w:r>
    </w:p>
    <w:p w14:paraId="13503D71" w14:textId="0851D4F9" w:rsidR="00ED74EC" w:rsidRPr="00610B1B" w:rsidRDefault="00ED74EC" w:rsidP="00ED74EC">
      <w:pPr>
        <w:pStyle w:val="BodyText"/>
        <w:rPr>
          <w:rFonts w:cs="Times New Roman"/>
        </w:rPr>
      </w:pPr>
    </w:p>
    <w:p w14:paraId="48836E8D" w14:textId="7E34242C" w:rsidR="00DE4B4C" w:rsidRPr="00610B1B" w:rsidRDefault="00DE4B4C" w:rsidP="00D32D6A">
      <w:pPr>
        <w:pStyle w:val="Heading2"/>
        <w:numPr>
          <w:ilvl w:val="0"/>
          <w:numId w:val="0"/>
        </w:numPr>
        <w:spacing w:before="0" w:line="276" w:lineRule="auto"/>
        <w:ind w:left="576" w:right="-153" w:hanging="576"/>
        <w:rPr>
          <w:rFonts w:cs="Times New Roman"/>
        </w:rPr>
      </w:pPr>
      <w:bookmarkStart w:id="481" w:name="_Toc83391432"/>
      <w:bookmarkStart w:id="482" w:name="_Hlk47268483"/>
      <w:r w:rsidRPr="00610B1B">
        <w:rPr>
          <w:rFonts w:cs="Times New Roman"/>
        </w:rPr>
        <w:t>6.3. Зониране на морските пространства</w:t>
      </w:r>
      <w:bookmarkEnd w:id="481"/>
    </w:p>
    <w:p w14:paraId="7534E3CC" w14:textId="34A3AF07" w:rsidR="00DE4B4C" w:rsidRPr="00610B1B" w:rsidRDefault="00DE4B4C" w:rsidP="00D32D6A">
      <w:pPr>
        <w:shd w:val="clear" w:color="auto" w:fill="FFFFFF"/>
        <w:spacing w:after="12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bCs/>
          <w:color w:val="000000" w:themeColor="text1"/>
          <w:sz w:val="24"/>
          <w:szCs w:val="24"/>
          <w:lang w:val="bg-BG" w:eastAsia="bg-BG"/>
        </w:rPr>
        <w:t>Съгласно чл. 51 ал. 4 от Закона за морските пространства, вътрешните водни пътища и пристанищата на Република България с Морския пространствен план се определят</w:t>
      </w:r>
      <w:r w:rsidR="00D66FE0" w:rsidRPr="00610B1B">
        <w:rPr>
          <w:rFonts w:ascii="Times New Roman" w:eastAsia="Times New Roman" w:hAnsi="Times New Roman" w:cs="Times New Roman"/>
          <w:bCs/>
          <w:color w:val="000000" w:themeColor="text1"/>
          <w:sz w:val="24"/>
          <w:szCs w:val="24"/>
          <w:lang w:val="bg-BG" w:eastAsia="bg-BG"/>
        </w:rPr>
        <w:t xml:space="preserve"> </w:t>
      </w:r>
      <w:r w:rsidRPr="00610B1B">
        <w:rPr>
          <w:rFonts w:ascii="Times New Roman" w:eastAsia="Times New Roman" w:hAnsi="Times New Roman" w:cs="Times New Roman"/>
          <w:bCs/>
          <w:color w:val="000000" w:themeColor="text1"/>
          <w:sz w:val="24"/>
          <w:szCs w:val="24"/>
          <w:lang w:val="bg-BG" w:eastAsia="bg-BG"/>
        </w:rPr>
        <w:t>следните видове зони</w:t>
      </w:r>
      <w:r w:rsidRPr="00610B1B">
        <w:rPr>
          <w:rFonts w:ascii="Times New Roman" w:eastAsia="Times New Roman" w:hAnsi="Times New Roman" w:cs="Times New Roman"/>
          <w:color w:val="000000" w:themeColor="text1"/>
          <w:sz w:val="24"/>
          <w:szCs w:val="24"/>
          <w:lang w:val="bg-BG" w:eastAsia="bg-BG"/>
        </w:rPr>
        <w:t>:</w:t>
      </w:r>
    </w:p>
    <w:p w14:paraId="188D90F0" w14:textId="233DBC1E" w:rsidR="003C16C6" w:rsidRPr="00610B1B" w:rsidRDefault="00DE4B4C" w:rsidP="00977026">
      <w:pPr>
        <w:numPr>
          <w:ilvl w:val="0"/>
          <w:numId w:val="74"/>
        </w:numPr>
        <w:shd w:val="clear" w:color="auto" w:fill="FFFFFF"/>
        <w:spacing w:after="120"/>
        <w:ind w:left="714" w:hanging="357"/>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 xml:space="preserve">Зони за движение в морските пространства </w:t>
      </w:r>
    </w:p>
    <w:p w14:paraId="5E9F6BDD" w14:textId="5B52BE75" w:rsidR="00DE4B4C" w:rsidRPr="00610B1B" w:rsidRDefault="00DE4B4C" w:rsidP="00B46189">
      <w:pPr>
        <w:numPr>
          <w:ilvl w:val="0"/>
          <w:numId w:val="74"/>
        </w:numPr>
        <w:shd w:val="clear" w:color="auto" w:fill="FFFFFF"/>
        <w:spacing w:after="120"/>
        <w:ind w:left="714" w:hanging="357"/>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Зони за риболов и отглеждане на аквакултури</w:t>
      </w:r>
    </w:p>
    <w:p w14:paraId="24F9DCE5" w14:textId="35A7EFB9" w:rsidR="00DE4B4C" w:rsidRPr="00610B1B" w:rsidRDefault="00DE4B4C" w:rsidP="00B46189">
      <w:pPr>
        <w:numPr>
          <w:ilvl w:val="0"/>
          <w:numId w:val="74"/>
        </w:numPr>
        <w:shd w:val="clear" w:color="auto" w:fill="FFFFFF"/>
        <w:spacing w:after="120"/>
        <w:ind w:left="714" w:hanging="357"/>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lastRenderedPageBreak/>
        <w:t>Зони за туристически и рекреационни дейности</w:t>
      </w:r>
    </w:p>
    <w:p w14:paraId="209C0E57" w14:textId="4478C5DE" w:rsidR="00DE4B4C" w:rsidRPr="00610B1B" w:rsidRDefault="00DE4B4C" w:rsidP="00B46189">
      <w:pPr>
        <w:numPr>
          <w:ilvl w:val="0"/>
          <w:numId w:val="74"/>
        </w:numPr>
        <w:shd w:val="clear" w:color="auto" w:fill="FFFFFF"/>
        <w:spacing w:after="120"/>
        <w:ind w:left="714" w:hanging="357"/>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Зони за научноизследователска дейност</w:t>
      </w:r>
    </w:p>
    <w:p w14:paraId="1DDEEE95" w14:textId="2224289C" w:rsidR="00DE4B4C" w:rsidRPr="00610B1B" w:rsidRDefault="00DE4B4C" w:rsidP="00B46189">
      <w:pPr>
        <w:numPr>
          <w:ilvl w:val="0"/>
          <w:numId w:val="74"/>
        </w:numPr>
        <w:shd w:val="clear" w:color="auto" w:fill="FFFFFF"/>
        <w:spacing w:after="120"/>
        <w:ind w:left="714" w:hanging="357"/>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Защитени зони и защитени територии от НЕМ</w:t>
      </w:r>
    </w:p>
    <w:p w14:paraId="0C738ED7" w14:textId="2EE537DE" w:rsidR="00DE4B4C" w:rsidRPr="00610B1B" w:rsidRDefault="00DE4B4C" w:rsidP="00B46189">
      <w:pPr>
        <w:numPr>
          <w:ilvl w:val="0"/>
          <w:numId w:val="74"/>
        </w:numPr>
        <w:shd w:val="clear" w:color="auto" w:fill="FFFFFF"/>
        <w:spacing w:after="120"/>
        <w:ind w:left="714" w:hanging="357"/>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Зони за опазване на културното наследство</w:t>
      </w:r>
    </w:p>
    <w:p w14:paraId="483B973C" w14:textId="6FA6D463" w:rsidR="00DE4B4C" w:rsidRPr="00610B1B" w:rsidRDefault="00DE4B4C" w:rsidP="00B46189">
      <w:pPr>
        <w:numPr>
          <w:ilvl w:val="0"/>
          <w:numId w:val="74"/>
        </w:numPr>
        <w:shd w:val="clear" w:color="auto" w:fill="FFFFFF"/>
        <w:spacing w:after="120"/>
        <w:ind w:left="714" w:hanging="357"/>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Зони за подводни линейни обекти на техническата инфраструктура</w:t>
      </w:r>
    </w:p>
    <w:p w14:paraId="3125BD6D" w14:textId="149FEA60" w:rsidR="00DE4B4C" w:rsidRPr="00610B1B" w:rsidRDefault="00DE4B4C" w:rsidP="00B46189">
      <w:pPr>
        <w:numPr>
          <w:ilvl w:val="0"/>
          <w:numId w:val="74"/>
        </w:numPr>
        <w:shd w:val="clear" w:color="auto" w:fill="FFFFFF"/>
        <w:spacing w:after="120"/>
        <w:ind w:left="714" w:hanging="357"/>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Зони за проучване, разработване и използване на природни ресурси</w:t>
      </w:r>
    </w:p>
    <w:p w14:paraId="0FE0D644" w14:textId="79A806A6" w:rsidR="00DE4B4C" w:rsidRPr="00610B1B" w:rsidRDefault="00DE4B4C" w:rsidP="00B46189">
      <w:pPr>
        <w:numPr>
          <w:ilvl w:val="0"/>
          <w:numId w:val="74"/>
        </w:numPr>
        <w:shd w:val="clear" w:color="auto" w:fill="FFFFFF"/>
        <w:spacing w:after="120"/>
        <w:ind w:left="714" w:hanging="357"/>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Зони за военни учения</w:t>
      </w:r>
    </w:p>
    <w:p w14:paraId="3E140823" w14:textId="77777777" w:rsidR="009907CE" w:rsidRPr="00610B1B" w:rsidRDefault="009907CE" w:rsidP="00B46189">
      <w:pPr>
        <w:numPr>
          <w:ilvl w:val="0"/>
          <w:numId w:val="74"/>
        </w:numPr>
        <w:shd w:val="clear" w:color="auto" w:fill="FFFFFF"/>
        <w:spacing w:after="120"/>
        <w:ind w:left="714" w:hanging="357"/>
        <w:rPr>
          <w:rFonts w:ascii="Times New Roman" w:eastAsia="Times New Roman" w:hAnsi="Times New Roman" w:cs="Times New Roman"/>
          <w:color w:val="000000" w:themeColor="text1"/>
          <w:sz w:val="24"/>
          <w:szCs w:val="24"/>
          <w:lang w:val="bg-BG" w:eastAsia="bg-BG"/>
        </w:rPr>
      </w:pPr>
    </w:p>
    <w:p w14:paraId="3F88B61C" w14:textId="77777777" w:rsidR="00DE4B4C" w:rsidRPr="00610B1B" w:rsidRDefault="00DE4B4C" w:rsidP="00D32D6A">
      <w:pPr>
        <w:shd w:val="clear" w:color="auto" w:fill="FFFFFF"/>
        <w:spacing w:after="12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Дейностите и ползванията на ресурси в тези зони трябва да се съобразят и с разположението на</w:t>
      </w:r>
      <w:r w:rsidRPr="00610B1B">
        <w:rPr>
          <w:rFonts w:ascii="Times New Roman" w:hAnsi="Times New Roman" w:cs="Times New Roman"/>
          <w:color w:val="000000" w:themeColor="text1"/>
          <w:lang w:val="bg-BG"/>
        </w:rPr>
        <w:t xml:space="preserve"> </w:t>
      </w:r>
      <w:r w:rsidRPr="00610B1B">
        <w:rPr>
          <w:rFonts w:ascii="Times New Roman" w:hAnsi="Times New Roman" w:cs="Times New Roman"/>
          <w:color w:val="000000" w:themeColor="text1"/>
          <w:sz w:val="24"/>
          <w:szCs w:val="24"/>
          <w:lang w:val="bg-BG"/>
        </w:rPr>
        <w:t>инсталациите и съоръженията, свързани с корабоплаването и за проучване, разработване и използване на минералните и енергийните ресурси.</w:t>
      </w:r>
    </w:p>
    <w:p w14:paraId="7ABF2DFB" w14:textId="1E6D4561" w:rsidR="00DE4B4C" w:rsidRPr="00610B1B" w:rsidRDefault="00DE4B4C" w:rsidP="00D32D6A">
      <w:pPr>
        <w:shd w:val="clear" w:color="auto" w:fill="FFFFFF"/>
        <w:spacing w:after="12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 xml:space="preserve">Свързани с опазването на суверенитета и сигурността на страната в акваторията на Черно море, с подготовката на кадри и провеждане на военни учения, с оказването на помощ в критични ситуации и спасяване при бедствия са 21 вида зони: </w:t>
      </w:r>
    </w:p>
    <w:p w14:paraId="1353DFE9"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провеждане на артилерийски и ракетни стрелби по въздушни, морски и подводни цели.</w:t>
      </w:r>
    </w:p>
    <w:p w14:paraId="13C1AC83"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провеждане на артилерийски и ракетни стрелби по брегови цели.</w:t>
      </w:r>
    </w:p>
    <w:p w14:paraId="0803E048"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провеждане на стрелби от авиацията.</w:t>
      </w:r>
    </w:p>
    <w:p w14:paraId="17BFD099"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провеждане на стрелби с торпедно оръжие.</w:t>
      </w:r>
    </w:p>
    <w:p w14:paraId="34B23807"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провеждане на бойни упражнения с противоподводни бомби.</w:t>
      </w:r>
    </w:p>
    <w:p w14:paraId="341C3218"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провеждане на минни операции (поставяне, търсене и унищожаване на учебни котвени и/или дънни мини).</w:t>
      </w:r>
    </w:p>
    <w:p w14:paraId="38BA9C7C"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провеждане на подводни взривни дейности.</w:t>
      </w:r>
    </w:p>
    <w:p w14:paraId="6A120BC0"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провеждане на учения по тактическо маневриране и водене на бойни действия на кораби, плаващи самостоятелно или съвместно (в състава на група).</w:t>
      </w:r>
    </w:p>
    <w:p w14:paraId="5159A243"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учения на разнородни противоподводни сили с участие на подводници.</w:t>
      </w:r>
    </w:p>
    <w:p w14:paraId="76B2B230"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учения по водене на бойни действия против надводен, въздушен и подводен противник.</w:t>
      </w:r>
    </w:p>
    <w:p w14:paraId="406AD113"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учения с действия на амфибийни сили.</w:t>
      </w:r>
    </w:p>
    <w:p w14:paraId="5CE3A6A2"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провеждане на потапяне, изплаване, управление и маневриране под вода.</w:t>
      </w:r>
    </w:p>
    <w:p w14:paraId="247C81CD"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водене на бойни действия от подводници против надводни кораби и подводници.</w:t>
      </w:r>
    </w:p>
    <w:p w14:paraId="578C4CFE"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тренировки по контрол на корабоплаването.</w:t>
      </w:r>
    </w:p>
    <w:p w14:paraId="3C729CF7"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тренировки по комуникационен обмен.</w:t>
      </w:r>
    </w:p>
    <w:p w14:paraId="13FC90C4"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lastRenderedPageBreak/>
        <w:t>За тренировки по борба за живучест на корабите.</w:t>
      </w:r>
    </w:p>
    <w:p w14:paraId="5B4A6B4B"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провеждане на водолазни спускания.</w:t>
      </w:r>
    </w:p>
    <w:p w14:paraId="51031002"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обучение и тренировки на водолази и леководолази по спущане под вода и извършване на подводна работа.</w:t>
      </w:r>
    </w:p>
    <w:p w14:paraId="7D8A0EEA"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обучение и тренировки на водолази за извършване на аварийно-спасителна дейност.</w:t>
      </w:r>
    </w:p>
    <w:p w14:paraId="346B2051"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учения по търсене и спасяване.</w:t>
      </w:r>
    </w:p>
    <w:p w14:paraId="0CC3A044" w14:textId="77777777" w:rsidR="00DE4B4C" w:rsidRPr="00610B1B" w:rsidRDefault="00DE4B4C" w:rsidP="00B46189">
      <w:pPr>
        <w:pStyle w:val="ListParagraph"/>
        <w:numPr>
          <w:ilvl w:val="0"/>
          <w:numId w:val="75"/>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За учения по мащабни спасителни операции на екипажи и пътници на кораби и самолети, аварирали в/над района за търсене и спасяване, за който Република България отговаря.</w:t>
      </w:r>
    </w:p>
    <w:p w14:paraId="47E80634" w14:textId="7BDCB6B9" w:rsidR="00DE4B4C" w:rsidRPr="00610B1B" w:rsidRDefault="00DE4B4C" w:rsidP="00D32D6A">
      <w:pPr>
        <w:shd w:val="clear" w:color="auto" w:fill="FFFFFF"/>
        <w:spacing w:after="12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Тези зони могат да бъдат обединени в две големи групи – зони, в които действат постоянни забрани за корабоплаване, за заставане на котва, за риболов, тралене, драгиране и други дейности</w:t>
      </w:r>
      <w:r w:rsidR="0016487D" w:rsidRPr="00610B1B">
        <w:rPr>
          <w:rFonts w:ascii="Times New Roman" w:eastAsia="Times New Roman" w:hAnsi="Times New Roman" w:cs="Times New Roman"/>
          <w:color w:val="000000" w:themeColor="text1"/>
          <w:sz w:val="24"/>
          <w:szCs w:val="24"/>
          <w:lang w:val="bg-BG" w:eastAsia="bg-BG"/>
        </w:rPr>
        <w:t>,</w:t>
      </w:r>
      <w:r w:rsidRPr="00610B1B">
        <w:rPr>
          <w:rFonts w:ascii="Times New Roman" w:eastAsia="Times New Roman" w:hAnsi="Times New Roman" w:cs="Times New Roman"/>
          <w:color w:val="000000" w:themeColor="text1"/>
          <w:sz w:val="24"/>
          <w:szCs w:val="24"/>
          <w:lang w:val="bg-BG" w:eastAsia="bg-BG"/>
        </w:rPr>
        <w:t xml:space="preserve"> и зони, в които тези забрани са временни, налагат се в различно време от годината, в различни зони, а пространствените и времеви координати се </w:t>
      </w:r>
      <w:r w:rsidR="00BA5862" w:rsidRPr="00610B1B">
        <w:rPr>
          <w:rFonts w:ascii="Times New Roman" w:eastAsia="Times New Roman" w:hAnsi="Times New Roman" w:cs="Times New Roman"/>
          <w:color w:val="000000" w:themeColor="text1"/>
          <w:sz w:val="24"/>
          <w:szCs w:val="24"/>
          <w:lang w:val="bg-BG" w:eastAsia="bg-BG"/>
        </w:rPr>
        <w:t>оповестяват</w:t>
      </w:r>
      <w:r w:rsidRPr="00610B1B">
        <w:rPr>
          <w:rFonts w:ascii="Times New Roman" w:eastAsia="Times New Roman" w:hAnsi="Times New Roman" w:cs="Times New Roman"/>
          <w:color w:val="000000" w:themeColor="text1"/>
          <w:sz w:val="24"/>
          <w:szCs w:val="24"/>
          <w:lang w:val="bg-BG" w:eastAsia="bg-BG"/>
        </w:rPr>
        <w:t xml:space="preserve"> своевременно, в съответствие с установените международни правила</w:t>
      </w:r>
      <w:r w:rsidR="0016487D" w:rsidRPr="00610B1B">
        <w:rPr>
          <w:rFonts w:ascii="Times New Roman" w:eastAsia="Times New Roman" w:hAnsi="Times New Roman" w:cs="Times New Roman"/>
          <w:color w:val="000000" w:themeColor="text1"/>
          <w:sz w:val="24"/>
          <w:szCs w:val="24"/>
          <w:lang w:val="bg-BG" w:eastAsia="bg-BG"/>
        </w:rPr>
        <w:t>.</w:t>
      </w:r>
      <w:r w:rsidRPr="00610B1B">
        <w:rPr>
          <w:rFonts w:ascii="Times New Roman" w:eastAsia="Times New Roman" w:hAnsi="Times New Roman" w:cs="Times New Roman"/>
          <w:color w:val="000000" w:themeColor="text1"/>
          <w:sz w:val="24"/>
          <w:szCs w:val="24"/>
          <w:lang w:val="bg-BG" w:eastAsia="bg-BG"/>
        </w:rPr>
        <w:t xml:space="preserve"> </w:t>
      </w:r>
    </w:p>
    <w:p w14:paraId="2B42C6E4" w14:textId="61AE19A8" w:rsidR="00DE4B4C" w:rsidRPr="00610B1B" w:rsidRDefault="00DE4B4C" w:rsidP="00D32D6A">
      <w:pPr>
        <w:shd w:val="clear" w:color="auto" w:fill="FFFFFF"/>
        <w:spacing w:after="12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Проектът BALANCE</w:t>
      </w:r>
      <w:r w:rsidRPr="00610B1B">
        <w:rPr>
          <w:rStyle w:val="FootnoteReference"/>
          <w:rFonts w:ascii="Times New Roman" w:eastAsia="Times New Roman" w:hAnsi="Times New Roman" w:cs="Times New Roman"/>
          <w:color w:val="000000" w:themeColor="text1"/>
          <w:sz w:val="24"/>
          <w:szCs w:val="24"/>
          <w:lang w:val="bg-BG" w:eastAsia="bg-BG"/>
        </w:rPr>
        <w:footnoteReference w:id="196"/>
      </w:r>
      <w:r w:rsidRPr="00610B1B">
        <w:rPr>
          <w:rFonts w:ascii="Times New Roman" w:eastAsia="Times New Roman" w:hAnsi="Times New Roman" w:cs="Times New Roman"/>
          <w:color w:val="000000" w:themeColor="text1"/>
          <w:sz w:val="24"/>
          <w:szCs w:val="24"/>
          <w:lang w:val="bg-BG" w:eastAsia="bg-BG"/>
        </w:rPr>
        <w:t xml:space="preserve"> анализира международната практика и предлага систематизирането на различните ползвания на морските пространства в 4 </w:t>
      </w:r>
      <w:r w:rsidR="0016487D" w:rsidRPr="00610B1B">
        <w:rPr>
          <w:rFonts w:ascii="Times New Roman" w:eastAsia="Times New Roman" w:hAnsi="Times New Roman" w:cs="Times New Roman"/>
          <w:color w:val="000000" w:themeColor="text1"/>
          <w:sz w:val="24"/>
          <w:szCs w:val="24"/>
          <w:lang w:val="bg-BG" w:eastAsia="bg-BG"/>
        </w:rPr>
        <w:t xml:space="preserve">вида </w:t>
      </w:r>
      <w:r w:rsidRPr="00610B1B">
        <w:rPr>
          <w:rFonts w:ascii="Times New Roman" w:eastAsia="Times New Roman" w:hAnsi="Times New Roman" w:cs="Times New Roman"/>
          <w:color w:val="000000" w:themeColor="text1"/>
          <w:sz w:val="24"/>
          <w:szCs w:val="24"/>
          <w:lang w:val="bg-BG" w:eastAsia="bg-BG"/>
        </w:rPr>
        <w:t>зони:</w:t>
      </w:r>
    </w:p>
    <w:p w14:paraId="3BD4F60A" w14:textId="6A80F65B" w:rsidR="00DE4B4C" w:rsidRPr="00610B1B" w:rsidRDefault="00DE4B4C" w:rsidP="00B46189">
      <w:pPr>
        <w:pStyle w:val="ListParagraph"/>
        <w:numPr>
          <w:ilvl w:val="0"/>
          <w:numId w:val="76"/>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b/>
          <w:bCs/>
          <w:color w:val="000000" w:themeColor="text1"/>
          <w:sz w:val="24"/>
          <w:szCs w:val="24"/>
          <w:lang w:val="bg-BG" w:eastAsia="bg-BG"/>
        </w:rPr>
        <w:t>Зона за общо ползване</w:t>
      </w:r>
      <w:r w:rsidRPr="00610B1B">
        <w:rPr>
          <w:rFonts w:ascii="Times New Roman" w:eastAsia="Times New Roman" w:hAnsi="Times New Roman" w:cs="Times New Roman"/>
          <w:color w:val="000000" w:themeColor="text1"/>
          <w:sz w:val="24"/>
          <w:szCs w:val="24"/>
          <w:lang w:val="bg-BG" w:eastAsia="bg-BG"/>
        </w:rPr>
        <w:t> (General Use Zone)</w:t>
      </w:r>
      <w:r w:rsidR="00140F67" w:rsidRPr="00610B1B">
        <w:rPr>
          <w:rFonts w:ascii="Times New Roman" w:eastAsia="Times New Roman" w:hAnsi="Times New Roman" w:cs="Times New Roman"/>
          <w:color w:val="000000" w:themeColor="text1"/>
          <w:sz w:val="24"/>
          <w:szCs w:val="24"/>
          <w:lang w:val="bg-BG" w:eastAsia="bg-BG"/>
        </w:rPr>
        <w:t xml:space="preserve"> – </w:t>
      </w:r>
      <w:r w:rsidRPr="00610B1B">
        <w:rPr>
          <w:rFonts w:ascii="Times New Roman" w:eastAsia="Times New Roman" w:hAnsi="Times New Roman" w:cs="Times New Roman"/>
          <w:color w:val="000000" w:themeColor="text1"/>
          <w:sz w:val="24"/>
          <w:szCs w:val="24"/>
          <w:lang w:val="bg-BG" w:eastAsia="bg-BG"/>
        </w:rPr>
        <w:t>с най-голям обхват, позволени са повечето човешки дейности</w:t>
      </w:r>
    </w:p>
    <w:p w14:paraId="73EFB5F8" w14:textId="22722EF2" w:rsidR="00DE4B4C" w:rsidRPr="00610B1B" w:rsidRDefault="00DE4B4C" w:rsidP="00B46189">
      <w:pPr>
        <w:pStyle w:val="ListParagraph"/>
        <w:numPr>
          <w:ilvl w:val="0"/>
          <w:numId w:val="76"/>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b/>
          <w:bCs/>
          <w:color w:val="000000" w:themeColor="text1"/>
          <w:sz w:val="24"/>
          <w:szCs w:val="24"/>
          <w:lang w:val="bg-BG" w:eastAsia="bg-BG"/>
        </w:rPr>
        <w:t>Зона с целево управление</w:t>
      </w:r>
      <w:r w:rsidRPr="00610B1B">
        <w:rPr>
          <w:rFonts w:ascii="Times New Roman" w:eastAsia="Times New Roman" w:hAnsi="Times New Roman" w:cs="Times New Roman"/>
          <w:color w:val="000000" w:themeColor="text1"/>
          <w:sz w:val="24"/>
          <w:szCs w:val="24"/>
          <w:lang w:val="bg-BG" w:eastAsia="bg-BG"/>
        </w:rPr>
        <w:t> (Targeted Management Zone)</w:t>
      </w:r>
      <w:r w:rsidR="00140F67" w:rsidRPr="00610B1B">
        <w:rPr>
          <w:rFonts w:ascii="Times New Roman" w:eastAsia="Times New Roman" w:hAnsi="Times New Roman" w:cs="Times New Roman"/>
          <w:color w:val="000000" w:themeColor="text1"/>
          <w:sz w:val="24"/>
          <w:szCs w:val="24"/>
          <w:lang w:val="bg-BG" w:eastAsia="bg-BG"/>
        </w:rPr>
        <w:t xml:space="preserve"> – </w:t>
      </w:r>
      <w:r w:rsidRPr="00610B1B">
        <w:rPr>
          <w:rFonts w:ascii="Times New Roman" w:eastAsia="Times New Roman" w:hAnsi="Times New Roman" w:cs="Times New Roman"/>
          <w:color w:val="000000" w:themeColor="text1"/>
          <w:sz w:val="24"/>
          <w:szCs w:val="24"/>
          <w:lang w:val="bg-BG" w:eastAsia="bg-BG"/>
        </w:rPr>
        <w:t>зона с ограничения с цел опазване на околната среда или културното наследство (Например зони по Натура 2000), където някои дейности са забранени, или разрешени въз основа на разрешително.</w:t>
      </w:r>
    </w:p>
    <w:p w14:paraId="4E24F137" w14:textId="6D7BA0D9" w:rsidR="00DE4B4C" w:rsidRPr="00610B1B" w:rsidRDefault="00DE4B4C" w:rsidP="00B46189">
      <w:pPr>
        <w:pStyle w:val="ListParagraph"/>
        <w:numPr>
          <w:ilvl w:val="0"/>
          <w:numId w:val="76"/>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b/>
          <w:bCs/>
          <w:color w:val="000000" w:themeColor="text1"/>
          <w:sz w:val="24"/>
          <w:szCs w:val="24"/>
          <w:lang w:val="bg-BG" w:eastAsia="bg-BG"/>
        </w:rPr>
        <w:t>Зона за изключително ползване</w:t>
      </w:r>
      <w:r w:rsidRPr="00610B1B">
        <w:rPr>
          <w:rFonts w:ascii="Times New Roman" w:eastAsia="Times New Roman" w:hAnsi="Times New Roman" w:cs="Times New Roman"/>
          <w:color w:val="000000" w:themeColor="text1"/>
          <w:sz w:val="24"/>
          <w:szCs w:val="24"/>
          <w:lang w:val="bg-BG" w:eastAsia="bg-BG"/>
        </w:rPr>
        <w:t> (Exclusive Use Zone)</w:t>
      </w:r>
      <w:r w:rsidR="00140F67" w:rsidRPr="00610B1B">
        <w:rPr>
          <w:rFonts w:ascii="Times New Roman" w:eastAsia="Times New Roman" w:hAnsi="Times New Roman" w:cs="Times New Roman"/>
          <w:color w:val="000000" w:themeColor="text1"/>
          <w:sz w:val="24"/>
          <w:szCs w:val="24"/>
          <w:lang w:val="bg-BG" w:eastAsia="bg-BG"/>
        </w:rPr>
        <w:t xml:space="preserve"> – </w:t>
      </w:r>
      <w:r w:rsidRPr="00610B1B">
        <w:rPr>
          <w:rFonts w:ascii="Times New Roman" w:eastAsia="Times New Roman" w:hAnsi="Times New Roman" w:cs="Times New Roman"/>
          <w:color w:val="000000" w:themeColor="text1"/>
          <w:sz w:val="24"/>
          <w:szCs w:val="24"/>
          <w:lang w:val="bg-BG" w:eastAsia="bg-BG"/>
        </w:rPr>
        <w:t>само за 1 вид дейност, например мидени ферми</w:t>
      </w:r>
    </w:p>
    <w:p w14:paraId="7A46AA36" w14:textId="537E2A5E" w:rsidR="00DE4B4C" w:rsidRPr="00610B1B" w:rsidRDefault="00DE4B4C" w:rsidP="00B46189">
      <w:pPr>
        <w:pStyle w:val="ListParagraph"/>
        <w:numPr>
          <w:ilvl w:val="0"/>
          <w:numId w:val="76"/>
        </w:numPr>
        <w:shd w:val="clear" w:color="auto" w:fill="FFFFFF"/>
        <w:spacing w:after="120"/>
        <w:contextualSpacing w:val="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b/>
          <w:bCs/>
          <w:color w:val="000000" w:themeColor="text1"/>
          <w:sz w:val="24"/>
          <w:szCs w:val="24"/>
          <w:lang w:val="bg-BG" w:eastAsia="bg-BG"/>
        </w:rPr>
        <w:t>Зона с ограничен достъп</w:t>
      </w:r>
      <w:r w:rsidRPr="00610B1B">
        <w:rPr>
          <w:rFonts w:ascii="Times New Roman" w:eastAsia="Times New Roman" w:hAnsi="Times New Roman" w:cs="Times New Roman"/>
          <w:color w:val="000000" w:themeColor="text1"/>
          <w:sz w:val="24"/>
          <w:szCs w:val="24"/>
          <w:lang w:val="bg-BG" w:eastAsia="bg-BG"/>
        </w:rPr>
        <w:t> (Restricted Access Zone)</w:t>
      </w:r>
      <w:r w:rsidR="00140F67" w:rsidRPr="00610B1B">
        <w:rPr>
          <w:rFonts w:ascii="Times New Roman" w:eastAsia="Times New Roman" w:hAnsi="Times New Roman" w:cs="Times New Roman"/>
          <w:color w:val="000000" w:themeColor="text1"/>
          <w:sz w:val="24"/>
          <w:szCs w:val="24"/>
          <w:lang w:val="bg-BG" w:eastAsia="bg-BG"/>
        </w:rPr>
        <w:t xml:space="preserve"> – </w:t>
      </w:r>
      <w:r w:rsidRPr="00610B1B">
        <w:rPr>
          <w:rFonts w:ascii="Times New Roman" w:eastAsia="Times New Roman" w:hAnsi="Times New Roman" w:cs="Times New Roman"/>
          <w:color w:val="000000" w:themeColor="text1"/>
          <w:sz w:val="24"/>
          <w:szCs w:val="24"/>
          <w:lang w:val="bg-BG" w:eastAsia="bg-BG"/>
        </w:rPr>
        <w:t>например зони за военни учения.</w:t>
      </w:r>
    </w:p>
    <w:p w14:paraId="03FCD4A7" w14:textId="21890E0B" w:rsidR="00DE4B4C" w:rsidRPr="00610B1B" w:rsidRDefault="00DE4B4C" w:rsidP="00D32D6A">
      <w:pPr>
        <w:shd w:val="clear" w:color="auto" w:fill="FFFFFF"/>
        <w:spacing w:after="12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t>В тази класификация частично се застъпват изискванията към зоните от втора, трета и четвърта група. В световната практика се предлагат и друг вид зони, като например „тихи зони“, с оглед необходимостта от намаляване на подводния шум и на неговите вредни въздействия върху морската фауна (Австралия)</w:t>
      </w:r>
      <w:r w:rsidRPr="00610B1B">
        <w:rPr>
          <w:rStyle w:val="FootnoteReference"/>
          <w:rFonts w:ascii="Times New Roman" w:eastAsia="Times New Roman" w:hAnsi="Times New Roman" w:cs="Times New Roman"/>
          <w:color w:val="000000" w:themeColor="text1"/>
          <w:sz w:val="24"/>
          <w:szCs w:val="24"/>
          <w:lang w:val="bg-BG" w:eastAsia="bg-BG"/>
        </w:rPr>
        <w:footnoteReference w:id="197"/>
      </w:r>
      <w:r w:rsidRPr="00610B1B">
        <w:rPr>
          <w:rFonts w:ascii="Times New Roman" w:eastAsia="Times New Roman" w:hAnsi="Times New Roman" w:cs="Times New Roman"/>
          <w:color w:val="000000" w:themeColor="text1"/>
          <w:sz w:val="24"/>
          <w:szCs w:val="24"/>
          <w:lang w:val="bg-BG" w:eastAsia="bg-BG"/>
        </w:rPr>
        <w:t>. В други, като например Морския пространствен план на Полша, се предлагат и т.нар. „бели зони“, в които се резервират морски пространства за бъдещо ползване.</w:t>
      </w:r>
      <w:r w:rsidRPr="00610B1B">
        <w:rPr>
          <w:rStyle w:val="FootnoteReference"/>
          <w:rFonts w:ascii="Times New Roman" w:eastAsia="Times New Roman" w:hAnsi="Times New Roman" w:cs="Times New Roman"/>
          <w:color w:val="000000" w:themeColor="text1"/>
          <w:sz w:val="24"/>
          <w:szCs w:val="24"/>
          <w:lang w:val="bg-BG" w:eastAsia="bg-BG"/>
        </w:rPr>
        <w:footnoteReference w:id="198"/>
      </w:r>
    </w:p>
    <w:p w14:paraId="21EC81FB" w14:textId="77777777" w:rsidR="009907CE" w:rsidRPr="00610B1B" w:rsidRDefault="009907CE" w:rsidP="00D32D6A">
      <w:pPr>
        <w:shd w:val="clear" w:color="auto" w:fill="FFFFFF"/>
        <w:spacing w:after="120"/>
        <w:jc w:val="both"/>
        <w:rPr>
          <w:rFonts w:ascii="Times New Roman" w:eastAsia="Times New Roman" w:hAnsi="Times New Roman" w:cs="Times New Roman"/>
          <w:color w:val="000000" w:themeColor="text1"/>
          <w:sz w:val="24"/>
          <w:szCs w:val="24"/>
          <w:lang w:val="bg-BG" w:eastAsia="bg-BG"/>
        </w:rPr>
      </w:pPr>
    </w:p>
    <w:p w14:paraId="1576C80A" w14:textId="6B694920" w:rsidR="00DE4B4C" w:rsidRPr="00610B1B" w:rsidRDefault="00DE4B4C" w:rsidP="00D32D6A">
      <w:pPr>
        <w:shd w:val="clear" w:color="auto" w:fill="FFFFFF"/>
        <w:spacing w:after="120"/>
        <w:jc w:val="both"/>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color w:val="000000" w:themeColor="text1"/>
          <w:sz w:val="24"/>
          <w:szCs w:val="24"/>
          <w:lang w:val="bg-BG" w:eastAsia="bg-BG"/>
        </w:rPr>
        <w:lastRenderedPageBreak/>
        <w:t xml:space="preserve">За целите на Морския пространствен план на Република </w:t>
      </w:r>
      <w:r w:rsidR="00D50057" w:rsidRPr="00610B1B">
        <w:rPr>
          <w:rFonts w:ascii="Times New Roman" w:eastAsia="Times New Roman" w:hAnsi="Times New Roman" w:cs="Times New Roman"/>
          <w:color w:val="000000" w:themeColor="text1"/>
          <w:sz w:val="24"/>
          <w:szCs w:val="24"/>
          <w:lang w:val="bg-BG" w:eastAsia="bg-BG"/>
        </w:rPr>
        <w:t>България</w:t>
      </w:r>
      <w:r w:rsidRPr="00610B1B">
        <w:rPr>
          <w:rFonts w:ascii="Times New Roman" w:eastAsia="Times New Roman" w:hAnsi="Times New Roman" w:cs="Times New Roman"/>
          <w:color w:val="000000" w:themeColor="text1"/>
          <w:sz w:val="24"/>
          <w:szCs w:val="24"/>
          <w:lang w:val="bg-BG" w:eastAsia="bg-BG"/>
        </w:rPr>
        <w:t xml:space="preserve"> се предлага групирането на функциите и ползванията в четири вида зони, а именно: </w:t>
      </w:r>
    </w:p>
    <w:tbl>
      <w:tblPr>
        <w:tblStyle w:val="TableGrid"/>
        <w:tblW w:w="6836" w:type="dxa"/>
        <w:tblInd w:w="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5419"/>
      </w:tblGrid>
      <w:tr w:rsidR="00765BE6" w:rsidRPr="005C2B9F" w14:paraId="4080FAEB" w14:textId="77777777" w:rsidTr="00765BE6">
        <w:tc>
          <w:tcPr>
            <w:tcW w:w="1417" w:type="dxa"/>
            <w:vAlign w:val="center"/>
          </w:tcPr>
          <w:p w14:paraId="4573D009" w14:textId="2FCA9992" w:rsidR="00765BE6" w:rsidRPr="00610B1B" w:rsidRDefault="00765BE6" w:rsidP="00765BE6">
            <w:pPr>
              <w:rPr>
                <w:rFonts w:ascii="Times New Roman" w:eastAsia="Times New Roman" w:hAnsi="Times New Roman" w:cs="Times New Roman"/>
                <w:color w:val="000000" w:themeColor="text1"/>
                <w:sz w:val="24"/>
                <w:szCs w:val="24"/>
                <w:lang w:val="bg-BG" w:eastAsia="bg-BG"/>
              </w:rPr>
            </w:pPr>
            <w:r w:rsidRPr="00610B1B">
              <w:rPr>
                <w:rFonts w:ascii="Times New Roman" w:hAnsi="Times New Roman" w:cs="Times New Roman"/>
                <w:noProof/>
                <w:lang w:val="bg-BG" w:eastAsia="bg-BG"/>
              </w:rPr>
              <w:drawing>
                <wp:inline distT="0" distB="0" distL="0" distR="0" wp14:anchorId="63EF7FAF" wp14:editId="46F3B058">
                  <wp:extent cx="641237" cy="313675"/>
                  <wp:effectExtent l="0" t="0" r="698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0" cstate="print">
                            <a:extLst>
                              <a:ext uri="{28A0092B-C50C-407E-A947-70E740481C1C}">
                                <a14:useLocalDpi xmlns:a14="http://schemas.microsoft.com/office/drawing/2010/main" val="0"/>
                              </a:ext>
                            </a:extLst>
                          </a:blip>
                          <a:srcRect l="2486" r="71678"/>
                          <a:stretch/>
                        </pic:blipFill>
                        <pic:spPr bwMode="auto">
                          <a:xfrm>
                            <a:off x="0" y="0"/>
                            <a:ext cx="641267" cy="313690"/>
                          </a:xfrm>
                          <a:prstGeom prst="rect">
                            <a:avLst/>
                          </a:prstGeom>
                          <a:ln>
                            <a:noFill/>
                          </a:ln>
                          <a:extLst>
                            <a:ext uri="{53640926-AAD7-44D8-BBD7-CCE9431645EC}">
                              <a14:shadowObscured xmlns:a14="http://schemas.microsoft.com/office/drawing/2010/main"/>
                            </a:ext>
                          </a:extLst>
                        </pic:spPr>
                      </pic:pic>
                    </a:graphicData>
                  </a:graphic>
                </wp:inline>
              </w:drawing>
            </w:r>
            <w:r w:rsidRPr="00610B1B">
              <w:rPr>
                <w:rFonts w:ascii="Times New Roman" w:eastAsia="Times New Roman" w:hAnsi="Times New Roman" w:cs="Times New Roman"/>
                <w:color w:val="000000" w:themeColor="text1"/>
                <w:sz w:val="24"/>
                <w:szCs w:val="24"/>
                <w:lang w:val="bg-BG" w:eastAsia="bg-BG"/>
              </w:rPr>
              <w:t xml:space="preserve"> </w:t>
            </w:r>
          </w:p>
        </w:tc>
        <w:tc>
          <w:tcPr>
            <w:tcW w:w="5419" w:type="dxa"/>
            <w:vAlign w:val="center"/>
          </w:tcPr>
          <w:p w14:paraId="0700B088" w14:textId="3923C2E4" w:rsidR="00765BE6" w:rsidRPr="00610B1B" w:rsidRDefault="00765BE6" w:rsidP="00765BE6">
            <w:pPr>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bCs/>
                <w:color w:val="000000" w:themeColor="text1"/>
                <w:sz w:val="24"/>
                <w:szCs w:val="24"/>
                <w:lang w:val="bg-BG" w:eastAsia="bg-BG"/>
              </w:rPr>
              <w:t>Зони със забрана за ползване</w:t>
            </w:r>
            <w:r w:rsidR="00D66FE0" w:rsidRPr="00610B1B">
              <w:rPr>
                <w:rFonts w:ascii="Times New Roman" w:eastAsia="Times New Roman" w:hAnsi="Times New Roman" w:cs="Times New Roman"/>
                <w:color w:val="000000" w:themeColor="text1"/>
                <w:sz w:val="24"/>
                <w:szCs w:val="24"/>
                <w:lang w:val="bg-BG" w:eastAsia="bg-BG"/>
              </w:rPr>
              <w:t xml:space="preserve"> </w:t>
            </w:r>
          </w:p>
        </w:tc>
      </w:tr>
      <w:tr w:rsidR="00765BE6" w:rsidRPr="005C2B9F" w14:paraId="7E505533" w14:textId="77777777" w:rsidTr="00765BE6">
        <w:tc>
          <w:tcPr>
            <w:tcW w:w="1417" w:type="dxa"/>
            <w:vAlign w:val="center"/>
          </w:tcPr>
          <w:p w14:paraId="7FC538DB" w14:textId="0A723D99" w:rsidR="00765BE6" w:rsidRPr="00610B1B" w:rsidRDefault="00765BE6" w:rsidP="00765BE6">
            <w:pPr>
              <w:rPr>
                <w:rFonts w:ascii="Times New Roman" w:eastAsia="Times New Roman" w:hAnsi="Times New Roman" w:cs="Times New Roman"/>
                <w:color w:val="000000" w:themeColor="text1"/>
                <w:sz w:val="24"/>
                <w:szCs w:val="24"/>
                <w:lang w:val="bg-BG" w:eastAsia="bg-BG"/>
              </w:rPr>
            </w:pPr>
            <w:r w:rsidRPr="00610B1B">
              <w:rPr>
                <w:rFonts w:ascii="Times New Roman" w:hAnsi="Times New Roman" w:cs="Times New Roman"/>
                <w:noProof/>
                <w:lang w:val="bg-BG" w:eastAsia="bg-BG"/>
              </w:rPr>
              <w:drawing>
                <wp:inline distT="0" distB="0" distL="0" distR="0" wp14:anchorId="20193CDE" wp14:editId="03A7F57E">
                  <wp:extent cx="639227" cy="316865"/>
                  <wp:effectExtent l="0" t="0" r="8890" b="698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61" cstate="print">
                            <a:extLst>
                              <a:ext uri="{28A0092B-C50C-407E-A947-70E740481C1C}">
                                <a14:useLocalDpi xmlns:a14="http://schemas.microsoft.com/office/drawing/2010/main" val="0"/>
                              </a:ext>
                            </a:extLst>
                          </a:blip>
                          <a:srcRect l="1812" r="77538"/>
                          <a:stretch/>
                        </pic:blipFill>
                        <pic:spPr bwMode="auto">
                          <a:xfrm>
                            <a:off x="0" y="0"/>
                            <a:ext cx="639483" cy="316992"/>
                          </a:xfrm>
                          <a:prstGeom prst="rect">
                            <a:avLst/>
                          </a:prstGeom>
                          <a:ln>
                            <a:noFill/>
                          </a:ln>
                          <a:extLst>
                            <a:ext uri="{53640926-AAD7-44D8-BBD7-CCE9431645EC}">
                              <a14:shadowObscured xmlns:a14="http://schemas.microsoft.com/office/drawing/2010/main"/>
                            </a:ext>
                          </a:extLst>
                        </pic:spPr>
                      </pic:pic>
                    </a:graphicData>
                  </a:graphic>
                </wp:inline>
              </w:drawing>
            </w:r>
          </w:p>
        </w:tc>
        <w:tc>
          <w:tcPr>
            <w:tcW w:w="5419" w:type="dxa"/>
            <w:vAlign w:val="center"/>
          </w:tcPr>
          <w:p w14:paraId="4C23390C" w14:textId="664F5F22" w:rsidR="00765BE6" w:rsidRPr="00610B1B" w:rsidRDefault="00765BE6" w:rsidP="00765BE6">
            <w:pPr>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bCs/>
                <w:color w:val="000000" w:themeColor="text1"/>
                <w:sz w:val="24"/>
                <w:szCs w:val="24"/>
                <w:lang w:val="bg-BG" w:eastAsia="bg-BG"/>
              </w:rPr>
              <w:t>Зони със специфичен режим на опазване</w:t>
            </w:r>
          </w:p>
        </w:tc>
      </w:tr>
      <w:tr w:rsidR="00765BE6" w:rsidRPr="00610B1B" w14:paraId="26CCAE78" w14:textId="77777777" w:rsidTr="00765BE6">
        <w:tc>
          <w:tcPr>
            <w:tcW w:w="1417" w:type="dxa"/>
            <w:vAlign w:val="center"/>
          </w:tcPr>
          <w:p w14:paraId="6A4CB7D0" w14:textId="5BB1DBF7" w:rsidR="00765BE6" w:rsidRPr="00610B1B" w:rsidRDefault="00765BE6" w:rsidP="00765BE6">
            <w:pPr>
              <w:rPr>
                <w:rFonts w:ascii="Times New Roman" w:eastAsia="Times New Roman" w:hAnsi="Times New Roman" w:cs="Times New Roman"/>
                <w:color w:val="000000" w:themeColor="text1"/>
                <w:sz w:val="24"/>
                <w:szCs w:val="24"/>
                <w:lang w:val="bg-BG" w:eastAsia="bg-BG"/>
              </w:rPr>
            </w:pPr>
            <w:r w:rsidRPr="00610B1B">
              <w:rPr>
                <w:rFonts w:ascii="Times New Roman" w:hAnsi="Times New Roman" w:cs="Times New Roman"/>
                <w:noProof/>
                <w:lang w:val="bg-BG" w:eastAsia="bg-BG"/>
              </w:rPr>
              <w:drawing>
                <wp:inline distT="0" distB="0" distL="0" distR="0" wp14:anchorId="16241F78" wp14:editId="17D83499">
                  <wp:extent cx="662407" cy="316865"/>
                  <wp:effectExtent l="0" t="0" r="4445"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62" cstate="print">
                            <a:extLst>
                              <a:ext uri="{28A0092B-C50C-407E-A947-70E740481C1C}">
                                <a14:useLocalDpi xmlns:a14="http://schemas.microsoft.com/office/drawing/2010/main" val="0"/>
                              </a:ext>
                            </a:extLst>
                          </a:blip>
                          <a:srcRect l="1526" r="67766"/>
                          <a:stretch/>
                        </pic:blipFill>
                        <pic:spPr bwMode="auto">
                          <a:xfrm>
                            <a:off x="0" y="0"/>
                            <a:ext cx="662673" cy="316992"/>
                          </a:xfrm>
                          <a:prstGeom prst="rect">
                            <a:avLst/>
                          </a:prstGeom>
                          <a:ln>
                            <a:noFill/>
                          </a:ln>
                          <a:extLst>
                            <a:ext uri="{53640926-AAD7-44D8-BBD7-CCE9431645EC}">
                              <a14:shadowObscured xmlns:a14="http://schemas.microsoft.com/office/drawing/2010/main"/>
                            </a:ext>
                          </a:extLst>
                        </pic:spPr>
                      </pic:pic>
                    </a:graphicData>
                  </a:graphic>
                </wp:inline>
              </w:drawing>
            </w:r>
          </w:p>
        </w:tc>
        <w:tc>
          <w:tcPr>
            <w:tcW w:w="5419" w:type="dxa"/>
            <w:vAlign w:val="center"/>
          </w:tcPr>
          <w:p w14:paraId="1C348B32" w14:textId="16872186" w:rsidR="00765BE6" w:rsidRPr="00610B1B" w:rsidRDefault="00765BE6" w:rsidP="00765BE6">
            <w:pPr>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bCs/>
                <w:color w:val="000000" w:themeColor="text1"/>
                <w:sz w:val="24"/>
                <w:szCs w:val="24"/>
                <w:lang w:val="bg-BG" w:eastAsia="bg-BG"/>
              </w:rPr>
              <w:t>Мултифункционални зони</w:t>
            </w:r>
          </w:p>
        </w:tc>
      </w:tr>
      <w:tr w:rsidR="00765BE6" w:rsidRPr="00610B1B" w14:paraId="2ECA1AF7" w14:textId="77777777" w:rsidTr="00765BE6">
        <w:tc>
          <w:tcPr>
            <w:tcW w:w="1417" w:type="dxa"/>
            <w:vAlign w:val="center"/>
          </w:tcPr>
          <w:p w14:paraId="6B5652CF" w14:textId="1659A5F0" w:rsidR="00765BE6" w:rsidRPr="00610B1B" w:rsidRDefault="00765BE6" w:rsidP="00765BE6">
            <w:pPr>
              <w:rPr>
                <w:rFonts w:ascii="Times New Roman" w:eastAsia="Times New Roman" w:hAnsi="Times New Roman" w:cs="Times New Roman"/>
                <w:color w:val="000000" w:themeColor="text1"/>
                <w:sz w:val="24"/>
                <w:szCs w:val="24"/>
                <w:lang w:val="bg-BG" w:eastAsia="bg-BG"/>
              </w:rPr>
            </w:pPr>
            <w:r w:rsidRPr="00610B1B">
              <w:rPr>
                <w:rFonts w:ascii="Times New Roman" w:hAnsi="Times New Roman" w:cs="Times New Roman"/>
                <w:noProof/>
                <w:lang w:val="bg-BG" w:eastAsia="bg-BG"/>
              </w:rPr>
              <w:drawing>
                <wp:inline distT="0" distB="0" distL="0" distR="0" wp14:anchorId="083FB5AB" wp14:editId="05A5ABFB">
                  <wp:extent cx="623887" cy="313690"/>
                  <wp:effectExtent l="0" t="0" r="508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63" cstate="print">
                            <a:extLst>
                              <a:ext uri="{28A0092B-C50C-407E-A947-70E740481C1C}">
                                <a14:useLocalDpi xmlns:a14="http://schemas.microsoft.com/office/drawing/2010/main" val="0"/>
                              </a:ext>
                            </a:extLst>
                          </a:blip>
                          <a:srcRect l="1083" r="70545"/>
                          <a:stretch/>
                        </pic:blipFill>
                        <pic:spPr bwMode="auto">
                          <a:xfrm>
                            <a:off x="0" y="0"/>
                            <a:ext cx="624392" cy="313944"/>
                          </a:xfrm>
                          <a:prstGeom prst="rect">
                            <a:avLst/>
                          </a:prstGeom>
                          <a:ln>
                            <a:noFill/>
                          </a:ln>
                          <a:extLst>
                            <a:ext uri="{53640926-AAD7-44D8-BBD7-CCE9431645EC}">
                              <a14:shadowObscured xmlns:a14="http://schemas.microsoft.com/office/drawing/2010/main"/>
                            </a:ext>
                          </a:extLst>
                        </pic:spPr>
                      </pic:pic>
                    </a:graphicData>
                  </a:graphic>
                </wp:inline>
              </w:drawing>
            </w:r>
            <w:r w:rsidRPr="00610B1B">
              <w:rPr>
                <w:rFonts w:ascii="Times New Roman" w:eastAsia="Times New Roman" w:hAnsi="Times New Roman" w:cs="Times New Roman"/>
                <w:color w:val="000000" w:themeColor="text1"/>
                <w:sz w:val="24"/>
                <w:szCs w:val="24"/>
                <w:lang w:val="bg-BG" w:eastAsia="bg-BG"/>
              </w:rPr>
              <w:t xml:space="preserve"> </w:t>
            </w:r>
          </w:p>
        </w:tc>
        <w:tc>
          <w:tcPr>
            <w:tcW w:w="5419" w:type="dxa"/>
            <w:vAlign w:val="center"/>
          </w:tcPr>
          <w:p w14:paraId="69B3B8EC" w14:textId="51FDA073" w:rsidR="00765BE6" w:rsidRPr="00610B1B" w:rsidRDefault="00765BE6" w:rsidP="00765BE6">
            <w:pPr>
              <w:rPr>
                <w:rFonts w:ascii="Times New Roman" w:eastAsia="Times New Roman" w:hAnsi="Times New Roman" w:cs="Times New Roman"/>
                <w:color w:val="000000" w:themeColor="text1"/>
                <w:sz w:val="24"/>
                <w:szCs w:val="24"/>
                <w:lang w:val="bg-BG" w:eastAsia="bg-BG"/>
              </w:rPr>
            </w:pPr>
            <w:r w:rsidRPr="00610B1B">
              <w:rPr>
                <w:rFonts w:ascii="Times New Roman" w:eastAsia="Times New Roman" w:hAnsi="Times New Roman" w:cs="Times New Roman"/>
                <w:bCs/>
                <w:color w:val="000000" w:themeColor="text1"/>
                <w:sz w:val="24"/>
                <w:szCs w:val="24"/>
                <w:lang w:val="bg-BG" w:eastAsia="bg-BG"/>
              </w:rPr>
              <w:t>Зони за бъдещо ползване</w:t>
            </w:r>
          </w:p>
        </w:tc>
      </w:tr>
    </w:tbl>
    <w:p w14:paraId="66CDA8E8" w14:textId="1CB7F9ED" w:rsidR="00DE4B4C" w:rsidRPr="00610B1B" w:rsidRDefault="00DE4B4C" w:rsidP="00765BE6">
      <w:pPr>
        <w:pStyle w:val="BodyText"/>
        <w:spacing w:before="120" w:after="120" w:line="276" w:lineRule="auto"/>
        <w:rPr>
          <w:rFonts w:cs="Times New Roman"/>
          <w:color w:val="000000" w:themeColor="text1"/>
        </w:rPr>
      </w:pPr>
      <w:r w:rsidRPr="00610B1B">
        <w:rPr>
          <w:rFonts w:cs="Times New Roman"/>
          <w:color w:val="000000" w:themeColor="text1"/>
        </w:rPr>
        <w:t xml:space="preserve">За всяка от тези зони се систематизират режимите, които трябва да бъдат спазвани и правилата на взаимодействие с други функции и дейности. Отчитайки динамичния характер на средата и на документа Морски пространствен план, това зониране също има динамичен характер </w:t>
      </w:r>
      <w:r w:rsidR="0016487D" w:rsidRPr="00610B1B">
        <w:rPr>
          <w:rFonts w:cs="Times New Roman"/>
          <w:color w:val="000000" w:themeColor="text1"/>
        </w:rPr>
        <w:t>за</w:t>
      </w:r>
      <w:r w:rsidRPr="00610B1B">
        <w:rPr>
          <w:rFonts w:cs="Times New Roman"/>
          <w:color w:val="000000" w:themeColor="text1"/>
        </w:rPr>
        <w:t xml:space="preserve"> отразяване на промени, при изменение на условията на средата, технологиите, националните или секторните приоритети и потребности.</w:t>
      </w:r>
    </w:p>
    <w:p w14:paraId="7AD5BE3E" w14:textId="77777777" w:rsidR="00DE4B4C" w:rsidRPr="00610B1B" w:rsidRDefault="00DE4B4C" w:rsidP="00D32D6A">
      <w:pPr>
        <w:pStyle w:val="BodyText"/>
        <w:spacing w:before="0" w:after="120" w:line="276" w:lineRule="auto"/>
        <w:rPr>
          <w:rFonts w:cs="Times New Roman"/>
          <w:color w:val="000000" w:themeColor="text1"/>
        </w:rPr>
      </w:pPr>
    </w:p>
    <w:p w14:paraId="74F05B4A" w14:textId="54931BB2" w:rsidR="00DE4B4C" w:rsidRPr="00610B1B" w:rsidRDefault="00DE4B4C" w:rsidP="00D32D6A">
      <w:pPr>
        <w:pStyle w:val="Heading3"/>
        <w:spacing w:before="0" w:line="276" w:lineRule="auto"/>
        <w:rPr>
          <w:rFonts w:cs="Times New Roman"/>
        </w:rPr>
      </w:pPr>
      <w:bookmarkStart w:id="483" w:name="_Toc83391433"/>
      <w:r w:rsidRPr="00610B1B">
        <w:rPr>
          <w:rFonts w:cs="Times New Roman"/>
        </w:rPr>
        <w:t>6.3.1. Зони със забрана за ползване</w:t>
      </w:r>
      <w:bookmarkEnd w:id="483"/>
    </w:p>
    <w:p w14:paraId="43EB0F02" w14:textId="7768148F"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t>В групата на зоните със забрана за ползване (Ззп) попадат онези зони, при които е възможна само една единствена функция, поради законови забрани и несъвместимост с останалите функции и ползвания на морските пространства, поради риск за безопасността, сигурността, живота и здравето на хората, опасност от инциденти и повреди на важна инфраструктура или на културни ценности.</w:t>
      </w:r>
      <w:r w:rsidR="00D66FE0" w:rsidRPr="00610B1B">
        <w:rPr>
          <w:rFonts w:cs="Times New Roman"/>
          <w:iCs/>
          <w:color w:val="000000" w:themeColor="text1"/>
        </w:rPr>
        <w:t xml:space="preserve"> </w:t>
      </w:r>
      <w:r w:rsidRPr="00610B1B">
        <w:rPr>
          <w:rFonts w:cs="Times New Roman"/>
          <w:iCs/>
          <w:color w:val="000000" w:themeColor="text1"/>
        </w:rPr>
        <w:t>В тази група се включват зоните за военни учения и обучения, зоните със забрани за корабоплаване, за заставане на котва, а също така и зоните с подводни линейни обекти на техническата инфраструктура, които има потенциална опасност да бъдат засегнати от други дейности на морското дъно. При функционалното зониране на морските пространства са отчетени двата вида зони – с постоянно</w:t>
      </w:r>
      <w:r w:rsidR="0067505D" w:rsidRPr="00610B1B">
        <w:rPr>
          <w:rFonts w:cs="Times New Roman"/>
          <w:iCs/>
          <w:color w:val="000000" w:themeColor="text1"/>
        </w:rPr>
        <w:t xml:space="preserve"> </w:t>
      </w:r>
      <w:r w:rsidRPr="00610B1B">
        <w:rPr>
          <w:rFonts w:cs="Times New Roman"/>
          <w:iCs/>
          <w:color w:val="000000" w:themeColor="text1"/>
        </w:rPr>
        <w:t xml:space="preserve">действаща забрана за ползване и временна забрана за ползване. В тези зони се забраняват дейности, които могат да въздействат на целостта на шелфа (например заставане на котва, дънно тралене и др. подобни дейности), при които е възможно въздействие върху морското дъно. </w:t>
      </w:r>
    </w:p>
    <w:p w14:paraId="2BAB9393" w14:textId="2C21A55C"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t>Районите</w:t>
      </w:r>
      <w:r w:rsidR="0067505D" w:rsidRPr="00610B1B">
        <w:rPr>
          <w:rFonts w:cs="Times New Roman"/>
          <w:iCs/>
          <w:color w:val="000000" w:themeColor="text1"/>
        </w:rPr>
        <w:t xml:space="preserve"> с</w:t>
      </w:r>
      <w:r w:rsidRPr="00610B1B">
        <w:rPr>
          <w:rFonts w:cs="Times New Roman"/>
          <w:iCs/>
          <w:color w:val="000000" w:themeColor="text1"/>
        </w:rPr>
        <w:t xml:space="preserve"> временна забрана за ползване са представени от военните </w:t>
      </w:r>
      <w:r w:rsidR="0067505D" w:rsidRPr="00610B1B">
        <w:rPr>
          <w:rFonts w:cs="Times New Roman"/>
          <w:iCs/>
          <w:color w:val="000000" w:themeColor="text1"/>
        </w:rPr>
        <w:t>полигони</w:t>
      </w:r>
      <w:r w:rsidRPr="00610B1B">
        <w:rPr>
          <w:rFonts w:cs="Times New Roman"/>
          <w:iCs/>
          <w:color w:val="000000" w:themeColor="text1"/>
        </w:rPr>
        <w:t xml:space="preserve">. Те се обявяват за </w:t>
      </w:r>
      <w:r w:rsidR="005A2A99" w:rsidRPr="00610B1B">
        <w:rPr>
          <w:rFonts w:cs="Times New Roman"/>
          <w:iCs/>
          <w:color w:val="000000" w:themeColor="text1"/>
        </w:rPr>
        <w:t>„</w:t>
      </w:r>
      <w:r w:rsidRPr="00610B1B">
        <w:rPr>
          <w:rFonts w:cs="Times New Roman"/>
          <w:iCs/>
          <w:color w:val="000000" w:themeColor="text1"/>
        </w:rPr>
        <w:t>опасни за корабоплаване райони</w:t>
      </w:r>
      <w:r w:rsidR="005A2A99" w:rsidRPr="00610B1B">
        <w:rPr>
          <w:rFonts w:cs="Times New Roman"/>
          <w:iCs/>
          <w:color w:val="000000" w:themeColor="text1"/>
        </w:rPr>
        <w:t>“</w:t>
      </w:r>
      <w:r w:rsidRPr="00610B1B">
        <w:rPr>
          <w:rFonts w:cs="Times New Roman"/>
          <w:iCs/>
          <w:color w:val="000000" w:themeColor="text1"/>
        </w:rPr>
        <w:t xml:space="preserve"> когато са извън териториално море и за </w:t>
      </w:r>
      <w:r w:rsidR="005A2A99" w:rsidRPr="00610B1B">
        <w:rPr>
          <w:rFonts w:cs="Times New Roman"/>
          <w:iCs/>
          <w:color w:val="000000" w:themeColor="text1"/>
        </w:rPr>
        <w:t>„</w:t>
      </w:r>
      <w:r w:rsidRPr="00610B1B">
        <w:rPr>
          <w:rFonts w:cs="Times New Roman"/>
          <w:iCs/>
          <w:color w:val="000000" w:themeColor="text1"/>
        </w:rPr>
        <w:t>забранени за корабоплаване райони</w:t>
      </w:r>
      <w:r w:rsidR="005A2A99" w:rsidRPr="00610B1B">
        <w:rPr>
          <w:rFonts w:cs="Times New Roman"/>
          <w:iCs/>
          <w:color w:val="000000" w:themeColor="text1"/>
        </w:rPr>
        <w:t>“</w:t>
      </w:r>
      <w:r w:rsidRPr="00610B1B">
        <w:rPr>
          <w:rFonts w:cs="Times New Roman"/>
          <w:iCs/>
          <w:color w:val="000000" w:themeColor="text1"/>
        </w:rPr>
        <w:t>, когато са в териториално море. Забраната се въвежда за период от време. Отговорната за това институция е Хидрографска</w:t>
      </w:r>
      <w:r w:rsidR="005A2A99" w:rsidRPr="00610B1B">
        <w:rPr>
          <w:rFonts w:cs="Times New Roman"/>
          <w:iCs/>
          <w:color w:val="000000" w:themeColor="text1"/>
        </w:rPr>
        <w:t>та</w:t>
      </w:r>
      <w:r w:rsidRPr="00610B1B">
        <w:rPr>
          <w:rFonts w:cs="Times New Roman"/>
          <w:iCs/>
          <w:color w:val="000000" w:themeColor="text1"/>
        </w:rPr>
        <w:t xml:space="preserve"> служба на Военноморските сили. Обявяването става с възприетата в корабоплаването система от Известия до мореплавателите.</w:t>
      </w:r>
    </w:p>
    <w:p w14:paraId="70492BB1" w14:textId="1262222A"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
          <w:color w:val="000000" w:themeColor="text1"/>
        </w:rPr>
        <w:t>Основни цели:</w:t>
      </w:r>
      <w:r w:rsidRPr="00610B1B">
        <w:rPr>
          <w:rFonts w:cs="Times New Roman"/>
          <w:iCs/>
          <w:color w:val="000000" w:themeColor="text1"/>
        </w:rPr>
        <w:t xml:space="preserve"> Гарантиране на суверенитета, безопасността и сигурността в морските пространства на Република България и опазване на изградената подводна техническа инфраструктура, съоръженията и оборудването от увреждане.</w:t>
      </w:r>
      <w:r w:rsidR="00D66FE0" w:rsidRPr="00610B1B">
        <w:rPr>
          <w:rFonts w:cs="Times New Roman"/>
          <w:iCs/>
          <w:color w:val="000000" w:themeColor="text1"/>
        </w:rPr>
        <w:t xml:space="preserve"> </w:t>
      </w:r>
    </w:p>
    <w:p w14:paraId="421E1578" w14:textId="77777777" w:rsidR="00DE4B4C" w:rsidRPr="00610B1B" w:rsidRDefault="00DE4B4C" w:rsidP="00D32D6A">
      <w:pPr>
        <w:pStyle w:val="BodyText"/>
        <w:spacing w:before="0" w:after="120" w:line="276" w:lineRule="auto"/>
        <w:rPr>
          <w:rFonts w:cs="Times New Roman"/>
          <w:i/>
          <w:color w:val="000000" w:themeColor="text1"/>
        </w:rPr>
      </w:pPr>
      <w:r w:rsidRPr="00610B1B">
        <w:rPr>
          <w:rFonts w:cs="Times New Roman"/>
          <w:i/>
          <w:color w:val="000000" w:themeColor="text1"/>
        </w:rPr>
        <w:t>Режими на ползване:</w:t>
      </w:r>
      <w:r w:rsidRPr="00610B1B">
        <w:rPr>
          <w:rFonts w:cs="Times New Roman"/>
        </w:rPr>
        <w:t xml:space="preserve"> Режимите на ползване се определят съобразно международното морско право, действащото национално законодателство, целите за дългосрочно устойчиво развитие и интегрирано опазване на морската околна среда. </w:t>
      </w:r>
    </w:p>
    <w:p w14:paraId="172A734A" w14:textId="77777777" w:rsidR="00DE4B4C" w:rsidRPr="00610B1B" w:rsidRDefault="00DE4B4C" w:rsidP="00D32D6A">
      <w:pPr>
        <w:pStyle w:val="BodyText"/>
        <w:spacing w:before="0" w:after="120" w:line="276" w:lineRule="auto"/>
        <w:rPr>
          <w:rFonts w:cs="Times New Roman"/>
          <w:i/>
          <w:color w:val="000000" w:themeColor="text1"/>
        </w:rPr>
      </w:pPr>
      <w:r w:rsidRPr="00610B1B">
        <w:rPr>
          <w:rFonts w:cs="Times New Roman"/>
          <w:i/>
          <w:color w:val="000000" w:themeColor="text1"/>
        </w:rPr>
        <w:lastRenderedPageBreak/>
        <w:t>Забранени дейности:</w:t>
      </w:r>
    </w:p>
    <w:p w14:paraId="5295976D" w14:textId="1C99B835" w:rsidR="00DE4B4C" w:rsidRPr="00610B1B" w:rsidRDefault="00AF508B" w:rsidP="00D32D6A">
      <w:pPr>
        <w:pStyle w:val="BodyText"/>
        <w:spacing w:before="0" w:after="120" w:line="276" w:lineRule="auto"/>
        <w:rPr>
          <w:rFonts w:cs="Times New Roman"/>
          <w:iCs/>
          <w:color w:val="000000" w:themeColor="text1"/>
        </w:rPr>
      </w:pPr>
      <w:r w:rsidRPr="00610B1B">
        <w:rPr>
          <w:rFonts w:cs="Times New Roman"/>
          <w:i/>
          <w:color w:val="000000" w:themeColor="text1"/>
        </w:rPr>
        <w:t>Корабоп</w:t>
      </w:r>
      <w:r w:rsidR="00DE4B4C" w:rsidRPr="00610B1B">
        <w:rPr>
          <w:rFonts w:cs="Times New Roman"/>
          <w:i/>
          <w:color w:val="000000" w:themeColor="text1"/>
        </w:rPr>
        <w:t>лаване</w:t>
      </w:r>
      <w:r w:rsidR="00DE4B4C" w:rsidRPr="00610B1B">
        <w:rPr>
          <w:rFonts w:cs="Times New Roman"/>
          <w:iCs/>
          <w:color w:val="000000" w:themeColor="text1"/>
        </w:rPr>
        <w:t xml:space="preserve"> – извън Системата за разделно движение във вътрешните морски води и териториалното море, в зоните на котвените стоянки, платформи за проучване и добив на нефт и газ, в обявените постоянно действащи полигони за подготовка на водолази на военноморските сили, в отредени за научни изследвания на морската среда полигони и платформи и в съответствие с Конвенцията по морско право, с Конвенцията за международните правила за предпазване от сблъскване на море, 1972 г. (COLREG) (ДВ, бр. 17</w:t>
      </w:r>
      <w:r w:rsidRPr="00610B1B">
        <w:rPr>
          <w:rFonts w:cs="Times New Roman"/>
          <w:iCs/>
          <w:color w:val="000000" w:themeColor="text1"/>
        </w:rPr>
        <w:t>/</w:t>
      </w:r>
      <w:r w:rsidR="00DE4B4C" w:rsidRPr="00610B1B">
        <w:rPr>
          <w:rFonts w:cs="Times New Roman"/>
          <w:iCs/>
          <w:color w:val="000000" w:themeColor="text1"/>
        </w:rPr>
        <w:t>2003 г.), със Закона за морските пространства, вътрешните водни пътища и пристанищата на Република България и съотносимите подзаконови актове.</w:t>
      </w:r>
    </w:p>
    <w:p w14:paraId="4FDF1D9E" w14:textId="0F0C0D81"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
          <w:color w:val="000000" w:themeColor="text1"/>
        </w:rPr>
        <w:t>Заставане на котва</w:t>
      </w:r>
      <w:r w:rsidRPr="00610B1B">
        <w:rPr>
          <w:rFonts w:cs="Times New Roman"/>
          <w:iCs/>
          <w:color w:val="000000" w:themeColor="text1"/>
        </w:rPr>
        <w:t xml:space="preserve"> – извън определените райони/полигони на котвените стоянки във Варненския залив/Варненското езеро, вкл. по един южно от нос Галата, североизточно от устието на р. Камчия и южно от пристанище Балчик;</w:t>
      </w:r>
      <w:r w:rsidRPr="00610B1B">
        <w:rPr>
          <w:rFonts w:cs="Times New Roman"/>
        </w:rPr>
        <w:t xml:space="preserve"> </w:t>
      </w:r>
      <w:r w:rsidRPr="00610B1B">
        <w:rPr>
          <w:rFonts w:cs="Times New Roman"/>
          <w:iCs/>
          <w:color w:val="000000" w:themeColor="text1"/>
        </w:rPr>
        <w:t xml:space="preserve">районите/полигони на котвените стоянки към Бургаските пристанища вкл. предназначените за танкери места и за корабите, посещаващи пристанище Несебър; не по-близо от </w:t>
      </w:r>
      <w:r w:rsidR="00D735AF" w:rsidRPr="00610B1B">
        <w:rPr>
          <w:rFonts w:cs="Times New Roman"/>
          <w:iCs/>
          <w:color w:val="000000" w:themeColor="text1"/>
        </w:rPr>
        <w:t>5</w:t>
      </w:r>
      <w:r w:rsidRPr="00610B1B">
        <w:rPr>
          <w:rFonts w:cs="Times New Roman"/>
          <w:iCs/>
          <w:color w:val="000000" w:themeColor="text1"/>
        </w:rPr>
        <w:t xml:space="preserve">00 метра от подводните линейни обекти на техническата инфраструктура, в малки участъци от пясъчни дъна на дълбочини между 2 и 8 метра, където </w:t>
      </w:r>
      <w:r w:rsidR="00D50057" w:rsidRPr="00610B1B">
        <w:rPr>
          <w:rFonts w:cs="Times New Roman"/>
          <w:iCs/>
          <w:color w:val="000000" w:themeColor="text1"/>
        </w:rPr>
        <w:t>присъстват</w:t>
      </w:r>
      <w:r w:rsidRPr="00610B1B">
        <w:rPr>
          <w:rFonts w:cs="Times New Roman"/>
          <w:iCs/>
          <w:color w:val="000000" w:themeColor="text1"/>
        </w:rPr>
        <w:t xml:space="preserve"> екосистемите на морските треви Zostera – важни местообитания, предмет на национално и европейско опазване, определени с плановете за управление на защитените зони по Натура 2000.</w:t>
      </w:r>
    </w:p>
    <w:p w14:paraId="3D801B41" w14:textId="77777777"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
          <w:color w:val="000000" w:themeColor="text1"/>
        </w:rPr>
        <w:t>Водолазна дейност и подготовка</w:t>
      </w:r>
      <w:r w:rsidRPr="00610B1B">
        <w:rPr>
          <w:rFonts w:cs="Times New Roman"/>
          <w:iCs/>
          <w:color w:val="000000" w:themeColor="text1"/>
        </w:rPr>
        <w:t xml:space="preserve"> – в акваторията на пристанищата, с изключение на случаите за поддръжка на кораби и инфраструктура, в районите на потънали военни обекти, в районите на археологически обекти вкл. и в процес на проучване, без специално разрешение от Центъра за подводна археология, а в случаите с райони, отдадени на концесия и без съгласие на концесионера, както и в съответствие с изискванията на Наредба № 7-Н от 12 юни 2008 г. за извършване на водолазна и друга подводна дейност.</w:t>
      </w:r>
      <w:r w:rsidRPr="00610B1B">
        <w:rPr>
          <w:rStyle w:val="FootnoteReference"/>
          <w:rFonts w:cs="Times New Roman"/>
          <w:iCs/>
          <w:color w:val="000000" w:themeColor="text1"/>
        </w:rPr>
        <w:footnoteReference w:id="199"/>
      </w:r>
    </w:p>
    <w:p w14:paraId="76A252D1" w14:textId="3120803E"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
          <w:color w:val="000000" w:themeColor="text1"/>
        </w:rPr>
        <w:t>Риболов с придънни средства</w:t>
      </w:r>
      <w:r w:rsidRPr="00610B1B">
        <w:rPr>
          <w:rFonts w:cs="Times New Roman"/>
          <w:iCs/>
          <w:color w:val="000000" w:themeColor="text1"/>
        </w:rPr>
        <w:t xml:space="preserve"> – в зоните на преминаване на проводи и кабели на подводна техническа инфраструктура; наличие на подводна археология и/или ценни и чувствителни дънни екосистеми; </w:t>
      </w:r>
      <w:bookmarkStart w:id="484" w:name="_Hlk47197667"/>
      <w:r w:rsidRPr="00610B1B">
        <w:rPr>
          <w:rFonts w:cs="Times New Roman"/>
          <w:iCs/>
          <w:color w:val="000000" w:themeColor="text1"/>
        </w:rPr>
        <w:t xml:space="preserve">в райони не по-близо от </w:t>
      </w:r>
      <w:r w:rsidR="00D735AF" w:rsidRPr="00610B1B">
        <w:rPr>
          <w:rFonts w:cs="Times New Roman"/>
          <w:iCs/>
          <w:color w:val="000000" w:themeColor="text1"/>
        </w:rPr>
        <w:t>5</w:t>
      </w:r>
      <w:r w:rsidRPr="00610B1B">
        <w:rPr>
          <w:rFonts w:cs="Times New Roman"/>
          <w:iCs/>
          <w:color w:val="000000" w:themeColor="text1"/>
        </w:rPr>
        <w:t>00 метра от подводните линейни обекти на техническата инфраструктура, в съответствие с изискванията на Закона за морските пространства, вътрешните водни пътища и пристанищата на Република България, Конвенцията за опазване на подводното културно наследство и съотносимите подзаконови актове;</w:t>
      </w:r>
    </w:p>
    <w:bookmarkEnd w:id="484"/>
    <w:p w14:paraId="4C5023B2" w14:textId="7FB403FB"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
          <w:color w:val="000000" w:themeColor="text1"/>
        </w:rPr>
        <w:t>Драгиране</w:t>
      </w:r>
      <w:r w:rsidR="00140F67" w:rsidRPr="00610B1B">
        <w:rPr>
          <w:rFonts w:eastAsia="Times New Roman" w:cs="Times New Roman"/>
          <w:color w:val="000000" w:themeColor="text1"/>
          <w:lang w:eastAsia="bg-BG"/>
        </w:rPr>
        <w:t xml:space="preserve"> – </w:t>
      </w:r>
      <w:r w:rsidRPr="00610B1B">
        <w:rPr>
          <w:rFonts w:cs="Times New Roman"/>
          <w:iCs/>
          <w:color w:val="000000" w:themeColor="text1"/>
        </w:rPr>
        <w:t>в зоните на преминаване на проводи и кабели на подводна техническа инфраструктура; наличие на подводна археология и/или ценни и чувствителни дънни екосистеми;</w:t>
      </w:r>
      <w:r w:rsidRPr="00610B1B">
        <w:rPr>
          <w:rFonts w:cs="Times New Roman"/>
        </w:rPr>
        <w:t xml:space="preserve"> </w:t>
      </w:r>
      <w:r w:rsidRPr="00610B1B">
        <w:rPr>
          <w:rFonts w:cs="Times New Roman"/>
          <w:iCs/>
          <w:color w:val="000000" w:themeColor="text1"/>
        </w:rPr>
        <w:t xml:space="preserve">в райони не по-близо от </w:t>
      </w:r>
      <w:r w:rsidR="00D735AF" w:rsidRPr="00610B1B">
        <w:rPr>
          <w:rFonts w:cs="Times New Roman"/>
          <w:iCs/>
          <w:color w:val="000000" w:themeColor="text1"/>
        </w:rPr>
        <w:t>5</w:t>
      </w:r>
      <w:r w:rsidRPr="00610B1B">
        <w:rPr>
          <w:rFonts w:cs="Times New Roman"/>
          <w:iCs/>
          <w:color w:val="000000" w:themeColor="text1"/>
        </w:rPr>
        <w:t>00 метра от подводните линейни обекти на техническата инфраструктура;</w:t>
      </w:r>
      <w:r w:rsidRPr="00610B1B">
        <w:rPr>
          <w:rFonts w:cs="Times New Roman"/>
        </w:rPr>
        <w:t xml:space="preserve"> </w:t>
      </w:r>
      <w:r w:rsidRPr="00610B1B">
        <w:rPr>
          <w:rFonts w:cs="Times New Roman"/>
          <w:iCs/>
          <w:color w:val="000000" w:themeColor="text1"/>
        </w:rPr>
        <w:t>в съответствие с изискванията на Закона за морските пространства, вътрешните водни пътища и пристанищата на Република България, Конвенцията за опазване на подводното културно наследство и съотносимите подзаконови актове.</w:t>
      </w:r>
    </w:p>
    <w:p w14:paraId="39764299" w14:textId="013509A1"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
          <w:color w:val="000000" w:themeColor="text1"/>
        </w:rPr>
        <w:t>Взривове</w:t>
      </w:r>
      <w:r w:rsidRPr="00610B1B">
        <w:rPr>
          <w:rFonts w:cs="Times New Roman"/>
          <w:iCs/>
          <w:color w:val="000000" w:themeColor="text1"/>
        </w:rPr>
        <w:t xml:space="preserve"> – в райони/полигони със съществуващ риск от взривяване на останали мини от </w:t>
      </w:r>
      <w:r w:rsidRPr="00610B1B">
        <w:rPr>
          <w:rFonts w:cs="Times New Roman"/>
          <w:iCs/>
          <w:color w:val="000000" w:themeColor="text1"/>
        </w:rPr>
        <w:lastRenderedPageBreak/>
        <w:t>военните действия в Черно море, в близост до зоните за преминаване на подводната</w:t>
      </w:r>
      <w:r w:rsidR="00D66FE0" w:rsidRPr="00610B1B">
        <w:rPr>
          <w:rFonts w:cs="Times New Roman"/>
          <w:iCs/>
          <w:color w:val="000000" w:themeColor="text1"/>
        </w:rPr>
        <w:t xml:space="preserve"> </w:t>
      </w:r>
      <w:r w:rsidRPr="00610B1B">
        <w:rPr>
          <w:rFonts w:cs="Times New Roman"/>
          <w:iCs/>
          <w:color w:val="000000" w:themeColor="text1"/>
        </w:rPr>
        <w:t>техническа инфраструктура, до подводна археология или до морски защитени обекти.</w:t>
      </w:r>
    </w:p>
    <w:p w14:paraId="08E5C6BF" w14:textId="507B8183"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
          <w:color w:val="000000" w:themeColor="text1"/>
        </w:rPr>
        <w:t>Водни спортове и развлечения</w:t>
      </w:r>
      <w:r w:rsidRPr="00610B1B">
        <w:rPr>
          <w:rFonts w:cs="Times New Roman"/>
          <w:iCs/>
          <w:color w:val="000000" w:themeColor="text1"/>
        </w:rPr>
        <w:t xml:space="preserve"> – плаване на по-малко от </w:t>
      </w:r>
      <w:bookmarkStart w:id="485" w:name="_Hlk47191592"/>
      <w:r w:rsidRPr="00610B1B">
        <w:rPr>
          <w:rFonts w:cs="Times New Roman"/>
          <w:iCs/>
          <w:color w:val="000000" w:themeColor="text1"/>
        </w:rPr>
        <w:t>200 метра навътре в морето от обозначената зона за санитарна охрана и къпане, съгласно одобрената специализирана схема на прилежащата акватория на охраняемите морски плажове и по-малко от 300 метра от брега при неохраняеми плажове, в съответствие със Закона за устройство на Черноморското крайбрежие, Наредбата № 14 за курортните ресурси, курортните местности и курортите</w:t>
      </w:r>
      <w:r w:rsidRPr="00610B1B">
        <w:rPr>
          <w:rStyle w:val="FootnoteReference"/>
          <w:rFonts w:cs="Times New Roman"/>
          <w:iCs/>
          <w:color w:val="000000" w:themeColor="text1"/>
        </w:rPr>
        <w:footnoteReference w:id="200"/>
      </w:r>
      <w:r w:rsidRPr="00610B1B">
        <w:rPr>
          <w:rFonts w:cs="Times New Roman"/>
          <w:iCs/>
          <w:color w:val="000000" w:themeColor="text1"/>
        </w:rPr>
        <w:t xml:space="preserve"> и Наредбата за плаването и граничния режим във вътрешните морски води, в териториалното море и във вътрешните водни пътища на Република България на български и чуждестранни яхти, лодки и други плавателни средства за спорт, туризъм и развлечение, както и извършване на водноатракционни услуги с тях.</w:t>
      </w:r>
      <w:r w:rsidRPr="00610B1B">
        <w:rPr>
          <w:rStyle w:val="FootnoteReference"/>
          <w:rFonts w:cs="Times New Roman"/>
          <w:iCs/>
          <w:color w:val="000000" w:themeColor="text1"/>
        </w:rPr>
        <w:footnoteReference w:id="201"/>
      </w:r>
      <w:r w:rsidR="00D66FE0" w:rsidRPr="00610B1B">
        <w:rPr>
          <w:rFonts w:cs="Times New Roman"/>
          <w:iCs/>
          <w:color w:val="000000" w:themeColor="text1"/>
        </w:rPr>
        <w:t xml:space="preserve"> </w:t>
      </w:r>
    </w:p>
    <w:p w14:paraId="2D246F95" w14:textId="77777777" w:rsidR="00695BEA" w:rsidRPr="00610B1B" w:rsidRDefault="00695BEA" w:rsidP="00D32D6A">
      <w:pPr>
        <w:pStyle w:val="BodyText"/>
        <w:spacing w:before="0" w:after="120" w:line="276" w:lineRule="auto"/>
        <w:rPr>
          <w:rFonts w:cs="Times New Roman"/>
          <w:iCs/>
          <w:color w:val="000000" w:themeColor="text1"/>
        </w:rPr>
      </w:pPr>
    </w:p>
    <w:p w14:paraId="732184E8" w14:textId="757B1FDC" w:rsidR="00DE4B4C" w:rsidRPr="00610B1B" w:rsidRDefault="00DE4B4C" w:rsidP="00D32D6A">
      <w:pPr>
        <w:pStyle w:val="Heading3"/>
        <w:spacing w:before="0" w:line="276" w:lineRule="auto"/>
        <w:rPr>
          <w:rFonts w:cs="Times New Roman"/>
        </w:rPr>
      </w:pPr>
      <w:bookmarkStart w:id="486" w:name="_Toc83391434"/>
      <w:bookmarkEnd w:id="485"/>
      <w:r w:rsidRPr="00610B1B">
        <w:rPr>
          <w:rFonts w:cs="Times New Roman"/>
        </w:rPr>
        <w:t>6.3.2. Зони със специфичен режим на опазване</w:t>
      </w:r>
      <w:bookmarkEnd w:id="486"/>
    </w:p>
    <w:p w14:paraId="67F4A11B" w14:textId="77013D7C"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t xml:space="preserve">Зоните със специфичен режим на </w:t>
      </w:r>
      <w:r w:rsidR="002F26AA" w:rsidRPr="00610B1B">
        <w:rPr>
          <w:rFonts w:cs="Times New Roman"/>
          <w:iCs/>
          <w:color w:val="000000" w:themeColor="text1"/>
        </w:rPr>
        <w:t>опазване</w:t>
      </w:r>
      <w:r w:rsidRPr="00610B1B">
        <w:rPr>
          <w:rFonts w:cs="Times New Roman"/>
          <w:iCs/>
          <w:color w:val="000000" w:themeColor="text1"/>
        </w:rPr>
        <w:t xml:space="preserve"> (Зср) обхващат</w:t>
      </w:r>
      <w:r w:rsidR="00D66FE0" w:rsidRPr="00610B1B">
        <w:rPr>
          <w:rFonts w:cs="Times New Roman"/>
          <w:iCs/>
          <w:color w:val="000000" w:themeColor="text1"/>
        </w:rPr>
        <w:t xml:space="preserve"> </w:t>
      </w:r>
      <w:r w:rsidRPr="00610B1B">
        <w:rPr>
          <w:rFonts w:cs="Times New Roman"/>
          <w:iCs/>
          <w:color w:val="000000" w:themeColor="text1"/>
        </w:rPr>
        <w:t xml:space="preserve">морски защитени зони и защитени територии от Националната екологична мрежа и зоните за опазване на културното наследство. Към тях се включват и зоните, предложени от Института по Океанология и Института за биоразнообразие и екосистемни изследвания на БАН, които приоритетно </w:t>
      </w:r>
      <w:r w:rsidR="00AF508B" w:rsidRPr="00610B1B">
        <w:rPr>
          <w:rFonts w:cs="Times New Roman"/>
          <w:iCs/>
          <w:color w:val="000000" w:themeColor="text1"/>
        </w:rPr>
        <w:t xml:space="preserve">се </w:t>
      </w:r>
      <w:r w:rsidRPr="00610B1B">
        <w:rPr>
          <w:rFonts w:cs="Times New Roman"/>
          <w:iCs/>
          <w:color w:val="000000" w:themeColor="text1"/>
        </w:rPr>
        <w:t>използва</w:t>
      </w:r>
      <w:r w:rsidR="00AF508B" w:rsidRPr="00610B1B">
        <w:rPr>
          <w:rFonts w:cs="Times New Roman"/>
          <w:iCs/>
          <w:color w:val="000000" w:themeColor="text1"/>
        </w:rPr>
        <w:t>т</w:t>
      </w:r>
      <w:r w:rsidRPr="00610B1B">
        <w:rPr>
          <w:rFonts w:cs="Times New Roman"/>
          <w:iCs/>
          <w:color w:val="000000" w:themeColor="text1"/>
        </w:rPr>
        <w:t xml:space="preserve"> за проучване и мониторинг на състоянието на морската околна среда</w:t>
      </w:r>
      <w:r w:rsidR="00AF508B" w:rsidRPr="00610B1B">
        <w:rPr>
          <w:rFonts w:cs="Times New Roman"/>
          <w:iCs/>
          <w:color w:val="000000" w:themeColor="text1"/>
        </w:rPr>
        <w:t xml:space="preserve"> от научни институти и центрове и са</w:t>
      </w:r>
      <w:r w:rsidRPr="00610B1B">
        <w:rPr>
          <w:rFonts w:cs="Times New Roman"/>
          <w:iCs/>
          <w:color w:val="000000" w:themeColor="text1"/>
        </w:rPr>
        <w:t xml:space="preserve"> разположени в близост до изследователските им бази на българското Черноморско крайбрежие. </w:t>
      </w:r>
    </w:p>
    <w:p w14:paraId="2ED56725" w14:textId="7ED29B7B"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
          <w:color w:val="000000" w:themeColor="text1"/>
        </w:rPr>
        <w:t xml:space="preserve">Основни цели: </w:t>
      </w:r>
      <w:r w:rsidRPr="00610B1B">
        <w:rPr>
          <w:rFonts w:cs="Times New Roman"/>
          <w:iCs/>
          <w:color w:val="000000" w:themeColor="text1"/>
        </w:rPr>
        <w:t>Съхраняване и проучване на природни и културни ценности, което да увеличи знанието на настоящите и бъдещите поколения за тяхната значимост и принос към биологичното разнообразие в морските пространства на Европа, към световната</w:t>
      </w:r>
      <w:r w:rsidR="00D66FE0" w:rsidRPr="00610B1B">
        <w:rPr>
          <w:rFonts w:cs="Times New Roman"/>
          <w:iCs/>
          <w:color w:val="000000" w:themeColor="text1"/>
        </w:rPr>
        <w:t xml:space="preserve"> </w:t>
      </w:r>
      <w:r w:rsidRPr="00610B1B">
        <w:rPr>
          <w:rFonts w:cs="Times New Roman"/>
          <w:iCs/>
          <w:color w:val="000000" w:themeColor="text1"/>
        </w:rPr>
        <w:t>и националната история.</w:t>
      </w:r>
    </w:p>
    <w:p w14:paraId="4BE2C437" w14:textId="73E675DF"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
          <w:color w:val="000000" w:themeColor="text1"/>
        </w:rPr>
        <w:t xml:space="preserve">Режими на ползване: </w:t>
      </w:r>
      <w:r w:rsidRPr="00610B1B">
        <w:rPr>
          <w:rFonts w:cs="Times New Roman"/>
          <w:iCs/>
          <w:color w:val="000000" w:themeColor="text1"/>
        </w:rPr>
        <w:t>Режимите за достъп и ползване на защитени зони и защитени територии от НЕМ се определят в съответствие с техния статут, решението</w:t>
      </w:r>
      <w:r w:rsidR="00AF508B" w:rsidRPr="00610B1B">
        <w:rPr>
          <w:rFonts w:cs="Times New Roman"/>
          <w:iCs/>
          <w:color w:val="000000" w:themeColor="text1"/>
        </w:rPr>
        <w:t>/заповедта</w:t>
      </w:r>
      <w:r w:rsidRPr="00610B1B">
        <w:rPr>
          <w:rFonts w:cs="Times New Roman"/>
          <w:iCs/>
          <w:color w:val="000000" w:themeColor="text1"/>
        </w:rPr>
        <w:t xml:space="preserve"> за обявяването им и ограниченията съгласно стандартните формуляри. Те се съобразяват с международните конвенции, ратифицирани от Р. България, Директивите на Европейския съюз за местообитанията и за птиците, националните законови и подзаконови актове</w:t>
      </w:r>
      <w:r w:rsidR="00AF508B" w:rsidRPr="00610B1B">
        <w:rPr>
          <w:rFonts w:cs="Times New Roman"/>
          <w:iCs/>
          <w:color w:val="000000" w:themeColor="text1"/>
        </w:rPr>
        <w:t xml:space="preserve"> и с Плановете за управление, където такива са изготвени и одобрени</w:t>
      </w:r>
      <w:r w:rsidRPr="00610B1B">
        <w:rPr>
          <w:rFonts w:cs="Times New Roman"/>
          <w:iCs/>
          <w:color w:val="000000" w:themeColor="text1"/>
        </w:rPr>
        <w:t xml:space="preserve">. </w:t>
      </w:r>
    </w:p>
    <w:p w14:paraId="558E60A6" w14:textId="77777777" w:rsidR="00DE4B4C" w:rsidRPr="00610B1B" w:rsidRDefault="00DE4B4C" w:rsidP="00D32D6A">
      <w:pPr>
        <w:pStyle w:val="BodyText"/>
        <w:spacing w:before="0" w:after="120" w:line="276" w:lineRule="auto"/>
        <w:rPr>
          <w:rFonts w:cs="Times New Roman"/>
          <w:i/>
          <w:color w:val="000000" w:themeColor="text1"/>
        </w:rPr>
      </w:pPr>
      <w:r w:rsidRPr="00610B1B">
        <w:rPr>
          <w:rFonts w:cs="Times New Roman"/>
          <w:i/>
          <w:color w:val="000000" w:themeColor="text1"/>
        </w:rPr>
        <w:t>Забранени дейности:</w:t>
      </w:r>
    </w:p>
    <w:p w14:paraId="4C74BF2E" w14:textId="77777777" w:rsidR="00AF508B"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t>В зоните със специфичен режим на опазване на природни ценности (Зср-НЕМ) се прилагат изискванията на Директива</w:t>
      </w:r>
      <w:r w:rsidRPr="00610B1B">
        <w:rPr>
          <w:rFonts w:cs="Times New Roman"/>
        </w:rPr>
        <w:t xml:space="preserve"> </w:t>
      </w:r>
      <w:r w:rsidRPr="00610B1B">
        <w:rPr>
          <w:rFonts w:cs="Times New Roman"/>
          <w:iCs/>
          <w:color w:val="000000" w:themeColor="text1"/>
        </w:rPr>
        <w:t xml:space="preserve">2009/147/ЕО на Европейския парламент и на Съвета относно опазването на дивите птици (SPA) и Директива 92/43/ЕИО на Съвета за опазване на естествените местообитания и на дивата флора и фауна (SCI), на Закона за опазване на околната среда, Закона за биологичното разнообразие, Закона за защитените територии, Наредбата за опазване на околната среда в морските води и други съотносими подзаконови актове. </w:t>
      </w:r>
    </w:p>
    <w:p w14:paraId="521EA502" w14:textId="4D1BC915"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lastRenderedPageBreak/>
        <w:t>В тези зони се забранява: добив на пясък, чакъл или камък; добив на миди, рапани и риболов чрез дънно тралене; драгиране и депониране на драгажни маси; пребаластирането на кораби в морските пространства в зоната; изграждането на изкуствени подводни рифове и острови върху местообитанията, предмет на опазване; търсенето и проучването на полезни изкопаеми.</w:t>
      </w:r>
    </w:p>
    <w:p w14:paraId="7CAD1C5C" w14:textId="4829B976"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t>Във всяка зона се налагат забраните, определени в Плановете за управление на съответната защитена територия или защитена зона, а при липса на такъв, от</w:t>
      </w:r>
      <w:r w:rsidR="00D66FE0" w:rsidRPr="00610B1B">
        <w:rPr>
          <w:rFonts w:cs="Times New Roman"/>
          <w:iCs/>
          <w:color w:val="000000" w:themeColor="text1"/>
        </w:rPr>
        <w:t xml:space="preserve"> </w:t>
      </w:r>
      <w:r w:rsidRPr="00610B1B">
        <w:rPr>
          <w:rFonts w:cs="Times New Roman"/>
          <w:iCs/>
          <w:color w:val="000000" w:themeColor="text1"/>
        </w:rPr>
        <w:t>заповедите за обявяване, обнародвани в Държавен вестник, или съгласно Стандартния формуляр Натура 2000 от регистъра на защитените територии и защитените зони в България.</w:t>
      </w:r>
      <w:r w:rsidRPr="00610B1B">
        <w:rPr>
          <w:rStyle w:val="FootnoteReference"/>
          <w:rFonts w:cs="Times New Roman"/>
          <w:iCs/>
          <w:color w:val="000000" w:themeColor="text1"/>
        </w:rPr>
        <w:footnoteReference w:id="202"/>
      </w:r>
      <w:r w:rsidR="00D66FE0" w:rsidRPr="00610B1B">
        <w:rPr>
          <w:rFonts w:cs="Times New Roman"/>
          <w:iCs/>
          <w:color w:val="000000" w:themeColor="text1"/>
        </w:rPr>
        <w:t xml:space="preserve"> </w:t>
      </w:r>
    </w:p>
    <w:p w14:paraId="1825DF13" w14:textId="77777777"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t>В зоните със специфичен режим за опазване на културните ценности (Зср-КИН) се прилагат изискванията на Конвенцията за опазване на подводното културно наследство и принципите, описани в приложените Правила относно намесите в подводното културно наследство, Закона за културното наследство и Плановете за опазване и управление, където съществуват. Забраните в тези зони обхващат: проучвания, които има вероятност да увредят морското дъно или местообитанията на неговите обитатели; тралене, драгиране и риболов с придънни средства; депониране на драгажна маса; водолазна дейност, освен тази за целите на проучването и опазването на културните ценности; търсене и проучване на полезни изкопаеми; заставане на котва.</w:t>
      </w:r>
    </w:p>
    <w:p w14:paraId="7FEB93DF" w14:textId="2DE6002A"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t xml:space="preserve"> В тази категория следва да се включат и охранителните зони на Несебър и Созопол с широчина от 1 km, както и други подобни с широчина 500 m, отразени в приетите</w:t>
      </w:r>
      <w:r w:rsidR="00D66FE0" w:rsidRPr="00610B1B">
        <w:rPr>
          <w:rFonts w:cs="Times New Roman"/>
          <w:iCs/>
          <w:color w:val="000000" w:themeColor="text1"/>
        </w:rPr>
        <w:t xml:space="preserve"> </w:t>
      </w:r>
      <w:r w:rsidRPr="00610B1B">
        <w:rPr>
          <w:rFonts w:cs="Times New Roman"/>
          <w:iCs/>
          <w:color w:val="000000" w:themeColor="text1"/>
        </w:rPr>
        <w:t>или в процедура по приемане Общи устройствени планове на крайбрежните общини.</w:t>
      </w:r>
    </w:p>
    <w:p w14:paraId="6BA1057A" w14:textId="77777777" w:rsidR="00695BEA" w:rsidRPr="00610B1B" w:rsidRDefault="00695BEA" w:rsidP="00D32D6A">
      <w:pPr>
        <w:pStyle w:val="BodyText"/>
        <w:spacing w:before="0" w:after="120" w:line="276" w:lineRule="auto"/>
        <w:rPr>
          <w:rFonts w:cs="Times New Roman"/>
          <w:iCs/>
          <w:color w:val="000000" w:themeColor="text1"/>
        </w:rPr>
      </w:pPr>
    </w:p>
    <w:p w14:paraId="65828E9F" w14:textId="58FD8210" w:rsidR="00DE4B4C" w:rsidRPr="00610B1B" w:rsidRDefault="00DE4B4C" w:rsidP="00D32D6A">
      <w:pPr>
        <w:pStyle w:val="Heading3"/>
        <w:spacing w:before="0" w:line="276" w:lineRule="auto"/>
        <w:rPr>
          <w:rFonts w:cs="Times New Roman"/>
        </w:rPr>
      </w:pPr>
      <w:bookmarkStart w:id="487" w:name="_Toc83391435"/>
      <w:r w:rsidRPr="00610B1B">
        <w:rPr>
          <w:rFonts w:cs="Times New Roman"/>
        </w:rPr>
        <w:t>6.3.3. Мултифункционални зони</w:t>
      </w:r>
      <w:bookmarkEnd w:id="487"/>
    </w:p>
    <w:p w14:paraId="5CA65C67" w14:textId="0C183A2B"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t xml:space="preserve">Мултифункционалните зони </w:t>
      </w:r>
      <w:r w:rsidR="008371A2" w:rsidRPr="00610B1B">
        <w:rPr>
          <w:rFonts w:cs="Times New Roman"/>
          <w:iCs/>
          <w:color w:val="000000" w:themeColor="text1"/>
        </w:rPr>
        <w:t xml:space="preserve">(Змф) </w:t>
      </w:r>
      <w:r w:rsidRPr="00610B1B">
        <w:rPr>
          <w:rFonts w:cs="Times New Roman"/>
          <w:iCs/>
          <w:color w:val="000000" w:themeColor="text1"/>
        </w:rPr>
        <w:t xml:space="preserve">отговарят на използваните в други страни „зони за общо ползване“, в които се съчетават безконфликтно няколко различни съвместими функции в определеното морско пространство. По същество и в момента почти всички национални морски пространства съчетават няколко функции, с изключение за зоните със забранен достъп, предимно свързани с военни учения и обучения. Възможни са всякакви съчетания с изключение на такива, със специфични законово регламентирани ограничения, включително и споменатите по-горе. Ограниченията, с които се съобразява интегрирането на функциите в тези зони са общи, произтичащи от международното и европейско право и от националната правна уредба, и специфични, които са свързани с развитие на отделни сектори на морската икономика. </w:t>
      </w:r>
    </w:p>
    <w:p w14:paraId="7533B1CF" w14:textId="1E85DEA2"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t xml:space="preserve">Възможни съчетания в Морския пространствен план на Република България 2021-2035 са зони за опазване на културното наследство и туризъм, зони за опазване на културното наследство и морски защитени зони от екологичната мрежа Натура 2000, или съчетание на трите функции, при съобразяване със специфичните ограничения и охранителните зони на културните ценности, ограничителните режими на защитените зони от заповедите на обявяването им. Логично е научноизследователската дейност да се </w:t>
      </w:r>
      <w:r w:rsidRPr="00610B1B">
        <w:rPr>
          <w:rFonts w:cs="Times New Roman"/>
          <w:iCs/>
          <w:color w:val="000000" w:themeColor="text1"/>
        </w:rPr>
        <w:lastRenderedPageBreak/>
        <w:t>съчетава със защитените зони,</w:t>
      </w:r>
      <w:r w:rsidRPr="00610B1B">
        <w:rPr>
          <w:rFonts w:cs="Times New Roman"/>
        </w:rPr>
        <w:t xml:space="preserve"> с изключение на </w:t>
      </w:r>
      <w:r w:rsidR="003C41B4" w:rsidRPr="00610B1B">
        <w:rPr>
          <w:rFonts w:cs="Times New Roman"/>
          <w:iCs/>
          <w:color w:val="000000" w:themeColor="text1"/>
        </w:rPr>
        <w:t>научноизследователския</w:t>
      </w:r>
      <w:r w:rsidRPr="00610B1B">
        <w:rPr>
          <w:rFonts w:cs="Times New Roman"/>
          <w:iCs/>
          <w:color w:val="000000" w:themeColor="text1"/>
        </w:rPr>
        <w:t xml:space="preserve"> риболов с ‘бийм трал’, и с опазване и проучване на културното наследство на брега и под вода, при същите условия. </w:t>
      </w:r>
    </w:p>
    <w:p w14:paraId="5B393C99" w14:textId="44892CB5"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
          <w:color w:val="000000" w:themeColor="text1"/>
        </w:rPr>
        <w:t xml:space="preserve">Основни цели: </w:t>
      </w:r>
      <w:r w:rsidRPr="00610B1B">
        <w:rPr>
          <w:rFonts w:cs="Times New Roman"/>
          <w:iCs/>
          <w:color w:val="000000" w:themeColor="text1"/>
        </w:rPr>
        <w:t>Безконфликтно съчетаване на съвместими функции за по-ефективно използване на морските пространства; постигане на положителна синергия и икономия на пространство и от мащаба</w:t>
      </w:r>
      <w:r w:rsidR="00F561A8" w:rsidRPr="00610B1B">
        <w:rPr>
          <w:rFonts w:cs="Times New Roman"/>
          <w:iCs/>
          <w:color w:val="000000" w:themeColor="text1"/>
        </w:rPr>
        <w:t>;</w:t>
      </w:r>
      <w:r w:rsidRPr="00610B1B">
        <w:rPr>
          <w:rFonts w:cs="Times New Roman"/>
          <w:iCs/>
          <w:color w:val="000000" w:themeColor="text1"/>
        </w:rPr>
        <w:t xml:space="preserve"> и по-добро координиране на секторните политики, свързани с морето.</w:t>
      </w:r>
    </w:p>
    <w:p w14:paraId="3DD690B9" w14:textId="77777777" w:rsidR="00DE4B4C" w:rsidRPr="00610B1B" w:rsidRDefault="00DE4B4C" w:rsidP="00D32D6A">
      <w:pPr>
        <w:pStyle w:val="BodyText"/>
        <w:spacing w:before="0" w:after="120" w:line="276" w:lineRule="auto"/>
        <w:rPr>
          <w:rFonts w:cs="Times New Roman"/>
          <w:i/>
          <w:color w:val="000000" w:themeColor="text1"/>
        </w:rPr>
      </w:pPr>
      <w:r w:rsidRPr="00610B1B">
        <w:rPr>
          <w:rFonts w:cs="Times New Roman"/>
          <w:i/>
          <w:color w:val="000000" w:themeColor="text1"/>
        </w:rPr>
        <w:t>Режими на ползване:</w:t>
      </w:r>
    </w:p>
    <w:p w14:paraId="6B7AEC8F" w14:textId="77777777"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t>Режимите на ползване на мултифункционалните зони се определят от възможните съчетания, в основата на които могат да бъдат следните дейности:</w:t>
      </w:r>
    </w:p>
    <w:p w14:paraId="65D2249B" w14:textId="7FB095A9" w:rsidR="00DE4B4C" w:rsidRPr="00610B1B" w:rsidRDefault="000B7E9C" w:rsidP="00D32D6A">
      <w:pPr>
        <w:pStyle w:val="BodyText"/>
        <w:spacing w:before="0" w:after="120" w:line="276" w:lineRule="auto"/>
        <w:rPr>
          <w:rFonts w:cs="Times New Roman"/>
          <w:iCs/>
          <w:color w:val="000000" w:themeColor="text1"/>
        </w:rPr>
      </w:pPr>
      <w:r w:rsidRPr="00610B1B">
        <w:rPr>
          <w:rFonts w:cs="Times New Roman"/>
          <w:i/>
          <w:color w:val="000000" w:themeColor="text1"/>
        </w:rPr>
        <w:t>Морски транспорт</w:t>
      </w:r>
      <w:r w:rsidR="00DE4B4C" w:rsidRPr="00610B1B">
        <w:rPr>
          <w:rFonts w:cs="Times New Roman"/>
          <w:i/>
          <w:color w:val="000000" w:themeColor="text1"/>
        </w:rPr>
        <w:t xml:space="preserve"> и риболов</w:t>
      </w:r>
      <w:r w:rsidRPr="00610B1B">
        <w:rPr>
          <w:rFonts w:cs="Times New Roman"/>
          <w:iCs/>
          <w:color w:val="000000" w:themeColor="text1"/>
        </w:rPr>
        <w:t xml:space="preserve"> (Змф-Мтр</w:t>
      </w:r>
      <w:r w:rsidR="00DE4B4C" w:rsidRPr="00610B1B">
        <w:rPr>
          <w:rFonts w:cs="Times New Roman"/>
          <w:iCs/>
          <w:color w:val="000000" w:themeColor="text1"/>
        </w:rPr>
        <w:t>,</w:t>
      </w:r>
      <w:r w:rsidRPr="00610B1B">
        <w:rPr>
          <w:rFonts w:cs="Times New Roman"/>
          <w:iCs/>
          <w:color w:val="000000" w:themeColor="text1"/>
        </w:rPr>
        <w:t xml:space="preserve"> </w:t>
      </w:r>
      <w:r w:rsidR="00DE4B4C" w:rsidRPr="00610B1B">
        <w:rPr>
          <w:rFonts w:cs="Times New Roman"/>
          <w:iCs/>
          <w:color w:val="000000" w:themeColor="text1"/>
        </w:rPr>
        <w:t>Р) – За безконфликтното им съчетаване се спазват изискванията на Конвенцията на Организацията на обединените нации по морско право, на Закона за морските пространства, вътрешните водни пътища и пристанищата на Република България, ограниченията на Системата за разделно движение, Закона за рибарството и аквакултурите. Риболовът се осъществява по начин, който гарантира опазването на биоразнообразието и рибните ресурси и спазването на правилата за любителския риболов, рибностопанските дейности и отглеждането на аквакултури и други морски организми.</w:t>
      </w:r>
      <w:r w:rsidR="00C415D1" w:rsidRPr="00610B1B">
        <w:rPr>
          <w:rFonts w:cs="Times New Roman"/>
          <w:iCs/>
          <w:color w:val="000000" w:themeColor="text1"/>
        </w:rPr>
        <w:t xml:space="preserve"> </w:t>
      </w:r>
    </w:p>
    <w:p w14:paraId="49D3357C" w14:textId="41F908E0" w:rsidR="00DE4B4C" w:rsidRPr="00610B1B" w:rsidRDefault="000B7E9C" w:rsidP="00D32D6A">
      <w:pPr>
        <w:pStyle w:val="BodyText"/>
        <w:spacing w:before="0" w:after="120" w:line="276" w:lineRule="auto"/>
        <w:rPr>
          <w:rFonts w:cs="Times New Roman"/>
          <w:iCs/>
          <w:color w:val="000000" w:themeColor="text1"/>
        </w:rPr>
      </w:pPr>
      <w:r w:rsidRPr="00610B1B">
        <w:rPr>
          <w:rFonts w:cs="Times New Roman"/>
          <w:i/>
          <w:color w:val="000000" w:themeColor="text1"/>
        </w:rPr>
        <w:t>Морски транспорт</w:t>
      </w:r>
      <w:r w:rsidR="00DE4B4C" w:rsidRPr="00610B1B">
        <w:rPr>
          <w:rFonts w:cs="Times New Roman"/>
          <w:i/>
          <w:color w:val="000000" w:themeColor="text1"/>
        </w:rPr>
        <w:t>, риболов и туризъм</w:t>
      </w:r>
      <w:r w:rsidRPr="00610B1B">
        <w:rPr>
          <w:rFonts w:cs="Times New Roman"/>
          <w:iCs/>
          <w:color w:val="000000" w:themeColor="text1"/>
        </w:rPr>
        <w:t xml:space="preserve"> (Змф-Мтр</w:t>
      </w:r>
      <w:r w:rsidR="00DE4B4C" w:rsidRPr="00610B1B">
        <w:rPr>
          <w:rFonts w:cs="Times New Roman"/>
          <w:iCs/>
          <w:color w:val="000000" w:themeColor="text1"/>
        </w:rPr>
        <w:t>,</w:t>
      </w:r>
      <w:r w:rsidRPr="00610B1B">
        <w:rPr>
          <w:rFonts w:cs="Times New Roman"/>
          <w:iCs/>
          <w:color w:val="000000" w:themeColor="text1"/>
        </w:rPr>
        <w:t xml:space="preserve"> </w:t>
      </w:r>
      <w:r w:rsidR="00DE4B4C" w:rsidRPr="00610B1B">
        <w:rPr>
          <w:rFonts w:cs="Times New Roman"/>
          <w:iCs/>
          <w:color w:val="000000" w:themeColor="text1"/>
        </w:rPr>
        <w:t>Р,</w:t>
      </w:r>
      <w:r w:rsidRPr="00610B1B">
        <w:rPr>
          <w:rFonts w:cs="Times New Roman"/>
          <w:iCs/>
          <w:color w:val="000000" w:themeColor="text1"/>
        </w:rPr>
        <w:t xml:space="preserve"> </w:t>
      </w:r>
      <w:r w:rsidR="00DE4B4C" w:rsidRPr="00610B1B">
        <w:rPr>
          <w:rFonts w:cs="Times New Roman"/>
          <w:iCs/>
          <w:color w:val="000000" w:themeColor="text1"/>
        </w:rPr>
        <w:t>Т) – При допълване на още една дейност – туризъм, съответно се увеличават правилата, които трябва да бъдат спазвани с оглед опазване на морската среда и биоразнообразието в нея, на рибните ресурси, и същевременно</w:t>
      </w:r>
      <w:r w:rsidR="00D66FE0" w:rsidRPr="00610B1B">
        <w:rPr>
          <w:rFonts w:cs="Times New Roman"/>
          <w:iCs/>
          <w:color w:val="000000" w:themeColor="text1"/>
        </w:rPr>
        <w:t xml:space="preserve"> </w:t>
      </w:r>
      <w:r w:rsidR="00DE4B4C" w:rsidRPr="00610B1B">
        <w:rPr>
          <w:rFonts w:cs="Times New Roman"/>
          <w:iCs/>
          <w:color w:val="000000" w:themeColor="text1"/>
        </w:rPr>
        <w:t>с това, намиране на баланс между тези дейност за дългосрочното им устойчиво развитие и обогатяване на дейностите в сферата на туризма.</w:t>
      </w:r>
    </w:p>
    <w:p w14:paraId="46B7B475" w14:textId="7462AEB6"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
          <w:color w:val="000000" w:themeColor="text1"/>
        </w:rPr>
        <w:t>Туризъм и културно наследство</w:t>
      </w:r>
      <w:r w:rsidRPr="00610B1B">
        <w:rPr>
          <w:rFonts w:cs="Times New Roman"/>
          <w:iCs/>
          <w:color w:val="000000" w:themeColor="text1"/>
        </w:rPr>
        <w:t xml:space="preserve"> (Змф-Т,</w:t>
      </w:r>
      <w:r w:rsidR="000B7E9C" w:rsidRPr="00610B1B">
        <w:rPr>
          <w:rFonts w:cs="Times New Roman"/>
          <w:iCs/>
          <w:color w:val="000000" w:themeColor="text1"/>
        </w:rPr>
        <w:t xml:space="preserve"> </w:t>
      </w:r>
      <w:r w:rsidRPr="00610B1B">
        <w:rPr>
          <w:rFonts w:cs="Times New Roman"/>
          <w:iCs/>
          <w:color w:val="000000" w:themeColor="text1"/>
        </w:rPr>
        <w:t>КИН) – Съчетаването на тези две дейности се осъществява в условията на преимуществено опазване на целостта на културните ценности и съблюдаване на правилата за безопасност на туристите.</w:t>
      </w:r>
    </w:p>
    <w:p w14:paraId="1092C140" w14:textId="7FA1E6DF"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
          <w:color w:val="000000" w:themeColor="text1"/>
        </w:rPr>
        <w:t>Научни изследвания, културно наследство, защитени територии и защитени зони</w:t>
      </w:r>
      <w:r w:rsidRPr="00610B1B">
        <w:rPr>
          <w:rFonts w:cs="Times New Roman"/>
          <w:iCs/>
          <w:color w:val="000000" w:themeColor="text1"/>
        </w:rPr>
        <w:t xml:space="preserve"> (Змф-НИ, КИН, НЕМ) – Логичното съчетаване на тези три дейности създава условия за синергия, за икономия от мащаба и интегриране на финансови източници и ресурси за провеждане на научни изследвания в зони с различен статут, степен и специфика на защита, с различна значимост и достъпност.</w:t>
      </w:r>
      <w:r w:rsidR="00D66FE0" w:rsidRPr="00610B1B">
        <w:rPr>
          <w:rFonts w:cs="Times New Roman"/>
          <w:iCs/>
          <w:color w:val="000000" w:themeColor="text1"/>
        </w:rPr>
        <w:t xml:space="preserve"> </w:t>
      </w:r>
    </w:p>
    <w:p w14:paraId="690C786F" w14:textId="2544CB03"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t>Възможни са и други съчетания в отделни участъци и райони от морските пространства, които вероятно ще се увеличават в бъдеще, повишавайки синергич</w:t>
      </w:r>
      <w:r w:rsidR="00D50057" w:rsidRPr="00610B1B">
        <w:rPr>
          <w:rFonts w:cs="Times New Roman"/>
          <w:iCs/>
          <w:color w:val="000000" w:themeColor="text1"/>
        </w:rPr>
        <w:t>н</w:t>
      </w:r>
      <w:r w:rsidRPr="00610B1B">
        <w:rPr>
          <w:rFonts w:cs="Times New Roman"/>
          <w:iCs/>
          <w:color w:val="000000" w:themeColor="text1"/>
        </w:rPr>
        <w:t>ия ефект от използването на ресурсите на Черно море. Всички те се осъществяват, отчитайки съотносимото законодателство, обхващащо общи и специфични международни, европейски и национални актове</w:t>
      </w:r>
      <w:r w:rsidR="00F561A8" w:rsidRPr="00610B1B">
        <w:rPr>
          <w:rFonts w:cs="Times New Roman"/>
          <w:iCs/>
          <w:color w:val="000000" w:themeColor="text1"/>
        </w:rPr>
        <w:t xml:space="preserve"> и се развиват паралелно с увеличаване на научните изследвания и знанията за морето</w:t>
      </w:r>
      <w:r w:rsidRPr="00610B1B">
        <w:rPr>
          <w:rFonts w:cs="Times New Roman"/>
          <w:iCs/>
          <w:color w:val="000000" w:themeColor="text1"/>
        </w:rPr>
        <w:t>.</w:t>
      </w:r>
    </w:p>
    <w:p w14:paraId="1E751F68" w14:textId="77777777" w:rsidR="00DE4B4C" w:rsidRPr="00610B1B" w:rsidRDefault="00DE4B4C" w:rsidP="00D32D6A">
      <w:pPr>
        <w:pStyle w:val="BodyText"/>
        <w:spacing w:before="0" w:after="120" w:line="276" w:lineRule="auto"/>
        <w:rPr>
          <w:rFonts w:cs="Times New Roman"/>
          <w:iCs/>
          <w:color w:val="000000" w:themeColor="text1"/>
        </w:rPr>
      </w:pPr>
    </w:p>
    <w:p w14:paraId="0E428D89" w14:textId="2C0DB9A3" w:rsidR="00DE4B4C" w:rsidRPr="00610B1B" w:rsidRDefault="00DE4B4C" w:rsidP="00D32D6A">
      <w:pPr>
        <w:pStyle w:val="Heading3"/>
        <w:spacing w:before="0" w:line="276" w:lineRule="auto"/>
        <w:rPr>
          <w:rFonts w:cs="Times New Roman"/>
        </w:rPr>
      </w:pPr>
      <w:bookmarkStart w:id="488" w:name="_Toc83391436"/>
      <w:r w:rsidRPr="00610B1B">
        <w:rPr>
          <w:rFonts w:cs="Times New Roman"/>
        </w:rPr>
        <w:lastRenderedPageBreak/>
        <w:t>6.3.4. Зони за бъдещи ползвания</w:t>
      </w:r>
      <w:bookmarkEnd w:id="488"/>
    </w:p>
    <w:p w14:paraId="2A3C6F74" w14:textId="6B0B1DD4"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t xml:space="preserve">Определянето на такива зони </w:t>
      </w:r>
      <w:r w:rsidR="008371A2" w:rsidRPr="00610B1B">
        <w:rPr>
          <w:rFonts w:cs="Times New Roman"/>
          <w:iCs/>
          <w:color w:val="000000" w:themeColor="text1"/>
        </w:rPr>
        <w:t xml:space="preserve">(Збп) </w:t>
      </w:r>
      <w:r w:rsidRPr="00610B1B">
        <w:rPr>
          <w:rFonts w:cs="Times New Roman"/>
          <w:iCs/>
          <w:color w:val="000000" w:themeColor="text1"/>
        </w:rPr>
        <w:t xml:space="preserve">се налага поради идентифицираните пропуски в познанието за отдалечените части от акваторията и морските пространства, в които по-големите дълбочини изискват специфични технологии и оборудване и значителен ресурс за научни изследвания, които впоследствие обосновават ползвания със значение за знанието и за синята икономика. </w:t>
      </w:r>
      <w:r w:rsidR="00F561A8" w:rsidRPr="00610B1B">
        <w:rPr>
          <w:rFonts w:cs="Times New Roman"/>
          <w:iCs/>
          <w:color w:val="000000" w:themeColor="text1"/>
        </w:rPr>
        <w:t>П</w:t>
      </w:r>
      <w:r w:rsidRPr="00610B1B">
        <w:rPr>
          <w:rFonts w:cs="Times New Roman"/>
          <w:iCs/>
          <w:color w:val="000000" w:themeColor="text1"/>
        </w:rPr>
        <w:t xml:space="preserve">одобни проучвания се осъществяват в колаборация с различни научни институции, големи компании и международни организации. Поради ограничената информация за потенциала на подобни зони в момента са идентифицирани само такива, които могат да съчетаят и друг вид мащабни научно-изследователски проекти. Те се нуждаят от прецизиране в процеса на публичните консултации. </w:t>
      </w:r>
    </w:p>
    <w:p w14:paraId="6B8C6ED5" w14:textId="4DDD0EED"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
          <w:color w:val="000000" w:themeColor="text1"/>
        </w:rPr>
        <w:t xml:space="preserve">Основни цели: </w:t>
      </w:r>
      <w:r w:rsidRPr="00610B1B">
        <w:rPr>
          <w:rFonts w:cs="Times New Roman"/>
          <w:iCs/>
          <w:color w:val="000000" w:themeColor="text1"/>
        </w:rPr>
        <w:t>Разкриване на потенциала на морските пространства извън обхвата на териториалното море и прилежащата зона за допълване на знанието и пълноценно използване на ресурсите</w:t>
      </w:r>
      <w:r w:rsidR="00F561A8" w:rsidRPr="00610B1B">
        <w:rPr>
          <w:rFonts w:cs="Times New Roman"/>
          <w:iCs/>
          <w:color w:val="000000" w:themeColor="text1"/>
        </w:rPr>
        <w:t xml:space="preserve"> на Черно море</w:t>
      </w:r>
      <w:r w:rsidRPr="00610B1B">
        <w:rPr>
          <w:rFonts w:cs="Times New Roman"/>
          <w:iCs/>
          <w:color w:val="000000" w:themeColor="text1"/>
        </w:rPr>
        <w:t xml:space="preserve">. </w:t>
      </w:r>
    </w:p>
    <w:p w14:paraId="0584DC57" w14:textId="77777777" w:rsidR="00DE4B4C" w:rsidRPr="00610B1B" w:rsidRDefault="00DE4B4C" w:rsidP="00D32D6A">
      <w:pPr>
        <w:pStyle w:val="BodyText"/>
        <w:spacing w:before="0" w:after="120" w:line="276" w:lineRule="auto"/>
        <w:rPr>
          <w:rFonts w:cs="Times New Roman"/>
          <w:i/>
          <w:color w:val="000000" w:themeColor="text1"/>
        </w:rPr>
      </w:pPr>
      <w:r w:rsidRPr="00610B1B">
        <w:rPr>
          <w:rFonts w:cs="Times New Roman"/>
          <w:i/>
          <w:color w:val="000000" w:themeColor="text1"/>
        </w:rPr>
        <w:t>Режими на ползване:</w:t>
      </w:r>
    </w:p>
    <w:p w14:paraId="5505ABED" w14:textId="35130C7D" w:rsidR="00DE4B4C" w:rsidRPr="00610B1B" w:rsidRDefault="00DE4B4C" w:rsidP="00D32D6A">
      <w:pPr>
        <w:pStyle w:val="BodyText"/>
        <w:spacing w:before="0" w:after="120" w:line="276" w:lineRule="auto"/>
        <w:rPr>
          <w:rFonts w:cs="Times New Roman"/>
          <w:iCs/>
          <w:color w:val="000000" w:themeColor="text1"/>
        </w:rPr>
      </w:pPr>
      <w:r w:rsidRPr="00610B1B">
        <w:rPr>
          <w:rFonts w:cs="Times New Roman"/>
          <w:iCs/>
          <w:color w:val="000000" w:themeColor="text1"/>
        </w:rPr>
        <w:t>Достъпа до тези зони и режимите за ползване се осъществяват в съответствие с международните конвенции и протоколи, Европейските регламенти и Директиви</w:t>
      </w:r>
      <w:r w:rsidR="00F561A8" w:rsidRPr="00610B1B">
        <w:rPr>
          <w:rFonts w:cs="Times New Roman"/>
          <w:iCs/>
          <w:color w:val="000000" w:themeColor="text1"/>
        </w:rPr>
        <w:t>,</w:t>
      </w:r>
      <w:r w:rsidRPr="00610B1B">
        <w:rPr>
          <w:rFonts w:cs="Times New Roman"/>
          <w:iCs/>
          <w:color w:val="000000" w:themeColor="text1"/>
        </w:rPr>
        <w:t xml:space="preserve"> свързани с опазване на морската среда, на водите, на биоразнообразието и на създаване на рамка за морско пространствено планиране, със Закона за морските пространства, вътрешните водни пътища и пристанищата на Република България</w:t>
      </w:r>
      <w:r w:rsidR="008E6E49" w:rsidRPr="00610B1B">
        <w:rPr>
          <w:rFonts w:cs="Times New Roman"/>
          <w:iCs/>
          <w:color w:val="000000" w:themeColor="text1"/>
        </w:rPr>
        <w:t>, Закона за водите, Закона за опазване на околн</w:t>
      </w:r>
      <w:r w:rsidR="00F561A8" w:rsidRPr="00610B1B">
        <w:rPr>
          <w:rFonts w:cs="Times New Roman"/>
          <w:iCs/>
          <w:color w:val="000000" w:themeColor="text1"/>
        </w:rPr>
        <w:t>а</w:t>
      </w:r>
      <w:r w:rsidR="008E6E49" w:rsidRPr="00610B1B">
        <w:rPr>
          <w:rFonts w:cs="Times New Roman"/>
          <w:iCs/>
          <w:color w:val="000000" w:themeColor="text1"/>
        </w:rPr>
        <w:t>та среда, Закона за рибарството и аквакултурите</w:t>
      </w:r>
      <w:r w:rsidRPr="00610B1B">
        <w:rPr>
          <w:rFonts w:cs="Times New Roman"/>
          <w:iCs/>
          <w:color w:val="000000" w:themeColor="text1"/>
        </w:rPr>
        <w:t xml:space="preserve"> и свързаните с </w:t>
      </w:r>
      <w:r w:rsidR="008E6E49" w:rsidRPr="00610B1B">
        <w:rPr>
          <w:rFonts w:cs="Times New Roman"/>
          <w:iCs/>
          <w:color w:val="000000" w:themeColor="text1"/>
        </w:rPr>
        <w:t>тях</w:t>
      </w:r>
      <w:r w:rsidRPr="00610B1B">
        <w:rPr>
          <w:rFonts w:cs="Times New Roman"/>
          <w:iCs/>
          <w:color w:val="000000" w:themeColor="text1"/>
        </w:rPr>
        <w:t xml:space="preserve"> подзаконови актове.</w:t>
      </w:r>
      <w:r w:rsidR="00D66FE0" w:rsidRPr="00610B1B">
        <w:rPr>
          <w:rFonts w:cs="Times New Roman"/>
          <w:iCs/>
          <w:color w:val="000000" w:themeColor="text1"/>
        </w:rPr>
        <w:t xml:space="preserve"> </w:t>
      </w:r>
      <w:r w:rsidR="008E6E49" w:rsidRPr="00610B1B">
        <w:rPr>
          <w:rFonts w:cs="Times New Roman"/>
          <w:iCs/>
          <w:color w:val="000000" w:themeColor="text1"/>
        </w:rPr>
        <w:t>Интегрирането на функциите за бъдещи ползвания отчита и резултатите от анализа на съвместимите и несъвместими функции и дейности, описани подробно в част 6.2.1.</w:t>
      </w:r>
    </w:p>
    <w:p w14:paraId="24EA1490" w14:textId="5688C2A0" w:rsidR="000B7E9C" w:rsidRPr="00610B1B" w:rsidRDefault="000B7E9C" w:rsidP="00D32D6A">
      <w:pPr>
        <w:pStyle w:val="BodyText"/>
        <w:spacing w:before="0" w:after="120" w:line="276" w:lineRule="auto"/>
        <w:rPr>
          <w:rFonts w:cs="Times New Roman"/>
          <w:iCs/>
          <w:color w:val="000000" w:themeColor="text1"/>
        </w:rPr>
      </w:pPr>
    </w:p>
    <w:p w14:paraId="6B2E05A0" w14:textId="06EBFEB9" w:rsidR="000B7E9C" w:rsidRPr="00610B1B" w:rsidRDefault="000B7E9C" w:rsidP="009D32BB">
      <w:pPr>
        <w:pStyle w:val="Heading2"/>
        <w:spacing w:before="0" w:line="276" w:lineRule="auto"/>
        <w:ind w:right="-329"/>
        <w:rPr>
          <w:rFonts w:cs="Times New Roman"/>
        </w:rPr>
      </w:pPr>
      <w:bookmarkStart w:id="489" w:name="_Toc83391437"/>
      <w:bookmarkStart w:id="490" w:name="_Hlk49348355"/>
      <w:r w:rsidRPr="00610B1B">
        <w:rPr>
          <w:rFonts w:cs="Times New Roman"/>
        </w:rPr>
        <w:t>6.4. Предвидени ползвания и дейности в морските пространства</w:t>
      </w:r>
      <w:bookmarkEnd w:id="489"/>
    </w:p>
    <w:p w14:paraId="2697BE60" w14:textId="37935A0E" w:rsidR="000B7E9C" w:rsidRPr="00610B1B" w:rsidRDefault="000B7E9C" w:rsidP="00D32D6A">
      <w:pPr>
        <w:pStyle w:val="BodyText"/>
        <w:spacing w:before="0" w:after="120" w:line="276" w:lineRule="auto"/>
        <w:rPr>
          <w:rFonts w:cs="Times New Roman"/>
          <w:iCs/>
          <w:color w:val="000000" w:themeColor="text1"/>
        </w:rPr>
      </w:pPr>
      <w:r w:rsidRPr="00610B1B">
        <w:rPr>
          <w:rFonts w:cs="Times New Roman"/>
          <w:iCs/>
          <w:color w:val="000000" w:themeColor="text1"/>
        </w:rPr>
        <w:t>В допълнение на предложените възможности за безконфликтно съчетаване на съвместими функции и дейности в Морския пространствен план на Република България за периода 2021–2035 г. са направени още предложения, свързани с отделни сектори на морската икономика</w:t>
      </w:r>
      <w:r w:rsidR="008F79D5" w:rsidRPr="00610B1B">
        <w:rPr>
          <w:rFonts w:cs="Times New Roman"/>
          <w:iCs/>
          <w:color w:val="000000" w:themeColor="text1"/>
        </w:rPr>
        <w:t>.</w:t>
      </w:r>
      <w:r w:rsidR="00620E54" w:rsidRPr="00610B1B">
        <w:rPr>
          <w:rFonts w:cs="Times New Roman"/>
          <w:iCs/>
          <w:color w:val="000000" w:themeColor="text1"/>
        </w:rPr>
        <w:t xml:space="preserve"> Тези предложения са базирани на резултатите от анализ</w:t>
      </w:r>
      <w:r w:rsidR="00F561A8" w:rsidRPr="00610B1B">
        <w:rPr>
          <w:rFonts w:cs="Times New Roman"/>
          <w:iCs/>
          <w:color w:val="000000" w:themeColor="text1"/>
        </w:rPr>
        <w:t>а</w:t>
      </w:r>
      <w:r w:rsidR="00620E54" w:rsidRPr="00610B1B">
        <w:rPr>
          <w:rFonts w:cs="Times New Roman"/>
          <w:iCs/>
          <w:color w:val="000000" w:themeColor="text1"/>
        </w:rPr>
        <w:t xml:space="preserve"> на състоянието на морската околна среда, на морските ресурси, на ползванията в морето и на </w:t>
      </w:r>
      <w:r w:rsidR="00305B8C" w:rsidRPr="00610B1B">
        <w:rPr>
          <w:rFonts w:cs="Times New Roman"/>
          <w:iCs/>
          <w:color w:val="000000" w:themeColor="text1"/>
        </w:rPr>
        <w:t xml:space="preserve">установените тенденции в </w:t>
      </w:r>
      <w:r w:rsidR="00620E54" w:rsidRPr="00610B1B">
        <w:rPr>
          <w:rFonts w:cs="Times New Roman"/>
          <w:iCs/>
          <w:color w:val="000000" w:themeColor="text1"/>
        </w:rPr>
        <w:t xml:space="preserve">развитието на секторите на морската икономика. </w:t>
      </w:r>
    </w:p>
    <w:p w14:paraId="6528D9EB" w14:textId="57825CCD" w:rsidR="000B7E9C" w:rsidRPr="00610B1B" w:rsidRDefault="003233AE" w:rsidP="00A50A50">
      <w:pPr>
        <w:pStyle w:val="BodyText"/>
        <w:spacing w:before="0" w:after="120" w:line="276" w:lineRule="auto"/>
        <w:rPr>
          <w:rFonts w:cs="Times New Roman"/>
          <w:iCs/>
          <w:color w:val="000000" w:themeColor="text1"/>
        </w:rPr>
      </w:pPr>
      <w:r w:rsidRPr="00610B1B">
        <w:rPr>
          <w:rFonts w:cs="Times New Roman"/>
          <w:b/>
          <w:iCs/>
          <w:color w:val="000000" w:themeColor="text1"/>
        </w:rPr>
        <w:t>Мтр</w:t>
      </w:r>
      <w:r w:rsidR="00140F67" w:rsidRPr="00610B1B">
        <w:rPr>
          <w:rFonts w:eastAsia="Times New Roman" w:cs="Times New Roman"/>
          <w:color w:val="000000" w:themeColor="text1"/>
          <w:lang w:eastAsia="bg-BG"/>
        </w:rPr>
        <w:t xml:space="preserve"> – </w:t>
      </w:r>
      <w:r w:rsidR="000B7E9C" w:rsidRPr="00610B1B">
        <w:rPr>
          <w:rFonts w:cs="Times New Roman"/>
          <w:iCs/>
          <w:color w:val="000000" w:themeColor="text1"/>
        </w:rPr>
        <w:t>Морски транспорт</w:t>
      </w:r>
    </w:p>
    <w:p w14:paraId="48399C11" w14:textId="5347BAE6" w:rsidR="008F79D5" w:rsidRPr="00610B1B" w:rsidRDefault="008F79D5"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Отредените за морски транспортни коридори с </w:t>
      </w:r>
      <w:r w:rsidR="00D50057" w:rsidRPr="00610B1B">
        <w:rPr>
          <w:rFonts w:cs="Times New Roman"/>
          <w:iCs/>
          <w:color w:val="000000" w:themeColor="text1"/>
        </w:rPr>
        <w:t>интензивен</w:t>
      </w:r>
      <w:r w:rsidRPr="00610B1B">
        <w:rPr>
          <w:rFonts w:cs="Times New Roman"/>
          <w:iCs/>
          <w:color w:val="000000" w:themeColor="text1"/>
        </w:rPr>
        <w:t xml:space="preserve"> трафик</w:t>
      </w:r>
      <w:r w:rsidR="005660C9" w:rsidRPr="00610B1B">
        <w:rPr>
          <w:rFonts w:cs="Times New Roman"/>
          <w:iCs/>
          <w:color w:val="000000" w:themeColor="text1"/>
        </w:rPr>
        <w:t xml:space="preserve"> пространства</w:t>
      </w:r>
      <w:r w:rsidRPr="00610B1B">
        <w:rPr>
          <w:rFonts w:cs="Times New Roman"/>
          <w:iCs/>
          <w:color w:val="000000" w:themeColor="text1"/>
        </w:rPr>
        <w:t xml:space="preserve"> са изведени от данните за движението на плавателните съдове в морските пространства</w:t>
      </w:r>
      <w:r w:rsidR="00F561A8" w:rsidRPr="00610B1B">
        <w:rPr>
          <w:rFonts w:cs="Times New Roman"/>
          <w:iCs/>
          <w:color w:val="000000" w:themeColor="text1"/>
        </w:rPr>
        <w:t xml:space="preserve"> за периода 2014-2019 г.</w:t>
      </w:r>
      <w:r w:rsidRPr="00610B1B">
        <w:rPr>
          <w:rFonts w:cs="Times New Roman"/>
          <w:iCs/>
          <w:color w:val="000000" w:themeColor="text1"/>
        </w:rPr>
        <w:t xml:space="preserve"> и отчитат действащата система за разделно движение. Те са съобразени оптимално с наличните морски защитени зони и защитени територии с цел да се избегнат рисковете от замърсяване от преминаващите кораби и намаляване на подводния шум. За решаване на съществуващите конфликти се предлага в краткосрочен план да се извършат необходимите допълнителни проучвания и междуведомствени съгласувания, за да се стартира процедура по изменение на МППРБ, ако се постигне </w:t>
      </w:r>
      <w:r w:rsidRPr="00610B1B">
        <w:rPr>
          <w:rFonts w:cs="Times New Roman"/>
          <w:iCs/>
          <w:color w:val="000000" w:themeColor="text1"/>
        </w:rPr>
        <w:lastRenderedPageBreak/>
        <w:t>съгласие за нова СРД.</w:t>
      </w:r>
      <w:r w:rsidR="00D66FE0" w:rsidRPr="00610B1B">
        <w:rPr>
          <w:rFonts w:cs="Times New Roman"/>
          <w:iCs/>
          <w:color w:val="000000" w:themeColor="text1"/>
        </w:rPr>
        <w:t xml:space="preserve"> </w:t>
      </w:r>
      <w:r w:rsidRPr="00610B1B">
        <w:rPr>
          <w:rFonts w:cs="Times New Roman"/>
          <w:iCs/>
          <w:color w:val="000000" w:themeColor="text1"/>
        </w:rPr>
        <w:t>Съществуващите морски транспортни коридори отговарят на изискванията и прилагат режими на ползване в съответствие с Конвенцията на ООН по морско право</w:t>
      </w:r>
      <w:r w:rsidR="005660C9" w:rsidRPr="00610B1B">
        <w:rPr>
          <w:rFonts w:cs="Times New Roman"/>
          <w:iCs/>
          <w:color w:val="000000" w:themeColor="text1"/>
        </w:rPr>
        <w:t xml:space="preserve"> (UNCLOS)</w:t>
      </w:r>
      <w:r w:rsidRPr="00610B1B">
        <w:rPr>
          <w:rFonts w:cs="Times New Roman"/>
          <w:iCs/>
          <w:color w:val="000000" w:themeColor="text1"/>
        </w:rPr>
        <w:t>, Конвенцията за международните правила за предпазване от сблъск</w:t>
      </w:r>
      <w:r w:rsidR="005660C9" w:rsidRPr="00610B1B">
        <w:rPr>
          <w:rFonts w:cs="Times New Roman"/>
          <w:iCs/>
          <w:color w:val="000000" w:themeColor="text1"/>
        </w:rPr>
        <w:t>ване</w:t>
      </w:r>
      <w:r w:rsidRPr="00610B1B">
        <w:rPr>
          <w:rFonts w:cs="Times New Roman"/>
          <w:iCs/>
          <w:color w:val="000000" w:themeColor="text1"/>
        </w:rPr>
        <w:t xml:space="preserve"> на море (</w:t>
      </w:r>
      <w:r w:rsidR="005660C9" w:rsidRPr="00610B1B">
        <w:rPr>
          <w:rFonts w:cs="Times New Roman"/>
          <w:iCs/>
          <w:color w:val="000000" w:themeColor="text1"/>
        </w:rPr>
        <w:t>SOLREGS, 1972</w:t>
      </w:r>
      <w:r w:rsidRPr="00610B1B">
        <w:rPr>
          <w:rFonts w:cs="Times New Roman"/>
          <w:iCs/>
          <w:color w:val="000000" w:themeColor="text1"/>
        </w:rPr>
        <w:t xml:space="preserve">), ЗМПВВППРБ и всички останали по-важни и съотносими нормативни актове. </w:t>
      </w:r>
    </w:p>
    <w:p w14:paraId="65250CEB" w14:textId="77777777" w:rsidR="008F79D5" w:rsidRPr="00610B1B" w:rsidRDefault="008F79D5"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В периода до приключването на работата по новата система за разделно движение следва да се направи сравнение на варианти и на техните въздействия върху морската околна среда и на взаимодействието с другите ползвания, за да се избере най-подходящият, дори и с цената на удължаване на времето за проучване и съгласуване, включително и с Международната морска организация. </w:t>
      </w:r>
    </w:p>
    <w:p w14:paraId="596D7DEB" w14:textId="4D145371" w:rsidR="008F79D5" w:rsidRPr="00610B1B" w:rsidRDefault="008F79D5" w:rsidP="00D32D6A">
      <w:pPr>
        <w:pStyle w:val="BodyText"/>
        <w:spacing w:before="0" w:after="120" w:line="276" w:lineRule="auto"/>
        <w:rPr>
          <w:rFonts w:cs="Times New Roman"/>
          <w:iCs/>
          <w:color w:val="000000" w:themeColor="text1"/>
        </w:rPr>
      </w:pPr>
      <w:r w:rsidRPr="00610B1B">
        <w:rPr>
          <w:rFonts w:cs="Times New Roman"/>
          <w:b/>
          <w:bCs/>
          <w:iCs/>
          <w:color w:val="000000" w:themeColor="text1"/>
        </w:rPr>
        <w:t xml:space="preserve">Р </w:t>
      </w:r>
      <w:r w:rsidRPr="00610B1B">
        <w:rPr>
          <w:rFonts w:cs="Times New Roman"/>
          <w:iCs/>
          <w:color w:val="000000" w:themeColor="text1"/>
        </w:rPr>
        <w:t>– Риболов</w:t>
      </w:r>
    </w:p>
    <w:p w14:paraId="12A137E5" w14:textId="45B632EE" w:rsidR="00964B3A" w:rsidRPr="00610B1B" w:rsidRDefault="008F79D5"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Районите и полигоните за извършване на дейността са съобразени с особеностите на динамичните рибни ресурси и с идентифицираните райони за движение и риболов на риболовните съдове по данни от VMS за периода </w:t>
      </w:r>
      <w:r w:rsidR="00964B3A" w:rsidRPr="00610B1B">
        <w:rPr>
          <w:rFonts w:cs="Times New Roman"/>
          <w:iCs/>
          <w:color w:val="000000" w:themeColor="text1"/>
        </w:rPr>
        <w:t>2014-</w:t>
      </w:r>
      <w:r w:rsidRPr="00610B1B">
        <w:rPr>
          <w:rFonts w:cs="Times New Roman"/>
          <w:iCs/>
          <w:color w:val="000000" w:themeColor="text1"/>
        </w:rPr>
        <w:t>2019 г.</w:t>
      </w:r>
      <w:r w:rsidR="00D66FE0" w:rsidRPr="00610B1B">
        <w:rPr>
          <w:rFonts w:cs="Times New Roman"/>
          <w:iCs/>
          <w:color w:val="000000" w:themeColor="text1"/>
        </w:rPr>
        <w:t xml:space="preserve"> </w:t>
      </w:r>
      <w:r w:rsidRPr="00610B1B">
        <w:rPr>
          <w:rFonts w:cs="Times New Roman"/>
          <w:iCs/>
          <w:color w:val="000000" w:themeColor="text1"/>
        </w:rPr>
        <w:t>Те са съобразени</w:t>
      </w:r>
      <w:r w:rsidR="00D66FE0" w:rsidRPr="00610B1B">
        <w:rPr>
          <w:rFonts w:cs="Times New Roman"/>
          <w:iCs/>
          <w:color w:val="000000" w:themeColor="text1"/>
        </w:rPr>
        <w:t xml:space="preserve"> </w:t>
      </w:r>
      <w:r w:rsidRPr="00610B1B">
        <w:rPr>
          <w:rFonts w:cs="Times New Roman"/>
          <w:iCs/>
          <w:color w:val="000000" w:themeColor="text1"/>
        </w:rPr>
        <w:t xml:space="preserve">с изискванията на РДВ, РДМС, Закона за рибарството и аквакултурите, ЗМПВВППРБ, Закона за водите, Наредбата за опазване на околната среда на морските води и други действащи законови и подзаконови актове. </w:t>
      </w:r>
    </w:p>
    <w:p w14:paraId="58848573" w14:textId="2F179C3B" w:rsidR="008F79D5" w:rsidRPr="00610B1B" w:rsidRDefault="003B3046" w:rsidP="00A50A50">
      <w:pPr>
        <w:pStyle w:val="BodyText"/>
        <w:spacing w:before="0" w:after="120" w:line="276" w:lineRule="auto"/>
        <w:rPr>
          <w:rFonts w:cs="Times New Roman"/>
          <w:iCs/>
          <w:color w:val="000000" w:themeColor="text1"/>
        </w:rPr>
      </w:pPr>
      <w:r w:rsidRPr="00610B1B">
        <w:rPr>
          <w:rFonts w:cs="Times New Roman"/>
          <w:iCs/>
          <w:color w:val="000000" w:themeColor="text1"/>
        </w:rPr>
        <w:t>Зоните за опазване на стопански ценни видове риби и други водни организми по чл. 119а от Закона за водите се припокриват със Защитените зони от НЕМ Натура 2000 в крайбрежните морски води.</w:t>
      </w:r>
      <w:r w:rsidR="008F79D5" w:rsidRPr="00610B1B">
        <w:rPr>
          <w:rFonts w:cs="Times New Roman"/>
          <w:iCs/>
          <w:color w:val="000000" w:themeColor="text1"/>
        </w:rPr>
        <w:t xml:space="preserve"> Любителският риболов се осъществява предимно в зоната до 3 морски мили от брега, а стопанският - извън тази зона и в гр</w:t>
      </w:r>
      <w:r w:rsidRPr="00610B1B">
        <w:rPr>
          <w:rFonts w:cs="Times New Roman"/>
          <w:iCs/>
          <w:color w:val="000000" w:themeColor="text1"/>
        </w:rPr>
        <w:t>аниците на териториалното море. Със Заповед № РД 09-69/01.02.2019 г. на министъра на земеделието</w:t>
      </w:r>
      <w:r w:rsidR="00F82F66" w:rsidRPr="00610B1B">
        <w:rPr>
          <w:rFonts w:cs="Times New Roman"/>
          <w:iCs/>
          <w:color w:val="000000" w:themeColor="text1"/>
        </w:rPr>
        <w:t>,</w:t>
      </w:r>
      <w:r w:rsidRPr="00610B1B">
        <w:rPr>
          <w:rFonts w:cs="Times New Roman"/>
          <w:iCs/>
          <w:color w:val="000000" w:themeColor="text1"/>
        </w:rPr>
        <w:t xml:space="preserve"> храните</w:t>
      </w:r>
      <w:r w:rsidR="00F82F66" w:rsidRPr="00610B1B">
        <w:rPr>
          <w:rFonts w:cs="Times New Roman"/>
          <w:iCs/>
          <w:color w:val="000000" w:themeColor="text1"/>
        </w:rPr>
        <w:t xml:space="preserve"> и горите</w:t>
      </w:r>
      <w:r w:rsidRPr="00610B1B">
        <w:rPr>
          <w:rFonts w:cs="Times New Roman"/>
          <w:iCs/>
          <w:color w:val="000000" w:themeColor="text1"/>
        </w:rPr>
        <w:t xml:space="preserve"> се забранява стопански риболов в Черно море в акваторията на пристанищата с отдалеченост до 1 морска миля от бреговата линия, с изключение на зоните за действие на специализиран риболовен уред (далян). Забранява се стопански риболов с всякакъв вид тралиращи уреди (с изключение на пелагични тралове в периода 15 септември до 15 декември) в крайбрежните зони на разстояние до 3 морски мили от бреговата линия от н. Сиврибурун до р. Резовска, както и в радиус от 500 m от вливащите се в Черно море реки. </w:t>
      </w:r>
      <w:r w:rsidR="008F79D5" w:rsidRPr="00610B1B">
        <w:rPr>
          <w:rFonts w:cs="Times New Roman"/>
          <w:iCs/>
          <w:color w:val="000000" w:themeColor="text1"/>
        </w:rPr>
        <w:t>Предвид намалелият брой риболовни кораби, малките им габарити а оттам и ограничената зона за риболов</w:t>
      </w:r>
      <w:r w:rsidR="00964B3A" w:rsidRPr="00610B1B">
        <w:rPr>
          <w:rFonts w:cs="Times New Roman"/>
          <w:iCs/>
          <w:color w:val="000000" w:themeColor="text1"/>
        </w:rPr>
        <w:t>,</w:t>
      </w:r>
      <w:r w:rsidR="008F79D5" w:rsidRPr="00610B1B">
        <w:rPr>
          <w:rFonts w:cs="Times New Roman"/>
          <w:iCs/>
          <w:color w:val="000000" w:themeColor="text1"/>
        </w:rPr>
        <w:t xml:space="preserve"> в плана се препоръчват стимули за развитие на дейността, технологично обновяване на корабите, модернизиране на рибарските пристанища и на обслужващата ги инфраструктура. </w:t>
      </w:r>
    </w:p>
    <w:p w14:paraId="52331BBD" w14:textId="15DE87C1" w:rsidR="00E374C2" w:rsidRPr="00610B1B" w:rsidRDefault="00E374C2" w:rsidP="00A50A50">
      <w:pPr>
        <w:widowControl w:val="0"/>
        <w:spacing w:after="120"/>
        <w:jc w:val="both"/>
        <w:rPr>
          <w:rFonts w:ascii="Times New Roman" w:eastAsia="Source Han Sans CN Regular" w:hAnsi="Times New Roman" w:cs="Times New Roman"/>
          <w:iCs/>
          <w:color w:val="000000"/>
          <w:sz w:val="24"/>
          <w:szCs w:val="24"/>
          <w:lang w:val="bg-BG" w:eastAsia="zh-CN" w:bidi="hi-IN"/>
        </w:rPr>
      </w:pPr>
      <w:r w:rsidRPr="00610B1B">
        <w:rPr>
          <w:rFonts w:ascii="Times New Roman" w:eastAsia="Source Han Sans CN Regular" w:hAnsi="Times New Roman" w:cs="Times New Roman"/>
          <w:iCs/>
          <w:color w:val="000000"/>
          <w:sz w:val="24"/>
          <w:szCs w:val="24"/>
          <w:lang w:val="bg-BG" w:eastAsia="zh-CN" w:bidi="hi-IN"/>
        </w:rPr>
        <w:t xml:space="preserve">Разполагането на стационарните уреди (даляните) се извършва при съгласуване с ИАМА и </w:t>
      </w:r>
      <w:r w:rsidRPr="00610B1B">
        <w:rPr>
          <w:rFonts w:ascii="Times New Roman" w:eastAsia="Calibri" w:hAnsi="Times New Roman" w:cs="Times New Roman"/>
          <w:color w:val="000000"/>
          <w:sz w:val="24"/>
          <w:szCs w:val="24"/>
          <w:shd w:val="clear" w:color="auto" w:fill="FEFEFE"/>
          <w:lang w:val="bg-BG"/>
        </w:rPr>
        <w:t>със съответните ръководители на военноморските бази на Българската армия</w:t>
      </w:r>
      <w:r w:rsidRPr="00610B1B">
        <w:rPr>
          <w:rFonts w:ascii="Times New Roman" w:eastAsia="Source Han Sans CN Regular" w:hAnsi="Times New Roman" w:cs="Times New Roman"/>
          <w:iCs/>
          <w:color w:val="000000"/>
          <w:sz w:val="24"/>
          <w:szCs w:val="24"/>
          <w:lang w:val="bg-BG" w:eastAsia="zh-CN" w:bidi="hi-IN"/>
        </w:rPr>
        <w:t xml:space="preserve">. МППРБ предвижда ревизия на действащите съоръжения, разположени в акваторията и премахване на изоставените и неизползвани даляни. Забрана за тралене е предложена в защитените зони с цел опазване на дънните местообитания и екосистеми и в зоните с културно наследство под вода, около трасетата на подводните кабели и проводи по морското дъно и в районите, определени като забранени за риболов с придънни средства (Зз). </w:t>
      </w:r>
    </w:p>
    <w:p w14:paraId="0DBBFD27" w14:textId="3E35FB67" w:rsidR="00E374C2" w:rsidRPr="00610B1B" w:rsidRDefault="00E374C2" w:rsidP="00A50A50">
      <w:pPr>
        <w:widowControl w:val="0"/>
        <w:spacing w:after="120"/>
        <w:jc w:val="both"/>
        <w:rPr>
          <w:rFonts w:ascii="Times New Roman" w:eastAsia="Source Han Sans CN Regular" w:hAnsi="Times New Roman" w:cs="Times New Roman"/>
          <w:iCs/>
          <w:color w:val="000000"/>
          <w:sz w:val="24"/>
          <w:szCs w:val="24"/>
          <w:lang w:val="bg-BG" w:eastAsia="zh-CN" w:bidi="hi-IN"/>
        </w:rPr>
      </w:pPr>
      <w:r w:rsidRPr="00610B1B">
        <w:rPr>
          <w:rFonts w:ascii="Times New Roman" w:eastAsia="Source Han Sans CN Regular" w:hAnsi="Times New Roman" w:cs="Times New Roman"/>
          <w:iCs/>
          <w:color w:val="000000"/>
          <w:sz w:val="24"/>
          <w:szCs w:val="24"/>
          <w:lang w:val="bg-BG" w:eastAsia="zh-CN" w:bidi="hi-IN"/>
        </w:rPr>
        <w:t xml:space="preserve">Режимите в районите за риболов се съобразяват ежегодно с регламентите на ЕС за </w:t>
      </w:r>
      <w:r w:rsidRPr="00610B1B">
        <w:rPr>
          <w:rFonts w:ascii="Times New Roman" w:eastAsia="Source Han Sans CN Regular" w:hAnsi="Times New Roman" w:cs="Times New Roman"/>
          <w:iCs/>
          <w:color w:val="000000"/>
          <w:sz w:val="24"/>
          <w:szCs w:val="24"/>
          <w:lang w:val="bg-BG" w:eastAsia="zh-CN" w:bidi="hi-IN"/>
        </w:rPr>
        <w:lastRenderedPageBreak/>
        <w:t xml:space="preserve">определяне на възможностите за риболов и групи рибни запаси, приложими в Черно море относно квотираните видове риби (цаца и калкан). Временните забрани се определят в съответствие </w:t>
      </w:r>
      <w:r w:rsidR="00964B3A" w:rsidRPr="00610B1B">
        <w:rPr>
          <w:rFonts w:ascii="Times New Roman" w:eastAsia="Source Han Sans CN Regular" w:hAnsi="Times New Roman" w:cs="Times New Roman"/>
          <w:iCs/>
          <w:color w:val="000000"/>
          <w:sz w:val="24"/>
          <w:szCs w:val="24"/>
          <w:lang w:val="bg-BG" w:eastAsia="zh-CN" w:bidi="hi-IN"/>
        </w:rPr>
        <w:t xml:space="preserve">с </w:t>
      </w:r>
      <w:r w:rsidRPr="00610B1B">
        <w:rPr>
          <w:rFonts w:ascii="Times New Roman" w:eastAsia="Source Han Sans CN Regular" w:hAnsi="Times New Roman" w:cs="Times New Roman"/>
          <w:iCs/>
          <w:color w:val="000000"/>
          <w:sz w:val="24"/>
          <w:szCs w:val="24"/>
          <w:lang w:val="bg-BG" w:eastAsia="zh-CN" w:bidi="hi-IN"/>
        </w:rPr>
        <w:t>чл. 30, ал. 3, т. 1 на Закона за рибарството и аквакултурите (ЗРА) от министъра на земеделието</w:t>
      </w:r>
      <w:r w:rsidR="00964B3A" w:rsidRPr="00610B1B">
        <w:rPr>
          <w:rFonts w:ascii="Times New Roman" w:eastAsia="Source Han Sans CN Regular" w:hAnsi="Times New Roman" w:cs="Times New Roman"/>
          <w:iCs/>
          <w:color w:val="000000"/>
          <w:sz w:val="24"/>
          <w:szCs w:val="24"/>
          <w:lang w:val="bg-BG" w:eastAsia="zh-CN" w:bidi="hi-IN"/>
        </w:rPr>
        <w:t>,</w:t>
      </w:r>
      <w:r w:rsidRPr="00610B1B">
        <w:rPr>
          <w:rFonts w:ascii="Times New Roman" w:eastAsia="Source Han Sans CN Regular" w:hAnsi="Times New Roman" w:cs="Times New Roman"/>
          <w:iCs/>
          <w:color w:val="000000"/>
          <w:sz w:val="24"/>
          <w:szCs w:val="24"/>
          <w:lang w:val="bg-BG" w:eastAsia="zh-CN" w:bidi="hi-IN"/>
        </w:rPr>
        <w:t xml:space="preserve"> храните</w:t>
      </w:r>
      <w:r w:rsidR="00964B3A" w:rsidRPr="00610B1B">
        <w:rPr>
          <w:rFonts w:ascii="Times New Roman" w:eastAsia="Source Han Sans CN Regular" w:hAnsi="Times New Roman" w:cs="Times New Roman"/>
          <w:iCs/>
          <w:color w:val="000000"/>
          <w:sz w:val="24"/>
          <w:szCs w:val="24"/>
          <w:lang w:val="bg-BG" w:eastAsia="zh-CN" w:bidi="hi-IN"/>
        </w:rPr>
        <w:t xml:space="preserve"> и горите,</w:t>
      </w:r>
      <w:r w:rsidRPr="00610B1B">
        <w:rPr>
          <w:rFonts w:ascii="Times New Roman" w:eastAsia="Source Han Sans CN Regular" w:hAnsi="Times New Roman" w:cs="Times New Roman"/>
          <w:iCs/>
          <w:color w:val="000000"/>
          <w:sz w:val="24"/>
          <w:szCs w:val="24"/>
          <w:lang w:val="bg-BG" w:eastAsia="zh-CN" w:bidi="hi-IN"/>
        </w:rPr>
        <w:t xml:space="preserve"> съгласувано с министъра на околната среда и водите</w:t>
      </w:r>
      <w:r w:rsidR="00964B3A" w:rsidRPr="00610B1B">
        <w:rPr>
          <w:rFonts w:ascii="Times New Roman" w:eastAsia="Source Han Sans CN Regular" w:hAnsi="Times New Roman" w:cs="Times New Roman"/>
          <w:iCs/>
          <w:color w:val="000000"/>
          <w:sz w:val="24"/>
          <w:szCs w:val="24"/>
          <w:lang w:val="bg-BG" w:eastAsia="zh-CN" w:bidi="hi-IN"/>
        </w:rPr>
        <w:t>,</w:t>
      </w:r>
      <w:r w:rsidRPr="00610B1B">
        <w:rPr>
          <w:rFonts w:ascii="Times New Roman" w:eastAsia="Source Han Sans CN Regular" w:hAnsi="Times New Roman" w:cs="Times New Roman"/>
          <w:iCs/>
          <w:color w:val="000000"/>
          <w:sz w:val="24"/>
          <w:szCs w:val="24"/>
          <w:lang w:val="bg-BG" w:eastAsia="zh-CN" w:bidi="hi-IN"/>
        </w:rPr>
        <w:t xml:space="preserve"> с цел опазване на популациите от риба и други водни организми.</w:t>
      </w:r>
      <w:r w:rsidR="00D66FE0" w:rsidRPr="00610B1B">
        <w:rPr>
          <w:rFonts w:ascii="Times New Roman" w:eastAsia="Source Han Sans CN Regular" w:hAnsi="Times New Roman" w:cs="Times New Roman"/>
          <w:iCs/>
          <w:color w:val="000000"/>
          <w:sz w:val="24"/>
          <w:szCs w:val="24"/>
          <w:lang w:val="bg-BG" w:eastAsia="zh-CN" w:bidi="hi-IN"/>
        </w:rPr>
        <w:t xml:space="preserve"> </w:t>
      </w:r>
    </w:p>
    <w:p w14:paraId="4176CD25" w14:textId="3BBCF193" w:rsidR="008F79D5" w:rsidRPr="00610B1B" w:rsidRDefault="008F79D5" w:rsidP="00A50A50">
      <w:pPr>
        <w:pStyle w:val="BodyText"/>
        <w:spacing w:before="0" w:after="120" w:line="276" w:lineRule="auto"/>
        <w:rPr>
          <w:rFonts w:cs="Times New Roman"/>
          <w:iCs/>
          <w:color w:val="000000" w:themeColor="text1"/>
        </w:rPr>
      </w:pPr>
      <w:r w:rsidRPr="00610B1B">
        <w:rPr>
          <w:rFonts w:cs="Times New Roman"/>
          <w:b/>
          <w:bCs/>
          <w:iCs/>
          <w:color w:val="000000" w:themeColor="text1"/>
        </w:rPr>
        <w:t>А</w:t>
      </w:r>
      <w:r w:rsidR="00140F67" w:rsidRPr="00610B1B">
        <w:rPr>
          <w:rFonts w:eastAsia="Times New Roman" w:cs="Times New Roman"/>
          <w:color w:val="000000" w:themeColor="text1"/>
          <w:lang w:eastAsia="bg-BG"/>
        </w:rPr>
        <w:t xml:space="preserve"> – </w:t>
      </w:r>
      <w:r w:rsidRPr="00610B1B">
        <w:rPr>
          <w:rFonts w:cs="Times New Roman"/>
          <w:iCs/>
          <w:color w:val="000000" w:themeColor="text1"/>
        </w:rPr>
        <w:t>Аквакултури</w:t>
      </w:r>
    </w:p>
    <w:p w14:paraId="05A8E015" w14:textId="40C5F405" w:rsidR="008F79D5" w:rsidRPr="00610B1B" w:rsidRDefault="008F79D5" w:rsidP="00A50A50">
      <w:pPr>
        <w:pStyle w:val="BodyText"/>
        <w:spacing w:before="0" w:after="120" w:line="276" w:lineRule="auto"/>
        <w:rPr>
          <w:rFonts w:cs="Times New Roman"/>
          <w:iCs/>
        </w:rPr>
      </w:pPr>
      <w:r w:rsidRPr="00610B1B">
        <w:rPr>
          <w:rFonts w:cs="Times New Roman"/>
          <w:iCs/>
          <w:color w:val="000000" w:themeColor="text1"/>
        </w:rPr>
        <w:t xml:space="preserve">Районите и полигоните за монтаж на съоръжения за отглеждане на аквакултури се съобразяват със схемата на БДЧР, изготвена в съответствие с </w:t>
      </w:r>
      <w:r w:rsidR="003B3046" w:rsidRPr="00610B1B">
        <w:rPr>
          <w:rFonts w:cs="Times New Roman"/>
          <w:iCs/>
          <w:color w:val="000000" w:themeColor="text1"/>
        </w:rPr>
        <w:t xml:space="preserve">Инструкция № 1 от 12 октомври 2004 г. за идентифициране на водите във водните обекти или части от тях за обитаване от риби и районите с крайбрежни морски води за развъждане на черупкови организми (Обн. ДВ. бр. 96/29.10.2004 г.). </w:t>
      </w:r>
      <w:r w:rsidRPr="00610B1B">
        <w:rPr>
          <w:rFonts w:cs="Times New Roman"/>
          <w:iCs/>
          <w:color w:val="000000" w:themeColor="text1"/>
        </w:rPr>
        <w:t xml:space="preserve">При съвместяването с други функции и дейности в морските пространства се спазват изискванията на РДВ, РДМС, Закона за рибарството и аквакултурите, Наредба № 37 от 10 ноември 2008 г. за ползването на язовирите - държавна собственост, в рибностопанско отношение и правилата за извършване на стопански, любителски риболов и аквакултури в обектите - държавна собственост по чл. 3, ал. 1 от Закона за рибарството и аквакултурите, Наредба № 18 от 4 ноември 2016 г. за съдържанието на технологичното описание и технологичната схема на производство на аквакултури и други специфични за сектора законови и подзаконови актове. </w:t>
      </w:r>
    </w:p>
    <w:p w14:paraId="3AA93EBA" w14:textId="00248BE8" w:rsidR="008F79D5" w:rsidRPr="00610B1B" w:rsidRDefault="008F79D5" w:rsidP="00A50A50">
      <w:pPr>
        <w:pStyle w:val="BodyText"/>
        <w:spacing w:before="0" w:after="120" w:line="276" w:lineRule="auto"/>
        <w:rPr>
          <w:rFonts w:cs="Times New Roman"/>
          <w:iCs/>
        </w:rPr>
      </w:pPr>
      <w:r w:rsidRPr="00610B1B">
        <w:rPr>
          <w:rFonts w:cs="Times New Roman"/>
          <w:iCs/>
        </w:rPr>
        <w:t xml:space="preserve">На този етап не се предвиждат нови съоръжения за отглеждане на морски аквакултури, освен съществуващите, макар че е заложено разнообразяване на отглежданите видове. Нови съоръжения могат да бъдат инсталирани само в </w:t>
      </w:r>
      <w:r w:rsidR="00D50BAF" w:rsidRPr="00610B1B">
        <w:rPr>
          <w:rFonts w:cs="Times New Roman"/>
          <w:iCs/>
        </w:rPr>
        <w:t xml:space="preserve">съгласувани </w:t>
      </w:r>
      <w:r w:rsidRPr="00610B1B">
        <w:rPr>
          <w:rFonts w:cs="Times New Roman"/>
          <w:iCs/>
        </w:rPr>
        <w:t xml:space="preserve">от БДЧР места в съответствие с актуализираната схема, която се подготвя. </w:t>
      </w:r>
    </w:p>
    <w:p w14:paraId="09D828C9" w14:textId="1C1B6DB9" w:rsidR="008F79D5" w:rsidRPr="00610B1B" w:rsidRDefault="008F79D5" w:rsidP="00A50A50">
      <w:pPr>
        <w:pStyle w:val="BodyText"/>
        <w:spacing w:before="0" w:after="120" w:line="276" w:lineRule="auto"/>
        <w:rPr>
          <w:rFonts w:cs="Times New Roman"/>
          <w:iCs/>
          <w:color w:val="000000" w:themeColor="text1"/>
        </w:rPr>
      </w:pPr>
      <w:r w:rsidRPr="00610B1B">
        <w:rPr>
          <w:rFonts w:cs="Times New Roman"/>
          <w:iCs/>
        </w:rPr>
        <w:t xml:space="preserve">Отглеждането на риба като аквакултура се препоръчва да става само в прилежащите крайбрежни зони, за да се избегне риска от замърсяване на морските води и промяна на условията на средата. Планът препоръчва премахване на изоставените инсталации </w:t>
      </w:r>
      <w:r w:rsidRPr="00610B1B">
        <w:rPr>
          <w:rFonts w:cs="Times New Roman"/>
          <w:iCs/>
          <w:color w:val="000000" w:themeColor="text1"/>
        </w:rPr>
        <w:t>за отглеждане на аквакултури, за да се преустанови замърсяването на околната среда с пластмасови остатъци от съоръженията.</w:t>
      </w:r>
      <w:r w:rsidR="00D66FE0" w:rsidRPr="00610B1B">
        <w:rPr>
          <w:rFonts w:cs="Times New Roman"/>
          <w:iCs/>
          <w:color w:val="000000" w:themeColor="text1"/>
        </w:rPr>
        <w:t xml:space="preserve"> </w:t>
      </w:r>
    </w:p>
    <w:p w14:paraId="44A157DF" w14:textId="07B42230" w:rsidR="008F79D5" w:rsidRPr="00610B1B" w:rsidRDefault="008F79D5" w:rsidP="00A50A50">
      <w:pPr>
        <w:pStyle w:val="BodyText"/>
        <w:spacing w:before="0" w:after="120" w:line="276" w:lineRule="auto"/>
        <w:rPr>
          <w:rFonts w:cs="Times New Roman"/>
          <w:iCs/>
          <w:color w:val="000000" w:themeColor="text1"/>
        </w:rPr>
      </w:pPr>
      <w:r w:rsidRPr="00610B1B">
        <w:rPr>
          <w:rFonts w:cs="Times New Roman"/>
          <w:b/>
          <w:bCs/>
          <w:iCs/>
          <w:color w:val="000000" w:themeColor="text1"/>
        </w:rPr>
        <w:t>Т</w:t>
      </w:r>
      <w:r w:rsidR="00140F67" w:rsidRPr="00610B1B">
        <w:rPr>
          <w:rFonts w:eastAsia="Times New Roman" w:cs="Times New Roman"/>
          <w:color w:val="000000" w:themeColor="text1"/>
          <w:lang w:eastAsia="bg-BG"/>
        </w:rPr>
        <w:t xml:space="preserve"> – </w:t>
      </w:r>
      <w:r w:rsidRPr="00610B1B">
        <w:rPr>
          <w:rFonts w:cs="Times New Roman"/>
          <w:iCs/>
          <w:color w:val="000000" w:themeColor="text1"/>
        </w:rPr>
        <w:t>Крайбрежен и морски туризъм</w:t>
      </w:r>
    </w:p>
    <w:p w14:paraId="7CB4F055" w14:textId="7C58F14E" w:rsidR="008F79D5" w:rsidRPr="00610B1B" w:rsidRDefault="008F79D5"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Поради свръхзастрояването на българското Черноморско крайбрежие, отчетено във всички документи, свързани с регионално и градско развитие и туристическо планиране, </w:t>
      </w:r>
      <w:r w:rsidR="00964B3A" w:rsidRPr="00610B1B">
        <w:rPr>
          <w:rFonts w:cs="Times New Roman"/>
          <w:iCs/>
          <w:color w:val="000000" w:themeColor="text1"/>
        </w:rPr>
        <w:t xml:space="preserve">както и поради обхвата на </w:t>
      </w:r>
      <w:r w:rsidRPr="00610B1B">
        <w:rPr>
          <w:rFonts w:cs="Times New Roman"/>
          <w:iCs/>
          <w:color w:val="000000" w:themeColor="text1"/>
        </w:rPr>
        <w:t>МППРБ</w:t>
      </w:r>
      <w:r w:rsidR="00964B3A" w:rsidRPr="00610B1B">
        <w:rPr>
          <w:rFonts w:cs="Times New Roman"/>
          <w:iCs/>
          <w:color w:val="000000" w:themeColor="text1"/>
        </w:rPr>
        <w:t>, в него</w:t>
      </w:r>
      <w:r w:rsidRPr="00610B1B">
        <w:rPr>
          <w:rFonts w:cs="Times New Roman"/>
          <w:iCs/>
          <w:color w:val="000000" w:themeColor="text1"/>
        </w:rPr>
        <w:t xml:space="preserve"> не се предвижда разширяване на курортно-туристическата база. Изискванията за по-високи здравно-хигиенни стандарти на местата за настаняване, хранене и атракции по повод Covid’19 ще наложи да се намали използваемия капацитет на обектите, комплексите, на плаж</w:t>
      </w:r>
      <w:r w:rsidR="00964B3A" w:rsidRPr="00610B1B">
        <w:rPr>
          <w:rFonts w:cs="Times New Roman"/>
          <w:iCs/>
          <w:color w:val="000000" w:themeColor="text1"/>
        </w:rPr>
        <w:t xml:space="preserve">овете </w:t>
      </w:r>
      <w:r w:rsidRPr="00610B1B">
        <w:rPr>
          <w:rFonts w:cs="Times New Roman"/>
          <w:iCs/>
          <w:color w:val="000000" w:themeColor="text1"/>
        </w:rPr>
        <w:t>и на прилежащите морски води за къпане. Това предполага по-щадящо използване на курортните ресурси, по-висок стандарт в обектите на туризма и по-безопасни условия за туристите и персонала. Устройството на териториите на курортните комплекси, на вилните селища и зони и</w:t>
      </w:r>
      <w:r w:rsidR="00D22EE5" w:rsidRPr="00610B1B">
        <w:rPr>
          <w:rFonts w:cs="Times New Roman"/>
          <w:iCs/>
          <w:color w:val="000000" w:themeColor="text1"/>
        </w:rPr>
        <w:t xml:space="preserve"> на рекреационните обекти за кра</w:t>
      </w:r>
      <w:r w:rsidRPr="00610B1B">
        <w:rPr>
          <w:rFonts w:cs="Times New Roman"/>
          <w:iCs/>
          <w:color w:val="000000" w:themeColor="text1"/>
        </w:rPr>
        <w:t xml:space="preserve">йбрежен туризъм (Тк) се осъществява в съответствие със ЗУТ, ЗУЧК, Наредба № 7 от 2003 г. за правила и нормативи за </w:t>
      </w:r>
      <w:r w:rsidRPr="00610B1B">
        <w:rPr>
          <w:rFonts w:cs="Times New Roman"/>
          <w:iCs/>
          <w:color w:val="000000" w:themeColor="text1"/>
        </w:rPr>
        <w:lastRenderedPageBreak/>
        <w:t>устройство на отделните видове територии и устройствени зони и Наредба № 14 от 3 август 1987 г. за курортните ресурси, курортните местности и курортите</w:t>
      </w:r>
      <w:r w:rsidR="00F95668" w:rsidRPr="00610B1B">
        <w:rPr>
          <w:rFonts w:cs="Times New Roman"/>
          <w:iCs/>
          <w:color w:val="000000" w:themeColor="text1"/>
        </w:rPr>
        <w:t xml:space="preserve"> и не е обект на МППРБ</w:t>
      </w:r>
      <w:r w:rsidRPr="00610B1B">
        <w:rPr>
          <w:rFonts w:cs="Times New Roman"/>
          <w:iCs/>
          <w:color w:val="000000" w:themeColor="text1"/>
        </w:rPr>
        <w:t>. Приоритетно в документите, уреждащи развитието на крайбрежните територии се предвижда изграждане</w:t>
      </w:r>
      <w:r w:rsidR="00D66FE0" w:rsidRPr="00610B1B">
        <w:rPr>
          <w:rFonts w:cs="Times New Roman"/>
          <w:iCs/>
          <w:color w:val="000000" w:themeColor="text1"/>
        </w:rPr>
        <w:t xml:space="preserve"> </w:t>
      </w:r>
      <w:r w:rsidRPr="00610B1B">
        <w:rPr>
          <w:rFonts w:cs="Times New Roman"/>
          <w:iCs/>
          <w:color w:val="000000" w:themeColor="text1"/>
        </w:rPr>
        <w:t>на необходимата техническа инфраструктура за да се преодолеят проблемите, произтичащи от незавършени проекти за пречистване на отпадъчни води или от претоварена инфраструктура.</w:t>
      </w:r>
      <w:r w:rsidR="00D66FE0" w:rsidRPr="00610B1B">
        <w:rPr>
          <w:rFonts w:cs="Times New Roman"/>
          <w:iCs/>
          <w:color w:val="000000" w:themeColor="text1"/>
        </w:rPr>
        <w:t xml:space="preserve"> </w:t>
      </w:r>
      <w:r w:rsidRPr="00610B1B">
        <w:rPr>
          <w:rFonts w:cs="Times New Roman"/>
          <w:iCs/>
          <w:color w:val="000000" w:themeColor="text1"/>
        </w:rPr>
        <w:t xml:space="preserve">Съгласно изискванията на ЗУТ и ЗУЧК в ОУП на крайбрежните общини задължително се показват и устройствени режими за прилежащата акватория. За да бъдат представени по единни </w:t>
      </w:r>
      <w:r w:rsidR="00F95668" w:rsidRPr="00610B1B">
        <w:rPr>
          <w:rFonts w:cs="Times New Roman"/>
          <w:iCs/>
          <w:color w:val="000000" w:themeColor="text1"/>
        </w:rPr>
        <w:t>стандарти</w:t>
      </w:r>
      <w:r w:rsidRPr="00610B1B">
        <w:rPr>
          <w:rFonts w:cs="Times New Roman"/>
          <w:iCs/>
          <w:color w:val="000000" w:themeColor="text1"/>
        </w:rPr>
        <w:t xml:space="preserve"> е необходимо МРРБ да направи допълнение и изменение на ЗУЧК и Наредба № 8 за обема и съдържанието на устройствените планове. </w:t>
      </w:r>
    </w:p>
    <w:p w14:paraId="4474E36A" w14:textId="3868E3F7" w:rsidR="008F79D5" w:rsidRPr="00610B1B" w:rsidRDefault="008F79D5" w:rsidP="00A50A50">
      <w:pPr>
        <w:pStyle w:val="BodyText"/>
        <w:spacing w:before="0" w:after="120" w:line="276" w:lineRule="auto"/>
        <w:rPr>
          <w:rFonts w:cs="Times New Roman"/>
          <w:iCs/>
          <w:color w:val="000000" w:themeColor="text1"/>
        </w:rPr>
      </w:pPr>
      <w:r w:rsidRPr="00610B1B">
        <w:rPr>
          <w:rFonts w:cs="Times New Roman"/>
          <w:iCs/>
          <w:color w:val="000000" w:themeColor="text1"/>
        </w:rPr>
        <w:t>За морския туризъм (Тм) се предвижда оптимално съгласуване с останалите дейности, които се осъществяват в крайбрежните води за къпане с цел опазване от замърсяване и безконфликтно и безопасно съвместяване на водни спортове (плуване, гребане, ветроходство, водни ски, уинд</w:t>
      </w:r>
      <w:r w:rsidR="007C0C9F" w:rsidRPr="00610B1B">
        <w:rPr>
          <w:rFonts w:cs="Times New Roman"/>
          <w:iCs/>
          <w:color w:val="000000" w:themeColor="text1"/>
        </w:rPr>
        <w:t>с</w:t>
      </w:r>
      <w:r w:rsidRPr="00610B1B">
        <w:rPr>
          <w:rFonts w:cs="Times New Roman"/>
          <w:iCs/>
          <w:color w:val="000000" w:themeColor="text1"/>
        </w:rPr>
        <w:t>ъ</w:t>
      </w:r>
      <w:r w:rsidR="007C0C9F" w:rsidRPr="00610B1B">
        <w:rPr>
          <w:rFonts w:cs="Times New Roman"/>
          <w:iCs/>
          <w:color w:val="000000" w:themeColor="text1"/>
        </w:rPr>
        <w:t>р</w:t>
      </w:r>
      <w:r w:rsidRPr="00610B1B">
        <w:rPr>
          <w:rFonts w:cs="Times New Roman"/>
          <w:iCs/>
          <w:color w:val="000000" w:themeColor="text1"/>
        </w:rPr>
        <w:t>финг и кайтсърфинг, гмуркане и др.), атракции и забавления във водата. Някои от тези дейности попадат в акваториалните части на крайбрежни защитени зони, но се предвижда това да бъдат само онези дейности, които не нанасят щети върху природни и културни ценности – плуване, гмуркане и подводни наблюдения.</w:t>
      </w:r>
      <w:r w:rsidR="00D66FE0" w:rsidRPr="00610B1B">
        <w:rPr>
          <w:rFonts w:cs="Times New Roman"/>
          <w:iCs/>
          <w:color w:val="000000" w:themeColor="text1"/>
        </w:rPr>
        <w:t xml:space="preserve"> </w:t>
      </w:r>
    </w:p>
    <w:p w14:paraId="53454122" w14:textId="7A8370C2" w:rsidR="008F79D5" w:rsidRPr="00610B1B" w:rsidRDefault="008F79D5" w:rsidP="00A50A50">
      <w:pPr>
        <w:pStyle w:val="BodyText"/>
        <w:spacing w:before="0" w:after="120" w:line="276" w:lineRule="auto"/>
        <w:rPr>
          <w:rFonts w:cs="Times New Roman"/>
          <w:iCs/>
          <w:color w:val="000000" w:themeColor="text1"/>
        </w:rPr>
      </w:pPr>
      <w:r w:rsidRPr="00610B1B">
        <w:rPr>
          <w:rFonts w:cs="Times New Roman"/>
          <w:iCs/>
          <w:color w:val="000000" w:themeColor="text1"/>
        </w:rPr>
        <w:t>Обогатяването на предлаганите туристически дейности и атракции е предвидено да се осъществи на основата на съчетаване на природни и културни ценности</w:t>
      </w:r>
      <w:r w:rsidR="00D66FE0" w:rsidRPr="00610B1B">
        <w:rPr>
          <w:rFonts w:cs="Times New Roman"/>
          <w:iCs/>
          <w:color w:val="000000" w:themeColor="text1"/>
        </w:rPr>
        <w:t xml:space="preserve"> </w:t>
      </w:r>
      <w:r w:rsidRPr="00610B1B">
        <w:rPr>
          <w:rFonts w:cs="Times New Roman"/>
          <w:iCs/>
          <w:color w:val="000000" w:themeColor="text1"/>
        </w:rPr>
        <w:t xml:space="preserve">и развитие на културен туризъм, включително и чрез експониране на културните ценности под вода. Допълнително предимство на българските курорти се предвижда да се осигури от по-пълноценното използване на съществуващите курортни ресурси със значителен потенциал – минерални води, морска вода, морска луга и лечебна кал. </w:t>
      </w:r>
    </w:p>
    <w:p w14:paraId="63D969A5" w14:textId="0A869A69" w:rsidR="008F79D5" w:rsidRPr="00610B1B" w:rsidRDefault="008F79D5"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Разположението на яхтените пристанища на българското </w:t>
      </w:r>
      <w:r w:rsidR="00F95668" w:rsidRPr="00610B1B">
        <w:rPr>
          <w:rFonts w:cs="Times New Roman"/>
          <w:iCs/>
          <w:color w:val="000000" w:themeColor="text1"/>
        </w:rPr>
        <w:t xml:space="preserve">Черноморско </w:t>
      </w:r>
      <w:r w:rsidRPr="00610B1B">
        <w:rPr>
          <w:rFonts w:cs="Times New Roman"/>
          <w:iCs/>
          <w:color w:val="000000" w:themeColor="text1"/>
        </w:rPr>
        <w:t xml:space="preserve">крайбрежие изисква добро дългосрочно планиране и приоритетно развитие на онези пристанища, обслужващи туристическия сектор, които имат по-голям капацитет и подходяща акватория с необходимите характеристики за този вид спорт и туризъм. Това може да се осъществи след изследване на морската динамика и промените в бреговата линия и настъпилите промени през последното десетилетие, заедно с видимите въздействия върху процесите на брега и в морето. </w:t>
      </w:r>
    </w:p>
    <w:p w14:paraId="53D4C288" w14:textId="146FD137" w:rsidR="00733CD9" w:rsidRPr="00610B1B" w:rsidRDefault="007C026D" w:rsidP="0074287E">
      <w:pPr>
        <w:pStyle w:val="BodyText"/>
        <w:spacing w:before="0" w:after="120" w:line="276" w:lineRule="auto"/>
        <w:rPr>
          <w:rFonts w:cs="Times New Roman"/>
          <w:iCs/>
        </w:rPr>
      </w:pPr>
      <w:r w:rsidRPr="00610B1B">
        <w:rPr>
          <w:rFonts w:cs="Times New Roman"/>
          <w:b/>
          <w:iCs/>
          <w:color w:val="000000" w:themeColor="text1"/>
        </w:rPr>
        <w:t>Вс</w:t>
      </w:r>
      <w:r w:rsidR="00733CD9" w:rsidRPr="00610B1B">
        <w:rPr>
          <w:rFonts w:cs="Times New Roman"/>
          <w:b/>
          <w:iCs/>
          <w:color w:val="000000" w:themeColor="text1"/>
        </w:rPr>
        <w:t>А</w:t>
      </w:r>
      <w:r w:rsidR="00733CD9" w:rsidRPr="00610B1B">
        <w:rPr>
          <w:rFonts w:cs="Times New Roman"/>
          <w:iCs/>
          <w:color w:val="000000" w:themeColor="text1"/>
        </w:rPr>
        <w:t xml:space="preserve"> –</w:t>
      </w:r>
      <w:r w:rsidR="00F63700" w:rsidRPr="00610B1B">
        <w:rPr>
          <w:rFonts w:cs="Times New Roman"/>
          <w:iCs/>
          <w:color w:val="000000" w:themeColor="text1"/>
        </w:rPr>
        <w:t xml:space="preserve"> Водни </w:t>
      </w:r>
      <w:r w:rsidR="00733CD9" w:rsidRPr="00610B1B">
        <w:rPr>
          <w:rFonts w:cs="Times New Roman"/>
          <w:iCs/>
          <w:color w:val="000000" w:themeColor="text1"/>
        </w:rPr>
        <w:t xml:space="preserve">спортове и </w:t>
      </w:r>
      <w:r w:rsidR="00733CD9" w:rsidRPr="00610B1B">
        <w:rPr>
          <w:rFonts w:cs="Times New Roman"/>
          <w:iCs/>
        </w:rPr>
        <w:t>атракции</w:t>
      </w:r>
    </w:p>
    <w:p w14:paraId="184DAB95" w14:textId="1517FF4D" w:rsidR="001E2ED7" w:rsidRPr="00610B1B" w:rsidRDefault="00977430" w:rsidP="00A50A50">
      <w:pPr>
        <w:pStyle w:val="BodyText"/>
        <w:spacing w:before="0" w:after="120" w:line="276" w:lineRule="auto"/>
        <w:rPr>
          <w:rFonts w:cs="Times New Roman"/>
          <w:iCs/>
        </w:rPr>
      </w:pPr>
      <w:r w:rsidRPr="00610B1B">
        <w:rPr>
          <w:rFonts w:cs="Times New Roman"/>
          <w:iCs/>
        </w:rPr>
        <w:t xml:space="preserve">Полигоните за водни спортове и атракции </w:t>
      </w:r>
      <w:r w:rsidR="00164B8D" w:rsidRPr="00610B1B">
        <w:rPr>
          <w:rFonts w:cs="Times New Roman"/>
          <w:iCs/>
        </w:rPr>
        <w:t>са разположени пред големите к</w:t>
      </w:r>
      <w:r w:rsidR="007B3AAC" w:rsidRPr="00610B1B">
        <w:rPr>
          <w:rFonts w:cs="Times New Roman"/>
          <w:iCs/>
        </w:rPr>
        <w:t>у</w:t>
      </w:r>
      <w:r w:rsidR="00164B8D" w:rsidRPr="00610B1B">
        <w:rPr>
          <w:rFonts w:cs="Times New Roman"/>
          <w:iCs/>
        </w:rPr>
        <w:t>р</w:t>
      </w:r>
      <w:r w:rsidR="007B3AAC" w:rsidRPr="00610B1B">
        <w:rPr>
          <w:rFonts w:cs="Times New Roman"/>
          <w:iCs/>
        </w:rPr>
        <w:t>о</w:t>
      </w:r>
      <w:r w:rsidR="00164B8D" w:rsidRPr="00610B1B">
        <w:rPr>
          <w:rFonts w:cs="Times New Roman"/>
          <w:iCs/>
        </w:rPr>
        <w:t>ртни комплекси и плажове по българското Че</w:t>
      </w:r>
      <w:r w:rsidR="007B3AAC" w:rsidRPr="00610B1B">
        <w:rPr>
          <w:rFonts w:cs="Times New Roman"/>
          <w:iCs/>
        </w:rPr>
        <w:t>р</w:t>
      </w:r>
      <w:r w:rsidR="00164B8D" w:rsidRPr="00610B1B">
        <w:rPr>
          <w:rFonts w:cs="Times New Roman"/>
          <w:iCs/>
        </w:rPr>
        <w:t>н</w:t>
      </w:r>
      <w:r w:rsidR="007B3AAC" w:rsidRPr="00610B1B">
        <w:rPr>
          <w:rFonts w:cs="Times New Roman"/>
          <w:iCs/>
        </w:rPr>
        <w:t>о</w:t>
      </w:r>
      <w:r w:rsidR="00164B8D" w:rsidRPr="00610B1B">
        <w:rPr>
          <w:rFonts w:cs="Times New Roman"/>
          <w:iCs/>
        </w:rPr>
        <w:t xml:space="preserve">морско крайбрежие, </w:t>
      </w:r>
      <w:r w:rsidR="007C026D" w:rsidRPr="00610B1B">
        <w:rPr>
          <w:rFonts w:cs="Times New Roman"/>
          <w:iCs/>
        </w:rPr>
        <w:t>а новите зони се определят от кмета на общината или областния управител съобразно чл. 41, ал. 3 на Закона за водите, след съгласуване с директора на РЗИ и директора на БДЧР, съгласно чл. 24., ал. 1 от Наредба № 5 от 30 май 2008 г. за управление качеството на водите за къпане</w:t>
      </w:r>
      <w:r w:rsidR="00164B8D" w:rsidRPr="00610B1B">
        <w:rPr>
          <w:rFonts w:cs="Times New Roman"/>
          <w:iCs/>
        </w:rPr>
        <w:t xml:space="preserve">. </w:t>
      </w:r>
      <w:r w:rsidR="001E2ED7" w:rsidRPr="00610B1B">
        <w:rPr>
          <w:rFonts w:cs="Times New Roman"/>
          <w:iCs/>
        </w:rPr>
        <w:t>Опазването им се осъществява по силата на РДВ</w:t>
      </w:r>
      <w:r w:rsidR="000A32C6" w:rsidRPr="00610B1B">
        <w:rPr>
          <w:rFonts w:cs="Times New Roman"/>
          <w:iCs/>
        </w:rPr>
        <w:t>,</w:t>
      </w:r>
      <w:r w:rsidR="001E2ED7" w:rsidRPr="00610B1B">
        <w:rPr>
          <w:rFonts w:cs="Times New Roman"/>
          <w:iCs/>
        </w:rPr>
        <w:t xml:space="preserve"> РДМС, </w:t>
      </w:r>
      <w:r w:rsidR="000A32C6" w:rsidRPr="00610B1B">
        <w:rPr>
          <w:rFonts w:cs="Times New Roman"/>
          <w:iCs/>
        </w:rPr>
        <w:t xml:space="preserve">Директивата на ЕС за водите за къпане, </w:t>
      </w:r>
      <w:r w:rsidR="001E2ED7" w:rsidRPr="00610B1B">
        <w:rPr>
          <w:rFonts w:cs="Times New Roman"/>
          <w:iCs/>
        </w:rPr>
        <w:t>Закона за водите, Наредбата за опазване на околната среда в морските води, Наредба № 14</w:t>
      </w:r>
      <w:r w:rsidR="001E2ED7" w:rsidRPr="00610B1B">
        <w:rPr>
          <w:rFonts w:cs="Times New Roman"/>
        </w:rPr>
        <w:t xml:space="preserve"> </w:t>
      </w:r>
      <w:r w:rsidR="001E2ED7" w:rsidRPr="00610B1B">
        <w:rPr>
          <w:rFonts w:cs="Times New Roman"/>
          <w:iCs/>
        </w:rPr>
        <w:t xml:space="preserve">от 3 август 1987 г. за курортните ресурси, курортните местности и курортите, Наредба № 6 от 9 ноември 2000 </w:t>
      </w:r>
      <w:r w:rsidR="00686D51" w:rsidRPr="00610B1B">
        <w:rPr>
          <w:rFonts w:cs="Times New Roman"/>
          <w:iCs/>
        </w:rPr>
        <w:t>г</w:t>
      </w:r>
      <w:r w:rsidR="001E2ED7" w:rsidRPr="00610B1B">
        <w:rPr>
          <w:rFonts w:cs="Times New Roman"/>
          <w:iCs/>
        </w:rPr>
        <w:t xml:space="preserve">. </w:t>
      </w:r>
      <w:r w:rsidR="00686D51" w:rsidRPr="00610B1B">
        <w:rPr>
          <w:rFonts w:cs="Times New Roman"/>
          <w:iCs/>
        </w:rPr>
        <w:t>за емисионнит</w:t>
      </w:r>
      <w:r w:rsidR="000A32C6" w:rsidRPr="00610B1B">
        <w:rPr>
          <w:rFonts w:cs="Times New Roman"/>
          <w:iCs/>
        </w:rPr>
        <w:t>е</w:t>
      </w:r>
      <w:r w:rsidR="00686D51" w:rsidRPr="00610B1B">
        <w:rPr>
          <w:rFonts w:cs="Times New Roman"/>
          <w:iCs/>
        </w:rPr>
        <w:t xml:space="preserve"> норми за допустимото съдържание на вредни и опасни вещества в отпадъчните води, зауствани във водни </w:t>
      </w:r>
      <w:r w:rsidR="00686D51" w:rsidRPr="00610B1B">
        <w:rPr>
          <w:rFonts w:cs="Times New Roman"/>
          <w:iCs/>
        </w:rPr>
        <w:lastRenderedPageBreak/>
        <w:t xml:space="preserve">обекти. </w:t>
      </w:r>
    </w:p>
    <w:p w14:paraId="0DB31475" w14:textId="03435BDC" w:rsidR="000B7E9C" w:rsidRPr="00610B1B" w:rsidRDefault="001E2ED7" w:rsidP="00A50A50">
      <w:pPr>
        <w:pStyle w:val="BodyText"/>
        <w:spacing w:before="0" w:after="120" w:line="276" w:lineRule="auto"/>
        <w:rPr>
          <w:rFonts w:cs="Times New Roman"/>
          <w:iCs/>
        </w:rPr>
      </w:pPr>
      <w:r w:rsidRPr="00610B1B">
        <w:rPr>
          <w:rFonts w:cs="Times New Roman"/>
          <w:iCs/>
        </w:rPr>
        <w:t xml:space="preserve">Най-важният проблем е намаляване на замърсяването </w:t>
      </w:r>
      <w:r w:rsidR="00686D51" w:rsidRPr="00610B1B">
        <w:rPr>
          <w:rFonts w:cs="Times New Roman"/>
          <w:iCs/>
        </w:rPr>
        <w:t xml:space="preserve">от отпадъчни води, от аварии и инциденти, от изоставени </w:t>
      </w:r>
      <w:r w:rsidR="008F79D5" w:rsidRPr="00610B1B">
        <w:rPr>
          <w:rFonts w:cs="Times New Roman"/>
          <w:iCs/>
        </w:rPr>
        <w:t>ф</w:t>
      </w:r>
      <w:r w:rsidR="00686D51" w:rsidRPr="00610B1B">
        <w:rPr>
          <w:rFonts w:cs="Times New Roman"/>
          <w:iCs/>
        </w:rPr>
        <w:t>ерми за отглеждане на аквакултури и</w:t>
      </w:r>
      <w:r w:rsidR="00A50A50" w:rsidRPr="00610B1B">
        <w:rPr>
          <w:rFonts w:cs="Times New Roman"/>
          <w:iCs/>
        </w:rPr>
        <w:t xml:space="preserve"> даляни в близост до плажове на </w:t>
      </w:r>
      <w:r w:rsidR="00686D51" w:rsidRPr="00610B1B">
        <w:rPr>
          <w:rFonts w:cs="Times New Roman"/>
          <w:iCs/>
        </w:rPr>
        <w:t>курортни комплекси и зони.</w:t>
      </w:r>
      <w:r w:rsidR="00D66FE0" w:rsidRPr="00610B1B">
        <w:rPr>
          <w:rFonts w:cs="Times New Roman"/>
          <w:iCs/>
        </w:rPr>
        <w:t xml:space="preserve"> </w:t>
      </w:r>
      <w:r w:rsidR="002230BB" w:rsidRPr="00610B1B">
        <w:rPr>
          <w:rFonts w:cs="Times New Roman"/>
          <w:iCs/>
        </w:rPr>
        <w:t xml:space="preserve">За предотвратяване на инциденти в зоните за отдих и водни спортове ясно се разграничават пространствата за водни спортове от тези за къпане. </w:t>
      </w:r>
    </w:p>
    <w:p w14:paraId="74110CE4" w14:textId="4A617A06" w:rsidR="000B7E9C" w:rsidRPr="00610B1B" w:rsidRDefault="003233AE" w:rsidP="00A50A50">
      <w:pPr>
        <w:pStyle w:val="BodyText"/>
        <w:spacing w:before="0" w:after="120" w:line="276" w:lineRule="auto"/>
        <w:rPr>
          <w:rFonts w:cs="Times New Roman"/>
          <w:iCs/>
          <w:color w:val="000000" w:themeColor="text1"/>
        </w:rPr>
      </w:pPr>
      <w:r w:rsidRPr="00610B1B">
        <w:rPr>
          <w:rFonts w:cs="Times New Roman"/>
          <w:b/>
          <w:iCs/>
        </w:rPr>
        <w:t>ИКТ</w:t>
      </w:r>
      <w:r w:rsidRPr="00610B1B">
        <w:rPr>
          <w:rFonts w:cs="Times New Roman"/>
          <w:iCs/>
        </w:rPr>
        <w:t xml:space="preserve"> </w:t>
      </w:r>
      <w:r w:rsidR="009031A0" w:rsidRPr="00610B1B">
        <w:rPr>
          <w:rFonts w:cs="Times New Roman"/>
          <w:iCs/>
        </w:rPr>
        <w:t>–</w:t>
      </w:r>
      <w:r w:rsidRPr="00610B1B">
        <w:rPr>
          <w:rFonts w:cs="Times New Roman"/>
          <w:iCs/>
        </w:rPr>
        <w:t xml:space="preserve"> </w:t>
      </w:r>
      <w:r w:rsidR="000B7E9C" w:rsidRPr="00610B1B">
        <w:rPr>
          <w:rFonts w:cs="Times New Roman"/>
          <w:iCs/>
        </w:rPr>
        <w:t xml:space="preserve">Информационни и комуникационни технологии </w:t>
      </w:r>
      <w:r w:rsidR="000B7E9C" w:rsidRPr="00610B1B">
        <w:rPr>
          <w:rFonts w:cs="Times New Roman"/>
          <w:iCs/>
          <w:color w:val="000000" w:themeColor="text1"/>
        </w:rPr>
        <w:t>и подводна инфраструктура</w:t>
      </w:r>
    </w:p>
    <w:p w14:paraId="680558C4" w14:textId="77777777" w:rsidR="00B86940" w:rsidRPr="00610B1B" w:rsidRDefault="00686D51" w:rsidP="00A50A50">
      <w:pPr>
        <w:pStyle w:val="BodyText"/>
        <w:spacing w:before="0" w:after="120" w:line="276" w:lineRule="auto"/>
        <w:rPr>
          <w:rFonts w:cs="Times New Roman"/>
          <w:iCs/>
          <w:color w:val="000000" w:themeColor="text1"/>
        </w:rPr>
      </w:pPr>
      <w:r w:rsidRPr="00610B1B">
        <w:rPr>
          <w:rFonts w:cs="Times New Roman"/>
          <w:iCs/>
          <w:color w:val="000000" w:themeColor="text1"/>
        </w:rPr>
        <w:t>Съществуващите линейни обекти, положени на дъното на Черно море, удовлетворява</w:t>
      </w:r>
      <w:r w:rsidR="00097679" w:rsidRPr="00610B1B">
        <w:rPr>
          <w:rFonts w:cs="Times New Roman"/>
          <w:iCs/>
          <w:color w:val="000000" w:themeColor="text1"/>
        </w:rPr>
        <w:t>т</w:t>
      </w:r>
      <w:r w:rsidRPr="00610B1B">
        <w:rPr>
          <w:rFonts w:cs="Times New Roman"/>
          <w:iCs/>
          <w:color w:val="000000" w:themeColor="text1"/>
        </w:rPr>
        <w:t xml:space="preserve"> изискванията на информационните и комуникационните технологии</w:t>
      </w:r>
      <w:r w:rsidR="00B86940" w:rsidRPr="00610B1B">
        <w:rPr>
          <w:rFonts w:cs="Times New Roman"/>
          <w:iCs/>
          <w:color w:val="000000" w:themeColor="text1"/>
        </w:rPr>
        <w:t>,</w:t>
      </w:r>
      <w:r w:rsidRPr="00610B1B">
        <w:rPr>
          <w:rFonts w:cs="Times New Roman"/>
          <w:iCs/>
          <w:color w:val="000000" w:themeColor="text1"/>
        </w:rPr>
        <w:t xml:space="preserve"> изградени </w:t>
      </w:r>
      <w:r w:rsidR="00B86940" w:rsidRPr="00610B1B">
        <w:rPr>
          <w:rFonts w:cs="Times New Roman"/>
          <w:iCs/>
          <w:color w:val="000000" w:themeColor="text1"/>
        </w:rPr>
        <w:t xml:space="preserve">са </w:t>
      </w:r>
      <w:r w:rsidRPr="00610B1B">
        <w:rPr>
          <w:rFonts w:cs="Times New Roman"/>
          <w:iCs/>
          <w:color w:val="000000" w:themeColor="text1"/>
        </w:rPr>
        <w:t xml:space="preserve">и се поддържат съгласно предписанията за различните видове </w:t>
      </w:r>
      <w:r w:rsidR="00B86940" w:rsidRPr="00610B1B">
        <w:rPr>
          <w:rFonts w:cs="Times New Roman"/>
          <w:iCs/>
          <w:color w:val="000000" w:themeColor="text1"/>
        </w:rPr>
        <w:t>инфраструктура</w:t>
      </w:r>
      <w:r w:rsidR="00097679" w:rsidRPr="00610B1B">
        <w:rPr>
          <w:rFonts w:cs="Times New Roman"/>
          <w:iCs/>
          <w:color w:val="000000" w:themeColor="text1"/>
        </w:rPr>
        <w:t>. Съо</w:t>
      </w:r>
      <w:r w:rsidR="000A32C6" w:rsidRPr="00610B1B">
        <w:rPr>
          <w:rFonts w:cs="Times New Roman"/>
          <w:iCs/>
          <w:color w:val="000000" w:themeColor="text1"/>
        </w:rPr>
        <w:t>б</w:t>
      </w:r>
      <w:r w:rsidR="00097679" w:rsidRPr="00610B1B">
        <w:rPr>
          <w:rFonts w:cs="Times New Roman"/>
          <w:iCs/>
          <w:color w:val="000000" w:themeColor="text1"/>
        </w:rPr>
        <w:t xml:space="preserve">разени са с изискванията на </w:t>
      </w:r>
      <w:r w:rsidR="00010904" w:rsidRPr="00610B1B">
        <w:rPr>
          <w:rFonts w:cs="Times New Roman"/>
          <w:iCs/>
          <w:color w:val="000000" w:themeColor="text1"/>
        </w:rPr>
        <w:t xml:space="preserve">Конвенцията на </w:t>
      </w:r>
      <w:r w:rsidR="007B5113" w:rsidRPr="00610B1B">
        <w:rPr>
          <w:rFonts w:cs="Times New Roman"/>
          <w:iCs/>
          <w:color w:val="000000" w:themeColor="text1"/>
        </w:rPr>
        <w:t>ООН</w:t>
      </w:r>
      <w:r w:rsidR="00010904" w:rsidRPr="00610B1B">
        <w:rPr>
          <w:rFonts w:cs="Times New Roman"/>
          <w:iCs/>
          <w:color w:val="000000" w:themeColor="text1"/>
        </w:rPr>
        <w:t xml:space="preserve"> по морско право</w:t>
      </w:r>
      <w:r w:rsidR="000A32C6" w:rsidRPr="00610B1B">
        <w:rPr>
          <w:rFonts w:cs="Times New Roman"/>
          <w:iCs/>
          <w:color w:val="000000" w:themeColor="text1"/>
        </w:rPr>
        <w:t xml:space="preserve">, </w:t>
      </w:r>
      <w:r w:rsidR="007B5113" w:rsidRPr="00610B1B">
        <w:rPr>
          <w:rFonts w:cs="Times New Roman"/>
          <w:iCs/>
          <w:color w:val="000000" w:themeColor="text1"/>
        </w:rPr>
        <w:t>З</w:t>
      </w:r>
      <w:r w:rsidR="00A51C36" w:rsidRPr="00610B1B">
        <w:rPr>
          <w:rFonts w:cs="Times New Roman"/>
          <w:iCs/>
          <w:color w:val="000000" w:themeColor="text1"/>
        </w:rPr>
        <w:t xml:space="preserve">МПВВППРБ и </w:t>
      </w:r>
      <w:r w:rsidR="00097679" w:rsidRPr="00610B1B">
        <w:rPr>
          <w:rFonts w:cs="Times New Roman"/>
          <w:iCs/>
          <w:color w:val="000000" w:themeColor="text1"/>
        </w:rPr>
        <w:t>Закона за устройство на територията</w:t>
      </w:r>
      <w:r w:rsidR="00A51C36" w:rsidRPr="00610B1B">
        <w:rPr>
          <w:rFonts w:cs="Times New Roman"/>
          <w:iCs/>
          <w:color w:val="000000" w:themeColor="text1"/>
        </w:rPr>
        <w:t xml:space="preserve">. </w:t>
      </w:r>
    </w:p>
    <w:p w14:paraId="1CCFB63D" w14:textId="6ECDE7C1" w:rsidR="000B7E9C" w:rsidRPr="00610B1B" w:rsidRDefault="00010904"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На този етап на разработване на МППРБ страната ни няма планове за изграждане на нови линейни обекти на дъното на Черно море. В случай на поява на интерес за подобна инициатива от регионален мащаб се спазват изискванията на </w:t>
      </w:r>
      <w:r w:rsidR="007B5113" w:rsidRPr="00610B1B">
        <w:rPr>
          <w:rFonts w:cs="Times New Roman"/>
          <w:iCs/>
          <w:color w:val="000000" w:themeColor="text1"/>
        </w:rPr>
        <w:t>действащите международни споразумения</w:t>
      </w:r>
      <w:r w:rsidR="00A51C36" w:rsidRPr="00610B1B">
        <w:rPr>
          <w:rFonts w:cs="Times New Roman"/>
          <w:iCs/>
          <w:color w:val="000000" w:themeColor="text1"/>
        </w:rPr>
        <w:t xml:space="preserve"> и нормативна</w:t>
      </w:r>
      <w:r w:rsidR="00B86940" w:rsidRPr="00610B1B">
        <w:rPr>
          <w:rFonts w:cs="Times New Roman"/>
          <w:iCs/>
          <w:color w:val="000000" w:themeColor="text1"/>
        </w:rPr>
        <w:t>та</w:t>
      </w:r>
      <w:r w:rsidR="00A51C36" w:rsidRPr="00610B1B">
        <w:rPr>
          <w:rFonts w:cs="Times New Roman"/>
          <w:iCs/>
          <w:color w:val="000000" w:themeColor="text1"/>
        </w:rPr>
        <w:t xml:space="preserve"> уредба за </w:t>
      </w:r>
      <w:r w:rsidR="00D735AF" w:rsidRPr="00610B1B">
        <w:rPr>
          <w:rFonts w:cs="Times New Roman"/>
          <w:iCs/>
          <w:color w:val="000000" w:themeColor="text1"/>
        </w:rPr>
        <w:t>500</w:t>
      </w:r>
      <w:r w:rsidR="00A51C36" w:rsidRPr="00610B1B">
        <w:rPr>
          <w:rFonts w:cs="Times New Roman"/>
          <w:iCs/>
          <w:color w:val="000000" w:themeColor="text1"/>
        </w:rPr>
        <w:t xml:space="preserve"> m сервитут около подводните проводи.</w:t>
      </w:r>
      <w:r w:rsidR="007C026D" w:rsidRPr="00610B1B">
        <w:rPr>
          <w:rFonts w:cs="Times New Roman"/>
          <w:iCs/>
          <w:color w:val="000000" w:themeColor="text1"/>
        </w:rPr>
        <w:t xml:space="preserve"> (Приложение</w:t>
      </w:r>
      <w:r w:rsidR="00D66FE0" w:rsidRPr="00610B1B">
        <w:rPr>
          <w:rFonts w:cs="Times New Roman"/>
          <w:iCs/>
          <w:color w:val="000000" w:themeColor="text1"/>
        </w:rPr>
        <w:t xml:space="preserve"> </w:t>
      </w:r>
      <w:r w:rsidR="007C026D" w:rsidRPr="00610B1B">
        <w:rPr>
          <w:rFonts w:cs="Times New Roman"/>
          <w:iCs/>
          <w:color w:val="000000" w:themeColor="text1"/>
        </w:rPr>
        <w:t>към чл. 7. Максимални размери на сервитутните ивици на физическа инфраструктура за разполагане на електронни съобщителни мрежи, Наредба № 6 от 13 юни 2019 г. за сервитутите, които възникват в полза на операторите на електронни съобщителни мрежи по Закона за електронните съобщителни мрежи и физическа инфраструктура)</w:t>
      </w:r>
      <w:r w:rsidR="00A51C36" w:rsidRPr="00610B1B">
        <w:rPr>
          <w:rFonts w:cs="Times New Roman"/>
          <w:iCs/>
          <w:color w:val="000000" w:themeColor="text1"/>
        </w:rPr>
        <w:t xml:space="preserve"> По трасето на кабелите не се допуска дънно тралене, драгиране или депониране на драгажна маса.</w:t>
      </w:r>
    </w:p>
    <w:p w14:paraId="79A05513" w14:textId="4DB61E13" w:rsidR="000B7E9C" w:rsidRPr="00610B1B" w:rsidRDefault="003233AE" w:rsidP="00A50A50">
      <w:pPr>
        <w:pStyle w:val="BodyText"/>
        <w:spacing w:before="0" w:after="120" w:line="276" w:lineRule="auto"/>
        <w:rPr>
          <w:rFonts w:cs="Times New Roman"/>
          <w:iCs/>
          <w:color w:val="000000" w:themeColor="text1"/>
        </w:rPr>
      </w:pPr>
      <w:r w:rsidRPr="00610B1B">
        <w:rPr>
          <w:rFonts w:cs="Times New Roman"/>
          <w:b/>
          <w:iCs/>
          <w:color w:val="000000" w:themeColor="text1"/>
        </w:rPr>
        <w:t>КК</w:t>
      </w:r>
      <w:r w:rsidR="00140F67" w:rsidRPr="00610B1B">
        <w:rPr>
          <w:rFonts w:eastAsia="Times New Roman" w:cs="Times New Roman"/>
          <w:color w:val="000000" w:themeColor="text1"/>
          <w:lang w:eastAsia="bg-BG"/>
        </w:rPr>
        <w:t xml:space="preserve"> – </w:t>
      </w:r>
      <w:r w:rsidR="000B7E9C" w:rsidRPr="00610B1B">
        <w:rPr>
          <w:rFonts w:cs="Times New Roman"/>
          <w:iCs/>
          <w:color w:val="000000" w:themeColor="text1"/>
        </w:rPr>
        <w:t>Кораборемонт и корабостроене</w:t>
      </w:r>
    </w:p>
    <w:p w14:paraId="55A4A40E" w14:textId="22117183" w:rsidR="00454E79" w:rsidRPr="00610B1B" w:rsidRDefault="00305B8C"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Преструктурирането на сектора през последните две десетилетия намира отражение и в предвижданията за следващите 15 години. Ще се запазят тенденциите за развитие на онези сегменти, които са свързани предимно с рекреационната индустрия и водните спортове и строителство на плавателни съдове за отдих. Паралелно с това се очаква да се развият онези сектори, които изискват високо квалифицирана работна ръка като производство на модерни енергоефективни двигатели, на уреди и апарати за измерване, изпитване и навигация. </w:t>
      </w:r>
    </w:p>
    <w:p w14:paraId="5F4D60F2" w14:textId="13D2F5FC" w:rsidR="00620E54" w:rsidRPr="00610B1B" w:rsidRDefault="00305B8C" w:rsidP="00A50A50">
      <w:pPr>
        <w:pStyle w:val="BodyText"/>
        <w:spacing w:before="0" w:after="120" w:line="276" w:lineRule="auto"/>
        <w:rPr>
          <w:rFonts w:cs="Times New Roman"/>
          <w:iCs/>
          <w:color w:val="000000" w:themeColor="text1"/>
        </w:rPr>
      </w:pPr>
      <w:r w:rsidRPr="00610B1B">
        <w:rPr>
          <w:rFonts w:cs="Times New Roman"/>
          <w:iCs/>
          <w:color w:val="000000" w:themeColor="text1"/>
        </w:rPr>
        <w:t>Това развитие е свързано предимно с ефективно използване на терените, в които извършват дейността си действащите фирми в Бургас, Варна, Белослав, Аксаково, Несебър, Поморие, Созопол, Ахтопол и Царево</w:t>
      </w:r>
      <w:r w:rsidR="00454E79" w:rsidRPr="00610B1B">
        <w:rPr>
          <w:rFonts w:cs="Times New Roman"/>
          <w:iCs/>
          <w:color w:val="000000" w:themeColor="text1"/>
        </w:rPr>
        <w:t xml:space="preserve"> в съответствие с изискванията на ЗУТ, ЗУЧК и ЗМПВВППРБ</w:t>
      </w:r>
      <w:r w:rsidRPr="00610B1B">
        <w:rPr>
          <w:rFonts w:cs="Times New Roman"/>
          <w:iCs/>
          <w:color w:val="000000" w:themeColor="text1"/>
        </w:rPr>
        <w:t>. Акваториалните части, в които извършват част от операциите си кораборемонтните и корабостроителните заводи също следва да бъдат реновирани и разширени при необходимост в съответствие с изискванията на ЗМПВВППРБ.</w:t>
      </w:r>
    </w:p>
    <w:p w14:paraId="62187D64" w14:textId="1F74F6CD" w:rsidR="000B7E9C" w:rsidRPr="00610B1B" w:rsidRDefault="003233AE" w:rsidP="00A50A50">
      <w:pPr>
        <w:pStyle w:val="BodyText"/>
        <w:spacing w:before="0" w:after="120" w:line="276" w:lineRule="auto"/>
        <w:rPr>
          <w:rFonts w:cs="Times New Roman"/>
          <w:iCs/>
          <w:color w:val="000000" w:themeColor="text1"/>
        </w:rPr>
      </w:pPr>
      <w:r w:rsidRPr="00610B1B">
        <w:rPr>
          <w:rFonts w:cs="Times New Roman"/>
          <w:b/>
          <w:iCs/>
          <w:color w:val="000000" w:themeColor="text1"/>
        </w:rPr>
        <w:t>ПП</w:t>
      </w:r>
      <w:r w:rsidR="00140F67" w:rsidRPr="00610B1B">
        <w:rPr>
          <w:rFonts w:eastAsia="Times New Roman" w:cs="Times New Roman"/>
          <w:color w:val="000000" w:themeColor="text1"/>
          <w:lang w:eastAsia="bg-BG"/>
        </w:rPr>
        <w:t xml:space="preserve"> – </w:t>
      </w:r>
      <w:r w:rsidR="000B7E9C" w:rsidRPr="00610B1B">
        <w:rPr>
          <w:rFonts w:cs="Times New Roman"/>
          <w:iCs/>
          <w:color w:val="000000" w:themeColor="text1"/>
        </w:rPr>
        <w:t>Пристанища и пристанищна дейност</w:t>
      </w:r>
    </w:p>
    <w:p w14:paraId="2B941127" w14:textId="57CC8702" w:rsidR="004C69F9" w:rsidRPr="00610B1B" w:rsidRDefault="004C69F9"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Предвижданията за българските пристанища са свързани с необходимостта от тяхната модернизация и технологично обновяване на съпътстващата инфраструктура, за да могат да поемат основните си функции като важни портали на източната граница на ЕС </w:t>
      </w:r>
      <w:r w:rsidRPr="00610B1B">
        <w:rPr>
          <w:rFonts w:cs="Times New Roman"/>
          <w:iCs/>
          <w:color w:val="000000" w:themeColor="text1"/>
        </w:rPr>
        <w:lastRenderedPageBreak/>
        <w:t xml:space="preserve">и в Черноморския регион. </w:t>
      </w:r>
      <w:r w:rsidR="00F40F71" w:rsidRPr="00610B1B">
        <w:rPr>
          <w:rFonts w:cs="Times New Roman"/>
          <w:iCs/>
          <w:color w:val="000000" w:themeColor="text1"/>
        </w:rPr>
        <w:t>Те ще отразят и последните промени, внесени за обсъждане в българския парламент за подобряване на управлението им</w:t>
      </w:r>
      <w:r w:rsidR="00675515" w:rsidRPr="00610B1B">
        <w:rPr>
          <w:rFonts w:cs="Times New Roman"/>
          <w:iCs/>
          <w:color w:val="000000" w:themeColor="text1"/>
        </w:rPr>
        <w:t xml:space="preserve"> и прилагане на Регламент (ЕС) 2017/352 относно пристанищните услуги</w:t>
      </w:r>
      <w:r w:rsidR="00F40F71" w:rsidRPr="00610B1B">
        <w:rPr>
          <w:rFonts w:cs="Times New Roman"/>
          <w:iCs/>
          <w:color w:val="000000" w:themeColor="text1"/>
        </w:rPr>
        <w:t xml:space="preserve">. </w:t>
      </w:r>
      <w:r w:rsidRPr="00610B1B">
        <w:rPr>
          <w:rFonts w:cs="Times New Roman"/>
          <w:iCs/>
          <w:color w:val="000000" w:themeColor="text1"/>
        </w:rPr>
        <w:t>В условията на последвалата пандемията икономическа криза, която засегна сериозно пристанищата и пристанищната дейност в ц</w:t>
      </w:r>
      <w:r w:rsidR="0003451C" w:rsidRPr="00610B1B">
        <w:rPr>
          <w:rFonts w:cs="Times New Roman"/>
          <w:iCs/>
          <w:color w:val="000000" w:themeColor="text1"/>
        </w:rPr>
        <w:t>e</w:t>
      </w:r>
      <w:r w:rsidRPr="00610B1B">
        <w:rPr>
          <w:rFonts w:cs="Times New Roman"/>
          <w:iCs/>
          <w:color w:val="000000" w:themeColor="text1"/>
        </w:rPr>
        <w:t>л</w:t>
      </w:r>
      <w:r w:rsidR="0003451C" w:rsidRPr="00610B1B">
        <w:rPr>
          <w:rFonts w:cs="Times New Roman"/>
          <w:iCs/>
          <w:color w:val="000000" w:themeColor="text1"/>
        </w:rPr>
        <w:t>ия</w:t>
      </w:r>
      <w:r w:rsidRPr="00610B1B">
        <w:rPr>
          <w:rFonts w:cs="Times New Roman"/>
          <w:iCs/>
          <w:color w:val="000000" w:themeColor="text1"/>
        </w:rPr>
        <w:t xml:space="preserve"> свят, е трудно да се правят </w:t>
      </w:r>
      <w:r w:rsidR="00F40F71" w:rsidRPr="00610B1B">
        <w:rPr>
          <w:rFonts w:cs="Times New Roman"/>
          <w:iCs/>
          <w:color w:val="000000" w:themeColor="text1"/>
        </w:rPr>
        <w:t xml:space="preserve">точни </w:t>
      </w:r>
      <w:r w:rsidRPr="00610B1B">
        <w:rPr>
          <w:rFonts w:cs="Times New Roman"/>
          <w:iCs/>
          <w:color w:val="000000" w:themeColor="text1"/>
        </w:rPr>
        <w:t>предвиждания за ръста на</w:t>
      </w:r>
      <w:r w:rsidRPr="00610B1B">
        <w:rPr>
          <w:rFonts w:cs="Times New Roman"/>
        </w:rPr>
        <w:t xml:space="preserve"> </w:t>
      </w:r>
      <w:r w:rsidRPr="00610B1B">
        <w:rPr>
          <w:rFonts w:cs="Times New Roman"/>
          <w:iCs/>
          <w:color w:val="000000" w:themeColor="text1"/>
        </w:rPr>
        <w:t>превозите на пасажери и товари</w:t>
      </w:r>
      <w:r w:rsidR="00F40F71" w:rsidRPr="00610B1B">
        <w:rPr>
          <w:rFonts w:cs="Times New Roman"/>
          <w:iCs/>
          <w:color w:val="000000" w:themeColor="text1"/>
        </w:rPr>
        <w:t>, от което зависи и обхвата на дейностите по модернизацията им</w:t>
      </w:r>
      <w:r w:rsidRPr="00610B1B">
        <w:rPr>
          <w:rFonts w:cs="Times New Roman"/>
          <w:iCs/>
          <w:color w:val="000000" w:themeColor="text1"/>
        </w:rPr>
        <w:t>. Ясно е обаче</w:t>
      </w:r>
      <w:r w:rsidR="0003451C" w:rsidRPr="00610B1B">
        <w:rPr>
          <w:rFonts w:cs="Times New Roman"/>
          <w:iCs/>
          <w:color w:val="000000" w:themeColor="text1"/>
        </w:rPr>
        <w:t>,</w:t>
      </w:r>
      <w:r w:rsidRPr="00610B1B">
        <w:rPr>
          <w:rFonts w:cs="Times New Roman"/>
          <w:iCs/>
          <w:color w:val="000000" w:themeColor="text1"/>
        </w:rPr>
        <w:t xml:space="preserve"> че е необходимо да се инвестира в специализацията на отделните терминали за пренос на различни товари – течни, насипни, контейне</w:t>
      </w:r>
      <w:r w:rsidR="0003451C" w:rsidRPr="00610B1B">
        <w:rPr>
          <w:rFonts w:cs="Times New Roman"/>
          <w:iCs/>
          <w:color w:val="000000" w:themeColor="text1"/>
        </w:rPr>
        <w:t>р</w:t>
      </w:r>
      <w:r w:rsidR="00D735AF" w:rsidRPr="00610B1B">
        <w:rPr>
          <w:rFonts w:cs="Times New Roman"/>
          <w:iCs/>
          <w:color w:val="000000" w:themeColor="text1"/>
        </w:rPr>
        <w:t>н</w:t>
      </w:r>
      <w:r w:rsidR="0003451C" w:rsidRPr="00610B1B">
        <w:rPr>
          <w:rFonts w:cs="Times New Roman"/>
          <w:iCs/>
          <w:color w:val="000000" w:themeColor="text1"/>
        </w:rPr>
        <w:t xml:space="preserve">и, което да </w:t>
      </w:r>
      <w:r w:rsidR="00F40F71" w:rsidRPr="00610B1B">
        <w:rPr>
          <w:rFonts w:cs="Times New Roman"/>
          <w:iCs/>
          <w:color w:val="000000" w:themeColor="text1"/>
        </w:rPr>
        <w:t>пов</w:t>
      </w:r>
      <w:r w:rsidR="00D735AF" w:rsidRPr="00610B1B">
        <w:rPr>
          <w:rFonts w:cs="Times New Roman"/>
          <w:iCs/>
          <w:color w:val="000000" w:themeColor="text1"/>
        </w:rPr>
        <w:t>и</w:t>
      </w:r>
      <w:r w:rsidR="00F40F71" w:rsidRPr="00610B1B">
        <w:rPr>
          <w:rFonts w:cs="Times New Roman"/>
          <w:iCs/>
          <w:color w:val="000000" w:themeColor="text1"/>
        </w:rPr>
        <w:t>ши тяхната</w:t>
      </w:r>
      <w:r w:rsidR="0003451C" w:rsidRPr="00610B1B">
        <w:rPr>
          <w:rFonts w:cs="Times New Roman"/>
          <w:iCs/>
          <w:color w:val="000000" w:themeColor="text1"/>
        </w:rPr>
        <w:t xml:space="preserve"> конкурентоспособн</w:t>
      </w:r>
      <w:r w:rsidR="00F40F71" w:rsidRPr="00610B1B">
        <w:rPr>
          <w:rFonts w:cs="Times New Roman"/>
          <w:iCs/>
          <w:color w:val="000000" w:themeColor="text1"/>
        </w:rPr>
        <w:t xml:space="preserve">ост </w:t>
      </w:r>
      <w:r w:rsidR="0003451C" w:rsidRPr="00610B1B">
        <w:rPr>
          <w:rFonts w:cs="Times New Roman"/>
          <w:iCs/>
          <w:color w:val="000000" w:themeColor="text1"/>
        </w:rPr>
        <w:t xml:space="preserve">в </w:t>
      </w:r>
      <w:r w:rsidR="00F40F71" w:rsidRPr="00610B1B">
        <w:rPr>
          <w:rFonts w:cs="Times New Roman"/>
          <w:iCs/>
          <w:color w:val="000000" w:themeColor="text1"/>
        </w:rPr>
        <w:t xml:space="preserve">Черноморския </w:t>
      </w:r>
      <w:r w:rsidR="0003451C" w:rsidRPr="00610B1B">
        <w:rPr>
          <w:rFonts w:cs="Times New Roman"/>
          <w:iCs/>
          <w:color w:val="000000" w:themeColor="text1"/>
        </w:rPr>
        <w:t>регион.</w:t>
      </w:r>
      <w:r w:rsidRPr="00610B1B">
        <w:rPr>
          <w:rFonts w:cs="Times New Roman"/>
          <w:iCs/>
          <w:color w:val="000000" w:themeColor="text1"/>
        </w:rPr>
        <w:t xml:space="preserve"> </w:t>
      </w:r>
      <w:r w:rsidR="0003451C" w:rsidRPr="00610B1B">
        <w:rPr>
          <w:rFonts w:cs="Times New Roman"/>
          <w:iCs/>
          <w:color w:val="000000" w:themeColor="text1"/>
        </w:rPr>
        <w:t xml:space="preserve">Обновяването на пристанищата </w:t>
      </w:r>
      <w:r w:rsidR="00F40F71" w:rsidRPr="00610B1B">
        <w:rPr>
          <w:rFonts w:cs="Times New Roman"/>
          <w:iCs/>
          <w:color w:val="000000" w:themeColor="text1"/>
        </w:rPr>
        <w:t>и технологичното им оборудване, което ще</w:t>
      </w:r>
      <w:r w:rsidR="0003451C" w:rsidRPr="00610B1B">
        <w:rPr>
          <w:rFonts w:cs="Times New Roman"/>
          <w:iCs/>
          <w:color w:val="000000" w:themeColor="text1"/>
        </w:rPr>
        <w:t xml:space="preserve"> направи пристанищните дейности по-устойчиви, по-ефективни и по-сигурни</w:t>
      </w:r>
      <w:r w:rsidR="00F40F71" w:rsidRPr="00610B1B">
        <w:rPr>
          <w:rFonts w:cs="Times New Roman"/>
          <w:iCs/>
          <w:color w:val="000000" w:themeColor="text1"/>
        </w:rPr>
        <w:t>, ще ги свърже с логистичните коридори и зони на страната и с интермодалните центрове</w:t>
      </w:r>
      <w:r w:rsidR="00D735AF" w:rsidRPr="00610B1B">
        <w:rPr>
          <w:rFonts w:cs="Times New Roman"/>
          <w:iCs/>
          <w:color w:val="000000" w:themeColor="text1"/>
        </w:rPr>
        <w:t>,</w:t>
      </w:r>
      <w:r w:rsidR="00F40F71" w:rsidRPr="00610B1B">
        <w:rPr>
          <w:rFonts w:cs="Times New Roman"/>
          <w:iCs/>
          <w:color w:val="000000" w:themeColor="text1"/>
        </w:rPr>
        <w:t xml:space="preserve"> ще се осъществява в съответствие със ЗУТ и ЗМПВВППРБ. </w:t>
      </w:r>
    </w:p>
    <w:p w14:paraId="64520A20" w14:textId="2650C409" w:rsidR="00F40F71" w:rsidRPr="00610B1B" w:rsidRDefault="00F40F71" w:rsidP="00A50A50">
      <w:pPr>
        <w:pStyle w:val="BodyText"/>
        <w:spacing w:before="0" w:after="120" w:line="276" w:lineRule="auto"/>
        <w:rPr>
          <w:rFonts w:cs="Times New Roman"/>
          <w:iCs/>
          <w:color w:val="000000" w:themeColor="text1"/>
        </w:rPr>
      </w:pPr>
      <w:r w:rsidRPr="00610B1B">
        <w:rPr>
          <w:rFonts w:cs="Times New Roman"/>
          <w:iCs/>
          <w:color w:val="000000" w:themeColor="text1"/>
        </w:rPr>
        <w:t>По отношение на акваторията се предвиждат ограничаване на разширяването на терминалите във Варненското езеро и изпълнение на заложените проекти за двете най-големи пристанища – Варна и Бургас, свързано и с драгиране.</w:t>
      </w:r>
      <w:r w:rsidR="007C5993" w:rsidRPr="00610B1B">
        <w:rPr>
          <w:rFonts w:cs="Times New Roman"/>
          <w:iCs/>
          <w:color w:val="000000" w:themeColor="text1"/>
        </w:rPr>
        <w:t xml:space="preserve"> В тази връзка МППРБ предвижда проучване на възможностите за ограничаване преноса на седименти от Провадийска река и от запълненото хвостохранилище на „Солвей соди“ АД.</w:t>
      </w:r>
    </w:p>
    <w:p w14:paraId="420A5024" w14:textId="77777777" w:rsidR="00D1295D" w:rsidRPr="00610B1B" w:rsidRDefault="007C5993" w:rsidP="00A50A50">
      <w:pPr>
        <w:pStyle w:val="BodyText"/>
        <w:spacing w:before="0" w:after="120" w:line="276" w:lineRule="auto"/>
        <w:rPr>
          <w:rFonts w:cs="Times New Roman"/>
          <w:iCs/>
          <w:color w:val="000000" w:themeColor="text1"/>
        </w:rPr>
      </w:pPr>
      <w:r w:rsidRPr="00610B1B">
        <w:rPr>
          <w:rFonts w:cs="Times New Roman"/>
          <w:iCs/>
          <w:color w:val="000000" w:themeColor="text1"/>
        </w:rPr>
        <w:t>Допълнително съгласуване се налага и на проекта за удължаване на кейовата стена на Т</w:t>
      </w:r>
      <w:r w:rsidR="004C69F9" w:rsidRPr="00610B1B">
        <w:rPr>
          <w:rFonts w:cs="Times New Roman"/>
          <w:iCs/>
          <w:color w:val="000000" w:themeColor="text1"/>
        </w:rPr>
        <w:t xml:space="preserve">ЕЦ Варна с около 200 метра, </w:t>
      </w:r>
      <w:r w:rsidRPr="00610B1B">
        <w:rPr>
          <w:rFonts w:cs="Times New Roman"/>
          <w:iCs/>
          <w:color w:val="000000" w:themeColor="text1"/>
        </w:rPr>
        <w:t>което</w:t>
      </w:r>
      <w:r w:rsidR="004C69F9" w:rsidRPr="00610B1B">
        <w:rPr>
          <w:rFonts w:cs="Times New Roman"/>
          <w:iCs/>
          <w:color w:val="000000" w:themeColor="text1"/>
        </w:rPr>
        <w:t xml:space="preserve"> не </w:t>
      </w:r>
      <w:r w:rsidRPr="00610B1B">
        <w:rPr>
          <w:rStyle w:val="Absatz-Standardschriftart"/>
          <w:rFonts w:cs="Times New Roman"/>
        </w:rPr>
        <w:t>създава</w:t>
      </w:r>
      <w:r w:rsidRPr="00610B1B">
        <w:rPr>
          <w:rFonts w:cs="Times New Roman"/>
          <w:iCs/>
          <w:color w:val="000000" w:themeColor="text1"/>
        </w:rPr>
        <w:t xml:space="preserve"> рискове за </w:t>
      </w:r>
      <w:r w:rsidR="004C69F9" w:rsidRPr="00610B1B">
        <w:rPr>
          <w:rFonts w:cs="Times New Roman"/>
          <w:iCs/>
          <w:color w:val="000000" w:themeColor="text1"/>
        </w:rPr>
        <w:t>корабоплаването</w:t>
      </w:r>
      <w:r w:rsidRPr="00610B1B">
        <w:rPr>
          <w:rFonts w:cs="Times New Roman"/>
          <w:iCs/>
          <w:color w:val="000000" w:themeColor="text1"/>
        </w:rPr>
        <w:t xml:space="preserve">, но създава риск за унищожаване на </w:t>
      </w:r>
      <w:r w:rsidR="00D1295D" w:rsidRPr="00610B1B">
        <w:rPr>
          <w:rFonts w:cs="Times New Roman"/>
          <w:iCs/>
          <w:color w:val="000000" w:themeColor="text1"/>
        </w:rPr>
        <w:t>подводно културно историческо наследство.</w:t>
      </w:r>
    </w:p>
    <w:p w14:paraId="41E0C412" w14:textId="6D932BF5" w:rsidR="00733CD9" w:rsidRPr="00610B1B" w:rsidRDefault="00733CD9" w:rsidP="00A50A50">
      <w:pPr>
        <w:pStyle w:val="BodyText"/>
        <w:spacing w:before="0" w:after="120" w:line="276" w:lineRule="auto"/>
        <w:rPr>
          <w:rFonts w:cs="Times New Roman"/>
          <w:iCs/>
          <w:color w:val="000000" w:themeColor="text1"/>
        </w:rPr>
      </w:pPr>
      <w:r w:rsidRPr="00610B1B">
        <w:rPr>
          <w:rFonts w:cs="Times New Roman"/>
          <w:b/>
          <w:iCs/>
          <w:color w:val="000000" w:themeColor="text1"/>
        </w:rPr>
        <w:t>Кст</w:t>
      </w:r>
      <w:r w:rsidRPr="00610B1B">
        <w:rPr>
          <w:rFonts w:cs="Times New Roman"/>
          <w:iCs/>
          <w:color w:val="000000" w:themeColor="text1"/>
        </w:rPr>
        <w:t xml:space="preserve"> – Котвени стоянки</w:t>
      </w:r>
    </w:p>
    <w:p w14:paraId="5EFFE289" w14:textId="77777777" w:rsidR="0061525D" w:rsidRPr="00610B1B" w:rsidRDefault="00D63242"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Полигоните за котвени стоянки обхващат система от защитени от опасни направления на вятъра котвени места, разположени на подходящи дълбочини. Те са във функционална зависимост от схемата за разделно движение и препоръчаните пътища. Заемането на котвено място става след санкция на ИА „Морска администрация”. Забранено е заставането на котва в девиационните полигони. На корабите на рейд се забранява да стоят на борд с изключение на бункеровчици и при оказване на помощ, да качват лица без разрешение на ГКПП, да изхвърлят зад борд всякакви отпадъци, да сменят позициите си без разрешение на рейдовия пост. Забранено е използването на корабните спасителни лодки за снемане и качване на пасажери. </w:t>
      </w:r>
    </w:p>
    <w:p w14:paraId="4F4068ED" w14:textId="19601FD3" w:rsidR="00D63242" w:rsidRPr="00610B1B" w:rsidRDefault="00D63242"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Съществуващите котвени стоянки са определени в съответствие с изискванията на международното морско право, ЗМПВВППРБ </w:t>
      </w:r>
      <w:r w:rsidR="00963B36" w:rsidRPr="00610B1B">
        <w:rPr>
          <w:rFonts w:cs="Times New Roman"/>
          <w:iCs/>
          <w:color w:val="000000" w:themeColor="text1"/>
        </w:rPr>
        <w:t>със Задължителните правила за морските пристанища на Република България</w:t>
      </w:r>
      <w:r w:rsidR="00963B36" w:rsidRPr="00610B1B">
        <w:rPr>
          <w:rStyle w:val="FootnoteReference"/>
          <w:rFonts w:cs="Times New Roman"/>
          <w:iCs/>
          <w:color w:val="000000" w:themeColor="text1"/>
        </w:rPr>
        <w:footnoteReference w:id="203"/>
      </w:r>
      <w:r w:rsidR="00963B36" w:rsidRPr="00610B1B">
        <w:rPr>
          <w:rFonts w:cs="Times New Roman"/>
          <w:iCs/>
          <w:color w:val="000000" w:themeColor="text1"/>
        </w:rPr>
        <w:t xml:space="preserve">, </w:t>
      </w:r>
      <w:r w:rsidRPr="00610B1B">
        <w:rPr>
          <w:rFonts w:cs="Times New Roman"/>
          <w:iCs/>
          <w:color w:val="000000" w:themeColor="text1"/>
        </w:rPr>
        <w:t>Наредбата за плаването и граничния режим във вътрешните морски води, в териториалното море и във вътрешните водни пътища на Република България на български и чуждестранни яхти, лодки и други плавателни средства за спорт, туризъм и развлечение, както и извършване на водноатракционни услуги с тях</w:t>
      </w:r>
      <w:r w:rsidR="00B02A7D" w:rsidRPr="00610B1B">
        <w:rPr>
          <w:rFonts w:cs="Times New Roman"/>
          <w:iCs/>
          <w:color w:val="000000" w:themeColor="text1"/>
        </w:rPr>
        <w:t xml:space="preserve"> (обн. ДВ бр. 99/15.12.2009 г., изм. и доп. ДВ. бр.33/27.04.2012 г.).</w:t>
      </w:r>
      <w:r w:rsidRPr="00610B1B">
        <w:rPr>
          <w:rFonts w:cs="Times New Roman"/>
          <w:iCs/>
          <w:color w:val="000000" w:themeColor="text1"/>
        </w:rPr>
        <w:t xml:space="preserve"> </w:t>
      </w:r>
      <w:r w:rsidR="00887EDB" w:rsidRPr="00610B1B">
        <w:rPr>
          <w:rFonts w:cs="Times New Roman"/>
          <w:iCs/>
          <w:color w:val="000000" w:themeColor="text1"/>
        </w:rPr>
        <w:t xml:space="preserve">Около тях са предвидени охранителни зони от 500 метра </w:t>
      </w:r>
      <w:r w:rsidR="00B02A7D" w:rsidRPr="00610B1B">
        <w:rPr>
          <w:rFonts w:cs="Times New Roman"/>
          <w:iCs/>
          <w:color w:val="000000" w:themeColor="text1"/>
        </w:rPr>
        <w:t>за</w:t>
      </w:r>
      <w:r w:rsidR="00887EDB" w:rsidRPr="00610B1B">
        <w:rPr>
          <w:rFonts w:cs="Times New Roman"/>
          <w:iCs/>
          <w:color w:val="000000" w:themeColor="text1"/>
        </w:rPr>
        <w:t xml:space="preserve"> предотвратяване на инциденти.</w:t>
      </w:r>
    </w:p>
    <w:p w14:paraId="2227AE93" w14:textId="02E779F8" w:rsidR="000B7E9C" w:rsidRPr="00610B1B" w:rsidRDefault="003233AE" w:rsidP="00A50A50">
      <w:pPr>
        <w:pStyle w:val="BodyText"/>
        <w:spacing w:before="0" w:after="120" w:line="276" w:lineRule="auto"/>
        <w:rPr>
          <w:rFonts w:cs="Times New Roman"/>
          <w:iCs/>
          <w:color w:val="000000" w:themeColor="text1"/>
        </w:rPr>
      </w:pPr>
      <w:r w:rsidRPr="00610B1B">
        <w:rPr>
          <w:rFonts w:cs="Times New Roman"/>
          <w:b/>
          <w:iCs/>
          <w:color w:val="000000" w:themeColor="text1"/>
        </w:rPr>
        <w:lastRenderedPageBreak/>
        <w:t>ПД</w:t>
      </w:r>
      <w:r w:rsidR="00140F67" w:rsidRPr="00610B1B">
        <w:rPr>
          <w:rFonts w:eastAsia="Times New Roman" w:cs="Times New Roman"/>
          <w:color w:val="000000" w:themeColor="text1"/>
          <w:lang w:eastAsia="bg-BG"/>
        </w:rPr>
        <w:t xml:space="preserve"> – </w:t>
      </w:r>
      <w:r w:rsidR="000B7E9C" w:rsidRPr="00610B1B">
        <w:rPr>
          <w:rFonts w:cs="Times New Roman"/>
          <w:iCs/>
          <w:color w:val="000000" w:themeColor="text1"/>
        </w:rPr>
        <w:t>Проучване и добив на неживи ресурси</w:t>
      </w:r>
    </w:p>
    <w:p w14:paraId="508FB458" w14:textId="4576BFC7" w:rsidR="0061525D" w:rsidRPr="00610B1B" w:rsidRDefault="00FB556F" w:rsidP="00A50A50">
      <w:pPr>
        <w:pStyle w:val="BodyText"/>
        <w:spacing w:before="0" w:after="120" w:line="276" w:lineRule="auto"/>
        <w:rPr>
          <w:rFonts w:cs="Times New Roman"/>
          <w:iCs/>
          <w:color w:val="000000" w:themeColor="text1"/>
        </w:rPr>
      </w:pPr>
      <w:r w:rsidRPr="00610B1B">
        <w:rPr>
          <w:rFonts w:cs="Times New Roman"/>
          <w:iCs/>
          <w:color w:val="000000" w:themeColor="text1"/>
        </w:rPr>
        <w:t>В тази група попадат всички райони и полигони, предвидени за проучване и добив на нефт, газ и други минерални ресурси, в очертаните блокове за търсене</w:t>
      </w:r>
      <w:r w:rsidR="0061525D" w:rsidRPr="00610B1B">
        <w:rPr>
          <w:rFonts w:cs="Times New Roman"/>
          <w:iCs/>
          <w:color w:val="000000" w:themeColor="text1"/>
        </w:rPr>
        <w:t>,</w:t>
      </w:r>
      <w:r w:rsidRPr="00610B1B">
        <w:rPr>
          <w:rFonts w:cs="Times New Roman"/>
          <w:iCs/>
          <w:color w:val="000000" w:themeColor="text1"/>
        </w:rPr>
        <w:t xml:space="preserve"> проучване и </w:t>
      </w:r>
      <w:r w:rsidR="0061525D" w:rsidRPr="00610B1B">
        <w:rPr>
          <w:rFonts w:cs="Times New Roman"/>
          <w:iCs/>
          <w:color w:val="000000" w:themeColor="text1"/>
        </w:rPr>
        <w:t xml:space="preserve">отдаване на концесия, </w:t>
      </w:r>
      <w:r w:rsidRPr="00610B1B">
        <w:rPr>
          <w:rFonts w:cs="Times New Roman"/>
          <w:iCs/>
          <w:color w:val="000000" w:themeColor="text1"/>
        </w:rPr>
        <w:t>в съответствие с изискванията на ЗМПВВППРБ, Закона за концесиите, Закона за устройство на Черноморското крайбрежие. Предвиждат се 500 m охранителни зони около инсталираните в акваторията платформи</w:t>
      </w:r>
      <w:r w:rsidR="007C026D" w:rsidRPr="00610B1B">
        <w:rPr>
          <w:rFonts w:cs="Times New Roman"/>
          <w:iCs/>
          <w:color w:val="000000" w:themeColor="text1"/>
        </w:rPr>
        <w:t>, съгл. чл. 19, ал. 1 от Наредба за изискванията за предотвратяване на аварии при търсене и проучване или проучване, или добив на подземни богатства - нефт и природен газ, в териториалното море, континенталния шелф и в изключителната икономическа зона на Република България в Черно море, (Обн. ДВ. бр. 103/27.12.2016 г.)</w:t>
      </w:r>
      <w:r w:rsidRPr="00610B1B">
        <w:rPr>
          <w:rFonts w:cs="Times New Roman"/>
          <w:iCs/>
          <w:color w:val="000000" w:themeColor="text1"/>
        </w:rPr>
        <w:t xml:space="preserve">. В тези райони/полигони се забранява корабоплаването, риболова, научните изследвания. </w:t>
      </w:r>
    </w:p>
    <w:p w14:paraId="3B0B858C" w14:textId="7681466D" w:rsidR="003233AE" w:rsidRPr="00610B1B" w:rsidRDefault="00FB556F" w:rsidP="00A50A50">
      <w:pPr>
        <w:pStyle w:val="BodyText"/>
        <w:spacing w:before="0" w:after="120" w:line="276" w:lineRule="auto"/>
        <w:rPr>
          <w:rFonts w:cs="Times New Roman"/>
          <w:iCs/>
          <w:color w:val="000000" w:themeColor="text1"/>
        </w:rPr>
      </w:pPr>
      <w:r w:rsidRPr="00610B1B">
        <w:rPr>
          <w:rFonts w:cs="Times New Roman"/>
          <w:iCs/>
          <w:color w:val="000000" w:themeColor="text1"/>
        </w:rPr>
        <w:t>Последни проучвания и примери от добри практики показват възможностите за използването на тези съоръжения за отг</w:t>
      </w:r>
      <w:r w:rsidR="0061525D" w:rsidRPr="00610B1B">
        <w:rPr>
          <w:rFonts w:cs="Times New Roman"/>
          <w:iCs/>
          <w:color w:val="000000" w:themeColor="text1"/>
        </w:rPr>
        <w:t>л</w:t>
      </w:r>
      <w:r w:rsidRPr="00610B1B">
        <w:rPr>
          <w:rFonts w:cs="Times New Roman"/>
          <w:iCs/>
          <w:color w:val="000000" w:themeColor="text1"/>
        </w:rPr>
        <w:t xml:space="preserve">еждане на аквакултури. МППРБ предлага координиране на тези дейности с научните изследвания, с които ще се подпомогне процеса на наблюдение на качествата на морската околна среда в близост до местата, в риск от производствени аварии и замърсявания. </w:t>
      </w:r>
    </w:p>
    <w:p w14:paraId="20FF1890" w14:textId="79B88E3E" w:rsidR="003233AE" w:rsidRPr="00610B1B" w:rsidRDefault="003233AE" w:rsidP="00A50A50">
      <w:pPr>
        <w:pStyle w:val="BodyText"/>
        <w:spacing w:before="0" w:after="120" w:line="276" w:lineRule="auto"/>
        <w:rPr>
          <w:rFonts w:cs="Times New Roman"/>
          <w:iCs/>
          <w:color w:val="000000" w:themeColor="text1"/>
        </w:rPr>
      </w:pPr>
      <w:r w:rsidRPr="00610B1B">
        <w:rPr>
          <w:rFonts w:cs="Times New Roman"/>
          <w:b/>
          <w:iCs/>
          <w:color w:val="000000" w:themeColor="text1"/>
        </w:rPr>
        <w:t>ДД</w:t>
      </w:r>
      <w:r w:rsidRPr="00610B1B">
        <w:rPr>
          <w:rFonts w:cs="Times New Roman"/>
          <w:iCs/>
          <w:color w:val="000000" w:themeColor="text1"/>
        </w:rPr>
        <w:t xml:space="preserve"> – Депониране на драгажна маса</w:t>
      </w:r>
    </w:p>
    <w:p w14:paraId="3835E6CC" w14:textId="6F20C441" w:rsidR="00733CD9" w:rsidRPr="00610B1B" w:rsidRDefault="00887EDB" w:rsidP="00A50A50">
      <w:pPr>
        <w:pStyle w:val="BodyText"/>
        <w:spacing w:before="0" w:after="120" w:line="276" w:lineRule="auto"/>
        <w:rPr>
          <w:rFonts w:cs="Times New Roman"/>
          <w:iCs/>
          <w:color w:val="000000" w:themeColor="text1"/>
        </w:rPr>
      </w:pPr>
      <w:r w:rsidRPr="00610B1B">
        <w:rPr>
          <w:rFonts w:cs="Times New Roman"/>
          <w:iCs/>
          <w:color w:val="000000" w:themeColor="text1"/>
        </w:rPr>
        <w:t>Към момента на завършване на МППРБ не са подадени заявки за необходимост от предвиждане на нови места за депониране на драгажна маса. При реализирането на проектите за удълбочаване на Канал 1 и Канал 2</w:t>
      </w:r>
      <w:r w:rsidR="00A51C36" w:rsidRPr="00610B1B">
        <w:rPr>
          <w:rFonts w:cs="Times New Roman"/>
          <w:iCs/>
          <w:color w:val="000000" w:themeColor="text1"/>
        </w:rPr>
        <w:t xml:space="preserve"> с около 2 m</w:t>
      </w:r>
      <w:r w:rsidRPr="00610B1B">
        <w:rPr>
          <w:rFonts w:cs="Times New Roman"/>
          <w:iCs/>
          <w:color w:val="000000" w:themeColor="text1"/>
        </w:rPr>
        <w:t>, свързващи терминал Варна Запад</w:t>
      </w:r>
      <w:r w:rsidR="00A51C36" w:rsidRPr="00610B1B">
        <w:rPr>
          <w:rFonts w:cs="Times New Roman"/>
          <w:iCs/>
          <w:color w:val="000000" w:themeColor="text1"/>
        </w:rPr>
        <w:t xml:space="preserve"> в пристанище Варна и за удължаване на к</w:t>
      </w:r>
      <w:r w:rsidRPr="00610B1B">
        <w:rPr>
          <w:rFonts w:cs="Times New Roman"/>
          <w:iCs/>
          <w:color w:val="000000" w:themeColor="text1"/>
        </w:rPr>
        <w:t>ейовите стени</w:t>
      </w:r>
      <w:r w:rsidR="00B06F36" w:rsidRPr="00610B1B">
        <w:rPr>
          <w:rFonts w:cs="Times New Roman"/>
          <w:iCs/>
          <w:color w:val="000000" w:themeColor="text1"/>
        </w:rPr>
        <w:t>,</w:t>
      </w:r>
      <w:r w:rsidRPr="00610B1B">
        <w:rPr>
          <w:rFonts w:cs="Times New Roman"/>
          <w:iCs/>
          <w:color w:val="000000" w:themeColor="text1"/>
        </w:rPr>
        <w:t xml:space="preserve"> за доизграждане на жп инфраструктура</w:t>
      </w:r>
      <w:r w:rsidR="00A51C36" w:rsidRPr="00610B1B">
        <w:rPr>
          <w:rFonts w:cs="Times New Roman"/>
          <w:iCs/>
          <w:color w:val="000000" w:themeColor="text1"/>
        </w:rPr>
        <w:t xml:space="preserve"> на пристанище Бургас и драгирането на акватория</w:t>
      </w:r>
      <w:r w:rsidR="00B06F36" w:rsidRPr="00610B1B">
        <w:rPr>
          <w:rFonts w:cs="Times New Roman"/>
          <w:iCs/>
          <w:color w:val="000000" w:themeColor="text1"/>
        </w:rPr>
        <w:t>та</w:t>
      </w:r>
      <w:r w:rsidR="00A51C36" w:rsidRPr="00610B1B">
        <w:rPr>
          <w:rFonts w:cs="Times New Roman"/>
          <w:iCs/>
          <w:color w:val="000000" w:themeColor="text1"/>
        </w:rPr>
        <w:t xml:space="preserve"> </w:t>
      </w:r>
      <w:r w:rsidRPr="00610B1B">
        <w:rPr>
          <w:rFonts w:cs="Times New Roman"/>
          <w:iCs/>
          <w:color w:val="000000" w:themeColor="text1"/>
        </w:rPr>
        <w:t>и зоната за маневриране,</w:t>
      </w:r>
      <w:r w:rsidR="00A51C36" w:rsidRPr="00610B1B">
        <w:rPr>
          <w:rFonts w:cs="Times New Roman"/>
          <w:iCs/>
          <w:color w:val="000000" w:themeColor="text1"/>
        </w:rPr>
        <w:t xml:space="preserve"> депонирането на изчислената драгажна маса е съобразено с изискванията на компетентните институции. </w:t>
      </w:r>
      <w:r w:rsidR="00B06F36" w:rsidRPr="00610B1B">
        <w:rPr>
          <w:rFonts w:cs="Times New Roman"/>
          <w:iCs/>
          <w:color w:val="000000" w:themeColor="text1"/>
        </w:rPr>
        <w:t>Разположението на полигоните за депониране на драгажна маса запазват местата си пре</w:t>
      </w:r>
      <w:r w:rsidR="0061525D" w:rsidRPr="00610B1B">
        <w:rPr>
          <w:rFonts w:cs="Times New Roman"/>
          <w:iCs/>
          <w:color w:val="000000" w:themeColor="text1"/>
        </w:rPr>
        <w:t>д</w:t>
      </w:r>
      <w:r w:rsidR="00B06F36" w:rsidRPr="00610B1B">
        <w:rPr>
          <w:rFonts w:cs="Times New Roman"/>
          <w:iCs/>
          <w:color w:val="000000" w:themeColor="text1"/>
        </w:rPr>
        <w:t xml:space="preserve"> Бургаски</w:t>
      </w:r>
      <w:r w:rsidR="00B02A7D" w:rsidRPr="00610B1B">
        <w:rPr>
          <w:rFonts w:cs="Times New Roman"/>
          <w:iCs/>
          <w:color w:val="000000" w:themeColor="text1"/>
        </w:rPr>
        <w:t>я</w:t>
      </w:r>
      <w:r w:rsidR="00B06F36" w:rsidRPr="00610B1B">
        <w:rPr>
          <w:rFonts w:cs="Times New Roman"/>
          <w:iCs/>
          <w:color w:val="000000" w:themeColor="text1"/>
        </w:rPr>
        <w:t xml:space="preserve"> и пред Варненския залив и във Варненското езеро. </w:t>
      </w:r>
    </w:p>
    <w:p w14:paraId="4591116F" w14:textId="55128793" w:rsidR="003233AE" w:rsidRPr="00610B1B" w:rsidRDefault="003233AE" w:rsidP="00A50A50">
      <w:pPr>
        <w:pStyle w:val="BodyText"/>
        <w:spacing w:before="0" w:after="120" w:line="276" w:lineRule="auto"/>
        <w:rPr>
          <w:rFonts w:cs="Times New Roman"/>
          <w:iCs/>
          <w:color w:val="000000" w:themeColor="text1"/>
        </w:rPr>
      </w:pPr>
      <w:r w:rsidRPr="00610B1B">
        <w:rPr>
          <w:rFonts w:cs="Times New Roman"/>
          <w:b/>
          <w:iCs/>
          <w:color w:val="000000" w:themeColor="text1"/>
        </w:rPr>
        <w:t>НИ</w:t>
      </w:r>
      <w:r w:rsidRPr="00610B1B">
        <w:rPr>
          <w:rFonts w:cs="Times New Roman"/>
          <w:iCs/>
          <w:color w:val="000000" w:themeColor="text1"/>
        </w:rPr>
        <w:t xml:space="preserve"> – </w:t>
      </w:r>
      <w:r w:rsidR="00733CD9" w:rsidRPr="00610B1B">
        <w:rPr>
          <w:rFonts w:cs="Times New Roman"/>
          <w:iCs/>
          <w:color w:val="000000" w:themeColor="text1"/>
        </w:rPr>
        <w:t>Научно</w:t>
      </w:r>
      <w:r w:rsidRPr="00610B1B">
        <w:rPr>
          <w:rFonts w:cs="Times New Roman"/>
          <w:iCs/>
          <w:color w:val="000000" w:themeColor="text1"/>
        </w:rPr>
        <w:t>-изследователска дейност</w:t>
      </w:r>
    </w:p>
    <w:p w14:paraId="668D9132" w14:textId="0ECA8D97" w:rsidR="00792FA7" w:rsidRPr="00610B1B" w:rsidRDefault="00B06F36" w:rsidP="00A50A50">
      <w:pPr>
        <w:pStyle w:val="BodyText"/>
        <w:spacing w:before="0" w:after="120" w:line="276" w:lineRule="auto"/>
        <w:rPr>
          <w:rFonts w:cs="Times New Roman"/>
          <w:bCs/>
          <w:iCs/>
          <w:color w:val="000000" w:themeColor="text1"/>
        </w:rPr>
      </w:pPr>
      <w:r w:rsidRPr="00610B1B">
        <w:rPr>
          <w:rFonts w:cs="Times New Roman"/>
          <w:bCs/>
          <w:iCs/>
          <w:color w:val="000000" w:themeColor="text1"/>
        </w:rPr>
        <w:t>Ра</w:t>
      </w:r>
      <w:r w:rsidR="00B848A8" w:rsidRPr="00610B1B">
        <w:rPr>
          <w:rFonts w:cs="Times New Roman"/>
          <w:bCs/>
          <w:iCs/>
          <w:color w:val="000000" w:themeColor="text1"/>
        </w:rPr>
        <w:t>йоните за провеждане на научни изследвания са разположени в близост до бреговата линия и до базите на институтите на БАН</w:t>
      </w:r>
      <w:r w:rsidR="00F876FC" w:rsidRPr="00610B1B">
        <w:rPr>
          <w:rFonts w:cs="Times New Roman"/>
          <w:bCs/>
          <w:iCs/>
          <w:color w:val="000000" w:themeColor="text1"/>
        </w:rPr>
        <w:t>,</w:t>
      </w:r>
      <w:r w:rsidR="00D66FE0" w:rsidRPr="00610B1B">
        <w:rPr>
          <w:rFonts w:cs="Times New Roman"/>
          <w:bCs/>
          <w:iCs/>
          <w:color w:val="000000" w:themeColor="text1"/>
        </w:rPr>
        <w:t xml:space="preserve"> </w:t>
      </w:r>
      <w:r w:rsidR="00F876FC" w:rsidRPr="00610B1B">
        <w:rPr>
          <w:rFonts w:cs="Times New Roman"/>
          <w:bCs/>
          <w:iCs/>
          <w:color w:val="000000" w:themeColor="text1"/>
        </w:rPr>
        <w:t>СУ „Св. Климент Охридски“, на МК и МОН,</w:t>
      </w:r>
      <w:r w:rsidR="00B848A8" w:rsidRPr="00610B1B">
        <w:rPr>
          <w:rFonts w:cs="Times New Roman"/>
          <w:bCs/>
          <w:iCs/>
          <w:color w:val="000000" w:themeColor="text1"/>
        </w:rPr>
        <w:t xml:space="preserve"> както и такива, отдалечени от крайбрежието и свързани с дълбоководната зона и отдалечените части на шелфа, където е необходимо да се допълнят знанията и данните за съществуващите там природни компоненти на средата и недостатъчно изследвани екосистеми. </w:t>
      </w:r>
    </w:p>
    <w:p w14:paraId="42E7FDED" w14:textId="0FAB4601" w:rsidR="00B06F36" w:rsidRPr="00610B1B" w:rsidRDefault="00B848A8" w:rsidP="00A50A50">
      <w:pPr>
        <w:pStyle w:val="BodyText"/>
        <w:spacing w:before="0" w:after="120" w:line="276" w:lineRule="auto"/>
        <w:rPr>
          <w:rFonts w:cs="Times New Roman"/>
          <w:bCs/>
          <w:iCs/>
          <w:color w:val="000000" w:themeColor="text1"/>
        </w:rPr>
      </w:pPr>
      <w:r w:rsidRPr="00610B1B">
        <w:rPr>
          <w:rFonts w:cs="Times New Roman"/>
          <w:bCs/>
          <w:iCs/>
          <w:color w:val="000000" w:themeColor="text1"/>
        </w:rPr>
        <w:t xml:space="preserve">Полигоните за подобна дейност са </w:t>
      </w:r>
      <w:r w:rsidR="00EB2995" w:rsidRPr="00610B1B">
        <w:rPr>
          <w:rFonts w:cs="Times New Roman"/>
          <w:bCs/>
          <w:iCs/>
          <w:color w:val="000000" w:themeColor="text1"/>
        </w:rPr>
        <w:t>свързани предимно с дейността на</w:t>
      </w:r>
      <w:r w:rsidRPr="00610B1B">
        <w:rPr>
          <w:rFonts w:cs="Times New Roman"/>
          <w:bCs/>
          <w:iCs/>
          <w:color w:val="000000" w:themeColor="text1"/>
        </w:rPr>
        <w:t xml:space="preserve"> Института по океанология</w:t>
      </w:r>
      <w:r w:rsidR="00EB2995" w:rsidRPr="00610B1B">
        <w:rPr>
          <w:rFonts w:cs="Times New Roman"/>
          <w:bCs/>
          <w:iCs/>
          <w:color w:val="000000" w:themeColor="text1"/>
        </w:rPr>
        <w:t>,</w:t>
      </w:r>
      <w:r w:rsidR="00D66FE0" w:rsidRPr="00610B1B">
        <w:rPr>
          <w:rFonts w:cs="Times New Roman"/>
          <w:bCs/>
          <w:iCs/>
          <w:color w:val="000000" w:themeColor="text1"/>
        </w:rPr>
        <w:t xml:space="preserve"> </w:t>
      </w:r>
      <w:r w:rsidRPr="00610B1B">
        <w:rPr>
          <w:rFonts w:cs="Times New Roman"/>
          <w:bCs/>
          <w:iCs/>
          <w:color w:val="000000" w:themeColor="text1"/>
        </w:rPr>
        <w:t>Института по</w:t>
      </w:r>
      <w:r w:rsidR="00EB2995" w:rsidRPr="00610B1B">
        <w:rPr>
          <w:rFonts w:cs="Times New Roman"/>
          <w:bCs/>
          <w:iCs/>
          <w:color w:val="000000" w:themeColor="text1"/>
        </w:rPr>
        <w:t xml:space="preserve"> биоразнообразие и екосистемни услуги</w:t>
      </w:r>
      <w:r w:rsidRPr="00610B1B">
        <w:rPr>
          <w:rFonts w:cs="Times New Roman"/>
          <w:bCs/>
          <w:iCs/>
          <w:color w:val="000000" w:themeColor="text1"/>
        </w:rPr>
        <w:t xml:space="preserve"> </w:t>
      </w:r>
      <w:r w:rsidR="00EB2995" w:rsidRPr="00610B1B">
        <w:rPr>
          <w:rFonts w:cs="Times New Roman"/>
          <w:bCs/>
          <w:iCs/>
          <w:color w:val="000000" w:themeColor="text1"/>
        </w:rPr>
        <w:t>и на Националния институт по метеорология и хидрология на Б</w:t>
      </w:r>
      <w:r w:rsidRPr="00610B1B">
        <w:rPr>
          <w:rFonts w:cs="Times New Roman"/>
          <w:bCs/>
          <w:iCs/>
          <w:color w:val="000000" w:themeColor="text1"/>
        </w:rPr>
        <w:t>АН</w:t>
      </w:r>
      <w:r w:rsidR="00EB2995" w:rsidRPr="00610B1B">
        <w:rPr>
          <w:rFonts w:cs="Times New Roman"/>
          <w:bCs/>
          <w:iCs/>
          <w:color w:val="000000" w:themeColor="text1"/>
        </w:rPr>
        <w:t>.</w:t>
      </w:r>
      <w:r w:rsidR="0033348A" w:rsidRPr="00610B1B">
        <w:rPr>
          <w:rFonts w:cs="Times New Roman"/>
          <w:bCs/>
          <w:iCs/>
          <w:color w:val="000000" w:themeColor="text1"/>
        </w:rPr>
        <w:t xml:space="preserve"> Тези райони и полигони се съчетават безконфликтно със защитените зони и със зоните за опазване на подводното културно наследство.</w:t>
      </w:r>
    </w:p>
    <w:p w14:paraId="6E408691" w14:textId="4730E3BE" w:rsidR="003233AE" w:rsidRPr="00610B1B" w:rsidRDefault="003233AE" w:rsidP="00A50A50">
      <w:pPr>
        <w:pStyle w:val="BodyText"/>
        <w:spacing w:before="0" w:after="120" w:line="276" w:lineRule="auto"/>
        <w:rPr>
          <w:rFonts w:cs="Times New Roman"/>
          <w:iCs/>
          <w:color w:val="000000" w:themeColor="text1"/>
        </w:rPr>
      </w:pPr>
      <w:r w:rsidRPr="00610B1B">
        <w:rPr>
          <w:rFonts w:cs="Times New Roman"/>
          <w:b/>
          <w:iCs/>
          <w:color w:val="000000" w:themeColor="text1"/>
        </w:rPr>
        <w:t>КИН</w:t>
      </w:r>
      <w:r w:rsidRPr="00610B1B">
        <w:rPr>
          <w:rFonts w:cs="Times New Roman"/>
          <w:iCs/>
          <w:color w:val="000000" w:themeColor="text1"/>
        </w:rPr>
        <w:t xml:space="preserve"> – </w:t>
      </w:r>
      <w:r w:rsidR="00733CD9" w:rsidRPr="00610B1B">
        <w:rPr>
          <w:rFonts w:cs="Times New Roman"/>
          <w:iCs/>
          <w:color w:val="000000" w:themeColor="text1"/>
        </w:rPr>
        <w:t xml:space="preserve">Културно </w:t>
      </w:r>
      <w:r w:rsidRPr="00610B1B">
        <w:rPr>
          <w:rFonts w:cs="Times New Roman"/>
          <w:iCs/>
          <w:color w:val="000000" w:themeColor="text1"/>
        </w:rPr>
        <w:t>наследство, вкл. под вода</w:t>
      </w:r>
    </w:p>
    <w:p w14:paraId="114D88CC" w14:textId="4F7B28B1" w:rsidR="00FB556F" w:rsidRPr="00610B1B" w:rsidRDefault="00FB556F"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На основание на аналитичната част на МППРБ за съществуващите НКЦ с категория </w:t>
      </w:r>
      <w:r w:rsidRPr="00610B1B">
        <w:rPr>
          <w:rFonts w:cs="Times New Roman"/>
          <w:iCs/>
          <w:color w:val="000000" w:themeColor="text1"/>
        </w:rPr>
        <w:lastRenderedPageBreak/>
        <w:t>„световно” и „национално” значение, разположени както на сушата, в зони „А” и „Б” от ЗУЧК, така и под вода, които са неделима</w:t>
      </w:r>
      <w:r w:rsidR="0033348A" w:rsidRPr="00610B1B">
        <w:rPr>
          <w:rFonts w:cs="Times New Roman"/>
          <w:iCs/>
          <w:color w:val="000000" w:themeColor="text1"/>
        </w:rPr>
        <w:t xml:space="preserve">, </w:t>
      </w:r>
      <w:r w:rsidRPr="00610B1B">
        <w:rPr>
          <w:rFonts w:cs="Times New Roman"/>
          <w:iCs/>
          <w:color w:val="000000" w:themeColor="text1"/>
        </w:rPr>
        <w:t>смислова и функционална част от наземните такива</w:t>
      </w:r>
      <w:r w:rsidR="0033348A" w:rsidRPr="00610B1B">
        <w:rPr>
          <w:rFonts w:cs="Times New Roman"/>
          <w:iCs/>
          <w:color w:val="000000" w:themeColor="text1"/>
        </w:rPr>
        <w:t xml:space="preserve"> по протежение на </w:t>
      </w:r>
      <w:r w:rsidRPr="00610B1B">
        <w:rPr>
          <w:rFonts w:cs="Times New Roman"/>
          <w:iCs/>
          <w:color w:val="000000" w:themeColor="text1"/>
        </w:rPr>
        <w:t>Черноморското крайбрежие, от север на юг, се оформят следните ареали с концентрация на обекти на недвижимо културно наследство:</w:t>
      </w:r>
      <w:r w:rsidR="0033348A" w:rsidRPr="00610B1B">
        <w:rPr>
          <w:rFonts w:cs="Times New Roman"/>
          <w:iCs/>
          <w:color w:val="000000" w:themeColor="text1"/>
        </w:rPr>
        <w:t xml:space="preserve"> </w:t>
      </w:r>
      <w:r w:rsidR="00792FA7" w:rsidRPr="00610B1B">
        <w:rPr>
          <w:rFonts w:cs="Times New Roman"/>
          <w:iCs/>
          <w:color w:val="000000" w:themeColor="text1"/>
        </w:rPr>
        <w:t>1</w:t>
      </w:r>
      <w:r w:rsidR="0033348A" w:rsidRPr="00610B1B">
        <w:rPr>
          <w:rFonts w:cs="Times New Roman"/>
          <w:iCs/>
          <w:color w:val="000000" w:themeColor="text1"/>
        </w:rPr>
        <w:t xml:space="preserve">) </w:t>
      </w:r>
      <w:r w:rsidRPr="00610B1B">
        <w:rPr>
          <w:rFonts w:cs="Times New Roman"/>
          <w:iCs/>
          <w:color w:val="000000" w:themeColor="text1"/>
        </w:rPr>
        <w:t>А</w:t>
      </w:r>
      <w:r w:rsidR="0033348A" w:rsidRPr="00610B1B">
        <w:rPr>
          <w:rFonts w:cs="Times New Roman"/>
          <w:iCs/>
          <w:color w:val="000000" w:themeColor="text1"/>
        </w:rPr>
        <w:t>реал</w:t>
      </w:r>
      <w:r w:rsidR="00D66FE0" w:rsidRPr="00610B1B">
        <w:rPr>
          <w:rFonts w:cs="Times New Roman"/>
          <w:iCs/>
          <w:color w:val="000000" w:themeColor="text1"/>
        </w:rPr>
        <w:t xml:space="preserve"> </w:t>
      </w:r>
      <w:r w:rsidRPr="00610B1B">
        <w:rPr>
          <w:rFonts w:cs="Times New Roman"/>
          <w:iCs/>
          <w:color w:val="000000" w:themeColor="text1"/>
        </w:rPr>
        <w:t>Дуранкулак</w:t>
      </w:r>
      <w:r w:rsidR="0033348A" w:rsidRPr="00610B1B">
        <w:rPr>
          <w:rFonts w:cs="Times New Roman"/>
          <w:iCs/>
          <w:color w:val="000000" w:themeColor="text1"/>
        </w:rPr>
        <w:t xml:space="preserve"> </w:t>
      </w:r>
      <w:r w:rsidRPr="00610B1B">
        <w:rPr>
          <w:rFonts w:cs="Times New Roman"/>
          <w:iCs/>
          <w:color w:val="000000" w:themeColor="text1"/>
        </w:rPr>
        <w:t>-</w:t>
      </w:r>
      <w:r w:rsidR="0033348A" w:rsidRPr="00610B1B">
        <w:rPr>
          <w:rFonts w:cs="Times New Roman"/>
          <w:iCs/>
          <w:color w:val="000000" w:themeColor="text1"/>
        </w:rPr>
        <w:t xml:space="preserve"> </w:t>
      </w:r>
      <w:r w:rsidRPr="00610B1B">
        <w:rPr>
          <w:rFonts w:cs="Times New Roman"/>
          <w:iCs/>
          <w:color w:val="000000" w:themeColor="text1"/>
        </w:rPr>
        <w:t>Шабла - Яйлата – Калиакра</w:t>
      </w:r>
      <w:r w:rsidR="0033348A" w:rsidRPr="00610B1B">
        <w:rPr>
          <w:rFonts w:cs="Times New Roman"/>
          <w:iCs/>
          <w:color w:val="000000" w:themeColor="text1"/>
        </w:rPr>
        <w:t xml:space="preserve">; </w:t>
      </w:r>
      <w:r w:rsidR="00792FA7" w:rsidRPr="00610B1B">
        <w:rPr>
          <w:rFonts w:cs="Times New Roman"/>
          <w:iCs/>
          <w:color w:val="000000" w:themeColor="text1"/>
        </w:rPr>
        <w:t>2</w:t>
      </w:r>
      <w:r w:rsidR="0033348A" w:rsidRPr="00610B1B">
        <w:rPr>
          <w:rFonts w:cs="Times New Roman"/>
          <w:iCs/>
          <w:color w:val="000000" w:themeColor="text1"/>
        </w:rPr>
        <w:t xml:space="preserve">) Ареал Варна и езерата; </w:t>
      </w:r>
      <w:r w:rsidR="00792FA7" w:rsidRPr="00610B1B">
        <w:rPr>
          <w:rFonts w:cs="Times New Roman"/>
          <w:iCs/>
          <w:color w:val="000000" w:themeColor="text1"/>
        </w:rPr>
        <w:t>3</w:t>
      </w:r>
      <w:r w:rsidR="0033348A" w:rsidRPr="00610B1B">
        <w:rPr>
          <w:rFonts w:cs="Times New Roman"/>
          <w:iCs/>
          <w:color w:val="000000" w:themeColor="text1"/>
        </w:rPr>
        <w:t xml:space="preserve">) Ареал Старинен град Несебър и </w:t>
      </w:r>
      <w:r w:rsidR="00792FA7" w:rsidRPr="00610B1B">
        <w:rPr>
          <w:rFonts w:cs="Times New Roman"/>
          <w:iCs/>
          <w:color w:val="000000" w:themeColor="text1"/>
        </w:rPr>
        <w:t>4</w:t>
      </w:r>
      <w:r w:rsidR="0033348A" w:rsidRPr="00610B1B">
        <w:rPr>
          <w:rFonts w:cs="Times New Roman"/>
          <w:iCs/>
          <w:color w:val="000000" w:themeColor="text1"/>
        </w:rPr>
        <w:t xml:space="preserve">) Ареал Атия – Созопол – Приморско. </w:t>
      </w:r>
    </w:p>
    <w:p w14:paraId="2571DC34" w14:textId="00731B89" w:rsidR="00FB556F" w:rsidRPr="00610B1B" w:rsidRDefault="00FB556F" w:rsidP="00A50A50">
      <w:pPr>
        <w:pStyle w:val="BodyText"/>
        <w:spacing w:before="0" w:after="120" w:line="276" w:lineRule="auto"/>
        <w:rPr>
          <w:rFonts w:cs="Times New Roman"/>
          <w:iCs/>
          <w:color w:val="000000" w:themeColor="text1"/>
        </w:rPr>
      </w:pPr>
      <w:r w:rsidRPr="00610B1B">
        <w:rPr>
          <w:rFonts w:cs="Times New Roman"/>
          <w:iCs/>
          <w:color w:val="000000" w:themeColor="text1"/>
        </w:rPr>
        <w:t>Предвид уникалната стойност на обектите НКЦ, както и потенциала</w:t>
      </w:r>
      <w:r w:rsidR="00792FA7" w:rsidRPr="00610B1B">
        <w:rPr>
          <w:rFonts w:cs="Times New Roman"/>
          <w:iCs/>
          <w:color w:val="000000" w:themeColor="text1"/>
        </w:rPr>
        <w:t>,</w:t>
      </w:r>
      <w:r w:rsidRPr="00610B1B">
        <w:rPr>
          <w:rFonts w:cs="Times New Roman"/>
          <w:iCs/>
          <w:color w:val="000000" w:themeColor="text1"/>
        </w:rPr>
        <w:t xml:space="preserve"> който носят за развитие на културен туризъм </w:t>
      </w:r>
      <w:r w:rsidR="00792FA7" w:rsidRPr="00610B1B">
        <w:rPr>
          <w:rFonts w:cs="Times New Roman"/>
          <w:iCs/>
          <w:color w:val="000000" w:themeColor="text1"/>
        </w:rPr>
        <w:t>с</w:t>
      </w:r>
      <w:r w:rsidRPr="00610B1B">
        <w:rPr>
          <w:rFonts w:cs="Times New Roman"/>
          <w:iCs/>
          <w:color w:val="000000" w:themeColor="text1"/>
        </w:rPr>
        <w:t xml:space="preserve"> високо качество, МППРБ предлага изграждане на пет обекта, които да обслужват КН </w:t>
      </w:r>
      <w:r w:rsidR="00792FA7" w:rsidRPr="00610B1B">
        <w:rPr>
          <w:rFonts w:cs="Times New Roman"/>
          <w:iCs/>
          <w:color w:val="000000" w:themeColor="text1"/>
        </w:rPr>
        <w:t>като адекватна на изискванията на ХХІ век</w:t>
      </w:r>
      <w:r w:rsidRPr="00610B1B">
        <w:rPr>
          <w:rFonts w:cs="Times New Roman"/>
          <w:iCs/>
          <w:color w:val="000000" w:themeColor="text1"/>
        </w:rPr>
        <w:t xml:space="preserve"> туристическа инфраструктура. Обектите са:</w:t>
      </w:r>
      <w:r w:rsidR="0033348A" w:rsidRPr="00610B1B">
        <w:rPr>
          <w:rFonts w:cs="Times New Roman"/>
          <w:iCs/>
          <w:color w:val="000000" w:themeColor="text1"/>
        </w:rPr>
        <w:t xml:space="preserve"> </w:t>
      </w:r>
      <w:r w:rsidRPr="00610B1B">
        <w:rPr>
          <w:rFonts w:cs="Times New Roman"/>
          <w:iCs/>
          <w:color w:val="000000" w:themeColor="text1"/>
        </w:rPr>
        <w:t>1.</w:t>
      </w:r>
      <w:r w:rsidR="0033348A" w:rsidRPr="00610B1B">
        <w:rPr>
          <w:rFonts w:cs="Times New Roman"/>
          <w:iCs/>
          <w:color w:val="000000" w:themeColor="text1"/>
        </w:rPr>
        <w:t xml:space="preserve">) </w:t>
      </w:r>
      <w:r w:rsidRPr="00610B1B">
        <w:rPr>
          <w:rFonts w:cs="Times New Roman"/>
          <w:iCs/>
          <w:color w:val="000000" w:themeColor="text1"/>
        </w:rPr>
        <w:t>Интерпретационен комплекс с интерактивен музей в ареала на Археологически комплекс „Дуранкулашко езеро“;</w:t>
      </w:r>
      <w:r w:rsidR="0033348A" w:rsidRPr="00610B1B">
        <w:rPr>
          <w:rFonts w:cs="Times New Roman"/>
          <w:iCs/>
          <w:color w:val="000000" w:themeColor="text1"/>
        </w:rPr>
        <w:t xml:space="preserve"> 2) </w:t>
      </w:r>
      <w:r w:rsidRPr="00610B1B">
        <w:rPr>
          <w:rFonts w:cs="Times New Roman"/>
          <w:iCs/>
          <w:color w:val="000000" w:themeColor="text1"/>
        </w:rPr>
        <w:t>Интерпретационен комплекс с интерактивен музей в ареала обхваща</w:t>
      </w:r>
      <w:r w:rsidR="0033348A" w:rsidRPr="00610B1B">
        <w:rPr>
          <w:rFonts w:cs="Times New Roman"/>
          <w:iCs/>
          <w:color w:val="000000" w:themeColor="text1"/>
        </w:rPr>
        <w:t>щ</w:t>
      </w:r>
      <w:r w:rsidRPr="00610B1B">
        <w:rPr>
          <w:rFonts w:cs="Times New Roman"/>
          <w:iCs/>
          <w:color w:val="000000" w:themeColor="text1"/>
        </w:rPr>
        <w:t xml:space="preserve"> Бегликташ – Маслен нос</w:t>
      </w:r>
      <w:r w:rsidR="00551B98" w:rsidRPr="00610B1B">
        <w:rPr>
          <w:rFonts w:cs="Times New Roman"/>
          <w:iCs/>
          <w:color w:val="000000" w:themeColor="text1"/>
        </w:rPr>
        <w:t xml:space="preserve">, извън </w:t>
      </w:r>
      <w:r w:rsidR="00B02A7D" w:rsidRPr="00610B1B">
        <w:rPr>
          <w:rFonts w:cs="Times New Roman"/>
          <w:iCs/>
          <w:color w:val="000000" w:themeColor="text1"/>
        </w:rPr>
        <w:t>границите</w:t>
      </w:r>
      <w:r w:rsidR="00551B98" w:rsidRPr="00610B1B">
        <w:rPr>
          <w:rFonts w:cs="Times New Roman"/>
          <w:iCs/>
          <w:color w:val="000000" w:themeColor="text1"/>
        </w:rPr>
        <w:t xml:space="preserve"> на защитените територии в района;</w:t>
      </w:r>
      <w:r w:rsidR="0033348A" w:rsidRPr="00610B1B">
        <w:rPr>
          <w:rFonts w:cs="Times New Roman"/>
          <w:iCs/>
          <w:color w:val="000000" w:themeColor="text1"/>
        </w:rPr>
        <w:t xml:space="preserve"> 3) </w:t>
      </w:r>
      <w:r w:rsidRPr="00610B1B">
        <w:rPr>
          <w:rFonts w:cs="Times New Roman"/>
          <w:iCs/>
          <w:color w:val="000000" w:themeColor="text1"/>
        </w:rPr>
        <w:t>Реконструкция и адаптация на сградата на Рибарското училище в Созопол за нуждите на музей и с експониране</w:t>
      </w:r>
      <w:r w:rsidR="00D66FE0" w:rsidRPr="00610B1B">
        <w:rPr>
          <w:rFonts w:cs="Times New Roman"/>
          <w:iCs/>
          <w:color w:val="000000" w:themeColor="text1"/>
        </w:rPr>
        <w:t xml:space="preserve"> </w:t>
      </w:r>
      <w:r w:rsidRPr="00610B1B">
        <w:rPr>
          <w:rFonts w:cs="Times New Roman"/>
          <w:iCs/>
          <w:color w:val="000000" w:themeColor="text1"/>
        </w:rPr>
        <w:t>in situ на НКЦ</w:t>
      </w:r>
      <w:r w:rsidR="0033348A" w:rsidRPr="00610B1B">
        <w:rPr>
          <w:rFonts w:cs="Times New Roman"/>
          <w:iCs/>
          <w:color w:val="000000" w:themeColor="text1"/>
        </w:rPr>
        <w:t>,</w:t>
      </w:r>
      <w:r w:rsidR="00D66FE0" w:rsidRPr="00610B1B">
        <w:rPr>
          <w:rFonts w:cs="Times New Roman"/>
          <w:iCs/>
          <w:color w:val="000000" w:themeColor="text1"/>
        </w:rPr>
        <w:t xml:space="preserve"> </w:t>
      </w:r>
      <w:r w:rsidRPr="00610B1B">
        <w:rPr>
          <w:rFonts w:cs="Times New Roman"/>
          <w:iCs/>
          <w:color w:val="000000" w:themeColor="text1"/>
        </w:rPr>
        <w:t>попадащи в неговия ареал;</w:t>
      </w:r>
      <w:r w:rsidR="0033348A" w:rsidRPr="00610B1B">
        <w:rPr>
          <w:rFonts w:cs="Times New Roman"/>
          <w:iCs/>
          <w:color w:val="000000" w:themeColor="text1"/>
        </w:rPr>
        <w:t xml:space="preserve"> 4) </w:t>
      </w:r>
      <w:r w:rsidRPr="00610B1B">
        <w:rPr>
          <w:rFonts w:cs="Times New Roman"/>
          <w:iCs/>
          <w:color w:val="000000" w:themeColor="text1"/>
        </w:rPr>
        <w:t>Създаване на археологическа рекреационна зона в източната част на Старинен град Несебър, на база диалог за споделено ползване;</w:t>
      </w:r>
      <w:r w:rsidR="0033348A" w:rsidRPr="00610B1B">
        <w:rPr>
          <w:rFonts w:cs="Times New Roman"/>
          <w:iCs/>
          <w:color w:val="000000" w:themeColor="text1"/>
        </w:rPr>
        <w:t xml:space="preserve"> и </w:t>
      </w:r>
      <w:r w:rsidRPr="00610B1B">
        <w:rPr>
          <w:rFonts w:cs="Times New Roman"/>
          <w:iCs/>
          <w:color w:val="000000" w:themeColor="text1"/>
        </w:rPr>
        <w:t>5</w:t>
      </w:r>
      <w:r w:rsidR="0033348A" w:rsidRPr="00610B1B">
        <w:rPr>
          <w:rFonts w:cs="Times New Roman"/>
          <w:iCs/>
          <w:color w:val="000000" w:themeColor="text1"/>
        </w:rPr>
        <w:t>)</w:t>
      </w:r>
      <w:r w:rsidR="00792FA7" w:rsidRPr="00610B1B">
        <w:rPr>
          <w:rFonts w:cs="Times New Roman"/>
          <w:iCs/>
          <w:color w:val="000000" w:themeColor="text1"/>
        </w:rPr>
        <w:t xml:space="preserve"> </w:t>
      </w:r>
      <w:r w:rsidRPr="00610B1B">
        <w:rPr>
          <w:rFonts w:cs="Times New Roman"/>
          <w:iCs/>
          <w:color w:val="000000" w:themeColor="text1"/>
        </w:rPr>
        <w:t>Създаване на археологически парк с посетителски център в зоната на раннохристиянски манастир в м.</w:t>
      </w:r>
      <w:r w:rsidR="0033348A" w:rsidRPr="00610B1B">
        <w:rPr>
          <w:rFonts w:cs="Times New Roman"/>
          <w:iCs/>
          <w:color w:val="000000" w:themeColor="text1"/>
        </w:rPr>
        <w:t xml:space="preserve"> </w:t>
      </w:r>
      <w:r w:rsidRPr="00610B1B">
        <w:rPr>
          <w:rFonts w:cs="Times New Roman"/>
          <w:iCs/>
          <w:color w:val="000000" w:themeColor="text1"/>
        </w:rPr>
        <w:t>Джанавара, Варна</w:t>
      </w:r>
      <w:r w:rsidR="0033348A" w:rsidRPr="00610B1B">
        <w:rPr>
          <w:rFonts w:cs="Times New Roman"/>
          <w:iCs/>
          <w:color w:val="000000" w:themeColor="text1"/>
        </w:rPr>
        <w:t>.</w:t>
      </w:r>
    </w:p>
    <w:p w14:paraId="60CF93F7" w14:textId="08DAF13D" w:rsidR="0033348A" w:rsidRPr="00610B1B" w:rsidRDefault="00FB556F"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Наред с изграждане на новите обекти </w:t>
      </w:r>
      <w:r w:rsidR="0033348A" w:rsidRPr="00610B1B">
        <w:rPr>
          <w:rFonts w:cs="Times New Roman"/>
          <w:iCs/>
          <w:color w:val="000000" w:themeColor="text1"/>
        </w:rPr>
        <w:t>е предвидено</w:t>
      </w:r>
      <w:r w:rsidRPr="00610B1B">
        <w:rPr>
          <w:rFonts w:cs="Times New Roman"/>
          <w:iCs/>
          <w:color w:val="000000" w:themeColor="text1"/>
        </w:rPr>
        <w:t xml:space="preserve"> провеждане на КРР дейности за опазване на съответните НКЦ, както и такива по тяхната социализация, управление и популяризиране. Предлага се МК </w:t>
      </w:r>
      <w:r w:rsidR="00B02A7D" w:rsidRPr="00610B1B">
        <w:rPr>
          <w:rFonts w:cs="Times New Roman"/>
          <w:iCs/>
          <w:color w:val="000000" w:themeColor="text1"/>
        </w:rPr>
        <w:t xml:space="preserve">да </w:t>
      </w:r>
      <w:r w:rsidRPr="00610B1B">
        <w:rPr>
          <w:rFonts w:cs="Times New Roman"/>
          <w:iCs/>
          <w:color w:val="000000" w:themeColor="text1"/>
        </w:rPr>
        <w:t xml:space="preserve">инициира междуведомствен диалог </w:t>
      </w:r>
      <w:r w:rsidR="00B02A7D" w:rsidRPr="00610B1B">
        <w:rPr>
          <w:rFonts w:cs="Times New Roman"/>
          <w:iCs/>
          <w:color w:val="000000" w:themeColor="text1"/>
        </w:rPr>
        <w:t>за</w:t>
      </w:r>
      <w:r w:rsidRPr="00610B1B">
        <w:rPr>
          <w:rFonts w:cs="Times New Roman"/>
          <w:iCs/>
          <w:color w:val="000000" w:themeColor="text1"/>
        </w:rPr>
        <w:t xml:space="preserve"> приемане на решение за приоритетно целево финансиране, използвайки европейски финансови механизми за хоризонт 2035 г.</w:t>
      </w:r>
      <w:r w:rsidR="0033348A" w:rsidRPr="00610B1B">
        <w:rPr>
          <w:rFonts w:cs="Times New Roman"/>
          <w:iCs/>
          <w:color w:val="000000" w:themeColor="text1"/>
        </w:rPr>
        <w:t xml:space="preserve"> </w:t>
      </w:r>
    </w:p>
    <w:p w14:paraId="32A5A90F" w14:textId="1E7ECBDD" w:rsidR="00B633FB" w:rsidRPr="00610B1B" w:rsidRDefault="00B633FB" w:rsidP="00A50A50">
      <w:pPr>
        <w:pStyle w:val="BodyText"/>
        <w:spacing w:before="0" w:after="120" w:line="276" w:lineRule="auto"/>
        <w:rPr>
          <w:rFonts w:cs="Times New Roman"/>
          <w:iCs/>
          <w:color w:val="000000" w:themeColor="text1"/>
        </w:rPr>
      </w:pPr>
      <w:r w:rsidRPr="00610B1B">
        <w:rPr>
          <w:rFonts w:cs="Times New Roman"/>
          <w:iCs/>
          <w:color w:val="000000" w:themeColor="text1"/>
        </w:rPr>
        <w:t>Около Старинен град Несебър и около Созопол са предвидени охранителни зони с широчина от 1 km, а около другите обекти НКЦ, включително и на тези под вода – охранителни зони от 500 m</w:t>
      </w:r>
      <w:r w:rsidR="005660C9" w:rsidRPr="00610B1B">
        <w:rPr>
          <w:rFonts w:cs="Times New Roman"/>
          <w:iCs/>
          <w:color w:val="000000" w:themeColor="text1"/>
        </w:rPr>
        <w:t>.</w:t>
      </w:r>
    </w:p>
    <w:p w14:paraId="015F9842" w14:textId="29B853B4" w:rsidR="005660C9" w:rsidRPr="00610B1B" w:rsidRDefault="005660C9"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Предложеният културен маршрут в прилежащата крайбрежна зона следва трасето на транснационалния </w:t>
      </w:r>
      <w:r w:rsidR="00431AD9" w:rsidRPr="00610B1B">
        <w:rPr>
          <w:rFonts w:cs="Times New Roman"/>
          <w:iCs/>
          <w:color w:val="000000" w:themeColor="text1"/>
        </w:rPr>
        <w:t xml:space="preserve">културен </w:t>
      </w:r>
      <w:r w:rsidRPr="00610B1B">
        <w:rPr>
          <w:rFonts w:cs="Times New Roman"/>
          <w:iCs/>
          <w:color w:val="000000" w:themeColor="text1"/>
        </w:rPr>
        <w:t>коридор „Виа Понтика“</w:t>
      </w:r>
      <w:r w:rsidR="00431AD9" w:rsidRPr="00610B1B">
        <w:rPr>
          <w:rFonts w:cs="Times New Roman"/>
          <w:iCs/>
          <w:color w:val="000000" w:themeColor="text1"/>
        </w:rPr>
        <w:t xml:space="preserve">, чиято цел е да обвърже най-важните културни ценности по крайбрежието на съседните страни в региона и тези в акваторията. </w:t>
      </w:r>
    </w:p>
    <w:p w14:paraId="786483B6" w14:textId="145D0F36" w:rsidR="003233AE" w:rsidRPr="00610B1B" w:rsidRDefault="0033348A"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Всички предвидени </w:t>
      </w:r>
      <w:r w:rsidR="00B633FB" w:rsidRPr="00610B1B">
        <w:rPr>
          <w:rFonts w:cs="Times New Roman"/>
          <w:iCs/>
          <w:color w:val="000000" w:themeColor="text1"/>
        </w:rPr>
        <w:t xml:space="preserve">дейности за проучване и опазване на </w:t>
      </w:r>
      <w:r w:rsidRPr="00610B1B">
        <w:rPr>
          <w:rFonts w:cs="Times New Roman"/>
          <w:iCs/>
          <w:color w:val="000000" w:themeColor="text1"/>
        </w:rPr>
        <w:t>обекти</w:t>
      </w:r>
      <w:r w:rsidR="00B633FB" w:rsidRPr="00610B1B">
        <w:rPr>
          <w:rFonts w:cs="Times New Roman"/>
          <w:iCs/>
          <w:color w:val="000000" w:themeColor="text1"/>
        </w:rPr>
        <w:t>те</w:t>
      </w:r>
      <w:r w:rsidRPr="00610B1B">
        <w:rPr>
          <w:rFonts w:cs="Times New Roman"/>
          <w:iCs/>
          <w:color w:val="000000" w:themeColor="text1"/>
        </w:rPr>
        <w:t xml:space="preserve"> следват изискванията на </w:t>
      </w:r>
      <w:r w:rsidR="00704345" w:rsidRPr="00610B1B">
        <w:rPr>
          <w:rFonts w:cs="Times New Roman"/>
          <w:iCs/>
          <w:color w:val="000000" w:themeColor="text1"/>
        </w:rPr>
        <w:t xml:space="preserve">Конвенцията за опазване на подводното културно наследство, </w:t>
      </w:r>
      <w:r w:rsidRPr="00610B1B">
        <w:rPr>
          <w:rFonts w:cs="Times New Roman"/>
          <w:iCs/>
          <w:color w:val="000000" w:themeColor="text1"/>
        </w:rPr>
        <w:t>ЗУТ, ЗУЧК, ЗКН</w:t>
      </w:r>
      <w:r w:rsidR="00704345" w:rsidRPr="00610B1B">
        <w:rPr>
          <w:rFonts w:cs="Times New Roman"/>
          <w:iCs/>
          <w:color w:val="000000" w:themeColor="text1"/>
        </w:rPr>
        <w:t xml:space="preserve">. </w:t>
      </w:r>
      <w:r w:rsidR="00FB556F" w:rsidRPr="00610B1B">
        <w:rPr>
          <w:rFonts w:cs="Times New Roman"/>
          <w:iCs/>
          <w:color w:val="000000" w:themeColor="text1"/>
        </w:rPr>
        <w:t>И</w:t>
      </w:r>
      <w:r w:rsidR="00704345" w:rsidRPr="00610B1B">
        <w:rPr>
          <w:rFonts w:cs="Times New Roman"/>
          <w:iCs/>
          <w:color w:val="000000" w:themeColor="text1"/>
        </w:rPr>
        <w:t>з</w:t>
      </w:r>
      <w:r w:rsidR="00FB556F" w:rsidRPr="00610B1B">
        <w:rPr>
          <w:rFonts w:cs="Times New Roman"/>
          <w:iCs/>
          <w:color w:val="000000" w:themeColor="text1"/>
        </w:rPr>
        <w:t xml:space="preserve">граждането </w:t>
      </w:r>
      <w:r w:rsidR="00704345" w:rsidRPr="00610B1B">
        <w:rPr>
          <w:rFonts w:cs="Times New Roman"/>
          <w:iCs/>
          <w:color w:val="000000" w:themeColor="text1"/>
        </w:rPr>
        <w:t>им</w:t>
      </w:r>
      <w:r w:rsidR="00FB556F" w:rsidRPr="00610B1B">
        <w:rPr>
          <w:rFonts w:cs="Times New Roman"/>
          <w:iCs/>
          <w:color w:val="000000" w:themeColor="text1"/>
        </w:rPr>
        <w:t xml:space="preserve"> в крайбрежната зона се очаква да активира целогодишен културен туризъм, както по Черноморското крайбрежие, в направлението бряг–море, така и във вътрешността на България.</w:t>
      </w:r>
      <w:r w:rsidR="00B633FB" w:rsidRPr="00610B1B">
        <w:rPr>
          <w:rFonts w:cs="Times New Roman"/>
          <w:iCs/>
          <w:color w:val="000000" w:themeColor="text1"/>
        </w:rPr>
        <w:t xml:space="preserve"> В тях се забранява драгирането и депонирането на драгажна маса, траленето и риболова с придънни средства.</w:t>
      </w:r>
    </w:p>
    <w:p w14:paraId="1AE12E5B" w14:textId="4146F0BB" w:rsidR="003233AE" w:rsidRPr="00610B1B" w:rsidRDefault="003233AE" w:rsidP="00A50A50">
      <w:pPr>
        <w:pStyle w:val="BodyText"/>
        <w:spacing w:before="0" w:after="120" w:line="276" w:lineRule="auto"/>
        <w:rPr>
          <w:rFonts w:cs="Times New Roman"/>
          <w:iCs/>
          <w:color w:val="000000" w:themeColor="text1"/>
        </w:rPr>
      </w:pPr>
      <w:r w:rsidRPr="00610B1B">
        <w:rPr>
          <w:rFonts w:cs="Times New Roman"/>
          <w:b/>
          <w:iCs/>
          <w:color w:val="000000" w:themeColor="text1"/>
        </w:rPr>
        <w:t>НЕМ</w:t>
      </w:r>
      <w:r w:rsidRPr="00610B1B">
        <w:rPr>
          <w:rFonts w:cs="Times New Roman"/>
          <w:iCs/>
          <w:color w:val="000000" w:themeColor="text1"/>
        </w:rPr>
        <w:t xml:space="preserve"> – Национална екологична мрежа (SCI</w:t>
      </w:r>
      <w:r w:rsidR="00EB2995" w:rsidRPr="00610B1B">
        <w:rPr>
          <w:rFonts w:cs="Times New Roman"/>
          <w:iCs/>
          <w:color w:val="000000" w:themeColor="text1"/>
        </w:rPr>
        <w:t>,</w:t>
      </w:r>
      <w:r w:rsidR="00B848A8" w:rsidRPr="00610B1B">
        <w:rPr>
          <w:rFonts w:cs="Times New Roman"/>
          <w:iCs/>
          <w:color w:val="000000" w:themeColor="text1"/>
        </w:rPr>
        <w:t xml:space="preserve"> </w:t>
      </w:r>
      <w:r w:rsidRPr="00610B1B">
        <w:rPr>
          <w:rFonts w:cs="Times New Roman"/>
          <w:iCs/>
          <w:color w:val="000000" w:themeColor="text1"/>
        </w:rPr>
        <w:t>SPA</w:t>
      </w:r>
      <w:r w:rsidR="00EB2995" w:rsidRPr="00610B1B">
        <w:rPr>
          <w:rFonts w:cs="Times New Roman"/>
          <w:iCs/>
          <w:color w:val="000000" w:themeColor="text1"/>
        </w:rPr>
        <w:t xml:space="preserve"> и МРА</w:t>
      </w:r>
      <w:r w:rsidRPr="00610B1B">
        <w:rPr>
          <w:rFonts w:cs="Times New Roman"/>
          <w:iCs/>
          <w:color w:val="000000" w:themeColor="text1"/>
        </w:rPr>
        <w:t>)</w:t>
      </w:r>
    </w:p>
    <w:p w14:paraId="54727AC9" w14:textId="77777777" w:rsidR="00A50A50" w:rsidRPr="00610B1B" w:rsidRDefault="00EB2995"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В зоните за опазване на природните ценности – местообитания на ценни видове и екосистеми се прилагат онези режими, които са предвидени за съответната защитена територия или защитена зона съгласно </w:t>
      </w:r>
      <w:r w:rsidR="00B02A7D" w:rsidRPr="00610B1B">
        <w:rPr>
          <w:rFonts w:cs="Times New Roman"/>
          <w:iCs/>
          <w:color w:val="000000" w:themeColor="text1"/>
        </w:rPr>
        <w:t xml:space="preserve">Конвенцията за биологичното разнообразие, </w:t>
      </w:r>
      <w:r w:rsidRPr="00610B1B">
        <w:rPr>
          <w:rFonts w:cs="Times New Roman"/>
          <w:iCs/>
          <w:color w:val="000000" w:themeColor="text1"/>
        </w:rPr>
        <w:t xml:space="preserve">Директивата за местообитанията, Директивата за опазване на биологичното </w:t>
      </w:r>
      <w:r w:rsidRPr="00610B1B">
        <w:rPr>
          <w:rFonts w:cs="Times New Roman"/>
          <w:iCs/>
          <w:color w:val="000000" w:themeColor="text1"/>
        </w:rPr>
        <w:lastRenderedPageBreak/>
        <w:t xml:space="preserve">разнообразие, Закона за защитените територии, Закона за биологичното разнообразие, заповедите за обявяване, стандартните формуляри Натура 2000, съответните Планове за управление, когато има изготвени такива. </w:t>
      </w:r>
    </w:p>
    <w:p w14:paraId="70AE7D6E" w14:textId="280AB307" w:rsidR="00551B98" w:rsidRPr="00610B1B" w:rsidRDefault="0018632B"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Забранява се </w:t>
      </w:r>
      <w:r w:rsidR="00EB2995" w:rsidRPr="00610B1B">
        <w:rPr>
          <w:rFonts w:cs="Times New Roman"/>
          <w:iCs/>
          <w:color w:val="000000" w:themeColor="text1"/>
        </w:rPr>
        <w:t>драгирането и дънното тралене, прокарване на линейни обекти на подводната инфраструктура през защитената територия или защитена зона, увреждане на морското дъно.</w:t>
      </w:r>
      <w:r w:rsidR="00551FA6" w:rsidRPr="00610B1B">
        <w:rPr>
          <w:rFonts w:cs="Times New Roman"/>
          <w:iCs/>
          <w:color w:val="000000" w:themeColor="text1"/>
        </w:rPr>
        <w:t xml:space="preserve"> </w:t>
      </w:r>
      <w:r w:rsidR="00551B98" w:rsidRPr="00610B1B">
        <w:rPr>
          <w:rFonts w:cs="Times New Roman"/>
          <w:iCs/>
          <w:color w:val="000000" w:themeColor="text1"/>
        </w:rPr>
        <w:t>Специално внимание се отделя на акваториалните части на резерват Калиакра, защитена местност Остров Св.</w:t>
      </w:r>
      <w:r w:rsidRPr="00610B1B">
        <w:rPr>
          <w:rFonts w:cs="Times New Roman"/>
          <w:iCs/>
          <w:color w:val="000000" w:themeColor="text1"/>
        </w:rPr>
        <w:t xml:space="preserve"> Св</w:t>
      </w:r>
      <w:r w:rsidR="00551B98" w:rsidRPr="00610B1B">
        <w:rPr>
          <w:rFonts w:cs="Times New Roman"/>
          <w:iCs/>
          <w:color w:val="000000" w:themeColor="text1"/>
        </w:rPr>
        <w:t>. Иван и Петър, Змийски остров</w:t>
      </w:r>
      <w:r w:rsidR="00B02A7D" w:rsidRPr="00610B1B">
        <w:rPr>
          <w:rFonts w:cs="Times New Roman"/>
          <w:iCs/>
          <w:color w:val="000000" w:themeColor="text1"/>
        </w:rPr>
        <w:t xml:space="preserve"> - </w:t>
      </w:r>
      <w:r w:rsidR="00551B98" w:rsidRPr="00610B1B">
        <w:rPr>
          <w:rFonts w:cs="Times New Roman"/>
          <w:iCs/>
          <w:color w:val="000000" w:themeColor="text1"/>
        </w:rPr>
        <w:t>част от резерват Ропотамо</w:t>
      </w:r>
      <w:r w:rsidRPr="00610B1B">
        <w:rPr>
          <w:rFonts w:cs="Times New Roman"/>
          <w:iCs/>
          <w:color w:val="000000" w:themeColor="text1"/>
        </w:rPr>
        <w:t>,</w:t>
      </w:r>
      <w:r w:rsidR="00551B98" w:rsidRPr="00610B1B">
        <w:rPr>
          <w:rFonts w:cs="Times New Roman"/>
          <w:iCs/>
          <w:color w:val="000000" w:themeColor="text1"/>
        </w:rPr>
        <w:t xml:space="preserve"> и защитената местност Кокетрайс. За тях са предвидени 500 m охранителни зони. За последната </w:t>
      </w:r>
      <w:r w:rsidRPr="00610B1B">
        <w:rPr>
          <w:rFonts w:cs="Times New Roman"/>
          <w:iCs/>
          <w:color w:val="000000" w:themeColor="text1"/>
        </w:rPr>
        <w:t>с</w:t>
      </w:r>
      <w:r w:rsidR="00551B98" w:rsidRPr="00610B1B">
        <w:rPr>
          <w:rFonts w:cs="Times New Roman"/>
          <w:iCs/>
          <w:color w:val="000000" w:themeColor="text1"/>
        </w:rPr>
        <w:t>е предви</w:t>
      </w:r>
      <w:r w:rsidRPr="00610B1B">
        <w:rPr>
          <w:rFonts w:cs="Times New Roman"/>
          <w:iCs/>
          <w:color w:val="000000" w:themeColor="text1"/>
        </w:rPr>
        <w:t>жда</w:t>
      </w:r>
      <w:r w:rsidR="00551B98" w:rsidRPr="00610B1B">
        <w:rPr>
          <w:rFonts w:cs="Times New Roman"/>
          <w:iCs/>
          <w:color w:val="000000" w:themeColor="text1"/>
        </w:rPr>
        <w:t xml:space="preserve"> разширение в източна посока до границите на защитената зона „Емине-Иракли“</w:t>
      </w:r>
      <w:r w:rsidR="00D66FE0" w:rsidRPr="00610B1B">
        <w:rPr>
          <w:rFonts w:cs="Times New Roman"/>
          <w:iCs/>
          <w:color w:val="000000" w:themeColor="text1"/>
        </w:rPr>
        <w:t xml:space="preserve"> </w:t>
      </w:r>
      <w:r w:rsidR="00551B98" w:rsidRPr="00610B1B">
        <w:rPr>
          <w:rFonts w:cs="Times New Roman"/>
          <w:iCs/>
          <w:color w:val="000000" w:themeColor="text1"/>
        </w:rPr>
        <w:t>(BG 0001004), в която попада.</w:t>
      </w:r>
      <w:r w:rsidR="00D66FE0" w:rsidRPr="00610B1B">
        <w:rPr>
          <w:rFonts w:cs="Times New Roman"/>
          <w:iCs/>
          <w:color w:val="000000" w:themeColor="text1"/>
        </w:rPr>
        <w:t xml:space="preserve"> </w:t>
      </w:r>
      <w:r w:rsidR="00551B98" w:rsidRPr="00610B1B">
        <w:rPr>
          <w:rFonts w:cs="Times New Roman"/>
          <w:iCs/>
          <w:color w:val="000000" w:themeColor="text1"/>
        </w:rPr>
        <w:t>Препоръчва се също при бъдещи проучвания за промяна на СРД да се предвиди изнасяне на корабния трафик извън обхвата на защитената местност.</w:t>
      </w:r>
    </w:p>
    <w:p w14:paraId="2934239D" w14:textId="048C1246" w:rsidR="00A50A50" w:rsidRDefault="00A50A50"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В тези зони </w:t>
      </w:r>
      <w:r w:rsidRPr="00610B1B">
        <w:rPr>
          <w:rFonts w:cs="Times New Roman"/>
          <w:b/>
          <w:iCs/>
          <w:color w:val="000000" w:themeColor="text1"/>
        </w:rPr>
        <w:t xml:space="preserve">не се предвиждат нови дейности. </w:t>
      </w:r>
      <w:r w:rsidRPr="00610B1B">
        <w:rPr>
          <w:rFonts w:cs="Times New Roman"/>
          <w:iCs/>
          <w:color w:val="000000" w:themeColor="text1"/>
        </w:rPr>
        <w:t>Запазени са само онези съществуващи д</w:t>
      </w:r>
      <w:r w:rsidR="0074287E" w:rsidRPr="00610B1B">
        <w:rPr>
          <w:rFonts w:cs="Times New Roman"/>
          <w:iCs/>
          <w:color w:val="000000" w:themeColor="text1"/>
        </w:rPr>
        <w:t>e</w:t>
      </w:r>
      <w:r w:rsidRPr="00610B1B">
        <w:rPr>
          <w:rFonts w:cs="Times New Roman"/>
          <w:iCs/>
          <w:color w:val="000000" w:themeColor="text1"/>
        </w:rPr>
        <w:t xml:space="preserve">йности, които няма да доведат до увреждане на местообитанията, обект на опазване, и до промени в състоянието на морската среда, от които зависи биологичното разнообразие. Премахват се </w:t>
      </w:r>
      <w:r w:rsidR="00253E20" w:rsidRPr="00610B1B">
        <w:rPr>
          <w:rFonts w:cs="Times New Roman"/>
          <w:iCs/>
          <w:color w:val="000000" w:themeColor="text1"/>
        </w:rPr>
        <w:t xml:space="preserve">изоставени </w:t>
      </w:r>
      <w:r w:rsidRPr="00610B1B">
        <w:rPr>
          <w:rFonts w:cs="Times New Roman"/>
          <w:iCs/>
          <w:color w:val="000000" w:themeColor="text1"/>
        </w:rPr>
        <w:t>стационарни инсталации за риболов и отглеждане на аквакултури след преустановяване на дейността</w:t>
      </w:r>
      <w:r w:rsidR="00253E20" w:rsidRPr="00610B1B">
        <w:rPr>
          <w:rFonts w:cs="Times New Roman"/>
          <w:iCs/>
          <w:color w:val="000000" w:themeColor="text1"/>
        </w:rPr>
        <w:t>,</w:t>
      </w:r>
      <w:r w:rsidRPr="00610B1B">
        <w:rPr>
          <w:rFonts w:cs="Times New Roman"/>
          <w:iCs/>
          <w:color w:val="000000" w:themeColor="text1"/>
        </w:rPr>
        <w:t xml:space="preserve"> с цел отстраняване на вредни въздействия върху околната среда</w:t>
      </w:r>
      <w:r w:rsidR="00253E20" w:rsidRPr="00610B1B">
        <w:rPr>
          <w:rFonts w:cs="Times New Roman"/>
          <w:iCs/>
          <w:color w:val="000000" w:themeColor="text1"/>
        </w:rPr>
        <w:t xml:space="preserve"> и намаляване на риска за морски риби и птици и за туристи.</w:t>
      </w:r>
    </w:p>
    <w:p w14:paraId="08D8711F" w14:textId="0CFCCFB7" w:rsidR="00116E1E" w:rsidRPr="00AC64E1" w:rsidRDefault="00116E1E" w:rsidP="00AC64E1">
      <w:pPr>
        <w:jc w:val="both"/>
        <w:rPr>
          <w:rFonts w:ascii="Times New Roman" w:eastAsia="Source Han Sans CN Regular" w:hAnsi="Times New Roman" w:cs="Times New Roman"/>
          <w:b/>
          <w:iCs/>
          <w:color w:val="000000" w:themeColor="text1"/>
          <w:sz w:val="24"/>
          <w:szCs w:val="24"/>
          <w:lang w:val="bg-BG" w:eastAsia="zh-CN" w:bidi="hi-IN"/>
        </w:rPr>
      </w:pPr>
      <w:r w:rsidRPr="00AC64E1">
        <w:rPr>
          <w:rFonts w:ascii="Times New Roman" w:eastAsia="Source Han Sans CN Regular" w:hAnsi="Times New Roman" w:cs="Times New Roman"/>
          <w:b/>
          <w:iCs/>
          <w:color w:val="000000" w:themeColor="text1"/>
          <w:sz w:val="24"/>
          <w:szCs w:val="24"/>
          <w:lang w:val="bg-BG" w:eastAsia="zh-CN" w:bidi="hi-IN"/>
        </w:rPr>
        <w:t xml:space="preserve">В МППРБ се предлагат </w:t>
      </w:r>
      <w:r w:rsidR="00052A22">
        <w:rPr>
          <w:rFonts w:ascii="Times New Roman" w:eastAsia="Source Han Sans CN Regular" w:hAnsi="Times New Roman" w:cs="Times New Roman"/>
          <w:b/>
          <w:iCs/>
          <w:color w:val="000000" w:themeColor="text1"/>
          <w:sz w:val="24"/>
          <w:szCs w:val="24"/>
          <w:lang w:val="bg-BG" w:eastAsia="zh-CN" w:bidi="hi-IN"/>
        </w:rPr>
        <w:t xml:space="preserve">като подходящи </w:t>
      </w:r>
      <w:r w:rsidR="00D23904" w:rsidRPr="00AC64E1">
        <w:rPr>
          <w:rFonts w:ascii="Times New Roman" w:eastAsia="Source Han Sans CN Regular" w:hAnsi="Times New Roman" w:cs="Times New Roman"/>
          <w:b/>
          <w:iCs/>
          <w:color w:val="000000" w:themeColor="text1"/>
          <w:sz w:val="24"/>
          <w:szCs w:val="24"/>
          <w:lang w:val="bg-BG" w:eastAsia="zh-CN" w:bidi="hi-IN"/>
        </w:rPr>
        <w:t>следните две акватории, в рамките на които да бъ</w:t>
      </w:r>
      <w:r w:rsidR="00D02DCB">
        <w:rPr>
          <w:rFonts w:ascii="Times New Roman" w:eastAsia="Source Han Sans CN Regular" w:hAnsi="Times New Roman" w:cs="Times New Roman"/>
          <w:b/>
          <w:iCs/>
          <w:color w:val="000000" w:themeColor="text1"/>
          <w:sz w:val="24"/>
          <w:szCs w:val="24"/>
          <w:lang w:val="bg-BG" w:eastAsia="zh-CN" w:bidi="hi-IN"/>
        </w:rPr>
        <w:t>дат из</w:t>
      </w:r>
      <w:r w:rsidR="00D23904" w:rsidRPr="00AC64E1">
        <w:rPr>
          <w:rFonts w:ascii="Times New Roman" w:eastAsia="Source Han Sans CN Regular" w:hAnsi="Times New Roman" w:cs="Times New Roman"/>
          <w:b/>
          <w:iCs/>
          <w:color w:val="000000" w:themeColor="text1"/>
          <w:sz w:val="24"/>
          <w:szCs w:val="24"/>
          <w:lang w:val="bg-BG" w:eastAsia="zh-CN" w:bidi="hi-IN"/>
        </w:rPr>
        <w:t>с</w:t>
      </w:r>
      <w:r w:rsidR="00D02DCB">
        <w:rPr>
          <w:rFonts w:ascii="Times New Roman" w:eastAsia="Source Han Sans CN Regular" w:hAnsi="Times New Roman" w:cs="Times New Roman"/>
          <w:b/>
          <w:iCs/>
          <w:color w:val="000000" w:themeColor="text1"/>
          <w:sz w:val="24"/>
          <w:szCs w:val="24"/>
          <w:lang w:val="bg-BG" w:eastAsia="zh-CN" w:bidi="hi-IN"/>
        </w:rPr>
        <w:t>л</w:t>
      </w:r>
      <w:r w:rsidR="00D23904" w:rsidRPr="00AC64E1">
        <w:rPr>
          <w:rFonts w:ascii="Times New Roman" w:eastAsia="Source Han Sans CN Regular" w:hAnsi="Times New Roman" w:cs="Times New Roman"/>
          <w:b/>
          <w:iCs/>
          <w:color w:val="000000" w:themeColor="text1"/>
          <w:sz w:val="24"/>
          <w:szCs w:val="24"/>
          <w:lang w:val="bg-BG" w:eastAsia="zh-CN" w:bidi="hi-IN"/>
        </w:rPr>
        <w:t>едвани райони подходящи за защита</w:t>
      </w:r>
      <w:r w:rsidRPr="00AC64E1">
        <w:rPr>
          <w:rFonts w:ascii="Times New Roman" w:eastAsia="Source Han Sans CN Regular" w:hAnsi="Times New Roman" w:cs="Times New Roman"/>
          <w:b/>
          <w:iCs/>
          <w:color w:val="000000" w:themeColor="text1"/>
          <w:sz w:val="24"/>
          <w:szCs w:val="24"/>
          <w:lang w:val="bg-BG" w:eastAsia="zh-CN" w:bidi="hi-IN"/>
        </w:rPr>
        <w:t xml:space="preserve">, </w:t>
      </w:r>
      <w:r w:rsidR="00D23904" w:rsidRPr="00AC64E1">
        <w:rPr>
          <w:rFonts w:ascii="Times New Roman" w:eastAsia="Source Han Sans CN Regular" w:hAnsi="Times New Roman" w:cs="Times New Roman"/>
          <w:b/>
          <w:iCs/>
          <w:color w:val="000000" w:themeColor="text1"/>
          <w:sz w:val="24"/>
          <w:szCs w:val="24"/>
          <w:lang w:val="bg-BG" w:eastAsia="zh-CN" w:bidi="hi-IN"/>
        </w:rPr>
        <w:t>които биха допринесли</w:t>
      </w:r>
      <w:r w:rsidRPr="00AC64E1">
        <w:rPr>
          <w:rFonts w:ascii="Times New Roman" w:eastAsia="Source Han Sans CN Regular" w:hAnsi="Times New Roman" w:cs="Times New Roman"/>
          <w:b/>
          <w:iCs/>
          <w:color w:val="000000" w:themeColor="text1"/>
          <w:sz w:val="24"/>
          <w:szCs w:val="24"/>
          <w:lang w:val="bg-BG" w:eastAsia="zh-CN" w:bidi="hi-IN"/>
        </w:rPr>
        <w:t xml:space="preserve"> за изпълнение на целите на </w:t>
      </w:r>
      <w:r w:rsidR="00661C06" w:rsidRPr="00AC64E1">
        <w:rPr>
          <w:rFonts w:ascii="Times New Roman" w:eastAsia="Source Han Sans CN Regular" w:hAnsi="Times New Roman" w:cs="Times New Roman"/>
          <w:b/>
          <w:iCs/>
          <w:color w:val="000000" w:themeColor="text1"/>
          <w:sz w:val="24"/>
          <w:szCs w:val="24"/>
          <w:lang w:val="bg-BG" w:eastAsia="zh-CN" w:bidi="hi-IN"/>
        </w:rPr>
        <w:t>Стратегията за биологично разнообразие за 2030 г. :</w:t>
      </w:r>
    </w:p>
    <w:p w14:paraId="7278722C" w14:textId="4B8BA8B5" w:rsidR="00116E1E" w:rsidRPr="00AC64E1" w:rsidRDefault="00661C06" w:rsidP="00AC64E1">
      <w:pPr>
        <w:spacing w:after="0"/>
        <w:jc w:val="both"/>
        <w:rPr>
          <w:rFonts w:ascii="Times New Roman" w:eastAsia="Source Han Sans CN Regular" w:hAnsi="Times New Roman" w:cs="Times New Roman"/>
          <w:iCs/>
          <w:color w:val="000000" w:themeColor="text1"/>
          <w:sz w:val="24"/>
          <w:szCs w:val="24"/>
          <w:lang w:val="bg-BG" w:eastAsia="zh-CN" w:bidi="hi-IN"/>
        </w:rPr>
      </w:pPr>
      <w:r w:rsidRPr="00AC64E1">
        <w:rPr>
          <w:rFonts w:ascii="Times New Roman" w:eastAsia="Source Han Sans CN Regular" w:hAnsi="Times New Roman" w:cs="Times New Roman"/>
          <w:iCs/>
          <w:color w:val="000000" w:themeColor="text1"/>
          <w:sz w:val="24"/>
          <w:szCs w:val="24"/>
          <w:lang w:val="bg-BG" w:eastAsia="zh-CN" w:bidi="hi-IN"/>
        </w:rPr>
        <w:t xml:space="preserve">1. </w:t>
      </w:r>
      <w:r w:rsidR="00116E1E" w:rsidRPr="00AC64E1">
        <w:rPr>
          <w:rFonts w:ascii="Times New Roman" w:eastAsia="Source Han Sans CN Regular" w:hAnsi="Times New Roman" w:cs="Times New Roman"/>
          <w:iCs/>
          <w:color w:val="000000" w:themeColor="text1"/>
          <w:sz w:val="24"/>
          <w:szCs w:val="24"/>
          <w:lang w:val="bg-BG" w:eastAsia="zh-CN" w:bidi="hi-IN"/>
        </w:rPr>
        <w:t xml:space="preserve">Акваторията и крайбрежието  между н. Хумата - Маслен нос - местност Перла  </w:t>
      </w:r>
    </w:p>
    <w:p w14:paraId="11C0FFDE" w14:textId="0DBF97C7" w:rsidR="00116E1E" w:rsidRPr="00AC64E1" w:rsidRDefault="00661C06" w:rsidP="00AC64E1">
      <w:pPr>
        <w:spacing w:after="0"/>
        <w:jc w:val="both"/>
        <w:rPr>
          <w:rFonts w:ascii="Times New Roman" w:eastAsia="Source Han Sans CN Regular" w:hAnsi="Times New Roman" w:cs="Times New Roman"/>
          <w:iCs/>
          <w:color w:val="000000" w:themeColor="text1"/>
          <w:sz w:val="24"/>
          <w:szCs w:val="24"/>
          <w:lang w:val="bg-BG" w:eastAsia="zh-CN" w:bidi="hi-IN"/>
        </w:rPr>
      </w:pPr>
      <w:r w:rsidRPr="00AC64E1">
        <w:rPr>
          <w:rFonts w:ascii="Times New Roman" w:eastAsia="Source Han Sans CN Regular" w:hAnsi="Times New Roman" w:cs="Times New Roman"/>
          <w:iCs/>
          <w:color w:val="000000" w:themeColor="text1"/>
          <w:sz w:val="24"/>
          <w:szCs w:val="24"/>
          <w:lang w:val="bg-BG" w:eastAsia="zh-CN" w:bidi="hi-IN"/>
        </w:rPr>
        <w:t xml:space="preserve">2. </w:t>
      </w:r>
      <w:r w:rsidR="00116E1E" w:rsidRPr="00AC64E1">
        <w:rPr>
          <w:rFonts w:ascii="Times New Roman" w:eastAsia="Source Han Sans CN Regular" w:hAnsi="Times New Roman" w:cs="Times New Roman"/>
          <w:iCs/>
          <w:color w:val="000000" w:themeColor="text1"/>
          <w:sz w:val="24"/>
          <w:szCs w:val="24"/>
          <w:lang w:val="bg-BG" w:eastAsia="zh-CN" w:bidi="hi-IN"/>
        </w:rPr>
        <w:t xml:space="preserve">Акваторията и крайбрежие  между с. Синеморец и р. Резовска </w:t>
      </w:r>
    </w:p>
    <w:p w14:paraId="7C45E1F3" w14:textId="3861904A" w:rsidR="00116E1E" w:rsidRPr="00AC64E1" w:rsidRDefault="00D1437C" w:rsidP="00116E1E">
      <w:pPr>
        <w:jc w:val="both"/>
        <w:rPr>
          <w:rFonts w:ascii="Times New Roman" w:eastAsia="Source Han Sans CN Regular" w:hAnsi="Times New Roman" w:cs="Times New Roman"/>
          <w:iCs/>
          <w:color w:val="000000" w:themeColor="text1"/>
          <w:sz w:val="24"/>
          <w:szCs w:val="24"/>
          <w:lang w:val="bg-BG" w:eastAsia="zh-CN" w:bidi="hi-IN"/>
        </w:rPr>
      </w:pPr>
      <w:r w:rsidRPr="00AC64E1">
        <w:rPr>
          <w:rFonts w:ascii="Times New Roman" w:eastAsia="Source Han Sans CN Regular" w:hAnsi="Times New Roman" w:cs="Times New Roman"/>
          <w:iCs/>
          <w:color w:val="000000" w:themeColor="text1"/>
          <w:sz w:val="24"/>
          <w:szCs w:val="24"/>
          <w:lang w:val="bg-BG" w:eastAsia="zh-CN" w:bidi="hi-IN"/>
        </w:rPr>
        <w:t xml:space="preserve">Това са </w:t>
      </w:r>
      <w:r w:rsidR="00D23904" w:rsidRPr="00AC64E1">
        <w:rPr>
          <w:rFonts w:ascii="Times New Roman" w:eastAsia="Source Han Sans CN Regular" w:hAnsi="Times New Roman" w:cs="Times New Roman"/>
          <w:iCs/>
          <w:color w:val="000000" w:themeColor="text1"/>
          <w:sz w:val="24"/>
          <w:szCs w:val="24"/>
          <w:lang w:val="bg-BG" w:eastAsia="zh-CN" w:bidi="hi-IN"/>
        </w:rPr>
        <w:t xml:space="preserve">райони </w:t>
      </w:r>
      <w:r w:rsidR="00116E1E" w:rsidRPr="00AC64E1">
        <w:rPr>
          <w:rFonts w:ascii="Times New Roman" w:eastAsia="Source Han Sans CN Regular" w:hAnsi="Times New Roman" w:cs="Times New Roman"/>
          <w:iCs/>
          <w:color w:val="000000" w:themeColor="text1"/>
          <w:sz w:val="24"/>
          <w:szCs w:val="24"/>
          <w:lang w:val="bg-BG" w:eastAsia="zh-CN" w:bidi="hi-IN"/>
        </w:rPr>
        <w:t>с високо биоразнообразие и най-добре запазени типични черноморски дънни местообитания , както на скални рифове( местообитания 1170: съобщества на кафяви макроводорасли Cystoseira, и на червените Phyllophora crispa, дълбоководни рифове със черна мида M. galloprovincialis и др.) и на меко дъно ( местообитания 1110 на безгръбначни)</w:t>
      </w:r>
      <w:r w:rsidR="00035509" w:rsidRPr="00AC64E1">
        <w:rPr>
          <w:rFonts w:ascii="Times New Roman" w:eastAsia="Source Han Sans CN Regular" w:hAnsi="Times New Roman" w:cs="Times New Roman"/>
          <w:iCs/>
          <w:color w:val="000000" w:themeColor="text1"/>
          <w:sz w:val="24"/>
          <w:szCs w:val="24"/>
          <w:lang w:val="bg-BG" w:eastAsia="zh-CN" w:bidi="hi-IN"/>
        </w:rPr>
        <w:t>.</w:t>
      </w:r>
      <w:r w:rsidR="00116E1E" w:rsidRPr="00AC64E1">
        <w:rPr>
          <w:rFonts w:ascii="Times New Roman" w:eastAsia="Source Han Sans CN Regular" w:hAnsi="Times New Roman" w:cs="Times New Roman"/>
          <w:iCs/>
          <w:color w:val="000000" w:themeColor="text1"/>
          <w:sz w:val="24"/>
          <w:szCs w:val="24"/>
          <w:lang w:val="bg-BG" w:eastAsia="zh-CN" w:bidi="hi-IN"/>
        </w:rPr>
        <w:t xml:space="preserve"> </w:t>
      </w:r>
      <w:r w:rsidR="00035509" w:rsidRPr="00AC64E1">
        <w:rPr>
          <w:rFonts w:ascii="Times New Roman" w:eastAsia="Source Han Sans CN Regular" w:hAnsi="Times New Roman" w:cs="Times New Roman"/>
          <w:iCs/>
          <w:color w:val="000000" w:themeColor="text1"/>
          <w:sz w:val="24"/>
          <w:szCs w:val="24"/>
          <w:lang w:val="bg-BG" w:eastAsia="zh-CN" w:bidi="hi-IN"/>
        </w:rPr>
        <w:t>Д</w:t>
      </w:r>
      <w:r w:rsidR="00116E1E" w:rsidRPr="00AC64E1">
        <w:rPr>
          <w:rFonts w:ascii="Times New Roman" w:eastAsia="Source Han Sans CN Regular" w:hAnsi="Times New Roman" w:cs="Times New Roman"/>
          <w:iCs/>
          <w:color w:val="000000" w:themeColor="text1"/>
          <w:sz w:val="24"/>
          <w:szCs w:val="24"/>
          <w:lang w:val="bg-BG" w:eastAsia="zh-CN" w:bidi="hi-IN"/>
        </w:rPr>
        <w:t xml:space="preserve">вете зони са с постоянно присъствие и трите вида черноморски делфини - афала, обикновен делфин и муткур.  Зоните са предпочитани от мигриращи видове риби по нашето Черноморие през пролетния и есенния сезон. Богатото разнообразие от рибни ресурси в районите привлича и множество морски птици в района. </w:t>
      </w:r>
    </w:p>
    <w:p w14:paraId="574E5385" w14:textId="3F92F89C" w:rsidR="00116E1E" w:rsidRPr="00AC64E1" w:rsidRDefault="00116E1E" w:rsidP="00116E1E">
      <w:pPr>
        <w:jc w:val="both"/>
        <w:rPr>
          <w:rFonts w:ascii="Times New Roman" w:eastAsia="Source Han Sans CN Regular" w:hAnsi="Times New Roman" w:cs="Times New Roman"/>
          <w:iCs/>
          <w:color w:val="000000" w:themeColor="text1"/>
          <w:sz w:val="24"/>
          <w:szCs w:val="24"/>
          <w:lang w:val="bg-BG" w:eastAsia="zh-CN" w:bidi="hi-IN"/>
        </w:rPr>
      </w:pPr>
      <w:r w:rsidRPr="00AC64E1">
        <w:rPr>
          <w:rFonts w:ascii="Times New Roman" w:eastAsia="Source Han Sans CN Regular" w:hAnsi="Times New Roman" w:cs="Times New Roman"/>
          <w:iCs/>
          <w:color w:val="000000" w:themeColor="text1"/>
          <w:sz w:val="24"/>
          <w:szCs w:val="24"/>
          <w:lang w:val="bg-BG" w:eastAsia="zh-CN" w:bidi="hi-IN"/>
        </w:rPr>
        <w:t xml:space="preserve">Екологичното състояние на тези </w:t>
      </w:r>
      <w:r w:rsidR="001223CA" w:rsidRPr="00AC64E1">
        <w:rPr>
          <w:rFonts w:ascii="Times New Roman" w:eastAsia="Source Han Sans CN Regular" w:hAnsi="Times New Roman" w:cs="Times New Roman"/>
          <w:iCs/>
          <w:color w:val="000000" w:themeColor="text1"/>
          <w:sz w:val="24"/>
          <w:szCs w:val="24"/>
          <w:lang w:val="bg-BG" w:eastAsia="zh-CN" w:bidi="hi-IN"/>
        </w:rPr>
        <w:t>ареали</w:t>
      </w:r>
      <w:r w:rsidRPr="00AC64E1">
        <w:rPr>
          <w:rFonts w:ascii="Times New Roman" w:eastAsia="Source Han Sans CN Regular" w:hAnsi="Times New Roman" w:cs="Times New Roman"/>
          <w:iCs/>
          <w:color w:val="000000" w:themeColor="text1"/>
          <w:sz w:val="24"/>
          <w:szCs w:val="24"/>
          <w:lang w:val="bg-BG" w:eastAsia="zh-CN" w:bidi="hi-IN"/>
        </w:rPr>
        <w:t xml:space="preserve"> консистентно е възможно най-доброто по методите за оценка по РДВ и РДМС в последните 10 години. Последните проучвания на дънни екосистеми в тези зони са проведени през 2018 г. </w:t>
      </w:r>
      <w:r w:rsidR="00035509" w:rsidRPr="00AC64E1">
        <w:rPr>
          <w:rFonts w:ascii="Times New Roman" w:eastAsia="Source Han Sans CN Regular" w:hAnsi="Times New Roman" w:cs="Times New Roman"/>
          <w:iCs/>
          <w:color w:val="000000" w:themeColor="text1"/>
          <w:sz w:val="24"/>
          <w:szCs w:val="24"/>
          <w:lang w:val="bg-BG" w:eastAsia="zh-CN" w:bidi="hi-IN"/>
        </w:rPr>
        <w:t>о</w:t>
      </w:r>
      <w:r w:rsidRPr="00AC64E1">
        <w:rPr>
          <w:rFonts w:ascii="Times New Roman" w:eastAsia="Source Han Sans CN Regular" w:hAnsi="Times New Roman" w:cs="Times New Roman"/>
          <w:iCs/>
          <w:color w:val="000000" w:themeColor="text1"/>
          <w:sz w:val="24"/>
          <w:szCs w:val="24"/>
          <w:lang w:val="bg-BG" w:eastAsia="zh-CN" w:bidi="hi-IN"/>
        </w:rPr>
        <w:t xml:space="preserve">т екип на ИБЕИ (ИО-БАН, 2018) , и на ИО-БАН за отдалечените от брега местообитания на меко дъно ( ИО-БАН, 2021) </w:t>
      </w:r>
      <w:r w:rsidR="00035509" w:rsidRPr="00AC64E1">
        <w:rPr>
          <w:rFonts w:ascii="Times New Roman" w:eastAsia="Source Han Sans CN Regular" w:hAnsi="Times New Roman" w:cs="Times New Roman"/>
          <w:iCs/>
          <w:color w:val="000000" w:themeColor="text1"/>
          <w:sz w:val="24"/>
          <w:szCs w:val="24"/>
          <w:lang w:val="bg-BG" w:eastAsia="zh-CN" w:bidi="hi-IN"/>
        </w:rPr>
        <w:t xml:space="preserve">и </w:t>
      </w:r>
      <w:r w:rsidRPr="00AC64E1">
        <w:rPr>
          <w:rFonts w:ascii="Times New Roman" w:eastAsia="Source Han Sans CN Regular" w:hAnsi="Times New Roman" w:cs="Times New Roman"/>
          <w:iCs/>
          <w:color w:val="000000" w:themeColor="text1"/>
          <w:sz w:val="24"/>
          <w:szCs w:val="24"/>
          <w:lang w:val="bg-BG" w:eastAsia="zh-CN" w:bidi="hi-IN"/>
        </w:rPr>
        <w:t xml:space="preserve">потвърждават тези наблюдения.  </w:t>
      </w:r>
    </w:p>
    <w:p w14:paraId="72E70136" w14:textId="77777777" w:rsidR="00116E1E" w:rsidRPr="00AC64E1" w:rsidRDefault="00116E1E" w:rsidP="00AC64E1">
      <w:pPr>
        <w:jc w:val="both"/>
        <w:rPr>
          <w:rFonts w:ascii="Times New Roman" w:eastAsia="Source Han Sans CN Regular" w:hAnsi="Times New Roman" w:cs="Times New Roman"/>
          <w:iCs/>
          <w:color w:val="000000" w:themeColor="text1"/>
          <w:sz w:val="24"/>
          <w:szCs w:val="24"/>
          <w:lang w:val="bg-BG" w:eastAsia="zh-CN" w:bidi="hi-IN"/>
        </w:rPr>
      </w:pPr>
      <w:r w:rsidRPr="00AC64E1">
        <w:rPr>
          <w:rFonts w:ascii="Times New Roman" w:eastAsia="Source Han Sans CN Regular" w:hAnsi="Times New Roman" w:cs="Times New Roman"/>
          <w:iCs/>
          <w:color w:val="000000" w:themeColor="text1"/>
          <w:sz w:val="24"/>
          <w:szCs w:val="24"/>
          <w:lang w:val="bg-BG" w:eastAsia="zh-CN" w:bidi="hi-IN"/>
        </w:rPr>
        <w:t xml:space="preserve">Районът южно от Синеморец е слабо проучен и поради много доброто си екологично състояние и близостта си до Босфора и турското Черноморско крайбрежие,  има </w:t>
      </w:r>
      <w:r w:rsidRPr="00AC64E1">
        <w:rPr>
          <w:rFonts w:ascii="Times New Roman" w:eastAsia="Source Han Sans CN Regular" w:hAnsi="Times New Roman" w:cs="Times New Roman"/>
          <w:iCs/>
          <w:color w:val="000000" w:themeColor="text1"/>
          <w:sz w:val="24"/>
          <w:szCs w:val="24"/>
          <w:lang w:val="bg-BG" w:eastAsia="zh-CN" w:bidi="hi-IN"/>
        </w:rPr>
        <w:lastRenderedPageBreak/>
        <w:t>потенциал да съдържа неописвани за българското Черноморие видове макроводорасли, безгръбначни и риби.</w:t>
      </w:r>
    </w:p>
    <w:p w14:paraId="2326640A" w14:textId="77777777" w:rsidR="00116E1E" w:rsidRPr="00AC64E1" w:rsidRDefault="00116E1E" w:rsidP="00AC64E1">
      <w:pPr>
        <w:jc w:val="both"/>
        <w:rPr>
          <w:rFonts w:ascii="Times New Roman" w:eastAsia="Source Han Sans CN Regular" w:hAnsi="Times New Roman" w:cs="Times New Roman"/>
          <w:iCs/>
          <w:color w:val="000000" w:themeColor="text1"/>
          <w:sz w:val="24"/>
          <w:szCs w:val="24"/>
          <w:lang w:val="bg-BG" w:eastAsia="zh-CN" w:bidi="hi-IN"/>
        </w:rPr>
      </w:pPr>
      <w:r w:rsidRPr="00AC64E1">
        <w:rPr>
          <w:rFonts w:ascii="Times New Roman" w:eastAsia="Source Han Sans CN Regular" w:hAnsi="Times New Roman" w:cs="Times New Roman"/>
          <w:iCs/>
          <w:color w:val="000000" w:themeColor="text1"/>
          <w:sz w:val="24"/>
          <w:szCs w:val="24"/>
          <w:lang w:val="bg-BG" w:eastAsia="zh-CN" w:bidi="hi-IN"/>
        </w:rPr>
        <w:t xml:space="preserve">Обявяването на тези райони за ‘защитени територии’ с по-строга степен на защита от Натура зоните , в чийто обхват попадат , може да изиграе роля в изграждането на ‘ядро’  с по-строга защита (ограничен или никакъв риболов, ограничаване на антропогенни дейности)на защитените зони, което е доказано ползотворна практика за опазване на популациите на морски риби и безгръбначни с позитивен ефект за намиращите се в съседство акватории, с преки ползи за местните рибари и туризма. </w:t>
      </w:r>
    </w:p>
    <w:p w14:paraId="12D88B02" w14:textId="666E1743" w:rsidR="00116E1E" w:rsidRPr="00AC64E1" w:rsidRDefault="001223CA" w:rsidP="00AC64E1">
      <w:pPr>
        <w:jc w:val="both"/>
        <w:rPr>
          <w:rFonts w:ascii="Times New Roman" w:eastAsia="Source Han Sans CN Regular" w:hAnsi="Times New Roman" w:cs="Times New Roman"/>
          <w:iCs/>
          <w:color w:val="000000" w:themeColor="text1"/>
          <w:sz w:val="24"/>
          <w:szCs w:val="24"/>
          <w:lang w:val="bg-BG" w:eastAsia="zh-CN" w:bidi="hi-IN"/>
        </w:rPr>
      </w:pPr>
      <w:r w:rsidRPr="00AC64E1">
        <w:rPr>
          <w:rFonts w:ascii="Times New Roman" w:eastAsia="Source Han Sans CN Regular" w:hAnsi="Times New Roman" w:cs="Times New Roman"/>
          <w:iCs/>
          <w:color w:val="000000" w:themeColor="text1"/>
          <w:sz w:val="24"/>
          <w:szCs w:val="24"/>
          <w:lang w:val="bg-BG" w:eastAsia="zh-CN" w:bidi="hi-IN"/>
        </w:rPr>
        <w:t>Евентуалното създаване</w:t>
      </w:r>
      <w:r w:rsidR="00116E1E" w:rsidRPr="00AC64E1">
        <w:rPr>
          <w:rFonts w:ascii="Times New Roman" w:eastAsia="Source Han Sans CN Regular" w:hAnsi="Times New Roman" w:cs="Times New Roman"/>
          <w:iCs/>
          <w:color w:val="000000" w:themeColor="text1"/>
          <w:sz w:val="24"/>
          <w:szCs w:val="24"/>
          <w:lang w:val="bg-BG" w:eastAsia="zh-CN" w:bidi="hi-IN"/>
        </w:rPr>
        <w:t xml:space="preserve"> на ‘мрежа’ от свързани морски защитени територии и зони, намиращи се на подходящо разстояние едни от други, между които да има обмен на пропагули на растения, ларви и мигриращи индивиди безгръбначни и риби, е в основата на създаване на добре функциониращо ‘опазване’ на морското биоразнообразие и ресурси. Проучвания на мрежите от защитени територии в Черно море  са идентифицирали нуждата от създаване на такива свързани зони по южното ни Черноморско крайбрежие и преките ползи за опазване на биоразнообразието и екосистемните услуги предоставени от морските екосистеми</w:t>
      </w:r>
      <w:r w:rsidR="00035509" w:rsidRPr="00AC64E1">
        <w:rPr>
          <w:rFonts w:ascii="Times New Roman" w:eastAsia="Source Han Sans CN Regular" w:hAnsi="Times New Roman" w:cs="Times New Roman"/>
          <w:iCs/>
          <w:color w:val="000000" w:themeColor="text1"/>
          <w:sz w:val="24"/>
          <w:szCs w:val="24"/>
          <w:lang w:val="bg-BG" w:eastAsia="zh-CN" w:bidi="hi-IN"/>
        </w:rPr>
        <w:t>.</w:t>
      </w:r>
      <w:r w:rsidR="00116E1E" w:rsidRPr="00AC64E1">
        <w:rPr>
          <w:rFonts w:ascii="Times New Roman" w:eastAsia="Source Han Sans CN Regular" w:hAnsi="Times New Roman" w:cs="Times New Roman"/>
          <w:iCs/>
          <w:color w:val="000000" w:themeColor="text1"/>
          <w:sz w:val="24"/>
          <w:szCs w:val="24"/>
          <w:lang w:val="bg-BG" w:eastAsia="zh-CN" w:bidi="hi-IN"/>
        </w:rPr>
        <w:t xml:space="preserve"> По този начин ще се избегне поддържането на добре запазени, но изолирани от останалите подходящи за развитие на същите видове и съобщества по черноморското ни крайбрежие. От друга страна, разширението на зоните към дълбоководна част ще осигури адекватна среда за първоначално развитие и миграция на видовe.</w:t>
      </w:r>
    </w:p>
    <w:p w14:paraId="1859881F" w14:textId="77777777" w:rsidR="00116E1E" w:rsidRPr="00AC64E1" w:rsidRDefault="00116E1E" w:rsidP="00116E1E">
      <w:pPr>
        <w:rPr>
          <w:lang w:val="bg-BG"/>
        </w:rPr>
      </w:pPr>
      <w:r w:rsidRPr="00AC64E1">
        <w:rPr>
          <w:lang w:val="bg-BG"/>
        </w:rPr>
        <w:t xml:space="preserve"> </w:t>
      </w:r>
    </w:p>
    <w:p w14:paraId="0CA5B1EB" w14:textId="77777777" w:rsidR="00116E1E" w:rsidRPr="00610B1B" w:rsidRDefault="00116E1E" w:rsidP="00A50A50">
      <w:pPr>
        <w:pStyle w:val="BodyText"/>
        <w:spacing w:before="0" w:after="120" w:line="276" w:lineRule="auto"/>
        <w:rPr>
          <w:rFonts w:cs="Times New Roman"/>
          <w:iCs/>
          <w:color w:val="000000" w:themeColor="text1"/>
        </w:rPr>
      </w:pPr>
    </w:p>
    <w:p w14:paraId="2ADAAD7F" w14:textId="5C893035" w:rsidR="00457CAE" w:rsidRPr="00610B1B" w:rsidRDefault="00457CAE" w:rsidP="00A50A50">
      <w:pPr>
        <w:pStyle w:val="BodyText"/>
        <w:spacing w:before="0" w:after="120" w:line="276" w:lineRule="auto"/>
        <w:rPr>
          <w:rFonts w:cs="Times New Roman"/>
          <w:iCs/>
          <w:color w:val="000000" w:themeColor="text1"/>
        </w:rPr>
      </w:pPr>
      <w:r w:rsidRPr="00610B1B">
        <w:rPr>
          <w:rFonts w:cs="Times New Roman"/>
          <w:b/>
          <w:iCs/>
          <w:color w:val="000000" w:themeColor="text1"/>
        </w:rPr>
        <w:t xml:space="preserve">Зк </w:t>
      </w:r>
      <w:r w:rsidRPr="00610B1B">
        <w:rPr>
          <w:rFonts w:cs="Times New Roman"/>
          <w:iCs/>
          <w:color w:val="000000" w:themeColor="text1"/>
        </w:rPr>
        <w:t>– Райони забранени за корабоплаване</w:t>
      </w:r>
    </w:p>
    <w:p w14:paraId="160B55EC" w14:textId="06A88BAE" w:rsidR="00457CAE" w:rsidRPr="00610B1B" w:rsidRDefault="00E80E6D"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Районите забранени за корабоплаване са два вида – с постоянна забрана и с временна забрана. Първите са онези райони, в които налаганите ограничения са в постоянни граници, докато вторите се определят за всеки конкретен случай и съответните забрани се оповестяват в Известията за мореплавателите. </w:t>
      </w:r>
      <w:r w:rsidR="00B633FB" w:rsidRPr="00610B1B">
        <w:rPr>
          <w:rFonts w:cs="Times New Roman"/>
          <w:iCs/>
          <w:color w:val="000000" w:themeColor="text1"/>
        </w:rPr>
        <w:t xml:space="preserve">Този ограничителен режим се налага поради необходимостта от намаляване на риска за здравето и живота на хората при провеждане на обучения и учения. </w:t>
      </w:r>
    </w:p>
    <w:p w14:paraId="5667EDA8" w14:textId="26709B7A" w:rsidR="00457CAE" w:rsidRPr="00610B1B" w:rsidRDefault="00457CAE" w:rsidP="00A50A50">
      <w:pPr>
        <w:pStyle w:val="BodyText"/>
        <w:spacing w:before="0" w:after="120" w:line="276" w:lineRule="auto"/>
        <w:rPr>
          <w:rFonts w:cs="Times New Roman"/>
          <w:iCs/>
          <w:color w:val="000000" w:themeColor="text1"/>
        </w:rPr>
      </w:pPr>
      <w:r w:rsidRPr="00610B1B">
        <w:rPr>
          <w:rFonts w:cs="Times New Roman"/>
          <w:b/>
          <w:iCs/>
          <w:color w:val="000000" w:themeColor="text1"/>
        </w:rPr>
        <w:t>Зз</w:t>
      </w:r>
      <w:r w:rsidR="00887EDB" w:rsidRPr="00610B1B">
        <w:rPr>
          <w:rFonts w:cs="Times New Roman"/>
          <w:iCs/>
          <w:color w:val="000000" w:themeColor="text1"/>
        </w:rPr>
        <w:t xml:space="preserve"> – Ра</w:t>
      </w:r>
      <w:r w:rsidRPr="00610B1B">
        <w:rPr>
          <w:rFonts w:cs="Times New Roman"/>
          <w:iCs/>
          <w:color w:val="000000" w:themeColor="text1"/>
        </w:rPr>
        <w:t>йони забранени за заставане на котва, риболов с придънни средства, за подводни и драгажни работи, за тралене и взривове</w:t>
      </w:r>
    </w:p>
    <w:p w14:paraId="592DCADA" w14:textId="1460F77C" w:rsidR="00457CAE" w:rsidRPr="00610B1B" w:rsidRDefault="00B848A8"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Тези райони са </w:t>
      </w:r>
      <w:r w:rsidR="00887EDB" w:rsidRPr="00610B1B">
        <w:rPr>
          <w:rFonts w:cs="Times New Roman"/>
          <w:iCs/>
          <w:color w:val="000000" w:themeColor="text1"/>
        </w:rPr>
        <w:t>разположени във вътрешните води или териториалното море на Република България. В тях е забранено заставането на котва, риболов с придънни средства, подводни и драгажни работи, придънно тралене и подводни взривове, поради някоя от следните причини:</w:t>
      </w:r>
      <w:r w:rsidRPr="00610B1B">
        <w:rPr>
          <w:rFonts w:cs="Times New Roman"/>
          <w:iCs/>
          <w:color w:val="000000" w:themeColor="text1"/>
        </w:rPr>
        <w:t xml:space="preserve"> i) </w:t>
      </w:r>
      <w:r w:rsidR="00887EDB" w:rsidRPr="00610B1B">
        <w:rPr>
          <w:rFonts w:cs="Times New Roman"/>
          <w:iCs/>
          <w:color w:val="000000" w:themeColor="text1"/>
        </w:rPr>
        <w:t>наличие на инфраструктура, съоръжения и оборудване, които могат да бъдат увредени;</w:t>
      </w:r>
      <w:r w:rsidRPr="00610B1B">
        <w:rPr>
          <w:rFonts w:cs="Times New Roman"/>
          <w:iCs/>
          <w:color w:val="000000" w:themeColor="text1"/>
        </w:rPr>
        <w:t xml:space="preserve"> ii) </w:t>
      </w:r>
      <w:r w:rsidR="00887EDB" w:rsidRPr="00610B1B">
        <w:rPr>
          <w:rFonts w:cs="Times New Roman"/>
          <w:iCs/>
          <w:color w:val="000000" w:themeColor="text1"/>
        </w:rPr>
        <w:t>наличие на потънали военни кораби;</w:t>
      </w:r>
      <w:r w:rsidRPr="00610B1B">
        <w:rPr>
          <w:rFonts w:cs="Times New Roman"/>
          <w:iCs/>
          <w:color w:val="000000" w:themeColor="text1"/>
        </w:rPr>
        <w:t xml:space="preserve"> iii) </w:t>
      </w:r>
      <w:r w:rsidR="00887EDB" w:rsidRPr="00610B1B">
        <w:rPr>
          <w:rFonts w:cs="Times New Roman"/>
          <w:iCs/>
          <w:color w:val="000000" w:themeColor="text1"/>
        </w:rPr>
        <w:t>наличие на исторически и археологически обекти;</w:t>
      </w:r>
      <w:r w:rsidRPr="00610B1B">
        <w:rPr>
          <w:rFonts w:cs="Times New Roman"/>
          <w:iCs/>
          <w:color w:val="000000" w:themeColor="text1"/>
        </w:rPr>
        <w:t xml:space="preserve"> iv) </w:t>
      </w:r>
      <w:r w:rsidR="00887EDB" w:rsidRPr="00610B1B">
        <w:rPr>
          <w:rFonts w:cs="Times New Roman"/>
          <w:iCs/>
          <w:color w:val="000000" w:themeColor="text1"/>
        </w:rPr>
        <w:t>необходимост от защита на природното богатство</w:t>
      </w:r>
      <w:r w:rsidRPr="00610B1B">
        <w:rPr>
          <w:rFonts w:cs="Times New Roman"/>
          <w:iCs/>
          <w:color w:val="000000" w:themeColor="text1"/>
        </w:rPr>
        <w:t xml:space="preserve"> от посочените дейности</w:t>
      </w:r>
      <w:r w:rsidR="00887EDB" w:rsidRPr="00610B1B">
        <w:rPr>
          <w:rFonts w:cs="Times New Roman"/>
          <w:iCs/>
          <w:color w:val="000000" w:themeColor="text1"/>
        </w:rPr>
        <w:t>;</w:t>
      </w:r>
      <w:r w:rsidRPr="00610B1B">
        <w:rPr>
          <w:rFonts w:cs="Times New Roman"/>
          <w:iCs/>
          <w:color w:val="000000" w:themeColor="text1"/>
        </w:rPr>
        <w:t xml:space="preserve"> v) </w:t>
      </w:r>
      <w:r w:rsidR="00887EDB" w:rsidRPr="00610B1B">
        <w:rPr>
          <w:rFonts w:cs="Times New Roman"/>
          <w:iCs/>
          <w:color w:val="000000" w:themeColor="text1"/>
        </w:rPr>
        <w:t>наличие на рискови фактори (например стари минни заграждения или изхвърлени в морето боеприпаси), които представляват заплаха за провеждащите изброените по-горе дейности и водят до неприемливо ниво на риска.</w:t>
      </w:r>
    </w:p>
    <w:p w14:paraId="3AE2B886" w14:textId="0EB67C96" w:rsidR="00792FA7" w:rsidRPr="00610B1B" w:rsidRDefault="00792FA7" w:rsidP="00A50A50">
      <w:pPr>
        <w:pStyle w:val="BodyText"/>
        <w:spacing w:before="0" w:after="120" w:line="276" w:lineRule="auto"/>
        <w:rPr>
          <w:rFonts w:cs="Times New Roman"/>
          <w:iCs/>
          <w:color w:val="000000" w:themeColor="text1"/>
        </w:rPr>
      </w:pPr>
      <w:r w:rsidRPr="00610B1B">
        <w:rPr>
          <w:rFonts w:cs="Times New Roman"/>
          <w:b/>
          <w:iCs/>
          <w:color w:val="000000" w:themeColor="text1"/>
        </w:rPr>
        <w:lastRenderedPageBreak/>
        <w:t>ВУ</w:t>
      </w:r>
      <w:r w:rsidRPr="00610B1B">
        <w:rPr>
          <w:rFonts w:cs="Times New Roman"/>
          <w:iCs/>
          <w:color w:val="000000" w:themeColor="text1"/>
        </w:rPr>
        <w:t xml:space="preserve"> – Постоянни действащи полигони за </w:t>
      </w:r>
      <w:r w:rsidR="006543DF" w:rsidRPr="00610B1B">
        <w:rPr>
          <w:rFonts w:cs="Times New Roman"/>
          <w:iCs/>
          <w:color w:val="000000" w:themeColor="text1"/>
        </w:rPr>
        <w:t xml:space="preserve">военни учения и </w:t>
      </w:r>
      <w:r w:rsidRPr="00610B1B">
        <w:rPr>
          <w:rFonts w:cs="Times New Roman"/>
          <w:iCs/>
          <w:color w:val="000000" w:themeColor="text1"/>
        </w:rPr>
        <w:t>подготовка на водолази</w:t>
      </w:r>
    </w:p>
    <w:p w14:paraId="26CDC459" w14:textId="0BDC448B" w:rsidR="00792FA7" w:rsidRPr="00610B1B" w:rsidRDefault="00792FA7"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В МППРБ като постоянни са определени само границите на полигоните за подготовка на водолази от Военноморските сили, а границите на другите райони за такива дейности се определят за времето на използването им, като се ограничава режима на корабоплаване в тях по реда на Наредба № Н-7 от 12 юни 2008 г. за извършване на водолазна и друга подводна дейност. Съгласно тази наредба водолазните работи са: i) аварийно-спасителни; ii) корабни водолазни работи за оглед, експертиза, почистване и отстраняване на повреди по подводната част на корпуса на кораб или в наводнени корабни отсеци; iii) подводно-технически водолазни работи; iv) съдоподемни работи; v) специални работи за търсене, изваждане или унищожаване на боеприпаси; vi) за обезпечаване на научни изследвания и изпитвания; </w:t>
      </w:r>
      <w:r w:rsidR="00B633FB" w:rsidRPr="00610B1B">
        <w:rPr>
          <w:rFonts w:cs="Times New Roman"/>
          <w:iCs/>
          <w:color w:val="000000" w:themeColor="text1"/>
        </w:rPr>
        <w:t>и</w:t>
      </w:r>
      <w:r w:rsidRPr="00610B1B">
        <w:rPr>
          <w:rFonts w:cs="Times New Roman"/>
          <w:iCs/>
          <w:color w:val="000000" w:themeColor="text1"/>
        </w:rPr>
        <w:t xml:space="preserve"> vii) за улов и култивиране на риба и морски организми.</w:t>
      </w:r>
    </w:p>
    <w:p w14:paraId="3EF251BD" w14:textId="3BF8F9D1" w:rsidR="00792FA7" w:rsidRPr="00610B1B" w:rsidRDefault="00792FA7" w:rsidP="00A50A50">
      <w:pPr>
        <w:pStyle w:val="BodyText"/>
        <w:spacing w:before="0" w:after="120" w:line="276" w:lineRule="auto"/>
        <w:rPr>
          <w:rFonts w:cs="Times New Roman"/>
          <w:iCs/>
          <w:color w:val="000000" w:themeColor="text1"/>
        </w:rPr>
      </w:pPr>
      <w:r w:rsidRPr="00610B1B">
        <w:rPr>
          <w:rFonts w:cs="Times New Roman"/>
          <w:iCs/>
          <w:color w:val="000000" w:themeColor="text1"/>
        </w:rPr>
        <w:t>Същата наредба определя, че спорт, туризъм и развлечение, при които се използва водолазна екипировка и оборудване са водолазна дейност, а не работа. На основание чл. 3 (1), т. 2а на Наредбата водолазна или друга подводна дейност се забраняват в районите, обхванати от системата за движение.</w:t>
      </w:r>
      <w:r w:rsidR="00B633FB" w:rsidRPr="00610B1B">
        <w:rPr>
          <w:rFonts w:cs="Times New Roman"/>
          <w:iCs/>
          <w:color w:val="000000" w:themeColor="text1"/>
        </w:rPr>
        <w:t xml:space="preserve"> Изключения се допускат в случаите, когато се налага оглед на подводната част на плавателните съдове или извършване на ремонт. </w:t>
      </w:r>
    </w:p>
    <w:p w14:paraId="71369D78" w14:textId="77777777" w:rsidR="00792FA7" w:rsidRPr="00610B1B" w:rsidRDefault="00792FA7" w:rsidP="00A50A50">
      <w:pPr>
        <w:pStyle w:val="BodyText"/>
        <w:spacing w:before="0" w:after="120" w:line="276" w:lineRule="auto"/>
        <w:rPr>
          <w:rFonts w:cs="Times New Roman"/>
          <w:iCs/>
          <w:color w:val="000000" w:themeColor="text1"/>
        </w:rPr>
      </w:pPr>
      <w:r w:rsidRPr="00610B1B">
        <w:rPr>
          <w:rFonts w:cs="Times New Roman"/>
          <w:iCs/>
          <w:color w:val="000000" w:themeColor="text1"/>
        </w:rPr>
        <w:t>Другите райони за водолазна и подводна работа или дейност се обявяват в „Известие до мореплавателите“ от Хидрографска служба на Военноморските сили по ред, определен в Наредба № Н-7 от 12 юни 2008 г. за извършване на водолазна и друга подводна дейност. Тези райони не са с постоянни граници.</w:t>
      </w:r>
    </w:p>
    <w:p w14:paraId="3488CA84" w14:textId="79C5B843" w:rsidR="00457CAE" w:rsidRPr="00610B1B" w:rsidRDefault="00457CAE" w:rsidP="00A50A50">
      <w:pPr>
        <w:pStyle w:val="BodyText"/>
        <w:spacing w:before="0" w:after="120" w:line="276" w:lineRule="auto"/>
        <w:rPr>
          <w:rFonts w:cs="Times New Roman"/>
          <w:iCs/>
          <w:color w:val="000000" w:themeColor="text1"/>
        </w:rPr>
      </w:pPr>
      <w:r w:rsidRPr="00610B1B">
        <w:rPr>
          <w:rFonts w:cs="Times New Roman"/>
          <w:b/>
          <w:iCs/>
          <w:color w:val="000000" w:themeColor="text1"/>
        </w:rPr>
        <w:t>Звз</w:t>
      </w:r>
      <w:r w:rsidRPr="00610B1B">
        <w:rPr>
          <w:rFonts w:cs="Times New Roman"/>
          <w:iCs/>
          <w:color w:val="000000" w:themeColor="text1"/>
        </w:rPr>
        <w:t xml:space="preserve"> - </w:t>
      </w:r>
      <w:r w:rsidR="00207E29" w:rsidRPr="00610B1B">
        <w:rPr>
          <w:rFonts w:cs="Times New Roman"/>
          <w:iCs/>
          <w:color w:val="000000" w:themeColor="text1"/>
        </w:rPr>
        <w:t>В</w:t>
      </w:r>
      <w:r w:rsidRPr="00610B1B">
        <w:rPr>
          <w:rFonts w:cs="Times New Roman"/>
          <w:iCs/>
          <w:color w:val="000000" w:themeColor="text1"/>
        </w:rPr>
        <w:t>ременно забранени за корабоплаване</w:t>
      </w:r>
      <w:r w:rsidR="00207E29" w:rsidRPr="00610B1B">
        <w:rPr>
          <w:rFonts w:cs="Times New Roman"/>
          <w:iCs/>
          <w:color w:val="000000" w:themeColor="text1"/>
        </w:rPr>
        <w:t xml:space="preserve"> райони</w:t>
      </w:r>
    </w:p>
    <w:p w14:paraId="63E291A9" w14:textId="5FAEFEBE" w:rsidR="0006067C" w:rsidRPr="00610B1B" w:rsidRDefault="00207E29" w:rsidP="00A50A50">
      <w:pPr>
        <w:pStyle w:val="BodyText"/>
        <w:spacing w:before="0" w:after="120" w:line="276" w:lineRule="auto"/>
        <w:rPr>
          <w:rFonts w:cs="Times New Roman"/>
          <w:bCs/>
          <w:iCs/>
          <w:color w:val="000000" w:themeColor="text1"/>
        </w:rPr>
      </w:pPr>
      <w:r w:rsidRPr="00610B1B">
        <w:rPr>
          <w:rFonts w:cs="Times New Roman"/>
          <w:bCs/>
          <w:iCs/>
          <w:color w:val="000000" w:themeColor="text1"/>
        </w:rPr>
        <w:t xml:space="preserve">Тези </w:t>
      </w:r>
      <w:r w:rsidR="00E14FE4" w:rsidRPr="00610B1B">
        <w:rPr>
          <w:rFonts w:cs="Times New Roman"/>
          <w:bCs/>
          <w:iCs/>
          <w:color w:val="000000" w:themeColor="text1"/>
        </w:rPr>
        <w:t>военни полигони</w:t>
      </w:r>
      <w:r w:rsidRPr="00610B1B">
        <w:rPr>
          <w:rFonts w:cs="Times New Roman"/>
          <w:bCs/>
          <w:iCs/>
          <w:color w:val="000000" w:themeColor="text1"/>
        </w:rPr>
        <w:t xml:space="preserve"> </w:t>
      </w:r>
      <w:r w:rsidR="00956133" w:rsidRPr="00610B1B">
        <w:rPr>
          <w:rFonts w:cs="Times New Roman"/>
          <w:bCs/>
          <w:iCs/>
          <w:color w:val="000000" w:themeColor="text1"/>
        </w:rPr>
        <w:t xml:space="preserve">традиционно </w:t>
      </w:r>
      <w:r w:rsidR="00E14FE4" w:rsidRPr="00610B1B">
        <w:rPr>
          <w:rFonts w:cs="Times New Roman"/>
          <w:bCs/>
          <w:iCs/>
          <w:color w:val="000000" w:themeColor="text1"/>
        </w:rPr>
        <w:t xml:space="preserve">се </w:t>
      </w:r>
      <w:r w:rsidR="00956133" w:rsidRPr="00610B1B">
        <w:rPr>
          <w:rFonts w:cs="Times New Roman"/>
          <w:bCs/>
          <w:iCs/>
          <w:color w:val="000000" w:themeColor="text1"/>
        </w:rPr>
        <w:t>използва</w:t>
      </w:r>
      <w:r w:rsidR="00E14FE4" w:rsidRPr="00610B1B">
        <w:rPr>
          <w:rFonts w:cs="Times New Roman"/>
          <w:bCs/>
          <w:iCs/>
          <w:color w:val="000000" w:themeColor="text1"/>
        </w:rPr>
        <w:t>т за</w:t>
      </w:r>
      <w:r w:rsidR="00956133" w:rsidRPr="00610B1B">
        <w:rPr>
          <w:rFonts w:cs="Times New Roman"/>
          <w:bCs/>
          <w:iCs/>
          <w:color w:val="000000" w:themeColor="text1"/>
        </w:rPr>
        <w:t xml:space="preserve"> провеждане на мащабни учения на въоръжени форми</w:t>
      </w:r>
      <w:r w:rsidR="00CE1E29" w:rsidRPr="00610B1B">
        <w:rPr>
          <w:rFonts w:cs="Times New Roman"/>
          <w:bCs/>
          <w:iCs/>
          <w:color w:val="000000" w:themeColor="text1"/>
        </w:rPr>
        <w:t>рования, с международно участие</w:t>
      </w:r>
      <w:r w:rsidR="00F55BCD" w:rsidRPr="00610B1B">
        <w:rPr>
          <w:rFonts w:cs="Times New Roman"/>
          <w:bCs/>
          <w:iCs/>
          <w:color w:val="000000" w:themeColor="text1"/>
        </w:rPr>
        <w:t xml:space="preserve"> и за подготовка на ВМС</w:t>
      </w:r>
      <w:r w:rsidR="00CE1E29" w:rsidRPr="00610B1B">
        <w:rPr>
          <w:rFonts w:cs="Times New Roman"/>
          <w:bCs/>
          <w:iCs/>
          <w:color w:val="000000" w:themeColor="text1"/>
        </w:rPr>
        <w:t xml:space="preserve">. </w:t>
      </w:r>
      <w:r w:rsidR="00F55BCD" w:rsidRPr="00610B1B">
        <w:rPr>
          <w:rFonts w:cs="Times New Roman"/>
          <w:bCs/>
          <w:iCs/>
          <w:color w:val="000000" w:themeColor="text1"/>
        </w:rPr>
        <w:t xml:space="preserve">Когато са в териториалното море и вътрешните води </w:t>
      </w:r>
      <w:r w:rsidR="0006067C" w:rsidRPr="00610B1B">
        <w:rPr>
          <w:rFonts w:cs="Times New Roman"/>
          <w:bCs/>
          <w:iCs/>
          <w:color w:val="000000" w:themeColor="text1"/>
        </w:rPr>
        <w:t xml:space="preserve">на Република България </w:t>
      </w:r>
      <w:r w:rsidR="00F55BCD" w:rsidRPr="00610B1B">
        <w:rPr>
          <w:rFonts w:cs="Times New Roman"/>
          <w:bCs/>
          <w:iCs/>
          <w:color w:val="000000" w:themeColor="text1"/>
        </w:rPr>
        <w:t xml:space="preserve">в </w:t>
      </w:r>
      <w:r w:rsidR="00CE1E29" w:rsidRPr="00610B1B">
        <w:rPr>
          <w:rFonts w:cs="Times New Roman"/>
          <w:bCs/>
          <w:iCs/>
          <w:color w:val="000000" w:themeColor="text1"/>
        </w:rPr>
        <w:t>тях</w:t>
      </w:r>
      <w:r w:rsidRPr="00610B1B">
        <w:rPr>
          <w:rFonts w:cs="Times New Roman"/>
          <w:bCs/>
          <w:iCs/>
          <w:color w:val="000000" w:themeColor="text1"/>
        </w:rPr>
        <w:t xml:space="preserve"> временно се забраняват дейности, които застраша</w:t>
      </w:r>
      <w:r w:rsidR="00C92E2E" w:rsidRPr="00610B1B">
        <w:rPr>
          <w:rFonts w:cs="Times New Roman"/>
          <w:bCs/>
          <w:iCs/>
          <w:color w:val="000000" w:themeColor="text1"/>
        </w:rPr>
        <w:t>ва</w:t>
      </w:r>
      <w:r w:rsidRPr="00610B1B">
        <w:rPr>
          <w:rFonts w:cs="Times New Roman"/>
          <w:bCs/>
          <w:iCs/>
          <w:color w:val="000000" w:themeColor="text1"/>
        </w:rPr>
        <w:t>т човешки</w:t>
      </w:r>
      <w:r w:rsidR="00C92E2E" w:rsidRPr="00610B1B">
        <w:rPr>
          <w:rFonts w:cs="Times New Roman"/>
          <w:bCs/>
          <w:iCs/>
          <w:color w:val="000000" w:themeColor="text1"/>
        </w:rPr>
        <w:t>я</w:t>
      </w:r>
      <w:r w:rsidRPr="00610B1B">
        <w:rPr>
          <w:rFonts w:cs="Times New Roman"/>
          <w:bCs/>
          <w:iCs/>
          <w:color w:val="000000" w:themeColor="text1"/>
        </w:rPr>
        <w:t xml:space="preserve"> живот.</w:t>
      </w:r>
      <w:r w:rsidR="00D66FE0" w:rsidRPr="00610B1B">
        <w:rPr>
          <w:rFonts w:cs="Times New Roman"/>
          <w:bCs/>
          <w:iCs/>
          <w:color w:val="000000" w:themeColor="text1"/>
        </w:rPr>
        <w:t xml:space="preserve"> </w:t>
      </w:r>
    </w:p>
    <w:p w14:paraId="4A4CBB12" w14:textId="0C38D29C" w:rsidR="00457CAE" w:rsidRPr="00610B1B" w:rsidRDefault="00457CAE" w:rsidP="00A50A50">
      <w:pPr>
        <w:pStyle w:val="BodyText"/>
        <w:spacing w:before="0" w:after="120" w:line="276" w:lineRule="auto"/>
        <w:rPr>
          <w:rFonts w:cs="Times New Roman"/>
          <w:iCs/>
          <w:color w:val="000000" w:themeColor="text1"/>
        </w:rPr>
      </w:pPr>
      <w:r w:rsidRPr="00610B1B">
        <w:rPr>
          <w:rFonts w:cs="Times New Roman"/>
          <w:b/>
          <w:iCs/>
          <w:color w:val="000000" w:themeColor="text1"/>
        </w:rPr>
        <w:t>Зво</w:t>
      </w:r>
      <w:r w:rsidRPr="00610B1B">
        <w:rPr>
          <w:rFonts w:cs="Times New Roman"/>
          <w:iCs/>
          <w:color w:val="000000" w:themeColor="text1"/>
        </w:rPr>
        <w:t xml:space="preserve"> –</w:t>
      </w:r>
      <w:r w:rsidR="00207E29" w:rsidRPr="00610B1B">
        <w:rPr>
          <w:rFonts w:cs="Times New Roman"/>
          <w:iCs/>
          <w:color w:val="000000" w:themeColor="text1"/>
        </w:rPr>
        <w:t xml:space="preserve"> В</w:t>
      </w:r>
      <w:r w:rsidRPr="00610B1B">
        <w:rPr>
          <w:rFonts w:cs="Times New Roman"/>
          <w:iCs/>
          <w:color w:val="000000" w:themeColor="text1"/>
        </w:rPr>
        <w:t>ременно опасни за корабоплаване</w:t>
      </w:r>
      <w:r w:rsidR="00207E29" w:rsidRPr="00610B1B">
        <w:rPr>
          <w:rFonts w:cs="Times New Roman"/>
          <w:iCs/>
          <w:color w:val="000000" w:themeColor="text1"/>
        </w:rPr>
        <w:t xml:space="preserve"> райони</w:t>
      </w:r>
    </w:p>
    <w:p w14:paraId="7AF45FB8" w14:textId="62E57EF4" w:rsidR="00CE1E29" w:rsidRPr="00610B1B" w:rsidRDefault="00CE1E29" w:rsidP="00A50A50">
      <w:pPr>
        <w:pStyle w:val="BodyText"/>
        <w:spacing w:before="0" w:after="120" w:line="276" w:lineRule="auto"/>
        <w:rPr>
          <w:rFonts w:cs="Times New Roman"/>
          <w:iCs/>
          <w:color w:val="000000" w:themeColor="text1"/>
        </w:rPr>
      </w:pPr>
      <w:r w:rsidRPr="00610B1B">
        <w:rPr>
          <w:rFonts w:cs="Times New Roman"/>
          <w:iCs/>
          <w:color w:val="000000" w:themeColor="text1"/>
        </w:rPr>
        <w:t>Районите, които са временно опасни за корабоплаване</w:t>
      </w:r>
      <w:r w:rsidR="0006067C" w:rsidRPr="00610B1B">
        <w:rPr>
          <w:rFonts w:cs="Times New Roman"/>
          <w:iCs/>
          <w:color w:val="000000" w:themeColor="text1"/>
        </w:rPr>
        <w:t xml:space="preserve"> са извън териториалното море, разположени източно от н. Шабла, източно от Черни нос и западно от нос Атия. </w:t>
      </w:r>
    </w:p>
    <w:p w14:paraId="18FC9A3B" w14:textId="77777777" w:rsidR="00A50A50" w:rsidRPr="00610B1B" w:rsidRDefault="001430C2" w:rsidP="00A50A50">
      <w:pPr>
        <w:pStyle w:val="BodyText"/>
        <w:spacing w:before="0" w:after="120" w:line="276" w:lineRule="auto"/>
        <w:rPr>
          <w:rFonts w:cs="Times New Roman"/>
          <w:iCs/>
          <w:color w:val="000000" w:themeColor="text1"/>
        </w:rPr>
      </w:pPr>
      <w:r w:rsidRPr="00610B1B">
        <w:rPr>
          <w:rFonts w:cs="Times New Roman"/>
          <w:iCs/>
          <w:color w:val="000000" w:themeColor="text1"/>
        </w:rPr>
        <w:t>Съчетаването на посочените по-горе дейности и ползвания на морските пространства се осъществява при спазване на международни</w:t>
      </w:r>
      <w:r w:rsidR="0018632B" w:rsidRPr="00610B1B">
        <w:rPr>
          <w:rFonts w:cs="Times New Roman"/>
          <w:iCs/>
          <w:color w:val="000000" w:themeColor="text1"/>
        </w:rPr>
        <w:t>те</w:t>
      </w:r>
      <w:r w:rsidRPr="00610B1B">
        <w:rPr>
          <w:rFonts w:cs="Times New Roman"/>
          <w:iCs/>
          <w:color w:val="000000" w:themeColor="text1"/>
        </w:rPr>
        <w:t xml:space="preserve"> конвенции и морско</w:t>
      </w:r>
      <w:r w:rsidR="0018632B" w:rsidRPr="00610B1B">
        <w:rPr>
          <w:rFonts w:cs="Times New Roman"/>
          <w:iCs/>
          <w:color w:val="000000" w:themeColor="text1"/>
        </w:rPr>
        <w:t>то</w:t>
      </w:r>
      <w:r w:rsidRPr="00610B1B">
        <w:rPr>
          <w:rFonts w:cs="Times New Roman"/>
          <w:iCs/>
          <w:color w:val="000000" w:themeColor="text1"/>
        </w:rPr>
        <w:t xml:space="preserve"> право, на действащата в страната нормативна уредба и прилагане на принципите на функционалното зониране</w:t>
      </w:r>
      <w:r w:rsidR="00CE1E29" w:rsidRPr="00610B1B">
        <w:rPr>
          <w:rFonts w:cs="Times New Roman"/>
          <w:iCs/>
          <w:color w:val="000000" w:themeColor="text1"/>
        </w:rPr>
        <w:t xml:space="preserve"> за безконфликтното им интегриране в морските пространства. </w:t>
      </w:r>
    </w:p>
    <w:p w14:paraId="16DD08DF" w14:textId="64BAFFF9" w:rsidR="001430C2" w:rsidRPr="00610B1B" w:rsidRDefault="00CE1E29" w:rsidP="00A50A50">
      <w:pPr>
        <w:pStyle w:val="BodyText"/>
        <w:spacing w:before="0" w:after="120" w:line="276" w:lineRule="auto"/>
        <w:rPr>
          <w:rFonts w:cs="Times New Roman"/>
          <w:iCs/>
          <w:color w:val="000000" w:themeColor="text1"/>
        </w:rPr>
      </w:pPr>
      <w:r w:rsidRPr="00610B1B">
        <w:rPr>
          <w:rFonts w:cs="Times New Roman"/>
          <w:iCs/>
          <w:color w:val="000000" w:themeColor="text1"/>
        </w:rPr>
        <w:t xml:space="preserve">За по-прецизното функционално зониране се препоръчват две зони за по-детайлна разработка, които да обхващат морските пространства с най-голяма концентрация на дейности, генериращи най-много потенциали конфликти и въздействия – около Варненски и Бургаски залив. В същото време, тъй като страната няма изготвена концепция или схема за Интегрирано управление на крайбрежни зони, се предлага съвместяването на функциите по дължина на бреговата линия да се осъществява на база </w:t>
      </w:r>
      <w:r w:rsidRPr="00610B1B">
        <w:rPr>
          <w:rFonts w:cs="Times New Roman"/>
          <w:iCs/>
          <w:color w:val="000000" w:themeColor="text1"/>
        </w:rPr>
        <w:lastRenderedPageBreak/>
        <w:t xml:space="preserve">детайлна схема в зоната от 3 морски мили на прилежащата на брега акватория. </w:t>
      </w:r>
    </w:p>
    <w:p w14:paraId="10D7744A" w14:textId="77777777" w:rsidR="000B7E9C" w:rsidRPr="00610B1B" w:rsidRDefault="000B7E9C" w:rsidP="00D32D6A">
      <w:pPr>
        <w:pStyle w:val="BodyText"/>
        <w:spacing w:before="0" w:after="120" w:line="276" w:lineRule="auto"/>
        <w:rPr>
          <w:rFonts w:cs="Times New Roman"/>
          <w:iCs/>
          <w:color w:val="000000" w:themeColor="text1"/>
        </w:rPr>
      </w:pPr>
    </w:p>
    <w:p w14:paraId="49D307C4" w14:textId="77777777" w:rsidR="000B7E9C" w:rsidRPr="00610B1B" w:rsidRDefault="000B7E9C" w:rsidP="00D32D6A">
      <w:pPr>
        <w:pStyle w:val="BodyText"/>
        <w:spacing w:before="0" w:after="120" w:line="276" w:lineRule="auto"/>
        <w:rPr>
          <w:rFonts w:cs="Times New Roman"/>
          <w:iCs/>
          <w:color w:val="000000" w:themeColor="text1"/>
        </w:rPr>
      </w:pPr>
    </w:p>
    <w:bookmarkEnd w:id="482"/>
    <w:p w14:paraId="78EE6A07" w14:textId="155184C4" w:rsidR="00622D3E" w:rsidRPr="00610B1B" w:rsidRDefault="00622D3E" w:rsidP="00D32D6A">
      <w:pPr>
        <w:spacing w:after="120"/>
        <w:rPr>
          <w:rFonts w:ascii="Times New Roman" w:hAnsi="Times New Roman" w:cs="Times New Roman"/>
          <w:color w:val="000000"/>
          <w:sz w:val="24"/>
          <w:szCs w:val="24"/>
          <w:lang w:val="bg-BG"/>
        </w:rPr>
      </w:pPr>
      <w:r w:rsidRPr="00610B1B">
        <w:rPr>
          <w:rFonts w:ascii="Times New Roman" w:hAnsi="Times New Roman" w:cs="Times New Roman"/>
          <w:lang w:val="bg-BG"/>
        </w:rPr>
        <w:br w:type="page"/>
      </w:r>
    </w:p>
    <w:p w14:paraId="790C5698" w14:textId="6804E6EE" w:rsidR="00C71E82" w:rsidRPr="00610B1B" w:rsidRDefault="00F37D59" w:rsidP="00D32D6A">
      <w:pPr>
        <w:pStyle w:val="Heading1"/>
        <w:spacing w:before="0" w:line="276" w:lineRule="auto"/>
        <w:rPr>
          <w:rFonts w:cs="Times New Roman"/>
        </w:rPr>
      </w:pPr>
      <w:bookmarkStart w:id="491" w:name="_Toc83391438"/>
      <w:bookmarkStart w:id="492" w:name="_Hlk47797136"/>
      <w:bookmarkStart w:id="493" w:name="_Hlk46100162"/>
      <w:bookmarkEnd w:id="490"/>
      <w:r w:rsidRPr="00610B1B">
        <w:rPr>
          <w:rFonts w:cs="Times New Roman"/>
        </w:rPr>
        <w:lastRenderedPageBreak/>
        <w:t xml:space="preserve">7. </w:t>
      </w:r>
      <w:r w:rsidR="00C71E82" w:rsidRPr="00610B1B">
        <w:rPr>
          <w:rFonts w:cs="Times New Roman"/>
        </w:rPr>
        <w:t>ПРИЛАГАНЕ НА ПЛАНА И ОЦЕНКА НА РЕЗУЛТАТИТЕ</w:t>
      </w:r>
      <w:bookmarkEnd w:id="491"/>
      <w:r w:rsidR="005D1FF6" w:rsidRPr="00610B1B">
        <w:rPr>
          <w:rFonts w:cs="Times New Roman"/>
        </w:rPr>
        <w:t xml:space="preserve"> </w:t>
      </w:r>
    </w:p>
    <w:p w14:paraId="69630ABD" w14:textId="4D75B9FD" w:rsidR="0059309D" w:rsidRPr="00610B1B" w:rsidRDefault="00F37D59" w:rsidP="00D32D6A">
      <w:pPr>
        <w:pStyle w:val="Heading2"/>
        <w:keepLines/>
        <w:tabs>
          <w:tab w:val="left" w:pos="3600"/>
        </w:tabs>
        <w:spacing w:before="0" w:line="276" w:lineRule="auto"/>
        <w:ind w:left="578" w:right="-153" w:hanging="578"/>
        <w:rPr>
          <w:rFonts w:cs="Times New Roman"/>
        </w:rPr>
      </w:pPr>
      <w:bookmarkStart w:id="494" w:name="_Toc83391439"/>
      <w:r w:rsidRPr="00610B1B">
        <w:rPr>
          <w:rFonts w:cs="Times New Roman"/>
        </w:rPr>
        <w:t xml:space="preserve">7.1. </w:t>
      </w:r>
      <w:r w:rsidR="0059309D" w:rsidRPr="00610B1B">
        <w:rPr>
          <w:rFonts w:cs="Times New Roman"/>
        </w:rPr>
        <w:t>Отговорности, роля на държавните и регионални</w:t>
      </w:r>
      <w:r w:rsidR="00B0133C" w:rsidRPr="00610B1B">
        <w:rPr>
          <w:rFonts w:cs="Times New Roman"/>
        </w:rPr>
        <w:t xml:space="preserve"> </w:t>
      </w:r>
      <w:r w:rsidR="00B0139B" w:rsidRPr="00610B1B">
        <w:rPr>
          <w:rFonts w:cs="Times New Roman"/>
        </w:rPr>
        <w:t>и</w:t>
      </w:r>
      <w:r w:rsidR="0059309D" w:rsidRPr="00610B1B">
        <w:rPr>
          <w:rFonts w:cs="Times New Roman"/>
        </w:rPr>
        <w:t>нституции, местните власти и общности</w:t>
      </w:r>
      <w:bookmarkEnd w:id="494"/>
    </w:p>
    <w:p w14:paraId="386CFE25" w14:textId="38C7F827" w:rsidR="00C24484" w:rsidRPr="00610B1B" w:rsidRDefault="00714646" w:rsidP="00D32D6A">
      <w:pPr>
        <w:pStyle w:val="BodyText"/>
        <w:spacing w:before="0" w:after="120" w:line="276" w:lineRule="auto"/>
        <w:rPr>
          <w:rFonts w:cs="Times New Roman"/>
        </w:rPr>
      </w:pPr>
      <w:r w:rsidRPr="00610B1B">
        <w:rPr>
          <w:rFonts w:cs="Times New Roman"/>
        </w:rPr>
        <w:t>Основните институции, ангажирани с въ</w:t>
      </w:r>
      <w:r w:rsidR="00210FAA" w:rsidRPr="00610B1B">
        <w:rPr>
          <w:rFonts w:cs="Times New Roman"/>
        </w:rPr>
        <w:t>з</w:t>
      </w:r>
      <w:r w:rsidRPr="00610B1B">
        <w:rPr>
          <w:rFonts w:cs="Times New Roman"/>
        </w:rPr>
        <w:t xml:space="preserve">лагането, разработването, актуализирането, прилагането на плана и оценката на напредъка и въздействията, изграждат институционалната рамка </w:t>
      </w:r>
      <w:r w:rsidR="00A959A4" w:rsidRPr="00610B1B">
        <w:rPr>
          <w:rFonts w:cs="Times New Roman"/>
        </w:rPr>
        <w:t>н</w:t>
      </w:r>
      <w:r w:rsidRPr="00610B1B">
        <w:rPr>
          <w:rFonts w:cs="Times New Roman"/>
        </w:rPr>
        <w:t>а Морския пространствен план на Република България, опи</w:t>
      </w:r>
      <w:r w:rsidR="00EE0185" w:rsidRPr="00610B1B">
        <w:rPr>
          <w:rFonts w:cs="Times New Roman"/>
        </w:rPr>
        <w:t>сана във въвеждащата част 1.1.2,</w:t>
      </w:r>
      <w:r w:rsidRPr="00610B1B">
        <w:rPr>
          <w:rFonts w:cs="Times New Roman"/>
        </w:rPr>
        <w:t xml:space="preserve"> илюстрира сложната институционална рамка и различните връзки и взаимодействия, необходими за успешното постигане на поставените стратегически цели на плана. </w:t>
      </w:r>
    </w:p>
    <w:p w14:paraId="200BA910" w14:textId="20FF85EB" w:rsidR="00415B20" w:rsidRPr="00610B1B" w:rsidRDefault="00714646" w:rsidP="00D32D6A">
      <w:pPr>
        <w:pStyle w:val="BodyText"/>
        <w:spacing w:before="0" w:after="120" w:line="276" w:lineRule="auto"/>
        <w:rPr>
          <w:rFonts w:cs="Times New Roman"/>
        </w:rPr>
      </w:pPr>
      <w:r w:rsidRPr="00610B1B">
        <w:rPr>
          <w:rFonts w:cs="Times New Roman"/>
        </w:rPr>
        <w:t>Законът за морските пространства, вътрешните водни пътища и пристанищата на Република България не регламентира подробно всички отговорности</w:t>
      </w:r>
      <w:r w:rsidR="00B37E06" w:rsidRPr="00610B1B">
        <w:rPr>
          <w:rFonts w:cs="Times New Roman"/>
        </w:rPr>
        <w:t xml:space="preserve"> и на този етап липсва аналогична Наредба по подобие на тази към Морската стратегия</w:t>
      </w:r>
      <w:r w:rsidR="00415B20" w:rsidRPr="00610B1B">
        <w:rPr>
          <w:rStyle w:val="FootnoteReference"/>
          <w:rFonts w:cs="Times New Roman"/>
        </w:rPr>
        <w:footnoteReference w:id="204"/>
      </w:r>
      <w:r w:rsidR="00415B20" w:rsidRPr="00610B1B">
        <w:rPr>
          <w:rFonts w:cs="Times New Roman"/>
        </w:rPr>
        <w:t xml:space="preserve">. Последната има за цел да съгласува различните политики, споразумения и законодателни мерки, чието въздействие е насочено </w:t>
      </w:r>
      <w:r w:rsidR="00A959A4" w:rsidRPr="00610B1B">
        <w:rPr>
          <w:rFonts w:cs="Times New Roman"/>
        </w:rPr>
        <w:t>към</w:t>
      </w:r>
      <w:r w:rsidR="00415B20" w:rsidRPr="00610B1B">
        <w:rPr>
          <w:rFonts w:cs="Times New Roman"/>
        </w:rPr>
        <w:t xml:space="preserve"> морската околна среда и в които се включва опазването на отделните</w:t>
      </w:r>
      <w:r w:rsidR="00DE3A13" w:rsidRPr="00610B1B">
        <w:rPr>
          <w:rFonts w:cs="Times New Roman"/>
        </w:rPr>
        <w:t xml:space="preserve"> ѝ </w:t>
      </w:r>
      <w:r w:rsidR="00415B20" w:rsidRPr="00610B1B">
        <w:rPr>
          <w:rFonts w:cs="Times New Roman"/>
        </w:rPr>
        <w:t xml:space="preserve">компоненти. </w:t>
      </w:r>
    </w:p>
    <w:p w14:paraId="5174A0AD" w14:textId="7E31AE97" w:rsidR="00DA00DC" w:rsidRPr="00610B1B" w:rsidRDefault="00DA00DC" w:rsidP="00D32D6A">
      <w:pPr>
        <w:pStyle w:val="BodyText"/>
        <w:spacing w:before="0" w:after="120" w:line="276" w:lineRule="auto"/>
        <w:rPr>
          <w:rFonts w:cs="Times New Roman"/>
        </w:rPr>
      </w:pPr>
      <w:r w:rsidRPr="00610B1B">
        <w:rPr>
          <w:rFonts w:cs="Times New Roman"/>
        </w:rPr>
        <w:t xml:space="preserve">Компетентните органи по </w:t>
      </w:r>
      <w:r w:rsidR="00B37E06" w:rsidRPr="00610B1B">
        <w:rPr>
          <w:rFonts w:cs="Times New Roman"/>
        </w:rPr>
        <w:t xml:space="preserve">прилагането на </w:t>
      </w:r>
      <w:r w:rsidR="00415B20" w:rsidRPr="00610B1B">
        <w:rPr>
          <w:rFonts w:cs="Times New Roman"/>
        </w:rPr>
        <w:t>Морския пространствен план на Република България</w:t>
      </w:r>
      <w:r w:rsidR="00216DEF" w:rsidRPr="00610B1B">
        <w:rPr>
          <w:rFonts w:cs="Times New Roman"/>
        </w:rPr>
        <w:t>,</w:t>
      </w:r>
      <w:r w:rsidR="00B37E06" w:rsidRPr="00610B1B">
        <w:rPr>
          <w:rFonts w:cs="Times New Roman"/>
        </w:rPr>
        <w:t xml:space="preserve"> наблюдението на изпълнението на предложените мерки за опазване на околната среда в морските води</w:t>
      </w:r>
      <w:r w:rsidR="00415B20" w:rsidRPr="00610B1B">
        <w:rPr>
          <w:rFonts w:cs="Times New Roman"/>
        </w:rPr>
        <w:t xml:space="preserve"> и координирането на секторните политики са </w:t>
      </w:r>
      <w:r w:rsidRPr="00610B1B">
        <w:rPr>
          <w:rFonts w:cs="Times New Roman"/>
        </w:rPr>
        <w:t>Министерският съвет, министърът на регионалното развитие и благоустройството, министърът на околната среда и водите, министърът на транспорта, информационните технологии и съобщенията, министърът на земеделието, храните и горите, министърът на културата, министърът на отбраната, министр</w:t>
      </w:r>
      <w:r w:rsidR="00110503" w:rsidRPr="00610B1B">
        <w:rPr>
          <w:rFonts w:cs="Times New Roman"/>
        </w:rPr>
        <w:t xml:space="preserve">ите </w:t>
      </w:r>
      <w:r w:rsidRPr="00610B1B">
        <w:rPr>
          <w:rFonts w:cs="Times New Roman"/>
        </w:rPr>
        <w:t>на вътрешните и на външните работи, министърът на икономиката, министърът на туризма, министърът на здравеопазването, директор</w:t>
      </w:r>
      <w:r w:rsidR="00A959A4" w:rsidRPr="00610B1B">
        <w:rPr>
          <w:rFonts w:cs="Times New Roman"/>
        </w:rPr>
        <w:t>ите</w:t>
      </w:r>
      <w:r w:rsidRPr="00610B1B">
        <w:rPr>
          <w:rFonts w:cs="Times New Roman"/>
        </w:rPr>
        <w:t xml:space="preserve"> на Басейнова дирекция за Черноморския район</w:t>
      </w:r>
      <w:r w:rsidR="00216DEF" w:rsidRPr="00610B1B">
        <w:rPr>
          <w:rFonts w:cs="Times New Roman"/>
        </w:rPr>
        <w:t>, на ИА „Морска администрация“</w:t>
      </w:r>
      <w:r w:rsidR="00A959A4" w:rsidRPr="00610B1B">
        <w:rPr>
          <w:rFonts w:cs="Times New Roman"/>
        </w:rPr>
        <w:t>, на ДП „Пристан</w:t>
      </w:r>
      <w:r w:rsidR="00D50057" w:rsidRPr="00610B1B">
        <w:rPr>
          <w:rFonts w:cs="Times New Roman"/>
        </w:rPr>
        <w:t>и</w:t>
      </w:r>
      <w:r w:rsidR="00A959A4" w:rsidRPr="00610B1B">
        <w:rPr>
          <w:rFonts w:cs="Times New Roman"/>
        </w:rPr>
        <w:t>щна инфраструктура“</w:t>
      </w:r>
      <w:r w:rsidRPr="00610B1B">
        <w:rPr>
          <w:rFonts w:cs="Times New Roman"/>
        </w:rPr>
        <w:t xml:space="preserve"> </w:t>
      </w:r>
      <w:r w:rsidR="00A959A4" w:rsidRPr="00610B1B">
        <w:rPr>
          <w:rFonts w:cs="Times New Roman"/>
        </w:rPr>
        <w:t xml:space="preserve">и на ИА „Рибарство и аквакултури“ </w:t>
      </w:r>
      <w:r w:rsidRPr="00610B1B">
        <w:rPr>
          <w:rFonts w:cs="Times New Roman"/>
        </w:rPr>
        <w:t xml:space="preserve">или оправомощени от тях длъжностни лица. </w:t>
      </w:r>
    </w:p>
    <w:p w14:paraId="6468184B" w14:textId="70E61555" w:rsidR="00001D34" w:rsidRPr="00610B1B" w:rsidRDefault="00DA00DC" w:rsidP="00D32D6A">
      <w:pPr>
        <w:pStyle w:val="BodyText"/>
        <w:spacing w:before="0" w:after="120" w:line="276" w:lineRule="auto"/>
        <w:rPr>
          <w:rFonts w:cs="Times New Roman"/>
        </w:rPr>
      </w:pPr>
      <w:r w:rsidRPr="00610B1B">
        <w:rPr>
          <w:rFonts w:cs="Times New Roman"/>
        </w:rPr>
        <w:t>Техните правомощия и ангажименти</w:t>
      </w:r>
      <w:r w:rsidR="00EE0185" w:rsidRPr="00610B1B">
        <w:rPr>
          <w:rFonts w:cs="Times New Roman"/>
        </w:rPr>
        <w:t>, свързани с морското пространствено планиране,</w:t>
      </w:r>
      <w:r w:rsidRPr="00610B1B">
        <w:rPr>
          <w:rFonts w:cs="Times New Roman"/>
        </w:rPr>
        <w:t xml:space="preserve"> са систематизирани от действащите зако</w:t>
      </w:r>
      <w:r w:rsidR="00C416DC" w:rsidRPr="00610B1B">
        <w:rPr>
          <w:rFonts w:cs="Times New Roman"/>
        </w:rPr>
        <w:t>н</w:t>
      </w:r>
      <w:r w:rsidRPr="00610B1B">
        <w:rPr>
          <w:rFonts w:cs="Times New Roman"/>
        </w:rPr>
        <w:t xml:space="preserve">ови и подзаконови актове и съответните устройствени </w:t>
      </w:r>
      <w:r w:rsidR="00EE0185" w:rsidRPr="00610B1B">
        <w:rPr>
          <w:rFonts w:cs="Times New Roman"/>
        </w:rPr>
        <w:t>правилници в следващата таблица. В нея не е включен най-важният ангажимент на институциите по прилагането на Морския пространствен план на Република България</w:t>
      </w:r>
      <w:r w:rsidR="00D66FE0" w:rsidRPr="00610B1B">
        <w:rPr>
          <w:rFonts w:cs="Times New Roman"/>
        </w:rPr>
        <w:t xml:space="preserve"> </w:t>
      </w:r>
      <w:r w:rsidR="00EE0185" w:rsidRPr="00610B1B">
        <w:rPr>
          <w:rFonts w:cs="Times New Roman"/>
        </w:rPr>
        <w:t xml:space="preserve">2021-2035 г., което е свързано с начините на събирането и актуализирането на необходимата информация, което ще трябва да се регламентира с акт на Министерски съвет. </w:t>
      </w:r>
    </w:p>
    <w:p w14:paraId="6F410058" w14:textId="77777777" w:rsidR="00001D34" w:rsidRPr="00610B1B" w:rsidRDefault="00001D34" w:rsidP="00D32D6A">
      <w:pPr>
        <w:spacing w:after="120"/>
        <w:rPr>
          <w:rFonts w:ascii="Times New Roman" w:hAnsi="Times New Roman" w:cs="Times New Roman"/>
          <w:lang w:val="bg-BG"/>
        </w:rPr>
      </w:pPr>
      <w:r w:rsidRPr="00610B1B">
        <w:rPr>
          <w:rFonts w:ascii="Times New Roman" w:hAnsi="Times New Roman" w:cs="Times New Roman"/>
          <w:lang w:val="bg-BG"/>
        </w:rPr>
        <w:br w:type="page"/>
      </w:r>
    </w:p>
    <w:p w14:paraId="6EA7E121" w14:textId="77777777" w:rsidR="00001D34" w:rsidRPr="00610B1B" w:rsidRDefault="00001D34" w:rsidP="00D32D6A">
      <w:pPr>
        <w:spacing w:after="120"/>
        <w:rPr>
          <w:rFonts w:ascii="Times New Roman" w:hAnsi="Times New Roman" w:cs="Times New Roman"/>
          <w:lang w:val="bg-BG"/>
        </w:rPr>
        <w:sectPr w:rsidR="00001D34" w:rsidRPr="00610B1B" w:rsidSect="00DA01CC">
          <w:headerReference w:type="default" r:id="rId64"/>
          <w:footerReference w:type="default" r:id="rId65"/>
          <w:pgSz w:w="11907" w:h="16839" w:code="9"/>
          <w:pgMar w:top="1134" w:right="1440" w:bottom="1440" w:left="1440" w:header="708" w:footer="708" w:gutter="0"/>
          <w:pgNumType w:start="1"/>
          <w:cols w:space="708"/>
          <w:docGrid w:linePitch="360"/>
        </w:sectPr>
      </w:pPr>
    </w:p>
    <w:p w14:paraId="514ADA82" w14:textId="174047B2" w:rsidR="00415B20" w:rsidRPr="00610B1B" w:rsidRDefault="00C519AD" w:rsidP="00566CC3">
      <w:pPr>
        <w:pStyle w:val="BodyText"/>
        <w:spacing w:before="0" w:after="120" w:line="240" w:lineRule="auto"/>
        <w:rPr>
          <w:rFonts w:cs="Times New Roman"/>
        </w:rPr>
      </w:pPr>
      <w:bookmarkStart w:id="495" w:name="_Toc83391613"/>
      <w:r w:rsidRPr="00610B1B">
        <w:rPr>
          <w:rFonts w:cs="Times New Roman"/>
        </w:rPr>
        <w:lastRenderedPageBreak/>
        <w:t xml:space="preserve">Таблица </w:t>
      </w:r>
      <w:r w:rsidRPr="00610B1B">
        <w:rPr>
          <w:rFonts w:cs="Times New Roman"/>
        </w:rPr>
        <w:fldChar w:fldCharType="begin"/>
      </w:r>
      <w:r w:rsidRPr="00610B1B">
        <w:rPr>
          <w:rFonts w:cs="Times New Roman"/>
        </w:rPr>
        <w:instrText xml:space="preserve"> SEQ Таблица \* ARABIC </w:instrText>
      </w:r>
      <w:r w:rsidRPr="00610B1B">
        <w:rPr>
          <w:rFonts w:cs="Times New Roman"/>
        </w:rPr>
        <w:fldChar w:fldCharType="separate"/>
      </w:r>
      <w:r w:rsidR="00260629" w:rsidRPr="00610B1B">
        <w:rPr>
          <w:rFonts w:cs="Times New Roman"/>
          <w:noProof/>
        </w:rPr>
        <w:t>17</w:t>
      </w:r>
      <w:r w:rsidRPr="00610B1B">
        <w:rPr>
          <w:rFonts w:cs="Times New Roman"/>
        </w:rPr>
        <w:fldChar w:fldCharType="end"/>
      </w:r>
      <w:r w:rsidRPr="00610B1B">
        <w:rPr>
          <w:rFonts w:cs="Times New Roman"/>
        </w:rPr>
        <w:t>: Отговорности на компетентните органи по прилагането на Морския пространствен план на Република България</w:t>
      </w:r>
      <w:bookmarkEnd w:id="495"/>
    </w:p>
    <w:tbl>
      <w:tblPr>
        <w:tblStyle w:val="TableGrid"/>
        <w:tblW w:w="10065" w:type="dxa"/>
        <w:tblInd w:w="-42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6"/>
        <w:gridCol w:w="4396"/>
        <w:gridCol w:w="3543"/>
      </w:tblGrid>
      <w:tr w:rsidR="00760598" w:rsidRPr="00610B1B" w14:paraId="5B8C1B7A" w14:textId="77777777" w:rsidTr="003D7D4A">
        <w:trPr>
          <w:tblHeader/>
        </w:trPr>
        <w:tc>
          <w:tcPr>
            <w:tcW w:w="2126" w:type="dxa"/>
            <w:shd w:val="clear" w:color="auto" w:fill="72DBE0"/>
            <w:vAlign w:val="center"/>
          </w:tcPr>
          <w:p w14:paraId="798007FA" w14:textId="77777777" w:rsidR="00210FAA" w:rsidRPr="00610B1B" w:rsidRDefault="00210FAA" w:rsidP="009D32BB">
            <w:pPr>
              <w:pStyle w:val="BodyText"/>
              <w:spacing w:before="0" w:after="0" w:line="240" w:lineRule="auto"/>
              <w:jc w:val="center"/>
              <w:rPr>
                <w:rFonts w:cs="Times New Roman"/>
                <w:b/>
                <w:bCs/>
                <w:color w:val="0F243E" w:themeColor="text2" w:themeShade="80"/>
                <w:sz w:val="22"/>
                <w:szCs w:val="22"/>
              </w:rPr>
            </w:pPr>
            <w:r w:rsidRPr="00610B1B">
              <w:rPr>
                <w:rFonts w:cs="Times New Roman"/>
                <w:b/>
                <w:bCs/>
                <w:color w:val="0F243E" w:themeColor="text2" w:themeShade="80"/>
                <w:sz w:val="22"/>
                <w:szCs w:val="22"/>
              </w:rPr>
              <w:t>Институция</w:t>
            </w:r>
          </w:p>
        </w:tc>
        <w:tc>
          <w:tcPr>
            <w:tcW w:w="4396" w:type="dxa"/>
            <w:shd w:val="clear" w:color="auto" w:fill="72DBE0"/>
          </w:tcPr>
          <w:p w14:paraId="19F79D62" w14:textId="6E182B0C" w:rsidR="00210FAA" w:rsidRPr="00610B1B" w:rsidRDefault="00210FAA" w:rsidP="00D32D6A">
            <w:pPr>
              <w:pStyle w:val="BodyText"/>
              <w:spacing w:before="0" w:after="0" w:line="240" w:lineRule="auto"/>
              <w:jc w:val="center"/>
              <w:rPr>
                <w:rFonts w:cs="Times New Roman"/>
                <w:b/>
                <w:bCs/>
                <w:color w:val="0F243E" w:themeColor="text2" w:themeShade="80"/>
                <w:sz w:val="22"/>
                <w:szCs w:val="22"/>
              </w:rPr>
            </w:pPr>
            <w:r w:rsidRPr="00610B1B">
              <w:rPr>
                <w:rFonts w:cs="Times New Roman"/>
                <w:b/>
                <w:bCs/>
                <w:color w:val="0F243E" w:themeColor="text2" w:themeShade="80"/>
                <w:sz w:val="22"/>
                <w:szCs w:val="22"/>
              </w:rPr>
              <w:t>Отговорности</w:t>
            </w:r>
          </w:p>
        </w:tc>
        <w:tc>
          <w:tcPr>
            <w:tcW w:w="3543" w:type="dxa"/>
            <w:shd w:val="clear" w:color="auto" w:fill="72DBE0"/>
          </w:tcPr>
          <w:p w14:paraId="4B5D7631" w14:textId="77777777" w:rsidR="00210FAA" w:rsidRPr="00610B1B" w:rsidRDefault="00210FAA" w:rsidP="00D32D6A">
            <w:pPr>
              <w:pStyle w:val="BodyText"/>
              <w:spacing w:before="0" w:after="0" w:line="240" w:lineRule="auto"/>
              <w:jc w:val="center"/>
              <w:rPr>
                <w:rFonts w:cs="Times New Roman"/>
                <w:b/>
                <w:bCs/>
                <w:color w:val="0F243E" w:themeColor="text2" w:themeShade="80"/>
                <w:sz w:val="22"/>
                <w:szCs w:val="22"/>
              </w:rPr>
            </w:pPr>
            <w:r w:rsidRPr="00610B1B">
              <w:rPr>
                <w:rFonts w:cs="Times New Roman"/>
                <w:b/>
                <w:bCs/>
                <w:color w:val="0F243E" w:themeColor="text2" w:themeShade="80"/>
                <w:sz w:val="22"/>
                <w:szCs w:val="22"/>
              </w:rPr>
              <w:t>Основание</w:t>
            </w:r>
          </w:p>
        </w:tc>
      </w:tr>
      <w:tr w:rsidR="007A436D" w:rsidRPr="00610B1B" w14:paraId="301029C4" w14:textId="77777777" w:rsidTr="009D32BB">
        <w:tc>
          <w:tcPr>
            <w:tcW w:w="10065" w:type="dxa"/>
            <w:gridSpan w:val="3"/>
            <w:shd w:val="clear" w:color="auto" w:fill="B8CCE4" w:themeFill="accent1" w:themeFillTint="66"/>
            <w:vAlign w:val="center"/>
          </w:tcPr>
          <w:p w14:paraId="7ED442B6" w14:textId="69772AE3" w:rsidR="007A436D" w:rsidRPr="00610B1B" w:rsidRDefault="007A436D" w:rsidP="009D32BB">
            <w:pPr>
              <w:pStyle w:val="BodyText"/>
              <w:spacing w:before="0" w:after="0" w:line="240" w:lineRule="auto"/>
              <w:jc w:val="center"/>
              <w:rPr>
                <w:rFonts w:cs="Times New Roman"/>
                <w:sz w:val="20"/>
                <w:szCs w:val="20"/>
              </w:rPr>
            </w:pPr>
            <w:r w:rsidRPr="00610B1B">
              <w:rPr>
                <w:rFonts w:cs="Times New Roman"/>
                <w:b/>
                <w:bCs/>
                <w:sz w:val="20"/>
                <w:szCs w:val="20"/>
              </w:rPr>
              <w:t>Национално ниво</w:t>
            </w:r>
          </w:p>
        </w:tc>
      </w:tr>
      <w:tr w:rsidR="00D41A32" w:rsidRPr="005C2B9F" w14:paraId="29526497" w14:textId="77777777" w:rsidTr="009D32BB">
        <w:tc>
          <w:tcPr>
            <w:tcW w:w="2126" w:type="dxa"/>
            <w:vMerge w:val="restart"/>
            <w:vAlign w:val="center"/>
          </w:tcPr>
          <w:p w14:paraId="05C5F4EA" w14:textId="448E256B"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Министерски съвет</w:t>
            </w:r>
          </w:p>
        </w:tc>
        <w:tc>
          <w:tcPr>
            <w:tcW w:w="4396" w:type="dxa"/>
          </w:tcPr>
          <w:p w14:paraId="16516005" w14:textId="6C8B8EC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Одобрява Морския пространствен план на Република България и неговите изменения по доклад на Министъра на регионалното развитие и благоустройството</w:t>
            </w:r>
          </w:p>
        </w:tc>
        <w:tc>
          <w:tcPr>
            <w:tcW w:w="3543" w:type="dxa"/>
          </w:tcPr>
          <w:p w14:paraId="4ADD5D55" w14:textId="387024EF" w:rsidR="00D41A32" w:rsidRPr="00610B1B" w:rsidRDefault="00D41A32" w:rsidP="00343A67">
            <w:pPr>
              <w:pStyle w:val="BodyText"/>
              <w:spacing w:before="0" w:after="0" w:line="240" w:lineRule="auto"/>
              <w:jc w:val="left"/>
              <w:rPr>
                <w:rFonts w:cs="Times New Roman"/>
                <w:sz w:val="20"/>
                <w:szCs w:val="20"/>
              </w:rPr>
            </w:pPr>
            <w:r w:rsidRPr="00610B1B">
              <w:rPr>
                <w:rFonts w:cs="Times New Roman"/>
                <w:sz w:val="20"/>
                <w:szCs w:val="20"/>
              </w:rPr>
              <w:t>ЗМПВВППРБ, обн. ДВ бр. 12/11.02.2000 г., изм</w:t>
            </w:r>
            <w:r w:rsidR="00343A67" w:rsidRPr="00610B1B">
              <w:rPr>
                <w:rFonts w:cs="Times New Roman"/>
                <w:sz w:val="20"/>
                <w:szCs w:val="20"/>
              </w:rPr>
              <w:t>.</w:t>
            </w:r>
            <w:r w:rsidRPr="00610B1B">
              <w:rPr>
                <w:rFonts w:cs="Times New Roman"/>
                <w:sz w:val="20"/>
                <w:szCs w:val="20"/>
              </w:rPr>
              <w:t xml:space="preserve"> ДВ бр. </w:t>
            </w:r>
            <w:r w:rsidR="00343A67" w:rsidRPr="00610B1B">
              <w:rPr>
                <w:rFonts w:cs="Times New Roman"/>
                <w:sz w:val="20"/>
                <w:szCs w:val="20"/>
              </w:rPr>
              <w:t>17/26.02.2021</w:t>
            </w:r>
            <w:r w:rsidRPr="00610B1B">
              <w:rPr>
                <w:rFonts w:cs="Times New Roman"/>
                <w:sz w:val="20"/>
                <w:szCs w:val="20"/>
              </w:rPr>
              <w:t xml:space="preserve"> г., чл. 51е, ал. 1</w:t>
            </w:r>
          </w:p>
        </w:tc>
      </w:tr>
      <w:tr w:rsidR="00D41A32" w:rsidRPr="00610B1B" w14:paraId="77F938E7" w14:textId="77777777" w:rsidTr="009D32BB">
        <w:tc>
          <w:tcPr>
            <w:tcW w:w="2126" w:type="dxa"/>
            <w:vMerge/>
            <w:vAlign w:val="center"/>
          </w:tcPr>
          <w:p w14:paraId="1154DA0B"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F3D8972" w14:textId="3A6BE0D8"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Приема Морската стратегия с Програма от мерки и техните актуализации по предложение на Министъра на околната среда и водите;</w:t>
            </w:r>
          </w:p>
        </w:tc>
        <w:tc>
          <w:tcPr>
            <w:tcW w:w="3543" w:type="dxa"/>
          </w:tcPr>
          <w:p w14:paraId="76CED61E" w14:textId="49ABCDC5"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Наредба за опазване на околната среда в морските води, обн. ДВ бр. 94/30.11.2010 г., изм. и доп. ДВ бр. 14/18.02.2020 г. </w:t>
            </w:r>
          </w:p>
        </w:tc>
      </w:tr>
      <w:tr w:rsidR="00D41A32" w:rsidRPr="00610B1B" w14:paraId="573C8EB0" w14:textId="77777777" w:rsidTr="009D32BB">
        <w:tc>
          <w:tcPr>
            <w:tcW w:w="2126" w:type="dxa"/>
            <w:vMerge/>
            <w:vAlign w:val="center"/>
          </w:tcPr>
          <w:p w14:paraId="54D1A889"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0A3B6AF7" w14:textId="2FBAB36F"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Определя държавната политика за отрасъла водоснабдяване и канализация (ВиК) като част от водостопанската политика на страната и Националната стратегия за управление и развитие на водния сектор в Република България.</w:t>
            </w:r>
          </w:p>
        </w:tc>
        <w:tc>
          <w:tcPr>
            <w:tcW w:w="3543" w:type="dxa"/>
          </w:tcPr>
          <w:p w14:paraId="67B4DE79"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Чл. 10а ал. 1 от Закона за водите, </w:t>
            </w:r>
          </w:p>
          <w:p w14:paraId="24832C05" w14:textId="20C7B8A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Обн. ДВ. бр.67/27.07.1999 г., изм. ДВ бр. 52/09.06.2020 г.</w:t>
            </w:r>
          </w:p>
        </w:tc>
      </w:tr>
      <w:tr w:rsidR="00D41A32" w:rsidRPr="00610B1B" w14:paraId="6A5C3DDD" w14:textId="77777777" w:rsidTr="009D32BB">
        <w:tc>
          <w:tcPr>
            <w:tcW w:w="2126" w:type="dxa"/>
            <w:vMerge/>
            <w:vAlign w:val="center"/>
          </w:tcPr>
          <w:p w14:paraId="16463278"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1E0AD7CC" w14:textId="0F80B350"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Приема Стратегия за развитие и управление на водоснабдяването и канализацията в Република България за период не по-малък от 10 години.</w:t>
            </w:r>
          </w:p>
        </w:tc>
        <w:tc>
          <w:tcPr>
            <w:tcW w:w="3543" w:type="dxa"/>
          </w:tcPr>
          <w:p w14:paraId="0A1E5AB4"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Чл. 10а ал. 2 от Закона за водите,</w:t>
            </w:r>
          </w:p>
          <w:p w14:paraId="21057B69" w14:textId="498A526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 Обн. ДВ. бр.67/27.07.1999 г., изм. ДВ бр. 52/09.06.2020 г.</w:t>
            </w:r>
          </w:p>
        </w:tc>
      </w:tr>
      <w:tr w:rsidR="00D41A32" w:rsidRPr="00610B1B" w14:paraId="1B56A03A" w14:textId="77777777" w:rsidTr="009D32BB">
        <w:tc>
          <w:tcPr>
            <w:tcW w:w="2126" w:type="dxa"/>
            <w:vMerge/>
            <w:vAlign w:val="center"/>
          </w:tcPr>
          <w:p w14:paraId="4B2DB973"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4304440" w14:textId="5A43A0B7"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Приема Национална стратегия за адаптация към изменението на климата и План за действие по доклад на Министъра на околната среда и водите</w:t>
            </w:r>
          </w:p>
        </w:tc>
        <w:tc>
          <w:tcPr>
            <w:tcW w:w="3543" w:type="dxa"/>
          </w:tcPr>
          <w:p w14:paraId="3AB70C10" w14:textId="577C4554"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Чл.9 ал. 3 от Закона за ограничаване изменението на климата, обн. ДВ. бр. 22/11.03.2014, изм. и доп. ДВ бр. 25/20.03.2020 г. </w:t>
            </w:r>
          </w:p>
        </w:tc>
      </w:tr>
      <w:tr w:rsidR="00D41A32" w:rsidRPr="00610B1B" w14:paraId="1BAE51C5" w14:textId="77777777" w:rsidTr="009D32BB">
        <w:tc>
          <w:tcPr>
            <w:tcW w:w="2126" w:type="dxa"/>
            <w:vMerge/>
            <w:vAlign w:val="center"/>
          </w:tcPr>
          <w:p w14:paraId="3A925723"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1B25A851" w14:textId="72B987D7"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Издава разрешения за научни изследвания в континенталния шелф и ИИЗ на Р. България </w:t>
            </w:r>
          </w:p>
        </w:tc>
        <w:tc>
          <w:tcPr>
            <w:tcW w:w="3543" w:type="dxa"/>
          </w:tcPr>
          <w:p w14:paraId="0EB6F3A9" w14:textId="7F61ACBD" w:rsidR="00D41A32" w:rsidRPr="00610B1B" w:rsidRDefault="00D41A32" w:rsidP="00343A67">
            <w:pPr>
              <w:pStyle w:val="BodyText"/>
              <w:spacing w:before="0" w:after="0" w:line="240" w:lineRule="auto"/>
              <w:jc w:val="left"/>
              <w:rPr>
                <w:rFonts w:cs="Times New Roman"/>
                <w:sz w:val="20"/>
                <w:szCs w:val="20"/>
              </w:rPr>
            </w:pPr>
            <w:r w:rsidRPr="00610B1B">
              <w:rPr>
                <w:rFonts w:cs="Times New Roman"/>
                <w:sz w:val="20"/>
                <w:szCs w:val="20"/>
              </w:rPr>
              <w:t>ЗМПВВППРБ, обн. ДВ бр. 12/11.02.2000,</w:t>
            </w:r>
            <w:r w:rsidR="00D66FE0" w:rsidRPr="00610B1B">
              <w:rPr>
                <w:rFonts w:cs="Times New Roman"/>
                <w:sz w:val="20"/>
                <w:szCs w:val="20"/>
              </w:rPr>
              <w:t xml:space="preserve"> </w:t>
            </w:r>
            <w:r w:rsidRPr="00610B1B">
              <w:rPr>
                <w:rFonts w:cs="Times New Roman"/>
                <w:sz w:val="20"/>
                <w:szCs w:val="20"/>
              </w:rPr>
              <w:t xml:space="preserve">изм. </w:t>
            </w:r>
            <w:r w:rsidR="00343A67" w:rsidRPr="00610B1B">
              <w:rPr>
                <w:rFonts w:cs="Times New Roman"/>
                <w:sz w:val="20"/>
                <w:szCs w:val="20"/>
              </w:rPr>
              <w:t xml:space="preserve">ДВ </w:t>
            </w:r>
            <w:r w:rsidRPr="00610B1B">
              <w:rPr>
                <w:rFonts w:cs="Times New Roman"/>
                <w:sz w:val="20"/>
                <w:szCs w:val="20"/>
              </w:rPr>
              <w:t xml:space="preserve">бр. </w:t>
            </w:r>
            <w:r w:rsidR="00343A67" w:rsidRPr="00610B1B">
              <w:rPr>
                <w:rFonts w:cs="Times New Roman"/>
                <w:sz w:val="20"/>
                <w:szCs w:val="20"/>
              </w:rPr>
              <w:t xml:space="preserve">17/26.02.2021 г. </w:t>
            </w:r>
          </w:p>
        </w:tc>
      </w:tr>
      <w:tr w:rsidR="00D41A32" w:rsidRPr="005C2B9F" w14:paraId="0A5D5F15" w14:textId="77777777" w:rsidTr="009D32BB">
        <w:tc>
          <w:tcPr>
            <w:tcW w:w="2126" w:type="dxa"/>
            <w:vMerge/>
            <w:vAlign w:val="center"/>
          </w:tcPr>
          <w:p w14:paraId="1312632E"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43739242" w14:textId="60D6D49B"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Издава разрешения за търсене и проучване и за проучване на нефт и/или природен газ или разрешение за търсене и проучване и за проучване на подземни богатства в континенталния шелф и в ИИЗ на Черно море по предложение на министъра на енергетиката.</w:t>
            </w:r>
          </w:p>
        </w:tc>
        <w:tc>
          <w:tcPr>
            <w:tcW w:w="3543" w:type="dxa"/>
          </w:tcPr>
          <w:p w14:paraId="43BED0CF" w14:textId="294C1249"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подземните богатства, обн. ДВ бр. 23/12.03.1999 г., доп. ДВ бр. 98/27.11.2018 г.</w:t>
            </w:r>
          </w:p>
        </w:tc>
      </w:tr>
      <w:tr w:rsidR="00D41A32" w:rsidRPr="00610B1B" w14:paraId="3EF20CBB" w14:textId="77777777" w:rsidTr="009D32BB">
        <w:tc>
          <w:tcPr>
            <w:tcW w:w="2126" w:type="dxa"/>
            <w:vMerge/>
            <w:vAlign w:val="center"/>
          </w:tcPr>
          <w:p w14:paraId="2CF967B8"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70CBBF5" w14:textId="4F40BE3A"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Приема планове за опазване и управление (ПОУ) на недвижими културни ценности (НКЦ).</w:t>
            </w:r>
          </w:p>
        </w:tc>
        <w:tc>
          <w:tcPr>
            <w:tcW w:w="3543" w:type="dxa"/>
          </w:tcPr>
          <w:p w14:paraId="3E939619" w14:textId="7F0F9B78"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културното наследство, обн. ДВ бр. 19/13.03.2009 г., изм. и доп. ДВ бр. 44/13.05.2020 г. чл. 12 ал.3</w:t>
            </w:r>
          </w:p>
        </w:tc>
      </w:tr>
      <w:tr w:rsidR="00D41A32" w:rsidRPr="005C2B9F" w14:paraId="395681F4" w14:textId="77777777" w:rsidTr="009D32BB">
        <w:tc>
          <w:tcPr>
            <w:tcW w:w="2126" w:type="dxa"/>
            <w:vMerge/>
            <w:vAlign w:val="center"/>
          </w:tcPr>
          <w:p w14:paraId="623B8B7F"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21636F84" w14:textId="24F68FC3" w:rsidR="00D41A32" w:rsidRPr="00610B1B" w:rsidRDefault="00D41A32" w:rsidP="00D41A32">
            <w:pPr>
              <w:pStyle w:val="BodyText"/>
              <w:spacing w:before="0" w:after="0" w:line="240" w:lineRule="auto"/>
              <w:rPr>
                <w:rFonts w:cs="Times New Roman"/>
                <w:sz w:val="20"/>
                <w:szCs w:val="20"/>
              </w:rPr>
            </w:pPr>
            <w:r w:rsidRPr="00610B1B">
              <w:rPr>
                <w:rFonts w:eastAsiaTheme="minorEastAsia" w:cs="Times New Roman"/>
                <w:bCs/>
                <w:sz w:val="20"/>
                <w:szCs w:val="20"/>
              </w:rPr>
              <w:t>Приема наредба за ползването на повърхностните води</w:t>
            </w:r>
          </w:p>
        </w:tc>
        <w:tc>
          <w:tcPr>
            <w:tcW w:w="3543" w:type="dxa"/>
            <w:shd w:val="clear" w:color="auto" w:fill="auto"/>
          </w:tcPr>
          <w:p w14:paraId="7EB9CF66" w14:textId="20E6B8A4"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 xml:space="preserve">Закон за водите, Обн. ДВ. бр.67/27.07.1999 г., изм. ДВ бр. 52/09.06.2020 г., </w:t>
            </w:r>
            <w:r w:rsidR="003C41B4" w:rsidRPr="00610B1B">
              <w:rPr>
                <w:rFonts w:eastAsiaTheme="minorEastAsia" w:cs="Times New Roman"/>
                <w:bCs/>
                <w:sz w:val="20"/>
                <w:szCs w:val="20"/>
              </w:rPr>
              <w:t>чл.</w:t>
            </w:r>
            <w:r w:rsidRPr="00610B1B">
              <w:rPr>
                <w:rFonts w:eastAsiaTheme="minorEastAsia" w:cs="Times New Roman"/>
                <w:bCs/>
                <w:sz w:val="20"/>
                <w:szCs w:val="20"/>
              </w:rPr>
              <w:t xml:space="preserve"> 135, ал. 1, т. 1а</w:t>
            </w:r>
          </w:p>
        </w:tc>
      </w:tr>
      <w:tr w:rsidR="00D41A32" w:rsidRPr="005C2B9F" w14:paraId="7DD360E5" w14:textId="77777777" w:rsidTr="009D32BB">
        <w:tc>
          <w:tcPr>
            <w:tcW w:w="2126" w:type="dxa"/>
            <w:vMerge/>
            <w:vAlign w:val="center"/>
          </w:tcPr>
          <w:p w14:paraId="07831621"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4AF4A051" w14:textId="73145A9C" w:rsidR="00D41A32" w:rsidRPr="00610B1B" w:rsidRDefault="00D41A32" w:rsidP="00D41A32">
            <w:pPr>
              <w:pStyle w:val="BodyText"/>
              <w:spacing w:before="0" w:after="0" w:line="240" w:lineRule="auto"/>
              <w:rPr>
                <w:rFonts w:cs="Times New Roman"/>
                <w:sz w:val="20"/>
                <w:szCs w:val="20"/>
              </w:rPr>
            </w:pPr>
            <w:r w:rsidRPr="00610B1B">
              <w:rPr>
                <w:rFonts w:eastAsiaTheme="minorEastAsia" w:cs="Times New Roman"/>
                <w:bCs/>
                <w:sz w:val="20"/>
                <w:szCs w:val="20"/>
              </w:rPr>
              <w:t>Приема наредба за опазване на околната среда в морските води.</w:t>
            </w:r>
          </w:p>
        </w:tc>
        <w:tc>
          <w:tcPr>
            <w:tcW w:w="3543" w:type="dxa"/>
            <w:shd w:val="clear" w:color="auto" w:fill="auto"/>
          </w:tcPr>
          <w:p w14:paraId="25B72356" w14:textId="5CF54CE6"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 xml:space="preserve">Закон за водите, Обн. ДВ бр.67/27.07.1999 г., изм. ДВ бр. 52/09.06.2020 г., </w:t>
            </w:r>
            <w:r w:rsidR="003C41B4" w:rsidRPr="00610B1B">
              <w:rPr>
                <w:rFonts w:eastAsiaTheme="minorEastAsia" w:cs="Times New Roman"/>
                <w:bCs/>
                <w:sz w:val="20"/>
                <w:szCs w:val="20"/>
              </w:rPr>
              <w:t>чл.</w:t>
            </w:r>
            <w:r w:rsidRPr="00610B1B">
              <w:rPr>
                <w:rFonts w:eastAsiaTheme="minorEastAsia" w:cs="Times New Roman"/>
                <w:bCs/>
                <w:sz w:val="20"/>
                <w:szCs w:val="20"/>
              </w:rPr>
              <w:t xml:space="preserve"> 135, ал. 1, т. 19</w:t>
            </w:r>
          </w:p>
        </w:tc>
      </w:tr>
      <w:tr w:rsidR="00D41A32" w:rsidRPr="00610B1B" w14:paraId="0CF31924" w14:textId="77777777" w:rsidTr="009D32BB">
        <w:tc>
          <w:tcPr>
            <w:tcW w:w="2126" w:type="dxa"/>
            <w:vMerge/>
            <w:vAlign w:val="center"/>
          </w:tcPr>
          <w:p w14:paraId="4DFE7F84"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376EC8FD" w14:textId="622C4E7C" w:rsidR="00D41A32" w:rsidRPr="00610B1B" w:rsidRDefault="00D41A32" w:rsidP="00D41A32">
            <w:pPr>
              <w:pStyle w:val="BodyText"/>
              <w:spacing w:before="0" w:after="0" w:line="240" w:lineRule="auto"/>
              <w:rPr>
                <w:rFonts w:cs="Times New Roman"/>
                <w:sz w:val="20"/>
                <w:szCs w:val="20"/>
              </w:rPr>
            </w:pPr>
            <w:r w:rsidRPr="00610B1B">
              <w:rPr>
                <w:rFonts w:eastAsiaTheme="minorEastAsia" w:cs="Times New Roman"/>
                <w:bCs/>
                <w:sz w:val="20"/>
                <w:szCs w:val="20"/>
              </w:rPr>
              <w:t>Определя с наредба изискванията за предотвратяване на аварии при търсене, проучване и добив на подземни богатства в континенталния шелф и в ИИЗ на Р. България в Черно море.</w:t>
            </w:r>
          </w:p>
        </w:tc>
        <w:tc>
          <w:tcPr>
            <w:tcW w:w="3543" w:type="dxa"/>
            <w:shd w:val="clear" w:color="auto" w:fill="auto"/>
          </w:tcPr>
          <w:p w14:paraId="7AB81E09" w14:textId="77777777" w:rsidR="00D41A32" w:rsidRPr="00610B1B" w:rsidRDefault="00D41A32" w:rsidP="00D41A32">
            <w:pPr>
              <w:pStyle w:val="BodyText"/>
              <w:spacing w:before="0" w:after="0" w:line="240" w:lineRule="auto"/>
              <w:jc w:val="left"/>
              <w:rPr>
                <w:rFonts w:eastAsiaTheme="minorEastAsia" w:cs="Times New Roman"/>
                <w:bCs/>
                <w:sz w:val="20"/>
                <w:szCs w:val="20"/>
              </w:rPr>
            </w:pPr>
            <w:r w:rsidRPr="00610B1B">
              <w:rPr>
                <w:rFonts w:eastAsiaTheme="minorEastAsia" w:cs="Times New Roman"/>
                <w:bCs/>
                <w:sz w:val="20"/>
                <w:szCs w:val="20"/>
              </w:rPr>
              <w:t>Закон за подземните богатства,</w:t>
            </w:r>
          </w:p>
          <w:p w14:paraId="30216A2D" w14:textId="04654193"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Обн. ДВ бр.</w:t>
            </w:r>
            <w:r w:rsidRPr="00610B1B">
              <w:rPr>
                <w:rFonts w:cs="Times New Roman"/>
                <w:sz w:val="20"/>
                <w:szCs w:val="20"/>
              </w:rPr>
              <w:t xml:space="preserve">23/12.03.1999, доп. ДВ бр. No 98/27.11.2018, </w:t>
            </w:r>
            <w:r w:rsidRPr="00610B1B">
              <w:rPr>
                <w:rFonts w:eastAsiaTheme="minorEastAsia" w:cs="Times New Roman"/>
                <w:bCs/>
                <w:sz w:val="20"/>
                <w:szCs w:val="20"/>
              </w:rPr>
              <w:t>чл. 77а</w:t>
            </w:r>
          </w:p>
        </w:tc>
      </w:tr>
      <w:tr w:rsidR="00D41A32" w:rsidRPr="005C2B9F" w14:paraId="59D5119E" w14:textId="77777777" w:rsidTr="009D32BB">
        <w:tc>
          <w:tcPr>
            <w:tcW w:w="2126" w:type="dxa"/>
            <w:vMerge/>
            <w:vAlign w:val="center"/>
          </w:tcPr>
          <w:p w14:paraId="4B23AF94"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331397D5" w14:textId="438179E4" w:rsidR="00D41A32" w:rsidRPr="00610B1B" w:rsidRDefault="00D41A32" w:rsidP="00D41A32">
            <w:pPr>
              <w:pStyle w:val="BodyText"/>
              <w:spacing w:before="0" w:after="0" w:line="240" w:lineRule="auto"/>
              <w:rPr>
                <w:rFonts w:cs="Times New Roman"/>
                <w:sz w:val="20"/>
                <w:szCs w:val="20"/>
              </w:rPr>
            </w:pPr>
            <w:r w:rsidRPr="00610B1B">
              <w:rPr>
                <w:rFonts w:eastAsiaTheme="minorEastAsia" w:cs="Times New Roman"/>
                <w:bCs/>
                <w:sz w:val="20"/>
                <w:szCs w:val="20"/>
              </w:rPr>
              <w:t>Приема плановете за управление на речните басейни (ПУРБ) и плановете за управление на риска от наводнения (ПУРН) и национални програми за изпълнението им</w:t>
            </w:r>
          </w:p>
        </w:tc>
        <w:tc>
          <w:tcPr>
            <w:tcW w:w="3543" w:type="dxa"/>
            <w:shd w:val="clear" w:color="auto" w:fill="auto"/>
          </w:tcPr>
          <w:p w14:paraId="11B4A2C5" w14:textId="512D2CB0"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 xml:space="preserve">Закон за водите, Обн. ДВ бр. 67/27.07.1999 г., изм. ДВ бр. </w:t>
            </w:r>
            <w:r w:rsidRPr="00610B1B">
              <w:rPr>
                <w:rFonts w:cs="Times New Roman"/>
                <w:sz w:val="20"/>
                <w:szCs w:val="20"/>
              </w:rPr>
              <w:t xml:space="preserve">52/9.06.2020, </w:t>
            </w:r>
            <w:r w:rsidRPr="00610B1B">
              <w:rPr>
                <w:rFonts w:eastAsiaTheme="minorEastAsia" w:cs="Times New Roman"/>
                <w:bCs/>
                <w:sz w:val="20"/>
                <w:szCs w:val="20"/>
              </w:rPr>
              <w:t>чл. 151, ал. 1, (т. 1 к)</w:t>
            </w:r>
          </w:p>
        </w:tc>
      </w:tr>
      <w:tr w:rsidR="00D41A32" w:rsidRPr="00610B1B" w14:paraId="5D192F1E" w14:textId="77777777" w:rsidTr="009D32BB">
        <w:tc>
          <w:tcPr>
            <w:tcW w:w="2126" w:type="dxa"/>
            <w:vMerge w:val="restart"/>
            <w:vAlign w:val="center"/>
          </w:tcPr>
          <w:p w14:paraId="45E1B038" w14:textId="79B728A8"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 на регионалното развитие и благоустройството (МРРБ)</w:t>
            </w:r>
          </w:p>
        </w:tc>
        <w:tc>
          <w:tcPr>
            <w:tcW w:w="4396" w:type="dxa"/>
          </w:tcPr>
          <w:p w14:paraId="7E323646" w14:textId="6EF0D205"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Министърът или упълномощен от него зам. министър осъществява общото ръководство и координация на дейността по морско пространствено планиране</w:t>
            </w:r>
            <w:r w:rsidR="00D66FE0" w:rsidRPr="00610B1B">
              <w:rPr>
                <w:rFonts w:cs="Times New Roman"/>
                <w:sz w:val="20"/>
                <w:szCs w:val="20"/>
              </w:rPr>
              <w:t xml:space="preserve"> </w:t>
            </w:r>
            <w:r w:rsidRPr="00610B1B">
              <w:rPr>
                <w:rFonts w:cs="Times New Roman"/>
                <w:sz w:val="20"/>
                <w:szCs w:val="20"/>
              </w:rPr>
              <w:t>и отговаря за изработването и поддържането на МППРБ.</w:t>
            </w:r>
          </w:p>
        </w:tc>
        <w:tc>
          <w:tcPr>
            <w:tcW w:w="3543" w:type="dxa"/>
            <w:vMerge w:val="restart"/>
          </w:tcPr>
          <w:p w14:paraId="675904C7" w14:textId="0ED0FB4E" w:rsidR="00D41A32" w:rsidRPr="00610B1B" w:rsidRDefault="00D41A32" w:rsidP="00343A67">
            <w:pPr>
              <w:pStyle w:val="BodyText"/>
              <w:spacing w:before="0" w:after="0" w:line="240" w:lineRule="auto"/>
              <w:rPr>
                <w:rFonts w:cs="Times New Roman"/>
                <w:sz w:val="20"/>
                <w:szCs w:val="20"/>
              </w:rPr>
            </w:pPr>
            <w:r w:rsidRPr="00610B1B">
              <w:rPr>
                <w:rFonts w:cs="Times New Roman"/>
                <w:sz w:val="20"/>
                <w:szCs w:val="20"/>
              </w:rPr>
              <w:t>ЗМПВВППРБ,</w:t>
            </w:r>
            <w:r w:rsidR="00D66FE0" w:rsidRPr="00610B1B">
              <w:rPr>
                <w:rFonts w:cs="Times New Roman"/>
                <w:sz w:val="20"/>
                <w:szCs w:val="20"/>
              </w:rPr>
              <w:t xml:space="preserve"> </w:t>
            </w:r>
            <w:r w:rsidRPr="00610B1B">
              <w:rPr>
                <w:rFonts w:eastAsiaTheme="minorEastAsia" w:cs="Times New Roman"/>
                <w:bCs/>
                <w:sz w:val="20"/>
                <w:szCs w:val="20"/>
              </w:rPr>
              <w:t>Обн. ДВ бр.</w:t>
            </w:r>
            <w:r w:rsidR="00D66FE0" w:rsidRPr="00610B1B">
              <w:rPr>
                <w:rFonts w:eastAsiaTheme="minorEastAsia" w:cs="Times New Roman"/>
                <w:bCs/>
                <w:sz w:val="20"/>
                <w:szCs w:val="20"/>
              </w:rPr>
              <w:t xml:space="preserve"> </w:t>
            </w:r>
            <w:r w:rsidRPr="00610B1B">
              <w:rPr>
                <w:rFonts w:cs="Times New Roman"/>
                <w:sz w:val="20"/>
                <w:szCs w:val="20"/>
              </w:rPr>
              <w:t>12/11.02.2000, изм. ДВ бр.</w:t>
            </w:r>
            <w:r w:rsidR="00343A67" w:rsidRPr="00610B1B">
              <w:rPr>
                <w:rFonts w:cs="Times New Roman"/>
                <w:sz w:val="20"/>
                <w:szCs w:val="20"/>
              </w:rPr>
              <w:t xml:space="preserve"> 17</w:t>
            </w:r>
            <w:r w:rsidRPr="00610B1B">
              <w:rPr>
                <w:rFonts w:cs="Times New Roman"/>
                <w:sz w:val="20"/>
                <w:szCs w:val="20"/>
              </w:rPr>
              <w:t>/</w:t>
            </w:r>
            <w:r w:rsidR="00343A67" w:rsidRPr="00610B1B">
              <w:rPr>
                <w:rFonts w:cs="Times New Roman"/>
                <w:sz w:val="20"/>
                <w:szCs w:val="20"/>
              </w:rPr>
              <w:t>26.02.2021</w:t>
            </w:r>
            <w:r w:rsidRPr="00610B1B">
              <w:rPr>
                <w:rFonts w:cs="Times New Roman"/>
                <w:sz w:val="20"/>
                <w:szCs w:val="20"/>
              </w:rPr>
              <w:t>, чл. 51б ал. 1</w:t>
            </w:r>
          </w:p>
        </w:tc>
      </w:tr>
      <w:tr w:rsidR="00D41A32" w:rsidRPr="005C2B9F" w14:paraId="66E8A519" w14:textId="77777777" w:rsidTr="009D32BB">
        <w:tc>
          <w:tcPr>
            <w:tcW w:w="2126" w:type="dxa"/>
            <w:vMerge/>
            <w:vAlign w:val="center"/>
          </w:tcPr>
          <w:p w14:paraId="54551D08"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6047AA20" w14:textId="1C80699E"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Изпълнява процедурите по чл. 87 на ЗООС като възложител на МППРБ.</w:t>
            </w:r>
          </w:p>
        </w:tc>
        <w:tc>
          <w:tcPr>
            <w:tcW w:w="3543" w:type="dxa"/>
            <w:vMerge/>
          </w:tcPr>
          <w:p w14:paraId="38566EE2"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12F9E165" w14:textId="77777777" w:rsidTr="009D32BB">
        <w:tc>
          <w:tcPr>
            <w:tcW w:w="2126" w:type="dxa"/>
            <w:vMerge/>
            <w:vAlign w:val="center"/>
          </w:tcPr>
          <w:p w14:paraId="3F2227B0"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1C59703E" w14:textId="0E734BC8"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Организира осъществяването на наблюдение и </w:t>
            </w:r>
            <w:r w:rsidRPr="00610B1B">
              <w:rPr>
                <w:rFonts w:cs="Times New Roman"/>
                <w:sz w:val="20"/>
                <w:szCs w:val="20"/>
              </w:rPr>
              <w:lastRenderedPageBreak/>
              <w:t>контрол по прилагането на МППРБ</w:t>
            </w:r>
          </w:p>
        </w:tc>
        <w:tc>
          <w:tcPr>
            <w:tcW w:w="3543" w:type="dxa"/>
            <w:vMerge/>
          </w:tcPr>
          <w:p w14:paraId="2E33C42E"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7F4AABA2" w14:textId="77777777" w:rsidTr="009D32BB">
        <w:tc>
          <w:tcPr>
            <w:tcW w:w="2126" w:type="dxa"/>
            <w:vMerge/>
            <w:vAlign w:val="center"/>
          </w:tcPr>
          <w:p w14:paraId="38AD4007"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697E1093" w14:textId="3A5F17A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Изпраща копие от одобрения план и от неговите изменения на Европейската комисия и на държавите от Черноморския регион в тримесечен срок от обнародването на решението по ал. 1.</w:t>
            </w:r>
          </w:p>
        </w:tc>
        <w:tc>
          <w:tcPr>
            <w:tcW w:w="3543" w:type="dxa"/>
          </w:tcPr>
          <w:p w14:paraId="244ED4E9" w14:textId="77777777" w:rsidR="00D41A32" w:rsidRPr="00610B1B" w:rsidRDefault="00D41A32" w:rsidP="00D41A32">
            <w:pPr>
              <w:pStyle w:val="BodyText"/>
              <w:spacing w:before="0" w:after="0" w:line="240" w:lineRule="auto"/>
              <w:rPr>
                <w:rFonts w:cs="Times New Roman"/>
                <w:sz w:val="20"/>
                <w:szCs w:val="20"/>
              </w:rPr>
            </w:pPr>
          </w:p>
        </w:tc>
      </w:tr>
      <w:tr w:rsidR="00D41A32" w:rsidRPr="00610B1B" w14:paraId="18F1C9B3" w14:textId="77777777" w:rsidTr="009D32BB">
        <w:tc>
          <w:tcPr>
            <w:tcW w:w="2126" w:type="dxa"/>
            <w:vMerge/>
            <w:vAlign w:val="center"/>
          </w:tcPr>
          <w:p w14:paraId="6DCB37C7"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2827B6B8" w14:textId="6ECCD53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Осъществява държавната политика в отрасъл ВиК на национално ниво, разработва и предлага на МС Стратегия за развитие и управление на водоснабдяването и канализацията в Р. България, координира и контролира изпълнението ѝ.</w:t>
            </w:r>
          </w:p>
        </w:tc>
        <w:tc>
          <w:tcPr>
            <w:tcW w:w="3543" w:type="dxa"/>
          </w:tcPr>
          <w:p w14:paraId="16997A34" w14:textId="01D0D24C"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Закон за водите,</w:t>
            </w:r>
            <w:r w:rsidRPr="00610B1B">
              <w:rPr>
                <w:rFonts w:eastAsiaTheme="minorEastAsia" w:cs="Times New Roman"/>
                <w:bCs/>
                <w:sz w:val="20"/>
                <w:szCs w:val="20"/>
              </w:rPr>
              <w:t xml:space="preserve"> Обн. ДВ бр. 67/27.07.1999 г., изм. ДВ бр. </w:t>
            </w:r>
            <w:r w:rsidRPr="00610B1B">
              <w:rPr>
                <w:rFonts w:cs="Times New Roman"/>
                <w:sz w:val="20"/>
                <w:szCs w:val="20"/>
              </w:rPr>
              <w:t>52/9.06.2020, чл. 10б ал. 1</w:t>
            </w:r>
          </w:p>
        </w:tc>
      </w:tr>
      <w:tr w:rsidR="00D41A32" w:rsidRPr="005C2B9F" w14:paraId="4D8E3AEB" w14:textId="77777777" w:rsidTr="009D32BB">
        <w:tc>
          <w:tcPr>
            <w:tcW w:w="2126" w:type="dxa"/>
            <w:vMerge/>
            <w:vAlign w:val="center"/>
          </w:tcPr>
          <w:p w14:paraId="546CA599"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6719B4D3" w14:textId="2F976ACC" w:rsidR="00D41A32" w:rsidRPr="00610B1B" w:rsidRDefault="00D41A32" w:rsidP="00D41A32">
            <w:pPr>
              <w:pStyle w:val="BodyText"/>
              <w:spacing w:before="0" w:after="0" w:line="240" w:lineRule="auto"/>
              <w:jc w:val="left"/>
              <w:rPr>
                <w:rFonts w:cs="Times New Roman"/>
                <w:sz w:val="20"/>
                <w:szCs w:val="20"/>
              </w:rPr>
            </w:pPr>
            <w:r w:rsidRPr="00610B1B">
              <w:rPr>
                <w:rFonts w:cs="Times New Roman"/>
                <w:bCs/>
                <w:sz w:val="20"/>
                <w:szCs w:val="20"/>
              </w:rPr>
              <w:t>Отговаря за устройственото планиране на Черноморското крайбрежие и частта от акваторията на Черно море в приложното поле на ЗУЧК;</w:t>
            </w:r>
          </w:p>
        </w:tc>
        <w:tc>
          <w:tcPr>
            <w:tcW w:w="3543" w:type="dxa"/>
            <w:shd w:val="clear" w:color="auto" w:fill="auto"/>
          </w:tcPr>
          <w:p w14:paraId="603ADF1D" w14:textId="4C8F96C9" w:rsidR="00D41A32" w:rsidRPr="00610B1B" w:rsidRDefault="00D41A32" w:rsidP="00D41A32">
            <w:pPr>
              <w:pStyle w:val="BodyText"/>
              <w:spacing w:before="0" w:after="0" w:line="240" w:lineRule="auto"/>
              <w:rPr>
                <w:rFonts w:cs="Times New Roman"/>
                <w:sz w:val="20"/>
                <w:szCs w:val="20"/>
              </w:rPr>
            </w:pPr>
            <w:r w:rsidRPr="00610B1B">
              <w:rPr>
                <w:rFonts w:cs="Times New Roman"/>
                <w:bCs/>
                <w:sz w:val="20"/>
                <w:szCs w:val="20"/>
              </w:rPr>
              <w:t>ЗУТ чл. 124 ал. 2, ЗУЧК, Наредба за опазване на околната среда в морските води, чл. 3, ал. 8, т. 1</w:t>
            </w:r>
          </w:p>
        </w:tc>
      </w:tr>
      <w:tr w:rsidR="00D41A32" w:rsidRPr="005C2B9F" w14:paraId="76120E09" w14:textId="77777777" w:rsidTr="009D32BB">
        <w:tc>
          <w:tcPr>
            <w:tcW w:w="2126" w:type="dxa"/>
            <w:vMerge w:val="restart"/>
            <w:vAlign w:val="center"/>
          </w:tcPr>
          <w:p w14:paraId="4DE5D3AD" w14:textId="1E184E99"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Консултативен съвет към Министъра на РРБ</w:t>
            </w:r>
          </w:p>
        </w:tc>
        <w:tc>
          <w:tcPr>
            <w:tcW w:w="4396" w:type="dxa"/>
          </w:tcPr>
          <w:p w14:paraId="04F67F86" w14:textId="1327EE70" w:rsidR="00D41A32" w:rsidRPr="00610B1B" w:rsidRDefault="00D41A32" w:rsidP="00D41A32">
            <w:pPr>
              <w:pStyle w:val="BodyText"/>
              <w:spacing w:before="0" w:after="0" w:line="240" w:lineRule="auto"/>
              <w:jc w:val="left"/>
              <w:rPr>
                <w:rFonts w:cs="Times New Roman"/>
                <w:bCs/>
                <w:sz w:val="20"/>
                <w:szCs w:val="20"/>
              </w:rPr>
            </w:pPr>
            <w:r w:rsidRPr="00610B1B">
              <w:rPr>
                <w:rFonts w:cs="Times New Roman"/>
                <w:sz w:val="20"/>
                <w:szCs w:val="20"/>
              </w:rPr>
              <w:t xml:space="preserve">Осъществява координация и взема решения за визията, рамката, текстовото и графичното съдържание на Морския пространствен план на Република България (МППРБ) </w:t>
            </w:r>
          </w:p>
        </w:tc>
        <w:tc>
          <w:tcPr>
            <w:tcW w:w="3543" w:type="dxa"/>
          </w:tcPr>
          <w:p w14:paraId="652E2F68"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Правилник за функциите, задачите и състава на консултативния съвет по въпросите на морското пространствено планиране към министъра на регионалното развитие и благоустройството. </w:t>
            </w:r>
          </w:p>
          <w:p w14:paraId="7F86EBD4" w14:textId="37DDA52A" w:rsidR="00D41A32" w:rsidRPr="00610B1B" w:rsidRDefault="00D41A32" w:rsidP="00D41A32">
            <w:pPr>
              <w:pStyle w:val="BodyText"/>
              <w:spacing w:before="0" w:after="0" w:line="240" w:lineRule="auto"/>
              <w:rPr>
                <w:rFonts w:cs="Times New Roman"/>
                <w:bCs/>
                <w:sz w:val="20"/>
                <w:szCs w:val="20"/>
              </w:rPr>
            </w:pPr>
            <w:r w:rsidRPr="00610B1B">
              <w:rPr>
                <w:rFonts w:cs="Times New Roman"/>
                <w:sz w:val="20"/>
                <w:szCs w:val="20"/>
              </w:rPr>
              <w:t xml:space="preserve">Обн. ДВ бр. 79/25.09.2018 г., чл. 3 </w:t>
            </w:r>
          </w:p>
        </w:tc>
      </w:tr>
      <w:tr w:rsidR="00D41A32" w:rsidRPr="00610B1B" w14:paraId="54332CBA" w14:textId="77777777" w:rsidTr="009D32BB">
        <w:tc>
          <w:tcPr>
            <w:tcW w:w="2126" w:type="dxa"/>
            <w:vMerge/>
            <w:vAlign w:val="center"/>
          </w:tcPr>
          <w:p w14:paraId="3EC14F5E"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190EB08D" w14:textId="7DF2F5D5" w:rsidR="00D41A32" w:rsidRPr="00610B1B" w:rsidRDefault="00D41A32" w:rsidP="00D41A32">
            <w:pPr>
              <w:pStyle w:val="BodyText"/>
              <w:spacing w:before="0" w:after="0" w:line="240" w:lineRule="auto"/>
              <w:jc w:val="left"/>
              <w:rPr>
                <w:rFonts w:cs="Times New Roman"/>
                <w:bCs/>
                <w:sz w:val="20"/>
                <w:szCs w:val="20"/>
              </w:rPr>
            </w:pPr>
            <w:r w:rsidRPr="00610B1B">
              <w:rPr>
                <w:rFonts w:cs="Times New Roman"/>
                <w:sz w:val="20"/>
                <w:szCs w:val="20"/>
              </w:rPr>
              <w:t>Съдейства за определяне на пространственото и времевото разпределение на осъществяваните и на бъдещите дейности по използването на морските пространства, съобразено с Морската стратегия на Република България, с изключение на дейностите по отбраната или националната сигурност на страната.</w:t>
            </w:r>
          </w:p>
        </w:tc>
        <w:tc>
          <w:tcPr>
            <w:tcW w:w="3543" w:type="dxa"/>
          </w:tcPr>
          <w:p w14:paraId="6397DE2C" w14:textId="609D2E4F" w:rsidR="00D41A32" w:rsidRPr="00610B1B" w:rsidRDefault="00D41A32" w:rsidP="00D41A32">
            <w:pPr>
              <w:pStyle w:val="BodyText"/>
              <w:spacing w:before="0" w:after="0" w:line="240" w:lineRule="auto"/>
              <w:rPr>
                <w:rFonts w:cs="Times New Roman"/>
                <w:bCs/>
                <w:sz w:val="20"/>
                <w:szCs w:val="20"/>
              </w:rPr>
            </w:pPr>
            <w:r w:rsidRPr="00610B1B">
              <w:rPr>
                <w:rFonts w:cs="Times New Roman"/>
                <w:sz w:val="20"/>
                <w:szCs w:val="20"/>
              </w:rPr>
              <w:t>Чл. 4 на същия правилник</w:t>
            </w:r>
          </w:p>
        </w:tc>
      </w:tr>
      <w:tr w:rsidR="00D41A32" w:rsidRPr="00610B1B" w14:paraId="46FFC244" w14:textId="77777777" w:rsidTr="009D32BB">
        <w:tc>
          <w:tcPr>
            <w:tcW w:w="2126" w:type="dxa"/>
            <w:vMerge/>
            <w:vAlign w:val="center"/>
          </w:tcPr>
          <w:p w14:paraId="02B8CD9D"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06B4AE58" w14:textId="6CCDE097" w:rsidR="00D41A32" w:rsidRPr="00610B1B" w:rsidRDefault="00D41A32" w:rsidP="00D41A32">
            <w:pPr>
              <w:pStyle w:val="BodyText"/>
              <w:spacing w:before="0" w:after="0" w:line="240" w:lineRule="auto"/>
              <w:jc w:val="left"/>
              <w:rPr>
                <w:rFonts w:cs="Times New Roman"/>
                <w:bCs/>
                <w:sz w:val="20"/>
                <w:szCs w:val="20"/>
              </w:rPr>
            </w:pPr>
            <w:r w:rsidRPr="00610B1B">
              <w:rPr>
                <w:rFonts w:cs="Times New Roman"/>
                <w:sz w:val="20"/>
                <w:szCs w:val="20"/>
              </w:rPr>
              <w:t>Подпомага използването на най-добри налични данни, в това число пространствени, за разработването на МППРБ.</w:t>
            </w:r>
          </w:p>
        </w:tc>
        <w:tc>
          <w:tcPr>
            <w:tcW w:w="3543" w:type="dxa"/>
          </w:tcPr>
          <w:p w14:paraId="5C912330" w14:textId="56BDC09D" w:rsidR="00D41A32" w:rsidRPr="00610B1B" w:rsidRDefault="00D41A32" w:rsidP="00D41A32">
            <w:pPr>
              <w:pStyle w:val="BodyText"/>
              <w:spacing w:before="0" w:after="0" w:line="240" w:lineRule="auto"/>
              <w:rPr>
                <w:rFonts w:cs="Times New Roman"/>
                <w:bCs/>
                <w:sz w:val="20"/>
                <w:szCs w:val="20"/>
              </w:rPr>
            </w:pPr>
            <w:r w:rsidRPr="00610B1B">
              <w:rPr>
                <w:rFonts w:cs="Times New Roman"/>
                <w:sz w:val="20"/>
                <w:szCs w:val="20"/>
              </w:rPr>
              <w:t>Чл. 5 на същия правилник</w:t>
            </w:r>
          </w:p>
        </w:tc>
      </w:tr>
      <w:tr w:rsidR="00D41A32" w:rsidRPr="00610B1B" w14:paraId="42699390" w14:textId="77777777" w:rsidTr="009D32BB">
        <w:tc>
          <w:tcPr>
            <w:tcW w:w="2126" w:type="dxa"/>
            <w:vMerge/>
            <w:vAlign w:val="center"/>
          </w:tcPr>
          <w:p w14:paraId="6DF8A441"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6C25017" w14:textId="312DF692" w:rsidR="00D41A32" w:rsidRPr="00610B1B" w:rsidRDefault="00D41A32" w:rsidP="00D41A32">
            <w:pPr>
              <w:pStyle w:val="BodyText"/>
              <w:spacing w:before="0" w:after="0" w:line="240" w:lineRule="auto"/>
              <w:jc w:val="left"/>
              <w:rPr>
                <w:rFonts w:cs="Times New Roman"/>
                <w:bCs/>
                <w:sz w:val="20"/>
                <w:szCs w:val="20"/>
              </w:rPr>
            </w:pPr>
            <w:r w:rsidRPr="00610B1B">
              <w:rPr>
                <w:rFonts w:cs="Times New Roman"/>
                <w:sz w:val="20"/>
                <w:szCs w:val="20"/>
              </w:rPr>
              <w:t>Съветът и неговите членове, съобразно своите компетенции и правомощия консултират дейността на администрациите, заинтересованите страни и други структури на управление, относно осъществяването на морското пространствено планиране и прилагането на МППРБ.</w:t>
            </w:r>
          </w:p>
        </w:tc>
        <w:tc>
          <w:tcPr>
            <w:tcW w:w="3543" w:type="dxa"/>
          </w:tcPr>
          <w:p w14:paraId="17877393" w14:textId="4F8F00FA" w:rsidR="00D41A32" w:rsidRPr="00610B1B" w:rsidRDefault="00D41A32" w:rsidP="00D41A32">
            <w:pPr>
              <w:pStyle w:val="BodyText"/>
              <w:spacing w:before="0" w:after="0" w:line="240" w:lineRule="auto"/>
              <w:rPr>
                <w:rFonts w:cs="Times New Roman"/>
                <w:bCs/>
                <w:sz w:val="20"/>
                <w:szCs w:val="20"/>
              </w:rPr>
            </w:pPr>
            <w:r w:rsidRPr="00610B1B">
              <w:rPr>
                <w:rFonts w:cs="Times New Roman"/>
                <w:sz w:val="20"/>
                <w:szCs w:val="20"/>
              </w:rPr>
              <w:t>Чл. 6 на същия правилник</w:t>
            </w:r>
          </w:p>
        </w:tc>
      </w:tr>
      <w:tr w:rsidR="00D41A32" w:rsidRPr="00610B1B" w14:paraId="2AB0A987" w14:textId="77777777" w:rsidTr="009D32BB">
        <w:tc>
          <w:tcPr>
            <w:tcW w:w="2126" w:type="dxa"/>
            <w:vMerge/>
            <w:vAlign w:val="center"/>
          </w:tcPr>
          <w:p w14:paraId="362211DA"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5413A54C" w14:textId="4B59004D" w:rsidR="00D41A32" w:rsidRPr="00610B1B" w:rsidRDefault="00D41A32" w:rsidP="00D41A32">
            <w:pPr>
              <w:pStyle w:val="BodyText"/>
              <w:spacing w:before="0" w:after="0" w:line="240" w:lineRule="auto"/>
              <w:jc w:val="left"/>
              <w:rPr>
                <w:rFonts w:cs="Times New Roman"/>
                <w:bCs/>
                <w:sz w:val="20"/>
                <w:szCs w:val="20"/>
              </w:rPr>
            </w:pPr>
            <w:r w:rsidRPr="00610B1B">
              <w:rPr>
                <w:rFonts w:cs="Times New Roman"/>
                <w:sz w:val="20"/>
                <w:szCs w:val="20"/>
              </w:rPr>
              <w:t>Подпомага министъра на регионалното развитие и благоустройството при консултациите с останалите черноморски страни.</w:t>
            </w:r>
          </w:p>
        </w:tc>
        <w:tc>
          <w:tcPr>
            <w:tcW w:w="3543" w:type="dxa"/>
          </w:tcPr>
          <w:p w14:paraId="10B92AEE" w14:textId="0020E339" w:rsidR="00D41A32" w:rsidRPr="00610B1B" w:rsidRDefault="00D41A32" w:rsidP="00D41A32">
            <w:pPr>
              <w:pStyle w:val="BodyText"/>
              <w:spacing w:before="0" w:after="0" w:line="240" w:lineRule="auto"/>
              <w:rPr>
                <w:rFonts w:cs="Times New Roman"/>
                <w:bCs/>
                <w:sz w:val="20"/>
                <w:szCs w:val="20"/>
              </w:rPr>
            </w:pPr>
            <w:r w:rsidRPr="00610B1B">
              <w:rPr>
                <w:rFonts w:cs="Times New Roman"/>
                <w:sz w:val="20"/>
                <w:szCs w:val="20"/>
              </w:rPr>
              <w:t>Чл. 7 на същия правилник</w:t>
            </w:r>
          </w:p>
        </w:tc>
      </w:tr>
      <w:tr w:rsidR="00D41A32" w:rsidRPr="00610B1B" w14:paraId="25A0C559" w14:textId="77777777" w:rsidTr="009D32BB">
        <w:tc>
          <w:tcPr>
            <w:tcW w:w="2126" w:type="dxa"/>
            <w:vMerge/>
            <w:vAlign w:val="center"/>
          </w:tcPr>
          <w:p w14:paraId="01B3DDBA"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6C4DE449" w14:textId="306D6BD5" w:rsidR="00D41A32" w:rsidRPr="00610B1B" w:rsidRDefault="00D41A32" w:rsidP="00D41A32">
            <w:pPr>
              <w:pStyle w:val="BodyText"/>
              <w:spacing w:before="0" w:after="0" w:line="240" w:lineRule="auto"/>
              <w:jc w:val="left"/>
              <w:rPr>
                <w:rFonts w:cs="Times New Roman"/>
                <w:bCs/>
                <w:sz w:val="20"/>
                <w:szCs w:val="20"/>
              </w:rPr>
            </w:pPr>
            <w:r w:rsidRPr="00610B1B">
              <w:rPr>
                <w:rFonts w:cs="Times New Roman"/>
                <w:sz w:val="20"/>
                <w:szCs w:val="20"/>
              </w:rPr>
              <w:t>Съгласува проекта на МППРБ преди приемането му от Националния експертен съвет по устройство на територията и регионална политика и преди одобряването му с решение на Министерския съвет.</w:t>
            </w:r>
          </w:p>
        </w:tc>
        <w:tc>
          <w:tcPr>
            <w:tcW w:w="3543" w:type="dxa"/>
          </w:tcPr>
          <w:p w14:paraId="033BBBD0" w14:textId="585A12E2" w:rsidR="00D41A32" w:rsidRPr="00610B1B" w:rsidRDefault="00D41A32" w:rsidP="00D41A32">
            <w:pPr>
              <w:pStyle w:val="BodyText"/>
              <w:spacing w:before="0" w:after="0" w:line="240" w:lineRule="auto"/>
              <w:rPr>
                <w:rFonts w:cs="Times New Roman"/>
                <w:bCs/>
                <w:sz w:val="20"/>
                <w:szCs w:val="20"/>
              </w:rPr>
            </w:pPr>
            <w:r w:rsidRPr="00610B1B">
              <w:rPr>
                <w:rFonts w:cs="Times New Roman"/>
                <w:sz w:val="20"/>
                <w:szCs w:val="20"/>
              </w:rPr>
              <w:t>Чл. 8 на същия правилник</w:t>
            </w:r>
          </w:p>
        </w:tc>
      </w:tr>
      <w:tr w:rsidR="00D41A32" w:rsidRPr="00610B1B" w14:paraId="41414D00" w14:textId="77777777" w:rsidTr="009D32BB">
        <w:tc>
          <w:tcPr>
            <w:tcW w:w="2126" w:type="dxa"/>
            <w:vMerge/>
            <w:vAlign w:val="center"/>
          </w:tcPr>
          <w:p w14:paraId="7A40F824"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297C891F" w14:textId="70CE8665" w:rsidR="00D41A32" w:rsidRPr="00610B1B" w:rsidRDefault="00D41A32" w:rsidP="00D41A32">
            <w:pPr>
              <w:pStyle w:val="BodyText"/>
              <w:spacing w:before="0" w:after="0" w:line="240" w:lineRule="auto"/>
              <w:jc w:val="left"/>
              <w:rPr>
                <w:rFonts w:cs="Times New Roman"/>
                <w:bCs/>
                <w:sz w:val="20"/>
                <w:szCs w:val="20"/>
              </w:rPr>
            </w:pPr>
            <w:r w:rsidRPr="00610B1B">
              <w:rPr>
                <w:rFonts w:cs="Times New Roman"/>
                <w:sz w:val="20"/>
                <w:szCs w:val="20"/>
              </w:rPr>
              <w:t>Наблюдава и анализира хода на разработването и изпълнението на МППРБ и дава необходимите предложения за актуализирането му.</w:t>
            </w:r>
          </w:p>
        </w:tc>
        <w:tc>
          <w:tcPr>
            <w:tcW w:w="3543" w:type="dxa"/>
          </w:tcPr>
          <w:p w14:paraId="29A53079" w14:textId="384959B5" w:rsidR="00D41A32" w:rsidRPr="00610B1B" w:rsidRDefault="00D41A32" w:rsidP="00D41A32">
            <w:pPr>
              <w:pStyle w:val="BodyText"/>
              <w:spacing w:before="0" w:after="0" w:line="240" w:lineRule="auto"/>
              <w:rPr>
                <w:rFonts w:cs="Times New Roman"/>
                <w:bCs/>
                <w:sz w:val="20"/>
                <w:szCs w:val="20"/>
              </w:rPr>
            </w:pPr>
            <w:r w:rsidRPr="00610B1B">
              <w:rPr>
                <w:rFonts w:cs="Times New Roman"/>
                <w:sz w:val="20"/>
                <w:szCs w:val="20"/>
              </w:rPr>
              <w:t>Чл. 9 на същия правилник</w:t>
            </w:r>
          </w:p>
        </w:tc>
      </w:tr>
      <w:tr w:rsidR="00D41A32" w:rsidRPr="00610B1B" w14:paraId="00987F2D" w14:textId="77777777" w:rsidTr="009D32BB">
        <w:tc>
          <w:tcPr>
            <w:tcW w:w="2126" w:type="dxa"/>
            <w:vAlign w:val="center"/>
          </w:tcPr>
          <w:p w14:paraId="2D786718" w14:textId="53A6EB93"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Национален експертен съвет по устройство на територията и регионалната политика (НЕСУТРП)</w:t>
            </w:r>
          </w:p>
        </w:tc>
        <w:tc>
          <w:tcPr>
            <w:tcW w:w="4396" w:type="dxa"/>
          </w:tcPr>
          <w:p w14:paraId="7F17CD25" w14:textId="08281546"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Организира разглеждането, приема МППРБ и неговите изменения и изготвя Протокол от заседанието на съвета. </w:t>
            </w:r>
          </w:p>
        </w:tc>
        <w:tc>
          <w:tcPr>
            <w:tcW w:w="3543" w:type="dxa"/>
          </w:tcPr>
          <w:p w14:paraId="4F2604F1" w14:textId="284F5EDB"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ЗМПВВППРБ, чл. 51е ал. 1</w:t>
            </w:r>
          </w:p>
        </w:tc>
      </w:tr>
      <w:tr w:rsidR="00D41A32" w:rsidRPr="00610B1B" w14:paraId="2B4354AC" w14:textId="77777777" w:rsidTr="009D32BB">
        <w:tc>
          <w:tcPr>
            <w:tcW w:w="2126" w:type="dxa"/>
            <w:vMerge w:val="restart"/>
            <w:vAlign w:val="center"/>
          </w:tcPr>
          <w:p w14:paraId="352AF46E" w14:textId="7915D34C"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ГД „Стратегическо планиране и </w:t>
            </w:r>
            <w:r w:rsidRPr="00610B1B">
              <w:rPr>
                <w:rFonts w:cs="Times New Roman"/>
                <w:sz w:val="20"/>
                <w:szCs w:val="20"/>
              </w:rPr>
              <w:lastRenderedPageBreak/>
              <w:t>програми за регионално развитие“ (ГД „СППРР“)</w:t>
            </w:r>
          </w:p>
        </w:tc>
        <w:tc>
          <w:tcPr>
            <w:tcW w:w="4396" w:type="dxa"/>
          </w:tcPr>
          <w:p w14:paraId="4BEFEE43" w14:textId="2B53B463"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lastRenderedPageBreak/>
              <w:t xml:space="preserve">Координира и контролира дейностите по морското пространствено планиране и </w:t>
            </w:r>
            <w:r w:rsidRPr="00610B1B">
              <w:rPr>
                <w:rFonts w:cs="Times New Roman"/>
                <w:sz w:val="20"/>
                <w:szCs w:val="20"/>
              </w:rPr>
              <w:lastRenderedPageBreak/>
              <w:t>разработването на МППРБ, осъществява наблюдение и контрол на МППРБ, внася МППРБ за приемане от Националния експертен съвет по устройство на територията и регионална политика и подготвя документите за одобряване от Министерския съвет.</w:t>
            </w:r>
            <w:r w:rsidR="00D66FE0" w:rsidRPr="00610B1B">
              <w:rPr>
                <w:rFonts w:cs="Times New Roman"/>
                <w:sz w:val="20"/>
                <w:szCs w:val="20"/>
              </w:rPr>
              <w:t xml:space="preserve"> </w:t>
            </w:r>
            <w:r w:rsidRPr="00610B1B">
              <w:rPr>
                <w:rFonts w:cs="Times New Roman"/>
                <w:sz w:val="20"/>
                <w:szCs w:val="20"/>
              </w:rPr>
              <w:t>Провежда обществено обсъждане на МППРБ и консултации по Стратегическата екологична оценка и/или оценка за съвместимост, следи за публикуването и актуализирането на МППРБ на страницата на МРРБ.</w:t>
            </w:r>
          </w:p>
        </w:tc>
        <w:tc>
          <w:tcPr>
            <w:tcW w:w="3543" w:type="dxa"/>
            <w:vMerge w:val="restart"/>
          </w:tcPr>
          <w:p w14:paraId="20E91D75"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lastRenderedPageBreak/>
              <w:t xml:space="preserve">Устройствен правилник на Министерството на регионалното </w:t>
            </w:r>
            <w:r w:rsidRPr="00610B1B">
              <w:rPr>
                <w:rFonts w:cs="Times New Roman"/>
                <w:sz w:val="20"/>
                <w:szCs w:val="20"/>
              </w:rPr>
              <w:lastRenderedPageBreak/>
              <w:t>развитие и благоустройството</w:t>
            </w:r>
          </w:p>
          <w:p w14:paraId="4E94530F" w14:textId="2A1BC654"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Обн. ДВ. бр. 68/22.08.2017 г., изм. и доп. ДВ. бр. 57/26.06.2020 г. </w:t>
            </w:r>
          </w:p>
        </w:tc>
      </w:tr>
      <w:tr w:rsidR="00D41A32" w:rsidRPr="005C2B9F" w14:paraId="70784587" w14:textId="77777777" w:rsidTr="009D32BB">
        <w:tc>
          <w:tcPr>
            <w:tcW w:w="2126" w:type="dxa"/>
            <w:vMerge/>
            <w:vAlign w:val="center"/>
          </w:tcPr>
          <w:p w14:paraId="2AAF926D"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2C9136E4" w14:textId="7E0E4BC5"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Координира съгласуването на МППРБ с останалите черноморски страни</w:t>
            </w:r>
          </w:p>
        </w:tc>
        <w:tc>
          <w:tcPr>
            <w:tcW w:w="3543" w:type="dxa"/>
            <w:vMerge/>
          </w:tcPr>
          <w:p w14:paraId="59F393C1"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615D8742" w14:textId="77777777" w:rsidTr="009D32BB">
        <w:tc>
          <w:tcPr>
            <w:tcW w:w="2126" w:type="dxa"/>
            <w:vMerge/>
            <w:vAlign w:val="center"/>
          </w:tcPr>
          <w:p w14:paraId="28DEB7C5"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033CCEF2" w14:textId="3F02BD57"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Провежда обществено обсъждане на МППРБ и консултациите по стратегическа екологична оценка и/или оценка за съвместимост.</w:t>
            </w:r>
          </w:p>
        </w:tc>
        <w:tc>
          <w:tcPr>
            <w:tcW w:w="3543" w:type="dxa"/>
            <w:vMerge/>
          </w:tcPr>
          <w:p w14:paraId="4EDBCD3D"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403B38C3" w14:textId="77777777" w:rsidTr="009D32BB">
        <w:tc>
          <w:tcPr>
            <w:tcW w:w="2126" w:type="dxa"/>
            <w:vMerge/>
            <w:vAlign w:val="center"/>
          </w:tcPr>
          <w:p w14:paraId="1A72946A"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8B4568A" w14:textId="63A29674"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Следи за публикуването и актуализирането на МППРБ на страницата на МРРБ.</w:t>
            </w:r>
          </w:p>
        </w:tc>
        <w:tc>
          <w:tcPr>
            <w:tcW w:w="3543" w:type="dxa"/>
            <w:vMerge/>
          </w:tcPr>
          <w:p w14:paraId="7968B02A"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10329406" w14:textId="77777777" w:rsidTr="009D32BB">
        <w:tc>
          <w:tcPr>
            <w:tcW w:w="2126" w:type="dxa"/>
            <w:vMerge/>
            <w:vAlign w:val="center"/>
          </w:tcPr>
          <w:p w14:paraId="448D9284"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063ABDC7" w14:textId="735CE8A9"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Изпълнява функциите на секретариат на Консултативния съвет по въпросите на морското пространствено планиране в съответствие с Устройствения правилник на МРРБ и с Правилника за дейността на Консултативния съвет, чл. 15 ал. 2.</w:t>
            </w:r>
          </w:p>
        </w:tc>
        <w:tc>
          <w:tcPr>
            <w:tcW w:w="3543" w:type="dxa"/>
          </w:tcPr>
          <w:p w14:paraId="0547F6FC"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Правилник за функциите, задачите и състава на Консултативния съвет по въпросите на морското пространствено планиране към министъра на регионалното развитие и благоустройството. </w:t>
            </w:r>
          </w:p>
          <w:p w14:paraId="168F3D62" w14:textId="74807276" w:rsidR="00D41A32" w:rsidRPr="00610B1B" w:rsidRDefault="00D41A32" w:rsidP="009907CE">
            <w:pPr>
              <w:pStyle w:val="BodyText"/>
              <w:spacing w:before="0" w:after="0" w:line="240" w:lineRule="auto"/>
              <w:ind w:right="-259"/>
              <w:jc w:val="left"/>
              <w:rPr>
                <w:rFonts w:cs="Times New Roman"/>
                <w:sz w:val="20"/>
                <w:szCs w:val="20"/>
              </w:rPr>
            </w:pPr>
            <w:r w:rsidRPr="00610B1B">
              <w:rPr>
                <w:rFonts w:cs="Times New Roman"/>
                <w:sz w:val="20"/>
                <w:szCs w:val="20"/>
              </w:rPr>
              <w:t>Обн. ДВ</w:t>
            </w:r>
            <w:r w:rsidR="00C415D1" w:rsidRPr="00610B1B">
              <w:rPr>
                <w:rFonts w:cs="Times New Roman"/>
                <w:sz w:val="20"/>
                <w:szCs w:val="20"/>
              </w:rPr>
              <w:t xml:space="preserve"> </w:t>
            </w:r>
            <w:r w:rsidRPr="00610B1B">
              <w:rPr>
                <w:rFonts w:cs="Times New Roman"/>
                <w:sz w:val="20"/>
                <w:szCs w:val="20"/>
              </w:rPr>
              <w:t xml:space="preserve">бр. 79/25.09.2018 г., чл. 15 ал. 1 </w:t>
            </w:r>
          </w:p>
        </w:tc>
      </w:tr>
      <w:tr w:rsidR="00D41A32" w:rsidRPr="00610B1B" w14:paraId="1863FF99" w14:textId="77777777" w:rsidTr="009D32BB">
        <w:tc>
          <w:tcPr>
            <w:tcW w:w="2126" w:type="dxa"/>
            <w:vMerge w:val="restart"/>
            <w:vAlign w:val="center"/>
          </w:tcPr>
          <w:p w14:paraId="2E740BD3" w14:textId="0FAAA8AA"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Дирекция "Устройство на територията и административно-териториално устройство" </w:t>
            </w:r>
          </w:p>
        </w:tc>
        <w:tc>
          <w:tcPr>
            <w:tcW w:w="4396" w:type="dxa"/>
          </w:tcPr>
          <w:p w14:paraId="34F66EBA" w14:textId="1153C74B"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Подпомага министъра при осъществяването на политиката по устройство на територията в неговата компетентност съгласно ЗУТ, ЗУЧК, ЗМПВВППРБ.</w:t>
            </w:r>
          </w:p>
        </w:tc>
        <w:tc>
          <w:tcPr>
            <w:tcW w:w="3543" w:type="dxa"/>
            <w:vMerge w:val="restart"/>
          </w:tcPr>
          <w:p w14:paraId="6D029D93" w14:textId="142F26E2"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Чл. 32 на Устройствения правилник на МРРБ, </w:t>
            </w:r>
            <w:r w:rsidRPr="00610B1B">
              <w:rPr>
                <w:rFonts w:eastAsiaTheme="minorEastAsia" w:cs="Times New Roman"/>
                <w:bCs/>
                <w:sz w:val="20"/>
                <w:szCs w:val="20"/>
              </w:rPr>
              <w:t>Обн. ДВ бр.</w:t>
            </w:r>
            <w:r w:rsidR="00D66FE0" w:rsidRPr="00610B1B">
              <w:rPr>
                <w:rFonts w:eastAsiaTheme="minorEastAsia" w:cs="Times New Roman"/>
                <w:bCs/>
                <w:sz w:val="20"/>
                <w:szCs w:val="20"/>
              </w:rPr>
              <w:t xml:space="preserve"> </w:t>
            </w:r>
            <w:r w:rsidRPr="00610B1B">
              <w:rPr>
                <w:rFonts w:cs="Times New Roman"/>
                <w:sz w:val="20"/>
                <w:szCs w:val="20"/>
              </w:rPr>
              <w:t>68/22.08.2017, изм. и доп. ДВ бр. 57/26.06.2020</w:t>
            </w:r>
          </w:p>
        </w:tc>
      </w:tr>
      <w:tr w:rsidR="00D41A32" w:rsidRPr="005C2B9F" w14:paraId="0970A877" w14:textId="77777777" w:rsidTr="009D32BB">
        <w:tc>
          <w:tcPr>
            <w:tcW w:w="2126" w:type="dxa"/>
            <w:vMerge/>
            <w:vAlign w:val="center"/>
          </w:tcPr>
          <w:p w14:paraId="0A978271"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173E5D1" w14:textId="462FB143"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Изготвя становища и съгласува проекти на устройствени планове и техни изменения съгласно ЗУТ, ЗУЧК, ЗМПВВППРБ.</w:t>
            </w:r>
          </w:p>
        </w:tc>
        <w:tc>
          <w:tcPr>
            <w:tcW w:w="3543" w:type="dxa"/>
            <w:vMerge/>
          </w:tcPr>
          <w:p w14:paraId="064468AF"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0148A3EF" w14:textId="77777777" w:rsidTr="009D32BB">
        <w:tc>
          <w:tcPr>
            <w:tcW w:w="2126" w:type="dxa"/>
            <w:vMerge/>
            <w:vAlign w:val="center"/>
          </w:tcPr>
          <w:p w14:paraId="2E40835F"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BFC93B9" w14:textId="59AFD883"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Организира и осигурява дейността на Националния експертен съвет по устройство на територията и регионална политика (НЕСУТРП) за разглеждане на проекти на общи и подробни устройствени планове, на проект на МППРБ и неговите изменения, както и специфични правила и нормативи към тях съгласно ЗУТ, ЗУЧК, ЗМПВВППРБ</w:t>
            </w:r>
          </w:p>
        </w:tc>
        <w:tc>
          <w:tcPr>
            <w:tcW w:w="3543" w:type="dxa"/>
            <w:vMerge/>
          </w:tcPr>
          <w:p w14:paraId="23BC1399"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610B1B" w14:paraId="292B3D0E" w14:textId="77777777" w:rsidTr="009D32BB">
        <w:tc>
          <w:tcPr>
            <w:tcW w:w="2126" w:type="dxa"/>
            <w:vMerge w:val="restart"/>
            <w:vAlign w:val="center"/>
          </w:tcPr>
          <w:p w14:paraId="090F2B6B" w14:textId="5FEF536A"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Дирекция "Геозащита и благоустройствени дейности" </w:t>
            </w:r>
          </w:p>
        </w:tc>
        <w:tc>
          <w:tcPr>
            <w:tcW w:w="4396" w:type="dxa"/>
          </w:tcPr>
          <w:p w14:paraId="2601635E" w14:textId="46E6209F"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Осъществява комплекс от дейности за регистриране и мониторинг на свлачищни райони на територията на Р.България и на абразионните и ерозионните процеси по Черноморското и Дунавското крайбрежие и за превенция на застрашени или засегнати от тях урбанизирани територии чрез държавните дружества за геозащита.</w:t>
            </w:r>
          </w:p>
        </w:tc>
        <w:tc>
          <w:tcPr>
            <w:tcW w:w="3543" w:type="dxa"/>
            <w:vMerge w:val="restart"/>
          </w:tcPr>
          <w:p w14:paraId="1E4DC92B" w14:textId="6A3E590D"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Чл. 35 на Устройствения правилник на МРРБ,</w:t>
            </w:r>
            <w:r w:rsidRPr="00610B1B">
              <w:rPr>
                <w:rFonts w:eastAsiaTheme="minorEastAsia" w:cs="Times New Roman"/>
                <w:bCs/>
                <w:sz w:val="20"/>
                <w:szCs w:val="20"/>
              </w:rPr>
              <w:t xml:space="preserve"> Обн. ДВ бр.</w:t>
            </w:r>
            <w:r w:rsidR="00D66FE0" w:rsidRPr="00610B1B">
              <w:rPr>
                <w:rFonts w:eastAsiaTheme="minorEastAsia" w:cs="Times New Roman"/>
                <w:bCs/>
                <w:sz w:val="20"/>
                <w:szCs w:val="20"/>
              </w:rPr>
              <w:t xml:space="preserve"> </w:t>
            </w:r>
            <w:r w:rsidRPr="00610B1B">
              <w:rPr>
                <w:rFonts w:cs="Times New Roman"/>
                <w:sz w:val="20"/>
                <w:szCs w:val="20"/>
              </w:rPr>
              <w:t>68/22.08.2017, изм. и доп. ДВ бр. 57/26.06.2020</w:t>
            </w:r>
          </w:p>
        </w:tc>
      </w:tr>
      <w:tr w:rsidR="00D41A32" w:rsidRPr="005C2B9F" w14:paraId="49515041" w14:textId="77777777" w:rsidTr="009D32BB">
        <w:tc>
          <w:tcPr>
            <w:tcW w:w="2126" w:type="dxa"/>
            <w:vMerge/>
            <w:vAlign w:val="center"/>
          </w:tcPr>
          <w:p w14:paraId="78F1E7BA"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353D303" w14:textId="43E950D2"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Създава и поддържа регистър на свлачищните райони в страната и на районите с абразионни и ерозионни процеси по Черноморското и Дунавското крайбрежие и извършва координация между отделните ведомства за ограничаване на свлачищата на територията на Република България и за предотвратяване на аварии и щети.</w:t>
            </w:r>
          </w:p>
        </w:tc>
        <w:tc>
          <w:tcPr>
            <w:tcW w:w="3543" w:type="dxa"/>
            <w:vMerge/>
          </w:tcPr>
          <w:p w14:paraId="71D31173"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610B1B" w14:paraId="2564943D" w14:textId="77777777" w:rsidTr="009D32BB">
        <w:tc>
          <w:tcPr>
            <w:tcW w:w="2126" w:type="dxa"/>
            <w:vMerge w:val="restart"/>
            <w:vAlign w:val="center"/>
          </w:tcPr>
          <w:p w14:paraId="00692621" w14:textId="2859E96D"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Дирекция „Управление на териториалното </w:t>
            </w:r>
            <w:r w:rsidRPr="00610B1B">
              <w:rPr>
                <w:rFonts w:cs="Times New Roman"/>
                <w:sz w:val="20"/>
                <w:szCs w:val="20"/>
              </w:rPr>
              <w:lastRenderedPageBreak/>
              <w:t>сътрудничество“</w:t>
            </w:r>
          </w:p>
        </w:tc>
        <w:tc>
          <w:tcPr>
            <w:tcW w:w="4396" w:type="dxa"/>
          </w:tcPr>
          <w:p w14:paraId="60796AEC" w14:textId="45556F20"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lastRenderedPageBreak/>
              <w:t xml:space="preserve">Изпълнява функциите на: </w:t>
            </w:r>
          </w:p>
          <w:p w14:paraId="745ACE48" w14:textId="666AA606" w:rsidR="00D41A32" w:rsidRPr="00610B1B" w:rsidRDefault="00D41A32" w:rsidP="00D41A32">
            <w:pPr>
              <w:pStyle w:val="BodyText"/>
              <w:numPr>
                <w:ilvl w:val="0"/>
                <w:numId w:val="80"/>
              </w:numPr>
              <w:spacing w:before="0" w:after="0" w:line="240" w:lineRule="auto"/>
              <w:ind w:left="267" w:hanging="267"/>
              <w:rPr>
                <w:rFonts w:cs="Times New Roman"/>
                <w:sz w:val="20"/>
                <w:szCs w:val="20"/>
              </w:rPr>
            </w:pPr>
            <w:r w:rsidRPr="00610B1B">
              <w:rPr>
                <w:rFonts w:cs="Times New Roman"/>
                <w:sz w:val="20"/>
                <w:szCs w:val="20"/>
              </w:rPr>
              <w:t xml:space="preserve">Управляващ орган на програмите за ТГС по Инструмента за предприсъединителна помощ </w:t>
            </w:r>
            <w:r w:rsidRPr="00610B1B">
              <w:rPr>
                <w:rFonts w:cs="Times New Roman"/>
                <w:sz w:val="20"/>
                <w:szCs w:val="20"/>
              </w:rPr>
              <w:lastRenderedPageBreak/>
              <w:t>2014-2020 между Р. България и Р. Турция.</w:t>
            </w:r>
          </w:p>
          <w:p w14:paraId="066DD5D8" w14:textId="1FB5D6B8" w:rsidR="00D41A32" w:rsidRPr="00610B1B" w:rsidRDefault="00D41A32" w:rsidP="00D41A32">
            <w:pPr>
              <w:pStyle w:val="BodyText"/>
              <w:numPr>
                <w:ilvl w:val="0"/>
                <w:numId w:val="80"/>
              </w:numPr>
              <w:spacing w:before="0" w:after="0" w:line="240" w:lineRule="auto"/>
              <w:ind w:left="267" w:hanging="267"/>
              <w:rPr>
                <w:rFonts w:cs="Times New Roman"/>
                <w:sz w:val="20"/>
                <w:szCs w:val="20"/>
              </w:rPr>
            </w:pPr>
            <w:r w:rsidRPr="00610B1B">
              <w:rPr>
                <w:rFonts w:cs="Times New Roman"/>
                <w:sz w:val="20"/>
                <w:szCs w:val="20"/>
              </w:rPr>
              <w:t>Национален орган за програмите за ТГС по вътрешните граници на ЕС 2014-2020 между Р. Румъния и Р. България.</w:t>
            </w:r>
          </w:p>
          <w:p w14:paraId="5CE86E4B" w14:textId="7066B532" w:rsidR="00D41A32" w:rsidRPr="00610B1B" w:rsidRDefault="00D41A32" w:rsidP="00D41A32">
            <w:pPr>
              <w:pStyle w:val="BodyText"/>
              <w:numPr>
                <w:ilvl w:val="0"/>
                <w:numId w:val="80"/>
              </w:numPr>
              <w:spacing w:before="0" w:after="0" w:line="240" w:lineRule="auto"/>
              <w:ind w:left="267" w:hanging="267"/>
              <w:rPr>
                <w:rFonts w:cs="Times New Roman"/>
                <w:sz w:val="20"/>
                <w:szCs w:val="20"/>
              </w:rPr>
            </w:pPr>
            <w:r w:rsidRPr="00610B1B">
              <w:rPr>
                <w:rFonts w:cs="Times New Roman"/>
                <w:sz w:val="20"/>
                <w:szCs w:val="20"/>
              </w:rPr>
              <w:t>Национален орган и Информационно звено по Съвместната оперативна програма за трансгранично сътрудничество Черноморски басейн 2014 2020;</w:t>
            </w:r>
          </w:p>
        </w:tc>
        <w:tc>
          <w:tcPr>
            <w:tcW w:w="3543" w:type="dxa"/>
          </w:tcPr>
          <w:p w14:paraId="5BDC16D3" w14:textId="7EFFBA1D"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lastRenderedPageBreak/>
              <w:t xml:space="preserve">Устройствен правилник на МРРБ чл. 29 ал. 1, </w:t>
            </w:r>
            <w:r w:rsidRPr="00610B1B">
              <w:rPr>
                <w:rFonts w:eastAsiaTheme="minorEastAsia" w:cs="Times New Roman"/>
                <w:bCs/>
                <w:sz w:val="20"/>
                <w:szCs w:val="20"/>
              </w:rPr>
              <w:t>Обн. ДВ бр.</w:t>
            </w:r>
            <w:r w:rsidR="00D66FE0" w:rsidRPr="00610B1B">
              <w:rPr>
                <w:rFonts w:eastAsiaTheme="minorEastAsia" w:cs="Times New Roman"/>
                <w:bCs/>
                <w:sz w:val="20"/>
                <w:szCs w:val="20"/>
              </w:rPr>
              <w:t xml:space="preserve"> </w:t>
            </w:r>
            <w:r w:rsidRPr="00610B1B">
              <w:rPr>
                <w:rFonts w:cs="Times New Roman"/>
                <w:sz w:val="20"/>
                <w:szCs w:val="20"/>
              </w:rPr>
              <w:t>68/22.08.2017, изм. и доп. ДВ бр. 57/26.06.2020</w:t>
            </w:r>
          </w:p>
        </w:tc>
      </w:tr>
      <w:tr w:rsidR="00D41A32" w:rsidRPr="005C2B9F" w14:paraId="16FEB6E0" w14:textId="77777777" w:rsidTr="009D32BB">
        <w:tc>
          <w:tcPr>
            <w:tcW w:w="2126" w:type="dxa"/>
            <w:vMerge/>
            <w:vAlign w:val="center"/>
          </w:tcPr>
          <w:p w14:paraId="7257EFCE"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297AAFF" w14:textId="7C4B40D1"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Същите функции и ангажименти по разработването на програмите за следващия програмен период 2021-2027 г.</w:t>
            </w:r>
          </w:p>
        </w:tc>
        <w:tc>
          <w:tcPr>
            <w:tcW w:w="3543" w:type="dxa"/>
          </w:tcPr>
          <w:p w14:paraId="7F87C788"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610B1B" w14:paraId="63D2C0EE" w14:textId="77777777" w:rsidTr="009D32BB">
        <w:tc>
          <w:tcPr>
            <w:tcW w:w="2126" w:type="dxa"/>
            <w:vMerge w:val="restart"/>
            <w:vAlign w:val="center"/>
          </w:tcPr>
          <w:p w14:paraId="0B7BE79E" w14:textId="4CE6234D"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Агенция по геодезия, картография и кадастър</w:t>
            </w:r>
            <w:r w:rsidR="00D66FE0" w:rsidRPr="00610B1B">
              <w:rPr>
                <w:rFonts w:cs="Times New Roman"/>
                <w:sz w:val="20"/>
                <w:szCs w:val="20"/>
              </w:rPr>
              <w:t xml:space="preserve"> </w:t>
            </w:r>
            <w:r w:rsidRPr="00610B1B">
              <w:rPr>
                <w:rFonts w:cs="Times New Roman"/>
                <w:sz w:val="20"/>
                <w:szCs w:val="20"/>
              </w:rPr>
              <w:t>(АГКК)</w:t>
            </w:r>
          </w:p>
        </w:tc>
        <w:tc>
          <w:tcPr>
            <w:tcW w:w="4396" w:type="dxa"/>
          </w:tcPr>
          <w:p w14:paraId="2B714595" w14:textId="1F4C6117" w:rsidR="00D41A32" w:rsidRPr="00610B1B" w:rsidRDefault="00D41A32" w:rsidP="00D41A32">
            <w:pPr>
              <w:rPr>
                <w:rFonts w:ascii="Times New Roman" w:eastAsia="Source Han Sans CN Regular" w:hAnsi="Times New Roman" w:cs="Times New Roman"/>
                <w:sz w:val="20"/>
                <w:szCs w:val="20"/>
                <w:lang w:val="bg-BG" w:eastAsia="zh-CN" w:bidi="hi-IN"/>
              </w:rPr>
            </w:pPr>
            <w:r w:rsidRPr="00610B1B">
              <w:rPr>
                <w:rFonts w:ascii="Times New Roman" w:eastAsia="Source Han Sans CN Regular" w:hAnsi="Times New Roman" w:cs="Times New Roman"/>
                <w:sz w:val="20"/>
                <w:szCs w:val="20"/>
                <w:lang w:val="bg-BG" w:eastAsia="zh-CN" w:bidi="hi-IN"/>
              </w:rPr>
              <w:t>Изпълнителният директор на АГКК организира и координира дейностите по създаването и поддържането на специализираните карти и регистри на обектите по чл. 6, ал. 4 и 5 ЗУЧК.</w:t>
            </w:r>
          </w:p>
        </w:tc>
        <w:tc>
          <w:tcPr>
            <w:tcW w:w="3543" w:type="dxa"/>
          </w:tcPr>
          <w:p w14:paraId="33872CE9" w14:textId="6F8B2B93"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Устройствен правилник на Агенцията по геодезия, картография и кадастър, Обн. ДВ. бр.76/30.09.2016 г., изм. и доп. ДВ. бр. 54/16.06.2020 г. чл. 4 ал. 1 т.10</w:t>
            </w:r>
          </w:p>
        </w:tc>
      </w:tr>
      <w:tr w:rsidR="00D41A32" w:rsidRPr="005C2B9F" w14:paraId="2467080B" w14:textId="77777777" w:rsidTr="009D32BB">
        <w:tc>
          <w:tcPr>
            <w:tcW w:w="2126" w:type="dxa"/>
            <w:vMerge/>
            <w:vAlign w:val="center"/>
          </w:tcPr>
          <w:p w14:paraId="041485D3"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225EB2B7" w14:textId="310BA056" w:rsidR="00D41A32" w:rsidRPr="00610B1B" w:rsidRDefault="00D41A32" w:rsidP="00D41A32">
            <w:pPr>
              <w:rPr>
                <w:rFonts w:ascii="Times New Roman" w:eastAsia="Source Han Sans CN Regular" w:hAnsi="Times New Roman" w:cs="Times New Roman"/>
                <w:sz w:val="20"/>
                <w:szCs w:val="20"/>
                <w:lang w:val="bg-BG" w:eastAsia="zh-CN" w:bidi="hi-IN"/>
              </w:rPr>
            </w:pPr>
            <w:r w:rsidRPr="00610B1B">
              <w:rPr>
                <w:rFonts w:ascii="Times New Roman" w:eastAsia="Source Han Sans CN Regular" w:hAnsi="Times New Roman" w:cs="Times New Roman"/>
                <w:sz w:val="20"/>
                <w:szCs w:val="20"/>
                <w:lang w:val="bg-BG" w:eastAsia="zh-CN" w:bidi="hi-IN"/>
              </w:rPr>
              <w:t>Организира и контролира изграждането и поддържането на инфраструктура за пространствени данни в изпълнение на ангажиментите на АГКК съгласно Закона за достъп до пространствени данни и Директива 2007/2/ЕО на Европейския парламент и на Съвета за създаване на инфраструктура за пространствена информация в Европейската общност (INSPIRE).</w:t>
            </w:r>
          </w:p>
        </w:tc>
        <w:tc>
          <w:tcPr>
            <w:tcW w:w="3543" w:type="dxa"/>
          </w:tcPr>
          <w:p w14:paraId="25FADFC3" w14:textId="1280D355"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Чл. 17 т. 11 на същия правилник</w:t>
            </w:r>
          </w:p>
        </w:tc>
      </w:tr>
      <w:tr w:rsidR="00D41A32" w:rsidRPr="005C2B9F" w14:paraId="7F086BA8" w14:textId="77777777" w:rsidTr="009D32BB">
        <w:tc>
          <w:tcPr>
            <w:tcW w:w="2126" w:type="dxa"/>
            <w:vMerge/>
            <w:vAlign w:val="center"/>
          </w:tcPr>
          <w:p w14:paraId="65D7879A"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187A1855" w14:textId="3D08F774" w:rsidR="00D41A32" w:rsidRPr="00610B1B" w:rsidRDefault="00D41A32" w:rsidP="00D41A32">
            <w:pPr>
              <w:rPr>
                <w:rFonts w:ascii="Times New Roman" w:eastAsia="Source Han Sans CN Regular" w:hAnsi="Times New Roman" w:cs="Times New Roman"/>
                <w:sz w:val="20"/>
                <w:szCs w:val="20"/>
                <w:lang w:val="bg-BG" w:eastAsia="zh-CN" w:bidi="hi-IN"/>
              </w:rPr>
            </w:pPr>
            <w:r w:rsidRPr="00610B1B">
              <w:rPr>
                <w:rFonts w:ascii="Times New Roman" w:eastAsia="Source Han Sans CN Regular" w:hAnsi="Times New Roman" w:cs="Times New Roman"/>
                <w:sz w:val="20"/>
                <w:szCs w:val="20"/>
                <w:lang w:val="bg-BG" w:eastAsia="zh-CN" w:bidi="hi-IN"/>
              </w:rPr>
              <w:t>Организира и контролира създаването на метаданни с определено съдържание за масивите от пространствени данни и услуги, попадащи в приложното поле на Директива 2007/2/ЕО.</w:t>
            </w:r>
          </w:p>
        </w:tc>
        <w:tc>
          <w:tcPr>
            <w:tcW w:w="3543" w:type="dxa"/>
          </w:tcPr>
          <w:p w14:paraId="1F04323F" w14:textId="4D404910"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Чл. 17 т. 12 на същия правилник</w:t>
            </w:r>
          </w:p>
        </w:tc>
      </w:tr>
      <w:tr w:rsidR="00D41A32" w:rsidRPr="005C2B9F" w14:paraId="59C0A542" w14:textId="77777777" w:rsidTr="009D32BB">
        <w:tc>
          <w:tcPr>
            <w:tcW w:w="2126" w:type="dxa"/>
            <w:vMerge/>
            <w:vAlign w:val="center"/>
          </w:tcPr>
          <w:p w14:paraId="0E27C326"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26765250" w14:textId="04046506" w:rsidR="00D41A32" w:rsidRPr="00610B1B" w:rsidRDefault="00D41A32" w:rsidP="00D41A32">
            <w:pPr>
              <w:rPr>
                <w:rFonts w:ascii="Times New Roman" w:eastAsia="Source Han Sans CN Regular" w:hAnsi="Times New Roman" w:cs="Times New Roman"/>
                <w:sz w:val="20"/>
                <w:szCs w:val="20"/>
                <w:lang w:val="bg-BG" w:eastAsia="zh-CN" w:bidi="hi-IN"/>
              </w:rPr>
            </w:pPr>
            <w:r w:rsidRPr="00610B1B">
              <w:rPr>
                <w:rFonts w:ascii="Times New Roman" w:eastAsia="Source Han Sans CN Regular" w:hAnsi="Times New Roman" w:cs="Times New Roman"/>
                <w:sz w:val="20"/>
                <w:szCs w:val="20"/>
                <w:lang w:val="bg-BG" w:eastAsia="zh-CN" w:bidi="hi-IN"/>
              </w:rPr>
              <w:t>Организира и контролира осигуряването на оперативна съвместимост и хармонизация на масивите от пространствени данни и свързаните с тях услуги.</w:t>
            </w:r>
          </w:p>
        </w:tc>
        <w:tc>
          <w:tcPr>
            <w:tcW w:w="3543" w:type="dxa"/>
          </w:tcPr>
          <w:p w14:paraId="244081CF" w14:textId="46AA54E0"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Чл. 17 т. 13 на същия правилник</w:t>
            </w:r>
          </w:p>
        </w:tc>
      </w:tr>
      <w:tr w:rsidR="00D41A32" w:rsidRPr="005C2B9F" w14:paraId="0120AC90" w14:textId="77777777" w:rsidTr="009D32BB">
        <w:tc>
          <w:tcPr>
            <w:tcW w:w="2126" w:type="dxa"/>
            <w:vMerge w:val="restart"/>
            <w:vAlign w:val="center"/>
          </w:tcPr>
          <w:p w14:paraId="0BFB63C6" w14:textId="4AFA87C2"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 на околната среда и водите (МОСВ)</w:t>
            </w:r>
          </w:p>
        </w:tc>
        <w:tc>
          <w:tcPr>
            <w:tcW w:w="4396" w:type="dxa"/>
          </w:tcPr>
          <w:p w14:paraId="462F4E2A" w14:textId="7AA9680C"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Министърът на околната среда и водите</w:t>
            </w:r>
            <w:r w:rsidR="00D66FE0" w:rsidRPr="00610B1B">
              <w:rPr>
                <w:rFonts w:cs="Times New Roman"/>
                <w:sz w:val="20"/>
                <w:szCs w:val="20"/>
              </w:rPr>
              <w:t xml:space="preserve"> </w:t>
            </w:r>
            <w:r w:rsidRPr="00610B1B">
              <w:rPr>
                <w:rFonts w:cs="Times New Roman"/>
                <w:sz w:val="20"/>
                <w:szCs w:val="20"/>
              </w:rPr>
              <w:t>ръководи чрез Изпълнителната агенция по околна среда (ИАОС) Националната система за мониторинг на околната среда.</w:t>
            </w:r>
          </w:p>
        </w:tc>
        <w:tc>
          <w:tcPr>
            <w:tcW w:w="3543" w:type="dxa"/>
            <w:vMerge w:val="restart"/>
          </w:tcPr>
          <w:p w14:paraId="1FD673AE" w14:textId="4706DD7B"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Устройствен правилник на Министерството на околната среда и водите, обн. ДВ бр. 80/06.10.2017 г. изм. и доп. ДВ бр. 54/16.06.2020 г. чл. 3 ал. 1 </w:t>
            </w:r>
          </w:p>
        </w:tc>
      </w:tr>
      <w:tr w:rsidR="00D41A32" w:rsidRPr="005C2B9F" w14:paraId="2133422F" w14:textId="77777777" w:rsidTr="009D32BB">
        <w:tc>
          <w:tcPr>
            <w:tcW w:w="2126" w:type="dxa"/>
            <w:vMerge/>
            <w:vAlign w:val="center"/>
          </w:tcPr>
          <w:p w14:paraId="703DFB5E"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14E13252" w14:textId="66C17194"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Ежегодно внася в МС доклад за състоянието на околната среда, който след приемането му се публикува като Национален доклад за състоянието и опазването на околната среда.</w:t>
            </w:r>
          </w:p>
        </w:tc>
        <w:tc>
          <w:tcPr>
            <w:tcW w:w="3543" w:type="dxa"/>
            <w:vMerge/>
          </w:tcPr>
          <w:p w14:paraId="1E54404B"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610B1B" w14:paraId="4169A39F" w14:textId="77777777" w:rsidTr="009D32BB">
        <w:tc>
          <w:tcPr>
            <w:tcW w:w="2126" w:type="dxa"/>
            <w:vMerge/>
            <w:vAlign w:val="center"/>
          </w:tcPr>
          <w:p w14:paraId="32821BD1"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4471F4B2" w14:textId="41D24F73"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Осъществява държавната политика за постигане и поддържане на добро състояние на околната среда в морските води. </w:t>
            </w:r>
          </w:p>
        </w:tc>
        <w:tc>
          <w:tcPr>
            <w:tcW w:w="3543" w:type="dxa"/>
            <w:vMerge w:val="restart"/>
          </w:tcPr>
          <w:p w14:paraId="62C52D59" w14:textId="50F467C9"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Наредба за опазване на околната среда в морските води, обн. ДВ бр. 94/30.11.2010 г., изм. и доп. ДВ. бр.14/18.02. 2020 г.</w:t>
            </w:r>
          </w:p>
        </w:tc>
      </w:tr>
      <w:tr w:rsidR="00D41A32" w:rsidRPr="005C2B9F" w14:paraId="3B6A5EAD" w14:textId="77777777" w:rsidTr="009D32BB">
        <w:tc>
          <w:tcPr>
            <w:tcW w:w="2126" w:type="dxa"/>
            <w:vMerge/>
            <w:vAlign w:val="center"/>
          </w:tcPr>
          <w:p w14:paraId="76358C3F"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F5231D0" w14:textId="5DFB6C81"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Ръководи сътрудничеството и координацията с другите държави в рамките на водосборния басейн на Черно море и морския подрегион Егейско море и Леванта.</w:t>
            </w:r>
          </w:p>
        </w:tc>
        <w:tc>
          <w:tcPr>
            <w:tcW w:w="3543" w:type="dxa"/>
            <w:vMerge/>
          </w:tcPr>
          <w:p w14:paraId="0F4DEC2E"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610B1B" w14:paraId="59B5407E" w14:textId="77777777" w:rsidTr="009D32BB">
        <w:tc>
          <w:tcPr>
            <w:tcW w:w="2126" w:type="dxa"/>
            <w:vMerge/>
            <w:vAlign w:val="center"/>
          </w:tcPr>
          <w:p w14:paraId="41FA43F6"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390E1C98" w14:textId="44E39A56"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Съвместно с МТИТС упражнява контрол за спазване на мерките за предотвратяване на аварии, изливане на нефт и други замърсители, както и за своевременно отстраняване на последствията от тях при извършване на проучвателни, сондажни и други дейности по разработването и използването на природните ресурси.</w:t>
            </w:r>
          </w:p>
        </w:tc>
        <w:tc>
          <w:tcPr>
            <w:tcW w:w="3543" w:type="dxa"/>
            <w:shd w:val="clear" w:color="auto" w:fill="auto"/>
          </w:tcPr>
          <w:p w14:paraId="6D6BC018" w14:textId="13B2B927"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Закон за морските пространства, вътрешните водни пътища и пристанищата на Република България, Обн. ДВ. бр.12/11 .02.2000 г.,</w:t>
            </w:r>
            <w:r w:rsidR="008753B6" w:rsidRPr="00610B1B">
              <w:rPr>
                <w:rFonts w:eastAsiaTheme="minorEastAsia" w:cs="Times New Roman"/>
                <w:bCs/>
                <w:sz w:val="20"/>
                <w:szCs w:val="20"/>
              </w:rPr>
              <w:t xml:space="preserve"> </w:t>
            </w:r>
            <w:r w:rsidR="00343A67" w:rsidRPr="00610B1B">
              <w:rPr>
                <w:rFonts w:eastAsiaTheme="minorEastAsia" w:cs="Times New Roman"/>
                <w:bCs/>
                <w:sz w:val="20"/>
                <w:szCs w:val="20"/>
              </w:rPr>
              <w:t xml:space="preserve">изм. ДВ бр. 17/26.02.2021 г., </w:t>
            </w:r>
            <w:r w:rsidRPr="00610B1B">
              <w:rPr>
                <w:rFonts w:eastAsiaTheme="minorEastAsia" w:cs="Times New Roman"/>
                <w:bCs/>
                <w:sz w:val="20"/>
                <w:szCs w:val="20"/>
              </w:rPr>
              <w:t>чл. 90, ал. 1</w:t>
            </w:r>
          </w:p>
        </w:tc>
      </w:tr>
      <w:tr w:rsidR="00D41A32" w:rsidRPr="005C2B9F" w14:paraId="1801010C" w14:textId="77777777" w:rsidTr="009D32BB">
        <w:tc>
          <w:tcPr>
            <w:tcW w:w="2126" w:type="dxa"/>
            <w:vMerge/>
            <w:vAlign w:val="center"/>
          </w:tcPr>
          <w:p w14:paraId="73BE2459"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608572DA" w14:textId="0BFE1A2B"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 xml:space="preserve">Чрез своите специализирани териториални звена упражнява контрол върху бреговите </w:t>
            </w:r>
            <w:r w:rsidRPr="00610B1B">
              <w:rPr>
                <w:rFonts w:eastAsiaTheme="minorEastAsia" w:cs="Times New Roman"/>
                <w:bCs/>
                <w:sz w:val="20"/>
                <w:szCs w:val="20"/>
              </w:rPr>
              <w:lastRenderedPageBreak/>
              <w:t>източници на замърсяване.</w:t>
            </w:r>
          </w:p>
        </w:tc>
        <w:tc>
          <w:tcPr>
            <w:tcW w:w="3543" w:type="dxa"/>
            <w:shd w:val="clear" w:color="auto" w:fill="auto"/>
          </w:tcPr>
          <w:p w14:paraId="7A93ED3C" w14:textId="68C6CAD7"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lastRenderedPageBreak/>
              <w:t xml:space="preserve">Закон за морските пространства, вътрешните водни пътища и </w:t>
            </w:r>
            <w:r w:rsidRPr="00610B1B">
              <w:rPr>
                <w:rFonts w:eastAsiaTheme="minorEastAsia" w:cs="Times New Roman"/>
                <w:bCs/>
                <w:sz w:val="20"/>
                <w:szCs w:val="20"/>
              </w:rPr>
              <w:lastRenderedPageBreak/>
              <w:t>пристанищата на Република България, Обн. ДВ. бр.12/11.02.2000 г., чл. 90, ал. 2</w:t>
            </w:r>
          </w:p>
        </w:tc>
      </w:tr>
      <w:tr w:rsidR="00D41A32" w:rsidRPr="00610B1B" w14:paraId="0ED5A607" w14:textId="77777777" w:rsidTr="009D32BB">
        <w:tc>
          <w:tcPr>
            <w:tcW w:w="2126" w:type="dxa"/>
            <w:vMerge/>
            <w:vAlign w:val="center"/>
          </w:tcPr>
          <w:p w14:paraId="5C212185"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7E0FC095" w14:textId="16008FB6"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Издава наредба за управление качеството на водите за къпане съвместно с министъра на здравеопазването.</w:t>
            </w:r>
          </w:p>
        </w:tc>
        <w:tc>
          <w:tcPr>
            <w:tcW w:w="3543" w:type="dxa"/>
            <w:shd w:val="clear" w:color="auto" w:fill="auto"/>
          </w:tcPr>
          <w:p w14:paraId="3D5C0918" w14:textId="17B340FE"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 xml:space="preserve">Закон за водите, Обн. ДВ. бр. 67/27.07.1999 г., изм. ДВ бр. </w:t>
            </w:r>
            <w:r w:rsidRPr="00610B1B">
              <w:rPr>
                <w:rFonts w:cs="Times New Roman"/>
                <w:sz w:val="20"/>
                <w:szCs w:val="20"/>
              </w:rPr>
              <w:t>52/9.06.2020,</w:t>
            </w:r>
            <w:r w:rsidRPr="00610B1B">
              <w:rPr>
                <w:rFonts w:eastAsiaTheme="minorEastAsia" w:cs="Times New Roman"/>
                <w:bCs/>
                <w:sz w:val="20"/>
                <w:szCs w:val="20"/>
              </w:rPr>
              <w:t xml:space="preserve"> </w:t>
            </w:r>
            <w:r w:rsidR="003C41B4" w:rsidRPr="00610B1B">
              <w:rPr>
                <w:rFonts w:eastAsiaTheme="minorEastAsia" w:cs="Times New Roman"/>
                <w:bCs/>
                <w:sz w:val="20"/>
                <w:szCs w:val="20"/>
              </w:rPr>
              <w:t>чл.</w:t>
            </w:r>
            <w:r w:rsidRPr="00610B1B">
              <w:rPr>
                <w:rFonts w:eastAsiaTheme="minorEastAsia" w:cs="Times New Roman"/>
                <w:bCs/>
                <w:sz w:val="20"/>
                <w:szCs w:val="20"/>
              </w:rPr>
              <w:t xml:space="preserve"> 135, ал. 1, т. 7</w:t>
            </w:r>
          </w:p>
        </w:tc>
      </w:tr>
      <w:tr w:rsidR="00D41A32" w:rsidRPr="00610B1B" w14:paraId="2A4647DE" w14:textId="77777777" w:rsidTr="009D32BB">
        <w:tc>
          <w:tcPr>
            <w:tcW w:w="2126" w:type="dxa"/>
            <w:vMerge/>
            <w:vAlign w:val="center"/>
          </w:tcPr>
          <w:p w14:paraId="5190C25C"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397D3709" w14:textId="4B3DD1E7"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Издава наредба за качеството на водите за обитаване от риби и черупкови организми съвместно с министъра на здравеопазването и министъра на земеделието, храните и горите.</w:t>
            </w:r>
          </w:p>
        </w:tc>
        <w:tc>
          <w:tcPr>
            <w:tcW w:w="3543" w:type="dxa"/>
            <w:shd w:val="clear" w:color="auto" w:fill="auto"/>
          </w:tcPr>
          <w:p w14:paraId="13B53887" w14:textId="5ED8DBA6"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 xml:space="preserve">Закон за водите, Обн. ДВ. бр. 67/27.07.1999 г., изм. ДВ бр. </w:t>
            </w:r>
            <w:r w:rsidRPr="00610B1B">
              <w:rPr>
                <w:rFonts w:cs="Times New Roman"/>
                <w:sz w:val="20"/>
                <w:szCs w:val="20"/>
              </w:rPr>
              <w:t>52/9.06.2020,</w:t>
            </w:r>
            <w:r w:rsidRPr="00610B1B">
              <w:rPr>
                <w:rFonts w:eastAsiaTheme="minorEastAsia" w:cs="Times New Roman"/>
                <w:bCs/>
                <w:sz w:val="20"/>
                <w:szCs w:val="20"/>
              </w:rPr>
              <w:t xml:space="preserve"> </w:t>
            </w:r>
            <w:r w:rsidR="003C41B4" w:rsidRPr="00610B1B">
              <w:rPr>
                <w:rFonts w:eastAsiaTheme="minorEastAsia" w:cs="Times New Roman"/>
                <w:bCs/>
                <w:sz w:val="20"/>
                <w:szCs w:val="20"/>
              </w:rPr>
              <w:t>чл.</w:t>
            </w:r>
            <w:r w:rsidRPr="00610B1B">
              <w:rPr>
                <w:rFonts w:eastAsiaTheme="minorEastAsia" w:cs="Times New Roman"/>
                <w:bCs/>
                <w:sz w:val="20"/>
                <w:szCs w:val="20"/>
              </w:rPr>
              <w:t xml:space="preserve"> 135, ал. 1, т. 8</w:t>
            </w:r>
          </w:p>
        </w:tc>
      </w:tr>
      <w:tr w:rsidR="00D41A32" w:rsidRPr="00610B1B" w14:paraId="4963222B" w14:textId="77777777" w:rsidTr="009D32BB">
        <w:tc>
          <w:tcPr>
            <w:tcW w:w="2126" w:type="dxa"/>
            <w:vMerge/>
            <w:vAlign w:val="center"/>
          </w:tcPr>
          <w:p w14:paraId="6D5D818F"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374034AD" w14:textId="0065FD17" w:rsidR="00D41A32" w:rsidRPr="00610B1B" w:rsidRDefault="00D41A32" w:rsidP="00D41A32">
            <w:pPr>
              <w:pStyle w:val="BodyText"/>
              <w:spacing w:before="0" w:after="0" w:line="240" w:lineRule="auto"/>
              <w:rPr>
                <w:rFonts w:cs="Times New Roman"/>
                <w:sz w:val="20"/>
                <w:szCs w:val="20"/>
              </w:rPr>
            </w:pPr>
            <w:r w:rsidRPr="00610B1B">
              <w:rPr>
                <w:rFonts w:eastAsiaTheme="minorEastAsia" w:cs="Times New Roman"/>
                <w:bCs/>
                <w:sz w:val="20"/>
                <w:szCs w:val="20"/>
              </w:rPr>
              <w:t>Издава наредба за характеризиране на повърхностните води;</w:t>
            </w:r>
          </w:p>
        </w:tc>
        <w:tc>
          <w:tcPr>
            <w:tcW w:w="3543" w:type="dxa"/>
            <w:shd w:val="clear" w:color="auto" w:fill="auto"/>
          </w:tcPr>
          <w:p w14:paraId="35318FB7" w14:textId="45F8AFF6"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 xml:space="preserve">Закон за водите, Обн. ДВ. бр. 67/27.07.1999 г., изм. ДВ бр. </w:t>
            </w:r>
            <w:r w:rsidRPr="00610B1B">
              <w:rPr>
                <w:rFonts w:cs="Times New Roman"/>
                <w:sz w:val="20"/>
                <w:szCs w:val="20"/>
              </w:rPr>
              <w:t>52/9.06.2020,</w:t>
            </w:r>
            <w:r w:rsidRPr="00610B1B">
              <w:rPr>
                <w:rFonts w:eastAsiaTheme="minorEastAsia" w:cs="Times New Roman"/>
                <w:bCs/>
                <w:sz w:val="20"/>
                <w:szCs w:val="20"/>
              </w:rPr>
              <w:t xml:space="preserve"> </w:t>
            </w:r>
            <w:r w:rsidR="003C41B4" w:rsidRPr="00610B1B">
              <w:rPr>
                <w:rFonts w:eastAsiaTheme="minorEastAsia" w:cs="Times New Roman"/>
                <w:bCs/>
                <w:sz w:val="20"/>
                <w:szCs w:val="20"/>
              </w:rPr>
              <w:t>чл.</w:t>
            </w:r>
            <w:r w:rsidRPr="00610B1B">
              <w:rPr>
                <w:rFonts w:eastAsiaTheme="minorEastAsia" w:cs="Times New Roman"/>
                <w:bCs/>
                <w:sz w:val="20"/>
                <w:szCs w:val="20"/>
              </w:rPr>
              <w:t xml:space="preserve"> 135, ал. 1, т. 9</w:t>
            </w:r>
          </w:p>
        </w:tc>
      </w:tr>
      <w:tr w:rsidR="00D41A32" w:rsidRPr="00610B1B" w14:paraId="5C30701F" w14:textId="77777777" w:rsidTr="009D32BB">
        <w:tc>
          <w:tcPr>
            <w:tcW w:w="2126" w:type="dxa"/>
            <w:vMerge/>
            <w:vAlign w:val="center"/>
          </w:tcPr>
          <w:p w14:paraId="69B3853A"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270AED85" w14:textId="13A42B76" w:rsidR="00D41A32" w:rsidRPr="00610B1B" w:rsidRDefault="00D41A32" w:rsidP="00D41A32">
            <w:pPr>
              <w:pStyle w:val="BodyText"/>
              <w:spacing w:before="0" w:after="0" w:line="240" w:lineRule="auto"/>
              <w:rPr>
                <w:rFonts w:cs="Times New Roman"/>
                <w:sz w:val="20"/>
                <w:szCs w:val="20"/>
              </w:rPr>
            </w:pPr>
            <w:r w:rsidRPr="00610B1B">
              <w:rPr>
                <w:rFonts w:eastAsiaTheme="minorEastAsia" w:cs="Times New Roman"/>
                <w:bCs/>
                <w:sz w:val="20"/>
                <w:szCs w:val="20"/>
              </w:rPr>
              <w:t>Издава наредба за разрешителните за заустване на отпадъчни води във водни обекти и определяне на индивидуалните емисионни ограничения на точкови източници на замърсяване.</w:t>
            </w:r>
          </w:p>
        </w:tc>
        <w:tc>
          <w:tcPr>
            <w:tcW w:w="3543" w:type="dxa"/>
            <w:shd w:val="clear" w:color="auto" w:fill="auto"/>
          </w:tcPr>
          <w:p w14:paraId="6946CCEC" w14:textId="249200AD"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 xml:space="preserve">Закон за водите, Обн. ДВ. бр.67/27.07.1999 г., изм. ДВ бр. </w:t>
            </w:r>
            <w:r w:rsidRPr="00610B1B">
              <w:rPr>
                <w:rFonts w:cs="Times New Roman"/>
                <w:sz w:val="20"/>
                <w:szCs w:val="20"/>
              </w:rPr>
              <w:t>52/9.06.2020,</w:t>
            </w:r>
            <w:r w:rsidRPr="00610B1B">
              <w:rPr>
                <w:rFonts w:eastAsiaTheme="minorEastAsia" w:cs="Times New Roman"/>
                <w:bCs/>
                <w:sz w:val="20"/>
                <w:szCs w:val="20"/>
              </w:rPr>
              <w:t xml:space="preserve"> </w:t>
            </w:r>
            <w:r w:rsidR="003C41B4" w:rsidRPr="00610B1B">
              <w:rPr>
                <w:rFonts w:eastAsiaTheme="minorEastAsia" w:cs="Times New Roman"/>
                <w:bCs/>
                <w:sz w:val="20"/>
                <w:szCs w:val="20"/>
              </w:rPr>
              <w:t>чл.</w:t>
            </w:r>
            <w:r w:rsidRPr="00610B1B">
              <w:rPr>
                <w:rFonts w:eastAsiaTheme="minorEastAsia" w:cs="Times New Roman"/>
                <w:bCs/>
                <w:sz w:val="20"/>
                <w:szCs w:val="20"/>
              </w:rPr>
              <w:t xml:space="preserve"> 135, ал. 1, т. 13</w:t>
            </w:r>
          </w:p>
        </w:tc>
      </w:tr>
      <w:tr w:rsidR="00D41A32" w:rsidRPr="00610B1B" w14:paraId="72E7E64C" w14:textId="77777777" w:rsidTr="009D32BB">
        <w:trPr>
          <w:trHeight w:val="944"/>
        </w:trPr>
        <w:tc>
          <w:tcPr>
            <w:tcW w:w="2126" w:type="dxa"/>
            <w:vMerge/>
            <w:vAlign w:val="center"/>
          </w:tcPr>
          <w:p w14:paraId="1FE639CE"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5E444E6E" w14:textId="672BA6C3" w:rsidR="00D41A32" w:rsidRPr="00610B1B" w:rsidRDefault="00D41A32" w:rsidP="00D41A32">
            <w:pPr>
              <w:pStyle w:val="BodyText"/>
              <w:spacing w:before="0" w:after="0" w:line="240" w:lineRule="auto"/>
              <w:rPr>
                <w:rFonts w:cs="Times New Roman"/>
                <w:sz w:val="20"/>
                <w:szCs w:val="20"/>
              </w:rPr>
            </w:pPr>
            <w:r w:rsidRPr="00610B1B">
              <w:rPr>
                <w:rFonts w:cs="Times New Roman"/>
                <w:bCs/>
                <w:sz w:val="20"/>
                <w:szCs w:val="20"/>
              </w:rPr>
              <w:t>Заповед за обявяване на защитени територии и защитени зони.</w:t>
            </w:r>
          </w:p>
        </w:tc>
        <w:tc>
          <w:tcPr>
            <w:tcW w:w="3543" w:type="dxa"/>
            <w:shd w:val="clear" w:color="auto" w:fill="auto"/>
          </w:tcPr>
          <w:p w14:paraId="071BF40B"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bCs/>
                <w:sz w:val="20"/>
                <w:szCs w:val="20"/>
              </w:rPr>
              <w:t>Закон за защитените територии, Обн. ДВ. бр.133/11.11.1998 г., чл. 39, ал. 1</w:t>
            </w:r>
          </w:p>
          <w:p w14:paraId="7D81AD72" w14:textId="566DF740"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Закон за биологичното разнообразие, Обн. ДВ бр.77/9.08.2002 г., чл.10, ал. 1</w:t>
            </w:r>
          </w:p>
        </w:tc>
      </w:tr>
      <w:tr w:rsidR="00D41A32" w:rsidRPr="005C2B9F" w14:paraId="7A6445B7" w14:textId="77777777" w:rsidTr="009D32BB">
        <w:tc>
          <w:tcPr>
            <w:tcW w:w="2126" w:type="dxa"/>
            <w:vMerge/>
            <w:vAlign w:val="center"/>
          </w:tcPr>
          <w:p w14:paraId="772C8CA2"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031C1E30" w14:textId="63353C50"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МОСВ организира и ръководи дейностите по отстраняването на навлезли в страната неместни видове, които биха застрашили естествени природни местообитания или местни видове от дивата флора и фауна.</w:t>
            </w:r>
          </w:p>
        </w:tc>
        <w:tc>
          <w:tcPr>
            <w:tcW w:w="3543" w:type="dxa"/>
            <w:shd w:val="clear" w:color="auto" w:fill="auto"/>
          </w:tcPr>
          <w:p w14:paraId="1FC590F4" w14:textId="77777777"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Закон за биологичното разнообразие, Обн. ДВ. бр.77/09. 08.2002 г.</w:t>
            </w:r>
            <w:r w:rsidRPr="00610B1B">
              <w:rPr>
                <w:rFonts w:cs="Times New Roman"/>
                <w:sz w:val="20"/>
                <w:szCs w:val="20"/>
              </w:rPr>
              <w:t xml:space="preserve"> , </w:t>
            </w:r>
          </w:p>
          <w:p w14:paraId="68BECA50" w14:textId="7956B621"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изм. ДВ бр. 98/27.11.2018</w:t>
            </w:r>
            <w:r w:rsidRPr="00610B1B">
              <w:rPr>
                <w:rFonts w:eastAsiaTheme="minorEastAsia" w:cs="Times New Roman"/>
                <w:bCs/>
                <w:sz w:val="20"/>
                <w:szCs w:val="20"/>
              </w:rPr>
              <w:t xml:space="preserve">, </w:t>
            </w:r>
            <w:r w:rsidRPr="00610B1B">
              <w:rPr>
                <w:rFonts w:cs="Times New Roman"/>
                <w:sz w:val="20"/>
                <w:szCs w:val="20"/>
              </w:rPr>
              <w:t>чл. 67а</w:t>
            </w:r>
          </w:p>
        </w:tc>
      </w:tr>
      <w:tr w:rsidR="00D41A32" w:rsidRPr="005C2B9F" w14:paraId="746592D8" w14:textId="77777777" w:rsidTr="009D32BB">
        <w:tc>
          <w:tcPr>
            <w:tcW w:w="2126" w:type="dxa"/>
            <w:vMerge/>
            <w:vAlign w:val="center"/>
          </w:tcPr>
          <w:p w14:paraId="4FC5C71D"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7174950C" w14:textId="3B748E7B"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МОСВ, МЗХГ, общините, физическите и юридическите лица - собственици и ползватели на горски територии, земи и водни площи в НЕМ, осъществяват тяхното стопанисване и охрана съгласно разпоредбите на този закон и другите специални закони.</w:t>
            </w:r>
          </w:p>
        </w:tc>
        <w:tc>
          <w:tcPr>
            <w:tcW w:w="3543" w:type="dxa"/>
            <w:shd w:val="clear" w:color="auto" w:fill="auto"/>
          </w:tcPr>
          <w:p w14:paraId="2086F4AF" w14:textId="2F6AC8CA"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 xml:space="preserve">Закон за биологичното разнообразие, Обн. ДВ. бр.77/09. 08.2002 г., </w:t>
            </w:r>
            <w:r w:rsidRPr="00610B1B">
              <w:rPr>
                <w:rFonts w:cs="Times New Roman"/>
                <w:sz w:val="20"/>
                <w:szCs w:val="20"/>
              </w:rPr>
              <w:t xml:space="preserve">изм. ДВ бр. 98/27.11.2018, </w:t>
            </w:r>
            <w:r w:rsidRPr="00610B1B">
              <w:rPr>
                <w:rFonts w:eastAsiaTheme="minorEastAsia" w:cs="Times New Roman"/>
                <w:bCs/>
                <w:sz w:val="20"/>
                <w:szCs w:val="20"/>
              </w:rPr>
              <w:t>чл. 119, ал. 1</w:t>
            </w:r>
          </w:p>
        </w:tc>
      </w:tr>
      <w:tr w:rsidR="00D41A32" w:rsidRPr="00610B1B" w14:paraId="39832AF6" w14:textId="77777777" w:rsidTr="009D32BB">
        <w:tc>
          <w:tcPr>
            <w:tcW w:w="2126" w:type="dxa"/>
            <w:vMerge/>
            <w:vAlign w:val="center"/>
          </w:tcPr>
          <w:p w14:paraId="6988226D"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269DA2D7" w14:textId="3B262318" w:rsidR="00D41A32" w:rsidRPr="00610B1B" w:rsidRDefault="00D41A32" w:rsidP="00D41A32">
            <w:pPr>
              <w:pStyle w:val="BodyText"/>
              <w:spacing w:before="0" w:after="0" w:line="240" w:lineRule="auto"/>
              <w:rPr>
                <w:rFonts w:cs="Times New Roman"/>
                <w:sz w:val="20"/>
                <w:szCs w:val="20"/>
              </w:rPr>
            </w:pPr>
            <w:r w:rsidRPr="00610B1B">
              <w:rPr>
                <w:rFonts w:eastAsiaTheme="minorEastAsia" w:cs="Times New Roman"/>
                <w:bCs/>
                <w:sz w:val="20"/>
                <w:szCs w:val="20"/>
              </w:rPr>
              <w:t>Контролът по опазването на биологичното разнообразие на рибните ресурси се упражнява от министъра на околната среда и водите и от министъра на земеделието, храните и горите.</w:t>
            </w:r>
          </w:p>
        </w:tc>
        <w:tc>
          <w:tcPr>
            <w:tcW w:w="3543" w:type="dxa"/>
            <w:shd w:val="clear" w:color="auto" w:fill="auto"/>
          </w:tcPr>
          <w:p w14:paraId="087CDEFC" w14:textId="628FB838"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Закон за рибарството и аквакултурите, Обн. ДВ. бр.</w:t>
            </w:r>
            <w:r w:rsidR="00D66FE0" w:rsidRPr="00610B1B">
              <w:rPr>
                <w:rFonts w:eastAsiaTheme="minorEastAsia" w:cs="Times New Roman"/>
                <w:bCs/>
                <w:sz w:val="20"/>
                <w:szCs w:val="20"/>
              </w:rPr>
              <w:t xml:space="preserve"> </w:t>
            </w:r>
            <w:r w:rsidRPr="00610B1B">
              <w:rPr>
                <w:rFonts w:cs="Times New Roman"/>
                <w:sz w:val="20"/>
                <w:szCs w:val="20"/>
              </w:rPr>
              <w:t>41/24.04.2001,</w:t>
            </w:r>
            <w:r w:rsidR="00D66FE0" w:rsidRPr="00610B1B">
              <w:rPr>
                <w:rFonts w:cs="Times New Roman"/>
                <w:sz w:val="20"/>
                <w:szCs w:val="20"/>
              </w:rPr>
              <w:t xml:space="preserve"> </w:t>
            </w:r>
            <w:r w:rsidRPr="00610B1B">
              <w:rPr>
                <w:rFonts w:cs="Times New Roman"/>
                <w:sz w:val="20"/>
                <w:szCs w:val="20"/>
              </w:rPr>
              <w:t xml:space="preserve">изм. ДВ бр. 52/09.06.2020, </w:t>
            </w:r>
            <w:r w:rsidRPr="00610B1B">
              <w:rPr>
                <w:rFonts w:eastAsiaTheme="minorEastAsia" w:cs="Times New Roman"/>
                <w:bCs/>
                <w:sz w:val="20"/>
                <w:szCs w:val="20"/>
              </w:rPr>
              <w:t>чл. 9, ал. 1</w:t>
            </w:r>
          </w:p>
        </w:tc>
      </w:tr>
      <w:tr w:rsidR="00D41A32" w:rsidRPr="00610B1B" w14:paraId="4B394366" w14:textId="77777777" w:rsidTr="009D32BB">
        <w:tc>
          <w:tcPr>
            <w:tcW w:w="2126" w:type="dxa"/>
            <w:vMerge/>
            <w:vAlign w:val="center"/>
          </w:tcPr>
          <w:p w14:paraId="0DF6E9EC"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5478BB9B" w14:textId="1B0C20E2"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Чрез своите специализирани териториални звена упражнява контрол върху бреговите източници на замърсяване.</w:t>
            </w:r>
          </w:p>
        </w:tc>
        <w:tc>
          <w:tcPr>
            <w:tcW w:w="3543" w:type="dxa"/>
            <w:shd w:val="clear" w:color="auto" w:fill="auto"/>
          </w:tcPr>
          <w:p w14:paraId="36C1FDFA" w14:textId="28F1192F"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ЗМПВВППРБ, Обн. ДВ. бр. 12/11.02.2000 г.,</w:t>
            </w:r>
            <w:r w:rsidR="00343A67" w:rsidRPr="00610B1B">
              <w:rPr>
                <w:rFonts w:eastAsiaTheme="minorEastAsia" w:cs="Times New Roman"/>
                <w:bCs/>
                <w:sz w:val="20"/>
                <w:szCs w:val="20"/>
              </w:rPr>
              <w:t xml:space="preserve"> изм. ДВ бр. 17/26.02.2021 г.,</w:t>
            </w:r>
            <w:r w:rsidRPr="00610B1B">
              <w:rPr>
                <w:rFonts w:eastAsiaTheme="minorEastAsia" w:cs="Times New Roman"/>
                <w:bCs/>
                <w:sz w:val="20"/>
                <w:szCs w:val="20"/>
              </w:rPr>
              <w:t xml:space="preserve"> чл. 90, ал. 2</w:t>
            </w:r>
          </w:p>
        </w:tc>
      </w:tr>
      <w:tr w:rsidR="00D41A32" w:rsidRPr="00610B1B" w14:paraId="6FD107CC" w14:textId="77777777" w:rsidTr="009D32BB">
        <w:tc>
          <w:tcPr>
            <w:tcW w:w="2126" w:type="dxa"/>
            <w:vAlign w:val="center"/>
          </w:tcPr>
          <w:p w14:paraId="41BA256A" w14:textId="50DFD448"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Изпълнителна агенция по околна среда</w:t>
            </w:r>
          </w:p>
        </w:tc>
        <w:tc>
          <w:tcPr>
            <w:tcW w:w="4396" w:type="dxa"/>
          </w:tcPr>
          <w:p w14:paraId="1D3A2F5F" w14:textId="09248B5F"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Извършва на национално ниво анализ на качеството и оценка на данните от мониторинга на водите, включително от мониторинга на морската околна среда.</w:t>
            </w:r>
          </w:p>
        </w:tc>
        <w:tc>
          <w:tcPr>
            <w:tcW w:w="3543" w:type="dxa"/>
          </w:tcPr>
          <w:p w14:paraId="5C381D83" w14:textId="1FA7A361"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Устройствен правилник на ИАОС, обн. ДВ бр. 62/10.08.2010 г., Чл. 17. т.10.</w:t>
            </w:r>
          </w:p>
        </w:tc>
      </w:tr>
      <w:tr w:rsidR="00D41A32" w:rsidRPr="00610B1B" w14:paraId="5EC8D782" w14:textId="77777777" w:rsidTr="009D32BB">
        <w:tc>
          <w:tcPr>
            <w:tcW w:w="2126" w:type="dxa"/>
            <w:vMerge w:val="restart"/>
            <w:vAlign w:val="center"/>
          </w:tcPr>
          <w:p w14:paraId="7045A18C" w14:textId="2996A6D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 на транспорта, информационните технологии и съобщенията (МТИТС)</w:t>
            </w:r>
          </w:p>
        </w:tc>
        <w:tc>
          <w:tcPr>
            <w:tcW w:w="4396" w:type="dxa"/>
          </w:tcPr>
          <w:p w14:paraId="3A535B24" w14:textId="3FAF6E5D"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Министърът разработва и внася в МС стратегия за преструктуриране и развитие на транспорта, вкл. морския транспорт</w:t>
            </w:r>
          </w:p>
        </w:tc>
        <w:tc>
          <w:tcPr>
            <w:tcW w:w="3543" w:type="dxa"/>
            <w:vMerge w:val="restart"/>
          </w:tcPr>
          <w:p w14:paraId="3DFD6DC0"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Устройствен правилник на Министерство на транспорта, информационните технологии и съобщенията. Обн. ДВ бр. 78/02.10.2009 г., изм. и доп., ДВ бр. 12/08.02.2019 г.</w:t>
            </w:r>
          </w:p>
          <w:p w14:paraId="2ADC417B" w14:textId="24E1CF4B" w:rsidR="00D41A32" w:rsidRPr="00610B1B" w:rsidRDefault="00D41A32" w:rsidP="00343A67">
            <w:pPr>
              <w:pStyle w:val="BodyText"/>
              <w:spacing w:before="120" w:after="0" w:line="240" w:lineRule="auto"/>
              <w:jc w:val="left"/>
              <w:rPr>
                <w:rFonts w:cs="Times New Roman"/>
                <w:sz w:val="20"/>
                <w:szCs w:val="20"/>
              </w:rPr>
            </w:pPr>
            <w:r w:rsidRPr="00610B1B">
              <w:rPr>
                <w:rFonts w:cs="Times New Roman"/>
                <w:sz w:val="20"/>
                <w:szCs w:val="20"/>
              </w:rPr>
              <w:t>ЗМПВВППРБ,</w:t>
            </w:r>
            <w:r w:rsidR="00343A67" w:rsidRPr="00610B1B">
              <w:rPr>
                <w:rFonts w:cs="Times New Roman"/>
                <w:sz w:val="20"/>
                <w:szCs w:val="20"/>
              </w:rPr>
              <w:t xml:space="preserve"> обн. ДВ бр. 12/11.02.2000 г., изм. ДВ бр. 17/26.02.2021 г.,</w:t>
            </w:r>
            <w:r w:rsidR="008753B6" w:rsidRPr="00610B1B">
              <w:rPr>
                <w:rFonts w:cs="Times New Roman"/>
                <w:sz w:val="20"/>
                <w:szCs w:val="20"/>
              </w:rPr>
              <w:t xml:space="preserve"> </w:t>
            </w:r>
            <w:r w:rsidRPr="00610B1B">
              <w:rPr>
                <w:rFonts w:cs="Times New Roman"/>
                <w:sz w:val="20"/>
                <w:szCs w:val="20"/>
              </w:rPr>
              <w:t>чл. 62</w:t>
            </w:r>
          </w:p>
        </w:tc>
      </w:tr>
      <w:tr w:rsidR="00D41A32" w:rsidRPr="005C2B9F" w14:paraId="516D82F8" w14:textId="77777777" w:rsidTr="009D32BB">
        <w:tc>
          <w:tcPr>
            <w:tcW w:w="2126" w:type="dxa"/>
            <w:vMerge/>
            <w:vAlign w:val="center"/>
          </w:tcPr>
          <w:p w14:paraId="2E4EC231"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1E7C941D" w14:textId="5B35357E"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Създава условия за безопасност в търговското корабоплаване. Организира и контролира технически разследването на произшествия в морските пространства и поддържа система за задължително и доброволно докладване на произшествия в морските пространства.</w:t>
            </w:r>
          </w:p>
        </w:tc>
        <w:tc>
          <w:tcPr>
            <w:tcW w:w="3543" w:type="dxa"/>
            <w:vMerge/>
          </w:tcPr>
          <w:p w14:paraId="2C4AECDC"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45EB79EB" w14:textId="77777777" w:rsidTr="009D32BB">
        <w:tc>
          <w:tcPr>
            <w:tcW w:w="2126" w:type="dxa"/>
            <w:vMerge/>
            <w:vAlign w:val="center"/>
          </w:tcPr>
          <w:p w14:paraId="0FA6B3DB"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094E81C6" w14:textId="7C524EAD"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Съгласува определените от директора на БДЧР райони за изхвърляне на земни маси и дънни утайки в морските пространства на страната.</w:t>
            </w:r>
          </w:p>
        </w:tc>
        <w:tc>
          <w:tcPr>
            <w:tcW w:w="3543" w:type="dxa"/>
            <w:vMerge/>
          </w:tcPr>
          <w:p w14:paraId="23D538A9"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0E2C7E14" w14:textId="77777777" w:rsidTr="009D32BB">
        <w:tc>
          <w:tcPr>
            <w:tcW w:w="2126" w:type="dxa"/>
            <w:vMerge/>
            <w:vAlign w:val="center"/>
          </w:tcPr>
          <w:p w14:paraId="639D94C0"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2F606743" w14:textId="4A9A93BE"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 xml:space="preserve">При повреда, авария или друго морско произшествие в морските пространства на </w:t>
            </w:r>
            <w:r w:rsidRPr="00610B1B">
              <w:rPr>
                <w:rFonts w:eastAsiaTheme="minorEastAsia" w:cs="Times New Roman"/>
                <w:bCs/>
                <w:sz w:val="20"/>
                <w:szCs w:val="20"/>
              </w:rPr>
              <w:lastRenderedPageBreak/>
              <w:t>страната, което създава опасност от замърсяване на морската среда или крайбрежието, както и за увреждане на свързаните с тях интереси, МТИТС със съдействието на заинтересуваните ведомства и организации предприема необходимите мерки за предотвратяване, ограничаване и отстраняване на опасността</w:t>
            </w:r>
            <w:r w:rsidRPr="00610B1B">
              <w:rPr>
                <w:rFonts w:cs="Times New Roman"/>
              </w:rPr>
              <w:t xml:space="preserve"> </w:t>
            </w:r>
            <w:r w:rsidRPr="00610B1B">
              <w:rPr>
                <w:rFonts w:eastAsiaTheme="minorEastAsia" w:cs="Times New Roman"/>
                <w:bCs/>
                <w:sz w:val="20"/>
                <w:szCs w:val="20"/>
              </w:rPr>
              <w:t>в съответствие с Националния план за защита при бедствия.</w:t>
            </w:r>
          </w:p>
        </w:tc>
        <w:tc>
          <w:tcPr>
            <w:tcW w:w="3543" w:type="dxa"/>
            <w:vMerge/>
            <w:shd w:val="clear" w:color="auto" w:fill="auto"/>
          </w:tcPr>
          <w:p w14:paraId="20664331"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44B924B1" w14:textId="77777777" w:rsidTr="009D32BB">
        <w:tc>
          <w:tcPr>
            <w:tcW w:w="2126" w:type="dxa"/>
            <w:vAlign w:val="center"/>
          </w:tcPr>
          <w:p w14:paraId="1046E855" w14:textId="3DFEA823"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Дирекция „Звено за разследване на произшествия във</w:t>
            </w:r>
          </w:p>
          <w:p w14:paraId="76ABE2DE" w14:textId="1B49B0A9"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въздушния, водния и железопътния транспорт“ на МТИТС</w:t>
            </w:r>
          </w:p>
        </w:tc>
        <w:tc>
          <w:tcPr>
            <w:tcW w:w="4396" w:type="dxa"/>
          </w:tcPr>
          <w:p w14:paraId="3B2B63CC" w14:textId="1030B35C" w:rsidR="00D41A32" w:rsidRPr="00610B1B" w:rsidRDefault="00D41A32" w:rsidP="003C41B4">
            <w:pPr>
              <w:pStyle w:val="BodyText"/>
              <w:spacing w:before="0" w:after="0" w:line="240" w:lineRule="auto"/>
              <w:jc w:val="left"/>
              <w:rPr>
                <w:rFonts w:cs="Times New Roman"/>
                <w:sz w:val="20"/>
                <w:szCs w:val="20"/>
              </w:rPr>
            </w:pPr>
            <w:r w:rsidRPr="00610B1B">
              <w:rPr>
                <w:rFonts w:cs="Times New Roman"/>
                <w:sz w:val="20"/>
                <w:szCs w:val="20"/>
              </w:rPr>
              <w:t>Изпълнява държавни функции по независимото разследване на произшествия в морските пространства; организира и извършва разследване на произшествието; поддържа система за докладване при възникване на произшествия, води архив и поддържа база данни, като се ръководи от препоръките на ММО и на ЕС, заложени в техните актове за разследването на морските произшествия;</w:t>
            </w:r>
          </w:p>
        </w:tc>
        <w:tc>
          <w:tcPr>
            <w:tcW w:w="3543" w:type="dxa"/>
            <w:vMerge/>
          </w:tcPr>
          <w:p w14:paraId="0AA05A69"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054DA450" w14:textId="77777777" w:rsidTr="009D32BB">
        <w:tc>
          <w:tcPr>
            <w:tcW w:w="2126" w:type="dxa"/>
            <w:vMerge w:val="restart"/>
            <w:vAlign w:val="center"/>
          </w:tcPr>
          <w:p w14:paraId="0F049388" w14:textId="77777777" w:rsidR="00106945"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Изпълнителна агенция „Морска администрация“ </w:t>
            </w:r>
          </w:p>
          <w:p w14:paraId="64A9B4E1" w14:textId="5E6976EF"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(ИАМА)</w:t>
            </w:r>
          </w:p>
        </w:tc>
        <w:tc>
          <w:tcPr>
            <w:tcW w:w="4396" w:type="dxa"/>
          </w:tcPr>
          <w:p w14:paraId="5D8D1233" w14:textId="1F3E4E29"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Изпълнява регулаторни и контролни функции на държавата в областта на пристанищата.</w:t>
            </w:r>
          </w:p>
        </w:tc>
        <w:tc>
          <w:tcPr>
            <w:tcW w:w="3543" w:type="dxa"/>
          </w:tcPr>
          <w:p w14:paraId="08000F0A" w14:textId="05DA357C" w:rsidR="00D41A32" w:rsidRPr="00610B1B" w:rsidRDefault="00D41A32" w:rsidP="00343A67">
            <w:pPr>
              <w:pStyle w:val="BodyText"/>
              <w:spacing w:before="0" w:after="0" w:line="240" w:lineRule="auto"/>
              <w:jc w:val="left"/>
              <w:rPr>
                <w:rFonts w:cs="Times New Roman"/>
                <w:sz w:val="20"/>
                <w:szCs w:val="20"/>
              </w:rPr>
            </w:pPr>
            <w:r w:rsidRPr="00610B1B">
              <w:rPr>
                <w:rFonts w:cs="Times New Roman"/>
                <w:sz w:val="20"/>
                <w:szCs w:val="20"/>
              </w:rPr>
              <w:t xml:space="preserve">ЗМПВВППРБ, </w:t>
            </w:r>
            <w:r w:rsidR="00343A67" w:rsidRPr="00610B1B">
              <w:rPr>
                <w:rFonts w:cs="Times New Roman"/>
                <w:sz w:val="20"/>
                <w:szCs w:val="20"/>
              </w:rPr>
              <w:t>обн. ДВ. бр. 12/11.02.2000 г., изм. ДВ бр. 17/26.02.2021 г.,</w:t>
            </w:r>
            <w:r w:rsidR="008753B6" w:rsidRPr="00610B1B">
              <w:rPr>
                <w:rFonts w:cs="Times New Roman"/>
                <w:sz w:val="20"/>
                <w:szCs w:val="20"/>
              </w:rPr>
              <w:t xml:space="preserve"> </w:t>
            </w:r>
            <w:r w:rsidRPr="00610B1B">
              <w:rPr>
                <w:rFonts w:cs="Times New Roman"/>
                <w:sz w:val="20"/>
                <w:szCs w:val="20"/>
              </w:rPr>
              <w:t xml:space="preserve">чл. 115к ал. 2 </w:t>
            </w:r>
          </w:p>
        </w:tc>
      </w:tr>
      <w:tr w:rsidR="00D41A32" w:rsidRPr="00610B1B" w14:paraId="0A79779A" w14:textId="77777777" w:rsidTr="009D32BB">
        <w:tc>
          <w:tcPr>
            <w:tcW w:w="2126" w:type="dxa"/>
            <w:vMerge/>
            <w:vAlign w:val="center"/>
          </w:tcPr>
          <w:p w14:paraId="024D1250" w14:textId="59F8FD46"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61C432BE" w14:textId="5E8F3C2B"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Организира и координира дейности по осигуряване безопасността на корабоплаването в морските пространства и упражнява контрол за: а) спазване на условията за безопасност на корабоплаването; б) предоставяне на</w:t>
            </w:r>
            <w:r w:rsidR="00D66FE0" w:rsidRPr="00610B1B">
              <w:rPr>
                <w:rFonts w:cs="Times New Roman"/>
                <w:sz w:val="20"/>
                <w:szCs w:val="20"/>
              </w:rPr>
              <w:t xml:space="preserve"> </w:t>
            </w:r>
            <w:r w:rsidRPr="00610B1B">
              <w:rPr>
                <w:rFonts w:cs="Times New Roman"/>
                <w:sz w:val="20"/>
                <w:szCs w:val="20"/>
              </w:rPr>
              <w:t>услуги по управление на трафика и информационното обслужване на корабоплаването в морските пространства; в) спазване на изискванията за качество на корабните горива; г) спазването на условията на труд и живот на моряците; д) изпълнение на изискванията за правата на пътниците, пътуващи по море и отговорността на превозвачите в случай на произшествия.</w:t>
            </w:r>
          </w:p>
        </w:tc>
        <w:tc>
          <w:tcPr>
            <w:tcW w:w="3543" w:type="dxa"/>
            <w:vMerge w:val="restart"/>
          </w:tcPr>
          <w:p w14:paraId="01CA7697"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Устройствен правилник на ИАМА, обн. ДВ бр. 33/08.05.2015 г., изм. ДВ. бр.70/24.08.2018 г.</w:t>
            </w:r>
          </w:p>
          <w:p w14:paraId="4F3437CD" w14:textId="392E4160" w:rsidR="00D41A32" w:rsidRPr="00610B1B" w:rsidRDefault="00D41A32" w:rsidP="00D41A32">
            <w:pPr>
              <w:pStyle w:val="BodyText"/>
              <w:spacing w:before="0" w:after="0" w:line="240" w:lineRule="auto"/>
              <w:jc w:val="left"/>
              <w:rPr>
                <w:rFonts w:cs="Times New Roman"/>
                <w:sz w:val="20"/>
                <w:szCs w:val="20"/>
              </w:rPr>
            </w:pPr>
          </w:p>
          <w:p w14:paraId="3E8EDE5C" w14:textId="47B569AE" w:rsidR="00D349E6" w:rsidRPr="00610B1B" w:rsidRDefault="00D349E6" w:rsidP="00D41A32">
            <w:pPr>
              <w:pStyle w:val="BodyText"/>
              <w:spacing w:before="0" w:after="0" w:line="240" w:lineRule="auto"/>
              <w:jc w:val="left"/>
              <w:rPr>
                <w:rFonts w:cs="Times New Roman"/>
                <w:sz w:val="20"/>
                <w:szCs w:val="20"/>
              </w:rPr>
            </w:pPr>
            <w:r w:rsidRPr="00610B1B">
              <w:rPr>
                <w:rFonts w:cs="Times New Roman"/>
                <w:sz w:val="20"/>
                <w:szCs w:val="20"/>
              </w:rPr>
              <w:t>Кодекс на търговското корабоплаване, обн. ДВ бр. 55/14.07.1970</w:t>
            </w:r>
            <w:r w:rsidR="00343A67" w:rsidRPr="00610B1B">
              <w:rPr>
                <w:rFonts w:cs="Times New Roman"/>
                <w:sz w:val="20"/>
                <w:szCs w:val="20"/>
              </w:rPr>
              <w:t xml:space="preserve"> </w:t>
            </w:r>
            <w:r w:rsidRPr="00610B1B">
              <w:rPr>
                <w:rFonts w:cs="Times New Roman"/>
                <w:sz w:val="20"/>
                <w:szCs w:val="20"/>
              </w:rPr>
              <w:t>г.,</w:t>
            </w:r>
            <w:r w:rsidR="00343A67" w:rsidRPr="00610B1B">
              <w:rPr>
                <w:rFonts w:cs="Times New Roman"/>
                <w:sz w:val="20"/>
                <w:szCs w:val="20"/>
              </w:rPr>
              <w:t xml:space="preserve"> изм. и доп. ДВ бр. 108/22.12.2020 г.</w:t>
            </w:r>
          </w:p>
          <w:p w14:paraId="06FB0B92" w14:textId="77777777" w:rsidR="00D349E6" w:rsidRPr="00610B1B" w:rsidRDefault="00D349E6" w:rsidP="00D41A32">
            <w:pPr>
              <w:pStyle w:val="BodyText"/>
              <w:spacing w:before="0" w:after="0" w:line="240" w:lineRule="auto"/>
              <w:jc w:val="left"/>
              <w:rPr>
                <w:rFonts w:cs="Times New Roman"/>
                <w:sz w:val="20"/>
                <w:szCs w:val="20"/>
              </w:rPr>
            </w:pPr>
          </w:p>
          <w:p w14:paraId="214D8F1D" w14:textId="71D60FC0"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ЗМПВВППРБ,</w:t>
            </w:r>
            <w:r w:rsidR="00343A67" w:rsidRPr="00610B1B">
              <w:rPr>
                <w:rFonts w:cs="Times New Roman"/>
                <w:sz w:val="20"/>
                <w:szCs w:val="20"/>
              </w:rPr>
              <w:t xml:space="preserve"> обн. ДВ. бр. 12/11.02.2000 г., изм. ДВ бр. 17/26.02.2021 г., </w:t>
            </w:r>
            <w:r w:rsidRPr="00610B1B">
              <w:rPr>
                <w:rFonts w:cs="Times New Roman"/>
                <w:sz w:val="20"/>
                <w:szCs w:val="20"/>
              </w:rPr>
              <w:t>чл. 58</w:t>
            </w:r>
          </w:p>
          <w:p w14:paraId="37781BA2" w14:textId="77777777" w:rsidR="00D41A32" w:rsidRPr="00610B1B" w:rsidRDefault="00D41A32" w:rsidP="00D41A32">
            <w:pPr>
              <w:pStyle w:val="BodyText"/>
              <w:spacing w:before="0" w:after="0" w:line="240" w:lineRule="auto"/>
              <w:jc w:val="left"/>
              <w:rPr>
                <w:rFonts w:cs="Times New Roman"/>
                <w:sz w:val="20"/>
                <w:szCs w:val="20"/>
              </w:rPr>
            </w:pPr>
          </w:p>
          <w:p w14:paraId="15C8F65D" w14:textId="77777777" w:rsidR="00D41A32" w:rsidRPr="00610B1B" w:rsidRDefault="00D41A32" w:rsidP="00D41A32">
            <w:pPr>
              <w:pStyle w:val="BodyText"/>
              <w:spacing w:before="0" w:after="0" w:line="240" w:lineRule="auto"/>
              <w:jc w:val="left"/>
              <w:rPr>
                <w:rFonts w:cs="Times New Roman"/>
                <w:sz w:val="20"/>
                <w:szCs w:val="20"/>
              </w:rPr>
            </w:pPr>
          </w:p>
          <w:p w14:paraId="599FFF76" w14:textId="77777777" w:rsidR="00D41A32" w:rsidRPr="00610B1B" w:rsidRDefault="00D41A32" w:rsidP="00D41A32">
            <w:pPr>
              <w:pStyle w:val="BodyText"/>
              <w:spacing w:before="0" w:after="0" w:line="240" w:lineRule="auto"/>
              <w:jc w:val="left"/>
              <w:rPr>
                <w:rFonts w:cs="Times New Roman"/>
                <w:sz w:val="20"/>
                <w:szCs w:val="20"/>
              </w:rPr>
            </w:pPr>
          </w:p>
          <w:p w14:paraId="6A183C1D" w14:textId="77777777" w:rsidR="00D41A32" w:rsidRPr="00610B1B" w:rsidRDefault="00D41A32" w:rsidP="00D41A32">
            <w:pPr>
              <w:pStyle w:val="BodyText"/>
              <w:spacing w:before="0" w:after="0" w:line="240" w:lineRule="auto"/>
              <w:jc w:val="left"/>
              <w:rPr>
                <w:rFonts w:cs="Times New Roman"/>
                <w:sz w:val="20"/>
                <w:szCs w:val="20"/>
              </w:rPr>
            </w:pPr>
          </w:p>
          <w:p w14:paraId="3EC7141B" w14:textId="77777777" w:rsidR="00D41A32" w:rsidRPr="00610B1B" w:rsidRDefault="00D41A32" w:rsidP="00D41A32">
            <w:pPr>
              <w:pStyle w:val="BodyText"/>
              <w:spacing w:before="0" w:after="0" w:line="240" w:lineRule="auto"/>
              <w:jc w:val="left"/>
              <w:rPr>
                <w:rFonts w:cs="Times New Roman"/>
                <w:sz w:val="20"/>
                <w:szCs w:val="20"/>
              </w:rPr>
            </w:pPr>
          </w:p>
          <w:p w14:paraId="765B150A" w14:textId="77777777" w:rsidR="00D41A32" w:rsidRPr="00610B1B" w:rsidRDefault="00D41A32" w:rsidP="00D41A32">
            <w:pPr>
              <w:pStyle w:val="BodyText"/>
              <w:spacing w:before="0" w:after="0" w:line="240" w:lineRule="auto"/>
              <w:jc w:val="left"/>
              <w:rPr>
                <w:rFonts w:cs="Times New Roman"/>
                <w:sz w:val="20"/>
                <w:szCs w:val="20"/>
              </w:rPr>
            </w:pPr>
          </w:p>
          <w:p w14:paraId="1F431A8B" w14:textId="77777777" w:rsidR="00D41A32" w:rsidRPr="00610B1B" w:rsidRDefault="00D41A32" w:rsidP="00D41A32">
            <w:pPr>
              <w:pStyle w:val="BodyText"/>
              <w:spacing w:before="0" w:after="0" w:line="240" w:lineRule="auto"/>
              <w:jc w:val="left"/>
              <w:rPr>
                <w:rFonts w:cs="Times New Roman"/>
                <w:sz w:val="20"/>
                <w:szCs w:val="20"/>
              </w:rPr>
            </w:pPr>
          </w:p>
          <w:p w14:paraId="6C5E0E5A" w14:textId="77777777" w:rsidR="00D41A32" w:rsidRPr="00610B1B" w:rsidRDefault="00D41A32" w:rsidP="00D41A32">
            <w:pPr>
              <w:pStyle w:val="BodyText"/>
              <w:spacing w:before="0" w:after="0" w:line="240" w:lineRule="auto"/>
              <w:jc w:val="left"/>
              <w:rPr>
                <w:rFonts w:cs="Times New Roman"/>
                <w:sz w:val="20"/>
                <w:szCs w:val="20"/>
              </w:rPr>
            </w:pPr>
          </w:p>
          <w:p w14:paraId="6F5973F3" w14:textId="77777777" w:rsidR="00D41A32" w:rsidRPr="00610B1B" w:rsidRDefault="00D41A32" w:rsidP="00D41A32">
            <w:pPr>
              <w:pStyle w:val="BodyText"/>
              <w:spacing w:before="0" w:after="0" w:line="240" w:lineRule="auto"/>
              <w:jc w:val="left"/>
              <w:rPr>
                <w:rFonts w:cs="Times New Roman"/>
                <w:sz w:val="20"/>
                <w:szCs w:val="20"/>
              </w:rPr>
            </w:pPr>
          </w:p>
          <w:p w14:paraId="55C228C9" w14:textId="77777777" w:rsidR="00D41A32" w:rsidRPr="00610B1B" w:rsidRDefault="00D41A32" w:rsidP="00D41A32">
            <w:pPr>
              <w:pStyle w:val="BodyText"/>
              <w:spacing w:before="0" w:after="0" w:line="240" w:lineRule="auto"/>
              <w:jc w:val="left"/>
              <w:rPr>
                <w:rFonts w:cs="Times New Roman"/>
                <w:sz w:val="20"/>
                <w:szCs w:val="20"/>
              </w:rPr>
            </w:pPr>
          </w:p>
          <w:p w14:paraId="14A39C6F" w14:textId="77777777" w:rsidR="00D41A32" w:rsidRPr="00610B1B" w:rsidRDefault="00D41A32" w:rsidP="00D41A32">
            <w:pPr>
              <w:pStyle w:val="BodyText"/>
              <w:spacing w:before="0" w:after="0" w:line="240" w:lineRule="auto"/>
              <w:jc w:val="left"/>
              <w:rPr>
                <w:rFonts w:cs="Times New Roman"/>
                <w:sz w:val="20"/>
                <w:szCs w:val="20"/>
              </w:rPr>
            </w:pPr>
          </w:p>
          <w:p w14:paraId="63B51A00" w14:textId="77777777" w:rsidR="00D41A32" w:rsidRPr="00610B1B" w:rsidRDefault="00D41A32" w:rsidP="00D41A32">
            <w:pPr>
              <w:pStyle w:val="BodyText"/>
              <w:spacing w:before="0" w:after="0" w:line="240" w:lineRule="auto"/>
              <w:jc w:val="left"/>
              <w:rPr>
                <w:rFonts w:cs="Times New Roman"/>
                <w:sz w:val="20"/>
                <w:szCs w:val="20"/>
              </w:rPr>
            </w:pPr>
          </w:p>
          <w:p w14:paraId="35B35D60" w14:textId="77777777" w:rsidR="00D41A32" w:rsidRPr="00610B1B" w:rsidRDefault="00D41A32" w:rsidP="00D41A32">
            <w:pPr>
              <w:pStyle w:val="BodyText"/>
              <w:spacing w:before="0" w:after="0" w:line="240" w:lineRule="auto"/>
              <w:jc w:val="left"/>
              <w:rPr>
                <w:rFonts w:cs="Times New Roman"/>
                <w:sz w:val="20"/>
                <w:szCs w:val="20"/>
              </w:rPr>
            </w:pPr>
          </w:p>
          <w:p w14:paraId="3D11EA84" w14:textId="77777777" w:rsidR="00D41A32" w:rsidRPr="00610B1B" w:rsidRDefault="00D41A32" w:rsidP="00D41A32">
            <w:pPr>
              <w:pStyle w:val="BodyText"/>
              <w:spacing w:before="0" w:after="0" w:line="240" w:lineRule="auto"/>
              <w:jc w:val="left"/>
              <w:rPr>
                <w:rFonts w:cs="Times New Roman"/>
                <w:sz w:val="20"/>
                <w:szCs w:val="20"/>
              </w:rPr>
            </w:pPr>
          </w:p>
          <w:p w14:paraId="735E9E18" w14:textId="77777777" w:rsidR="00D41A32" w:rsidRPr="00610B1B" w:rsidRDefault="00D41A32" w:rsidP="00D41A32">
            <w:pPr>
              <w:pStyle w:val="BodyText"/>
              <w:spacing w:before="0" w:after="0" w:line="240" w:lineRule="auto"/>
              <w:jc w:val="left"/>
              <w:rPr>
                <w:rFonts w:cs="Times New Roman"/>
                <w:sz w:val="20"/>
                <w:szCs w:val="20"/>
              </w:rPr>
            </w:pPr>
          </w:p>
          <w:p w14:paraId="0FE3FE40" w14:textId="77777777" w:rsidR="00D41A32" w:rsidRPr="00610B1B" w:rsidRDefault="00D41A32" w:rsidP="00D41A32">
            <w:pPr>
              <w:pStyle w:val="BodyText"/>
              <w:spacing w:before="0" w:after="0" w:line="240" w:lineRule="auto"/>
              <w:jc w:val="left"/>
              <w:rPr>
                <w:rFonts w:cs="Times New Roman"/>
                <w:sz w:val="20"/>
                <w:szCs w:val="20"/>
              </w:rPr>
            </w:pPr>
          </w:p>
          <w:p w14:paraId="389D96B9" w14:textId="77777777" w:rsidR="00D41A32" w:rsidRPr="00610B1B" w:rsidRDefault="00D41A32" w:rsidP="00D41A32">
            <w:pPr>
              <w:pStyle w:val="BodyText"/>
              <w:spacing w:before="0" w:after="0" w:line="240" w:lineRule="auto"/>
              <w:jc w:val="left"/>
              <w:rPr>
                <w:rFonts w:cs="Times New Roman"/>
                <w:sz w:val="20"/>
                <w:szCs w:val="20"/>
              </w:rPr>
            </w:pPr>
          </w:p>
          <w:p w14:paraId="10ABF6E6" w14:textId="77777777" w:rsidR="00D41A32" w:rsidRPr="00610B1B" w:rsidRDefault="00D41A32" w:rsidP="00D41A32">
            <w:pPr>
              <w:pStyle w:val="BodyText"/>
              <w:spacing w:before="0" w:after="0" w:line="240" w:lineRule="auto"/>
              <w:jc w:val="left"/>
              <w:rPr>
                <w:rFonts w:cs="Times New Roman"/>
                <w:sz w:val="20"/>
                <w:szCs w:val="20"/>
              </w:rPr>
            </w:pPr>
          </w:p>
          <w:p w14:paraId="302B982B" w14:textId="77777777" w:rsidR="00D41A32" w:rsidRPr="00610B1B" w:rsidRDefault="00D41A32" w:rsidP="00D41A32">
            <w:pPr>
              <w:pStyle w:val="BodyText"/>
              <w:spacing w:before="0" w:after="0" w:line="240" w:lineRule="auto"/>
              <w:jc w:val="left"/>
              <w:rPr>
                <w:rFonts w:cs="Times New Roman"/>
                <w:sz w:val="20"/>
                <w:szCs w:val="20"/>
              </w:rPr>
            </w:pPr>
          </w:p>
          <w:p w14:paraId="13796F75" w14:textId="77777777" w:rsidR="00D41A32" w:rsidRPr="00610B1B" w:rsidRDefault="00D41A32" w:rsidP="00D41A32">
            <w:pPr>
              <w:pStyle w:val="BodyText"/>
              <w:spacing w:before="0" w:after="0" w:line="240" w:lineRule="auto"/>
              <w:jc w:val="left"/>
              <w:rPr>
                <w:rFonts w:cs="Times New Roman"/>
                <w:sz w:val="20"/>
                <w:szCs w:val="20"/>
              </w:rPr>
            </w:pPr>
          </w:p>
          <w:p w14:paraId="3EDB9F42" w14:textId="34B59A12"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Наредба за опазването на околната среда в морските води, обн. ДВ бр. 94/30.11.2010 г. изм. и доп. ДВ бр. 14/18.02.2020 г. </w:t>
            </w:r>
          </w:p>
        </w:tc>
      </w:tr>
      <w:tr w:rsidR="00D41A32" w:rsidRPr="005C2B9F" w14:paraId="1AC8D8D8" w14:textId="77777777" w:rsidTr="009D32BB">
        <w:tc>
          <w:tcPr>
            <w:tcW w:w="2126" w:type="dxa"/>
            <w:vMerge/>
            <w:vAlign w:val="center"/>
          </w:tcPr>
          <w:p w14:paraId="13EDB9A5"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21F7A9FD" w14:textId="2CC9BE8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Издава „Известие до корабоводителите“ съгл. чл. 4 от ЗМПВВППРБ и оповестява измененията в навигационната обстановка и специалните временни предписания за осигуряване безопасността на корабоплаването по вътрешните водни пътища на Р. България;</w:t>
            </w:r>
          </w:p>
        </w:tc>
        <w:tc>
          <w:tcPr>
            <w:tcW w:w="3543" w:type="dxa"/>
            <w:vMerge/>
          </w:tcPr>
          <w:p w14:paraId="3541077B"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6D8F920E" w14:textId="77777777" w:rsidTr="009D32BB">
        <w:tc>
          <w:tcPr>
            <w:tcW w:w="2126" w:type="dxa"/>
            <w:vMerge/>
            <w:vAlign w:val="center"/>
          </w:tcPr>
          <w:p w14:paraId="34FEB14C"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29E48A86" w14:textId="1929C546" w:rsidR="00D41A32" w:rsidRPr="00610B1B" w:rsidRDefault="00D41A32" w:rsidP="00343A67">
            <w:pPr>
              <w:pStyle w:val="BodyText"/>
              <w:spacing w:before="0" w:after="0" w:line="240" w:lineRule="auto"/>
              <w:jc w:val="left"/>
              <w:rPr>
                <w:rFonts w:cs="Times New Roman"/>
                <w:sz w:val="20"/>
                <w:szCs w:val="20"/>
              </w:rPr>
            </w:pPr>
            <w:r w:rsidRPr="00610B1B">
              <w:rPr>
                <w:rFonts w:cs="Times New Roman"/>
                <w:sz w:val="20"/>
                <w:szCs w:val="20"/>
              </w:rPr>
              <w:t xml:space="preserve">Упражнява държавен екологичен контрол на корабоплаването за предотвратяване замърсяването от кораби съгл. чл. </w:t>
            </w:r>
            <w:r w:rsidR="00106945" w:rsidRPr="00610B1B">
              <w:rPr>
                <w:rFonts w:cs="Times New Roman"/>
                <w:sz w:val="20"/>
                <w:szCs w:val="20"/>
              </w:rPr>
              <w:t xml:space="preserve">362в от Кодекса </w:t>
            </w:r>
            <w:r w:rsidR="00F249B9" w:rsidRPr="00610B1B">
              <w:rPr>
                <w:rFonts w:cs="Times New Roman"/>
                <w:sz w:val="20"/>
                <w:szCs w:val="20"/>
              </w:rPr>
              <w:t>на Търговското корабоплаване</w:t>
            </w:r>
            <w:r w:rsidR="00343A67" w:rsidRPr="00610B1B">
              <w:rPr>
                <w:rFonts w:cs="Times New Roman"/>
                <w:sz w:val="20"/>
                <w:szCs w:val="20"/>
              </w:rPr>
              <w:t xml:space="preserve">; Съвместно с МОСВ контролира </w:t>
            </w:r>
            <w:r w:rsidR="003C41B4" w:rsidRPr="00610B1B">
              <w:rPr>
                <w:rFonts w:cs="Times New Roman"/>
                <w:sz w:val="20"/>
                <w:szCs w:val="20"/>
              </w:rPr>
              <w:t>спазването</w:t>
            </w:r>
            <w:r w:rsidR="00343A67" w:rsidRPr="00610B1B">
              <w:rPr>
                <w:rFonts w:cs="Times New Roman"/>
                <w:sz w:val="20"/>
                <w:szCs w:val="20"/>
              </w:rPr>
              <w:t xml:space="preserve"> на предвидените мерки за отстраняване на последствията от проучвателни, сондажни и други дейности по разработва е използване на природни ресурси в морските пространства, съгл. чл. 58</w:t>
            </w:r>
            <w:r w:rsidR="008753B6" w:rsidRPr="00610B1B">
              <w:rPr>
                <w:rFonts w:cs="Times New Roman"/>
                <w:sz w:val="20"/>
                <w:szCs w:val="20"/>
              </w:rPr>
              <w:t xml:space="preserve"> </w:t>
            </w:r>
            <w:r w:rsidR="00343A67" w:rsidRPr="00610B1B">
              <w:rPr>
                <w:rFonts w:cs="Times New Roman"/>
                <w:sz w:val="20"/>
                <w:szCs w:val="20"/>
              </w:rPr>
              <w:t xml:space="preserve">ал. 1 </w:t>
            </w:r>
            <w:r w:rsidRPr="00610B1B">
              <w:rPr>
                <w:rFonts w:cs="Times New Roman"/>
                <w:sz w:val="20"/>
                <w:szCs w:val="20"/>
              </w:rPr>
              <w:t>на ЗМПВВППРБ.</w:t>
            </w:r>
          </w:p>
        </w:tc>
        <w:tc>
          <w:tcPr>
            <w:tcW w:w="3543" w:type="dxa"/>
            <w:vMerge/>
          </w:tcPr>
          <w:p w14:paraId="3FA30F52"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4FF19E4C" w14:textId="77777777" w:rsidTr="009D32BB">
        <w:tc>
          <w:tcPr>
            <w:tcW w:w="2126" w:type="dxa"/>
            <w:vMerge/>
            <w:vAlign w:val="center"/>
          </w:tcPr>
          <w:p w14:paraId="3A1FC9CB"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08D482F" w14:textId="0D213E4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Осъществява контрола върху замърсяването от кораби и използването на морската среда за навигационни и транспортни цели.</w:t>
            </w:r>
          </w:p>
        </w:tc>
        <w:tc>
          <w:tcPr>
            <w:tcW w:w="3543" w:type="dxa"/>
            <w:vMerge/>
          </w:tcPr>
          <w:p w14:paraId="7717324D"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135E348C" w14:textId="77777777" w:rsidTr="009D32BB">
        <w:tc>
          <w:tcPr>
            <w:tcW w:w="2126" w:type="dxa"/>
            <w:vMerge/>
            <w:vAlign w:val="center"/>
          </w:tcPr>
          <w:p w14:paraId="2E3AD8CD"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229C043F" w14:textId="099DA1C4"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Организира и координира търсене и спасяване на търпящи бедствие хора, кораби и самолети в българския морски отговорен район.</w:t>
            </w:r>
          </w:p>
        </w:tc>
        <w:tc>
          <w:tcPr>
            <w:tcW w:w="3543" w:type="dxa"/>
            <w:vMerge/>
          </w:tcPr>
          <w:p w14:paraId="565B9B35"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6F487399" w14:textId="77777777" w:rsidTr="009D32BB">
        <w:tc>
          <w:tcPr>
            <w:tcW w:w="2126" w:type="dxa"/>
            <w:vMerge/>
            <w:vAlign w:val="center"/>
          </w:tcPr>
          <w:p w14:paraId="439810FF"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BD0E293" w14:textId="207C93BC"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Подпомага министъра при съгласуването на документи за отреждане на земни и водни участъци за извършване на строителство по </w:t>
            </w:r>
            <w:r w:rsidRPr="00610B1B">
              <w:rPr>
                <w:rFonts w:cs="Times New Roman"/>
                <w:sz w:val="20"/>
                <w:szCs w:val="20"/>
              </w:rPr>
              <w:lastRenderedPageBreak/>
              <w:t>крайбрежието на Черно море, във вътрешните води и в териториалното море, както и в зоните на действие на средствата за навигационно осигуряване, включително на проекти на ПУП и на ИП за изграждане на нови или разширение на съществуващи подводни линейни обекти на техническата инфраструктура;</w:t>
            </w:r>
          </w:p>
        </w:tc>
        <w:tc>
          <w:tcPr>
            <w:tcW w:w="3543" w:type="dxa"/>
            <w:vMerge/>
          </w:tcPr>
          <w:p w14:paraId="5790F65F"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25DB0E21" w14:textId="77777777" w:rsidTr="009D32BB">
        <w:tc>
          <w:tcPr>
            <w:tcW w:w="2126" w:type="dxa"/>
            <w:vMerge/>
            <w:vAlign w:val="center"/>
          </w:tcPr>
          <w:p w14:paraId="16B21CF4"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4A0D88FE" w14:textId="2B017101"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Осигурява технически и организационно дейността по разглеждане, приемане и одобряване на генералните планове на пристанищата за обществен транспорт, на ПУП за изграждане на нови, разширения и реконструкция на съществуващи пристанища.</w:t>
            </w:r>
          </w:p>
        </w:tc>
        <w:tc>
          <w:tcPr>
            <w:tcW w:w="3543" w:type="dxa"/>
            <w:vMerge/>
          </w:tcPr>
          <w:p w14:paraId="044D55A3"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1020EF05" w14:textId="77777777" w:rsidTr="009D32BB">
        <w:tc>
          <w:tcPr>
            <w:tcW w:w="2126" w:type="dxa"/>
            <w:vAlign w:val="center"/>
          </w:tcPr>
          <w:p w14:paraId="7E64AAA8" w14:textId="770276F8"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ДП „Пристанищна инфраструктура“</w:t>
            </w:r>
          </w:p>
        </w:tc>
        <w:tc>
          <w:tcPr>
            <w:tcW w:w="4396" w:type="dxa"/>
          </w:tcPr>
          <w:p w14:paraId="1CE8E4B5" w14:textId="77777777" w:rsidR="00D41A32" w:rsidRPr="00610B1B" w:rsidRDefault="00D41A32" w:rsidP="005C2AA5">
            <w:pPr>
              <w:pStyle w:val="BodyText"/>
              <w:spacing w:before="60" w:after="0" w:line="240" w:lineRule="auto"/>
              <w:rPr>
                <w:rFonts w:cs="Times New Roman"/>
                <w:sz w:val="20"/>
                <w:szCs w:val="20"/>
              </w:rPr>
            </w:pPr>
            <w:r w:rsidRPr="00610B1B">
              <w:rPr>
                <w:rFonts w:cs="Times New Roman"/>
                <w:sz w:val="20"/>
                <w:szCs w:val="20"/>
              </w:rPr>
              <w:t xml:space="preserve">Изпълнява дейности по </w:t>
            </w:r>
          </w:p>
          <w:p w14:paraId="16B1324E" w14:textId="77777777" w:rsidR="005C2AA5"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изграждане на пристанища и пристанищни терминали - държавна собственост, както и реконструкция, рехабилитация и поддържане на пристанищните терминали - държавна собственост, от пристанищата за обществен транспорт, освен в случаите, когато това е възложено на концесионер или на еднолично търговско дружество с държавно участие в капитала; съгласувано с министъра на околната среда и водите;</w:t>
            </w:r>
          </w:p>
          <w:p w14:paraId="324C0990" w14:textId="77777777" w:rsidR="005C2AA5"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управление на държавната собственост в пристанищата за обществен транспорт и обезпечаване на достъп до пристанищата по чл. 93, т. 1 - 4;</w:t>
            </w:r>
          </w:p>
          <w:p w14:paraId="3B6362BC" w14:textId="77777777"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поддържане на съществуващите и изграждане на нови подходни канали, пристанищни акватории, морски депа за изхвърляне на драгажна маса, вълноломи, защитни съоръжения, мрежи и съоръжения на общата техническа инфраструктура, вкл. инфраструктура за достъп, в пристанищата по чл. 106а и в пристанищата за обществен транспорт - държавна собственост, съгласувано с министъра на околната среда и водите;</w:t>
            </w:r>
          </w:p>
          <w:p w14:paraId="4EDDD465" w14:textId="77777777"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навигационно осигуряване на корабоплаването в териториалното море, вътрешните морски води, каналите и акваторията на пристанищата, освен в случаите, в които това е възложено на МО;</w:t>
            </w:r>
          </w:p>
          <w:p w14:paraId="3F5DED9D" w14:textId="77777777"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определяне, събиране и разходване на пристанищните такси по чл. 103в, ал. 1 и чл. 109а, ал. 3;</w:t>
            </w:r>
          </w:p>
          <w:p w14:paraId="45A75C79" w14:textId="77777777"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изготвяне, поддържане и съхраняване на регистър, съдържащ данни за пристанищната инфраструктура - държавна собственост;</w:t>
            </w:r>
          </w:p>
          <w:p w14:paraId="52ADAE46" w14:textId="77777777"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 xml:space="preserve">подпомагане министъра на транспорта, информационните технологии и съобщенията </w:t>
            </w:r>
            <w:r w:rsidR="0088200F" w:rsidRPr="00610B1B">
              <w:rPr>
                <w:rFonts w:cs="Times New Roman"/>
                <w:sz w:val="20"/>
                <w:szCs w:val="20"/>
              </w:rPr>
              <w:t>в</w:t>
            </w:r>
            <w:r w:rsidRPr="00610B1B">
              <w:rPr>
                <w:rFonts w:cs="Times New Roman"/>
                <w:sz w:val="20"/>
                <w:szCs w:val="20"/>
              </w:rPr>
              <w:t xml:space="preserve"> контрола по изпълнението на концесионните договори и договорите с едноличните търговски дружества за извършване на пристанищни услуги и на дейности по чл. 116а, ал. 1;</w:t>
            </w:r>
          </w:p>
          <w:p w14:paraId="409C2F1C" w14:textId="2F79F1F9"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lastRenderedPageBreak/>
              <w:t>организиране набирането, поддържането в актуално състояние и предоставянето на специализирани данни за обектите по чл. 32, ал. 1, т. 1 от З</w:t>
            </w:r>
            <w:r w:rsidR="00A67B98" w:rsidRPr="00610B1B">
              <w:rPr>
                <w:rFonts w:cs="Times New Roman"/>
                <w:sz w:val="20"/>
                <w:szCs w:val="20"/>
              </w:rPr>
              <w:t>КИР</w:t>
            </w:r>
            <w:r w:rsidRPr="00610B1B">
              <w:rPr>
                <w:rFonts w:cs="Times New Roman"/>
                <w:sz w:val="20"/>
                <w:szCs w:val="20"/>
              </w:rPr>
              <w:t xml:space="preserve"> и създаването на специализирани карти, регистри и информационни системи, за пристанищата по чл. 106а и за пристанищата за обществен транспорт или терминали от такива пристанища, държавна собственост;</w:t>
            </w:r>
          </w:p>
          <w:p w14:paraId="6ABF6A89" w14:textId="632E0270"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сключване на договори с пристанищни оператори за извършване на пристанищни услуги по приемане и обработване на отпадъци от корабоплавателна дейност;</w:t>
            </w:r>
          </w:p>
          <w:p w14:paraId="4C779C64" w14:textId="77777777"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изграждане и поддържане на съоръженията, обслужващи системата за контрол на движението на корабите и за информация и българската речна информационна система;</w:t>
            </w:r>
          </w:p>
          <w:p w14:paraId="103BD0AD" w14:textId="77777777"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предоставяне на услуги чрез Световната морска система за бедствия и безопасност;</w:t>
            </w:r>
            <w:r w:rsidR="0088200F" w:rsidRPr="00610B1B">
              <w:rPr>
                <w:rFonts w:cs="Times New Roman"/>
                <w:sz w:val="20"/>
                <w:szCs w:val="20"/>
              </w:rPr>
              <w:t xml:space="preserve"> </w:t>
            </w:r>
            <w:r w:rsidRPr="00610B1B">
              <w:rPr>
                <w:rFonts w:cs="Times New Roman"/>
                <w:sz w:val="20"/>
                <w:szCs w:val="20"/>
              </w:rPr>
              <w:t>предоставяне на далекосъобщителни услуги кораб-бряг и бряг-кораб;</w:t>
            </w:r>
          </w:p>
          <w:p w14:paraId="7E192497" w14:textId="77777777"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предоставяне на услуги по управление на трафика и информационно обслужване на корабоплаването и предоставяне на речни информационни услуги на корабния трафик;</w:t>
            </w:r>
          </w:p>
          <w:p w14:paraId="57FAE022" w14:textId="77777777"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предоставяне на хидрометеорологична информация;</w:t>
            </w:r>
          </w:p>
          <w:p w14:paraId="0A61C0FB" w14:textId="77777777"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отговорност за наличието, изпълнението и поддържането на плановете за сигурност на пристанищата по чл. 106а;</w:t>
            </w:r>
          </w:p>
          <w:p w14:paraId="658DC0FC" w14:textId="77777777"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съпътстващи дейности по чл. 116а в пристанищата за обществен транспорт и терминалите от такива пристанища, които са държавна собственост;</w:t>
            </w:r>
          </w:p>
          <w:p w14:paraId="7658AF39" w14:textId="77777777" w:rsidR="0088200F"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поддържане на сили и средства за участие в спасителни и неотложни аварийно-възстановителни работи, извършвани в акваториите на пристанищата по чл. 106а и на пристанищата за обществен транспорт - държавна собственост, в съответствие с Националния план за защита при бедствия;</w:t>
            </w:r>
          </w:p>
          <w:p w14:paraId="76F3FB98" w14:textId="33EF172C" w:rsidR="00D41A32" w:rsidRPr="00610B1B" w:rsidRDefault="005C2AA5" w:rsidP="0088200F">
            <w:pPr>
              <w:pStyle w:val="BodyText"/>
              <w:numPr>
                <w:ilvl w:val="0"/>
                <w:numId w:val="81"/>
              </w:numPr>
              <w:tabs>
                <w:tab w:val="left" w:pos="453"/>
              </w:tabs>
              <w:spacing w:before="60" w:after="0" w:line="240" w:lineRule="auto"/>
              <w:ind w:left="170" w:hanging="284"/>
              <w:jc w:val="left"/>
              <w:rPr>
                <w:rFonts w:cs="Times New Roman"/>
                <w:sz w:val="20"/>
                <w:szCs w:val="20"/>
              </w:rPr>
            </w:pPr>
            <w:r w:rsidRPr="00610B1B">
              <w:rPr>
                <w:rFonts w:cs="Times New Roman"/>
                <w:sz w:val="20"/>
                <w:szCs w:val="20"/>
              </w:rPr>
              <w:t>изграждане, поддържане и администриране на национална система за електронен обмен на информация в пристанищата за обществен транспорт.</w:t>
            </w:r>
          </w:p>
        </w:tc>
        <w:tc>
          <w:tcPr>
            <w:tcW w:w="3543" w:type="dxa"/>
          </w:tcPr>
          <w:p w14:paraId="17EB56C5" w14:textId="2CBE23F5"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lastRenderedPageBreak/>
              <w:t xml:space="preserve">ЗМПВВППРБ, </w:t>
            </w:r>
            <w:r w:rsidR="0066785F" w:rsidRPr="00610B1B">
              <w:rPr>
                <w:rFonts w:cs="Times New Roman"/>
                <w:sz w:val="20"/>
                <w:szCs w:val="20"/>
              </w:rPr>
              <w:t xml:space="preserve">изм. и доп. ДВ бр. 104/08.12.2020 г., изм. ДВ бр. 17/26.02.2021 г. </w:t>
            </w:r>
            <w:r w:rsidRPr="00610B1B">
              <w:rPr>
                <w:rFonts w:cs="Times New Roman"/>
                <w:sz w:val="20"/>
                <w:szCs w:val="20"/>
              </w:rPr>
              <w:t xml:space="preserve">чл. 115м ал. 1 т. </w:t>
            </w:r>
            <w:r w:rsidR="0066785F" w:rsidRPr="00610B1B">
              <w:rPr>
                <w:rFonts w:cs="Times New Roman"/>
                <w:sz w:val="20"/>
                <w:szCs w:val="20"/>
              </w:rPr>
              <w:t>1-20</w:t>
            </w:r>
          </w:p>
          <w:p w14:paraId="0907ED22" w14:textId="4949A1A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18C30CC5" w14:textId="77777777" w:rsidTr="009D32BB">
        <w:tc>
          <w:tcPr>
            <w:tcW w:w="2126" w:type="dxa"/>
            <w:shd w:val="clear" w:color="auto" w:fill="auto"/>
            <w:vAlign w:val="center"/>
          </w:tcPr>
          <w:p w14:paraId="2C78F88A" w14:textId="52070C1E"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Дирекция „Ръководство на корабния трафик - Черно море“</w:t>
            </w:r>
          </w:p>
        </w:tc>
        <w:tc>
          <w:tcPr>
            <w:tcW w:w="4396" w:type="dxa"/>
            <w:shd w:val="clear" w:color="auto" w:fill="auto"/>
          </w:tcPr>
          <w:p w14:paraId="37E3818D" w14:textId="2CD2D944"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Изпълнява функции по повишаването на безопасността и ефективността на корабоплаването, опазването на човешкия живот на море и защитата на околната среда и прилежащата брегова ивица от вредни въздействия от корабоплаването и информационно обслужване на морския транспорт</w:t>
            </w:r>
          </w:p>
        </w:tc>
        <w:tc>
          <w:tcPr>
            <w:tcW w:w="3543" w:type="dxa"/>
            <w:shd w:val="clear" w:color="auto" w:fill="auto"/>
          </w:tcPr>
          <w:p w14:paraId="2DEDD9A3" w14:textId="498A155B"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Правилник за устройството, функциите и дейността на Държавно предприятие „Пристанищна инфраструктура“, чл. 33, ал. 2</w:t>
            </w:r>
          </w:p>
        </w:tc>
      </w:tr>
      <w:tr w:rsidR="00D41A32" w:rsidRPr="00610B1B" w14:paraId="4B1297C6" w14:textId="77777777" w:rsidTr="009D32BB">
        <w:tc>
          <w:tcPr>
            <w:tcW w:w="2126" w:type="dxa"/>
            <w:vMerge w:val="restart"/>
            <w:vAlign w:val="center"/>
          </w:tcPr>
          <w:p w14:paraId="53E9F782" w14:textId="72CC4EA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Министерството на земеделието, храните и горите (МЗХГ)</w:t>
            </w:r>
          </w:p>
        </w:tc>
        <w:tc>
          <w:tcPr>
            <w:tcW w:w="4396" w:type="dxa"/>
          </w:tcPr>
          <w:p w14:paraId="51C91948" w14:textId="1DC7228C"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Министърът на земеделието, храните и горите съгласувано с министъра на околната среда и водите определя временни забрани за стопански </w:t>
            </w:r>
            <w:r w:rsidRPr="00610B1B">
              <w:rPr>
                <w:rFonts w:cs="Times New Roman"/>
                <w:sz w:val="20"/>
                <w:szCs w:val="20"/>
              </w:rPr>
              <w:lastRenderedPageBreak/>
              <w:t>и любителски риболов във водни обекти или отделни зони от тях за опазване на популациите от риба и други водни организми.</w:t>
            </w:r>
            <w:r w:rsidR="00D66FE0" w:rsidRPr="00610B1B">
              <w:rPr>
                <w:rFonts w:cs="Times New Roman"/>
                <w:sz w:val="20"/>
                <w:szCs w:val="20"/>
              </w:rPr>
              <w:t xml:space="preserve"> </w:t>
            </w:r>
          </w:p>
        </w:tc>
        <w:tc>
          <w:tcPr>
            <w:tcW w:w="3543" w:type="dxa"/>
          </w:tcPr>
          <w:p w14:paraId="2ADBBDF1" w14:textId="3D5E0400"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lastRenderedPageBreak/>
              <w:t xml:space="preserve">Закон за рибарството и аквакултурите, обн. ДВ бр. 41/24.04.2001 г., изм. и доп. ДВ бр. 52/09.06.2020 г., чл. 30 ал. </w:t>
            </w:r>
            <w:r w:rsidRPr="00610B1B">
              <w:rPr>
                <w:rFonts w:cs="Times New Roman"/>
                <w:sz w:val="20"/>
                <w:szCs w:val="20"/>
              </w:rPr>
              <w:lastRenderedPageBreak/>
              <w:t xml:space="preserve">3 т. 1 </w:t>
            </w:r>
          </w:p>
        </w:tc>
      </w:tr>
      <w:tr w:rsidR="00D41A32" w:rsidRPr="00610B1B" w14:paraId="3C5B7FB0" w14:textId="77777777" w:rsidTr="009D32BB">
        <w:tc>
          <w:tcPr>
            <w:tcW w:w="2126" w:type="dxa"/>
            <w:vMerge/>
            <w:vAlign w:val="center"/>
          </w:tcPr>
          <w:p w14:paraId="192CB06D" w14:textId="568CCE1F"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627902BD" w14:textId="3401F65A"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Министърът на земеделието, храните и горите, ръководи, координира и контролира осъществяването на държавната политика в областта на ….. рибарството и аквакултурите и провежда държавната политика за безопасността на храните в съответствие с действащото законодателство.</w:t>
            </w:r>
          </w:p>
        </w:tc>
        <w:tc>
          <w:tcPr>
            <w:tcW w:w="3543" w:type="dxa"/>
            <w:vMerge w:val="restart"/>
          </w:tcPr>
          <w:p w14:paraId="6BCFF765"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Устройствен правилник на Министерството на земеделието, храните и горите, обн., ДВ, бр. 82/18.10.2019 г.</w:t>
            </w:r>
          </w:p>
          <w:p w14:paraId="2452CC10" w14:textId="77777777" w:rsidR="00D41A32" w:rsidRPr="00610B1B" w:rsidRDefault="00D41A32" w:rsidP="00D41A32">
            <w:pPr>
              <w:pStyle w:val="BodyText"/>
              <w:spacing w:before="0" w:after="0" w:line="240" w:lineRule="auto"/>
              <w:jc w:val="left"/>
              <w:rPr>
                <w:rFonts w:cs="Times New Roman"/>
                <w:sz w:val="20"/>
                <w:szCs w:val="20"/>
              </w:rPr>
            </w:pPr>
          </w:p>
          <w:p w14:paraId="576AEEE4" w14:textId="176B4AB8"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рибарството и аквакултурите, обн. ДВ бр. 41/24.04.2001 г., изм. и доп. ДВ бр. 52/09.06.2020 г.</w:t>
            </w:r>
          </w:p>
        </w:tc>
      </w:tr>
      <w:tr w:rsidR="00D41A32" w:rsidRPr="005C2B9F" w14:paraId="4B8678D6" w14:textId="77777777" w:rsidTr="009D32BB">
        <w:tc>
          <w:tcPr>
            <w:tcW w:w="2126" w:type="dxa"/>
            <w:vMerge/>
            <w:vAlign w:val="center"/>
          </w:tcPr>
          <w:p w14:paraId="35ACAD35"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C7D9B1A" w14:textId="5E779CFD"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Издава наредба за управлението на риболовния флот.</w:t>
            </w:r>
          </w:p>
        </w:tc>
        <w:tc>
          <w:tcPr>
            <w:tcW w:w="3543" w:type="dxa"/>
            <w:vMerge/>
          </w:tcPr>
          <w:p w14:paraId="39B40DE9"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76B765C8" w14:textId="77777777" w:rsidTr="009D32BB">
        <w:tc>
          <w:tcPr>
            <w:tcW w:w="2126" w:type="dxa"/>
            <w:vMerge/>
            <w:vAlign w:val="center"/>
          </w:tcPr>
          <w:p w14:paraId="3F85E208"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0E3D1657" w14:textId="7F5ED15B"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Организира, координира и контролира дейностите, свързани с Политиката по безопасност на храните и Общата политика в областта на рибарството на ЕС.</w:t>
            </w:r>
          </w:p>
        </w:tc>
        <w:tc>
          <w:tcPr>
            <w:tcW w:w="3543" w:type="dxa"/>
            <w:vMerge/>
          </w:tcPr>
          <w:p w14:paraId="588EBB61"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610B1B" w14:paraId="3B8FC210" w14:textId="77777777" w:rsidTr="009D32BB">
        <w:tc>
          <w:tcPr>
            <w:tcW w:w="2126" w:type="dxa"/>
            <w:vMerge/>
            <w:vAlign w:val="center"/>
          </w:tcPr>
          <w:p w14:paraId="472025C6"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3755F040" w14:textId="507F9FAD"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По предложение на изп. директор на ИАРА променя със заповед началната дата, крайната дата или увеличава сроковете на забраната по Приложение № 1 с до 30 дни при нетипични промени в климатичните условия, влияещи на развитието на рибните ресурси.</w:t>
            </w:r>
          </w:p>
        </w:tc>
        <w:tc>
          <w:tcPr>
            <w:tcW w:w="3543" w:type="dxa"/>
            <w:shd w:val="clear" w:color="auto" w:fill="auto"/>
          </w:tcPr>
          <w:p w14:paraId="76EEA07D" w14:textId="463952B4"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 xml:space="preserve">Закон за рибарството и аквакултурите, обн. ДВ бр. 41/24.04.2001 г., </w:t>
            </w:r>
            <w:r w:rsidRPr="00610B1B">
              <w:rPr>
                <w:rFonts w:cs="Times New Roman"/>
                <w:sz w:val="20"/>
                <w:szCs w:val="20"/>
              </w:rPr>
              <w:t xml:space="preserve">изм. и доп. ДВ бр. 52/09.06.2020 г. </w:t>
            </w:r>
            <w:r w:rsidRPr="00610B1B">
              <w:rPr>
                <w:rFonts w:eastAsiaTheme="minorEastAsia" w:cs="Times New Roman"/>
                <w:bCs/>
                <w:sz w:val="20"/>
                <w:szCs w:val="20"/>
              </w:rPr>
              <w:t>чл. 32, ал. 2</w:t>
            </w:r>
          </w:p>
        </w:tc>
      </w:tr>
      <w:tr w:rsidR="00D41A32" w:rsidRPr="00610B1B" w14:paraId="52DE8E89" w14:textId="77777777" w:rsidTr="009D32BB">
        <w:tc>
          <w:tcPr>
            <w:tcW w:w="2126" w:type="dxa"/>
            <w:vMerge/>
            <w:vAlign w:val="center"/>
          </w:tcPr>
          <w:p w14:paraId="2663916D"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54CECC2D" w14:textId="6ED6A542"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След съгласуване с министъра на околната среда и водите, министърът на ЗХГ издава разрешително за улов за научноизследователски цели на видовете риби по приложение № 4 от Закона за биологичното разнообразие.</w:t>
            </w:r>
          </w:p>
        </w:tc>
        <w:tc>
          <w:tcPr>
            <w:tcW w:w="3543" w:type="dxa"/>
            <w:shd w:val="clear" w:color="auto" w:fill="auto"/>
          </w:tcPr>
          <w:p w14:paraId="1C7BC26D" w14:textId="073C31A6"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 xml:space="preserve">Закон за рибарството и аквакултурите, обн. ДВ бр. 41/24.04.2001 г., </w:t>
            </w:r>
            <w:r w:rsidRPr="00610B1B">
              <w:rPr>
                <w:rFonts w:cs="Times New Roman"/>
                <w:sz w:val="20"/>
                <w:szCs w:val="20"/>
              </w:rPr>
              <w:t xml:space="preserve">изм. и доп. ДВ бр. 52/09.06.2020 г. </w:t>
            </w:r>
            <w:r w:rsidRPr="00610B1B">
              <w:rPr>
                <w:rFonts w:eastAsiaTheme="minorEastAsia" w:cs="Times New Roman"/>
                <w:bCs/>
                <w:sz w:val="20"/>
                <w:szCs w:val="20"/>
              </w:rPr>
              <w:t>чл. 40, ал. 2</w:t>
            </w:r>
          </w:p>
        </w:tc>
      </w:tr>
      <w:tr w:rsidR="00D41A32" w:rsidRPr="00610B1B" w14:paraId="7D1127A6" w14:textId="77777777" w:rsidTr="009D32BB">
        <w:tc>
          <w:tcPr>
            <w:tcW w:w="2126" w:type="dxa"/>
            <w:vAlign w:val="center"/>
          </w:tcPr>
          <w:p w14:paraId="18AE37A3" w14:textId="1FE639E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Дирекция „Морско дело и рибарство“ </w:t>
            </w:r>
          </w:p>
        </w:tc>
        <w:tc>
          <w:tcPr>
            <w:tcW w:w="4396" w:type="dxa"/>
          </w:tcPr>
          <w:p w14:paraId="6E991505" w14:textId="1377272A"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Изпълнява функциите на Управляващ орган на Програмата за морско дело и рибарство 2014 – 2020 г. (ПМДР), организира, координира и участва в изготвянето, актуализирането, изпълнението, наблюдението и оценката на ПМДР 2014-2020 г.</w:t>
            </w:r>
          </w:p>
        </w:tc>
        <w:tc>
          <w:tcPr>
            <w:tcW w:w="3543" w:type="dxa"/>
          </w:tcPr>
          <w:p w14:paraId="01C8527D" w14:textId="393808A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рибарството и аквакултурите, обн. ДВ бр. 41/24.04.2001 г.</w:t>
            </w:r>
            <w:r w:rsidRPr="00610B1B">
              <w:rPr>
                <w:rFonts w:eastAsiaTheme="minorEastAsia" w:cs="Times New Roman"/>
                <w:bCs/>
                <w:sz w:val="20"/>
                <w:szCs w:val="20"/>
              </w:rPr>
              <w:t xml:space="preserve">, </w:t>
            </w:r>
            <w:r w:rsidRPr="00610B1B">
              <w:rPr>
                <w:rFonts w:cs="Times New Roman"/>
                <w:sz w:val="20"/>
                <w:szCs w:val="20"/>
              </w:rPr>
              <w:t xml:space="preserve">изм. и доп. ДВ бр. 52/09.06.2020 г. Чл. 39 </w:t>
            </w:r>
          </w:p>
        </w:tc>
      </w:tr>
      <w:tr w:rsidR="00D41A32" w:rsidRPr="00610B1B" w14:paraId="4096EB79" w14:textId="77777777" w:rsidTr="009D32BB">
        <w:tc>
          <w:tcPr>
            <w:tcW w:w="2126" w:type="dxa"/>
            <w:vMerge w:val="restart"/>
            <w:vAlign w:val="center"/>
          </w:tcPr>
          <w:p w14:paraId="40AE89B4" w14:textId="207858A8"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Дирекция „Обща политика в областта на рибарството“:</w:t>
            </w:r>
          </w:p>
        </w:tc>
        <w:tc>
          <w:tcPr>
            <w:tcW w:w="4396" w:type="dxa"/>
          </w:tcPr>
          <w:p w14:paraId="02E5A3B3" w14:textId="18862EA8"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Разработва и участва в разработването на стратегии, програми и проекти за развитие на рибарството и опазване на рибните ресурси.</w:t>
            </w:r>
          </w:p>
        </w:tc>
        <w:tc>
          <w:tcPr>
            <w:tcW w:w="3543" w:type="dxa"/>
          </w:tcPr>
          <w:p w14:paraId="3F258480"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рибарството и аквакултурите, обн. ДВ бр. 41/24.04.2001 г.,</w:t>
            </w:r>
            <w:r w:rsidRPr="00610B1B">
              <w:rPr>
                <w:rFonts w:eastAsiaTheme="minorEastAsia" w:cs="Times New Roman"/>
                <w:bCs/>
                <w:sz w:val="20"/>
                <w:szCs w:val="20"/>
              </w:rPr>
              <w:t xml:space="preserve"> </w:t>
            </w:r>
            <w:r w:rsidRPr="00610B1B">
              <w:rPr>
                <w:rFonts w:cs="Times New Roman"/>
                <w:sz w:val="20"/>
                <w:szCs w:val="20"/>
              </w:rPr>
              <w:t>изм. и доп. ДВ бр. 52/09.06.2020 г , Чл. 40</w:t>
            </w:r>
          </w:p>
          <w:p w14:paraId="3EC5AD52" w14:textId="49543942" w:rsidR="00695BEA" w:rsidRPr="00610B1B" w:rsidRDefault="00695BEA" w:rsidP="00D41A32">
            <w:pPr>
              <w:pStyle w:val="BodyText"/>
              <w:spacing w:before="0" w:after="0" w:line="240" w:lineRule="auto"/>
              <w:jc w:val="left"/>
              <w:rPr>
                <w:rFonts w:cs="Times New Roman"/>
                <w:sz w:val="20"/>
                <w:szCs w:val="20"/>
              </w:rPr>
            </w:pPr>
          </w:p>
        </w:tc>
      </w:tr>
      <w:tr w:rsidR="00D41A32" w:rsidRPr="00610B1B" w14:paraId="1C1A5BCB" w14:textId="77777777" w:rsidTr="009D32BB">
        <w:tc>
          <w:tcPr>
            <w:tcW w:w="2126" w:type="dxa"/>
            <w:vMerge/>
            <w:vAlign w:val="center"/>
          </w:tcPr>
          <w:p w14:paraId="07F5D2A5"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40AC4235" w14:textId="7C0D6C25"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Изпълнява функциите на секретариат и организира дейността на постоянната комисия по чл. 10, ал. 7 от Закона за рибарството и аквакултурите.</w:t>
            </w:r>
          </w:p>
          <w:p w14:paraId="7C9EC49A" w14:textId="56AA2BD4"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Изпълнява функциите на секретариат и организира дейността на Консултативния съвет по рибарство, създаден към министъра.</w:t>
            </w:r>
          </w:p>
        </w:tc>
        <w:tc>
          <w:tcPr>
            <w:tcW w:w="3543" w:type="dxa"/>
          </w:tcPr>
          <w:p w14:paraId="107ED3F3"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рибарството и аквакултурите, обн. ДВ бр. 41/24.04.2001 г.,</w:t>
            </w:r>
            <w:r w:rsidRPr="00610B1B">
              <w:rPr>
                <w:rFonts w:eastAsiaTheme="minorEastAsia" w:cs="Times New Roman"/>
                <w:bCs/>
                <w:sz w:val="20"/>
                <w:szCs w:val="20"/>
              </w:rPr>
              <w:t xml:space="preserve"> </w:t>
            </w:r>
            <w:r w:rsidRPr="00610B1B">
              <w:rPr>
                <w:rFonts w:cs="Times New Roman"/>
                <w:sz w:val="20"/>
                <w:szCs w:val="20"/>
              </w:rPr>
              <w:t>изм. и доп. ДВ бр. 52/09.06.2020 г</w:t>
            </w:r>
          </w:p>
          <w:p w14:paraId="71E93EC7" w14:textId="6C95BDC8"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Чл. 40 т.10 и 11</w:t>
            </w:r>
          </w:p>
        </w:tc>
      </w:tr>
      <w:tr w:rsidR="00D41A32" w:rsidRPr="00610B1B" w14:paraId="31D36736" w14:textId="77777777" w:rsidTr="009D32BB">
        <w:tc>
          <w:tcPr>
            <w:tcW w:w="2126" w:type="dxa"/>
            <w:vMerge w:val="restart"/>
            <w:vAlign w:val="center"/>
          </w:tcPr>
          <w:p w14:paraId="1814BA64" w14:textId="2A4EECF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ИА „Рибарство и аквакултури“</w:t>
            </w:r>
          </w:p>
        </w:tc>
        <w:tc>
          <w:tcPr>
            <w:tcW w:w="4396" w:type="dxa"/>
          </w:tcPr>
          <w:p w14:paraId="6E3F4373" w14:textId="3AFA7909"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Осъществява дейностите, свързани с прилагането на политиката в областта на рибарството в рамките на ОПОР, държавния надзор, контрола върху риболовните дейности в рибностопански води и обекти.</w:t>
            </w:r>
          </w:p>
        </w:tc>
        <w:tc>
          <w:tcPr>
            <w:tcW w:w="3543" w:type="dxa"/>
          </w:tcPr>
          <w:p w14:paraId="0C0B8AAB" w14:textId="2B190DA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Устройствен правилник на Изпълнителната агенция по Рибарство и аквакултури, Обн. ДВ. бр.41/01.06.2010 г., изм. и доп. ДВ. бр.20/10.03.2020 г. </w:t>
            </w:r>
          </w:p>
        </w:tc>
      </w:tr>
      <w:tr w:rsidR="00D41A32" w:rsidRPr="005C2B9F" w14:paraId="3ACCC3E9" w14:textId="77777777" w:rsidTr="009D32BB">
        <w:tc>
          <w:tcPr>
            <w:tcW w:w="2126" w:type="dxa"/>
            <w:vMerge/>
            <w:vAlign w:val="center"/>
          </w:tcPr>
          <w:p w14:paraId="18EA661E"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35C4FBB" w14:textId="5A76415C"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Изпълнява самостоятелно или с други органи и/или организации проекти и програми в областта на рибарството и аквакултурите, финансирани със средства от ЕС или от други международни източници, вкл. такива, в които българската страна участва със свои ресурси.</w:t>
            </w:r>
          </w:p>
        </w:tc>
        <w:tc>
          <w:tcPr>
            <w:tcW w:w="3543" w:type="dxa"/>
          </w:tcPr>
          <w:p w14:paraId="376BBA09"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6FFED9EF" w14:textId="77777777" w:rsidTr="009D32BB">
        <w:tc>
          <w:tcPr>
            <w:tcW w:w="2126" w:type="dxa"/>
            <w:vMerge/>
            <w:vAlign w:val="center"/>
          </w:tcPr>
          <w:p w14:paraId="59A23E84"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4045319C" w14:textId="42555443"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Изп. директор издава заповед за местоположението и зоните на действие на специализираните уреди за стопански риболов и техните основни технически параметри, </w:t>
            </w:r>
            <w:r w:rsidRPr="00610B1B">
              <w:rPr>
                <w:rFonts w:cs="Times New Roman"/>
                <w:sz w:val="20"/>
                <w:szCs w:val="20"/>
              </w:rPr>
              <w:lastRenderedPageBreak/>
              <w:t>съгласувано с ръководителите на териториалните звена на ИА „Морска администрация“ и на военноморските бази на Българската армия за специализирани уреди във водите на Черно море.</w:t>
            </w:r>
          </w:p>
        </w:tc>
        <w:tc>
          <w:tcPr>
            <w:tcW w:w="3543" w:type="dxa"/>
          </w:tcPr>
          <w:p w14:paraId="398CF77A" w14:textId="77777777" w:rsidR="00D41A32" w:rsidRPr="00610B1B" w:rsidRDefault="00D41A32" w:rsidP="00D41A32">
            <w:pPr>
              <w:pStyle w:val="BodyText"/>
              <w:spacing w:before="0" w:after="0" w:line="240" w:lineRule="auto"/>
              <w:rPr>
                <w:rFonts w:cs="Times New Roman"/>
                <w:sz w:val="20"/>
                <w:szCs w:val="20"/>
              </w:rPr>
            </w:pPr>
          </w:p>
        </w:tc>
      </w:tr>
      <w:tr w:rsidR="00D41A32" w:rsidRPr="00610B1B" w14:paraId="48BBF412" w14:textId="77777777" w:rsidTr="009D32BB">
        <w:tc>
          <w:tcPr>
            <w:tcW w:w="2126" w:type="dxa"/>
            <w:vMerge/>
            <w:vAlign w:val="center"/>
          </w:tcPr>
          <w:p w14:paraId="5BC51EEA"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43FDBF0" w14:textId="22C4513F"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Заедно с БАБХ и ИА „Морска администрация“ осъществяват съвместна дейност по регистрацията и контрола на риболовните кораби. Води регистър на риболовните кораби.</w:t>
            </w:r>
          </w:p>
        </w:tc>
        <w:tc>
          <w:tcPr>
            <w:tcW w:w="3543" w:type="dxa"/>
          </w:tcPr>
          <w:p w14:paraId="10E5535E"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5756D6A2" w14:textId="77777777" w:rsidTr="009D32BB">
        <w:tc>
          <w:tcPr>
            <w:tcW w:w="2126" w:type="dxa"/>
            <w:vMerge/>
            <w:vAlign w:val="center"/>
          </w:tcPr>
          <w:p w14:paraId="0EB103C4"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7EA2A3E" w14:textId="3AAE51E0"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Осъществява при необходимост съвместна дейност с ГД „Гранична полиция“, с Агенция "Митници" и с всички служби, осъществяващи задължителен граничен контрол, за наблюдение и контрол на риболовните кораби, риболова и рибно-стопанските дейности в граничната зона, в зоните на граничните контролно-пропускателни пунктове, пристанищата, вътрешните морски води, териториалното море, прилежащата зона, континенталния шелф и ИИЗ, при внос и износ на риба, рибни продукти и аквакултури.</w:t>
            </w:r>
          </w:p>
        </w:tc>
        <w:tc>
          <w:tcPr>
            <w:tcW w:w="3543" w:type="dxa"/>
          </w:tcPr>
          <w:p w14:paraId="2D6358EA" w14:textId="77777777" w:rsidR="00D41A32" w:rsidRPr="00610B1B" w:rsidRDefault="00D41A32" w:rsidP="00D41A32">
            <w:pPr>
              <w:pStyle w:val="BodyText"/>
              <w:spacing w:before="0" w:after="0" w:line="240" w:lineRule="auto"/>
              <w:rPr>
                <w:rFonts w:cs="Times New Roman"/>
                <w:sz w:val="20"/>
                <w:szCs w:val="20"/>
              </w:rPr>
            </w:pPr>
          </w:p>
        </w:tc>
      </w:tr>
      <w:tr w:rsidR="00D41A32" w:rsidRPr="00610B1B" w14:paraId="2813E5D2" w14:textId="77777777" w:rsidTr="009D32BB">
        <w:tc>
          <w:tcPr>
            <w:tcW w:w="2126" w:type="dxa"/>
            <w:vMerge w:val="restart"/>
            <w:vAlign w:val="center"/>
          </w:tcPr>
          <w:p w14:paraId="0ECAD55D" w14:textId="5588F4C1"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 на културата (МК)</w:t>
            </w:r>
          </w:p>
        </w:tc>
        <w:tc>
          <w:tcPr>
            <w:tcW w:w="4396" w:type="dxa"/>
          </w:tcPr>
          <w:p w14:paraId="1667FB1F" w14:textId="2CEC53E9"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Министърът на културата прави предложения за вписване на недвижими културни ценности в Списъка на световното наследство; предоставя статут на недвижими културни ценности; издава разрешения за извършване на теренни археологически проучвания; мониторинг на недвижими културни ценности; </w:t>
            </w:r>
          </w:p>
        </w:tc>
        <w:tc>
          <w:tcPr>
            <w:tcW w:w="3543" w:type="dxa"/>
          </w:tcPr>
          <w:p w14:paraId="2E199FCA" w14:textId="1F3BC3D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културното наследство, обн. ДВ бр. 19/13.03.2009 г., изм. и доп. ДВ бр. 44/13.05.2020 г. чл.14 ал. 1, т.1</w:t>
            </w:r>
          </w:p>
        </w:tc>
      </w:tr>
      <w:tr w:rsidR="00D41A32" w:rsidRPr="00610B1B" w14:paraId="7B4A3708" w14:textId="77777777" w:rsidTr="009D32BB">
        <w:tc>
          <w:tcPr>
            <w:tcW w:w="2126" w:type="dxa"/>
            <w:vMerge/>
            <w:vAlign w:val="center"/>
          </w:tcPr>
          <w:p w14:paraId="320E6487"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6D336189" w14:textId="50A2F9E5"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Възлага и приема планове за опазване и управление на недвижими културни ценности</w:t>
            </w:r>
          </w:p>
        </w:tc>
        <w:tc>
          <w:tcPr>
            <w:tcW w:w="3543" w:type="dxa"/>
            <w:vMerge w:val="restart"/>
          </w:tcPr>
          <w:p w14:paraId="6731C472" w14:textId="4AAEF7F8"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културното наследство, обн. ДВ бр. 19/13.03.2009 г., изм. и доп. ДВ бр. 44/13.05.2020 г., чл.14 ал. 1, т.9</w:t>
            </w:r>
          </w:p>
        </w:tc>
      </w:tr>
      <w:tr w:rsidR="00D41A32" w:rsidRPr="005C2B9F" w14:paraId="75B43398" w14:textId="77777777" w:rsidTr="009D32BB">
        <w:tc>
          <w:tcPr>
            <w:tcW w:w="2126" w:type="dxa"/>
            <w:vMerge/>
            <w:vAlign w:val="center"/>
          </w:tcPr>
          <w:p w14:paraId="58C81CD6"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10071A82" w14:textId="444BD5C3"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Отговаря за опазване на културното наследство, свързано с българската история и култура, извън територията на Република България;</w:t>
            </w:r>
          </w:p>
        </w:tc>
        <w:tc>
          <w:tcPr>
            <w:tcW w:w="3543" w:type="dxa"/>
            <w:vMerge/>
          </w:tcPr>
          <w:p w14:paraId="7B909BC1"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610B1B" w14:paraId="4A134DA3" w14:textId="77777777" w:rsidTr="009D32BB">
        <w:tc>
          <w:tcPr>
            <w:tcW w:w="2126" w:type="dxa"/>
            <w:vMerge/>
            <w:vAlign w:val="center"/>
          </w:tcPr>
          <w:p w14:paraId="6945E09C"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8C6BC28" w14:textId="55AD777A"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Изпълнява правомощията на концедент при възлагане на концесии за недвижими културни ценности - държавна собственост</w:t>
            </w:r>
          </w:p>
        </w:tc>
        <w:tc>
          <w:tcPr>
            <w:tcW w:w="3543" w:type="dxa"/>
          </w:tcPr>
          <w:p w14:paraId="3B2D0B32" w14:textId="1D58EF14" w:rsidR="00695BEA" w:rsidRPr="00610B1B" w:rsidRDefault="00D41A32" w:rsidP="00695BEA">
            <w:pPr>
              <w:pStyle w:val="BodyText"/>
              <w:spacing w:before="0" w:after="0" w:line="240" w:lineRule="auto"/>
              <w:jc w:val="left"/>
              <w:rPr>
                <w:rFonts w:cs="Times New Roman"/>
                <w:sz w:val="20"/>
                <w:szCs w:val="20"/>
              </w:rPr>
            </w:pPr>
            <w:r w:rsidRPr="00610B1B">
              <w:rPr>
                <w:rFonts w:cs="Times New Roman"/>
                <w:sz w:val="20"/>
                <w:szCs w:val="20"/>
              </w:rPr>
              <w:t>Закон за културното наследство, обн. ДВ бр. 19/13.03.2009 г., изм. и доп. ДВ бр. 44/13.05.2020 г. чл.14 ал. 1, т.10</w:t>
            </w:r>
          </w:p>
        </w:tc>
      </w:tr>
      <w:tr w:rsidR="00D41A32" w:rsidRPr="00610B1B" w14:paraId="2578ADC5" w14:textId="77777777" w:rsidTr="009D32BB">
        <w:tc>
          <w:tcPr>
            <w:tcW w:w="2126" w:type="dxa"/>
            <w:vMerge w:val="restart"/>
            <w:vAlign w:val="center"/>
          </w:tcPr>
          <w:p w14:paraId="06352BE5" w14:textId="6BA057EB"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Център за подводна археология</w:t>
            </w:r>
          </w:p>
        </w:tc>
        <w:tc>
          <w:tcPr>
            <w:tcW w:w="4396" w:type="dxa"/>
          </w:tcPr>
          <w:p w14:paraId="40E19428" w14:textId="7E0B4E2C"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Издирва, изучава, идентифицира, опазва и представя културни ценности, открити под вода, с познавателна, образователна и естетическа цел; координира дейностите по управлението и изследването на подводното археологическо наследство;</w:t>
            </w:r>
          </w:p>
        </w:tc>
        <w:tc>
          <w:tcPr>
            <w:tcW w:w="3543" w:type="dxa"/>
          </w:tcPr>
          <w:p w14:paraId="28FDA391" w14:textId="7C880421"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културното наследство, обн. ДВ бр. 19/13.03.2009 г., изм. и доп. ДВ бр. 44/13.05.2020 г., чл. 22, т. 2, т.3</w:t>
            </w:r>
          </w:p>
        </w:tc>
      </w:tr>
      <w:tr w:rsidR="00D41A32" w:rsidRPr="00610B1B" w14:paraId="50006472" w14:textId="77777777" w:rsidTr="009D32BB">
        <w:tc>
          <w:tcPr>
            <w:tcW w:w="2126" w:type="dxa"/>
            <w:vMerge/>
            <w:vAlign w:val="center"/>
          </w:tcPr>
          <w:p w14:paraId="0A03D617"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5038ED32" w14:textId="5C49DDF7"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Поддържа регистър на подводните културни ценности.</w:t>
            </w:r>
          </w:p>
        </w:tc>
        <w:tc>
          <w:tcPr>
            <w:tcW w:w="3543" w:type="dxa"/>
          </w:tcPr>
          <w:p w14:paraId="32F083E3" w14:textId="4583F74F"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културното наследство, обн. ДВ бр. 19/13.03.2009 г., изм. и доп. ДВ бр. 44/13.05.2020 г. чл.22, т.4</w:t>
            </w:r>
          </w:p>
        </w:tc>
      </w:tr>
      <w:tr w:rsidR="00D41A32" w:rsidRPr="00610B1B" w14:paraId="6AECBEED" w14:textId="77777777" w:rsidTr="009D32BB">
        <w:tc>
          <w:tcPr>
            <w:tcW w:w="2126" w:type="dxa"/>
            <w:vMerge w:val="restart"/>
            <w:vAlign w:val="center"/>
          </w:tcPr>
          <w:p w14:paraId="484E5961" w14:textId="49A62EE1"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Национален институт за недвижимо културно наследство (НИНКН)</w:t>
            </w:r>
          </w:p>
        </w:tc>
        <w:tc>
          <w:tcPr>
            <w:tcW w:w="4396" w:type="dxa"/>
          </w:tcPr>
          <w:p w14:paraId="00C7C6EB" w14:textId="3D55121C"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Извършва дейност в областта на опазване на недвижимото културно наследство, вкл.</w:t>
            </w:r>
            <w:r w:rsidR="00D66FE0" w:rsidRPr="00610B1B">
              <w:rPr>
                <w:rFonts w:cs="Times New Roman"/>
                <w:sz w:val="20"/>
                <w:szCs w:val="20"/>
              </w:rPr>
              <w:t xml:space="preserve"> </w:t>
            </w:r>
            <w:r w:rsidRPr="00610B1B">
              <w:rPr>
                <w:rFonts w:cs="Times New Roman"/>
                <w:sz w:val="20"/>
                <w:szCs w:val="20"/>
              </w:rPr>
              <w:t>научноизследователска дейност по издирване и изучаване на недвижимото културно наследство.</w:t>
            </w:r>
          </w:p>
        </w:tc>
        <w:tc>
          <w:tcPr>
            <w:tcW w:w="3543" w:type="dxa"/>
          </w:tcPr>
          <w:p w14:paraId="0B26CF56" w14:textId="664B94A9"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културното наследство, обн. ДВ бр. 19/13.03.2009 г., изм. и доп. ДВ бр. 44/13.05.2020 г. чл.18</w:t>
            </w:r>
          </w:p>
        </w:tc>
      </w:tr>
      <w:tr w:rsidR="00D41A32" w:rsidRPr="00610B1B" w14:paraId="302B63E8" w14:textId="77777777" w:rsidTr="009D32BB">
        <w:tc>
          <w:tcPr>
            <w:tcW w:w="2126" w:type="dxa"/>
            <w:vMerge/>
            <w:vAlign w:val="center"/>
          </w:tcPr>
          <w:p w14:paraId="40B4CC8A"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3179954" w14:textId="58DA2844"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Води публичен регистър на</w:t>
            </w:r>
            <w:r w:rsidR="00D66FE0" w:rsidRPr="00610B1B">
              <w:rPr>
                <w:rFonts w:cs="Times New Roman"/>
                <w:sz w:val="20"/>
                <w:szCs w:val="20"/>
              </w:rPr>
              <w:t xml:space="preserve"> </w:t>
            </w:r>
            <w:r w:rsidRPr="00610B1B">
              <w:rPr>
                <w:rFonts w:cs="Times New Roman"/>
                <w:sz w:val="20"/>
                <w:szCs w:val="20"/>
              </w:rPr>
              <w:t>НКЦ и поддържа национален документален архивен фонд, включително в електронен вид и организира информационен център; поддържа и развива информационна система за недвижимото културно наследство;</w:t>
            </w:r>
          </w:p>
        </w:tc>
        <w:tc>
          <w:tcPr>
            <w:tcW w:w="3543" w:type="dxa"/>
          </w:tcPr>
          <w:p w14:paraId="6B622B7E" w14:textId="2D1212E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културното наследство, обн. ДВ бр. 19/13.03.2009 г., изм. и доп. ДВ бр. 44/13.05.2020 г., чл. 19, ал 1, т. 6</w:t>
            </w:r>
          </w:p>
        </w:tc>
      </w:tr>
      <w:tr w:rsidR="00D41A32" w:rsidRPr="00610B1B" w14:paraId="6E2BBDF0" w14:textId="77777777" w:rsidTr="009D32BB">
        <w:tc>
          <w:tcPr>
            <w:tcW w:w="2126" w:type="dxa"/>
            <w:vMerge/>
            <w:vAlign w:val="center"/>
          </w:tcPr>
          <w:p w14:paraId="1DF6FE29"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27812DCF" w14:textId="3444D7DF"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Създава и поддържа специализирана карта и регистри по смисъла на чл. 32, ал. 1, т. 2 от ЗКИР </w:t>
            </w:r>
            <w:r w:rsidRPr="00610B1B">
              <w:rPr>
                <w:rFonts w:cs="Times New Roman"/>
                <w:sz w:val="20"/>
                <w:szCs w:val="20"/>
              </w:rPr>
              <w:lastRenderedPageBreak/>
              <w:t>на недвижимото културно наследство;</w:t>
            </w:r>
          </w:p>
        </w:tc>
        <w:tc>
          <w:tcPr>
            <w:tcW w:w="3543" w:type="dxa"/>
          </w:tcPr>
          <w:p w14:paraId="21C7198B" w14:textId="2A0600C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lastRenderedPageBreak/>
              <w:t xml:space="preserve">Закон за културното наследство, обн. ДВ бр. 19/13.03.2009 г., изм. и доп. ДВ </w:t>
            </w:r>
            <w:r w:rsidRPr="00610B1B">
              <w:rPr>
                <w:rFonts w:cs="Times New Roman"/>
                <w:sz w:val="20"/>
                <w:szCs w:val="20"/>
              </w:rPr>
              <w:lastRenderedPageBreak/>
              <w:t>бр. 44/13.05.2020 г., чл. 19, ал 1, т. 7</w:t>
            </w:r>
          </w:p>
        </w:tc>
      </w:tr>
      <w:tr w:rsidR="00D41A32" w:rsidRPr="00610B1B" w14:paraId="1739D0F1" w14:textId="77777777" w:rsidTr="009D32BB">
        <w:tc>
          <w:tcPr>
            <w:tcW w:w="2126" w:type="dxa"/>
            <w:vMerge w:val="restart"/>
            <w:vAlign w:val="center"/>
          </w:tcPr>
          <w:p w14:paraId="1B7E421F" w14:textId="5A2800DC"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lastRenderedPageBreak/>
              <w:t>Министерство на туризма (МТ)</w:t>
            </w:r>
          </w:p>
        </w:tc>
        <w:tc>
          <w:tcPr>
            <w:tcW w:w="4396" w:type="dxa"/>
          </w:tcPr>
          <w:p w14:paraId="55BB4E2A" w14:textId="5DA09A59"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Министърът на туризма ръководи, координира и контролира осъществяването на държавната политика в областта на туризма, определя стратегическите цели и приоритети, организира и координира разработването на стратегии и програми за постигането им и осъществява контрола върху изпълнението им.</w:t>
            </w:r>
          </w:p>
        </w:tc>
        <w:tc>
          <w:tcPr>
            <w:tcW w:w="3543" w:type="dxa"/>
            <w:vMerge w:val="restart"/>
          </w:tcPr>
          <w:p w14:paraId="0DB29639" w14:textId="3AE4B0A1"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Устройствен правилник на Министерството на туризма, обн. ДВ бр. 108/30.12.2014 г., изм. и доп. ДВ. бр.108/29.12.2018 г.</w:t>
            </w:r>
          </w:p>
        </w:tc>
      </w:tr>
      <w:tr w:rsidR="00D41A32" w:rsidRPr="005C2B9F" w14:paraId="51C63353" w14:textId="77777777" w:rsidTr="009D32BB">
        <w:tc>
          <w:tcPr>
            <w:tcW w:w="2126" w:type="dxa"/>
            <w:vMerge/>
            <w:vAlign w:val="center"/>
          </w:tcPr>
          <w:p w14:paraId="71A12127"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4D81C230" w14:textId="7B98EE8A"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Разработва и контролира изпълнението на Националната стратегия за устойчиво развитие на туризма и на стратегии за развитие на отделни видове туризъм, краткосрочни програми и планове за прилагането им. </w:t>
            </w:r>
          </w:p>
        </w:tc>
        <w:tc>
          <w:tcPr>
            <w:tcW w:w="3543" w:type="dxa"/>
            <w:vMerge/>
          </w:tcPr>
          <w:p w14:paraId="0603905F"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19480D17" w14:textId="77777777" w:rsidTr="009D32BB">
        <w:tc>
          <w:tcPr>
            <w:tcW w:w="2126" w:type="dxa"/>
            <w:vMerge/>
            <w:vAlign w:val="center"/>
          </w:tcPr>
          <w:p w14:paraId="29B7ECFA"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100AFD3A" w14:textId="099CA6DC"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Възлага изготвянето и поддържането на Национален туристически регистър с местата за настаняване в категориите</w:t>
            </w:r>
            <w:r w:rsidR="00D66FE0" w:rsidRPr="00610B1B">
              <w:rPr>
                <w:rFonts w:cs="Times New Roman"/>
                <w:sz w:val="20"/>
                <w:szCs w:val="20"/>
              </w:rPr>
              <w:t xml:space="preserve"> </w:t>
            </w:r>
            <w:r w:rsidRPr="00610B1B">
              <w:rPr>
                <w:rFonts w:cs="Times New Roman"/>
                <w:sz w:val="20"/>
                <w:szCs w:val="20"/>
              </w:rPr>
              <w:t>с повече от 3 звезди, заведенията за хранене и развлечения, туроператори и туристически агенти, туристически сдружения и Регистър на туристическите атракции.</w:t>
            </w:r>
          </w:p>
        </w:tc>
        <w:tc>
          <w:tcPr>
            <w:tcW w:w="3543" w:type="dxa"/>
            <w:vMerge/>
          </w:tcPr>
          <w:p w14:paraId="10A15BB6"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3A50350B" w14:textId="77777777" w:rsidTr="009D32BB">
        <w:tc>
          <w:tcPr>
            <w:tcW w:w="2126" w:type="dxa"/>
            <w:vMerge/>
            <w:vAlign w:val="center"/>
          </w:tcPr>
          <w:p w14:paraId="560C6B72"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3582DD3D" w14:textId="0AAE3C5F" w:rsidR="00D41A32" w:rsidRPr="00610B1B" w:rsidRDefault="00D41A32" w:rsidP="00D41A32">
            <w:pPr>
              <w:pStyle w:val="BodyText"/>
              <w:spacing w:before="0" w:after="0" w:line="240" w:lineRule="auto"/>
              <w:jc w:val="left"/>
              <w:rPr>
                <w:rFonts w:cs="Times New Roman"/>
                <w:sz w:val="20"/>
                <w:szCs w:val="20"/>
              </w:rPr>
            </w:pPr>
            <w:r w:rsidRPr="00610B1B">
              <w:rPr>
                <w:rFonts w:cs="Times New Roman"/>
                <w:bCs/>
                <w:sz w:val="20"/>
                <w:szCs w:val="20"/>
              </w:rPr>
              <w:t>Организира и осъществява дейностите по предоставяне на концесии на морските плажове или отдаването им под наем;</w:t>
            </w:r>
          </w:p>
        </w:tc>
        <w:tc>
          <w:tcPr>
            <w:tcW w:w="3543" w:type="dxa"/>
            <w:shd w:val="clear" w:color="auto" w:fill="auto"/>
          </w:tcPr>
          <w:p w14:paraId="786E4B6B" w14:textId="70FDB827" w:rsidR="00D41A32" w:rsidRPr="00610B1B" w:rsidRDefault="00D41A32" w:rsidP="00D41A32">
            <w:pPr>
              <w:pStyle w:val="BodyText"/>
              <w:spacing w:before="0" w:after="0" w:line="240" w:lineRule="auto"/>
              <w:jc w:val="left"/>
              <w:rPr>
                <w:rFonts w:cs="Times New Roman"/>
                <w:sz w:val="20"/>
                <w:szCs w:val="20"/>
              </w:rPr>
            </w:pPr>
            <w:r w:rsidRPr="00610B1B">
              <w:rPr>
                <w:rFonts w:cs="Times New Roman"/>
                <w:bCs/>
                <w:sz w:val="20"/>
                <w:szCs w:val="20"/>
              </w:rPr>
              <w:t xml:space="preserve">Наредба за опазване на околната среда в морските води, Обн. ДВ. бр. 94/30.11.2010 г., </w:t>
            </w:r>
            <w:r w:rsidR="003C41B4" w:rsidRPr="00610B1B">
              <w:rPr>
                <w:rFonts w:cs="Times New Roman"/>
                <w:bCs/>
                <w:sz w:val="20"/>
                <w:szCs w:val="20"/>
              </w:rPr>
              <w:t>чл.</w:t>
            </w:r>
            <w:r w:rsidRPr="00610B1B">
              <w:rPr>
                <w:rFonts w:cs="Times New Roman"/>
                <w:bCs/>
                <w:sz w:val="20"/>
                <w:szCs w:val="20"/>
              </w:rPr>
              <w:t xml:space="preserve"> 3, ал. 13, т.1</w:t>
            </w:r>
          </w:p>
        </w:tc>
      </w:tr>
      <w:tr w:rsidR="00D41A32" w:rsidRPr="00610B1B" w14:paraId="23962F2C" w14:textId="77777777" w:rsidTr="009D32BB">
        <w:tc>
          <w:tcPr>
            <w:tcW w:w="2126" w:type="dxa"/>
            <w:vMerge w:val="restart"/>
            <w:vAlign w:val="center"/>
          </w:tcPr>
          <w:p w14:paraId="7597DFF7" w14:textId="6F49A75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Дирекция „Туристическа политика“</w:t>
            </w:r>
          </w:p>
        </w:tc>
        <w:tc>
          <w:tcPr>
            <w:tcW w:w="4396" w:type="dxa"/>
          </w:tcPr>
          <w:p w14:paraId="5E780F66" w14:textId="275E262B"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Участва в разработването на концепция за туристическо райониране на страната и подпомага регионализирането на туристическия продукт.</w:t>
            </w:r>
          </w:p>
        </w:tc>
        <w:tc>
          <w:tcPr>
            <w:tcW w:w="3543" w:type="dxa"/>
            <w:vMerge w:val="restart"/>
          </w:tcPr>
          <w:p w14:paraId="3EF3A1E2" w14:textId="453C99E5"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Чл. 21 на Устройствения правилник на Министерството на туризма, обн. ДВ бр. 108/30.12.2014 г., изм. и доп. ДВ. бр.108/29.12.2018 г.</w:t>
            </w:r>
          </w:p>
        </w:tc>
      </w:tr>
      <w:tr w:rsidR="00D41A32" w:rsidRPr="00610B1B" w14:paraId="7C9F56D7" w14:textId="77777777" w:rsidTr="009D32BB">
        <w:tc>
          <w:tcPr>
            <w:tcW w:w="2126" w:type="dxa"/>
            <w:vMerge/>
            <w:vAlign w:val="center"/>
          </w:tcPr>
          <w:p w14:paraId="7CEAD40D"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5CCA94C8" w14:textId="24BB2A9F"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Осигурява организирането и административно-техническото обслужване на</w:t>
            </w:r>
          </w:p>
          <w:p w14:paraId="57D5F234" w14:textId="78F52455"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Националния съвет по туризъм.</w:t>
            </w:r>
          </w:p>
        </w:tc>
        <w:tc>
          <w:tcPr>
            <w:tcW w:w="3543" w:type="dxa"/>
            <w:vMerge/>
          </w:tcPr>
          <w:p w14:paraId="45B99BEB"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610B1B" w14:paraId="7E60681C" w14:textId="77777777" w:rsidTr="009D32BB">
        <w:tc>
          <w:tcPr>
            <w:tcW w:w="2126" w:type="dxa"/>
            <w:vAlign w:val="center"/>
          </w:tcPr>
          <w:p w14:paraId="18AA588A" w14:textId="45C4721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Дирекция „Управление на морските плажове“</w:t>
            </w:r>
          </w:p>
        </w:tc>
        <w:tc>
          <w:tcPr>
            <w:tcW w:w="4396" w:type="dxa"/>
          </w:tcPr>
          <w:p w14:paraId="4C38B189"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Организира и осъществява концесионната политика и дейностите по предоставяне на концесии на морски плажове по реда на ЗУЧК и ЗК, както и процедурите по отдаване под наем на плажовете, които не се отдават на концесия.</w:t>
            </w:r>
          </w:p>
          <w:p w14:paraId="2CAC6A6A" w14:textId="77777777" w:rsidR="00695BEA" w:rsidRPr="00610B1B" w:rsidRDefault="00695BEA" w:rsidP="00D41A32">
            <w:pPr>
              <w:pStyle w:val="BodyText"/>
              <w:spacing w:before="0" w:after="0" w:line="240" w:lineRule="auto"/>
              <w:jc w:val="left"/>
              <w:rPr>
                <w:rFonts w:cs="Times New Roman"/>
                <w:sz w:val="20"/>
                <w:szCs w:val="20"/>
              </w:rPr>
            </w:pPr>
          </w:p>
          <w:p w14:paraId="5A136200" w14:textId="35FFAD69" w:rsidR="00695BEA" w:rsidRPr="00610B1B" w:rsidRDefault="00695BEA" w:rsidP="00D41A32">
            <w:pPr>
              <w:pStyle w:val="BodyText"/>
              <w:spacing w:before="0" w:after="0" w:line="240" w:lineRule="auto"/>
              <w:jc w:val="left"/>
              <w:rPr>
                <w:rFonts w:cs="Times New Roman"/>
                <w:sz w:val="20"/>
                <w:szCs w:val="20"/>
              </w:rPr>
            </w:pPr>
          </w:p>
        </w:tc>
        <w:tc>
          <w:tcPr>
            <w:tcW w:w="3543" w:type="dxa"/>
          </w:tcPr>
          <w:p w14:paraId="34A378DC" w14:textId="3BEDC6A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Чл. 24а на Устройствения правилник на Министерството на туризма, обн. ДВ бр. 108/30.12.2014 г., изм. и доп. ДВ. бр.108/29.12.2018 г.</w:t>
            </w:r>
          </w:p>
        </w:tc>
      </w:tr>
      <w:tr w:rsidR="00D41A32" w:rsidRPr="00610B1B" w14:paraId="03D6C33F" w14:textId="77777777" w:rsidTr="009D32BB">
        <w:tc>
          <w:tcPr>
            <w:tcW w:w="2126" w:type="dxa"/>
            <w:vMerge w:val="restart"/>
            <w:vAlign w:val="center"/>
          </w:tcPr>
          <w:p w14:paraId="2E8CEA1C" w14:textId="68F6C4C8"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 на здравеопазването (МЗ)</w:t>
            </w:r>
          </w:p>
        </w:tc>
        <w:tc>
          <w:tcPr>
            <w:tcW w:w="4396" w:type="dxa"/>
          </w:tcPr>
          <w:p w14:paraId="6EFDEF36" w14:textId="6F94688F"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Министърът на здравеопазването ръководи и чрез регионалните инспекции за опазване и контрол на общественото здраве провежда мониторинг на водите за къпане в крайбрежните морски води на Черно море</w:t>
            </w:r>
          </w:p>
        </w:tc>
        <w:tc>
          <w:tcPr>
            <w:tcW w:w="3543" w:type="dxa"/>
          </w:tcPr>
          <w:p w14:paraId="1ECEEFEB" w14:textId="62923883"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Наредба за опазване на околната среда в морските води, обн. ДВ бр. 94/30.11.2010 г. изм. и доп. ДВ бр. 14/18.02.2020 г.</w:t>
            </w:r>
          </w:p>
        </w:tc>
      </w:tr>
      <w:tr w:rsidR="00D41A32" w:rsidRPr="005C2B9F" w14:paraId="44F49374" w14:textId="77777777" w:rsidTr="009D32BB">
        <w:tc>
          <w:tcPr>
            <w:tcW w:w="2126" w:type="dxa"/>
            <w:vMerge/>
            <w:vAlign w:val="center"/>
          </w:tcPr>
          <w:p w14:paraId="08FCFD64" w14:textId="65EDA599"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6A95FC8D" w14:textId="5AA22098"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Главният държавен здравен инспектор организира, координира и ръководи на национално ниво държавния здравен контрол по чл. 15 от Закона за здравето във връзка със: спазване и изпълнение на установените с нормативен акт здравни изисквания за продуктите и стоките със значение за здравето на човека, дейностите със значение за здравето на човека, факторите на жизнената среда; </w:t>
            </w:r>
          </w:p>
          <w:p w14:paraId="6C9199B3" w14:textId="48B1D9BF"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Организира и ръководи профилактичните и противоепидемичните дейности при бедствия, аварии и катастрофи;</w:t>
            </w:r>
          </w:p>
        </w:tc>
        <w:tc>
          <w:tcPr>
            <w:tcW w:w="3543" w:type="dxa"/>
          </w:tcPr>
          <w:p w14:paraId="68E76DE8"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здравето, обн. ДВ бр. 70/10.08.2004 г., изм. ДВ бр. 67/28.07.2020 г.</w:t>
            </w:r>
          </w:p>
          <w:p w14:paraId="1170468F" w14:textId="77777777"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и </w:t>
            </w:r>
          </w:p>
          <w:p w14:paraId="28C266F5" w14:textId="1B4F974C"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Устройствен правилник на Министерство на здравеопазването, в сила от 01.04.2019 г.</w:t>
            </w:r>
          </w:p>
        </w:tc>
      </w:tr>
      <w:tr w:rsidR="00D41A32" w:rsidRPr="00610B1B" w14:paraId="6B529D0B" w14:textId="77777777" w:rsidTr="009D32BB">
        <w:tc>
          <w:tcPr>
            <w:tcW w:w="2126" w:type="dxa"/>
            <w:vMerge w:val="restart"/>
            <w:vAlign w:val="center"/>
          </w:tcPr>
          <w:p w14:paraId="1EEE992D"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 на икономиката (МИ)</w:t>
            </w:r>
          </w:p>
          <w:p w14:paraId="2DB3D586" w14:textId="427708D9"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Дирекция „Икономическа политика“</w:t>
            </w:r>
          </w:p>
        </w:tc>
        <w:tc>
          <w:tcPr>
            <w:tcW w:w="4396" w:type="dxa"/>
            <w:shd w:val="clear" w:color="auto" w:fill="auto"/>
          </w:tcPr>
          <w:p w14:paraId="671344BA" w14:textId="39070A64" w:rsidR="00D41A32" w:rsidRPr="00610B1B" w:rsidRDefault="00D41A32" w:rsidP="00D41A32">
            <w:pPr>
              <w:pStyle w:val="BodyText"/>
              <w:spacing w:before="0" w:after="0" w:line="240" w:lineRule="auto"/>
              <w:rPr>
                <w:rFonts w:cs="Times New Roman"/>
                <w:sz w:val="20"/>
                <w:szCs w:val="20"/>
              </w:rPr>
            </w:pPr>
            <w:r w:rsidRPr="00610B1B">
              <w:rPr>
                <w:rFonts w:cs="Times New Roman"/>
                <w:bCs/>
                <w:sz w:val="20"/>
                <w:szCs w:val="20"/>
              </w:rPr>
              <w:t xml:space="preserve">Министърът на икономиката участва в провеждането на държавната политика по отношение на икономическите субекти, за насърчаване на енергийната ефективност и използването на възобновяеми енергийни </w:t>
            </w:r>
            <w:r w:rsidRPr="00610B1B">
              <w:rPr>
                <w:rFonts w:cs="Times New Roman"/>
                <w:bCs/>
                <w:sz w:val="20"/>
                <w:szCs w:val="20"/>
              </w:rPr>
              <w:lastRenderedPageBreak/>
              <w:t>източници (ВЕИ), както и осъществява взаимодействие с МОСВ по отношение на дейности по опазване на околната среда и ограничаване на изменението на климата.</w:t>
            </w:r>
          </w:p>
        </w:tc>
        <w:tc>
          <w:tcPr>
            <w:tcW w:w="3543" w:type="dxa"/>
            <w:shd w:val="clear" w:color="auto" w:fill="auto"/>
          </w:tcPr>
          <w:p w14:paraId="6940859C" w14:textId="0B823B3D" w:rsidR="00D41A32" w:rsidRPr="00610B1B" w:rsidRDefault="00D41A32" w:rsidP="00D41A32">
            <w:pPr>
              <w:pStyle w:val="BodyText"/>
              <w:spacing w:before="0" w:after="0" w:line="240" w:lineRule="auto"/>
              <w:jc w:val="left"/>
              <w:rPr>
                <w:rFonts w:cs="Times New Roman"/>
                <w:sz w:val="20"/>
                <w:szCs w:val="20"/>
              </w:rPr>
            </w:pPr>
            <w:r w:rsidRPr="00610B1B">
              <w:rPr>
                <w:rFonts w:cs="Times New Roman"/>
                <w:bCs/>
                <w:sz w:val="20"/>
                <w:szCs w:val="20"/>
              </w:rPr>
              <w:lastRenderedPageBreak/>
              <w:t xml:space="preserve">Наредба за опазване на околната среда в морските води, Обн. ДВ. бр. 94/30.11.2010 г., </w:t>
            </w:r>
            <w:r w:rsidRPr="00610B1B">
              <w:rPr>
                <w:rFonts w:cs="Times New Roman"/>
                <w:sz w:val="20"/>
                <w:szCs w:val="20"/>
              </w:rPr>
              <w:t>изм. и доп. ДВ бр. 14/18.02.2020 г.</w:t>
            </w:r>
            <w:r w:rsidRPr="00610B1B">
              <w:rPr>
                <w:rFonts w:cs="Times New Roman"/>
                <w:bCs/>
                <w:sz w:val="20"/>
                <w:szCs w:val="20"/>
              </w:rPr>
              <w:t xml:space="preserve"> </w:t>
            </w:r>
            <w:r w:rsidR="003C41B4" w:rsidRPr="00610B1B">
              <w:rPr>
                <w:rFonts w:cs="Times New Roman"/>
                <w:bCs/>
                <w:sz w:val="20"/>
                <w:szCs w:val="20"/>
              </w:rPr>
              <w:t>чл.</w:t>
            </w:r>
            <w:r w:rsidRPr="00610B1B">
              <w:rPr>
                <w:rFonts w:cs="Times New Roman"/>
                <w:bCs/>
                <w:sz w:val="20"/>
                <w:szCs w:val="20"/>
              </w:rPr>
              <w:t xml:space="preserve"> 3, ал. 9, т. 1</w:t>
            </w:r>
          </w:p>
        </w:tc>
      </w:tr>
      <w:tr w:rsidR="00D41A32" w:rsidRPr="005C2B9F" w14:paraId="0A4D1B72" w14:textId="77777777" w:rsidTr="009D32BB">
        <w:tc>
          <w:tcPr>
            <w:tcW w:w="2126" w:type="dxa"/>
            <w:vMerge/>
            <w:vAlign w:val="center"/>
          </w:tcPr>
          <w:p w14:paraId="10F4AEA0" w14:textId="00357C4F"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717542B" w14:textId="7227140D"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Разработва и участва в осъществяването на Иновационната стратегия за интелигентна специализация на Република България 2014 – 2020 г. и в разработването, организира, координира и участва в провеждането на политиката по отношение на МСП и предприемачеството, както и в прилагането на клъстерната политика в икономиката.</w:t>
            </w:r>
          </w:p>
          <w:p w14:paraId="15DBFA75" w14:textId="3503913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Разработва Националната стратегия за насърчаване на МСП и програми за прилагането ѝ.</w:t>
            </w:r>
          </w:p>
        </w:tc>
        <w:tc>
          <w:tcPr>
            <w:tcW w:w="3543" w:type="dxa"/>
          </w:tcPr>
          <w:p w14:paraId="0315976F" w14:textId="77777777"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Устройствен правилник на Министерство на икономиката (МИ)</w:t>
            </w:r>
          </w:p>
          <w:p w14:paraId="3324152D" w14:textId="50173EEA"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обн., ДВ, бр. 108 от 30.12.2014, изм. бр. 42 от 28.05.2019 г, чл. 26</w:t>
            </w:r>
            <w:r w:rsidR="00D66FE0" w:rsidRPr="00610B1B">
              <w:rPr>
                <w:rFonts w:cs="Times New Roman"/>
                <w:sz w:val="20"/>
                <w:szCs w:val="20"/>
              </w:rPr>
              <w:t xml:space="preserve"> </w:t>
            </w:r>
          </w:p>
        </w:tc>
      </w:tr>
      <w:tr w:rsidR="00D41A32" w:rsidRPr="005C2B9F" w14:paraId="326872A0" w14:textId="77777777" w:rsidTr="009D32BB">
        <w:tc>
          <w:tcPr>
            <w:tcW w:w="2126" w:type="dxa"/>
            <w:vAlign w:val="center"/>
          </w:tcPr>
          <w:p w14:paraId="083659FC" w14:textId="28388C23" w:rsidR="00D41A32" w:rsidRPr="00610B1B" w:rsidRDefault="00D41A32" w:rsidP="00AC1887">
            <w:pPr>
              <w:pStyle w:val="BodyText"/>
              <w:spacing w:before="0" w:after="0" w:line="240" w:lineRule="auto"/>
              <w:ind w:left="-112" w:right="-104"/>
              <w:jc w:val="left"/>
              <w:rPr>
                <w:rFonts w:cs="Times New Roman"/>
                <w:sz w:val="20"/>
                <w:szCs w:val="20"/>
              </w:rPr>
            </w:pPr>
            <w:r w:rsidRPr="00610B1B">
              <w:rPr>
                <w:rFonts w:cs="Times New Roman"/>
                <w:sz w:val="20"/>
                <w:szCs w:val="20"/>
              </w:rPr>
              <w:t>ГД „Европейски фондове за конкурентоспособност“</w:t>
            </w:r>
          </w:p>
        </w:tc>
        <w:tc>
          <w:tcPr>
            <w:tcW w:w="4396" w:type="dxa"/>
          </w:tcPr>
          <w:p w14:paraId="2826BADE" w14:textId="097E093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Изпълнява функциите на управляващ орган на ОП „Иновации и конкурентоспособност“ 2014 – 2020 г. и на управляващ орган на Оперативна програма „Инициатива за малки и средни предприятия“ 2014-2020 г.</w:t>
            </w:r>
          </w:p>
        </w:tc>
        <w:tc>
          <w:tcPr>
            <w:tcW w:w="3543" w:type="dxa"/>
          </w:tcPr>
          <w:p w14:paraId="19A7985B" w14:textId="77777777"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Устройствен правилник на Министерство на икономиката (МИ)</w:t>
            </w:r>
          </w:p>
          <w:p w14:paraId="70DB9177" w14:textId="4D8C88EA"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обн., ДВ, бр. 108 от 30.12.2014, изм. бр. 42 от 28.05.2019 г, чл. 30 </w:t>
            </w:r>
          </w:p>
        </w:tc>
      </w:tr>
      <w:tr w:rsidR="00D41A32" w:rsidRPr="00610B1B" w14:paraId="786048F5" w14:textId="77777777" w:rsidTr="009D32BB">
        <w:tc>
          <w:tcPr>
            <w:tcW w:w="2126" w:type="dxa"/>
            <w:vMerge w:val="restart"/>
            <w:vAlign w:val="center"/>
          </w:tcPr>
          <w:p w14:paraId="2155CB52" w14:textId="683DFA4D"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 на енергетиката (МЕ)</w:t>
            </w:r>
          </w:p>
        </w:tc>
        <w:tc>
          <w:tcPr>
            <w:tcW w:w="4396" w:type="dxa"/>
          </w:tcPr>
          <w:p w14:paraId="7365D1C4" w14:textId="7D5B3C24"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Насърчава производството и потреблението на енергия от възобновяеми източници (ВЕИ) и от алтернативни енергийни източници в морската околна среда.</w:t>
            </w:r>
          </w:p>
        </w:tc>
        <w:tc>
          <w:tcPr>
            <w:tcW w:w="3543" w:type="dxa"/>
          </w:tcPr>
          <w:p w14:paraId="242D4943" w14:textId="620B015C"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Наредба за опазване на околната среда в морските води, обн. ДВ бр. 94/30.11.2010 г. изм. и доп. ДВ бр. 14/18.02.2020 г. </w:t>
            </w:r>
            <w:r w:rsidR="003C41B4" w:rsidRPr="00610B1B">
              <w:rPr>
                <w:rFonts w:cs="Times New Roman"/>
                <w:bCs/>
                <w:sz w:val="20"/>
                <w:szCs w:val="20"/>
              </w:rPr>
              <w:t>чл.</w:t>
            </w:r>
            <w:r w:rsidRPr="00610B1B">
              <w:rPr>
                <w:rFonts w:cs="Times New Roman"/>
                <w:bCs/>
                <w:sz w:val="20"/>
                <w:szCs w:val="20"/>
              </w:rPr>
              <w:t xml:space="preserve"> 3, ал. 12, т. 1</w:t>
            </w:r>
          </w:p>
        </w:tc>
      </w:tr>
      <w:tr w:rsidR="00D41A32" w:rsidRPr="005C2B9F" w14:paraId="52DA145C" w14:textId="77777777" w:rsidTr="009D32BB">
        <w:tc>
          <w:tcPr>
            <w:tcW w:w="2126" w:type="dxa"/>
            <w:vMerge/>
            <w:vAlign w:val="center"/>
          </w:tcPr>
          <w:p w14:paraId="28AA4633"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2753DEE2" w14:textId="2E161FD3"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Министърът на енергетиката издава разрешения за търсене и проучване и за проучване, след одобрение от Министерския съвет.</w:t>
            </w:r>
          </w:p>
        </w:tc>
        <w:tc>
          <w:tcPr>
            <w:tcW w:w="3543" w:type="dxa"/>
            <w:vMerge w:val="restart"/>
          </w:tcPr>
          <w:p w14:paraId="579A3B19" w14:textId="79EEB2D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подземните богатства, обн. ДВ бр. 23/12.03.1999 г., доп. ДВ бр. 98/27.11.2018 г.</w:t>
            </w:r>
          </w:p>
        </w:tc>
      </w:tr>
      <w:tr w:rsidR="00D41A32" w:rsidRPr="005C2B9F" w14:paraId="7EE63B39" w14:textId="77777777" w:rsidTr="009D32BB">
        <w:tc>
          <w:tcPr>
            <w:tcW w:w="2126" w:type="dxa"/>
            <w:vMerge/>
            <w:vAlign w:val="center"/>
          </w:tcPr>
          <w:p w14:paraId="115EAF31"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873B31A" w14:textId="657984F3"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Министърът съставя и води Национален баланс на запасите и ресурсите на подземни богатства;</w:t>
            </w:r>
            <w:r w:rsidR="00D66FE0" w:rsidRPr="00610B1B">
              <w:rPr>
                <w:rFonts w:cs="Times New Roman"/>
                <w:sz w:val="20"/>
                <w:szCs w:val="20"/>
              </w:rPr>
              <w:t xml:space="preserve"> </w:t>
            </w:r>
            <w:r w:rsidRPr="00610B1B">
              <w:rPr>
                <w:rFonts w:cs="Times New Roman"/>
                <w:sz w:val="20"/>
                <w:szCs w:val="20"/>
              </w:rPr>
              <w:t>специализирани карта и регистър на находищата на подземните богатства и регистър на откритията.</w:t>
            </w:r>
          </w:p>
        </w:tc>
        <w:tc>
          <w:tcPr>
            <w:tcW w:w="3543" w:type="dxa"/>
            <w:vMerge/>
          </w:tcPr>
          <w:p w14:paraId="09AAF784"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610B1B" w14:paraId="61EDA3A3" w14:textId="77777777" w:rsidTr="009D32BB">
        <w:tc>
          <w:tcPr>
            <w:tcW w:w="2126" w:type="dxa"/>
            <w:vMerge/>
            <w:vAlign w:val="center"/>
          </w:tcPr>
          <w:p w14:paraId="55BF9B3D"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2B347AE" w14:textId="1E5E2A7D" w:rsidR="00695BEA" w:rsidRPr="00610B1B" w:rsidRDefault="00D41A32" w:rsidP="00AC1887">
            <w:pPr>
              <w:pStyle w:val="BodyText"/>
              <w:spacing w:before="0" w:after="0" w:line="240" w:lineRule="auto"/>
              <w:rPr>
                <w:rFonts w:cs="Times New Roman"/>
                <w:sz w:val="20"/>
                <w:szCs w:val="20"/>
              </w:rPr>
            </w:pPr>
            <w:r w:rsidRPr="00610B1B">
              <w:rPr>
                <w:rFonts w:cs="Times New Roman"/>
                <w:sz w:val="20"/>
                <w:szCs w:val="20"/>
              </w:rPr>
              <w:t>Подпомага изпълнението на мерки в морската икономика, с които да се постигнат целите на Интегрирания план в областта на енергетиката и климата на Република България (2021-2030 г.)</w:t>
            </w:r>
          </w:p>
        </w:tc>
        <w:tc>
          <w:tcPr>
            <w:tcW w:w="3543" w:type="dxa"/>
          </w:tcPr>
          <w:p w14:paraId="22D1B3DB" w14:textId="1C74F81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ИПЕК 2021-2030 г.</w:t>
            </w:r>
          </w:p>
        </w:tc>
      </w:tr>
      <w:tr w:rsidR="00D41A32" w:rsidRPr="00610B1B" w14:paraId="2604D12F" w14:textId="77777777" w:rsidTr="009D32BB">
        <w:tc>
          <w:tcPr>
            <w:tcW w:w="2126" w:type="dxa"/>
            <w:vMerge/>
            <w:vAlign w:val="center"/>
          </w:tcPr>
          <w:p w14:paraId="18119C49"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76A55576" w14:textId="7C45F59F" w:rsidR="00D41A32" w:rsidRPr="00610B1B" w:rsidRDefault="00D41A32" w:rsidP="00D41A32">
            <w:pPr>
              <w:pStyle w:val="BodyText"/>
              <w:spacing w:before="0" w:after="0" w:line="240" w:lineRule="auto"/>
              <w:rPr>
                <w:rFonts w:cs="Times New Roman"/>
                <w:sz w:val="20"/>
                <w:szCs w:val="20"/>
              </w:rPr>
            </w:pPr>
            <w:r w:rsidRPr="00610B1B">
              <w:rPr>
                <w:rFonts w:cs="Times New Roman"/>
                <w:bCs/>
                <w:sz w:val="20"/>
                <w:szCs w:val="20"/>
              </w:rPr>
              <w:t>Прави оценка на наличния капацитет за съхранение на въглероден диоксид на територията на Р. България, в континенталния шелф и в ИИЗ на Черно море или на отделни части от нея и прави предложения пред Министерския съвет за одобряване на разрешения за проучване и на разрешения за съхранение на въглероден диоксид в земните недра.</w:t>
            </w:r>
          </w:p>
        </w:tc>
        <w:tc>
          <w:tcPr>
            <w:tcW w:w="3543" w:type="dxa"/>
            <w:shd w:val="clear" w:color="auto" w:fill="auto"/>
          </w:tcPr>
          <w:p w14:paraId="3FCC91DE" w14:textId="5EDC98F3" w:rsidR="00D41A32" w:rsidRPr="00610B1B" w:rsidRDefault="00D41A32" w:rsidP="00D41A32">
            <w:pPr>
              <w:pStyle w:val="BodyText"/>
              <w:spacing w:before="0" w:after="0" w:line="240" w:lineRule="auto"/>
              <w:jc w:val="left"/>
              <w:rPr>
                <w:rFonts w:cs="Times New Roman"/>
                <w:sz w:val="20"/>
                <w:szCs w:val="20"/>
              </w:rPr>
            </w:pPr>
            <w:r w:rsidRPr="00610B1B">
              <w:rPr>
                <w:rFonts w:cs="Times New Roman"/>
                <w:bCs/>
                <w:sz w:val="20"/>
                <w:szCs w:val="20"/>
              </w:rPr>
              <w:t xml:space="preserve">Наредба за опазване на околната среда в морските води, Обн. ДВ. бр. 94/30.11.2010г., </w:t>
            </w:r>
            <w:r w:rsidRPr="00610B1B">
              <w:rPr>
                <w:rFonts w:cs="Times New Roman"/>
                <w:sz w:val="20"/>
                <w:szCs w:val="20"/>
              </w:rPr>
              <w:t>изм. и доп. ДВ бр. 14/18.02.2020 г.</w:t>
            </w:r>
            <w:r w:rsidR="00D66FE0" w:rsidRPr="00610B1B">
              <w:rPr>
                <w:rFonts w:cs="Times New Roman"/>
                <w:bCs/>
                <w:sz w:val="20"/>
                <w:szCs w:val="20"/>
              </w:rPr>
              <w:t xml:space="preserve"> </w:t>
            </w:r>
            <w:r w:rsidR="003C41B4" w:rsidRPr="00610B1B">
              <w:rPr>
                <w:rFonts w:cs="Times New Roman"/>
                <w:bCs/>
                <w:sz w:val="20"/>
                <w:szCs w:val="20"/>
              </w:rPr>
              <w:t>чл.</w:t>
            </w:r>
            <w:r w:rsidRPr="00610B1B">
              <w:rPr>
                <w:rFonts w:cs="Times New Roman"/>
                <w:bCs/>
                <w:sz w:val="20"/>
                <w:szCs w:val="20"/>
              </w:rPr>
              <w:t xml:space="preserve"> 3, ал. 12, т. 2</w:t>
            </w:r>
          </w:p>
        </w:tc>
      </w:tr>
      <w:tr w:rsidR="00D41A32" w:rsidRPr="00610B1B" w14:paraId="78181C5F" w14:textId="77777777" w:rsidTr="009D32BB">
        <w:tc>
          <w:tcPr>
            <w:tcW w:w="2126" w:type="dxa"/>
            <w:vMerge w:val="restart"/>
            <w:vAlign w:val="center"/>
          </w:tcPr>
          <w:p w14:paraId="5D094FCD" w14:textId="4CC495A4"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 на отбраната (МО)</w:t>
            </w:r>
          </w:p>
        </w:tc>
        <w:tc>
          <w:tcPr>
            <w:tcW w:w="4396" w:type="dxa"/>
            <w:vMerge w:val="restart"/>
          </w:tcPr>
          <w:p w14:paraId="4947624F" w14:textId="75FBFCA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При осъществяване на отбраната на страната режимът на плаване на корабите в териториалното море, вътрешните води, пристанищата и рейдовете се определя с акт на министъра на отбраната след съгласуване с министъра на транспорта, информационните технологии и съобщенията и с министъра на вътрешните работи.</w:t>
            </w:r>
          </w:p>
        </w:tc>
        <w:tc>
          <w:tcPr>
            <w:tcW w:w="3543" w:type="dxa"/>
          </w:tcPr>
          <w:p w14:paraId="52934DAF" w14:textId="4FE480C3"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отбраната и въоръжените сили на България, обн. ДВ бр. изм</w:t>
            </w:r>
            <w:r w:rsidR="003C41B4" w:rsidRPr="00390518">
              <w:rPr>
                <w:rFonts w:cs="Times New Roman"/>
                <w:sz w:val="20"/>
                <w:szCs w:val="20"/>
              </w:rPr>
              <w:t>.</w:t>
            </w:r>
            <w:r w:rsidRPr="00610B1B">
              <w:rPr>
                <w:rFonts w:cs="Times New Roman"/>
                <w:sz w:val="20"/>
                <w:szCs w:val="20"/>
              </w:rPr>
              <w:t xml:space="preserve"> и доп. ДВ бр. 35/12.05.2009 г., изм. бр. 69/04.08.2020 г., чл. 131 ал. 2</w:t>
            </w:r>
          </w:p>
        </w:tc>
      </w:tr>
      <w:tr w:rsidR="00D41A32" w:rsidRPr="005C2B9F" w14:paraId="3AB336B7" w14:textId="77777777" w:rsidTr="009D32BB">
        <w:tc>
          <w:tcPr>
            <w:tcW w:w="2126" w:type="dxa"/>
            <w:vMerge/>
            <w:vAlign w:val="center"/>
          </w:tcPr>
          <w:p w14:paraId="2F48722F"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vMerge/>
          </w:tcPr>
          <w:p w14:paraId="0951378A" w14:textId="77777777" w:rsidR="00D41A32" w:rsidRPr="00610B1B" w:rsidRDefault="00D41A32" w:rsidP="00D41A32">
            <w:pPr>
              <w:pStyle w:val="BodyText"/>
              <w:spacing w:before="0" w:after="0" w:line="240" w:lineRule="auto"/>
              <w:rPr>
                <w:rFonts w:cs="Times New Roman"/>
                <w:sz w:val="20"/>
                <w:szCs w:val="20"/>
              </w:rPr>
            </w:pPr>
          </w:p>
        </w:tc>
        <w:tc>
          <w:tcPr>
            <w:tcW w:w="3543" w:type="dxa"/>
          </w:tcPr>
          <w:p w14:paraId="0BCC6108" w14:textId="6AEAC684"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Устройствен правилник на Министерството на отбраната, обн., ДВ, бр. 8/28.01.2014 г., изм. и доп., бр. 106/21.12.2018 г.</w:t>
            </w:r>
          </w:p>
        </w:tc>
      </w:tr>
      <w:tr w:rsidR="00D41A32" w:rsidRPr="00610B1B" w14:paraId="5D33AA57" w14:textId="77777777" w:rsidTr="009D32BB">
        <w:tc>
          <w:tcPr>
            <w:tcW w:w="2126" w:type="dxa"/>
            <w:vMerge/>
            <w:vAlign w:val="center"/>
          </w:tcPr>
          <w:p w14:paraId="7F9960D6"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3A2500B5" w14:textId="5970C28D" w:rsidR="00D41A32" w:rsidRPr="00610B1B" w:rsidRDefault="00D41A32" w:rsidP="00D41A32">
            <w:pPr>
              <w:pStyle w:val="BodyText"/>
              <w:spacing w:before="0" w:after="0" w:line="240" w:lineRule="auto"/>
              <w:rPr>
                <w:rFonts w:cs="Times New Roman"/>
                <w:sz w:val="20"/>
                <w:szCs w:val="20"/>
              </w:rPr>
            </w:pPr>
            <w:r w:rsidRPr="00610B1B">
              <w:rPr>
                <w:rFonts w:eastAsiaTheme="minorEastAsia" w:cs="Times New Roman"/>
                <w:bCs/>
                <w:sz w:val="20"/>
                <w:szCs w:val="20"/>
              </w:rPr>
              <w:t>Министърът организира дейността по опазване и възстановяване на околната среда в районите на дислокация на военните формирования и в местата на провеждане на учения и мероприятия, свързани с отбраната на страната</w:t>
            </w:r>
          </w:p>
        </w:tc>
        <w:tc>
          <w:tcPr>
            <w:tcW w:w="3543" w:type="dxa"/>
            <w:shd w:val="clear" w:color="auto" w:fill="auto"/>
          </w:tcPr>
          <w:p w14:paraId="3898E91C" w14:textId="0C2C948E"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Закон за отбраната и въоръжените сили на България, обн. ДВ бр. изм</w:t>
            </w:r>
            <w:r w:rsidR="003C41B4" w:rsidRPr="00390518">
              <w:rPr>
                <w:rFonts w:eastAsiaTheme="minorEastAsia" w:cs="Times New Roman"/>
                <w:bCs/>
                <w:sz w:val="20"/>
                <w:szCs w:val="20"/>
              </w:rPr>
              <w:t>.</w:t>
            </w:r>
            <w:r w:rsidRPr="00610B1B">
              <w:rPr>
                <w:rFonts w:eastAsiaTheme="minorEastAsia" w:cs="Times New Roman"/>
                <w:bCs/>
                <w:sz w:val="20"/>
                <w:szCs w:val="20"/>
              </w:rPr>
              <w:t xml:space="preserve"> и доп. ДВ бр. 35/12.05.2009 г., изм. бр. 69/04.08.2020 г., чл. 26 ал. 17</w:t>
            </w:r>
          </w:p>
        </w:tc>
      </w:tr>
      <w:tr w:rsidR="00D41A32" w:rsidRPr="005C2B9F" w14:paraId="54CB2B59" w14:textId="77777777" w:rsidTr="009D32BB">
        <w:tc>
          <w:tcPr>
            <w:tcW w:w="2126" w:type="dxa"/>
            <w:vMerge w:val="restart"/>
            <w:vAlign w:val="center"/>
          </w:tcPr>
          <w:p w14:paraId="40FF0803" w14:textId="21CA8452"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Военноморски сили </w:t>
            </w:r>
            <w:r w:rsidRPr="00610B1B">
              <w:rPr>
                <w:rFonts w:cs="Times New Roman"/>
                <w:sz w:val="20"/>
                <w:szCs w:val="20"/>
              </w:rPr>
              <w:lastRenderedPageBreak/>
              <w:t>(ВМС)</w:t>
            </w:r>
          </w:p>
        </w:tc>
        <w:tc>
          <w:tcPr>
            <w:tcW w:w="4396" w:type="dxa"/>
          </w:tcPr>
          <w:p w14:paraId="12E33276" w14:textId="7D068364"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lastRenderedPageBreak/>
              <w:t xml:space="preserve">Защитават интересите на Р.България в морските </w:t>
            </w:r>
            <w:r w:rsidRPr="00610B1B">
              <w:rPr>
                <w:rFonts w:cs="Times New Roman"/>
                <w:sz w:val="20"/>
                <w:szCs w:val="20"/>
              </w:rPr>
              <w:lastRenderedPageBreak/>
              <w:t xml:space="preserve">пространства, гарантират нейния морски суверенитет и подготвят формирования за участие в подкрепа на международния мир и сигурност и за оказване помощ на населението при бедствия, аварии и катастрофи. </w:t>
            </w:r>
          </w:p>
        </w:tc>
        <w:tc>
          <w:tcPr>
            <w:tcW w:w="3543" w:type="dxa"/>
            <w:vMerge w:val="restart"/>
          </w:tcPr>
          <w:p w14:paraId="28FDF51C" w14:textId="254BCBA7" w:rsidR="004D4768" w:rsidRPr="00610B1B" w:rsidRDefault="004D4768" w:rsidP="004D4768">
            <w:pPr>
              <w:pStyle w:val="BodyText"/>
              <w:spacing w:before="0" w:after="0" w:line="240" w:lineRule="auto"/>
              <w:jc w:val="left"/>
              <w:rPr>
                <w:rFonts w:cs="Times New Roman"/>
                <w:sz w:val="20"/>
                <w:szCs w:val="20"/>
              </w:rPr>
            </w:pPr>
            <w:r w:rsidRPr="00610B1B">
              <w:rPr>
                <w:rFonts w:cs="Times New Roman"/>
                <w:sz w:val="20"/>
                <w:szCs w:val="20"/>
              </w:rPr>
              <w:lastRenderedPageBreak/>
              <w:t xml:space="preserve">Закон за отбраната и въоръжените </w:t>
            </w:r>
            <w:r w:rsidRPr="00610B1B">
              <w:rPr>
                <w:rFonts w:cs="Times New Roman"/>
                <w:sz w:val="20"/>
                <w:szCs w:val="20"/>
              </w:rPr>
              <w:lastRenderedPageBreak/>
              <w:t>сили на България, обн. ДВ бр. изм</w:t>
            </w:r>
            <w:r w:rsidR="003C41B4" w:rsidRPr="00390518">
              <w:rPr>
                <w:rFonts w:cs="Times New Roman"/>
                <w:sz w:val="20"/>
                <w:szCs w:val="20"/>
              </w:rPr>
              <w:t>.</w:t>
            </w:r>
            <w:r w:rsidRPr="00610B1B">
              <w:rPr>
                <w:rFonts w:cs="Times New Roman"/>
                <w:sz w:val="20"/>
                <w:szCs w:val="20"/>
              </w:rPr>
              <w:t xml:space="preserve"> и доп. ДВ бр. 35/12.05.2009 г., изм. бр. 69/04.08.2020 г.,</w:t>
            </w:r>
          </w:p>
          <w:p w14:paraId="31138467" w14:textId="31B10033" w:rsidR="004D4768" w:rsidRPr="00610B1B" w:rsidRDefault="004D4768" w:rsidP="004D4768">
            <w:pPr>
              <w:pStyle w:val="BodyText"/>
              <w:spacing w:before="0" w:after="0" w:line="240" w:lineRule="auto"/>
              <w:jc w:val="left"/>
              <w:rPr>
                <w:rFonts w:cs="Times New Roman"/>
                <w:sz w:val="20"/>
                <w:szCs w:val="20"/>
              </w:rPr>
            </w:pPr>
            <w:r w:rsidRPr="00610B1B">
              <w:rPr>
                <w:rFonts w:cs="Times New Roman"/>
                <w:sz w:val="20"/>
                <w:szCs w:val="20"/>
              </w:rPr>
              <w:t>НАРЕДБА № Н-8</w:t>
            </w:r>
            <w:r w:rsidRPr="00610B1B">
              <w:rPr>
                <w:rFonts w:cs="Times New Roman"/>
              </w:rPr>
              <w:t xml:space="preserve"> </w:t>
            </w:r>
            <w:r w:rsidRPr="00610B1B">
              <w:rPr>
                <w:rFonts w:cs="Times New Roman"/>
                <w:sz w:val="20"/>
                <w:szCs w:val="20"/>
              </w:rPr>
              <w:t>от 9 март 2011 г. за режима на корабоплаване в териториалното море, вътрешните води, пристанищата и рейдовете при осъществяване отбраната на страната</w:t>
            </w:r>
          </w:p>
        </w:tc>
      </w:tr>
      <w:tr w:rsidR="00D41A32" w:rsidRPr="005C2B9F" w14:paraId="4B826BAF" w14:textId="77777777" w:rsidTr="009D32BB">
        <w:tc>
          <w:tcPr>
            <w:tcW w:w="2126" w:type="dxa"/>
            <w:vMerge/>
            <w:vAlign w:val="center"/>
          </w:tcPr>
          <w:p w14:paraId="6B04558D"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2052E2A8" w14:textId="6E4512CB"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Участват и в други дейности, свързани с опазване на околната среда в морски води, в контрола върху движението на лодки, яхти и други съдове за рекреационни дейности, върху риболова и др. </w:t>
            </w:r>
          </w:p>
        </w:tc>
        <w:tc>
          <w:tcPr>
            <w:tcW w:w="3543" w:type="dxa"/>
            <w:vMerge/>
          </w:tcPr>
          <w:p w14:paraId="26CE182E" w14:textId="77777777" w:rsidR="00D41A32" w:rsidRPr="00610B1B" w:rsidRDefault="00D41A32" w:rsidP="00D41A32">
            <w:pPr>
              <w:pStyle w:val="BodyText"/>
              <w:spacing w:before="0" w:after="0" w:line="240" w:lineRule="auto"/>
              <w:jc w:val="left"/>
              <w:rPr>
                <w:rFonts w:cs="Times New Roman"/>
                <w:sz w:val="20"/>
                <w:szCs w:val="20"/>
              </w:rPr>
            </w:pPr>
          </w:p>
        </w:tc>
      </w:tr>
      <w:tr w:rsidR="00D41A32" w:rsidRPr="00610B1B" w14:paraId="541F5771" w14:textId="77777777" w:rsidTr="009D32BB">
        <w:tc>
          <w:tcPr>
            <w:tcW w:w="2126" w:type="dxa"/>
            <w:vAlign w:val="center"/>
          </w:tcPr>
          <w:p w14:paraId="5F429F1E" w14:textId="6F295F42"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Хидрографска служба</w:t>
            </w:r>
          </w:p>
        </w:tc>
        <w:tc>
          <w:tcPr>
            <w:tcW w:w="4396" w:type="dxa"/>
          </w:tcPr>
          <w:p w14:paraId="19DF1E5D" w14:textId="3C77C284"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Измерва дълбочини в териториалното море и вътрешните води с картографска цел. </w:t>
            </w:r>
          </w:p>
        </w:tc>
        <w:tc>
          <w:tcPr>
            <w:tcW w:w="3543" w:type="dxa"/>
          </w:tcPr>
          <w:p w14:paraId="1F9C8ECF" w14:textId="1ABA5E0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ЗМПВВППРРБ, чл. 61</w:t>
            </w:r>
          </w:p>
        </w:tc>
      </w:tr>
      <w:tr w:rsidR="00D41A32" w:rsidRPr="00610B1B" w14:paraId="3BBFC058" w14:textId="77777777" w:rsidTr="009D32BB">
        <w:tc>
          <w:tcPr>
            <w:tcW w:w="2126" w:type="dxa"/>
            <w:vMerge w:val="restart"/>
            <w:vAlign w:val="center"/>
          </w:tcPr>
          <w:p w14:paraId="2E2AA1F7" w14:textId="0A1212EA"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 на вътрешните работи (МВР) ГД „Гранична полиция“</w:t>
            </w:r>
          </w:p>
        </w:tc>
        <w:tc>
          <w:tcPr>
            <w:tcW w:w="4396" w:type="dxa"/>
          </w:tcPr>
          <w:p w14:paraId="34944F08" w14:textId="5C144661"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ГДГП извършва наблюдение на границата, противодейства на незаконната миграция, контрабандата и трафика на хора.</w:t>
            </w:r>
          </w:p>
        </w:tc>
        <w:tc>
          <w:tcPr>
            <w:tcW w:w="3543" w:type="dxa"/>
            <w:vMerge w:val="restart"/>
          </w:tcPr>
          <w:p w14:paraId="5A83CD74"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Правилник за устройството и дейността на Министерството на вътрешните работи</w:t>
            </w:r>
          </w:p>
          <w:p w14:paraId="38A8B8A1" w14:textId="0D6DC0D2"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Обн. ДВ. бр. 60/22.07.2014 г., изм. и доп. ДВ. бр. 48/26.05.2020 г.</w:t>
            </w:r>
          </w:p>
        </w:tc>
      </w:tr>
      <w:tr w:rsidR="00D41A32" w:rsidRPr="005C2B9F" w14:paraId="1A09E8D8" w14:textId="77777777" w:rsidTr="009D32BB">
        <w:tc>
          <w:tcPr>
            <w:tcW w:w="2126" w:type="dxa"/>
            <w:vMerge/>
            <w:vAlign w:val="center"/>
          </w:tcPr>
          <w:p w14:paraId="7C1D3262"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0722DB88" w14:textId="411E03C8"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Осигурява превенция, предотвратяване, пресичане и разкриване</w:t>
            </w:r>
            <w:r w:rsidR="00D66FE0" w:rsidRPr="00610B1B">
              <w:rPr>
                <w:rFonts w:cs="Times New Roman"/>
                <w:sz w:val="20"/>
                <w:szCs w:val="20"/>
              </w:rPr>
              <w:t xml:space="preserve"> </w:t>
            </w:r>
            <w:r w:rsidRPr="00610B1B">
              <w:rPr>
                <w:rFonts w:cs="Times New Roman"/>
                <w:sz w:val="20"/>
                <w:szCs w:val="20"/>
              </w:rPr>
              <w:t xml:space="preserve">и разследване на престъпления. </w:t>
            </w:r>
          </w:p>
        </w:tc>
        <w:tc>
          <w:tcPr>
            <w:tcW w:w="3543" w:type="dxa"/>
            <w:vMerge/>
          </w:tcPr>
          <w:p w14:paraId="5F4CA2AE"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2442035B" w14:textId="77777777" w:rsidTr="009D32BB">
        <w:tc>
          <w:tcPr>
            <w:tcW w:w="2126" w:type="dxa"/>
            <w:vMerge/>
            <w:vAlign w:val="center"/>
          </w:tcPr>
          <w:p w14:paraId="1EBACB92"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F205935" w14:textId="10DCF18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Поставя и поддържа в изправност граничните знаци, обозначава граничната линия на държавната граница, не допуска разрушаване, изместване или други действия по нея.</w:t>
            </w:r>
          </w:p>
        </w:tc>
        <w:tc>
          <w:tcPr>
            <w:tcW w:w="3543" w:type="dxa"/>
            <w:vMerge/>
          </w:tcPr>
          <w:p w14:paraId="170B36CD"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1A6EF20B" w14:textId="77777777" w:rsidTr="009D32BB">
        <w:tc>
          <w:tcPr>
            <w:tcW w:w="2126" w:type="dxa"/>
            <w:vMerge/>
            <w:vAlign w:val="center"/>
          </w:tcPr>
          <w:p w14:paraId="3393DBC4"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4A62C6FE" w14:textId="0A545EEB"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Изработва карти и друга документация на държавната граница и поддържа геодезическо-картографски фонд.</w:t>
            </w:r>
          </w:p>
        </w:tc>
        <w:tc>
          <w:tcPr>
            <w:tcW w:w="3543" w:type="dxa"/>
            <w:vMerge/>
          </w:tcPr>
          <w:p w14:paraId="4A78E17A"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49F1DC3F" w14:textId="77777777" w:rsidTr="009D32BB">
        <w:tc>
          <w:tcPr>
            <w:tcW w:w="2126" w:type="dxa"/>
            <w:vMerge/>
            <w:vAlign w:val="center"/>
          </w:tcPr>
          <w:p w14:paraId="385DC483"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00489821" w14:textId="3F594495"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Събира, обработва, анализира, съхранява, използва и предоставя информация по направленията на дейности, обменя информация и взаимодейства с други структури на МВР, органи на държавна власт и на местно самоуправление, юридически лица и граждани и полицейски служби на други държави.</w:t>
            </w:r>
          </w:p>
        </w:tc>
        <w:tc>
          <w:tcPr>
            <w:tcW w:w="3543" w:type="dxa"/>
            <w:vMerge/>
          </w:tcPr>
          <w:p w14:paraId="7C00E8DA"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2057F697" w14:textId="77777777" w:rsidTr="009D32BB">
        <w:tc>
          <w:tcPr>
            <w:tcW w:w="2126" w:type="dxa"/>
            <w:vMerge w:val="restart"/>
            <w:vAlign w:val="center"/>
          </w:tcPr>
          <w:p w14:paraId="025EBF89" w14:textId="41B56A30"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 на външните работи (МВнР)</w:t>
            </w:r>
          </w:p>
        </w:tc>
        <w:tc>
          <w:tcPr>
            <w:tcW w:w="4396" w:type="dxa"/>
          </w:tcPr>
          <w:p w14:paraId="07E6A90A" w14:textId="06CD9DD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Министърът на външните работи подпомага министрите на околната среда и водите и на регионалното развитие и благоустройството при осъществяването на сътрудничество и координация във връзка с оценка на въздействието в трансграничен контекст със страните от Черноморския регион.</w:t>
            </w:r>
          </w:p>
        </w:tc>
        <w:tc>
          <w:tcPr>
            <w:tcW w:w="3543" w:type="dxa"/>
          </w:tcPr>
          <w:p w14:paraId="36EF95F0" w14:textId="77777777" w:rsidR="00D41A32" w:rsidRPr="00610B1B" w:rsidRDefault="00D41A32" w:rsidP="00D41A32">
            <w:pPr>
              <w:pStyle w:val="BodyText"/>
              <w:spacing w:before="0" w:after="0" w:line="240" w:lineRule="auto"/>
              <w:rPr>
                <w:rFonts w:cs="Times New Roman"/>
                <w:sz w:val="20"/>
                <w:szCs w:val="20"/>
              </w:rPr>
            </w:pPr>
          </w:p>
        </w:tc>
      </w:tr>
      <w:tr w:rsidR="00D41A32" w:rsidRPr="00610B1B" w14:paraId="03DB17DB" w14:textId="77777777" w:rsidTr="009D32BB">
        <w:tc>
          <w:tcPr>
            <w:tcW w:w="2126" w:type="dxa"/>
            <w:vMerge/>
            <w:vAlign w:val="center"/>
          </w:tcPr>
          <w:p w14:paraId="02A56160" w14:textId="2D9B8120"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1D954DA9" w14:textId="72BD60B1"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Министърът на външните работи подпомага министъра на околната среда и водите при осъществяването на сътрудничество и координация във връзка с разработването и изпълнението на морските стратегии на международно ниво, включително изпращане на информация до ЕК по прилагането на наредбата.</w:t>
            </w:r>
          </w:p>
        </w:tc>
        <w:tc>
          <w:tcPr>
            <w:tcW w:w="3543" w:type="dxa"/>
          </w:tcPr>
          <w:p w14:paraId="03D0FF34" w14:textId="5D4F4FAC"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Наредба за опазването на околната среда в морските води, обн. ДВ бр. 94/30.11.2010 г. изм. и доп. ДВ бр. 14/18.02.2020 г.</w:t>
            </w:r>
          </w:p>
        </w:tc>
      </w:tr>
      <w:tr w:rsidR="00D41A32" w:rsidRPr="00610B1B" w14:paraId="09AF8E20" w14:textId="77777777" w:rsidTr="009D32BB">
        <w:tc>
          <w:tcPr>
            <w:tcW w:w="2126" w:type="dxa"/>
            <w:vMerge w:val="restart"/>
            <w:vAlign w:val="center"/>
          </w:tcPr>
          <w:p w14:paraId="5D137EC6" w14:textId="1DA9A6C5"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 на труда и социалната политика (МТСП)</w:t>
            </w:r>
          </w:p>
        </w:tc>
        <w:tc>
          <w:tcPr>
            <w:tcW w:w="4396" w:type="dxa"/>
          </w:tcPr>
          <w:p w14:paraId="4FF35A74" w14:textId="3B8800FD"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Министърът на труда и социалната политика ръководи, координира и контролира осъществяването на държавната политика в областта на доходите и жизненото равнище, социалното осигуряване, защитата при безработица и насърчаване на заетостта, пазара на труда, трудовата миграция и свободното движение на работници, безопасността и здравето при работа, социалните инвестиции, социалната закрила, социалното включване, подкрепата на децата и семейството, демографското развитие, интеграцията на хората с увреждания, равните възможности и </w:t>
            </w:r>
            <w:r w:rsidRPr="00610B1B">
              <w:rPr>
                <w:rFonts w:cs="Times New Roman"/>
                <w:sz w:val="20"/>
                <w:szCs w:val="20"/>
              </w:rPr>
              <w:lastRenderedPageBreak/>
              <w:t xml:space="preserve">антидискриминацията. </w:t>
            </w:r>
          </w:p>
        </w:tc>
        <w:tc>
          <w:tcPr>
            <w:tcW w:w="3543" w:type="dxa"/>
          </w:tcPr>
          <w:p w14:paraId="45E1FCE4" w14:textId="76DAF8EA"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lastRenderedPageBreak/>
              <w:t xml:space="preserve">Устройствен правилник на МТСП, обн. ДВ бр. 91/17.11.2009 г., изм. и доп. ДВ бр. 16/22.02.2019 г. , чл. 3 ал. 1 </w:t>
            </w:r>
          </w:p>
        </w:tc>
      </w:tr>
      <w:tr w:rsidR="00D41A32" w:rsidRPr="00610B1B" w14:paraId="137CE1A0" w14:textId="77777777" w:rsidTr="009D32BB">
        <w:tc>
          <w:tcPr>
            <w:tcW w:w="2126" w:type="dxa"/>
            <w:vMerge/>
            <w:vAlign w:val="center"/>
          </w:tcPr>
          <w:p w14:paraId="0AA471E7"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61B25061" w14:textId="0991385B"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Издава удостоверения на физически и юридически лица за регистрация за извършване на посредническа дейност по наемане на работа на български граждани в страната и в чужбина и за моряци;</w:t>
            </w:r>
          </w:p>
        </w:tc>
        <w:tc>
          <w:tcPr>
            <w:tcW w:w="3543" w:type="dxa"/>
          </w:tcPr>
          <w:p w14:paraId="10C2928D" w14:textId="1FCB3D2A"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Устройствен правилник на МТСП, обн. ДВ бр. 91/17.11.2009 г., изм. и доп. ДВ бр. 16/22.02.2019 г. , чл. 4 т. 17 </w:t>
            </w:r>
          </w:p>
        </w:tc>
      </w:tr>
      <w:tr w:rsidR="00D41A32" w:rsidRPr="005C2B9F" w14:paraId="4356C024" w14:textId="77777777" w:rsidTr="009D32BB">
        <w:tc>
          <w:tcPr>
            <w:tcW w:w="2126" w:type="dxa"/>
            <w:vMerge w:val="restart"/>
            <w:vAlign w:val="center"/>
          </w:tcPr>
          <w:p w14:paraId="4BC3447A" w14:textId="3935AD01"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 на образованието и науката (МОН)</w:t>
            </w:r>
          </w:p>
        </w:tc>
        <w:tc>
          <w:tcPr>
            <w:tcW w:w="4396" w:type="dxa"/>
          </w:tcPr>
          <w:p w14:paraId="1D26EC0A" w14:textId="796A9E38"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Самостоятелно и съвместно с други министерства осъществява политиката за подготовка на кадри в граждански специалности и във военни специалности.</w:t>
            </w:r>
          </w:p>
        </w:tc>
        <w:tc>
          <w:tcPr>
            <w:tcW w:w="3543" w:type="dxa"/>
          </w:tcPr>
          <w:p w14:paraId="793A0ECD" w14:textId="4A56325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висшето образование, Закон за развитие на академичния състав, Закон за отбраната и въоръжените сили</w:t>
            </w:r>
          </w:p>
        </w:tc>
      </w:tr>
      <w:tr w:rsidR="00D41A32" w:rsidRPr="00610B1B" w14:paraId="2A3DE699" w14:textId="77777777" w:rsidTr="009D32BB">
        <w:tc>
          <w:tcPr>
            <w:tcW w:w="2126" w:type="dxa"/>
            <w:vMerge/>
            <w:vAlign w:val="center"/>
          </w:tcPr>
          <w:p w14:paraId="69B6D54C"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2621ABDD" w14:textId="7FCD968B"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Подпомага взаимодействието между образователните и научноизследователските институции за изследвания в областта на морските технологии и иновации.</w:t>
            </w:r>
          </w:p>
        </w:tc>
        <w:tc>
          <w:tcPr>
            <w:tcW w:w="3543" w:type="dxa"/>
          </w:tcPr>
          <w:p w14:paraId="74CAFC4C" w14:textId="1525B5C2"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Дневен ред Черно море</w:t>
            </w:r>
          </w:p>
        </w:tc>
      </w:tr>
      <w:tr w:rsidR="00D41A32" w:rsidRPr="00610B1B" w14:paraId="2441351C" w14:textId="77777777" w:rsidTr="009D32BB">
        <w:tc>
          <w:tcPr>
            <w:tcW w:w="2126" w:type="dxa"/>
            <w:vMerge w:val="restart"/>
            <w:vAlign w:val="center"/>
          </w:tcPr>
          <w:p w14:paraId="09AD3DF4" w14:textId="6B937EC1"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Министерство на младежта и спорта (ММС)</w:t>
            </w:r>
          </w:p>
        </w:tc>
        <w:tc>
          <w:tcPr>
            <w:tcW w:w="4396" w:type="dxa"/>
          </w:tcPr>
          <w:p w14:paraId="562E7702" w14:textId="0348627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Министърът на младежта и спорта разработва и внася за одобряване от Министерския съвет Националната стратегия за развитие на физическата активност, физическото възпитание, спорта и спортно-туристическата дейност, утвърждава програми за нейното изпълнение във взаимодействие с държавните и местните органи и спортни и други организации.</w:t>
            </w:r>
          </w:p>
        </w:tc>
        <w:tc>
          <w:tcPr>
            <w:tcW w:w="3543" w:type="dxa"/>
          </w:tcPr>
          <w:p w14:paraId="4F986400" w14:textId="57F27DB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Устройствен правилник на Министерството на младежта и спорта, обн. ДВ бр. 62/12.07.2013 г.</w:t>
            </w:r>
            <w:r w:rsidR="00D66FE0" w:rsidRPr="00610B1B">
              <w:rPr>
                <w:rFonts w:cs="Times New Roman"/>
                <w:sz w:val="20"/>
                <w:szCs w:val="20"/>
              </w:rPr>
              <w:t xml:space="preserve"> </w:t>
            </w:r>
            <w:r w:rsidRPr="00610B1B">
              <w:rPr>
                <w:rFonts w:cs="Times New Roman"/>
                <w:sz w:val="20"/>
                <w:szCs w:val="20"/>
              </w:rPr>
              <w:t>изм. и доп. ДВ. бр.46/19.05.2020 г.</w:t>
            </w:r>
          </w:p>
        </w:tc>
      </w:tr>
      <w:tr w:rsidR="00D41A32" w:rsidRPr="005C2B9F" w14:paraId="702DD91F" w14:textId="77777777" w:rsidTr="009D32BB">
        <w:tc>
          <w:tcPr>
            <w:tcW w:w="2126" w:type="dxa"/>
            <w:vMerge/>
            <w:vAlign w:val="center"/>
          </w:tcPr>
          <w:p w14:paraId="2111B5A1" w14:textId="21154356"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F719DA8" w14:textId="1BB6C72F"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Подпомага развитието на водните спортове, свързани с акваторията на Черно море.</w:t>
            </w:r>
          </w:p>
        </w:tc>
        <w:tc>
          <w:tcPr>
            <w:tcW w:w="3543" w:type="dxa"/>
          </w:tcPr>
          <w:p w14:paraId="04BA0A68"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308D3A28" w14:textId="77777777" w:rsidTr="009D32BB">
        <w:tc>
          <w:tcPr>
            <w:tcW w:w="2126" w:type="dxa"/>
            <w:vMerge w:val="restart"/>
            <w:vAlign w:val="center"/>
          </w:tcPr>
          <w:p w14:paraId="2053FBEE" w14:textId="3378C5F4"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Национален център за териториално развитие ЕАД (НЦТР)</w:t>
            </w:r>
          </w:p>
        </w:tc>
        <w:tc>
          <w:tcPr>
            <w:tcW w:w="4396" w:type="dxa"/>
          </w:tcPr>
          <w:p w14:paraId="50F4ABE2" w14:textId="5F7024AC"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Разработва Морски пространствен план на Република България.</w:t>
            </w:r>
          </w:p>
        </w:tc>
        <w:tc>
          <w:tcPr>
            <w:tcW w:w="3543" w:type="dxa"/>
          </w:tcPr>
          <w:p w14:paraId="5572CF72"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29661613" w14:textId="77777777" w:rsidTr="009D32BB">
        <w:tc>
          <w:tcPr>
            <w:tcW w:w="2126" w:type="dxa"/>
            <w:vMerge/>
            <w:vAlign w:val="center"/>
          </w:tcPr>
          <w:p w14:paraId="741C44A4"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B824C6C" w14:textId="7D49C93D"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Събира и поддържа информацията за нуждите на морското пространствено планиране. </w:t>
            </w:r>
          </w:p>
        </w:tc>
        <w:tc>
          <w:tcPr>
            <w:tcW w:w="3543" w:type="dxa"/>
          </w:tcPr>
          <w:p w14:paraId="50BACD62"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42FA2B1E" w14:textId="77777777" w:rsidTr="009D32BB">
        <w:tc>
          <w:tcPr>
            <w:tcW w:w="2126" w:type="dxa"/>
            <w:vMerge/>
            <w:vAlign w:val="center"/>
          </w:tcPr>
          <w:p w14:paraId="4E367A0C"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1AF50EAE" w14:textId="1E3F447B"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По възлагане на Министъра на регионалното развитие и благоустройството извършва изменения и актуализации на МППРБ.</w:t>
            </w:r>
          </w:p>
        </w:tc>
        <w:tc>
          <w:tcPr>
            <w:tcW w:w="3543" w:type="dxa"/>
          </w:tcPr>
          <w:p w14:paraId="4640E767" w14:textId="77777777" w:rsidR="00D41A32" w:rsidRPr="00610B1B" w:rsidRDefault="00D41A32" w:rsidP="00D41A32">
            <w:pPr>
              <w:pStyle w:val="BodyText"/>
              <w:spacing w:before="0" w:after="0" w:line="240" w:lineRule="auto"/>
              <w:rPr>
                <w:rFonts w:cs="Times New Roman"/>
                <w:sz w:val="20"/>
                <w:szCs w:val="20"/>
              </w:rPr>
            </w:pPr>
          </w:p>
        </w:tc>
      </w:tr>
      <w:tr w:rsidR="00D41A32" w:rsidRPr="00610B1B" w14:paraId="6DD2C27E" w14:textId="77777777" w:rsidTr="009D32BB">
        <w:tc>
          <w:tcPr>
            <w:tcW w:w="10065" w:type="dxa"/>
            <w:gridSpan w:val="3"/>
            <w:shd w:val="clear" w:color="auto" w:fill="B8CCE4" w:themeFill="accent1" w:themeFillTint="66"/>
            <w:vAlign w:val="center"/>
          </w:tcPr>
          <w:p w14:paraId="6E7DDEA1" w14:textId="1AFA979A" w:rsidR="00D41A32" w:rsidRPr="00610B1B" w:rsidRDefault="00D41A32" w:rsidP="00D41A32">
            <w:pPr>
              <w:pStyle w:val="BodyText"/>
              <w:spacing w:before="0" w:after="0" w:line="240" w:lineRule="auto"/>
              <w:jc w:val="center"/>
              <w:rPr>
                <w:rFonts w:cs="Times New Roman"/>
                <w:b/>
                <w:bCs/>
                <w:sz w:val="20"/>
                <w:szCs w:val="20"/>
              </w:rPr>
            </w:pPr>
            <w:r w:rsidRPr="00610B1B">
              <w:rPr>
                <w:rFonts w:cs="Times New Roman"/>
                <w:b/>
                <w:bCs/>
                <w:sz w:val="20"/>
                <w:szCs w:val="20"/>
              </w:rPr>
              <w:t>Регионално ниво</w:t>
            </w:r>
          </w:p>
        </w:tc>
      </w:tr>
      <w:tr w:rsidR="00D41A32" w:rsidRPr="00610B1B" w14:paraId="67D9408C" w14:textId="77777777" w:rsidTr="00695BEA">
        <w:tc>
          <w:tcPr>
            <w:tcW w:w="2126" w:type="dxa"/>
            <w:vMerge w:val="restart"/>
            <w:vAlign w:val="center"/>
          </w:tcPr>
          <w:p w14:paraId="34DECE93" w14:textId="62EEFCEC" w:rsidR="00D41A32" w:rsidRPr="00610B1B" w:rsidRDefault="00D41A32" w:rsidP="00695BEA">
            <w:pPr>
              <w:pStyle w:val="BodyText"/>
              <w:spacing w:before="0" w:after="0" w:line="240" w:lineRule="auto"/>
              <w:jc w:val="left"/>
              <w:rPr>
                <w:rFonts w:cs="Times New Roman"/>
                <w:sz w:val="20"/>
                <w:szCs w:val="20"/>
              </w:rPr>
            </w:pPr>
            <w:r w:rsidRPr="00610B1B">
              <w:rPr>
                <w:rFonts w:cs="Times New Roman"/>
                <w:sz w:val="20"/>
                <w:szCs w:val="20"/>
              </w:rPr>
              <w:t>Басейнова дирекция „Черноморски район“ (БДЧР)</w:t>
            </w:r>
          </w:p>
        </w:tc>
        <w:tc>
          <w:tcPr>
            <w:tcW w:w="4396" w:type="dxa"/>
          </w:tcPr>
          <w:p w14:paraId="62A7ADA6" w14:textId="0CC1212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Директорът на БДЧР организира изпълнението и съгласуването на Програмата от мерки към Морската стратегия, анализира данните от мониторинга и подготвя оценката за състоянието на околната среда в морските води. </w:t>
            </w:r>
          </w:p>
        </w:tc>
        <w:tc>
          <w:tcPr>
            <w:tcW w:w="3543" w:type="dxa"/>
            <w:vMerge w:val="restart"/>
          </w:tcPr>
          <w:p w14:paraId="55BDA7BF" w14:textId="681BA95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Наредба за опазване на околната среда в морските води, обн. ДВ бр. 94/30.11.2010 г., изм. и доп. ДВ бр. 14/18.02.2020 г. </w:t>
            </w:r>
          </w:p>
        </w:tc>
      </w:tr>
      <w:tr w:rsidR="00D41A32" w:rsidRPr="005C2B9F" w14:paraId="14A0CE19" w14:textId="77777777" w:rsidTr="009D32BB">
        <w:tc>
          <w:tcPr>
            <w:tcW w:w="2126" w:type="dxa"/>
            <w:vMerge/>
            <w:vAlign w:val="center"/>
          </w:tcPr>
          <w:p w14:paraId="032B6FF0"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471E949" w14:textId="357DC33E"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Осъществява координацията между институции, юридически и физически лица при разработване на морската стратегия и програмата от мерки.</w:t>
            </w:r>
          </w:p>
        </w:tc>
        <w:tc>
          <w:tcPr>
            <w:tcW w:w="3543" w:type="dxa"/>
            <w:vMerge/>
          </w:tcPr>
          <w:p w14:paraId="110F579D"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7B677D04" w14:textId="77777777" w:rsidTr="009D32BB">
        <w:tc>
          <w:tcPr>
            <w:tcW w:w="2126" w:type="dxa"/>
            <w:vMerge/>
            <w:vAlign w:val="center"/>
          </w:tcPr>
          <w:p w14:paraId="16396FF8"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4892A0D" w14:textId="4D9A229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Предоставя информация и подпомага</w:t>
            </w:r>
            <w:r w:rsidR="00D66FE0" w:rsidRPr="00610B1B">
              <w:rPr>
                <w:rFonts w:cs="Times New Roman"/>
                <w:sz w:val="20"/>
                <w:szCs w:val="20"/>
              </w:rPr>
              <w:t xml:space="preserve"> </w:t>
            </w:r>
            <w:r w:rsidRPr="00610B1B">
              <w:rPr>
                <w:rFonts w:cs="Times New Roman"/>
                <w:sz w:val="20"/>
                <w:szCs w:val="20"/>
              </w:rPr>
              <w:t>процеса на разработване, поддържане и приложение на НМППРБ</w:t>
            </w:r>
          </w:p>
        </w:tc>
        <w:tc>
          <w:tcPr>
            <w:tcW w:w="3543" w:type="dxa"/>
          </w:tcPr>
          <w:p w14:paraId="0D1F0DF7"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68EEC961" w14:textId="77777777" w:rsidTr="009D32BB">
        <w:tc>
          <w:tcPr>
            <w:tcW w:w="2126" w:type="dxa"/>
            <w:vMerge/>
            <w:vAlign w:val="center"/>
          </w:tcPr>
          <w:p w14:paraId="32F5EF1D"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1FE2F378" w14:textId="41696F70"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Директорът на БДЧР издава разрешителни за ползване на водни обекти - вътрешните морски води или териториалното море, след съгласие на министъра на отбраната и на министъра на транспорта, информационните технологии и съобщенията.</w:t>
            </w:r>
          </w:p>
        </w:tc>
        <w:tc>
          <w:tcPr>
            <w:tcW w:w="3543" w:type="dxa"/>
          </w:tcPr>
          <w:p w14:paraId="60A30474"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7D065EA9" w14:textId="77777777" w:rsidTr="009D32BB">
        <w:tc>
          <w:tcPr>
            <w:tcW w:w="2126" w:type="dxa"/>
            <w:vMerge/>
            <w:vAlign w:val="center"/>
          </w:tcPr>
          <w:p w14:paraId="35DC26DF"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59CC110D" w14:textId="41282F1B"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Определя водите за обитаване от риби и черупкови организми</w:t>
            </w:r>
          </w:p>
        </w:tc>
        <w:tc>
          <w:tcPr>
            <w:tcW w:w="3543" w:type="dxa"/>
            <w:shd w:val="clear" w:color="auto" w:fill="auto"/>
          </w:tcPr>
          <w:p w14:paraId="393C22AC" w14:textId="77777777" w:rsidR="00D41A32" w:rsidRPr="00610B1B" w:rsidRDefault="00D41A32" w:rsidP="00D41A32">
            <w:pPr>
              <w:pStyle w:val="BodyText"/>
              <w:spacing w:before="0" w:after="0" w:line="240" w:lineRule="auto"/>
              <w:rPr>
                <w:rFonts w:cs="Times New Roman"/>
                <w:sz w:val="20"/>
                <w:szCs w:val="20"/>
              </w:rPr>
            </w:pPr>
            <w:r w:rsidRPr="00610B1B">
              <w:rPr>
                <w:rFonts w:eastAsiaTheme="minorEastAsia" w:cs="Times New Roman"/>
                <w:bCs/>
                <w:sz w:val="20"/>
                <w:szCs w:val="20"/>
              </w:rPr>
              <w:t>Наредба № 4 от 20 октомври 2000 г. за качеството на водите за рибовъдство и за развъждане на черупкови организми</w:t>
            </w:r>
          </w:p>
          <w:p w14:paraId="04B709FA" w14:textId="54D5CF81"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Инструкция № 1 от 12 октомври 2004</w:t>
            </w:r>
            <w:r w:rsidR="00AC1887" w:rsidRPr="00610B1B">
              <w:rPr>
                <w:rFonts w:eastAsiaTheme="minorEastAsia" w:cs="Times New Roman"/>
                <w:bCs/>
                <w:sz w:val="20"/>
                <w:szCs w:val="20"/>
              </w:rPr>
              <w:t> </w:t>
            </w:r>
            <w:r w:rsidRPr="00610B1B">
              <w:rPr>
                <w:rFonts w:eastAsiaTheme="minorEastAsia" w:cs="Times New Roman"/>
                <w:bCs/>
                <w:sz w:val="20"/>
                <w:szCs w:val="20"/>
              </w:rPr>
              <w:t xml:space="preserve">г. за идентифициране на водите във водните обекти или части от тях за обитаване от риби и районите с крайбрежни морски води за </w:t>
            </w:r>
            <w:r w:rsidRPr="00610B1B">
              <w:rPr>
                <w:rFonts w:eastAsiaTheme="minorEastAsia" w:cs="Times New Roman"/>
                <w:bCs/>
                <w:sz w:val="20"/>
                <w:szCs w:val="20"/>
              </w:rPr>
              <w:lastRenderedPageBreak/>
              <w:t>развъждане на черупкови организми</w:t>
            </w:r>
          </w:p>
        </w:tc>
      </w:tr>
      <w:tr w:rsidR="00D41A32" w:rsidRPr="005C2B9F" w14:paraId="54A046FB" w14:textId="77777777" w:rsidTr="009D32BB">
        <w:tc>
          <w:tcPr>
            <w:tcW w:w="2126" w:type="dxa"/>
            <w:vMerge/>
            <w:vAlign w:val="center"/>
          </w:tcPr>
          <w:p w14:paraId="70591D39" w14:textId="34C7414D"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25C2F63D" w14:textId="3C2975EC"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Разработва Плана за управление на речния басейн; предварителната оценка и Плана за управление на риска от наводнения</w:t>
            </w:r>
          </w:p>
        </w:tc>
        <w:tc>
          <w:tcPr>
            <w:tcW w:w="3543" w:type="dxa"/>
            <w:vMerge w:val="restart"/>
            <w:shd w:val="clear" w:color="auto" w:fill="auto"/>
          </w:tcPr>
          <w:p w14:paraId="63B41C0B" w14:textId="77777777"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Правилник за дейността, организацията на работа и състав на басейновите дирекции, Обн. ДВ. бр.7/21.01.2011 г.</w:t>
            </w:r>
          </w:p>
          <w:p w14:paraId="436D569B" w14:textId="5EFF45F4"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321E900C" w14:textId="77777777" w:rsidTr="009D32BB">
        <w:tc>
          <w:tcPr>
            <w:tcW w:w="2126" w:type="dxa"/>
            <w:vMerge/>
            <w:vAlign w:val="center"/>
          </w:tcPr>
          <w:p w14:paraId="7EEA7FC9"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05354C0B" w14:textId="57276637"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Планира и участва в провеждането на мониторинга на водите</w:t>
            </w:r>
          </w:p>
        </w:tc>
        <w:tc>
          <w:tcPr>
            <w:tcW w:w="3543" w:type="dxa"/>
            <w:vMerge/>
            <w:shd w:val="clear" w:color="auto" w:fill="auto"/>
          </w:tcPr>
          <w:p w14:paraId="68B2E596" w14:textId="44A6170C"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49880DC8" w14:textId="77777777" w:rsidTr="009D32BB">
        <w:tc>
          <w:tcPr>
            <w:tcW w:w="2126" w:type="dxa"/>
            <w:vMerge/>
            <w:vAlign w:val="center"/>
          </w:tcPr>
          <w:p w14:paraId="7B34A10A"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2D12EE86" w14:textId="67714022"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Поддържа специализирани бази данни, карти, регистри и информационна система за водите и води регистри</w:t>
            </w:r>
          </w:p>
        </w:tc>
        <w:tc>
          <w:tcPr>
            <w:tcW w:w="3543" w:type="dxa"/>
            <w:vMerge/>
            <w:shd w:val="clear" w:color="auto" w:fill="auto"/>
          </w:tcPr>
          <w:p w14:paraId="4A55681D" w14:textId="3F271B9A"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009C1F8F" w14:textId="77777777" w:rsidTr="009D32BB">
        <w:tc>
          <w:tcPr>
            <w:tcW w:w="2126" w:type="dxa"/>
            <w:vMerge/>
            <w:vAlign w:val="center"/>
          </w:tcPr>
          <w:p w14:paraId="72BAEBB1"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07F0DADE" w14:textId="25D0ABF4"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Извършва оценката на състоянието на водните тела</w:t>
            </w:r>
          </w:p>
        </w:tc>
        <w:tc>
          <w:tcPr>
            <w:tcW w:w="3543" w:type="dxa"/>
            <w:vMerge/>
            <w:shd w:val="clear" w:color="auto" w:fill="auto"/>
          </w:tcPr>
          <w:p w14:paraId="3E0929FA" w14:textId="0752FC56" w:rsidR="00D41A32" w:rsidRPr="00610B1B" w:rsidRDefault="00D41A32" w:rsidP="00D41A32">
            <w:pPr>
              <w:pStyle w:val="BodyText"/>
              <w:spacing w:before="0" w:after="0" w:line="240" w:lineRule="auto"/>
              <w:jc w:val="left"/>
              <w:rPr>
                <w:rFonts w:cs="Times New Roman"/>
                <w:sz w:val="20"/>
                <w:szCs w:val="20"/>
              </w:rPr>
            </w:pPr>
          </w:p>
        </w:tc>
      </w:tr>
      <w:tr w:rsidR="00D41A32" w:rsidRPr="005C2B9F" w14:paraId="5F5EB22E" w14:textId="77777777" w:rsidTr="009D32BB">
        <w:tc>
          <w:tcPr>
            <w:tcW w:w="2126" w:type="dxa"/>
            <w:vMerge w:val="restart"/>
            <w:vAlign w:val="center"/>
          </w:tcPr>
          <w:p w14:paraId="5C5D59A1" w14:textId="43FF1631"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Регионална инспекция по околна среда (РИОСВ Варна и Бургас) </w:t>
            </w:r>
          </w:p>
        </w:tc>
        <w:tc>
          <w:tcPr>
            <w:tcW w:w="4396" w:type="dxa"/>
          </w:tcPr>
          <w:p w14:paraId="044467C2" w14:textId="3EBACC40"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Осъществяват превантивен, текущ и последващ контрол по отношение на компонентите и факторите на околната среда.</w:t>
            </w:r>
          </w:p>
        </w:tc>
        <w:tc>
          <w:tcPr>
            <w:tcW w:w="3543" w:type="dxa"/>
          </w:tcPr>
          <w:p w14:paraId="4F4D3107" w14:textId="77777777" w:rsidR="00D41A32" w:rsidRPr="00610B1B" w:rsidRDefault="00D41A32" w:rsidP="00D41A32">
            <w:pPr>
              <w:pStyle w:val="BodyText"/>
              <w:spacing w:before="0" w:after="0" w:line="240" w:lineRule="auto"/>
              <w:rPr>
                <w:rFonts w:cs="Times New Roman"/>
                <w:sz w:val="20"/>
                <w:szCs w:val="20"/>
              </w:rPr>
            </w:pPr>
          </w:p>
        </w:tc>
      </w:tr>
      <w:tr w:rsidR="00D41A32" w:rsidRPr="00610B1B" w14:paraId="7144277B" w14:textId="77777777" w:rsidTr="009D32BB">
        <w:tc>
          <w:tcPr>
            <w:tcW w:w="2126" w:type="dxa"/>
            <w:vMerge/>
            <w:vAlign w:val="center"/>
          </w:tcPr>
          <w:p w14:paraId="06942A80"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7D2F37AE" w14:textId="0FE0846E"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Участват в процеса на подготовка, разработване, консултиране и одобряване на общите устройствени планове на общините. </w:t>
            </w:r>
          </w:p>
        </w:tc>
        <w:tc>
          <w:tcPr>
            <w:tcW w:w="3543" w:type="dxa"/>
          </w:tcPr>
          <w:p w14:paraId="1777FD7B" w14:textId="3DA88829"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ЗУТ, ЗУЧК</w:t>
            </w:r>
          </w:p>
        </w:tc>
      </w:tr>
      <w:tr w:rsidR="00D41A32" w:rsidRPr="005C2B9F" w14:paraId="2C6B8D9A" w14:textId="77777777" w:rsidTr="009D32BB">
        <w:tc>
          <w:tcPr>
            <w:tcW w:w="2126" w:type="dxa"/>
            <w:vMerge w:val="restart"/>
            <w:vAlign w:val="center"/>
          </w:tcPr>
          <w:p w14:paraId="49848EAE" w14:textId="45C91553"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Регионална здравна инспекция (РЗИ Добрич, Варна и Бургас)</w:t>
            </w:r>
          </w:p>
        </w:tc>
        <w:tc>
          <w:tcPr>
            <w:tcW w:w="4396" w:type="dxa"/>
          </w:tcPr>
          <w:p w14:paraId="7D627675" w14:textId="7DCDECF0"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Извършват контрол на водите за къпане в крайбрежните морски води на Черно море и предоставят информация за тяхното качество.</w:t>
            </w:r>
            <w:r w:rsidR="00D66FE0" w:rsidRPr="00610B1B">
              <w:rPr>
                <w:rFonts w:cs="Times New Roman"/>
                <w:sz w:val="20"/>
                <w:szCs w:val="20"/>
              </w:rPr>
              <w:t xml:space="preserve"> </w:t>
            </w:r>
          </w:p>
        </w:tc>
        <w:tc>
          <w:tcPr>
            <w:tcW w:w="3543" w:type="dxa"/>
          </w:tcPr>
          <w:p w14:paraId="11895FF2"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Наредба за опазване на околната среда в морските води, обн. ДВ бр. 94/30.11.2010 г., изм. и доп. ДВ бр. 14/18.02.2020 г. </w:t>
            </w:r>
          </w:p>
          <w:p w14:paraId="4567711F" w14:textId="5E327A50"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Наредба № 5 от 30 май 2008 г. за управление качеството на водите за къпане, Обн. ДВ. бр. 53/10.06.2008 г., чл. 6</w:t>
            </w:r>
          </w:p>
        </w:tc>
      </w:tr>
      <w:tr w:rsidR="00D41A32" w:rsidRPr="00610B1B" w14:paraId="42050B13" w14:textId="77777777" w:rsidTr="009D32BB">
        <w:tc>
          <w:tcPr>
            <w:tcW w:w="2126" w:type="dxa"/>
            <w:vMerge/>
            <w:vAlign w:val="center"/>
          </w:tcPr>
          <w:p w14:paraId="515F7217"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55A8C1E2" w14:textId="574F3383"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Контролират спазването на изискванията за опазването на курортните ресурси – лечебна кал, минерални води, морски води за къпане.</w:t>
            </w:r>
          </w:p>
        </w:tc>
        <w:tc>
          <w:tcPr>
            <w:tcW w:w="3543" w:type="dxa"/>
          </w:tcPr>
          <w:p w14:paraId="4622D9A9" w14:textId="66280F7F"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Наредба № 14 за опазване на курортните ресурси, курортните местности и курортите, обн. ДВ бр. 79/13.10.1987 г., изм. и доп. ДВ бр. 70/10.08.2004 г.</w:t>
            </w:r>
          </w:p>
        </w:tc>
      </w:tr>
      <w:tr w:rsidR="00D41A32" w:rsidRPr="005C2B9F" w14:paraId="1D5ECA81" w14:textId="77777777" w:rsidTr="009D32BB">
        <w:tc>
          <w:tcPr>
            <w:tcW w:w="2126" w:type="dxa"/>
            <w:vMerge/>
            <w:vAlign w:val="center"/>
          </w:tcPr>
          <w:p w14:paraId="50FF7163"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shd w:val="clear" w:color="auto" w:fill="auto"/>
          </w:tcPr>
          <w:p w14:paraId="7F464449" w14:textId="6A1E6C87" w:rsidR="00D41A32" w:rsidRPr="00610B1B" w:rsidRDefault="00D41A32" w:rsidP="00D41A32">
            <w:pPr>
              <w:pStyle w:val="BodyText"/>
              <w:spacing w:before="0" w:after="0" w:line="240" w:lineRule="auto"/>
              <w:jc w:val="left"/>
              <w:rPr>
                <w:rFonts w:cs="Times New Roman"/>
                <w:bCs/>
                <w:sz w:val="20"/>
                <w:szCs w:val="20"/>
              </w:rPr>
            </w:pPr>
            <w:r w:rsidRPr="00610B1B">
              <w:rPr>
                <w:rFonts w:eastAsiaTheme="minorEastAsia" w:cs="Times New Roman"/>
                <w:bCs/>
                <w:sz w:val="20"/>
                <w:szCs w:val="20"/>
              </w:rPr>
              <w:t>Директорът на РЗИ ежегодно преди началото на сезона за къпане идентифицира всички зони за къпане, намиращи се на контролираната от него територия, и определя продължителността на сезона за къпане.</w:t>
            </w:r>
          </w:p>
          <w:p w14:paraId="72ADD59A" w14:textId="77777777" w:rsidR="00D41A32" w:rsidRPr="00610B1B" w:rsidRDefault="00D41A32" w:rsidP="00D41A32">
            <w:pPr>
              <w:pStyle w:val="BodyText"/>
              <w:spacing w:before="0" w:after="0" w:line="240" w:lineRule="auto"/>
              <w:rPr>
                <w:rFonts w:cs="Times New Roman"/>
                <w:sz w:val="20"/>
                <w:szCs w:val="20"/>
              </w:rPr>
            </w:pPr>
          </w:p>
        </w:tc>
        <w:tc>
          <w:tcPr>
            <w:tcW w:w="3543" w:type="dxa"/>
            <w:shd w:val="clear" w:color="auto" w:fill="auto"/>
          </w:tcPr>
          <w:p w14:paraId="11E871B4" w14:textId="2EA79EF9"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Наредба № 5 от 30 май 2008 г. за управление качеството на водите за къпане, Обн. ДВ. бр. 53/10.06.2008 г., чл. 5</w:t>
            </w:r>
          </w:p>
        </w:tc>
      </w:tr>
      <w:tr w:rsidR="00D41A32" w:rsidRPr="005C2B9F" w14:paraId="06EE2C21" w14:textId="77777777" w:rsidTr="009D32BB">
        <w:tc>
          <w:tcPr>
            <w:tcW w:w="2126" w:type="dxa"/>
            <w:vAlign w:val="center"/>
          </w:tcPr>
          <w:p w14:paraId="43383413" w14:textId="52F60A89"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Регионален съвет за развитие (РСР на СИР и ЮИР за планиране от ниво 2)</w:t>
            </w:r>
          </w:p>
        </w:tc>
        <w:tc>
          <w:tcPr>
            <w:tcW w:w="4396" w:type="dxa"/>
          </w:tcPr>
          <w:p w14:paraId="5E32A49B" w14:textId="1FAE155B"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РСР приемат Интегрирани териториални стратегии за развитие на двата района и участват в процеса на консултации на Морския пространствен план.</w:t>
            </w:r>
            <w:r w:rsidR="00D66FE0" w:rsidRPr="00610B1B">
              <w:rPr>
                <w:rFonts w:cs="Times New Roman"/>
                <w:sz w:val="20"/>
                <w:szCs w:val="20"/>
              </w:rPr>
              <w:t xml:space="preserve"> </w:t>
            </w:r>
          </w:p>
        </w:tc>
        <w:tc>
          <w:tcPr>
            <w:tcW w:w="3543" w:type="dxa"/>
          </w:tcPr>
          <w:p w14:paraId="57E1A7C6" w14:textId="2D117BDC"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Правилник за приложение на Закона за регионалното развитие, проект 2020</w:t>
            </w:r>
          </w:p>
        </w:tc>
      </w:tr>
      <w:tr w:rsidR="00D41A32" w:rsidRPr="005C2B9F" w14:paraId="21282222" w14:textId="77777777" w:rsidTr="009D32BB">
        <w:tc>
          <w:tcPr>
            <w:tcW w:w="2126" w:type="dxa"/>
            <w:vMerge w:val="restart"/>
            <w:vAlign w:val="center"/>
          </w:tcPr>
          <w:p w14:paraId="0B4AA892" w14:textId="19205F85"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Геозащита ЕООД, Варна</w:t>
            </w:r>
          </w:p>
        </w:tc>
        <w:tc>
          <w:tcPr>
            <w:tcW w:w="4396" w:type="dxa"/>
          </w:tcPr>
          <w:p w14:paraId="3CA20ECD"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Извършва изследователска и проучвателна дейност; геодезически изследвания; инженерно-геоложки и геофизически проучвания; морски изследвания.</w:t>
            </w:r>
          </w:p>
          <w:p w14:paraId="4A31AD39" w14:textId="0B962A0A"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Проучва и проектира всички морски хидротехнически съоръжения и укрепителни противосвлачищни и противоабразионни мероприятия на Черноморското крайбрежие </w:t>
            </w:r>
          </w:p>
        </w:tc>
        <w:tc>
          <w:tcPr>
            <w:tcW w:w="3543" w:type="dxa"/>
          </w:tcPr>
          <w:p w14:paraId="6ECF48C8"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1707F5F3" w14:textId="77777777" w:rsidTr="009D32BB">
        <w:tc>
          <w:tcPr>
            <w:tcW w:w="2126" w:type="dxa"/>
            <w:vMerge/>
            <w:vAlign w:val="center"/>
          </w:tcPr>
          <w:p w14:paraId="3F2BA122"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07D15E56" w14:textId="7C0DA8E1"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Осъществява п</w:t>
            </w:r>
            <w:r w:rsidRPr="00610B1B">
              <w:rPr>
                <w:rFonts w:cs="Times New Roman"/>
                <w:bCs/>
                <w:sz w:val="20"/>
                <w:szCs w:val="20"/>
              </w:rPr>
              <w:t>ревантивни дейности, регистриране и мониторинг на свлачищните райони на територията на Р. България и на районите с абразионни процеси по Черноморското крайбрежие в областите Добрич, Варна, Бургас.</w:t>
            </w:r>
          </w:p>
        </w:tc>
        <w:tc>
          <w:tcPr>
            <w:tcW w:w="3543" w:type="dxa"/>
          </w:tcPr>
          <w:p w14:paraId="061CB993" w14:textId="77777777" w:rsidR="00D41A32" w:rsidRPr="00610B1B" w:rsidRDefault="00D41A32" w:rsidP="00D41A32">
            <w:pPr>
              <w:pStyle w:val="BodyText"/>
              <w:spacing w:before="0" w:after="0" w:line="240" w:lineRule="auto"/>
              <w:rPr>
                <w:rFonts w:cs="Times New Roman"/>
                <w:sz w:val="20"/>
                <w:szCs w:val="20"/>
              </w:rPr>
            </w:pPr>
          </w:p>
        </w:tc>
      </w:tr>
      <w:tr w:rsidR="00D41A32" w:rsidRPr="00610B1B" w14:paraId="0D4392FE" w14:textId="77777777" w:rsidTr="009D32BB">
        <w:tc>
          <w:tcPr>
            <w:tcW w:w="10065" w:type="dxa"/>
            <w:gridSpan w:val="3"/>
            <w:shd w:val="clear" w:color="auto" w:fill="B8CCE4" w:themeFill="accent1" w:themeFillTint="66"/>
            <w:vAlign w:val="center"/>
          </w:tcPr>
          <w:p w14:paraId="50BD67CA" w14:textId="20C5F335" w:rsidR="00D41A32" w:rsidRPr="00610B1B" w:rsidRDefault="00D41A32" w:rsidP="00D41A32">
            <w:pPr>
              <w:pStyle w:val="BodyText"/>
              <w:spacing w:before="0" w:after="0" w:line="240" w:lineRule="auto"/>
              <w:jc w:val="center"/>
              <w:rPr>
                <w:rFonts w:cs="Times New Roman"/>
                <w:b/>
                <w:bCs/>
                <w:sz w:val="20"/>
                <w:szCs w:val="20"/>
              </w:rPr>
            </w:pPr>
            <w:r w:rsidRPr="00610B1B">
              <w:rPr>
                <w:rFonts w:cs="Times New Roman"/>
                <w:b/>
                <w:bCs/>
                <w:sz w:val="20"/>
                <w:szCs w:val="20"/>
              </w:rPr>
              <w:t>Научноизследователски и образователни институции</w:t>
            </w:r>
          </w:p>
        </w:tc>
      </w:tr>
      <w:tr w:rsidR="00D41A32" w:rsidRPr="005C2B9F" w14:paraId="2D91E0F0" w14:textId="77777777" w:rsidTr="009D32BB">
        <w:tc>
          <w:tcPr>
            <w:tcW w:w="2126" w:type="dxa"/>
            <w:vAlign w:val="center"/>
          </w:tcPr>
          <w:p w14:paraId="2C86301D" w14:textId="4A19E579"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ВВМУ</w:t>
            </w:r>
          </w:p>
        </w:tc>
        <w:tc>
          <w:tcPr>
            <w:tcW w:w="4396" w:type="dxa"/>
          </w:tcPr>
          <w:p w14:paraId="32F0A346" w14:textId="3F2881B2"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Подготовка на кадри за военноморските сили</w:t>
            </w:r>
            <w:r w:rsidR="004D4768" w:rsidRPr="00610B1B">
              <w:rPr>
                <w:rFonts w:cs="Times New Roman"/>
                <w:sz w:val="20"/>
                <w:szCs w:val="20"/>
              </w:rPr>
              <w:t xml:space="preserve"> и морската транспортна система, научни изследвания.</w:t>
            </w:r>
          </w:p>
        </w:tc>
        <w:tc>
          <w:tcPr>
            <w:tcW w:w="3543" w:type="dxa"/>
          </w:tcPr>
          <w:p w14:paraId="7E605388" w14:textId="77777777" w:rsidR="004D4768" w:rsidRPr="00610B1B" w:rsidRDefault="004D4768" w:rsidP="004D4768">
            <w:pPr>
              <w:pStyle w:val="BodyText"/>
              <w:spacing w:before="0"/>
              <w:rPr>
                <w:rFonts w:cs="Times New Roman"/>
                <w:sz w:val="20"/>
                <w:szCs w:val="20"/>
              </w:rPr>
            </w:pPr>
            <w:r w:rsidRPr="00610B1B">
              <w:rPr>
                <w:rFonts w:cs="Times New Roman"/>
                <w:sz w:val="20"/>
                <w:szCs w:val="20"/>
              </w:rPr>
              <w:t xml:space="preserve">Правилник за устройството и дейността на Висшето военноморско училище "Никола Йонков Вапцаров". </w:t>
            </w:r>
            <w:r w:rsidRPr="00610B1B">
              <w:rPr>
                <w:rFonts w:cs="Times New Roman"/>
                <w:sz w:val="20"/>
                <w:szCs w:val="20"/>
              </w:rPr>
              <w:lastRenderedPageBreak/>
              <w:t>Издаден от министъра на отбраната</w:t>
            </w:r>
          </w:p>
          <w:p w14:paraId="54B48CFE" w14:textId="50718191" w:rsidR="00D41A32" w:rsidRPr="00610B1B" w:rsidRDefault="004D4768" w:rsidP="004D4768">
            <w:pPr>
              <w:pStyle w:val="BodyText"/>
              <w:spacing w:before="0" w:after="0" w:line="240" w:lineRule="auto"/>
              <w:rPr>
                <w:rFonts w:cs="Times New Roman"/>
                <w:sz w:val="20"/>
                <w:szCs w:val="20"/>
              </w:rPr>
            </w:pPr>
            <w:r w:rsidRPr="00610B1B">
              <w:rPr>
                <w:rFonts w:cs="Times New Roman"/>
                <w:sz w:val="20"/>
                <w:szCs w:val="20"/>
              </w:rPr>
              <w:t>Обн. ДВ. бр.92 от 6 Ноември 2018г., изм. и доп. ДВ. бр.106 от 15 Декември 2020 г.</w:t>
            </w:r>
          </w:p>
        </w:tc>
      </w:tr>
      <w:tr w:rsidR="00D41A32" w:rsidRPr="00610B1B" w14:paraId="38F2F1E0" w14:textId="77777777" w:rsidTr="009D32BB">
        <w:tc>
          <w:tcPr>
            <w:tcW w:w="2126" w:type="dxa"/>
            <w:vMerge w:val="restart"/>
            <w:vAlign w:val="center"/>
          </w:tcPr>
          <w:p w14:paraId="3ADF1BF4" w14:textId="6CBC96C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lastRenderedPageBreak/>
              <w:t>ИО-БАН</w:t>
            </w:r>
          </w:p>
        </w:tc>
        <w:tc>
          <w:tcPr>
            <w:tcW w:w="4396" w:type="dxa"/>
          </w:tcPr>
          <w:p w14:paraId="1C402600" w14:textId="725C8262"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Извършва мониторинг на морската околна среда по утвърдени от министъра на околната среда и водите програми за мониторинг. </w:t>
            </w:r>
          </w:p>
        </w:tc>
        <w:tc>
          <w:tcPr>
            <w:tcW w:w="3543" w:type="dxa"/>
          </w:tcPr>
          <w:p w14:paraId="53753784"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РДМС,</w:t>
            </w:r>
          </w:p>
          <w:p w14:paraId="63FE96FA" w14:textId="52DFAB0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Наредба за опазване на околната среда в морските води, обн. ДВ бр. 94/30.11.2010 г., изм. и доп. ДВ бр. 14/18.02.2020 г. </w:t>
            </w:r>
          </w:p>
        </w:tc>
      </w:tr>
      <w:tr w:rsidR="00D41A32" w:rsidRPr="00610B1B" w14:paraId="3D9AA59B" w14:textId="77777777" w:rsidTr="009D32BB">
        <w:tc>
          <w:tcPr>
            <w:tcW w:w="2126" w:type="dxa"/>
            <w:vMerge/>
            <w:vAlign w:val="center"/>
          </w:tcPr>
          <w:p w14:paraId="643D4425" w14:textId="70F7C7E5"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1D6C2FC3" w14:textId="78F038F4"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Всеки институт на БАН в рамките на своята компетентност предоставя събраната информация и резултатите от проведени изследвания, финансирани от ДБ на Р.България или със средства по програми на ЕС за целите на морското пространствено планиране.</w:t>
            </w:r>
          </w:p>
        </w:tc>
        <w:tc>
          <w:tcPr>
            <w:tcW w:w="3543" w:type="dxa"/>
          </w:tcPr>
          <w:p w14:paraId="48E01E7C" w14:textId="77777777"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Директива INSPIRE,</w:t>
            </w:r>
          </w:p>
          <w:p w14:paraId="5A710A07" w14:textId="58FE6A1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Закон за достъп до обществена информация, обн. ДВ бр. 55/07.07.2000 г., изм. и доп. ДВ бр. 17/26.02.2019 г.</w:t>
            </w:r>
          </w:p>
        </w:tc>
      </w:tr>
      <w:tr w:rsidR="00D41A32" w:rsidRPr="005C2B9F" w14:paraId="3B6768A1" w14:textId="77777777" w:rsidTr="009D32BB">
        <w:tc>
          <w:tcPr>
            <w:tcW w:w="2126" w:type="dxa"/>
            <w:vMerge w:val="restart"/>
            <w:vAlign w:val="center"/>
          </w:tcPr>
          <w:p w14:paraId="4BDBA95B" w14:textId="377E71AF"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ИБЕИ-БАН</w:t>
            </w:r>
          </w:p>
        </w:tc>
        <w:tc>
          <w:tcPr>
            <w:tcW w:w="4396" w:type="dxa"/>
          </w:tcPr>
          <w:p w14:paraId="44FCDC81" w14:textId="0057AE7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Осъществява научни изследвания в областта на теоретичните и приложните аспекти на екологията, биоразнообразието, опазването на околната среда и устойчивото ползване на биологичните ресурси.</w:t>
            </w:r>
          </w:p>
        </w:tc>
        <w:tc>
          <w:tcPr>
            <w:tcW w:w="3543" w:type="dxa"/>
            <w:vMerge w:val="restart"/>
          </w:tcPr>
          <w:p w14:paraId="33A4268B" w14:textId="180B4092" w:rsidR="00D41A32" w:rsidRPr="00610B1B" w:rsidRDefault="002A152C" w:rsidP="00D41A32">
            <w:pPr>
              <w:pStyle w:val="BodyText"/>
              <w:spacing w:before="0" w:after="0" w:line="240" w:lineRule="auto"/>
              <w:rPr>
                <w:rFonts w:cs="Times New Roman"/>
                <w:sz w:val="20"/>
                <w:szCs w:val="20"/>
              </w:rPr>
            </w:pPr>
            <w:hyperlink r:id="rId66" w:history="1">
              <w:r w:rsidR="00D41A32" w:rsidRPr="00610B1B">
                <w:rPr>
                  <w:rStyle w:val="Hyperlink"/>
                  <w:rFonts w:cs="Times New Roman"/>
                  <w:color w:val="auto"/>
                  <w:sz w:val="20"/>
                  <w:szCs w:val="20"/>
                </w:rPr>
                <w:t>http://www.iber.bas.bg/?q=bg/node/1</w:t>
              </w:r>
            </w:hyperlink>
            <w:r w:rsidR="00D41A32" w:rsidRPr="00610B1B">
              <w:rPr>
                <w:rFonts w:cs="Times New Roman"/>
                <w:sz w:val="20"/>
                <w:szCs w:val="20"/>
              </w:rPr>
              <w:t xml:space="preserve"> </w:t>
            </w:r>
          </w:p>
        </w:tc>
      </w:tr>
      <w:tr w:rsidR="00D41A32" w:rsidRPr="005C2B9F" w14:paraId="25BF08EC" w14:textId="77777777" w:rsidTr="009D32BB">
        <w:tc>
          <w:tcPr>
            <w:tcW w:w="2126" w:type="dxa"/>
            <w:vMerge/>
            <w:vAlign w:val="center"/>
          </w:tcPr>
          <w:p w14:paraId="2DB6B568"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555A3497" w14:textId="4707F270"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Осигурява научна информация, оказва методична помощ на държавните институции и структурите на гражданското общество, и представя страната в Европейското изследователско пространство в областите на неговата компетентност.</w:t>
            </w:r>
          </w:p>
        </w:tc>
        <w:tc>
          <w:tcPr>
            <w:tcW w:w="3543" w:type="dxa"/>
            <w:vMerge/>
          </w:tcPr>
          <w:p w14:paraId="00A06E95" w14:textId="77777777" w:rsidR="00D41A32" w:rsidRPr="00610B1B" w:rsidRDefault="00D41A32" w:rsidP="00D41A32">
            <w:pPr>
              <w:pStyle w:val="BodyText"/>
              <w:spacing w:before="0" w:after="0" w:line="240" w:lineRule="auto"/>
              <w:rPr>
                <w:rFonts w:cs="Times New Roman"/>
                <w:sz w:val="20"/>
                <w:szCs w:val="20"/>
              </w:rPr>
            </w:pPr>
          </w:p>
        </w:tc>
      </w:tr>
      <w:tr w:rsidR="00D41A32" w:rsidRPr="005C2B9F" w14:paraId="0D6273D9" w14:textId="77777777" w:rsidTr="009D32BB">
        <w:tc>
          <w:tcPr>
            <w:tcW w:w="2126" w:type="dxa"/>
            <w:vAlign w:val="center"/>
          </w:tcPr>
          <w:p w14:paraId="408B701B" w14:textId="77BB2E13"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НИМХ</w:t>
            </w:r>
          </w:p>
        </w:tc>
        <w:tc>
          <w:tcPr>
            <w:tcW w:w="4396" w:type="dxa"/>
            <w:shd w:val="clear" w:color="auto" w:fill="auto"/>
          </w:tcPr>
          <w:p w14:paraId="2F542CA3" w14:textId="27C20BCC"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Изпълнява национални дейности както следва:</w:t>
            </w:r>
          </w:p>
          <w:p w14:paraId="4B4133FE" w14:textId="77777777" w:rsidR="00D41A32" w:rsidRPr="00610B1B" w:rsidRDefault="00D41A32" w:rsidP="00D41A32">
            <w:pPr>
              <w:pStyle w:val="BodyText"/>
              <w:spacing w:before="0" w:after="0" w:line="240" w:lineRule="auto"/>
              <w:jc w:val="left"/>
              <w:rPr>
                <w:rFonts w:cs="Times New Roman"/>
                <w:sz w:val="20"/>
                <w:szCs w:val="20"/>
              </w:rPr>
            </w:pPr>
            <w:r w:rsidRPr="00610B1B">
              <w:rPr>
                <w:rFonts w:eastAsiaTheme="minorEastAsia" w:cs="Times New Roman"/>
                <w:bCs/>
                <w:sz w:val="20"/>
                <w:szCs w:val="20"/>
              </w:rPr>
              <w:t>ал. 1, т. 6. научноизследователска, научноприложна и оперативна дейност, свързана с моделиране на метеорологичните и хидрологичните процеси и явления и разпространението на замърсители в атмосферата и морето;</w:t>
            </w:r>
          </w:p>
          <w:p w14:paraId="40588AEF" w14:textId="72559DAE" w:rsidR="00D41A32" w:rsidRPr="00610B1B" w:rsidRDefault="00D41A32" w:rsidP="00D41A32">
            <w:pPr>
              <w:pStyle w:val="BodyText"/>
              <w:spacing w:before="0" w:after="0" w:line="240" w:lineRule="auto"/>
              <w:rPr>
                <w:rFonts w:cs="Times New Roman"/>
                <w:sz w:val="20"/>
                <w:szCs w:val="20"/>
              </w:rPr>
            </w:pPr>
            <w:r w:rsidRPr="00610B1B">
              <w:rPr>
                <w:rFonts w:eastAsiaTheme="minorEastAsia" w:cs="Times New Roman"/>
                <w:bCs/>
                <w:sz w:val="20"/>
                <w:szCs w:val="20"/>
              </w:rPr>
              <w:t>ал 2, т. 3. Осигурява специализирана морска прогноза за корабоплаването в район Juliette (Западно Черно море) съгласно Международната конвенция за безопасност на човешкия живот на море (SOLAS).</w:t>
            </w:r>
          </w:p>
        </w:tc>
        <w:tc>
          <w:tcPr>
            <w:tcW w:w="3543" w:type="dxa"/>
            <w:shd w:val="clear" w:color="auto" w:fill="auto"/>
          </w:tcPr>
          <w:p w14:paraId="1FD6C579" w14:textId="45CD0673" w:rsidR="00D41A32" w:rsidRPr="00610B1B" w:rsidRDefault="00D41A32" w:rsidP="00D41A32">
            <w:pPr>
              <w:pStyle w:val="BodyText"/>
              <w:spacing w:before="0" w:after="0" w:line="240" w:lineRule="auto"/>
              <w:rPr>
                <w:rFonts w:cs="Times New Roman"/>
                <w:sz w:val="20"/>
                <w:szCs w:val="20"/>
              </w:rPr>
            </w:pPr>
            <w:r w:rsidRPr="00610B1B">
              <w:rPr>
                <w:rFonts w:eastAsiaTheme="minorEastAsia" w:cs="Times New Roman"/>
                <w:bCs/>
                <w:sz w:val="20"/>
                <w:szCs w:val="20"/>
              </w:rPr>
              <w:t>Правилник за устройството и дейността на Националния институт по метеорология и хидрология, Обн. ДВ. бр. 6/18.01.2019 г. чл. 4</w:t>
            </w:r>
          </w:p>
        </w:tc>
      </w:tr>
      <w:tr w:rsidR="00D41A32" w:rsidRPr="005C2B9F" w14:paraId="735AA7F6" w14:textId="77777777" w:rsidTr="009D32BB">
        <w:tc>
          <w:tcPr>
            <w:tcW w:w="2126" w:type="dxa"/>
            <w:vAlign w:val="center"/>
          </w:tcPr>
          <w:p w14:paraId="5C657B84" w14:textId="043EBB9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ИГГГ-БАН</w:t>
            </w:r>
          </w:p>
        </w:tc>
        <w:tc>
          <w:tcPr>
            <w:tcW w:w="4396" w:type="dxa"/>
          </w:tcPr>
          <w:p w14:paraId="21D585E4"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Провежда фундаментални и приложни изследвания в областта на геофизиката, сеизмологията, сеизмичната механика, сеизмичното инженерство, геодезията и географията. </w:t>
            </w:r>
          </w:p>
          <w:p w14:paraId="3C406E77" w14:textId="31804B4D"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Извършва научно-оперативно обслужване на държавата и обществото с мониторингова и експертна информация и подготовка на специалисти.</w:t>
            </w:r>
          </w:p>
        </w:tc>
        <w:tc>
          <w:tcPr>
            <w:tcW w:w="3543" w:type="dxa"/>
          </w:tcPr>
          <w:p w14:paraId="0EDA9A35" w14:textId="02B8F0C4" w:rsidR="00D41A32" w:rsidRPr="00610B1B" w:rsidRDefault="002A152C" w:rsidP="00D41A32">
            <w:pPr>
              <w:pStyle w:val="BodyText"/>
              <w:spacing w:before="0" w:after="0" w:line="240" w:lineRule="auto"/>
              <w:rPr>
                <w:rFonts w:cs="Times New Roman"/>
                <w:sz w:val="20"/>
                <w:szCs w:val="20"/>
              </w:rPr>
            </w:pPr>
            <w:hyperlink r:id="rId67" w:history="1">
              <w:r w:rsidR="00D41A32" w:rsidRPr="00610B1B">
                <w:rPr>
                  <w:rStyle w:val="Hyperlink"/>
                  <w:rFonts w:cs="Times New Roman"/>
                  <w:color w:val="auto"/>
                  <w:sz w:val="20"/>
                  <w:szCs w:val="20"/>
                </w:rPr>
                <w:t>http://www.niggg.bas.bg/</w:t>
              </w:r>
            </w:hyperlink>
            <w:r w:rsidR="00D41A32" w:rsidRPr="00610B1B">
              <w:rPr>
                <w:rFonts w:cs="Times New Roman"/>
                <w:sz w:val="20"/>
                <w:szCs w:val="20"/>
              </w:rPr>
              <w:t xml:space="preserve"> </w:t>
            </w:r>
          </w:p>
        </w:tc>
      </w:tr>
      <w:tr w:rsidR="00D41A32" w:rsidRPr="005C2B9F" w14:paraId="3A634555" w14:textId="77777777" w:rsidTr="009D32BB">
        <w:tc>
          <w:tcPr>
            <w:tcW w:w="2126" w:type="dxa"/>
            <w:vMerge w:val="restart"/>
            <w:vAlign w:val="center"/>
          </w:tcPr>
          <w:p w14:paraId="02E1C329" w14:textId="5E8E6EC5"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НАИМ-БАН</w:t>
            </w:r>
          </w:p>
        </w:tc>
        <w:tc>
          <w:tcPr>
            <w:tcW w:w="4396" w:type="dxa"/>
          </w:tcPr>
          <w:p w14:paraId="2A089B97" w14:textId="797FA85D"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Цялостно ръководство и координация в методическо отношение на теренната археологическа дейност в Р. България. Изследва и проучва археологическото наследство, вкл. и това под вода.</w:t>
            </w:r>
          </w:p>
        </w:tc>
        <w:tc>
          <w:tcPr>
            <w:tcW w:w="3543" w:type="dxa"/>
            <w:vMerge w:val="restart"/>
          </w:tcPr>
          <w:p w14:paraId="2745C354" w14:textId="0BF94CDF" w:rsidR="00D41A32" w:rsidRPr="00610B1B" w:rsidRDefault="002A152C" w:rsidP="00D41A32">
            <w:pPr>
              <w:pStyle w:val="BodyText"/>
              <w:spacing w:before="0" w:after="0" w:line="240" w:lineRule="auto"/>
              <w:rPr>
                <w:rFonts w:cs="Times New Roman"/>
                <w:sz w:val="20"/>
                <w:szCs w:val="20"/>
              </w:rPr>
            </w:pPr>
            <w:hyperlink r:id="rId68" w:history="1">
              <w:r w:rsidR="00D41A32" w:rsidRPr="00610B1B">
                <w:rPr>
                  <w:rStyle w:val="Hyperlink"/>
                  <w:rFonts w:cs="Times New Roman"/>
                  <w:color w:val="auto"/>
                  <w:sz w:val="20"/>
                  <w:szCs w:val="20"/>
                </w:rPr>
                <w:t>http://naim.bg/bg/content/category/100/32/</w:t>
              </w:r>
            </w:hyperlink>
            <w:r w:rsidR="00D41A32" w:rsidRPr="00610B1B">
              <w:rPr>
                <w:rFonts w:cs="Times New Roman"/>
                <w:sz w:val="20"/>
                <w:szCs w:val="20"/>
              </w:rPr>
              <w:t xml:space="preserve"> </w:t>
            </w:r>
          </w:p>
        </w:tc>
      </w:tr>
      <w:tr w:rsidR="00D41A32" w:rsidRPr="005C2B9F" w14:paraId="243B64AD" w14:textId="77777777" w:rsidTr="009D32BB">
        <w:tc>
          <w:tcPr>
            <w:tcW w:w="2126" w:type="dxa"/>
            <w:vMerge/>
            <w:vAlign w:val="center"/>
          </w:tcPr>
          <w:p w14:paraId="76629BB3"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3FFC205B" w14:textId="4F8F0419"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Създава и поддържа Автоматизирана</w:t>
            </w:r>
            <w:r w:rsidR="00D66FE0" w:rsidRPr="00610B1B">
              <w:rPr>
                <w:rFonts w:cs="Times New Roman"/>
                <w:sz w:val="20"/>
                <w:szCs w:val="20"/>
              </w:rPr>
              <w:t xml:space="preserve"> </w:t>
            </w:r>
            <w:r w:rsidRPr="00610B1B">
              <w:rPr>
                <w:rFonts w:cs="Times New Roman"/>
                <w:sz w:val="20"/>
                <w:szCs w:val="20"/>
              </w:rPr>
              <w:t>информационна</w:t>
            </w:r>
            <w:r w:rsidR="00D66FE0" w:rsidRPr="00610B1B">
              <w:rPr>
                <w:rFonts w:cs="Times New Roman"/>
                <w:sz w:val="20"/>
                <w:szCs w:val="20"/>
              </w:rPr>
              <w:t xml:space="preserve"> </w:t>
            </w:r>
            <w:r w:rsidRPr="00610B1B">
              <w:rPr>
                <w:rFonts w:cs="Times New Roman"/>
                <w:sz w:val="20"/>
                <w:szCs w:val="20"/>
              </w:rPr>
              <w:t>система</w:t>
            </w:r>
            <w:r w:rsidR="00D66FE0" w:rsidRPr="00610B1B">
              <w:rPr>
                <w:rFonts w:cs="Times New Roman"/>
                <w:sz w:val="20"/>
                <w:szCs w:val="20"/>
              </w:rPr>
              <w:t xml:space="preserve"> </w:t>
            </w:r>
            <w:r w:rsidRPr="00610B1B">
              <w:rPr>
                <w:rFonts w:cs="Times New Roman"/>
                <w:sz w:val="20"/>
                <w:szCs w:val="20"/>
              </w:rPr>
              <w:t>„Археологическа</w:t>
            </w:r>
            <w:r w:rsidR="00D66FE0" w:rsidRPr="00610B1B">
              <w:rPr>
                <w:rFonts w:cs="Times New Roman"/>
                <w:sz w:val="20"/>
                <w:szCs w:val="20"/>
              </w:rPr>
              <w:t xml:space="preserve"> </w:t>
            </w:r>
            <w:r w:rsidRPr="00610B1B">
              <w:rPr>
                <w:rFonts w:cs="Times New Roman"/>
                <w:sz w:val="20"/>
                <w:szCs w:val="20"/>
              </w:rPr>
              <w:t>карта</w:t>
            </w:r>
            <w:r w:rsidR="00D66FE0" w:rsidRPr="00610B1B">
              <w:rPr>
                <w:rFonts w:cs="Times New Roman"/>
                <w:sz w:val="20"/>
                <w:szCs w:val="20"/>
              </w:rPr>
              <w:t xml:space="preserve"> </w:t>
            </w:r>
            <w:r w:rsidRPr="00610B1B">
              <w:rPr>
                <w:rFonts w:cs="Times New Roman"/>
                <w:sz w:val="20"/>
                <w:szCs w:val="20"/>
              </w:rPr>
              <w:t>на България“ (АИС „АКБ“)</w:t>
            </w:r>
          </w:p>
        </w:tc>
        <w:tc>
          <w:tcPr>
            <w:tcW w:w="3543" w:type="dxa"/>
            <w:vMerge/>
          </w:tcPr>
          <w:p w14:paraId="4672267D" w14:textId="77777777" w:rsidR="00D41A32" w:rsidRPr="00610B1B" w:rsidRDefault="00D41A32" w:rsidP="00D41A32">
            <w:pPr>
              <w:pStyle w:val="BodyText"/>
              <w:spacing w:before="0" w:after="0" w:line="240" w:lineRule="auto"/>
              <w:rPr>
                <w:rFonts w:cs="Times New Roman"/>
                <w:sz w:val="20"/>
                <w:szCs w:val="20"/>
              </w:rPr>
            </w:pPr>
          </w:p>
        </w:tc>
      </w:tr>
      <w:tr w:rsidR="00D41A32" w:rsidRPr="00610B1B" w14:paraId="6F1A3F71" w14:textId="77777777" w:rsidTr="009D32BB">
        <w:tc>
          <w:tcPr>
            <w:tcW w:w="2126" w:type="dxa"/>
            <w:vAlign w:val="center"/>
          </w:tcPr>
          <w:p w14:paraId="64CF6FC7" w14:textId="72FE7F0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УАСГ</w:t>
            </w:r>
          </w:p>
        </w:tc>
        <w:tc>
          <w:tcPr>
            <w:tcW w:w="4396" w:type="dxa"/>
          </w:tcPr>
          <w:p w14:paraId="05001F6E" w14:textId="14D7F349"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Подготовка на кадри в областта на урбанизма, архитектурата и строителството, транспорта, хидротехническото строителство, управление на </w:t>
            </w:r>
            <w:r w:rsidRPr="00610B1B">
              <w:rPr>
                <w:rFonts w:cs="Times New Roman"/>
                <w:sz w:val="20"/>
                <w:szCs w:val="20"/>
              </w:rPr>
              <w:lastRenderedPageBreak/>
              <w:t>водите, геодезия и картография, ГИС</w:t>
            </w:r>
          </w:p>
        </w:tc>
        <w:tc>
          <w:tcPr>
            <w:tcW w:w="3543" w:type="dxa"/>
          </w:tcPr>
          <w:p w14:paraId="4912F9C1" w14:textId="6E731D82"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lastRenderedPageBreak/>
              <w:t>Закон за висшето образование,</w:t>
            </w:r>
            <w:r w:rsidR="00D66FE0" w:rsidRPr="00610B1B">
              <w:rPr>
                <w:rFonts w:cs="Times New Roman"/>
                <w:sz w:val="20"/>
                <w:szCs w:val="20"/>
              </w:rPr>
              <w:t xml:space="preserve"> </w:t>
            </w:r>
            <w:r w:rsidRPr="00610B1B">
              <w:rPr>
                <w:rFonts w:cs="Times New Roman"/>
                <w:sz w:val="20"/>
                <w:szCs w:val="20"/>
              </w:rPr>
              <w:t>Обн. ДВ бр. 112/27.12.1995 г. изм. и доп. ДВ бр. 17/25.02.2020 г.</w:t>
            </w:r>
          </w:p>
          <w:p w14:paraId="70C27548" w14:textId="780445D0"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lastRenderedPageBreak/>
              <w:t>Устройствен правилник</w:t>
            </w:r>
          </w:p>
        </w:tc>
      </w:tr>
      <w:tr w:rsidR="00D41A32" w:rsidRPr="00610B1B" w14:paraId="4A41A968" w14:textId="77777777" w:rsidTr="009D32BB">
        <w:tc>
          <w:tcPr>
            <w:tcW w:w="2126" w:type="dxa"/>
            <w:vAlign w:val="center"/>
          </w:tcPr>
          <w:p w14:paraId="105267E0" w14:textId="03DBA6F0"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lastRenderedPageBreak/>
              <w:t>ТУ Варна</w:t>
            </w:r>
          </w:p>
        </w:tc>
        <w:tc>
          <w:tcPr>
            <w:tcW w:w="4396" w:type="dxa"/>
          </w:tcPr>
          <w:p w14:paraId="4467C428" w14:textId="45467E18"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Подготовка на кадри, научни изследвания</w:t>
            </w:r>
          </w:p>
        </w:tc>
        <w:tc>
          <w:tcPr>
            <w:tcW w:w="3543" w:type="dxa"/>
          </w:tcPr>
          <w:p w14:paraId="5BDD0CD2" w14:textId="669AF4AC"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Устройствен правилник</w:t>
            </w:r>
          </w:p>
        </w:tc>
      </w:tr>
      <w:tr w:rsidR="00D41A32" w:rsidRPr="005C2B9F" w14:paraId="28222066" w14:textId="77777777" w:rsidTr="009D32BB">
        <w:tc>
          <w:tcPr>
            <w:tcW w:w="2126" w:type="dxa"/>
            <w:vAlign w:val="center"/>
          </w:tcPr>
          <w:p w14:paraId="6ACA6139" w14:textId="1476597E"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ТУ София</w:t>
            </w:r>
          </w:p>
        </w:tc>
        <w:tc>
          <w:tcPr>
            <w:tcW w:w="4396" w:type="dxa"/>
          </w:tcPr>
          <w:p w14:paraId="7100B300" w14:textId="3E5D3A36"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Подготовка на кадри, научни изследвания</w:t>
            </w:r>
          </w:p>
        </w:tc>
        <w:tc>
          <w:tcPr>
            <w:tcW w:w="3543" w:type="dxa"/>
          </w:tcPr>
          <w:p w14:paraId="42E00B66" w14:textId="3761024C"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https://tu-sofia.bg/kcfinder/upload/files/Pravilnik_TU_12_2017.pdf</w:t>
            </w:r>
          </w:p>
        </w:tc>
      </w:tr>
      <w:tr w:rsidR="00D41A32" w:rsidRPr="005C2B9F" w14:paraId="0CF3F10B" w14:textId="77777777" w:rsidTr="009D32BB">
        <w:tc>
          <w:tcPr>
            <w:tcW w:w="2126" w:type="dxa"/>
            <w:vAlign w:val="center"/>
          </w:tcPr>
          <w:p w14:paraId="42C18FD0" w14:textId="6D23FDA2"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Тракийски университет </w:t>
            </w:r>
            <w:r w:rsidR="00774CD7" w:rsidRPr="00610B1B">
              <w:rPr>
                <w:rFonts w:cs="Times New Roman"/>
                <w:sz w:val="20"/>
                <w:szCs w:val="20"/>
              </w:rPr>
              <w:t>–</w:t>
            </w:r>
            <w:r w:rsidR="00D66FE0" w:rsidRPr="00610B1B">
              <w:rPr>
                <w:rFonts w:cs="Times New Roman"/>
                <w:sz w:val="20"/>
                <w:szCs w:val="20"/>
              </w:rPr>
              <w:t xml:space="preserve"> </w:t>
            </w:r>
            <w:r w:rsidRPr="00610B1B">
              <w:rPr>
                <w:rFonts w:cs="Times New Roman"/>
                <w:sz w:val="20"/>
                <w:szCs w:val="20"/>
              </w:rPr>
              <w:t>Стара</w:t>
            </w:r>
            <w:r w:rsidR="00774CD7" w:rsidRPr="00610B1B">
              <w:rPr>
                <w:rFonts w:cs="Times New Roman"/>
                <w:sz w:val="20"/>
                <w:szCs w:val="20"/>
              </w:rPr>
              <w:t> </w:t>
            </w:r>
            <w:r w:rsidRPr="00610B1B">
              <w:rPr>
                <w:rFonts w:cs="Times New Roman"/>
                <w:sz w:val="20"/>
                <w:szCs w:val="20"/>
              </w:rPr>
              <w:t>Загора</w:t>
            </w:r>
          </w:p>
        </w:tc>
        <w:tc>
          <w:tcPr>
            <w:tcW w:w="4396" w:type="dxa"/>
          </w:tcPr>
          <w:p w14:paraId="16B6F6D5" w14:textId="74098F4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Подготовка на кадри в областта на Рибарството и аквакултурите</w:t>
            </w:r>
          </w:p>
        </w:tc>
        <w:tc>
          <w:tcPr>
            <w:tcW w:w="3543" w:type="dxa"/>
          </w:tcPr>
          <w:p w14:paraId="0427FBCF" w14:textId="77777777" w:rsidR="00D41A32" w:rsidRPr="00610B1B" w:rsidRDefault="00D41A32" w:rsidP="00D41A32">
            <w:pPr>
              <w:pStyle w:val="BodyText"/>
              <w:spacing w:before="0" w:after="0" w:line="240" w:lineRule="auto"/>
              <w:rPr>
                <w:rFonts w:cs="Times New Roman"/>
                <w:sz w:val="20"/>
                <w:szCs w:val="20"/>
              </w:rPr>
            </w:pPr>
          </w:p>
        </w:tc>
      </w:tr>
      <w:tr w:rsidR="00D41A32" w:rsidRPr="00610B1B" w14:paraId="0A074542" w14:textId="77777777" w:rsidTr="009D32BB">
        <w:tc>
          <w:tcPr>
            <w:tcW w:w="10065" w:type="dxa"/>
            <w:gridSpan w:val="3"/>
            <w:shd w:val="clear" w:color="auto" w:fill="B8CCE4" w:themeFill="accent1" w:themeFillTint="66"/>
            <w:vAlign w:val="center"/>
          </w:tcPr>
          <w:p w14:paraId="4EFAE3F0" w14:textId="16FD2357" w:rsidR="00D41A32" w:rsidRPr="00610B1B" w:rsidRDefault="00D41A32" w:rsidP="00D41A32">
            <w:pPr>
              <w:pStyle w:val="BodyText"/>
              <w:spacing w:before="0" w:after="0" w:line="240" w:lineRule="auto"/>
              <w:jc w:val="center"/>
              <w:rPr>
                <w:rFonts w:cs="Times New Roman"/>
                <w:b/>
                <w:bCs/>
                <w:sz w:val="20"/>
                <w:szCs w:val="20"/>
              </w:rPr>
            </w:pPr>
            <w:r w:rsidRPr="00610B1B">
              <w:rPr>
                <w:rFonts w:cs="Times New Roman"/>
                <w:b/>
                <w:bCs/>
                <w:sz w:val="20"/>
                <w:szCs w:val="20"/>
              </w:rPr>
              <w:t>Областно ниво</w:t>
            </w:r>
          </w:p>
        </w:tc>
      </w:tr>
      <w:tr w:rsidR="00D41A32" w:rsidRPr="005C2B9F" w14:paraId="118EF47B" w14:textId="77777777" w:rsidTr="009D32BB">
        <w:tc>
          <w:tcPr>
            <w:tcW w:w="2126" w:type="dxa"/>
            <w:vAlign w:val="center"/>
          </w:tcPr>
          <w:p w14:paraId="7561CCC2" w14:textId="1FEF7880"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Областна администрация, Добрич, Варна и Бургас</w:t>
            </w:r>
          </w:p>
        </w:tc>
        <w:tc>
          <w:tcPr>
            <w:tcW w:w="4396" w:type="dxa"/>
          </w:tcPr>
          <w:p w14:paraId="43F91C19" w14:textId="785035EF"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Участват в процеса на съгласуване на ОУПО на черноморските общини преди обнародването на решенията за одобряването им в Държавен вестник.</w:t>
            </w:r>
          </w:p>
        </w:tc>
        <w:tc>
          <w:tcPr>
            <w:tcW w:w="3543" w:type="dxa"/>
          </w:tcPr>
          <w:p w14:paraId="46B7BB08" w14:textId="5B000E7A"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Закон за устройство на територията, обн. ДВ бр. 1./02.01.2000 г., изм.</w:t>
            </w:r>
            <w:r w:rsidR="00D66FE0" w:rsidRPr="00610B1B">
              <w:rPr>
                <w:rFonts w:cs="Times New Roman"/>
                <w:sz w:val="20"/>
                <w:szCs w:val="20"/>
              </w:rPr>
              <w:t xml:space="preserve"> </w:t>
            </w:r>
            <w:r w:rsidRPr="00610B1B">
              <w:rPr>
                <w:rFonts w:cs="Times New Roman"/>
                <w:sz w:val="20"/>
                <w:szCs w:val="20"/>
              </w:rPr>
              <w:t>ДВ.</w:t>
            </w:r>
            <w:r w:rsidRPr="00610B1B">
              <w:rPr>
                <w:rFonts w:cs="Times New Roman"/>
                <w:sz w:val="20"/>
                <w:szCs w:val="20"/>
                <w:shd w:val="clear" w:color="auto" w:fill="FEFEFE"/>
              </w:rPr>
              <w:t xml:space="preserve">бр.107 от 18.12.2020г., </w:t>
            </w:r>
            <w:r w:rsidRPr="00610B1B">
              <w:rPr>
                <w:rFonts w:cs="Times New Roman"/>
                <w:sz w:val="20"/>
                <w:szCs w:val="20"/>
              </w:rPr>
              <w:t xml:space="preserve">ЗУЧК. </w:t>
            </w:r>
          </w:p>
        </w:tc>
      </w:tr>
      <w:tr w:rsidR="00D41A32" w:rsidRPr="005C2B9F" w14:paraId="7EB15BA9" w14:textId="77777777" w:rsidTr="009D32BB">
        <w:tc>
          <w:tcPr>
            <w:tcW w:w="2126" w:type="dxa"/>
            <w:vAlign w:val="center"/>
          </w:tcPr>
          <w:p w14:paraId="030101AC" w14:textId="52472AF9"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Областен съвет за развитие</w:t>
            </w:r>
          </w:p>
        </w:tc>
        <w:tc>
          <w:tcPr>
            <w:tcW w:w="4396" w:type="dxa"/>
          </w:tcPr>
          <w:p w14:paraId="58A9D10A" w14:textId="36C9B6A2"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Приема решения за сключване на споразумения за сътрудничество с други области в страната и извън нея за осъществяване на съвместни дейности по регионалното развитие и териториалното сътрудничество. </w:t>
            </w:r>
          </w:p>
        </w:tc>
        <w:tc>
          <w:tcPr>
            <w:tcW w:w="3543" w:type="dxa"/>
          </w:tcPr>
          <w:p w14:paraId="05C55743" w14:textId="4CF8A0B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Правилник за прилагане на Закона за регионалното развитие, проект 2020 г.</w:t>
            </w:r>
          </w:p>
        </w:tc>
      </w:tr>
      <w:tr w:rsidR="00D41A32" w:rsidRPr="00610B1B" w14:paraId="58AD76E8" w14:textId="77777777" w:rsidTr="009D32BB">
        <w:tc>
          <w:tcPr>
            <w:tcW w:w="10065" w:type="dxa"/>
            <w:gridSpan w:val="3"/>
            <w:shd w:val="clear" w:color="auto" w:fill="B8CCE4" w:themeFill="accent1" w:themeFillTint="66"/>
            <w:vAlign w:val="center"/>
          </w:tcPr>
          <w:p w14:paraId="5F6FA22D" w14:textId="785C1237" w:rsidR="00D41A32" w:rsidRPr="00610B1B" w:rsidRDefault="00D41A32" w:rsidP="00D41A32">
            <w:pPr>
              <w:pStyle w:val="BodyText"/>
              <w:spacing w:before="0" w:after="0" w:line="240" w:lineRule="auto"/>
              <w:jc w:val="center"/>
              <w:rPr>
                <w:rFonts w:cs="Times New Roman"/>
                <w:b/>
                <w:bCs/>
                <w:sz w:val="20"/>
                <w:szCs w:val="20"/>
              </w:rPr>
            </w:pPr>
            <w:r w:rsidRPr="00610B1B">
              <w:rPr>
                <w:rFonts w:cs="Times New Roman"/>
                <w:b/>
                <w:bCs/>
                <w:sz w:val="20"/>
                <w:szCs w:val="20"/>
              </w:rPr>
              <w:t>Общинско ниво</w:t>
            </w:r>
          </w:p>
        </w:tc>
      </w:tr>
      <w:tr w:rsidR="00D41A32" w:rsidRPr="00610B1B" w14:paraId="43E1E5AA" w14:textId="77777777" w:rsidTr="009D32BB">
        <w:tc>
          <w:tcPr>
            <w:tcW w:w="2126" w:type="dxa"/>
            <w:vMerge w:val="restart"/>
            <w:vAlign w:val="center"/>
          </w:tcPr>
          <w:p w14:paraId="34F26B6B" w14:textId="1A1619C1"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Общинска администрация, Черноморски общини</w:t>
            </w:r>
          </w:p>
        </w:tc>
        <w:tc>
          <w:tcPr>
            <w:tcW w:w="4396" w:type="dxa"/>
          </w:tcPr>
          <w:p w14:paraId="530FC694" w14:textId="4C5FB7D6"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Общинските администрации в 14-те Черноморски общини подпомагат изработването на проектите за общи устройствени планове на селищно образувание с национално значение и на общините по Закона за устройството на Черноморското крайбрежие в съответствие със заповедта на министъра на регионалното развитие и благоустройството и участват в процеса на съгласуването им.</w:t>
            </w:r>
          </w:p>
        </w:tc>
        <w:tc>
          <w:tcPr>
            <w:tcW w:w="3543" w:type="dxa"/>
          </w:tcPr>
          <w:p w14:paraId="1F420C63" w14:textId="53A7649A"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 xml:space="preserve">Наредба за опазване на околната среда в морските води, обн. ДВ бр. 94/30.11.2010 г., изм. и доп. ДВ бр. 14/18.02.2020 г. </w:t>
            </w:r>
          </w:p>
        </w:tc>
      </w:tr>
      <w:tr w:rsidR="00D41A32" w:rsidRPr="00610B1B" w14:paraId="7009D0AF" w14:textId="77777777" w:rsidTr="009D32BB">
        <w:tc>
          <w:tcPr>
            <w:tcW w:w="2126" w:type="dxa"/>
            <w:vMerge/>
            <w:vAlign w:val="center"/>
          </w:tcPr>
          <w:p w14:paraId="303711DD" w14:textId="77777777" w:rsidR="00D41A32" w:rsidRPr="00610B1B" w:rsidRDefault="00D41A32" w:rsidP="00D41A32">
            <w:pPr>
              <w:pStyle w:val="BodyText"/>
              <w:spacing w:before="0" w:after="0" w:line="240" w:lineRule="auto"/>
              <w:jc w:val="left"/>
              <w:rPr>
                <w:rFonts w:cs="Times New Roman"/>
                <w:sz w:val="20"/>
                <w:szCs w:val="20"/>
              </w:rPr>
            </w:pPr>
          </w:p>
        </w:tc>
        <w:tc>
          <w:tcPr>
            <w:tcW w:w="4396" w:type="dxa"/>
          </w:tcPr>
          <w:p w14:paraId="4BB5213A" w14:textId="015FEAEC"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Участват в процеса на подготовка, разработване, консултиране и одобряване на Подробните устройствени планове/Генерални и Парцеларни планове на пристанищата.</w:t>
            </w:r>
          </w:p>
        </w:tc>
        <w:tc>
          <w:tcPr>
            <w:tcW w:w="3543" w:type="dxa"/>
          </w:tcPr>
          <w:p w14:paraId="2DCF74DD"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Чл. 10а ал. 1 от Закона за водите, </w:t>
            </w:r>
          </w:p>
          <w:p w14:paraId="7EC89505" w14:textId="0AC303B3" w:rsidR="00D41A32" w:rsidRPr="00610B1B" w:rsidRDefault="00D41A32" w:rsidP="00D41A32">
            <w:pPr>
              <w:pStyle w:val="BodyText"/>
              <w:spacing w:before="0" w:after="0" w:line="240" w:lineRule="auto"/>
              <w:rPr>
                <w:rFonts w:cs="Times New Roman"/>
                <w:sz w:val="20"/>
                <w:szCs w:val="20"/>
              </w:rPr>
            </w:pPr>
            <w:r w:rsidRPr="00610B1B">
              <w:rPr>
                <w:rFonts w:cs="Times New Roman"/>
                <w:sz w:val="20"/>
                <w:szCs w:val="20"/>
              </w:rPr>
              <w:t>Обн. ДВ. бр.67/27.07.1999 г., изм. ДВ бр. 52/09.06.2020 г.</w:t>
            </w:r>
          </w:p>
        </w:tc>
      </w:tr>
      <w:tr w:rsidR="00D41A32" w:rsidRPr="00610B1B" w14:paraId="6EB83701" w14:textId="77777777" w:rsidTr="009D32BB">
        <w:tc>
          <w:tcPr>
            <w:tcW w:w="2126" w:type="dxa"/>
            <w:vAlign w:val="center"/>
          </w:tcPr>
          <w:p w14:paraId="519A2CF9" w14:textId="5B653B92"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Общински съвет</w:t>
            </w:r>
          </w:p>
        </w:tc>
        <w:tc>
          <w:tcPr>
            <w:tcW w:w="4396" w:type="dxa"/>
          </w:tcPr>
          <w:p w14:paraId="22BC350F" w14:textId="53AC579A"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Одобрява Общи и Подробни устройствени планове, свързани с устройство на територията и парцеларни планове на акваторията и ТИ. </w:t>
            </w:r>
          </w:p>
        </w:tc>
        <w:tc>
          <w:tcPr>
            <w:tcW w:w="3543" w:type="dxa"/>
          </w:tcPr>
          <w:p w14:paraId="02FE69A6" w14:textId="77777777"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Чл. 10а ал. 2 от Закона за водите,</w:t>
            </w:r>
          </w:p>
          <w:p w14:paraId="294C49CE" w14:textId="7527A632" w:rsidR="00D41A32" w:rsidRPr="00610B1B" w:rsidRDefault="00D41A32" w:rsidP="00D41A32">
            <w:pPr>
              <w:pStyle w:val="BodyText"/>
              <w:spacing w:before="0" w:after="0" w:line="240" w:lineRule="auto"/>
              <w:jc w:val="left"/>
              <w:rPr>
                <w:rFonts w:cs="Times New Roman"/>
                <w:sz w:val="20"/>
                <w:szCs w:val="20"/>
              </w:rPr>
            </w:pPr>
            <w:r w:rsidRPr="00610B1B">
              <w:rPr>
                <w:rFonts w:cs="Times New Roman"/>
                <w:sz w:val="20"/>
                <w:szCs w:val="20"/>
              </w:rPr>
              <w:t xml:space="preserve"> Обн. ДВ. бр.67/27.07.1999 г., изм. ДВ бр. 52/09.06.2020 г.</w:t>
            </w:r>
          </w:p>
        </w:tc>
      </w:tr>
    </w:tbl>
    <w:bookmarkEnd w:id="492"/>
    <w:p w14:paraId="2EDA6E07" w14:textId="77777777" w:rsidR="009F4237" w:rsidRPr="00610B1B" w:rsidRDefault="00A85910" w:rsidP="009F4237">
      <w:pPr>
        <w:pStyle w:val="BodyText"/>
        <w:spacing w:before="120" w:after="120" w:line="276" w:lineRule="auto"/>
        <w:rPr>
          <w:rFonts w:cs="Times New Roman"/>
        </w:rPr>
      </w:pPr>
      <w:r w:rsidRPr="00610B1B">
        <w:rPr>
          <w:rFonts w:cs="Times New Roman"/>
          <w:i/>
          <w:iCs/>
        </w:rPr>
        <w:t>Забележка</w:t>
      </w:r>
      <w:r w:rsidRPr="00610B1B">
        <w:rPr>
          <w:rFonts w:cs="Times New Roman"/>
        </w:rPr>
        <w:t xml:space="preserve">: В таблицата са систематизирани само най-важните правомощия и задължения на институциите и администрациите на национално, регионално, областно и общинско равнище, свързани с морското пространствено планиране. </w:t>
      </w:r>
    </w:p>
    <w:p w14:paraId="179FE8E0" w14:textId="6ABD6819" w:rsidR="0059309D" w:rsidRPr="00610B1B" w:rsidRDefault="00DE4B4C" w:rsidP="009F4237">
      <w:pPr>
        <w:pStyle w:val="Heading2"/>
        <w:rPr>
          <w:rFonts w:cs="Times New Roman"/>
        </w:rPr>
      </w:pPr>
      <w:r w:rsidRPr="00610B1B">
        <w:rPr>
          <w:rFonts w:cs="Times New Roman"/>
        </w:rPr>
        <w:br w:type="page"/>
      </w:r>
      <w:bookmarkStart w:id="496" w:name="_Toc83391440"/>
      <w:r w:rsidR="00F37D59" w:rsidRPr="00610B1B">
        <w:rPr>
          <w:rFonts w:cs="Times New Roman"/>
        </w:rPr>
        <w:lastRenderedPageBreak/>
        <w:t xml:space="preserve">7.2. </w:t>
      </w:r>
      <w:r w:rsidR="0059309D" w:rsidRPr="00610B1B">
        <w:rPr>
          <w:rFonts w:cs="Times New Roman"/>
        </w:rPr>
        <w:t>Поддържане, актуализиране и изменение на МППРБ</w:t>
      </w:r>
      <w:bookmarkEnd w:id="496"/>
    </w:p>
    <w:p w14:paraId="1CED5017" w14:textId="77777777" w:rsidR="0031677A" w:rsidRPr="00610B1B" w:rsidRDefault="0031677A" w:rsidP="0031677A">
      <w:pPr>
        <w:pStyle w:val="BodyText"/>
        <w:spacing w:after="120"/>
        <w:ind w:right="-153"/>
        <w:rPr>
          <w:rFonts w:cs="Times New Roman"/>
        </w:rPr>
      </w:pPr>
      <w:bookmarkStart w:id="497" w:name="_Hlk48404828"/>
      <w:r w:rsidRPr="00610B1B">
        <w:rPr>
          <w:rFonts w:cs="Times New Roman"/>
        </w:rPr>
        <w:t xml:space="preserve">Съгласно чл. 51е ал. 1 на ЗМПВВППРБ Морският пространствен план на Република България се приема от Националния експертен съвет по устройство на територията и регионална политика и се одобрява с решение на Министерския съвет по доклад на Министъра на регионалното развитие и благоустройството. </w:t>
      </w:r>
    </w:p>
    <w:p w14:paraId="57264EC8" w14:textId="77777777" w:rsidR="0031677A" w:rsidRPr="00610B1B" w:rsidRDefault="0031677A" w:rsidP="0031677A">
      <w:pPr>
        <w:pStyle w:val="BodyText"/>
        <w:spacing w:after="120"/>
        <w:ind w:right="-153"/>
        <w:rPr>
          <w:rFonts w:cs="Times New Roman"/>
        </w:rPr>
      </w:pPr>
      <w:r w:rsidRPr="00610B1B">
        <w:rPr>
          <w:rFonts w:cs="Times New Roman"/>
        </w:rPr>
        <w:t xml:space="preserve">Той подлежи на преразглеждане на всеки 10 години, следователно Министърът на регионалното развитие и благоустройството следва да възложи тази задача не по-късно от 2029 г. </w:t>
      </w:r>
    </w:p>
    <w:p w14:paraId="73A932FB" w14:textId="05DD56E7" w:rsidR="0031677A" w:rsidRPr="00610B1B" w:rsidRDefault="0031677A" w:rsidP="0031677A">
      <w:pPr>
        <w:pStyle w:val="BodyText"/>
        <w:spacing w:after="120"/>
        <w:ind w:right="-153"/>
        <w:rPr>
          <w:rFonts w:cs="Times New Roman"/>
        </w:rPr>
      </w:pPr>
      <w:r w:rsidRPr="00610B1B">
        <w:rPr>
          <w:rFonts w:cs="Times New Roman"/>
        </w:rPr>
        <w:t>Законът позволява морският пространствен план на Република България да бъде преразгледан и извън срока, ако настъпят съществени промени в обществено-икономическите условия, при които е бил одобрен.</w:t>
      </w:r>
      <w:r w:rsidR="00D66FE0" w:rsidRPr="00610B1B">
        <w:rPr>
          <w:rFonts w:cs="Times New Roman"/>
        </w:rPr>
        <w:t xml:space="preserve"> </w:t>
      </w:r>
      <w:r w:rsidRPr="00610B1B">
        <w:rPr>
          <w:rFonts w:cs="Times New Roman"/>
        </w:rPr>
        <w:t>Неговото изменение се възлага и изпълнява при условията на неговото създаване като се прилагат разпоредбите на ал. 1 от чл. 51е и чл. 51д.</w:t>
      </w:r>
    </w:p>
    <w:p w14:paraId="3D15CFB4" w14:textId="307EB182" w:rsidR="0031677A" w:rsidRPr="00610B1B" w:rsidRDefault="0031677A" w:rsidP="0031677A">
      <w:pPr>
        <w:pStyle w:val="BodyText"/>
        <w:spacing w:after="120"/>
        <w:ind w:right="-153"/>
        <w:rPr>
          <w:rFonts w:cs="Times New Roman"/>
        </w:rPr>
      </w:pPr>
      <w:r w:rsidRPr="00610B1B">
        <w:rPr>
          <w:rFonts w:cs="Times New Roman"/>
        </w:rPr>
        <w:t>Поддържането на Морския пространствен план на Република България се осъществява от неговия изпълнител – Националния център за териториално развитие ЕАД.</w:t>
      </w:r>
      <w:r w:rsidR="00D66FE0" w:rsidRPr="00610B1B">
        <w:rPr>
          <w:rFonts w:cs="Times New Roman"/>
        </w:rPr>
        <w:t xml:space="preserve"> </w:t>
      </w:r>
      <w:r w:rsidRPr="00610B1B">
        <w:rPr>
          <w:rFonts w:cs="Times New Roman"/>
        </w:rPr>
        <w:t xml:space="preserve">Експертният екип ще работи съвместно с всички заинтересовани страни, които трябва да предоставят актуалната информация, събирана за Европейските институции, и за целите на морското пространствено планиране в България. </w:t>
      </w:r>
    </w:p>
    <w:p w14:paraId="0B025DA7" w14:textId="77777777" w:rsidR="007D045E" w:rsidRPr="00610B1B" w:rsidRDefault="0031677A" w:rsidP="0031677A">
      <w:pPr>
        <w:pStyle w:val="BodyText"/>
        <w:spacing w:after="120"/>
        <w:ind w:right="-153"/>
        <w:rPr>
          <w:rFonts w:cs="Times New Roman"/>
        </w:rPr>
      </w:pPr>
      <w:r w:rsidRPr="00610B1B">
        <w:rPr>
          <w:rFonts w:cs="Times New Roman"/>
        </w:rPr>
        <w:t xml:space="preserve">Съгласно ЗООС и Решението на Компетентния орган по Екологичната оценка на МППРБ - Министерството на околната среда и водите, доклади за прилагането на Морския пространствен план, отразяващи напредъка по постигането на поставените цели в документа ще се изготвят на две години от Министъра на регионалното развитие и благоустройството със съдействието на всички заинтересовани страни и на Консултативния съвет. В тези доклади ще се отразява и връзката на плана с Морската стратегия и Програмата от мерки към нея, както и с всички останали национални стратегически документи в секторите, свързани с морските пространства на Република България. </w:t>
      </w:r>
    </w:p>
    <w:p w14:paraId="64508310" w14:textId="091D20D5" w:rsidR="00AE3125" w:rsidRPr="00610B1B" w:rsidRDefault="00DC54A6" w:rsidP="0031677A">
      <w:pPr>
        <w:pStyle w:val="BodyText"/>
        <w:spacing w:after="120"/>
        <w:ind w:right="-153"/>
        <w:rPr>
          <w:rFonts w:cs="Times New Roman"/>
        </w:rPr>
      </w:pPr>
      <w:r w:rsidRPr="00610B1B">
        <w:rPr>
          <w:rFonts w:cs="Times New Roman"/>
        </w:rPr>
        <w:t>Поддържането на М</w:t>
      </w:r>
      <w:r w:rsidR="00AE3125" w:rsidRPr="00610B1B">
        <w:rPr>
          <w:rFonts w:cs="Times New Roman"/>
        </w:rPr>
        <w:t xml:space="preserve">орския пространствен план на Република България 2021-2035 г. обхваща </w:t>
      </w:r>
      <w:r w:rsidRPr="00610B1B">
        <w:rPr>
          <w:rFonts w:cs="Times New Roman"/>
        </w:rPr>
        <w:t xml:space="preserve">проследяването на промените на всички негови </w:t>
      </w:r>
      <w:r w:rsidR="00D12A42" w:rsidRPr="00610B1B">
        <w:rPr>
          <w:rFonts w:cs="Times New Roman"/>
        </w:rPr>
        <w:t>компоненти</w:t>
      </w:r>
      <w:r w:rsidR="00AE3125" w:rsidRPr="00610B1B">
        <w:rPr>
          <w:rFonts w:cs="Times New Roman"/>
        </w:rPr>
        <w:t>:</w:t>
      </w:r>
      <w:r w:rsidR="00AE3125" w:rsidRPr="00610B1B">
        <w:rPr>
          <w:rFonts w:cs="Times New Roman"/>
        </w:rPr>
        <w:tab/>
      </w:r>
    </w:p>
    <w:p w14:paraId="3DC06590" w14:textId="4E3B3D64" w:rsidR="00890297" w:rsidRPr="00610B1B" w:rsidRDefault="00AE3125" w:rsidP="00B46189">
      <w:pPr>
        <w:pStyle w:val="BodyText"/>
        <w:numPr>
          <w:ilvl w:val="0"/>
          <w:numId w:val="101"/>
        </w:numPr>
        <w:spacing w:after="120"/>
        <w:ind w:right="-153"/>
        <w:rPr>
          <w:rFonts w:cs="Times New Roman"/>
        </w:rPr>
      </w:pPr>
      <w:r w:rsidRPr="00610B1B">
        <w:rPr>
          <w:rFonts w:cs="Times New Roman"/>
        </w:rPr>
        <w:t>Текстова част, съдържаща</w:t>
      </w:r>
      <w:r w:rsidR="00697416" w:rsidRPr="00610B1B">
        <w:rPr>
          <w:rFonts w:cs="Times New Roman"/>
        </w:rPr>
        <w:t>:</w:t>
      </w:r>
      <w:r w:rsidRPr="00610B1B">
        <w:rPr>
          <w:rFonts w:cs="Times New Roman"/>
        </w:rPr>
        <w:t xml:space="preserve"> анализи на нормативната уредба, на текущото състояние на компонентите на средата, прогнози и сценарии за развитие на морските пространства и дейностите, осъществявани в тях, стратегически пакет от визия, стратегически и специфични цели, функционално зониране, режими и ограничения</w:t>
      </w:r>
      <w:r w:rsidR="00890297" w:rsidRPr="00610B1B">
        <w:rPr>
          <w:rFonts w:cs="Times New Roman"/>
        </w:rPr>
        <w:t xml:space="preserve"> </w:t>
      </w:r>
      <w:r w:rsidRPr="00610B1B">
        <w:rPr>
          <w:rFonts w:cs="Times New Roman"/>
        </w:rPr>
        <w:t>в ползване</w:t>
      </w:r>
      <w:r w:rsidR="00890297" w:rsidRPr="00610B1B">
        <w:rPr>
          <w:rFonts w:cs="Times New Roman"/>
        </w:rPr>
        <w:t>то</w:t>
      </w:r>
      <w:r w:rsidRPr="00610B1B">
        <w:rPr>
          <w:rFonts w:cs="Times New Roman"/>
        </w:rPr>
        <w:t xml:space="preserve"> на </w:t>
      </w:r>
      <w:r w:rsidR="00890297" w:rsidRPr="00610B1B">
        <w:rPr>
          <w:rFonts w:cs="Times New Roman"/>
        </w:rPr>
        <w:t xml:space="preserve">морските </w:t>
      </w:r>
      <w:r w:rsidR="009E01EF" w:rsidRPr="00610B1B">
        <w:rPr>
          <w:rFonts w:cs="Times New Roman"/>
        </w:rPr>
        <w:t>пространства</w:t>
      </w:r>
      <w:r w:rsidRPr="00610B1B">
        <w:rPr>
          <w:rFonts w:cs="Times New Roman"/>
        </w:rPr>
        <w:t xml:space="preserve"> в обхвата на МППРБ</w:t>
      </w:r>
      <w:r w:rsidR="00890297" w:rsidRPr="00610B1B">
        <w:rPr>
          <w:rFonts w:cs="Times New Roman"/>
        </w:rPr>
        <w:t xml:space="preserve"> и препоръки към участващите институции в прилагането на плана</w:t>
      </w:r>
      <w:r w:rsidRPr="00610B1B">
        <w:rPr>
          <w:rFonts w:cs="Times New Roman"/>
        </w:rPr>
        <w:t>;</w:t>
      </w:r>
    </w:p>
    <w:p w14:paraId="1D998F8A" w14:textId="6E1C5CF4" w:rsidR="00890297" w:rsidRPr="00610B1B" w:rsidRDefault="00AE3125" w:rsidP="00B46189">
      <w:pPr>
        <w:pStyle w:val="BodyText"/>
        <w:numPr>
          <w:ilvl w:val="0"/>
          <w:numId w:val="101"/>
        </w:numPr>
        <w:spacing w:after="120"/>
        <w:ind w:right="-153"/>
        <w:rPr>
          <w:rFonts w:cs="Times New Roman"/>
        </w:rPr>
      </w:pPr>
      <w:r w:rsidRPr="00610B1B">
        <w:rPr>
          <w:rFonts w:cs="Times New Roman"/>
        </w:rPr>
        <w:t>Тематични карти и графични материали, резултат от анализите, илюстриращи състояние</w:t>
      </w:r>
      <w:r w:rsidR="00890297" w:rsidRPr="00610B1B">
        <w:rPr>
          <w:rFonts w:cs="Times New Roman"/>
        </w:rPr>
        <w:t>то</w:t>
      </w:r>
      <w:r w:rsidRPr="00610B1B">
        <w:rPr>
          <w:rFonts w:cs="Times New Roman"/>
        </w:rPr>
        <w:t xml:space="preserve"> и прогнози</w:t>
      </w:r>
      <w:r w:rsidR="00890297" w:rsidRPr="00610B1B">
        <w:rPr>
          <w:rFonts w:cs="Times New Roman"/>
        </w:rPr>
        <w:t>те</w:t>
      </w:r>
      <w:r w:rsidRPr="00610B1B">
        <w:rPr>
          <w:rFonts w:cs="Times New Roman"/>
        </w:rPr>
        <w:t xml:space="preserve"> за развитие, включително и</w:t>
      </w:r>
      <w:r w:rsidR="00890297" w:rsidRPr="00610B1B">
        <w:rPr>
          <w:rFonts w:cs="Times New Roman"/>
        </w:rPr>
        <w:t xml:space="preserve"> </w:t>
      </w:r>
      <w:r w:rsidRPr="00610B1B">
        <w:rPr>
          <w:rFonts w:cs="Times New Roman"/>
        </w:rPr>
        <w:t>графични изображения на МППРБ</w:t>
      </w:r>
      <w:r w:rsidR="00890297" w:rsidRPr="00610B1B">
        <w:rPr>
          <w:rFonts w:cs="Times New Roman"/>
        </w:rPr>
        <w:t>, синтезиращ</w:t>
      </w:r>
      <w:r w:rsidR="00697416" w:rsidRPr="00610B1B">
        <w:rPr>
          <w:rFonts w:cs="Times New Roman"/>
        </w:rPr>
        <w:t>и</w:t>
      </w:r>
      <w:r w:rsidR="00890297" w:rsidRPr="00610B1B">
        <w:rPr>
          <w:rFonts w:cs="Times New Roman"/>
        </w:rPr>
        <w:t xml:space="preserve"> всички по-важни предвиждания в секторите на синята икономика, осъществяващи де</w:t>
      </w:r>
      <w:r w:rsidR="00697416" w:rsidRPr="00610B1B">
        <w:rPr>
          <w:rFonts w:cs="Times New Roman"/>
        </w:rPr>
        <w:t>й</w:t>
      </w:r>
      <w:r w:rsidR="00890297" w:rsidRPr="00610B1B">
        <w:rPr>
          <w:rFonts w:cs="Times New Roman"/>
        </w:rPr>
        <w:t xml:space="preserve">ността си в националните морски пространства на </w:t>
      </w:r>
      <w:r w:rsidR="00890297" w:rsidRPr="00610B1B">
        <w:rPr>
          <w:rFonts w:cs="Times New Roman"/>
        </w:rPr>
        <w:lastRenderedPageBreak/>
        <w:t>принципите на устойчивото развитие</w:t>
      </w:r>
      <w:r w:rsidRPr="00610B1B">
        <w:rPr>
          <w:rFonts w:cs="Times New Roman"/>
        </w:rPr>
        <w:t>;</w:t>
      </w:r>
    </w:p>
    <w:p w14:paraId="2CDD0D29" w14:textId="3C8F78B2" w:rsidR="00890297" w:rsidRPr="00610B1B" w:rsidRDefault="00890297" w:rsidP="00B46189">
      <w:pPr>
        <w:pStyle w:val="BodyText"/>
        <w:numPr>
          <w:ilvl w:val="0"/>
          <w:numId w:val="101"/>
        </w:numPr>
        <w:spacing w:after="120"/>
        <w:ind w:right="-153"/>
        <w:rPr>
          <w:rFonts w:cs="Times New Roman"/>
        </w:rPr>
      </w:pPr>
      <w:r w:rsidRPr="00610B1B">
        <w:rPr>
          <w:rFonts w:cs="Times New Roman"/>
        </w:rPr>
        <w:t>Екологична оценка на МППРБ, разработена съгласно действащото законодателство и обхващаща текущото състояние на компонентите и факторите на морската околна среда и прилежащата крайбрежна зона, оценка на потенциалните въздействия на предвижданията на плана</w:t>
      </w:r>
      <w:r w:rsidR="00CE28E6" w:rsidRPr="00610B1B">
        <w:rPr>
          <w:rFonts w:cs="Times New Roman"/>
        </w:rPr>
        <w:t>,</w:t>
      </w:r>
      <w:r w:rsidRPr="00610B1B">
        <w:rPr>
          <w:rFonts w:cs="Times New Roman"/>
        </w:rPr>
        <w:t xml:space="preserve"> </w:t>
      </w:r>
      <w:r w:rsidR="00697416" w:rsidRPr="00610B1B">
        <w:rPr>
          <w:rFonts w:cs="Times New Roman"/>
        </w:rPr>
        <w:t xml:space="preserve">необходимите </w:t>
      </w:r>
      <w:r w:rsidRPr="00610B1B">
        <w:rPr>
          <w:rFonts w:cs="Times New Roman"/>
        </w:rPr>
        <w:t>мерки за намаляване на негативните въздействия или пълното им отстраняване, вк</w:t>
      </w:r>
      <w:r w:rsidR="00697416" w:rsidRPr="00610B1B">
        <w:rPr>
          <w:rFonts w:cs="Times New Roman"/>
        </w:rPr>
        <w:t>л</w:t>
      </w:r>
      <w:r w:rsidRPr="00610B1B">
        <w:rPr>
          <w:rFonts w:cs="Times New Roman"/>
        </w:rPr>
        <w:t>ючително и на тези в трансграничен контекст</w:t>
      </w:r>
      <w:r w:rsidR="009F4237" w:rsidRPr="00610B1B">
        <w:rPr>
          <w:rFonts w:cs="Times New Roman"/>
        </w:rPr>
        <w:t xml:space="preserve"> – проследяване и докладване на изпълнението на мерките</w:t>
      </w:r>
      <w:r w:rsidRPr="00610B1B">
        <w:rPr>
          <w:rFonts w:cs="Times New Roman"/>
        </w:rPr>
        <w:t>;</w:t>
      </w:r>
    </w:p>
    <w:p w14:paraId="4A79924B" w14:textId="77777777" w:rsidR="00890297" w:rsidRPr="00610B1B" w:rsidRDefault="00AE3125" w:rsidP="00B46189">
      <w:pPr>
        <w:pStyle w:val="BodyText"/>
        <w:numPr>
          <w:ilvl w:val="0"/>
          <w:numId w:val="101"/>
        </w:numPr>
        <w:spacing w:after="120"/>
        <w:ind w:right="-153"/>
        <w:rPr>
          <w:rFonts w:cs="Times New Roman"/>
        </w:rPr>
      </w:pPr>
      <w:r w:rsidRPr="00610B1B">
        <w:rPr>
          <w:rFonts w:cs="Times New Roman"/>
        </w:rPr>
        <w:t xml:space="preserve">ГИС база данни – пространствена информация за обектите в </w:t>
      </w:r>
      <w:r w:rsidR="00890297" w:rsidRPr="00610B1B">
        <w:rPr>
          <w:rFonts w:cs="Times New Roman"/>
        </w:rPr>
        <w:t xml:space="preserve">обхвата </w:t>
      </w:r>
      <w:r w:rsidRPr="00610B1B">
        <w:rPr>
          <w:rFonts w:cs="Times New Roman"/>
        </w:rPr>
        <w:t xml:space="preserve">на </w:t>
      </w:r>
      <w:r w:rsidR="00890297" w:rsidRPr="00610B1B">
        <w:rPr>
          <w:rFonts w:cs="Times New Roman"/>
        </w:rPr>
        <w:t>МППРБ</w:t>
      </w:r>
      <w:r w:rsidRPr="00610B1B">
        <w:rPr>
          <w:rFonts w:cs="Times New Roman"/>
        </w:rPr>
        <w:t>, граници, очертания и характеристики на обектите в цифров вид с координати в референтна координатна система;</w:t>
      </w:r>
    </w:p>
    <w:p w14:paraId="15410690" w14:textId="0E10C730" w:rsidR="00AE3125" w:rsidRPr="00610B1B" w:rsidRDefault="00AE3125" w:rsidP="00B46189">
      <w:pPr>
        <w:pStyle w:val="BodyText"/>
        <w:numPr>
          <w:ilvl w:val="0"/>
          <w:numId w:val="101"/>
        </w:numPr>
        <w:spacing w:after="120"/>
        <w:ind w:right="-153"/>
        <w:rPr>
          <w:rFonts w:cs="Times New Roman"/>
        </w:rPr>
      </w:pPr>
      <w:r w:rsidRPr="00610B1B">
        <w:rPr>
          <w:rFonts w:cs="Times New Roman"/>
        </w:rPr>
        <w:t>Информационна платформа, която обединява останалите компоненти на плана</w:t>
      </w:r>
      <w:r w:rsidR="00D12A42" w:rsidRPr="00610B1B">
        <w:rPr>
          <w:rFonts w:cs="Times New Roman"/>
        </w:rPr>
        <w:t>,</w:t>
      </w:r>
      <w:r w:rsidRPr="00610B1B">
        <w:rPr>
          <w:rFonts w:cs="Times New Roman"/>
        </w:rPr>
        <w:t xml:space="preserve"> предоставя уеб услуги с информация за обектите на МППРБ</w:t>
      </w:r>
      <w:r w:rsidR="00D12A42" w:rsidRPr="00610B1B">
        <w:rPr>
          <w:rFonts w:cs="Times New Roman"/>
        </w:rPr>
        <w:t xml:space="preserve"> и служи за координиране на секторните политики, за прилагането и наблюдението на приложението на плана</w:t>
      </w:r>
      <w:r w:rsidRPr="00610B1B">
        <w:rPr>
          <w:rFonts w:cs="Times New Roman"/>
        </w:rPr>
        <w:t>.</w:t>
      </w:r>
    </w:p>
    <w:p w14:paraId="557600E1" w14:textId="11145633" w:rsidR="00697416" w:rsidRPr="00610B1B" w:rsidRDefault="00AE3125" w:rsidP="00AE3125">
      <w:pPr>
        <w:pStyle w:val="BodyText"/>
        <w:spacing w:before="0" w:after="120" w:line="276" w:lineRule="auto"/>
        <w:ind w:right="-153"/>
        <w:rPr>
          <w:rFonts w:cs="Times New Roman"/>
        </w:rPr>
      </w:pPr>
      <w:r w:rsidRPr="00610B1B">
        <w:rPr>
          <w:rFonts w:cs="Times New Roman"/>
        </w:rPr>
        <w:t xml:space="preserve">В този контекст поддържането на МППРБ обхваща актуализиране на всеки един от изброените компоненти, в резултат на настъпили изменения в нормативната база, отговорностите на компетентните органи и предоставяната от тях информация, в данните за обектите на плана. </w:t>
      </w:r>
    </w:p>
    <w:p w14:paraId="55BCB436" w14:textId="77777777" w:rsidR="009F4237" w:rsidRPr="00610B1B" w:rsidRDefault="00697416" w:rsidP="00697416">
      <w:pPr>
        <w:pStyle w:val="BodyText"/>
        <w:spacing w:before="0" w:after="120" w:line="276" w:lineRule="auto"/>
        <w:ind w:right="-153"/>
        <w:rPr>
          <w:rFonts w:cs="Times New Roman"/>
        </w:rPr>
      </w:pPr>
      <w:r w:rsidRPr="00610B1B">
        <w:rPr>
          <w:rFonts w:cs="Times New Roman"/>
        </w:rPr>
        <w:t>Методиката за поддържане и актуализация на МППРБ ще се разглежда в два аспекта</w:t>
      </w:r>
      <w:r w:rsidR="00CE28E6" w:rsidRPr="00610B1B">
        <w:rPr>
          <w:rFonts w:cs="Times New Roman"/>
        </w:rPr>
        <w:t>:</w:t>
      </w:r>
      <w:r w:rsidR="009F4237" w:rsidRPr="00610B1B">
        <w:rPr>
          <w:rFonts w:cs="Times New Roman"/>
        </w:rPr>
        <w:t xml:space="preserve"> </w:t>
      </w:r>
      <w:r w:rsidRPr="00610B1B">
        <w:rPr>
          <w:rFonts w:cs="Times New Roman"/>
        </w:rPr>
        <w:t xml:space="preserve">а) институционален, установяващ връзка между отделните компетентни органи и б) технически, който реализира технологията на актуализация на данните и предоставяне на информация за обектите на плана. </w:t>
      </w:r>
    </w:p>
    <w:p w14:paraId="434BC29D" w14:textId="5D50E9F8" w:rsidR="00697416" w:rsidRPr="00610B1B" w:rsidRDefault="00697416" w:rsidP="00697416">
      <w:pPr>
        <w:pStyle w:val="BodyText"/>
        <w:spacing w:before="0" w:after="120" w:line="276" w:lineRule="auto"/>
        <w:ind w:right="-153"/>
        <w:rPr>
          <w:rFonts w:cs="Times New Roman"/>
        </w:rPr>
      </w:pPr>
      <w:r w:rsidRPr="00610B1B">
        <w:rPr>
          <w:rFonts w:cs="Times New Roman"/>
        </w:rPr>
        <w:t>В т</w:t>
      </w:r>
      <w:r w:rsidR="00DC54A6" w:rsidRPr="00610B1B">
        <w:rPr>
          <w:rFonts w:cs="Times New Roman"/>
        </w:rPr>
        <w:t xml:space="preserve">ози контекст </w:t>
      </w:r>
      <w:r w:rsidRPr="00610B1B">
        <w:rPr>
          <w:rFonts w:cs="Times New Roman"/>
        </w:rPr>
        <w:t>НЦТР играе важна роля в реализацията на връзката между компетентните органи, поддържащи и предоставящи информация за обектите на плана и поддържане на компонентите на МППРБ в актуално състояние.</w:t>
      </w:r>
    </w:p>
    <w:p w14:paraId="6755BCB3" w14:textId="638705FF" w:rsidR="00697416" w:rsidRPr="00610B1B" w:rsidRDefault="00584435" w:rsidP="00697416">
      <w:pPr>
        <w:pStyle w:val="BodyText"/>
        <w:spacing w:before="0" w:after="120" w:line="276" w:lineRule="auto"/>
        <w:ind w:right="-153"/>
        <w:rPr>
          <w:rFonts w:cs="Times New Roman"/>
        </w:rPr>
      </w:pPr>
      <w:bookmarkStart w:id="498" w:name="_Toc83391614"/>
      <w:r w:rsidRPr="00610B1B">
        <w:rPr>
          <w:rFonts w:cs="Times New Roman"/>
        </w:rPr>
        <w:t xml:space="preserve">Таблица </w:t>
      </w:r>
      <w:r w:rsidRPr="00610B1B">
        <w:rPr>
          <w:rFonts w:cs="Times New Roman"/>
        </w:rPr>
        <w:fldChar w:fldCharType="begin"/>
      </w:r>
      <w:r w:rsidRPr="00610B1B">
        <w:rPr>
          <w:rFonts w:cs="Times New Roman"/>
        </w:rPr>
        <w:instrText xml:space="preserve"> SEQ Таблица \* ARABIC </w:instrText>
      </w:r>
      <w:r w:rsidRPr="00610B1B">
        <w:rPr>
          <w:rFonts w:cs="Times New Roman"/>
        </w:rPr>
        <w:fldChar w:fldCharType="separate"/>
      </w:r>
      <w:r w:rsidR="00260629" w:rsidRPr="00610B1B">
        <w:rPr>
          <w:rFonts w:cs="Times New Roman"/>
          <w:noProof/>
        </w:rPr>
        <w:t>18</w:t>
      </w:r>
      <w:r w:rsidRPr="00610B1B">
        <w:rPr>
          <w:rFonts w:cs="Times New Roman"/>
        </w:rPr>
        <w:fldChar w:fldCharType="end"/>
      </w:r>
      <w:r w:rsidRPr="00610B1B">
        <w:rPr>
          <w:rFonts w:cs="Times New Roman"/>
        </w:rPr>
        <w:t xml:space="preserve">: </w:t>
      </w:r>
      <w:r w:rsidR="00697416" w:rsidRPr="00610B1B">
        <w:rPr>
          <w:rFonts w:cs="Times New Roman"/>
        </w:rPr>
        <w:t>Връзка между настъпили изменения, компетентни органи и дейностите, изпълнявани в НЦТР</w:t>
      </w:r>
      <w:bookmarkEnd w:id="498"/>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40"/>
        <w:gridCol w:w="3544"/>
      </w:tblGrid>
      <w:tr w:rsidR="00697416" w:rsidRPr="00610B1B" w14:paraId="5AE7B3B2" w14:textId="77777777" w:rsidTr="00774CD7">
        <w:trPr>
          <w:trHeight w:val="420"/>
          <w:tblHeader/>
        </w:trPr>
        <w:tc>
          <w:tcPr>
            <w:tcW w:w="2605" w:type="dxa"/>
            <w:tcBorders>
              <w:top w:val="single" w:sz="4" w:space="0" w:color="auto"/>
              <w:bottom w:val="single" w:sz="4" w:space="0" w:color="auto"/>
            </w:tcBorders>
            <w:shd w:val="clear" w:color="auto" w:fill="72DBE0"/>
            <w:vAlign w:val="center"/>
          </w:tcPr>
          <w:p w14:paraId="5F34FD36" w14:textId="77777777" w:rsidR="00697416" w:rsidRPr="00610B1B" w:rsidRDefault="00697416" w:rsidP="00366AFE">
            <w:pPr>
              <w:pStyle w:val="BodyText"/>
              <w:spacing w:before="0" w:after="0" w:line="240" w:lineRule="auto"/>
              <w:ind w:right="-153"/>
              <w:jc w:val="center"/>
              <w:rPr>
                <w:rFonts w:cs="Times New Roman"/>
                <w:b/>
                <w:bCs/>
                <w:sz w:val="20"/>
                <w:szCs w:val="20"/>
              </w:rPr>
            </w:pPr>
            <w:r w:rsidRPr="00610B1B">
              <w:rPr>
                <w:rFonts w:cs="Times New Roman"/>
                <w:b/>
                <w:bCs/>
                <w:sz w:val="20"/>
                <w:szCs w:val="20"/>
              </w:rPr>
              <w:t>Настъпили изменения</w:t>
            </w:r>
          </w:p>
        </w:tc>
        <w:tc>
          <w:tcPr>
            <w:tcW w:w="2640" w:type="dxa"/>
            <w:tcBorders>
              <w:top w:val="single" w:sz="4" w:space="0" w:color="auto"/>
              <w:bottom w:val="single" w:sz="4" w:space="0" w:color="auto"/>
            </w:tcBorders>
            <w:shd w:val="clear" w:color="auto" w:fill="72DBE0"/>
            <w:vAlign w:val="center"/>
          </w:tcPr>
          <w:p w14:paraId="0EE2E6D3" w14:textId="2396F2C4" w:rsidR="00697416" w:rsidRPr="00610B1B" w:rsidRDefault="00697416" w:rsidP="00366AFE">
            <w:pPr>
              <w:pStyle w:val="BodyText"/>
              <w:spacing w:before="0" w:after="0" w:line="240" w:lineRule="auto"/>
              <w:ind w:right="-153"/>
              <w:jc w:val="center"/>
              <w:rPr>
                <w:rFonts w:cs="Times New Roman"/>
                <w:b/>
                <w:bCs/>
                <w:sz w:val="20"/>
                <w:szCs w:val="20"/>
              </w:rPr>
            </w:pPr>
            <w:r w:rsidRPr="00610B1B">
              <w:rPr>
                <w:rFonts w:cs="Times New Roman"/>
                <w:b/>
                <w:bCs/>
                <w:sz w:val="20"/>
                <w:szCs w:val="20"/>
              </w:rPr>
              <w:t xml:space="preserve">Отговорност </w:t>
            </w:r>
            <w:r w:rsidR="007D045E" w:rsidRPr="00610B1B">
              <w:rPr>
                <w:rFonts w:cs="Times New Roman"/>
                <w:b/>
                <w:bCs/>
                <w:sz w:val="20"/>
                <w:szCs w:val="20"/>
              </w:rPr>
              <w:t>/</w:t>
            </w:r>
            <w:r w:rsidR="00366AFE" w:rsidRPr="00610B1B">
              <w:rPr>
                <w:rFonts w:cs="Times New Roman"/>
                <w:b/>
                <w:bCs/>
                <w:sz w:val="20"/>
                <w:szCs w:val="20"/>
              </w:rPr>
              <w:br/>
            </w:r>
            <w:r w:rsidRPr="00610B1B">
              <w:rPr>
                <w:rFonts w:cs="Times New Roman"/>
                <w:b/>
                <w:bCs/>
                <w:sz w:val="20"/>
                <w:szCs w:val="20"/>
              </w:rPr>
              <w:t>компетентен орган</w:t>
            </w:r>
          </w:p>
        </w:tc>
        <w:tc>
          <w:tcPr>
            <w:tcW w:w="3544" w:type="dxa"/>
            <w:tcBorders>
              <w:top w:val="single" w:sz="4" w:space="0" w:color="auto"/>
              <w:bottom w:val="single" w:sz="4" w:space="0" w:color="auto"/>
            </w:tcBorders>
            <w:shd w:val="clear" w:color="auto" w:fill="72DBE0"/>
            <w:vAlign w:val="center"/>
          </w:tcPr>
          <w:p w14:paraId="31BDD6D7" w14:textId="77777777" w:rsidR="00697416" w:rsidRPr="00610B1B" w:rsidRDefault="00697416" w:rsidP="00366AFE">
            <w:pPr>
              <w:pStyle w:val="BodyText"/>
              <w:spacing w:before="0" w:after="0" w:line="240" w:lineRule="auto"/>
              <w:ind w:right="-153"/>
              <w:jc w:val="center"/>
              <w:rPr>
                <w:rFonts w:cs="Times New Roman"/>
                <w:b/>
                <w:bCs/>
                <w:sz w:val="20"/>
                <w:szCs w:val="20"/>
              </w:rPr>
            </w:pPr>
            <w:r w:rsidRPr="00610B1B">
              <w:rPr>
                <w:rFonts w:cs="Times New Roman"/>
                <w:b/>
                <w:bCs/>
                <w:sz w:val="20"/>
                <w:szCs w:val="20"/>
              </w:rPr>
              <w:t>Дейност на НЦТР</w:t>
            </w:r>
          </w:p>
        </w:tc>
      </w:tr>
      <w:tr w:rsidR="00697416" w:rsidRPr="005C2B9F" w14:paraId="6B56FDEB" w14:textId="77777777" w:rsidTr="00537D06">
        <w:tc>
          <w:tcPr>
            <w:tcW w:w="2605" w:type="dxa"/>
            <w:tcBorders>
              <w:top w:val="single" w:sz="4" w:space="0" w:color="auto"/>
              <w:bottom w:val="single" w:sz="4" w:space="0" w:color="auto"/>
            </w:tcBorders>
            <w:vAlign w:val="center"/>
          </w:tcPr>
          <w:p w14:paraId="05E59958" w14:textId="77777777" w:rsidR="00697416" w:rsidRPr="00610B1B" w:rsidRDefault="00697416" w:rsidP="00537D06">
            <w:pPr>
              <w:pStyle w:val="BodyText"/>
              <w:spacing w:before="0" w:after="60" w:line="276" w:lineRule="auto"/>
              <w:ind w:right="-153"/>
              <w:jc w:val="left"/>
              <w:rPr>
                <w:rFonts w:cs="Times New Roman"/>
                <w:sz w:val="20"/>
                <w:szCs w:val="20"/>
              </w:rPr>
            </w:pPr>
            <w:r w:rsidRPr="00610B1B">
              <w:rPr>
                <w:rFonts w:cs="Times New Roman"/>
                <w:sz w:val="20"/>
                <w:szCs w:val="20"/>
              </w:rPr>
              <w:t xml:space="preserve">Данни </w:t>
            </w:r>
          </w:p>
        </w:tc>
        <w:tc>
          <w:tcPr>
            <w:tcW w:w="2640" w:type="dxa"/>
            <w:tcBorders>
              <w:top w:val="single" w:sz="4" w:space="0" w:color="auto"/>
              <w:bottom w:val="single" w:sz="4" w:space="0" w:color="auto"/>
            </w:tcBorders>
          </w:tcPr>
          <w:p w14:paraId="54388B1A" w14:textId="6C9DE2D7" w:rsidR="00697416" w:rsidRPr="00610B1B" w:rsidRDefault="00697416" w:rsidP="0031677A">
            <w:pPr>
              <w:pStyle w:val="BodyText"/>
              <w:spacing w:before="0" w:after="60" w:line="276" w:lineRule="auto"/>
              <w:ind w:right="-153"/>
              <w:jc w:val="left"/>
              <w:rPr>
                <w:rFonts w:cs="Times New Roman"/>
                <w:sz w:val="20"/>
                <w:szCs w:val="20"/>
              </w:rPr>
            </w:pPr>
            <w:r w:rsidRPr="00610B1B">
              <w:rPr>
                <w:rFonts w:cs="Times New Roman"/>
                <w:sz w:val="20"/>
                <w:szCs w:val="20"/>
              </w:rPr>
              <w:t>Публикува резултати от регулярни изследвани</w:t>
            </w:r>
            <w:r w:rsidR="007D045E" w:rsidRPr="00610B1B">
              <w:rPr>
                <w:rFonts w:cs="Times New Roman"/>
                <w:sz w:val="20"/>
                <w:szCs w:val="20"/>
              </w:rPr>
              <w:t>я, мониторинг</w:t>
            </w:r>
            <w:r w:rsidRPr="00610B1B">
              <w:rPr>
                <w:rFonts w:cs="Times New Roman"/>
                <w:sz w:val="20"/>
                <w:szCs w:val="20"/>
              </w:rPr>
              <w:t xml:space="preserve"> и контрол;</w:t>
            </w:r>
            <w:r w:rsidR="00D66FE0" w:rsidRPr="00610B1B">
              <w:rPr>
                <w:rFonts w:cs="Times New Roman"/>
                <w:sz w:val="20"/>
                <w:szCs w:val="20"/>
              </w:rPr>
              <w:t xml:space="preserve"> </w:t>
            </w:r>
          </w:p>
        </w:tc>
        <w:tc>
          <w:tcPr>
            <w:tcW w:w="3544" w:type="dxa"/>
            <w:tcBorders>
              <w:top w:val="single" w:sz="4" w:space="0" w:color="auto"/>
              <w:bottom w:val="single" w:sz="4" w:space="0" w:color="auto"/>
            </w:tcBorders>
          </w:tcPr>
          <w:p w14:paraId="183D3EE3" w14:textId="77777777" w:rsidR="00697416" w:rsidRPr="00610B1B" w:rsidRDefault="00697416" w:rsidP="00B46189">
            <w:pPr>
              <w:pStyle w:val="BodyText"/>
              <w:numPr>
                <w:ilvl w:val="0"/>
                <w:numId w:val="100"/>
              </w:numPr>
              <w:spacing w:before="0" w:after="60" w:line="276" w:lineRule="auto"/>
              <w:ind w:left="357" w:right="-153"/>
              <w:jc w:val="left"/>
              <w:rPr>
                <w:rFonts w:cs="Times New Roman"/>
                <w:sz w:val="20"/>
                <w:szCs w:val="20"/>
              </w:rPr>
            </w:pPr>
            <w:r w:rsidRPr="00610B1B">
              <w:rPr>
                <w:rFonts w:cs="Times New Roman"/>
                <w:sz w:val="20"/>
                <w:szCs w:val="20"/>
              </w:rPr>
              <w:t>Следи за публикувани нови данни за обектите;</w:t>
            </w:r>
          </w:p>
          <w:p w14:paraId="00A24729" w14:textId="77777777" w:rsidR="00697416" w:rsidRPr="00610B1B" w:rsidRDefault="00697416" w:rsidP="00B46189">
            <w:pPr>
              <w:pStyle w:val="BodyText"/>
              <w:numPr>
                <w:ilvl w:val="0"/>
                <w:numId w:val="100"/>
              </w:numPr>
              <w:spacing w:before="0" w:after="60" w:line="276" w:lineRule="auto"/>
              <w:ind w:left="357" w:right="-153"/>
              <w:jc w:val="left"/>
              <w:rPr>
                <w:rFonts w:cs="Times New Roman"/>
                <w:sz w:val="20"/>
                <w:szCs w:val="20"/>
              </w:rPr>
            </w:pPr>
            <w:r w:rsidRPr="00610B1B">
              <w:rPr>
                <w:rFonts w:cs="Times New Roman"/>
                <w:sz w:val="20"/>
                <w:szCs w:val="20"/>
              </w:rPr>
              <w:t>Изисква и получава необходимите данни посредством:</w:t>
            </w:r>
          </w:p>
          <w:p w14:paraId="6C90A850" w14:textId="77777777" w:rsidR="00697416" w:rsidRPr="00610B1B" w:rsidRDefault="00697416" w:rsidP="0031677A">
            <w:pPr>
              <w:pStyle w:val="BodyText"/>
              <w:spacing w:before="0" w:after="60" w:line="276" w:lineRule="auto"/>
              <w:ind w:left="357" w:right="-153"/>
              <w:jc w:val="left"/>
              <w:rPr>
                <w:rFonts w:cs="Times New Roman"/>
                <w:sz w:val="20"/>
                <w:szCs w:val="20"/>
              </w:rPr>
            </w:pPr>
            <w:r w:rsidRPr="00610B1B">
              <w:rPr>
                <w:rFonts w:cs="Times New Roman"/>
                <w:sz w:val="20"/>
                <w:szCs w:val="20"/>
              </w:rPr>
              <w:t>а) файлов обмен;</w:t>
            </w:r>
          </w:p>
          <w:p w14:paraId="0495FCA7" w14:textId="21960CB3" w:rsidR="00697416" w:rsidRPr="00610B1B" w:rsidRDefault="00697416" w:rsidP="0031677A">
            <w:pPr>
              <w:pStyle w:val="BodyText"/>
              <w:spacing w:before="0" w:after="60" w:line="276" w:lineRule="auto"/>
              <w:ind w:left="357" w:right="-153"/>
              <w:jc w:val="left"/>
              <w:rPr>
                <w:rFonts w:cs="Times New Roman"/>
                <w:sz w:val="20"/>
                <w:szCs w:val="20"/>
              </w:rPr>
            </w:pPr>
            <w:r w:rsidRPr="00610B1B">
              <w:rPr>
                <w:rFonts w:cs="Times New Roman"/>
                <w:sz w:val="20"/>
                <w:szCs w:val="20"/>
              </w:rPr>
              <w:t>б) уеб услуга по</w:t>
            </w:r>
            <w:r w:rsidR="00D66FE0" w:rsidRPr="00610B1B">
              <w:rPr>
                <w:rFonts w:cs="Times New Roman"/>
                <w:sz w:val="20"/>
                <w:szCs w:val="20"/>
              </w:rPr>
              <w:t xml:space="preserve"> </w:t>
            </w:r>
            <w:r w:rsidRPr="00610B1B">
              <w:rPr>
                <w:rFonts w:cs="Times New Roman"/>
                <w:sz w:val="20"/>
                <w:szCs w:val="20"/>
              </w:rPr>
              <w:t xml:space="preserve">определен от компетентния орган адрес; </w:t>
            </w:r>
          </w:p>
          <w:p w14:paraId="356AD729" w14:textId="77777777" w:rsidR="009907CE" w:rsidRPr="00610B1B" w:rsidRDefault="00697416" w:rsidP="00B46189">
            <w:pPr>
              <w:pStyle w:val="BodyText"/>
              <w:numPr>
                <w:ilvl w:val="0"/>
                <w:numId w:val="100"/>
              </w:numPr>
              <w:spacing w:before="0" w:after="60" w:line="276" w:lineRule="auto"/>
              <w:ind w:left="357" w:right="-153"/>
              <w:jc w:val="left"/>
              <w:rPr>
                <w:rFonts w:cs="Times New Roman"/>
                <w:sz w:val="20"/>
                <w:szCs w:val="20"/>
              </w:rPr>
            </w:pPr>
            <w:r w:rsidRPr="00610B1B">
              <w:rPr>
                <w:rFonts w:cs="Times New Roman"/>
                <w:sz w:val="20"/>
                <w:szCs w:val="20"/>
              </w:rPr>
              <w:t>Актуализира компонентите на плана, съобразно получените нови данни;</w:t>
            </w:r>
          </w:p>
          <w:p w14:paraId="090A4DCA" w14:textId="13EE3B6F" w:rsidR="00697416" w:rsidRPr="00610B1B" w:rsidRDefault="00697416" w:rsidP="009907CE">
            <w:pPr>
              <w:pStyle w:val="BodyText"/>
              <w:spacing w:before="0" w:after="60" w:line="276" w:lineRule="auto"/>
              <w:ind w:right="-153"/>
              <w:jc w:val="left"/>
              <w:rPr>
                <w:rFonts w:cs="Times New Roman"/>
                <w:sz w:val="20"/>
                <w:szCs w:val="20"/>
              </w:rPr>
            </w:pPr>
            <w:r w:rsidRPr="00610B1B">
              <w:rPr>
                <w:rFonts w:cs="Times New Roman"/>
                <w:sz w:val="20"/>
                <w:szCs w:val="20"/>
              </w:rPr>
              <w:t xml:space="preserve"> </w:t>
            </w:r>
          </w:p>
        </w:tc>
      </w:tr>
      <w:tr w:rsidR="00697416" w:rsidRPr="005C2B9F" w14:paraId="23F6EBFB" w14:textId="77777777" w:rsidTr="00537D06">
        <w:tc>
          <w:tcPr>
            <w:tcW w:w="2605" w:type="dxa"/>
            <w:tcBorders>
              <w:top w:val="single" w:sz="4" w:space="0" w:color="auto"/>
              <w:bottom w:val="single" w:sz="4" w:space="0" w:color="auto"/>
            </w:tcBorders>
            <w:vAlign w:val="center"/>
          </w:tcPr>
          <w:p w14:paraId="035821C7" w14:textId="77777777" w:rsidR="00697416" w:rsidRPr="00610B1B" w:rsidRDefault="00697416" w:rsidP="00537D06">
            <w:pPr>
              <w:pStyle w:val="BodyText"/>
              <w:spacing w:before="0" w:after="60" w:line="276" w:lineRule="auto"/>
              <w:ind w:right="-153"/>
              <w:jc w:val="left"/>
              <w:rPr>
                <w:rFonts w:cs="Times New Roman"/>
                <w:sz w:val="20"/>
                <w:szCs w:val="20"/>
              </w:rPr>
            </w:pPr>
            <w:r w:rsidRPr="00610B1B">
              <w:rPr>
                <w:rFonts w:cs="Times New Roman"/>
                <w:sz w:val="20"/>
                <w:szCs w:val="20"/>
              </w:rPr>
              <w:lastRenderedPageBreak/>
              <w:t>Услуги с данни</w:t>
            </w:r>
          </w:p>
        </w:tc>
        <w:tc>
          <w:tcPr>
            <w:tcW w:w="2640" w:type="dxa"/>
            <w:tcBorders>
              <w:top w:val="single" w:sz="4" w:space="0" w:color="auto"/>
              <w:bottom w:val="single" w:sz="4" w:space="0" w:color="auto"/>
            </w:tcBorders>
          </w:tcPr>
          <w:p w14:paraId="67147714" w14:textId="77777777" w:rsidR="00697416" w:rsidRPr="00610B1B" w:rsidRDefault="00697416" w:rsidP="0031677A">
            <w:pPr>
              <w:pStyle w:val="BodyText"/>
              <w:spacing w:before="0" w:after="60" w:line="276" w:lineRule="auto"/>
              <w:ind w:right="-153"/>
              <w:jc w:val="left"/>
              <w:rPr>
                <w:rFonts w:cs="Times New Roman"/>
                <w:sz w:val="20"/>
                <w:szCs w:val="20"/>
              </w:rPr>
            </w:pPr>
            <w:r w:rsidRPr="00610B1B">
              <w:rPr>
                <w:rFonts w:cs="Times New Roman"/>
                <w:sz w:val="20"/>
                <w:szCs w:val="20"/>
              </w:rPr>
              <w:t>Публикува нови услуги с информация за обектите на МППРБ.</w:t>
            </w:r>
          </w:p>
        </w:tc>
        <w:tc>
          <w:tcPr>
            <w:tcW w:w="3544" w:type="dxa"/>
            <w:tcBorders>
              <w:top w:val="single" w:sz="4" w:space="0" w:color="auto"/>
              <w:bottom w:val="single" w:sz="4" w:space="0" w:color="auto"/>
            </w:tcBorders>
          </w:tcPr>
          <w:p w14:paraId="1729256A" w14:textId="77777777" w:rsidR="00697416" w:rsidRPr="00610B1B" w:rsidRDefault="00697416" w:rsidP="00B46189">
            <w:pPr>
              <w:pStyle w:val="BodyText"/>
              <w:numPr>
                <w:ilvl w:val="0"/>
                <w:numId w:val="100"/>
              </w:numPr>
              <w:spacing w:before="0" w:after="60" w:line="276" w:lineRule="auto"/>
              <w:ind w:left="357" w:right="-153"/>
              <w:jc w:val="left"/>
              <w:rPr>
                <w:rFonts w:cs="Times New Roman"/>
                <w:sz w:val="20"/>
                <w:szCs w:val="20"/>
              </w:rPr>
            </w:pPr>
            <w:r w:rsidRPr="00610B1B">
              <w:rPr>
                <w:rFonts w:cs="Times New Roman"/>
                <w:sz w:val="20"/>
                <w:szCs w:val="20"/>
              </w:rPr>
              <w:t>Използва публикуваните от компетентния орган услуги, като осигурява достъп до тях през информационната платформа на плана;</w:t>
            </w:r>
          </w:p>
          <w:p w14:paraId="208D239C" w14:textId="77777777" w:rsidR="00697416" w:rsidRPr="00610B1B" w:rsidRDefault="00697416" w:rsidP="00B46189">
            <w:pPr>
              <w:pStyle w:val="BodyText"/>
              <w:numPr>
                <w:ilvl w:val="0"/>
                <w:numId w:val="100"/>
              </w:numPr>
              <w:spacing w:before="0" w:after="60" w:line="276" w:lineRule="auto"/>
              <w:ind w:left="357" w:right="-153"/>
              <w:jc w:val="left"/>
              <w:rPr>
                <w:rFonts w:cs="Times New Roman"/>
                <w:sz w:val="20"/>
                <w:szCs w:val="20"/>
              </w:rPr>
            </w:pPr>
            <w:r w:rsidRPr="00610B1B">
              <w:rPr>
                <w:rFonts w:cs="Times New Roman"/>
                <w:sz w:val="20"/>
                <w:szCs w:val="20"/>
              </w:rPr>
              <w:t>Поддържа и развива информационната платформа на плана, като:</w:t>
            </w:r>
          </w:p>
          <w:p w14:paraId="619BD1D1" w14:textId="77777777" w:rsidR="00697416" w:rsidRPr="00610B1B" w:rsidRDefault="00697416" w:rsidP="0031677A">
            <w:pPr>
              <w:pStyle w:val="BodyText"/>
              <w:spacing w:before="0" w:after="60" w:line="276" w:lineRule="auto"/>
              <w:ind w:left="357" w:right="-153"/>
              <w:jc w:val="left"/>
              <w:rPr>
                <w:rFonts w:cs="Times New Roman"/>
                <w:sz w:val="20"/>
                <w:szCs w:val="20"/>
              </w:rPr>
            </w:pPr>
            <w:r w:rsidRPr="00610B1B">
              <w:rPr>
                <w:rFonts w:cs="Times New Roman"/>
                <w:sz w:val="20"/>
                <w:szCs w:val="20"/>
              </w:rPr>
              <w:t>а) актуализира текстовата част, тематичните карти и ГИС базата данни на МППРБ;</w:t>
            </w:r>
          </w:p>
          <w:p w14:paraId="31CD16F8" w14:textId="3EFD55AD" w:rsidR="00697416" w:rsidRPr="00610B1B" w:rsidRDefault="00697416" w:rsidP="0031677A">
            <w:pPr>
              <w:pStyle w:val="BodyText"/>
              <w:spacing w:before="0" w:after="60" w:line="276" w:lineRule="auto"/>
              <w:ind w:left="357" w:right="-153"/>
              <w:jc w:val="left"/>
              <w:rPr>
                <w:rFonts w:cs="Times New Roman"/>
                <w:sz w:val="20"/>
                <w:szCs w:val="20"/>
              </w:rPr>
            </w:pPr>
            <w:r w:rsidRPr="00610B1B">
              <w:rPr>
                <w:rFonts w:cs="Times New Roman"/>
                <w:sz w:val="20"/>
                <w:szCs w:val="20"/>
              </w:rPr>
              <w:t>б) разработва и предоставя нови услуги и функции на информационната платформа;</w:t>
            </w:r>
          </w:p>
        </w:tc>
      </w:tr>
      <w:tr w:rsidR="0074647C" w:rsidRPr="005C2B9F" w14:paraId="309EA45A" w14:textId="77777777" w:rsidTr="00537D06">
        <w:tc>
          <w:tcPr>
            <w:tcW w:w="2605" w:type="dxa"/>
            <w:tcBorders>
              <w:top w:val="single" w:sz="4" w:space="0" w:color="auto"/>
              <w:bottom w:val="single" w:sz="4" w:space="0" w:color="auto"/>
            </w:tcBorders>
            <w:vAlign w:val="center"/>
          </w:tcPr>
          <w:p w14:paraId="48A4CC8B" w14:textId="34FC839E" w:rsidR="0074647C" w:rsidRPr="00610B1B" w:rsidRDefault="0074647C" w:rsidP="00537D06">
            <w:pPr>
              <w:pStyle w:val="BodyText"/>
              <w:spacing w:before="0" w:after="60" w:line="276" w:lineRule="auto"/>
              <w:ind w:right="-153"/>
              <w:jc w:val="left"/>
              <w:rPr>
                <w:rFonts w:cs="Times New Roman"/>
                <w:sz w:val="20"/>
                <w:szCs w:val="20"/>
              </w:rPr>
            </w:pPr>
            <w:r w:rsidRPr="00610B1B">
              <w:rPr>
                <w:rFonts w:cs="Times New Roman"/>
                <w:sz w:val="20"/>
                <w:szCs w:val="20"/>
              </w:rPr>
              <w:t>Други дейности</w:t>
            </w:r>
          </w:p>
        </w:tc>
        <w:tc>
          <w:tcPr>
            <w:tcW w:w="2640" w:type="dxa"/>
            <w:tcBorders>
              <w:top w:val="single" w:sz="4" w:space="0" w:color="auto"/>
              <w:bottom w:val="single" w:sz="4" w:space="0" w:color="auto"/>
            </w:tcBorders>
          </w:tcPr>
          <w:p w14:paraId="53E87FDB" w14:textId="77777777" w:rsidR="0074647C" w:rsidRPr="00610B1B" w:rsidRDefault="0074647C" w:rsidP="0031677A">
            <w:pPr>
              <w:pStyle w:val="BodyText"/>
              <w:spacing w:before="0" w:after="60" w:line="276" w:lineRule="auto"/>
              <w:ind w:right="-153"/>
              <w:jc w:val="left"/>
              <w:rPr>
                <w:rFonts w:cs="Times New Roman"/>
                <w:sz w:val="20"/>
                <w:szCs w:val="20"/>
              </w:rPr>
            </w:pPr>
            <w:r w:rsidRPr="00610B1B">
              <w:rPr>
                <w:rFonts w:cs="Times New Roman"/>
                <w:sz w:val="20"/>
                <w:szCs w:val="20"/>
              </w:rPr>
              <w:t>Подготвя и публикува информация за промените в секторите, свързани с морското пространствено планиране</w:t>
            </w:r>
          </w:p>
          <w:p w14:paraId="0BE51F66" w14:textId="77777777" w:rsidR="007D045E" w:rsidRPr="00610B1B" w:rsidRDefault="007D045E" w:rsidP="0031677A">
            <w:pPr>
              <w:pStyle w:val="BodyText"/>
              <w:spacing w:before="0" w:after="60" w:line="276" w:lineRule="auto"/>
              <w:ind w:right="-153"/>
              <w:jc w:val="left"/>
              <w:rPr>
                <w:rFonts w:cs="Times New Roman"/>
                <w:sz w:val="20"/>
                <w:szCs w:val="20"/>
              </w:rPr>
            </w:pPr>
          </w:p>
          <w:p w14:paraId="7547D845" w14:textId="3201F21E" w:rsidR="007D045E" w:rsidRPr="00610B1B" w:rsidRDefault="007D045E" w:rsidP="0031677A">
            <w:pPr>
              <w:pStyle w:val="BodyText"/>
              <w:spacing w:before="0" w:after="60" w:line="276" w:lineRule="auto"/>
              <w:ind w:right="-153"/>
              <w:jc w:val="left"/>
              <w:rPr>
                <w:rFonts w:cs="Times New Roman"/>
                <w:sz w:val="20"/>
                <w:szCs w:val="20"/>
              </w:rPr>
            </w:pPr>
            <w:r w:rsidRPr="00610B1B">
              <w:rPr>
                <w:rFonts w:cs="Times New Roman"/>
                <w:sz w:val="20"/>
                <w:szCs w:val="20"/>
              </w:rPr>
              <w:t>Подпомага МРРБ и Консултативния съвет при изготвянето на докладите за проследяване на резултатите от прилагането на МППРБ</w:t>
            </w:r>
          </w:p>
        </w:tc>
        <w:tc>
          <w:tcPr>
            <w:tcW w:w="3544" w:type="dxa"/>
            <w:tcBorders>
              <w:top w:val="single" w:sz="4" w:space="0" w:color="auto"/>
              <w:bottom w:val="single" w:sz="4" w:space="0" w:color="auto"/>
            </w:tcBorders>
          </w:tcPr>
          <w:p w14:paraId="6040CA52" w14:textId="728C5154" w:rsidR="0074647C" w:rsidRPr="00610B1B" w:rsidRDefault="0074647C" w:rsidP="00B46189">
            <w:pPr>
              <w:pStyle w:val="BodyText"/>
              <w:numPr>
                <w:ilvl w:val="0"/>
                <w:numId w:val="100"/>
              </w:numPr>
              <w:spacing w:before="0" w:after="60" w:line="276" w:lineRule="auto"/>
              <w:ind w:left="357" w:right="-153"/>
              <w:jc w:val="left"/>
              <w:rPr>
                <w:rFonts w:cs="Times New Roman"/>
                <w:sz w:val="20"/>
                <w:szCs w:val="20"/>
              </w:rPr>
            </w:pPr>
            <w:r w:rsidRPr="00610B1B">
              <w:rPr>
                <w:rFonts w:cs="Times New Roman"/>
                <w:sz w:val="20"/>
                <w:szCs w:val="20"/>
              </w:rPr>
              <w:t xml:space="preserve">Събира, организира и поддържа графичната и текстова информация за дейностите, които се очаква да окажат въздействие върху морската околна среда и върху мотивите за </w:t>
            </w:r>
            <w:r w:rsidR="009E01EF" w:rsidRPr="00610B1B">
              <w:rPr>
                <w:rFonts w:cs="Times New Roman"/>
                <w:sz w:val="20"/>
                <w:szCs w:val="20"/>
              </w:rPr>
              <w:t>изменение</w:t>
            </w:r>
            <w:r w:rsidR="00D66FE0" w:rsidRPr="00610B1B">
              <w:rPr>
                <w:rFonts w:cs="Times New Roman"/>
                <w:sz w:val="20"/>
                <w:szCs w:val="20"/>
              </w:rPr>
              <w:t xml:space="preserve"> </w:t>
            </w:r>
            <w:r w:rsidRPr="00610B1B">
              <w:rPr>
                <w:rFonts w:cs="Times New Roman"/>
                <w:sz w:val="20"/>
                <w:szCs w:val="20"/>
              </w:rPr>
              <w:t>на МППРБ.</w:t>
            </w:r>
          </w:p>
        </w:tc>
      </w:tr>
      <w:bookmarkEnd w:id="497"/>
    </w:tbl>
    <w:p w14:paraId="6703AD86" w14:textId="03097F0C" w:rsidR="00864D42" w:rsidRPr="00610B1B" w:rsidRDefault="00864D42" w:rsidP="00D32D6A">
      <w:pPr>
        <w:pStyle w:val="BodyText"/>
        <w:spacing w:before="0" w:after="120" w:line="276" w:lineRule="auto"/>
        <w:ind w:right="-153"/>
        <w:rPr>
          <w:rFonts w:cs="Times New Roman"/>
        </w:rPr>
      </w:pPr>
    </w:p>
    <w:p w14:paraId="2ECC79E9" w14:textId="72B8DF8C" w:rsidR="00471EF8" w:rsidRPr="00610B1B" w:rsidRDefault="00471EF8" w:rsidP="00D32D6A">
      <w:pPr>
        <w:pStyle w:val="Heading2"/>
        <w:spacing w:before="0" w:line="276" w:lineRule="auto"/>
        <w:ind w:right="-153"/>
        <w:rPr>
          <w:rStyle w:val="Heading2Char"/>
          <w:rFonts w:cs="Times New Roman"/>
          <w:b/>
          <w:bCs/>
        </w:rPr>
      </w:pPr>
      <w:bookmarkStart w:id="499" w:name="_Toc83391441"/>
      <w:r w:rsidRPr="00610B1B">
        <w:rPr>
          <w:rStyle w:val="Heading2Char"/>
          <w:rFonts w:cs="Times New Roman"/>
          <w:b/>
          <w:bCs/>
        </w:rPr>
        <w:t>7.3. Препоръки към институциите по прилагането на МППРБ</w:t>
      </w:r>
      <w:bookmarkEnd w:id="499"/>
    </w:p>
    <w:p w14:paraId="45D7FFC7" w14:textId="50CD1BEE" w:rsidR="00FA7D60" w:rsidRPr="00610B1B" w:rsidRDefault="00FA7D60" w:rsidP="00D32D6A">
      <w:pPr>
        <w:pStyle w:val="Default"/>
        <w:spacing w:after="120" w:line="276" w:lineRule="auto"/>
        <w:jc w:val="both"/>
        <w:rPr>
          <w:rFonts w:cs="Times New Roman"/>
          <w:lang w:val="bg-BG"/>
        </w:rPr>
      </w:pPr>
      <w:r w:rsidRPr="00610B1B">
        <w:rPr>
          <w:rFonts w:cs="Times New Roman"/>
          <w:lang w:val="bg-BG"/>
        </w:rPr>
        <w:t>Препоръките към институциите по прилагане на МППРБ отчитат сложната институционална рамка, динамичната среда, в ко</w:t>
      </w:r>
      <w:r w:rsidR="00A02128" w:rsidRPr="00610B1B">
        <w:rPr>
          <w:rFonts w:cs="Times New Roman"/>
          <w:lang w:val="bg-BG"/>
        </w:rPr>
        <w:t>и</w:t>
      </w:r>
      <w:r w:rsidRPr="00610B1B">
        <w:rPr>
          <w:rFonts w:cs="Times New Roman"/>
          <w:lang w:val="bg-BG"/>
        </w:rPr>
        <w:t>то ангажираните и компетентни органи изпълняват своите правомощия и разнообразието от функции и дейности, които се изпълняват в морските пространства. Те са систематизирани по ведомства и сектори в следв</w:t>
      </w:r>
      <w:r w:rsidR="00A02128" w:rsidRPr="00610B1B">
        <w:rPr>
          <w:rFonts w:cs="Times New Roman"/>
          <w:lang w:val="bg-BG"/>
        </w:rPr>
        <w:t>а</w:t>
      </w:r>
      <w:r w:rsidRPr="00610B1B">
        <w:rPr>
          <w:rFonts w:cs="Times New Roman"/>
          <w:lang w:val="bg-BG"/>
        </w:rPr>
        <w:t xml:space="preserve">щата таблица и са фокусирани върху приоритетите, които съпътстват прилагането на плана. </w:t>
      </w:r>
    </w:p>
    <w:p w14:paraId="1431BD41" w14:textId="01C1E9D7" w:rsidR="00FA7D60" w:rsidRPr="00610B1B" w:rsidRDefault="00FA7D60" w:rsidP="00D32D6A">
      <w:pPr>
        <w:pStyle w:val="Default"/>
        <w:spacing w:after="120" w:line="276" w:lineRule="auto"/>
        <w:jc w:val="both"/>
        <w:rPr>
          <w:rFonts w:cs="Times New Roman"/>
          <w:lang w:val="bg-BG"/>
        </w:rPr>
      </w:pPr>
    </w:p>
    <w:p w14:paraId="06F923EA" w14:textId="77777777" w:rsidR="00FA7D60" w:rsidRPr="00610B1B" w:rsidRDefault="00FA7D60" w:rsidP="00D32D6A">
      <w:pPr>
        <w:spacing w:after="120"/>
        <w:rPr>
          <w:rFonts w:ascii="Times New Roman" w:hAnsi="Times New Roman" w:cs="Times New Roman"/>
          <w:lang w:val="bg-BG"/>
        </w:rPr>
      </w:pPr>
    </w:p>
    <w:p w14:paraId="73789DA5" w14:textId="548C5C9B" w:rsidR="00C519AD" w:rsidRPr="00610B1B" w:rsidRDefault="00C519AD" w:rsidP="00D32D6A">
      <w:pPr>
        <w:spacing w:after="120"/>
        <w:rPr>
          <w:rFonts w:ascii="Times New Roman" w:hAnsi="Times New Roman" w:cs="Times New Roman"/>
          <w:lang w:val="bg-BG"/>
        </w:rPr>
        <w:sectPr w:rsidR="00C519AD" w:rsidRPr="00610B1B" w:rsidSect="002E413F">
          <w:pgSz w:w="11907" w:h="16839" w:code="9"/>
          <w:pgMar w:top="1134" w:right="1440" w:bottom="1440" w:left="1440" w:header="708" w:footer="708" w:gutter="0"/>
          <w:cols w:space="708"/>
          <w:docGrid w:linePitch="360"/>
        </w:sectPr>
      </w:pPr>
    </w:p>
    <w:p w14:paraId="6387CCF8" w14:textId="5EAF73D9" w:rsidR="00601EFD" w:rsidRPr="00610B1B" w:rsidRDefault="00C519AD" w:rsidP="00D32D6A">
      <w:pPr>
        <w:spacing w:after="120"/>
        <w:rPr>
          <w:rFonts w:ascii="Times New Roman" w:hAnsi="Times New Roman" w:cs="Times New Roman"/>
          <w:sz w:val="20"/>
          <w:szCs w:val="20"/>
          <w:lang w:val="bg-BG"/>
        </w:rPr>
      </w:pPr>
      <w:bookmarkStart w:id="500" w:name="_Toc83391615"/>
      <w:r w:rsidRPr="00610B1B">
        <w:rPr>
          <w:rFonts w:ascii="Times New Roman" w:hAnsi="Times New Roman" w:cs="Times New Roman"/>
          <w:sz w:val="24"/>
          <w:szCs w:val="24"/>
          <w:lang w:val="bg-BG"/>
        </w:rPr>
        <w:lastRenderedPageBreak/>
        <w:t xml:space="preserve">Таблица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Таблица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19</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w:t>
      </w:r>
      <w:r w:rsidR="00962DE7" w:rsidRPr="00610B1B">
        <w:rPr>
          <w:rFonts w:ascii="Times New Roman" w:hAnsi="Times New Roman" w:cs="Times New Roman"/>
          <w:sz w:val="24"/>
          <w:szCs w:val="24"/>
          <w:lang w:val="bg-BG"/>
        </w:rPr>
        <w:t xml:space="preserve"> Препоръки към институциите по прилагане на МППРБ</w:t>
      </w:r>
      <w:bookmarkEnd w:id="500"/>
    </w:p>
    <w:tbl>
      <w:tblPr>
        <w:tblStyle w:val="TableGrid"/>
        <w:tblW w:w="15098" w:type="dxa"/>
        <w:tblInd w:w="-28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26"/>
        <w:gridCol w:w="2693"/>
        <w:gridCol w:w="5387"/>
        <w:gridCol w:w="1984"/>
        <w:gridCol w:w="3232"/>
        <w:gridCol w:w="1376"/>
      </w:tblGrid>
      <w:tr w:rsidR="001E3FED" w:rsidRPr="00610B1B" w14:paraId="22C6D97F" w14:textId="77777777" w:rsidTr="00774CD7">
        <w:trPr>
          <w:trHeight w:val="237"/>
          <w:tblHeader/>
        </w:trPr>
        <w:tc>
          <w:tcPr>
            <w:tcW w:w="3119" w:type="dxa"/>
            <w:gridSpan w:val="2"/>
            <w:shd w:val="clear" w:color="auto" w:fill="72DBE0"/>
            <w:vAlign w:val="center"/>
          </w:tcPr>
          <w:p w14:paraId="31F400B5" w14:textId="77777777" w:rsidR="001E3FED" w:rsidRPr="00610B1B" w:rsidRDefault="001E3FED" w:rsidP="00D32D6A">
            <w:pPr>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Дейности</w:t>
            </w:r>
          </w:p>
        </w:tc>
        <w:tc>
          <w:tcPr>
            <w:tcW w:w="5387" w:type="dxa"/>
            <w:shd w:val="clear" w:color="auto" w:fill="72DBE0"/>
            <w:vAlign w:val="center"/>
          </w:tcPr>
          <w:p w14:paraId="78CBE19D" w14:textId="77777777" w:rsidR="001E3FED" w:rsidRPr="00610B1B" w:rsidRDefault="001E3FED" w:rsidP="00D32D6A">
            <w:pPr>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Препоръки</w:t>
            </w:r>
          </w:p>
        </w:tc>
        <w:tc>
          <w:tcPr>
            <w:tcW w:w="1984" w:type="dxa"/>
            <w:shd w:val="clear" w:color="auto" w:fill="72DBE0"/>
            <w:vAlign w:val="center"/>
          </w:tcPr>
          <w:p w14:paraId="409B3746" w14:textId="77777777" w:rsidR="001E3FED" w:rsidRPr="00610B1B" w:rsidRDefault="001E3FED" w:rsidP="00D32D6A">
            <w:pPr>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Институция</w:t>
            </w:r>
          </w:p>
        </w:tc>
        <w:tc>
          <w:tcPr>
            <w:tcW w:w="3232" w:type="dxa"/>
            <w:shd w:val="clear" w:color="auto" w:fill="72DBE0"/>
            <w:vAlign w:val="center"/>
          </w:tcPr>
          <w:p w14:paraId="1DA4605C" w14:textId="77777777" w:rsidR="001E3FED" w:rsidRPr="00610B1B" w:rsidRDefault="001E3FED" w:rsidP="00D32D6A">
            <w:pPr>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Мотиви</w:t>
            </w:r>
          </w:p>
        </w:tc>
        <w:tc>
          <w:tcPr>
            <w:tcW w:w="1376" w:type="dxa"/>
            <w:shd w:val="clear" w:color="auto" w:fill="72DBE0"/>
            <w:vAlign w:val="center"/>
          </w:tcPr>
          <w:p w14:paraId="46115A6D" w14:textId="77777777" w:rsidR="001E3FED" w:rsidRPr="00610B1B" w:rsidRDefault="001E3FED" w:rsidP="00D32D6A">
            <w:pPr>
              <w:jc w:val="center"/>
              <w:rPr>
                <w:rFonts w:ascii="Times New Roman" w:hAnsi="Times New Roman" w:cs="Times New Roman"/>
                <w:b/>
                <w:sz w:val="20"/>
                <w:szCs w:val="20"/>
                <w:lang w:val="bg-BG"/>
              </w:rPr>
            </w:pPr>
            <w:r w:rsidRPr="00610B1B">
              <w:rPr>
                <w:rFonts w:ascii="Times New Roman" w:hAnsi="Times New Roman" w:cs="Times New Roman"/>
                <w:b/>
                <w:sz w:val="20"/>
                <w:szCs w:val="20"/>
                <w:lang w:val="bg-BG"/>
              </w:rPr>
              <w:t>Срок за изпълнение</w:t>
            </w:r>
          </w:p>
        </w:tc>
      </w:tr>
      <w:tr w:rsidR="00C519AD" w:rsidRPr="00610B1B" w14:paraId="2754A1BF" w14:textId="77777777" w:rsidTr="00537D06">
        <w:tc>
          <w:tcPr>
            <w:tcW w:w="426" w:type="dxa"/>
            <w:vMerge w:val="restart"/>
            <w:vAlign w:val="center"/>
          </w:tcPr>
          <w:p w14:paraId="4192A511" w14:textId="77777777" w:rsidR="00C519AD" w:rsidRPr="00610B1B" w:rsidRDefault="00C519AD" w:rsidP="00537D06">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1</w:t>
            </w:r>
          </w:p>
        </w:tc>
        <w:tc>
          <w:tcPr>
            <w:tcW w:w="2693" w:type="dxa"/>
            <w:vMerge w:val="restart"/>
            <w:vAlign w:val="center"/>
          </w:tcPr>
          <w:p w14:paraId="31D36567" w14:textId="77777777" w:rsidR="00C519AD" w:rsidRPr="00610B1B" w:rsidRDefault="00C519AD"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Морски транспорт </w:t>
            </w:r>
          </w:p>
        </w:tc>
        <w:tc>
          <w:tcPr>
            <w:tcW w:w="5387" w:type="dxa"/>
          </w:tcPr>
          <w:p w14:paraId="15E5ED4C" w14:textId="5DBE48D3" w:rsidR="00C519AD" w:rsidRPr="00610B1B" w:rsidRDefault="00C519AD" w:rsidP="009E604E">
            <w:pPr>
              <w:pStyle w:val="ListParagraph"/>
              <w:numPr>
                <w:ilvl w:val="1"/>
                <w:numId w:val="102"/>
              </w:numPr>
              <w:tabs>
                <w:tab w:val="left" w:pos="310"/>
                <w:tab w:val="left" w:pos="452"/>
              </w:tabs>
              <w:rPr>
                <w:rFonts w:ascii="Times New Roman" w:hAnsi="Times New Roman" w:cs="Times New Roman"/>
                <w:sz w:val="20"/>
                <w:szCs w:val="20"/>
                <w:lang w:val="bg-BG"/>
              </w:rPr>
            </w:pPr>
            <w:r w:rsidRPr="00610B1B">
              <w:rPr>
                <w:rFonts w:ascii="Times New Roman" w:hAnsi="Times New Roman" w:cs="Times New Roman"/>
                <w:sz w:val="20"/>
                <w:szCs w:val="20"/>
                <w:lang w:val="bg-BG"/>
              </w:rPr>
              <w:t>Проучване за промени на СРД, междуведомствено съгласуване</w:t>
            </w:r>
          </w:p>
        </w:tc>
        <w:tc>
          <w:tcPr>
            <w:tcW w:w="1984" w:type="dxa"/>
          </w:tcPr>
          <w:p w14:paraId="30CD3E06"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ИАМА, МО, ВВМУ, </w:t>
            </w:r>
          </w:p>
        </w:tc>
        <w:tc>
          <w:tcPr>
            <w:tcW w:w="3232" w:type="dxa"/>
          </w:tcPr>
          <w:p w14:paraId="4CD1359C"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Доказана потребност от отдалечаване от бреговата линия</w:t>
            </w:r>
          </w:p>
        </w:tc>
        <w:tc>
          <w:tcPr>
            <w:tcW w:w="1376" w:type="dxa"/>
            <w:vAlign w:val="center"/>
          </w:tcPr>
          <w:p w14:paraId="11027BD0"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67CF9100" w14:textId="77777777" w:rsidTr="00537D06">
        <w:tc>
          <w:tcPr>
            <w:tcW w:w="426" w:type="dxa"/>
            <w:vMerge/>
            <w:vAlign w:val="center"/>
          </w:tcPr>
          <w:p w14:paraId="74CDE54A"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19E23DF9" w14:textId="77777777" w:rsidR="00C519AD" w:rsidRPr="00610B1B" w:rsidRDefault="00C519AD" w:rsidP="00537D06">
            <w:pPr>
              <w:rPr>
                <w:rFonts w:ascii="Times New Roman" w:hAnsi="Times New Roman" w:cs="Times New Roman"/>
                <w:sz w:val="20"/>
                <w:szCs w:val="20"/>
                <w:lang w:val="bg-BG"/>
              </w:rPr>
            </w:pPr>
          </w:p>
        </w:tc>
        <w:tc>
          <w:tcPr>
            <w:tcW w:w="5387" w:type="dxa"/>
          </w:tcPr>
          <w:p w14:paraId="17703720" w14:textId="3B041627" w:rsidR="00C519AD" w:rsidRPr="00610B1B" w:rsidRDefault="00C519AD" w:rsidP="00D32D6A">
            <w:pPr>
              <w:pStyle w:val="ListParagraph"/>
              <w:ind w:left="0"/>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1.2.</w:t>
            </w:r>
            <w:r w:rsidR="009E604E"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Извеждане на интензивния трафик от защитените зони и защитените морски територии</w:t>
            </w:r>
          </w:p>
        </w:tc>
        <w:tc>
          <w:tcPr>
            <w:tcW w:w="1984" w:type="dxa"/>
          </w:tcPr>
          <w:p w14:paraId="46FF8CE8"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ИАМА, МО</w:t>
            </w:r>
          </w:p>
        </w:tc>
        <w:tc>
          <w:tcPr>
            <w:tcW w:w="3232" w:type="dxa"/>
          </w:tcPr>
          <w:p w14:paraId="54CD88A8"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Намаляване на натиска върху чувствителни и ценни екосистеми </w:t>
            </w:r>
          </w:p>
        </w:tc>
        <w:tc>
          <w:tcPr>
            <w:tcW w:w="1376" w:type="dxa"/>
            <w:vAlign w:val="center"/>
          </w:tcPr>
          <w:p w14:paraId="6C006FD8"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2030</w:t>
            </w:r>
          </w:p>
        </w:tc>
      </w:tr>
      <w:tr w:rsidR="00C519AD" w:rsidRPr="00610B1B" w14:paraId="7C301231" w14:textId="77777777" w:rsidTr="00537D06">
        <w:tc>
          <w:tcPr>
            <w:tcW w:w="426" w:type="dxa"/>
            <w:vMerge/>
            <w:vAlign w:val="center"/>
          </w:tcPr>
          <w:p w14:paraId="20FA9D9F"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497D9076" w14:textId="77777777" w:rsidR="00C519AD" w:rsidRPr="00610B1B" w:rsidRDefault="00C519AD" w:rsidP="00537D06">
            <w:pPr>
              <w:rPr>
                <w:rFonts w:ascii="Times New Roman" w:hAnsi="Times New Roman" w:cs="Times New Roman"/>
                <w:sz w:val="20"/>
                <w:szCs w:val="20"/>
                <w:lang w:val="bg-BG"/>
              </w:rPr>
            </w:pPr>
          </w:p>
        </w:tc>
        <w:tc>
          <w:tcPr>
            <w:tcW w:w="5387" w:type="dxa"/>
          </w:tcPr>
          <w:p w14:paraId="711BE571" w14:textId="67D084C1" w:rsidR="00C519AD" w:rsidRPr="00610B1B" w:rsidRDefault="00C519AD" w:rsidP="00D32D6A">
            <w:pPr>
              <w:pStyle w:val="ListParagraph"/>
              <w:ind w:left="0"/>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1.3.</w:t>
            </w:r>
            <w:r w:rsidR="009E604E"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Засилен контрол по стриктно спазване на Международната конвенция за контрол и управление на корабните баластни води и седименти (Ратифицирана със закон, ДВ,</w:t>
            </w:r>
            <w:r w:rsidR="003C41B4" w:rsidRPr="00E63187">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бр. 28 от 2018 г.)</w:t>
            </w:r>
          </w:p>
        </w:tc>
        <w:tc>
          <w:tcPr>
            <w:tcW w:w="1984" w:type="dxa"/>
          </w:tcPr>
          <w:p w14:paraId="563E1370"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ИАМА</w:t>
            </w:r>
          </w:p>
        </w:tc>
        <w:tc>
          <w:tcPr>
            <w:tcW w:w="3232" w:type="dxa"/>
          </w:tcPr>
          <w:p w14:paraId="267CA567"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Намаляване на замърсяването на морската среда </w:t>
            </w:r>
          </w:p>
        </w:tc>
        <w:tc>
          <w:tcPr>
            <w:tcW w:w="1376" w:type="dxa"/>
            <w:vAlign w:val="center"/>
          </w:tcPr>
          <w:p w14:paraId="16E2219C"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2307C473" w14:textId="77777777" w:rsidTr="00537D06">
        <w:tc>
          <w:tcPr>
            <w:tcW w:w="426" w:type="dxa"/>
            <w:vMerge/>
            <w:vAlign w:val="center"/>
          </w:tcPr>
          <w:p w14:paraId="5B36EEAA"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656EDC2D" w14:textId="77777777" w:rsidR="00C519AD" w:rsidRPr="00610B1B" w:rsidRDefault="00C519AD" w:rsidP="00537D06">
            <w:pPr>
              <w:rPr>
                <w:rFonts w:ascii="Times New Roman" w:hAnsi="Times New Roman" w:cs="Times New Roman"/>
                <w:sz w:val="20"/>
                <w:szCs w:val="20"/>
                <w:lang w:val="bg-BG"/>
              </w:rPr>
            </w:pPr>
          </w:p>
        </w:tc>
        <w:tc>
          <w:tcPr>
            <w:tcW w:w="5387" w:type="dxa"/>
          </w:tcPr>
          <w:p w14:paraId="2887DC60" w14:textId="77777777" w:rsidR="00C519AD" w:rsidRPr="00610B1B" w:rsidRDefault="009E604E" w:rsidP="00B46189">
            <w:pPr>
              <w:pStyle w:val="ListParagraph"/>
              <w:numPr>
                <w:ilvl w:val="1"/>
                <w:numId w:val="85"/>
              </w:numPr>
              <w:pBdr>
                <w:bottom w:val="single" w:sz="6" w:space="1" w:color="auto"/>
              </w:pBdr>
              <w:tabs>
                <w:tab w:val="left" w:pos="310"/>
              </w:tabs>
              <w:ind w:left="0" w:firstLine="0"/>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 </w:t>
            </w:r>
            <w:r w:rsidR="00C519AD" w:rsidRPr="00610B1B">
              <w:rPr>
                <w:rFonts w:ascii="Times New Roman" w:hAnsi="Times New Roman" w:cs="Times New Roman"/>
                <w:sz w:val="20"/>
                <w:szCs w:val="20"/>
                <w:lang w:val="bg-BG"/>
              </w:rPr>
              <w:t>Привличане на международен транзитен трафик за увеличаване обема на морските превози.</w:t>
            </w:r>
          </w:p>
          <w:p w14:paraId="6901A42E" w14:textId="6B333DAD" w:rsidR="00B9407E" w:rsidRPr="00610B1B" w:rsidRDefault="00B9407E" w:rsidP="00B9407E">
            <w:pPr>
              <w:tabs>
                <w:tab w:val="left" w:pos="310"/>
              </w:tabs>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1.5. </w:t>
            </w:r>
            <w:r w:rsidRPr="00610B1B">
              <w:rPr>
                <w:rFonts w:ascii="Times New Roman" w:hAnsi="Times New Roman" w:cs="Times New Roman"/>
                <w:sz w:val="20"/>
                <w:szCs w:val="20"/>
                <w:lang w:val="bg-BG" w:bidi="bg-BG"/>
              </w:rPr>
              <w:t>Да се предприемат необходимите действия за осигуряване на операции от българска страна в българското черноморско крайбрежие и в открито море чрез оборудване със спасителни плавателни съдове и кадри</w:t>
            </w:r>
          </w:p>
        </w:tc>
        <w:tc>
          <w:tcPr>
            <w:tcW w:w="1984" w:type="dxa"/>
          </w:tcPr>
          <w:p w14:paraId="2F1D2552" w14:textId="77777777" w:rsidR="00C519AD" w:rsidRPr="00610B1B" w:rsidRDefault="00C519AD" w:rsidP="00D32D6A">
            <w:pPr>
              <w:rPr>
                <w:rFonts w:ascii="Times New Roman" w:hAnsi="Times New Roman" w:cs="Times New Roman"/>
                <w:sz w:val="20"/>
                <w:szCs w:val="20"/>
                <w:lang w:val="bg-BG"/>
              </w:rPr>
            </w:pPr>
          </w:p>
          <w:p w14:paraId="4A754421" w14:textId="77777777" w:rsidR="00B9407E" w:rsidRPr="00610B1B" w:rsidRDefault="00B9407E" w:rsidP="00D32D6A">
            <w:pPr>
              <w:rPr>
                <w:rFonts w:ascii="Times New Roman" w:hAnsi="Times New Roman" w:cs="Times New Roman"/>
                <w:sz w:val="20"/>
                <w:szCs w:val="20"/>
                <w:lang w:val="bg-BG"/>
              </w:rPr>
            </w:pPr>
          </w:p>
          <w:p w14:paraId="57B014D8" w14:textId="77777777" w:rsidR="00B9407E" w:rsidRPr="00610B1B" w:rsidRDefault="00B9407E" w:rsidP="00D32D6A">
            <w:pPr>
              <w:rPr>
                <w:rFonts w:ascii="Times New Roman" w:hAnsi="Times New Roman" w:cs="Times New Roman"/>
                <w:sz w:val="20"/>
                <w:szCs w:val="20"/>
                <w:lang w:val="bg-BG"/>
              </w:rPr>
            </w:pPr>
          </w:p>
          <w:p w14:paraId="7F045FE2" w14:textId="7BED4B49" w:rsidR="00B9407E" w:rsidRPr="00610B1B" w:rsidRDefault="00B9407E"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МВР</w:t>
            </w:r>
          </w:p>
        </w:tc>
        <w:tc>
          <w:tcPr>
            <w:tcW w:w="3232" w:type="dxa"/>
          </w:tcPr>
          <w:p w14:paraId="6FE80375"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Повишаване на икономическата активност</w:t>
            </w:r>
          </w:p>
          <w:p w14:paraId="5DEB414D" w14:textId="77777777" w:rsidR="00B9407E" w:rsidRPr="00610B1B" w:rsidRDefault="00B9407E" w:rsidP="00D32D6A">
            <w:pPr>
              <w:rPr>
                <w:rFonts w:ascii="Times New Roman" w:hAnsi="Times New Roman" w:cs="Times New Roman"/>
                <w:sz w:val="20"/>
                <w:szCs w:val="20"/>
                <w:lang w:val="bg-BG"/>
              </w:rPr>
            </w:pPr>
          </w:p>
          <w:p w14:paraId="65DF65DF" w14:textId="74503A63" w:rsidR="00B9407E" w:rsidRPr="00610B1B" w:rsidRDefault="00B9407E"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Спасяване на бедстващи хора и плавателни съдове</w:t>
            </w:r>
          </w:p>
        </w:tc>
        <w:tc>
          <w:tcPr>
            <w:tcW w:w="1376" w:type="dxa"/>
            <w:vAlign w:val="center"/>
          </w:tcPr>
          <w:p w14:paraId="4654171E"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2030E0C4" w14:textId="77777777" w:rsidTr="00537D06">
        <w:tc>
          <w:tcPr>
            <w:tcW w:w="426" w:type="dxa"/>
            <w:vMerge w:val="restart"/>
            <w:vAlign w:val="center"/>
          </w:tcPr>
          <w:p w14:paraId="7C082E7D" w14:textId="77777777" w:rsidR="00C519AD" w:rsidRPr="00610B1B" w:rsidRDefault="00C519AD" w:rsidP="00537D06">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w:t>
            </w:r>
          </w:p>
        </w:tc>
        <w:tc>
          <w:tcPr>
            <w:tcW w:w="2693" w:type="dxa"/>
            <w:vMerge w:val="restart"/>
            <w:vAlign w:val="center"/>
          </w:tcPr>
          <w:p w14:paraId="60EC72E2" w14:textId="77777777" w:rsidR="00C519AD" w:rsidRPr="00610B1B" w:rsidRDefault="00C519AD"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Рибарство </w:t>
            </w:r>
          </w:p>
        </w:tc>
        <w:tc>
          <w:tcPr>
            <w:tcW w:w="5387" w:type="dxa"/>
          </w:tcPr>
          <w:p w14:paraId="6A004382" w14:textId="4E95940D" w:rsidR="00C519AD" w:rsidRPr="00610B1B" w:rsidRDefault="00D14B5D" w:rsidP="00D14B5D">
            <w:pPr>
              <w:pStyle w:val="ListParagraph"/>
              <w:tabs>
                <w:tab w:val="left" w:pos="310"/>
              </w:tabs>
              <w:ind w:left="0"/>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2.1. </w:t>
            </w:r>
            <w:r w:rsidR="00C519AD" w:rsidRPr="00610B1B">
              <w:rPr>
                <w:rFonts w:ascii="Times New Roman" w:hAnsi="Times New Roman" w:cs="Times New Roman"/>
                <w:sz w:val="20"/>
                <w:szCs w:val="20"/>
                <w:lang w:val="bg-BG"/>
              </w:rPr>
              <w:t>Определяне на зони за опазване на рибните запаси в допълнение на тези в границите на защитените морски територии и защитени зони</w:t>
            </w:r>
          </w:p>
        </w:tc>
        <w:tc>
          <w:tcPr>
            <w:tcW w:w="1984" w:type="dxa"/>
          </w:tcPr>
          <w:p w14:paraId="272AB249" w14:textId="5F98BF5D"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ИАРА</w:t>
            </w:r>
            <w:r w:rsidR="00DD6CD4" w:rsidRPr="00610B1B">
              <w:rPr>
                <w:rFonts w:ascii="Times New Roman" w:hAnsi="Times New Roman" w:cs="Times New Roman"/>
                <w:sz w:val="20"/>
                <w:szCs w:val="20"/>
                <w:lang w:val="bg-BG"/>
              </w:rPr>
              <w:t xml:space="preserve">, </w:t>
            </w:r>
            <w:r w:rsidR="009802E0" w:rsidRPr="00610B1B">
              <w:rPr>
                <w:rFonts w:ascii="Times New Roman" w:hAnsi="Times New Roman" w:cs="Times New Roman"/>
                <w:sz w:val="20"/>
                <w:szCs w:val="20"/>
                <w:lang w:val="bg-BG"/>
              </w:rPr>
              <w:t>БДЧР</w:t>
            </w:r>
          </w:p>
        </w:tc>
        <w:tc>
          <w:tcPr>
            <w:tcW w:w="3232" w:type="dxa"/>
          </w:tcPr>
          <w:p w14:paraId="2C066F1D"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Необходимост от увеличаване на рибните ресурси</w:t>
            </w:r>
          </w:p>
        </w:tc>
        <w:tc>
          <w:tcPr>
            <w:tcW w:w="1376" w:type="dxa"/>
            <w:vAlign w:val="center"/>
          </w:tcPr>
          <w:p w14:paraId="0DE18826"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7535DC51" w14:textId="77777777" w:rsidTr="00537D06">
        <w:tc>
          <w:tcPr>
            <w:tcW w:w="426" w:type="dxa"/>
            <w:vMerge/>
            <w:vAlign w:val="center"/>
          </w:tcPr>
          <w:p w14:paraId="0E2B7335"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33EF6DFB" w14:textId="77777777" w:rsidR="00C519AD" w:rsidRPr="00610B1B" w:rsidRDefault="00C519AD" w:rsidP="00537D06">
            <w:pPr>
              <w:rPr>
                <w:rFonts w:ascii="Times New Roman" w:hAnsi="Times New Roman" w:cs="Times New Roman"/>
                <w:sz w:val="20"/>
                <w:szCs w:val="20"/>
                <w:lang w:val="bg-BG"/>
              </w:rPr>
            </w:pPr>
          </w:p>
        </w:tc>
        <w:tc>
          <w:tcPr>
            <w:tcW w:w="5387" w:type="dxa"/>
          </w:tcPr>
          <w:p w14:paraId="5F577286" w14:textId="51077F32" w:rsidR="00C519AD" w:rsidRPr="00610B1B" w:rsidRDefault="00D14B5D" w:rsidP="00D14B5D">
            <w:pPr>
              <w:pStyle w:val="ListParagraph"/>
              <w:tabs>
                <w:tab w:val="left" w:pos="310"/>
              </w:tabs>
              <w:ind w:left="0"/>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2.2. </w:t>
            </w:r>
            <w:r w:rsidR="009F4237" w:rsidRPr="00610B1B">
              <w:rPr>
                <w:rFonts w:ascii="Times New Roman" w:hAnsi="Times New Roman" w:cs="Times New Roman"/>
                <w:sz w:val="20"/>
                <w:szCs w:val="20"/>
                <w:lang w:val="bg-BG"/>
              </w:rPr>
              <w:t>Предвиждане на</w:t>
            </w:r>
            <w:r w:rsidR="00C519AD" w:rsidRPr="00610B1B">
              <w:rPr>
                <w:rFonts w:ascii="Times New Roman" w:hAnsi="Times New Roman" w:cs="Times New Roman"/>
                <w:sz w:val="20"/>
                <w:szCs w:val="20"/>
                <w:lang w:val="bg-BG"/>
              </w:rPr>
              <w:t xml:space="preserve"> мерки за осигуряване на условия за устойчив риболов чрез компенсиране на загубите от пандемията Covid 19</w:t>
            </w:r>
          </w:p>
          <w:p w14:paraId="27A78E43" w14:textId="7809FB6F" w:rsidR="00EF39A1" w:rsidRPr="00610B1B" w:rsidRDefault="001773B3" w:rsidP="00D14B5D">
            <w:pPr>
              <w:pStyle w:val="ListParagraph"/>
              <w:tabs>
                <w:tab w:val="left" w:pos="310"/>
              </w:tabs>
              <w:ind w:left="0"/>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w:t>
            </w:r>
          </w:p>
          <w:p w14:paraId="38723ACA" w14:textId="42AD5078" w:rsidR="00BA01CF" w:rsidRPr="00610B1B" w:rsidRDefault="00BA01CF" w:rsidP="00BA01CF">
            <w:pPr>
              <w:pStyle w:val="ListParagraph"/>
              <w:pBdr>
                <w:bottom w:val="single" w:sz="6" w:space="1" w:color="auto"/>
              </w:pBdr>
              <w:tabs>
                <w:tab w:val="left" w:pos="310"/>
              </w:tabs>
              <w:ind w:left="0"/>
              <w:contextualSpacing w:val="0"/>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rPr>
              <w:t xml:space="preserve">2.3. </w:t>
            </w:r>
            <w:r w:rsidRPr="00610B1B">
              <w:rPr>
                <w:rFonts w:ascii="Times New Roman" w:hAnsi="Times New Roman" w:cs="Times New Roman"/>
                <w:sz w:val="20"/>
                <w:szCs w:val="20"/>
                <w:lang w:val="bg-BG" w:bidi="bg-BG"/>
              </w:rPr>
              <w:t>Отчитане на  нивата на приулов на екземпляри от видовете птици, тясно свързани с морска среда (среден корморан, средиземноморски буревестник, чайки и рибарки),</w:t>
            </w:r>
          </w:p>
          <w:p w14:paraId="0DF4F2C6" w14:textId="09124DFB" w:rsidR="00B3557F" w:rsidRPr="00610B1B" w:rsidRDefault="00B3557F" w:rsidP="00BA01CF">
            <w:pPr>
              <w:pStyle w:val="ListParagraph"/>
              <w:pBdr>
                <w:bottom w:val="single" w:sz="6" w:space="1" w:color="auto"/>
              </w:pBdr>
              <w:tabs>
                <w:tab w:val="left" w:pos="310"/>
              </w:tabs>
              <w:ind w:left="0"/>
              <w:contextualSpacing w:val="0"/>
              <w:jc w:val="both"/>
              <w:rPr>
                <w:rFonts w:ascii="Times New Roman" w:hAnsi="Times New Roman" w:cs="Times New Roman"/>
                <w:sz w:val="20"/>
                <w:szCs w:val="20"/>
                <w:lang w:val="bg-BG" w:bidi="bg-BG"/>
              </w:rPr>
            </w:pPr>
          </w:p>
          <w:p w14:paraId="1E464491" w14:textId="77777777" w:rsidR="00B3557F" w:rsidRPr="00610B1B" w:rsidRDefault="00B3557F" w:rsidP="00BA01CF">
            <w:pPr>
              <w:pStyle w:val="ListParagraph"/>
              <w:pBdr>
                <w:bottom w:val="single" w:sz="6" w:space="1" w:color="auto"/>
              </w:pBdr>
              <w:tabs>
                <w:tab w:val="left" w:pos="310"/>
              </w:tabs>
              <w:ind w:left="0"/>
              <w:contextualSpacing w:val="0"/>
              <w:jc w:val="both"/>
              <w:rPr>
                <w:rFonts w:ascii="Times New Roman" w:hAnsi="Times New Roman" w:cs="Times New Roman"/>
                <w:sz w:val="20"/>
                <w:szCs w:val="20"/>
                <w:lang w:val="bg-BG" w:bidi="bg-BG"/>
              </w:rPr>
            </w:pPr>
          </w:p>
          <w:p w14:paraId="7FEDEA6B" w14:textId="2BBBC1CC" w:rsidR="001773B3" w:rsidRPr="00610B1B" w:rsidRDefault="001773B3" w:rsidP="001773B3">
            <w:pPr>
              <w:pStyle w:val="Bodytext22"/>
              <w:shd w:val="clear" w:color="auto" w:fill="auto"/>
              <w:tabs>
                <w:tab w:val="left" w:pos="1022"/>
              </w:tabs>
              <w:spacing w:before="0" w:after="0" w:line="277" w:lineRule="exact"/>
              <w:ind w:firstLine="0"/>
              <w:rPr>
                <w:color w:val="000000"/>
                <w:sz w:val="20"/>
                <w:szCs w:val="20"/>
                <w:lang w:val="bg-BG" w:eastAsia="bg-BG" w:bidi="bg-BG"/>
              </w:rPr>
            </w:pPr>
            <w:r w:rsidRPr="00610B1B">
              <w:rPr>
                <w:sz w:val="20"/>
                <w:szCs w:val="20"/>
                <w:lang w:val="bg-BG" w:bidi="bg-BG"/>
              </w:rPr>
              <w:t xml:space="preserve">2.4. </w:t>
            </w:r>
            <w:r w:rsidRPr="00610B1B">
              <w:rPr>
                <w:color w:val="000000"/>
                <w:sz w:val="20"/>
                <w:szCs w:val="20"/>
                <w:lang w:val="bg-BG" w:eastAsia="bg-BG" w:bidi="bg-BG"/>
              </w:rPr>
              <w:t>С цел подобряване на природозащитното състояние на морските бозайници, да се сведе до минимум приулов на китоподобни в даляни и мрежи, които не са снабдени с пингъри (ултразвукови устройства, прогонващи делфини).</w:t>
            </w:r>
          </w:p>
          <w:p w14:paraId="5D067B63" w14:textId="20F095C5" w:rsidR="00EB1AF3" w:rsidRPr="00610B1B" w:rsidRDefault="00EB1AF3" w:rsidP="001773B3">
            <w:pPr>
              <w:pStyle w:val="Bodytext22"/>
              <w:shd w:val="clear" w:color="auto" w:fill="auto"/>
              <w:tabs>
                <w:tab w:val="left" w:pos="1022"/>
              </w:tabs>
              <w:spacing w:before="0" w:after="0" w:line="277" w:lineRule="exact"/>
              <w:ind w:firstLine="0"/>
              <w:rPr>
                <w:sz w:val="20"/>
                <w:szCs w:val="20"/>
                <w:lang w:val="bg-BG"/>
              </w:rPr>
            </w:pPr>
            <w:r w:rsidRPr="00610B1B">
              <w:rPr>
                <w:color w:val="000000"/>
                <w:sz w:val="20"/>
                <w:szCs w:val="20"/>
                <w:lang w:val="bg-BG" w:eastAsia="bg-BG" w:bidi="bg-BG"/>
              </w:rPr>
              <w:t>-----------------------------------------------------------------------------</w:t>
            </w:r>
          </w:p>
          <w:p w14:paraId="008A2AF4" w14:textId="77777777" w:rsidR="001773B3" w:rsidRPr="00610B1B" w:rsidRDefault="00EB1AF3" w:rsidP="00BA01CF">
            <w:pPr>
              <w:pStyle w:val="ListParagraph"/>
              <w:tabs>
                <w:tab w:val="left" w:pos="310"/>
              </w:tabs>
              <w:ind w:left="0"/>
              <w:contextualSpacing w:val="0"/>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rPr>
              <w:lastRenderedPageBreak/>
              <w:t xml:space="preserve">2.5. </w:t>
            </w:r>
            <w:r w:rsidRPr="00610B1B">
              <w:rPr>
                <w:rFonts w:ascii="Times New Roman" w:hAnsi="Times New Roman" w:cs="Times New Roman"/>
                <w:sz w:val="20"/>
                <w:szCs w:val="20"/>
                <w:lang w:val="bg-BG" w:bidi="bg-BG"/>
              </w:rPr>
              <w:t>Да се предвиди възможност за временно и динамично обособяване на зони забранени за риболов.</w:t>
            </w:r>
          </w:p>
          <w:p w14:paraId="0D025BCD" w14:textId="77777777" w:rsidR="00434676" w:rsidRPr="00610B1B" w:rsidRDefault="00434676" w:rsidP="00BA01CF">
            <w:pPr>
              <w:pStyle w:val="ListParagraph"/>
              <w:tabs>
                <w:tab w:val="left" w:pos="310"/>
              </w:tabs>
              <w:ind w:left="0"/>
              <w:contextualSpacing w:val="0"/>
              <w:jc w:val="both"/>
              <w:rPr>
                <w:rFonts w:ascii="Times New Roman" w:hAnsi="Times New Roman" w:cs="Times New Roman"/>
                <w:sz w:val="20"/>
                <w:szCs w:val="20"/>
                <w:lang w:val="bg-BG" w:bidi="bg-BG"/>
              </w:rPr>
            </w:pPr>
          </w:p>
          <w:p w14:paraId="48204893" w14:textId="77777777" w:rsidR="00434676" w:rsidRPr="00610B1B" w:rsidRDefault="00434676" w:rsidP="00BA01CF">
            <w:pPr>
              <w:pStyle w:val="ListParagraph"/>
              <w:tabs>
                <w:tab w:val="left" w:pos="310"/>
              </w:tabs>
              <w:ind w:left="0"/>
              <w:contextualSpacing w:val="0"/>
              <w:jc w:val="both"/>
              <w:rPr>
                <w:rFonts w:ascii="Times New Roman" w:hAnsi="Times New Roman" w:cs="Times New Roman"/>
                <w:sz w:val="20"/>
                <w:szCs w:val="20"/>
                <w:lang w:val="bg-BG" w:bidi="bg-BG"/>
              </w:rPr>
            </w:pPr>
          </w:p>
          <w:p w14:paraId="525504F2" w14:textId="77777777" w:rsidR="00434676" w:rsidRPr="00610B1B" w:rsidRDefault="00434676" w:rsidP="00BA01CF">
            <w:pPr>
              <w:pStyle w:val="ListParagraph"/>
              <w:tabs>
                <w:tab w:val="left" w:pos="310"/>
              </w:tabs>
              <w:ind w:left="0"/>
              <w:contextualSpacing w:val="0"/>
              <w:jc w:val="both"/>
              <w:rPr>
                <w:rFonts w:ascii="Times New Roman" w:hAnsi="Times New Roman" w:cs="Times New Roman"/>
                <w:sz w:val="20"/>
                <w:szCs w:val="20"/>
                <w:lang w:val="bg-BG" w:bidi="bg-BG"/>
              </w:rPr>
            </w:pPr>
          </w:p>
          <w:p w14:paraId="2B9BC3EF" w14:textId="77777777" w:rsidR="00434676" w:rsidRPr="00610B1B" w:rsidRDefault="00434676" w:rsidP="00BA01CF">
            <w:pPr>
              <w:pStyle w:val="ListParagraph"/>
              <w:tabs>
                <w:tab w:val="left" w:pos="310"/>
              </w:tabs>
              <w:ind w:left="0"/>
              <w:contextualSpacing w:val="0"/>
              <w:jc w:val="both"/>
              <w:rPr>
                <w:rFonts w:ascii="Times New Roman" w:hAnsi="Times New Roman" w:cs="Times New Roman"/>
                <w:sz w:val="20"/>
                <w:szCs w:val="20"/>
                <w:lang w:val="bg-BG" w:bidi="bg-BG"/>
              </w:rPr>
            </w:pPr>
          </w:p>
          <w:p w14:paraId="6A45771D" w14:textId="77777777" w:rsidR="00434676" w:rsidRPr="00610B1B" w:rsidRDefault="00434676" w:rsidP="00BA01CF">
            <w:pPr>
              <w:pStyle w:val="ListParagraph"/>
              <w:pBdr>
                <w:bottom w:val="single" w:sz="6" w:space="1" w:color="auto"/>
              </w:pBdr>
              <w:tabs>
                <w:tab w:val="left" w:pos="310"/>
              </w:tabs>
              <w:ind w:left="0"/>
              <w:contextualSpacing w:val="0"/>
              <w:jc w:val="both"/>
              <w:rPr>
                <w:rFonts w:ascii="Times New Roman" w:hAnsi="Times New Roman" w:cs="Times New Roman"/>
                <w:sz w:val="20"/>
                <w:szCs w:val="20"/>
                <w:lang w:val="bg-BG" w:bidi="bg-BG"/>
              </w:rPr>
            </w:pPr>
          </w:p>
          <w:p w14:paraId="035AF2BB" w14:textId="38E3EDB8" w:rsidR="00434676" w:rsidRPr="00610B1B" w:rsidRDefault="00434676" w:rsidP="00BA01CF">
            <w:pPr>
              <w:pStyle w:val="ListParagraph"/>
              <w:tabs>
                <w:tab w:val="left" w:pos="310"/>
              </w:tabs>
              <w:ind w:left="0"/>
              <w:contextualSpacing w:val="0"/>
              <w:jc w:val="both"/>
              <w:rPr>
                <w:rFonts w:ascii="Times New Roman" w:hAnsi="Times New Roman" w:cs="Times New Roman"/>
                <w:sz w:val="20"/>
                <w:szCs w:val="20"/>
                <w:lang w:val="bg-BG"/>
              </w:rPr>
            </w:pPr>
            <w:r w:rsidRPr="00610B1B">
              <w:rPr>
                <w:rFonts w:ascii="Times New Roman" w:hAnsi="Times New Roman" w:cs="Times New Roman"/>
                <w:sz w:val="20"/>
                <w:szCs w:val="20"/>
                <w:lang w:val="bg-BG" w:bidi="bg-BG"/>
              </w:rPr>
              <w:t xml:space="preserve">2.6. </w:t>
            </w:r>
            <w:r w:rsidRPr="00E63187">
              <w:rPr>
                <w:rFonts w:ascii="Times New Roman" w:hAnsi="Times New Roman" w:cs="Times New Roman"/>
                <w:sz w:val="20"/>
                <w:szCs w:val="20"/>
                <w:lang w:val="bg-BG" w:bidi="bg-BG"/>
              </w:rPr>
              <w:t>За намаляване на натиска от инвазивни видове с все по нарастваща редукция на</w:t>
            </w:r>
            <w:r w:rsidRPr="00610B1B">
              <w:rPr>
                <w:rFonts w:ascii="Times New Roman" w:hAnsi="Times New Roman" w:cs="Times New Roman"/>
                <w:sz w:val="20"/>
                <w:szCs w:val="20"/>
                <w:lang w:val="bg-BG" w:bidi="bg-BG"/>
              </w:rPr>
              <w:t xml:space="preserve"> </w:t>
            </w:r>
            <w:r w:rsidRPr="00E63187">
              <w:rPr>
                <w:rFonts w:ascii="Times New Roman" w:hAnsi="Times New Roman" w:cs="Times New Roman"/>
                <w:sz w:val="20"/>
                <w:szCs w:val="20"/>
                <w:lang w:val="bg-BG" w:bidi="bg-BG"/>
              </w:rPr>
              <w:t>популацията на риби да се провежда ежегоден мониторинг върху вида, числеността и</w:t>
            </w:r>
            <w:r w:rsidRPr="00610B1B">
              <w:rPr>
                <w:rFonts w:ascii="Times New Roman" w:hAnsi="Times New Roman" w:cs="Times New Roman"/>
                <w:sz w:val="20"/>
                <w:szCs w:val="20"/>
                <w:lang w:val="bg-BG" w:bidi="bg-BG"/>
              </w:rPr>
              <w:t xml:space="preserve"> </w:t>
            </w:r>
            <w:r w:rsidRPr="00E63187">
              <w:rPr>
                <w:rFonts w:ascii="Times New Roman" w:hAnsi="Times New Roman" w:cs="Times New Roman"/>
                <w:sz w:val="20"/>
                <w:szCs w:val="20"/>
                <w:lang w:val="bg-BG" w:bidi="bg-BG"/>
              </w:rPr>
              <w:t>териториалното разпространение на инвазивните видове като се изпълняват мерките за</w:t>
            </w:r>
            <w:r w:rsidRPr="00610B1B">
              <w:rPr>
                <w:rFonts w:ascii="Times New Roman" w:hAnsi="Times New Roman" w:cs="Times New Roman"/>
                <w:sz w:val="20"/>
                <w:szCs w:val="20"/>
                <w:lang w:val="bg-BG" w:bidi="bg-BG"/>
              </w:rPr>
              <w:t xml:space="preserve"> </w:t>
            </w:r>
            <w:r w:rsidRPr="00E63187">
              <w:rPr>
                <w:rFonts w:ascii="Times New Roman" w:hAnsi="Times New Roman" w:cs="Times New Roman"/>
                <w:sz w:val="20"/>
                <w:szCs w:val="20"/>
                <w:lang w:val="bg-BG" w:bidi="bg-BG"/>
              </w:rPr>
              <w:t>обработка на корабите в българското морско пространство</w:t>
            </w:r>
          </w:p>
        </w:tc>
        <w:tc>
          <w:tcPr>
            <w:tcW w:w="1984" w:type="dxa"/>
          </w:tcPr>
          <w:p w14:paraId="6013EF82"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МЗХГ</w:t>
            </w:r>
            <w:r w:rsidR="00DD6CD4" w:rsidRPr="00610B1B">
              <w:rPr>
                <w:rFonts w:ascii="Times New Roman" w:hAnsi="Times New Roman" w:cs="Times New Roman"/>
                <w:sz w:val="20"/>
                <w:szCs w:val="20"/>
                <w:lang w:val="bg-BG"/>
              </w:rPr>
              <w:t>,</w:t>
            </w:r>
            <w:r w:rsidRPr="00610B1B">
              <w:rPr>
                <w:rFonts w:ascii="Times New Roman" w:hAnsi="Times New Roman" w:cs="Times New Roman"/>
                <w:sz w:val="20"/>
                <w:szCs w:val="20"/>
                <w:lang w:val="bg-BG"/>
              </w:rPr>
              <w:t xml:space="preserve"> ИАРА</w:t>
            </w:r>
          </w:p>
          <w:p w14:paraId="3E517A23" w14:textId="77777777" w:rsidR="00BA01CF" w:rsidRPr="00610B1B" w:rsidRDefault="00BA01CF" w:rsidP="00D32D6A">
            <w:pPr>
              <w:rPr>
                <w:rFonts w:ascii="Times New Roman" w:hAnsi="Times New Roman" w:cs="Times New Roman"/>
                <w:sz w:val="20"/>
                <w:szCs w:val="20"/>
                <w:lang w:val="bg-BG"/>
              </w:rPr>
            </w:pPr>
          </w:p>
          <w:p w14:paraId="39783078" w14:textId="77777777" w:rsidR="00BA01CF" w:rsidRPr="00610B1B" w:rsidRDefault="00BA01CF" w:rsidP="00D32D6A">
            <w:pPr>
              <w:rPr>
                <w:rFonts w:ascii="Times New Roman" w:hAnsi="Times New Roman" w:cs="Times New Roman"/>
                <w:sz w:val="20"/>
                <w:szCs w:val="20"/>
                <w:lang w:val="bg-BG"/>
              </w:rPr>
            </w:pPr>
          </w:p>
          <w:p w14:paraId="1D932B90" w14:textId="77777777" w:rsidR="00EF39A1" w:rsidRPr="00610B1B" w:rsidRDefault="00EF39A1" w:rsidP="00D32D6A">
            <w:pPr>
              <w:rPr>
                <w:rFonts w:ascii="Times New Roman" w:hAnsi="Times New Roman" w:cs="Times New Roman"/>
                <w:sz w:val="20"/>
                <w:szCs w:val="20"/>
                <w:lang w:val="bg-BG"/>
              </w:rPr>
            </w:pPr>
          </w:p>
          <w:p w14:paraId="76C906FF" w14:textId="2A82AA73" w:rsidR="00BA01CF" w:rsidRPr="00610B1B" w:rsidRDefault="00BA01CF"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БДЧР, ИАРА</w:t>
            </w:r>
          </w:p>
          <w:p w14:paraId="71D1C9FA" w14:textId="183E719C" w:rsidR="00B3557F" w:rsidRPr="00610B1B" w:rsidRDefault="00B3557F" w:rsidP="00D32D6A">
            <w:pPr>
              <w:rPr>
                <w:rFonts w:ascii="Times New Roman" w:hAnsi="Times New Roman" w:cs="Times New Roman"/>
                <w:sz w:val="20"/>
                <w:szCs w:val="20"/>
                <w:lang w:val="bg-BG"/>
              </w:rPr>
            </w:pPr>
          </w:p>
          <w:p w14:paraId="2E9935D4" w14:textId="46B2DCC8" w:rsidR="00B3557F" w:rsidRPr="00610B1B" w:rsidRDefault="00B3557F" w:rsidP="00D32D6A">
            <w:pPr>
              <w:rPr>
                <w:rFonts w:ascii="Times New Roman" w:hAnsi="Times New Roman" w:cs="Times New Roman"/>
                <w:sz w:val="20"/>
                <w:szCs w:val="20"/>
                <w:lang w:val="bg-BG"/>
              </w:rPr>
            </w:pPr>
          </w:p>
          <w:p w14:paraId="56CCCB88" w14:textId="09A9094F" w:rsidR="00B3557F" w:rsidRPr="00610B1B" w:rsidRDefault="00B3557F" w:rsidP="00D32D6A">
            <w:pPr>
              <w:rPr>
                <w:rFonts w:ascii="Times New Roman" w:hAnsi="Times New Roman" w:cs="Times New Roman"/>
                <w:sz w:val="20"/>
                <w:szCs w:val="20"/>
                <w:lang w:val="bg-BG"/>
              </w:rPr>
            </w:pPr>
          </w:p>
          <w:p w14:paraId="34D6DA91" w14:textId="318BAF5D" w:rsidR="00B3557F" w:rsidRPr="00610B1B" w:rsidRDefault="00B3557F" w:rsidP="00D32D6A">
            <w:pPr>
              <w:rPr>
                <w:rFonts w:ascii="Times New Roman" w:hAnsi="Times New Roman" w:cs="Times New Roman"/>
                <w:sz w:val="20"/>
                <w:szCs w:val="20"/>
                <w:lang w:val="bg-BG"/>
              </w:rPr>
            </w:pPr>
          </w:p>
          <w:p w14:paraId="56D34F96" w14:textId="03A10E4E" w:rsidR="00B3557F" w:rsidRPr="00610B1B" w:rsidRDefault="00B3557F" w:rsidP="00D32D6A">
            <w:pPr>
              <w:rPr>
                <w:rFonts w:ascii="Times New Roman" w:hAnsi="Times New Roman" w:cs="Times New Roman"/>
                <w:sz w:val="20"/>
                <w:szCs w:val="20"/>
                <w:lang w:val="bg-BG"/>
              </w:rPr>
            </w:pPr>
          </w:p>
          <w:p w14:paraId="42AC8772" w14:textId="54379F3A" w:rsidR="00B3557F" w:rsidRPr="00610B1B" w:rsidRDefault="00B3557F" w:rsidP="00B3557F">
            <w:pPr>
              <w:rPr>
                <w:rFonts w:ascii="Times New Roman" w:hAnsi="Times New Roman" w:cs="Times New Roman"/>
                <w:sz w:val="20"/>
                <w:szCs w:val="20"/>
                <w:lang w:val="bg-BG"/>
              </w:rPr>
            </w:pPr>
            <w:r w:rsidRPr="00610B1B">
              <w:rPr>
                <w:rFonts w:ascii="Times New Roman" w:hAnsi="Times New Roman" w:cs="Times New Roman"/>
                <w:sz w:val="20"/>
                <w:szCs w:val="20"/>
                <w:lang w:val="bg-BG"/>
              </w:rPr>
              <w:t>БДЧР, ИАРА</w:t>
            </w:r>
          </w:p>
          <w:p w14:paraId="74E44D89" w14:textId="757F6459" w:rsidR="00EB1AF3" w:rsidRPr="00610B1B" w:rsidRDefault="00EB1AF3" w:rsidP="00B3557F">
            <w:pPr>
              <w:rPr>
                <w:rFonts w:ascii="Times New Roman" w:hAnsi="Times New Roman" w:cs="Times New Roman"/>
                <w:sz w:val="20"/>
                <w:szCs w:val="20"/>
                <w:lang w:val="bg-BG"/>
              </w:rPr>
            </w:pPr>
          </w:p>
          <w:p w14:paraId="3339939B" w14:textId="42E08317" w:rsidR="00EB1AF3" w:rsidRPr="00610B1B" w:rsidRDefault="00EB1AF3" w:rsidP="00B3557F">
            <w:pPr>
              <w:rPr>
                <w:rFonts w:ascii="Times New Roman" w:hAnsi="Times New Roman" w:cs="Times New Roman"/>
                <w:sz w:val="20"/>
                <w:szCs w:val="20"/>
                <w:lang w:val="bg-BG"/>
              </w:rPr>
            </w:pPr>
          </w:p>
          <w:p w14:paraId="3A11E4C5" w14:textId="5B82241E" w:rsidR="00EB1AF3" w:rsidRPr="00610B1B" w:rsidRDefault="00EB1AF3" w:rsidP="00B3557F">
            <w:pPr>
              <w:rPr>
                <w:rFonts w:ascii="Times New Roman" w:hAnsi="Times New Roman" w:cs="Times New Roman"/>
                <w:sz w:val="20"/>
                <w:szCs w:val="20"/>
                <w:lang w:val="bg-BG"/>
              </w:rPr>
            </w:pPr>
          </w:p>
          <w:p w14:paraId="2AB088D6" w14:textId="517E4FD6" w:rsidR="00EB1AF3" w:rsidRPr="00610B1B" w:rsidRDefault="00EB1AF3" w:rsidP="00B3557F">
            <w:pPr>
              <w:rPr>
                <w:rFonts w:ascii="Times New Roman" w:hAnsi="Times New Roman" w:cs="Times New Roman"/>
                <w:sz w:val="20"/>
                <w:szCs w:val="20"/>
                <w:lang w:val="bg-BG"/>
              </w:rPr>
            </w:pPr>
          </w:p>
          <w:p w14:paraId="75C99344" w14:textId="51237F54" w:rsidR="00EB1AF3" w:rsidRPr="00610B1B" w:rsidRDefault="00EB1AF3" w:rsidP="00B3557F">
            <w:pPr>
              <w:rPr>
                <w:rFonts w:ascii="Times New Roman" w:hAnsi="Times New Roman" w:cs="Times New Roman"/>
                <w:sz w:val="20"/>
                <w:szCs w:val="20"/>
                <w:lang w:val="bg-BG"/>
              </w:rPr>
            </w:pPr>
          </w:p>
          <w:p w14:paraId="59D89B72" w14:textId="153451B9" w:rsidR="00EB1AF3" w:rsidRPr="00610B1B" w:rsidRDefault="00EB1AF3" w:rsidP="00B3557F">
            <w:pPr>
              <w:rPr>
                <w:rFonts w:ascii="Times New Roman" w:hAnsi="Times New Roman" w:cs="Times New Roman"/>
                <w:sz w:val="20"/>
                <w:szCs w:val="20"/>
                <w:lang w:val="bg-BG"/>
              </w:rPr>
            </w:pPr>
            <w:r w:rsidRPr="00610B1B">
              <w:rPr>
                <w:rFonts w:ascii="Times New Roman" w:hAnsi="Times New Roman" w:cs="Times New Roman"/>
                <w:sz w:val="20"/>
                <w:szCs w:val="20"/>
                <w:lang w:val="bg-BG" w:bidi="bg-BG"/>
              </w:rPr>
              <w:lastRenderedPageBreak/>
              <w:t>МОСВ, МЗ, ИАРА, (ИРР), ИО-БАН</w:t>
            </w:r>
          </w:p>
          <w:p w14:paraId="54AE6D86" w14:textId="77777777" w:rsidR="00B3557F" w:rsidRPr="00610B1B" w:rsidRDefault="00B3557F" w:rsidP="00D32D6A">
            <w:pPr>
              <w:rPr>
                <w:rFonts w:ascii="Times New Roman" w:hAnsi="Times New Roman" w:cs="Times New Roman"/>
                <w:sz w:val="20"/>
                <w:szCs w:val="20"/>
                <w:lang w:val="bg-BG"/>
              </w:rPr>
            </w:pPr>
          </w:p>
          <w:p w14:paraId="3E403B94" w14:textId="77777777" w:rsidR="00B3557F" w:rsidRPr="00610B1B" w:rsidRDefault="00B3557F" w:rsidP="00D32D6A">
            <w:pPr>
              <w:rPr>
                <w:rFonts w:ascii="Times New Roman" w:hAnsi="Times New Roman" w:cs="Times New Roman"/>
                <w:sz w:val="20"/>
                <w:szCs w:val="20"/>
                <w:lang w:val="bg-BG"/>
              </w:rPr>
            </w:pPr>
          </w:p>
          <w:p w14:paraId="7BD37F3E" w14:textId="77777777" w:rsidR="00B3557F" w:rsidRPr="00610B1B" w:rsidRDefault="00B3557F" w:rsidP="00D32D6A">
            <w:pPr>
              <w:rPr>
                <w:rFonts w:ascii="Times New Roman" w:hAnsi="Times New Roman" w:cs="Times New Roman"/>
                <w:sz w:val="20"/>
                <w:szCs w:val="20"/>
                <w:lang w:val="bg-BG"/>
              </w:rPr>
            </w:pPr>
          </w:p>
          <w:p w14:paraId="6079A575" w14:textId="77777777" w:rsidR="00B3557F" w:rsidRPr="00610B1B" w:rsidRDefault="00B3557F" w:rsidP="00D32D6A">
            <w:pPr>
              <w:rPr>
                <w:rFonts w:ascii="Times New Roman" w:hAnsi="Times New Roman" w:cs="Times New Roman"/>
                <w:sz w:val="20"/>
                <w:szCs w:val="20"/>
                <w:lang w:val="bg-BG"/>
              </w:rPr>
            </w:pPr>
          </w:p>
          <w:p w14:paraId="211A279C" w14:textId="77777777" w:rsidR="00B3557F" w:rsidRPr="00610B1B" w:rsidRDefault="00B3557F" w:rsidP="00D32D6A">
            <w:pPr>
              <w:rPr>
                <w:rFonts w:ascii="Times New Roman" w:hAnsi="Times New Roman" w:cs="Times New Roman"/>
                <w:sz w:val="20"/>
                <w:szCs w:val="20"/>
                <w:lang w:val="bg-BG"/>
              </w:rPr>
            </w:pPr>
          </w:p>
          <w:p w14:paraId="56941A0A" w14:textId="77777777" w:rsidR="00434676" w:rsidRPr="00610B1B" w:rsidRDefault="00434676" w:rsidP="00434676">
            <w:pPr>
              <w:rPr>
                <w:rFonts w:ascii="Times New Roman" w:hAnsi="Times New Roman" w:cs="Times New Roman"/>
                <w:sz w:val="20"/>
                <w:szCs w:val="20"/>
                <w:lang w:val="bg-BG"/>
              </w:rPr>
            </w:pPr>
            <w:r w:rsidRPr="00610B1B">
              <w:rPr>
                <w:rFonts w:ascii="Times New Roman" w:hAnsi="Times New Roman" w:cs="Times New Roman"/>
                <w:sz w:val="20"/>
                <w:szCs w:val="20"/>
                <w:lang w:val="bg-BG" w:bidi="bg-BG"/>
              </w:rPr>
              <w:t>МОСВ, МЗ, ИАРА, (ИРР), ИО-БАН</w:t>
            </w:r>
          </w:p>
          <w:p w14:paraId="38371DF1" w14:textId="77777777" w:rsidR="00B3557F" w:rsidRPr="00610B1B" w:rsidRDefault="00B3557F" w:rsidP="00D32D6A">
            <w:pPr>
              <w:rPr>
                <w:rFonts w:ascii="Times New Roman" w:hAnsi="Times New Roman" w:cs="Times New Roman"/>
                <w:sz w:val="20"/>
                <w:szCs w:val="20"/>
                <w:lang w:val="bg-BG"/>
              </w:rPr>
            </w:pPr>
          </w:p>
          <w:p w14:paraId="531E9A6B" w14:textId="05F5AD14" w:rsidR="00B3557F" w:rsidRPr="00610B1B" w:rsidRDefault="00B3557F" w:rsidP="00D32D6A">
            <w:pPr>
              <w:rPr>
                <w:rFonts w:ascii="Times New Roman" w:hAnsi="Times New Roman" w:cs="Times New Roman"/>
                <w:sz w:val="20"/>
                <w:szCs w:val="20"/>
                <w:lang w:val="bg-BG"/>
              </w:rPr>
            </w:pPr>
          </w:p>
        </w:tc>
        <w:tc>
          <w:tcPr>
            <w:tcW w:w="3232" w:type="dxa"/>
          </w:tcPr>
          <w:p w14:paraId="1937BC73" w14:textId="03E257C2"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 xml:space="preserve">Да се намали натискът от бракониерство и нерегистриран </w:t>
            </w:r>
            <w:r w:rsidR="00BA01CF"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улов</w:t>
            </w:r>
            <w:r w:rsidR="00EF39A1" w:rsidRPr="00610B1B">
              <w:rPr>
                <w:rFonts w:ascii="Times New Roman" w:hAnsi="Times New Roman" w:cs="Times New Roman"/>
                <w:sz w:val="20"/>
                <w:szCs w:val="20"/>
                <w:lang w:val="bg-BG"/>
              </w:rPr>
              <w:t xml:space="preserve">                                                                  </w:t>
            </w:r>
          </w:p>
          <w:p w14:paraId="497E061E" w14:textId="77777777" w:rsidR="00BA01CF" w:rsidRPr="00610B1B" w:rsidRDefault="00BA01CF" w:rsidP="00D32D6A">
            <w:pPr>
              <w:rPr>
                <w:rFonts w:ascii="Times New Roman" w:hAnsi="Times New Roman" w:cs="Times New Roman"/>
                <w:sz w:val="20"/>
                <w:szCs w:val="20"/>
                <w:lang w:val="bg-BG"/>
              </w:rPr>
            </w:pPr>
          </w:p>
          <w:p w14:paraId="77B36FE1" w14:textId="1C14BBE3" w:rsidR="00BA01CF" w:rsidRPr="00610B1B" w:rsidRDefault="00EF39A1" w:rsidP="00BA01CF">
            <w:pPr>
              <w:rPr>
                <w:rFonts w:ascii="Times New Roman" w:hAnsi="Times New Roman" w:cs="Times New Roman"/>
                <w:sz w:val="20"/>
                <w:szCs w:val="20"/>
                <w:lang w:val="bg-BG"/>
              </w:rPr>
            </w:pPr>
            <w:r w:rsidRPr="00610B1B">
              <w:rPr>
                <w:rFonts w:ascii="Times New Roman" w:hAnsi="Times New Roman" w:cs="Times New Roman"/>
                <w:sz w:val="20"/>
                <w:szCs w:val="20"/>
                <w:lang w:val="bg-BG" w:bidi="bg-BG"/>
              </w:rPr>
              <w:t>Щ</w:t>
            </w:r>
            <w:r w:rsidR="00BA01CF" w:rsidRPr="00610B1B">
              <w:rPr>
                <w:rFonts w:ascii="Times New Roman" w:hAnsi="Times New Roman" w:cs="Times New Roman"/>
                <w:sz w:val="20"/>
                <w:szCs w:val="20"/>
                <w:lang w:val="bg-BG" w:bidi="bg-BG"/>
              </w:rPr>
              <w:t>е спомогне за изпълнение на България на международните договори, свързани с опазване на биологичното разнообразие в морските екосистеми</w:t>
            </w:r>
          </w:p>
          <w:p w14:paraId="564CBB68" w14:textId="77777777" w:rsidR="00BA01CF" w:rsidRPr="00610B1B" w:rsidRDefault="00BA01CF" w:rsidP="00D32D6A">
            <w:pPr>
              <w:rPr>
                <w:rFonts w:ascii="Times New Roman" w:hAnsi="Times New Roman" w:cs="Times New Roman"/>
                <w:sz w:val="20"/>
                <w:szCs w:val="20"/>
                <w:lang w:val="bg-BG"/>
              </w:rPr>
            </w:pPr>
          </w:p>
          <w:p w14:paraId="45656BFC" w14:textId="77777777" w:rsidR="00B3557F" w:rsidRPr="00610B1B" w:rsidRDefault="00B3557F"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Защита на китоподобните и увеличаване на популацията им</w:t>
            </w:r>
          </w:p>
          <w:p w14:paraId="2EA99374" w14:textId="77777777" w:rsidR="005F3062" w:rsidRPr="00610B1B" w:rsidRDefault="005F3062" w:rsidP="00D32D6A">
            <w:pPr>
              <w:rPr>
                <w:rFonts w:ascii="Times New Roman" w:hAnsi="Times New Roman" w:cs="Times New Roman"/>
                <w:sz w:val="20"/>
                <w:szCs w:val="20"/>
                <w:lang w:val="bg-BG"/>
              </w:rPr>
            </w:pPr>
          </w:p>
          <w:p w14:paraId="703CEFA7" w14:textId="77777777" w:rsidR="005F3062" w:rsidRPr="00610B1B" w:rsidRDefault="005F3062" w:rsidP="00D32D6A">
            <w:pPr>
              <w:rPr>
                <w:rFonts w:ascii="Times New Roman" w:hAnsi="Times New Roman" w:cs="Times New Roman"/>
                <w:sz w:val="20"/>
                <w:szCs w:val="20"/>
                <w:lang w:val="bg-BG"/>
              </w:rPr>
            </w:pPr>
          </w:p>
          <w:p w14:paraId="05A985C0" w14:textId="77777777" w:rsidR="005F3062" w:rsidRPr="00610B1B" w:rsidRDefault="005F3062" w:rsidP="00D32D6A">
            <w:pPr>
              <w:rPr>
                <w:rFonts w:ascii="Times New Roman" w:hAnsi="Times New Roman" w:cs="Times New Roman"/>
                <w:sz w:val="20"/>
                <w:szCs w:val="20"/>
                <w:lang w:val="bg-BG"/>
              </w:rPr>
            </w:pPr>
          </w:p>
          <w:p w14:paraId="77720D34" w14:textId="77777777" w:rsidR="005F3062" w:rsidRPr="00610B1B" w:rsidRDefault="005F3062" w:rsidP="00D32D6A">
            <w:pPr>
              <w:rPr>
                <w:rFonts w:ascii="Times New Roman" w:hAnsi="Times New Roman" w:cs="Times New Roman"/>
                <w:sz w:val="20"/>
                <w:szCs w:val="20"/>
                <w:lang w:val="bg-BG"/>
              </w:rPr>
            </w:pPr>
          </w:p>
          <w:p w14:paraId="4D19D2D6" w14:textId="77777777" w:rsidR="005F3062" w:rsidRPr="00610B1B" w:rsidRDefault="005F3062" w:rsidP="00D32D6A">
            <w:pP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lastRenderedPageBreak/>
              <w:t>Възстановяване на запасите и временна защита на определени акватории(напр. за хвърляне на хайвер) и  силно положително въздействие върху хабитати и биоразнообразие,</w:t>
            </w:r>
          </w:p>
          <w:p w14:paraId="6E35F4D2" w14:textId="77777777" w:rsidR="00434676" w:rsidRPr="00610B1B" w:rsidRDefault="00434676" w:rsidP="00D32D6A">
            <w:pPr>
              <w:rPr>
                <w:rFonts w:ascii="Times New Roman" w:hAnsi="Times New Roman" w:cs="Times New Roman"/>
                <w:sz w:val="20"/>
                <w:szCs w:val="20"/>
                <w:lang w:val="bg-BG" w:bidi="bg-BG"/>
              </w:rPr>
            </w:pPr>
          </w:p>
          <w:p w14:paraId="5816D456" w14:textId="5D73698C" w:rsidR="00434676" w:rsidRPr="00610B1B" w:rsidRDefault="00776031"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bidi="bg-BG"/>
              </w:rPr>
              <w:t>Н</w:t>
            </w:r>
            <w:r w:rsidR="00434676" w:rsidRPr="00E63187">
              <w:rPr>
                <w:rFonts w:ascii="Times New Roman" w:hAnsi="Times New Roman" w:cs="Times New Roman"/>
                <w:sz w:val="20"/>
                <w:szCs w:val="20"/>
                <w:lang w:val="bg-BG" w:bidi="bg-BG"/>
              </w:rPr>
              <w:t>амаляване на натиска от инвазивни видове</w:t>
            </w:r>
          </w:p>
        </w:tc>
        <w:tc>
          <w:tcPr>
            <w:tcW w:w="1376" w:type="dxa"/>
            <w:vAlign w:val="center"/>
          </w:tcPr>
          <w:p w14:paraId="7EDCBC6F" w14:textId="7E6307AF" w:rsidR="00C519AD" w:rsidRPr="00610B1B" w:rsidRDefault="00F4426F" w:rsidP="00BA01CF">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 xml:space="preserve">          </w:t>
            </w:r>
            <w:r w:rsidR="00EF39A1" w:rsidRPr="00610B1B">
              <w:rPr>
                <w:rFonts w:ascii="Times New Roman" w:hAnsi="Times New Roman" w:cs="Times New Roman"/>
                <w:sz w:val="20"/>
                <w:szCs w:val="20"/>
                <w:lang w:val="bg-BG"/>
              </w:rPr>
              <w:t>2024</w:t>
            </w:r>
          </w:p>
        </w:tc>
      </w:tr>
      <w:tr w:rsidR="00DD6CD4" w:rsidRPr="00610B1B" w14:paraId="32713BF3" w14:textId="77777777" w:rsidTr="00537D06">
        <w:tc>
          <w:tcPr>
            <w:tcW w:w="426" w:type="dxa"/>
            <w:vMerge w:val="restart"/>
            <w:vAlign w:val="center"/>
          </w:tcPr>
          <w:p w14:paraId="5B3790AD" w14:textId="427B86D5" w:rsidR="00DD6CD4" w:rsidRPr="00610B1B" w:rsidRDefault="00DD6CD4" w:rsidP="00537D06">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3</w:t>
            </w:r>
          </w:p>
        </w:tc>
        <w:tc>
          <w:tcPr>
            <w:tcW w:w="2693" w:type="dxa"/>
            <w:vMerge w:val="restart"/>
            <w:vAlign w:val="center"/>
          </w:tcPr>
          <w:p w14:paraId="7DB61389" w14:textId="422EF9C3" w:rsidR="00DD6CD4" w:rsidRPr="00610B1B" w:rsidRDefault="00DD6CD4"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Аквакултура</w:t>
            </w:r>
          </w:p>
        </w:tc>
        <w:tc>
          <w:tcPr>
            <w:tcW w:w="5387" w:type="dxa"/>
          </w:tcPr>
          <w:p w14:paraId="4D18750A" w14:textId="057ED2A8" w:rsidR="00DD6CD4" w:rsidRPr="00610B1B" w:rsidRDefault="00DD6CD4" w:rsidP="00D14B5D">
            <w:pPr>
              <w:pStyle w:val="ListParagraph"/>
              <w:tabs>
                <w:tab w:val="left" w:pos="310"/>
              </w:tabs>
              <w:ind w:left="0"/>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3.1. Актуализиране на изискванията за определяне на зоните с условия, подходящи за развитие на морски аквакултури</w:t>
            </w:r>
          </w:p>
        </w:tc>
        <w:tc>
          <w:tcPr>
            <w:tcW w:w="1984" w:type="dxa"/>
          </w:tcPr>
          <w:p w14:paraId="3E4EEDA7" w14:textId="5059A148" w:rsidR="00DD6CD4" w:rsidRPr="00610B1B" w:rsidRDefault="00DD6CD4"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БДЧР</w:t>
            </w:r>
          </w:p>
        </w:tc>
        <w:tc>
          <w:tcPr>
            <w:tcW w:w="3232" w:type="dxa"/>
          </w:tcPr>
          <w:p w14:paraId="75000485" w14:textId="5A0DE915" w:rsidR="00DD6CD4" w:rsidRPr="00610B1B" w:rsidRDefault="00DD6CD4" w:rsidP="00D32D6A">
            <w:pPr>
              <w:rPr>
                <w:rFonts w:ascii="Times New Roman" w:hAnsi="Times New Roman" w:cs="Times New Roman"/>
                <w:lang w:val="bg-BG"/>
              </w:rPr>
            </w:pPr>
            <w:r w:rsidRPr="00610B1B">
              <w:rPr>
                <w:rFonts w:ascii="Times New Roman" w:hAnsi="Times New Roman" w:cs="Times New Roman"/>
                <w:sz w:val="20"/>
                <w:szCs w:val="20"/>
                <w:lang w:val="bg-BG"/>
              </w:rPr>
              <w:t>Създаване на ясни правила за развитие на сектор Аквакултури</w:t>
            </w:r>
            <w:r w:rsidR="00C415D1"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обосновани на екологични критерии.</w:t>
            </w:r>
          </w:p>
        </w:tc>
        <w:tc>
          <w:tcPr>
            <w:tcW w:w="1376" w:type="dxa"/>
            <w:vAlign w:val="center"/>
          </w:tcPr>
          <w:p w14:paraId="1CBA4EE4" w14:textId="64BDF00D" w:rsidR="00DD6CD4" w:rsidRPr="00610B1B" w:rsidRDefault="00DD6CD4"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2021</w:t>
            </w:r>
          </w:p>
        </w:tc>
      </w:tr>
      <w:tr w:rsidR="00DD6CD4" w:rsidRPr="00610B1B" w14:paraId="470D4E9C" w14:textId="77777777" w:rsidTr="00537D06">
        <w:tc>
          <w:tcPr>
            <w:tcW w:w="426" w:type="dxa"/>
            <w:vMerge/>
            <w:vAlign w:val="center"/>
          </w:tcPr>
          <w:p w14:paraId="2E520224" w14:textId="54D31FE5" w:rsidR="00DD6CD4" w:rsidRPr="00610B1B" w:rsidRDefault="00DD6CD4" w:rsidP="00537D06">
            <w:pPr>
              <w:jc w:val="center"/>
              <w:rPr>
                <w:rFonts w:ascii="Times New Roman" w:hAnsi="Times New Roman" w:cs="Times New Roman"/>
                <w:sz w:val="20"/>
                <w:szCs w:val="20"/>
                <w:lang w:val="bg-BG"/>
              </w:rPr>
            </w:pPr>
          </w:p>
        </w:tc>
        <w:tc>
          <w:tcPr>
            <w:tcW w:w="2693" w:type="dxa"/>
            <w:vMerge/>
            <w:vAlign w:val="center"/>
          </w:tcPr>
          <w:p w14:paraId="1B28FC84" w14:textId="09A60C35" w:rsidR="00DD6CD4" w:rsidRPr="00610B1B" w:rsidRDefault="00DD6CD4" w:rsidP="00537D06">
            <w:pPr>
              <w:rPr>
                <w:rFonts w:ascii="Times New Roman" w:hAnsi="Times New Roman" w:cs="Times New Roman"/>
                <w:sz w:val="20"/>
                <w:szCs w:val="20"/>
                <w:lang w:val="bg-BG"/>
              </w:rPr>
            </w:pPr>
          </w:p>
        </w:tc>
        <w:tc>
          <w:tcPr>
            <w:tcW w:w="5387" w:type="dxa"/>
          </w:tcPr>
          <w:p w14:paraId="0E6C1AD7" w14:textId="4A35B027" w:rsidR="00DD6CD4" w:rsidRPr="00610B1B" w:rsidRDefault="00DD6CD4"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3.2. Завишаване на контрола върху действително използваната акватория за отглеждане на аквакултури</w:t>
            </w:r>
          </w:p>
        </w:tc>
        <w:tc>
          <w:tcPr>
            <w:tcW w:w="1984" w:type="dxa"/>
          </w:tcPr>
          <w:p w14:paraId="644E5723" w14:textId="77777777" w:rsidR="00DD6CD4" w:rsidRPr="00610B1B" w:rsidRDefault="00DD6CD4"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ИАРА</w:t>
            </w:r>
          </w:p>
          <w:p w14:paraId="2C71B9ED" w14:textId="77777777" w:rsidR="00DD6CD4" w:rsidRPr="00610B1B" w:rsidRDefault="00DD6CD4"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БДЧР</w:t>
            </w:r>
          </w:p>
        </w:tc>
        <w:tc>
          <w:tcPr>
            <w:tcW w:w="3232" w:type="dxa"/>
          </w:tcPr>
          <w:p w14:paraId="21F67544" w14:textId="77777777" w:rsidR="00DD6CD4" w:rsidRPr="00610B1B" w:rsidRDefault="00DD6CD4"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Необходимост от точно спазване на площта в обхвата на разрешителното за водоползване</w:t>
            </w:r>
          </w:p>
        </w:tc>
        <w:tc>
          <w:tcPr>
            <w:tcW w:w="1376" w:type="dxa"/>
            <w:vAlign w:val="center"/>
          </w:tcPr>
          <w:p w14:paraId="06FD8614" w14:textId="77777777" w:rsidR="00DD6CD4" w:rsidRPr="00610B1B" w:rsidRDefault="00DD6CD4"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DD6CD4" w:rsidRPr="00610B1B" w14:paraId="2712479A" w14:textId="77777777" w:rsidTr="00537D06">
        <w:tc>
          <w:tcPr>
            <w:tcW w:w="426" w:type="dxa"/>
            <w:vMerge/>
            <w:vAlign w:val="center"/>
          </w:tcPr>
          <w:p w14:paraId="648D89FD" w14:textId="77777777" w:rsidR="00DD6CD4" w:rsidRPr="00610B1B" w:rsidRDefault="00DD6CD4" w:rsidP="00537D06">
            <w:pPr>
              <w:jc w:val="center"/>
              <w:rPr>
                <w:rFonts w:ascii="Times New Roman" w:hAnsi="Times New Roman" w:cs="Times New Roman"/>
                <w:sz w:val="20"/>
                <w:szCs w:val="20"/>
                <w:lang w:val="bg-BG"/>
              </w:rPr>
            </w:pPr>
          </w:p>
        </w:tc>
        <w:tc>
          <w:tcPr>
            <w:tcW w:w="2693" w:type="dxa"/>
            <w:vMerge/>
            <w:vAlign w:val="center"/>
          </w:tcPr>
          <w:p w14:paraId="24F3AE84" w14:textId="77777777" w:rsidR="00DD6CD4" w:rsidRPr="00610B1B" w:rsidRDefault="00DD6CD4" w:rsidP="00537D06">
            <w:pPr>
              <w:rPr>
                <w:rFonts w:ascii="Times New Roman" w:hAnsi="Times New Roman" w:cs="Times New Roman"/>
                <w:sz w:val="20"/>
                <w:szCs w:val="20"/>
                <w:lang w:val="bg-BG"/>
              </w:rPr>
            </w:pPr>
          </w:p>
        </w:tc>
        <w:tc>
          <w:tcPr>
            <w:tcW w:w="5387" w:type="dxa"/>
          </w:tcPr>
          <w:p w14:paraId="337ABE3E" w14:textId="7AF1BB3B" w:rsidR="00DD6CD4" w:rsidRPr="00610B1B" w:rsidRDefault="00DD6CD4" w:rsidP="00D32D6A">
            <w:pPr>
              <w:rPr>
                <w:rFonts w:ascii="Times New Roman" w:hAnsi="Times New Roman" w:cs="Times New Roman"/>
                <w:lang w:val="bg-BG"/>
              </w:rPr>
            </w:pPr>
            <w:r w:rsidRPr="00610B1B">
              <w:rPr>
                <w:rFonts w:ascii="Times New Roman" w:hAnsi="Times New Roman" w:cs="Times New Roman"/>
                <w:sz w:val="20"/>
                <w:szCs w:val="20"/>
                <w:lang w:val="bg-BG"/>
              </w:rPr>
              <w:t>3.3. Обезпечаване на</w:t>
            </w:r>
            <w:r w:rsidR="00C415D1"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ефективен контрол за недопускане на замърсяване</w:t>
            </w:r>
            <w:r w:rsidR="00C415D1"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и увреждане</w:t>
            </w:r>
            <w:r w:rsidR="00C415D1"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на морската среда</w:t>
            </w:r>
            <w:r w:rsidR="00C415D1"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от съоръжения за аквакултури</w:t>
            </w:r>
            <w:r w:rsidR="00C415D1"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след изтичане</w:t>
            </w:r>
            <w:r w:rsidR="00C415D1"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срока на действие</w:t>
            </w:r>
            <w:r w:rsidR="00C415D1"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на</w:t>
            </w:r>
            <w:r w:rsidR="00C415D1"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разрешителното, издадено по реда на Закона за водите.</w:t>
            </w:r>
          </w:p>
        </w:tc>
        <w:tc>
          <w:tcPr>
            <w:tcW w:w="1984" w:type="dxa"/>
          </w:tcPr>
          <w:p w14:paraId="06E12486" w14:textId="7BE926A9" w:rsidR="00DD6CD4" w:rsidRPr="00610B1B" w:rsidRDefault="00DD6CD4"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ИАРА, БДЧР</w:t>
            </w:r>
          </w:p>
        </w:tc>
        <w:tc>
          <w:tcPr>
            <w:tcW w:w="3232" w:type="dxa"/>
          </w:tcPr>
          <w:p w14:paraId="0642CD8C" w14:textId="77777777" w:rsidR="00DD6CD4" w:rsidRPr="00610B1B" w:rsidRDefault="00DD6CD4"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Прекратяване на вредни въздействия и замърсяване на морската околна среда</w:t>
            </w:r>
          </w:p>
        </w:tc>
        <w:tc>
          <w:tcPr>
            <w:tcW w:w="1376" w:type="dxa"/>
            <w:vAlign w:val="center"/>
          </w:tcPr>
          <w:p w14:paraId="4BD4356C" w14:textId="77777777" w:rsidR="00DD6CD4" w:rsidRPr="00610B1B" w:rsidRDefault="00DD6CD4"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DD6CD4" w:rsidRPr="00610B1B" w14:paraId="0F4B01C1" w14:textId="77777777" w:rsidTr="001B46F3">
        <w:trPr>
          <w:trHeight w:val="1298"/>
        </w:trPr>
        <w:tc>
          <w:tcPr>
            <w:tcW w:w="426" w:type="dxa"/>
            <w:vMerge/>
            <w:vAlign w:val="center"/>
          </w:tcPr>
          <w:p w14:paraId="0351B0D9" w14:textId="77777777" w:rsidR="00DD6CD4" w:rsidRPr="00610B1B" w:rsidRDefault="00DD6CD4" w:rsidP="00537D06">
            <w:pPr>
              <w:jc w:val="center"/>
              <w:rPr>
                <w:rFonts w:ascii="Times New Roman" w:hAnsi="Times New Roman" w:cs="Times New Roman"/>
                <w:sz w:val="20"/>
                <w:szCs w:val="20"/>
                <w:lang w:val="bg-BG"/>
              </w:rPr>
            </w:pPr>
          </w:p>
        </w:tc>
        <w:tc>
          <w:tcPr>
            <w:tcW w:w="2693" w:type="dxa"/>
            <w:vMerge/>
            <w:vAlign w:val="center"/>
          </w:tcPr>
          <w:p w14:paraId="6FFA1666" w14:textId="77777777" w:rsidR="00DD6CD4" w:rsidRPr="00610B1B" w:rsidRDefault="00DD6CD4" w:rsidP="00537D06">
            <w:pPr>
              <w:rPr>
                <w:rFonts w:ascii="Times New Roman" w:hAnsi="Times New Roman" w:cs="Times New Roman"/>
                <w:sz w:val="20"/>
                <w:szCs w:val="20"/>
                <w:lang w:val="bg-BG"/>
              </w:rPr>
            </w:pPr>
          </w:p>
        </w:tc>
        <w:tc>
          <w:tcPr>
            <w:tcW w:w="5387" w:type="dxa"/>
          </w:tcPr>
          <w:p w14:paraId="73A0BF93" w14:textId="77777777" w:rsidR="00DD6CD4" w:rsidRPr="00610B1B" w:rsidRDefault="00DD6CD4" w:rsidP="001B46F3">
            <w:pPr>
              <w:pBdr>
                <w:bottom w:val="single" w:sz="6" w:space="1" w:color="auto"/>
              </w:pBdr>
              <w:spacing w:line="259" w:lineRule="auto"/>
              <w:rPr>
                <w:rFonts w:ascii="Times New Roman" w:hAnsi="Times New Roman" w:cs="Times New Roman"/>
                <w:sz w:val="20"/>
                <w:szCs w:val="20"/>
                <w:lang w:val="bg-BG"/>
              </w:rPr>
            </w:pPr>
            <w:r w:rsidRPr="00610B1B">
              <w:rPr>
                <w:rFonts w:ascii="Times New Roman" w:hAnsi="Times New Roman" w:cs="Times New Roman"/>
                <w:sz w:val="20"/>
                <w:szCs w:val="20"/>
                <w:lang w:val="bg-BG"/>
              </w:rPr>
              <w:t>3.4. Недопускане изграждането на ферми за отглеждане на риба в акваторията на Черно море</w:t>
            </w:r>
            <w:r w:rsidR="00C415D1"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при неспазване предвидените</w:t>
            </w:r>
            <w:r w:rsidR="00C415D1"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условия</w:t>
            </w:r>
            <w:r w:rsidR="00187F5C"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в разрешителното за ползване на воден обект при реализиране на инвестиционното намерение</w:t>
            </w:r>
            <w:r w:rsidR="00187F5C" w:rsidRPr="00610B1B">
              <w:rPr>
                <w:rFonts w:ascii="Times New Roman" w:hAnsi="Times New Roman" w:cs="Times New Roman"/>
                <w:sz w:val="20"/>
                <w:szCs w:val="20"/>
                <w:lang w:val="bg-BG"/>
              </w:rPr>
              <w:t xml:space="preserve"> или на изискванията на Закона за рибарството и аквакултурите.</w:t>
            </w:r>
            <w:r w:rsidR="008753B6" w:rsidRPr="00610B1B">
              <w:rPr>
                <w:rFonts w:ascii="Times New Roman" w:hAnsi="Times New Roman" w:cs="Times New Roman"/>
                <w:sz w:val="20"/>
                <w:szCs w:val="20"/>
                <w:lang w:val="bg-BG"/>
              </w:rPr>
              <w:t xml:space="preserve"> </w:t>
            </w:r>
          </w:p>
          <w:p w14:paraId="683A2F48" w14:textId="18CBB521" w:rsidR="00B96A2C" w:rsidRPr="00610B1B" w:rsidRDefault="00B96A2C" w:rsidP="001B46F3">
            <w:pPr>
              <w:spacing w:line="259" w:lineRule="auto"/>
              <w:rPr>
                <w:rFonts w:ascii="Times New Roman" w:hAnsi="Times New Roman" w:cs="Times New Roman"/>
                <w:sz w:val="20"/>
                <w:szCs w:val="20"/>
                <w:lang w:val="bg-BG"/>
              </w:rPr>
            </w:pPr>
            <w:r w:rsidRPr="00E63187">
              <w:rPr>
                <w:rFonts w:ascii="Times New Roman" w:hAnsi="Times New Roman" w:cs="Times New Roman"/>
                <w:sz w:val="20"/>
                <w:szCs w:val="20"/>
                <w:lang w:val="bg-BG"/>
              </w:rPr>
              <w:t>3</w:t>
            </w:r>
            <w:r w:rsidRPr="00610B1B">
              <w:rPr>
                <w:rFonts w:ascii="Times New Roman" w:hAnsi="Times New Roman" w:cs="Times New Roman"/>
                <w:sz w:val="20"/>
                <w:szCs w:val="20"/>
                <w:lang w:val="bg-BG"/>
              </w:rPr>
              <w:t xml:space="preserve">.5. </w:t>
            </w:r>
            <w:r w:rsidRPr="00610B1B">
              <w:rPr>
                <w:rFonts w:ascii="Times New Roman" w:hAnsi="Times New Roman" w:cs="Times New Roman"/>
                <w:sz w:val="20"/>
                <w:szCs w:val="20"/>
                <w:lang w:val="bg-BG" w:bidi="bg-BG"/>
              </w:rPr>
              <w:t>При реализиране на проекти/проектни предложения по МППРБ да се предвиди съобразяване със съществуващото национално законодателство по отношение на инвазивни чужди видове и неместни видове</w:t>
            </w:r>
          </w:p>
        </w:tc>
        <w:tc>
          <w:tcPr>
            <w:tcW w:w="1984" w:type="dxa"/>
          </w:tcPr>
          <w:p w14:paraId="0FDE2C94" w14:textId="77777777" w:rsidR="00DD6CD4" w:rsidRPr="00610B1B" w:rsidRDefault="00DD6CD4"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БДЧР</w:t>
            </w:r>
          </w:p>
          <w:p w14:paraId="773940FB" w14:textId="77777777" w:rsidR="00B96A2C" w:rsidRPr="00610B1B" w:rsidRDefault="00B96A2C" w:rsidP="00D32D6A">
            <w:pPr>
              <w:rPr>
                <w:rFonts w:ascii="Times New Roman" w:hAnsi="Times New Roman" w:cs="Times New Roman"/>
                <w:sz w:val="20"/>
                <w:szCs w:val="20"/>
                <w:lang w:val="bg-BG"/>
              </w:rPr>
            </w:pPr>
          </w:p>
          <w:p w14:paraId="1F7BB6AA" w14:textId="77777777" w:rsidR="00B96A2C" w:rsidRPr="00610B1B" w:rsidRDefault="00B96A2C" w:rsidP="00D32D6A">
            <w:pPr>
              <w:rPr>
                <w:rFonts w:ascii="Times New Roman" w:hAnsi="Times New Roman" w:cs="Times New Roman"/>
                <w:sz w:val="20"/>
                <w:szCs w:val="20"/>
                <w:lang w:val="bg-BG"/>
              </w:rPr>
            </w:pPr>
          </w:p>
          <w:p w14:paraId="7AC5E718" w14:textId="77777777" w:rsidR="00B96A2C" w:rsidRPr="00610B1B" w:rsidRDefault="00B96A2C" w:rsidP="00D32D6A">
            <w:pPr>
              <w:rPr>
                <w:rFonts w:ascii="Times New Roman" w:hAnsi="Times New Roman" w:cs="Times New Roman"/>
                <w:sz w:val="20"/>
                <w:szCs w:val="20"/>
                <w:lang w:val="bg-BG"/>
              </w:rPr>
            </w:pPr>
          </w:p>
          <w:p w14:paraId="3FEE6F7B" w14:textId="77777777" w:rsidR="00B96A2C" w:rsidRPr="00610B1B" w:rsidRDefault="00B96A2C" w:rsidP="00D32D6A">
            <w:pPr>
              <w:rPr>
                <w:rFonts w:ascii="Times New Roman" w:hAnsi="Times New Roman" w:cs="Times New Roman"/>
                <w:sz w:val="20"/>
                <w:szCs w:val="20"/>
                <w:lang w:val="bg-BG"/>
              </w:rPr>
            </w:pPr>
          </w:p>
          <w:p w14:paraId="23FA6501" w14:textId="77777777" w:rsidR="00B96A2C" w:rsidRPr="00610B1B" w:rsidRDefault="00B96A2C" w:rsidP="00D32D6A">
            <w:pPr>
              <w:rPr>
                <w:rFonts w:ascii="Times New Roman" w:hAnsi="Times New Roman" w:cs="Times New Roman"/>
                <w:sz w:val="20"/>
                <w:szCs w:val="20"/>
                <w:lang w:val="bg-BG"/>
              </w:rPr>
            </w:pPr>
          </w:p>
          <w:p w14:paraId="2ECBB862" w14:textId="77777777" w:rsidR="00B96A2C" w:rsidRPr="00610B1B" w:rsidRDefault="00B96A2C" w:rsidP="00D32D6A">
            <w:pPr>
              <w:rPr>
                <w:rFonts w:ascii="Times New Roman" w:hAnsi="Times New Roman" w:cs="Times New Roman"/>
                <w:sz w:val="20"/>
                <w:szCs w:val="20"/>
                <w:lang w:val="bg-BG"/>
              </w:rPr>
            </w:pPr>
          </w:p>
          <w:p w14:paraId="1B34C10A" w14:textId="1FBF5081" w:rsidR="00B96A2C" w:rsidRPr="00610B1B" w:rsidRDefault="00B96A2C"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МРРБ, МОСВ, РИОСВ</w:t>
            </w:r>
          </w:p>
        </w:tc>
        <w:tc>
          <w:tcPr>
            <w:tcW w:w="3232" w:type="dxa"/>
          </w:tcPr>
          <w:p w14:paraId="14157D8E" w14:textId="77777777" w:rsidR="00DD6CD4" w:rsidRPr="00610B1B" w:rsidRDefault="00DD6CD4"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Ограничаване на замърсяването и измененията на локалните екосистеми</w:t>
            </w:r>
          </w:p>
          <w:p w14:paraId="667B4F5D" w14:textId="77777777" w:rsidR="00B96A2C" w:rsidRPr="00610B1B" w:rsidRDefault="00B96A2C" w:rsidP="00D32D6A">
            <w:pPr>
              <w:rPr>
                <w:rFonts w:ascii="Times New Roman" w:hAnsi="Times New Roman" w:cs="Times New Roman"/>
                <w:sz w:val="20"/>
                <w:szCs w:val="20"/>
                <w:lang w:val="bg-BG"/>
              </w:rPr>
            </w:pPr>
          </w:p>
          <w:p w14:paraId="601049D4" w14:textId="77777777" w:rsidR="00B96A2C" w:rsidRPr="00610B1B" w:rsidRDefault="00B96A2C" w:rsidP="00D32D6A">
            <w:pPr>
              <w:rPr>
                <w:rFonts w:ascii="Times New Roman" w:hAnsi="Times New Roman" w:cs="Times New Roman"/>
                <w:sz w:val="20"/>
                <w:szCs w:val="20"/>
                <w:lang w:val="bg-BG"/>
              </w:rPr>
            </w:pPr>
          </w:p>
          <w:p w14:paraId="05BE80A1" w14:textId="77777777" w:rsidR="00B96A2C" w:rsidRPr="00610B1B" w:rsidRDefault="00B96A2C" w:rsidP="00D32D6A">
            <w:pPr>
              <w:rPr>
                <w:rFonts w:ascii="Times New Roman" w:hAnsi="Times New Roman" w:cs="Times New Roman"/>
                <w:sz w:val="20"/>
                <w:szCs w:val="20"/>
                <w:lang w:val="bg-BG"/>
              </w:rPr>
            </w:pPr>
          </w:p>
          <w:p w14:paraId="14590F07" w14:textId="77777777" w:rsidR="00B96A2C" w:rsidRPr="00610B1B" w:rsidRDefault="00B96A2C" w:rsidP="00D32D6A">
            <w:pPr>
              <w:rPr>
                <w:rFonts w:ascii="Times New Roman" w:hAnsi="Times New Roman" w:cs="Times New Roman"/>
                <w:sz w:val="20"/>
                <w:szCs w:val="20"/>
                <w:lang w:val="bg-BG"/>
              </w:rPr>
            </w:pPr>
          </w:p>
          <w:p w14:paraId="51DE54FA" w14:textId="57D9E9CC" w:rsidR="00B96A2C" w:rsidRPr="00610B1B" w:rsidRDefault="00B96A2C"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Недопускане на масовото разпространение на инвазивни и неместни видове</w:t>
            </w:r>
          </w:p>
        </w:tc>
        <w:tc>
          <w:tcPr>
            <w:tcW w:w="1376" w:type="dxa"/>
            <w:vAlign w:val="center"/>
          </w:tcPr>
          <w:p w14:paraId="596EEB70" w14:textId="0D1D30EE" w:rsidR="00DD6CD4" w:rsidRPr="00610B1B" w:rsidRDefault="00DD6CD4"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2027</w:t>
            </w:r>
          </w:p>
        </w:tc>
      </w:tr>
      <w:tr w:rsidR="00C519AD" w:rsidRPr="00610B1B" w14:paraId="0441DD20" w14:textId="77777777" w:rsidTr="00537D06">
        <w:tc>
          <w:tcPr>
            <w:tcW w:w="426" w:type="dxa"/>
            <w:vMerge w:val="restart"/>
            <w:vAlign w:val="center"/>
          </w:tcPr>
          <w:p w14:paraId="4B8F0954" w14:textId="77777777" w:rsidR="00C519AD" w:rsidRPr="00610B1B" w:rsidRDefault="00C519AD" w:rsidP="00537D06">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4</w:t>
            </w:r>
          </w:p>
        </w:tc>
        <w:tc>
          <w:tcPr>
            <w:tcW w:w="2693" w:type="dxa"/>
            <w:vMerge w:val="restart"/>
            <w:vAlign w:val="center"/>
          </w:tcPr>
          <w:p w14:paraId="4965A88B" w14:textId="77777777" w:rsidR="00C519AD" w:rsidRPr="00610B1B" w:rsidRDefault="00C519AD"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Крайбрежен и морски туризъм</w:t>
            </w:r>
          </w:p>
        </w:tc>
        <w:tc>
          <w:tcPr>
            <w:tcW w:w="5387" w:type="dxa"/>
          </w:tcPr>
          <w:p w14:paraId="5BFFABD8"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4.1. Да се предвидят стимули за диверсифициране на туристическия продукт и удължаване на активния сезон</w:t>
            </w:r>
          </w:p>
        </w:tc>
        <w:tc>
          <w:tcPr>
            <w:tcW w:w="1984" w:type="dxa"/>
          </w:tcPr>
          <w:p w14:paraId="7A70650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МТ, ОУТР Варна, ОУТР Бургас, МРРБ, общински администрации</w:t>
            </w:r>
          </w:p>
        </w:tc>
        <w:tc>
          <w:tcPr>
            <w:tcW w:w="3232" w:type="dxa"/>
          </w:tcPr>
          <w:p w14:paraId="44E04BB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Необходимост от конкретни действия за развитие на туризма в 4 сезона</w:t>
            </w:r>
          </w:p>
        </w:tc>
        <w:tc>
          <w:tcPr>
            <w:tcW w:w="1376" w:type="dxa"/>
            <w:vAlign w:val="center"/>
          </w:tcPr>
          <w:p w14:paraId="6BC51EF7"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32D24BE6" w14:textId="77777777" w:rsidTr="00537D06">
        <w:tc>
          <w:tcPr>
            <w:tcW w:w="426" w:type="dxa"/>
            <w:vMerge/>
            <w:vAlign w:val="center"/>
          </w:tcPr>
          <w:p w14:paraId="6DCCBD9C"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6292F139" w14:textId="77777777" w:rsidR="00C519AD" w:rsidRPr="00610B1B" w:rsidRDefault="00C519AD" w:rsidP="00537D06">
            <w:pPr>
              <w:rPr>
                <w:rFonts w:ascii="Times New Roman" w:hAnsi="Times New Roman" w:cs="Times New Roman"/>
                <w:sz w:val="20"/>
                <w:szCs w:val="20"/>
                <w:lang w:val="bg-BG"/>
              </w:rPr>
            </w:pPr>
          </w:p>
        </w:tc>
        <w:tc>
          <w:tcPr>
            <w:tcW w:w="5387" w:type="dxa"/>
          </w:tcPr>
          <w:p w14:paraId="3A3CF2BF" w14:textId="06577DB1" w:rsidR="00C519AD" w:rsidRPr="00610B1B" w:rsidRDefault="00C519AD" w:rsidP="00D32D6A">
            <w:pPr>
              <w:ind w:left="26" w:hanging="25"/>
              <w:rPr>
                <w:rFonts w:ascii="Times New Roman" w:hAnsi="Times New Roman" w:cs="Times New Roman"/>
                <w:sz w:val="20"/>
                <w:szCs w:val="20"/>
                <w:lang w:val="bg-BG"/>
              </w:rPr>
            </w:pPr>
            <w:r w:rsidRPr="00610B1B">
              <w:rPr>
                <w:rFonts w:ascii="Times New Roman" w:hAnsi="Times New Roman" w:cs="Times New Roman"/>
                <w:sz w:val="20"/>
                <w:szCs w:val="20"/>
                <w:lang w:val="bg-BG"/>
              </w:rPr>
              <w:t>4.2.</w:t>
            </w:r>
            <w:r w:rsidR="00D66FE0"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Организиране на конкурс за „tailor made” предлагане извън традиционния сезон, по подобие на „син флаг“ за чисти и безопасни плажове.</w:t>
            </w:r>
          </w:p>
        </w:tc>
        <w:tc>
          <w:tcPr>
            <w:tcW w:w="1984" w:type="dxa"/>
          </w:tcPr>
          <w:p w14:paraId="4F395776"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МТ, ОУТР Варна, ОУТР Бургас, МРРБ, общински администрации</w:t>
            </w:r>
          </w:p>
        </w:tc>
        <w:tc>
          <w:tcPr>
            <w:tcW w:w="3232" w:type="dxa"/>
          </w:tcPr>
          <w:p w14:paraId="65DD2E0B"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Необходимост от ефективно използване на изградената база по Черноморското крайбрежие чрез удължаване на туристическия сезон. </w:t>
            </w:r>
          </w:p>
        </w:tc>
        <w:tc>
          <w:tcPr>
            <w:tcW w:w="1376" w:type="dxa"/>
            <w:vAlign w:val="center"/>
          </w:tcPr>
          <w:p w14:paraId="713C5693" w14:textId="61AD42C2"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256715B0" w14:textId="77777777" w:rsidTr="00537D06">
        <w:tc>
          <w:tcPr>
            <w:tcW w:w="426" w:type="dxa"/>
            <w:vMerge/>
            <w:vAlign w:val="center"/>
          </w:tcPr>
          <w:p w14:paraId="48B69231"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1F134143" w14:textId="77777777" w:rsidR="00C519AD" w:rsidRPr="00610B1B" w:rsidRDefault="00C519AD" w:rsidP="00537D06">
            <w:pPr>
              <w:rPr>
                <w:rFonts w:ascii="Times New Roman" w:hAnsi="Times New Roman" w:cs="Times New Roman"/>
                <w:sz w:val="20"/>
                <w:szCs w:val="20"/>
                <w:lang w:val="bg-BG"/>
              </w:rPr>
            </w:pPr>
          </w:p>
        </w:tc>
        <w:tc>
          <w:tcPr>
            <w:tcW w:w="5387" w:type="dxa"/>
          </w:tcPr>
          <w:p w14:paraId="40BB6A8D" w14:textId="222D8332" w:rsidR="00C519AD" w:rsidRPr="00610B1B" w:rsidRDefault="00C519AD" w:rsidP="00D32D6A">
            <w:pPr>
              <w:ind w:left="26" w:hanging="25"/>
              <w:rPr>
                <w:rFonts w:ascii="Times New Roman" w:hAnsi="Times New Roman" w:cs="Times New Roman"/>
                <w:sz w:val="20"/>
                <w:szCs w:val="20"/>
                <w:lang w:val="bg-BG"/>
              </w:rPr>
            </w:pPr>
            <w:r w:rsidRPr="00610B1B">
              <w:rPr>
                <w:rFonts w:ascii="Times New Roman" w:hAnsi="Times New Roman" w:cs="Times New Roman"/>
                <w:sz w:val="20"/>
                <w:szCs w:val="20"/>
                <w:lang w:val="bg-BG"/>
              </w:rPr>
              <w:t>4.3. Спиране на усвояването на нови терени за изграждане на туристическа суперструктура</w:t>
            </w:r>
            <w:r w:rsidR="00D66FE0"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 xml:space="preserve">посредством изменение в ЗУЧК </w:t>
            </w:r>
          </w:p>
        </w:tc>
        <w:tc>
          <w:tcPr>
            <w:tcW w:w="1984" w:type="dxa"/>
          </w:tcPr>
          <w:p w14:paraId="70F37A70"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МРРБ, МТ, МОСВ, общински администрации</w:t>
            </w:r>
          </w:p>
        </w:tc>
        <w:tc>
          <w:tcPr>
            <w:tcW w:w="3232" w:type="dxa"/>
          </w:tcPr>
          <w:p w14:paraId="47AD0503"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Ограничаване на свръхзастрояването и преминаване от количествено към качествено развитие</w:t>
            </w:r>
          </w:p>
        </w:tc>
        <w:tc>
          <w:tcPr>
            <w:tcW w:w="1376" w:type="dxa"/>
            <w:vAlign w:val="center"/>
          </w:tcPr>
          <w:p w14:paraId="53A61456"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7DC6EC6B" w14:textId="77777777" w:rsidTr="00537D06">
        <w:tc>
          <w:tcPr>
            <w:tcW w:w="426" w:type="dxa"/>
            <w:vMerge/>
            <w:vAlign w:val="center"/>
          </w:tcPr>
          <w:p w14:paraId="7EB7D0BC"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6CCFA74B" w14:textId="77777777" w:rsidR="00C519AD" w:rsidRPr="00610B1B" w:rsidRDefault="00C519AD" w:rsidP="00537D06">
            <w:pPr>
              <w:rPr>
                <w:rFonts w:ascii="Times New Roman" w:hAnsi="Times New Roman" w:cs="Times New Roman"/>
                <w:sz w:val="20"/>
                <w:szCs w:val="20"/>
                <w:lang w:val="bg-BG"/>
              </w:rPr>
            </w:pPr>
          </w:p>
        </w:tc>
        <w:tc>
          <w:tcPr>
            <w:tcW w:w="5387" w:type="dxa"/>
          </w:tcPr>
          <w:p w14:paraId="7551D0C5" w14:textId="77777777" w:rsidR="00C519AD" w:rsidRPr="00610B1B" w:rsidRDefault="00C519AD" w:rsidP="00D32D6A">
            <w:pPr>
              <w:ind w:left="26" w:hanging="25"/>
              <w:rPr>
                <w:rFonts w:ascii="Times New Roman" w:hAnsi="Times New Roman" w:cs="Times New Roman"/>
                <w:sz w:val="20"/>
                <w:szCs w:val="20"/>
                <w:lang w:val="bg-BG"/>
              </w:rPr>
            </w:pPr>
            <w:r w:rsidRPr="00610B1B">
              <w:rPr>
                <w:rFonts w:ascii="Times New Roman" w:hAnsi="Times New Roman" w:cs="Times New Roman"/>
                <w:sz w:val="20"/>
                <w:szCs w:val="20"/>
                <w:lang w:val="bg-BG"/>
              </w:rPr>
              <w:t>4.4. Междуведомствен диалог за създаване на адекватна туристическа инфраструктура, обслужваща културното наследство по Черноморското крайбрежие, с цел развитие на целогодишен културен туризъм</w:t>
            </w:r>
          </w:p>
        </w:tc>
        <w:tc>
          <w:tcPr>
            <w:tcW w:w="1984" w:type="dxa"/>
          </w:tcPr>
          <w:p w14:paraId="5EC2FE6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МК,</w:t>
            </w:r>
          </w:p>
          <w:p w14:paraId="79A620A9"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МТ, МВР, МЗХГ</w:t>
            </w:r>
          </w:p>
        </w:tc>
        <w:tc>
          <w:tcPr>
            <w:tcW w:w="3232" w:type="dxa"/>
          </w:tcPr>
          <w:p w14:paraId="753FE788"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Обогатяване на туристическия продукт на Черноморското крайбрежие</w:t>
            </w:r>
          </w:p>
        </w:tc>
        <w:tc>
          <w:tcPr>
            <w:tcW w:w="1376" w:type="dxa"/>
            <w:vAlign w:val="center"/>
          </w:tcPr>
          <w:p w14:paraId="2FA23B3A"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66252365" w14:textId="77777777" w:rsidTr="00537D06">
        <w:tc>
          <w:tcPr>
            <w:tcW w:w="426" w:type="dxa"/>
            <w:vMerge/>
            <w:vAlign w:val="center"/>
          </w:tcPr>
          <w:p w14:paraId="5368C898"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75E455A5" w14:textId="77777777" w:rsidR="00C519AD" w:rsidRPr="00610B1B" w:rsidRDefault="00C519AD" w:rsidP="00537D06">
            <w:pPr>
              <w:rPr>
                <w:rFonts w:ascii="Times New Roman" w:hAnsi="Times New Roman" w:cs="Times New Roman"/>
                <w:sz w:val="20"/>
                <w:szCs w:val="20"/>
                <w:lang w:val="bg-BG"/>
              </w:rPr>
            </w:pPr>
          </w:p>
        </w:tc>
        <w:tc>
          <w:tcPr>
            <w:tcW w:w="5387" w:type="dxa"/>
          </w:tcPr>
          <w:p w14:paraId="1791F3C8" w14:textId="5541F9BA" w:rsidR="00C519AD" w:rsidRPr="00610B1B" w:rsidRDefault="009E604E" w:rsidP="00B46189">
            <w:pPr>
              <w:pStyle w:val="ListParagraph"/>
              <w:numPr>
                <w:ilvl w:val="1"/>
                <w:numId w:val="88"/>
              </w:numPr>
              <w:tabs>
                <w:tab w:val="left" w:pos="310"/>
              </w:tabs>
              <w:ind w:left="26" w:hanging="25"/>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 </w:t>
            </w:r>
            <w:r w:rsidR="00C519AD" w:rsidRPr="00610B1B">
              <w:rPr>
                <w:rFonts w:ascii="Times New Roman" w:hAnsi="Times New Roman" w:cs="Times New Roman"/>
                <w:sz w:val="20"/>
                <w:szCs w:val="20"/>
                <w:lang w:val="bg-BG"/>
              </w:rPr>
              <w:t>Популяризиране на обектите НКЦ в зони „А” и „Б” съгл. ЗУЧК и приоритетно включване в тематични туристически пакети, обвързващи рекреационния и културен туризъм</w:t>
            </w:r>
          </w:p>
          <w:p w14:paraId="5F1625A4" w14:textId="6F431ADB" w:rsidR="00990859" w:rsidRPr="00610B1B" w:rsidRDefault="00990859" w:rsidP="00990859">
            <w:pPr>
              <w:tabs>
                <w:tab w:val="left" w:pos="310"/>
              </w:tabs>
              <w:ind w:left="1"/>
              <w:rPr>
                <w:rFonts w:ascii="Times New Roman" w:hAnsi="Times New Roman" w:cs="Times New Roman"/>
                <w:sz w:val="20"/>
                <w:szCs w:val="20"/>
                <w:lang w:val="bg-BG"/>
              </w:rPr>
            </w:pPr>
            <w:r w:rsidRPr="00610B1B">
              <w:rPr>
                <w:rFonts w:ascii="Times New Roman" w:hAnsi="Times New Roman" w:cs="Times New Roman"/>
                <w:sz w:val="20"/>
                <w:szCs w:val="20"/>
                <w:lang w:val="bg-BG"/>
              </w:rPr>
              <w:t>---------------------------------------------------------------------------</w:t>
            </w:r>
          </w:p>
          <w:p w14:paraId="53B68065" w14:textId="48EFBA86" w:rsidR="00990859" w:rsidRPr="00610B1B" w:rsidRDefault="00990859" w:rsidP="00990859">
            <w:pPr>
              <w:tabs>
                <w:tab w:val="left" w:pos="310"/>
              </w:tabs>
              <w:jc w:val="both"/>
              <w:rPr>
                <w:rFonts w:ascii="Times New Roman" w:hAnsi="Times New Roman" w:cs="Times New Roman"/>
                <w:sz w:val="20"/>
                <w:szCs w:val="20"/>
                <w:lang w:val="bg-BG"/>
              </w:rPr>
            </w:pPr>
            <w:r w:rsidRPr="00610B1B">
              <w:rPr>
                <w:rFonts w:ascii="Times New Roman" w:hAnsi="Times New Roman" w:cs="Times New Roman"/>
                <w:sz w:val="20"/>
                <w:szCs w:val="20"/>
                <w:lang w:val="bg-BG"/>
              </w:rPr>
              <w:t>4.6. Разработване на единна стратегия за културен туризъм по крайбрежието в двататуристически района – Варненско и Бургаско Черноморие, с участието на всички заинтересовани страни: МТ и създадените центрове за организация и управление на туристическия район (ОУТР), морските общини и др. Диверсификация на дестинациите/услугите на културен туризъм и засилване на нетрадиционни такива (подводен туризъм, кулинарен туризъм и др.).</w:t>
            </w:r>
          </w:p>
        </w:tc>
        <w:tc>
          <w:tcPr>
            <w:tcW w:w="1984" w:type="dxa"/>
          </w:tcPr>
          <w:p w14:paraId="1B687A6F"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МТ</w:t>
            </w:r>
          </w:p>
          <w:p w14:paraId="152D6E5F"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АБТТА</w:t>
            </w:r>
          </w:p>
          <w:p w14:paraId="31F4D9F6" w14:textId="77777777" w:rsidR="00990859" w:rsidRPr="00610B1B" w:rsidRDefault="00990859" w:rsidP="00D32D6A">
            <w:pPr>
              <w:rPr>
                <w:rFonts w:ascii="Times New Roman" w:hAnsi="Times New Roman" w:cs="Times New Roman"/>
                <w:sz w:val="20"/>
                <w:szCs w:val="20"/>
                <w:lang w:val="bg-BG"/>
              </w:rPr>
            </w:pPr>
          </w:p>
          <w:p w14:paraId="3EFE7EBE" w14:textId="77777777" w:rsidR="00990859" w:rsidRPr="00610B1B" w:rsidRDefault="00990859" w:rsidP="00D32D6A">
            <w:pPr>
              <w:rPr>
                <w:rFonts w:ascii="Times New Roman" w:hAnsi="Times New Roman" w:cs="Times New Roman"/>
                <w:sz w:val="20"/>
                <w:szCs w:val="20"/>
                <w:lang w:val="bg-BG"/>
              </w:rPr>
            </w:pPr>
          </w:p>
          <w:p w14:paraId="72D54EC1" w14:textId="77777777" w:rsidR="00990859" w:rsidRPr="00610B1B" w:rsidRDefault="00990859" w:rsidP="00D32D6A">
            <w:pPr>
              <w:rPr>
                <w:rFonts w:ascii="Times New Roman" w:hAnsi="Times New Roman" w:cs="Times New Roman"/>
                <w:sz w:val="20"/>
                <w:szCs w:val="20"/>
                <w:lang w:val="bg-BG"/>
              </w:rPr>
            </w:pPr>
          </w:p>
          <w:p w14:paraId="7C3B2431" w14:textId="77777777" w:rsidR="00990859" w:rsidRPr="00610B1B" w:rsidRDefault="00990859" w:rsidP="00990859">
            <w:pPr>
              <w:rPr>
                <w:rFonts w:ascii="Times New Roman" w:hAnsi="Times New Roman" w:cs="Times New Roman"/>
                <w:sz w:val="20"/>
                <w:szCs w:val="20"/>
                <w:lang w:val="bg-BG"/>
              </w:rPr>
            </w:pPr>
            <w:r w:rsidRPr="00610B1B">
              <w:rPr>
                <w:rFonts w:ascii="Times New Roman" w:hAnsi="Times New Roman" w:cs="Times New Roman"/>
                <w:sz w:val="20"/>
                <w:szCs w:val="20"/>
                <w:lang w:val="bg-BG"/>
              </w:rPr>
              <w:t>МТ</w:t>
            </w:r>
          </w:p>
          <w:p w14:paraId="122DC2B4" w14:textId="44510262" w:rsidR="00990859" w:rsidRPr="00610B1B" w:rsidRDefault="00990859" w:rsidP="00D32D6A">
            <w:pPr>
              <w:rPr>
                <w:rFonts w:ascii="Times New Roman" w:hAnsi="Times New Roman" w:cs="Times New Roman"/>
                <w:sz w:val="20"/>
                <w:szCs w:val="20"/>
                <w:lang w:val="bg-BG"/>
              </w:rPr>
            </w:pPr>
          </w:p>
        </w:tc>
        <w:tc>
          <w:tcPr>
            <w:tcW w:w="3232" w:type="dxa"/>
          </w:tcPr>
          <w:p w14:paraId="7CDB05F8"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Обогатяване на туристическия продукт на Черноморското крайбрежие</w:t>
            </w:r>
          </w:p>
          <w:p w14:paraId="65C7D240" w14:textId="77777777" w:rsidR="00990859" w:rsidRPr="00610B1B" w:rsidRDefault="00990859" w:rsidP="00D32D6A">
            <w:pPr>
              <w:rPr>
                <w:rFonts w:ascii="Times New Roman" w:hAnsi="Times New Roman" w:cs="Times New Roman"/>
                <w:sz w:val="20"/>
                <w:szCs w:val="20"/>
                <w:lang w:val="bg-BG"/>
              </w:rPr>
            </w:pPr>
          </w:p>
          <w:p w14:paraId="65AEAA3B" w14:textId="77777777" w:rsidR="00990859" w:rsidRPr="00610B1B" w:rsidRDefault="00990859" w:rsidP="00D32D6A">
            <w:pPr>
              <w:rPr>
                <w:rFonts w:ascii="Times New Roman" w:hAnsi="Times New Roman" w:cs="Times New Roman"/>
                <w:sz w:val="20"/>
                <w:szCs w:val="20"/>
                <w:lang w:val="bg-BG"/>
              </w:rPr>
            </w:pPr>
          </w:p>
          <w:p w14:paraId="009326B9" w14:textId="7D2F549D" w:rsidR="00990859" w:rsidRPr="00610B1B" w:rsidRDefault="00990859"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Подобрен туристически продукт и привличане на нови туристи</w:t>
            </w:r>
          </w:p>
        </w:tc>
        <w:tc>
          <w:tcPr>
            <w:tcW w:w="1376" w:type="dxa"/>
            <w:vAlign w:val="center"/>
          </w:tcPr>
          <w:p w14:paraId="28412495"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56FDB6B2" w14:textId="77777777" w:rsidTr="00537D06">
        <w:tc>
          <w:tcPr>
            <w:tcW w:w="426" w:type="dxa"/>
            <w:vAlign w:val="center"/>
          </w:tcPr>
          <w:p w14:paraId="39CBD908" w14:textId="77777777" w:rsidR="00C519AD" w:rsidRPr="00610B1B" w:rsidRDefault="00C519AD" w:rsidP="00537D06">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5</w:t>
            </w:r>
          </w:p>
        </w:tc>
        <w:tc>
          <w:tcPr>
            <w:tcW w:w="2693" w:type="dxa"/>
            <w:vAlign w:val="center"/>
          </w:tcPr>
          <w:p w14:paraId="5C51E950" w14:textId="2186BB76" w:rsidR="00C519AD" w:rsidRPr="00610B1B" w:rsidRDefault="00C519AD"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Информационни и комуникационни</w:t>
            </w:r>
            <w:r w:rsidR="00D66FE0"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технологии и подводна инфраструктура</w:t>
            </w:r>
          </w:p>
        </w:tc>
        <w:tc>
          <w:tcPr>
            <w:tcW w:w="5387" w:type="dxa"/>
          </w:tcPr>
          <w:p w14:paraId="4D7080FF" w14:textId="4B27E4DE" w:rsidR="00C519AD" w:rsidRPr="00610B1B" w:rsidRDefault="00C519AD" w:rsidP="00B46189">
            <w:pPr>
              <w:pStyle w:val="ListParagraph"/>
              <w:numPr>
                <w:ilvl w:val="1"/>
                <w:numId w:val="87"/>
              </w:numPr>
              <w:tabs>
                <w:tab w:val="left" w:pos="310"/>
                <w:tab w:val="left" w:pos="394"/>
              </w:tabs>
              <w:ind w:left="168" w:hanging="142"/>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Координиране на дейността с дейностите по рибарство, морски транспорт, подводна археология</w:t>
            </w:r>
            <w:r w:rsidR="00D66FE0" w:rsidRPr="00610B1B">
              <w:rPr>
                <w:rFonts w:ascii="Times New Roman" w:hAnsi="Times New Roman" w:cs="Times New Roman"/>
                <w:sz w:val="20"/>
                <w:szCs w:val="20"/>
                <w:lang w:val="bg-BG"/>
              </w:rPr>
              <w:t xml:space="preserve"> </w:t>
            </w:r>
          </w:p>
        </w:tc>
        <w:tc>
          <w:tcPr>
            <w:tcW w:w="1984" w:type="dxa"/>
          </w:tcPr>
          <w:p w14:paraId="701195CB"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МТИТС</w:t>
            </w:r>
          </w:p>
          <w:p w14:paraId="6DAC80CF"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МЕ</w:t>
            </w:r>
          </w:p>
          <w:p w14:paraId="0DD66CFA"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МК</w:t>
            </w:r>
          </w:p>
          <w:p w14:paraId="761F7C52"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ИАРА</w:t>
            </w:r>
          </w:p>
        </w:tc>
        <w:tc>
          <w:tcPr>
            <w:tcW w:w="3232" w:type="dxa"/>
          </w:tcPr>
          <w:p w14:paraId="30F15D43"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Избягване на конфликти и увреждания на положена на морското дъно инфраструктура</w:t>
            </w:r>
          </w:p>
        </w:tc>
        <w:tc>
          <w:tcPr>
            <w:tcW w:w="1376" w:type="dxa"/>
            <w:vAlign w:val="center"/>
          </w:tcPr>
          <w:p w14:paraId="36939667"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2035</w:t>
            </w:r>
          </w:p>
        </w:tc>
      </w:tr>
      <w:tr w:rsidR="00C519AD" w:rsidRPr="00610B1B" w14:paraId="33B69BD1" w14:textId="77777777" w:rsidTr="00537D06">
        <w:tc>
          <w:tcPr>
            <w:tcW w:w="426" w:type="dxa"/>
            <w:vMerge w:val="restart"/>
            <w:vAlign w:val="center"/>
          </w:tcPr>
          <w:p w14:paraId="5E56BD3A" w14:textId="77777777" w:rsidR="00C519AD" w:rsidRPr="00610B1B" w:rsidRDefault="00C519AD" w:rsidP="00537D06">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6</w:t>
            </w:r>
          </w:p>
        </w:tc>
        <w:tc>
          <w:tcPr>
            <w:tcW w:w="2693" w:type="dxa"/>
            <w:vMerge w:val="restart"/>
            <w:vAlign w:val="center"/>
          </w:tcPr>
          <w:p w14:paraId="40A64FDC" w14:textId="77777777" w:rsidR="00C519AD" w:rsidRPr="00610B1B" w:rsidRDefault="00C519AD"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Кораборемонт и корабостроене</w:t>
            </w:r>
          </w:p>
        </w:tc>
        <w:tc>
          <w:tcPr>
            <w:tcW w:w="5387" w:type="dxa"/>
          </w:tcPr>
          <w:p w14:paraId="47527314" w14:textId="77777777" w:rsidR="00C519AD" w:rsidRPr="00610B1B" w:rsidRDefault="00C519AD" w:rsidP="00D32D6A">
            <w:pPr>
              <w:tabs>
                <w:tab w:val="left" w:pos="310"/>
              </w:tabs>
              <w:rPr>
                <w:rFonts w:ascii="Times New Roman" w:hAnsi="Times New Roman" w:cs="Times New Roman"/>
                <w:sz w:val="20"/>
                <w:szCs w:val="20"/>
                <w:lang w:val="bg-BG"/>
              </w:rPr>
            </w:pPr>
            <w:r w:rsidRPr="00610B1B">
              <w:rPr>
                <w:rFonts w:ascii="Times New Roman" w:hAnsi="Times New Roman" w:cs="Times New Roman"/>
                <w:sz w:val="20"/>
                <w:szCs w:val="20"/>
                <w:lang w:val="bg-BG"/>
              </w:rPr>
              <w:t>6.1. Целенасочена подкрепа за сектора в производството на плавателни съдове, отговарящи на съвременните изисквания, модерни навигационни прибори, енергоефективни двигатели.</w:t>
            </w:r>
          </w:p>
        </w:tc>
        <w:tc>
          <w:tcPr>
            <w:tcW w:w="1984" w:type="dxa"/>
          </w:tcPr>
          <w:p w14:paraId="41159D08"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МТИТС, МИ</w:t>
            </w:r>
          </w:p>
        </w:tc>
        <w:tc>
          <w:tcPr>
            <w:tcW w:w="3232" w:type="dxa"/>
          </w:tcPr>
          <w:p w14:paraId="753622C8" w14:textId="66A6C3CF"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Неизползван потенциал и традиции в кораборемонтна и</w:t>
            </w:r>
            <w:r w:rsidR="00D66FE0"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корабостроителна дейност</w:t>
            </w:r>
          </w:p>
        </w:tc>
        <w:tc>
          <w:tcPr>
            <w:tcW w:w="1376" w:type="dxa"/>
            <w:vAlign w:val="center"/>
          </w:tcPr>
          <w:p w14:paraId="38E13B8E"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2030</w:t>
            </w:r>
          </w:p>
        </w:tc>
      </w:tr>
      <w:tr w:rsidR="00C519AD" w:rsidRPr="00610B1B" w14:paraId="31EB2D07" w14:textId="77777777" w:rsidTr="00537D06">
        <w:tc>
          <w:tcPr>
            <w:tcW w:w="426" w:type="dxa"/>
            <w:vMerge/>
            <w:vAlign w:val="center"/>
          </w:tcPr>
          <w:p w14:paraId="7F84639C"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14EE4AD7" w14:textId="77777777" w:rsidR="00C519AD" w:rsidRPr="00610B1B" w:rsidRDefault="00C519AD" w:rsidP="00537D06">
            <w:pPr>
              <w:rPr>
                <w:rFonts w:ascii="Times New Roman" w:hAnsi="Times New Roman" w:cs="Times New Roman"/>
                <w:sz w:val="20"/>
                <w:szCs w:val="20"/>
                <w:lang w:val="bg-BG"/>
              </w:rPr>
            </w:pPr>
          </w:p>
        </w:tc>
        <w:tc>
          <w:tcPr>
            <w:tcW w:w="5387" w:type="dxa"/>
          </w:tcPr>
          <w:p w14:paraId="14B9D4A1" w14:textId="2D5ED86C" w:rsidR="00C519AD" w:rsidRPr="00610B1B" w:rsidRDefault="009E604E" w:rsidP="00B46189">
            <w:pPr>
              <w:pStyle w:val="ListParagraph"/>
              <w:numPr>
                <w:ilvl w:val="1"/>
                <w:numId w:val="89"/>
              </w:numPr>
              <w:tabs>
                <w:tab w:val="left" w:pos="310"/>
              </w:tabs>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 </w:t>
            </w:r>
            <w:r w:rsidR="00C519AD" w:rsidRPr="00610B1B">
              <w:rPr>
                <w:rFonts w:ascii="Times New Roman" w:hAnsi="Times New Roman" w:cs="Times New Roman"/>
                <w:sz w:val="20"/>
                <w:szCs w:val="20"/>
                <w:lang w:val="bg-BG"/>
              </w:rPr>
              <w:t>Подготовка на кадри за сектора</w:t>
            </w:r>
          </w:p>
        </w:tc>
        <w:tc>
          <w:tcPr>
            <w:tcW w:w="1984" w:type="dxa"/>
          </w:tcPr>
          <w:p w14:paraId="381ED2A5"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МОН, ВУ</w:t>
            </w:r>
          </w:p>
        </w:tc>
        <w:tc>
          <w:tcPr>
            <w:tcW w:w="3232" w:type="dxa"/>
          </w:tcPr>
          <w:p w14:paraId="1183D996"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Потребност от добре подготвени кадри</w:t>
            </w:r>
          </w:p>
        </w:tc>
        <w:tc>
          <w:tcPr>
            <w:tcW w:w="1376" w:type="dxa"/>
            <w:vAlign w:val="center"/>
          </w:tcPr>
          <w:p w14:paraId="0A3F1A93"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2030</w:t>
            </w:r>
          </w:p>
        </w:tc>
      </w:tr>
      <w:tr w:rsidR="00C519AD" w:rsidRPr="00610B1B" w14:paraId="14B3A4C9" w14:textId="77777777" w:rsidTr="00537D06">
        <w:tc>
          <w:tcPr>
            <w:tcW w:w="426" w:type="dxa"/>
            <w:vMerge w:val="restart"/>
            <w:vAlign w:val="center"/>
          </w:tcPr>
          <w:p w14:paraId="262B4527" w14:textId="77777777" w:rsidR="00C519AD" w:rsidRPr="00610B1B" w:rsidRDefault="00C519AD" w:rsidP="00537D06">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7</w:t>
            </w:r>
          </w:p>
        </w:tc>
        <w:tc>
          <w:tcPr>
            <w:tcW w:w="2693" w:type="dxa"/>
            <w:vMerge w:val="restart"/>
            <w:vAlign w:val="center"/>
          </w:tcPr>
          <w:p w14:paraId="6508BA50" w14:textId="77777777" w:rsidR="00C519AD" w:rsidRPr="00610B1B" w:rsidRDefault="00C519AD"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Пристанищна дейност</w:t>
            </w:r>
          </w:p>
        </w:tc>
        <w:tc>
          <w:tcPr>
            <w:tcW w:w="5387" w:type="dxa"/>
          </w:tcPr>
          <w:p w14:paraId="1AE08467" w14:textId="77777777" w:rsidR="00C519AD" w:rsidRPr="00610B1B" w:rsidRDefault="00C519AD" w:rsidP="00D32D6A">
            <w:pPr>
              <w:pStyle w:val="ListParagraph"/>
              <w:tabs>
                <w:tab w:val="left" w:pos="26"/>
              </w:tabs>
              <w:ind w:left="26"/>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7.1. Привличане на български и чуждестранни инвеститори и модернизация на сектора чрез инвестиции и нови технологии. </w:t>
            </w:r>
          </w:p>
        </w:tc>
        <w:tc>
          <w:tcPr>
            <w:tcW w:w="1984" w:type="dxa"/>
          </w:tcPr>
          <w:p w14:paraId="32442821" w14:textId="03487CD1"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МТИТС, ДППИ,</w:t>
            </w:r>
            <w:r w:rsidR="004E6850" w:rsidRPr="00610B1B">
              <w:rPr>
                <w:rFonts w:ascii="Times New Roman" w:hAnsi="Times New Roman" w:cs="Times New Roman"/>
                <w:sz w:val="20"/>
                <w:szCs w:val="20"/>
                <w:lang w:val="en-US"/>
              </w:rPr>
              <w:t xml:space="preserve"> </w:t>
            </w:r>
            <w:r w:rsidRPr="00610B1B">
              <w:rPr>
                <w:rFonts w:ascii="Times New Roman" w:hAnsi="Times New Roman" w:cs="Times New Roman"/>
                <w:sz w:val="20"/>
                <w:szCs w:val="20"/>
                <w:lang w:val="bg-BG"/>
              </w:rPr>
              <w:t>Общински администрации</w:t>
            </w:r>
          </w:p>
        </w:tc>
        <w:tc>
          <w:tcPr>
            <w:tcW w:w="3232" w:type="dxa"/>
          </w:tcPr>
          <w:p w14:paraId="7BC4431D"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Развитие на модерна пристанищна инфраструктура</w:t>
            </w:r>
          </w:p>
        </w:tc>
        <w:tc>
          <w:tcPr>
            <w:tcW w:w="1376" w:type="dxa"/>
            <w:vAlign w:val="center"/>
          </w:tcPr>
          <w:p w14:paraId="334FBA87"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2030</w:t>
            </w:r>
          </w:p>
        </w:tc>
      </w:tr>
      <w:tr w:rsidR="00C519AD" w:rsidRPr="00610B1B" w14:paraId="6A75B219" w14:textId="77777777" w:rsidTr="00537D06">
        <w:tc>
          <w:tcPr>
            <w:tcW w:w="426" w:type="dxa"/>
            <w:vMerge/>
            <w:vAlign w:val="center"/>
          </w:tcPr>
          <w:p w14:paraId="4AC58165"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1601D962" w14:textId="77777777" w:rsidR="00C519AD" w:rsidRPr="00610B1B" w:rsidRDefault="00C519AD" w:rsidP="00537D06">
            <w:pPr>
              <w:rPr>
                <w:rFonts w:ascii="Times New Roman" w:hAnsi="Times New Roman" w:cs="Times New Roman"/>
                <w:sz w:val="20"/>
                <w:szCs w:val="20"/>
                <w:lang w:val="bg-BG"/>
              </w:rPr>
            </w:pPr>
          </w:p>
        </w:tc>
        <w:tc>
          <w:tcPr>
            <w:tcW w:w="5387" w:type="dxa"/>
          </w:tcPr>
          <w:p w14:paraId="5FFD4856" w14:textId="4B390AA4" w:rsidR="00C519AD" w:rsidRPr="00610B1B" w:rsidRDefault="009E604E" w:rsidP="00B46189">
            <w:pPr>
              <w:pStyle w:val="ListParagraph"/>
              <w:numPr>
                <w:ilvl w:val="1"/>
                <w:numId w:val="90"/>
              </w:numPr>
              <w:tabs>
                <w:tab w:val="left" w:pos="310"/>
              </w:tabs>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 </w:t>
            </w:r>
            <w:r w:rsidR="00C519AD" w:rsidRPr="00610B1B">
              <w:rPr>
                <w:rFonts w:ascii="Times New Roman" w:hAnsi="Times New Roman" w:cs="Times New Roman"/>
                <w:sz w:val="20"/>
                <w:szCs w:val="20"/>
                <w:lang w:val="bg-BG"/>
              </w:rPr>
              <w:t>Стимулиране на публично-частни партньорства</w:t>
            </w:r>
          </w:p>
        </w:tc>
        <w:tc>
          <w:tcPr>
            <w:tcW w:w="1984" w:type="dxa"/>
          </w:tcPr>
          <w:p w14:paraId="12CCECE0"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МТИТС, ДППИ</w:t>
            </w:r>
          </w:p>
        </w:tc>
        <w:tc>
          <w:tcPr>
            <w:tcW w:w="3232" w:type="dxa"/>
          </w:tcPr>
          <w:p w14:paraId="5AA81AD9"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Привличане на частни капитали за модернизация на пристанищната инфраструктура</w:t>
            </w:r>
          </w:p>
        </w:tc>
        <w:tc>
          <w:tcPr>
            <w:tcW w:w="1376" w:type="dxa"/>
            <w:vAlign w:val="center"/>
          </w:tcPr>
          <w:p w14:paraId="7E1AEFFD"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2030</w:t>
            </w:r>
          </w:p>
        </w:tc>
      </w:tr>
      <w:tr w:rsidR="00C519AD" w:rsidRPr="00610B1B" w14:paraId="04745818" w14:textId="77777777" w:rsidTr="00537D06">
        <w:tc>
          <w:tcPr>
            <w:tcW w:w="426" w:type="dxa"/>
            <w:vMerge/>
            <w:vAlign w:val="center"/>
          </w:tcPr>
          <w:p w14:paraId="403E4638"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3018A3B8" w14:textId="77777777" w:rsidR="00C519AD" w:rsidRPr="00610B1B" w:rsidRDefault="00C519AD" w:rsidP="00537D06">
            <w:pPr>
              <w:rPr>
                <w:rFonts w:ascii="Times New Roman" w:hAnsi="Times New Roman" w:cs="Times New Roman"/>
                <w:sz w:val="20"/>
                <w:szCs w:val="20"/>
                <w:lang w:val="bg-BG"/>
              </w:rPr>
            </w:pPr>
          </w:p>
        </w:tc>
        <w:tc>
          <w:tcPr>
            <w:tcW w:w="5387" w:type="dxa"/>
          </w:tcPr>
          <w:p w14:paraId="646FEB38" w14:textId="77777777" w:rsidR="00C519AD" w:rsidRPr="00610B1B" w:rsidRDefault="00C519AD" w:rsidP="00D32D6A">
            <w:pPr>
              <w:pBdr>
                <w:bottom w:val="single" w:sz="6" w:space="1" w:color="auto"/>
              </w:pBdr>
              <w:rPr>
                <w:rFonts w:ascii="Times New Roman" w:hAnsi="Times New Roman" w:cs="Times New Roman"/>
                <w:sz w:val="20"/>
                <w:szCs w:val="20"/>
                <w:lang w:val="bg-BG"/>
              </w:rPr>
            </w:pPr>
            <w:r w:rsidRPr="00610B1B">
              <w:rPr>
                <w:rFonts w:ascii="Times New Roman" w:hAnsi="Times New Roman" w:cs="Times New Roman"/>
                <w:sz w:val="20"/>
                <w:szCs w:val="20"/>
                <w:lang w:val="bg-BG"/>
              </w:rPr>
              <w:t>7.3. Изместване на пристанищните терминали извън централните градски зони и развитие на интермодални терминали</w:t>
            </w:r>
          </w:p>
          <w:p w14:paraId="68BE0FA0" w14:textId="77777777" w:rsidR="003331E2" w:rsidRPr="00610B1B" w:rsidRDefault="003331E2" w:rsidP="00D32D6A">
            <w:pPr>
              <w:rPr>
                <w:rFonts w:ascii="Times New Roman" w:hAnsi="Times New Roman" w:cs="Times New Roman"/>
                <w:sz w:val="20"/>
                <w:szCs w:val="20"/>
                <w:lang w:val="bg-BG"/>
              </w:rPr>
            </w:pPr>
          </w:p>
          <w:p w14:paraId="7EDB3A14" w14:textId="77777777" w:rsidR="00CB0470" w:rsidRPr="00610B1B" w:rsidRDefault="005B0197" w:rsidP="00D32D6A">
            <w:pPr>
              <w:pBdr>
                <w:bottom w:val="single" w:sz="6" w:space="1" w:color="auto"/>
              </w:pBdr>
              <w:rPr>
                <w:rFonts w:ascii="Times New Roman" w:hAnsi="Times New Roman" w:cs="Times New Roman"/>
                <w:sz w:val="20"/>
                <w:szCs w:val="20"/>
                <w:lang w:val="bg-BG"/>
              </w:rPr>
            </w:pPr>
            <w:r w:rsidRPr="00610B1B">
              <w:rPr>
                <w:rFonts w:ascii="Times New Roman" w:hAnsi="Times New Roman" w:cs="Times New Roman"/>
                <w:sz w:val="20"/>
                <w:szCs w:val="20"/>
                <w:lang w:val="bg-BG"/>
              </w:rPr>
              <w:t>7.4. Осъвременяване на системата за управление на корабните отпадъци води на пристанища Варна и Бургас като се разработи и внедри единна електронна база данни</w:t>
            </w:r>
          </w:p>
          <w:p w14:paraId="3C4D875C" w14:textId="65C44231" w:rsidR="00CB0470" w:rsidRPr="00610B1B" w:rsidRDefault="00CB0470" w:rsidP="00CB0470">
            <w:pPr>
              <w:rPr>
                <w:rFonts w:ascii="Times New Roman" w:hAnsi="Times New Roman" w:cs="Times New Roman"/>
                <w:sz w:val="20"/>
                <w:szCs w:val="20"/>
                <w:lang w:val="bg-BG"/>
              </w:rPr>
            </w:pPr>
            <w:r w:rsidRPr="00610B1B">
              <w:rPr>
                <w:rFonts w:ascii="Times New Roman" w:hAnsi="Times New Roman" w:cs="Times New Roman"/>
                <w:sz w:val="20"/>
                <w:szCs w:val="20"/>
                <w:lang w:val="bg-BG"/>
              </w:rPr>
              <w:t>7.5. Оборудване на пристанищата със съвременни приемни съоръжения за твърди отпадъци от корабите, отговарящи на международните конвенции и директиви на ЕС.</w:t>
            </w:r>
          </w:p>
        </w:tc>
        <w:tc>
          <w:tcPr>
            <w:tcW w:w="1984" w:type="dxa"/>
          </w:tcPr>
          <w:p w14:paraId="150D869B"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МТИТС, ДППИ, МРРБ, общински администрации</w:t>
            </w:r>
          </w:p>
          <w:p w14:paraId="4B50EFEA" w14:textId="77777777" w:rsidR="003331E2" w:rsidRPr="00610B1B" w:rsidRDefault="003331E2" w:rsidP="00D32D6A">
            <w:pPr>
              <w:rPr>
                <w:rFonts w:ascii="Times New Roman" w:hAnsi="Times New Roman" w:cs="Times New Roman"/>
                <w:sz w:val="20"/>
                <w:szCs w:val="20"/>
                <w:lang w:val="bg-BG"/>
              </w:rPr>
            </w:pPr>
          </w:p>
          <w:p w14:paraId="3070298A" w14:textId="77777777" w:rsidR="003331E2" w:rsidRPr="00610B1B" w:rsidRDefault="003331E2" w:rsidP="00D32D6A">
            <w:pPr>
              <w:rPr>
                <w:rFonts w:ascii="Times New Roman" w:hAnsi="Times New Roman" w:cs="Times New Roman"/>
                <w:sz w:val="20"/>
                <w:szCs w:val="20"/>
                <w:lang w:val="bg-BG"/>
              </w:rPr>
            </w:pPr>
          </w:p>
          <w:p w14:paraId="054EB323" w14:textId="5E6A55F3" w:rsidR="003331E2" w:rsidRPr="00610B1B" w:rsidRDefault="003331E2"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ДППИ</w:t>
            </w:r>
          </w:p>
        </w:tc>
        <w:tc>
          <w:tcPr>
            <w:tcW w:w="3232" w:type="dxa"/>
          </w:tcPr>
          <w:p w14:paraId="5AE53EFA"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Ефективно използване на територията и обвързване на градските и морските пространства</w:t>
            </w:r>
          </w:p>
          <w:p w14:paraId="54A350F6" w14:textId="77777777" w:rsidR="003331E2" w:rsidRPr="00610B1B" w:rsidRDefault="003331E2" w:rsidP="00D32D6A">
            <w:pPr>
              <w:rPr>
                <w:rFonts w:ascii="Times New Roman" w:hAnsi="Times New Roman" w:cs="Times New Roman"/>
                <w:sz w:val="20"/>
                <w:szCs w:val="20"/>
                <w:lang w:val="bg-BG"/>
              </w:rPr>
            </w:pPr>
          </w:p>
          <w:p w14:paraId="373AE99B" w14:textId="014F9381" w:rsidR="003331E2" w:rsidRPr="00610B1B" w:rsidRDefault="003331E2"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Поддържане чистотата на морските пространства</w:t>
            </w:r>
          </w:p>
        </w:tc>
        <w:tc>
          <w:tcPr>
            <w:tcW w:w="1376" w:type="dxa"/>
            <w:vAlign w:val="center"/>
          </w:tcPr>
          <w:p w14:paraId="6A20B95F"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2030</w:t>
            </w:r>
          </w:p>
        </w:tc>
      </w:tr>
      <w:tr w:rsidR="00E960FA" w:rsidRPr="00610B1B" w14:paraId="10C7AE09" w14:textId="77777777" w:rsidTr="00537D06">
        <w:tc>
          <w:tcPr>
            <w:tcW w:w="426" w:type="dxa"/>
            <w:vMerge w:val="restart"/>
            <w:vAlign w:val="center"/>
          </w:tcPr>
          <w:p w14:paraId="7E643761" w14:textId="77777777" w:rsidR="00E960FA" w:rsidRPr="00610B1B" w:rsidRDefault="00E960FA" w:rsidP="00537D06">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8</w:t>
            </w:r>
          </w:p>
        </w:tc>
        <w:tc>
          <w:tcPr>
            <w:tcW w:w="2693" w:type="dxa"/>
            <w:vMerge w:val="restart"/>
            <w:vAlign w:val="center"/>
          </w:tcPr>
          <w:p w14:paraId="65AD79F3" w14:textId="77777777" w:rsidR="00E960FA" w:rsidRPr="00610B1B" w:rsidRDefault="00E960FA"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Проучване и добив на неживи ресурси</w:t>
            </w:r>
          </w:p>
        </w:tc>
        <w:tc>
          <w:tcPr>
            <w:tcW w:w="5387" w:type="dxa"/>
            <w:shd w:val="clear" w:color="auto" w:fill="auto"/>
          </w:tcPr>
          <w:p w14:paraId="4B2C46E7" w14:textId="5F537E8A" w:rsidR="00E960FA" w:rsidRPr="00610B1B" w:rsidRDefault="00E960FA" w:rsidP="006543DF">
            <w:pPr>
              <w:rPr>
                <w:rFonts w:ascii="Times New Roman" w:hAnsi="Times New Roman" w:cs="Times New Roman"/>
                <w:sz w:val="20"/>
                <w:szCs w:val="20"/>
                <w:lang w:val="bg-BG"/>
              </w:rPr>
            </w:pPr>
            <w:r w:rsidRPr="00610B1B">
              <w:rPr>
                <w:rFonts w:ascii="Times New Roman" w:hAnsi="Times New Roman" w:cs="Times New Roman"/>
                <w:sz w:val="20"/>
                <w:szCs w:val="20"/>
                <w:lang w:val="bg-BG"/>
              </w:rPr>
              <w:t>8.1. Стимулиране на научните изследвания и проучване на нови технологии за добив на сероводород и на газокарбонати в Черно море.</w:t>
            </w:r>
          </w:p>
        </w:tc>
        <w:tc>
          <w:tcPr>
            <w:tcW w:w="1984" w:type="dxa"/>
            <w:shd w:val="clear" w:color="auto" w:fill="auto"/>
          </w:tcPr>
          <w:p w14:paraId="7CA8EDC5" w14:textId="212A4A87" w:rsidR="00E960FA" w:rsidRPr="00610B1B" w:rsidRDefault="00E960FA" w:rsidP="006543DF">
            <w:pPr>
              <w:rPr>
                <w:rFonts w:ascii="Times New Roman" w:hAnsi="Times New Roman" w:cs="Times New Roman"/>
                <w:sz w:val="20"/>
                <w:szCs w:val="20"/>
                <w:lang w:val="bg-BG"/>
              </w:rPr>
            </w:pPr>
            <w:r w:rsidRPr="00610B1B">
              <w:rPr>
                <w:rFonts w:ascii="Times New Roman" w:hAnsi="Times New Roman" w:cs="Times New Roman"/>
                <w:sz w:val="20"/>
                <w:szCs w:val="20"/>
                <w:lang w:val="bg-BG"/>
              </w:rPr>
              <w:t>МОН, МИ, МЕ, ИО и ИГГГ на БАН.</w:t>
            </w:r>
          </w:p>
        </w:tc>
        <w:tc>
          <w:tcPr>
            <w:tcW w:w="3232" w:type="dxa"/>
            <w:shd w:val="clear" w:color="auto" w:fill="auto"/>
          </w:tcPr>
          <w:p w14:paraId="77B6A74F" w14:textId="6E79E113" w:rsidR="00E960FA" w:rsidRPr="00610B1B" w:rsidRDefault="00E960FA" w:rsidP="006543DF">
            <w:pPr>
              <w:jc w:val="both"/>
              <w:rPr>
                <w:rFonts w:ascii="Times New Roman" w:hAnsi="Times New Roman" w:cs="Times New Roman"/>
                <w:sz w:val="20"/>
                <w:szCs w:val="20"/>
                <w:lang w:val="bg-BG"/>
              </w:rPr>
            </w:pPr>
            <w:r w:rsidRPr="00610B1B">
              <w:rPr>
                <w:rFonts w:ascii="Times New Roman" w:hAnsi="Times New Roman" w:cs="Times New Roman"/>
                <w:sz w:val="20"/>
                <w:szCs w:val="20"/>
                <w:lang w:val="bg-BG"/>
              </w:rPr>
              <w:t>Обвързване на научните изследвания с добивната дейност</w:t>
            </w:r>
          </w:p>
        </w:tc>
        <w:tc>
          <w:tcPr>
            <w:tcW w:w="1376" w:type="dxa"/>
            <w:shd w:val="clear" w:color="auto" w:fill="auto"/>
          </w:tcPr>
          <w:p w14:paraId="353D6E92" w14:textId="54BC9368" w:rsidR="00E960FA" w:rsidRPr="00610B1B" w:rsidRDefault="00E960FA" w:rsidP="006543DF">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2030</w:t>
            </w:r>
          </w:p>
        </w:tc>
      </w:tr>
      <w:tr w:rsidR="00E960FA" w:rsidRPr="00610B1B" w14:paraId="5AC61BB2" w14:textId="77777777" w:rsidTr="00537D06">
        <w:tc>
          <w:tcPr>
            <w:tcW w:w="426" w:type="dxa"/>
            <w:vMerge/>
            <w:vAlign w:val="center"/>
          </w:tcPr>
          <w:p w14:paraId="7EAEA155" w14:textId="77777777" w:rsidR="00E960FA" w:rsidRPr="00610B1B" w:rsidRDefault="00E960FA" w:rsidP="00537D06">
            <w:pPr>
              <w:jc w:val="center"/>
              <w:rPr>
                <w:rFonts w:ascii="Times New Roman" w:hAnsi="Times New Roman" w:cs="Times New Roman"/>
                <w:sz w:val="20"/>
                <w:szCs w:val="20"/>
                <w:lang w:val="bg-BG"/>
              </w:rPr>
            </w:pPr>
          </w:p>
        </w:tc>
        <w:tc>
          <w:tcPr>
            <w:tcW w:w="2693" w:type="dxa"/>
            <w:vMerge/>
            <w:vAlign w:val="center"/>
          </w:tcPr>
          <w:p w14:paraId="0C7023C2" w14:textId="77777777" w:rsidR="00E960FA" w:rsidRPr="00610B1B" w:rsidRDefault="00E960FA" w:rsidP="00537D06">
            <w:pPr>
              <w:rPr>
                <w:rFonts w:ascii="Times New Roman" w:hAnsi="Times New Roman" w:cs="Times New Roman"/>
                <w:sz w:val="20"/>
                <w:szCs w:val="20"/>
                <w:lang w:val="bg-BG"/>
              </w:rPr>
            </w:pPr>
          </w:p>
        </w:tc>
        <w:tc>
          <w:tcPr>
            <w:tcW w:w="5387" w:type="dxa"/>
            <w:shd w:val="clear" w:color="auto" w:fill="auto"/>
          </w:tcPr>
          <w:p w14:paraId="45186FEA" w14:textId="27EA2BE7" w:rsidR="00E960FA" w:rsidRPr="00610B1B" w:rsidRDefault="00E960FA" w:rsidP="00C57052">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8.2. </w:t>
            </w:r>
            <w:r w:rsidR="00C57052" w:rsidRPr="00610B1B">
              <w:rPr>
                <w:rFonts w:ascii="Times New Roman" w:hAnsi="Times New Roman" w:cs="Times New Roman"/>
                <w:sz w:val="20"/>
                <w:szCs w:val="20"/>
                <w:lang w:val="bg-BG"/>
              </w:rPr>
              <w:t xml:space="preserve">Съгласуване на разрешенията за проучване и добив на неживи ресурси с МК и Центъра за подводна археология </w:t>
            </w:r>
          </w:p>
        </w:tc>
        <w:tc>
          <w:tcPr>
            <w:tcW w:w="1984" w:type="dxa"/>
            <w:shd w:val="clear" w:color="auto" w:fill="auto"/>
          </w:tcPr>
          <w:p w14:paraId="558A44D0" w14:textId="35F046A2" w:rsidR="00E960FA" w:rsidRPr="00610B1B" w:rsidRDefault="00C57052" w:rsidP="00C57052">
            <w:pPr>
              <w:rPr>
                <w:rFonts w:ascii="Times New Roman" w:hAnsi="Times New Roman" w:cs="Times New Roman"/>
                <w:sz w:val="20"/>
                <w:szCs w:val="20"/>
                <w:lang w:val="bg-BG"/>
              </w:rPr>
            </w:pPr>
            <w:r w:rsidRPr="00610B1B">
              <w:rPr>
                <w:rFonts w:ascii="Times New Roman" w:hAnsi="Times New Roman" w:cs="Times New Roman"/>
                <w:sz w:val="20"/>
                <w:szCs w:val="20"/>
                <w:lang w:val="bg-BG"/>
              </w:rPr>
              <w:t>МК и ЦПА</w:t>
            </w:r>
          </w:p>
        </w:tc>
        <w:tc>
          <w:tcPr>
            <w:tcW w:w="3232" w:type="dxa"/>
            <w:shd w:val="clear" w:color="auto" w:fill="auto"/>
          </w:tcPr>
          <w:p w14:paraId="347ED37A" w14:textId="7E88130E" w:rsidR="00E960FA" w:rsidRPr="00610B1B" w:rsidRDefault="00C57052" w:rsidP="006543DF">
            <w:pPr>
              <w:jc w:val="both"/>
              <w:rPr>
                <w:rFonts w:ascii="Times New Roman" w:hAnsi="Times New Roman" w:cs="Times New Roman"/>
                <w:sz w:val="20"/>
                <w:szCs w:val="20"/>
                <w:lang w:val="bg-BG"/>
              </w:rPr>
            </w:pPr>
            <w:r w:rsidRPr="00610B1B">
              <w:rPr>
                <w:rFonts w:ascii="Times New Roman" w:hAnsi="Times New Roman" w:cs="Times New Roman"/>
                <w:sz w:val="20"/>
                <w:szCs w:val="20"/>
                <w:lang w:val="bg-BG"/>
              </w:rPr>
              <w:t>Опазване на подводното културно наследство</w:t>
            </w:r>
          </w:p>
        </w:tc>
        <w:tc>
          <w:tcPr>
            <w:tcW w:w="1376" w:type="dxa"/>
            <w:shd w:val="clear" w:color="auto" w:fill="auto"/>
          </w:tcPr>
          <w:p w14:paraId="0083C917" w14:textId="03F6846B" w:rsidR="00E960FA" w:rsidRPr="00610B1B" w:rsidRDefault="00C57052" w:rsidP="006543DF">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2021</w:t>
            </w:r>
          </w:p>
        </w:tc>
      </w:tr>
      <w:tr w:rsidR="00C519AD" w:rsidRPr="00610B1B" w14:paraId="258F6C5A" w14:textId="77777777" w:rsidTr="00537D06">
        <w:tc>
          <w:tcPr>
            <w:tcW w:w="426" w:type="dxa"/>
            <w:vAlign w:val="center"/>
          </w:tcPr>
          <w:p w14:paraId="576C3E53" w14:textId="77777777" w:rsidR="00C519AD" w:rsidRPr="00610B1B" w:rsidRDefault="00C519AD" w:rsidP="00537D06">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9</w:t>
            </w:r>
          </w:p>
        </w:tc>
        <w:tc>
          <w:tcPr>
            <w:tcW w:w="2693" w:type="dxa"/>
            <w:vAlign w:val="center"/>
          </w:tcPr>
          <w:p w14:paraId="6E9FD2B0" w14:textId="77777777" w:rsidR="00C519AD" w:rsidRPr="00610B1B" w:rsidRDefault="00C519AD"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Морски биотехнологии</w:t>
            </w:r>
          </w:p>
        </w:tc>
        <w:tc>
          <w:tcPr>
            <w:tcW w:w="5387" w:type="dxa"/>
          </w:tcPr>
          <w:p w14:paraId="0462904B" w14:textId="198834C9"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9.1. Приоритетно финансиране на проекти за развитие на биотехнологии, свързани с морето за по-ефективно използване на неговите ресурси</w:t>
            </w:r>
          </w:p>
        </w:tc>
        <w:tc>
          <w:tcPr>
            <w:tcW w:w="1984" w:type="dxa"/>
          </w:tcPr>
          <w:p w14:paraId="5446458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МОН, МЗ</w:t>
            </w:r>
          </w:p>
          <w:p w14:paraId="26E5C29B"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МИ</w:t>
            </w:r>
          </w:p>
        </w:tc>
        <w:tc>
          <w:tcPr>
            <w:tcW w:w="3232" w:type="dxa"/>
          </w:tcPr>
          <w:p w14:paraId="57676C21"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Неоползотворен потенциал на морските ресурси с високи качества за производства във фармацевтичната, козметичната и други индустрии</w:t>
            </w:r>
          </w:p>
        </w:tc>
        <w:tc>
          <w:tcPr>
            <w:tcW w:w="1376" w:type="dxa"/>
            <w:vAlign w:val="center"/>
          </w:tcPr>
          <w:p w14:paraId="35AC1431"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2030</w:t>
            </w:r>
          </w:p>
        </w:tc>
      </w:tr>
      <w:tr w:rsidR="00C519AD" w:rsidRPr="00610B1B" w14:paraId="6E6AAD64" w14:textId="77777777" w:rsidTr="00537D06">
        <w:tc>
          <w:tcPr>
            <w:tcW w:w="426" w:type="dxa"/>
            <w:vMerge w:val="restart"/>
            <w:vAlign w:val="center"/>
          </w:tcPr>
          <w:p w14:paraId="0A3C764A" w14:textId="77777777" w:rsidR="00C519AD" w:rsidRPr="00610B1B" w:rsidRDefault="00C519AD" w:rsidP="00537D06">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10</w:t>
            </w:r>
          </w:p>
        </w:tc>
        <w:tc>
          <w:tcPr>
            <w:tcW w:w="2693" w:type="dxa"/>
            <w:vMerge w:val="restart"/>
            <w:vAlign w:val="center"/>
          </w:tcPr>
          <w:p w14:paraId="4C92B432" w14:textId="77777777" w:rsidR="00C519AD" w:rsidRPr="00610B1B" w:rsidRDefault="00C519AD"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Драгиране и депониране на драгажна маса</w:t>
            </w:r>
          </w:p>
        </w:tc>
        <w:tc>
          <w:tcPr>
            <w:tcW w:w="5387" w:type="dxa"/>
          </w:tcPr>
          <w:p w14:paraId="3317CEA9" w14:textId="77777777" w:rsidR="00C519AD" w:rsidRPr="00610B1B" w:rsidRDefault="00C519AD" w:rsidP="00D32D6A">
            <w:pPr>
              <w:pStyle w:val="ListParagraph"/>
              <w:ind w:left="26"/>
              <w:contextualSpacing w:val="0"/>
              <w:jc w:val="both"/>
              <w:rPr>
                <w:rFonts w:ascii="Times New Roman" w:hAnsi="Times New Roman" w:cs="Times New Roman"/>
                <w:sz w:val="20"/>
                <w:szCs w:val="20"/>
                <w:lang w:val="bg-BG"/>
              </w:rPr>
            </w:pPr>
            <w:r w:rsidRPr="00610B1B">
              <w:rPr>
                <w:rFonts w:ascii="Times New Roman" w:hAnsi="Times New Roman" w:cs="Times New Roman"/>
                <w:sz w:val="20"/>
                <w:szCs w:val="20"/>
                <w:lang w:val="bg-BG"/>
              </w:rPr>
              <w:t>10.1. Да се ограничат причините за голямата потребност от драгиране във Варненското езеро</w:t>
            </w:r>
          </w:p>
        </w:tc>
        <w:tc>
          <w:tcPr>
            <w:tcW w:w="1984" w:type="dxa"/>
          </w:tcPr>
          <w:p w14:paraId="336003D6"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ДППИ</w:t>
            </w:r>
          </w:p>
        </w:tc>
        <w:tc>
          <w:tcPr>
            <w:tcW w:w="3232" w:type="dxa"/>
          </w:tcPr>
          <w:p w14:paraId="057FE570"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Ограничаване на използването на публични средства за частни интереси</w:t>
            </w:r>
          </w:p>
        </w:tc>
        <w:tc>
          <w:tcPr>
            <w:tcW w:w="1376" w:type="dxa"/>
            <w:vAlign w:val="center"/>
          </w:tcPr>
          <w:p w14:paraId="1691B21D"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161E49B8" w14:textId="77777777" w:rsidTr="00537D06">
        <w:tc>
          <w:tcPr>
            <w:tcW w:w="426" w:type="dxa"/>
            <w:vMerge/>
            <w:vAlign w:val="center"/>
          </w:tcPr>
          <w:p w14:paraId="0D8AD1A3"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21991AE1" w14:textId="77777777" w:rsidR="00C519AD" w:rsidRPr="00610B1B" w:rsidRDefault="00C519AD" w:rsidP="00537D06">
            <w:pPr>
              <w:rPr>
                <w:rFonts w:ascii="Times New Roman" w:hAnsi="Times New Roman" w:cs="Times New Roman"/>
                <w:sz w:val="20"/>
                <w:szCs w:val="20"/>
                <w:lang w:val="bg-BG"/>
              </w:rPr>
            </w:pPr>
          </w:p>
        </w:tc>
        <w:tc>
          <w:tcPr>
            <w:tcW w:w="5387" w:type="dxa"/>
          </w:tcPr>
          <w:p w14:paraId="7AB40943" w14:textId="77777777" w:rsidR="001E1A48"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10.2. Изследване на потенциалните места за депониране на драгажна маса с оглед намаляване на вредните въздействия върху морската околна среда и ограничаване на затрупването на местообитания.</w:t>
            </w:r>
          </w:p>
          <w:p w14:paraId="167876A8" w14:textId="77777777" w:rsidR="00C519AD" w:rsidRPr="00610B1B" w:rsidRDefault="001E1A48" w:rsidP="00D32D6A">
            <w:pPr>
              <w:pBdr>
                <w:top w:val="single" w:sz="6" w:space="1" w:color="auto"/>
                <w:bottom w:val="single" w:sz="6" w:space="1" w:color="auto"/>
              </w:pBdr>
              <w:rPr>
                <w:rFonts w:ascii="Times New Roman" w:hAnsi="Times New Roman" w:cs="Times New Roman"/>
                <w:color w:val="000000"/>
                <w:sz w:val="20"/>
                <w:szCs w:val="20"/>
                <w:lang w:val="bg-BG" w:eastAsia="bg-BG" w:bidi="bg-BG"/>
              </w:rPr>
            </w:pPr>
            <w:r w:rsidRPr="00610B1B">
              <w:rPr>
                <w:rFonts w:ascii="Times New Roman" w:hAnsi="Times New Roman" w:cs="Times New Roman"/>
                <w:sz w:val="20"/>
                <w:szCs w:val="20"/>
                <w:lang w:val="bg-BG"/>
              </w:rPr>
              <w:t xml:space="preserve">10.3. </w:t>
            </w:r>
            <w:r w:rsidR="00C519AD" w:rsidRPr="00610B1B">
              <w:rPr>
                <w:rFonts w:ascii="Times New Roman" w:hAnsi="Times New Roman" w:cs="Times New Roman"/>
                <w:sz w:val="20"/>
                <w:szCs w:val="20"/>
                <w:lang w:val="bg-BG"/>
              </w:rPr>
              <w:t xml:space="preserve"> </w:t>
            </w:r>
            <w:r w:rsidRPr="00610B1B">
              <w:rPr>
                <w:rFonts w:ascii="Times New Roman" w:hAnsi="Times New Roman" w:cs="Times New Roman"/>
                <w:color w:val="000000"/>
                <w:sz w:val="20"/>
                <w:szCs w:val="20"/>
                <w:lang w:val="bg-BG" w:eastAsia="bg-BG" w:bidi="bg-BG"/>
              </w:rPr>
              <w:t xml:space="preserve">През периода март-април, когато карагьозът </w:t>
            </w:r>
            <w:r w:rsidRPr="00610B1B">
              <w:rPr>
                <w:rStyle w:val="Bodytext2Italic"/>
                <w:rFonts w:eastAsia="Courier New"/>
                <w:sz w:val="20"/>
                <w:szCs w:val="20"/>
              </w:rPr>
              <w:t>(</w:t>
            </w:r>
            <w:r w:rsidRPr="00610B1B">
              <w:rPr>
                <w:rStyle w:val="Bodytext2Italic"/>
                <w:rFonts w:eastAsia="Courier New"/>
                <w:sz w:val="20"/>
                <w:szCs w:val="20"/>
                <w:lang w:bidi="en-US"/>
              </w:rPr>
              <w:t>Alosa immacilata)</w:t>
            </w:r>
            <w:r w:rsidRPr="00610B1B">
              <w:rPr>
                <w:rFonts w:ascii="Times New Roman" w:hAnsi="Times New Roman" w:cs="Times New Roman"/>
                <w:color w:val="000000"/>
                <w:sz w:val="20"/>
                <w:szCs w:val="20"/>
                <w:lang w:val="bg-BG" w:bidi="en-US"/>
              </w:rPr>
              <w:t xml:space="preserve"> </w:t>
            </w:r>
            <w:r w:rsidRPr="00610B1B">
              <w:rPr>
                <w:rFonts w:ascii="Times New Roman" w:hAnsi="Times New Roman" w:cs="Times New Roman"/>
                <w:color w:val="000000"/>
                <w:sz w:val="20"/>
                <w:szCs w:val="20"/>
                <w:lang w:val="bg-BG" w:eastAsia="bg-BG" w:bidi="bg-BG"/>
              </w:rPr>
              <w:t xml:space="preserve">и харипът (малък карагьоз, резовски карагьоз) </w:t>
            </w:r>
            <w:r w:rsidRPr="00610B1B">
              <w:rPr>
                <w:rStyle w:val="Bodytext2Italic"/>
                <w:rFonts w:eastAsia="Courier New"/>
                <w:sz w:val="20"/>
                <w:szCs w:val="20"/>
                <w:lang w:bidi="en-US"/>
              </w:rPr>
              <w:t>{Alosa tanaica=Alosa caspia nordmanni)</w:t>
            </w:r>
            <w:r w:rsidRPr="00610B1B">
              <w:rPr>
                <w:rFonts w:ascii="Times New Roman" w:hAnsi="Times New Roman" w:cs="Times New Roman"/>
                <w:color w:val="000000"/>
                <w:sz w:val="20"/>
                <w:szCs w:val="20"/>
                <w:lang w:val="bg-BG" w:bidi="en-US"/>
              </w:rPr>
              <w:t xml:space="preserve"> </w:t>
            </w:r>
            <w:r w:rsidRPr="00610B1B">
              <w:rPr>
                <w:rFonts w:ascii="Times New Roman" w:hAnsi="Times New Roman" w:cs="Times New Roman"/>
                <w:color w:val="000000"/>
                <w:sz w:val="20"/>
                <w:szCs w:val="20"/>
                <w:lang w:val="bg-BG" w:eastAsia="bg-BG" w:bidi="bg-BG"/>
              </w:rPr>
              <w:t>се появяват в българските крайбрежни морски води, да се сведе до минимум драгирането депонирането на драгажни маси в крайбрежната морска зона</w:t>
            </w:r>
          </w:p>
          <w:p w14:paraId="09A8FA37" w14:textId="3503EC57" w:rsidR="000A381F" w:rsidRPr="00610B1B" w:rsidRDefault="000A381F" w:rsidP="00D32D6A">
            <w:pPr>
              <w:rPr>
                <w:rFonts w:ascii="Times New Roman" w:hAnsi="Times New Roman" w:cs="Times New Roman"/>
                <w:sz w:val="20"/>
                <w:szCs w:val="20"/>
                <w:lang w:val="bg-BG"/>
              </w:rPr>
            </w:pPr>
            <w:r w:rsidRPr="00610B1B">
              <w:rPr>
                <w:rFonts w:ascii="Times New Roman" w:hAnsi="Times New Roman" w:cs="Times New Roman"/>
                <w:color w:val="000000"/>
                <w:sz w:val="20"/>
                <w:szCs w:val="20"/>
                <w:lang w:val="bg-BG" w:eastAsia="bg-BG" w:bidi="bg-BG"/>
              </w:rPr>
              <w:t xml:space="preserve">10.4. Да се разработи стратегия/методика за управление на драгажните </w:t>
            </w:r>
            <w:r w:rsidR="00560C72" w:rsidRPr="00610B1B">
              <w:rPr>
                <w:rFonts w:ascii="Times New Roman" w:hAnsi="Times New Roman" w:cs="Times New Roman"/>
                <w:color w:val="000000"/>
                <w:sz w:val="20"/>
                <w:szCs w:val="20"/>
                <w:lang w:val="bg-BG" w:eastAsia="bg-BG" w:bidi="bg-BG"/>
              </w:rPr>
              <w:t xml:space="preserve"> маси при </w:t>
            </w:r>
            <w:r w:rsidRPr="00610B1B">
              <w:rPr>
                <w:rFonts w:ascii="Times New Roman" w:hAnsi="Times New Roman" w:cs="Times New Roman"/>
                <w:color w:val="000000"/>
                <w:sz w:val="20"/>
                <w:szCs w:val="20"/>
                <w:lang w:val="bg-BG" w:eastAsia="bg-BG" w:bidi="bg-BG"/>
              </w:rPr>
              <w:t>извършване на дейности по драгиране и депониране във водни обекти, като предвид наличните добри практики</w:t>
            </w:r>
          </w:p>
        </w:tc>
        <w:tc>
          <w:tcPr>
            <w:tcW w:w="1984" w:type="dxa"/>
          </w:tcPr>
          <w:p w14:paraId="3293C69B"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ИО-БАН, ИБЕИ-БАН,</w:t>
            </w:r>
          </w:p>
          <w:p w14:paraId="0EBA0F25"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БДЧР</w:t>
            </w:r>
          </w:p>
          <w:p w14:paraId="44109756" w14:textId="77777777" w:rsidR="0038752B" w:rsidRPr="00610B1B" w:rsidRDefault="0038752B" w:rsidP="00D32D6A">
            <w:pPr>
              <w:rPr>
                <w:rFonts w:ascii="Times New Roman" w:hAnsi="Times New Roman" w:cs="Times New Roman"/>
                <w:sz w:val="20"/>
                <w:szCs w:val="20"/>
                <w:lang w:val="bg-BG"/>
              </w:rPr>
            </w:pPr>
          </w:p>
          <w:p w14:paraId="1F552B2A" w14:textId="77777777" w:rsidR="0038752B" w:rsidRPr="00610B1B" w:rsidRDefault="0038752B" w:rsidP="00D32D6A">
            <w:pPr>
              <w:rPr>
                <w:rFonts w:ascii="Times New Roman" w:hAnsi="Times New Roman" w:cs="Times New Roman"/>
                <w:sz w:val="20"/>
                <w:szCs w:val="20"/>
                <w:lang w:val="bg-BG"/>
              </w:rPr>
            </w:pPr>
          </w:p>
          <w:p w14:paraId="41A94D2F" w14:textId="77777777" w:rsidR="0038752B" w:rsidRPr="00610B1B" w:rsidRDefault="0038752B" w:rsidP="0038752B">
            <w:pPr>
              <w:rPr>
                <w:rFonts w:ascii="Times New Roman" w:hAnsi="Times New Roman" w:cs="Times New Roman"/>
                <w:sz w:val="20"/>
                <w:szCs w:val="20"/>
                <w:lang w:val="bg-BG"/>
              </w:rPr>
            </w:pPr>
            <w:r w:rsidRPr="00610B1B">
              <w:rPr>
                <w:rFonts w:ascii="Times New Roman" w:hAnsi="Times New Roman" w:cs="Times New Roman"/>
                <w:sz w:val="20"/>
                <w:szCs w:val="20"/>
                <w:lang w:val="bg-BG"/>
              </w:rPr>
              <w:t>ИО-БАН, ИБЕИ-БАН,</w:t>
            </w:r>
          </w:p>
          <w:p w14:paraId="07F84304" w14:textId="77777777" w:rsidR="0038752B" w:rsidRPr="00610B1B" w:rsidRDefault="0038752B" w:rsidP="0038752B">
            <w:pPr>
              <w:rPr>
                <w:rFonts w:ascii="Times New Roman" w:hAnsi="Times New Roman" w:cs="Times New Roman"/>
                <w:sz w:val="20"/>
                <w:szCs w:val="20"/>
                <w:lang w:val="bg-BG"/>
              </w:rPr>
            </w:pPr>
            <w:r w:rsidRPr="00610B1B">
              <w:rPr>
                <w:rFonts w:ascii="Times New Roman" w:hAnsi="Times New Roman" w:cs="Times New Roman"/>
                <w:sz w:val="20"/>
                <w:szCs w:val="20"/>
                <w:lang w:val="bg-BG"/>
              </w:rPr>
              <w:t>БДЧР</w:t>
            </w:r>
          </w:p>
          <w:p w14:paraId="6F99DFAD" w14:textId="77777777" w:rsidR="000A381F" w:rsidRPr="00610B1B" w:rsidRDefault="000A381F" w:rsidP="0038752B">
            <w:pPr>
              <w:rPr>
                <w:rFonts w:ascii="Times New Roman" w:hAnsi="Times New Roman" w:cs="Times New Roman"/>
                <w:sz w:val="20"/>
                <w:szCs w:val="20"/>
                <w:lang w:val="bg-BG"/>
              </w:rPr>
            </w:pPr>
          </w:p>
          <w:p w14:paraId="566CFB94" w14:textId="77777777" w:rsidR="000A381F" w:rsidRPr="00610B1B" w:rsidRDefault="000A381F" w:rsidP="0038752B">
            <w:pPr>
              <w:rPr>
                <w:rFonts w:ascii="Times New Roman" w:hAnsi="Times New Roman" w:cs="Times New Roman"/>
                <w:sz w:val="20"/>
                <w:szCs w:val="20"/>
                <w:lang w:val="bg-BG"/>
              </w:rPr>
            </w:pPr>
          </w:p>
          <w:p w14:paraId="42E10649" w14:textId="77777777" w:rsidR="000A381F" w:rsidRPr="00610B1B" w:rsidRDefault="000A381F" w:rsidP="0038752B">
            <w:pPr>
              <w:rPr>
                <w:rFonts w:ascii="Times New Roman" w:hAnsi="Times New Roman" w:cs="Times New Roman"/>
                <w:sz w:val="20"/>
                <w:szCs w:val="20"/>
                <w:lang w:val="bg-BG"/>
              </w:rPr>
            </w:pPr>
          </w:p>
          <w:p w14:paraId="6A36EBBE" w14:textId="31C51BC2" w:rsidR="000A381F" w:rsidRPr="00610B1B" w:rsidRDefault="000A381F" w:rsidP="0038752B">
            <w:pPr>
              <w:rPr>
                <w:rFonts w:ascii="Times New Roman" w:hAnsi="Times New Roman" w:cs="Times New Roman"/>
                <w:sz w:val="20"/>
                <w:szCs w:val="20"/>
                <w:lang w:val="bg-BG"/>
              </w:rPr>
            </w:pPr>
            <w:r w:rsidRPr="00610B1B">
              <w:rPr>
                <w:rFonts w:ascii="Times New Roman" w:hAnsi="Times New Roman" w:cs="Times New Roman"/>
                <w:sz w:val="20"/>
                <w:szCs w:val="20"/>
                <w:lang w:val="bg-BG"/>
              </w:rPr>
              <w:t>ДППИ</w:t>
            </w:r>
            <w:r w:rsidR="00D11207">
              <w:rPr>
                <w:rFonts w:ascii="Times New Roman" w:hAnsi="Times New Roman" w:cs="Times New Roman"/>
                <w:sz w:val="20"/>
                <w:szCs w:val="20"/>
                <w:lang w:val="bg-BG"/>
              </w:rPr>
              <w:t>,МТС,ИАМА,МОСВ,иБДЧР</w:t>
            </w:r>
          </w:p>
        </w:tc>
        <w:tc>
          <w:tcPr>
            <w:tcW w:w="3232" w:type="dxa"/>
          </w:tcPr>
          <w:p w14:paraId="765B772D"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Нарастващ във времето</w:t>
            </w:r>
            <w:r w:rsidR="00D66FE0"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дефицит от</w:t>
            </w:r>
            <w:r w:rsidR="00D66FE0"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площадки за депониране на драгажна маса и потребност от креативни решения</w:t>
            </w:r>
          </w:p>
          <w:p w14:paraId="01E6ABA5" w14:textId="77777777" w:rsidR="001E1A48" w:rsidRPr="00610B1B" w:rsidRDefault="0038752B" w:rsidP="00D32D6A">
            <w:pPr>
              <w:rPr>
                <w:rFonts w:ascii="Times New Roman" w:hAnsi="Times New Roman" w:cs="Times New Roman"/>
                <w:color w:val="000000"/>
                <w:sz w:val="20"/>
                <w:szCs w:val="20"/>
                <w:lang w:val="bg-BG" w:eastAsia="bg-BG" w:bidi="bg-BG"/>
              </w:rPr>
            </w:pPr>
            <w:r w:rsidRPr="00610B1B">
              <w:rPr>
                <w:rFonts w:ascii="Times New Roman" w:hAnsi="Times New Roman" w:cs="Times New Roman"/>
                <w:color w:val="000000"/>
                <w:sz w:val="20"/>
                <w:szCs w:val="20"/>
                <w:lang w:val="bg-BG" w:eastAsia="bg-BG" w:bidi="bg-BG"/>
              </w:rPr>
              <w:t>Н</w:t>
            </w:r>
            <w:r w:rsidR="001E1A48" w:rsidRPr="00610B1B">
              <w:rPr>
                <w:rFonts w:ascii="Times New Roman" w:hAnsi="Times New Roman" w:cs="Times New Roman"/>
                <w:color w:val="000000"/>
                <w:sz w:val="20"/>
                <w:szCs w:val="20"/>
                <w:lang w:val="bg-BG" w:eastAsia="bg-BG" w:bidi="bg-BG"/>
              </w:rPr>
              <w:t>амаляване на замърсяването на водата, безпокойството на рибите и вло трофичните условия през периода на интензивното им хранене, преди началото на размножителната миграция</w:t>
            </w:r>
          </w:p>
          <w:p w14:paraId="622B19FB" w14:textId="77777777" w:rsidR="000A381F" w:rsidRPr="00610B1B" w:rsidRDefault="000A381F" w:rsidP="00D32D6A">
            <w:pPr>
              <w:rPr>
                <w:rFonts w:ascii="Times New Roman" w:hAnsi="Times New Roman" w:cs="Times New Roman"/>
                <w:color w:val="000000"/>
                <w:sz w:val="20"/>
                <w:szCs w:val="20"/>
                <w:lang w:val="bg-BG" w:eastAsia="bg-BG" w:bidi="bg-BG"/>
              </w:rPr>
            </w:pPr>
          </w:p>
          <w:p w14:paraId="57FEC425" w14:textId="520598E4" w:rsidR="000A381F" w:rsidRPr="00610B1B" w:rsidRDefault="000A381F" w:rsidP="00D32D6A">
            <w:pPr>
              <w:rPr>
                <w:rFonts w:ascii="Times New Roman" w:hAnsi="Times New Roman" w:cs="Times New Roman"/>
                <w:sz w:val="20"/>
                <w:szCs w:val="20"/>
                <w:lang w:val="bg-BG"/>
              </w:rPr>
            </w:pPr>
            <w:r w:rsidRPr="00610B1B">
              <w:rPr>
                <w:rFonts w:ascii="Times New Roman" w:hAnsi="Times New Roman" w:cs="Times New Roman"/>
                <w:color w:val="000000"/>
                <w:sz w:val="20"/>
                <w:szCs w:val="20"/>
                <w:lang w:val="bg-BG" w:eastAsia="bg-BG" w:bidi="bg-BG"/>
              </w:rPr>
              <w:t>Ограничаване на нарушаването на морските екосистеми</w:t>
            </w:r>
          </w:p>
        </w:tc>
        <w:tc>
          <w:tcPr>
            <w:tcW w:w="1376" w:type="dxa"/>
            <w:vAlign w:val="center"/>
          </w:tcPr>
          <w:p w14:paraId="1372D66D" w14:textId="77777777" w:rsidR="00C519AD"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2030</w:t>
            </w:r>
          </w:p>
          <w:p w14:paraId="66B76AE3" w14:textId="77777777" w:rsidR="00D11207" w:rsidRDefault="00D11207" w:rsidP="00D32D6A">
            <w:pPr>
              <w:jc w:val="center"/>
              <w:rPr>
                <w:rFonts w:ascii="Times New Roman" w:hAnsi="Times New Roman" w:cs="Times New Roman"/>
                <w:sz w:val="20"/>
                <w:szCs w:val="20"/>
                <w:lang w:val="bg-BG"/>
              </w:rPr>
            </w:pPr>
          </w:p>
          <w:p w14:paraId="16B0BA3E" w14:textId="77777777" w:rsidR="00D11207" w:rsidRDefault="00D11207" w:rsidP="00D32D6A">
            <w:pPr>
              <w:jc w:val="center"/>
              <w:rPr>
                <w:rFonts w:ascii="Times New Roman" w:hAnsi="Times New Roman" w:cs="Times New Roman"/>
                <w:sz w:val="20"/>
                <w:szCs w:val="20"/>
                <w:lang w:val="bg-BG"/>
              </w:rPr>
            </w:pPr>
          </w:p>
          <w:p w14:paraId="2EF2FB13" w14:textId="7BE04064" w:rsidR="00D11207" w:rsidRDefault="00D11207" w:rsidP="00D32D6A">
            <w:pPr>
              <w:jc w:val="center"/>
              <w:rPr>
                <w:rFonts w:ascii="Times New Roman" w:hAnsi="Times New Roman" w:cs="Times New Roman"/>
                <w:sz w:val="20"/>
                <w:szCs w:val="20"/>
                <w:lang w:val="bg-BG"/>
              </w:rPr>
            </w:pPr>
            <w:r>
              <w:rPr>
                <w:rFonts w:ascii="Times New Roman" w:hAnsi="Times New Roman" w:cs="Times New Roman"/>
                <w:sz w:val="20"/>
                <w:szCs w:val="20"/>
                <w:lang w:val="bg-BG"/>
              </w:rPr>
              <w:t>постоянен</w:t>
            </w:r>
          </w:p>
          <w:p w14:paraId="3CD218BC" w14:textId="77777777" w:rsidR="00D11207" w:rsidRDefault="00D11207" w:rsidP="00D32D6A">
            <w:pPr>
              <w:jc w:val="center"/>
              <w:rPr>
                <w:rFonts w:ascii="Times New Roman" w:hAnsi="Times New Roman" w:cs="Times New Roman"/>
                <w:sz w:val="20"/>
                <w:szCs w:val="20"/>
                <w:lang w:val="bg-BG"/>
              </w:rPr>
            </w:pPr>
          </w:p>
          <w:p w14:paraId="1DDCA77F" w14:textId="77777777" w:rsidR="00D11207" w:rsidRDefault="00D11207" w:rsidP="00D32D6A">
            <w:pPr>
              <w:jc w:val="center"/>
              <w:rPr>
                <w:rFonts w:ascii="Times New Roman" w:hAnsi="Times New Roman" w:cs="Times New Roman"/>
                <w:sz w:val="20"/>
                <w:szCs w:val="20"/>
                <w:lang w:val="bg-BG"/>
              </w:rPr>
            </w:pPr>
          </w:p>
          <w:p w14:paraId="449F026F" w14:textId="77777777" w:rsidR="00D11207" w:rsidRDefault="00D11207" w:rsidP="00D32D6A">
            <w:pPr>
              <w:jc w:val="center"/>
              <w:rPr>
                <w:rFonts w:ascii="Times New Roman" w:hAnsi="Times New Roman" w:cs="Times New Roman"/>
                <w:sz w:val="20"/>
                <w:szCs w:val="20"/>
                <w:lang w:val="bg-BG"/>
              </w:rPr>
            </w:pPr>
          </w:p>
          <w:p w14:paraId="661D595D" w14:textId="77777777" w:rsidR="00D11207" w:rsidRDefault="00D11207" w:rsidP="00D32D6A">
            <w:pPr>
              <w:jc w:val="center"/>
              <w:rPr>
                <w:rFonts w:ascii="Times New Roman" w:hAnsi="Times New Roman" w:cs="Times New Roman"/>
                <w:sz w:val="20"/>
                <w:szCs w:val="20"/>
                <w:lang w:val="bg-BG"/>
              </w:rPr>
            </w:pPr>
          </w:p>
          <w:p w14:paraId="04767136" w14:textId="77777777" w:rsidR="00D11207" w:rsidRDefault="00D11207" w:rsidP="00D32D6A">
            <w:pPr>
              <w:jc w:val="center"/>
              <w:rPr>
                <w:rFonts w:ascii="Times New Roman" w:hAnsi="Times New Roman" w:cs="Times New Roman"/>
                <w:sz w:val="20"/>
                <w:szCs w:val="20"/>
                <w:lang w:val="bg-BG"/>
              </w:rPr>
            </w:pPr>
          </w:p>
          <w:p w14:paraId="232B35AE" w14:textId="77777777" w:rsidR="00D11207" w:rsidRDefault="00D11207" w:rsidP="00D32D6A">
            <w:pPr>
              <w:jc w:val="center"/>
              <w:rPr>
                <w:rFonts w:ascii="Times New Roman" w:hAnsi="Times New Roman" w:cs="Times New Roman"/>
                <w:sz w:val="20"/>
                <w:szCs w:val="20"/>
                <w:lang w:val="bg-BG"/>
              </w:rPr>
            </w:pPr>
          </w:p>
          <w:p w14:paraId="63B79D66" w14:textId="4F365DD1" w:rsidR="00D11207" w:rsidRPr="00610B1B" w:rsidRDefault="00D11207" w:rsidP="00D32D6A">
            <w:pPr>
              <w:jc w:val="center"/>
              <w:rPr>
                <w:rFonts w:ascii="Times New Roman" w:hAnsi="Times New Roman" w:cs="Times New Roman"/>
                <w:sz w:val="20"/>
                <w:szCs w:val="20"/>
                <w:lang w:val="bg-BG"/>
              </w:rPr>
            </w:pPr>
            <w:r>
              <w:rPr>
                <w:rFonts w:ascii="Times New Roman" w:hAnsi="Times New Roman" w:cs="Times New Roman"/>
                <w:sz w:val="20"/>
                <w:szCs w:val="20"/>
                <w:lang w:val="bg-BG"/>
              </w:rPr>
              <w:t>2024</w:t>
            </w:r>
          </w:p>
        </w:tc>
      </w:tr>
      <w:tr w:rsidR="00C519AD" w:rsidRPr="00610B1B" w14:paraId="4BD44996" w14:textId="77777777" w:rsidTr="00537D06">
        <w:tc>
          <w:tcPr>
            <w:tcW w:w="426" w:type="dxa"/>
            <w:vMerge w:val="restart"/>
            <w:vAlign w:val="center"/>
          </w:tcPr>
          <w:p w14:paraId="22FECE65" w14:textId="77777777" w:rsidR="00C519AD" w:rsidRPr="00610B1B" w:rsidRDefault="00C519AD" w:rsidP="00537D06">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11</w:t>
            </w:r>
          </w:p>
        </w:tc>
        <w:tc>
          <w:tcPr>
            <w:tcW w:w="2693" w:type="dxa"/>
            <w:vMerge w:val="restart"/>
            <w:vAlign w:val="center"/>
          </w:tcPr>
          <w:p w14:paraId="2440B529" w14:textId="77777777" w:rsidR="00C519AD" w:rsidRPr="00610B1B" w:rsidRDefault="00C519AD"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Научно-изследователска дейност</w:t>
            </w:r>
          </w:p>
        </w:tc>
        <w:tc>
          <w:tcPr>
            <w:tcW w:w="5387" w:type="dxa"/>
            <w:shd w:val="clear" w:color="auto" w:fill="FFFFFF"/>
          </w:tcPr>
          <w:p w14:paraId="6172AFC6" w14:textId="74374A33" w:rsidR="00C519AD" w:rsidRPr="00610B1B" w:rsidRDefault="00C519AD" w:rsidP="00D32D6A">
            <w:pPr>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11.1. Изследване на съвременното разпространение и състояние на морските местообитания, функционирането и процесите в морските екосистеми за допълване на базата данни и разширяване на знанието.</w:t>
            </w:r>
            <w:r w:rsidR="00D66FE0" w:rsidRPr="00610B1B">
              <w:rPr>
                <w:rFonts w:ascii="Times New Roman" w:hAnsi="Times New Roman" w:cs="Times New Roman"/>
                <w:color w:val="000000"/>
                <w:sz w:val="20"/>
                <w:szCs w:val="20"/>
                <w:lang w:val="bg-BG"/>
              </w:rPr>
              <w:t xml:space="preserve"> </w:t>
            </w:r>
          </w:p>
        </w:tc>
        <w:tc>
          <w:tcPr>
            <w:tcW w:w="1984" w:type="dxa"/>
          </w:tcPr>
          <w:p w14:paraId="07CE1C85"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ИО и ИБЕИ-БАН</w:t>
            </w:r>
          </w:p>
        </w:tc>
        <w:tc>
          <w:tcPr>
            <w:tcW w:w="3232" w:type="dxa"/>
          </w:tcPr>
          <w:p w14:paraId="0928C8C7"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color w:val="222222"/>
                <w:sz w:val="20"/>
                <w:szCs w:val="20"/>
                <w:shd w:val="clear" w:color="auto" w:fill="FFFFFF"/>
                <w:lang w:val="bg-BG"/>
              </w:rPr>
              <w:t>Идентифицирани пропуски в знанията и информацията при прилагането на Морската стратегия </w:t>
            </w:r>
          </w:p>
        </w:tc>
        <w:tc>
          <w:tcPr>
            <w:tcW w:w="1376" w:type="dxa"/>
            <w:vAlign w:val="center"/>
          </w:tcPr>
          <w:p w14:paraId="7CAB1F14"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5B23A575" w14:textId="77777777" w:rsidTr="00537D06">
        <w:tc>
          <w:tcPr>
            <w:tcW w:w="426" w:type="dxa"/>
            <w:vMerge/>
            <w:vAlign w:val="center"/>
          </w:tcPr>
          <w:p w14:paraId="2A17DB22"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703E6072" w14:textId="77777777" w:rsidR="00C519AD" w:rsidRPr="00610B1B" w:rsidRDefault="00C519AD" w:rsidP="00537D06">
            <w:pPr>
              <w:rPr>
                <w:rFonts w:ascii="Times New Roman" w:hAnsi="Times New Roman" w:cs="Times New Roman"/>
                <w:sz w:val="20"/>
                <w:szCs w:val="20"/>
                <w:lang w:val="bg-BG"/>
              </w:rPr>
            </w:pPr>
          </w:p>
        </w:tc>
        <w:tc>
          <w:tcPr>
            <w:tcW w:w="5387" w:type="dxa"/>
            <w:shd w:val="clear" w:color="auto" w:fill="FFFFFF"/>
          </w:tcPr>
          <w:p w14:paraId="2406DEFD"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color w:val="000000"/>
                <w:sz w:val="20"/>
                <w:szCs w:val="20"/>
                <w:lang w:val="bg-BG"/>
              </w:rPr>
              <w:t xml:space="preserve">11.2. Изследване на динамиката на морския бряг и планиране на адекватни мерки за защита чрез подходящи съвременни екологосъобразни съоръжения. </w:t>
            </w:r>
          </w:p>
        </w:tc>
        <w:tc>
          <w:tcPr>
            <w:tcW w:w="1984" w:type="dxa"/>
          </w:tcPr>
          <w:p w14:paraId="36A5673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ИО-БАН</w:t>
            </w:r>
          </w:p>
        </w:tc>
        <w:tc>
          <w:tcPr>
            <w:tcW w:w="3232" w:type="dxa"/>
          </w:tcPr>
          <w:p w14:paraId="027500D3"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Необходимост от актуализирана схема за разположението на брегозащитни съоръжения</w:t>
            </w:r>
          </w:p>
        </w:tc>
        <w:tc>
          <w:tcPr>
            <w:tcW w:w="1376" w:type="dxa"/>
            <w:vAlign w:val="center"/>
          </w:tcPr>
          <w:p w14:paraId="5DAD4457"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34DB86C4" w14:textId="77777777" w:rsidTr="00537D06">
        <w:tc>
          <w:tcPr>
            <w:tcW w:w="426" w:type="dxa"/>
            <w:vMerge/>
            <w:vAlign w:val="center"/>
          </w:tcPr>
          <w:p w14:paraId="018F60E9"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7485713B" w14:textId="77777777" w:rsidR="00C519AD" w:rsidRPr="00610B1B" w:rsidRDefault="00C519AD" w:rsidP="00537D06">
            <w:pPr>
              <w:rPr>
                <w:rFonts w:ascii="Times New Roman" w:hAnsi="Times New Roman" w:cs="Times New Roman"/>
                <w:sz w:val="20"/>
                <w:szCs w:val="20"/>
                <w:lang w:val="bg-BG"/>
              </w:rPr>
            </w:pPr>
          </w:p>
        </w:tc>
        <w:tc>
          <w:tcPr>
            <w:tcW w:w="5387" w:type="dxa"/>
            <w:shd w:val="clear" w:color="auto" w:fill="FFFFFF"/>
          </w:tcPr>
          <w:p w14:paraId="3E55D32E" w14:textId="77777777" w:rsidR="00C519AD" w:rsidRPr="00610B1B" w:rsidRDefault="00C519AD" w:rsidP="00D32D6A">
            <w:pPr>
              <w:rPr>
                <w:rFonts w:ascii="Times New Roman" w:hAnsi="Times New Roman" w:cs="Times New Roman"/>
                <w:color w:val="000000"/>
                <w:sz w:val="20"/>
                <w:szCs w:val="20"/>
                <w:lang w:val="bg-BG"/>
              </w:rPr>
            </w:pPr>
            <w:r w:rsidRPr="00610B1B">
              <w:rPr>
                <w:rFonts w:ascii="Times New Roman" w:hAnsi="Times New Roman" w:cs="Times New Roman"/>
                <w:color w:val="000000"/>
                <w:sz w:val="20"/>
                <w:szCs w:val="20"/>
                <w:lang w:val="bg-BG"/>
              </w:rPr>
              <w:t xml:space="preserve">11.3. Приоритетна подкрепа за изследване на континенталния шелф и наличните ресурси за добив на хидрокарбонати </w:t>
            </w:r>
          </w:p>
        </w:tc>
        <w:tc>
          <w:tcPr>
            <w:tcW w:w="1984" w:type="dxa"/>
          </w:tcPr>
          <w:p w14:paraId="7D935C8E" w14:textId="7553926F"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МЕ, ИО-БАН, ИГГГ-БАН</w:t>
            </w:r>
            <w:r w:rsidR="00973C85" w:rsidRPr="00610B1B">
              <w:rPr>
                <w:rFonts w:ascii="Times New Roman" w:hAnsi="Times New Roman" w:cs="Times New Roman"/>
                <w:sz w:val="20"/>
                <w:szCs w:val="20"/>
                <w:lang w:val="bg-BG"/>
              </w:rPr>
              <w:t>, ВВМУ, ТУ Варнa</w:t>
            </w:r>
          </w:p>
        </w:tc>
        <w:tc>
          <w:tcPr>
            <w:tcW w:w="3232" w:type="dxa"/>
          </w:tcPr>
          <w:p w14:paraId="1952B36B" w14:textId="77777777" w:rsidR="00C519AD" w:rsidRPr="00610B1B" w:rsidRDefault="00C519AD" w:rsidP="00D32D6A">
            <w:pPr>
              <w:jc w:val="both"/>
              <w:rPr>
                <w:rFonts w:ascii="Times New Roman" w:hAnsi="Times New Roman" w:cs="Times New Roman"/>
                <w:sz w:val="20"/>
                <w:szCs w:val="20"/>
                <w:lang w:val="bg-BG"/>
              </w:rPr>
            </w:pPr>
            <w:r w:rsidRPr="00610B1B">
              <w:rPr>
                <w:rFonts w:ascii="Times New Roman" w:hAnsi="Times New Roman" w:cs="Times New Roman"/>
                <w:sz w:val="20"/>
                <w:szCs w:val="20"/>
                <w:lang w:val="bg-BG"/>
              </w:rPr>
              <w:t>Насочване на вниманието към по-слабо изследваните морски пространства</w:t>
            </w:r>
          </w:p>
        </w:tc>
        <w:tc>
          <w:tcPr>
            <w:tcW w:w="1376" w:type="dxa"/>
            <w:vAlign w:val="center"/>
          </w:tcPr>
          <w:p w14:paraId="14B9BEDB"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79B49FD1" w14:textId="77777777" w:rsidTr="00537D06">
        <w:tc>
          <w:tcPr>
            <w:tcW w:w="426" w:type="dxa"/>
            <w:vMerge w:val="restart"/>
            <w:vAlign w:val="center"/>
          </w:tcPr>
          <w:p w14:paraId="404DD2E6" w14:textId="6877FF1A" w:rsidR="00C519AD" w:rsidRPr="00610B1B" w:rsidRDefault="00C519AD" w:rsidP="00537D06">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12</w:t>
            </w:r>
          </w:p>
        </w:tc>
        <w:tc>
          <w:tcPr>
            <w:tcW w:w="2693" w:type="dxa"/>
            <w:vMerge w:val="restart"/>
            <w:vAlign w:val="center"/>
          </w:tcPr>
          <w:p w14:paraId="6CC65B3E" w14:textId="77777777" w:rsidR="00C519AD" w:rsidRPr="00610B1B" w:rsidRDefault="00C519AD"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Културно наследство</w:t>
            </w:r>
          </w:p>
        </w:tc>
        <w:tc>
          <w:tcPr>
            <w:tcW w:w="5387" w:type="dxa"/>
          </w:tcPr>
          <w:p w14:paraId="10A740C7"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12.1. Провеждане на процедурите за придобиване на статут на уникални обекти НКЦ, разположени по бреговата ивица на Черно море и попадащи в зона А според ЗУЧК, като Археологическият комплекс „Дуранкулашко езеро“.</w:t>
            </w:r>
          </w:p>
        </w:tc>
        <w:tc>
          <w:tcPr>
            <w:tcW w:w="1984" w:type="dxa"/>
          </w:tcPr>
          <w:p w14:paraId="7B6CD17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МК, НИНКН, НАИМ-БАН</w:t>
            </w:r>
          </w:p>
        </w:tc>
        <w:tc>
          <w:tcPr>
            <w:tcW w:w="3232" w:type="dxa"/>
          </w:tcPr>
          <w:p w14:paraId="18AC5411"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Опазване на уникални културни ценности</w:t>
            </w:r>
          </w:p>
        </w:tc>
        <w:tc>
          <w:tcPr>
            <w:tcW w:w="1376" w:type="dxa"/>
            <w:vAlign w:val="center"/>
          </w:tcPr>
          <w:p w14:paraId="2621CCA5"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585CB319" w14:textId="77777777" w:rsidTr="00537D06">
        <w:tc>
          <w:tcPr>
            <w:tcW w:w="426" w:type="dxa"/>
            <w:vMerge/>
            <w:vAlign w:val="center"/>
          </w:tcPr>
          <w:p w14:paraId="216418E0"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181B1E46" w14:textId="77777777" w:rsidR="00C519AD" w:rsidRPr="00610B1B" w:rsidRDefault="00C519AD" w:rsidP="00537D06">
            <w:pPr>
              <w:rPr>
                <w:rFonts w:ascii="Times New Roman" w:hAnsi="Times New Roman" w:cs="Times New Roman"/>
                <w:sz w:val="20"/>
                <w:szCs w:val="20"/>
                <w:lang w:val="bg-BG"/>
              </w:rPr>
            </w:pPr>
          </w:p>
        </w:tc>
        <w:tc>
          <w:tcPr>
            <w:tcW w:w="5387" w:type="dxa"/>
          </w:tcPr>
          <w:p w14:paraId="63650F30"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12.2. Определяне на режими на опазване за обектите НКЦ, разположени по бреговата ивица на Черно море и попадащи в зона А според ЗУЧК, за които няма такива.</w:t>
            </w:r>
          </w:p>
        </w:tc>
        <w:tc>
          <w:tcPr>
            <w:tcW w:w="1984" w:type="dxa"/>
          </w:tcPr>
          <w:p w14:paraId="37048146"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МК, НИНКН, НАИМ-БАН</w:t>
            </w:r>
          </w:p>
        </w:tc>
        <w:tc>
          <w:tcPr>
            <w:tcW w:w="3232" w:type="dxa"/>
          </w:tcPr>
          <w:p w14:paraId="42E0364B"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Регулиране на дейностите в обхвата на зона А съгл. ЗУЧК за опазване на НКН</w:t>
            </w:r>
          </w:p>
        </w:tc>
        <w:tc>
          <w:tcPr>
            <w:tcW w:w="1376" w:type="dxa"/>
            <w:vAlign w:val="center"/>
          </w:tcPr>
          <w:p w14:paraId="2E8FA93F"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19AE6CE1" w14:textId="77777777" w:rsidTr="00537D06">
        <w:tc>
          <w:tcPr>
            <w:tcW w:w="426" w:type="dxa"/>
            <w:vMerge/>
            <w:vAlign w:val="center"/>
          </w:tcPr>
          <w:p w14:paraId="774F9E6B"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447D74FE" w14:textId="77777777" w:rsidR="00C519AD" w:rsidRPr="00610B1B" w:rsidRDefault="00C519AD" w:rsidP="00537D06">
            <w:pPr>
              <w:rPr>
                <w:rFonts w:ascii="Times New Roman" w:hAnsi="Times New Roman" w:cs="Times New Roman"/>
                <w:sz w:val="20"/>
                <w:szCs w:val="20"/>
                <w:lang w:val="bg-BG"/>
              </w:rPr>
            </w:pPr>
          </w:p>
        </w:tc>
        <w:tc>
          <w:tcPr>
            <w:tcW w:w="5387" w:type="dxa"/>
          </w:tcPr>
          <w:p w14:paraId="1BFE1383"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12.3. Извършване на археологически проучвания, придобиване на право на ползване от съответните общини на обекти НКЦ и прилежащите им ареали, попадащи в защитени територии – гори, природни паркове, територии стопанисвани от Гранична полиция и МО, с цел </w:t>
            </w:r>
            <w:r w:rsidRPr="00610B1B">
              <w:rPr>
                <w:rFonts w:ascii="Times New Roman" w:hAnsi="Times New Roman" w:cs="Times New Roman"/>
                <w:sz w:val="20"/>
                <w:szCs w:val="20"/>
                <w:lang w:val="bg-BG"/>
              </w:rPr>
              <w:lastRenderedPageBreak/>
              <w:t>извършване на дейности по опазване на обектите и потенциала им за културен туризъм.</w:t>
            </w:r>
          </w:p>
        </w:tc>
        <w:tc>
          <w:tcPr>
            <w:tcW w:w="1984" w:type="dxa"/>
          </w:tcPr>
          <w:p w14:paraId="7D3F36E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МК, МО, МВР, ГД „Гранична полиция“</w:t>
            </w:r>
          </w:p>
          <w:p w14:paraId="7D29D2C5"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Общинска администрация</w:t>
            </w:r>
          </w:p>
        </w:tc>
        <w:tc>
          <w:tcPr>
            <w:tcW w:w="3232" w:type="dxa"/>
          </w:tcPr>
          <w:p w14:paraId="4887B8D7"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Решаване на конфликти в ползването на териториите с концентрация на НКН при различна собственост и статут на земята. </w:t>
            </w:r>
          </w:p>
        </w:tc>
        <w:tc>
          <w:tcPr>
            <w:tcW w:w="1376" w:type="dxa"/>
            <w:vAlign w:val="center"/>
          </w:tcPr>
          <w:p w14:paraId="19CAF1E4"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7F02EA3B" w14:textId="77777777" w:rsidTr="00537D06">
        <w:tc>
          <w:tcPr>
            <w:tcW w:w="426" w:type="dxa"/>
            <w:vMerge/>
            <w:vAlign w:val="center"/>
          </w:tcPr>
          <w:p w14:paraId="5393BE4B"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65F812D1" w14:textId="77777777" w:rsidR="00C519AD" w:rsidRPr="00610B1B" w:rsidRDefault="00C519AD" w:rsidP="00537D06">
            <w:pPr>
              <w:rPr>
                <w:rFonts w:ascii="Times New Roman" w:hAnsi="Times New Roman" w:cs="Times New Roman"/>
                <w:sz w:val="20"/>
                <w:szCs w:val="20"/>
                <w:lang w:val="bg-BG"/>
              </w:rPr>
            </w:pPr>
          </w:p>
        </w:tc>
        <w:tc>
          <w:tcPr>
            <w:tcW w:w="5387" w:type="dxa"/>
          </w:tcPr>
          <w:p w14:paraId="78F6D861" w14:textId="77777777" w:rsidR="00C519AD" w:rsidRPr="00610B1B" w:rsidRDefault="00C519AD"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12.4. Приоритетно извършване на дейности по КРР и експониране на обекти НКЦ под вода в акваторията на съответните ареали, чрез целево финансиране и европейски финансови механизми, с цел опазване на обектите и развитието на културния туризъм.</w:t>
            </w:r>
          </w:p>
        </w:tc>
        <w:tc>
          <w:tcPr>
            <w:tcW w:w="1984" w:type="dxa"/>
          </w:tcPr>
          <w:p w14:paraId="30D7F621"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МК, ЦПА</w:t>
            </w:r>
          </w:p>
          <w:p w14:paraId="680A1140" w14:textId="77777777" w:rsidR="00C519AD" w:rsidRPr="00610B1B" w:rsidRDefault="00C519AD" w:rsidP="00D32D6A">
            <w:pPr>
              <w:rPr>
                <w:rFonts w:ascii="Times New Roman" w:hAnsi="Times New Roman" w:cs="Times New Roman"/>
                <w:sz w:val="20"/>
                <w:szCs w:val="20"/>
                <w:lang w:val="bg-BG"/>
              </w:rPr>
            </w:pPr>
          </w:p>
        </w:tc>
        <w:tc>
          <w:tcPr>
            <w:tcW w:w="3232" w:type="dxa"/>
          </w:tcPr>
          <w:p w14:paraId="6544A61B"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Защита на подводното културно наследство с потенциал за световно наследство</w:t>
            </w:r>
          </w:p>
        </w:tc>
        <w:tc>
          <w:tcPr>
            <w:tcW w:w="1376" w:type="dxa"/>
            <w:vAlign w:val="center"/>
          </w:tcPr>
          <w:p w14:paraId="15A53C31"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2035</w:t>
            </w:r>
          </w:p>
        </w:tc>
      </w:tr>
      <w:tr w:rsidR="00C519AD" w:rsidRPr="00610B1B" w14:paraId="1EFEE7C2" w14:textId="77777777" w:rsidTr="00537D06">
        <w:tc>
          <w:tcPr>
            <w:tcW w:w="426" w:type="dxa"/>
            <w:vMerge/>
            <w:vAlign w:val="center"/>
          </w:tcPr>
          <w:p w14:paraId="2DE0CFBF"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248EA509" w14:textId="77777777" w:rsidR="00C519AD" w:rsidRPr="00610B1B" w:rsidRDefault="00C519AD" w:rsidP="00537D06">
            <w:pPr>
              <w:rPr>
                <w:rFonts w:ascii="Times New Roman" w:hAnsi="Times New Roman" w:cs="Times New Roman"/>
                <w:sz w:val="20"/>
                <w:szCs w:val="20"/>
                <w:lang w:val="bg-BG"/>
              </w:rPr>
            </w:pPr>
          </w:p>
        </w:tc>
        <w:tc>
          <w:tcPr>
            <w:tcW w:w="5387" w:type="dxa"/>
          </w:tcPr>
          <w:p w14:paraId="0F5E0B29" w14:textId="77777777" w:rsidR="00C519AD" w:rsidRPr="00610B1B" w:rsidRDefault="00C519AD"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 xml:space="preserve">12.5. Извършване на дейности по опазване на предложените от МППРБ пет обекта, които да обслужват непосредствено прилежащите НКЦ, чрез целево финансиране и европейски финансови механизми. </w:t>
            </w:r>
          </w:p>
        </w:tc>
        <w:tc>
          <w:tcPr>
            <w:tcW w:w="1984" w:type="dxa"/>
          </w:tcPr>
          <w:p w14:paraId="25DEE2E9"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МРРБ, МК, НИНКН, ЦПА, НАИМ-БАН</w:t>
            </w:r>
          </w:p>
        </w:tc>
        <w:tc>
          <w:tcPr>
            <w:tcW w:w="3232" w:type="dxa"/>
          </w:tcPr>
          <w:p w14:paraId="72B3D54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Интегрирано опазване на уникално културно наследство в морските пространства и в прилежащите крайбрежни зони</w:t>
            </w:r>
          </w:p>
        </w:tc>
        <w:tc>
          <w:tcPr>
            <w:tcW w:w="1376" w:type="dxa"/>
            <w:vAlign w:val="center"/>
          </w:tcPr>
          <w:p w14:paraId="78097C9F"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2035</w:t>
            </w:r>
          </w:p>
        </w:tc>
      </w:tr>
      <w:tr w:rsidR="00C519AD" w:rsidRPr="00610B1B" w14:paraId="135B3E20" w14:textId="77777777" w:rsidTr="00537D06">
        <w:tc>
          <w:tcPr>
            <w:tcW w:w="426" w:type="dxa"/>
            <w:vMerge/>
            <w:vAlign w:val="center"/>
          </w:tcPr>
          <w:p w14:paraId="340DCB07"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1032A54F" w14:textId="77777777" w:rsidR="00C519AD" w:rsidRPr="00610B1B" w:rsidRDefault="00C519AD" w:rsidP="00537D06">
            <w:pPr>
              <w:rPr>
                <w:rFonts w:ascii="Times New Roman" w:hAnsi="Times New Roman" w:cs="Times New Roman"/>
                <w:sz w:val="20"/>
                <w:szCs w:val="20"/>
                <w:lang w:val="bg-BG"/>
              </w:rPr>
            </w:pPr>
          </w:p>
        </w:tc>
        <w:tc>
          <w:tcPr>
            <w:tcW w:w="5387" w:type="dxa"/>
          </w:tcPr>
          <w:p w14:paraId="01FC9268"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12.6. Идентификация, деклариране и предоставяне на статут на НКЦ на обекти от ХХ век, разположени в зони „А” и „Б” съгл. ЗУЧК, с цел тяхното опазване и съхранение.</w:t>
            </w:r>
          </w:p>
        </w:tc>
        <w:tc>
          <w:tcPr>
            <w:tcW w:w="1984" w:type="dxa"/>
          </w:tcPr>
          <w:p w14:paraId="518956ED"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МК, НИНКН</w:t>
            </w:r>
          </w:p>
        </w:tc>
        <w:tc>
          <w:tcPr>
            <w:tcW w:w="3232" w:type="dxa"/>
          </w:tcPr>
          <w:p w14:paraId="1CD8B651"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Опазване на културното наследство на ХХ век</w:t>
            </w:r>
          </w:p>
        </w:tc>
        <w:tc>
          <w:tcPr>
            <w:tcW w:w="1376" w:type="dxa"/>
            <w:vAlign w:val="center"/>
          </w:tcPr>
          <w:p w14:paraId="40D70157"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2035</w:t>
            </w:r>
          </w:p>
        </w:tc>
      </w:tr>
      <w:tr w:rsidR="00C519AD" w:rsidRPr="00610B1B" w14:paraId="5B30A863" w14:textId="77777777" w:rsidTr="00537D06">
        <w:tc>
          <w:tcPr>
            <w:tcW w:w="426" w:type="dxa"/>
            <w:vMerge/>
            <w:vAlign w:val="center"/>
          </w:tcPr>
          <w:p w14:paraId="2E6B0B19"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5B957DC5" w14:textId="77777777" w:rsidR="00C519AD" w:rsidRPr="00610B1B" w:rsidRDefault="00C519AD" w:rsidP="00537D06">
            <w:pPr>
              <w:rPr>
                <w:rFonts w:ascii="Times New Roman" w:hAnsi="Times New Roman" w:cs="Times New Roman"/>
                <w:sz w:val="20"/>
                <w:szCs w:val="20"/>
                <w:lang w:val="bg-BG"/>
              </w:rPr>
            </w:pPr>
          </w:p>
        </w:tc>
        <w:tc>
          <w:tcPr>
            <w:tcW w:w="5387" w:type="dxa"/>
          </w:tcPr>
          <w:p w14:paraId="1106D78B" w14:textId="4792F68C"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12.7. Провеждане на</w:t>
            </w:r>
            <w:r w:rsidR="00D66FE0"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археологически проучвания и дейности по опазване на обекти НКЦ от зони „А” и „Б” на ЗУЧК, които попадат в защитените територии, стопанисвани от МЗХГ след промени в законодателството и привеждането му в съответствие със ЗКН.</w:t>
            </w:r>
          </w:p>
        </w:tc>
        <w:tc>
          <w:tcPr>
            <w:tcW w:w="1984" w:type="dxa"/>
          </w:tcPr>
          <w:p w14:paraId="4E87B55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МК</w:t>
            </w:r>
          </w:p>
          <w:p w14:paraId="47443C72"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МЗХГ</w:t>
            </w:r>
          </w:p>
        </w:tc>
        <w:tc>
          <w:tcPr>
            <w:tcW w:w="3232" w:type="dxa"/>
          </w:tcPr>
          <w:p w14:paraId="1FCFAE98"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Регламентиране на археологически проучвания и дейности по опазване на НКЦ в обхвата на горски територии и защитени територии</w:t>
            </w:r>
          </w:p>
        </w:tc>
        <w:tc>
          <w:tcPr>
            <w:tcW w:w="1376" w:type="dxa"/>
            <w:vAlign w:val="center"/>
          </w:tcPr>
          <w:p w14:paraId="7D69B423"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67BA5E02" w14:textId="77777777" w:rsidTr="00537D06">
        <w:tc>
          <w:tcPr>
            <w:tcW w:w="426" w:type="dxa"/>
            <w:vMerge/>
            <w:vAlign w:val="center"/>
          </w:tcPr>
          <w:p w14:paraId="74B8B999"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6DB52867" w14:textId="77777777" w:rsidR="00C519AD" w:rsidRPr="00610B1B" w:rsidRDefault="00C519AD" w:rsidP="00537D06">
            <w:pPr>
              <w:rPr>
                <w:rFonts w:ascii="Times New Roman" w:hAnsi="Times New Roman" w:cs="Times New Roman"/>
                <w:sz w:val="20"/>
                <w:szCs w:val="20"/>
                <w:lang w:val="bg-BG"/>
              </w:rPr>
            </w:pPr>
          </w:p>
        </w:tc>
        <w:tc>
          <w:tcPr>
            <w:tcW w:w="5387" w:type="dxa"/>
          </w:tcPr>
          <w:p w14:paraId="59DBE12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12.8 Реализиране на детски експозиции в музеите (класически и интерактивни), посетителските и интерпретационни центрове, в синхрон с изучаваното в училищата и предоставящи допълнителна информация за Черно море.</w:t>
            </w:r>
          </w:p>
        </w:tc>
        <w:tc>
          <w:tcPr>
            <w:tcW w:w="1984" w:type="dxa"/>
          </w:tcPr>
          <w:p w14:paraId="6359074E"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МК, МОН</w:t>
            </w:r>
          </w:p>
        </w:tc>
        <w:tc>
          <w:tcPr>
            <w:tcW w:w="3232" w:type="dxa"/>
          </w:tcPr>
          <w:p w14:paraId="697A2462"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Възпитание на отношение към Черно море и обогатяване на познанието</w:t>
            </w:r>
          </w:p>
        </w:tc>
        <w:tc>
          <w:tcPr>
            <w:tcW w:w="1376" w:type="dxa"/>
            <w:vAlign w:val="center"/>
          </w:tcPr>
          <w:p w14:paraId="0DD2B6C5"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2030</w:t>
            </w:r>
          </w:p>
        </w:tc>
      </w:tr>
      <w:tr w:rsidR="00C519AD" w:rsidRPr="00610B1B" w14:paraId="778936E4" w14:textId="77777777" w:rsidTr="00537D06">
        <w:tc>
          <w:tcPr>
            <w:tcW w:w="426" w:type="dxa"/>
            <w:vMerge/>
            <w:vAlign w:val="center"/>
          </w:tcPr>
          <w:p w14:paraId="73B566A3"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112F7B58" w14:textId="77777777" w:rsidR="00C519AD" w:rsidRPr="00610B1B" w:rsidRDefault="00C519AD" w:rsidP="00537D06">
            <w:pPr>
              <w:rPr>
                <w:rFonts w:ascii="Times New Roman" w:hAnsi="Times New Roman" w:cs="Times New Roman"/>
                <w:sz w:val="20"/>
                <w:szCs w:val="20"/>
                <w:lang w:val="bg-BG"/>
              </w:rPr>
            </w:pPr>
          </w:p>
        </w:tc>
        <w:tc>
          <w:tcPr>
            <w:tcW w:w="5387" w:type="dxa"/>
          </w:tcPr>
          <w:p w14:paraId="659BA9D2"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12.9. Координиране на програмата на детски лагери, сини училища и други прояви на организиран училищен културен туризъм, с цел съчетаване на рекреационните и културно-образователни дейности и популяризиране на културното наследство на Черно море и крайбрежието сред младежта и децата.</w:t>
            </w:r>
          </w:p>
        </w:tc>
        <w:tc>
          <w:tcPr>
            <w:tcW w:w="1984" w:type="dxa"/>
          </w:tcPr>
          <w:p w14:paraId="1FCEC8BD"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МК, МОН, МТ, ММС </w:t>
            </w:r>
          </w:p>
        </w:tc>
        <w:tc>
          <w:tcPr>
            <w:tcW w:w="3232" w:type="dxa"/>
          </w:tcPr>
          <w:p w14:paraId="5AF7C04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Възпитание на отношение към Черно море и обогатяване на познанието</w:t>
            </w:r>
          </w:p>
        </w:tc>
        <w:tc>
          <w:tcPr>
            <w:tcW w:w="1376" w:type="dxa"/>
            <w:vAlign w:val="center"/>
          </w:tcPr>
          <w:p w14:paraId="6D97E716"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3FAD9E1D" w14:textId="77777777" w:rsidTr="00537D06">
        <w:tc>
          <w:tcPr>
            <w:tcW w:w="426" w:type="dxa"/>
            <w:vMerge w:val="restart"/>
            <w:vAlign w:val="center"/>
          </w:tcPr>
          <w:p w14:paraId="563B2B89" w14:textId="68BF2BDA" w:rsidR="00C519AD" w:rsidRPr="00610B1B" w:rsidRDefault="00C519AD" w:rsidP="00774CD7">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13</w:t>
            </w:r>
          </w:p>
        </w:tc>
        <w:tc>
          <w:tcPr>
            <w:tcW w:w="2693" w:type="dxa"/>
            <w:vMerge w:val="restart"/>
            <w:vAlign w:val="center"/>
          </w:tcPr>
          <w:p w14:paraId="0B69010E" w14:textId="77777777" w:rsidR="00C519AD" w:rsidRPr="00610B1B" w:rsidRDefault="00C519AD"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Опазване на околната среда</w:t>
            </w:r>
          </w:p>
        </w:tc>
        <w:tc>
          <w:tcPr>
            <w:tcW w:w="5387" w:type="dxa"/>
            <w:shd w:val="clear" w:color="auto" w:fill="FFFFFF"/>
          </w:tcPr>
          <w:p w14:paraId="565A228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color w:val="000000"/>
                <w:sz w:val="20"/>
                <w:szCs w:val="20"/>
                <w:lang w:val="bg-BG"/>
              </w:rPr>
              <w:t>13.1. Подновяване на мониторинга на ерозионно-абразионните процеси по Черноморското крайбрежие.</w:t>
            </w:r>
          </w:p>
        </w:tc>
        <w:tc>
          <w:tcPr>
            <w:tcW w:w="1984" w:type="dxa"/>
          </w:tcPr>
          <w:p w14:paraId="5AEB172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МРРБ </w:t>
            </w:r>
          </w:p>
          <w:p w14:paraId="07E39D38"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ИО и ИГГГ- БАН</w:t>
            </w:r>
          </w:p>
        </w:tc>
        <w:tc>
          <w:tcPr>
            <w:tcW w:w="3232" w:type="dxa"/>
          </w:tcPr>
          <w:p w14:paraId="4213185A"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Установяване на критични зони по Черноморското крайбрежие и оценка на брегозащитните дейности</w:t>
            </w:r>
          </w:p>
        </w:tc>
        <w:tc>
          <w:tcPr>
            <w:tcW w:w="1376" w:type="dxa"/>
            <w:vAlign w:val="center"/>
          </w:tcPr>
          <w:p w14:paraId="719A1892"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3C330602" w14:textId="77777777" w:rsidTr="00537D06">
        <w:tc>
          <w:tcPr>
            <w:tcW w:w="426" w:type="dxa"/>
            <w:vMerge/>
            <w:vAlign w:val="center"/>
          </w:tcPr>
          <w:p w14:paraId="029788CB"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0A678773" w14:textId="77777777" w:rsidR="00C519AD" w:rsidRPr="00610B1B" w:rsidRDefault="00C519AD" w:rsidP="00537D06">
            <w:pPr>
              <w:rPr>
                <w:rFonts w:ascii="Times New Roman" w:hAnsi="Times New Roman" w:cs="Times New Roman"/>
                <w:sz w:val="20"/>
                <w:szCs w:val="20"/>
                <w:lang w:val="bg-BG"/>
              </w:rPr>
            </w:pPr>
          </w:p>
        </w:tc>
        <w:tc>
          <w:tcPr>
            <w:tcW w:w="5387" w:type="dxa"/>
            <w:shd w:val="clear" w:color="auto" w:fill="FFFFFF"/>
          </w:tcPr>
          <w:p w14:paraId="40C406FE"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color w:val="000000"/>
                <w:sz w:val="20"/>
                <w:szCs w:val="20"/>
                <w:lang w:val="bg-BG"/>
              </w:rPr>
              <w:t xml:space="preserve">13.2. Уеднаквяване на терминологията и синхронизиране на подзаконовата нормативна база, с оглед ясно вменяване на </w:t>
            </w:r>
            <w:r w:rsidRPr="00610B1B">
              <w:rPr>
                <w:rFonts w:ascii="Times New Roman" w:hAnsi="Times New Roman" w:cs="Times New Roman"/>
                <w:color w:val="000000"/>
                <w:sz w:val="20"/>
                <w:szCs w:val="20"/>
                <w:lang w:val="bg-BG"/>
              </w:rPr>
              <w:lastRenderedPageBreak/>
              <w:t>задължения на компетентните институции, отговорности и контрол.</w:t>
            </w:r>
          </w:p>
        </w:tc>
        <w:tc>
          <w:tcPr>
            <w:tcW w:w="1984" w:type="dxa"/>
          </w:tcPr>
          <w:p w14:paraId="3B4D224B"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Институти на БАН, ВУ</w:t>
            </w:r>
          </w:p>
        </w:tc>
        <w:tc>
          <w:tcPr>
            <w:tcW w:w="3232" w:type="dxa"/>
          </w:tcPr>
          <w:p w14:paraId="1929749C"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Необходимост от усъвършенстване на </w:t>
            </w:r>
            <w:r w:rsidRPr="00610B1B">
              <w:rPr>
                <w:rFonts w:ascii="Times New Roman" w:hAnsi="Times New Roman" w:cs="Times New Roman"/>
                <w:sz w:val="20"/>
                <w:szCs w:val="20"/>
                <w:lang w:val="bg-BG"/>
              </w:rPr>
              <w:lastRenderedPageBreak/>
              <w:t>методологията и терминологията в МПП</w:t>
            </w:r>
          </w:p>
        </w:tc>
        <w:tc>
          <w:tcPr>
            <w:tcW w:w="1376" w:type="dxa"/>
            <w:vAlign w:val="center"/>
          </w:tcPr>
          <w:p w14:paraId="666B4495"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2024</w:t>
            </w:r>
          </w:p>
        </w:tc>
      </w:tr>
      <w:tr w:rsidR="00C519AD" w:rsidRPr="00610B1B" w14:paraId="3A4C26C3" w14:textId="77777777" w:rsidTr="00537D06">
        <w:tc>
          <w:tcPr>
            <w:tcW w:w="426" w:type="dxa"/>
            <w:vMerge/>
            <w:vAlign w:val="center"/>
          </w:tcPr>
          <w:p w14:paraId="0C7A5A90"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4CF10600" w14:textId="77777777" w:rsidR="00C519AD" w:rsidRPr="00610B1B" w:rsidRDefault="00C519AD" w:rsidP="00537D06">
            <w:pPr>
              <w:rPr>
                <w:rFonts w:ascii="Times New Roman" w:hAnsi="Times New Roman" w:cs="Times New Roman"/>
                <w:sz w:val="20"/>
                <w:szCs w:val="20"/>
                <w:lang w:val="bg-BG"/>
              </w:rPr>
            </w:pPr>
          </w:p>
        </w:tc>
        <w:tc>
          <w:tcPr>
            <w:tcW w:w="5387" w:type="dxa"/>
            <w:shd w:val="clear" w:color="auto" w:fill="FFFFFF"/>
          </w:tcPr>
          <w:p w14:paraId="558016F9"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color w:val="000000"/>
                <w:sz w:val="20"/>
                <w:szCs w:val="20"/>
                <w:lang w:val="bg-BG"/>
              </w:rPr>
              <w:t>13.3. Подобряване на мониторинга на термохалинните процеси по Черноморското крайбрежие, териториалните води и ИИЗ на Република България.</w:t>
            </w:r>
          </w:p>
        </w:tc>
        <w:tc>
          <w:tcPr>
            <w:tcW w:w="1984" w:type="dxa"/>
          </w:tcPr>
          <w:p w14:paraId="2DFE3AA8" w14:textId="4C04F08E" w:rsidR="00345474" w:rsidRPr="00610B1B" w:rsidRDefault="00345474" w:rsidP="00D32D6A">
            <w:pPr>
              <w:rPr>
                <w:rFonts w:ascii="Times New Roman" w:hAnsi="Times New Roman" w:cs="Times New Roman"/>
                <w:sz w:val="20"/>
                <w:szCs w:val="20"/>
                <w:lang w:val="bg-BG"/>
              </w:rPr>
            </w:pPr>
            <w:r>
              <w:rPr>
                <w:rFonts w:ascii="Times New Roman" w:hAnsi="Times New Roman" w:cs="Times New Roman"/>
                <w:sz w:val="20"/>
                <w:szCs w:val="20"/>
                <w:lang w:val="bg-BG"/>
              </w:rPr>
              <w:t>Екологични сдружения и/или НПО с опит в орнитологията</w:t>
            </w:r>
          </w:p>
        </w:tc>
        <w:tc>
          <w:tcPr>
            <w:tcW w:w="3232" w:type="dxa"/>
          </w:tcPr>
          <w:p w14:paraId="0D1CFD9A"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Създаване на условия за своевременно въвеждане на мерки за намаляване на въздействия от настъпили промени</w:t>
            </w:r>
          </w:p>
        </w:tc>
        <w:tc>
          <w:tcPr>
            <w:tcW w:w="1376" w:type="dxa"/>
            <w:vAlign w:val="center"/>
          </w:tcPr>
          <w:p w14:paraId="2C39A3C2"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2030</w:t>
            </w:r>
          </w:p>
        </w:tc>
      </w:tr>
      <w:tr w:rsidR="00C519AD" w:rsidRPr="00610B1B" w14:paraId="2DAC8E68" w14:textId="77777777" w:rsidTr="00537D06">
        <w:tc>
          <w:tcPr>
            <w:tcW w:w="426" w:type="dxa"/>
            <w:vMerge/>
            <w:vAlign w:val="center"/>
          </w:tcPr>
          <w:p w14:paraId="1677E627"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10C51B72" w14:textId="77777777" w:rsidR="00C519AD" w:rsidRPr="00610B1B" w:rsidRDefault="00C519AD" w:rsidP="00537D06">
            <w:pPr>
              <w:rPr>
                <w:rFonts w:ascii="Times New Roman" w:hAnsi="Times New Roman" w:cs="Times New Roman"/>
                <w:sz w:val="20"/>
                <w:szCs w:val="20"/>
                <w:lang w:val="bg-BG"/>
              </w:rPr>
            </w:pPr>
          </w:p>
        </w:tc>
        <w:tc>
          <w:tcPr>
            <w:tcW w:w="5387" w:type="dxa"/>
            <w:shd w:val="clear" w:color="auto" w:fill="FFFFFF"/>
          </w:tcPr>
          <w:p w14:paraId="74BA9D82"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color w:val="000000"/>
                <w:sz w:val="20"/>
                <w:szCs w:val="20"/>
                <w:lang w:val="bg-BG"/>
              </w:rPr>
              <w:t>13.4. Проучване на екологичните проблеми, резултат от влиянието на климатичните промени върху морската екосистема и нейното устойчиво управление и използване.</w:t>
            </w:r>
          </w:p>
        </w:tc>
        <w:tc>
          <w:tcPr>
            <w:tcW w:w="1984" w:type="dxa"/>
          </w:tcPr>
          <w:p w14:paraId="36396DCD"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НИМХ, ИО и ИБЕИ-БАН</w:t>
            </w:r>
          </w:p>
        </w:tc>
        <w:tc>
          <w:tcPr>
            <w:tcW w:w="3232" w:type="dxa"/>
          </w:tcPr>
          <w:p w14:paraId="543628C3"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Намаляване на вредните въздействия върху морските екосистеми</w:t>
            </w:r>
          </w:p>
        </w:tc>
        <w:tc>
          <w:tcPr>
            <w:tcW w:w="1376" w:type="dxa"/>
            <w:vAlign w:val="center"/>
          </w:tcPr>
          <w:p w14:paraId="3CC6B222"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2035</w:t>
            </w:r>
          </w:p>
        </w:tc>
      </w:tr>
      <w:tr w:rsidR="00C519AD" w:rsidRPr="00610B1B" w14:paraId="5B87D2A6" w14:textId="77777777" w:rsidTr="00537D06">
        <w:tc>
          <w:tcPr>
            <w:tcW w:w="426" w:type="dxa"/>
            <w:vMerge/>
            <w:vAlign w:val="center"/>
          </w:tcPr>
          <w:p w14:paraId="4FDFED45"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5C9E4077" w14:textId="77777777" w:rsidR="00C519AD" w:rsidRPr="00610B1B" w:rsidRDefault="00C519AD" w:rsidP="00537D06">
            <w:pPr>
              <w:rPr>
                <w:rFonts w:ascii="Times New Roman" w:hAnsi="Times New Roman" w:cs="Times New Roman"/>
                <w:sz w:val="20"/>
                <w:szCs w:val="20"/>
                <w:lang w:val="bg-BG"/>
              </w:rPr>
            </w:pPr>
          </w:p>
        </w:tc>
        <w:tc>
          <w:tcPr>
            <w:tcW w:w="5387" w:type="dxa"/>
            <w:shd w:val="clear" w:color="auto" w:fill="FFFFFF"/>
          </w:tcPr>
          <w:p w14:paraId="3E1BEB40"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color w:val="000000"/>
                <w:sz w:val="20"/>
                <w:szCs w:val="20"/>
                <w:lang w:val="bg-BG"/>
              </w:rPr>
              <w:t>13.5. Оползотворяване потенциала на минералните води по Черноморското крайбрежие за разнообразяване на предлагания туристически продукт, привличане на интерес и инвестиции.</w:t>
            </w:r>
          </w:p>
        </w:tc>
        <w:tc>
          <w:tcPr>
            <w:tcW w:w="1984" w:type="dxa"/>
          </w:tcPr>
          <w:p w14:paraId="501CBDCE"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МЗ, БДЧР, МТ</w:t>
            </w:r>
          </w:p>
        </w:tc>
        <w:tc>
          <w:tcPr>
            <w:tcW w:w="3232" w:type="dxa"/>
          </w:tcPr>
          <w:p w14:paraId="79AA739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Разнообразяване на лечебните форми на туризъм </w:t>
            </w:r>
          </w:p>
        </w:tc>
        <w:tc>
          <w:tcPr>
            <w:tcW w:w="1376" w:type="dxa"/>
            <w:vAlign w:val="center"/>
          </w:tcPr>
          <w:p w14:paraId="1B20FC9D"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7EC150B1" w14:textId="77777777" w:rsidTr="00537D06">
        <w:tc>
          <w:tcPr>
            <w:tcW w:w="426" w:type="dxa"/>
            <w:vMerge/>
            <w:vAlign w:val="center"/>
          </w:tcPr>
          <w:p w14:paraId="04A90C51"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644A2304" w14:textId="77777777" w:rsidR="00C519AD" w:rsidRPr="00610B1B" w:rsidRDefault="00C519AD" w:rsidP="00537D06">
            <w:pPr>
              <w:rPr>
                <w:rFonts w:ascii="Times New Roman" w:hAnsi="Times New Roman" w:cs="Times New Roman"/>
                <w:sz w:val="20"/>
                <w:szCs w:val="20"/>
                <w:lang w:val="bg-BG"/>
              </w:rPr>
            </w:pPr>
          </w:p>
        </w:tc>
        <w:tc>
          <w:tcPr>
            <w:tcW w:w="5387" w:type="dxa"/>
          </w:tcPr>
          <w:p w14:paraId="41DB5E22" w14:textId="00C576BF" w:rsidR="00330C54" w:rsidRPr="00002A51" w:rsidRDefault="00330C54" w:rsidP="00330C54">
            <w:pPr>
              <w:pStyle w:val="Bodytext22"/>
              <w:shd w:val="clear" w:color="auto" w:fill="auto"/>
              <w:tabs>
                <w:tab w:val="left" w:pos="1022"/>
              </w:tabs>
              <w:spacing w:before="0" w:after="0" w:line="277" w:lineRule="exact"/>
              <w:ind w:firstLine="0"/>
              <w:rPr>
                <w:rFonts w:eastAsiaTheme="minorEastAsia"/>
                <w:color w:val="000000"/>
                <w:sz w:val="20"/>
                <w:szCs w:val="20"/>
                <w:lang w:val="bg-BG" w:eastAsia="bg-BG" w:bidi="bg-BG"/>
              </w:rPr>
            </w:pPr>
            <w:r w:rsidRPr="00002A51">
              <w:rPr>
                <w:rFonts w:eastAsiaTheme="minorEastAsia"/>
                <w:color w:val="000000"/>
                <w:sz w:val="20"/>
                <w:szCs w:val="20"/>
                <w:lang w:val="bg-BG" w:eastAsia="bg-BG" w:bidi="bg-BG"/>
              </w:rPr>
              <w:t>13.6. Ограничаване източниците на замърсяване на морската среда от човешки дейности и морски трафик в крайбрежната зона, включително и еутрофикация.</w:t>
            </w:r>
          </w:p>
          <w:p w14:paraId="0B2E3503" w14:textId="17B71472" w:rsidR="00C519AD" w:rsidRPr="00610B1B" w:rsidRDefault="00C519AD" w:rsidP="00D32D6A">
            <w:pPr>
              <w:rPr>
                <w:rFonts w:ascii="Times New Roman" w:hAnsi="Times New Roman" w:cs="Times New Roman"/>
                <w:sz w:val="20"/>
                <w:szCs w:val="20"/>
                <w:lang w:val="bg-BG"/>
              </w:rPr>
            </w:pPr>
          </w:p>
        </w:tc>
        <w:tc>
          <w:tcPr>
            <w:tcW w:w="1984" w:type="dxa"/>
          </w:tcPr>
          <w:p w14:paraId="06B45E6E"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БДЧР</w:t>
            </w:r>
          </w:p>
        </w:tc>
        <w:tc>
          <w:tcPr>
            <w:tcW w:w="3232" w:type="dxa"/>
          </w:tcPr>
          <w:p w14:paraId="50974720" w14:textId="0C9A9904"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Намаляване нивата на еутрофикация</w:t>
            </w:r>
            <w:r w:rsidR="00D5597E" w:rsidRPr="00610B1B">
              <w:rPr>
                <w:rFonts w:ascii="Times New Roman" w:hAnsi="Times New Roman" w:cs="Times New Roman"/>
                <w:sz w:val="20"/>
                <w:szCs w:val="20"/>
                <w:lang w:val="bg-BG"/>
              </w:rPr>
              <w:t xml:space="preserve"> и замърсяване на марската среда</w:t>
            </w:r>
          </w:p>
        </w:tc>
        <w:tc>
          <w:tcPr>
            <w:tcW w:w="1376" w:type="dxa"/>
            <w:vAlign w:val="center"/>
          </w:tcPr>
          <w:p w14:paraId="5690740F"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19F64078" w14:textId="77777777" w:rsidTr="00537D06">
        <w:tc>
          <w:tcPr>
            <w:tcW w:w="426" w:type="dxa"/>
            <w:vMerge/>
            <w:vAlign w:val="center"/>
          </w:tcPr>
          <w:p w14:paraId="5941900F"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43406FBB" w14:textId="77777777" w:rsidR="00C519AD" w:rsidRPr="00610B1B" w:rsidRDefault="00C519AD" w:rsidP="00537D06">
            <w:pPr>
              <w:rPr>
                <w:rFonts w:ascii="Times New Roman" w:hAnsi="Times New Roman" w:cs="Times New Roman"/>
                <w:sz w:val="20"/>
                <w:szCs w:val="20"/>
                <w:lang w:val="bg-BG"/>
              </w:rPr>
            </w:pPr>
          </w:p>
        </w:tc>
        <w:tc>
          <w:tcPr>
            <w:tcW w:w="5387" w:type="dxa"/>
          </w:tcPr>
          <w:p w14:paraId="668A23DC" w14:textId="3D17B33E" w:rsidR="00F5747A" w:rsidRPr="00610B1B" w:rsidRDefault="00C519AD" w:rsidP="00D32D6A">
            <w:pPr>
              <w:rPr>
                <w:color w:val="000000"/>
                <w:sz w:val="24"/>
                <w:szCs w:val="24"/>
                <w:lang w:val="bg-BG" w:eastAsia="bg-BG" w:bidi="bg-BG"/>
              </w:rPr>
            </w:pPr>
            <w:r w:rsidRPr="00610B1B">
              <w:rPr>
                <w:rFonts w:ascii="Times New Roman" w:hAnsi="Times New Roman" w:cs="Times New Roman"/>
                <w:sz w:val="20"/>
                <w:szCs w:val="20"/>
                <w:lang w:val="bg-BG"/>
              </w:rPr>
              <w:t xml:space="preserve">13.7 </w:t>
            </w:r>
          </w:p>
          <w:p w14:paraId="1A0B426F" w14:textId="35FBAE4D" w:rsidR="00C519AD" w:rsidRPr="00610B1B" w:rsidRDefault="00F5747A" w:rsidP="00D32D6A">
            <w:pPr>
              <w:rPr>
                <w:rFonts w:ascii="Times New Roman" w:hAnsi="Times New Roman" w:cs="Times New Roman"/>
                <w:sz w:val="20"/>
                <w:szCs w:val="20"/>
                <w:lang w:val="bg-BG"/>
              </w:rPr>
            </w:pPr>
            <w:r w:rsidRPr="00610B1B">
              <w:rPr>
                <w:rFonts w:ascii="Times New Roman" w:hAnsi="Times New Roman" w:cs="Times New Roman"/>
                <w:color w:val="000000"/>
                <w:sz w:val="20"/>
                <w:szCs w:val="20"/>
                <w:lang w:val="bg-BG" w:eastAsia="bg-BG" w:bidi="bg-BG"/>
              </w:rPr>
              <w:t>С цел намаляване на безпокойството на видовете в морска среда, включително птици, да се ограничи генерирането на подводен шум и да се с</w:t>
            </w:r>
            <w:r w:rsidR="007706C4" w:rsidRPr="00610B1B">
              <w:rPr>
                <w:rFonts w:ascii="Times New Roman" w:hAnsi="Times New Roman" w:cs="Times New Roman"/>
                <w:color w:val="000000"/>
                <w:sz w:val="20"/>
                <w:szCs w:val="20"/>
                <w:lang w:val="bg-BG" w:eastAsia="bg-BG" w:bidi="bg-BG"/>
              </w:rPr>
              <w:t>ъ</w:t>
            </w:r>
            <w:r w:rsidRPr="00610B1B">
              <w:rPr>
                <w:rFonts w:ascii="Times New Roman" w:hAnsi="Times New Roman" w:cs="Times New Roman"/>
                <w:color w:val="000000"/>
                <w:sz w:val="20"/>
                <w:szCs w:val="20"/>
                <w:lang w:val="bg-BG" w:eastAsia="bg-BG" w:bidi="bg-BG"/>
              </w:rPr>
              <w:t xml:space="preserve">здаде регистър на подводен шум </w:t>
            </w:r>
          </w:p>
        </w:tc>
        <w:tc>
          <w:tcPr>
            <w:tcW w:w="1984" w:type="dxa"/>
          </w:tcPr>
          <w:p w14:paraId="3D006C93"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БДЧР</w:t>
            </w:r>
          </w:p>
        </w:tc>
        <w:tc>
          <w:tcPr>
            <w:tcW w:w="3232" w:type="dxa"/>
          </w:tcPr>
          <w:p w14:paraId="54520B7C"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Намаляване нивата на подводен шум в морската среда</w:t>
            </w:r>
          </w:p>
        </w:tc>
        <w:tc>
          <w:tcPr>
            <w:tcW w:w="1376" w:type="dxa"/>
            <w:vAlign w:val="center"/>
          </w:tcPr>
          <w:p w14:paraId="6A8F63D8"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2024</w:t>
            </w:r>
          </w:p>
        </w:tc>
      </w:tr>
      <w:tr w:rsidR="00C519AD" w:rsidRPr="00610B1B" w14:paraId="6A8D6F7A" w14:textId="77777777" w:rsidTr="00537D06">
        <w:tc>
          <w:tcPr>
            <w:tcW w:w="426" w:type="dxa"/>
            <w:vMerge/>
            <w:vAlign w:val="center"/>
          </w:tcPr>
          <w:p w14:paraId="1713FDC2"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74FABDDC" w14:textId="77777777" w:rsidR="00C519AD" w:rsidRPr="00610B1B" w:rsidRDefault="00C519AD" w:rsidP="00537D06">
            <w:pPr>
              <w:rPr>
                <w:rFonts w:ascii="Times New Roman" w:hAnsi="Times New Roman" w:cs="Times New Roman"/>
                <w:sz w:val="20"/>
                <w:szCs w:val="20"/>
                <w:lang w:val="bg-BG"/>
              </w:rPr>
            </w:pPr>
          </w:p>
        </w:tc>
        <w:tc>
          <w:tcPr>
            <w:tcW w:w="5387" w:type="dxa"/>
            <w:shd w:val="clear" w:color="auto" w:fill="FFFFFF"/>
          </w:tcPr>
          <w:p w14:paraId="52529E93" w14:textId="3843EAB1" w:rsidR="00C519AD" w:rsidRPr="00610B1B" w:rsidRDefault="00C519AD" w:rsidP="00D32D6A">
            <w:pPr>
              <w:rPr>
                <w:rFonts w:ascii="Times New Roman" w:hAnsi="Times New Roman" w:cs="Times New Roman"/>
                <w:sz w:val="20"/>
                <w:szCs w:val="20"/>
                <w:lang w:val="bg-BG"/>
              </w:rPr>
            </w:pPr>
            <w:r w:rsidRPr="00610B1B">
              <w:rPr>
                <w:rFonts w:ascii="Times New Roman" w:eastAsia="Times New Roman" w:hAnsi="Times New Roman" w:cs="Times New Roman"/>
                <w:sz w:val="20"/>
                <w:szCs w:val="20"/>
                <w:lang w:val="bg-BG"/>
              </w:rPr>
              <w:t>13.8. Възстановяване на</w:t>
            </w:r>
            <w:r w:rsidR="00D66FE0" w:rsidRPr="00610B1B">
              <w:rPr>
                <w:rFonts w:ascii="Times New Roman" w:eastAsia="Times New Roman" w:hAnsi="Times New Roman" w:cs="Times New Roman"/>
                <w:sz w:val="20"/>
                <w:szCs w:val="20"/>
                <w:lang w:val="bg-BG"/>
              </w:rPr>
              <w:t xml:space="preserve"> </w:t>
            </w:r>
            <w:r w:rsidRPr="00610B1B">
              <w:rPr>
                <w:rFonts w:ascii="Times New Roman" w:eastAsia="Times New Roman" w:hAnsi="Times New Roman" w:cs="Times New Roman"/>
                <w:sz w:val="20"/>
                <w:szCs w:val="20"/>
                <w:lang w:val="bg-BG"/>
              </w:rPr>
              <w:t>числеността и разпространението на морските бозайници до гранични стойности, отговарящи за добро състояние на популациите.</w:t>
            </w:r>
          </w:p>
        </w:tc>
        <w:tc>
          <w:tcPr>
            <w:tcW w:w="1984" w:type="dxa"/>
          </w:tcPr>
          <w:p w14:paraId="469A5EC5" w14:textId="156412D9" w:rsidR="00C519AD" w:rsidRPr="00610B1B" w:rsidRDefault="00042A23"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Икономически оператори, местните общности, НПО</w:t>
            </w:r>
          </w:p>
        </w:tc>
        <w:tc>
          <w:tcPr>
            <w:tcW w:w="3232" w:type="dxa"/>
          </w:tcPr>
          <w:p w14:paraId="2B327E97"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Постигане на добро състояние ва морската околна среда </w:t>
            </w:r>
          </w:p>
        </w:tc>
        <w:tc>
          <w:tcPr>
            <w:tcW w:w="1376" w:type="dxa"/>
            <w:vAlign w:val="center"/>
          </w:tcPr>
          <w:p w14:paraId="4B2F2439"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2030</w:t>
            </w:r>
          </w:p>
        </w:tc>
      </w:tr>
      <w:tr w:rsidR="00C519AD" w:rsidRPr="00610B1B" w14:paraId="7AA1D965" w14:textId="77777777" w:rsidTr="00537D06">
        <w:tc>
          <w:tcPr>
            <w:tcW w:w="426" w:type="dxa"/>
            <w:vMerge/>
            <w:vAlign w:val="center"/>
          </w:tcPr>
          <w:p w14:paraId="4EFA942E"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7E138206" w14:textId="77777777" w:rsidR="00C519AD" w:rsidRPr="00610B1B" w:rsidRDefault="00C519AD" w:rsidP="00537D06">
            <w:pPr>
              <w:rPr>
                <w:rFonts w:ascii="Times New Roman" w:hAnsi="Times New Roman" w:cs="Times New Roman"/>
                <w:sz w:val="20"/>
                <w:szCs w:val="20"/>
                <w:lang w:val="bg-BG"/>
              </w:rPr>
            </w:pPr>
          </w:p>
        </w:tc>
        <w:tc>
          <w:tcPr>
            <w:tcW w:w="5387" w:type="dxa"/>
            <w:shd w:val="clear" w:color="auto" w:fill="FFFFFF"/>
          </w:tcPr>
          <w:p w14:paraId="4D700DCD" w14:textId="77777777" w:rsidR="00C519AD" w:rsidRPr="00610B1B" w:rsidRDefault="00C519AD" w:rsidP="00B46189">
            <w:pPr>
              <w:pStyle w:val="ListParagraph"/>
              <w:numPr>
                <w:ilvl w:val="1"/>
                <w:numId w:val="91"/>
              </w:numPr>
              <w:tabs>
                <w:tab w:val="left" w:pos="310"/>
                <w:tab w:val="left" w:pos="452"/>
              </w:tabs>
              <w:ind w:left="26" w:hanging="26"/>
              <w:contextualSpacing w:val="0"/>
              <w:rPr>
                <w:rFonts w:ascii="Times New Roman" w:eastAsia="Times New Roman" w:hAnsi="Times New Roman" w:cs="Times New Roman"/>
                <w:sz w:val="20"/>
                <w:szCs w:val="20"/>
                <w:lang w:val="bg-BG"/>
              </w:rPr>
            </w:pPr>
            <w:r w:rsidRPr="00610B1B">
              <w:rPr>
                <w:rFonts w:ascii="Times New Roman" w:eastAsia="Times New Roman" w:hAnsi="Times New Roman" w:cs="Times New Roman"/>
                <w:sz w:val="20"/>
                <w:szCs w:val="20"/>
                <w:lang w:val="bg-BG"/>
              </w:rPr>
              <w:t>Постигане на благоприятно природозащитно състояние на морските птици в поне 50% от техните местообитанията, чието състояние е било влошено до 2020 г.</w:t>
            </w:r>
          </w:p>
        </w:tc>
        <w:tc>
          <w:tcPr>
            <w:tcW w:w="1984" w:type="dxa"/>
          </w:tcPr>
          <w:p w14:paraId="5ECE416B" w14:textId="2071C88B" w:rsidR="00C519AD" w:rsidRPr="00610B1B" w:rsidRDefault="00042A23"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Икономически оператори, местните общности, БДЗП, НПО</w:t>
            </w:r>
          </w:p>
        </w:tc>
        <w:tc>
          <w:tcPr>
            <w:tcW w:w="3232" w:type="dxa"/>
          </w:tcPr>
          <w:p w14:paraId="29B09ECF"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Постигане на добро състояние ва морската околна среда</w:t>
            </w:r>
          </w:p>
        </w:tc>
        <w:tc>
          <w:tcPr>
            <w:tcW w:w="1376" w:type="dxa"/>
            <w:vAlign w:val="center"/>
          </w:tcPr>
          <w:p w14:paraId="77C9251E" w14:textId="77777777" w:rsidR="00C519AD" w:rsidRPr="00610B1B"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2030</w:t>
            </w:r>
          </w:p>
        </w:tc>
      </w:tr>
      <w:tr w:rsidR="00C519AD" w:rsidRPr="00610B1B" w14:paraId="7872C694" w14:textId="77777777" w:rsidTr="00537D06">
        <w:tc>
          <w:tcPr>
            <w:tcW w:w="426" w:type="dxa"/>
            <w:vMerge/>
            <w:vAlign w:val="center"/>
          </w:tcPr>
          <w:p w14:paraId="2E1DEE4E" w14:textId="77777777" w:rsidR="00C519AD" w:rsidRPr="00610B1B" w:rsidRDefault="00C519AD" w:rsidP="00537D06">
            <w:pPr>
              <w:jc w:val="center"/>
              <w:rPr>
                <w:rFonts w:ascii="Times New Roman" w:hAnsi="Times New Roman" w:cs="Times New Roman"/>
                <w:sz w:val="20"/>
                <w:szCs w:val="20"/>
                <w:lang w:val="bg-BG"/>
              </w:rPr>
            </w:pPr>
          </w:p>
        </w:tc>
        <w:tc>
          <w:tcPr>
            <w:tcW w:w="2693" w:type="dxa"/>
            <w:vMerge/>
            <w:vAlign w:val="center"/>
          </w:tcPr>
          <w:p w14:paraId="4D4BEE7E" w14:textId="77777777" w:rsidR="00C519AD" w:rsidRPr="00610B1B" w:rsidRDefault="00C519AD" w:rsidP="00537D06">
            <w:pPr>
              <w:rPr>
                <w:rFonts w:ascii="Times New Roman" w:hAnsi="Times New Roman" w:cs="Times New Roman"/>
                <w:sz w:val="20"/>
                <w:szCs w:val="20"/>
                <w:lang w:val="bg-BG"/>
              </w:rPr>
            </w:pPr>
          </w:p>
        </w:tc>
        <w:tc>
          <w:tcPr>
            <w:tcW w:w="5387" w:type="dxa"/>
          </w:tcPr>
          <w:p w14:paraId="7F48D003" w14:textId="49C51A9C" w:rsidR="00C519AD" w:rsidRPr="00610B1B" w:rsidRDefault="00C519AD" w:rsidP="00B46189">
            <w:pPr>
              <w:pStyle w:val="ListParagraph"/>
              <w:numPr>
                <w:ilvl w:val="1"/>
                <w:numId w:val="91"/>
              </w:numPr>
              <w:tabs>
                <w:tab w:val="left" w:pos="593"/>
              </w:tabs>
              <w:ind w:left="26" w:hanging="26"/>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Ефективно и справедливо управление на крайбрежните и морски местообитания, които имат значение за опазването на биоразнообразието и екосистемните услуги във </w:t>
            </w:r>
            <w:r w:rsidR="004E6850" w:rsidRPr="00610B1B">
              <w:rPr>
                <w:rFonts w:ascii="Times New Roman" w:hAnsi="Times New Roman" w:cs="Times New Roman"/>
                <w:sz w:val="20"/>
                <w:szCs w:val="20"/>
                <w:lang w:val="bg-BG"/>
              </w:rPr>
              <w:t>взаимосвързани</w:t>
            </w:r>
            <w:r w:rsidRPr="00610B1B">
              <w:rPr>
                <w:rFonts w:ascii="Times New Roman" w:hAnsi="Times New Roman" w:cs="Times New Roman"/>
                <w:sz w:val="20"/>
                <w:szCs w:val="20"/>
                <w:lang w:val="bg-BG"/>
              </w:rPr>
              <w:t xml:space="preserve"> екосистеми.</w:t>
            </w:r>
          </w:p>
          <w:p w14:paraId="299A9D87" w14:textId="6B6C0D3D" w:rsidR="00B4652F" w:rsidRPr="00610B1B" w:rsidRDefault="00B4652F" w:rsidP="00B4652F">
            <w:pPr>
              <w:pStyle w:val="ListParagraph"/>
              <w:tabs>
                <w:tab w:val="left" w:pos="593"/>
              </w:tabs>
              <w:ind w:left="26"/>
              <w:contextualSpacing w:val="0"/>
              <w:rPr>
                <w:rFonts w:ascii="Times New Roman" w:hAnsi="Times New Roman" w:cs="Times New Roman"/>
                <w:sz w:val="20"/>
                <w:szCs w:val="20"/>
                <w:lang w:val="bg-BG"/>
              </w:rPr>
            </w:pPr>
            <w:r w:rsidRPr="00610B1B">
              <w:rPr>
                <w:rFonts w:ascii="Times New Roman" w:hAnsi="Times New Roman" w:cs="Times New Roman"/>
                <w:sz w:val="20"/>
                <w:szCs w:val="20"/>
                <w:lang w:val="bg-BG"/>
              </w:rPr>
              <w:t>----------------------------------------------------------------------------</w:t>
            </w:r>
          </w:p>
          <w:p w14:paraId="127C6897" w14:textId="27FBD7E4" w:rsidR="00B4652F" w:rsidRPr="00610B1B" w:rsidRDefault="00B4652F" w:rsidP="00B46189">
            <w:pPr>
              <w:pStyle w:val="ListParagraph"/>
              <w:numPr>
                <w:ilvl w:val="1"/>
                <w:numId w:val="91"/>
              </w:numPr>
              <w:pBdr>
                <w:bottom w:val="single" w:sz="6" w:space="1" w:color="auto"/>
              </w:pBdr>
              <w:tabs>
                <w:tab w:val="left" w:pos="593"/>
              </w:tabs>
              <w:ind w:left="26" w:hanging="26"/>
              <w:contextualSpacing w:val="0"/>
              <w:rPr>
                <w:rFonts w:ascii="Times New Roman" w:hAnsi="Times New Roman" w:cs="Times New Roman"/>
                <w:sz w:val="20"/>
                <w:szCs w:val="20"/>
                <w:lang w:val="bg-BG"/>
              </w:rPr>
            </w:pPr>
            <w:r w:rsidRPr="00E63187">
              <w:rPr>
                <w:rFonts w:ascii="Times New Roman" w:eastAsia="Times New Roman" w:hAnsi="Times New Roman" w:cs="Times New Roman"/>
                <w:color w:val="000000"/>
                <w:sz w:val="20"/>
                <w:szCs w:val="20"/>
                <w:lang w:val="bg-BG" w:eastAsia="bg-BG" w:bidi="bg-BG"/>
              </w:rPr>
              <w:t xml:space="preserve">С цел предотвратяване влошаването на състоянието на местообитанията и на рибните популации, да се извършва регулярен мониторинг на морската среда и на </w:t>
            </w:r>
            <w:r w:rsidRPr="00E63187">
              <w:rPr>
                <w:rFonts w:ascii="Times New Roman" w:eastAsia="Times New Roman" w:hAnsi="Times New Roman" w:cs="Times New Roman"/>
                <w:color w:val="000000"/>
                <w:sz w:val="20"/>
                <w:szCs w:val="20"/>
                <w:lang w:val="bg-BG" w:eastAsia="bg-BG" w:bidi="bg-BG"/>
              </w:rPr>
              <w:lastRenderedPageBreak/>
              <w:t>състоянието на популациите на целевите видове риби в крайбрежната морска зона</w:t>
            </w:r>
          </w:p>
          <w:p w14:paraId="45A78F66" w14:textId="7A9AE274" w:rsidR="00683DD9" w:rsidRPr="00610B1B" w:rsidRDefault="00683DD9" w:rsidP="00683DD9">
            <w:pP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rPr>
              <w:t>13.1</w:t>
            </w:r>
            <w:r w:rsidR="00410897" w:rsidRPr="00610B1B">
              <w:rPr>
                <w:rFonts w:ascii="Times New Roman" w:hAnsi="Times New Roman" w:cs="Times New Roman"/>
                <w:sz w:val="20"/>
                <w:szCs w:val="20"/>
                <w:lang w:val="bg-BG"/>
              </w:rPr>
              <w:t>2</w:t>
            </w:r>
            <w:r w:rsidRPr="00610B1B">
              <w:rPr>
                <w:rFonts w:ascii="Times New Roman" w:hAnsi="Times New Roman" w:cs="Times New Roman"/>
                <w:sz w:val="20"/>
                <w:szCs w:val="20"/>
                <w:lang w:val="bg-BG"/>
              </w:rPr>
              <w:t>.</w:t>
            </w:r>
            <w:r w:rsidRPr="00610B1B">
              <w:rPr>
                <w:rFonts w:ascii="Times New Roman" w:eastAsia="Times New Roman" w:hAnsi="Times New Roman" w:cs="Times New Roman"/>
                <w:color w:val="000000"/>
                <w:sz w:val="24"/>
                <w:szCs w:val="24"/>
                <w:lang w:val="bg-BG" w:eastAsia="bg-BG" w:bidi="bg-BG"/>
              </w:rPr>
              <w:t xml:space="preserve"> </w:t>
            </w:r>
            <w:r w:rsidRPr="00610B1B">
              <w:rPr>
                <w:rFonts w:ascii="Times New Roman" w:hAnsi="Times New Roman" w:cs="Times New Roman"/>
                <w:sz w:val="20"/>
                <w:szCs w:val="20"/>
                <w:lang w:val="bg-BG" w:bidi="bg-BG"/>
              </w:rPr>
              <w:t>Разработване на национален План за опазване на Средиземноморски буревестник и на Планове за управление на местата от голямо значение за вида и редовен мониторинг, устойчиво ползване на рибните ресурси на Черно море, запазване на скалистите участъци по крайбрежието</w:t>
            </w:r>
            <w:r w:rsidR="00046B23">
              <w:rPr>
                <w:rFonts w:ascii="Times New Roman" w:hAnsi="Times New Roman" w:cs="Times New Roman"/>
                <w:sz w:val="20"/>
                <w:szCs w:val="20"/>
                <w:lang w:val="bg-BG" w:bidi="bg-BG"/>
              </w:rPr>
              <w:t xml:space="preserve">, </w:t>
            </w:r>
            <w:r w:rsidR="00046B23" w:rsidRPr="00046B23">
              <w:rPr>
                <w:rFonts w:ascii="Times New Roman" w:hAnsi="Times New Roman" w:cs="Times New Roman"/>
                <w:sz w:val="20"/>
                <w:szCs w:val="20"/>
                <w:lang w:val="bg-BG" w:bidi="bg-BG"/>
              </w:rPr>
              <w:t>което щ</w:t>
            </w:r>
            <w:r w:rsidR="00046B23">
              <w:rPr>
                <w:rFonts w:ascii="Times New Roman" w:hAnsi="Times New Roman" w:cs="Times New Roman"/>
                <w:sz w:val="20"/>
                <w:szCs w:val="20"/>
                <w:lang w:val="bg-BG" w:bidi="bg-BG"/>
              </w:rPr>
              <w:t>е подпомогне опазването на вида</w:t>
            </w:r>
            <w:r w:rsidRPr="00610B1B">
              <w:rPr>
                <w:rFonts w:ascii="Times New Roman" w:hAnsi="Times New Roman" w:cs="Times New Roman"/>
                <w:sz w:val="20"/>
                <w:szCs w:val="20"/>
                <w:lang w:val="bg-BG" w:bidi="bg-BG"/>
              </w:rPr>
              <w:t>.</w:t>
            </w:r>
          </w:p>
          <w:p w14:paraId="128F1084" w14:textId="28137D09" w:rsidR="00410897" w:rsidRPr="00610B1B" w:rsidRDefault="00410897" w:rsidP="00683DD9">
            <w:pP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w:t>
            </w:r>
          </w:p>
          <w:p w14:paraId="4EEA4CDB" w14:textId="07D0ECB2" w:rsidR="00757A45" w:rsidRPr="00610B1B" w:rsidRDefault="00F830FB" w:rsidP="00F830FB">
            <w:pP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13.13.</w:t>
            </w:r>
            <w:r w:rsidR="00410897" w:rsidRPr="00610B1B">
              <w:rPr>
                <w:rFonts w:ascii="Times New Roman" w:hAnsi="Times New Roman" w:cs="Times New Roman"/>
                <w:sz w:val="20"/>
                <w:szCs w:val="20"/>
                <w:lang w:val="bg-BG" w:bidi="bg-BG"/>
              </w:rPr>
              <w:t xml:space="preserve"> С цел опазване на вида среден корморан, да бъдат ограничени потенциалните заплахи от строителството и индустриалната дейност по брега, да се риболовните дейности, да се въведат забрани за водни спортове в бързоподви</w:t>
            </w:r>
            <w:r w:rsidR="000337E8">
              <w:rPr>
                <w:rFonts w:ascii="Times New Roman" w:hAnsi="Times New Roman" w:cs="Times New Roman"/>
                <w:sz w:val="20"/>
                <w:szCs w:val="20"/>
                <w:lang w:val="bg-BG" w:bidi="bg-BG"/>
              </w:rPr>
              <w:t>жни лодки</w:t>
            </w:r>
            <w:r w:rsidR="00410897" w:rsidRPr="00610B1B">
              <w:rPr>
                <w:rFonts w:ascii="Times New Roman" w:hAnsi="Times New Roman" w:cs="Times New Roman"/>
                <w:sz w:val="20"/>
                <w:szCs w:val="20"/>
                <w:lang w:val="bg-BG" w:bidi="bg-BG"/>
              </w:rPr>
              <w:t xml:space="preserve"> и джетове в близост до колониите на вида. Необходимо е да бъдат предприе ограничаване безпокойството на гнездящи корморани през размножител</w:t>
            </w:r>
            <w:r w:rsidR="008849C8" w:rsidRPr="00610B1B">
              <w:rPr>
                <w:rFonts w:ascii="Times New Roman" w:hAnsi="Times New Roman" w:cs="Times New Roman"/>
                <w:sz w:val="20"/>
                <w:szCs w:val="20"/>
                <w:lang w:val="bg-BG" w:bidi="bg-BG"/>
              </w:rPr>
              <w:t>ния период,</w:t>
            </w:r>
            <w:r w:rsidR="00410897" w:rsidRPr="00610B1B">
              <w:rPr>
                <w:rFonts w:ascii="Times New Roman" w:hAnsi="Times New Roman" w:cs="Times New Roman"/>
                <w:sz w:val="20"/>
                <w:szCs w:val="20"/>
                <w:lang w:val="bg-BG" w:bidi="bg-BG"/>
              </w:rPr>
              <w:t xml:space="preserve"> както и да бъдат информирани посетителите.</w:t>
            </w:r>
          </w:p>
          <w:p w14:paraId="11269E5A" w14:textId="600CB7B3" w:rsidR="00757A45" w:rsidRPr="00610B1B" w:rsidRDefault="004567E9" w:rsidP="00F830FB">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13</w:t>
            </w:r>
            <w:r w:rsidR="00757A45" w:rsidRPr="00610B1B">
              <w:rPr>
                <w:rFonts w:ascii="Times New Roman" w:hAnsi="Times New Roman" w:cs="Times New Roman"/>
                <w:sz w:val="20"/>
                <w:szCs w:val="20"/>
                <w:lang w:val="bg-BG" w:bidi="bg-BG"/>
              </w:rPr>
              <w:t xml:space="preserve">.14. Препоръчително е да се извършва мониторинг на двата целеви вида морски птици </w:t>
            </w:r>
            <w:r w:rsidR="007F3121" w:rsidRPr="00610B1B">
              <w:rPr>
                <w:rFonts w:ascii="Times New Roman" w:hAnsi="Times New Roman" w:cs="Times New Roman"/>
                <w:sz w:val="20"/>
                <w:szCs w:val="20"/>
                <w:lang w:val="bg-BG" w:bidi="bg-BG"/>
              </w:rPr>
              <w:t xml:space="preserve">– средиземноморски буревестник и среден корморан </w:t>
            </w:r>
            <w:r w:rsidR="00757A45" w:rsidRPr="00610B1B">
              <w:rPr>
                <w:rFonts w:ascii="Times New Roman" w:hAnsi="Times New Roman" w:cs="Times New Roman"/>
                <w:sz w:val="20"/>
                <w:szCs w:val="20"/>
                <w:lang w:val="bg-BG" w:bidi="bg-BG"/>
              </w:rPr>
              <w:t xml:space="preserve">минимум три пъти годишно в периода април </w:t>
            </w:r>
            <w:r w:rsidR="007F3121" w:rsidRPr="00610B1B">
              <w:rPr>
                <w:rFonts w:ascii="Times New Roman" w:hAnsi="Times New Roman" w:cs="Times New Roman"/>
                <w:sz w:val="20"/>
                <w:szCs w:val="20"/>
                <w:lang w:val="bg-BG" w:bidi="bg-BG"/>
              </w:rPr>
              <w:t>–</w:t>
            </w:r>
            <w:r w:rsidR="00757A45" w:rsidRPr="00610B1B">
              <w:rPr>
                <w:rFonts w:ascii="Times New Roman" w:hAnsi="Times New Roman" w:cs="Times New Roman"/>
                <w:sz w:val="20"/>
                <w:szCs w:val="20"/>
                <w:lang w:val="bg-BG" w:bidi="bg-BG"/>
              </w:rPr>
              <w:t xml:space="preserve"> юни </w:t>
            </w:r>
            <w:r w:rsidR="00194F68">
              <w:rPr>
                <w:rFonts w:ascii="Times New Roman" w:hAnsi="Times New Roman" w:cs="Times New Roman"/>
                <w:sz w:val="20"/>
                <w:szCs w:val="20"/>
                <w:lang w:val="bg-BG" w:bidi="bg-BG"/>
              </w:rPr>
              <w:t>С цел</w:t>
            </w:r>
            <w:r w:rsidR="00757A45" w:rsidRPr="00610B1B">
              <w:rPr>
                <w:rFonts w:ascii="Times New Roman" w:hAnsi="Times New Roman" w:cs="Times New Roman"/>
                <w:sz w:val="20"/>
                <w:szCs w:val="20"/>
                <w:lang w:val="bg-BG" w:bidi="bg-BG"/>
              </w:rPr>
              <w:t xml:space="preserve"> проследяване тенденциите в популациите, както и евентуалните промени в поведението им и промените в местообитанията</w:t>
            </w:r>
          </w:p>
          <w:p w14:paraId="4462BC3B" w14:textId="16011BC5" w:rsidR="00757A45" w:rsidRPr="00610B1B" w:rsidRDefault="00757A45" w:rsidP="00F830FB">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w:t>
            </w:r>
          </w:p>
          <w:p w14:paraId="315BB6EB" w14:textId="77777777" w:rsidR="00757A45" w:rsidRPr="00610B1B" w:rsidRDefault="00757A45" w:rsidP="00F830FB">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p>
          <w:p w14:paraId="5244215E" w14:textId="77777777" w:rsidR="00D0108C" w:rsidRDefault="00F830FB" w:rsidP="003E632F">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13.1</w:t>
            </w:r>
            <w:r w:rsidR="00757A45" w:rsidRPr="00610B1B">
              <w:rPr>
                <w:rFonts w:ascii="Times New Roman" w:hAnsi="Times New Roman" w:cs="Times New Roman"/>
                <w:sz w:val="20"/>
                <w:szCs w:val="20"/>
                <w:lang w:val="bg-BG" w:bidi="bg-BG"/>
              </w:rPr>
              <w:t>5</w:t>
            </w:r>
            <w:r w:rsidRPr="00610B1B">
              <w:rPr>
                <w:rFonts w:ascii="Times New Roman" w:hAnsi="Times New Roman" w:cs="Times New Roman"/>
                <w:sz w:val="20"/>
                <w:szCs w:val="20"/>
                <w:lang w:val="bg-BG" w:bidi="bg-BG"/>
              </w:rPr>
              <w:t xml:space="preserve">. </w:t>
            </w:r>
            <w:r w:rsidR="002C0CEB" w:rsidRPr="00610B1B">
              <w:rPr>
                <w:rFonts w:ascii="Times New Roman" w:hAnsi="Times New Roman" w:cs="Times New Roman"/>
                <w:sz w:val="20"/>
                <w:szCs w:val="20"/>
                <w:lang w:val="bg-BG" w:bidi="bg-BG"/>
              </w:rPr>
              <w:t xml:space="preserve">Да се предостави правна защита на най-малко 30% от морския басейн и да се осигури интегриране на екологичните коридори в рамките на ефективно действаща трансевропейска мрежа за защита на природата; Да се въведат мерки за строга защита на най-малко една трета от защитените зони, които представляват 10% от морския басейн. </w:t>
            </w:r>
          </w:p>
          <w:p w14:paraId="6ECA5FF6" w14:textId="4EF91E19" w:rsidR="009A6CF6" w:rsidRPr="00002A51" w:rsidRDefault="009A6CF6" w:rsidP="009A6CF6">
            <w:pPr>
              <w:jc w:val="both"/>
              <w:rPr>
                <w:rFonts w:ascii="Times New Roman" w:hAnsi="Times New Roman" w:cs="Times New Roman"/>
                <w:b/>
                <w:sz w:val="20"/>
                <w:szCs w:val="20"/>
                <w:lang w:val="bg-BG"/>
              </w:rPr>
            </w:pPr>
            <w:r w:rsidRPr="009A6CF6">
              <w:rPr>
                <w:rFonts w:ascii="Times New Roman" w:hAnsi="Times New Roman" w:cs="Times New Roman"/>
                <w:sz w:val="20"/>
                <w:szCs w:val="20"/>
                <w:lang w:val="bg-BG" w:bidi="bg-BG"/>
              </w:rPr>
              <w:t xml:space="preserve">Предлагат се като подходящи </w:t>
            </w:r>
            <w:r w:rsidR="00390518" w:rsidRPr="00390518">
              <w:rPr>
                <w:rFonts w:ascii="Times New Roman" w:hAnsi="Times New Roman" w:cs="Times New Roman"/>
                <w:sz w:val="20"/>
                <w:szCs w:val="20"/>
                <w:lang w:val="bg-BG" w:bidi="bg-BG"/>
              </w:rPr>
              <w:t xml:space="preserve">следните две </w:t>
            </w:r>
            <w:r w:rsidR="00F81A03">
              <w:rPr>
                <w:rFonts w:ascii="Times New Roman" w:hAnsi="Times New Roman" w:cs="Times New Roman"/>
                <w:sz w:val="20"/>
                <w:szCs w:val="20"/>
                <w:lang w:val="bg-BG" w:bidi="bg-BG"/>
              </w:rPr>
              <w:t xml:space="preserve">акватории, в рамките на които да </w:t>
            </w:r>
            <w:r w:rsidR="00390518">
              <w:rPr>
                <w:rFonts w:ascii="Times New Roman" w:hAnsi="Times New Roman" w:cs="Times New Roman"/>
                <w:sz w:val="20"/>
                <w:szCs w:val="20"/>
                <w:lang w:val="bg-BG" w:bidi="bg-BG"/>
              </w:rPr>
              <w:t>бъдат изследвани</w:t>
            </w:r>
            <w:r w:rsidR="00F81A03">
              <w:rPr>
                <w:rFonts w:ascii="Times New Roman" w:hAnsi="Times New Roman" w:cs="Times New Roman"/>
                <w:sz w:val="20"/>
                <w:szCs w:val="20"/>
                <w:lang w:val="bg-BG" w:bidi="bg-BG"/>
              </w:rPr>
              <w:t xml:space="preserve"> </w:t>
            </w:r>
            <w:r w:rsidR="00F81A03">
              <w:rPr>
                <w:rFonts w:ascii="Times New Roman" w:hAnsi="Times New Roman" w:cs="Times New Roman"/>
                <w:b/>
                <w:sz w:val="20"/>
                <w:szCs w:val="20"/>
                <w:lang w:val="bg-BG"/>
              </w:rPr>
              <w:t>райони</w:t>
            </w:r>
            <w:r w:rsidR="001E44C8" w:rsidRPr="001E44C8">
              <w:rPr>
                <w:rFonts w:ascii="Times New Roman" w:hAnsi="Times New Roman" w:cs="Times New Roman"/>
                <w:b/>
                <w:sz w:val="20"/>
                <w:szCs w:val="20"/>
                <w:lang w:val="bg-BG"/>
              </w:rPr>
              <w:t xml:space="preserve">, </w:t>
            </w:r>
            <w:r w:rsidR="001E44C8">
              <w:rPr>
                <w:rFonts w:ascii="Times New Roman" w:hAnsi="Times New Roman" w:cs="Times New Roman"/>
                <w:b/>
                <w:sz w:val="20"/>
                <w:szCs w:val="20"/>
                <w:lang w:val="bg-BG"/>
              </w:rPr>
              <w:t>подходящи</w:t>
            </w:r>
            <w:r w:rsidRPr="00133B13">
              <w:rPr>
                <w:rFonts w:ascii="Times New Roman" w:hAnsi="Times New Roman" w:cs="Times New Roman"/>
                <w:b/>
                <w:sz w:val="20"/>
                <w:szCs w:val="20"/>
                <w:lang w:val="bg-BG"/>
              </w:rPr>
              <w:t xml:space="preserve"> </w:t>
            </w:r>
            <w:r w:rsidR="001E44C8">
              <w:rPr>
                <w:rFonts w:ascii="Times New Roman" w:hAnsi="Times New Roman" w:cs="Times New Roman"/>
                <w:b/>
                <w:sz w:val="20"/>
                <w:szCs w:val="20"/>
                <w:lang w:val="bg-BG"/>
              </w:rPr>
              <w:lastRenderedPageBreak/>
              <w:t>з</w:t>
            </w:r>
            <w:r w:rsidRPr="00133B13">
              <w:rPr>
                <w:rFonts w:ascii="Times New Roman" w:hAnsi="Times New Roman" w:cs="Times New Roman"/>
                <w:b/>
                <w:sz w:val="20"/>
                <w:szCs w:val="20"/>
                <w:lang w:val="bg-BG"/>
              </w:rPr>
              <w:t>а защит</w:t>
            </w:r>
            <w:r w:rsidR="001B01A3">
              <w:rPr>
                <w:rFonts w:ascii="Times New Roman" w:hAnsi="Times New Roman" w:cs="Times New Roman"/>
                <w:b/>
                <w:sz w:val="20"/>
                <w:szCs w:val="20"/>
                <w:lang w:val="bg-BG"/>
              </w:rPr>
              <w:t>а</w:t>
            </w:r>
            <w:r w:rsidR="00390518">
              <w:rPr>
                <w:rFonts w:ascii="Times New Roman" w:hAnsi="Times New Roman" w:cs="Times New Roman"/>
                <w:b/>
                <w:sz w:val="20"/>
                <w:szCs w:val="20"/>
                <w:lang w:val="bg-BG"/>
              </w:rPr>
              <w:t xml:space="preserve">, </w:t>
            </w:r>
            <w:r w:rsidR="00390518" w:rsidRPr="009265C2">
              <w:rPr>
                <w:rFonts w:ascii="Times New Roman" w:hAnsi="Times New Roman" w:cs="Times New Roman"/>
                <w:sz w:val="20"/>
                <w:szCs w:val="20"/>
                <w:lang w:val="bg-BG"/>
              </w:rPr>
              <w:t>които биха допринесли за изпълнение на целите на Стратегията за биологично</w:t>
            </w:r>
            <w:r w:rsidR="00390518" w:rsidRPr="009265C2">
              <w:rPr>
                <w:lang w:val="bg-BG"/>
              </w:rPr>
              <w:t xml:space="preserve"> </w:t>
            </w:r>
            <w:r w:rsidR="009265C2">
              <w:rPr>
                <w:rFonts w:ascii="Times New Roman" w:hAnsi="Times New Roman" w:cs="Times New Roman"/>
                <w:sz w:val="20"/>
                <w:szCs w:val="20"/>
                <w:lang w:val="bg-BG"/>
              </w:rPr>
              <w:t>разнообразие за 2030г.</w:t>
            </w:r>
            <w:r w:rsidRPr="009265C2">
              <w:rPr>
                <w:rFonts w:ascii="Times New Roman" w:hAnsi="Times New Roman" w:cs="Times New Roman"/>
                <w:sz w:val="20"/>
                <w:szCs w:val="20"/>
                <w:lang w:val="bg-BG"/>
              </w:rPr>
              <w:t>:</w:t>
            </w:r>
          </w:p>
          <w:p w14:paraId="29B3ABC0" w14:textId="77777777" w:rsidR="009A6CF6" w:rsidRPr="00002A51" w:rsidRDefault="009A6CF6" w:rsidP="009A6CF6">
            <w:pPr>
              <w:numPr>
                <w:ilvl w:val="0"/>
                <w:numId w:val="112"/>
              </w:numPr>
              <w:jc w:val="both"/>
              <w:rPr>
                <w:rFonts w:ascii="Times New Roman" w:hAnsi="Times New Roman" w:cs="Times New Roman"/>
                <w:sz w:val="20"/>
                <w:szCs w:val="20"/>
                <w:lang w:val="bg-BG"/>
              </w:rPr>
            </w:pPr>
            <w:r w:rsidRPr="00002A51">
              <w:rPr>
                <w:rFonts w:ascii="Times New Roman" w:hAnsi="Times New Roman" w:cs="Times New Roman"/>
                <w:sz w:val="20"/>
                <w:szCs w:val="20"/>
                <w:lang w:val="bg-BG"/>
              </w:rPr>
              <w:t xml:space="preserve">Акваторията и крайбрежието  между н. Хумата - Маслен нос - местност Перла  </w:t>
            </w:r>
          </w:p>
          <w:p w14:paraId="6CD0A93B" w14:textId="77777777" w:rsidR="009A6CF6" w:rsidRPr="00002A51" w:rsidRDefault="009A6CF6" w:rsidP="009A6CF6">
            <w:pPr>
              <w:numPr>
                <w:ilvl w:val="0"/>
                <w:numId w:val="112"/>
              </w:numPr>
              <w:jc w:val="both"/>
              <w:rPr>
                <w:lang w:val="bg-BG"/>
              </w:rPr>
            </w:pPr>
            <w:r w:rsidRPr="00002A51">
              <w:rPr>
                <w:rFonts w:ascii="Times New Roman" w:hAnsi="Times New Roman" w:cs="Times New Roman"/>
                <w:sz w:val="20"/>
                <w:szCs w:val="20"/>
                <w:lang w:val="bg-BG"/>
              </w:rPr>
              <w:t>Акваторията и крайбрежие  между с. Синеморец и р. Резовска</w:t>
            </w:r>
            <w:r w:rsidRPr="00002A51">
              <w:rPr>
                <w:lang w:val="bg-BG"/>
              </w:rPr>
              <w:t xml:space="preserve"> </w:t>
            </w:r>
          </w:p>
          <w:p w14:paraId="00C76CBA" w14:textId="1BF93D63" w:rsidR="009A6CF6" w:rsidRPr="00610B1B" w:rsidRDefault="009A6CF6" w:rsidP="003E632F">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p>
          <w:p w14:paraId="0B0676A7" w14:textId="77777777" w:rsidR="0048259D" w:rsidRPr="00610B1B" w:rsidRDefault="0048259D" w:rsidP="003E632F">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w:t>
            </w:r>
          </w:p>
          <w:p w14:paraId="4D8C71F8" w14:textId="77777777" w:rsidR="0048259D" w:rsidRPr="00610B1B" w:rsidRDefault="0048259D" w:rsidP="003E632F">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13.16.</w:t>
            </w:r>
            <w:r w:rsidRPr="00610B1B">
              <w:rPr>
                <w:rFonts w:ascii="Times New Roman" w:eastAsia="TimesNewRomanPSMT" w:hAnsi="Times New Roman" w:cs="Times New Roman"/>
                <w:sz w:val="24"/>
                <w:szCs w:val="24"/>
                <w:lang w:val="bg-BG" w:bidi="bg-BG"/>
              </w:rPr>
              <w:t xml:space="preserve"> </w:t>
            </w:r>
            <w:r w:rsidRPr="00610B1B">
              <w:rPr>
                <w:rFonts w:ascii="Times New Roman" w:hAnsi="Times New Roman" w:cs="Times New Roman"/>
                <w:sz w:val="20"/>
                <w:szCs w:val="20"/>
                <w:lang w:val="bg-BG" w:bidi="bg-BG"/>
              </w:rPr>
              <w:t>С цел повишаване информираността на населението за предмета и целите на опазване в защитените зони от мрежата Натура 2000 да се поставят информационни табла, относно опазвани местообитания и видове; забрани и ограничения за дейности, които оказват отрицателни въздействия върху тях и предвидени законови санкции за нарушени</w:t>
            </w:r>
            <w:r w:rsidR="00A14088" w:rsidRPr="00610B1B">
              <w:rPr>
                <w:rFonts w:ascii="Times New Roman" w:hAnsi="Times New Roman" w:cs="Times New Roman"/>
                <w:sz w:val="20"/>
                <w:szCs w:val="20"/>
                <w:lang w:val="bg-BG" w:bidi="bg-BG"/>
              </w:rPr>
              <w:t>я.</w:t>
            </w:r>
          </w:p>
          <w:p w14:paraId="1D013A84" w14:textId="77777777" w:rsidR="00A14088" w:rsidRPr="00610B1B" w:rsidRDefault="00A14088" w:rsidP="003E632F">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w:t>
            </w:r>
          </w:p>
          <w:p w14:paraId="76AEAEC0" w14:textId="77777777" w:rsidR="00A14088" w:rsidRPr="00610B1B" w:rsidRDefault="00A14088" w:rsidP="003E632F">
            <w:pPr>
              <w:pBdr>
                <w:top w:val="single" w:sz="6" w:space="1" w:color="auto"/>
                <w:bottom w:val="single" w:sz="6" w:space="1" w:color="auto"/>
              </w:pBdr>
              <w:tabs>
                <w:tab w:val="left" w:pos="593"/>
              </w:tabs>
              <w:jc w:val="both"/>
              <w:rPr>
                <w:rFonts w:ascii="Times New Roman" w:hAnsi="Times New Roman" w:cs="Times New Roman"/>
                <w:sz w:val="20"/>
                <w:szCs w:val="20"/>
                <w:lang w:val="ru-RU" w:bidi="bg-BG"/>
              </w:rPr>
            </w:pPr>
            <w:r w:rsidRPr="00610B1B">
              <w:rPr>
                <w:rFonts w:ascii="Times New Roman" w:hAnsi="Times New Roman" w:cs="Times New Roman"/>
                <w:sz w:val="20"/>
                <w:szCs w:val="20"/>
                <w:lang w:val="bg-BG" w:bidi="bg-BG"/>
              </w:rPr>
              <w:t xml:space="preserve">13.17. </w:t>
            </w:r>
            <w:r w:rsidRPr="00610B1B">
              <w:rPr>
                <w:rFonts w:ascii="Times New Roman" w:hAnsi="Times New Roman" w:cs="Times New Roman"/>
                <w:sz w:val="20"/>
                <w:szCs w:val="20"/>
                <w:lang w:val="ru-RU" w:bidi="bg-BG"/>
              </w:rPr>
              <w:t>Да не се увеличава риболовното усилие и да се прилагат добри практики за предотвратяване изхвърлянето на неоползотворен улов и намаляване на приулова от карагьоз и харип</w:t>
            </w:r>
          </w:p>
          <w:p w14:paraId="6E0D63F4" w14:textId="12C06CF2" w:rsidR="008A20A0" w:rsidRPr="00610B1B" w:rsidRDefault="008A20A0" w:rsidP="003E632F">
            <w:pPr>
              <w:pBdr>
                <w:bottom w:val="single" w:sz="6" w:space="1" w:color="auto"/>
                <w:between w:val="single" w:sz="6" w:space="1" w:color="auto"/>
              </w:pBdr>
              <w:tabs>
                <w:tab w:val="left" w:pos="593"/>
              </w:tabs>
              <w:jc w:val="both"/>
              <w:rPr>
                <w:rFonts w:ascii="Times New Roman" w:hAnsi="Times New Roman" w:cs="Times New Roman"/>
                <w:sz w:val="20"/>
                <w:szCs w:val="20"/>
                <w:lang w:val="ru-RU" w:bidi="bg-BG"/>
              </w:rPr>
            </w:pPr>
          </w:p>
          <w:p w14:paraId="448DE5A6" w14:textId="36EBB241" w:rsidR="005B0197" w:rsidRPr="00610B1B" w:rsidRDefault="008A20A0" w:rsidP="003E632F">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ru-RU" w:bidi="bg-BG"/>
              </w:rPr>
              <w:t>13.18.</w:t>
            </w:r>
            <w:r w:rsidRPr="00610B1B">
              <w:rPr>
                <w:rFonts w:ascii="Times New Roman" w:eastAsia="Times New Roman" w:hAnsi="Times New Roman" w:cs="Times New Roman"/>
                <w:color w:val="000000"/>
                <w:sz w:val="24"/>
                <w:szCs w:val="24"/>
                <w:lang w:val="bg-BG" w:eastAsia="bg-BG" w:bidi="bg-BG"/>
              </w:rPr>
              <w:t xml:space="preserve"> </w:t>
            </w:r>
            <w:r w:rsidRPr="00610B1B">
              <w:rPr>
                <w:rFonts w:ascii="Times New Roman" w:hAnsi="Times New Roman" w:cs="Times New Roman"/>
                <w:sz w:val="20"/>
                <w:szCs w:val="20"/>
                <w:lang w:val="bg-BG" w:bidi="bg-BG"/>
              </w:rPr>
              <w:t>Предложения/дейности/проекти на територията на целия МППРБ, които генерират подводен шум трябва да демонстрират, че могат да избегнат, минимизират, и/или смекчат значително неблагоприятния ефект върху уязвимите видове китоподобни</w:t>
            </w:r>
            <w:r w:rsidR="00C93B15">
              <w:rPr>
                <w:rFonts w:ascii="Times New Roman" w:hAnsi="Times New Roman" w:cs="Times New Roman"/>
                <w:sz w:val="20"/>
                <w:szCs w:val="20"/>
                <w:lang w:val="bg-BG" w:bidi="bg-BG"/>
              </w:rPr>
              <w:t>. Подводният шум може да засегне китоподобните и други силно мобилни видове, като причини хроничен стрес и смърт при по-високо интензивност.</w:t>
            </w:r>
          </w:p>
          <w:p w14:paraId="3C18EEF4" w14:textId="40B311DD" w:rsidR="005B0197" w:rsidRPr="00610B1B" w:rsidRDefault="005B0197" w:rsidP="003E632F">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w:t>
            </w:r>
          </w:p>
          <w:p w14:paraId="30C11517" w14:textId="42F0AEAC" w:rsidR="005B0197" w:rsidRPr="00610B1B" w:rsidRDefault="005B0197" w:rsidP="003E632F">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13.1</w:t>
            </w:r>
            <w:r w:rsidR="00931BE1" w:rsidRPr="00610B1B">
              <w:rPr>
                <w:rFonts w:ascii="Times New Roman" w:hAnsi="Times New Roman" w:cs="Times New Roman"/>
                <w:sz w:val="20"/>
                <w:szCs w:val="20"/>
                <w:lang w:val="bg-BG" w:bidi="bg-BG"/>
              </w:rPr>
              <w:t>9</w:t>
            </w:r>
            <w:r w:rsidRPr="00610B1B">
              <w:rPr>
                <w:rFonts w:ascii="Times New Roman" w:hAnsi="Times New Roman" w:cs="Times New Roman"/>
                <w:sz w:val="20"/>
                <w:szCs w:val="20"/>
                <w:lang w:val="bg-BG" w:bidi="bg-BG"/>
              </w:rPr>
              <w:t>.  Да се развие системата за регулярен метеорологичен мониторинг за акваторията на българския черноморски участък</w:t>
            </w:r>
          </w:p>
          <w:p w14:paraId="284E9C64" w14:textId="2C27E2E2" w:rsidR="005B0197" w:rsidRPr="00610B1B" w:rsidRDefault="005B0197" w:rsidP="003E632F">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w:t>
            </w:r>
          </w:p>
          <w:p w14:paraId="1137C129" w14:textId="64815E9A" w:rsidR="005B0197" w:rsidRPr="00610B1B" w:rsidRDefault="005B0197" w:rsidP="003E632F">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13.</w:t>
            </w:r>
            <w:r w:rsidR="00931BE1" w:rsidRPr="00610B1B">
              <w:rPr>
                <w:rFonts w:ascii="Times New Roman" w:hAnsi="Times New Roman" w:cs="Times New Roman"/>
                <w:sz w:val="20"/>
                <w:szCs w:val="20"/>
                <w:lang w:val="bg-BG" w:bidi="bg-BG"/>
              </w:rPr>
              <w:t>20</w:t>
            </w:r>
            <w:r w:rsidRPr="00610B1B">
              <w:rPr>
                <w:rFonts w:ascii="Times New Roman" w:hAnsi="Times New Roman" w:cs="Times New Roman"/>
                <w:sz w:val="20"/>
                <w:szCs w:val="20"/>
                <w:lang w:val="bg-BG" w:bidi="bg-BG"/>
              </w:rPr>
              <w:t>.</w:t>
            </w:r>
            <w:r w:rsidRPr="00610B1B">
              <w:rPr>
                <w:rFonts w:ascii="Times New Roman" w:eastAsiaTheme="minorHAnsi" w:hAnsi="Times New Roman" w:cs="Times New Roman"/>
                <w:sz w:val="24"/>
                <w:szCs w:val="24"/>
                <w:lang w:val="bg-BG"/>
              </w:rPr>
              <w:t xml:space="preserve"> </w:t>
            </w:r>
            <w:r w:rsidRPr="00610B1B">
              <w:rPr>
                <w:rFonts w:ascii="Times New Roman" w:hAnsi="Times New Roman" w:cs="Times New Roman"/>
                <w:sz w:val="20"/>
                <w:szCs w:val="20"/>
                <w:lang w:val="bg-BG" w:bidi="bg-BG"/>
              </w:rPr>
              <w:t>Да се извършват хидродинамични моделни изследвания при проектиране на дълбоководно заустване</w:t>
            </w:r>
          </w:p>
          <w:p w14:paraId="7E0012E3" w14:textId="66128F26" w:rsidR="005B0197" w:rsidRPr="00610B1B" w:rsidRDefault="005B0197" w:rsidP="003E632F">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w:t>
            </w:r>
          </w:p>
          <w:p w14:paraId="63FB7F25" w14:textId="77777777" w:rsidR="008A20A0" w:rsidRDefault="008A20A0" w:rsidP="003E632F">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p>
          <w:p w14:paraId="75092E8A" w14:textId="765CDF9D" w:rsidR="0053589E" w:rsidRPr="00610B1B" w:rsidRDefault="0053589E" w:rsidP="003E632F">
            <w:pPr>
              <w:pBdr>
                <w:top w:val="single" w:sz="6" w:space="1" w:color="auto"/>
                <w:bottom w:val="single" w:sz="6" w:space="1" w:color="auto"/>
              </w:pBdr>
              <w:tabs>
                <w:tab w:val="left" w:pos="593"/>
              </w:tabs>
              <w:jc w:val="both"/>
              <w:rPr>
                <w:rFonts w:ascii="Times New Roman" w:hAnsi="Times New Roman" w:cs="Times New Roman"/>
                <w:sz w:val="20"/>
                <w:szCs w:val="20"/>
                <w:lang w:val="bg-BG" w:bidi="bg-BG"/>
              </w:rPr>
            </w:pPr>
          </w:p>
        </w:tc>
        <w:tc>
          <w:tcPr>
            <w:tcW w:w="1984" w:type="dxa"/>
          </w:tcPr>
          <w:p w14:paraId="69016024"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 xml:space="preserve">МОСВ, ИАОС, </w:t>
            </w:r>
          </w:p>
          <w:p w14:paraId="3F124B59" w14:textId="77777777" w:rsidR="00B4652F" w:rsidRPr="00610B1B" w:rsidRDefault="00B4652F" w:rsidP="00D32D6A">
            <w:pPr>
              <w:rPr>
                <w:rFonts w:ascii="Times New Roman" w:hAnsi="Times New Roman" w:cs="Times New Roman"/>
                <w:sz w:val="20"/>
                <w:szCs w:val="20"/>
                <w:lang w:val="bg-BG"/>
              </w:rPr>
            </w:pPr>
          </w:p>
          <w:p w14:paraId="546CA5E5" w14:textId="77777777" w:rsidR="00B4652F" w:rsidRPr="00610B1B" w:rsidRDefault="00B4652F" w:rsidP="00D32D6A">
            <w:pPr>
              <w:rPr>
                <w:rFonts w:ascii="Times New Roman" w:hAnsi="Times New Roman" w:cs="Times New Roman"/>
                <w:sz w:val="20"/>
                <w:szCs w:val="20"/>
                <w:lang w:val="bg-BG"/>
              </w:rPr>
            </w:pPr>
          </w:p>
          <w:p w14:paraId="1629EB26" w14:textId="77777777" w:rsidR="00B4652F" w:rsidRPr="00610B1B" w:rsidRDefault="00B4652F" w:rsidP="00D32D6A">
            <w:pPr>
              <w:rPr>
                <w:rFonts w:ascii="Times New Roman" w:hAnsi="Times New Roman" w:cs="Times New Roman"/>
                <w:sz w:val="20"/>
                <w:szCs w:val="20"/>
                <w:lang w:val="bg-BG"/>
              </w:rPr>
            </w:pPr>
          </w:p>
          <w:p w14:paraId="5CEA3045" w14:textId="77777777" w:rsidR="00B4652F" w:rsidRPr="00610B1B" w:rsidRDefault="00B4652F" w:rsidP="00D32D6A">
            <w:pPr>
              <w:rPr>
                <w:rFonts w:ascii="Times New Roman" w:hAnsi="Times New Roman" w:cs="Times New Roman"/>
                <w:sz w:val="20"/>
                <w:szCs w:val="20"/>
                <w:lang w:val="bg-BG"/>
              </w:rPr>
            </w:pPr>
          </w:p>
          <w:p w14:paraId="6BB8C2B1" w14:textId="77777777" w:rsidR="00B4652F" w:rsidRPr="00610B1B" w:rsidRDefault="00B4652F"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МОСВ,РИОСВ, БДЧР,ИО</w:t>
            </w:r>
          </w:p>
          <w:p w14:paraId="0D5FC0FF" w14:textId="77777777" w:rsidR="00683DD9" w:rsidRPr="00610B1B" w:rsidRDefault="00683DD9" w:rsidP="00D32D6A">
            <w:pPr>
              <w:rPr>
                <w:rFonts w:ascii="Times New Roman" w:hAnsi="Times New Roman" w:cs="Times New Roman"/>
                <w:sz w:val="20"/>
                <w:szCs w:val="20"/>
                <w:lang w:val="bg-BG"/>
              </w:rPr>
            </w:pPr>
          </w:p>
          <w:p w14:paraId="7CB586A5" w14:textId="77777777" w:rsidR="00683DD9" w:rsidRPr="00610B1B" w:rsidRDefault="00683DD9" w:rsidP="00D32D6A">
            <w:pPr>
              <w:rPr>
                <w:rFonts w:ascii="Times New Roman" w:hAnsi="Times New Roman" w:cs="Times New Roman"/>
                <w:sz w:val="20"/>
                <w:szCs w:val="20"/>
                <w:lang w:val="bg-BG"/>
              </w:rPr>
            </w:pPr>
          </w:p>
          <w:p w14:paraId="7636AEE2" w14:textId="77777777" w:rsidR="00683DD9" w:rsidRPr="00610B1B" w:rsidRDefault="00683DD9" w:rsidP="00D32D6A">
            <w:pPr>
              <w:rPr>
                <w:rFonts w:ascii="Times New Roman" w:hAnsi="Times New Roman" w:cs="Times New Roman"/>
                <w:sz w:val="20"/>
                <w:szCs w:val="20"/>
                <w:lang w:val="bg-BG"/>
              </w:rPr>
            </w:pPr>
          </w:p>
          <w:p w14:paraId="02EC2752" w14:textId="5CE30F37" w:rsidR="00683DD9" w:rsidRPr="00610B1B" w:rsidRDefault="00683DD9"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МОСВ,РИОСВ, БДЧР</w:t>
            </w:r>
            <w:r w:rsidR="00EE1976" w:rsidRPr="00610B1B">
              <w:rPr>
                <w:rFonts w:ascii="Times New Roman" w:hAnsi="Times New Roman" w:cs="Times New Roman"/>
                <w:sz w:val="20"/>
                <w:szCs w:val="20"/>
                <w:lang w:val="bg-BG"/>
              </w:rPr>
              <w:t>,</w:t>
            </w:r>
            <w:r w:rsidR="00EE1976" w:rsidRPr="00610B1B">
              <w:rPr>
                <w:rFonts w:ascii="Times New Roman" w:eastAsiaTheme="minorHAnsi" w:hAnsi="Times New Roman" w:cs="Times New Roman"/>
                <w:b/>
                <w:sz w:val="24"/>
                <w:szCs w:val="24"/>
                <w:lang w:val="bg-BG"/>
              </w:rPr>
              <w:t xml:space="preserve"> </w:t>
            </w:r>
            <w:r w:rsidR="00EE1976" w:rsidRPr="00610B1B">
              <w:rPr>
                <w:rFonts w:ascii="Times New Roman" w:hAnsi="Times New Roman" w:cs="Times New Roman"/>
                <w:b/>
                <w:sz w:val="20"/>
                <w:szCs w:val="20"/>
                <w:lang w:val="bg-BG"/>
              </w:rPr>
              <w:t>ИБЕИ</w:t>
            </w:r>
            <w:r w:rsidR="00EE1976" w:rsidRPr="00610B1B">
              <w:rPr>
                <w:rFonts w:ascii="Times New Roman" w:hAnsi="Times New Roman" w:cs="Times New Roman"/>
                <w:b/>
                <w:sz w:val="20"/>
                <w:szCs w:val="20"/>
                <w:lang w:val="bg-BG"/>
              </w:rPr>
              <w:tab/>
            </w:r>
          </w:p>
          <w:p w14:paraId="676159B1" w14:textId="77777777" w:rsidR="00410897" w:rsidRPr="00610B1B" w:rsidRDefault="00410897" w:rsidP="00D32D6A">
            <w:pPr>
              <w:rPr>
                <w:rFonts w:ascii="Times New Roman" w:hAnsi="Times New Roman" w:cs="Times New Roman"/>
                <w:sz w:val="20"/>
                <w:szCs w:val="20"/>
                <w:lang w:val="bg-BG"/>
              </w:rPr>
            </w:pPr>
          </w:p>
          <w:p w14:paraId="45F70762" w14:textId="77777777" w:rsidR="00410897" w:rsidRPr="00610B1B" w:rsidRDefault="00410897" w:rsidP="00D32D6A">
            <w:pPr>
              <w:rPr>
                <w:rFonts w:ascii="Times New Roman" w:hAnsi="Times New Roman" w:cs="Times New Roman"/>
                <w:sz w:val="20"/>
                <w:szCs w:val="20"/>
                <w:lang w:val="bg-BG"/>
              </w:rPr>
            </w:pPr>
          </w:p>
          <w:p w14:paraId="11801124" w14:textId="77777777" w:rsidR="00410897" w:rsidRPr="00610B1B" w:rsidRDefault="00410897" w:rsidP="00D32D6A">
            <w:pPr>
              <w:rPr>
                <w:rFonts w:ascii="Times New Roman" w:hAnsi="Times New Roman" w:cs="Times New Roman"/>
                <w:sz w:val="20"/>
                <w:szCs w:val="20"/>
                <w:lang w:val="bg-BG"/>
              </w:rPr>
            </w:pPr>
          </w:p>
          <w:p w14:paraId="1B19D658" w14:textId="77777777" w:rsidR="00410897" w:rsidRPr="00610B1B" w:rsidRDefault="00410897" w:rsidP="00D32D6A">
            <w:pPr>
              <w:rPr>
                <w:rFonts w:ascii="Times New Roman" w:hAnsi="Times New Roman" w:cs="Times New Roman"/>
                <w:sz w:val="20"/>
                <w:szCs w:val="20"/>
                <w:lang w:val="bg-BG"/>
              </w:rPr>
            </w:pPr>
          </w:p>
          <w:p w14:paraId="363F84FC" w14:textId="04EBA2FB" w:rsidR="00410897" w:rsidRPr="006C33E4" w:rsidRDefault="0041089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МОСВ,РИОСВ, БДЧР,ИО</w:t>
            </w:r>
            <w:r w:rsidR="006C33E4" w:rsidRPr="00002A51">
              <w:rPr>
                <w:rFonts w:ascii="Times New Roman" w:hAnsi="Times New Roman" w:cs="Times New Roman"/>
                <w:sz w:val="20"/>
                <w:szCs w:val="20"/>
                <w:lang w:val="bg-BG"/>
              </w:rPr>
              <w:t xml:space="preserve">  </w:t>
            </w:r>
            <w:r w:rsidR="006C33E4">
              <w:rPr>
                <w:rFonts w:ascii="Times New Roman" w:hAnsi="Times New Roman" w:cs="Times New Roman"/>
                <w:sz w:val="20"/>
                <w:szCs w:val="20"/>
                <w:lang w:val="bg-BG"/>
              </w:rPr>
              <w:t>и екокологични сдружения и/или НПО с опит в орнитологията</w:t>
            </w:r>
          </w:p>
          <w:p w14:paraId="5A5C23AD" w14:textId="1BD179DE" w:rsidR="00EE1976" w:rsidRPr="00610B1B" w:rsidRDefault="00EE1976" w:rsidP="00D32D6A">
            <w:pPr>
              <w:rPr>
                <w:rFonts w:ascii="Times New Roman" w:hAnsi="Times New Roman" w:cs="Times New Roman"/>
                <w:sz w:val="20"/>
                <w:szCs w:val="20"/>
                <w:lang w:val="bg-BG"/>
              </w:rPr>
            </w:pPr>
          </w:p>
          <w:p w14:paraId="4E3D0134" w14:textId="156413A4" w:rsidR="00EE1976" w:rsidRPr="00610B1B" w:rsidRDefault="00EE1976" w:rsidP="00D32D6A">
            <w:pPr>
              <w:rPr>
                <w:rFonts w:ascii="Times New Roman" w:hAnsi="Times New Roman" w:cs="Times New Roman"/>
                <w:sz w:val="20"/>
                <w:szCs w:val="20"/>
                <w:lang w:val="bg-BG"/>
              </w:rPr>
            </w:pPr>
          </w:p>
          <w:p w14:paraId="3B5235B2" w14:textId="5BE2D391" w:rsidR="00EE1976" w:rsidRPr="00610B1B" w:rsidRDefault="00EE1976" w:rsidP="00D32D6A">
            <w:pPr>
              <w:rPr>
                <w:rFonts w:ascii="Times New Roman" w:hAnsi="Times New Roman" w:cs="Times New Roman"/>
                <w:sz w:val="20"/>
                <w:szCs w:val="20"/>
                <w:lang w:val="bg-BG"/>
              </w:rPr>
            </w:pPr>
          </w:p>
          <w:p w14:paraId="27DB3CB7" w14:textId="20B5068F" w:rsidR="00EE1976" w:rsidRPr="00610B1B" w:rsidRDefault="00EE1976" w:rsidP="00D32D6A">
            <w:pPr>
              <w:rPr>
                <w:rFonts w:ascii="Times New Roman" w:hAnsi="Times New Roman" w:cs="Times New Roman"/>
                <w:sz w:val="20"/>
                <w:szCs w:val="20"/>
                <w:lang w:val="bg-BG"/>
              </w:rPr>
            </w:pPr>
          </w:p>
          <w:p w14:paraId="5BC959C4" w14:textId="5685886C" w:rsidR="00EE1976" w:rsidRPr="00610B1B" w:rsidRDefault="00EE1976" w:rsidP="00D32D6A">
            <w:pPr>
              <w:rPr>
                <w:rFonts w:ascii="Times New Roman" w:hAnsi="Times New Roman" w:cs="Times New Roman"/>
                <w:sz w:val="20"/>
                <w:szCs w:val="20"/>
                <w:lang w:val="bg-BG"/>
              </w:rPr>
            </w:pPr>
          </w:p>
          <w:p w14:paraId="5BCF775E" w14:textId="41232CB6" w:rsidR="00EE1976" w:rsidRPr="00610B1B" w:rsidRDefault="00EE1976" w:rsidP="00D32D6A">
            <w:pPr>
              <w:rPr>
                <w:rFonts w:ascii="Times New Roman" w:hAnsi="Times New Roman" w:cs="Times New Roman"/>
                <w:sz w:val="20"/>
                <w:szCs w:val="20"/>
                <w:lang w:val="bg-BG"/>
              </w:rPr>
            </w:pPr>
          </w:p>
          <w:p w14:paraId="7D771A9B" w14:textId="5D449A01" w:rsidR="00EE1976" w:rsidRPr="00610B1B" w:rsidRDefault="00EE1976" w:rsidP="00D32D6A">
            <w:pPr>
              <w:rPr>
                <w:rFonts w:ascii="Times New Roman" w:hAnsi="Times New Roman" w:cs="Times New Roman"/>
                <w:sz w:val="20"/>
                <w:szCs w:val="20"/>
                <w:lang w:val="bg-BG"/>
              </w:rPr>
            </w:pPr>
          </w:p>
          <w:p w14:paraId="2BD4EF35" w14:textId="22E98BBD" w:rsidR="00EE1976" w:rsidRPr="00610B1B" w:rsidRDefault="00EE1976" w:rsidP="00D32D6A">
            <w:pPr>
              <w:rPr>
                <w:rFonts w:ascii="Times New Roman" w:hAnsi="Times New Roman" w:cs="Times New Roman"/>
                <w:sz w:val="20"/>
                <w:szCs w:val="20"/>
                <w:lang w:val="bg-BG"/>
              </w:rPr>
            </w:pPr>
          </w:p>
          <w:p w14:paraId="74A29013" w14:textId="1B7E0E82" w:rsidR="00EE1976" w:rsidRPr="00610B1B" w:rsidRDefault="00EE1976" w:rsidP="00D32D6A">
            <w:pPr>
              <w:rPr>
                <w:rFonts w:ascii="Times New Roman" w:hAnsi="Times New Roman" w:cs="Times New Roman"/>
                <w:sz w:val="20"/>
                <w:szCs w:val="20"/>
                <w:lang w:val="bg-BG"/>
              </w:rPr>
            </w:pPr>
            <w:r w:rsidRPr="00610B1B">
              <w:rPr>
                <w:rFonts w:ascii="Times New Roman" w:hAnsi="Times New Roman" w:cs="Times New Roman"/>
                <w:b/>
                <w:sz w:val="20"/>
                <w:szCs w:val="20"/>
                <w:lang w:val="bg-BG"/>
              </w:rPr>
              <w:t>ИБЕИ</w:t>
            </w:r>
            <w:r w:rsidRPr="00610B1B">
              <w:rPr>
                <w:rFonts w:ascii="Times New Roman" w:hAnsi="Times New Roman" w:cs="Times New Roman"/>
                <w:b/>
                <w:sz w:val="20"/>
                <w:szCs w:val="20"/>
                <w:lang w:val="bg-BG"/>
              </w:rPr>
              <w:tab/>
            </w:r>
          </w:p>
          <w:p w14:paraId="77675CE9" w14:textId="77777777" w:rsidR="00E619EF" w:rsidRPr="00610B1B" w:rsidRDefault="00E619EF" w:rsidP="00D32D6A">
            <w:pPr>
              <w:rPr>
                <w:rFonts w:ascii="Times New Roman" w:hAnsi="Times New Roman" w:cs="Times New Roman"/>
                <w:sz w:val="20"/>
                <w:szCs w:val="20"/>
                <w:lang w:val="bg-BG"/>
              </w:rPr>
            </w:pPr>
          </w:p>
          <w:p w14:paraId="4A9B5DA2" w14:textId="77777777" w:rsidR="00E619EF" w:rsidRPr="00610B1B" w:rsidRDefault="00E619EF" w:rsidP="00D32D6A">
            <w:pPr>
              <w:rPr>
                <w:rFonts w:ascii="Times New Roman" w:hAnsi="Times New Roman" w:cs="Times New Roman"/>
                <w:sz w:val="20"/>
                <w:szCs w:val="20"/>
                <w:lang w:val="bg-BG"/>
              </w:rPr>
            </w:pPr>
          </w:p>
          <w:p w14:paraId="233FF18A" w14:textId="77777777" w:rsidR="00E619EF" w:rsidRPr="00610B1B" w:rsidRDefault="00E619EF" w:rsidP="00D32D6A">
            <w:pPr>
              <w:rPr>
                <w:rFonts w:ascii="Times New Roman" w:hAnsi="Times New Roman" w:cs="Times New Roman"/>
                <w:sz w:val="20"/>
                <w:szCs w:val="20"/>
                <w:lang w:val="bg-BG"/>
              </w:rPr>
            </w:pPr>
          </w:p>
          <w:p w14:paraId="1C3043D2" w14:textId="77777777" w:rsidR="00E619EF" w:rsidRPr="00610B1B" w:rsidRDefault="00E619EF" w:rsidP="00D32D6A">
            <w:pPr>
              <w:rPr>
                <w:rFonts w:ascii="Times New Roman" w:hAnsi="Times New Roman" w:cs="Times New Roman"/>
                <w:sz w:val="20"/>
                <w:szCs w:val="20"/>
                <w:lang w:val="bg-BG"/>
              </w:rPr>
            </w:pPr>
          </w:p>
          <w:p w14:paraId="4A43BBBE" w14:textId="77777777" w:rsidR="00E619EF" w:rsidRPr="00610B1B" w:rsidRDefault="00E619EF" w:rsidP="00D32D6A">
            <w:pPr>
              <w:rPr>
                <w:rFonts w:ascii="Times New Roman" w:hAnsi="Times New Roman" w:cs="Times New Roman"/>
                <w:sz w:val="20"/>
                <w:szCs w:val="20"/>
                <w:lang w:val="bg-BG"/>
              </w:rPr>
            </w:pPr>
          </w:p>
          <w:p w14:paraId="7303A827" w14:textId="77777777" w:rsidR="00E619EF" w:rsidRPr="00610B1B" w:rsidRDefault="00E619EF" w:rsidP="00D32D6A">
            <w:pPr>
              <w:rPr>
                <w:rFonts w:ascii="Times New Roman" w:hAnsi="Times New Roman" w:cs="Times New Roman"/>
                <w:sz w:val="20"/>
                <w:szCs w:val="20"/>
                <w:lang w:val="bg-BG"/>
              </w:rPr>
            </w:pPr>
          </w:p>
          <w:p w14:paraId="13F08506" w14:textId="52F3424D" w:rsidR="00E619EF" w:rsidRPr="00610B1B" w:rsidRDefault="00EE1976"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МОСВ,</w:t>
            </w:r>
            <w:r w:rsidRPr="00610B1B">
              <w:rPr>
                <w:rFonts w:ascii="Times New Roman" w:eastAsiaTheme="minorHAnsi" w:hAnsi="Times New Roman" w:cs="Times New Roman"/>
                <w:b/>
                <w:sz w:val="24"/>
                <w:szCs w:val="24"/>
                <w:lang w:val="bg-BG"/>
              </w:rPr>
              <w:t xml:space="preserve"> </w:t>
            </w:r>
            <w:r w:rsidRPr="00610B1B">
              <w:rPr>
                <w:rFonts w:ascii="Times New Roman" w:hAnsi="Times New Roman" w:cs="Times New Roman"/>
                <w:b/>
                <w:sz w:val="20"/>
                <w:szCs w:val="20"/>
                <w:lang w:val="bg-BG"/>
              </w:rPr>
              <w:t>ИБЕИ</w:t>
            </w:r>
            <w:r w:rsidRPr="00610B1B">
              <w:rPr>
                <w:rFonts w:ascii="Times New Roman" w:hAnsi="Times New Roman" w:cs="Times New Roman"/>
                <w:b/>
                <w:sz w:val="20"/>
                <w:szCs w:val="20"/>
                <w:lang w:val="bg-BG"/>
              </w:rPr>
              <w:tab/>
            </w:r>
            <w:r w:rsidRPr="00610B1B">
              <w:rPr>
                <w:rFonts w:ascii="Times New Roman" w:hAnsi="Times New Roman" w:cs="Times New Roman"/>
                <w:sz w:val="20"/>
                <w:szCs w:val="20"/>
                <w:lang w:val="bg-BG"/>
              </w:rPr>
              <w:t xml:space="preserve"> </w:t>
            </w:r>
          </w:p>
          <w:p w14:paraId="63ED6226" w14:textId="77777777" w:rsidR="008849C8" w:rsidRPr="00610B1B" w:rsidRDefault="008849C8" w:rsidP="00D32D6A">
            <w:pPr>
              <w:rPr>
                <w:rFonts w:ascii="Times New Roman" w:hAnsi="Times New Roman" w:cs="Times New Roman"/>
                <w:sz w:val="20"/>
                <w:szCs w:val="20"/>
                <w:lang w:val="bg-BG"/>
              </w:rPr>
            </w:pPr>
          </w:p>
          <w:p w14:paraId="09D4F35D" w14:textId="77777777" w:rsidR="008849C8" w:rsidRPr="00610B1B" w:rsidRDefault="008849C8" w:rsidP="00D32D6A">
            <w:pPr>
              <w:rPr>
                <w:rFonts w:ascii="Times New Roman" w:hAnsi="Times New Roman" w:cs="Times New Roman"/>
                <w:sz w:val="20"/>
                <w:szCs w:val="20"/>
                <w:lang w:val="bg-BG"/>
              </w:rPr>
            </w:pPr>
          </w:p>
          <w:p w14:paraId="22F4D082" w14:textId="77777777" w:rsidR="008849C8" w:rsidRPr="00610B1B" w:rsidRDefault="008849C8" w:rsidP="00D32D6A">
            <w:pPr>
              <w:rPr>
                <w:rFonts w:ascii="Times New Roman" w:hAnsi="Times New Roman" w:cs="Times New Roman"/>
                <w:sz w:val="20"/>
                <w:szCs w:val="20"/>
                <w:lang w:val="bg-BG"/>
              </w:rPr>
            </w:pPr>
          </w:p>
          <w:p w14:paraId="1E7659EA" w14:textId="77777777" w:rsidR="008849C8" w:rsidRPr="00610B1B" w:rsidRDefault="008849C8" w:rsidP="00D32D6A">
            <w:pPr>
              <w:rPr>
                <w:rFonts w:ascii="Times New Roman" w:hAnsi="Times New Roman" w:cs="Times New Roman"/>
                <w:sz w:val="20"/>
                <w:szCs w:val="20"/>
                <w:lang w:val="bg-BG"/>
              </w:rPr>
            </w:pPr>
          </w:p>
          <w:p w14:paraId="4890A969" w14:textId="77777777" w:rsidR="008849C8" w:rsidRPr="00610B1B" w:rsidRDefault="008849C8" w:rsidP="00D32D6A">
            <w:pPr>
              <w:rPr>
                <w:rFonts w:ascii="Times New Roman" w:hAnsi="Times New Roman" w:cs="Times New Roman"/>
                <w:sz w:val="20"/>
                <w:szCs w:val="20"/>
                <w:lang w:val="bg-BG"/>
              </w:rPr>
            </w:pPr>
          </w:p>
          <w:p w14:paraId="113479E7" w14:textId="77777777" w:rsidR="008849C8" w:rsidRPr="00610B1B" w:rsidRDefault="008849C8" w:rsidP="00D32D6A">
            <w:pPr>
              <w:rPr>
                <w:rFonts w:ascii="Times New Roman" w:hAnsi="Times New Roman" w:cs="Times New Roman"/>
                <w:sz w:val="20"/>
                <w:szCs w:val="20"/>
                <w:lang w:val="bg-BG"/>
              </w:rPr>
            </w:pPr>
          </w:p>
          <w:p w14:paraId="076D2748" w14:textId="77777777" w:rsidR="008849C8" w:rsidRPr="00610B1B" w:rsidRDefault="008849C8" w:rsidP="00D32D6A">
            <w:pPr>
              <w:rPr>
                <w:rFonts w:ascii="Times New Roman" w:hAnsi="Times New Roman" w:cs="Times New Roman"/>
                <w:sz w:val="20"/>
                <w:szCs w:val="20"/>
                <w:lang w:val="bg-BG"/>
              </w:rPr>
            </w:pPr>
          </w:p>
          <w:p w14:paraId="4031232B" w14:textId="77777777" w:rsidR="008849C8" w:rsidRPr="00610B1B" w:rsidRDefault="008849C8" w:rsidP="00D32D6A">
            <w:pPr>
              <w:rPr>
                <w:rFonts w:ascii="Times New Roman" w:hAnsi="Times New Roman" w:cs="Times New Roman"/>
                <w:sz w:val="20"/>
                <w:szCs w:val="20"/>
                <w:lang w:val="bg-BG"/>
              </w:rPr>
            </w:pPr>
          </w:p>
          <w:p w14:paraId="2F673BA1" w14:textId="77777777" w:rsidR="008920B2" w:rsidRPr="00610B1B" w:rsidRDefault="008920B2" w:rsidP="00D32D6A">
            <w:pPr>
              <w:rPr>
                <w:rFonts w:ascii="Times New Roman" w:hAnsi="Times New Roman" w:cs="Times New Roman"/>
                <w:sz w:val="20"/>
                <w:szCs w:val="20"/>
                <w:lang w:val="bg-BG"/>
              </w:rPr>
            </w:pPr>
          </w:p>
          <w:p w14:paraId="1DC737D8" w14:textId="3E22FFE3" w:rsidR="0048259D" w:rsidRPr="00610B1B" w:rsidRDefault="00E619EF"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МОСВ, МС</w:t>
            </w:r>
            <w:r w:rsidR="0048259D" w:rsidRPr="00610B1B">
              <w:rPr>
                <w:rFonts w:ascii="Times New Roman" w:hAnsi="Times New Roman" w:cs="Times New Roman"/>
                <w:sz w:val="20"/>
                <w:szCs w:val="20"/>
                <w:lang w:val="bg-BG"/>
              </w:rPr>
              <w:t>РИОСВ</w:t>
            </w:r>
          </w:p>
          <w:p w14:paraId="2AB39F39" w14:textId="77777777" w:rsidR="00A14088" w:rsidRPr="00610B1B" w:rsidRDefault="00A14088" w:rsidP="00D32D6A">
            <w:pPr>
              <w:rPr>
                <w:rFonts w:ascii="Times New Roman" w:hAnsi="Times New Roman" w:cs="Times New Roman"/>
                <w:sz w:val="20"/>
                <w:szCs w:val="20"/>
                <w:lang w:val="bg-BG"/>
              </w:rPr>
            </w:pPr>
          </w:p>
          <w:p w14:paraId="61A3091E" w14:textId="77777777" w:rsidR="00A14088" w:rsidRPr="00610B1B" w:rsidRDefault="00A14088" w:rsidP="00D32D6A">
            <w:pPr>
              <w:rPr>
                <w:rFonts w:ascii="Times New Roman" w:hAnsi="Times New Roman" w:cs="Times New Roman"/>
                <w:sz w:val="20"/>
                <w:szCs w:val="20"/>
                <w:lang w:val="bg-BG"/>
              </w:rPr>
            </w:pPr>
          </w:p>
          <w:p w14:paraId="449CC5C2" w14:textId="77777777" w:rsidR="00A14088" w:rsidRPr="00610B1B" w:rsidRDefault="00A14088" w:rsidP="00D32D6A">
            <w:pPr>
              <w:rPr>
                <w:rFonts w:ascii="Times New Roman" w:hAnsi="Times New Roman" w:cs="Times New Roman"/>
                <w:sz w:val="20"/>
                <w:szCs w:val="20"/>
                <w:lang w:val="bg-BG"/>
              </w:rPr>
            </w:pPr>
          </w:p>
          <w:p w14:paraId="14604EA7" w14:textId="20A41678" w:rsidR="00643762" w:rsidRPr="00610B1B" w:rsidRDefault="00643762" w:rsidP="00643762">
            <w:pPr>
              <w:rPr>
                <w:rFonts w:ascii="Times New Roman" w:hAnsi="Times New Roman" w:cs="Times New Roman"/>
                <w:sz w:val="20"/>
                <w:szCs w:val="20"/>
                <w:lang w:val="bg-BG"/>
              </w:rPr>
            </w:pPr>
          </w:p>
          <w:p w14:paraId="4DB60E6B" w14:textId="77777777" w:rsidR="00643762" w:rsidRPr="00610B1B" w:rsidRDefault="00643762" w:rsidP="00643762">
            <w:pPr>
              <w:rPr>
                <w:rFonts w:ascii="Times New Roman" w:hAnsi="Times New Roman" w:cs="Times New Roman"/>
                <w:sz w:val="20"/>
                <w:szCs w:val="20"/>
                <w:lang w:val="bg-BG"/>
              </w:rPr>
            </w:pPr>
          </w:p>
          <w:p w14:paraId="4923066B" w14:textId="77777777" w:rsidR="00643762" w:rsidRPr="00610B1B" w:rsidRDefault="00643762" w:rsidP="008A20A0">
            <w:pPr>
              <w:rPr>
                <w:rFonts w:ascii="Times New Roman" w:hAnsi="Times New Roman" w:cs="Times New Roman"/>
                <w:sz w:val="20"/>
                <w:szCs w:val="20"/>
                <w:lang w:val="bg-BG"/>
              </w:rPr>
            </w:pPr>
          </w:p>
          <w:p w14:paraId="5FBA1069" w14:textId="77777777" w:rsidR="00643762" w:rsidRPr="00610B1B" w:rsidRDefault="00643762" w:rsidP="00643762">
            <w:pPr>
              <w:rPr>
                <w:rFonts w:ascii="Times New Roman" w:hAnsi="Times New Roman" w:cs="Times New Roman"/>
                <w:sz w:val="20"/>
                <w:szCs w:val="20"/>
                <w:lang w:val="bg-BG"/>
              </w:rPr>
            </w:pPr>
            <w:r w:rsidRPr="00610B1B">
              <w:rPr>
                <w:rFonts w:ascii="Times New Roman" w:hAnsi="Times New Roman" w:cs="Times New Roman"/>
                <w:sz w:val="20"/>
                <w:szCs w:val="20"/>
                <w:lang w:val="bg-BG"/>
              </w:rPr>
              <w:t>МОСВ,РИОСВ, БДЧР,ИО</w:t>
            </w:r>
          </w:p>
          <w:p w14:paraId="00146850" w14:textId="77777777" w:rsidR="00643762" w:rsidRPr="00610B1B" w:rsidRDefault="00643762" w:rsidP="00643762">
            <w:pPr>
              <w:rPr>
                <w:rFonts w:ascii="Times New Roman" w:hAnsi="Times New Roman" w:cs="Times New Roman"/>
                <w:sz w:val="20"/>
                <w:szCs w:val="20"/>
                <w:lang w:val="bg-BG"/>
              </w:rPr>
            </w:pPr>
          </w:p>
          <w:p w14:paraId="6140EFF5" w14:textId="77777777" w:rsidR="00643762" w:rsidRDefault="00643762" w:rsidP="008A20A0">
            <w:pPr>
              <w:rPr>
                <w:rFonts w:ascii="Times New Roman" w:hAnsi="Times New Roman" w:cs="Times New Roman"/>
                <w:sz w:val="20"/>
                <w:szCs w:val="20"/>
                <w:lang w:val="bg-BG"/>
              </w:rPr>
            </w:pPr>
          </w:p>
          <w:p w14:paraId="6EAA98CE" w14:textId="77777777" w:rsidR="0006569B" w:rsidRDefault="0006569B" w:rsidP="008A20A0">
            <w:pPr>
              <w:rPr>
                <w:rFonts w:ascii="Times New Roman" w:hAnsi="Times New Roman" w:cs="Times New Roman"/>
                <w:sz w:val="20"/>
                <w:szCs w:val="20"/>
                <w:lang w:val="bg-BG"/>
              </w:rPr>
            </w:pPr>
          </w:p>
          <w:p w14:paraId="16CC184C" w14:textId="77777777" w:rsidR="0006569B" w:rsidRDefault="0006569B" w:rsidP="008A20A0">
            <w:pPr>
              <w:rPr>
                <w:rFonts w:ascii="Times New Roman" w:hAnsi="Times New Roman" w:cs="Times New Roman"/>
                <w:sz w:val="20"/>
                <w:szCs w:val="20"/>
                <w:lang w:val="bg-BG"/>
              </w:rPr>
            </w:pPr>
          </w:p>
          <w:p w14:paraId="320C2EC0" w14:textId="3183C17F" w:rsidR="0006569B" w:rsidRDefault="009A6CF6" w:rsidP="008A20A0">
            <w:pPr>
              <w:rPr>
                <w:rFonts w:ascii="Times New Roman" w:hAnsi="Times New Roman" w:cs="Times New Roman"/>
                <w:sz w:val="20"/>
                <w:szCs w:val="20"/>
                <w:lang w:val="bg-BG"/>
              </w:rPr>
            </w:pPr>
            <w:r>
              <w:rPr>
                <w:rFonts w:ascii="Times New Roman" w:hAnsi="Times New Roman" w:cs="Times New Roman"/>
                <w:sz w:val="20"/>
                <w:szCs w:val="20"/>
                <w:lang w:val="bg-BG"/>
              </w:rPr>
              <w:t>РИОСВ</w:t>
            </w:r>
          </w:p>
          <w:p w14:paraId="0F8458B5" w14:textId="77777777" w:rsidR="0006569B" w:rsidRDefault="0006569B" w:rsidP="008A20A0">
            <w:pPr>
              <w:rPr>
                <w:rFonts w:ascii="Times New Roman" w:hAnsi="Times New Roman" w:cs="Times New Roman"/>
                <w:sz w:val="20"/>
                <w:szCs w:val="20"/>
                <w:lang w:val="bg-BG"/>
              </w:rPr>
            </w:pPr>
          </w:p>
          <w:p w14:paraId="1FF51501" w14:textId="77777777" w:rsidR="0006569B" w:rsidRDefault="0006569B" w:rsidP="008A20A0">
            <w:pPr>
              <w:rPr>
                <w:rFonts w:ascii="Times New Roman" w:hAnsi="Times New Roman" w:cs="Times New Roman"/>
                <w:sz w:val="20"/>
                <w:szCs w:val="20"/>
                <w:lang w:val="bg-BG"/>
              </w:rPr>
            </w:pPr>
          </w:p>
          <w:p w14:paraId="6DD79184" w14:textId="77777777" w:rsidR="0006569B" w:rsidRDefault="0006569B" w:rsidP="008A20A0">
            <w:pPr>
              <w:rPr>
                <w:rFonts w:ascii="Times New Roman" w:hAnsi="Times New Roman" w:cs="Times New Roman"/>
                <w:sz w:val="20"/>
                <w:szCs w:val="20"/>
                <w:lang w:val="bg-BG"/>
              </w:rPr>
            </w:pPr>
          </w:p>
          <w:p w14:paraId="3F03D2F7" w14:textId="77777777" w:rsidR="0006569B" w:rsidRDefault="0006569B" w:rsidP="008A20A0">
            <w:pPr>
              <w:rPr>
                <w:rFonts w:ascii="Times New Roman" w:hAnsi="Times New Roman" w:cs="Times New Roman"/>
                <w:sz w:val="20"/>
                <w:szCs w:val="20"/>
                <w:lang w:val="bg-BG"/>
              </w:rPr>
            </w:pPr>
          </w:p>
          <w:p w14:paraId="00A286E8" w14:textId="77777777" w:rsidR="00BC2C93" w:rsidRDefault="00BC2C93" w:rsidP="008A20A0">
            <w:pPr>
              <w:rPr>
                <w:rFonts w:ascii="Times New Roman" w:hAnsi="Times New Roman" w:cs="Times New Roman"/>
                <w:sz w:val="20"/>
                <w:szCs w:val="20"/>
                <w:lang w:val="bg-BG"/>
              </w:rPr>
            </w:pPr>
          </w:p>
          <w:p w14:paraId="50A40E8B" w14:textId="2E39F616" w:rsidR="00BC2C93" w:rsidRDefault="00BC2C93" w:rsidP="008A20A0">
            <w:pPr>
              <w:rPr>
                <w:rFonts w:ascii="Times New Roman" w:hAnsi="Times New Roman" w:cs="Times New Roman"/>
                <w:sz w:val="20"/>
                <w:szCs w:val="20"/>
                <w:lang w:val="bg-BG"/>
              </w:rPr>
            </w:pPr>
            <w:r>
              <w:rPr>
                <w:rFonts w:ascii="Times New Roman" w:hAnsi="Times New Roman" w:cs="Times New Roman"/>
                <w:sz w:val="20"/>
                <w:szCs w:val="20"/>
                <w:lang w:val="bg-BG"/>
              </w:rPr>
              <w:t>ИАРА</w:t>
            </w:r>
          </w:p>
          <w:p w14:paraId="36D711DF" w14:textId="77777777" w:rsidR="00BC2C93" w:rsidRDefault="00BC2C93" w:rsidP="008A20A0">
            <w:pPr>
              <w:rPr>
                <w:rFonts w:ascii="Times New Roman" w:hAnsi="Times New Roman" w:cs="Times New Roman"/>
                <w:sz w:val="20"/>
                <w:szCs w:val="20"/>
                <w:lang w:val="bg-BG"/>
              </w:rPr>
            </w:pPr>
          </w:p>
          <w:p w14:paraId="50A5037E" w14:textId="77777777" w:rsidR="00BC2C93" w:rsidRDefault="00BC2C93" w:rsidP="008A20A0">
            <w:pPr>
              <w:rPr>
                <w:rFonts w:ascii="Times New Roman" w:hAnsi="Times New Roman" w:cs="Times New Roman"/>
                <w:sz w:val="20"/>
                <w:szCs w:val="20"/>
                <w:lang w:val="bg-BG"/>
              </w:rPr>
            </w:pPr>
          </w:p>
          <w:p w14:paraId="55D4C3D7" w14:textId="77777777" w:rsidR="00BC2C93" w:rsidRDefault="00BC2C93" w:rsidP="008A20A0">
            <w:pPr>
              <w:rPr>
                <w:rFonts w:ascii="Times New Roman" w:hAnsi="Times New Roman" w:cs="Times New Roman"/>
                <w:sz w:val="20"/>
                <w:szCs w:val="20"/>
                <w:lang w:val="bg-BG"/>
              </w:rPr>
            </w:pPr>
          </w:p>
          <w:p w14:paraId="779C6A17" w14:textId="77777777" w:rsidR="00BC2C93" w:rsidRDefault="00BC2C93" w:rsidP="008A20A0">
            <w:pPr>
              <w:rPr>
                <w:rFonts w:ascii="Times New Roman" w:hAnsi="Times New Roman" w:cs="Times New Roman"/>
                <w:sz w:val="20"/>
                <w:szCs w:val="20"/>
                <w:lang w:val="bg-BG"/>
              </w:rPr>
            </w:pPr>
          </w:p>
          <w:p w14:paraId="5C8AB856" w14:textId="77777777" w:rsidR="00BC2C93" w:rsidRDefault="00BC2C93" w:rsidP="008A20A0">
            <w:pPr>
              <w:rPr>
                <w:rFonts w:ascii="Times New Roman" w:hAnsi="Times New Roman" w:cs="Times New Roman"/>
                <w:sz w:val="20"/>
                <w:szCs w:val="20"/>
                <w:lang w:val="bg-BG"/>
              </w:rPr>
            </w:pPr>
          </w:p>
          <w:p w14:paraId="707EA358" w14:textId="30F906E8" w:rsidR="0006569B" w:rsidRDefault="0006569B" w:rsidP="008A20A0">
            <w:pPr>
              <w:rPr>
                <w:rFonts w:ascii="Times New Roman" w:hAnsi="Times New Roman" w:cs="Times New Roman"/>
                <w:sz w:val="20"/>
                <w:szCs w:val="20"/>
                <w:lang w:val="bg-BG"/>
              </w:rPr>
            </w:pPr>
            <w:r>
              <w:rPr>
                <w:rFonts w:ascii="Times New Roman" w:hAnsi="Times New Roman" w:cs="Times New Roman"/>
                <w:sz w:val="20"/>
                <w:szCs w:val="20"/>
                <w:lang w:val="bg-BG"/>
              </w:rPr>
              <w:t>ИАМА, ДППИ,</w:t>
            </w:r>
          </w:p>
          <w:p w14:paraId="2CD8A2B5" w14:textId="77777777" w:rsidR="0006569B" w:rsidRDefault="0006569B" w:rsidP="008A20A0">
            <w:pPr>
              <w:rPr>
                <w:rFonts w:ascii="Times New Roman" w:hAnsi="Times New Roman" w:cs="Times New Roman"/>
                <w:sz w:val="20"/>
                <w:szCs w:val="20"/>
                <w:lang w:val="bg-BG"/>
              </w:rPr>
            </w:pPr>
            <w:r>
              <w:rPr>
                <w:rFonts w:ascii="Times New Roman" w:hAnsi="Times New Roman" w:cs="Times New Roman"/>
                <w:sz w:val="20"/>
                <w:szCs w:val="20"/>
                <w:lang w:val="bg-BG"/>
              </w:rPr>
              <w:t>терит. поделения „Пристанище Бургас“и „Пристанище „Варна"</w:t>
            </w:r>
          </w:p>
          <w:p w14:paraId="0E9244B9" w14:textId="77777777" w:rsidR="00455E78" w:rsidRDefault="00455E78" w:rsidP="008A20A0">
            <w:pPr>
              <w:rPr>
                <w:rFonts w:ascii="Times New Roman" w:hAnsi="Times New Roman" w:cs="Times New Roman"/>
                <w:sz w:val="20"/>
                <w:szCs w:val="20"/>
                <w:lang w:val="bg-BG"/>
              </w:rPr>
            </w:pPr>
          </w:p>
          <w:p w14:paraId="60F696AA" w14:textId="77777777" w:rsidR="009A6CF6" w:rsidRDefault="009A6CF6" w:rsidP="008A20A0">
            <w:pPr>
              <w:rPr>
                <w:rFonts w:ascii="Times New Roman" w:hAnsi="Times New Roman" w:cs="Times New Roman"/>
                <w:sz w:val="20"/>
                <w:szCs w:val="20"/>
                <w:lang w:val="bg-BG"/>
              </w:rPr>
            </w:pPr>
          </w:p>
          <w:p w14:paraId="10F2EDC0" w14:textId="77777777" w:rsidR="00455E78" w:rsidRDefault="00455E78" w:rsidP="008A20A0">
            <w:pPr>
              <w:rPr>
                <w:rFonts w:ascii="Times New Roman" w:hAnsi="Times New Roman" w:cs="Times New Roman"/>
                <w:sz w:val="20"/>
                <w:szCs w:val="20"/>
                <w:lang w:val="bg-BG"/>
              </w:rPr>
            </w:pPr>
            <w:r>
              <w:rPr>
                <w:rFonts w:ascii="Times New Roman" w:hAnsi="Times New Roman" w:cs="Times New Roman"/>
                <w:sz w:val="20"/>
                <w:szCs w:val="20"/>
                <w:lang w:val="bg-BG"/>
              </w:rPr>
              <w:t>НИМХ</w:t>
            </w:r>
          </w:p>
          <w:p w14:paraId="44D76488" w14:textId="77777777" w:rsidR="007E336F" w:rsidRDefault="007E336F" w:rsidP="008A20A0">
            <w:pPr>
              <w:rPr>
                <w:rFonts w:ascii="Times New Roman" w:hAnsi="Times New Roman" w:cs="Times New Roman"/>
                <w:sz w:val="20"/>
                <w:szCs w:val="20"/>
                <w:lang w:val="bg-BG"/>
              </w:rPr>
            </w:pPr>
          </w:p>
          <w:p w14:paraId="44B3D959" w14:textId="77777777" w:rsidR="007E336F" w:rsidRDefault="007E336F" w:rsidP="008A20A0">
            <w:pPr>
              <w:rPr>
                <w:rFonts w:ascii="Times New Roman" w:hAnsi="Times New Roman" w:cs="Times New Roman"/>
                <w:sz w:val="20"/>
                <w:szCs w:val="20"/>
                <w:lang w:val="bg-BG"/>
              </w:rPr>
            </w:pPr>
          </w:p>
          <w:p w14:paraId="704E2F7B" w14:textId="77777777" w:rsidR="007E336F" w:rsidRDefault="007E336F" w:rsidP="008A20A0">
            <w:pPr>
              <w:rPr>
                <w:rFonts w:ascii="Times New Roman" w:hAnsi="Times New Roman" w:cs="Times New Roman"/>
                <w:sz w:val="20"/>
                <w:szCs w:val="20"/>
                <w:lang w:val="bg-BG"/>
              </w:rPr>
            </w:pPr>
          </w:p>
          <w:p w14:paraId="7C4B4B02" w14:textId="4E451E91" w:rsidR="007E336F" w:rsidRPr="00610B1B" w:rsidRDefault="007E336F" w:rsidP="008A20A0">
            <w:pPr>
              <w:rPr>
                <w:rFonts w:ascii="Times New Roman" w:hAnsi="Times New Roman" w:cs="Times New Roman"/>
                <w:sz w:val="20"/>
                <w:szCs w:val="20"/>
                <w:lang w:val="bg-BG"/>
              </w:rPr>
            </w:pPr>
            <w:r>
              <w:rPr>
                <w:rFonts w:ascii="Times New Roman" w:hAnsi="Times New Roman" w:cs="Times New Roman"/>
                <w:sz w:val="20"/>
                <w:szCs w:val="20"/>
                <w:lang w:val="bg-BG"/>
              </w:rPr>
              <w:t>НИМХ</w:t>
            </w:r>
          </w:p>
        </w:tc>
        <w:tc>
          <w:tcPr>
            <w:tcW w:w="3232" w:type="dxa"/>
          </w:tcPr>
          <w:p w14:paraId="3296C9C2" w14:textId="77777777" w:rsidR="00C519AD" w:rsidRPr="00610B1B" w:rsidRDefault="00C519A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 xml:space="preserve">Съхраняване на връзките между екосистемите </w:t>
            </w:r>
          </w:p>
          <w:p w14:paraId="33586B48" w14:textId="77777777" w:rsidR="00B4652F" w:rsidRPr="00610B1B" w:rsidRDefault="00B4652F" w:rsidP="00D32D6A">
            <w:pPr>
              <w:rPr>
                <w:rFonts w:ascii="Times New Roman" w:hAnsi="Times New Roman" w:cs="Times New Roman"/>
                <w:sz w:val="20"/>
                <w:szCs w:val="20"/>
                <w:lang w:val="bg-BG"/>
              </w:rPr>
            </w:pPr>
          </w:p>
          <w:p w14:paraId="5F2FFBC9" w14:textId="77777777" w:rsidR="00B4652F" w:rsidRPr="00610B1B" w:rsidRDefault="00B4652F" w:rsidP="00D32D6A">
            <w:pPr>
              <w:rPr>
                <w:rFonts w:ascii="Times New Roman" w:hAnsi="Times New Roman" w:cs="Times New Roman"/>
                <w:sz w:val="20"/>
                <w:szCs w:val="20"/>
                <w:lang w:val="bg-BG"/>
              </w:rPr>
            </w:pPr>
          </w:p>
          <w:p w14:paraId="49724AA3" w14:textId="77777777" w:rsidR="00B4652F" w:rsidRPr="00610B1B" w:rsidRDefault="00B4652F" w:rsidP="00D32D6A">
            <w:pPr>
              <w:rPr>
                <w:rFonts w:ascii="Times New Roman" w:hAnsi="Times New Roman" w:cs="Times New Roman"/>
                <w:sz w:val="20"/>
                <w:szCs w:val="20"/>
                <w:lang w:val="bg-BG"/>
              </w:rPr>
            </w:pPr>
          </w:p>
          <w:p w14:paraId="3E3088B3" w14:textId="77777777" w:rsidR="00683DD9" w:rsidRPr="00610B1B" w:rsidRDefault="00B4652F"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Проследяване и подобряване състоянието</w:t>
            </w:r>
          </w:p>
          <w:p w14:paraId="7AC52FC9" w14:textId="77777777" w:rsidR="00683DD9" w:rsidRPr="00610B1B" w:rsidRDefault="00683DD9" w:rsidP="00D32D6A">
            <w:pPr>
              <w:rPr>
                <w:rFonts w:ascii="Times New Roman" w:hAnsi="Times New Roman" w:cs="Times New Roman"/>
                <w:sz w:val="20"/>
                <w:szCs w:val="20"/>
                <w:lang w:val="bg-BG"/>
              </w:rPr>
            </w:pPr>
          </w:p>
          <w:p w14:paraId="68D6125A" w14:textId="77777777" w:rsidR="00683DD9" w:rsidRPr="00610B1B" w:rsidRDefault="00683DD9" w:rsidP="00D32D6A">
            <w:pPr>
              <w:rPr>
                <w:rFonts w:ascii="Times New Roman" w:hAnsi="Times New Roman" w:cs="Times New Roman"/>
                <w:sz w:val="20"/>
                <w:szCs w:val="20"/>
                <w:lang w:val="bg-BG"/>
              </w:rPr>
            </w:pPr>
          </w:p>
          <w:p w14:paraId="262535D2" w14:textId="77777777" w:rsidR="00683DD9" w:rsidRPr="00610B1B" w:rsidRDefault="00683DD9" w:rsidP="00D32D6A">
            <w:pPr>
              <w:rPr>
                <w:rFonts w:ascii="Times New Roman" w:hAnsi="Times New Roman" w:cs="Times New Roman"/>
                <w:sz w:val="20"/>
                <w:szCs w:val="20"/>
                <w:lang w:val="bg-BG"/>
              </w:rPr>
            </w:pPr>
          </w:p>
          <w:p w14:paraId="030B4BC4" w14:textId="77777777" w:rsidR="00B4652F" w:rsidRPr="00610B1B" w:rsidRDefault="00683DD9"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Подпомагане опазването на вида</w:t>
            </w:r>
            <w:r w:rsidR="00B4652F" w:rsidRPr="00610B1B">
              <w:rPr>
                <w:rFonts w:ascii="Times New Roman" w:hAnsi="Times New Roman" w:cs="Times New Roman"/>
                <w:sz w:val="20"/>
                <w:szCs w:val="20"/>
                <w:lang w:val="bg-BG"/>
              </w:rPr>
              <w:t xml:space="preserve"> </w:t>
            </w:r>
          </w:p>
          <w:p w14:paraId="69A8773E" w14:textId="77777777" w:rsidR="00410897" w:rsidRPr="00610B1B" w:rsidRDefault="00410897" w:rsidP="00D32D6A">
            <w:pPr>
              <w:rPr>
                <w:rFonts w:ascii="Times New Roman" w:hAnsi="Times New Roman" w:cs="Times New Roman"/>
                <w:sz w:val="20"/>
                <w:szCs w:val="20"/>
                <w:lang w:val="bg-BG"/>
              </w:rPr>
            </w:pPr>
          </w:p>
          <w:p w14:paraId="5C41C610" w14:textId="77777777" w:rsidR="00410897" w:rsidRPr="00610B1B" w:rsidRDefault="00410897" w:rsidP="00D32D6A">
            <w:pPr>
              <w:rPr>
                <w:rFonts w:ascii="Times New Roman" w:hAnsi="Times New Roman" w:cs="Times New Roman"/>
                <w:sz w:val="20"/>
                <w:szCs w:val="20"/>
                <w:lang w:val="bg-BG"/>
              </w:rPr>
            </w:pPr>
          </w:p>
          <w:p w14:paraId="70263FEF" w14:textId="77777777" w:rsidR="00410897" w:rsidRPr="00610B1B" w:rsidRDefault="00410897" w:rsidP="00D32D6A">
            <w:pPr>
              <w:rPr>
                <w:rFonts w:ascii="Times New Roman" w:hAnsi="Times New Roman" w:cs="Times New Roman"/>
                <w:sz w:val="20"/>
                <w:szCs w:val="20"/>
                <w:lang w:val="bg-BG"/>
              </w:rPr>
            </w:pPr>
          </w:p>
          <w:p w14:paraId="06154566" w14:textId="77777777" w:rsidR="00410897" w:rsidRPr="00610B1B" w:rsidRDefault="00410897" w:rsidP="00D32D6A">
            <w:pPr>
              <w:rPr>
                <w:rFonts w:ascii="Times New Roman" w:hAnsi="Times New Roman" w:cs="Times New Roman"/>
                <w:sz w:val="20"/>
                <w:szCs w:val="20"/>
                <w:lang w:val="bg-BG"/>
              </w:rPr>
            </w:pPr>
          </w:p>
          <w:p w14:paraId="0FE51CC4" w14:textId="77777777" w:rsidR="00410897" w:rsidRPr="00610B1B" w:rsidRDefault="00410897" w:rsidP="00D32D6A">
            <w:pPr>
              <w:rPr>
                <w:rFonts w:ascii="Times New Roman" w:hAnsi="Times New Roman" w:cs="Times New Roman"/>
                <w:sz w:val="20"/>
                <w:szCs w:val="20"/>
                <w:lang w:val="bg-BG"/>
              </w:rPr>
            </w:pPr>
          </w:p>
          <w:p w14:paraId="457172C1" w14:textId="22EC0D97" w:rsidR="00410897" w:rsidRPr="00610B1B" w:rsidRDefault="0041089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Опазване на вида</w:t>
            </w:r>
          </w:p>
          <w:p w14:paraId="54D21DD1" w14:textId="1BCEAB1A" w:rsidR="0013510D" w:rsidRPr="00610B1B" w:rsidRDefault="0013510D" w:rsidP="00D32D6A">
            <w:pPr>
              <w:rPr>
                <w:rFonts w:ascii="Times New Roman" w:hAnsi="Times New Roman" w:cs="Times New Roman"/>
                <w:sz w:val="20"/>
                <w:szCs w:val="20"/>
                <w:lang w:val="bg-BG"/>
              </w:rPr>
            </w:pPr>
          </w:p>
          <w:p w14:paraId="6286C58E" w14:textId="6755D2DE" w:rsidR="0013510D" w:rsidRPr="00610B1B" w:rsidRDefault="0013510D" w:rsidP="00D32D6A">
            <w:pPr>
              <w:rPr>
                <w:rFonts w:ascii="Times New Roman" w:hAnsi="Times New Roman" w:cs="Times New Roman"/>
                <w:sz w:val="20"/>
                <w:szCs w:val="20"/>
                <w:lang w:val="bg-BG"/>
              </w:rPr>
            </w:pPr>
          </w:p>
          <w:p w14:paraId="62877945" w14:textId="0244381E" w:rsidR="0013510D" w:rsidRPr="00610B1B" w:rsidRDefault="0013510D" w:rsidP="00D32D6A">
            <w:pPr>
              <w:rPr>
                <w:rFonts w:ascii="Times New Roman" w:hAnsi="Times New Roman" w:cs="Times New Roman"/>
                <w:sz w:val="20"/>
                <w:szCs w:val="20"/>
                <w:lang w:val="bg-BG"/>
              </w:rPr>
            </w:pPr>
          </w:p>
          <w:p w14:paraId="0E298788" w14:textId="6A411B76" w:rsidR="0013510D" w:rsidRPr="00610B1B" w:rsidRDefault="0013510D" w:rsidP="00D32D6A">
            <w:pPr>
              <w:rPr>
                <w:rFonts w:ascii="Times New Roman" w:hAnsi="Times New Roman" w:cs="Times New Roman"/>
                <w:sz w:val="20"/>
                <w:szCs w:val="20"/>
                <w:lang w:val="bg-BG"/>
              </w:rPr>
            </w:pPr>
          </w:p>
          <w:p w14:paraId="5EC77168" w14:textId="24568012" w:rsidR="0013510D" w:rsidRPr="00610B1B" w:rsidRDefault="0013510D" w:rsidP="00D32D6A">
            <w:pPr>
              <w:rPr>
                <w:rFonts w:ascii="Times New Roman" w:hAnsi="Times New Roman" w:cs="Times New Roman"/>
                <w:sz w:val="20"/>
                <w:szCs w:val="20"/>
                <w:lang w:val="bg-BG"/>
              </w:rPr>
            </w:pPr>
          </w:p>
          <w:p w14:paraId="257BEB7D" w14:textId="1E05CFB0" w:rsidR="0013510D" w:rsidRPr="00610B1B" w:rsidRDefault="0013510D" w:rsidP="00D32D6A">
            <w:pPr>
              <w:rPr>
                <w:rFonts w:ascii="Times New Roman" w:hAnsi="Times New Roman" w:cs="Times New Roman"/>
                <w:sz w:val="20"/>
                <w:szCs w:val="20"/>
                <w:lang w:val="bg-BG"/>
              </w:rPr>
            </w:pPr>
          </w:p>
          <w:p w14:paraId="5FFD4C08" w14:textId="135AB87C" w:rsidR="0013510D" w:rsidRPr="00610B1B" w:rsidRDefault="0013510D" w:rsidP="00D32D6A">
            <w:pPr>
              <w:rPr>
                <w:rFonts w:ascii="Times New Roman" w:hAnsi="Times New Roman" w:cs="Times New Roman"/>
                <w:sz w:val="20"/>
                <w:szCs w:val="20"/>
                <w:lang w:val="bg-BG"/>
              </w:rPr>
            </w:pPr>
          </w:p>
          <w:p w14:paraId="1A641DE7" w14:textId="0DDBEAE2" w:rsidR="0013510D" w:rsidRPr="00610B1B" w:rsidRDefault="0013510D" w:rsidP="00D32D6A">
            <w:pPr>
              <w:rPr>
                <w:rFonts w:ascii="Times New Roman" w:hAnsi="Times New Roman" w:cs="Times New Roman"/>
                <w:sz w:val="20"/>
                <w:szCs w:val="20"/>
                <w:lang w:val="bg-BG"/>
              </w:rPr>
            </w:pPr>
          </w:p>
          <w:p w14:paraId="73CECFFF" w14:textId="4E889FF7" w:rsidR="0013510D" w:rsidRPr="00610B1B" w:rsidRDefault="003E632F"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bidi="bg-BG"/>
              </w:rPr>
              <w:t>П</w:t>
            </w:r>
            <w:r w:rsidR="0013510D" w:rsidRPr="00610B1B">
              <w:rPr>
                <w:rFonts w:ascii="Times New Roman" w:hAnsi="Times New Roman" w:cs="Times New Roman"/>
                <w:sz w:val="20"/>
                <w:szCs w:val="20"/>
                <w:lang w:val="bg-BG" w:bidi="bg-BG"/>
              </w:rPr>
              <w:t xml:space="preserve">роследяване тенденциите в </w:t>
            </w:r>
            <w:r w:rsidRPr="00610B1B">
              <w:rPr>
                <w:rFonts w:ascii="Times New Roman" w:hAnsi="Times New Roman" w:cs="Times New Roman"/>
                <w:sz w:val="20"/>
                <w:szCs w:val="20"/>
                <w:lang w:val="bg-BG" w:bidi="bg-BG"/>
              </w:rPr>
              <w:t xml:space="preserve">  </w:t>
            </w:r>
            <w:r w:rsidR="0013510D" w:rsidRPr="00610B1B">
              <w:rPr>
                <w:rFonts w:ascii="Times New Roman" w:hAnsi="Times New Roman" w:cs="Times New Roman"/>
                <w:sz w:val="20"/>
                <w:szCs w:val="20"/>
                <w:lang w:val="bg-BG" w:bidi="bg-BG"/>
              </w:rPr>
              <w:t>популациите, както и евентуалните промени в поведението им и промените в местообитанията</w:t>
            </w:r>
          </w:p>
          <w:p w14:paraId="041D1B31" w14:textId="77777777" w:rsidR="00E619EF" w:rsidRPr="00610B1B" w:rsidRDefault="00E619EF" w:rsidP="00D32D6A">
            <w:pPr>
              <w:rPr>
                <w:rFonts w:ascii="Times New Roman" w:hAnsi="Times New Roman" w:cs="Times New Roman"/>
                <w:sz w:val="20"/>
                <w:szCs w:val="20"/>
                <w:lang w:val="bg-BG"/>
              </w:rPr>
            </w:pPr>
          </w:p>
          <w:p w14:paraId="49741453" w14:textId="77777777" w:rsidR="00E619EF" w:rsidRPr="00610B1B" w:rsidRDefault="00E619EF" w:rsidP="00D32D6A">
            <w:pPr>
              <w:rPr>
                <w:rFonts w:ascii="Times New Roman" w:hAnsi="Times New Roman" w:cs="Times New Roman"/>
                <w:sz w:val="20"/>
                <w:szCs w:val="20"/>
                <w:lang w:val="bg-BG"/>
              </w:rPr>
            </w:pPr>
          </w:p>
          <w:p w14:paraId="7FAA14BC" w14:textId="77777777" w:rsidR="00E619EF" w:rsidRPr="00610B1B" w:rsidRDefault="00E619EF" w:rsidP="00D32D6A">
            <w:pPr>
              <w:rPr>
                <w:rFonts w:ascii="Times New Roman" w:hAnsi="Times New Roman" w:cs="Times New Roman"/>
                <w:sz w:val="20"/>
                <w:szCs w:val="20"/>
                <w:lang w:val="bg-BG"/>
              </w:rPr>
            </w:pPr>
          </w:p>
          <w:p w14:paraId="154CBFFD" w14:textId="77777777" w:rsidR="00E619EF" w:rsidRPr="00610B1B" w:rsidRDefault="00E619EF" w:rsidP="00D32D6A">
            <w:pP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Изпълнение на целите на Стратегията на ЕС за биологично разнообразие за 2030 г</w:t>
            </w:r>
          </w:p>
          <w:p w14:paraId="63F1DD8C" w14:textId="77777777" w:rsidR="0048259D" w:rsidRPr="00610B1B" w:rsidRDefault="0048259D" w:rsidP="00D32D6A">
            <w:pPr>
              <w:rPr>
                <w:rFonts w:ascii="Times New Roman" w:hAnsi="Times New Roman" w:cs="Times New Roman"/>
                <w:sz w:val="20"/>
                <w:szCs w:val="20"/>
                <w:lang w:val="bg-BG" w:bidi="bg-BG"/>
              </w:rPr>
            </w:pPr>
          </w:p>
          <w:p w14:paraId="6B7A0559" w14:textId="77777777" w:rsidR="0048259D" w:rsidRPr="00610B1B" w:rsidRDefault="0048259D" w:rsidP="00D32D6A">
            <w:pPr>
              <w:rPr>
                <w:rFonts w:ascii="Times New Roman" w:hAnsi="Times New Roman" w:cs="Times New Roman"/>
                <w:sz w:val="20"/>
                <w:szCs w:val="20"/>
                <w:lang w:val="bg-BG" w:bidi="bg-BG"/>
              </w:rPr>
            </w:pPr>
          </w:p>
          <w:p w14:paraId="0CED6770" w14:textId="77777777" w:rsidR="0048259D" w:rsidRPr="00610B1B" w:rsidRDefault="0048259D" w:rsidP="00D32D6A">
            <w:pPr>
              <w:rPr>
                <w:rFonts w:ascii="Times New Roman" w:hAnsi="Times New Roman" w:cs="Times New Roman"/>
                <w:sz w:val="20"/>
                <w:szCs w:val="20"/>
                <w:lang w:val="bg-BG" w:bidi="bg-BG"/>
              </w:rPr>
            </w:pPr>
          </w:p>
          <w:p w14:paraId="1AA1DC6C" w14:textId="77777777" w:rsidR="0048259D" w:rsidRPr="00610B1B" w:rsidRDefault="0048259D" w:rsidP="00D32D6A">
            <w:pPr>
              <w:rPr>
                <w:rFonts w:ascii="Times New Roman" w:hAnsi="Times New Roman" w:cs="Times New Roman"/>
                <w:sz w:val="20"/>
                <w:szCs w:val="20"/>
                <w:lang w:val="bg-BG" w:bidi="bg-BG"/>
              </w:rPr>
            </w:pPr>
          </w:p>
          <w:p w14:paraId="4D297177" w14:textId="77777777" w:rsidR="0048259D" w:rsidRPr="00610B1B" w:rsidRDefault="0048259D" w:rsidP="00D32D6A">
            <w:pPr>
              <w:rPr>
                <w:rFonts w:ascii="Times New Roman" w:hAnsi="Times New Roman" w:cs="Times New Roman"/>
                <w:sz w:val="20"/>
                <w:szCs w:val="20"/>
                <w:lang w:val="bg-BG" w:bidi="bg-BG"/>
              </w:rPr>
            </w:pPr>
          </w:p>
          <w:p w14:paraId="02CF1191" w14:textId="77777777" w:rsidR="0048259D" w:rsidRPr="00610B1B" w:rsidRDefault="0048259D" w:rsidP="00D32D6A">
            <w:pPr>
              <w:rPr>
                <w:rFonts w:ascii="Times New Roman" w:hAnsi="Times New Roman" w:cs="Times New Roman"/>
                <w:sz w:val="20"/>
                <w:szCs w:val="20"/>
                <w:lang w:val="bg-BG" w:bidi="bg-BG"/>
              </w:rPr>
            </w:pPr>
          </w:p>
          <w:p w14:paraId="53553802" w14:textId="77777777" w:rsidR="0048259D" w:rsidRPr="00610B1B" w:rsidRDefault="0048259D" w:rsidP="00D32D6A">
            <w:pPr>
              <w:rPr>
                <w:rFonts w:ascii="Times New Roman" w:hAnsi="Times New Roman" w:cs="Times New Roman"/>
                <w:sz w:val="20"/>
                <w:szCs w:val="20"/>
                <w:lang w:val="bg-BG" w:bidi="bg-BG"/>
              </w:rPr>
            </w:pPr>
          </w:p>
          <w:p w14:paraId="058BB2CC" w14:textId="77777777" w:rsidR="0048259D" w:rsidRPr="00610B1B" w:rsidRDefault="0048259D" w:rsidP="00D32D6A">
            <w:pPr>
              <w:rPr>
                <w:rFonts w:ascii="Times New Roman" w:hAnsi="Times New Roman" w:cs="Times New Roman"/>
                <w:sz w:val="20"/>
                <w:szCs w:val="20"/>
                <w:lang w:val="bg-BG" w:bidi="bg-BG"/>
              </w:rPr>
            </w:pPr>
          </w:p>
          <w:p w14:paraId="2FEA6DE9" w14:textId="77777777" w:rsidR="0048259D" w:rsidRPr="00610B1B" w:rsidRDefault="0048259D" w:rsidP="00D32D6A">
            <w:pPr>
              <w:rPr>
                <w:rFonts w:ascii="Times New Roman" w:hAnsi="Times New Roman" w:cs="Times New Roman"/>
                <w:sz w:val="20"/>
                <w:szCs w:val="20"/>
                <w:lang w:val="bg-BG" w:bidi="bg-BG"/>
              </w:rPr>
            </w:pPr>
          </w:p>
          <w:p w14:paraId="12B3626B" w14:textId="77777777" w:rsidR="0048259D" w:rsidRPr="00610B1B" w:rsidRDefault="0048259D" w:rsidP="00D32D6A">
            <w:pPr>
              <w:rPr>
                <w:rFonts w:ascii="Times New Roman" w:hAnsi="Times New Roman" w:cs="Times New Roman"/>
                <w:sz w:val="20"/>
                <w:szCs w:val="20"/>
                <w:lang w:val="bg-BG" w:bidi="bg-BG"/>
              </w:rPr>
            </w:pPr>
          </w:p>
          <w:p w14:paraId="06E355DE" w14:textId="77777777" w:rsidR="001B06F9" w:rsidRDefault="001B06F9" w:rsidP="00D32D6A">
            <w:pPr>
              <w:rPr>
                <w:rFonts w:ascii="Times New Roman" w:hAnsi="Times New Roman" w:cs="Times New Roman"/>
                <w:sz w:val="20"/>
                <w:szCs w:val="20"/>
                <w:lang w:val="bg-BG" w:bidi="bg-BG"/>
              </w:rPr>
            </w:pPr>
          </w:p>
          <w:p w14:paraId="140BE341" w14:textId="77777777" w:rsidR="001B06F9" w:rsidRDefault="001B06F9" w:rsidP="00D32D6A">
            <w:pPr>
              <w:rPr>
                <w:rFonts w:ascii="Times New Roman" w:hAnsi="Times New Roman" w:cs="Times New Roman"/>
                <w:sz w:val="20"/>
                <w:szCs w:val="20"/>
                <w:lang w:val="bg-BG" w:bidi="bg-BG"/>
              </w:rPr>
            </w:pPr>
          </w:p>
          <w:p w14:paraId="783F61A0" w14:textId="77777777" w:rsidR="001B06F9" w:rsidRDefault="001B06F9" w:rsidP="00D32D6A">
            <w:pPr>
              <w:rPr>
                <w:rFonts w:ascii="Times New Roman" w:hAnsi="Times New Roman" w:cs="Times New Roman"/>
                <w:sz w:val="20"/>
                <w:szCs w:val="20"/>
                <w:lang w:val="bg-BG" w:bidi="bg-BG"/>
              </w:rPr>
            </w:pPr>
          </w:p>
          <w:p w14:paraId="6653721A" w14:textId="77777777" w:rsidR="001B06F9" w:rsidRDefault="001B06F9" w:rsidP="00D32D6A">
            <w:pPr>
              <w:rPr>
                <w:rFonts w:ascii="Times New Roman" w:hAnsi="Times New Roman" w:cs="Times New Roman"/>
                <w:sz w:val="20"/>
                <w:szCs w:val="20"/>
                <w:lang w:val="bg-BG" w:bidi="bg-BG"/>
              </w:rPr>
            </w:pPr>
          </w:p>
          <w:p w14:paraId="65E58B99" w14:textId="77777777" w:rsidR="001B06F9" w:rsidRDefault="001B06F9" w:rsidP="00D32D6A">
            <w:pPr>
              <w:rPr>
                <w:rFonts w:ascii="Times New Roman" w:hAnsi="Times New Roman" w:cs="Times New Roman"/>
                <w:sz w:val="20"/>
                <w:szCs w:val="20"/>
                <w:lang w:val="bg-BG" w:bidi="bg-BG"/>
              </w:rPr>
            </w:pPr>
          </w:p>
          <w:p w14:paraId="4DA4E97F" w14:textId="77777777" w:rsidR="001B06F9" w:rsidRDefault="001B06F9" w:rsidP="00D32D6A">
            <w:pPr>
              <w:rPr>
                <w:rFonts w:ascii="Times New Roman" w:hAnsi="Times New Roman" w:cs="Times New Roman"/>
                <w:sz w:val="20"/>
                <w:szCs w:val="20"/>
                <w:lang w:val="bg-BG" w:bidi="bg-BG"/>
              </w:rPr>
            </w:pPr>
          </w:p>
          <w:p w14:paraId="3B80905F" w14:textId="77777777" w:rsidR="001B06F9" w:rsidRDefault="001B06F9" w:rsidP="00D32D6A">
            <w:pPr>
              <w:rPr>
                <w:rFonts w:ascii="Times New Roman" w:hAnsi="Times New Roman" w:cs="Times New Roman"/>
                <w:sz w:val="20"/>
                <w:szCs w:val="20"/>
                <w:lang w:val="bg-BG" w:bidi="bg-BG"/>
              </w:rPr>
            </w:pPr>
          </w:p>
          <w:p w14:paraId="75DEFC49" w14:textId="77777777" w:rsidR="001B06F9" w:rsidRDefault="001B06F9" w:rsidP="00D32D6A">
            <w:pPr>
              <w:rPr>
                <w:rFonts w:ascii="Times New Roman" w:hAnsi="Times New Roman" w:cs="Times New Roman"/>
                <w:sz w:val="20"/>
                <w:szCs w:val="20"/>
                <w:lang w:val="bg-BG" w:bidi="bg-BG"/>
              </w:rPr>
            </w:pPr>
          </w:p>
          <w:p w14:paraId="3FC8B775" w14:textId="77777777" w:rsidR="001B06F9" w:rsidRDefault="001B06F9" w:rsidP="00D32D6A">
            <w:pPr>
              <w:rPr>
                <w:rFonts w:ascii="Times New Roman" w:hAnsi="Times New Roman" w:cs="Times New Roman"/>
                <w:sz w:val="20"/>
                <w:szCs w:val="20"/>
                <w:lang w:val="bg-BG" w:bidi="bg-BG"/>
              </w:rPr>
            </w:pPr>
          </w:p>
          <w:p w14:paraId="57D5B660" w14:textId="77777777" w:rsidR="001B06F9" w:rsidRDefault="001B06F9" w:rsidP="00D32D6A">
            <w:pPr>
              <w:rPr>
                <w:rFonts w:ascii="Times New Roman" w:hAnsi="Times New Roman" w:cs="Times New Roman"/>
                <w:sz w:val="20"/>
                <w:szCs w:val="20"/>
                <w:lang w:val="bg-BG" w:bidi="bg-BG"/>
              </w:rPr>
            </w:pPr>
          </w:p>
          <w:p w14:paraId="513A75C2" w14:textId="77777777" w:rsidR="001B06F9" w:rsidRDefault="001B06F9" w:rsidP="00D32D6A">
            <w:pPr>
              <w:rPr>
                <w:rFonts w:ascii="Times New Roman" w:hAnsi="Times New Roman" w:cs="Times New Roman"/>
                <w:sz w:val="20"/>
                <w:szCs w:val="20"/>
                <w:lang w:val="bg-BG" w:bidi="bg-BG"/>
              </w:rPr>
            </w:pPr>
          </w:p>
          <w:p w14:paraId="3A11F4F1" w14:textId="77777777" w:rsidR="001B06F9" w:rsidRDefault="001B06F9" w:rsidP="00D32D6A">
            <w:pPr>
              <w:rPr>
                <w:rFonts w:ascii="Times New Roman" w:hAnsi="Times New Roman" w:cs="Times New Roman"/>
                <w:sz w:val="20"/>
                <w:szCs w:val="20"/>
                <w:lang w:val="bg-BG" w:bidi="bg-BG"/>
              </w:rPr>
            </w:pPr>
          </w:p>
          <w:p w14:paraId="32D3759D" w14:textId="77777777" w:rsidR="001B06F9" w:rsidRDefault="001B06F9" w:rsidP="00D32D6A">
            <w:pPr>
              <w:rPr>
                <w:rFonts w:ascii="Times New Roman" w:hAnsi="Times New Roman" w:cs="Times New Roman"/>
                <w:sz w:val="20"/>
                <w:szCs w:val="20"/>
                <w:lang w:val="bg-BG" w:bidi="bg-BG"/>
              </w:rPr>
            </w:pPr>
          </w:p>
          <w:p w14:paraId="6E528E86" w14:textId="77777777" w:rsidR="001B06F9" w:rsidRDefault="001B06F9" w:rsidP="00D32D6A">
            <w:pPr>
              <w:rPr>
                <w:rFonts w:ascii="Times New Roman" w:hAnsi="Times New Roman" w:cs="Times New Roman"/>
                <w:sz w:val="20"/>
                <w:szCs w:val="20"/>
                <w:lang w:val="bg-BG" w:bidi="bg-BG"/>
              </w:rPr>
            </w:pPr>
          </w:p>
          <w:p w14:paraId="09734278" w14:textId="77777777" w:rsidR="001B06F9" w:rsidRDefault="001B06F9" w:rsidP="00D32D6A">
            <w:pPr>
              <w:rPr>
                <w:rFonts w:ascii="Times New Roman" w:hAnsi="Times New Roman" w:cs="Times New Roman"/>
                <w:sz w:val="20"/>
                <w:szCs w:val="20"/>
                <w:lang w:val="bg-BG" w:bidi="bg-BG"/>
              </w:rPr>
            </w:pPr>
          </w:p>
          <w:p w14:paraId="04557049" w14:textId="77777777" w:rsidR="001B06F9" w:rsidRDefault="001B06F9" w:rsidP="00D32D6A">
            <w:pPr>
              <w:rPr>
                <w:rFonts w:ascii="Times New Roman" w:hAnsi="Times New Roman" w:cs="Times New Roman"/>
                <w:sz w:val="20"/>
                <w:szCs w:val="20"/>
                <w:lang w:val="bg-BG" w:bidi="bg-BG"/>
              </w:rPr>
            </w:pPr>
          </w:p>
          <w:p w14:paraId="7A506570" w14:textId="77777777" w:rsidR="001B06F9" w:rsidRDefault="001B06F9" w:rsidP="00D32D6A">
            <w:pPr>
              <w:rPr>
                <w:rFonts w:ascii="Times New Roman" w:hAnsi="Times New Roman" w:cs="Times New Roman"/>
                <w:sz w:val="20"/>
                <w:szCs w:val="20"/>
                <w:lang w:val="bg-BG" w:bidi="bg-BG"/>
              </w:rPr>
            </w:pPr>
          </w:p>
          <w:p w14:paraId="2434EFB1" w14:textId="77777777" w:rsidR="001B06F9" w:rsidRDefault="001B06F9" w:rsidP="00D32D6A">
            <w:pPr>
              <w:rPr>
                <w:rFonts w:ascii="Times New Roman" w:hAnsi="Times New Roman" w:cs="Times New Roman"/>
                <w:sz w:val="20"/>
                <w:szCs w:val="20"/>
                <w:lang w:val="bg-BG" w:bidi="bg-BG"/>
              </w:rPr>
            </w:pPr>
          </w:p>
          <w:p w14:paraId="76E7D713" w14:textId="77777777" w:rsidR="001B06F9" w:rsidRDefault="001B06F9" w:rsidP="00D32D6A">
            <w:pPr>
              <w:rPr>
                <w:rFonts w:ascii="Times New Roman" w:hAnsi="Times New Roman" w:cs="Times New Roman"/>
                <w:sz w:val="20"/>
                <w:szCs w:val="20"/>
                <w:lang w:val="bg-BG" w:bidi="bg-BG"/>
              </w:rPr>
            </w:pPr>
          </w:p>
          <w:p w14:paraId="2F42C591" w14:textId="77777777" w:rsidR="001B06F9" w:rsidRDefault="001B06F9" w:rsidP="00D32D6A">
            <w:pPr>
              <w:rPr>
                <w:rFonts w:ascii="Times New Roman" w:hAnsi="Times New Roman" w:cs="Times New Roman"/>
                <w:sz w:val="20"/>
                <w:szCs w:val="20"/>
                <w:lang w:val="bg-BG" w:bidi="bg-BG"/>
              </w:rPr>
            </w:pPr>
          </w:p>
          <w:p w14:paraId="0CA267D2" w14:textId="77777777" w:rsidR="001B06F9" w:rsidRDefault="001B06F9" w:rsidP="00D32D6A">
            <w:pPr>
              <w:rPr>
                <w:rFonts w:ascii="Times New Roman" w:hAnsi="Times New Roman" w:cs="Times New Roman"/>
                <w:sz w:val="20"/>
                <w:szCs w:val="20"/>
                <w:lang w:val="bg-BG" w:bidi="bg-BG"/>
              </w:rPr>
            </w:pPr>
          </w:p>
          <w:p w14:paraId="40D8AC2B" w14:textId="77777777" w:rsidR="009A6CF6" w:rsidRDefault="009A6CF6" w:rsidP="00D32D6A">
            <w:pPr>
              <w:rPr>
                <w:rFonts w:ascii="Times New Roman" w:hAnsi="Times New Roman" w:cs="Times New Roman"/>
                <w:sz w:val="20"/>
                <w:szCs w:val="20"/>
                <w:lang w:val="bg-BG" w:bidi="bg-BG"/>
              </w:rPr>
            </w:pPr>
          </w:p>
          <w:p w14:paraId="1FCA4724" w14:textId="77777777" w:rsidR="009A6CF6" w:rsidRDefault="009A6CF6" w:rsidP="00D32D6A">
            <w:pPr>
              <w:rPr>
                <w:rFonts w:ascii="Times New Roman" w:hAnsi="Times New Roman" w:cs="Times New Roman"/>
                <w:sz w:val="20"/>
                <w:szCs w:val="20"/>
                <w:lang w:val="bg-BG" w:bidi="bg-BG"/>
              </w:rPr>
            </w:pPr>
          </w:p>
          <w:p w14:paraId="5CDF060E" w14:textId="77777777" w:rsidR="009A6CF6" w:rsidRDefault="009A6CF6" w:rsidP="00D32D6A">
            <w:pPr>
              <w:rPr>
                <w:rFonts w:ascii="Times New Roman" w:hAnsi="Times New Roman" w:cs="Times New Roman"/>
                <w:sz w:val="20"/>
                <w:szCs w:val="20"/>
                <w:lang w:val="bg-BG" w:bidi="bg-BG"/>
              </w:rPr>
            </w:pPr>
          </w:p>
          <w:p w14:paraId="3906F72B" w14:textId="77777777" w:rsidR="009A6CF6" w:rsidRDefault="009A6CF6" w:rsidP="00D32D6A">
            <w:pPr>
              <w:rPr>
                <w:rFonts w:ascii="Times New Roman" w:hAnsi="Times New Roman" w:cs="Times New Roman"/>
                <w:sz w:val="20"/>
                <w:szCs w:val="20"/>
                <w:lang w:val="bg-BG" w:bidi="bg-BG"/>
              </w:rPr>
            </w:pPr>
          </w:p>
          <w:p w14:paraId="5A7DE797" w14:textId="77777777" w:rsidR="009A6CF6" w:rsidRDefault="009A6CF6" w:rsidP="00D32D6A">
            <w:pPr>
              <w:rPr>
                <w:rFonts w:ascii="Times New Roman" w:hAnsi="Times New Roman" w:cs="Times New Roman"/>
                <w:sz w:val="20"/>
                <w:szCs w:val="20"/>
                <w:lang w:val="bg-BG" w:bidi="bg-BG"/>
              </w:rPr>
            </w:pPr>
          </w:p>
          <w:p w14:paraId="76DF7FBA" w14:textId="77777777" w:rsidR="009A6CF6" w:rsidRDefault="009A6CF6" w:rsidP="00D32D6A">
            <w:pPr>
              <w:rPr>
                <w:rFonts w:ascii="Times New Roman" w:hAnsi="Times New Roman" w:cs="Times New Roman"/>
                <w:sz w:val="20"/>
                <w:szCs w:val="20"/>
                <w:lang w:val="bg-BG" w:bidi="bg-BG"/>
              </w:rPr>
            </w:pPr>
          </w:p>
          <w:p w14:paraId="04EBAFC1" w14:textId="77777777" w:rsidR="009A6CF6" w:rsidRDefault="009A6CF6" w:rsidP="00D32D6A">
            <w:pPr>
              <w:rPr>
                <w:rFonts w:ascii="Times New Roman" w:hAnsi="Times New Roman" w:cs="Times New Roman"/>
                <w:sz w:val="20"/>
                <w:szCs w:val="20"/>
                <w:lang w:val="bg-BG" w:bidi="bg-BG"/>
              </w:rPr>
            </w:pPr>
          </w:p>
          <w:p w14:paraId="059C4591" w14:textId="77777777" w:rsidR="009A6CF6" w:rsidRDefault="009A6CF6" w:rsidP="00D32D6A">
            <w:pPr>
              <w:rPr>
                <w:rFonts w:ascii="Times New Roman" w:hAnsi="Times New Roman" w:cs="Times New Roman"/>
                <w:sz w:val="20"/>
                <w:szCs w:val="20"/>
                <w:lang w:val="bg-BG" w:bidi="bg-BG"/>
              </w:rPr>
            </w:pPr>
          </w:p>
          <w:p w14:paraId="516F297C" w14:textId="77777777" w:rsidR="009A6CF6" w:rsidRDefault="009A6CF6" w:rsidP="00D32D6A">
            <w:pPr>
              <w:rPr>
                <w:rFonts w:ascii="Times New Roman" w:hAnsi="Times New Roman" w:cs="Times New Roman"/>
                <w:sz w:val="20"/>
                <w:szCs w:val="20"/>
                <w:lang w:val="bg-BG" w:bidi="bg-BG"/>
              </w:rPr>
            </w:pPr>
          </w:p>
          <w:p w14:paraId="6D5746FB" w14:textId="77777777" w:rsidR="009A6CF6" w:rsidRDefault="009A6CF6" w:rsidP="00D32D6A">
            <w:pPr>
              <w:rPr>
                <w:rFonts w:ascii="Times New Roman" w:hAnsi="Times New Roman" w:cs="Times New Roman"/>
                <w:sz w:val="20"/>
                <w:szCs w:val="20"/>
                <w:lang w:val="bg-BG" w:bidi="bg-BG"/>
              </w:rPr>
            </w:pPr>
          </w:p>
          <w:p w14:paraId="1A673C80" w14:textId="77777777" w:rsidR="009A6CF6" w:rsidRDefault="009A6CF6" w:rsidP="00D32D6A">
            <w:pPr>
              <w:rPr>
                <w:rFonts w:ascii="Times New Roman" w:hAnsi="Times New Roman" w:cs="Times New Roman"/>
                <w:sz w:val="20"/>
                <w:szCs w:val="20"/>
                <w:lang w:val="bg-BG" w:bidi="bg-BG"/>
              </w:rPr>
            </w:pPr>
          </w:p>
          <w:p w14:paraId="5AF0C058" w14:textId="77777777" w:rsidR="009A6CF6" w:rsidRDefault="009A6CF6" w:rsidP="00D32D6A">
            <w:pPr>
              <w:rPr>
                <w:rFonts w:ascii="Times New Roman" w:hAnsi="Times New Roman" w:cs="Times New Roman"/>
                <w:sz w:val="20"/>
                <w:szCs w:val="20"/>
                <w:lang w:val="bg-BG" w:bidi="bg-BG"/>
              </w:rPr>
            </w:pPr>
          </w:p>
          <w:p w14:paraId="20A10F48" w14:textId="24292EAF" w:rsidR="0048259D" w:rsidRPr="00610B1B" w:rsidRDefault="0048259D" w:rsidP="00D32D6A">
            <w:pP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Повишаване на информираността на населението</w:t>
            </w:r>
          </w:p>
          <w:p w14:paraId="27758082" w14:textId="77777777" w:rsidR="00A14088" w:rsidRPr="00610B1B" w:rsidRDefault="00A14088" w:rsidP="00D32D6A">
            <w:pPr>
              <w:rPr>
                <w:rFonts w:ascii="Times New Roman" w:hAnsi="Times New Roman" w:cs="Times New Roman"/>
                <w:sz w:val="20"/>
                <w:szCs w:val="20"/>
                <w:lang w:val="bg-BG" w:bidi="bg-BG"/>
              </w:rPr>
            </w:pPr>
          </w:p>
          <w:p w14:paraId="7950EB55" w14:textId="77777777" w:rsidR="00A14088" w:rsidRPr="00610B1B" w:rsidRDefault="00A14088" w:rsidP="00D32D6A">
            <w:pPr>
              <w:rPr>
                <w:rFonts w:ascii="Times New Roman" w:hAnsi="Times New Roman" w:cs="Times New Roman"/>
                <w:sz w:val="20"/>
                <w:szCs w:val="20"/>
                <w:lang w:val="bg-BG" w:bidi="bg-BG"/>
              </w:rPr>
            </w:pPr>
          </w:p>
          <w:p w14:paraId="1828E742" w14:textId="77777777" w:rsidR="00A14088" w:rsidRPr="00610B1B" w:rsidRDefault="00A14088" w:rsidP="00D32D6A">
            <w:pPr>
              <w:rPr>
                <w:rFonts w:ascii="Times New Roman" w:hAnsi="Times New Roman" w:cs="Times New Roman"/>
                <w:sz w:val="20"/>
                <w:szCs w:val="20"/>
                <w:lang w:val="bg-BG" w:bidi="bg-BG"/>
              </w:rPr>
            </w:pPr>
          </w:p>
          <w:p w14:paraId="52A733D1" w14:textId="77777777" w:rsidR="00A14088" w:rsidRPr="00610B1B" w:rsidRDefault="00A14088" w:rsidP="00D32D6A">
            <w:pPr>
              <w:rPr>
                <w:rFonts w:ascii="Times New Roman" w:hAnsi="Times New Roman" w:cs="Times New Roman"/>
                <w:sz w:val="20"/>
                <w:szCs w:val="20"/>
                <w:lang w:val="bg-BG" w:bidi="bg-BG"/>
              </w:rPr>
            </w:pPr>
          </w:p>
          <w:p w14:paraId="6DD0407D" w14:textId="77777777" w:rsidR="00A14088" w:rsidRPr="00610B1B" w:rsidRDefault="00A14088" w:rsidP="00D32D6A">
            <w:pPr>
              <w:rPr>
                <w:rFonts w:ascii="Times New Roman" w:hAnsi="Times New Roman" w:cs="Times New Roman"/>
                <w:sz w:val="20"/>
                <w:szCs w:val="20"/>
                <w:lang w:val="bg-BG" w:bidi="bg-BG"/>
              </w:rPr>
            </w:pPr>
          </w:p>
          <w:p w14:paraId="63A2829B" w14:textId="77777777" w:rsidR="00A14088" w:rsidRPr="00610B1B" w:rsidRDefault="00A14088" w:rsidP="00D32D6A">
            <w:pPr>
              <w:rPr>
                <w:rFonts w:ascii="Times New Roman" w:hAnsi="Times New Roman" w:cs="Times New Roman"/>
                <w:sz w:val="20"/>
                <w:szCs w:val="20"/>
                <w:lang w:val="bg-BG" w:bidi="bg-BG"/>
              </w:rPr>
            </w:pPr>
          </w:p>
          <w:p w14:paraId="22B16271" w14:textId="77777777" w:rsidR="00A14088" w:rsidRPr="00610B1B" w:rsidRDefault="00A14088" w:rsidP="00D32D6A">
            <w:pPr>
              <w:rPr>
                <w:rFonts w:ascii="Times New Roman" w:hAnsi="Times New Roman" w:cs="Times New Roman"/>
                <w:sz w:val="20"/>
                <w:szCs w:val="20"/>
                <w:lang w:val="ru-RU" w:bidi="bg-BG"/>
              </w:rPr>
            </w:pPr>
            <w:r w:rsidRPr="00610B1B">
              <w:rPr>
                <w:rFonts w:ascii="Times New Roman" w:hAnsi="Times New Roman" w:cs="Times New Roman"/>
                <w:sz w:val="20"/>
                <w:szCs w:val="20"/>
                <w:lang w:val="ru-RU" w:bidi="bg-BG"/>
              </w:rPr>
              <w:t>Предотвратяване на прекомерен риболовен натиск</w:t>
            </w:r>
          </w:p>
          <w:p w14:paraId="2FACE962" w14:textId="77777777" w:rsidR="00506FB0" w:rsidRPr="00610B1B" w:rsidRDefault="00506FB0" w:rsidP="00D32D6A">
            <w:pPr>
              <w:rPr>
                <w:rFonts w:ascii="Times New Roman" w:hAnsi="Times New Roman" w:cs="Times New Roman"/>
                <w:sz w:val="20"/>
                <w:szCs w:val="20"/>
                <w:lang w:val="ru-RU" w:bidi="bg-BG"/>
              </w:rPr>
            </w:pPr>
          </w:p>
          <w:p w14:paraId="76598C72" w14:textId="77777777" w:rsidR="00506FB0" w:rsidRPr="00610B1B" w:rsidRDefault="00506FB0" w:rsidP="00D32D6A">
            <w:pPr>
              <w:rPr>
                <w:rFonts w:ascii="Times New Roman" w:hAnsi="Times New Roman" w:cs="Times New Roman"/>
                <w:sz w:val="20"/>
                <w:szCs w:val="20"/>
                <w:lang w:val="ru-RU" w:bidi="bg-BG"/>
              </w:rPr>
            </w:pPr>
          </w:p>
          <w:p w14:paraId="690EC9D1" w14:textId="77777777" w:rsidR="00506FB0" w:rsidRPr="00610B1B" w:rsidRDefault="00506FB0" w:rsidP="00D32D6A">
            <w:pPr>
              <w:rPr>
                <w:rFonts w:ascii="Times New Roman" w:hAnsi="Times New Roman" w:cs="Times New Roman"/>
                <w:sz w:val="20"/>
                <w:szCs w:val="20"/>
                <w:lang w:val="ru-RU" w:bidi="bg-BG"/>
              </w:rPr>
            </w:pPr>
          </w:p>
          <w:p w14:paraId="09CD17D6" w14:textId="77777777" w:rsidR="00506FB0" w:rsidRPr="00610B1B" w:rsidRDefault="00506FB0" w:rsidP="00D32D6A">
            <w:pPr>
              <w:rPr>
                <w:rFonts w:ascii="Times New Roman" w:hAnsi="Times New Roman" w:cs="Times New Roman"/>
                <w:sz w:val="20"/>
                <w:szCs w:val="20"/>
                <w:lang w:val="ru-RU" w:bidi="bg-BG"/>
              </w:rPr>
            </w:pPr>
          </w:p>
          <w:p w14:paraId="0747F963" w14:textId="77777777" w:rsidR="00506FB0" w:rsidRPr="00610B1B" w:rsidRDefault="00506FB0" w:rsidP="00D32D6A">
            <w:pP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Предотвратяване на хроничен стрес и смърт при китоподобните</w:t>
            </w:r>
          </w:p>
          <w:p w14:paraId="2DFC8D81" w14:textId="77777777" w:rsidR="008918E6" w:rsidRPr="00610B1B" w:rsidRDefault="008918E6" w:rsidP="00D32D6A">
            <w:pPr>
              <w:rPr>
                <w:rFonts w:ascii="Times New Roman" w:hAnsi="Times New Roman" w:cs="Times New Roman"/>
                <w:sz w:val="20"/>
                <w:szCs w:val="20"/>
                <w:lang w:val="bg-BG" w:bidi="bg-BG"/>
              </w:rPr>
            </w:pPr>
          </w:p>
          <w:p w14:paraId="7F4F7337" w14:textId="77777777" w:rsidR="008918E6" w:rsidRPr="00610B1B" w:rsidRDefault="008918E6" w:rsidP="00D32D6A">
            <w:pPr>
              <w:rPr>
                <w:rFonts w:ascii="Times New Roman" w:hAnsi="Times New Roman" w:cs="Times New Roman"/>
                <w:sz w:val="20"/>
                <w:szCs w:val="20"/>
                <w:lang w:val="bg-BG" w:bidi="bg-BG"/>
              </w:rPr>
            </w:pPr>
          </w:p>
          <w:p w14:paraId="563B2C54" w14:textId="77777777" w:rsidR="008918E6" w:rsidRPr="00610B1B" w:rsidRDefault="008918E6" w:rsidP="00D32D6A">
            <w:pPr>
              <w:rPr>
                <w:rFonts w:ascii="Times New Roman" w:hAnsi="Times New Roman" w:cs="Times New Roman"/>
                <w:sz w:val="20"/>
                <w:szCs w:val="20"/>
                <w:lang w:val="bg-BG" w:bidi="bg-BG"/>
              </w:rPr>
            </w:pPr>
          </w:p>
          <w:p w14:paraId="13B05B53" w14:textId="77777777" w:rsidR="009A6CF6" w:rsidRDefault="009A6CF6" w:rsidP="00D32D6A">
            <w:pPr>
              <w:rPr>
                <w:rFonts w:ascii="Times New Roman" w:hAnsi="Times New Roman" w:cs="Times New Roman"/>
                <w:sz w:val="20"/>
                <w:szCs w:val="20"/>
                <w:lang w:val="bg-BG" w:bidi="bg-BG"/>
              </w:rPr>
            </w:pPr>
          </w:p>
          <w:p w14:paraId="4C95B269" w14:textId="77777777" w:rsidR="009A6CF6" w:rsidRDefault="009A6CF6" w:rsidP="00D32D6A">
            <w:pPr>
              <w:rPr>
                <w:rFonts w:ascii="Times New Roman" w:hAnsi="Times New Roman" w:cs="Times New Roman"/>
                <w:sz w:val="20"/>
                <w:szCs w:val="20"/>
                <w:lang w:val="bg-BG" w:bidi="bg-BG"/>
              </w:rPr>
            </w:pPr>
          </w:p>
          <w:p w14:paraId="159CFF84" w14:textId="37E44E1E" w:rsidR="008918E6" w:rsidRPr="00610B1B" w:rsidRDefault="008918E6" w:rsidP="00D32D6A">
            <w:pP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Проследяване на метеоролагичната обстановка и достоверни прогнози</w:t>
            </w:r>
          </w:p>
          <w:p w14:paraId="6C3436CA" w14:textId="77777777" w:rsidR="008918E6" w:rsidRPr="00610B1B" w:rsidRDefault="008918E6" w:rsidP="00D32D6A">
            <w:pPr>
              <w:rPr>
                <w:rFonts w:ascii="Times New Roman" w:hAnsi="Times New Roman" w:cs="Times New Roman"/>
                <w:sz w:val="20"/>
                <w:szCs w:val="20"/>
                <w:lang w:val="bg-BG" w:bidi="bg-BG"/>
              </w:rPr>
            </w:pPr>
          </w:p>
          <w:p w14:paraId="266D6489" w14:textId="77777777" w:rsidR="008918E6" w:rsidRDefault="008918E6" w:rsidP="00D32D6A">
            <w:pP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Ограничаване на риска от неблагоприятни процеси в морската среда</w:t>
            </w:r>
          </w:p>
          <w:p w14:paraId="1B347AE7" w14:textId="77777777" w:rsidR="0006569B" w:rsidRDefault="0006569B" w:rsidP="00D32D6A">
            <w:pPr>
              <w:rPr>
                <w:rFonts w:ascii="Times New Roman" w:hAnsi="Times New Roman" w:cs="Times New Roman"/>
                <w:sz w:val="20"/>
                <w:szCs w:val="20"/>
                <w:lang w:val="bg-BG" w:bidi="bg-BG"/>
              </w:rPr>
            </w:pPr>
          </w:p>
          <w:p w14:paraId="78F3C702" w14:textId="77777777" w:rsidR="0006569B" w:rsidRDefault="0006569B" w:rsidP="00D32D6A">
            <w:pPr>
              <w:rPr>
                <w:rFonts w:ascii="Times New Roman" w:hAnsi="Times New Roman" w:cs="Times New Roman"/>
                <w:sz w:val="20"/>
                <w:szCs w:val="20"/>
                <w:lang w:val="bg-BG" w:bidi="bg-BG"/>
              </w:rPr>
            </w:pPr>
          </w:p>
          <w:p w14:paraId="24DFFB17" w14:textId="77777777" w:rsidR="0006569B" w:rsidRDefault="0006569B" w:rsidP="00D32D6A">
            <w:pPr>
              <w:rPr>
                <w:rFonts w:ascii="Times New Roman" w:hAnsi="Times New Roman" w:cs="Times New Roman"/>
                <w:sz w:val="20"/>
                <w:szCs w:val="20"/>
                <w:lang w:val="bg-BG" w:bidi="bg-BG"/>
              </w:rPr>
            </w:pPr>
          </w:p>
          <w:p w14:paraId="6F8974B3" w14:textId="56E938E6" w:rsidR="0006569B" w:rsidRPr="00610B1B" w:rsidRDefault="0006569B" w:rsidP="00D32D6A">
            <w:pPr>
              <w:rPr>
                <w:rFonts w:ascii="Times New Roman" w:hAnsi="Times New Roman" w:cs="Times New Roman"/>
                <w:sz w:val="20"/>
                <w:szCs w:val="20"/>
                <w:lang w:val="bg-BG"/>
              </w:rPr>
            </w:pPr>
          </w:p>
        </w:tc>
        <w:tc>
          <w:tcPr>
            <w:tcW w:w="1376" w:type="dxa"/>
            <w:vAlign w:val="center"/>
          </w:tcPr>
          <w:p w14:paraId="2BA785C9" w14:textId="77777777" w:rsidR="00C519AD" w:rsidRDefault="00C519AD" w:rsidP="00D32D6A">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2030</w:t>
            </w:r>
          </w:p>
          <w:p w14:paraId="481DF7A2" w14:textId="77777777" w:rsidR="00222641" w:rsidRDefault="00222641" w:rsidP="00D32D6A">
            <w:pPr>
              <w:jc w:val="center"/>
              <w:rPr>
                <w:rFonts w:ascii="Times New Roman" w:hAnsi="Times New Roman" w:cs="Times New Roman"/>
                <w:sz w:val="20"/>
                <w:szCs w:val="20"/>
                <w:lang w:val="bg-BG"/>
              </w:rPr>
            </w:pPr>
          </w:p>
          <w:p w14:paraId="0ECB1C40" w14:textId="77777777" w:rsidR="00222641" w:rsidRDefault="00222641" w:rsidP="00D32D6A">
            <w:pPr>
              <w:jc w:val="center"/>
              <w:rPr>
                <w:rFonts w:ascii="Times New Roman" w:hAnsi="Times New Roman" w:cs="Times New Roman"/>
                <w:sz w:val="20"/>
                <w:szCs w:val="20"/>
                <w:lang w:val="bg-BG"/>
              </w:rPr>
            </w:pPr>
          </w:p>
          <w:p w14:paraId="21C5EF71" w14:textId="77777777" w:rsidR="00222641" w:rsidRDefault="00222641" w:rsidP="00D32D6A">
            <w:pPr>
              <w:jc w:val="center"/>
              <w:rPr>
                <w:rFonts w:ascii="Times New Roman" w:hAnsi="Times New Roman" w:cs="Times New Roman"/>
                <w:sz w:val="20"/>
                <w:szCs w:val="20"/>
                <w:lang w:val="bg-BG"/>
              </w:rPr>
            </w:pPr>
          </w:p>
          <w:p w14:paraId="656217AC" w14:textId="77777777" w:rsidR="00222641" w:rsidRDefault="00222641" w:rsidP="00D32D6A">
            <w:pPr>
              <w:jc w:val="center"/>
              <w:rPr>
                <w:rFonts w:ascii="Times New Roman" w:hAnsi="Times New Roman" w:cs="Times New Roman"/>
                <w:sz w:val="20"/>
                <w:szCs w:val="20"/>
                <w:lang w:val="bg-BG"/>
              </w:rPr>
            </w:pPr>
          </w:p>
          <w:p w14:paraId="0D38102B" w14:textId="77777777" w:rsidR="00222641" w:rsidRDefault="00222641" w:rsidP="00D32D6A">
            <w:pPr>
              <w:jc w:val="center"/>
              <w:rPr>
                <w:rFonts w:ascii="Times New Roman" w:hAnsi="Times New Roman" w:cs="Times New Roman"/>
                <w:sz w:val="20"/>
                <w:szCs w:val="20"/>
                <w:lang w:val="bg-BG"/>
              </w:rPr>
            </w:pPr>
            <w:r>
              <w:rPr>
                <w:rFonts w:ascii="Times New Roman" w:hAnsi="Times New Roman" w:cs="Times New Roman"/>
                <w:sz w:val="20"/>
                <w:szCs w:val="20"/>
                <w:lang w:val="bg-BG"/>
              </w:rPr>
              <w:t>2030</w:t>
            </w:r>
          </w:p>
          <w:p w14:paraId="7510EEC1" w14:textId="77777777" w:rsidR="00222641" w:rsidRDefault="00222641" w:rsidP="00D32D6A">
            <w:pPr>
              <w:jc w:val="center"/>
              <w:rPr>
                <w:rFonts w:ascii="Times New Roman" w:hAnsi="Times New Roman" w:cs="Times New Roman"/>
                <w:sz w:val="20"/>
                <w:szCs w:val="20"/>
                <w:lang w:val="bg-BG"/>
              </w:rPr>
            </w:pPr>
          </w:p>
          <w:p w14:paraId="52541A02" w14:textId="77777777" w:rsidR="00222641" w:rsidRDefault="00222641" w:rsidP="00D32D6A">
            <w:pPr>
              <w:jc w:val="center"/>
              <w:rPr>
                <w:rFonts w:ascii="Times New Roman" w:hAnsi="Times New Roman" w:cs="Times New Roman"/>
                <w:sz w:val="20"/>
                <w:szCs w:val="20"/>
                <w:lang w:val="bg-BG"/>
              </w:rPr>
            </w:pPr>
          </w:p>
          <w:p w14:paraId="5E89C7D7" w14:textId="77777777" w:rsidR="00222641" w:rsidRDefault="00222641" w:rsidP="00D32D6A">
            <w:pPr>
              <w:jc w:val="center"/>
              <w:rPr>
                <w:rFonts w:ascii="Times New Roman" w:hAnsi="Times New Roman" w:cs="Times New Roman"/>
                <w:sz w:val="20"/>
                <w:szCs w:val="20"/>
                <w:lang w:val="bg-BG"/>
              </w:rPr>
            </w:pPr>
          </w:p>
          <w:p w14:paraId="050ACC41" w14:textId="77777777" w:rsidR="00222641" w:rsidRDefault="00222641" w:rsidP="00D32D6A">
            <w:pPr>
              <w:jc w:val="center"/>
              <w:rPr>
                <w:rFonts w:ascii="Times New Roman" w:hAnsi="Times New Roman" w:cs="Times New Roman"/>
                <w:sz w:val="20"/>
                <w:szCs w:val="20"/>
                <w:lang w:val="bg-BG"/>
              </w:rPr>
            </w:pPr>
          </w:p>
          <w:p w14:paraId="22039917" w14:textId="77777777" w:rsidR="00222641" w:rsidRDefault="00222641" w:rsidP="00D32D6A">
            <w:pPr>
              <w:jc w:val="center"/>
              <w:rPr>
                <w:rFonts w:ascii="Times New Roman" w:hAnsi="Times New Roman" w:cs="Times New Roman"/>
                <w:sz w:val="20"/>
                <w:szCs w:val="20"/>
                <w:lang w:val="bg-BG"/>
              </w:rPr>
            </w:pPr>
            <w:r>
              <w:rPr>
                <w:rFonts w:ascii="Times New Roman" w:hAnsi="Times New Roman" w:cs="Times New Roman"/>
                <w:sz w:val="20"/>
                <w:szCs w:val="20"/>
                <w:lang w:val="bg-BG"/>
              </w:rPr>
              <w:t>2030</w:t>
            </w:r>
          </w:p>
          <w:p w14:paraId="52ADC799" w14:textId="77777777" w:rsidR="00222641" w:rsidRDefault="00222641" w:rsidP="00D32D6A">
            <w:pPr>
              <w:jc w:val="center"/>
              <w:rPr>
                <w:rFonts w:ascii="Times New Roman" w:hAnsi="Times New Roman" w:cs="Times New Roman"/>
                <w:sz w:val="20"/>
                <w:szCs w:val="20"/>
                <w:lang w:val="bg-BG"/>
              </w:rPr>
            </w:pPr>
          </w:p>
          <w:p w14:paraId="2D046592" w14:textId="77777777" w:rsidR="00222641" w:rsidRDefault="00222641" w:rsidP="00D32D6A">
            <w:pPr>
              <w:jc w:val="center"/>
              <w:rPr>
                <w:rFonts w:ascii="Times New Roman" w:hAnsi="Times New Roman" w:cs="Times New Roman"/>
                <w:sz w:val="20"/>
                <w:szCs w:val="20"/>
                <w:lang w:val="bg-BG"/>
              </w:rPr>
            </w:pPr>
          </w:p>
          <w:p w14:paraId="71B8B616" w14:textId="77777777" w:rsidR="00222641" w:rsidRDefault="00222641" w:rsidP="00D32D6A">
            <w:pPr>
              <w:jc w:val="center"/>
              <w:rPr>
                <w:rFonts w:ascii="Times New Roman" w:hAnsi="Times New Roman" w:cs="Times New Roman"/>
                <w:sz w:val="20"/>
                <w:szCs w:val="20"/>
                <w:lang w:val="bg-BG"/>
              </w:rPr>
            </w:pPr>
          </w:p>
          <w:p w14:paraId="4D2E13B2" w14:textId="77777777" w:rsidR="00222641" w:rsidRDefault="00222641" w:rsidP="00D32D6A">
            <w:pPr>
              <w:jc w:val="center"/>
              <w:rPr>
                <w:rFonts w:ascii="Times New Roman" w:hAnsi="Times New Roman" w:cs="Times New Roman"/>
                <w:sz w:val="20"/>
                <w:szCs w:val="20"/>
                <w:lang w:val="bg-BG"/>
              </w:rPr>
            </w:pPr>
          </w:p>
          <w:p w14:paraId="7C7AA0E1" w14:textId="77777777" w:rsidR="00222641" w:rsidRDefault="00222641" w:rsidP="00D32D6A">
            <w:pPr>
              <w:jc w:val="center"/>
              <w:rPr>
                <w:rFonts w:ascii="Times New Roman" w:hAnsi="Times New Roman" w:cs="Times New Roman"/>
                <w:sz w:val="20"/>
                <w:szCs w:val="20"/>
                <w:lang w:val="bg-BG"/>
              </w:rPr>
            </w:pPr>
          </w:p>
          <w:p w14:paraId="2BC95420" w14:textId="77777777" w:rsidR="00222641" w:rsidRDefault="00222641" w:rsidP="00D32D6A">
            <w:pPr>
              <w:jc w:val="center"/>
              <w:rPr>
                <w:rFonts w:ascii="Times New Roman" w:hAnsi="Times New Roman" w:cs="Times New Roman"/>
                <w:sz w:val="20"/>
                <w:szCs w:val="20"/>
                <w:lang w:val="bg-BG"/>
              </w:rPr>
            </w:pPr>
          </w:p>
          <w:p w14:paraId="6993C699" w14:textId="77777777" w:rsidR="00222641" w:rsidRDefault="00222641" w:rsidP="00D32D6A">
            <w:pPr>
              <w:jc w:val="center"/>
              <w:rPr>
                <w:rFonts w:ascii="Times New Roman" w:hAnsi="Times New Roman" w:cs="Times New Roman"/>
                <w:sz w:val="20"/>
                <w:szCs w:val="20"/>
                <w:lang w:val="bg-BG"/>
              </w:rPr>
            </w:pPr>
            <w:r>
              <w:rPr>
                <w:rFonts w:ascii="Times New Roman" w:hAnsi="Times New Roman" w:cs="Times New Roman"/>
                <w:sz w:val="20"/>
                <w:szCs w:val="20"/>
                <w:lang w:val="bg-BG"/>
              </w:rPr>
              <w:t>2030</w:t>
            </w:r>
          </w:p>
          <w:p w14:paraId="49B97FBF" w14:textId="77777777" w:rsidR="00222641" w:rsidRDefault="00222641" w:rsidP="00D32D6A">
            <w:pPr>
              <w:jc w:val="center"/>
              <w:rPr>
                <w:rFonts w:ascii="Times New Roman" w:hAnsi="Times New Roman" w:cs="Times New Roman"/>
                <w:sz w:val="20"/>
                <w:szCs w:val="20"/>
                <w:lang w:val="bg-BG"/>
              </w:rPr>
            </w:pPr>
          </w:p>
          <w:p w14:paraId="0ECDBC0C" w14:textId="77777777" w:rsidR="00222641" w:rsidRDefault="00222641" w:rsidP="00D32D6A">
            <w:pPr>
              <w:jc w:val="center"/>
              <w:rPr>
                <w:rFonts w:ascii="Times New Roman" w:hAnsi="Times New Roman" w:cs="Times New Roman"/>
                <w:sz w:val="20"/>
                <w:szCs w:val="20"/>
                <w:lang w:val="bg-BG"/>
              </w:rPr>
            </w:pPr>
          </w:p>
          <w:p w14:paraId="55D259AB" w14:textId="77777777" w:rsidR="00222641" w:rsidRDefault="00222641" w:rsidP="00D32D6A">
            <w:pPr>
              <w:jc w:val="center"/>
              <w:rPr>
                <w:rFonts w:ascii="Times New Roman" w:hAnsi="Times New Roman" w:cs="Times New Roman"/>
                <w:sz w:val="20"/>
                <w:szCs w:val="20"/>
                <w:lang w:val="bg-BG"/>
              </w:rPr>
            </w:pPr>
          </w:p>
          <w:p w14:paraId="673EF7F5" w14:textId="77777777" w:rsidR="00222641" w:rsidRDefault="00222641" w:rsidP="00D32D6A">
            <w:pPr>
              <w:jc w:val="center"/>
              <w:rPr>
                <w:rFonts w:ascii="Times New Roman" w:hAnsi="Times New Roman" w:cs="Times New Roman"/>
                <w:sz w:val="20"/>
                <w:szCs w:val="20"/>
                <w:lang w:val="bg-BG"/>
              </w:rPr>
            </w:pPr>
          </w:p>
          <w:p w14:paraId="243BFE34" w14:textId="77777777" w:rsidR="00222641" w:rsidRDefault="00222641" w:rsidP="00D32D6A">
            <w:pPr>
              <w:jc w:val="center"/>
              <w:rPr>
                <w:rFonts w:ascii="Times New Roman" w:hAnsi="Times New Roman" w:cs="Times New Roman"/>
                <w:sz w:val="20"/>
                <w:szCs w:val="20"/>
                <w:lang w:val="bg-BG"/>
              </w:rPr>
            </w:pPr>
          </w:p>
          <w:p w14:paraId="5C1CC011" w14:textId="77777777" w:rsidR="00222641" w:rsidRDefault="00222641" w:rsidP="00D32D6A">
            <w:pPr>
              <w:jc w:val="center"/>
              <w:rPr>
                <w:rFonts w:ascii="Times New Roman" w:hAnsi="Times New Roman" w:cs="Times New Roman"/>
                <w:sz w:val="20"/>
                <w:szCs w:val="20"/>
                <w:lang w:val="bg-BG"/>
              </w:rPr>
            </w:pPr>
          </w:p>
          <w:p w14:paraId="000BD8D7" w14:textId="77777777" w:rsidR="00222641" w:rsidRDefault="00222641" w:rsidP="00D32D6A">
            <w:pPr>
              <w:jc w:val="center"/>
              <w:rPr>
                <w:rFonts w:ascii="Times New Roman" w:hAnsi="Times New Roman" w:cs="Times New Roman"/>
                <w:sz w:val="20"/>
                <w:szCs w:val="20"/>
                <w:lang w:val="bg-BG"/>
              </w:rPr>
            </w:pPr>
          </w:p>
          <w:p w14:paraId="3584038D" w14:textId="77777777" w:rsidR="00222641" w:rsidRDefault="00222641" w:rsidP="00D32D6A">
            <w:pPr>
              <w:jc w:val="center"/>
              <w:rPr>
                <w:rFonts w:ascii="Times New Roman" w:hAnsi="Times New Roman" w:cs="Times New Roman"/>
                <w:sz w:val="20"/>
                <w:szCs w:val="20"/>
                <w:lang w:val="bg-BG"/>
              </w:rPr>
            </w:pPr>
            <w:r>
              <w:rPr>
                <w:rFonts w:ascii="Times New Roman" w:hAnsi="Times New Roman" w:cs="Times New Roman"/>
                <w:sz w:val="20"/>
                <w:szCs w:val="20"/>
                <w:lang w:val="bg-BG"/>
              </w:rPr>
              <w:t>2030</w:t>
            </w:r>
          </w:p>
          <w:p w14:paraId="08A4EC0B" w14:textId="77777777" w:rsidR="00222641" w:rsidRDefault="00222641" w:rsidP="00D32D6A">
            <w:pPr>
              <w:jc w:val="center"/>
              <w:rPr>
                <w:rFonts w:ascii="Times New Roman" w:hAnsi="Times New Roman" w:cs="Times New Roman"/>
                <w:sz w:val="20"/>
                <w:szCs w:val="20"/>
                <w:lang w:val="bg-BG"/>
              </w:rPr>
            </w:pPr>
          </w:p>
          <w:p w14:paraId="0A5822DF" w14:textId="77777777" w:rsidR="00222641" w:rsidRDefault="00222641" w:rsidP="00D32D6A">
            <w:pPr>
              <w:jc w:val="center"/>
              <w:rPr>
                <w:rFonts w:ascii="Times New Roman" w:hAnsi="Times New Roman" w:cs="Times New Roman"/>
                <w:sz w:val="20"/>
                <w:szCs w:val="20"/>
                <w:lang w:val="bg-BG"/>
              </w:rPr>
            </w:pPr>
          </w:p>
          <w:p w14:paraId="24970026" w14:textId="77777777" w:rsidR="00222641" w:rsidRDefault="00222641" w:rsidP="00D32D6A">
            <w:pPr>
              <w:jc w:val="center"/>
              <w:rPr>
                <w:rFonts w:ascii="Times New Roman" w:hAnsi="Times New Roman" w:cs="Times New Roman"/>
                <w:sz w:val="20"/>
                <w:szCs w:val="20"/>
                <w:lang w:val="bg-BG"/>
              </w:rPr>
            </w:pPr>
          </w:p>
          <w:p w14:paraId="5CA606BE" w14:textId="77777777" w:rsidR="00222641" w:rsidRDefault="00222641" w:rsidP="00D32D6A">
            <w:pPr>
              <w:jc w:val="center"/>
              <w:rPr>
                <w:rFonts w:ascii="Times New Roman" w:hAnsi="Times New Roman" w:cs="Times New Roman"/>
                <w:sz w:val="20"/>
                <w:szCs w:val="20"/>
                <w:lang w:val="bg-BG"/>
              </w:rPr>
            </w:pPr>
          </w:p>
          <w:p w14:paraId="10113813" w14:textId="77777777" w:rsidR="00222641" w:rsidRDefault="00222641" w:rsidP="00D32D6A">
            <w:pPr>
              <w:jc w:val="center"/>
              <w:rPr>
                <w:rFonts w:ascii="Times New Roman" w:hAnsi="Times New Roman" w:cs="Times New Roman"/>
                <w:sz w:val="20"/>
                <w:szCs w:val="20"/>
                <w:lang w:val="bg-BG"/>
              </w:rPr>
            </w:pPr>
          </w:p>
          <w:p w14:paraId="42E93A74" w14:textId="77777777" w:rsidR="00222641" w:rsidRDefault="00222641" w:rsidP="00D32D6A">
            <w:pPr>
              <w:jc w:val="center"/>
              <w:rPr>
                <w:rFonts w:ascii="Times New Roman" w:hAnsi="Times New Roman" w:cs="Times New Roman"/>
                <w:sz w:val="20"/>
                <w:szCs w:val="20"/>
                <w:lang w:val="bg-BG"/>
              </w:rPr>
            </w:pPr>
          </w:p>
          <w:p w14:paraId="6309BBF8" w14:textId="77777777" w:rsidR="00222641" w:rsidRDefault="00222641" w:rsidP="00D32D6A">
            <w:pPr>
              <w:jc w:val="center"/>
              <w:rPr>
                <w:rFonts w:ascii="Times New Roman" w:hAnsi="Times New Roman" w:cs="Times New Roman"/>
                <w:sz w:val="20"/>
                <w:szCs w:val="20"/>
                <w:lang w:val="bg-BG"/>
              </w:rPr>
            </w:pPr>
          </w:p>
          <w:p w14:paraId="17995C2B" w14:textId="77777777" w:rsidR="00222641" w:rsidRDefault="00222641" w:rsidP="00D32D6A">
            <w:pPr>
              <w:jc w:val="center"/>
              <w:rPr>
                <w:rFonts w:ascii="Times New Roman" w:hAnsi="Times New Roman" w:cs="Times New Roman"/>
                <w:sz w:val="20"/>
                <w:szCs w:val="20"/>
                <w:lang w:val="bg-BG"/>
              </w:rPr>
            </w:pPr>
            <w:r>
              <w:rPr>
                <w:rFonts w:ascii="Times New Roman" w:hAnsi="Times New Roman" w:cs="Times New Roman"/>
                <w:sz w:val="20"/>
                <w:szCs w:val="20"/>
                <w:lang w:val="bg-BG"/>
              </w:rPr>
              <w:t>2030</w:t>
            </w:r>
          </w:p>
          <w:p w14:paraId="3C119DA6" w14:textId="77777777" w:rsidR="00EB1BCB" w:rsidRDefault="00EB1BCB" w:rsidP="00D32D6A">
            <w:pPr>
              <w:jc w:val="center"/>
              <w:rPr>
                <w:rFonts w:ascii="Times New Roman" w:hAnsi="Times New Roman" w:cs="Times New Roman"/>
                <w:sz w:val="20"/>
                <w:szCs w:val="20"/>
                <w:lang w:val="bg-BG"/>
              </w:rPr>
            </w:pPr>
          </w:p>
          <w:p w14:paraId="5CDB8E3C" w14:textId="77777777" w:rsidR="00EB1BCB" w:rsidRDefault="00EB1BCB" w:rsidP="00D32D6A">
            <w:pPr>
              <w:jc w:val="center"/>
              <w:rPr>
                <w:rFonts w:ascii="Times New Roman" w:hAnsi="Times New Roman" w:cs="Times New Roman"/>
                <w:sz w:val="20"/>
                <w:szCs w:val="20"/>
                <w:lang w:val="bg-BG"/>
              </w:rPr>
            </w:pPr>
          </w:p>
          <w:p w14:paraId="6243A3AD" w14:textId="77777777" w:rsidR="00EB1BCB" w:rsidRDefault="00EB1BCB" w:rsidP="00D32D6A">
            <w:pPr>
              <w:jc w:val="center"/>
              <w:rPr>
                <w:rFonts w:ascii="Times New Roman" w:hAnsi="Times New Roman" w:cs="Times New Roman"/>
                <w:sz w:val="20"/>
                <w:szCs w:val="20"/>
                <w:lang w:val="bg-BG"/>
              </w:rPr>
            </w:pPr>
          </w:p>
          <w:p w14:paraId="3307F3A7" w14:textId="77777777" w:rsidR="00EB1BCB" w:rsidRDefault="00EB1BCB" w:rsidP="00D32D6A">
            <w:pPr>
              <w:jc w:val="center"/>
              <w:rPr>
                <w:rFonts w:ascii="Times New Roman" w:hAnsi="Times New Roman" w:cs="Times New Roman"/>
                <w:sz w:val="20"/>
                <w:szCs w:val="20"/>
                <w:lang w:val="bg-BG"/>
              </w:rPr>
            </w:pPr>
          </w:p>
          <w:p w14:paraId="52E741FC" w14:textId="77777777" w:rsidR="00EB1BCB" w:rsidRDefault="00EB1BCB" w:rsidP="00D32D6A">
            <w:pPr>
              <w:jc w:val="center"/>
              <w:rPr>
                <w:rFonts w:ascii="Times New Roman" w:hAnsi="Times New Roman" w:cs="Times New Roman"/>
                <w:sz w:val="20"/>
                <w:szCs w:val="20"/>
                <w:lang w:val="bg-BG"/>
              </w:rPr>
            </w:pPr>
          </w:p>
          <w:p w14:paraId="739142A2" w14:textId="77777777" w:rsidR="00EB1BCB" w:rsidRDefault="00EB1BCB" w:rsidP="00D32D6A">
            <w:pPr>
              <w:jc w:val="center"/>
              <w:rPr>
                <w:rFonts w:ascii="Times New Roman" w:hAnsi="Times New Roman" w:cs="Times New Roman"/>
                <w:sz w:val="20"/>
                <w:szCs w:val="20"/>
                <w:lang w:val="bg-BG"/>
              </w:rPr>
            </w:pPr>
          </w:p>
          <w:p w14:paraId="1792F0A8" w14:textId="77777777" w:rsidR="00EB1BCB" w:rsidRDefault="00EB1BCB" w:rsidP="00D32D6A">
            <w:pPr>
              <w:jc w:val="center"/>
              <w:rPr>
                <w:rFonts w:ascii="Times New Roman" w:hAnsi="Times New Roman" w:cs="Times New Roman"/>
                <w:sz w:val="20"/>
                <w:szCs w:val="20"/>
                <w:lang w:val="bg-BG"/>
              </w:rPr>
            </w:pPr>
          </w:p>
          <w:p w14:paraId="259FB22B" w14:textId="77777777" w:rsidR="00EB1BCB" w:rsidRDefault="00EB1BCB" w:rsidP="00D32D6A">
            <w:pPr>
              <w:jc w:val="center"/>
              <w:rPr>
                <w:rFonts w:ascii="Times New Roman" w:hAnsi="Times New Roman" w:cs="Times New Roman"/>
                <w:sz w:val="20"/>
                <w:szCs w:val="20"/>
                <w:lang w:val="bg-BG"/>
              </w:rPr>
            </w:pPr>
          </w:p>
          <w:p w14:paraId="3DE702EC" w14:textId="77777777" w:rsidR="00EB1BCB" w:rsidRDefault="00EB1BCB" w:rsidP="00D32D6A">
            <w:pPr>
              <w:jc w:val="center"/>
              <w:rPr>
                <w:rFonts w:ascii="Times New Roman" w:hAnsi="Times New Roman" w:cs="Times New Roman"/>
                <w:sz w:val="20"/>
                <w:szCs w:val="20"/>
                <w:lang w:val="bg-BG"/>
              </w:rPr>
            </w:pPr>
          </w:p>
          <w:p w14:paraId="4849518C" w14:textId="77777777" w:rsidR="00EB1BCB" w:rsidRDefault="00EB1BCB" w:rsidP="00D32D6A">
            <w:pPr>
              <w:jc w:val="center"/>
              <w:rPr>
                <w:rFonts w:ascii="Times New Roman" w:hAnsi="Times New Roman" w:cs="Times New Roman"/>
                <w:sz w:val="20"/>
                <w:szCs w:val="20"/>
                <w:lang w:val="bg-BG"/>
              </w:rPr>
            </w:pPr>
          </w:p>
          <w:p w14:paraId="534C84C0" w14:textId="77777777" w:rsidR="00EB1BCB" w:rsidRDefault="00EB1BCB" w:rsidP="00D32D6A">
            <w:pPr>
              <w:jc w:val="center"/>
              <w:rPr>
                <w:rFonts w:ascii="Times New Roman" w:hAnsi="Times New Roman" w:cs="Times New Roman"/>
                <w:sz w:val="20"/>
                <w:szCs w:val="20"/>
                <w:lang w:val="bg-BG"/>
              </w:rPr>
            </w:pPr>
          </w:p>
          <w:p w14:paraId="06024970" w14:textId="77777777" w:rsidR="00EB1BCB" w:rsidRDefault="00EB1BCB" w:rsidP="00D32D6A">
            <w:pPr>
              <w:jc w:val="center"/>
              <w:rPr>
                <w:rFonts w:ascii="Times New Roman" w:hAnsi="Times New Roman" w:cs="Times New Roman"/>
                <w:sz w:val="20"/>
                <w:szCs w:val="20"/>
                <w:lang w:val="bg-BG"/>
              </w:rPr>
            </w:pPr>
          </w:p>
          <w:p w14:paraId="3179A9C3" w14:textId="77777777" w:rsidR="00EB1BCB" w:rsidRDefault="00EB1BCB" w:rsidP="00D32D6A">
            <w:pPr>
              <w:jc w:val="center"/>
              <w:rPr>
                <w:rFonts w:ascii="Times New Roman" w:hAnsi="Times New Roman" w:cs="Times New Roman"/>
                <w:sz w:val="20"/>
                <w:szCs w:val="20"/>
                <w:lang w:val="bg-BG"/>
              </w:rPr>
            </w:pPr>
          </w:p>
          <w:p w14:paraId="400E97CD" w14:textId="77777777" w:rsidR="00EB1BCB" w:rsidRDefault="00EB1BCB" w:rsidP="00D32D6A">
            <w:pPr>
              <w:jc w:val="center"/>
              <w:rPr>
                <w:rFonts w:ascii="Times New Roman" w:hAnsi="Times New Roman" w:cs="Times New Roman"/>
                <w:sz w:val="20"/>
                <w:szCs w:val="20"/>
                <w:lang w:val="bg-BG"/>
              </w:rPr>
            </w:pPr>
          </w:p>
          <w:p w14:paraId="6E659B4F" w14:textId="77777777" w:rsidR="00EB1BCB" w:rsidRDefault="00EB1BCB" w:rsidP="00D32D6A">
            <w:pPr>
              <w:jc w:val="center"/>
              <w:rPr>
                <w:rFonts w:ascii="Times New Roman" w:hAnsi="Times New Roman" w:cs="Times New Roman"/>
                <w:sz w:val="20"/>
                <w:szCs w:val="20"/>
                <w:lang w:val="bg-BG"/>
              </w:rPr>
            </w:pPr>
          </w:p>
          <w:p w14:paraId="53F22E42" w14:textId="77777777" w:rsidR="00EB1BCB" w:rsidRDefault="00EB1BCB" w:rsidP="00D32D6A">
            <w:pPr>
              <w:jc w:val="center"/>
              <w:rPr>
                <w:rFonts w:ascii="Times New Roman" w:hAnsi="Times New Roman" w:cs="Times New Roman"/>
                <w:sz w:val="20"/>
                <w:szCs w:val="20"/>
                <w:lang w:val="bg-BG"/>
              </w:rPr>
            </w:pPr>
          </w:p>
          <w:p w14:paraId="25B75FC6" w14:textId="77777777" w:rsidR="00EB1BCB" w:rsidRDefault="00EB1BCB" w:rsidP="00D32D6A">
            <w:pPr>
              <w:jc w:val="center"/>
              <w:rPr>
                <w:rFonts w:ascii="Times New Roman" w:hAnsi="Times New Roman" w:cs="Times New Roman"/>
                <w:sz w:val="20"/>
                <w:szCs w:val="20"/>
                <w:lang w:val="bg-BG"/>
              </w:rPr>
            </w:pPr>
          </w:p>
          <w:p w14:paraId="7714D83D" w14:textId="77777777" w:rsidR="00EB1BCB" w:rsidRDefault="00EB1BCB" w:rsidP="00D32D6A">
            <w:pPr>
              <w:jc w:val="center"/>
              <w:rPr>
                <w:rFonts w:ascii="Times New Roman" w:hAnsi="Times New Roman" w:cs="Times New Roman"/>
                <w:sz w:val="20"/>
                <w:szCs w:val="20"/>
                <w:lang w:val="bg-BG"/>
              </w:rPr>
            </w:pPr>
          </w:p>
          <w:p w14:paraId="13C3E14F" w14:textId="77777777" w:rsidR="00EB1BCB" w:rsidRDefault="00EB1BCB" w:rsidP="00D32D6A">
            <w:pPr>
              <w:jc w:val="center"/>
              <w:rPr>
                <w:rFonts w:ascii="Times New Roman" w:hAnsi="Times New Roman" w:cs="Times New Roman"/>
                <w:sz w:val="20"/>
                <w:szCs w:val="20"/>
                <w:lang w:val="bg-BG"/>
              </w:rPr>
            </w:pPr>
          </w:p>
          <w:p w14:paraId="4A332BAD" w14:textId="77777777" w:rsidR="00EB1BCB" w:rsidRDefault="00EB1BCB" w:rsidP="00D32D6A">
            <w:pPr>
              <w:jc w:val="center"/>
              <w:rPr>
                <w:rFonts w:ascii="Times New Roman" w:hAnsi="Times New Roman" w:cs="Times New Roman"/>
                <w:sz w:val="20"/>
                <w:szCs w:val="20"/>
                <w:lang w:val="bg-BG"/>
              </w:rPr>
            </w:pPr>
          </w:p>
          <w:p w14:paraId="64F08238" w14:textId="77777777" w:rsidR="00EB1BCB" w:rsidRDefault="00EB1BCB" w:rsidP="00D32D6A">
            <w:pPr>
              <w:jc w:val="center"/>
              <w:rPr>
                <w:rFonts w:ascii="Times New Roman" w:hAnsi="Times New Roman" w:cs="Times New Roman"/>
                <w:sz w:val="20"/>
                <w:szCs w:val="20"/>
                <w:lang w:val="bg-BG"/>
              </w:rPr>
            </w:pPr>
          </w:p>
          <w:p w14:paraId="7259711B" w14:textId="77777777" w:rsidR="00EB1BCB" w:rsidRDefault="00EB1BCB" w:rsidP="00D32D6A">
            <w:pPr>
              <w:jc w:val="center"/>
              <w:rPr>
                <w:rFonts w:ascii="Times New Roman" w:hAnsi="Times New Roman" w:cs="Times New Roman"/>
                <w:sz w:val="20"/>
                <w:szCs w:val="20"/>
                <w:lang w:val="bg-BG"/>
              </w:rPr>
            </w:pPr>
          </w:p>
          <w:p w14:paraId="65A1F644" w14:textId="77777777" w:rsidR="00EB1BCB" w:rsidRDefault="00EB1BCB" w:rsidP="00D32D6A">
            <w:pPr>
              <w:jc w:val="center"/>
              <w:rPr>
                <w:rFonts w:ascii="Times New Roman" w:hAnsi="Times New Roman" w:cs="Times New Roman"/>
                <w:sz w:val="20"/>
                <w:szCs w:val="20"/>
                <w:lang w:val="bg-BG"/>
              </w:rPr>
            </w:pPr>
          </w:p>
          <w:p w14:paraId="7A31AA67" w14:textId="77777777" w:rsidR="00EB1BCB" w:rsidRDefault="00EB1BCB" w:rsidP="00D32D6A">
            <w:pPr>
              <w:jc w:val="center"/>
              <w:rPr>
                <w:rFonts w:ascii="Times New Roman" w:hAnsi="Times New Roman" w:cs="Times New Roman"/>
                <w:sz w:val="20"/>
                <w:szCs w:val="20"/>
                <w:lang w:val="bg-BG"/>
              </w:rPr>
            </w:pPr>
          </w:p>
          <w:p w14:paraId="0B2F074B" w14:textId="77777777" w:rsidR="00EB1BCB" w:rsidRDefault="00EB1BCB" w:rsidP="00D32D6A">
            <w:pPr>
              <w:jc w:val="center"/>
              <w:rPr>
                <w:rFonts w:ascii="Times New Roman" w:hAnsi="Times New Roman" w:cs="Times New Roman"/>
                <w:sz w:val="20"/>
                <w:szCs w:val="20"/>
                <w:lang w:val="bg-BG"/>
              </w:rPr>
            </w:pPr>
          </w:p>
          <w:p w14:paraId="50534084" w14:textId="77777777" w:rsidR="00EB1BCB" w:rsidRDefault="00EB1BCB" w:rsidP="00D32D6A">
            <w:pPr>
              <w:jc w:val="center"/>
              <w:rPr>
                <w:rFonts w:ascii="Times New Roman" w:hAnsi="Times New Roman" w:cs="Times New Roman"/>
                <w:sz w:val="20"/>
                <w:szCs w:val="20"/>
                <w:lang w:val="bg-BG"/>
              </w:rPr>
            </w:pPr>
          </w:p>
          <w:p w14:paraId="19C8EA70" w14:textId="77777777" w:rsidR="00EB1BCB" w:rsidRDefault="00EB1BCB" w:rsidP="00D32D6A">
            <w:pPr>
              <w:jc w:val="center"/>
              <w:rPr>
                <w:rFonts w:ascii="Times New Roman" w:hAnsi="Times New Roman" w:cs="Times New Roman"/>
                <w:sz w:val="20"/>
                <w:szCs w:val="20"/>
                <w:lang w:val="bg-BG"/>
              </w:rPr>
            </w:pPr>
          </w:p>
          <w:p w14:paraId="2B872F03" w14:textId="77777777" w:rsidR="00EB1BCB" w:rsidRDefault="00EB1BCB" w:rsidP="00D32D6A">
            <w:pPr>
              <w:jc w:val="center"/>
              <w:rPr>
                <w:rFonts w:ascii="Times New Roman" w:hAnsi="Times New Roman" w:cs="Times New Roman"/>
                <w:sz w:val="20"/>
                <w:szCs w:val="20"/>
                <w:lang w:val="bg-BG"/>
              </w:rPr>
            </w:pPr>
          </w:p>
          <w:p w14:paraId="447EA45B" w14:textId="77777777" w:rsidR="00EB1BCB" w:rsidRDefault="00EB1BCB" w:rsidP="00D32D6A">
            <w:pPr>
              <w:jc w:val="center"/>
              <w:rPr>
                <w:rFonts w:ascii="Times New Roman" w:hAnsi="Times New Roman" w:cs="Times New Roman"/>
                <w:sz w:val="20"/>
                <w:szCs w:val="20"/>
                <w:lang w:val="bg-BG"/>
              </w:rPr>
            </w:pPr>
          </w:p>
          <w:p w14:paraId="1E7C9951" w14:textId="77777777" w:rsidR="00EB1BCB" w:rsidRDefault="00EB1BCB" w:rsidP="00D32D6A">
            <w:pPr>
              <w:jc w:val="center"/>
              <w:rPr>
                <w:rFonts w:ascii="Times New Roman" w:hAnsi="Times New Roman" w:cs="Times New Roman"/>
                <w:sz w:val="20"/>
                <w:szCs w:val="20"/>
                <w:lang w:val="bg-BG"/>
              </w:rPr>
            </w:pPr>
          </w:p>
          <w:p w14:paraId="6F3DE05C" w14:textId="77777777" w:rsidR="00EB1BCB" w:rsidRDefault="00EB1BCB" w:rsidP="00D32D6A">
            <w:pPr>
              <w:jc w:val="center"/>
              <w:rPr>
                <w:rFonts w:ascii="Times New Roman" w:hAnsi="Times New Roman" w:cs="Times New Roman"/>
                <w:sz w:val="20"/>
                <w:szCs w:val="20"/>
                <w:lang w:val="bg-BG"/>
              </w:rPr>
            </w:pPr>
          </w:p>
          <w:p w14:paraId="394837E6" w14:textId="77777777" w:rsidR="00EB1BCB" w:rsidRDefault="00EB1BCB" w:rsidP="00D32D6A">
            <w:pPr>
              <w:jc w:val="center"/>
              <w:rPr>
                <w:rFonts w:ascii="Times New Roman" w:hAnsi="Times New Roman" w:cs="Times New Roman"/>
                <w:sz w:val="20"/>
                <w:szCs w:val="20"/>
                <w:lang w:val="bg-BG"/>
              </w:rPr>
            </w:pPr>
          </w:p>
          <w:p w14:paraId="54033357" w14:textId="77777777" w:rsidR="00EB1BCB" w:rsidRDefault="00EB1BCB" w:rsidP="00D32D6A">
            <w:pPr>
              <w:jc w:val="center"/>
              <w:rPr>
                <w:rFonts w:ascii="Times New Roman" w:hAnsi="Times New Roman" w:cs="Times New Roman"/>
                <w:sz w:val="20"/>
                <w:szCs w:val="20"/>
                <w:lang w:val="bg-BG"/>
              </w:rPr>
            </w:pPr>
            <w:r>
              <w:rPr>
                <w:rFonts w:ascii="Times New Roman" w:hAnsi="Times New Roman" w:cs="Times New Roman"/>
                <w:sz w:val="20"/>
                <w:szCs w:val="20"/>
                <w:lang w:val="bg-BG"/>
              </w:rPr>
              <w:t>2024</w:t>
            </w:r>
          </w:p>
          <w:p w14:paraId="6401F5BC" w14:textId="77777777" w:rsidR="00EB1BCB" w:rsidRDefault="00EB1BCB" w:rsidP="00D32D6A">
            <w:pPr>
              <w:jc w:val="center"/>
              <w:rPr>
                <w:rFonts w:ascii="Times New Roman" w:hAnsi="Times New Roman" w:cs="Times New Roman"/>
                <w:sz w:val="20"/>
                <w:szCs w:val="20"/>
                <w:lang w:val="bg-BG"/>
              </w:rPr>
            </w:pPr>
          </w:p>
          <w:p w14:paraId="6B52A1A0" w14:textId="77777777" w:rsidR="00EB1BCB" w:rsidRDefault="00EB1BCB" w:rsidP="00D32D6A">
            <w:pPr>
              <w:jc w:val="center"/>
              <w:rPr>
                <w:rFonts w:ascii="Times New Roman" w:hAnsi="Times New Roman" w:cs="Times New Roman"/>
                <w:sz w:val="20"/>
                <w:szCs w:val="20"/>
                <w:lang w:val="bg-BG"/>
              </w:rPr>
            </w:pPr>
          </w:p>
          <w:p w14:paraId="7B65F40A" w14:textId="77777777" w:rsidR="00EB1BCB" w:rsidRDefault="00EB1BCB" w:rsidP="00D32D6A">
            <w:pPr>
              <w:jc w:val="center"/>
              <w:rPr>
                <w:rFonts w:ascii="Times New Roman" w:hAnsi="Times New Roman" w:cs="Times New Roman"/>
                <w:sz w:val="20"/>
                <w:szCs w:val="20"/>
                <w:lang w:val="bg-BG"/>
              </w:rPr>
            </w:pPr>
          </w:p>
          <w:p w14:paraId="724D6C52" w14:textId="77777777" w:rsidR="00EB1BCB" w:rsidRDefault="00EB1BCB" w:rsidP="00D32D6A">
            <w:pPr>
              <w:jc w:val="center"/>
              <w:rPr>
                <w:rFonts w:ascii="Times New Roman" w:hAnsi="Times New Roman" w:cs="Times New Roman"/>
                <w:sz w:val="20"/>
                <w:szCs w:val="20"/>
                <w:lang w:val="bg-BG"/>
              </w:rPr>
            </w:pPr>
          </w:p>
          <w:p w14:paraId="73AEDD7C" w14:textId="77777777" w:rsidR="00EB1BCB" w:rsidRDefault="00EB1BCB" w:rsidP="00D32D6A">
            <w:pPr>
              <w:jc w:val="center"/>
              <w:rPr>
                <w:rFonts w:ascii="Times New Roman" w:hAnsi="Times New Roman" w:cs="Times New Roman"/>
                <w:sz w:val="20"/>
                <w:szCs w:val="20"/>
                <w:lang w:val="bg-BG"/>
              </w:rPr>
            </w:pPr>
          </w:p>
          <w:p w14:paraId="04EAF089" w14:textId="77777777" w:rsidR="00EB1BCB" w:rsidRDefault="00EB1BCB" w:rsidP="00D32D6A">
            <w:pPr>
              <w:jc w:val="center"/>
              <w:rPr>
                <w:rFonts w:ascii="Times New Roman" w:hAnsi="Times New Roman" w:cs="Times New Roman"/>
                <w:sz w:val="20"/>
                <w:szCs w:val="20"/>
                <w:lang w:val="bg-BG"/>
              </w:rPr>
            </w:pPr>
          </w:p>
          <w:p w14:paraId="4C12C7C4" w14:textId="77777777" w:rsidR="00EB1BCB" w:rsidRDefault="00EB1BCB" w:rsidP="00D32D6A">
            <w:pPr>
              <w:jc w:val="center"/>
              <w:rPr>
                <w:rFonts w:ascii="Times New Roman" w:hAnsi="Times New Roman" w:cs="Times New Roman"/>
                <w:sz w:val="20"/>
                <w:szCs w:val="20"/>
                <w:lang w:val="bg-BG"/>
              </w:rPr>
            </w:pPr>
          </w:p>
          <w:p w14:paraId="5DBE1206" w14:textId="77777777" w:rsidR="00EB1BCB" w:rsidRDefault="00EB1BCB" w:rsidP="00D32D6A">
            <w:pPr>
              <w:jc w:val="center"/>
              <w:rPr>
                <w:rFonts w:ascii="Times New Roman" w:hAnsi="Times New Roman" w:cs="Times New Roman"/>
                <w:sz w:val="20"/>
                <w:szCs w:val="20"/>
                <w:lang w:val="bg-BG"/>
              </w:rPr>
            </w:pPr>
          </w:p>
          <w:p w14:paraId="07B63B3E" w14:textId="77777777" w:rsidR="00EB1BCB" w:rsidRDefault="00EB1BCB" w:rsidP="00D32D6A">
            <w:pPr>
              <w:jc w:val="center"/>
              <w:rPr>
                <w:rFonts w:ascii="Times New Roman" w:hAnsi="Times New Roman" w:cs="Times New Roman"/>
                <w:sz w:val="20"/>
                <w:szCs w:val="20"/>
                <w:lang w:val="bg-BG"/>
              </w:rPr>
            </w:pPr>
          </w:p>
          <w:p w14:paraId="04DC2966" w14:textId="6EB09C44" w:rsidR="00EB1BCB" w:rsidRDefault="001B06F9" w:rsidP="00D32D6A">
            <w:pPr>
              <w:jc w:val="center"/>
              <w:rPr>
                <w:rFonts w:ascii="Times New Roman" w:hAnsi="Times New Roman" w:cs="Times New Roman"/>
                <w:sz w:val="20"/>
                <w:szCs w:val="20"/>
                <w:lang w:val="bg-BG"/>
              </w:rPr>
            </w:pPr>
            <w:r>
              <w:rPr>
                <w:rFonts w:ascii="Times New Roman" w:hAnsi="Times New Roman" w:cs="Times New Roman"/>
                <w:sz w:val="20"/>
                <w:szCs w:val="20"/>
                <w:lang w:val="bg-BG"/>
              </w:rPr>
              <w:t>постоянен</w:t>
            </w:r>
          </w:p>
          <w:p w14:paraId="66DD5423" w14:textId="77777777" w:rsidR="00EB1BCB" w:rsidRDefault="00EB1BCB" w:rsidP="00D32D6A">
            <w:pPr>
              <w:jc w:val="center"/>
              <w:rPr>
                <w:rFonts w:ascii="Times New Roman" w:hAnsi="Times New Roman" w:cs="Times New Roman"/>
                <w:sz w:val="20"/>
                <w:szCs w:val="20"/>
                <w:lang w:val="bg-BG"/>
              </w:rPr>
            </w:pPr>
          </w:p>
          <w:p w14:paraId="46F6B097" w14:textId="77777777" w:rsidR="00EB1BCB" w:rsidRDefault="00EB1BCB" w:rsidP="00D32D6A">
            <w:pPr>
              <w:jc w:val="center"/>
              <w:rPr>
                <w:rFonts w:ascii="Times New Roman" w:hAnsi="Times New Roman" w:cs="Times New Roman"/>
                <w:sz w:val="20"/>
                <w:szCs w:val="20"/>
                <w:lang w:val="bg-BG"/>
              </w:rPr>
            </w:pPr>
          </w:p>
          <w:p w14:paraId="5DE8717D" w14:textId="77777777" w:rsidR="00EB1BCB" w:rsidRDefault="00EB1BCB" w:rsidP="00D32D6A">
            <w:pPr>
              <w:jc w:val="center"/>
              <w:rPr>
                <w:rFonts w:ascii="Times New Roman" w:hAnsi="Times New Roman" w:cs="Times New Roman"/>
                <w:sz w:val="20"/>
                <w:szCs w:val="20"/>
                <w:lang w:val="bg-BG"/>
              </w:rPr>
            </w:pPr>
          </w:p>
          <w:p w14:paraId="6DE1410A" w14:textId="77777777" w:rsidR="00EB1BCB" w:rsidRDefault="00EB1BCB" w:rsidP="00D32D6A">
            <w:pPr>
              <w:jc w:val="center"/>
              <w:rPr>
                <w:rFonts w:ascii="Times New Roman" w:hAnsi="Times New Roman" w:cs="Times New Roman"/>
                <w:sz w:val="20"/>
                <w:szCs w:val="20"/>
                <w:lang w:val="bg-BG"/>
              </w:rPr>
            </w:pPr>
          </w:p>
          <w:p w14:paraId="6AB0D076" w14:textId="77777777" w:rsidR="00EB1BCB" w:rsidRDefault="00EB1BCB" w:rsidP="00D32D6A">
            <w:pPr>
              <w:jc w:val="center"/>
              <w:rPr>
                <w:rFonts w:ascii="Times New Roman" w:hAnsi="Times New Roman" w:cs="Times New Roman"/>
                <w:sz w:val="20"/>
                <w:szCs w:val="20"/>
                <w:lang w:val="bg-BG"/>
              </w:rPr>
            </w:pPr>
            <w:r>
              <w:rPr>
                <w:rFonts w:ascii="Times New Roman" w:hAnsi="Times New Roman" w:cs="Times New Roman"/>
                <w:sz w:val="20"/>
                <w:szCs w:val="20"/>
                <w:lang w:val="bg-BG"/>
              </w:rPr>
              <w:t>2027</w:t>
            </w:r>
          </w:p>
          <w:p w14:paraId="4A75242C" w14:textId="77777777" w:rsidR="00EB1BCB" w:rsidRDefault="00EB1BCB" w:rsidP="00D32D6A">
            <w:pPr>
              <w:jc w:val="center"/>
              <w:rPr>
                <w:rFonts w:ascii="Times New Roman" w:hAnsi="Times New Roman" w:cs="Times New Roman"/>
                <w:sz w:val="20"/>
                <w:szCs w:val="20"/>
                <w:lang w:val="bg-BG"/>
              </w:rPr>
            </w:pPr>
          </w:p>
          <w:p w14:paraId="0F265B67" w14:textId="77777777" w:rsidR="00EB1BCB" w:rsidRDefault="00EB1BCB" w:rsidP="00D32D6A">
            <w:pPr>
              <w:jc w:val="center"/>
              <w:rPr>
                <w:rFonts w:ascii="Times New Roman" w:hAnsi="Times New Roman" w:cs="Times New Roman"/>
                <w:sz w:val="20"/>
                <w:szCs w:val="20"/>
                <w:lang w:val="bg-BG"/>
              </w:rPr>
            </w:pPr>
          </w:p>
          <w:p w14:paraId="117D8930" w14:textId="77777777" w:rsidR="00EB1BCB" w:rsidRDefault="00EB1BCB" w:rsidP="00D32D6A">
            <w:pPr>
              <w:jc w:val="center"/>
              <w:rPr>
                <w:rFonts w:ascii="Times New Roman" w:hAnsi="Times New Roman" w:cs="Times New Roman"/>
                <w:sz w:val="20"/>
                <w:szCs w:val="20"/>
                <w:lang w:val="bg-BG"/>
              </w:rPr>
            </w:pPr>
          </w:p>
          <w:p w14:paraId="6BCDF165" w14:textId="77777777" w:rsidR="00EB1BCB" w:rsidRDefault="00EB1BCB" w:rsidP="00D32D6A">
            <w:pPr>
              <w:jc w:val="center"/>
              <w:rPr>
                <w:rFonts w:ascii="Times New Roman" w:hAnsi="Times New Roman" w:cs="Times New Roman"/>
                <w:sz w:val="20"/>
                <w:szCs w:val="20"/>
                <w:lang w:val="bg-BG"/>
              </w:rPr>
            </w:pPr>
          </w:p>
          <w:p w14:paraId="4C01A80B" w14:textId="77777777" w:rsidR="00EB1BCB" w:rsidRDefault="00EB1BCB" w:rsidP="00D32D6A">
            <w:pPr>
              <w:jc w:val="center"/>
              <w:rPr>
                <w:rFonts w:ascii="Times New Roman" w:hAnsi="Times New Roman" w:cs="Times New Roman"/>
                <w:sz w:val="20"/>
                <w:szCs w:val="20"/>
                <w:lang w:val="bg-BG"/>
              </w:rPr>
            </w:pPr>
          </w:p>
          <w:p w14:paraId="57E9DCEA" w14:textId="77777777" w:rsidR="00EB1BCB" w:rsidRDefault="00EB1BCB" w:rsidP="00D32D6A">
            <w:pPr>
              <w:jc w:val="center"/>
              <w:rPr>
                <w:rFonts w:ascii="Times New Roman" w:hAnsi="Times New Roman" w:cs="Times New Roman"/>
                <w:sz w:val="20"/>
                <w:szCs w:val="20"/>
                <w:lang w:val="bg-BG"/>
              </w:rPr>
            </w:pPr>
          </w:p>
          <w:p w14:paraId="13E9A858" w14:textId="77777777" w:rsidR="00EB1BCB" w:rsidRDefault="00EB1BCB" w:rsidP="00D32D6A">
            <w:pPr>
              <w:jc w:val="center"/>
              <w:rPr>
                <w:rFonts w:ascii="Times New Roman" w:hAnsi="Times New Roman" w:cs="Times New Roman"/>
                <w:sz w:val="20"/>
                <w:szCs w:val="20"/>
                <w:lang w:val="bg-BG"/>
              </w:rPr>
            </w:pPr>
            <w:r>
              <w:rPr>
                <w:rFonts w:ascii="Times New Roman" w:hAnsi="Times New Roman" w:cs="Times New Roman"/>
                <w:sz w:val="20"/>
                <w:szCs w:val="20"/>
                <w:lang w:val="bg-BG"/>
              </w:rPr>
              <w:t>2026</w:t>
            </w:r>
          </w:p>
          <w:p w14:paraId="53E65D00" w14:textId="77777777" w:rsidR="00EB1BCB" w:rsidRDefault="00EB1BCB" w:rsidP="00D32D6A">
            <w:pPr>
              <w:jc w:val="center"/>
              <w:rPr>
                <w:rFonts w:ascii="Times New Roman" w:hAnsi="Times New Roman" w:cs="Times New Roman"/>
                <w:sz w:val="20"/>
                <w:szCs w:val="20"/>
                <w:lang w:val="bg-BG"/>
              </w:rPr>
            </w:pPr>
          </w:p>
          <w:p w14:paraId="7FFFD602" w14:textId="77777777" w:rsidR="00EB1BCB" w:rsidRDefault="00EB1BCB" w:rsidP="00D32D6A">
            <w:pPr>
              <w:jc w:val="center"/>
              <w:rPr>
                <w:rFonts w:ascii="Times New Roman" w:hAnsi="Times New Roman" w:cs="Times New Roman"/>
                <w:sz w:val="20"/>
                <w:szCs w:val="20"/>
                <w:lang w:val="bg-BG"/>
              </w:rPr>
            </w:pPr>
          </w:p>
          <w:p w14:paraId="074EE34D" w14:textId="6F95D0CA" w:rsidR="00EB1BCB" w:rsidRPr="00610B1B" w:rsidRDefault="001B06F9" w:rsidP="00D32D6A">
            <w:pPr>
              <w:jc w:val="center"/>
              <w:rPr>
                <w:rFonts w:ascii="Times New Roman" w:hAnsi="Times New Roman" w:cs="Times New Roman"/>
                <w:sz w:val="20"/>
                <w:szCs w:val="20"/>
                <w:lang w:val="bg-BG"/>
              </w:rPr>
            </w:pPr>
            <w:r>
              <w:rPr>
                <w:rFonts w:ascii="Times New Roman" w:hAnsi="Times New Roman" w:cs="Times New Roman"/>
                <w:sz w:val="20"/>
                <w:szCs w:val="20"/>
                <w:lang w:val="bg-BG"/>
              </w:rPr>
              <w:t>постоянен</w:t>
            </w:r>
          </w:p>
        </w:tc>
      </w:tr>
      <w:tr w:rsidR="00695BEA" w:rsidRPr="00610B1B" w14:paraId="6FE81E1A" w14:textId="77777777" w:rsidTr="00537D06">
        <w:tc>
          <w:tcPr>
            <w:tcW w:w="426" w:type="dxa"/>
            <w:vMerge w:val="restart"/>
            <w:vAlign w:val="center"/>
          </w:tcPr>
          <w:p w14:paraId="77A86A3C" w14:textId="5375B938" w:rsidR="00695BEA" w:rsidRPr="00610B1B" w:rsidRDefault="00695BEA" w:rsidP="00537D06">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14</w:t>
            </w:r>
          </w:p>
        </w:tc>
        <w:tc>
          <w:tcPr>
            <w:tcW w:w="2693" w:type="dxa"/>
            <w:vMerge w:val="restart"/>
            <w:vAlign w:val="center"/>
          </w:tcPr>
          <w:p w14:paraId="13007836" w14:textId="401D75BF" w:rsidR="00695BEA" w:rsidRPr="00610B1B" w:rsidRDefault="00695BEA"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Общи препоръки</w:t>
            </w:r>
          </w:p>
        </w:tc>
        <w:tc>
          <w:tcPr>
            <w:tcW w:w="5387" w:type="dxa"/>
          </w:tcPr>
          <w:p w14:paraId="14105F33" w14:textId="6654A9A0" w:rsidR="00695BEA" w:rsidRPr="00610B1B" w:rsidRDefault="00695BEA" w:rsidP="00C47564">
            <w:pPr>
              <w:tabs>
                <w:tab w:val="left" w:pos="593"/>
              </w:tabs>
              <w:rPr>
                <w:rFonts w:ascii="Times New Roman" w:hAnsi="Times New Roman" w:cs="Times New Roman"/>
                <w:sz w:val="20"/>
                <w:szCs w:val="20"/>
                <w:lang w:val="bg-BG"/>
              </w:rPr>
            </w:pPr>
            <w:r w:rsidRPr="00610B1B">
              <w:rPr>
                <w:rFonts w:ascii="Times New Roman" w:hAnsi="Times New Roman" w:cs="Times New Roman"/>
                <w:sz w:val="20"/>
                <w:szCs w:val="20"/>
                <w:lang w:val="bg-BG"/>
              </w:rPr>
              <w:t>14.1. Регламентиране на единен стандарт и правила за събиране и поддържане на информацията за морско пространствено планиране и предаването ѝ към Европейски и международни институции</w:t>
            </w:r>
          </w:p>
        </w:tc>
        <w:tc>
          <w:tcPr>
            <w:tcW w:w="1984" w:type="dxa"/>
          </w:tcPr>
          <w:p w14:paraId="5320E81D" w14:textId="4CC596C8" w:rsidR="00695BEA" w:rsidRPr="00610B1B" w:rsidRDefault="00695BEA" w:rsidP="00C47564">
            <w:pPr>
              <w:rPr>
                <w:rFonts w:ascii="Times New Roman" w:hAnsi="Times New Roman" w:cs="Times New Roman"/>
                <w:sz w:val="20"/>
                <w:szCs w:val="20"/>
                <w:lang w:val="bg-BG"/>
              </w:rPr>
            </w:pPr>
            <w:r w:rsidRPr="00610B1B">
              <w:rPr>
                <w:rFonts w:ascii="Times New Roman" w:hAnsi="Times New Roman" w:cs="Times New Roman"/>
                <w:sz w:val="20"/>
                <w:szCs w:val="20"/>
                <w:lang w:val="bg-BG"/>
              </w:rPr>
              <w:t>МРРБ, всички институции, ангажирани с поддържането на данните</w:t>
            </w:r>
          </w:p>
        </w:tc>
        <w:tc>
          <w:tcPr>
            <w:tcW w:w="3232" w:type="dxa"/>
          </w:tcPr>
          <w:p w14:paraId="30759068" w14:textId="0CE60D2F" w:rsidR="00695BEA" w:rsidRPr="00610B1B" w:rsidRDefault="00695BEA" w:rsidP="00C47564">
            <w:pPr>
              <w:rPr>
                <w:rFonts w:ascii="Times New Roman" w:hAnsi="Times New Roman" w:cs="Times New Roman"/>
                <w:sz w:val="20"/>
                <w:szCs w:val="20"/>
                <w:lang w:val="bg-BG"/>
              </w:rPr>
            </w:pPr>
            <w:r w:rsidRPr="00610B1B">
              <w:rPr>
                <w:rFonts w:ascii="Times New Roman" w:hAnsi="Times New Roman" w:cs="Times New Roman"/>
                <w:sz w:val="20"/>
                <w:szCs w:val="20"/>
                <w:lang w:val="bg-BG"/>
              </w:rPr>
              <w:t>Подобряване на информационната осигуреност на морското</w:t>
            </w:r>
            <w:r w:rsidRPr="00610B1B">
              <w:rPr>
                <w:rFonts w:ascii="Times New Roman" w:hAnsi="Times New Roman" w:cs="Times New Roman"/>
                <w:lang w:val="bg-BG"/>
              </w:rPr>
              <w:t xml:space="preserve"> </w:t>
            </w:r>
            <w:r w:rsidRPr="00610B1B">
              <w:rPr>
                <w:rFonts w:ascii="Times New Roman" w:hAnsi="Times New Roman" w:cs="Times New Roman"/>
                <w:sz w:val="20"/>
                <w:szCs w:val="20"/>
                <w:lang w:val="bg-BG"/>
              </w:rPr>
              <w:t>пространствено планиране</w:t>
            </w:r>
          </w:p>
        </w:tc>
        <w:tc>
          <w:tcPr>
            <w:tcW w:w="1376" w:type="dxa"/>
            <w:vAlign w:val="center"/>
          </w:tcPr>
          <w:p w14:paraId="2931A087" w14:textId="003881F3" w:rsidR="00695BEA" w:rsidRPr="00610B1B" w:rsidRDefault="00695BEA" w:rsidP="009E604E">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2021</w:t>
            </w:r>
          </w:p>
        </w:tc>
      </w:tr>
      <w:tr w:rsidR="00695BEA" w:rsidRPr="00610B1B" w14:paraId="40D525BF" w14:textId="77777777" w:rsidTr="00537D06">
        <w:tc>
          <w:tcPr>
            <w:tcW w:w="426" w:type="dxa"/>
            <w:vMerge/>
            <w:vAlign w:val="center"/>
          </w:tcPr>
          <w:p w14:paraId="7FD88399" w14:textId="77777777" w:rsidR="00695BEA" w:rsidRPr="00610B1B" w:rsidRDefault="00695BEA" w:rsidP="00537D06">
            <w:pPr>
              <w:jc w:val="center"/>
              <w:rPr>
                <w:rFonts w:ascii="Times New Roman" w:hAnsi="Times New Roman" w:cs="Times New Roman"/>
                <w:sz w:val="20"/>
                <w:szCs w:val="20"/>
                <w:lang w:val="bg-BG"/>
              </w:rPr>
            </w:pPr>
          </w:p>
        </w:tc>
        <w:tc>
          <w:tcPr>
            <w:tcW w:w="2693" w:type="dxa"/>
            <w:vMerge/>
            <w:vAlign w:val="center"/>
          </w:tcPr>
          <w:p w14:paraId="303D726E" w14:textId="77777777" w:rsidR="00695BEA" w:rsidRPr="00610B1B" w:rsidRDefault="00695BEA" w:rsidP="00537D06">
            <w:pPr>
              <w:rPr>
                <w:rFonts w:ascii="Times New Roman" w:hAnsi="Times New Roman" w:cs="Times New Roman"/>
                <w:sz w:val="20"/>
                <w:szCs w:val="20"/>
                <w:lang w:val="bg-BG"/>
              </w:rPr>
            </w:pPr>
          </w:p>
        </w:tc>
        <w:tc>
          <w:tcPr>
            <w:tcW w:w="5387" w:type="dxa"/>
          </w:tcPr>
          <w:p w14:paraId="405BA487" w14:textId="0E0CFD71" w:rsidR="00695BEA" w:rsidRPr="00610B1B" w:rsidRDefault="00695BEA" w:rsidP="00C47564">
            <w:pPr>
              <w:tabs>
                <w:tab w:val="left" w:pos="593"/>
              </w:tabs>
              <w:rPr>
                <w:rFonts w:ascii="Times New Roman" w:hAnsi="Times New Roman" w:cs="Times New Roman"/>
                <w:sz w:val="20"/>
                <w:szCs w:val="20"/>
                <w:lang w:val="bg-BG"/>
              </w:rPr>
            </w:pPr>
            <w:r w:rsidRPr="00610B1B">
              <w:rPr>
                <w:rFonts w:ascii="Times New Roman" w:hAnsi="Times New Roman" w:cs="Times New Roman"/>
                <w:sz w:val="20"/>
                <w:szCs w:val="20"/>
                <w:lang w:val="bg-BG"/>
              </w:rPr>
              <w:t>14.2. Съобразяване на ИТСР на двата региона и на ОУПО на крайбрежните общини с предвижданията и функционалното зониране на МППРБ</w:t>
            </w:r>
          </w:p>
        </w:tc>
        <w:tc>
          <w:tcPr>
            <w:tcW w:w="1984" w:type="dxa"/>
          </w:tcPr>
          <w:p w14:paraId="16C39C39" w14:textId="06138EFB" w:rsidR="00695BEA" w:rsidRPr="00610B1B" w:rsidRDefault="00695BEA" w:rsidP="00C47564">
            <w:pPr>
              <w:rPr>
                <w:rFonts w:ascii="Times New Roman" w:hAnsi="Times New Roman" w:cs="Times New Roman"/>
                <w:sz w:val="20"/>
                <w:szCs w:val="20"/>
                <w:lang w:val="bg-BG"/>
              </w:rPr>
            </w:pPr>
            <w:r w:rsidRPr="00610B1B">
              <w:rPr>
                <w:rFonts w:ascii="Times New Roman" w:hAnsi="Times New Roman" w:cs="Times New Roman"/>
                <w:sz w:val="20"/>
                <w:szCs w:val="20"/>
                <w:lang w:val="bg-BG"/>
              </w:rPr>
              <w:t>МРРБ, Регионални и местни власти</w:t>
            </w:r>
          </w:p>
        </w:tc>
        <w:tc>
          <w:tcPr>
            <w:tcW w:w="3232" w:type="dxa"/>
          </w:tcPr>
          <w:p w14:paraId="694CEDA1" w14:textId="3760F2A6" w:rsidR="00695BEA" w:rsidRPr="00610B1B" w:rsidRDefault="00695BEA" w:rsidP="00C47564">
            <w:pPr>
              <w:rPr>
                <w:rFonts w:ascii="Times New Roman" w:hAnsi="Times New Roman" w:cs="Times New Roman"/>
                <w:sz w:val="20"/>
                <w:szCs w:val="20"/>
                <w:lang w:val="bg-BG"/>
              </w:rPr>
            </w:pPr>
            <w:r w:rsidRPr="00610B1B">
              <w:rPr>
                <w:rFonts w:ascii="Times New Roman" w:hAnsi="Times New Roman" w:cs="Times New Roman"/>
                <w:sz w:val="20"/>
                <w:szCs w:val="20"/>
                <w:lang w:val="bg-BG"/>
              </w:rPr>
              <w:t>Координиране на териториалното с морското</w:t>
            </w:r>
            <w:r w:rsidRPr="00610B1B">
              <w:rPr>
                <w:rFonts w:ascii="Times New Roman" w:hAnsi="Times New Roman" w:cs="Times New Roman"/>
                <w:lang w:val="bg-BG"/>
              </w:rPr>
              <w:t xml:space="preserve"> </w:t>
            </w:r>
            <w:r w:rsidRPr="00610B1B">
              <w:rPr>
                <w:rFonts w:ascii="Times New Roman" w:hAnsi="Times New Roman" w:cs="Times New Roman"/>
                <w:sz w:val="20"/>
                <w:szCs w:val="20"/>
                <w:lang w:val="bg-BG"/>
              </w:rPr>
              <w:t>пространствено планиране</w:t>
            </w:r>
          </w:p>
        </w:tc>
        <w:tc>
          <w:tcPr>
            <w:tcW w:w="1376" w:type="dxa"/>
            <w:vAlign w:val="center"/>
          </w:tcPr>
          <w:p w14:paraId="474518CC" w14:textId="1D499E60" w:rsidR="00695BEA" w:rsidRPr="00610B1B" w:rsidRDefault="00695BEA" w:rsidP="00C47564">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2021</w:t>
            </w:r>
          </w:p>
        </w:tc>
      </w:tr>
      <w:tr w:rsidR="00695BEA" w:rsidRPr="00610B1B" w14:paraId="6AF15381" w14:textId="77777777" w:rsidTr="00537D06">
        <w:tc>
          <w:tcPr>
            <w:tcW w:w="426" w:type="dxa"/>
            <w:vMerge/>
            <w:vAlign w:val="center"/>
          </w:tcPr>
          <w:p w14:paraId="44980201" w14:textId="77777777" w:rsidR="00695BEA" w:rsidRPr="00610B1B" w:rsidRDefault="00695BEA" w:rsidP="00537D06">
            <w:pPr>
              <w:jc w:val="center"/>
              <w:rPr>
                <w:rFonts w:ascii="Times New Roman" w:hAnsi="Times New Roman" w:cs="Times New Roman"/>
                <w:sz w:val="20"/>
                <w:szCs w:val="20"/>
                <w:lang w:val="bg-BG"/>
              </w:rPr>
            </w:pPr>
          </w:p>
        </w:tc>
        <w:tc>
          <w:tcPr>
            <w:tcW w:w="2693" w:type="dxa"/>
            <w:vMerge/>
            <w:vAlign w:val="center"/>
          </w:tcPr>
          <w:p w14:paraId="1691C6A5" w14:textId="77777777" w:rsidR="00695BEA" w:rsidRPr="00610B1B" w:rsidRDefault="00695BEA" w:rsidP="00537D06">
            <w:pPr>
              <w:rPr>
                <w:rFonts w:ascii="Times New Roman" w:hAnsi="Times New Roman" w:cs="Times New Roman"/>
                <w:sz w:val="20"/>
                <w:szCs w:val="20"/>
                <w:lang w:val="bg-BG"/>
              </w:rPr>
            </w:pPr>
          </w:p>
        </w:tc>
        <w:tc>
          <w:tcPr>
            <w:tcW w:w="5387" w:type="dxa"/>
          </w:tcPr>
          <w:p w14:paraId="717E5917" w14:textId="22A654C5" w:rsidR="00695BEA" w:rsidRPr="00610B1B" w:rsidRDefault="00695BEA" w:rsidP="00C47564">
            <w:pPr>
              <w:tabs>
                <w:tab w:val="left" w:pos="593"/>
              </w:tabs>
              <w:rPr>
                <w:rFonts w:ascii="Times New Roman" w:hAnsi="Times New Roman" w:cs="Times New Roman"/>
                <w:sz w:val="20"/>
                <w:szCs w:val="20"/>
                <w:lang w:val="bg-BG"/>
              </w:rPr>
            </w:pPr>
            <w:r w:rsidRPr="00610B1B">
              <w:rPr>
                <w:rFonts w:ascii="Times New Roman" w:hAnsi="Times New Roman" w:cs="Times New Roman"/>
                <w:sz w:val="20"/>
                <w:szCs w:val="20"/>
                <w:lang w:val="bg-BG"/>
              </w:rPr>
              <w:t>14.3. Популяризиране на МППРБ на всички нива, като се използват различни средства и участници – медии, общини, сдружения, НПО и др.</w:t>
            </w:r>
          </w:p>
        </w:tc>
        <w:tc>
          <w:tcPr>
            <w:tcW w:w="1984" w:type="dxa"/>
          </w:tcPr>
          <w:p w14:paraId="172CCD8E" w14:textId="04DEA392" w:rsidR="00695BEA" w:rsidRPr="00610B1B" w:rsidRDefault="00695BEA" w:rsidP="00C47564">
            <w:pPr>
              <w:rPr>
                <w:rFonts w:ascii="Times New Roman" w:hAnsi="Times New Roman" w:cs="Times New Roman"/>
                <w:sz w:val="20"/>
                <w:szCs w:val="20"/>
                <w:lang w:val="bg-BG"/>
              </w:rPr>
            </w:pPr>
            <w:r w:rsidRPr="00610B1B">
              <w:rPr>
                <w:rFonts w:ascii="Times New Roman" w:hAnsi="Times New Roman" w:cs="Times New Roman"/>
                <w:sz w:val="20"/>
                <w:szCs w:val="20"/>
                <w:lang w:val="bg-BG"/>
              </w:rPr>
              <w:t>МРРБ, местни власти, НПО</w:t>
            </w:r>
          </w:p>
        </w:tc>
        <w:tc>
          <w:tcPr>
            <w:tcW w:w="3232" w:type="dxa"/>
          </w:tcPr>
          <w:p w14:paraId="2CD6805A" w14:textId="35C0A741" w:rsidR="00695BEA" w:rsidRPr="00610B1B" w:rsidRDefault="00695BEA" w:rsidP="00C47564">
            <w:pPr>
              <w:rPr>
                <w:rFonts w:ascii="Times New Roman" w:hAnsi="Times New Roman" w:cs="Times New Roman"/>
                <w:sz w:val="20"/>
                <w:szCs w:val="20"/>
                <w:lang w:val="bg-BG"/>
              </w:rPr>
            </w:pPr>
            <w:r w:rsidRPr="00610B1B">
              <w:rPr>
                <w:rFonts w:ascii="Times New Roman" w:hAnsi="Times New Roman" w:cs="Times New Roman"/>
                <w:sz w:val="20"/>
                <w:szCs w:val="20"/>
                <w:lang w:val="bg-BG"/>
              </w:rPr>
              <w:t>Осигуряване на достъпност и информираност за плана, както за отговорните институции, така и за обществото, участващо в контрола по неговото прилагане.</w:t>
            </w:r>
          </w:p>
        </w:tc>
        <w:tc>
          <w:tcPr>
            <w:tcW w:w="1376" w:type="dxa"/>
            <w:vAlign w:val="center"/>
          </w:tcPr>
          <w:p w14:paraId="3C06C647" w14:textId="0EECA184" w:rsidR="00695BEA" w:rsidRPr="00610B1B" w:rsidRDefault="00695BEA" w:rsidP="00C47564">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Постоянен</w:t>
            </w:r>
          </w:p>
        </w:tc>
      </w:tr>
      <w:tr w:rsidR="00192B75" w:rsidRPr="00610B1B" w14:paraId="110ACE92" w14:textId="77777777" w:rsidTr="00192B75">
        <w:tc>
          <w:tcPr>
            <w:tcW w:w="426" w:type="dxa"/>
            <w:vAlign w:val="center"/>
          </w:tcPr>
          <w:p w14:paraId="47A02D5A" w14:textId="77777777" w:rsidR="00192B75" w:rsidRPr="00610B1B" w:rsidRDefault="00192B75" w:rsidP="00192B75">
            <w:pPr>
              <w:jc w:val="center"/>
              <w:rPr>
                <w:rFonts w:ascii="Times New Roman" w:hAnsi="Times New Roman" w:cs="Times New Roman"/>
                <w:sz w:val="20"/>
                <w:szCs w:val="20"/>
                <w:lang w:val="bg-BG"/>
              </w:rPr>
            </w:pPr>
          </w:p>
        </w:tc>
        <w:tc>
          <w:tcPr>
            <w:tcW w:w="2693" w:type="dxa"/>
            <w:vAlign w:val="center"/>
          </w:tcPr>
          <w:p w14:paraId="66F8C1E4" w14:textId="77777777" w:rsidR="00192B75" w:rsidRPr="00610B1B" w:rsidRDefault="00192B75" w:rsidP="00192B75">
            <w:pPr>
              <w:rPr>
                <w:rFonts w:ascii="Times New Roman" w:hAnsi="Times New Roman" w:cs="Times New Roman"/>
                <w:sz w:val="20"/>
                <w:szCs w:val="20"/>
                <w:lang w:val="bg-BG"/>
              </w:rPr>
            </w:pPr>
          </w:p>
        </w:tc>
        <w:tc>
          <w:tcPr>
            <w:tcW w:w="5387" w:type="dxa"/>
          </w:tcPr>
          <w:p w14:paraId="7BA9CC1C" w14:textId="77777777" w:rsidR="00192B75" w:rsidRPr="00610B1B" w:rsidRDefault="00192B75" w:rsidP="00192B75">
            <w:pPr>
              <w:tabs>
                <w:tab w:val="left" w:pos="593"/>
              </w:tabs>
              <w:rPr>
                <w:rFonts w:ascii="Times New Roman" w:hAnsi="Times New Roman" w:cs="Times New Roman"/>
                <w:sz w:val="20"/>
                <w:szCs w:val="20"/>
                <w:lang w:val="bg-BG"/>
              </w:rPr>
            </w:pPr>
            <w:r w:rsidRPr="00002A51">
              <w:rPr>
                <w:rFonts w:ascii="Times New Roman" w:hAnsi="Times New Roman" w:cs="Times New Roman"/>
                <w:sz w:val="20"/>
                <w:szCs w:val="20"/>
                <w:lang w:val="bg-BG"/>
              </w:rPr>
              <w:t>1</w:t>
            </w:r>
            <w:r w:rsidRPr="00610B1B">
              <w:rPr>
                <w:rFonts w:ascii="Times New Roman" w:hAnsi="Times New Roman" w:cs="Times New Roman"/>
                <w:sz w:val="20"/>
                <w:szCs w:val="20"/>
                <w:lang w:val="bg-BG"/>
              </w:rPr>
              <w:t>4.4. Развитие на система за наблюдение и контрол на</w:t>
            </w:r>
          </w:p>
          <w:p w14:paraId="3C083C64" w14:textId="77777777" w:rsidR="00192B75" w:rsidRPr="00610B1B" w:rsidRDefault="00192B75" w:rsidP="00192B75">
            <w:pPr>
              <w:tabs>
                <w:tab w:val="left" w:pos="593"/>
              </w:tabs>
              <w:rPr>
                <w:rFonts w:ascii="Times New Roman" w:hAnsi="Times New Roman" w:cs="Times New Roman"/>
                <w:sz w:val="20"/>
                <w:szCs w:val="20"/>
                <w:lang w:val="bg-BG"/>
              </w:rPr>
            </w:pPr>
            <w:r w:rsidRPr="00610B1B">
              <w:rPr>
                <w:rFonts w:ascii="Times New Roman" w:hAnsi="Times New Roman" w:cs="Times New Roman"/>
                <w:sz w:val="20"/>
                <w:szCs w:val="20"/>
                <w:lang w:val="bg-BG"/>
              </w:rPr>
              <w:t>морската околна среда - разливи в морето от изхвърляне на</w:t>
            </w:r>
          </w:p>
          <w:p w14:paraId="2301A9A9" w14:textId="77777777" w:rsidR="00192B75" w:rsidRPr="00610B1B" w:rsidRDefault="00192B75" w:rsidP="00192B75">
            <w:pPr>
              <w:tabs>
                <w:tab w:val="left" w:pos="593"/>
              </w:tabs>
              <w:rPr>
                <w:rFonts w:ascii="Times New Roman" w:hAnsi="Times New Roman" w:cs="Times New Roman"/>
                <w:sz w:val="20"/>
                <w:szCs w:val="20"/>
                <w:lang w:val="bg-BG"/>
              </w:rPr>
            </w:pPr>
            <w:r w:rsidRPr="00610B1B">
              <w:rPr>
                <w:rFonts w:ascii="Times New Roman" w:hAnsi="Times New Roman" w:cs="Times New Roman"/>
                <w:sz w:val="20"/>
                <w:szCs w:val="20"/>
                <w:lang w:val="bg-BG"/>
              </w:rPr>
              <w:t>корабни отпадъци, спазване на ограниченията за защитени</w:t>
            </w:r>
          </w:p>
          <w:p w14:paraId="11D6905D" w14:textId="77777777" w:rsidR="00192B75" w:rsidRPr="00610B1B" w:rsidRDefault="00192B75" w:rsidP="00192B75">
            <w:pPr>
              <w:tabs>
                <w:tab w:val="left" w:pos="593"/>
              </w:tabs>
              <w:rPr>
                <w:rFonts w:ascii="Times New Roman" w:hAnsi="Times New Roman" w:cs="Times New Roman"/>
                <w:sz w:val="20"/>
                <w:szCs w:val="20"/>
                <w:lang w:val="bg-BG"/>
              </w:rPr>
            </w:pPr>
            <w:r w:rsidRPr="00610B1B">
              <w:rPr>
                <w:rFonts w:ascii="Times New Roman" w:hAnsi="Times New Roman" w:cs="Times New Roman"/>
                <w:sz w:val="20"/>
                <w:szCs w:val="20"/>
                <w:lang w:val="bg-BG"/>
              </w:rPr>
              <w:t>територии, защитени зони, подводно културно наследство и</w:t>
            </w:r>
          </w:p>
          <w:p w14:paraId="70332CC1" w14:textId="6F6CFCB3" w:rsidR="00192B75" w:rsidRPr="00610B1B" w:rsidRDefault="00192B75" w:rsidP="00192B75">
            <w:pPr>
              <w:tabs>
                <w:tab w:val="left" w:pos="593"/>
              </w:tabs>
              <w:rPr>
                <w:rFonts w:ascii="Times New Roman" w:hAnsi="Times New Roman" w:cs="Times New Roman"/>
                <w:sz w:val="20"/>
                <w:szCs w:val="20"/>
                <w:lang w:val="bg-BG"/>
              </w:rPr>
            </w:pPr>
            <w:r w:rsidRPr="00610B1B">
              <w:rPr>
                <w:rFonts w:ascii="Times New Roman" w:hAnsi="Times New Roman" w:cs="Times New Roman"/>
                <w:sz w:val="20"/>
                <w:szCs w:val="20"/>
                <w:lang w:val="bg-BG"/>
              </w:rPr>
              <w:t>използване на морските ресурси</w:t>
            </w:r>
          </w:p>
        </w:tc>
        <w:tc>
          <w:tcPr>
            <w:tcW w:w="1984" w:type="dxa"/>
          </w:tcPr>
          <w:p w14:paraId="7648DBA6" w14:textId="432752B7" w:rsidR="00192B75" w:rsidRPr="00610B1B" w:rsidRDefault="00192B75" w:rsidP="00192B75">
            <w:pPr>
              <w:rPr>
                <w:rFonts w:ascii="Times New Roman" w:hAnsi="Times New Roman" w:cs="Times New Roman"/>
                <w:sz w:val="20"/>
                <w:szCs w:val="20"/>
                <w:lang w:val="bg-BG"/>
              </w:rPr>
            </w:pPr>
            <w:r w:rsidRPr="00610B1B">
              <w:rPr>
                <w:rFonts w:ascii="Times New Roman" w:hAnsi="Times New Roman" w:cs="Times New Roman"/>
                <w:sz w:val="20"/>
                <w:szCs w:val="20"/>
                <w:lang w:val="bg-BG"/>
              </w:rPr>
              <w:t>МОСВ, МРРБ, местни власти, РИОСВ</w:t>
            </w:r>
          </w:p>
        </w:tc>
        <w:tc>
          <w:tcPr>
            <w:tcW w:w="3232" w:type="dxa"/>
          </w:tcPr>
          <w:p w14:paraId="641F731A" w14:textId="569D21B4" w:rsidR="00192B75" w:rsidRPr="00610B1B" w:rsidRDefault="00192B75" w:rsidP="00192B75">
            <w:pPr>
              <w:rPr>
                <w:rFonts w:ascii="Times New Roman" w:hAnsi="Times New Roman" w:cs="Times New Roman"/>
                <w:sz w:val="20"/>
                <w:szCs w:val="20"/>
                <w:lang w:val="bg-BG"/>
              </w:rPr>
            </w:pPr>
            <w:r w:rsidRPr="00610B1B">
              <w:rPr>
                <w:rFonts w:ascii="Times New Roman" w:hAnsi="Times New Roman" w:cs="Times New Roman"/>
                <w:sz w:val="20"/>
                <w:szCs w:val="20"/>
                <w:lang w:val="bg-BG"/>
              </w:rPr>
              <w:t>Следене състоянието на околната морска среда и ограничаване негативното въздействие</w:t>
            </w:r>
          </w:p>
        </w:tc>
        <w:tc>
          <w:tcPr>
            <w:tcW w:w="1376" w:type="dxa"/>
          </w:tcPr>
          <w:p w14:paraId="258F99C5" w14:textId="7A827591" w:rsidR="00192B75" w:rsidRPr="00610B1B" w:rsidRDefault="00C942D5" w:rsidP="00192B75">
            <w:pPr>
              <w:jc w:val="center"/>
              <w:rPr>
                <w:rFonts w:ascii="Times New Roman" w:hAnsi="Times New Roman" w:cs="Times New Roman"/>
                <w:sz w:val="20"/>
                <w:szCs w:val="20"/>
                <w:lang w:val="bg-BG"/>
              </w:rPr>
            </w:pPr>
            <w:r w:rsidRPr="00610B1B">
              <w:rPr>
                <w:rFonts w:ascii="Times New Roman" w:hAnsi="Times New Roman" w:cs="Times New Roman"/>
                <w:sz w:val="20"/>
                <w:szCs w:val="20"/>
                <w:lang w:val="bg-BG"/>
              </w:rPr>
              <w:t>Постоянен</w:t>
            </w:r>
          </w:p>
        </w:tc>
      </w:tr>
    </w:tbl>
    <w:p w14:paraId="344793C3" w14:textId="38FC6AC5" w:rsidR="00C519AD" w:rsidRPr="00610B1B" w:rsidRDefault="00C519AD" w:rsidP="00D32D6A">
      <w:pPr>
        <w:spacing w:after="120"/>
        <w:rPr>
          <w:rFonts w:ascii="Times New Roman" w:hAnsi="Times New Roman" w:cs="Times New Roman"/>
          <w:sz w:val="20"/>
          <w:szCs w:val="20"/>
          <w:lang w:val="bg-BG"/>
        </w:rPr>
      </w:pPr>
    </w:p>
    <w:p w14:paraId="4698D39E" w14:textId="77777777" w:rsidR="00C519AD" w:rsidRPr="00610B1B" w:rsidRDefault="00C519AD" w:rsidP="00D32D6A">
      <w:pPr>
        <w:spacing w:after="120"/>
        <w:rPr>
          <w:rFonts w:ascii="Times New Roman" w:hAnsi="Times New Roman" w:cs="Times New Roman"/>
          <w:sz w:val="20"/>
          <w:szCs w:val="20"/>
          <w:lang w:val="bg-BG"/>
        </w:rPr>
      </w:pPr>
    </w:p>
    <w:p w14:paraId="77477CCF" w14:textId="77777777" w:rsidR="00601EFD" w:rsidRPr="00610B1B" w:rsidRDefault="00601EFD" w:rsidP="00D32D6A">
      <w:pPr>
        <w:spacing w:after="120"/>
        <w:rPr>
          <w:rFonts w:ascii="Times New Roman" w:hAnsi="Times New Roman" w:cs="Times New Roman"/>
          <w:sz w:val="20"/>
          <w:szCs w:val="20"/>
          <w:lang w:val="bg-BG"/>
        </w:rPr>
        <w:sectPr w:rsidR="00601EFD" w:rsidRPr="00610B1B" w:rsidSect="00FA7D60">
          <w:pgSz w:w="16839" w:h="11907" w:orient="landscape" w:code="9"/>
          <w:pgMar w:top="1440" w:right="1134" w:bottom="1440" w:left="1440" w:header="708" w:footer="708" w:gutter="0"/>
          <w:cols w:space="708"/>
          <w:docGrid w:linePitch="360"/>
        </w:sectPr>
      </w:pPr>
    </w:p>
    <w:p w14:paraId="5587B353" w14:textId="5CD65241" w:rsidR="00FF6A8A" w:rsidRPr="00610B1B" w:rsidRDefault="00601EFD" w:rsidP="00D32D6A">
      <w:pPr>
        <w:pStyle w:val="Default"/>
        <w:spacing w:after="120" w:line="276" w:lineRule="auto"/>
        <w:jc w:val="both"/>
        <w:rPr>
          <w:rStyle w:val="FontStyle12"/>
          <w:rFonts w:eastAsia="Source Han Sans CN Regular" w:cs="Times New Roman"/>
          <w:lang w:val="bg-BG"/>
        </w:rPr>
      </w:pPr>
      <w:r w:rsidRPr="00610B1B">
        <w:rPr>
          <w:rStyle w:val="FontStyle12"/>
          <w:rFonts w:eastAsia="Source Han Sans CN Regular" w:cs="Times New Roman"/>
          <w:lang w:val="bg-BG"/>
        </w:rPr>
        <w:lastRenderedPageBreak/>
        <w:t>Систематизираните в таблицата препоръки към различните ползвания и ползватели на морските пространства показват ясно, че повечето от тях са свързани с непосредств</w:t>
      </w:r>
      <w:r w:rsidR="009E01EF" w:rsidRPr="00610B1B">
        <w:rPr>
          <w:rStyle w:val="FontStyle12"/>
          <w:rFonts w:eastAsia="Source Han Sans CN Regular" w:cs="Times New Roman"/>
          <w:lang w:val="bg-BG"/>
        </w:rPr>
        <w:t>ен</w:t>
      </w:r>
      <w:r w:rsidRPr="00610B1B">
        <w:rPr>
          <w:rStyle w:val="FontStyle12"/>
          <w:rFonts w:eastAsia="Source Han Sans CN Regular" w:cs="Times New Roman"/>
          <w:lang w:val="bg-BG"/>
        </w:rPr>
        <w:t xml:space="preserve">ия краткосрочен хоризонт на плана след неговото приемане – 2024 г. </w:t>
      </w:r>
      <w:r w:rsidR="005E084F" w:rsidRPr="00610B1B">
        <w:rPr>
          <w:rStyle w:val="FontStyle12"/>
          <w:rFonts w:eastAsia="Source Han Sans CN Regular" w:cs="Times New Roman"/>
          <w:lang w:val="bg-BG"/>
        </w:rPr>
        <w:t>Това изисква бърза мобилизация на наличните ресурси в компетентните институции и координация на действията им за изпълнение на най-важните и неотложни действия за подобряване на състоянието на морската околна среда и постепенно възстановяване на онези ресурси, от които зависи устойчивото развитие на морските пространства.</w:t>
      </w:r>
    </w:p>
    <w:p w14:paraId="037597B9" w14:textId="5373C305" w:rsidR="00FF6A8A" w:rsidRPr="00610B1B" w:rsidRDefault="00FF6A8A" w:rsidP="00D32D6A">
      <w:pPr>
        <w:pStyle w:val="Default"/>
        <w:spacing w:after="120" w:line="276" w:lineRule="auto"/>
        <w:jc w:val="both"/>
        <w:rPr>
          <w:rStyle w:val="FontStyle12"/>
          <w:rFonts w:eastAsia="Source Han Sans CN Regular" w:cs="Times New Roman"/>
          <w:lang w:val="bg-BG"/>
        </w:rPr>
      </w:pPr>
      <w:r w:rsidRPr="00610B1B">
        <w:rPr>
          <w:rStyle w:val="FontStyle12"/>
          <w:rFonts w:eastAsia="Source Han Sans CN Regular" w:cs="Times New Roman"/>
          <w:lang w:val="bg-BG"/>
        </w:rPr>
        <w:t>Н</w:t>
      </w:r>
      <w:r w:rsidR="001F08F0" w:rsidRPr="00610B1B">
        <w:rPr>
          <w:rStyle w:val="FontStyle12"/>
          <w:rFonts w:eastAsia="Source Han Sans CN Regular" w:cs="Times New Roman"/>
          <w:lang w:val="bg-BG"/>
        </w:rPr>
        <w:t>ай-важни от всички препоръки са онези, които са насочени към подобряване на комуникацията между институциите</w:t>
      </w:r>
      <w:r w:rsidR="00D66FE0" w:rsidRPr="00610B1B">
        <w:rPr>
          <w:rStyle w:val="FontStyle12"/>
          <w:rFonts w:eastAsia="Source Han Sans CN Regular" w:cs="Times New Roman"/>
          <w:lang w:val="bg-BG"/>
        </w:rPr>
        <w:t xml:space="preserve"> </w:t>
      </w:r>
      <w:r w:rsidR="001F08F0" w:rsidRPr="00610B1B">
        <w:rPr>
          <w:rStyle w:val="FontStyle12"/>
          <w:rFonts w:eastAsia="Source Han Sans CN Regular" w:cs="Times New Roman"/>
          <w:lang w:val="bg-BG"/>
        </w:rPr>
        <w:t>за координация на дейностите и регламентиране на ангажимента за своевременно предоставяне на актуални данни в цифров формат</w:t>
      </w:r>
      <w:r w:rsidR="0077136B" w:rsidRPr="00610B1B">
        <w:rPr>
          <w:rStyle w:val="FontStyle12"/>
          <w:rFonts w:eastAsia="Source Han Sans CN Regular" w:cs="Times New Roman"/>
          <w:lang w:val="bg-BG"/>
        </w:rPr>
        <w:t xml:space="preserve"> за целите на морското пространствено планиране, преди предаването им към международни организации и европейски институции и мрежи.</w:t>
      </w:r>
    </w:p>
    <w:p w14:paraId="42AD7041" w14:textId="77777777" w:rsidR="005E084F" w:rsidRPr="00610B1B" w:rsidRDefault="005E084F" w:rsidP="009907CE">
      <w:pPr>
        <w:pStyle w:val="Default"/>
        <w:rPr>
          <w:rFonts w:cs="Times New Roman"/>
          <w:lang w:val="bg-BG"/>
        </w:rPr>
      </w:pPr>
    </w:p>
    <w:p w14:paraId="1013C8E4" w14:textId="349CEFAD" w:rsidR="0059309D" w:rsidRPr="00610B1B" w:rsidRDefault="00F37D59" w:rsidP="00D32D6A">
      <w:pPr>
        <w:pStyle w:val="Heading2"/>
        <w:spacing w:before="0" w:line="276" w:lineRule="auto"/>
        <w:ind w:right="-153"/>
        <w:rPr>
          <w:rFonts w:cs="Times New Roman"/>
        </w:rPr>
      </w:pPr>
      <w:bookmarkStart w:id="501" w:name="_Toc83391442"/>
      <w:r w:rsidRPr="00610B1B">
        <w:rPr>
          <w:rFonts w:cs="Times New Roman"/>
        </w:rPr>
        <w:t xml:space="preserve">7.4. </w:t>
      </w:r>
      <w:r w:rsidR="0059309D" w:rsidRPr="00610B1B">
        <w:rPr>
          <w:rFonts w:cs="Times New Roman"/>
        </w:rPr>
        <w:t>Система от индикатори за оценка на резултатите</w:t>
      </w:r>
      <w:r w:rsidR="00DE4B4C" w:rsidRPr="00610B1B">
        <w:rPr>
          <w:rFonts w:cs="Times New Roman"/>
        </w:rPr>
        <w:t xml:space="preserve"> от прилагането на МППРБ</w:t>
      </w:r>
      <w:bookmarkEnd w:id="501"/>
    </w:p>
    <w:p w14:paraId="18772EF9" w14:textId="7A564141" w:rsidR="00847791" w:rsidRPr="00610B1B" w:rsidRDefault="00847791" w:rsidP="00D32D6A">
      <w:pPr>
        <w:pStyle w:val="Default"/>
        <w:spacing w:after="120" w:line="276" w:lineRule="auto"/>
        <w:jc w:val="both"/>
        <w:rPr>
          <w:rFonts w:cs="Times New Roman"/>
          <w:lang w:val="bg-BG"/>
        </w:rPr>
      </w:pPr>
      <w:r w:rsidRPr="00610B1B">
        <w:rPr>
          <w:rFonts w:cs="Times New Roman"/>
          <w:lang w:val="bg-BG"/>
        </w:rPr>
        <w:t>Провеждането на мониторинг и периодични оценки е ключова потребност за всеки планов документ. Така се проверява ефективността на заложените цели, своевременно се разкрива необходимостта от актуализации и адаптация към променящия се контекст. Специално за МППРБ, значението на мониторинговата система се засилва от динамиката на потенциалните конфликти в морските ползвания, както и от постоянния риск от нарушаване на устойчивите предели на екосистемните услуги на Черно море.</w:t>
      </w:r>
    </w:p>
    <w:p w14:paraId="05A443C2" w14:textId="7122C69C" w:rsidR="00424F76" w:rsidRPr="00610B1B" w:rsidRDefault="00C20596" w:rsidP="00D32D6A">
      <w:pPr>
        <w:pStyle w:val="BodyText"/>
        <w:spacing w:before="0" w:after="120" w:line="276" w:lineRule="auto"/>
        <w:rPr>
          <w:rFonts w:cs="Times New Roman"/>
        </w:rPr>
      </w:pPr>
      <w:r w:rsidRPr="00610B1B">
        <w:rPr>
          <w:rFonts w:cs="Times New Roman"/>
        </w:rPr>
        <w:t>Съвременните системи за мониторинг</w:t>
      </w:r>
      <w:r w:rsidR="00847791" w:rsidRPr="00610B1B">
        <w:rPr>
          <w:rFonts w:cs="Times New Roman"/>
        </w:rPr>
        <w:t xml:space="preserve"> </w:t>
      </w:r>
      <w:r w:rsidRPr="00610B1B">
        <w:rPr>
          <w:rFonts w:cs="Times New Roman"/>
        </w:rPr>
        <w:t>обхващат</w:t>
      </w:r>
      <w:r w:rsidR="00424F76" w:rsidRPr="00610B1B">
        <w:rPr>
          <w:rFonts w:cs="Times New Roman"/>
        </w:rPr>
        <w:t xml:space="preserve"> няколко различни </w:t>
      </w:r>
      <w:r w:rsidRPr="00610B1B">
        <w:rPr>
          <w:rFonts w:cs="Times New Roman"/>
        </w:rPr>
        <w:t xml:space="preserve">равнища, като на най-високото, </w:t>
      </w:r>
      <w:r w:rsidR="00424F76" w:rsidRPr="00610B1B">
        <w:rPr>
          <w:rFonts w:cs="Times New Roman"/>
        </w:rPr>
        <w:t>като инструмент</w:t>
      </w:r>
      <w:r w:rsidRPr="00610B1B">
        <w:rPr>
          <w:rFonts w:cs="Times New Roman"/>
        </w:rPr>
        <w:t>и</w:t>
      </w:r>
      <w:r w:rsidR="00424F76" w:rsidRPr="00610B1B">
        <w:rPr>
          <w:rFonts w:cs="Times New Roman"/>
        </w:rPr>
        <w:t xml:space="preserve"> за сравнение на нивото на развитие </w:t>
      </w:r>
      <w:r w:rsidRPr="00610B1B">
        <w:rPr>
          <w:rFonts w:cs="Times New Roman"/>
        </w:rPr>
        <w:t>в различните държави, се използват индекси</w:t>
      </w:r>
      <w:r w:rsidR="0077136B" w:rsidRPr="00610B1B">
        <w:rPr>
          <w:rFonts w:cs="Times New Roman"/>
        </w:rPr>
        <w:t xml:space="preserve">, изготвени въз основа на национални доклади </w:t>
      </w:r>
      <w:r w:rsidR="00107A8E" w:rsidRPr="00610B1B">
        <w:rPr>
          <w:rFonts w:cs="Times New Roman"/>
        </w:rPr>
        <w:t>към международни организации</w:t>
      </w:r>
      <w:r w:rsidRPr="00610B1B">
        <w:rPr>
          <w:rFonts w:cs="Times New Roman"/>
        </w:rPr>
        <w:t xml:space="preserve">. За целите на МППРБ могат да се </w:t>
      </w:r>
      <w:r w:rsidR="00E806F6" w:rsidRPr="00610B1B">
        <w:rPr>
          <w:rFonts w:cs="Times New Roman"/>
        </w:rPr>
        <w:t xml:space="preserve">прилагат </w:t>
      </w:r>
      <w:r w:rsidRPr="00610B1B">
        <w:rPr>
          <w:rFonts w:cs="Times New Roman"/>
        </w:rPr>
        <w:t xml:space="preserve">наблюденията на конкурентоспособността </w:t>
      </w:r>
      <w:r w:rsidR="00E806F6" w:rsidRPr="00610B1B">
        <w:rPr>
          <w:rFonts w:cs="Times New Roman"/>
        </w:rPr>
        <w:t>на Световния икономически форум</w:t>
      </w:r>
      <w:r w:rsidR="00E806F6" w:rsidRPr="00610B1B">
        <w:rPr>
          <w:rStyle w:val="FootnoteReference"/>
          <w:rFonts w:cs="Times New Roman"/>
        </w:rPr>
        <w:footnoteReference w:id="205"/>
      </w:r>
      <w:r w:rsidR="005E79C7" w:rsidRPr="00610B1B">
        <w:rPr>
          <w:rFonts w:cs="Times New Roman"/>
        </w:rPr>
        <w:t>;</w:t>
      </w:r>
      <w:r w:rsidR="00E806F6" w:rsidRPr="00610B1B">
        <w:rPr>
          <w:rFonts w:cs="Times New Roman"/>
        </w:rPr>
        <w:t xml:space="preserve"> </w:t>
      </w:r>
      <w:r w:rsidRPr="00610B1B">
        <w:rPr>
          <w:rFonts w:cs="Times New Roman"/>
        </w:rPr>
        <w:t>н</w:t>
      </w:r>
      <w:r w:rsidR="00E806F6" w:rsidRPr="00610B1B">
        <w:rPr>
          <w:rFonts w:cs="Times New Roman"/>
        </w:rPr>
        <w:t>а</w:t>
      </w:r>
      <w:r w:rsidRPr="00610B1B">
        <w:rPr>
          <w:rFonts w:cs="Times New Roman"/>
        </w:rPr>
        <w:t xml:space="preserve"> Европейската комисия за</w:t>
      </w:r>
      <w:r w:rsidR="00E806F6" w:rsidRPr="00610B1B">
        <w:rPr>
          <w:rFonts w:cs="Times New Roman"/>
        </w:rPr>
        <w:t xml:space="preserve"> конкурентоспособност</w:t>
      </w:r>
      <w:r w:rsidR="005E79C7" w:rsidRPr="00610B1B">
        <w:rPr>
          <w:rFonts w:cs="Times New Roman"/>
        </w:rPr>
        <w:t>та</w:t>
      </w:r>
      <w:r w:rsidR="00E806F6" w:rsidRPr="00610B1B">
        <w:rPr>
          <w:rFonts w:cs="Times New Roman"/>
        </w:rPr>
        <w:t xml:space="preserve"> на регионите за планиране от ниво 2 в ЕС, с което ще се </w:t>
      </w:r>
      <w:r w:rsidR="005E79C7" w:rsidRPr="00610B1B">
        <w:rPr>
          <w:rFonts w:cs="Times New Roman"/>
        </w:rPr>
        <w:t xml:space="preserve">проследи </w:t>
      </w:r>
      <w:r w:rsidR="00E806F6" w:rsidRPr="00610B1B">
        <w:rPr>
          <w:rFonts w:cs="Times New Roman"/>
        </w:rPr>
        <w:t>развитието на СИР и ЮИР</w:t>
      </w:r>
      <w:r w:rsidR="00E806F6" w:rsidRPr="00610B1B">
        <w:rPr>
          <w:rStyle w:val="FootnoteReference"/>
          <w:rFonts w:cs="Times New Roman"/>
        </w:rPr>
        <w:footnoteReference w:id="206"/>
      </w:r>
      <w:r w:rsidR="005E79C7" w:rsidRPr="00610B1B">
        <w:rPr>
          <w:rFonts w:cs="Times New Roman"/>
        </w:rPr>
        <w:t>;</w:t>
      </w:r>
      <w:r w:rsidR="00E806F6" w:rsidRPr="00610B1B">
        <w:rPr>
          <w:rFonts w:cs="Times New Roman"/>
        </w:rPr>
        <w:t xml:space="preserve"> за </w:t>
      </w:r>
      <w:r w:rsidR="00151973" w:rsidRPr="00610B1B">
        <w:rPr>
          <w:rFonts w:cs="Times New Roman"/>
        </w:rPr>
        <w:t>пътуванията и туризма</w:t>
      </w:r>
      <w:r w:rsidRPr="00610B1B">
        <w:rPr>
          <w:rStyle w:val="FootnoteReference"/>
          <w:rFonts w:cs="Times New Roman"/>
        </w:rPr>
        <w:footnoteReference w:id="207"/>
      </w:r>
      <w:r w:rsidR="00E806F6" w:rsidRPr="00610B1B">
        <w:rPr>
          <w:rFonts w:cs="Times New Roman"/>
        </w:rPr>
        <w:t xml:space="preserve"> и от докладите за синята икономика на Европейската комисия.</w:t>
      </w:r>
      <w:r w:rsidR="00D66FE0" w:rsidRPr="00610B1B">
        <w:rPr>
          <w:rFonts w:cs="Times New Roman"/>
        </w:rPr>
        <w:t xml:space="preserve"> </w:t>
      </w:r>
      <w:r w:rsidRPr="00610B1B">
        <w:rPr>
          <w:rFonts w:cs="Times New Roman"/>
        </w:rPr>
        <w:t>Тези индекси обаче ще дадат само общата оценка за сравнение.</w:t>
      </w:r>
    </w:p>
    <w:p w14:paraId="2F51C2C7" w14:textId="5516397A" w:rsidR="00847791" w:rsidRPr="00610B1B" w:rsidRDefault="00C20596" w:rsidP="00D32D6A">
      <w:pPr>
        <w:pStyle w:val="BodyText"/>
        <w:spacing w:before="0" w:after="120" w:line="276" w:lineRule="auto"/>
        <w:rPr>
          <w:rFonts w:cs="Times New Roman"/>
        </w:rPr>
      </w:pPr>
      <w:r w:rsidRPr="00610B1B">
        <w:rPr>
          <w:rFonts w:cs="Times New Roman"/>
        </w:rPr>
        <w:t xml:space="preserve">Второто равнище, което се предлага, обхваща синтезни </w:t>
      </w:r>
      <w:r w:rsidR="00A74C29" w:rsidRPr="00610B1B">
        <w:rPr>
          <w:rFonts w:cs="Times New Roman"/>
        </w:rPr>
        <w:t xml:space="preserve">качествени и </w:t>
      </w:r>
      <w:r w:rsidR="00ED0123" w:rsidRPr="00610B1B">
        <w:rPr>
          <w:rFonts w:cs="Times New Roman"/>
        </w:rPr>
        <w:t>количествени</w:t>
      </w:r>
      <w:r w:rsidR="00847791" w:rsidRPr="00610B1B">
        <w:rPr>
          <w:rFonts w:cs="Times New Roman"/>
        </w:rPr>
        <w:t xml:space="preserve"> индикатори, позволяващи съответните качествени и количествени оценки. Качествените оценки се базират на различни </w:t>
      </w:r>
      <w:r w:rsidR="00D44027" w:rsidRPr="00610B1B">
        <w:rPr>
          <w:rFonts w:cs="Times New Roman"/>
        </w:rPr>
        <w:t>нормативно обвързани</w:t>
      </w:r>
      <w:r w:rsidR="00847791" w:rsidRPr="00610B1B">
        <w:rPr>
          <w:rFonts w:cs="Times New Roman"/>
        </w:rPr>
        <w:t xml:space="preserve"> процедури, свързани с регламентираните ангажименти на съответните институции и експерти. Количествените оценки предлагат резултати, които могат да бъдат сравнявани във времето. Въпреки, че те обикновено не могат да покрият всички същностни аспекти на МППРБ, количествените оценки дават ценна информация за целия мониторингов процес, провокират предприемането на допълнителни проучвания и служат за отправна точка на по-задълбочени дискусии по реализацията и ролята на морския пространствен план.</w:t>
      </w:r>
    </w:p>
    <w:p w14:paraId="01464697" w14:textId="26250D77" w:rsidR="00604E56" w:rsidRPr="00610B1B" w:rsidRDefault="00847791" w:rsidP="00D32D6A">
      <w:pPr>
        <w:pStyle w:val="BodyText"/>
        <w:spacing w:before="0" w:after="120" w:line="276" w:lineRule="auto"/>
        <w:rPr>
          <w:rFonts w:cs="Times New Roman"/>
        </w:rPr>
      </w:pPr>
      <w:r w:rsidRPr="00610B1B">
        <w:rPr>
          <w:rFonts w:cs="Times New Roman"/>
        </w:rPr>
        <w:lastRenderedPageBreak/>
        <w:t xml:space="preserve">Освен отчитане на специфичния национален контекст, системата от индикатори на МППРБ </w:t>
      </w:r>
      <w:r w:rsidR="00DE4B4C" w:rsidRPr="00610B1B">
        <w:rPr>
          <w:rFonts w:cs="Times New Roman"/>
        </w:rPr>
        <w:t>е разработена въз основа на опита на други държави</w:t>
      </w:r>
      <w:r w:rsidR="007B571B" w:rsidRPr="00610B1B">
        <w:rPr>
          <w:rFonts w:cs="Times New Roman"/>
        </w:rPr>
        <w:t xml:space="preserve"> в морското пространствено планиране</w:t>
      </w:r>
      <w:r w:rsidR="00604E56" w:rsidRPr="00610B1B">
        <w:rPr>
          <w:rFonts w:cs="Times New Roman"/>
        </w:rPr>
        <w:t xml:space="preserve"> до момента</w:t>
      </w:r>
      <w:r w:rsidR="00C20596" w:rsidRPr="00610B1B">
        <w:rPr>
          <w:rFonts w:cs="Times New Roman"/>
        </w:rPr>
        <w:t>, някои от които прилагат второ поколение планове. Използвано е и</w:t>
      </w:r>
      <w:r w:rsidR="00DE4B4C" w:rsidRPr="00610B1B">
        <w:rPr>
          <w:rFonts w:cs="Times New Roman"/>
        </w:rPr>
        <w:t xml:space="preserve"> </w:t>
      </w:r>
      <w:r w:rsidR="006511A9" w:rsidRPr="00610B1B">
        <w:rPr>
          <w:rFonts w:cs="Times New Roman"/>
        </w:rPr>
        <w:t>Ръководството за оценка на Морски пространствени планове на Океанографската комисия на ЮНЕСКО (2014)</w:t>
      </w:r>
      <w:r w:rsidR="006511A9" w:rsidRPr="00610B1B">
        <w:rPr>
          <w:rStyle w:val="FootnoteReference"/>
          <w:rFonts w:cs="Times New Roman"/>
        </w:rPr>
        <w:footnoteReference w:id="208"/>
      </w:r>
      <w:r w:rsidR="00604E56" w:rsidRPr="00610B1B">
        <w:rPr>
          <w:rFonts w:cs="Times New Roman"/>
        </w:rPr>
        <w:t>, базиран</w:t>
      </w:r>
      <w:r w:rsidR="00C20596" w:rsidRPr="00610B1B">
        <w:rPr>
          <w:rFonts w:cs="Times New Roman"/>
        </w:rPr>
        <w:t>о</w:t>
      </w:r>
      <w:r w:rsidR="00604E56" w:rsidRPr="00610B1B">
        <w:rPr>
          <w:rFonts w:cs="Times New Roman"/>
        </w:rPr>
        <w:t xml:space="preserve"> на практиката с мониторинг</w:t>
      </w:r>
      <w:r w:rsidR="00C20596" w:rsidRPr="00610B1B">
        <w:rPr>
          <w:rFonts w:cs="Times New Roman"/>
        </w:rPr>
        <w:t>а</w:t>
      </w:r>
      <w:r w:rsidR="00604E56" w:rsidRPr="00610B1B">
        <w:rPr>
          <w:rFonts w:cs="Times New Roman"/>
        </w:rPr>
        <w:t xml:space="preserve"> </w:t>
      </w:r>
      <w:r w:rsidR="00107A8E" w:rsidRPr="00610B1B">
        <w:rPr>
          <w:rFonts w:cs="Times New Roman"/>
        </w:rPr>
        <w:t xml:space="preserve">на </w:t>
      </w:r>
      <w:r w:rsidR="00604E56" w:rsidRPr="00610B1B">
        <w:rPr>
          <w:rFonts w:cs="Times New Roman"/>
        </w:rPr>
        <w:t>интегрираното управление на крайбрежни зони</w:t>
      </w:r>
      <w:r w:rsidR="006511A9" w:rsidRPr="00610B1B">
        <w:rPr>
          <w:rFonts w:cs="Times New Roman"/>
        </w:rPr>
        <w:t xml:space="preserve">. </w:t>
      </w:r>
    </w:p>
    <w:p w14:paraId="28477542" w14:textId="3B55D1B8" w:rsidR="00CF0DBA" w:rsidRPr="00610B1B" w:rsidRDefault="006511A9" w:rsidP="00D32D6A">
      <w:pPr>
        <w:pStyle w:val="BodyText"/>
        <w:spacing w:before="0" w:after="120" w:line="276" w:lineRule="auto"/>
        <w:rPr>
          <w:rFonts w:cs="Times New Roman"/>
        </w:rPr>
      </w:pPr>
      <w:r w:rsidRPr="00610B1B">
        <w:rPr>
          <w:rFonts w:cs="Times New Roman"/>
        </w:rPr>
        <w:t xml:space="preserve">Паралелно с това са приложени и изискванията за ясно формулиране и разбираемост на избраните индикатори, възможност за отчитане на вложените ресурси, </w:t>
      </w:r>
      <w:r w:rsidR="00604E56" w:rsidRPr="00610B1B">
        <w:rPr>
          <w:rFonts w:cs="Times New Roman"/>
        </w:rPr>
        <w:t xml:space="preserve">на </w:t>
      </w:r>
      <w:r w:rsidRPr="00610B1B">
        <w:rPr>
          <w:rFonts w:cs="Times New Roman"/>
        </w:rPr>
        <w:t xml:space="preserve">резултатите и </w:t>
      </w:r>
      <w:r w:rsidR="00604E56" w:rsidRPr="00610B1B">
        <w:rPr>
          <w:rFonts w:cs="Times New Roman"/>
        </w:rPr>
        <w:t xml:space="preserve">на </w:t>
      </w:r>
      <w:r w:rsidRPr="00610B1B">
        <w:rPr>
          <w:rFonts w:cs="Times New Roman"/>
        </w:rPr>
        <w:t>въздействията и информационна</w:t>
      </w:r>
      <w:r w:rsidR="007B571B" w:rsidRPr="00610B1B">
        <w:rPr>
          <w:rFonts w:cs="Times New Roman"/>
        </w:rPr>
        <w:t>та</w:t>
      </w:r>
      <w:r w:rsidRPr="00610B1B">
        <w:rPr>
          <w:rFonts w:cs="Times New Roman"/>
        </w:rPr>
        <w:t xml:space="preserve"> осигуреност</w:t>
      </w:r>
      <w:r w:rsidR="00604E56" w:rsidRPr="00610B1B">
        <w:rPr>
          <w:rFonts w:cs="Times New Roman"/>
        </w:rPr>
        <w:t xml:space="preserve"> на показателите</w:t>
      </w:r>
      <w:r w:rsidRPr="00610B1B">
        <w:rPr>
          <w:rFonts w:cs="Times New Roman"/>
        </w:rPr>
        <w:t>.</w:t>
      </w:r>
    </w:p>
    <w:p w14:paraId="0BCAAD73" w14:textId="5ECCFE75" w:rsidR="00482912" w:rsidRPr="00610B1B" w:rsidRDefault="00482912" w:rsidP="00D32D6A">
      <w:pPr>
        <w:pStyle w:val="BodyText"/>
        <w:spacing w:before="0" w:after="120" w:line="276" w:lineRule="auto"/>
        <w:rPr>
          <w:rFonts w:cs="Times New Roman"/>
        </w:rPr>
      </w:pPr>
      <w:r w:rsidRPr="00610B1B">
        <w:rPr>
          <w:rFonts w:cs="Times New Roman"/>
        </w:rPr>
        <w:t>В Ръководството на МОК-ЮНЕСКО индикаторите са разделени в три групи:</w:t>
      </w:r>
      <w:r w:rsidR="00245C00" w:rsidRPr="00610B1B">
        <w:rPr>
          <w:rFonts w:cs="Times New Roman"/>
        </w:rPr>
        <w:t xml:space="preserve"> i) индикатори за управление, ii) социално-икономически и iii) екологични индикатори.</w:t>
      </w:r>
      <w:r w:rsidR="00847791" w:rsidRPr="00610B1B">
        <w:rPr>
          <w:rFonts w:cs="Times New Roman"/>
        </w:rPr>
        <w:t xml:space="preserve"> </w:t>
      </w:r>
      <w:r w:rsidR="00424F76" w:rsidRPr="00610B1B">
        <w:rPr>
          <w:rFonts w:cs="Times New Roman"/>
        </w:rPr>
        <w:t>Аналогична</w:t>
      </w:r>
      <w:r w:rsidR="00847791" w:rsidRPr="00610B1B">
        <w:rPr>
          <w:rFonts w:cs="Times New Roman"/>
        </w:rPr>
        <w:t xml:space="preserve"> структура се предлага и в настоящия документ.</w:t>
      </w:r>
    </w:p>
    <w:p w14:paraId="794AC20A" w14:textId="77777777" w:rsidR="009907CE" w:rsidRPr="00610B1B" w:rsidRDefault="009907CE" w:rsidP="009918C6">
      <w:pPr>
        <w:pStyle w:val="BodyText"/>
        <w:spacing w:before="0" w:after="0" w:line="240" w:lineRule="auto"/>
        <w:rPr>
          <w:rFonts w:cs="Times New Roman"/>
        </w:rPr>
      </w:pPr>
    </w:p>
    <w:p w14:paraId="1835C777" w14:textId="152A3625" w:rsidR="00245C00" w:rsidRPr="00610B1B" w:rsidRDefault="00245C00" w:rsidP="00D32D6A">
      <w:pPr>
        <w:pStyle w:val="Heading3"/>
        <w:spacing w:before="0" w:line="276" w:lineRule="auto"/>
        <w:rPr>
          <w:rFonts w:cs="Times New Roman"/>
        </w:rPr>
      </w:pPr>
      <w:bookmarkStart w:id="502" w:name="_Toc83391443"/>
      <w:r w:rsidRPr="00610B1B">
        <w:rPr>
          <w:rFonts w:cs="Times New Roman"/>
        </w:rPr>
        <w:t xml:space="preserve">7.4.1. Индикатори за управление </w:t>
      </w:r>
      <w:r w:rsidR="00151973" w:rsidRPr="00610B1B">
        <w:rPr>
          <w:rFonts w:cs="Times New Roman"/>
        </w:rPr>
        <w:t xml:space="preserve">на </w:t>
      </w:r>
      <w:r w:rsidRPr="00610B1B">
        <w:rPr>
          <w:rFonts w:cs="Times New Roman"/>
        </w:rPr>
        <w:t>прилагането, наблюдението и оценката на МППРБ</w:t>
      </w:r>
      <w:bookmarkEnd w:id="502"/>
    </w:p>
    <w:p w14:paraId="11F0CD51" w14:textId="5B56CE54" w:rsidR="00482912" w:rsidRPr="00610B1B" w:rsidRDefault="00482912" w:rsidP="00D32D6A">
      <w:pPr>
        <w:pStyle w:val="BodyText"/>
        <w:spacing w:before="0" w:after="120" w:line="276" w:lineRule="auto"/>
        <w:rPr>
          <w:rFonts w:cs="Times New Roman"/>
        </w:rPr>
      </w:pPr>
      <w:r w:rsidRPr="00610B1B">
        <w:rPr>
          <w:rFonts w:cs="Times New Roman"/>
          <w:i/>
          <w:iCs/>
        </w:rPr>
        <w:t>Индикатори</w:t>
      </w:r>
      <w:r w:rsidR="00604E56" w:rsidRPr="00610B1B">
        <w:rPr>
          <w:rFonts w:cs="Times New Roman"/>
          <w:i/>
          <w:iCs/>
        </w:rPr>
        <w:t>те</w:t>
      </w:r>
      <w:r w:rsidRPr="00610B1B">
        <w:rPr>
          <w:rFonts w:cs="Times New Roman"/>
          <w:i/>
          <w:iCs/>
        </w:rPr>
        <w:t xml:space="preserve"> за управление</w:t>
      </w:r>
      <w:r w:rsidRPr="00610B1B">
        <w:rPr>
          <w:rFonts w:cs="Times New Roman"/>
        </w:rPr>
        <w:t xml:space="preserve"> на отделните фази на Морския пространствен план </w:t>
      </w:r>
      <w:r w:rsidR="004040E6" w:rsidRPr="00610B1B">
        <w:rPr>
          <w:rFonts w:cs="Times New Roman"/>
        </w:rPr>
        <w:t xml:space="preserve">служат </w:t>
      </w:r>
      <w:r w:rsidRPr="00610B1B">
        <w:rPr>
          <w:rFonts w:cs="Times New Roman"/>
        </w:rPr>
        <w:t>за отразяване на състоянието на приетия МППРБ във всеки един момент, у</w:t>
      </w:r>
      <w:r w:rsidR="004040E6" w:rsidRPr="00610B1B">
        <w:rPr>
          <w:rFonts w:cs="Times New Roman"/>
        </w:rPr>
        <w:t>ч</w:t>
      </w:r>
      <w:r w:rsidRPr="00610B1B">
        <w:rPr>
          <w:rFonts w:cs="Times New Roman"/>
        </w:rPr>
        <w:t>астието на заинтересованите страни, напредък</w:t>
      </w:r>
      <w:r w:rsidR="004040E6" w:rsidRPr="00610B1B">
        <w:rPr>
          <w:rFonts w:cs="Times New Roman"/>
        </w:rPr>
        <w:t>а</w:t>
      </w:r>
      <w:r w:rsidRPr="00610B1B">
        <w:rPr>
          <w:rFonts w:cs="Times New Roman"/>
        </w:rPr>
        <w:t xml:space="preserve"> и качество</w:t>
      </w:r>
      <w:r w:rsidR="004040E6" w:rsidRPr="00610B1B">
        <w:rPr>
          <w:rFonts w:cs="Times New Roman"/>
        </w:rPr>
        <w:t>то</w:t>
      </w:r>
      <w:r w:rsidRPr="00610B1B">
        <w:rPr>
          <w:rFonts w:cs="Times New Roman"/>
        </w:rPr>
        <w:t xml:space="preserve"> както на самия план, така и на неговото управление и прилагане. В конкретния случай тези индикатори се свързват със Стратегическа цел 1 </w:t>
      </w:r>
      <w:r w:rsidR="004040E6" w:rsidRPr="00610B1B">
        <w:rPr>
          <w:rFonts w:cs="Times New Roman"/>
        </w:rPr>
        <w:t xml:space="preserve">и специфичните цели към нея </w:t>
      </w:r>
      <w:r w:rsidRPr="00610B1B">
        <w:rPr>
          <w:rFonts w:cs="Times New Roman"/>
        </w:rPr>
        <w:t>и се оценяват като особено важни за началния период на прилага</w:t>
      </w:r>
      <w:r w:rsidR="004040E6" w:rsidRPr="00610B1B">
        <w:rPr>
          <w:rFonts w:cs="Times New Roman"/>
        </w:rPr>
        <w:t>н</w:t>
      </w:r>
      <w:r w:rsidRPr="00610B1B">
        <w:rPr>
          <w:rFonts w:cs="Times New Roman"/>
        </w:rPr>
        <w:t xml:space="preserve">е на плана, когато все още е трудно да се оценят постигнати резултати и въздействия. </w:t>
      </w:r>
      <w:r w:rsidR="00245C00" w:rsidRPr="00610B1B">
        <w:rPr>
          <w:rFonts w:cs="Times New Roman"/>
        </w:rPr>
        <w:t xml:space="preserve">Те отразяват и последните изследвания в тази област и препоръките за избора, обхвата им и начина на приложение. </w:t>
      </w:r>
    </w:p>
    <w:p w14:paraId="5AC9186E" w14:textId="0C666D16" w:rsidR="00E031FD" w:rsidRPr="00610B1B" w:rsidRDefault="00962DE7" w:rsidP="00D32D6A">
      <w:pPr>
        <w:pStyle w:val="BodyText"/>
        <w:spacing w:before="0" w:after="120" w:line="276" w:lineRule="auto"/>
        <w:rPr>
          <w:rFonts w:cs="Times New Roman"/>
        </w:rPr>
      </w:pPr>
      <w:bookmarkStart w:id="503" w:name="_Toc83391616"/>
      <w:r w:rsidRPr="00610B1B">
        <w:rPr>
          <w:rFonts w:cs="Times New Roman"/>
        </w:rPr>
        <w:t xml:space="preserve">Таблица </w:t>
      </w:r>
      <w:r w:rsidRPr="00610B1B">
        <w:rPr>
          <w:rFonts w:cs="Times New Roman"/>
        </w:rPr>
        <w:fldChar w:fldCharType="begin"/>
      </w:r>
      <w:r w:rsidRPr="00610B1B">
        <w:rPr>
          <w:rFonts w:cs="Times New Roman"/>
        </w:rPr>
        <w:instrText xml:space="preserve"> SEQ Таблица \* ARABIC </w:instrText>
      </w:r>
      <w:r w:rsidRPr="00610B1B">
        <w:rPr>
          <w:rFonts w:cs="Times New Roman"/>
        </w:rPr>
        <w:fldChar w:fldCharType="separate"/>
      </w:r>
      <w:r w:rsidR="00260629" w:rsidRPr="00610B1B">
        <w:rPr>
          <w:rFonts w:cs="Times New Roman"/>
          <w:noProof/>
        </w:rPr>
        <w:t>20</w:t>
      </w:r>
      <w:r w:rsidRPr="00610B1B">
        <w:rPr>
          <w:rFonts w:cs="Times New Roman"/>
        </w:rPr>
        <w:fldChar w:fldCharType="end"/>
      </w:r>
      <w:r w:rsidRPr="00610B1B">
        <w:rPr>
          <w:rFonts w:cs="Times New Roman"/>
        </w:rPr>
        <w:t xml:space="preserve">: </w:t>
      </w:r>
      <w:r w:rsidR="00E031FD" w:rsidRPr="00610B1B">
        <w:rPr>
          <w:rFonts w:cs="Times New Roman"/>
        </w:rPr>
        <w:t>Индикатори за управление на МППРБ</w:t>
      </w:r>
      <w:bookmarkEnd w:id="503"/>
    </w:p>
    <w:tbl>
      <w:tblPr>
        <w:tblStyle w:val="TableGrid"/>
        <w:tblW w:w="9017" w:type="dxa"/>
        <w:tblBorders>
          <w:left w:val="none" w:sz="0" w:space="0" w:color="auto"/>
          <w:right w:val="none" w:sz="0" w:space="0" w:color="auto"/>
          <w:insideV w:val="none" w:sz="0" w:space="0" w:color="auto"/>
        </w:tblBorders>
        <w:tblLook w:val="04A0" w:firstRow="1" w:lastRow="0" w:firstColumn="1" w:lastColumn="0" w:noHBand="0" w:noVBand="1"/>
      </w:tblPr>
      <w:tblGrid>
        <w:gridCol w:w="550"/>
        <w:gridCol w:w="2422"/>
        <w:gridCol w:w="2210"/>
        <w:gridCol w:w="1866"/>
        <w:gridCol w:w="1969"/>
      </w:tblGrid>
      <w:tr w:rsidR="00E031FD" w:rsidRPr="00610B1B" w14:paraId="6137D3DF" w14:textId="77777777" w:rsidTr="00D703D4">
        <w:trPr>
          <w:tblHeader/>
        </w:trPr>
        <w:tc>
          <w:tcPr>
            <w:tcW w:w="550" w:type="dxa"/>
            <w:shd w:val="clear" w:color="auto" w:fill="C6D9F1" w:themeFill="text2" w:themeFillTint="33"/>
            <w:vAlign w:val="center"/>
          </w:tcPr>
          <w:p w14:paraId="2B49B42F" w14:textId="3E919091" w:rsidR="00E031FD" w:rsidRPr="00610B1B" w:rsidRDefault="00E031FD" w:rsidP="00D32D6A">
            <w:pPr>
              <w:jc w:val="center"/>
              <w:rPr>
                <w:rFonts w:ascii="Times New Roman" w:hAnsi="Times New Roman" w:cs="Times New Roman"/>
                <w:b/>
                <w:bCs/>
                <w:lang w:val="bg-BG"/>
              </w:rPr>
            </w:pPr>
            <w:bookmarkStart w:id="504" w:name="_Hlk47907671"/>
            <w:r w:rsidRPr="00610B1B">
              <w:rPr>
                <w:rFonts w:ascii="Times New Roman" w:hAnsi="Times New Roman" w:cs="Times New Roman"/>
                <w:b/>
                <w:bCs/>
                <w:lang w:val="bg-BG"/>
              </w:rPr>
              <w:t>№</w:t>
            </w:r>
          </w:p>
        </w:tc>
        <w:tc>
          <w:tcPr>
            <w:tcW w:w="2422" w:type="dxa"/>
            <w:shd w:val="clear" w:color="auto" w:fill="C6D9F1" w:themeFill="text2" w:themeFillTint="33"/>
            <w:vAlign w:val="center"/>
          </w:tcPr>
          <w:p w14:paraId="7CC1E85C" w14:textId="668C1672" w:rsidR="00E031FD" w:rsidRPr="00610B1B" w:rsidRDefault="00424F76" w:rsidP="00D32D6A">
            <w:pPr>
              <w:jc w:val="center"/>
              <w:rPr>
                <w:rFonts w:ascii="Times New Roman" w:hAnsi="Times New Roman" w:cs="Times New Roman"/>
                <w:b/>
                <w:bCs/>
                <w:lang w:val="bg-BG"/>
              </w:rPr>
            </w:pPr>
            <w:r w:rsidRPr="00610B1B">
              <w:rPr>
                <w:rFonts w:ascii="Times New Roman" w:hAnsi="Times New Roman" w:cs="Times New Roman"/>
                <w:b/>
                <w:bCs/>
                <w:lang w:val="bg-BG"/>
              </w:rPr>
              <w:t>Синтезен и</w:t>
            </w:r>
            <w:r w:rsidR="00E031FD" w:rsidRPr="00610B1B">
              <w:rPr>
                <w:rFonts w:ascii="Times New Roman" w:hAnsi="Times New Roman" w:cs="Times New Roman"/>
                <w:b/>
                <w:bCs/>
                <w:lang w:val="bg-BG"/>
              </w:rPr>
              <w:t>ндикатор</w:t>
            </w:r>
          </w:p>
        </w:tc>
        <w:tc>
          <w:tcPr>
            <w:tcW w:w="2210" w:type="dxa"/>
            <w:shd w:val="clear" w:color="auto" w:fill="C6D9F1" w:themeFill="text2" w:themeFillTint="33"/>
            <w:vAlign w:val="center"/>
          </w:tcPr>
          <w:p w14:paraId="241183DE" w14:textId="74D4B411" w:rsidR="00E031FD" w:rsidRPr="00610B1B" w:rsidRDefault="00E031FD" w:rsidP="00D32D6A">
            <w:pPr>
              <w:jc w:val="center"/>
              <w:rPr>
                <w:rFonts w:ascii="Times New Roman" w:hAnsi="Times New Roman" w:cs="Times New Roman"/>
                <w:b/>
                <w:bCs/>
                <w:lang w:val="bg-BG"/>
              </w:rPr>
            </w:pPr>
            <w:r w:rsidRPr="00610B1B">
              <w:rPr>
                <w:rFonts w:ascii="Times New Roman" w:hAnsi="Times New Roman" w:cs="Times New Roman"/>
                <w:b/>
                <w:bCs/>
                <w:lang w:val="bg-BG"/>
              </w:rPr>
              <w:t>Връзка със стратегически цели</w:t>
            </w:r>
          </w:p>
        </w:tc>
        <w:tc>
          <w:tcPr>
            <w:tcW w:w="1866" w:type="dxa"/>
            <w:shd w:val="clear" w:color="auto" w:fill="C6D9F1" w:themeFill="text2" w:themeFillTint="33"/>
            <w:vAlign w:val="center"/>
          </w:tcPr>
          <w:p w14:paraId="2530F90A" w14:textId="6E0FA176" w:rsidR="00E031FD" w:rsidRPr="00610B1B" w:rsidRDefault="00E031FD" w:rsidP="00D32D6A">
            <w:pPr>
              <w:jc w:val="center"/>
              <w:rPr>
                <w:rFonts w:ascii="Times New Roman" w:hAnsi="Times New Roman" w:cs="Times New Roman"/>
                <w:b/>
                <w:bCs/>
                <w:lang w:val="bg-BG"/>
              </w:rPr>
            </w:pPr>
            <w:r w:rsidRPr="00610B1B">
              <w:rPr>
                <w:rFonts w:ascii="Times New Roman" w:hAnsi="Times New Roman" w:cs="Times New Roman"/>
                <w:b/>
                <w:bCs/>
                <w:lang w:val="bg-BG"/>
              </w:rPr>
              <w:t>Показатели</w:t>
            </w:r>
          </w:p>
        </w:tc>
        <w:tc>
          <w:tcPr>
            <w:tcW w:w="1969" w:type="dxa"/>
            <w:shd w:val="clear" w:color="auto" w:fill="C6D9F1" w:themeFill="text2" w:themeFillTint="33"/>
            <w:vAlign w:val="center"/>
          </w:tcPr>
          <w:p w14:paraId="4EFCAF6B" w14:textId="708E7BD1" w:rsidR="00E031FD" w:rsidRPr="00610B1B" w:rsidRDefault="00E031FD" w:rsidP="00D32D6A">
            <w:pPr>
              <w:jc w:val="center"/>
              <w:rPr>
                <w:rFonts w:ascii="Times New Roman" w:hAnsi="Times New Roman" w:cs="Times New Roman"/>
                <w:b/>
                <w:bCs/>
                <w:lang w:val="bg-BG"/>
              </w:rPr>
            </w:pPr>
            <w:r w:rsidRPr="00610B1B">
              <w:rPr>
                <w:rFonts w:ascii="Times New Roman" w:hAnsi="Times New Roman" w:cs="Times New Roman"/>
                <w:b/>
                <w:bCs/>
                <w:lang w:val="bg-BG"/>
              </w:rPr>
              <w:t>Информационна осигуреност</w:t>
            </w:r>
          </w:p>
        </w:tc>
      </w:tr>
      <w:tr w:rsidR="00847791" w:rsidRPr="005C2B9F" w14:paraId="5A2AAA6A" w14:textId="77777777" w:rsidTr="00537D06">
        <w:tc>
          <w:tcPr>
            <w:tcW w:w="550" w:type="dxa"/>
            <w:vAlign w:val="center"/>
          </w:tcPr>
          <w:p w14:paraId="13A8BCDC" w14:textId="6066DB74" w:rsidR="00847791" w:rsidRPr="00610B1B" w:rsidRDefault="00847791"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1.</w:t>
            </w:r>
          </w:p>
        </w:tc>
        <w:tc>
          <w:tcPr>
            <w:tcW w:w="2422" w:type="dxa"/>
            <w:vAlign w:val="center"/>
          </w:tcPr>
          <w:p w14:paraId="35C80E9E" w14:textId="63CB94E0" w:rsidR="00847791" w:rsidRPr="00610B1B" w:rsidRDefault="00847791"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Ясно определени роли и отговорности на институциите за прилагане на Морския пространствен план на Р. България</w:t>
            </w:r>
          </w:p>
        </w:tc>
        <w:tc>
          <w:tcPr>
            <w:tcW w:w="2210" w:type="dxa"/>
          </w:tcPr>
          <w:p w14:paraId="10D94ED8" w14:textId="77777777" w:rsidR="00847791" w:rsidRPr="00610B1B" w:rsidRDefault="00847791"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1</w:t>
            </w:r>
          </w:p>
          <w:p w14:paraId="42329A4E" w14:textId="1DF8EE86" w:rsidR="00847791" w:rsidRPr="00610B1B" w:rsidRDefault="00847791"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Специфична цел 1.3.</w:t>
            </w:r>
          </w:p>
        </w:tc>
        <w:tc>
          <w:tcPr>
            <w:tcW w:w="1866" w:type="dxa"/>
          </w:tcPr>
          <w:p w14:paraId="47774904" w14:textId="77777777" w:rsidR="00D4156A" w:rsidRPr="00610B1B" w:rsidRDefault="00847791"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включени институции</w:t>
            </w:r>
            <w:r w:rsidR="00151973" w:rsidRPr="00610B1B">
              <w:rPr>
                <w:rFonts w:ascii="Times New Roman" w:hAnsi="Times New Roman" w:cs="Times New Roman"/>
                <w:sz w:val="20"/>
                <w:szCs w:val="20"/>
                <w:lang w:val="bg-BG"/>
              </w:rPr>
              <w:t xml:space="preserve"> </w:t>
            </w:r>
          </w:p>
          <w:p w14:paraId="2E110077" w14:textId="4EAC6A4F" w:rsidR="00151973" w:rsidRPr="00610B1B" w:rsidRDefault="00151973"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Споразумение между ръководителите на отговорните институции</w:t>
            </w:r>
          </w:p>
        </w:tc>
        <w:tc>
          <w:tcPr>
            <w:tcW w:w="1969" w:type="dxa"/>
          </w:tcPr>
          <w:p w14:paraId="04049C26" w14:textId="77777777" w:rsidR="00D44027" w:rsidRPr="00610B1B" w:rsidRDefault="00847791"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Правна рамка, самооценка на ангажираните институции</w:t>
            </w:r>
            <w:r w:rsidR="00D44027" w:rsidRPr="00610B1B">
              <w:rPr>
                <w:rFonts w:ascii="Times New Roman" w:hAnsi="Times New Roman" w:cs="Times New Roman"/>
                <w:sz w:val="20"/>
                <w:szCs w:val="20"/>
                <w:lang w:val="bg-BG"/>
              </w:rPr>
              <w:t>;</w:t>
            </w:r>
          </w:p>
          <w:p w14:paraId="2A5684F1" w14:textId="0F69F562" w:rsidR="00847791"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Контролен </w:t>
            </w:r>
            <w:r w:rsidR="00847791" w:rsidRPr="00610B1B">
              <w:rPr>
                <w:rFonts w:ascii="Times New Roman" w:hAnsi="Times New Roman" w:cs="Times New Roman"/>
                <w:sz w:val="20"/>
                <w:szCs w:val="20"/>
                <w:lang w:val="bg-BG"/>
              </w:rPr>
              <w:t>лист на оценяващите експерти</w:t>
            </w:r>
          </w:p>
        </w:tc>
      </w:tr>
      <w:tr w:rsidR="00D44027" w:rsidRPr="005C2B9F" w14:paraId="48549AD0" w14:textId="77777777" w:rsidTr="00537D06">
        <w:tc>
          <w:tcPr>
            <w:tcW w:w="550" w:type="dxa"/>
            <w:vAlign w:val="center"/>
          </w:tcPr>
          <w:p w14:paraId="0C33E980" w14:textId="19C5CD57" w:rsidR="00D44027" w:rsidRPr="00610B1B" w:rsidRDefault="00D44027"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2.</w:t>
            </w:r>
          </w:p>
        </w:tc>
        <w:tc>
          <w:tcPr>
            <w:tcW w:w="2422" w:type="dxa"/>
            <w:vAlign w:val="center"/>
          </w:tcPr>
          <w:p w14:paraId="31D87834" w14:textId="205A899E" w:rsidR="00D44027" w:rsidRPr="00610B1B" w:rsidRDefault="00D44027"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Отразени цели на МППРБ в секторни стратегически документи, свързани с морско пространствено планиране</w:t>
            </w:r>
          </w:p>
        </w:tc>
        <w:tc>
          <w:tcPr>
            <w:tcW w:w="2210" w:type="dxa"/>
          </w:tcPr>
          <w:p w14:paraId="3A99FF3E" w14:textId="77777777"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1</w:t>
            </w:r>
          </w:p>
          <w:p w14:paraId="7CF08AB7" w14:textId="4B47DEA8"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Специфична цел 1.2.</w:t>
            </w:r>
          </w:p>
        </w:tc>
        <w:tc>
          <w:tcPr>
            <w:tcW w:w="1866" w:type="dxa"/>
          </w:tcPr>
          <w:p w14:paraId="46E39E8A" w14:textId="77777777"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секторни документи</w:t>
            </w:r>
          </w:p>
          <w:p w14:paraId="38DBF5FE" w14:textId="2545E655"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отразени цели</w:t>
            </w:r>
          </w:p>
        </w:tc>
        <w:tc>
          <w:tcPr>
            <w:tcW w:w="1969" w:type="dxa"/>
          </w:tcPr>
          <w:p w14:paraId="0FAC3B43" w14:textId="77777777"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Анализ на секторни стратегически документи, свързани с морското пространствено планиране;</w:t>
            </w:r>
          </w:p>
          <w:p w14:paraId="33068AB6" w14:textId="0923EDBE"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Контролни листове на оценяващите експерти</w:t>
            </w:r>
          </w:p>
        </w:tc>
      </w:tr>
      <w:tr w:rsidR="00D44027" w:rsidRPr="00610B1B" w14:paraId="17ECC80A" w14:textId="77777777" w:rsidTr="00537D06">
        <w:tc>
          <w:tcPr>
            <w:tcW w:w="550" w:type="dxa"/>
            <w:vAlign w:val="center"/>
          </w:tcPr>
          <w:p w14:paraId="74041DD8" w14:textId="344EB0CC" w:rsidR="00D44027" w:rsidRPr="00610B1B" w:rsidRDefault="00D44027"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3.</w:t>
            </w:r>
          </w:p>
        </w:tc>
        <w:tc>
          <w:tcPr>
            <w:tcW w:w="2422" w:type="dxa"/>
            <w:vAlign w:val="center"/>
          </w:tcPr>
          <w:p w14:paraId="5CF9CDD2" w14:textId="1654CDD1" w:rsidR="00D44027" w:rsidRPr="00610B1B" w:rsidRDefault="00D44027"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Разработени Правила и процедури за </w:t>
            </w:r>
            <w:r w:rsidRPr="00610B1B">
              <w:rPr>
                <w:rFonts w:ascii="Times New Roman" w:hAnsi="Times New Roman" w:cs="Times New Roman"/>
                <w:sz w:val="20"/>
                <w:szCs w:val="20"/>
                <w:lang w:val="bg-BG"/>
              </w:rPr>
              <w:lastRenderedPageBreak/>
              <w:t>наблюдение, оценка, вземане на решения и решаване на конфликти в процеса</w:t>
            </w:r>
            <w:r w:rsidR="00D66FE0"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на прилагане на МППРБ</w:t>
            </w:r>
          </w:p>
        </w:tc>
        <w:tc>
          <w:tcPr>
            <w:tcW w:w="2210" w:type="dxa"/>
          </w:tcPr>
          <w:p w14:paraId="4444310F" w14:textId="77777777"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Стратегическа цел 1</w:t>
            </w:r>
          </w:p>
          <w:p w14:paraId="7659CFEC" w14:textId="2625F1C9"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Специфична цел 1.1 и 1.3.</w:t>
            </w:r>
          </w:p>
        </w:tc>
        <w:tc>
          <w:tcPr>
            <w:tcW w:w="1866" w:type="dxa"/>
          </w:tcPr>
          <w:p w14:paraId="2CAAEE95" w14:textId="77777777"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 xml:space="preserve">Брой </w:t>
            </w:r>
          </w:p>
          <w:p w14:paraId="6E8A7A61" w14:textId="1BD40F6D"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Правила и процедури за наблюдение, оценка, вземане на решения и решаване на конфликти в процеса</w:t>
            </w:r>
            <w:r w:rsidR="00D66FE0"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на прилагане на МППРБ</w:t>
            </w:r>
          </w:p>
        </w:tc>
        <w:tc>
          <w:tcPr>
            <w:tcW w:w="1969" w:type="dxa"/>
          </w:tcPr>
          <w:p w14:paraId="48295C8C" w14:textId="5F6A80B7"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 xml:space="preserve">Анализ на актуализациите на </w:t>
            </w:r>
            <w:r w:rsidRPr="00610B1B">
              <w:rPr>
                <w:rFonts w:ascii="Times New Roman" w:hAnsi="Times New Roman" w:cs="Times New Roman"/>
                <w:sz w:val="20"/>
                <w:szCs w:val="20"/>
                <w:lang w:val="bg-BG"/>
              </w:rPr>
              <w:lastRenderedPageBreak/>
              <w:t>Правилата и процедурите за наблюдение, оценка, вземане на решения и решаване на конфликти в процеса</w:t>
            </w:r>
            <w:r w:rsidR="00D66FE0"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на прилагане на МППРБ</w:t>
            </w:r>
          </w:p>
          <w:p w14:paraId="5185DFEF" w14:textId="75D0444B"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Нормативни документи и записи</w:t>
            </w:r>
          </w:p>
        </w:tc>
      </w:tr>
      <w:tr w:rsidR="00D44027" w:rsidRPr="005C2B9F" w14:paraId="4228BFF2" w14:textId="77777777" w:rsidTr="00537D06">
        <w:tc>
          <w:tcPr>
            <w:tcW w:w="550" w:type="dxa"/>
            <w:vAlign w:val="center"/>
          </w:tcPr>
          <w:p w14:paraId="769F97DE" w14:textId="11884869" w:rsidR="00D44027" w:rsidRPr="00610B1B" w:rsidRDefault="00D44027"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4.</w:t>
            </w:r>
          </w:p>
        </w:tc>
        <w:tc>
          <w:tcPr>
            <w:tcW w:w="2422" w:type="dxa"/>
            <w:vAlign w:val="center"/>
          </w:tcPr>
          <w:p w14:paraId="639204F3" w14:textId="116156B7" w:rsidR="00D44027" w:rsidRPr="00610B1B" w:rsidRDefault="00D44027"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Изготвен План за прилагане, мониторинг и оценка на МППРБ</w:t>
            </w:r>
          </w:p>
        </w:tc>
        <w:tc>
          <w:tcPr>
            <w:tcW w:w="2210" w:type="dxa"/>
          </w:tcPr>
          <w:p w14:paraId="5D33EF4C" w14:textId="77777777"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1</w:t>
            </w:r>
          </w:p>
          <w:p w14:paraId="73D4CE4B" w14:textId="2C70304B"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Специфична цел 1.1 и 1.3.</w:t>
            </w:r>
          </w:p>
        </w:tc>
        <w:tc>
          <w:tcPr>
            <w:tcW w:w="1866" w:type="dxa"/>
          </w:tcPr>
          <w:p w14:paraId="45FB024A" w14:textId="0308723E"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w:t>
            </w:r>
            <w:r w:rsidR="00D66FE0"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извършени вътрешни/външни оценки на МППРБ</w:t>
            </w:r>
          </w:p>
        </w:tc>
        <w:tc>
          <w:tcPr>
            <w:tcW w:w="1969" w:type="dxa"/>
          </w:tcPr>
          <w:p w14:paraId="4993B237" w14:textId="74DCC5A3" w:rsidR="00D44027" w:rsidRPr="00610B1B" w:rsidRDefault="00D44027"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Мониторинг и оценки на МППРБ</w:t>
            </w:r>
          </w:p>
        </w:tc>
      </w:tr>
      <w:tr w:rsidR="00847791" w:rsidRPr="005C2B9F" w14:paraId="5FC36D56" w14:textId="77777777" w:rsidTr="00537D06">
        <w:tc>
          <w:tcPr>
            <w:tcW w:w="550" w:type="dxa"/>
            <w:vAlign w:val="center"/>
          </w:tcPr>
          <w:p w14:paraId="1FE69623" w14:textId="6485F6F9" w:rsidR="00847791" w:rsidRPr="00610B1B" w:rsidRDefault="00847791"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5.</w:t>
            </w:r>
          </w:p>
        </w:tc>
        <w:tc>
          <w:tcPr>
            <w:tcW w:w="2422" w:type="dxa"/>
            <w:vAlign w:val="center"/>
          </w:tcPr>
          <w:p w14:paraId="6C1A77D5" w14:textId="2709D46A" w:rsidR="00847791" w:rsidRPr="00610B1B" w:rsidRDefault="00847791"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Създадени нови слоеве към ГИС база данни, свързани с оценка на резултатите от МППРБ</w:t>
            </w:r>
          </w:p>
        </w:tc>
        <w:tc>
          <w:tcPr>
            <w:tcW w:w="2210" w:type="dxa"/>
          </w:tcPr>
          <w:p w14:paraId="03BDF69E" w14:textId="77777777" w:rsidR="00847791" w:rsidRPr="00610B1B" w:rsidRDefault="00847791"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1</w:t>
            </w:r>
          </w:p>
          <w:p w14:paraId="4E740C48" w14:textId="62D8C5B2" w:rsidR="00847791" w:rsidRPr="00610B1B" w:rsidRDefault="00847791"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Специфична цел 1.4 </w:t>
            </w:r>
          </w:p>
        </w:tc>
        <w:tc>
          <w:tcPr>
            <w:tcW w:w="1866" w:type="dxa"/>
          </w:tcPr>
          <w:p w14:paraId="55080131" w14:textId="6F7CB444" w:rsidR="00847791" w:rsidRPr="00610B1B" w:rsidRDefault="00847791"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новосъздадени слоеве</w:t>
            </w:r>
          </w:p>
        </w:tc>
        <w:tc>
          <w:tcPr>
            <w:tcW w:w="1969" w:type="dxa"/>
          </w:tcPr>
          <w:p w14:paraId="2F22A93E" w14:textId="7188A2EA" w:rsidR="00847791"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ГИС база данни на МППРБ</w:t>
            </w:r>
          </w:p>
        </w:tc>
      </w:tr>
      <w:tr w:rsidR="00D4156A" w:rsidRPr="005C2B9F" w14:paraId="7497E206" w14:textId="77777777" w:rsidTr="00537D06">
        <w:tc>
          <w:tcPr>
            <w:tcW w:w="550" w:type="dxa"/>
            <w:vAlign w:val="center"/>
          </w:tcPr>
          <w:p w14:paraId="0E874890" w14:textId="51F9BC7D" w:rsidR="00D4156A" w:rsidRPr="00610B1B" w:rsidRDefault="00D4156A"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6.</w:t>
            </w:r>
          </w:p>
        </w:tc>
        <w:tc>
          <w:tcPr>
            <w:tcW w:w="2422" w:type="dxa"/>
            <w:vAlign w:val="center"/>
          </w:tcPr>
          <w:p w14:paraId="76F783CB" w14:textId="1244AAE5" w:rsidR="00D4156A" w:rsidRPr="00610B1B" w:rsidRDefault="00D4156A"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Ресурсно осигуряване на приложението на МППРБ – човешки, финансови и технически ресурси</w:t>
            </w:r>
          </w:p>
        </w:tc>
        <w:tc>
          <w:tcPr>
            <w:tcW w:w="2210" w:type="dxa"/>
          </w:tcPr>
          <w:p w14:paraId="6084BF5C" w14:textId="77777777"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1</w:t>
            </w:r>
          </w:p>
          <w:p w14:paraId="1087E787" w14:textId="5FAE1864"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Специфична цел 1.4 </w:t>
            </w:r>
          </w:p>
        </w:tc>
        <w:tc>
          <w:tcPr>
            <w:tcW w:w="1866" w:type="dxa"/>
          </w:tcPr>
          <w:p w14:paraId="728EC33C" w14:textId="77777777"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служители на институции, заети с осигуряване приложението на МППРБ</w:t>
            </w:r>
          </w:p>
          <w:p w14:paraId="69E4D66C" w14:textId="69AF5F6F"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Финансови ресурси, свързани с приложението на МППРБ</w:t>
            </w:r>
          </w:p>
          <w:p w14:paraId="0B02D05E" w14:textId="0F9687FE"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Технически ресурси, свързани с приложението на МППРБ </w:t>
            </w:r>
          </w:p>
          <w:p w14:paraId="48C9E55B" w14:textId="67DAEA96"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в периода до 2025 и до 2029 г.</w:t>
            </w:r>
          </w:p>
        </w:tc>
        <w:tc>
          <w:tcPr>
            <w:tcW w:w="1969" w:type="dxa"/>
          </w:tcPr>
          <w:p w14:paraId="0470C08F" w14:textId="4C929DFE"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Отчетност на отговорните институции за прилагане на МППРБ</w:t>
            </w:r>
          </w:p>
        </w:tc>
      </w:tr>
      <w:tr w:rsidR="00847791" w:rsidRPr="005C2B9F" w14:paraId="7F4D31FC" w14:textId="77777777" w:rsidTr="00537D06">
        <w:tc>
          <w:tcPr>
            <w:tcW w:w="550" w:type="dxa"/>
            <w:vAlign w:val="center"/>
          </w:tcPr>
          <w:p w14:paraId="13CA484D" w14:textId="278851AD" w:rsidR="00847791" w:rsidRPr="00610B1B" w:rsidRDefault="00847791"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7.</w:t>
            </w:r>
          </w:p>
        </w:tc>
        <w:tc>
          <w:tcPr>
            <w:tcW w:w="2422" w:type="dxa"/>
            <w:vAlign w:val="center"/>
          </w:tcPr>
          <w:p w14:paraId="524469CB" w14:textId="3582EA6F" w:rsidR="00847791" w:rsidRPr="00610B1B" w:rsidRDefault="00847791"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Подобрено знание, отговорност, публично участие и подкрепа за МППРБ</w:t>
            </w:r>
          </w:p>
        </w:tc>
        <w:tc>
          <w:tcPr>
            <w:tcW w:w="2210" w:type="dxa"/>
          </w:tcPr>
          <w:p w14:paraId="73463463" w14:textId="77777777" w:rsidR="00847791" w:rsidRPr="00610B1B" w:rsidRDefault="00847791"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1</w:t>
            </w:r>
          </w:p>
          <w:p w14:paraId="259B76F3" w14:textId="6754BA2A" w:rsidR="00847791" w:rsidRPr="00610B1B" w:rsidRDefault="00847791"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Специфична цел 1.4 </w:t>
            </w:r>
          </w:p>
        </w:tc>
        <w:tc>
          <w:tcPr>
            <w:tcW w:w="1866" w:type="dxa"/>
          </w:tcPr>
          <w:p w14:paraId="582F18D3" w14:textId="2E7E07E6" w:rsidR="00847791" w:rsidRPr="00610B1B" w:rsidRDefault="00847791"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проведени публични консултации</w:t>
            </w:r>
          </w:p>
        </w:tc>
        <w:tc>
          <w:tcPr>
            <w:tcW w:w="1969" w:type="dxa"/>
          </w:tcPr>
          <w:p w14:paraId="21D83A9C" w14:textId="44C87FA3" w:rsidR="00847791"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Процес на изготвяне на МППРБ</w:t>
            </w:r>
          </w:p>
        </w:tc>
      </w:tr>
      <w:bookmarkEnd w:id="504"/>
    </w:tbl>
    <w:p w14:paraId="11C26145" w14:textId="77777777" w:rsidR="009918C6" w:rsidRPr="00390518" w:rsidRDefault="009918C6" w:rsidP="009918C6">
      <w:pPr>
        <w:pStyle w:val="Default"/>
        <w:rPr>
          <w:rFonts w:cs="Times New Roman"/>
          <w:lang w:val="bg-BG"/>
        </w:rPr>
      </w:pPr>
    </w:p>
    <w:p w14:paraId="6C5EB77C" w14:textId="42F6D125" w:rsidR="004E16AF" w:rsidRPr="00610B1B" w:rsidRDefault="004E16AF" w:rsidP="009918C6">
      <w:pPr>
        <w:pStyle w:val="Heading3"/>
        <w:numPr>
          <w:ilvl w:val="0"/>
          <w:numId w:val="0"/>
        </w:numPr>
        <w:spacing w:before="240" w:line="276" w:lineRule="auto"/>
        <w:rPr>
          <w:rFonts w:cs="Times New Roman"/>
        </w:rPr>
      </w:pPr>
      <w:bookmarkStart w:id="505" w:name="_Toc83391444"/>
      <w:r w:rsidRPr="00610B1B">
        <w:rPr>
          <w:rFonts w:cs="Times New Roman"/>
        </w:rPr>
        <w:t>7.4.2. Социално-икономически индикатори</w:t>
      </w:r>
      <w:bookmarkEnd w:id="505"/>
    </w:p>
    <w:p w14:paraId="1D3C7566" w14:textId="6238F1C9" w:rsidR="00482912" w:rsidRPr="00610B1B" w:rsidRDefault="00482912" w:rsidP="00D32D6A">
      <w:pPr>
        <w:pStyle w:val="BodyText"/>
        <w:spacing w:before="0" w:after="120" w:line="276" w:lineRule="auto"/>
        <w:rPr>
          <w:rFonts w:cs="Times New Roman"/>
        </w:rPr>
      </w:pPr>
      <w:r w:rsidRPr="00610B1B">
        <w:rPr>
          <w:rFonts w:cs="Times New Roman"/>
          <w:i/>
          <w:iCs/>
        </w:rPr>
        <w:t>Социално-икономическите индикатори</w:t>
      </w:r>
      <w:r w:rsidRPr="00610B1B">
        <w:rPr>
          <w:rFonts w:cs="Times New Roman"/>
        </w:rPr>
        <w:t xml:space="preserve"> отразяват състоянието на морската икономика и приноса на отделни нейни сектори към икономическото развитие на страната,</w:t>
      </w:r>
      <w:r w:rsidR="00D66FE0" w:rsidRPr="00610B1B">
        <w:rPr>
          <w:rFonts w:cs="Times New Roman"/>
        </w:rPr>
        <w:t xml:space="preserve"> </w:t>
      </w:r>
      <w:r w:rsidRPr="00610B1B">
        <w:rPr>
          <w:rFonts w:cs="Times New Roman"/>
        </w:rPr>
        <w:t>промените в качеството на живот и на околната среда, ползите от екосистемните услуги.</w:t>
      </w:r>
      <w:r w:rsidR="004040E6" w:rsidRPr="00610B1B">
        <w:rPr>
          <w:rFonts w:cs="Times New Roman"/>
        </w:rPr>
        <w:t xml:space="preserve"> Тази група индикатори се </w:t>
      </w:r>
      <w:r w:rsidR="00ED0123" w:rsidRPr="00610B1B">
        <w:rPr>
          <w:rFonts w:cs="Times New Roman"/>
        </w:rPr>
        <w:t>свързва</w:t>
      </w:r>
      <w:r w:rsidR="004040E6" w:rsidRPr="00610B1B">
        <w:rPr>
          <w:rFonts w:cs="Times New Roman"/>
        </w:rPr>
        <w:t xml:space="preserve"> със Стратегически цели 2 и 3.</w:t>
      </w:r>
    </w:p>
    <w:p w14:paraId="214B473C" w14:textId="594A525E" w:rsidR="006F076F" w:rsidRPr="00610B1B" w:rsidRDefault="00962DE7" w:rsidP="00D32D6A">
      <w:pPr>
        <w:pStyle w:val="BodyText"/>
        <w:spacing w:before="0" w:after="120" w:line="276" w:lineRule="auto"/>
        <w:rPr>
          <w:rFonts w:cs="Times New Roman"/>
        </w:rPr>
      </w:pPr>
      <w:bookmarkStart w:id="506" w:name="_Toc83391617"/>
      <w:r w:rsidRPr="00610B1B">
        <w:rPr>
          <w:rFonts w:cs="Times New Roman"/>
        </w:rPr>
        <w:t xml:space="preserve">Таблица </w:t>
      </w:r>
      <w:r w:rsidRPr="00610B1B">
        <w:rPr>
          <w:rFonts w:cs="Times New Roman"/>
        </w:rPr>
        <w:fldChar w:fldCharType="begin"/>
      </w:r>
      <w:r w:rsidRPr="00610B1B">
        <w:rPr>
          <w:rFonts w:cs="Times New Roman"/>
        </w:rPr>
        <w:instrText xml:space="preserve"> SEQ Таблица \* ARABIC </w:instrText>
      </w:r>
      <w:r w:rsidRPr="00610B1B">
        <w:rPr>
          <w:rFonts w:cs="Times New Roman"/>
        </w:rPr>
        <w:fldChar w:fldCharType="separate"/>
      </w:r>
      <w:r w:rsidR="00260629" w:rsidRPr="00610B1B">
        <w:rPr>
          <w:rFonts w:cs="Times New Roman"/>
          <w:noProof/>
        </w:rPr>
        <w:t>21</w:t>
      </w:r>
      <w:r w:rsidRPr="00610B1B">
        <w:rPr>
          <w:rFonts w:cs="Times New Roman"/>
        </w:rPr>
        <w:fldChar w:fldCharType="end"/>
      </w:r>
      <w:r w:rsidRPr="00610B1B">
        <w:rPr>
          <w:rFonts w:cs="Times New Roman"/>
        </w:rPr>
        <w:t xml:space="preserve">: </w:t>
      </w:r>
      <w:r w:rsidR="006F076F" w:rsidRPr="00610B1B">
        <w:rPr>
          <w:rFonts w:cs="Times New Roman"/>
        </w:rPr>
        <w:t>Социално-икономически индикатори</w:t>
      </w:r>
      <w:bookmarkEnd w:id="506"/>
    </w:p>
    <w:tbl>
      <w:tblPr>
        <w:tblStyle w:val="TableGrid"/>
        <w:tblW w:w="9575" w:type="dxa"/>
        <w:tblInd w:w="-28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98"/>
        <w:gridCol w:w="2439"/>
        <w:gridCol w:w="2030"/>
        <w:gridCol w:w="2674"/>
        <w:gridCol w:w="1934"/>
      </w:tblGrid>
      <w:tr w:rsidR="00C04CC4" w:rsidRPr="00610B1B" w14:paraId="4388A535" w14:textId="77777777" w:rsidTr="00E72C84">
        <w:trPr>
          <w:tblHeader/>
        </w:trPr>
        <w:tc>
          <w:tcPr>
            <w:tcW w:w="498" w:type="dxa"/>
            <w:shd w:val="clear" w:color="auto" w:fill="C6D9F1" w:themeFill="text2" w:themeFillTint="33"/>
            <w:vAlign w:val="center"/>
          </w:tcPr>
          <w:p w14:paraId="475D0C42" w14:textId="77777777" w:rsidR="006F076F" w:rsidRPr="00610B1B" w:rsidRDefault="006F076F" w:rsidP="00D32D6A">
            <w:pPr>
              <w:jc w:val="center"/>
              <w:rPr>
                <w:rFonts w:ascii="Times New Roman" w:hAnsi="Times New Roman" w:cs="Times New Roman"/>
                <w:b/>
                <w:bCs/>
                <w:lang w:val="bg-BG"/>
              </w:rPr>
            </w:pPr>
            <w:r w:rsidRPr="00610B1B">
              <w:rPr>
                <w:rFonts w:ascii="Times New Roman" w:hAnsi="Times New Roman" w:cs="Times New Roman"/>
                <w:b/>
                <w:bCs/>
                <w:lang w:val="bg-BG"/>
              </w:rPr>
              <w:t>№</w:t>
            </w:r>
          </w:p>
        </w:tc>
        <w:tc>
          <w:tcPr>
            <w:tcW w:w="2439" w:type="dxa"/>
            <w:shd w:val="clear" w:color="auto" w:fill="C6D9F1" w:themeFill="text2" w:themeFillTint="33"/>
            <w:vAlign w:val="center"/>
          </w:tcPr>
          <w:p w14:paraId="6B1324E0" w14:textId="76DB40CA" w:rsidR="00C04CC4" w:rsidRPr="00610B1B" w:rsidRDefault="00C04CC4" w:rsidP="00D32D6A">
            <w:pPr>
              <w:jc w:val="center"/>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Синтезен</w:t>
            </w:r>
          </w:p>
          <w:p w14:paraId="57AC0A28" w14:textId="0F73DDDD" w:rsidR="006F076F" w:rsidRPr="00610B1B" w:rsidRDefault="00C04CC4" w:rsidP="00D32D6A">
            <w:pPr>
              <w:jc w:val="center"/>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и</w:t>
            </w:r>
            <w:r w:rsidR="006F076F" w:rsidRPr="00610B1B">
              <w:rPr>
                <w:rFonts w:ascii="Times New Roman" w:hAnsi="Times New Roman" w:cs="Times New Roman"/>
                <w:b/>
                <w:bCs/>
                <w:sz w:val="20"/>
                <w:szCs w:val="20"/>
                <w:lang w:val="bg-BG"/>
              </w:rPr>
              <w:t>ндикатор</w:t>
            </w:r>
          </w:p>
        </w:tc>
        <w:tc>
          <w:tcPr>
            <w:tcW w:w="2030" w:type="dxa"/>
            <w:shd w:val="clear" w:color="auto" w:fill="C6D9F1" w:themeFill="text2" w:themeFillTint="33"/>
            <w:vAlign w:val="center"/>
          </w:tcPr>
          <w:p w14:paraId="7E0E73A0" w14:textId="33727271" w:rsidR="006F076F" w:rsidRPr="00610B1B" w:rsidRDefault="006F076F" w:rsidP="00D32D6A">
            <w:pPr>
              <w:jc w:val="center"/>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Връзка със стратегически цели</w:t>
            </w:r>
          </w:p>
        </w:tc>
        <w:tc>
          <w:tcPr>
            <w:tcW w:w="2674" w:type="dxa"/>
            <w:shd w:val="clear" w:color="auto" w:fill="C6D9F1" w:themeFill="text2" w:themeFillTint="33"/>
            <w:vAlign w:val="center"/>
          </w:tcPr>
          <w:p w14:paraId="0B76ABD4" w14:textId="77777777" w:rsidR="006F076F" w:rsidRPr="00610B1B" w:rsidRDefault="006F076F" w:rsidP="00D32D6A">
            <w:pPr>
              <w:jc w:val="center"/>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Показатели</w:t>
            </w:r>
          </w:p>
        </w:tc>
        <w:tc>
          <w:tcPr>
            <w:tcW w:w="1934" w:type="dxa"/>
            <w:shd w:val="clear" w:color="auto" w:fill="C6D9F1" w:themeFill="text2" w:themeFillTint="33"/>
            <w:vAlign w:val="center"/>
          </w:tcPr>
          <w:p w14:paraId="62AA8A4D" w14:textId="77777777" w:rsidR="006F076F" w:rsidRPr="00610B1B" w:rsidRDefault="006F076F" w:rsidP="00D32D6A">
            <w:pPr>
              <w:jc w:val="center"/>
              <w:rPr>
                <w:rFonts w:ascii="Times New Roman" w:hAnsi="Times New Roman" w:cs="Times New Roman"/>
                <w:b/>
                <w:bCs/>
                <w:sz w:val="20"/>
                <w:szCs w:val="20"/>
                <w:lang w:val="bg-BG"/>
              </w:rPr>
            </w:pPr>
            <w:r w:rsidRPr="00610B1B">
              <w:rPr>
                <w:rFonts w:ascii="Times New Roman" w:hAnsi="Times New Roman" w:cs="Times New Roman"/>
                <w:b/>
                <w:bCs/>
                <w:sz w:val="20"/>
                <w:szCs w:val="20"/>
                <w:lang w:val="bg-BG"/>
              </w:rPr>
              <w:t>Информационна осигуреност</w:t>
            </w:r>
          </w:p>
        </w:tc>
      </w:tr>
      <w:tr w:rsidR="00C04CC4" w:rsidRPr="00610B1B" w14:paraId="18165E40" w14:textId="77777777" w:rsidTr="00E72C84">
        <w:tc>
          <w:tcPr>
            <w:tcW w:w="498" w:type="dxa"/>
            <w:vAlign w:val="center"/>
          </w:tcPr>
          <w:p w14:paraId="6C36B80B" w14:textId="77777777" w:rsidR="00D4156A" w:rsidRPr="00610B1B" w:rsidRDefault="00D4156A"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1.</w:t>
            </w:r>
          </w:p>
        </w:tc>
        <w:tc>
          <w:tcPr>
            <w:tcW w:w="2439" w:type="dxa"/>
            <w:vAlign w:val="center"/>
          </w:tcPr>
          <w:p w14:paraId="0A3F7D61" w14:textId="76D1998C" w:rsidR="00D4156A" w:rsidRPr="00610B1B" w:rsidRDefault="00D4156A"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Принос на сектори</w:t>
            </w:r>
            <w:r w:rsidR="005C76F0" w:rsidRPr="00610B1B">
              <w:rPr>
                <w:rFonts w:ascii="Times New Roman" w:hAnsi="Times New Roman" w:cs="Times New Roman"/>
                <w:sz w:val="20"/>
                <w:szCs w:val="20"/>
                <w:lang w:val="bg-BG"/>
              </w:rPr>
              <w:t>те</w:t>
            </w:r>
            <w:r w:rsidRPr="00610B1B">
              <w:rPr>
                <w:rFonts w:ascii="Times New Roman" w:hAnsi="Times New Roman" w:cs="Times New Roman"/>
                <w:sz w:val="20"/>
                <w:szCs w:val="20"/>
                <w:lang w:val="bg-BG"/>
              </w:rPr>
              <w:t xml:space="preserve"> на морската икономика </w:t>
            </w:r>
          </w:p>
        </w:tc>
        <w:tc>
          <w:tcPr>
            <w:tcW w:w="2030" w:type="dxa"/>
          </w:tcPr>
          <w:p w14:paraId="5659F17E" w14:textId="77777777"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2</w:t>
            </w:r>
          </w:p>
          <w:p w14:paraId="2BE0BD1F" w14:textId="53924610"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Специфична цел 2.1</w:t>
            </w:r>
          </w:p>
        </w:tc>
        <w:tc>
          <w:tcPr>
            <w:tcW w:w="2674" w:type="dxa"/>
          </w:tcPr>
          <w:p w14:paraId="67C4185D" w14:textId="260C2CAD"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БДС на сектори от морската икономика</w:t>
            </w:r>
          </w:p>
        </w:tc>
        <w:tc>
          <w:tcPr>
            <w:tcW w:w="1934" w:type="dxa"/>
          </w:tcPr>
          <w:p w14:paraId="68E79A46" w14:textId="0C1468DD"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НСИ</w:t>
            </w:r>
          </w:p>
        </w:tc>
      </w:tr>
      <w:tr w:rsidR="00C04CC4" w:rsidRPr="00610B1B" w14:paraId="6B4C076C" w14:textId="77777777" w:rsidTr="00E72C84">
        <w:tc>
          <w:tcPr>
            <w:tcW w:w="498" w:type="dxa"/>
            <w:vAlign w:val="center"/>
          </w:tcPr>
          <w:p w14:paraId="2D2A8987" w14:textId="77777777" w:rsidR="00D4156A" w:rsidRPr="00610B1B" w:rsidRDefault="00D4156A"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2.</w:t>
            </w:r>
          </w:p>
        </w:tc>
        <w:tc>
          <w:tcPr>
            <w:tcW w:w="2439" w:type="dxa"/>
            <w:vAlign w:val="center"/>
          </w:tcPr>
          <w:p w14:paraId="53EAD66F" w14:textId="02B58824" w:rsidR="00D4156A" w:rsidRPr="00610B1B" w:rsidRDefault="00D4156A"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Увеличени инвестиции в сектори на морската икономика</w:t>
            </w:r>
          </w:p>
        </w:tc>
        <w:tc>
          <w:tcPr>
            <w:tcW w:w="2030" w:type="dxa"/>
          </w:tcPr>
          <w:p w14:paraId="0607A7C7" w14:textId="77777777"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2</w:t>
            </w:r>
          </w:p>
          <w:p w14:paraId="450C7259" w14:textId="6EBC2753"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Специфични цели 2.1, 2.2, 2.3 и 2.4</w:t>
            </w:r>
          </w:p>
        </w:tc>
        <w:tc>
          <w:tcPr>
            <w:tcW w:w="2674" w:type="dxa"/>
          </w:tcPr>
          <w:p w14:paraId="098BA3C4" w14:textId="2AAFEFA4"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Разходи за ДМА в сектори на морската икономика</w:t>
            </w:r>
          </w:p>
        </w:tc>
        <w:tc>
          <w:tcPr>
            <w:tcW w:w="1934" w:type="dxa"/>
          </w:tcPr>
          <w:p w14:paraId="4D164B1A" w14:textId="2CEB2A54"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НСИ</w:t>
            </w:r>
          </w:p>
        </w:tc>
      </w:tr>
      <w:tr w:rsidR="00C04CC4" w:rsidRPr="00610B1B" w14:paraId="359CF904" w14:textId="77777777" w:rsidTr="00E72C84">
        <w:tc>
          <w:tcPr>
            <w:tcW w:w="498" w:type="dxa"/>
            <w:vAlign w:val="center"/>
          </w:tcPr>
          <w:p w14:paraId="5EC5B869" w14:textId="77777777" w:rsidR="00D4156A" w:rsidRPr="00610B1B" w:rsidRDefault="00D4156A"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3.</w:t>
            </w:r>
          </w:p>
        </w:tc>
        <w:tc>
          <w:tcPr>
            <w:tcW w:w="2439" w:type="dxa"/>
            <w:vAlign w:val="center"/>
          </w:tcPr>
          <w:p w14:paraId="62408FD9" w14:textId="555CE343" w:rsidR="00D4156A" w:rsidRPr="00610B1B" w:rsidRDefault="00D4156A"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Стабилизирана и идентифицирана заетост в сектори на морската икономика</w:t>
            </w:r>
          </w:p>
        </w:tc>
        <w:tc>
          <w:tcPr>
            <w:tcW w:w="2030" w:type="dxa"/>
          </w:tcPr>
          <w:p w14:paraId="54C39DE6" w14:textId="170EBB33"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2</w:t>
            </w:r>
          </w:p>
          <w:p w14:paraId="3AF4EA50" w14:textId="08654142" w:rsidR="00D4156A" w:rsidRPr="00610B1B" w:rsidRDefault="00D4156A" w:rsidP="00D32D6A">
            <w:pPr>
              <w:rPr>
                <w:rFonts w:ascii="Times New Roman" w:hAnsi="Times New Roman" w:cs="Times New Roman"/>
                <w:sz w:val="20"/>
                <w:szCs w:val="20"/>
                <w:lang w:val="bg-BG"/>
              </w:rPr>
            </w:pPr>
          </w:p>
        </w:tc>
        <w:tc>
          <w:tcPr>
            <w:tcW w:w="2674" w:type="dxa"/>
          </w:tcPr>
          <w:p w14:paraId="0C0842D8" w14:textId="77777777"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заети лица в сектори на морската икономика</w:t>
            </w:r>
          </w:p>
          <w:p w14:paraId="60CDDD2C" w14:textId="57D4630E"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Равнище на безработица в крайбрежните общини</w:t>
            </w:r>
          </w:p>
        </w:tc>
        <w:tc>
          <w:tcPr>
            <w:tcW w:w="1934" w:type="dxa"/>
          </w:tcPr>
          <w:p w14:paraId="54AAC038" w14:textId="1DF6D92D" w:rsidR="00D4156A" w:rsidRPr="00610B1B" w:rsidRDefault="00D4156A"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НСИ</w:t>
            </w:r>
          </w:p>
        </w:tc>
      </w:tr>
      <w:tr w:rsidR="00C04CC4" w:rsidRPr="005C2B9F" w14:paraId="1587EC92" w14:textId="77777777" w:rsidTr="00E72C84">
        <w:tc>
          <w:tcPr>
            <w:tcW w:w="498" w:type="dxa"/>
            <w:vAlign w:val="center"/>
          </w:tcPr>
          <w:p w14:paraId="6209CBAB" w14:textId="77777777" w:rsidR="00091235" w:rsidRPr="00610B1B" w:rsidRDefault="00091235"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4.</w:t>
            </w:r>
          </w:p>
        </w:tc>
        <w:tc>
          <w:tcPr>
            <w:tcW w:w="2439" w:type="dxa"/>
            <w:vAlign w:val="center"/>
          </w:tcPr>
          <w:p w14:paraId="2CD74852" w14:textId="183C3E97" w:rsidR="00091235" w:rsidRPr="00610B1B" w:rsidRDefault="00091235"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Новоразкрити работни места в сектори на морската икономика</w:t>
            </w:r>
          </w:p>
        </w:tc>
        <w:tc>
          <w:tcPr>
            <w:tcW w:w="2030" w:type="dxa"/>
          </w:tcPr>
          <w:p w14:paraId="28F83494" w14:textId="77777777"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Стратегическа цел 2, всички специфични цели; </w:t>
            </w:r>
          </w:p>
          <w:p w14:paraId="0BCAAF9D" w14:textId="1797788B"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Стратегическа цел 4, Специфична цел 4.3. </w:t>
            </w:r>
          </w:p>
        </w:tc>
        <w:tc>
          <w:tcPr>
            <w:tcW w:w="2674" w:type="dxa"/>
          </w:tcPr>
          <w:p w14:paraId="79BFC1F8" w14:textId="4AC95E99"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новоразкрити работни места общо и по сектори</w:t>
            </w:r>
          </w:p>
        </w:tc>
        <w:tc>
          <w:tcPr>
            <w:tcW w:w="1934" w:type="dxa"/>
          </w:tcPr>
          <w:p w14:paraId="4C81402D" w14:textId="2D4F8DCB"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НСИ, регионални служби по заетостта </w:t>
            </w:r>
          </w:p>
        </w:tc>
      </w:tr>
      <w:tr w:rsidR="00C04CC4" w:rsidRPr="00610B1B" w14:paraId="1273746E" w14:textId="77777777" w:rsidTr="00E72C84">
        <w:tc>
          <w:tcPr>
            <w:tcW w:w="498" w:type="dxa"/>
            <w:vAlign w:val="center"/>
          </w:tcPr>
          <w:p w14:paraId="1A8B57EF" w14:textId="77777777" w:rsidR="00091235" w:rsidRPr="00610B1B" w:rsidRDefault="00091235"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5.</w:t>
            </w:r>
          </w:p>
        </w:tc>
        <w:tc>
          <w:tcPr>
            <w:tcW w:w="2439" w:type="dxa"/>
            <w:vAlign w:val="center"/>
          </w:tcPr>
          <w:p w14:paraId="6EB93CD2" w14:textId="40FC39D0" w:rsidR="00091235" w:rsidRPr="00610B1B" w:rsidRDefault="00091235"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Стабилизиране на населението в крайбрежните общини</w:t>
            </w:r>
          </w:p>
        </w:tc>
        <w:tc>
          <w:tcPr>
            <w:tcW w:w="2030" w:type="dxa"/>
          </w:tcPr>
          <w:p w14:paraId="051BF242" w14:textId="5FFF78F7"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2</w:t>
            </w:r>
          </w:p>
        </w:tc>
        <w:tc>
          <w:tcPr>
            <w:tcW w:w="2674" w:type="dxa"/>
          </w:tcPr>
          <w:p w14:paraId="101955D4" w14:textId="77777777"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население в крайбрежните общини</w:t>
            </w:r>
          </w:p>
          <w:p w14:paraId="1C296FFF" w14:textId="36FE5239"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Коефициент на възрастова зависимост в крайбрежните общини</w:t>
            </w:r>
          </w:p>
        </w:tc>
        <w:tc>
          <w:tcPr>
            <w:tcW w:w="1934" w:type="dxa"/>
          </w:tcPr>
          <w:p w14:paraId="7CBA4EF1" w14:textId="69549004"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НСИ</w:t>
            </w:r>
          </w:p>
        </w:tc>
      </w:tr>
      <w:tr w:rsidR="00C04CC4" w:rsidRPr="00610B1B" w14:paraId="54FCD210" w14:textId="77777777" w:rsidTr="00E72C84">
        <w:tc>
          <w:tcPr>
            <w:tcW w:w="498" w:type="dxa"/>
            <w:vAlign w:val="center"/>
          </w:tcPr>
          <w:p w14:paraId="7246639E" w14:textId="77777777" w:rsidR="00091235" w:rsidRPr="00610B1B" w:rsidRDefault="00091235"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6.</w:t>
            </w:r>
          </w:p>
        </w:tc>
        <w:tc>
          <w:tcPr>
            <w:tcW w:w="2439" w:type="dxa"/>
            <w:vAlign w:val="center"/>
          </w:tcPr>
          <w:p w14:paraId="1168A56E" w14:textId="7BDA3B54" w:rsidR="00091235" w:rsidRPr="00610B1B" w:rsidRDefault="00091235"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Намалени вътрешнорегионални различия в доходите на </w:t>
            </w:r>
            <w:r w:rsidR="00ED0123" w:rsidRPr="00610B1B">
              <w:rPr>
                <w:rFonts w:ascii="Times New Roman" w:hAnsi="Times New Roman" w:cs="Times New Roman"/>
                <w:sz w:val="20"/>
                <w:szCs w:val="20"/>
                <w:lang w:val="bg-BG"/>
              </w:rPr>
              <w:t>населението</w:t>
            </w:r>
          </w:p>
        </w:tc>
        <w:tc>
          <w:tcPr>
            <w:tcW w:w="2030" w:type="dxa"/>
          </w:tcPr>
          <w:p w14:paraId="5075C853" w14:textId="6C25D054"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2, всички специфични цели</w:t>
            </w:r>
          </w:p>
        </w:tc>
        <w:tc>
          <w:tcPr>
            <w:tcW w:w="2674" w:type="dxa"/>
          </w:tcPr>
          <w:p w14:paraId="073A959F" w14:textId="77777777"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Средна работна заплата на заетите в крайбрежните общините</w:t>
            </w:r>
          </w:p>
          <w:p w14:paraId="6D8AB1AD" w14:textId="77777777"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Среден годишен доход на човек от населението в крайбрежни области</w:t>
            </w:r>
          </w:p>
          <w:p w14:paraId="519308C5" w14:textId="7CCF2D89"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Вариация на доходите от работна заплата в крайбрежните общини</w:t>
            </w:r>
          </w:p>
        </w:tc>
        <w:tc>
          <w:tcPr>
            <w:tcW w:w="1934" w:type="dxa"/>
          </w:tcPr>
          <w:p w14:paraId="10C447A2" w14:textId="407A3ABC"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НСИ</w:t>
            </w:r>
          </w:p>
        </w:tc>
      </w:tr>
      <w:tr w:rsidR="00C04CC4" w:rsidRPr="00610B1B" w14:paraId="3E7E4C79" w14:textId="77777777" w:rsidTr="00E72C84">
        <w:tc>
          <w:tcPr>
            <w:tcW w:w="498" w:type="dxa"/>
            <w:vAlign w:val="center"/>
          </w:tcPr>
          <w:p w14:paraId="0213A335" w14:textId="5BAADBF7" w:rsidR="00091235" w:rsidRPr="00610B1B" w:rsidRDefault="00091235"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7.</w:t>
            </w:r>
          </w:p>
        </w:tc>
        <w:tc>
          <w:tcPr>
            <w:tcW w:w="2439" w:type="dxa"/>
            <w:vAlign w:val="center"/>
          </w:tcPr>
          <w:p w14:paraId="4668D13D" w14:textId="150E69C6" w:rsidR="00091235" w:rsidRPr="00610B1B" w:rsidRDefault="00091235"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Създадени центрове за иновации и върхови постижения, свързани с морската икономика</w:t>
            </w:r>
          </w:p>
        </w:tc>
        <w:tc>
          <w:tcPr>
            <w:tcW w:w="2030" w:type="dxa"/>
          </w:tcPr>
          <w:p w14:paraId="51655002" w14:textId="2C2C275A"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3, Специфична цел 3.1.</w:t>
            </w:r>
          </w:p>
        </w:tc>
        <w:tc>
          <w:tcPr>
            <w:tcW w:w="2674" w:type="dxa"/>
          </w:tcPr>
          <w:p w14:paraId="36BB3A2A" w14:textId="0C9102F7"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създадени центрове за иновации и върхови постижения, свързани с морската икономика</w:t>
            </w:r>
          </w:p>
        </w:tc>
        <w:tc>
          <w:tcPr>
            <w:tcW w:w="1934" w:type="dxa"/>
          </w:tcPr>
          <w:p w14:paraId="1E70D890" w14:textId="77777777"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МИ, </w:t>
            </w:r>
          </w:p>
          <w:p w14:paraId="47B32424" w14:textId="3B08B2EF"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морски общини</w:t>
            </w:r>
          </w:p>
        </w:tc>
      </w:tr>
      <w:tr w:rsidR="00C04CC4" w:rsidRPr="005C2B9F" w14:paraId="6A7ACDF7" w14:textId="77777777" w:rsidTr="00E72C84">
        <w:tc>
          <w:tcPr>
            <w:tcW w:w="498" w:type="dxa"/>
            <w:vAlign w:val="center"/>
          </w:tcPr>
          <w:p w14:paraId="7C4E6519" w14:textId="6FDCD21B" w:rsidR="00091235" w:rsidRPr="00610B1B" w:rsidRDefault="00091235"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8. </w:t>
            </w:r>
          </w:p>
        </w:tc>
        <w:tc>
          <w:tcPr>
            <w:tcW w:w="2439" w:type="dxa"/>
            <w:vAlign w:val="center"/>
          </w:tcPr>
          <w:p w14:paraId="668959E1" w14:textId="44F6D649" w:rsidR="00091235" w:rsidRPr="00610B1B" w:rsidRDefault="00091235"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Развит научноизследователски капацитет в сектори на морската икономика</w:t>
            </w:r>
          </w:p>
        </w:tc>
        <w:tc>
          <w:tcPr>
            <w:tcW w:w="2030" w:type="dxa"/>
          </w:tcPr>
          <w:p w14:paraId="3E49F8DC" w14:textId="0AB2A1E2"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3, Специфична цел 3.1., 3.2</w:t>
            </w:r>
          </w:p>
        </w:tc>
        <w:tc>
          <w:tcPr>
            <w:tcW w:w="2674" w:type="dxa"/>
          </w:tcPr>
          <w:p w14:paraId="36DCEDE2" w14:textId="526FD844"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Персонал, зает в</w:t>
            </w:r>
            <w:r w:rsidR="00D66FE0"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НИРД в сектори на морската икономика</w:t>
            </w:r>
          </w:p>
        </w:tc>
        <w:tc>
          <w:tcPr>
            <w:tcW w:w="1934" w:type="dxa"/>
          </w:tcPr>
          <w:p w14:paraId="549EC866" w14:textId="763317A5"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НСИ, Обл. администрации Варна и Бургас, морски общини</w:t>
            </w:r>
          </w:p>
        </w:tc>
      </w:tr>
      <w:tr w:rsidR="00C04CC4" w:rsidRPr="00610B1B" w14:paraId="079D6BAA" w14:textId="77777777" w:rsidTr="00E72C84">
        <w:tc>
          <w:tcPr>
            <w:tcW w:w="498" w:type="dxa"/>
            <w:vAlign w:val="center"/>
          </w:tcPr>
          <w:p w14:paraId="71F6AEF0" w14:textId="014F0465" w:rsidR="00091235" w:rsidRPr="00610B1B" w:rsidRDefault="00091235"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9.</w:t>
            </w:r>
          </w:p>
        </w:tc>
        <w:tc>
          <w:tcPr>
            <w:tcW w:w="2439" w:type="dxa"/>
            <w:vAlign w:val="center"/>
          </w:tcPr>
          <w:p w14:paraId="1FA22F0A" w14:textId="52955C8C" w:rsidR="00091235" w:rsidRPr="00610B1B" w:rsidRDefault="00091235"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Изградено сътрудничество между бизнес, наука и образование, свързано с</w:t>
            </w:r>
            <w:r w:rsidR="00D66FE0" w:rsidRPr="00610B1B">
              <w:rPr>
                <w:rFonts w:ascii="Times New Roman" w:hAnsi="Times New Roman" w:cs="Times New Roman"/>
                <w:sz w:val="20"/>
                <w:szCs w:val="20"/>
                <w:lang w:val="bg-BG"/>
              </w:rPr>
              <w:t xml:space="preserve"> </w:t>
            </w:r>
            <w:r w:rsidRPr="00610B1B">
              <w:rPr>
                <w:rFonts w:ascii="Times New Roman" w:hAnsi="Times New Roman" w:cs="Times New Roman"/>
                <w:sz w:val="20"/>
                <w:szCs w:val="20"/>
                <w:lang w:val="bg-BG"/>
              </w:rPr>
              <w:t>морската икономика</w:t>
            </w:r>
          </w:p>
        </w:tc>
        <w:tc>
          <w:tcPr>
            <w:tcW w:w="2030" w:type="dxa"/>
          </w:tcPr>
          <w:p w14:paraId="2BF3643B" w14:textId="2A036F4D"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3, Специфична цел 3.2</w:t>
            </w:r>
          </w:p>
        </w:tc>
        <w:tc>
          <w:tcPr>
            <w:tcW w:w="2674" w:type="dxa"/>
          </w:tcPr>
          <w:p w14:paraId="47C5A364" w14:textId="77777777"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регистрирани инициативи/проекти между бизнес, наука и образование</w:t>
            </w:r>
          </w:p>
          <w:p w14:paraId="3358FDDB" w14:textId="01B08156"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научни публикации в области, свързани със знанието за морето</w:t>
            </w:r>
            <w:r w:rsidR="00C04CC4" w:rsidRPr="00610B1B">
              <w:rPr>
                <w:rFonts w:ascii="Times New Roman" w:hAnsi="Times New Roman" w:cs="Times New Roman"/>
                <w:sz w:val="20"/>
                <w:szCs w:val="20"/>
                <w:lang w:val="bg-BG"/>
              </w:rPr>
              <w:t xml:space="preserve"> с участие на български учени</w:t>
            </w:r>
            <w:r w:rsidRPr="00610B1B">
              <w:rPr>
                <w:rFonts w:ascii="Times New Roman" w:hAnsi="Times New Roman" w:cs="Times New Roman"/>
                <w:sz w:val="20"/>
                <w:szCs w:val="20"/>
                <w:lang w:val="bg-BG"/>
              </w:rPr>
              <w:t>.</w:t>
            </w:r>
          </w:p>
        </w:tc>
        <w:tc>
          <w:tcPr>
            <w:tcW w:w="1934" w:type="dxa"/>
          </w:tcPr>
          <w:p w14:paraId="46CE8B61" w14:textId="62161A2D"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Обл. администрации Добрич, Варна и Бургас, морски общини</w:t>
            </w:r>
          </w:p>
          <w:p w14:paraId="04F720BE" w14:textId="79A08F73" w:rsidR="00C04CC4" w:rsidRPr="00610B1B" w:rsidRDefault="00C04CC4" w:rsidP="00D32D6A">
            <w:pPr>
              <w:rPr>
                <w:rFonts w:ascii="Times New Roman" w:hAnsi="Times New Roman" w:cs="Times New Roman"/>
                <w:sz w:val="20"/>
                <w:szCs w:val="20"/>
                <w:lang w:val="bg-BG"/>
              </w:rPr>
            </w:pPr>
          </w:p>
          <w:p w14:paraId="6400710E" w14:textId="77777777" w:rsidR="00C04CC4" w:rsidRPr="00610B1B" w:rsidRDefault="00C04CC4" w:rsidP="00D32D6A">
            <w:pPr>
              <w:rPr>
                <w:rFonts w:ascii="Times New Roman" w:hAnsi="Times New Roman" w:cs="Times New Roman"/>
                <w:sz w:val="20"/>
                <w:szCs w:val="20"/>
                <w:lang w:val="bg-BG"/>
              </w:rPr>
            </w:pPr>
          </w:p>
          <w:p w14:paraId="1FAC2C6F" w14:textId="58503AFD" w:rsidR="00C04CC4" w:rsidRPr="00610B1B" w:rsidRDefault="00C04CC4" w:rsidP="00D32D6A">
            <w:pPr>
              <w:ind w:firstLine="8"/>
              <w:rPr>
                <w:rFonts w:ascii="Times New Roman" w:hAnsi="Times New Roman" w:cs="Times New Roman"/>
                <w:sz w:val="20"/>
                <w:szCs w:val="20"/>
                <w:lang w:val="bg-BG"/>
              </w:rPr>
            </w:pPr>
            <w:r w:rsidRPr="00610B1B">
              <w:rPr>
                <w:rFonts w:ascii="Times New Roman" w:hAnsi="Times New Roman" w:cs="Times New Roman"/>
                <w:sz w:val="20"/>
                <w:szCs w:val="20"/>
                <w:lang w:val="bg-BG"/>
              </w:rPr>
              <w:t>НАЦИД</w:t>
            </w:r>
          </w:p>
          <w:p w14:paraId="78325946" w14:textId="77777777" w:rsidR="00C04CC4" w:rsidRPr="00610B1B" w:rsidRDefault="00C04CC4" w:rsidP="00D32D6A">
            <w:pPr>
              <w:rPr>
                <w:rFonts w:ascii="Times New Roman" w:hAnsi="Times New Roman" w:cs="Times New Roman"/>
                <w:sz w:val="20"/>
                <w:szCs w:val="20"/>
                <w:lang w:val="bg-BG"/>
              </w:rPr>
            </w:pPr>
          </w:p>
          <w:p w14:paraId="2A13616D" w14:textId="6E51979A" w:rsidR="00C04CC4" w:rsidRPr="00610B1B" w:rsidRDefault="00C04CC4"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www.sciencedirect.com/</w:t>
            </w:r>
          </w:p>
          <w:p w14:paraId="780F8CE7" w14:textId="1D56E81D" w:rsidR="00C04CC4" w:rsidRPr="00610B1B" w:rsidRDefault="00C04CC4" w:rsidP="00D32D6A">
            <w:pPr>
              <w:rPr>
                <w:rFonts w:ascii="Times New Roman" w:hAnsi="Times New Roman" w:cs="Times New Roman"/>
                <w:sz w:val="20"/>
                <w:szCs w:val="20"/>
                <w:lang w:val="bg-BG"/>
              </w:rPr>
            </w:pPr>
          </w:p>
        </w:tc>
      </w:tr>
      <w:tr w:rsidR="00C04CC4" w:rsidRPr="005C2B9F" w14:paraId="37458747" w14:textId="77777777" w:rsidTr="00E72C84">
        <w:tc>
          <w:tcPr>
            <w:tcW w:w="498" w:type="dxa"/>
            <w:vAlign w:val="center"/>
          </w:tcPr>
          <w:p w14:paraId="49AFCD5A" w14:textId="085CFF64" w:rsidR="00091235" w:rsidRPr="00610B1B" w:rsidRDefault="00091235"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10.</w:t>
            </w:r>
          </w:p>
        </w:tc>
        <w:tc>
          <w:tcPr>
            <w:tcW w:w="2439" w:type="dxa"/>
            <w:vAlign w:val="center"/>
          </w:tcPr>
          <w:p w14:paraId="7865C4F7" w14:textId="32405CB5" w:rsidR="00091235" w:rsidRPr="00610B1B" w:rsidRDefault="0027057B"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Подготвени</w:t>
            </w:r>
            <w:r w:rsidR="00091235" w:rsidRPr="00610B1B">
              <w:rPr>
                <w:rFonts w:ascii="Times New Roman" w:hAnsi="Times New Roman" w:cs="Times New Roman"/>
                <w:sz w:val="20"/>
                <w:szCs w:val="20"/>
                <w:lang w:val="bg-BG"/>
              </w:rPr>
              <w:t xml:space="preserve"> кадри за морската индустрия </w:t>
            </w:r>
          </w:p>
        </w:tc>
        <w:tc>
          <w:tcPr>
            <w:tcW w:w="2030" w:type="dxa"/>
          </w:tcPr>
          <w:p w14:paraId="73423EAC" w14:textId="41DF9AA4"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3, всички специфични цели</w:t>
            </w:r>
          </w:p>
        </w:tc>
        <w:tc>
          <w:tcPr>
            <w:tcW w:w="2674" w:type="dxa"/>
          </w:tcPr>
          <w:p w14:paraId="65762FCA" w14:textId="77777777"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лица, завършили професионално или дуално образование/обучение в областта на морската икономика</w:t>
            </w:r>
          </w:p>
          <w:p w14:paraId="02143FB5" w14:textId="77777777"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лица, завършили висше образование в областта на морската икономика</w:t>
            </w:r>
          </w:p>
          <w:p w14:paraId="4F6B51EE" w14:textId="2F3DC213"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Брой служители, преминали продължаващо ПОО (по видове умения: технически, управленски, предприемачески, екологични, други) в </w:t>
            </w:r>
            <w:r w:rsidRPr="00610B1B">
              <w:rPr>
                <w:rFonts w:ascii="Times New Roman" w:hAnsi="Times New Roman" w:cs="Times New Roman"/>
                <w:sz w:val="20"/>
                <w:szCs w:val="20"/>
                <w:lang w:val="bg-BG"/>
              </w:rPr>
              <w:lastRenderedPageBreak/>
              <w:t>сектори на морската икономика</w:t>
            </w:r>
          </w:p>
        </w:tc>
        <w:tc>
          <w:tcPr>
            <w:tcW w:w="1934" w:type="dxa"/>
          </w:tcPr>
          <w:p w14:paraId="5F118DD7" w14:textId="77777777"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Професионални училища</w:t>
            </w:r>
          </w:p>
          <w:p w14:paraId="15395BD0" w14:textId="77777777" w:rsidR="00091235" w:rsidRPr="00610B1B" w:rsidRDefault="00091235" w:rsidP="00D32D6A">
            <w:pPr>
              <w:rPr>
                <w:rFonts w:ascii="Times New Roman" w:hAnsi="Times New Roman" w:cs="Times New Roman"/>
                <w:sz w:val="20"/>
                <w:szCs w:val="20"/>
                <w:lang w:val="bg-BG"/>
              </w:rPr>
            </w:pPr>
          </w:p>
          <w:p w14:paraId="5DC10410" w14:textId="77777777" w:rsidR="00091235" w:rsidRPr="00610B1B" w:rsidRDefault="00091235" w:rsidP="00D32D6A">
            <w:pPr>
              <w:rPr>
                <w:rFonts w:ascii="Times New Roman" w:hAnsi="Times New Roman" w:cs="Times New Roman"/>
                <w:sz w:val="20"/>
                <w:szCs w:val="20"/>
                <w:lang w:val="bg-BG"/>
              </w:rPr>
            </w:pPr>
          </w:p>
          <w:p w14:paraId="534909B7" w14:textId="77777777" w:rsidR="00091235" w:rsidRPr="00610B1B" w:rsidRDefault="00091235" w:rsidP="00D32D6A">
            <w:pPr>
              <w:rPr>
                <w:rFonts w:ascii="Times New Roman" w:hAnsi="Times New Roman" w:cs="Times New Roman"/>
                <w:sz w:val="20"/>
                <w:szCs w:val="20"/>
                <w:lang w:val="bg-BG"/>
              </w:rPr>
            </w:pPr>
          </w:p>
          <w:p w14:paraId="2E3034E9" w14:textId="77777777" w:rsidR="00091235" w:rsidRPr="00610B1B" w:rsidRDefault="00091235" w:rsidP="00D32D6A">
            <w:pPr>
              <w:rPr>
                <w:rFonts w:ascii="Times New Roman" w:hAnsi="Times New Roman" w:cs="Times New Roman"/>
                <w:sz w:val="20"/>
                <w:szCs w:val="20"/>
                <w:lang w:val="bg-BG"/>
              </w:rPr>
            </w:pPr>
          </w:p>
          <w:p w14:paraId="1BD9554A" w14:textId="77777777" w:rsidR="00091235" w:rsidRPr="00610B1B" w:rsidRDefault="00091235" w:rsidP="00D32D6A">
            <w:pPr>
              <w:rPr>
                <w:rFonts w:ascii="Times New Roman" w:hAnsi="Times New Roman" w:cs="Times New Roman"/>
                <w:sz w:val="20"/>
                <w:szCs w:val="20"/>
                <w:lang w:val="bg-BG"/>
              </w:rPr>
            </w:pPr>
          </w:p>
          <w:p w14:paraId="70B0E7EC" w14:textId="77777777" w:rsidR="00091235" w:rsidRPr="00610B1B" w:rsidRDefault="00091235" w:rsidP="00D32D6A">
            <w:pPr>
              <w:rPr>
                <w:rFonts w:ascii="Times New Roman" w:hAnsi="Times New Roman" w:cs="Times New Roman"/>
                <w:sz w:val="20"/>
                <w:szCs w:val="20"/>
                <w:lang w:val="bg-BG"/>
              </w:rPr>
            </w:pPr>
          </w:p>
          <w:p w14:paraId="3F7B4A92" w14:textId="0FBD6AA5"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ВУ</w:t>
            </w:r>
          </w:p>
          <w:p w14:paraId="20077427" w14:textId="77777777" w:rsidR="00091235" w:rsidRPr="00610B1B" w:rsidRDefault="00091235" w:rsidP="00D32D6A">
            <w:pPr>
              <w:rPr>
                <w:rFonts w:ascii="Times New Roman" w:hAnsi="Times New Roman" w:cs="Times New Roman"/>
                <w:sz w:val="20"/>
                <w:szCs w:val="20"/>
                <w:lang w:val="bg-BG"/>
              </w:rPr>
            </w:pPr>
          </w:p>
          <w:p w14:paraId="35758C69" w14:textId="77777777" w:rsidR="00091235" w:rsidRPr="00610B1B" w:rsidRDefault="00091235" w:rsidP="00D32D6A">
            <w:pPr>
              <w:rPr>
                <w:rFonts w:ascii="Times New Roman" w:hAnsi="Times New Roman" w:cs="Times New Roman"/>
                <w:sz w:val="20"/>
                <w:szCs w:val="20"/>
                <w:lang w:val="bg-BG"/>
              </w:rPr>
            </w:pPr>
          </w:p>
          <w:p w14:paraId="2CB6AD71" w14:textId="77777777" w:rsidR="00091235" w:rsidRPr="00610B1B" w:rsidRDefault="00091235" w:rsidP="00D32D6A">
            <w:pPr>
              <w:rPr>
                <w:rFonts w:ascii="Times New Roman" w:hAnsi="Times New Roman" w:cs="Times New Roman"/>
                <w:sz w:val="20"/>
                <w:szCs w:val="20"/>
                <w:lang w:val="bg-BG"/>
              </w:rPr>
            </w:pPr>
          </w:p>
          <w:p w14:paraId="567656DD" w14:textId="77777777" w:rsidR="00091235" w:rsidRPr="00610B1B" w:rsidRDefault="00091235" w:rsidP="00D32D6A">
            <w:pPr>
              <w:rPr>
                <w:rFonts w:ascii="Times New Roman" w:hAnsi="Times New Roman" w:cs="Times New Roman"/>
                <w:sz w:val="20"/>
                <w:szCs w:val="20"/>
                <w:lang w:val="bg-BG"/>
              </w:rPr>
            </w:pPr>
          </w:p>
          <w:p w14:paraId="633304A1" w14:textId="12836996" w:rsidR="00091235" w:rsidRPr="00610B1B" w:rsidRDefault="0009123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Фирми в секторите на морската икономика</w:t>
            </w:r>
          </w:p>
        </w:tc>
      </w:tr>
      <w:tr w:rsidR="00904FB2" w:rsidRPr="005C2B9F" w14:paraId="23CB2174" w14:textId="77777777" w:rsidTr="00E72C84">
        <w:tc>
          <w:tcPr>
            <w:tcW w:w="498" w:type="dxa"/>
            <w:vAlign w:val="center"/>
          </w:tcPr>
          <w:p w14:paraId="3EF64B28" w14:textId="3E8F15DD" w:rsidR="00904FB2" w:rsidRPr="00610B1B" w:rsidRDefault="00904FB2" w:rsidP="00904FB2">
            <w:pPr>
              <w:rPr>
                <w:rFonts w:ascii="Times New Roman" w:hAnsi="Times New Roman" w:cs="Times New Roman"/>
                <w:sz w:val="20"/>
                <w:szCs w:val="20"/>
                <w:lang w:val="bg-BG"/>
              </w:rPr>
            </w:pPr>
            <w:r w:rsidRPr="00610B1B">
              <w:rPr>
                <w:rFonts w:ascii="Times New Roman" w:hAnsi="Times New Roman" w:cs="Times New Roman"/>
                <w:sz w:val="20"/>
                <w:szCs w:val="20"/>
                <w:lang w:val="bg-BG"/>
              </w:rPr>
              <w:lastRenderedPageBreak/>
              <w:t>11.</w:t>
            </w:r>
          </w:p>
        </w:tc>
        <w:tc>
          <w:tcPr>
            <w:tcW w:w="2439" w:type="dxa"/>
            <w:vAlign w:val="center"/>
          </w:tcPr>
          <w:p w14:paraId="09AE04B7" w14:textId="328A5492" w:rsidR="00904FB2" w:rsidRPr="00610B1B" w:rsidRDefault="00904FB2" w:rsidP="00904FB2">
            <w:pPr>
              <w:rPr>
                <w:rFonts w:ascii="Times New Roman" w:hAnsi="Times New Roman" w:cs="Times New Roman"/>
                <w:sz w:val="20"/>
                <w:szCs w:val="20"/>
                <w:lang w:val="bg-BG"/>
              </w:rPr>
            </w:pPr>
            <w:r w:rsidRPr="00610B1B">
              <w:rPr>
                <w:rFonts w:ascii="Times New Roman" w:hAnsi="Times New Roman" w:cs="Times New Roman"/>
                <w:sz w:val="20"/>
                <w:szCs w:val="20"/>
                <w:lang w:val="bg-BG"/>
              </w:rPr>
              <w:t>Създадени образователни програми за екологично възпитание и знание за морето</w:t>
            </w:r>
          </w:p>
        </w:tc>
        <w:tc>
          <w:tcPr>
            <w:tcW w:w="2030" w:type="dxa"/>
          </w:tcPr>
          <w:p w14:paraId="73F7A962" w14:textId="44AD18B2" w:rsidR="00904FB2" w:rsidRPr="00610B1B" w:rsidRDefault="00904FB2" w:rsidP="00904FB2">
            <w:pPr>
              <w:rPr>
                <w:rFonts w:ascii="Times New Roman" w:hAnsi="Times New Roman" w:cs="Times New Roman"/>
                <w:sz w:val="20"/>
                <w:szCs w:val="20"/>
                <w:lang w:val="bg-BG"/>
              </w:rPr>
            </w:pPr>
            <w:r w:rsidRPr="00610B1B">
              <w:rPr>
                <w:rFonts w:ascii="Times New Roman" w:hAnsi="Times New Roman" w:cs="Times New Roman"/>
                <w:sz w:val="20"/>
                <w:szCs w:val="20"/>
              </w:rPr>
              <w:t>Стратегическа цел 3, Специфична цел 3.4</w:t>
            </w:r>
          </w:p>
        </w:tc>
        <w:tc>
          <w:tcPr>
            <w:tcW w:w="2674" w:type="dxa"/>
          </w:tcPr>
          <w:p w14:paraId="3F994C97" w14:textId="77777777" w:rsidR="00904FB2" w:rsidRPr="00610B1B" w:rsidRDefault="00904FB2" w:rsidP="00904FB2">
            <w:pPr>
              <w:rPr>
                <w:rFonts w:ascii="Times New Roman" w:hAnsi="Times New Roman" w:cs="Times New Roman"/>
                <w:sz w:val="20"/>
                <w:szCs w:val="20"/>
              </w:rPr>
            </w:pPr>
            <w:r w:rsidRPr="00610B1B">
              <w:rPr>
                <w:rFonts w:ascii="Times New Roman" w:hAnsi="Times New Roman" w:cs="Times New Roman"/>
                <w:sz w:val="20"/>
                <w:szCs w:val="20"/>
              </w:rPr>
              <w:t>Брой програми</w:t>
            </w:r>
          </w:p>
          <w:p w14:paraId="771C1438" w14:textId="77777777" w:rsidR="00904FB2" w:rsidRPr="00610B1B" w:rsidRDefault="00904FB2" w:rsidP="00904FB2">
            <w:pPr>
              <w:rPr>
                <w:rFonts w:ascii="Times New Roman" w:hAnsi="Times New Roman" w:cs="Times New Roman"/>
                <w:sz w:val="20"/>
                <w:szCs w:val="20"/>
              </w:rPr>
            </w:pPr>
            <w:r w:rsidRPr="00610B1B">
              <w:rPr>
                <w:rFonts w:ascii="Times New Roman" w:hAnsi="Times New Roman" w:cs="Times New Roman"/>
                <w:sz w:val="20"/>
                <w:szCs w:val="20"/>
              </w:rPr>
              <w:t>Брой проведени обучения</w:t>
            </w:r>
          </w:p>
          <w:p w14:paraId="7F2A0AAF" w14:textId="16FC8616" w:rsidR="00904FB2" w:rsidRPr="00610B1B" w:rsidRDefault="00904FB2" w:rsidP="00904FB2">
            <w:pPr>
              <w:rPr>
                <w:rFonts w:ascii="Times New Roman" w:hAnsi="Times New Roman" w:cs="Times New Roman"/>
                <w:sz w:val="20"/>
                <w:szCs w:val="20"/>
                <w:lang w:val="bg-BG"/>
              </w:rPr>
            </w:pPr>
          </w:p>
        </w:tc>
        <w:tc>
          <w:tcPr>
            <w:tcW w:w="1934" w:type="dxa"/>
          </w:tcPr>
          <w:p w14:paraId="0AE8E5F8" w14:textId="495E2250" w:rsidR="00904FB2" w:rsidRPr="00610B1B" w:rsidRDefault="00904FB2" w:rsidP="00904FB2">
            <w:pPr>
              <w:rPr>
                <w:rFonts w:ascii="Times New Roman" w:hAnsi="Times New Roman" w:cs="Times New Roman"/>
                <w:sz w:val="20"/>
                <w:szCs w:val="20"/>
                <w:lang w:val="bg-BG"/>
              </w:rPr>
            </w:pPr>
            <w:r w:rsidRPr="00390518">
              <w:rPr>
                <w:rFonts w:ascii="Times New Roman" w:hAnsi="Times New Roman" w:cs="Times New Roman"/>
                <w:sz w:val="20"/>
                <w:szCs w:val="20"/>
                <w:lang w:val="bg-BG"/>
              </w:rPr>
              <w:t>Обл. администрации Добрич, Варна и Бургас, морски общини</w:t>
            </w:r>
          </w:p>
        </w:tc>
      </w:tr>
      <w:tr w:rsidR="00904FB2" w:rsidRPr="005C2B9F" w14:paraId="2F135A74" w14:textId="77777777" w:rsidTr="00E72C84">
        <w:tc>
          <w:tcPr>
            <w:tcW w:w="498" w:type="dxa"/>
            <w:vAlign w:val="center"/>
          </w:tcPr>
          <w:p w14:paraId="22A8B0A0" w14:textId="57516AD4" w:rsidR="00904FB2" w:rsidRPr="00610B1B" w:rsidRDefault="00904FB2" w:rsidP="00904FB2">
            <w:pPr>
              <w:rPr>
                <w:rFonts w:ascii="Times New Roman" w:hAnsi="Times New Roman" w:cs="Times New Roman"/>
                <w:sz w:val="20"/>
                <w:szCs w:val="20"/>
                <w:lang w:val="bg-BG"/>
              </w:rPr>
            </w:pPr>
            <w:r w:rsidRPr="00610B1B">
              <w:rPr>
                <w:rFonts w:ascii="Times New Roman" w:hAnsi="Times New Roman" w:cs="Times New Roman"/>
                <w:sz w:val="20"/>
                <w:szCs w:val="20"/>
                <w:lang w:val="bg-BG"/>
              </w:rPr>
              <w:t>12</w:t>
            </w:r>
          </w:p>
        </w:tc>
        <w:tc>
          <w:tcPr>
            <w:tcW w:w="2439" w:type="dxa"/>
            <w:vAlign w:val="center"/>
          </w:tcPr>
          <w:p w14:paraId="3C8CAF49" w14:textId="51943C21" w:rsidR="00904FB2" w:rsidRPr="00610B1B" w:rsidRDefault="00904FB2" w:rsidP="00904FB2">
            <w:pPr>
              <w:rPr>
                <w:rFonts w:ascii="Times New Roman" w:hAnsi="Times New Roman" w:cs="Times New Roman"/>
                <w:sz w:val="20"/>
                <w:szCs w:val="20"/>
                <w:lang w:val="bg-BG"/>
              </w:rPr>
            </w:pPr>
            <w:r w:rsidRPr="00610B1B">
              <w:rPr>
                <w:rFonts w:ascii="Times New Roman" w:hAnsi="Times New Roman" w:cs="Times New Roman"/>
                <w:sz w:val="20"/>
                <w:szCs w:val="20"/>
                <w:lang w:val="bg-BG" w:bidi="bg-BG"/>
              </w:rPr>
              <w:t>Повишаване на кадровия капацитет в туристическия сектор и качеството на туристическия продукт по българското Черноморие</w:t>
            </w:r>
          </w:p>
        </w:tc>
        <w:tc>
          <w:tcPr>
            <w:tcW w:w="2030" w:type="dxa"/>
          </w:tcPr>
          <w:p w14:paraId="1E2F1ABC" w14:textId="77777777" w:rsidR="00904FB2" w:rsidRPr="00610B1B" w:rsidRDefault="00904FB2" w:rsidP="00904FB2">
            <w:pPr>
              <w:rPr>
                <w:rFonts w:ascii="Times New Roman" w:hAnsi="Times New Roman" w:cs="Times New Roman"/>
                <w:iCs/>
                <w:sz w:val="20"/>
                <w:szCs w:val="20"/>
              </w:rPr>
            </w:pPr>
            <w:r w:rsidRPr="00610B1B">
              <w:rPr>
                <w:rFonts w:ascii="Times New Roman" w:hAnsi="Times New Roman" w:cs="Times New Roman"/>
                <w:iCs/>
                <w:sz w:val="20"/>
                <w:szCs w:val="20"/>
              </w:rPr>
              <w:t>Стратегическа цел 2</w:t>
            </w:r>
          </w:p>
          <w:p w14:paraId="7C2D5018" w14:textId="10216016" w:rsidR="00904FB2" w:rsidRPr="00610B1B" w:rsidRDefault="00904FB2" w:rsidP="00904FB2">
            <w:pPr>
              <w:rPr>
                <w:rFonts w:ascii="Times New Roman" w:hAnsi="Times New Roman" w:cs="Times New Roman"/>
                <w:sz w:val="20"/>
                <w:szCs w:val="20"/>
                <w:lang w:val="bg-BG"/>
              </w:rPr>
            </w:pPr>
            <w:r w:rsidRPr="00610B1B">
              <w:rPr>
                <w:rFonts w:ascii="Times New Roman" w:hAnsi="Times New Roman" w:cs="Times New Roman"/>
                <w:bCs/>
                <w:iCs/>
                <w:sz w:val="20"/>
                <w:szCs w:val="20"/>
              </w:rPr>
              <w:t>Специфична цел 2.2</w:t>
            </w:r>
          </w:p>
        </w:tc>
        <w:tc>
          <w:tcPr>
            <w:tcW w:w="2674" w:type="dxa"/>
          </w:tcPr>
          <w:p w14:paraId="50B312BE" w14:textId="0FA78C7A" w:rsidR="00904FB2" w:rsidRDefault="00904FB2" w:rsidP="00904FB2">
            <w:pPr>
              <w:rPr>
                <w:rFonts w:ascii="Times New Roman" w:hAnsi="Times New Roman" w:cs="Times New Roman"/>
                <w:sz w:val="20"/>
                <w:szCs w:val="20"/>
                <w:lang w:val="bg-BG"/>
              </w:rPr>
            </w:pPr>
          </w:p>
          <w:p w14:paraId="6988E3BD" w14:textId="77777777" w:rsidR="00D26DC3" w:rsidRPr="00002A51" w:rsidRDefault="00D26DC3" w:rsidP="00D26DC3">
            <w:pPr>
              <w:pStyle w:val="Bodytext22"/>
              <w:shd w:val="clear" w:color="auto" w:fill="auto"/>
              <w:spacing w:before="0" w:after="60" w:line="253" w:lineRule="exact"/>
              <w:ind w:firstLine="0"/>
              <w:jc w:val="left"/>
              <w:rPr>
                <w:sz w:val="20"/>
                <w:szCs w:val="20"/>
                <w:lang w:val="bg-BG"/>
              </w:rPr>
            </w:pPr>
            <w:r w:rsidRPr="00002A51">
              <w:rPr>
                <w:rFonts w:eastAsia="Wingdings"/>
                <w:sz w:val="20"/>
                <w:szCs w:val="20"/>
                <w:lang w:val="bg-BG"/>
              </w:rPr>
              <w:t>-Брой заети с новопридобита квалификация или преквалификация в туристическия сектор;</w:t>
            </w:r>
          </w:p>
          <w:p w14:paraId="5E122A02" w14:textId="14869CA5" w:rsidR="00D26DC3" w:rsidRPr="005C2B9F" w:rsidRDefault="00D26DC3" w:rsidP="00D26DC3">
            <w:pPr>
              <w:rPr>
                <w:rFonts w:ascii="Times New Roman" w:hAnsi="Times New Roman" w:cs="Times New Roman"/>
                <w:sz w:val="20"/>
                <w:szCs w:val="20"/>
                <w:lang w:val="bg-BG"/>
              </w:rPr>
            </w:pPr>
            <w:r w:rsidRPr="00002A51">
              <w:rPr>
                <w:rFonts w:ascii="Times New Roman" w:hAnsi="Times New Roman" w:cs="Times New Roman"/>
                <w:sz w:val="20"/>
                <w:szCs w:val="20"/>
              </w:rPr>
              <w:t>-Брой предоставени обучения</w:t>
            </w:r>
            <w:r w:rsidR="00F85461">
              <w:rPr>
                <w:rFonts w:ascii="Times New Roman" w:hAnsi="Times New Roman" w:cs="Times New Roman"/>
                <w:sz w:val="20"/>
                <w:szCs w:val="20"/>
                <w:lang w:val="bg-BG"/>
              </w:rPr>
              <w:t>;</w:t>
            </w:r>
          </w:p>
          <w:p w14:paraId="71669AFB" w14:textId="0CD9CEAE" w:rsidR="00F85461" w:rsidRPr="00F85461" w:rsidRDefault="00F85461" w:rsidP="00D26DC3">
            <w:pPr>
              <w:rPr>
                <w:rFonts w:ascii="Times New Roman" w:hAnsi="Times New Roman" w:cs="Times New Roman"/>
                <w:sz w:val="20"/>
                <w:szCs w:val="20"/>
                <w:lang w:val="bg-BG"/>
              </w:rPr>
            </w:pPr>
            <w:r>
              <w:rPr>
                <w:rFonts w:ascii="Times New Roman" w:hAnsi="Times New Roman" w:cs="Times New Roman"/>
                <w:sz w:val="20"/>
                <w:szCs w:val="20"/>
                <w:lang w:val="bg-BG"/>
              </w:rPr>
              <w:t>Брутна добавена стойност от сектор туризъм,  отчитан на годишна база</w:t>
            </w:r>
          </w:p>
        </w:tc>
        <w:tc>
          <w:tcPr>
            <w:tcW w:w="1934" w:type="dxa"/>
          </w:tcPr>
          <w:p w14:paraId="3EDC8420" w14:textId="77777777" w:rsidR="00904FB2" w:rsidRDefault="00904FB2" w:rsidP="00904FB2">
            <w:pPr>
              <w:rPr>
                <w:rFonts w:ascii="Times New Roman" w:hAnsi="Times New Roman" w:cs="Times New Roman"/>
                <w:sz w:val="20"/>
                <w:szCs w:val="20"/>
                <w:lang w:val="bg-BG"/>
              </w:rPr>
            </w:pPr>
            <w:r w:rsidRPr="00002A51">
              <w:rPr>
                <w:rFonts w:ascii="Times New Roman" w:hAnsi="Times New Roman" w:cs="Times New Roman"/>
                <w:sz w:val="20"/>
                <w:szCs w:val="20"/>
                <w:lang w:val="bg-BG"/>
              </w:rPr>
              <w:t>Колежи по туризъм в Бургас и Варна, Министерство на туризма, фирми обслужващи морския туризъм</w:t>
            </w:r>
          </w:p>
          <w:p w14:paraId="08548F8A" w14:textId="46634F8D" w:rsidR="00F6543A" w:rsidRPr="00610B1B" w:rsidRDefault="00F6543A" w:rsidP="00904FB2">
            <w:pPr>
              <w:rPr>
                <w:rFonts w:ascii="Times New Roman" w:hAnsi="Times New Roman" w:cs="Times New Roman"/>
                <w:sz w:val="20"/>
                <w:szCs w:val="20"/>
                <w:lang w:val="bg-BG"/>
              </w:rPr>
            </w:pPr>
            <w:r>
              <w:rPr>
                <w:rFonts w:ascii="Times New Roman" w:hAnsi="Times New Roman" w:cs="Times New Roman"/>
                <w:sz w:val="20"/>
                <w:szCs w:val="20"/>
                <w:lang w:val="bg-BG"/>
              </w:rPr>
              <w:t>МРРБ, МИ, НСИ</w:t>
            </w:r>
          </w:p>
        </w:tc>
      </w:tr>
    </w:tbl>
    <w:p w14:paraId="30E1098A" w14:textId="77777777" w:rsidR="009918C6" w:rsidRPr="00002A51" w:rsidRDefault="009918C6" w:rsidP="009918C6">
      <w:pPr>
        <w:pStyle w:val="Default"/>
        <w:rPr>
          <w:rFonts w:cs="Times New Roman"/>
          <w:lang w:val="bg-BG"/>
        </w:rPr>
      </w:pPr>
    </w:p>
    <w:p w14:paraId="1719B29E" w14:textId="691A4BF6" w:rsidR="004E16AF" w:rsidRPr="00610B1B" w:rsidRDefault="004E16AF" w:rsidP="00774CD7">
      <w:pPr>
        <w:pStyle w:val="Heading3"/>
        <w:spacing w:before="240" w:line="276" w:lineRule="auto"/>
        <w:rPr>
          <w:rFonts w:cs="Times New Roman"/>
        </w:rPr>
      </w:pPr>
      <w:bookmarkStart w:id="507" w:name="_Toc83391445"/>
      <w:r w:rsidRPr="00610B1B">
        <w:rPr>
          <w:rFonts w:cs="Times New Roman"/>
        </w:rPr>
        <w:t>7.4.3. Екологични индикатори</w:t>
      </w:r>
      <w:bookmarkEnd w:id="507"/>
    </w:p>
    <w:p w14:paraId="6DAA2EE2" w14:textId="2F475B57" w:rsidR="00B71F43" w:rsidRPr="00610B1B" w:rsidRDefault="00482912" w:rsidP="00D32D6A">
      <w:pPr>
        <w:pStyle w:val="BodyText"/>
        <w:spacing w:before="0" w:after="120" w:line="276" w:lineRule="auto"/>
        <w:rPr>
          <w:rFonts w:cs="Times New Roman"/>
        </w:rPr>
      </w:pPr>
      <w:r w:rsidRPr="00610B1B">
        <w:rPr>
          <w:rFonts w:cs="Times New Roman"/>
          <w:i/>
          <w:iCs/>
        </w:rPr>
        <w:t>Екологичните индикатори</w:t>
      </w:r>
      <w:r w:rsidRPr="00610B1B">
        <w:rPr>
          <w:rFonts w:cs="Times New Roman"/>
        </w:rPr>
        <w:t xml:space="preserve"> отразяват тенденциите в характеристиките на морската околна среда, промените в състоянието </w:t>
      </w:r>
      <w:r w:rsidR="002B71BB" w:rsidRPr="00610B1B">
        <w:rPr>
          <w:rFonts w:cs="Times New Roman"/>
        </w:rPr>
        <w:t xml:space="preserve">на </w:t>
      </w:r>
      <w:r w:rsidRPr="00610B1B">
        <w:rPr>
          <w:rFonts w:cs="Times New Roman"/>
        </w:rPr>
        <w:t>екосистемите</w:t>
      </w:r>
      <w:r w:rsidR="002B71BB" w:rsidRPr="00610B1B">
        <w:rPr>
          <w:rFonts w:cs="Times New Roman"/>
        </w:rPr>
        <w:t>,</w:t>
      </w:r>
      <w:r w:rsidRPr="00610B1B">
        <w:rPr>
          <w:rFonts w:cs="Times New Roman"/>
        </w:rPr>
        <w:t xml:space="preserve"> местообитанията и популациите</w:t>
      </w:r>
      <w:r w:rsidR="002B71BB" w:rsidRPr="00610B1B">
        <w:rPr>
          <w:rFonts w:cs="Times New Roman"/>
        </w:rPr>
        <w:t>,</w:t>
      </w:r>
      <w:r w:rsidRPr="00610B1B">
        <w:rPr>
          <w:rFonts w:cs="Times New Roman"/>
        </w:rPr>
        <w:t xml:space="preserve"> </w:t>
      </w:r>
      <w:r w:rsidR="002B71BB" w:rsidRPr="00610B1B">
        <w:rPr>
          <w:rFonts w:cs="Times New Roman"/>
        </w:rPr>
        <w:t xml:space="preserve">и отчитат напредъка във възстановяването на доброто състояние на морската околна среда и на екосистемните услуги във времевия срок на действие на Морския пространствен план. </w:t>
      </w:r>
      <w:r w:rsidRPr="00610B1B">
        <w:rPr>
          <w:rFonts w:cs="Times New Roman"/>
        </w:rPr>
        <w:t xml:space="preserve">Те се свързват с дескрипторите за оценка на въздействията от приложените мерки от Програмата към Морската стратегия. </w:t>
      </w:r>
      <w:r w:rsidR="004040E6" w:rsidRPr="00610B1B">
        <w:rPr>
          <w:rFonts w:cs="Times New Roman"/>
        </w:rPr>
        <w:t xml:space="preserve">Екологичните индикатори </w:t>
      </w:r>
      <w:r w:rsidR="002B71BB" w:rsidRPr="00610B1B">
        <w:rPr>
          <w:rFonts w:cs="Times New Roman"/>
        </w:rPr>
        <w:t>са обвързани</w:t>
      </w:r>
      <w:r w:rsidR="004040E6" w:rsidRPr="00610B1B">
        <w:rPr>
          <w:rFonts w:cs="Times New Roman"/>
        </w:rPr>
        <w:t xml:space="preserve"> със Стратегическ</w:t>
      </w:r>
      <w:r w:rsidR="00245C00" w:rsidRPr="00610B1B">
        <w:rPr>
          <w:rFonts w:cs="Times New Roman"/>
        </w:rPr>
        <w:t>и</w:t>
      </w:r>
      <w:r w:rsidR="004040E6" w:rsidRPr="00610B1B">
        <w:rPr>
          <w:rFonts w:cs="Times New Roman"/>
        </w:rPr>
        <w:t xml:space="preserve"> цел</w:t>
      </w:r>
      <w:r w:rsidR="00245C00" w:rsidRPr="00610B1B">
        <w:rPr>
          <w:rFonts w:cs="Times New Roman"/>
        </w:rPr>
        <w:t>и</w:t>
      </w:r>
      <w:r w:rsidR="004040E6" w:rsidRPr="00610B1B">
        <w:rPr>
          <w:rFonts w:cs="Times New Roman"/>
        </w:rPr>
        <w:t xml:space="preserve"> </w:t>
      </w:r>
      <w:r w:rsidR="00245C00" w:rsidRPr="00610B1B">
        <w:rPr>
          <w:rFonts w:cs="Times New Roman"/>
        </w:rPr>
        <w:t>2 и 4,</w:t>
      </w:r>
      <w:r w:rsidR="004040E6" w:rsidRPr="00610B1B">
        <w:rPr>
          <w:rFonts w:cs="Times New Roman"/>
        </w:rPr>
        <w:t xml:space="preserve"> и по-с</w:t>
      </w:r>
      <w:r w:rsidR="00B71F43" w:rsidRPr="00610B1B">
        <w:rPr>
          <w:rFonts w:cs="Times New Roman"/>
        </w:rPr>
        <w:t>пециално със Специфична цел 4.1</w:t>
      </w:r>
      <w:r w:rsidR="004040E6" w:rsidRPr="00610B1B">
        <w:rPr>
          <w:rFonts w:cs="Times New Roman"/>
        </w:rPr>
        <w:t>, която е изключително важна за подобряване на екологичното състояние на Черно море и намаляване на замърсяването</w:t>
      </w:r>
      <w:r w:rsidR="00B71F43" w:rsidRPr="00610B1B">
        <w:rPr>
          <w:rFonts w:cs="Times New Roman"/>
        </w:rPr>
        <w:t>,</w:t>
      </w:r>
      <w:r w:rsidR="00245C00" w:rsidRPr="00610B1B">
        <w:rPr>
          <w:rFonts w:cs="Times New Roman"/>
        </w:rPr>
        <w:t xml:space="preserve"> в сътрудничество с останалите Черноморски държави</w:t>
      </w:r>
      <w:r w:rsidR="004040E6" w:rsidRPr="00610B1B">
        <w:rPr>
          <w:rFonts w:cs="Times New Roman"/>
        </w:rPr>
        <w:t xml:space="preserve">. </w:t>
      </w:r>
    </w:p>
    <w:p w14:paraId="2B93427C" w14:textId="18547A10" w:rsidR="00482912" w:rsidRPr="00DA2C5E" w:rsidRDefault="00B71F43" w:rsidP="00D32D6A">
      <w:pPr>
        <w:pStyle w:val="BodyText"/>
        <w:spacing w:before="0" w:after="120" w:line="276" w:lineRule="auto"/>
        <w:rPr>
          <w:rFonts w:cs="Times New Roman"/>
        </w:rPr>
      </w:pPr>
      <w:r w:rsidRPr="00610B1B">
        <w:rPr>
          <w:rFonts w:cs="Times New Roman"/>
        </w:rPr>
        <w:t xml:space="preserve">Екологичните индикатори са разделени на две подгрупи – за намаляване на натиска върху морската околна среда </w:t>
      </w:r>
      <w:r w:rsidR="00306C98" w:rsidRPr="00610B1B">
        <w:rPr>
          <w:rFonts w:cs="Times New Roman"/>
        </w:rPr>
        <w:t xml:space="preserve">от разнообразната човешка дейност </w:t>
      </w:r>
      <w:r w:rsidRPr="00610B1B">
        <w:rPr>
          <w:rFonts w:cs="Times New Roman"/>
        </w:rPr>
        <w:t xml:space="preserve">и за </w:t>
      </w:r>
      <w:r w:rsidR="00306C98" w:rsidRPr="00610B1B">
        <w:rPr>
          <w:rFonts w:cs="Times New Roman"/>
        </w:rPr>
        <w:t>подобряване на състоянието</w:t>
      </w:r>
      <w:r w:rsidRPr="00610B1B">
        <w:rPr>
          <w:rFonts w:cs="Times New Roman"/>
        </w:rPr>
        <w:t xml:space="preserve">. </w:t>
      </w:r>
    </w:p>
    <w:p w14:paraId="2B90619F" w14:textId="6C53F15B" w:rsidR="006F076F" w:rsidRPr="00610B1B" w:rsidRDefault="00962DE7" w:rsidP="00D32D6A">
      <w:pPr>
        <w:pStyle w:val="BodyText"/>
        <w:spacing w:before="0" w:after="120" w:line="276" w:lineRule="auto"/>
        <w:rPr>
          <w:rFonts w:cs="Times New Roman"/>
        </w:rPr>
      </w:pPr>
      <w:bookmarkStart w:id="508" w:name="_Toc83391618"/>
      <w:r w:rsidRPr="00610B1B">
        <w:rPr>
          <w:rFonts w:cs="Times New Roman"/>
        </w:rPr>
        <w:t xml:space="preserve">Таблица </w:t>
      </w:r>
      <w:r w:rsidRPr="00610B1B">
        <w:rPr>
          <w:rFonts w:cs="Times New Roman"/>
        </w:rPr>
        <w:fldChar w:fldCharType="begin"/>
      </w:r>
      <w:r w:rsidRPr="00610B1B">
        <w:rPr>
          <w:rFonts w:cs="Times New Roman"/>
        </w:rPr>
        <w:instrText xml:space="preserve"> SEQ Таблица \* ARABIC </w:instrText>
      </w:r>
      <w:r w:rsidRPr="00610B1B">
        <w:rPr>
          <w:rFonts w:cs="Times New Roman"/>
        </w:rPr>
        <w:fldChar w:fldCharType="separate"/>
      </w:r>
      <w:r w:rsidR="00260629" w:rsidRPr="00610B1B">
        <w:rPr>
          <w:rFonts w:cs="Times New Roman"/>
          <w:noProof/>
        </w:rPr>
        <w:t>22</w:t>
      </w:r>
      <w:r w:rsidRPr="00610B1B">
        <w:rPr>
          <w:rFonts w:cs="Times New Roman"/>
        </w:rPr>
        <w:fldChar w:fldCharType="end"/>
      </w:r>
      <w:r w:rsidRPr="00610B1B">
        <w:rPr>
          <w:rFonts w:cs="Times New Roman"/>
        </w:rPr>
        <w:t xml:space="preserve">: </w:t>
      </w:r>
      <w:r w:rsidR="006F076F" w:rsidRPr="00610B1B">
        <w:rPr>
          <w:rFonts w:cs="Times New Roman"/>
        </w:rPr>
        <w:t>Екологични индикатори</w:t>
      </w:r>
      <w:bookmarkEnd w:id="508"/>
    </w:p>
    <w:tbl>
      <w:tblPr>
        <w:tblStyle w:val="TableGrid"/>
        <w:tblW w:w="10065" w:type="dxa"/>
        <w:tblInd w:w="-28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26"/>
        <w:gridCol w:w="2701"/>
        <w:gridCol w:w="2215"/>
        <w:gridCol w:w="2127"/>
        <w:gridCol w:w="2596"/>
      </w:tblGrid>
      <w:tr w:rsidR="006F076F" w:rsidRPr="00610B1B" w14:paraId="6CFFD793" w14:textId="77777777" w:rsidTr="00C415D1">
        <w:trPr>
          <w:tblHeader/>
        </w:trPr>
        <w:tc>
          <w:tcPr>
            <w:tcW w:w="426" w:type="dxa"/>
            <w:shd w:val="clear" w:color="auto" w:fill="C6D9F1" w:themeFill="text2" w:themeFillTint="33"/>
            <w:vAlign w:val="center"/>
          </w:tcPr>
          <w:p w14:paraId="18F8DCFF" w14:textId="77777777" w:rsidR="006F076F" w:rsidRPr="00610B1B" w:rsidRDefault="006F076F" w:rsidP="00D32D6A">
            <w:pPr>
              <w:jc w:val="center"/>
              <w:rPr>
                <w:rFonts w:ascii="Times New Roman" w:hAnsi="Times New Roman" w:cs="Times New Roman"/>
                <w:b/>
                <w:bCs/>
                <w:lang w:val="bg-BG"/>
              </w:rPr>
            </w:pPr>
            <w:r w:rsidRPr="00610B1B">
              <w:rPr>
                <w:rFonts w:ascii="Times New Roman" w:hAnsi="Times New Roman" w:cs="Times New Roman"/>
                <w:b/>
                <w:bCs/>
                <w:lang w:val="bg-BG"/>
              </w:rPr>
              <w:t>№</w:t>
            </w:r>
          </w:p>
        </w:tc>
        <w:tc>
          <w:tcPr>
            <w:tcW w:w="2701" w:type="dxa"/>
            <w:shd w:val="clear" w:color="auto" w:fill="C6D9F1" w:themeFill="text2" w:themeFillTint="33"/>
            <w:vAlign w:val="center"/>
          </w:tcPr>
          <w:p w14:paraId="30426EE8" w14:textId="3A686A37" w:rsidR="005C76F0" w:rsidRPr="00610B1B" w:rsidRDefault="005C76F0" w:rsidP="00D32D6A">
            <w:pPr>
              <w:jc w:val="center"/>
              <w:rPr>
                <w:rFonts w:ascii="Times New Roman" w:hAnsi="Times New Roman" w:cs="Times New Roman"/>
                <w:b/>
                <w:bCs/>
                <w:lang w:val="bg-BG"/>
              </w:rPr>
            </w:pPr>
            <w:r w:rsidRPr="00610B1B">
              <w:rPr>
                <w:rFonts w:ascii="Times New Roman" w:hAnsi="Times New Roman" w:cs="Times New Roman"/>
                <w:b/>
                <w:bCs/>
                <w:lang w:val="bg-BG"/>
              </w:rPr>
              <w:t>Синтезен</w:t>
            </w:r>
          </w:p>
          <w:p w14:paraId="1E42D524" w14:textId="638CEBE4" w:rsidR="006F076F" w:rsidRPr="00610B1B" w:rsidRDefault="005C76F0" w:rsidP="00D32D6A">
            <w:pPr>
              <w:jc w:val="center"/>
              <w:rPr>
                <w:rFonts w:ascii="Times New Roman" w:hAnsi="Times New Roman" w:cs="Times New Roman"/>
                <w:b/>
                <w:bCs/>
                <w:lang w:val="bg-BG"/>
              </w:rPr>
            </w:pPr>
            <w:r w:rsidRPr="00610B1B">
              <w:rPr>
                <w:rFonts w:ascii="Times New Roman" w:hAnsi="Times New Roman" w:cs="Times New Roman"/>
                <w:b/>
                <w:bCs/>
                <w:lang w:val="bg-BG"/>
              </w:rPr>
              <w:t>и</w:t>
            </w:r>
            <w:r w:rsidR="006F076F" w:rsidRPr="00610B1B">
              <w:rPr>
                <w:rFonts w:ascii="Times New Roman" w:hAnsi="Times New Roman" w:cs="Times New Roman"/>
                <w:b/>
                <w:bCs/>
                <w:lang w:val="bg-BG"/>
              </w:rPr>
              <w:t>ндикатор</w:t>
            </w:r>
          </w:p>
        </w:tc>
        <w:tc>
          <w:tcPr>
            <w:tcW w:w="2215" w:type="dxa"/>
            <w:shd w:val="clear" w:color="auto" w:fill="C6D9F1" w:themeFill="text2" w:themeFillTint="33"/>
            <w:vAlign w:val="center"/>
          </w:tcPr>
          <w:p w14:paraId="04F789E4" w14:textId="7E64C686" w:rsidR="006F076F" w:rsidRPr="00610B1B" w:rsidRDefault="006F076F" w:rsidP="00D32D6A">
            <w:pPr>
              <w:jc w:val="center"/>
              <w:rPr>
                <w:rFonts w:ascii="Times New Roman" w:hAnsi="Times New Roman" w:cs="Times New Roman"/>
                <w:b/>
                <w:bCs/>
                <w:lang w:val="bg-BG"/>
              </w:rPr>
            </w:pPr>
            <w:r w:rsidRPr="00610B1B">
              <w:rPr>
                <w:rFonts w:ascii="Times New Roman" w:hAnsi="Times New Roman" w:cs="Times New Roman"/>
                <w:b/>
                <w:bCs/>
                <w:lang w:val="bg-BG"/>
              </w:rPr>
              <w:t>Връзка със стратегически цели</w:t>
            </w:r>
          </w:p>
        </w:tc>
        <w:tc>
          <w:tcPr>
            <w:tcW w:w="2127" w:type="dxa"/>
            <w:shd w:val="clear" w:color="auto" w:fill="C6D9F1" w:themeFill="text2" w:themeFillTint="33"/>
            <w:vAlign w:val="center"/>
          </w:tcPr>
          <w:p w14:paraId="2771B211" w14:textId="77777777" w:rsidR="006F076F" w:rsidRPr="00610B1B" w:rsidRDefault="006F076F" w:rsidP="00D32D6A">
            <w:pPr>
              <w:jc w:val="center"/>
              <w:rPr>
                <w:rFonts w:ascii="Times New Roman" w:hAnsi="Times New Roman" w:cs="Times New Roman"/>
                <w:b/>
                <w:bCs/>
                <w:lang w:val="bg-BG"/>
              </w:rPr>
            </w:pPr>
            <w:r w:rsidRPr="00610B1B">
              <w:rPr>
                <w:rFonts w:ascii="Times New Roman" w:hAnsi="Times New Roman" w:cs="Times New Roman"/>
                <w:b/>
                <w:bCs/>
                <w:lang w:val="bg-BG"/>
              </w:rPr>
              <w:t>Показатели</w:t>
            </w:r>
          </w:p>
        </w:tc>
        <w:tc>
          <w:tcPr>
            <w:tcW w:w="2596" w:type="dxa"/>
            <w:shd w:val="clear" w:color="auto" w:fill="C6D9F1" w:themeFill="text2" w:themeFillTint="33"/>
            <w:vAlign w:val="center"/>
          </w:tcPr>
          <w:p w14:paraId="4FC8FF88" w14:textId="77777777" w:rsidR="006F076F" w:rsidRPr="00610B1B" w:rsidRDefault="006F076F" w:rsidP="00D32D6A">
            <w:pPr>
              <w:jc w:val="center"/>
              <w:rPr>
                <w:rFonts w:ascii="Times New Roman" w:hAnsi="Times New Roman" w:cs="Times New Roman"/>
                <w:b/>
                <w:bCs/>
                <w:lang w:val="bg-BG"/>
              </w:rPr>
            </w:pPr>
            <w:r w:rsidRPr="00610B1B">
              <w:rPr>
                <w:rFonts w:ascii="Times New Roman" w:hAnsi="Times New Roman" w:cs="Times New Roman"/>
                <w:b/>
                <w:bCs/>
                <w:lang w:val="bg-BG"/>
              </w:rPr>
              <w:t>Информационна осигуреност</w:t>
            </w:r>
          </w:p>
        </w:tc>
      </w:tr>
      <w:tr w:rsidR="005C76F0" w:rsidRPr="00215C86" w14:paraId="0D9E65D9" w14:textId="77777777" w:rsidTr="00C415D1">
        <w:tc>
          <w:tcPr>
            <w:tcW w:w="426" w:type="dxa"/>
            <w:vAlign w:val="center"/>
          </w:tcPr>
          <w:p w14:paraId="132A348E" w14:textId="2B50694D" w:rsidR="005C76F0" w:rsidRPr="00610B1B" w:rsidRDefault="00815BC2" w:rsidP="00537D06">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1.</w:t>
            </w:r>
          </w:p>
        </w:tc>
        <w:tc>
          <w:tcPr>
            <w:tcW w:w="2701" w:type="dxa"/>
            <w:vAlign w:val="center"/>
          </w:tcPr>
          <w:p w14:paraId="552EF0BE" w14:textId="567E60FB" w:rsidR="005C76F0" w:rsidRPr="00610B1B" w:rsidRDefault="00261676" w:rsidP="00537D06">
            <w:pPr>
              <w:rPr>
                <w:rFonts w:ascii="Times New Roman" w:hAnsi="Times New Roman" w:cs="Times New Roman"/>
                <w:bCs/>
                <w:sz w:val="20"/>
                <w:szCs w:val="20"/>
                <w:lang w:val="bg-BG"/>
              </w:rPr>
            </w:pPr>
            <w:r w:rsidRPr="00610B1B">
              <w:rPr>
                <w:rFonts w:ascii="Times New Roman" w:eastAsia="Times New Roman" w:hAnsi="Times New Roman" w:cs="Times New Roman"/>
                <w:color w:val="00000A"/>
                <w:kern w:val="3"/>
                <w:sz w:val="20"/>
                <w:szCs w:val="24"/>
                <w:shd w:val="clear" w:color="auto" w:fill="FFFFFF"/>
                <w:lang w:val="bg-BG" w:eastAsia="zh-CN" w:bidi="hi-IN"/>
              </w:rPr>
              <w:t>В</w:t>
            </w:r>
            <w:r w:rsidR="006C5D2B" w:rsidRPr="00610B1B">
              <w:rPr>
                <w:rFonts w:ascii="Times New Roman" w:eastAsia="Times New Roman" w:hAnsi="Times New Roman" w:cs="Times New Roman"/>
                <w:color w:val="00000A"/>
                <w:kern w:val="3"/>
                <w:sz w:val="20"/>
                <w:szCs w:val="24"/>
                <w:shd w:val="clear" w:color="auto" w:fill="FFFFFF"/>
                <w:lang w:val="bg-BG" w:eastAsia="zh-CN" w:bidi="hi-IN"/>
              </w:rPr>
              <w:t>ъзста</w:t>
            </w:r>
            <w:r w:rsidRPr="00610B1B">
              <w:rPr>
                <w:rFonts w:ascii="Times New Roman" w:eastAsia="Times New Roman" w:hAnsi="Times New Roman" w:cs="Times New Roman"/>
                <w:color w:val="00000A"/>
                <w:kern w:val="3"/>
                <w:sz w:val="20"/>
                <w:szCs w:val="24"/>
                <w:shd w:val="clear" w:color="auto" w:fill="FFFFFF"/>
                <w:lang w:val="bg-BG" w:eastAsia="zh-CN" w:bidi="hi-IN"/>
              </w:rPr>
              <w:t>новен</w:t>
            </w:r>
            <w:r w:rsidR="006C5D2B" w:rsidRPr="00610B1B">
              <w:rPr>
                <w:rFonts w:ascii="Times New Roman" w:eastAsia="Times New Roman" w:hAnsi="Times New Roman" w:cs="Times New Roman"/>
                <w:color w:val="00000A"/>
                <w:kern w:val="3"/>
                <w:sz w:val="20"/>
                <w:szCs w:val="24"/>
                <w:shd w:val="clear" w:color="auto" w:fill="FFFFFF"/>
                <w:lang w:val="bg-BG" w:eastAsia="zh-CN" w:bidi="hi-IN"/>
              </w:rPr>
              <w:t xml:space="preserve"> </w:t>
            </w:r>
            <w:r w:rsidR="006C5D2B" w:rsidRPr="00610B1B">
              <w:rPr>
                <w:rFonts w:ascii="Times New Roman" w:eastAsia="Times New Roman" w:hAnsi="Times New Roman" w:cs="Times New Roman"/>
                <w:color w:val="00000A"/>
                <w:kern w:val="3"/>
                <w:sz w:val="20"/>
                <w:szCs w:val="24"/>
                <w:lang w:val="bg-BG" w:eastAsia="zh-CN" w:bidi="hi-IN"/>
              </w:rPr>
              <w:t>крайбрежен ландшафт чрез контрол върху пределно допустимите рекреационни капацитети, опазване на дънните местообитания и пясъчните дюни.</w:t>
            </w:r>
            <w:r w:rsidR="00BB22A6" w:rsidRPr="00610B1B">
              <w:rPr>
                <w:rFonts w:ascii="Times New Roman" w:eastAsia="Microsoft Sans Serif" w:hAnsi="Times New Roman" w:cs="Times New Roman"/>
                <w:color w:val="000000"/>
                <w:sz w:val="24"/>
                <w:szCs w:val="24"/>
                <w:lang w:val="bg-BG" w:eastAsia="bg-BG" w:bidi="bg-BG"/>
              </w:rPr>
              <w:t xml:space="preserve"> </w:t>
            </w:r>
            <w:r w:rsidR="00BB22A6" w:rsidRPr="00610B1B">
              <w:rPr>
                <w:rFonts w:ascii="Times New Roman" w:eastAsia="Times New Roman" w:hAnsi="Times New Roman" w:cs="Times New Roman"/>
                <w:color w:val="00000A"/>
                <w:kern w:val="3"/>
                <w:sz w:val="20"/>
                <w:szCs w:val="24"/>
                <w:lang w:val="bg-BG" w:eastAsia="zh-CN" w:bidi="bg-BG"/>
              </w:rPr>
              <w:t xml:space="preserve">При проектиране и изграждане на яхтени пристанища и брегоукрепителни съоръжения да се търсят решения близки до естествения крайбрежен ландшафт, които оказват </w:t>
            </w:r>
            <w:r w:rsidR="00BB22A6" w:rsidRPr="00610B1B">
              <w:rPr>
                <w:rFonts w:ascii="Times New Roman" w:eastAsia="Times New Roman" w:hAnsi="Times New Roman" w:cs="Times New Roman"/>
                <w:color w:val="00000A"/>
                <w:kern w:val="3"/>
                <w:sz w:val="20"/>
                <w:szCs w:val="24"/>
                <w:lang w:val="bg-BG" w:eastAsia="zh-CN" w:bidi="bg-BG"/>
              </w:rPr>
              <w:lastRenderedPageBreak/>
              <w:t>минимално отрицателно въздействие върху естествената му привлекателност като туристически ресурс, без да създават опасност при достъпа на хора до морето. Наносният дефицит в бреговата зона да се компенсира чрез изкуствено подхранване на плажните ивици с пясъчни наноси</w:t>
            </w:r>
          </w:p>
        </w:tc>
        <w:tc>
          <w:tcPr>
            <w:tcW w:w="2215" w:type="dxa"/>
          </w:tcPr>
          <w:p w14:paraId="04D69BF8" w14:textId="1EFEA444" w:rsidR="005C76F0" w:rsidRPr="00610B1B" w:rsidRDefault="006C5D2B"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lastRenderedPageBreak/>
              <w:t>Стратегическа цел 4, всички специфични цели</w:t>
            </w:r>
          </w:p>
        </w:tc>
        <w:tc>
          <w:tcPr>
            <w:tcW w:w="2127" w:type="dxa"/>
          </w:tcPr>
          <w:p w14:paraId="1AD0E693" w14:textId="40D1AA73" w:rsidR="006C5D2B" w:rsidRPr="00610B1B" w:rsidRDefault="006C5D2B"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m</w:t>
            </w:r>
            <w:r w:rsidRPr="00610B1B">
              <w:rPr>
                <w:rFonts w:ascii="Times New Roman" w:hAnsi="Times New Roman" w:cs="Times New Roman"/>
                <w:bCs/>
                <w:sz w:val="20"/>
                <w:szCs w:val="20"/>
                <w:vertAlign w:val="superscript"/>
                <w:lang w:val="bg-BG"/>
              </w:rPr>
              <w:t>2</w:t>
            </w:r>
            <w:r w:rsidRPr="00610B1B">
              <w:rPr>
                <w:rFonts w:ascii="Times New Roman" w:hAnsi="Times New Roman" w:cs="Times New Roman"/>
                <w:bCs/>
                <w:sz w:val="20"/>
                <w:szCs w:val="20"/>
                <w:lang w:val="bg-BG"/>
              </w:rPr>
              <w:t xml:space="preserve"> плаж на посетител</w:t>
            </w:r>
          </w:p>
          <w:p w14:paraId="5B2A4834" w14:textId="14DA1043" w:rsidR="006C5D2B" w:rsidRPr="00610B1B" w:rsidRDefault="006C5D2B"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Площ на дюните (km</w:t>
            </w:r>
            <w:r w:rsidRPr="00610B1B">
              <w:rPr>
                <w:rFonts w:ascii="Times New Roman" w:hAnsi="Times New Roman" w:cs="Times New Roman"/>
                <w:bCs/>
                <w:sz w:val="20"/>
                <w:szCs w:val="20"/>
                <w:vertAlign w:val="superscript"/>
                <w:lang w:val="bg-BG"/>
              </w:rPr>
              <w:t>2</w:t>
            </w:r>
            <w:r w:rsidRPr="00610B1B">
              <w:rPr>
                <w:rFonts w:ascii="Times New Roman" w:hAnsi="Times New Roman" w:cs="Times New Roman"/>
                <w:bCs/>
                <w:sz w:val="20"/>
                <w:szCs w:val="20"/>
                <w:lang w:val="bg-BG"/>
              </w:rPr>
              <w:t>)</w:t>
            </w:r>
          </w:p>
          <w:p w14:paraId="382A1EA2" w14:textId="03487978" w:rsidR="005C76F0" w:rsidRPr="00610B1B" w:rsidRDefault="006C5D2B"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Площ на брегозащитните съоръжения (km</w:t>
            </w:r>
            <w:r w:rsidRPr="00610B1B">
              <w:rPr>
                <w:rFonts w:ascii="Times New Roman" w:hAnsi="Times New Roman" w:cs="Times New Roman"/>
                <w:bCs/>
                <w:sz w:val="20"/>
                <w:szCs w:val="20"/>
                <w:vertAlign w:val="superscript"/>
                <w:lang w:val="bg-BG"/>
              </w:rPr>
              <w:t>2</w:t>
            </w:r>
            <w:r w:rsidRPr="00610B1B">
              <w:rPr>
                <w:rFonts w:ascii="Times New Roman" w:hAnsi="Times New Roman" w:cs="Times New Roman"/>
                <w:bCs/>
                <w:sz w:val="20"/>
                <w:szCs w:val="20"/>
                <w:lang w:val="bg-BG"/>
              </w:rPr>
              <w:t>)</w:t>
            </w:r>
          </w:p>
        </w:tc>
        <w:tc>
          <w:tcPr>
            <w:tcW w:w="2596" w:type="dxa"/>
          </w:tcPr>
          <w:p w14:paraId="42E606C4" w14:textId="608077CE" w:rsidR="005C76F0" w:rsidRPr="00610B1B" w:rsidRDefault="006C5D2B"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Наредба № 8 от 14 юни 2001 г. за обема и съдържанието на устройствените планове, Обн. ДВ. бр. 57 от 26 Юни 2001 г.), ОУПО на общини</w:t>
            </w:r>
          </w:p>
        </w:tc>
      </w:tr>
      <w:tr w:rsidR="001C16D4" w:rsidRPr="00610B1B" w14:paraId="2F98B660" w14:textId="77777777" w:rsidTr="00C415D1">
        <w:tc>
          <w:tcPr>
            <w:tcW w:w="426" w:type="dxa"/>
            <w:vAlign w:val="center"/>
          </w:tcPr>
          <w:p w14:paraId="16FC01E6" w14:textId="45F9A7CD" w:rsidR="001C16D4" w:rsidRPr="00610B1B" w:rsidRDefault="001C16D4" w:rsidP="00537D06">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 xml:space="preserve">2. </w:t>
            </w:r>
          </w:p>
        </w:tc>
        <w:tc>
          <w:tcPr>
            <w:tcW w:w="2701" w:type="dxa"/>
            <w:vAlign w:val="center"/>
          </w:tcPr>
          <w:p w14:paraId="09521C23" w14:textId="77777777" w:rsidR="001C16D4" w:rsidRPr="00610B1B" w:rsidRDefault="003C57C2" w:rsidP="00537D06">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Намал</w:t>
            </w:r>
            <w:r w:rsidR="00261676" w:rsidRPr="00610B1B">
              <w:rPr>
                <w:rFonts w:ascii="Times New Roman" w:hAnsi="Times New Roman" w:cs="Times New Roman"/>
                <w:bCs/>
                <w:sz w:val="20"/>
                <w:szCs w:val="20"/>
                <w:lang w:val="bg-BG"/>
              </w:rPr>
              <w:t>ен</w:t>
            </w:r>
            <w:r w:rsidRPr="00610B1B">
              <w:rPr>
                <w:rFonts w:ascii="Times New Roman" w:hAnsi="Times New Roman" w:cs="Times New Roman"/>
                <w:bCs/>
                <w:sz w:val="20"/>
                <w:szCs w:val="20"/>
                <w:lang w:val="bg-BG"/>
              </w:rPr>
              <w:t xml:space="preserve"> антропоген</w:t>
            </w:r>
            <w:r w:rsidR="00261676" w:rsidRPr="00610B1B">
              <w:rPr>
                <w:rFonts w:ascii="Times New Roman" w:hAnsi="Times New Roman" w:cs="Times New Roman"/>
                <w:bCs/>
                <w:sz w:val="20"/>
                <w:szCs w:val="20"/>
                <w:lang w:val="bg-BG"/>
              </w:rPr>
              <w:t>е</w:t>
            </w:r>
            <w:r w:rsidR="001C16D4" w:rsidRPr="00610B1B">
              <w:rPr>
                <w:rFonts w:ascii="Times New Roman" w:hAnsi="Times New Roman" w:cs="Times New Roman"/>
                <w:bCs/>
                <w:sz w:val="20"/>
                <w:szCs w:val="20"/>
                <w:lang w:val="bg-BG"/>
              </w:rPr>
              <w:t>н натиск върху морската околна среда</w:t>
            </w:r>
            <w:r w:rsidR="00D66FE0" w:rsidRPr="00610B1B">
              <w:rPr>
                <w:rFonts w:ascii="Times New Roman" w:hAnsi="Times New Roman" w:cs="Times New Roman"/>
                <w:bCs/>
                <w:sz w:val="20"/>
                <w:szCs w:val="20"/>
                <w:lang w:val="bg-BG"/>
              </w:rPr>
              <w:t xml:space="preserve"> </w:t>
            </w:r>
            <w:r w:rsidR="001C16D4" w:rsidRPr="00610B1B">
              <w:rPr>
                <w:rFonts w:ascii="Times New Roman" w:hAnsi="Times New Roman" w:cs="Times New Roman"/>
                <w:bCs/>
                <w:sz w:val="20"/>
                <w:szCs w:val="20"/>
                <w:lang w:val="bg-BG"/>
              </w:rPr>
              <w:t>и подобрено състояние на морската околна среда</w:t>
            </w:r>
          </w:p>
          <w:p w14:paraId="5CE1943E" w14:textId="089C17B1" w:rsidR="00420A95" w:rsidRPr="00610B1B" w:rsidRDefault="00420A95" w:rsidP="00537D06">
            <w:pPr>
              <w:rPr>
                <w:rFonts w:ascii="Times New Roman" w:hAnsi="Times New Roman" w:cs="Times New Roman"/>
                <w:bCs/>
                <w:sz w:val="20"/>
                <w:szCs w:val="20"/>
                <w:lang w:val="bg-BG"/>
              </w:rPr>
            </w:pPr>
            <w:r w:rsidRPr="00610B1B">
              <w:rPr>
                <w:rFonts w:ascii="Times New Roman" w:hAnsi="Times New Roman" w:cs="Times New Roman"/>
                <w:bCs/>
                <w:sz w:val="20"/>
                <w:szCs w:val="20"/>
                <w:lang w:val="bg-BG" w:bidi="bg-BG"/>
              </w:rPr>
              <w:t>Да приключи реконструкцията и привеждане в съответствие към нуждите на ПСОВ за курортните комплекси и селища в бреговата част на Черно море (ПСОВ „Албена“; ГПСОВ „Девня“; ГПСОВ „Долни чифлик“; ПСОВ „Камчия“ ГПСОВ „Каварна“), както и да се въведат в експлоатация пречиствателни модули на с. Синеморец, с. Варвара, и изпълнение на „Интегриран проект на водния цикъл на гр. Ахтопол“.</w:t>
            </w:r>
          </w:p>
        </w:tc>
        <w:tc>
          <w:tcPr>
            <w:tcW w:w="2215" w:type="dxa"/>
          </w:tcPr>
          <w:p w14:paraId="5500F77F" w14:textId="45EB2BEC" w:rsidR="001C16D4" w:rsidRPr="00610B1B" w:rsidRDefault="001C16D4" w:rsidP="00D32D6A">
            <w:pPr>
              <w:rPr>
                <w:rFonts w:ascii="Times New Roman" w:hAnsi="Times New Roman" w:cs="Times New Roman"/>
                <w:bCs/>
                <w:sz w:val="20"/>
                <w:szCs w:val="20"/>
                <w:lang w:val="bg-BG"/>
              </w:rPr>
            </w:pPr>
            <w:r w:rsidRPr="00610B1B">
              <w:rPr>
                <w:rFonts w:ascii="Times New Roman" w:hAnsi="Times New Roman" w:cs="Times New Roman"/>
                <w:sz w:val="20"/>
                <w:szCs w:val="20"/>
                <w:lang w:val="bg-BG"/>
              </w:rPr>
              <w:t>Стратегическа цел 4, всички специфични цели</w:t>
            </w:r>
          </w:p>
        </w:tc>
        <w:tc>
          <w:tcPr>
            <w:tcW w:w="2127" w:type="dxa"/>
          </w:tcPr>
          <w:p w14:paraId="703C0E67" w14:textId="1239B001" w:rsidR="001C16D4" w:rsidRPr="00610B1B" w:rsidRDefault="001C16D4"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Образувани и отведени отпадъчни води в Черноморския район на басейново управление (Млн.m</w:t>
            </w:r>
            <w:r w:rsidRPr="00610B1B">
              <w:rPr>
                <w:rFonts w:ascii="Times New Roman" w:hAnsi="Times New Roman" w:cs="Times New Roman"/>
                <w:bCs/>
                <w:sz w:val="20"/>
                <w:szCs w:val="20"/>
                <w:vertAlign w:val="superscript"/>
                <w:lang w:val="bg-BG"/>
              </w:rPr>
              <w:t>3</w:t>
            </w:r>
            <w:r w:rsidRPr="00610B1B">
              <w:rPr>
                <w:rFonts w:ascii="Times New Roman" w:hAnsi="Times New Roman" w:cs="Times New Roman"/>
                <w:bCs/>
                <w:sz w:val="20"/>
                <w:szCs w:val="20"/>
                <w:lang w:val="bg-BG"/>
              </w:rPr>
              <w:t>/год.)</w:t>
            </w:r>
          </w:p>
          <w:p w14:paraId="7E76203D" w14:textId="77777777" w:rsidR="001C16D4" w:rsidRPr="00610B1B" w:rsidRDefault="001C16D4"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Събрани твърди и течни отпадъци, приети сантинни води и баласт (тона)</w:t>
            </w:r>
          </w:p>
          <w:p w14:paraId="2123AF56" w14:textId="7BA7DFBF" w:rsidR="001C16D4" w:rsidRPr="00610B1B" w:rsidRDefault="001C16D4"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Замърсяване над ПДН</w:t>
            </w:r>
          </w:p>
        </w:tc>
        <w:tc>
          <w:tcPr>
            <w:tcW w:w="2596" w:type="dxa"/>
          </w:tcPr>
          <w:p w14:paraId="165CFEA3" w14:textId="77777777" w:rsidR="001C16D4" w:rsidRPr="00610B1B" w:rsidRDefault="001C16D4"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Мониторингови доклади по ТГС България – Румъния, целеви изследвания ИО БАН</w:t>
            </w:r>
          </w:p>
          <w:p w14:paraId="4F820875" w14:textId="77777777" w:rsidR="001C16D4" w:rsidRPr="00610B1B" w:rsidRDefault="001C16D4"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 xml:space="preserve">НСИ </w:t>
            </w:r>
          </w:p>
          <w:p w14:paraId="710A34CE" w14:textId="2F584DCC" w:rsidR="001C16D4" w:rsidRPr="00610B1B" w:rsidRDefault="001C16D4"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БДЧР</w:t>
            </w:r>
          </w:p>
        </w:tc>
      </w:tr>
      <w:tr w:rsidR="00A942A3" w:rsidRPr="00215C86" w14:paraId="161F28D0" w14:textId="77777777" w:rsidTr="00C415D1">
        <w:tc>
          <w:tcPr>
            <w:tcW w:w="426" w:type="dxa"/>
            <w:vAlign w:val="center"/>
          </w:tcPr>
          <w:p w14:paraId="59561226" w14:textId="6939069C" w:rsidR="00A942A3" w:rsidRPr="00610B1B" w:rsidRDefault="00A942A3" w:rsidP="00537D06">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3.</w:t>
            </w:r>
          </w:p>
        </w:tc>
        <w:tc>
          <w:tcPr>
            <w:tcW w:w="2701" w:type="dxa"/>
            <w:vAlign w:val="center"/>
          </w:tcPr>
          <w:p w14:paraId="560319FD" w14:textId="5F86E1BF" w:rsidR="00A942A3" w:rsidRPr="00610B1B" w:rsidRDefault="00A942A3" w:rsidP="00537D06">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Намал</w:t>
            </w:r>
            <w:r w:rsidR="00261676" w:rsidRPr="00610B1B">
              <w:rPr>
                <w:rFonts w:ascii="Times New Roman" w:hAnsi="Times New Roman" w:cs="Times New Roman"/>
                <w:bCs/>
                <w:sz w:val="20"/>
                <w:szCs w:val="20"/>
                <w:lang w:val="bg-BG"/>
              </w:rPr>
              <w:t>ен</w:t>
            </w:r>
            <w:r w:rsidRPr="00610B1B">
              <w:rPr>
                <w:rFonts w:ascii="Times New Roman" w:hAnsi="Times New Roman" w:cs="Times New Roman"/>
                <w:bCs/>
                <w:sz w:val="20"/>
                <w:szCs w:val="20"/>
                <w:lang w:val="bg-BG"/>
              </w:rPr>
              <w:t xml:space="preserve"> натиск от </w:t>
            </w:r>
            <w:r w:rsidR="00DD6CD4" w:rsidRPr="00610B1B">
              <w:rPr>
                <w:rFonts w:ascii="Times New Roman" w:hAnsi="Times New Roman" w:cs="Times New Roman"/>
                <w:bCs/>
                <w:sz w:val="20"/>
                <w:szCs w:val="20"/>
                <w:lang w:val="bg-BG"/>
              </w:rPr>
              <w:t>стопански риболов</w:t>
            </w:r>
            <w:r w:rsidRPr="00610B1B">
              <w:rPr>
                <w:rFonts w:ascii="Times New Roman" w:hAnsi="Times New Roman" w:cs="Times New Roman"/>
                <w:bCs/>
                <w:sz w:val="20"/>
                <w:szCs w:val="20"/>
                <w:lang w:val="bg-BG"/>
              </w:rPr>
              <w:t>, научно обосновани квоти за експлоатираните видове и контрол на нерегламентирания риболов</w:t>
            </w:r>
            <w:r w:rsidR="00C415D1" w:rsidRPr="00610B1B">
              <w:rPr>
                <w:rFonts w:ascii="Times New Roman" w:hAnsi="Times New Roman" w:cs="Times New Roman"/>
                <w:bCs/>
                <w:sz w:val="20"/>
                <w:szCs w:val="20"/>
                <w:lang w:val="bg-BG"/>
              </w:rPr>
              <w:t xml:space="preserve"> в защитените територии</w:t>
            </w:r>
          </w:p>
        </w:tc>
        <w:tc>
          <w:tcPr>
            <w:tcW w:w="2215" w:type="dxa"/>
          </w:tcPr>
          <w:p w14:paraId="5008E51D" w14:textId="7085DBF1" w:rsidR="00A942A3" w:rsidRPr="00610B1B" w:rsidRDefault="00A942A3"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Стратегическа цел 4, всички специфични цели</w:t>
            </w:r>
          </w:p>
        </w:tc>
        <w:tc>
          <w:tcPr>
            <w:tcW w:w="2127" w:type="dxa"/>
            <w:shd w:val="clear" w:color="auto" w:fill="FFFFFF"/>
          </w:tcPr>
          <w:p w14:paraId="06E55A31" w14:textId="18DA42A6" w:rsidR="00A942A3" w:rsidRPr="00610B1B" w:rsidRDefault="00A942A3" w:rsidP="00D32D6A">
            <w:pPr>
              <w:rPr>
                <w:rFonts w:ascii="Times New Roman" w:eastAsia="Times New Roman" w:hAnsi="Times New Roman" w:cs="Times New Roman"/>
                <w:color w:val="00000A"/>
                <w:kern w:val="3"/>
                <w:sz w:val="20"/>
                <w:szCs w:val="24"/>
                <w:lang w:val="bg-BG" w:eastAsia="zh-CN" w:bidi="hi-IN"/>
              </w:rPr>
            </w:pPr>
            <w:r w:rsidRPr="00610B1B">
              <w:rPr>
                <w:rFonts w:ascii="Times New Roman" w:eastAsia="Times New Roman" w:hAnsi="Times New Roman" w:cs="Times New Roman"/>
                <w:color w:val="00000A"/>
                <w:kern w:val="3"/>
                <w:sz w:val="20"/>
                <w:szCs w:val="24"/>
                <w:lang w:val="bg-BG" w:eastAsia="zh-CN" w:bidi="hi-IN"/>
              </w:rPr>
              <w:t xml:space="preserve">Намалено разпространение и плътност на корабния трафик от </w:t>
            </w:r>
            <w:r w:rsidR="00DD6CD4" w:rsidRPr="00610B1B">
              <w:rPr>
                <w:rFonts w:ascii="Times New Roman" w:eastAsia="Times New Roman" w:hAnsi="Times New Roman" w:cs="Times New Roman"/>
                <w:color w:val="00000A"/>
                <w:kern w:val="3"/>
                <w:sz w:val="20"/>
                <w:szCs w:val="24"/>
                <w:lang w:val="bg-BG" w:eastAsia="zh-CN" w:bidi="hi-IN"/>
              </w:rPr>
              <w:t>стопански риболов</w:t>
            </w:r>
            <w:r w:rsidRPr="00610B1B">
              <w:rPr>
                <w:rFonts w:ascii="Times New Roman" w:eastAsia="Times New Roman" w:hAnsi="Times New Roman" w:cs="Times New Roman"/>
                <w:color w:val="00000A"/>
                <w:kern w:val="3"/>
                <w:sz w:val="20"/>
                <w:szCs w:val="24"/>
                <w:lang w:val="bg-BG" w:eastAsia="zh-CN" w:bidi="hi-IN"/>
              </w:rPr>
              <w:t xml:space="preserve"> в морските защитени зони и територии (час/km</w:t>
            </w:r>
            <w:r w:rsidRPr="00610B1B">
              <w:rPr>
                <w:rFonts w:ascii="Times New Roman" w:eastAsia="Times New Roman" w:hAnsi="Times New Roman" w:cs="Times New Roman"/>
                <w:color w:val="00000A"/>
                <w:kern w:val="3"/>
                <w:sz w:val="20"/>
                <w:szCs w:val="24"/>
                <w:vertAlign w:val="superscript"/>
                <w:lang w:val="bg-BG" w:eastAsia="zh-CN" w:bidi="hi-IN"/>
              </w:rPr>
              <w:t>2</w:t>
            </w:r>
            <w:r w:rsidRPr="00610B1B">
              <w:rPr>
                <w:rFonts w:ascii="Times New Roman" w:eastAsia="Times New Roman" w:hAnsi="Times New Roman" w:cs="Times New Roman"/>
                <w:color w:val="00000A"/>
                <w:kern w:val="3"/>
                <w:sz w:val="20"/>
                <w:szCs w:val="24"/>
                <w:lang w:val="bg-BG" w:eastAsia="zh-CN" w:bidi="hi-IN"/>
              </w:rPr>
              <w:t>.година)</w:t>
            </w:r>
            <w:r w:rsidR="00C415D1" w:rsidRPr="00610B1B">
              <w:rPr>
                <w:rFonts w:ascii="Times New Roman" w:eastAsia="Times New Roman" w:hAnsi="Times New Roman" w:cs="Times New Roman"/>
                <w:color w:val="00000A"/>
                <w:kern w:val="3"/>
                <w:sz w:val="20"/>
                <w:szCs w:val="24"/>
                <w:lang w:val="bg-BG" w:eastAsia="zh-CN" w:bidi="hi-IN"/>
              </w:rPr>
              <w:t>;</w:t>
            </w:r>
          </w:p>
          <w:p w14:paraId="004A5A16" w14:textId="3C4FF462" w:rsidR="00C415D1" w:rsidRPr="00610B1B" w:rsidRDefault="00C415D1" w:rsidP="00D32D6A">
            <w:pPr>
              <w:rPr>
                <w:rFonts w:ascii="Times New Roman" w:hAnsi="Times New Roman" w:cs="Times New Roman"/>
                <w:lang w:val="bg-BG"/>
              </w:rPr>
            </w:pPr>
            <w:r w:rsidRPr="00610B1B">
              <w:rPr>
                <w:rFonts w:ascii="Times New Roman" w:eastAsia="Times New Roman" w:hAnsi="Times New Roman" w:cs="Times New Roman"/>
                <w:color w:val="00000A"/>
                <w:kern w:val="3"/>
                <w:sz w:val="20"/>
                <w:szCs w:val="24"/>
                <w:lang w:val="bg-BG" w:eastAsia="zh-CN" w:bidi="hi-IN"/>
              </w:rPr>
              <w:t>Състояние на популациите на видовете риби, обект на стопански риболов –всички показатели от Дескрипор 3 на РДМС. (Д3 – индикатор за състояние на намален натиск от стопански риболов)</w:t>
            </w:r>
          </w:p>
        </w:tc>
        <w:tc>
          <w:tcPr>
            <w:tcW w:w="2596" w:type="dxa"/>
          </w:tcPr>
          <w:p w14:paraId="31EAAED0" w14:textId="77777777" w:rsidR="00C415D1" w:rsidRPr="00610B1B" w:rsidRDefault="008055A5"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ИАРА</w:t>
            </w:r>
            <w:r w:rsidR="00A942A3" w:rsidRPr="00610B1B">
              <w:rPr>
                <w:rFonts w:ascii="Times New Roman" w:hAnsi="Times New Roman" w:cs="Times New Roman"/>
                <w:bCs/>
                <w:sz w:val="20"/>
                <w:szCs w:val="20"/>
                <w:lang w:val="bg-BG"/>
              </w:rPr>
              <w:t xml:space="preserve"> – данни за улова</w:t>
            </w:r>
            <w:r w:rsidR="00C415D1" w:rsidRPr="00610B1B">
              <w:rPr>
                <w:rFonts w:ascii="Times New Roman" w:hAnsi="Times New Roman" w:cs="Times New Roman"/>
                <w:bCs/>
                <w:sz w:val="20"/>
                <w:szCs w:val="20"/>
                <w:lang w:val="bg-BG"/>
              </w:rPr>
              <w:t>;</w:t>
            </w:r>
          </w:p>
          <w:p w14:paraId="27BD6CB6" w14:textId="5AA053D8" w:rsidR="00C415D1" w:rsidRPr="00610B1B" w:rsidRDefault="00C415D1"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брой на извършените нарушения.</w:t>
            </w:r>
          </w:p>
          <w:p w14:paraId="12837F4B" w14:textId="23404866" w:rsidR="008055A5" w:rsidRPr="00610B1B" w:rsidRDefault="008055A5"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НСИ</w:t>
            </w:r>
            <w:r w:rsidR="00C415D1" w:rsidRPr="00610B1B">
              <w:rPr>
                <w:rFonts w:ascii="Times New Roman" w:hAnsi="Times New Roman" w:cs="Times New Roman"/>
                <w:bCs/>
                <w:sz w:val="20"/>
                <w:szCs w:val="20"/>
                <w:lang w:val="bg-BG"/>
              </w:rPr>
              <w:t>.</w:t>
            </w:r>
            <w:r w:rsidRPr="00610B1B">
              <w:rPr>
                <w:rFonts w:ascii="Times New Roman" w:hAnsi="Times New Roman" w:cs="Times New Roman"/>
                <w:bCs/>
                <w:sz w:val="20"/>
                <w:szCs w:val="20"/>
                <w:lang w:val="bg-BG"/>
              </w:rPr>
              <w:t xml:space="preserve"> </w:t>
            </w:r>
          </w:p>
          <w:p w14:paraId="1226076F" w14:textId="77777777" w:rsidR="00C415D1" w:rsidRPr="00610B1B" w:rsidRDefault="008055A5"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МОСВ – информационна система за защитени територии</w:t>
            </w:r>
            <w:r w:rsidR="00C415D1" w:rsidRPr="00610B1B">
              <w:rPr>
                <w:rFonts w:ascii="Times New Roman" w:hAnsi="Times New Roman" w:cs="Times New Roman"/>
                <w:bCs/>
                <w:sz w:val="20"/>
                <w:szCs w:val="20"/>
                <w:lang w:val="bg-BG"/>
              </w:rPr>
              <w:t>;</w:t>
            </w:r>
          </w:p>
          <w:p w14:paraId="3F6EBB95" w14:textId="57F7DB2E" w:rsidR="00A942A3" w:rsidRPr="00610B1B" w:rsidRDefault="008055A5"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Натура 2000 – Регистър на защитените зони.</w:t>
            </w:r>
          </w:p>
        </w:tc>
      </w:tr>
      <w:tr w:rsidR="00A942A3" w:rsidRPr="00215C86" w14:paraId="6D3C1108" w14:textId="77777777" w:rsidTr="00C415D1">
        <w:tc>
          <w:tcPr>
            <w:tcW w:w="426" w:type="dxa"/>
            <w:vAlign w:val="center"/>
          </w:tcPr>
          <w:p w14:paraId="7AD84A06" w14:textId="4CDAC4EF" w:rsidR="00A942A3" w:rsidRPr="00610B1B" w:rsidRDefault="008055A5" w:rsidP="00537D06">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4.</w:t>
            </w:r>
          </w:p>
        </w:tc>
        <w:tc>
          <w:tcPr>
            <w:tcW w:w="2701" w:type="dxa"/>
            <w:vAlign w:val="center"/>
          </w:tcPr>
          <w:p w14:paraId="569CBE6A" w14:textId="47C2D8BC" w:rsidR="00A942A3" w:rsidRPr="00610B1B" w:rsidRDefault="005D147D" w:rsidP="00537D06">
            <w:pPr>
              <w:rPr>
                <w:rFonts w:ascii="Times New Roman" w:hAnsi="Times New Roman" w:cs="Times New Roman"/>
                <w:bCs/>
                <w:sz w:val="20"/>
                <w:szCs w:val="20"/>
                <w:lang w:val="bg-BG"/>
              </w:rPr>
            </w:pPr>
            <w:r w:rsidRPr="00610B1B">
              <w:rPr>
                <w:rFonts w:ascii="Times New Roman" w:eastAsia="Times New Roman" w:hAnsi="Times New Roman" w:cs="Times New Roman"/>
                <w:kern w:val="3"/>
                <w:sz w:val="20"/>
                <w:szCs w:val="24"/>
                <w:lang w:val="bg-BG" w:eastAsia="zh-CN" w:bidi="hi-IN"/>
              </w:rPr>
              <w:t>Повиш</w:t>
            </w:r>
            <w:r w:rsidR="00261676" w:rsidRPr="00610B1B">
              <w:rPr>
                <w:rFonts w:ascii="Times New Roman" w:eastAsia="Times New Roman" w:hAnsi="Times New Roman" w:cs="Times New Roman"/>
                <w:kern w:val="3"/>
                <w:sz w:val="20"/>
                <w:szCs w:val="24"/>
                <w:lang w:val="bg-BG" w:eastAsia="zh-CN" w:bidi="hi-IN"/>
              </w:rPr>
              <w:t>ена</w:t>
            </w:r>
            <w:r w:rsidR="008055A5" w:rsidRPr="00610B1B">
              <w:rPr>
                <w:rFonts w:ascii="Times New Roman" w:eastAsia="Times New Roman" w:hAnsi="Times New Roman" w:cs="Times New Roman"/>
                <w:kern w:val="3"/>
                <w:sz w:val="20"/>
                <w:szCs w:val="24"/>
                <w:lang w:val="bg-BG" w:eastAsia="zh-CN" w:bidi="hi-IN"/>
              </w:rPr>
              <w:t xml:space="preserve"> пригодност</w:t>
            </w:r>
            <w:r w:rsidR="00D66FE0" w:rsidRPr="00610B1B">
              <w:rPr>
                <w:rFonts w:ascii="Times New Roman" w:eastAsia="Times New Roman" w:hAnsi="Times New Roman" w:cs="Times New Roman"/>
                <w:kern w:val="3"/>
                <w:sz w:val="20"/>
                <w:szCs w:val="24"/>
                <w:lang w:val="bg-BG" w:eastAsia="zh-CN" w:bidi="hi-IN"/>
              </w:rPr>
              <w:t xml:space="preserve"> </w:t>
            </w:r>
            <w:r w:rsidR="008055A5" w:rsidRPr="00610B1B">
              <w:rPr>
                <w:rFonts w:ascii="Times New Roman" w:eastAsia="Times New Roman" w:hAnsi="Times New Roman" w:cs="Times New Roman"/>
                <w:kern w:val="3"/>
                <w:sz w:val="20"/>
                <w:szCs w:val="24"/>
                <w:lang w:val="bg-BG" w:eastAsia="zh-CN" w:bidi="hi-IN"/>
              </w:rPr>
              <w:t xml:space="preserve">на местата </w:t>
            </w:r>
            <w:r w:rsidRPr="00610B1B">
              <w:rPr>
                <w:rFonts w:ascii="Times New Roman" w:eastAsia="Times New Roman" w:hAnsi="Times New Roman" w:cs="Times New Roman"/>
                <w:kern w:val="3"/>
                <w:sz w:val="20"/>
                <w:szCs w:val="24"/>
                <w:lang w:val="bg-BG" w:eastAsia="zh-CN" w:bidi="hi-IN"/>
              </w:rPr>
              <w:t>за инсталации за аквакултури</w:t>
            </w:r>
            <w:r w:rsidR="00725E9E" w:rsidRPr="00610B1B">
              <w:rPr>
                <w:rFonts w:ascii="Times New Roman" w:eastAsia="Times New Roman" w:hAnsi="Times New Roman" w:cs="Times New Roman"/>
                <w:kern w:val="3"/>
                <w:sz w:val="20"/>
                <w:szCs w:val="24"/>
                <w:lang w:val="bg-BG" w:eastAsia="zh-CN" w:bidi="hi-IN"/>
              </w:rPr>
              <w:t>.</w:t>
            </w:r>
            <w:r w:rsidR="00725E9E" w:rsidRPr="00610B1B">
              <w:rPr>
                <w:rFonts w:ascii="Times New Roman" w:eastAsiaTheme="minorHAnsi" w:hAnsi="Times New Roman" w:cs="Times New Roman"/>
                <w:sz w:val="24"/>
                <w:szCs w:val="24"/>
                <w:lang w:val="bg-BG" w:bidi="bg-BG"/>
              </w:rPr>
              <w:t xml:space="preserve"> </w:t>
            </w:r>
            <w:r w:rsidR="00725E9E" w:rsidRPr="00610B1B">
              <w:rPr>
                <w:rFonts w:ascii="Times New Roman" w:eastAsia="Times New Roman" w:hAnsi="Times New Roman" w:cs="Times New Roman"/>
                <w:kern w:val="3"/>
                <w:sz w:val="20"/>
                <w:szCs w:val="24"/>
                <w:lang w:val="bg-BG" w:eastAsia="zh-CN" w:bidi="bg-BG"/>
              </w:rPr>
              <w:t xml:space="preserve">Производство на аквакултури и/или добив на стопански ценни видове </w:t>
            </w:r>
            <w:r w:rsidR="00725E9E" w:rsidRPr="00610B1B">
              <w:rPr>
                <w:rFonts w:ascii="Times New Roman" w:eastAsia="Times New Roman" w:hAnsi="Times New Roman" w:cs="Times New Roman"/>
                <w:kern w:val="3"/>
                <w:sz w:val="20"/>
                <w:szCs w:val="24"/>
                <w:lang w:val="bg-BG" w:eastAsia="zh-CN" w:bidi="bg-BG"/>
              </w:rPr>
              <w:lastRenderedPageBreak/>
              <w:t>риби да се извършва в морето в зони, които не засягат или не са в близост до устие на река, зони за къпане, плажове и атракционни спортове за отдих към общините, както и развлекателни разходки с малки плавателни съдове.</w:t>
            </w:r>
          </w:p>
        </w:tc>
        <w:tc>
          <w:tcPr>
            <w:tcW w:w="2215" w:type="dxa"/>
          </w:tcPr>
          <w:p w14:paraId="5641DA9F" w14:textId="720F03A1" w:rsidR="00A942A3" w:rsidRPr="00610B1B" w:rsidRDefault="008055A5"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lastRenderedPageBreak/>
              <w:t>Стратегическа цел 4, всички специфични цели</w:t>
            </w:r>
          </w:p>
        </w:tc>
        <w:tc>
          <w:tcPr>
            <w:tcW w:w="2127" w:type="dxa"/>
          </w:tcPr>
          <w:p w14:paraId="376CF81A" w14:textId="3BE2B1A8" w:rsidR="00A942A3" w:rsidRPr="00610B1B" w:rsidRDefault="008055A5" w:rsidP="00D32D6A">
            <w:pPr>
              <w:rPr>
                <w:rFonts w:ascii="Times New Roman" w:hAnsi="Times New Roman" w:cs="Times New Roman"/>
                <w:bCs/>
                <w:sz w:val="20"/>
                <w:szCs w:val="20"/>
                <w:lang w:val="bg-BG"/>
              </w:rPr>
            </w:pPr>
            <w:r w:rsidRPr="00610B1B">
              <w:rPr>
                <w:rFonts w:ascii="Times New Roman" w:hAnsi="Times New Roman" w:cs="Times New Roman"/>
                <w:bCs/>
                <w:sz w:val="20"/>
                <w:szCs w:val="20"/>
                <w:lang w:val="bg-BG"/>
              </w:rPr>
              <w:t>1 брой обсъдена и приета методика</w:t>
            </w:r>
            <w:r w:rsidR="005D147D" w:rsidRPr="00610B1B">
              <w:rPr>
                <w:rFonts w:ascii="Times New Roman" w:hAnsi="Times New Roman" w:cs="Times New Roman"/>
                <w:lang w:val="bg-BG"/>
              </w:rPr>
              <w:t xml:space="preserve"> </w:t>
            </w:r>
            <w:r w:rsidR="005D147D" w:rsidRPr="00610B1B">
              <w:rPr>
                <w:rFonts w:ascii="Times New Roman" w:hAnsi="Times New Roman" w:cs="Times New Roman"/>
                <w:bCs/>
                <w:sz w:val="20"/>
                <w:szCs w:val="20"/>
                <w:lang w:val="bg-BG"/>
              </w:rPr>
              <w:t>за оценка на пригодността</w:t>
            </w:r>
            <w:r w:rsidR="00D66FE0" w:rsidRPr="00610B1B">
              <w:rPr>
                <w:rFonts w:ascii="Times New Roman" w:hAnsi="Times New Roman" w:cs="Times New Roman"/>
                <w:bCs/>
                <w:sz w:val="20"/>
                <w:szCs w:val="20"/>
                <w:lang w:val="bg-BG"/>
              </w:rPr>
              <w:t xml:space="preserve"> </w:t>
            </w:r>
            <w:r w:rsidR="005D147D" w:rsidRPr="00610B1B">
              <w:rPr>
                <w:rFonts w:ascii="Times New Roman" w:hAnsi="Times New Roman" w:cs="Times New Roman"/>
                <w:bCs/>
                <w:sz w:val="20"/>
                <w:szCs w:val="20"/>
                <w:lang w:val="bg-BG"/>
              </w:rPr>
              <w:t xml:space="preserve">на местата за </w:t>
            </w:r>
            <w:r w:rsidR="005D147D" w:rsidRPr="00610B1B">
              <w:rPr>
                <w:rFonts w:ascii="Times New Roman" w:hAnsi="Times New Roman" w:cs="Times New Roman"/>
                <w:bCs/>
                <w:sz w:val="20"/>
                <w:szCs w:val="20"/>
                <w:lang w:val="bg-BG"/>
              </w:rPr>
              <w:lastRenderedPageBreak/>
              <w:t>инсталации за аквакултури в зависимост от абсорбционния капацитет на морската среда</w:t>
            </w:r>
          </w:p>
        </w:tc>
        <w:tc>
          <w:tcPr>
            <w:tcW w:w="2596" w:type="dxa"/>
          </w:tcPr>
          <w:p w14:paraId="6A76DE53" w14:textId="3E29EA6E" w:rsidR="00A942A3" w:rsidRPr="00610B1B" w:rsidRDefault="008055A5" w:rsidP="00D32D6A">
            <w:pPr>
              <w:rPr>
                <w:rFonts w:ascii="Times New Roman" w:hAnsi="Times New Roman" w:cs="Times New Roman"/>
                <w:bCs/>
                <w:smallCaps/>
                <w:sz w:val="20"/>
                <w:szCs w:val="20"/>
                <w:u w:val="double"/>
                <w:lang w:val="bg-BG"/>
              </w:rPr>
            </w:pPr>
            <w:r w:rsidRPr="00610B1B">
              <w:rPr>
                <w:rFonts w:ascii="Times New Roman" w:hAnsi="Times New Roman" w:cs="Times New Roman"/>
                <w:bCs/>
                <w:sz w:val="20"/>
                <w:szCs w:val="20"/>
                <w:lang w:val="bg-BG"/>
              </w:rPr>
              <w:lastRenderedPageBreak/>
              <w:t>Целеви изследвания на ИБЕИ Б</w:t>
            </w:r>
            <w:r w:rsidRPr="00610B1B">
              <w:rPr>
                <w:rFonts w:ascii="Times New Roman" w:hAnsi="Times New Roman" w:cs="Times New Roman"/>
                <w:bCs/>
                <w:smallCaps/>
                <w:sz w:val="20"/>
                <w:szCs w:val="20"/>
                <w:lang w:val="bg-BG"/>
              </w:rPr>
              <w:t>АН</w:t>
            </w:r>
          </w:p>
        </w:tc>
      </w:tr>
      <w:tr w:rsidR="00A942A3" w:rsidRPr="00215C86" w14:paraId="26FBBE11" w14:textId="77777777" w:rsidTr="00C415D1">
        <w:tc>
          <w:tcPr>
            <w:tcW w:w="426" w:type="dxa"/>
            <w:vAlign w:val="center"/>
          </w:tcPr>
          <w:p w14:paraId="2DFE1412" w14:textId="4A8C4569" w:rsidR="00A942A3" w:rsidRPr="00610B1B" w:rsidRDefault="005D147D"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5</w:t>
            </w:r>
            <w:r w:rsidR="00A942A3" w:rsidRPr="00610B1B">
              <w:rPr>
                <w:rFonts w:ascii="Times New Roman" w:hAnsi="Times New Roman" w:cs="Times New Roman"/>
                <w:sz w:val="20"/>
                <w:szCs w:val="20"/>
                <w:lang w:val="bg-BG"/>
              </w:rPr>
              <w:t>.</w:t>
            </w:r>
          </w:p>
        </w:tc>
        <w:tc>
          <w:tcPr>
            <w:tcW w:w="2701" w:type="dxa"/>
            <w:vAlign w:val="center"/>
          </w:tcPr>
          <w:p w14:paraId="0754BF26" w14:textId="275DA783" w:rsidR="00A942A3" w:rsidRPr="00610B1B" w:rsidRDefault="00C415D1"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Състояние на</w:t>
            </w:r>
            <w:r w:rsidR="00A942A3" w:rsidRPr="00610B1B">
              <w:rPr>
                <w:rFonts w:ascii="Times New Roman" w:hAnsi="Times New Roman" w:cs="Times New Roman"/>
                <w:sz w:val="20"/>
                <w:szCs w:val="20"/>
                <w:lang w:val="bg-BG"/>
              </w:rPr>
              <w:t xml:space="preserve"> популации на целеви видове</w:t>
            </w:r>
          </w:p>
        </w:tc>
        <w:tc>
          <w:tcPr>
            <w:tcW w:w="2215" w:type="dxa"/>
          </w:tcPr>
          <w:p w14:paraId="7F5FA32E" w14:textId="7151DB37" w:rsidR="00A942A3" w:rsidRPr="00610B1B" w:rsidRDefault="00A942A3"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4, всички специфични цели</w:t>
            </w:r>
          </w:p>
        </w:tc>
        <w:tc>
          <w:tcPr>
            <w:tcW w:w="2127" w:type="dxa"/>
          </w:tcPr>
          <w:p w14:paraId="130406DD" w14:textId="5BAF5AEB" w:rsidR="00A942A3" w:rsidRPr="00610B1B" w:rsidRDefault="005D147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Брой </w:t>
            </w:r>
            <w:r w:rsidR="00C415D1" w:rsidRPr="00610B1B">
              <w:rPr>
                <w:rFonts w:ascii="Times New Roman" w:hAnsi="Times New Roman" w:cs="Times New Roman"/>
                <w:sz w:val="20"/>
                <w:szCs w:val="20"/>
                <w:lang w:val="bg-BG"/>
              </w:rPr>
              <w:t>приложени мерки</w:t>
            </w:r>
          </w:p>
        </w:tc>
        <w:tc>
          <w:tcPr>
            <w:tcW w:w="2596" w:type="dxa"/>
          </w:tcPr>
          <w:p w14:paraId="1E4319D7" w14:textId="09667B88" w:rsidR="00C415D1" w:rsidRPr="00610B1B" w:rsidRDefault="00C415D1" w:rsidP="00C415D1">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Изпълнение на програмите от мониторинг на РДМС и биомаса на размножителния запас вписан в актуализираните доклади по чл.8 на РДМС, относно Дескриптор 3 – стопански ценни видове. Доклади от целеви проучвания по ПМДР. Мониторингови доклади по ТГС България – Румъния </w:t>
            </w:r>
          </w:p>
          <w:p w14:paraId="1C87F62C" w14:textId="79EA8593" w:rsidR="00A942A3" w:rsidRPr="00610B1B" w:rsidRDefault="00C415D1" w:rsidP="00C415D1">
            <w:pPr>
              <w:rPr>
                <w:rFonts w:ascii="Times New Roman" w:hAnsi="Times New Roman" w:cs="Times New Roman"/>
                <w:sz w:val="20"/>
                <w:szCs w:val="20"/>
                <w:lang w:val="bg-BG"/>
              </w:rPr>
            </w:pPr>
            <w:r w:rsidRPr="00610B1B">
              <w:rPr>
                <w:rFonts w:ascii="Times New Roman" w:hAnsi="Times New Roman" w:cs="Times New Roman"/>
                <w:sz w:val="20"/>
                <w:szCs w:val="20"/>
                <w:lang w:val="bg-BG"/>
              </w:rPr>
              <w:t>Целеви изследвания на ИО и ИБЕИ БАН</w:t>
            </w:r>
          </w:p>
        </w:tc>
      </w:tr>
      <w:tr w:rsidR="00A942A3" w:rsidRPr="00215C86" w14:paraId="50C0CF4B" w14:textId="77777777" w:rsidTr="00C415D1">
        <w:tc>
          <w:tcPr>
            <w:tcW w:w="426" w:type="dxa"/>
            <w:vAlign w:val="center"/>
          </w:tcPr>
          <w:p w14:paraId="3309E99C" w14:textId="326582F3" w:rsidR="00A942A3" w:rsidRPr="00610B1B" w:rsidRDefault="009F4237"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6</w:t>
            </w:r>
            <w:r w:rsidR="00A942A3" w:rsidRPr="00610B1B">
              <w:rPr>
                <w:rFonts w:ascii="Times New Roman" w:hAnsi="Times New Roman" w:cs="Times New Roman"/>
                <w:sz w:val="20"/>
                <w:szCs w:val="20"/>
                <w:lang w:val="bg-BG"/>
              </w:rPr>
              <w:t>.</w:t>
            </w:r>
          </w:p>
        </w:tc>
        <w:tc>
          <w:tcPr>
            <w:tcW w:w="2701" w:type="dxa"/>
            <w:vAlign w:val="center"/>
          </w:tcPr>
          <w:p w14:paraId="1E53E44F" w14:textId="3B7462E2" w:rsidR="00A942A3" w:rsidRPr="00610B1B" w:rsidRDefault="00A942A3"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Запаз</w:t>
            </w:r>
            <w:r w:rsidR="00261676" w:rsidRPr="00610B1B">
              <w:rPr>
                <w:rFonts w:ascii="Times New Roman" w:hAnsi="Times New Roman" w:cs="Times New Roman"/>
                <w:sz w:val="20"/>
                <w:szCs w:val="20"/>
                <w:lang w:val="bg-BG"/>
              </w:rPr>
              <w:t>ени</w:t>
            </w:r>
            <w:r w:rsidRPr="00610B1B">
              <w:rPr>
                <w:rFonts w:ascii="Times New Roman" w:hAnsi="Times New Roman" w:cs="Times New Roman"/>
                <w:sz w:val="20"/>
                <w:szCs w:val="20"/>
                <w:lang w:val="bg-BG"/>
              </w:rPr>
              <w:t xml:space="preserve"> функции на екосистемите</w:t>
            </w:r>
            <w:r w:rsidR="005D147D" w:rsidRPr="00610B1B">
              <w:rPr>
                <w:rFonts w:ascii="Times New Roman" w:hAnsi="Times New Roman" w:cs="Times New Roman"/>
                <w:sz w:val="20"/>
                <w:szCs w:val="20"/>
                <w:lang w:val="bg-BG"/>
              </w:rPr>
              <w:t xml:space="preserve"> и възстановени екосистемни услуги</w:t>
            </w:r>
          </w:p>
        </w:tc>
        <w:tc>
          <w:tcPr>
            <w:tcW w:w="2215" w:type="dxa"/>
          </w:tcPr>
          <w:p w14:paraId="750A3ABB" w14:textId="66916EC8" w:rsidR="00A942A3" w:rsidRPr="00610B1B" w:rsidRDefault="00A942A3"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4, всички специфични цели</w:t>
            </w:r>
          </w:p>
        </w:tc>
        <w:tc>
          <w:tcPr>
            <w:tcW w:w="2127" w:type="dxa"/>
          </w:tcPr>
          <w:p w14:paraId="247BFE23" w14:textId="053E03E0" w:rsidR="00A942A3" w:rsidRPr="00610B1B" w:rsidRDefault="00A942A3"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Експертна качествена оценка</w:t>
            </w:r>
          </w:p>
        </w:tc>
        <w:tc>
          <w:tcPr>
            <w:tcW w:w="2596" w:type="dxa"/>
          </w:tcPr>
          <w:p w14:paraId="43D15543" w14:textId="3C39FA33" w:rsidR="00A942A3" w:rsidRPr="00610B1B" w:rsidRDefault="00A942A3"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Мониторингови доклади по ТГС България – Румъния, целеви изследвания ИБЕИ БАН</w:t>
            </w:r>
          </w:p>
        </w:tc>
      </w:tr>
      <w:tr w:rsidR="00261676" w:rsidRPr="00215C86" w14:paraId="001CC03F" w14:textId="77777777" w:rsidTr="00C415D1">
        <w:tc>
          <w:tcPr>
            <w:tcW w:w="426" w:type="dxa"/>
            <w:vAlign w:val="center"/>
          </w:tcPr>
          <w:p w14:paraId="27F4874E" w14:textId="7D6BD497" w:rsidR="00261676" w:rsidRPr="00610B1B" w:rsidRDefault="009F4237"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7</w:t>
            </w:r>
            <w:r w:rsidR="00261676" w:rsidRPr="00610B1B">
              <w:rPr>
                <w:rFonts w:ascii="Times New Roman" w:hAnsi="Times New Roman" w:cs="Times New Roman"/>
                <w:sz w:val="20"/>
                <w:szCs w:val="20"/>
                <w:lang w:val="bg-BG"/>
              </w:rPr>
              <w:t>.</w:t>
            </w:r>
          </w:p>
        </w:tc>
        <w:tc>
          <w:tcPr>
            <w:tcW w:w="2701" w:type="dxa"/>
            <w:vAlign w:val="center"/>
          </w:tcPr>
          <w:p w14:paraId="6AF7757A" w14:textId="30C185B0" w:rsidR="00261676" w:rsidRPr="00610B1B" w:rsidRDefault="00261676"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Опазени дънни местообитания, попадащи в защитените зони и защитените територии в морските пространства</w:t>
            </w:r>
          </w:p>
        </w:tc>
        <w:tc>
          <w:tcPr>
            <w:tcW w:w="2215" w:type="dxa"/>
          </w:tcPr>
          <w:p w14:paraId="3262C7BA" w14:textId="1706BAA3" w:rsidR="00261676" w:rsidRPr="00610B1B" w:rsidRDefault="00261676"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4, всички специфични цели</w:t>
            </w:r>
          </w:p>
        </w:tc>
        <w:tc>
          <w:tcPr>
            <w:tcW w:w="2127" w:type="dxa"/>
          </w:tcPr>
          <w:p w14:paraId="1294EE89" w14:textId="6202DEDB" w:rsidR="00261676" w:rsidRPr="00610B1B" w:rsidRDefault="00261676"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Площ на дънните местообитания в защитени зони и територии спрямо общата площ на морските пространства (%)</w:t>
            </w:r>
          </w:p>
        </w:tc>
        <w:tc>
          <w:tcPr>
            <w:tcW w:w="2596" w:type="dxa"/>
          </w:tcPr>
          <w:p w14:paraId="17CD050A" w14:textId="77777777" w:rsidR="00261676" w:rsidRPr="00610B1B" w:rsidRDefault="00245184"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Министерство на околната среда и водите</w:t>
            </w:r>
          </w:p>
          <w:p w14:paraId="768FA794" w14:textId="1DF645D4" w:rsidR="00245184" w:rsidRPr="00610B1B" w:rsidRDefault="00245184"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Информационна система за защитени зони от екологична мрежа Натура</w:t>
            </w:r>
            <w:r w:rsidR="00C415D1" w:rsidRPr="00610B1B">
              <w:rPr>
                <w:rFonts w:ascii="Times New Roman" w:hAnsi="Times New Roman" w:cs="Times New Roman"/>
                <w:sz w:val="20"/>
                <w:szCs w:val="20"/>
                <w:lang w:val="bg-BG"/>
              </w:rPr>
              <w:t> </w:t>
            </w:r>
            <w:r w:rsidRPr="00610B1B">
              <w:rPr>
                <w:rFonts w:ascii="Times New Roman" w:hAnsi="Times New Roman" w:cs="Times New Roman"/>
                <w:sz w:val="20"/>
                <w:szCs w:val="20"/>
                <w:lang w:val="bg-BG"/>
              </w:rPr>
              <w:t>2000</w:t>
            </w:r>
          </w:p>
        </w:tc>
      </w:tr>
      <w:tr w:rsidR="005D147D" w:rsidRPr="00610B1B" w14:paraId="5D6A9094" w14:textId="77777777" w:rsidTr="00C415D1">
        <w:tc>
          <w:tcPr>
            <w:tcW w:w="426" w:type="dxa"/>
            <w:vAlign w:val="center"/>
          </w:tcPr>
          <w:p w14:paraId="0FDD55ED" w14:textId="259653B0" w:rsidR="005D147D" w:rsidRPr="00610B1B" w:rsidRDefault="009F4237"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8</w:t>
            </w:r>
            <w:r w:rsidR="005D147D" w:rsidRPr="00610B1B">
              <w:rPr>
                <w:rFonts w:ascii="Times New Roman" w:hAnsi="Times New Roman" w:cs="Times New Roman"/>
                <w:sz w:val="20"/>
                <w:szCs w:val="20"/>
                <w:lang w:val="bg-BG"/>
              </w:rPr>
              <w:t>.</w:t>
            </w:r>
          </w:p>
        </w:tc>
        <w:tc>
          <w:tcPr>
            <w:tcW w:w="2701" w:type="dxa"/>
            <w:vAlign w:val="center"/>
          </w:tcPr>
          <w:p w14:paraId="39362B3B" w14:textId="15E77F81" w:rsidR="005D147D" w:rsidRPr="00610B1B" w:rsidRDefault="005D147D"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Огранич</w:t>
            </w:r>
            <w:r w:rsidR="00261676" w:rsidRPr="00610B1B">
              <w:rPr>
                <w:rFonts w:ascii="Times New Roman" w:hAnsi="Times New Roman" w:cs="Times New Roman"/>
                <w:sz w:val="20"/>
                <w:szCs w:val="20"/>
                <w:lang w:val="bg-BG"/>
              </w:rPr>
              <w:t xml:space="preserve">ено </w:t>
            </w:r>
            <w:r w:rsidRPr="00610B1B">
              <w:rPr>
                <w:rFonts w:ascii="Times New Roman" w:hAnsi="Times New Roman" w:cs="Times New Roman"/>
                <w:sz w:val="20"/>
                <w:szCs w:val="20"/>
                <w:lang w:val="bg-BG"/>
              </w:rPr>
              <w:t>внасяне на чужди видове посредством баластни води и седименти, и обраствания на корпусите на корабите, чрез определ</w:t>
            </w:r>
            <w:r w:rsidR="00261676" w:rsidRPr="00610B1B">
              <w:rPr>
                <w:rFonts w:ascii="Times New Roman" w:hAnsi="Times New Roman" w:cs="Times New Roman"/>
                <w:sz w:val="20"/>
                <w:szCs w:val="20"/>
                <w:lang w:val="bg-BG"/>
              </w:rPr>
              <w:t>ени</w:t>
            </w:r>
            <w:r w:rsidRPr="00610B1B">
              <w:rPr>
                <w:rFonts w:ascii="Times New Roman" w:hAnsi="Times New Roman" w:cs="Times New Roman"/>
                <w:sz w:val="20"/>
                <w:szCs w:val="20"/>
                <w:lang w:val="bg-BG"/>
              </w:rPr>
              <w:t xml:space="preserve"> специализирани зони и инсталации за събиране и обезвреждане.</w:t>
            </w:r>
          </w:p>
        </w:tc>
        <w:tc>
          <w:tcPr>
            <w:tcW w:w="2215" w:type="dxa"/>
          </w:tcPr>
          <w:p w14:paraId="289C5E12" w14:textId="7453D993" w:rsidR="005D147D" w:rsidRPr="00610B1B" w:rsidRDefault="005D147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4, Специфична цел 4.1. и 4.3.</w:t>
            </w:r>
          </w:p>
        </w:tc>
        <w:tc>
          <w:tcPr>
            <w:tcW w:w="2127" w:type="dxa"/>
            <w:shd w:val="clear" w:color="auto" w:fill="FFFFFF"/>
          </w:tcPr>
          <w:p w14:paraId="11D1911D" w14:textId="07897F02" w:rsidR="005D147D" w:rsidRPr="00610B1B" w:rsidRDefault="005D147D" w:rsidP="00D32D6A">
            <w:pPr>
              <w:rPr>
                <w:rFonts w:ascii="Times New Roman" w:hAnsi="Times New Roman" w:cs="Times New Roman"/>
                <w:sz w:val="20"/>
                <w:szCs w:val="20"/>
                <w:lang w:val="bg-BG"/>
              </w:rPr>
            </w:pPr>
            <w:r w:rsidRPr="00610B1B">
              <w:rPr>
                <w:rFonts w:ascii="Times New Roman" w:eastAsia="Times New Roman" w:hAnsi="Times New Roman" w:cs="Times New Roman"/>
                <w:color w:val="00000A"/>
                <w:kern w:val="3"/>
                <w:sz w:val="20"/>
                <w:szCs w:val="24"/>
                <w:lang w:val="bg-BG" w:eastAsia="zh-CN" w:bidi="hi-IN"/>
              </w:rPr>
              <w:t>Събрани твърди и течни отпадъци, приети сантинни води и баласт (тона)</w:t>
            </w:r>
          </w:p>
        </w:tc>
        <w:tc>
          <w:tcPr>
            <w:tcW w:w="2596" w:type="dxa"/>
            <w:shd w:val="clear" w:color="auto" w:fill="FFFFFF"/>
          </w:tcPr>
          <w:p w14:paraId="2FB8BE55" w14:textId="1E057C01" w:rsidR="005D147D" w:rsidRPr="00610B1B" w:rsidRDefault="005D147D" w:rsidP="00D32D6A">
            <w:pPr>
              <w:rPr>
                <w:rFonts w:ascii="Times New Roman" w:hAnsi="Times New Roman" w:cs="Times New Roman"/>
                <w:sz w:val="20"/>
                <w:szCs w:val="20"/>
                <w:lang w:val="bg-BG"/>
              </w:rPr>
            </w:pPr>
            <w:r w:rsidRPr="00610B1B">
              <w:rPr>
                <w:rFonts w:ascii="Times New Roman" w:eastAsia="Times New Roman" w:hAnsi="Times New Roman" w:cs="Times New Roman"/>
                <w:color w:val="00000A"/>
                <w:kern w:val="3"/>
                <w:sz w:val="20"/>
                <w:szCs w:val="20"/>
                <w:lang w:val="bg-BG" w:eastAsia="zh-CN" w:bidi="hi-IN"/>
              </w:rPr>
              <w:t xml:space="preserve">НСИ </w:t>
            </w:r>
          </w:p>
        </w:tc>
      </w:tr>
      <w:tr w:rsidR="00A942A3" w:rsidRPr="00215C86" w14:paraId="062FC094" w14:textId="77777777" w:rsidTr="00C415D1">
        <w:tc>
          <w:tcPr>
            <w:tcW w:w="426" w:type="dxa"/>
            <w:vAlign w:val="center"/>
          </w:tcPr>
          <w:p w14:paraId="3C29C920" w14:textId="25D5CB14" w:rsidR="00A942A3" w:rsidRPr="00610B1B" w:rsidRDefault="009F4237" w:rsidP="00537D06">
            <w:pPr>
              <w:rPr>
                <w:rFonts w:ascii="Times New Roman" w:hAnsi="Times New Roman" w:cs="Times New Roman"/>
                <w:lang w:val="bg-BG"/>
              </w:rPr>
            </w:pPr>
            <w:r w:rsidRPr="00610B1B">
              <w:rPr>
                <w:rFonts w:ascii="Times New Roman" w:hAnsi="Times New Roman" w:cs="Times New Roman"/>
                <w:lang w:val="bg-BG"/>
              </w:rPr>
              <w:t>9</w:t>
            </w:r>
            <w:r w:rsidR="00A942A3" w:rsidRPr="00610B1B">
              <w:rPr>
                <w:rFonts w:ascii="Times New Roman" w:hAnsi="Times New Roman" w:cs="Times New Roman"/>
                <w:lang w:val="bg-BG"/>
              </w:rPr>
              <w:t>.</w:t>
            </w:r>
          </w:p>
        </w:tc>
        <w:tc>
          <w:tcPr>
            <w:tcW w:w="2701" w:type="dxa"/>
            <w:vAlign w:val="center"/>
          </w:tcPr>
          <w:p w14:paraId="2A159F87" w14:textId="2E6BF3A1" w:rsidR="00A942A3" w:rsidRPr="00610B1B" w:rsidRDefault="00A942A3" w:rsidP="00537D06">
            <w:pPr>
              <w:rPr>
                <w:rFonts w:ascii="Times New Roman" w:hAnsi="Times New Roman" w:cs="Times New Roman"/>
                <w:sz w:val="20"/>
                <w:szCs w:val="20"/>
                <w:lang w:val="bg-BG"/>
              </w:rPr>
            </w:pPr>
            <w:r w:rsidRPr="00610B1B">
              <w:rPr>
                <w:rFonts w:ascii="Times New Roman" w:hAnsi="Times New Roman" w:cs="Times New Roman"/>
                <w:sz w:val="20"/>
                <w:szCs w:val="20"/>
                <w:lang w:val="bg-BG"/>
              </w:rPr>
              <w:t>Разширено сътрудничество за опазване на Черно море</w:t>
            </w:r>
          </w:p>
        </w:tc>
        <w:tc>
          <w:tcPr>
            <w:tcW w:w="2215" w:type="dxa"/>
          </w:tcPr>
          <w:p w14:paraId="7D51DB44" w14:textId="351D8C0E" w:rsidR="00A942A3" w:rsidRPr="00610B1B" w:rsidRDefault="00A942A3"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4, всички специфични цели</w:t>
            </w:r>
          </w:p>
        </w:tc>
        <w:tc>
          <w:tcPr>
            <w:tcW w:w="2127" w:type="dxa"/>
          </w:tcPr>
          <w:p w14:paraId="34FD57F9" w14:textId="77777777" w:rsidR="00A942A3" w:rsidRPr="00610B1B" w:rsidRDefault="00A942A3"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проекти/</w:t>
            </w:r>
          </w:p>
          <w:p w14:paraId="17C53648" w14:textId="5F45BD26" w:rsidR="00A942A3" w:rsidRPr="00610B1B" w:rsidRDefault="005D147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инициативи</w:t>
            </w:r>
          </w:p>
          <w:p w14:paraId="4855CA52" w14:textId="1127ED60" w:rsidR="005D147D" w:rsidRPr="00610B1B" w:rsidRDefault="005D147D"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Участващи държави/институции</w:t>
            </w:r>
          </w:p>
        </w:tc>
        <w:tc>
          <w:tcPr>
            <w:tcW w:w="2596" w:type="dxa"/>
          </w:tcPr>
          <w:p w14:paraId="1E3F8721" w14:textId="105EA874" w:rsidR="00A942A3" w:rsidRPr="00610B1B" w:rsidRDefault="00A942A3"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 xml:space="preserve">Мониторингови доклади по ТГС България </w:t>
            </w:r>
            <w:r w:rsidR="005D147D" w:rsidRPr="00610B1B">
              <w:rPr>
                <w:rFonts w:ascii="Times New Roman" w:hAnsi="Times New Roman" w:cs="Times New Roman"/>
                <w:sz w:val="20"/>
                <w:szCs w:val="20"/>
                <w:lang w:val="bg-BG"/>
              </w:rPr>
              <w:t>–</w:t>
            </w:r>
            <w:r w:rsidRPr="00610B1B">
              <w:rPr>
                <w:rFonts w:ascii="Times New Roman" w:hAnsi="Times New Roman" w:cs="Times New Roman"/>
                <w:sz w:val="20"/>
                <w:szCs w:val="20"/>
                <w:lang w:val="bg-BG"/>
              </w:rPr>
              <w:t xml:space="preserve"> Румъния</w:t>
            </w:r>
            <w:r w:rsidR="005D147D" w:rsidRPr="00610B1B">
              <w:rPr>
                <w:rFonts w:ascii="Times New Roman" w:hAnsi="Times New Roman" w:cs="Times New Roman"/>
                <w:sz w:val="20"/>
                <w:szCs w:val="20"/>
                <w:lang w:val="bg-BG"/>
              </w:rPr>
              <w:t xml:space="preserve"> и по Програма Черно море 2021 - 2027</w:t>
            </w:r>
          </w:p>
        </w:tc>
      </w:tr>
      <w:tr w:rsidR="00192B75" w:rsidRPr="00610B1B" w14:paraId="7C6B44EA" w14:textId="77777777" w:rsidTr="00C415D1">
        <w:tc>
          <w:tcPr>
            <w:tcW w:w="426" w:type="dxa"/>
            <w:vAlign w:val="center"/>
          </w:tcPr>
          <w:p w14:paraId="3677E61B" w14:textId="6D9F054B" w:rsidR="00192B75" w:rsidRPr="00610B1B" w:rsidRDefault="00192B75" w:rsidP="00537D06">
            <w:pPr>
              <w:rPr>
                <w:rFonts w:ascii="Times New Roman" w:hAnsi="Times New Roman" w:cs="Times New Roman"/>
              </w:rPr>
            </w:pPr>
            <w:r w:rsidRPr="00610B1B">
              <w:rPr>
                <w:rFonts w:ascii="Times New Roman" w:hAnsi="Times New Roman" w:cs="Times New Roman"/>
              </w:rPr>
              <w:t>10</w:t>
            </w:r>
          </w:p>
        </w:tc>
        <w:tc>
          <w:tcPr>
            <w:tcW w:w="2701" w:type="dxa"/>
            <w:vAlign w:val="center"/>
          </w:tcPr>
          <w:p w14:paraId="31729BAC" w14:textId="0AA63D7C" w:rsidR="00192B75" w:rsidRPr="00610B1B" w:rsidRDefault="00192B75" w:rsidP="00192B75">
            <w:pPr>
              <w:rPr>
                <w:rFonts w:ascii="Times New Roman" w:hAnsi="Times New Roman" w:cs="Times New Roman"/>
                <w:sz w:val="20"/>
                <w:szCs w:val="20"/>
                <w:lang w:val="bg-BG"/>
              </w:rPr>
            </w:pPr>
            <w:r w:rsidRPr="00610B1B">
              <w:rPr>
                <w:rFonts w:ascii="Times New Roman" w:hAnsi="Times New Roman" w:cs="Times New Roman"/>
                <w:sz w:val="20"/>
                <w:szCs w:val="20"/>
                <w:lang w:val="bg-BG"/>
              </w:rPr>
              <w:t>Къмхоризонт 2035 г. да е осигурено въвеждането в</w:t>
            </w:r>
          </w:p>
          <w:p w14:paraId="30C359CC" w14:textId="14CAE68F" w:rsidR="00192B75" w:rsidRPr="00610B1B" w:rsidRDefault="00192B75" w:rsidP="00192B75">
            <w:pPr>
              <w:rPr>
                <w:rFonts w:ascii="Times New Roman" w:hAnsi="Times New Roman" w:cs="Times New Roman"/>
                <w:sz w:val="20"/>
                <w:szCs w:val="20"/>
                <w:lang w:val="bg-BG"/>
              </w:rPr>
            </w:pPr>
            <w:r w:rsidRPr="00610B1B">
              <w:rPr>
                <w:rFonts w:ascii="Times New Roman" w:hAnsi="Times New Roman" w:cs="Times New Roman"/>
                <w:sz w:val="20"/>
                <w:szCs w:val="20"/>
                <w:lang w:val="bg-BG"/>
              </w:rPr>
              <w:t>експлоатация на ПСОВ по черноморския бряг и из-граждане на канализационни системи за агломерации над 2000 екв. ж.така, че в морето да постъпват преобладаващо пречистени води.</w:t>
            </w:r>
          </w:p>
        </w:tc>
        <w:tc>
          <w:tcPr>
            <w:tcW w:w="2215" w:type="dxa"/>
          </w:tcPr>
          <w:p w14:paraId="1E9071CF" w14:textId="77777777" w:rsidR="00192B75" w:rsidRPr="00610B1B" w:rsidRDefault="00192B75" w:rsidP="00192B75">
            <w:pPr>
              <w:rPr>
                <w:rFonts w:ascii="Times New Roman" w:hAnsi="Times New Roman" w:cs="Times New Roman"/>
                <w:sz w:val="20"/>
                <w:szCs w:val="20"/>
              </w:rPr>
            </w:pPr>
            <w:r w:rsidRPr="00610B1B">
              <w:rPr>
                <w:rFonts w:ascii="Times New Roman" w:hAnsi="Times New Roman" w:cs="Times New Roman"/>
                <w:sz w:val="20"/>
                <w:szCs w:val="20"/>
                <w:lang w:val="bg-BG"/>
              </w:rPr>
              <w:t>Стратегическа цел 4</w:t>
            </w:r>
          </w:p>
          <w:p w14:paraId="5158C598" w14:textId="77777777" w:rsidR="00192B75" w:rsidRPr="00610B1B" w:rsidRDefault="00192B75" w:rsidP="00D32D6A">
            <w:pPr>
              <w:rPr>
                <w:rFonts w:ascii="Times New Roman" w:hAnsi="Times New Roman" w:cs="Times New Roman"/>
                <w:sz w:val="20"/>
                <w:szCs w:val="20"/>
                <w:lang w:val="bg-BG"/>
              </w:rPr>
            </w:pPr>
          </w:p>
        </w:tc>
        <w:tc>
          <w:tcPr>
            <w:tcW w:w="2127" w:type="dxa"/>
          </w:tcPr>
          <w:p w14:paraId="55A133EE" w14:textId="037E078F" w:rsidR="00192B75" w:rsidRPr="00610B1B" w:rsidRDefault="00192B7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изградени ПСОВ, брой изградени канализационни мрежи</w:t>
            </w:r>
          </w:p>
        </w:tc>
        <w:tc>
          <w:tcPr>
            <w:tcW w:w="2596" w:type="dxa"/>
          </w:tcPr>
          <w:p w14:paraId="3034BB15" w14:textId="77777777" w:rsidR="00192B75" w:rsidRPr="00610B1B" w:rsidRDefault="00192B75" w:rsidP="00192B75">
            <w:pPr>
              <w:rPr>
                <w:rFonts w:ascii="Times New Roman" w:hAnsi="Times New Roman" w:cs="Times New Roman"/>
                <w:sz w:val="20"/>
                <w:szCs w:val="20"/>
                <w:lang w:val="bg-BG"/>
              </w:rPr>
            </w:pPr>
            <w:r w:rsidRPr="00610B1B">
              <w:rPr>
                <w:rFonts w:ascii="Times New Roman" w:hAnsi="Times New Roman" w:cs="Times New Roman"/>
                <w:sz w:val="20"/>
                <w:szCs w:val="20"/>
                <w:lang w:val="bg-BG"/>
              </w:rPr>
              <w:t>МРРБ, МОСВ</w:t>
            </w:r>
          </w:p>
          <w:p w14:paraId="245217E4" w14:textId="0B364151" w:rsidR="00192B75" w:rsidRPr="00610B1B" w:rsidRDefault="00192B75" w:rsidP="00D32D6A">
            <w:pPr>
              <w:rPr>
                <w:rFonts w:ascii="Times New Roman" w:hAnsi="Times New Roman" w:cs="Times New Roman"/>
                <w:sz w:val="20"/>
                <w:szCs w:val="20"/>
              </w:rPr>
            </w:pPr>
          </w:p>
        </w:tc>
      </w:tr>
      <w:tr w:rsidR="00192B75" w:rsidRPr="00610B1B" w14:paraId="741D1DF4" w14:textId="77777777" w:rsidTr="00C415D1">
        <w:tc>
          <w:tcPr>
            <w:tcW w:w="426" w:type="dxa"/>
            <w:vAlign w:val="center"/>
          </w:tcPr>
          <w:p w14:paraId="065F3298" w14:textId="6700B756" w:rsidR="00192B75" w:rsidRPr="00610B1B" w:rsidRDefault="00192B75" w:rsidP="00537D06">
            <w:pPr>
              <w:rPr>
                <w:rFonts w:ascii="Times New Roman" w:hAnsi="Times New Roman" w:cs="Times New Roman"/>
              </w:rPr>
            </w:pPr>
            <w:r w:rsidRPr="00610B1B">
              <w:rPr>
                <w:rFonts w:ascii="Times New Roman" w:hAnsi="Times New Roman" w:cs="Times New Roman"/>
              </w:rPr>
              <w:lastRenderedPageBreak/>
              <w:t>11</w:t>
            </w:r>
          </w:p>
        </w:tc>
        <w:tc>
          <w:tcPr>
            <w:tcW w:w="2701" w:type="dxa"/>
            <w:vAlign w:val="center"/>
          </w:tcPr>
          <w:p w14:paraId="7732BCDE" w14:textId="77777777" w:rsidR="00192B75" w:rsidRPr="00610B1B" w:rsidRDefault="00192B75" w:rsidP="00192B75">
            <w:pPr>
              <w:ind w:left="37"/>
              <w:rPr>
                <w:rFonts w:ascii="Times New Roman" w:hAnsi="Times New Roman" w:cs="Times New Roman"/>
                <w:sz w:val="20"/>
                <w:szCs w:val="20"/>
                <w:lang w:val="bg-BG"/>
              </w:rPr>
            </w:pPr>
            <w:r w:rsidRPr="00610B1B">
              <w:rPr>
                <w:rFonts w:ascii="Times New Roman" w:hAnsi="Times New Roman" w:cs="Times New Roman"/>
                <w:sz w:val="20"/>
                <w:szCs w:val="20"/>
                <w:lang w:val="bg-BG"/>
              </w:rPr>
              <w:t>При развитието на крайбрежния и морския туризъм под</w:t>
            </w:r>
          </w:p>
          <w:p w14:paraId="70847786" w14:textId="6D9BBACA" w:rsidR="00192B75" w:rsidRPr="00610B1B" w:rsidRDefault="00192B75" w:rsidP="00192B75">
            <w:pPr>
              <w:ind w:left="37"/>
              <w:rPr>
                <w:rFonts w:ascii="Times New Roman" w:hAnsi="Times New Roman" w:cs="Times New Roman"/>
                <w:sz w:val="20"/>
                <w:szCs w:val="20"/>
                <w:lang w:val="bg-BG"/>
              </w:rPr>
            </w:pPr>
            <w:r w:rsidRPr="00610B1B">
              <w:rPr>
                <w:rFonts w:ascii="Times New Roman" w:hAnsi="Times New Roman" w:cs="Times New Roman"/>
                <w:sz w:val="20"/>
                <w:szCs w:val="20"/>
                <w:lang w:val="bg-BG"/>
              </w:rPr>
              <w:t>особена защита да са зоните за къпане като се въведат</w:t>
            </w:r>
            <w:r w:rsidR="00560C72" w:rsidRPr="00610B1B">
              <w:rPr>
                <w:rFonts w:ascii="Times New Roman" w:hAnsi="Times New Roman" w:cs="Times New Roman"/>
                <w:sz w:val="20"/>
                <w:szCs w:val="20"/>
                <w:lang w:val="bg-BG"/>
              </w:rPr>
              <w:t xml:space="preserve"> ограничения за  дейности източник на замърсители и при въвеждане на контрол от РЗИ</w:t>
            </w:r>
            <w:r w:rsidR="003307B7" w:rsidRPr="00610B1B">
              <w:rPr>
                <w:rFonts w:ascii="Times New Roman" w:hAnsi="Times New Roman" w:cs="Times New Roman"/>
                <w:sz w:val="20"/>
                <w:szCs w:val="20"/>
                <w:lang w:val="bg-BG"/>
              </w:rPr>
              <w:t xml:space="preserve"> за качеството на водите</w:t>
            </w:r>
          </w:p>
          <w:p w14:paraId="0D24B82E" w14:textId="77777777" w:rsidR="00192B75" w:rsidRPr="00610B1B" w:rsidRDefault="00192B75" w:rsidP="00537D06">
            <w:pPr>
              <w:rPr>
                <w:rFonts w:ascii="Times New Roman" w:hAnsi="Times New Roman" w:cs="Times New Roman"/>
                <w:sz w:val="20"/>
                <w:szCs w:val="20"/>
                <w:lang w:val="bg-BG"/>
              </w:rPr>
            </w:pPr>
          </w:p>
        </w:tc>
        <w:tc>
          <w:tcPr>
            <w:tcW w:w="2215" w:type="dxa"/>
          </w:tcPr>
          <w:p w14:paraId="54BA70B6" w14:textId="2A710529" w:rsidR="00192B75" w:rsidRPr="00610B1B" w:rsidRDefault="00192B7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4</w:t>
            </w:r>
          </w:p>
        </w:tc>
        <w:tc>
          <w:tcPr>
            <w:tcW w:w="2127" w:type="dxa"/>
          </w:tcPr>
          <w:p w14:paraId="03856213" w14:textId="1542F066" w:rsidR="00192B75" w:rsidRPr="00DA2C5E" w:rsidRDefault="00192B75" w:rsidP="00192B75">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въведени ограничения, брой контралирани обекти</w:t>
            </w:r>
          </w:p>
          <w:p w14:paraId="0F82D235" w14:textId="77777777" w:rsidR="00192B75" w:rsidRPr="00610B1B" w:rsidRDefault="00192B75" w:rsidP="00D32D6A">
            <w:pPr>
              <w:rPr>
                <w:rFonts w:ascii="Times New Roman" w:hAnsi="Times New Roman" w:cs="Times New Roman"/>
                <w:sz w:val="20"/>
                <w:szCs w:val="20"/>
                <w:lang w:val="bg-BG"/>
              </w:rPr>
            </w:pPr>
          </w:p>
        </w:tc>
        <w:tc>
          <w:tcPr>
            <w:tcW w:w="2596" w:type="dxa"/>
          </w:tcPr>
          <w:p w14:paraId="6E36CC91" w14:textId="77777777" w:rsidR="00192B75" w:rsidRPr="00610B1B" w:rsidRDefault="00192B75" w:rsidP="00192B75">
            <w:pPr>
              <w:rPr>
                <w:rFonts w:ascii="Times New Roman" w:hAnsi="Times New Roman" w:cs="Times New Roman"/>
                <w:sz w:val="20"/>
                <w:szCs w:val="20"/>
              </w:rPr>
            </w:pPr>
            <w:r w:rsidRPr="00610B1B">
              <w:rPr>
                <w:rFonts w:ascii="Times New Roman" w:hAnsi="Times New Roman" w:cs="Times New Roman"/>
                <w:sz w:val="20"/>
                <w:szCs w:val="20"/>
                <w:lang w:val="bg-BG"/>
              </w:rPr>
              <w:t xml:space="preserve">   РЗИ</w:t>
            </w:r>
          </w:p>
          <w:p w14:paraId="28C6F7CC" w14:textId="77777777" w:rsidR="00192B75" w:rsidRPr="00610B1B" w:rsidRDefault="00192B75" w:rsidP="00D32D6A">
            <w:pPr>
              <w:rPr>
                <w:rFonts w:ascii="Times New Roman" w:hAnsi="Times New Roman" w:cs="Times New Roman"/>
                <w:sz w:val="20"/>
                <w:szCs w:val="20"/>
                <w:lang w:val="bg-BG"/>
              </w:rPr>
            </w:pPr>
          </w:p>
        </w:tc>
      </w:tr>
      <w:tr w:rsidR="00192B75" w:rsidRPr="00691047" w14:paraId="6E17E22D" w14:textId="77777777" w:rsidTr="00C415D1">
        <w:tc>
          <w:tcPr>
            <w:tcW w:w="426" w:type="dxa"/>
            <w:vAlign w:val="center"/>
          </w:tcPr>
          <w:p w14:paraId="1C131979" w14:textId="6FE37124" w:rsidR="00192B75" w:rsidRPr="00610B1B" w:rsidRDefault="00192B75" w:rsidP="00537D06">
            <w:pPr>
              <w:rPr>
                <w:rFonts w:ascii="Times New Roman" w:hAnsi="Times New Roman" w:cs="Times New Roman"/>
              </w:rPr>
            </w:pPr>
            <w:r w:rsidRPr="00610B1B">
              <w:rPr>
                <w:rFonts w:ascii="Times New Roman" w:hAnsi="Times New Roman" w:cs="Times New Roman"/>
              </w:rPr>
              <w:t>12</w:t>
            </w:r>
          </w:p>
        </w:tc>
        <w:tc>
          <w:tcPr>
            <w:tcW w:w="2701" w:type="dxa"/>
            <w:vAlign w:val="center"/>
          </w:tcPr>
          <w:p w14:paraId="30370202" w14:textId="77777777" w:rsidR="00192B75" w:rsidRPr="00610B1B" w:rsidRDefault="00192B75" w:rsidP="00192B75">
            <w:pPr>
              <w:ind w:left="37"/>
              <w:rPr>
                <w:rFonts w:ascii="Times New Roman" w:hAnsi="Times New Roman" w:cs="Times New Roman"/>
                <w:sz w:val="20"/>
                <w:szCs w:val="20"/>
                <w:lang w:val="bg-BG"/>
              </w:rPr>
            </w:pPr>
            <w:r w:rsidRPr="00610B1B">
              <w:rPr>
                <w:rFonts w:ascii="Times New Roman" w:hAnsi="Times New Roman" w:cs="Times New Roman"/>
                <w:sz w:val="20"/>
                <w:szCs w:val="20"/>
                <w:lang w:val="bg-BG"/>
              </w:rPr>
              <w:t>Модернизиране на оборудването в морския транспорт -</w:t>
            </w:r>
          </w:p>
          <w:p w14:paraId="4954E2BD" w14:textId="77777777" w:rsidR="00192B75" w:rsidRPr="00610B1B" w:rsidRDefault="00192B75" w:rsidP="00192B75">
            <w:pPr>
              <w:ind w:left="37"/>
              <w:rPr>
                <w:rFonts w:ascii="Times New Roman" w:hAnsi="Times New Roman" w:cs="Times New Roman"/>
                <w:sz w:val="20"/>
                <w:szCs w:val="20"/>
                <w:lang w:val="bg-BG"/>
              </w:rPr>
            </w:pPr>
            <w:r w:rsidRPr="00610B1B">
              <w:rPr>
                <w:rFonts w:ascii="Times New Roman" w:hAnsi="Times New Roman" w:cs="Times New Roman"/>
                <w:sz w:val="20"/>
                <w:szCs w:val="20"/>
                <w:lang w:val="bg-BG"/>
              </w:rPr>
              <w:t>пътнически и товарен; оборудване и методи на риболов -</w:t>
            </w:r>
          </w:p>
          <w:p w14:paraId="588B4899" w14:textId="77777777" w:rsidR="00192B75" w:rsidRPr="00610B1B" w:rsidRDefault="00192B75" w:rsidP="00192B75">
            <w:pPr>
              <w:ind w:left="37"/>
              <w:rPr>
                <w:rFonts w:ascii="Times New Roman" w:hAnsi="Times New Roman" w:cs="Times New Roman"/>
                <w:sz w:val="20"/>
                <w:szCs w:val="20"/>
                <w:lang w:val="bg-BG"/>
              </w:rPr>
            </w:pPr>
            <w:r w:rsidRPr="00610B1B">
              <w:rPr>
                <w:rFonts w:ascii="Times New Roman" w:hAnsi="Times New Roman" w:cs="Times New Roman"/>
                <w:sz w:val="20"/>
                <w:szCs w:val="20"/>
                <w:lang w:val="bg-BG"/>
              </w:rPr>
              <w:t>промишлен и морски риболов; туристически услуги -</w:t>
            </w:r>
          </w:p>
          <w:p w14:paraId="23C4E5F0" w14:textId="576EFC50" w:rsidR="00192B75" w:rsidRPr="00610B1B" w:rsidRDefault="00192B75" w:rsidP="00192B75">
            <w:pPr>
              <w:rPr>
                <w:rFonts w:ascii="Times New Roman" w:hAnsi="Times New Roman" w:cs="Times New Roman"/>
                <w:sz w:val="20"/>
                <w:szCs w:val="20"/>
                <w:lang w:val="bg-BG"/>
              </w:rPr>
            </w:pPr>
            <w:r w:rsidRPr="00610B1B">
              <w:rPr>
                <w:rFonts w:ascii="Times New Roman" w:hAnsi="Times New Roman" w:cs="Times New Roman"/>
                <w:sz w:val="20"/>
                <w:szCs w:val="20"/>
                <w:lang w:val="bg-BG"/>
              </w:rPr>
              <w:t>крайбрежен и морски туризъм</w:t>
            </w:r>
          </w:p>
        </w:tc>
        <w:tc>
          <w:tcPr>
            <w:tcW w:w="2215" w:type="dxa"/>
          </w:tcPr>
          <w:p w14:paraId="53B5FDC1" w14:textId="7B290640" w:rsidR="00192B75" w:rsidRPr="00610B1B" w:rsidRDefault="00192B7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Стратегическа цел 4</w:t>
            </w:r>
          </w:p>
        </w:tc>
        <w:tc>
          <w:tcPr>
            <w:tcW w:w="2127" w:type="dxa"/>
          </w:tcPr>
          <w:p w14:paraId="07D4BF97" w14:textId="445C47FD" w:rsidR="00192B75" w:rsidRPr="00610B1B" w:rsidRDefault="00192B7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Брой оборудвани   морски съдове, брой съдове извършващи екологощадящ риболов</w:t>
            </w:r>
          </w:p>
        </w:tc>
        <w:tc>
          <w:tcPr>
            <w:tcW w:w="2596" w:type="dxa"/>
          </w:tcPr>
          <w:p w14:paraId="07C6BB9B" w14:textId="325C1EB9" w:rsidR="00192B75" w:rsidRPr="00610B1B" w:rsidRDefault="00192B75" w:rsidP="00D32D6A">
            <w:pPr>
              <w:rPr>
                <w:rFonts w:ascii="Times New Roman" w:hAnsi="Times New Roman" w:cs="Times New Roman"/>
                <w:sz w:val="20"/>
                <w:szCs w:val="20"/>
                <w:lang w:val="bg-BG"/>
              </w:rPr>
            </w:pPr>
            <w:r w:rsidRPr="00610B1B">
              <w:rPr>
                <w:rFonts w:ascii="Times New Roman" w:hAnsi="Times New Roman" w:cs="Times New Roman"/>
                <w:sz w:val="20"/>
                <w:szCs w:val="20"/>
                <w:lang w:val="bg-BG"/>
              </w:rPr>
              <w:t>МИ, ИАРА, МТ</w:t>
            </w:r>
          </w:p>
        </w:tc>
      </w:tr>
      <w:tr w:rsidR="000D6378" w:rsidRPr="00215C86" w14:paraId="74C3D4BD" w14:textId="77777777" w:rsidTr="00C415D1">
        <w:tc>
          <w:tcPr>
            <w:tcW w:w="426" w:type="dxa"/>
            <w:vAlign w:val="center"/>
          </w:tcPr>
          <w:p w14:paraId="0D0B2939" w14:textId="3C340C53" w:rsidR="000D6378" w:rsidRPr="00610B1B" w:rsidRDefault="000D6378" w:rsidP="000D6378">
            <w:pPr>
              <w:rPr>
                <w:rFonts w:ascii="Times New Roman" w:hAnsi="Times New Roman" w:cs="Times New Roman"/>
                <w:lang w:val="bg-BG"/>
              </w:rPr>
            </w:pPr>
            <w:r w:rsidRPr="00610B1B">
              <w:rPr>
                <w:rFonts w:ascii="Times New Roman" w:hAnsi="Times New Roman" w:cs="Times New Roman"/>
                <w:lang w:val="bg-BG"/>
              </w:rPr>
              <w:t>13</w:t>
            </w:r>
          </w:p>
        </w:tc>
        <w:tc>
          <w:tcPr>
            <w:tcW w:w="2701" w:type="dxa"/>
            <w:vAlign w:val="center"/>
          </w:tcPr>
          <w:p w14:paraId="00392E0D" w14:textId="16F2733C" w:rsidR="000D6378" w:rsidRPr="00610B1B" w:rsidRDefault="000D6378" w:rsidP="000D6378">
            <w:pPr>
              <w:rPr>
                <w:rFonts w:ascii="Times New Roman" w:hAnsi="Times New Roman" w:cs="Times New Roman"/>
                <w:sz w:val="20"/>
                <w:szCs w:val="20"/>
                <w:lang w:val="bg-BG"/>
              </w:rPr>
            </w:pPr>
            <w:r w:rsidRPr="00610B1B">
              <w:rPr>
                <w:rFonts w:ascii="Times New Roman" w:hAnsi="Times New Roman" w:cs="Times New Roman"/>
                <w:sz w:val="20"/>
                <w:szCs w:val="20"/>
                <w:lang w:val="bg-BG" w:bidi="bg-BG"/>
              </w:rPr>
              <w:t>Необходима е последователна и целенасочена политика насочена към здравно-социалният статус на човешките ресурси</w:t>
            </w:r>
            <w:r w:rsidR="00CF7458" w:rsidRPr="00610B1B">
              <w:rPr>
                <w:rFonts w:ascii="Times New Roman" w:hAnsi="Times New Roman" w:cs="Times New Roman"/>
                <w:sz w:val="20"/>
                <w:szCs w:val="20"/>
                <w:lang w:val="bg-BG" w:bidi="bg-BG"/>
              </w:rPr>
              <w:t xml:space="preserve">, които </w:t>
            </w:r>
            <w:r w:rsidRPr="00610B1B">
              <w:rPr>
                <w:rFonts w:ascii="Times New Roman" w:hAnsi="Times New Roman" w:cs="Times New Roman"/>
                <w:sz w:val="20"/>
                <w:szCs w:val="20"/>
                <w:lang w:val="bg-BG" w:bidi="bg-BG"/>
              </w:rPr>
              <w:t>са основна предпоставка за ефективната реализация на МППРБ и обезпечаване развитието на синя икономика</w:t>
            </w:r>
          </w:p>
        </w:tc>
        <w:tc>
          <w:tcPr>
            <w:tcW w:w="2215" w:type="dxa"/>
          </w:tcPr>
          <w:p w14:paraId="2CA860FF" w14:textId="076C24BD" w:rsidR="000D6378" w:rsidRPr="00610B1B" w:rsidRDefault="000D6378" w:rsidP="000D6378">
            <w:pPr>
              <w:rPr>
                <w:rFonts w:ascii="Times New Roman" w:hAnsi="Times New Roman" w:cs="Times New Roman"/>
                <w:sz w:val="20"/>
                <w:szCs w:val="20"/>
                <w:lang w:val="bg-BG"/>
              </w:rPr>
            </w:pPr>
            <w:r w:rsidRPr="00DA2C5E">
              <w:rPr>
                <w:rFonts w:ascii="Times New Roman" w:hAnsi="Times New Roman" w:cs="Times New Roman"/>
                <w:sz w:val="20"/>
                <w:szCs w:val="20"/>
                <w:lang w:val="bg-BG"/>
              </w:rPr>
              <w:t>Стратегимеска цел 2, всички специфични цели</w:t>
            </w:r>
          </w:p>
        </w:tc>
        <w:tc>
          <w:tcPr>
            <w:tcW w:w="2127" w:type="dxa"/>
          </w:tcPr>
          <w:p w14:paraId="529DD9EC" w14:textId="5ACA1D0F" w:rsidR="000D6378" w:rsidRPr="00610B1B" w:rsidRDefault="000D6378" w:rsidP="000D6378">
            <w:pPr>
              <w:rPr>
                <w:rFonts w:ascii="Times New Roman" w:hAnsi="Times New Roman" w:cs="Times New Roman"/>
                <w:sz w:val="20"/>
                <w:szCs w:val="20"/>
                <w:lang w:val="bg-BG"/>
              </w:rPr>
            </w:pPr>
            <w:r w:rsidRPr="00610B1B">
              <w:rPr>
                <w:rFonts w:ascii="Times New Roman" w:hAnsi="Times New Roman" w:cs="Times New Roman"/>
                <w:sz w:val="20"/>
                <w:szCs w:val="20"/>
              </w:rPr>
              <w:t>Брой проекти</w:t>
            </w:r>
          </w:p>
        </w:tc>
        <w:tc>
          <w:tcPr>
            <w:tcW w:w="2596" w:type="dxa"/>
          </w:tcPr>
          <w:p w14:paraId="0CBE1F4F" w14:textId="16C99D59" w:rsidR="000D6378" w:rsidRPr="00610B1B" w:rsidRDefault="000D6378" w:rsidP="000D6378">
            <w:pPr>
              <w:rPr>
                <w:rFonts w:ascii="Times New Roman" w:hAnsi="Times New Roman" w:cs="Times New Roman"/>
                <w:sz w:val="20"/>
                <w:szCs w:val="20"/>
                <w:lang w:val="bg-BG"/>
              </w:rPr>
            </w:pPr>
            <w:r w:rsidRPr="00DA2C5E">
              <w:rPr>
                <w:rFonts w:ascii="Times New Roman" w:hAnsi="Times New Roman" w:cs="Times New Roman"/>
                <w:sz w:val="20"/>
                <w:szCs w:val="20"/>
                <w:lang w:val="bg-BG"/>
              </w:rPr>
              <w:t>Министерство на здравеопазването и Министерство на икономиката, РЗИ</w:t>
            </w:r>
          </w:p>
        </w:tc>
      </w:tr>
      <w:tr w:rsidR="000D6378" w:rsidRPr="00215C86" w14:paraId="12EA57FA" w14:textId="77777777" w:rsidTr="00C415D1">
        <w:tc>
          <w:tcPr>
            <w:tcW w:w="426" w:type="dxa"/>
            <w:vAlign w:val="center"/>
          </w:tcPr>
          <w:p w14:paraId="66E62210" w14:textId="47DB68D8" w:rsidR="000D6378" w:rsidRPr="00610B1B" w:rsidRDefault="000D6378" w:rsidP="000D6378">
            <w:pPr>
              <w:rPr>
                <w:rFonts w:ascii="Times New Roman" w:hAnsi="Times New Roman" w:cs="Times New Roman"/>
                <w:lang w:val="bg-BG"/>
              </w:rPr>
            </w:pPr>
            <w:r w:rsidRPr="00610B1B">
              <w:rPr>
                <w:rFonts w:ascii="Times New Roman" w:hAnsi="Times New Roman" w:cs="Times New Roman"/>
                <w:lang w:val="bg-BG"/>
              </w:rPr>
              <w:t>14</w:t>
            </w:r>
          </w:p>
        </w:tc>
        <w:tc>
          <w:tcPr>
            <w:tcW w:w="2701" w:type="dxa"/>
            <w:vAlign w:val="center"/>
          </w:tcPr>
          <w:p w14:paraId="25B5B36E" w14:textId="105224FF" w:rsidR="000D6378" w:rsidRPr="00610B1B" w:rsidRDefault="000D6378" w:rsidP="000D6378">
            <w:pP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Подобряване на знанията за Черноморската екосистема</w:t>
            </w:r>
          </w:p>
        </w:tc>
        <w:tc>
          <w:tcPr>
            <w:tcW w:w="2215" w:type="dxa"/>
          </w:tcPr>
          <w:p w14:paraId="46B140DA" w14:textId="4FA60B17" w:rsidR="000D6378" w:rsidRPr="00610B1B" w:rsidRDefault="000D6378" w:rsidP="000D6378">
            <w:pPr>
              <w:rPr>
                <w:rFonts w:ascii="Times New Roman" w:hAnsi="Times New Roman" w:cs="Times New Roman"/>
                <w:sz w:val="20"/>
                <w:szCs w:val="20"/>
                <w:lang w:val="bg-BG"/>
              </w:rPr>
            </w:pPr>
            <w:r w:rsidRPr="00610B1B">
              <w:rPr>
                <w:rFonts w:ascii="Times New Roman" w:hAnsi="Times New Roman" w:cs="Times New Roman"/>
                <w:sz w:val="20"/>
                <w:szCs w:val="20"/>
              </w:rPr>
              <w:t>Стратегическа цел 3,</w:t>
            </w:r>
            <w:r w:rsidRPr="00610B1B">
              <w:rPr>
                <w:rFonts w:ascii="Times New Roman" w:eastAsia="Calibri" w:hAnsi="Times New Roman" w:cs="Times New Roman"/>
                <w:b/>
                <w:i/>
                <w:sz w:val="24"/>
                <w:szCs w:val="24"/>
              </w:rPr>
              <w:t xml:space="preserve"> </w:t>
            </w:r>
            <w:r w:rsidRPr="00610B1B">
              <w:rPr>
                <w:rFonts w:ascii="Times New Roman" w:hAnsi="Times New Roman" w:cs="Times New Roman"/>
                <w:bCs/>
                <w:iCs/>
                <w:sz w:val="20"/>
                <w:szCs w:val="20"/>
              </w:rPr>
              <w:t>Специфична цел 3.3</w:t>
            </w:r>
          </w:p>
        </w:tc>
        <w:tc>
          <w:tcPr>
            <w:tcW w:w="2127" w:type="dxa"/>
          </w:tcPr>
          <w:p w14:paraId="30044E31" w14:textId="77777777" w:rsidR="000D6378" w:rsidRPr="00610B1B" w:rsidRDefault="000D6378" w:rsidP="000D6378">
            <w:pPr>
              <w:rPr>
                <w:rFonts w:ascii="Times New Roman" w:hAnsi="Times New Roman" w:cs="Times New Roman"/>
                <w:sz w:val="20"/>
                <w:szCs w:val="20"/>
              </w:rPr>
            </w:pPr>
            <w:r w:rsidRPr="00610B1B">
              <w:rPr>
                <w:rFonts w:ascii="Times New Roman" w:hAnsi="Times New Roman" w:cs="Times New Roman"/>
                <w:sz w:val="20"/>
                <w:szCs w:val="20"/>
              </w:rPr>
              <w:t>Брой проекти/</w:t>
            </w:r>
          </w:p>
          <w:p w14:paraId="303889AA" w14:textId="77777777" w:rsidR="000D6378" w:rsidRPr="00610B1B" w:rsidRDefault="000D6378" w:rsidP="000D6378">
            <w:pPr>
              <w:rPr>
                <w:rFonts w:ascii="Times New Roman" w:hAnsi="Times New Roman" w:cs="Times New Roman"/>
                <w:sz w:val="20"/>
                <w:szCs w:val="20"/>
              </w:rPr>
            </w:pPr>
            <w:r w:rsidRPr="00610B1B">
              <w:rPr>
                <w:rFonts w:ascii="Times New Roman" w:hAnsi="Times New Roman" w:cs="Times New Roman"/>
                <w:sz w:val="20"/>
                <w:szCs w:val="20"/>
              </w:rPr>
              <w:t>инициативи</w:t>
            </w:r>
          </w:p>
          <w:p w14:paraId="1911C663" w14:textId="77777777" w:rsidR="000D6378" w:rsidRPr="00610B1B" w:rsidRDefault="000D6378" w:rsidP="000D6378">
            <w:pPr>
              <w:rPr>
                <w:rFonts w:ascii="Times New Roman" w:hAnsi="Times New Roman" w:cs="Times New Roman"/>
                <w:sz w:val="20"/>
                <w:szCs w:val="20"/>
                <w:lang w:val="bg-BG"/>
              </w:rPr>
            </w:pPr>
          </w:p>
        </w:tc>
        <w:tc>
          <w:tcPr>
            <w:tcW w:w="2596" w:type="dxa"/>
          </w:tcPr>
          <w:p w14:paraId="59F4799D" w14:textId="04060CC3" w:rsidR="000D6378" w:rsidRPr="00610B1B" w:rsidRDefault="000D6378" w:rsidP="000D6378">
            <w:pPr>
              <w:rPr>
                <w:rFonts w:ascii="Times New Roman" w:hAnsi="Times New Roman" w:cs="Times New Roman"/>
                <w:sz w:val="20"/>
                <w:szCs w:val="20"/>
                <w:lang w:val="bg-BG"/>
              </w:rPr>
            </w:pPr>
            <w:r w:rsidRPr="00DA2C5E">
              <w:rPr>
                <w:rFonts w:ascii="Times New Roman" w:hAnsi="Times New Roman" w:cs="Times New Roman"/>
                <w:sz w:val="20"/>
                <w:szCs w:val="20"/>
                <w:lang w:val="bg-BG"/>
              </w:rPr>
              <w:t>Министерство на образованието, МОСВ, БАН</w:t>
            </w:r>
          </w:p>
        </w:tc>
      </w:tr>
      <w:tr w:rsidR="000D6378" w:rsidRPr="00610B1B" w14:paraId="3F4F3D25" w14:textId="77777777" w:rsidTr="00C415D1">
        <w:tc>
          <w:tcPr>
            <w:tcW w:w="426" w:type="dxa"/>
            <w:vAlign w:val="center"/>
          </w:tcPr>
          <w:p w14:paraId="24E1C545" w14:textId="7AB68A0F" w:rsidR="000D6378" w:rsidRPr="00610B1B" w:rsidRDefault="000D6378" w:rsidP="000D6378">
            <w:pPr>
              <w:rPr>
                <w:rFonts w:ascii="Times New Roman" w:hAnsi="Times New Roman" w:cs="Times New Roman"/>
                <w:lang w:val="bg-BG"/>
              </w:rPr>
            </w:pPr>
            <w:r w:rsidRPr="00610B1B">
              <w:rPr>
                <w:rFonts w:ascii="Times New Roman" w:hAnsi="Times New Roman" w:cs="Times New Roman"/>
                <w:lang w:val="bg-BG"/>
              </w:rPr>
              <w:t>15</w:t>
            </w:r>
          </w:p>
        </w:tc>
        <w:tc>
          <w:tcPr>
            <w:tcW w:w="2701" w:type="dxa"/>
            <w:vAlign w:val="center"/>
          </w:tcPr>
          <w:p w14:paraId="0459BAB7" w14:textId="4F590107" w:rsidR="000D6378" w:rsidRPr="00610B1B" w:rsidRDefault="000D6378" w:rsidP="000D6378">
            <w:pP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Повишаване обхвата на защита на видовете и местообитанията, пряко свързани с морската околна среда</w:t>
            </w:r>
          </w:p>
        </w:tc>
        <w:tc>
          <w:tcPr>
            <w:tcW w:w="2215" w:type="dxa"/>
          </w:tcPr>
          <w:p w14:paraId="015CBF5F" w14:textId="77244BAF" w:rsidR="000D6378" w:rsidRPr="00610B1B" w:rsidRDefault="000D6378" w:rsidP="000D6378">
            <w:pPr>
              <w:rPr>
                <w:rFonts w:ascii="Times New Roman" w:hAnsi="Times New Roman" w:cs="Times New Roman"/>
                <w:sz w:val="20"/>
                <w:szCs w:val="20"/>
                <w:lang w:val="bg-BG"/>
              </w:rPr>
            </w:pPr>
            <w:r w:rsidRPr="00610B1B">
              <w:rPr>
                <w:rFonts w:ascii="Times New Roman" w:hAnsi="Times New Roman" w:cs="Times New Roman"/>
                <w:sz w:val="20"/>
                <w:szCs w:val="20"/>
              </w:rPr>
              <w:t>Стратегическа цел 4</w:t>
            </w:r>
          </w:p>
        </w:tc>
        <w:tc>
          <w:tcPr>
            <w:tcW w:w="2127" w:type="dxa"/>
          </w:tcPr>
          <w:p w14:paraId="5E265E86" w14:textId="4FAF96E2" w:rsidR="006A5A3B" w:rsidRPr="00610B1B" w:rsidRDefault="006A5A3B" w:rsidP="000D6378">
            <w:pPr>
              <w:rPr>
                <w:rFonts w:ascii="Times New Roman" w:hAnsi="Times New Roman" w:cs="Times New Roman"/>
                <w:sz w:val="20"/>
                <w:szCs w:val="20"/>
                <w:lang w:val="bg-BG"/>
              </w:rPr>
            </w:pPr>
            <w:r w:rsidRPr="00DA2C5E">
              <w:rPr>
                <w:rFonts w:ascii="Times New Roman" w:hAnsi="Times New Roman" w:cs="Times New Roman"/>
                <w:sz w:val="20"/>
                <w:szCs w:val="20"/>
                <w:lang w:val="bg-BG"/>
              </w:rPr>
              <w:t>% от морските пространства на страната, поставени под териториална защита за опазване на биологичното разнообразие</w:t>
            </w:r>
            <w:r w:rsidRPr="00DA2C5E">
              <w:rPr>
                <w:lang w:val="bg-BG"/>
              </w:rPr>
              <w:t>.</w:t>
            </w:r>
          </w:p>
        </w:tc>
        <w:tc>
          <w:tcPr>
            <w:tcW w:w="2596" w:type="dxa"/>
          </w:tcPr>
          <w:p w14:paraId="010531AC" w14:textId="1684BEA1" w:rsidR="000D6378" w:rsidRPr="00610B1B" w:rsidRDefault="000D6378" w:rsidP="000D6378">
            <w:pPr>
              <w:rPr>
                <w:rFonts w:ascii="Times New Roman" w:hAnsi="Times New Roman" w:cs="Times New Roman"/>
                <w:sz w:val="20"/>
                <w:szCs w:val="20"/>
                <w:lang w:val="bg-BG"/>
              </w:rPr>
            </w:pPr>
            <w:r w:rsidRPr="00610B1B">
              <w:rPr>
                <w:rFonts w:ascii="Times New Roman" w:hAnsi="Times New Roman" w:cs="Times New Roman"/>
                <w:sz w:val="20"/>
                <w:szCs w:val="20"/>
              </w:rPr>
              <w:t>МОСВ, ИО-БАН, БДЧР</w:t>
            </w:r>
          </w:p>
        </w:tc>
      </w:tr>
      <w:tr w:rsidR="000D6378" w:rsidRPr="00610B1B" w14:paraId="7DE1D000" w14:textId="77777777" w:rsidTr="00C415D1">
        <w:tc>
          <w:tcPr>
            <w:tcW w:w="426" w:type="dxa"/>
            <w:vAlign w:val="center"/>
          </w:tcPr>
          <w:p w14:paraId="7E496394" w14:textId="79272037" w:rsidR="000D6378" w:rsidRPr="00610B1B" w:rsidRDefault="000D6378" w:rsidP="000D6378">
            <w:pPr>
              <w:rPr>
                <w:rFonts w:ascii="Times New Roman" w:hAnsi="Times New Roman" w:cs="Times New Roman"/>
                <w:lang w:val="bg-BG"/>
              </w:rPr>
            </w:pPr>
            <w:r w:rsidRPr="00610B1B">
              <w:rPr>
                <w:rFonts w:ascii="Times New Roman" w:hAnsi="Times New Roman" w:cs="Times New Roman"/>
                <w:lang w:val="bg-BG"/>
              </w:rPr>
              <w:t>16.</w:t>
            </w:r>
          </w:p>
        </w:tc>
        <w:tc>
          <w:tcPr>
            <w:tcW w:w="2701" w:type="dxa"/>
            <w:vAlign w:val="center"/>
          </w:tcPr>
          <w:p w14:paraId="607E31EE" w14:textId="52269C10" w:rsidR="000D6378" w:rsidRPr="00610B1B" w:rsidRDefault="000D6378" w:rsidP="000D6378">
            <w:pP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Подобряване на състоянието на морската околна среда</w:t>
            </w:r>
          </w:p>
        </w:tc>
        <w:tc>
          <w:tcPr>
            <w:tcW w:w="2215" w:type="dxa"/>
          </w:tcPr>
          <w:p w14:paraId="644E5964" w14:textId="7D91E62D" w:rsidR="000D6378" w:rsidRPr="00610B1B" w:rsidRDefault="000D6378" w:rsidP="000D6378">
            <w:pPr>
              <w:rPr>
                <w:rFonts w:ascii="Times New Roman" w:hAnsi="Times New Roman" w:cs="Times New Roman"/>
                <w:sz w:val="20"/>
                <w:szCs w:val="20"/>
                <w:lang w:val="bg-BG"/>
              </w:rPr>
            </w:pPr>
            <w:r w:rsidRPr="00610B1B">
              <w:rPr>
                <w:rFonts w:ascii="Times New Roman" w:hAnsi="Times New Roman" w:cs="Times New Roman"/>
                <w:sz w:val="20"/>
                <w:szCs w:val="20"/>
              </w:rPr>
              <w:t>Стратегическа цел 4, Специфична цел 1</w:t>
            </w:r>
          </w:p>
        </w:tc>
        <w:tc>
          <w:tcPr>
            <w:tcW w:w="2127" w:type="dxa"/>
          </w:tcPr>
          <w:p w14:paraId="2CC83AAE" w14:textId="61383552" w:rsidR="000D6378" w:rsidRPr="00610B1B" w:rsidRDefault="000D6378" w:rsidP="000D6378">
            <w:pPr>
              <w:rPr>
                <w:rFonts w:ascii="Times New Roman" w:hAnsi="Times New Roman" w:cs="Times New Roman"/>
                <w:sz w:val="20"/>
                <w:szCs w:val="20"/>
                <w:lang w:val="bg-BG"/>
              </w:rPr>
            </w:pPr>
            <w:r w:rsidRPr="00DA2C5E">
              <w:rPr>
                <w:rFonts w:ascii="Times New Roman" w:hAnsi="Times New Roman" w:cs="Times New Roman"/>
                <w:sz w:val="20"/>
                <w:szCs w:val="20"/>
                <w:lang w:val="bg-BG"/>
              </w:rPr>
              <w:t>Предприети мерки, резултати от мониторинга</w:t>
            </w:r>
          </w:p>
        </w:tc>
        <w:tc>
          <w:tcPr>
            <w:tcW w:w="2596" w:type="dxa"/>
          </w:tcPr>
          <w:p w14:paraId="187FE786" w14:textId="4462770F" w:rsidR="000D6378" w:rsidRPr="00610B1B" w:rsidRDefault="000D6378" w:rsidP="000D6378">
            <w:pPr>
              <w:rPr>
                <w:rFonts w:ascii="Times New Roman" w:hAnsi="Times New Roman" w:cs="Times New Roman"/>
                <w:sz w:val="20"/>
                <w:szCs w:val="20"/>
                <w:lang w:val="bg-BG"/>
              </w:rPr>
            </w:pPr>
            <w:r w:rsidRPr="00610B1B">
              <w:rPr>
                <w:rFonts w:ascii="Times New Roman" w:hAnsi="Times New Roman" w:cs="Times New Roman"/>
                <w:sz w:val="20"/>
                <w:szCs w:val="20"/>
              </w:rPr>
              <w:t>МОСВ, ИО- БАН, БДЧР</w:t>
            </w:r>
          </w:p>
        </w:tc>
      </w:tr>
      <w:tr w:rsidR="000D6378" w:rsidRPr="00215C86" w14:paraId="64487FB9" w14:textId="77777777" w:rsidTr="00C415D1">
        <w:tc>
          <w:tcPr>
            <w:tcW w:w="426" w:type="dxa"/>
            <w:vAlign w:val="center"/>
          </w:tcPr>
          <w:p w14:paraId="3D53A9D7" w14:textId="04F31D84" w:rsidR="000D6378" w:rsidRPr="00610B1B" w:rsidRDefault="000D6378" w:rsidP="000D6378">
            <w:pPr>
              <w:rPr>
                <w:rFonts w:ascii="Times New Roman" w:hAnsi="Times New Roman" w:cs="Times New Roman"/>
                <w:lang w:val="bg-BG"/>
              </w:rPr>
            </w:pPr>
            <w:r w:rsidRPr="00610B1B">
              <w:rPr>
                <w:rFonts w:ascii="Times New Roman" w:hAnsi="Times New Roman" w:cs="Times New Roman"/>
                <w:lang w:val="bg-BG"/>
              </w:rPr>
              <w:t>17</w:t>
            </w:r>
          </w:p>
        </w:tc>
        <w:tc>
          <w:tcPr>
            <w:tcW w:w="2701" w:type="dxa"/>
            <w:vAlign w:val="center"/>
          </w:tcPr>
          <w:p w14:paraId="4DA78268" w14:textId="655D2F49" w:rsidR="000D6378" w:rsidRPr="00610B1B" w:rsidRDefault="000D6378" w:rsidP="000D6378">
            <w:pP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Развитие на зоните за бъдещи ползвания (Збп) в морското пространство на страната</w:t>
            </w:r>
          </w:p>
        </w:tc>
        <w:tc>
          <w:tcPr>
            <w:tcW w:w="2215" w:type="dxa"/>
          </w:tcPr>
          <w:p w14:paraId="2E42BFCD" w14:textId="107E6659" w:rsidR="000D6378" w:rsidRPr="00610B1B" w:rsidRDefault="000D6378" w:rsidP="000D6378">
            <w:pPr>
              <w:rPr>
                <w:rFonts w:ascii="Times New Roman" w:hAnsi="Times New Roman" w:cs="Times New Roman"/>
                <w:sz w:val="20"/>
                <w:szCs w:val="20"/>
                <w:lang w:val="bg-BG"/>
              </w:rPr>
            </w:pPr>
            <w:r w:rsidRPr="00610B1B">
              <w:rPr>
                <w:rFonts w:ascii="Times New Roman" w:hAnsi="Times New Roman" w:cs="Times New Roman"/>
                <w:sz w:val="20"/>
                <w:szCs w:val="20"/>
              </w:rPr>
              <w:t>Стратегическа цел 1</w:t>
            </w:r>
          </w:p>
        </w:tc>
        <w:tc>
          <w:tcPr>
            <w:tcW w:w="2127" w:type="dxa"/>
          </w:tcPr>
          <w:p w14:paraId="46EB38D1" w14:textId="77777777" w:rsidR="00DE07BA" w:rsidRPr="00DA2C5E" w:rsidRDefault="00DE07BA" w:rsidP="00DE07BA">
            <w:pPr>
              <w:pStyle w:val="Bodytext22"/>
              <w:shd w:val="clear" w:color="auto" w:fill="auto"/>
              <w:spacing w:before="0" w:after="0" w:line="253" w:lineRule="exact"/>
              <w:ind w:firstLine="0"/>
              <w:jc w:val="left"/>
              <w:rPr>
                <w:sz w:val="20"/>
                <w:szCs w:val="20"/>
                <w:lang w:val="bg-BG"/>
              </w:rPr>
            </w:pPr>
            <w:r w:rsidRPr="00DA2C5E">
              <w:rPr>
                <w:rFonts w:eastAsia="Wingdings"/>
                <w:sz w:val="20"/>
                <w:szCs w:val="20"/>
                <w:lang w:val="bg-BG"/>
              </w:rPr>
              <w:t>Брой планирани инвестиционни предложения (ИП) в зоните, определени съгласно чл. 51в, ал. 4, т. 1-13 от ЗМПВВППРБ, а именно: зони за проучване,</w:t>
            </w:r>
          </w:p>
          <w:p w14:paraId="69E45C9A" w14:textId="79C9C0D8" w:rsidR="00DE07BA" w:rsidRPr="00DA2C5E" w:rsidRDefault="00DE07BA" w:rsidP="00DE07BA">
            <w:pPr>
              <w:pStyle w:val="Bodytext22"/>
              <w:shd w:val="clear" w:color="auto" w:fill="auto"/>
              <w:spacing w:before="0" w:after="60" w:line="253" w:lineRule="exact"/>
              <w:ind w:firstLine="0"/>
              <w:rPr>
                <w:sz w:val="20"/>
                <w:szCs w:val="20"/>
                <w:lang w:val="bg-BG"/>
              </w:rPr>
            </w:pPr>
            <w:r w:rsidRPr="00DA2C5E">
              <w:rPr>
                <w:rFonts w:eastAsia="Wingdings"/>
                <w:sz w:val="20"/>
                <w:szCs w:val="20"/>
                <w:lang w:val="bg-BG"/>
              </w:rPr>
              <w:t xml:space="preserve">разработване и използване на </w:t>
            </w:r>
            <w:r w:rsidRPr="00DA2C5E">
              <w:rPr>
                <w:rFonts w:eastAsia="Wingdings"/>
                <w:sz w:val="20"/>
                <w:szCs w:val="20"/>
                <w:lang w:val="bg-BG"/>
              </w:rPr>
              <w:lastRenderedPageBreak/>
              <w:t>природни ресурси; зони за риболов; зони за отглеждане на аквакултури; зони за туристически и рекреационни дейности; зони за научноизследователс ка дейност; защитени зони и защитени територии от Националната екологична мрежа; защитени зони за опазване на културното наследство; трасета на подводни линейни обекти на</w:t>
            </w:r>
            <w:r w:rsidRPr="00DA2C5E">
              <w:rPr>
                <w:rStyle w:val="ListLabel227"/>
                <w:sz w:val="20"/>
                <w:szCs w:val="20"/>
                <w:lang w:val="bg-BG"/>
              </w:rPr>
              <w:t xml:space="preserve"> </w:t>
            </w:r>
            <w:r w:rsidRPr="00DA2C5E">
              <w:rPr>
                <w:rFonts w:eastAsia="Wingdings"/>
                <w:sz w:val="20"/>
                <w:szCs w:val="20"/>
                <w:lang w:val="bg-BG"/>
              </w:rPr>
              <w:t>техническата инфраструктура; инсталации и съоръжения, свързани с корабоплаването; инсталации и съоръжения за разработване и използване на минералните и енергийни ресурси; обекти на подводното културно наследство;</w:t>
            </w:r>
          </w:p>
          <w:p w14:paraId="51C4E427" w14:textId="78B8B6E3" w:rsidR="00DE07BA" w:rsidRPr="00DB1747" w:rsidRDefault="00DE07BA" w:rsidP="00DE07BA">
            <w:pPr>
              <w:rPr>
                <w:rFonts w:ascii="Times New Roman" w:hAnsi="Times New Roman" w:cs="Times New Roman"/>
                <w:sz w:val="20"/>
                <w:szCs w:val="20"/>
                <w:lang w:val="bg-BG"/>
              </w:rPr>
            </w:pPr>
            <w:r w:rsidRPr="00DA2C5E">
              <w:rPr>
                <w:rFonts w:ascii="Times New Roman" w:hAnsi="Times New Roman" w:cs="Times New Roman"/>
                <w:sz w:val="20"/>
                <w:szCs w:val="20"/>
              </w:rPr>
              <w:t>- Брой реализирани</w:t>
            </w:r>
            <w:r w:rsidRPr="00DA2C5E">
              <w:rPr>
                <w:rFonts w:ascii="Times New Roman" w:hAnsi="Times New Roman" w:cs="Times New Roman"/>
                <w:sz w:val="20"/>
                <w:szCs w:val="20"/>
                <w:lang w:val="bg-BG"/>
              </w:rPr>
              <w:t xml:space="preserve"> проекти</w:t>
            </w:r>
          </w:p>
        </w:tc>
        <w:tc>
          <w:tcPr>
            <w:tcW w:w="2596" w:type="dxa"/>
          </w:tcPr>
          <w:p w14:paraId="0D0A0909" w14:textId="6F2CA148" w:rsidR="000D6378" w:rsidRPr="00DA2C5E" w:rsidRDefault="000D6378" w:rsidP="000D6378">
            <w:pPr>
              <w:rPr>
                <w:rFonts w:ascii="Times New Roman" w:hAnsi="Times New Roman" w:cs="Times New Roman"/>
                <w:sz w:val="20"/>
                <w:szCs w:val="20"/>
                <w:lang w:val="bg-BG"/>
              </w:rPr>
            </w:pPr>
          </w:p>
          <w:p w14:paraId="3093E3B9" w14:textId="47E4BAF1" w:rsidR="00EF3BBC" w:rsidRPr="00DA2C5E" w:rsidRDefault="00EF3BBC" w:rsidP="000D6378">
            <w:pPr>
              <w:rPr>
                <w:rFonts w:ascii="Times New Roman" w:hAnsi="Times New Roman" w:cs="Times New Roman"/>
                <w:sz w:val="20"/>
                <w:szCs w:val="20"/>
                <w:lang w:val="bg-BG"/>
              </w:rPr>
            </w:pPr>
            <w:r>
              <w:rPr>
                <w:rFonts w:ascii="Times New Roman" w:hAnsi="Times New Roman" w:cs="Times New Roman"/>
                <w:sz w:val="20"/>
                <w:szCs w:val="20"/>
                <w:lang w:val="bg-BG"/>
              </w:rPr>
              <w:t>Компетентните органи за прилагане на МППРБ съгласно ЗМПВВППРБ, Черноморските общини;</w:t>
            </w:r>
            <w:r w:rsidR="00ED6D11">
              <w:rPr>
                <w:rFonts w:ascii="Times New Roman" w:hAnsi="Times New Roman" w:cs="Times New Roman"/>
                <w:sz w:val="20"/>
                <w:szCs w:val="20"/>
                <w:lang w:val="bg-BG"/>
              </w:rPr>
              <w:t xml:space="preserve"> </w:t>
            </w:r>
            <w:r>
              <w:rPr>
                <w:rFonts w:ascii="Times New Roman" w:hAnsi="Times New Roman" w:cs="Times New Roman"/>
                <w:sz w:val="20"/>
                <w:szCs w:val="20"/>
                <w:lang w:val="bg-BG"/>
              </w:rPr>
              <w:t>Областни администрации на Добрич, Варна и Бургас</w:t>
            </w:r>
          </w:p>
          <w:p w14:paraId="09718D5B" w14:textId="00530C43" w:rsidR="001E6492" w:rsidRPr="00610B1B" w:rsidRDefault="001E6492" w:rsidP="000D6378">
            <w:pPr>
              <w:rPr>
                <w:rFonts w:ascii="Times New Roman" w:hAnsi="Times New Roman" w:cs="Times New Roman"/>
                <w:sz w:val="20"/>
                <w:szCs w:val="20"/>
                <w:lang w:val="bg-BG"/>
              </w:rPr>
            </w:pPr>
          </w:p>
        </w:tc>
      </w:tr>
      <w:tr w:rsidR="000D6378" w:rsidRPr="00215C86" w14:paraId="5D9AF078" w14:textId="77777777" w:rsidTr="00C415D1">
        <w:tc>
          <w:tcPr>
            <w:tcW w:w="426" w:type="dxa"/>
            <w:vAlign w:val="center"/>
          </w:tcPr>
          <w:p w14:paraId="22D3013C" w14:textId="7DA803C2" w:rsidR="000D6378" w:rsidRPr="00610B1B" w:rsidRDefault="000D6378" w:rsidP="000D6378">
            <w:pPr>
              <w:rPr>
                <w:rFonts w:ascii="Times New Roman" w:hAnsi="Times New Roman" w:cs="Times New Roman"/>
                <w:lang w:val="bg-BG"/>
              </w:rPr>
            </w:pPr>
            <w:r w:rsidRPr="00610B1B">
              <w:rPr>
                <w:rFonts w:ascii="Times New Roman" w:hAnsi="Times New Roman" w:cs="Times New Roman"/>
                <w:lang w:val="bg-BG"/>
              </w:rPr>
              <w:t>18</w:t>
            </w:r>
          </w:p>
        </w:tc>
        <w:tc>
          <w:tcPr>
            <w:tcW w:w="2701" w:type="dxa"/>
            <w:vAlign w:val="center"/>
          </w:tcPr>
          <w:p w14:paraId="13E328CD" w14:textId="31A511EE" w:rsidR="000D6378" w:rsidRPr="00610B1B" w:rsidRDefault="000D6378" w:rsidP="000D6378">
            <w:pP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Повишаване на устойчивото ползване на потенциала на Черно море</w:t>
            </w:r>
          </w:p>
        </w:tc>
        <w:tc>
          <w:tcPr>
            <w:tcW w:w="2215" w:type="dxa"/>
          </w:tcPr>
          <w:p w14:paraId="665431E9" w14:textId="77777777" w:rsidR="000D6378" w:rsidRPr="00DA2C5E" w:rsidRDefault="000D6378" w:rsidP="000D6378">
            <w:pPr>
              <w:rPr>
                <w:rFonts w:ascii="Times New Roman" w:hAnsi="Times New Roman" w:cs="Times New Roman"/>
                <w:sz w:val="20"/>
                <w:szCs w:val="20"/>
                <w:lang w:val="bg-BG"/>
              </w:rPr>
            </w:pPr>
            <w:r w:rsidRPr="00DA2C5E">
              <w:rPr>
                <w:rFonts w:ascii="Times New Roman" w:hAnsi="Times New Roman" w:cs="Times New Roman"/>
                <w:sz w:val="20"/>
                <w:szCs w:val="20"/>
                <w:lang w:val="bg-BG"/>
              </w:rPr>
              <w:t>Стратегическа цел 2,</w:t>
            </w:r>
          </w:p>
          <w:p w14:paraId="0CA0F753" w14:textId="470BA50A" w:rsidR="000D6378" w:rsidRPr="00610B1B" w:rsidRDefault="000D6378" w:rsidP="000D6378">
            <w:pPr>
              <w:rPr>
                <w:rFonts w:ascii="Times New Roman" w:hAnsi="Times New Roman" w:cs="Times New Roman"/>
                <w:sz w:val="20"/>
                <w:szCs w:val="20"/>
                <w:lang w:val="bg-BG"/>
              </w:rPr>
            </w:pPr>
            <w:r w:rsidRPr="00DA2C5E">
              <w:rPr>
                <w:rFonts w:ascii="Times New Roman" w:hAnsi="Times New Roman" w:cs="Times New Roman"/>
                <w:sz w:val="20"/>
                <w:szCs w:val="20"/>
                <w:lang w:val="bg-BG"/>
              </w:rPr>
              <w:t>Всички Специфични цели</w:t>
            </w:r>
          </w:p>
        </w:tc>
        <w:tc>
          <w:tcPr>
            <w:tcW w:w="2127" w:type="dxa"/>
          </w:tcPr>
          <w:p w14:paraId="2AD8AA21" w14:textId="254A3962" w:rsidR="000D6378" w:rsidRPr="004F5162" w:rsidRDefault="000D6378" w:rsidP="000D6378">
            <w:pPr>
              <w:rPr>
                <w:rFonts w:ascii="Times New Roman" w:hAnsi="Times New Roman" w:cs="Times New Roman"/>
                <w:sz w:val="20"/>
                <w:szCs w:val="20"/>
                <w:lang w:val="bg-BG"/>
              </w:rPr>
            </w:pPr>
          </w:p>
          <w:p w14:paraId="0CFF8803" w14:textId="77777777" w:rsidR="004F5162" w:rsidRPr="00DA2C5E" w:rsidRDefault="004F5162" w:rsidP="00DA2C5E">
            <w:pPr>
              <w:pStyle w:val="Bodytext22"/>
              <w:shd w:val="clear" w:color="auto" w:fill="auto"/>
              <w:spacing w:before="0" w:after="240" w:line="253" w:lineRule="exact"/>
              <w:ind w:firstLine="0"/>
              <w:jc w:val="left"/>
              <w:rPr>
                <w:sz w:val="20"/>
                <w:szCs w:val="20"/>
                <w:lang w:val="bg-BG"/>
              </w:rPr>
            </w:pPr>
            <w:r w:rsidRPr="00DA2C5E">
              <w:rPr>
                <w:rFonts w:eastAsia="Wingdings"/>
                <w:sz w:val="20"/>
                <w:szCs w:val="20"/>
                <w:lang w:val="bg-BG"/>
              </w:rPr>
              <w:t>-Брой инициативи (ИП) за въвеждане на иновативни технологии и техники (включително оборудване), подпомагащи Синята икономика в България;</w:t>
            </w:r>
          </w:p>
          <w:p w14:paraId="163CDD22" w14:textId="4211A365" w:rsidR="004F5162" w:rsidRPr="004F5162" w:rsidRDefault="004F5162" w:rsidP="004F5162">
            <w:pPr>
              <w:rPr>
                <w:rFonts w:ascii="Times New Roman" w:hAnsi="Times New Roman" w:cs="Times New Roman"/>
                <w:sz w:val="20"/>
                <w:szCs w:val="20"/>
                <w:lang w:val="bg-BG"/>
              </w:rPr>
            </w:pPr>
            <w:r w:rsidRPr="00DA2C5E">
              <w:rPr>
                <w:rFonts w:ascii="Times New Roman" w:hAnsi="Times New Roman" w:cs="Times New Roman"/>
                <w:sz w:val="20"/>
                <w:szCs w:val="20"/>
                <w:lang w:val="bg-BG"/>
              </w:rPr>
              <w:t xml:space="preserve">-Брой издадени разрешителни за ползване/водоползва не на повърхностен воден обект Черно море, съгласно </w:t>
            </w:r>
            <w:r w:rsidRPr="00DA2C5E">
              <w:rPr>
                <w:rStyle w:val="Bodytext2Italic"/>
                <w:rFonts w:eastAsia="Symbol"/>
                <w:sz w:val="20"/>
                <w:szCs w:val="20"/>
              </w:rPr>
              <w:t>Закона за водите</w:t>
            </w:r>
          </w:p>
        </w:tc>
        <w:tc>
          <w:tcPr>
            <w:tcW w:w="2596" w:type="dxa"/>
          </w:tcPr>
          <w:p w14:paraId="725F524D" w14:textId="237DC1B0" w:rsidR="000D6378" w:rsidRDefault="000D6378" w:rsidP="000D6378">
            <w:pPr>
              <w:rPr>
                <w:rFonts w:ascii="Times New Roman" w:hAnsi="Times New Roman" w:cs="Times New Roman"/>
                <w:sz w:val="20"/>
                <w:szCs w:val="20"/>
                <w:lang w:val="bg-BG"/>
              </w:rPr>
            </w:pPr>
          </w:p>
          <w:p w14:paraId="126636FE" w14:textId="5C354478" w:rsidR="001D6C00" w:rsidRPr="009F42C4" w:rsidRDefault="001D6C00" w:rsidP="001D6C00">
            <w:pPr>
              <w:rPr>
                <w:rFonts w:ascii="Times New Roman" w:hAnsi="Times New Roman" w:cs="Times New Roman"/>
                <w:sz w:val="20"/>
                <w:szCs w:val="20"/>
                <w:lang w:val="bg-BG"/>
              </w:rPr>
            </w:pPr>
            <w:r>
              <w:rPr>
                <w:rFonts w:ascii="Times New Roman" w:hAnsi="Times New Roman" w:cs="Times New Roman"/>
                <w:sz w:val="20"/>
                <w:szCs w:val="20"/>
                <w:lang w:val="bg-BG"/>
              </w:rPr>
              <w:t>Компетентните органи за прилагане на МППРБ съгласно ЗМПВВППРБ, Черноморските общини; Областни администрации на Добрич, Варна и Бургас, МОСВ,БДЧР</w:t>
            </w:r>
          </w:p>
          <w:p w14:paraId="37FC1ABF" w14:textId="51778CBF" w:rsidR="001D6C00" w:rsidRPr="00610B1B" w:rsidRDefault="001D6C00" w:rsidP="000D6378">
            <w:pPr>
              <w:rPr>
                <w:rFonts w:ascii="Times New Roman" w:hAnsi="Times New Roman" w:cs="Times New Roman"/>
                <w:sz w:val="20"/>
                <w:szCs w:val="20"/>
                <w:lang w:val="bg-BG"/>
              </w:rPr>
            </w:pPr>
          </w:p>
        </w:tc>
      </w:tr>
      <w:tr w:rsidR="000D6378" w:rsidRPr="00215C86" w14:paraId="3C248E49" w14:textId="77777777" w:rsidTr="00C415D1">
        <w:tc>
          <w:tcPr>
            <w:tcW w:w="426" w:type="dxa"/>
            <w:vAlign w:val="center"/>
          </w:tcPr>
          <w:p w14:paraId="363EC971" w14:textId="20533178" w:rsidR="000D6378" w:rsidRPr="00610B1B" w:rsidRDefault="000D6378" w:rsidP="000D6378">
            <w:pPr>
              <w:rPr>
                <w:rFonts w:ascii="Times New Roman" w:hAnsi="Times New Roman" w:cs="Times New Roman"/>
                <w:lang w:val="bg-BG"/>
              </w:rPr>
            </w:pPr>
            <w:r w:rsidRPr="00610B1B">
              <w:rPr>
                <w:rFonts w:ascii="Times New Roman" w:hAnsi="Times New Roman" w:cs="Times New Roman"/>
                <w:lang w:val="bg-BG"/>
              </w:rPr>
              <w:lastRenderedPageBreak/>
              <w:t>19</w:t>
            </w:r>
          </w:p>
        </w:tc>
        <w:tc>
          <w:tcPr>
            <w:tcW w:w="2701" w:type="dxa"/>
            <w:vAlign w:val="center"/>
          </w:tcPr>
          <w:p w14:paraId="21C2B59D" w14:textId="2A433543" w:rsidR="000D6378" w:rsidRPr="00610B1B" w:rsidRDefault="000D6378" w:rsidP="000D6378">
            <w:pP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Повишаване на консумацията на риба и други морски храни</w:t>
            </w:r>
          </w:p>
        </w:tc>
        <w:tc>
          <w:tcPr>
            <w:tcW w:w="2215" w:type="dxa"/>
          </w:tcPr>
          <w:p w14:paraId="5911B7F1" w14:textId="77777777" w:rsidR="000D6378" w:rsidRPr="00610B1B" w:rsidRDefault="000D6378" w:rsidP="000D6378">
            <w:pPr>
              <w:rPr>
                <w:rFonts w:ascii="Times New Roman" w:hAnsi="Times New Roman" w:cs="Times New Roman"/>
                <w:bCs/>
                <w:iCs/>
                <w:sz w:val="20"/>
                <w:szCs w:val="20"/>
              </w:rPr>
            </w:pPr>
            <w:r w:rsidRPr="00610B1B">
              <w:rPr>
                <w:rFonts w:ascii="Times New Roman" w:hAnsi="Times New Roman" w:cs="Times New Roman"/>
                <w:bCs/>
                <w:iCs/>
                <w:sz w:val="20"/>
                <w:szCs w:val="20"/>
              </w:rPr>
              <w:t>Стратегическа цел 2,</w:t>
            </w:r>
          </w:p>
          <w:p w14:paraId="45BE1F67" w14:textId="17CA8C3E" w:rsidR="000D6378" w:rsidRPr="00610B1B" w:rsidRDefault="000D6378" w:rsidP="000D6378">
            <w:pPr>
              <w:rPr>
                <w:rFonts w:ascii="Times New Roman" w:hAnsi="Times New Roman" w:cs="Times New Roman"/>
                <w:sz w:val="20"/>
                <w:szCs w:val="20"/>
                <w:lang w:val="bg-BG"/>
              </w:rPr>
            </w:pPr>
            <w:r w:rsidRPr="00610B1B">
              <w:rPr>
                <w:rFonts w:ascii="Times New Roman" w:hAnsi="Times New Roman" w:cs="Times New Roman"/>
                <w:bCs/>
                <w:iCs/>
                <w:sz w:val="20"/>
                <w:szCs w:val="20"/>
              </w:rPr>
              <w:t>Специфична цел 2.4</w:t>
            </w:r>
          </w:p>
        </w:tc>
        <w:tc>
          <w:tcPr>
            <w:tcW w:w="2127" w:type="dxa"/>
          </w:tcPr>
          <w:p w14:paraId="7AA38613" w14:textId="77777777" w:rsidR="000D6378" w:rsidRPr="00725429" w:rsidRDefault="000D6378" w:rsidP="000D6378">
            <w:pPr>
              <w:rPr>
                <w:rFonts w:ascii="Times New Roman" w:hAnsi="Times New Roman" w:cs="Times New Roman"/>
                <w:sz w:val="20"/>
                <w:szCs w:val="20"/>
                <w:lang w:val="bg-BG"/>
              </w:rPr>
            </w:pPr>
            <w:r w:rsidRPr="00E82066">
              <w:rPr>
                <w:rFonts w:ascii="Times New Roman" w:hAnsi="Times New Roman" w:cs="Times New Roman"/>
                <w:sz w:val="20"/>
                <w:szCs w:val="20"/>
                <w:lang w:val="bg-BG"/>
              </w:rPr>
              <w:t>Консумация на риба и морски храни в кг и кг/ жит.</w:t>
            </w:r>
          </w:p>
          <w:p w14:paraId="29C78451" w14:textId="7CBC77B2" w:rsidR="00725429" w:rsidRPr="00725429" w:rsidRDefault="00725429" w:rsidP="000D6378">
            <w:pPr>
              <w:rPr>
                <w:rFonts w:ascii="Times New Roman" w:hAnsi="Times New Roman" w:cs="Times New Roman"/>
                <w:sz w:val="20"/>
                <w:szCs w:val="20"/>
                <w:lang w:val="bg-BG"/>
              </w:rPr>
            </w:pPr>
            <w:r w:rsidRPr="00E82066">
              <w:rPr>
                <w:rFonts w:ascii="Times New Roman" w:hAnsi="Times New Roman" w:cs="Times New Roman"/>
                <w:sz w:val="20"/>
                <w:szCs w:val="20"/>
                <w:lang w:val="bg-BG"/>
              </w:rPr>
              <w:t>Брой на изградените и действащи аквакултурни стопанства в морските води като мидени и рибни ферми, ферми за отглеждане на други морски аквакултури</w:t>
            </w:r>
          </w:p>
        </w:tc>
        <w:tc>
          <w:tcPr>
            <w:tcW w:w="2596" w:type="dxa"/>
          </w:tcPr>
          <w:p w14:paraId="662BDF5B" w14:textId="6ADE1C20" w:rsidR="000D6378" w:rsidRPr="00610B1B" w:rsidRDefault="000D6378" w:rsidP="000D6378">
            <w:pPr>
              <w:rPr>
                <w:rFonts w:ascii="Times New Roman" w:hAnsi="Times New Roman" w:cs="Times New Roman"/>
                <w:sz w:val="20"/>
                <w:szCs w:val="20"/>
                <w:lang w:val="bg-BG"/>
              </w:rPr>
            </w:pPr>
            <w:r w:rsidRPr="00E82066">
              <w:rPr>
                <w:rFonts w:ascii="Times New Roman" w:hAnsi="Times New Roman" w:cs="Times New Roman"/>
                <w:sz w:val="20"/>
                <w:szCs w:val="20"/>
                <w:lang w:val="bg-BG"/>
              </w:rPr>
              <w:t>Министерство но икономиката, Министерсто на земеделието и храните, ИАРА</w:t>
            </w:r>
            <w:r w:rsidR="00215C86">
              <w:rPr>
                <w:rFonts w:ascii="Times New Roman" w:hAnsi="Times New Roman" w:cs="Times New Roman"/>
                <w:sz w:val="20"/>
                <w:szCs w:val="20"/>
                <w:lang w:val="bg-BG"/>
              </w:rPr>
              <w:t>, БДЧР</w:t>
            </w:r>
          </w:p>
        </w:tc>
      </w:tr>
      <w:tr w:rsidR="000D6378" w:rsidRPr="00610B1B" w14:paraId="5D2DB47E" w14:textId="77777777" w:rsidTr="006278DC">
        <w:tc>
          <w:tcPr>
            <w:tcW w:w="426" w:type="dxa"/>
            <w:vAlign w:val="center"/>
          </w:tcPr>
          <w:p w14:paraId="58B42144" w14:textId="77777777" w:rsidR="00432EC5" w:rsidRPr="00610B1B" w:rsidRDefault="000D6378" w:rsidP="000D6378">
            <w:pPr>
              <w:rPr>
                <w:rFonts w:ascii="Times New Roman" w:hAnsi="Times New Roman" w:cs="Times New Roman"/>
                <w:lang w:val="bg-BG"/>
              </w:rPr>
            </w:pPr>
            <w:r w:rsidRPr="00610B1B">
              <w:rPr>
                <w:rFonts w:ascii="Times New Roman" w:hAnsi="Times New Roman" w:cs="Times New Roman"/>
                <w:lang w:val="bg-BG"/>
              </w:rPr>
              <w:t>20</w:t>
            </w:r>
          </w:p>
          <w:p w14:paraId="20230186" w14:textId="77777777" w:rsidR="00432EC5" w:rsidRPr="00610B1B" w:rsidRDefault="00432EC5" w:rsidP="000D6378">
            <w:pPr>
              <w:rPr>
                <w:rFonts w:ascii="Times New Roman" w:hAnsi="Times New Roman" w:cs="Times New Roman"/>
                <w:lang w:val="bg-BG"/>
              </w:rPr>
            </w:pPr>
          </w:p>
          <w:p w14:paraId="25D5E1DA" w14:textId="77777777" w:rsidR="00432EC5" w:rsidRPr="00610B1B" w:rsidRDefault="00432EC5" w:rsidP="000D6378">
            <w:pPr>
              <w:rPr>
                <w:rFonts w:ascii="Times New Roman" w:hAnsi="Times New Roman" w:cs="Times New Roman"/>
                <w:lang w:val="bg-BG"/>
              </w:rPr>
            </w:pPr>
          </w:p>
          <w:p w14:paraId="062AE499" w14:textId="2035F731" w:rsidR="000D6378" w:rsidRPr="00610B1B" w:rsidRDefault="00432EC5" w:rsidP="000D6378">
            <w:pPr>
              <w:rPr>
                <w:rFonts w:ascii="Times New Roman" w:hAnsi="Times New Roman" w:cs="Times New Roman"/>
                <w:lang w:val="bg-BG"/>
              </w:rPr>
            </w:pPr>
            <w:r w:rsidRPr="00610B1B">
              <w:rPr>
                <w:rFonts w:ascii="Times New Roman" w:hAnsi="Times New Roman" w:cs="Times New Roman"/>
                <w:lang w:val="bg-BG"/>
              </w:rPr>
              <w:t xml:space="preserve">     </w:t>
            </w:r>
          </w:p>
        </w:tc>
        <w:tc>
          <w:tcPr>
            <w:tcW w:w="2701" w:type="dxa"/>
            <w:tcBorders>
              <w:bottom w:val="single" w:sz="4" w:space="0" w:color="auto"/>
            </w:tcBorders>
            <w:vAlign w:val="center"/>
          </w:tcPr>
          <w:p w14:paraId="704B37A4" w14:textId="4047DFC7" w:rsidR="00432EC5" w:rsidRPr="00610B1B" w:rsidRDefault="000D6378" w:rsidP="000D6378">
            <w:pPr>
              <w:pBdr>
                <w:bottom w:val="single" w:sz="6" w:space="1" w:color="auto"/>
              </w:pBd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Мониторинг на натрупаните отпадъци по крайбрежието и в морската среда</w:t>
            </w:r>
          </w:p>
          <w:p w14:paraId="36907968" w14:textId="277C0E06" w:rsidR="00432EC5" w:rsidRPr="00610B1B" w:rsidRDefault="00432EC5" w:rsidP="000D6378">
            <w:pPr>
              <w:rPr>
                <w:rFonts w:ascii="Times New Roman" w:hAnsi="Times New Roman" w:cs="Times New Roman"/>
                <w:sz w:val="20"/>
                <w:szCs w:val="20"/>
                <w:lang w:val="bg-BG" w:bidi="bg-BG"/>
              </w:rPr>
            </w:pPr>
          </w:p>
        </w:tc>
        <w:tc>
          <w:tcPr>
            <w:tcW w:w="2215" w:type="dxa"/>
          </w:tcPr>
          <w:p w14:paraId="6A21D624" w14:textId="77777777" w:rsidR="000D6378" w:rsidRPr="00610B1B" w:rsidRDefault="000D6378" w:rsidP="000D6378">
            <w:pPr>
              <w:rPr>
                <w:rFonts w:ascii="Times New Roman" w:hAnsi="Times New Roman" w:cs="Times New Roman"/>
                <w:sz w:val="20"/>
                <w:szCs w:val="20"/>
              </w:rPr>
            </w:pPr>
            <w:r w:rsidRPr="00610B1B">
              <w:rPr>
                <w:rFonts w:ascii="Times New Roman" w:hAnsi="Times New Roman" w:cs="Times New Roman"/>
                <w:sz w:val="20"/>
                <w:szCs w:val="20"/>
              </w:rPr>
              <w:t>Стратегическа цел 3, специфична цел 3.1.</w:t>
            </w:r>
          </w:p>
          <w:p w14:paraId="24B989B6" w14:textId="77777777" w:rsidR="00432EC5" w:rsidRPr="00610B1B" w:rsidRDefault="00432EC5" w:rsidP="000D6378">
            <w:pPr>
              <w:rPr>
                <w:rFonts w:ascii="Times New Roman" w:hAnsi="Times New Roman" w:cs="Times New Roman"/>
                <w:sz w:val="20"/>
                <w:szCs w:val="20"/>
              </w:rPr>
            </w:pPr>
          </w:p>
          <w:p w14:paraId="72253436" w14:textId="77777777" w:rsidR="00432EC5" w:rsidRPr="00610B1B" w:rsidRDefault="00432EC5" w:rsidP="000D6378">
            <w:pPr>
              <w:rPr>
                <w:rFonts w:ascii="Times New Roman" w:hAnsi="Times New Roman" w:cs="Times New Roman"/>
                <w:sz w:val="20"/>
                <w:szCs w:val="20"/>
              </w:rPr>
            </w:pPr>
          </w:p>
          <w:p w14:paraId="5F8E4A9E" w14:textId="78C56C37" w:rsidR="00432EC5" w:rsidRPr="00610B1B" w:rsidRDefault="00432EC5" w:rsidP="000D6378">
            <w:pPr>
              <w:rPr>
                <w:rFonts w:ascii="Times New Roman" w:hAnsi="Times New Roman" w:cs="Times New Roman"/>
                <w:sz w:val="20"/>
                <w:szCs w:val="20"/>
                <w:lang w:val="bg-BG"/>
              </w:rPr>
            </w:pPr>
          </w:p>
        </w:tc>
        <w:tc>
          <w:tcPr>
            <w:tcW w:w="2127" w:type="dxa"/>
          </w:tcPr>
          <w:p w14:paraId="6046A867" w14:textId="77777777" w:rsidR="000D6378" w:rsidRPr="00610B1B" w:rsidRDefault="000D6378" w:rsidP="000D6378">
            <w:pPr>
              <w:rPr>
                <w:rFonts w:ascii="Times New Roman" w:hAnsi="Times New Roman" w:cs="Times New Roman"/>
                <w:sz w:val="20"/>
                <w:szCs w:val="20"/>
              </w:rPr>
            </w:pPr>
            <w:r w:rsidRPr="00610B1B">
              <w:rPr>
                <w:rFonts w:ascii="Times New Roman" w:hAnsi="Times New Roman" w:cs="Times New Roman"/>
                <w:sz w:val="20"/>
                <w:szCs w:val="20"/>
              </w:rPr>
              <w:t>Количество на натрупани отпадъци</w:t>
            </w:r>
          </w:p>
          <w:p w14:paraId="45F0A662" w14:textId="77777777" w:rsidR="00432EC5" w:rsidRPr="00610B1B" w:rsidRDefault="00432EC5" w:rsidP="000D6378">
            <w:pPr>
              <w:rPr>
                <w:rFonts w:ascii="Times New Roman" w:hAnsi="Times New Roman" w:cs="Times New Roman"/>
                <w:sz w:val="20"/>
                <w:szCs w:val="20"/>
              </w:rPr>
            </w:pPr>
          </w:p>
          <w:p w14:paraId="788D6060" w14:textId="77777777" w:rsidR="00432EC5" w:rsidRPr="00610B1B" w:rsidRDefault="00432EC5" w:rsidP="000D6378">
            <w:pPr>
              <w:rPr>
                <w:rFonts w:ascii="Times New Roman" w:hAnsi="Times New Roman" w:cs="Times New Roman"/>
                <w:sz w:val="20"/>
                <w:szCs w:val="20"/>
              </w:rPr>
            </w:pPr>
          </w:p>
          <w:p w14:paraId="70D1864F" w14:textId="76EAFFDC" w:rsidR="00432EC5" w:rsidRPr="00610B1B" w:rsidRDefault="00432EC5" w:rsidP="000D6378">
            <w:pPr>
              <w:rPr>
                <w:rFonts w:ascii="Times New Roman" w:hAnsi="Times New Roman" w:cs="Times New Roman"/>
                <w:sz w:val="20"/>
                <w:szCs w:val="20"/>
                <w:lang w:val="bg-BG"/>
              </w:rPr>
            </w:pPr>
          </w:p>
        </w:tc>
        <w:tc>
          <w:tcPr>
            <w:tcW w:w="2596" w:type="dxa"/>
          </w:tcPr>
          <w:p w14:paraId="6E9F18A1" w14:textId="77777777" w:rsidR="000D6378" w:rsidRPr="00610B1B" w:rsidRDefault="000D6378" w:rsidP="000D6378">
            <w:pPr>
              <w:rPr>
                <w:rFonts w:ascii="Times New Roman" w:hAnsi="Times New Roman" w:cs="Times New Roman"/>
                <w:sz w:val="20"/>
                <w:szCs w:val="20"/>
              </w:rPr>
            </w:pPr>
            <w:r w:rsidRPr="00610B1B">
              <w:rPr>
                <w:rFonts w:ascii="Times New Roman" w:hAnsi="Times New Roman" w:cs="Times New Roman"/>
                <w:sz w:val="20"/>
                <w:szCs w:val="20"/>
              </w:rPr>
              <w:t>МОСВ, БДЧР</w:t>
            </w:r>
          </w:p>
          <w:p w14:paraId="324DACBE" w14:textId="77777777" w:rsidR="00432EC5" w:rsidRPr="00610B1B" w:rsidRDefault="00432EC5" w:rsidP="000D6378">
            <w:pPr>
              <w:rPr>
                <w:rFonts w:ascii="Times New Roman" w:hAnsi="Times New Roman" w:cs="Times New Roman"/>
                <w:sz w:val="20"/>
                <w:szCs w:val="20"/>
              </w:rPr>
            </w:pPr>
          </w:p>
          <w:p w14:paraId="42529420" w14:textId="77777777" w:rsidR="00432EC5" w:rsidRPr="00610B1B" w:rsidRDefault="00432EC5" w:rsidP="000D6378">
            <w:pPr>
              <w:rPr>
                <w:rFonts w:ascii="Times New Roman" w:hAnsi="Times New Roman" w:cs="Times New Roman"/>
                <w:sz w:val="20"/>
                <w:szCs w:val="20"/>
              </w:rPr>
            </w:pPr>
          </w:p>
          <w:p w14:paraId="07111588" w14:textId="77777777" w:rsidR="00432EC5" w:rsidRPr="00610B1B" w:rsidRDefault="00432EC5" w:rsidP="000D6378">
            <w:pPr>
              <w:rPr>
                <w:rFonts w:ascii="Times New Roman" w:hAnsi="Times New Roman" w:cs="Times New Roman"/>
                <w:sz w:val="20"/>
                <w:szCs w:val="20"/>
              </w:rPr>
            </w:pPr>
          </w:p>
          <w:p w14:paraId="311A68A8" w14:textId="3E457CFD" w:rsidR="00432EC5" w:rsidRPr="00610B1B" w:rsidRDefault="00432EC5" w:rsidP="000D6378">
            <w:pPr>
              <w:rPr>
                <w:rFonts w:ascii="Times New Roman" w:hAnsi="Times New Roman" w:cs="Times New Roman"/>
                <w:sz w:val="20"/>
                <w:szCs w:val="20"/>
                <w:lang w:val="bg-BG"/>
              </w:rPr>
            </w:pPr>
          </w:p>
        </w:tc>
      </w:tr>
      <w:tr w:rsidR="00282A96" w:rsidRPr="00610B1B" w14:paraId="462A6344" w14:textId="77777777" w:rsidTr="006278DC">
        <w:tc>
          <w:tcPr>
            <w:tcW w:w="426" w:type="dxa"/>
            <w:vAlign w:val="center"/>
          </w:tcPr>
          <w:p w14:paraId="66757F58" w14:textId="47A750F2" w:rsidR="00282A96" w:rsidRPr="00610B1B" w:rsidRDefault="006278DC" w:rsidP="000D6378">
            <w:pPr>
              <w:rPr>
                <w:rFonts w:ascii="Times New Roman" w:hAnsi="Times New Roman" w:cs="Times New Roman"/>
                <w:lang w:val="bg-BG"/>
              </w:rPr>
            </w:pPr>
            <w:r w:rsidRPr="00610B1B">
              <w:rPr>
                <w:rFonts w:ascii="Times New Roman" w:hAnsi="Times New Roman" w:cs="Times New Roman"/>
                <w:lang w:val="bg-BG"/>
              </w:rPr>
              <w:t>21</w:t>
            </w:r>
          </w:p>
        </w:tc>
        <w:tc>
          <w:tcPr>
            <w:tcW w:w="2701" w:type="dxa"/>
            <w:tcBorders>
              <w:right w:val="single" w:sz="4" w:space="0" w:color="auto"/>
            </w:tcBorders>
            <w:vAlign w:val="center"/>
          </w:tcPr>
          <w:p w14:paraId="44A34E3A" w14:textId="640E07EF" w:rsidR="00282A96" w:rsidRPr="00610B1B" w:rsidRDefault="00282A96" w:rsidP="000D6378">
            <w:pPr>
              <w:pBdr>
                <w:bottom w:val="single" w:sz="6" w:space="1" w:color="auto"/>
              </w:pBdr>
              <w:rPr>
                <w:rFonts w:ascii="Times New Roman" w:hAnsi="Times New Roman" w:cs="Times New Roman"/>
                <w:sz w:val="20"/>
                <w:szCs w:val="20"/>
                <w:lang w:val="bg-BG" w:bidi="bg-BG"/>
              </w:rPr>
            </w:pPr>
            <w:r w:rsidRPr="00610B1B">
              <w:rPr>
                <w:rFonts w:ascii="Times New Roman" w:hAnsi="Times New Roman" w:cs="Times New Roman"/>
                <w:sz w:val="20"/>
                <w:szCs w:val="20"/>
                <w:lang w:val="bg-BG" w:bidi="bg-BG"/>
              </w:rPr>
              <w:t>Опазване на зоните за защита на водите, за отдих,водни спортове или къпане</w:t>
            </w:r>
          </w:p>
        </w:tc>
        <w:tc>
          <w:tcPr>
            <w:tcW w:w="2215" w:type="dxa"/>
            <w:tcBorders>
              <w:left w:val="single" w:sz="4" w:space="0" w:color="auto"/>
            </w:tcBorders>
          </w:tcPr>
          <w:p w14:paraId="47FCD931" w14:textId="4D06BDB4" w:rsidR="00282A96" w:rsidRPr="00610B1B" w:rsidRDefault="006278DC" w:rsidP="000D6378">
            <w:pPr>
              <w:rPr>
                <w:rFonts w:ascii="Times New Roman" w:hAnsi="Times New Roman" w:cs="Times New Roman"/>
                <w:sz w:val="20"/>
                <w:szCs w:val="20"/>
              </w:rPr>
            </w:pPr>
            <w:r w:rsidRPr="00610B1B">
              <w:rPr>
                <w:rFonts w:ascii="Times New Roman" w:hAnsi="Times New Roman" w:cs="Times New Roman"/>
                <w:sz w:val="20"/>
                <w:szCs w:val="20"/>
              </w:rPr>
              <w:t>Стратегическа цел 3, специфична цел 3.1</w:t>
            </w:r>
          </w:p>
        </w:tc>
        <w:tc>
          <w:tcPr>
            <w:tcW w:w="2127" w:type="dxa"/>
          </w:tcPr>
          <w:p w14:paraId="1F34A2CB" w14:textId="5DD4729A" w:rsidR="00282A96" w:rsidRPr="007E28B9" w:rsidRDefault="00282A96" w:rsidP="000D6378">
            <w:pPr>
              <w:rPr>
                <w:rFonts w:ascii="Times New Roman" w:hAnsi="Times New Roman" w:cs="Times New Roman"/>
                <w:sz w:val="20"/>
                <w:szCs w:val="20"/>
                <w:lang w:val="bg-BG"/>
              </w:rPr>
            </w:pPr>
          </w:p>
          <w:p w14:paraId="79F88FB0" w14:textId="77777777" w:rsidR="007E28B9" w:rsidRDefault="007E28B9" w:rsidP="00E82066">
            <w:pPr>
              <w:pStyle w:val="Bodytext22"/>
              <w:shd w:val="clear" w:color="auto" w:fill="auto"/>
              <w:spacing w:before="0" w:after="240" w:line="253" w:lineRule="exact"/>
              <w:ind w:firstLine="0"/>
              <w:rPr>
                <w:rFonts w:eastAsia="Wingdings"/>
                <w:sz w:val="20"/>
                <w:szCs w:val="20"/>
              </w:rPr>
            </w:pPr>
            <w:r w:rsidRPr="00E82066">
              <w:rPr>
                <w:rFonts w:eastAsia="Wingdings"/>
                <w:sz w:val="20"/>
                <w:szCs w:val="20"/>
              </w:rPr>
              <w:t>Брой определени зони за отдих/водни спортове;</w:t>
            </w:r>
          </w:p>
          <w:p w14:paraId="4A2509A3" w14:textId="0BC75AF1" w:rsidR="007E28B9" w:rsidRPr="00E82066" w:rsidRDefault="007E28B9" w:rsidP="00E82066">
            <w:pPr>
              <w:pStyle w:val="Bodytext22"/>
              <w:shd w:val="clear" w:color="auto" w:fill="auto"/>
              <w:spacing w:before="0" w:after="240" w:line="253" w:lineRule="exact"/>
              <w:ind w:firstLine="0"/>
              <w:rPr>
                <w:rFonts w:eastAsia="Wingdings"/>
                <w:sz w:val="20"/>
                <w:szCs w:val="20"/>
              </w:rPr>
            </w:pPr>
            <w:r w:rsidRPr="00E82066">
              <w:rPr>
                <w:rFonts w:eastAsia="Wingdings"/>
                <w:sz w:val="20"/>
                <w:szCs w:val="20"/>
              </w:rPr>
              <w:t>-Брой определени зони с отлично и добро състояние на водите за къпане</w:t>
            </w:r>
          </w:p>
        </w:tc>
        <w:tc>
          <w:tcPr>
            <w:tcW w:w="2596" w:type="dxa"/>
          </w:tcPr>
          <w:p w14:paraId="09EF8E15" w14:textId="7D62E38F" w:rsidR="00282A96" w:rsidRPr="007E28B9" w:rsidRDefault="006278DC" w:rsidP="000D6378">
            <w:pPr>
              <w:rPr>
                <w:rFonts w:ascii="Times New Roman" w:hAnsi="Times New Roman" w:cs="Times New Roman"/>
                <w:sz w:val="20"/>
                <w:szCs w:val="20"/>
              </w:rPr>
            </w:pPr>
            <w:r w:rsidRPr="007E28B9">
              <w:rPr>
                <w:rFonts w:ascii="Times New Roman" w:hAnsi="Times New Roman" w:cs="Times New Roman"/>
                <w:sz w:val="20"/>
                <w:szCs w:val="20"/>
                <w:lang w:val="bg-BG"/>
              </w:rPr>
              <w:t>Областни администрации,ИА“ Морска администрация“,Дирекция“МА“ Варна и Бургас</w:t>
            </w:r>
            <w:r w:rsidR="007E28B9">
              <w:rPr>
                <w:rFonts w:ascii="Times New Roman" w:hAnsi="Times New Roman" w:cs="Times New Roman"/>
                <w:sz w:val="20"/>
                <w:szCs w:val="20"/>
                <w:lang w:val="bg-BG"/>
              </w:rPr>
              <w:t>, МЗ</w:t>
            </w:r>
          </w:p>
        </w:tc>
      </w:tr>
    </w:tbl>
    <w:p w14:paraId="6CCF4191" w14:textId="00A1741F" w:rsidR="00653FB2" w:rsidRPr="00610B1B" w:rsidRDefault="00653FB2" w:rsidP="00774CD7">
      <w:pPr>
        <w:pStyle w:val="BodyText"/>
        <w:spacing w:before="240" w:after="120" w:line="276" w:lineRule="auto"/>
        <w:rPr>
          <w:rFonts w:cs="Times New Roman"/>
        </w:rPr>
      </w:pPr>
      <w:r w:rsidRPr="00610B1B">
        <w:rPr>
          <w:rFonts w:cs="Times New Roman"/>
        </w:rPr>
        <w:t>За целите на морското пространствено планиране е възможно да се използват и по-комплексни индекси, в които да бъдат включени няколко различни показатели, или да се използват изследвания и оценки на международни институции, изготвени с цел да се правят сравн</w:t>
      </w:r>
      <w:r w:rsidR="00091BE7" w:rsidRPr="00610B1B">
        <w:rPr>
          <w:rFonts w:cs="Times New Roman"/>
        </w:rPr>
        <w:t>ителни анализи на</w:t>
      </w:r>
      <w:r w:rsidRPr="00610B1B">
        <w:rPr>
          <w:rFonts w:cs="Times New Roman"/>
        </w:rPr>
        <w:t xml:space="preserve"> икономическото развитие на страните или на отделни сектори</w:t>
      </w:r>
      <w:r w:rsidR="00B71F43" w:rsidRPr="00610B1B">
        <w:rPr>
          <w:rFonts w:cs="Times New Roman"/>
        </w:rPr>
        <w:t xml:space="preserve"> от морската икономика</w:t>
      </w:r>
      <w:r w:rsidRPr="00610B1B">
        <w:rPr>
          <w:rFonts w:cs="Times New Roman"/>
        </w:rPr>
        <w:t xml:space="preserve">. </w:t>
      </w:r>
    </w:p>
    <w:p w14:paraId="4CF07445" w14:textId="3358028B" w:rsidR="00790F3C" w:rsidRPr="00610B1B" w:rsidRDefault="00790F3C" w:rsidP="00D32D6A">
      <w:pPr>
        <w:pStyle w:val="BodyText"/>
        <w:spacing w:before="0" w:after="120" w:line="276" w:lineRule="auto"/>
        <w:rPr>
          <w:rFonts w:cs="Times New Roman"/>
        </w:rPr>
      </w:pPr>
      <w:r w:rsidRPr="00610B1B">
        <w:rPr>
          <w:rFonts w:cs="Times New Roman"/>
        </w:rPr>
        <w:t xml:space="preserve">Въз основа на тези индикатори МРРБ ще изготвя доклади на всеки две години, за да отчита резултатите от прилагането на Морския пространствен план и постигането на набелязаните стратегически и специфични цели. Отговорните институции ще предоставят необходимата информация за изготвянето на тези доклади и ще съдействат за систематизиране на изводите и резултатите. </w:t>
      </w:r>
    </w:p>
    <w:p w14:paraId="26F379FA" w14:textId="77777777" w:rsidR="00782D1A" w:rsidRPr="00610B1B" w:rsidRDefault="00782D1A" w:rsidP="00782D1A">
      <w:pPr>
        <w:pStyle w:val="BodyText"/>
        <w:spacing w:after="120" w:line="276" w:lineRule="auto"/>
        <w:rPr>
          <w:rFonts w:cs="Times New Roman"/>
          <w:lang w:bidi="bg-BG"/>
        </w:rPr>
      </w:pPr>
      <w:r w:rsidRPr="00610B1B">
        <w:rPr>
          <w:rFonts w:cs="Times New Roman"/>
          <w:lang w:bidi="bg-BG"/>
        </w:rPr>
        <w:t xml:space="preserve">На всеки </w:t>
      </w:r>
      <w:r w:rsidRPr="00610B1B">
        <w:rPr>
          <w:rFonts w:cs="Times New Roman"/>
          <w:b/>
          <w:bCs/>
          <w:lang w:bidi="bg-BG"/>
        </w:rPr>
        <w:t xml:space="preserve">две години </w:t>
      </w:r>
      <w:r w:rsidRPr="00610B1B">
        <w:rPr>
          <w:rFonts w:cs="Times New Roman"/>
          <w:lang w:bidi="bg-BG"/>
        </w:rPr>
        <w:t>от прилагането на плана, възложителят да изготвя доклади по наблюдението и контрола на въздействието върху околната среда при прилагането на МППРБ, включително на мерките за предотвратяване, намаляване или отстраняване на последиците от възникнали неблагоприятни последствия от осъществяването на плана. Изготвените доклади да се предоставят в Министерство на околната среда и водите за одобряване.</w:t>
      </w:r>
    </w:p>
    <w:p w14:paraId="659B2B48" w14:textId="77777777" w:rsidR="00782D1A" w:rsidRPr="00610B1B" w:rsidRDefault="00782D1A" w:rsidP="00782D1A">
      <w:pPr>
        <w:pStyle w:val="BodyText"/>
        <w:spacing w:after="120" w:line="276" w:lineRule="auto"/>
        <w:rPr>
          <w:rFonts w:cs="Times New Roman"/>
        </w:rPr>
      </w:pPr>
    </w:p>
    <w:p w14:paraId="52666483" w14:textId="77777777" w:rsidR="00782D1A" w:rsidRPr="00610B1B" w:rsidRDefault="00782D1A" w:rsidP="00D32D6A">
      <w:pPr>
        <w:pStyle w:val="BodyText"/>
        <w:spacing w:before="0" w:after="120" w:line="276" w:lineRule="auto"/>
        <w:rPr>
          <w:rFonts w:cs="Times New Roman"/>
        </w:rPr>
      </w:pPr>
    </w:p>
    <w:p w14:paraId="0B1B28CD" w14:textId="77777777" w:rsidR="004A5F4D" w:rsidRPr="00610B1B" w:rsidRDefault="004A5F4D" w:rsidP="00D32D6A">
      <w:pPr>
        <w:pStyle w:val="BodyText"/>
        <w:spacing w:before="0" w:after="120" w:line="276" w:lineRule="auto"/>
        <w:rPr>
          <w:rFonts w:cs="Times New Roman"/>
        </w:rPr>
      </w:pPr>
    </w:p>
    <w:p w14:paraId="159583A8" w14:textId="77777777" w:rsidR="006F076F" w:rsidRPr="00610B1B" w:rsidRDefault="006F076F" w:rsidP="00D32D6A">
      <w:pPr>
        <w:spacing w:after="120"/>
        <w:rPr>
          <w:rFonts w:ascii="Times New Roman" w:eastAsia="Source Han Sans CN Regular" w:hAnsi="Times New Roman" w:cs="Times New Roman"/>
          <w:b/>
          <w:bCs/>
          <w:color w:val="0F243E" w:themeColor="text2" w:themeShade="80"/>
          <w:sz w:val="36"/>
          <w:szCs w:val="36"/>
          <w:lang w:val="bg-BG" w:eastAsia="zh-CN" w:bidi="hi-IN"/>
        </w:rPr>
      </w:pPr>
      <w:r w:rsidRPr="00610B1B">
        <w:rPr>
          <w:rFonts w:ascii="Times New Roman" w:hAnsi="Times New Roman" w:cs="Times New Roman"/>
          <w:lang w:val="bg-BG"/>
        </w:rPr>
        <w:lastRenderedPageBreak/>
        <w:br w:type="page"/>
      </w:r>
    </w:p>
    <w:p w14:paraId="24F519FD" w14:textId="6D634D33" w:rsidR="00DD51C3" w:rsidRPr="00610B1B" w:rsidRDefault="00E0439B" w:rsidP="00D32D6A">
      <w:pPr>
        <w:pStyle w:val="Heading1"/>
        <w:spacing w:before="0" w:line="276" w:lineRule="auto"/>
        <w:rPr>
          <w:rFonts w:cs="Times New Roman"/>
        </w:rPr>
      </w:pPr>
      <w:bookmarkStart w:id="509" w:name="_Toc83391446"/>
      <w:r w:rsidRPr="00610B1B">
        <w:rPr>
          <w:rFonts w:cs="Times New Roman"/>
        </w:rPr>
        <w:lastRenderedPageBreak/>
        <w:t>8</w:t>
      </w:r>
      <w:r w:rsidR="00F37D59" w:rsidRPr="00610B1B">
        <w:rPr>
          <w:rFonts w:cs="Times New Roman"/>
        </w:rPr>
        <w:t xml:space="preserve">. </w:t>
      </w:r>
      <w:r w:rsidR="00EE0736" w:rsidRPr="00610B1B">
        <w:rPr>
          <w:rFonts w:cs="Times New Roman"/>
        </w:rPr>
        <w:t>ПУБЛИЧНИ КОНСУЛТАЦИИ И ОБЩЕСТВЕНИ ОБСЪЖДАНИЯ</w:t>
      </w:r>
      <w:bookmarkEnd w:id="509"/>
    </w:p>
    <w:p w14:paraId="59BF9EF1" w14:textId="39869434" w:rsidR="00B531D6" w:rsidRPr="00610B1B" w:rsidRDefault="00B531D6" w:rsidP="00D32D6A">
      <w:pPr>
        <w:widowControl w:val="0"/>
        <w:spacing w:after="120"/>
        <w:ind w:right="-153"/>
        <w:jc w:val="both"/>
        <w:rPr>
          <w:rFonts w:ascii="Times New Roman" w:eastAsia="Times New Roman" w:hAnsi="Times New Roman" w:cs="Times New Roman"/>
          <w:sz w:val="24"/>
          <w:szCs w:val="24"/>
          <w:lang w:val="bg-BG"/>
        </w:rPr>
      </w:pPr>
      <w:bookmarkStart w:id="510" w:name="_Hlk46072278"/>
      <w:bookmarkEnd w:id="493"/>
      <w:r w:rsidRPr="00610B1B">
        <w:rPr>
          <w:rFonts w:ascii="Times New Roman" w:eastAsia="Times New Roman" w:hAnsi="Times New Roman" w:cs="Times New Roman"/>
          <w:sz w:val="24"/>
          <w:szCs w:val="24"/>
          <w:lang w:val="bg-BG"/>
        </w:rPr>
        <w:t>Принципът за партньорство, публичност и прозрачност на всички нива е важен механизъм за повишаване на устойчивостта на взетите решения и планираните цели и задачи, за ефективността на тяхната реализация</w:t>
      </w:r>
      <w:r w:rsidR="002722B7"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w:t>
      </w:r>
      <w:r w:rsidR="00A579CE" w:rsidRPr="00610B1B">
        <w:rPr>
          <w:rFonts w:ascii="Times New Roman" w:eastAsia="Times New Roman" w:hAnsi="Times New Roman" w:cs="Times New Roman"/>
          <w:sz w:val="24"/>
          <w:szCs w:val="24"/>
          <w:lang w:val="bg-BG"/>
        </w:rPr>
        <w:t xml:space="preserve">особено </w:t>
      </w:r>
      <w:r w:rsidRPr="00610B1B">
        <w:rPr>
          <w:rFonts w:ascii="Times New Roman" w:eastAsia="Times New Roman" w:hAnsi="Times New Roman" w:cs="Times New Roman"/>
          <w:sz w:val="24"/>
          <w:szCs w:val="24"/>
          <w:lang w:val="bg-BG"/>
        </w:rPr>
        <w:t>при подобна нова за страната дейност, ка</w:t>
      </w:r>
      <w:r w:rsidR="00A579CE" w:rsidRPr="00610B1B">
        <w:rPr>
          <w:rFonts w:ascii="Times New Roman" w:eastAsia="Times New Roman" w:hAnsi="Times New Roman" w:cs="Times New Roman"/>
          <w:sz w:val="24"/>
          <w:szCs w:val="24"/>
          <w:lang w:val="bg-BG"/>
        </w:rPr>
        <w:t>квото е</w:t>
      </w:r>
      <w:r w:rsidRPr="00610B1B">
        <w:rPr>
          <w:rFonts w:ascii="Times New Roman" w:eastAsia="Times New Roman" w:hAnsi="Times New Roman" w:cs="Times New Roman"/>
          <w:sz w:val="24"/>
          <w:szCs w:val="24"/>
          <w:lang w:val="bg-BG"/>
        </w:rPr>
        <w:t xml:space="preserve"> морското пространствено планиране.</w:t>
      </w:r>
    </w:p>
    <w:p w14:paraId="27415ED1" w14:textId="56DE601C" w:rsidR="00B531D6" w:rsidRPr="00610B1B" w:rsidRDefault="00E53F95" w:rsidP="00D32D6A">
      <w:pPr>
        <w:widowControl w:val="0"/>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iCs/>
          <w:sz w:val="24"/>
          <w:szCs w:val="24"/>
          <w:shd w:val="clear" w:color="auto" w:fill="FFFFFF"/>
          <w:lang w:val="bg-BG" w:eastAsia="bg-BG" w:bidi="bg-BG"/>
        </w:rPr>
        <w:t>Главната</w:t>
      </w:r>
      <w:r w:rsidR="00B531D6" w:rsidRPr="00610B1B">
        <w:rPr>
          <w:rFonts w:ascii="Times New Roman" w:eastAsia="Times New Roman" w:hAnsi="Times New Roman" w:cs="Times New Roman"/>
          <w:i/>
          <w:iCs/>
          <w:sz w:val="24"/>
          <w:szCs w:val="24"/>
          <w:shd w:val="clear" w:color="auto" w:fill="FFFFFF"/>
          <w:lang w:val="bg-BG" w:eastAsia="bg-BG" w:bidi="bg-BG"/>
        </w:rPr>
        <w:t xml:space="preserve"> цел</w:t>
      </w:r>
      <w:r w:rsidR="00B531D6" w:rsidRPr="00610B1B">
        <w:rPr>
          <w:rFonts w:ascii="Times New Roman" w:eastAsia="Times New Roman" w:hAnsi="Times New Roman" w:cs="Times New Roman"/>
          <w:sz w:val="24"/>
          <w:szCs w:val="24"/>
          <w:lang w:val="bg-BG"/>
        </w:rPr>
        <w:t xml:space="preserve"> на прилагането на информираност и публичност при разработването на МППРБ е повишаване </w:t>
      </w:r>
      <w:r w:rsidR="00BB507E" w:rsidRPr="00610B1B">
        <w:rPr>
          <w:rFonts w:ascii="Times New Roman" w:eastAsia="Times New Roman" w:hAnsi="Times New Roman" w:cs="Times New Roman"/>
          <w:sz w:val="24"/>
          <w:szCs w:val="24"/>
          <w:lang w:val="bg-BG"/>
        </w:rPr>
        <w:t xml:space="preserve">на </w:t>
      </w:r>
      <w:r w:rsidR="00B531D6" w:rsidRPr="00610B1B">
        <w:rPr>
          <w:rFonts w:ascii="Times New Roman" w:eastAsia="Times New Roman" w:hAnsi="Times New Roman" w:cs="Times New Roman"/>
          <w:sz w:val="24"/>
          <w:szCs w:val="24"/>
          <w:lang w:val="bg-BG"/>
        </w:rPr>
        <w:t>обществената осведоменост и осигуряване прозрачност при генерирането на идеи за бъдещото развитие, опазване и използване на морските пространства.</w:t>
      </w:r>
    </w:p>
    <w:p w14:paraId="11DF348C" w14:textId="3C44ED9F" w:rsidR="00B531D6" w:rsidRPr="00610B1B" w:rsidRDefault="00B531D6" w:rsidP="00D32D6A">
      <w:pPr>
        <w:widowControl w:val="0"/>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iCs/>
          <w:sz w:val="24"/>
          <w:szCs w:val="24"/>
          <w:shd w:val="clear" w:color="auto" w:fill="FFFFFF"/>
          <w:lang w:val="bg-BG" w:eastAsia="bg-BG" w:bidi="bg-BG"/>
        </w:rPr>
        <w:t>Основна отговорност</w:t>
      </w:r>
      <w:r w:rsidRPr="00610B1B">
        <w:rPr>
          <w:rFonts w:ascii="Times New Roman" w:eastAsia="Times New Roman" w:hAnsi="Times New Roman" w:cs="Times New Roman"/>
          <w:sz w:val="24"/>
          <w:szCs w:val="24"/>
          <w:lang w:val="bg-BG"/>
        </w:rPr>
        <w:t xml:space="preserve"> за осигуряване на информация и публичност на процеса на разработване, съгласуване, актуализиране и изпълнение на МППРБ има Министърът на регионалното развитие и благоустройството, подпомаган Консултативния съвет по въпросите на морското пространствено планиране и от ГД „Стратегическо планиране и програми за регионално развитие“ на МРРБ. Във всички етапи на разработване и прилагане участват и </w:t>
      </w:r>
      <w:r w:rsidR="00A579CE" w:rsidRPr="00610B1B">
        <w:rPr>
          <w:rFonts w:ascii="Times New Roman" w:eastAsia="Times New Roman" w:hAnsi="Times New Roman" w:cs="Times New Roman"/>
          <w:sz w:val="24"/>
          <w:szCs w:val="24"/>
          <w:lang w:val="bg-BG"/>
        </w:rPr>
        <w:t xml:space="preserve">разпределят </w:t>
      </w:r>
      <w:r w:rsidRPr="00610B1B">
        <w:rPr>
          <w:rFonts w:ascii="Times New Roman" w:eastAsia="Times New Roman" w:hAnsi="Times New Roman" w:cs="Times New Roman"/>
          <w:sz w:val="24"/>
          <w:szCs w:val="24"/>
          <w:lang w:val="bg-BG"/>
        </w:rPr>
        <w:t xml:space="preserve">отговорности </w:t>
      </w:r>
      <w:r w:rsidR="00A579CE" w:rsidRPr="00610B1B">
        <w:rPr>
          <w:rFonts w:ascii="Times New Roman" w:eastAsia="Times New Roman" w:hAnsi="Times New Roman" w:cs="Times New Roman"/>
          <w:sz w:val="24"/>
          <w:szCs w:val="24"/>
          <w:lang w:val="bg-BG"/>
        </w:rPr>
        <w:t>по</w:t>
      </w:r>
      <w:r w:rsidRPr="00610B1B">
        <w:rPr>
          <w:rFonts w:ascii="Times New Roman" w:eastAsia="Times New Roman" w:hAnsi="Times New Roman" w:cs="Times New Roman"/>
          <w:sz w:val="24"/>
          <w:szCs w:val="24"/>
          <w:lang w:val="bg-BG"/>
        </w:rPr>
        <w:t>между</w:t>
      </w:r>
      <w:r w:rsidR="00A579CE" w:rsidRPr="00610B1B">
        <w:rPr>
          <w:rFonts w:ascii="Times New Roman" w:eastAsia="Times New Roman" w:hAnsi="Times New Roman" w:cs="Times New Roman"/>
          <w:sz w:val="24"/>
          <w:szCs w:val="24"/>
          <w:lang w:val="bg-BG"/>
        </w:rPr>
        <w:t xml:space="preserve"> си</w:t>
      </w:r>
      <w:r w:rsidRPr="00610B1B">
        <w:rPr>
          <w:rFonts w:ascii="Times New Roman" w:eastAsia="Times New Roman" w:hAnsi="Times New Roman" w:cs="Times New Roman"/>
          <w:sz w:val="24"/>
          <w:szCs w:val="24"/>
          <w:lang w:val="bg-BG"/>
        </w:rPr>
        <w:t xml:space="preserve"> всички групи партньори: административни структури (централни, териториални) на изпълнителната власт, икономически и социални партньори, НПО, граждански сдружения, широка</w:t>
      </w:r>
      <w:r w:rsidR="006610D1" w:rsidRPr="00610B1B">
        <w:rPr>
          <w:rFonts w:ascii="Times New Roman" w:eastAsia="Times New Roman" w:hAnsi="Times New Roman" w:cs="Times New Roman"/>
          <w:sz w:val="24"/>
          <w:szCs w:val="24"/>
          <w:lang w:val="bg-BG"/>
        </w:rPr>
        <w:t>та</w:t>
      </w:r>
      <w:r w:rsidRPr="00610B1B">
        <w:rPr>
          <w:rFonts w:ascii="Times New Roman" w:eastAsia="Times New Roman" w:hAnsi="Times New Roman" w:cs="Times New Roman"/>
          <w:sz w:val="24"/>
          <w:szCs w:val="24"/>
          <w:lang w:val="bg-BG"/>
        </w:rPr>
        <w:t xml:space="preserve"> общественост, като в зависимост от етапа, нивото на съучастие е различн</w:t>
      </w:r>
      <w:r w:rsidR="00A579CE" w:rsidRPr="00610B1B">
        <w:rPr>
          <w:rFonts w:ascii="Times New Roman" w:eastAsia="Times New Roman" w:hAnsi="Times New Roman" w:cs="Times New Roman"/>
          <w:sz w:val="24"/>
          <w:szCs w:val="24"/>
          <w:lang w:val="bg-BG"/>
        </w:rPr>
        <w:t>о</w:t>
      </w:r>
      <w:r w:rsidRPr="00610B1B">
        <w:rPr>
          <w:rFonts w:ascii="Times New Roman" w:eastAsia="Times New Roman" w:hAnsi="Times New Roman" w:cs="Times New Roman"/>
          <w:sz w:val="24"/>
          <w:szCs w:val="24"/>
          <w:lang w:val="bg-BG"/>
        </w:rPr>
        <w:t>. При взаимодействие между целевите групи са приложени всички приети форми на взаимодействие: информиране, консултиране и съгласуваност, ангажираност и активно участие.</w:t>
      </w:r>
    </w:p>
    <w:p w14:paraId="3AEF9050" w14:textId="7AF067FA" w:rsidR="00B531D6" w:rsidRPr="00610B1B" w:rsidRDefault="00B531D6" w:rsidP="00D32D6A">
      <w:pPr>
        <w:widowControl w:val="0"/>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Основополагащите документи, които са използвани при провеждане на консултациите и разпределението на основните събития и ангажименти са следните:</w:t>
      </w:r>
    </w:p>
    <w:p w14:paraId="13802269" w14:textId="02E9CB23" w:rsidR="00B531D6" w:rsidRPr="00610B1B" w:rsidRDefault="00B531D6" w:rsidP="00566CC3">
      <w:pPr>
        <w:pStyle w:val="ListParagraph"/>
        <w:widowControl w:val="0"/>
        <w:numPr>
          <w:ilvl w:val="0"/>
          <w:numId w:val="60"/>
        </w:numPr>
        <w:spacing w:after="80"/>
        <w:ind w:left="425" w:right="-153" w:hanging="357"/>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Бяла книга за европейската комуникационна стратегия (COM(2006) 35 окончателен), която определя насоките за двупосочна и активна комуникация, подобрява качеството на информацията, стимулира по-добре информираното общество за активно участие в процеса на вземане на решения. В съответствие с нейните препоръки се определят общите принципи за комуникационните мерки във връзка с Интегрираната морска политика и се търсят възможности за създаването на национална платформа/„обществена арена“ на знанието за морското пространствено планиране и </w:t>
      </w:r>
      <w:r w:rsidR="00A579CE" w:rsidRPr="00610B1B">
        <w:rPr>
          <w:rFonts w:ascii="Times New Roman" w:eastAsia="Times New Roman" w:hAnsi="Times New Roman" w:cs="Times New Roman"/>
          <w:sz w:val="24"/>
          <w:szCs w:val="24"/>
          <w:lang w:val="bg-BG"/>
        </w:rPr>
        <w:t xml:space="preserve">за </w:t>
      </w:r>
      <w:r w:rsidRPr="00610B1B">
        <w:rPr>
          <w:rFonts w:ascii="Times New Roman" w:eastAsia="Times New Roman" w:hAnsi="Times New Roman" w:cs="Times New Roman"/>
          <w:sz w:val="24"/>
          <w:szCs w:val="24"/>
          <w:lang w:val="bg-BG"/>
        </w:rPr>
        <w:t xml:space="preserve">съвместна работа в партньорство със заинтересованите страни. </w:t>
      </w:r>
    </w:p>
    <w:p w14:paraId="7303D1CD" w14:textId="67DF4E51" w:rsidR="00B531D6" w:rsidRPr="00610B1B" w:rsidRDefault="00B531D6" w:rsidP="00566CC3">
      <w:pPr>
        <w:pStyle w:val="ListParagraph"/>
        <w:widowControl w:val="0"/>
        <w:numPr>
          <w:ilvl w:val="0"/>
          <w:numId w:val="60"/>
        </w:numPr>
        <w:spacing w:after="80"/>
        <w:ind w:left="425" w:right="-153" w:hanging="357"/>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Методически указания за публично участие и трансгранични консултации в процеса на разработване на морски пространствен план (HELCOM, VASAB, 2016), които проследяват отделните стъпки за трансгранично консултиране и прилагането на Конвенцията на Обединените нации за Оценка на въздействието върху околната среда в трансграничен контекст (Espoо конвенция,</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в сила от 1997 г.) и Протокола от Киев (2003 г.);</w:t>
      </w:r>
    </w:p>
    <w:p w14:paraId="7494A9F1" w14:textId="488B8027" w:rsidR="00B531D6" w:rsidRPr="00610B1B" w:rsidRDefault="00B531D6" w:rsidP="00566CC3">
      <w:pPr>
        <w:pStyle w:val="ListParagraph"/>
        <w:widowControl w:val="0"/>
        <w:numPr>
          <w:ilvl w:val="0"/>
          <w:numId w:val="60"/>
        </w:numPr>
        <w:spacing w:after="80"/>
        <w:ind w:left="425" w:right="-153" w:hanging="357"/>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Закона за достъп до обществена информация (обн. ДВ бр. 55/2000 г., изм. ДВ</w:t>
      </w:r>
      <w:r w:rsidRPr="00610B1B">
        <w:rPr>
          <w:rFonts w:ascii="Times New Roman" w:hAnsi="Times New Roman" w:cs="Times New Roman"/>
          <w:lang w:val="bg-BG"/>
        </w:rPr>
        <w:t xml:space="preserve"> </w:t>
      </w:r>
      <w:r w:rsidRPr="00610B1B">
        <w:rPr>
          <w:rFonts w:ascii="Times New Roman" w:eastAsia="Times New Roman" w:hAnsi="Times New Roman" w:cs="Times New Roman"/>
          <w:sz w:val="24"/>
          <w:szCs w:val="24"/>
          <w:lang w:val="bg-BG"/>
        </w:rPr>
        <w:t>бр. 17/26.02.2019 г.) и Закон</w:t>
      </w:r>
      <w:r w:rsidR="006610D1" w:rsidRPr="00610B1B">
        <w:rPr>
          <w:rFonts w:ascii="Times New Roman" w:eastAsia="Times New Roman" w:hAnsi="Times New Roman" w:cs="Times New Roman"/>
          <w:sz w:val="24"/>
          <w:szCs w:val="24"/>
          <w:lang w:val="bg-BG"/>
        </w:rPr>
        <w:t>а</w:t>
      </w:r>
      <w:r w:rsidRPr="00610B1B">
        <w:rPr>
          <w:rFonts w:ascii="Times New Roman" w:eastAsia="Times New Roman" w:hAnsi="Times New Roman" w:cs="Times New Roman"/>
          <w:sz w:val="24"/>
          <w:szCs w:val="24"/>
          <w:lang w:val="bg-BG"/>
        </w:rPr>
        <w:t xml:space="preserve"> за достъп до пространствени данни (обн. ДВ бр.</w:t>
      </w:r>
      <w:r w:rsidR="00566CC3" w:rsidRPr="00610B1B">
        <w:rPr>
          <w:rFonts w:ascii="Times New Roman" w:eastAsia="Times New Roman" w:hAnsi="Times New Roman" w:cs="Times New Roman"/>
          <w:sz w:val="24"/>
          <w:szCs w:val="24"/>
          <w:lang w:val="bg-BG"/>
        </w:rPr>
        <w:t> </w:t>
      </w:r>
      <w:r w:rsidRPr="00610B1B">
        <w:rPr>
          <w:rFonts w:ascii="Times New Roman" w:eastAsia="Times New Roman" w:hAnsi="Times New Roman" w:cs="Times New Roman"/>
          <w:sz w:val="24"/>
          <w:szCs w:val="24"/>
          <w:lang w:val="bg-BG"/>
        </w:rPr>
        <w:t>19/2010</w:t>
      </w:r>
      <w:r w:rsidR="00566CC3" w:rsidRPr="00610B1B">
        <w:rPr>
          <w:rFonts w:ascii="Times New Roman" w:eastAsia="Times New Roman" w:hAnsi="Times New Roman" w:cs="Times New Roman"/>
          <w:sz w:val="24"/>
          <w:szCs w:val="24"/>
          <w:lang w:val="bg-BG"/>
        </w:rPr>
        <w:t> </w:t>
      </w:r>
      <w:r w:rsidRPr="00610B1B">
        <w:rPr>
          <w:rFonts w:ascii="Times New Roman" w:eastAsia="Times New Roman" w:hAnsi="Times New Roman" w:cs="Times New Roman"/>
          <w:sz w:val="24"/>
          <w:szCs w:val="24"/>
          <w:lang w:val="bg-BG"/>
        </w:rPr>
        <w:t xml:space="preserve">г., изм. ДВ бр. 17/26.02.2019 г.), които регламентират използването на информация и данни, генерирани и поддържани от публични органи, при спазване на изискванията за интелектуалните права, защита на личните данни, конфиденциалността на информацията </w:t>
      </w:r>
      <w:r w:rsidRPr="00610B1B">
        <w:rPr>
          <w:rFonts w:ascii="Times New Roman" w:eastAsia="Times New Roman" w:hAnsi="Times New Roman" w:cs="Times New Roman"/>
          <w:sz w:val="24"/>
          <w:szCs w:val="24"/>
          <w:lang w:val="bg-BG"/>
        </w:rPr>
        <w:lastRenderedPageBreak/>
        <w:t>за местонахождението на редки и защитени видове и културни ценности.</w:t>
      </w:r>
    </w:p>
    <w:p w14:paraId="4EB3D341" w14:textId="47792444" w:rsidR="00A579CE" w:rsidRPr="00610B1B" w:rsidRDefault="00B531D6" w:rsidP="00566CC3">
      <w:pPr>
        <w:pStyle w:val="ListParagraph"/>
        <w:widowControl w:val="0"/>
        <w:numPr>
          <w:ilvl w:val="0"/>
          <w:numId w:val="60"/>
        </w:numPr>
        <w:spacing w:after="80"/>
        <w:ind w:left="425" w:right="-153" w:hanging="357"/>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Наръчник за консултации в морското пространствено планиране (2014)</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който отчита необходимостта от включване на участниците от различни нива на управление в неформалните и формални консултации – представители на международни организации, на структурите на ЕС за териториално сътрудничество и морско пространствено планиране, на държавни, регионални и местни власти, НПО и местни общности. </w:t>
      </w:r>
    </w:p>
    <w:p w14:paraId="63BC40C6" w14:textId="4BFAB857" w:rsidR="00A579CE" w:rsidRPr="00610B1B" w:rsidRDefault="00A579CE" w:rsidP="00566CC3">
      <w:pPr>
        <w:pStyle w:val="ListParagraph"/>
        <w:widowControl w:val="0"/>
        <w:numPr>
          <w:ilvl w:val="0"/>
          <w:numId w:val="60"/>
        </w:numPr>
        <w:spacing w:after="120"/>
        <w:ind w:left="426" w:right="-153"/>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Стандартите за провеждане на обществени консултации на Мин</w:t>
      </w:r>
      <w:r w:rsidR="00A40DA9" w:rsidRPr="00610B1B">
        <w:rPr>
          <w:rFonts w:ascii="Times New Roman" w:eastAsia="Times New Roman" w:hAnsi="Times New Roman" w:cs="Times New Roman"/>
          <w:sz w:val="24"/>
          <w:szCs w:val="24"/>
          <w:lang w:val="bg-BG"/>
        </w:rPr>
        <w:t>и</w:t>
      </w:r>
      <w:r w:rsidRPr="00610B1B">
        <w:rPr>
          <w:rFonts w:ascii="Times New Roman" w:eastAsia="Times New Roman" w:hAnsi="Times New Roman" w:cs="Times New Roman"/>
          <w:sz w:val="24"/>
          <w:szCs w:val="24"/>
          <w:lang w:val="bg-BG"/>
        </w:rPr>
        <w:t>стерски съвет от 2009 г.</w:t>
      </w:r>
      <w:r w:rsidRPr="00610B1B">
        <w:rPr>
          <w:rStyle w:val="FootnoteReference"/>
          <w:rFonts w:ascii="Times New Roman" w:eastAsia="Times New Roman" w:hAnsi="Times New Roman" w:cs="Times New Roman"/>
          <w:sz w:val="24"/>
          <w:szCs w:val="24"/>
          <w:lang w:val="bg-BG"/>
        </w:rPr>
        <w:footnoteReference w:id="209"/>
      </w:r>
    </w:p>
    <w:p w14:paraId="279BEE8D" w14:textId="0E02BD59" w:rsidR="00B531D6" w:rsidRPr="00610B1B" w:rsidRDefault="00B531D6" w:rsidP="00D32D6A">
      <w:pPr>
        <w:widowControl w:val="0"/>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Пр</w:t>
      </w:r>
      <w:r w:rsidR="00A97477" w:rsidRPr="00610B1B">
        <w:rPr>
          <w:rFonts w:ascii="Times New Roman" w:eastAsia="Times New Roman" w:hAnsi="Times New Roman" w:cs="Times New Roman"/>
          <w:sz w:val="24"/>
          <w:szCs w:val="24"/>
          <w:lang w:val="bg-BG"/>
        </w:rPr>
        <w:t>и п</w:t>
      </w:r>
      <w:r w:rsidRPr="00610B1B">
        <w:rPr>
          <w:rFonts w:ascii="Times New Roman" w:eastAsia="Times New Roman" w:hAnsi="Times New Roman" w:cs="Times New Roman"/>
          <w:sz w:val="24"/>
          <w:szCs w:val="24"/>
          <w:lang w:val="bg-BG"/>
        </w:rPr>
        <w:t>овеждането на експертни и публични консултации с</w:t>
      </w:r>
      <w:r w:rsidR="00BB507E" w:rsidRPr="00610B1B">
        <w:rPr>
          <w:rFonts w:ascii="Times New Roman" w:eastAsia="Times New Roman" w:hAnsi="Times New Roman" w:cs="Times New Roman"/>
          <w:sz w:val="24"/>
          <w:szCs w:val="24"/>
          <w:lang w:val="bg-BG"/>
        </w:rPr>
        <w:t>а приложени</w:t>
      </w:r>
      <w:r w:rsidRPr="00610B1B">
        <w:rPr>
          <w:rFonts w:ascii="Times New Roman" w:eastAsia="Times New Roman" w:hAnsi="Times New Roman" w:cs="Times New Roman"/>
          <w:sz w:val="24"/>
          <w:szCs w:val="24"/>
          <w:lang w:val="bg-BG"/>
        </w:rPr>
        <w:t xml:space="preserve"> следните </w:t>
      </w:r>
      <w:r w:rsidRPr="00610B1B">
        <w:rPr>
          <w:rFonts w:ascii="Times New Roman" w:eastAsia="Times New Roman" w:hAnsi="Times New Roman" w:cs="Times New Roman"/>
          <w:b/>
          <w:bCs/>
          <w:sz w:val="24"/>
          <w:szCs w:val="24"/>
          <w:lang w:val="bg-BG"/>
        </w:rPr>
        <w:t>принципи</w:t>
      </w:r>
      <w:r w:rsidRPr="00610B1B">
        <w:rPr>
          <w:rFonts w:ascii="Times New Roman" w:eastAsia="Times New Roman" w:hAnsi="Times New Roman" w:cs="Times New Roman"/>
          <w:sz w:val="24"/>
          <w:szCs w:val="24"/>
          <w:lang w:val="bg-BG"/>
        </w:rPr>
        <w:t>:</w:t>
      </w:r>
    </w:p>
    <w:p w14:paraId="241B5B69" w14:textId="52EFBECC" w:rsidR="00B531D6" w:rsidRPr="00610B1B" w:rsidRDefault="00B531D6" w:rsidP="00566CC3">
      <w:pPr>
        <w:pStyle w:val="ListParagraph"/>
        <w:widowControl w:val="0"/>
        <w:numPr>
          <w:ilvl w:val="0"/>
          <w:numId w:val="61"/>
        </w:numPr>
        <w:spacing w:after="80"/>
        <w:ind w:left="425" w:right="-153" w:hanging="357"/>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sz w:val="24"/>
          <w:szCs w:val="24"/>
          <w:lang w:val="bg-BG"/>
        </w:rPr>
        <w:t>Отчетност и публичност</w:t>
      </w:r>
      <w:r w:rsidRPr="00610B1B">
        <w:rPr>
          <w:rFonts w:ascii="Times New Roman" w:eastAsia="Times New Roman" w:hAnsi="Times New Roman" w:cs="Times New Roman"/>
          <w:sz w:val="24"/>
          <w:szCs w:val="24"/>
          <w:lang w:val="bg-BG"/>
        </w:rPr>
        <w:t xml:space="preserve"> в дейността по изготвяне на МППРБ – създаване на условия за провеждане на дебат, предоставяне на балансирана и обективна информация и осигуряване на възможност гражданите да изразяват свои</w:t>
      </w:r>
      <w:r w:rsidR="00A97477" w:rsidRPr="00610B1B">
        <w:rPr>
          <w:rFonts w:ascii="Times New Roman" w:eastAsia="Times New Roman" w:hAnsi="Times New Roman" w:cs="Times New Roman"/>
          <w:sz w:val="24"/>
          <w:szCs w:val="24"/>
          <w:lang w:val="bg-BG"/>
        </w:rPr>
        <w:t>те</w:t>
      </w:r>
      <w:r w:rsidRPr="00610B1B">
        <w:rPr>
          <w:rFonts w:ascii="Times New Roman" w:eastAsia="Times New Roman" w:hAnsi="Times New Roman" w:cs="Times New Roman"/>
          <w:sz w:val="24"/>
          <w:szCs w:val="24"/>
          <w:lang w:val="bg-BG"/>
        </w:rPr>
        <w:t xml:space="preserve"> очаквания и предложения по основни теми;</w:t>
      </w:r>
    </w:p>
    <w:p w14:paraId="488E89DC" w14:textId="7FB3BAA7" w:rsidR="00B531D6" w:rsidRPr="00610B1B" w:rsidRDefault="00B531D6" w:rsidP="00566CC3">
      <w:pPr>
        <w:pStyle w:val="ListParagraph"/>
        <w:widowControl w:val="0"/>
        <w:numPr>
          <w:ilvl w:val="0"/>
          <w:numId w:val="61"/>
        </w:numPr>
        <w:spacing w:after="80"/>
        <w:ind w:left="425" w:right="-153" w:hanging="357"/>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sz w:val="24"/>
          <w:szCs w:val="24"/>
          <w:lang w:val="bg-BG"/>
        </w:rPr>
        <w:t>Защита на обществения интерес</w:t>
      </w:r>
      <w:r w:rsidRPr="00610B1B">
        <w:rPr>
          <w:rFonts w:ascii="Times New Roman" w:eastAsia="Times New Roman" w:hAnsi="Times New Roman" w:cs="Times New Roman"/>
          <w:sz w:val="24"/>
          <w:szCs w:val="24"/>
          <w:lang w:val="bg-BG"/>
        </w:rPr>
        <w:t>, без да се подценяват и пренебрегват частните интереси – изграждане на съпричастност сред населението и структурите на гражданското общество към проблемите на морск</w:t>
      </w:r>
      <w:r w:rsidR="0075098D" w:rsidRPr="00610B1B">
        <w:rPr>
          <w:rFonts w:ascii="Times New Roman" w:eastAsia="Times New Roman" w:hAnsi="Times New Roman" w:cs="Times New Roman"/>
          <w:sz w:val="24"/>
          <w:szCs w:val="24"/>
          <w:lang w:val="bg-BG"/>
        </w:rPr>
        <w:t>ите пространства</w:t>
      </w:r>
      <w:r w:rsidRPr="00610B1B">
        <w:rPr>
          <w:rFonts w:ascii="Times New Roman" w:eastAsia="Times New Roman" w:hAnsi="Times New Roman" w:cs="Times New Roman"/>
          <w:sz w:val="24"/>
          <w:szCs w:val="24"/>
          <w:lang w:val="bg-BG"/>
        </w:rPr>
        <w:t xml:space="preserve"> и крайбрежните зони и мотивирането им за участие в тяхното решаване;</w:t>
      </w:r>
    </w:p>
    <w:p w14:paraId="1F4B9809" w14:textId="2699D14A" w:rsidR="00B531D6" w:rsidRPr="00610B1B" w:rsidRDefault="00B531D6" w:rsidP="00566CC3">
      <w:pPr>
        <w:pStyle w:val="ListParagraph"/>
        <w:widowControl w:val="0"/>
        <w:numPr>
          <w:ilvl w:val="0"/>
          <w:numId w:val="61"/>
        </w:numPr>
        <w:spacing w:after="80"/>
        <w:ind w:left="425" w:right="-153" w:hanging="357"/>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sz w:val="24"/>
          <w:szCs w:val="24"/>
          <w:lang w:val="bg-BG"/>
        </w:rPr>
        <w:t>Прозрачност</w:t>
      </w:r>
      <w:r w:rsidRPr="00610B1B">
        <w:rPr>
          <w:rFonts w:ascii="Times New Roman" w:eastAsia="Times New Roman" w:hAnsi="Times New Roman" w:cs="Times New Roman"/>
          <w:sz w:val="24"/>
          <w:szCs w:val="24"/>
          <w:lang w:val="bg-BG"/>
        </w:rPr>
        <w:t xml:space="preserve"> – редовно информиране на обществеността </w:t>
      </w:r>
      <w:r w:rsidR="00A97477" w:rsidRPr="00610B1B">
        <w:rPr>
          <w:rFonts w:ascii="Times New Roman" w:eastAsia="Times New Roman" w:hAnsi="Times New Roman" w:cs="Times New Roman"/>
          <w:sz w:val="24"/>
          <w:szCs w:val="24"/>
          <w:lang w:val="bg-BG"/>
        </w:rPr>
        <w:t>за</w:t>
      </w:r>
      <w:r w:rsidRPr="00610B1B">
        <w:rPr>
          <w:rFonts w:ascii="Times New Roman" w:eastAsia="Times New Roman" w:hAnsi="Times New Roman" w:cs="Times New Roman"/>
          <w:sz w:val="24"/>
          <w:szCs w:val="24"/>
          <w:lang w:val="bg-BG"/>
        </w:rPr>
        <w:t xml:space="preserve"> напредъка в разработването на МППРБ и за предстоящи събития;</w:t>
      </w:r>
    </w:p>
    <w:p w14:paraId="32146650" w14:textId="4AA46A07" w:rsidR="00B531D6" w:rsidRPr="00610B1B" w:rsidRDefault="00B531D6" w:rsidP="00566CC3">
      <w:pPr>
        <w:pStyle w:val="ListParagraph"/>
        <w:widowControl w:val="0"/>
        <w:numPr>
          <w:ilvl w:val="0"/>
          <w:numId w:val="61"/>
        </w:numPr>
        <w:spacing w:after="120"/>
        <w:ind w:left="426" w:right="-153"/>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sz w:val="24"/>
          <w:szCs w:val="24"/>
          <w:lang w:val="bg-BG"/>
        </w:rPr>
        <w:t>Координация</w:t>
      </w:r>
      <w:r w:rsidRPr="00610B1B">
        <w:rPr>
          <w:rFonts w:ascii="Times New Roman" w:eastAsia="Times New Roman" w:hAnsi="Times New Roman" w:cs="Times New Roman"/>
          <w:sz w:val="24"/>
          <w:szCs w:val="24"/>
          <w:lang w:val="bg-BG"/>
        </w:rPr>
        <w:t xml:space="preserve"> с други стратегии, планове и програми, които се изпълняват в крайбрежната територия и акваторията на Черно море – Морска стратегия на Р. България, Национална концепция за пространствено развитие</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(Актуализация</w:t>
      </w:r>
      <w:r w:rsidR="00A97477" w:rsidRPr="00610B1B">
        <w:rPr>
          <w:rFonts w:ascii="Times New Roman" w:eastAsia="Times New Roman" w:hAnsi="Times New Roman" w:cs="Times New Roman"/>
          <w:sz w:val="24"/>
          <w:szCs w:val="24"/>
          <w:lang w:val="bg-BG"/>
        </w:rPr>
        <w:t xml:space="preserve"> 2019</w:t>
      </w:r>
      <w:r w:rsidRPr="00610B1B">
        <w:rPr>
          <w:rFonts w:ascii="Times New Roman" w:eastAsia="Times New Roman" w:hAnsi="Times New Roman" w:cs="Times New Roman"/>
          <w:sz w:val="24"/>
          <w:szCs w:val="24"/>
          <w:lang w:val="bg-BG"/>
        </w:rPr>
        <w:t>), Интегрирани териториални стратегии за развитие на СИР и ЮИР, Планове за интегрирано развитие и Общи устройствени планове на Черноморските общини, Интегрирани планове за градско възстановяване и развитие на Варна и Бургас, други проекти по различни оперативни програми.</w:t>
      </w:r>
    </w:p>
    <w:p w14:paraId="53A5EB1F" w14:textId="77777777" w:rsidR="00B531D6" w:rsidRPr="00610B1B" w:rsidRDefault="00B531D6" w:rsidP="00D32D6A">
      <w:pPr>
        <w:widowControl w:val="0"/>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i/>
          <w:sz w:val="24"/>
          <w:szCs w:val="24"/>
          <w:lang w:val="bg-BG"/>
        </w:rPr>
        <w:t>Приоритетите</w:t>
      </w:r>
      <w:r w:rsidRPr="00610B1B">
        <w:rPr>
          <w:rFonts w:ascii="Times New Roman" w:eastAsia="Times New Roman" w:hAnsi="Times New Roman" w:cs="Times New Roman"/>
          <w:sz w:val="24"/>
          <w:szCs w:val="24"/>
          <w:lang w:val="bg-BG"/>
        </w:rPr>
        <w:t xml:space="preserve"> в процеса на комуникация с различни публики и отговорни институции както по време на изготвянето на МППРБ, така и при неговото прилагане са:</w:t>
      </w:r>
    </w:p>
    <w:p w14:paraId="1F39D8DC" w14:textId="108321D9" w:rsidR="00B531D6" w:rsidRPr="00610B1B" w:rsidRDefault="00B531D6" w:rsidP="00566CC3">
      <w:pPr>
        <w:pStyle w:val="ListParagraph"/>
        <w:widowControl w:val="0"/>
        <w:numPr>
          <w:ilvl w:val="0"/>
          <w:numId w:val="62"/>
        </w:numPr>
        <w:spacing w:after="80"/>
        <w:ind w:left="425" w:right="-153" w:hanging="357"/>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Повишаване информираността на гражданите за ролята на морското пространствено планиране за икономическия растеж, за опазването и ефективното и устойчиво ползване на морските ресурси</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в цялостния процес за местно развитие;</w:t>
      </w:r>
    </w:p>
    <w:p w14:paraId="0941262C" w14:textId="77777777" w:rsidR="00B531D6" w:rsidRPr="00610B1B" w:rsidRDefault="00B531D6" w:rsidP="00566CC3">
      <w:pPr>
        <w:pStyle w:val="ListParagraph"/>
        <w:widowControl w:val="0"/>
        <w:numPr>
          <w:ilvl w:val="0"/>
          <w:numId w:val="62"/>
        </w:numPr>
        <w:spacing w:after="80"/>
        <w:ind w:left="425" w:right="-153" w:hanging="357"/>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Изграждане на единен информационен стандарт в диалога между участниците в разработването и обсъждането на МППРБ и неговата ЕО, местната власт, структурите на гражданското общество и медиите и впоследствие при неговото прилагане, мониторинг и контрол;</w:t>
      </w:r>
    </w:p>
    <w:p w14:paraId="23622CF2" w14:textId="77777777" w:rsidR="00B531D6" w:rsidRPr="00610B1B" w:rsidRDefault="00B531D6" w:rsidP="00566CC3">
      <w:pPr>
        <w:pStyle w:val="ListParagraph"/>
        <w:widowControl w:val="0"/>
        <w:numPr>
          <w:ilvl w:val="0"/>
          <w:numId w:val="62"/>
        </w:numPr>
        <w:spacing w:after="80"/>
        <w:ind w:left="425" w:right="-153" w:hanging="357"/>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Формиране на реалистични обществени представи за ефективността, дейността и възможностите за създаване на устойчива морска среда в избраните зони за мултифункционално използване и трансгранично взаимодействие;</w:t>
      </w:r>
    </w:p>
    <w:p w14:paraId="0862F3EB" w14:textId="7E05E487" w:rsidR="00B531D6" w:rsidRPr="00610B1B" w:rsidRDefault="00B531D6" w:rsidP="00566CC3">
      <w:pPr>
        <w:pStyle w:val="ListParagraph"/>
        <w:widowControl w:val="0"/>
        <w:numPr>
          <w:ilvl w:val="0"/>
          <w:numId w:val="62"/>
        </w:numPr>
        <w:spacing w:after="120"/>
        <w:ind w:left="426" w:right="-153"/>
        <w:contextualSpacing w:val="0"/>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Развитие на институционалния, административния и експертния капацитет в областта на морското пространствено планиране, като част от дейността по прилагане на </w:t>
      </w:r>
      <w:r w:rsidRPr="00610B1B">
        <w:rPr>
          <w:rFonts w:ascii="Times New Roman" w:eastAsia="Times New Roman" w:hAnsi="Times New Roman" w:cs="Times New Roman"/>
          <w:sz w:val="24"/>
          <w:szCs w:val="24"/>
          <w:lang w:val="bg-BG"/>
        </w:rPr>
        <w:lastRenderedPageBreak/>
        <w:t>Интегрираната морска политика и изпълнението на МСРБ и МППРБ.</w:t>
      </w:r>
    </w:p>
    <w:p w14:paraId="57343418" w14:textId="3D259F33" w:rsidR="00B531D6" w:rsidRPr="00610B1B" w:rsidRDefault="00B531D6" w:rsidP="00566CC3">
      <w:pPr>
        <w:widowControl w:val="0"/>
        <w:spacing w:after="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Тези приоритети са залегнали и в Специфичните цели на плана и мерките за тяхното постигане. </w:t>
      </w:r>
    </w:p>
    <w:p w14:paraId="67592E8F" w14:textId="5C43731F" w:rsidR="004E4CAD" w:rsidRPr="00610B1B" w:rsidRDefault="004E4CAD" w:rsidP="00566CC3">
      <w:pPr>
        <w:widowControl w:val="0"/>
        <w:spacing w:after="0" w:line="240" w:lineRule="auto"/>
        <w:ind w:right="-153"/>
        <w:jc w:val="both"/>
        <w:rPr>
          <w:rFonts w:ascii="Times New Roman" w:eastAsia="Times New Roman" w:hAnsi="Times New Roman" w:cs="Times New Roman"/>
          <w:sz w:val="24"/>
          <w:szCs w:val="24"/>
          <w:lang w:val="bg-BG"/>
        </w:rPr>
      </w:pPr>
    </w:p>
    <w:p w14:paraId="2743C36C" w14:textId="6F78A97A" w:rsidR="00C10582" w:rsidRPr="00610B1B" w:rsidRDefault="0061403C" w:rsidP="00D32D6A">
      <w:pPr>
        <w:pStyle w:val="Heading2"/>
        <w:spacing w:before="0" w:line="276" w:lineRule="auto"/>
        <w:ind w:right="-153"/>
        <w:rPr>
          <w:rFonts w:cs="Times New Roman"/>
        </w:rPr>
      </w:pPr>
      <w:bookmarkStart w:id="511" w:name="_Toc83391447"/>
      <w:r w:rsidRPr="00610B1B">
        <w:rPr>
          <w:rFonts w:cs="Times New Roman"/>
        </w:rPr>
        <w:t>8</w:t>
      </w:r>
      <w:r w:rsidR="00C10582" w:rsidRPr="00610B1B">
        <w:rPr>
          <w:rFonts w:cs="Times New Roman"/>
        </w:rPr>
        <w:t xml:space="preserve">.1. </w:t>
      </w:r>
      <w:r w:rsidR="00F36594" w:rsidRPr="00610B1B">
        <w:rPr>
          <w:rFonts w:cs="Times New Roman"/>
        </w:rPr>
        <w:t>Идентифициране на заинтересованите страни</w:t>
      </w:r>
      <w:bookmarkEnd w:id="511"/>
    </w:p>
    <w:bookmarkEnd w:id="510"/>
    <w:p w14:paraId="1AD8E35F" w14:textId="34F69CB2" w:rsidR="00BD5690" w:rsidRPr="00610B1B" w:rsidRDefault="006F3A6E" w:rsidP="00566CC3">
      <w:pPr>
        <w:pStyle w:val="BodyText"/>
        <w:spacing w:before="0" w:after="80" w:line="276" w:lineRule="auto"/>
        <w:ind w:right="-153"/>
        <w:rPr>
          <w:rFonts w:cs="Times New Roman"/>
        </w:rPr>
      </w:pPr>
      <w:r w:rsidRPr="00610B1B">
        <w:rPr>
          <w:rFonts w:cs="Times New Roman"/>
        </w:rPr>
        <w:t>За да се осигури консултиране с възможно най-широк кръг заинтересовани страни при равнопоставеност и ясно представителство по време на целия процес на разработване на МППРБ, идентифицираните групи са консултирани с Министерството на регионалното развитие и благоустройството на най-ранен етап от работата.</w:t>
      </w:r>
      <w:r w:rsidR="00790F3C" w:rsidRPr="00610B1B">
        <w:rPr>
          <w:rFonts w:cs="Times New Roman"/>
        </w:rPr>
        <w:t xml:space="preserve"> </w:t>
      </w:r>
      <w:r w:rsidR="004724AF" w:rsidRPr="00610B1B">
        <w:rPr>
          <w:rFonts w:cs="Times New Roman"/>
        </w:rPr>
        <w:t xml:space="preserve">Техният </w:t>
      </w:r>
      <w:r w:rsidR="00BD5690" w:rsidRPr="00610B1B">
        <w:rPr>
          <w:rFonts w:cs="Times New Roman"/>
        </w:rPr>
        <w:t xml:space="preserve">подбор </w:t>
      </w:r>
      <w:r w:rsidR="004724AF" w:rsidRPr="00610B1B">
        <w:rPr>
          <w:rFonts w:cs="Times New Roman"/>
        </w:rPr>
        <w:t>следва Стъпка 2 от Стандартите на Министерски съвет за провеждане на обществени консултации (2009 г.) и са приложени най-важните принципи:</w:t>
      </w:r>
    </w:p>
    <w:p w14:paraId="5FB85F64" w14:textId="368509C4" w:rsidR="004724AF" w:rsidRPr="00610B1B" w:rsidRDefault="00566CC3" w:rsidP="00566CC3">
      <w:pPr>
        <w:pStyle w:val="BodyText"/>
        <w:numPr>
          <w:ilvl w:val="0"/>
          <w:numId w:val="84"/>
        </w:numPr>
        <w:spacing w:before="0" w:after="80" w:line="276" w:lineRule="auto"/>
        <w:ind w:left="425" w:right="-153" w:hanging="357"/>
        <w:rPr>
          <w:rFonts w:cs="Times New Roman"/>
        </w:rPr>
      </w:pPr>
      <w:r w:rsidRPr="00610B1B">
        <w:rPr>
          <w:rFonts w:cs="Times New Roman"/>
        </w:rPr>
        <w:t xml:space="preserve">Ясно </w:t>
      </w:r>
      <w:r w:rsidR="004724AF" w:rsidRPr="00610B1B">
        <w:rPr>
          <w:rFonts w:cs="Times New Roman"/>
        </w:rPr>
        <w:t>представителство на заинтересованите страни от трите групи – носителите на информация, управляващи процесите на прилагането на плана и тези, чиито интереси са най-силно засегнати от прилагането на плана.</w:t>
      </w:r>
    </w:p>
    <w:p w14:paraId="40908F9A" w14:textId="797E8E7A" w:rsidR="004724AF" w:rsidRPr="00610B1B" w:rsidRDefault="00566CC3" w:rsidP="00566CC3">
      <w:pPr>
        <w:pStyle w:val="BodyText"/>
        <w:numPr>
          <w:ilvl w:val="0"/>
          <w:numId w:val="84"/>
        </w:numPr>
        <w:spacing w:before="0" w:after="80" w:line="276" w:lineRule="auto"/>
        <w:ind w:left="425" w:right="-153" w:hanging="357"/>
        <w:rPr>
          <w:rFonts w:cs="Times New Roman"/>
        </w:rPr>
      </w:pPr>
      <w:r w:rsidRPr="00610B1B">
        <w:rPr>
          <w:rFonts w:cs="Times New Roman"/>
        </w:rPr>
        <w:t xml:space="preserve">Покриване </w:t>
      </w:r>
      <w:r w:rsidR="004724AF" w:rsidRPr="00610B1B">
        <w:rPr>
          <w:rFonts w:cs="Times New Roman"/>
        </w:rPr>
        <w:t>на многообразието от интереси, гледни точки и очаквания от разработването и прилагането на морския пространствен план.</w:t>
      </w:r>
    </w:p>
    <w:p w14:paraId="6AF2F95A" w14:textId="5F1C8F87" w:rsidR="004724AF" w:rsidRPr="00610B1B" w:rsidRDefault="00566CC3" w:rsidP="00566CC3">
      <w:pPr>
        <w:pStyle w:val="BodyText"/>
        <w:numPr>
          <w:ilvl w:val="0"/>
          <w:numId w:val="84"/>
        </w:numPr>
        <w:spacing w:before="0" w:after="80" w:line="276" w:lineRule="auto"/>
        <w:ind w:left="425" w:right="-153" w:hanging="357"/>
        <w:rPr>
          <w:rFonts w:cs="Times New Roman"/>
        </w:rPr>
      </w:pPr>
      <w:r w:rsidRPr="00610B1B">
        <w:rPr>
          <w:rFonts w:cs="Times New Roman"/>
        </w:rPr>
        <w:t xml:space="preserve">Баланс </w:t>
      </w:r>
      <w:r w:rsidR="004724AF" w:rsidRPr="00610B1B">
        <w:rPr>
          <w:rFonts w:cs="Times New Roman"/>
        </w:rPr>
        <w:t xml:space="preserve">между </w:t>
      </w:r>
      <w:r w:rsidR="00A37913" w:rsidRPr="00610B1B">
        <w:rPr>
          <w:rFonts w:cs="Times New Roman"/>
        </w:rPr>
        <w:t>икономически и екологични интереси, политики, приоритети и цели.</w:t>
      </w:r>
    </w:p>
    <w:p w14:paraId="27FE79B6" w14:textId="5777293E" w:rsidR="00A37913" w:rsidRPr="00610B1B" w:rsidRDefault="00566CC3" w:rsidP="00566CC3">
      <w:pPr>
        <w:pStyle w:val="BodyText"/>
        <w:numPr>
          <w:ilvl w:val="0"/>
          <w:numId w:val="84"/>
        </w:numPr>
        <w:spacing w:before="0" w:after="120" w:line="276" w:lineRule="auto"/>
        <w:ind w:left="426" w:right="-153"/>
        <w:rPr>
          <w:rFonts w:cs="Times New Roman"/>
        </w:rPr>
      </w:pPr>
      <w:r w:rsidRPr="00610B1B">
        <w:rPr>
          <w:rFonts w:cs="Times New Roman"/>
        </w:rPr>
        <w:t xml:space="preserve">Обхващане </w:t>
      </w:r>
      <w:r w:rsidR="00C70A89" w:rsidRPr="00610B1B">
        <w:rPr>
          <w:rFonts w:cs="Times New Roman"/>
        </w:rPr>
        <w:t>на</w:t>
      </w:r>
      <w:r w:rsidR="00A37913" w:rsidRPr="00610B1B">
        <w:rPr>
          <w:rFonts w:cs="Times New Roman"/>
        </w:rPr>
        <w:t xml:space="preserve"> представители с разнообразен опит, компетентност и знания, и със специфичен </w:t>
      </w:r>
      <w:r w:rsidR="00C70A89" w:rsidRPr="00610B1B">
        <w:rPr>
          <w:rFonts w:cs="Times New Roman"/>
        </w:rPr>
        <w:t xml:space="preserve">предишен </w:t>
      </w:r>
      <w:r w:rsidR="00A37913" w:rsidRPr="00610B1B">
        <w:rPr>
          <w:rFonts w:cs="Times New Roman"/>
        </w:rPr>
        <w:t xml:space="preserve">опит </w:t>
      </w:r>
      <w:r w:rsidR="00C70A89" w:rsidRPr="00610B1B">
        <w:rPr>
          <w:rFonts w:cs="Times New Roman"/>
        </w:rPr>
        <w:t xml:space="preserve">от участие в </w:t>
      </w:r>
      <w:r w:rsidR="00ED0123" w:rsidRPr="00610B1B">
        <w:rPr>
          <w:rFonts w:cs="Times New Roman"/>
        </w:rPr>
        <w:t>публични</w:t>
      </w:r>
      <w:r w:rsidR="00C70A89" w:rsidRPr="00610B1B">
        <w:rPr>
          <w:rFonts w:cs="Times New Roman"/>
        </w:rPr>
        <w:t xml:space="preserve"> консултации.</w:t>
      </w:r>
    </w:p>
    <w:p w14:paraId="093526BC" w14:textId="5575A2E2" w:rsidR="0041129F" w:rsidRPr="00610B1B" w:rsidRDefault="0041129F" w:rsidP="00D32D6A">
      <w:pPr>
        <w:widowControl w:val="0"/>
        <w:kinsoku w:val="0"/>
        <w:overflowPunct w:val="0"/>
        <w:autoSpaceDE w:val="0"/>
        <w:autoSpaceDN w:val="0"/>
        <w:adjustRightInd w:val="0"/>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Идентифицираните з</w:t>
      </w:r>
      <w:r w:rsidRPr="00610B1B">
        <w:rPr>
          <w:rFonts w:ascii="Times New Roman" w:eastAsia="Times New Roman" w:hAnsi="Times New Roman" w:cs="Times New Roman"/>
          <w:spacing w:val="-2"/>
          <w:sz w:val="24"/>
          <w:szCs w:val="24"/>
          <w:lang w:val="bg-BG" w:eastAsia="bg-BG"/>
        </w:rPr>
        <w:t>а</w:t>
      </w:r>
      <w:r w:rsidRPr="00610B1B">
        <w:rPr>
          <w:rFonts w:ascii="Times New Roman" w:eastAsia="Times New Roman" w:hAnsi="Times New Roman" w:cs="Times New Roman"/>
          <w:sz w:val="24"/>
          <w:szCs w:val="24"/>
          <w:lang w:val="bg-BG" w:eastAsia="bg-BG"/>
        </w:rPr>
        <w:t>инт</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р</w:t>
      </w:r>
      <w:r w:rsidRPr="00610B1B">
        <w:rPr>
          <w:rFonts w:ascii="Times New Roman" w:eastAsia="Times New Roman" w:hAnsi="Times New Roman" w:cs="Times New Roman"/>
          <w:spacing w:val="-1"/>
          <w:sz w:val="24"/>
          <w:szCs w:val="24"/>
          <w:lang w:val="bg-BG" w:eastAsia="bg-BG"/>
        </w:rPr>
        <w:t>ес</w:t>
      </w:r>
      <w:r w:rsidRPr="00610B1B">
        <w:rPr>
          <w:rFonts w:ascii="Times New Roman" w:eastAsia="Times New Roman" w:hAnsi="Times New Roman" w:cs="Times New Roman"/>
          <w:sz w:val="24"/>
          <w:szCs w:val="24"/>
          <w:lang w:val="bg-BG" w:eastAsia="bg-BG"/>
        </w:rPr>
        <w:t>ов</w:t>
      </w:r>
      <w:r w:rsidRPr="00610B1B">
        <w:rPr>
          <w:rFonts w:ascii="Times New Roman" w:eastAsia="Times New Roman" w:hAnsi="Times New Roman" w:cs="Times New Roman"/>
          <w:spacing w:val="-2"/>
          <w:sz w:val="24"/>
          <w:szCs w:val="24"/>
          <w:lang w:val="bg-BG" w:eastAsia="bg-BG"/>
        </w:rPr>
        <w:t>а</w:t>
      </w:r>
      <w:r w:rsidRPr="00610B1B">
        <w:rPr>
          <w:rFonts w:ascii="Times New Roman" w:eastAsia="Times New Roman" w:hAnsi="Times New Roman" w:cs="Times New Roman"/>
          <w:sz w:val="24"/>
          <w:szCs w:val="24"/>
          <w:lang w:val="bg-BG" w:eastAsia="bg-BG"/>
        </w:rPr>
        <w:t>ни</w:t>
      </w:r>
      <w:r w:rsidRPr="00610B1B">
        <w:rPr>
          <w:rFonts w:ascii="Times New Roman" w:eastAsia="Times New Roman" w:hAnsi="Times New Roman" w:cs="Times New Roman"/>
          <w:spacing w:val="3"/>
          <w:sz w:val="24"/>
          <w:szCs w:val="24"/>
          <w:lang w:val="bg-BG" w:eastAsia="bg-BG"/>
        </w:rPr>
        <w:t xml:space="preserve"> </w:t>
      </w:r>
      <w:r w:rsidRPr="00610B1B">
        <w:rPr>
          <w:rFonts w:ascii="Times New Roman" w:eastAsia="Times New Roman" w:hAnsi="Times New Roman" w:cs="Times New Roman"/>
          <w:spacing w:val="-1"/>
          <w:sz w:val="24"/>
          <w:szCs w:val="24"/>
          <w:lang w:val="bg-BG" w:eastAsia="bg-BG"/>
        </w:rPr>
        <w:t>с</w:t>
      </w:r>
      <w:r w:rsidRPr="00610B1B">
        <w:rPr>
          <w:rFonts w:ascii="Times New Roman" w:eastAsia="Times New Roman" w:hAnsi="Times New Roman" w:cs="Times New Roman"/>
          <w:sz w:val="24"/>
          <w:szCs w:val="24"/>
          <w:lang w:val="bg-BG" w:eastAsia="bg-BG"/>
        </w:rPr>
        <w:t>тр</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ни</w:t>
      </w:r>
      <w:r w:rsidRPr="00610B1B">
        <w:rPr>
          <w:rFonts w:ascii="Times New Roman" w:eastAsia="Times New Roman" w:hAnsi="Times New Roman" w:cs="Times New Roman"/>
          <w:spacing w:val="3"/>
          <w:sz w:val="24"/>
          <w:szCs w:val="24"/>
          <w:lang w:val="bg-BG" w:eastAsia="bg-BG"/>
        </w:rPr>
        <w:t xml:space="preserve"> </w:t>
      </w:r>
      <w:r w:rsidRPr="00610B1B">
        <w:rPr>
          <w:rFonts w:ascii="Times New Roman" w:eastAsia="Times New Roman" w:hAnsi="Times New Roman" w:cs="Times New Roman"/>
          <w:sz w:val="24"/>
          <w:szCs w:val="24"/>
          <w:lang w:val="bg-BG" w:eastAsia="bg-BG"/>
        </w:rPr>
        <w:t>в</w:t>
      </w:r>
      <w:r w:rsidRPr="00610B1B">
        <w:rPr>
          <w:rFonts w:ascii="Times New Roman" w:eastAsia="Times New Roman" w:hAnsi="Times New Roman" w:cs="Times New Roman"/>
          <w:spacing w:val="1"/>
          <w:sz w:val="24"/>
          <w:szCs w:val="24"/>
          <w:lang w:val="bg-BG" w:eastAsia="bg-BG"/>
        </w:rPr>
        <w:t xml:space="preserve"> </w:t>
      </w:r>
      <w:r w:rsidRPr="00610B1B">
        <w:rPr>
          <w:rFonts w:ascii="Times New Roman" w:eastAsia="Times New Roman" w:hAnsi="Times New Roman" w:cs="Times New Roman"/>
          <w:sz w:val="24"/>
          <w:szCs w:val="24"/>
          <w:lang w:val="bg-BG" w:eastAsia="bg-BG"/>
        </w:rPr>
        <w:t>проц</w:t>
      </w:r>
      <w:r w:rsidRPr="00610B1B">
        <w:rPr>
          <w:rFonts w:ascii="Times New Roman" w:eastAsia="Times New Roman" w:hAnsi="Times New Roman" w:cs="Times New Roman"/>
          <w:spacing w:val="-1"/>
          <w:sz w:val="24"/>
          <w:szCs w:val="24"/>
          <w:lang w:val="bg-BG" w:eastAsia="bg-BG"/>
        </w:rPr>
        <w:t>ес</w:t>
      </w:r>
      <w:r w:rsidRPr="00610B1B">
        <w:rPr>
          <w:rFonts w:ascii="Times New Roman" w:eastAsia="Times New Roman" w:hAnsi="Times New Roman" w:cs="Times New Roman"/>
          <w:sz w:val="24"/>
          <w:szCs w:val="24"/>
          <w:lang w:val="bg-BG" w:eastAsia="bg-BG"/>
        </w:rPr>
        <w:t>а</w:t>
      </w:r>
      <w:r w:rsidRPr="00610B1B">
        <w:rPr>
          <w:rFonts w:ascii="Times New Roman" w:eastAsia="Times New Roman" w:hAnsi="Times New Roman" w:cs="Times New Roman"/>
          <w:spacing w:val="58"/>
          <w:sz w:val="24"/>
          <w:szCs w:val="24"/>
          <w:lang w:val="bg-BG" w:eastAsia="bg-BG"/>
        </w:rPr>
        <w:t xml:space="preserve"> </w:t>
      </w:r>
      <w:r w:rsidRPr="00610B1B">
        <w:rPr>
          <w:rFonts w:ascii="Times New Roman" w:eastAsia="Times New Roman" w:hAnsi="Times New Roman" w:cs="Times New Roman"/>
          <w:sz w:val="24"/>
          <w:szCs w:val="24"/>
          <w:lang w:val="bg-BG" w:eastAsia="bg-BG"/>
        </w:rPr>
        <w:t>на</w:t>
      </w:r>
      <w:r w:rsidRPr="00610B1B">
        <w:rPr>
          <w:rFonts w:ascii="Times New Roman" w:eastAsia="Times New Roman" w:hAnsi="Times New Roman" w:cs="Times New Roman"/>
          <w:spacing w:val="58"/>
          <w:sz w:val="24"/>
          <w:szCs w:val="24"/>
          <w:lang w:val="bg-BG" w:eastAsia="bg-BG"/>
        </w:rPr>
        <w:t xml:space="preserve"> </w:t>
      </w:r>
      <w:r w:rsidRPr="00610B1B">
        <w:rPr>
          <w:rFonts w:ascii="Times New Roman" w:eastAsia="Times New Roman" w:hAnsi="Times New Roman" w:cs="Times New Roman"/>
          <w:sz w:val="24"/>
          <w:szCs w:val="24"/>
          <w:lang w:val="bg-BG" w:eastAsia="bg-BG"/>
        </w:rPr>
        <w:t>изготвяне</w:t>
      </w:r>
      <w:r w:rsidRPr="00610B1B">
        <w:rPr>
          <w:rFonts w:ascii="Times New Roman" w:eastAsia="Times New Roman" w:hAnsi="Times New Roman" w:cs="Times New Roman"/>
          <w:spacing w:val="58"/>
          <w:sz w:val="24"/>
          <w:szCs w:val="24"/>
          <w:lang w:val="bg-BG" w:eastAsia="bg-BG"/>
        </w:rPr>
        <w:t xml:space="preserve"> </w:t>
      </w:r>
      <w:r w:rsidRPr="00610B1B">
        <w:rPr>
          <w:rFonts w:ascii="Times New Roman" w:eastAsia="Times New Roman" w:hAnsi="Times New Roman" w:cs="Times New Roman"/>
          <w:sz w:val="24"/>
          <w:szCs w:val="24"/>
          <w:lang w:val="bg-BG" w:eastAsia="bg-BG"/>
        </w:rPr>
        <w:t>на</w:t>
      </w:r>
      <w:r w:rsidRPr="00610B1B">
        <w:rPr>
          <w:rFonts w:ascii="Times New Roman" w:eastAsia="Times New Roman" w:hAnsi="Times New Roman" w:cs="Times New Roman"/>
          <w:spacing w:val="58"/>
          <w:sz w:val="24"/>
          <w:szCs w:val="24"/>
          <w:lang w:val="bg-BG" w:eastAsia="bg-BG"/>
        </w:rPr>
        <w:t xml:space="preserve"> </w:t>
      </w:r>
      <w:r w:rsidRPr="00610B1B">
        <w:rPr>
          <w:rFonts w:ascii="Times New Roman" w:eastAsia="Times New Roman" w:hAnsi="Times New Roman" w:cs="Times New Roman"/>
          <w:sz w:val="24"/>
          <w:szCs w:val="24"/>
          <w:lang w:val="bg-BG" w:eastAsia="bg-BG"/>
        </w:rPr>
        <w:t>Морския пространствен план на Република България</w:t>
      </w:r>
      <w:r w:rsidRPr="00610B1B">
        <w:rPr>
          <w:rFonts w:ascii="Times New Roman" w:eastAsia="Times New Roman" w:hAnsi="Times New Roman" w:cs="Times New Roman"/>
          <w:spacing w:val="26"/>
          <w:sz w:val="24"/>
          <w:szCs w:val="24"/>
          <w:lang w:val="bg-BG" w:eastAsia="bg-BG"/>
        </w:rPr>
        <w:t xml:space="preserve"> </w:t>
      </w:r>
      <w:r w:rsidRPr="00610B1B">
        <w:rPr>
          <w:rFonts w:ascii="Times New Roman" w:eastAsia="Times New Roman" w:hAnsi="Times New Roman" w:cs="Times New Roman"/>
          <w:spacing w:val="-1"/>
          <w:sz w:val="24"/>
          <w:szCs w:val="24"/>
          <w:lang w:val="bg-BG" w:eastAsia="bg-BG"/>
        </w:rPr>
        <w:t>с</w:t>
      </w:r>
      <w:r w:rsidRPr="00610B1B">
        <w:rPr>
          <w:rFonts w:ascii="Times New Roman" w:eastAsia="Times New Roman" w:hAnsi="Times New Roman" w:cs="Times New Roman"/>
          <w:sz w:val="24"/>
          <w:szCs w:val="24"/>
          <w:lang w:val="bg-BG" w:eastAsia="bg-BG"/>
        </w:rPr>
        <w:t>а</w:t>
      </w:r>
      <w:r w:rsidRPr="00610B1B">
        <w:rPr>
          <w:rFonts w:ascii="Times New Roman" w:eastAsia="Times New Roman" w:hAnsi="Times New Roman" w:cs="Times New Roman"/>
          <w:spacing w:val="25"/>
          <w:sz w:val="24"/>
          <w:szCs w:val="24"/>
          <w:lang w:val="bg-BG" w:eastAsia="bg-BG"/>
        </w:rPr>
        <w:t xml:space="preserve"> </w:t>
      </w:r>
      <w:r w:rsidRPr="00610B1B">
        <w:rPr>
          <w:rFonts w:ascii="Times New Roman" w:eastAsia="Times New Roman" w:hAnsi="Times New Roman" w:cs="Times New Roman"/>
          <w:spacing w:val="-1"/>
          <w:sz w:val="24"/>
          <w:szCs w:val="24"/>
          <w:lang w:val="bg-BG" w:eastAsia="bg-BG"/>
        </w:rPr>
        <w:t>м</w:t>
      </w:r>
      <w:r w:rsidRPr="00610B1B">
        <w:rPr>
          <w:rFonts w:ascii="Times New Roman" w:eastAsia="Times New Roman" w:hAnsi="Times New Roman" w:cs="Times New Roman"/>
          <w:sz w:val="24"/>
          <w:szCs w:val="24"/>
          <w:lang w:val="bg-BG" w:eastAsia="bg-BG"/>
        </w:rPr>
        <w:t>ини</w:t>
      </w:r>
      <w:r w:rsidRPr="00610B1B">
        <w:rPr>
          <w:rFonts w:ascii="Times New Roman" w:eastAsia="Times New Roman" w:hAnsi="Times New Roman" w:cs="Times New Roman"/>
          <w:spacing w:val="-1"/>
          <w:sz w:val="24"/>
          <w:szCs w:val="24"/>
          <w:lang w:val="bg-BG" w:eastAsia="bg-BG"/>
        </w:rPr>
        <w:t>с</w:t>
      </w:r>
      <w:r w:rsidRPr="00610B1B">
        <w:rPr>
          <w:rFonts w:ascii="Times New Roman" w:eastAsia="Times New Roman" w:hAnsi="Times New Roman" w:cs="Times New Roman"/>
          <w:sz w:val="24"/>
          <w:szCs w:val="24"/>
          <w:lang w:val="bg-BG" w:eastAsia="bg-BG"/>
        </w:rPr>
        <w:t>т</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р</w:t>
      </w:r>
      <w:r w:rsidRPr="00610B1B">
        <w:rPr>
          <w:rFonts w:ascii="Times New Roman" w:eastAsia="Times New Roman" w:hAnsi="Times New Roman" w:cs="Times New Roman"/>
          <w:spacing w:val="-1"/>
          <w:sz w:val="24"/>
          <w:szCs w:val="24"/>
          <w:lang w:val="bg-BG" w:eastAsia="bg-BG"/>
        </w:rPr>
        <w:t>с</w:t>
      </w:r>
      <w:r w:rsidRPr="00610B1B">
        <w:rPr>
          <w:rFonts w:ascii="Times New Roman" w:eastAsia="Times New Roman" w:hAnsi="Times New Roman" w:cs="Times New Roman"/>
          <w:sz w:val="24"/>
          <w:szCs w:val="24"/>
          <w:lang w:val="bg-BG" w:eastAsia="bg-BG"/>
        </w:rPr>
        <w:t>тв</w:t>
      </w:r>
      <w:r w:rsidRPr="00610B1B">
        <w:rPr>
          <w:rFonts w:ascii="Times New Roman" w:eastAsia="Times New Roman" w:hAnsi="Times New Roman" w:cs="Times New Roman"/>
          <w:spacing w:val="-2"/>
          <w:sz w:val="24"/>
          <w:szCs w:val="24"/>
          <w:lang w:val="bg-BG" w:eastAsia="bg-BG"/>
        </w:rPr>
        <w:t>а</w:t>
      </w:r>
      <w:r w:rsidRPr="00610B1B">
        <w:rPr>
          <w:rFonts w:ascii="Times New Roman" w:eastAsia="Times New Roman" w:hAnsi="Times New Roman" w:cs="Times New Roman"/>
          <w:sz w:val="24"/>
          <w:szCs w:val="24"/>
          <w:lang w:val="bg-BG" w:eastAsia="bg-BG"/>
        </w:rPr>
        <w:t>,</w:t>
      </w:r>
      <w:r w:rsidRPr="00610B1B">
        <w:rPr>
          <w:rFonts w:ascii="Times New Roman" w:eastAsia="Times New Roman" w:hAnsi="Times New Roman" w:cs="Times New Roman"/>
          <w:spacing w:val="26"/>
          <w:sz w:val="24"/>
          <w:szCs w:val="24"/>
          <w:lang w:val="bg-BG" w:eastAsia="bg-BG"/>
        </w:rPr>
        <w:t xml:space="preserve"> </w:t>
      </w:r>
      <w:r w:rsidRPr="00610B1B">
        <w:rPr>
          <w:rFonts w:ascii="Times New Roman" w:eastAsia="Times New Roman" w:hAnsi="Times New Roman" w:cs="Times New Roman"/>
          <w:sz w:val="24"/>
          <w:szCs w:val="24"/>
          <w:lang w:val="bg-BG" w:eastAsia="bg-BG"/>
        </w:rPr>
        <w:t>държ</w:t>
      </w:r>
      <w:r w:rsidRPr="00610B1B">
        <w:rPr>
          <w:rFonts w:ascii="Times New Roman" w:eastAsia="Times New Roman" w:hAnsi="Times New Roman" w:cs="Times New Roman"/>
          <w:spacing w:val="-2"/>
          <w:sz w:val="24"/>
          <w:szCs w:val="24"/>
          <w:lang w:val="bg-BG" w:eastAsia="bg-BG"/>
        </w:rPr>
        <w:t>а</w:t>
      </w:r>
      <w:r w:rsidRPr="00610B1B">
        <w:rPr>
          <w:rFonts w:ascii="Times New Roman" w:eastAsia="Times New Roman" w:hAnsi="Times New Roman" w:cs="Times New Roman"/>
          <w:sz w:val="24"/>
          <w:szCs w:val="24"/>
          <w:lang w:val="bg-BG" w:eastAsia="bg-BG"/>
        </w:rPr>
        <w:t>вни</w:t>
      </w:r>
      <w:r w:rsidRPr="00610B1B">
        <w:rPr>
          <w:rFonts w:ascii="Times New Roman" w:eastAsia="Times New Roman" w:hAnsi="Times New Roman" w:cs="Times New Roman"/>
          <w:spacing w:val="24"/>
          <w:sz w:val="24"/>
          <w:szCs w:val="24"/>
          <w:lang w:val="bg-BG" w:eastAsia="bg-BG"/>
        </w:rPr>
        <w:t xml:space="preserve"> </w:t>
      </w:r>
      <w:r w:rsidRPr="00610B1B">
        <w:rPr>
          <w:rFonts w:ascii="Times New Roman" w:eastAsia="Times New Roman" w:hAnsi="Times New Roman" w:cs="Times New Roman"/>
          <w:sz w:val="24"/>
          <w:szCs w:val="24"/>
          <w:lang w:val="bg-BG" w:eastAsia="bg-BG"/>
        </w:rPr>
        <w:t>и изпълнит</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л</w:t>
      </w:r>
      <w:r w:rsidRPr="00610B1B">
        <w:rPr>
          <w:rFonts w:ascii="Times New Roman" w:eastAsia="Times New Roman" w:hAnsi="Times New Roman" w:cs="Times New Roman"/>
          <w:spacing w:val="1"/>
          <w:sz w:val="24"/>
          <w:szCs w:val="24"/>
          <w:lang w:val="bg-BG" w:eastAsia="bg-BG"/>
        </w:rPr>
        <w:t>н</w:t>
      </w:r>
      <w:r w:rsidRPr="00610B1B">
        <w:rPr>
          <w:rFonts w:ascii="Times New Roman" w:eastAsia="Times New Roman" w:hAnsi="Times New Roman" w:cs="Times New Roman"/>
          <w:sz w:val="24"/>
          <w:szCs w:val="24"/>
          <w:lang w:val="bg-BG" w:eastAsia="bg-BG"/>
        </w:rPr>
        <w:t>и</w:t>
      </w:r>
      <w:r w:rsidRPr="00610B1B">
        <w:rPr>
          <w:rFonts w:ascii="Times New Roman" w:eastAsia="Times New Roman" w:hAnsi="Times New Roman" w:cs="Times New Roman"/>
          <w:spacing w:val="34"/>
          <w:sz w:val="24"/>
          <w:szCs w:val="24"/>
          <w:lang w:val="bg-BG" w:eastAsia="bg-BG"/>
        </w:rPr>
        <w:t xml:space="preserve"> </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г</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нции</w:t>
      </w:r>
      <w:r w:rsidRPr="00610B1B">
        <w:rPr>
          <w:rFonts w:ascii="Times New Roman" w:eastAsia="Times New Roman" w:hAnsi="Times New Roman" w:cs="Times New Roman"/>
          <w:spacing w:val="34"/>
          <w:sz w:val="24"/>
          <w:szCs w:val="24"/>
          <w:lang w:val="bg-BG" w:eastAsia="bg-BG"/>
        </w:rPr>
        <w:t xml:space="preserve"> </w:t>
      </w:r>
      <w:r w:rsidRPr="00610B1B">
        <w:rPr>
          <w:rFonts w:ascii="Times New Roman" w:eastAsia="Times New Roman" w:hAnsi="Times New Roman" w:cs="Times New Roman"/>
          <w:sz w:val="24"/>
          <w:szCs w:val="24"/>
          <w:lang w:val="bg-BG" w:eastAsia="bg-BG"/>
        </w:rPr>
        <w:t>или</w:t>
      </w:r>
      <w:r w:rsidRPr="00610B1B">
        <w:rPr>
          <w:rFonts w:ascii="Times New Roman" w:eastAsia="Times New Roman" w:hAnsi="Times New Roman" w:cs="Times New Roman"/>
          <w:spacing w:val="34"/>
          <w:sz w:val="24"/>
          <w:szCs w:val="24"/>
          <w:lang w:val="bg-BG" w:eastAsia="bg-BG"/>
        </w:rPr>
        <w:t xml:space="preserve"> </w:t>
      </w:r>
      <w:r w:rsidRPr="00610B1B">
        <w:rPr>
          <w:rFonts w:ascii="Times New Roman" w:eastAsia="Times New Roman" w:hAnsi="Times New Roman" w:cs="Times New Roman"/>
          <w:sz w:val="24"/>
          <w:szCs w:val="24"/>
          <w:lang w:val="bg-BG" w:eastAsia="bg-BG"/>
        </w:rPr>
        <w:t>т</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pacing w:val="2"/>
          <w:sz w:val="24"/>
          <w:szCs w:val="24"/>
          <w:lang w:val="bg-BG" w:eastAsia="bg-BG"/>
        </w:rPr>
        <w:t>х</w:t>
      </w:r>
      <w:r w:rsidRPr="00610B1B">
        <w:rPr>
          <w:rFonts w:ascii="Times New Roman" w:eastAsia="Times New Roman" w:hAnsi="Times New Roman" w:cs="Times New Roman"/>
          <w:sz w:val="24"/>
          <w:szCs w:val="24"/>
          <w:lang w:val="bg-BG" w:eastAsia="bg-BG"/>
        </w:rPr>
        <w:t>ни</w:t>
      </w:r>
      <w:r w:rsidRPr="00610B1B">
        <w:rPr>
          <w:rFonts w:ascii="Times New Roman" w:eastAsia="Times New Roman" w:hAnsi="Times New Roman" w:cs="Times New Roman"/>
          <w:spacing w:val="34"/>
          <w:sz w:val="24"/>
          <w:szCs w:val="24"/>
          <w:lang w:val="bg-BG" w:eastAsia="bg-BG"/>
        </w:rPr>
        <w:t xml:space="preserve"> </w:t>
      </w:r>
      <w:r w:rsidRPr="00610B1B">
        <w:rPr>
          <w:rFonts w:ascii="Times New Roman" w:eastAsia="Times New Roman" w:hAnsi="Times New Roman" w:cs="Times New Roman"/>
          <w:sz w:val="24"/>
          <w:szCs w:val="24"/>
          <w:lang w:val="bg-BG" w:eastAsia="bg-BG"/>
        </w:rPr>
        <w:t>т</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ритори</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л</w:t>
      </w:r>
      <w:r w:rsidRPr="00610B1B">
        <w:rPr>
          <w:rFonts w:ascii="Times New Roman" w:eastAsia="Times New Roman" w:hAnsi="Times New Roman" w:cs="Times New Roman"/>
          <w:spacing w:val="1"/>
          <w:sz w:val="24"/>
          <w:szCs w:val="24"/>
          <w:lang w:val="bg-BG" w:eastAsia="bg-BG"/>
        </w:rPr>
        <w:t>н</w:t>
      </w:r>
      <w:r w:rsidRPr="00610B1B">
        <w:rPr>
          <w:rFonts w:ascii="Times New Roman" w:eastAsia="Times New Roman" w:hAnsi="Times New Roman" w:cs="Times New Roman"/>
          <w:sz w:val="24"/>
          <w:szCs w:val="24"/>
          <w:lang w:val="bg-BG" w:eastAsia="bg-BG"/>
        </w:rPr>
        <w:t>и</w:t>
      </w:r>
      <w:r w:rsidRPr="00610B1B">
        <w:rPr>
          <w:rFonts w:ascii="Times New Roman" w:eastAsia="Times New Roman" w:hAnsi="Times New Roman" w:cs="Times New Roman"/>
          <w:spacing w:val="31"/>
          <w:sz w:val="24"/>
          <w:szCs w:val="24"/>
          <w:lang w:val="bg-BG" w:eastAsia="bg-BG"/>
        </w:rPr>
        <w:t xml:space="preserve"> </w:t>
      </w:r>
      <w:r w:rsidRPr="00610B1B">
        <w:rPr>
          <w:rFonts w:ascii="Times New Roman" w:eastAsia="Times New Roman" w:hAnsi="Times New Roman" w:cs="Times New Roman"/>
          <w:sz w:val="24"/>
          <w:szCs w:val="24"/>
          <w:lang w:val="bg-BG" w:eastAsia="bg-BG"/>
        </w:rPr>
        <w:t>зв</w:t>
      </w:r>
      <w:r w:rsidRPr="00610B1B">
        <w:rPr>
          <w:rFonts w:ascii="Times New Roman" w:eastAsia="Times New Roman" w:hAnsi="Times New Roman" w:cs="Times New Roman"/>
          <w:spacing w:val="-2"/>
          <w:sz w:val="24"/>
          <w:szCs w:val="24"/>
          <w:lang w:val="bg-BG" w:eastAsia="bg-BG"/>
        </w:rPr>
        <w:t>е</w:t>
      </w:r>
      <w:r w:rsidRPr="00610B1B">
        <w:rPr>
          <w:rFonts w:ascii="Times New Roman" w:eastAsia="Times New Roman" w:hAnsi="Times New Roman" w:cs="Times New Roman"/>
          <w:sz w:val="24"/>
          <w:szCs w:val="24"/>
          <w:lang w:val="bg-BG" w:eastAsia="bg-BG"/>
        </w:rPr>
        <w:t>н</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w:t>
      </w:r>
      <w:r w:rsidRPr="00610B1B">
        <w:rPr>
          <w:rFonts w:ascii="Times New Roman" w:eastAsia="Times New Roman" w:hAnsi="Times New Roman" w:cs="Times New Roman"/>
          <w:spacing w:val="30"/>
          <w:sz w:val="24"/>
          <w:szCs w:val="24"/>
          <w:lang w:val="bg-BG" w:eastAsia="bg-BG"/>
        </w:rPr>
        <w:t xml:space="preserve"> </w:t>
      </w:r>
      <w:r w:rsidRPr="00610B1B">
        <w:rPr>
          <w:rFonts w:ascii="Times New Roman" w:eastAsia="Times New Roman" w:hAnsi="Times New Roman" w:cs="Times New Roman"/>
          <w:sz w:val="24"/>
          <w:szCs w:val="24"/>
          <w:lang w:val="bg-BG" w:eastAsia="bg-BG"/>
        </w:rPr>
        <w:t>обла</w:t>
      </w:r>
      <w:r w:rsidRPr="00610B1B">
        <w:rPr>
          <w:rFonts w:ascii="Times New Roman" w:eastAsia="Times New Roman" w:hAnsi="Times New Roman" w:cs="Times New Roman"/>
          <w:spacing w:val="-2"/>
          <w:sz w:val="24"/>
          <w:szCs w:val="24"/>
          <w:lang w:val="bg-BG" w:eastAsia="bg-BG"/>
        </w:rPr>
        <w:t>с</w:t>
      </w:r>
      <w:r w:rsidRPr="00610B1B">
        <w:rPr>
          <w:rFonts w:ascii="Times New Roman" w:eastAsia="Times New Roman" w:hAnsi="Times New Roman" w:cs="Times New Roman"/>
          <w:sz w:val="24"/>
          <w:szCs w:val="24"/>
          <w:lang w:val="bg-BG" w:eastAsia="bg-BG"/>
        </w:rPr>
        <w:t>тни</w:t>
      </w:r>
      <w:r w:rsidRPr="00610B1B">
        <w:rPr>
          <w:rFonts w:ascii="Times New Roman" w:eastAsia="Times New Roman" w:hAnsi="Times New Roman" w:cs="Times New Roman"/>
          <w:spacing w:val="31"/>
          <w:sz w:val="24"/>
          <w:szCs w:val="24"/>
          <w:lang w:val="bg-BG" w:eastAsia="bg-BG"/>
        </w:rPr>
        <w:t xml:space="preserve"> </w:t>
      </w:r>
      <w:r w:rsidRPr="00610B1B">
        <w:rPr>
          <w:rFonts w:ascii="Times New Roman" w:eastAsia="Times New Roman" w:hAnsi="Times New Roman" w:cs="Times New Roman"/>
          <w:spacing w:val="-8"/>
          <w:sz w:val="24"/>
          <w:szCs w:val="24"/>
          <w:lang w:val="bg-BG" w:eastAsia="bg-BG"/>
        </w:rPr>
        <w:t>у</w:t>
      </w:r>
      <w:r w:rsidRPr="00610B1B">
        <w:rPr>
          <w:rFonts w:ascii="Times New Roman" w:eastAsia="Times New Roman" w:hAnsi="Times New Roman" w:cs="Times New Roman"/>
          <w:sz w:val="24"/>
          <w:szCs w:val="24"/>
          <w:lang w:val="bg-BG" w:eastAsia="bg-BG"/>
        </w:rPr>
        <w:t>пр</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вит</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ли</w:t>
      </w:r>
      <w:r w:rsidRPr="00610B1B">
        <w:rPr>
          <w:rFonts w:ascii="Times New Roman" w:eastAsia="Times New Roman" w:hAnsi="Times New Roman" w:cs="Times New Roman"/>
          <w:spacing w:val="32"/>
          <w:sz w:val="24"/>
          <w:szCs w:val="24"/>
          <w:lang w:val="bg-BG" w:eastAsia="bg-BG"/>
        </w:rPr>
        <w:t xml:space="preserve"> </w:t>
      </w:r>
      <w:r w:rsidRPr="00610B1B">
        <w:rPr>
          <w:rFonts w:ascii="Times New Roman" w:eastAsia="Times New Roman" w:hAnsi="Times New Roman" w:cs="Times New Roman"/>
          <w:sz w:val="24"/>
          <w:szCs w:val="24"/>
          <w:lang w:val="bg-BG" w:eastAsia="bg-BG"/>
        </w:rPr>
        <w:t>и</w:t>
      </w:r>
      <w:r w:rsidRPr="00610B1B">
        <w:rPr>
          <w:rFonts w:ascii="Times New Roman" w:eastAsia="Times New Roman" w:hAnsi="Times New Roman" w:cs="Times New Roman"/>
          <w:spacing w:val="31"/>
          <w:sz w:val="24"/>
          <w:szCs w:val="24"/>
          <w:lang w:val="bg-BG" w:eastAsia="bg-BG"/>
        </w:rPr>
        <w:t xml:space="preserve"> </w:t>
      </w:r>
      <w:r w:rsidRPr="00610B1B">
        <w:rPr>
          <w:rFonts w:ascii="Times New Roman" w:eastAsia="Times New Roman" w:hAnsi="Times New Roman" w:cs="Times New Roman"/>
          <w:spacing w:val="-1"/>
          <w:sz w:val="24"/>
          <w:szCs w:val="24"/>
          <w:lang w:val="bg-BG" w:eastAsia="bg-BG"/>
        </w:rPr>
        <w:t>мес</w:t>
      </w:r>
      <w:r w:rsidRPr="00610B1B">
        <w:rPr>
          <w:rFonts w:ascii="Times New Roman" w:eastAsia="Times New Roman" w:hAnsi="Times New Roman" w:cs="Times New Roman"/>
          <w:sz w:val="24"/>
          <w:szCs w:val="24"/>
          <w:lang w:val="bg-BG" w:eastAsia="bg-BG"/>
        </w:rPr>
        <w:t>тни вл</w:t>
      </w:r>
      <w:r w:rsidRPr="00610B1B">
        <w:rPr>
          <w:rFonts w:ascii="Times New Roman" w:eastAsia="Times New Roman" w:hAnsi="Times New Roman" w:cs="Times New Roman"/>
          <w:spacing w:val="-2"/>
          <w:sz w:val="24"/>
          <w:szCs w:val="24"/>
          <w:lang w:val="bg-BG" w:eastAsia="bg-BG"/>
        </w:rPr>
        <w:t>а</w:t>
      </w:r>
      <w:r w:rsidRPr="00610B1B">
        <w:rPr>
          <w:rFonts w:ascii="Times New Roman" w:eastAsia="Times New Roman" w:hAnsi="Times New Roman" w:cs="Times New Roman"/>
          <w:spacing w:val="-1"/>
          <w:sz w:val="24"/>
          <w:szCs w:val="24"/>
          <w:lang w:val="bg-BG" w:eastAsia="bg-BG"/>
        </w:rPr>
        <w:t>с</w:t>
      </w:r>
      <w:r w:rsidRPr="00610B1B">
        <w:rPr>
          <w:rFonts w:ascii="Times New Roman" w:eastAsia="Times New Roman" w:hAnsi="Times New Roman" w:cs="Times New Roman"/>
          <w:sz w:val="24"/>
          <w:szCs w:val="24"/>
          <w:lang w:val="bg-BG" w:eastAsia="bg-BG"/>
        </w:rPr>
        <w:t>ти,</w:t>
      </w:r>
      <w:r w:rsidRPr="00610B1B">
        <w:rPr>
          <w:rFonts w:ascii="Times New Roman" w:eastAsia="Times New Roman" w:hAnsi="Times New Roman" w:cs="Times New Roman"/>
          <w:spacing w:val="2"/>
          <w:sz w:val="24"/>
          <w:szCs w:val="24"/>
          <w:lang w:val="bg-BG" w:eastAsia="bg-BG"/>
        </w:rPr>
        <w:t xml:space="preserve"> </w:t>
      </w:r>
      <w:r w:rsidRPr="00610B1B">
        <w:rPr>
          <w:rFonts w:ascii="Times New Roman" w:eastAsia="Times New Roman" w:hAnsi="Times New Roman" w:cs="Times New Roman"/>
          <w:sz w:val="24"/>
          <w:szCs w:val="24"/>
          <w:lang w:val="bg-BG" w:eastAsia="bg-BG"/>
        </w:rPr>
        <w:t>н</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цион</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л</w:t>
      </w:r>
      <w:r w:rsidRPr="00610B1B">
        <w:rPr>
          <w:rFonts w:ascii="Times New Roman" w:eastAsia="Times New Roman" w:hAnsi="Times New Roman" w:cs="Times New Roman"/>
          <w:spacing w:val="1"/>
          <w:sz w:val="24"/>
          <w:szCs w:val="24"/>
          <w:lang w:val="bg-BG" w:eastAsia="bg-BG"/>
        </w:rPr>
        <w:t>н</w:t>
      </w:r>
      <w:r w:rsidRPr="00610B1B">
        <w:rPr>
          <w:rFonts w:ascii="Times New Roman" w:eastAsia="Times New Roman" w:hAnsi="Times New Roman" w:cs="Times New Roman"/>
          <w:sz w:val="24"/>
          <w:szCs w:val="24"/>
          <w:lang w:val="bg-BG" w:eastAsia="bg-BG"/>
        </w:rPr>
        <w:t>о</w:t>
      </w:r>
      <w:r w:rsidRPr="00610B1B">
        <w:rPr>
          <w:rFonts w:ascii="Times New Roman" w:eastAsia="Times New Roman" w:hAnsi="Times New Roman" w:cs="Times New Roman"/>
          <w:spacing w:val="2"/>
          <w:sz w:val="24"/>
          <w:szCs w:val="24"/>
          <w:lang w:val="bg-BG" w:eastAsia="bg-BG"/>
        </w:rPr>
        <w:t xml:space="preserve"> </w:t>
      </w:r>
      <w:r w:rsidRPr="00610B1B">
        <w:rPr>
          <w:rFonts w:ascii="Times New Roman" w:eastAsia="Times New Roman" w:hAnsi="Times New Roman" w:cs="Times New Roman"/>
          <w:sz w:val="24"/>
          <w:szCs w:val="24"/>
          <w:lang w:val="bg-BG" w:eastAsia="bg-BG"/>
        </w:rPr>
        <w:t>пр</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д</w:t>
      </w:r>
      <w:r w:rsidRPr="00610B1B">
        <w:rPr>
          <w:rFonts w:ascii="Times New Roman" w:eastAsia="Times New Roman" w:hAnsi="Times New Roman" w:cs="Times New Roman"/>
          <w:spacing w:val="-1"/>
          <w:sz w:val="24"/>
          <w:szCs w:val="24"/>
          <w:lang w:val="bg-BG" w:eastAsia="bg-BG"/>
        </w:rPr>
        <w:t>с</w:t>
      </w:r>
      <w:r w:rsidRPr="00610B1B">
        <w:rPr>
          <w:rFonts w:ascii="Times New Roman" w:eastAsia="Times New Roman" w:hAnsi="Times New Roman" w:cs="Times New Roman"/>
          <w:sz w:val="24"/>
          <w:szCs w:val="24"/>
          <w:lang w:val="bg-BG" w:eastAsia="bg-BG"/>
        </w:rPr>
        <w:t>т</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вит</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л</w:t>
      </w:r>
      <w:r w:rsidRPr="00610B1B">
        <w:rPr>
          <w:rFonts w:ascii="Times New Roman" w:eastAsia="Times New Roman" w:hAnsi="Times New Roman" w:cs="Times New Roman"/>
          <w:spacing w:val="1"/>
          <w:sz w:val="24"/>
          <w:szCs w:val="24"/>
          <w:lang w:val="bg-BG" w:eastAsia="bg-BG"/>
        </w:rPr>
        <w:t>н</w:t>
      </w:r>
      <w:r w:rsidRPr="00610B1B">
        <w:rPr>
          <w:rFonts w:ascii="Times New Roman" w:eastAsia="Times New Roman" w:hAnsi="Times New Roman" w:cs="Times New Roman"/>
          <w:sz w:val="24"/>
          <w:szCs w:val="24"/>
          <w:lang w:val="bg-BG" w:eastAsia="bg-BG"/>
        </w:rPr>
        <w:t>ите</w:t>
      </w:r>
      <w:r w:rsidRPr="00610B1B">
        <w:rPr>
          <w:rFonts w:ascii="Times New Roman" w:eastAsia="Times New Roman" w:hAnsi="Times New Roman" w:cs="Times New Roman"/>
          <w:spacing w:val="1"/>
          <w:sz w:val="24"/>
          <w:szCs w:val="24"/>
          <w:lang w:val="bg-BG" w:eastAsia="bg-BG"/>
        </w:rPr>
        <w:t xml:space="preserve"> </w:t>
      </w:r>
      <w:r w:rsidRPr="00610B1B">
        <w:rPr>
          <w:rFonts w:ascii="Times New Roman" w:eastAsia="Times New Roman" w:hAnsi="Times New Roman" w:cs="Times New Roman"/>
          <w:sz w:val="24"/>
          <w:szCs w:val="24"/>
          <w:lang w:val="bg-BG" w:eastAsia="bg-BG"/>
        </w:rPr>
        <w:t>орг</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низ</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ции</w:t>
      </w:r>
      <w:r w:rsidRPr="00610B1B">
        <w:rPr>
          <w:rFonts w:ascii="Times New Roman" w:eastAsia="Times New Roman" w:hAnsi="Times New Roman" w:cs="Times New Roman"/>
          <w:spacing w:val="3"/>
          <w:sz w:val="24"/>
          <w:szCs w:val="24"/>
          <w:lang w:val="bg-BG" w:eastAsia="bg-BG"/>
        </w:rPr>
        <w:t xml:space="preserve"> </w:t>
      </w:r>
      <w:r w:rsidRPr="00610B1B">
        <w:rPr>
          <w:rFonts w:ascii="Times New Roman" w:eastAsia="Times New Roman" w:hAnsi="Times New Roman" w:cs="Times New Roman"/>
          <w:sz w:val="24"/>
          <w:szCs w:val="24"/>
          <w:lang w:val="bg-BG" w:eastAsia="bg-BG"/>
        </w:rPr>
        <w:t>на</w:t>
      </w:r>
      <w:r w:rsidRPr="00610B1B">
        <w:rPr>
          <w:rFonts w:ascii="Times New Roman" w:eastAsia="Times New Roman" w:hAnsi="Times New Roman" w:cs="Times New Roman"/>
          <w:spacing w:val="-1"/>
          <w:sz w:val="24"/>
          <w:szCs w:val="24"/>
          <w:lang w:val="bg-BG" w:eastAsia="bg-BG"/>
        </w:rPr>
        <w:t xml:space="preserve"> </w:t>
      </w:r>
      <w:r w:rsidRPr="00610B1B">
        <w:rPr>
          <w:rFonts w:ascii="Times New Roman" w:eastAsia="Times New Roman" w:hAnsi="Times New Roman" w:cs="Times New Roman"/>
          <w:sz w:val="24"/>
          <w:szCs w:val="24"/>
          <w:lang w:val="bg-BG" w:eastAsia="bg-BG"/>
        </w:rPr>
        <w:t>р</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ботод</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т</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л</w:t>
      </w:r>
      <w:r w:rsidRPr="00610B1B">
        <w:rPr>
          <w:rFonts w:ascii="Times New Roman" w:eastAsia="Times New Roman" w:hAnsi="Times New Roman" w:cs="Times New Roman"/>
          <w:spacing w:val="1"/>
          <w:sz w:val="24"/>
          <w:szCs w:val="24"/>
          <w:lang w:val="bg-BG" w:eastAsia="bg-BG"/>
        </w:rPr>
        <w:t>и</w:t>
      </w:r>
      <w:r w:rsidRPr="00610B1B">
        <w:rPr>
          <w:rFonts w:ascii="Times New Roman" w:eastAsia="Times New Roman" w:hAnsi="Times New Roman" w:cs="Times New Roman"/>
          <w:sz w:val="24"/>
          <w:szCs w:val="24"/>
          <w:lang w:val="bg-BG" w:eastAsia="bg-BG"/>
        </w:rPr>
        <w:t>те</w:t>
      </w:r>
      <w:r w:rsidRPr="00610B1B">
        <w:rPr>
          <w:rFonts w:ascii="Times New Roman" w:eastAsia="Times New Roman" w:hAnsi="Times New Roman" w:cs="Times New Roman"/>
          <w:spacing w:val="-1"/>
          <w:sz w:val="24"/>
          <w:szCs w:val="24"/>
          <w:lang w:val="bg-BG" w:eastAsia="bg-BG"/>
        </w:rPr>
        <w:t xml:space="preserve"> </w:t>
      </w:r>
      <w:r w:rsidRPr="00610B1B">
        <w:rPr>
          <w:rFonts w:ascii="Times New Roman" w:eastAsia="Times New Roman" w:hAnsi="Times New Roman" w:cs="Times New Roman"/>
          <w:sz w:val="24"/>
          <w:szCs w:val="24"/>
          <w:lang w:val="bg-BG" w:eastAsia="bg-BG"/>
        </w:rPr>
        <w:t>и на</w:t>
      </w:r>
      <w:r w:rsidRPr="00610B1B">
        <w:rPr>
          <w:rFonts w:ascii="Times New Roman" w:eastAsia="Times New Roman" w:hAnsi="Times New Roman" w:cs="Times New Roman"/>
          <w:spacing w:val="-1"/>
          <w:sz w:val="24"/>
          <w:szCs w:val="24"/>
          <w:lang w:val="bg-BG" w:eastAsia="bg-BG"/>
        </w:rPr>
        <w:t xml:space="preserve"> </w:t>
      </w:r>
      <w:r w:rsidRPr="00610B1B">
        <w:rPr>
          <w:rFonts w:ascii="Times New Roman" w:eastAsia="Times New Roman" w:hAnsi="Times New Roman" w:cs="Times New Roman"/>
          <w:sz w:val="24"/>
          <w:szCs w:val="24"/>
          <w:lang w:val="bg-BG" w:eastAsia="bg-BG"/>
        </w:rPr>
        <w:t>р</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ботниците и</w:t>
      </w:r>
      <w:r w:rsidRPr="00610B1B">
        <w:rPr>
          <w:rFonts w:ascii="Times New Roman" w:eastAsia="Times New Roman" w:hAnsi="Times New Roman" w:cs="Times New Roman"/>
          <w:spacing w:val="3"/>
          <w:sz w:val="24"/>
          <w:szCs w:val="24"/>
          <w:lang w:val="bg-BG" w:eastAsia="bg-BG"/>
        </w:rPr>
        <w:t xml:space="preserve"> </w:t>
      </w:r>
      <w:r w:rsidRPr="00610B1B">
        <w:rPr>
          <w:rFonts w:ascii="Times New Roman" w:eastAsia="Times New Roman" w:hAnsi="Times New Roman" w:cs="Times New Roman"/>
          <w:spacing w:val="-1"/>
          <w:sz w:val="24"/>
          <w:szCs w:val="24"/>
          <w:lang w:val="bg-BG" w:eastAsia="bg-BG"/>
        </w:rPr>
        <w:t>с</w:t>
      </w:r>
      <w:r w:rsidRPr="00610B1B">
        <w:rPr>
          <w:rFonts w:ascii="Times New Roman" w:eastAsia="Times New Roman" w:hAnsi="Times New Roman" w:cs="Times New Roman"/>
          <w:sz w:val="24"/>
          <w:szCs w:val="24"/>
          <w:lang w:val="bg-BG" w:eastAsia="bg-BG"/>
        </w:rPr>
        <w:t>л</w:t>
      </w:r>
      <w:r w:rsidRPr="00610B1B">
        <w:rPr>
          <w:rFonts w:ascii="Times New Roman" w:eastAsia="Times New Roman" w:hAnsi="Times New Roman" w:cs="Times New Roman"/>
          <w:spacing w:val="-7"/>
          <w:sz w:val="24"/>
          <w:szCs w:val="24"/>
          <w:lang w:val="bg-BG" w:eastAsia="bg-BG"/>
        </w:rPr>
        <w:t>у</w:t>
      </w:r>
      <w:r w:rsidRPr="00610B1B">
        <w:rPr>
          <w:rFonts w:ascii="Times New Roman" w:eastAsia="Times New Roman" w:hAnsi="Times New Roman" w:cs="Times New Roman"/>
          <w:sz w:val="24"/>
          <w:szCs w:val="24"/>
          <w:lang w:val="bg-BG" w:eastAsia="bg-BG"/>
        </w:rPr>
        <w:t>жит</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л</w:t>
      </w:r>
      <w:r w:rsidRPr="00610B1B">
        <w:rPr>
          <w:rFonts w:ascii="Times New Roman" w:eastAsia="Times New Roman" w:hAnsi="Times New Roman" w:cs="Times New Roman"/>
          <w:spacing w:val="1"/>
          <w:sz w:val="24"/>
          <w:szCs w:val="24"/>
          <w:lang w:val="bg-BG" w:eastAsia="bg-BG"/>
        </w:rPr>
        <w:t>и</w:t>
      </w:r>
      <w:r w:rsidRPr="00610B1B">
        <w:rPr>
          <w:rFonts w:ascii="Times New Roman" w:eastAsia="Times New Roman" w:hAnsi="Times New Roman" w:cs="Times New Roman"/>
          <w:sz w:val="24"/>
          <w:szCs w:val="24"/>
          <w:lang w:val="bg-BG" w:eastAsia="bg-BG"/>
        </w:rPr>
        <w:t>т</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 пр</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д</w:t>
      </w:r>
      <w:r w:rsidRPr="00610B1B">
        <w:rPr>
          <w:rFonts w:ascii="Times New Roman" w:eastAsia="Times New Roman" w:hAnsi="Times New Roman" w:cs="Times New Roman"/>
          <w:spacing w:val="-1"/>
          <w:sz w:val="24"/>
          <w:szCs w:val="24"/>
          <w:lang w:val="bg-BG" w:eastAsia="bg-BG"/>
        </w:rPr>
        <w:t>с</w:t>
      </w:r>
      <w:r w:rsidRPr="00610B1B">
        <w:rPr>
          <w:rFonts w:ascii="Times New Roman" w:eastAsia="Times New Roman" w:hAnsi="Times New Roman" w:cs="Times New Roman"/>
          <w:sz w:val="24"/>
          <w:szCs w:val="24"/>
          <w:lang w:val="bg-BG" w:eastAsia="bg-BG"/>
        </w:rPr>
        <w:t>т</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вит</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л</w:t>
      </w:r>
      <w:r w:rsidRPr="00610B1B">
        <w:rPr>
          <w:rFonts w:ascii="Times New Roman" w:eastAsia="Times New Roman" w:hAnsi="Times New Roman" w:cs="Times New Roman"/>
          <w:spacing w:val="1"/>
          <w:sz w:val="24"/>
          <w:szCs w:val="24"/>
          <w:lang w:val="bg-BG" w:eastAsia="bg-BG"/>
        </w:rPr>
        <w:t>и</w:t>
      </w:r>
      <w:r w:rsidRPr="00610B1B">
        <w:rPr>
          <w:rFonts w:ascii="Times New Roman" w:eastAsia="Times New Roman" w:hAnsi="Times New Roman" w:cs="Times New Roman"/>
          <w:sz w:val="24"/>
          <w:szCs w:val="24"/>
          <w:lang w:val="bg-BG" w:eastAsia="bg-BG"/>
        </w:rPr>
        <w:t>те</w:t>
      </w:r>
      <w:r w:rsidRPr="00610B1B">
        <w:rPr>
          <w:rFonts w:ascii="Times New Roman" w:eastAsia="Times New Roman" w:hAnsi="Times New Roman" w:cs="Times New Roman"/>
          <w:spacing w:val="-1"/>
          <w:sz w:val="24"/>
          <w:szCs w:val="24"/>
          <w:lang w:val="bg-BG" w:eastAsia="bg-BG"/>
        </w:rPr>
        <w:t xml:space="preserve"> </w:t>
      </w:r>
      <w:r w:rsidRPr="00610B1B">
        <w:rPr>
          <w:rFonts w:ascii="Times New Roman" w:eastAsia="Times New Roman" w:hAnsi="Times New Roman" w:cs="Times New Roman"/>
          <w:sz w:val="24"/>
          <w:szCs w:val="24"/>
          <w:lang w:val="bg-BG" w:eastAsia="bg-BG"/>
        </w:rPr>
        <w:t>на</w:t>
      </w:r>
      <w:r w:rsidRPr="00610B1B">
        <w:rPr>
          <w:rFonts w:ascii="Times New Roman" w:eastAsia="Times New Roman" w:hAnsi="Times New Roman" w:cs="Times New Roman"/>
          <w:spacing w:val="-1"/>
          <w:sz w:val="24"/>
          <w:szCs w:val="24"/>
          <w:lang w:val="bg-BG" w:eastAsia="bg-BG"/>
        </w:rPr>
        <w:t xml:space="preserve"> а</w:t>
      </w:r>
      <w:r w:rsidRPr="00610B1B">
        <w:rPr>
          <w:rFonts w:ascii="Times New Roman" w:eastAsia="Times New Roman" w:hAnsi="Times New Roman" w:cs="Times New Roman"/>
          <w:sz w:val="24"/>
          <w:szCs w:val="24"/>
          <w:lang w:val="bg-BG" w:eastAsia="bg-BG"/>
        </w:rPr>
        <w:t>к</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д</w:t>
      </w:r>
      <w:r w:rsidRPr="00610B1B">
        <w:rPr>
          <w:rFonts w:ascii="Times New Roman" w:eastAsia="Times New Roman" w:hAnsi="Times New Roman" w:cs="Times New Roman"/>
          <w:spacing w:val="-1"/>
          <w:sz w:val="24"/>
          <w:szCs w:val="24"/>
          <w:lang w:val="bg-BG" w:eastAsia="bg-BG"/>
        </w:rPr>
        <w:t>ем</w:t>
      </w:r>
      <w:r w:rsidRPr="00610B1B">
        <w:rPr>
          <w:rFonts w:ascii="Times New Roman" w:eastAsia="Times New Roman" w:hAnsi="Times New Roman" w:cs="Times New Roman"/>
          <w:sz w:val="24"/>
          <w:szCs w:val="24"/>
          <w:lang w:val="bg-BG" w:eastAsia="bg-BG"/>
        </w:rPr>
        <w:t>и</w:t>
      </w:r>
      <w:r w:rsidRPr="00610B1B">
        <w:rPr>
          <w:rFonts w:ascii="Times New Roman" w:eastAsia="Times New Roman" w:hAnsi="Times New Roman" w:cs="Times New Roman"/>
          <w:spacing w:val="-1"/>
          <w:sz w:val="24"/>
          <w:szCs w:val="24"/>
          <w:lang w:val="bg-BG" w:eastAsia="bg-BG"/>
        </w:rPr>
        <w:t>ч</w:t>
      </w:r>
      <w:r w:rsidRPr="00610B1B">
        <w:rPr>
          <w:rFonts w:ascii="Times New Roman" w:eastAsia="Times New Roman" w:hAnsi="Times New Roman" w:cs="Times New Roman"/>
          <w:sz w:val="24"/>
          <w:szCs w:val="24"/>
          <w:lang w:val="bg-BG" w:eastAsia="bg-BG"/>
        </w:rPr>
        <w:t>ните</w:t>
      </w:r>
      <w:r w:rsidRPr="00610B1B">
        <w:rPr>
          <w:rFonts w:ascii="Times New Roman" w:eastAsia="Times New Roman" w:hAnsi="Times New Roman" w:cs="Times New Roman"/>
          <w:spacing w:val="-1"/>
          <w:sz w:val="24"/>
          <w:szCs w:val="24"/>
          <w:lang w:val="bg-BG" w:eastAsia="bg-BG"/>
        </w:rPr>
        <w:t xml:space="preserve"> с</w:t>
      </w:r>
      <w:r w:rsidRPr="00610B1B">
        <w:rPr>
          <w:rFonts w:ascii="Times New Roman" w:eastAsia="Times New Roman" w:hAnsi="Times New Roman" w:cs="Times New Roman"/>
          <w:sz w:val="24"/>
          <w:szCs w:val="24"/>
          <w:lang w:val="bg-BG" w:eastAsia="bg-BG"/>
        </w:rPr>
        <w:t>р</w:t>
      </w:r>
      <w:r w:rsidRPr="00610B1B">
        <w:rPr>
          <w:rFonts w:ascii="Times New Roman" w:eastAsia="Times New Roman" w:hAnsi="Times New Roman" w:cs="Times New Roman"/>
          <w:spacing w:val="-1"/>
          <w:sz w:val="24"/>
          <w:szCs w:val="24"/>
          <w:lang w:val="bg-BG" w:eastAsia="bg-BG"/>
        </w:rPr>
        <w:t>е</w:t>
      </w:r>
      <w:r w:rsidRPr="00610B1B">
        <w:rPr>
          <w:rFonts w:ascii="Times New Roman" w:eastAsia="Times New Roman" w:hAnsi="Times New Roman" w:cs="Times New Roman"/>
          <w:sz w:val="24"/>
          <w:szCs w:val="24"/>
          <w:lang w:val="bg-BG" w:eastAsia="bg-BG"/>
        </w:rPr>
        <w:t>д</w:t>
      </w:r>
      <w:r w:rsidRPr="00610B1B">
        <w:rPr>
          <w:rFonts w:ascii="Times New Roman" w:eastAsia="Times New Roman" w:hAnsi="Times New Roman" w:cs="Times New Roman"/>
          <w:spacing w:val="1"/>
          <w:sz w:val="24"/>
          <w:szCs w:val="24"/>
          <w:lang w:val="bg-BG" w:eastAsia="bg-BG"/>
        </w:rPr>
        <w:t>и</w:t>
      </w:r>
      <w:r w:rsidRPr="00610B1B">
        <w:rPr>
          <w:rFonts w:ascii="Times New Roman" w:eastAsia="Times New Roman" w:hAnsi="Times New Roman" w:cs="Times New Roman"/>
          <w:sz w:val="24"/>
          <w:szCs w:val="24"/>
          <w:lang w:val="bg-BG" w:eastAsia="bg-BG"/>
        </w:rPr>
        <w:t>, юрид</w:t>
      </w:r>
      <w:r w:rsidRPr="00610B1B">
        <w:rPr>
          <w:rFonts w:ascii="Times New Roman" w:eastAsia="Times New Roman" w:hAnsi="Times New Roman" w:cs="Times New Roman"/>
          <w:spacing w:val="1"/>
          <w:sz w:val="24"/>
          <w:szCs w:val="24"/>
          <w:lang w:val="bg-BG" w:eastAsia="bg-BG"/>
        </w:rPr>
        <w:t>и</w:t>
      </w:r>
      <w:r w:rsidRPr="00610B1B">
        <w:rPr>
          <w:rFonts w:ascii="Times New Roman" w:eastAsia="Times New Roman" w:hAnsi="Times New Roman" w:cs="Times New Roman"/>
          <w:spacing w:val="-1"/>
          <w:sz w:val="24"/>
          <w:szCs w:val="24"/>
          <w:lang w:val="bg-BG" w:eastAsia="bg-BG"/>
        </w:rPr>
        <w:t>чес</w:t>
      </w:r>
      <w:r w:rsidRPr="00610B1B">
        <w:rPr>
          <w:rFonts w:ascii="Times New Roman" w:eastAsia="Times New Roman" w:hAnsi="Times New Roman" w:cs="Times New Roman"/>
          <w:sz w:val="24"/>
          <w:szCs w:val="24"/>
          <w:lang w:val="bg-BG" w:eastAsia="bg-BG"/>
        </w:rPr>
        <w:t>ки и ф</w:t>
      </w:r>
      <w:r w:rsidRPr="00610B1B">
        <w:rPr>
          <w:rFonts w:ascii="Times New Roman" w:eastAsia="Times New Roman" w:hAnsi="Times New Roman" w:cs="Times New Roman"/>
          <w:spacing w:val="1"/>
          <w:sz w:val="24"/>
          <w:szCs w:val="24"/>
          <w:lang w:val="bg-BG" w:eastAsia="bg-BG"/>
        </w:rPr>
        <w:t>и</w:t>
      </w:r>
      <w:r w:rsidRPr="00610B1B">
        <w:rPr>
          <w:rFonts w:ascii="Times New Roman" w:eastAsia="Times New Roman" w:hAnsi="Times New Roman" w:cs="Times New Roman"/>
          <w:sz w:val="24"/>
          <w:szCs w:val="24"/>
          <w:lang w:val="bg-BG" w:eastAsia="bg-BG"/>
        </w:rPr>
        <w:t>зи</w:t>
      </w:r>
      <w:r w:rsidRPr="00610B1B">
        <w:rPr>
          <w:rFonts w:ascii="Times New Roman" w:eastAsia="Times New Roman" w:hAnsi="Times New Roman" w:cs="Times New Roman"/>
          <w:spacing w:val="-1"/>
          <w:sz w:val="24"/>
          <w:szCs w:val="24"/>
          <w:lang w:val="bg-BG" w:eastAsia="bg-BG"/>
        </w:rPr>
        <w:t>чес</w:t>
      </w:r>
      <w:r w:rsidRPr="00610B1B">
        <w:rPr>
          <w:rFonts w:ascii="Times New Roman" w:eastAsia="Times New Roman" w:hAnsi="Times New Roman" w:cs="Times New Roman"/>
          <w:sz w:val="24"/>
          <w:szCs w:val="24"/>
          <w:lang w:val="bg-BG" w:eastAsia="bg-BG"/>
        </w:rPr>
        <w:t>ки л</w:t>
      </w:r>
      <w:r w:rsidRPr="00610B1B">
        <w:rPr>
          <w:rFonts w:ascii="Times New Roman" w:eastAsia="Times New Roman" w:hAnsi="Times New Roman" w:cs="Times New Roman"/>
          <w:spacing w:val="1"/>
          <w:sz w:val="24"/>
          <w:szCs w:val="24"/>
          <w:lang w:val="bg-BG" w:eastAsia="bg-BG"/>
        </w:rPr>
        <w:t>и</w:t>
      </w:r>
      <w:r w:rsidRPr="00610B1B">
        <w:rPr>
          <w:rFonts w:ascii="Times New Roman" w:eastAsia="Times New Roman" w:hAnsi="Times New Roman" w:cs="Times New Roman"/>
          <w:sz w:val="24"/>
          <w:szCs w:val="24"/>
          <w:lang w:val="bg-BG" w:eastAsia="bg-BG"/>
        </w:rPr>
        <w:t>ц</w:t>
      </w:r>
      <w:r w:rsidRPr="00610B1B">
        <w:rPr>
          <w:rFonts w:ascii="Times New Roman" w:eastAsia="Times New Roman" w:hAnsi="Times New Roman" w:cs="Times New Roman"/>
          <w:spacing w:val="-1"/>
          <w:sz w:val="24"/>
          <w:szCs w:val="24"/>
          <w:lang w:val="bg-BG" w:eastAsia="bg-BG"/>
        </w:rPr>
        <w:t>а</w:t>
      </w:r>
      <w:r w:rsidRPr="00610B1B">
        <w:rPr>
          <w:rFonts w:ascii="Times New Roman" w:eastAsia="Times New Roman" w:hAnsi="Times New Roman" w:cs="Times New Roman"/>
          <w:sz w:val="24"/>
          <w:szCs w:val="24"/>
          <w:lang w:val="bg-BG" w:eastAsia="bg-BG"/>
        </w:rPr>
        <w:t>,</w:t>
      </w:r>
      <w:r w:rsidR="00D66FE0" w:rsidRPr="00610B1B">
        <w:rPr>
          <w:rFonts w:ascii="Times New Roman" w:eastAsia="Times New Roman" w:hAnsi="Times New Roman" w:cs="Times New Roman"/>
          <w:sz w:val="24"/>
          <w:szCs w:val="24"/>
          <w:lang w:val="bg-BG" w:eastAsia="bg-BG"/>
        </w:rPr>
        <w:t xml:space="preserve"> </w:t>
      </w:r>
      <w:r w:rsidRPr="00610B1B">
        <w:rPr>
          <w:rFonts w:ascii="Times New Roman" w:eastAsia="Times New Roman" w:hAnsi="Times New Roman" w:cs="Times New Roman"/>
          <w:spacing w:val="-1"/>
          <w:sz w:val="24"/>
          <w:szCs w:val="24"/>
          <w:lang w:val="bg-BG" w:eastAsia="bg-BG"/>
        </w:rPr>
        <w:t>включително международни организации</w:t>
      </w:r>
      <w:r w:rsidRPr="00610B1B">
        <w:rPr>
          <w:rFonts w:ascii="Times New Roman" w:eastAsia="Times New Roman" w:hAnsi="Times New Roman" w:cs="Times New Roman"/>
          <w:sz w:val="24"/>
          <w:szCs w:val="24"/>
          <w:lang w:val="bg-BG" w:eastAsia="bg-BG"/>
        </w:rPr>
        <w:t>, имащи отношение към опазването на океаните и моретата и развитието на Черноморския регион.</w:t>
      </w:r>
    </w:p>
    <w:p w14:paraId="571BABE6" w14:textId="1FD5C948" w:rsidR="0041129F" w:rsidRPr="00610B1B" w:rsidRDefault="0041129F" w:rsidP="00D32D6A">
      <w:pPr>
        <w:widowControl w:val="0"/>
        <w:kinsoku w:val="0"/>
        <w:overflowPunct w:val="0"/>
        <w:autoSpaceDE w:val="0"/>
        <w:autoSpaceDN w:val="0"/>
        <w:adjustRightInd w:val="0"/>
        <w:spacing w:after="120"/>
        <w:ind w:right="-153"/>
        <w:jc w:val="both"/>
        <w:rPr>
          <w:rFonts w:ascii="Times New Roman" w:eastAsia="Times New Roman" w:hAnsi="Times New Roman" w:cs="Times New Roman"/>
          <w:sz w:val="24"/>
          <w:szCs w:val="24"/>
          <w:lang w:val="bg-BG" w:eastAsia="bg-BG"/>
        </w:rPr>
      </w:pPr>
      <w:r w:rsidRPr="00610B1B">
        <w:rPr>
          <w:rFonts w:ascii="Times New Roman" w:eastAsia="Times New Roman" w:hAnsi="Times New Roman" w:cs="Times New Roman"/>
          <w:sz w:val="24"/>
          <w:szCs w:val="24"/>
          <w:lang w:val="bg-BG" w:eastAsia="bg-BG"/>
        </w:rPr>
        <w:t xml:space="preserve">Избрани са консултационните процедури и е съставен План за консултации, съобразен с времевия план график и с изискването за съвместяване на процедурите по изготвяне на МППРБ и на неговата Екологична оценка. Тези процедури обхващат тематични кръгли маси, фокус групи, интервюта и обществени обсъждания. Предвид извънредната обстановка в страната в периода на планираните обсъждания те са подменени с дълбочинно интервю, проведено върху основните теми на фокус групите. </w:t>
      </w:r>
    </w:p>
    <w:p w14:paraId="67979104" w14:textId="3CA339B2" w:rsidR="00CD6DB2" w:rsidRPr="00610B1B" w:rsidRDefault="00CD6DB2" w:rsidP="00D32D6A">
      <w:pPr>
        <w:widowControl w:val="0"/>
        <w:kinsoku w:val="0"/>
        <w:overflowPunct w:val="0"/>
        <w:autoSpaceDE w:val="0"/>
        <w:autoSpaceDN w:val="0"/>
        <w:adjustRightInd w:val="0"/>
        <w:spacing w:after="120"/>
        <w:ind w:right="-153"/>
        <w:jc w:val="both"/>
        <w:rPr>
          <w:rFonts w:ascii="Times New Roman" w:eastAsia="Times New Roman" w:hAnsi="Times New Roman" w:cs="Times New Roman"/>
          <w:sz w:val="24"/>
          <w:szCs w:val="24"/>
          <w:lang w:val="bg-BG" w:eastAsia="bg-BG"/>
        </w:rPr>
      </w:pPr>
    </w:p>
    <w:p w14:paraId="5CE92313" w14:textId="415D0B18" w:rsidR="00CD6DB2" w:rsidRPr="00610B1B" w:rsidRDefault="00CD6DB2" w:rsidP="00D32D6A">
      <w:pPr>
        <w:widowControl w:val="0"/>
        <w:kinsoku w:val="0"/>
        <w:overflowPunct w:val="0"/>
        <w:autoSpaceDE w:val="0"/>
        <w:autoSpaceDN w:val="0"/>
        <w:adjustRightInd w:val="0"/>
        <w:spacing w:after="120"/>
        <w:ind w:right="-153"/>
        <w:jc w:val="both"/>
        <w:rPr>
          <w:rFonts w:ascii="Times New Roman" w:eastAsia="Times New Roman" w:hAnsi="Times New Roman" w:cs="Times New Roman"/>
          <w:sz w:val="24"/>
          <w:szCs w:val="24"/>
          <w:lang w:val="bg-BG" w:eastAsia="bg-BG"/>
        </w:rPr>
      </w:pPr>
    </w:p>
    <w:p w14:paraId="297F67AB" w14:textId="4FE5D0A1" w:rsidR="00CD6DB2" w:rsidRPr="00610B1B" w:rsidRDefault="00CD6DB2" w:rsidP="00D32D6A">
      <w:pPr>
        <w:widowControl w:val="0"/>
        <w:kinsoku w:val="0"/>
        <w:overflowPunct w:val="0"/>
        <w:autoSpaceDE w:val="0"/>
        <w:autoSpaceDN w:val="0"/>
        <w:adjustRightInd w:val="0"/>
        <w:spacing w:after="120"/>
        <w:ind w:right="-153"/>
        <w:jc w:val="both"/>
        <w:rPr>
          <w:rFonts w:ascii="Times New Roman" w:eastAsia="Times New Roman" w:hAnsi="Times New Roman" w:cs="Times New Roman"/>
          <w:sz w:val="24"/>
          <w:szCs w:val="24"/>
          <w:lang w:val="bg-BG" w:eastAsia="bg-BG"/>
        </w:rPr>
      </w:pPr>
    </w:p>
    <w:p w14:paraId="3E8180BD" w14:textId="0FDA754A" w:rsidR="00CD6DB2" w:rsidRPr="00610B1B" w:rsidRDefault="00CD6DB2" w:rsidP="00D32D6A">
      <w:pPr>
        <w:widowControl w:val="0"/>
        <w:kinsoku w:val="0"/>
        <w:overflowPunct w:val="0"/>
        <w:autoSpaceDE w:val="0"/>
        <w:autoSpaceDN w:val="0"/>
        <w:adjustRightInd w:val="0"/>
        <w:spacing w:after="120"/>
        <w:ind w:right="-153"/>
        <w:jc w:val="both"/>
        <w:rPr>
          <w:rFonts w:ascii="Times New Roman" w:eastAsia="Times New Roman" w:hAnsi="Times New Roman" w:cs="Times New Roman"/>
          <w:sz w:val="24"/>
          <w:szCs w:val="24"/>
          <w:lang w:val="bg-BG" w:eastAsia="bg-BG"/>
        </w:rPr>
      </w:pPr>
    </w:p>
    <w:p w14:paraId="4AD25A0B" w14:textId="0A69FC25" w:rsidR="00CD6DB2" w:rsidRPr="00610B1B" w:rsidRDefault="00CD6DB2" w:rsidP="00D32D6A">
      <w:pPr>
        <w:widowControl w:val="0"/>
        <w:kinsoku w:val="0"/>
        <w:overflowPunct w:val="0"/>
        <w:autoSpaceDE w:val="0"/>
        <w:autoSpaceDN w:val="0"/>
        <w:adjustRightInd w:val="0"/>
        <w:spacing w:after="120"/>
        <w:ind w:right="-153"/>
        <w:jc w:val="both"/>
        <w:rPr>
          <w:rFonts w:ascii="Times New Roman" w:eastAsia="Times New Roman" w:hAnsi="Times New Roman" w:cs="Times New Roman"/>
          <w:sz w:val="24"/>
          <w:szCs w:val="24"/>
          <w:lang w:val="bg-BG" w:eastAsia="bg-BG"/>
        </w:rPr>
      </w:pPr>
    </w:p>
    <w:p w14:paraId="1EFAD423" w14:textId="38F65322" w:rsidR="00CD6DB2" w:rsidRPr="00610B1B" w:rsidRDefault="00CD6DB2" w:rsidP="00D32D6A">
      <w:pPr>
        <w:widowControl w:val="0"/>
        <w:kinsoku w:val="0"/>
        <w:overflowPunct w:val="0"/>
        <w:autoSpaceDE w:val="0"/>
        <w:autoSpaceDN w:val="0"/>
        <w:adjustRightInd w:val="0"/>
        <w:spacing w:after="120"/>
        <w:ind w:right="-153"/>
        <w:jc w:val="both"/>
        <w:rPr>
          <w:rFonts w:ascii="Times New Roman" w:eastAsia="Times New Roman" w:hAnsi="Times New Roman" w:cs="Times New Roman"/>
          <w:sz w:val="24"/>
          <w:szCs w:val="24"/>
          <w:lang w:val="bg-BG" w:eastAsia="bg-BG"/>
        </w:rPr>
      </w:pPr>
    </w:p>
    <w:p w14:paraId="3A50135A" w14:textId="77777777" w:rsidR="00CD6DB2" w:rsidRPr="00610B1B" w:rsidRDefault="00CD6DB2" w:rsidP="00D32D6A">
      <w:pPr>
        <w:widowControl w:val="0"/>
        <w:kinsoku w:val="0"/>
        <w:overflowPunct w:val="0"/>
        <w:autoSpaceDE w:val="0"/>
        <w:autoSpaceDN w:val="0"/>
        <w:adjustRightInd w:val="0"/>
        <w:spacing w:after="120"/>
        <w:ind w:right="-153"/>
        <w:jc w:val="both"/>
        <w:rPr>
          <w:rFonts w:ascii="Times New Roman" w:eastAsia="Times New Roman" w:hAnsi="Times New Roman" w:cs="Times New Roman"/>
          <w:sz w:val="24"/>
          <w:szCs w:val="24"/>
          <w:lang w:val="bg-BG" w:eastAsia="bg-BG"/>
        </w:rPr>
      </w:pPr>
    </w:p>
    <w:p w14:paraId="1911193B" w14:textId="36486071" w:rsidR="000A3D51" w:rsidRPr="00610B1B" w:rsidRDefault="00011434" w:rsidP="00CD6DB2">
      <w:pPr>
        <w:widowControl w:val="0"/>
        <w:kinsoku w:val="0"/>
        <w:overflowPunct w:val="0"/>
        <w:autoSpaceDE w:val="0"/>
        <w:autoSpaceDN w:val="0"/>
        <w:adjustRightInd w:val="0"/>
        <w:spacing w:after="0" w:line="240" w:lineRule="auto"/>
        <w:ind w:right="-153"/>
        <w:jc w:val="both"/>
        <w:rPr>
          <w:rFonts w:ascii="Times New Roman" w:eastAsia="Times New Roman" w:hAnsi="Times New Roman" w:cs="Times New Roman"/>
          <w:sz w:val="24"/>
          <w:szCs w:val="24"/>
          <w:lang w:val="bg-BG" w:eastAsia="bg-BG"/>
        </w:rPr>
      </w:pPr>
      <w:bookmarkStart w:id="512" w:name="_Toc83391497"/>
      <w:r w:rsidRPr="00610B1B">
        <w:rPr>
          <w:rFonts w:ascii="Times New Roman" w:hAnsi="Times New Roman" w:cs="Times New Roman"/>
          <w:sz w:val="24"/>
          <w:szCs w:val="24"/>
          <w:lang w:val="bg-BG"/>
        </w:rPr>
        <w:lastRenderedPageBreak/>
        <w:t xml:space="preserve">Фигура </w:t>
      </w:r>
      <w:r w:rsidRPr="00610B1B">
        <w:rPr>
          <w:rFonts w:ascii="Times New Roman" w:hAnsi="Times New Roman" w:cs="Times New Roman"/>
          <w:sz w:val="24"/>
          <w:szCs w:val="24"/>
          <w:lang w:val="bg-BG"/>
        </w:rPr>
        <w:fldChar w:fldCharType="begin"/>
      </w:r>
      <w:r w:rsidRPr="00610B1B">
        <w:rPr>
          <w:rFonts w:ascii="Times New Roman" w:hAnsi="Times New Roman" w:cs="Times New Roman"/>
          <w:sz w:val="24"/>
          <w:szCs w:val="24"/>
          <w:lang w:val="bg-BG"/>
        </w:rPr>
        <w:instrText xml:space="preserve"> SEQ Фигура \* ARABIC </w:instrText>
      </w:r>
      <w:r w:rsidRPr="00610B1B">
        <w:rPr>
          <w:rFonts w:ascii="Times New Roman" w:hAnsi="Times New Roman" w:cs="Times New Roman"/>
          <w:sz w:val="24"/>
          <w:szCs w:val="24"/>
          <w:lang w:val="bg-BG"/>
        </w:rPr>
        <w:fldChar w:fldCharType="separate"/>
      </w:r>
      <w:r w:rsidR="00260629" w:rsidRPr="00610B1B">
        <w:rPr>
          <w:rFonts w:ascii="Times New Roman" w:hAnsi="Times New Roman" w:cs="Times New Roman"/>
          <w:noProof/>
          <w:sz w:val="24"/>
          <w:szCs w:val="24"/>
          <w:lang w:val="bg-BG"/>
        </w:rPr>
        <w:t>34</w:t>
      </w:r>
      <w:r w:rsidRPr="00610B1B">
        <w:rPr>
          <w:rFonts w:ascii="Times New Roman" w:hAnsi="Times New Roman" w:cs="Times New Roman"/>
          <w:sz w:val="24"/>
          <w:szCs w:val="24"/>
          <w:lang w:val="bg-BG"/>
        </w:rPr>
        <w:fldChar w:fldCharType="end"/>
      </w:r>
      <w:r w:rsidRPr="00610B1B">
        <w:rPr>
          <w:rFonts w:ascii="Times New Roman" w:hAnsi="Times New Roman" w:cs="Times New Roman"/>
          <w:sz w:val="24"/>
          <w:szCs w:val="24"/>
          <w:lang w:val="bg-BG"/>
        </w:rPr>
        <w:t xml:space="preserve">: </w:t>
      </w:r>
      <w:r w:rsidR="000A3D51" w:rsidRPr="00610B1B">
        <w:rPr>
          <w:rFonts w:ascii="Times New Roman" w:eastAsia="Times New Roman" w:hAnsi="Times New Roman" w:cs="Times New Roman"/>
          <w:sz w:val="24"/>
          <w:szCs w:val="24"/>
          <w:lang w:val="bg-BG" w:eastAsia="bg-BG"/>
        </w:rPr>
        <w:t>Институционална рамка на Морския пространствен план</w:t>
      </w:r>
      <w:bookmarkEnd w:id="512"/>
    </w:p>
    <w:p w14:paraId="12125A5F" w14:textId="2794A9A2" w:rsidR="006F3A6E" w:rsidRPr="00610B1B" w:rsidRDefault="00C24BC4" w:rsidP="00D32D6A">
      <w:pPr>
        <w:widowControl w:val="0"/>
        <w:kinsoku w:val="0"/>
        <w:overflowPunct w:val="0"/>
        <w:autoSpaceDE w:val="0"/>
        <w:autoSpaceDN w:val="0"/>
        <w:adjustRightInd w:val="0"/>
        <w:spacing w:after="120"/>
        <w:ind w:right="-153"/>
        <w:jc w:val="center"/>
        <w:rPr>
          <w:rFonts w:ascii="Times New Roman" w:eastAsia="Times New Roman" w:hAnsi="Times New Roman" w:cs="Times New Roman"/>
          <w:sz w:val="24"/>
          <w:szCs w:val="24"/>
          <w:lang w:val="bg-BG" w:eastAsia="bg-BG"/>
        </w:rPr>
      </w:pPr>
      <w:r w:rsidRPr="00610B1B">
        <w:rPr>
          <w:rFonts w:ascii="Times New Roman" w:hAnsi="Times New Roman" w:cs="Times New Roman"/>
          <w:noProof/>
          <w:lang w:val="bg-BG" w:eastAsia="bg-BG"/>
        </w:rPr>
        <w:drawing>
          <wp:inline distT="0" distB="0" distL="0" distR="0" wp14:anchorId="0504C3A5" wp14:editId="61890DA1">
            <wp:extent cx="6178790" cy="8629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69" cstate="print">
                      <a:extLst>
                        <a:ext uri="{28A0092B-C50C-407E-A947-70E740481C1C}">
                          <a14:useLocalDpi xmlns:a14="http://schemas.microsoft.com/office/drawing/2010/main" val="0"/>
                        </a:ext>
                      </a:extLst>
                    </a:blip>
                    <a:srcRect l="2811" b="2463"/>
                    <a:stretch/>
                  </pic:blipFill>
                  <pic:spPr bwMode="auto">
                    <a:xfrm>
                      <a:off x="0" y="0"/>
                      <a:ext cx="6206854" cy="8668846"/>
                    </a:xfrm>
                    <a:prstGeom prst="rect">
                      <a:avLst/>
                    </a:prstGeom>
                    <a:ln>
                      <a:noFill/>
                    </a:ln>
                    <a:extLst>
                      <a:ext uri="{53640926-AAD7-44D8-BBD7-CCE9431645EC}">
                        <a14:shadowObscured xmlns:a14="http://schemas.microsoft.com/office/drawing/2010/main"/>
                      </a:ext>
                    </a:extLst>
                  </pic:spPr>
                </pic:pic>
              </a:graphicData>
            </a:graphic>
          </wp:inline>
        </w:drawing>
      </w:r>
      <w:r w:rsidR="006F3A6E" w:rsidRPr="00610B1B">
        <w:rPr>
          <w:rFonts w:ascii="Times New Roman" w:eastAsia="Times New Roman" w:hAnsi="Times New Roman" w:cs="Times New Roman"/>
          <w:sz w:val="24"/>
          <w:szCs w:val="24"/>
          <w:lang w:val="bg-BG" w:eastAsia="bg-BG"/>
        </w:rPr>
        <w:t xml:space="preserve"> </w:t>
      </w:r>
    </w:p>
    <w:p w14:paraId="3A031B6A" w14:textId="7B786EAB" w:rsidR="00447F5C" w:rsidRPr="00610B1B" w:rsidRDefault="0061403C" w:rsidP="00D32D6A">
      <w:pPr>
        <w:pStyle w:val="Heading2"/>
        <w:spacing w:before="0" w:line="276" w:lineRule="auto"/>
        <w:ind w:right="-153"/>
        <w:rPr>
          <w:rFonts w:cs="Times New Roman"/>
        </w:rPr>
      </w:pPr>
      <w:bookmarkStart w:id="513" w:name="_Toc83391448"/>
      <w:r w:rsidRPr="00610B1B">
        <w:rPr>
          <w:rFonts w:cs="Times New Roman"/>
        </w:rPr>
        <w:lastRenderedPageBreak/>
        <w:t>8</w:t>
      </w:r>
      <w:r w:rsidR="00447F5C" w:rsidRPr="00610B1B">
        <w:rPr>
          <w:rFonts w:cs="Times New Roman"/>
        </w:rPr>
        <w:t>.</w:t>
      </w:r>
      <w:r w:rsidR="0041129F" w:rsidRPr="00610B1B">
        <w:rPr>
          <w:rFonts w:cs="Times New Roman"/>
        </w:rPr>
        <w:t>2</w:t>
      </w:r>
      <w:r w:rsidR="00447F5C" w:rsidRPr="00610B1B">
        <w:rPr>
          <w:rFonts w:cs="Times New Roman"/>
        </w:rPr>
        <w:t>. Резултати от проведени дълбочинни интервюта</w:t>
      </w:r>
      <w:bookmarkEnd w:id="513"/>
    </w:p>
    <w:p w14:paraId="3090AEE4" w14:textId="7635BDFC" w:rsidR="007E61E6" w:rsidRPr="00610B1B" w:rsidRDefault="007E61E6" w:rsidP="00D32D6A">
      <w:pPr>
        <w:pStyle w:val="BodyText"/>
        <w:spacing w:before="0" w:after="120" w:line="276" w:lineRule="auto"/>
        <w:ind w:right="-153"/>
        <w:rPr>
          <w:rFonts w:cs="Times New Roman"/>
        </w:rPr>
      </w:pPr>
      <w:r w:rsidRPr="00610B1B">
        <w:rPr>
          <w:rFonts w:cs="Times New Roman"/>
        </w:rPr>
        <w:t xml:space="preserve">След въвеждането на извънредно положение в Република България на 13 март 2020 г. се наложи преразглеждане на изследователските възможности за изпълнение на </w:t>
      </w:r>
      <w:r w:rsidR="00054741" w:rsidRPr="00610B1B">
        <w:rPr>
          <w:rFonts w:cs="Times New Roman"/>
        </w:rPr>
        <w:t>предвидените</w:t>
      </w:r>
      <w:r w:rsidRPr="00610B1B">
        <w:rPr>
          <w:rFonts w:cs="Times New Roman"/>
        </w:rPr>
        <w:t xml:space="preserve"> социологически проучвания. По експертно предложение се прие шестте тематични фокус групи да бъдат заменени с дълбочинни интервюта. Този изследователски подход е също качествен метод, алтернатива на фокус групите. При него изследваните лица изразяват мнението си по поставените теми индивидуално</w:t>
      </w:r>
      <w:r w:rsidR="00054741" w:rsidRPr="00610B1B">
        <w:rPr>
          <w:rFonts w:cs="Times New Roman"/>
        </w:rPr>
        <w:t xml:space="preserve"> и </w:t>
      </w:r>
      <w:r w:rsidRPr="00610B1B">
        <w:rPr>
          <w:rFonts w:cs="Times New Roman"/>
        </w:rPr>
        <w:t xml:space="preserve">отново основополагащи са отворените въпроси, </w:t>
      </w:r>
      <w:r w:rsidR="00054741" w:rsidRPr="00610B1B">
        <w:rPr>
          <w:rFonts w:cs="Times New Roman"/>
        </w:rPr>
        <w:t>без</w:t>
      </w:r>
      <w:r w:rsidRPr="00610B1B">
        <w:rPr>
          <w:rFonts w:cs="Times New Roman"/>
        </w:rPr>
        <w:t xml:space="preserve"> предварително формулирани опции за отговор. </w:t>
      </w:r>
    </w:p>
    <w:p w14:paraId="4F4CB57A" w14:textId="4EA8D07F" w:rsidR="00054741" w:rsidRPr="00610B1B" w:rsidRDefault="004E4CAD" w:rsidP="00D32D6A">
      <w:pPr>
        <w:pStyle w:val="BodyText"/>
        <w:spacing w:before="0" w:after="120" w:line="276" w:lineRule="auto"/>
        <w:ind w:right="-153"/>
        <w:rPr>
          <w:rFonts w:cs="Times New Roman"/>
        </w:rPr>
      </w:pPr>
      <w:bookmarkStart w:id="514" w:name="_Toc83391619"/>
      <w:r w:rsidRPr="00610B1B">
        <w:rPr>
          <w:rFonts w:cs="Times New Roman"/>
        </w:rPr>
        <w:t xml:space="preserve">Таблица </w:t>
      </w:r>
      <w:r w:rsidRPr="00610B1B">
        <w:rPr>
          <w:rFonts w:cs="Times New Roman"/>
        </w:rPr>
        <w:fldChar w:fldCharType="begin"/>
      </w:r>
      <w:r w:rsidRPr="00610B1B">
        <w:rPr>
          <w:rFonts w:cs="Times New Roman"/>
        </w:rPr>
        <w:instrText xml:space="preserve"> SEQ Таблица \* ARABIC </w:instrText>
      </w:r>
      <w:r w:rsidRPr="00610B1B">
        <w:rPr>
          <w:rFonts w:cs="Times New Roman"/>
        </w:rPr>
        <w:fldChar w:fldCharType="separate"/>
      </w:r>
      <w:r w:rsidR="00260629" w:rsidRPr="00610B1B">
        <w:rPr>
          <w:rFonts w:cs="Times New Roman"/>
          <w:noProof/>
        </w:rPr>
        <w:t>23</w:t>
      </w:r>
      <w:r w:rsidRPr="00610B1B">
        <w:rPr>
          <w:rFonts w:cs="Times New Roman"/>
        </w:rPr>
        <w:fldChar w:fldCharType="end"/>
      </w:r>
      <w:r w:rsidRPr="00610B1B">
        <w:rPr>
          <w:rFonts w:cs="Times New Roman"/>
        </w:rPr>
        <w:t xml:space="preserve">: </w:t>
      </w:r>
      <w:r w:rsidR="00054741" w:rsidRPr="00610B1B">
        <w:rPr>
          <w:rFonts w:cs="Times New Roman"/>
        </w:rPr>
        <w:t>Участници в дълбочинното интервю</w:t>
      </w:r>
      <w:bookmarkEnd w:id="51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08"/>
        <w:gridCol w:w="4509"/>
      </w:tblGrid>
      <w:tr w:rsidR="009A3B23" w:rsidRPr="00215C86" w14:paraId="51E3E9AE" w14:textId="77777777" w:rsidTr="00537D06">
        <w:trPr>
          <w:trHeight w:val="327"/>
        </w:trPr>
        <w:tc>
          <w:tcPr>
            <w:tcW w:w="4508" w:type="dxa"/>
            <w:tcBorders>
              <w:bottom w:val="single" w:sz="4" w:space="0" w:color="auto"/>
              <w:right w:val="nil"/>
            </w:tcBorders>
            <w:shd w:val="clear" w:color="auto" w:fill="B8CCE4" w:themeFill="accent1" w:themeFillTint="66"/>
          </w:tcPr>
          <w:p w14:paraId="3F74D64D" w14:textId="537CDEC0" w:rsidR="009A3B23" w:rsidRPr="00610B1B" w:rsidRDefault="009A3B23" w:rsidP="009A3B23">
            <w:pPr>
              <w:pStyle w:val="BodyText"/>
              <w:spacing w:before="120" w:after="120" w:line="276" w:lineRule="auto"/>
              <w:ind w:right="-153"/>
              <w:jc w:val="center"/>
              <w:rPr>
                <w:rFonts w:cs="Times New Roman"/>
                <w:b/>
                <w:bCs/>
                <w:sz w:val="22"/>
                <w:szCs w:val="22"/>
              </w:rPr>
            </w:pPr>
            <w:r w:rsidRPr="00610B1B">
              <w:rPr>
                <w:rFonts w:cs="Times New Roman"/>
                <w:b/>
                <w:bCs/>
                <w:sz w:val="22"/>
                <w:szCs w:val="22"/>
              </w:rPr>
              <w:t>Тип институция / организация</w:t>
            </w:r>
          </w:p>
        </w:tc>
        <w:tc>
          <w:tcPr>
            <w:tcW w:w="4509" w:type="dxa"/>
            <w:tcBorders>
              <w:left w:val="nil"/>
              <w:bottom w:val="single" w:sz="4" w:space="0" w:color="auto"/>
            </w:tcBorders>
            <w:shd w:val="clear" w:color="auto" w:fill="B8CCE4" w:themeFill="accent1" w:themeFillTint="66"/>
          </w:tcPr>
          <w:p w14:paraId="004E2B68" w14:textId="0C514A23" w:rsidR="009A3B23" w:rsidRPr="00610B1B" w:rsidRDefault="009A3B23" w:rsidP="009A3B23">
            <w:pPr>
              <w:pStyle w:val="BodyText"/>
              <w:spacing w:before="120" w:after="120" w:line="276" w:lineRule="auto"/>
              <w:ind w:right="-153"/>
              <w:jc w:val="center"/>
              <w:rPr>
                <w:rFonts w:cs="Times New Roman"/>
                <w:b/>
                <w:bCs/>
                <w:sz w:val="22"/>
                <w:szCs w:val="22"/>
              </w:rPr>
            </w:pPr>
            <w:r w:rsidRPr="00610B1B">
              <w:rPr>
                <w:rFonts w:cs="Times New Roman"/>
                <w:b/>
                <w:bCs/>
                <w:sz w:val="22"/>
                <w:szCs w:val="22"/>
              </w:rPr>
              <w:t>Брой участвали и изследването експерти</w:t>
            </w:r>
          </w:p>
        </w:tc>
      </w:tr>
      <w:tr w:rsidR="009A3B23" w:rsidRPr="00610B1B" w14:paraId="444C2FE9" w14:textId="77777777" w:rsidTr="00094654">
        <w:tc>
          <w:tcPr>
            <w:tcW w:w="4508" w:type="dxa"/>
            <w:tcBorders>
              <w:right w:val="nil"/>
            </w:tcBorders>
          </w:tcPr>
          <w:p w14:paraId="2F889B32" w14:textId="2962EEE1" w:rsidR="009A3B23" w:rsidRPr="00610B1B" w:rsidRDefault="009A3B23" w:rsidP="009A3B23">
            <w:pPr>
              <w:pStyle w:val="BodyText"/>
              <w:spacing w:before="0" w:after="0" w:line="276" w:lineRule="auto"/>
              <w:ind w:right="-153"/>
              <w:rPr>
                <w:rFonts w:cs="Times New Roman"/>
              </w:rPr>
            </w:pPr>
            <w:r w:rsidRPr="00610B1B">
              <w:rPr>
                <w:rFonts w:cs="Times New Roman"/>
              </w:rPr>
              <w:t>Национална институция</w:t>
            </w:r>
          </w:p>
        </w:tc>
        <w:tc>
          <w:tcPr>
            <w:tcW w:w="4509" w:type="dxa"/>
            <w:tcBorders>
              <w:left w:val="nil"/>
            </w:tcBorders>
          </w:tcPr>
          <w:p w14:paraId="26B68D01" w14:textId="2504EC37" w:rsidR="009A3B23" w:rsidRPr="00610B1B" w:rsidRDefault="009A3B23" w:rsidP="009A3B23">
            <w:pPr>
              <w:pStyle w:val="BodyText"/>
              <w:spacing w:before="0" w:after="0" w:line="276" w:lineRule="auto"/>
              <w:ind w:right="-153"/>
              <w:jc w:val="center"/>
              <w:rPr>
                <w:rFonts w:cs="Times New Roman"/>
              </w:rPr>
            </w:pPr>
            <w:r w:rsidRPr="00610B1B">
              <w:rPr>
                <w:rFonts w:cs="Times New Roman"/>
              </w:rPr>
              <w:t>3</w:t>
            </w:r>
          </w:p>
        </w:tc>
      </w:tr>
      <w:tr w:rsidR="009A3B23" w:rsidRPr="00610B1B" w14:paraId="35402079" w14:textId="77777777" w:rsidTr="00094654">
        <w:tc>
          <w:tcPr>
            <w:tcW w:w="4508" w:type="dxa"/>
            <w:tcBorders>
              <w:right w:val="nil"/>
            </w:tcBorders>
          </w:tcPr>
          <w:p w14:paraId="39D6E199" w14:textId="11859374" w:rsidR="009A3B23" w:rsidRPr="00610B1B" w:rsidRDefault="009A3B23" w:rsidP="009A3B23">
            <w:pPr>
              <w:pStyle w:val="BodyText"/>
              <w:spacing w:before="0" w:after="0" w:line="276" w:lineRule="auto"/>
              <w:ind w:right="-153"/>
              <w:rPr>
                <w:rFonts w:cs="Times New Roman"/>
              </w:rPr>
            </w:pPr>
            <w:r w:rsidRPr="00610B1B">
              <w:rPr>
                <w:rFonts w:cs="Times New Roman"/>
              </w:rPr>
              <w:t>Регионална институция и/или структура</w:t>
            </w:r>
          </w:p>
        </w:tc>
        <w:tc>
          <w:tcPr>
            <w:tcW w:w="4509" w:type="dxa"/>
            <w:tcBorders>
              <w:left w:val="nil"/>
            </w:tcBorders>
          </w:tcPr>
          <w:p w14:paraId="03999044" w14:textId="72446227" w:rsidR="009A3B23" w:rsidRPr="00610B1B" w:rsidRDefault="009A3B23" w:rsidP="009A3B23">
            <w:pPr>
              <w:pStyle w:val="BodyText"/>
              <w:spacing w:before="0" w:after="0" w:line="276" w:lineRule="auto"/>
              <w:ind w:right="-153"/>
              <w:jc w:val="center"/>
              <w:rPr>
                <w:rFonts w:cs="Times New Roman"/>
              </w:rPr>
            </w:pPr>
            <w:r w:rsidRPr="00610B1B">
              <w:rPr>
                <w:rFonts w:cs="Times New Roman"/>
              </w:rPr>
              <w:t>6</w:t>
            </w:r>
          </w:p>
        </w:tc>
      </w:tr>
      <w:tr w:rsidR="009A3B23" w:rsidRPr="00610B1B" w14:paraId="4FB5CB52" w14:textId="77777777" w:rsidTr="00094654">
        <w:tc>
          <w:tcPr>
            <w:tcW w:w="4508" w:type="dxa"/>
            <w:tcBorders>
              <w:right w:val="nil"/>
            </w:tcBorders>
          </w:tcPr>
          <w:p w14:paraId="782A9C64" w14:textId="17B54300" w:rsidR="009A3B23" w:rsidRPr="00610B1B" w:rsidRDefault="004E6850" w:rsidP="009A3B23">
            <w:pPr>
              <w:pStyle w:val="BodyText"/>
              <w:spacing w:before="0" w:after="0" w:line="276" w:lineRule="auto"/>
              <w:ind w:right="-153"/>
              <w:rPr>
                <w:rFonts w:cs="Times New Roman"/>
              </w:rPr>
            </w:pPr>
            <w:r w:rsidRPr="00610B1B">
              <w:rPr>
                <w:rFonts w:cs="Times New Roman"/>
              </w:rPr>
              <w:t>Общинска</w:t>
            </w:r>
            <w:r w:rsidR="009A3B23" w:rsidRPr="00610B1B">
              <w:rPr>
                <w:rFonts w:cs="Times New Roman"/>
              </w:rPr>
              <w:t xml:space="preserve"> администрация</w:t>
            </w:r>
          </w:p>
        </w:tc>
        <w:tc>
          <w:tcPr>
            <w:tcW w:w="4509" w:type="dxa"/>
            <w:tcBorders>
              <w:left w:val="nil"/>
            </w:tcBorders>
          </w:tcPr>
          <w:p w14:paraId="15BEB1C0" w14:textId="4476634F" w:rsidR="009A3B23" w:rsidRPr="00610B1B" w:rsidRDefault="009A3B23" w:rsidP="009A3B23">
            <w:pPr>
              <w:pStyle w:val="BodyText"/>
              <w:spacing w:before="0" w:after="0" w:line="276" w:lineRule="auto"/>
              <w:ind w:right="-153"/>
              <w:jc w:val="center"/>
              <w:rPr>
                <w:rFonts w:cs="Times New Roman"/>
              </w:rPr>
            </w:pPr>
            <w:r w:rsidRPr="00610B1B">
              <w:rPr>
                <w:rFonts w:cs="Times New Roman"/>
              </w:rPr>
              <w:t>1</w:t>
            </w:r>
          </w:p>
        </w:tc>
      </w:tr>
      <w:tr w:rsidR="009A3B23" w:rsidRPr="00610B1B" w14:paraId="61AAB885" w14:textId="77777777" w:rsidTr="00094654">
        <w:tc>
          <w:tcPr>
            <w:tcW w:w="4508" w:type="dxa"/>
            <w:tcBorders>
              <w:right w:val="nil"/>
            </w:tcBorders>
          </w:tcPr>
          <w:p w14:paraId="0C45E7F4" w14:textId="4445A4D0" w:rsidR="009A3B23" w:rsidRPr="00610B1B" w:rsidRDefault="009A3B23" w:rsidP="009A3B23">
            <w:pPr>
              <w:pStyle w:val="BodyText"/>
              <w:spacing w:before="0" w:after="0" w:line="276" w:lineRule="auto"/>
              <w:ind w:right="-153"/>
              <w:rPr>
                <w:rFonts w:cs="Times New Roman"/>
              </w:rPr>
            </w:pPr>
            <w:r w:rsidRPr="00610B1B">
              <w:rPr>
                <w:rFonts w:cs="Times New Roman"/>
              </w:rPr>
              <w:t>Професионална организация</w:t>
            </w:r>
          </w:p>
        </w:tc>
        <w:tc>
          <w:tcPr>
            <w:tcW w:w="4509" w:type="dxa"/>
            <w:tcBorders>
              <w:left w:val="nil"/>
            </w:tcBorders>
          </w:tcPr>
          <w:p w14:paraId="70E022FA" w14:textId="0CCCB255" w:rsidR="009A3B23" w:rsidRPr="00610B1B" w:rsidRDefault="009A3B23" w:rsidP="009A3B23">
            <w:pPr>
              <w:pStyle w:val="BodyText"/>
              <w:spacing w:before="0" w:after="0" w:line="276" w:lineRule="auto"/>
              <w:ind w:right="-153"/>
              <w:jc w:val="center"/>
              <w:rPr>
                <w:rFonts w:cs="Times New Roman"/>
              </w:rPr>
            </w:pPr>
            <w:r w:rsidRPr="00610B1B">
              <w:rPr>
                <w:rFonts w:cs="Times New Roman"/>
              </w:rPr>
              <w:t>1</w:t>
            </w:r>
          </w:p>
        </w:tc>
      </w:tr>
      <w:tr w:rsidR="009A3B23" w:rsidRPr="00610B1B" w14:paraId="0B478E91" w14:textId="77777777" w:rsidTr="00094654">
        <w:tc>
          <w:tcPr>
            <w:tcW w:w="4508" w:type="dxa"/>
            <w:tcBorders>
              <w:right w:val="nil"/>
            </w:tcBorders>
          </w:tcPr>
          <w:p w14:paraId="6D75AF23" w14:textId="04BC5DAE" w:rsidR="009A3B23" w:rsidRPr="00610B1B" w:rsidRDefault="009A3B23" w:rsidP="009A3B23">
            <w:pPr>
              <w:pStyle w:val="BodyText"/>
              <w:spacing w:before="0" w:after="0" w:line="276" w:lineRule="auto"/>
              <w:ind w:right="-153"/>
              <w:rPr>
                <w:rFonts w:cs="Times New Roman"/>
              </w:rPr>
            </w:pPr>
            <w:r w:rsidRPr="00610B1B">
              <w:rPr>
                <w:rFonts w:cs="Times New Roman"/>
              </w:rPr>
              <w:t>Научна и/или академична институция</w:t>
            </w:r>
          </w:p>
        </w:tc>
        <w:tc>
          <w:tcPr>
            <w:tcW w:w="4509" w:type="dxa"/>
            <w:tcBorders>
              <w:left w:val="nil"/>
            </w:tcBorders>
          </w:tcPr>
          <w:p w14:paraId="56CCD656" w14:textId="23E2182F" w:rsidR="009A3B23" w:rsidRPr="00610B1B" w:rsidRDefault="009A3B23" w:rsidP="009A3B23">
            <w:pPr>
              <w:pStyle w:val="BodyText"/>
              <w:spacing w:before="0" w:after="0" w:line="276" w:lineRule="auto"/>
              <w:ind w:right="-153"/>
              <w:jc w:val="center"/>
              <w:rPr>
                <w:rFonts w:cs="Times New Roman"/>
              </w:rPr>
            </w:pPr>
            <w:r w:rsidRPr="00610B1B">
              <w:rPr>
                <w:rFonts w:cs="Times New Roman"/>
              </w:rPr>
              <w:t>6</w:t>
            </w:r>
          </w:p>
        </w:tc>
      </w:tr>
      <w:tr w:rsidR="009A3B23" w:rsidRPr="00610B1B" w14:paraId="2E8B7FBB" w14:textId="77777777" w:rsidTr="00094654">
        <w:tc>
          <w:tcPr>
            <w:tcW w:w="4508" w:type="dxa"/>
            <w:tcBorders>
              <w:right w:val="nil"/>
            </w:tcBorders>
          </w:tcPr>
          <w:p w14:paraId="533504AD" w14:textId="45343049" w:rsidR="009A3B23" w:rsidRPr="00610B1B" w:rsidRDefault="009A3B23" w:rsidP="009A3B23">
            <w:pPr>
              <w:pStyle w:val="BodyText"/>
              <w:spacing w:before="0" w:after="0" w:line="276" w:lineRule="auto"/>
              <w:ind w:right="-153"/>
              <w:rPr>
                <w:rFonts w:cs="Times New Roman"/>
              </w:rPr>
            </w:pPr>
            <w:r w:rsidRPr="00610B1B">
              <w:rPr>
                <w:rFonts w:cs="Times New Roman"/>
              </w:rPr>
              <w:t>Неправителствена организация</w:t>
            </w:r>
          </w:p>
        </w:tc>
        <w:tc>
          <w:tcPr>
            <w:tcW w:w="4509" w:type="dxa"/>
            <w:tcBorders>
              <w:left w:val="nil"/>
            </w:tcBorders>
          </w:tcPr>
          <w:p w14:paraId="34013CF0" w14:textId="33C68A7B" w:rsidR="009A3B23" w:rsidRPr="00610B1B" w:rsidRDefault="009A3B23" w:rsidP="009A3B23">
            <w:pPr>
              <w:pStyle w:val="BodyText"/>
              <w:spacing w:before="0" w:after="0" w:line="276" w:lineRule="auto"/>
              <w:ind w:right="-153"/>
              <w:jc w:val="center"/>
              <w:rPr>
                <w:rFonts w:cs="Times New Roman"/>
              </w:rPr>
            </w:pPr>
            <w:r w:rsidRPr="00610B1B">
              <w:rPr>
                <w:rFonts w:cs="Times New Roman"/>
              </w:rPr>
              <w:t>8</w:t>
            </w:r>
          </w:p>
        </w:tc>
      </w:tr>
      <w:tr w:rsidR="009A3B23" w:rsidRPr="00610B1B" w14:paraId="08CB4575" w14:textId="77777777" w:rsidTr="00094654">
        <w:tc>
          <w:tcPr>
            <w:tcW w:w="4508" w:type="dxa"/>
            <w:tcBorders>
              <w:right w:val="nil"/>
            </w:tcBorders>
          </w:tcPr>
          <w:p w14:paraId="38AFF9C8" w14:textId="4BF06816" w:rsidR="009A3B23" w:rsidRPr="00610B1B" w:rsidRDefault="009A3B23" w:rsidP="009A3B23">
            <w:pPr>
              <w:pStyle w:val="BodyText"/>
              <w:spacing w:before="0" w:after="0" w:line="276" w:lineRule="auto"/>
              <w:ind w:right="-153"/>
              <w:rPr>
                <w:rFonts w:cs="Times New Roman"/>
              </w:rPr>
            </w:pPr>
            <w:r w:rsidRPr="00610B1B">
              <w:rPr>
                <w:rFonts w:cs="Times New Roman"/>
              </w:rPr>
              <w:t>Частен бизнес</w:t>
            </w:r>
          </w:p>
        </w:tc>
        <w:tc>
          <w:tcPr>
            <w:tcW w:w="4509" w:type="dxa"/>
            <w:tcBorders>
              <w:left w:val="nil"/>
            </w:tcBorders>
          </w:tcPr>
          <w:p w14:paraId="520E471F" w14:textId="724D9AF6" w:rsidR="009A3B23" w:rsidRPr="00610B1B" w:rsidRDefault="009A3B23" w:rsidP="009A3B23">
            <w:pPr>
              <w:pStyle w:val="BodyText"/>
              <w:spacing w:before="0" w:after="0" w:line="276" w:lineRule="auto"/>
              <w:ind w:right="-153"/>
              <w:jc w:val="center"/>
              <w:rPr>
                <w:rFonts w:cs="Times New Roman"/>
              </w:rPr>
            </w:pPr>
            <w:r w:rsidRPr="00610B1B">
              <w:rPr>
                <w:rFonts w:cs="Times New Roman"/>
              </w:rPr>
              <w:t>9</w:t>
            </w:r>
          </w:p>
        </w:tc>
      </w:tr>
      <w:tr w:rsidR="009A3B23" w:rsidRPr="00610B1B" w14:paraId="52FC919C" w14:textId="77777777" w:rsidTr="00094654">
        <w:trPr>
          <w:trHeight w:val="280"/>
        </w:trPr>
        <w:tc>
          <w:tcPr>
            <w:tcW w:w="4508" w:type="dxa"/>
            <w:tcBorders>
              <w:right w:val="nil"/>
            </w:tcBorders>
          </w:tcPr>
          <w:p w14:paraId="79346122" w14:textId="0C72A3DC" w:rsidR="009A3B23" w:rsidRPr="00610B1B" w:rsidRDefault="009A3B23" w:rsidP="009A3B23">
            <w:pPr>
              <w:pStyle w:val="BodyText"/>
              <w:spacing w:before="0" w:after="0" w:line="276" w:lineRule="auto"/>
              <w:ind w:right="-153"/>
              <w:rPr>
                <w:rFonts w:cs="Times New Roman"/>
              </w:rPr>
            </w:pPr>
            <w:r w:rsidRPr="00610B1B">
              <w:rPr>
                <w:rFonts w:cs="Times New Roman"/>
              </w:rPr>
              <w:t>Свободна професия</w:t>
            </w:r>
          </w:p>
        </w:tc>
        <w:tc>
          <w:tcPr>
            <w:tcW w:w="4509" w:type="dxa"/>
            <w:tcBorders>
              <w:left w:val="nil"/>
            </w:tcBorders>
          </w:tcPr>
          <w:p w14:paraId="697F4811" w14:textId="4B8AC17F" w:rsidR="009A3B23" w:rsidRPr="00610B1B" w:rsidRDefault="009A3B23" w:rsidP="009A3B23">
            <w:pPr>
              <w:pStyle w:val="BodyText"/>
              <w:spacing w:before="0" w:after="0" w:line="276" w:lineRule="auto"/>
              <w:ind w:right="-153"/>
              <w:jc w:val="center"/>
              <w:rPr>
                <w:rFonts w:cs="Times New Roman"/>
              </w:rPr>
            </w:pPr>
            <w:r w:rsidRPr="00610B1B">
              <w:rPr>
                <w:rFonts w:cs="Times New Roman"/>
              </w:rPr>
              <w:t>1</w:t>
            </w:r>
          </w:p>
        </w:tc>
      </w:tr>
    </w:tbl>
    <w:p w14:paraId="29189A62" w14:textId="1BF7C20E" w:rsidR="00E331E1" w:rsidRPr="00610B1B" w:rsidRDefault="00E331E1" w:rsidP="009463FB">
      <w:pPr>
        <w:pStyle w:val="BodyText"/>
        <w:spacing w:before="60" w:after="120" w:line="240" w:lineRule="auto"/>
        <w:ind w:right="-153"/>
        <w:rPr>
          <w:rFonts w:cs="Times New Roman"/>
          <w:i/>
          <w:sz w:val="20"/>
          <w:szCs w:val="20"/>
        </w:rPr>
      </w:pPr>
      <w:r w:rsidRPr="00610B1B">
        <w:rPr>
          <w:rFonts w:cs="Times New Roman"/>
          <w:i/>
          <w:sz w:val="20"/>
          <w:szCs w:val="20"/>
        </w:rPr>
        <w:t>Забележка: Сборът на участниците от различни сектори и йерархични нива е повече от 31, защото някои от респондентите са посочили повече от една област.</w:t>
      </w:r>
    </w:p>
    <w:p w14:paraId="352B31BE" w14:textId="62F16E16" w:rsidR="00DA1734" w:rsidRPr="00610B1B" w:rsidRDefault="00DA1734" w:rsidP="00D32D6A">
      <w:pPr>
        <w:pStyle w:val="BodyText"/>
        <w:spacing w:before="0" w:after="120" w:line="276" w:lineRule="auto"/>
        <w:ind w:right="-153"/>
        <w:rPr>
          <w:rFonts w:cs="Times New Roman"/>
        </w:rPr>
      </w:pPr>
      <w:r w:rsidRPr="00610B1B">
        <w:rPr>
          <w:rFonts w:cs="Times New Roman"/>
        </w:rPr>
        <w:t xml:space="preserve">На проведеното през месец април 2020 г. социологическо проучване чрез дълбочинни интервюта от 60 поканени се отзоваха 31 експерти и заинтересовани страни, имащи отношение към Морския пространствен план. </w:t>
      </w:r>
    </w:p>
    <w:p w14:paraId="618590EC" w14:textId="0C4EEB99" w:rsidR="00E216B5" w:rsidRPr="00610B1B" w:rsidRDefault="007E61E6" w:rsidP="00D32D6A">
      <w:pPr>
        <w:pStyle w:val="BodyText"/>
        <w:spacing w:before="0" w:after="120" w:line="276" w:lineRule="auto"/>
        <w:ind w:right="-153"/>
        <w:rPr>
          <w:rFonts w:cs="Times New Roman"/>
        </w:rPr>
      </w:pPr>
      <w:r w:rsidRPr="00610B1B">
        <w:rPr>
          <w:rFonts w:cs="Times New Roman"/>
        </w:rPr>
        <w:t xml:space="preserve">Резултатите от получените отговори извеждат </w:t>
      </w:r>
      <w:r w:rsidR="00E216B5" w:rsidRPr="00610B1B">
        <w:rPr>
          <w:rFonts w:cs="Times New Roman"/>
        </w:rPr>
        <w:t>на преден план основни изводи и препоръки, систематизирани в две основни групи – оценка на настоящата ситуация и теми, свързани с морския пространствен план.</w:t>
      </w:r>
    </w:p>
    <w:p w14:paraId="4AB11736" w14:textId="77777777" w:rsidR="009918C6" w:rsidRPr="00610B1B" w:rsidRDefault="009918C6" w:rsidP="00D32D6A">
      <w:pPr>
        <w:pStyle w:val="BodyText"/>
        <w:spacing w:before="0" w:after="120" w:line="276" w:lineRule="auto"/>
        <w:ind w:right="-153"/>
        <w:rPr>
          <w:rFonts w:cs="Times New Roman"/>
        </w:rPr>
      </w:pPr>
    </w:p>
    <w:p w14:paraId="40FC0434" w14:textId="2161A1EC" w:rsidR="00E216B5" w:rsidRPr="00610B1B" w:rsidRDefault="0061403C" w:rsidP="00D32D6A">
      <w:pPr>
        <w:pStyle w:val="Heading3"/>
        <w:spacing w:before="0" w:line="276" w:lineRule="auto"/>
        <w:ind w:right="-153"/>
        <w:rPr>
          <w:rFonts w:cs="Times New Roman"/>
        </w:rPr>
      </w:pPr>
      <w:bookmarkStart w:id="515" w:name="_Toc83391449"/>
      <w:r w:rsidRPr="00610B1B">
        <w:rPr>
          <w:rFonts w:cs="Times New Roman"/>
        </w:rPr>
        <w:t>8</w:t>
      </w:r>
      <w:r w:rsidR="007A7F54" w:rsidRPr="00610B1B">
        <w:rPr>
          <w:rFonts w:cs="Times New Roman"/>
        </w:rPr>
        <w:t>.</w:t>
      </w:r>
      <w:r w:rsidR="0041129F" w:rsidRPr="00610B1B">
        <w:rPr>
          <w:rFonts w:cs="Times New Roman"/>
        </w:rPr>
        <w:t>2</w:t>
      </w:r>
      <w:r w:rsidR="00E216B5" w:rsidRPr="00610B1B">
        <w:rPr>
          <w:rFonts w:cs="Times New Roman"/>
        </w:rPr>
        <w:t>.1. Оценка на настоящата ситуация</w:t>
      </w:r>
      <w:bookmarkEnd w:id="515"/>
    </w:p>
    <w:p w14:paraId="13606946" w14:textId="3F32939F"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Експертите посочват за </w:t>
      </w:r>
      <w:r w:rsidRPr="00610B1B">
        <w:rPr>
          <w:rFonts w:cs="Times New Roman"/>
          <w:b/>
        </w:rPr>
        <w:t>силни страни</w:t>
      </w:r>
      <w:r w:rsidRPr="00610B1B">
        <w:rPr>
          <w:rFonts w:cs="Times New Roman"/>
        </w:rPr>
        <w:t xml:space="preserve"> на българското морско пространство и прилежащите крайбрежни територии </w:t>
      </w:r>
      <w:r w:rsidR="00A579CE" w:rsidRPr="00610B1B">
        <w:rPr>
          <w:rFonts w:cs="Times New Roman"/>
        </w:rPr>
        <w:t>развитието на туризма, т</w:t>
      </w:r>
      <w:r w:rsidRPr="00610B1B">
        <w:rPr>
          <w:rFonts w:cs="Times New Roman"/>
        </w:rPr>
        <w:t>ранспорт</w:t>
      </w:r>
      <w:r w:rsidR="00A579CE" w:rsidRPr="00610B1B">
        <w:rPr>
          <w:rFonts w:cs="Times New Roman"/>
        </w:rPr>
        <w:t>а</w:t>
      </w:r>
      <w:r w:rsidRPr="00610B1B">
        <w:rPr>
          <w:rFonts w:cs="Times New Roman"/>
        </w:rPr>
        <w:t xml:space="preserve"> и търговия</w:t>
      </w:r>
      <w:r w:rsidR="00A579CE" w:rsidRPr="00610B1B">
        <w:rPr>
          <w:rFonts w:cs="Times New Roman"/>
        </w:rPr>
        <w:t xml:space="preserve">та, </w:t>
      </w:r>
      <w:r w:rsidRPr="00610B1B">
        <w:rPr>
          <w:rFonts w:cs="Times New Roman"/>
        </w:rPr>
        <w:t>природа</w:t>
      </w:r>
      <w:r w:rsidR="00A579CE" w:rsidRPr="00610B1B">
        <w:rPr>
          <w:rFonts w:cs="Times New Roman"/>
        </w:rPr>
        <w:t>та</w:t>
      </w:r>
      <w:r w:rsidRPr="00610B1B">
        <w:rPr>
          <w:rFonts w:cs="Times New Roman"/>
        </w:rPr>
        <w:t>, климат</w:t>
      </w:r>
      <w:r w:rsidR="00A579CE" w:rsidRPr="00610B1B">
        <w:rPr>
          <w:rFonts w:cs="Times New Roman"/>
        </w:rPr>
        <w:t xml:space="preserve">а и екологията, </w:t>
      </w:r>
      <w:r w:rsidRPr="00610B1B">
        <w:rPr>
          <w:rFonts w:cs="Times New Roman"/>
        </w:rPr>
        <w:t>рибарство</w:t>
      </w:r>
      <w:r w:rsidR="00A579CE" w:rsidRPr="00610B1B">
        <w:rPr>
          <w:rFonts w:cs="Times New Roman"/>
        </w:rPr>
        <w:t>то</w:t>
      </w:r>
      <w:r w:rsidRPr="00610B1B">
        <w:rPr>
          <w:rFonts w:cs="Times New Roman"/>
        </w:rPr>
        <w:t xml:space="preserve"> и аквакултури</w:t>
      </w:r>
      <w:r w:rsidR="00A579CE" w:rsidRPr="00610B1B">
        <w:rPr>
          <w:rFonts w:cs="Times New Roman"/>
        </w:rPr>
        <w:t xml:space="preserve">те и </w:t>
      </w:r>
      <w:r w:rsidRPr="00610B1B">
        <w:rPr>
          <w:rFonts w:cs="Times New Roman"/>
        </w:rPr>
        <w:t>културно</w:t>
      </w:r>
      <w:r w:rsidR="00A579CE" w:rsidRPr="00610B1B">
        <w:rPr>
          <w:rFonts w:cs="Times New Roman"/>
        </w:rPr>
        <w:t>то</w:t>
      </w:r>
      <w:r w:rsidRPr="00610B1B">
        <w:rPr>
          <w:rFonts w:cs="Times New Roman"/>
        </w:rPr>
        <w:t xml:space="preserve"> наследство. Позитивно се разглеждат земеделието и горското стопанство в прилежащите крайбрежни територии</w:t>
      </w:r>
      <w:r w:rsidR="00A579CE" w:rsidRPr="00610B1B">
        <w:rPr>
          <w:rFonts w:cs="Times New Roman"/>
        </w:rPr>
        <w:t xml:space="preserve">, </w:t>
      </w:r>
      <w:r w:rsidRPr="00610B1B">
        <w:rPr>
          <w:rFonts w:cs="Times New Roman"/>
        </w:rPr>
        <w:t>строителството</w:t>
      </w:r>
      <w:r w:rsidR="00A579CE" w:rsidRPr="00610B1B">
        <w:rPr>
          <w:rFonts w:cs="Times New Roman"/>
        </w:rPr>
        <w:t>,</w:t>
      </w:r>
      <w:r w:rsidRPr="00610B1B">
        <w:rPr>
          <w:rFonts w:cs="Times New Roman"/>
        </w:rPr>
        <w:t xml:space="preserve"> образованието и научната дейност</w:t>
      </w:r>
      <w:r w:rsidR="00A579CE" w:rsidRPr="00610B1B">
        <w:rPr>
          <w:rFonts w:cs="Times New Roman"/>
        </w:rPr>
        <w:t>,</w:t>
      </w:r>
      <w:r w:rsidRPr="00610B1B">
        <w:rPr>
          <w:rFonts w:cs="Times New Roman"/>
        </w:rPr>
        <w:t xml:space="preserve"> геополитическите фактори</w:t>
      </w:r>
      <w:r w:rsidR="00A579CE" w:rsidRPr="00610B1B">
        <w:rPr>
          <w:rFonts w:cs="Times New Roman"/>
        </w:rPr>
        <w:t>,</w:t>
      </w:r>
      <w:r w:rsidRPr="00610B1B">
        <w:rPr>
          <w:rFonts w:cs="Times New Roman"/>
        </w:rPr>
        <w:t xml:space="preserve"> законодателни</w:t>
      </w:r>
      <w:r w:rsidR="00A579CE" w:rsidRPr="00610B1B">
        <w:rPr>
          <w:rFonts w:cs="Times New Roman"/>
        </w:rPr>
        <w:t>те</w:t>
      </w:r>
      <w:r w:rsidRPr="00610B1B">
        <w:rPr>
          <w:rFonts w:cs="Times New Roman"/>
        </w:rPr>
        <w:t xml:space="preserve"> фактори</w:t>
      </w:r>
      <w:r w:rsidR="00A579CE" w:rsidRPr="00610B1B">
        <w:rPr>
          <w:rFonts w:cs="Times New Roman"/>
        </w:rPr>
        <w:t xml:space="preserve"> и</w:t>
      </w:r>
      <w:r w:rsidRPr="00610B1B">
        <w:rPr>
          <w:rFonts w:cs="Times New Roman"/>
        </w:rPr>
        <w:t xml:space="preserve"> потенциали</w:t>
      </w:r>
      <w:r w:rsidR="00A579CE" w:rsidRPr="00610B1B">
        <w:rPr>
          <w:rFonts w:cs="Times New Roman"/>
        </w:rPr>
        <w:t>те</w:t>
      </w:r>
      <w:r w:rsidRPr="00610B1B">
        <w:rPr>
          <w:rFonts w:cs="Times New Roman"/>
        </w:rPr>
        <w:t xml:space="preserve"> </w:t>
      </w:r>
      <w:r w:rsidR="00054741" w:rsidRPr="00610B1B">
        <w:rPr>
          <w:rFonts w:cs="Times New Roman"/>
        </w:rPr>
        <w:t>на</w:t>
      </w:r>
      <w:r w:rsidRPr="00610B1B">
        <w:rPr>
          <w:rFonts w:cs="Times New Roman"/>
        </w:rPr>
        <w:t xml:space="preserve"> икономическата сфера. </w:t>
      </w:r>
    </w:p>
    <w:p w14:paraId="1D5E2931" w14:textId="36814B67" w:rsidR="00E216B5" w:rsidRPr="00610B1B" w:rsidRDefault="00A579CE" w:rsidP="00D32D6A">
      <w:pPr>
        <w:pStyle w:val="BodyText"/>
        <w:spacing w:before="0" w:after="120" w:line="276" w:lineRule="auto"/>
        <w:ind w:right="-153"/>
        <w:rPr>
          <w:rFonts w:cs="Times New Roman"/>
        </w:rPr>
      </w:pPr>
      <w:r w:rsidRPr="00610B1B">
        <w:rPr>
          <w:rFonts w:cs="Times New Roman"/>
        </w:rPr>
        <w:t>Като н</w:t>
      </w:r>
      <w:r w:rsidR="00E216B5" w:rsidRPr="00610B1B">
        <w:rPr>
          <w:rFonts w:cs="Times New Roman"/>
        </w:rPr>
        <w:t xml:space="preserve">ай-значими </w:t>
      </w:r>
      <w:r w:rsidR="00E216B5" w:rsidRPr="00610B1B">
        <w:rPr>
          <w:rFonts w:cs="Times New Roman"/>
          <w:b/>
        </w:rPr>
        <w:t>проблеми</w:t>
      </w:r>
      <w:r w:rsidR="00E216B5" w:rsidRPr="00610B1B">
        <w:rPr>
          <w:rFonts w:cs="Times New Roman"/>
        </w:rPr>
        <w:t xml:space="preserve"> на българското морско пространство и прилежащите му територии с</w:t>
      </w:r>
      <w:r w:rsidRPr="00610B1B">
        <w:rPr>
          <w:rFonts w:cs="Times New Roman"/>
        </w:rPr>
        <w:t>е посочват</w:t>
      </w:r>
      <w:r w:rsidR="00E216B5" w:rsidRPr="00610B1B">
        <w:rPr>
          <w:rFonts w:cs="Times New Roman"/>
        </w:rPr>
        <w:t xml:space="preserve"> урбанизацията и презастрояването</w:t>
      </w:r>
      <w:r w:rsidRPr="00610B1B">
        <w:rPr>
          <w:rFonts w:cs="Times New Roman"/>
        </w:rPr>
        <w:t>,</w:t>
      </w:r>
      <w:r w:rsidR="00E216B5" w:rsidRPr="00610B1B">
        <w:rPr>
          <w:rFonts w:cs="Times New Roman"/>
        </w:rPr>
        <w:t xml:space="preserve"> замърсяване</w:t>
      </w:r>
      <w:r w:rsidRPr="00610B1B">
        <w:rPr>
          <w:rFonts w:cs="Times New Roman"/>
        </w:rPr>
        <w:t>то</w:t>
      </w:r>
      <w:r w:rsidR="00E216B5" w:rsidRPr="00610B1B">
        <w:rPr>
          <w:rFonts w:cs="Times New Roman"/>
        </w:rPr>
        <w:t>, екологични</w:t>
      </w:r>
      <w:r w:rsidRPr="00610B1B">
        <w:rPr>
          <w:rFonts w:cs="Times New Roman"/>
        </w:rPr>
        <w:t>те</w:t>
      </w:r>
      <w:r w:rsidR="00E216B5" w:rsidRPr="00610B1B">
        <w:rPr>
          <w:rFonts w:cs="Times New Roman"/>
        </w:rPr>
        <w:t xml:space="preserve"> проблеми и </w:t>
      </w:r>
      <w:r w:rsidR="00054741" w:rsidRPr="00610B1B">
        <w:rPr>
          <w:rFonts w:cs="Times New Roman"/>
        </w:rPr>
        <w:t>загубата</w:t>
      </w:r>
      <w:r w:rsidR="00E216B5" w:rsidRPr="00610B1B">
        <w:rPr>
          <w:rFonts w:cs="Times New Roman"/>
        </w:rPr>
        <w:t xml:space="preserve"> на биоразнообразие</w:t>
      </w:r>
      <w:r w:rsidRPr="00610B1B">
        <w:rPr>
          <w:rFonts w:cs="Times New Roman"/>
        </w:rPr>
        <w:t>,</w:t>
      </w:r>
      <w:r w:rsidR="00E216B5" w:rsidRPr="00610B1B">
        <w:rPr>
          <w:rFonts w:cs="Times New Roman"/>
        </w:rPr>
        <w:t xml:space="preserve"> липсата на план и стратегия за развитие. Други посочвани проблеми са негативното развитие на туризма</w:t>
      </w:r>
      <w:r w:rsidRPr="00610B1B">
        <w:rPr>
          <w:rFonts w:cs="Times New Roman"/>
        </w:rPr>
        <w:t>,</w:t>
      </w:r>
      <w:r w:rsidR="00E216B5" w:rsidRPr="00610B1B">
        <w:rPr>
          <w:rFonts w:cs="Times New Roman"/>
        </w:rPr>
        <w:t xml:space="preserve"> законови</w:t>
      </w:r>
      <w:r w:rsidRPr="00610B1B">
        <w:rPr>
          <w:rFonts w:cs="Times New Roman"/>
        </w:rPr>
        <w:t>те</w:t>
      </w:r>
      <w:r w:rsidR="00E216B5" w:rsidRPr="00610B1B">
        <w:rPr>
          <w:rFonts w:cs="Times New Roman"/>
        </w:rPr>
        <w:t xml:space="preserve"> и институционални ограничения</w:t>
      </w:r>
      <w:r w:rsidRPr="00610B1B">
        <w:rPr>
          <w:rFonts w:cs="Times New Roman"/>
        </w:rPr>
        <w:t>,</w:t>
      </w:r>
      <w:r w:rsidR="00E216B5" w:rsidRPr="00610B1B">
        <w:rPr>
          <w:rFonts w:cs="Times New Roman"/>
        </w:rPr>
        <w:t xml:space="preserve"> лоша</w:t>
      </w:r>
      <w:r w:rsidRPr="00610B1B">
        <w:rPr>
          <w:rFonts w:cs="Times New Roman"/>
        </w:rPr>
        <w:t>та</w:t>
      </w:r>
      <w:r w:rsidR="00E216B5" w:rsidRPr="00610B1B">
        <w:rPr>
          <w:rFonts w:cs="Times New Roman"/>
        </w:rPr>
        <w:t xml:space="preserve"> пристанищна и пътна инфраструктура</w:t>
      </w:r>
      <w:r w:rsidRPr="00610B1B">
        <w:rPr>
          <w:rFonts w:cs="Times New Roman"/>
        </w:rPr>
        <w:t>,</w:t>
      </w:r>
      <w:r w:rsidR="00E216B5" w:rsidRPr="00610B1B">
        <w:rPr>
          <w:rFonts w:cs="Times New Roman"/>
        </w:rPr>
        <w:t xml:space="preserve"> липса</w:t>
      </w:r>
      <w:r w:rsidRPr="00610B1B">
        <w:rPr>
          <w:rFonts w:cs="Times New Roman"/>
        </w:rPr>
        <w:t>та</w:t>
      </w:r>
      <w:r w:rsidR="00E216B5" w:rsidRPr="00610B1B">
        <w:rPr>
          <w:rFonts w:cs="Times New Roman"/>
        </w:rPr>
        <w:t xml:space="preserve"> на плавателни съдове и екипировка за </w:t>
      </w:r>
      <w:r w:rsidR="00E216B5" w:rsidRPr="00610B1B">
        <w:rPr>
          <w:rFonts w:cs="Times New Roman"/>
        </w:rPr>
        <w:lastRenderedPageBreak/>
        <w:t>спасителни операции в морето</w:t>
      </w:r>
      <w:r w:rsidR="00E331E1" w:rsidRPr="00610B1B">
        <w:rPr>
          <w:rFonts w:cs="Times New Roman"/>
        </w:rPr>
        <w:t>, ограничените знания</w:t>
      </w:r>
      <w:r w:rsidR="00E216B5" w:rsidRPr="00610B1B">
        <w:rPr>
          <w:rFonts w:cs="Times New Roman"/>
        </w:rPr>
        <w:t>.</w:t>
      </w:r>
      <w:r w:rsidRPr="00610B1B">
        <w:rPr>
          <w:rFonts w:cs="Times New Roman"/>
        </w:rPr>
        <w:t xml:space="preserve"> </w:t>
      </w:r>
      <w:r w:rsidR="00E216B5" w:rsidRPr="00610B1B">
        <w:rPr>
          <w:rFonts w:cs="Times New Roman"/>
        </w:rPr>
        <w:t>Пр</w:t>
      </w:r>
      <w:r w:rsidR="00E331E1" w:rsidRPr="00610B1B">
        <w:rPr>
          <w:rFonts w:cs="Times New Roman"/>
        </w:rPr>
        <w:t xml:space="preserve">епоръчва се </w:t>
      </w:r>
      <w:r w:rsidR="00E216B5" w:rsidRPr="00610B1B">
        <w:rPr>
          <w:rFonts w:cs="Times New Roman"/>
        </w:rPr>
        <w:t>Морския</w:t>
      </w:r>
      <w:r w:rsidR="00E331E1" w:rsidRPr="00610B1B">
        <w:rPr>
          <w:rFonts w:cs="Times New Roman"/>
        </w:rPr>
        <w:t>т</w:t>
      </w:r>
      <w:r w:rsidR="00E216B5" w:rsidRPr="00610B1B">
        <w:rPr>
          <w:rFonts w:cs="Times New Roman"/>
        </w:rPr>
        <w:t xml:space="preserve"> пространствен план усилията да се фокусира върху </w:t>
      </w:r>
      <w:r w:rsidRPr="00610B1B">
        <w:rPr>
          <w:rFonts w:cs="Times New Roman"/>
        </w:rPr>
        <w:t xml:space="preserve">тези </w:t>
      </w:r>
      <w:r w:rsidR="00E216B5" w:rsidRPr="00610B1B">
        <w:rPr>
          <w:rFonts w:cs="Times New Roman"/>
        </w:rPr>
        <w:t>основни проблеми.</w:t>
      </w:r>
    </w:p>
    <w:p w14:paraId="46FD93F7" w14:textId="45A86B72"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Категорично доминират мненията, че повечето проблеми, които изискват съсредоточаване на вниманието и усилията за решаването им са </w:t>
      </w:r>
      <w:r w:rsidRPr="00610B1B">
        <w:rPr>
          <w:rFonts w:cs="Times New Roman"/>
          <w:b/>
        </w:rPr>
        <w:t xml:space="preserve">на сушата в прилежащите крайбрежни територии, а не в </w:t>
      </w:r>
      <w:r w:rsidR="00054741" w:rsidRPr="00610B1B">
        <w:rPr>
          <w:rFonts w:cs="Times New Roman"/>
          <w:b/>
        </w:rPr>
        <w:t>морето</w:t>
      </w:r>
      <w:r w:rsidRPr="00610B1B">
        <w:rPr>
          <w:rFonts w:cs="Times New Roman"/>
        </w:rPr>
        <w:t xml:space="preserve">. Съотношението на оценките в полза на сушата спрямо морските пространства </w:t>
      </w:r>
      <w:r w:rsidR="00AC2BA8" w:rsidRPr="00610B1B">
        <w:rPr>
          <w:rFonts w:cs="Times New Roman"/>
        </w:rPr>
        <w:t>е 3,5:1</w:t>
      </w:r>
      <w:r w:rsidRPr="00610B1B">
        <w:rPr>
          <w:rFonts w:cs="Times New Roman"/>
        </w:rPr>
        <w:t>. Аргументите в полза на приоритизиране на сушата са свързани с разбирането, че човешките дейности са първоизточник на повечето проблеми, съсредоточени на сушата</w:t>
      </w:r>
      <w:r w:rsidR="00054741" w:rsidRPr="00610B1B">
        <w:rPr>
          <w:rFonts w:cs="Times New Roman"/>
        </w:rPr>
        <w:t>, където са и по-видими.</w:t>
      </w:r>
      <w:r w:rsidR="00AC2BA8" w:rsidRPr="00610B1B">
        <w:rPr>
          <w:rFonts w:cs="Times New Roman"/>
        </w:rPr>
        <w:t xml:space="preserve"> </w:t>
      </w:r>
      <w:r w:rsidR="00054741" w:rsidRPr="00610B1B">
        <w:rPr>
          <w:rFonts w:cs="Times New Roman"/>
        </w:rPr>
        <w:t xml:space="preserve">Трябва </w:t>
      </w:r>
      <w:r w:rsidR="00AC2BA8" w:rsidRPr="00610B1B">
        <w:rPr>
          <w:rFonts w:cs="Times New Roman"/>
        </w:rPr>
        <w:t xml:space="preserve">да се акцентира върху образователни програми, които да променят нагласите към морето. Липсата на достатъчно информация за състоянието на морските пространства е друг проблем, който трябва да бъде преодолян. </w:t>
      </w:r>
      <w:r w:rsidRPr="00610B1B">
        <w:rPr>
          <w:rFonts w:cs="Times New Roman"/>
        </w:rPr>
        <w:t xml:space="preserve">Аргументите в полза на приоритизиране на морските пространства са значително по-малко и </w:t>
      </w:r>
      <w:r w:rsidR="00AC2BA8" w:rsidRPr="00610B1B">
        <w:rPr>
          <w:rFonts w:cs="Times New Roman"/>
        </w:rPr>
        <w:t>се свързват</w:t>
      </w:r>
      <w:r w:rsidRPr="00610B1B">
        <w:rPr>
          <w:rFonts w:cs="Times New Roman"/>
        </w:rPr>
        <w:t xml:space="preserve"> предимно с липсата на контрол в тези пространства. </w:t>
      </w:r>
      <w:r w:rsidR="00AC2BA8" w:rsidRPr="00610B1B">
        <w:rPr>
          <w:rFonts w:cs="Times New Roman"/>
        </w:rPr>
        <w:t>Тези п</w:t>
      </w:r>
      <w:r w:rsidRPr="00610B1B">
        <w:rPr>
          <w:rFonts w:cs="Times New Roman"/>
        </w:rPr>
        <w:t xml:space="preserve">роблеми са оставяни до момента на заден план и евентуалното им приоритизиране би подпомогнало тяхното решаване. </w:t>
      </w:r>
    </w:p>
    <w:p w14:paraId="76A914D8" w14:textId="2BF7A3E1"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Поляризирани са мненията относно приоритизиране на </w:t>
      </w:r>
      <w:r w:rsidRPr="00610B1B">
        <w:rPr>
          <w:rFonts w:cs="Times New Roman"/>
          <w:b/>
          <w:bCs/>
        </w:rPr>
        <w:t>социално-икономическата или екологичната сфера.</w:t>
      </w:r>
      <w:r w:rsidRPr="00610B1B">
        <w:rPr>
          <w:rFonts w:cs="Times New Roman"/>
        </w:rPr>
        <w:t xml:space="preserve"> Рав</w:t>
      </w:r>
      <w:r w:rsidR="001744D3" w:rsidRPr="00610B1B">
        <w:rPr>
          <w:rFonts w:cs="Times New Roman"/>
        </w:rPr>
        <w:t>ностойна е подкрепата за едната и з</w:t>
      </w:r>
      <w:r w:rsidRPr="00610B1B">
        <w:rPr>
          <w:rFonts w:cs="Times New Roman"/>
        </w:rPr>
        <w:t xml:space="preserve">а другата област. Аргументите в полза на приоритизиране на социално-икономическата сфера извеждат на преден план разбирането, че състоянието и развитието на тази сфера оказва съществено влияние върху екологичната. Изключително големи са икономическите проблеми. От друга страна екологичната сфера се разглежда като развиваща се позитивно, с по-малко проблеми. Аргументите в полза на приоритизиране </w:t>
      </w:r>
      <w:r w:rsidR="00AC2BA8" w:rsidRPr="00610B1B">
        <w:rPr>
          <w:rFonts w:cs="Times New Roman"/>
        </w:rPr>
        <w:t xml:space="preserve">на </w:t>
      </w:r>
      <w:r w:rsidRPr="00610B1B">
        <w:rPr>
          <w:rFonts w:cs="Times New Roman"/>
        </w:rPr>
        <w:t xml:space="preserve">екологичната сфера са свързани с общочовешки ценности. Запазването на природните богатства и многообразие преминава през тяхната защита от натиска на икономическите сектори. Нуждата от стриктни норми и мерки, част от мащабен план за опазване на морето се определят като първостепенни. Замърсяването на околната среда има негативен ефект върху социално-икономическото развитие и в частност върху туризма. </w:t>
      </w:r>
    </w:p>
    <w:p w14:paraId="04DC7343" w14:textId="57F19C7C"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Мненията относно извеждането на преден план на </w:t>
      </w:r>
      <w:r w:rsidRPr="00610B1B">
        <w:rPr>
          <w:rFonts w:cs="Times New Roman"/>
          <w:b/>
          <w:bCs/>
        </w:rPr>
        <w:t>законодателството и нормативната уредба</w:t>
      </w:r>
      <w:r w:rsidRPr="00610B1B">
        <w:rPr>
          <w:rFonts w:cs="Times New Roman"/>
        </w:rPr>
        <w:t xml:space="preserve"> имат минимален превес над администрирането и управлението.</w:t>
      </w:r>
      <w:r w:rsidR="00E16795" w:rsidRPr="00610B1B">
        <w:rPr>
          <w:rFonts w:cs="Times New Roman"/>
        </w:rPr>
        <w:t xml:space="preserve"> </w:t>
      </w:r>
      <w:r w:rsidRPr="00610B1B">
        <w:rPr>
          <w:rFonts w:cs="Times New Roman"/>
        </w:rPr>
        <w:t xml:space="preserve">Аргументите в полза на приоритизиране на законодателството и нормативната уредба са свързани с убеждението, че администрирането и управлението са функции на законодателните норми. </w:t>
      </w:r>
      <w:r w:rsidR="00054741" w:rsidRPr="00610B1B">
        <w:rPr>
          <w:rFonts w:cs="Times New Roman"/>
        </w:rPr>
        <w:t xml:space="preserve">Негативите </w:t>
      </w:r>
      <w:r w:rsidRPr="00610B1B">
        <w:rPr>
          <w:rFonts w:cs="Times New Roman"/>
        </w:rPr>
        <w:t>при законодателството дават отражение и върху качеството на работата на администрацията. Аргументите в полза на приоритизиране на администрирането и управлението се обвързват с констатацията, че там ситуацията е по-лоша и от</w:t>
      </w:r>
      <w:r w:rsidR="001744D3" w:rsidRPr="00610B1B">
        <w:rPr>
          <w:rFonts w:cs="Times New Roman"/>
        </w:rPr>
        <w:t xml:space="preserve"> </w:t>
      </w:r>
      <w:r w:rsidRPr="00610B1B">
        <w:rPr>
          <w:rFonts w:cs="Times New Roman"/>
        </w:rPr>
        <w:t>това се създават повечето проблеми. Определенията, които се дават за администрацията са: некомпетентност; неморалност; липса на воля</w:t>
      </w:r>
      <w:r w:rsidR="00AC2BA8" w:rsidRPr="00610B1B">
        <w:rPr>
          <w:rFonts w:cs="Times New Roman"/>
        </w:rPr>
        <w:t xml:space="preserve"> и </w:t>
      </w:r>
      <w:r w:rsidRPr="00610B1B">
        <w:rPr>
          <w:rFonts w:cs="Times New Roman"/>
        </w:rPr>
        <w:t xml:space="preserve">капацитет; неефективност; свръхполитизиране; липса на желание за адекватно администриране, контрол и поемане на отговорност. Друг проблем е лошата връзка между институциите. </w:t>
      </w:r>
    </w:p>
    <w:p w14:paraId="183E88B7" w14:textId="39582716" w:rsidR="00E216B5" w:rsidRPr="00610B1B" w:rsidRDefault="00E216B5" w:rsidP="00D32D6A">
      <w:pPr>
        <w:pStyle w:val="BodyText"/>
        <w:tabs>
          <w:tab w:val="left" w:pos="1980"/>
        </w:tabs>
        <w:spacing w:before="0" w:after="120" w:line="276" w:lineRule="auto"/>
        <w:ind w:right="-153"/>
        <w:rPr>
          <w:rFonts w:cs="Times New Roman"/>
          <w:bCs/>
        </w:rPr>
      </w:pPr>
      <w:r w:rsidRPr="00610B1B">
        <w:rPr>
          <w:rFonts w:cs="Times New Roman"/>
          <w:b/>
        </w:rPr>
        <w:t xml:space="preserve">Необходимостта от интегриран подход, изработването на цялостно законодателство за морското пространствено планиране и формирането на адекватна национална позиция и план </w:t>
      </w:r>
      <w:r w:rsidR="00AC2BA8" w:rsidRPr="00610B1B">
        <w:rPr>
          <w:rFonts w:cs="Times New Roman"/>
          <w:bCs/>
        </w:rPr>
        <w:t xml:space="preserve">се поставят в </w:t>
      </w:r>
      <w:r w:rsidRPr="00610B1B">
        <w:rPr>
          <w:rFonts w:cs="Times New Roman"/>
          <w:bCs/>
        </w:rPr>
        <w:t>основата на решаването на законодателните проблеми.</w:t>
      </w:r>
      <w:r w:rsidR="00D66FE0" w:rsidRPr="00610B1B">
        <w:rPr>
          <w:rFonts w:cs="Times New Roman"/>
          <w:bCs/>
        </w:rPr>
        <w:t xml:space="preserve"> </w:t>
      </w:r>
    </w:p>
    <w:p w14:paraId="1A35A44A" w14:textId="1AD14B2C" w:rsidR="00E216B5" w:rsidRPr="00610B1B" w:rsidRDefault="00E216B5" w:rsidP="00D32D6A">
      <w:pPr>
        <w:pStyle w:val="BodyText"/>
        <w:spacing w:before="0" w:after="120" w:line="276" w:lineRule="auto"/>
        <w:ind w:right="-153"/>
        <w:rPr>
          <w:rFonts w:cs="Times New Roman"/>
        </w:rPr>
      </w:pPr>
      <w:r w:rsidRPr="00610B1B">
        <w:rPr>
          <w:rFonts w:cs="Times New Roman"/>
          <w:b/>
        </w:rPr>
        <w:t>Състоянието на информацията</w:t>
      </w:r>
      <w:r w:rsidR="001744D3" w:rsidRPr="00610B1B">
        <w:rPr>
          <w:rFonts w:cs="Times New Roman"/>
          <w:b/>
        </w:rPr>
        <w:t>,</w:t>
      </w:r>
      <w:r w:rsidRPr="00610B1B">
        <w:rPr>
          <w:rFonts w:cs="Times New Roman"/>
        </w:rPr>
        <w:t xml:space="preserve"> свързана с вътрешните морски води, териториалното море, прилежащата зона, континенталния шелф, и</w:t>
      </w:r>
      <w:r w:rsidR="001744D3" w:rsidRPr="00610B1B">
        <w:rPr>
          <w:rFonts w:cs="Times New Roman"/>
        </w:rPr>
        <w:t>зключителната икономическа зона</w:t>
      </w:r>
      <w:r w:rsidRPr="00610B1B">
        <w:rPr>
          <w:rFonts w:cs="Times New Roman"/>
        </w:rPr>
        <w:t xml:space="preserve"> </w:t>
      </w:r>
      <w:r w:rsidR="001744D3" w:rsidRPr="00610B1B">
        <w:rPr>
          <w:rFonts w:cs="Times New Roman"/>
        </w:rPr>
        <w:t xml:space="preserve">и </w:t>
      </w:r>
      <w:r w:rsidRPr="00610B1B">
        <w:rPr>
          <w:rFonts w:cs="Times New Roman"/>
        </w:rPr>
        <w:t xml:space="preserve">крайбрежните морски води се оценява преобладаващо негативно от гледна точка на наличност и актуалност. В приблизително съотношение 2:1 са отрицателните спрямо положителните оценки на </w:t>
      </w:r>
      <w:r w:rsidRPr="00610B1B">
        <w:rPr>
          <w:rFonts w:cs="Times New Roman"/>
        </w:rPr>
        <w:lastRenderedPageBreak/>
        <w:t xml:space="preserve">експертите. Отчита се необходимостта от създаване на обща база данни, от източници с обобщена информация и нуждата от обединяване на усилията на различните институции и обмен на информацията между тях. </w:t>
      </w:r>
    </w:p>
    <w:p w14:paraId="4499FDA1" w14:textId="09D593A8" w:rsidR="00E216B5" w:rsidRPr="00610B1B" w:rsidRDefault="001744D3" w:rsidP="00D32D6A">
      <w:pPr>
        <w:pStyle w:val="BodyText"/>
        <w:spacing w:before="0" w:after="120" w:line="276" w:lineRule="auto"/>
        <w:ind w:right="-153"/>
        <w:rPr>
          <w:rFonts w:cs="Times New Roman"/>
        </w:rPr>
      </w:pPr>
      <w:r w:rsidRPr="00610B1B">
        <w:rPr>
          <w:rFonts w:cs="Times New Roman"/>
        </w:rPr>
        <w:t xml:space="preserve">Дават се негативни </w:t>
      </w:r>
      <w:r w:rsidR="00E216B5" w:rsidRPr="00610B1B">
        <w:rPr>
          <w:rFonts w:cs="Times New Roman"/>
        </w:rPr>
        <w:t>пример</w:t>
      </w:r>
      <w:r w:rsidR="00AC2BA8" w:rsidRPr="00610B1B">
        <w:rPr>
          <w:rFonts w:cs="Times New Roman"/>
        </w:rPr>
        <w:t>и за</w:t>
      </w:r>
      <w:r w:rsidR="00E216B5" w:rsidRPr="00610B1B">
        <w:rPr>
          <w:rFonts w:cs="Times New Roman"/>
        </w:rPr>
        <w:t xml:space="preserve"> специализирани кадастрални данни </w:t>
      </w:r>
      <w:r w:rsidR="00AC2BA8" w:rsidRPr="00610B1B">
        <w:rPr>
          <w:rFonts w:cs="Times New Roman"/>
        </w:rPr>
        <w:t>н</w:t>
      </w:r>
      <w:r w:rsidR="00E216B5" w:rsidRPr="00610B1B">
        <w:rPr>
          <w:rFonts w:cs="Times New Roman"/>
        </w:rPr>
        <w:t>а крайбрежието; онлайн карти на плажове</w:t>
      </w:r>
      <w:r w:rsidR="006B2281" w:rsidRPr="00610B1B">
        <w:rPr>
          <w:rFonts w:cs="Times New Roman"/>
        </w:rPr>
        <w:t>,</w:t>
      </w:r>
      <w:r w:rsidR="00E216B5" w:rsidRPr="00610B1B">
        <w:rPr>
          <w:rFonts w:cs="Times New Roman"/>
        </w:rPr>
        <w:t xml:space="preserve"> отдадени на концесии и на морските транспортни маршрути; различна икономическа информация; информация по въпроси, свързани с проектирането и строителството на морски хидротехнически съоръжения.</w:t>
      </w:r>
      <w:r w:rsidR="00E16795" w:rsidRPr="00610B1B">
        <w:rPr>
          <w:rFonts w:cs="Times New Roman"/>
        </w:rPr>
        <w:t xml:space="preserve"> </w:t>
      </w:r>
      <w:r w:rsidR="00E216B5" w:rsidRPr="00610B1B">
        <w:rPr>
          <w:rFonts w:cs="Times New Roman"/>
        </w:rPr>
        <w:t>Като проблемни се възприемат изискването за заплащане на информацията и техническият формат на предоставената информация</w:t>
      </w:r>
      <w:r w:rsidR="006B2281" w:rsidRPr="00610B1B">
        <w:rPr>
          <w:rFonts w:cs="Times New Roman"/>
        </w:rPr>
        <w:t xml:space="preserve">. </w:t>
      </w:r>
      <w:r w:rsidR="00E216B5" w:rsidRPr="00610B1B">
        <w:rPr>
          <w:rFonts w:cs="Times New Roman"/>
        </w:rPr>
        <w:t xml:space="preserve">Принцип при събирането и използването на данни е те да са сравними. Нуждата от системно и синхронизирано набиране на информацията е от ключово значение за нейната използваемост. </w:t>
      </w:r>
    </w:p>
    <w:p w14:paraId="42BCB18D" w14:textId="620E18FA"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Оценката за </w:t>
      </w:r>
      <w:r w:rsidRPr="00610B1B">
        <w:rPr>
          <w:rFonts w:cs="Times New Roman"/>
          <w:b/>
        </w:rPr>
        <w:t>работата на институциите</w:t>
      </w:r>
      <w:r w:rsidRPr="00610B1B">
        <w:rPr>
          <w:rFonts w:cs="Times New Roman"/>
        </w:rPr>
        <w:t xml:space="preserve"> може да бъде разделена на две нива. На макроравнище, от гледна точка на постигнатите крайни резултати и по-общи оценки, работата им се отчита като незадоволителна, докато на микроравнище, когато преценката се сведе до конкретна институция и взаимоотношенията с нея - преобладават позитивните оценки. Проблематизира се работата между институциите - конфликти, липса на синхрон и взаимодействие,</w:t>
      </w:r>
      <w:r w:rsidR="00D66FE0" w:rsidRPr="00610B1B">
        <w:rPr>
          <w:rFonts w:cs="Times New Roman"/>
        </w:rPr>
        <w:t xml:space="preserve"> </w:t>
      </w:r>
      <w:r w:rsidRPr="00610B1B">
        <w:rPr>
          <w:rFonts w:cs="Times New Roman"/>
        </w:rPr>
        <w:t>различни становища по едни и същи казуси.</w:t>
      </w:r>
      <w:r w:rsidR="00D66FE0" w:rsidRPr="00610B1B">
        <w:rPr>
          <w:rFonts w:cs="Times New Roman"/>
        </w:rPr>
        <w:t xml:space="preserve"> </w:t>
      </w:r>
    </w:p>
    <w:p w14:paraId="5FE03BE0" w14:textId="11E6E330" w:rsidR="00E216B5" w:rsidRPr="00610B1B" w:rsidRDefault="00E216B5" w:rsidP="00D32D6A">
      <w:pPr>
        <w:pStyle w:val="BodyText"/>
        <w:spacing w:before="0" w:after="120" w:line="276" w:lineRule="auto"/>
        <w:ind w:right="-153"/>
        <w:rPr>
          <w:rFonts w:cs="Times New Roman"/>
        </w:rPr>
      </w:pPr>
      <w:r w:rsidRPr="00610B1B">
        <w:rPr>
          <w:rFonts w:cs="Times New Roman"/>
        </w:rPr>
        <w:t>На микрониво, при коментиране на институцията, чиито служител е и интервюираният, оценките са изцяло позитивни. В коментарите за администрации, с които се работи съвместно</w:t>
      </w:r>
      <w:r w:rsidR="00644CC8" w:rsidRPr="00610B1B">
        <w:rPr>
          <w:rFonts w:cs="Times New Roman"/>
        </w:rPr>
        <w:t> </w:t>
      </w:r>
      <w:r w:rsidRPr="00610B1B">
        <w:rPr>
          <w:rFonts w:cs="Times New Roman"/>
        </w:rPr>
        <w:t xml:space="preserve">– удовлетвореността отново доминира. Единствено коментарите за институции, от които впечатленията са по-скоро не от </w:t>
      </w:r>
      <w:r w:rsidR="001744D3" w:rsidRPr="00610B1B">
        <w:rPr>
          <w:rFonts w:cs="Times New Roman"/>
        </w:rPr>
        <w:t>съвместната работа, а индиректни</w:t>
      </w:r>
      <w:r w:rsidRPr="00610B1B">
        <w:rPr>
          <w:rFonts w:cs="Times New Roman"/>
        </w:rPr>
        <w:t xml:space="preserve"> и от постигнатите резултати</w:t>
      </w:r>
      <w:r w:rsidR="00644CC8" w:rsidRPr="00610B1B">
        <w:rPr>
          <w:rFonts w:cs="Times New Roman"/>
        </w:rPr>
        <w:t> </w:t>
      </w:r>
      <w:r w:rsidRPr="00610B1B">
        <w:rPr>
          <w:rFonts w:cs="Times New Roman"/>
        </w:rPr>
        <w:t xml:space="preserve">– критиките се увеличават. Отчита се позитивното развитие през последните години на някои институции. Решаването на проблемите в институциите се </w:t>
      </w:r>
      <w:r w:rsidR="006B2281" w:rsidRPr="00610B1B">
        <w:rPr>
          <w:rFonts w:cs="Times New Roman"/>
        </w:rPr>
        <w:t xml:space="preserve">търси в </w:t>
      </w:r>
      <w:r w:rsidRPr="00610B1B">
        <w:rPr>
          <w:rFonts w:cs="Times New Roman"/>
        </w:rPr>
        <w:t>преодоляването на следните проблеми: недостатъчно институции, финансиране, персонал и компетентност</w:t>
      </w:r>
      <w:r w:rsidR="006B2281" w:rsidRPr="00610B1B">
        <w:rPr>
          <w:rFonts w:cs="Times New Roman"/>
        </w:rPr>
        <w:t>, т.е. недостатъчен институционален, административен и експертен капацитет</w:t>
      </w:r>
      <w:r w:rsidRPr="00610B1B">
        <w:rPr>
          <w:rFonts w:cs="Times New Roman"/>
        </w:rPr>
        <w:t>.</w:t>
      </w:r>
      <w:r w:rsidR="00D66FE0" w:rsidRPr="00610B1B">
        <w:rPr>
          <w:rFonts w:cs="Times New Roman"/>
        </w:rPr>
        <w:t xml:space="preserve"> </w:t>
      </w:r>
    </w:p>
    <w:p w14:paraId="6F9824F5" w14:textId="5826976A" w:rsidR="00E216B5" w:rsidRPr="00610B1B" w:rsidRDefault="00E216B5" w:rsidP="00D32D6A">
      <w:pPr>
        <w:pStyle w:val="BodyText"/>
        <w:spacing w:before="0" w:after="120" w:line="276" w:lineRule="auto"/>
        <w:ind w:right="-153"/>
        <w:rPr>
          <w:rFonts w:cs="Times New Roman"/>
        </w:rPr>
      </w:pPr>
      <w:r w:rsidRPr="00610B1B">
        <w:rPr>
          <w:rFonts w:cs="Times New Roman"/>
        </w:rPr>
        <w:t>Изразените мнения на експертите за законовата и нормативната уредба</w:t>
      </w:r>
      <w:r w:rsidR="00D66FE0" w:rsidRPr="00610B1B">
        <w:rPr>
          <w:rFonts w:cs="Times New Roman"/>
        </w:rPr>
        <w:t xml:space="preserve"> </w:t>
      </w:r>
      <w:r w:rsidRPr="00610B1B">
        <w:rPr>
          <w:rFonts w:cs="Times New Roman"/>
        </w:rPr>
        <w:t>варират от по-общи оценки, преминават към принципни предложения за промени и достигат до конкретни мерки и идеи за подобряване.</w:t>
      </w:r>
      <w:r w:rsidR="006B2281" w:rsidRPr="00610B1B">
        <w:rPr>
          <w:rFonts w:cs="Times New Roman"/>
        </w:rPr>
        <w:t xml:space="preserve"> </w:t>
      </w:r>
      <w:r w:rsidR="001744D3" w:rsidRPr="00610B1B">
        <w:rPr>
          <w:rFonts w:cs="Times New Roman"/>
        </w:rPr>
        <w:t xml:space="preserve">Преобладава </w:t>
      </w:r>
      <w:r w:rsidRPr="00610B1B">
        <w:rPr>
          <w:rFonts w:cs="Times New Roman"/>
        </w:rPr>
        <w:t>мнението, че законодателството и нормативната уредба са добри, а проблемите идват от лошото им прилагане. Синхронизирането с европейското законодателство се разглежда позитивно и критиките, че този процес се прави механично, без да се отчитат националните специфики</w:t>
      </w:r>
      <w:r w:rsidR="00CA1297" w:rsidRPr="00610B1B">
        <w:rPr>
          <w:rFonts w:cs="Times New Roman"/>
        </w:rPr>
        <w:t>, остават изолирани</w:t>
      </w:r>
      <w:r w:rsidRPr="00610B1B">
        <w:rPr>
          <w:rFonts w:cs="Times New Roman"/>
        </w:rPr>
        <w:t>.</w:t>
      </w:r>
      <w:r w:rsidR="006B2281" w:rsidRPr="00610B1B">
        <w:rPr>
          <w:rFonts w:cs="Times New Roman"/>
        </w:rPr>
        <w:t xml:space="preserve"> </w:t>
      </w:r>
      <w:r w:rsidRPr="00610B1B">
        <w:rPr>
          <w:rFonts w:cs="Times New Roman"/>
        </w:rPr>
        <w:t xml:space="preserve">По-общите препоръки за подобрение включват </w:t>
      </w:r>
      <w:r w:rsidRPr="00610B1B">
        <w:rPr>
          <w:rFonts w:cs="Times New Roman"/>
          <w:b/>
          <w:bCs/>
        </w:rPr>
        <w:t>ясно законово разграничение на дейностите и отговорностите на институциите</w:t>
      </w:r>
      <w:r w:rsidRPr="00610B1B">
        <w:rPr>
          <w:rFonts w:cs="Times New Roman"/>
        </w:rPr>
        <w:t>, опростяване на текстовете в законодателството, изработване на единна и качествена нормативна база с ясно йерархизиране на ценности и политики в интерес на обществото. В изработването на тези закони трябва да бъде използвано експертното знание.</w:t>
      </w:r>
      <w:r w:rsidR="00CA1297" w:rsidRPr="00610B1B">
        <w:rPr>
          <w:rFonts w:cs="Times New Roman"/>
        </w:rPr>
        <w:t xml:space="preserve"> </w:t>
      </w:r>
      <w:r w:rsidRPr="00610B1B">
        <w:rPr>
          <w:rFonts w:cs="Times New Roman"/>
        </w:rPr>
        <w:t xml:space="preserve">Предлагат се конкретни стъпки за промени като </w:t>
      </w:r>
      <w:r w:rsidR="000C6509" w:rsidRPr="00610B1B">
        <w:rPr>
          <w:rFonts w:cs="Times New Roman"/>
        </w:rPr>
        <w:t>„</w:t>
      </w:r>
      <w:r w:rsidRPr="00610B1B">
        <w:rPr>
          <w:rFonts w:cs="Times New Roman"/>
        </w:rPr>
        <w:t>акваториално пространствено планиране</w:t>
      </w:r>
      <w:r w:rsidR="000C6509" w:rsidRPr="00610B1B">
        <w:rPr>
          <w:rFonts w:cs="Times New Roman"/>
        </w:rPr>
        <w:t>“</w:t>
      </w:r>
      <w:r w:rsidRPr="00610B1B">
        <w:rPr>
          <w:rFonts w:cs="Times New Roman"/>
        </w:rPr>
        <w:t xml:space="preserve">, допълнения на пропуски и опростени режими за регламентация. </w:t>
      </w:r>
      <w:r w:rsidR="00CA1297" w:rsidRPr="00610B1B">
        <w:rPr>
          <w:rFonts w:cs="Times New Roman"/>
        </w:rPr>
        <w:t xml:space="preserve">Предложенията </w:t>
      </w:r>
      <w:r w:rsidR="00D5568E" w:rsidRPr="00610B1B">
        <w:rPr>
          <w:rFonts w:cs="Times New Roman"/>
        </w:rPr>
        <w:t xml:space="preserve">са свързани </w:t>
      </w:r>
      <w:r w:rsidRPr="00610B1B">
        <w:rPr>
          <w:rFonts w:cs="Times New Roman"/>
        </w:rPr>
        <w:t>със Закона за морските пространства, вътрешните водни пътища и пристанищата на Република България и Закона за устройството на черноморското крайбрежие.</w:t>
      </w:r>
    </w:p>
    <w:p w14:paraId="1430BCB8" w14:textId="06D4492A" w:rsidR="00D5568E" w:rsidRPr="00610B1B" w:rsidRDefault="00E216B5" w:rsidP="009918C6">
      <w:pPr>
        <w:pStyle w:val="BodyText"/>
        <w:spacing w:before="0" w:after="120" w:line="276" w:lineRule="auto"/>
        <w:ind w:right="-153"/>
        <w:rPr>
          <w:rFonts w:cs="Times New Roman"/>
        </w:rPr>
      </w:pPr>
      <w:r w:rsidRPr="00610B1B">
        <w:rPr>
          <w:rFonts w:cs="Times New Roman"/>
        </w:rPr>
        <w:t>Нуждата от иницииране на законови промени, които да стопират негативните процеси, се определя като първостепенна задача.</w:t>
      </w:r>
    </w:p>
    <w:p w14:paraId="209F5934" w14:textId="074A9725" w:rsidR="00E216B5" w:rsidRPr="00610B1B" w:rsidRDefault="0061403C" w:rsidP="00D32D6A">
      <w:pPr>
        <w:pStyle w:val="Heading3"/>
        <w:spacing w:before="0" w:line="276" w:lineRule="auto"/>
        <w:ind w:right="-153"/>
        <w:rPr>
          <w:rFonts w:cs="Times New Roman"/>
        </w:rPr>
      </w:pPr>
      <w:bookmarkStart w:id="516" w:name="_Toc83391450"/>
      <w:r w:rsidRPr="00610B1B">
        <w:rPr>
          <w:rFonts w:cs="Times New Roman"/>
        </w:rPr>
        <w:lastRenderedPageBreak/>
        <w:t>8</w:t>
      </w:r>
      <w:r w:rsidR="007A7F54" w:rsidRPr="00610B1B">
        <w:rPr>
          <w:rFonts w:cs="Times New Roman"/>
        </w:rPr>
        <w:t>.</w:t>
      </w:r>
      <w:r w:rsidR="0041129F" w:rsidRPr="00610B1B">
        <w:rPr>
          <w:rFonts w:cs="Times New Roman"/>
        </w:rPr>
        <w:t>2</w:t>
      </w:r>
      <w:r w:rsidR="00E16795" w:rsidRPr="00610B1B">
        <w:rPr>
          <w:rFonts w:cs="Times New Roman"/>
        </w:rPr>
        <w:t>.2. Теми, свързани с Морския пространствен план</w:t>
      </w:r>
      <w:bookmarkEnd w:id="516"/>
    </w:p>
    <w:p w14:paraId="1C2DE042" w14:textId="04F6864F" w:rsidR="00E216B5" w:rsidRPr="00610B1B" w:rsidRDefault="00E16795" w:rsidP="00D32D6A">
      <w:pPr>
        <w:pStyle w:val="BodyText"/>
        <w:spacing w:before="0" w:after="120" w:line="276" w:lineRule="auto"/>
        <w:ind w:right="-153"/>
        <w:rPr>
          <w:rFonts w:cs="Times New Roman"/>
          <w:b/>
          <w:i/>
        </w:rPr>
      </w:pPr>
      <w:r w:rsidRPr="00610B1B">
        <w:rPr>
          <w:rFonts w:cs="Times New Roman"/>
          <w:b/>
          <w:i/>
        </w:rPr>
        <w:t>Състояние на морската околна среда – основни замърсители и рискови зони</w:t>
      </w:r>
    </w:p>
    <w:p w14:paraId="6B4D0CDF" w14:textId="2CC4886E" w:rsidR="00E216B5" w:rsidRPr="00610B1B" w:rsidRDefault="00E216B5" w:rsidP="00D32D6A">
      <w:pPr>
        <w:pStyle w:val="BodyText"/>
        <w:spacing w:before="0" w:after="120" w:line="276" w:lineRule="auto"/>
        <w:ind w:right="-153"/>
        <w:rPr>
          <w:rFonts w:cs="Times New Roman"/>
        </w:rPr>
      </w:pPr>
      <w:r w:rsidRPr="00610B1B">
        <w:rPr>
          <w:rFonts w:cs="Times New Roman"/>
        </w:rPr>
        <w:t>Мненията за състоянието на морската околна среда са поляризирани, с известен превес на позитивните. Аргументите в подкрепа на положителните оценки са: направени подобрения през последните години (пречиствателни станции, дълбоководни зауствания, намаляване на замърсяването от дифузни източници); упражняваният стриктен контрол от морската администрация; подобрената чистота на водата на р</w:t>
      </w:r>
      <w:r w:rsidR="006B2281" w:rsidRPr="00610B1B">
        <w:rPr>
          <w:rFonts w:cs="Times New Roman"/>
        </w:rPr>
        <w:t xml:space="preserve">. </w:t>
      </w:r>
      <w:r w:rsidRPr="00610B1B">
        <w:rPr>
          <w:rFonts w:cs="Times New Roman"/>
        </w:rPr>
        <w:t xml:space="preserve">Дунав; липсата на много, съществуващи в близкото минало икономически морски дейности по крайбрежието. </w:t>
      </w:r>
    </w:p>
    <w:p w14:paraId="11D02725" w14:textId="19B20F89" w:rsidR="00E216B5" w:rsidRPr="00610B1B" w:rsidRDefault="00E216B5" w:rsidP="00D32D6A">
      <w:pPr>
        <w:pStyle w:val="BodyText"/>
        <w:spacing w:before="0" w:after="120" w:line="276" w:lineRule="auto"/>
        <w:ind w:right="-153"/>
        <w:rPr>
          <w:rFonts w:cs="Times New Roman"/>
        </w:rPr>
      </w:pPr>
      <w:r w:rsidRPr="00610B1B">
        <w:rPr>
          <w:rFonts w:cs="Times New Roman"/>
        </w:rPr>
        <w:t>Аргументите в подкрепа на негативните оценки за състоянието на морската околна вода са свързани с увеличеното замърсяване и слабия контрол, както и с липсата на добра естествена циркулация на Черно море.</w:t>
      </w:r>
      <w:r w:rsidR="00D66FE0" w:rsidRPr="00610B1B">
        <w:rPr>
          <w:rFonts w:cs="Times New Roman"/>
        </w:rPr>
        <w:t xml:space="preserve"> </w:t>
      </w:r>
      <w:r w:rsidR="006B2281" w:rsidRPr="00610B1B">
        <w:rPr>
          <w:rFonts w:cs="Times New Roman"/>
        </w:rPr>
        <w:t xml:space="preserve">Списъкът </w:t>
      </w:r>
      <w:r w:rsidRPr="00610B1B">
        <w:rPr>
          <w:rFonts w:cs="Times New Roman"/>
        </w:rPr>
        <w:t>на основните замърсители, за които споделят експертите</w:t>
      </w:r>
      <w:r w:rsidR="006B2281" w:rsidRPr="00610B1B">
        <w:rPr>
          <w:rFonts w:cs="Times New Roman"/>
        </w:rPr>
        <w:t xml:space="preserve"> е дълъг</w:t>
      </w:r>
      <w:r w:rsidRPr="00610B1B">
        <w:rPr>
          <w:rFonts w:cs="Times New Roman"/>
        </w:rPr>
        <w:t>. Акцентира се върху заустените отпад</w:t>
      </w:r>
      <w:r w:rsidR="007E61E6" w:rsidRPr="00610B1B">
        <w:rPr>
          <w:rFonts w:cs="Times New Roman"/>
        </w:rPr>
        <w:t>ъч</w:t>
      </w:r>
      <w:r w:rsidRPr="00610B1B">
        <w:rPr>
          <w:rFonts w:cs="Times New Roman"/>
        </w:rPr>
        <w:t>ни води от всякаква дейност директно в морето и чрез вливащите се речни води, и преди всичко недобрата работа и липсата на достатъчно на брой пречиствателни съоръжения.</w:t>
      </w:r>
      <w:r w:rsidR="00CA1297" w:rsidRPr="00610B1B">
        <w:rPr>
          <w:rFonts w:cs="Times New Roman"/>
        </w:rPr>
        <w:t xml:space="preserve"> </w:t>
      </w:r>
      <w:r w:rsidRPr="00610B1B">
        <w:rPr>
          <w:rFonts w:cs="Times New Roman"/>
        </w:rPr>
        <w:t xml:space="preserve">По-малко споменавани като замърсители са: нарастващите риболов и мидени ферми; незаконните яхтени стоянки; строителните отпадъци и нерегламентираните сметища; къмпингуващите туристи. </w:t>
      </w:r>
      <w:r w:rsidR="007E61E6" w:rsidRPr="00610B1B">
        <w:rPr>
          <w:rFonts w:cs="Times New Roman"/>
        </w:rPr>
        <w:t xml:space="preserve">Отчита се факта, </w:t>
      </w:r>
      <w:r w:rsidRPr="00610B1B">
        <w:rPr>
          <w:rFonts w:cs="Times New Roman"/>
        </w:rPr>
        <w:t>че основното замърсяване на Черно море е трансгранично.</w:t>
      </w:r>
    </w:p>
    <w:p w14:paraId="797A74A1" w14:textId="671FF55B" w:rsidR="00E216B5" w:rsidRPr="00610B1B" w:rsidRDefault="00E216B5" w:rsidP="00D32D6A">
      <w:pPr>
        <w:pStyle w:val="BodyText"/>
        <w:spacing w:before="0" w:after="120" w:line="276" w:lineRule="auto"/>
        <w:ind w:right="-153"/>
        <w:rPr>
          <w:rFonts w:cs="Times New Roman"/>
        </w:rPr>
      </w:pPr>
      <w:r w:rsidRPr="00610B1B">
        <w:rPr>
          <w:rFonts w:cs="Times New Roman"/>
        </w:rPr>
        <w:t>Нагласите към екологичната оценка на експертите са изключително позитивни. Всички се обединяват около нейната значимост за морската околна среда. Тя се разглежда като важен инструмент за анализ на вредните въздействия и набелязване на мерки за тяхното редуциране, както и в контекста на глобалните изменения на климата. Акцентира се върху необходимостта тя да е обективна и точна. Като проблем се посочва използването</w:t>
      </w:r>
      <w:r w:rsidR="00DE3A13" w:rsidRPr="00610B1B">
        <w:rPr>
          <w:rFonts w:cs="Times New Roman"/>
        </w:rPr>
        <w:t xml:space="preserve"> ѝ </w:t>
      </w:r>
      <w:r w:rsidRPr="00610B1B">
        <w:rPr>
          <w:rFonts w:cs="Times New Roman"/>
        </w:rPr>
        <w:t xml:space="preserve">против обществения интерес и за политически цели. </w:t>
      </w:r>
    </w:p>
    <w:p w14:paraId="4DCE5BD3" w14:textId="56148773"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Рисковите зони имат пряка връзка с констатираните основни проблеми. Като </w:t>
      </w:r>
      <w:r w:rsidR="007E61E6" w:rsidRPr="00610B1B">
        <w:rPr>
          <w:rFonts w:cs="Times New Roman"/>
        </w:rPr>
        <w:t>такива</w:t>
      </w:r>
      <w:r w:rsidRPr="00610B1B">
        <w:rPr>
          <w:rFonts w:cs="Times New Roman"/>
        </w:rPr>
        <w:t xml:space="preserve"> се дефинират морските курорти и градовете на брега, пристанищата, морски</w:t>
      </w:r>
      <w:r w:rsidR="00346E69" w:rsidRPr="00610B1B">
        <w:rPr>
          <w:rFonts w:cs="Times New Roman"/>
        </w:rPr>
        <w:t>те</w:t>
      </w:r>
      <w:r w:rsidRPr="00610B1B">
        <w:rPr>
          <w:rFonts w:cs="Times New Roman"/>
        </w:rPr>
        <w:t xml:space="preserve"> пътища, местата на заустване на отпад</w:t>
      </w:r>
      <w:r w:rsidR="00346E69" w:rsidRPr="00610B1B">
        <w:rPr>
          <w:rFonts w:cs="Times New Roman"/>
        </w:rPr>
        <w:t>ъч</w:t>
      </w:r>
      <w:r w:rsidRPr="00610B1B">
        <w:rPr>
          <w:rFonts w:cs="Times New Roman"/>
        </w:rPr>
        <w:t>ни води от пречиствателни станции, нерегламентирани</w:t>
      </w:r>
      <w:r w:rsidR="00346E69" w:rsidRPr="00610B1B">
        <w:rPr>
          <w:rFonts w:cs="Times New Roman"/>
        </w:rPr>
        <w:t>те</w:t>
      </w:r>
      <w:r w:rsidRPr="00610B1B">
        <w:rPr>
          <w:rFonts w:cs="Times New Roman"/>
        </w:rPr>
        <w:t xml:space="preserve"> дифузни източници на замърсяване и зоните с нарушен водообмен. Конкретните райони, които се посочват са Бургаският и Варненският залив, Шабла и района пред устието на река Камчия.</w:t>
      </w:r>
      <w:r w:rsidR="00E16795" w:rsidRPr="00610B1B">
        <w:rPr>
          <w:rFonts w:cs="Times New Roman"/>
        </w:rPr>
        <w:t xml:space="preserve"> </w:t>
      </w:r>
    </w:p>
    <w:p w14:paraId="00A5920F" w14:textId="5E477E2E" w:rsidR="00E216B5" w:rsidRPr="00610B1B" w:rsidRDefault="00E216B5" w:rsidP="00D32D6A">
      <w:pPr>
        <w:pStyle w:val="BodyText"/>
        <w:spacing w:before="0" w:after="120" w:line="276" w:lineRule="auto"/>
        <w:ind w:right="-153"/>
        <w:rPr>
          <w:rFonts w:cs="Times New Roman"/>
          <w:b/>
          <w:bCs/>
        </w:rPr>
      </w:pPr>
      <w:r w:rsidRPr="00610B1B">
        <w:rPr>
          <w:rFonts w:cs="Times New Roman"/>
        </w:rPr>
        <w:t xml:space="preserve">Комплексният подход и отчитането на всички фактори и дейности е водеща препоръка при изготвяне на Морския пространствен план. </w:t>
      </w:r>
      <w:r w:rsidRPr="00610B1B">
        <w:rPr>
          <w:rFonts w:cs="Times New Roman"/>
          <w:b/>
          <w:bCs/>
        </w:rPr>
        <w:t>Ключов термин е „зонирането“ – по</w:t>
      </w:r>
      <w:r w:rsidR="00BE57CC" w:rsidRPr="00610B1B">
        <w:rPr>
          <w:rFonts w:cs="Times New Roman"/>
          <w:b/>
          <w:bCs/>
        </w:rPr>
        <w:t> </w:t>
      </w:r>
      <w:r w:rsidRPr="00610B1B">
        <w:rPr>
          <w:rFonts w:cs="Times New Roman"/>
          <w:b/>
          <w:bCs/>
        </w:rPr>
        <w:t>степен на запазеност на околната среда и по степен на замърсеност.</w:t>
      </w:r>
    </w:p>
    <w:p w14:paraId="6AE10C35" w14:textId="3924690A" w:rsidR="00E216B5" w:rsidRPr="00610B1B" w:rsidRDefault="00E216B5" w:rsidP="00D32D6A">
      <w:pPr>
        <w:pStyle w:val="BodyText"/>
        <w:spacing w:before="0" w:after="120" w:line="276" w:lineRule="auto"/>
        <w:ind w:right="-153"/>
        <w:rPr>
          <w:rFonts w:cs="Times New Roman"/>
        </w:rPr>
      </w:pPr>
      <w:r w:rsidRPr="00610B1B">
        <w:rPr>
          <w:rFonts w:cs="Times New Roman"/>
        </w:rPr>
        <w:t>Предложените конкретни мерки включват:</w:t>
      </w:r>
      <w:r w:rsidR="00D66FE0" w:rsidRPr="00610B1B">
        <w:rPr>
          <w:rFonts w:cs="Times New Roman"/>
        </w:rPr>
        <w:t xml:space="preserve"> </w:t>
      </w:r>
      <w:r w:rsidRPr="00610B1B">
        <w:rPr>
          <w:rFonts w:cs="Times New Roman"/>
        </w:rPr>
        <w:t>разработване на планове за управление на защитените зони; обвързване и анализ на строителството с капацитета на пречиствателните станции; мониторинг на околната среда, който да се реализира в България; преминаване от мониторинг към активно създаване на средата. Предлага</w:t>
      </w:r>
      <w:r w:rsidR="00346E69" w:rsidRPr="00610B1B">
        <w:rPr>
          <w:rFonts w:cs="Times New Roman"/>
        </w:rPr>
        <w:t>т</w:t>
      </w:r>
      <w:r w:rsidRPr="00610B1B">
        <w:rPr>
          <w:rFonts w:cs="Times New Roman"/>
        </w:rPr>
        <w:t xml:space="preserve"> се спешн</w:t>
      </w:r>
      <w:r w:rsidR="00346E69" w:rsidRPr="00610B1B">
        <w:rPr>
          <w:rFonts w:cs="Times New Roman"/>
        </w:rPr>
        <w:t>и</w:t>
      </w:r>
      <w:r w:rsidRPr="00610B1B">
        <w:rPr>
          <w:rFonts w:cs="Times New Roman"/>
        </w:rPr>
        <w:t xml:space="preserve"> законови промени</w:t>
      </w:r>
      <w:r w:rsidR="00346E69" w:rsidRPr="00610B1B">
        <w:rPr>
          <w:rFonts w:cs="Times New Roman"/>
        </w:rPr>
        <w:t>,</w:t>
      </w:r>
      <w:r w:rsidRPr="00610B1B">
        <w:rPr>
          <w:rFonts w:cs="Times New Roman"/>
        </w:rPr>
        <w:t xml:space="preserve"> които да доведат до баланс в съществуването на хора и природа така, както е в утвърдените практики на държавите от ЕС.</w:t>
      </w:r>
    </w:p>
    <w:p w14:paraId="569E4763" w14:textId="50058F06" w:rsidR="00E216B5" w:rsidRPr="00610B1B" w:rsidRDefault="00E216B5" w:rsidP="00D32D6A">
      <w:pPr>
        <w:pStyle w:val="BodyText"/>
        <w:spacing w:before="0" w:after="120" w:line="276" w:lineRule="auto"/>
        <w:ind w:right="-153"/>
        <w:rPr>
          <w:rFonts w:cs="Times New Roman"/>
          <w:b/>
          <w:bCs/>
        </w:rPr>
      </w:pPr>
      <w:r w:rsidRPr="00610B1B">
        <w:rPr>
          <w:rFonts w:cs="Times New Roman"/>
        </w:rPr>
        <w:t xml:space="preserve">Предлага се международното сътрудничество и координацията да не се ограничава само до черноморския регион, а да обхване и </w:t>
      </w:r>
      <w:r w:rsidRPr="00610B1B">
        <w:rPr>
          <w:rFonts w:cs="Times New Roman"/>
          <w:b/>
          <w:bCs/>
        </w:rPr>
        <w:t>водосборния басейн на Черно море.</w:t>
      </w:r>
    </w:p>
    <w:p w14:paraId="004CC1DC" w14:textId="77777777" w:rsidR="00CD6DB2" w:rsidRPr="00610B1B" w:rsidRDefault="00CD6DB2" w:rsidP="00D32D6A">
      <w:pPr>
        <w:pStyle w:val="BodyText"/>
        <w:spacing w:before="0" w:after="120" w:line="276" w:lineRule="auto"/>
        <w:ind w:right="-153"/>
        <w:rPr>
          <w:rFonts w:cs="Times New Roman"/>
          <w:b/>
          <w:bCs/>
        </w:rPr>
      </w:pPr>
    </w:p>
    <w:p w14:paraId="680CE9AD" w14:textId="682014ED" w:rsidR="00E216B5" w:rsidRPr="00610B1B" w:rsidRDefault="00E16795" w:rsidP="00AD38A7">
      <w:pPr>
        <w:pStyle w:val="BodyText"/>
        <w:spacing w:before="0" w:after="120" w:line="240" w:lineRule="auto"/>
        <w:ind w:right="-153"/>
        <w:rPr>
          <w:rFonts w:cs="Times New Roman"/>
          <w:b/>
          <w:i/>
        </w:rPr>
      </w:pPr>
      <w:r w:rsidRPr="00610B1B">
        <w:rPr>
          <w:rFonts w:cs="Times New Roman"/>
          <w:b/>
          <w:i/>
        </w:rPr>
        <w:lastRenderedPageBreak/>
        <w:t>Защитени територии и защитени зони в акваторията и в крайбрежната зона на Черно море, биоразнообразие и екосистемни услуги</w:t>
      </w:r>
    </w:p>
    <w:p w14:paraId="3DB7F9BA" w14:textId="16B19454"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Мненията за обхвата на </w:t>
      </w:r>
      <w:r w:rsidRPr="00610B1B">
        <w:rPr>
          <w:rFonts w:cs="Times New Roman"/>
          <w:b/>
          <w:bCs/>
        </w:rPr>
        <w:t xml:space="preserve">защитените зони </w:t>
      </w:r>
      <w:r w:rsidRPr="00610B1B">
        <w:rPr>
          <w:rFonts w:cs="Times New Roman"/>
        </w:rPr>
        <w:t xml:space="preserve">са поляризирани и покриват всички възможни гледни точки – от „недостатъчни по обхват“, през „достатъчни по обхват“ до „прекалено големи“. Основните проблеми пред защитените зони са свързани с администрирането и управлението: липса на достатъчен контрол (целогодишен, на място) и санкции; липса на инструменти </w:t>
      </w:r>
      <w:r w:rsidR="00346E69" w:rsidRPr="00610B1B">
        <w:rPr>
          <w:rFonts w:cs="Times New Roman"/>
        </w:rPr>
        <w:t xml:space="preserve">като </w:t>
      </w:r>
      <w:r w:rsidRPr="00610B1B">
        <w:rPr>
          <w:rFonts w:cs="Times New Roman"/>
        </w:rPr>
        <w:t>документи за управление (заповеди, планове); недостатъчно финансиране; инвестиционен натиск</w:t>
      </w:r>
      <w:r w:rsidR="00346E69" w:rsidRPr="00610B1B">
        <w:rPr>
          <w:rFonts w:cs="Times New Roman"/>
        </w:rPr>
        <w:t xml:space="preserve"> и </w:t>
      </w:r>
      <w:r w:rsidRPr="00610B1B">
        <w:rPr>
          <w:rFonts w:cs="Times New Roman"/>
        </w:rPr>
        <w:t>обслужване на частни интереси и беззаконие; неясно дефиниране на границите на тези зони (кадастрални карти), недостатъчно оповестяване за техния обхват, липса на маркировка; обществено ограмотяване по темата.</w:t>
      </w:r>
      <w:r w:rsidR="00346E69" w:rsidRPr="00610B1B">
        <w:rPr>
          <w:rFonts w:cs="Times New Roman"/>
        </w:rPr>
        <w:t xml:space="preserve"> </w:t>
      </w:r>
      <w:r w:rsidRPr="00610B1B">
        <w:rPr>
          <w:rFonts w:cs="Times New Roman"/>
        </w:rPr>
        <w:t>Привържениците на тезата за прекаленото приоритизиране на защитените зони апелират за преразглеждане и ограничаване на рестрикциите (например за добив на енергия) и споделят мнението за добро състояние или ръст на популациите на защитените видове.</w:t>
      </w:r>
    </w:p>
    <w:p w14:paraId="03AA838B" w14:textId="4B019B04"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Доминират мненията, че </w:t>
      </w:r>
      <w:r w:rsidRPr="00610B1B">
        <w:rPr>
          <w:rFonts w:cs="Times New Roman"/>
          <w:b/>
          <w:bCs/>
        </w:rPr>
        <w:t>биоразнообразието</w:t>
      </w:r>
      <w:r w:rsidRPr="00610B1B">
        <w:rPr>
          <w:rFonts w:cs="Times New Roman"/>
        </w:rPr>
        <w:t xml:space="preserve"> не е достатъчно защитено в Натура 2000. Аргументите са: липса на пълноценен набор от инструменти и ясно дефиниране; приоритизиране на определени зони за сметка на други (дисбаланс); част от зоните нямат планове; бедно биоразнообразие при земеделските земи поради наторяване с вредни торове и използване на питейна вода за напояване, което се отразява и на прилежащата акватория.</w:t>
      </w:r>
      <w:r w:rsidR="00346E69" w:rsidRPr="00610B1B">
        <w:rPr>
          <w:rFonts w:cs="Times New Roman"/>
        </w:rPr>
        <w:t xml:space="preserve"> </w:t>
      </w:r>
      <w:r w:rsidRPr="00610B1B">
        <w:rPr>
          <w:rFonts w:cs="Times New Roman"/>
        </w:rPr>
        <w:t>Отправят се и критики, че приложението на Натура 2000 у нас се преекспонира и разделя обществото. Препоръчва се упоменаване на видовете забрани, свързани с корабоплаването и туризма при дефиниране на зоните, в които ще се прилагат.</w:t>
      </w:r>
    </w:p>
    <w:p w14:paraId="7288F68A" w14:textId="0FF6E61B"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Като </w:t>
      </w:r>
      <w:r w:rsidRPr="00610B1B">
        <w:rPr>
          <w:rFonts w:cs="Times New Roman"/>
          <w:b/>
          <w:bCs/>
        </w:rPr>
        <w:t>екосистемни услуги</w:t>
      </w:r>
      <w:r w:rsidRPr="00610B1B">
        <w:rPr>
          <w:rFonts w:cs="Times New Roman"/>
        </w:rPr>
        <w:t xml:space="preserve"> в Черно море се разглеждат отглеждане на аквакултури, риболов,</w:t>
      </w:r>
      <w:r w:rsidR="00D66FE0" w:rsidRPr="00610B1B">
        <w:rPr>
          <w:rFonts w:cs="Times New Roman"/>
        </w:rPr>
        <w:t xml:space="preserve"> </w:t>
      </w:r>
      <w:r w:rsidRPr="00610B1B">
        <w:rPr>
          <w:rFonts w:cs="Times New Roman"/>
        </w:rPr>
        <w:t>плажуване, солодобив, калолечение, таласолечение, балнеолечение. Отчита се липсата на действащ национален план за периодична оценка на състоянието на екосистемните услуги, произтичащи от морската околна среда.</w:t>
      </w:r>
      <w:r w:rsidR="00346E69" w:rsidRPr="00610B1B">
        <w:rPr>
          <w:rFonts w:cs="Times New Roman"/>
        </w:rPr>
        <w:t xml:space="preserve"> </w:t>
      </w:r>
      <w:r w:rsidRPr="00610B1B">
        <w:rPr>
          <w:rFonts w:cs="Times New Roman"/>
        </w:rPr>
        <w:t xml:space="preserve">Експертните предложения за подобрения, включват разнопосочни идеи: подобрение на мониторинга чрез капацитет и прозрачност; разширяване на защитените територии в морските и крайбрежните зони и </w:t>
      </w:r>
      <w:r w:rsidR="00346E69" w:rsidRPr="00610B1B">
        <w:rPr>
          <w:rFonts w:cs="Times New Roman"/>
        </w:rPr>
        <w:t>засилване</w:t>
      </w:r>
      <w:r w:rsidRPr="00610B1B">
        <w:rPr>
          <w:rFonts w:cs="Times New Roman"/>
        </w:rPr>
        <w:t xml:space="preserve"> на институционалния контрол; създаване на гъвкава нормативна уредба; рехабилитация и последващ</w:t>
      </w:r>
      <w:r w:rsidR="00D66FE0" w:rsidRPr="00610B1B">
        <w:rPr>
          <w:rFonts w:cs="Times New Roman"/>
        </w:rPr>
        <w:t xml:space="preserve"> </w:t>
      </w:r>
      <w:r w:rsidRPr="00610B1B">
        <w:rPr>
          <w:rFonts w:cs="Times New Roman"/>
        </w:rPr>
        <w:t>мониторинг на вълноломите.</w:t>
      </w:r>
    </w:p>
    <w:p w14:paraId="448E1109" w14:textId="7429E7A7" w:rsidR="00E216B5" w:rsidRPr="00610B1B" w:rsidRDefault="00E216B5" w:rsidP="00D32D6A">
      <w:pPr>
        <w:pStyle w:val="BodyText"/>
        <w:spacing w:before="0" w:after="120" w:line="276" w:lineRule="auto"/>
        <w:ind w:right="-153"/>
        <w:rPr>
          <w:rFonts w:cs="Times New Roman"/>
        </w:rPr>
      </w:pPr>
      <w:r w:rsidRPr="00610B1B">
        <w:rPr>
          <w:rFonts w:cs="Times New Roman"/>
        </w:rPr>
        <w:t>Експертите се обединяват около разбирането, че безконфликтно съчетаване на туризма и опазването на околната среда е възможно и това е търсеното бъдеще на черноморския регион. Дават се различни рецепти за постигане на тази безконфликтност. Общо е желанието за повече и ясна регламентация, както и осъществяване на реален контрол и мониторинг, които да защитят морската околна среда. По-конкретни предложения са: определяне на вида дейност, която може да се развива; платформа с актуални пространствени данни за защитените зони; пълно обезпечаване на пречистването на отпад</w:t>
      </w:r>
      <w:r w:rsidR="00E16795" w:rsidRPr="00610B1B">
        <w:rPr>
          <w:rFonts w:cs="Times New Roman"/>
        </w:rPr>
        <w:t>ъч</w:t>
      </w:r>
      <w:r w:rsidRPr="00610B1B">
        <w:rPr>
          <w:rFonts w:cs="Times New Roman"/>
        </w:rPr>
        <w:t>ните води.</w:t>
      </w:r>
      <w:r w:rsidR="00E16795" w:rsidRPr="00610B1B">
        <w:rPr>
          <w:rFonts w:cs="Times New Roman"/>
        </w:rPr>
        <w:t xml:space="preserve"> </w:t>
      </w:r>
      <w:r w:rsidRPr="00610B1B">
        <w:rPr>
          <w:rFonts w:cs="Times New Roman"/>
        </w:rPr>
        <w:t>Предлага се преразглеждане на досегашното развитие на туризма чрез</w:t>
      </w:r>
      <w:r w:rsidR="00346E69" w:rsidRPr="00610B1B">
        <w:rPr>
          <w:rFonts w:cs="Times New Roman"/>
        </w:rPr>
        <w:t xml:space="preserve"> </w:t>
      </w:r>
      <w:r w:rsidRPr="00610B1B">
        <w:rPr>
          <w:rFonts w:cs="Times New Roman"/>
        </w:rPr>
        <w:t>ограничаване на строителството и преференции за природосъобразния туризъм.</w:t>
      </w:r>
    </w:p>
    <w:p w14:paraId="72ACC3C5" w14:textId="4ED59F71" w:rsidR="00E216B5" w:rsidRPr="00610B1B" w:rsidRDefault="00E16795" w:rsidP="00AD38A7">
      <w:pPr>
        <w:pStyle w:val="BodyText"/>
        <w:spacing w:before="0" w:after="120" w:line="240" w:lineRule="auto"/>
        <w:ind w:right="-153"/>
        <w:rPr>
          <w:rFonts w:cs="Times New Roman"/>
          <w:b/>
          <w:i/>
        </w:rPr>
      </w:pPr>
      <w:r w:rsidRPr="00610B1B">
        <w:rPr>
          <w:rFonts w:cs="Times New Roman"/>
          <w:b/>
          <w:i/>
        </w:rPr>
        <w:t>Техническа инфраструктура – мрежи, обекти и съоръжения в крайбрежната зона и в акваторията</w:t>
      </w:r>
    </w:p>
    <w:p w14:paraId="3618B99E" w14:textId="0EF5876A"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По темата за състоянието на техническата инфраструктура </w:t>
      </w:r>
      <w:r w:rsidR="00346E69" w:rsidRPr="00610B1B">
        <w:rPr>
          <w:rFonts w:cs="Times New Roman"/>
        </w:rPr>
        <w:t xml:space="preserve">се </w:t>
      </w:r>
      <w:r w:rsidRPr="00610B1B">
        <w:rPr>
          <w:rFonts w:cs="Times New Roman"/>
        </w:rPr>
        <w:t xml:space="preserve">регистрира поляризация на мненията с минимален превес на положителните оценки. Аргументите за негативната оценка </w:t>
      </w:r>
      <w:r w:rsidRPr="00610B1B">
        <w:rPr>
          <w:rFonts w:cs="Times New Roman"/>
        </w:rPr>
        <w:lastRenderedPageBreak/>
        <w:t>на състоянието на техническата инфраструктура са лошото състояние на пристанищата и връзката им с транспортните мрежи; почти всички обекти са наследство от социализма, рехабилитация се извършва само на държавната собственост и тази на концесия; проблемите на крайбрежието са свързани със състоянието на ВиК, ел. мрежите, управлението на отпадъците и пътната мрежа.</w:t>
      </w:r>
      <w:r w:rsidR="00346E69" w:rsidRPr="00610B1B">
        <w:rPr>
          <w:rFonts w:cs="Times New Roman"/>
        </w:rPr>
        <w:t xml:space="preserve"> </w:t>
      </w:r>
      <w:r w:rsidRPr="00610B1B">
        <w:rPr>
          <w:rFonts w:cs="Times New Roman"/>
        </w:rPr>
        <w:t>При позитивния прочит на ситуацията се изтъкват доброто състояние на пристанищата за обществен транс</w:t>
      </w:r>
      <w:r w:rsidR="00E24DBE" w:rsidRPr="00610B1B">
        <w:rPr>
          <w:rFonts w:cs="Times New Roman"/>
        </w:rPr>
        <w:t>порт, рибарски и</w:t>
      </w:r>
      <w:r w:rsidRPr="00610B1B">
        <w:rPr>
          <w:rFonts w:cs="Times New Roman"/>
        </w:rPr>
        <w:t xml:space="preserve"> яхтени. Има и консенсусни теми, като лошото състояние на железопътната инфраструктура</w:t>
      </w:r>
      <w:r w:rsidR="00E24DBE" w:rsidRPr="00610B1B">
        <w:rPr>
          <w:rFonts w:cs="Times New Roman"/>
        </w:rPr>
        <w:t>,</w:t>
      </w:r>
      <w:r w:rsidRPr="00610B1B">
        <w:rPr>
          <w:rFonts w:cs="Times New Roman"/>
        </w:rPr>
        <w:t xml:space="preserve"> нуждата от скоростен път по крайбрежието и обновяване на пътната мрежа. </w:t>
      </w:r>
    </w:p>
    <w:p w14:paraId="6D95A17C" w14:textId="7A42314C"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Основните проблеми, свързани с техническата инфраструктура са: отсъствие на засилена държавна политика за стратегическо планиране и мониторинг на състоянието; замърсяването в морето, пристанищата и крайбрежието; </w:t>
      </w:r>
      <w:r w:rsidR="00F96FFC" w:rsidRPr="00610B1B">
        <w:rPr>
          <w:rFonts w:cs="Times New Roman"/>
        </w:rPr>
        <w:t xml:space="preserve">липсата на връзка между </w:t>
      </w:r>
      <w:r w:rsidRPr="00610B1B">
        <w:rPr>
          <w:rFonts w:cs="Times New Roman"/>
        </w:rPr>
        <w:t xml:space="preserve">системите за контрол на морските акватории и с другите наземни системи; </w:t>
      </w:r>
      <w:r w:rsidR="00F96FFC" w:rsidRPr="00610B1B">
        <w:rPr>
          <w:rFonts w:cs="Times New Roman"/>
        </w:rPr>
        <w:t xml:space="preserve">необходимост от </w:t>
      </w:r>
      <w:r w:rsidRPr="00610B1B">
        <w:rPr>
          <w:rFonts w:cs="Times New Roman"/>
        </w:rPr>
        <w:t>подобряване на състоянието на довеждащата инфраструктура.</w:t>
      </w:r>
    </w:p>
    <w:p w14:paraId="20611001" w14:textId="5774B816" w:rsidR="00E216B5" w:rsidRPr="00610B1B" w:rsidRDefault="00E216B5" w:rsidP="00D32D6A">
      <w:pPr>
        <w:pStyle w:val="BodyText"/>
        <w:spacing w:before="0" w:after="120" w:line="276" w:lineRule="auto"/>
        <w:ind w:right="-153"/>
        <w:rPr>
          <w:rFonts w:cs="Times New Roman"/>
        </w:rPr>
      </w:pPr>
      <w:r w:rsidRPr="00610B1B">
        <w:rPr>
          <w:rFonts w:cs="Times New Roman"/>
        </w:rPr>
        <w:t>Участвалите в изследването експерти имат конкретни предложения за подобрение</w:t>
      </w:r>
      <w:r w:rsidR="00346E69" w:rsidRPr="00610B1B">
        <w:rPr>
          <w:rFonts w:cs="Times New Roman"/>
        </w:rPr>
        <w:t xml:space="preserve"> като</w:t>
      </w:r>
      <w:r w:rsidRPr="00610B1B">
        <w:rPr>
          <w:rFonts w:cs="Times New Roman"/>
        </w:rPr>
        <w:t>: създаване на интермодални транспортни терминали и възможности за развитие на речния транспорт; обновяване на ВиК инфраструктурата и увеличаване капацитета на пречиствателните съоръжения;</w:t>
      </w:r>
      <w:r w:rsidR="00D66FE0" w:rsidRPr="00610B1B">
        <w:rPr>
          <w:rFonts w:cs="Times New Roman"/>
        </w:rPr>
        <w:t xml:space="preserve"> </w:t>
      </w:r>
      <w:r w:rsidRPr="00610B1B">
        <w:rPr>
          <w:rFonts w:cs="Times New Roman"/>
        </w:rPr>
        <w:t xml:space="preserve">приоритизиране и анализ състоянието на системите за защита на морския бряг от свлачищни и абразионни процеси; подобряване състоянието на ж.п. инфраструктурата, пътната мрежа и доизграждане на крайбрежния скоростен път. </w:t>
      </w:r>
    </w:p>
    <w:p w14:paraId="5E079846" w14:textId="5EBD8267" w:rsidR="00E216B5" w:rsidRPr="00610B1B" w:rsidRDefault="00E16795" w:rsidP="00D32D6A">
      <w:pPr>
        <w:pStyle w:val="BodyText"/>
        <w:spacing w:before="0" w:after="120" w:line="276" w:lineRule="auto"/>
        <w:ind w:right="-153"/>
        <w:rPr>
          <w:rFonts w:cs="Times New Roman"/>
          <w:b/>
          <w:i/>
        </w:rPr>
      </w:pPr>
      <w:r w:rsidRPr="00610B1B">
        <w:rPr>
          <w:rFonts w:cs="Times New Roman"/>
          <w:b/>
          <w:i/>
        </w:rPr>
        <w:t>Културно наследство</w:t>
      </w:r>
    </w:p>
    <w:p w14:paraId="425F0815" w14:textId="14765955" w:rsidR="00E216B5" w:rsidRPr="00610B1B" w:rsidRDefault="00E216B5" w:rsidP="00D32D6A">
      <w:pPr>
        <w:pStyle w:val="BodyText"/>
        <w:spacing w:before="0" w:after="120" w:line="276" w:lineRule="auto"/>
        <w:ind w:right="-153"/>
        <w:rPr>
          <w:rFonts w:cs="Times New Roman"/>
        </w:rPr>
      </w:pPr>
      <w:r w:rsidRPr="00610B1B">
        <w:rPr>
          <w:rFonts w:cs="Times New Roman"/>
        </w:rPr>
        <w:t>Експертите се обединяват около наличието на богато културно наследство, ко</w:t>
      </w:r>
      <w:r w:rsidR="00C21E97" w:rsidRPr="00610B1B">
        <w:rPr>
          <w:rFonts w:cs="Times New Roman"/>
        </w:rPr>
        <w:t xml:space="preserve">ето не е изследвано достатъчно, </w:t>
      </w:r>
      <w:r w:rsidRPr="00610B1B">
        <w:rPr>
          <w:rFonts w:cs="Times New Roman"/>
        </w:rPr>
        <w:t xml:space="preserve">особено в подводната </w:t>
      </w:r>
      <w:r w:rsidR="00C21E97" w:rsidRPr="00610B1B">
        <w:rPr>
          <w:rFonts w:cs="Times New Roman"/>
        </w:rPr>
        <w:t xml:space="preserve">му </w:t>
      </w:r>
      <w:r w:rsidRPr="00610B1B">
        <w:rPr>
          <w:rFonts w:cs="Times New Roman"/>
        </w:rPr>
        <w:t>част. Състоянието му се определя като незадоволително и компрометирано, а причините се търсят в липсата на цялостна стратегия, неглижирането му, ограничените финансови ресурси, неустановена</w:t>
      </w:r>
      <w:r w:rsidR="00C21E97" w:rsidRPr="00610B1B">
        <w:rPr>
          <w:rFonts w:cs="Times New Roman"/>
        </w:rPr>
        <w:t>та</w:t>
      </w:r>
      <w:r w:rsidRPr="00610B1B">
        <w:rPr>
          <w:rFonts w:cs="Times New Roman"/>
        </w:rPr>
        <w:t xml:space="preserve"> собственост и комерсиалния натиск, свързан с туризма. Позитивните констатации са по-малко и са свързани с това, че културното наследство е съхранено, нормативната уредба е добра и е в ход процес по изследване на подводните културни ценности.</w:t>
      </w:r>
    </w:p>
    <w:p w14:paraId="52C5DA6E" w14:textId="00676F9C" w:rsidR="00E216B5" w:rsidRPr="00610B1B" w:rsidRDefault="00E216B5" w:rsidP="00D32D6A">
      <w:pPr>
        <w:pStyle w:val="BodyText"/>
        <w:spacing w:before="0" w:after="120" w:line="276" w:lineRule="auto"/>
        <w:ind w:right="-153"/>
        <w:rPr>
          <w:rFonts w:cs="Times New Roman"/>
        </w:rPr>
      </w:pPr>
      <w:r w:rsidRPr="00610B1B">
        <w:rPr>
          <w:rFonts w:cs="Times New Roman"/>
        </w:rPr>
        <w:t>Основните проблеми са: застрояването и икономическия натиск, свързан с туризма; липсата на поддръжка, проблеми със стопанисването, конфликти между частните собственици и институции</w:t>
      </w:r>
      <w:r w:rsidR="005C1935" w:rsidRPr="00610B1B">
        <w:rPr>
          <w:rFonts w:cs="Times New Roman"/>
        </w:rPr>
        <w:t>те</w:t>
      </w:r>
      <w:r w:rsidRPr="00610B1B">
        <w:rPr>
          <w:rFonts w:cs="Times New Roman"/>
        </w:rPr>
        <w:t>; недостатъчен надзор и контрол; бавни темпове и обем на проучванията; недостатъчно финансиране; ограниченият капацитет на НИНКН и ЦПА; липса</w:t>
      </w:r>
      <w:r w:rsidR="005C1935" w:rsidRPr="00610B1B">
        <w:rPr>
          <w:rFonts w:cs="Times New Roman"/>
        </w:rPr>
        <w:t>та</w:t>
      </w:r>
      <w:r w:rsidRPr="00610B1B">
        <w:rPr>
          <w:rFonts w:cs="Times New Roman"/>
        </w:rPr>
        <w:t xml:space="preserve"> на цялостна идея и стратегия, както и развитие на културния туризъм. Дават се конкретни примери с цялостния облик и защита на Несебър и Созопол, стопанисването на о-в Св. Кирик.</w:t>
      </w:r>
    </w:p>
    <w:p w14:paraId="05C6E91F" w14:textId="76604AE4" w:rsidR="00E216B5" w:rsidRPr="00610B1B" w:rsidRDefault="00E216B5" w:rsidP="00D32D6A">
      <w:pPr>
        <w:pStyle w:val="BodyText"/>
        <w:spacing w:before="0" w:after="120" w:line="276" w:lineRule="auto"/>
        <w:ind w:right="-153"/>
        <w:rPr>
          <w:rFonts w:cs="Times New Roman"/>
        </w:rPr>
      </w:pPr>
      <w:r w:rsidRPr="00610B1B">
        <w:rPr>
          <w:rFonts w:cs="Times New Roman"/>
        </w:rPr>
        <w:t>Многото предложения, могат да бъдат обобщени в няколко направления: определя</w:t>
      </w:r>
      <w:r w:rsidR="005C1935" w:rsidRPr="00610B1B">
        <w:rPr>
          <w:rFonts w:cs="Times New Roman"/>
        </w:rPr>
        <w:t>не на</w:t>
      </w:r>
      <w:r w:rsidRPr="00610B1B">
        <w:rPr>
          <w:rFonts w:cs="Times New Roman"/>
        </w:rPr>
        <w:t xml:space="preserve"> защитени </w:t>
      </w:r>
      <w:r w:rsidR="005C1935" w:rsidRPr="00610B1B">
        <w:rPr>
          <w:rFonts w:cs="Times New Roman"/>
        </w:rPr>
        <w:t xml:space="preserve">и охранителни </w:t>
      </w:r>
      <w:r w:rsidRPr="00610B1B">
        <w:rPr>
          <w:rFonts w:cs="Times New Roman"/>
        </w:rPr>
        <w:t>зони, засилване на контрола, премахване на незаконните обекти. Акцентира се върху взаимодействието между институциите при ясна регламентация, както и активизиране на проучването, опазването и експонирането на обектите с национално и световно значение.</w:t>
      </w:r>
      <w:r w:rsidR="005C1935" w:rsidRPr="00610B1B">
        <w:rPr>
          <w:rFonts w:cs="Times New Roman"/>
        </w:rPr>
        <w:t xml:space="preserve"> </w:t>
      </w:r>
      <w:r w:rsidRPr="00610B1B">
        <w:rPr>
          <w:rFonts w:cs="Times New Roman"/>
        </w:rPr>
        <w:t>Конкретно за морското културно наследство се предлага активизиране на подводните проучвания, както</w:t>
      </w:r>
      <w:r w:rsidR="00D66FE0" w:rsidRPr="00610B1B">
        <w:rPr>
          <w:rFonts w:cs="Times New Roman"/>
        </w:rPr>
        <w:t xml:space="preserve"> </w:t>
      </w:r>
      <w:r w:rsidRPr="00610B1B">
        <w:rPr>
          <w:rFonts w:cs="Times New Roman"/>
        </w:rPr>
        <w:t>и предприемане на стъпки за опазване и съхраняване</w:t>
      </w:r>
      <w:r w:rsidR="00C21E97" w:rsidRPr="00610B1B">
        <w:rPr>
          <w:rFonts w:cs="Times New Roman"/>
        </w:rPr>
        <w:t xml:space="preserve"> на културните ценности под вода</w:t>
      </w:r>
      <w:r w:rsidRPr="00610B1B">
        <w:rPr>
          <w:rFonts w:cs="Times New Roman"/>
        </w:rPr>
        <w:t xml:space="preserve">. </w:t>
      </w:r>
    </w:p>
    <w:p w14:paraId="3AE9FDAA" w14:textId="3BF279AD"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Предлага се провеждане на политика по възпитание и популяризиране на културните ценности, </w:t>
      </w:r>
      <w:r w:rsidRPr="00610B1B">
        <w:rPr>
          <w:rFonts w:cs="Times New Roman"/>
        </w:rPr>
        <w:lastRenderedPageBreak/>
        <w:t>свързани с морето</w:t>
      </w:r>
      <w:r w:rsidR="005C1935" w:rsidRPr="00610B1B">
        <w:rPr>
          <w:rFonts w:cs="Times New Roman"/>
        </w:rPr>
        <w:t xml:space="preserve">, </w:t>
      </w:r>
      <w:r w:rsidRPr="00610B1B">
        <w:rPr>
          <w:rFonts w:cs="Times New Roman"/>
        </w:rPr>
        <w:t xml:space="preserve">насочена към спечелване на младите и местните хора за каузата по съхраняване на културно-историческото наследство, свързано с морето и прилежащите му територии. Друго интересно предложение е съхраняване </w:t>
      </w:r>
      <w:r w:rsidR="005C1935" w:rsidRPr="00610B1B">
        <w:rPr>
          <w:rFonts w:cs="Times New Roman"/>
        </w:rPr>
        <w:t xml:space="preserve">на изчезващата </w:t>
      </w:r>
      <w:r w:rsidRPr="00610B1B">
        <w:rPr>
          <w:rFonts w:cs="Times New Roman"/>
        </w:rPr>
        <w:t xml:space="preserve">професия </w:t>
      </w:r>
      <w:r w:rsidR="00C21E97" w:rsidRPr="00610B1B">
        <w:rPr>
          <w:rFonts w:cs="Times New Roman"/>
        </w:rPr>
        <w:t>за</w:t>
      </w:r>
      <w:r w:rsidRPr="00610B1B">
        <w:rPr>
          <w:rFonts w:cs="Times New Roman"/>
        </w:rPr>
        <w:t xml:space="preserve"> добив</w:t>
      </w:r>
      <w:r w:rsidR="00C21E97" w:rsidRPr="00610B1B">
        <w:rPr>
          <w:rFonts w:cs="Times New Roman"/>
        </w:rPr>
        <w:t xml:space="preserve"> на</w:t>
      </w:r>
      <w:r w:rsidRPr="00610B1B">
        <w:rPr>
          <w:rFonts w:cs="Times New Roman"/>
        </w:rPr>
        <w:t xml:space="preserve"> сол </w:t>
      </w:r>
      <w:r w:rsidR="00C21E97" w:rsidRPr="00610B1B">
        <w:rPr>
          <w:rFonts w:cs="Times New Roman"/>
        </w:rPr>
        <w:t>по</w:t>
      </w:r>
      <w:r w:rsidRPr="00610B1B">
        <w:rPr>
          <w:rFonts w:cs="Times New Roman"/>
        </w:rPr>
        <w:t xml:space="preserve"> традиционен ръчен метод, </w:t>
      </w:r>
      <w:r w:rsidR="005C1935" w:rsidRPr="00610B1B">
        <w:rPr>
          <w:rFonts w:cs="Times New Roman"/>
        </w:rPr>
        <w:t>като</w:t>
      </w:r>
      <w:r w:rsidRPr="00610B1B">
        <w:rPr>
          <w:rFonts w:cs="Times New Roman"/>
        </w:rPr>
        <w:t xml:space="preserve"> характерно културно наследство.</w:t>
      </w:r>
    </w:p>
    <w:p w14:paraId="3DB52D76" w14:textId="5CECAB70" w:rsidR="00E216B5" w:rsidRPr="00610B1B" w:rsidRDefault="00E216B5" w:rsidP="00D32D6A">
      <w:pPr>
        <w:pStyle w:val="BodyText"/>
        <w:spacing w:before="0" w:after="120" w:line="276" w:lineRule="auto"/>
        <w:ind w:right="-153"/>
        <w:rPr>
          <w:rFonts w:cs="Times New Roman"/>
        </w:rPr>
      </w:pPr>
      <w:r w:rsidRPr="00610B1B">
        <w:rPr>
          <w:rFonts w:cs="Times New Roman"/>
        </w:rPr>
        <w:t>Експертите коментират възможностите за пълноценно използване на подводните недвижими културни ценности и тези,</w:t>
      </w:r>
      <w:r w:rsidR="00D66FE0" w:rsidRPr="00610B1B">
        <w:rPr>
          <w:rFonts w:cs="Times New Roman"/>
        </w:rPr>
        <w:t xml:space="preserve"> </w:t>
      </w:r>
      <w:r w:rsidRPr="00610B1B">
        <w:rPr>
          <w:rFonts w:cs="Times New Roman"/>
        </w:rPr>
        <w:t>разположени непосредствено на брега. Те предлагат интегриран и комплексен подход, запазване баланса между недвижимите културни ценности като такива и като ресурс за развитие на туризъм. Развитието на различен от масовия туризъм</w:t>
      </w:r>
      <w:r w:rsidR="00D66FE0" w:rsidRPr="00610B1B">
        <w:rPr>
          <w:rFonts w:cs="Times New Roman"/>
        </w:rPr>
        <w:t xml:space="preserve"> </w:t>
      </w:r>
      <w:r w:rsidRPr="00610B1B">
        <w:rPr>
          <w:rFonts w:cs="Times New Roman"/>
        </w:rPr>
        <w:t>(културен, екологичен, изследователски, религиозен и конферентен) е възможност, която би подпомогнала по-пълноценното използване на културни</w:t>
      </w:r>
      <w:r w:rsidR="00C21E97" w:rsidRPr="00610B1B">
        <w:rPr>
          <w:rFonts w:cs="Times New Roman"/>
        </w:rPr>
        <w:t>те</w:t>
      </w:r>
      <w:r w:rsidRPr="00610B1B">
        <w:rPr>
          <w:rFonts w:cs="Times New Roman"/>
        </w:rPr>
        <w:t xml:space="preserve"> ценности. Важно е да се осигури лесен достъп, експониране и реклама.</w:t>
      </w:r>
    </w:p>
    <w:p w14:paraId="6A9DE560" w14:textId="70D68D01" w:rsidR="00E216B5" w:rsidRPr="00610B1B" w:rsidRDefault="00E16795" w:rsidP="00AD38A7">
      <w:pPr>
        <w:pStyle w:val="BodyText"/>
        <w:spacing w:before="0" w:after="120" w:line="240" w:lineRule="auto"/>
        <w:ind w:right="-153"/>
        <w:rPr>
          <w:rFonts w:cs="Times New Roman"/>
          <w:b/>
          <w:i/>
        </w:rPr>
      </w:pPr>
      <w:r w:rsidRPr="00610B1B">
        <w:rPr>
          <w:rFonts w:cs="Times New Roman"/>
          <w:b/>
          <w:i/>
        </w:rPr>
        <w:t>Строителство в морето</w:t>
      </w:r>
    </w:p>
    <w:p w14:paraId="46758817" w14:textId="33AA4316"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Дефинирането на строителството в морето като обхват е от ключово значение за по-нататъшния анализ по темата. Експертите го определят като включващо всички обекти, които са трайно свързани с дъното или промени в дъното. Това са линейни обекти на инженерната инфраструктурата. Определението включва в себе си пристанища, защитни буни, подводни съоръжения, ферми, даляни и др. подводни зони за наблюдения, брегоукрепване, газопроводи и тръбопроводи на ВиК. Според друга дефиниция строителството в морето включва </w:t>
      </w:r>
      <w:r w:rsidR="00C21E97" w:rsidRPr="00610B1B">
        <w:rPr>
          <w:rFonts w:cs="Times New Roman"/>
        </w:rPr>
        <w:t>следните</w:t>
      </w:r>
      <w:r w:rsidRPr="00610B1B">
        <w:rPr>
          <w:rFonts w:cs="Times New Roman"/>
        </w:rPr>
        <w:t xml:space="preserve"> групи съоръжения: пристанищни хидротехнически; брегоукрепителни и брегозащитни съоръжения; стационарни проницаеми съоръжения.</w:t>
      </w:r>
    </w:p>
    <w:p w14:paraId="25F2A9A2" w14:textId="75BEF5D8" w:rsidR="00E216B5" w:rsidRPr="00610B1B" w:rsidRDefault="00E216B5" w:rsidP="00D32D6A">
      <w:pPr>
        <w:pStyle w:val="BodyText"/>
        <w:spacing w:before="0" w:after="120" w:line="276" w:lineRule="auto"/>
        <w:ind w:right="-153"/>
        <w:rPr>
          <w:rFonts w:cs="Times New Roman"/>
        </w:rPr>
      </w:pPr>
      <w:r w:rsidRPr="00610B1B">
        <w:rPr>
          <w:rFonts w:cs="Times New Roman"/>
        </w:rPr>
        <w:t>Мащабите на реализираните проекти, свързани със строителството в морето е друга важна тема, по която мненията са поляризирани</w:t>
      </w:r>
      <w:r w:rsidR="005C1935" w:rsidRPr="00610B1B">
        <w:rPr>
          <w:rFonts w:cs="Times New Roman"/>
        </w:rPr>
        <w:t xml:space="preserve">. </w:t>
      </w:r>
      <w:r w:rsidRPr="00610B1B">
        <w:rPr>
          <w:rFonts w:cs="Times New Roman"/>
        </w:rPr>
        <w:t>За активното строителство се дават примери за нови рибарски пристанища и стоянки, специализирани корабни места на пристанища, проекти за брегоукрепване</w:t>
      </w:r>
      <w:r w:rsidR="00D66FE0" w:rsidRPr="00610B1B">
        <w:rPr>
          <w:rFonts w:cs="Times New Roman"/>
        </w:rPr>
        <w:t xml:space="preserve"> </w:t>
      </w:r>
      <w:r w:rsidRPr="00610B1B">
        <w:rPr>
          <w:rFonts w:cs="Times New Roman"/>
        </w:rPr>
        <w:t>(вълноломи, пристанища, дълбоководни басейни) и разширяване на плажната ивица. Предвижда се изграждане на брегоукрепителни съоръжения около град Поморие. Примери за негативната оценка на състоянието на</w:t>
      </w:r>
      <w:r w:rsidR="00D66FE0" w:rsidRPr="00610B1B">
        <w:rPr>
          <w:rFonts w:cs="Times New Roman"/>
        </w:rPr>
        <w:t xml:space="preserve"> </w:t>
      </w:r>
      <w:r w:rsidRPr="00610B1B">
        <w:rPr>
          <w:rFonts w:cs="Times New Roman"/>
        </w:rPr>
        <w:t>морски обекти поради лоша поддръжка са: естакадата в Шабла, ремонт на вълнолома и бунната система на Варна, брегоукрепителните съоръжения на плаж Болата в община Каварна, брегоукрепителни</w:t>
      </w:r>
      <w:r w:rsidR="005C1935" w:rsidRPr="00610B1B">
        <w:rPr>
          <w:rFonts w:cs="Times New Roman"/>
        </w:rPr>
        <w:t>те</w:t>
      </w:r>
      <w:r w:rsidRPr="00610B1B">
        <w:rPr>
          <w:rFonts w:cs="Times New Roman"/>
        </w:rPr>
        <w:t xml:space="preserve"> съоръжения северно от Шабла.“ </w:t>
      </w:r>
    </w:p>
    <w:p w14:paraId="3CDFA3FD" w14:textId="6BEA0352"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Основните проблеми </w:t>
      </w:r>
      <w:r w:rsidR="00D5568E" w:rsidRPr="00610B1B">
        <w:rPr>
          <w:rFonts w:cs="Times New Roman"/>
        </w:rPr>
        <w:t xml:space="preserve">при </w:t>
      </w:r>
      <w:r w:rsidRPr="00610B1B">
        <w:rPr>
          <w:rFonts w:cs="Times New Roman"/>
        </w:rPr>
        <w:t>строителството в морето са свързани с липсата на: финансиране, инициативност, идейни проекти, прединвестиционни проучвания,</w:t>
      </w:r>
      <w:r w:rsidR="00D66FE0" w:rsidRPr="00610B1B">
        <w:rPr>
          <w:rFonts w:cs="Times New Roman"/>
        </w:rPr>
        <w:t xml:space="preserve"> </w:t>
      </w:r>
      <w:r w:rsidRPr="00610B1B">
        <w:rPr>
          <w:rFonts w:cs="Times New Roman"/>
        </w:rPr>
        <w:t xml:space="preserve">политики, проучвания, научна информация. За нормативната уредба оценките са противоречиви – нужда от регулираща и ограничителна до такава, която не спира частната инициатива. Предлага се да бъде детайлизирана процедурата по разширяване на пристанищата, при строеж в акваторията и разписване задълженията на съответната държавна институция. Подчертава се необходимостта от устройствено планиране за предвидените за изграждане нови съоръжения, а проблемите при обектите с двойно предназначение се смята, че ще се решат след създаване на </w:t>
      </w:r>
      <w:r w:rsidR="005C1935" w:rsidRPr="00610B1B">
        <w:rPr>
          <w:rFonts w:cs="Times New Roman"/>
        </w:rPr>
        <w:t xml:space="preserve">регламент </w:t>
      </w:r>
      <w:r w:rsidRPr="00610B1B">
        <w:rPr>
          <w:rFonts w:cs="Times New Roman"/>
        </w:rPr>
        <w:t>за стопанисване.</w:t>
      </w:r>
      <w:r w:rsidR="005C1935" w:rsidRPr="00610B1B">
        <w:rPr>
          <w:rFonts w:cs="Times New Roman"/>
        </w:rPr>
        <w:t xml:space="preserve"> </w:t>
      </w:r>
      <w:r w:rsidRPr="00610B1B">
        <w:rPr>
          <w:rFonts w:cs="Times New Roman"/>
        </w:rPr>
        <w:t>Изказва се и принципно мнение против строителство в морето, свързано с отвоюване на площ.</w:t>
      </w:r>
    </w:p>
    <w:p w14:paraId="6AA2EA90" w14:textId="77777777" w:rsidR="00E216B5" w:rsidRPr="00610B1B" w:rsidRDefault="00E216B5" w:rsidP="00D32D6A">
      <w:pPr>
        <w:pStyle w:val="BodyText"/>
        <w:spacing w:before="0" w:after="120" w:line="276" w:lineRule="auto"/>
        <w:ind w:right="-153"/>
        <w:rPr>
          <w:rFonts w:cs="Times New Roman"/>
        </w:rPr>
      </w:pPr>
      <w:r w:rsidRPr="00610B1B">
        <w:rPr>
          <w:rFonts w:cs="Times New Roman"/>
        </w:rPr>
        <w:t>Предложенията по темата за опазването на брега варират от законодателни промени, поддържане на информационни бази и система от планови документи, до стимулиране на частната инициатива.</w:t>
      </w:r>
    </w:p>
    <w:p w14:paraId="2CC1D53E" w14:textId="274CA9C3" w:rsidR="00E216B5" w:rsidRPr="00610B1B" w:rsidRDefault="00E216B5" w:rsidP="00D32D6A">
      <w:pPr>
        <w:pStyle w:val="BodyText"/>
        <w:spacing w:before="0" w:after="120" w:line="276" w:lineRule="auto"/>
        <w:ind w:right="-153"/>
        <w:rPr>
          <w:rFonts w:cs="Times New Roman"/>
        </w:rPr>
      </w:pPr>
      <w:r w:rsidRPr="00610B1B">
        <w:rPr>
          <w:rFonts w:cs="Times New Roman"/>
        </w:rPr>
        <w:lastRenderedPageBreak/>
        <w:t>Използването на брегозащитните съоръжения за допълнителни рекреационни дейности</w:t>
      </w:r>
      <w:r w:rsidR="00D66FE0" w:rsidRPr="00610B1B">
        <w:rPr>
          <w:rFonts w:cs="Times New Roman"/>
        </w:rPr>
        <w:t xml:space="preserve"> </w:t>
      </w:r>
      <w:r w:rsidRPr="00610B1B">
        <w:rPr>
          <w:rFonts w:cs="Times New Roman"/>
        </w:rPr>
        <w:t>поляризира експертите. За една част от тях трябва да остане само основната им функция, а за друга е необходимо да се използват за допълнителни рекреационни дейности. Това е възможно с уговорката първо да изпълняват основната си функция, но да се положат усилия за рехабилитация или наново да се проектират, за да се превърнат в мултифункционални пространства с временни летни атракциони, със съоръжения с научно-популярна цел и спорт.</w:t>
      </w:r>
      <w:r w:rsidR="005C1935" w:rsidRPr="00610B1B">
        <w:rPr>
          <w:rFonts w:cs="Times New Roman"/>
        </w:rPr>
        <w:t xml:space="preserve"> </w:t>
      </w:r>
      <w:r w:rsidRPr="00610B1B">
        <w:rPr>
          <w:rFonts w:cs="Times New Roman"/>
        </w:rPr>
        <w:t xml:space="preserve">Предложенията относно брегозащитните съоръжения включват актуализиране и доразвиване на генералната схема, създаване на регистър и преоценка </w:t>
      </w:r>
      <w:r w:rsidR="00C21E97" w:rsidRPr="00610B1B">
        <w:rPr>
          <w:rFonts w:cs="Times New Roman"/>
        </w:rPr>
        <w:t xml:space="preserve">на </w:t>
      </w:r>
      <w:r w:rsidRPr="00610B1B">
        <w:rPr>
          <w:rFonts w:cs="Times New Roman"/>
        </w:rPr>
        <w:t>състоянието на съществуващите съоръжения, интегриран подход при планирането и замяна на старите лодкостоянки с нови и по-модерни.</w:t>
      </w:r>
      <w:r w:rsidR="00D66FE0" w:rsidRPr="00610B1B">
        <w:rPr>
          <w:rFonts w:cs="Times New Roman"/>
        </w:rPr>
        <w:t xml:space="preserve"> </w:t>
      </w:r>
    </w:p>
    <w:p w14:paraId="231E758E" w14:textId="5420A32B" w:rsidR="00E216B5" w:rsidRPr="00610B1B" w:rsidRDefault="00E216B5" w:rsidP="00D32D6A">
      <w:pPr>
        <w:pStyle w:val="BodyText"/>
        <w:spacing w:before="0" w:after="120" w:line="276" w:lineRule="auto"/>
        <w:ind w:right="-153"/>
        <w:rPr>
          <w:rFonts w:cs="Times New Roman"/>
        </w:rPr>
      </w:pPr>
      <w:r w:rsidRPr="00610B1B">
        <w:rPr>
          <w:rFonts w:cs="Times New Roman"/>
        </w:rPr>
        <w:t>Експертите се обединяват около необходимостта</w:t>
      </w:r>
      <w:r w:rsidR="00D66FE0" w:rsidRPr="00610B1B">
        <w:rPr>
          <w:rFonts w:cs="Times New Roman"/>
        </w:rPr>
        <w:t xml:space="preserve"> </w:t>
      </w:r>
      <w:r w:rsidRPr="00610B1B">
        <w:rPr>
          <w:rFonts w:cs="Times New Roman"/>
        </w:rPr>
        <w:t>от</w:t>
      </w:r>
      <w:r w:rsidR="00D66FE0" w:rsidRPr="00610B1B">
        <w:rPr>
          <w:rFonts w:cs="Times New Roman"/>
        </w:rPr>
        <w:t xml:space="preserve"> </w:t>
      </w:r>
      <w:r w:rsidRPr="00610B1B">
        <w:rPr>
          <w:rFonts w:cs="Times New Roman"/>
        </w:rPr>
        <w:t>интегриране на културното наследство въобще и в частност на недвижимите културни ценности (подводни и на брега) в тези дейности.</w:t>
      </w:r>
      <w:r w:rsidR="00D66FE0" w:rsidRPr="00610B1B">
        <w:rPr>
          <w:rFonts w:cs="Times New Roman"/>
        </w:rPr>
        <w:t xml:space="preserve"> </w:t>
      </w:r>
      <w:r w:rsidRPr="00610B1B">
        <w:rPr>
          <w:rFonts w:cs="Times New Roman"/>
        </w:rPr>
        <w:t xml:space="preserve">Акцентите са: ясно разграничение и запазване на целостта им и спазване на правилата за опазването им. Това се приема, че ще доведе до по-голяма </w:t>
      </w:r>
      <w:r w:rsidR="00C21E97" w:rsidRPr="00610B1B">
        <w:rPr>
          <w:rFonts w:cs="Times New Roman"/>
        </w:rPr>
        <w:t>добавена</w:t>
      </w:r>
      <w:r w:rsidRPr="00610B1B">
        <w:rPr>
          <w:rFonts w:cs="Times New Roman"/>
        </w:rPr>
        <w:t xml:space="preserve"> стойност на тази дейност.</w:t>
      </w:r>
    </w:p>
    <w:p w14:paraId="5E9AA4F6" w14:textId="399B4FB8" w:rsidR="00E216B5" w:rsidRPr="00610B1B" w:rsidRDefault="00E16795" w:rsidP="00D32D6A">
      <w:pPr>
        <w:pStyle w:val="BodyText"/>
        <w:spacing w:before="0" w:after="120" w:line="276" w:lineRule="auto"/>
        <w:ind w:right="-153"/>
        <w:rPr>
          <w:rFonts w:cs="Times New Roman"/>
          <w:b/>
          <w:i/>
        </w:rPr>
      </w:pPr>
      <w:bookmarkStart w:id="517" w:name="_Hlk46188989"/>
      <w:r w:rsidRPr="00610B1B">
        <w:rPr>
          <w:rFonts w:cs="Times New Roman"/>
          <w:b/>
          <w:i/>
        </w:rPr>
        <w:t>Информационната платформа на националния Морски пространствен план</w:t>
      </w:r>
    </w:p>
    <w:p w14:paraId="6DB763A1" w14:textId="26C4C1EC" w:rsidR="00E216B5" w:rsidRPr="00610B1B" w:rsidRDefault="00E216B5" w:rsidP="00D32D6A">
      <w:pPr>
        <w:pStyle w:val="BodyText"/>
        <w:spacing w:before="0" w:after="120" w:line="276" w:lineRule="auto"/>
        <w:ind w:right="-153"/>
        <w:rPr>
          <w:rFonts w:cs="Times New Roman"/>
        </w:rPr>
      </w:pPr>
      <w:r w:rsidRPr="00610B1B">
        <w:rPr>
          <w:rFonts w:cs="Times New Roman"/>
        </w:rPr>
        <w:t>Идеята за изготвяне на информационна платформа на националния морски пространствен план се оценява позитивно от всички участвалите в изследването експерти</w:t>
      </w:r>
      <w:r w:rsidR="00D66FE0" w:rsidRPr="00610B1B">
        <w:rPr>
          <w:rFonts w:cs="Times New Roman"/>
        </w:rPr>
        <w:t xml:space="preserve"> </w:t>
      </w:r>
      <w:r w:rsidRPr="00610B1B">
        <w:rPr>
          <w:rFonts w:cs="Times New Roman"/>
        </w:rPr>
        <w:t>-</w:t>
      </w:r>
      <w:r w:rsidR="00D66FE0" w:rsidRPr="00610B1B">
        <w:rPr>
          <w:rFonts w:cs="Times New Roman"/>
        </w:rPr>
        <w:t xml:space="preserve"> </w:t>
      </w:r>
      <w:r w:rsidRPr="00610B1B">
        <w:rPr>
          <w:rFonts w:cs="Times New Roman"/>
        </w:rPr>
        <w:t xml:space="preserve">23-ма я разглеждат „изцяло положително“, а 7 я оценяват „по-скоро положително“. Това е логично, като се вземе под внимание изразеното общо мнение за необходимостта от единна информационна платформа. </w:t>
      </w:r>
    </w:p>
    <w:p w14:paraId="2F7617C4" w14:textId="52C9DF9A" w:rsidR="00E216B5" w:rsidRPr="00610B1B" w:rsidRDefault="00E216B5" w:rsidP="00D32D6A">
      <w:pPr>
        <w:pStyle w:val="BodyText"/>
        <w:spacing w:before="0" w:after="120" w:line="276" w:lineRule="auto"/>
        <w:ind w:right="-153"/>
        <w:rPr>
          <w:rFonts w:cs="Times New Roman"/>
        </w:rPr>
      </w:pPr>
      <w:r w:rsidRPr="00610B1B">
        <w:rPr>
          <w:rFonts w:cs="Times New Roman"/>
        </w:rPr>
        <w:t>Ползите от информационната платформа на националния морски пространствен план са в</w:t>
      </w:r>
      <w:r w:rsidR="00C21E97" w:rsidRPr="00610B1B">
        <w:rPr>
          <w:rFonts w:cs="Times New Roman"/>
        </w:rPr>
        <w:t>ъв</w:t>
      </w:r>
      <w:r w:rsidRPr="00610B1B">
        <w:rPr>
          <w:rFonts w:cs="Times New Roman"/>
        </w:rPr>
        <w:t xml:space="preserve"> всеобхватната оценка на съществуващото положение, на базата на която ще може да се извършва планиране и изготвяне на национални и регионални политики. Тя се </w:t>
      </w:r>
      <w:r w:rsidR="00C21E97" w:rsidRPr="00610B1B">
        <w:rPr>
          <w:rFonts w:cs="Times New Roman"/>
        </w:rPr>
        <w:t xml:space="preserve">разглежда </w:t>
      </w:r>
      <w:r w:rsidRPr="00610B1B">
        <w:rPr>
          <w:rFonts w:cs="Times New Roman"/>
        </w:rPr>
        <w:t>като информационна платформа с обща визия и интегрирана информация, като национален специализиран кадастър. Ползите от нея се състоят в това, че от нея ще могат да се информират заинтересованите страни</w:t>
      </w:r>
      <w:r w:rsidR="00D66FE0" w:rsidRPr="00610B1B">
        <w:rPr>
          <w:rFonts w:cs="Times New Roman"/>
        </w:rPr>
        <w:t xml:space="preserve"> </w:t>
      </w:r>
      <w:r w:rsidRPr="00610B1B">
        <w:rPr>
          <w:rFonts w:cs="Times New Roman"/>
        </w:rPr>
        <w:t>от културно-образователна и експертно-техническа гледна точка. Тя ще способства за прозрачност, граждански контрол, професионален и политически дебат.</w:t>
      </w:r>
    </w:p>
    <w:p w14:paraId="607A92D7" w14:textId="3B631455" w:rsidR="00E216B5" w:rsidRPr="00610B1B" w:rsidRDefault="00E216B5" w:rsidP="00D32D6A">
      <w:pPr>
        <w:pStyle w:val="BodyText"/>
        <w:spacing w:before="0" w:after="120" w:line="276" w:lineRule="auto"/>
        <w:ind w:right="-153"/>
        <w:rPr>
          <w:rFonts w:cs="Times New Roman"/>
        </w:rPr>
      </w:pPr>
      <w:r w:rsidRPr="00610B1B">
        <w:rPr>
          <w:rFonts w:cs="Times New Roman"/>
        </w:rPr>
        <w:t>Информацията в платформата трябва да включва данни от всякакъв характер. Експертите акцентират върху различни типове информация, което позволява получаването на една по-пълна картина. Въпреки, че е трудно нейното изчерпателно обобщение, основните видове информация са: свързана с устройството на територията; с биоразнообразието, екосистемите, климата и водните течения; с водния транспорт - корабоплаването,</w:t>
      </w:r>
      <w:r w:rsidR="00D66FE0" w:rsidRPr="00610B1B">
        <w:rPr>
          <w:rFonts w:cs="Times New Roman"/>
        </w:rPr>
        <w:t xml:space="preserve"> </w:t>
      </w:r>
      <w:r w:rsidRPr="00610B1B">
        <w:rPr>
          <w:rFonts w:cs="Times New Roman"/>
        </w:rPr>
        <w:t>пристанищата и предлаганите от тях услуги; с нормативната база, плановите документи и анализи; с текущите проекти; с научните изследвания; с международните спогодби; с обекти и територии със статут на НКЦ. Тя трябва да е с акцент върху опазване на околната среда и водите. Важно е включването на целия набор от налични пространствени данни и метаданни, географски данни, природни ресурси, предвиждания на ОУП за крайбрежните територии и наличие на различни видове зони (защитени, туристически, селскостопански и т.н.). Икономическата информация обхваща картиране на икономическите дейности по вид, местоположение, размер на предприятията, брой заети, месторегистрация на юридическото лице. За по-широк кръг от потребители се предлага информация за времето</w:t>
      </w:r>
      <w:r w:rsidR="00ED0123" w:rsidRPr="00610B1B">
        <w:rPr>
          <w:rFonts w:cs="Times New Roman"/>
        </w:rPr>
        <w:t> –</w:t>
      </w:r>
      <w:r w:rsidRPr="00610B1B">
        <w:rPr>
          <w:rFonts w:cs="Times New Roman"/>
        </w:rPr>
        <w:t xml:space="preserve"> актуално състояние и прогноза.</w:t>
      </w:r>
    </w:p>
    <w:p w14:paraId="5C2D4A42" w14:textId="0D77B68C" w:rsidR="00E216B5" w:rsidRPr="00610B1B" w:rsidRDefault="00E216B5" w:rsidP="00D32D6A">
      <w:pPr>
        <w:pStyle w:val="BodyText"/>
        <w:spacing w:before="0" w:after="120" w:line="276" w:lineRule="auto"/>
        <w:ind w:right="-153"/>
        <w:rPr>
          <w:rFonts w:cs="Times New Roman"/>
        </w:rPr>
      </w:pPr>
      <w:r w:rsidRPr="00610B1B">
        <w:rPr>
          <w:rFonts w:cs="Times New Roman"/>
        </w:rPr>
        <w:lastRenderedPageBreak/>
        <w:t>Информацията в платформата трябва да е достоверна, актуална, пълна и комплексна за всички аспекти на морските пространства и крайбрежните територии.</w:t>
      </w:r>
      <w:r w:rsidR="00BA76A2" w:rsidRPr="00610B1B">
        <w:rPr>
          <w:rFonts w:cs="Times New Roman"/>
        </w:rPr>
        <w:t xml:space="preserve"> </w:t>
      </w:r>
      <w:r w:rsidRPr="00610B1B">
        <w:rPr>
          <w:rFonts w:cs="Times New Roman"/>
        </w:rPr>
        <w:t xml:space="preserve">За експертите основните характеристики и показатели на информацията в платформата са свързани с нейната обществена достъпност, разбираемост и за неспециалисти, с възможност за обратна връзка, както и да не е пръсната по различни сайтове. Тя трябва да е с планирана дълготрайност и да има версия на английски език. </w:t>
      </w:r>
    </w:p>
    <w:p w14:paraId="5086B492" w14:textId="7EC72024" w:rsidR="00E216B5" w:rsidRPr="00610B1B" w:rsidRDefault="00E216B5" w:rsidP="00D32D6A">
      <w:pPr>
        <w:pStyle w:val="BodyText"/>
        <w:tabs>
          <w:tab w:val="left" w:pos="5245"/>
        </w:tabs>
        <w:spacing w:before="0" w:after="120" w:line="276" w:lineRule="auto"/>
        <w:ind w:right="-153"/>
        <w:rPr>
          <w:rFonts w:cs="Times New Roman"/>
        </w:rPr>
      </w:pPr>
      <w:r w:rsidRPr="00610B1B">
        <w:rPr>
          <w:rFonts w:cs="Times New Roman"/>
        </w:rPr>
        <w:t xml:space="preserve">Поддръжката на информацията в националната платформа за морско пространствено планиране е изключително важна </w:t>
      </w:r>
      <w:r w:rsidR="000C6509" w:rsidRPr="00610B1B">
        <w:rPr>
          <w:rFonts w:cs="Times New Roman"/>
        </w:rPr>
        <w:t>за</w:t>
      </w:r>
      <w:r w:rsidRPr="00610B1B">
        <w:rPr>
          <w:rFonts w:cs="Times New Roman"/>
        </w:rPr>
        <w:t xml:space="preserve"> постигане на нейната дълготрайност и успешност. Експертите са поляризирани по тестваните два варианта за нейното администриране. Минимален превес има идеята за специално създадено координационно звено</w:t>
      </w:r>
      <w:r w:rsidR="00D66FE0" w:rsidRPr="00610B1B">
        <w:rPr>
          <w:rFonts w:cs="Times New Roman"/>
        </w:rPr>
        <w:t xml:space="preserve"> </w:t>
      </w:r>
      <w:r w:rsidRPr="00610B1B">
        <w:rPr>
          <w:rFonts w:cs="Times New Roman"/>
        </w:rPr>
        <w:t>с 14 гласа.</w:t>
      </w:r>
      <w:r w:rsidR="00D66FE0" w:rsidRPr="00610B1B">
        <w:rPr>
          <w:rFonts w:cs="Times New Roman"/>
        </w:rPr>
        <w:t xml:space="preserve"> </w:t>
      </w:r>
      <w:r w:rsidRPr="00610B1B">
        <w:rPr>
          <w:rFonts w:cs="Times New Roman"/>
        </w:rPr>
        <w:t xml:space="preserve">Предложението за поддръжка съвместно от всички заинтересовани институции чрез ясно регламентирани в законодателната уредба ангажименти за предоставяне на актуална и достоверна информация събира подкрепата на 12 експерта. </w:t>
      </w:r>
    </w:p>
    <w:p w14:paraId="5ACA22C6" w14:textId="1A6E7974"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В коментари се предлага изнесено координационно звено, позиционирано във Варна или Бургас. Досегашният опит показва, че различни институции не поддържат базите </w:t>
      </w:r>
      <w:r w:rsidR="000C6509" w:rsidRPr="00610B1B">
        <w:rPr>
          <w:rFonts w:cs="Times New Roman"/>
        </w:rPr>
        <w:t>данни успешно, а контрааргументът</w:t>
      </w:r>
      <w:r w:rsidRPr="00610B1B">
        <w:rPr>
          <w:rFonts w:cs="Times New Roman"/>
        </w:rPr>
        <w:t xml:space="preserve"> е</w:t>
      </w:r>
      <w:r w:rsidR="000C6509" w:rsidRPr="00610B1B">
        <w:rPr>
          <w:rFonts w:cs="Times New Roman"/>
        </w:rPr>
        <w:t>,</w:t>
      </w:r>
      <w:r w:rsidRPr="00610B1B">
        <w:rPr>
          <w:rFonts w:cs="Times New Roman"/>
        </w:rPr>
        <w:t xml:space="preserve"> че институция с доказан капацитет може да свърши тази работа, като се спести нов щат и отделно администриране.</w:t>
      </w:r>
      <w:r w:rsidR="00D66FE0" w:rsidRPr="00610B1B">
        <w:rPr>
          <w:rFonts w:cs="Times New Roman"/>
        </w:rPr>
        <w:t xml:space="preserve"> </w:t>
      </w:r>
    </w:p>
    <w:bookmarkEnd w:id="517"/>
    <w:p w14:paraId="2C7F6ADA" w14:textId="1CCE43DC" w:rsidR="00E216B5" w:rsidRPr="00610B1B" w:rsidRDefault="00E16795" w:rsidP="00366AFE">
      <w:pPr>
        <w:pStyle w:val="BodyText"/>
        <w:spacing w:before="0" w:after="120" w:line="240" w:lineRule="auto"/>
        <w:ind w:right="-153"/>
        <w:rPr>
          <w:rFonts w:cs="Times New Roman"/>
          <w:b/>
          <w:i/>
        </w:rPr>
      </w:pPr>
      <w:r w:rsidRPr="00610B1B">
        <w:rPr>
          <w:rFonts w:cs="Times New Roman"/>
          <w:b/>
          <w:i/>
        </w:rPr>
        <w:t>Съвместяване на различните ползвания – необходимост от ограничения и безконфликтно развитие</w:t>
      </w:r>
    </w:p>
    <w:p w14:paraId="2F32E88A" w14:textId="77777777" w:rsidR="00E216B5" w:rsidRPr="00610B1B" w:rsidRDefault="00E216B5" w:rsidP="00D32D6A">
      <w:pPr>
        <w:pStyle w:val="BodyText"/>
        <w:spacing w:before="0" w:after="120" w:line="276" w:lineRule="auto"/>
        <w:ind w:right="-153"/>
        <w:rPr>
          <w:rFonts w:cs="Times New Roman"/>
        </w:rPr>
      </w:pPr>
      <w:r w:rsidRPr="00610B1B">
        <w:rPr>
          <w:rFonts w:cs="Times New Roman"/>
        </w:rPr>
        <w:t>Според участвалите в изследването експерти, ограничения трябва да се наложат на строителството в морето (извън брегоукрепване, корабоплаване и риболов), контрол върху мащаба на застрояване на сушата, свързан с опазване на културно-историческите и природни ценности (съобразно тяхната значимост). Акцентира се върху ограниченията, насочени към опазване на околната среда и намаляване на замърсяванията – заустване на непречистени води, замърсяване на морето, ограничения в развитието на тежка и химическа промишленост. Важни са ограниченията за информацията, касаеща националната сигурност и стратегическите дейности. Изолирани остават становищата, че не трябва да има дейности, за които да се наложат ограничения.</w:t>
      </w:r>
    </w:p>
    <w:p w14:paraId="4F0FCA94" w14:textId="77777777" w:rsidR="00E216B5" w:rsidRPr="00610B1B" w:rsidRDefault="00E216B5" w:rsidP="00D32D6A">
      <w:pPr>
        <w:pStyle w:val="BodyText"/>
        <w:spacing w:before="0" w:after="120" w:line="276" w:lineRule="auto"/>
        <w:ind w:right="-153"/>
        <w:rPr>
          <w:rFonts w:cs="Times New Roman"/>
        </w:rPr>
      </w:pPr>
      <w:r w:rsidRPr="00610B1B">
        <w:rPr>
          <w:rFonts w:cs="Times New Roman"/>
        </w:rPr>
        <w:t xml:space="preserve">Участвалите в изследването експерти правят уточнението, че безконфликтното развитие не бива да е за сметка на основната дейност, да не застрашава националната сигурност, да е икономически целесъобразно, да е след оценка на въздействието върху околната среда. Дават се и конкретни примери за безконфликтно развитие: хидрографски измервания и научни изследвания; спорт и туризъм; градска реконструкция и пазар на недвижими имоти в района на неработещи пристанищни територии. </w:t>
      </w:r>
    </w:p>
    <w:p w14:paraId="19C2E441" w14:textId="294A453B" w:rsidR="00E216B5" w:rsidRPr="00610B1B" w:rsidRDefault="00E216B5" w:rsidP="00D32D6A">
      <w:pPr>
        <w:pStyle w:val="BodyText"/>
        <w:spacing w:before="0" w:after="120" w:line="276" w:lineRule="auto"/>
        <w:ind w:right="-153"/>
        <w:rPr>
          <w:rFonts w:cs="Times New Roman"/>
        </w:rPr>
      </w:pPr>
      <w:r w:rsidRPr="00610B1B">
        <w:rPr>
          <w:rFonts w:cs="Times New Roman"/>
        </w:rPr>
        <w:t>Прави впечатление включването на туризма в различни конфигурации:</w:t>
      </w:r>
      <w:r w:rsidR="00D66FE0" w:rsidRPr="00610B1B">
        <w:rPr>
          <w:rFonts w:cs="Times New Roman"/>
        </w:rPr>
        <w:t xml:space="preserve"> </w:t>
      </w:r>
      <w:r w:rsidRPr="00610B1B">
        <w:rPr>
          <w:rFonts w:cs="Times New Roman"/>
        </w:rPr>
        <w:t xml:space="preserve">воден туризъм с опазване и експониране на подводна археология и природни местообитания около архитектурните резервати; щадящи форми на туризъм и морските и сухоземните екосистемни услуги; туристическа дейност и производствена дейност при спазване на условия за безопасност и минимално или никакво въздействие върху околната среда; туристическа дейност и транспорт на товари и логистична дейност. </w:t>
      </w:r>
      <w:r w:rsidRPr="00610B1B">
        <w:rPr>
          <w:rFonts w:cs="Times New Roman"/>
          <w:b/>
          <w:bCs/>
        </w:rPr>
        <w:t xml:space="preserve">Съвместяването на дейностите </w:t>
      </w:r>
      <w:r w:rsidRPr="00610B1B">
        <w:rPr>
          <w:rFonts w:cs="Times New Roman"/>
        </w:rPr>
        <w:t xml:space="preserve">които могат безконфликтно да се развиват са транспорт, търговия, туризъм, рибарство, солодобив, отглеждане на аквакултури, морски спортни дейности, морски образователни дейности, подводна археология, </w:t>
      </w:r>
      <w:r w:rsidRPr="00610B1B">
        <w:rPr>
          <w:rFonts w:cs="Times New Roman"/>
        </w:rPr>
        <w:lastRenderedPageBreak/>
        <w:t xml:space="preserve">опазване на биоразнообразието, балнеология, терапевтични и рекреационни дейности, национална отбрана. Изказва се и опасението, че съвместяване на различни по характер дейности води до синергичен отрицателен ефект. </w:t>
      </w:r>
    </w:p>
    <w:p w14:paraId="7F4DB569" w14:textId="6242572B" w:rsidR="00E216B5" w:rsidRPr="00610B1B" w:rsidRDefault="00E16795" w:rsidP="00D32D6A">
      <w:pPr>
        <w:pStyle w:val="BodyText"/>
        <w:spacing w:before="0" w:after="120" w:line="276" w:lineRule="auto"/>
        <w:ind w:right="-153"/>
        <w:rPr>
          <w:rFonts w:cs="Times New Roman"/>
          <w:b/>
          <w:i/>
        </w:rPr>
      </w:pPr>
      <w:r w:rsidRPr="00610B1B">
        <w:rPr>
          <w:rFonts w:cs="Times New Roman"/>
          <w:b/>
          <w:i/>
        </w:rPr>
        <w:t>Нагласи на експертите към изготвяния Морски пространствен план. Препоръки.</w:t>
      </w:r>
    </w:p>
    <w:p w14:paraId="63358942" w14:textId="6577297D" w:rsidR="00E216B5" w:rsidRPr="00610B1B" w:rsidRDefault="00E216B5" w:rsidP="00D32D6A">
      <w:pPr>
        <w:pStyle w:val="BodyText"/>
        <w:spacing w:before="0" w:after="120" w:line="276" w:lineRule="auto"/>
        <w:ind w:right="-153"/>
        <w:rPr>
          <w:rFonts w:cs="Times New Roman"/>
          <w:b/>
        </w:rPr>
      </w:pPr>
      <w:r w:rsidRPr="00610B1B">
        <w:rPr>
          <w:rFonts w:cs="Times New Roman"/>
        </w:rPr>
        <w:t>Нагласите на участвалите в изследването експерти към важността на разработвания Морски пространствен план са изключително позитивни. За 18 от тях планът е „много важен“, а</w:t>
      </w:r>
      <w:r w:rsidR="00D66FE0" w:rsidRPr="00610B1B">
        <w:rPr>
          <w:rFonts w:cs="Times New Roman"/>
        </w:rPr>
        <w:t xml:space="preserve"> </w:t>
      </w:r>
      <w:r w:rsidRPr="00610B1B">
        <w:rPr>
          <w:rFonts w:cs="Times New Roman"/>
        </w:rPr>
        <w:t xml:space="preserve">11 го определят като „по-скоро важен“. Практически липсват отрицателни оценки. Това поставя въпроса за </w:t>
      </w:r>
      <w:r w:rsidRPr="00610B1B">
        <w:rPr>
          <w:rFonts w:cs="Times New Roman"/>
          <w:b/>
        </w:rPr>
        <w:t>голямата отговорност при реализацията на очевидно необходимия Морски пространствен план и високите очаквания към него.</w:t>
      </w:r>
    </w:p>
    <w:p w14:paraId="0ABC50B0" w14:textId="3E63F121" w:rsidR="00447F5C" w:rsidRPr="00610B1B" w:rsidRDefault="00E216B5" w:rsidP="00D32D6A">
      <w:pPr>
        <w:pStyle w:val="BodyText"/>
        <w:spacing w:before="0" w:after="120" w:line="276" w:lineRule="auto"/>
        <w:ind w:right="-153"/>
        <w:rPr>
          <w:rFonts w:cs="Times New Roman"/>
        </w:rPr>
      </w:pPr>
      <w:r w:rsidRPr="00610B1B">
        <w:rPr>
          <w:rFonts w:cs="Times New Roman"/>
        </w:rPr>
        <w:t xml:space="preserve">Респондентите са имали възможност да споделят мисли и предложения по Морския пространствен план, които не са споменавани до момента. Някои от мненията са свързани с убеждението, че не се привличат необходимите специалисти в развитието и експлоатацията на морската среда; проблематизира се разработването на Морски пространствен план при липса на национална визия/стратегия по темата; предлага се да се разработи дългосрочна разяснителна кампания и включване на населението в опазване на околната среда; акцентира се върху отчитане на човешкия фактор при разработване на плана; предлага се използване на холистичен подход и предвиждане на възможности за допълнения и промени във времето. По-специфични предложения са: запазване на съществуващите у нас научен и практически потенциал в сферата на морската хидротехника; </w:t>
      </w:r>
      <w:r w:rsidR="00DC481F" w:rsidRPr="00610B1B">
        <w:rPr>
          <w:rFonts w:cs="Times New Roman"/>
        </w:rPr>
        <w:t>създаване на</w:t>
      </w:r>
      <w:r w:rsidRPr="00610B1B">
        <w:rPr>
          <w:rFonts w:cs="Times New Roman"/>
        </w:rPr>
        <w:t xml:space="preserve"> специализирани туристически карти; отчитане възможността за транзитно обслужване на преминаващите кораби.</w:t>
      </w:r>
    </w:p>
    <w:p w14:paraId="5E719389" w14:textId="0E469952" w:rsidR="00E24DBE" w:rsidRPr="00610B1B" w:rsidRDefault="00E24DBE" w:rsidP="00D32D6A">
      <w:pPr>
        <w:pStyle w:val="BodyText"/>
        <w:spacing w:before="0" w:after="120" w:line="276" w:lineRule="auto"/>
        <w:ind w:right="-153"/>
        <w:rPr>
          <w:rFonts w:cs="Times New Roman"/>
        </w:rPr>
      </w:pPr>
      <w:r w:rsidRPr="00610B1B">
        <w:rPr>
          <w:rFonts w:cs="Times New Roman"/>
        </w:rPr>
        <w:t>Общо е заключението за коректното и професионално отношение към обсъжданите въпроси на всички участници.</w:t>
      </w:r>
    </w:p>
    <w:p w14:paraId="4574A03D" w14:textId="77777777" w:rsidR="00537D06" w:rsidRPr="00610B1B" w:rsidRDefault="00537D06" w:rsidP="00AD38A7">
      <w:pPr>
        <w:pStyle w:val="BodyText"/>
        <w:spacing w:before="0" w:after="120" w:line="240" w:lineRule="auto"/>
        <w:ind w:right="-153"/>
        <w:rPr>
          <w:rFonts w:cs="Times New Roman"/>
        </w:rPr>
      </w:pPr>
    </w:p>
    <w:p w14:paraId="13DC4881" w14:textId="106ECAFE" w:rsidR="0041129F" w:rsidRPr="00610B1B" w:rsidRDefault="00463127" w:rsidP="00D32D6A">
      <w:pPr>
        <w:pStyle w:val="Heading2"/>
        <w:spacing w:before="0" w:line="276" w:lineRule="auto"/>
        <w:rPr>
          <w:rFonts w:cs="Times New Roman"/>
        </w:rPr>
      </w:pPr>
      <w:bookmarkStart w:id="518" w:name="_Toc83391451"/>
      <w:r w:rsidRPr="00610B1B">
        <w:rPr>
          <w:rFonts w:cs="Times New Roman"/>
        </w:rPr>
        <w:t>8.</w:t>
      </w:r>
      <w:r w:rsidR="0041129F" w:rsidRPr="00610B1B">
        <w:rPr>
          <w:rFonts w:cs="Times New Roman"/>
        </w:rPr>
        <w:t>3</w:t>
      </w:r>
      <w:r w:rsidRPr="00610B1B">
        <w:rPr>
          <w:rFonts w:cs="Times New Roman"/>
        </w:rPr>
        <w:t xml:space="preserve">. </w:t>
      </w:r>
      <w:r w:rsidR="0041129F" w:rsidRPr="00610B1B">
        <w:rPr>
          <w:rFonts w:cs="Times New Roman"/>
        </w:rPr>
        <w:t>Резултати от интердисциплинарен семинар</w:t>
      </w:r>
      <w:bookmarkEnd w:id="518"/>
      <w:r w:rsidR="0041129F" w:rsidRPr="00610B1B">
        <w:rPr>
          <w:rFonts w:cs="Times New Roman"/>
        </w:rPr>
        <w:t xml:space="preserve"> </w:t>
      </w:r>
    </w:p>
    <w:p w14:paraId="04D6422D" w14:textId="77777777"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На 10 юли 2020 г., при спазване на строги противоепидемични мерки, в Експозиционния център „Флора“ в Морската градина на град Бургас беше проведен семинар „Синя синергия“, посветен на проекта за Морски пространствен план на Република България 2021-2035 г. В няколко последователни сесии бяха представени връзките с проекта „Трансгранично морско пространствено планиране за Черно море, България и Румъния - MARSPLAN-BS II“ и съвременните методи за изследване на взаимодействията между сушата и морето и за безконфликтно съчетаване на функциите в морските пространства. </w:t>
      </w:r>
    </w:p>
    <w:p w14:paraId="2AB56C80" w14:textId="624AC65B"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На семинара беше докладван напредъка в разработването на Морския пространствен план на страната, заедно с едни от най-важните теми за морския трафик, синята икономика, биологичното разнообразие и единната ГИС база данни за целите на проекта, която да се доразвие в платформа за взаимодействие между секторите.</w:t>
      </w:r>
      <w:r w:rsidR="00D66FE0" w:rsidRPr="00610B1B">
        <w:rPr>
          <w:rFonts w:ascii="Times New Roman" w:hAnsi="Times New Roman" w:cs="Times New Roman"/>
          <w:sz w:val="24"/>
          <w:szCs w:val="24"/>
          <w:lang w:val="bg-BG"/>
        </w:rPr>
        <w:t xml:space="preserve"> </w:t>
      </w:r>
    </w:p>
    <w:p w14:paraId="0D102E2A" w14:textId="577254D7"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Втората част на семинара „Какво бъдеще за нашето Черно море“ беше проведена по Технологията на откритите пространства по избраните от участниците две теми „Конфликт или възможни решения за взаимодействие с крайбрежните зони?“ и „Какъв туризъм искаме по българското Черноморие?“</w:t>
      </w:r>
    </w:p>
    <w:p w14:paraId="582D9724" w14:textId="77777777" w:rsidR="00AD38A7" w:rsidRPr="00610B1B" w:rsidRDefault="00AD38A7" w:rsidP="00D32D6A">
      <w:pPr>
        <w:spacing w:after="120"/>
        <w:ind w:right="-153"/>
        <w:jc w:val="both"/>
        <w:rPr>
          <w:rFonts w:ascii="Times New Roman" w:hAnsi="Times New Roman" w:cs="Times New Roman"/>
          <w:sz w:val="24"/>
          <w:szCs w:val="24"/>
          <w:lang w:val="bg-BG"/>
        </w:rPr>
      </w:pPr>
    </w:p>
    <w:p w14:paraId="40C7B58F" w14:textId="77777777"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lastRenderedPageBreak/>
        <w:t>Синтезираните изводи от дискусията по първата тема са следните:</w:t>
      </w:r>
    </w:p>
    <w:p w14:paraId="488D008C" w14:textId="364FED3E" w:rsidR="0041129F" w:rsidRPr="00610B1B" w:rsidRDefault="0041129F" w:rsidP="00B46189">
      <w:pPr>
        <w:numPr>
          <w:ilvl w:val="0"/>
          <w:numId w:val="71"/>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По-подходящо е ‚конфликтите‘ за ползване на морск</w:t>
      </w:r>
      <w:r w:rsidR="00E24DBE" w:rsidRPr="00610B1B">
        <w:rPr>
          <w:rFonts w:ascii="Times New Roman" w:hAnsi="Times New Roman" w:cs="Times New Roman"/>
          <w:sz w:val="24"/>
          <w:szCs w:val="24"/>
          <w:lang w:val="bg-BG"/>
        </w:rPr>
        <w:t>а</w:t>
      </w:r>
      <w:r w:rsidRPr="00610B1B">
        <w:rPr>
          <w:rFonts w:ascii="Times New Roman" w:hAnsi="Times New Roman" w:cs="Times New Roman"/>
          <w:sz w:val="24"/>
          <w:szCs w:val="24"/>
          <w:lang w:val="bg-BG"/>
        </w:rPr>
        <w:t>та среда да се разглеждат от гледна точка на ‚многофункционално ползване‘ на акваториите и ресурсите на морето – това позволява комбиниране и балансиране на дейностите там.</w:t>
      </w:r>
    </w:p>
    <w:p w14:paraId="645ACD47" w14:textId="692B1F70" w:rsidR="0041129F" w:rsidRPr="00610B1B" w:rsidRDefault="0041129F" w:rsidP="00B46189">
      <w:pPr>
        <w:numPr>
          <w:ilvl w:val="0"/>
          <w:numId w:val="71"/>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Конфликти като този между урбанизацията на крайбрежието и увеличаване на замърсяването на морските води и съответно влошаването на качест</w:t>
      </w:r>
      <w:r w:rsidR="00ED0123" w:rsidRPr="00610B1B">
        <w:rPr>
          <w:rFonts w:ascii="Times New Roman" w:hAnsi="Times New Roman" w:cs="Times New Roman"/>
          <w:sz w:val="24"/>
          <w:szCs w:val="24"/>
          <w:lang w:val="bg-BG"/>
        </w:rPr>
        <w:t>в</w:t>
      </w:r>
      <w:r w:rsidRPr="00610B1B">
        <w:rPr>
          <w:rFonts w:ascii="Times New Roman" w:hAnsi="Times New Roman" w:cs="Times New Roman"/>
          <w:sz w:val="24"/>
          <w:szCs w:val="24"/>
          <w:lang w:val="bg-BG"/>
        </w:rPr>
        <w:t xml:space="preserve">ото на морската околна среда, имащи технологични решения (пречиствателни станции), могат да бъдат разрешени при наличие на ‚политики‘ и финансиране за решаване на тези проблеми. </w:t>
      </w:r>
    </w:p>
    <w:p w14:paraId="0A821582" w14:textId="182506F8" w:rsidR="0041129F" w:rsidRPr="00610B1B" w:rsidRDefault="0041129F" w:rsidP="00B46189">
      <w:pPr>
        <w:numPr>
          <w:ilvl w:val="0"/>
          <w:numId w:val="71"/>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много от случаите на конфликти от типа опазване на околната среда – развитие на икономика, туризъм, транспорт, са налице добри ‚експертни‘ решения, но за прилагането им е нужда ‚политическа воля‘, която да насочи усилията на институции</w:t>
      </w:r>
      <w:r w:rsidR="00E24DBE" w:rsidRPr="00610B1B">
        <w:rPr>
          <w:rFonts w:ascii="Times New Roman" w:hAnsi="Times New Roman" w:cs="Times New Roman"/>
          <w:sz w:val="24"/>
          <w:szCs w:val="24"/>
          <w:lang w:val="bg-BG"/>
        </w:rPr>
        <w:t>те</w:t>
      </w:r>
      <w:r w:rsidRPr="00610B1B">
        <w:rPr>
          <w:rFonts w:ascii="Times New Roman" w:hAnsi="Times New Roman" w:cs="Times New Roman"/>
          <w:sz w:val="24"/>
          <w:szCs w:val="24"/>
          <w:lang w:val="bg-BG"/>
        </w:rPr>
        <w:t xml:space="preserve"> и обществото към прилагането на тези решения.</w:t>
      </w:r>
    </w:p>
    <w:p w14:paraId="3B7FC13E" w14:textId="1A863D76" w:rsidR="0041129F" w:rsidRPr="00610B1B" w:rsidRDefault="0041129F" w:rsidP="00B46189">
      <w:pPr>
        <w:numPr>
          <w:ilvl w:val="0"/>
          <w:numId w:val="71"/>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В определени ситуации (например коридорите за корабен трафик), често решенията на конфликтни ситуации идват по инициатива на заинтересовани страни </w:t>
      </w:r>
      <w:r w:rsidR="00E24DBE"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бизнеса</w:t>
      </w:r>
      <w:r w:rsidR="00E24DBE"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които най-добре познават проблемите. Не е удачно да се търсят ‚решения‘ без тяхно участие – например изготвяне на нов ‚план‘ за разделно движение на трафика, който не е искан от морските транспортни фирми и корабособствениците.</w:t>
      </w:r>
    </w:p>
    <w:p w14:paraId="2F253706" w14:textId="77777777" w:rsidR="0041129F" w:rsidRPr="00610B1B" w:rsidRDefault="0041129F" w:rsidP="00B46189">
      <w:pPr>
        <w:numPr>
          <w:ilvl w:val="0"/>
          <w:numId w:val="71"/>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Основен източник на конфликти е това, че едно ‚решение‘ за подобряване на състоянието на морската околна среда (напр. строеж на пречиствателна станция) се реализира бавно (години), след което на самите екосистеми са им нужни дълги периоди от време, за да се възстановят и да има видими позитивни ефекти от тези ‚решения‘ – отново години. В същото време икономическото развитие често цели бързи действия и бързо реализиране на печалба и резултати, което е несъвместимо с времевите мащаби на процесите в природата.</w:t>
      </w:r>
    </w:p>
    <w:p w14:paraId="41BCB04E" w14:textId="77777777" w:rsidR="0041129F" w:rsidRPr="00610B1B" w:rsidRDefault="0041129F" w:rsidP="00B46189">
      <w:pPr>
        <w:numPr>
          <w:ilvl w:val="0"/>
          <w:numId w:val="71"/>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Институциите, участващи в дискусията (ИАРА, представител на ВМС), изтъкнаха, че винаги са отворени за диалог със заинтересованите страни и търсят начини за решаване на конфликти от рода на ползване на военни площадки от транспортни кораби, или регулиране на дейности от риболова, които увреждат дънни местообитания или пък подводно културно наследство. </w:t>
      </w:r>
    </w:p>
    <w:p w14:paraId="7EC472FA" w14:textId="53852AED"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Общият извод е, че в повечето случаи проблемите идват не от липсата на регулации и правила за регулиране на тези конфликти, а от сложния и тромав механизъм на действие – напр. за дейностите в морето отговарят няколко институции (</w:t>
      </w:r>
      <w:r w:rsidR="00E24DBE" w:rsidRPr="00610B1B">
        <w:rPr>
          <w:rFonts w:ascii="Times New Roman" w:hAnsi="Times New Roman" w:cs="Times New Roman"/>
          <w:sz w:val="24"/>
          <w:szCs w:val="24"/>
          <w:lang w:val="bg-BG"/>
        </w:rPr>
        <w:t xml:space="preserve">МРРБ, МТИТС, </w:t>
      </w:r>
      <w:r w:rsidRPr="00610B1B">
        <w:rPr>
          <w:rFonts w:ascii="Times New Roman" w:hAnsi="Times New Roman" w:cs="Times New Roman"/>
          <w:sz w:val="24"/>
          <w:szCs w:val="24"/>
          <w:lang w:val="bg-BG"/>
        </w:rPr>
        <w:t>МОСВ, МЗХГ, ИАРА, ИАМА, ДППИ, Басейнова дирекция, РИОСВ, РЗИ), и често не е ясно кой трябва да реагира при нарушения в морската акватория. В същото време, нито една от тези институции няма оборудване и средства за работа в морска среда – кораби, хеликоптери, оборудване. Затова най-адекватните решения са дошли след започване на сътрудничество с „Гранична Полиция“, които разполагат с катери и кораби (ИАРА работи с тях срещу морските бракониери за риба, рапани и миди). Това подсказва за потенциала на сътрудничеството за провеждане на скъпи операции, изследвания и наблюдения, включително и в трансграничен контекст.</w:t>
      </w:r>
    </w:p>
    <w:p w14:paraId="517BEE6F" w14:textId="77777777"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Групата участници, разглеждаща въпроса за туризма, демонстрира многоспектърност в експертизата и опита. Част от взелите дейно участие са експерти в сферите на морското </w:t>
      </w:r>
      <w:r w:rsidRPr="00610B1B">
        <w:rPr>
          <w:rFonts w:ascii="Times New Roman" w:hAnsi="Times New Roman" w:cs="Times New Roman"/>
          <w:sz w:val="24"/>
          <w:szCs w:val="24"/>
          <w:lang w:val="bg-BG"/>
        </w:rPr>
        <w:lastRenderedPageBreak/>
        <w:t xml:space="preserve">планиране, туризма, културата, биоразнообразието, ландшафта и GIS. Активност има и от страна на представители на местната администрация, в частност занимаващи се със социална политика и екология и на неправителствения сектор, които от своя страна работят върху диверсификацията на икономическите дейности в селските райони и иновациите. Широката дискусия, покрива множество теми, включително: видове туризъм по Черноморието, целеви групи туристи, туристически продукт, устройствени възможности, управление на плажовете, комуникация между заинтересованите и активните субекти, местна инициативност и други. </w:t>
      </w:r>
    </w:p>
    <w:p w14:paraId="1A76FDDB" w14:textId="5B2AB061"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Основният въпрос „Какъв туризъм?“ насочи вниманието към наличните видове</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и дали те са устойчиви и подходящи. Многообразието на Българското Черноморие създава основа за вариращи форми на туризъм – стандартен/масов (хотел и плаж, в това число и</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i/>
          <w:iCs/>
          <w:sz w:val="24"/>
          <w:szCs w:val="24"/>
          <w:lang w:val="bg-BG"/>
        </w:rPr>
        <w:t>all inclusive</w:t>
      </w:r>
      <w:r w:rsidRPr="00610B1B">
        <w:rPr>
          <w:rFonts w:ascii="Times New Roman" w:hAnsi="Times New Roman" w:cs="Times New Roman"/>
          <w:sz w:val="24"/>
          <w:szCs w:val="24"/>
          <w:lang w:val="bg-BG"/>
        </w:rPr>
        <w:t>), културен (вкл. фестивален), лечебен, къмпинг, яхтен и екологичен.</w:t>
      </w:r>
    </w:p>
    <w:p w14:paraId="61F572C1" w14:textId="77777777"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Масовият туризъм в момента привлича гостите си с икономичност и зрелищност и съставя значителна част от приходите на общините и държавата. Спонтанен беше въпросът какъв тип туристи да бъдат таргетирани занапред, разгръщайки потенциалите на средата по най-добър начин. Всички участници са на мнение, че усилията трябва да се насочат в посока повишаване на качеството на предлаганите услуги и продукт. Съгласие има в идеята за излизането на туризма извън сферата на консуматорството и еволюирането му в туризъм на изживяванията. Затова е нужно да се използват ефективно всички налични ресурси – природни, културни и антропогенни. Защитата и подчертаването на природните и културните богатства са основни за постигането на целта и по-конкретно – обвързване чрез тематични маршрути, качествено експониране на културното наследство (вкл. подводна археология) и отговорното ползване на ресурсите. Усъвършенстването на инфраструктурата, настаняването, достъпът до плажовете, обслужването и атракциите (вкл. водните спортове) са първостепенни в посока търсеното развитие.</w:t>
      </w:r>
    </w:p>
    <w:p w14:paraId="204038CC" w14:textId="2731EDBE"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Наблюдава се липса на цялостен туристически продукт и брандинг на Черноморието, а също така и на единен фокус на районите с общи характеристики и насоченост и слаба колаборация между заинтересованите им представители. Местната инициатива и процесите „отдолу-нагоре“ са движещата сила на желания просп</w:t>
      </w:r>
      <w:r w:rsidR="004F621C" w:rsidRPr="00610B1B">
        <w:rPr>
          <w:rFonts w:ascii="Times New Roman" w:hAnsi="Times New Roman" w:cs="Times New Roman"/>
          <w:sz w:val="24"/>
          <w:szCs w:val="24"/>
          <w:lang w:val="bg-BG"/>
        </w:rPr>
        <w:t>еритет. Най-добрият вариант за п</w:t>
      </w:r>
      <w:r w:rsidRPr="00610B1B">
        <w:rPr>
          <w:rFonts w:ascii="Times New Roman" w:hAnsi="Times New Roman" w:cs="Times New Roman"/>
          <w:sz w:val="24"/>
          <w:szCs w:val="24"/>
          <w:lang w:val="bg-BG"/>
        </w:rPr>
        <w:t xml:space="preserve">остигане на синергия е разумното пространствено разпределение на дейностите, задаването на посока на развитие в плана и следването ѝ от активните субекти. </w:t>
      </w:r>
    </w:p>
    <w:p w14:paraId="5ACFA60D" w14:textId="77777777"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Появиха се предложения за типологизация на плажовете и крайбрежната акватория с цел разграничение на подходящите форми на туризъм – в зависимост от даденостите, пространствата биха могли да бъдат хомогенни и хетерогенни от гледна точка на своите ползвания. </w:t>
      </w:r>
    </w:p>
    <w:p w14:paraId="6B22268C" w14:textId="77777777"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Създаването на платформа/форум за комуникация между експерти, администрация, бизнес, НПО, граждани и други инициативи бе прието единодушно като необходим начин на координация и консултация в посока положителната реализация на целенасочения морски пространствен план.</w:t>
      </w:r>
    </w:p>
    <w:p w14:paraId="182DC34C" w14:textId="0FE2305A"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Като цяло морският туристически продукт и имидж на България се нуждаят от сериозно внимание. Търсят се висококачествени пространства и услуги, интелигентно и щадящо ползване на площите, поддържане на добро поле за изява на местните инициативи и </w:t>
      </w:r>
      <w:r w:rsidRPr="00610B1B">
        <w:rPr>
          <w:rFonts w:ascii="Times New Roman" w:hAnsi="Times New Roman" w:cs="Times New Roman"/>
          <w:sz w:val="24"/>
          <w:szCs w:val="24"/>
          <w:lang w:val="bg-BG"/>
        </w:rPr>
        <w:lastRenderedPageBreak/>
        <w:t xml:space="preserve">разнообразие във формите на туризма. Всичко това е постижимо чрез високо ниво на координация и експертиза. </w:t>
      </w:r>
    </w:p>
    <w:p w14:paraId="2EA9E698" w14:textId="704DD3B9"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В рамките на интердисциплинарните семинари „Синя синергия“ и „Какво бъдеще за нашето Черно море“, се реализира </w:t>
      </w:r>
      <w:r w:rsidR="004F621C" w:rsidRPr="00610B1B">
        <w:rPr>
          <w:rFonts w:ascii="Times New Roman" w:hAnsi="Times New Roman" w:cs="Times New Roman"/>
          <w:sz w:val="24"/>
          <w:szCs w:val="24"/>
          <w:lang w:val="bg-BG"/>
        </w:rPr>
        <w:t xml:space="preserve">и </w:t>
      </w:r>
      <w:r w:rsidRPr="00610B1B">
        <w:rPr>
          <w:rFonts w:ascii="Times New Roman" w:hAnsi="Times New Roman" w:cs="Times New Roman"/>
          <w:sz w:val="24"/>
          <w:szCs w:val="24"/>
          <w:lang w:val="bg-BG"/>
        </w:rPr>
        <w:t>социологическо проучване. На всички участници в мероприятието се предостави възможност за избор на визия на Морския пространствен план на Република България 2021-2035. Целите на проучването са свързани с установяване нагласите на експертите по два ключови въпроса: обща оценка на посоката, в която се развива Визия на МПП и нагласите към конкретните предложения за Визия чрез поредица от индикатори. Предложенията се оценяват по четири индикатора</w:t>
      </w:r>
      <w:r w:rsidR="004F621C"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яснота и разбираемост; отразяване на важните за визията теми; реалистичност</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и правдоподобност</w:t>
      </w:r>
      <w:r w:rsidR="004F621C"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и доколко отговаря на личните разбирания на участника за желания образ на българското Черноморие след 15 или 20 години. </w:t>
      </w:r>
    </w:p>
    <w:p w14:paraId="47002099" w14:textId="77777777"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В социологическото проучване са се включили 37 от присъствалите на събитието експерти, което е близо ¾ от всички участници в семинарите. Високото участие е индикатор както за ангажираността на експертите с темата на проучването, така също и аргумент за неговата представителност за нагласите на участниците в семинарите, свързани с избора на Визия. На базата на получената информация може да бъдат направени следните основни изводи и препоръки:</w:t>
      </w:r>
    </w:p>
    <w:p w14:paraId="6AEF5D14" w14:textId="1A407904" w:rsidR="0041129F" w:rsidRPr="00610B1B" w:rsidRDefault="0041129F" w:rsidP="00B46189">
      <w:pPr>
        <w:numPr>
          <w:ilvl w:val="0"/>
          <w:numId w:val="72"/>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Експертите дават позитивна, по-висока от средната оценка на предложените три варианта. Средно тя е в рамките на „много добър“ (по шестобалната система). </w:t>
      </w:r>
    </w:p>
    <w:p w14:paraId="7BD2BDC0" w14:textId="67CAD1FD" w:rsidR="0041129F" w:rsidRPr="00610B1B" w:rsidRDefault="0041129F" w:rsidP="00B46189">
      <w:pPr>
        <w:numPr>
          <w:ilvl w:val="0"/>
          <w:numId w:val="72"/>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По различните индикатори най-високо са оценени: обхвата и отразяването на важните за визия теми; </w:t>
      </w:r>
      <w:r w:rsidR="004F621C" w:rsidRPr="00610B1B">
        <w:rPr>
          <w:rFonts w:ascii="Times New Roman" w:hAnsi="Times New Roman" w:cs="Times New Roman"/>
          <w:sz w:val="24"/>
          <w:szCs w:val="24"/>
          <w:lang w:val="bg-BG"/>
        </w:rPr>
        <w:t>предложените варианти</w:t>
      </w:r>
      <w:r w:rsidRPr="00610B1B">
        <w:rPr>
          <w:rFonts w:ascii="Times New Roman" w:hAnsi="Times New Roman" w:cs="Times New Roman"/>
          <w:sz w:val="24"/>
          <w:szCs w:val="24"/>
          <w:lang w:val="bg-BG"/>
        </w:rPr>
        <w:t xml:space="preserve"> отговаря</w:t>
      </w:r>
      <w:r w:rsidR="004F621C" w:rsidRPr="00610B1B">
        <w:rPr>
          <w:rFonts w:ascii="Times New Roman" w:hAnsi="Times New Roman" w:cs="Times New Roman"/>
          <w:sz w:val="24"/>
          <w:szCs w:val="24"/>
          <w:lang w:val="bg-BG"/>
        </w:rPr>
        <w:t>т</w:t>
      </w:r>
      <w:r w:rsidRPr="00610B1B">
        <w:rPr>
          <w:rFonts w:ascii="Times New Roman" w:hAnsi="Times New Roman" w:cs="Times New Roman"/>
          <w:sz w:val="24"/>
          <w:szCs w:val="24"/>
          <w:lang w:val="bg-BG"/>
        </w:rPr>
        <w:t xml:space="preserve"> на разбиранията на </w:t>
      </w:r>
      <w:r w:rsidR="004F621C" w:rsidRPr="00610B1B">
        <w:rPr>
          <w:rFonts w:ascii="Times New Roman" w:hAnsi="Times New Roman" w:cs="Times New Roman"/>
          <w:sz w:val="24"/>
          <w:szCs w:val="24"/>
          <w:lang w:val="bg-BG"/>
        </w:rPr>
        <w:t>участниците</w:t>
      </w:r>
      <w:r w:rsidRPr="00610B1B">
        <w:rPr>
          <w:rFonts w:ascii="Times New Roman" w:hAnsi="Times New Roman" w:cs="Times New Roman"/>
          <w:sz w:val="24"/>
          <w:szCs w:val="24"/>
          <w:lang w:val="bg-BG"/>
        </w:rPr>
        <w:t xml:space="preserve"> за желания образ на българското Черноморие след 15 – 20 години.</w:t>
      </w:r>
    </w:p>
    <w:p w14:paraId="5EC667C2" w14:textId="77777777" w:rsidR="0041129F" w:rsidRPr="00610B1B" w:rsidRDefault="0041129F" w:rsidP="00B46189">
      <w:pPr>
        <w:numPr>
          <w:ilvl w:val="0"/>
          <w:numId w:val="72"/>
        </w:num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Най-критично са оценени реалистичността и правдоподобността на предложените варианти на Визия. </w:t>
      </w:r>
    </w:p>
    <w:p w14:paraId="7C8764CD" w14:textId="4DE6478B" w:rsidR="0041129F" w:rsidRPr="00610B1B" w:rsidRDefault="0041129F" w:rsidP="00D32D6A">
      <w:pPr>
        <w:spacing w:after="120"/>
        <w:ind w:right="-153"/>
        <w:jc w:val="both"/>
        <w:rPr>
          <w:rFonts w:ascii="Times New Roman" w:hAnsi="Times New Roman" w:cs="Times New Roman"/>
          <w:sz w:val="24"/>
          <w:szCs w:val="24"/>
          <w:lang w:val="bg-BG"/>
        </w:rPr>
      </w:pPr>
      <w:r w:rsidRPr="00610B1B">
        <w:rPr>
          <w:rFonts w:ascii="Times New Roman" w:hAnsi="Times New Roman" w:cs="Times New Roman"/>
          <w:sz w:val="24"/>
          <w:szCs w:val="24"/>
          <w:lang w:val="bg-BG"/>
        </w:rPr>
        <w:t xml:space="preserve">Фаворит е Вариант № 3, който в сравнителен план има най-високи оценки по три от четирите индикатора. При редакция на този вариант трябва да бъдат отчетени следните два фактора: отправената обща критика към реалистичността и правдоподобността на предложените варианти на Визия; и по-ниските оценки в сравнителен план към яснотата и разбираемостта на </w:t>
      </w:r>
      <w:r w:rsidR="004F621C" w:rsidRPr="00610B1B">
        <w:rPr>
          <w:rFonts w:ascii="Times New Roman" w:hAnsi="Times New Roman" w:cs="Times New Roman"/>
          <w:sz w:val="24"/>
          <w:szCs w:val="24"/>
          <w:lang w:val="bg-BG"/>
        </w:rPr>
        <w:t>избрания</w:t>
      </w:r>
      <w:r w:rsidRPr="00610B1B">
        <w:rPr>
          <w:rFonts w:ascii="Times New Roman" w:hAnsi="Times New Roman" w:cs="Times New Roman"/>
          <w:sz w:val="24"/>
          <w:szCs w:val="24"/>
          <w:lang w:val="bg-BG"/>
        </w:rPr>
        <w:t xml:space="preserve"> вариант. </w:t>
      </w:r>
    </w:p>
    <w:p w14:paraId="7132F8D1" w14:textId="77777777" w:rsidR="0041129F" w:rsidRPr="00610B1B" w:rsidRDefault="0041129F" w:rsidP="00D32D6A">
      <w:pPr>
        <w:spacing w:after="120"/>
        <w:ind w:right="-153"/>
        <w:jc w:val="both"/>
        <w:rPr>
          <w:rFonts w:ascii="Times New Roman" w:hAnsi="Times New Roman" w:cs="Times New Roman"/>
          <w:sz w:val="24"/>
          <w:szCs w:val="24"/>
          <w:lang w:val="bg-BG"/>
        </w:rPr>
      </w:pPr>
    </w:p>
    <w:p w14:paraId="70E2F2A3" w14:textId="5DBD67B4" w:rsidR="00DF6C73" w:rsidRPr="00610B1B" w:rsidRDefault="0041129F" w:rsidP="00D32D6A">
      <w:pPr>
        <w:pStyle w:val="Heading2"/>
        <w:spacing w:before="0" w:line="276" w:lineRule="auto"/>
        <w:rPr>
          <w:rFonts w:cs="Times New Roman"/>
        </w:rPr>
      </w:pPr>
      <w:bookmarkStart w:id="519" w:name="_Toc83391452"/>
      <w:bookmarkStart w:id="520" w:name="_Hlk122083563"/>
      <w:r w:rsidRPr="00610B1B">
        <w:rPr>
          <w:rFonts w:cs="Times New Roman"/>
        </w:rPr>
        <w:t xml:space="preserve">8.4. </w:t>
      </w:r>
      <w:r w:rsidR="00DF6C73" w:rsidRPr="00610B1B">
        <w:rPr>
          <w:rFonts w:cs="Times New Roman"/>
        </w:rPr>
        <w:t>Публични консултации и обществени обсъждания</w:t>
      </w:r>
      <w:bookmarkEnd w:id="519"/>
    </w:p>
    <w:p w14:paraId="78B53C54" w14:textId="12BB33D8" w:rsidR="00447F5C" w:rsidRPr="00610B1B" w:rsidRDefault="00B14B6A" w:rsidP="00D32D6A">
      <w:pPr>
        <w:pStyle w:val="BodyText"/>
        <w:spacing w:before="0" w:after="120" w:line="276" w:lineRule="auto"/>
        <w:ind w:right="-153"/>
        <w:rPr>
          <w:rFonts w:cs="Times New Roman"/>
        </w:rPr>
      </w:pPr>
      <w:bookmarkStart w:id="521" w:name="_Hlk46100676"/>
      <w:bookmarkEnd w:id="520"/>
      <w:r w:rsidRPr="00610B1B">
        <w:rPr>
          <w:rFonts w:cs="Times New Roman"/>
        </w:rPr>
        <w:t>Публичните консултации и обществените обсъждания по Морския пространствен план и неговата Екологична оценка</w:t>
      </w:r>
      <w:r w:rsidR="00D66FE0" w:rsidRPr="00610B1B">
        <w:rPr>
          <w:rFonts w:cs="Times New Roman"/>
        </w:rPr>
        <w:t xml:space="preserve"> </w:t>
      </w:r>
      <w:r w:rsidR="00B531D6" w:rsidRPr="00610B1B">
        <w:rPr>
          <w:rFonts w:cs="Times New Roman"/>
        </w:rPr>
        <w:t>се провеждат в съответствие с ч</w:t>
      </w:r>
      <w:r w:rsidR="0041129F" w:rsidRPr="00610B1B">
        <w:rPr>
          <w:rFonts w:cs="Times New Roman"/>
        </w:rPr>
        <w:t>л. 51д</w:t>
      </w:r>
      <w:r w:rsidR="00B531D6" w:rsidRPr="00610B1B">
        <w:rPr>
          <w:rFonts w:cs="Times New Roman"/>
        </w:rPr>
        <w:t xml:space="preserve"> на З</w:t>
      </w:r>
      <w:r w:rsidR="00A959D9" w:rsidRPr="00610B1B">
        <w:rPr>
          <w:rFonts w:cs="Times New Roman"/>
        </w:rPr>
        <w:t xml:space="preserve">акона за морските пространства, вътрешните водни пътища и пристанищата на Република България, чл. 87 на Закона за опазване на околната среда, чл. 19, 19а и 20 от Наредбата за условията и реда за извършване на екологична оценка на планове и програми. </w:t>
      </w:r>
    </w:p>
    <w:p w14:paraId="509B39E3" w14:textId="55BA2CD7" w:rsidR="00DC481F" w:rsidRPr="00610B1B" w:rsidRDefault="00D5568E"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bCs/>
          <w:iCs/>
          <w:sz w:val="24"/>
          <w:szCs w:val="24"/>
          <w:lang w:val="bg-BG"/>
        </w:rPr>
        <w:t>Съгласно</w:t>
      </w:r>
      <w:r w:rsidR="00DC481F"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изискванията на МОСВ за провеждане на </w:t>
      </w:r>
      <w:r w:rsidR="00C276E6" w:rsidRPr="00610B1B">
        <w:rPr>
          <w:rFonts w:ascii="Times New Roman" w:eastAsia="Times New Roman" w:hAnsi="Times New Roman" w:cs="Times New Roman"/>
          <w:sz w:val="24"/>
          <w:szCs w:val="24"/>
          <w:lang w:val="bg-BG"/>
        </w:rPr>
        <w:t>консултациите</w:t>
      </w:r>
      <w:r w:rsidRPr="00610B1B">
        <w:rPr>
          <w:rFonts w:ascii="Times New Roman" w:eastAsia="Times New Roman" w:hAnsi="Times New Roman" w:cs="Times New Roman"/>
          <w:sz w:val="24"/>
          <w:szCs w:val="24"/>
          <w:lang w:val="bg-BG"/>
        </w:rPr>
        <w:t xml:space="preserve"> по чл.</w:t>
      </w:r>
      <w:r w:rsidR="00A959D9" w:rsidRPr="00610B1B">
        <w:rPr>
          <w:rFonts w:ascii="Times New Roman" w:eastAsia="Times New Roman" w:hAnsi="Times New Roman" w:cs="Times New Roman"/>
          <w:sz w:val="24"/>
          <w:szCs w:val="24"/>
          <w:lang w:val="bg-BG"/>
        </w:rPr>
        <w:t xml:space="preserve"> 19 и 19а на Наредбата за Екологична оценка</w:t>
      </w:r>
      <w:r w:rsidRPr="00610B1B">
        <w:rPr>
          <w:rFonts w:ascii="Times New Roman" w:eastAsia="Times New Roman" w:hAnsi="Times New Roman" w:cs="Times New Roman"/>
          <w:sz w:val="24"/>
          <w:szCs w:val="24"/>
          <w:lang w:val="bg-BG"/>
        </w:rPr>
        <w:t xml:space="preserve"> е изготвена предварителна схема, представена със Заданието за ЕО. </w:t>
      </w:r>
      <w:r w:rsidR="00DC481F" w:rsidRPr="00610B1B">
        <w:rPr>
          <w:rFonts w:ascii="Times New Roman" w:eastAsia="Times New Roman" w:hAnsi="Times New Roman" w:cs="Times New Roman"/>
          <w:sz w:val="24"/>
          <w:szCs w:val="24"/>
          <w:lang w:val="bg-BG"/>
        </w:rPr>
        <w:t>Консултациите се извършват и по реда, предвиден за съгласуване в нормативния или индивидуалния административен акт, с който ще се одобрява МППРБ.</w:t>
      </w:r>
    </w:p>
    <w:p w14:paraId="6E08940D" w14:textId="225F0616" w:rsidR="00DC481F" w:rsidRPr="00610B1B" w:rsidRDefault="00DC481F"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lastRenderedPageBreak/>
        <w:t>Консултациите по изготвения доклад за ЕО (екологичната част към МППРБ) включат: публикуване на съобщение за провеждане на консултации;</w:t>
      </w:r>
      <w:r w:rsidR="00D66FE0" w:rsidRPr="00610B1B">
        <w:rPr>
          <w:rFonts w:ascii="Times New Roman" w:eastAsia="Times New Roman" w:hAnsi="Times New Roman" w:cs="Times New Roman"/>
          <w:sz w:val="24"/>
          <w:szCs w:val="24"/>
          <w:lang w:val="bg-BG"/>
        </w:rPr>
        <w:t xml:space="preserve"> </w:t>
      </w:r>
      <w:r w:rsidRPr="00610B1B">
        <w:rPr>
          <w:rFonts w:ascii="Times New Roman" w:eastAsia="Times New Roman" w:hAnsi="Times New Roman" w:cs="Times New Roman"/>
          <w:sz w:val="24"/>
          <w:szCs w:val="24"/>
          <w:lang w:val="bg-BG"/>
        </w:rPr>
        <w:t xml:space="preserve">осигуряване на място с публичен достъп и време за запознаване с МППРБ, доклада за ЕО и материалите към тях; определен срок за изразяване на становище; начин на изразяване на становище; уведомяване на представилите становища и на други институции, по преценка на Възложителя, заинтересовани от реализацията на МППРБ. </w:t>
      </w:r>
    </w:p>
    <w:p w14:paraId="5A24A7B7" w14:textId="43A671DA" w:rsidR="00DC481F" w:rsidRPr="00610B1B" w:rsidRDefault="00DC481F"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Дейностите по консултациите и общественото обсъждане по чл. 21 на Наредбата за екологична оценка са ангажимент на Възложителя</w:t>
      </w:r>
      <w:r w:rsidR="00D5568E" w:rsidRPr="00610B1B">
        <w:rPr>
          <w:rFonts w:ascii="Times New Roman" w:eastAsia="Times New Roman" w:hAnsi="Times New Roman" w:cs="Times New Roman"/>
          <w:sz w:val="24"/>
          <w:szCs w:val="24"/>
          <w:lang w:val="bg-BG"/>
        </w:rPr>
        <w:t xml:space="preserve">. Материалите </w:t>
      </w:r>
      <w:r w:rsidR="00CD6DB2" w:rsidRPr="00610B1B">
        <w:rPr>
          <w:rFonts w:ascii="Times New Roman" w:eastAsia="Times New Roman" w:hAnsi="Times New Roman" w:cs="Times New Roman"/>
          <w:sz w:val="24"/>
          <w:szCs w:val="24"/>
          <w:lang w:val="bg-BG"/>
        </w:rPr>
        <w:t>се</w:t>
      </w:r>
      <w:r w:rsidRPr="00610B1B">
        <w:rPr>
          <w:rFonts w:ascii="Times New Roman" w:eastAsia="Times New Roman" w:hAnsi="Times New Roman" w:cs="Times New Roman"/>
          <w:sz w:val="24"/>
          <w:szCs w:val="24"/>
          <w:lang w:val="bg-BG"/>
        </w:rPr>
        <w:t xml:space="preserve"> публикува</w:t>
      </w:r>
      <w:r w:rsidR="00CD6DB2" w:rsidRPr="00610B1B">
        <w:rPr>
          <w:rFonts w:ascii="Times New Roman" w:eastAsia="Times New Roman" w:hAnsi="Times New Roman" w:cs="Times New Roman"/>
          <w:sz w:val="24"/>
          <w:szCs w:val="24"/>
          <w:lang w:val="bg-BG"/>
        </w:rPr>
        <w:t>т</w:t>
      </w:r>
      <w:r w:rsidRPr="00610B1B">
        <w:rPr>
          <w:rFonts w:ascii="Times New Roman" w:eastAsia="Times New Roman" w:hAnsi="Times New Roman" w:cs="Times New Roman"/>
          <w:sz w:val="24"/>
          <w:szCs w:val="24"/>
          <w:lang w:val="bg-BG"/>
        </w:rPr>
        <w:t xml:space="preserve"> на Интернет страницата на МРРБ. </w:t>
      </w:r>
      <w:r w:rsidR="00CD6DB2" w:rsidRPr="00610B1B">
        <w:rPr>
          <w:rFonts w:ascii="Times New Roman" w:eastAsia="Times New Roman" w:hAnsi="Times New Roman" w:cs="Times New Roman"/>
          <w:sz w:val="24"/>
          <w:szCs w:val="24"/>
          <w:lang w:val="bg-BG"/>
        </w:rPr>
        <w:t xml:space="preserve">Осигурени са </w:t>
      </w:r>
      <w:r w:rsidRPr="00610B1B">
        <w:rPr>
          <w:rFonts w:ascii="Times New Roman" w:eastAsia="Times New Roman" w:hAnsi="Times New Roman" w:cs="Times New Roman"/>
          <w:sz w:val="24"/>
          <w:szCs w:val="24"/>
          <w:lang w:val="bg-BG"/>
        </w:rPr>
        <w:t>експерти от разработващия екип с необходимата квалификация, отговорни за предоставянето на допълнителни устни разяснения на място, включително и в областните центрове на крайбрежието. Екипът, разработващ ЕО провежда консултации по доклада за ЕО и с компетентните органи, като им предоставя документацията за становище.</w:t>
      </w:r>
    </w:p>
    <w:p w14:paraId="4B42EE06" w14:textId="085DF459" w:rsidR="00DC481F" w:rsidRPr="00610B1B" w:rsidRDefault="002A61A4"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Съгласно чл. 51д ал. 2 от Закона за морските пространства, вътрешните водни пътища и пристанищата на Република България </w:t>
      </w:r>
      <w:r w:rsidR="00DC481F" w:rsidRPr="00610B1B">
        <w:rPr>
          <w:rFonts w:ascii="Times New Roman" w:eastAsia="Times New Roman" w:hAnsi="Times New Roman" w:cs="Times New Roman"/>
          <w:sz w:val="24"/>
          <w:szCs w:val="24"/>
          <w:lang w:val="bg-BG"/>
        </w:rPr>
        <w:t>обществено</w:t>
      </w:r>
      <w:r w:rsidR="00484947" w:rsidRPr="00610B1B">
        <w:rPr>
          <w:rFonts w:ascii="Times New Roman" w:eastAsia="Times New Roman" w:hAnsi="Times New Roman" w:cs="Times New Roman"/>
          <w:sz w:val="24"/>
          <w:szCs w:val="24"/>
          <w:lang w:val="bg-BG"/>
        </w:rPr>
        <w:t>то</w:t>
      </w:r>
      <w:r w:rsidR="00DC481F" w:rsidRPr="00610B1B">
        <w:rPr>
          <w:rFonts w:ascii="Times New Roman" w:eastAsia="Times New Roman" w:hAnsi="Times New Roman" w:cs="Times New Roman"/>
          <w:sz w:val="24"/>
          <w:szCs w:val="24"/>
          <w:lang w:val="bg-BG"/>
        </w:rPr>
        <w:t xml:space="preserve"> обсъждане на доклада за ЕО на МППРБ ще бъде съвместено и с обсъждането на самия план. </w:t>
      </w:r>
    </w:p>
    <w:p w14:paraId="60AE4C68" w14:textId="387D82F8" w:rsidR="00DC481F" w:rsidRPr="00610B1B" w:rsidRDefault="002A61A4"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Процедурите </w:t>
      </w:r>
      <w:r w:rsidR="00DC481F" w:rsidRPr="00610B1B">
        <w:rPr>
          <w:rFonts w:ascii="Times New Roman" w:eastAsia="Times New Roman" w:hAnsi="Times New Roman" w:cs="Times New Roman"/>
          <w:sz w:val="24"/>
          <w:szCs w:val="24"/>
          <w:lang w:val="bg-BG"/>
        </w:rPr>
        <w:t>по оценка на въздействието на МППРБ в трансграничен контекст, клаузите за които са включени към Наредбата за Оценка на въздействието върху околната среда</w:t>
      </w:r>
      <w:r w:rsidR="00A959D9" w:rsidRPr="00610B1B">
        <w:rPr>
          <w:rFonts w:ascii="Times New Roman" w:eastAsia="Times New Roman" w:hAnsi="Times New Roman" w:cs="Times New Roman"/>
          <w:sz w:val="24"/>
          <w:szCs w:val="24"/>
          <w:lang w:val="bg-BG"/>
        </w:rPr>
        <w:t>,</w:t>
      </w:r>
      <w:r w:rsidRPr="00610B1B">
        <w:rPr>
          <w:rFonts w:ascii="Times New Roman" w:eastAsia="Times New Roman" w:hAnsi="Times New Roman" w:cs="Times New Roman"/>
          <w:sz w:val="24"/>
          <w:szCs w:val="24"/>
          <w:lang w:val="bg-BG"/>
        </w:rPr>
        <w:t xml:space="preserve"> предвиждат </w:t>
      </w:r>
      <w:r w:rsidR="00DC481F" w:rsidRPr="00610B1B">
        <w:rPr>
          <w:rFonts w:ascii="Times New Roman" w:eastAsia="Times New Roman" w:hAnsi="Times New Roman" w:cs="Times New Roman"/>
          <w:sz w:val="24"/>
          <w:szCs w:val="24"/>
          <w:lang w:val="bg-BG"/>
        </w:rPr>
        <w:t xml:space="preserve">МОСВ </w:t>
      </w:r>
      <w:r w:rsidRPr="00610B1B">
        <w:rPr>
          <w:rFonts w:ascii="Times New Roman" w:eastAsia="Times New Roman" w:hAnsi="Times New Roman" w:cs="Times New Roman"/>
          <w:sz w:val="24"/>
          <w:szCs w:val="24"/>
          <w:lang w:val="bg-BG"/>
        </w:rPr>
        <w:t>да</w:t>
      </w:r>
      <w:r w:rsidR="00DC481F" w:rsidRPr="00610B1B">
        <w:rPr>
          <w:rFonts w:ascii="Times New Roman" w:eastAsia="Times New Roman" w:hAnsi="Times New Roman" w:cs="Times New Roman"/>
          <w:sz w:val="24"/>
          <w:szCs w:val="24"/>
          <w:lang w:val="bg-BG"/>
        </w:rPr>
        <w:t xml:space="preserve"> уведоми съседните страни по установената процедура като представи информация относно дейностите в обхвата на МППРБ и възможните алтернативи. При желание от страна на Румъния и Турция за участие в процедурата ще се следват, всички стъпки, описани в Наредбата и в Конвенцията и ще се договори срока за провеждане на консултации. </w:t>
      </w:r>
      <w:r w:rsidR="00A959D9" w:rsidRPr="00610B1B">
        <w:rPr>
          <w:rFonts w:ascii="Times New Roman" w:eastAsia="Times New Roman" w:hAnsi="Times New Roman" w:cs="Times New Roman"/>
          <w:sz w:val="24"/>
          <w:szCs w:val="24"/>
          <w:lang w:val="bg-BG"/>
        </w:rPr>
        <w:t>Тези консултации се провеждат в съответствие с чл. 10 от Протокола за стратегическа екологична оценка (СЕО) Към конвенцията за оценка на въздействието върху околната среда в трансграничен контекст</w:t>
      </w:r>
      <w:r w:rsidR="00505DAF" w:rsidRPr="00610B1B">
        <w:rPr>
          <w:rFonts w:ascii="Times New Roman" w:eastAsia="Times New Roman" w:hAnsi="Times New Roman" w:cs="Times New Roman"/>
          <w:sz w:val="24"/>
          <w:szCs w:val="24"/>
          <w:lang w:val="bg-BG"/>
        </w:rPr>
        <w:t xml:space="preserve"> и съгласно предписанията на МОСВ (Писмо с Изх. №</w:t>
      </w:r>
      <w:r w:rsidR="00644CC8" w:rsidRPr="00610B1B">
        <w:rPr>
          <w:rFonts w:ascii="Times New Roman" w:eastAsia="Times New Roman" w:hAnsi="Times New Roman" w:cs="Times New Roman"/>
          <w:sz w:val="24"/>
          <w:szCs w:val="24"/>
          <w:lang w:val="bg-BG"/>
        </w:rPr>
        <w:t> </w:t>
      </w:r>
      <w:r w:rsidR="00505DAF" w:rsidRPr="00610B1B">
        <w:rPr>
          <w:rFonts w:ascii="Times New Roman" w:eastAsia="Times New Roman" w:hAnsi="Times New Roman" w:cs="Times New Roman"/>
          <w:sz w:val="24"/>
          <w:szCs w:val="24"/>
          <w:lang w:val="bg-BG"/>
        </w:rPr>
        <w:t>ЕО-6/10.04.2020</w:t>
      </w:r>
      <w:r w:rsidR="00644CC8" w:rsidRPr="00610B1B">
        <w:rPr>
          <w:rFonts w:ascii="Times New Roman" w:eastAsia="Times New Roman" w:hAnsi="Times New Roman" w:cs="Times New Roman"/>
          <w:sz w:val="24"/>
          <w:szCs w:val="24"/>
          <w:lang w:val="bg-BG"/>
        </w:rPr>
        <w:t> </w:t>
      </w:r>
      <w:r w:rsidR="00505DAF" w:rsidRPr="00610B1B">
        <w:rPr>
          <w:rFonts w:ascii="Times New Roman" w:eastAsia="Times New Roman" w:hAnsi="Times New Roman" w:cs="Times New Roman"/>
          <w:sz w:val="24"/>
          <w:szCs w:val="24"/>
          <w:lang w:val="bg-BG"/>
        </w:rPr>
        <w:t>г</w:t>
      </w:r>
      <w:r w:rsidR="00A959D9" w:rsidRPr="00610B1B">
        <w:rPr>
          <w:rFonts w:ascii="Times New Roman" w:eastAsia="Times New Roman" w:hAnsi="Times New Roman" w:cs="Times New Roman"/>
          <w:sz w:val="24"/>
          <w:szCs w:val="24"/>
          <w:lang w:val="bg-BG"/>
        </w:rPr>
        <w:t>.</w:t>
      </w:r>
      <w:r w:rsidR="00505DAF" w:rsidRPr="00610B1B">
        <w:rPr>
          <w:rFonts w:ascii="Times New Roman" w:eastAsia="Times New Roman" w:hAnsi="Times New Roman" w:cs="Times New Roman"/>
          <w:sz w:val="24"/>
          <w:szCs w:val="24"/>
          <w:lang w:val="bg-BG"/>
        </w:rPr>
        <w:t>)</w:t>
      </w:r>
    </w:p>
    <w:p w14:paraId="2B7816C3" w14:textId="4BC7FC5D" w:rsidR="00DC481F" w:rsidRPr="00610B1B" w:rsidRDefault="00DC481F" w:rsidP="00D32D6A">
      <w:p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Макар че от МППРБ не произтичат пряко възможности за реализиране на инвестиционни предложения и строителство на обекти, посочени в Приложение І на Конвенцията, за спазване на изискванията на чл. 98, ал. 1 от ЗООС</w:t>
      </w:r>
      <w:r w:rsidR="002A61A4" w:rsidRPr="00610B1B">
        <w:rPr>
          <w:rFonts w:ascii="Times New Roman" w:eastAsia="Times New Roman" w:hAnsi="Times New Roman" w:cs="Times New Roman"/>
          <w:sz w:val="24"/>
          <w:szCs w:val="24"/>
          <w:lang w:val="bg-BG"/>
        </w:rPr>
        <w:t xml:space="preserve"> ще се </w:t>
      </w:r>
      <w:r w:rsidR="004F621C" w:rsidRPr="00610B1B">
        <w:rPr>
          <w:rFonts w:ascii="Times New Roman" w:eastAsia="Times New Roman" w:hAnsi="Times New Roman" w:cs="Times New Roman"/>
          <w:sz w:val="24"/>
          <w:szCs w:val="24"/>
          <w:lang w:val="bg-BG"/>
        </w:rPr>
        <w:t>прилагат</w:t>
      </w:r>
      <w:r w:rsidR="002A61A4" w:rsidRPr="00610B1B">
        <w:rPr>
          <w:rFonts w:ascii="Times New Roman" w:eastAsia="Times New Roman" w:hAnsi="Times New Roman" w:cs="Times New Roman"/>
          <w:sz w:val="24"/>
          <w:szCs w:val="24"/>
          <w:lang w:val="bg-BG"/>
        </w:rPr>
        <w:t xml:space="preserve"> описаните в ал. 1 и 2</w:t>
      </w:r>
      <w:r w:rsidR="00D66FE0" w:rsidRPr="00610B1B">
        <w:rPr>
          <w:rFonts w:ascii="Times New Roman" w:eastAsia="Times New Roman" w:hAnsi="Times New Roman" w:cs="Times New Roman"/>
          <w:sz w:val="24"/>
          <w:szCs w:val="24"/>
          <w:lang w:val="bg-BG"/>
        </w:rPr>
        <w:t xml:space="preserve"> </w:t>
      </w:r>
      <w:r w:rsidR="002A61A4" w:rsidRPr="00610B1B">
        <w:rPr>
          <w:rFonts w:ascii="Times New Roman" w:eastAsia="Times New Roman" w:hAnsi="Times New Roman" w:cs="Times New Roman"/>
          <w:sz w:val="24"/>
          <w:szCs w:val="24"/>
          <w:lang w:val="bg-BG"/>
        </w:rPr>
        <w:t xml:space="preserve">стъпки. </w:t>
      </w:r>
    </w:p>
    <w:p w14:paraId="52295E64" w14:textId="2E4E755C" w:rsidR="00BA69EE" w:rsidRPr="00E82066" w:rsidRDefault="00BA69EE" w:rsidP="00D32D6A">
      <w:pPr>
        <w:spacing w:after="120"/>
        <w:ind w:right="-153"/>
        <w:jc w:val="both"/>
        <w:rPr>
          <w:rFonts w:ascii="Times New Roman" w:eastAsia="Times New Roman" w:hAnsi="Times New Roman" w:cs="Times New Roman"/>
          <w:i/>
          <w:sz w:val="24"/>
          <w:szCs w:val="24"/>
          <w:lang w:val="bg-BG"/>
        </w:rPr>
      </w:pPr>
      <w:r w:rsidRPr="00E82066">
        <w:rPr>
          <w:rFonts w:ascii="Times New Roman" w:eastAsia="TimesNewRomanPSMT" w:hAnsi="Times New Roman" w:cs="Times New Roman"/>
          <w:sz w:val="24"/>
          <w:szCs w:val="24"/>
          <w:lang w:val="bg-BG" w:bidi="bg-BG"/>
        </w:rPr>
        <w:t>Всички планове, програми, проекти, стратегии и инвестиционни предложения, произтичащи от проекта на МППРБ 2021-2035 г., попадащи в обхвата на приложенията към ЗООС и/или извън тях и попадащи в обхвата на чл. 31 от ЗБР се реализират след произнасяне на компетентния орган по околна среда</w:t>
      </w:r>
      <w:r w:rsidR="00EC62EB" w:rsidRPr="00610B1B">
        <w:rPr>
          <w:rFonts w:ascii="Times New Roman" w:eastAsia="TimesNewRomanPSMT" w:hAnsi="Times New Roman" w:cs="Times New Roman"/>
          <w:sz w:val="24"/>
          <w:szCs w:val="24"/>
          <w:lang w:val="bg-BG" w:bidi="bg-BG"/>
        </w:rPr>
        <w:t>.</w:t>
      </w:r>
    </w:p>
    <w:p w14:paraId="390E0152" w14:textId="21D6A9F9" w:rsidR="00DC481F" w:rsidRPr="00610B1B" w:rsidRDefault="00DC481F" w:rsidP="00D32D6A">
      <w:pPr>
        <w:spacing w:after="120"/>
        <w:ind w:right="-153"/>
        <w:jc w:val="both"/>
        <w:rPr>
          <w:rFonts w:ascii="Times New Roman" w:eastAsia="Times New Roman" w:hAnsi="Times New Roman" w:cs="Times New Roman"/>
          <w:color w:val="000000"/>
          <w:sz w:val="24"/>
          <w:szCs w:val="24"/>
          <w:lang w:val="bg-BG"/>
        </w:rPr>
      </w:pPr>
      <w:r w:rsidRPr="00610B1B">
        <w:rPr>
          <w:rFonts w:ascii="Times New Roman" w:eastAsia="Times New Roman" w:hAnsi="Times New Roman" w:cs="Times New Roman"/>
          <w:color w:val="000000"/>
          <w:sz w:val="24"/>
          <w:szCs w:val="24"/>
          <w:lang w:val="bg-BG"/>
        </w:rPr>
        <w:t>На този етап не е възможно да се предвидят всички възможности за развитие и ползване на националното морско пространство, за да се прецени тяхното въздействие в транс</w:t>
      </w:r>
      <w:r w:rsidR="00BA4E71" w:rsidRPr="00610B1B">
        <w:rPr>
          <w:rFonts w:ascii="Times New Roman" w:eastAsia="Times New Roman" w:hAnsi="Times New Roman" w:cs="Times New Roman"/>
          <w:color w:val="000000"/>
          <w:sz w:val="24"/>
          <w:szCs w:val="24"/>
          <w:lang w:val="bg-BG"/>
        </w:rPr>
        <w:t>граничен контекст, но потенциалът</w:t>
      </w:r>
      <w:r w:rsidRPr="00610B1B">
        <w:rPr>
          <w:rFonts w:ascii="Times New Roman" w:eastAsia="Times New Roman" w:hAnsi="Times New Roman" w:cs="Times New Roman"/>
          <w:color w:val="000000"/>
          <w:sz w:val="24"/>
          <w:szCs w:val="24"/>
          <w:lang w:val="bg-BG"/>
        </w:rPr>
        <w:t xml:space="preserve"> за подобни реализации, </w:t>
      </w:r>
      <w:r w:rsidR="002A61A4" w:rsidRPr="00610B1B">
        <w:rPr>
          <w:rFonts w:ascii="Times New Roman" w:eastAsia="Times New Roman" w:hAnsi="Times New Roman" w:cs="Times New Roman"/>
          <w:color w:val="000000"/>
          <w:sz w:val="24"/>
          <w:szCs w:val="24"/>
          <w:lang w:val="bg-BG"/>
        </w:rPr>
        <w:t>възможните конфликти и синергии са идентифицирани на най-ранен етап.</w:t>
      </w:r>
      <w:r w:rsidR="00D66FE0" w:rsidRPr="00610B1B">
        <w:rPr>
          <w:rFonts w:ascii="Times New Roman" w:eastAsia="Times New Roman" w:hAnsi="Times New Roman" w:cs="Times New Roman"/>
          <w:color w:val="000000"/>
          <w:sz w:val="24"/>
          <w:szCs w:val="24"/>
          <w:lang w:val="bg-BG"/>
        </w:rPr>
        <w:t xml:space="preserve"> </w:t>
      </w:r>
    </w:p>
    <w:p w14:paraId="128B8C82" w14:textId="632CF25B" w:rsidR="00D549FE" w:rsidRPr="00D549FE" w:rsidRDefault="00D549FE" w:rsidP="00D549FE">
      <w:pPr>
        <w:pStyle w:val="Heading2"/>
        <w:spacing w:before="0" w:line="276" w:lineRule="auto"/>
        <w:rPr>
          <w:rFonts w:cs="Times New Roman"/>
        </w:rPr>
      </w:pPr>
      <w:r w:rsidRPr="00D549FE">
        <w:rPr>
          <w:rFonts w:cs="Times New Roman"/>
        </w:rPr>
        <w:t xml:space="preserve">8.5. </w:t>
      </w:r>
      <w:r w:rsidRPr="00D549FE">
        <w:t>Мерки по изпълнение на изискванията на Екологичната оценка (ЕО) на МППРБ</w:t>
      </w:r>
    </w:p>
    <w:p w14:paraId="298BE93E" w14:textId="77777777" w:rsidR="00A517CD" w:rsidRPr="00E82066" w:rsidRDefault="00A517CD" w:rsidP="00A517CD">
      <w:pPr>
        <w:pStyle w:val="Heading1"/>
        <w:rPr>
          <w:rFonts w:cs="Times New Roman"/>
          <w:sz w:val="24"/>
          <w:szCs w:val="24"/>
        </w:rPr>
      </w:pPr>
      <w:bookmarkStart w:id="522" w:name="bookmark18"/>
      <w:r w:rsidRPr="00E82066">
        <w:rPr>
          <w:rFonts w:cs="Times New Roman"/>
          <w:sz w:val="24"/>
          <w:szCs w:val="24"/>
        </w:rPr>
        <w:t xml:space="preserve">I. Мерки и условия за предотвратяване, намаляване и възможно компенсиране на неблагоприятните последствия от осъществяването на МППРБ върху околната </w:t>
      </w:r>
      <w:r w:rsidRPr="00E82066">
        <w:rPr>
          <w:rFonts w:cs="Times New Roman"/>
          <w:sz w:val="24"/>
          <w:szCs w:val="24"/>
        </w:rPr>
        <w:lastRenderedPageBreak/>
        <w:t>среда и човешкото здраве</w:t>
      </w:r>
    </w:p>
    <w:p w14:paraId="777FC10B" w14:textId="77777777" w:rsidR="00A517CD" w:rsidRPr="00E82066" w:rsidRDefault="00A517CD" w:rsidP="00E82066">
      <w:pPr>
        <w:pStyle w:val="Heading1"/>
        <w:jc w:val="both"/>
        <w:rPr>
          <w:rFonts w:cs="Times New Roman"/>
          <w:sz w:val="24"/>
          <w:szCs w:val="24"/>
        </w:rPr>
      </w:pPr>
      <w:r w:rsidRPr="00E82066">
        <w:rPr>
          <w:rFonts w:cs="Times New Roman"/>
          <w:sz w:val="24"/>
          <w:szCs w:val="24"/>
        </w:rPr>
        <w:t>А. Общи мерки:</w:t>
      </w:r>
      <w:bookmarkEnd w:id="522"/>
    </w:p>
    <w:p w14:paraId="7B1DB4CF" w14:textId="77777777" w:rsidR="00A517CD" w:rsidRPr="00E82066" w:rsidRDefault="00A517CD" w:rsidP="00E82066">
      <w:pPr>
        <w:pStyle w:val="Heading1"/>
        <w:jc w:val="both"/>
        <w:rPr>
          <w:rFonts w:cs="Times New Roman"/>
          <w:sz w:val="24"/>
          <w:szCs w:val="24"/>
        </w:rPr>
      </w:pPr>
      <w:bookmarkStart w:id="523" w:name="_Hlk106719623"/>
      <w:r w:rsidRPr="00E82066">
        <w:rPr>
          <w:rFonts w:cs="Times New Roman"/>
          <w:sz w:val="24"/>
          <w:szCs w:val="24"/>
        </w:rPr>
        <w:t>1. Всички планове, програми, проекти, стратегии и инвестиционни предложения, произтичащи от проекта на МППРБ 2021-2035 г., попадащи в обхвата на приложенията към ЗООС и/или извън тях и попадащи в обхвата на чл. 31 от ЗБР се реализират след произнасяне на компетентния орган по околна среда.</w:t>
      </w:r>
    </w:p>
    <w:bookmarkEnd w:id="523"/>
    <w:p w14:paraId="3DAE661B" w14:textId="77777777" w:rsidR="00A517CD" w:rsidRPr="00E82066" w:rsidRDefault="00A517CD" w:rsidP="00E82066">
      <w:pPr>
        <w:pStyle w:val="Heading1"/>
        <w:jc w:val="both"/>
        <w:rPr>
          <w:rFonts w:cs="Times New Roman"/>
          <w:sz w:val="24"/>
          <w:szCs w:val="24"/>
        </w:rPr>
      </w:pPr>
      <w:r w:rsidRPr="00E82066">
        <w:rPr>
          <w:rFonts w:cs="Times New Roman"/>
          <w:sz w:val="24"/>
          <w:szCs w:val="24"/>
        </w:rPr>
        <w:t xml:space="preserve">2. По отношение на развитие на сектор рибарство и аквакултури да се отчитат нивата на приулов на екземпляри от видовете птици, тясно свързани с морска среда (среден корморан, средиземноморски буревестник, чайки и рибарки), което не се осъществява до момента. Мярката ще спомогне за изпълнение на България на международните договори, свързани с опазване на биологичното разнообразие в морските екосистеми, както и за мониторинга на средния (качулат) корморан </w:t>
      </w:r>
      <w:r w:rsidRPr="00A517CD">
        <w:rPr>
          <w:rStyle w:val="Bodytext2Italic"/>
          <w:rFonts w:eastAsia="Courier New"/>
        </w:rPr>
        <w:t>(</w:t>
      </w:r>
      <w:r w:rsidRPr="00A517CD">
        <w:rPr>
          <w:rStyle w:val="Bodytext2Italic"/>
          <w:rFonts w:eastAsia="Courier New"/>
          <w:lang w:eastAsia="en-US" w:bidi="en-US"/>
        </w:rPr>
        <w:t>Phalacrocorax aristotelis)</w:t>
      </w:r>
      <w:r w:rsidRPr="00E82066">
        <w:rPr>
          <w:rFonts w:cs="Times New Roman"/>
          <w:sz w:val="24"/>
          <w:szCs w:val="24"/>
          <w:lang w:eastAsia="en-US" w:bidi="en-US"/>
        </w:rPr>
        <w:t xml:space="preserve"> </w:t>
      </w:r>
      <w:r w:rsidRPr="00E82066">
        <w:rPr>
          <w:rFonts w:cs="Times New Roman"/>
          <w:sz w:val="24"/>
          <w:szCs w:val="24"/>
        </w:rPr>
        <w:t xml:space="preserve">и средиземноморския буревестник </w:t>
      </w:r>
      <w:r w:rsidRPr="00A517CD">
        <w:rPr>
          <w:rStyle w:val="Bodytext2Italic"/>
          <w:rFonts w:eastAsia="Courier New"/>
        </w:rPr>
        <w:t>(</w:t>
      </w:r>
      <w:r w:rsidRPr="00A517CD">
        <w:rPr>
          <w:rStyle w:val="Bodytext2Italic"/>
          <w:rFonts w:eastAsia="Courier New"/>
          <w:lang w:eastAsia="en-US" w:bidi="en-US"/>
        </w:rPr>
        <w:t>Puffinus yelkouari),</w:t>
      </w:r>
      <w:r w:rsidRPr="00E82066">
        <w:rPr>
          <w:rFonts w:cs="Times New Roman"/>
          <w:sz w:val="24"/>
          <w:szCs w:val="24"/>
          <w:lang w:eastAsia="en-US" w:bidi="en-US"/>
        </w:rPr>
        <w:t xml:space="preserve"> </w:t>
      </w:r>
      <w:r w:rsidRPr="00E82066">
        <w:rPr>
          <w:rFonts w:cs="Times New Roman"/>
          <w:sz w:val="24"/>
          <w:szCs w:val="24"/>
        </w:rPr>
        <w:t xml:space="preserve">които са индикатори по Дескриптор </w:t>
      </w:r>
      <w:r w:rsidRPr="00A517CD">
        <w:rPr>
          <w:rStyle w:val="Bodytext2Spacing1pt"/>
          <w:rFonts w:eastAsia="Courier New"/>
        </w:rPr>
        <w:t>1,4-</w:t>
      </w:r>
      <w:r w:rsidRPr="00E82066">
        <w:rPr>
          <w:rFonts w:cs="Times New Roman"/>
          <w:sz w:val="24"/>
          <w:szCs w:val="24"/>
        </w:rPr>
        <w:t>Морски птици към Рамковата директива за морска стратегия (РДМС).</w:t>
      </w:r>
    </w:p>
    <w:p w14:paraId="668FEBDA" w14:textId="77777777" w:rsidR="00A517CD" w:rsidRPr="00E82066" w:rsidRDefault="00A517CD" w:rsidP="00E82066">
      <w:pPr>
        <w:pStyle w:val="Heading1"/>
        <w:jc w:val="both"/>
        <w:rPr>
          <w:rFonts w:cs="Times New Roman"/>
          <w:sz w:val="24"/>
          <w:szCs w:val="24"/>
        </w:rPr>
      </w:pPr>
      <w:r w:rsidRPr="00E82066">
        <w:rPr>
          <w:rFonts w:cs="Times New Roman"/>
          <w:sz w:val="24"/>
          <w:szCs w:val="24"/>
        </w:rPr>
        <w:t>3. По отношение на развитие на сектор рибарство и аквакултури да се предвиди възможност за временно и динамично обособяване на зони забранени за риболов. Това представлява утвърдена световна практика, която въвежда временни и териториално базирани забрани за всеки тип риболов за целите на възстановяване на запасите и временна защита на определени територии (напр. за хвърляне на хайвер). Мярката има силно положително въздействие върху хабитати и биоразнообразие, а не само върху рибните запаси. За целите на прилагане на мярката да се предвиди създаване на междуведомствена работна група между МОСВ, Министерство на земеделието, Изпълнителна агенция по рибарство и аквакултури (ИАРА), Институт по рибни ресурси (ИРР), Институт по океанология-БАН и други заинтересовани страни.</w:t>
      </w:r>
    </w:p>
    <w:p w14:paraId="3A58066D" w14:textId="77777777" w:rsidR="00A517CD" w:rsidRPr="00E82066" w:rsidRDefault="00A517CD" w:rsidP="00E82066">
      <w:pPr>
        <w:pStyle w:val="Heading1"/>
        <w:jc w:val="both"/>
        <w:rPr>
          <w:rFonts w:cs="Times New Roman"/>
          <w:sz w:val="24"/>
          <w:szCs w:val="24"/>
        </w:rPr>
      </w:pPr>
      <w:r w:rsidRPr="00E82066">
        <w:rPr>
          <w:rFonts w:cs="Times New Roman"/>
          <w:sz w:val="24"/>
          <w:szCs w:val="24"/>
        </w:rPr>
        <w:t>5. При реализиране на проекти/проектни предложения по МППРБ да се предвиди съобразяване със съществуващото национално законодателство по отношение на инвазивни чужди видове и неместни видове.</w:t>
      </w:r>
    </w:p>
    <w:p w14:paraId="5DFB6394" w14:textId="77777777" w:rsidR="00A517CD" w:rsidRPr="00E82066" w:rsidRDefault="00A517CD" w:rsidP="00E82066">
      <w:pPr>
        <w:pStyle w:val="Heading1"/>
        <w:jc w:val="both"/>
        <w:rPr>
          <w:rFonts w:cs="Times New Roman"/>
          <w:sz w:val="24"/>
          <w:szCs w:val="24"/>
        </w:rPr>
      </w:pPr>
      <w:r w:rsidRPr="00E82066">
        <w:rPr>
          <w:rFonts w:cs="Times New Roman"/>
          <w:sz w:val="24"/>
          <w:szCs w:val="24"/>
        </w:rPr>
        <w:t>6. Предложения/дейности/проекти на територията на целия МППРБ, които генерират подводен шум трябва да демонстрират, че могат да избегнат, минимизират, и/или смекчат значително неблагоприятния ефект върху уязвимите видове китоподобни. Подводният шум може да засегне китоподобните и други силно мобилни видове, като причини хроничен стрес и смърт при по-висока интензивност.</w:t>
      </w:r>
    </w:p>
    <w:p w14:paraId="102818C2" w14:textId="77777777" w:rsidR="00A517CD" w:rsidRPr="00E82066" w:rsidRDefault="00A517CD" w:rsidP="00E82066">
      <w:pPr>
        <w:pStyle w:val="Heading1"/>
        <w:jc w:val="both"/>
        <w:rPr>
          <w:rFonts w:cs="Times New Roman"/>
          <w:sz w:val="24"/>
          <w:szCs w:val="24"/>
        </w:rPr>
      </w:pPr>
      <w:r w:rsidRPr="00E82066">
        <w:rPr>
          <w:rFonts w:cs="Times New Roman"/>
          <w:sz w:val="24"/>
          <w:szCs w:val="24"/>
        </w:rPr>
        <w:t>7. Да се разработи стратегия/методика за управление на драгажните извършване на дейности по драгиране и депониране във водни обекти, като предвид наличните добри практики.</w:t>
      </w:r>
    </w:p>
    <w:p w14:paraId="6D4A84D8" w14:textId="77777777" w:rsidR="00A517CD" w:rsidRPr="00E82066" w:rsidRDefault="00A517CD" w:rsidP="00E82066">
      <w:pPr>
        <w:pStyle w:val="Heading1"/>
        <w:jc w:val="both"/>
        <w:rPr>
          <w:rFonts w:cs="Times New Roman"/>
          <w:sz w:val="24"/>
          <w:szCs w:val="24"/>
        </w:rPr>
      </w:pPr>
    </w:p>
    <w:p w14:paraId="5ED73F6A" w14:textId="77777777" w:rsidR="00A517CD" w:rsidRPr="00E82066" w:rsidRDefault="00A517CD" w:rsidP="00E82066">
      <w:pPr>
        <w:pStyle w:val="Heading1"/>
        <w:jc w:val="both"/>
        <w:rPr>
          <w:rFonts w:cs="Times New Roman"/>
          <w:sz w:val="24"/>
          <w:szCs w:val="24"/>
        </w:rPr>
      </w:pPr>
      <w:r w:rsidRPr="00E82066">
        <w:rPr>
          <w:rFonts w:cs="Times New Roman"/>
          <w:sz w:val="24"/>
          <w:szCs w:val="24"/>
        </w:rPr>
        <w:t xml:space="preserve">Б. Конкретни смекчаващи мерки за включване в окончателния МППРБ, предвидени за предотвратяване, намаляване и възможно отстраняване на неблагоприятните </w:t>
      </w:r>
      <w:r w:rsidRPr="00E82066">
        <w:rPr>
          <w:rFonts w:cs="Times New Roman"/>
          <w:sz w:val="24"/>
          <w:szCs w:val="24"/>
        </w:rPr>
        <w:lastRenderedPageBreak/>
        <w:t>въздействия върху защитените зони</w:t>
      </w:r>
    </w:p>
    <w:p w14:paraId="02A8A38C" w14:textId="77777777" w:rsidR="00A517CD" w:rsidRPr="00E82066" w:rsidRDefault="00A517CD" w:rsidP="00E82066">
      <w:pPr>
        <w:pStyle w:val="Heading1"/>
        <w:jc w:val="both"/>
        <w:rPr>
          <w:rFonts w:cs="Times New Roman"/>
          <w:sz w:val="24"/>
          <w:szCs w:val="24"/>
        </w:rPr>
      </w:pPr>
      <w:r w:rsidRPr="00E82066">
        <w:rPr>
          <w:rFonts w:cs="Times New Roman"/>
          <w:sz w:val="24"/>
          <w:szCs w:val="24"/>
        </w:rPr>
        <w:t>1. С цел повишаване информираността на населението за предмета и целите на опазване в защитените зони от мрежата Натура 2000 да се поставят информационни табла, относно опазвани местообитания и видове; забрани и ограничения за дейности, които оказват отрицателни въздействия върху тях и предвидени законови санкции за нарушения.</w:t>
      </w:r>
    </w:p>
    <w:p w14:paraId="1A96E3C4" w14:textId="77777777" w:rsidR="00A517CD" w:rsidRPr="00E82066" w:rsidRDefault="00A517CD" w:rsidP="00E82066">
      <w:pPr>
        <w:pStyle w:val="Heading1"/>
        <w:jc w:val="both"/>
        <w:rPr>
          <w:rFonts w:cs="Times New Roman"/>
          <w:sz w:val="24"/>
          <w:szCs w:val="24"/>
        </w:rPr>
      </w:pPr>
      <w:r w:rsidRPr="00E82066">
        <w:rPr>
          <w:rFonts w:cs="Times New Roman"/>
          <w:sz w:val="24"/>
          <w:szCs w:val="24"/>
        </w:rPr>
        <w:t>2. С цел предотвратяване на прекомерен риболовен натиск и регулируемостта му, да не се увеличава риболовното усилие и да се прилагат добри практики за предотвратяване изхвърлянето на неоползотворен улов и намаляване на приулова от карагьоз и харип.</w:t>
      </w:r>
    </w:p>
    <w:p w14:paraId="29AC88A2" w14:textId="77777777" w:rsidR="00A517CD" w:rsidRPr="00E82066" w:rsidRDefault="00A517CD" w:rsidP="00E82066">
      <w:pPr>
        <w:pStyle w:val="Heading1"/>
        <w:jc w:val="both"/>
        <w:rPr>
          <w:rFonts w:cs="Times New Roman"/>
          <w:sz w:val="24"/>
          <w:szCs w:val="24"/>
        </w:rPr>
      </w:pPr>
      <w:r w:rsidRPr="00E82066">
        <w:rPr>
          <w:rFonts w:cs="Times New Roman"/>
          <w:sz w:val="24"/>
          <w:szCs w:val="24"/>
        </w:rPr>
        <w:t>3. През периода март-април, когато карагьозът (Alosa immacilata) и харипът (малък карагьоз, резовски карагьоз) {Alosa tanaica=Alosa caspia nordmanni) се появяват в българските крайбрежни морски води, да се сведе до минимум драгирането депонирането на драгажни маси в крайбрежната морска зона. Това ще намаляване на замърсяването на водата, безпокойството на рибите и влошаване на трофичните условия през периода на интензивното им хранене, преди началото на размножителната миграция.</w:t>
      </w:r>
    </w:p>
    <w:p w14:paraId="5B0282B2" w14:textId="77777777" w:rsidR="00A517CD" w:rsidRPr="00E82066" w:rsidRDefault="00A517CD" w:rsidP="00E82066">
      <w:pPr>
        <w:pStyle w:val="Heading1"/>
        <w:jc w:val="both"/>
        <w:rPr>
          <w:rFonts w:cs="Times New Roman"/>
          <w:sz w:val="24"/>
          <w:szCs w:val="24"/>
        </w:rPr>
      </w:pPr>
      <w:r w:rsidRPr="00E82066">
        <w:rPr>
          <w:rFonts w:cs="Times New Roman"/>
          <w:sz w:val="24"/>
          <w:szCs w:val="24"/>
        </w:rPr>
        <w:t>4. С цел предотвратяване влошаването на състоянието на местообитанията и на рибните популации, да се извършва регулярен мониторинг на морската среда и на състоянието на популациите на целевите видове риби в крайбрежната морска зона.</w:t>
      </w:r>
    </w:p>
    <w:p w14:paraId="0A5CCA53" w14:textId="77777777" w:rsidR="00A517CD" w:rsidRPr="00E82066" w:rsidRDefault="00A517CD" w:rsidP="00E82066">
      <w:pPr>
        <w:pStyle w:val="Heading1"/>
        <w:jc w:val="both"/>
        <w:rPr>
          <w:rFonts w:cs="Times New Roman"/>
          <w:sz w:val="24"/>
          <w:szCs w:val="24"/>
        </w:rPr>
      </w:pPr>
      <w:r w:rsidRPr="00E82066">
        <w:rPr>
          <w:rFonts w:cs="Times New Roman"/>
          <w:sz w:val="24"/>
          <w:szCs w:val="24"/>
        </w:rPr>
        <w:t>5. С цел подобряване на природозащитното състояние на морските бозайници, да се сведе до минимум приулов на китоподобни в даляни и мрежи, които не са снабдени с пингъри (ултразвукови устройства, прогонващи делфини).</w:t>
      </w:r>
    </w:p>
    <w:p w14:paraId="24CA7598" w14:textId="77777777" w:rsidR="00A517CD" w:rsidRPr="00E82066" w:rsidRDefault="00A517CD" w:rsidP="00E82066">
      <w:pPr>
        <w:pStyle w:val="Heading1"/>
        <w:jc w:val="both"/>
        <w:rPr>
          <w:rFonts w:cs="Times New Roman"/>
          <w:sz w:val="24"/>
          <w:szCs w:val="24"/>
        </w:rPr>
      </w:pPr>
      <w:r w:rsidRPr="00E82066">
        <w:rPr>
          <w:rFonts w:cs="Times New Roman"/>
          <w:sz w:val="24"/>
          <w:szCs w:val="24"/>
        </w:rPr>
        <w:t>6. С цел намаляване на безпокойството на видовете в морска среда, включително птици, да се ограничи генерирането на подводен шум.</w:t>
      </w:r>
    </w:p>
    <w:p w14:paraId="060E1ED7" w14:textId="77777777" w:rsidR="00A517CD" w:rsidRPr="00E82066" w:rsidRDefault="00A517CD" w:rsidP="00E82066">
      <w:pPr>
        <w:pStyle w:val="Heading1"/>
        <w:jc w:val="both"/>
        <w:rPr>
          <w:rFonts w:cs="Times New Roman"/>
          <w:sz w:val="24"/>
          <w:szCs w:val="24"/>
        </w:rPr>
      </w:pPr>
      <w:r w:rsidRPr="00E82066">
        <w:rPr>
          <w:rFonts w:cs="Times New Roman"/>
          <w:sz w:val="24"/>
          <w:szCs w:val="24"/>
        </w:rPr>
        <w:t>7. Ограничаване източниците на замърсяване на морската среда от човешки дейности и морски трафик в крайбрежната зона, включително и еутрофикация.</w:t>
      </w:r>
    </w:p>
    <w:p w14:paraId="66C1D0AE" w14:textId="77777777" w:rsidR="00A517CD" w:rsidRPr="00E82066" w:rsidRDefault="00A517CD" w:rsidP="00E82066">
      <w:pPr>
        <w:pStyle w:val="Heading1"/>
        <w:jc w:val="both"/>
        <w:rPr>
          <w:rFonts w:cs="Times New Roman"/>
          <w:sz w:val="24"/>
          <w:szCs w:val="24"/>
        </w:rPr>
      </w:pPr>
      <w:r w:rsidRPr="00E82066">
        <w:rPr>
          <w:rFonts w:cs="Times New Roman"/>
          <w:sz w:val="24"/>
          <w:szCs w:val="24"/>
        </w:rPr>
        <w:t>8. Разработване на национален План за опазване на Средиземноморски буревестник и на Планове за управление на местата от голямо значение за вида и редовен мониторинг, устойчиво ползване на рибните ресурси на Черно море, запазване на скалистите участъци по крайбрежието, което ще подпомогне опазването на вида.</w:t>
      </w:r>
    </w:p>
    <w:p w14:paraId="346F945B" w14:textId="2CE19B8A" w:rsidR="00A517CD" w:rsidRPr="00E82066" w:rsidRDefault="00A517CD" w:rsidP="00E82066">
      <w:pPr>
        <w:pStyle w:val="Heading1"/>
        <w:jc w:val="both"/>
        <w:rPr>
          <w:rFonts w:cs="Times New Roman"/>
          <w:sz w:val="24"/>
          <w:szCs w:val="24"/>
        </w:rPr>
      </w:pPr>
      <w:r w:rsidRPr="00E82066">
        <w:rPr>
          <w:rFonts w:cs="Times New Roman"/>
          <w:sz w:val="24"/>
          <w:szCs w:val="24"/>
        </w:rPr>
        <w:t>9. С цел опазване на вида среден корморан, да бъдат ограничени потенциалните заплахи от строителството и индустриалната дейност по брега, да се</w:t>
      </w:r>
      <w:r w:rsidR="003D57FE">
        <w:rPr>
          <w:rFonts w:cs="Times New Roman"/>
          <w:sz w:val="24"/>
          <w:szCs w:val="24"/>
        </w:rPr>
        <w:t xml:space="preserve"> регулират</w:t>
      </w:r>
      <w:r w:rsidRPr="00E82066">
        <w:rPr>
          <w:rFonts w:cs="Times New Roman"/>
          <w:sz w:val="24"/>
          <w:szCs w:val="24"/>
        </w:rPr>
        <w:t xml:space="preserve"> риболовните дейности, да се въведат забрани за водни спортове в бързоподвижни джетове в близост до колониите на вида. Необходимо е да бъдат предприети мерки за ограничаване безпокойството на гнездящи корморани през размножителния период, както и да бъдат информирани посетителите.</w:t>
      </w:r>
    </w:p>
    <w:p w14:paraId="379B252D" w14:textId="77777777" w:rsidR="00A517CD" w:rsidRPr="00E82066" w:rsidRDefault="00A517CD" w:rsidP="00E82066">
      <w:pPr>
        <w:pStyle w:val="Heading1"/>
        <w:jc w:val="both"/>
        <w:rPr>
          <w:rFonts w:cs="Times New Roman"/>
          <w:sz w:val="24"/>
          <w:szCs w:val="24"/>
        </w:rPr>
      </w:pPr>
      <w:r w:rsidRPr="00E82066">
        <w:rPr>
          <w:rFonts w:cs="Times New Roman"/>
          <w:sz w:val="24"/>
          <w:szCs w:val="24"/>
        </w:rPr>
        <w:t xml:space="preserve">10. Препоръчително е да се извършва мониторинг на двата целеви вида морски птици минимум три пъти годишно в периода април - юни, е цел проследяване тенденциите в популациите, както и евентуалните промени в поведението им и промените в </w:t>
      </w:r>
      <w:r w:rsidRPr="00E82066">
        <w:rPr>
          <w:rFonts w:cs="Times New Roman"/>
          <w:sz w:val="24"/>
          <w:szCs w:val="24"/>
        </w:rPr>
        <w:lastRenderedPageBreak/>
        <w:t>местообитанията.</w:t>
      </w:r>
    </w:p>
    <w:p w14:paraId="55EDF913" w14:textId="1176C1A6" w:rsidR="00A517CD" w:rsidRPr="00E82066" w:rsidRDefault="00A517CD" w:rsidP="00E82066">
      <w:pPr>
        <w:pStyle w:val="Heading1"/>
        <w:jc w:val="both"/>
        <w:rPr>
          <w:rFonts w:cs="Times New Roman"/>
          <w:sz w:val="24"/>
          <w:szCs w:val="24"/>
        </w:rPr>
      </w:pPr>
      <w:r w:rsidRPr="00E82066">
        <w:rPr>
          <w:rFonts w:cs="Times New Roman"/>
          <w:sz w:val="24"/>
          <w:szCs w:val="24"/>
        </w:rPr>
        <w:t xml:space="preserve">11. Да се посочат подходящите акватории, необходими за изпълнение на целите на Стратегията на ЕС за биологично разнообразие за 2030 г. и по-специално: Да се предостави правна защита на най-малко 30% от морските басейни на ЕС и да се осигури интегриране на екологичните коридори в рамките на ефективно действаща трансевропейска мрежа за защита на природата; Да се въведат мерки за строга защита на най-малко една трета от защитените зони, които представляват 10% от морските басейни на ЕС. При определяне на подходящите акватории да се изберат приоритетно богатите на въглерод екосистеми и на зоните, които са важни за хвърляне на хайвер и размножаване. </w:t>
      </w:r>
    </w:p>
    <w:p w14:paraId="257943EB" w14:textId="77777777" w:rsidR="00A517CD" w:rsidRPr="00E82066" w:rsidRDefault="00A517CD" w:rsidP="00E82066">
      <w:pPr>
        <w:pStyle w:val="Heading1"/>
        <w:jc w:val="both"/>
        <w:rPr>
          <w:rFonts w:cs="Times New Roman"/>
          <w:sz w:val="24"/>
          <w:szCs w:val="24"/>
        </w:rPr>
      </w:pPr>
      <w:r w:rsidRPr="00E82066">
        <w:rPr>
          <w:rFonts w:cs="Times New Roman"/>
          <w:sz w:val="24"/>
          <w:szCs w:val="24"/>
        </w:rPr>
        <w:t>12. В картния материал на МПП да се отразят точките на заустване в морската акватория.</w:t>
      </w:r>
    </w:p>
    <w:p w14:paraId="382F4512" w14:textId="77777777" w:rsidR="00A517CD" w:rsidRPr="00E82066" w:rsidRDefault="00A517CD" w:rsidP="00E82066">
      <w:pPr>
        <w:pStyle w:val="Heading1"/>
        <w:jc w:val="both"/>
        <w:rPr>
          <w:rFonts w:cs="Times New Roman"/>
          <w:sz w:val="24"/>
          <w:szCs w:val="24"/>
        </w:rPr>
      </w:pPr>
      <w:r w:rsidRPr="00E82066">
        <w:rPr>
          <w:rFonts w:cs="Times New Roman"/>
          <w:sz w:val="24"/>
          <w:szCs w:val="24"/>
        </w:rPr>
        <w:t>13. От картния материал на МПП да отпаднат проекти, които не са подлагани на процедури по ЗООС и ЗБР.</w:t>
      </w:r>
    </w:p>
    <w:p w14:paraId="08798DF2" w14:textId="77777777" w:rsidR="00A517CD" w:rsidRPr="00E82066" w:rsidRDefault="00A517CD" w:rsidP="00E82066">
      <w:pPr>
        <w:pStyle w:val="Heading1"/>
        <w:jc w:val="both"/>
        <w:rPr>
          <w:rFonts w:cs="Times New Roman"/>
          <w:sz w:val="24"/>
          <w:szCs w:val="24"/>
        </w:rPr>
      </w:pPr>
    </w:p>
    <w:p w14:paraId="3A473E8D" w14:textId="77777777" w:rsidR="00A517CD" w:rsidRPr="00E82066" w:rsidRDefault="00A517CD" w:rsidP="00E82066">
      <w:pPr>
        <w:pStyle w:val="Heading1"/>
        <w:jc w:val="both"/>
        <w:rPr>
          <w:rFonts w:cs="Times New Roman"/>
          <w:sz w:val="24"/>
          <w:szCs w:val="24"/>
        </w:rPr>
      </w:pPr>
      <w:r w:rsidRPr="00E82066">
        <w:rPr>
          <w:rFonts w:cs="Times New Roman"/>
          <w:sz w:val="24"/>
          <w:szCs w:val="24"/>
        </w:rPr>
        <w:t>В. Мерки за изпълнение при прилагане на МППРБ:</w:t>
      </w:r>
    </w:p>
    <w:p w14:paraId="5A37858E" w14:textId="77777777" w:rsidR="00A517CD" w:rsidRPr="00E82066" w:rsidRDefault="00A517CD" w:rsidP="00E82066">
      <w:pPr>
        <w:pStyle w:val="Heading1"/>
        <w:jc w:val="both"/>
        <w:rPr>
          <w:rFonts w:cs="Times New Roman"/>
          <w:sz w:val="24"/>
          <w:szCs w:val="24"/>
        </w:rPr>
      </w:pPr>
      <w:r w:rsidRPr="00E82066">
        <w:rPr>
          <w:rFonts w:cs="Times New Roman"/>
          <w:sz w:val="24"/>
          <w:szCs w:val="24"/>
        </w:rPr>
        <w:t>1. Да се развие системата за регулярен метеорологичен мониторинг за акваторията на българския черноморски участък.</w:t>
      </w:r>
    </w:p>
    <w:p w14:paraId="1F0B8CBA" w14:textId="77777777" w:rsidR="00A517CD" w:rsidRPr="00E82066" w:rsidRDefault="00A517CD" w:rsidP="00E82066">
      <w:pPr>
        <w:pStyle w:val="Heading1"/>
        <w:jc w:val="both"/>
        <w:rPr>
          <w:rFonts w:cs="Times New Roman"/>
          <w:sz w:val="24"/>
          <w:szCs w:val="24"/>
        </w:rPr>
      </w:pPr>
      <w:r w:rsidRPr="00E82066">
        <w:rPr>
          <w:rFonts w:cs="Times New Roman"/>
          <w:sz w:val="24"/>
          <w:szCs w:val="24"/>
        </w:rPr>
        <w:t>2. Да се извършват хидродинамични моделни изследвания при проектиране на дълбоководно заустване.</w:t>
      </w:r>
    </w:p>
    <w:p w14:paraId="192283E1" w14:textId="75E24E1E" w:rsidR="00A517CD" w:rsidRPr="00133B13" w:rsidRDefault="00A517CD" w:rsidP="00E82066">
      <w:pPr>
        <w:pStyle w:val="Heading1"/>
        <w:jc w:val="both"/>
        <w:rPr>
          <w:rFonts w:cs="Times New Roman"/>
          <w:sz w:val="24"/>
          <w:szCs w:val="24"/>
        </w:rPr>
      </w:pPr>
      <w:r w:rsidRPr="00E82066">
        <w:rPr>
          <w:rFonts w:cs="Times New Roman"/>
          <w:sz w:val="24"/>
          <w:szCs w:val="24"/>
        </w:rPr>
        <w:t>3. Осъвременяване на системата за управление на корабните отпадъци</w:t>
      </w:r>
      <w:r w:rsidR="00E31502">
        <w:rPr>
          <w:rFonts w:cs="Times New Roman"/>
          <w:sz w:val="24"/>
          <w:szCs w:val="24"/>
        </w:rPr>
        <w:t xml:space="preserve"> и баластни</w:t>
      </w:r>
      <w:r w:rsidRPr="00133B13">
        <w:rPr>
          <w:rFonts w:cs="Times New Roman"/>
          <w:sz w:val="24"/>
          <w:szCs w:val="24"/>
        </w:rPr>
        <w:t xml:space="preserve"> води на пристанища Варна и Бургас като се разработи и внедри единна електронна база данни.</w:t>
      </w:r>
    </w:p>
    <w:p w14:paraId="5C2A0D14" w14:textId="402BC0A2" w:rsidR="00A517CD" w:rsidRPr="00E82066" w:rsidRDefault="00A517CD" w:rsidP="00E82066">
      <w:pPr>
        <w:pStyle w:val="Heading1"/>
        <w:jc w:val="both"/>
        <w:rPr>
          <w:rFonts w:cs="Times New Roman"/>
          <w:sz w:val="24"/>
          <w:szCs w:val="24"/>
        </w:rPr>
      </w:pPr>
      <w:r w:rsidRPr="00133B13">
        <w:rPr>
          <w:rFonts w:cs="Times New Roman"/>
          <w:sz w:val="24"/>
          <w:szCs w:val="24"/>
        </w:rPr>
        <w:t>4. Да се предприемат необходимите действия за осигуряване на</w:t>
      </w:r>
      <w:r w:rsidR="00E31502">
        <w:rPr>
          <w:rFonts w:cs="Times New Roman"/>
          <w:sz w:val="24"/>
          <w:szCs w:val="24"/>
        </w:rPr>
        <w:t xml:space="preserve"> спасителни</w:t>
      </w:r>
      <w:r w:rsidRPr="00E82066">
        <w:rPr>
          <w:rFonts w:cs="Times New Roman"/>
          <w:sz w:val="24"/>
          <w:szCs w:val="24"/>
        </w:rPr>
        <w:t xml:space="preserve"> операции от българска страна в българското черноморско крайбрежие и в открито море чрез оборудване със спасителни плавателни съдове и кадри.</w:t>
      </w:r>
    </w:p>
    <w:p w14:paraId="544496E6" w14:textId="77777777" w:rsidR="00A517CD" w:rsidRPr="00E82066" w:rsidRDefault="00A517CD" w:rsidP="00E82066">
      <w:pPr>
        <w:pStyle w:val="Heading1"/>
        <w:jc w:val="both"/>
        <w:rPr>
          <w:rFonts w:cs="Times New Roman"/>
          <w:sz w:val="24"/>
          <w:szCs w:val="24"/>
        </w:rPr>
      </w:pPr>
    </w:p>
    <w:p w14:paraId="665DDF34" w14:textId="77777777" w:rsidR="00A517CD" w:rsidRPr="00E82066" w:rsidRDefault="00A517CD" w:rsidP="00E82066">
      <w:pPr>
        <w:pStyle w:val="Heading1"/>
        <w:jc w:val="both"/>
        <w:rPr>
          <w:rFonts w:cs="Times New Roman"/>
          <w:sz w:val="24"/>
          <w:szCs w:val="24"/>
        </w:rPr>
      </w:pPr>
      <w:r w:rsidRPr="00E82066">
        <w:rPr>
          <w:rFonts w:cs="Times New Roman"/>
          <w:sz w:val="24"/>
          <w:szCs w:val="24"/>
        </w:rPr>
        <w:t>II. Мерки за наблюдение и контрол при прилагане на МППРБ:</w:t>
      </w:r>
    </w:p>
    <w:p w14:paraId="3A48AC13" w14:textId="77777777" w:rsidR="00A517CD" w:rsidRPr="00E82066" w:rsidRDefault="00A517CD" w:rsidP="00E82066">
      <w:pPr>
        <w:pStyle w:val="Heading1"/>
        <w:jc w:val="both"/>
        <w:rPr>
          <w:rFonts w:cs="Times New Roman"/>
          <w:sz w:val="24"/>
          <w:szCs w:val="24"/>
        </w:rPr>
      </w:pPr>
      <w:r w:rsidRPr="00E82066">
        <w:rPr>
          <w:rFonts w:cs="Times New Roman"/>
          <w:sz w:val="24"/>
          <w:szCs w:val="24"/>
        </w:rPr>
        <w:t xml:space="preserve">1. На всеки </w:t>
      </w:r>
      <w:r w:rsidRPr="00E82066">
        <w:rPr>
          <w:rFonts w:cs="Times New Roman"/>
          <w:sz w:val="24"/>
          <w:szCs w:val="24"/>
          <w:u w:val="single"/>
        </w:rPr>
        <w:t>две години</w:t>
      </w:r>
      <w:r w:rsidRPr="00E82066">
        <w:rPr>
          <w:rFonts w:cs="Times New Roman"/>
          <w:sz w:val="24"/>
          <w:szCs w:val="24"/>
        </w:rPr>
        <w:t xml:space="preserve"> от прилагането на плана, възложителят да изготвя доклади по наблюдението и контрола на въздействието върху околната среда при прилагането на МППРБ, включително на мерките за предотвратяване, намаляване или отстраняване на последиците от възникнали неблагоприятни последствия от осъществяването на плана. Изготвените доклади да се предоставят в Министерство на околната среда и водите за одобряване.</w:t>
      </w:r>
    </w:p>
    <w:p w14:paraId="10FE3B1C" w14:textId="77777777" w:rsidR="00A517CD" w:rsidRPr="00E82066" w:rsidRDefault="00A517CD" w:rsidP="00E82066">
      <w:pPr>
        <w:pStyle w:val="Heading1"/>
        <w:jc w:val="both"/>
        <w:rPr>
          <w:rFonts w:cs="Times New Roman"/>
          <w:sz w:val="24"/>
          <w:szCs w:val="24"/>
        </w:rPr>
      </w:pPr>
      <w:r w:rsidRPr="00E82066">
        <w:rPr>
          <w:rFonts w:cs="Times New Roman"/>
          <w:sz w:val="24"/>
          <w:szCs w:val="24"/>
        </w:rPr>
        <w:t>2. Наблюдението и контролът на въздействията върху околната среда при прилагането на МППРБ да се извършват въз основа на следните мерки и индикатори:</w:t>
      </w:r>
    </w:p>
    <w:tbl>
      <w:tblPr>
        <w:tblStyle w:val="TableGrid"/>
        <w:tblW w:w="9793" w:type="dxa"/>
        <w:tblLook w:val="04A0" w:firstRow="1" w:lastRow="0" w:firstColumn="1" w:lastColumn="0" w:noHBand="0" w:noVBand="1"/>
      </w:tblPr>
      <w:tblGrid>
        <w:gridCol w:w="3119"/>
        <w:gridCol w:w="2476"/>
        <w:gridCol w:w="1779"/>
        <w:gridCol w:w="2419"/>
      </w:tblGrid>
      <w:tr w:rsidR="00A517CD" w:rsidRPr="00215C86" w14:paraId="7010C255" w14:textId="77777777" w:rsidTr="003D57FE">
        <w:tc>
          <w:tcPr>
            <w:tcW w:w="3123" w:type="dxa"/>
          </w:tcPr>
          <w:p w14:paraId="042E4B5C" w14:textId="77777777" w:rsidR="00A517CD" w:rsidRPr="00E82066" w:rsidRDefault="00A517CD" w:rsidP="003D57FE">
            <w:pPr>
              <w:pStyle w:val="Bodytext22"/>
              <w:shd w:val="clear" w:color="auto" w:fill="auto"/>
              <w:tabs>
                <w:tab w:val="left" w:pos="998"/>
              </w:tabs>
              <w:spacing w:before="0" w:after="0" w:line="277" w:lineRule="exact"/>
              <w:ind w:right="500" w:firstLine="0"/>
              <w:rPr>
                <w:sz w:val="24"/>
                <w:szCs w:val="24"/>
                <w:lang w:val="bg-BG"/>
              </w:rPr>
            </w:pPr>
            <w:r w:rsidRPr="00A517CD">
              <w:rPr>
                <w:rStyle w:val="Bodytext2Bold"/>
              </w:rPr>
              <w:t>Мярка за наблюдение и контрол</w:t>
            </w:r>
          </w:p>
        </w:tc>
        <w:tc>
          <w:tcPr>
            <w:tcW w:w="2472" w:type="dxa"/>
          </w:tcPr>
          <w:p w14:paraId="7F0DC602" w14:textId="77777777" w:rsidR="00A517CD" w:rsidRPr="00E82066" w:rsidRDefault="00A517CD" w:rsidP="003D57FE">
            <w:pPr>
              <w:pStyle w:val="Bodytext22"/>
              <w:shd w:val="clear" w:color="auto" w:fill="auto"/>
              <w:tabs>
                <w:tab w:val="left" w:pos="998"/>
              </w:tabs>
              <w:spacing w:before="0" w:after="0" w:line="277" w:lineRule="exact"/>
              <w:ind w:right="500" w:firstLine="0"/>
              <w:rPr>
                <w:sz w:val="24"/>
                <w:szCs w:val="24"/>
                <w:lang w:val="bg-BG"/>
              </w:rPr>
            </w:pPr>
            <w:r w:rsidRPr="00A517CD">
              <w:rPr>
                <w:rStyle w:val="Bodytext2Bold"/>
              </w:rPr>
              <w:t>Индикатор Мерна единица</w:t>
            </w:r>
          </w:p>
        </w:tc>
        <w:tc>
          <w:tcPr>
            <w:tcW w:w="1779" w:type="dxa"/>
          </w:tcPr>
          <w:p w14:paraId="4E7246C4" w14:textId="77777777" w:rsidR="00A517CD" w:rsidRPr="00E82066" w:rsidRDefault="00A517CD" w:rsidP="003D57FE">
            <w:pPr>
              <w:pStyle w:val="Bodytext22"/>
              <w:shd w:val="clear" w:color="auto" w:fill="auto"/>
              <w:spacing w:before="0" w:after="0" w:line="253" w:lineRule="exact"/>
              <w:ind w:firstLine="0"/>
              <w:jc w:val="center"/>
              <w:rPr>
                <w:sz w:val="24"/>
                <w:szCs w:val="24"/>
                <w:lang w:val="bg-BG"/>
              </w:rPr>
            </w:pPr>
            <w:r w:rsidRPr="00A517CD">
              <w:rPr>
                <w:rStyle w:val="Bodytext2Bold"/>
              </w:rPr>
              <w:t>Периодичност на</w:t>
            </w:r>
            <w:r w:rsidRPr="00E82066">
              <w:rPr>
                <w:sz w:val="24"/>
                <w:szCs w:val="24"/>
                <w:lang w:val="bg-BG"/>
              </w:rPr>
              <w:t xml:space="preserve"> </w:t>
            </w:r>
            <w:r w:rsidRPr="00A517CD">
              <w:rPr>
                <w:rStyle w:val="Bodytext2Bold"/>
              </w:rPr>
              <w:t>отчитане</w:t>
            </w:r>
          </w:p>
        </w:tc>
        <w:tc>
          <w:tcPr>
            <w:tcW w:w="2419" w:type="dxa"/>
          </w:tcPr>
          <w:p w14:paraId="1111B9C7" w14:textId="77777777" w:rsidR="00A517CD" w:rsidRPr="00E82066" w:rsidRDefault="00A517CD" w:rsidP="003D57FE">
            <w:pPr>
              <w:pStyle w:val="Bodytext22"/>
              <w:shd w:val="clear" w:color="auto" w:fill="auto"/>
              <w:spacing w:before="0" w:after="0" w:line="253" w:lineRule="exact"/>
              <w:ind w:firstLine="0"/>
              <w:jc w:val="right"/>
              <w:rPr>
                <w:sz w:val="24"/>
                <w:szCs w:val="24"/>
                <w:lang w:val="bg-BG"/>
              </w:rPr>
            </w:pPr>
            <w:r w:rsidRPr="00A517CD">
              <w:rPr>
                <w:rStyle w:val="Bodytext2Bold"/>
              </w:rPr>
              <w:t xml:space="preserve">Източник на информация/ </w:t>
            </w:r>
            <w:r w:rsidRPr="00A517CD">
              <w:rPr>
                <w:rStyle w:val="Bodytext2Bold"/>
              </w:rPr>
              <w:lastRenderedPageBreak/>
              <w:t xml:space="preserve">Отговорен за изпълнението  </w:t>
            </w:r>
          </w:p>
        </w:tc>
      </w:tr>
      <w:tr w:rsidR="00A517CD" w:rsidRPr="00215C86" w14:paraId="708C3F22" w14:textId="77777777" w:rsidTr="003D57FE">
        <w:tc>
          <w:tcPr>
            <w:tcW w:w="3123" w:type="dxa"/>
            <w:vAlign w:val="bottom"/>
          </w:tcPr>
          <w:p w14:paraId="4DFC3C2D" w14:textId="42D66AA0"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lastRenderedPageBreak/>
              <w:t>1. Развитие на система за наблюдение и контрол на морската околна среда - разливи в морето от изхвър</w:t>
            </w:r>
            <w:r w:rsidR="00FE4C06">
              <w:rPr>
                <w:sz w:val="24"/>
                <w:szCs w:val="24"/>
                <w:lang w:val="bg-BG"/>
              </w:rPr>
              <w:softHyphen/>
            </w:r>
            <w:r w:rsidRPr="00E82066">
              <w:rPr>
                <w:sz w:val="24"/>
                <w:szCs w:val="24"/>
                <w:lang w:val="bg-BG"/>
              </w:rPr>
              <w:t>ляне на корабни отпадъци, спазване на ограниченията за защитени територии, за</w:t>
            </w:r>
            <w:r w:rsidR="00FE4C06">
              <w:rPr>
                <w:sz w:val="24"/>
                <w:szCs w:val="24"/>
                <w:lang w:val="bg-BG"/>
              </w:rPr>
              <w:softHyphen/>
            </w:r>
            <w:r w:rsidRPr="00E82066">
              <w:rPr>
                <w:sz w:val="24"/>
                <w:szCs w:val="24"/>
                <w:lang w:val="bg-BG"/>
              </w:rPr>
              <w:t>щитени зони, подводно кул</w:t>
            </w:r>
            <w:r w:rsidR="00FE4C06">
              <w:rPr>
                <w:sz w:val="24"/>
                <w:szCs w:val="24"/>
                <w:lang w:val="bg-BG"/>
              </w:rPr>
              <w:softHyphen/>
            </w:r>
            <w:r w:rsidRPr="00E82066">
              <w:rPr>
                <w:sz w:val="24"/>
                <w:szCs w:val="24"/>
                <w:lang w:val="bg-BG"/>
              </w:rPr>
              <w:t>турно наследство и изпол</w:t>
            </w:r>
            <w:r w:rsidR="00FE4C06">
              <w:rPr>
                <w:sz w:val="24"/>
                <w:szCs w:val="24"/>
                <w:lang w:val="bg-BG"/>
              </w:rPr>
              <w:softHyphen/>
            </w:r>
            <w:r w:rsidRPr="00E82066">
              <w:rPr>
                <w:sz w:val="24"/>
                <w:szCs w:val="24"/>
                <w:lang w:val="bg-BG"/>
              </w:rPr>
              <w:t>зва</w:t>
            </w:r>
            <w:r w:rsidR="00FE4C06">
              <w:rPr>
                <w:sz w:val="24"/>
                <w:szCs w:val="24"/>
                <w:lang w:val="bg-BG"/>
              </w:rPr>
              <w:softHyphen/>
            </w:r>
            <w:r w:rsidRPr="00E82066">
              <w:rPr>
                <w:sz w:val="24"/>
                <w:szCs w:val="24"/>
                <w:lang w:val="bg-BG"/>
              </w:rPr>
              <w:t>не на морските ресурси.</w:t>
            </w:r>
          </w:p>
        </w:tc>
        <w:tc>
          <w:tcPr>
            <w:tcW w:w="2472" w:type="dxa"/>
          </w:tcPr>
          <w:p w14:paraId="609D6994" w14:textId="77777777" w:rsidR="00A517CD" w:rsidRPr="00E82066" w:rsidRDefault="00A517CD" w:rsidP="003D57FE">
            <w:pPr>
              <w:pStyle w:val="Bodytext22"/>
              <w:shd w:val="clear" w:color="auto" w:fill="auto"/>
              <w:spacing w:before="0" w:after="0" w:line="257" w:lineRule="exact"/>
              <w:ind w:firstLine="0"/>
              <w:rPr>
                <w:sz w:val="24"/>
                <w:szCs w:val="24"/>
                <w:lang w:val="bg-BG"/>
              </w:rPr>
            </w:pPr>
            <w:r w:rsidRPr="00E82066">
              <w:rPr>
                <w:sz w:val="24"/>
                <w:szCs w:val="24"/>
                <w:lang w:val="bg-BG"/>
              </w:rPr>
              <w:t>Въведени показатели в системата</w:t>
            </w:r>
          </w:p>
        </w:tc>
        <w:tc>
          <w:tcPr>
            <w:tcW w:w="1779" w:type="dxa"/>
          </w:tcPr>
          <w:p w14:paraId="11E84DCD" w14:textId="77777777" w:rsidR="00A517CD" w:rsidRPr="00E82066" w:rsidRDefault="00A517CD" w:rsidP="003D57FE">
            <w:pPr>
              <w:pStyle w:val="Bodytext22"/>
              <w:shd w:val="clear" w:color="auto" w:fill="auto"/>
              <w:spacing w:before="0" w:after="0" w:line="253" w:lineRule="exact"/>
              <w:ind w:firstLine="0"/>
              <w:jc w:val="left"/>
              <w:rPr>
                <w:sz w:val="24"/>
                <w:szCs w:val="24"/>
                <w:lang w:val="bg-BG"/>
              </w:rPr>
            </w:pPr>
            <w:r w:rsidRPr="00E82066">
              <w:rPr>
                <w:sz w:val="24"/>
                <w:szCs w:val="24"/>
                <w:lang w:val="bg-BG"/>
              </w:rPr>
              <w:t>По програма съставена към въвеждане на системата</w:t>
            </w:r>
          </w:p>
        </w:tc>
        <w:tc>
          <w:tcPr>
            <w:tcW w:w="2419" w:type="dxa"/>
          </w:tcPr>
          <w:p w14:paraId="17FD6EB1"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Министерства и институции, изпълняващи дейности от МППРБ/МОСВ, БДЧР, РИОСВ Варна и Бургас</w:t>
            </w:r>
          </w:p>
        </w:tc>
      </w:tr>
      <w:tr w:rsidR="00A517CD" w:rsidRPr="00215C86" w14:paraId="7FAC3841" w14:textId="77777777" w:rsidTr="003D57FE">
        <w:tc>
          <w:tcPr>
            <w:tcW w:w="3123" w:type="dxa"/>
            <w:vAlign w:val="bottom"/>
          </w:tcPr>
          <w:p w14:paraId="4F5EFC74" w14:textId="07922311" w:rsidR="00A517CD" w:rsidRPr="00E82066" w:rsidRDefault="00A517CD" w:rsidP="003D57FE">
            <w:pPr>
              <w:pStyle w:val="Bodytext22"/>
              <w:shd w:val="clear" w:color="auto" w:fill="auto"/>
              <w:spacing w:before="0" w:after="0" w:line="248" w:lineRule="exact"/>
              <w:ind w:firstLine="0"/>
              <w:rPr>
                <w:sz w:val="24"/>
                <w:szCs w:val="24"/>
                <w:lang w:val="bg-BG"/>
              </w:rPr>
            </w:pPr>
            <w:r w:rsidRPr="00E82066">
              <w:rPr>
                <w:sz w:val="24"/>
                <w:szCs w:val="24"/>
                <w:lang w:val="bg-BG"/>
              </w:rPr>
              <w:t>2. Да приключи реконструк</w:t>
            </w:r>
            <w:r w:rsidR="00FE4C06">
              <w:rPr>
                <w:sz w:val="24"/>
                <w:szCs w:val="24"/>
                <w:lang w:val="bg-BG"/>
              </w:rPr>
              <w:softHyphen/>
            </w:r>
            <w:r w:rsidRPr="00E82066">
              <w:rPr>
                <w:sz w:val="24"/>
                <w:szCs w:val="24"/>
                <w:lang w:val="bg-BG"/>
              </w:rPr>
              <w:t>цията и привеждане в съот</w:t>
            </w:r>
            <w:r w:rsidR="00FE4C06">
              <w:rPr>
                <w:sz w:val="24"/>
                <w:szCs w:val="24"/>
                <w:lang w:val="bg-BG"/>
              </w:rPr>
              <w:softHyphen/>
            </w:r>
            <w:r w:rsidRPr="00E82066">
              <w:rPr>
                <w:sz w:val="24"/>
                <w:szCs w:val="24"/>
                <w:lang w:val="bg-BG"/>
              </w:rPr>
              <w:t>ветствие към нуждите на ПСОВ за курортните ком</w:t>
            </w:r>
            <w:r w:rsidR="00FE4C06">
              <w:rPr>
                <w:sz w:val="24"/>
                <w:szCs w:val="24"/>
                <w:lang w:val="bg-BG"/>
              </w:rPr>
              <w:softHyphen/>
            </w:r>
            <w:r w:rsidRPr="00E82066">
              <w:rPr>
                <w:sz w:val="24"/>
                <w:szCs w:val="24"/>
                <w:lang w:val="bg-BG"/>
              </w:rPr>
              <w:t>плекси и селища в бреговата част на Черно море (ПСОВ „Албена“; ГПСОВ „Девня“; ГПСОВ „Долни чифлик“; ПСОВ „Камчия“ ГПСОВ „Каварна“), както и да се въведат в експлоатация пречиствателни модули на с. Синеморец, с. Варвара, и изпълнение на „Интегриран проект на водния цикъл на гр. Ахтопол“.</w:t>
            </w:r>
          </w:p>
        </w:tc>
        <w:tc>
          <w:tcPr>
            <w:tcW w:w="2472" w:type="dxa"/>
          </w:tcPr>
          <w:p w14:paraId="0A07C6C9" w14:textId="77777777" w:rsidR="00A517CD" w:rsidRPr="00E82066" w:rsidRDefault="00A517CD" w:rsidP="003D57FE">
            <w:pPr>
              <w:pStyle w:val="Bodytext22"/>
              <w:shd w:val="clear" w:color="auto" w:fill="auto"/>
              <w:spacing w:before="0" w:after="0" w:line="240" w:lineRule="exact"/>
              <w:ind w:firstLine="0"/>
              <w:rPr>
                <w:sz w:val="24"/>
                <w:szCs w:val="24"/>
                <w:lang w:val="bg-BG"/>
              </w:rPr>
            </w:pPr>
            <w:r w:rsidRPr="00E82066">
              <w:rPr>
                <w:sz w:val="24"/>
                <w:szCs w:val="24"/>
                <w:lang w:val="bg-BG"/>
              </w:rPr>
              <w:t>Изпълнени проекти</w:t>
            </w:r>
          </w:p>
        </w:tc>
        <w:tc>
          <w:tcPr>
            <w:tcW w:w="1779" w:type="dxa"/>
          </w:tcPr>
          <w:p w14:paraId="6761BBEC" w14:textId="77777777" w:rsidR="00A517CD" w:rsidRPr="00E82066" w:rsidRDefault="00A517CD" w:rsidP="003D57FE">
            <w:pPr>
              <w:pStyle w:val="Bodytext22"/>
              <w:shd w:val="clear" w:color="auto" w:fill="auto"/>
              <w:spacing w:before="0" w:after="0" w:line="240" w:lineRule="exact"/>
              <w:ind w:firstLine="0"/>
              <w:jc w:val="left"/>
              <w:rPr>
                <w:sz w:val="24"/>
                <w:szCs w:val="24"/>
                <w:lang w:val="bg-BG"/>
              </w:rPr>
            </w:pPr>
            <w:r w:rsidRPr="00E82066">
              <w:rPr>
                <w:sz w:val="24"/>
                <w:szCs w:val="24"/>
                <w:lang w:val="bg-BG"/>
              </w:rPr>
              <w:t>Ежегодно</w:t>
            </w:r>
          </w:p>
        </w:tc>
        <w:tc>
          <w:tcPr>
            <w:tcW w:w="2419" w:type="dxa"/>
          </w:tcPr>
          <w:p w14:paraId="2B7341B3" w14:textId="579C8976"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ВиК операторите на съответните канализационни системи, вкл. ПОСВ; БДЧР, РИОСВ Варна и Бургас</w:t>
            </w:r>
            <w:r w:rsidR="00AB3A6D">
              <w:rPr>
                <w:rFonts w:ascii="Times New Roman" w:hAnsi="Times New Roman" w:cs="Times New Roman"/>
                <w:sz w:val="24"/>
                <w:szCs w:val="24"/>
                <w:lang w:val="bg-BG"/>
              </w:rPr>
              <w:t>/МРРБ</w:t>
            </w:r>
          </w:p>
        </w:tc>
      </w:tr>
      <w:tr w:rsidR="00A517CD" w:rsidRPr="00215C86" w14:paraId="36720476" w14:textId="77777777" w:rsidTr="003D57FE">
        <w:tc>
          <w:tcPr>
            <w:tcW w:w="3123" w:type="dxa"/>
            <w:vAlign w:val="bottom"/>
          </w:tcPr>
          <w:p w14:paraId="0CF719B7" w14:textId="1CEEE543" w:rsidR="00A517CD" w:rsidRPr="00E82066" w:rsidRDefault="00A517CD" w:rsidP="00AB3A6D">
            <w:pPr>
              <w:pStyle w:val="Bodytext22"/>
              <w:shd w:val="clear" w:color="auto" w:fill="auto"/>
              <w:spacing w:before="0" w:after="0" w:line="253" w:lineRule="exact"/>
              <w:ind w:right="-98" w:firstLine="0"/>
              <w:rPr>
                <w:sz w:val="24"/>
                <w:szCs w:val="24"/>
                <w:lang w:val="bg-BG"/>
              </w:rPr>
            </w:pPr>
            <w:r w:rsidRPr="00E82066">
              <w:rPr>
                <w:sz w:val="24"/>
                <w:szCs w:val="24"/>
                <w:lang w:val="bg-BG"/>
              </w:rPr>
              <w:t>3. Към хоризонт 2035 г. да е осигурено въвеждането в ек</w:t>
            </w:r>
            <w:r w:rsidR="00AB3A6D">
              <w:rPr>
                <w:sz w:val="24"/>
                <w:szCs w:val="24"/>
                <w:lang w:val="bg-BG"/>
              </w:rPr>
              <w:softHyphen/>
            </w:r>
            <w:r w:rsidRPr="00E82066">
              <w:rPr>
                <w:sz w:val="24"/>
                <w:szCs w:val="24"/>
                <w:lang w:val="bg-BG"/>
              </w:rPr>
              <w:t>сплоатация на ПСОВ по черноморския бряг и из</w:t>
            </w:r>
            <w:r w:rsidR="00AB3A6D">
              <w:rPr>
                <w:sz w:val="24"/>
                <w:szCs w:val="24"/>
                <w:lang w:val="bg-BG"/>
              </w:rPr>
              <w:softHyphen/>
            </w:r>
            <w:r w:rsidRPr="00E82066">
              <w:rPr>
                <w:sz w:val="24"/>
                <w:szCs w:val="24"/>
                <w:lang w:val="bg-BG"/>
              </w:rPr>
              <w:t>граждане на канали</w:t>
            </w:r>
            <w:r w:rsidR="00AB3A6D">
              <w:rPr>
                <w:sz w:val="24"/>
                <w:szCs w:val="24"/>
                <w:lang w:val="bg-BG"/>
              </w:rPr>
              <w:softHyphen/>
            </w:r>
            <w:r w:rsidRPr="00E82066">
              <w:rPr>
                <w:sz w:val="24"/>
                <w:szCs w:val="24"/>
                <w:lang w:val="bg-BG"/>
              </w:rPr>
              <w:t>за</w:t>
            </w:r>
            <w:r w:rsidR="00AB3A6D">
              <w:rPr>
                <w:sz w:val="24"/>
                <w:szCs w:val="24"/>
                <w:lang w:val="bg-BG"/>
              </w:rPr>
              <w:softHyphen/>
            </w:r>
            <w:r w:rsidRPr="00E82066">
              <w:rPr>
                <w:sz w:val="24"/>
                <w:szCs w:val="24"/>
                <w:lang w:val="bg-BG"/>
              </w:rPr>
              <w:t>ционни системи за агломе</w:t>
            </w:r>
            <w:r w:rsidR="00AB3A6D">
              <w:rPr>
                <w:sz w:val="24"/>
                <w:szCs w:val="24"/>
                <w:lang w:val="bg-BG"/>
              </w:rPr>
              <w:softHyphen/>
            </w:r>
            <w:r w:rsidRPr="00E82066">
              <w:rPr>
                <w:sz w:val="24"/>
                <w:szCs w:val="24"/>
                <w:lang w:val="bg-BG"/>
              </w:rPr>
              <w:t>рации над 2000 екв. ж. така, че в морето да постъпват преобладаващо пречистени води.</w:t>
            </w:r>
          </w:p>
        </w:tc>
        <w:tc>
          <w:tcPr>
            <w:tcW w:w="2472" w:type="dxa"/>
          </w:tcPr>
          <w:p w14:paraId="7EA23DF2" w14:textId="77777777" w:rsidR="00A517CD" w:rsidRPr="00E82066" w:rsidRDefault="00A517CD" w:rsidP="003D57FE">
            <w:pPr>
              <w:pStyle w:val="Bodytext22"/>
              <w:shd w:val="clear" w:color="auto" w:fill="auto"/>
              <w:spacing w:before="0" w:after="0" w:line="253" w:lineRule="exact"/>
              <w:ind w:firstLine="0"/>
              <w:jc w:val="left"/>
              <w:rPr>
                <w:sz w:val="24"/>
                <w:szCs w:val="24"/>
                <w:lang w:val="bg-BG"/>
              </w:rPr>
            </w:pPr>
            <w:r w:rsidRPr="00E82066">
              <w:rPr>
                <w:sz w:val="24"/>
                <w:szCs w:val="24"/>
                <w:lang w:val="bg-BG"/>
              </w:rPr>
              <w:t>Брой селища и комплекси с ПСОВ и канализационни системи</w:t>
            </w:r>
          </w:p>
        </w:tc>
        <w:tc>
          <w:tcPr>
            <w:tcW w:w="1779" w:type="dxa"/>
          </w:tcPr>
          <w:p w14:paraId="312F5D28" w14:textId="77777777" w:rsidR="00A517CD" w:rsidRPr="00E82066" w:rsidRDefault="00A517CD" w:rsidP="003D57FE">
            <w:pPr>
              <w:pStyle w:val="Bodytext22"/>
              <w:shd w:val="clear" w:color="auto" w:fill="auto"/>
              <w:spacing w:before="0" w:after="0" w:line="240" w:lineRule="exact"/>
              <w:ind w:firstLine="0"/>
              <w:rPr>
                <w:sz w:val="24"/>
                <w:szCs w:val="24"/>
                <w:lang w:val="bg-BG"/>
              </w:rPr>
            </w:pPr>
            <w:r w:rsidRPr="00E82066">
              <w:rPr>
                <w:sz w:val="24"/>
                <w:szCs w:val="24"/>
                <w:lang w:val="bg-BG"/>
              </w:rPr>
              <w:t>Ежегодно</w:t>
            </w:r>
          </w:p>
        </w:tc>
        <w:tc>
          <w:tcPr>
            <w:tcW w:w="2419" w:type="dxa"/>
          </w:tcPr>
          <w:p w14:paraId="0115A545"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ВиК операторите на съответните канализационни системи, вкл. ПОСВ; БДЧР, РИОСВ Варна и Бургас/ МРРБ</w:t>
            </w:r>
          </w:p>
        </w:tc>
      </w:tr>
      <w:tr w:rsidR="00A517CD" w:rsidRPr="00215C86" w14:paraId="5D3AF194" w14:textId="77777777" w:rsidTr="003D57FE">
        <w:tc>
          <w:tcPr>
            <w:tcW w:w="3123" w:type="dxa"/>
            <w:vAlign w:val="bottom"/>
          </w:tcPr>
          <w:p w14:paraId="4F21E5C7" w14:textId="427E764B"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4. При развитието на край</w:t>
            </w:r>
            <w:r w:rsidR="00AB3A6D">
              <w:rPr>
                <w:sz w:val="24"/>
                <w:szCs w:val="24"/>
                <w:lang w:val="bg-BG"/>
              </w:rPr>
              <w:softHyphen/>
            </w:r>
            <w:r w:rsidRPr="00E82066">
              <w:rPr>
                <w:sz w:val="24"/>
                <w:szCs w:val="24"/>
                <w:lang w:val="bg-BG"/>
              </w:rPr>
              <w:t>брежния и морския туризъм под особена защита да са зоните за къпане като се въведат ограничения за дей</w:t>
            </w:r>
            <w:r w:rsidR="00AB3A6D">
              <w:rPr>
                <w:sz w:val="24"/>
                <w:szCs w:val="24"/>
                <w:lang w:val="bg-BG"/>
              </w:rPr>
              <w:softHyphen/>
            </w:r>
            <w:r w:rsidRPr="00E82066">
              <w:rPr>
                <w:sz w:val="24"/>
                <w:szCs w:val="24"/>
                <w:lang w:val="bg-BG"/>
              </w:rPr>
              <w:t>ности източник на замърси</w:t>
            </w:r>
            <w:r w:rsidR="00AB3A6D">
              <w:rPr>
                <w:sz w:val="24"/>
                <w:szCs w:val="24"/>
                <w:lang w:val="bg-BG"/>
              </w:rPr>
              <w:softHyphen/>
            </w:r>
            <w:r w:rsidRPr="00E82066">
              <w:rPr>
                <w:sz w:val="24"/>
                <w:szCs w:val="24"/>
                <w:lang w:val="bg-BG"/>
              </w:rPr>
              <w:t>тели и при въвеждане на контрол от РЗИ за качеството на водите.</w:t>
            </w:r>
          </w:p>
        </w:tc>
        <w:tc>
          <w:tcPr>
            <w:tcW w:w="2472" w:type="dxa"/>
          </w:tcPr>
          <w:p w14:paraId="6278F076" w14:textId="77777777" w:rsidR="00A517CD" w:rsidRPr="00E82066" w:rsidRDefault="00A517CD" w:rsidP="003D57FE">
            <w:pPr>
              <w:pStyle w:val="Bodytext22"/>
              <w:shd w:val="clear" w:color="auto" w:fill="auto"/>
              <w:spacing w:before="0" w:after="0" w:line="248" w:lineRule="exact"/>
              <w:ind w:firstLine="0"/>
              <w:rPr>
                <w:sz w:val="24"/>
                <w:szCs w:val="24"/>
                <w:lang w:val="bg-BG"/>
              </w:rPr>
            </w:pPr>
            <w:r w:rsidRPr="00E82066">
              <w:rPr>
                <w:sz w:val="24"/>
                <w:szCs w:val="24"/>
                <w:lang w:val="bg-BG"/>
              </w:rPr>
              <w:t>Зони за къпане с качество на водите за къпане</w:t>
            </w:r>
          </w:p>
        </w:tc>
        <w:tc>
          <w:tcPr>
            <w:tcW w:w="1779" w:type="dxa"/>
          </w:tcPr>
          <w:p w14:paraId="54ADD1A8" w14:textId="77777777" w:rsidR="00A517CD" w:rsidRPr="00E82066" w:rsidRDefault="00A517CD" w:rsidP="003D57FE">
            <w:pPr>
              <w:pStyle w:val="Bodytext22"/>
              <w:shd w:val="clear" w:color="auto" w:fill="auto"/>
              <w:spacing w:before="0" w:after="0" w:line="240" w:lineRule="exact"/>
              <w:ind w:firstLine="0"/>
              <w:rPr>
                <w:sz w:val="24"/>
                <w:szCs w:val="24"/>
                <w:lang w:val="bg-BG"/>
              </w:rPr>
            </w:pPr>
            <w:r w:rsidRPr="00E82066">
              <w:rPr>
                <w:sz w:val="24"/>
                <w:szCs w:val="24"/>
                <w:lang w:val="bg-BG"/>
              </w:rPr>
              <w:t>Ежегодно</w:t>
            </w:r>
          </w:p>
        </w:tc>
        <w:tc>
          <w:tcPr>
            <w:tcW w:w="2419" w:type="dxa"/>
          </w:tcPr>
          <w:p w14:paraId="2B50FE5D"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БДЧР, РИОСВ Варна и Бургас/МЗ, РЗИ-Варна, Бургас и Добрич</w:t>
            </w:r>
          </w:p>
        </w:tc>
      </w:tr>
      <w:tr w:rsidR="00A517CD" w:rsidRPr="00215C86" w14:paraId="63141EA6" w14:textId="77777777" w:rsidTr="003D57FE">
        <w:tc>
          <w:tcPr>
            <w:tcW w:w="3123" w:type="dxa"/>
            <w:vAlign w:val="bottom"/>
          </w:tcPr>
          <w:p w14:paraId="395292A8" w14:textId="03FA284A"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5. Производство на аквакул</w:t>
            </w:r>
            <w:r w:rsidR="00C334CF">
              <w:rPr>
                <w:sz w:val="24"/>
                <w:szCs w:val="24"/>
                <w:lang w:val="bg-BG"/>
              </w:rPr>
              <w:softHyphen/>
            </w:r>
            <w:r w:rsidRPr="00E82066">
              <w:rPr>
                <w:sz w:val="24"/>
                <w:szCs w:val="24"/>
                <w:lang w:val="bg-BG"/>
              </w:rPr>
              <w:t>тури и/или добив на стопан</w:t>
            </w:r>
            <w:r w:rsidR="00C334CF">
              <w:rPr>
                <w:sz w:val="24"/>
                <w:szCs w:val="24"/>
                <w:lang w:val="bg-BG"/>
              </w:rPr>
              <w:softHyphen/>
            </w:r>
            <w:r w:rsidRPr="00E82066">
              <w:rPr>
                <w:sz w:val="24"/>
                <w:szCs w:val="24"/>
                <w:lang w:val="bg-BG"/>
              </w:rPr>
              <w:t xml:space="preserve">ски ценни видове риби да се извършва в морето в зони, които не засягат или не са в близост до устие на река, зони за къпане, плажове и атракционни спортове за отдих към общините, както </w:t>
            </w:r>
            <w:r w:rsidRPr="00E82066">
              <w:rPr>
                <w:sz w:val="24"/>
                <w:szCs w:val="24"/>
                <w:lang w:val="bg-BG"/>
              </w:rPr>
              <w:lastRenderedPageBreak/>
              <w:t>и развлекателни разходки с малки плавателни съдове в морето.</w:t>
            </w:r>
          </w:p>
        </w:tc>
        <w:tc>
          <w:tcPr>
            <w:tcW w:w="2472" w:type="dxa"/>
          </w:tcPr>
          <w:p w14:paraId="2FD11358" w14:textId="77777777" w:rsidR="00A517CD" w:rsidRPr="00E82066" w:rsidRDefault="00A517CD" w:rsidP="003D57FE">
            <w:pPr>
              <w:pStyle w:val="Bodytext22"/>
              <w:shd w:val="clear" w:color="auto" w:fill="auto"/>
              <w:spacing w:before="0" w:after="0" w:line="377" w:lineRule="exact"/>
              <w:ind w:firstLine="0"/>
              <w:jc w:val="left"/>
              <w:rPr>
                <w:sz w:val="24"/>
                <w:szCs w:val="24"/>
                <w:lang w:val="bg-BG"/>
              </w:rPr>
            </w:pPr>
            <w:r w:rsidRPr="00E82066">
              <w:rPr>
                <w:sz w:val="24"/>
                <w:szCs w:val="24"/>
                <w:lang w:val="bg-BG"/>
              </w:rPr>
              <w:lastRenderedPageBreak/>
              <w:t>Нарушения Заета площ (дка)</w:t>
            </w:r>
          </w:p>
        </w:tc>
        <w:tc>
          <w:tcPr>
            <w:tcW w:w="1779" w:type="dxa"/>
          </w:tcPr>
          <w:p w14:paraId="02DFE86B" w14:textId="77777777" w:rsidR="00A517CD" w:rsidRPr="00E82066" w:rsidRDefault="00A517CD" w:rsidP="003D57FE">
            <w:pPr>
              <w:pStyle w:val="Bodytext22"/>
              <w:shd w:val="clear" w:color="auto" w:fill="auto"/>
              <w:spacing w:before="0" w:after="0" w:line="240" w:lineRule="exact"/>
              <w:ind w:firstLine="0"/>
              <w:rPr>
                <w:sz w:val="24"/>
                <w:szCs w:val="24"/>
                <w:lang w:val="bg-BG"/>
              </w:rPr>
            </w:pPr>
            <w:r w:rsidRPr="00E82066">
              <w:rPr>
                <w:sz w:val="24"/>
                <w:szCs w:val="24"/>
                <w:lang w:val="bg-BG"/>
              </w:rPr>
              <w:t>Ежегодно</w:t>
            </w:r>
          </w:p>
        </w:tc>
        <w:tc>
          <w:tcPr>
            <w:tcW w:w="2419" w:type="dxa"/>
          </w:tcPr>
          <w:p w14:paraId="62E4155B"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ИАРА/БДЧР, РИОСВ Варна и Бургас</w:t>
            </w:r>
          </w:p>
        </w:tc>
      </w:tr>
      <w:tr w:rsidR="00A517CD" w:rsidRPr="00215C86" w14:paraId="5C256E47" w14:textId="77777777" w:rsidTr="003D57FE">
        <w:tc>
          <w:tcPr>
            <w:tcW w:w="3123" w:type="dxa"/>
            <w:vAlign w:val="center"/>
          </w:tcPr>
          <w:p w14:paraId="15E8A7F0" w14:textId="58CB457B"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6. Модернизиране на обо</w:t>
            </w:r>
            <w:r w:rsidR="00C334CF">
              <w:rPr>
                <w:sz w:val="24"/>
                <w:szCs w:val="24"/>
                <w:lang w:val="bg-BG"/>
              </w:rPr>
              <w:softHyphen/>
            </w:r>
            <w:r w:rsidRPr="00E82066">
              <w:rPr>
                <w:sz w:val="24"/>
                <w:szCs w:val="24"/>
                <w:lang w:val="bg-BG"/>
              </w:rPr>
              <w:t>рудването в морския тран</w:t>
            </w:r>
            <w:r w:rsidR="00C334CF">
              <w:rPr>
                <w:sz w:val="24"/>
                <w:szCs w:val="24"/>
                <w:lang w:val="bg-BG"/>
              </w:rPr>
              <w:softHyphen/>
            </w:r>
            <w:r w:rsidRPr="00E82066">
              <w:rPr>
                <w:sz w:val="24"/>
                <w:szCs w:val="24"/>
                <w:lang w:val="bg-BG"/>
              </w:rPr>
              <w:t>спорт - пътнически и това</w:t>
            </w:r>
            <w:r w:rsidR="00C334CF">
              <w:rPr>
                <w:sz w:val="24"/>
                <w:szCs w:val="24"/>
                <w:lang w:val="bg-BG"/>
              </w:rPr>
              <w:softHyphen/>
            </w:r>
            <w:r w:rsidRPr="00E82066">
              <w:rPr>
                <w:sz w:val="24"/>
                <w:szCs w:val="24"/>
                <w:lang w:val="bg-BG"/>
              </w:rPr>
              <w:t>рен; оборудване и методи на риболов - промишлен и мор</w:t>
            </w:r>
            <w:r w:rsidR="00C334CF">
              <w:rPr>
                <w:sz w:val="24"/>
                <w:szCs w:val="24"/>
                <w:lang w:val="bg-BG"/>
              </w:rPr>
              <w:softHyphen/>
            </w:r>
            <w:r w:rsidRPr="00E82066">
              <w:rPr>
                <w:sz w:val="24"/>
                <w:szCs w:val="24"/>
                <w:lang w:val="bg-BG"/>
              </w:rPr>
              <w:t>ски риболов; туристически услуги - крайбрежен и морски туризъм.</w:t>
            </w:r>
          </w:p>
        </w:tc>
        <w:tc>
          <w:tcPr>
            <w:tcW w:w="2472" w:type="dxa"/>
          </w:tcPr>
          <w:p w14:paraId="197F6FAB" w14:textId="77777777" w:rsidR="00A517CD" w:rsidRPr="00E82066" w:rsidRDefault="00A517CD" w:rsidP="003D57FE">
            <w:pPr>
              <w:pStyle w:val="Bodytext22"/>
              <w:shd w:val="clear" w:color="auto" w:fill="auto"/>
              <w:spacing w:before="0" w:after="0" w:line="253" w:lineRule="exact"/>
              <w:ind w:firstLine="0"/>
              <w:jc w:val="left"/>
              <w:rPr>
                <w:sz w:val="24"/>
                <w:szCs w:val="24"/>
                <w:lang w:val="bg-BG"/>
              </w:rPr>
            </w:pPr>
            <w:r w:rsidRPr="00E82066">
              <w:rPr>
                <w:sz w:val="24"/>
                <w:szCs w:val="24"/>
                <w:lang w:val="bg-BG"/>
              </w:rPr>
              <w:t>Въведено в експлоатация модернизирано оборудване</w:t>
            </w:r>
          </w:p>
        </w:tc>
        <w:tc>
          <w:tcPr>
            <w:tcW w:w="1779" w:type="dxa"/>
          </w:tcPr>
          <w:p w14:paraId="48EB9F8E" w14:textId="77777777" w:rsidR="00A517CD" w:rsidRPr="00E82066" w:rsidRDefault="00A517CD" w:rsidP="003D57FE">
            <w:pPr>
              <w:pStyle w:val="Bodytext22"/>
              <w:shd w:val="clear" w:color="auto" w:fill="auto"/>
              <w:spacing w:before="0" w:after="0" w:line="240" w:lineRule="exact"/>
              <w:ind w:firstLine="0"/>
              <w:rPr>
                <w:sz w:val="24"/>
                <w:szCs w:val="24"/>
                <w:lang w:val="bg-BG"/>
              </w:rPr>
            </w:pPr>
            <w:r w:rsidRPr="00E82066">
              <w:rPr>
                <w:sz w:val="24"/>
                <w:szCs w:val="24"/>
                <w:lang w:val="bg-BG"/>
              </w:rPr>
              <w:t>На 3 години</w:t>
            </w:r>
          </w:p>
        </w:tc>
        <w:tc>
          <w:tcPr>
            <w:tcW w:w="2419" w:type="dxa"/>
          </w:tcPr>
          <w:p w14:paraId="1254D96A"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Министерство на транспорта и съобщенията/ИАМА, Пристанища Варна и Бургас, ИАРА</w:t>
            </w:r>
          </w:p>
        </w:tc>
      </w:tr>
      <w:tr w:rsidR="00A517CD" w:rsidRPr="00215C86" w14:paraId="02E6BCFD" w14:textId="77777777" w:rsidTr="003D57FE">
        <w:tc>
          <w:tcPr>
            <w:tcW w:w="3123" w:type="dxa"/>
            <w:vAlign w:val="bottom"/>
          </w:tcPr>
          <w:p w14:paraId="23049188" w14:textId="656365DD"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7. При проектиране и из</w:t>
            </w:r>
            <w:r w:rsidR="00C334CF">
              <w:rPr>
                <w:sz w:val="24"/>
                <w:szCs w:val="24"/>
                <w:lang w:val="bg-BG"/>
              </w:rPr>
              <w:softHyphen/>
            </w:r>
            <w:r w:rsidRPr="00E82066">
              <w:rPr>
                <w:sz w:val="24"/>
                <w:szCs w:val="24"/>
                <w:lang w:val="bg-BG"/>
              </w:rPr>
              <w:t>граждане на яхтени приста</w:t>
            </w:r>
            <w:r w:rsidR="00C334CF">
              <w:rPr>
                <w:sz w:val="24"/>
                <w:szCs w:val="24"/>
                <w:lang w:val="bg-BG"/>
              </w:rPr>
              <w:softHyphen/>
            </w:r>
            <w:r w:rsidRPr="00E82066">
              <w:rPr>
                <w:sz w:val="24"/>
                <w:szCs w:val="24"/>
                <w:lang w:val="bg-BG"/>
              </w:rPr>
              <w:t>нища и брегоукрепителни съоръжения да се търсят ре</w:t>
            </w:r>
            <w:r w:rsidR="00C334CF">
              <w:rPr>
                <w:sz w:val="24"/>
                <w:szCs w:val="24"/>
                <w:lang w:val="bg-BG"/>
              </w:rPr>
              <w:softHyphen/>
            </w:r>
            <w:r w:rsidRPr="00E82066">
              <w:rPr>
                <w:sz w:val="24"/>
                <w:szCs w:val="24"/>
                <w:lang w:val="bg-BG"/>
              </w:rPr>
              <w:t>шения близки до естестве</w:t>
            </w:r>
            <w:r w:rsidR="00C334CF">
              <w:rPr>
                <w:sz w:val="24"/>
                <w:szCs w:val="24"/>
                <w:lang w:val="bg-BG"/>
              </w:rPr>
              <w:softHyphen/>
            </w:r>
            <w:r w:rsidRPr="00E82066">
              <w:rPr>
                <w:sz w:val="24"/>
                <w:szCs w:val="24"/>
                <w:lang w:val="bg-BG"/>
              </w:rPr>
              <w:t>ния крайбрежен ландшафт, които оказват минимално отрицателно въздействие върху естествената му привлекателност като туристически ресурс, без да създават опасност при достъпа на хора до морето. Наносният дефицит в бреговата зона да се компенсира чрез изкуствено подхранване на плажните ивици с пясъчни наноси.</w:t>
            </w:r>
          </w:p>
        </w:tc>
        <w:tc>
          <w:tcPr>
            <w:tcW w:w="2472" w:type="dxa"/>
          </w:tcPr>
          <w:p w14:paraId="014FCBED" w14:textId="77777777" w:rsidR="00A517CD" w:rsidRPr="00E82066" w:rsidRDefault="00A517CD" w:rsidP="003D57FE">
            <w:pPr>
              <w:pStyle w:val="Bodytext22"/>
              <w:shd w:val="clear" w:color="auto" w:fill="auto"/>
              <w:spacing w:before="0" w:after="0" w:line="248" w:lineRule="exact"/>
              <w:ind w:firstLine="0"/>
              <w:jc w:val="left"/>
              <w:rPr>
                <w:sz w:val="24"/>
                <w:szCs w:val="24"/>
                <w:lang w:val="bg-BG"/>
              </w:rPr>
            </w:pPr>
            <w:r w:rsidRPr="00E82066">
              <w:rPr>
                <w:sz w:val="24"/>
                <w:szCs w:val="24"/>
                <w:lang w:val="bg-BG"/>
              </w:rPr>
              <w:t>Съответствие с</w:t>
            </w:r>
          </w:p>
          <w:p w14:paraId="6D4EFB71" w14:textId="77777777" w:rsidR="00A517CD" w:rsidRPr="00E82066" w:rsidRDefault="00A517CD" w:rsidP="003D57FE">
            <w:pPr>
              <w:pStyle w:val="Bodytext22"/>
              <w:shd w:val="clear" w:color="auto" w:fill="auto"/>
              <w:spacing w:before="0" w:after="0" w:line="248" w:lineRule="exact"/>
              <w:ind w:firstLine="0"/>
              <w:jc w:val="left"/>
              <w:rPr>
                <w:sz w:val="24"/>
                <w:szCs w:val="24"/>
                <w:lang w:val="bg-BG"/>
              </w:rPr>
            </w:pPr>
            <w:r w:rsidRPr="00E82066">
              <w:rPr>
                <w:sz w:val="24"/>
                <w:szCs w:val="24"/>
                <w:lang w:val="bg-BG"/>
              </w:rPr>
              <w:t>крайбрежния</w:t>
            </w:r>
          </w:p>
          <w:p w14:paraId="0A110EAC" w14:textId="77777777" w:rsidR="00A517CD" w:rsidRPr="00E82066" w:rsidRDefault="00A517CD" w:rsidP="003D57FE">
            <w:pPr>
              <w:pStyle w:val="Bodytext22"/>
              <w:shd w:val="clear" w:color="auto" w:fill="auto"/>
              <w:spacing w:before="0" w:after="0" w:line="248" w:lineRule="exact"/>
              <w:ind w:firstLine="0"/>
              <w:jc w:val="left"/>
              <w:rPr>
                <w:sz w:val="24"/>
                <w:szCs w:val="24"/>
                <w:lang w:val="bg-BG"/>
              </w:rPr>
            </w:pPr>
            <w:r w:rsidRPr="00E82066">
              <w:rPr>
                <w:sz w:val="24"/>
                <w:szCs w:val="24"/>
                <w:lang w:val="bg-BG"/>
              </w:rPr>
              <w:t>ландшафт</w:t>
            </w:r>
          </w:p>
        </w:tc>
        <w:tc>
          <w:tcPr>
            <w:tcW w:w="1779" w:type="dxa"/>
          </w:tcPr>
          <w:p w14:paraId="4B6C9BCC"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При</w:t>
            </w:r>
          </w:p>
          <w:p w14:paraId="20A1CD9C"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изграждане на ново</w:t>
            </w:r>
          </w:p>
          <w:p w14:paraId="7A598DBE"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пристанище</w:t>
            </w:r>
          </w:p>
        </w:tc>
        <w:tc>
          <w:tcPr>
            <w:tcW w:w="2419" w:type="dxa"/>
          </w:tcPr>
          <w:p w14:paraId="589FBB71"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МОСВ, РИОСВ, Варна и Бургас, Министерството на туризма/ МРРБ</w:t>
            </w:r>
          </w:p>
        </w:tc>
      </w:tr>
      <w:tr w:rsidR="00A517CD" w:rsidRPr="00A517CD" w14:paraId="56926527" w14:textId="77777777" w:rsidTr="003D57FE">
        <w:tc>
          <w:tcPr>
            <w:tcW w:w="3123" w:type="dxa"/>
            <w:vAlign w:val="bottom"/>
          </w:tcPr>
          <w:p w14:paraId="68ECEEB4" w14:textId="4439DAE8" w:rsidR="00A517CD" w:rsidRPr="00E82066" w:rsidRDefault="00A517CD" w:rsidP="00DB13AB">
            <w:pPr>
              <w:pStyle w:val="Bodytext22"/>
              <w:shd w:val="clear" w:color="auto" w:fill="auto"/>
              <w:spacing w:before="0" w:after="0" w:line="248" w:lineRule="exact"/>
              <w:ind w:firstLine="0"/>
              <w:rPr>
                <w:sz w:val="24"/>
                <w:szCs w:val="24"/>
                <w:lang w:val="bg-BG"/>
              </w:rPr>
            </w:pPr>
            <w:r w:rsidRPr="00E82066">
              <w:rPr>
                <w:sz w:val="24"/>
                <w:szCs w:val="24"/>
                <w:lang w:val="bg-BG"/>
              </w:rPr>
              <w:t>8. Здравно-социалният ста</w:t>
            </w:r>
            <w:r w:rsidR="00DB13AB">
              <w:rPr>
                <w:sz w:val="24"/>
                <w:szCs w:val="24"/>
                <w:lang w:val="bg-BG"/>
              </w:rPr>
              <w:softHyphen/>
            </w:r>
            <w:r w:rsidRPr="00E82066">
              <w:rPr>
                <w:sz w:val="24"/>
                <w:szCs w:val="24"/>
                <w:lang w:val="bg-BG"/>
              </w:rPr>
              <w:t>тус на човешките ресурси са основна предпоставка за ефективната реализация на МППРБ. По-слабото темпо на намаляване на населе</w:t>
            </w:r>
            <w:r w:rsidR="00DB13AB">
              <w:rPr>
                <w:sz w:val="24"/>
                <w:szCs w:val="24"/>
                <w:lang w:val="bg-BG"/>
              </w:rPr>
              <w:softHyphen/>
            </w:r>
            <w:r w:rsidRPr="00E82066">
              <w:rPr>
                <w:sz w:val="24"/>
                <w:szCs w:val="24"/>
                <w:lang w:val="bg-BG"/>
              </w:rPr>
              <w:t>нието на крайбрежните общини предоставя възмож</w:t>
            </w:r>
            <w:r w:rsidR="00DB13AB">
              <w:rPr>
                <w:sz w:val="24"/>
                <w:szCs w:val="24"/>
                <w:lang w:val="bg-BG"/>
              </w:rPr>
              <w:softHyphen/>
            </w:r>
            <w:r w:rsidRPr="00E82066">
              <w:rPr>
                <w:sz w:val="24"/>
                <w:szCs w:val="24"/>
                <w:lang w:val="bg-BG"/>
              </w:rPr>
              <w:t>ност за по-добро обезпеча</w:t>
            </w:r>
            <w:r w:rsidR="00DB13AB">
              <w:rPr>
                <w:sz w:val="24"/>
                <w:szCs w:val="24"/>
                <w:lang w:val="bg-BG"/>
              </w:rPr>
              <w:softHyphen/>
            </w:r>
            <w:r w:rsidRPr="00E82066">
              <w:rPr>
                <w:sz w:val="24"/>
                <w:szCs w:val="24"/>
                <w:lang w:val="bg-BG"/>
              </w:rPr>
              <w:t xml:space="preserve">ване развитието на синята икономика с човешките ресурси. За установяване на хармонично развитие на Черноморския регион е необходима последователна и многопосочна национална, регионална и общинска политика. </w:t>
            </w:r>
          </w:p>
        </w:tc>
        <w:tc>
          <w:tcPr>
            <w:tcW w:w="2472" w:type="dxa"/>
          </w:tcPr>
          <w:p w14:paraId="648E6374" w14:textId="77777777" w:rsidR="00A517CD" w:rsidRPr="00E82066" w:rsidRDefault="00A517CD" w:rsidP="003D57FE">
            <w:pPr>
              <w:pStyle w:val="Bodytext22"/>
              <w:shd w:val="clear" w:color="auto" w:fill="auto"/>
              <w:spacing w:before="0" w:after="0" w:line="253" w:lineRule="exact"/>
              <w:ind w:firstLine="0"/>
              <w:jc w:val="left"/>
              <w:rPr>
                <w:sz w:val="24"/>
                <w:szCs w:val="24"/>
                <w:lang w:val="bg-BG"/>
              </w:rPr>
            </w:pPr>
            <w:r w:rsidRPr="00E82066">
              <w:rPr>
                <w:sz w:val="24"/>
                <w:szCs w:val="24"/>
                <w:lang w:val="bg-BG"/>
              </w:rPr>
              <w:t>Здравно състояние на населението</w:t>
            </w:r>
          </w:p>
        </w:tc>
        <w:tc>
          <w:tcPr>
            <w:tcW w:w="1779" w:type="dxa"/>
          </w:tcPr>
          <w:p w14:paraId="458A57D8" w14:textId="77777777" w:rsidR="00A517CD" w:rsidRPr="00E82066" w:rsidRDefault="00A517CD" w:rsidP="003D57FE">
            <w:pPr>
              <w:pStyle w:val="Bodytext22"/>
              <w:shd w:val="clear" w:color="auto" w:fill="auto"/>
              <w:spacing w:before="0" w:after="0" w:line="240" w:lineRule="exact"/>
              <w:ind w:firstLine="0"/>
              <w:rPr>
                <w:sz w:val="24"/>
                <w:szCs w:val="24"/>
                <w:lang w:val="bg-BG"/>
              </w:rPr>
            </w:pPr>
            <w:r w:rsidRPr="00E82066">
              <w:rPr>
                <w:sz w:val="24"/>
                <w:szCs w:val="24"/>
                <w:lang w:val="bg-BG"/>
              </w:rPr>
              <w:t>Ежегодно</w:t>
            </w:r>
          </w:p>
        </w:tc>
        <w:tc>
          <w:tcPr>
            <w:tcW w:w="2419" w:type="dxa"/>
          </w:tcPr>
          <w:p w14:paraId="6758D93A"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НСИ/МЗ</w:t>
            </w:r>
          </w:p>
        </w:tc>
      </w:tr>
      <w:tr w:rsidR="00A517CD" w:rsidRPr="00215C86" w14:paraId="35C540D0" w14:textId="77777777" w:rsidTr="003D57FE">
        <w:tc>
          <w:tcPr>
            <w:tcW w:w="3123" w:type="dxa"/>
          </w:tcPr>
          <w:p w14:paraId="493F7643" w14:textId="77777777" w:rsidR="00A517CD" w:rsidRPr="00E82066" w:rsidRDefault="00A517CD" w:rsidP="003D57FE">
            <w:pPr>
              <w:pStyle w:val="Bodytext22"/>
              <w:shd w:val="clear" w:color="auto" w:fill="auto"/>
              <w:spacing w:before="0" w:after="0" w:line="248" w:lineRule="exact"/>
              <w:ind w:firstLine="0"/>
              <w:rPr>
                <w:sz w:val="24"/>
                <w:szCs w:val="24"/>
                <w:lang w:val="bg-BG"/>
              </w:rPr>
            </w:pPr>
            <w:r w:rsidRPr="00E82066">
              <w:rPr>
                <w:sz w:val="24"/>
                <w:szCs w:val="24"/>
                <w:lang w:val="bg-BG"/>
              </w:rPr>
              <w:t>9. Подобряване на знанията за Черноморската екоситема</w:t>
            </w:r>
          </w:p>
        </w:tc>
        <w:tc>
          <w:tcPr>
            <w:tcW w:w="2472" w:type="dxa"/>
          </w:tcPr>
          <w:p w14:paraId="22A8D42A"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Брой планирани и изпълнени научни проекти, свързани с изследвания на морската околна среда.</w:t>
            </w:r>
          </w:p>
        </w:tc>
        <w:tc>
          <w:tcPr>
            <w:tcW w:w="1779" w:type="dxa"/>
          </w:tcPr>
          <w:p w14:paraId="41E01158" w14:textId="77777777" w:rsidR="00A517CD" w:rsidRPr="00E82066" w:rsidRDefault="00A517CD" w:rsidP="003D57FE">
            <w:pPr>
              <w:pStyle w:val="Bodytext22"/>
              <w:shd w:val="clear" w:color="auto" w:fill="auto"/>
              <w:spacing w:before="0" w:after="0" w:line="253" w:lineRule="exact"/>
              <w:ind w:firstLine="0"/>
              <w:jc w:val="left"/>
              <w:rPr>
                <w:sz w:val="24"/>
                <w:szCs w:val="24"/>
                <w:lang w:val="bg-BG"/>
              </w:rPr>
            </w:pPr>
            <w:r w:rsidRPr="00E82066">
              <w:rPr>
                <w:sz w:val="24"/>
                <w:szCs w:val="24"/>
                <w:lang w:val="bg-BG"/>
              </w:rPr>
              <w:t>На всеки две години</w:t>
            </w:r>
          </w:p>
        </w:tc>
        <w:tc>
          <w:tcPr>
            <w:tcW w:w="2419" w:type="dxa"/>
          </w:tcPr>
          <w:p w14:paraId="4C063EC0" w14:textId="0F4640C3"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Отговорен за изпъл</w:t>
            </w:r>
            <w:r w:rsidR="00DB13AB">
              <w:rPr>
                <w:rFonts w:ascii="Times New Roman" w:hAnsi="Times New Roman" w:cs="Times New Roman"/>
                <w:sz w:val="24"/>
                <w:szCs w:val="24"/>
                <w:lang w:val="bg-BG"/>
              </w:rPr>
              <w:softHyphen/>
            </w:r>
            <w:r w:rsidRPr="00E82066">
              <w:rPr>
                <w:rFonts w:ascii="Times New Roman" w:hAnsi="Times New Roman" w:cs="Times New Roman"/>
                <w:sz w:val="24"/>
                <w:szCs w:val="24"/>
                <w:lang w:val="bg-BG"/>
              </w:rPr>
              <w:t>нението и източник на информация: МОСВ, БДЧР, РИОСВ Варна и Бургас, ИАОС,ИО-БАН.</w:t>
            </w:r>
          </w:p>
          <w:p w14:paraId="26A2272A" w14:textId="788D9B68"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lastRenderedPageBreak/>
              <w:t>Източник на инфор</w:t>
            </w:r>
            <w:r w:rsidR="00DB13AB">
              <w:rPr>
                <w:rFonts w:ascii="Times New Roman" w:hAnsi="Times New Roman" w:cs="Times New Roman"/>
                <w:sz w:val="24"/>
                <w:szCs w:val="24"/>
                <w:lang w:val="bg-BG"/>
              </w:rPr>
              <w:softHyphen/>
            </w:r>
            <w:r w:rsidRPr="00E82066">
              <w:rPr>
                <w:rFonts w:ascii="Times New Roman" w:hAnsi="Times New Roman" w:cs="Times New Roman"/>
                <w:sz w:val="24"/>
                <w:szCs w:val="24"/>
                <w:lang w:val="bg-BG"/>
              </w:rPr>
              <w:t>мация</w:t>
            </w:r>
            <w:r w:rsidR="00DB13AB">
              <w:rPr>
                <w:rFonts w:ascii="Times New Roman" w:hAnsi="Times New Roman" w:cs="Times New Roman"/>
                <w:sz w:val="24"/>
                <w:szCs w:val="24"/>
                <w:lang w:val="bg-BG"/>
              </w:rPr>
              <w:t>:</w:t>
            </w:r>
            <w:r w:rsidRPr="00E82066">
              <w:rPr>
                <w:rFonts w:ascii="Times New Roman" w:hAnsi="Times New Roman" w:cs="Times New Roman"/>
                <w:sz w:val="24"/>
                <w:szCs w:val="24"/>
                <w:lang w:val="bg-BG"/>
              </w:rPr>
              <w:t xml:space="preserve"> ИРР-Варна и ИБЕИ предвид, че към момент тези научни институти нямат вменени отговорности, свър</w:t>
            </w:r>
            <w:r w:rsidR="00A640FE">
              <w:rPr>
                <w:rFonts w:ascii="Times New Roman" w:hAnsi="Times New Roman" w:cs="Times New Roman"/>
                <w:sz w:val="24"/>
                <w:szCs w:val="24"/>
                <w:lang w:val="bg-BG"/>
              </w:rPr>
              <w:softHyphen/>
            </w:r>
            <w:r w:rsidRPr="00E82066">
              <w:rPr>
                <w:rFonts w:ascii="Times New Roman" w:hAnsi="Times New Roman" w:cs="Times New Roman"/>
                <w:sz w:val="24"/>
                <w:szCs w:val="24"/>
                <w:lang w:val="bg-BG"/>
              </w:rPr>
              <w:t>зани с морската околна среда съгласно действа</w:t>
            </w:r>
            <w:r w:rsidR="00A640FE">
              <w:rPr>
                <w:rFonts w:ascii="Times New Roman" w:hAnsi="Times New Roman" w:cs="Times New Roman"/>
                <w:sz w:val="24"/>
                <w:szCs w:val="24"/>
                <w:lang w:val="bg-BG"/>
              </w:rPr>
              <w:softHyphen/>
            </w:r>
            <w:r w:rsidRPr="00E82066">
              <w:rPr>
                <w:rFonts w:ascii="Times New Roman" w:hAnsi="Times New Roman" w:cs="Times New Roman"/>
                <w:sz w:val="24"/>
                <w:szCs w:val="24"/>
                <w:lang w:val="bg-BG"/>
              </w:rPr>
              <w:t>щи</w:t>
            </w:r>
            <w:r w:rsidR="00A640FE">
              <w:rPr>
                <w:rFonts w:ascii="Times New Roman" w:hAnsi="Times New Roman" w:cs="Times New Roman"/>
                <w:sz w:val="24"/>
                <w:szCs w:val="24"/>
                <w:lang w:val="bg-BG"/>
              </w:rPr>
              <w:softHyphen/>
            </w:r>
            <w:r w:rsidRPr="00E82066">
              <w:rPr>
                <w:rFonts w:ascii="Times New Roman" w:hAnsi="Times New Roman" w:cs="Times New Roman"/>
                <w:sz w:val="24"/>
                <w:szCs w:val="24"/>
                <w:lang w:val="bg-BG"/>
              </w:rPr>
              <w:t>те</w:t>
            </w:r>
            <w:r w:rsidRPr="00E82066">
              <w:rPr>
                <w:rFonts w:ascii="Times New Roman" w:hAnsi="Times New Roman" w:cs="Times New Roman"/>
                <w:i/>
                <w:sz w:val="24"/>
                <w:szCs w:val="24"/>
                <w:lang w:val="bg-BG"/>
              </w:rPr>
              <w:t xml:space="preserve"> Закон за водите , Наредба за опазване на околната среда на морските води и ЗМПВВППРБ</w:t>
            </w:r>
          </w:p>
        </w:tc>
      </w:tr>
      <w:tr w:rsidR="00A517CD" w:rsidRPr="00A517CD" w14:paraId="12A09121" w14:textId="77777777" w:rsidTr="003D57FE">
        <w:tc>
          <w:tcPr>
            <w:tcW w:w="3123" w:type="dxa"/>
          </w:tcPr>
          <w:p w14:paraId="6B543B22"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lastRenderedPageBreak/>
              <w:t>10. Повишаване обхвата на защита на видовете и местообитанията, пряко свързани с морската околна среда</w:t>
            </w:r>
          </w:p>
        </w:tc>
        <w:tc>
          <w:tcPr>
            <w:tcW w:w="2472" w:type="dxa"/>
            <w:vAlign w:val="bottom"/>
          </w:tcPr>
          <w:p w14:paraId="196D83CF"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 от морските пространства на страната, поставени под териториална защита за опазване на биологичното разнообразие.</w:t>
            </w:r>
          </w:p>
        </w:tc>
        <w:tc>
          <w:tcPr>
            <w:tcW w:w="1779" w:type="dxa"/>
          </w:tcPr>
          <w:p w14:paraId="19666ACD" w14:textId="77777777" w:rsidR="00A517CD" w:rsidRPr="00E82066" w:rsidRDefault="00A517CD" w:rsidP="003D57FE">
            <w:pPr>
              <w:pStyle w:val="Bodytext22"/>
              <w:shd w:val="clear" w:color="auto" w:fill="auto"/>
              <w:spacing w:before="0" w:after="0" w:line="257" w:lineRule="exact"/>
              <w:ind w:firstLine="0"/>
              <w:jc w:val="left"/>
              <w:rPr>
                <w:sz w:val="24"/>
                <w:szCs w:val="24"/>
                <w:lang w:val="bg-BG"/>
              </w:rPr>
            </w:pPr>
            <w:r w:rsidRPr="00E82066">
              <w:rPr>
                <w:sz w:val="24"/>
                <w:szCs w:val="24"/>
                <w:lang w:val="bg-BG"/>
              </w:rPr>
              <w:t>На всеки две години</w:t>
            </w:r>
          </w:p>
        </w:tc>
        <w:tc>
          <w:tcPr>
            <w:tcW w:w="2419" w:type="dxa"/>
          </w:tcPr>
          <w:p w14:paraId="091C02B5"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МОСВ</w:t>
            </w:r>
          </w:p>
        </w:tc>
      </w:tr>
      <w:tr w:rsidR="00A517CD" w:rsidRPr="00A517CD" w14:paraId="2AA68224" w14:textId="77777777" w:rsidTr="003D57FE">
        <w:tc>
          <w:tcPr>
            <w:tcW w:w="3123" w:type="dxa"/>
          </w:tcPr>
          <w:p w14:paraId="34EC5B62" w14:textId="7BD3B5DC" w:rsidR="00A517CD" w:rsidRPr="00E82066" w:rsidRDefault="00A517CD" w:rsidP="00A640FE">
            <w:pPr>
              <w:pStyle w:val="Bodytext22"/>
              <w:shd w:val="clear" w:color="auto" w:fill="auto"/>
              <w:spacing w:before="0" w:after="0" w:line="253" w:lineRule="exact"/>
              <w:ind w:firstLine="0"/>
              <w:rPr>
                <w:sz w:val="24"/>
                <w:szCs w:val="24"/>
                <w:lang w:val="bg-BG"/>
              </w:rPr>
            </w:pPr>
            <w:r w:rsidRPr="00E82066">
              <w:rPr>
                <w:sz w:val="24"/>
                <w:szCs w:val="24"/>
                <w:lang w:val="bg-BG"/>
              </w:rPr>
              <w:t>11</w:t>
            </w:r>
            <w:r w:rsidR="00A640FE">
              <w:rPr>
                <w:sz w:val="24"/>
                <w:szCs w:val="24"/>
                <w:lang w:val="bg-BG"/>
              </w:rPr>
              <w:t>Опазване ма зоните за защита на водите за отдих, водни спортове или за къпане</w:t>
            </w:r>
          </w:p>
        </w:tc>
        <w:tc>
          <w:tcPr>
            <w:tcW w:w="2472" w:type="dxa"/>
            <w:vAlign w:val="bottom"/>
          </w:tcPr>
          <w:p w14:paraId="6A7A8183" w14:textId="77777777" w:rsidR="00A517CD" w:rsidRPr="00E82066" w:rsidRDefault="00A517CD" w:rsidP="00E82066">
            <w:pPr>
              <w:pStyle w:val="Bodytext22"/>
              <w:shd w:val="clear" w:color="auto" w:fill="auto"/>
              <w:spacing w:before="0" w:line="253" w:lineRule="exact"/>
              <w:ind w:firstLine="0"/>
              <w:rPr>
                <w:sz w:val="24"/>
                <w:szCs w:val="24"/>
                <w:lang w:val="bg-BG"/>
              </w:rPr>
            </w:pPr>
            <w:r w:rsidRPr="00E82066">
              <w:rPr>
                <w:sz w:val="24"/>
                <w:szCs w:val="24"/>
                <w:lang w:val="bg-BG"/>
              </w:rPr>
              <w:t>-Брой определени зони за отдих/водни спортове;</w:t>
            </w:r>
          </w:p>
          <w:p w14:paraId="78C7604B" w14:textId="77777777" w:rsidR="00A517CD" w:rsidRPr="00E82066" w:rsidRDefault="00A517CD" w:rsidP="00E82066">
            <w:pPr>
              <w:pStyle w:val="Bodytext22"/>
              <w:shd w:val="clear" w:color="auto" w:fill="auto"/>
              <w:spacing w:before="480" w:after="0" w:line="248" w:lineRule="exact"/>
              <w:ind w:firstLine="0"/>
              <w:rPr>
                <w:sz w:val="24"/>
                <w:szCs w:val="24"/>
                <w:lang w:val="bg-BG"/>
              </w:rPr>
            </w:pPr>
            <w:r w:rsidRPr="00E82066">
              <w:rPr>
                <w:sz w:val="24"/>
                <w:szCs w:val="24"/>
                <w:lang w:val="bg-BG"/>
              </w:rPr>
              <w:t>-Брой определени зони с отлично и добро състояние на водите за къпане</w:t>
            </w:r>
          </w:p>
        </w:tc>
        <w:tc>
          <w:tcPr>
            <w:tcW w:w="1779" w:type="dxa"/>
          </w:tcPr>
          <w:p w14:paraId="13C6180E" w14:textId="77777777" w:rsidR="00A517CD" w:rsidRPr="00E82066" w:rsidRDefault="00A517CD" w:rsidP="003D57FE">
            <w:pPr>
              <w:pStyle w:val="Bodytext22"/>
              <w:shd w:val="clear" w:color="auto" w:fill="auto"/>
              <w:spacing w:before="0" w:after="0" w:line="253" w:lineRule="exact"/>
              <w:ind w:firstLine="0"/>
              <w:jc w:val="left"/>
              <w:rPr>
                <w:sz w:val="24"/>
                <w:szCs w:val="24"/>
                <w:lang w:val="bg-BG"/>
              </w:rPr>
            </w:pPr>
            <w:r w:rsidRPr="00E82066">
              <w:rPr>
                <w:sz w:val="24"/>
                <w:szCs w:val="24"/>
                <w:lang w:val="bg-BG"/>
              </w:rPr>
              <w:t>На всеки две години</w:t>
            </w:r>
          </w:p>
        </w:tc>
        <w:tc>
          <w:tcPr>
            <w:tcW w:w="2419" w:type="dxa"/>
          </w:tcPr>
          <w:p w14:paraId="31959FD6"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-Областни администрации Добрич, Варна и Бургас, ИА “Моркса администрация, Дирекция „МА“ Варна и Бургас</w:t>
            </w:r>
          </w:p>
          <w:p w14:paraId="5421AAE9"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-МЗ</w:t>
            </w:r>
          </w:p>
        </w:tc>
      </w:tr>
      <w:tr w:rsidR="00A517CD" w:rsidRPr="00A517CD" w14:paraId="024DE84A" w14:textId="77777777" w:rsidTr="003D57FE">
        <w:tc>
          <w:tcPr>
            <w:tcW w:w="3123" w:type="dxa"/>
            <w:vAlign w:val="center"/>
          </w:tcPr>
          <w:p w14:paraId="50DB5C38" w14:textId="77777777" w:rsidR="00A517CD" w:rsidRPr="00E82066" w:rsidRDefault="00A517CD" w:rsidP="003D57FE">
            <w:pPr>
              <w:pStyle w:val="Bodytext22"/>
              <w:shd w:val="clear" w:color="auto" w:fill="auto"/>
              <w:spacing w:before="0" w:after="0" w:line="257" w:lineRule="exact"/>
              <w:ind w:firstLine="0"/>
              <w:rPr>
                <w:sz w:val="24"/>
                <w:szCs w:val="24"/>
                <w:lang w:val="bg-BG"/>
              </w:rPr>
            </w:pPr>
            <w:r w:rsidRPr="00E82066">
              <w:rPr>
                <w:sz w:val="24"/>
                <w:szCs w:val="24"/>
                <w:lang w:val="bg-BG"/>
              </w:rPr>
              <w:t>12.Подобряване на състоянието на морската околна среда</w:t>
            </w:r>
          </w:p>
        </w:tc>
        <w:tc>
          <w:tcPr>
            <w:tcW w:w="2472" w:type="dxa"/>
            <w:vAlign w:val="center"/>
          </w:tcPr>
          <w:p w14:paraId="0A6DB294"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-Брой крайбрежни водни тела в добро състояние съгласно</w:t>
            </w:r>
          </w:p>
          <w:p w14:paraId="2D689043" w14:textId="77777777" w:rsidR="00A517CD" w:rsidRPr="00E82066" w:rsidRDefault="00A517CD" w:rsidP="003D57FE">
            <w:pPr>
              <w:pStyle w:val="Bodytext22"/>
              <w:shd w:val="clear" w:color="auto" w:fill="auto"/>
              <w:spacing w:before="0" w:after="60" w:line="262" w:lineRule="exact"/>
              <w:ind w:firstLine="0"/>
              <w:jc w:val="left"/>
              <w:rPr>
                <w:sz w:val="24"/>
                <w:szCs w:val="24"/>
                <w:lang w:val="bg-BG"/>
              </w:rPr>
            </w:pPr>
            <w:r w:rsidRPr="00E82066">
              <w:rPr>
                <w:sz w:val="24"/>
                <w:szCs w:val="24"/>
                <w:lang w:val="bg-BG"/>
              </w:rPr>
              <w:t>оценките по РДВ/2000/60/ЕС;</w:t>
            </w:r>
          </w:p>
          <w:p w14:paraId="1F733288" w14:textId="2885C12C" w:rsidR="00A517CD" w:rsidRPr="00E82066" w:rsidRDefault="00A517CD" w:rsidP="00E82066">
            <w:pPr>
              <w:pStyle w:val="Bodytext22"/>
              <w:shd w:val="clear" w:color="auto" w:fill="auto"/>
              <w:spacing w:before="240" w:after="60" w:line="253" w:lineRule="exact"/>
              <w:ind w:firstLine="0"/>
              <w:jc w:val="left"/>
              <w:rPr>
                <w:sz w:val="24"/>
                <w:szCs w:val="24"/>
                <w:lang w:val="bg-BG"/>
              </w:rPr>
            </w:pPr>
            <w:r w:rsidRPr="00E82066">
              <w:rPr>
                <w:sz w:val="24"/>
                <w:szCs w:val="24"/>
                <w:lang w:val="bg-BG"/>
              </w:rPr>
              <w:t xml:space="preserve">-Морски райони за оценка (МРО или </w:t>
            </w:r>
            <w:r w:rsidRPr="00E82066">
              <w:rPr>
                <w:sz w:val="24"/>
                <w:szCs w:val="24"/>
                <w:lang w:val="bg-BG" w:bidi="en-US"/>
              </w:rPr>
              <w:t xml:space="preserve">MRUs) </w:t>
            </w:r>
            <w:r w:rsidRPr="00E82066">
              <w:rPr>
                <w:sz w:val="24"/>
                <w:szCs w:val="24"/>
                <w:lang w:val="bg-BG"/>
              </w:rPr>
              <w:t>в добро съ</w:t>
            </w:r>
            <w:r w:rsidR="001F24A9">
              <w:rPr>
                <w:sz w:val="24"/>
                <w:szCs w:val="24"/>
                <w:lang w:val="bg-BG"/>
              </w:rPr>
              <w:softHyphen/>
            </w:r>
            <w:r w:rsidRPr="00E82066">
              <w:rPr>
                <w:sz w:val="24"/>
                <w:szCs w:val="24"/>
                <w:lang w:val="bg-BG"/>
              </w:rPr>
              <w:t>стояние по 11-те ка</w:t>
            </w:r>
            <w:r w:rsidR="001F24A9">
              <w:rPr>
                <w:sz w:val="24"/>
                <w:szCs w:val="24"/>
                <w:lang w:val="bg-BG"/>
              </w:rPr>
              <w:softHyphen/>
            </w:r>
            <w:r w:rsidRPr="00E82066">
              <w:rPr>
                <w:sz w:val="24"/>
                <w:szCs w:val="24"/>
                <w:lang w:val="bg-BG"/>
              </w:rPr>
              <w:t>чествени харак</w:t>
            </w:r>
            <w:r w:rsidR="001F24A9">
              <w:rPr>
                <w:sz w:val="24"/>
                <w:szCs w:val="24"/>
                <w:lang w:val="bg-BG"/>
              </w:rPr>
              <w:softHyphen/>
            </w:r>
            <w:r w:rsidRPr="00E82066">
              <w:rPr>
                <w:sz w:val="24"/>
                <w:szCs w:val="24"/>
                <w:lang w:val="bg-BG"/>
              </w:rPr>
              <w:t>тери</w:t>
            </w:r>
            <w:r w:rsidR="001F24A9">
              <w:rPr>
                <w:sz w:val="24"/>
                <w:szCs w:val="24"/>
                <w:lang w:val="bg-BG"/>
              </w:rPr>
              <w:softHyphen/>
            </w:r>
            <w:r w:rsidRPr="00E82066">
              <w:rPr>
                <w:sz w:val="24"/>
                <w:szCs w:val="24"/>
                <w:lang w:val="bg-BG"/>
              </w:rPr>
              <w:t>стики (дескриптори) съгласно оценките по РДМС 2008/56/ЕО;</w:t>
            </w:r>
          </w:p>
          <w:p w14:paraId="21665D3B" w14:textId="73C24B5C"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-Брой реализирани мерки за подобряване на състоянието на морската околна сре</w:t>
            </w:r>
            <w:r w:rsidR="001F24A9">
              <w:rPr>
                <w:sz w:val="24"/>
                <w:szCs w:val="24"/>
                <w:lang w:val="bg-BG"/>
              </w:rPr>
              <w:softHyphen/>
            </w:r>
            <w:r w:rsidRPr="00E82066">
              <w:rPr>
                <w:sz w:val="24"/>
                <w:szCs w:val="24"/>
                <w:lang w:val="bg-BG"/>
              </w:rPr>
              <w:t>да съгласно Програ</w:t>
            </w:r>
            <w:r w:rsidR="001F24A9">
              <w:rPr>
                <w:sz w:val="24"/>
                <w:szCs w:val="24"/>
                <w:lang w:val="bg-BG"/>
              </w:rPr>
              <w:softHyphen/>
            </w:r>
            <w:r w:rsidRPr="00E82066">
              <w:rPr>
                <w:sz w:val="24"/>
                <w:szCs w:val="24"/>
                <w:lang w:val="bg-BG"/>
              </w:rPr>
              <w:t xml:space="preserve">мите от мерки към действащите ПУРБ (РДВ 2000/60/ЕС) и </w:t>
            </w:r>
            <w:r w:rsidRPr="00E82066">
              <w:rPr>
                <w:sz w:val="24"/>
                <w:szCs w:val="24"/>
                <w:lang w:val="bg-BG"/>
              </w:rPr>
              <w:lastRenderedPageBreak/>
              <w:t>Морската стратегия (РДМС2008/56/60) на Република България за съответните планови периоди</w:t>
            </w:r>
          </w:p>
        </w:tc>
        <w:tc>
          <w:tcPr>
            <w:tcW w:w="1779" w:type="dxa"/>
            <w:vAlign w:val="center"/>
          </w:tcPr>
          <w:p w14:paraId="6F136165" w14:textId="77777777" w:rsidR="00A517CD" w:rsidRPr="00E82066" w:rsidRDefault="00A517CD" w:rsidP="003D57FE">
            <w:pPr>
              <w:pStyle w:val="Bodytext22"/>
              <w:shd w:val="clear" w:color="auto" w:fill="auto"/>
              <w:spacing w:before="0" w:after="0" w:line="257" w:lineRule="exact"/>
              <w:ind w:firstLine="0"/>
              <w:jc w:val="left"/>
              <w:rPr>
                <w:sz w:val="24"/>
                <w:szCs w:val="24"/>
                <w:lang w:val="bg-BG"/>
              </w:rPr>
            </w:pPr>
            <w:r w:rsidRPr="00E82066">
              <w:rPr>
                <w:sz w:val="24"/>
                <w:szCs w:val="24"/>
                <w:lang w:val="bg-BG"/>
              </w:rPr>
              <w:lastRenderedPageBreak/>
              <w:t>На всеки две години</w:t>
            </w:r>
          </w:p>
        </w:tc>
        <w:tc>
          <w:tcPr>
            <w:tcW w:w="2419" w:type="dxa"/>
          </w:tcPr>
          <w:p w14:paraId="558C4C09"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МОСВ, БДЧР</w:t>
            </w:r>
          </w:p>
        </w:tc>
      </w:tr>
      <w:tr w:rsidR="00A517CD" w:rsidRPr="00215C86" w14:paraId="25A8AEA7" w14:textId="77777777" w:rsidTr="003D57FE">
        <w:tc>
          <w:tcPr>
            <w:tcW w:w="3123" w:type="dxa"/>
          </w:tcPr>
          <w:p w14:paraId="01D50B65"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13. Развитие на зоните за бъдещи ползвания (Збп) в морското пространство на страната</w:t>
            </w:r>
          </w:p>
        </w:tc>
        <w:tc>
          <w:tcPr>
            <w:tcW w:w="2472" w:type="dxa"/>
            <w:vAlign w:val="bottom"/>
          </w:tcPr>
          <w:p w14:paraId="03BD8247" w14:textId="3A02E355" w:rsidR="00A517CD" w:rsidRPr="00E82066" w:rsidRDefault="00A517CD" w:rsidP="00E82066">
            <w:pPr>
              <w:pStyle w:val="Bodytext22"/>
              <w:shd w:val="clear" w:color="auto" w:fill="auto"/>
              <w:spacing w:before="0" w:after="0" w:line="253" w:lineRule="exact"/>
              <w:ind w:firstLine="0"/>
              <w:jc w:val="left"/>
              <w:rPr>
                <w:sz w:val="24"/>
                <w:szCs w:val="24"/>
                <w:lang w:val="bg-BG"/>
              </w:rPr>
            </w:pPr>
            <w:r w:rsidRPr="00E82066">
              <w:rPr>
                <w:sz w:val="24"/>
                <w:szCs w:val="24"/>
                <w:lang w:val="bg-BG"/>
              </w:rPr>
              <w:t>-Брой планирани инвестиционни предложения (ИП) в зоните, определени съгласно чл. 51в, ал. 4, т. 1-13 от ЗМПВВППРБ, а именно: зони за проучване,</w:t>
            </w:r>
            <w:r w:rsidR="001F24A9">
              <w:rPr>
                <w:sz w:val="24"/>
                <w:szCs w:val="24"/>
                <w:lang w:val="bg-BG"/>
              </w:rPr>
              <w:t xml:space="preserve"> </w:t>
            </w:r>
            <w:r w:rsidRPr="00E82066">
              <w:rPr>
                <w:sz w:val="24"/>
                <w:szCs w:val="24"/>
                <w:lang w:val="bg-BG"/>
              </w:rPr>
              <w:t>раз</w:t>
            </w:r>
            <w:r w:rsidR="001F24A9">
              <w:rPr>
                <w:sz w:val="24"/>
                <w:szCs w:val="24"/>
                <w:lang w:val="bg-BG"/>
              </w:rPr>
              <w:softHyphen/>
            </w:r>
            <w:r w:rsidRPr="00E82066">
              <w:rPr>
                <w:sz w:val="24"/>
                <w:szCs w:val="24"/>
                <w:lang w:val="bg-BG"/>
              </w:rPr>
              <w:t>ра</w:t>
            </w:r>
            <w:r w:rsidR="001F24A9">
              <w:rPr>
                <w:sz w:val="24"/>
                <w:szCs w:val="24"/>
                <w:lang w:val="bg-BG"/>
              </w:rPr>
              <w:softHyphen/>
            </w:r>
            <w:r w:rsidR="001F24A9">
              <w:rPr>
                <w:sz w:val="24"/>
                <w:szCs w:val="24"/>
                <w:lang w:val="bg-BG"/>
              </w:rPr>
              <w:softHyphen/>
            </w:r>
            <w:r w:rsidRPr="00E82066">
              <w:rPr>
                <w:sz w:val="24"/>
                <w:szCs w:val="24"/>
                <w:lang w:val="bg-BG"/>
              </w:rPr>
              <w:t>бот</w:t>
            </w:r>
            <w:r w:rsidR="001F24A9">
              <w:rPr>
                <w:sz w:val="24"/>
                <w:szCs w:val="24"/>
                <w:lang w:val="bg-BG"/>
              </w:rPr>
              <w:softHyphen/>
            </w:r>
            <w:r w:rsidRPr="00E82066">
              <w:rPr>
                <w:sz w:val="24"/>
                <w:szCs w:val="24"/>
                <w:lang w:val="bg-BG"/>
              </w:rPr>
              <w:t>ване и използване на природни ресурси; зони за риболов; зони за отглеждане на аквакултури; зони за туристически и рекреационни дейности; зони за научноизследователс</w:t>
            </w:r>
            <w:r w:rsidR="0060293B">
              <w:rPr>
                <w:sz w:val="24"/>
                <w:szCs w:val="24"/>
                <w:lang w:val="bg-BG"/>
              </w:rPr>
              <w:t>-</w:t>
            </w:r>
            <w:r w:rsidRPr="00E82066">
              <w:rPr>
                <w:sz w:val="24"/>
                <w:szCs w:val="24"/>
                <w:lang w:val="bg-BG"/>
              </w:rPr>
              <w:t xml:space="preserve"> ка дейност; защитени зони и защитени територии от Националната екологична мрежа; защитени зони за опазване на култур</w:t>
            </w:r>
            <w:r w:rsidR="00F72D2B">
              <w:rPr>
                <w:sz w:val="24"/>
                <w:szCs w:val="24"/>
                <w:lang w:val="bg-BG"/>
              </w:rPr>
              <w:softHyphen/>
            </w:r>
            <w:r w:rsidRPr="00E82066">
              <w:rPr>
                <w:sz w:val="24"/>
                <w:szCs w:val="24"/>
                <w:lang w:val="bg-BG"/>
              </w:rPr>
              <w:t>ното наслед</w:t>
            </w:r>
            <w:r w:rsidR="0060293B">
              <w:rPr>
                <w:sz w:val="24"/>
                <w:szCs w:val="24"/>
                <w:lang w:val="bg-BG"/>
              </w:rPr>
              <w:softHyphen/>
            </w:r>
            <w:r w:rsidRPr="00E82066">
              <w:rPr>
                <w:sz w:val="24"/>
                <w:szCs w:val="24"/>
                <w:lang w:val="bg-BG"/>
              </w:rPr>
              <w:t>ство; трасета на подводни линейни обекти на тех</w:t>
            </w:r>
            <w:r w:rsidR="0060293B">
              <w:rPr>
                <w:sz w:val="24"/>
                <w:szCs w:val="24"/>
                <w:lang w:val="bg-BG"/>
              </w:rPr>
              <w:softHyphen/>
            </w:r>
            <w:r w:rsidRPr="00E82066">
              <w:rPr>
                <w:sz w:val="24"/>
                <w:szCs w:val="24"/>
                <w:lang w:val="bg-BG"/>
              </w:rPr>
              <w:t>ничес</w:t>
            </w:r>
            <w:r w:rsidR="0060293B">
              <w:rPr>
                <w:sz w:val="24"/>
                <w:szCs w:val="24"/>
                <w:lang w:val="bg-BG"/>
              </w:rPr>
              <w:softHyphen/>
            </w:r>
            <w:r w:rsidRPr="00E82066">
              <w:rPr>
                <w:sz w:val="24"/>
                <w:szCs w:val="24"/>
                <w:lang w:val="bg-BG"/>
              </w:rPr>
              <w:t>ката инфраструктура; инсталации и съоръ</w:t>
            </w:r>
            <w:r w:rsidR="00F72D2B">
              <w:rPr>
                <w:sz w:val="24"/>
                <w:szCs w:val="24"/>
                <w:lang w:val="bg-BG"/>
              </w:rPr>
              <w:softHyphen/>
            </w:r>
            <w:r w:rsidRPr="00E82066">
              <w:rPr>
                <w:sz w:val="24"/>
                <w:szCs w:val="24"/>
                <w:lang w:val="bg-BG"/>
              </w:rPr>
              <w:t>жения, свързани с корабоплаването; инсталации и съоръ</w:t>
            </w:r>
            <w:r w:rsidR="00F72D2B">
              <w:rPr>
                <w:sz w:val="24"/>
                <w:szCs w:val="24"/>
                <w:lang w:val="bg-BG"/>
              </w:rPr>
              <w:softHyphen/>
            </w:r>
            <w:r w:rsidRPr="00E82066">
              <w:rPr>
                <w:sz w:val="24"/>
                <w:szCs w:val="24"/>
                <w:lang w:val="bg-BG"/>
              </w:rPr>
              <w:t>жения за разработ</w:t>
            </w:r>
            <w:r w:rsidR="00F72D2B">
              <w:rPr>
                <w:sz w:val="24"/>
                <w:szCs w:val="24"/>
                <w:lang w:val="bg-BG"/>
              </w:rPr>
              <w:softHyphen/>
            </w:r>
            <w:r w:rsidRPr="00E82066">
              <w:rPr>
                <w:sz w:val="24"/>
                <w:szCs w:val="24"/>
                <w:lang w:val="bg-BG"/>
              </w:rPr>
              <w:t>ване и използване на минералните и енергийни ресурси; обекти на подводното културно наследство;</w:t>
            </w:r>
          </w:p>
          <w:p w14:paraId="183B9ED5"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 Брой реализирани ИП</w:t>
            </w:r>
          </w:p>
        </w:tc>
        <w:tc>
          <w:tcPr>
            <w:tcW w:w="1779" w:type="dxa"/>
          </w:tcPr>
          <w:p w14:paraId="42491E55"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На всеки две години</w:t>
            </w:r>
          </w:p>
        </w:tc>
        <w:tc>
          <w:tcPr>
            <w:tcW w:w="2419" w:type="dxa"/>
          </w:tcPr>
          <w:p w14:paraId="0A1D6B43"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Компетентните органи за прилагане на МППРБ съгласно ЗМПВВППРБ, Черноморските общини; Областни администрации Добрич, Варна и Бургас</w:t>
            </w:r>
          </w:p>
        </w:tc>
      </w:tr>
      <w:tr w:rsidR="00A517CD" w:rsidRPr="00A517CD" w14:paraId="7F073E17" w14:textId="77777777" w:rsidTr="003D57FE">
        <w:tc>
          <w:tcPr>
            <w:tcW w:w="3123" w:type="dxa"/>
          </w:tcPr>
          <w:p w14:paraId="5340F0D1"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14.Повишаване на устойчивото ползване на потенциала на Черно море</w:t>
            </w:r>
          </w:p>
        </w:tc>
        <w:tc>
          <w:tcPr>
            <w:tcW w:w="2472" w:type="dxa"/>
            <w:vAlign w:val="bottom"/>
          </w:tcPr>
          <w:p w14:paraId="7D636BF2" w14:textId="56DB0908" w:rsidR="00A517CD" w:rsidRPr="00E82066" w:rsidRDefault="00A517CD" w:rsidP="00E82066">
            <w:pPr>
              <w:pStyle w:val="Bodytext22"/>
              <w:shd w:val="clear" w:color="auto" w:fill="auto"/>
              <w:spacing w:before="0" w:line="253" w:lineRule="exact"/>
              <w:ind w:firstLine="0"/>
              <w:jc w:val="left"/>
              <w:rPr>
                <w:sz w:val="24"/>
                <w:szCs w:val="24"/>
                <w:lang w:val="bg-BG"/>
              </w:rPr>
            </w:pPr>
            <w:r w:rsidRPr="00E82066">
              <w:rPr>
                <w:sz w:val="24"/>
                <w:szCs w:val="24"/>
                <w:lang w:val="bg-BG"/>
              </w:rPr>
              <w:t>-Брой инициативи(ИП) за въвеждане на иновативни технологии и техники (включително оборудване), подпо</w:t>
            </w:r>
            <w:r w:rsidR="00F72D2B">
              <w:rPr>
                <w:sz w:val="24"/>
                <w:szCs w:val="24"/>
                <w:lang w:val="bg-BG"/>
              </w:rPr>
              <w:softHyphen/>
            </w:r>
            <w:r w:rsidRPr="00E82066">
              <w:rPr>
                <w:sz w:val="24"/>
                <w:szCs w:val="24"/>
                <w:lang w:val="bg-BG"/>
              </w:rPr>
              <w:lastRenderedPageBreak/>
              <w:t>магащи Синята ико</w:t>
            </w:r>
            <w:r w:rsidR="00F72D2B">
              <w:rPr>
                <w:sz w:val="24"/>
                <w:szCs w:val="24"/>
                <w:lang w:val="bg-BG"/>
              </w:rPr>
              <w:softHyphen/>
            </w:r>
            <w:r w:rsidRPr="00E82066">
              <w:rPr>
                <w:sz w:val="24"/>
                <w:szCs w:val="24"/>
                <w:lang w:val="bg-BG"/>
              </w:rPr>
              <w:t>номика в България;</w:t>
            </w:r>
          </w:p>
          <w:p w14:paraId="6A3123F0" w14:textId="461A31C3" w:rsidR="00A517CD" w:rsidRPr="00E82066" w:rsidRDefault="00A517CD" w:rsidP="00E82066">
            <w:pPr>
              <w:pStyle w:val="Bodytext22"/>
              <w:shd w:val="clear" w:color="auto" w:fill="auto"/>
              <w:spacing w:before="480" w:after="0" w:line="253" w:lineRule="exact"/>
              <w:ind w:firstLine="0"/>
              <w:rPr>
                <w:sz w:val="24"/>
                <w:szCs w:val="24"/>
                <w:lang w:val="bg-BG"/>
              </w:rPr>
            </w:pPr>
            <w:r w:rsidRPr="00E82066">
              <w:rPr>
                <w:sz w:val="24"/>
                <w:szCs w:val="24"/>
                <w:lang w:val="bg-BG"/>
              </w:rPr>
              <w:t>-Брой издадени разре</w:t>
            </w:r>
            <w:r w:rsidR="00F72D2B">
              <w:rPr>
                <w:sz w:val="24"/>
                <w:szCs w:val="24"/>
                <w:lang w:val="bg-BG"/>
              </w:rPr>
              <w:softHyphen/>
            </w:r>
            <w:r w:rsidRPr="00E82066">
              <w:rPr>
                <w:sz w:val="24"/>
                <w:szCs w:val="24"/>
                <w:lang w:val="bg-BG"/>
              </w:rPr>
              <w:t>шителни за ползва</w:t>
            </w:r>
            <w:r w:rsidR="00F72D2B">
              <w:rPr>
                <w:sz w:val="24"/>
                <w:szCs w:val="24"/>
                <w:lang w:val="bg-BG"/>
              </w:rPr>
              <w:softHyphen/>
            </w:r>
            <w:r w:rsidRPr="00E82066">
              <w:rPr>
                <w:sz w:val="24"/>
                <w:szCs w:val="24"/>
                <w:lang w:val="bg-BG"/>
              </w:rPr>
              <w:t xml:space="preserve">не/водоползване на повърхностен воден обект Черно море, съгласно </w:t>
            </w:r>
            <w:r w:rsidRPr="00A517CD">
              <w:rPr>
                <w:rStyle w:val="Bodytext2Italic"/>
              </w:rPr>
              <w:t>Закона за водите</w:t>
            </w:r>
          </w:p>
        </w:tc>
        <w:tc>
          <w:tcPr>
            <w:tcW w:w="1779" w:type="dxa"/>
          </w:tcPr>
          <w:p w14:paraId="7A3CA64B"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lastRenderedPageBreak/>
              <w:t>На всеки две години</w:t>
            </w:r>
          </w:p>
        </w:tc>
        <w:tc>
          <w:tcPr>
            <w:tcW w:w="2419" w:type="dxa"/>
          </w:tcPr>
          <w:p w14:paraId="03C491F9"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 xml:space="preserve">-Компетентните органи за прилагане на МППРБ съгласно ЗМПВВППРБ, Черноморските общини; Областни администрации </w:t>
            </w:r>
            <w:r w:rsidRPr="00E82066">
              <w:rPr>
                <w:rFonts w:ascii="Times New Roman" w:hAnsi="Times New Roman" w:cs="Times New Roman"/>
                <w:sz w:val="24"/>
                <w:szCs w:val="24"/>
                <w:lang w:val="bg-BG"/>
              </w:rPr>
              <w:lastRenderedPageBreak/>
              <w:t>Добрич, Варна и Бургас</w:t>
            </w:r>
          </w:p>
          <w:p w14:paraId="2720A159" w14:textId="77777777" w:rsidR="00A517CD" w:rsidRPr="00E82066" w:rsidRDefault="00A517CD" w:rsidP="003D57FE">
            <w:pPr>
              <w:rPr>
                <w:rFonts w:ascii="Times New Roman" w:hAnsi="Times New Roman" w:cs="Times New Roman"/>
                <w:sz w:val="24"/>
                <w:szCs w:val="24"/>
                <w:lang w:val="bg-BG"/>
              </w:rPr>
            </w:pPr>
          </w:p>
          <w:p w14:paraId="29DAAD66" w14:textId="77777777" w:rsidR="00A517CD" w:rsidRPr="00E82066" w:rsidRDefault="00A517CD" w:rsidP="003D57FE">
            <w:pPr>
              <w:rPr>
                <w:rFonts w:ascii="Times New Roman" w:hAnsi="Times New Roman" w:cs="Times New Roman"/>
                <w:sz w:val="24"/>
                <w:szCs w:val="24"/>
                <w:lang w:val="bg-BG"/>
              </w:rPr>
            </w:pPr>
          </w:p>
          <w:p w14:paraId="453AE245"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-МОСВ, БДЧР</w:t>
            </w:r>
          </w:p>
        </w:tc>
      </w:tr>
      <w:tr w:rsidR="00A517CD" w:rsidRPr="00215C86" w14:paraId="4ACC4D10" w14:textId="77777777" w:rsidTr="003D57FE">
        <w:tc>
          <w:tcPr>
            <w:tcW w:w="3123" w:type="dxa"/>
          </w:tcPr>
          <w:p w14:paraId="53E5EE11"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lastRenderedPageBreak/>
              <w:t>15. Повишаване на консумацията на риба и други морски храни</w:t>
            </w:r>
          </w:p>
        </w:tc>
        <w:tc>
          <w:tcPr>
            <w:tcW w:w="2472" w:type="dxa"/>
            <w:vAlign w:val="bottom"/>
          </w:tcPr>
          <w:p w14:paraId="36EAE9CD" w14:textId="3134672D" w:rsidR="00A517CD" w:rsidRPr="00E82066" w:rsidRDefault="00A517CD" w:rsidP="003D57FE">
            <w:pPr>
              <w:pStyle w:val="Bodytext22"/>
              <w:shd w:val="clear" w:color="auto" w:fill="auto"/>
              <w:spacing w:before="0" w:after="0" w:line="253" w:lineRule="exact"/>
              <w:ind w:firstLine="0"/>
              <w:jc w:val="left"/>
              <w:rPr>
                <w:sz w:val="24"/>
                <w:szCs w:val="24"/>
                <w:lang w:val="bg-BG"/>
              </w:rPr>
            </w:pPr>
            <w:r w:rsidRPr="00E82066">
              <w:rPr>
                <w:sz w:val="24"/>
                <w:szCs w:val="24"/>
                <w:lang w:val="bg-BG"/>
              </w:rPr>
              <w:t>Брой на изградените и действащи аква</w:t>
            </w:r>
            <w:r w:rsidR="00F72D2B">
              <w:rPr>
                <w:sz w:val="24"/>
                <w:szCs w:val="24"/>
                <w:lang w:val="bg-BG"/>
              </w:rPr>
              <w:softHyphen/>
            </w:r>
            <w:r w:rsidRPr="00E82066">
              <w:rPr>
                <w:sz w:val="24"/>
                <w:szCs w:val="24"/>
                <w:lang w:val="bg-BG"/>
              </w:rPr>
              <w:t>културни стопанства в морските води като мидени и рибни ферми, ферми за отглеждане на други морски аквакултури</w:t>
            </w:r>
          </w:p>
        </w:tc>
        <w:tc>
          <w:tcPr>
            <w:tcW w:w="1779" w:type="dxa"/>
          </w:tcPr>
          <w:p w14:paraId="6D183F54" w14:textId="77777777" w:rsidR="00A517CD" w:rsidRPr="00E82066" w:rsidRDefault="00A517CD" w:rsidP="003D57FE">
            <w:pPr>
              <w:pStyle w:val="Bodytext22"/>
              <w:shd w:val="clear" w:color="auto" w:fill="auto"/>
              <w:spacing w:before="0" w:after="0" w:line="257" w:lineRule="exact"/>
              <w:ind w:firstLine="0"/>
              <w:rPr>
                <w:sz w:val="24"/>
                <w:szCs w:val="24"/>
                <w:lang w:val="bg-BG"/>
              </w:rPr>
            </w:pPr>
            <w:r w:rsidRPr="00E82066">
              <w:rPr>
                <w:sz w:val="24"/>
                <w:szCs w:val="24"/>
                <w:lang w:val="bg-BG"/>
              </w:rPr>
              <w:t>На всеки две години</w:t>
            </w:r>
          </w:p>
        </w:tc>
        <w:tc>
          <w:tcPr>
            <w:tcW w:w="2419" w:type="dxa"/>
          </w:tcPr>
          <w:p w14:paraId="56425BE5"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БДЧР, Министерство на земеделието, ИАРА</w:t>
            </w:r>
          </w:p>
        </w:tc>
      </w:tr>
      <w:tr w:rsidR="00A517CD" w:rsidRPr="00A517CD" w14:paraId="4826FA88" w14:textId="77777777" w:rsidTr="003D57FE">
        <w:tc>
          <w:tcPr>
            <w:tcW w:w="3123" w:type="dxa"/>
          </w:tcPr>
          <w:p w14:paraId="1AB535BB"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16. Повишаване на кадровия капацитет в туристическия сектор и качеството на туристическия продукт по българското Черноморие</w:t>
            </w:r>
          </w:p>
        </w:tc>
        <w:tc>
          <w:tcPr>
            <w:tcW w:w="2472" w:type="dxa"/>
            <w:vAlign w:val="bottom"/>
          </w:tcPr>
          <w:p w14:paraId="34DB1562" w14:textId="24ECC67F" w:rsidR="00A517CD" w:rsidRPr="00E82066" w:rsidRDefault="00A517CD" w:rsidP="003D57FE">
            <w:pPr>
              <w:pStyle w:val="Bodytext22"/>
              <w:shd w:val="clear" w:color="auto" w:fill="auto"/>
              <w:spacing w:before="0" w:after="60" w:line="253" w:lineRule="exact"/>
              <w:ind w:firstLine="0"/>
              <w:jc w:val="left"/>
              <w:rPr>
                <w:sz w:val="24"/>
                <w:szCs w:val="24"/>
                <w:lang w:val="bg-BG"/>
              </w:rPr>
            </w:pPr>
            <w:r w:rsidRPr="00E82066">
              <w:rPr>
                <w:sz w:val="24"/>
                <w:szCs w:val="24"/>
                <w:lang w:val="bg-BG"/>
              </w:rPr>
              <w:t>-Брой заети с ново</w:t>
            </w:r>
            <w:r w:rsidR="00F72D2B">
              <w:rPr>
                <w:sz w:val="24"/>
                <w:szCs w:val="24"/>
                <w:lang w:val="bg-BG"/>
              </w:rPr>
              <w:softHyphen/>
            </w:r>
            <w:r w:rsidRPr="00E82066">
              <w:rPr>
                <w:sz w:val="24"/>
                <w:szCs w:val="24"/>
                <w:lang w:val="bg-BG"/>
              </w:rPr>
              <w:t>придобита квалифи</w:t>
            </w:r>
            <w:r w:rsidR="00F72D2B">
              <w:rPr>
                <w:sz w:val="24"/>
                <w:szCs w:val="24"/>
                <w:lang w:val="bg-BG"/>
              </w:rPr>
              <w:softHyphen/>
            </w:r>
            <w:r w:rsidRPr="00E82066">
              <w:rPr>
                <w:sz w:val="24"/>
                <w:szCs w:val="24"/>
                <w:lang w:val="bg-BG"/>
              </w:rPr>
              <w:t>кация или преква</w:t>
            </w:r>
            <w:r w:rsidR="00F72D2B">
              <w:rPr>
                <w:sz w:val="24"/>
                <w:szCs w:val="24"/>
                <w:lang w:val="bg-BG"/>
              </w:rPr>
              <w:softHyphen/>
            </w:r>
            <w:r w:rsidRPr="00E82066">
              <w:rPr>
                <w:sz w:val="24"/>
                <w:szCs w:val="24"/>
                <w:lang w:val="bg-BG"/>
              </w:rPr>
              <w:t>лификация в туристи</w:t>
            </w:r>
            <w:r w:rsidR="00F72D2B">
              <w:rPr>
                <w:sz w:val="24"/>
                <w:szCs w:val="24"/>
                <w:lang w:val="bg-BG"/>
              </w:rPr>
              <w:softHyphen/>
            </w:r>
            <w:r w:rsidRPr="00E82066">
              <w:rPr>
                <w:sz w:val="24"/>
                <w:szCs w:val="24"/>
                <w:lang w:val="bg-BG"/>
              </w:rPr>
              <w:t>ческия сектор;</w:t>
            </w:r>
          </w:p>
          <w:p w14:paraId="53D03142" w14:textId="77777777" w:rsidR="00A517CD" w:rsidRPr="00E82066" w:rsidRDefault="00A517CD" w:rsidP="003D57FE">
            <w:pPr>
              <w:pStyle w:val="Bodytext22"/>
              <w:shd w:val="clear" w:color="auto" w:fill="auto"/>
              <w:spacing w:before="60" w:after="0" w:line="243" w:lineRule="exact"/>
              <w:ind w:firstLine="0"/>
              <w:jc w:val="left"/>
              <w:rPr>
                <w:sz w:val="24"/>
                <w:szCs w:val="24"/>
                <w:lang w:val="bg-BG"/>
              </w:rPr>
            </w:pPr>
            <w:r w:rsidRPr="00E82066">
              <w:rPr>
                <w:sz w:val="24"/>
                <w:szCs w:val="24"/>
                <w:lang w:val="bg-BG"/>
              </w:rPr>
              <w:t>-Брой предоставени обучения;</w:t>
            </w:r>
          </w:p>
          <w:p w14:paraId="74FE96F3" w14:textId="77777777" w:rsidR="00A517CD" w:rsidRPr="00E82066" w:rsidRDefault="00A517CD" w:rsidP="003D57FE">
            <w:pPr>
              <w:pStyle w:val="Bodytext22"/>
              <w:shd w:val="clear" w:color="auto" w:fill="auto"/>
              <w:spacing w:before="60" w:after="0" w:line="243" w:lineRule="exact"/>
              <w:ind w:firstLine="0"/>
              <w:jc w:val="left"/>
              <w:rPr>
                <w:sz w:val="24"/>
                <w:szCs w:val="24"/>
                <w:lang w:val="bg-BG"/>
              </w:rPr>
            </w:pPr>
            <w:r w:rsidRPr="00E82066">
              <w:rPr>
                <w:sz w:val="24"/>
                <w:szCs w:val="24"/>
                <w:lang w:val="bg-BG"/>
              </w:rPr>
              <w:t>-Брутна добавена стойност от сектор Туризъм, отчитан на годишна база</w:t>
            </w:r>
          </w:p>
        </w:tc>
        <w:tc>
          <w:tcPr>
            <w:tcW w:w="1779" w:type="dxa"/>
          </w:tcPr>
          <w:p w14:paraId="65F1F0A5" w14:textId="77777777" w:rsidR="00A517CD" w:rsidRPr="00E82066" w:rsidRDefault="00A517CD" w:rsidP="003D57FE">
            <w:pPr>
              <w:pStyle w:val="Bodytext22"/>
              <w:shd w:val="clear" w:color="auto" w:fill="auto"/>
              <w:spacing w:before="0" w:after="0" w:line="257" w:lineRule="exact"/>
              <w:ind w:firstLine="0"/>
              <w:rPr>
                <w:sz w:val="24"/>
                <w:szCs w:val="24"/>
                <w:lang w:val="bg-BG"/>
              </w:rPr>
            </w:pPr>
            <w:r w:rsidRPr="00E82066">
              <w:rPr>
                <w:sz w:val="24"/>
                <w:szCs w:val="24"/>
                <w:lang w:val="bg-BG"/>
              </w:rPr>
              <w:t>На всеки две години</w:t>
            </w:r>
          </w:p>
        </w:tc>
        <w:tc>
          <w:tcPr>
            <w:tcW w:w="2419" w:type="dxa"/>
          </w:tcPr>
          <w:p w14:paraId="0DA9DA43"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МРРБ, МИ, НСИ</w:t>
            </w:r>
          </w:p>
        </w:tc>
      </w:tr>
      <w:tr w:rsidR="00A517CD" w:rsidRPr="00215C86" w14:paraId="3EAC597C" w14:textId="77777777" w:rsidTr="003D57FE">
        <w:tc>
          <w:tcPr>
            <w:tcW w:w="3123" w:type="dxa"/>
          </w:tcPr>
          <w:p w14:paraId="1A66041B" w14:textId="77777777"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17. Мониторинг на натрупаните отпадъци по крайбрежието и в морската среда</w:t>
            </w:r>
          </w:p>
        </w:tc>
        <w:tc>
          <w:tcPr>
            <w:tcW w:w="2472" w:type="dxa"/>
            <w:vAlign w:val="bottom"/>
          </w:tcPr>
          <w:p w14:paraId="56B84B56" w14:textId="323D3A35"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Брой, регистрирани случаи на замърся</w:t>
            </w:r>
            <w:r w:rsidR="0009742C">
              <w:rPr>
                <w:sz w:val="24"/>
                <w:szCs w:val="24"/>
                <w:lang w:val="bg-BG"/>
              </w:rPr>
              <w:softHyphen/>
            </w:r>
            <w:r w:rsidRPr="00E82066">
              <w:rPr>
                <w:sz w:val="24"/>
                <w:szCs w:val="24"/>
                <w:lang w:val="bg-BG"/>
              </w:rPr>
              <w:t>ване с отпадъци,</w:t>
            </w:r>
          </w:p>
          <w:p w14:paraId="772EFFAD" w14:textId="20E25F9C" w:rsidR="00A517CD" w:rsidRPr="00E82066" w:rsidRDefault="00A517CD" w:rsidP="003D57FE">
            <w:pPr>
              <w:pStyle w:val="Bodytext22"/>
              <w:shd w:val="clear" w:color="auto" w:fill="auto"/>
              <w:spacing w:before="0" w:after="0" w:line="253" w:lineRule="exact"/>
              <w:ind w:firstLine="0"/>
              <w:rPr>
                <w:sz w:val="24"/>
                <w:szCs w:val="24"/>
                <w:lang w:val="bg-BG"/>
              </w:rPr>
            </w:pPr>
            <w:r w:rsidRPr="00E82066">
              <w:rPr>
                <w:sz w:val="24"/>
                <w:szCs w:val="24"/>
                <w:lang w:val="bg-BG"/>
              </w:rPr>
              <w:t>констатирани от кон</w:t>
            </w:r>
            <w:r w:rsidR="0009742C">
              <w:rPr>
                <w:sz w:val="24"/>
                <w:szCs w:val="24"/>
                <w:lang w:val="bg-BG"/>
              </w:rPr>
              <w:softHyphen/>
            </w:r>
            <w:r w:rsidRPr="00E82066">
              <w:rPr>
                <w:sz w:val="24"/>
                <w:szCs w:val="24"/>
                <w:lang w:val="bg-BG"/>
              </w:rPr>
              <w:t>тролните органи в м</w:t>
            </w:r>
            <w:r w:rsidRPr="00E82066">
              <w:rPr>
                <w:sz w:val="24"/>
                <w:szCs w:val="24"/>
                <w:vertAlign w:val="superscript"/>
                <w:lang w:val="bg-BG"/>
              </w:rPr>
              <w:t>2</w:t>
            </w:r>
            <w:r w:rsidRPr="00E82066">
              <w:rPr>
                <w:sz w:val="24"/>
                <w:szCs w:val="24"/>
                <w:lang w:val="bg-BG"/>
              </w:rPr>
              <w:t xml:space="preserve"> и/или т по плажовете, морската повърхност и морското дело в рамките на изпъл</w:t>
            </w:r>
            <w:r w:rsidR="0009742C">
              <w:rPr>
                <w:sz w:val="24"/>
                <w:szCs w:val="24"/>
                <w:lang w:val="bg-BG"/>
              </w:rPr>
              <w:softHyphen/>
            </w:r>
            <w:r w:rsidRPr="00E82066">
              <w:rPr>
                <w:sz w:val="24"/>
                <w:szCs w:val="24"/>
                <w:lang w:val="bg-BG"/>
              </w:rPr>
              <w:t>не</w:t>
            </w:r>
            <w:r w:rsidR="0009742C">
              <w:rPr>
                <w:sz w:val="24"/>
                <w:szCs w:val="24"/>
                <w:lang w:val="bg-BG"/>
              </w:rPr>
              <w:softHyphen/>
            </w:r>
            <w:r w:rsidRPr="00E82066">
              <w:rPr>
                <w:sz w:val="24"/>
                <w:szCs w:val="24"/>
                <w:lang w:val="bg-BG"/>
              </w:rPr>
              <w:t>ние на мониторинг по Рамковата директива за морската стратегия 2008/56/ЕО)</w:t>
            </w:r>
          </w:p>
        </w:tc>
        <w:tc>
          <w:tcPr>
            <w:tcW w:w="1779" w:type="dxa"/>
          </w:tcPr>
          <w:p w14:paraId="61137D17" w14:textId="77777777" w:rsidR="00A517CD" w:rsidRPr="00E82066" w:rsidRDefault="00A517CD" w:rsidP="003D57FE">
            <w:pPr>
              <w:pStyle w:val="Bodytext22"/>
              <w:shd w:val="clear" w:color="auto" w:fill="auto"/>
              <w:spacing w:before="0" w:after="0" w:line="248" w:lineRule="exact"/>
              <w:ind w:firstLine="0"/>
              <w:rPr>
                <w:sz w:val="24"/>
                <w:szCs w:val="24"/>
                <w:lang w:val="bg-BG"/>
              </w:rPr>
            </w:pPr>
            <w:r w:rsidRPr="00E82066">
              <w:rPr>
                <w:sz w:val="24"/>
                <w:szCs w:val="24"/>
                <w:lang w:val="bg-BG"/>
              </w:rPr>
              <w:t>На всеки две години</w:t>
            </w:r>
          </w:p>
        </w:tc>
        <w:tc>
          <w:tcPr>
            <w:tcW w:w="2419" w:type="dxa"/>
          </w:tcPr>
          <w:p w14:paraId="43B2D544" w14:textId="77777777" w:rsidR="00A517CD" w:rsidRPr="00E82066" w:rsidRDefault="00A517CD" w:rsidP="003D57FE">
            <w:pPr>
              <w:rPr>
                <w:rFonts w:ascii="Times New Roman" w:hAnsi="Times New Roman" w:cs="Times New Roman"/>
                <w:sz w:val="24"/>
                <w:szCs w:val="24"/>
                <w:lang w:val="bg-BG"/>
              </w:rPr>
            </w:pPr>
            <w:r w:rsidRPr="00E82066">
              <w:rPr>
                <w:rFonts w:ascii="Times New Roman" w:hAnsi="Times New Roman" w:cs="Times New Roman"/>
                <w:sz w:val="24"/>
                <w:szCs w:val="24"/>
                <w:lang w:val="bg-BG"/>
              </w:rPr>
              <w:t>РИОСВ Варна и Бургас, БДЧР, Институт по океанология- БАН</w:t>
            </w:r>
          </w:p>
        </w:tc>
      </w:tr>
    </w:tbl>
    <w:p w14:paraId="74F1C455" w14:textId="77777777" w:rsidR="00A517CD" w:rsidRPr="00E82066" w:rsidRDefault="00A517CD" w:rsidP="00E82066">
      <w:pPr>
        <w:pStyle w:val="Heading1"/>
        <w:jc w:val="both"/>
        <w:rPr>
          <w:rFonts w:cs="Times New Roman"/>
          <w:sz w:val="24"/>
          <w:szCs w:val="24"/>
        </w:rPr>
      </w:pPr>
      <w:r w:rsidRPr="00E82066">
        <w:rPr>
          <w:rFonts w:cs="Times New Roman"/>
          <w:sz w:val="24"/>
          <w:szCs w:val="24"/>
        </w:rPr>
        <w:t>Забележка: За мерки от 10 до 17 посочените компетентни органи са както отговорни за изпълнението на мерките, така и източник на информация.</w:t>
      </w:r>
    </w:p>
    <w:p w14:paraId="7A05EC5C" w14:textId="48864395" w:rsidR="00A517CD" w:rsidRPr="00E82066" w:rsidRDefault="00A517CD" w:rsidP="00E82066">
      <w:pPr>
        <w:pStyle w:val="Heading1"/>
        <w:jc w:val="both"/>
        <w:rPr>
          <w:rFonts w:cs="Times New Roman"/>
          <w:sz w:val="24"/>
          <w:szCs w:val="24"/>
        </w:rPr>
      </w:pPr>
      <w:r w:rsidRPr="00E82066">
        <w:rPr>
          <w:rFonts w:cs="Times New Roman"/>
          <w:sz w:val="24"/>
          <w:szCs w:val="24"/>
        </w:rPr>
        <w:t>3. При констатирани неблагоприятни последствия върху околната среда и/или човешкото здраве да се предложат и предприемат своевременни мерки за възможното им отстраняване.</w:t>
      </w:r>
    </w:p>
    <w:p w14:paraId="50496C73" w14:textId="77777777" w:rsidR="00A517CD" w:rsidRPr="00E82066" w:rsidRDefault="00A517CD" w:rsidP="00A517CD">
      <w:pPr>
        <w:pStyle w:val="Heading1"/>
        <w:rPr>
          <w:rFonts w:cs="Times New Roman"/>
          <w:sz w:val="24"/>
          <w:szCs w:val="24"/>
        </w:rPr>
      </w:pPr>
    </w:p>
    <w:p w14:paraId="1EE8428F" w14:textId="2F0EB220" w:rsidR="002A61A4" w:rsidRPr="00610B1B" w:rsidRDefault="002A61A4" w:rsidP="00D32D6A">
      <w:pPr>
        <w:spacing w:after="120"/>
        <w:rPr>
          <w:rFonts w:ascii="Times New Roman" w:eastAsia="Source Han Sans CN Regular" w:hAnsi="Times New Roman" w:cs="Times New Roman"/>
          <w:sz w:val="24"/>
          <w:szCs w:val="24"/>
          <w:lang w:val="bg-BG" w:eastAsia="zh-CN" w:bidi="hi-IN"/>
        </w:rPr>
      </w:pPr>
      <w:r w:rsidRPr="00610B1B">
        <w:rPr>
          <w:rFonts w:ascii="Times New Roman" w:hAnsi="Times New Roman" w:cs="Times New Roman"/>
          <w:lang w:val="bg-BG"/>
        </w:rPr>
        <w:br w:type="page"/>
      </w:r>
    </w:p>
    <w:p w14:paraId="23F53A45" w14:textId="05F7C872" w:rsidR="005024ED" w:rsidRPr="00610B1B" w:rsidRDefault="00DC4938" w:rsidP="00D32D6A">
      <w:pPr>
        <w:pStyle w:val="Heading1"/>
        <w:spacing w:before="0" w:line="276" w:lineRule="auto"/>
        <w:rPr>
          <w:rFonts w:cs="Times New Roman"/>
        </w:rPr>
      </w:pPr>
      <w:bookmarkStart w:id="524" w:name="_Toc83391453"/>
      <w:r w:rsidRPr="00610B1B">
        <w:rPr>
          <w:rFonts w:cs="Times New Roman"/>
        </w:rPr>
        <w:lastRenderedPageBreak/>
        <w:t>9</w:t>
      </w:r>
      <w:r w:rsidR="00F37D59" w:rsidRPr="00610B1B">
        <w:rPr>
          <w:rFonts w:cs="Times New Roman"/>
        </w:rPr>
        <w:t xml:space="preserve">. </w:t>
      </w:r>
      <w:r w:rsidR="00E53F95" w:rsidRPr="00610B1B">
        <w:rPr>
          <w:rFonts w:cs="Times New Roman"/>
        </w:rPr>
        <w:t>ЗАКЛЮЧЕНИЕ</w:t>
      </w:r>
      <w:bookmarkEnd w:id="524"/>
    </w:p>
    <w:p w14:paraId="767473D5" w14:textId="697D24CA" w:rsidR="00B946F8" w:rsidRPr="00610B1B" w:rsidRDefault="005024ED" w:rsidP="00D32D6A">
      <w:pPr>
        <w:pStyle w:val="Default"/>
        <w:spacing w:after="120" w:line="276" w:lineRule="auto"/>
        <w:jc w:val="both"/>
        <w:rPr>
          <w:rFonts w:cs="Times New Roman"/>
          <w:lang w:val="bg-BG"/>
        </w:rPr>
      </w:pPr>
      <w:bookmarkStart w:id="525" w:name="_Hlk48408992"/>
      <w:r w:rsidRPr="00610B1B">
        <w:rPr>
          <w:rFonts w:cs="Times New Roman"/>
          <w:lang w:val="bg-BG"/>
        </w:rPr>
        <w:t xml:space="preserve">Морският пространствен план се разработва паралелно с Екологичната оценка, съгласно </w:t>
      </w:r>
      <w:r w:rsidR="00B946F8" w:rsidRPr="00610B1B">
        <w:rPr>
          <w:rFonts w:cs="Times New Roman"/>
          <w:lang w:val="bg-BG"/>
        </w:rPr>
        <w:t xml:space="preserve">действащото европейско и национално законодателство и </w:t>
      </w:r>
      <w:r w:rsidRPr="00610B1B">
        <w:rPr>
          <w:rFonts w:cs="Times New Roman"/>
          <w:lang w:val="bg-BG"/>
        </w:rPr>
        <w:t xml:space="preserve">предписанията на компетентния орган - Министерството на околната среда и водите. </w:t>
      </w:r>
      <w:r w:rsidR="00B946F8" w:rsidRPr="00610B1B">
        <w:rPr>
          <w:rFonts w:cs="Times New Roman"/>
          <w:lang w:val="bg-BG"/>
        </w:rPr>
        <w:t>Предложените в Екологичната оценка мерки за намаляване на евентуални вредни въздействия или пълното им отстраняване ще бъдат отразени по а</w:t>
      </w:r>
      <w:r w:rsidR="00683D30" w:rsidRPr="00610B1B">
        <w:rPr>
          <w:rFonts w:cs="Times New Roman"/>
          <w:lang w:val="bg-BG"/>
        </w:rPr>
        <w:t xml:space="preserve">декватен начин във финалната </w:t>
      </w:r>
      <w:r w:rsidR="00B946F8" w:rsidRPr="00610B1B">
        <w:rPr>
          <w:rFonts w:cs="Times New Roman"/>
          <w:lang w:val="bg-BG"/>
        </w:rPr>
        <w:t>версия</w:t>
      </w:r>
      <w:r w:rsidR="00683D30" w:rsidRPr="00610B1B">
        <w:rPr>
          <w:rFonts w:cs="Times New Roman"/>
          <w:lang w:val="bg-BG"/>
        </w:rPr>
        <w:t xml:space="preserve"> на плана</w:t>
      </w:r>
      <w:r w:rsidR="00B946F8" w:rsidRPr="00610B1B">
        <w:rPr>
          <w:rFonts w:cs="Times New Roman"/>
          <w:lang w:val="bg-BG"/>
        </w:rPr>
        <w:t xml:space="preserve">. </w:t>
      </w:r>
    </w:p>
    <w:p w14:paraId="70048515" w14:textId="45220FB9" w:rsidR="005024ED" w:rsidRPr="00610B1B" w:rsidRDefault="005024ED" w:rsidP="00D32D6A">
      <w:pPr>
        <w:pStyle w:val="Default"/>
        <w:spacing w:after="120" w:line="276" w:lineRule="auto"/>
        <w:jc w:val="both"/>
        <w:rPr>
          <w:rFonts w:cs="Times New Roman"/>
          <w:lang w:val="bg-BG"/>
        </w:rPr>
      </w:pPr>
      <w:r w:rsidRPr="00610B1B">
        <w:rPr>
          <w:rFonts w:cs="Times New Roman"/>
          <w:lang w:val="bg-BG"/>
        </w:rPr>
        <w:t xml:space="preserve">В процеса на консултации с всички заинтересовани страни се </w:t>
      </w:r>
      <w:r w:rsidR="00B946F8" w:rsidRPr="00610B1B">
        <w:rPr>
          <w:rFonts w:cs="Times New Roman"/>
          <w:lang w:val="bg-BG"/>
        </w:rPr>
        <w:t xml:space="preserve">отразяват </w:t>
      </w:r>
      <w:r w:rsidRPr="00610B1B">
        <w:rPr>
          <w:rFonts w:cs="Times New Roman"/>
          <w:lang w:val="bg-BG"/>
        </w:rPr>
        <w:t>препоръки</w:t>
      </w:r>
      <w:r w:rsidR="00B946F8" w:rsidRPr="00610B1B">
        <w:rPr>
          <w:rFonts w:cs="Times New Roman"/>
          <w:lang w:val="bg-BG"/>
        </w:rPr>
        <w:t>те</w:t>
      </w:r>
      <w:r w:rsidRPr="00610B1B">
        <w:rPr>
          <w:rFonts w:cs="Times New Roman"/>
          <w:lang w:val="bg-BG"/>
        </w:rPr>
        <w:t xml:space="preserve"> на представителите на различните институции, на бизнеса и на неправителствените организации, на различни експерти от всички области, свързани с морските пространства и ресурси</w:t>
      </w:r>
      <w:r w:rsidR="00245184" w:rsidRPr="00610B1B">
        <w:rPr>
          <w:rFonts w:cs="Times New Roman"/>
          <w:lang w:val="bg-BG"/>
        </w:rPr>
        <w:t xml:space="preserve"> и на участниците в дълбочинните интервюта</w:t>
      </w:r>
      <w:r w:rsidRPr="00610B1B">
        <w:rPr>
          <w:rFonts w:cs="Times New Roman"/>
          <w:lang w:val="bg-BG"/>
        </w:rPr>
        <w:t xml:space="preserve">. В този динамичен инструмент непрекъснато се допълва и актуализира информацията и се изгражда базата данни. </w:t>
      </w:r>
    </w:p>
    <w:p w14:paraId="7CEC6E6E" w14:textId="1E06BE00" w:rsidR="005024ED" w:rsidRPr="00610B1B" w:rsidRDefault="005024ED" w:rsidP="00D32D6A">
      <w:pPr>
        <w:pStyle w:val="Default"/>
        <w:spacing w:after="120" w:line="276" w:lineRule="auto"/>
        <w:jc w:val="both"/>
        <w:rPr>
          <w:rFonts w:cs="Times New Roman"/>
          <w:lang w:val="bg-BG"/>
        </w:rPr>
      </w:pPr>
      <w:r w:rsidRPr="00610B1B">
        <w:rPr>
          <w:rFonts w:cs="Times New Roman"/>
          <w:lang w:val="bg-BG"/>
        </w:rPr>
        <w:t>Във финалната версия ще се отразят и всички препоръки от междуведомственото съгласуване, както и тези, от консултациите със съседните държави</w:t>
      </w:r>
      <w:r w:rsidR="00683D30" w:rsidRPr="00610B1B">
        <w:rPr>
          <w:rFonts w:cs="Times New Roman"/>
          <w:lang w:val="bg-BG"/>
        </w:rPr>
        <w:t>,</w:t>
      </w:r>
      <w:r w:rsidRPr="00610B1B">
        <w:rPr>
          <w:rFonts w:cs="Times New Roman"/>
          <w:lang w:val="bg-BG"/>
        </w:rPr>
        <w:t xml:space="preserve"> по отношение на трансграничния контекст на направените предложения и потенциалните въздействия. </w:t>
      </w:r>
    </w:p>
    <w:p w14:paraId="0DD17F5B" w14:textId="2AD129BD" w:rsidR="005024ED" w:rsidRPr="00610B1B" w:rsidRDefault="005024ED" w:rsidP="00D32D6A">
      <w:pPr>
        <w:pStyle w:val="Default"/>
        <w:spacing w:after="120" w:line="276" w:lineRule="auto"/>
        <w:jc w:val="both"/>
        <w:rPr>
          <w:rFonts w:cs="Times New Roman"/>
          <w:lang w:val="bg-BG"/>
        </w:rPr>
      </w:pPr>
      <w:r w:rsidRPr="00610B1B">
        <w:rPr>
          <w:rFonts w:cs="Times New Roman"/>
          <w:lang w:val="bg-BG"/>
        </w:rPr>
        <w:t>Документът се придружава от аналитични карти и схеми,</w:t>
      </w:r>
      <w:r w:rsidR="00D66FE0" w:rsidRPr="00610B1B">
        <w:rPr>
          <w:rFonts w:cs="Times New Roman"/>
          <w:lang w:val="bg-BG"/>
        </w:rPr>
        <w:t xml:space="preserve"> </w:t>
      </w:r>
      <w:r w:rsidRPr="00610B1B">
        <w:rPr>
          <w:rFonts w:cs="Times New Roman"/>
          <w:lang w:val="bg-BG"/>
        </w:rPr>
        <w:t>ГИС база данни и метаданни</w:t>
      </w:r>
      <w:r w:rsidR="00683D30" w:rsidRPr="00610B1B">
        <w:rPr>
          <w:rFonts w:cs="Times New Roman"/>
          <w:lang w:val="bg-BG"/>
        </w:rPr>
        <w:t xml:space="preserve"> и </w:t>
      </w:r>
      <w:r w:rsidRPr="00610B1B">
        <w:rPr>
          <w:rFonts w:cs="Times New Roman"/>
          <w:lang w:val="bg-BG"/>
        </w:rPr>
        <w:t>ГИС платформа</w:t>
      </w:r>
      <w:r w:rsidR="00683D30" w:rsidRPr="00610B1B">
        <w:rPr>
          <w:rFonts w:cs="Times New Roman"/>
          <w:lang w:val="bg-BG"/>
        </w:rPr>
        <w:t>. Последната</w:t>
      </w:r>
      <w:r w:rsidRPr="00610B1B">
        <w:rPr>
          <w:rFonts w:cs="Times New Roman"/>
          <w:lang w:val="bg-BG"/>
        </w:rPr>
        <w:t xml:space="preserve"> </w:t>
      </w:r>
      <w:r w:rsidR="00086877" w:rsidRPr="00610B1B">
        <w:rPr>
          <w:rFonts w:cs="Times New Roman"/>
          <w:lang w:val="bg-BG"/>
        </w:rPr>
        <w:t>ще улесни поддържането и прилагането на Морския пространствен план на Република България до неговата първа актуализация, законово определена след 10 год</w:t>
      </w:r>
      <w:bookmarkEnd w:id="525"/>
      <w:r w:rsidR="00086877" w:rsidRPr="00610B1B">
        <w:rPr>
          <w:rFonts w:cs="Times New Roman"/>
          <w:lang w:val="bg-BG"/>
        </w:rPr>
        <w:t>ини</w:t>
      </w:r>
      <w:r w:rsidR="00683D30" w:rsidRPr="00610B1B">
        <w:rPr>
          <w:rFonts w:cs="Times New Roman"/>
          <w:lang w:val="bg-BG"/>
        </w:rPr>
        <w:t>, ще интегрира информацията от различни институции и ще подпомага процеса на мониторинг на плана</w:t>
      </w:r>
      <w:r w:rsidR="00086877" w:rsidRPr="00610B1B">
        <w:rPr>
          <w:rFonts w:cs="Times New Roman"/>
          <w:lang w:val="bg-BG"/>
        </w:rPr>
        <w:t>.</w:t>
      </w:r>
      <w:r w:rsidR="00C415D1" w:rsidRPr="00610B1B">
        <w:rPr>
          <w:rFonts w:cs="Times New Roman"/>
          <w:lang w:val="bg-BG"/>
        </w:rPr>
        <w:t xml:space="preserve"> </w:t>
      </w:r>
      <w:r w:rsidRPr="00610B1B">
        <w:rPr>
          <w:rFonts w:eastAsia="Source Han Sans CN Regular" w:cs="Times New Roman"/>
          <w:b/>
          <w:bCs/>
          <w:color w:val="0F243E" w:themeColor="text2" w:themeShade="80"/>
          <w:sz w:val="36"/>
          <w:szCs w:val="36"/>
          <w:lang w:val="bg-BG" w:eastAsia="zh-CN" w:bidi="hi-IN"/>
        </w:rPr>
        <w:br w:type="page"/>
      </w:r>
    </w:p>
    <w:p w14:paraId="6746E0CE" w14:textId="73701B29" w:rsidR="00483F71" w:rsidRPr="00610B1B" w:rsidRDefault="00E53F95" w:rsidP="00D32D6A">
      <w:pPr>
        <w:pStyle w:val="Heading1"/>
        <w:spacing w:before="0" w:line="276" w:lineRule="auto"/>
        <w:rPr>
          <w:rFonts w:cs="Times New Roman"/>
        </w:rPr>
      </w:pPr>
      <w:bookmarkStart w:id="526" w:name="_Toc83391454"/>
      <w:r w:rsidRPr="00610B1B">
        <w:rPr>
          <w:rFonts w:cs="Times New Roman"/>
        </w:rPr>
        <w:lastRenderedPageBreak/>
        <w:t xml:space="preserve">10. </w:t>
      </w:r>
      <w:r w:rsidR="00DD51C3" w:rsidRPr="00610B1B">
        <w:rPr>
          <w:rFonts w:cs="Times New Roman"/>
        </w:rPr>
        <w:t>ИЗПОЛЗВАНИ ТЕРМИНИ</w:t>
      </w:r>
      <w:bookmarkEnd w:id="526"/>
      <w:r w:rsidR="005D1FF6" w:rsidRPr="00610B1B">
        <w:rPr>
          <w:rFonts w:cs="Times New Roman"/>
        </w:rPr>
        <w:t xml:space="preserve"> </w:t>
      </w:r>
    </w:p>
    <w:bookmarkEnd w:id="521"/>
    <w:p w14:paraId="1D3B974D" w14:textId="3A885778" w:rsidR="00307D22" w:rsidRPr="00610B1B" w:rsidRDefault="00307D2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Баластни води</w:t>
      </w:r>
      <w:r w:rsidRPr="00610B1B">
        <w:rPr>
          <w:rFonts w:ascii="Times New Roman" w:hAnsi="Times New Roman" w:cs="Times New Roman"/>
          <w:sz w:val="24"/>
          <w:szCs w:val="24"/>
          <w:lang w:val="bg-BG"/>
        </w:rPr>
        <w:t xml:space="preserve"> – водата със суспендираните в нея частици, взета на борда на кораба, за да се контролира диферентът, кренът, газенето, устойчивостта или напреженията на кораба</w:t>
      </w:r>
    </w:p>
    <w:p w14:paraId="3DE4E14A" w14:textId="74386934" w:rsidR="00864D42" w:rsidRPr="00610B1B" w:rsidRDefault="00864D4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Бентос</w:t>
      </w:r>
      <w:r w:rsidR="00B21160" w:rsidRPr="00610B1B">
        <w:rPr>
          <w:rFonts w:ascii="Times New Roman" w:hAnsi="Times New Roman" w:cs="Times New Roman"/>
          <w:sz w:val="24"/>
          <w:szCs w:val="24"/>
          <w:lang w:val="bg-BG"/>
        </w:rPr>
        <w:t xml:space="preserve"> - съвкупността от организмите, които живеят на дъното на воден басейн. </w:t>
      </w:r>
    </w:p>
    <w:p w14:paraId="05A6F926" w14:textId="67D2D788" w:rsidR="005C1DD5" w:rsidRPr="00610B1B" w:rsidRDefault="00307D2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Вътрешни морски води</w:t>
      </w:r>
      <w:r w:rsidR="00924B42" w:rsidRPr="00610B1B">
        <w:rPr>
          <w:rFonts w:ascii="Times New Roman" w:hAnsi="Times New Roman" w:cs="Times New Roman"/>
          <w:sz w:val="24"/>
          <w:szCs w:val="24"/>
          <w:lang w:val="bg-BG"/>
        </w:rPr>
        <w:t xml:space="preserve"> </w:t>
      </w:r>
      <w:r w:rsidR="00B21160" w:rsidRPr="00610B1B">
        <w:rPr>
          <w:rFonts w:ascii="Times New Roman" w:hAnsi="Times New Roman" w:cs="Times New Roman"/>
          <w:sz w:val="24"/>
          <w:szCs w:val="24"/>
          <w:lang w:val="bg-BG"/>
        </w:rPr>
        <w:t>–</w:t>
      </w:r>
      <w:r w:rsidR="005C1DD5" w:rsidRPr="00610B1B">
        <w:rPr>
          <w:rFonts w:ascii="Times New Roman" w:hAnsi="Times New Roman" w:cs="Times New Roman"/>
          <w:sz w:val="24"/>
          <w:szCs w:val="24"/>
          <w:lang w:val="bg-BG"/>
        </w:rPr>
        <w:t xml:space="preserve"> водите между бреговата линия и изходните линии, от които се измерва ширината на териториалното море; водите на пристанищата, ограничени откъм морето с линията, съединяваща</w:t>
      </w:r>
      <w:r w:rsidR="00D66FE0" w:rsidRPr="00610B1B">
        <w:rPr>
          <w:rFonts w:ascii="Times New Roman" w:hAnsi="Times New Roman" w:cs="Times New Roman"/>
          <w:sz w:val="24"/>
          <w:szCs w:val="24"/>
          <w:lang w:val="bg-BG"/>
        </w:rPr>
        <w:t xml:space="preserve"> </w:t>
      </w:r>
      <w:r w:rsidR="005C1DD5" w:rsidRPr="00610B1B">
        <w:rPr>
          <w:rFonts w:ascii="Times New Roman" w:hAnsi="Times New Roman" w:cs="Times New Roman"/>
          <w:sz w:val="24"/>
          <w:szCs w:val="24"/>
          <w:lang w:val="bg-BG"/>
        </w:rPr>
        <w:t>най-отдалечените точки в морето на котвените места, хидротехническите и другите постоянни пристанищни съоръжения; водите на Варненския залив между бреговата линия и правата линия, съединяваща нос Св. Константин с нос Иланджик; на Бургаския залив между бреговата линия и правата линия, съединяваща нос Емине с Маслен нос; и водите между бреговата линия и правите изходни линии, съединяващи нос Калиакра с нос Тузлата, нос Тузлата с нос Екрене и Маслен нос с нос Ропи.</w:t>
      </w:r>
    </w:p>
    <w:p w14:paraId="519059EB" w14:textId="7C419445" w:rsidR="00B21160" w:rsidRPr="00610B1B" w:rsidRDefault="00B21160"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Добро състояние на околната среда</w:t>
      </w:r>
      <w:r w:rsidRPr="00610B1B">
        <w:rPr>
          <w:rFonts w:ascii="Times New Roman" w:hAnsi="Times New Roman" w:cs="Times New Roman"/>
          <w:sz w:val="24"/>
          <w:szCs w:val="24"/>
          <w:lang w:val="bg-BG"/>
        </w:rPr>
        <w:t xml:space="preserve"> - състоянието на околната среда в морските води (морската околна среда), водите на която са чисти, здравословни и продуктивни в съответствие с естествените специфични условия, и чието използване е устойчиво със запазен потенциал за използване от сегашните и бъдещите поколения.</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(Наредба за опазване на околната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среда в морските води)</w:t>
      </w:r>
    </w:p>
    <w:p w14:paraId="14DFB682" w14:textId="3C6AEB91" w:rsidR="00864D42" w:rsidRPr="00610B1B" w:rsidRDefault="00864D4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Екосистема</w:t>
      </w:r>
      <w:r w:rsidR="00B21160" w:rsidRPr="00610B1B">
        <w:rPr>
          <w:rFonts w:ascii="Times New Roman" w:hAnsi="Times New Roman" w:cs="Times New Roman"/>
          <w:sz w:val="24"/>
          <w:szCs w:val="24"/>
          <w:lang w:val="bg-BG"/>
        </w:rPr>
        <w:t xml:space="preserve"> - цялостна система, включваща комплекси от организми и целия комплекс от физически фактори, формиращи околната среда. (ИАОС)</w:t>
      </w:r>
    </w:p>
    <w:p w14:paraId="73BCB356" w14:textId="29B0C550" w:rsidR="00864D42" w:rsidRPr="00610B1B" w:rsidRDefault="00864D4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Екосистемен подход</w:t>
      </w:r>
      <w:r w:rsidR="001B1364" w:rsidRPr="00610B1B">
        <w:rPr>
          <w:rFonts w:ascii="Times New Roman" w:hAnsi="Times New Roman" w:cs="Times New Roman"/>
          <w:sz w:val="24"/>
          <w:szCs w:val="24"/>
          <w:lang w:val="bg-BG"/>
        </w:rPr>
        <w:t xml:space="preserve"> - отчитане на екологичните изисквания на компонентите на дадена екосистема във взаимовръзка и развитие</w:t>
      </w:r>
      <w:r w:rsidR="00D66FE0" w:rsidRPr="00610B1B">
        <w:rPr>
          <w:rFonts w:ascii="Times New Roman" w:hAnsi="Times New Roman" w:cs="Times New Roman"/>
          <w:lang w:val="bg-BG"/>
        </w:rPr>
        <w:t xml:space="preserve"> </w:t>
      </w:r>
      <w:r w:rsidR="001B1364" w:rsidRPr="00610B1B">
        <w:rPr>
          <w:rFonts w:ascii="Times New Roman" w:hAnsi="Times New Roman" w:cs="Times New Roman"/>
          <w:lang w:val="bg-BG"/>
        </w:rPr>
        <w:t>(</w:t>
      </w:r>
      <w:r w:rsidR="001B1364" w:rsidRPr="00610B1B">
        <w:rPr>
          <w:rFonts w:ascii="Times New Roman" w:hAnsi="Times New Roman" w:cs="Times New Roman"/>
          <w:sz w:val="24"/>
          <w:szCs w:val="24"/>
          <w:lang w:val="bg-BG"/>
        </w:rPr>
        <w:t>Наредба за опазване на околната</w:t>
      </w:r>
      <w:r w:rsidR="00D66FE0" w:rsidRPr="00610B1B">
        <w:rPr>
          <w:rFonts w:ascii="Times New Roman" w:hAnsi="Times New Roman" w:cs="Times New Roman"/>
          <w:sz w:val="24"/>
          <w:szCs w:val="24"/>
          <w:lang w:val="bg-BG"/>
        </w:rPr>
        <w:t xml:space="preserve"> </w:t>
      </w:r>
      <w:r w:rsidR="001B1364" w:rsidRPr="00610B1B">
        <w:rPr>
          <w:rFonts w:ascii="Times New Roman" w:hAnsi="Times New Roman" w:cs="Times New Roman"/>
          <w:sz w:val="24"/>
          <w:szCs w:val="24"/>
          <w:lang w:val="bg-BG"/>
        </w:rPr>
        <w:t>среда в морските води)</w:t>
      </w:r>
    </w:p>
    <w:p w14:paraId="1B76BE15" w14:textId="0A1BF47E" w:rsidR="00864D42" w:rsidRPr="00610B1B" w:rsidRDefault="00864D4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Екосистемни услуги</w:t>
      </w:r>
      <w:r w:rsidR="00B21160" w:rsidRPr="00610B1B">
        <w:rPr>
          <w:rFonts w:ascii="Times New Roman" w:hAnsi="Times New Roman" w:cs="Times New Roman"/>
          <w:b/>
          <w:sz w:val="24"/>
          <w:szCs w:val="24"/>
          <w:lang w:val="bg-BG"/>
        </w:rPr>
        <w:t xml:space="preserve"> </w:t>
      </w:r>
      <w:r w:rsidR="00B21160" w:rsidRPr="00610B1B">
        <w:rPr>
          <w:rFonts w:ascii="Times New Roman" w:hAnsi="Times New Roman" w:cs="Times New Roman"/>
          <w:sz w:val="24"/>
          <w:szCs w:val="24"/>
          <w:lang w:val="bg-BG"/>
        </w:rPr>
        <w:t>- условия и процеси, чрез които природните екосистеми и организми които ги съставят, поддържат и запълват своя живот - ползите, които човек извлича директно или индиректно от екосистемните функции. (ИАОС)</w:t>
      </w:r>
    </w:p>
    <w:p w14:paraId="11DA81B2" w14:textId="59912D78" w:rsidR="001B1364" w:rsidRPr="00610B1B" w:rsidRDefault="001B1364"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Еутрофикация</w:t>
      </w:r>
      <w:r w:rsidRPr="00610B1B">
        <w:rPr>
          <w:rFonts w:ascii="Times New Roman" w:hAnsi="Times New Roman" w:cs="Times New Roman"/>
          <w:sz w:val="24"/>
          <w:szCs w:val="24"/>
          <w:lang w:val="bg-BG"/>
        </w:rPr>
        <w:t xml:space="preserve"> - обогатяване на водата с азотни и фосфорни съединения, при което се предизвиква усилен растеж на водорасли и висша водна растителност и като резултат се поражда нежелано нарушаване на равновесието на намиращите се във водната среда организми, както и влошаване на качеството на водите.</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(Наредба за опазване на околната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среда в морските води)</w:t>
      </w:r>
    </w:p>
    <w:p w14:paraId="75013FE9" w14:textId="2100FD83" w:rsidR="001B1364" w:rsidRPr="00610B1B" w:rsidRDefault="001B1364"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Защитена морска територия</w:t>
      </w:r>
      <w:r w:rsidRPr="00610B1B">
        <w:rPr>
          <w:rFonts w:ascii="Times New Roman" w:hAnsi="Times New Roman" w:cs="Times New Roman"/>
          <w:sz w:val="24"/>
          <w:szCs w:val="24"/>
          <w:lang w:val="bg-BG"/>
        </w:rPr>
        <w:t xml:space="preserve"> - територия, включваща защитени зони по смисъла на ЗБР, защитени територии по смисъла на ЗЗТ и територии, определени по силата на международни или регионални споразумения, по които Република България е страна. (Наредба за опазване на околната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среда в морските води)</w:t>
      </w:r>
    </w:p>
    <w:p w14:paraId="49BF50FD" w14:textId="51365EDD" w:rsidR="00307D22" w:rsidRPr="00610B1B" w:rsidRDefault="00307D2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Изключителна икономическа зона</w:t>
      </w:r>
      <w:r w:rsidR="00924B42" w:rsidRPr="00610B1B">
        <w:rPr>
          <w:rFonts w:ascii="Times New Roman" w:hAnsi="Times New Roman" w:cs="Times New Roman"/>
          <w:sz w:val="24"/>
          <w:szCs w:val="24"/>
          <w:lang w:val="bg-BG"/>
        </w:rPr>
        <w:t xml:space="preserve"> - </w:t>
      </w:r>
      <w:r w:rsidR="00DF5621" w:rsidRPr="00610B1B">
        <w:rPr>
          <w:rFonts w:ascii="Times New Roman" w:hAnsi="Times New Roman" w:cs="Times New Roman"/>
          <w:sz w:val="24"/>
          <w:szCs w:val="24"/>
          <w:lang w:val="bg-BG"/>
        </w:rPr>
        <w:t>Изключителната икономическа зона на Р. България се простира отвъд границите на териториалното море на разстояние до 200 морски мили от изходните линии, от които се измерва ширината на териториалното море. (</w:t>
      </w:r>
      <w:r w:rsidR="00924B42" w:rsidRPr="00610B1B">
        <w:rPr>
          <w:rFonts w:ascii="Times New Roman" w:hAnsi="Times New Roman" w:cs="Times New Roman"/>
          <w:sz w:val="24"/>
          <w:szCs w:val="24"/>
          <w:lang w:val="bg-BG"/>
        </w:rPr>
        <w:t>ЗМПВВППРБ</w:t>
      </w:r>
      <w:r w:rsidR="00DF5621" w:rsidRPr="00610B1B">
        <w:rPr>
          <w:rFonts w:ascii="Times New Roman" w:hAnsi="Times New Roman" w:cs="Times New Roman"/>
          <w:sz w:val="24"/>
          <w:szCs w:val="24"/>
          <w:lang w:val="bg-BG"/>
        </w:rPr>
        <w:t xml:space="preserve"> чл. 45)</w:t>
      </w:r>
    </w:p>
    <w:p w14:paraId="1B92D71D" w14:textId="041E62BD" w:rsidR="00307D22" w:rsidRPr="00610B1B" w:rsidRDefault="00307D2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Континентален шелф</w:t>
      </w:r>
      <w:r w:rsidR="00924B42" w:rsidRPr="00610B1B">
        <w:rPr>
          <w:rFonts w:ascii="Times New Roman" w:hAnsi="Times New Roman" w:cs="Times New Roman"/>
          <w:sz w:val="24"/>
          <w:szCs w:val="24"/>
          <w:lang w:val="bg-BG"/>
        </w:rPr>
        <w:t xml:space="preserve"> - </w:t>
      </w:r>
      <w:r w:rsidR="00DF5621" w:rsidRPr="00610B1B">
        <w:rPr>
          <w:rFonts w:ascii="Times New Roman" w:hAnsi="Times New Roman" w:cs="Times New Roman"/>
          <w:sz w:val="24"/>
          <w:szCs w:val="24"/>
          <w:lang w:val="bg-BG"/>
        </w:rPr>
        <w:t xml:space="preserve">морското дъно и недрата на подводния район, които са естествено продължение на сухоземната територия и се разпростират отвъд териториалното море до </w:t>
      </w:r>
      <w:r w:rsidR="00DF5621" w:rsidRPr="00610B1B">
        <w:rPr>
          <w:rFonts w:ascii="Times New Roman" w:hAnsi="Times New Roman" w:cs="Times New Roman"/>
          <w:sz w:val="24"/>
          <w:szCs w:val="24"/>
          <w:lang w:val="bg-BG"/>
        </w:rPr>
        <w:lastRenderedPageBreak/>
        <w:t>установените граници с континенталния шелф на другите прилежащи и срещулежащи държави. (</w:t>
      </w:r>
      <w:r w:rsidR="00924B42" w:rsidRPr="00610B1B">
        <w:rPr>
          <w:rFonts w:ascii="Times New Roman" w:hAnsi="Times New Roman" w:cs="Times New Roman"/>
          <w:sz w:val="24"/>
          <w:szCs w:val="24"/>
          <w:lang w:val="bg-BG"/>
        </w:rPr>
        <w:t>ЗМПВВППРБ</w:t>
      </w:r>
      <w:r w:rsidR="00DF5621" w:rsidRPr="00610B1B">
        <w:rPr>
          <w:rFonts w:ascii="Times New Roman" w:hAnsi="Times New Roman" w:cs="Times New Roman"/>
          <w:sz w:val="24"/>
          <w:szCs w:val="24"/>
          <w:lang w:val="bg-BG"/>
        </w:rPr>
        <w:t xml:space="preserve"> чл. 40)</w:t>
      </w:r>
    </w:p>
    <w:p w14:paraId="1E79BE77" w14:textId="54F7CE0B" w:rsidR="007416A7" w:rsidRPr="00610B1B" w:rsidRDefault="00307D2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Крайбрежни морски води</w:t>
      </w:r>
      <w:r w:rsidR="00924B42" w:rsidRPr="00610B1B">
        <w:rPr>
          <w:rFonts w:ascii="Times New Roman" w:hAnsi="Times New Roman" w:cs="Times New Roman"/>
          <w:sz w:val="24"/>
          <w:szCs w:val="24"/>
          <w:lang w:val="bg-BG"/>
        </w:rPr>
        <w:t xml:space="preserve"> </w:t>
      </w:r>
      <w:r w:rsidR="001B1364" w:rsidRPr="00610B1B">
        <w:rPr>
          <w:rFonts w:ascii="Times New Roman" w:hAnsi="Times New Roman" w:cs="Times New Roman"/>
          <w:sz w:val="24"/>
          <w:szCs w:val="24"/>
          <w:lang w:val="bg-BG"/>
        </w:rPr>
        <w:t>–</w:t>
      </w:r>
      <w:r w:rsidR="007416A7" w:rsidRPr="00610B1B">
        <w:rPr>
          <w:rFonts w:ascii="Times New Roman" w:hAnsi="Times New Roman" w:cs="Times New Roman"/>
          <w:sz w:val="24"/>
          <w:szCs w:val="24"/>
          <w:lang w:val="bg-BG"/>
        </w:rPr>
        <w:t xml:space="preserve"> акваторията от Черно море в границите на една морска миля от брега, включително и до външната граница на вътрешните морски води. (Закон за водите) </w:t>
      </w:r>
    </w:p>
    <w:p w14:paraId="5BA6085F" w14:textId="2A2FA185" w:rsidR="001B1364" w:rsidRPr="00610B1B" w:rsidRDefault="001B1364"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Морски регион</w:t>
      </w:r>
      <w:r w:rsidRPr="00610B1B">
        <w:rPr>
          <w:rFonts w:ascii="Times New Roman" w:hAnsi="Times New Roman" w:cs="Times New Roman"/>
          <w:sz w:val="24"/>
          <w:szCs w:val="24"/>
          <w:lang w:val="bg-BG"/>
        </w:rPr>
        <w:t xml:space="preserve"> – регионът на Черно море (Наредба за опазване на околната</w:t>
      </w:r>
      <w:r w:rsidR="00D66FE0" w:rsidRPr="00610B1B">
        <w:rPr>
          <w:rFonts w:ascii="Times New Roman" w:hAnsi="Times New Roman" w:cs="Times New Roman"/>
          <w:sz w:val="24"/>
          <w:szCs w:val="24"/>
          <w:lang w:val="bg-BG"/>
        </w:rPr>
        <w:t xml:space="preserve"> </w:t>
      </w:r>
      <w:r w:rsidRPr="00610B1B">
        <w:rPr>
          <w:rFonts w:ascii="Times New Roman" w:hAnsi="Times New Roman" w:cs="Times New Roman"/>
          <w:sz w:val="24"/>
          <w:szCs w:val="24"/>
          <w:lang w:val="bg-BG"/>
        </w:rPr>
        <w:t>среда в морските води)</w:t>
      </w:r>
    </w:p>
    <w:p w14:paraId="300CE699" w14:textId="3DE39999" w:rsidR="00307D22" w:rsidRPr="00610B1B" w:rsidRDefault="00307D2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Морско пространствено планиране</w:t>
      </w:r>
      <w:r w:rsidR="00924B42" w:rsidRPr="00610B1B">
        <w:rPr>
          <w:rFonts w:ascii="Times New Roman" w:hAnsi="Times New Roman" w:cs="Times New Roman"/>
          <w:sz w:val="24"/>
          <w:szCs w:val="24"/>
          <w:lang w:val="bg-BG"/>
        </w:rPr>
        <w:t xml:space="preserve"> </w:t>
      </w:r>
      <w:r w:rsidR="00B21160" w:rsidRPr="00610B1B">
        <w:rPr>
          <w:rFonts w:ascii="Times New Roman" w:hAnsi="Times New Roman" w:cs="Times New Roman"/>
          <w:sz w:val="24"/>
          <w:szCs w:val="24"/>
          <w:lang w:val="bg-BG"/>
        </w:rPr>
        <w:t>–</w:t>
      </w:r>
      <w:r w:rsidR="007416A7" w:rsidRPr="00610B1B">
        <w:rPr>
          <w:rFonts w:ascii="Times New Roman" w:hAnsi="Times New Roman" w:cs="Times New Roman"/>
          <w:sz w:val="24"/>
          <w:szCs w:val="24"/>
          <w:lang w:val="bg-BG"/>
        </w:rPr>
        <w:t xml:space="preserve"> процес, чрез който съответните органи на държавите членки анализират и организират човешките дейности в морските райони за постигане на екологичните, икономическите и социалните цели. (Директива 2014/89, чл. 3 ал. 2)</w:t>
      </w:r>
    </w:p>
    <w:p w14:paraId="3ACEE983" w14:textId="7330F3C2" w:rsidR="00B21160" w:rsidRPr="00610B1B" w:rsidRDefault="00B21160"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Подводно културно наследство</w:t>
      </w:r>
      <w:r w:rsidRPr="00610B1B">
        <w:rPr>
          <w:rFonts w:ascii="Times New Roman" w:hAnsi="Times New Roman" w:cs="Times New Roman"/>
          <w:sz w:val="24"/>
          <w:szCs w:val="24"/>
          <w:lang w:val="bg-BG"/>
        </w:rPr>
        <w:t xml:space="preserve"> - </w:t>
      </w:r>
      <w:r w:rsidR="005C1DD5" w:rsidRPr="00610B1B">
        <w:rPr>
          <w:rFonts w:ascii="Times New Roman" w:hAnsi="Times New Roman" w:cs="Times New Roman"/>
          <w:sz w:val="24"/>
          <w:szCs w:val="24"/>
          <w:lang w:val="bg-BG"/>
        </w:rPr>
        <w:t>всички следи от човешко съществуване от културно, историческо или археологическо естество, които са частично или изцяло потънали, периодично или постоянно, от минимум 100 години. (Конвенция за опазване на подводното културно наследство)</w:t>
      </w:r>
    </w:p>
    <w:p w14:paraId="0C35FB05" w14:textId="3C3E5D95" w:rsidR="005C1DD5" w:rsidRPr="00610B1B" w:rsidRDefault="00307D2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Преходни води</w:t>
      </w:r>
      <w:r w:rsidR="005C1DD5" w:rsidRPr="00610B1B">
        <w:rPr>
          <w:rFonts w:ascii="Times New Roman" w:hAnsi="Times New Roman" w:cs="Times New Roman"/>
          <w:lang w:val="bg-BG"/>
        </w:rPr>
        <w:t xml:space="preserve"> -</w:t>
      </w:r>
      <w:r w:rsidR="00D66FE0" w:rsidRPr="00610B1B">
        <w:rPr>
          <w:rFonts w:ascii="Times New Roman" w:hAnsi="Times New Roman" w:cs="Times New Roman"/>
          <w:lang w:val="bg-BG"/>
        </w:rPr>
        <w:t xml:space="preserve"> </w:t>
      </w:r>
      <w:r w:rsidR="005C1DD5" w:rsidRPr="00610B1B">
        <w:rPr>
          <w:rFonts w:ascii="Times New Roman" w:hAnsi="Times New Roman" w:cs="Times New Roman"/>
          <w:sz w:val="24"/>
          <w:szCs w:val="24"/>
          <w:lang w:val="bg-BG"/>
        </w:rPr>
        <w:t>повърхностни водни обекти в близост с речни устия, които са отчасти солени поради своята близост до крайбрежните води, но се влияят в значителна степен от потоци от сладки води. (РДВ, Закон за водите)</w:t>
      </w:r>
    </w:p>
    <w:p w14:paraId="03FDFFAE" w14:textId="2CE499C0" w:rsidR="00307D22" w:rsidRPr="00610B1B" w:rsidRDefault="00307D2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Прилежаща зона</w:t>
      </w:r>
      <w:r w:rsidR="00924B42" w:rsidRPr="00610B1B">
        <w:rPr>
          <w:rFonts w:ascii="Times New Roman" w:hAnsi="Times New Roman" w:cs="Times New Roman"/>
          <w:sz w:val="24"/>
          <w:szCs w:val="24"/>
          <w:lang w:val="bg-BG"/>
        </w:rPr>
        <w:t xml:space="preserve"> - </w:t>
      </w:r>
      <w:r w:rsidR="002E5B20" w:rsidRPr="00610B1B">
        <w:rPr>
          <w:rFonts w:ascii="Times New Roman" w:hAnsi="Times New Roman" w:cs="Times New Roman"/>
          <w:sz w:val="24"/>
          <w:szCs w:val="24"/>
          <w:lang w:val="bg-BG"/>
        </w:rPr>
        <w:t>морската ивица, която се опира до териториалното море и се разпростира на разстояние 24 морски мили от изходните линии, от които се измерва ширината на териториалното море. (</w:t>
      </w:r>
      <w:r w:rsidR="00924B42" w:rsidRPr="00610B1B">
        <w:rPr>
          <w:rFonts w:ascii="Times New Roman" w:hAnsi="Times New Roman" w:cs="Times New Roman"/>
          <w:sz w:val="24"/>
          <w:szCs w:val="24"/>
          <w:lang w:val="bg-BG"/>
        </w:rPr>
        <w:t>ЗМПВВППРБ</w:t>
      </w:r>
      <w:r w:rsidR="002E5B20" w:rsidRPr="00610B1B">
        <w:rPr>
          <w:rFonts w:ascii="Times New Roman" w:hAnsi="Times New Roman" w:cs="Times New Roman"/>
          <w:sz w:val="24"/>
          <w:szCs w:val="24"/>
          <w:lang w:val="bg-BG"/>
        </w:rPr>
        <w:t xml:space="preserve">, </w:t>
      </w:r>
      <w:r w:rsidR="00DF5621" w:rsidRPr="00610B1B">
        <w:rPr>
          <w:rFonts w:ascii="Times New Roman" w:hAnsi="Times New Roman" w:cs="Times New Roman"/>
          <w:sz w:val="24"/>
          <w:szCs w:val="24"/>
          <w:lang w:val="bg-BG"/>
        </w:rPr>
        <w:t>чл. 37</w:t>
      </w:r>
      <w:r w:rsidR="002E5B20" w:rsidRPr="00610B1B">
        <w:rPr>
          <w:rFonts w:ascii="Times New Roman" w:hAnsi="Times New Roman" w:cs="Times New Roman"/>
          <w:sz w:val="24"/>
          <w:szCs w:val="24"/>
          <w:lang w:val="bg-BG"/>
        </w:rPr>
        <w:t>)</w:t>
      </w:r>
      <w:r w:rsidRPr="00610B1B">
        <w:rPr>
          <w:rFonts w:ascii="Times New Roman" w:hAnsi="Times New Roman" w:cs="Times New Roman"/>
          <w:sz w:val="24"/>
          <w:szCs w:val="24"/>
          <w:lang w:val="bg-BG"/>
        </w:rPr>
        <w:t xml:space="preserve"> </w:t>
      </w:r>
    </w:p>
    <w:p w14:paraId="06BFA39D" w14:textId="4884258E" w:rsidR="001B1364" w:rsidRPr="00610B1B" w:rsidRDefault="001B1364"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Пристанищен терминал</w:t>
      </w:r>
      <w:r w:rsidRPr="00610B1B">
        <w:rPr>
          <w:rFonts w:ascii="Times New Roman" w:hAnsi="Times New Roman" w:cs="Times New Roman"/>
          <w:sz w:val="24"/>
          <w:szCs w:val="24"/>
          <w:lang w:val="bg-BG"/>
        </w:rPr>
        <w:t xml:space="preserve"> - териториално обособена зона от пристанище за обществен транспорт, която осигурява завършен процес по приемане, обработка, съхраняване и експедиране на определен тип товари и/или поща по определена технология или за обслужване на пътници (ЗМПВВППРБ § 2. т. 16 от ДР)</w:t>
      </w:r>
    </w:p>
    <w:p w14:paraId="6E181A15" w14:textId="1299C5DE" w:rsidR="00307D22" w:rsidRPr="00610B1B" w:rsidRDefault="00307D2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Пространствено планиране</w:t>
      </w:r>
      <w:r w:rsidR="002E5B20" w:rsidRPr="00610B1B">
        <w:rPr>
          <w:rFonts w:ascii="Times New Roman" w:hAnsi="Times New Roman" w:cs="Times New Roman"/>
          <w:sz w:val="24"/>
          <w:szCs w:val="24"/>
          <w:lang w:val="bg-BG"/>
        </w:rPr>
        <w:t xml:space="preserve"> - процесът на създаване на териториална основа за координиране на секторните политики на национално, регионално и местно ниво чрез система от йерархично обвързани документи, които в съответствие с териториалния потенциал определят стратегията за интегрирано пространствено развитие. (НКПР, Актуализация 2019 г.)</w:t>
      </w:r>
    </w:p>
    <w:p w14:paraId="56DD5406" w14:textId="4111457B" w:rsidR="002E5B20" w:rsidRPr="00610B1B" w:rsidRDefault="002E5B20"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Пространствено развитие</w:t>
      </w:r>
      <w:r w:rsidRPr="00610B1B">
        <w:rPr>
          <w:rFonts w:ascii="Times New Roman" w:hAnsi="Times New Roman" w:cs="Times New Roman"/>
          <w:sz w:val="24"/>
          <w:szCs w:val="24"/>
          <w:lang w:val="bg-BG"/>
        </w:rPr>
        <w:t xml:space="preserve"> –</w:t>
      </w:r>
      <w:r w:rsidRPr="00610B1B">
        <w:rPr>
          <w:rFonts w:ascii="Times New Roman" w:hAnsi="Times New Roman" w:cs="Times New Roman"/>
          <w:lang w:val="bg-BG"/>
        </w:rPr>
        <w:t xml:space="preserve"> </w:t>
      </w:r>
      <w:r w:rsidRPr="00610B1B">
        <w:rPr>
          <w:rFonts w:ascii="Times New Roman" w:hAnsi="Times New Roman" w:cs="Times New Roman"/>
          <w:sz w:val="24"/>
          <w:szCs w:val="24"/>
          <w:lang w:val="bg-BG"/>
        </w:rPr>
        <w:t>еволюцията на територията във всичките</w:t>
      </w:r>
      <w:r w:rsidR="00DE3A13" w:rsidRPr="00610B1B">
        <w:rPr>
          <w:rFonts w:ascii="Times New Roman" w:hAnsi="Times New Roman" w:cs="Times New Roman"/>
          <w:sz w:val="24"/>
          <w:szCs w:val="24"/>
          <w:lang w:val="bg-BG"/>
        </w:rPr>
        <w:t xml:space="preserve"> ѝ </w:t>
      </w:r>
      <w:r w:rsidRPr="00610B1B">
        <w:rPr>
          <w:rFonts w:ascii="Times New Roman" w:hAnsi="Times New Roman" w:cs="Times New Roman"/>
          <w:sz w:val="24"/>
          <w:szCs w:val="24"/>
          <w:lang w:val="bg-BG"/>
        </w:rPr>
        <w:t xml:space="preserve">измерения (икономически, социални, екологични и физически) </w:t>
      </w:r>
    </w:p>
    <w:p w14:paraId="0D5059DB" w14:textId="6A2AA971" w:rsidR="00307D22" w:rsidRPr="00610B1B" w:rsidRDefault="00307D22" w:rsidP="00BE57CC">
      <w:pPr>
        <w:spacing w:after="80"/>
        <w:ind w:right="-153"/>
        <w:jc w:val="both"/>
        <w:rPr>
          <w:rFonts w:ascii="Times New Roman" w:hAnsi="Times New Roman" w:cs="Times New Roman"/>
          <w:sz w:val="24"/>
          <w:szCs w:val="24"/>
          <w:lang w:val="bg-BG"/>
        </w:rPr>
      </w:pPr>
      <w:r w:rsidRPr="00610B1B">
        <w:rPr>
          <w:rFonts w:ascii="Times New Roman" w:hAnsi="Times New Roman" w:cs="Times New Roman"/>
          <w:b/>
          <w:sz w:val="24"/>
          <w:szCs w:val="24"/>
          <w:lang w:val="bg-BG"/>
        </w:rPr>
        <w:t>Териториално море</w:t>
      </w:r>
      <w:r w:rsidR="00924B42" w:rsidRPr="00610B1B">
        <w:rPr>
          <w:rFonts w:ascii="Times New Roman" w:hAnsi="Times New Roman" w:cs="Times New Roman"/>
          <w:sz w:val="24"/>
          <w:szCs w:val="24"/>
          <w:lang w:val="bg-BG"/>
        </w:rPr>
        <w:t xml:space="preserve"> -</w:t>
      </w:r>
      <w:r w:rsidR="00D66FE0" w:rsidRPr="00610B1B">
        <w:rPr>
          <w:rFonts w:ascii="Times New Roman" w:hAnsi="Times New Roman" w:cs="Times New Roman"/>
          <w:sz w:val="24"/>
          <w:szCs w:val="24"/>
          <w:lang w:val="bg-BG"/>
        </w:rPr>
        <w:t xml:space="preserve"> </w:t>
      </w:r>
      <w:r w:rsidR="009147DA" w:rsidRPr="00610B1B">
        <w:rPr>
          <w:rFonts w:ascii="Times New Roman" w:hAnsi="Times New Roman" w:cs="Times New Roman"/>
          <w:sz w:val="24"/>
          <w:szCs w:val="24"/>
          <w:lang w:val="bg-BG"/>
        </w:rPr>
        <w:t>прилежащата към брега и вътрешните морски води морска ивица с широчина 12 морски мили, измервана от изходните линии</w:t>
      </w:r>
      <w:r w:rsidR="002E5B20" w:rsidRPr="00610B1B">
        <w:rPr>
          <w:rFonts w:ascii="Times New Roman" w:hAnsi="Times New Roman" w:cs="Times New Roman"/>
          <w:sz w:val="24"/>
          <w:szCs w:val="24"/>
          <w:lang w:val="bg-BG"/>
        </w:rPr>
        <w:t xml:space="preserve"> (</w:t>
      </w:r>
      <w:r w:rsidR="009147DA" w:rsidRPr="00610B1B">
        <w:rPr>
          <w:rFonts w:ascii="Times New Roman" w:hAnsi="Times New Roman" w:cs="Times New Roman"/>
          <w:sz w:val="24"/>
          <w:szCs w:val="24"/>
          <w:lang w:val="bg-BG"/>
        </w:rPr>
        <w:t>линията на най-големия отлив от брега или правите</w:t>
      </w:r>
      <w:r w:rsidR="002E5B20" w:rsidRPr="00610B1B">
        <w:rPr>
          <w:rFonts w:ascii="Times New Roman" w:hAnsi="Times New Roman" w:cs="Times New Roman"/>
          <w:sz w:val="24"/>
          <w:szCs w:val="24"/>
          <w:lang w:val="bg-BG"/>
        </w:rPr>
        <w:t xml:space="preserve"> </w:t>
      </w:r>
      <w:r w:rsidR="009147DA" w:rsidRPr="00610B1B">
        <w:rPr>
          <w:rFonts w:ascii="Times New Roman" w:hAnsi="Times New Roman" w:cs="Times New Roman"/>
          <w:sz w:val="24"/>
          <w:szCs w:val="24"/>
          <w:lang w:val="bg-BG"/>
        </w:rPr>
        <w:t>линии, съединяващи двете крайни точки на заливите и пространствата, посочени в чл. 6</w:t>
      </w:r>
      <w:r w:rsidR="002E5B20" w:rsidRPr="00610B1B">
        <w:rPr>
          <w:rFonts w:ascii="Times New Roman" w:hAnsi="Times New Roman" w:cs="Times New Roman"/>
          <w:sz w:val="24"/>
          <w:szCs w:val="24"/>
          <w:lang w:val="bg-BG"/>
        </w:rPr>
        <w:t xml:space="preserve"> на </w:t>
      </w:r>
      <w:r w:rsidR="00924B42" w:rsidRPr="00610B1B">
        <w:rPr>
          <w:rFonts w:ascii="Times New Roman" w:hAnsi="Times New Roman" w:cs="Times New Roman"/>
          <w:sz w:val="24"/>
          <w:szCs w:val="24"/>
          <w:lang w:val="bg-BG"/>
        </w:rPr>
        <w:t>ЗМПВВППРБ</w:t>
      </w:r>
      <w:r w:rsidR="002E5B20" w:rsidRPr="00610B1B">
        <w:rPr>
          <w:rFonts w:ascii="Times New Roman" w:hAnsi="Times New Roman" w:cs="Times New Roman"/>
          <w:sz w:val="24"/>
          <w:szCs w:val="24"/>
          <w:lang w:val="bg-BG"/>
        </w:rPr>
        <w:t>.</w:t>
      </w:r>
    </w:p>
    <w:p w14:paraId="0711BA57" w14:textId="6CFF6128" w:rsidR="005C1DD5" w:rsidRPr="00610B1B" w:rsidRDefault="00307D22" w:rsidP="00BE57CC">
      <w:pPr>
        <w:spacing w:after="120"/>
        <w:ind w:right="-153"/>
        <w:jc w:val="both"/>
        <w:rPr>
          <w:rFonts w:ascii="Times New Roman" w:eastAsia="Source Han Sans CN Regular" w:hAnsi="Times New Roman" w:cs="Times New Roman"/>
          <w:b/>
          <w:bCs/>
          <w:color w:val="0F243E" w:themeColor="text2" w:themeShade="80"/>
          <w:sz w:val="36"/>
          <w:szCs w:val="36"/>
          <w:lang w:val="bg-BG" w:eastAsia="zh-CN" w:bidi="hi-IN"/>
        </w:rPr>
      </w:pPr>
      <w:r w:rsidRPr="00610B1B">
        <w:rPr>
          <w:rFonts w:ascii="Times New Roman" w:hAnsi="Times New Roman" w:cs="Times New Roman"/>
          <w:b/>
          <w:sz w:val="24"/>
          <w:szCs w:val="24"/>
          <w:lang w:val="bg-BG"/>
        </w:rPr>
        <w:t xml:space="preserve">Фарватер </w:t>
      </w:r>
      <w:r w:rsidR="00A846D3" w:rsidRPr="00610B1B">
        <w:rPr>
          <w:rFonts w:ascii="Times New Roman" w:hAnsi="Times New Roman" w:cs="Times New Roman"/>
          <w:sz w:val="24"/>
          <w:szCs w:val="24"/>
          <w:lang w:val="bg-BG"/>
        </w:rPr>
        <w:t>-</w:t>
      </w:r>
      <w:r w:rsidR="00D66FE0" w:rsidRPr="00610B1B">
        <w:rPr>
          <w:rFonts w:ascii="Times New Roman" w:hAnsi="Times New Roman" w:cs="Times New Roman"/>
          <w:sz w:val="24"/>
          <w:szCs w:val="24"/>
          <w:lang w:val="bg-BG"/>
        </w:rPr>
        <w:t xml:space="preserve"> </w:t>
      </w:r>
      <w:r w:rsidR="007416A7" w:rsidRPr="00610B1B">
        <w:rPr>
          <w:rFonts w:ascii="Times New Roman" w:hAnsi="Times New Roman" w:cs="Times New Roman"/>
          <w:sz w:val="24"/>
          <w:szCs w:val="24"/>
          <w:lang w:val="bg-BG"/>
        </w:rPr>
        <w:t>Път за плавателни съдове, безопасен в навигационно отношение и обозначен на местността и/или на карта проход във водното</w:t>
      </w:r>
      <w:r w:rsidR="00963B36" w:rsidRPr="00610B1B">
        <w:rPr>
          <w:rFonts w:ascii="Times New Roman" w:hAnsi="Times New Roman" w:cs="Times New Roman"/>
          <w:sz w:val="24"/>
          <w:szCs w:val="24"/>
          <w:lang w:val="bg-BG"/>
        </w:rPr>
        <w:t xml:space="preserve"> пространство</w:t>
      </w:r>
      <w:r w:rsidR="007416A7" w:rsidRPr="00610B1B">
        <w:rPr>
          <w:rFonts w:ascii="Times New Roman" w:hAnsi="Times New Roman" w:cs="Times New Roman"/>
          <w:sz w:val="24"/>
          <w:szCs w:val="24"/>
          <w:lang w:val="bg-BG"/>
        </w:rPr>
        <w:t>, характеризиращ се с достатъчна дълбочина и липса на препятствия за преминаващите съдове.</w:t>
      </w:r>
      <w:r w:rsidR="005C1DD5" w:rsidRPr="00610B1B">
        <w:rPr>
          <w:rFonts w:ascii="Times New Roman" w:hAnsi="Times New Roman" w:cs="Times New Roman"/>
          <w:lang w:val="bg-BG"/>
        </w:rPr>
        <w:br w:type="page"/>
      </w:r>
    </w:p>
    <w:p w14:paraId="4FA04538" w14:textId="5F1D6DFF" w:rsidR="00B0133C" w:rsidRPr="00610B1B" w:rsidRDefault="00E0439B" w:rsidP="009463FB">
      <w:pPr>
        <w:pStyle w:val="Heading1"/>
        <w:spacing w:before="0" w:after="120" w:line="276" w:lineRule="auto"/>
        <w:rPr>
          <w:rFonts w:cs="Times New Roman"/>
        </w:rPr>
      </w:pPr>
      <w:bookmarkStart w:id="527" w:name="_Toc83391455"/>
      <w:r w:rsidRPr="00610B1B">
        <w:rPr>
          <w:rFonts w:cs="Times New Roman"/>
        </w:rPr>
        <w:lastRenderedPageBreak/>
        <w:t>1</w:t>
      </w:r>
      <w:r w:rsidR="00E53F95" w:rsidRPr="00610B1B">
        <w:rPr>
          <w:rFonts w:cs="Times New Roman"/>
        </w:rPr>
        <w:t>1</w:t>
      </w:r>
      <w:r w:rsidR="00F37D59" w:rsidRPr="00610B1B">
        <w:rPr>
          <w:rFonts w:cs="Times New Roman"/>
        </w:rPr>
        <w:t xml:space="preserve">. </w:t>
      </w:r>
      <w:r w:rsidR="00B862CF" w:rsidRPr="00610B1B">
        <w:rPr>
          <w:rFonts w:cs="Times New Roman"/>
        </w:rPr>
        <w:t>ИЗТОЧНИЦИ НА ИНФОРМАЦИЯ</w:t>
      </w:r>
      <w:bookmarkEnd w:id="527"/>
    </w:p>
    <w:p w14:paraId="029334D2" w14:textId="11081A08" w:rsidR="00DF6C73" w:rsidRPr="00610B1B" w:rsidRDefault="00DF6C73" w:rsidP="00D32D6A">
      <w:pPr>
        <w:pStyle w:val="Heading2"/>
        <w:spacing w:before="0" w:line="276" w:lineRule="auto"/>
        <w:ind w:right="-153"/>
        <w:rPr>
          <w:rFonts w:cs="Times New Roman"/>
        </w:rPr>
      </w:pPr>
      <w:bookmarkStart w:id="528" w:name="_Toc83391456"/>
      <w:r w:rsidRPr="00610B1B">
        <w:rPr>
          <w:rFonts w:cs="Times New Roman"/>
        </w:rPr>
        <w:t>1</w:t>
      </w:r>
      <w:r w:rsidR="00E53F95" w:rsidRPr="00610B1B">
        <w:rPr>
          <w:rFonts w:cs="Times New Roman"/>
        </w:rPr>
        <w:t>1</w:t>
      </w:r>
      <w:r w:rsidRPr="00610B1B">
        <w:rPr>
          <w:rFonts w:cs="Times New Roman"/>
        </w:rPr>
        <w:t>.1. Международни документи</w:t>
      </w:r>
      <w:bookmarkEnd w:id="528"/>
      <w:r w:rsidRPr="00610B1B">
        <w:rPr>
          <w:rFonts w:cs="Times New Roman"/>
        </w:rPr>
        <w:t xml:space="preserve"> </w:t>
      </w:r>
    </w:p>
    <w:p w14:paraId="331E4549" w14:textId="0C89B963"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Конвенция за безопасност на човешкия живот на море (SOLAS), 1974. Приета с Резолюция MSC.117(74)</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на 6 юни 2001 г. В сила от 1 януари 2003 г., (обн. ДВ. бр. 12/2005 г. );</w:t>
      </w:r>
    </w:p>
    <w:p w14:paraId="2B54D15B" w14:textId="1917509C"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Конвенция за биологичното разнообразие. Ратифицирана със закон, приет от 37-о Народно събрание на 29.02.1996 г. обн.</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ДВ, бр. 22/15.03.1996 г.</w:t>
      </w:r>
    </w:p>
    <w:p w14:paraId="6FF06B5B" w14:textId="77777777"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Конвенция за вахтената служба и нормите за подготовка и освидетелстване на моряците (STCW), 1978 г. Приета с Резолюция MSC.373(93) на Комитета по морска безопасност на Международната морска организация на 22 май 2014 г. В сила за Република България от 1 януари 2016г.;</w:t>
      </w:r>
    </w:p>
    <w:p w14:paraId="75537BB4" w14:textId="77777777"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Конвенция за защита на морската среда в Североизточния Атлантик (OSPAR) от 1992 г.;</w:t>
      </w:r>
    </w:p>
    <w:p w14:paraId="1EBD915E" w14:textId="77777777"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Конвенция за международните правила за предпазване от сблъскване на море от 1972 г. COLREG - (ратифицирана с Указ № 461 от 06.03.1975 г. на Държавния съвет на Народна Република България – ДВ. бр. 22 от 1975 г., в сила от 15.06.1977 г., изменена с поправките съгласно Рез. А. 910 (22) на ИМО от 29.11.2001 г., влязла в сила от 29.11.2003 г., и Рез. А.1004 (25) на същата организация от 29.11.2007 г., в сила от 01.12.2009 г.);</w:t>
      </w:r>
    </w:p>
    <w:p w14:paraId="697E890E" w14:textId="77777777"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Конвенция за опазване на подводното културно наследство. Ратифицирана със закон, приет от 39-то Народно събрание на 10 септември 2003 г., обн. ДВ бр. 84/23.09.2003 г.</w:t>
      </w:r>
    </w:p>
    <w:p w14:paraId="365CC9FC" w14:textId="3D5369BC"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Конвенция за опазване на Черно море от замърсяване </w:t>
      </w:r>
      <w:hyperlink r:id="rId70" w:history="1">
        <w:r w:rsidRPr="00610B1B">
          <w:rPr>
            <w:rFonts w:ascii="Times New Roman" w:eastAsia="Source Han Sans CN Regular" w:hAnsi="Times New Roman" w:cs="Times New Roman"/>
            <w:color w:val="0000FF"/>
            <w:sz w:val="24"/>
            <w:szCs w:val="24"/>
            <w:u w:val="single"/>
            <w:lang w:val="bg-BG" w:eastAsia="zh-CN" w:bidi="hi-IN"/>
          </w:rPr>
          <w:t>http://www.blacksea-commission.org/_convention.asp</w:t>
        </w:r>
      </w:hyperlink>
      <w:r w:rsidRPr="00610B1B">
        <w:rPr>
          <w:rFonts w:ascii="Times New Roman" w:eastAsia="Source Han Sans CN Regular" w:hAnsi="Times New Roman" w:cs="Times New Roman"/>
          <w:sz w:val="24"/>
          <w:szCs w:val="24"/>
          <w:lang w:val="bg-BG" w:eastAsia="zh-CN" w:bidi="hi-IN"/>
        </w:rPr>
        <w:t xml:space="preserve">; </w:t>
      </w:r>
    </w:p>
    <w:p w14:paraId="20BD919B" w14:textId="440C23B8"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Конвенция за предотвратяване на замърсяване от кораби (MARPOL) </w:t>
      </w:r>
      <w:hyperlink r:id="rId71" w:history="1">
        <w:r w:rsidRPr="00610B1B">
          <w:rPr>
            <w:rFonts w:ascii="Times New Roman" w:eastAsia="Source Han Sans CN Regular" w:hAnsi="Times New Roman" w:cs="Times New Roman"/>
            <w:color w:val="0000FF"/>
            <w:sz w:val="24"/>
            <w:szCs w:val="24"/>
            <w:u w:val="single"/>
            <w:lang w:val="bg-BG" w:eastAsia="zh-CN" w:bidi="hi-IN"/>
          </w:rPr>
          <w:t>http://www.imo.org/en/about/conventions/listofconventions/pages/international-convention-for-the-prevention-of-pollution-from-ships-(marpol).aspx</w:t>
        </w:r>
      </w:hyperlink>
      <w:r w:rsidRPr="00610B1B">
        <w:rPr>
          <w:rFonts w:ascii="Times New Roman" w:eastAsia="Source Han Sans CN Regular" w:hAnsi="Times New Roman" w:cs="Times New Roman"/>
          <w:sz w:val="24"/>
          <w:szCs w:val="24"/>
          <w:lang w:val="bg-BG" w:eastAsia="zh-CN" w:bidi="hi-IN"/>
        </w:rPr>
        <w:t xml:space="preserve"> ;</w:t>
      </w:r>
    </w:p>
    <w:p w14:paraId="23879E9C" w14:textId="6F12CE7A" w:rsidR="00BE57CC" w:rsidRPr="00610B1B" w:rsidRDefault="00BE57CC" w:rsidP="00BE57CC">
      <w:pPr>
        <w:widowControl w:val="0"/>
        <w:numPr>
          <w:ilvl w:val="0"/>
          <w:numId w:val="49"/>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Конвенция за предотвратяване на незаконните актове срещу безопасността на морското корабоплаване (1988), Обн. ДВ. бр. 48/23.05.2003 г., изм. ДВ. </w:t>
      </w:r>
      <w:r w:rsidR="00537D06" w:rsidRPr="00610B1B">
        <w:rPr>
          <w:rFonts w:ascii="Times New Roman" w:eastAsia="Source Han Sans CN Regular" w:hAnsi="Times New Roman" w:cs="Times New Roman"/>
          <w:sz w:val="24"/>
          <w:szCs w:val="24"/>
          <w:lang w:val="bg-BG" w:eastAsia="zh-CN" w:bidi="hi-IN"/>
        </w:rPr>
        <w:t>Б</w:t>
      </w:r>
      <w:r w:rsidRPr="00610B1B">
        <w:rPr>
          <w:rFonts w:ascii="Times New Roman" w:eastAsia="Source Han Sans CN Regular" w:hAnsi="Times New Roman" w:cs="Times New Roman"/>
          <w:sz w:val="24"/>
          <w:szCs w:val="24"/>
          <w:lang w:val="bg-BG" w:eastAsia="zh-CN" w:bidi="hi-IN"/>
        </w:rPr>
        <w:t>р</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90/16.11.2010 г.</w:t>
      </w:r>
    </w:p>
    <w:p w14:paraId="24DC7C19" w14:textId="20C31C31" w:rsidR="00BE57CC" w:rsidRPr="00610B1B" w:rsidRDefault="00BE57CC" w:rsidP="00BE57CC">
      <w:pPr>
        <w:widowControl w:val="0"/>
        <w:numPr>
          <w:ilvl w:val="0"/>
          <w:numId w:val="49"/>
        </w:numPr>
        <w:spacing w:after="120"/>
        <w:ind w:left="426" w:right="-153" w:hanging="426"/>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Конвенция на организацията на Обединените нации по морско право UNCLOS</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 xml:space="preserve">(обн. ДВ. бр.73/1996 г., обн. ДВ. бр.74/1996 г. </w:t>
      </w:r>
      <w:hyperlink r:id="rId72" w:history="1">
        <w:r w:rsidRPr="00610B1B">
          <w:rPr>
            <w:rFonts w:ascii="Times New Roman" w:eastAsia="Source Han Sans CN Regular" w:hAnsi="Times New Roman" w:cs="Times New Roman"/>
            <w:color w:val="0000FF"/>
            <w:sz w:val="24"/>
            <w:szCs w:val="24"/>
            <w:u w:val="single"/>
            <w:lang w:val="bg-BG" w:eastAsia="zh-CN" w:bidi="hi-IN"/>
          </w:rPr>
          <w:t>http://www.un.org/depts/los/convention_agreements/texts/unclos/part2.htm</w:t>
        </w:r>
      </w:hyperlink>
      <w:r w:rsidRPr="00610B1B">
        <w:rPr>
          <w:rFonts w:ascii="Times New Roman" w:eastAsia="Source Han Sans CN Regular" w:hAnsi="Times New Roman" w:cs="Times New Roman"/>
          <w:sz w:val="24"/>
          <w:szCs w:val="24"/>
          <w:lang w:val="bg-BG" w:eastAsia="zh-CN" w:bidi="hi-IN"/>
        </w:rPr>
        <w:t>;</w:t>
      </w:r>
      <w:r w:rsidR="00D66FE0" w:rsidRPr="00610B1B">
        <w:rPr>
          <w:rFonts w:ascii="Times New Roman" w:eastAsia="Source Han Sans CN Regular" w:hAnsi="Times New Roman" w:cs="Times New Roman"/>
          <w:sz w:val="24"/>
          <w:szCs w:val="24"/>
          <w:lang w:val="bg-BG" w:eastAsia="zh-CN" w:bidi="hi-IN"/>
        </w:rPr>
        <w:t xml:space="preserve"> </w:t>
      </w:r>
    </w:p>
    <w:p w14:paraId="3991921D" w14:textId="77777777"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Международен кодекс за сигурност на корабите и пристанищните съоръжения (ISPS Code), 2004;</w:t>
      </w:r>
    </w:p>
    <w:p w14:paraId="209F43DF" w14:textId="77777777"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Международна конвенция за спасяване (Salvage Convention 1989);</w:t>
      </w:r>
    </w:p>
    <w:p w14:paraId="18FB739E" w14:textId="444D0082"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Международната конвенция за търсене и спасяване по море, 1979 г., (ДВ</w:t>
      </w:r>
      <w:r w:rsidR="00537D06"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бр</w:t>
      </w:r>
      <w:r w:rsidR="00537D06"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75/1999</w:t>
      </w:r>
      <w:r w:rsidR="00537D06"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г.; изм., бр. 61/2005 г.), ДВ, бр. 47/1999 г.;</w:t>
      </w:r>
    </w:p>
    <w:p w14:paraId="018F3152" w14:textId="77777777"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Рамсарска конвенция за влажните зони. Ратифицирана с Решение на Министерски съвет № 389 от 18 ноември 1974 г.</w:t>
      </w:r>
    </w:p>
    <w:p w14:paraId="6D63BDC0" w14:textId="77777777"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Резолюция на ИМО А.572(14) „Общи положения за установяване на пътищата на движение на корабите.“</w:t>
      </w:r>
    </w:p>
    <w:p w14:paraId="267359FA" w14:textId="781D4F2D" w:rsidR="00BE57CC" w:rsidRPr="00610B1B" w:rsidRDefault="00BE57CC" w:rsidP="008670AC">
      <w:pPr>
        <w:widowControl w:val="0"/>
        <w:numPr>
          <w:ilvl w:val="0"/>
          <w:numId w:val="49"/>
        </w:numPr>
        <w:spacing w:after="120"/>
        <w:ind w:left="426" w:right="3238"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 xml:space="preserve">Basic Act on Ocean Policy (Act No. 33 of April 27, 2007) </w:t>
      </w:r>
      <w:hyperlink r:id="rId73" w:history="1">
        <w:r w:rsidRPr="00610B1B">
          <w:rPr>
            <w:rFonts w:ascii="Times New Roman" w:eastAsia="Source Han Sans CN Regular" w:hAnsi="Times New Roman" w:cs="Times New Roman"/>
            <w:color w:val="0000FF"/>
            <w:sz w:val="24"/>
            <w:szCs w:val="24"/>
            <w:u w:val="single"/>
            <w:lang w:val="bg-BG" w:eastAsia="zh-CN" w:bidi="hi-IN"/>
          </w:rPr>
          <w:t>http://www.kantei.go.jp/jp/singi/kaiyou/konkyo5.pdf</w:t>
        </w:r>
      </w:hyperlink>
      <w:r w:rsidRPr="00610B1B">
        <w:rPr>
          <w:rFonts w:ascii="Times New Roman" w:eastAsia="Source Han Sans CN Regular" w:hAnsi="Times New Roman" w:cs="Times New Roman"/>
          <w:sz w:val="24"/>
          <w:szCs w:val="24"/>
          <w:lang w:val="bg-BG" w:eastAsia="zh-CN" w:bidi="hi-IN"/>
        </w:rPr>
        <w:t xml:space="preserve"> ) ;</w:t>
      </w:r>
    </w:p>
    <w:p w14:paraId="324F8824" w14:textId="17736736"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Black Sea TDA, 2007. Black Sea Transboundary Diagnostic Analysis. Programme coordinating unit, Global Environmental Facility Black Sea Environmental Programme publication, Istanbul. </w:t>
      </w:r>
      <w:hyperlink r:id="rId74" w:history="1">
        <w:r w:rsidRPr="00610B1B">
          <w:rPr>
            <w:rFonts w:ascii="Times New Roman" w:eastAsia="Source Han Sans CN Regular" w:hAnsi="Times New Roman" w:cs="Times New Roman"/>
            <w:color w:val="0000FF"/>
            <w:sz w:val="24"/>
            <w:szCs w:val="24"/>
            <w:u w:val="single"/>
            <w:lang w:val="bg-BG" w:eastAsia="zh-CN" w:bidi="hi-IN"/>
          </w:rPr>
          <w:t>http://www.blacksea-commission.org/_tda2008.asp</w:t>
        </w:r>
      </w:hyperlink>
      <w:r w:rsidRPr="00610B1B">
        <w:rPr>
          <w:rFonts w:ascii="Times New Roman" w:eastAsia="Source Han Sans CN Regular" w:hAnsi="Times New Roman" w:cs="Times New Roman"/>
          <w:sz w:val="24"/>
          <w:szCs w:val="24"/>
          <w:lang w:val="bg-BG" w:eastAsia="zh-CN" w:bidi="hi-IN"/>
        </w:rPr>
        <w:t xml:space="preserve"> ;</w:t>
      </w:r>
    </w:p>
    <w:p w14:paraId="30268906" w14:textId="414B51D1"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Convention concerning the</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protection of the world cultural</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 xml:space="preserve">and natural heritage, </w:t>
      </w:r>
      <w:hyperlink r:id="rId75" w:history="1">
        <w:r w:rsidRPr="00610B1B">
          <w:rPr>
            <w:rFonts w:ascii="Times New Roman" w:eastAsia="Source Han Sans CN Regular" w:hAnsi="Times New Roman" w:cs="Times New Roman"/>
            <w:color w:val="0000FF"/>
            <w:sz w:val="24"/>
            <w:szCs w:val="24"/>
            <w:u w:val="single"/>
            <w:lang w:val="bg-BG" w:eastAsia="zh-CN" w:bidi="hi-IN"/>
          </w:rPr>
          <w:t>http://whc.unesco.org/en/conventiontext</w:t>
        </w:r>
      </w:hyperlink>
      <w:r w:rsidRPr="00610B1B">
        <w:rPr>
          <w:rFonts w:ascii="Times New Roman" w:eastAsia="Source Han Sans CN Regular" w:hAnsi="Times New Roman" w:cs="Times New Roman"/>
          <w:sz w:val="24"/>
          <w:szCs w:val="24"/>
          <w:lang w:val="bg-BG" w:eastAsia="zh-CN" w:bidi="hi-IN"/>
        </w:rPr>
        <w:t xml:space="preserve"> ;</w:t>
      </w:r>
    </w:p>
    <w:p w14:paraId="51636AA5" w14:textId="018E988B"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FAO, 2019. GFCM Cature production 1970-2017. FAO - Fisheries and Aquaculture Information and Statistics Branch – 21/11/2019, </w:t>
      </w:r>
      <w:hyperlink r:id="rId76" w:history="1">
        <w:r w:rsidRPr="00610B1B">
          <w:rPr>
            <w:rFonts w:ascii="Times New Roman" w:eastAsia="Source Han Sans CN Regular" w:hAnsi="Times New Roman" w:cs="Times New Roman"/>
            <w:color w:val="0000FF"/>
            <w:sz w:val="24"/>
            <w:szCs w:val="24"/>
            <w:u w:val="single"/>
            <w:lang w:val="bg-BG" w:eastAsia="zh-CN" w:bidi="hi-IN"/>
          </w:rPr>
          <w:t>http://www.fao.org/gfcm/data/capture-production</w:t>
        </w:r>
      </w:hyperlink>
      <w:r w:rsidRPr="00610B1B">
        <w:rPr>
          <w:rFonts w:ascii="Times New Roman" w:eastAsia="Source Han Sans CN Regular" w:hAnsi="Times New Roman" w:cs="Times New Roman"/>
          <w:sz w:val="24"/>
          <w:szCs w:val="24"/>
          <w:lang w:val="bg-BG" w:eastAsia="zh-CN" w:bidi="hi-IN"/>
        </w:rPr>
        <w:t>;</w:t>
      </w:r>
    </w:p>
    <w:p w14:paraId="6DFF1002" w14:textId="567EC943"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Global Invasive Species Database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2019</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Species profile: Mnemiopsis leidyi. </w:t>
      </w:r>
      <w:hyperlink r:id="rId77" w:history="1">
        <w:r w:rsidRPr="00610B1B">
          <w:rPr>
            <w:rFonts w:ascii="Times New Roman" w:eastAsia="Source Han Sans CN Regular" w:hAnsi="Times New Roman" w:cs="Times New Roman"/>
            <w:color w:val="0000FF"/>
            <w:sz w:val="24"/>
            <w:szCs w:val="24"/>
            <w:u w:val="single"/>
            <w:lang w:val="bg-BG" w:eastAsia="zh-CN" w:bidi="hi-IN"/>
          </w:rPr>
          <w:t>http://www.iucngisd.org/gisd/species.php?sc=95</w:t>
        </w:r>
      </w:hyperlink>
      <w:r w:rsidR="00D66FE0" w:rsidRPr="00610B1B">
        <w:rPr>
          <w:rFonts w:ascii="Times New Roman" w:eastAsia="Source Han Sans CN Regular" w:hAnsi="Times New Roman" w:cs="Times New Roman"/>
          <w:sz w:val="24"/>
          <w:szCs w:val="24"/>
          <w:lang w:val="bg-BG" w:eastAsia="zh-CN" w:bidi="hi-IN"/>
        </w:rPr>
        <w:t xml:space="preserve"> </w:t>
      </w:r>
    </w:p>
    <w:p w14:paraId="6D161549" w14:textId="58FBF518"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ICES, 2004. Alien Species Alert: Rapana Venosa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veined whelk</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Edited by Roger Mann, Anna Occhipinti, and Juliana M. Harding. ICES Cooperative Research Report No. 264. 14 pp.</w:t>
      </w:r>
      <w:r w:rsidR="00D66FE0" w:rsidRPr="00610B1B">
        <w:rPr>
          <w:rFonts w:ascii="Times New Roman" w:eastAsia="Source Han Sans CN Regular" w:hAnsi="Times New Roman" w:cs="Times New Roman"/>
          <w:sz w:val="24"/>
          <w:szCs w:val="24"/>
          <w:lang w:val="bg-BG" w:eastAsia="zh-CN" w:bidi="hi-IN"/>
        </w:rPr>
        <w:t xml:space="preserve"> </w:t>
      </w:r>
      <w:hyperlink r:id="rId78" w:history="1">
        <w:r w:rsidRPr="00610B1B">
          <w:rPr>
            <w:rFonts w:ascii="Times New Roman" w:eastAsia="Source Han Sans CN Regular" w:hAnsi="Times New Roman" w:cs="Times New Roman"/>
            <w:color w:val="0000FF"/>
            <w:sz w:val="24"/>
            <w:szCs w:val="24"/>
            <w:u w:val="single"/>
            <w:lang w:val="bg-BG" w:eastAsia="zh-CN" w:bidi="hi-IN"/>
          </w:rPr>
          <w:t>https://doi.org/10.17895/ices.pub.5471</w:t>
        </w:r>
      </w:hyperlink>
      <w:r w:rsidRPr="00610B1B">
        <w:rPr>
          <w:rFonts w:ascii="Times New Roman" w:eastAsia="Source Han Sans CN Regular" w:hAnsi="Times New Roman" w:cs="Times New Roman"/>
          <w:sz w:val="24"/>
          <w:szCs w:val="24"/>
          <w:lang w:val="bg-BG" w:eastAsia="zh-CN" w:bidi="hi-IN"/>
        </w:rPr>
        <w:t xml:space="preserve"> </w:t>
      </w:r>
    </w:p>
    <w:p w14:paraId="033B7567" w14:textId="54F67248"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Marine Spatial Planning Programmme – Canada </w:t>
      </w:r>
      <w:hyperlink r:id="rId79" w:history="1">
        <w:r w:rsidRPr="00610B1B">
          <w:rPr>
            <w:rFonts w:ascii="Times New Roman" w:eastAsia="Source Han Sans CN Regular" w:hAnsi="Times New Roman" w:cs="Times New Roman"/>
            <w:color w:val="0000FF"/>
            <w:sz w:val="24"/>
            <w:szCs w:val="24"/>
            <w:u w:val="single"/>
            <w:lang w:val="bg-BG" w:eastAsia="zh-CN" w:bidi="hi-IN"/>
          </w:rPr>
          <w:t>http://msp.ioc-unesco.org/world-applications/americas/canada/</w:t>
        </w:r>
      </w:hyperlink>
      <w:r w:rsidRPr="00610B1B">
        <w:rPr>
          <w:rFonts w:ascii="Times New Roman" w:eastAsia="Source Han Sans CN Regular" w:hAnsi="Times New Roman" w:cs="Times New Roman"/>
          <w:sz w:val="24"/>
          <w:szCs w:val="24"/>
          <w:lang w:val="bg-BG" w:eastAsia="zh-CN" w:bidi="hi-IN"/>
        </w:rPr>
        <w:t xml:space="preserve"> </w:t>
      </w:r>
    </w:p>
    <w:p w14:paraId="1B13A8D7" w14:textId="0D8B28D3"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Marine Spatial Planning: a step-by-step approach toward ecosystem-based management. Intergovernmental Oceanographic Commission and Man and the Biosphere Programme. IOC Manual and Guides No. 53, ICAM Dossier, Ehler, C., F. Douvere. (2009), </w:t>
      </w:r>
      <w:hyperlink r:id="rId80" w:history="1">
        <w:r w:rsidRPr="00610B1B">
          <w:rPr>
            <w:rFonts w:ascii="Times New Roman" w:eastAsia="Source Han Sans CN Regular" w:hAnsi="Times New Roman" w:cs="Times New Roman"/>
            <w:color w:val="0000FF"/>
            <w:sz w:val="24"/>
            <w:szCs w:val="24"/>
            <w:u w:val="single"/>
            <w:lang w:val="bg-BG" w:eastAsia="zh-CN" w:bidi="hi-IN"/>
          </w:rPr>
          <w:t>http://msp.ioc-unesco.org/msp-guides/msp-step-by-step-approach/</w:t>
        </w:r>
      </w:hyperlink>
      <w:r w:rsidRPr="00610B1B">
        <w:rPr>
          <w:rFonts w:ascii="Times New Roman" w:eastAsia="Source Han Sans CN Regular" w:hAnsi="Times New Roman" w:cs="Times New Roman"/>
          <w:sz w:val="24"/>
          <w:szCs w:val="24"/>
          <w:lang w:val="bg-BG" w:eastAsia="zh-CN" w:bidi="hi-IN"/>
        </w:rPr>
        <w:t xml:space="preserve"> </w:t>
      </w:r>
    </w:p>
    <w:p w14:paraId="5C411154" w14:textId="4AD05916"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Resolution A.949 (23) Adopted on 05 Dec. 2003</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(Agenda item 17)</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Guidelines on places of refuge for ships</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in need of assistance.</w:t>
      </w:r>
    </w:p>
    <w:p w14:paraId="4742B076" w14:textId="77777777" w:rsidR="00BE57CC" w:rsidRPr="00610B1B" w:rsidRDefault="00BE57CC" w:rsidP="00BE57CC">
      <w:pPr>
        <w:widowControl w:val="0"/>
        <w:numPr>
          <w:ilvl w:val="0"/>
          <w:numId w:val="49"/>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IMO, 2015 Ships’Routeing, IMO Publication</w:t>
      </w:r>
    </w:p>
    <w:p w14:paraId="64787CC0" w14:textId="77777777" w:rsidR="00BE57CC" w:rsidRPr="00610B1B" w:rsidRDefault="00BE57CC" w:rsidP="00BE57CC">
      <w:pPr>
        <w:widowControl w:val="0"/>
        <w:spacing w:after="120"/>
        <w:ind w:right="-153"/>
        <w:jc w:val="both"/>
        <w:rPr>
          <w:rFonts w:ascii="Times New Roman" w:eastAsia="Source Han Sans CN Regular" w:hAnsi="Times New Roman" w:cs="Times New Roman"/>
          <w:b/>
          <w:color w:val="0F243E"/>
          <w:sz w:val="24"/>
          <w:szCs w:val="24"/>
          <w:lang w:val="bg-BG" w:eastAsia="zh-CN" w:bidi="hi-IN"/>
        </w:rPr>
      </w:pPr>
    </w:p>
    <w:p w14:paraId="7D56C270" w14:textId="77777777" w:rsidR="00BE57CC" w:rsidRPr="00610B1B" w:rsidRDefault="00BE57CC" w:rsidP="00BE57CC">
      <w:pPr>
        <w:keepNext/>
        <w:widowControl w:val="0"/>
        <w:numPr>
          <w:ilvl w:val="1"/>
          <w:numId w:val="1"/>
        </w:numPr>
        <w:spacing w:after="120"/>
        <w:ind w:right="-153"/>
        <w:outlineLvl w:val="1"/>
        <w:rPr>
          <w:rFonts w:ascii="Times New Roman" w:eastAsia="Source Han Sans CN Regular" w:hAnsi="Times New Roman" w:cs="Times New Roman"/>
          <w:b/>
          <w:bCs/>
          <w:color w:val="0F243E" w:themeColor="text2" w:themeShade="80"/>
          <w:sz w:val="32"/>
          <w:szCs w:val="32"/>
          <w:lang w:val="bg-BG" w:eastAsia="zh-CN" w:bidi="hi-IN"/>
        </w:rPr>
      </w:pPr>
      <w:bookmarkStart w:id="529" w:name="_Toc56961585"/>
      <w:bookmarkStart w:id="530" w:name="_Toc83391457"/>
      <w:r w:rsidRPr="00610B1B">
        <w:rPr>
          <w:rFonts w:ascii="Times New Roman" w:eastAsia="Source Han Sans CN Regular" w:hAnsi="Times New Roman" w:cs="Times New Roman"/>
          <w:b/>
          <w:bCs/>
          <w:color w:val="0F243E" w:themeColor="text2" w:themeShade="80"/>
          <w:sz w:val="32"/>
          <w:szCs w:val="32"/>
          <w:lang w:val="bg-BG" w:eastAsia="zh-CN" w:bidi="hi-IN"/>
        </w:rPr>
        <w:t>11.2. Документи на Европейския съюз</w:t>
      </w:r>
      <w:bookmarkEnd w:id="529"/>
      <w:bookmarkEnd w:id="530"/>
    </w:p>
    <w:p w14:paraId="1C7312CB" w14:textId="3FB4A95F" w:rsidR="00963B36" w:rsidRPr="00610B1B" w:rsidRDefault="00963B36" w:rsidP="00963B36">
      <w:pPr>
        <w:widowControl w:val="0"/>
        <w:numPr>
          <w:ilvl w:val="0"/>
          <w:numId w:val="94"/>
        </w:numPr>
        <w:spacing w:after="60"/>
        <w:ind w:left="357" w:right="-153" w:hanging="357"/>
        <w:jc w:val="both"/>
        <w:rPr>
          <w:rFonts w:ascii="Times New Roman" w:eastAsia="Source Han Sans CN Regular" w:hAnsi="Times New Roman" w:cs="Times New Roman"/>
          <w:sz w:val="24"/>
          <w:szCs w:val="24"/>
          <w:lang w:val="bg-BG" w:eastAsia="zh-CN" w:bidi="hi-IN"/>
        </w:rPr>
      </w:pPr>
      <w:bookmarkStart w:id="531" w:name="_Hlk83126340"/>
      <w:r w:rsidRPr="00610B1B">
        <w:rPr>
          <w:rFonts w:ascii="Times New Roman" w:eastAsia="Source Han Sans CN Regular" w:hAnsi="Times New Roman" w:cs="Times New Roman"/>
          <w:sz w:val="24"/>
          <w:szCs w:val="24"/>
          <w:lang w:val="bg-BG" w:eastAsia="zh-CN" w:bidi="hi-IN"/>
        </w:rPr>
        <w:t>Директива (ЕС) 2016/802 на Европейския парламент и на Съвета от 11 май 2016 г. относно намаляването на съдържанието на сяра в определени течни горива (ОВ, L 132, 21 май 2016</w:t>
      </w:r>
      <w:r w:rsidR="004E6850" w:rsidRPr="00610B1B">
        <w:rPr>
          <w:rFonts w:ascii="Times New Roman" w:eastAsia="Source Han Sans CN Regular" w:hAnsi="Times New Roman" w:cs="Times New Roman"/>
          <w:sz w:val="24"/>
          <w:szCs w:val="24"/>
          <w:lang w:val="en-US" w:eastAsia="zh-CN" w:bidi="hi-IN"/>
        </w:rPr>
        <w:t> </w:t>
      </w:r>
      <w:r w:rsidRPr="00610B1B">
        <w:rPr>
          <w:rFonts w:ascii="Times New Roman" w:eastAsia="Source Han Sans CN Regular" w:hAnsi="Times New Roman" w:cs="Times New Roman"/>
          <w:sz w:val="24"/>
          <w:szCs w:val="24"/>
          <w:lang w:val="bg-BG" w:eastAsia="zh-CN" w:bidi="hi-IN"/>
        </w:rPr>
        <w:t>г.);</w:t>
      </w:r>
      <w:bookmarkEnd w:id="531"/>
    </w:p>
    <w:p w14:paraId="046E4A16" w14:textId="56F552B7" w:rsidR="00BE57CC" w:rsidRPr="00610B1B" w:rsidRDefault="00BE57CC" w:rsidP="00BE57CC">
      <w:pPr>
        <w:widowControl w:val="0"/>
        <w:numPr>
          <w:ilvl w:val="0"/>
          <w:numId w:val="94"/>
        </w:numPr>
        <w:spacing w:after="60"/>
        <w:ind w:left="357" w:right="-153" w:hanging="357"/>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Директива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ЕС</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2017/845 на комисията от 17.05.2017 г. за изменение на Директива 2008/56/ЕО на Европейския парламент и на Съвета по отношение на примерните списъци от елементи, които следва да се вземат предвид при подготовката на морски стратегии</w:t>
      </w:r>
    </w:p>
    <w:p w14:paraId="161CEA2A" w14:textId="2EA9D303" w:rsidR="00BE57CC" w:rsidRPr="00610B1B" w:rsidRDefault="002A152C" w:rsidP="00BE57CC">
      <w:pPr>
        <w:widowControl w:val="0"/>
        <w:spacing w:after="120"/>
        <w:ind w:left="357" w:right="-754"/>
        <w:jc w:val="both"/>
        <w:rPr>
          <w:rFonts w:ascii="Times New Roman" w:eastAsia="Source Han Sans CN Regular" w:hAnsi="Times New Roman" w:cs="Times New Roman"/>
          <w:sz w:val="24"/>
          <w:szCs w:val="24"/>
          <w:lang w:val="bg-BG" w:eastAsia="zh-CN" w:bidi="hi-IN"/>
        </w:rPr>
      </w:pPr>
      <w:hyperlink r:id="rId81" w:history="1">
        <w:r w:rsidR="00BE57CC" w:rsidRPr="00610B1B">
          <w:rPr>
            <w:rFonts w:ascii="Times New Roman" w:eastAsia="Source Han Sans CN Regular" w:hAnsi="Times New Roman" w:cs="Times New Roman"/>
            <w:color w:val="0000FF"/>
            <w:sz w:val="24"/>
            <w:szCs w:val="24"/>
            <w:u w:val="single"/>
            <w:lang w:val="bg-BG" w:eastAsia="zh-CN" w:bidi="hi-IN"/>
          </w:rPr>
          <w:t>https://eur-lex.europa.eu/legal-content/BG/TXT/HTML/?uri=CELEX:32017L0845&amp;from=EN</w:t>
        </w:r>
      </w:hyperlink>
      <w:r w:rsidR="00D66FE0" w:rsidRPr="00610B1B">
        <w:rPr>
          <w:rFonts w:ascii="Times New Roman" w:eastAsia="Source Han Sans CN Regular" w:hAnsi="Times New Roman" w:cs="Times New Roman"/>
          <w:sz w:val="24"/>
          <w:szCs w:val="24"/>
          <w:lang w:val="bg-BG" w:eastAsia="zh-CN" w:bidi="hi-IN"/>
        </w:rPr>
        <w:t xml:space="preserve"> </w:t>
      </w:r>
    </w:p>
    <w:p w14:paraId="6E4FFB43" w14:textId="77777777" w:rsidR="00BE57CC" w:rsidRPr="00610B1B" w:rsidRDefault="00BE57CC" w:rsidP="00BE57CC">
      <w:pPr>
        <w:widowControl w:val="0"/>
        <w:numPr>
          <w:ilvl w:val="0"/>
          <w:numId w:val="94"/>
        </w:numPr>
        <w:spacing w:after="120"/>
        <w:ind w:left="284" w:right="-153"/>
        <w:jc w:val="both"/>
        <w:rPr>
          <w:rFonts w:ascii="Times New Roman" w:eastAsia="Source Han Sans CN Regular" w:hAnsi="Times New Roman" w:cs="Times New Roman"/>
          <w:i/>
          <w:sz w:val="24"/>
          <w:szCs w:val="24"/>
          <w:lang w:val="bg-BG" w:eastAsia="zh-CN" w:bidi="hi-IN"/>
        </w:rPr>
      </w:pPr>
      <w:r w:rsidRPr="00610B1B">
        <w:rPr>
          <w:rFonts w:ascii="Times New Roman" w:eastAsia="Source Han Sans CN Regular" w:hAnsi="Times New Roman" w:cs="Times New Roman"/>
          <w:iCs/>
          <w:sz w:val="24"/>
          <w:szCs w:val="24"/>
          <w:lang w:val="bg-BG" w:eastAsia="zh-CN" w:bidi="hi-IN"/>
        </w:rPr>
        <w:t>Директива 2000/60/EО на Европейския парламент и на Съвета от 23.10.2000 г. за установяване на рамка за действията на Общността в областта на политиката за водите. ОВ L 327, 22.12.2000 г.;</w:t>
      </w:r>
    </w:p>
    <w:p w14:paraId="0D67276A" w14:textId="4410E1F2" w:rsidR="00BE57CC" w:rsidRPr="00610B1B" w:rsidRDefault="00BE57CC" w:rsidP="00BE57CC">
      <w:pPr>
        <w:widowControl w:val="0"/>
        <w:numPr>
          <w:ilvl w:val="0"/>
          <w:numId w:val="94"/>
        </w:numPr>
        <w:spacing w:after="120"/>
        <w:ind w:left="284"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Директива 2001/42/ЕО </w:t>
      </w:r>
      <w:r w:rsidRPr="00610B1B">
        <w:rPr>
          <w:rFonts w:ascii="Times New Roman" w:eastAsia="Source Han Sans CN Regular" w:hAnsi="Times New Roman" w:cs="Times New Roman"/>
          <w:iCs/>
          <w:sz w:val="24"/>
          <w:szCs w:val="24"/>
          <w:lang w:val="bg-BG" w:eastAsia="zh-CN" w:bidi="hi-IN"/>
        </w:rPr>
        <w:t xml:space="preserve">на Европейския парламент и на Съвета от 27.05.2001 г. </w:t>
      </w:r>
      <w:r w:rsidRPr="00610B1B">
        <w:rPr>
          <w:rFonts w:ascii="Times New Roman" w:eastAsia="Source Han Sans CN Regular" w:hAnsi="Times New Roman" w:cs="Times New Roman"/>
          <w:sz w:val="24"/>
          <w:szCs w:val="24"/>
          <w:lang w:val="bg-BG" w:eastAsia="zh-CN" w:bidi="hi-IN"/>
        </w:rPr>
        <w:t xml:space="preserve">относно оценката на последиците на някои планове и програми върху околната среда </w:t>
      </w:r>
      <w:hyperlink r:id="rId82" w:history="1">
        <w:r w:rsidRPr="00610B1B">
          <w:rPr>
            <w:rFonts w:ascii="Times New Roman" w:eastAsia="Source Han Sans CN Regular" w:hAnsi="Times New Roman" w:cs="Times New Roman"/>
            <w:color w:val="0000FF"/>
            <w:sz w:val="24"/>
            <w:szCs w:val="24"/>
            <w:u w:val="single"/>
            <w:lang w:val="bg-BG" w:eastAsia="zh-CN" w:bidi="hi-IN"/>
          </w:rPr>
          <w:t>http://eur-lex.europa.eu/legal-content/BG/TXT/?uri=CELEX%3A32001L0042</w:t>
        </w:r>
      </w:hyperlink>
    </w:p>
    <w:p w14:paraId="495FBA8A" w14:textId="09DBCF71" w:rsidR="00BE57CC" w:rsidRPr="00610B1B" w:rsidRDefault="00BE57CC" w:rsidP="00BE57CC">
      <w:pPr>
        <w:widowControl w:val="0"/>
        <w:numPr>
          <w:ilvl w:val="0"/>
          <w:numId w:val="94"/>
        </w:numPr>
        <w:spacing w:after="120"/>
        <w:ind w:left="284"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Директива 2002/59/EO</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 xml:space="preserve">на Европейския парламент и на Съвета от 27.06.2002 г. за създаване на система на Общността за контрол на движението на корабите; </w:t>
      </w:r>
    </w:p>
    <w:p w14:paraId="78842056" w14:textId="56B8E22C" w:rsidR="00BE57CC" w:rsidRPr="00610B1B" w:rsidRDefault="00BE57CC" w:rsidP="00BE57CC">
      <w:pPr>
        <w:widowControl w:val="0"/>
        <w:numPr>
          <w:ilvl w:val="0"/>
          <w:numId w:val="94"/>
        </w:numPr>
        <w:spacing w:after="120"/>
        <w:ind w:left="284"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Директива 2002/84/ЕO на Европейския парламент и на Съвета от 5.11.2002 г. за изменение на директивите относно морската безопасност и предотвратяването на замърсяването от кораби </w:t>
      </w:r>
      <w:hyperlink r:id="rId83" w:history="1">
        <w:r w:rsidRPr="00610B1B">
          <w:rPr>
            <w:rFonts w:ascii="Times New Roman" w:eastAsia="Source Han Sans CN Regular" w:hAnsi="Times New Roman" w:cs="Times New Roman"/>
            <w:color w:val="0000FF"/>
            <w:sz w:val="24"/>
            <w:szCs w:val="24"/>
            <w:u w:val="single"/>
            <w:lang w:val="bg-BG" w:eastAsia="zh-CN" w:bidi="hi-IN"/>
          </w:rPr>
          <w:t>http://eur-lex.europa.eu/legal-content/BG/ALL/?uri=CELEX:32002L0084</w:t>
        </w:r>
      </w:hyperlink>
      <w:r w:rsidRPr="00610B1B">
        <w:rPr>
          <w:rFonts w:ascii="Times New Roman" w:eastAsia="Source Han Sans CN Regular" w:hAnsi="Times New Roman" w:cs="Times New Roman"/>
          <w:sz w:val="24"/>
          <w:szCs w:val="24"/>
          <w:lang w:val="bg-BG" w:eastAsia="zh-CN" w:bidi="hi-IN"/>
        </w:rPr>
        <w:t xml:space="preserve"> ; </w:t>
      </w:r>
    </w:p>
    <w:p w14:paraId="7FD98C22" w14:textId="0DC982FC" w:rsidR="00BE57CC" w:rsidRPr="00610B1B" w:rsidRDefault="00BE57CC" w:rsidP="00BE57CC">
      <w:pPr>
        <w:widowControl w:val="0"/>
        <w:numPr>
          <w:ilvl w:val="0"/>
          <w:numId w:val="94"/>
        </w:numPr>
        <w:spacing w:after="120"/>
        <w:ind w:left="284"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Директива 2003/35/ЕО на Европейския парламент и на Съвета от 26.05.2003 г. за осигуряване участието на обществеността при изготвянето на определени планове и програми, отнасящи се до околната среда и за изменение по отношение на участието на обществеността и достъпа до правосъдие на Директиви 85/337/ЕИО и 96/61/ЕО </w:t>
      </w:r>
      <w:hyperlink r:id="rId84" w:history="1">
        <w:r w:rsidRPr="00610B1B">
          <w:rPr>
            <w:rFonts w:ascii="Times New Roman" w:eastAsia="Source Han Sans CN Regular" w:hAnsi="Times New Roman" w:cs="Times New Roman"/>
            <w:color w:val="0000FF"/>
            <w:sz w:val="24"/>
            <w:szCs w:val="24"/>
            <w:u w:val="single"/>
            <w:lang w:val="bg-BG" w:eastAsia="zh-CN" w:bidi="hi-IN"/>
          </w:rPr>
          <w:t>http://eur-lex.europa.eu/legal-content/BG/ALL/?uri=celex:32003L0035</w:t>
        </w:r>
      </w:hyperlink>
      <w:r w:rsidRPr="00610B1B">
        <w:rPr>
          <w:rFonts w:ascii="Times New Roman" w:eastAsia="Source Han Sans CN Regular" w:hAnsi="Times New Roman" w:cs="Times New Roman"/>
          <w:sz w:val="24"/>
          <w:szCs w:val="24"/>
          <w:lang w:val="bg-BG" w:eastAsia="zh-CN" w:bidi="hi-IN"/>
        </w:rPr>
        <w:t>;</w:t>
      </w:r>
    </w:p>
    <w:p w14:paraId="57E1EF28" w14:textId="06B2BE97" w:rsidR="00BE57CC" w:rsidRPr="00610B1B" w:rsidRDefault="00BE57CC" w:rsidP="00BE57CC">
      <w:pPr>
        <w:widowControl w:val="0"/>
        <w:numPr>
          <w:ilvl w:val="0"/>
          <w:numId w:val="94"/>
        </w:numPr>
        <w:spacing w:after="120"/>
        <w:ind w:left="284"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Директива 2005/35/EО на Европейския парламент и на Съвета от 7.09.2005 г. относно замърсяване от кораби и налагане на санкции при нарушения, </w:t>
      </w:r>
      <w:hyperlink r:id="rId85" w:history="1">
        <w:r w:rsidRPr="00610B1B">
          <w:rPr>
            <w:rFonts w:ascii="Times New Roman" w:eastAsia="Source Han Sans CN Regular" w:hAnsi="Times New Roman" w:cs="Times New Roman"/>
            <w:color w:val="0000FF"/>
            <w:sz w:val="24"/>
            <w:szCs w:val="24"/>
            <w:u w:val="single"/>
            <w:lang w:val="bg-BG" w:eastAsia="zh-CN" w:bidi="hi-IN"/>
          </w:rPr>
          <w:t>http://eur-lex.europa.eu/legal-content/BG/ALL/?uri=celex:32005L0035</w:t>
        </w:r>
      </w:hyperlink>
      <w:r w:rsidRPr="00610B1B">
        <w:rPr>
          <w:rFonts w:ascii="Times New Roman" w:eastAsia="Source Han Sans CN Regular" w:hAnsi="Times New Roman" w:cs="Times New Roman"/>
          <w:sz w:val="24"/>
          <w:szCs w:val="24"/>
          <w:lang w:val="bg-BG" w:eastAsia="zh-CN" w:bidi="hi-IN"/>
        </w:rPr>
        <w:t>;</w:t>
      </w:r>
    </w:p>
    <w:p w14:paraId="20ED70D3" w14:textId="0175E749" w:rsidR="00963B36" w:rsidRPr="00610B1B" w:rsidRDefault="00963B36"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w:t>
      </w:r>
      <w:bookmarkStart w:id="532" w:name="_Hlk83126446"/>
      <w:r w:rsidRPr="00610B1B">
        <w:rPr>
          <w:rFonts w:ascii="Times New Roman" w:eastAsia="Source Han Sans CN Regular" w:hAnsi="Times New Roman" w:cs="Times New Roman"/>
          <w:sz w:val="24"/>
          <w:szCs w:val="24"/>
          <w:lang w:val="bg-BG" w:eastAsia="zh-CN" w:bidi="hi-IN"/>
        </w:rPr>
        <w:t>Директива 2005/65/ЕО на Европейския парламент и на Съвета от 26.10.2005 год. за повишаване на сигурността на пристанищата (OB, L, 310 25.11.2005), изменена с Регламент (EO) No. 219/2009 на Европейския парламент и на Съвета от 11.03.2009 год. (OB, L, 87, 31.03.2009) и Регламент (EO) 2019/1243 на Европейския парламент и на Съвета от 20.06.20219 год. (OB, L, 198, 25.06.2019);</w:t>
      </w:r>
      <w:r w:rsidR="008753B6"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 xml:space="preserve"> </w:t>
      </w:r>
      <w:bookmarkEnd w:id="532"/>
    </w:p>
    <w:p w14:paraId="11A0C6A6" w14:textId="77777777"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Директива 2007/2/ЕО на Европейския парламент и на Съвета от 14.03.2007 г. за създаване на инфраструктура за пространствена информация на ЕО (INSPIRE);</w:t>
      </w:r>
    </w:p>
    <w:p w14:paraId="5FF17E1B" w14:textId="77777777"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Директива 2008/105/ЕО на Европейския парламент и на Съвета от 16.12. 2008 г. за определяне на стандарти за качество на околната среда в областта на политиката за водите, за изменение и последваща отмяна на директиви 82/176/ЕИО, 83/513/ЕИО, 84/156/ЕИО, 84/491/ЕИО 86/280/ЕИО на Съвета и за изменение на Директива 2000/60/ЕО на Европейския парламент и на Съвета (ОВ L 348, 24.12.2008 г.);</w:t>
      </w:r>
    </w:p>
    <w:p w14:paraId="4E7FCDAA" w14:textId="51B56993"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Директива 2008/114/ЕО на Съвета от</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8.12. 2008 г., относно установяването и означаването на европейски критични инфраструктури и оценката на необходимост от подобряване на тяхната защита;</w:t>
      </w:r>
    </w:p>
    <w:p w14:paraId="1801D644" w14:textId="2FB5D87B"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Директива 2008/56/ЕО на Европейския парламент и на съвета от 17.06</w:t>
      </w:r>
      <w:r w:rsidR="00AD38A7" w:rsidRPr="00610B1B">
        <w:rPr>
          <w:rFonts w:ascii="Times New Roman" w:eastAsia="Source Han Sans CN Regular" w:hAnsi="Times New Roman" w:cs="Times New Roman"/>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2008 г. за създаване на рамка за действие на Общността в областта на политиката за морска среда (Рамкова директива за морска стратегия)</w:t>
      </w:r>
      <w:r w:rsidR="009463FB"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(Текст от значение за ЕИП)</w:t>
      </w:r>
      <w:r w:rsidR="009463FB"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OB L</w:t>
      </w:r>
      <w:r w:rsidR="009463FB"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164,</w:t>
      </w:r>
      <w:r w:rsidR="009463FB"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25.6.2008 г, стр. 19</w:t>
      </w:r>
      <w:r w:rsidR="00AD38A7" w:rsidRPr="00610B1B">
        <w:rPr>
          <w:rFonts w:ascii="Times New Roman" w:eastAsia="Source Han Sans CN Regular" w:hAnsi="Times New Roman" w:cs="Times New Roman"/>
          <w:sz w:val="24"/>
          <w:szCs w:val="24"/>
          <w:lang w:val="bg-BG" w:eastAsia="zh-CN" w:bidi="hi-IN"/>
        </w:rPr>
        <w:t>-</w:t>
      </w:r>
      <w:r w:rsidRPr="00610B1B">
        <w:rPr>
          <w:rFonts w:ascii="Times New Roman" w:eastAsia="Source Han Sans CN Regular" w:hAnsi="Times New Roman" w:cs="Times New Roman"/>
          <w:sz w:val="24"/>
          <w:szCs w:val="24"/>
          <w:lang w:val="bg-BG" w:eastAsia="zh-CN" w:bidi="hi-IN"/>
        </w:rPr>
        <w:t>40;</w:t>
      </w:r>
    </w:p>
    <w:p w14:paraId="1985AA93" w14:textId="05EB2A38"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i/>
          <w:iCs/>
          <w:sz w:val="24"/>
          <w:szCs w:val="24"/>
          <w:lang w:val="bg-BG" w:eastAsia="zh-CN" w:bidi="hi-IN"/>
        </w:rPr>
      </w:pPr>
      <w:r w:rsidRPr="00610B1B">
        <w:rPr>
          <w:rFonts w:ascii="Times New Roman" w:eastAsia="Source Han Sans CN Regular" w:hAnsi="Times New Roman" w:cs="Times New Roman"/>
          <w:iCs/>
          <w:sz w:val="24"/>
          <w:szCs w:val="24"/>
          <w:lang w:val="bg-BG" w:eastAsia="zh-CN" w:bidi="hi-IN"/>
        </w:rPr>
        <w:t>Директива 2009/147/ЕО на Европейския парламент и на Съвета от 30.11.2009 г. относно опазването на дивите птици. OJ L 20, 26.1.2010, p. 7–25;</w:t>
      </w:r>
    </w:p>
    <w:p w14:paraId="37ED81E6" w14:textId="77777777"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Директива 2009/16/ЕО на Европейския парламент и на Съвета от 23.04. 2009 г. относно държавния пристанищен контрол; </w:t>
      </w:r>
    </w:p>
    <w:p w14:paraId="2D9D2CBF" w14:textId="12464D72"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Директива 2009/17/ЕО на Европейския парламент и на Съвета от 23.04.2009 г. за изменение на Директива 2002/59/ЕО относно създаване на система на Общността за контрол на движението на корабите и за информация </w:t>
      </w:r>
      <w:hyperlink r:id="rId86" w:history="1">
        <w:r w:rsidRPr="00610B1B">
          <w:rPr>
            <w:rFonts w:ascii="Times New Roman" w:eastAsia="Source Han Sans CN Regular" w:hAnsi="Times New Roman" w:cs="Times New Roman"/>
            <w:color w:val="0000FF"/>
            <w:sz w:val="24"/>
            <w:szCs w:val="24"/>
            <w:u w:val="single"/>
            <w:lang w:val="bg-BG" w:eastAsia="zh-CN" w:bidi="hi-IN"/>
          </w:rPr>
          <w:t>http://eur-lex.europa.eu/legal-content/BG/TXT/?uri=CELEX%3A32009L0017</w:t>
        </w:r>
      </w:hyperlink>
      <w:r w:rsidRPr="00610B1B">
        <w:rPr>
          <w:rFonts w:ascii="Times New Roman" w:eastAsia="Source Han Sans CN Regular" w:hAnsi="Times New Roman" w:cs="Times New Roman"/>
          <w:sz w:val="24"/>
          <w:szCs w:val="24"/>
          <w:lang w:val="bg-BG" w:eastAsia="zh-CN" w:bidi="hi-IN"/>
        </w:rPr>
        <w:t xml:space="preserve"> ;</w:t>
      </w:r>
    </w:p>
    <w:p w14:paraId="01CA6D36" w14:textId="2E15D6CC"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 xml:space="preserve">Директива 2009/28/ЕО на Европейския парламент и на Съвета от 23.04.2009 г. за насърчаване използването на енергия от ВЕИ, </w:t>
      </w:r>
      <w:hyperlink r:id="rId87" w:history="1">
        <w:r w:rsidRPr="00610B1B">
          <w:rPr>
            <w:rFonts w:ascii="Times New Roman" w:eastAsia="Source Han Sans CN Regular" w:hAnsi="Times New Roman" w:cs="Times New Roman"/>
            <w:color w:val="0000FF"/>
            <w:sz w:val="24"/>
            <w:szCs w:val="24"/>
            <w:u w:val="single"/>
            <w:lang w:val="bg-BG" w:eastAsia="zh-CN" w:bidi="hi-IN"/>
          </w:rPr>
          <w:t>https://eur-lex.europa.eu/legal-content/BG/TXT/HTML/?uri=CELEX:32009L0028&amp;from=BG</w:t>
        </w:r>
      </w:hyperlink>
      <w:r w:rsidRPr="00610B1B">
        <w:rPr>
          <w:rFonts w:ascii="Times New Roman" w:eastAsia="Source Han Sans CN Regular" w:hAnsi="Times New Roman" w:cs="Times New Roman"/>
          <w:sz w:val="24"/>
          <w:szCs w:val="24"/>
          <w:lang w:val="bg-BG" w:eastAsia="zh-CN" w:bidi="hi-IN"/>
        </w:rPr>
        <w:t xml:space="preserve"> ;</w:t>
      </w:r>
    </w:p>
    <w:p w14:paraId="4DCC7194" w14:textId="3F83156D"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Директива 2013/30/ЕС на Европейския парламент и на Съвета от 12.06.2013 г. относно безопасността на свързаните с нефт дейности в крайбрежни води и за изменение на Директива 2004/35/ЕО;</w:t>
      </w:r>
    </w:p>
    <w:p w14:paraId="78E840CA" w14:textId="1C6791FA" w:rsidR="009463FB" w:rsidRPr="00610B1B" w:rsidRDefault="00BE57CC" w:rsidP="00136FB2">
      <w:pPr>
        <w:widowControl w:val="0"/>
        <w:numPr>
          <w:ilvl w:val="0"/>
          <w:numId w:val="94"/>
        </w:numPr>
        <w:spacing w:after="6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Директива 2014/100/ЕС на Комисията от 28.10.2014 г. за изменение на Директива 2002/59/ЕО на Европейския парламент и на Съвета за създаване на система на Общността за контрол на движението на корабите</w:t>
      </w:r>
    </w:p>
    <w:p w14:paraId="372E271D" w14:textId="16DE156C" w:rsidR="00BE57CC" w:rsidRPr="00610B1B" w:rsidRDefault="002A152C" w:rsidP="009463FB">
      <w:pPr>
        <w:widowControl w:val="0"/>
        <w:spacing w:after="120"/>
        <w:ind w:left="-76" w:right="-153"/>
        <w:jc w:val="both"/>
        <w:rPr>
          <w:rFonts w:ascii="Times New Roman" w:eastAsia="Source Han Sans CN Regular" w:hAnsi="Times New Roman" w:cs="Times New Roman"/>
          <w:sz w:val="24"/>
          <w:szCs w:val="24"/>
          <w:lang w:val="bg-BG" w:eastAsia="zh-CN" w:bidi="hi-IN"/>
        </w:rPr>
      </w:pPr>
      <w:hyperlink r:id="rId88" w:history="1">
        <w:r w:rsidR="00BE57CC" w:rsidRPr="00610B1B">
          <w:rPr>
            <w:rFonts w:ascii="Times New Roman" w:eastAsia="Source Han Sans CN Regular" w:hAnsi="Times New Roman" w:cs="Times New Roman"/>
            <w:color w:val="0000FF"/>
            <w:sz w:val="24"/>
            <w:szCs w:val="24"/>
            <w:u w:val="single"/>
            <w:lang w:val="bg-BG" w:eastAsia="zh-CN" w:bidi="hi-IN"/>
          </w:rPr>
          <w:t>http://eur-lex.europa.eu/legal-content/BG/TXT/?uri=uriserv%3AOJ.L_.2014.308.01.0082.01.BUL</w:t>
        </w:r>
      </w:hyperlink>
      <w:r w:rsidR="00BE57CC" w:rsidRPr="00610B1B">
        <w:rPr>
          <w:rFonts w:ascii="Times New Roman" w:eastAsia="Source Han Sans CN Regular" w:hAnsi="Times New Roman" w:cs="Times New Roman"/>
          <w:sz w:val="24"/>
          <w:szCs w:val="24"/>
          <w:lang w:val="bg-BG" w:eastAsia="zh-CN" w:bidi="hi-IN"/>
        </w:rPr>
        <w:t xml:space="preserve"> ; </w:t>
      </w:r>
    </w:p>
    <w:p w14:paraId="009F670B" w14:textId="60E88462" w:rsidR="00BE57CC" w:rsidRPr="00610B1B" w:rsidRDefault="00BE57CC" w:rsidP="00963B36">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Директива 2014/89/ЕС от 23 юли 2014 г. за установяване на рамка за морско пространствено планиране </w:t>
      </w:r>
      <w:hyperlink r:id="rId89" w:history="1">
        <w:r w:rsidRPr="00610B1B">
          <w:rPr>
            <w:rFonts w:ascii="Times New Roman" w:eastAsia="Source Han Sans CN Regular" w:hAnsi="Times New Roman" w:cs="Times New Roman"/>
            <w:color w:val="0000FF"/>
            <w:sz w:val="24"/>
            <w:szCs w:val="24"/>
            <w:u w:val="single"/>
            <w:lang w:val="bg-BG" w:eastAsia="zh-CN" w:bidi="hi-IN"/>
          </w:rPr>
          <w:t>http://eur-lex.europa.eu/legal-content/BG/TXT/?uri=CELEX%3A32014L0089</w:t>
        </w:r>
      </w:hyperlink>
      <w:r w:rsidRPr="00610B1B">
        <w:rPr>
          <w:rFonts w:ascii="Times New Roman" w:eastAsia="Source Han Sans CN Regular" w:hAnsi="Times New Roman" w:cs="Times New Roman"/>
          <w:sz w:val="24"/>
          <w:szCs w:val="24"/>
          <w:lang w:val="bg-BG" w:eastAsia="zh-CN" w:bidi="hi-IN"/>
        </w:rPr>
        <w:t xml:space="preserve"> ;</w:t>
      </w:r>
    </w:p>
    <w:p w14:paraId="00AC162A" w14:textId="454B11DF" w:rsidR="00963B36" w:rsidRPr="00610B1B" w:rsidRDefault="00963B36"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Директива 2014/94/ЕС на Европейския парламент и на Съвета от 22 октомври 2014 г. за разгръщането на инфраструктура за алтернативни горива (ОВ, L 307, 28 октомври 2014 г.), изменена с Делегиран регламент (ЕС) 2018/674 на Комисията от 17 ноември 2017 г. (ОВ, L 114, 4 май 2018 г.);</w:t>
      </w:r>
    </w:p>
    <w:p w14:paraId="7E40CCDC" w14:textId="532B8DA0"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Директива 2015/2087/EО на Комисията от 18.11.2015 г. за изменение на приложение II към Директива 2000/59/ЕО на Европейския парламент и на Съвета относно пристанищните приемни съоръжения за отпадъци от експлоатацията на корабите и на остатъци от товари </w:t>
      </w:r>
      <w:hyperlink r:id="rId90" w:history="1">
        <w:r w:rsidRPr="00610B1B">
          <w:rPr>
            <w:rFonts w:ascii="Times New Roman" w:eastAsia="Source Han Sans CN Regular" w:hAnsi="Times New Roman" w:cs="Times New Roman"/>
            <w:color w:val="0000FF"/>
            <w:sz w:val="24"/>
            <w:szCs w:val="24"/>
            <w:u w:val="single"/>
            <w:lang w:val="bg-BG" w:eastAsia="zh-CN" w:bidi="hi-IN"/>
          </w:rPr>
          <w:t>http://eur-lex.europa.eu/legal-content/BG/TXT/?uri=CELEX%3A32015L2087</w:t>
        </w:r>
      </w:hyperlink>
      <w:r w:rsidRPr="00610B1B">
        <w:rPr>
          <w:rFonts w:ascii="Times New Roman" w:eastAsia="Source Han Sans CN Regular" w:hAnsi="Times New Roman" w:cs="Times New Roman"/>
          <w:sz w:val="24"/>
          <w:szCs w:val="24"/>
          <w:lang w:val="bg-BG" w:eastAsia="zh-CN" w:bidi="hi-IN"/>
        </w:rPr>
        <w:t xml:space="preserve"> ;</w:t>
      </w:r>
    </w:p>
    <w:p w14:paraId="544CD904" w14:textId="531A7669" w:rsidR="0090467F" w:rsidRPr="00610B1B" w:rsidRDefault="0090467F"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Директива 2019/883/ЕС на Европейския парламент и на Съвета от 17 април 2019 г. относно пристанищните приемни съоръжения за предаване на отпадъци от кораби, за изменение ан Директива 2010/65/ЕС и з-а отмяна на Директива 2000/59/ЕО; </w:t>
      </w:r>
    </w:p>
    <w:p w14:paraId="17001926" w14:textId="77777777"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i/>
          <w:iCs/>
          <w:sz w:val="24"/>
          <w:szCs w:val="24"/>
          <w:lang w:val="bg-BG" w:eastAsia="zh-CN" w:bidi="hi-IN"/>
        </w:rPr>
      </w:pPr>
      <w:r w:rsidRPr="00610B1B">
        <w:rPr>
          <w:rFonts w:ascii="Times New Roman" w:eastAsia="Source Han Sans CN Regular" w:hAnsi="Times New Roman" w:cs="Times New Roman"/>
          <w:iCs/>
          <w:sz w:val="24"/>
          <w:szCs w:val="24"/>
          <w:lang w:val="bg-BG" w:eastAsia="zh-CN" w:bidi="hi-IN"/>
        </w:rPr>
        <w:t xml:space="preserve">Директива 92/43/ЕИО на Съвета от 21.05.1992 г. за опазване на естествените </w:t>
      </w:r>
      <w:r w:rsidRPr="00610B1B">
        <w:rPr>
          <w:rFonts w:ascii="Times New Roman" w:eastAsia="Source Han Sans CN Regular" w:hAnsi="Times New Roman" w:cs="Times New Roman"/>
          <w:sz w:val="24"/>
          <w:szCs w:val="24"/>
          <w:lang w:val="bg-BG" w:eastAsia="zh-CN" w:bidi="hi-IN"/>
        </w:rPr>
        <w:t>местообитания и на дивата флора и фауна. OB L 206, 22.7.1992 г.;</w:t>
      </w:r>
    </w:p>
    <w:p w14:paraId="79D1842B" w14:textId="48E50DCA"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Зелена книга за бъдеща морска политика на Съюза: европейско виждане по отношение на океаните и моретата, Брюксел, 7.6.2006 г., </w:t>
      </w:r>
      <w:hyperlink r:id="rId91" w:history="1">
        <w:r w:rsidRPr="00610B1B">
          <w:rPr>
            <w:rFonts w:ascii="Times New Roman" w:eastAsia="Source Han Sans CN Regular" w:hAnsi="Times New Roman" w:cs="Times New Roman"/>
            <w:color w:val="0000FF"/>
            <w:sz w:val="24"/>
            <w:szCs w:val="24"/>
            <w:u w:val="single"/>
            <w:lang w:val="bg-BG" w:eastAsia="zh-CN" w:bidi="hi-IN"/>
          </w:rPr>
          <w:t>http://eur-lex.europa.eu/legal-content/EN/TXT/HTML/?uri=LEGISSUM:l66029&amp;from=EN</w:t>
        </w:r>
      </w:hyperlink>
      <w:r w:rsidR="00C415D1" w:rsidRPr="00610B1B">
        <w:rPr>
          <w:rFonts w:ascii="Times New Roman" w:eastAsia="Source Han Sans CN Regular" w:hAnsi="Times New Roman" w:cs="Times New Roman"/>
          <w:sz w:val="24"/>
          <w:szCs w:val="24"/>
          <w:lang w:val="bg-BG" w:eastAsia="zh-CN" w:bidi="hi-IN"/>
        </w:rPr>
        <w:t xml:space="preserve"> </w:t>
      </w:r>
    </w:p>
    <w:p w14:paraId="75C85CC1" w14:textId="77777777"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Интегрирано управление на крайбрежните зони 2002/413/ЕО, ОВ L148 (ИУКЗ)</w:t>
      </w:r>
    </w:p>
    <w:p w14:paraId="4D677950" w14:textId="784829EE" w:rsidR="00683586" w:rsidRPr="00610B1B" w:rsidRDefault="00683586" w:rsidP="00254155">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Регламент (ЕО) 725/2004 на Европейския парламент и Съюза от 31.03.2024 година относно подобряваяне сигурността на корабите и на пристанищните съоражения (OB, L 129, 29.04.2024), изменен с Решение на Комисията от 23.01.2009 година (OB, L, 29 31.01.2009) и Регламент (EO) № 219 / 2009 на Европейския парламент и на Съвета от 11.03.2009 год. (OB, L, 87, 31.03.2009).</w:t>
      </w:r>
    </w:p>
    <w:p w14:paraId="229B5120" w14:textId="19077BDE"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Регламент (ЕО) № 1010/2009 на Комисията от 22.10.2009 г. за създаване на система на Общността за предотвратяване, възпиране и премахване на незаконния, недеклариран и нерегулиран риболов; </w:t>
      </w:r>
    </w:p>
    <w:p w14:paraId="4F27C28C" w14:textId="435F58F7" w:rsidR="009918C6" w:rsidRPr="00610B1B" w:rsidRDefault="009918C6" w:rsidP="009918C6">
      <w:pPr>
        <w:widowControl w:val="0"/>
        <w:spacing w:after="120"/>
        <w:ind w:right="-153"/>
        <w:jc w:val="both"/>
        <w:rPr>
          <w:rFonts w:ascii="Times New Roman" w:eastAsia="Source Han Sans CN Regular" w:hAnsi="Times New Roman" w:cs="Times New Roman"/>
          <w:sz w:val="24"/>
          <w:szCs w:val="24"/>
          <w:lang w:val="bg-BG" w:eastAsia="zh-CN" w:bidi="hi-IN"/>
        </w:rPr>
      </w:pPr>
    </w:p>
    <w:p w14:paraId="3BE4C8FB" w14:textId="77777777" w:rsidR="009918C6" w:rsidRPr="00610B1B" w:rsidRDefault="009918C6" w:rsidP="009918C6">
      <w:pPr>
        <w:widowControl w:val="0"/>
        <w:spacing w:after="120"/>
        <w:ind w:right="-153"/>
        <w:jc w:val="both"/>
        <w:rPr>
          <w:rFonts w:ascii="Times New Roman" w:eastAsia="Source Han Sans CN Regular" w:hAnsi="Times New Roman" w:cs="Times New Roman"/>
          <w:sz w:val="24"/>
          <w:szCs w:val="24"/>
          <w:lang w:val="bg-BG" w:eastAsia="zh-CN" w:bidi="hi-IN"/>
        </w:rPr>
      </w:pPr>
    </w:p>
    <w:p w14:paraId="3B83F997" w14:textId="77777777"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 xml:space="preserve">Регламент (ЕО) № 1224/2009 на Съвета от 20.11.2009 г. за създаване на система за контрол на Общността за гарантиране на спазването на правилата на общата политика в областта на рибарството; </w:t>
      </w:r>
    </w:p>
    <w:p w14:paraId="510ADBD6" w14:textId="1DE6B7C3"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Регламент (ЕО) № 762/2008 на Европейския парламент и на Съвета от 9.07.2008 г.-</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за предоставянето от държавите-членки на статистикa относно аквакултурите и за отмяна на Регламент (ЕО) № 788/96 - Общата политика в областта на рибарството;</w:t>
      </w:r>
    </w:p>
    <w:p w14:paraId="28A0939C" w14:textId="77777777"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Регламент (ЕС) № 1255/2011 на Европейския парламент и на Съвета от 30.11.2011 г. за установяване на програма за подпомагане на по-нататъшното развитие на интегрираната морска политика;</w:t>
      </w:r>
    </w:p>
    <w:p w14:paraId="334B8C9B" w14:textId="4119370A"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Регламент (ЕС) № 1343/2011 на Европейския парламент и на Съвета от 13.12.2011 г. относно определени разпоредби за риболова в зоната по Споразумението за GFCM (Генералната комисия по рибарство в Средиземно море) и за изменение на Регламент (ЕО) № 1967/2006 на Съвета относно мерките за управление на устойчивата експлоатация на рибните ресурси в Средиземно море; </w:t>
      </w:r>
    </w:p>
    <w:p w14:paraId="745DF457" w14:textId="77777777"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Регламент (ЕС) № 1380/2013 а Европейския парламент и на Съвета от 11.12.2013 г. относно общата политика в областта на рибарството, за изменение на регламенти 1954/2003 и (ЕО) № 1224/2009 на Съвета и за отмяна на регламенти (ЕО) № 2371/2002 и (ЕО) № 639/2004 на Съвета и Решение 2004/585/ЕО;</w:t>
      </w:r>
    </w:p>
    <w:p w14:paraId="5373AC3C" w14:textId="77777777"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Регламент (ЕС) № 2371/2002 на Съвета от 20.12.2002 г. относно опазването и устойчивата експлоатация на рибните ресурси в рамките на общата политика в областта на рибарството;</w:t>
      </w:r>
    </w:p>
    <w:p w14:paraId="17A352BD" w14:textId="0EE0AEF5"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Регламент (ЕС) № 508/2014</w:t>
      </w:r>
      <w:r w:rsidRPr="00610B1B">
        <w:rPr>
          <w:rFonts w:ascii="Times New Roman" w:eastAsia="Source Han Sans CN Regular" w:hAnsi="Times New Roman" w:cs="Times New Roman"/>
          <w:sz w:val="24"/>
          <w:szCs w:val="24"/>
          <w:shd w:val="clear" w:color="auto" w:fill="FFFFFF"/>
          <w:lang w:val="bg-BG" w:eastAsia="zh-CN" w:bidi="hi-IN"/>
        </w:rPr>
        <w:t xml:space="preserve"> на Европейския парламент и на Съвета от 15.05.2014 г</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 xml:space="preserve">за Европейския фонд за морско дело и рибарство и за отмяна на регламенти (ЕО) № 2328/2003, (ЕО) № 861/2006, (ЕО) № 1198/2006 и (ЕО) № 791/2007 на Съвета и Регламент (ЕС) № 1255/2011 на Европейския парламент и на Съвета; </w:t>
      </w:r>
    </w:p>
    <w:p w14:paraId="6FA9E770" w14:textId="164ECFFC"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Регламент (ЕС) 2017/352 на Европейския парламент и на Съвета от 15 февруари 2017 година за създаване на рамка за предоставянето на пристанищни услуги и общи правила за финансовата прозрачност на пристанищата </w:t>
      </w:r>
      <w:hyperlink r:id="rId92" w:history="1">
        <w:r w:rsidRPr="00610B1B">
          <w:rPr>
            <w:rFonts w:ascii="Times New Roman" w:eastAsia="Source Han Sans CN Regular" w:hAnsi="Times New Roman" w:cs="Times New Roman"/>
            <w:color w:val="0000FF"/>
            <w:sz w:val="24"/>
            <w:szCs w:val="24"/>
            <w:u w:val="single"/>
            <w:lang w:val="bg-BG" w:eastAsia="zh-CN" w:bidi="hi-IN"/>
          </w:rPr>
          <w:t>https://eur-lex.europa.eu/legal-content/BG/TXT/PDF/?uri=CELEX:32017R0352&amp;from=BG</w:t>
        </w:r>
      </w:hyperlink>
      <w:r w:rsidRPr="00610B1B">
        <w:rPr>
          <w:rFonts w:ascii="Times New Roman" w:eastAsia="Source Han Sans CN Regular" w:hAnsi="Times New Roman" w:cs="Times New Roman"/>
          <w:sz w:val="24"/>
          <w:szCs w:val="24"/>
          <w:lang w:val="bg-BG" w:eastAsia="zh-CN" w:bidi="hi-IN"/>
        </w:rPr>
        <w:t xml:space="preserve"> </w:t>
      </w:r>
    </w:p>
    <w:p w14:paraId="6420982A" w14:textId="33A4953C"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Решение 2010/477/ЕС на Комисията от 1.09.2010 г на Комисията относно критериите</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и методологическите стандарти за добър екологичен статус на морските води;</w:t>
      </w:r>
    </w:p>
    <w:p w14:paraId="517A736D" w14:textId="67C86770"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Решение № 884/2004/ЕО</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за развитието на Трансевропейските транспортна мрежа;</w:t>
      </w:r>
    </w:p>
    <w:p w14:paraId="61AAF337" w14:textId="289354D5"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Решение на Съвета от 13 септември 2010 във връзка с Протокола за интегрирано управление на крайбрежните зони в Средиземно море към</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Конвенцията за защита на морската среда и крайбрежния район на Средиземно море.</w:t>
      </w:r>
    </w:p>
    <w:p w14:paraId="76415DEB" w14:textId="688DA29A"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Синя книга за интегрирана морска политика за Европейския съюз, Брюксел, 10.10.2007, </w:t>
      </w:r>
      <w:hyperlink r:id="rId93" w:history="1">
        <w:r w:rsidR="009918C6" w:rsidRPr="00610B1B">
          <w:rPr>
            <w:rStyle w:val="Hyperlink"/>
            <w:rFonts w:ascii="Times New Roman" w:eastAsia="Source Han Sans CN Regular" w:hAnsi="Times New Roman" w:cs="Times New Roman"/>
            <w:sz w:val="24"/>
            <w:szCs w:val="24"/>
            <w:lang w:val="bg-BG" w:eastAsia="zh-CN" w:bidi="hi-IN"/>
          </w:rPr>
          <w:t>http://www.europarl.europa.eu/RegData/docs_autres_institutions/commission_europeenne/com/2007/0575/COM_COM(2007)0575_BG.pdf</w:t>
        </w:r>
      </w:hyperlink>
      <w:r w:rsidR="009918C6" w:rsidRPr="00390518">
        <w:rPr>
          <w:rFonts w:ascii="Times New Roman" w:eastAsia="Source Han Sans CN Regular" w:hAnsi="Times New Roman" w:cs="Times New Roman"/>
          <w:sz w:val="24"/>
          <w:szCs w:val="24"/>
          <w:lang w:val="bg-BG" w:eastAsia="zh-CN" w:bidi="hi-IN"/>
        </w:rPr>
        <w:t xml:space="preserve"> </w:t>
      </w:r>
    </w:p>
    <w:p w14:paraId="0BAF12E6" w14:textId="5674B448" w:rsidR="009918C6" w:rsidRPr="00390518" w:rsidRDefault="009918C6" w:rsidP="009918C6">
      <w:pPr>
        <w:widowControl w:val="0"/>
        <w:spacing w:after="120"/>
        <w:ind w:right="-153"/>
        <w:jc w:val="both"/>
        <w:rPr>
          <w:rFonts w:ascii="Times New Roman" w:eastAsia="Source Han Sans CN Regular" w:hAnsi="Times New Roman" w:cs="Times New Roman"/>
          <w:sz w:val="24"/>
          <w:szCs w:val="24"/>
          <w:lang w:val="bg-BG" w:eastAsia="zh-CN" w:bidi="hi-IN"/>
        </w:rPr>
      </w:pPr>
    </w:p>
    <w:p w14:paraId="563506DF" w14:textId="77777777" w:rsidR="009918C6" w:rsidRPr="00610B1B" w:rsidRDefault="009918C6" w:rsidP="009918C6">
      <w:pPr>
        <w:widowControl w:val="0"/>
        <w:spacing w:after="120"/>
        <w:ind w:right="-153"/>
        <w:jc w:val="both"/>
        <w:rPr>
          <w:rFonts w:ascii="Times New Roman" w:eastAsia="Source Han Sans CN Regular" w:hAnsi="Times New Roman" w:cs="Times New Roman"/>
          <w:sz w:val="24"/>
          <w:szCs w:val="24"/>
          <w:lang w:val="bg-BG" w:eastAsia="zh-CN" w:bidi="hi-IN"/>
        </w:rPr>
      </w:pPr>
    </w:p>
    <w:p w14:paraId="44BCF183" w14:textId="77777777" w:rsidR="00BE57CC" w:rsidRPr="00610B1B" w:rsidRDefault="00BE57CC" w:rsidP="00136FB2">
      <w:pPr>
        <w:widowControl w:val="0"/>
        <w:numPr>
          <w:ilvl w:val="0"/>
          <w:numId w:val="94"/>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 xml:space="preserve">Commission Decision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EU</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2017/848 of 17.05. 2017 laying down criteria and methodological standards on good environmental status of marine waters and specifications and standardised methods for monitoring and assessment, and repealing Decision 2010/477/EU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2017</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Official Journal L 125, p. 43–74.</w:t>
      </w:r>
    </w:p>
    <w:p w14:paraId="1F8A1339" w14:textId="77777777" w:rsidR="00BE57CC" w:rsidRPr="00610B1B" w:rsidRDefault="00BE57CC" w:rsidP="00BE57CC">
      <w:pPr>
        <w:widowControl w:val="0"/>
        <w:spacing w:after="120"/>
        <w:ind w:right="-153"/>
        <w:jc w:val="both"/>
        <w:rPr>
          <w:rFonts w:ascii="Times New Roman" w:eastAsia="Source Han Sans CN Regular" w:hAnsi="Times New Roman" w:cs="Times New Roman"/>
          <w:b/>
          <w:sz w:val="24"/>
          <w:szCs w:val="24"/>
          <w:lang w:val="bg-BG" w:eastAsia="zh-CN" w:bidi="hi-IN"/>
        </w:rPr>
      </w:pPr>
    </w:p>
    <w:p w14:paraId="0F102303" w14:textId="77777777" w:rsidR="00BE57CC" w:rsidRPr="00610B1B" w:rsidRDefault="00BE57CC" w:rsidP="00BE57CC">
      <w:pPr>
        <w:keepNext/>
        <w:widowControl w:val="0"/>
        <w:numPr>
          <w:ilvl w:val="1"/>
          <w:numId w:val="1"/>
        </w:numPr>
        <w:spacing w:after="120"/>
        <w:ind w:right="-153"/>
        <w:outlineLvl w:val="1"/>
        <w:rPr>
          <w:rFonts w:ascii="Times New Roman" w:eastAsia="Source Han Sans CN Regular" w:hAnsi="Times New Roman" w:cs="Times New Roman"/>
          <w:b/>
          <w:bCs/>
          <w:color w:val="0F243E" w:themeColor="text2" w:themeShade="80"/>
          <w:sz w:val="32"/>
          <w:szCs w:val="32"/>
          <w:lang w:val="bg-BG" w:eastAsia="zh-CN" w:bidi="hi-IN"/>
        </w:rPr>
      </w:pPr>
      <w:bookmarkStart w:id="533" w:name="_Toc56961586"/>
      <w:bookmarkStart w:id="534" w:name="_Toc83391458"/>
      <w:r w:rsidRPr="00610B1B">
        <w:rPr>
          <w:rFonts w:ascii="Times New Roman" w:eastAsia="Source Han Sans CN Regular" w:hAnsi="Times New Roman" w:cs="Times New Roman"/>
          <w:b/>
          <w:bCs/>
          <w:color w:val="0F243E" w:themeColor="text2" w:themeShade="80"/>
          <w:sz w:val="32"/>
          <w:szCs w:val="32"/>
          <w:lang w:val="bg-BG" w:eastAsia="zh-CN" w:bidi="hi-IN"/>
        </w:rPr>
        <w:t>11.3. Национални законодателни документи</w:t>
      </w:r>
      <w:bookmarkEnd w:id="533"/>
      <w:bookmarkEnd w:id="534"/>
    </w:p>
    <w:p w14:paraId="791BF17E" w14:textId="77777777" w:rsidR="00BE57CC" w:rsidRPr="00610B1B" w:rsidRDefault="00BE57CC" w:rsidP="00BE57CC">
      <w:pPr>
        <w:widowControl w:val="0"/>
        <w:numPr>
          <w:ilvl w:val="0"/>
          <w:numId w:val="95"/>
        </w:numPr>
        <w:spacing w:after="120"/>
        <w:ind w:right="-153"/>
        <w:jc w:val="both"/>
        <w:rPr>
          <w:rFonts w:ascii="Times New Roman" w:eastAsia="Source Han Sans CN Regular" w:hAnsi="Times New Roman" w:cs="Times New Roman"/>
          <w:iCs/>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биологичното разнообразие, (обн. ДВ, бр.77от 9.08.2002 г., изм. и доп., ДВ бр. 98/27.11.2018 г.</w:t>
      </w:r>
      <w:r w:rsidRPr="00610B1B">
        <w:rPr>
          <w:rFonts w:ascii="Times New Roman" w:eastAsia="Source Han Sans CN Regular" w:hAnsi="Times New Roman" w:cs="Times New Roman"/>
          <w:iCs/>
          <w:sz w:val="24"/>
          <w:szCs w:val="24"/>
          <w:lang w:val="bg-BG" w:eastAsia="zh-CN" w:bidi="hi-IN"/>
        </w:rPr>
        <w:t>)</w:t>
      </w:r>
    </w:p>
    <w:p w14:paraId="400C72F2" w14:textId="308EA2D4" w:rsidR="00BE57CC" w:rsidRPr="00610B1B" w:rsidRDefault="00BE57CC" w:rsidP="00260B7D">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водите (обн. ДВ бр. 67от 1999 г.,</w:t>
      </w:r>
      <w:r w:rsidR="00260B7D" w:rsidRPr="00610B1B">
        <w:rPr>
          <w:rFonts w:ascii="Times New Roman" w:hAnsi="Times New Roman" w:cs="Times New Roman"/>
          <w:lang w:val="bg-BG"/>
        </w:rPr>
        <w:t xml:space="preserve"> </w:t>
      </w:r>
      <w:r w:rsidR="00260B7D" w:rsidRPr="00610B1B">
        <w:rPr>
          <w:rFonts w:ascii="Times New Roman" w:eastAsia="Source Han Sans CN Regular" w:hAnsi="Times New Roman" w:cs="Times New Roman"/>
          <w:sz w:val="24"/>
          <w:szCs w:val="24"/>
          <w:lang w:val="bg-BG" w:eastAsia="zh-CN" w:bidi="hi-IN"/>
        </w:rPr>
        <w:t xml:space="preserve">изм. и доп., </w:t>
      </w:r>
      <w:r w:rsidR="00584B96" w:rsidRPr="00610B1B">
        <w:rPr>
          <w:rFonts w:ascii="Times New Roman" w:eastAsia="Source Han Sans CN Regular" w:hAnsi="Times New Roman" w:cs="Times New Roman"/>
          <w:sz w:val="24"/>
          <w:szCs w:val="24"/>
          <w:lang w:val="bg-BG" w:eastAsia="zh-CN" w:bidi="hi-IN"/>
        </w:rPr>
        <w:t xml:space="preserve">ДВ </w:t>
      </w:r>
      <w:r w:rsidR="006F4739" w:rsidRPr="00610B1B">
        <w:rPr>
          <w:rFonts w:ascii="Times New Roman" w:eastAsia="Source Han Sans CN Regular" w:hAnsi="Times New Roman" w:cs="Times New Roman"/>
          <w:sz w:val="24"/>
          <w:szCs w:val="24"/>
          <w:lang w:val="bg-BG" w:eastAsia="zh-CN" w:bidi="hi-IN"/>
        </w:rPr>
        <w:t>бр. 17/</w:t>
      </w:r>
      <w:r w:rsidR="00260B7D" w:rsidRPr="00610B1B">
        <w:rPr>
          <w:rFonts w:ascii="Times New Roman" w:eastAsia="Source Han Sans CN Regular" w:hAnsi="Times New Roman" w:cs="Times New Roman"/>
          <w:sz w:val="24"/>
          <w:szCs w:val="24"/>
          <w:lang w:val="bg-BG" w:eastAsia="zh-CN" w:bidi="hi-IN"/>
        </w:rPr>
        <w:t>26.02.2021 г.</w:t>
      </w:r>
      <w:r w:rsidRPr="00610B1B">
        <w:rPr>
          <w:rFonts w:ascii="Times New Roman" w:eastAsia="Source Han Sans CN Regular" w:hAnsi="Times New Roman" w:cs="Times New Roman"/>
          <w:sz w:val="24"/>
          <w:szCs w:val="24"/>
          <w:lang w:val="bg-BG" w:eastAsia="zh-CN" w:bidi="hi-IN"/>
        </w:rPr>
        <w:t>);</w:t>
      </w:r>
    </w:p>
    <w:p w14:paraId="50A02D5E" w14:textId="2BA82CB9" w:rsidR="00BE57CC" w:rsidRPr="00610B1B" w:rsidRDefault="00BE57CC" w:rsidP="00260B7D">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геодезията и картографията (обн.</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ДВ. бр.29/07.04. 2006 г.,</w:t>
      </w:r>
      <w:r w:rsidR="00896C45" w:rsidRPr="00610B1B">
        <w:rPr>
          <w:rFonts w:ascii="Times New Roman" w:eastAsia="Source Han Sans CN Regular" w:hAnsi="Times New Roman" w:cs="Times New Roman"/>
          <w:sz w:val="24"/>
          <w:szCs w:val="24"/>
          <w:lang w:val="bg-BG" w:eastAsia="zh-CN" w:bidi="hi-IN"/>
        </w:rPr>
        <w:t xml:space="preserve"> </w:t>
      </w:r>
      <w:r w:rsidR="00260B7D" w:rsidRPr="00610B1B">
        <w:rPr>
          <w:rFonts w:ascii="Times New Roman" w:eastAsia="Source Han Sans CN Regular" w:hAnsi="Times New Roman" w:cs="Times New Roman"/>
          <w:sz w:val="24"/>
          <w:szCs w:val="24"/>
          <w:lang w:val="bg-BG" w:eastAsia="zh-CN" w:bidi="hi-IN"/>
        </w:rPr>
        <w:t xml:space="preserve">изм. и доп., </w:t>
      </w:r>
      <w:r w:rsidR="00584B96" w:rsidRPr="00610B1B">
        <w:rPr>
          <w:rFonts w:ascii="Times New Roman" w:eastAsia="Source Han Sans CN Regular" w:hAnsi="Times New Roman" w:cs="Times New Roman"/>
          <w:sz w:val="24"/>
          <w:szCs w:val="24"/>
          <w:lang w:val="bg-BG" w:eastAsia="zh-CN" w:bidi="hi-IN"/>
        </w:rPr>
        <w:t xml:space="preserve">ДВ </w:t>
      </w:r>
      <w:r w:rsidR="00260B7D" w:rsidRPr="00610B1B">
        <w:rPr>
          <w:rFonts w:ascii="Times New Roman" w:eastAsia="Source Han Sans CN Regular" w:hAnsi="Times New Roman" w:cs="Times New Roman"/>
          <w:sz w:val="24"/>
          <w:szCs w:val="24"/>
          <w:lang w:val="bg-BG" w:eastAsia="zh-CN" w:bidi="hi-IN"/>
        </w:rPr>
        <w:t>бр. 41</w:t>
      </w:r>
      <w:r w:rsidR="006F4739" w:rsidRPr="00610B1B">
        <w:rPr>
          <w:rFonts w:ascii="Times New Roman" w:eastAsia="Source Han Sans CN Regular" w:hAnsi="Times New Roman" w:cs="Times New Roman"/>
          <w:sz w:val="24"/>
          <w:szCs w:val="24"/>
          <w:lang w:val="bg-BG" w:eastAsia="zh-CN" w:bidi="hi-IN"/>
        </w:rPr>
        <w:t>/</w:t>
      </w:r>
      <w:r w:rsidR="00260B7D" w:rsidRPr="00610B1B">
        <w:rPr>
          <w:rFonts w:ascii="Times New Roman" w:eastAsia="Source Han Sans CN Regular" w:hAnsi="Times New Roman" w:cs="Times New Roman"/>
          <w:sz w:val="24"/>
          <w:szCs w:val="24"/>
          <w:lang w:val="bg-BG" w:eastAsia="zh-CN" w:bidi="hi-IN"/>
        </w:rPr>
        <w:t xml:space="preserve"> 21.05.2019 г., в сила от 22.08.2019 г.</w:t>
      </w:r>
      <w:r w:rsidRPr="00610B1B">
        <w:rPr>
          <w:rFonts w:ascii="Times New Roman" w:eastAsia="Source Han Sans CN Regular" w:hAnsi="Times New Roman" w:cs="Times New Roman"/>
          <w:sz w:val="24"/>
          <w:szCs w:val="24"/>
          <w:lang w:val="bg-BG" w:eastAsia="zh-CN" w:bidi="hi-IN"/>
        </w:rPr>
        <w:t>.)</w:t>
      </w:r>
    </w:p>
    <w:p w14:paraId="2BF9513B" w14:textId="1A042342" w:rsidR="00BE57CC" w:rsidRPr="00610B1B" w:rsidRDefault="00BE57CC" w:rsidP="00260B7D">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задълженията към международния фонд за обезщетение при щети, причинени от замърсяване с нефт (обн. ДВ бр. 34/2005 г.</w:t>
      </w:r>
      <w:r w:rsidR="00260B7D" w:rsidRPr="00610B1B">
        <w:rPr>
          <w:rFonts w:ascii="Times New Roman" w:eastAsia="Source Han Sans CN Regular" w:hAnsi="Times New Roman" w:cs="Times New Roman"/>
          <w:sz w:val="24"/>
          <w:szCs w:val="24"/>
          <w:lang w:val="bg-BG" w:eastAsia="zh-CN" w:bidi="hi-IN"/>
        </w:rPr>
        <w:t>,</w:t>
      </w:r>
      <w:r w:rsidR="00260B7D" w:rsidRPr="00610B1B">
        <w:rPr>
          <w:rFonts w:ascii="Times New Roman" w:hAnsi="Times New Roman" w:cs="Times New Roman"/>
          <w:lang w:val="bg-BG"/>
        </w:rPr>
        <w:t xml:space="preserve"> </w:t>
      </w:r>
      <w:r w:rsidR="00260B7D" w:rsidRPr="00610B1B">
        <w:rPr>
          <w:rFonts w:ascii="Times New Roman" w:eastAsia="Source Han Sans CN Regular" w:hAnsi="Times New Roman" w:cs="Times New Roman"/>
          <w:sz w:val="24"/>
          <w:szCs w:val="24"/>
          <w:lang w:val="bg-BG" w:eastAsia="zh-CN" w:bidi="hi-IN"/>
        </w:rPr>
        <w:t xml:space="preserve">изм. и доп., </w:t>
      </w:r>
      <w:r w:rsidR="00584B96" w:rsidRPr="00610B1B">
        <w:rPr>
          <w:rFonts w:ascii="Times New Roman" w:eastAsia="Source Han Sans CN Regular" w:hAnsi="Times New Roman" w:cs="Times New Roman"/>
          <w:sz w:val="24"/>
          <w:szCs w:val="24"/>
          <w:lang w:val="bg-BG" w:eastAsia="zh-CN" w:bidi="hi-IN"/>
        </w:rPr>
        <w:t xml:space="preserve">ДВ </w:t>
      </w:r>
      <w:r w:rsidR="006F4739" w:rsidRPr="00610B1B">
        <w:rPr>
          <w:rFonts w:ascii="Times New Roman" w:eastAsia="Source Han Sans CN Regular" w:hAnsi="Times New Roman" w:cs="Times New Roman"/>
          <w:sz w:val="24"/>
          <w:szCs w:val="24"/>
          <w:lang w:val="bg-BG" w:eastAsia="zh-CN" w:bidi="hi-IN"/>
        </w:rPr>
        <w:t>бр. 33/</w:t>
      </w:r>
      <w:r w:rsidR="00260B7D" w:rsidRPr="00610B1B">
        <w:rPr>
          <w:rFonts w:ascii="Times New Roman" w:eastAsia="Source Han Sans CN Regular" w:hAnsi="Times New Roman" w:cs="Times New Roman"/>
          <w:sz w:val="24"/>
          <w:szCs w:val="24"/>
          <w:lang w:val="bg-BG" w:eastAsia="zh-CN" w:bidi="hi-IN"/>
        </w:rPr>
        <w:t xml:space="preserve"> 30.04.2009 г. </w:t>
      </w:r>
      <w:r w:rsidRPr="00610B1B">
        <w:rPr>
          <w:rFonts w:ascii="Times New Roman" w:eastAsia="Source Han Sans CN Regular" w:hAnsi="Times New Roman" w:cs="Times New Roman"/>
          <w:sz w:val="24"/>
          <w:szCs w:val="24"/>
          <w:lang w:val="bg-BG" w:eastAsia="zh-CN" w:bidi="hi-IN"/>
        </w:rPr>
        <w:t>);</w:t>
      </w:r>
    </w:p>
    <w:p w14:paraId="16AE155C" w14:textId="30153BEE" w:rsidR="00BE57CC" w:rsidRPr="00610B1B" w:rsidRDefault="00BE57CC" w:rsidP="00753FBA">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защита при бедствия (обн. ДВ бр. 102/2006 г.,</w:t>
      </w:r>
      <w:r w:rsidR="00753FBA" w:rsidRPr="00610B1B">
        <w:rPr>
          <w:rFonts w:ascii="Times New Roman" w:hAnsi="Times New Roman" w:cs="Times New Roman"/>
          <w:lang w:val="bg-BG"/>
        </w:rPr>
        <w:t xml:space="preserve"> </w:t>
      </w:r>
      <w:r w:rsidR="00753FBA" w:rsidRPr="00610B1B">
        <w:rPr>
          <w:rFonts w:ascii="Times New Roman" w:eastAsia="Source Han Sans CN Regular" w:hAnsi="Times New Roman" w:cs="Times New Roman"/>
          <w:sz w:val="24"/>
          <w:szCs w:val="24"/>
          <w:lang w:val="bg-BG" w:eastAsia="zh-CN" w:bidi="hi-IN"/>
        </w:rPr>
        <w:t xml:space="preserve">изм. и доп., </w:t>
      </w:r>
      <w:r w:rsidR="00584B96" w:rsidRPr="00610B1B">
        <w:rPr>
          <w:rFonts w:ascii="Times New Roman" w:eastAsia="Source Han Sans CN Regular" w:hAnsi="Times New Roman" w:cs="Times New Roman"/>
          <w:sz w:val="24"/>
          <w:szCs w:val="24"/>
          <w:lang w:val="bg-BG" w:eastAsia="zh-CN" w:bidi="hi-IN"/>
        </w:rPr>
        <w:t xml:space="preserve">ДВ </w:t>
      </w:r>
      <w:r w:rsidR="00753FBA" w:rsidRPr="00610B1B">
        <w:rPr>
          <w:rFonts w:ascii="Times New Roman" w:eastAsia="Source Han Sans CN Regular" w:hAnsi="Times New Roman" w:cs="Times New Roman"/>
          <w:sz w:val="24"/>
          <w:szCs w:val="24"/>
          <w:lang w:val="bg-BG" w:eastAsia="zh-CN" w:bidi="hi-IN"/>
        </w:rPr>
        <w:t>бр. 97 от 5.12.2017 г., бр. 77 от 18.09.2018 г., в сила от 1.01.2019 г., бр. 60 от 7.07.2020 г.</w:t>
      </w:r>
      <w:r w:rsidRPr="00610B1B">
        <w:rPr>
          <w:rFonts w:ascii="Times New Roman" w:eastAsia="Source Han Sans CN Regular" w:hAnsi="Times New Roman" w:cs="Times New Roman"/>
          <w:sz w:val="24"/>
          <w:szCs w:val="24"/>
          <w:lang w:val="bg-BG" w:eastAsia="zh-CN" w:bidi="hi-IN"/>
        </w:rPr>
        <w:t>);</w:t>
      </w:r>
    </w:p>
    <w:p w14:paraId="2F76247E" w14:textId="41A336DA" w:rsidR="00BE57CC" w:rsidRPr="00610B1B" w:rsidRDefault="00BE57CC" w:rsidP="00753FBA">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Закон за защитените територии (обн. ДВ бр. 133/1998 г., </w:t>
      </w:r>
      <w:r w:rsidR="00896C45" w:rsidRPr="00610B1B">
        <w:rPr>
          <w:rFonts w:ascii="Times New Roman" w:eastAsia="Source Han Sans CN Regular" w:hAnsi="Times New Roman" w:cs="Times New Roman"/>
          <w:sz w:val="24"/>
          <w:szCs w:val="24"/>
          <w:lang w:val="bg-BG" w:eastAsia="zh-CN" w:bidi="hi-IN"/>
        </w:rPr>
        <w:t>изм.</w:t>
      </w:r>
      <w:r w:rsidR="00753FBA" w:rsidRPr="00610B1B">
        <w:rPr>
          <w:rFonts w:ascii="Times New Roman" w:eastAsia="Source Han Sans CN Regular" w:hAnsi="Times New Roman" w:cs="Times New Roman"/>
          <w:sz w:val="24"/>
          <w:szCs w:val="24"/>
          <w:lang w:val="bg-BG" w:eastAsia="zh-CN" w:bidi="hi-IN"/>
        </w:rPr>
        <w:t xml:space="preserve">, </w:t>
      </w:r>
      <w:r w:rsidR="00584B96" w:rsidRPr="00610B1B">
        <w:rPr>
          <w:rFonts w:ascii="Times New Roman" w:eastAsia="Source Han Sans CN Regular" w:hAnsi="Times New Roman" w:cs="Times New Roman"/>
          <w:sz w:val="24"/>
          <w:szCs w:val="24"/>
          <w:lang w:val="bg-BG" w:eastAsia="zh-CN" w:bidi="hi-IN"/>
        </w:rPr>
        <w:t xml:space="preserve">ДВ </w:t>
      </w:r>
      <w:r w:rsidR="00753FBA" w:rsidRPr="00610B1B">
        <w:rPr>
          <w:rFonts w:ascii="Times New Roman" w:eastAsia="Source Han Sans CN Regular" w:hAnsi="Times New Roman" w:cs="Times New Roman"/>
          <w:sz w:val="24"/>
          <w:szCs w:val="24"/>
          <w:lang w:val="bg-BG" w:eastAsia="zh-CN" w:bidi="hi-IN"/>
        </w:rPr>
        <w:t>бр. 21 от 12.03.2021 г.</w:t>
      </w:r>
      <w:r w:rsidRPr="00610B1B">
        <w:rPr>
          <w:rFonts w:ascii="Times New Roman" w:eastAsia="Source Han Sans CN Regular" w:hAnsi="Times New Roman" w:cs="Times New Roman"/>
          <w:sz w:val="24"/>
          <w:szCs w:val="24"/>
          <w:lang w:val="bg-BG" w:eastAsia="zh-CN" w:bidi="hi-IN"/>
        </w:rPr>
        <w:t>);</w:t>
      </w:r>
    </w:p>
    <w:p w14:paraId="6262C6D8" w14:textId="56026A83" w:rsidR="00BE57CC" w:rsidRPr="00610B1B" w:rsidRDefault="00BE57CC" w:rsidP="00753FBA">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здравето (обн. ДВ бр. 70/2007 г.,</w:t>
      </w:r>
      <w:r w:rsidR="00753FBA" w:rsidRPr="00610B1B">
        <w:rPr>
          <w:rFonts w:ascii="Times New Roman" w:hAnsi="Times New Roman" w:cs="Times New Roman"/>
          <w:lang w:val="bg-BG"/>
        </w:rPr>
        <w:t xml:space="preserve"> </w:t>
      </w:r>
      <w:r w:rsidR="00753FBA" w:rsidRPr="00610B1B">
        <w:rPr>
          <w:rFonts w:ascii="Times New Roman" w:eastAsia="Source Han Sans CN Regular" w:hAnsi="Times New Roman" w:cs="Times New Roman"/>
          <w:sz w:val="24"/>
          <w:szCs w:val="24"/>
          <w:lang w:val="bg-BG" w:eastAsia="zh-CN" w:bidi="hi-IN"/>
        </w:rPr>
        <w:t xml:space="preserve">доп., </w:t>
      </w:r>
      <w:r w:rsidR="00584B96" w:rsidRPr="00610B1B">
        <w:rPr>
          <w:rFonts w:ascii="Times New Roman" w:eastAsia="Source Han Sans CN Regular" w:hAnsi="Times New Roman" w:cs="Times New Roman"/>
          <w:sz w:val="24"/>
          <w:szCs w:val="24"/>
          <w:lang w:val="bg-BG" w:eastAsia="zh-CN" w:bidi="hi-IN"/>
        </w:rPr>
        <w:t xml:space="preserve">ДВ </w:t>
      </w:r>
      <w:r w:rsidR="00753FBA" w:rsidRPr="00610B1B">
        <w:rPr>
          <w:rFonts w:ascii="Times New Roman" w:eastAsia="Source Han Sans CN Regular" w:hAnsi="Times New Roman" w:cs="Times New Roman"/>
          <w:sz w:val="24"/>
          <w:szCs w:val="24"/>
          <w:lang w:val="bg-BG" w:eastAsia="zh-CN" w:bidi="hi-IN"/>
        </w:rPr>
        <w:t>бр. 21 от 12.03.2021 г., в сила от 12.03.2021 г.</w:t>
      </w:r>
      <w:r w:rsidRPr="00610B1B">
        <w:rPr>
          <w:rFonts w:ascii="Times New Roman" w:eastAsia="Source Han Sans CN Regular" w:hAnsi="Times New Roman" w:cs="Times New Roman"/>
          <w:sz w:val="24"/>
          <w:szCs w:val="24"/>
          <w:lang w:val="bg-BG" w:eastAsia="zh-CN" w:bidi="hi-IN"/>
        </w:rPr>
        <w:t>);</w:t>
      </w:r>
    </w:p>
    <w:p w14:paraId="02733AD8" w14:textId="5E707579" w:rsidR="00BE57CC" w:rsidRPr="00610B1B" w:rsidRDefault="00BE57CC" w:rsidP="00753FBA">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морските пространства, вътрешните водни пътища и пристанищата на Република България (ЗМПВВППРБ, обн. ДВ бр. 12/2000 г. изм</w:t>
      </w:r>
      <w:r w:rsidR="00896C45" w:rsidRPr="00610B1B">
        <w:rPr>
          <w:rFonts w:ascii="Times New Roman" w:eastAsia="Source Han Sans CN Regular" w:hAnsi="Times New Roman" w:cs="Times New Roman"/>
          <w:sz w:val="24"/>
          <w:szCs w:val="24"/>
          <w:lang w:val="bg-BG" w:eastAsia="zh-CN" w:bidi="hi-IN"/>
        </w:rPr>
        <w:t>.</w:t>
      </w:r>
      <w:r w:rsidR="00753FBA" w:rsidRPr="00610B1B">
        <w:rPr>
          <w:rFonts w:ascii="Times New Roman" w:hAnsi="Times New Roman" w:cs="Times New Roman"/>
          <w:lang w:val="bg-BG"/>
        </w:rPr>
        <w:t xml:space="preserve"> </w:t>
      </w:r>
      <w:r w:rsidR="00753FBA" w:rsidRPr="00610B1B">
        <w:rPr>
          <w:rFonts w:ascii="Times New Roman" w:eastAsia="Source Han Sans CN Regular" w:hAnsi="Times New Roman" w:cs="Times New Roman"/>
          <w:sz w:val="24"/>
          <w:szCs w:val="24"/>
          <w:lang w:val="bg-BG" w:eastAsia="zh-CN" w:bidi="hi-IN"/>
        </w:rPr>
        <w:t xml:space="preserve">и доп., </w:t>
      </w:r>
      <w:r w:rsidR="00584B96" w:rsidRPr="00610B1B">
        <w:rPr>
          <w:rFonts w:ascii="Times New Roman" w:eastAsia="Source Han Sans CN Regular" w:hAnsi="Times New Roman" w:cs="Times New Roman"/>
          <w:sz w:val="24"/>
          <w:szCs w:val="24"/>
          <w:lang w:val="bg-BG" w:eastAsia="zh-CN" w:bidi="hi-IN"/>
        </w:rPr>
        <w:t xml:space="preserve">ДВ </w:t>
      </w:r>
      <w:r w:rsidR="00753FBA" w:rsidRPr="00610B1B">
        <w:rPr>
          <w:rFonts w:ascii="Times New Roman" w:eastAsia="Source Han Sans CN Regular" w:hAnsi="Times New Roman" w:cs="Times New Roman"/>
          <w:sz w:val="24"/>
          <w:szCs w:val="24"/>
          <w:lang w:val="bg-BG" w:eastAsia="zh-CN" w:bidi="hi-IN"/>
        </w:rPr>
        <w:t xml:space="preserve">бр. 104 </w:t>
      </w:r>
      <w:r w:rsidR="006F4739" w:rsidRPr="00610B1B">
        <w:rPr>
          <w:rFonts w:ascii="Times New Roman" w:eastAsia="Source Han Sans CN Regular" w:hAnsi="Times New Roman" w:cs="Times New Roman"/>
          <w:sz w:val="24"/>
          <w:szCs w:val="24"/>
          <w:lang w:val="bg-BG" w:eastAsia="zh-CN" w:bidi="hi-IN"/>
        </w:rPr>
        <w:t>/</w:t>
      </w:r>
      <w:r w:rsidR="00753FBA" w:rsidRPr="00610B1B">
        <w:rPr>
          <w:rFonts w:ascii="Times New Roman" w:eastAsia="Source Han Sans CN Regular" w:hAnsi="Times New Roman" w:cs="Times New Roman"/>
          <w:sz w:val="24"/>
          <w:szCs w:val="24"/>
          <w:lang w:val="bg-BG" w:eastAsia="zh-CN" w:bidi="hi-IN"/>
        </w:rPr>
        <w:t xml:space="preserve">8.12.2020 г., изм., </w:t>
      </w:r>
      <w:r w:rsidR="00584B96" w:rsidRPr="00610B1B">
        <w:rPr>
          <w:rFonts w:ascii="Times New Roman" w:eastAsia="Source Han Sans CN Regular" w:hAnsi="Times New Roman" w:cs="Times New Roman"/>
          <w:sz w:val="24"/>
          <w:szCs w:val="24"/>
          <w:lang w:val="bg-BG" w:eastAsia="zh-CN" w:bidi="hi-IN"/>
        </w:rPr>
        <w:t xml:space="preserve">ДВ </w:t>
      </w:r>
      <w:r w:rsidR="00753FBA" w:rsidRPr="00610B1B">
        <w:rPr>
          <w:rFonts w:ascii="Times New Roman" w:eastAsia="Source Han Sans CN Regular" w:hAnsi="Times New Roman" w:cs="Times New Roman"/>
          <w:sz w:val="24"/>
          <w:szCs w:val="24"/>
          <w:lang w:val="bg-BG" w:eastAsia="zh-CN" w:bidi="hi-IN"/>
        </w:rPr>
        <w:t xml:space="preserve">бр. 17 </w:t>
      </w:r>
      <w:r w:rsidR="006F4739" w:rsidRPr="00610B1B">
        <w:rPr>
          <w:rFonts w:ascii="Times New Roman" w:eastAsia="Source Han Sans CN Regular" w:hAnsi="Times New Roman" w:cs="Times New Roman"/>
          <w:sz w:val="24"/>
          <w:szCs w:val="24"/>
          <w:lang w:val="bg-BG" w:eastAsia="zh-CN" w:bidi="hi-IN"/>
        </w:rPr>
        <w:t>/</w:t>
      </w:r>
      <w:r w:rsidR="00753FBA" w:rsidRPr="00610B1B">
        <w:rPr>
          <w:rFonts w:ascii="Times New Roman" w:eastAsia="Source Han Sans CN Regular" w:hAnsi="Times New Roman" w:cs="Times New Roman"/>
          <w:sz w:val="24"/>
          <w:szCs w:val="24"/>
          <w:lang w:val="bg-BG" w:eastAsia="zh-CN" w:bidi="hi-IN"/>
        </w:rPr>
        <w:t>26.02.2021 г.</w:t>
      </w:r>
      <w:r w:rsidRPr="00610B1B">
        <w:rPr>
          <w:rFonts w:ascii="Times New Roman" w:eastAsia="Source Han Sans CN Regular" w:hAnsi="Times New Roman" w:cs="Times New Roman"/>
          <w:sz w:val="24"/>
          <w:szCs w:val="24"/>
          <w:lang w:val="bg-BG" w:eastAsia="zh-CN" w:bidi="hi-IN"/>
        </w:rPr>
        <w:t>);</w:t>
      </w:r>
    </w:p>
    <w:p w14:paraId="19A512F0" w14:textId="2C30EFA4" w:rsidR="00BE57CC" w:rsidRPr="00610B1B" w:rsidRDefault="00BE57CC" w:rsidP="006E1573">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опазване на околната среда (обн. ДВ бр. 91/2002 г. изм.</w:t>
      </w:r>
      <w:r w:rsidR="006E1573" w:rsidRPr="00610B1B">
        <w:rPr>
          <w:rFonts w:ascii="Times New Roman" w:hAnsi="Times New Roman" w:cs="Times New Roman"/>
          <w:lang w:val="bg-BG"/>
        </w:rPr>
        <w:t xml:space="preserve"> </w:t>
      </w:r>
      <w:r w:rsidR="006E1573" w:rsidRPr="00610B1B">
        <w:rPr>
          <w:rFonts w:ascii="Times New Roman" w:eastAsia="Source Han Sans CN Regular" w:hAnsi="Times New Roman" w:cs="Times New Roman"/>
          <w:sz w:val="24"/>
          <w:szCs w:val="24"/>
          <w:lang w:val="bg-BG" w:eastAsia="zh-CN" w:bidi="hi-IN"/>
        </w:rPr>
        <w:t>и доп.,</w:t>
      </w:r>
      <w:r w:rsidR="008753B6" w:rsidRPr="00610B1B">
        <w:rPr>
          <w:rFonts w:ascii="Times New Roman" w:eastAsia="Source Han Sans CN Regular" w:hAnsi="Times New Roman" w:cs="Times New Roman"/>
          <w:sz w:val="24"/>
          <w:szCs w:val="24"/>
          <w:lang w:val="bg-BG" w:eastAsia="zh-CN" w:bidi="hi-IN"/>
        </w:rPr>
        <w:t xml:space="preserve"> </w:t>
      </w:r>
      <w:r w:rsidR="00584B96" w:rsidRPr="00610B1B">
        <w:rPr>
          <w:rFonts w:ascii="Times New Roman" w:eastAsia="Source Han Sans CN Regular" w:hAnsi="Times New Roman" w:cs="Times New Roman"/>
          <w:sz w:val="24"/>
          <w:szCs w:val="24"/>
          <w:lang w:val="bg-BG" w:eastAsia="zh-CN" w:bidi="hi-IN"/>
        </w:rPr>
        <w:t xml:space="preserve">ДВ </w:t>
      </w:r>
      <w:r w:rsidR="006E1573" w:rsidRPr="00610B1B">
        <w:rPr>
          <w:rFonts w:ascii="Times New Roman" w:eastAsia="Source Han Sans CN Regular" w:hAnsi="Times New Roman" w:cs="Times New Roman"/>
          <w:sz w:val="24"/>
          <w:szCs w:val="24"/>
          <w:lang w:val="bg-BG" w:eastAsia="zh-CN" w:bidi="hi-IN"/>
        </w:rPr>
        <w:t xml:space="preserve">бр. 54 </w:t>
      </w:r>
      <w:r w:rsidR="006F4739" w:rsidRPr="00610B1B">
        <w:rPr>
          <w:rFonts w:ascii="Times New Roman" w:eastAsia="Source Han Sans CN Regular" w:hAnsi="Times New Roman" w:cs="Times New Roman"/>
          <w:sz w:val="24"/>
          <w:szCs w:val="24"/>
          <w:lang w:val="bg-BG" w:eastAsia="zh-CN" w:bidi="hi-IN"/>
        </w:rPr>
        <w:t>/</w:t>
      </w:r>
      <w:r w:rsidR="006E1573" w:rsidRPr="00610B1B">
        <w:rPr>
          <w:rFonts w:ascii="Times New Roman" w:eastAsia="Source Han Sans CN Regular" w:hAnsi="Times New Roman" w:cs="Times New Roman"/>
          <w:sz w:val="24"/>
          <w:szCs w:val="24"/>
          <w:lang w:val="bg-BG" w:eastAsia="zh-CN" w:bidi="hi-IN"/>
        </w:rPr>
        <w:t>16.06.2020 г.,</w:t>
      </w:r>
      <w:r w:rsidR="00584B96" w:rsidRPr="00610B1B">
        <w:rPr>
          <w:rFonts w:ascii="Times New Roman" w:eastAsia="Source Han Sans CN Regular" w:hAnsi="Times New Roman" w:cs="Times New Roman"/>
          <w:sz w:val="24"/>
          <w:szCs w:val="24"/>
          <w:lang w:val="bg-BG" w:eastAsia="zh-CN" w:bidi="hi-IN"/>
        </w:rPr>
        <w:t xml:space="preserve"> ДВ</w:t>
      </w:r>
      <w:r w:rsidR="006E1573" w:rsidRPr="00610B1B">
        <w:rPr>
          <w:rFonts w:ascii="Times New Roman" w:eastAsia="Source Han Sans CN Regular" w:hAnsi="Times New Roman" w:cs="Times New Roman"/>
          <w:sz w:val="24"/>
          <w:szCs w:val="24"/>
          <w:lang w:val="bg-BG" w:eastAsia="zh-CN" w:bidi="hi-IN"/>
        </w:rPr>
        <w:t xml:space="preserve"> бр. 102 </w:t>
      </w:r>
      <w:r w:rsidR="006F4739" w:rsidRPr="00610B1B">
        <w:rPr>
          <w:rFonts w:ascii="Times New Roman" w:eastAsia="Source Han Sans CN Regular" w:hAnsi="Times New Roman" w:cs="Times New Roman"/>
          <w:sz w:val="24"/>
          <w:szCs w:val="24"/>
          <w:lang w:val="bg-BG" w:eastAsia="zh-CN" w:bidi="hi-IN"/>
        </w:rPr>
        <w:t>/</w:t>
      </w:r>
      <w:r w:rsidR="006E1573" w:rsidRPr="00610B1B">
        <w:rPr>
          <w:rFonts w:ascii="Times New Roman" w:eastAsia="Source Han Sans CN Regular" w:hAnsi="Times New Roman" w:cs="Times New Roman"/>
          <w:sz w:val="24"/>
          <w:szCs w:val="24"/>
          <w:lang w:val="bg-BG" w:eastAsia="zh-CN" w:bidi="hi-IN"/>
        </w:rPr>
        <w:t xml:space="preserve">1.12.2020 г., в сила от 27.11.2020 г., изм., </w:t>
      </w:r>
      <w:r w:rsidR="00584B96" w:rsidRPr="00610B1B">
        <w:rPr>
          <w:rFonts w:ascii="Times New Roman" w:eastAsia="Source Han Sans CN Regular" w:hAnsi="Times New Roman" w:cs="Times New Roman"/>
          <w:sz w:val="24"/>
          <w:szCs w:val="24"/>
          <w:lang w:val="bg-BG" w:eastAsia="zh-CN" w:bidi="hi-IN"/>
        </w:rPr>
        <w:t xml:space="preserve">ДВ </w:t>
      </w:r>
      <w:r w:rsidR="006E1573" w:rsidRPr="00610B1B">
        <w:rPr>
          <w:rFonts w:ascii="Times New Roman" w:eastAsia="Source Han Sans CN Regular" w:hAnsi="Times New Roman" w:cs="Times New Roman"/>
          <w:sz w:val="24"/>
          <w:szCs w:val="24"/>
          <w:lang w:val="bg-BG" w:eastAsia="zh-CN" w:bidi="hi-IN"/>
        </w:rPr>
        <w:t xml:space="preserve">бр. 21 </w:t>
      </w:r>
      <w:r w:rsidR="006F4739" w:rsidRPr="00610B1B">
        <w:rPr>
          <w:rFonts w:ascii="Times New Roman" w:eastAsia="Source Han Sans CN Regular" w:hAnsi="Times New Roman" w:cs="Times New Roman"/>
          <w:sz w:val="24"/>
          <w:szCs w:val="24"/>
          <w:lang w:val="bg-BG" w:eastAsia="zh-CN" w:bidi="hi-IN"/>
        </w:rPr>
        <w:t>/</w:t>
      </w:r>
      <w:r w:rsidR="006E1573" w:rsidRPr="00610B1B">
        <w:rPr>
          <w:rFonts w:ascii="Times New Roman" w:eastAsia="Source Han Sans CN Regular" w:hAnsi="Times New Roman" w:cs="Times New Roman"/>
          <w:sz w:val="24"/>
          <w:szCs w:val="24"/>
          <w:lang w:val="bg-BG" w:eastAsia="zh-CN" w:bidi="hi-IN"/>
        </w:rPr>
        <w:t>12.03.2021 г.</w:t>
      </w:r>
      <w:r w:rsidRPr="00610B1B">
        <w:rPr>
          <w:rFonts w:ascii="Times New Roman" w:eastAsia="Source Han Sans CN Regular" w:hAnsi="Times New Roman" w:cs="Times New Roman"/>
          <w:sz w:val="24"/>
          <w:szCs w:val="24"/>
          <w:lang w:val="bg-BG" w:eastAsia="zh-CN" w:bidi="hi-IN"/>
        </w:rPr>
        <w:t>);</w:t>
      </w:r>
    </w:p>
    <w:p w14:paraId="6CD449F1" w14:textId="3050DD66" w:rsidR="00BE57CC" w:rsidRPr="00610B1B" w:rsidRDefault="00BE57CC" w:rsidP="006E1573">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отбраната и въоръжените сили на Република България, (обн., ДВ, бр. 35/12.05.2009</w:t>
      </w:r>
      <w:r w:rsidR="00AD38A7"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г., в сила от 12.05.2009 г.,</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изм. и доп., бр.</w:t>
      </w:r>
      <w:r w:rsidR="006E1573" w:rsidRPr="00610B1B">
        <w:rPr>
          <w:rFonts w:ascii="Times New Roman" w:eastAsia="Source Han Sans CN Regular" w:hAnsi="Times New Roman" w:cs="Times New Roman"/>
          <w:sz w:val="24"/>
          <w:szCs w:val="24"/>
          <w:lang w:val="bg-BG" w:eastAsia="zh-CN" w:bidi="hi-IN"/>
        </w:rPr>
        <w:t xml:space="preserve"> </w:t>
      </w:r>
      <w:r w:rsidR="00584B96" w:rsidRPr="00610B1B">
        <w:rPr>
          <w:rFonts w:ascii="Times New Roman" w:eastAsia="Source Han Sans CN Regular" w:hAnsi="Times New Roman" w:cs="Times New Roman"/>
          <w:sz w:val="24"/>
          <w:szCs w:val="24"/>
          <w:lang w:val="bg-BG" w:eastAsia="zh-CN" w:bidi="hi-IN"/>
        </w:rPr>
        <w:t xml:space="preserve">ДВ </w:t>
      </w:r>
      <w:r w:rsidR="006E1573" w:rsidRPr="00610B1B">
        <w:rPr>
          <w:rFonts w:ascii="Times New Roman" w:eastAsia="Source Han Sans CN Regular" w:hAnsi="Times New Roman" w:cs="Times New Roman"/>
          <w:sz w:val="24"/>
          <w:szCs w:val="24"/>
          <w:lang w:val="bg-BG" w:eastAsia="zh-CN" w:bidi="hi-IN"/>
        </w:rPr>
        <w:t>бр. 21</w:t>
      </w:r>
      <w:r w:rsidR="006F4739" w:rsidRPr="00610B1B">
        <w:rPr>
          <w:rFonts w:ascii="Times New Roman" w:eastAsia="Source Han Sans CN Regular" w:hAnsi="Times New Roman" w:cs="Times New Roman"/>
          <w:sz w:val="24"/>
          <w:szCs w:val="24"/>
          <w:lang w:val="bg-BG" w:eastAsia="zh-CN" w:bidi="hi-IN"/>
        </w:rPr>
        <w:t>/</w:t>
      </w:r>
      <w:r w:rsidR="006E1573" w:rsidRPr="00610B1B">
        <w:rPr>
          <w:rFonts w:ascii="Times New Roman" w:eastAsia="Source Han Sans CN Regular" w:hAnsi="Times New Roman" w:cs="Times New Roman"/>
          <w:sz w:val="24"/>
          <w:szCs w:val="24"/>
          <w:lang w:val="bg-BG" w:eastAsia="zh-CN" w:bidi="hi-IN"/>
        </w:rPr>
        <w:t xml:space="preserve"> 12.03.2021 г.</w:t>
      </w:r>
      <w:r w:rsidRPr="00610B1B">
        <w:rPr>
          <w:rFonts w:ascii="Times New Roman" w:eastAsia="Source Han Sans CN Regular" w:hAnsi="Times New Roman" w:cs="Times New Roman"/>
          <w:sz w:val="24"/>
          <w:szCs w:val="24"/>
          <w:lang w:val="bg-BG" w:eastAsia="zh-CN" w:bidi="hi-IN"/>
        </w:rPr>
        <w:t>);</w:t>
      </w:r>
    </w:p>
    <w:p w14:paraId="2725A1B5" w14:textId="294A5245" w:rsidR="00BE57CC" w:rsidRPr="00610B1B" w:rsidRDefault="00BE57CC" w:rsidP="00584B96">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отговорността за предотвратяване и отстраняване на екологични щети (обн. ДВ бр. 43/2008 г., изм.</w:t>
      </w:r>
      <w:r w:rsidR="00584B96" w:rsidRPr="00610B1B">
        <w:rPr>
          <w:rFonts w:ascii="Times New Roman" w:hAnsi="Times New Roman" w:cs="Times New Roman"/>
          <w:lang w:val="bg-BG"/>
        </w:rPr>
        <w:t xml:space="preserve"> </w:t>
      </w:r>
      <w:r w:rsidR="00584B96" w:rsidRPr="00610B1B">
        <w:rPr>
          <w:rFonts w:ascii="Times New Roman" w:eastAsia="Source Han Sans CN Regular" w:hAnsi="Times New Roman" w:cs="Times New Roman"/>
          <w:sz w:val="24"/>
          <w:szCs w:val="24"/>
          <w:lang w:val="bg-BG" w:eastAsia="zh-CN" w:bidi="hi-IN"/>
        </w:rPr>
        <w:t xml:space="preserve">и доп., ДВ бр. 96 </w:t>
      </w:r>
      <w:r w:rsidR="006F4739" w:rsidRPr="00610B1B">
        <w:rPr>
          <w:rFonts w:ascii="Times New Roman" w:eastAsia="Source Han Sans CN Regular" w:hAnsi="Times New Roman" w:cs="Times New Roman"/>
          <w:sz w:val="24"/>
          <w:szCs w:val="24"/>
          <w:lang w:val="bg-BG" w:eastAsia="zh-CN" w:bidi="hi-IN"/>
        </w:rPr>
        <w:t>/</w:t>
      </w:r>
      <w:r w:rsidR="00584B96" w:rsidRPr="00610B1B">
        <w:rPr>
          <w:rFonts w:ascii="Times New Roman" w:eastAsia="Source Han Sans CN Regular" w:hAnsi="Times New Roman" w:cs="Times New Roman"/>
          <w:sz w:val="24"/>
          <w:szCs w:val="24"/>
          <w:lang w:val="bg-BG" w:eastAsia="zh-CN" w:bidi="hi-IN"/>
        </w:rPr>
        <w:t>10.11.2020 г.</w:t>
      </w:r>
      <w:r w:rsidRPr="00610B1B">
        <w:rPr>
          <w:rFonts w:ascii="Times New Roman" w:eastAsia="Source Han Sans CN Regular" w:hAnsi="Times New Roman" w:cs="Times New Roman"/>
          <w:sz w:val="24"/>
          <w:szCs w:val="24"/>
          <w:lang w:val="bg-BG" w:eastAsia="zh-CN" w:bidi="hi-IN"/>
        </w:rPr>
        <w:t>);</w:t>
      </w:r>
    </w:p>
    <w:p w14:paraId="69B959AB" w14:textId="0D562D96" w:rsidR="00BE57CC" w:rsidRPr="00610B1B" w:rsidRDefault="00BE57CC" w:rsidP="00584B96">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Закон за подземните богатства (обн. ДВ бр. 23 от 1999 г. </w:t>
      </w:r>
      <w:r w:rsidR="00896C45" w:rsidRPr="00610B1B">
        <w:rPr>
          <w:rFonts w:ascii="Times New Roman" w:eastAsia="Source Han Sans CN Regular" w:hAnsi="Times New Roman" w:cs="Times New Roman"/>
          <w:sz w:val="24"/>
          <w:szCs w:val="24"/>
          <w:lang w:val="bg-BG" w:eastAsia="zh-CN" w:bidi="hi-IN"/>
        </w:rPr>
        <w:t>изм.</w:t>
      </w:r>
      <w:r w:rsidRPr="00610B1B">
        <w:rPr>
          <w:rFonts w:ascii="Times New Roman" w:eastAsia="Source Han Sans CN Regular" w:hAnsi="Times New Roman" w:cs="Times New Roman"/>
          <w:sz w:val="24"/>
          <w:szCs w:val="24"/>
          <w:lang w:val="bg-BG" w:eastAsia="zh-CN" w:bidi="hi-IN"/>
        </w:rPr>
        <w:t xml:space="preserve"> и доп. ДВ бр..</w:t>
      </w:r>
      <w:r w:rsidR="00584B96" w:rsidRPr="00610B1B">
        <w:rPr>
          <w:rFonts w:ascii="Times New Roman" w:eastAsia="Source Han Sans CN Regular" w:hAnsi="Times New Roman" w:cs="Times New Roman"/>
          <w:sz w:val="24"/>
          <w:szCs w:val="24"/>
          <w:lang w:val="bg-BG" w:eastAsia="zh-CN" w:bidi="hi-IN"/>
        </w:rPr>
        <w:t xml:space="preserve"> бр. 79</w:t>
      </w:r>
      <w:r w:rsidR="006F4739" w:rsidRPr="00610B1B">
        <w:rPr>
          <w:rFonts w:ascii="Times New Roman" w:eastAsia="Source Han Sans CN Regular" w:hAnsi="Times New Roman" w:cs="Times New Roman"/>
          <w:sz w:val="24"/>
          <w:szCs w:val="24"/>
          <w:lang w:val="bg-BG" w:eastAsia="zh-CN" w:bidi="hi-IN"/>
        </w:rPr>
        <w:t>/</w:t>
      </w:r>
      <w:r w:rsidR="00584B96" w:rsidRPr="00610B1B">
        <w:rPr>
          <w:rFonts w:ascii="Times New Roman" w:eastAsia="Source Han Sans CN Regular" w:hAnsi="Times New Roman" w:cs="Times New Roman"/>
          <w:sz w:val="24"/>
          <w:szCs w:val="24"/>
          <w:lang w:val="bg-BG" w:eastAsia="zh-CN" w:bidi="hi-IN"/>
        </w:rPr>
        <w:t xml:space="preserve"> 8.09.2020 г., бр. 17</w:t>
      </w:r>
      <w:r w:rsidR="006F4739" w:rsidRPr="00610B1B">
        <w:rPr>
          <w:rFonts w:ascii="Times New Roman" w:eastAsia="Source Han Sans CN Regular" w:hAnsi="Times New Roman" w:cs="Times New Roman"/>
          <w:sz w:val="24"/>
          <w:szCs w:val="24"/>
          <w:lang w:val="bg-BG" w:eastAsia="zh-CN" w:bidi="hi-IN"/>
        </w:rPr>
        <w:t>/</w:t>
      </w:r>
      <w:r w:rsidR="00584B96" w:rsidRPr="00610B1B">
        <w:rPr>
          <w:rFonts w:ascii="Times New Roman" w:eastAsia="Source Han Sans CN Regular" w:hAnsi="Times New Roman" w:cs="Times New Roman"/>
          <w:sz w:val="24"/>
          <w:szCs w:val="24"/>
          <w:lang w:val="bg-BG" w:eastAsia="zh-CN" w:bidi="hi-IN"/>
        </w:rPr>
        <w:t xml:space="preserve"> 26.02.2021 г.</w:t>
      </w:r>
      <w:r w:rsidRPr="00610B1B">
        <w:rPr>
          <w:rFonts w:ascii="Times New Roman" w:eastAsia="Source Han Sans CN Regular" w:hAnsi="Times New Roman" w:cs="Times New Roman"/>
          <w:sz w:val="24"/>
          <w:szCs w:val="24"/>
          <w:lang w:val="bg-BG" w:eastAsia="zh-CN" w:bidi="hi-IN"/>
        </w:rPr>
        <w:t>);</w:t>
      </w:r>
    </w:p>
    <w:p w14:paraId="06B1E8D0" w14:textId="588FC087" w:rsidR="00BE57CC" w:rsidRPr="00610B1B" w:rsidRDefault="00BE57CC" w:rsidP="00584B96">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противодействие на тероризма, (ДВ брой 103 от</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27.12.2016 г.</w:t>
      </w:r>
      <w:r w:rsidR="00584B96" w:rsidRPr="00610B1B">
        <w:rPr>
          <w:rFonts w:ascii="Times New Roman" w:eastAsia="Source Han Sans CN Regular" w:hAnsi="Times New Roman" w:cs="Times New Roman"/>
          <w:sz w:val="24"/>
          <w:szCs w:val="24"/>
          <w:lang w:val="bg-BG" w:eastAsia="zh-CN" w:bidi="hi-IN"/>
        </w:rPr>
        <w:t xml:space="preserve">, </w:t>
      </w:r>
      <w:r w:rsidR="00896C45" w:rsidRPr="00610B1B">
        <w:rPr>
          <w:rFonts w:ascii="Times New Roman" w:eastAsia="Source Han Sans CN Regular" w:hAnsi="Times New Roman" w:cs="Times New Roman"/>
          <w:sz w:val="24"/>
          <w:szCs w:val="24"/>
          <w:lang w:val="bg-BG" w:eastAsia="zh-CN" w:bidi="hi-IN"/>
        </w:rPr>
        <w:t>изм.</w:t>
      </w:r>
      <w:r w:rsidR="00584B96" w:rsidRPr="00610B1B">
        <w:rPr>
          <w:rFonts w:ascii="Times New Roman" w:hAnsi="Times New Roman" w:cs="Times New Roman"/>
          <w:lang w:val="bg-BG"/>
        </w:rPr>
        <w:t xml:space="preserve"> , ДВ </w:t>
      </w:r>
      <w:r w:rsidR="006F4739" w:rsidRPr="00610B1B">
        <w:rPr>
          <w:rFonts w:ascii="Times New Roman" w:eastAsia="Source Han Sans CN Regular" w:hAnsi="Times New Roman" w:cs="Times New Roman"/>
          <w:sz w:val="24"/>
          <w:szCs w:val="24"/>
          <w:lang w:val="bg-BG" w:eastAsia="zh-CN" w:bidi="hi-IN"/>
        </w:rPr>
        <w:t>бр. 20/</w:t>
      </w:r>
      <w:r w:rsidR="00584B96" w:rsidRPr="00610B1B">
        <w:rPr>
          <w:rFonts w:ascii="Times New Roman" w:eastAsia="Source Han Sans CN Regular" w:hAnsi="Times New Roman" w:cs="Times New Roman"/>
          <w:sz w:val="24"/>
          <w:szCs w:val="24"/>
          <w:lang w:val="bg-BG" w:eastAsia="zh-CN" w:bidi="hi-IN"/>
        </w:rPr>
        <w:t>9.03.2021 г.</w:t>
      </w:r>
      <w:r w:rsidRPr="00610B1B">
        <w:rPr>
          <w:rFonts w:ascii="Times New Roman" w:eastAsia="Source Han Sans CN Regular" w:hAnsi="Times New Roman" w:cs="Times New Roman"/>
          <w:sz w:val="24"/>
          <w:szCs w:val="24"/>
          <w:lang w:val="bg-BG" w:eastAsia="zh-CN" w:bidi="hi-IN"/>
        </w:rPr>
        <w:t xml:space="preserve">); </w:t>
      </w:r>
    </w:p>
    <w:p w14:paraId="723D386B" w14:textId="59B4DE11" w:rsidR="00BE57CC" w:rsidRPr="00610B1B" w:rsidRDefault="00BE57CC" w:rsidP="00584B96">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рибарство и аквакултури (обн. ДВ бр. 41/2001 г., изм.</w:t>
      </w:r>
      <w:r w:rsidR="00584B96" w:rsidRPr="00610B1B">
        <w:rPr>
          <w:rFonts w:ascii="Times New Roman" w:hAnsi="Times New Roman" w:cs="Times New Roman"/>
          <w:lang w:val="bg-BG"/>
        </w:rPr>
        <w:t xml:space="preserve"> </w:t>
      </w:r>
      <w:r w:rsidR="00584B96" w:rsidRPr="00610B1B">
        <w:rPr>
          <w:rFonts w:ascii="Times New Roman" w:eastAsia="Source Han Sans CN Regular" w:hAnsi="Times New Roman" w:cs="Times New Roman"/>
          <w:sz w:val="24"/>
          <w:szCs w:val="24"/>
          <w:lang w:val="bg-BG" w:eastAsia="zh-CN" w:bidi="hi-IN"/>
        </w:rPr>
        <w:t xml:space="preserve">изм., ДВ </w:t>
      </w:r>
      <w:r w:rsidR="006F4739" w:rsidRPr="00610B1B">
        <w:rPr>
          <w:rFonts w:ascii="Times New Roman" w:eastAsia="Source Han Sans CN Regular" w:hAnsi="Times New Roman" w:cs="Times New Roman"/>
          <w:sz w:val="24"/>
          <w:szCs w:val="24"/>
          <w:lang w:val="bg-BG" w:eastAsia="zh-CN" w:bidi="hi-IN"/>
        </w:rPr>
        <w:t>бр. 52/</w:t>
      </w:r>
      <w:r w:rsidR="00584B96" w:rsidRPr="00610B1B">
        <w:rPr>
          <w:rFonts w:ascii="Times New Roman" w:eastAsia="Source Han Sans CN Regular" w:hAnsi="Times New Roman" w:cs="Times New Roman"/>
          <w:sz w:val="24"/>
          <w:szCs w:val="24"/>
          <w:lang w:val="bg-BG" w:eastAsia="zh-CN" w:bidi="hi-IN"/>
        </w:rPr>
        <w:t>9.06.2020 г</w:t>
      </w:r>
      <w:r w:rsidRPr="00610B1B">
        <w:rPr>
          <w:rFonts w:ascii="Times New Roman" w:eastAsia="Source Han Sans CN Regular" w:hAnsi="Times New Roman" w:cs="Times New Roman"/>
          <w:sz w:val="24"/>
          <w:szCs w:val="24"/>
          <w:lang w:val="bg-BG" w:eastAsia="zh-CN" w:bidi="hi-IN"/>
        </w:rPr>
        <w:t>.);</w:t>
      </w:r>
    </w:p>
    <w:p w14:paraId="31AA5E4D" w14:textId="482D7AC2" w:rsidR="00BE57CC" w:rsidRPr="00610B1B" w:rsidRDefault="00BE57CC" w:rsidP="00584B96">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управление и функциониране на системата за защита на националната сигурност, (обн. ДВ. бр.61от 11.08.2015 г.</w:t>
      </w:r>
      <w:r w:rsidR="00584B96" w:rsidRPr="00610B1B">
        <w:rPr>
          <w:rFonts w:ascii="Times New Roman" w:eastAsia="Source Han Sans CN Regular" w:hAnsi="Times New Roman" w:cs="Times New Roman"/>
          <w:sz w:val="24"/>
          <w:szCs w:val="24"/>
          <w:lang w:val="bg-BG" w:eastAsia="zh-CN" w:bidi="hi-IN"/>
        </w:rPr>
        <w:t xml:space="preserve">, </w:t>
      </w:r>
      <w:r w:rsidR="00896C45" w:rsidRPr="00610B1B">
        <w:rPr>
          <w:rFonts w:ascii="Times New Roman" w:eastAsia="Source Han Sans CN Regular" w:hAnsi="Times New Roman" w:cs="Times New Roman"/>
          <w:sz w:val="24"/>
          <w:szCs w:val="24"/>
          <w:lang w:val="bg-BG" w:eastAsia="zh-CN" w:bidi="hi-IN"/>
        </w:rPr>
        <w:t>изм.</w:t>
      </w:r>
      <w:r w:rsidR="00584B96" w:rsidRPr="00610B1B">
        <w:rPr>
          <w:rFonts w:ascii="Times New Roman" w:eastAsia="Source Han Sans CN Regular" w:hAnsi="Times New Roman" w:cs="Times New Roman"/>
          <w:sz w:val="24"/>
          <w:szCs w:val="24"/>
          <w:lang w:val="bg-BG" w:eastAsia="zh-CN" w:bidi="hi-IN"/>
        </w:rPr>
        <w:t xml:space="preserve"> ДВ бр. 69</w:t>
      </w:r>
      <w:r w:rsidR="006F4739" w:rsidRPr="00610B1B">
        <w:rPr>
          <w:rFonts w:ascii="Times New Roman" w:eastAsia="Source Han Sans CN Regular" w:hAnsi="Times New Roman" w:cs="Times New Roman"/>
          <w:sz w:val="24"/>
          <w:szCs w:val="24"/>
          <w:lang w:val="bg-BG" w:eastAsia="zh-CN" w:bidi="hi-IN"/>
        </w:rPr>
        <w:t>/</w:t>
      </w:r>
      <w:r w:rsidR="00584B96" w:rsidRPr="00610B1B">
        <w:rPr>
          <w:rFonts w:ascii="Times New Roman" w:eastAsia="Source Han Sans CN Regular" w:hAnsi="Times New Roman" w:cs="Times New Roman"/>
          <w:sz w:val="24"/>
          <w:szCs w:val="24"/>
          <w:lang w:val="bg-BG" w:eastAsia="zh-CN" w:bidi="hi-IN"/>
        </w:rPr>
        <w:t xml:space="preserve"> 4.08.2020 г. </w:t>
      </w:r>
      <w:r w:rsidRPr="00610B1B">
        <w:rPr>
          <w:rFonts w:ascii="Times New Roman" w:eastAsia="Source Han Sans CN Regular" w:hAnsi="Times New Roman" w:cs="Times New Roman"/>
          <w:sz w:val="24"/>
          <w:szCs w:val="24"/>
          <w:lang w:val="bg-BG" w:eastAsia="zh-CN" w:bidi="hi-IN"/>
        </w:rPr>
        <w:t>);</w:t>
      </w:r>
    </w:p>
    <w:p w14:paraId="6FF08C82" w14:textId="0AB819BB" w:rsidR="00BE57CC" w:rsidRPr="00610B1B" w:rsidRDefault="00BE57CC" w:rsidP="006F4739">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Закон за управление на отпадъците (oбн. ДВ. бр. 53 /13.07.2012 г., изм. и </w:t>
      </w:r>
      <w:r w:rsidR="006F4739" w:rsidRPr="00610B1B">
        <w:rPr>
          <w:rFonts w:ascii="Times New Roman" w:eastAsia="Source Han Sans CN Regular" w:hAnsi="Times New Roman" w:cs="Times New Roman"/>
          <w:sz w:val="24"/>
          <w:szCs w:val="24"/>
          <w:lang w:val="bg-BG" w:eastAsia="zh-CN" w:bidi="hi-IN"/>
        </w:rPr>
        <w:t>доп., ДВ бр. 19/5.03.2021 г.</w:t>
      </w:r>
      <w:r w:rsidRPr="00610B1B">
        <w:rPr>
          <w:rFonts w:ascii="Times New Roman" w:eastAsia="Source Han Sans CN Regular" w:hAnsi="Times New Roman" w:cs="Times New Roman"/>
          <w:sz w:val="24"/>
          <w:szCs w:val="24"/>
          <w:lang w:val="bg-BG" w:eastAsia="zh-CN" w:bidi="hi-IN"/>
        </w:rPr>
        <w:t>);</w:t>
      </w:r>
    </w:p>
    <w:p w14:paraId="7A4B3D93" w14:textId="0AB99D7A" w:rsidR="00BE57CC" w:rsidRPr="00610B1B" w:rsidRDefault="00BE57CC" w:rsidP="006F4739">
      <w:pPr>
        <w:widowControl w:val="0"/>
        <w:numPr>
          <w:ilvl w:val="0"/>
          <w:numId w:val="95"/>
        </w:numPr>
        <w:spacing w:after="120"/>
        <w:ind w:right="-30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Закон за устройство на територията (в сила от 31.03.2001г., изм</w:t>
      </w:r>
      <w:r w:rsidR="006F4739" w:rsidRPr="00610B1B">
        <w:rPr>
          <w:rFonts w:ascii="Times New Roman" w:hAnsi="Times New Roman" w:cs="Times New Roman"/>
          <w:lang w:val="bg-BG"/>
        </w:rPr>
        <w:t xml:space="preserve"> </w:t>
      </w:r>
      <w:r w:rsidR="006F4739" w:rsidRPr="00610B1B">
        <w:rPr>
          <w:rFonts w:ascii="Times New Roman" w:eastAsia="Source Han Sans CN Regular" w:hAnsi="Times New Roman" w:cs="Times New Roman"/>
          <w:sz w:val="24"/>
          <w:szCs w:val="24"/>
          <w:lang w:val="bg-BG" w:eastAsia="zh-CN" w:bidi="hi-IN"/>
        </w:rPr>
        <w:t>и доп., ДВ бр. 21/ 12.03.2021 г.</w:t>
      </w:r>
      <w:r w:rsidRPr="00610B1B">
        <w:rPr>
          <w:rFonts w:ascii="Times New Roman" w:eastAsia="Source Han Sans CN Regular" w:hAnsi="Times New Roman" w:cs="Times New Roman"/>
          <w:sz w:val="24"/>
          <w:szCs w:val="24"/>
          <w:lang w:val="bg-BG" w:eastAsia="zh-CN" w:bidi="hi-IN"/>
        </w:rPr>
        <w:t>)</w:t>
      </w:r>
    </w:p>
    <w:p w14:paraId="33863567" w14:textId="2D309D1E" w:rsidR="00BE57CC" w:rsidRPr="00610B1B" w:rsidRDefault="00BE57CC" w:rsidP="006F4739">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Закон за устройство на черноморското крайбрежие (в сила от 01.01.2008 г., обн. ДВ. бр.48/15.06.2007 г., изм.</w:t>
      </w:r>
      <w:r w:rsidR="006F4739" w:rsidRPr="00610B1B">
        <w:rPr>
          <w:rFonts w:ascii="Times New Roman" w:hAnsi="Times New Roman" w:cs="Times New Roman"/>
          <w:lang w:val="bg-BG"/>
        </w:rPr>
        <w:t xml:space="preserve"> </w:t>
      </w:r>
      <w:r w:rsidR="006F4739" w:rsidRPr="00610B1B">
        <w:rPr>
          <w:rFonts w:ascii="Times New Roman" w:eastAsia="Source Han Sans CN Regular" w:hAnsi="Times New Roman" w:cs="Times New Roman"/>
          <w:sz w:val="24"/>
          <w:szCs w:val="24"/>
          <w:lang w:val="bg-BG" w:eastAsia="zh-CN" w:bidi="hi-IN"/>
        </w:rPr>
        <w:t>и доп.,</w:t>
      </w:r>
      <w:r w:rsidR="008753B6" w:rsidRPr="00610B1B">
        <w:rPr>
          <w:rFonts w:ascii="Times New Roman" w:eastAsia="Source Han Sans CN Regular" w:hAnsi="Times New Roman" w:cs="Times New Roman"/>
          <w:sz w:val="24"/>
          <w:szCs w:val="24"/>
          <w:lang w:val="bg-BG" w:eastAsia="zh-CN" w:bidi="hi-IN"/>
        </w:rPr>
        <w:t xml:space="preserve"> </w:t>
      </w:r>
      <w:r w:rsidR="006F4739" w:rsidRPr="00610B1B">
        <w:rPr>
          <w:rFonts w:ascii="Times New Roman" w:eastAsia="Source Han Sans CN Regular" w:hAnsi="Times New Roman" w:cs="Times New Roman"/>
          <w:sz w:val="24"/>
          <w:szCs w:val="24"/>
          <w:lang w:val="bg-BG" w:eastAsia="zh-CN" w:bidi="hi-IN"/>
        </w:rPr>
        <w:t>ДВ бр. 17/ 26.02.2021 г.</w:t>
      </w:r>
      <w:r w:rsidRPr="00610B1B">
        <w:rPr>
          <w:rFonts w:ascii="Times New Roman" w:eastAsia="Source Han Sans CN Regular" w:hAnsi="Times New Roman" w:cs="Times New Roman"/>
          <w:sz w:val="24"/>
          <w:szCs w:val="24"/>
          <w:lang w:val="bg-BG" w:eastAsia="zh-CN" w:bidi="hi-IN"/>
        </w:rPr>
        <w:t xml:space="preserve">); </w:t>
      </w:r>
    </w:p>
    <w:p w14:paraId="7ABB7164" w14:textId="75EC0910" w:rsidR="00254155" w:rsidRPr="00610B1B" w:rsidRDefault="00254155" w:rsidP="006F4739">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Закон за чистотата на атмосферния въздух , (обн. ДВ бр. 45/28.05.1996 г., </w:t>
      </w:r>
      <w:r w:rsidR="00896C45" w:rsidRPr="00610B1B">
        <w:rPr>
          <w:rFonts w:ascii="Times New Roman" w:eastAsia="Source Han Sans CN Regular" w:hAnsi="Times New Roman" w:cs="Times New Roman"/>
          <w:sz w:val="24"/>
          <w:szCs w:val="24"/>
          <w:lang w:val="bg-BG" w:eastAsia="zh-CN" w:bidi="hi-IN"/>
        </w:rPr>
        <w:t>изм.</w:t>
      </w:r>
      <w:r w:rsidRPr="00610B1B">
        <w:rPr>
          <w:rFonts w:ascii="Times New Roman" w:eastAsia="Source Han Sans CN Regular" w:hAnsi="Times New Roman" w:cs="Times New Roman"/>
          <w:sz w:val="24"/>
          <w:szCs w:val="24"/>
          <w:lang w:val="bg-BG" w:eastAsia="zh-CN" w:bidi="hi-IN"/>
        </w:rPr>
        <w:t xml:space="preserve"> и доп. ДВ бр. 18/02.03.2021 г.</w:t>
      </w:r>
      <w:r w:rsidR="006F4739" w:rsidRPr="00610B1B">
        <w:rPr>
          <w:rFonts w:ascii="Times New Roman" w:eastAsia="Source Han Sans CN Regular" w:hAnsi="Times New Roman" w:cs="Times New Roman"/>
          <w:sz w:val="24"/>
          <w:szCs w:val="24"/>
          <w:lang w:val="bg-BG" w:eastAsia="zh-CN" w:bidi="hi-IN"/>
        </w:rPr>
        <w:t>, в сила от 1.01.2022 г.</w:t>
      </w:r>
      <w:r w:rsidRPr="00610B1B">
        <w:rPr>
          <w:rFonts w:ascii="Times New Roman" w:eastAsia="Source Han Sans CN Regular" w:hAnsi="Times New Roman" w:cs="Times New Roman"/>
          <w:sz w:val="24"/>
          <w:szCs w:val="24"/>
          <w:lang w:val="bg-BG" w:eastAsia="zh-CN" w:bidi="hi-IN"/>
        </w:rPr>
        <w:t>);</w:t>
      </w:r>
    </w:p>
    <w:p w14:paraId="03FA0F9B" w14:textId="77777777" w:rsidR="00254155" w:rsidRPr="00610B1B" w:rsidRDefault="00254155" w:rsidP="00254155">
      <w:pPr>
        <w:widowControl w:val="0"/>
        <w:numPr>
          <w:ilvl w:val="0"/>
          <w:numId w:val="95"/>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Кодекс на търговското корабоплаване (обн. ДВ бр. 55/14.07.1970 г., изм. и доп. ДВ бр.108/22.12.2020 г.); </w:t>
      </w:r>
    </w:p>
    <w:p w14:paraId="21DB7244" w14:textId="3EC40AB0" w:rsidR="00254155" w:rsidRPr="00610B1B" w:rsidRDefault="00254155" w:rsidP="00254155">
      <w:pPr>
        <w:widowControl w:val="0"/>
        <w:numPr>
          <w:ilvl w:val="0"/>
          <w:numId w:val="95"/>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Наредба за изискванията за качеството на течните горива, условията, реда и начина за техния контрол, приета с ПМС № 156 от 2003 г. (обн., ДВ, бр. 66/25.07.2003 г., изм. и доп. ДВ бр. 75/25.08.2020 г.);</w:t>
      </w:r>
    </w:p>
    <w:p w14:paraId="3EBB73C7" w14:textId="0255E6F8" w:rsidR="00BE57CC" w:rsidRPr="00610B1B" w:rsidRDefault="00BE57CC" w:rsidP="00037924">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Наредба № 1 от 11.04.2011 г. за мониторинг на водите, (обн. ДВ бр.34/29.04.2011 г., изм. и доп. ДВ.</w:t>
      </w:r>
      <w:r w:rsidR="00037924" w:rsidRPr="00610B1B">
        <w:rPr>
          <w:rFonts w:ascii="Times New Roman" w:eastAsia="Source Han Sans CN Regular" w:hAnsi="Times New Roman" w:cs="Times New Roman"/>
          <w:sz w:val="24"/>
          <w:szCs w:val="24"/>
          <w:lang w:val="bg-BG" w:eastAsia="zh-CN" w:bidi="hi-IN"/>
        </w:rPr>
        <w:t xml:space="preserve"> ДВ бр. 75/ 25.08.2020 г.</w:t>
      </w:r>
      <w:r w:rsidRPr="00610B1B">
        <w:rPr>
          <w:rFonts w:ascii="Times New Roman" w:eastAsia="Source Han Sans CN Regular" w:hAnsi="Times New Roman" w:cs="Times New Roman"/>
          <w:sz w:val="24"/>
          <w:szCs w:val="24"/>
          <w:lang w:val="bg-BG" w:eastAsia="zh-CN" w:bidi="hi-IN"/>
        </w:rPr>
        <w:t>);</w:t>
      </w:r>
    </w:p>
    <w:p w14:paraId="38557E72" w14:textId="2A19B331" w:rsidR="00BE57CC" w:rsidRPr="00610B1B" w:rsidRDefault="00BE57CC" w:rsidP="00BE57CC">
      <w:pPr>
        <w:widowControl w:val="0"/>
        <w:numPr>
          <w:ilvl w:val="0"/>
          <w:numId w:val="95"/>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Наредба № 1 от 31.01.2001 г. за условията и реда за осъществяване на пилотска дейност в </w:t>
      </w:r>
      <w:r w:rsidR="00254155" w:rsidRPr="00610B1B">
        <w:rPr>
          <w:rFonts w:ascii="Times New Roman" w:eastAsia="Source Han Sans CN Regular" w:hAnsi="Times New Roman" w:cs="Times New Roman"/>
          <w:sz w:val="24"/>
          <w:szCs w:val="24"/>
          <w:lang w:val="bg-BG" w:eastAsia="zh-CN" w:bidi="hi-IN"/>
        </w:rPr>
        <w:t xml:space="preserve">Република България, в сила от </w:t>
      </w:r>
      <w:r w:rsidR="00037924" w:rsidRPr="00610B1B">
        <w:rPr>
          <w:rFonts w:ascii="Times New Roman" w:eastAsia="Source Han Sans CN Regular" w:hAnsi="Times New Roman" w:cs="Times New Roman"/>
          <w:sz w:val="24"/>
          <w:szCs w:val="24"/>
          <w:lang w:val="bg-BG" w:eastAsia="zh-CN" w:bidi="hi-IN"/>
        </w:rPr>
        <w:t>3</w:t>
      </w:r>
      <w:r w:rsidR="00254155" w:rsidRPr="00610B1B">
        <w:rPr>
          <w:rFonts w:ascii="Times New Roman" w:eastAsia="Source Han Sans CN Regular" w:hAnsi="Times New Roman" w:cs="Times New Roman"/>
          <w:sz w:val="24"/>
          <w:szCs w:val="24"/>
          <w:lang w:val="bg-BG" w:eastAsia="zh-CN" w:bidi="hi-IN"/>
        </w:rPr>
        <w:t>.04.2019 г. (обн. ДВ. бр. 31/12.04.2019 г.);</w:t>
      </w:r>
    </w:p>
    <w:p w14:paraId="42E0BD7F" w14:textId="289A24DE" w:rsidR="00BE57CC" w:rsidRPr="00610B1B" w:rsidRDefault="00BE57CC" w:rsidP="00037924">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Наредба № 2 от 08.06.2011 г. за издаване на разрешителни за заустване на отпадъчни води във водни обекти и определяне на индивидуалните емисионни ограничения на точкови източници на замърсяване</w:t>
      </w:r>
      <w:r w:rsidR="00037924" w:rsidRPr="00610B1B">
        <w:rPr>
          <w:rFonts w:ascii="Times New Roman" w:eastAsia="Source Han Sans CN Regular" w:hAnsi="Times New Roman" w:cs="Times New Roman"/>
          <w:sz w:val="24"/>
          <w:szCs w:val="24"/>
          <w:lang w:val="bg-BG" w:eastAsia="zh-CN" w:bidi="hi-IN"/>
        </w:rPr>
        <w:t xml:space="preserve"> (обн., ДВ, бр. 47/21.06.2011 г, изм., ДВ бр. 48/27.06.2015 г.)</w:t>
      </w:r>
      <w:r w:rsidRPr="00610B1B">
        <w:rPr>
          <w:rFonts w:ascii="Times New Roman" w:eastAsia="Source Han Sans CN Regular" w:hAnsi="Times New Roman" w:cs="Times New Roman"/>
          <w:sz w:val="24"/>
          <w:szCs w:val="24"/>
          <w:lang w:val="bg-BG" w:eastAsia="zh-CN" w:bidi="hi-IN"/>
        </w:rPr>
        <w:t>.</w:t>
      </w:r>
    </w:p>
    <w:p w14:paraId="42D2820F" w14:textId="77777777" w:rsidR="00BE57CC" w:rsidRPr="00610B1B" w:rsidRDefault="00BE57CC" w:rsidP="00BE57CC">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Наредба № 4 от 20.10.2000 г. за качеството на водите за рибовъдство и за развъждане на черупкови организми, (обн., ДВ, бр. 88/27.10.2000 г.);</w:t>
      </w:r>
    </w:p>
    <w:p w14:paraId="20D459E2" w14:textId="01C5C368" w:rsidR="00BE57CC" w:rsidRPr="00610B1B" w:rsidRDefault="00BE57CC" w:rsidP="00BE57CC">
      <w:pPr>
        <w:widowControl w:val="0"/>
        <w:numPr>
          <w:ilvl w:val="0"/>
          <w:numId w:val="95"/>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Наредба № 5 от 30.05. 2008 г. за управление на качеството на водите за къпане (обн., ДВ. бр.53</w:t>
      </w:r>
      <w:r w:rsidR="00037924" w:rsidRPr="00610B1B">
        <w:rPr>
          <w:rFonts w:ascii="Times New Roman" w:eastAsia="Source Han Sans CN Regular" w:hAnsi="Times New Roman" w:cs="Times New Roman"/>
          <w:sz w:val="24"/>
          <w:szCs w:val="24"/>
          <w:lang w:val="bg-BG" w:eastAsia="zh-CN" w:bidi="hi-IN"/>
        </w:rPr>
        <w:t>/</w:t>
      </w:r>
      <w:r w:rsidRPr="00610B1B">
        <w:rPr>
          <w:rFonts w:ascii="Times New Roman" w:eastAsia="Source Han Sans CN Regular" w:hAnsi="Times New Roman" w:cs="Times New Roman"/>
          <w:sz w:val="24"/>
          <w:szCs w:val="24"/>
          <w:lang w:val="bg-BG" w:eastAsia="zh-CN" w:bidi="hi-IN"/>
        </w:rPr>
        <w:t>1.07.2008 г., изм. и доп. ДВ. бр.5</w:t>
      </w:r>
      <w:r w:rsidR="00037924" w:rsidRPr="00610B1B">
        <w:rPr>
          <w:rFonts w:ascii="Times New Roman" w:eastAsia="Source Han Sans CN Regular" w:hAnsi="Times New Roman" w:cs="Times New Roman"/>
          <w:sz w:val="24"/>
          <w:szCs w:val="24"/>
          <w:lang w:val="bg-BG" w:eastAsia="zh-CN" w:bidi="hi-IN"/>
        </w:rPr>
        <w:t>/</w:t>
      </w:r>
      <w:r w:rsidRPr="00610B1B">
        <w:rPr>
          <w:rFonts w:ascii="Times New Roman" w:eastAsia="Source Han Sans CN Regular" w:hAnsi="Times New Roman" w:cs="Times New Roman"/>
          <w:sz w:val="24"/>
          <w:szCs w:val="24"/>
          <w:lang w:val="bg-BG" w:eastAsia="zh-CN" w:bidi="hi-IN"/>
        </w:rPr>
        <w:t>18.01.2013 г);</w:t>
      </w:r>
    </w:p>
    <w:p w14:paraId="0D89042D" w14:textId="77777777" w:rsidR="00BE57CC" w:rsidRPr="00610B1B" w:rsidRDefault="00BE57CC" w:rsidP="00BE57CC">
      <w:pPr>
        <w:widowControl w:val="0"/>
        <w:numPr>
          <w:ilvl w:val="0"/>
          <w:numId w:val="95"/>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Наредба № 11 от 25.02.2002 г. за качеството на водите за къпане, (обн. ДВ бр. 25/08.03.2002 г., изм. и доп. ДВ бр. 53/10.06.2008 г.);</w:t>
      </w:r>
    </w:p>
    <w:p w14:paraId="5C71FA5A" w14:textId="223071BD" w:rsidR="00BE57CC" w:rsidRPr="00610B1B" w:rsidRDefault="00BE57CC" w:rsidP="005F3BE6">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Наредба № 12 от 16.12.2010 г. за проверките по реда на държавния пристанищен контрол, (обн. ДВ. бр.101/28.12.2010 г., изм. и доп. ДВ.</w:t>
      </w:r>
      <w:r w:rsidR="005F3BE6" w:rsidRPr="00610B1B">
        <w:rPr>
          <w:rFonts w:ascii="Times New Roman" w:hAnsi="Times New Roman" w:cs="Times New Roman"/>
          <w:lang w:val="bg-BG"/>
        </w:rPr>
        <w:t xml:space="preserve"> </w:t>
      </w:r>
      <w:r w:rsidR="005F3BE6" w:rsidRPr="00610B1B">
        <w:rPr>
          <w:rFonts w:ascii="Times New Roman" w:eastAsia="Source Han Sans CN Regular" w:hAnsi="Times New Roman" w:cs="Times New Roman"/>
          <w:sz w:val="24"/>
          <w:szCs w:val="24"/>
          <w:lang w:val="bg-BG" w:eastAsia="zh-CN" w:bidi="hi-IN"/>
        </w:rPr>
        <w:t>бр. 7/24.01.2020 г.</w:t>
      </w:r>
      <w:r w:rsidRPr="00610B1B">
        <w:rPr>
          <w:rFonts w:ascii="Times New Roman" w:eastAsia="Source Han Sans CN Regular" w:hAnsi="Times New Roman" w:cs="Times New Roman"/>
          <w:sz w:val="24"/>
          <w:szCs w:val="24"/>
          <w:lang w:val="bg-BG" w:eastAsia="zh-CN" w:bidi="hi-IN"/>
        </w:rPr>
        <w:t>);</w:t>
      </w:r>
    </w:p>
    <w:p w14:paraId="1B9E3DE4" w14:textId="77777777" w:rsidR="00BE57CC" w:rsidRPr="00610B1B" w:rsidRDefault="00BE57CC" w:rsidP="00BE57CC">
      <w:pPr>
        <w:widowControl w:val="0"/>
        <w:numPr>
          <w:ilvl w:val="0"/>
          <w:numId w:val="95"/>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Наредба № 14 от 03.08.1987 г. за курортните ресурси, курортните местноти и курортите, (обн. ДВ бр. 79/13.10.1987 г., изм. ДВ бр. 70/10.08.2004 г.);</w:t>
      </w:r>
    </w:p>
    <w:p w14:paraId="20B91C96" w14:textId="378833BB" w:rsidR="00BE57CC" w:rsidRPr="00610B1B" w:rsidRDefault="00BE57CC" w:rsidP="005F3BE6">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Наредба № 23 от 24.10.2011 г. за докладване и разследване на произшествия в морските пространства (обн., ДВ, бр. 87 от 4.11.2011 г., изм</w:t>
      </w:r>
      <w:r w:rsidR="005F3BE6" w:rsidRPr="00610B1B">
        <w:rPr>
          <w:rFonts w:ascii="Times New Roman" w:hAnsi="Times New Roman" w:cs="Times New Roman"/>
          <w:lang w:val="bg-BG"/>
        </w:rPr>
        <w:t xml:space="preserve"> </w:t>
      </w:r>
      <w:r w:rsidR="005F3BE6" w:rsidRPr="00610B1B">
        <w:rPr>
          <w:rFonts w:ascii="Times New Roman" w:eastAsia="Source Han Sans CN Regular" w:hAnsi="Times New Roman" w:cs="Times New Roman"/>
          <w:sz w:val="24"/>
          <w:szCs w:val="24"/>
          <w:lang w:val="bg-BG" w:eastAsia="zh-CN" w:bidi="hi-IN"/>
        </w:rPr>
        <w:t>бр. 12/11.02.2020 г.</w:t>
      </w:r>
      <w:r w:rsidRPr="00610B1B">
        <w:rPr>
          <w:rFonts w:ascii="Times New Roman" w:eastAsia="Source Han Sans CN Regular" w:hAnsi="Times New Roman" w:cs="Times New Roman"/>
          <w:sz w:val="24"/>
          <w:szCs w:val="24"/>
          <w:lang w:val="bg-BG" w:eastAsia="zh-CN" w:bidi="hi-IN"/>
        </w:rPr>
        <w:t>);</w:t>
      </w:r>
    </w:p>
    <w:p w14:paraId="788A6847" w14:textId="4665E55C" w:rsidR="00BE57CC" w:rsidRPr="00610B1B" w:rsidRDefault="00BE57CC" w:rsidP="005F3BE6">
      <w:pPr>
        <w:widowControl w:val="0"/>
        <w:numPr>
          <w:ilvl w:val="0"/>
          <w:numId w:val="95"/>
        </w:numPr>
        <w:spacing w:after="120"/>
        <w:ind w:right="-153"/>
        <w:jc w:val="both"/>
        <w:rPr>
          <w:rFonts w:ascii="Times New Roman" w:eastAsia="Source Han Sans CN Regular" w:hAnsi="Times New Roman" w:cs="Times New Roman"/>
          <w:i/>
          <w:iCs/>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iCs/>
          <w:sz w:val="24"/>
          <w:szCs w:val="24"/>
          <w:lang w:val="bg-BG" w:eastAsia="zh-CN" w:bidi="hi-IN"/>
        </w:rPr>
        <w:t>Наредба № Н-4 от 14.09.2012 г. за характеризиране на повърхностните води (обн., ДВ, бр. 22 от 5.03.2013 г.</w:t>
      </w:r>
      <w:r w:rsidR="005F3BE6" w:rsidRPr="00610B1B">
        <w:rPr>
          <w:rFonts w:ascii="Times New Roman" w:eastAsia="Source Han Sans CN Regular" w:hAnsi="Times New Roman" w:cs="Times New Roman"/>
          <w:iCs/>
          <w:sz w:val="24"/>
          <w:szCs w:val="24"/>
          <w:lang w:val="bg-BG" w:eastAsia="zh-CN" w:bidi="hi-IN"/>
        </w:rPr>
        <w:t xml:space="preserve">, </w:t>
      </w:r>
      <w:r w:rsidR="00896C45" w:rsidRPr="00610B1B">
        <w:rPr>
          <w:rFonts w:ascii="Times New Roman" w:eastAsia="Source Han Sans CN Regular" w:hAnsi="Times New Roman" w:cs="Times New Roman"/>
          <w:iCs/>
          <w:sz w:val="24"/>
          <w:szCs w:val="24"/>
          <w:lang w:val="bg-BG" w:eastAsia="zh-CN" w:bidi="hi-IN"/>
        </w:rPr>
        <w:t>изм.</w:t>
      </w:r>
      <w:r w:rsidR="005F3BE6" w:rsidRPr="00610B1B">
        <w:rPr>
          <w:rFonts w:ascii="Times New Roman" w:eastAsia="Source Han Sans CN Regular" w:hAnsi="Times New Roman" w:cs="Times New Roman"/>
          <w:iCs/>
          <w:sz w:val="24"/>
          <w:szCs w:val="24"/>
          <w:lang w:val="bg-BG" w:eastAsia="zh-CN" w:bidi="hi-IN"/>
        </w:rPr>
        <w:t xml:space="preserve"> ДВ бр. 13/16.02.2021 г </w:t>
      </w:r>
      <w:r w:rsidRPr="00610B1B">
        <w:rPr>
          <w:rFonts w:ascii="Times New Roman" w:eastAsia="Source Han Sans CN Regular" w:hAnsi="Times New Roman" w:cs="Times New Roman"/>
          <w:iCs/>
          <w:sz w:val="24"/>
          <w:szCs w:val="24"/>
          <w:lang w:val="bg-BG" w:eastAsia="zh-CN" w:bidi="hi-IN"/>
        </w:rPr>
        <w:t>)</w:t>
      </w:r>
    </w:p>
    <w:p w14:paraId="70CF5810" w14:textId="77777777" w:rsidR="00BE57CC" w:rsidRPr="00610B1B" w:rsidRDefault="00BE57CC" w:rsidP="00BE57CC">
      <w:pPr>
        <w:widowControl w:val="0"/>
        <w:numPr>
          <w:ilvl w:val="0"/>
          <w:numId w:val="95"/>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Наредба № Н-7 от 12.06.2008 г. за извършване на водолазна и друга подводна дейност, (обн., ДВ, бр. 59/01.07.2008 г., изм. и доп., бр. 14/18.02.2014 г.);</w:t>
      </w:r>
    </w:p>
    <w:p w14:paraId="5D7249C8" w14:textId="7F355F20" w:rsidR="00BE57CC" w:rsidRPr="00610B1B" w:rsidRDefault="00BE57CC" w:rsidP="00BE57CC">
      <w:pPr>
        <w:widowControl w:val="0"/>
        <w:numPr>
          <w:ilvl w:val="0"/>
          <w:numId w:val="95"/>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Наредба № Н-8 от 9.03.2011 г. за режима на корабоплаване в териториалното море, вътрешните води, пристанищата и рейдовете при осъществяване отбраната на страната, (обн., ДВ, бр. 23</w:t>
      </w:r>
      <w:r w:rsidR="005F3BE6" w:rsidRPr="00610B1B">
        <w:rPr>
          <w:rFonts w:ascii="Times New Roman" w:eastAsia="Source Han Sans CN Regular" w:hAnsi="Times New Roman" w:cs="Times New Roman"/>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22.03.2011 г.); </w:t>
      </w:r>
    </w:p>
    <w:p w14:paraId="0485741F" w14:textId="3D8F58CB" w:rsidR="00BE57CC" w:rsidRPr="00610B1B" w:rsidRDefault="00BE57CC" w:rsidP="005F3BE6">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 xml:space="preserve"> Наредба за опазване на околната среда в морските води (НООСМВ, приета с ПМС № 273 от 23.11.2010 г., обн. ДВ. бр.94/30.11.2010 г., изм. </w:t>
      </w:r>
      <w:r w:rsidR="005F3BE6" w:rsidRPr="00610B1B">
        <w:rPr>
          <w:rFonts w:ascii="Times New Roman" w:eastAsia="Source Han Sans CN Regular" w:hAnsi="Times New Roman" w:cs="Times New Roman"/>
          <w:sz w:val="24"/>
          <w:szCs w:val="24"/>
          <w:lang w:val="bg-BG" w:eastAsia="zh-CN" w:bidi="hi-IN"/>
        </w:rPr>
        <w:t>и доп., ДВ бр. 14/18.02.2020 г.</w:t>
      </w:r>
      <w:r w:rsidRPr="00610B1B">
        <w:rPr>
          <w:rFonts w:ascii="Times New Roman" w:eastAsia="Source Han Sans CN Regular" w:hAnsi="Times New Roman" w:cs="Times New Roman"/>
          <w:sz w:val="24"/>
          <w:szCs w:val="24"/>
          <w:lang w:val="bg-BG" w:eastAsia="zh-CN" w:bidi="hi-IN"/>
        </w:rPr>
        <w:t>.)</w:t>
      </w:r>
    </w:p>
    <w:p w14:paraId="0EC48369" w14:textId="1EF110B6" w:rsidR="00BE57CC" w:rsidRPr="00610B1B" w:rsidRDefault="00BE57CC" w:rsidP="003F2FFE">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Наредба за организацията за осъществяване на граничен паспортен, митнически, здравен, ветеринарномедицински и фитосанитарен контрол, както и контрол на транспортните средства в пристанищата на Република България, обслужващи кораби от международно плаване, (обн., ДВ, бр. 67/31.08.2012 г., изм. и доп., ДВ</w:t>
      </w:r>
      <w:r w:rsidR="008753B6" w:rsidRPr="00610B1B">
        <w:rPr>
          <w:rFonts w:ascii="Times New Roman" w:eastAsia="Source Han Sans CN Regular" w:hAnsi="Times New Roman" w:cs="Times New Roman"/>
          <w:sz w:val="24"/>
          <w:szCs w:val="24"/>
          <w:lang w:val="bg-BG" w:eastAsia="zh-CN" w:bidi="hi-IN"/>
        </w:rPr>
        <w:t xml:space="preserve"> </w:t>
      </w:r>
      <w:r w:rsidR="003F2FFE" w:rsidRPr="00610B1B">
        <w:rPr>
          <w:rFonts w:ascii="Times New Roman" w:eastAsia="Source Han Sans CN Regular" w:hAnsi="Times New Roman" w:cs="Times New Roman"/>
          <w:sz w:val="24"/>
          <w:szCs w:val="24"/>
          <w:lang w:val="bg-BG" w:eastAsia="zh-CN" w:bidi="hi-IN"/>
        </w:rPr>
        <w:t>бр. 37/7.05.2021 г</w:t>
      </w:r>
      <w:r w:rsidRPr="00610B1B">
        <w:rPr>
          <w:rFonts w:ascii="Times New Roman" w:eastAsia="Source Han Sans CN Regular" w:hAnsi="Times New Roman" w:cs="Times New Roman"/>
          <w:sz w:val="24"/>
          <w:szCs w:val="24"/>
          <w:lang w:val="bg-BG" w:eastAsia="zh-CN" w:bidi="hi-IN"/>
        </w:rPr>
        <w:t>.);</w:t>
      </w:r>
    </w:p>
    <w:p w14:paraId="23F204D3" w14:textId="211AD9DB" w:rsidR="00BE57CC" w:rsidRPr="00610B1B" w:rsidRDefault="00BE57CC" w:rsidP="003F2FFE">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Наредба за реда, начина и компетентните органи за установяване на критичните инфраструктури и обектите им и оценка на риска за тях, в сила от 23.10.2012 г., (Обн. ДВ. бр.81/23.10.2012г., изм. и доп. ДВ. </w:t>
      </w:r>
      <w:r w:rsidR="003F2FFE" w:rsidRPr="00610B1B">
        <w:rPr>
          <w:rFonts w:ascii="Times New Roman" w:eastAsia="Source Han Sans CN Regular" w:hAnsi="Times New Roman" w:cs="Times New Roman"/>
          <w:sz w:val="24"/>
          <w:szCs w:val="24"/>
          <w:lang w:val="bg-BG" w:eastAsia="zh-CN" w:bidi="hi-IN"/>
        </w:rPr>
        <w:t>бр. 27/5.04.2016 г.</w:t>
      </w:r>
      <w:r w:rsidRPr="00610B1B">
        <w:rPr>
          <w:rFonts w:ascii="Times New Roman" w:eastAsia="Source Han Sans CN Regular" w:hAnsi="Times New Roman" w:cs="Times New Roman"/>
          <w:sz w:val="24"/>
          <w:szCs w:val="24"/>
          <w:lang w:val="bg-BG" w:eastAsia="zh-CN" w:bidi="hi-IN"/>
        </w:rPr>
        <w:t>);</w:t>
      </w:r>
    </w:p>
    <w:p w14:paraId="16AFD68A" w14:textId="1E2461D4" w:rsidR="00BE57CC" w:rsidRPr="00610B1B" w:rsidRDefault="00BE57CC" w:rsidP="003F2FFE">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Наредба за системите за движение, докладване и управление на трафика и информационно обслужване на корабоплаването в морските пространства на Република България, (обн. ДВ, бр. 76/2005 г., изм. </w:t>
      </w:r>
      <w:r w:rsidR="003F2FFE" w:rsidRPr="00610B1B">
        <w:rPr>
          <w:rFonts w:ascii="Times New Roman" w:eastAsia="Source Han Sans CN Regular" w:hAnsi="Times New Roman" w:cs="Times New Roman"/>
          <w:sz w:val="24"/>
          <w:szCs w:val="24"/>
          <w:lang w:val="bg-BG" w:eastAsia="zh-CN" w:bidi="hi-IN"/>
        </w:rPr>
        <w:t>бр. 37/7.05.2021 г.</w:t>
      </w:r>
      <w:r w:rsidRPr="00610B1B">
        <w:rPr>
          <w:rFonts w:ascii="Times New Roman" w:eastAsia="Source Han Sans CN Regular" w:hAnsi="Times New Roman" w:cs="Times New Roman"/>
          <w:sz w:val="24"/>
          <w:szCs w:val="24"/>
          <w:lang w:val="bg-BG" w:eastAsia="zh-CN" w:bidi="hi-IN"/>
        </w:rPr>
        <w:t xml:space="preserve">.); </w:t>
      </w:r>
    </w:p>
    <w:p w14:paraId="72C63556" w14:textId="74C9CF7D" w:rsidR="00BE57CC" w:rsidRPr="00610B1B" w:rsidRDefault="00BE57CC" w:rsidP="003F2FFE">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Наредба за стандарти за качество на околната среда за приоритетни вещества и някои други замърсители, </w:t>
      </w:r>
      <w:r w:rsidR="003F2FFE" w:rsidRPr="00610B1B">
        <w:rPr>
          <w:rFonts w:ascii="Times New Roman" w:eastAsia="Source Han Sans CN Regular" w:hAnsi="Times New Roman" w:cs="Times New Roman"/>
          <w:sz w:val="24"/>
          <w:szCs w:val="24"/>
          <w:lang w:val="bg-BG" w:eastAsia="zh-CN" w:bidi="hi-IN"/>
        </w:rPr>
        <w:t>(о</w:t>
      </w:r>
      <w:r w:rsidRPr="00610B1B">
        <w:rPr>
          <w:rFonts w:ascii="Times New Roman" w:eastAsia="Source Han Sans CN Regular" w:hAnsi="Times New Roman" w:cs="Times New Roman"/>
          <w:sz w:val="24"/>
          <w:szCs w:val="24"/>
          <w:lang w:val="bg-BG" w:eastAsia="zh-CN" w:bidi="hi-IN"/>
        </w:rPr>
        <w:t>бн. ДВ. бр. 88/09.11.2010 г.</w:t>
      </w:r>
      <w:r w:rsidR="003F2FFE" w:rsidRPr="00610B1B">
        <w:rPr>
          <w:rFonts w:ascii="Times New Roman" w:eastAsia="Source Han Sans CN Regular" w:hAnsi="Times New Roman" w:cs="Times New Roman"/>
          <w:sz w:val="24"/>
          <w:szCs w:val="24"/>
          <w:lang w:val="bg-BG" w:eastAsia="zh-CN" w:bidi="hi-IN"/>
        </w:rPr>
        <w:t>,</w:t>
      </w:r>
      <w:r w:rsidR="003F2FFE" w:rsidRPr="00610B1B">
        <w:rPr>
          <w:rFonts w:ascii="Times New Roman" w:hAnsi="Times New Roman" w:cs="Times New Roman"/>
          <w:lang w:val="bg-BG"/>
        </w:rPr>
        <w:t xml:space="preserve"> </w:t>
      </w:r>
      <w:r w:rsidR="003F2FFE" w:rsidRPr="00610B1B">
        <w:rPr>
          <w:rFonts w:ascii="Times New Roman" w:eastAsia="Source Han Sans CN Regular" w:hAnsi="Times New Roman" w:cs="Times New Roman"/>
          <w:sz w:val="24"/>
          <w:szCs w:val="24"/>
          <w:lang w:val="bg-BG" w:eastAsia="zh-CN" w:bidi="hi-IN"/>
        </w:rPr>
        <w:t xml:space="preserve">, изм. и доп., бр. 97 от 11.12.2015 г.) </w:t>
      </w:r>
    </w:p>
    <w:p w14:paraId="38F90FD7" w14:textId="7D29E791" w:rsidR="00BE57CC" w:rsidRPr="00610B1B" w:rsidRDefault="00BE57CC" w:rsidP="003F2FFE">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Наредба за условията и реда за извършване на екологична оценка на планове и програми (ЕО), (обн. ДВ бр. 57/02.07.2004 г. изм. </w:t>
      </w:r>
      <w:r w:rsidR="003F2FFE" w:rsidRPr="00610B1B">
        <w:rPr>
          <w:rFonts w:ascii="Times New Roman" w:eastAsia="Source Han Sans CN Regular" w:hAnsi="Times New Roman" w:cs="Times New Roman"/>
          <w:sz w:val="24"/>
          <w:szCs w:val="24"/>
          <w:lang w:val="bg-BG" w:eastAsia="zh-CN" w:bidi="hi-IN"/>
        </w:rPr>
        <w:t>бр. 70/7.08.2020 г</w:t>
      </w:r>
      <w:r w:rsidRPr="00610B1B">
        <w:rPr>
          <w:rFonts w:ascii="Times New Roman" w:eastAsia="Source Han Sans CN Regular" w:hAnsi="Times New Roman" w:cs="Times New Roman"/>
          <w:sz w:val="24"/>
          <w:szCs w:val="24"/>
          <w:lang w:val="bg-BG" w:eastAsia="zh-CN" w:bidi="hi-IN"/>
        </w:rPr>
        <w:t xml:space="preserve">.); </w:t>
      </w:r>
    </w:p>
    <w:p w14:paraId="76C49472" w14:textId="4BA59AF0" w:rsidR="00BE57CC" w:rsidRPr="00610B1B" w:rsidRDefault="00BE57CC" w:rsidP="003F2FFE">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(обн., ДВ, бр. 73/11.09.2007 г, изм. </w:t>
      </w:r>
      <w:r w:rsidR="003F2FFE" w:rsidRPr="00610B1B">
        <w:rPr>
          <w:rFonts w:ascii="Times New Roman" w:eastAsia="Source Han Sans CN Regular" w:hAnsi="Times New Roman" w:cs="Times New Roman"/>
          <w:sz w:val="24"/>
          <w:szCs w:val="24"/>
          <w:lang w:val="bg-BG" w:eastAsia="zh-CN" w:bidi="hi-IN"/>
        </w:rPr>
        <w:t>бр. 3/5.01.2018 г.</w:t>
      </w:r>
      <w:r w:rsidRPr="00610B1B">
        <w:rPr>
          <w:rFonts w:ascii="Times New Roman" w:eastAsia="Source Han Sans CN Regular" w:hAnsi="Times New Roman" w:cs="Times New Roman"/>
          <w:sz w:val="24"/>
          <w:szCs w:val="24"/>
          <w:lang w:val="bg-BG" w:eastAsia="zh-CN" w:bidi="hi-IN"/>
        </w:rPr>
        <w:t>.);</w:t>
      </w:r>
    </w:p>
    <w:p w14:paraId="6E7FDA10" w14:textId="77777777" w:rsidR="00BE57CC" w:rsidRPr="00610B1B" w:rsidRDefault="00BE57CC" w:rsidP="00BE57CC">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Наредба за условията и реда за постигане сигурността на корабите, пристанищата и пристанищните райони, приета с Постановление № 374 на Министерския съвет от 2014 г., (обн., ДВ, бр. 99/2014 г.);</w:t>
      </w:r>
    </w:p>
    <w:p w14:paraId="39DD935F" w14:textId="2B35CD5E" w:rsidR="00BE57CC" w:rsidRPr="00610B1B" w:rsidRDefault="00BE57CC" w:rsidP="008E7D9C">
      <w:pPr>
        <w:widowControl w:val="0"/>
        <w:numPr>
          <w:ilvl w:val="0"/>
          <w:numId w:val="95"/>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Постановление № 181 на Министерския съвет от 2009 г. за определяне на стратегическите обекти и дейности, които са от значение за националната сигурност, (обн., ДВ, бр. 59/2009</w:t>
      </w:r>
      <w:r w:rsidR="009463FB" w:rsidRPr="00610B1B">
        <w:rPr>
          <w:rFonts w:ascii="Times New Roman" w:hAnsi="Times New Roman" w:cs="Times New Roman"/>
          <w:lang w:val="bg-BG"/>
        </w:rPr>
        <w:t> </w:t>
      </w:r>
      <w:r w:rsidRPr="00610B1B">
        <w:rPr>
          <w:rFonts w:ascii="Times New Roman" w:eastAsia="Source Han Sans CN Regular" w:hAnsi="Times New Roman" w:cs="Times New Roman"/>
          <w:sz w:val="24"/>
          <w:szCs w:val="24"/>
          <w:lang w:val="bg-BG" w:eastAsia="zh-CN" w:bidi="hi-IN"/>
        </w:rPr>
        <w:t xml:space="preserve">г; изм. и доп., ДВ </w:t>
      </w:r>
      <w:r w:rsidR="008E7D9C" w:rsidRPr="00610B1B">
        <w:rPr>
          <w:rFonts w:ascii="Times New Roman" w:eastAsia="Source Han Sans CN Regular" w:hAnsi="Times New Roman" w:cs="Times New Roman"/>
          <w:sz w:val="24"/>
          <w:szCs w:val="24"/>
          <w:lang w:val="bg-BG" w:eastAsia="zh-CN" w:bidi="hi-IN"/>
        </w:rPr>
        <w:t>бр. 33/20.04.2021 г</w:t>
      </w:r>
      <w:r w:rsidRPr="00610B1B">
        <w:rPr>
          <w:rFonts w:ascii="Times New Roman" w:eastAsia="Source Han Sans CN Regular" w:hAnsi="Times New Roman" w:cs="Times New Roman"/>
          <w:sz w:val="24"/>
          <w:szCs w:val="24"/>
          <w:lang w:val="bg-BG" w:eastAsia="zh-CN" w:bidi="hi-IN"/>
        </w:rPr>
        <w:t>.);</w:t>
      </w:r>
    </w:p>
    <w:p w14:paraId="046B6B39" w14:textId="77777777" w:rsidR="00BE57CC" w:rsidRPr="00610B1B" w:rsidRDefault="00BE57CC" w:rsidP="00BE57CC">
      <w:pPr>
        <w:widowControl w:val="0"/>
        <w:spacing w:after="120"/>
        <w:ind w:left="426" w:right="-153"/>
        <w:jc w:val="both"/>
        <w:rPr>
          <w:rFonts w:ascii="Times New Roman" w:eastAsia="Source Han Sans CN Regular" w:hAnsi="Times New Roman" w:cs="Times New Roman"/>
          <w:sz w:val="24"/>
          <w:szCs w:val="24"/>
          <w:lang w:val="bg-BG" w:eastAsia="zh-CN" w:bidi="hi-IN"/>
        </w:rPr>
      </w:pPr>
    </w:p>
    <w:p w14:paraId="27FD16AA" w14:textId="77777777" w:rsidR="00BE57CC" w:rsidRPr="00610B1B" w:rsidRDefault="00BE57CC" w:rsidP="00BE57CC">
      <w:pPr>
        <w:keepNext/>
        <w:widowControl w:val="0"/>
        <w:numPr>
          <w:ilvl w:val="1"/>
          <w:numId w:val="1"/>
        </w:numPr>
        <w:spacing w:after="120"/>
        <w:ind w:right="-153"/>
        <w:outlineLvl w:val="1"/>
        <w:rPr>
          <w:rFonts w:ascii="Times New Roman" w:eastAsia="Source Han Sans CN Regular" w:hAnsi="Times New Roman" w:cs="Times New Roman"/>
          <w:b/>
          <w:bCs/>
          <w:color w:val="0F243E" w:themeColor="text2" w:themeShade="80"/>
          <w:sz w:val="32"/>
          <w:szCs w:val="32"/>
          <w:lang w:val="bg-BG" w:eastAsia="zh-CN" w:bidi="hi-IN"/>
        </w:rPr>
      </w:pPr>
      <w:bookmarkStart w:id="535" w:name="_Toc56961587"/>
      <w:bookmarkStart w:id="536" w:name="_Toc83391459"/>
      <w:r w:rsidRPr="00610B1B">
        <w:rPr>
          <w:rFonts w:ascii="Times New Roman" w:eastAsia="Source Han Sans CN Regular" w:hAnsi="Times New Roman" w:cs="Times New Roman"/>
          <w:b/>
          <w:bCs/>
          <w:color w:val="0F243E" w:themeColor="text2" w:themeShade="80"/>
          <w:sz w:val="32"/>
          <w:szCs w:val="32"/>
          <w:lang w:val="bg-BG" w:eastAsia="zh-CN" w:bidi="hi-IN"/>
        </w:rPr>
        <w:t>11.4. Програмни и стратeгически документи</w:t>
      </w:r>
      <w:bookmarkEnd w:id="535"/>
      <w:bookmarkEnd w:id="536"/>
    </w:p>
    <w:p w14:paraId="335B5100" w14:textId="1CA3E6A8" w:rsidR="00BE57CC" w:rsidRPr="00610B1B" w:rsidRDefault="00BE57CC" w:rsidP="00BE57CC">
      <w:pPr>
        <w:widowControl w:val="0"/>
        <w:numPr>
          <w:ilvl w:val="0"/>
          <w:numId w:val="96"/>
        </w:numPr>
        <w:spacing w:after="120"/>
        <w:ind w:right="-153"/>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План за управление на речните басейни в Черноморски район за басейново управление на водите.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2016-2021 г.</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w:t>
      </w:r>
      <w:hyperlink r:id="rId94" w:history="1">
        <w:r w:rsidRPr="00610B1B">
          <w:rPr>
            <w:rFonts w:ascii="Times New Roman" w:eastAsia="Source Han Sans CN Regular" w:hAnsi="Times New Roman" w:cs="Times New Roman"/>
            <w:color w:val="0000FF"/>
            <w:sz w:val="24"/>
            <w:szCs w:val="24"/>
            <w:lang w:val="bg-BG" w:eastAsia="zh-CN" w:bidi="hi-IN"/>
          </w:rPr>
          <w:t>https://www.bsbd.org/bg/index_bg_5493788.html</w:t>
        </w:r>
      </w:hyperlink>
      <w:r w:rsidRPr="00610B1B">
        <w:rPr>
          <w:rFonts w:ascii="Times New Roman" w:eastAsia="Source Han Sans CN Regular" w:hAnsi="Times New Roman" w:cs="Times New Roman"/>
          <w:sz w:val="24"/>
          <w:szCs w:val="24"/>
          <w:lang w:val="bg-BG" w:eastAsia="zh-CN" w:bidi="hi-IN"/>
        </w:rPr>
        <w:t>;</w:t>
      </w:r>
    </w:p>
    <w:p w14:paraId="513F2D4A" w14:textId="56D48668" w:rsidR="00BE57CC" w:rsidRPr="00610B1B" w:rsidRDefault="00BE57CC" w:rsidP="00BE57CC">
      <w:pPr>
        <w:widowControl w:val="0"/>
        <w:numPr>
          <w:ilvl w:val="0"/>
          <w:numId w:val="96"/>
        </w:numPr>
        <w:spacing w:after="120"/>
        <w:ind w:left="426" w:right="-153" w:hanging="426"/>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План за управление на риска от наводнения в Черноморския басейн за управление на водите (2016-2021 г.) </w:t>
      </w:r>
      <w:hyperlink r:id="rId95" w:history="1">
        <w:r w:rsidR="00254155" w:rsidRPr="00610B1B">
          <w:rPr>
            <w:rStyle w:val="Hyperlink"/>
            <w:rFonts w:ascii="Times New Roman" w:eastAsia="Source Han Sans CN Regular" w:hAnsi="Times New Roman" w:cs="Times New Roman"/>
            <w:sz w:val="24"/>
            <w:szCs w:val="24"/>
            <w:lang w:val="bg-BG" w:eastAsia="zh-CN" w:bidi="hi-IN"/>
          </w:rPr>
          <w:t>https://www.bsbd.org/bg/index_bg_5493788.html</w:t>
        </w:r>
      </w:hyperlink>
      <w:r w:rsidRPr="00610B1B">
        <w:rPr>
          <w:rFonts w:ascii="Times New Roman" w:eastAsia="Source Han Sans CN Regular" w:hAnsi="Times New Roman" w:cs="Times New Roman"/>
          <w:sz w:val="24"/>
          <w:szCs w:val="24"/>
          <w:lang w:val="bg-BG" w:eastAsia="zh-CN" w:bidi="hi-IN"/>
        </w:rPr>
        <w:t xml:space="preserve">; </w:t>
      </w:r>
    </w:p>
    <w:p w14:paraId="7FB943E0"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Програма за мониторинг по чл. 11 от Рамкова директива за морска стратегия. Басейнова Дирекция за управление на водите в Черноморски район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БДЧР</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БДЧР;</w:t>
      </w:r>
    </w:p>
    <w:p w14:paraId="016DD9F8" w14:textId="323539A5"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Програма от мерки по чл. 13 на РДМС. БДЧР. </w:t>
      </w:r>
      <w:hyperlink r:id="rId96" w:history="1">
        <w:r w:rsidR="00254155" w:rsidRPr="00610B1B">
          <w:rPr>
            <w:rStyle w:val="Hyperlink"/>
            <w:rFonts w:ascii="Times New Roman" w:eastAsia="Source Han Sans CN Regular" w:hAnsi="Times New Roman" w:cs="Times New Roman"/>
            <w:sz w:val="24"/>
            <w:szCs w:val="24"/>
            <w:lang w:val="bg-BG" w:eastAsia="zh-CN" w:bidi="hi-IN"/>
          </w:rPr>
          <w:t>https://www.bsbd.org/bg/m_env_and_action.html</w:t>
        </w:r>
      </w:hyperlink>
      <w:r w:rsidRPr="00610B1B">
        <w:rPr>
          <w:rFonts w:ascii="Times New Roman" w:eastAsia="Source Han Sans CN Regular" w:hAnsi="Times New Roman" w:cs="Times New Roman"/>
          <w:sz w:val="24"/>
          <w:szCs w:val="24"/>
          <w:lang w:val="bg-BG" w:eastAsia="zh-CN" w:bidi="hi-IN"/>
        </w:rPr>
        <w:t>;</w:t>
      </w:r>
    </w:p>
    <w:p w14:paraId="6E4FC0A7" w14:textId="3EF13E11"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Екологична оценка на проект „Морска стратегия и Програма от мерки”, 2016 г.</w:t>
      </w:r>
      <w:r w:rsidR="00D66FE0" w:rsidRPr="00610B1B">
        <w:rPr>
          <w:rFonts w:ascii="Times New Roman" w:eastAsia="Source Han Sans CN Regular" w:hAnsi="Times New Roman" w:cs="Times New Roman"/>
          <w:sz w:val="24"/>
          <w:szCs w:val="24"/>
          <w:lang w:val="bg-BG" w:eastAsia="zh-CN" w:bidi="hi-IN"/>
        </w:rPr>
        <w:t xml:space="preserve"> </w:t>
      </w:r>
      <w:hyperlink r:id="rId97" w:history="1">
        <w:r w:rsidRPr="00610B1B">
          <w:rPr>
            <w:rFonts w:ascii="Times New Roman" w:eastAsia="Source Han Sans CN Regular" w:hAnsi="Times New Roman" w:cs="Times New Roman"/>
            <w:color w:val="0000FF"/>
            <w:sz w:val="24"/>
            <w:szCs w:val="24"/>
            <w:u w:val="single"/>
            <w:lang w:val="bg-BG" w:eastAsia="zh-CN" w:bidi="hi-IN"/>
          </w:rPr>
          <w:t>https://www.bsbd.org/UserFiles/File/Sea/Zad-MS-PoM.pdf</w:t>
        </w:r>
      </w:hyperlink>
      <w:r w:rsidRPr="00610B1B">
        <w:rPr>
          <w:rFonts w:ascii="Times New Roman" w:eastAsia="Source Han Sans CN Regular" w:hAnsi="Times New Roman" w:cs="Times New Roman"/>
          <w:sz w:val="24"/>
          <w:szCs w:val="24"/>
          <w:lang w:val="bg-BG" w:eastAsia="zh-CN" w:bidi="hi-IN"/>
        </w:rPr>
        <w:t xml:space="preserve"> ;</w:t>
      </w:r>
    </w:p>
    <w:p w14:paraId="049EC467" w14:textId="417B31DC"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 xml:space="preserve">Задължителни правила за морските пристанища на Република България (издадени от Изпълнителна агенция „Морска администрация”, (обн. ДВ. бр.50/2009 г., </w:t>
      </w:r>
      <w:r w:rsidR="00896C45" w:rsidRPr="00610B1B">
        <w:rPr>
          <w:rFonts w:ascii="Times New Roman" w:eastAsia="Source Han Sans CN Regular" w:hAnsi="Times New Roman" w:cs="Times New Roman"/>
          <w:sz w:val="24"/>
          <w:szCs w:val="24"/>
          <w:lang w:val="bg-BG" w:eastAsia="zh-CN" w:bidi="hi-IN"/>
        </w:rPr>
        <w:t>изм.</w:t>
      </w:r>
      <w:r w:rsidRPr="00610B1B">
        <w:rPr>
          <w:rFonts w:ascii="Times New Roman" w:eastAsia="Source Han Sans CN Regular" w:hAnsi="Times New Roman" w:cs="Times New Roman"/>
          <w:sz w:val="24"/>
          <w:szCs w:val="24"/>
          <w:lang w:val="bg-BG" w:eastAsia="zh-CN" w:bidi="hi-IN"/>
        </w:rPr>
        <w:t xml:space="preserve"> и доп. ДВ. бр.57/2012 г.); </w:t>
      </w:r>
    </w:p>
    <w:p w14:paraId="59E15A7D"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Интегрирана транспортна стратегия в периода до 2030 г., МТИТС, 2017 г.</w:t>
      </w:r>
    </w:p>
    <w:p w14:paraId="35595AA8" w14:textId="47E6E4D2"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Концепция за пространствено развитие на община Аксаково 2014-2020 г.</w:t>
      </w:r>
      <w:r w:rsidR="00D66FE0" w:rsidRPr="00610B1B">
        <w:rPr>
          <w:rFonts w:ascii="Times New Roman" w:eastAsia="Source Han Sans CN Regular" w:hAnsi="Times New Roman" w:cs="Times New Roman"/>
          <w:sz w:val="24"/>
          <w:szCs w:val="24"/>
          <w:lang w:val="bg-BG" w:eastAsia="zh-CN" w:bidi="hi-IN"/>
        </w:rPr>
        <w:t xml:space="preserve"> </w:t>
      </w:r>
      <w:hyperlink r:id="rId98" w:history="1">
        <w:r w:rsidRPr="00610B1B">
          <w:rPr>
            <w:rFonts w:ascii="Times New Roman" w:eastAsia="Source Han Sans CN Regular" w:hAnsi="Times New Roman" w:cs="Times New Roman"/>
            <w:color w:val="0000FF"/>
            <w:sz w:val="24"/>
            <w:szCs w:val="24"/>
            <w:u w:val="single"/>
            <w:lang w:val="bg-BG" w:eastAsia="zh-CN" w:bidi="hi-IN"/>
          </w:rPr>
          <w:t>http://www.aksakovo.net/section-156-obschinski_plan_za_razvi.html</w:t>
        </w:r>
      </w:hyperlink>
      <w:r w:rsidRPr="00610B1B">
        <w:rPr>
          <w:rFonts w:ascii="Times New Roman" w:eastAsia="Source Han Sans CN Regular" w:hAnsi="Times New Roman" w:cs="Times New Roman"/>
          <w:sz w:val="24"/>
          <w:szCs w:val="24"/>
          <w:lang w:val="bg-BG" w:eastAsia="zh-CN" w:bidi="hi-IN"/>
        </w:rPr>
        <w:t>);</w:t>
      </w:r>
      <w:r w:rsidR="00C415D1" w:rsidRPr="00610B1B">
        <w:rPr>
          <w:rFonts w:ascii="Times New Roman" w:eastAsia="Source Han Sans CN Regular" w:hAnsi="Times New Roman" w:cs="Times New Roman"/>
          <w:sz w:val="24"/>
          <w:szCs w:val="24"/>
          <w:lang w:val="bg-BG" w:eastAsia="zh-CN" w:bidi="hi-IN"/>
        </w:rPr>
        <w:t xml:space="preserve"> </w:t>
      </w:r>
    </w:p>
    <w:p w14:paraId="3FF7B26D"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Мониторинг на избрани видове морски птици във връзка с програмата за мониторинг по Дескриптор Д1 и Д4 на Рамкова директива за морска стратегия 2008/56/ЕО. Обобщаващ доклад, 2016 г. </w:t>
      </w:r>
    </w:p>
    <w:p w14:paraId="1C84DFCF"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Мониторинг на избрани видове морски птици за 2018 г. Съгласно програмата за мониторинг по дескриптор 1 – биоразнообразие на Рамкова директива за морска стратегия 2008/56/ЕО. Обобщен доклад.</w:t>
      </w:r>
    </w:p>
    <w:p w14:paraId="308AC45E" w14:textId="7FE53389" w:rsidR="00BE57CC" w:rsidRPr="00610B1B" w:rsidRDefault="00BE57CC" w:rsidP="00BE57CC">
      <w:pPr>
        <w:widowControl w:val="0"/>
        <w:numPr>
          <w:ilvl w:val="0"/>
          <w:numId w:val="96"/>
        </w:numPr>
        <w:spacing w:after="120"/>
        <w:ind w:left="426" w:right="-153" w:hanging="426"/>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Морската стратегия и Програма от мерки на Република България, приети с Решение на</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 xml:space="preserve">МС № 1111/29.12.2016 г. БДЧР, </w:t>
      </w:r>
      <w:hyperlink r:id="rId99" w:history="1">
        <w:r w:rsidRPr="00610B1B">
          <w:rPr>
            <w:rFonts w:ascii="Times New Roman" w:eastAsia="Source Han Sans CN Regular" w:hAnsi="Times New Roman" w:cs="Times New Roman"/>
            <w:color w:val="0000FF"/>
            <w:sz w:val="24"/>
            <w:szCs w:val="24"/>
            <w:u w:val="single"/>
            <w:lang w:val="bg-BG" w:eastAsia="zh-CN" w:bidi="hi-IN"/>
          </w:rPr>
          <w:t>https://www.bsbd.org/UserFiles/bg/m_env_and_action.html</w:t>
        </w:r>
      </w:hyperlink>
      <w:r w:rsidRPr="00610B1B">
        <w:rPr>
          <w:rFonts w:ascii="Times New Roman" w:eastAsia="Source Han Sans CN Regular" w:hAnsi="Times New Roman" w:cs="Times New Roman"/>
          <w:sz w:val="24"/>
          <w:szCs w:val="24"/>
          <w:lang w:val="bg-BG" w:eastAsia="zh-CN" w:bidi="hi-IN"/>
        </w:rPr>
        <w:t>;</w:t>
      </w:r>
      <w:r w:rsidR="00D66FE0" w:rsidRPr="00610B1B">
        <w:rPr>
          <w:rFonts w:ascii="Times New Roman" w:eastAsia="Source Han Sans CN Regular" w:hAnsi="Times New Roman" w:cs="Times New Roman"/>
          <w:sz w:val="24"/>
          <w:szCs w:val="24"/>
          <w:lang w:val="bg-BG" w:eastAsia="zh-CN" w:bidi="hi-IN"/>
        </w:rPr>
        <w:t xml:space="preserve"> </w:t>
      </w:r>
    </w:p>
    <w:p w14:paraId="569C1E84"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Национален авариен план за борба с нефтени разливи в Черно море, София, 2011 г.</w:t>
      </w:r>
    </w:p>
    <w:p w14:paraId="3E4B9C06"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Национален план за противодействие на тероризма, 2008, приет с Решение № 745 на МС 26.11.2008 г.;</w:t>
      </w:r>
    </w:p>
    <w:p w14:paraId="75AD657F"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Национален стратегически план за аквакултурите в България 2014-2020 г.;</w:t>
      </w:r>
    </w:p>
    <w:p w14:paraId="181BB8BE" w14:textId="16F71A83" w:rsidR="00BE57CC" w:rsidRPr="00610B1B" w:rsidRDefault="00BE57CC" w:rsidP="00BE57CC">
      <w:pPr>
        <w:widowControl w:val="0"/>
        <w:numPr>
          <w:ilvl w:val="0"/>
          <w:numId w:val="96"/>
        </w:numPr>
        <w:spacing w:after="120"/>
        <w:ind w:left="426" w:right="-153" w:hanging="426"/>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Национална концепция за пространствено развитие 2013-2025 г., Актуализация 2019 г. </w:t>
      </w:r>
      <w:hyperlink r:id="rId100" w:history="1">
        <w:r w:rsidRPr="00610B1B">
          <w:rPr>
            <w:rFonts w:ascii="Times New Roman" w:eastAsia="Source Han Sans CN Regular" w:hAnsi="Times New Roman" w:cs="Times New Roman"/>
            <w:color w:val="0000FF"/>
            <w:sz w:val="24"/>
            <w:szCs w:val="24"/>
            <w:u w:val="single"/>
            <w:lang w:val="bg-BG" w:eastAsia="zh-CN" w:bidi="hi-IN"/>
          </w:rPr>
          <w:t>http://www.mrrb.government.bg/static/media/ups/articles/attachments/d747ca682ac1a70380428fd1dc664fb3.pdf</w:t>
        </w:r>
      </w:hyperlink>
      <w:r w:rsidRPr="00610B1B">
        <w:rPr>
          <w:rFonts w:ascii="Times New Roman" w:eastAsia="Source Han Sans CN Regular" w:hAnsi="Times New Roman" w:cs="Times New Roman"/>
          <w:sz w:val="24"/>
          <w:szCs w:val="24"/>
          <w:lang w:val="bg-BG" w:eastAsia="zh-CN" w:bidi="hi-IN"/>
        </w:rPr>
        <w:t xml:space="preserve"> </w:t>
      </w:r>
    </w:p>
    <w:p w14:paraId="1A9811AF" w14:textId="20C0E44A" w:rsidR="00DB5CC7" w:rsidRPr="00610B1B" w:rsidRDefault="00BE57CC" w:rsidP="004567E9">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Национална отбранителна стратегия, приета с решение на МС 283/18.04.2016г., </w:t>
      </w:r>
      <w:hyperlink r:id="rId101" w:history="1">
        <w:r w:rsidRPr="00610B1B">
          <w:rPr>
            <w:rFonts w:ascii="Times New Roman" w:eastAsia="Source Han Sans CN Regular" w:hAnsi="Times New Roman" w:cs="Times New Roman"/>
            <w:color w:val="0000FF"/>
            <w:sz w:val="24"/>
            <w:szCs w:val="24"/>
            <w:u w:val="single"/>
            <w:lang w:val="bg-BG" w:eastAsia="zh-CN" w:bidi="hi-IN"/>
          </w:rPr>
          <w:t>https://www.mod.bg/bg/doc/strategicheski/20160419_Natsioanalna_otbranitelna_strategia_RMS_283_18.04.2016.pdf</w:t>
        </w:r>
      </w:hyperlink>
      <w:r w:rsidRPr="00610B1B">
        <w:rPr>
          <w:rFonts w:ascii="Times New Roman" w:eastAsia="Source Han Sans CN Regular" w:hAnsi="Times New Roman" w:cs="Times New Roman"/>
          <w:sz w:val="24"/>
          <w:szCs w:val="24"/>
          <w:lang w:val="bg-BG" w:eastAsia="zh-CN" w:bidi="hi-IN"/>
        </w:rPr>
        <w:t xml:space="preserve"> </w:t>
      </w:r>
    </w:p>
    <w:p w14:paraId="69A8F4D6" w14:textId="77777777" w:rsidR="00DB5CC7" w:rsidRPr="00610B1B" w:rsidRDefault="00BE57CC" w:rsidP="00DB5CC7">
      <w:pPr>
        <w:widowControl w:val="0"/>
        <w:numPr>
          <w:ilvl w:val="0"/>
          <w:numId w:val="96"/>
        </w:numPr>
        <w:spacing w:after="60"/>
        <w:ind w:left="425" w:right="-153" w:hanging="425"/>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Национална програма за превенция и ограничаване на свлачищата на територията на Република България, ерозията и абразията по Дунавското и Черноморското крайбрежие 2015-2020 г., 2013, НИГГГ при БАН</w:t>
      </w:r>
    </w:p>
    <w:p w14:paraId="4426DDEE" w14:textId="2302B66A" w:rsidR="00BE57CC" w:rsidRPr="00610B1B" w:rsidRDefault="002A152C" w:rsidP="00DB5CC7">
      <w:pPr>
        <w:widowControl w:val="0"/>
        <w:spacing w:after="120"/>
        <w:ind w:left="426" w:right="-153"/>
        <w:jc w:val="both"/>
        <w:rPr>
          <w:rFonts w:ascii="Times New Roman" w:eastAsia="Source Han Sans CN Regular" w:hAnsi="Times New Roman" w:cs="Times New Roman"/>
          <w:sz w:val="24"/>
          <w:szCs w:val="24"/>
          <w:lang w:val="bg-BG" w:eastAsia="zh-CN" w:bidi="hi-IN"/>
        </w:rPr>
      </w:pPr>
      <w:hyperlink r:id="rId102" w:history="1">
        <w:r w:rsidR="00DB5CC7" w:rsidRPr="00610B1B">
          <w:rPr>
            <w:rStyle w:val="Hyperlink"/>
            <w:rFonts w:ascii="Times New Roman" w:eastAsia="Source Han Sans CN Regular" w:hAnsi="Times New Roman" w:cs="Times New Roman"/>
            <w:sz w:val="24"/>
            <w:szCs w:val="24"/>
            <w:lang w:val="bg-BG" w:eastAsia="zh-CN" w:bidi="hi-IN"/>
          </w:rPr>
          <w:t>http://www.mrrb.government.bg/static/media/ups/articles/attachments/9c601820f838fec4e00cb3332fab39d4.pdf</w:t>
        </w:r>
      </w:hyperlink>
    </w:p>
    <w:p w14:paraId="221CBAB8" w14:textId="3A1CB795"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Национална програма за развитие: България 2030. </w:t>
      </w:r>
      <w:hyperlink r:id="rId103" w:history="1">
        <w:r w:rsidRPr="00610B1B">
          <w:rPr>
            <w:rFonts w:ascii="Times New Roman" w:eastAsia="Source Han Sans CN Regular" w:hAnsi="Times New Roman" w:cs="Times New Roman"/>
            <w:color w:val="0000FF"/>
            <w:sz w:val="24"/>
            <w:szCs w:val="24"/>
            <w:u w:val="single"/>
            <w:lang w:val="bg-BG" w:eastAsia="zh-CN" w:bidi="hi-IN"/>
          </w:rPr>
          <w:t>https://www.bsbd.org/bg/index_bg_5493788.html</w:t>
        </w:r>
      </w:hyperlink>
      <w:r w:rsidRPr="00610B1B">
        <w:rPr>
          <w:rFonts w:ascii="Times New Roman" w:eastAsia="Source Han Sans CN Regular" w:hAnsi="Times New Roman" w:cs="Times New Roman"/>
          <w:sz w:val="24"/>
          <w:szCs w:val="24"/>
          <w:lang w:val="bg-BG" w:eastAsia="zh-CN" w:bidi="hi-IN"/>
        </w:rPr>
        <w:t>;</w:t>
      </w:r>
    </w:p>
    <w:p w14:paraId="4333F4B8"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Национална стратегия за регионално развитие на Р. България 2012-2022 г.;</w:t>
      </w:r>
    </w:p>
    <w:p w14:paraId="3B400272" w14:textId="7ABB9602"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Областна стратегия за развитие на област Бургас за периода 2014-2020 г.; </w:t>
      </w:r>
      <w:hyperlink r:id="rId104" w:history="1">
        <w:r w:rsidRPr="00610B1B">
          <w:rPr>
            <w:rFonts w:ascii="Times New Roman" w:eastAsia="Source Han Sans CN Regular" w:hAnsi="Times New Roman" w:cs="Times New Roman"/>
            <w:color w:val="0000FF"/>
            <w:sz w:val="24"/>
            <w:szCs w:val="24"/>
            <w:u w:val="single"/>
            <w:lang w:val="bg-BG" w:eastAsia="zh-CN" w:bidi="hi-IN"/>
          </w:rPr>
          <w:t>http://www.strategy.bg/StrategicDocuments/View.aspx?lang=bg-BG&amp;Id=1025</w:t>
        </w:r>
      </w:hyperlink>
      <w:r w:rsidRPr="00610B1B">
        <w:rPr>
          <w:rFonts w:ascii="Times New Roman" w:eastAsia="Source Han Sans CN Regular" w:hAnsi="Times New Roman" w:cs="Times New Roman"/>
          <w:sz w:val="24"/>
          <w:szCs w:val="24"/>
          <w:lang w:val="bg-BG" w:eastAsia="zh-CN" w:bidi="hi-IN"/>
        </w:rPr>
        <w:t xml:space="preserve">); </w:t>
      </w:r>
    </w:p>
    <w:p w14:paraId="21AAB3D2" w14:textId="0976C47D"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Областна стратегия за развитие на област Варна за периода 2014-2020 г </w:t>
      </w:r>
      <w:hyperlink r:id="rId105" w:history="1">
        <w:r w:rsidRPr="00610B1B">
          <w:rPr>
            <w:rFonts w:ascii="Times New Roman" w:eastAsia="Source Han Sans CN Regular" w:hAnsi="Times New Roman" w:cs="Times New Roman"/>
            <w:color w:val="0000FF"/>
            <w:sz w:val="24"/>
            <w:szCs w:val="24"/>
            <w:u w:val="single"/>
            <w:lang w:val="bg-BG" w:eastAsia="zh-CN" w:bidi="hi-IN"/>
          </w:rPr>
          <w:t>http://www.vn.government.bg/stranici/%CE%D1%D0%20%ED%E0%20%C2%E0%F0%ED%E5%ED%F1%EA%E0%20%EE%E1%EB%E0%F1%F2%202014-2020.pdf</w:t>
        </w:r>
      </w:hyperlink>
      <w:r w:rsidRPr="00610B1B">
        <w:rPr>
          <w:rFonts w:ascii="Times New Roman" w:eastAsia="Source Han Sans CN Regular" w:hAnsi="Times New Roman" w:cs="Times New Roman"/>
          <w:sz w:val="24"/>
          <w:szCs w:val="24"/>
          <w:lang w:val="bg-BG" w:eastAsia="zh-CN" w:bidi="hi-IN"/>
        </w:rPr>
        <w:t>);</w:t>
      </w:r>
      <w:r w:rsidR="00D66FE0" w:rsidRPr="00610B1B">
        <w:rPr>
          <w:rFonts w:ascii="Times New Roman" w:eastAsia="Source Han Sans CN Regular" w:hAnsi="Times New Roman" w:cs="Times New Roman"/>
          <w:sz w:val="24"/>
          <w:szCs w:val="24"/>
          <w:lang w:val="bg-BG" w:eastAsia="zh-CN" w:bidi="hi-IN"/>
        </w:rPr>
        <w:t xml:space="preserve"> </w:t>
      </w:r>
    </w:p>
    <w:p w14:paraId="2CC1420D" w14:textId="2C5CA955"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Областна стратегия за развитие на област Добрич за периода 2014-2020 г.</w:t>
      </w:r>
      <w:r w:rsidR="00D66FE0" w:rsidRPr="00610B1B">
        <w:rPr>
          <w:rFonts w:ascii="Times New Roman" w:eastAsia="Source Han Sans CN Regular" w:hAnsi="Times New Roman" w:cs="Times New Roman"/>
          <w:sz w:val="24"/>
          <w:szCs w:val="24"/>
          <w:lang w:val="bg-BG" w:eastAsia="zh-CN" w:bidi="hi-IN"/>
        </w:rPr>
        <w:t xml:space="preserve"> </w:t>
      </w:r>
      <w:hyperlink r:id="rId106" w:history="1">
        <w:r w:rsidRPr="00610B1B">
          <w:rPr>
            <w:rFonts w:ascii="Times New Roman" w:eastAsia="Source Han Sans CN Regular" w:hAnsi="Times New Roman" w:cs="Times New Roman"/>
            <w:color w:val="0000FF"/>
            <w:sz w:val="24"/>
            <w:szCs w:val="24"/>
            <w:u w:val="single"/>
            <w:lang w:val="bg-BG" w:eastAsia="zh-CN" w:bidi="hi-IN"/>
          </w:rPr>
          <w:t>http://dobrich.government.bg/ipage.php?id=320</w:t>
        </w:r>
      </w:hyperlink>
      <w:r w:rsidRPr="00610B1B">
        <w:rPr>
          <w:rFonts w:ascii="Times New Roman" w:eastAsia="Source Han Sans CN Regular" w:hAnsi="Times New Roman" w:cs="Times New Roman"/>
          <w:sz w:val="24"/>
          <w:szCs w:val="24"/>
          <w:lang w:val="bg-BG" w:eastAsia="zh-CN" w:bidi="hi-IN"/>
        </w:rPr>
        <w:t>);</w:t>
      </w:r>
      <w:r w:rsidR="00D66FE0" w:rsidRPr="00610B1B">
        <w:rPr>
          <w:rFonts w:ascii="Times New Roman" w:eastAsia="Source Han Sans CN Regular" w:hAnsi="Times New Roman" w:cs="Times New Roman"/>
          <w:sz w:val="24"/>
          <w:szCs w:val="24"/>
          <w:lang w:val="bg-BG" w:eastAsia="zh-CN" w:bidi="hi-IN"/>
        </w:rPr>
        <w:t xml:space="preserve"> </w:t>
      </w:r>
    </w:p>
    <w:p w14:paraId="0D0FC07F" w14:textId="5CA43A60"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Общински план за развитие на община</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Несебър</w:t>
      </w:r>
    </w:p>
    <w:p w14:paraId="30587E76" w14:textId="79D8E503" w:rsidR="00BE57CC" w:rsidRPr="00610B1B" w:rsidRDefault="002A152C" w:rsidP="00BE57CC">
      <w:pPr>
        <w:widowControl w:val="0"/>
        <w:spacing w:after="120"/>
        <w:ind w:left="426" w:right="-153"/>
        <w:jc w:val="both"/>
        <w:rPr>
          <w:rFonts w:ascii="Times New Roman" w:eastAsia="Source Han Sans CN Regular" w:hAnsi="Times New Roman" w:cs="Times New Roman"/>
          <w:sz w:val="24"/>
          <w:szCs w:val="24"/>
          <w:lang w:val="bg-BG" w:eastAsia="zh-CN" w:bidi="hi-IN"/>
        </w:rPr>
      </w:pPr>
      <w:hyperlink r:id="rId107" w:history="1">
        <w:r w:rsidR="00BE57CC" w:rsidRPr="00610B1B">
          <w:rPr>
            <w:rFonts w:ascii="Times New Roman" w:eastAsia="Source Han Sans CN Regular" w:hAnsi="Times New Roman" w:cs="Times New Roman"/>
            <w:color w:val="0000FF"/>
            <w:sz w:val="24"/>
            <w:szCs w:val="24"/>
            <w:u w:val="single"/>
            <w:lang w:val="bg-BG" w:eastAsia="zh-CN" w:bidi="hi-IN"/>
          </w:rPr>
          <w:t>http://www.strategy.bg/PublicConsultations/View.aspx?lang=bg-BG&amp;Id=1356</w:t>
        </w:r>
      </w:hyperlink>
      <w:r w:rsidR="00BE57CC" w:rsidRPr="00610B1B">
        <w:rPr>
          <w:rFonts w:ascii="Times New Roman" w:eastAsia="Source Han Sans CN Regular" w:hAnsi="Times New Roman" w:cs="Times New Roman"/>
          <w:sz w:val="24"/>
          <w:szCs w:val="24"/>
          <w:lang w:val="bg-BG" w:eastAsia="zh-CN" w:bidi="hi-IN"/>
        </w:rPr>
        <w:t xml:space="preserve">); </w:t>
      </w:r>
    </w:p>
    <w:p w14:paraId="4DF842CB" w14:textId="77777777" w:rsidR="00BE57CC" w:rsidRPr="00610B1B" w:rsidRDefault="00BE57CC" w:rsidP="00DB5CC7">
      <w:pPr>
        <w:widowControl w:val="0"/>
        <w:numPr>
          <w:ilvl w:val="0"/>
          <w:numId w:val="96"/>
        </w:numPr>
        <w:spacing w:after="60"/>
        <w:ind w:left="425" w:right="-153" w:hanging="425"/>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Общински план за развитие на Община Аврен 2014-2020 г. </w:t>
      </w:r>
    </w:p>
    <w:p w14:paraId="48273BFD" w14:textId="10D69AB4" w:rsidR="00BE57CC" w:rsidRPr="00610B1B" w:rsidRDefault="002A152C" w:rsidP="00BE57CC">
      <w:pPr>
        <w:widowControl w:val="0"/>
        <w:spacing w:after="120"/>
        <w:ind w:left="426" w:right="-153"/>
        <w:jc w:val="both"/>
        <w:rPr>
          <w:rFonts w:ascii="Times New Roman" w:eastAsia="Source Han Sans CN Regular" w:hAnsi="Times New Roman" w:cs="Times New Roman"/>
          <w:sz w:val="24"/>
          <w:szCs w:val="24"/>
          <w:lang w:val="bg-BG" w:eastAsia="zh-CN" w:bidi="hi-IN"/>
        </w:rPr>
      </w:pPr>
      <w:hyperlink r:id="rId108" w:history="1">
        <w:r w:rsidR="00BE57CC" w:rsidRPr="00610B1B">
          <w:rPr>
            <w:rFonts w:ascii="Times New Roman" w:eastAsia="Source Han Sans CN Regular" w:hAnsi="Times New Roman" w:cs="Times New Roman"/>
            <w:color w:val="0000FF"/>
            <w:sz w:val="24"/>
            <w:szCs w:val="24"/>
            <w:u w:val="single"/>
            <w:lang w:val="bg-BG" w:eastAsia="zh-CN" w:bidi="hi-IN"/>
          </w:rPr>
          <w:t>http://www.avren.bg/assets/Obsavet%20AVREN/Naredbi/2014-2020%2008-2016.pdf</w:t>
        </w:r>
      </w:hyperlink>
      <w:r w:rsidR="00BE57CC" w:rsidRPr="00610B1B">
        <w:rPr>
          <w:rFonts w:ascii="Times New Roman" w:eastAsia="Source Han Sans CN Regular" w:hAnsi="Times New Roman" w:cs="Times New Roman"/>
          <w:sz w:val="24"/>
          <w:szCs w:val="24"/>
          <w:lang w:val="bg-BG" w:eastAsia="zh-CN" w:bidi="hi-IN"/>
        </w:rPr>
        <w:t>);</w:t>
      </w:r>
      <w:r w:rsidR="00D66FE0" w:rsidRPr="00610B1B">
        <w:rPr>
          <w:rFonts w:ascii="Times New Roman" w:eastAsia="Source Han Sans CN Regular" w:hAnsi="Times New Roman" w:cs="Times New Roman"/>
          <w:sz w:val="24"/>
          <w:szCs w:val="24"/>
          <w:lang w:val="bg-BG" w:eastAsia="zh-CN" w:bidi="hi-IN"/>
        </w:rPr>
        <w:t xml:space="preserve"> </w:t>
      </w:r>
    </w:p>
    <w:p w14:paraId="24353560"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Общински план за развитие на община Аксаково 2014-2020 г. </w:t>
      </w:r>
    </w:p>
    <w:p w14:paraId="284D5CE6" w14:textId="13F9B38D" w:rsidR="00BE57CC" w:rsidRPr="00610B1B" w:rsidRDefault="002A152C" w:rsidP="00BE57CC">
      <w:pPr>
        <w:widowControl w:val="0"/>
        <w:spacing w:after="120"/>
        <w:ind w:left="426" w:right="-153"/>
        <w:jc w:val="both"/>
        <w:rPr>
          <w:rFonts w:ascii="Times New Roman" w:eastAsia="Source Han Sans CN Regular" w:hAnsi="Times New Roman" w:cs="Times New Roman"/>
          <w:sz w:val="24"/>
          <w:szCs w:val="24"/>
          <w:lang w:val="bg-BG" w:eastAsia="zh-CN" w:bidi="hi-IN"/>
        </w:rPr>
      </w:pPr>
      <w:hyperlink r:id="rId109" w:history="1">
        <w:r w:rsidR="00BE57CC" w:rsidRPr="00610B1B">
          <w:rPr>
            <w:rFonts w:ascii="Times New Roman" w:eastAsia="Source Han Sans CN Regular" w:hAnsi="Times New Roman" w:cs="Times New Roman"/>
            <w:color w:val="0000FF"/>
            <w:sz w:val="24"/>
            <w:szCs w:val="24"/>
            <w:u w:val="single"/>
            <w:lang w:val="bg-BG" w:eastAsia="zh-CN" w:bidi="hi-IN"/>
          </w:rPr>
          <w:t>http://www.aksakovo.net/section-156-obschinski_plan_za_razvi.html</w:t>
        </w:r>
      </w:hyperlink>
      <w:r w:rsidR="00BE57CC" w:rsidRPr="00610B1B">
        <w:rPr>
          <w:rFonts w:ascii="Times New Roman" w:eastAsia="Source Han Sans CN Regular" w:hAnsi="Times New Roman" w:cs="Times New Roman"/>
          <w:sz w:val="24"/>
          <w:szCs w:val="24"/>
          <w:lang w:val="bg-BG" w:eastAsia="zh-CN" w:bidi="hi-IN"/>
        </w:rPr>
        <w:t>);</w:t>
      </w:r>
      <w:r w:rsidR="00C415D1" w:rsidRPr="00610B1B">
        <w:rPr>
          <w:rFonts w:ascii="Times New Roman" w:eastAsia="Source Han Sans CN Regular" w:hAnsi="Times New Roman" w:cs="Times New Roman"/>
          <w:sz w:val="24"/>
          <w:szCs w:val="24"/>
          <w:lang w:val="bg-BG" w:eastAsia="zh-CN" w:bidi="hi-IN"/>
        </w:rPr>
        <w:t xml:space="preserve"> </w:t>
      </w:r>
    </w:p>
    <w:p w14:paraId="3AF19FCC"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Общински план за развитие на Община Бургас 2014-2020 г.</w:t>
      </w:r>
    </w:p>
    <w:p w14:paraId="628C3072" w14:textId="6D69D8A0" w:rsidR="00BE57CC" w:rsidRPr="00610B1B" w:rsidRDefault="002A152C" w:rsidP="00BE57CC">
      <w:pPr>
        <w:widowControl w:val="0"/>
        <w:spacing w:after="120"/>
        <w:ind w:left="426" w:right="-153"/>
        <w:jc w:val="both"/>
        <w:rPr>
          <w:rFonts w:ascii="Times New Roman" w:eastAsia="Source Han Sans CN Regular" w:hAnsi="Times New Roman" w:cs="Times New Roman"/>
          <w:sz w:val="24"/>
          <w:szCs w:val="24"/>
          <w:lang w:val="bg-BG" w:eastAsia="zh-CN" w:bidi="hi-IN"/>
        </w:rPr>
      </w:pPr>
      <w:hyperlink r:id="rId110" w:history="1">
        <w:r w:rsidR="00BE57CC" w:rsidRPr="00610B1B">
          <w:rPr>
            <w:rFonts w:ascii="Times New Roman" w:eastAsia="Source Han Sans CN Regular" w:hAnsi="Times New Roman" w:cs="Times New Roman"/>
            <w:color w:val="0000FF"/>
            <w:sz w:val="24"/>
            <w:szCs w:val="24"/>
            <w:u w:val="single"/>
            <w:lang w:val="bg-BG" w:eastAsia="zh-CN" w:bidi="hi-IN"/>
          </w:rPr>
          <w:t>https://www.burgas.bg/uploads/420728ff5d6e4c378b8e4bf1f7743829.pdf</w:t>
        </w:r>
      </w:hyperlink>
      <w:r w:rsidR="00BE57CC" w:rsidRPr="00610B1B">
        <w:rPr>
          <w:rFonts w:ascii="Times New Roman" w:eastAsia="Source Han Sans CN Regular" w:hAnsi="Times New Roman" w:cs="Times New Roman"/>
          <w:sz w:val="24"/>
          <w:szCs w:val="24"/>
          <w:lang w:val="bg-BG" w:eastAsia="zh-CN" w:bidi="hi-IN"/>
        </w:rPr>
        <w:t>);</w:t>
      </w:r>
      <w:r w:rsidR="00D66FE0" w:rsidRPr="00610B1B">
        <w:rPr>
          <w:rFonts w:ascii="Times New Roman" w:eastAsia="Source Han Sans CN Regular" w:hAnsi="Times New Roman" w:cs="Times New Roman"/>
          <w:sz w:val="24"/>
          <w:szCs w:val="24"/>
          <w:lang w:val="bg-BG" w:eastAsia="zh-CN" w:bidi="hi-IN"/>
        </w:rPr>
        <w:t xml:space="preserve"> </w:t>
      </w:r>
    </w:p>
    <w:p w14:paraId="45767836" w14:textId="77777777" w:rsidR="00DB5CC7" w:rsidRPr="00610B1B" w:rsidRDefault="00BE57CC" w:rsidP="00DB5CC7">
      <w:pPr>
        <w:widowControl w:val="0"/>
        <w:numPr>
          <w:ilvl w:val="0"/>
          <w:numId w:val="96"/>
        </w:numPr>
        <w:spacing w:after="60"/>
        <w:ind w:left="425" w:right="-153" w:hanging="425"/>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Общински план за развитие на община Бяла 2014-2020 г.</w:t>
      </w:r>
    </w:p>
    <w:p w14:paraId="372B6F5D" w14:textId="10A85901" w:rsidR="00BE57CC" w:rsidRPr="00610B1B" w:rsidRDefault="002A152C" w:rsidP="00DB5CC7">
      <w:pPr>
        <w:widowControl w:val="0"/>
        <w:spacing w:after="120"/>
        <w:ind w:left="426" w:right="-153"/>
        <w:jc w:val="both"/>
        <w:rPr>
          <w:rFonts w:ascii="Times New Roman" w:eastAsia="Source Han Sans CN Regular" w:hAnsi="Times New Roman" w:cs="Times New Roman"/>
          <w:sz w:val="24"/>
          <w:szCs w:val="24"/>
          <w:lang w:val="bg-BG" w:eastAsia="zh-CN" w:bidi="hi-IN"/>
        </w:rPr>
      </w:pPr>
      <w:hyperlink r:id="rId111" w:history="1">
        <w:r w:rsidR="00DB5CC7" w:rsidRPr="00610B1B">
          <w:rPr>
            <w:rStyle w:val="Hyperlink"/>
            <w:rFonts w:ascii="Times New Roman" w:eastAsia="Source Han Sans CN Regular" w:hAnsi="Times New Roman" w:cs="Times New Roman"/>
            <w:sz w:val="24"/>
            <w:szCs w:val="24"/>
            <w:lang w:val="bg-BG" w:eastAsia="zh-CN" w:bidi="hi-IN"/>
          </w:rPr>
          <w:t>http://byala.bg/home/index.php/2014/01/27/plan-14-20/</w:t>
        </w:r>
      </w:hyperlink>
      <w:r w:rsidR="00BE57CC" w:rsidRPr="00610B1B">
        <w:rPr>
          <w:rFonts w:ascii="Times New Roman" w:eastAsia="Source Han Sans CN Regular" w:hAnsi="Times New Roman" w:cs="Times New Roman"/>
          <w:sz w:val="24"/>
          <w:szCs w:val="24"/>
          <w:lang w:val="bg-BG" w:eastAsia="zh-CN" w:bidi="hi-IN"/>
        </w:rPr>
        <w:t xml:space="preserve">); </w:t>
      </w:r>
    </w:p>
    <w:p w14:paraId="185C167C" w14:textId="256B3DFA"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Общински план за развитие на Община Варна 2014-2020 г. </w:t>
      </w:r>
      <w:hyperlink r:id="rId112" w:history="1">
        <w:r w:rsidR="00537D06" w:rsidRPr="00610B1B">
          <w:rPr>
            <w:rStyle w:val="Hyperlink"/>
            <w:rFonts w:ascii="Times New Roman" w:eastAsia="Source Han Sans CN Regular" w:hAnsi="Times New Roman" w:cs="Times New Roman"/>
            <w:sz w:val="24"/>
            <w:szCs w:val="24"/>
            <w:lang w:val="bg-BG" w:eastAsia="zh-CN" w:bidi="hi-IN"/>
          </w:rPr>
          <w:t>http://www.varna.bg/bg/html</w:t>
        </w:r>
      </w:hyperlink>
      <w:r w:rsidR="00537D06"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w:t>
      </w:r>
      <w:r w:rsidR="00C415D1" w:rsidRPr="00610B1B">
        <w:rPr>
          <w:rFonts w:ascii="Times New Roman" w:eastAsia="Source Han Sans CN Regular" w:hAnsi="Times New Roman" w:cs="Times New Roman"/>
          <w:sz w:val="24"/>
          <w:szCs w:val="24"/>
          <w:lang w:val="bg-BG" w:eastAsia="zh-CN" w:bidi="hi-IN"/>
        </w:rPr>
        <w:t xml:space="preserve"> </w:t>
      </w:r>
    </w:p>
    <w:p w14:paraId="5A9D4595" w14:textId="77777777" w:rsidR="00DB5CC7" w:rsidRPr="00610B1B" w:rsidRDefault="00BE57CC" w:rsidP="00DB5CC7">
      <w:pPr>
        <w:widowControl w:val="0"/>
        <w:numPr>
          <w:ilvl w:val="0"/>
          <w:numId w:val="96"/>
        </w:numPr>
        <w:spacing w:after="60"/>
        <w:ind w:left="425" w:right="-153" w:hanging="425"/>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Общински план за развитие на Община Долни чифлик 2014-2020 г.</w:t>
      </w:r>
    </w:p>
    <w:p w14:paraId="1FD74267" w14:textId="1E3565A8" w:rsidR="00BE57CC" w:rsidRPr="00610B1B" w:rsidRDefault="002A152C" w:rsidP="00DB5CC7">
      <w:pPr>
        <w:widowControl w:val="0"/>
        <w:spacing w:after="120"/>
        <w:ind w:left="426" w:right="-153"/>
        <w:jc w:val="both"/>
        <w:rPr>
          <w:rFonts w:ascii="Times New Roman" w:eastAsia="Source Han Sans CN Regular" w:hAnsi="Times New Roman" w:cs="Times New Roman"/>
          <w:sz w:val="24"/>
          <w:szCs w:val="24"/>
          <w:lang w:val="bg-BG" w:eastAsia="zh-CN" w:bidi="hi-IN"/>
        </w:rPr>
      </w:pPr>
      <w:hyperlink r:id="rId113" w:history="1">
        <w:r w:rsidR="00DB5CC7" w:rsidRPr="00610B1B">
          <w:rPr>
            <w:rStyle w:val="Hyperlink"/>
            <w:rFonts w:ascii="Times New Roman" w:eastAsia="Source Han Sans CN Regular" w:hAnsi="Times New Roman" w:cs="Times New Roman"/>
            <w:sz w:val="24"/>
            <w:szCs w:val="24"/>
            <w:lang w:val="bg-BG" w:eastAsia="zh-CN" w:bidi="hi-IN"/>
          </w:rPr>
          <w:t>http://dolni-chiflik.acstre.com/assets/C/opr2014-2020.pdf</w:t>
        </w:r>
      </w:hyperlink>
      <w:r w:rsidR="00BE57CC" w:rsidRPr="00610B1B">
        <w:rPr>
          <w:rFonts w:ascii="Times New Roman" w:eastAsia="Source Han Sans CN Regular" w:hAnsi="Times New Roman" w:cs="Times New Roman"/>
          <w:sz w:val="24"/>
          <w:szCs w:val="24"/>
          <w:lang w:val="bg-BG" w:eastAsia="zh-CN" w:bidi="hi-IN"/>
        </w:rPr>
        <w:t>;</w:t>
      </w:r>
      <w:r w:rsidR="00C415D1" w:rsidRPr="00610B1B">
        <w:rPr>
          <w:rFonts w:ascii="Times New Roman" w:eastAsia="Source Han Sans CN Regular" w:hAnsi="Times New Roman" w:cs="Times New Roman"/>
          <w:sz w:val="24"/>
          <w:szCs w:val="24"/>
          <w:lang w:val="bg-BG" w:eastAsia="zh-CN" w:bidi="hi-IN"/>
        </w:rPr>
        <w:t xml:space="preserve"> </w:t>
      </w:r>
    </w:p>
    <w:p w14:paraId="403A6A53" w14:textId="77777777" w:rsidR="00DB5CC7" w:rsidRPr="00610B1B" w:rsidRDefault="00BE57CC" w:rsidP="00DB5CC7">
      <w:pPr>
        <w:widowControl w:val="0"/>
        <w:numPr>
          <w:ilvl w:val="0"/>
          <w:numId w:val="96"/>
        </w:numPr>
        <w:spacing w:after="60"/>
        <w:ind w:left="425" w:right="-153" w:hanging="425"/>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Общински план за развитие на Община Созопол 2014-2020 г.</w:t>
      </w:r>
      <w:r w:rsidR="00D66FE0" w:rsidRPr="00610B1B">
        <w:rPr>
          <w:rFonts w:ascii="Times New Roman" w:eastAsia="Source Han Sans CN Regular" w:hAnsi="Times New Roman" w:cs="Times New Roman"/>
          <w:sz w:val="24"/>
          <w:szCs w:val="24"/>
          <w:lang w:val="bg-BG" w:eastAsia="zh-CN" w:bidi="hi-IN"/>
        </w:rPr>
        <w:t xml:space="preserve"> </w:t>
      </w:r>
    </w:p>
    <w:p w14:paraId="201B3B77" w14:textId="01899C9A" w:rsidR="00BE57CC" w:rsidRPr="00610B1B" w:rsidRDefault="002A152C" w:rsidP="00DB5CC7">
      <w:pPr>
        <w:widowControl w:val="0"/>
        <w:spacing w:after="120"/>
        <w:ind w:left="426" w:right="-153"/>
        <w:jc w:val="both"/>
        <w:rPr>
          <w:rFonts w:ascii="Times New Roman" w:eastAsia="Source Han Sans CN Regular" w:hAnsi="Times New Roman" w:cs="Times New Roman"/>
          <w:sz w:val="24"/>
          <w:szCs w:val="24"/>
          <w:lang w:val="bg-BG" w:eastAsia="zh-CN" w:bidi="hi-IN"/>
        </w:rPr>
      </w:pPr>
      <w:hyperlink r:id="rId114" w:history="1">
        <w:r w:rsidR="00DB5CC7" w:rsidRPr="00610B1B">
          <w:rPr>
            <w:rStyle w:val="Hyperlink"/>
            <w:rFonts w:ascii="Times New Roman" w:eastAsia="Source Han Sans CN Regular" w:hAnsi="Times New Roman" w:cs="Times New Roman"/>
            <w:sz w:val="24"/>
            <w:szCs w:val="24"/>
            <w:lang w:val="bg-BG" w:eastAsia="zh-CN" w:bidi="hi-IN"/>
          </w:rPr>
          <w:t>http://www.sozopol.bg/index.php?option=com_content&amp;view=article&amp;id=7504:-2014-2020&amp;catid=212:2012-04-13-05-05-04&amp;Itemid=91</w:t>
        </w:r>
      </w:hyperlink>
      <w:r w:rsidR="00BE57CC" w:rsidRPr="00610B1B">
        <w:rPr>
          <w:rFonts w:ascii="Times New Roman" w:eastAsia="Source Han Sans CN Regular" w:hAnsi="Times New Roman" w:cs="Times New Roman"/>
          <w:sz w:val="24"/>
          <w:szCs w:val="24"/>
          <w:lang w:val="bg-BG" w:eastAsia="zh-CN" w:bidi="hi-IN"/>
        </w:rPr>
        <w:t>);</w:t>
      </w:r>
      <w:r w:rsidR="00D66FE0" w:rsidRPr="00610B1B">
        <w:rPr>
          <w:rFonts w:ascii="Times New Roman" w:eastAsia="Source Han Sans CN Regular" w:hAnsi="Times New Roman" w:cs="Times New Roman"/>
          <w:sz w:val="24"/>
          <w:szCs w:val="24"/>
          <w:lang w:val="bg-BG" w:eastAsia="zh-CN" w:bidi="hi-IN"/>
        </w:rPr>
        <w:t xml:space="preserve"> </w:t>
      </w:r>
    </w:p>
    <w:p w14:paraId="4FC51A19"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Оперативен план на Главния щаб на ВМС на Република България за търсене и спасяване на военни кораби и въздухоплавателни средства, ВМС, ГЩ, 2006 г.</w:t>
      </w:r>
    </w:p>
    <w:p w14:paraId="57871110"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План за взаимодействие между ВМС, ИАМА, ИАПА и ИАРА, подписан през 2005 г.</w:t>
      </w:r>
    </w:p>
    <w:p w14:paraId="73A686CC"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План за изпълнение на Стратегията за противодействие на радикализацията и тероризма през 2016 г.</w:t>
      </w:r>
    </w:p>
    <w:p w14:paraId="568E4734" w14:textId="174966C3"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План</w:t>
      </w:r>
      <w:r w:rsidR="008670AC"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за</w:t>
      </w:r>
      <w:r w:rsidR="008670AC"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развитие</w:t>
      </w:r>
      <w:r w:rsidR="008670AC"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на</w:t>
      </w:r>
      <w:r w:rsidR="008670AC"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Въоръжените</w:t>
      </w:r>
      <w:r w:rsidR="008670AC"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сили</w:t>
      </w:r>
      <w:r w:rsidR="008670AC"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до</w:t>
      </w:r>
      <w:r w:rsidR="008670AC"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 xml:space="preserve">2020 г., </w:t>
      </w:r>
      <w:hyperlink r:id="rId115" w:history="1">
        <w:r w:rsidRPr="00610B1B">
          <w:rPr>
            <w:rFonts w:ascii="Times New Roman" w:eastAsia="Source Han Sans CN Regular" w:hAnsi="Times New Roman" w:cs="Times New Roman"/>
            <w:color w:val="0000FF"/>
            <w:sz w:val="24"/>
            <w:szCs w:val="24"/>
            <w:u w:val="single"/>
            <w:lang w:val="bg-BG" w:eastAsia="zh-CN" w:bidi="hi-IN"/>
          </w:rPr>
          <w:t>https://www.mod.bg/bg/doc/strategicheski/20160128_Plan_za_razvitie_VS-2020.pdf</w:t>
        </w:r>
      </w:hyperlink>
      <w:r w:rsidRPr="00610B1B">
        <w:rPr>
          <w:rFonts w:ascii="Times New Roman" w:eastAsia="Source Han Sans CN Regular" w:hAnsi="Times New Roman" w:cs="Times New Roman"/>
          <w:sz w:val="24"/>
          <w:szCs w:val="24"/>
          <w:lang w:val="bg-BG" w:eastAsia="zh-CN" w:bidi="hi-IN"/>
        </w:rPr>
        <w:t xml:space="preserve">; </w:t>
      </w:r>
    </w:p>
    <w:p w14:paraId="2B4E82EA" w14:textId="75F7FDC3"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План за управление на речните басейни в Черноморски район за басейново управление на водите (2016–2021 г.), </w:t>
      </w:r>
      <w:hyperlink r:id="rId116" w:history="1">
        <w:r w:rsidRPr="00610B1B">
          <w:rPr>
            <w:rFonts w:ascii="Times New Roman" w:eastAsia="Source Han Sans CN Regular" w:hAnsi="Times New Roman" w:cs="Times New Roman"/>
            <w:color w:val="0000FF"/>
            <w:sz w:val="24"/>
            <w:szCs w:val="24"/>
            <w:u w:val="single"/>
            <w:lang w:val="bg-BG" w:eastAsia="zh-CN" w:bidi="hi-IN"/>
          </w:rPr>
          <w:t>http://www.moew.government.bg/bg/vodi/planove-za-upravlenie/planove-za-upravlenie-na-rechnite-basejni-purb/</w:t>
        </w:r>
      </w:hyperlink>
      <w:r w:rsidRPr="00610B1B">
        <w:rPr>
          <w:rFonts w:ascii="Times New Roman" w:eastAsia="Source Han Sans CN Regular" w:hAnsi="Times New Roman" w:cs="Times New Roman"/>
          <w:sz w:val="24"/>
          <w:szCs w:val="24"/>
          <w:lang w:val="bg-BG" w:eastAsia="zh-CN" w:bidi="hi-IN"/>
        </w:rPr>
        <w:t>);</w:t>
      </w:r>
      <w:r w:rsidR="00D66FE0" w:rsidRPr="00610B1B">
        <w:rPr>
          <w:rFonts w:ascii="Times New Roman" w:eastAsia="Source Han Sans CN Regular" w:hAnsi="Times New Roman" w:cs="Times New Roman"/>
          <w:sz w:val="24"/>
          <w:szCs w:val="24"/>
          <w:lang w:val="bg-BG" w:eastAsia="zh-CN" w:bidi="hi-IN"/>
        </w:rPr>
        <w:t xml:space="preserve"> </w:t>
      </w:r>
    </w:p>
    <w:p w14:paraId="59D1CA69" w14:textId="45CF0CA6" w:rsidR="00AD38A7" w:rsidRPr="00610B1B" w:rsidRDefault="00BE57CC" w:rsidP="00727372">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План за управление на риска от наводнения (2016 – 2021 г.) за Черноморски район, </w:t>
      </w:r>
      <w:hyperlink r:id="rId117" w:history="1">
        <w:r w:rsidR="00AD38A7" w:rsidRPr="00610B1B">
          <w:rPr>
            <w:rStyle w:val="Hyperlink"/>
            <w:rFonts w:ascii="Times New Roman" w:eastAsia="Source Han Sans CN Regular" w:hAnsi="Times New Roman" w:cs="Times New Roman"/>
            <w:sz w:val="24"/>
            <w:szCs w:val="24"/>
            <w:lang w:val="bg-BG" w:eastAsia="zh-CN" w:bidi="hi-IN"/>
          </w:rPr>
          <w:t>https://www.bsbd.org/bg/page_purn_bsbd.html</w:t>
        </w:r>
      </w:hyperlink>
      <w:r w:rsidRPr="00610B1B">
        <w:rPr>
          <w:rFonts w:ascii="Times New Roman" w:eastAsia="Source Han Sans CN Regular" w:hAnsi="Times New Roman" w:cs="Times New Roman"/>
          <w:sz w:val="24"/>
          <w:szCs w:val="24"/>
          <w:lang w:val="bg-BG" w:eastAsia="zh-CN" w:bidi="hi-IN"/>
        </w:rPr>
        <w:t xml:space="preserve">); </w:t>
      </w:r>
    </w:p>
    <w:p w14:paraId="08D639B6"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План на операцията по търсене и спасяване в отговорния район (ПОТС) на Р. България в Черно море (БМОРТС), изготвен от ИАМА при Министерството на транспорта, информационните технологии и съобщенията (МТИТС);</w:t>
      </w:r>
    </w:p>
    <w:p w14:paraId="1D70B63D"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Правилник за организацията и дейността по предотвратяване и ликвидиране на последствията от стихийни бедствия и крупни производствени аварии, ВМС;</w:t>
      </w:r>
    </w:p>
    <w:p w14:paraId="080C01B4"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Правилник за устройството и дейността на Междуведомствения съвет по въпросите на граничния контрол, приет с ПМС № 70/27.03.1998 г., изм. и доп. ДВ бр. 71/18.09.2012 г.;</w:t>
      </w:r>
    </w:p>
    <w:p w14:paraId="4FAA0B11"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Правилник за устройството и дейността на Министерството на вътрешните работи, ПМС № 207 от 18.07.2014 г., ДВ. бр.60/22.07.2014 г.;</w:t>
      </w:r>
    </w:p>
    <w:p w14:paraId="49775940" w14:textId="5FA9C2C8"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Правилник за устройството, функциите и дейността на Държавно предприятие "Пристанищна инфраструктура", Обн. ДВ. бр.36/10.05.2011 г., изм. и доп. ДВ</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бр.37/22.05.2015 г.;</w:t>
      </w:r>
    </w:p>
    <w:p w14:paraId="02A7D06F"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Предварителен ситуационен план за съвместни действия на Военноморските сили и Регионална дирекция „Гранична полиция” Бургас при осъществяване на граничен контрол на морската държавна граница, рег. № 2777от 20.05.2016 г.</w:t>
      </w:r>
    </w:p>
    <w:p w14:paraId="7AF3E02D" w14:textId="3382CCDA"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Програма за мониторинг на ИО-БАН. ИО-БАН: Български център за океанографски данни. </w:t>
      </w:r>
      <w:hyperlink r:id="rId118" w:history="1">
        <w:r w:rsidRPr="00610B1B">
          <w:rPr>
            <w:rFonts w:ascii="Times New Roman" w:eastAsia="Source Han Sans CN Regular" w:hAnsi="Times New Roman" w:cs="Times New Roman"/>
            <w:color w:val="0000FF"/>
            <w:sz w:val="24"/>
            <w:szCs w:val="24"/>
            <w:u w:val="single"/>
            <w:lang w:val="bg-BG" w:eastAsia="zh-CN" w:bidi="hi-IN"/>
          </w:rPr>
          <w:t>http</w:t>
        </w:r>
      </w:hyperlink>
      <w:hyperlink r:id="rId119">
        <w:r w:rsidRPr="00610B1B">
          <w:rPr>
            <w:rFonts w:ascii="Times New Roman" w:eastAsia="Source Han Sans CN Regular" w:hAnsi="Times New Roman" w:cs="Times New Roman"/>
            <w:sz w:val="24"/>
            <w:szCs w:val="24"/>
            <w:lang w:val="bg-BG" w:eastAsia="zh-CN" w:bidi="hi-IN"/>
          </w:rPr>
          <w:t>://</w:t>
        </w:r>
      </w:hyperlink>
      <w:hyperlink r:id="rId120">
        <w:r w:rsidRPr="00610B1B">
          <w:rPr>
            <w:rFonts w:ascii="Times New Roman" w:eastAsia="Source Han Sans CN Regular" w:hAnsi="Times New Roman" w:cs="Times New Roman"/>
            <w:sz w:val="24"/>
            <w:szCs w:val="24"/>
            <w:lang w:val="bg-BG" w:eastAsia="zh-CN" w:bidi="hi-IN"/>
          </w:rPr>
          <w:t>bgodc</w:t>
        </w:r>
      </w:hyperlink>
      <w:hyperlink r:id="rId121">
        <w:r w:rsidRPr="00610B1B">
          <w:rPr>
            <w:rFonts w:ascii="Times New Roman" w:eastAsia="Source Han Sans CN Regular" w:hAnsi="Times New Roman" w:cs="Times New Roman"/>
            <w:sz w:val="24"/>
            <w:szCs w:val="24"/>
            <w:lang w:val="bg-BG" w:eastAsia="zh-CN" w:bidi="hi-IN"/>
          </w:rPr>
          <w:t>.</w:t>
        </w:r>
      </w:hyperlink>
      <w:hyperlink r:id="rId122">
        <w:r w:rsidRPr="00610B1B">
          <w:rPr>
            <w:rFonts w:ascii="Times New Roman" w:eastAsia="Source Han Sans CN Regular" w:hAnsi="Times New Roman" w:cs="Times New Roman"/>
            <w:sz w:val="24"/>
            <w:szCs w:val="24"/>
            <w:lang w:val="bg-BG" w:eastAsia="zh-CN" w:bidi="hi-IN"/>
          </w:rPr>
          <w:t>io</w:t>
        </w:r>
      </w:hyperlink>
      <w:hyperlink r:id="rId123">
        <w:r w:rsidRPr="00610B1B">
          <w:rPr>
            <w:rFonts w:ascii="Times New Roman" w:eastAsia="Source Han Sans CN Regular" w:hAnsi="Times New Roman" w:cs="Times New Roman"/>
            <w:sz w:val="24"/>
            <w:szCs w:val="24"/>
            <w:lang w:val="bg-BG" w:eastAsia="zh-CN" w:bidi="hi-IN"/>
          </w:rPr>
          <w:t>-</w:t>
        </w:r>
      </w:hyperlink>
      <w:hyperlink r:id="rId124">
        <w:r w:rsidRPr="00610B1B">
          <w:rPr>
            <w:rFonts w:ascii="Times New Roman" w:eastAsia="Source Han Sans CN Regular" w:hAnsi="Times New Roman" w:cs="Times New Roman"/>
            <w:sz w:val="24"/>
            <w:szCs w:val="24"/>
            <w:lang w:val="bg-BG" w:eastAsia="zh-CN" w:bidi="hi-IN"/>
          </w:rPr>
          <w:t>bas</w:t>
        </w:r>
      </w:hyperlink>
      <w:hyperlink r:id="rId125">
        <w:r w:rsidRPr="00610B1B">
          <w:rPr>
            <w:rFonts w:ascii="Times New Roman" w:eastAsia="Source Han Sans CN Regular" w:hAnsi="Times New Roman" w:cs="Times New Roman"/>
            <w:sz w:val="24"/>
            <w:szCs w:val="24"/>
            <w:lang w:val="bg-BG" w:eastAsia="zh-CN" w:bidi="hi-IN"/>
          </w:rPr>
          <w:t>.</w:t>
        </w:r>
      </w:hyperlink>
      <w:hyperlink r:id="rId126">
        <w:r w:rsidRPr="00610B1B">
          <w:rPr>
            <w:rFonts w:ascii="Times New Roman" w:eastAsia="Source Han Sans CN Regular" w:hAnsi="Times New Roman" w:cs="Times New Roman"/>
            <w:sz w:val="24"/>
            <w:szCs w:val="24"/>
            <w:lang w:val="bg-BG" w:eastAsia="zh-CN" w:bidi="hi-IN"/>
          </w:rPr>
          <w:t>bg</w:t>
        </w:r>
      </w:hyperlink>
      <w:hyperlink r:id="rId127">
        <w:r w:rsidRPr="00610B1B">
          <w:rPr>
            <w:rFonts w:ascii="Times New Roman" w:eastAsia="Source Han Sans CN Regular" w:hAnsi="Times New Roman" w:cs="Times New Roman"/>
            <w:sz w:val="24"/>
            <w:szCs w:val="24"/>
            <w:lang w:val="bg-BG" w:eastAsia="zh-CN" w:bidi="hi-IN"/>
          </w:rPr>
          <w:t>/</w:t>
        </w:r>
      </w:hyperlink>
      <w:hyperlink r:id="rId128">
        <w:r w:rsidRPr="00610B1B">
          <w:rPr>
            <w:rFonts w:ascii="Times New Roman" w:eastAsia="Source Han Sans CN Regular" w:hAnsi="Times New Roman" w:cs="Times New Roman"/>
            <w:sz w:val="24"/>
            <w:szCs w:val="24"/>
            <w:lang w:val="bg-BG" w:eastAsia="zh-CN" w:bidi="hi-IN"/>
          </w:rPr>
          <w:t>documents</w:t>
        </w:r>
      </w:hyperlink>
      <w:hyperlink r:id="rId129">
        <w:r w:rsidRPr="00610B1B">
          <w:rPr>
            <w:rFonts w:ascii="Times New Roman" w:eastAsia="Source Han Sans CN Regular" w:hAnsi="Times New Roman" w:cs="Times New Roman"/>
            <w:sz w:val="24"/>
            <w:szCs w:val="24"/>
            <w:lang w:val="bg-BG" w:eastAsia="zh-CN" w:bidi="hi-IN"/>
          </w:rPr>
          <w:t>/</w:t>
        </w:r>
      </w:hyperlink>
      <w:r w:rsidR="00DB5CC7"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w:t>
      </w:r>
    </w:p>
    <w:p w14:paraId="164E6509" w14:textId="3BF9A5FB" w:rsidR="00BE57CC" w:rsidRPr="00610B1B" w:rsidRDefault="00BE57CC" w:rsidP="00DE3A13">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Програма за развитие на отбранителните способности на Въоръжените сили на Република България 2020, </w:t>
      </w:r>
      <w:hyperlink r:id="rId130" w:history="1">
        <w:r w:rsidRPr="00610B1B">
          <w:rPr>
            <w:rFonts w:ascii="Times New Roman" w:eastAsia="Source Han Sans CN Regular" w:hAnsi="Times New Roman" w:cs="Times New Roman"/>
            <w:color w:val="0000FF"/>
            <w:sz w:val="24"/>
            <w:szCs w:val="24"/>
            <w:u w:val="single"/>
            <w:lang w:val="bg-BG" w:eastAsia="zh-CN" w:bidi="hi-IN"/>
          </w:rPr>
          <w:t>https://www.mod.bg/bg/doc/strategicheski</w:t>
        </w:r>
      </w:hyperlink>
      <w:r w:rsidRPr="00610B1B">
        <w:rPr>
          <w:rFonts w:ascii="Times New Roman" w:eastAsia="Source Han Sans CN Regular" w:hAnsi="Times New Roman" w:cs="Times New Roman"/>
          <w:sz w:val="24"/>
          <w:szCs w:val="24"/>
          <w:lang w:val="bg-BG" w:eastAsia="zh-CN" w:bidi="hi-IN"/>
        </w:rPr>
        <w:t xml:space="preserve">; </w:t>
      </w:r>
    </w:p>
    <w:p w14:paraId="5886D9C4" w14:textId="73615F6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Регионален план за развитие на Североизточен район от ниво 2</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 xml:space="preserve">2014-2020 г. </w:t>
      </w:r>
      <w:hyperlink r:id="rId131" w:history="1">
        <w:r w:rsidRPr="00610B1B">
          <w:rPr>
            <w:rFonts w:ascii="Times New Roman" w:eastAsia="Source Han Sans CN Regular" w:hAnsi="Times New Roman" w:cs="Times New Roman"/>
            <w:color w:val="0000FF"/>
            <w:sz w:val="24"/>
            <w:szCs w:val="24"/>
            <w:u w:val="single"/>
            <w:lang w:val="bg-BG" w:eastAsia="zh-CN" w:bidi="hi-IN"/>
          </w:rPr>
          <w:t>http://www.mrrb.government.bg/bg/regionalni-planove-za-razvitie-na-rajonite-ot-nivo-2-za-perioda-2014-2020-g-prieti-s-reshenie-na-ms/</w:t>
        </w:r>
      </w:hyperlink>
      <w:r w:rsidRPr="00610B1B">
        <w:rPr>
          <w:rFonts w:ascii="Times New Roman" w:eastAsia="Source Han Sans CN Regular" w:hAnsi="Times New Roman" w:cs="Times New Roman"/>
          <w:sz w:val="24"/>
          <w:szCs w:val="24"/>
          <w:lang w:val="bg-BG" w:eastAsia="zh-CN" w:bidi="hi-IN"/>
        </w:rPr>
        <w:t xml:space="preserve">); </w:t>
      </w:r>
    </w:p>
    <w:p w14:paraId="485D29B1" w14:textId="7995EEB9"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Регионален план за развитие на Югоизточен район от ниво 2 (2014-2020 г.) </w:t>
      </w:r>
      <w:hyperlink r:id="rId132" w:history="1">
        <w:r w:rsidRPr="00610B1B">
          <w:rPr>
            <w:rFonts w:ascii="Times New Roman" w:eastAsia="Source Han Sans CN Regular" w:hAnsi="Times New Roman" w:cs="Times New Roman"/>
            <w:color w:val="0000FF"/>
            <w:sz w:val="24"/>
            <w:szCs w:val="24"/>
            <w:u w:val="single"/>
            <w:lang w:val="bg-BG" w:eastAsia="zh-CN" w:bidi="hi-IN"/>
          </w:rPr>
          <w:t>http://www.mrrb.government.bg/bg/regionalni-planove-za-razvitie-na-rajonite-ot-nivo-2-za-perioda-2014-2020-g-prieti-s-reshenie-na-ms/</w:t>
        </w:r>
      </w:hyperlink>
      <w:r w:rsidRPr="00610B1B">
        <w:rPr>
          <w:rFonts w:ascii="Times New Roman" w:eastAsia="Source Han Sans CN Regular" w:hAnsi="Times New Roman" w:cs="Times New Roman"/>
          <w:sz w:val="24"/>
          <w:szCs w:val="24"/>
          <w:lang w:val="bg-BG" w:eastAsia="zh-CN" w:bidi="hi-IN"/>
        </w:rPr>
        <w:t xml:space="preserve">); </w:t>
      </w:r>
    </w:p>
    <w:p w14:paraId="39153DF3"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Споразумение за сътрудничество относно морското търсене и спасяване между черноморските крайбрежни държави, ДВ, бр. 58 от 2004 г., в сила за Република България от 24.04.2010 г.;</w:t>
      </w:r>
    </w:p>
    <w:p w14:paraId="7EF65429" w14:textId="07F4163D"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Стратегия за дейностите по търсене и спасяване на море в Република България (</w:t>
      </w:r>
      <w:hyperlink r:id="rId133" w:history="1">
        <w:r w:rsidR="00DB5CC7" w:rsidRPr="00610B1B">
          <w:rPr>
            <w:rStyle w:val="Hyperlink"/>
            <w:rFonts w:ascii="Times New Roman" w:eastAsia="Source Han Sans CN Regular" w:hAnsi="Times New Roman" w:cs="Times New Roman"/>
            <w:sz w:val="24"/>
            <w:szCs w:val="24"/>
            <w:lang w:val="bg-BG" w:eastAsia="zh-CN" w:bidi="hi-IN"/>
          </w:rPr>
          <w:t>www.marad.bg/upload/docs/SAR_Strategy.doc</w:t>
        </w:r>
      </w:hyperlink>
      <w:r w:rsidRPr="00610B1B">
        <w:rPr>
          <w:rFonts w:ascii="Times New Roman" w:eastAsia="Source Han Sans CN Regular" w:hAnsi="Times New Roman" w:cs="Times New Roman"/>
          <w:sz w:val="24"/>
          <w:szCs w:val="24"/>
          <w:lang w:val="bg-BG" w:eastAsia="zh-CN" w:bidi="hi-IN"/>
        </w:rPr>
        <w:t xml:space="preserve">) </w:t>
      </w:r>
    </w:p>
    <w:p w14:paraId="78FCD516" w14:textId="31F1F1F8" w:rsidR="00254155" w:rsidRPr="00610B1B" w:rsidRDefault="00254155" w:rsidP="00254155">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Стратегия за безопасност на корабоплаването и опазване на околната среда от замърсяване от кораби, одобрена с Решение № 420 на Министерския съвет от 26 юни 2020 г.;</w:t>
      </w:r>
    </w:p>
    <w:p w14:paraId="4B07B4A3"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Устройствен правилник на ИА "Морска администрация", (обн. ДВ. бр. 33/08.05.2015 г., изм. и доп. ДВ. бр. 70/24.08.2018 г.); </w:t>
      </w:r>
    </w:p>
    <w:p w14:paraId="01A9A1EB" w14:textId="77777777"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Устройствен правилник на Министерството на транспорта, информационните технологии и съобщенията, Приет с ПМС № 232 от 28.09.2009 г., (обн., ДВ, бр. 78/02.10.2009 г., изм., бр. 92 от 27.11.2015 г.), </w:t>
      </w:r>
    </w:p>
    <w:p w14:paraId="63B55989" w14:textId="3A05CC58" w:rsidR="00BE57CC" w:rsidRPr="00610B1B" w:rsidRDefault="00BE57CC" w:rsidP="00BE57CC">
      <w:pPr>
        <w:widowControl w:val="0"/>
        <w:numPr>
          <w:ilvl w:val="0"/>
          <w:numId w:val="96"/>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Spatial Plan for the German Exclusive Economic Zone in the Baltic Sea </w:t>
      </w:r>
      <w:hyperlink r:id="rId134" w:history="1">
        <w:r w:rsidRPr="00610B1B">
          <w:rPr>
            <w:rFonts w:ascii="Times New Roman" w:eastAsia="Source Han Sans CN Regular" w:hAnsi="Times New Roman" w:cs="Times New Roman"/>
            <w:color w:val="0000FF"/>
            <w:sz w:val="24"/>
            <w:szCs w:val="24"/>
            <w:u w:val="single"/>
            <w:lang w:val="bg-BG" w:eastAsia="zh-CN" w:bidi="hi-IN"/>
          </w:rPr>
          <w:t>http://www.bsh.de/en/Marine_uses/Spatial_Planning_in_the_German_EEZ/documents2/Spatial_Plan_Baltic_Sea.pdf</w:t>
        </w:r>
      </w:hyperlink>
      <w:r w:rsidRPr="00610B1B">
        <w:rPr>
          <w:rFonts w:ascii="Times New Roman" w:eastAsia="Source Han Sans CN Regular" w:hAnsi="Times New Roman" w:cs="Times New Roman"/>
          <w:sz w:val="24"/>
          <w:szCs w:val="24"/>
          <w:lang w:val="bg-BG" w:eastAsia="zh-CN" w:bidi="hi-IN"/>
        </w:rPr>
        <w:t xml:space="preserve">); </w:t>
      </w:r>
    </w:p>
    <w:p w14:paraId="7E4C5599" w14:textId="0B7D2FED" w:rsidR="00BE57CC" w:rsidRPr="00610B1B" w:rsidRDefault="00BE57CC" w:rsidP="004567E9">
      <w:pPr>
        <w:widowControl w:val="0"/>
        <w:numPr>
          <w:ilvl w:val="0"/>
          <w:numId w:val="96"/>
        </w:numPr>
        <w:spacing w:after="0" w:line="240" w:lineRule="auto"/>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 Spatial Plan for the German Exclusive Economic Zone in the North Sea </w:t>
      </w:r>
      <w:hyperlink r:id="rId135" w:history="1">
        <w:r w:rsidR="00BF58D9" w:rsidRPr="00610B1B">
          <w:rPr>
            <w:rStyle w:val="Hyperlink"/>
            <w:rFonts w:ascii="Times New Roman" w:eastAsia="Source Han Sans CN Regular" w:hAnsi="Times New Roman" w:cs="Times New Roman"/>
            <w:sz w:val="24"/>
            <w:szCs w:val="24"/>
            <w:lang w:val="bg-BG" w:eastAsia="zh-CN" w:bidi="hi-IN"/>
          </w:rPr>
          <w:t>http://www.bsh.de/en/Marine_uses/Spatial_Planning_in_the_German_EEZ/documents2/Spatial_Plan_North_Sea.pdf</w:t>
        </w:r>
      </w:hyperlink>
      <w:r w:rsidRPr="00610B1B">
        <w:rPr>
          <w:rFonts w:ascii="Times New Roman" w:eastAsia="Source Han Sans CN Regular" w:hAnsi="Times New Roman" w:cs="Times New Roman"/>
          <w:sz w:val="24"/>
          <w:szCs w:val="24"/>
          <w:lang w:val="bg-BG" w:eastAsia="zh-CN" w:bidi="hi-IN"/>
        </w:rPr>
        <w:t xml:space="preserve">); </w:t>
      </w:r>
    </w:p>
    <w:p w14:paraId="517CC053" w14:textId="77777777" w:rsidR="00BE57CC" w:rsidRPr="00610B1B" w:rsidRDefault="00BE57CC" w:rsidP="00BE57CC">
      <w:pPr>
        <w:keepNext/>
        <w:widowControl w:val="0"/>
        <w:numPr>
          <w:ilvl w:val="1"/>
          <w:numId w:val="1"/>
        </w:numPr>
        <w:spacing w:after="120"/>
        <w:ind w:right="-153"/>
        <w:outlineLvl w:val="1"/>
        <w:rPr>
          <w:rFonts w:ascii="Times New Roman" w:eastAsia="Source Han Sans CN Regular" w:hAnsi="Times New Roman" w:cs="Times New Roman"/>
          <w:b/>
          <w:bCs/>
          <w:color w:val="0F243E" w:themeColor="text2" w:themeShade="80"/>
          <w:sz w:val="32"/>
          <w:szCs w:val="32"/>
          <w:lang w:val="bg-BG" w:eastAsia="zh-CN" w:bidi="hi-IN"/>
        </w:rPr>
      </w:pPr>
      <w:bookmarkStart w:id="537" w:name="_Toc56961588"/>
      <w:bookmarkStart w:id="538" w:name="_Toc83391460"/>
      <w:r w:rsidRPr="00610B1B">
        <w:rPr>
          <w:rFonts w:ascii="Times New Roman" w:eastAsia="Source Han Sans CN Regular" w:hAnsi="Times New Roman" w:cs="Times New Roman"/>
          <w:b/>
          <w:bCs/>
          <w:color w:val="0F243E" w:themeColor="text2" w:themeShade="80"/>
          <w:sz w:val="32"/>
          <w:szCs w:val="32"/>
          <w:lang w:val="bg-BG" w:eastAsia="zh-CN" w:bidi="hi-IN"/>
        </w:rPr>
        <w:lastRenderedPageBreak/>
        <w:t>11.5. Други</w:t>
      </w:r>
      <w:bookmarkEnd w:id="537"/>
      <w:bookmarkEnd w:id="538"/>
    </w:p>
    <w:p w14:paraId="39EAFFCD" w14:textId="5CA45669" w:rsidR="00BE57CC" w:rsidRPr="00610B1B" w:rsidRDefault="00BE57CC" w:rsidP="00BE57CC">
      <w:pPr>
        <w:widowControl w:val="0"/>
        <w:numPr>
          <w:ilvl w:val="0"/>
          <w:numId w:val="97"/>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Анализ на състоянието на морската околна среда - 2017 г.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Споразумение № Д-33-36/28.05.2018 г. между МОСВ и ИО-БАН за изпълнение на задължения по извършване на мониторинг на Черно море, на основание чл. 171, ал.2, т.3 от Закона за водите</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ИО-БАН, БДЧР, Варна, България. </w:t>
      </w:r>
      <w:hyperlink r:id="rId136" w:history="1">
        <w:r w:rsidRPr="00610B1B">
          <w:rPr>
            <w:rFonts w:ascii="Times New Roman" w:eastAsia="Source Han Sans CN Regular" w:hAnsi="Times New Roman" w:cs="Times New Roman"/>
            <w:sz w:val="24"/>
            <w:szCs w:val="24"/>
            <w:lang w:val="bg-BG" w:eastAsia="zh-CN" w:bidi="hi-IN"/>
          </w:rPr>
          <w:t>http://bgodc.io-bas.bg/documents/2018/</w:t>
        </w:r>
      </w:hyperlink>
      <w:r w:rsidRPr="00610B1B">
        <w:rPr>
          <w:rFonts w:ascii="Times New Roman" w:eastAsia="Source Han Sans CN Regular" w:hAnsi="Times New Roman" w:cs="Times New Roman"/>
          <w:sz w:val="24"/>
          <w:szCs w:val="24"/>
          <w:lang w:val="bg-BG" w:eastAsia="zh-CN" w:bidi="hi-IN"/>
        </w:rPr>
        <w:t>;</w:t>
      </w:r>
    </w:p>
    <w:p w14:paraId="0764388A" w14:textId="77777777" w:rsidR="00BE57CC" w:rsidRPr="00610B1B" w:rsidRDefault="00BE57CC" w:rsidP="00BE57CC">
      <w:pPr>
        <w:widowControl w:val="0"/>
        <w:numPr>
          <w:ilvl w:val="0"/>
          <w:numId w:val="97"/>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Годишен доклад за усилието през 2018 г. за постигане на устойчив баланс между риболовния капацитет и риболовните възможности, ИАРА, декември 2018;</w:t>
      </w:r>
    </w:p>
    <w:p w14:paraId="2AD9AA2D" w14:textId="2793E6A4" w:rsidR="00BE57CC" w:rsidRPr="00610B1B" w:rsidRDefault="00BE57CC" w:rsidP="00BE57CC">
      <w:pPr>
        <w:widowControl w:val="0"/>
        <w:numPr>
          <w:ilvl w:val="0"/>
          <w:numId w:val="97"/>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Национален доклад за състоянието и опазването на околната среда. София. МОСВ, ИАОС, 2019. </w:t>
      </w:r>
      <w:hyperlink r:id="rId137" w:history="1">
        <w:r w:rsidRPr="00610B1B">
          <w:rPr>
            <w:rFonts w:ascii="Times New Roman" w:eastAsia="Source Han Sans CN Regular" w:hAnsi="Times New Roman" w:cs="Times New Roman"/>
            <w:color w:val="0000FF"/>
            <w:sz w:val="24"/>
            <w:szCs w:val="24"/>
            <w:u w:val="single"/>
            <w:lang w:val="bg-BG" w:eastAsia="zh-CN" w:bidi="hi-IN"/>
          </w:rPr>
          <w:t>http://eea.government.bg/bg/soer/2017</w:t>
        </w:r>
      </w:hyperlink>
      <w:r w:rsidRPr="00610B1B">
        <w:rPr>
          <w:rFonts w:ascii="Times New Roman" w:eastAsia="Source Han Sans CN Regular" w:hAnsi="Times New Roman" w:cs="Times New Roman"/>
          <w:sz w:val="24"/>
          <w:szCs w:val="24"/>
          <w:lang w:val="bg-BG" w:eastAsia="zh-CN" w:bidi="hi-IN"/>
        </w:rPr>
        <w:t>;</w:t>
      </w:r>
      <w:r w:rsidR="00D66FE0" w:rsidRPr="00610B1B">
        <w:rPr>
          <w:rFonts w:ascii="Times New Roman" w:eastAsia="Source Han Sans CN Regular" w:hAnsi="Times New Roman" w:cs="Times New Roman"/>
          <w:sz w:val="24"/>
          <w:szCs w:val="24"/>
          <w:lang w:val="bg-BG" w:eastAsia="zh-CN" w:bidi="hi-IN"/>
        </w:rPr>
        <w:t xml:space="preserve"> </w:t>
      </w:r>
    </w:p>
    <w:p w14:paraId="7B6241FB" w14:textId="77777777" w:rsidR="00BE57CC" w:rsidRPr="00610B1B" w:rsidRDefault="00BE57CC" w:rsidP="00BE57CC">
      <w:pPr>
        <w:widowControl w:val="0"/>
        <w:numPr>
          <w:ilvl w:val="0"/>
          <w:numId w:val="97"/>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Натура 2000. Стандартен формуляр за набиране на данни за специално защитени зони, за обекти, подлежащи на идентифициране като места от специален интерес за общността и за зони под специална защита;</w:t>
      </w:r>
    </w:p>
    <w:p w14:paraId="699B31F3" w14:textId="0D349105" w:rsidR="00BE57CC" w:rsidRPr="00610B1B" w:rsidRDefault="00BE57CC" w:rsidP="00DE3A13">
      <w:pPr>
        <w:widowControl w:val="0"/>
        <w:numPr>
          <w:ilvl w:val="0"/>
          <w:numId w:val="97"/>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Оценка на актуалното състояние на водите в Черноморски басейнов район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годишни доклади</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БДЧР, 2010-2017. Варна. </w:t>
      </w:r>
      <w:hyperlink r:id="rId138">
        <w:r w:rsidRPr="00610B1B">
          <w:rPr>
            <w:rFonts w:ascii="Times New Roman" w:eastAsia="Source Han Sans CN Regular" w:hAnsi="Times New Roman" w:cs="Times New Roman"/>
            <w:sz w:val="24"/>
            <w:szCs w:val="24"/>
            <w:lang w:val="bg-BG" w:eastAsia="zh-CN" w:bidi="hi-IN"/>
          </w:rPr>
          <w:t>https</w:t>
        </w:r>
      </w:hyperlink>
      <w:hyperlink r:id="rId139">
        <w:r w:rsidRPr="00610B1B">
          <w:rPr>
            <w:rFonts w:ascii="Times New Roman" w:eastAsia="Source Han Sans CN Regular" w:hAnsi="Times New Roman" w:cs="Times New Roman"/>
            <w:sz w:val="24"/>
            <w:szCs w:val="24"/>
            <w:lang w:val="bg-BG" w:eastAsia="zh-CN" w:bidi="hi-IN"/>
          </w:rPr>
          <w:t>://</w:t>
        </w:r>
      </w:hyperlink>
      <w:hyperlink r:id="rId140">
        <w:r w:rsidRPr="00610B1B">
          <w:rPr>
            <w:rFonts w:ascii="Times New Roman" w:eastAsia="Source Han Sans CN Regular" w:hAnsi="Times New Roman" w:cs="Times New Roman"/>
            <w:sz w:val="24"/>
            <w:szCs w:val="24"/>
            <w:lang w:val="bg-BG" w:eastAsia="zh-CN" w:bidi="hi-IN"/>
          </w:rPr>
          <w:t>bsbd</w:t>
        </w:r>
      </w:hyperlink>
      <w:hyperlink r:id="rId141">
        <w:r w:rsidRPr="00610B1B">
          <w:rPr>
            <w:rFonts w:ascii="Times New Roman" w:eastAsia="Source Han Sans CN Regular" w:hAnsi="Times New Roman" w:cs="Times New Roman"/>
            <w:sz w:val="24"/>
            <w:szCs w:val="24"/>
            <w:lang w:val="bg-BG" w:eastAsia="zh-CN" w:bidi="hi-IN"/>
          </w:rPr>
          <w:t>.</w:t>
        </w:r>
      </w:hyperlink>
      <w:hyperlink r:id="rId142">
        <w:r w:rsidRPr="00610B1B">
          <w:rPr>
            <w:rFonts w:ascii="Times New Roman" w:eastAsia="Source Han Sans CN Regular" w:hAnsi="Times New Roman" w:cs="Times New Roman"/>
            <w:sz w:val="24"/>
            <w:szCs w:val="24"/>
            <w:lang w:val="bg-BG" w:eastAsia="zh-CN" w:bidi="hi-IN"/>
          </w:rPr>
          <w:t>org</w:t>
        </w:r>
      </w:hyperlink>
      <w:hyperlink r:id="rId143">
        <w:r w:rsidRPr="00610B1B">
          <w:rPr>
            <w:rFonts w:ascii="Times New Roman" w:eastAsia="Source Han Sans CN Regular" w:hAnsi="Times New Roman" w:cs="Times New Roman"/>
            <w:sz w:val="24"/>
            <w:szCs w:val="24"/>
            <w:lang w:val="bg-BG" w:eastAsia="zh-CN" w:bidi="hi-IN"/>
          </w:rPr>
          <w:t>/</w:t>
        </w:r>
      </w:hyperlink>
      <w:hyperlink r:id="rId144">
        <w:r w:rsidRPr="00610B1B">
          <w:rPr>
            <w:rFonts w:ascii="Times New Roman" w:eastAsia="Source Han Sans CN Regular" w:hAnsi="Times New Roman" w:cs="Times New Roman"/>
            <w:sz w:val="24"/>
            <w:szCs w:val="24"/>
            <w:lang w:val="bg-BG" w:eastAsia="zh-CN" w:bidi="hi-IN"/>
          </w:rPr>
          <w:t>bg</w:t>
        </w:r>
      </w:hyperlink>
      <w:hyperlink r:id="rId145">
        <w:r w:rsidRPr="00610B1B">
          <w:rPr>
            <w:rFonts w:ascii="Times New Roman" w:eastAsia="Source Han Sans CN Regular" w:hAnsi="Times New Roman" w:cs="Times New Roman"/>
            <w:sz w:val="24"/>
            <w:szCs w:val="24"/>
            <w:lang w:val="bg-BG" w:eastAsia="zh-CN" w:bidi="hi-IN"/>
          </w:rPr>
          <w:t>/</w:t>
        </w:r>
      </w:hyperlink>
      <w:hyperlink r:id="rId146">
        <w:r w:rsidRPr="00610B1B">
          <w:rPr>
            <w:rFonts w:ascii="Times New Roman" w:eastAsia="Source Han Sans CN Regular" w:hAnsi="Times New Roman" w:cs="Times New Roman"/>
            <w:sz w:val="24"/>
            <w:szCs w:val="24"/>
            <w:lang w:val="bg-BG" w:eastAsia="zh-CN" w:bidi="hi-IN"/>
          </w:rPr>
          <w:t>index_bg_</w:t>
        </w:r>
      </w:hyperlink>
      <w:hyperlink r:id="rId147">
        <w:r w:rsidRPr="00610B1B">
          <w:rPr>
            <w:rFonts w:ascii="Times New Roman" w:eastAsia="Source Han Sans CN Regular" w:hAnsi="Times New Roman" w:cs="Times New Roman"/>
            <w:sz w:val="24"/>
            <w:szCs w:val="24"/>
            <w:lang w:val="bg-BG" w:eastAsia="zh-CN" w:bidi="hi-IN"/>
          </w:rPr>
          <w:t>1668393.</w:t>
        </w:r>
      </w:hyperlink>
      <w:hyperlink r:id="rId148">
        <w:r w:rsidRPr="00610B1B">
          <w:rPr>
            <w:rFonts w:ascii="Times New Roman" w:eastAsia="Source Han Sans CN Regular" w:hAnsi="Times New Roman" w:cs="Times New Roman"/>
            <w:sz w:val="24"/>
            <w:szCs w:val="24"/>
            <w:lang w:val="bg-BG" w:eastAsia="zh-CN" w:bidi="hi-IN"/>
          </w:rPr>
          <w:t>html</w:t>
        </w:r>
      </w:hyperlink>
      <w:r w:rsidR="00D66FE0" w:rsidRPr="00610B1B">
        <w:rPr>
          <w:rFonts w:ascii="Times New Roman" w:eastAsia="Source Han Sans CN Regular" w:hAnsi="Times New Roman" w:cs="Times New Roman"/>
          <w:sz w:val="24"/>
          <w:szCs w:val="24"/>
          <w:lang w:val="bg-BG" w:eastAsia="zh-CN" w:bidi="hi-IN"/>
        </w:rPr>
        <w:t xml:space="preserve"> </w:t>
      </w:r>
    </w:p>
    <w:p w14:paraId="01D82CEB" w14:textId="290F428D" w:rsidR="00BE57CC" w:rsidRPr="00610B1B" w:rsidRDefault="00BE57CC" w:rsidP="00BE57CC">
      <w:pPr>
        <w:widowControl w:val="0"/>
        <w:numPr>
          <w:ilvl w:val="0"/>
          <w:numId w:val="97"/>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Оценка на въздействието върху околната и социална среда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ОВОСС</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на проект за Морски газопровод „Южен поток“ - Български участък, 2014. South Stream Transport B.V. </w:t>
      </w:r>
      <w:hyperlink r:id="rId149">
        <w:r w:rsidRPr="00610B1B">
          <w:rPr>
            <w:rFonts w:ascii="Times New Roman" w:eastAsia="Source Han Sans CN Regular" w:hAnsi="Times New Roman" w:cs="Times New Roman"/>
            <w:sz w:val="24"/>
            <w:szCs w:val="24"/>
            <w:lang w:val="bg-BG" w:eastAsia="zh-CN" w:bidi="hi-IN"/>
          </w:rPr>
          <w:t>https</w:t>
        </w:r>
      </w:hyperlink>
      <w:hyperlink r:id="rId150">
        <w:r w:rsidRPr="00610B1B">
          <w:rPr>
            <w:rFonts w:ascii="Times New Roman" w:eastAsia="Source Han Sans CN Regular" w:hAnsi="Times New Roman" w:cs="Times New Roman"/>
            <w:sz w:val="24"/>
            <w:szCs w:val="24"/>
            <w:lang w:val="bg-BG" w:eastAsia="zh-CN" w:bidi="hi-IN"/>
          </w:rPr>
          <w:t>://</w:t>
        </w:r>
      </w:hyperlink>
      <w:hyperlink r:id="rId151">
        <w:r w:rsidRPr="00610B1B">
          <w:rPr>
            <w:rFonts w:ascii="Times New Roman" w:eastAsia="Source Han Sans CN Regular" w:hAnsi="Times New Roman" w:cs="Times New Roman"/>
            <w:sz w:val="24"/>
            <w:szCs w:val="24"/>
            <w:lang w:val="bg-BG" w:eastAsia="zh-CN" w:bidi="hi-IN"/>
          </w:rPr>
          <w:t>www</w:t>
        </w:r>
      </w:hyperlink>
      <w:hyperlink r:id="rId152">
        <w:r w:rsidRPr="00610B1B">
          <w:rPr>
            <w:rFonts w:ascii="Times New Roman" w:eastAsia="Source Han Sans CN Regular" w:hAnsi="Times New Roman" w:cs="Times New Roman"/>
            <w:sz w:val="24"/>
            <w:szCs w:val="24"/>
            <w:lang w:val="bg-BG" w:eastAsia="zh-CN" w:bidi="hi-IN"/>
          </w:rPr>
          <w:t>.</w:t>
        </w:r>
      </w:hyperlink>
      <w:hyperlink r:id="rId153">
        <w:r w:rsidRPr="00610B1B">
          <w:rPr>
            <w:rFonts w:ascii="Times New Roman" w:eastAsia="Source Han Sans CN Regular" w:hAnsi="Times New Roman" w:cs="Times New Roman"/>
            <w:sz w:val="24"/>
            <w:szCs w:val="24"/>
            <w:lang w:val="bg-BG" w:eastAsia="zh-CN" w:bidi="hi-IN"/>
          </w:rPr>
          <w:t>south</w:t>
        </w:r>
      </w:hyperlink>
      <w:hyperlink r:id="rId154">
        <w:r w:rsidRPr="00610B1B">
          <w:rPr>
            <w:rFonts w:ascii="Times New Roman" w:eastAsia="Source Han Sans CN Regular" w:hAnsi="Times New Roman" w:cs="Times New Roman"/>
            <w:sz w:val="24"/>
            <w:szCs w:val="24"/>
            <w:lang w:val="bg-BG" w:eastAsia="zh-CN" w:bidi="hi-IN"/>
          </w:rPr>
          <w:t>-</w:t>
        </w:r>
      </w:hyperlink>
      <w:hyperlink r:id="rId155">
        <w:r w:rsidRPr="00610B1B">
          <w:rPr>
            <w:rFonts w:ascii="Times New Roman" w:eastAsia="Source Han Sans CN Regular" w:hAnsi="Times New Roman" w:cs="Times New Roman"/>
            <w:sz w:val="24"/>
            <w:szCs w:val="24"/>
            <w:lang w:val="bg-BG" w:eastAsia="zh-CN" w:bidi="hi-IN"/>
          </w:rPr>
          <w:t>stream</w:t>
        </w:r>
      </w:hyperlink>
      <w:hyperlink r:id="rId156">
        <w:r w:rsidRPr="00610B1B">
          <w:rPr>
            <w:rFonts w:ascii="Times New Roman" w:eastAsia="Source Han Sans CN Regular" w:hAnsi="Times New Roman" w:cs="Times New Roman"/>
            <w:sz w:val="24"/>
            <w:szCs w:val="24"/>
            <w:lang w:val="bg-BG" w:eastAsia="zh-CN" w:bidi="hi-IN"/>
          </w:rPr>
          <w:t>-</w:t>
        </w:r>
      </w:hyperlink>
      <w:hyperlink r:id="rId157">
        <w:r w:rsidRPr="00610B1B">
          <w:rPr>
            <w:rFonts w:ascii="Times New Roman" w:eastAsia="Source Han Sans CN Regular" w:hAnsi="Times New Roman" w:cs="Times New Roman"/>
            <w:sz w:val="24"/>
            <w:szCs w:val="24"/>
            <w:lang w:val="bg-BG" w:eastAsia="zh-CN" w:bidi="hi-IN"/>
          </w:rPr>
          <w:t>transport</w:t>
        </w:r>
      </w:hyperlink>
      <w:hyperlink r:id="rId158">
        <w:r w:rsidRPr="00610B1B">
          <w:rPr>
            <w:rFonts w:ascii="Times New Roman" w:eastAsia="Source Han Sans CN Regular" w:hAnsi="Times New Roman" w:cs="Times New Roman"/>
            <w:sz w:val="24"/>
            <w:szCs w:val="24"/>
            <w:lang w:val="bg-BG" w:eastAsia="zh-CN" w:bidi="hi-IN"/>
          </w:rPr>
          <w:t>.</w:t>
        </w:r>
      </w:hyperlink>
      <w:hyperlink r:id="rId159">
        <w:r w:rsidRPr="00610B1B">
          <w:rPr>
            <w:rFonts w:ascii="Times New Roman" w:eastAsia="Source Han Sans CN Regular" w:hAnsi="Times New Roman" w:cs="Times New Roman"/>
            <w:sz w:val="24"/>
            <w:szCs w:val="24"/>
            <w:lang w:val="bg-BG" w:eastAsia="zh-CN" w:bidi="hi-IN"/>
          </w:rPr>
          <w:t>com</w:t>
        </w:r>
      </w:hyperlink>
      <w:hyperlink r:id="rId160">
        <w:r w:rsidRPr="00610B1B">
          <w:rPr>
            <w:rFonts w:ascii="Times New Roman" w:eastAsia="Source Han Sans CN Regular" w:hAnsi="Times New Roman" w:cs="Times New Roman"/>
            <w:sz w:val="24"/>
            <w:szCs w:val="24"/>
            <w:lang w:val="bg-BG" w:eastAsia="zh-CN" w:bidi="hi-IN"/>
          </w:rPr>
          <w:t>/</w:t>
        </w:r>
      </w:hyperlink>
      <w:hyperlink r:id="rId161">
        <w:r w:rsidRPr="00610B1B">
          <w:rPr>
            <w:rFonts w:ascii="Times New Roman" w:eastAsia="Source Han Sans CN Regular" w:hAnsi="Times New Roman" w:cs="Times New Roman"/>
            <w:sz w:val="24"/>
            <w:szCs w:val="24"/>
            <w:lang w:val="bg-BG" w:eastAsia="zh-CN" w:bidi="hi-IN"/>
          </w:rPr>
          <w:t>project</w:t>
        </w:r>
      </w:hyperlink>
      <w:hyperlink r:id="rId162">
        <w:r w:rsidRPr="00610B1B">
          <w:rPr>
            <w:rFonts w:ascii="Times New Roman" w:eastAsia="Source Han Sans CN Regular" w:hAnsi="Times New Roman" w:cs="Times New Roman"/>
            <w:sz w:val="24"/>
            <w:szCs w:val="24"/>
            <w:lang w:val="bg-BG" w:eastAsia="zh-CN" w:bidi="hi-IN"/>
          </w:rPr>
          <w:t>/</w:t>
        </w:r>
      </w:hyperlink>
      <w:hyperlink r:id="rId163">
        <w:r w:rsidRPr="00610B1B">
          <w:rPr>
            <w:rFonts w:ascii="Times New Roman" w:eastAsia="Source Han Sans CN Regular" w:hAnsi="Times New Roman" w:cs="Times New Roman"/>
            <w:sz w:val="24"/>
            <w:szCs w:val="24"/>
            <w:lang w:val="bg-BG" w:eastAsia="zh-CN" w:bidi="hi-IN"/>
          </w:rPr>
          <w:t>document</w:t>
        </w:r>
      </w:hyperlink>
      <w:hyperlink r:id="rId164">
        <w:r w:rsidRPr="00610B1B">
          <w:rPr>
            <w:rFonts w:ascii="Times New Roman" w:eastAsia="Source Han Sans CN Regular" w:hAnsi="Times New Roman" w:cs="Times New Roman"/>
            <w:sz w:val="24"/>
            <w:szCs w:val="24"/>
            <w:lang w:val="bg-BG" w:eastAsia="zh-CN" w:bidi="hi-IN"/>
          </w:rPr>
          <w:t>-</w:t>
        </w:r>
      </w:hyperlink>
      <w:hyperlink r:id="rId165">
        <w:r w:rsidRPr="00610B1B">
          <w:rPr>
            <w:rFonts w:ascii="Times New Roman" w:eastAsia="Source Han Sans CN Regular" w:hAnsi="Times New Roman" w:cs="Times New Roman"/>
            <w:sz w:val="24"/>
            <w:szCs w:val="24"/>
            <w:lang w:val="bg-BG" w:eastAsia="zh-CN" w:bidi="hi-IN"/>
          </w:rPr>
          <w:t>library</w:t>
        </w:r>
      </w:hyperlink>
      <w:hyperlink r:id="rId166">
        <w:r w:rsidRPr="00610B1B">
          <w:rPr>
            <w:rFonts w:ascii="Times New Roman" w:eastAsia="Source Han Sans CN Regular" w:hAnsi="Times New Roman" w:cs="Times New Roman"/>
            <w:sz w:val="24"/>
            <w:szCs w:val="24"/>
            <w:lang w:val="bg-BG" w:eastAsia="zh-CN" w:bidi="hi-IN"/>
          </w:rPr>
          <w:t>/</w:t>
        </w:r>
      </w:hyperlink>
      <w:r w:rsidRPr="00610B1B">
        <w:rPr>
          <w:rFonts w:ascii="Times New Roman" w:eastAsia="Source Han Sans CN Regular" w:hAnsi="Times New Roman" w:cs="Times New Roman"/>
          <w:sz w:val="24"/>
          <w:szCs w:val="24"/>
          <w:lang w:val="bg-BG" w:eastAsia="zh-CN" w:bidi="hi-IN"/>
        </w:rPr>
        <w:t xml:space="preserve"> Mихаилов К., Терзийски Г., Проучвания на състоянието на морската околна среда и подобряване на програмите за мониторинг, разработени съгласно РДМС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ISMEIMP</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Доклад по проект: „Теренни проучвания на разпространение на видове/оценка на състоянието на видове и хабитати на територията на цялата страна – I фаза". Дейност: Теренни наблюдения на китоподобните </w:t>
      </w:r>
      <w:r w:rsidRPr="00610B1B">
        <w:rPr>
          <w:rFonts w:ascii="Times New Roman" w:eastAsia="Source Han Sans CN Regular" w:hAnsi="Times New Roman" w:cs="Times New Roman"/>
          <w:i/>
          <w:iCs/>
          <w:sz w:val="24"/>
          <w:szCs w:val="24"/>
          <w:lang w:val="bg-BG" w:eastAsia="zh-CN" w:bidi="hi-IN"/>
        </w:rPr>
        <w:t>Tursiops truncatus</w:t>
      </w:r>
      <w:r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i/>
          <w:iCs/>
          <w:sz w:val="24"/>
          <w:szCs w:val="24"/>
          <w:lang w:val="bg-BG" w:eastAsia="zh-CN" w:bidi="hi-IN"/>
        </w:rPr>
        <w:t>Phocoena phocoena</w:t>
      </w:r>
      <w:r w:rsidRPr="00610B1B">
        <w:rPr>
          <w:rFonts w:ascii="Times New Roman" w:eastAsia="Source Han Sans CN Regular" w:hAnsi="Times New Roman" w:cs="Times New Roman"/>
          <w:sz w:val="24"/>
          <w:szCs w:val="24"/>
          <w:lang w:val="bg-BG" w:eastAsia="zh-CN" w:bidi="hi-IN"/>
        </w:rPr>
        <w:t xml:space="preserve"> и </w:t>
      </w:r>
      <w:r w:rsidRPr="00610B1B">
        <w:rPr>
          <w:rFonts w:ascii="Times New Roman" w:eastAsia="Source Han Sans CN Regular" w:hAnsi="Times New Roman" w:cs="Times New Roman"/>
          <w:i/>
          <w:iCs/>
          <w:sz w:val="24"/>
          <w:szCs w:val="24"/>
          <w:lang w:val="bg-BG" w:eastAsia="zh-CN" w:bidi="hi-IN"/>
        </w:rPr>
        <w:t>Delphinus delphis</w:t>
      </w:r>
      <w:r w:rsidRPr="00610B1B">
        <w:rPr>
          <w:rFonts w:ascii="Times New Roman" w:eastAsia="Source Han Sans CN Regular" w:hAnsi="Times New Roman" w:cs="Times New Roman"/>
          <w:sz w:val="24"/>
          <w:szCs w:val="24"/>
          <w:lang w:val="bg-BG" w:eastAsia="zh-CN" w:bidi="hi-IN"/>
        </w:rPr>
        <w:t xml:space="preserve"> в българската изключителна икономическа зона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ИИЗ</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в Черно море“, МОСВ.</w:t>
      </w:r>
    </w:p>
    <w:p w14:paraId="5D3FED97" w14:textId="4978D4C4" w:rsidR="00BE57CC" w:rsidRPr="00610B1B" w:rsidRDefault="00BE57CC" w:rsidP="00BE57CC">
      <w:pPr>
        <w:widowControl w:val="0"/>
        <w:numPr>
          <w:ilvl w:val="0"/>
          <w:numId w:val="97"/>
        </w:numPr>
        <w:spacing w:after="120"/>
        <w:ind w:left="426" w:right="-153" w:hanging="426"/>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Първоначална оценка на състоянието на морската околна среда, съгл. чл. 8 на НООСМВ, 2013 г. ИО при БАН.</w:t>
      </w:r>
      <w:r w:rsidR="00D66FE0" w:rsidRPr="00610B1B">
        <w:rPr>
          <w:rFonts w:ascii="Times New Roman" w:eastAsia="Source Han Sans CN Regular" w:hAnsi="Times New Roman" w:cs="Times New Roman"/>
          <w:sz w:val="24"/>
          <w:szCs w:val="24"/>
          <w:lang w:val="bg-BG" w:eastAsia="zh-CN" w:bidi="hi-IN"/>
        </w:rPr>
        <w:t xml:space="preserve"> </w:t>
      </w:r>
      <w:hyperlink r:id="rId167" w:history="1">
        <w:r w:rsidRPr="00610B1B">
          <w:rPr>
            <w:rFonts w:ascii="Times New Roman" w:eastAsia="Source Han Sans CN Regular" w:hAnsi="Times New Roman" w:cs="Times New Roman"/>
            <w:sz w:val="24"/>
            <w:szCs w:val="24"/>
            <w:lang w:val="bg-BG" w:eastAsia="zh-CN" w:bidi="hi-IN"/>
          </w:rPr>
          <w:t>http://www.bsbd.org/UserFiles/File/Initial%20Assessment_new.pdf</w:t>
        </w:r>
      </w:hyperlink>
    </w:p>
    <w:p w14:paraId="788A98DD" w14:textId="77777777" w:rsidR="00BE57CC" w:rsidRPr="00610B1B" w:rsidRDefault="00BE57CC" w:rsidP="00BE57CC">
      <w:pPr>
        <w:widowControl w:val="0"/>
        <w:numPr>
          <w:ilvl w:val="0"/>
          <w:numId w:val="97"/>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Проект за Актуализиране на План за управление на поддържан резерват Атанасовско езеро. РИОСВ - Бургас, 2015 г</w:t>
      </w:r>
    </w:p>
    <w:p w14:paraId="7817536A" w14:textId="44FFD3CB" w:rsidR="00BE57CC" w:rsidRPr="00610B1B" w:rsidRDefault="00BE57CC" w:rsidP="00BE57CC">
      <w:pPr>
        <w:widowControl w:val="0"/>
        <w:numPr>
          <w:ilvl w:val="0"/>
          <w:numId w:val="97"/>
        </w:numPr>
        <w:spacing w:after="120"/>
        <w:ind w:left="426" w:right="-153" w:hanging="426"/>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Регистър на издадените разрешителни за заустване на отпадъчни води в повърхностни водни обекти. МОСВ. </w:t>
      </w:r>
      <w:hyperlink r:id="rId168">
        <w:r w:rsidRPr="00610B1B">
          <w:rPr>
            <w:rFonts w:ascii="Times New Roman" w:eastAsia="Source Han Sans CN Regular" w:hAnsi="Times New Roman" w:cs="Times New Roman"/>
            <w:sz w:val="24"/>
            <w:szCs w:val="24"/>
            <w:lang w:val="bg-BG" w:eastAsia="zh-CN" w:bidi="hi-IN"/>
          </w:rPr>
          <w:t>http</w:t>
        </w:r>
      </w:hyperlink>
      <w:hyperlink r:id="rId169">
        <w:r w:rsidRPr="00610B1B">
          <w:rPr>
            <w:rFonts w:ascii="Times New Roman" w:eastAsia="Source Han Sans CN Regular" w:hAnsi="Times New Roman" w:cs="Times New Roman"/>
            <w:sz w:val="24"/>
            <w:szCs w:val="24"/>
            <w:lang w:val="bg-BG" w:eastAsia="zh-CN" w:bidi="hi-IN"/>
          </w:rPr>
          <w:t>://</w:t>
        </w:r>
      </w:hyperlink>
      <w:hyperlink r:id="rId170">
        <w:r w:rsidRPr="00610B1B">
          <w:rPr>
            <w:rFonts w:ascii="Times New Roman" w:eastAsia="Source Han Sans CN Regular" w:hAnsi="Times New Roman" w:cs="Times New Roman"/>
            <w:sz w:val="24"/>
            <w:szCs w:val="24"/>
            <w:lang w:val="bg-BG" w:eastAsia="zh-CN" w:bidi="hi-IN"/>
          </w:rPr>
          <w:t>eea</w:t>
        </w:r>
      </w:hyperlink>
      <w:hyperlink r:id="rId171">
        <w:r w:rsidRPr="00610B1B">
          <w:rPr>
            <w:rFonts w:ascii="Times New Roman" w:eastAsia="Source Han Sans CN Regular" w:hAnsi="Times New Roman" w:cs="Times New Roman"/>
            <w:sz w:val="24"/>
            <w:szCs w:val="24"/>
            <w:lang w:val="bg-BG" w:eastAsia="zh-CN" w:bidi="hi-IN"/>
          </w:rPr>
          <w:t>.</w:t>
        </w:r>
      </w:hyperlink>
      <w:hyperlink r:id="rId172">
        <w:r w:rsidRPr="00610B1B">
          <w:rPr>
            <w:rFonts w:ascii="Times New Roman" w:eastAsia="Source Han Sans CN Regular" w:hAnsi="Times New Roman" w:cs="Times New Roman"/>
            <w:sz w:val="24"/>
            <w:szCs w:val="24"/>
            <w:lang w:val="bg-BG" w:eastAsia="zh-CN" w:bidi="hi-IN"/>
          </w:rPr>
          <w:t>government</w:t>
        </w:r>
      </w:hyperlink>
      <w:hyperlink r:id="rId173">
        <w:r w:rsidRPr="00610B1B">
          <w:rPr>
            <w:rFonts w:ascii="Times New Roman" w:eastAsia="Source Han Sans CN Regular" w:hAnsi="Times New Roman" w:cs="Times New Roman"/>
            <w:sz w:val="24"/>
            <w:szCs w:val="24"/>
            <w:lang w:val="bg-BG" w:eastAsia="zh-CN" w:bidi="hi-IN"/>
          </w:rPr>
          <w:t>.</w:t>
        </w:r>
      </w:hyperlink>
      <w:hyperlink r:id="rId174">
        <w:r w:rsidRPr="00610B1B">
          <w:rPr>
            <w:rFonts w:ascii="Times New Roman" w:eastAsia="Source Han Sans CN Regular" w:hAnsi="Times New Roman" w:cs="Times New Roman"/>
            <w:sz w:val="24"/>
            <w:szCs w:val="24"/>
            <w:lang w:val="bg-BG" w:eastAsia="zh-CN" w:bidi="hi-IN"/>
          </w:rPr>
          <w:t>bg</w:t>
        </w:r>
      </w:hyperlink>
      <w:hyperlink r:id="rId175">
        <w:r w:rsidRPr="00610B1B">
          <w:rPr>
            <w:rFonts w:ascii="Times New Roman" w:eastAsia="Source Han Sans CN Regular" w:hAnsi="Times New Roman" w:cs="Times New Roman"/>
            <w:sz w:val="24"/>
            <w:szCs w:val="24"/>
            <w:lang w:val="bg-BG" w:eastAsia="zh-CN" w:bidi="hi-IN"/>
          </w:rPr>
          <w:t>/</w:t>
        </w:r>
      </w:hyperlink>
      <w:hyperlink r:id="rId176">
        <w:r w:rsidRPr="00610B1B">
          <w:rPr>
            <w:rFonts w:ascii="Times New Roman" w:eastAsia="Source Han Sans CN Regular" w:hAnsi="Times New Roman" w:cs="Times New Roman"/>
            <w:sz w:val="24"/>
            <w:szCs w:val="24"/>
            <w:lang w:val="bg-BG" w:eastAsia="zh-CN" w:bidi="hi-IN"/>
          </w:rPr>
          <w:t>wp</w:t>
        </w:r>
      </w:hyperlink>
      <w:hyperlink r:id="rId177">
        <w:r w:rsidRPr="00610B1B">
          <w:rPr>
            <w:rFonts w:ascii="Times New Roman" w:eastAsia="Source Han Sans CN Regular" w:hAnsi="Times New Roman" w:cs="Times New Roman"/>
            <w:sz w:val="24"/>
            <w:szCs w:val="24"/>
            <w:lang w:val="bg-BG" w:eastAsia="zh-CN" w:bidi="hi-IN"/>
          </w:rPr>
          <w:t>/</w:t>
        </w:r>
      </w:hyperlink>
      <w:hyperlink r:id="rId178">
        <w:r w:rsidRPr="00610B1B">
          <w:rPr>
            <w:rFonts w:ascii="Times New Roman" w:eastAsia="Source Han Sans CN Regular" w:hAnsi="Times New Roman" w:cs="Times New Roman"/>
            <w:sz w:val="24"/>
            <w:szCs w:val="24"/>
            <w:lang w:val="bg-BG" w:eastAsia="zh-CN" w:bidi="hi-IN"/>
          </w:rPr>
          <w:t>publicregister</w:t>
        </w:r>
      </w:hyperlink>
      <w:hyperlink r:id="rId179">
        <w:r w:rsidRPr="00610B1B">
          <w:rPr>
            <w:rFonts w:ascii="Times New Roman" w:eastAsia="Source Han Sans CN Regular" w:hAnsi="Times New Roman" w:cs="Times New Roman"/>
            <w:sz w:val="24"/>
            <w:szCs w:val="24"/>
            <w:lang w:val="bg-BG" w:eastAsia="zh-CN" w:bidi="hi-IN"/>
          </w:rPr>
          <w:t>/</w:t>
        </w:r>
      </w:hyperlink>
      <w:hyperlink r:id="rId180">
        <w:r w:rsidRPr="00610B1B">
          <w:rPr>
            <w:rFonts w:ascii="Times New Roman" w:eastAsia="Source Han Sans CN Regular" w:hAnsi="Times New Roman" w:cs="Times New Roman"/>
            <w:sz w:val="24"/>
            <w:szCs w:val="24"/>
            <w:lang w:val="bg-BG" w:eastAsia="zh-CN" w:bidi="hi-IN"/>
          </w:rPr>
          <w:t>PWSRegisters</w:t>
        </w:r>
      </w:hyperlink>
      <w:hyperlink r:id="rId181">
        <w:r w:rsidRPr="00610B1B">
          <w:rPr>
            <w:rFonts w:ascii="Times New Roman" w:eastAsia="Source Han Sans CN Regular" w:hAnsi="Times New Roman" w:cs="Times New Roman"/>
            <w:sz w:val="24"/>
            <w:szCs w:val="24"/>
            <w:lang w:val="bg-BG" w:eastAsia="zh-CN" w:bidi="hi-IN"/>
          </w:rPr>
          <w:t>.</w:t>
        </w:r>
      </w:hyperlink>
      <w:hyperlink r:id="rId182">
        <w:r w:rsidRPr="00610B1B">
          <w:rPr>
            <w:rFonts w:ascii="Times New Roman" w:eastAsia="Source Han Sans CN Regular" w:hAnsi="Times New Roman" w:cs="Times New Roman"/>
            <w:sz w:val="24"/>
            <w:szCs w:val="24"/>
            <w:lang w:val="bg-BG" w:eastAsia="zh-CN" w:bidi="hi-IN"/>
          </w:rPr>
          <w:t>aspx</w:t>
        </w:r>
      </w:hyperlink>
    </w:p>
    <w:p w14:paraId="31E7F089" w14:textId="77777777" w:rsidR="00BE57CC" w:rsidRPr="00610B1B" w:rsidRDefault="00BE57CC" w:rsidP="00BE57CC">
      <w:pPr>
        <w:widowControl w:val="0"/>
        <w:numPr>
          <w:ilvl w:val="0"/>
          <w:numId w:val="97"/>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Регистър на разрешенията за търсене и проучване (актуален към 12.09.2019 г.), Министерство на икономиката;</w:t>
      </w:r>
    </w:p>
    <w:p w14:paraId="2A038852" w14:textId="256CFF18" w:rsidR="00BE57CC" w:rsidRPr="00610B1B" w:rsidRDefault="00BE57CC" w:rsidP="00BE57CC">
      <w:pPr>
        <w:widowControl w:val="0"/>
        <w:numPr>
          <w:ilvl w:val="0"/>
          <w:numId w:val="97"/>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Регистър на защитените територии и защитените зони в България. МОСВ, 2015. </w:t>
      </w:r>
      <w:hyperlink r:id="rId183" w:history="1">
        <w:r w:rsidRPr="00610B1B">
          <w:rPr>
            <w:rFonts w:ascii="Times New Roman" w:eastAsia="Source Han Sans CN Regular" w:hAnsi="Times New Roman" w:cs="Times New Roman"/>
            <w:color w:val="0000FF"/>
            <w:sz w:val="24"/>
            <w:szCs w:val="24"/>
            <w:u w:val="single"/>
            <w:lang w:val="bg-BG" w:eastAsia="zh-CN" w:bidi="hi-IN"/>
          </w:rPr>
          <w:t>http://www.eea.government.bg/zpo/bg/result1.jsp</w:t>
        </w:r>
      </w:hyperlink>
      <w:r w:rsidRPr="00610B1B">
        <w:rPr>
          <w:rFonts w:ascii="Times New Roman" w:eastAsia="Source Han Sans CN Regular" w:hAnsi="Times New Roman" w:cs="Times New Roman"/>
          <w:sz w:val="24"/>
          <w:szCs w:val="24"/>
          <w:lang w:val="bg-BG" w:eastAsia="zh-CN" w:bidi="hi-IN"/>
        </w:rPr>
        <w:t xml:space="preserve">; </w:t>
      </w:r>
    </w:p>
    <w:p w14:paraId="64916F61" w14:textId="61830838" w:rsidR="00BE57CC" w:rsidRPr="00610B1B" w:rsidRDefault="00BE57CC" w:rsidP="00BE57CC">
      <w:pPr>
        <w:widowControl w:val="0"/>
        <w:numPr>
          <w:ilvl w:val="0"/>
          <w:numId w:val="97"/>
        </w:numPr>
        <w:spacing w:after="120"/>
        <w:ind w:left="426" w:right="-153" w:hanging="426"/>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Регионален доклад за състоянието на околната среда през 2018 година. РИОСВ - Варна 2018, </w:t>
      </w:r>
      <w:hyperlink r:id="rId184" w:history="1">
        <w:r w:rsidRPr="00610B1B">
          <w:rPr>
            <w:rFonts w:ascii="Times New Roman" w:eastAsia="Source Han Sans CN Regular" w:hAnsi="Times New Roman" w:cs="Times New Roman"/>
            <w:color w:val="0000FF"/>
            <w:sz w:val="24"/>
            <w:szCs w:val="24"/>
            <w:u w:val="single"/>
            <w:lang w:val="bg-BG" w:eastAsia="zh-CN" w:bidi="hi-IN"/>
          </w:rPr>
          <w:t>https://www.riosv-varna.org/docs/RIOSV-Varna%20Doklad%20OS%202018.pdf</w:t>
        </w:r>
      </w:hyperlink>
    </w:p>
    <w:p w14:paraId="3A6AC1EB" w14:textId="77777777" w:rsidR="00BE57CC" w:rsidRPr="00610B1B" w:rsidRDefault="00BE57CC" w:rsidP="00BE57CC">
      <w:pPr>
        <w:widowControl w:val="0"/>
        <w:numPr>
          <w:ilvl w:val="0"/>
          <w:numId w:val="97"/>
        </w:numPr>
        <w:spacing w:after="120"/>
        <w:ind w:left="426" w:right="-153" w:hanging="426"/>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Ситуационно-перспективен анализ риба и други водни организми през 2017 г. и перспективи за 2018 г., Министерство на земеделието, храните и горите.</w:t>
      </w:r>
    </w:p>
    <w:p w14:paraId="2C9E1A81" w14:textId="77777777" w:rsidR="00BE57CC" w:rsidRPr="00610B1B" w:rsidRDefault="00BE57CC" w:rsidP="00BE57CC">
      <w:pPr>
        <w:widowControl w:val="0"/>
        <w:spacing w:after="120"/>
        <w:ind w:right="-153"/>
        <w:jc w:val="both"/>
        <w:rPr>
          <w:rFonts w:ascii="Times New Roman" w:eastAsia="Source Han Sans CN Regular" w:hAnsi="Times New Roman" w:cs="Times New Roman"/>
          <w:b/>
          <w:sz w:val="24"/>
          <w:szCs w:val="24"/>
          <w:lang w:val="bg-BG" w:eastAsia="zh-CN" w:bidi="hi-IN"/>
        </w:rPr>
      </w:pPr>
    </w:p>
    <w:p w14:paraId="486BA14D" w14:textId="77777777" w:rsidR="00BE57CC" w:rsidRPr="00610B1B" w:rsidRDefault="00BE57CC" w:rsidP="00BE57CC">
      <w:pPr>
        <w:keepNext/>
        <w:widowControl w:val="0"/>
        <w:numPr>
          <w:ilvl w:val="1"/>
          <w:numId w:val="1"/>
        </w:numPr>
        <w:spacing w:after="120"/>
        <w:ind w:right="-153"/>
        <w:outlineLvl w:val="1"/>
        <w:rPr>
          <w:rFonts w:ascii="Times New Roman" w:eastAsia="Source Han Sans CN Regular" w:hAnsi="Times New Roman" w:cs="Times New Roman"/>
          <w:b/>
          <w:bCs/>
          <w:color w:val="0F243E" w:themeColor="text2" w:themeShade="80"/>
          <w:sz w:val="32"/>
          <w:szCs w:val="32"/>
          <w:lang w:val="bg-BG" w:eastAsia="zh-CN" w:bidi="hi-IN"/>
        </w:rPr>
      </w:pPr>
      <w:bookmarkStart w:id="539" w:name="_Toc56961589"/>
      <w:bookmarkStart w:id="540" w:name="_Toc83391461"/>
      <w:r w:rsidRPr="00610B1B">
        <w:rPr>
          <w:rFonts w:ascii="Times New Roman" w:eastAsia="Source Han Sans CN Regular" w:hAnsi="Times New Roman" w:cs="Times New Roman"/>
          <w:b/>
          <w:bCs/>
          <w:color w:val="0F243E" w:themeColor="text2" w:themeShade="80"/>
          <w:sz w:val="32"/>
          <w:szCs w:val="32"/>
          <w:lang w:val="bg-BG" w:eastAsia="zh-CN" w:bidi="hi-IN"/>
        </w:rPr>
        <w:lastRenderedPageBreak/>
        <w:t>11.6. Публикации</w:t>
      </w:r>
      <w:bookmarkEnd w:id="539"/>
      <w:bookmarkEnd w:id="540"/>
    </w:p>
    <w:p w14:paraId="6417EA0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Алексиев, Г. 2012. Морфотектоника на Балканския полуостров. „Анди-МГ“, София.</w:t>
      </w:r>
    </w:p>
    <w:p w14:paraId="0479ED55"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Андреев, В., и колектив 1981. Тектоника западной части Черного моря. В Geologica Balc.,11,4, с. 3-18.</w:t>
      </w:r>
    </w:p>
    <w:p w14:paraId="549280BD"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Балтаков, Г. (2000). Основни черти на палеогеографската адаптация при скулптурната морфогенеза на съвременния геоморфологичен комплекс в България. Годишник на СУ „Св. Климент Охридски“, Геолого-Географски факултет, кн. 2 (География), том 93: 123-125</w:t>
      </w:r>
    </w:p>
    <w:p w14:paraId="1361A89B"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Батиметрия. Доклад оценка на екологичното състояние на морските води (РДВ). 2013. Договор № 0-33-18от 12.06.2013, Научен фонд на Институт по Океанология „Фритьоф Нансен”- БАН, гр. Варна, с. 6-41</w:t>
      </w:r>
    </w:p>
    <w:p w14:paraId="248E02E6"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Беров, Д., 2013. Структура на съобществата от кафяви водорасли от род Cystoseira и влиянието на антропогенни фактори върху тяхното разпространение. Макроводораслите като индикатор за екологичното състояние на крайбрежните морски екосистеми в Черно море. Академично издателство “Проф. Марин Дринов,“ София.</w:t>
      </w:r>
    </w:p>
    <w:p w14:paraId="7711FB0E"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Благоева, Е. 1980. Изследване на литогенната основа на ландшафтите. Във Велчев, А., Благоева, Е., Петров, П., Къндев, Тр. (Ред.) Ръководство за стационарни ландшафтни изследвания, стр. 41-63. Унив. изд. на Софийски университет „Св. Климент Охридски“, София</w:t>
      </w:r>
    </w:p>
    <w:p w14:paraId="07D94F8F"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Бончев, Ек. 1986. Балканидите - геологотекнско положение и развитие, София, 273 с.</w:t>
      </w:r>
    </w:p>
    <w:p w14:paraId="36CDE403"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Василев, В., 2017 Анализ и оценка на заплахите за офшорната промишленост в националните морски пространства на Република България</w:t>
      </w:r>
    </w:p>
    <w:p w14:paraId="13B1105F"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Вълканов, А., Т. Маринов, 1978. Безгръбначни животни. Черно море - сборник, книгоиздателство Георги Бакалов - Варна, с. 108-123</w:t>
      </w:r>
    </w:p>
    <w:p w14:paraId="0ACDD8B8"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Вълчев, Б. 2015. Пясъчни дюни по Българското черноморско крайбрежие южно от гр. Бургас–състояние и геоконсервационно значение. Review of the Bulgarian geological society, 76 (part 1), 89-111.</w:t>
      </w:r>
    </w:p>
    <w:p w14:paraId="15FFB3E8" w14:textId="7ADF37A3"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Вълчев, Н., Андреева, Н., Трифонова, Ек., Проданов, Б., Христова, Д., 2013. 1.3. Вълнова експозиция на Българското Черноморско крайбрежие. В Доклад оценка на екологичното състояние на морските води (РДВ). Договор № 0-33-18/12.06.2013, Научен фонд на Институт по Океанология „Фритьоф Нансен”- БАН, гр. Варна, с. 43-76 (достъпна на </w:t>
      </w:r>
      <w:hyperlink r:id="rId185" w:history="1">
        <w:r w:rsidR="00DB5CC7" w:rsidRPr="00610B1B">
          <w:rPr>
            <w:rStyle w:val="Hyperlink"/>
            <w:rFonts w:ascii="Times New Roman" w:eastAsia="Source Han Sans CN Regular" w:hAnsi="Times New Roman" w:cs="Times New Roman"/>
            <w:sz w:val="24"/>
            <w:szCs w:val="24"/>
            <w:lang w:val="bg-BG" w:eastAsia="zh-CN" w:bidi="hi-IN"/>
          </w:rPr>
          <w:t>http://bsbd.org</w:t>
        </w:r>
      </w:hyperlink>
      <w:r w:rsidRPr="00610B1B">
        <w:rPr>
          <w:rFonts w:ascii="Times New Roman" w:eastAsia="Source Han Sans CN Regular" w:hAnsi="Times New Roman" w:cs="Times New Roman"/>
          <w:sz w:val="24"/>
          <w:szCs w:val="24"/>
          <w:lang w:val="bg-BG" w:eastAsia="zh-CN" w:bidi="hi-IN"/>
        </w:rPr>
        <w:t>)</w:t>
      </w:r>
    </w:p>
    <w:p w14:paraId="0DA59371"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Географски терминологичен речник. 2011. Акад. Изд. "Марин Дринов", 294</w:t>
      </w:r>
    </w:p>
    <w:p w14:paraId="24160675"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Глумов, В., 1971. Геологическое строение Черноморского шельфа НР Болгарии. В Доклади на БАН, том 2, с. 255-258</w:t>
      </w:r>
    </w:p>
    <w:p w14:paraId="7C027704"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Глумов, И., 1971. Некоторые черты геологического строения восточной части Мизийской плиты и черноморского шельфа НРБ. В Морская геология и геофизика, 3, с. 58-66</w:t>
      </w:r>
    </w:p>
    <w:p w14:paraId="059CBD5B" w14:textId="60666C9D"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Големански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ред.</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2011. Червена книга на Република България. Том 2. </w:t>
      </w:r>
      <w:hyperlink r:id="rId186" w:history="1">
        <w:r w:rsidR="00DB5CC7" w:rsidRPr="00610B1B">
          <w:rPr>
            <w:rStyle w:val="Hyperlink"/>
            <w:rFonts w:ascii="Times New Roman" w:eastAsia="Source Han Sans CN Regular" w:hAnsi="Times New Roman" w:cs="Times New Roman"/>
            <w:sz w:val="24"/>
            <w:szCs w:val="24"/>
            <w:lang w:val="bg-BG" w:eastAsia="zh-CN" w:bidi="hi-IN"/>
          </w:rPr>
          <w:t>http://e-ecodb.bas.bg/rdb/bg/vol2/</w:t>
        </w:r>
      </w:hyperlink>
      <w:r w:rsidR="00DB5CC7" w:rsidRPr="00610B1B">
        <w:rPr>
          <w:rFonts w:ascii="Times New Roman" w:eastAsia="Source Han Sans CN Regular" w:hAnsi="Times New Roman" w:cs="Times New Roman"/>
          <w:sz w:val="24"/>
          <w:szCs w:val="24"/>
          <w:lang w:val="bg-BG" w:eastAsia="zh-CN" w:bidi="hi-IN"/>
        </w:rPr>
        <w:t xml:space="preserve"> </w:t>
      </w:r>
    </w:p>
    <w:p w14:paraId="69190AEC"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Горшков, С., Морская мощь государство, М., ВИМО, 1979.</w:t>
      </w:r>
    </w:p>
    <w:p w14:paraId="00C4E8CA"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Гочев, П. 1991. Алпийски ороген на Балканите - колизионна полифазова структура. В Геотектоника, тектонофизика и геодинамика, 22, С., с. 3–44</w:t>
      </w:r>
    </w:p>
    <w:p w14:paraId="1D2333D3" w14:textId="54619B60"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Да преобразим нашия свят: Програма за устойчиво развитие до 2030 година. </w:t>
      </w:r>
      <w:hyperlink r:id="rId187" w:history="1">
        <w:r w:rsidRPr="00610B1B">
          <w:rPr>
            <w:rFonts w:ascii="Times New Roman" w:eastAsia="Source Han Sans CN Regular" w:hAnsi="Times New Roman" w:cs="Times New Roman"/>
            <w:color w:val="0000FF"/>
            <w:sz w:val="24"/>
            <w:szCs w:val="24"/>
            <w:u w:val="single"/>
            <w:lang w:val="bg-BG" w:eastAsia="zh-CN" w:bidi="hi-IN"/>
          </w:rPr>
          <w:t>https://www.unicef.bg/assets/PDFs/WWL/Transforming_our_world_BG.pdf</w:t>
        </w:r>
      </w:hyperlink>
      <w:r w:rsidR="00D66FE0" w:rsidRPr="00610B1B">
        <w:rPr>
          <w:rFonts w:ascii="Times New Roman" w:eastAsia="Source Han Sans CN Regular" w:hAnsi="Times New Roman" w:cs="Times New Roman"/>
          <w:sz w:val="24"/>
          <w:szCs w:val="24"/>
          <w:lang w:val="bg-BG" w:eastAsia="zh-CN" w:bidi="hi-IN"/>
        </w:rPr>
        <w:t xml:space="preserve"> </w:t>
      </w:r>
    </w:p>
    <w:p w14:paraId="79ACF822" w14:textId="51D614E9" w:rsidR="00BE57CC" w:rsidRPr="00610B1B" w:rsidRDefault="00BE57CC" w:rsidP="009D4F3B">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Данева, М., Мишев, К. 1979. Българското черноморско крайбрежие. Изд. на Българска академия на науките, София;</w:t>
      </w:r>
    </w:p>
    <w:p w14:paraId="7BB818CC"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Дачев, В. и кол. 1986. Морфоложки строеж на Българското черноморско крайбрежие. Фонд на ИО-БАН.</w:t>
      </w:r>
    </w:p>
    <w:p w14:paraId="609C526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Дачев, В., Никовлов, Хр. 1977. Интегрални изменения на бреговата линия при акумулационни участъци между Черни нос и кк "Албена". В Океанология. С.57-64.</w:t>
      </w:r>
    </w:p>
    <w:p w14:paraId="681222D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Дачев, В., Чернева, Ж. 1979. Надлъжно-брегово преместване на наносите в бреговата зона на Българското Черноморие между н. Сиврибурун и Бургаски залив. Океанология, 4,с 30-40;</w:t>
      </w:r>
    </w:p>
    <w:p w14:paraId="1ACF81C0" w14:textId="6664A9D3"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Делов, В., Терзийски, Г., Михайлов, К., Клисарова, Д., Гофман, О., 2015в. Оценка на природозащитното състояние с предложение за референтни стойности на морска свиня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i/>
          <w:iCs/>
          <w:sz w:val="24"/>
          <w:szCs w:val="24"/>
          <w:lang w:val="bg-BG" w:eastAsia="zh-CN" w:bidi="hi-IN"/>
        </w:rPr>
        <w:t>Phocoena phocoena relicta</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w:t>
      </w:r>
      <w:hyperlink r:id="rId188">
        <w:r w:rsidRPr="00610B1B">
          <w:rPr>
            <w:rFonts w:ascii="Times New Roman" w:eastAsia="Source Han Sans CN Regular" w:hAnsi="Times New Roman" w:cs="Times New Roman"/>
            <w:color w:val="0000FF"/>
            <w:sz w:val="24"/>
            <w:szCs w:val="24"/>
            <w:u w:val="single"/>
            <w:lang w:val="bg-BG" w:eastAsia="zh-CN" w:bidi="hi-IN"/>
          </w:rPr>
          <w:t>http</w:t>
        </w:r>
      </w:hyperlink>
      <w:hyperlink r:id="rId189">
        <w:r w:rsidRPr="00610B1B">
          <w:rPr>
            <w:rFonts w:ascii="Times New Roman" w:eastAsia="Source Han Sans CN Regular" w:hAnsi="Times New Roman" w:cs="Times New Roman"/>
            <w:color w:val="0000FF"/>
            <w:sz w:val="24"/>
            <w:szCs w:val="24"/>
            <w:u w:val="single"/>
            <w:lang w:val="bg-BG" w:eastAsia="zh-CN" w:bidi="hi-IN"/>
          </w:rPr>
          <w:t>://</w:t>
        </w:r>
      </w:hyperlink>
      <w:hyperlink r:id="rId190">
        <w:r w:rsidRPr="00610B1B">
          <w:rPr>
            <w:rFonts w:ascii="Times New Roman" w:eastAsia="Source Han Sans CN Regular" w:hAnsi="Times New Roman" w:cs="Times New Roman"/>
            <w:color w:val="0000FF"/>
            <w:sz w:val="24"/>
            <w:szCs w:val="24"/>
            <w:u w:val="single"/>
            <w:lang w:val="bg-BG" w:eastAsia="zh-CN" w:bidi="hi-IN"/>
          </w:rPr>
          <w:t>eea</w:t>
        </w:r>
      </w:hyperlink>
      <w:hyperlink r:id="rId191">
        <w:r w:rsidRPr="00610B1B">
          <w:rPr>
            <w:rFonts w:ascii="Times New Roman" w:eastAsia="Source Han Sans CN Regular" w:hAnsi="Times New Roman" w:cs="Times New Roman"/>
            <w:color w:val="0000FF"/>
            <w:sz w:val="24"/>
            <w:szCs w:val="24"/>
            <w:u w:val="single"/>
            <w:lang w:val="bg-BG" w:eastAsia="zh-CN" w:bidi="hi-IN"/>
          </w:rPr>
          <w:t>.</w:t>
        </w:r>
      </w:hyperlink>
      <w:hyperlink r:id="rId192">
        <w:r w:rsidRPr="00610B1B">
          <w:rPr>
            <w:rFonts w:ascii="Times New Roman" w:eastAsia="Source Han Sans CN Regular" w:hAnsi="Times New Roman" w:cs="Times New Roman"/>
            <w:color w:val="0000FF"/>
            <w:sz w:val="24"/>
            <w:szCs w:val="24"/>
            <w:u w:val="single"/>
            <w:lang w:val="bg-BG" w:eastAsia="zh-CN" w:bidi="hi-IN"/>
          </w:rPr>
          <w:t>government</w:t>
        </w:r>
      </w:hyperlink>
      <w:hyperlink r:id="rId193">
        <w:r w:rsidRPr="00610B1B">
          <w:rPr>
            <w:rFonts w:ascii="Times New Roman" w:eastAsia="Source Han Sans CN Regular" w:hAnsi="Times New Roman" w:cs="Times New Roman"/>
            <w:color w:val="0000FF"/>
            <w:sz w:val="24"/>
            <w:szCs w:val="24"/>
            <w:u w:val="single"/>
            <w:lang w:val="bg-BG" w:eastAsia="zh-CN" w:bidi="hi-IN"/>
          </w:rPr>
          <w:t>.</w:t>
        </w:r>
      </w:hyperlink>
      <w:hyperlink r:id="rId194">
        <w:r w:rsidRPr="00610B1B">
          <w:rPr>
            <w:rFonts w:ascii="Times New Roman" w:eastAsia="Source Han Sans CN Regular" w:hAnsi="Times New Roman" w:cs="Times New Roman"/>
            <w:color w:val="0000FF"/>
            <w:sz w:val="24"/>
            <w:szCs w:val="24"/>
            <w:u w:val="single"/>
            <w:lang w:val="bg-BG" w:eastAsia="zh-CN" w:bidi="hi-IN"/>
          </w:rPr>
          <w:t>bg</w:t>
        </w:r>
      </w:hyperlink>
      <w:hyperlink r:id="rId195">
        <w:r w:rsidRPr="00610B1B">
          <w:rPr>
            <w:rFonts w:ascii="Times New Roman" w:eastAsia="Source Han Sans CN Regular" w:hAnsi="Times New Roman" w:cs="Times New Roman"/>
            <w:color w:val="0000FF"/>
            <w:sz w:val="24"/>
            <w:szCs w:val="24"/>
            <w:u w:val="single"/>
            <w:lang w:val="bg-BG" w:eastAsia="zh-CN" w:bidi="hi-IN"/>
          </w:rPr>
          <w:t>/</w:t>
        </w:r>
      </w:hyperlink>
      <w:hyperlink r:id="rId196">
        <w:r w:rsidRPr="00610B1B">
          <w:rPr>
            <w:rFonts w:ascii="Times New Roman" w:eastAsia="Source Han Sans CN Regular" w:hAnsi="Times New Roman" w:cs="Times New Roman"/>
            <w:color w:val="0000FF"/>
            <w:sz w:val="24"/>
            <w:szCs w:val="24"/>
            <w:u w:val="single"/>
            <w:lang w:val="bg-BG" w:eastAsia="zh-CN" w:bidi="hi-IN"/>
          </w:rPr>
          <w:t>bg</w:t>
        </w:r>
      </w:hyperlink>
      <w:hyperlink r:id="rId197">
        <w:r w:rsidRPr="00610B1B">
          <w:rPr>
            <w:rFonts w:ascii="Times New Roman" w:eastAsia="Source Han Sans CN Regular" w:hAnsi="Times New Roman" w:cs="Times New Roman"/>
            <w:color w:val="0000FF"/>
            <w:sz w:val="24"/>
            <w:szCs w:val="24"/>
            <w:u w:val="single"/>
            <w:lang w:val="bg-BG" w:eastAsia="zh-CN" w:bidi="hi-IN"/>
          </w:rPr>
          <w:t>/</w:t>
        </w:r>
      </w:hyperlink>
      <w:hyperlink r:id="rId198">
        <w:r w:rsidRPr="00610B1B">
          <w:rPr>
            <w:rFonts w:ascii="Times New Roman" w:eastAsia="Source Han Sans CN Regular" w:hAnsi="Times New Roman" w:cs="Times New Roman"/>
            <w:color w:val="0000FF"/>
            <w:sz w:val="24"/>
            <w:szCs w:val="24"/>
            <w:u w:val="single"/>
            <w:lang w:val="bg-BG" w:eastAsia="zh-CN" w:bidi="hi-IN"/>
          </w:rPr>
          <w:t>bio</w:t>
        </w:r>
      </w:hyperlink>
      <w:hyperlink r:id="rId199">
        <w:r w:rsidRPr="00610B1B">
          <w:rPr>
            <w:rFonts w:ascii="Times New Roman" w:eastAsia="Source Han Sans CN Regular" w:hAnsi="Times New Roman" w:cs="Times New Roman"/>
            <w:color w:val="0000FF"/>
            <w:sz w:val="24"/>
            <w:szCs w:val="24"/>
            <w:u w:val="single"/>
            <w:lang w:val="bg-BG" w:eastAsia="zh-CN" w:bidi="hi-IN"/>
          </w:rPr>
          <w:t>/</w:t>
        </w:r>
      </w:hyperlink>
      <w:hyperlink r:id="rId200">
        <w:r w:rsidRPr="00610B1B">
          <w:rPr>
            <w:rFonts w:ascii="Times New Roman" w:eastAsia="Source Han Sans CN Regular" w:hAnsi="Times New Roman" w:cs="Times New Roman"/>
            <w:color w:val="0000FF"/>
            <w:sz w:val="24"/>
            <w:szCs w:val="24"/>
            <w:u w:val="single"/>
            <w:lang w:val="bg-BG" w:eastAsia="zh-CN" w:bidi="hi-IN"/>
          </w:rPr>
          <w:t>opos</w:t>
        </w:r>
      </w:hyperlink>
      <w:hyperlink r:id="rId201">
        <w:r w:rsidRPr="00610B1B">
          <w:rPr>
            <w:rFonts w:ascii="Times New Roman" w:eastAsia="Source Han Sans CN Regular" w:hAnsi="Times New Roman" w:cs="Times New Roman"/>
            <w:color w:val="0000FF"/>
            <w:sz w:val="24"/>
            <w:szCs w:val="24"/>
            <w:u w:val="single"/>
            <w:lang w:val="bg-BG" w:eastAsia="zh-CN" w:bidi="hi-IN"/>
          </w:rPr>
          <w:t>/</w:t>
        </w:r>
      </w:hyperlink>
      <w:hyperlink r:id="rId202">
        <w:r w:rsidRPr="00610B1B">
          <w:rPr>
            <w:rFonts w:ascii="Times New Roman" w:eastAsia="Source Han Sans CN Regular" w:hAnsi="Times New Roman" w:cs="Times New Roman"/>
            <w:color w:val="0000FF"/>
            <w:sz w:val="24"/>
            <w:szCs w:val="24"/>
            <w:u w:val="single"/>
            <w:lang w:val="bg-BG" w:eastAsia="zh-CN" w:bidi="hi-IN"/>
          </w:rPr>
          <w:t>activities</w:t>
        </w:r>
      </w:hyperlink>
      <w:hyperlink r:id="rId203">
        <w:r w:rsidRPr="00610B1B">
          <w:rPr>
            <w:rFonts w:ascii="Times New Roman" w:eastAsia="Source Han Sans CN Regular" w:hAnsi="Times New Roman" w:cs="Times New Roman"/>
            <w:color w:val="0000FF"/>
            <w:sz w:val="24"/>
            <w:szCs w:val="24"/>
            <w:u w:val="single"/>
            <w:lang w:val="bg-BG" w:eastAsia="zh-CN" w:bidi="hi-IN"/>
          </w:rPr>
          <w:t>-</w:t>
        </w:r>
      </w:hyperlink>
      <w:hyperlink r:id="rId204">
        <w:r w:rsidRPr="00610B1B">
          <w:rPr>
            <w:rFonts w:ascii="Times New Roman" w:eastAsia="Source Han Sans CN Regular" w:hAnsi="Times New Roman" w:cs="Times New Roman"/>
            <w:color w:val="0000FF"/>
            <w:sz w:val="24"/>
            <w:szCs w:val="24"/>
            <w:u w:val="single"/>
            <w:lang w:val="bg-BG" w:eastAsia="zh-CN" w:bidi="hi-IN"/>
          </w:rPr>
          <w:t>results</w:t>
        </w:r>
      </w:hyperlink>
      <w:hyperlink r:id="rId205">
        <w:r w:rsidRPr="00610B1B">
          <w:rPr>
            <w:rFonts w:ascii="Times New Roman" w:eastAsia="Source Han Sans CN Regular" w:hAnsi="Times New Roman" w:cs="Times New Roman"/>
            <w:color w:val="0000FF"/>
            <w:sz w:val="24"/>
            <w:szCs w:val="24"/>
            <w:u w:val="single"/>
            <w:lang w:val="bg-BG" w:eastAsia="zh-CN" w:bidi="hi-IN"/>
          </w:rPr>
          <w:t>/</w:t>
        </w:r>
      </w:hyperlink>
      <w:hyperlink r:id="rId206">
        <w:r w:rsidRPr="00610B1B">
          <w:rPr>
            <w:rFonts w:ascii="Times New Roman" w:eastAsia="Source Han Sans CN Regular" w:hAnsi="Times New Roman" w:cs="Times New Roman"/>
            <w:color w:val="0000FF"/>
            <w:sz w:val="24"/>
            <w:szCs w:val="24"/>
            <w:u w:val="single"/>
            <w:lang w:val="bg-BG" w:eastAsia="zh-CN" w:bidi="hi-IN"/>
          </w:rPr>
          <w:t>CS_DD</w:t>
        </w:r>
      </w:hyperlink>
      <w:hyperlink r:id="rId207">
        <w:r w:rsidRPr="00610B1B">
          <w:rPr>
            <w:rFonts w:ascii="Times New Roman" w:eastAsia="Source Han Sans CN Regular" w:hAnsi="Times New Roman" w:cs="Times New Roman"/>
            <w:color w:val="0000FF"/>
            <w:sz w:val="24"/>
            <w:szCs w:val="24"/>
            <w:u w:val="single"/>
            <w:lang w:val="bg-BG" w:eastAsia="zh-CN" w:bidi="hi-IN"/>
          </w:rPr>
          <w:t>.</w:t>
        </w:r>
      </w:hyperlink>
      <w:hyperlink r:id="rId208">
        <w:r w:rsidRPr="00610B1B">
          <w:rPr>
            <w:rFonts w:ascii="Times New Roman" w:eastAsia="Source Han Sans CN Regular" w:hAnsi="Times New Roman" w:cs="Times New Roman"/>
            <w:color w:val="0000FF"/>
            <w:sz w:val="24"/>
            <w:szCs w:val="24"/>
            <w:u w:val="single"/>
            <w:lang w:val="bg-BG" w:eastAsia="zh-CN" w:bidi="hi-IN"/>
          </w:rPr>
          <w:t>pdf</w:t>
        </w:r>
      </w:hyperlink>
      <w:r w:rsidR="00D66FE0" w:rsidRPr="00610B1B">
        <w:rPr>
          <w:rFonts w:ascii="Times New Roman" w:eastAsia="Source Han Sans CN Regular" w:hAnsi="Times New Roman" w:cs="Times New Roman"/>
          <w:sz w:val="24"/>
          <w:szCs w:val="24"/>
          <w:lang w:val="bg-BG" w:eastAsia="zh-CN" w:bidi="hi-IN"/>
        </w:rPr>
        <w:t xml:space="preserve"> </w:t>
      </w:r>
    </w:p>
    <w:p w14:paraId="25B16EF4"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Дерелиев, П., 2000. Теория на оперативното изкуство на Военноморските сили, Варна</w:t>
      </w:r>
    </w:p>
    <w:p w14:paraId="22FA5611"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Дерелиев, П., 2000. Участие на ВМС на РБ в контрола на НМП, Варна, 2000 г.</w:t>
      </w:r>
    </w:p>
    <w:p w14:paraId="78C49254"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Димитров, Л. 2003. Геоморфоложка характеристика на шелфа. В Плитко залягащи газонаситени утайки и газопроявления на българския континентален шелф. Научен фонд на Институт по Океанология – БАН;</w:t>
      </w:r>
    </w:p>
    <w:p w14:paraId="282E9DA6"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Димитров, Л., Керемедчиев, Ст., Дончев, В., 2013. Бентал. В Тодорова, В., Сн. Мончева (ред.) Първоначална оценка на състоянието на морската околна среда, съгласно чл. 8 от НООСМВ, Научен фонд на Институт по Океанология „Фритьоф Нансен”-БАН, гр. Варна, с. 76-164;</w:t>
      </w:r>
    </w:p>
    <w:p w14:paraId="1F62A9F8"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Димитров, Н. и колектив. 2018. Функционално зониране на националните морски пространства за създаване на информационна система за управление на крайбрежната зона. ВВМУ, Варна;</w:t>
      </w:r>
    </w:p>
    <w:p w14:paraId="271F5F9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Димитров, П., 1979. Особености в състава и разпределението на дънните наслаги от черноморския шелф между носовете Калиакра и Емине. Списание Океанология, част 5, С., БАН, 1979, с. 22-33;</w:t>
      </w:r>
    </w:p>
    <w:p w14:paraId="79A21AA9"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Димитрова-Конаклиева, С., 2000. Флора на морските водорасли в България. Pensoft, София-Москва.</w:t>
      </w:r>
    </w:p>
    <w:p w14:paraId="5AE5AF31"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Дончев, Ст. 1959. Принос към изучаването на прелета и презимуването на някои птици в България. Известия Зоологически институт с музей, 8: 161-168.</w:t>
      </w:r>
    </w:p>
    <w:p w14:paraId="387ED6EC" w14:textId="3570960B"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Дончев, Ст. 1963. Нови данни върху прелета, презимуването и разпространението на някои птици в България.</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Известия Зоологически институт с музей, 14: 111-125.</w:t>
      </w:r>
    </w:p>
    <w:p w14:paraId="7507F9B1"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Дончев, Ст. 1967. Принос към опазване на водоплаващите птици в България. Известия Зоологически институт с музей,, 23: 79-94.</w:t>
      </w:r>
    </w:p>
    <w:p w14:paraId="4E02F2F6"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Дончев, Ст. 1980. Миграции на птиците по българското Черноморско крайбрежие. Екология, 7: 68-83;</w:t>
      </w:r>
    </w:p>
    <w:p w14:paraId="622FA45A"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Драгоев, Ив., 2016 Брифинг за описание на Център за интегрирано управление и мониторинг на бреговата зона, Варна;</w:t>
      </w:r>
    </w:p>
    <w:p w14:paraId="58C0FA7E" w14:textId="061CDD81" w:rsidR="00BE57CC" w:rsidRPr="00610B1B" w:rsidRDefault="00BE57CC" w:rsidP="00AD38A7">
      <w:pPr>
        <w:widowControl w:val="0"/>
        <w:numPr>
          <w:ilvl w:val="0"/>
          <w:numId w:val="98"/>
        </w:numPr>
        <w:spacing w:after="120"/>
        <w:ind w:left="426" w:right="-448"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Желев, В. 2006. Геоложки</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феномени - Силистар. Геология и минерални ресурси, 5,</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стр. 2-9</w:t>
      </w:r>
    </w:p>
    <w:p w14:paraId="7E569FE4"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Иванов, А.И., 2017. Обработка и анализ на мареографни измервания за мониторинг нивото на Черно море. Автореферат на дисертация за присъждане на научно-образователнатата степен „доктор“, НИГГГ – БАН, 68 стр.</w:t>
      </w:r>
    </w:p>
    <w:p w14:paraId="5C40F226" w14:textId="76AB8DD1"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Икономически доклад на сектора на аквакултурата в ЕС (STECF-18-19) 1.10.19 Fisheries,EC </w:t>
      </w:r>
    </w:p>
    <w:p w14:paraId="4296939D" w14:textId="7C63C0E4"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Йонин, А., Пырличев, Д., Маловицкий, Я., Юркевич, М., Крыстев, Т., 1979. Основные особенности геоморфологии дна. В Геология и гидрология западной части Черного моря, С., БАН, Научен фонд на Институт по Океанология „Фритьоф Нансен” - БАН, гр. Варна, с</w:t>
      </w:r>
      <w:r w:rsidR="00AD38A7"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44-59;</w:t>
      </w:r>
    </w:p>
    <w:p w14:paraId="25A9D8E3"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Кабаивански, Я. 1954. Делфинът, черноморската акула и мидата като източник на суровини за хранителната индустрия и други, София, 57 стр.</w:t>
      </w:r>
    </w:p>
    <w:p w14:paraId="7FF230B0"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Канев, Д. 1960. Морфология на Медноридското черноморско крайбрежие. Год. на Софийски университет. БГГ факултет, 1 III, 3, География. Изд. Наука и изкуство. С., 28-35.</w:t>
      </w:r>
    </w:p>
    <w:p w14:paraId="0942C0EF" w14:textId="3ED3DFBE"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Керемедчиев, С. Д., Трифонова, Е. В. 2003. Классификация типов профилей пляжа болгарского побережья Черного моря. </w:t>
      </w:r>
      <w:hyperlink r:id="rId209" w:history="1">
        <w:r w:rsidRPr="00610B1B">
          <w:rPr>
            <w:rFonts w:ascii="Times New Roman" w:eastAsia="Source Han Sans CN Regular" w:hAnsi="Times New Roman" w:cs="Times New Roman"/>
            <w:color w:val="0000FF"/>
            <w:sz w:val="24"/>
            <w:szCs w:val="24"/>
            <w:u w:val="single"/>
            <w:lang w:val="bg-BG" w:eastAsia="zh-CN" w:bidi="hi-IN"/>
          </w:rPr>
          <w:t>http://www.io-bas.bg/downloads/Ocean_V4_12.pdf</w:t>
        </w:r>
      </w:hyperlink>
      <w:r w:rsidR="00D66FE0" w:rsidRPr="00610B1B">
        <w:rPr>
          <w:rFonts w:ascii="Times New Roman" w:eastAsia="Source Han Sans CN Regular" w:hAnsi="Times New Roman" w:cs="Times New Roman"/>
          <w:sz w:val="24"/>
          <w:szCs w:val="24"/>
          <w:lang w:val="bg-BG" w:eastAsia="zh-CN" w:bidi="hi-IN"/>
        </w:rPr>
        <w:t xml:space="preserve"> </w:t>
      </w:r>
    </w:p>
    <w:p w14:paraId="60F04100" w14:textId="784A8156"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Керемедчиев, Ст. 2001 Морфохидрографски анализ на бреговата зона на Българското Черноморско крайбрежие. В Трудове на Институт</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по океанология, т. 3, В, БАН, с. 57-64</w:t>
      </w:r>
    </w:p>
    <w:p w14:paraId="7BFA9555"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Керемедчиев, Ст. 2005. Морфоструктурни и геодинамични предпоставки за съвременното морфоложко развитие на Българското черноморско крайбрежие. Трудове на И-та по океанология, 5, 181-208;</w:t>
      </w:r>
    </w:p>
    <w:p w14:paraId="573FD324" w14:textId="7EF67272"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Керемедчиев, Ст., 2000. Морфохидрографски анализ на Българското Черноморско крайбрежие.</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В Сборник доклади от Международна научна сесия „50 години Геологически институт на Българска академия на науките“, София, с. 90-98.</w:t>
      </w:r>
    </w:p>
    <w:p w14:paraId="4693F04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Керемедчиев, Ст., 2002. Морфоложки особености на терасния комплекс в бреговата зона на Българското Черноморско крайбрежие. В Проблеми на географията, 1-2, с. 121-133;</w:t>
      </w:r>
    </w:p>
    <w:p w14:paraId="3474E83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Керемедчиев, Ст., 2004. Геоморфоложки анализ на бреговата зона на Авренското крайбрежие. В Проблеми на географията, 3-4, БАН, С., с. 126-134;</w:t>
      </w:r>
    </w:p>
    <w:p w14:paraId="03FCA64D"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Керемедчиев, Ст., Станчева, М. 2007. Оценка на геоморфодинамичната брегова активност на Българския Черноморски сектор. Проблеми на Географията, София, кн.1-2., 35-45 с.</w:t>
      </w:r>
    </w:p>
    <w:p w14:paraId="0E848D2D"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Керемедчиев, Ст., Чернева, Ж., 2001. Развитие на терасния комплекс в бреговата зона на Българското Черноморско крайбрежие. В Трудове на Института по океанология, 3, с. 65-76</w:t>
      </w:r>
    </w:p>
    <w:p w14:paraId="0E28A97A"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Керемедчиев, Ст., Чернева, Ж., 2003. Развитие на терасния комплекс в бреговата зона на Българското Черноморско крайбрежие. В Трудове на Института по океанология, 3, с. 65-76</w:t>
      </w:r>
    </w:p>
    <w:p w14:paraId="48FA74A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Климатичен справочник за НР България, том 2, С., БАН, 1979.</w:t>
      </w:r>
    </w:p>
    <w:p w14:paraId="4B5A018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Климатичен справочник за НР България, том 3, С., БАН, 1983.</w:t>
      </w:r>
    </w:p>
    <w:p w14:paraId="56F8C612" w14:textId="0F88AA35"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Клисарова, Д., Петрова-Павлова, Е., Стойков, С., Михнева, В., Герджиков, Д., Церкова, Ф., &amp; Вълчев, С. 2016б. Oценка на запаса на калкан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i/>
          <w:iCs/>
          <w:sz w:val="24"/>
          <w:szCs w:val="24"/>
          <w:lang w:val="bg-BG" w:eastAsia="zh-CN" w:bidi="hi-IN"/>
        </w:rPr>
        <w:t>Scophthalums maximus</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в българските води на Черно море през пролетния сезон на 2016</w:t>
      </w:r>
      <w:r w:rsidR="00644CC8"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 xml:space="preserve">г. </w:t>
      </w:r>
      <w:hyperlink r:id="rId210">
        <w:r w:rsidRPr="00610B1B">
          <w:rPr>
            <w:rStyle w:val="Hyperlink"/>
            <w:rFonts w:ascii="Times New Roman" w:hAnsi="Times New Roman" w:cs="Times New Roman"/>
            <w:sz w:val="24"/>
            <w:szCs w:val="24"/>
            <w:lang w:val="bg-BG"/>
          </w:rPr>
          <w:t>http</w:t>
        </w:r>
      </w:hyperlink>
      <w:hyperlink r:id="rId211">
        <w:r w:rsidRPr="00610B1B">
          <w:rPr>
            <w:rStyle w:val="Hyperlink"/>
            <w:rFonts w:ascii="Times New Roman" w:hAnsi="Times New Roman" w:cs="Times New Roman"/>
            <w:sz w:val="24"/>
            <w:szCs w:val="24"/>
            <w:lang w:val="bg-BG"/>
          </w:rPr>
          <w:t>://</w:t>
        </w:r>
      </w:hyperlink>
      <w:hyperlink r:id="rId212">
        <w:r w:rsidRPr="00610B1B">
          <w:rPr>
            <w:rStyle w:val="Hyperlink"/>
            <w:rFonts w:ascii="Times New Roman" w:hAnsi="Times New Roman" w:cs="Times New Roman"/>
            <w:sz w:val="24"/>
            <w:szCs w:val="24"/>
            <w:lang w:val="bg-BG"/>
          </w:rPr>
          <w:t>iara</w:t>
        </w:r>
      </w:hyperlink>
      <w:hyperlink r:id="rId213">
        <w:r w:rsidRPr="00610B1B">
          <w:rPr>
            <w:rStyle w:val="Hyperlink"/>
            <w:rFonts w:ascii="Times New Roman" w:hAnsi="Times New Roman" w:cs="Times New Roman"/>
            <w:sz w:val="24"/>
            <w:szCs w:val="24"/>
            <w:lang w:val="bg-BG"/>
          </w:rPr>
          <w:t>.</w:t>
        </w:r>
      </w:hyperlink>
      <w:hyperlink r:id="rId214">
        <w:r w:rsidRPr="00610B1B">
          <w:rPr>
            <w:rStyle w:val="Hyperlink"/>
            <w:rFonts w:ascii="Times New Roman" w:hAnsi="Times New Roman" w:cs="Times New Roman"/>
            <w:sz w:val="24"/>
            <w:szCs w:val="24"/>
            <w:lang w:val="bg-BG"/>
          </w:rPr>
          <w:t>government</w:t>
        </w:r>
      </w:hyperlink>
      <w:hyperlink r:id="rId215">
        <w:r w:rsidRPr="00610B1B">
          <w:rPr>
            <w:rStyle w:val="Hyperlink"/>
            <w:rFonts w:ascii="Times New Roman" w:hAnsi="Times New Roman" w:cs="Times New Roman"/>
            <w:sz w:val="24"/>
            <w:szCs w:val="24"/>
            <w:lang w:val="bg-BG"/>
          </w:rPr>
          <w:t>.</w:t>
        </w:r>
      </w:hyperlink>
      <w:hyperlink r:id="rId216">
        <w:r w:rsidRPr="00610B1B">
          <w:rPr>
            <w:rStyle w:val="Hyperlink"/>
            <w:rFonts w:ascii="Times New Roman" w:hAnsi="Times New Roman" w:cs="Times New Roman"/>
            <w:sz w:val="24"/>
            <w:szCs w:val="24"/>
            <w:lang w:val="bg-BG"/>
          </w:rPr>
          <w:t>bg</w:t>
        </w:r>
      </w:hyperlink>
      <w:hyperlink r:id="rId217">
        <w:r w:rsidRPr="00610B1B">
          <w:rPr>
            <w:rStyle w:val="Hyperlink"/>
            <w:rFonts w:ascii="Times New Roman" w:hAnsi="Times New Roman" w:cs="Times New Roman"/>
            <w:sz w:val="24"/>
            <w:szCs w:val="24"/>
            <w:lang w:val="bg-BG"/>
          </w:rPr>
          <w:t>/</w:t>
        </w:r>
      </w:hyperlink>
      <w:hyperlink r:id="rId218">
        <w:r w:rsidRPr="00610B1B">
          <w:rPr>
            <w:rStyle w:val="Hyperlink"/>
            <w:rFonts w:ascii="Times New Roman" w:hAnsi="Times New Roman" w:cs="Times New Roman"/>
            <w:sz w:val="24"/>
            <w:szCs w:val="24"/>
            <w:lang w:val="bg-BG"/>
          </w:rPr>
          <w:t>wp</w:t>
        </w:r>
      </w:hyperlink>
      <w:hyperlink r:id="rId219">
        <w:r w:rsidRPr="00610B1B">
          <w:rPr>
            <w:rStyle w:val="Hyperlink"/>
            <w:rFonts w:ascii="Times New Roman" w:hAnsi="Times New Roman" w:cs="Times New Roman"/>
            <w:sz w:val="24"/>
            <w:szCs w:val="24"/>
            <w:lang w:val="bg-BG"/>
          </w:rPr>
          <w:t>-</w:t>
        </w:r>
      </w:hyperlink>
      <w:hyperlink r:id="rId220">
        <w:r w:rsidRPr="00610B1B">
          <w:rPr>
            <w:rStyle w:val="Hyperlink"/>
            <w:rFonts w:ascii="Times New Roman" w:hAnsi="Times New Roman" w:cs="Times New Roman"/>
            <w:sz w:val="24"/>
            <w:szCs w:val="24"/>
            <w:lang w:val="bg-BG"/>
          </w:rPr>
          <w:t>content</w:t>
        </w:r>
      </w:hyperlink>
      <w:hyperlink r:id="rId221">
        <w:r w:rsidRPr="00610B1B">
          <w:rPr>
            <w:rStyle w:val="Hyperlink"/>
            <w:rFonts w:ascii="Times New Roman" w:hAnsi="Times New Roman" w:cs="Times New Roman"/>
            <w:sz w:val="24"/>
            <w:szCs w:val="24"/>
            <w:lang w:val="bg-BG"/>
          </w:rPr>
          <w:t>/</w:t>
        </w:r>
      </w:hyperlink>
      <w:hyperlink r:id="rId222">
        <w:r w:rsidRPr="00610B1B">
          <w:rPr>
            <w:rStyle w:val="Hyperlink"/>
            <w:rFonts w:ascii="Times New Roman" w:hAnsi="Times New Roman" w:cs="Times New Roman"/>
            <w:sz w:val="24"/>
            <w:szCs w:val="24"/>
            <w:lang w:val="bg-BG"/>
          </w:rPr>
          <w:t>uploads</w:t>
        </w:r>
      </w:hyperlink>
      <w:hyperlink r:id="rId223">
        <w:r w:rsidRPr="00610B1B">
          <w:rPr>
            <w:rStyle w:val="Hyperlink"/>
            <w:rFonts w:ascii="Times New Roman" w:hAnsi="Times New Roman" w:cs="Times New Roman"/>
            <w:sz w:val="24"/>
            <w:szCs w:val="24"/>
            <w:lang w:val="bg-BG"/>
          </w:rPr>
          <w:t>/2017/10/</w:t>
        </w:r>
      </w:hyperlink>
      <w:hyperlink r:id="rId224">
        <w:r w:rsidRPr="00610B1B">
          <w:rPr>
            <w:rStyle w:val="Hyperlink"/>
            <w:rFonts w:ascii="Times New Roman" w:hAnsi="Times New Roman" w:cs="Times New Roman"/>
            <w:sz w:val="24"/>
            <w:szCs w:val="24"/>
            <w:lang w:val="bg-BG"/>
          </w:rPr>
          <w:t>Bulgarian_National</w:t>
        </w:r>
      </w:hyperlink>
      <w:hyperlink r:id="rId225">
        <w:r w:rsidRPr="00610B1B">
          <w:rPr>
            <w:rStyle w:val="Hyperlink"/>
            <w:rFonts w:ascii="Times New Roman" w:hAnsi="Times New Roman" w:cs="Times New Roman"/>
            <w:sz w:val="24"/>
            <w:szCs w:val="24"/>
            <w:lang w:val="bg-BG"/>
          </w:rPr>
          <w:t>-</w:t>
        </w:r>
      </w:hyperlink>
      <w:hyperlink r:id="rId226">
        <w:r w:rsidRPr="00610B1B">
          <w:rPr>
            <w:rStyle w:val="Hyperlink"/>
            <w:rFonts w:ascii="Times New Roman" w:hAnsi="Times New Roman" w:cs="Times New Roman"/>
            <w:sz w:val="24"/>
            <w:szCs w:val="24"/>
            <w:lang w:val="bg-BG"/>
          </w:rPr>
          <w:t>Bottom</w:t>
        </w:r>
      </w:hyperlink>
      <w:hyperlink r:id="rId227">
        <w:r w:rsidRPr="00610B1B">
          <w:rPr>
            <w:rStyle w:val="Hyperlink"/>
            <w:rFonts w:ascii="Times New Roman" w:hAnsi="Times New Roman" w:cs="Times New Roman"/>
            <w:sz w:val="24"/>
            <w:szCs w:val="24"/>
            <w:lang w:val="bg-BG"/>
          </w:rPr>
          <w:t>-</w:t>
        </w:r>
      </w:hyperlink>
      <w:hyperlink r:id="rId228">
        <w:r w:rsidRPr="00610B1B">
          <w:rPr>
            <w:rStyle w:val="Hyperlink"/>
            <w:rFonts w:ascii="Times New Roman" w:hAnsi="Times New Roman" w:cs="Times New Roman"/>
            <w:sz w:val="24"/>
            <w:szCs w:val="24"/>
            <w:lang w:val="bg-BG"/>
          </w:rPr>
          <w:t>Trawl</w:t>
        </w:r>
      </w:hyperlink>
      <w:hyperlink r:id="rId229">
        <w:r w:rsidRPr="00610B1B">
          <w:rPr>
            <w:rStyle w:val="Hyperlink"/>
            <w:rFonts w:ascii="Times New Roman" w:hAnsi="Times New Roman" w:cs="Times New Roman"/>
            <w:sz w:val="24"/>
            <w:szCs w:val="24"/>
            <w:lang w:val="bg-BG"/>
          </w:rPr>
          <w:t>-</w:t>
        </w:r>
      </w:hyperlink>
      <w:hyperlink r:id="rId230">
        <w:r w:rsidRPr="00610B1B">
          <w:rPr>
            <w:rStyle w:val="Hyperlink"/>
            <w:rFonts w:ascii="Times New Roman" w:hAnsi="Times New Roman" w:cs="Times New Roman"/>
            <w:sz w:val="24"/>
            <w:szCs w:val="24"/>
            <w:lang w:val="bg-BG"/>
          </w:rPr>
          <w:t>Survey</w:t>
        </w:r>
      </w:hyperlink>
      <w:hyperlink r:id="rId231">
        <w:r w:rsidRPr="00610B1B">
          <w:rPr>
            <w:rStyle w:val="Hyperlink"/>
            <w:rFonts w:ascii="Times New Roman" w:hAnsi="Times New Roman" w:cs="Times New Roman"/>
            <w:sz w:val="24"/>
            <w:szCs w:val="24"/>
            <w:lang w:val="bg-BG"/>
          </w:rPr>
          <w:t>-</w:t>
        </w:r>
      </w:hyperlink>
      <w:hyperlink r:id="rId232">
        <w:r w:rsidRPr="00610B1B">
          <w:rPr>
            <w:rStyle w:val="Hyperlink"/>
            <w:rFonts w:ascii="Times New Roman" w:hAnsi="Times New Roman" w:cs="Times New Roman"/>
            <w:sz w:val="24"/>
            <w:szCs w:val="24"/>
            <w:lang w:val="bg-BG"/>
          </w:rPr>
          <w:t>Spring</w:t>
        </w:r>
      </w:hyperlink>
      <w:hyperlink r:id="rId233">
        <w:r w:rsidRPr="00610B1B">
          <w:rPr>
            <w:rStyle w:val="Hyperlink"/>
            <w:rFonts w:ascii="Times New Roman" w:hAnsi="Times New Roman" w:cs="Times New Roman"/>
            <w:sz w:val="24"/>
            <w:szCs w:val="24"/>
            <w:lang w:val="bg-BG"/>
          </w:rPr>
          <w:t>-2016</w:t>
        </w:r>
      </w:hyperlink>
      <w:hyperlink r:id="rId234">
        <w:r w:rsidRPr="00610B1B">
          <w:rPr>
            <w:rStyle w:val="Hyperlink"/>
            <w:rFonts w:ascii="Times New Roman" w:hAnsi="Times New Roman" w:cs="Times New Roman"/>
            <w:sz w:val="24"/>
            <w:szCs w:val="24"/>
            <w:lang w:val="bg-BG"/>
          </w:rPr>
          <w:t>_Turbot_BG</w:t>
        </w:r>
      </w:hyperlink>
      <w:hyperlink r:id="rId235">
        <w:r w:rsidRPr="00610B1B">
          <w:rPr>
            <w:rStyle w:val="Hyperlink"/>
            <w:rFonts w:ascii="Times New Roman" w:hAnsi="Times New Roman" w:cs="Times New Roman"/>
            <w:sz w:val="24"/>
            <w:szCs w:val="24"/>
            <w:lang w:val="bg-BG"/>
          </w:rPr>
          <w:t>.</w:t>
        </w:r>
      </w:hyperlink>
      <w:hyperlink r:id="rId236">
        <w:r w:rsidRPr="00610B1B">
          <w:rPr>
            <w:rStyle w:val="Hyperlink"/>
            <w:rFonts w:ascii="Times New Roman" w:hAnsi="Times New Roman" w:cs="Times New Roman"/>
            <w:sz w:val="24"/>
            <w:szCs w:val="24"/>
            <w:lang w:val="bg-BG"/>
          </w:rPr>
          <w:t>pdf</w:t>
        </w:r>
      </w:hyperlink>
      <w:r w:rsidR="00D66FE0" w:rsidRPr="00610B1B">
        <w:rPr>
          <w:rFonts w:ascii="Times New Roman" w:eastAsia="Source Han Sans CN Regular" w:hAnsi="Times New Roman" w:cs="Times New Roman"/>
          <w:sz w:val="24"/>
          <w:szCs w:val="24"/>
          <w:lang w:val="bg-BG" w:eastAsia="zh-CN" w:bidi="hi-IN"/>
        </w:rPr>
        <w:t xml:space="preserve"> </w:t>
      </w:r>
    </w:p>
    <w:p w14:paraId="20D38552" w14:textId="08F677F8"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Клисарова, Д., Петрова-Павлова, Е., Стойков, С., Михнева, В., Герджиков, Д., Церкова, Ф., &amp; Вълчев, С., 2016а. Oценка на запаса на калкан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i/>
          <w:iCs/>
          <w:sz w:val="24"/>
          <w:szCs w:val="24"/>
          <w:lang w:val="bg-BG" w:eastAsia="zh-CN" w:bidi="hi-IN"/>
        </w:rPr>
        <w:t>Scophthalums maximus</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в българските води на Черно море през есенно-зимния сезон на 2015</w:t>
      </w:r>
      <w:r w:rsidR="00644CC8"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 xml:space="preserve">г. </w:t>
      </w:r>
      <w:hyperlink r:id="rId237" w:history="1">
        <w:r w:rsidR="00AD38A7" w:rsidRPr="00610B1B">
          <w:rPr>
            <w:rStyle w:val="Hyperlink"/>
            <w:rFonts w:ascii="Times New Roman" w:eastAsia="Source Han Sans CN Regular" w:hAnsi="Times New Roman" w:cs="Times New Roman"/>
            <w:sz w:val="24"/>
            <w:szCs w:val="24"/>
            <w:lang w:val="bg-BG" w:eastAsia="zh-CN" w:bidi="hi-IN"/>
          </w:rPr>
          <w:t>http://iara.government.bg/wp-content/uploads/2017/10/Bulgarian_National-Bottom-Trawl-Survey-2015_TURBOT_BG.pdf</w:t>
        </w:r>
      </w:hyperlink>
      <w:r w:rsidR="00AD38A7" w:rsidRPr="00610B1B">
        <w:rPr>
          <w:rFonts w:ascii="Times New Roman" w:eastAsia="Source Han Sans CN Regular" w:hAnsi="Times New Roman" w:cs="Times New Roman"/>
          <w:sz w:val="24"/>
          <w:szCs w:val="24"/>
          <w:lang w:val="bg-BG" w:eastAsia="zh-CN" w:bidi="hi-IN"/>
        </w:rPr>
        <w:t xml:space="preserve"> </w:t>
      </w:r>
    </w:p>
    <w:p w14:paraId="6DAE5A07" w14:textId="726507DC"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Клисарова, Д., Петрова-Павлова, Е., Стойков, С., Михнева, В., Герджиков, Д., Церкова, Ф., &amp; Вълчев, С., 2017. Oценка на запаса на калкан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i/>
          <w:iCs/>
          <w:sz w:val="24"/>
          <w:szCs w:val="24"/>
          <w:lang w:val="bg-BG" w:eastAsia="zh-CN" w:bidi="hi-IN"/>
        </w:rPr>
        <w:t>Scophthalums maximus</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в българските води на Черно море през есенния сезон на 2016</w:t>
      </w:r>
      <w:r w:rsidR="00644CC8"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 xml:space="preserve">г. </w:t>
      </w:r>
      <w:hyperlink r:id="rId238" w:history="1">
        <w:r w:rsidR="00AD38A7" w:rsidRPr="00610B1B">
          <w:rPr>
            <w:rStyle w:val="Hyperlink"/>
            <w:rFonts w:ascii="Times New Roman" w:eastAsia="Source Han Sans CN Regular" w:hAnsi="Times New Roman" w:cs="Times New Roman"/>
            <w:sz w:val="24"/>
            <w:szCs w:val="24"/>
            <w:lang w:val="bg-BG" w:eastAsia="zh-CN" w:bidi="hi-IN"/>
          </w:rPr>
          <w:t>http://iara.government.bg/wp-content/uploads/2017/10/Bulgarian-National-Bottom-Trawl-Survey-autumn_2016_Turbot_BG.pdf</w:t>
        </w:r>
      </w:hyperlink>
      <w:r w:rsidR="00AD38A7" w:rsidRPr="00610B1B">
        <w:rPr>
          <w:rFonts w:ascii="Times New Roman" w:eastAsia="Source Han Sans CN Regular" w:hAnsi="Times New Roman" w:cs="Times New Roman"/>
          <w:sz w:val="24"/>
          <w:szCs w:val="24"/>
          <w:lang w:val="bg-BG" w:eastAsia="zh-CN" w:bidi="hi-IN"/>
        </w:rPr>
        <w:t xml:space="preserve"> </w:t>
      </w:r>
    </w:p>
    <w:p w14:paraId="54C0A41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Кожухаров, Е., Димитров, Л., Христова, Р., Дончева, В., 2010. Обяснителна записка към геоложка карта на българския сектор от акваторията на Черно море в мащаб 1:500 000, МОСВ</w:t>
      </w:r>
    </w:p>
    <w:p w14:paraId="7D63252C"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Колев, К., Управление на морската сигурност, Стено, Варна, 2016 г.</w:t>
      </w:r>
    </w:p>
    <w:p w14:paraId="5F95F2A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Костичкова, Р.К., З.К. Белберов, Е.В. Трифонова, Д.И. Грудева, 2001. Максимални морски нива в Бургаския залив. Трудове на Института по океанология, т.3, стр. 3-12;</w:t>
      </w:r>
    </w:p>
    <w:p w14:paraId="168A0F30" w14:textId="764EA491"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Коцев и кол., 2014. Анализ и картографиране на чуствителността на Българската чернморска крайбрежна зона, с.216;</w:t>
      </w:r>
    </w:p>
    <w:p w14:paraId="4CA1A025" w14:textId="09323EFD" w:rsidR="00AD38A7" w:rsidRPr="00610B1B" w:rsidRDefault="00BE57CC" w:rsidP="009D4F3B">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Коцев, И., 2014. Структура, динамика и райониране на ландшафтите в Черноморската крайбрежна зона между нос Калиакра и нос Емине. Дисертация за придобиване на образователна и научна степен „Доктор“, Научен фонд на Институт по Океанология „Фритьоф Нансен”-БАН, гр. Варна, с. 303;</w:t>
      </w:r>
    </w:p>
    <w:p w14:paraId="39AB7049" w14:textId="67A73332"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Кръстев, Т., 1993. Структурно-геоморфоложко развитие на континенталната окрайнина на Българския сектор на Черно море. Автореферат на дисертация за д-р на географските науки, Научен фонд на Институт по Океанология „Фритьоф Нансен”-БАН, гр. Варна, с. 64</w:t>
      </w:r>
    </w:p>
    <w:p w14:paraId="00FF853A"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Крыстев, Т., Волокитина, Л., Пырличев, Д., Мирлин, Ев., 1984. Структурно-геоморфологическое строение дна. В Нефтегазо - генетические исследования Болгарского сектора Черного моря, Болгарской академии наук, София, с. 46-54</w:t>
      </w:r>
    </w:p>
    <w:p w14:paraId="65A6BA5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Крыстев, Т., Михова, E., 1990. Релеф и тектоника на българския шелф. В Крыстев, Т. (ред.). Геологическая эволюция западной части Черноморской котловины в неоген-четвертичное время, БАН, София, с. 392-431</w:t>
      </w:r>
    </w:p>
    <w:p w14:paraId="48478541"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Кънева-Абаджиева, В., Маринов, Т.М., 1960. Разпределение на зообентоса пред Българското черноморско крайбрежие. Трудове На ЦНИИРР 3, 117–166.</w:t>
      </w:r>
    </w:p>
    <w:p w14:paraId="7ACFF84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Кънева-Абаджиева, В., Маринов, Т.М., 1967. Разпределение на черната морска мида и състояние на нашия мидолов. Известия На НИОРС 8, 71–79.</w:t>
      </w:r>
    </w:p>
    <w:p w14:paraId="1774008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Лилиенберг, А. 1966. Опит за морфоложко райониране и типове бряг на Българското Черноморско крайбрежие. В Изв. Бълг. Геогр. Д-во., XI (XVI), с. 23-45</w:t>
      </w:r>
    </w:p>
    <w:p w14:paraId="5844FAF5"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Лимонов, А., Калинин, В., Кръстев, Т., Старовойтов, А. 1980. А предложении Восточной Стара планинь в Черном море. В Геолого-геофизичиские исследования болгорского сектора Черного моря, БАН, 59-65.</w:t>
      </w:r>
    </w:p>
    <w:p w14:paraId="695C6085"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Люцканова, С. Морската политика на България в променящата се среда на сигурност в Черноморския регион, дисертация за получаване на образователна и научна степен “Доктор” . ВВМУ. Варна. 2015 г.</w:t>
      </w:r>
    </w:p>
    <w:p w14:paraId="17EFAE2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Мавродиева, В, Слабакова, Н., Дончева, В. 2018. Пелагични местообитания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Дескриптор 1 и 4 Хранителни мрежи</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Фитопланктонни индикатори за оценка на пелагичните местообитания. В: Доклад анализ на състоянието на морската околна среда - 2018 г.. Институт по океанология-БАН. с. 61-84;</w:t>
      </w:r>
    </w:p>
    <w:p w14:paraId="60F8CDDB"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Маринов, Т., 1990. Зообентосът от българския сектор на Черно море. Издателство на Българската академия на науките, София.</w:t>
      </w:r>
    </w:p>
    <w:p w14:paraId="43FE3389" w14:textId="06B68F04"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bCs/>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Маринова, 2017. Подводен шум. В: „Проучвания на състоянието на морската околна среда и подобряване на програмите за мониторинг, разработени съгласно РДМС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ISMEIMP</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с. 266 </w:t>
      </w:r>
      <w:hyperlink r:id="rId239">
        <w:r w:rsidRPr="00610B1B">
          <w:rPr>
            <w:rFonts w:ascii="Times New Roman" w:eastAsia="Source Han Sans CN Regular" w:hAnsi="Times New Roman" w:cs="Times New Roman"/>
            <w:color w:val="0000FF"/>
            <w:sz w:val="24"/>
            <w:szCs w:val="24"/>
            <w:u w:val="single"/>
            <w:lang w:val="bg-BG" w:eastAsia="zh-CN" w:bidi="hi-IN"/>
          </w:rPr>
          <w:t>https</w:t>
        </w:r>
      </w:hyperlink>
      <w:hyperlink r:id="rId240">
        <w:r w:rsidRPr="00610B1B">
          <w:rPr>
            <w:rFonts w:ascii="Times New Roman" w:eastAsia="Source Han Sans CN Regular" w:hAnsi="Times New Roman" w:cs="Times New Roman"/>
            <w:color w:val="0000FF"/>
            <w:sz w:val="24"/>
            <w:szCs w:val="24"/>
            <w:u w:val="single"/>
            <w:lang w:val="bg-BG" w:eastAsia="zh-CN" w:bidi="hi-IN"/>
          </w:rPr>
          <w:t>://</w:t>
        </w:r>
      </w:hyperlink>
      <w:hyperlink r:id="rId241">
        <w:r w:rsidRPr="00610B1B">
          <w:rPr>
            <w:rFonts w:ascii="Times New Roman" w:eastAsia="Source Han Sans CN Regular" w:hAnsi="Times New Roman" w:cs="Times New Roman"/>
            <w:color w:val="0000FF"/>
            <w:sz w:val="24"/>
            <w:szCs w:val="24"/>
            <w:u w:val="single"/>
            <w:lang w:val="bg-BG" w:eastAsia="zh-CN" w:bidi="hi-IN"/>
          </w:rPr>
          <w:t>www</w:t>
        </w:r>
      </w:hyperlink>
      <w:hyperlink r:id="rId242">
        <w:r w:rsidRPr="00610B1B">
          <w:rPr>
            <w:rFonts w:ascii="Times New Roman" w:eastAsia="Source Han Sans CN Regular" w:hAnsi="Times New Roman" w:cs="Times New Roman"/>
            <w:color w:val="0000FF"/>
            <w:sz w:val="24"/>
            <w:szCs w:val="24"/>
            <w:u w:val="single"/>
            <w:lang w:val="bg-BG" w:eastAsia="zh-CN" w:bidi="hi-IN"/>
          </w:rPr>
          <w:t>.</w:t>
        </w:r>
      </w:hyperlink>
      <w:hyperlink r:id="rId243">
        <w:r w:rsidRPr="00610B1B">
          <w:rPr>
            <w:rFonts w:ascii="Times New Roman" w:eastAsia="Source Han Sans CN Regular" w:hAnsi="Times New Roman" w:cs="Times New Roman"/>
            <w:color w:val="0000FF"/>
            <w:sz w:val="24"/>
            <w:szCs w:val="24"/>
            <w:u w:val="single"/>
            <w:lang w:val="bg-BG" w:eastAsia="zh-CN" w:bidi="hi-IN"/>
          </w:rPr>
          <w:t>bsbd</w:t>
        </w:r>
      </w:hyperlink>
      <w:hyperlink r:id="rId244">
        <w:r w:rsidRPr="00610B1B">
          <w:rPr>
            <w:rFonts w:ascii="Times New Roman" w:eastAsia="Source Han Sans CN Regular" w:hAnsi="Times New Roman" w:cs="Times New Roman"/>
            <w:color w:val="0000FF"/>
            <w:sz w:val="24"/>
            <w:szCs w:val="24"/>
            <w:u w:val="single"/>
            <w:lang w:val="bg-BG" w:eastAsia="zh-CN" w:bidi="hi-IN"/>
          </w:rPr>
          <w:t>.</w:t>
        </w:r>
      </w:hyperlink>
      <w:hyperlink r:id="rId245">
        <w:r w:rsidRPr="00610B1B">
          <w:rPr>
            <w:rFonts w:ascii="Times New Roman" w:eastAsia="Source Han Sans CN Regular" w:hAnsi="Times New Roman" w:cs="Times New Roman"/>
            <w:color w:val="0000FF"/>
            <w:sz w:val="24"/>
            <w:szCs w:val="24"/>
            <w:u w:val="single"/>
            <w:lang w:val="bg-BG" w:eastAsia="zh-CN" w:bidi="hi-IN"/>
          </w:rPr>
          <w:t>org</w:t>
        </w:r>
      </w:hyperlink>
      <w:hyperlink r:id="rId246">
        <w:r w:rsidRPr="00610B1B">
          <w:rPr>
            <w:rFonts w:ascii="Times New Roman" w:eastAsia="Source Han Sans CN Regular" w:hAnsi="Times New Roman" w:cs="Times New Roman"/>
            <w:color w:val="0000FF"/>
            <w:sz w:val="24"/>
            <w:szCs w:val="24"/>
            <w:u w:val="single"/>
            <w:lang w:val="bg-BG" w:eastAsia="zh-CN" w:bidi="hi-IN"/>
          </w:rPr>
          <w:t>/</w:t>
        </w:r>
      </w:hyperlink>
      <w:hyperlink r:id="rId247">
        <w:r w:rsidRPr="00610B1B">
          <w:rPr>
            <w:rFonts w:ascii="Times New Roman" w:eastAsia="Source Han Sans CN Regular" w:hAnsi="Times New Roman" w:cs="Times New Roman"/>
            <w:color w:val="0000FF"/>
            <w:sz w:val="24"/>
            <w:szCs w:val="24"/>
            <w:u w:val="single"/>
            <w:lang w:val="bg-BG" w:eastAsia="zh-CN" w:bidi="hi-IN"/>
          </w:rPr>
          <w:t>UserFiles</w:t>
        </w:r>
      </w:hyperlink>
      <w:hyperlink r:id="rId248">
        <w:r w:rsidRPr="00610B1B">
          <w:rPr>
            <w:rFonts w:ascii="Times New Roman" w:eastAsia="Source Han Sans CN Regular" w:hAnsi="Times New Roman" w:cs="Times New Roman"/>
            <w:color w:val="0000FF"/>
            <w:sz w:val="24"/>
            <w:szCs w:val="24"/>
            <w:u w:val="single"/>
            <w:lang w:val="bg-BG" w:eastAsia="zh-CN" w:bidi="hi-IN"/>
          </w:rPr>
          <w:t>/</w:t>
        </w:r>
      </w:hyperlink>
      <w:hyperlink r:id="rId249">
        <w:r w:rsidRPr="00610B1B">
          <w:rPr>
            <w:rFonts w:ascii="Times New Roman" w:eastAsia="Source Han Sans CN Regular" w:hAnsi="Times New Roman" w:cs="Times New Roman"/>
            <w:color w:val="0000FF"/>
            <w:sz w:val="24"/>
            <w:szCs w:val="24"/>
            <w:u w:val="single"/>
            <w:lang w:val="bg-BG" w:eastAsia="zh-CN" w:bidi="hi-IN"/>
          </w:rPr>
          <w:t>File</w:t>
        </w:r>
      </w:hyperlink>
      <w:hyperlink r:id="rId250">
        <w:r w:rsidRPr="00610B1B">
          <w:rPr>
            <w:rFonts w:ascii="Times New Roman" w:eastAsia="Source Han Sans CN Regular" w:hAnsi="Times New Roman" w:cs="Times New Roman"/>
            <w:color w:val="0000FF"/>
            <w:sz w:val="24"/>
            <w:szCs w:val="24"/>
            <w:u w:val="single"/>
            <w:lang w:val="bg-BG" w:eastAsia="zh-CN" w:bidi="hi-IN"/>
          </w:rPr>
          <w:t>/</w:t>
        </w:r>
      </w:hyperlink>
      <w:hyperlink r:id="rId251">
        <w:r w:rsidRPr="00610B1B">
          <w:rPr>
            <w:rFonts w:ascii="Times New Roman" w:eastAsia="Source Han Sans CN Regular" w:hAnsi="Times New Roman" w:cs="Times New Roman"/>
            <w:color w:val="0000FF"/>
            <w:sz w:val="24"/>
            <w:szCs w:val="24"/>
            <w:u w:val="single"/>
            <w:lang w:val="bg-BG" w:eastAsia="zh-CN" w:bidi="hi-IN"/>
          </w:rPr>
          <w:t>projects</w:t>
        </w:r>
      </w:hyperlink>
      <w:hyperlink r:id="rId252">
        <w:r w:rsidRPr="00610B1B">
          <w:rPr>
            <w:rFonts w:ascii="Times New Roman" w:eastAsia="Source Han Sans CN Regular" w:hAnsi="Times New Roman" w:cs="Times New Roman"/>
            <w:color w:val="0000FF"/>
            <w:sz w:val="24"/>
            <w:szCs w:val="24"/>
            <w:u w:val="single"/>
            <w:lang w:val="bg-BG" w:eastAsia="zh-CN" w:bidi="hi-IN"/>
          </w:rPr>
          <w:t>/</w:t>
        </w:r>
      </w:hyperlink>
      <w:hyperlink r:id="rId253">
        <w:r w:rsidRPr="00610B1B">
          <w:rPr>
            <w:rFonts w:ascii="Times New Roman" w:eastAsia="Source Han Sans CN Regular" w:hAnsi="Times New Roman" w:cs="Times New Roman"/>
            <w:color w:val="0000FF"/>
            <w:sz w:val="24"/>
            <w:szCs w:val="24"/>
            <w:u w:val="single"/>
            <w:lang w:val="bg-BG" w:eastAsia="zh-CN" w:bidi="hi-IN"/>
          </w:rPr>
          <w:t>ISMEIMP</w:t>
        </w:r>
      </w:hyperlink>
      <w:hyperlink r:id="rId254">
        <w:r w:rsidRPr="00610B1B">
          <w:rPr>
            <w:rFonts w:ascii="Times New Roman" w:eastAsia="Source Han Sans CN Regular" w:hAnsi="Times New Roman" w:cs="Times New Roman"/>
            <w:color w:val="0000FF"/>
            <w:sz w:val="24"/>
            <w:szCs w:val="24"/>
            <w:u w:val="single"/>
            <w:lang w:val="bg-BG" w:eastAsia="zh-CN" w:bidi="hi-IN"/>
          </w:rPr>
          <w:t>/</w:t>
        </w:r>
      </w:hyperlink>
      <w:hyperlink r:id="rId255">
        <w:r w:rsidRPr="00610B1B">
          <w:rPr>
            <w:rFonts w:ascii="Times New Roman" w:eastAsia="Source Han Sans CN Regular" w:hAnsi="Times New Roman" w:cs="Times New Roman"/>
            <w:color w:val="0000FF"/>
            <w:sz w:val="24"/>
            <w:szCs w:val="24"/>
            <w:u w:val="single"/>
            <w:lang w:val="bg-BG" w:eastAsia="zh-CN" w:bidi="hi-IN"/>
          </w:rPr>
          <w:t>ISMEIMP</w:t>
        </w:r>
      </w:hyperlink>
      <w:hyperlink r:id="rId256">
        <w:r w:rsidRPr="00610B1B">
          <w:rPr>
            <w:rFonts w:ascii="Times New Roman" w:eastAsia="Source Han Sans CN Regular" w:hAnsi="Times New Roman" w:cs="Times New Roman"/>
            <w:color w:val="0000FF"/>
            <w:sz w:val="24"/>
            <w:szCs w:val="24"/>
            <w:u w:val="single"/>
            <w:lang w:val="bg-BG" w:eastAsia="zh-CN" w:bidi="hi-IN"/>
          </w:rPr>
          <w:t>%20</w:t>
        </w:r>
      </w:hyperlink>
      <w:hyperlink r:id="rId257">
        <w:r w:rsidRPr="00610B1B">
          <w:rPr>
            <w:rFonts w:ascii="Times New Roman" w:eastAsia="Source Han Sans CN Regular" w:hAnsi="Times New Roman" w:cs="Times New Roman"/>
            <w:color w:val="0000FF"/>
            <w:sz w:val="24"/>
            <w:szCs w:val="24"/>
            <w:u w:val="single"/>
            <w:lang w:val="bg-BG" w:eastAsia="zh-CN" w:bidi="hi-IN"/>
          </w:rPr>
          <w:t>Project</w:t>
        </w:r>
      </w:hyperlink>
      <w:hyperlink r:id="rId258">
        <w:r w:rsidRPr="00610B1B">
          <w:rPr>
            <w:rFonts w:ascii="Times New Roman" w:eastAsia="Source Han Sans CN Regular" w:hAnsi="Times New Roman" w:cs="Times New Roman"/>
            <w:color w:val="0000FF"/>
            <w:sz w:val="24"/>
            <w:szCs w:val="24"/>
            <w:u w:val="single"/>
            <w:lang w:val="bg-BG" w:eastAsia="zh-CN" w:bidi="hi-IN"/>
          </w:rPr>
          <w:t>%20</w:t>
        </w:r>
      </w:hyperlink>
      <w:hyperlink r:id="rId259">
        <w:r w:rsidRPr="00610B1B">
          <w:rPr>
            <w:rFonts w:ascii="Times New Roman" w:eastAsia="Source Han Sans CN Regular" w:hAnsi="Times New Roman" w:cs="Times New Roman"/>
            <w:color w:val="0000FF"/>
            <w:sz w:val="24"/>
            <w:szCs w:val="24"/>
            <w:u w:val="single"/>
            <w:lang w:val="bg-BG" w:eastAsia="zh-CN" w:bidi="hi-IN"/>
          </w:rPr>
          <w:t>Final</w:t>
        </w:r>
      </w:hyperlink>
      <w:hyperlink r:id="rId260">
        <w:r w:rsidRPr="00610B1B">
          <w:rPr>
            <w:rFonts w:ascii="Times New Roman" w:eastAsia="Source Han Sans CN Regular" w:hAnsi="Times New Roman" w:cs="Times New Roman"/>
            <w:color w:val="0000FF"/>
            <w:sz w:val="24"/>
            <w:szCs w:val="24"/>
            <w:u w:val="single"/>
            <w:lang w:val="bg-BG" w:eastAsia="zh-CN" w:bidi="hi-IN"/>
          </w:rPr>
          <w:t>%20</w:t>
        </w:r>
      </w:hyperlink>
      <w:hyperlink r:id="rId261">
        <w:r w:rsidRPr="00610B1B">
          <w:rPr>
            <w:rFonts w:ascii="Times New Roman" w:eastAsia="Source Han Sans CN Regular" w:hAnsi="Times New Roman" w:cs="Times New Roman"/>
            <w:color w:val="0000FF"/>
            <w:sz w:val="24"/>
            <w:szCs w:val="24"/>
            <w:u w:val="single"/>
            <w:lang w:val="bg-BG" w:eastAsia="zh-CN" w:bidi="hi-IN"/>
          </w:rPr>
          <w:t>Report</w:t>
        </w:r>
      </w:hyperlink>
      <w:r w:rsidR="00D66FE0" w:rsidRPr="00610B1B">
        <w:rPr>
          <w:rFonts w:ascii="Times New Roman" w:eastAsia="Source Han Sans CN Regular" w:hAnsi="Times New Roman" w:cs="Times New Roman"/>
          <w:sz w:val="24"/>
          <w:szCs w:val="24"/>
          <w:lang w:val="bg-BG" w:eastAsia="zh-CN" w:bidi="hi-IN"/>
        </w:rPr>
        <w:t xml:space="preserve"> </w:t>
      </w:r>
    </w:p>
    <w:p w14:paraId="0A0BD49B"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Махън, Алфред (Mahan) „Влиянието на морската мощ върху развитието на историята 1660-1783” (The Influence of Sea Power upon History, 1660-1783</w:t>
      </w:r>
    </w:p>
    <w:p w14:paraId="02E7FCE1"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Медникаров, Боян, Защита на морския суверенитет, Варна, 2008.</w:t>
      </w:r>
    </w:p>
    <w:p w14:paraId="18DCEA8E"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Мильчакова, Н., Петров, А.Н., 2003. Морфофункциональный анализ многолетних изменений структуры цистозировых фитоценозов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бухта Лапси, Черное море</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Альгология 13, 355–370.</w:t>
      </w:r>
    </w:p>
    <w:p w14:paraId="6E1F0082" w14:textId="249933B8"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Михайлов, К., Делов, В., Гофман, О., Терзийски, Г., &amp; Клисарова, Д.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2015a</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Оценка на природозащитно състояние с предложение за референтни стойности на афала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i/>
          <w:iCs/>
          <w:sz w:val="24"/>
          <w:szCs w:val="24"/>
          <w:lang w:val="bg-BG" w:eastAsia="zh-CN" w:bidi="hi-IN"/>
        </w:rPr>
        <w:t>Tursiops truncatus</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w:t>
      </w:r>
      <w:hyperlink r:id="rId262" w:history="1">
        <w:r w:rsidR="00BF58D9" w:rsidRPr="00610B1B">
          <w:rPr>
            <w:rStyle w:val="Hyperlink"/>
            <w:rFonts w:ascii="Times New Roman" w:eastAsia="Source Han Sans CN Regular" w:hAnsi="Times New Roman" w:cs="Times New Roman"/>
            <w:sz w:val="24"/>
            <w:szCs w:val="24"/>
            <w:lang w:val="bg-BG" w:eastAsia="zh-CN" w:bidi="hi-IN"/>
          </w:rPr>
          <w:t>http://eea.government.bg/bg/bio/opos/activities-results/CS_TT.pdf</w:t>
        </w:r>
      </w:hyperlink>
      <w:r w:rsidR="00BF58D9" w:rsidRPr="00610B1B">
        <w:rPr>
          <w:rFonts w:ascii="Times New Roman" w:eastAsia="Source Han Sans CN Regular" w:hAnsi="Times New Roman" w:cs="Times New Roman"/>
          <w:sz w:val="24"/>
          <w:szCs w:val="24"/>
          <w:lang w:val="bg-BG" w:eastAsia="zh-CN" w:bidi="hi-IN"/>
        </w:rPr>
        <w:t xml:space="preserve"> </w:t>
      </w:r>
    </w:p>
    <w:p w14:paraId="3663718A" w14:textId="5D226AAB"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Михайлов, К., Делов, В., Гофман, О., Терзийски, Г., &amp; Клисарова, Д.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2015б</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Оценка на природозащитното състояние с предложение за референтни стойности на черноморски обикновен делфин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i/>
          <w:iCs/>
          <w:sz w:val="24"/>
          <w:szCs w:val="24"/>
          <w:lang w:val="bg-BG" w:eastAsia="zh-CN" w:bidi="hi-IN"/>
        </w:rPr>
        <w:t>Delphinus delphis ponticus</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w:t>
      </w:r>
      <w:hyperlink r:id="rId263">
        <w:r w:rsidRPr="00610B1B">
          <w:rPr>
            <w:rFonts w:ascii="Times New Roman" w:eastAsia="Source Han Sans CN Regular" w:hAnsi="Times New Roman" w:cs="Times New Roman"/>
            <w:color w:val="0000FF"/>
            <w:sz w:val="24"/>
            <w:szCs w:val="24"/>
            <w:u w:val="single"/>
            <w:lang w:val="bg-BG" w:eastAsia="zh-CN" w:bidi="hi-IN"/>
          </w:rPr>
          <w:t>http</w:t>
        </w:r>
      </w:hyperlink>
      <w:hyperlink r:id="rId264">
        <w:r w:rsidRPr="00610B1B">
          <w:rPr>
            <w:rFonts w:ascii="Times New Roman" w:eastAsia="Source Han Sans CN Regular" w:hAnsi="Times New Roman" w:cs="Times New Roman"/>
            <w:color w:val="0000FF"/>
            <w:sz w:val="24"/>
            <w:szCs w:val="24"/>
            <w:u w:val="single"/>
            <w:lang w:val="bg-BG" w:eastAsia="zh-CN" w:bidi="hi-IN"/>
          </w:rPr>
          <w:t>://</w:t>
        </w:r>
      </w:hyperlink>
      <w:hyperlink r:id="rId265">
        <w:r w:rsidRPr="00610B1B">
          <w:rPr>
            <w:rFonts w:ascii="Times New Roman" w:eastAsia="Source Han Sans CN Regular" w:hAnsi="Times New Roman" w:cs="Times New Roman"/>
            <w:color w:val="0000FF"/>
            <w:sz w:val="24"/>
            <w:szCs w:val="24"/>
            <w:u w:val="single"/>
            <w:lang w:val="bg-BG" w:eastAsia="zh-CN" w:bidi="hi-IN"/>
          </w:rPr>
          <w:t>eea</w:t>
        </w:r>
      </w:hyperlink>
      <w:hyperlink r:id="rId266">
        <w:r w:rsidRPr="00610B1B">
          <w:rPr>
            <w:rFonts w:ascii="Times New Roman" w:eastAsia="Source Han Sans CN Regular" w:hAnsi="Times New Roman" w:cs="Times New Roman"/>
            <w:color w:val="0000FF"/>
            <w:sz w:val="24"/>
            <w:szCs w:val="24"/>
            <w:u w:val="single"/>
            <w:lang w:val="bg-BG" w:eastAsia="zh-CN" w:bidi="hi-IN"/>
          </w:rPr>
          <w:t>.</w:t>
        </w:r>
      </w:hyperlink>
      <w:hyperlink r:id="rId267">
        <w:r w:rsidRPr="00610B1B">
          <w:rPr>
            <w:rFonts w:ascii="Times New Roman" w:eastAsia="Source Han Sans CN Regular" w:hAnsi="Times New Roman" w:cs="Times New Roman"/>
            <w:color w:val="0000FF"/>
            <w:sz w:val="24"/>
            <w:szCs w:val="24"/>
            <w:u w:val="single"/>
            <w:lang w:val="bg-BG" w:eastAsia="zh-CN" w:bidi="hi-IN"/>
          </w:rPr>
          <w:t>government</w:t>
        </w:r>
      </w:hyperlink>
      <w:hyperlink r:id="rId268">
        <w:r w:rsidRPr="00610B1B">
          <w:rPr>
            <w:rFonts w:ascii="Times New Roman" w:eastAsia="Source Han Sans CN Regular" w:hAnsi="Times New Roman" w:cs="Times New Roman"/>
            <w:color w:val="0000FF"/>
            <w:sz w:val="24"/>
            <w:szCs w:val="24"/>
            <w:u w:val="single"/>
            <w:lang w:val="bg-BG" w:eastAsia="zh-CN" w:bidi="hi-IN"/>
          </w:rPr>
          <w:t>.</w:t>
        </w:r>
      </w:hyperlink>
      <w:hyperlink r:id="rId269">
        <w:r w:rsidRPr="00610B1B">
          <w:rPr>
            <w:rFonts w:ascii="Times New Roman" w:eastAsia="Source Han Sans CN Regular" w:hAnsi="Times New Roman" w:cs="Times New Roman"/>
            <w:color w:val="0000FF"/>
            <w:sz w:val="24"/>
            <w:szCs w:val="24"/>
            <w:u w:val="single"/>
            <w:lang w:val="bg-BG" w:eastAsia="zh-CN" w:bidi="hi-IN"/>
          </w:rPr>
          <w:t>bg</w:t>
        </w:r>
      </w:hyperlink>
      <w:hyperlink r:id="rId270">
        <w:r w:rsidRPr="00610B1B">
          <w:rPr>
            <w:rFonts w:ascii="Times New Roman" w:eastAsia="Source Han Sans CN Regular" w:hAnsi="Times New Roman" w:cs="Times New Roman"/>
            <w:color w:val="0000FF"/>
            <w:sz w:val="24"/>
            <w:szCs w:val="24"/>
            <w:u w:val="single"/>
            <w:lang w:val="bg-BG" w:eastAsia="zh-CN" w:bidi="hi-IN"/>
          </w:rPr>
          <w:t>/</w:t>
        </w:r>
      </w:hyperlink>
      <w:hyperlink r:id="rId271">
        <w:r w:rsidRPr="00610B1B">
          <w:rPr>
            <w:rFonts w:ascii="Times New Roman" w:eastAsia="Source Han Sans CN Regular" w:hAnsi="Times New Roman" w:cs="Times New Roman"/>
            <w:color w:val="0000FF"/>
            <w:sz w:val="24"/>
            <w:szCs w:val="24"/>
            <w:u w:val="single"/>
            <w:lang w:val="bg-BG" w:eastAsia="zh-CN" w:bidi="hi-IN"/>
          </w:rPr>
          <w:t>bg</w:t>
        </w:r>
      </w:hyperlink>
      <w:hyperlink r:id="rId272">
        <w:r w:rsidRPr="00610B1B">
          <w:rPr>
            <w:rFonts w:ascii="Times New Roman" w:eastAsia="Source Han Sans CN Regular" w:hAnsi="Times New Roman" w:cs="Times New Roman"/>
            <w:color w:val="0000FF"/>
            <w:sz w:val="24"/>
            <w:szCs w:val="24"/>
            <w:u w:val="single"/>
            <w:lang w:val="bg-BG" w:eastAsia="zh-CN" w:bidi="hi-IN"/>
          </w:rPr>
          <w:t>/</w:t>
        </w:r>
      </w:hyperlink>
      <w:hyperlink r:id="rId273">
        <w:r w:rsidRPr="00610B1B">
          <w:rPr>
            <w:rFonts w:ascii="Times New Roman" w:eastAsia="Source Han Sans CN Regular" w:hAnsi="Times New Roman" w:cs="Times New Roman"/>
            <w:color w:val="0000FF"/>
            <w:sz w:val="24"/>
            <w:szCs w:val="24"/>
            <w:u w:val="single"/>
            <w:lang w:val="bg-BG" w:eastAsia="zh-CN" w:bidi="hi-IN"/>
          </w:rPr>
          <w:t>bio</w:t>
        </w:r>
      </w:hyperlink>
      <w:hyperlink r:id="rId274">
        <w:r w:rsidRPr="00610B1B">
          <w:rPr>
            <w:rFonts w:ascii="Times New Roman" w:eastAsia="Source Han Sans CN Regular" w:hAnsi="Times New Roman" w:cs="Times New Roman"/>
            <w:color w:val="0000FF"/>
            <w:sz w:val="24"/>
            <w:szCs w:val="24"/>
            <w:u w:val="single"/>
            <w:lang w:val="bg-BG" w:eastAsia="zh-CN" w:bidi="hi-IN"/>
          </w:rPr>
          <w:t>/</w:t>
        </w:r>
      </w:hyperlink>
      <w:hyperlink r:id="rId275">
        <w:r w:rsidRPr="00610B1B">
          <w:rPr>
            <w:rFonts w:ascii="Times New Roman" w:eastAsia="Source Han Sans CN Regular" w:hAnsi="Times New Roman" w:cs="Times New Roman"/>
            <w:color w:val="0000FF"/>
            <w:sz w:val="24"/>
            <w:szCs w:val="24"/>
            <w:u w:val="single"/>
            <w:lang w:val="bg-BG" w:eastAsia="zh-CN" w:bidi="hi-IN"/>
          </w:rPr>
          <w:t>opos</w:t>
        </w:r>
      </w:hyperlink>
      <w:hyperlink r:id="rId276">
        <w:r w:rsidRPr="00610B1B">
          <w:rPr>
            <w:rFonts w:ascii="Times New Roman" w:eastAsia="Source Han Sans CN Regular" w:hAnsi="Times New Roman" w:cs="Times New Roman"/>
            <w:color w:val="0000FF"/>
            <w:sz w:val="24"/>
            <w:szCs w:val="24"/>
            <w:u w:val="single"/>
            <w:lang w:val="bg-BG" w:eastAsia="zh-CN" w:bidi="hi-IN"/>
          </w:rPr>
          <w:t>/</w:t>
        </w:r>
      </w:hyperlink>
      <w:hyperlink r:id="rId277">
        <w:r w:rsidRPr="00610B1B">
          <w:rPr>
            <w:rFonts w:ascii="Times New Roman" w:eastAsia="Source Han Sans CN Regular" w:hAnsi="Times New Roman" w:cs="Times New Roman"/>
            <w:color w:val="0000FF"/>
            <w:sz w:val="24"/>
            <w:szCs w:val="24"/>
            <w:u w:val="single"/>
            <w:lang w:val="bg-BG" w:eastAsia="zh-CN" w:bidi="hi-IN"/>
          </w:rPr>
          <w:t>activities</w:t>
        </w:r>
      </w:hyperlink>
      <w:hyperlink r:id="rId278">
        <w:r w:rsidRPr="00610B1B">
          <w:rPr>
            <w:rFonts w:ascii="Times New Roman" w:eastAsia="Source Han Sans CN Regular" w:hAnsi="Times New Roman" w:cs="Times New Roman"/>
            <w:color w:val="0000FF"/>
            <w:sz w:val="24"/>
            <w:szCs w:val="24"/>
            <w:u w:val="single"/>
            <w:lang w:val="bg-BG" w:eastAsia="zh-CN" w:bidi="hi-IN"/>
          </w:rPr>
          <w:t>-</w:t>
        </w:r>
      </w:hyperlink>
      <w:hyperlink r:id="rId279">
        <w:r w:rsidRPr="00610B1B">
          <w:rPr>
            <w:rFonts w:ascii="Times New Roman" w:eastAsia="Source Han Sans CN Regular" w:hAnsi="Times New Roman" w:cs="Times New Roman"/>
            <w:color w:val="0000FF"/>
            <w:sz w:val="24"/>
            <w:szCs w:val="24"/>
            <w:u w:val="single"/>
            <w:lang w:val="bg-BG" w:eastAsia="zh-CN" w:bidi="hi-IN"/>
          </w:rPr>
          <w:t>results</w:t>
        </w:r>
      </w:hyperlink>
      <w:hyperlink r:id="rId280">
        <w:r w:rsidRPr="00610B1B">
          <w:rPr>
            <w:rFonts w:ascii="Times New Roman" w:eastAsia="Source Han Sans CN Regular" w:hAnsi="Times New Roman" w:cs="Times New Roman"/>
            <w:color w:val="0000FF"/>
            <w:sz w:val="24"/>
            <w:szCs w:val="24"/>
            <w:u w:val="single"/>
            <w:lang w:val="bg-BG" w:eastAsia="zh-CN" w:bidi="hi-IN"/>
          </w:rPr>
          <w:t>/</w:t>
        </w:r>
      </w:hyperlink>
      <w:hyperlink r:id="rId281">
        <w:r w:rsidRPr="00610B1B">
          <w:rPr>
            <w:rFonts w:ascii="Times New Roman" w:eastAsia="Source Han Sans CN Regular" w:hAnsi="Times New Roman" w:cs="Times New Roman"/>
            <w:color w:val="0000FF"/>
            <w:sz w:val="24"/>
            <w:szCs w:val="24"/>
            <w:u w:val="single"/>
            <w:lang w:val="bg-BG" w:eastAsia="zh-CN" w:bidi="hi-IN"/>
          </w:rPr>
          <w:t>CS_DD</w:t>
        </w:r>
      </w:hyperlink>
      <w:hyperlink r:id="rId282">
        <w:r w:rsidRPr="00610B1B">
          <w:rPr>
            <w:rFonts w:ascii="Times New Roman" w:eastAsia="Source Han Sans CN Regular" w:hAnsi="Times New Roman" w:cs="Times New Roman"/>
            <w:color w:val="0000FF"/>
            <w:sz w:val="24"/>
            <w:szCs w:val="24"/>
            <w:u w:val="single"/>
            <w:lang w:val="bg-BG" w:eastAsia="zh-CN" w:bidi="hi-IN"/>
          </w:rPr>
          <w:t>.</w:t>
        </w:r>
      </w:hyperlink>
      <w:hyperlink r:id="rId283">
        <w:r w:rsidRPr="00610B1B">
          <w:rPr>
            <w:rFonts w:ascii="Times New Roman" w:eastAsia="Source Han Sans CN Regular" w:hAnsi="Times New Roman" w:cs="Times New Roman"/>
            <w:color w:val="0000FF"/>
            <w:sz w:val="24"/>
            <w:szCs w:val="24"/>
            <w:u w:val="single"/>
            <w:lang w:val="bg-BG" w:eastAsia="zh-CN" w:bidi="hi-IN"/>
          </w:rPr>
          <w:t>pdf</w:t>
        </w:r>
      </w:hyperlink>
      <w:r w:rsidR="00D66FE0" w:rsidRPr="00610B1B">
        <w:rPr>
          <w:rFonts w:ascii="Times New Roman" w:eastAsia="Source Han Sans CN Regular" w:hAnsi="Times New Roman" w:cs="Times New Roman"/>
          <w:sz w:val="24"/>
          <w:szCs w:val="24"/>
          <w:lang w:val="bg-BG" w:eastAsia="zh-CN" w:bidi="hi-IN"/>
        </w:rPr>
        <w:t xml:space="preserve"> </w:t>
      </w:r>
    </w:p>
    <w:p w14:paraId="06D071E4" w14:textId="77777777" w:rsidR="00BF58D9" w:rsidRPr="00610B1B" w:rsidRDefault="00BE57CC" w:rsidP="00BF58D9">
      <w:pPr>
        <w:widowControl w:val="0"/>
        <w:numPr>
          <w:ilvl w:val="0"/>
          <w:numId w:val="98"/>
        </w:numPr>
        <w:spacing w:after="0"/>
        <w:ind w:left="425" w:right="-153" w:hanging="425"/>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Михайлов, К., Узунова, С., &amp; Церкова, Ф., 2015. Резултати от изследванията върху изхвърлените по българското крайбрежие китоподобни през периода януари - юни 2015 г. </w:t>
      </w:r>
    </w:p>
    <w:p w14:paraId="20078DC8" w14:textId="0C630302" w:rsidR="00BE57CC" w:rsidRPr="00610B1B" w:rsidRDefault="002A152C" w:rsidP="00BF58D9">
      <w:pPr>
        <w:widowControl w:val="0"/>
        <w:spacing w:after="120"/>
        <w:ind w:left="426" w:right="-589"/>
        <w:jc w:val="both"/>
        <w:rPr>
          <w:rFonts w:ascii="Times New Roman" w:eastAsia="Source Han Sans CN Regular" w:hAnsi="Times New Roman" w:cs="Times New Roman"/>
          <w:sz w:val="24"/>
          <w:szCs w:val="24"/>
          <w:lang w:val="bg-BG" w:eastAsia="zh-CN" w:bidi="hi-IN"/>
        </w:rPr>
      </w:pPr>
      <w:hyperlink r:id="rId284" w:history="1">
        <w:r w:rsidR="00BF58D9" w:rsidRPr="00610B1B">
          <w:rPr>
            <w:rStyle w:val="Hyperlink"/>
            <w:rFonts w:ascii="Times New Roman" w:eastAsia="Source Han Sans CN Regular" w:hAnsi="Times New Roman" w:cs="Times New Roman"/>
            <w:sz w:val="24"/>
            <w:szCs w:val="24"/>
            <w:lang w:val="bg-BG" w:eastAsia="zh-CN" w:bidi="hi-IN"/>
          </w:rPr>
          <w:t>http://eea.government.bg/bg/bio/opos/activities-results/Doklad_Izhvyrleni_na_brega_kitopodobni.pdf</w:t>
        </w:r>
      </w:hyperlink>
    </w:p>
    <w:p w14:paraId="5CD6F28B"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Михова, Е. 1998. Колебания на морското ниво и палеоекологични условия за развитието на човешкия живот край бреговете на Черно море. В Сб. Брегоукрепване и дълготрайно стабилизиране на склоновете на Черноморското крайбрежие “. С., Акад. издателство „Проф. М. Дринов, 64-6;</w:t>
      </w:r>
    </w:p>
    <w:p w14:paraId="3D23A3E0"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Мичев, Т., 1984. Екологични проучвания върху разпространението и есенната миграция на реещите се птици в България. НКЦОВОС, БАН, 252;</w:t>
      </w:r>
    </w:p>
    <w:p w14:paraId="1B529900"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Мичев, Т., Л. Профиров, И. Ватев, П. Симеонов. 1987. Радарни проучвания върху есенната миграция на пеликани, щъркели и жерави по Българското черноморско крайбрежие. -В: Съвременни постижения на българската зоология, С., БАН, 155-158. </w:t>
      </w:r>
    </w:p>
    <w:p w14:paraId="4AC4598F"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Мичев, Т., Л. Профиров. 1986. Принос към изучаване на есенната миграция при нереещи птици от разредите Pelecaniformes и Ciconiiformes в района на Бургаския залив. B: Межд. симп. „Роля на влажните зони за спазване на генетичния фонд". Сребърна, 8-12. 10. 1985, С. БАН, 176-185.</w:t>
      </w:r>
    </w:p>
    <w:p w14:paraId="69ACA481"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Мичев, Т., П. Симеонов. 1981. Принос към проучването на есенния прелет на някои водолюбиви и грабливи птици при Бургас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13-23.09.1978 г.</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 Екология, БАН, 8: 43-48.</w:t>
      </w:r>
    </w:p>
    <w:p w14:paraId="1F2FD5BD"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Мончева, С., Слабакова, В, Пенева, Е, Вълчев, Н. 2018. Доклад анализ на състоянието на морската околна среда. Институт по океанология-БАН. 181 с. </w:t>
      </w:r>
    </w:p>
    <w:p w14:paraId="09276438"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Мончева, С., Тодорова, В.Р.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Eds.</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2013а. Първоначална оценка на състоянието на морската околна среда, съгласно чл. 8 от РДМС и НООСМВ. БДЧР, Варна.</w:t>
      </w:r>
    </w:p>
    <w:p w14:paraId="473C606E"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Мончева, С., Тодорова, В.Р.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Eds.</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2013б. Формулиране на добро състояние на морската околна среда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ДСМОС</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Дефиниране на екологични цели за морската околна среда съгласно чл. 9 и 10 от НООСМВ. БДЧР, Варна.</w:t>
      </w:r>
    </w:p>
    <w:p w14:paraId="724C3C9E"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Нанкинов Д. 2009. Изследвания върху фауната на България. Птици – Aves. Изд. ЕТО, София 2009</w:t>
      </w:r>
    </w:p>
    <w:p w14:paraId="71BE5F60"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Нанкинов, Д. 1978. Остров Св. Иван - интересен пункт за орнитологически изследвания. Орнитологичен информационен бюлетин, 4: 20-28;</w:t>
      </w:r>
    </w:p>
    <w:p w14:paraId="2F5DC7F5"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Нанкинов, Д., А. Даракчиев 1977 - Структура на орнитофауната в Атанасовското езеро - май 1978. НУ “П. Хилендарски“. Научни трудове, 15, 4: 75-96;</w:t>
      </w:r>
    </w:p>
    <w:p w14:paraId="76955F50" w14:textId="45709BDE" w:rsidR="00681162" w:rsidRPr="00610B1B" w:rsidRDefault="00BE57CC" w:rsidP="00727372">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Николов Д. Хр., 1963. Лов и разпределение на делфиновите стада пред българския бряг. Изв. ЦНИРР, Варна, т. 3, 193-198;</w:t>
      </w:r>
    </w:p>
    <w:p w14:paraId="3BC78E6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Панайотова, 2017. Нетърговски видове риби. В: “Проучване на състоянието на морската околна среда и подобряване на програмите за мониторинг, разработени съгласно РДМС“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Финален доклад по проект ISMEIMP</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Институт по океанология -БАН, с. 99-124. </w:t>
      </w:r>
    </w:p>
    <w:p w14:paraId="71AED25E" w14:textId="4D7711E2" w:rsidR="00BE57CC" w:rsidRPr="00610B1B" w:rsidRDefault="002A152C" w:rsidP="00BE57CC">
      <w:pPr>
        <w:widowControl w:val="0"/>
        <w:spacing w:after="120"/>
        <w:ind w:left="426" w:right="-153"/>
        <w:jc w:val="both"/>
        <w:rPr>
          <w:rFonts w:ascii="Times New Roman" w:eastAsia="Source Han Sans CN Regular" w:hAnsi="Times New Roman" w:cs="Times New Roman"/>
          <w:sz w:val="24"/>
          <w:szCs w:val="24"/>
          <w:lang w:val="bg-BG" w:eastAsia="zh-CN" w:bidi="hi-IN"/>
        </w:rPr>
      </w:pPr>
      <w:hyperlink r:id="rId285" w:history="1">
        <w:r w:rsidR="00BE57CC" w:rsidRPr="00610B1B">
          <w:rPr>
            <w:rFonts w:ascii="Times New Roman" w:eastAsia="Source Han Sans CN Regular" w:hAnsi="Times New Roman" w:cs="Times New Roman"/>
            <w:color w:val="0000FF"/>
            <w:sz w:val="24"/>
            <w:szCs w:val="24"/>
            <w:u w:val="single"/>
            <w:lang w:val="bg-BG" w:eastAsia="zh-CN" w:bidi="hi-IN"/>
          </w:rPr>
          <w:t>https://www.bsbd.org/UserFiles/File/projects/ISMEIMP/ISMEIMP Project Final Report.pdf</w:t>
        </w:r>
      </w:hyperlink>
      <w:r w:rsidR="00BE57CC" w:rsidRPr="00610B1B">
        <w:rPr>
          <w:rFonts w:ascii="Times New Roman" w:eastAsia="Source Han Sans CN Regular" w:hAnsi="Times New Roman" w:cs="Times New Roman"/>
          <w:sz w:val="24"/>
          <w:szCs w:val="24"/>
          <w:lang w:val="bg-BG" w:eastAsia="zh-CN" w:bidi="hi-IN"/>
        </w:rPr>
        <w:t xml:space="preserve"> </w:t>
      </w:r>
    </w:p>
    <w:p w14:paraId="5AC94EE4" w14:textId="1D78E0B3"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Панайотова, М., Бекова, Р., 2018. Анализ и интерпретация на резултатите по Дескриптор 1, 4 – Биоразнообразие – Нетърговски видове риби. В Доклад за анализ на състоянието на морската околна среда – 2018 г., с. 12-45;</w:t>
      </w:r>
    </w:p>
    <w:p w14:paraId="4150EC93" w14:textId="77777777" w:rsidR="009918C6" w:rsidRPr="00610B1B" w:rsidRDefault="009918C6" w:rsidP="009918C6">
      <w:pPr>
        <w:widowControl w:val="0"/>
        <w:spacing w:after="120"/>
        <w:ind w:right="-153"/>
        <w:jc w:val="both"/>
        <w:rPr>
          <w:rFonts w:ascii="Times New Roman" w:eastAsia="Source Han Sans CN Regular" w:hAnsi="Times New Roman" w:cs="Times New Roman"/>
          <w:sz w:val="24"/>
          <w:szCs w:val="24"/>
          <w:lang w:val="bg-BG" w:eastAsia="zh-CN" w:bidi="hi-IN"/>
        </w:rPr>
      </w:pPr>
    </w:p>
    <w:p w14:paraId="77E46CA6"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Панайотова, М., Райков, В., 2013. Функционални групи: Риби. В: Първоначална оценка на състоянието на морската околна среда съгласно чл. 8 от НООСМВ. Варна, Басейнова дирекция Черноморски район, с.189-199.</w:t>
      </w:r>
    </w:p>
    <w:p w14:paraId="112904C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Патев, П. 1930. Бележки и наблюдения по прелета на птиците по нашето Черноморско крайбрежие. Сп. Ловец, 31.</w:t>
      </w:r>
    </w:p>
    <w:p w14:paraId="6DA8420B"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Патев, П. 1950. Птиците в България, БАН, София, 350 ;</w:t>
      </w:r>
    </w:p>
    <w:p w14:paraId="6AFA8958"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Пейчев В., Д. Димитров. 2012. Океанология. Варна. Издание Онгъл. ISBN 978-954-8279- 82-6. 476 стр;</w:t>
      </w:r>
    </w:p>
    <w:p w14:paraId="2873DDCC"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Пейчев, В. 2004. Морфодинамични и литодинамични процеси в бреговата зона. Изд. Славена, Варна, с. 231;</w:t>
      </w:r>
    </w:p>
    <w:p w14:paraId="00109316"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Пейчев, В., Димитров, Д., Пейчева, М., 2014. Геодинамични процеси по Българското черноморско крайбрежие. Известие на Съюза на учените, Варна, 3-8 с.;</w:t>
      </w:r>
    </w:p>
    <w:p w14:paraId="16E75A68"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Петров, Б., С. Златанов. 1955 - Материали по фауната на птиците в Добруджа - Списание на Научноизследователски институт при Министерство на земеделието, 1.</w:t>
      </w:r>
    </w:p>
    <w:p w14:paraId="4484101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Петров, Г. 2010. Еволюция на карстовата долина Болата – Добруджа. Сб. Научна конф. „География и регионално развитие“, Созопол. С., 2010, 176-195;</w:t>
      </w:r>
    </w:p>
    <w:p w14:paraId="196A0E5B" w14:textId="2DDA45A8"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Петрова,</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А.,</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Х.</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Дабовски,</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С.</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Савов,</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Г.</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Чаталов.</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1992. Геоложка карта на България в М 1:100000 (картен лист Царево, н. Силистар, Малко Търново, Резово). - КГМР, ПГПГК.</w:t>
      </w:r>
    </w:p>
    <w:p w14:paraId="14B56BB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Пешев, Ив. 1967. Принос към изучаване на орнитофауната по Варненското крайбрежие – Известия на Народния музей Варна, 3.</w:t>
      </w:r>
    </w:p>
    <w:p w14:paraId="0EF1F6DE"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Попов, В. 1966. Бургаската крайбрежна низина и Хисаро-бакаджиски праг. География на България, т. 1.</w:t>
      </w:r>
    </w:p>
    <w:p w14:paraId="73985CA4" w14:textId="3BC967FB"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Попов, Вл., Мишев, К., 1974. Геоморфология на Българското Черноморско крайбрежие и шелф,</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Изд. на Българска Академия на Науките, София, 379 с.</w:t>
      </w:r>
    </w:p>
    <w:p w14:paraId="3726F00C" w14:textId="6F897FE2"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Проданов, Б. 2017 Геоложка основа при картиране на дънни местообитания в Българския континентален шелф пред Авренското крайбрежие. Дисертация за придобиване на образователната и научна степен „Доктор“, Институт по океанолгия – БАН, Варна, 163 с</w:t>
      </w:r>
    </w:p>
    <w:p w14:paraId="36C20BBD" w14:textId="163D762F" w:rsidR="00BE57CC" w:rsidRPr="00610B1B" w:rsidRDefault="00BE57CC" w:rsidP="00DE3A13">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Проданов, Б., Димитров, Л., 2015. Морфо-литоложка характеристика на шелфа пред Авренското крайбрежие. В Годишник на Минно-геоложкия университет „Св. Иван Рилски“, т. 58, Св. I, Геология и геофизика, ISSN 1312-1820, с. 73-78;</w:t>
      </w:r>
    </w:p>
    <w:p w14:paraId="4D4919D1" w14:textId="727C716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Простов, Ал., 1964. Изучаване на орнитофауната в Бургаско. Известия на Зоологическия институт с музей, София,</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15:5-68.</w:t>
      </w:r>
    </w:p>
    <w:p w14:paraId="08703DB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Пърличев, Д., Петров, П., 1974. Опит за геоморфоложко райониране на Българския черноморски шелф. В Проблеми на географията в България, т. IV, с. 69-80;</w:t>
      </w:r>
    </w:p>
    <w:p w14:paraId="54FB962D" w14:textId="6BF5E0BE"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Райков, В., Янкова, М., Иванова, П., Стефанова, К., Стефанова, Е., &amp; Траянова, А. 2015. Пелагично трално изследване в българската част на Черно море. </w:t>
      </w:r>
      <w:hyperlink r:id="rId286" w:history="1">
        <w:r w:rsidR="00DB5CC7" w:rsidRPr="00610B1B">
          <w:rPr>
            <w:rStyle w:val="Hyperlink"/>
            <w:rFonts w:ascii="Times New Roman" w:eastAsia="Source Han Sans CN Regular" w:hAnsi="Times New Roman" w:cs="Times New Roman"/>
            <w:sz w:val="24"/>
            <w:szCs w:val="24"/>
            <w:lang w:val="bg-BG" w:eastAsia="zh-CN" w:bidi="hi-IN"/>
          </w:rPr>
          <w:t>http://iara.government.bg/wp-content/uploads/2017/10/Sprat_SURVEY_2015_December_BG.pdf</w:t>
        </w:r>
      </w:hyperlink>
      <w:r w:rsidR="00DB5CC7" w:rsidRPr="00610B1B">
        <w:rPr>
          <w:rFonts w:ascii="Times New Roman" w:eastAsia="Source Han Sans CN Regular" w:hAnsi="Times New Roman" w:cs="Times New Roman"/>
          <w:sz w:val="24"/>
          <w:szCs w:val="24"/>
          <w:lang w:val="bg-BG" w:eastAsia="zh-CN" w:bidi="hi-IN"/>
        </w:rPr>
        <w:t xml:space="preserve"> </w:t>
      </w:r>
    </w:p>
    <w:p w14:paraId="52BD253F" w14:textId="72C7446C"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 xml:space="preserve">Райков, В., Янкова, М., Иванова, П., Траянова, А., Михнева, В., Димитров, Д., … Вълчева, Н.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2016</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Пелагично изследване в българската ИИЗ за периода август и декември 2016. </w:t>
      </w:r>
      <w:hyperlink r:id="rId287">
        <w:r w:rsidRPr="00610B1B">
          <w:rPr>
            <w:rStyle w:val="Hyperlink"/>
            <w:rFonts w:ascii="Times New Roman" w:hAnsi="Times New Roman" w:cs="Times New Roman"/>
            <w:lang w:val="bg-BG"/>
          </w:rPr>
          <w:t>http</w:t>
        </w:r>
      </w:hyperlink>
      <w:hyperlink r:id="rId288">
        <w:r w:rsidRPr="00610B1B">
          <w:rPr>
            <w:rStyle w:val="Hyperlink"/>
            <w:rFonts w:ascii="Times New Roman" w:hAnsi="Times New Roman" w:cs="Times New Roman"/>
            <w:lang w:val="bg-BG"/>
          </w:rPr>
          <w:t>://</w:t>
        </w:r>
      </w:hyperlink>
      <w:hyperlink r:id="rId289">
        <w:r w:rsidRPr="00610B1B">
          <w:rPr>
            <w:rStyle w:val="Hyperlink"/>
            <w:rFonts w:ascii="Times New Roman" w:hAnsi="Times New Roman" w:cs="Times New Roman"/>
            <w:lang w:val="bg-BG"/>
          </w:rPr>
          <w:t>iara</w:t>
        </w:r>
      </w:hyperlink>
      <w:hyperlink r:id="rId290">
        <w:r w:rsidRPr="00610B1B">
          <w:rPr>
            <w:rStyle w:val="Hyperlink"/>
            <w:rFonts w:ascii="Times New Roman" w:hAnsi="Times New Roman" w:cs="Times New Roman"/>
            <w:lang w:val="bg-BG"/>
          </w:rPr>
          <w:t>.</w:t>
        </w:r>
      </w:hyperlink>
      <w:hyperlink r:id="rId291">
        <w:r w:rsidRPr="00610B1B">
          <w:rPr>
            <w:rStyle w:val="Hyperlink"/>
            <w:rFonts w:ascii="Times New Roman" w:hAnsi="Times New Roman" w:cs="Times New Roman"/>
            <w:lang w:val="bg-BG"/>
          </w:rPr>
          <w:t>government</w:t>
        </w:r>
      </w:hyperlink>
      <w:hyperlink r:id="rId292">
        <w:r w:rsidRPr="00610B1B">
          <w:rPr>
            <w:rStyle w:val="Hyperlink"/>
            <w:rFonts w:ascii="Times New Roman" w:hAnsi="Times New Roman" w:cs="Times New Roman"/>
            <w:lang w:val="bg-BG"/>
          </w:rPr>
          <w:t>.</w:t>
        </w:r>
      </w:hyperlink>
      <w:hyperlink r:id="rId293">
        <w:r w:rsidRPr="00610B1B">
          <w:rPr>
            <w:rStyle w:val="Hyperlink"/>
            <w:rFonts w:ascii="Times New Roman" w:hAnsi="Times New Roman" w:cs="Times New Roman"/>
            <w:lang w:val="bg-BG"/>
          </w:rPr>
          <w:t>bg</w:t>
        </w:r>
      </w:hyperlink>
      <w:hyperlink r:id="rId294">
        <w:r w:rsidRPr="00610B1B">
          <w:rPr>
            <w:rStyle w:val="Hyperlink"/>
            <w:rFonts w:ascii="Times New Roman" w:hAnsi="Times New Roman" w:cs="Times New Roman"/>
            <w:lang w:val="bg-BG"/>
          </w:rPr>
          <w:t>/</w:t>
        </w:r>
      </w:hyperlink>
      <w:hyperlink r:id="rId295">
        <w:r w:rsidRPr="00610B1B">
          <w:rPr>
            <w:rStyle w:val="Hyperlink"/>
            <w:rFonts w:ascii="Times New Roman" w:hAnsi="Times New Roman" w:cs="Times New Roman"/>
            <w:lang w:val="bg-BG"/>
          </w:rPr>
          <w:t>wp</w:t>
        </w:r>
      </w:hyperlink>
      <w:hyperlink r:id="rId296">
        <w:r w:rsidRPr="00610B1B">
          <w:rPr>
            <w:rStyle w:val="Hyperlink"/>
            <w:rFonts w:ascii="Times New Roman" w:hAnsi="Times New Roman" w:cs="Times New Roman"/>
            <w:lang w:val="bg-BG"/>
          </w:rPr>
          <w:t>-</w:t>
        </w:r>
      </w:hyperlink>
      <w:hyperlink r:id="rId297">
        <w:r w:rsidRPr="00610B1B">
          <w:rPr>
            <w:rStyle w:val="Hyperlink"/>
            <w:rFonts w:ascii="Times New Roman" w:hAnsi="Times New Roman" w:cs="Times New Roman"/>
            <w:lang w:val="bg-BG"/>
          </w:rPr>
          <w:t>content</w:t>
        </w:r>
      </w:hyperlink>
      <w:hyperlink r:id="rId298">
        <w:r w:rsidRPr="00610B1B">
          <w:rPr>
            <w:rStyle w:val="Hyperlink"/>
            <w:rFonts w:ascii="Times New Roman" w:hAnsi="Times New Roman" w:cs="Times New Roman"/>
            <w:lang w:val="bg-BG"/>
          </w:rPr>
          <w:t>/</w:t>
        </w:r>
      </w:hyperlink>
      <w:hyperlink r:id="rId299">
        <w:r w:rsidRPr="00610B1B">
          <w:rPr>
            <w:rStyle w:val="Hyperlink"/>
            <w:rFonts w:ascii="Times New Roman" w:hAnsi="Times New Roman" w:cs="Times New Roman"/>
            <w:lang w:val="bg-BG"/>
          </w:rPr>
          <w:t>uploads</w:t>
        </w:r>
      </w:hyperlink>
      <w:hyperlink r:id="rId300">
        <w:r w:rsidRPr="00610B1B">
          <w:rPr>
            <w:rStyle w:val="Hyperlink"/>
            <w:rFonts w:ascii="Times New Roman" w:hAnsi="Times New Roman" w:cs="Times New Roman"/>
            <w:lang w:val="bg-BG"/>
          </w:rPr>
          <w:t>/2017/10/</w:t>
        </w:r>
      </w:hyperlink>
      <w:hyperlink r:id="rId301">
        <w:r w:rsidRPr="00610B1B">
          <w:rPr>
            <w:rStyle w:val="Hyperlink"/>
            <w:rFonts w:ascii="Times New Roman" w:hAnsi="Times New Roman" w:cs="Times New Roman"/>
            <w:lang w:val="bg-BG"/>
          </w:rPr>
          <w:t>Pelagic_Survey_</w:t>
        </w:r>
      </w:hyperlink>
      <w:hyperlink r:id="rId302">
        <w:r w:rsidRPr="00610B1B">
          <w:rPr>
            <w:rStyle w:val="Hyperlink"/>
            <w:rFonts w:ascii="Times New Roman" w:hAnsi="Times New Roman" w:cs="Times New Roman"/>
            <w:lang w:val="bg-BG"/>
          </w:rPr>
          <w:t>2017</w:t>
        </w:r>
      </w:hyperlink>
      <w:hyperlink r:id="rId303">
        <w:r w:rsidRPr="00610B1B">
          <w:rPr>
            <w:rStyle w:val="Hyperlink"/>
            <w:rFonts w:ascii="Times New Roman" w:hAnsi="Times New Roman" w:cs="Times New Roman"/>
            <w:lang w:val="bg-BG"/>
          </w:rPr>
          <w:t>_IO</w:t>
        </w:r>
      </w:hyperlink>
      <w:hyperlink r:id="rId304">
        <w:r w:rsidRPr="00610B1B">
          <w:rPr>
            <w:rStyle w:val="Hyperlink"/>
            <w:rFonts w:ascii="Times New Roman" w:hAnsi="Times New Roman" w:cs="Times New Roman"/>
            <w:lang w:val="bg-BG"/>
          </w:rPr>
          <w:t>-</w:t>
        </w:r>
      </w:hyperlink>
      <w:hyperlink r:id="rId305">
        <w:r w:rsidRPr="00610B1B">
          <w:rPr>
            <w:rStyle w:val="Hyperlink"/>
            <w:rFonts w:ascii="Times New Roman" w:hAnsi="Times New Roman" w:cs="Times New Roman"/>
            <w:lang w:val="bg-BG"/>
          </w:rPr>
          <w:t>BAS_BG</w:t>
        </w:r>
      </w:hyperlink>
      <w:hyperlink r:id="rId306">
        <w:r w:rsidRPr="00610B1B">
          <w:rPr>
            <w:rStyle w:val="Hyperlink"/>
            <w:rFonts w:ascii="Times New Roman" w:hAnsi="Times New Roman" w:cs="Times New Roman"/>
            <w:lang w:val="bg-BG"/>
          </w:rPr>
          <w:t>.</w:t>
        </w:r>
      </w:hyperlink>
      <w:hyperlink r:id="rId307">
        <w:r w:rsidRPr="00610B1B">
          <w:rPr>
            <w:rStyle w:val="Hyperlink"/>
            <w:rFonts w:ascii="Times New Roman" w:hAnsi="Times New Roman" w:cs="Times New Roman"/>
            <w:lang w:val="bg-BG"/>
          </w:rPr>
          <w:t>pdf</w:t>
        </w:r>
      </w:hyperlink>
      <w:r w:rsidR="00DB5CC7" w:rsidRPr="00610B1B">
        <w:rPr>
          <w:rFonts w:ascii="Times New Roman" w:eastAsia="Source Han Sans CN Regular" w:hAnsi="Times New Roman" w:cs="Times New Roman"/>
          <w:sz w:val="24"/>
          <w:szCs w:val="24"/>
          <w:lang w:val="bg-BG" w:eastAsia="zh-CN" w:bidi="hi-IN"/>
        </w:rPr>
        <w:t xml:space="preserve"> </w:t>
      </w:r>
    </w:p>
    <w:p w14:paraId="3D4AC71E"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Рождественский, А., 1986. Хидрохимия на българския сектор на Черно море. Издателство на Българската академия на науките, София.</w:t>
      </w:r>
    </w:p>
    <w:p w14:paraId="78C58C95" w14:textId="6F5D6A82"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Стефанова, К., Дончева, В., Стефанова, Е. 2012. Зоопланктон. В: Оценка на екологичното състояние на морските води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Доклад</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с. 142-160. </w:t>
      </w:r>
      <w:hyperlink r:id="rId308">
        <w:r w:rsidRPr="00610B1B">
          <w:rPr>
            <w:rStyle w:val="Hyperlink"/>
            <w:rFonts w:ascii="Times New Roman" w:hAnsi="Times New Roman" w:cs="Times New Roman"/>
            <w:lang w:val="bg-BG"/>
          </w:rPr>
          <w:t>http</w:t>
        </w:r>
      </w:hyperlink>
      <w:hyperlink r:id="rId309">
        <w:r w:rsidRPr="00610B1B">
          <w:rPr>
            <w:rStyle w:val="Hyperlink"/>
            <w:rFonts w:ascii="Times New Roman" w:hAnsi="Times New Roman" w:cs="Times New Roman"/>
            <w:lang w:val="bg-BG"/>
          </w:rPr>
          <w:t>://</w:t>
        </w:r>
      </w:hyperlink>
      <w:hyperlink r:id="rId310">
        <w:r w:rsidRPr="00610B1B">
          <w:rPr>
            <w:rStyle w:val="Hyperlink"/>
            <w:rFonts w:ascii="Times New Roman" w:hAnsi="Times New Roman" w:cs="Times New Roman"/>
            <w:lang w:val="bg-BG"/>
          </w:rPr>
          <w:t>bgodc</w:t>
        </w:r>
      </w:hyperlink>
      <w:hyperlink r:id="rId311">
        <w:r w:rsidRPr="00610B1B">
          <w:rPr>
            <w:rStyle w:val="Hyperlink"/>
            <w:rFonts w:ascii="Times New Roman" w:hAnsi="Times New Roman" w:cs="Times New Roman"/>
            <w:lang w:val="bg-BG"/>
          </w:rPr>
          <w:t>.</w:t>
        </w:r>
      </w:hyperlink>
      <w:hyperlink r:id="rId312">
        <w:r w:rsidRPr="00610B1B">
          <w:rPr>
            <w:rStyle w:val="Hyperlink"/>
            <w:rFonts w:ascii="Times New Roman" w:hAnsi="Times New Roman" w:cs="Times New Roman"/>
            <w:lang w:val="bg-BG"/>
          </w:rPr>
          <w:t>io</w:t>
        </w:r>
      </w:hyperlink>
      <w:hyperlink r:id="rId313">
        <w:r w:rsidRPr="00610B1B">
          <w:rPr>
            <w:rStyle w:val="Hyperlink"/>
            <w:rFonts w:ascii="Times New Roman" w:hAnsi="Times New Roman" w:cs="Times New Roman"/>
            <w:lang w:val="bg-BG"/>
          </w:rPr>
          <w:t>-</w:t>
        </w:r>
      </w:hyperlink>
      <w:hyperlink r:id="rId314">
        <w:r w:rsidRPr="00610B1B">
          <w:rPr>
            <w:rStyle w:val="Hyperlink"/>
            <w:rFonts w:ascii="Times New Roman" w:hAnsi="Times New Roman" w:cs="Times New Roman"/>
            <w:lang w:val="bg-BG"/>
          </w:rPr>
          <w:t>bas</w:t>
        </w:r>
      </w:hyperlink>
      <w:hyperlink r:id="rId315">
        <w:r w:rsidRPr="00610B1B">
          <w:rPr>
            <w:rStyle w:val="Hyperlink"/>
            <w:rFonts w:ascii="Times New Roman" w:hAnsi="Times New Roman" w:cs="Times New Roman"/>
            <w:lang w:val="bg-BG"/>
          </w:rPr>
          <w:t>.</w:t>
        </w:r>
      </w:hyperlink>
      <w:hyperlink r:id="rId316">
        <w:r w:rsidRPr="00610B1B">
          <w:rPr>
            <w:rStyle w:val="Hyperlink"/>
            <w:rFonts w:ascii="Times New Roman" w:hAnsi="Times New Roman" w:cs="Times New Roman"/>
            <w:lang w:val="bg-BG"/>
          </w:rPr>
          <w:t>bg</w:t>
        </w:r>
      </w:hyperlink>
      <w:hyperlink r:id="rId317">
        <w:r w:rsidRPr="00610B1B">
          <w:rPr>
            <w:rStyle w:val="Hyperlink"/>
            <w:rFonts w:ascii="Times New Roman" w:hAnsi="Times New Roman" w:cs="Times New Roman"/>
            <w:lang w:val="bg-BG"/>
          </w:rPr>
          <w:t>/</w:t>
        </w:r>
      </w:hyperlink>
      <w:hyperlink r:id="rId318">
        <w:r w:rsidRPr="00610B1B">
          <w:rPr>
            <w:rStyle w:val="Hyperlink"/>
            <w:rFonts w:ascii="Times New Roman" w:hAnsi="Times New Roman" w:cs="Times New Roman"/>
            <w:lang w:val="bg-BG"/>
          </w:rPr>
          <w:t>documents</w:t>
        </w:r>
      </w:hyperlink>
      <w:hyperlink r:id="rId319">
        <w:r w:rsidRPr="00610B1B">
          <w:rPr>
            <w:rStyle w:val="Hyperlink"/>
            <w:rFonts w:ascii="Times New Roman" w:hAnsi="Times New Roman" w:cs="Times New Roman"/>
            <w:lang w:val="bg-BG"/>
          </w:rPr>
          <w:t>/2012/</w:t>
        </w:r>
      </w:hyperlink>
      <w:hyperlink r:id="rId320">
        <w:r w:rsidRPr="00610B1B">
          <w:rPr>
            <w:rStyle w:val="Hyperlink"/>
            <w:rFonts w:ascii="Times New Roman" w:hAnsi="Times New Roman" w:cs="Times New Roman"/>
            <w:lang w:val="bg-BG"/>
          </w:rPr>
          <w:t>Final</w:t>
        </w:r>
      </w:hyperlink>
      <w:hyperlink r:id="rId321">
        <w:r w:rsidRPr="00610B1B">
          <w:rPr>
            <w:rStyle w:val="Hyperlink"/>
            <w:rFonts w:ascii="Times New Roman" w:hAnsi="Times New Roman" w:cs="Times New Roman"/>
            <w:lang w:val="bg-BG"/>
          </w:rPr>
          <w:t>%20</w:t>
        </w:r>
      </w:hyperlink>
      <w:hyperlink r:id="rId322">
        <w:r w:rsidRPr="00610B1B">
          <w:rPr>
            <w:rStyle w:val="Hyperlink"/>
            <w:rFonts w:ascii="Times New Roman" w:hAnsi="Times New Roman" w:cs="Times New Roman"/>
            <w:lang w:val="bg-BG"/>
          </w:rPr>
          <w:t>reports</w:t>
        </w:r>
      </w:hyperlink>
      <w:hyperlink r:id="rId323">
        <w:r w:rsidRPr="00610B1B">
          <w:rPr>
            <w:rStyle w:val="Hyperlink"/>
            <w:rFonts w:ascii="Times New Roman" w:hAnsi="Times New Roman" w:cs="Times New Roman"/>
            <w:lang w:val="bg-BG"/>
          </w:rPr>
          <w:t>/</w:t>
        </w:r>
      </w:hyperlink>
      <w:hyperlink r:id="rId324">
        <w:r w:rsidRPr="00610B1B">
          <w:rPr>
            <w:rStyle w:val="Hyperlink"/>
            <w:rFonts w:ascii="Times New Roman" w:hAnsi="Times New Roman" w:cs="Times New Roman"/>
            <w:lang w:val="bg-BG"/>
          </w:rPr>
          <w:t>Vol</w:t>
        </w:r>
      </w:hyperlink>
      <w:hyperlink r:id="rId325">
        <w:r w:rsidRPr="00610B1B">
          <w:rPr>
            <w:rStyle w:val="Hyperlink"/>
            <w:rFonts w:ascii="Times New Roman" w:hAnsi="Times New Roman" w:cs="Times New Roman"/>
            <w:lang w:val="bg-BG"/>
          </w:rPr>
          <w:t>%203/</w:t>
        </w:r>
      </w:hyperlink>
      <w:hyperlink r:id="rId326">
        <w:r w:rsidRPr="00610B1B">
          <w:rPr>
            <w:rStyle w:val="Hyperlink"/>
            <w:rFonts w:ascii="Times New Roman" w:hAnsi="Times New Roman" w:cs="Times New Roman"/>
            <w:lang w:val="bg-BG"/>
          </w:rPr>
          <w:t>REPORT</w:t>
        </w:r>
      </w:hyperlink>
      <w:hyperlink r:id="rId327">
        <w:r w:rsidRPr="00610B1B">
          <w:rPr>
            <w:rStyle w:val="Hyperlink"/>
            <w:rFonts w:ascii="Times New Roman" w:hAnsi="Times New Roman" w:cs="Times New Roman"/>
            <w:lang w:val="bg-BG"/>
          </w:rPr>
          <w:t>-</w:t>
        </w:r>
      </w:hyperlink>
      <w:hyperlink r:id="rId328">
        <w:r w:rsidRPr="00610B1B">
          <w:rPr>
            <w:rStyle w:val="Hyperlink"/>
            <w:rFonts w:ascii="Times New Roman" w:hAnsi="Times New Roman" w:cs="Times New Roman"/>
            <w:lang w:val="bg-BG"/>
          </w:rPr>
          <w:t>integrated</w:t>
        </w:r>
      </w:hyperlink>
      <w:hyperlink r:id="rId329">
        <w:r w:rsidRPr="00610B1B">
          <w:rPr>
            <w:rStyle w:val="Hyperlink"/>
            <w:rFonts w:ascii="Times New Roman" w:hAnsi="Times New Roman" w:cs="Times New Roman"/>
            <w:lang w:val="bg-BG"/>
          </w:rPr>
          <w:t>-</w:t>
        </w:r>
      </w:hyperlink>
      <w:hyperlink r:id="rId330">
        <w:r w:rsidRPr="00610B1B">
          <w:rPr>
            <w:rStyle w:val="Hyperlink"/>
            <w:rFonts w:ascii="Times New Roman" w:hAnsi="Times New Roman" w:cs="Times New Roman"/>
            <w:lang w:val="bg-BG"/>
          </w:rPr>
          <w:t>WFD</w:t>
        </w:r>
      </w:hyperlink>
      <w:hyperlink r:id="rId331">
        <w:r w:rsidRPr="00610B1B">
          <w:rPr>
            <w:rStyle w:val="Hyperlink"/>
            <w:rFonts w:ascii="Times New Roman" w:hAnsi="Times New Roman" w:cs="Times New Roman"/>
            <w:lang w:val="bg-BG"/>
          </w:rPr>
          <w:t>-</w:t>
        </w:r>
      </w:hyperlink>
      <w:hyperlink r:id="rId332">
        <w:r w:rsidRPr="00610B1B">
          <w:rPr>
            <w:rStyle w:val="Hyperlink"/>
            <w:rFonts w:ascii="Times New Roman" w:hAnsi="Times New Roman" w:cs="Times New Roman"/>
            <w:lang w:val="bg-BG"/>
          </w:rPr>
          <w:t>last</w:t>
        </w:r>
      </w:hyperlink>
      <w:hyperlink r:id="rId333">
        <w:r w:rsidRPr="00610B1B">
          <w:rPr>
            <w:rStyle w:val="Hyperlink"/>
            <w:rFonts w:ascii="Times New Roman" w:hAnsi="Times New Roman" w:cs="Times New Roman"/>
            <w:lang w:val="bg-BG"/>
          </w:rPr>
          <w:t>%20</w:t>
        </w:r>
      </w:hyperlink>
      <w:hyperlink r:id="rId334">
        <w:r w:rsidRPr="00610B1B">
          <w:rPr>
            <w:rStyle w:val="Hyperlink"/>
            <w:rFonts w:ascii="Times New Roman" w:hAnsi="Times New Roman" w:cs="Times New Roman"/>
            <w:lang w:val="bg-BG"/>
          </w:rPr>
          <w:t>all</w:t>
        </w:r>
      </w:hyperlink>
      <w:hyperlink r:id="rId335">
        <w:r w:rsidRPr="00610B1B">
          <w:rPr>
            <w:rStyle w:val="Hyperlink"/>
            <w:rFonts w:ascii="Times New Roman" w:hAnsi="Times New Roman" w:cs="Times New Roman"/>
            <w:lang w:val="bg-BG"/>
          </w:rPr>
          <w:t>.</w:t>
        </w:r>
      </w:hyperlink>
      <w:hyperlink r:id="rId336">
        <w:r w:rsidRPr="00610B1B">
          <w:rPr>
            <w:rStyle w:val="Hyperlink"/>
            <w:rFonts w:ascii="Times New Roman" w:hAnsi="Times New Roman" w:cs="Times New Roman"/>
            <w:lang w:val="bg-BG"/>
          </w:rPr>
          <w:t>pdf</w:t>
        </w:r>
      </w:hyperlink>
      <w:r w:rsidR="00DB5CC7" w:rsidRPr="00610B1B">
        <w:rPr>
          <w:rFonts w:ascii="Times New Roman" w:eastAsia="Source Han Sans CN Regular" w:hAnsi="Times New Roman" w:cs="Times New Roman"/>
          <w:sz w:val="24"/>
          <w:szCs w:val="24"/>
          <w:lang w:val="bg-BG" w:eastAsia="zh-CN" w:bidi="hi-IN"/>
        </w:rPr>
        <w:t xml:space="preserve"> </w:t>
      </w:r>
    </w:p>
    <w:p w14:paraId="4DAF234B" w14:textId="6DCBE24D"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iCs/>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Стефанова, К., Мончева, С., Тодорова, В., Панайотова, М., Янкова, М., Денчева, К.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2013</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Инвентаризация на чужди видове. В „Първоначална оценка за състоянието на морската околна среда съгласно чл. 8 от НООСМВ“, стр. с. 238-252 </w:t>
      </w:r>
      <w:r w:rsidRPr="00610B1B">
        <w:rPr>
          <w:rFonts w:ascii="Times New Roman" w:eastAsia="Source Han Sans CN Regular" w:hAnsi="Times New Roman" w:cs="Times New Roman"/>
          <w:iCs/>
          <w:sz w:val="24"/>
          <w:szCs w:val="24"/>
          <w:lang w:val="bg-BG" w:eastAsia="zh-CN" w:bidi="hi-IN"/>
        </w:rPr>
        <w:t>(</w:t>
      </w:r>
      <w:hyperlink r:id="rId337" w:history="1">
        <w:r w:rsidRPr="00610B1B">
          <w:rPr>
            <w:rFonts w:ascii="Times New Roman" w:eastAsia="Source Han Sans CN Regular" w:hAnsi="Times New Roman" w:cs="Times New Roman"/>
            <w:color w:val="0000FF"/>
            <w:sz w:val="24"/>
            <w:szCs w:val="24"/>
            <w:u w:val="single"/>
            <w:lang w:val="bg-BG" w:eastAsia="zh-CN" w:bidi="hi-IN"/>
          </w:rPr>
          <w:t>https://www.bsbd.org/UserFiles/File/Initial%20Assessment.pdf</w:t>
        </w:r>
      </w:hyperlink>
      <w:r w:rsidRPr="00610B1B">
        <w:rPr>
          <w:rFonts w:ascii="Times New Roman" w:eastAsia="Source Han Sans CN Regular" w:hAnsi="Times New Roman" w:cs="Times New Roman"/>
          <w:iCs/>
          <w:sz w:val="24"/>
          <w:szCs w:val="24"/>
          <w:lang w:val="bg-BG" w:eastAsia="zh-CN" w:bidi="hi-IN"/>
        </w:rPr>
        <w:t>)</w:t>
      </w:r>
    </w:p>
    <w:p w14:paraId="52E9D521" w14:textId="41B5A586"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Стефанова, Кр, Р. Мавродиева, В.Тодорова, Е.Стефанова, В.Дончева. 2017. Неместни видове. В: Финален доклад по проект „Проучвания на състоянието на морската околна среда и подобряване на програмите за мониторинг, разработени съгласно РДМС (ISMEIMP)". Институт по океанология-БАН. с. 158-182. </w:t>
      </w:r>
      <w:hyperlink r:id="rId338" w:history="1">
        <w:r w:rsidRPr="00610B1B">
          <w:rPr>
            <w:rFonts w:ascii="Times New Roman" w:eastAsia="Source Han Sans CN Regular" w:hAnsi="Times New Roman" w:cs="Times New Roman"/>
            <w:color w:val="0000FF"/>
            <w:sz w:val="24"/>
            <w:szCs w:val="24"/>
            <w:u w:val="single"/>
            <w:lang w:val="bg-BG" w:eastAsia="zh-CN" w:bidi="hi-IN"/>
          </w:rPr>
          <w:t>https://www.bsbd.org/UserFiles/File/projects/ISMEIMP/ISMEIMP%20Project%20Final%20Report.pdf</w:t>
        </w:r>
      </w:hyperlink>
      <w:r w:rsidRPr="00610B1B">
        <w:rPr>
          <w:rFonts w:ascii="Times New Roman" w:eastAsia="Source Han Sans CN Regular" w:hAnsi="Times New Roman" w:cs="Times New Roman"/>
          <w:sz w:val="24"/>
          <w:szCs w:val="24"/>
          <w:lang w:val="bg-BG" w:eastAsia="zh-CN" w:bidi="hi-IN"/>
        </w:rPr>
        <w:t xml:space="preserve"> </w:t>
      </w:r>
    </w:p>
    <w:p w14:paraId="6FA22781"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Тишков, Х., С. Велев, Б. Векилска. 1979. Климатични условия и ресурси. В Българското Черноморско крайбрежие. С., БАН.</w:t>
      </w:r>
    </w:p>
    <w:p w14:paraId="3AD27BDF"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Тодорова, В., 2005. Бентосни зооценози в северозападната част на Черно море - индикатор за съвременното екологично състояние на екосистемата. Трудове на Института по Океанология 5, 243–261;</w:t>
      </w:r>
    </w:p>
    <w:p w14:paraId="37E6E52A" w14:textId="4EEB9C79"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Тодорова, В., Карамфилов, В., Бисерков, 2012. Доклад по проект “Разширяване на НАТУРА 2000 екологичната мрежа в българската Черноморска акватория’’, София.</w:t>
      </w:r>
    </w:p>
    <w:p w14:paraId="2FF25D3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Тодорова, В., Милкова, Т., Мончева, С., Панайотова, М., Стефанова, К., Маринова, В., Трифонова, Е.В., Дончева, В., Мавродиева, Р., Стефанова, Е., Слабакова, В., Христова, О., Джурова, Б., Хинева, Е., Слабакова, Н., Панайотов, В., Каменова-Стайкова, К., Барова, С., Димитрова-Делева, С., 2017. Финален доклад по проект “Проучвания на състоянието на морската околна среда и подобряване на програмите за мониторинг, разработени съгласно РДМС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ISMEIMP</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ИО-БАН, БДЧР, Варна, България</w:t>
      </w:r>
    </w:p>
    <w:p w14:paraId="7FEEE27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Трифонова, Ек., 2014. Числено моделиране на деформациите на подводния брегови склон. Автореферат за придобиване на образователна и научна степен „Доктор“, Научен фонд на Институт по Океанология-БАН, гр. Варна, с. 30;</w:t>
      </w:r>
    </w:p>
    <w:p w14:paraId="0A72E71F"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Чешитев, Г., Кънчев, И., Вълков, В., Маринова, Р., Шиляфова, Ж., Русева, М., Илиев, К. 1989. Геоложка карта на България в мащаб 1:500 000. Издание на Комитета по геология, София;</w:t>
      </w:r>
    </w:p>
    <w:p w14:paraId="75193559"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Чешитев, Г., Чонтова, Ц., Попов, Н., &amp; Коюмджиева, Е. 1992. Геоложка карта на България, М 1: 100 000. Картен лист Шабла-Балчик;</w:t>
      </w:r>
    </w:p>
    <w:p w14:paraId="63209429"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Andrady, A.L., 2011. Microplastics in the marine environment. Marine pollution bulletin, 62</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8</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pp. 1596-1605;</w:t>
      </w:r>
    </w:p>
    <w:p w14:paraId="73E0DA68"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Baumgart, W. 1971. Beitrag zur Kenntnis der GreifvÖgel Bulgariens Beitr. Vogelkd., 17, 1;</w:t>
      </w:r>
    </w:p>
    <w:p w14:paraId="1427CF1B"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Berov, D., Deyanova, D., Georgieva, I., Gyosheva, B., Hiebaum, G., 2012. Cystoseira sp.-dominated macroalgal communities in the SW Black Sea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Burgas Bay, Bulgaria</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Current state and possible long-term effects of eutrophication. Comptes Rendus L’Academie Bulg. des Sci. 65;</w:t>
      </w:r>
    </w:p>
    <w:p w14:paraId="5640F415"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Berov, D., Todorov, E., Marin, O., Salas Herrero, F., 2018a. Coastal Black Sea Geographic Intercalibration Group. Macroalgae and angiosperms ecological assessment methods. Luxemburg. doi:10.2760/28858</w:t>
      </w:r>
    </w:p>
    <w:p w14:paraId="14E0A91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Berov, D., Todorova, V., Dimitrov, L., Rinde, E., Karamfilov, V., 2018b. Distribution and abundance of phytobenthic communities: Implications for connectivity and ecosystem functioning in a Black Sea Marine Protected Area. Estuar. Coast. Shelf Sci. 200. doi:10.1016/j.ecss.2017.11.020</w:t>
      </w:r>
    </w:p>
    <w:p w14:paraId="09C39A92" w14:textId="3589FC3C"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Birkun A Jr, Northridge S P, Willsteed E A, James F A, Kilgour C, Lander M, Fitzgerald G D. 2014. Studies for Carrying Out the Common Fisheries Policy: Adverse Fisheries Impacts on Cetacean Populations in the Black Sea. Final report to the European Commission, Brussels, </w:t>
      </w:r>
      <w:r w:rsidR="00681162" w:rsidRPr="00610B1B">
        <w:rPr>
          <w:rFonts w:ascii="Times New Roman" w:eastAsia="Source Han Sans CN Regular" w:hAnsi="Times New Roman" w:cs="Times New Roman"/>
          <w:sz w:val="24"/>
          <w:szCs w:val="24"/>
          <w:lang w:val="bg-BG" w:eastAsia="zh-CN" w:bidi="hi-IN"/>
        </w:rPr>
        <w:t>.</w:t>
      </w:r>
      <w:r w:rsidRPr="00610B1B">
        <w:rPr>
          <w:rFonts w:ascii="Times New Roman" w:eastAsia="Source Han Sans CN Regular" w:hAnsi="Times New Roman" w:cs="Times New Roman"/>
          <w:sz w:val="24"/>
          <w:szCs w:val="24"/>
          <w:lang w:val="bg-BG" w:eastAsia="zh-CN" w:bidi="hi-IN"/>
        </w:rPr>
        <w:t>347p.</w:t>
      </w:r>
    </w:p>
    <w:p w14:paraId="300D83E5" w14:textId="28B2F1B1"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Birkun A., Jr.</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2002а.</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Cetacean habitat loss and degradation in the Black Sea.</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 xml:space="preserve">In: G. Notarbartolo di Sciara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Ed.</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Cetaceans of the Mediterranean and Black Seas: state of knowledge and conservation strategies.</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A report to the ACCOBAMS Secretariat, Monaco, February 2002. Section 8, 19 p.</w:t>
      </w:r>
    </w:p>
    <w:p w14:paraId="6624EB05" w14:textId="338CD3CD" w:rsidR="00DB5CC7" w:rsidRPr="00610B1B" w:rsidRDefault="00BE57CC" w:rsidP="004567E9">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Birkun A., Jr. 2002b. Interactions between cetaceans and fisheries in the Black Sea. In: G. Notarbartolo di Sciara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Ed.</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Cetaceans of the Mediterranean and Black Seas: state of knowledge and conservation strategies. A report to the ACCOBAMS Secretariat, Monaco, February 2002. Section 10, 11 p.</w:t>
      </w:r>
    </w:p>
    <w:p w14:paraId="5700CA8C"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Birkun Jr, 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2008</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The state of cetacean populations. State of the environment of the Black Sea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2001-2006/7</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Publications of the Commission on the Protection of the Black Sea Against Pollution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BSC</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3.</w:t>
      </w:r>
    </w:p>
    <w:p w14:paraId="481FC4DA" w14:textId="0652B63C" w:rsidR="00681162" w:rsidRPr="00610B1B" w:rsidRDefault="00BE57CC" w:rsidP="00727372">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Blæsbjerg, M. 2009. Maritime Spatial Planning in the Nordic Region: Principles, Perspectives and Opportunities. Publ. By Nature.</w:t>
      </w:r>
    </w:p>
    <w:p w14:paraId="192E25BC"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BLASDOL. 1999. Estimation of human impact on small cetaceans of the Black Sea and elaboration of appropriate conservation measures: Final report for EC Inco-Copernicus (contract No. ERBIC15CT960104). C.R. Joiris (Coord.), Free University of Brussels, Belgium; BREMA Laboratory, Ukraine; Justus Liebig University of Giessen, Germany; Institute of Fisheries, Bulgaria; and Institute of Marine Ecology and Fisheries, Georgia. Brussels, 113 p.</w:t>
      </w:r>
    </w:p>
    <w:p w14:paraId="1A6A4DEE" w14:textId="709BE1C4"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Chartosia, N., Anastasiadis, D., Bazairi, H., Crocetta, F., Deidun, A., Despalatović, M., Martino, V.D., Dimitriou, N., Dragičević, B., Dulčić, J., Durucan, F., Hasbek, D., Ketsilis-Rinis, V., Kleitou, P., Lipej, L., Macali, A., Marchini, A., Ousselam, M., Piraino, S., Stancanelli, B., Theodosiou, M., Tiralongo, F., Todorova, V., Trkov, D., Yapici, S., 2018. New Mediterranean biodiversity records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July 2018</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Mediterr. Mar. Sci. 19, 398–415. </w:t>
      </w:r>
      <w:hyperlink r:id="rId339" w:history="1">
        <w:r w:rsidR="009918C6" w:rsidRPr="00610B1B">
          <w:rPr>
            <w:rStyle w:val="Hyperlink"/>
            <w:rFonts w:ascii="Times New Roman" w:eastAsia="Source Han Sans CN Regular" w:hAnsi="Times New Roman" w:cs="Times New Roman"/>
            <w:sz w:val="24"/>
            <w:szCs w:val="24"/>
            <w:lang w:val="bg-BG" w:eastAsia="zh-CN" w:bidi="hi-IN"/>
          </w:rPr>
          <w:t>https://doi.org/10.12681/mms.18099</w:t>
        </w:r>
      </w:hyperlink>
      <w:r w:rsidR="009918C6" w:rsidRPr="00610B1B">
        <w:rPr>
          <w:rFonts w:ascii="Times New Roman" w:eastAsia="Source Han Sans CN Regular" w:hAnsi="Times New Roman" w:cs="Times New Roman"/>
          <w:sz w:val="24"/>
          <w:szCs w:val="24"/>
          <w:lang w:val="en-US" w:eastAsia="zh-CN" w:bidi="hi-IN"/>
        </w:rPr>
        <w:t xml:space="preserve"> </w:t>
      </w:r>
    </w:p>
    <w:p w14:paraId="7B3C5283" w14:textId="2730FF1C"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 xml:space="preserve">Cole, M., Lindeque, P., Halsband, C., Galloway, T.S., 2011. Microplastics as contaminants in the marine environment: A review. Mar. Pollut. Bull. 62, 2588–2597. </w:t>
      </w:r>
      <w:hyperlink r:id="rId340" w:history="1">
        <w:r w:rsidRPr="00610B1B">
          <w:rPr>
            <w:rFonts w:ascii="Times New Roman" w:eastAsia="Source Han Sans CN Regular" w:hAnsi="Times New Roman" w:cs="Times New Roman"/>
            <w:sz w:val="24"/>
            <w:szCs w:val="24"/>
            <w:lang w:val="bg-BG" w:eastAsia="zh-CN" w:bidi="hi-IN"/>
          </w:rPr>
          <w:t>https://doi.org/10.1016/j.marpolbul.2011.09.025</w:t>
        </w:r>
      </w:hyperlink>
    </w:p>
    <w:p w14:paraId="54366E7D"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Daskalov, G.M., 2002. Overfishing drives a trophic cascade in the Black Sea. Marine Ecology Progress Series 225, 53–63.</w:t>
      </w:r>
    </w:p>
    <w:p w14:paraId="473997D6"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Daskalov, G.M., 2003. Long-term changes in fish abundance and environmental indices in the Black Sea. Marine Ecology Progress Series, 255, pp.259-270.</w:t>
      </w:r>
    </w:p>
    <w:p w14:paraId="0782D233"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Daskalov, G.M., Grishin, A.N., Rodionov, S. and Mihneva, V., 2007. Trophic cascades triggered by overfishing reveal possible mechanisms of ecosystem regime shifts. Proceedings of the National Academy of Sciences, 104</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25</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pp.10518-10523.</w:t>
      </w:r>
    </w:p>
    <w:p w14:paraId="40C69FC1"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Dencheva, K., Doncheva, V., 2014. Ecological Index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EI</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 tool for estimation of ecological status in coastal and transitional waters in compliance with European Water Framework Directive, in: Proceedings of Twelfth International Conference On Marine Sciences And Technologies September 25th - 27th, 2014, Varna, Bulgaria. Varna, p. pp.219-226.</w:t>
      </w:r>
    </w:p>
    <w:p w14:paraId="1EEB95EB"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Dimitrov M., Michev T., Profirov L. &amp; Nyagolov K. 2005. Waterbirds of Bourgas Wetlands: Results and Evaluation of the Monthly Waterbirds Monitoring 1996-2002. Sofia: Bulgarian Biodiversity Foundation and Publ. House Pensoft. 160 pp.</w:t>
      </w:r>
    </w:p>
    <w:p w14:paraId="4EE313F0"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Dimitrov, L., Prodanov, B., Doncheva, V., Berov, D., &amp; Trifonova, E. 2019. Seabed mapping of the Bulgarian coastal zone between Sozopol and Tsarevo (Southern Bulgarian Black sea). Comptes rendus de l’Académie bulgare des Sciences, 72(5).</w:t>
      </w:r>
    </w:p>
    <w:p w14:paraId="60E32CA2" w14:textId="2E25D51E" w:rsidR="009B3909" w:rsidRPr="00610B1B" w:rsidRDefault="00BE57CC" w:rsidP="009B3909">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Dove, D., Bradwell, T., Carter, G., Cotterill, C., Gafeira Goncalves, J., Green, S., ... &amp; Westhead, K. 2016. Seabed geomorphology: a two-part classification system.</w:t>
      </w:r>
    </w:p>
    <w:p w14:paraId="3F661A76" w14:textId="77777777" w:rsidR="009B6D1D" w:rsidRPr="00610B1B" w:rsidRDefault="00BE57CC" w:rsidP="009B6D1D">
      <w:pPr>
        <w:widowControl w:val="0"/>
        <w:numPr>
          <w:ilvl w:val="0"/>
          <w:numId w:val="98"/>
        </w:numPr>
        <w:spacing w:after="0"/>
        <w:ind w:left="425" w:right="-153" w:hanging="425"/>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EC 2020. European economic forecast, Spring 2020</w:t>
      </w:r>
    </w:p>
    <w:p w14:paraId="7F73BB71" w14:textId="1DB7A606" w:rsidR="00BE57CC" w:rsidRPr="00610B1B" w:rsidRDefault="002A152C" w:rsidP="009B6D1D">
      <w:pPr>
        <w:widowControl w:val="0"/>
        <w:spacing w:after="120"/>
        <w:ind w:left="426" w:right="-153"/>
        <w:jc w:val="both"/>
        <w:rPr>
          <w:rFonts w:ascii="Times New Roman" w:eastAsia="Source Han Sans CN Regular" w:hAnsi="Times New Roman" w:cs="Times New Roman"/>
          <w:sz w:val="24"/>
          <w:szCs w:val="24"/>
          <w:lang w:val="bg-BG" w:eastAsia="zh-CN" w:bidi="hi-IN"/>
        </w:rPr>
      </w:pPr>
      <w:hyperlink r:id="rId341" w:history="1">
        <w:r w:rsidR="009B3909" w:rsidRPr="00610B1B">
          <w:rPr>
            <w:rStyle w:val="Hyperlink"/>
            <w:rFonts w:ascii="Times New Roman" w:eastAsia="Source Han Sans CN Regular" w:hAnsi="Times New Roman" w:cs="Times New Roman"/>
            <w:sz w:val="24"/>
            <w:szCs w:val="24"/>
            <w:lang w:val="bg-BG" w:eastAsia="zh-CN" w:bidi="hi-IN"/>
          </w:rPr>
          <w:t>https://ec.europa.eu/info/sites/info/files/economy-finance/ip125_en.pdf</w:t>
        </w:r>
      </w:hyperlink>
      <w:r w:rsidR="00D66FE0" w:rsidRPr="00610B1B">
        <w:rPr>
          <w:rFonts w:ascii="Times New Roman" w:eastAsia="Source Han Sans CN Regular" w:hAnsi="Times New Roman" w:cs="Times New Roman"/>
          <w:sz w:val="24"/>
          <w:szCs w:val="24"/>
          <w:lang w:val="bg-BG" w:eastAsia="zh-CN" w:bidi="hi-IN"/>
        </w:rPr>
        <w:t xml:space="preserve"> </w:t>
      </w:r>
    </w:p>
    <w:p w14:paraId="15EAD4D1" w14:textId="08C49230"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Evtimova, V., Parvanov, D., Grozdanov, A., Dimitrov, K., Tserkova, F., Yordanov, S., Velina, Y., Petrova, E., Yordanova, Y., Delov, V., 2018. Cetacean mortality along the Bulgarian Black Sea Coast</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during</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2017.</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Zoo</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Biology.</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134.</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 xml:space="preserve">1-4. </w:t>
      </w:r>
      <w:r w:rsidRPr="00610B1B">
        <w:rPr>
          <w:rFonts w:ascii="Times New Roman" w:eastAsia="Source Han Sans CN Regular" w:hAnsi="Times New Roman" w:cs="Times New Roman"/>
          <w:iCs/>
          <w:sz w:val="24"/>
          <w:szCs w:val="24"/>
          <w:lang w:val="bg-BG" w:eastAsia="zh-CN" w:bidi="hi-IN"/>
        </w:rPr>
        <w:t>(</w:t>
      </w:r>
      <w:r w:rsidR="009B6D1D" w:rsidRPr="00610B1B">
        <w:rPr>
          <w:rStyle w:val="Hyperlink"/>
          <w:rFonts w:ascii="Times New Roman" w:hAnsi="Times New Roman" w:cs="Times New Roman"/>
          <w:sz w:val="24"/>
          <w:szCs w:val="24"/>
          <w:lang w:val="bg-BG"/>
        </w:rPr>
        <w:t>https://www.researchgate.net/profile/Dimitar_Parvanov/ publication/329144272_Cetacean_mortality_along_the_Bulgarian_Black_Sea_Coast_during_2017/links/5bf7d3f7299bf1a0202cbcf0/Cetacean-mortality-along-the-Bulgarian-Black-Sea-Coast-during-2017.pdf</w:t>
      </w:r>
      <w:r w:rsidRPr="00610B1B">
        <w:rPr>
          <w:rFonts w:ascii="Times New Roman" w:eastAsia="Source Han Sans CN Regular" w:hAnsi="Times New Roman" w:cs="Times New Roman"/>
          <w:iCs/>
          <w:sz w:val="24"/>
          <w:szCs w:val="24"/>
          <w:lang w:val="bg-BG" w:eastAsia="zh-CN" w:bidi="hi-IN"/>
        </w:rPr>
        <w:t>)</w:t>
      </w:r>
    </w:p>
    <w:p w14:paraId="6CF305A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Filipova-Marinova, M. 2007. Archaeological and paleontological evidence of climate dynamics, sea-level change, and coastline migration in the Bulgarian sector of the Circum-Pontic Region. In Yanko-Hombach, V., Gilbert, A. S., Panin, N., Dolukhanov, P. M. (Eds.) The Black Sea Flood Question: Changes in Coastline, Climate and Human Settlements, 453-481. Publ. house Springer, Dordrecht</w:t>
      </w:r>
    </w:p>
    <w:p w14:paraId="422CCC8E"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Filipova-Marinova, M., Pavlov, D., Coolen, M., Giosan, L. 2013. First high-resolution marinopalynological stratigraphy of Late Quaternary sediments from the central part of the Bulgarian Black Sea area. Quaternary International, 293: 170-183</w:t>
      </w:r>
    </w:p>
    <w:p w14:paraId="4BB04B36"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Galloway, T.S., Cole, M., Lewis, C., 2017. Interactions of microplastic debris throughout the marine ecosystem. Nat. Ecol. Evol. 1, 0116. https://doi.org/10.1038/s41559-017-0116</w:t>
      </w:r>
    </w:p>
    <w:p w14:paraId="45423879"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Georgiev, G., 2012. Geology and Hydrocarbon Systems in the Western Black Sea. Turkish J. Earth Sci., Vol. 21, pp. 723–754. doi:10.3906/yer-1102-4</w:t>
      </w:r>
    </w:p>
    <w:p w14:paraId="187D5C5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Golemansky, V., 2007. Biodiversity and ecology of the Bulgarian Black Sea invertebrates, in: Fet, V., Popov, 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Eds.</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Biogeography and Ecology of Bulgaria. Springer, pp. 537–553.</w:t>
      </w:r>
    </w:p>
    <w:p w14:paraId="1C4C3C0A"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Gordina, A.D., Pavlova, E. V, Ovsyany, E.I., Wilson, J.G., Kemp, R.B., Romanov, A.S., 2001. Long-term Changes in Sevastopol Bay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the Black Sea</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with Particular Reference to the Ichthyoplankton and Zooplankton. Estuar. Coast. Shelf Sci. 52, 1–13.</w:t>
      </w:r>
    </w:p>
    <w:p w14:paraId="33A81B95"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Goudie, A. 2013. Encyclopedia of geomorphology. Routledge.</w:t>
      </w:r>
    </w:p>
    <w:p w14:paraId="5336F5B3"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Gregory, M.R., 1999. Plastics and South Pacific Island shores: environmental implications. Ocean &amp; Coastal Management, 42</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6-7</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pp. 603-615.</w:t>
      </w:r>
    </w:p>
    <w:p w14:paraId="7E7CB44F" w14:textId="2968E748" w:rsidR="00BE57CC" w:rsidRPr="00610B1B" w:rsidRDefault="00BE57CC" w:rsidP="00BF58D9">
      <w:pPr>
        <w:widowControl w:val="0"/>
        <w:numPr>
          <w:ilvl w:val="0"/>
          <w:numId w:val="98"/>
        </w:numPr>
        <w:spacing w:after="120"/>
        <w:ind w:left="426" w:right="3238"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Handbook on Integrated Maritime Spatial Planning (2008), </w:t>
      </w:r>
      <w:hyperlink r:id="rId342" w:history="1">
        <w:r w:rsidR="00BF58D9" w:rsidRPr="00610B1B">
          <w:rPr>
            <w:rStyle w:val="Hyperlink"/>
            <w:rFonts w:ascii="Times New Roman" w:eastAsia="Source Han Sans CN Regular" w:hAnsi="Times New Roman" w:cs="Times New Roman"/>
            <w:sz w:val="24"/>
            <w:szCs w:val="24"/>
            <w:lang w:val="bg-BG" w:eastAsia="zh-CN" w:bidi="hi-IN"/>
          </w:rPr>
          <w:t>http://www.plancoast.eu/files/handbook_web.pdf</w:t>
        </w:r>
      </w:hyperlink>
      <w:r w:rsidRPr="00610B1B">
        <w:rPr>
          <w:rFonts w:ascii="Times New Roman" w:eastAsia="Source Han Sans CN Regular" w:hAnsi="Times New Roman" w:cs="Times New Roman"/>
          <w:sz w:val="24"/>
          <w:szCs w:val="24"/>
          <w:lang w:val="bg-BG" w:eastAsia="zh-CN" w:bidi="hi-IN"/>
        </w:rPr>
        <w:t>;</w:t>
      </w:r>
      <w:r w:rsidR="00D66FE0" w:rsidRPr="00610B1B">
        <w:rPr>
          <w:rFonts w:ascii="Times New Roman" w:eastAsia="Source Han Sans CN Regular" w:hAnsi="Times New Roman" w:cs="Times New Roman"/>
          <w:sz w:val="24"/>
          <w:szCs w:val="24"/>
          <w:lang w:val="bg-BG" w:eastAsia="zh-CN" w:bidi="hi-IN"/>
        </w:rPr>
        <w:t xml:space="preserve"> </w:t>
      </w:r>
    </w:p>
    <w:p w14:paraId="111E2434"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Hiebaum, G., 1991. Characteristic features in the seasonal dynamics of the baseic biological processes in anthropogenic eutrophicated marine coastal ecosystems, in: The Black Sea Symposium, Istanbul, 16-18 Sept. 1991. Black Sea Foundation, Istanbul, pp. 159–163.</w:t>
      </w:r>
    </w:p>
    <w:p w14:paraId="4C5F88C6"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Hubenov, Z., 2015. Species composition of the free living multicellular invertebrate animals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Metazoa: Invertebrata</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from the Bulgarian sector of the Black Sea and the coastal brackish basins. Hist. Nat. Bulg. 21, 49–168.</w:t>
      </w:r>
    </w:p>
    <w:p w14:paraId="080F0261"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Huggett, R. 2016. Fundamentals of geomorphology. Routledge.</w:t>
      </w:r>
    </w:p>
    <w:p w14:paraId="42DAECAC" w14:textId="5EB359DE"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Ignatov, E. I. 2008 Coastal and bottom topography. In Kostianoy, A. G., Kosarev, A. N. (Eds.) The Black Sea Environment,</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Publ. house Springer, Heidelberg, 47-62.</w:t>
      </w:r>
    </w:p>
    <w:p w14:paraId="63B66D7B" w14:textId="387D8A5A"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ILO, 2020. A policy framework for tackling the economic and social impact of the COVID-19 crisis </w:t>
      </w:r>
      <w:hyperlink r:id="rId343" w:history="1">
        <w:r w:rsidR="00BF58D9" w:rsidRPr="00610B1B">
          <w:rPr>
            <w:rStyle w:val="Hyperlink"/>
            <w:rFonts w:ascii="Times New Roman" w:eastAsia="Source Han Sans CN Regular" w:hAnsi="Times New Roman" w:cs="Times New Roman"/>
            <w:sz w:val="24"/>
            <w:szCs w:val="24"/>
            <w:lang w:val="bg-BG" w:eastAsia="zh-CN" w:bidi="hi-IN"/>
          </w:rPr>
          <w:t>https://www.ilo.org/wcmsp5/groups/public/@dgreports/@dcomm/documents/briefingnote/wcms_745337.pdf</w:t>
        </w:r>
      </w:hyperlink>
      <w:r w:rsidR="00D66FE0" w:rsidRPr="00610B1B">
        <w:rPr>
          <w:rFonts w:ascii="Times New Roman" w:eastAsia="Source Han Sans CN Regular" w:hAnsi="Times New Roman" w:cs="Times New Roman"/>
          <w:sz w:val="24"/>
          <w:szCs w:val="24"/>
          <w:lang w:val="bg-BG" w:eastAsia="zh-CN" w:bidi="hi-IN"/>
        </w:rPr>
        <w:t xml:space="preserve"> </w:t>
      </w:r>
    </w:p>
    <w:p w14:paraId="6892F035"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Ivanov L.S., Beverton R.J.H. 1985. The Fisheries Resources of the Mediterranean. Part 2: Black Sea. FAO Studies and Reviews, 60, 135 p.</w:t>
      </w:r>
    </w:p>
    <w:p w14:paraId="68160A00"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Ivanova, P.P., Trayanova, A.T., Stefanova, K.B., Stefanova, E., Raykov, V.S. and Doncheva, V.G., 2017. Population Status of Some Alien Species in Varna Bay, Bulgarian Black Sea Coast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2015-2016</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Acta Zoologica Bulgarica, Supplement, 9, pp.73-82.</w:t>
      </w:r>
    </w:p>
    <w:p w14:paraId="308A9FA8"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Johnston, E.L., Roberts, D.A., 2009. Contaminants reduce the richness and evenness of marine communities: a review and meta-analysis. Environ. Pollut. 157, 1745–1752.</w:t>
      </w:r>
    </w:p>
    <w:p w14:paraId="511BBAF5" w14:textId="63DD580B"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Kamburska, L., 2004. Effects of Beroe cf ovata on gelatinous and other zooplankton along the Bulgarian Black Sea Coast. In Aquatic Invasions in the Black, Caspian, and Mediterranean Seas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pp. 137-154</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Springer, Dordrecht.</w:t>
      </w:r>
    </w:p>
    <w:p w14:paraId="3D87803A" w14:textId="77777777" w:rsidR="009918C6" w:rsidRPr="00610B1B" w:rsidRDefault="009918C6" w:rsidP="009918C6">
      <w:pPr>
        <w:widowControl w:val="0"/>
        <w:spacing w:after="120"/>
        <w:ind w:right="-153"/>
        <w:jc w:val="both"/>
        <w:rPr>
          <w:rFonts w:ascii="Times New Roman" w:eastAsia="Source Han Sans CN Regular" w:hAnsi="Times New Roman" w:cs="Times New Roman"/>
          <w:sz w:val="24"/>
          <w:szCs w:val="24"/>
          <w:lang w:val="bg-BG" w:eastAsia="zh-CN" w:bidi="hi-IN"/>
        </w:rPr>
      </w:pPr>
    </w:p>
    <w:p w14:paraId="2FE03B6C"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 xml:space="preserve">Kamburska, L., Doncheva, V. and Stefanova, K., 2003, March. On the recent changes of zooplankton community structure along the Bulgarian Black Sea coast–a post invasion effect of exotic ctenophores interactions. In Proceedings of the first international conference on environmental research and assessment. Bucharest, Romania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Vol. 2327, p. 6984</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w:t>
      </w:r>
    </w:p>
    <w:p w14:paraId="48545FB9"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Kaneva-Abadjieva, V., 1958. A new harmful snail along the Bulgarian Black Sea coast. Priroda, 3: 89-91.</w:t>
      </w:r>
    </w:p>
    <w:p w14:paraId="67E90C9A"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Karaivanov P., N. Karaivanov 2015. Seasonal dynamics of the intensity of migration of birds of prey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Orders: Falconiformes, Accipitriformes</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in the region of Balgarevo village, Municipality of Kavarna. J. BioSci. Biotechnol. 2015, SE/ONLINE: 285-290</w:t>
      </w:r>
    </w:p>
    <w:p w14:paraId="72956C53"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Karamfilov, V., Berov, D., Panayotidis, P., 2019. Using Zostera noltei biometrics for evaluation of the ecological and environmental quality status of Black Sea coastal waters. Regional Studies Marine Science 27. doi:10.1016/j.rsma.2019.100524</w:t>
      </w:r>
    </w:p>
    <w:p w14:paraId="69699A1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Kenderova, R., Tcherkezova, E., Sarafov, A. 1999. Geomorphological research of the coastal strip between the Cape Humata and the Cape Kaja. In Annuaire de L`Universite de Sofia "St. Kliment Ohridski", tome 89, 59-68 p.</w:t>
      </w:r>
    </w:p>
    <w:p w14:paraId="1348905D"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Keremedchiev, St., Stancheva, M. 2006. Assessment of the geo-morphodynamical activity of the Bulgarian Black Sea coast. Comptes Rendus de l‘Academie Bulgare des Sciences, 59(2): 181-190</w:t>
      </w:r>
    </w:p>
    <w:p w14:paraId="61D701DF"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Keremedchiv, S., Cherneva, Z. 2003. А geomorplюlogic analysis of tl1e Bнlgarian Black Sea coast. РгоЫеms of geograpl1y, book 2, S. р. 38-50.</w:t>
      </w:r>
    </w:p>
    <w:p w14:paraId="106FA9CC"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Khrischev, Kh., V. Georgiev, S. Chochov. 1980. Geological evidence on salt production in ancient Ankhialo. – C. R. Acad. bulg. Sci., 33, 6, 825–827.</w:t>
      </w:r>
    </w:p>
    <w:p w14:paraId="26D1AC29"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Konigstedt, D., D. Robel. 1978. Zur Avifauna Bulgariens - Ein Nachtrag. - Beitr. Vogelkd., 24, 5.</w:t>
      </w:r>
    </w:p>
    <w:p w14:paraId="54C66B7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Konovalov, S.M., 1995. Anthropogenic impact and ecosystems of the Black Sea. Les mers tributaires de Mediterranee. CIESM Science series, 1, pp.53-83.</w:t>
      </w:r>
    </w:p>
    <w:p w14:paraId="5B14EA5A"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Konsulov 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Comp.</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1998. Black Sea biological diversity. Bulgaria. UN Publ., New York, 167p.</w:t>
      </w:r>
    </w:p>
    <w:p w14:paraId="4C6F54CA"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Konsulov, A. and Kamburska, L., 1998. Zooplankton dynamics and variability off the Bulgarian Black Sea Coast during 1991-1995. Ecosystem Modeling as a Management Tool for the Black Sea. Proceedings of the NATO TU Black Sea Project, Kluwer Academic Publishers, Dordrecht, 1, pp.281-292.</w:t>
      </w:r>
    </w:p>
    <w:p w14:paraId="661497E8"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Konsulov, A., 1989. One more New-comer. A New Species in the Black Sea-Dangerous or Harmless for Ecology. Morski Svjat, 2</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8</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w:t>
      </w:r>
    </w:p>
    <w:p w14:paraId="3F1486E8"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Konsulov, A.S. and Kamburska, L.T., 1998. Ecological determination of the new Ctenophora–Beroe ovata invasion in the Black Sea. Oceanology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Bulgaria</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2, pp.195-198.</w:t>
      </w:r>
    </w:p>
    <w:p w14:paraId="11885424"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Kumerloeve, H. 1957. Ornithologische Beobachtungen im “Zurbringenraum“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Bulgarisch-rumanische Schwazmeerkuste</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des Bosphorus-zuges-Bonn. Zool. Beitr. 8.</w:t>
      </w:r>
    </w:p>
    <w:p w14:paraId="3610A519"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Lacouture, R.V., Johnson, J.M., Buchanan, C. and Marshall, H.G., 2006. Phytoplankton index of biotic integrity for Chesapeake Bay and its tidal tributaries. Estuaries and Coasts, 29</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4</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pp.598-616.</w:t>
      </w:r>
    </w:p>
    <w:p w14:paraId="379A7684"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Laine, L. 1978. Muutonhavainnointia Mustanmeren Iansirannikolla-Lintumies, 13.</w:t>
      </w:r>
    </w:p>
    <w:p w14:paraId="3BC175E7" w14:textId="43316654"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Lohrer, A.M., Townsend, M., Rodil, I.F., Hewitt, J.E., Thrush, S.F., 2012. Detecting shifts in ecosystem functioning: The decoupling of fundamental relationships with increased pollutant stress on sandflats. Marine Pollution Bulletin 64, 2761–2769. </w:t>
      </w:r>
      <w:hyperlink r:id="rId344" w:history="1">
        <w:r w:rsidR="00BF58D9" w:rsidRPr="00610B1B">
          <w:rPr>
            <w:rStyle w:val="Hyperlink"/>
            <w:rFonts w:ascii="Times New Roman" w:eastAsia="Source Han Sans CN Regular" w:hAnsi="Times New Roman" w:cs="Times New Roman"/>
            <w:sz w:val="24"/>
            <w:szCs w:val="24"/>
            <w:lang w:val="bg-BG" w:eastAsia="zh-CN" w:bidi="hi-IN"/>
          </w:rPr>
          <w:t>https://doi.org/10.1016/j.marpolbul.2012.09.012</w:t>
        </w:r>
      </w:hyperlink>
      <w:r w:rsidR="00BF58D9" w:rsidRPr="00610B1B">
        <w:rPr>
          <w:rFonts w:ascii="Times New Roman" w:eastAsia="Source Han Sans CN Regular" w:hAnsi="Times New Roman" w:cs="Times New Roman"/>
          <w:sz w:val="24"/>
          <w:szCs w:val="24"/>
          <w:lang w:val="bg-BG" w:eastAsia="zh-CN" w:bidi="hi-IN"/>
        </w:rPr>
        <w:t xml:space="preserve"> </w:t>
      </w:r>
    </w:p>
    <w:p w14:paraId="07D4F17E" w14:textId="592F70DE"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Marine ecology, 2013. In South Stream Gas Pipeline Project Surveys Report, p. 203 </w:t>
      </w:r>
      <w:hyperlink r:id="rId345" w:history="1">
        <w:r w:rsidRPr="00610B1B">
          <w:rPr>
            <w:rFonts w:ascii="Times New Roman" w:eastAsia="Source Han Sans CN Regular" w:hAnsi="Times New Roman" w:cs="Times New Roman"/>
            <w:color w:val="0000FF"/>
            <w:sz w:val="24"/>
            <w:szCs w:val="24"/>
            <w:u w:val="single"/>
            <w:lang w:val="bg-BG" w:eastAsia="zh-CN" w:bidi="hi-IN"/>
          </w:rPr>
          <w:t>http://www.south-stream-offshore.com</w:t>
        </w:r>
      </w:hyperlink>
      <w:r w:rsidRPr="00610B1B">
        <w:rPr>
          <w:rFonts w:ascii="Times New Roman" w:eastAsia="Source Han Sans CN Regular" w:hAnsi="Times New Roman" w:cs="Times New Roman"/>
          <w:sz w:val="24"/>
          <w:szCs w:val="24"/>
          <w:lang w:val="bg-BG" w:eastAsia="zh-CN" w:bidi="hi-IN"/>
        </w:rPr>
        <w:t>;</w:t>
      </w:r>
    </w:p>
    <w:p w14:paraId="0F4128B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Maritime technology challenges 2030 https://www.ecmar.eu/media/1813/ecmar-brochure-maritme-technology-challenges-2030.pdf</w:t>
      </w:r>
    </w:p>
    <w:p w14:paraId="51C2F7CD" w14:textId="0C09D203"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Mearns, A.J., Reish, D.J., Oshida, P.S., Ginn, T., Rempel-Hester, M.A., Arthur, C., Rutherford, N., 2013. Effects of pollution on marine organisms. Water Environ. Res. 85, 1828–1933. </w:t>
      </w:r>
      <w:hyperlink r:id="rId346" w:history="1">
        <w:r w:rsidR="00BF58D9" w:rsidRPr="00610B1B">
          <w:rPr>
            <w:rStyle w:val="Hyperlink"/>
            <w:rFonts w:ascii="Times New Roman" w:eastAsia="Source Han Sans CN Regular" w:hAnsi="Times New Roman" w:cs="Times New Roman"/>
            <w:sz w:val="24"/>
            <w:szCs w:val="24"/>
            <w:lang w:val="bg-BG" w:eastAsia="zh-CN" w:bidi="hi-IN"/>
          </w:rPr>
          <w:t>https://doi.org/10.2175/106143013X13698672322949</w:t>
        </w:r>
      </w:hyperlink>
      <w:r w:rsidR="00BF58D9" w:rsidRPr="00610B1B">
        <w:rPr>
          <w:rFonts w:ascii="Times New Roman" w:eastAsia="Source Han Sans CN Regular" w:hAnsi="Times New Roman" w:cs="Times New Roman"/>
          <w:sz w:val="24"/>
          <w:szCs w:val="24"/>
          <w:lang w:val="bg-BG" w:eastAsia="zh-CN" w:bidi="hi-IN"/>
        </w:rPr>
        <w:t xml:space="preserve"> </w:t>
      </w:r>
    </w:p>
    <w:p w14:paraId="3FA943B9"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Mee, L.D., Friedrich, J., 2005. Restoring the Black Sea in Times of Uncertainty. Oceanography 18, 100–111.</w:t>
      </w:r>
    </w:p>
    <w:p w14:paraId="5B97D849"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Micallef, A., Krastel, S., &amp; Savini, A. (Eds.). 2017. Submarine Geomorphology. Springer.</w:t>
      </w:r>
    </w:p>
    <w:p w14:paraId="6B515EAE"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Michev T., L. Profirov, K. Nyagolov, M. Dimitrov 2011. Autumn migration of soaring birds at Bourgas Bay, Bulgaria 1979-2003. – British Birds, 1: 16-37.</w:t>
      </w:r>
    </w:p>
    <w:p w14:paraId="2BAA2436"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Michev T., L. Profirov, N. Karaivanov, B. Michev. 2012. Migration of soaring birds over Bulgaria. Acta zool. bulg. 64</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1</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33-41.</w:t>
      </w:r>
    </w:p>
    <w:p w14:paraId="0EEC1B4D" w14:textId="06298BF4" w:rsidR="002F29DE" w:rsidRPr="00610B1B" w:rsidRDefault="00BE57CC" w:rsidP="00727372">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Mihaylov K. 2011. Development of national network for monitoring the Black Sea cetaceans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stranded and by-caught</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in Bulgaria and identifying relevant measures for mitigation the adverse impact of fisheries: MoU ACCOBAMS, N° 01/2010: 70 p.</w:t>
      </w:r>
    </w:p>
    <w:p w14:paraId="4B1DD40B"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Minicheva, G., Berov, D., Dencheva, K., Dykyl, E., Tretyak, I., Karacuha, A., Marin, O., 2019. State of Macrophytobenthos, in: Black Sea State of the Environment Report 2009-2014/15. Commission on the Protection of the Black Sea Against Pollution, Istanbul, p. 812.</w:t>
      </w:r>
    </w:p>
    <w:p w14:paraId="525C8149"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Minicheva, G., Maximova, O., Moruchkova, N., Simakova, U., Sburlea, A., Dencheva, K., Aktan, Y., Sezgin, M., 2008. State of the macrophytobenthos, in: State of the Environment of the Black Sea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2001-2006/7</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Istanbul, p. 448.</w:t>
      </w:r>
    </w:p>
    <w:p w14:paraId="41D8BED0"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Moncheva S., Krastev A. 1997. Some Aspects of Phytoplankton Long-Term Alterations Off Bulgarian Black Sea Shelf. In: Özsoy E., Mikaelyan 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eds</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Sensitivity to Change: Black Sea, Baltic Sea and North Sea. NATO ASI Series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Series 2: Environment</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vol 27. Springer, Dordrecht</w:t>
      </w:r>
    </w:p>
    <w:p w14:paraId="331CFD9E"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Moncheva S., L. Boicenko, 2010. Compliance of national assessment methods with the WFD requirements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Romania and Bulgaria</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WFD Intercalibration Phase 2: Milestone 4b report- Black Sea GIG</w:t>
      </w:r>
    </w:p>
    <w:p w14:paraId="7A3A57E2" w14:textId="124F0FEF"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Moncheva, S., Dontcheva, V., Shtereva, G., Kamburska, L., Malej, A. and Gorinstein, S., 2002. Application of eutrophication indices for assessment of the Bulgarian Black Sea coastal ecosystem ecological quality. Water Science and Technology, 46</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8</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pp.19-28.</w:t>
      </w:r>
    </w:p>
    <w:p w14:paraId="7E22F5A6" w14:textId="77777777" w:rsidR="009918C6" w:rsidRPr="00610B1B" w:rsidRDefault="009918C6" w:rsidP="009918C6">
      <w:pPr>
        <w:widowControl w:val="0"/>
        <w:spacing w:after="120"/>
        <w:ind w:right="-153"/>
        <w:jc w:val="both"/>
        <w:rPr>
          <w:rFonts w:ascii="Times New Roman" w:eastAsia="Source Han Sans CN Regular" w:hAnsi="Times New Roman" w:cs="Times New Roman"/>
          <w:sz w:val="24"/>
          <w:szCs w:val="24"/>
          <w:lang w:val="bg-BG" w:eastAsia="zh-CN" w:bidi="hi-IN"/>
        </w:rPr>
      </w:pPr>
    </w:p>
    <w:p w14:paraId="2B4A6FDD"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Moncheva, S., Gotsis-Skretas, O., Pagou, K. and Krastev, A., 2001. Phytoplankton blooms in Black Sea and Mediterranean coastal ecosystems subjected to anthropogenic eutrophication: similarities and differences. Estuarine, Coastal and Shelf Science, 53</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3</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pp.281-295.</w:t>
      </w:r>
    </w:p>
    <w:p w14:paraId="61B24760"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Moncheva, S.P. and Kamburska, L.T., 2002. Plankton stowaways in the Black Sea- Impacts on biodiversity and ecosystem health. In CIESM Workshop Monographs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Vol. 20, pp. 47-51</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w:t>
      </w:r>
    </w:p>
    <w:p w14:paraId="0F6922C4" w14:textId="6FCA7D00" w:rsidR="00BE57CC" w:rsidRPr="00610B1B" w:rsidRDefault="00BE57CC" w:rsidP="00BE57CC">
      <w:pPr>
        <w:widowControl w:val="0"/>
        <w:numPr>
          <w:ilvl w:val="0"/>
          <w:numId w:val="98"/>
        </w:numPr>
        <w:spacing w:after="120"/>
        <w:ind w:left="426" w:right="-153" w:hanging="426"/>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National Ocean Policy Implementation Plan</w:t>
      </w:r>
      <w:r w:rsidR="00D66FE0" w:rsidRPr="00610B1B">
        <w:rPr>
          <w:rFonts w:ascii="Times New Roman" w:eastAsia="Source Han Sans CN Regular" w:hAnsi="Times New Roman" w:cs="Times New Roman"/>
          <w:sz w:val="24"/>
          <w:szCs w:val="24"/>
          <w:lang w:val="bg-BG" w:eastAsia="zh-CN" w:bidi="hi-IN"/>
        </w:rPr>
        <w:t xml:space="preserve"> </w:t>
      </w:r>
      <w:hyperlink r:id="rId347" w:history="1">
        <w:r w:rsidR="009B6D1D" w:rsidRPr="00610B1B">
          <w:rPr>
            <w:rStyle w:val="Hyperlink"/>
            <w:rFonts w:ascii="Times New Roman" w:eastAsia="Source Han Sans CN Regular" w:hAnsi="Times New Roman" w:cs="Times New Roman"/>
            <w:sz w:val="24"/>
            <w:szCs w:val="24"/>
            <w:lang w:val="bg-BG" w:eastAsia="zh-CN" w:bidi="hi-IN"/>
          </w:rPr>
          <w:t>https://obamawhitehouse.archives.gov/sites/default/files/national_ocean_policy_implementation_plan.pdf</w:t>
        </w:r>
      </w:hyperlink>
      <w:r w:rsidR="00D66FE0" w:rsidRPr="00610B1B">
        <w:rPr>
          <w:rFonts w:ascii="Times New Roman" w:eastAsia="Source Han Sans CN Regular" w:hAnsi="Times New Roman" w:cs="Times New Roman"/>
          <w:sz w:val="24"/>
          <w:szCs w:val="24"/>
          <w:lang w:val="bg-BG" w:eastAsia="zh-CN" w:bidi="hi-IN"/>
        </w:rPr>
        <w:t xml:space="preserve"> </w:t>
      </w:r>
    </w:p>
    <w:p w14:paraId="4F677A77" w14:textId="462A66E1"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National ocean policy implementation plan 2017. The Victorian Government </w:t>
      </w:r>
      <w:hyperlink r:id="rId348" w:history="1">
        <w:r w:rsidR="009B3909" w:rsidRPr="00610B1B">
          <w:rPr>
            <w:rStyle w:val="Hyperlink"/>
            <w:rFonts w:ascii="Times New Roman" w:eastAsia="Source Han Sans CN Regular" w:hAnsi="Times New Roman" w:cs="Times New Roman"/>
            <w:sz w:val="24"/>
            <w:szCs w:val="24"/>
            <w:lang w:val="bg-BG" w:eastAsia="zh-CN" w:bidi="hi-IN"/>
          </w:rPr>
          <w:t>https://www.coastsandmarine.vic.gov.au/__data/assets/pdf_file/0022/65443/Marine-Coastal__Summary_Report_web.pdf</w:t>
        </w:r>
      </w:hyperlink>
      <w:r w:rsidR="00C415D1" w:rsidRPr="00610B1B">
        <w:rPr>
          <w:rFonts w:ascii="Times New Roman" w:eastAsia="Source Han Sans CN Regular" w:hAnsi="Times New Roman" w:cs="Times New Roman"/>
          <w:sz w:val="24"/>
          <w:szCs w:val="24"/>
          <w:lang w:val="bg-BG" w:eastAsia="zh-CN" w:bidi="hi-IN"/>
        </w:rPr>
        <w:t xml:space="preserve"> </w:t>
      </w:r>
    </w:p>
    <w:p w14:paraId="4FD20916"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Nesterova, S. Moncheva, A. Mikaelyan, A. Vershinin, V. Akatov, L. Boicenco, Y. Aktan, F. Sahin, T. Gvarishvili, 2008. CHAPTER 5 The State of Phytoplankton BSC, 2008. State of the Environment of the Black Sea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2001-2006/7</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Black Sea Commission Publications 2008-3, Istanbul, Turkey, pp. 173-200.</w:t>
      </w:r>
    </w:p>
    <w:p w14:paraId="4A5DF04F" w14:textId="63B9A592" w:rsidR="00BE57CC" w:rsidRPr="00610B1B" w:rsidRDefault="00BE57CC" w:rsidP="00DE3A13">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Netherlands’ Maritime Spatial Plan,</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Document for the North Sea 2016-2021</w:t>
      </w:r>
      <w:r w:rsidR="00D66FE0" w:rsidRPr="00610B1B">
        <w:rPr>
          <w:rFonts w:ascii="Times New Roman" w:eastAsia="Source Han Sans CN Regular" w:hAnsi="Times New Roman" w:cs="Times New Roman"/>
          <w:sz w:val="24"/>
          <w:szCs w:val="24"/>
          <w:lang w:val="bg-BG" w:eastAsia="zh-CN" w:bidi="hi-IN"/>
        </w:rPr>
        <w:t xml:space="preserve"> </w:t>
      </w:r>
      <w:hyperlink r:id="rId349" w:history="1">
        <w:r w:rsidR="00537D06" w:rsidRPr="00610B1B">
          <w:rPr>
            <w:rStyle w:val="Hyperlink"/>
            <w:rFonts w:ascii="Times New Roman" w:eastAsia="Source Han Sans CN Regular" w:hAnsi="Times New Roman" w:cs="Times New Roman"/>
            <w:sz w:val="24"/>
            <w:szCs w:val="24"/>
            <w:lang w:val="bg-BG" w:eastAsia="zh-CN" w:bidi="hi-IN"/>
          </w:rPr>
          <w:t>http://www.msp-platform.eu/countries/netherlands</w:t>
        </w:r>
      </w:hyperlink>
      <w:r w:rsidRPr="00610B1B">
        <w:rPr>
          <w:rFonts w:ascii="Times New Roman" w:eastAsia="Source Han Sans CN Regular" w:hAnsi="Times New Roman" w:cs="Times New Roman"/>
          <w:sz w:val="24"/>
          <w:szCs w:val="24"/>
          <w:lang w:val="bg-BG" w:eastAsia="zh-CN" w:bidi="hi-IN"/>
        </w:rPr>
        <w:t>;</w:t>
      </w:r>
    </w:p>
    <w:p w14:paraId="10D8D6A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Oguz T., Fach B., Salihoglu B., 2008. Invasion dynamics of the alien ctenophore Mnemiopsis leidyi and its impact on anchovy collapse in the Black Sea. Journal Of Plankton Research, 30: 1385–1397.</w:t>
      </w:r>
    </w:p>
    <w:p w14:paraId="69AF70E0" w14:textId="61A9426A"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Oguz, T. and Velikova, V., 2010. Abrupt transition of the northwestern Black Sea shelf ecosystem from a eutrophic to an alternative pristine state. Marine Ecology Progress Series, 405, pp.231-242.</w:t>
      </w:r>
    </w:p>
    <w:p w14:paraId="0A8A21A9" w14:textId="448E7FA9"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Oguz, T., Dippner, J.W. and Kaymaz, Z., 2006. Climatic regulation of the Black Sea hydro-meteorological and ecological properties at interannual-to-decadal time scales. Journal of Marine Systems, 60</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3-4</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pp.235-254.</w:t>
      </w:r>
      <w:r w:rsidR="009B3909" w:rsidRPr="00610B1B">
        <w:rPr>
          <w:rFonts w:ascii="Times New Roman" w:eastAsia="Source Han Sans CN Regular" w:hAnsi="Times New Roman" w:cs="Times New Roman"/>
          <w:sz w:val="24"/>
          <w:szCs w:val="24"/>
          <w:lang w:val="bg-BG" w:eastAsia="zh-CN" w:bidi="hi-IN"/>
        </w:rPr>
        <w:t xml:space="preserve"> </w:t>
      </w:r>
    </w:p>
    <w:p w14:paraId="703A138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Orfanidis, S., Panayotidis, P., Ugland, K.I., 2011. Ecological Evaluation Index continuous formula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EEI-c</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application: a step forward for functional groups, the formula and reference condition values. Mediterr. Mar. Sci. 12, 199–231.</w:t>
      </w:r>
    </w:p>
    <w:p w14:paraId="7F0C18A7" w14:textId="67A5CDBF"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Osvath</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I.,</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Egorov</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V. 1999.</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Radionuclides</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in</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the</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Black</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Sea.</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Pp.</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 xml:space="preserve">103-109 in: L.D. Mee and G. Topping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Eds.</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Black Sea pollution assessment. UN Publ., New York, 380 p.</w:t>
      </w:r>
    </w:p>
    <w:p w14:paraId="0E1AAD31"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Panayotova, Marina &amp; Todorova, Valentina.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2015</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Distribution of three cetacean species along the Bulgarian Black Sea coast in 2006-2013. J. Black Sea/Mediterranean Environment. 21. 45-53.</w:t>
      </w:r>
    </w:p>
    <w:p w14:paraId="3072E148" w14:textId="77777777" w:rsidR="00BE57CC" w:rsidRPr="00610B1B" w:rsidRDefault="00BE57CC" w:rsidP="00BE57CC">
      <w:pPr>
        <w:widowControl w:val="0"/>
        <w:numPr>
          <w:ilvl w:val="0"/>
          <w:numId w:val="98"/>
        </w:numPr>
        <w:spacing w:after="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Pentland Firth and Orkney Waters Marine Spatial Plan Framework &amp; Regional Locational Guidance for Marine Energy Final Report</w:t>
      </w:r>
    </w:p>
    <w:p w14:paraId="42394EA3" w14:textId="6411B817" w:rsidR="00BE57CC" w:rsidRPr="00610B1B" w:rsidRDefault="002A152C" w:rsidP="00BE57CC">
      <w:pPr>
        <w:widowControl w:val="0"/>
        <w:spacing w:after="120"/>
        <w:ind w:left="426" w:right="-153"/>
        <w:jc w:val="both"/>
        <w:rPr>
          <w:rFonts w:ascii="Times New Roman" w:eastAsia="Source Han Sans CN Regular" w:hAnsi="Times New Roman" w:cs="Times New Roman"/>
          <w:sz w:val="24"/>
          <w:szCs w:val="24"/>
          <w:lang w:val="bg-BG" w:eastAsia="zh-CN" w:bidi="hi-IN"/>
        </w:rPr>
      </w:pPr>
      <w:hyperlink r:id="rId350" w:history="1">
        <w:r w:rsidR="00BE57CC" w:rsidRPr="00610B1B">
          <w:rPr>
            <w:rFonts w:ascii="Times New Roman" w:eastAsia="Source Han Sans CN Regular" w:hAnsi="Times New Roman" w:cs="Times New Roman"/>
            <w:color w:val="0000FF"/>
            <w:sz w:val="24"/>
            <w:szCs w:val="24"/>
            <w:u w:val="single"/>
            <w:lang w:val="bg-BG" w:eastAsia="zh-CN" w:bidi="hi-IN"/>
          </w:rPr>
          <w:t>https://tethys.pnnl.gov/sites/default/files/publications/Marine-Scotland-2011_0115355.pdf</w:t>
        </w:r>
      </w:hyperlink>
      <w:r w:rsidR="00D66FE0" w:rsidRPr="00610B1B">
        <w:rPr>
          <w:rFonts w:ascii="Times New Roman" w:eastAsia="Source Han Sans CN Regular" w:hAnsi="Times New Roman" w:cs="Times New Roman"/>
          <w:sz w:val="24"/>
          <w:szCs w:val="24"/>
          <w:lang w:val="bg-BG" w:eastAsia="zh-CN" w:bidi="hi-IN"/>
        </w:rPr>
        <w:t xml:space="preserve"> </w:t>
      </w:r>
    </w:p>
    <w:p w14:paraId="2B8AA7FF" w14:textId="1E36D97E"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Petrova-Karadzova, V.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1984</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Changes in planktonic flora in Bulgarian Black Sea waters under theinfluence of eutrophication. Proc. Inst. Fish.21, pp. 105–112.</w:t>
      </w:r>
    </w:p>
    <w:p w14:paraId="394277BD" w14:textId="77777777" w:rsidR="009918C6" w:rsidRPr="00610B1B" w:rsidRDefault="009918C6" w:rsidP="009918C6">
      <w:pPr>
        <w:widowControl w:val="0"/>
        <w:spacing w:after="120"/>
        <w:ind w:right="-153"/>
        <w:jc w:val="both"/>
        <w:rPr>
          <w:rFonts w:ascii="Times New Roman" w:eastAsia="Source Han Sans CN Regular" w:hAnsi="Times New Roman" w:cs="Times New Roman"/>
          <w:sz w:val="24"/>
          <w:szCs w:val="24"/>
          <w:lang w:val="bg-BG" w:eastAsia="zh-CN" w:bidi="hi-IN"/>
        </w:rPr>
      </w:pPr>
    </w:p>
    <w:p w14:paraId="015BA0E1"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Prodanov, B., Dimitrov, L., Andreeva, N., Keremedchiev, St. 2017. Geomorphological setting of the coastal zone between cape Galata and cape Paletsa, Bulgaria Black Sea. In Comptes rendus de l’Academie Bulgarie des Sciences, Volume 70, №8, pp.1137-1142.</w:t>
      </w:r>
    </w:p>
    <w:p w14:paraId="333796E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Prodanov, B., Keremedchiev, St., Dimitrov, L., Andreeva, N. 2019d. Seabed Morphology of the Varna Bay coastal zone, Bulgarian Black Sea. In Comptes rendus de l’Academie Bulgarie des Sciences, 72(8), pp.1078-1085.</w:t>
      </w:r>
    </w:p>
    <w:p w14:paraId="76A4FA7A"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Prodanov, B., Kotsev, I., Keremedchiev, St., Todorova, V., Dimitrov, L. 2013. Initial assessment of the technogenic pressure in the mediolittoral zone of the Bulgarian Black Sea coast. In Proceedings of the Second European SCGIS conference „Conservation of Natural and Cultural Heritage for Sustainable Development: GIS-based Approach“, September 24th, Sofia, Bulgaria, pp. 4-13; (достъпна на http://proc.scgis.scgisbg.org/index2014.html);</w:t>
      </w:r>
    </w:p>
    <w:p w14:paraId="322A0881"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Prodanov, B., Kotsev, I., Lambev, T., Bekova, R. 2019c. UAVs for surveying the Bulgarian Black Sea Coast. In Comptes rendus de l’Academie Bulgarie des Sciences, In press.</w:t>
      </w:r>
    </w:p>
    <w:p w14:paraId="1195079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Prodanov, B., Kotsev, I., Lambev, T., Dimitrov, L., Bekova, R., Dechev, D. 2019b. Drone-based geomorphological and landscape mapping of Bolata Cove, Bulgarian coast, In Sustainable Development and Innovations in Marine Technologies, Georgiev &amp; Guedes Soares (Eds.). Taylor &amp; Francis Group, London, https://doi.org/10.1201/9780367810085 , pp. 592-598.</w:t>
      </w:r>
    </w:p>
    <w:p w14:paraId="1D502330"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Prodanov, B., Lambev, T., Bekova, R., Kotsev, I. 2019a. Applying Unmanned Aerial Vehicles for high-resolution geomorphological mapping of the Ahtopol coastal sector (Bulgarian Black sea coast). In Proceedings of 19th International Multidisciplinary Scientific GeoConference (SGEM 2019), Vol.10. Photogrammetry and Remote Sensing, ISBN: 978-619-7408-80-5; DOI:10.5593/sgem2019/2.2/S10.05;</w:t>
      </w:r>
    </w:p>
    <w:p w14:paraId="2662B64A"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Prodanov, K, К. Dencheva, L. Ivanov, 1993. Species diversity of fish in Bulgarian Black Sea waters. National strategy for conservation of biological diversity, pp. 547-56.</w:t>
      </w:r>
    </w:p>
    <w:p w14:paraId="33F80428"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Prodanov, K., Konsulova, T. and Todorova, V., 1995, March. Growth rate of Rapana thomasiana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Gastropoda</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along Bulgarian Black Sea coast. In XXXIV Congress of CIESM.</w:t>
      </w:r>
    </w:p>
    <w:p w14:paraId="4CC4531D"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Prodanov, K., Mikhailov, K., Daskalov, G., Maxim, C., Chashchin, A., Arkhipov, A., Shlyakhov, V. and Ozdamar, E., 1997. Environmental management of fish resources in the Black Sea and their rational exploitation. Studies and Reviews-General Fisheries Council for the Mediterranean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FAO</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w:t>
      </w:r>
    </w:p>
    <w:p w14:paraId="22B55E8C"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Regional oceans plan. Scotian shelf Atlantic coast. Bay of Fundy. Background and Program Description http://www.inter.dfo-mpo.gc.ca/folios/00259/docs/Oceans-Plan-Description-Background-eng.pdf );</w:t>
      </w:r>
    </w:p>
    <w:p w14:paraId="22F8E0A0"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Report of the United nations conference on environment and development (Rio de Janeiro, 3-14 June 1992)</w:t>
      </w:r>
    </w:p>
    <w:p w14:paraId="40CE23B4"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Revkov, N., Abaza, V., Dumitrache, C., Todorova, V., Konsulova, Ts., Mickashavidze, E., Varshanidze, M., Sezgin, M., Ozturk, B., Chikina, M.V., Kucheruk, N.V., 2008. The state of zoobenthos, in: Oguz, T.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Ed.</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State of the Environment of the Black Sea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2001-2006/7</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BSC, Istanbul, Turkey, p. 448.</w:t>
      </w:r>
    </w:p>
    <w:p w14:paraId="3F3C987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Roberts, J. 1979. Observation of the migration of Raptors and other large soaring birds in Bulgaria, 1975-1978, - Ibis.</w:t>
      </w:r>
    </w:p>
    <w:p w14:paraId="12B1F289"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Sánchez-Cabanes, A., Nimak-Wood, M., Harris, N., &amp; de Stephanis, R.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2017</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Habitat preferences among three top predators inhabiting a degraded ecosystem, the Black Sea. Scientia Marina, 81</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217-227.</w:t>
      </w:r>
    </w:p>
    <w:p w14:paraId="4FB23B6C"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Scotland’s National Marine Plan, Published by The Scottish Government, March 2015</w:t>
      </w:r>
    </w:p>
    <w:p w14:paraId="039E8D48"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Shiganova, T., Musaeva, E., Araskievich, E., Kamburska, L., Stefanova, K., Michneva, V., Polishchuk, L., Timofte, F., Ustun, F., Oguz, T. and Khalvashi, M., 2008. The state of zooplankton. State of the Environment of the Black Sea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2001–2006/7</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pp.148-197.</w:t>
      </w:r>
    </w:p>
    <w:p w14:paraId="749EBDF9"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Shopov, V. 1983. Biostratigraphy of the sand accumulations on the Bulgaria Black Sea shelf. Cockatrice bank. Review of the Bulgarian Geological Society, vol. 44, part 3, 281-293.</w:t>
      </w:r>
    </w:p>
    <w:p w14:paraId="371A155B" w14:textId="46114C7E"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Simeonova, A., Chuturkova, R. and Yaneva, V., 2017. Seasonal dynamics of marine litter along the Bulgarian Black Sea coast. Marine pollution bulletin, 119</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1</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pp.110-118.</w:t>
      </w:r>
    </w:p>
    <w:p w14:paraId="7EB210A2"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Stanchev, H., Young, R., Stancheva, M. 2013. Integrating GIS and high resolution orthophoto images for the development of a geomorphic shoreline classification and risk assessment - a case study of cliff/bluff erosion along the Bulgarian coast. Journal of coastal conservation, 17(4), 719-728.</w:t>
      </w:r>
    </w:p>
    <w:p w14:paraId="1035091F"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Stancheva, M. 2010. Sand dunes along the Bulgarian Black Sea coast. Compt. Rend. Acad. Bulg. Sci, 63(7), 1037-1048.</w:t>
      </w:r>
    </w:p>
    <w:p w14:paraId="5DAB9DE3"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Stancheva, M. 2013. Bulgaria. In Coastal erosion and protection in Europe. (eds. Pranzini, E., Williams, A.) Routledge.</w:t>
      </w:r>
    </w:p>
    <w:p w14:paraId="1BD4ED13"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Stancheva, M., Marinski, J., Peychev, V., Palazov, A., Stanchev, H. 2011. Long-term coastal changes of Varna bay caused by anthropogenic influence. GeoEcoMarina, 17.</w:t>
      </w:r>
    </w:p>
    <w:p w14:paraId="5297C30D"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Stefanov, T., 2007. ‘Fauna and Distribution of Fishes in Bulgaria’, in Fet, V. and Popov, 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eds</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Biogeography and Ecology of Bulgaria. София: Springer, pp. 109–139. doi: 10.1007/978-1-4020-5781-6.</w:t>
      </w:r>
    </w:p>
    <w:p w14:paraId="232298B3" w14:textId="16D03355"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Stefanov, T., 2011. ‘Red Data Book of the Republic of Bulgaria. Digital Edition.’, in Golemanski, V. et al.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eds</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Red Data Book of the Republic of Bulgaria. Sofia: IBEI - BAS and MOEW, p. 48. </w:t>
      </w:r>
      <w:hyperlink r:id="rId351" w:history="1">
        <w:r w:rsidRPr="00610B1B">
          <w:rPr>
            <w:rFonts w:ascii="Times New Roman" w:eastAsia="Source Han Sans CN Regular" w:hAnsi="Times New Roman" w:cs="Times New Roman"/>
            <w:sz w:val="24"/>
            <w:szCs w:val="24"/>
            <w:lang w:val="bg-BG" w:eastAsia="zh-CN" w:bidi="hi-IN"/>
          </w:rPr>
          <w:t>http://e-ecodb.bas.bg/rdb/en/vol1/Genlutea.html</w:t>
        </w:r>
      </w:hyperlink>
      <w:r w:rsidRPr="00610B1B">
        <w:rPr>
          <w:rFonts w:ascii="Times New Roman" w:eastAsia="Source Han Sans CN Regular" w:hAnsi="Times New Roman" w:cs="Times New Roman"/>
          <w:sz w:val="24"/>
          <w:szCs w:val="24"/>
          <w:lang w:val="bg-BG" w:eastAsia="zh-CN" w:bidi="hi-IN"/>
        </w:rPr>
        <w:t>.</w:t>
      </w:r>
    </w:p>
    <w:p w14:paraId="0148CFBE"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Sukhanova, I.N., Flint, M. V, Hibaum, G., Karamfilov, V., Kopylov, A.I., Matveeva, E., Ratkova, T.N., Sazhin, A.F., 1988. Exuviaella cordata red tide in Bulgarian coastal waters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May to June 1986</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Mar. Biol. 99, 1–8. doi:10.1007/BF00644971</w:t>
      </w:r>
    </w:p>
    <w:p w14:paraId="61564ECA" w14:textId="4C4E09B6"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Technologies</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That</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Are</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Used</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To</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Study</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And</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Understand</w:t>
      </w:r>
      <w:r w:rsidR="009B6D1D" w:rsidRPr="00610B1B">
        <w:rPr>
          <w:rFonts w:ascii="Times New Roman" w:eastAsia="Source Han Sans CN Regular" w:hAnsi="Times New Roman" w:cs="Times New Roman"/>
          <w:sz w:val="24"/>
          <w:szCs w:val="24"/>
          <w:lang w:val="bg-BG" w:eastAsia="zh-CN" w:bidi="hi-IN"/>
        </w:rPr>
        <w:t> </w:t>
      </w:r>
      <w:r w:rsidRPr="00610B1B">
        <w:rPr>
          <w:rFonts w:ascii="Times New Roman" w:eastAsia="Source Han Sans CN Regular" w:hAnsi="Times New Roman" w:cs="Times New Roman"/>
          <w:sz w:val="24"/>
          <w:szCs w:val="24"/>
          <w:lang w:val="bg-BG" w:eastAsia="zh-CN" w:bidi="hi-IN"/>
        </w:rPr>
        <w:t xml:space="preserve">Oceans </w:t>
      </w:r>
      <w:hyperlink r:id="rId352" w:history="1">
        <w:r w:rsidRPr="00610B1B">
          <w:rPr>
            <w:rFonts w:ascii="Times New Roman" w:eastAsia="Source Han Sans CN Regular" w:hAnsi="Times New Roman" w:cs="Times New Roman"/>
            <w:color w:val="0000FF"/>
            <w:sz w:val="24"/>
            <w:szCs w:val="24"/>
            <w:u w:val="single"/>
            <w:lang w:val="bg-BG" w:eastAsia="zh-CN" w:bidi="hi-IN"/>
          </w:rPr>
          <w:t>https://www.marineinsight.com/tech/11-technologies-that-are-used-to-study-and-understand-oceans/</w:t>
        </w:r>
      </w:hyperlink>
    </w:p>
    <w:p w14:paraId="47198003"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The 2019 Annual economic report on the EU fishing fleet (STECF 19-06)</w:t>
      </w:r>
    </w:p>
    <w:p w14:paraId="3850D639"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The EU Blue Economy Report, 2018, Commission for Environment, Maritime Affairs and Fisheries, EC</w:t>
      </w:r>
    </w:p>
    <w:p w14:paraId="1037081A" w14:textId="68D7700B"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The EU Blue Economy Report, 2019, Commission for Environment, Maritime Affairs and MSFD reporting on Initial Assessments (Art. 8), Good Environmental Status (Art.9), Env. targets &amp; associated indicators (Art.10) &amp; related reporting on geographic areas, regional cooperation and metadata (</w:t>
      </w:r>
      <w:hyperlink r:id="rId353" w:history="1">
        <w:r w:rsidR="00BF58D9" w:rsidRPr="00610B1B">
          <w:rPr>
            <w:rStyle w:val="Hyperlink"/>
            <w:rFonts w:ascii="Times New Roman" w:eastAsia="Source Han Sans CN Regular" w:hAnsi="Times New Roman" w:cs="Times New Roman"/>
            <w:sz w:val="24"/>
            <w:szCs w:val="24"/>
            <w:lang w:val="bg-BG" w:eastAsia="zh-CN" w:bidi="hi-IN"/>
          </w:rPr>
          <w:t>https://cdr.eionet.europa.eu/bg/eu/msfd8910/</w:t>
        </w:r>
      </w:hyperlink>
      <w:r w:rsidRPr="00610B1B">
        <w:rPr>
          <w:rFonts w:ascii="Times New Roman" w:eastAsia="Source Han Sans CN Regular" w:hAnsi="Times New Roman" w:cs="Times New Roman"/>
          <w:sz w:val="24"/>
          <w:szCs w:val="24"/>
          <w:lang w:val="bg-BG" w:eastAsia="zh-CN" w:bidi="hi-IN"/>
        </w:rPr>
        <w:t xml:space="preserve">) </w:t>
      </w:r>
    </w:p>
    <w:p w14:paraId="2A3E742F" w14:textId="2BF24989"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The Importance of Technology for the Marine and Maritime Sectors </w:t>
      </w:r>
      <w:hyperlink r:id="rId354" w:history="1">
        <w:r w:rsidRPr="00610B1B">
          <w:rPr>
            <w:rFonts w:ascii="Times New Roman" w:eastAsia="Source Han Sans CN Regular" w:hAnsi="Times New Roman" w:cs="Times New Roman"/>
            <w:color w:val="0000FF"/>
            <w:sz w:val="24"/>
            <w:szCs w:val="24"/>
            <w:u w:val="single"/>
            <w:lang w:val="bg-BG" w:eastAsia="zh-CN" w:bidi="hi-IN"/>
          </w:rPr>
          <w:t>https://www.researchgate.net/publication/279030409_The_Importance_of_Technology_for_the_Marine_and_Maritime_Sectors</w:t>
        </w:r>
      </w:hyperlink>
      <w:r w:rsidRPr="00610B1B">
        <w:rPr>
          <w:rFonts w:ascii="Times New Roman" w:eastAsia="Source Han Sans CN Regular" w:hAnsi="Times New Roman" w:cs="Times New Roman"/>
          <w:sz w:val="24"/>
          <w:szCs w:val="24"/>
          <w:lang w:val="bg-BG" w:eastAsia="zh-CN" w:bidi="hi-IN"/>
        </w:rPr>
        <w:t xml:space="preserve"> </w:t>
      </w:r>
    </w:p>
    <w:p w14:paraId="38FC0564"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Todorova, V., Abaza, V., Todorov, E., Wolfram, G., 2015. Black Sea GIG - Coastal waters – BQE invertebrate fauna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Intercalibration technical report</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WG ECOSTAT, EC.</w:t>
      </w:r>
    </w:p>
    <w:p w14:paraId="3767B0C2" w14:textId="08FBEA0F"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Todorova, V., Dimitrov, L., Doncheva, V., Trifonova, E., Prodanov, B., 2015. Benthic Habitat Mapping in the Bulgarian Black Sea. In Proceedings of 12th International Conference on the Mediterranean Coastal Environment (MEDCOAST 2015), v.1, Varna, pp.251-262(</w:t>
      </w:r>
      <w:hyperlink r:id="rId355" w:history="1">
        <w:r w:rsidRPr="00610B1B">
          <w:rPr>
            <w:rFonts w:ascii="Times New Roman" w:eastAsia="Source Han Sans CN Regular" w:hAnsi="Times New Roman" w:cs="Times New Roman"/>
            <w:color w:val="0000FF"/>
            <w:sz w:val="24"/>
            <w:szCs w:val="24"/>
            <w:u w:val="single"/>
            <w:lang w:val="bg-BG" w:eastAsia="zh-CN" w:bidi="hi-IN"/>
          </w:rPr>
          <w:t>http://www.coconet-fp7.eu/images/sci-pub/118_Todorova_edited%20(2).pdf)</w:t>
        </w:r>
      </w:hyperlink>
      <w:r w:rsidRPr="00610B1B">
        <w:rPr>
          <w:rFonts w:ascii="Times New Roman" w:eastAsia="Source Han Sans CN Regular" w:hAnsi="Times New Roman" w:cs="Times New Roman"/>
          <w:sz w:val="24"/>
          <w:szCs w:val="24"/>
          <w:lang w:val="bg-BG" w:eastAsia="zh-CN" w:bidi="hi-IN"/>
        </w:rPr>
        <w:t>;</w:t>
      </w:r>
    </w:p>
    <w:p w14:paraId="1FF4DDBE"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Todorova, V., Konsulova, Ts., 2008. Ecological state assessment of zoobenthic communities of the north-western Black Sea shelf - the performance of multivariate and univariate approaches. Presented at the 1st Biannual Scientific Conference: The Black Sea ecosystem 2005 and beyond, Istanbul, Turkey, pp. 726–742.</w:t>
      </w:r>
    </w:p>
    <w:p w14:paraId="0FEB7EA5"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Trifonova, 2007. Modelling of cross shore profile changes under combination of extreme storm events. Port· Cost· Environment, 4-th PDCE Conference, Varna 2007, рр.301-311.</w:t>
      </w:r>
    </w:p>
    <w:p w14:paraId="58663165"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Tyldesley, D. 2004. Irish sea pilot project: Report on Marine Spatial Planning: DTA</w:t>
      </w:r>
    </w:p>
    <w:p w14:paraId="6381C508"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Valchev, N., Andreeva, N., Prodanov, B., 2014. Study on wave exposure of Bulgarian Black Sea coast, In Proc. 12th Int. Conference on Marine Science and Technology „Black Sea" 2014, Varna, pp. 175-182, ISSN 1314-0957</w:t>
      </w:r>
    </w:p>
    <w:p w14:paraId="0470BFD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Vasilev, V., Karamfilov, V., Dencheva, K., Hiebaum, G., 2005. Spatial distribution of benthic macrophytes and their communities in the regions aroun Sozopol and cape Maslen. Results from a pilot study carried out within the Natura-2000 program, in: Chipev V., N.B.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Ed.</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Biodiversity, Ecosystems, Global Changes. Proceedings of the First National Ecology Conference. Petekston, Sofia.</w:t>
      </w:r>
    </w:p>
    <w:p w14:paraId="747C5F36"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Velikova, V., Moncheva, S. and Petrova, D., 1999. Phytoplankton dynamics and red tides </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1987–1997</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xml:space="preserve"> in the Bulgarian Black Sea. Water Science and Technology, 39</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8</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pp. 27-36.</w:t>
      </w:r>
    </w:p>
    <w:p w14:paraId="625D9F1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Vollenweider, R.A., Giovanardi, F., Montanari, G. and Rinaldi, A., 1998. Characterization of the trophic conditions of marine coastal waters with special reference to the NW Adriatic Sea: proposal for a trophic scale, turbidity and generalized water quality index. Environmetrics: The official journal of the International Environmetrics Society, 9</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3</w:t>
      </w:r>
      <w:r w:rsidRPr="00610B1B">
        <w:rPr>
          <w:rFonts w:ascii="Times New Roman" w:eastAsia="Source Han Sans CN Regular" w:hAnsi="Times New Roman" w:cs="Times New Roman"/>
          <w:iCs/>
          <w:sz w:val="24"/>
          <w:szCs w:val="24"/>
          <w:lang w:val="bg-BG" w:eastAsia="zh-CN" w:bidi="hi-IN"/>
        </w:rPr>
        <w:t>)</w:t>
      </w:r>
      <w:r w:rsidRPr="00610B1B">
        <w:rPr>
          <w:rFonts w:ascii="Times New Roman" w:eastAsia="Source Han Sans CN Regular" w:hAnsi="Times New Roman" w:cs="Times New Roman"/>
          <w:sz w:val="24"/>
          <w:szCs w:val="24"/>
          <w:lang w:val="bg-BG" w:eastAsia="zh-CN" w:bidi="hi-IN"/>
        </w:rPr>
        <w:t>, pp.329-357.</w:t>
      </w:r>
    </w:p>
    <w:p w14:paraId="3CAD1497"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Yankova, M., 2016. Alien invasive fish species in Bulgarian waters: an overview. Int J Fish Aquat Stud, 4, pp.282-290.</w:t>
      </w:r>
    </w:p>
    <w:p w14:paraId="56FBB986" w14:textId="45F853A5"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Zaitsev Yu., Mamaev V. 1997. Marine Biological Diversity in</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the</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Black</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Sea:</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A</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Study</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of</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Change</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and</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Decline.</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United Nations Publ., New-York, 208 p.</w:t>
      </w:r>
    </w:p>
    <w:p w14:paraId="62ADAD71" w14:textId="77777777" w:rsidR="009918C6" w:rsidRPr="00610B1B" w:rsidRDefault="009918C6" w:rsidP="009918C6">
      <w:pPr>
        <w:widowControl w:val="0"/>
        <w:spacing w:after="120"/>
        <w:ind w:right="-153"/>
        <w:jc w:val="both"/>
        <w:rPr>
          <w:rFonts w:ascii="Times New Roman" w:eastAsia="Source Han Sans CN Regular" w:hAnsi="Times New Roman" w:cs="Times New Roman"/>
          <w:sz w:val="24"/>
          <w:szCs w:val="24"/>
          <w:lang w:val="bg-BG" w:eastAsia="zh-CN" w:bidi="hi-IN"/>
        </w:rPr>
      </w:pPr>
    </w:p>
    <w:p w14:paraId="12092D43"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lastRenderedPageBreak/>
        <w:t>Zaitsev Yu.P. 1993. Impact of eutrophication on the Black Sea fauna. FAO Studies and Reviews. 64:63-86.</w:t>
      </w:r>
    </w:p>
    <w:p w14:paraId="051A262E" w14:textId="77777777"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Zaitsev, Y., 1992. Recent changes in the trophic structure of the Black Sea. Fish. Oceanogr. Vol 1 1, 180–189.</w:t>
      </w:r>
    </w:p>
    <w:p w14:paraId="57376716" w14:textId="15D0772F" w:rsidR="00BE57CC" w:rsidRPr="00610B1B" w:rsidRDefault="00BE57CC" w:rsidP="00BE57CC">
      <w:pPr>
        <w:widowControl w:val="0"/>
        <w:numPr>
          <w:ilvl w:val="0"/>
          <w:numId w:val="98"/>
        </w:numPr>
        <w:spacing w:after="120"/>
        <w:ind w:left="426" w:right="-153" w:hanging="426"/>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Zehden, A., Gee,</w:t>
      </w:r>
      <w:r w:rsidR="00D66FE0" w:rsidRPr="00610B1B">
        <w:rPr>
          <w:rFonts w:ascii="Times New Roman" w:eastAsia="Source Han Sans CN Regular" w:hAnsi="Times New Roman" w:cs="Times New Roman"/>
          <w:sz w:val="24"/>
          <w:szCs w:val="24"/>
          <w:lang w:val="bg-BG" w:eastAsia="zh-CN" w:bidi="hi-IN"/>
        </w:rPr>
        <w:t xml:space="preserve"> </w:t>
      </w:r>
      <w:r w:rsidRPr="00610B1B">
        <w:rPr>
          <w:rFonts w:ascii="Times New Roman" w:eastAsia="Source Han Sans CN Regular" w:hAnsi="Times New Roman" w:cs="Times New Roman"/>
          <w:sz w:val="24"/>
          <w:szCs w:val="24"/>
          <w:lang w:val="bg-BG" w:eastAsia="zh-CN" w:bidi="hi-IN"/>
        </w:rPr>
        <w:t>K. and Ścibior, K. 2008. Handbook on Integrated Maritime Spatial Planning: INTERREG III B CADSES Plan Coast Project</w:t>
      </w:r>
    </w:p>
    <w:p w14:paraId="037A8F90" w14:textId="77777777" w:rsidR="00BE57CC" w:rsidRPr="00610B1B" w:rsidRDefault="00BE57CC" w:rsidP="00BE57CC">
      <w:pPr>
        <w:widowControl w:val="0"/>
        <w:spacing w:after="120"/>
        <w:ind w:left="567" w:right="-153"/>
        <w:jc w:val="both"/>
        <w:rPr>
          <w:rFonts w:ascii="Times New Roman" w:eastAsia="Source Han Sans CN Regular" w:hAnsi="Times New Roman" w:cs="Times New Roman"/>
          <w:sz w:val="24"/>
          <w:szCs w:val="24"/>
          <w:lang w:val="bg-BG" w:eastAsia="zh-CN" w:bidi="hi-IN"/>
        </w:rPr>
      </w:pPr>
    </w:p>
    <w:p w14:paraId="0FE22F41" w14:textId="77777777" w:rsidR="00BE57CC" w:rsidRPr="00610B1B" w:rsidRDefault="00BE57CC" w:rsidP="00BE57CC">
      <w:pPr>
        <w:keepNext/>
        <w:widowControl w:val="0"/>
        <w:numPr>
          <w:ilvl w:val="1"/>
          <w:numId w:val="1"/>
        </w:numPr>
        <w:spacing w:after="120"/>
        <w:ind w:right="-153"/>
        <w:outlineLvl w:val="1"/>
        <w:rPr>
          <w:rFonts w:ascii="Times New Roman" w:eastAsia="Source Han Sans CN Regular" w:hAnsi="Times New Roman" w:cs="Times New Roman"/>
          <w:b/>
          <w:bCs/>
          <w:color w:val="0F243E" w:themeColor="text2" w:themeShade="80"/>
          <w:sz w:val="32"/>
          <w:szCs w:val="32"/>
          <w:lang w:val="bg-BG" w:eastAsia="zh-CN" w:bidi="hi-IN"/>
        </w:rPr>
      </w:pPr>
      <w:bookmarkStart w:id="541" w:name="_Toc56961590"/>
      <w:bookmarkStart w:id="542" w:name="_Toc83391462"/>
      <w:r w:rsidRPr="00610B1B">
        <w:rPr>
          <w:rFonts w:ascii="Times New Roman" w:eastAsia="Source Han Sans CN Regular" w:hAnsi="Times New Roman" w:cs="Times New Roman"/>
          <w:b/>
          <w:bCs/>
          <w:color w:val="0F243E" w:themeColor="text2" w:themeShade="80"/>
          <w:sz w:val="32"/>
          <w:szCs w:val="32"/>
          <w:lang w:val="bg-BG" w:eastAsia="zh-CN" w:bidi="hi-IN"/>
        </w:rPr>
        <w:t>11.7. Интернет</w:t>
      </w:r>
      <w:bookmarkEnd w:id="541"/>
      <w:bookmarkEnd w:id="542"/>
    </w:p>
    <w:p w14:paraId="733B7CF8" w14:textId="434EFA65" w:rsidR="00BE57CC" w:rsidRPr="00610B1B" w:rsidRDefault="00BE57CC" w:rsidP="00BE57CC">
      <w:pPr>
        <w:widowControl w:val="0"/>
        <w:numPr>
          <w:ilvl w:val="0"/>
          <w:numId w:val="99"/>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bCs/>
          <w:color w:val="000000"/>
          <w:sz w:val="24"/>
          <w:szCs w:val="24"/>
          <w:shd w:val="clear" w:color="auto" w:fill="FFFFFF"/>
          <w:lang w:val="bg-BG" w:eastAsia="zh-CN" w:bidi="hi-IN"/>
        </w:rPr>
        <w:t>Изпълнителната агенция по околна среда (ИАОС)</w:t>
      </w:r>
      <w:r w:rsidRPr="00610B1B">
        <w:rPr>
          <w:rFonts w:ascii="Times New Roman" w:eastAsia="Source Han Sans CN Regular" w:hAnsi="Times New Roman" w:cs="Times New Roman"/>
          <w:sz w:val="24"/>
          <w:szCs w:val="24"/>
          <w:lang w:val="bg-BG" w:eastAsia="zh-CN" w:bidi="hi-IN"/>
        </w:rPr>
        <w:t xml:space="preserve">: </w:t>
      </w:r>
      <w:hyperlink r:id="rId356" w:history="1">
        <w:r w:rsidRPr="00610B1B">
          <w:rPr>
            <w:rFonts w:ascii="Times New Roman" w:eastAsia="Source Han Sans CN Regular" w:hAnsi="Times New Roman" w:cs="Times New Roman"/>
            <w:color w:val="0000FF"/>
            <w:sz w:val="24"/>
            <w:szCs w:val="24"/>
            <w:u w:val="single"/>
            <w:lang w:val="bg-BG" w:eastAsia="zh-CN" w:bidi="hi-IN"/>
          </w:rPr>
          <w:t>http://eea.government.bg/bg/opos_2014-2020/opos_os3</w:t>
        </w:r>
      </w:hyperlink>
      <w:r w:rsidRPr="00610B1B">
        <w:rPr>
          <w:rFonts w:ascii="Times New Roman" w:eastAsia="Source Han Sans CN Regular" w:hAnsi="Times New Roman" w:cs="Times New Roman"/>
          <w:sz w:val="24"/>
          <w:szCs w:val="24"/>
          <w:lang w:val="bg-BG" w:eastAsia="zh-CN" w:bidi="hi-IN"/>
        </w:rPr>
        <w:t xml:space="preserve"> </w:t>
      </w:r>
    </w:p>
    <w:p w14:paraId="4C362450" w14:textId="47E8D054" w:rsidR="00BE57CC" w:rsidRPr="00610B1B" w:rsidRDefault="00BE57CC" w:rsidP="00BE57CC">
      <w:pPr>
        <w:numPr>
          <w:ilvl w:val="0"/>
          <w:numId w:val="99"/>
        </w:numPr>
        <w:spacing w:after="120"/>
        <w:ind w:left="426" w:right="-153" w:hanging="426"/>
        <w:rPr>
          <w:rFonts w:ascii="Times New Roman" w:eastAsia="Lohit Devanagari" w:hAnsi="Times New Roman" w:cs="Times New Roman"/>
          <w:color w:val="0000FF"/>
          <w:sz w:val="24"/>
          <w:szCs w:val="24"/>
          <w:u w:val="single"/>
          <w:lang w:val="bg-BG" w:eastAsia="ar-SA" w:bidi="hi-IN"/>
        </w:rPr>
      </w:pPr>
      <w:r w:rsidRPr="00610B1B">
        <w:rPr>
          <w:rFonts w:ascii="Times New Roman" w:eastAsia="Lohit Devanagari" w:hAnsi="Times New Roman" w:cs="Times New Roman"/>
          <w:iCs/>
          <w:color w:val="00000A"/>
          <w:sz w:val="24"/>
          <w:szCs w:val="24"/>
          <w:lang w:val="bg-BG" w:eastAsia="ar-SA" w:bidi="hi-IN"/>
        </w:rPr>
        <w:t xml:space="preserve">Изпълнителната агенция по рибарство и аквакултури: </w:t>
      </w:r>
      <w:hyperlink r:id="rId357" w:history="1">
        <w:r w:rsidRPr="00610B1B">
          <w:rPr>
            <w:rFonts w:ascii="Times New Roman" w:eastAsia="Lohit Devanagari" w:hAnsi="Times New Roman" w:cs="Times New Roman"/>
            <w:color w:val="0000FF"/>
            <w:sz w:val="24"/>
            <w:szCs w:val="24"/>
            <w:u w:val="single"/>
            <w:lang w:val="bg-BG" w:eastAsia="ar-SA" w:bidi="hi-IN"/>
          </w:rPr>
          <w:t>http://iara.government.bg/?page_id=11</w:t>
        </w:r>
      </w:hyperlink>
    </w:p>
    <w:p w14:paraId="541BF265" w14:textId="498D05F9" w:rsidR="00BE57CC" w:rsidRPr="00610B1B" w:rsidRDefault="00BE57CC" w:rsidP="00BE57CC">
      <w:pPr>
        <w:numPr>
          <w:ilvl w:val="0"/>
          <w:numId w:val="99"/>
        </w:numPr>
        <w:spacing w:after="120"/>
        <w:ind w:right="-153"/>
        <w:rPr>
          <w:rFonts w:ascii="Times New Roman" w:eastAsia="Lohit Devanagari" w:hAnsi="Times New Roman" w:cs="Times New Roman"/>
          <w:color w:val="00000A"/>
          <w:sz w:val="24"/>
          <w:szCs w:val="24"/>
          <w:lang w:val="bg-BG" w:eastAsia="ar-SA" w:bidi="hi-IN"/>
        </w:rPr>
      </w:pPr>
      <w:r w:rsidRPr="00610B1B">
        <w:rPr>
          <w:rFonts w:ascii="Times New Roman" w:eastAsia="Lohit Devanagari" w:hAnsi="Times New Roman" w:cs="Times New Roman"/>
          <w:sz w:val="24"/>
          <w:szCs w:val="24"/>
          <w:lang w:val="bg-BG" w:eastAsia="ar-SA" w:bidi="hi-IN"/>
        </w:rPr>
        <w:t xml:space="preserve">Министерство на околната среда и водите. Доклади по директивата за отпадъчните води: </w:t>
      </w:r>
      <w:hyperlink r:id="rId358" w:history="1">
        <w:r w:rsidRPr="00610B1B">
          <w:rPr>
            <w:rFonts w:ascii="Times New Roman" w:eastAsia="Lohit Devanagari" w:hAnsi="Times New Roman" w:cs="Times New Roman"/>
            <w:color w:val="0000FF"/>
            <w:sz w:val="24"/>
            <w:szCs w:val="24"/>
            <w:u w:val="single"/>
            <w:lang w:val="bg-BG" w:eastAsia="ar-SA" w:bidi="hi-IN"/>
          </w:rPr>
          <w:t>https://www.moew.government.bg/bg/vodi/opazvane-na-vodite-ot-zamursyavane/kanalizacionni-sistemi/dokladi/</w:t>
        </w:r>
      </w:hyperlink>
      <w:r w:rsidRPr="00610B1B">
        <w:rPr>
          <w:rFonts w:ascii="Times New Roman" w:eastAsia="Lohit Devanagari" w:hAnsi="Times New Roman" w:cs="Times New Roman"/>
          <w:color w:val="314C9B"/>
          <w:sz w:val="24"/>
          <w:szCs w:val="24"/>
          <w:lang w:val="bg-BG" w:eastAsia="ar-SA" w:bidi="hi-IN"/>
        </w:rPr>
        <w:t xml:space="preserve"> </w:t>
      </w:r>
    </w:p>
    <w:p w14:paraId="4F2EE4A8" w14:textId="422B0B08" w:rsidR="00BE57CC" w:rsidRPr="00610B1B" w:rsidRDefault="00BE57CC" w:rsidP="00BE57CC">
      <w:pPr>
        <w:widowControl w:val="0"/>
        <w:numPr>
          <w:ilvl w:val="0"/>
          <w:numId w:val="99"/>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Проект „Интегрирана информационна система за поддръжка управлението на бреговата зона: </w:t>
      </w:r>
      <w:hyperlink r:id="rId359" w:history="1">
        <w:r w:rsidRPr="00610B1B">
          <w:rPr>
            <w:rFonts w:ascii="Times New Roman" w:eastAsia="Source Han Sans CN Regular" w:hAnsi="Times New Roman" w:cs="Times New Roman"/>
            <w:color w:val="0000FF"/>
            <w:sz w:val="24"/>
            <w:szCs w:val="24"/>
            <w:u w:val="single"/>
            <w:lang w:val="bg-BG" w:eastAsia="zh-CN" w:bidi="hi-IN"/>
          </w:rPr>
          <w:t>http://projects.nvna.eu/iissczm /</w:t>
        </w:r>
      </w:hyperlink>
      <w:r w:rsidRPr="00610B1B">
        <w:rPr>
          <w:rFonts w:ascii="Times New Roman" w:eastAsia="Source Han Sans CN Regular" w:hAnsi="Times New Roman" w:cs="Times New Roman"/>
          <w:sz w:val="24"/>
          <w:szCs w:val="24"/>
          <w:lang w:val="bg-BG" w:eastAsia="zh-CN" w:bidi="hi-IN"/>
        </w:rPr>
        <w:t xml:space="preserve"> </w:t>
      </w:r>
    </w:p>
    <w:p w14:paraId="5506E44F" w14:textId="08530920" w:rsidR="00BE57CC" w:rsidRPr="00610B1B" w:rsidRDefault="00BE57CC" w:rsidP="00BE57CC">
      <w:pPr>
        <w:widowControl w:val="0"/>
        <w:numPr>
          <w:ilvl w:val="0"/>
          <w:numId w:val="99"/>
        </w:numPr>
        <w:spacing w:after="120"/>
        <w:ind w:right="-153"/>
        <w:jc w:val="both"/>
        <w:rPr>
          <w:rFonts w:ascii="Times New Roman" w:eastAsia="Source Han Sans CN Regular" w:hAnsi="Times New Roman" w:cs="Times New Roman"/>
          <w:b/>
          <w:sz w:val="24"/>
          <w:szCs w:val="24"/>
          <w:lang w:val="bg-BG" w:eastAsia="zh-CN" w:bidi="hi-IN"/>
        </w:rPr>
      </w:pPr>
      <w:r w:rsidRPr="00610B1B">
        <w:rPr>
          <w:rFonts w:ascii="Times New Roman" w:eastAsia="Source Han Sans CN Regular" w:hAnsi="Times New Roman" w:cs="Times New Roman"/>
          <w:sz w:val="24"/>
          <w:szCs w:val="24"/>
          <w:shd w:val="clear" w:color="auto" w:fill="FFFFFF"/>
          <w:lang w:val="bg-BG" w:eastAsia="zh-CN" w:bidi="hi-IN"/>
        </w:rPr>
        <w:t>Държавно</w:t>
      </w:r>
      <w:r w:rsidR="009B6D1D" w:rsidRPr="00610B1B">
        <w:rPr>
          <w:rFonts w:ascii="Times New Roman" w:eastAsia="Source Han Sans CN Regular" w:hAnsi="Times New Roman" w:cs="Times New Roman"/>
          <w:sz w:val="24"/>
          <w:szCs w:val="24"/>
          <w:shd w:val="clear" w:color="auto" w:fill="FFFFFF"/>
          <w:lang w:val="bg-BG" w:eastAsia="zh-CN" w:bidi="hi-IN"/>
        </w:rPr>
        <w:t> </w:t>
      </w:r>
      <w:r w:rsidRPr="00610B1B">
        <w:rPr>
          <w:rFonts w:ascii="Times New Roman" w:eastAsia="Source Han Sans CN Regular" w:hAnsi="Times New Roman" w:cs="Times New Roman"/>
          <w:sz w:val="24"/>
          <w:szCs w:val="24"/>
          <w:shd w:val="clear" w:color="auto" w:fill="FFFFFF"/>
          <w:lang w:val="bg-BG" w:eastAsia="zh-CN" w:bidi="hi-IN"/>
        </w:rPr>
        <w:t>предприятие</w:t>
      </w:r>
      <w:r w:rsidR="009B6D1D" w:rsidRPr="00610B1B">
        <w:rPr>
          <w:rFonts w:ascii="Times New Roman" w:eastAsia="Source Han Sans CN Regular" w:hAnsi="Times New Roman" w:cs="Times New Roman"/>
          <w:sz w:val="24"/>
          <w:szCs w:val="24"/>
          <w:shd w:val="clear" w:color="auto" w:fill="FFFFFF"/>
          <w:lang w:val="bg-BG" w:eastAsia="zh-CN" w:bidi="hi-IN"/>
        </w:rPr>
        <w:t> </w:t>
      </w:r>
      <w:r w:rsidRPr="00610B1B">
        <w:rPr>
          <w:rFonts w:ascii="Times New Roman" w:eastAsia="Source Han Sans CN Regular" w:hAnsi="Times New Roman" w:cs="Times New Roman"/>
          <w:sz w:val="24"/>
          <w:szCs w:val="24"/>
          <w:shd w:val="clear" w:color="auto" w:fill="FFFFFF"/>
          <w:lang w:val="bg-BG" w:eastAsia="zh-CN" w:bidi="hi-IN"/>
        </w:rPr>
        <w:t>„Пристанищна</w:t>
      </w:r>
      <w:r w:rsidR="009B6D1D" w:rsidRPr="00610B1B">
        <w:rPr>
          <w:rFonts w:ascii="Times New Roman" w:eastAsia="Source Han Sans CN Regular" w:hAnsi="Times New Roman" w:cs="Times New Roman"/>
          <w:sz w:val="24"/>
          <w:szCs w:val="24"/>
          <w:shd w:val="clear" w:color="auto" w:fill="FFFFFF"/>
          <w:lang w:val="bg-BG" w:eastAsia="zh-CN" w:bidi="hi-IN"/>
        </w:rPr>
        <w:t> </w:t>
      </w:r>
      <w:r w:rsidRPr="00610B1B">
        <w:rPr>
          <w:rFonts w:ascii="Times New Roman" w:eastAsia="Source Han Sans CN Regular" w:hAnsi="Times New Roman" w:cs="Times New Roman"/>
          <w:sz w:val="24"/>
          <w:szCs w:val="24"/>
          <w:shd w:val="clear" w:color="auto" w:fill="FFFFFF"/>
          <w:lang w:val="bg-BG" w:eastAsia="zh-CN" w:bidi="hi-IN"/>
        </w:rPr>
        <w:t>инфраструктура”</w:t>
      </w:r>
      <w:r w:rsidR="009B6D1D" w:rsidRPr="00610B1B">
        <w:rPr>
          <w:rFonts w:ascii="Times New Roman" w:eastAsia="Source Han Sans CN Regular" w:hAnsi="Times New Roman" w:cs="Times New Roman"/>
          <w:sz w:val="24"/>
          <w:szCs w:val="24"/>
          <w:shd w:val="clear" w:color="auto" w:fill="FFFFFF"/>
          <w:lang w:val="bg-BG" w:eastAsia="zh-CN" w:bidi="hi-IN"/>
        </w:rPr>
        <w:t> </w:t>
      </w:r>
      <w:r w:rsidRPr="00610B1B">
        <w:rPr>
          <w:rFonts w:ascii="Times New Roman" w:eastAsia="Source Han Sans CN Regular" w:hAnsi="Times New Roman" w:cs="Times New Roman"/>
          <w:sz w:val="24"/>
          <w:szCs w:val="24"/>
          <w:shd w:val="clear" w:color="auto" w:fill="FFFFFF"/>
          <w:lang w:val="bg-BG" w:eastAsia="zh-CN" w:bidi="hi-IN"/>
        </w:rPr>
        <w:t xml:space="preserve">(ДППИ): </w:t>
      </w:r>
      <w:hyperlink r:id="rId360" w:history="1">
        <w:r w:rsidRPr="00610B1B">
          <w:rPr>
            <w:rFonts w:ascii="Times New Roman" w:eastAsia="Source Han Sans CN Regular" w:hAnsi="Times New Roman" w:cs="Times New Roman"/>
            <w:color w:val="0000FF"/>
            <w:sz w:val="24"/>
            <w:szCs w:val="24"/>
            <w:u w:val="single"/>
            <w:lang w:val="bg-BG" w:eastAsia="zh-CN" w:bidi="hi-IN"/>
          </w:rPr>
          <w:t>http://www.bgports.bg/bg/page/24</w:t>
        </w:r>
      </w:hyperlink>
      <w:r w:rsidR="00D66FE0" w:rsidRPr="00610B1B">
        <w:rPr>
          <w:rFonts w:ascii="Times New Roman" w:eastAsia="Source Han Sans CN Regular" w:hAnsi="Times New Roman" w:cs="Times New Roman"/>
          <w:b/>
          <w:sz w:val="24"/>
          <w:szCs w:val="24"/>
          <w:lang w:val="bg-BG" w:eastAsia="zh-CN" w:bidi="hi-IN"/>
        </w:rPr>
        <w:t xml:space="preserve"> </w:t>
      </w:r>
    </w:p>
    <w:p w14:paraId="75715131" w14:textId="7491D495" w:rsidR="002F29DE" w:rsidRPr="00610B1B" w:rsidRDefault="00BE57CC" w:rsidP="004567E9">
      <w:pPr>
        <w:widowControl w:val="0"/>
        <w:numPr>
          <w:ilvl w:val="0"/>
          <w:numId w:val="99"/>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color w:val="000000"/>
          <w:sz w:val="24"/>
          <w:szCs w:val="24"/>
          <w:lang w:val="bg-BG" w:eastAsia="zh-CN" w:bidi="hi-IN"/>
        </w:rPr>
        <w:t>Басейнова</w:t>
      </w:r>
      <w:r w:rsidR="009B6D1D" w:rsidRPr="00610B1B">
        <w:rPr>
          <w:rFonts w:ascii="Times New Roman" w:eastAsia="Source Han Sans CN Regular" w:hAnsi="Times New Roman" w:cs="Times New Roman"/>
          <w:color w:val="000000"/>
          <w:sz w:val="24"/>
          <w:szCs w:val="24"/>
          <w:lang w:val="bg-BG" w:eastAsia="zh-CN" w:bidi="hi-IN"/>
        </w:rPr>
        <w:t> </w:t>
      </w:r>
      <w:r w:rsidRPr="00610B1B">
        <w:rPr>
          <w:rFonts w:ascii="Times New Roman" w:eastAsia="Source Han Sans CN Regular" w:hAnsi="Times New Roman" w:cs="Times New Roman"/>
          <w:color w:val="000000"/>
          <w:sz w:val="24"/>
          <w:szCs w:val="24"/>
          <w:lang w:val="bg-BG" w:eastAsia="zh-CN" w:bidi="hi-IN"/>
        </w:rPr>
        <w:t>Дирекция</w:t>
      </w:r>
      <w:r w:rsidR="009B6D1D" w:rsidRPr="00610B1B">
        <w:rPr>
          <w:rFonts w:ascii="Times New Roman" w:eastAsia="Source Han Sans CN Regular" w:hAnsi="Times New Roman" w:cs="Times New Roman"/>
          <w:color w:val="000000"/>
          <w:sz w:val="24"/>
          <w:szCs w:val="24"/>
          <w:lang w:val="bg-BG" w:eastAsia="zh-CN" w:bidi="hi-IN"/>
        </w:rPr>
        <w:t> </w:t>
      </w:r>
      <w:r w:rsidRPr="00610B1B">
        <w:rPr>
          <w:rFonts w:ascii="Times New Roman" w:eastAsia="Source Han Sans CN Regular" w:hAnsi="Times New Roman" w:cs="Times New Roman"/>
          <w:color w:val="000000"/>
          <w:sz w:val="24"/>
          <w:szCs w:val="24"/>
          <w:lang w:val="bg-BG" w:eastAsia="zh-CN" w:bidi="hi-IN"/>
        </w:rPr>
        <w:t>„Черноморски</w:t>
      </w:r>
      <w:r w:rsidR="009B6D1D" w:rsidRPr="00610B1B">
        <w:rPr>
          <w:rFonts w:ascii="Times New Roman" w:eastAsia="Source Han Sans CN Regular" w:hAnsi="Times New Roman" w:cs="Times New Roman"/>
          <w:color w:val="000000"/>
          <w:sz w:val="24"/>
          <w:szCs w:val="24"/>
          <w:lang w:val="bg-BG" w:eastAsia="zh-CN" w:bidi="hi-IN"/>
        </w:rPr>
        <w:t> </w:t>
      </w:r>
      <w:r w:rsidRPr="00610B1B">
        <w:rPr>
          <w:rFonts w:ascii="Times New Roman" w:eastAsia="Source Han Sans CN Regular" w:hAnsi="Times New Roman" w:cs="Times New Roman"/>
          <w:color w:val="000000"/>
          <w:sz w:val="24"/>
          <w:szCs w:val="24"/>
          <w:lang w:val="bg-BG" w:eastAsia="zh-CN" w:bidi="hi-IN"/>
        </w:rPr>
        <w:t>район”</w:t>
      </w:r>
      <w:r w:rsidR="009B6D1D" w:rsidRPr="00610B1B">
        <w:rPr>
          <w:rFonts w:ascii="Times New Roman" w:eastAsia="Source Han Sans CN Regular" w:hAnsi="Times New Roman" w:cs="Times New Roman"/>
          <w:color w:val="000000"/>
          <w:sz w:val="24"/>
          <w:szCs w:val="24"/>
          <w:lang w:val="bg-BG" w:eastAsia="zh-CN" w:bidi="hi-IN"/>
        </w:rPr>
        <w:t> </w:t>
      </w:r>
      <w:r w:rsidRPr="00610B1B">
        <w:rPr>
          <w:rFonts w:ascii="Times New Roman" w:eastAsia="Source Han Sans CN Regular" w:hAnsi="Times New Roman" w:cs="Times New Roman"/>
          <w:color w:val="000000"/>
          <w:sz w:val="24"/>
          <w:szCs w:val="24"/>
          <w:lang w:val="bg-BG" w:eastAsia="zh-CN" w:bidi="hi-IN"/>
        </w:rPr>
        <w:t xml:space="preserve">(БДЧР): </w:t>
      </w:r>
      <w:hyperlink r:id="rId361" w:history="1">
        <w:r w:rsidRPr="00610B1B">
          <w:rPr>
            <w:rFonts w:ascii="Times New Roman" w:eastAsia="Source Han Sans CN Regular" w:hAnsi="Times New Roman" w:cs="Times New Roman"/>
            <w:color w:val="0000FF"/>
            <w:sz w:val="24"/>
            <w:szCs w:val="24"/>
            <w:u w:val="single"/>
            <w:lang w:val="bg-BG" w:eastAsia="zh-CN" w:bidi="hi-IN"/>
          </w:rPr>
          <w:t>http://www.bsbd.org/bg/index_bg_3907923.html</w:t>
        </w:r>
      </w:hyperlink>
      <w:r w:rsidRPr="00610B1B">
        <w:rPr>
          <w:rFonts w:ascii="Times New Roman" w:eastAsia="Source Han Sans CN Regular" w:hAnsi="Times New Roman" w:cs="Times New Roman"/>
          <w:sz w:val="24"/>
          <w:szCs w:val="24"/>
          <w:lang w:val="bg-BG" w:eastAsia="zh-CN" w:bidi="hi-IN"/>
        </w:rPr>
        <w:t xml:space="preserve"> ;</w:t>
      </w:r>
    </w:p>
    <w:p w14:paraId="15D62731" w14:textId="19954EAB" w:rsidR="00BE57CC" w:rsidRPr="00610B1B" w:rsidRDefault="00BE57CC" w:rsidP="002F29DE">
      <w:pPr>
        <w:widowControl w:val="0"/>
        <w:numPr>
          <w:ilvl w:val="0"/>
          <w:numId w:val="99"/>
        </w:numPr>
        <w:spacing w:after="120"/>
        <w:ind w:right="12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Програми за мониторинг по чл. 11 от Рамкова директива за морска стратегия </w:t>
      </w:r>
      <w:hyperlink r:id="rId362" w:history="1">
        <w:r w:rsidRPr="00610B1B">
          <w:rPr>
            <w:rFonts w:ascii="Times New Roman" w:eastAsia="Source Han Sans CN Regular" w:hAnsi="Times New Roman" w:cs="Times New Roman"/>
            <w:color w:val="0000FF"/>
            <w:sz w:val="24"/>
            <w:szCs w:val="24"/>
            <w:u w:val="single"/>
            <w:lang w:val="bg-BG" w:eastAsia="zh-CN" w:bidi="hi-IN"/>
          </w:rPr>
          <w:t>http://www.bsbd.org/bg/msfd_monitoring.html</w:t>
        </w:r>
      </w:hyperlink>
      <w:r w:rsidRPr="00610B1B">
        <w:rPr>
          <w:rFonts w:ascii="Times New Roman" w:eastAsia="Source Han Sans CN Regular" w:hAnsi="Times New Roman" w:cs="Times New Roman"/>
          <w:sz w:val="24"/>
          <w:szCs w:val="24"/>
          <w:lang w:val="bg-BG" w:eastAsia="zh-CN" w:bidi="hi-IN"/>
        </w:rPr>
        <w:t xml:space="preserve"> </w:t>
      </w:r>
    </w:p>
    <w:p w14:paraId="53AA3381" w14:textId="0FF7B763" w:rsidR="00BE57CC" w:rsidRPr="00610B1B" w:rsidRDefault="00BE57CC" w:rsidP="002F29DE">
      <w:pPr>
        <w:widowControl w:val="0"/>
        <w:numPr>
          <w:ilvl w:val="0"/>
          <w:numId w:val="99"/>
        </w:numPr>
        <w:spacing w:after="120"/>
        <w:ind w:right="12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Информационна система в българската част на река Дунав (БУЛЛРИС) </w:t>
      </w:r>
      <w:hyperlink r:id="rId363" w:history="1">
        <w:r w:rsidRPr="00610B1B">
          <w:rPr>
            <w:rFonts w:ascii="Times New Roman" w:eastAsia="Source Han Sans CN Regular" w:hAnsi="Times New Roman" w:cs="Times New Roman"/>
            <w:color w:val="0000FF"/>
            <w:sz w:val="24"/>
            <w:szCs w:val="24"/>
            <w:u w:val="single"/>
            <w:lang w:val="bg-BG" w:eastAsia="zh-CN" w:bidi="hi-IN"/>
          </w:rPr>
          <w:t>http://www.bulris.bg/Main</w:t>
        </w:r>
      </w:hyperlink>
      <w:r w:rsidRPr="00610B1B">
        <w:rPr>
          <w:rFonts w:ascii="Times New Roman" w:eastAsia="Source Han Sans CN Regular" w:hAnsi="Times New Roman" w:cs="Times New Roman"/>
          <w:sz w:val="24"/>
          <w:szCs w:val="24"/>
          <w:lang w:val="bg-BG" w:eastAsia="zh-CN" w:bidi="hi-IN"/>
        </w:rPr>
        <w:t xml:space="preserve"> </w:t>
      </w:r>
    </w:p>
    <w:p w14:paraId="4386B840" w14:textId="2D430C76" w:rsidR="00BE57CC" w:rsidRPr="00610B1B" w:rsidRDefault="00BE57CC" w:rsidP="002F29DE">
      <w:pPr>
        <w:widowControl w:val="0"/>
        <w:numPr>
          <w:ilvl w:val="0"/>
          <w:numId w:val="99"/>
        </w:numPr>
        <w:spacing w:after="120"/>
        <w:ind w:right="12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Български национален комитет по редките видове птици (BUNARCO): </w:t>
      </w:r>
      <w:hyperlink r:id="rId364" w:history="1">
        <w:r w:rsidRPr="00610B1B">
          <w:rPr>
            <w:rFonts w:ascii="Times New Roman" w:eastAsia="Source Han Sans CN Regular" w:hAnsi="Times New Roman" w:cs="Times New Roman"/>
            <w:color w:val="0000FF"/>
            <w:sz w:val="24"/>
            <w:szCs w:val="24"/>
            <w:u w:val="single"/>
            <w:lang w:val="bg-BG" w:eastAsia="zh-CN" w:bidi="hi-IN"/>
          </w:rPr>
          <w:t>http://www.bunarco.org/bg/index.html</w:t>
        </w:r>
      </w:hyperlink>
      <w:r w:rsidRPr="00610B1B">
        <w:rPr>
          <w:rFonts w:ascii="Times New Roman" w:eastAsia="Source Han Sans CN Regular" w:hAnsi="Times New Roman" w:cs="Times New Roman"/>
          <w:sz w:val="24"/>
          <w:szCs w:val="24"/>
          <w:lang w:val="bg-BG" w:eastAsia="zh-CN" w:bidi="hi-IN"/>
        </w:rPr>
        <w:t xml:space="preserve"> </w:t>
      </w:r>
    </w:p>
    <w:p w14:paraId="225747AB" w14:textId="0041C6E4" w:rsidR="00BE57CC" w:rsidRPr="00610B1B" w:rsidRDefault="00BE57CC" w:rsidP="002F29DE">
      <w:pPr>
        <w:widowControl w:val="0"/>
        <w:numPr>
          <w:ilvl w:val="0"/>
          <w:numId w:val="99"/>
        </w:numPr>
        <w:spacing w:after="120"/>
        <w:ind w:right="12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ИА „Морска администрация“ Cross Online Bulgarian Network </w:t>
      </w:r>
      <w:hyperlink r:id="rId365" w:anchor=".WMajgfcko3E" w:history="1">
        <w:r w:rsidRPr="00610B1B">
          <w:rPr>
            <w:rFonts w:ascii="Times New Roman" w:eastAsia="Source Han Sans CN Regular" w:hAnsi="Times New Roman" w:cs="Times New Roman"/>
            <w:color w:val="0000FF"/>
            <w:sz w:val="24"/>
            <w:szCs w:val="24"/>
            <w:u w:val="single"/>
            <w:lang w:val="bg-BG" w:eastAsia="zh-CN" w:bidi="hi-IN"/>
          </w:rPr>
          <w:t>http://www.cross.bg/nablyudenie-sistemi-morsko-1531942.html#.WMajgfcko3E</w:t>
        </w:r>
      </w:hyperlink>
      <w:r w:rsidRPr="00610B1B">
        <w:rPr>
          <w:rFonts w:ascii="Times New Roman" w:eastAsia="Source Han Sans CN Regular" w:hAnsi="Times New Roman" w:cs="Times New Roman"/>
          <w:sz w:val="24"/>
          <w:szCs w:val="24"/>
          <w:lang w:val="bg-BG" w:eastAsia="zh-CN" w:bidi="hi-IN"/>
        </w:rPr>
        <w:t xml:space="preserve"> </w:t>
      </w:r>
    </w:p>
    <w:p w14:paraId="09652B7D" w14:textId="7677B8E5" w:rsidR="00BE57CC" w:rsidRPr="00610B1B" w:rsidRDefault="00BE57CC" w:rsidP="00BE57CC">
      <w:pPr>
        <w:widowControl w:val="0"/>
        <w:numPr>
          <w:ilvl w:val="0"/>
          <w:numId w:val="99"/>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Climate adapt: Sharing Adaptation Information Across Europe. </w:t>
      </w:r>
      <w:hyperlink r:id="rId366" w:anchor="t-database" w:history="1">
        <w:r w:rsidRPr="00610B1B">
          <w:rPr>
            <w:rFonts w:ascii="Times New Roman" w:eastAsia="Source Han Sans CN Regular" w:hAnsi="Times New Roman" w:cs="Times New Roman"/>
            <w:color w:val="0000FF"/>
            <w:sz w:val="24"/>
            <w:szCs w:val="24"/>
            <w:u w:val="single"/>
            <w:lang w:val="bg-BG" w:eastAsia="zh-CN" w:bidi="hi-IN"/>
          </w:rPr>
          <w:t>https://climate-adapt.eea.europa.eu/#t-database</w:t>
        </w:r>
      </w:hyperlink>
      <w:r w:rsidRPr="00610B1B">
        <w:rPr>
          <w:rFonts w:ascii="Times New Roman" w:eastAsia="Source Han Sans CN Regular" w:hAnsi="Times New Roman" w:cs="Times New Roman"/>
          <w:sz w:val="24"/>
          <w:szCs w:val="24"/>
          <w:lang w:val="bg-BG" w:eastAsia="zh-CN" w:bidi="hi-IN"/>
        </w:rPr>
        <w:t xml:space="preserve"> </w:t>
      </w:r>
    </w:p>
    <w:p w14:paraId="09420F03" w14:textId="69FD1F81" w:rsidR="00BE57CC" w:rsidRPr="00610B1B" w:rsidRDefault="00BE57CC" w:rsidP="00BE57CC">
      <w:pPr>
        <w:widowControl w:val="0"/>
        <w:numPr>
          <w:ilvl w:val="0"/>
          <w:numId w:val="99"/>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European Atlas of the seas: </w:t>
      </w:r>
      <w:hyperlink r:id="rId367" w:history="1">
        <w:r w:rsidRPr="00610B1B">
          <w:rPr>
            <w:rFonts w:ascii="Times New Roman" w:eastAsia="Source Han Sans CN Regular" w:hAnsi="Times New Roman" w:cs="Times New Roman"/>
            <w:color w:val="0000FF"/>
            <w:sz w:val="24"/>
            <w:szCs w:val="24"/>
            <w:u w:val="single"/>
            <w:lang w:val="bg-BG" w:eastAsia="zh-CN" w:bidi="hi-IN"/>
          </w:rPr>
          <w:t>https://ec.europa.eu/maritimeaffairs/atlas/maritime_atlas/</w:t>
        </w:r>
      </w:hyperlink>
      <w:r w:rsidRPr="00610B1B">
        <w:rPr>
          <w:rFonts w:ascii="Times New Roman" w:eastAsia="Source Han Sans CN Regular" w:hAnsi="Times New Roman" w:cs="Times New Roman"/>
          <w:sz w:val="24"/>
          <w:szCs w:val="24"/>
          <w:lang w:val="bg-BG" w:eastAsia="zh-CN" w:bidi="hi-IN"/>
        </w:rPr>
        <w:t xml:space="preserve"> </w:t>
      </w:r>
    </w:p>
    <w:p w14:paraId="4646AD32" w14:textId="2EAE78E6" w:rsidR="00BE57CC" w:rsidRPr="00610B1B" w:rsidRDefault="00BE57CC" w:rsidP="00BE57CC">
      <w:pPr>
        <w:widowControl w:val="0"/>
        <w:numPr>
          <w:ilvl w:val="0"/>
          <w:numId w:val="99"/>
        </w:numPr>
        <w:spacing w:after="120"/>
        <w:ind w:right="-153"/>
        <w:jc w:val="both"/>
        <w:rPr>
          <w:rFonts w:ascii="Times New Roman" w:eastAsia="Source Han Sans CN Regular" w:hAnsi="Times New Roman" w:cs="Times New Roman"/>
          <w:sz w:val="24"/>
          <w:szCs w:val="24"/>
          <w:lang w:val="bg-BG" w:eastAsia="zh-CN" w:bidi="hi-IN"/>
        </w:rPr>
      </w:pPr>
      <w:r w:rsidRPr="00610B1B">
        <w:rPr>
          <w:rFonts w:ascii="Times New Roman" w:eastAsia="Source Han Sans CN Regular" w:hAnsi="Times New Roman" w:cs="Times New Roman"/>
          <w:sz w:val="24"/>
          <w:szCs w:val="24"/>
          <w:lang w:val="bg-BG" w:eastAsia="zh-CN" w:bidi="hi-IN"/>
        </w:rPr>
        <w:t xml:space="preserve">The Black Sea MOU: </w:t>
      </w:r>
      <w:hyperlink r:id="rId368" w:history="1">
        <w:r w:rsidRPr="00610B1B">
          <w:rPr>
            <w:rFonts w:ascii="Times New Roman" w:eastAsia="Source Han Sans CN Regular" w:hAnsi="Times New Roman" w:cs="Times New Roman"/>
            <w:color w:val="0000FF"/>
            <w:sz w:val="24"/>
            <w:szCs w:val="24"/>
            <w:u w:val="single"/>
            <w:lang w:val="bg-BG" w:eastAsia="zh-CN" w:bidi="hi-IN"/>
          </w:rPr>
          <w:t>http://www.bsmou.org/about/</w:t>
        </w:r>
      </w:hyperlink>
      <w:r w:rsidRPr="00610B1B">
        <w:rPr>
          <w:rFonts w:ascii="Times New Roman" w:eastAsia="Source Han Sans CN Regular" w:hAnsi="Times New Roman" w:cs="Times New Roman"/>
          <w:sz w:val="24"/>
          <w:szCs w:val="24"/>
          <w:lang w:val="bg-BG" w:eastAsia="zh-CN" w:bidi="hi-IN"/>
        </w:rPr>
        <w:t xml:space="preserve"> ;</w:t>
      </w:r>
    </w:p>
    <w:p w14:paraId="206F3F77" w14:textId="7660CBA5" w:rsidR="00BE57CC" w:rsidRPr="00610B1B" w:rsidRDefault="00BE57CC" w:rsidP="00BE57CC">
      <w:pPr>
        <w:numPr>
          <w:ilvl w:val="0"/>
          <w:numId w:val="99"/>
        </w:num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The European MSP Platform: </w:t>
      </w:r>
      <w:hyperlink r:id="rId369" w:tgtFrame="_blank" w:history="1">
        <w:r w:rsidRPr="00610B1B">
          <w:rPr>
            <w:rFonts w:ascii="Times New Roman" w:eastAsia="Times New Roman" w:hAnsi="Times New Roman" w:cs="Times New Roman"/>
            <w:sz w:val="24"/>
            <w:szCs w:val="24"/>
            <w:lang w:val="bg-BG"/>
          </w:rPr>
          <w:t>https://www.msp-platform.eu/countries/united-kingdom</w:t>
        </w:r>
      </w:hyperlink>
      <w:r w:rsidRPr="00610B1B">
        <w:rPr>
          <w:rFonts w:ascii="Times New Roman" w:eastAsia="Times New Roman" w:hAnsi="Times New Roman" w:cs="Times New Roman"/>
          <w:sz w:val="24"/>
          <w:szCs w:val="24"/>
          <w:lang w:val="bg-BG"/>
        </w:rPr>
        <w:t>;</w:t>
      </w:r>
      <w:r w:rsidR="00D66FE0" w:rsidRPr="00610B1B">
        <w:rPr>
          <w:rFonts w:ascii="Times New Roman" w:eastAsia="Times New Roman" w:hAnsi="Times New Roman" w:cs="Times New Roman"/>
          <w:sz w:val="24"/>
          <w:szCs w:val="24"/>
          <w:lang w:val="bg-BG"/>
        </w:rPr>
        <w:t xml:space="preserve"> </w:t>
      </w:r>
    </w:p>
    <w:p w14:paraId="66E28C13" w14:textId="7A716CB4" w:rsidR="00BE57CC" w:rsidRPr="00610B1B" w:rsidRDefault="00BE57CC" w:rsidP="00BE57CC">
      <w:pPr>
        <w:numPr>
          <w:ilvl w:val="0"/>
          <w:numId w:val="99"/>
        </w:num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t xml:space="preserve">WISE Marine: </w:t>
      </w:r>
      <w:hyperlink r:id="rId370" w:history="1">
        <w:r w:rsidRPr="00610B1B">
          <w:rPr>
            <w:rFonts w:ascii="Times New Roman" w:eastAsia="Times New Roman" w:hAnsi="Times New Roman" w:cs="Times New Roman"/>
            <w:color w:val="0000FF"/>
            <w:sz w:val="24"/>
            <w:szCs w:val="24"/>
            <w:u w:val="single"/>
            <w:lang w:val="bg-BG"/>
          </w:rPr>
          <w:t>https://wise-test.eionet.europa.eu/marine</w:t>
        </w:r>
      </w:hyperlink>
      <w:r w:rsidR="00D66FE0" w:rsidRPr="00610B1B">
        <w:rPr>
          <w:rFonts w:ascii="Times New Roman" w:eastAsia="Times New Roman" w:hAnsi="Times New Roman" w:cs="Times New Roman"/>
          <w:sz w:val="24"/>
          <w:szCs w:val="24"/>
          <w:lang w:val="bg-BG"/>
        </w:rPr>
        <w:t xml:space="preserve"> </w:t>
      </w:r>
    </w:p>
    <w:bookmarkStart w:id="543" w:name="_Hlk49783367"/>
    <w:p w14:paraId="1C24988F" w14:textId="6C6427A7" w:rsidR="00BE57CC" w:rsidRPr="00610B1B" w:rsidRDefault="00BE57CC" w:rsidP="00BE57CC">
      <w:pPr>
        <w:numPr>
          <w:ilvl w:val="0"/>
          <w:numId w:val="99"/>
        </w:numPr>
        <w:spacing w:after="120"/>
        <w:ind w:right="-153"/>
        <w:jc w:val="both"/>
        <w:rPr>
          <w:rFonts w:ascii="Times New Roman" w:eastAsia="Times New Roman" w:hAnsi="Times New Roman" w:cs="Times New Roman"/>
          <w:sz w:val="24"/>
          <w:szCs w:val="24"/>
          <w:lang w:val="bg-BG"/>
        </w:rPr>
      </w:pPr>
      <w:r w:rsidRPr="00610B1B">
        <w:rPr>
          <w:rFonts w:ascii="Times New Roman" w:eastAsia="Times New Roman" w:hAnsi="Times New Roman" w:cs="Times New Roman"/>
          <w:sz w:val="24"/>
          <w:szCs w:val="24"/>
          <w:lang w:val="bg-BG"/>
        </w:rPr>
        <w:fldChar w:fldCharType="begin"/>
      </w:r>
      <w:r w:rsidRPr="00610B1B">
        <w:rPr>
          <w:rFonts w:ascii="Times New Roman" w:eastAsia="Times New Roman" w:hAnsi="Times New Roman" w:cs="Times New Roman"/>
          <w:sz w:val="24"/>
          <w:szCs w:val="24"/>
          <w:lang w:val="bg-BG"/>
        </w:rPr>
        <w:instrText xml:space="preserve"> HYPERLINK "http://eea.government.bg/bg/soer/2017/" </w:instrText>
      </w:r>
      <w:r w:rsidRPr="00610B1B">
        <w:rPr>
          <w:rFonts w:ascii="Times New Roman" w:eastAsia="Times New Roman" w:hAnsi="Times New Roman" w:cs="Times New Roman"/>
          <w:sz w:val="24"/>
          <w:szCs w:val="24"/>
          <w:lang w:val="bg-BG"/>
        </w:rPr>
        <w:fldChar w:fldCharType="separate"/>
      </w:r>
      <w:r w:rsidRPr="00610B1B">
        <w:rPr>
          <w:rFonts w:ascii="Times New Roman" w:eastAsia="Times New Roman" w:hAnsi="Times New Roman" w:cs="Times New Roman"/>
          <w:color w:val="0000FF"/>
          <w:sz w:val="24"/>
          <w:szCs w:val="24"/>
          <w:u w:val="single"/>
          <w:lang w:val="bg-BG"/>
        </w:rPr>
        <w:t>http://eea.government.bg/bg/soer/2017/</w:t>
      </w:r>
      <w:r w:rsidRPr="00610B1B">
        <w:rPr>
          <w:rFonts w:ascii="Times New Roman" w:eastAsia="Times New Roman" w:hAnsi="Times New Roman" w:cs="Times New Roman"/>
          <w:sz w:val="24"/>
          <w:szCs w:val="24"/>
          <w:lang w:val="bg-BG"/>
        </w:rPr>
        <w:fldChar w:fldCharType="end"/>
      </w:r>
      <w:r w:rsidR="00C415D1" w:rsidRPr="00610B1B">
        <w:rPr>
          <w:rFonts w:ascii="Times New Roman" w:eastAsia="Times New Roman" w:hAnsi="Times New Roman" w:cs="Times New Roman"/>
          <w:sz w:val="24"/>
          <w:szCs w:val="24"/>
          <w:lang w:val="bg-BG"/>
        </w:rPr>
        <w:t xml:space="preserve"> </w:t>
      </w:r>
    </w:p>
    <w:p w14:paraId="42FD6FC1" w14:textId="59523205"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71" w:history="1">
        <w:r w:rsidR="00BE57CC" w:rsidRPr="00610B1B">
          <w:rPr>
            <w:rFonts w:ascii="Times New Roman" w:eastAsia="Times New Roman" w:hAnsi="Times New Roman" w:cs="Times New Roman"/>
            <w:color w:val="0000FF"/>
            <w:sz w:val="24"/>
            <w:szCs w:val="24"/>
            <w:u w:val="single"/>
            <w:lang w:val="bg-BG"/>
          </w:rPr>
          <w:t>http://eea.government.bg/zpo/bg/result1.jsp</w:t>
        </w:r>
      </w:hyperlink>
      <w:r w:rsidR="00C415D1" w:rsidRPr="00610B1B">
        <w:rPr>
          <w:rFonts w:ascii="Times New Roman" w:eastAsia="Times New Roman" w:hAnsi="Times New Roman" w:cs="Times New Roman"/>
          <w:sz w:val="24"/>
          <w:szCs w:val="24"/>
          <w:lang w:val="bg-BG"/>
        </w:rPr>
        <w:t xml:space="preserve"> </w:t>
      </w:r>
    </w:p>
    <w:p w14:paraId="0FB515BC" w14:textId="4155C980"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72" w:history="1">
        <w:r w:rsidR="00BE57CC" w:rsidRPr="00610B1B">
          <w:rPr>
            <w:rFonts w:ascii="Times New Roman" w:eastAsia="Times New Roman" w:hAnsi="Times New Roman" w:cs="Times New Roman"/>
            <w:color w:val="0000FF"/>
            <w:sz w:val="24"/>
            <w:szCs w:val="24"/>
            <w:u w:val="single"/>
            <w:lang w:val="bg-BG"/>
          </w:rPr>
          <w:t>http://cdr.eionet.europa.eu/bg/eu/msfd_mp/</w:t>
        </w:r>
      </w:hyperlink>
      <w:r w:rsidR="00D66FE0" w:rsidRPr="00610B1B">
        <w:rPr>
          <w:rFonts w:ascii="Times New Roman" w:eastAsia="Times New Roman" w:hAnsi="Times New Roman" w:cs="Times New Roman"/>
          <w:sz w:val="24"/>
          <w:szCs w:val="24"/>
          <w:lang w:val="bg-BG"/>
        </w:rPr>
        <w:t xml:space="preserve"> </w:t>
      </w:r>
    </w:p>
    <w:p w14:paraId="310F7FE0" w14:textId="13200B9E"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73" w:history="1">
        <w:r w:rsidR="00BE57CC" w:rsidRPr="00610B1B">
          <w:rPr>
            <w:rFonts w:ascii="Times New Roman" w:eastAsia="Times New Roman" w:hAnsi="Times New Roman" w:cs="Times New Roman"/>
            <w:color w:val="0000FF"/>
            <w:sz w:val="24"/>
            <w:szCs w:val="24"/>
            <w:u w:val="single"/>
            <w:lang w:val="bg-BG"/>
          </w:rPr>
          <w:t>http://deloports.com/dock58/</w:t>
        </w:r>
      </w:hyperlink>
      <w:r w:rsidR="00D66FE0" w:rsidRPr="00610B1B">
        <w:rPr>
          <w:rFonts w:ascii="Times New Roman" w:eastAsia="Times New Roman" w:hAnsi="Times New Roman" w:cs="Times New Roman"/>
          <w:sz w:val="24"/>
          <w:szCs w:val="24"/>
          <w:lang w:val="bg-BG"/>
        </w:rPr>
        <w:t xml:space="preserve"> </w:t>
      </w:r>
    </w:p>
    <w:p w14:paraId="3AA97F27" w14:textId="4F6A7740"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74" w:history="1">
        <w:r w:rsidR="00BE57CC" w:rsidRPr="00610B1B">
          <w:rPr>
            <w:rFonts w:ascii="Times New Roman" w:eastAsia="Times New Roman" w:hAnsi="Times New Roman" w:cs="Times New Roman"/>
            <w:color w:val="0000FF"/>
            <w:sz w:val="24"/>
            <w:szCs w:val="24"/>
            <w:u w:val="single"/>
            <w:lang w:val="bg-BG"/>
          </w:rPr>
          <w:t>http://dx.publications.europa.eu/10.2760/93257</w:t>
        </w:r>
      </w:hyperlink>
      <w:r w:rsidR="00D66FE0" w:rsidRPr="00610B1B">
        <w:rPr>
          <w:rFonts w:ascii="Times New Roman" w:eastAsia="Times New Roman" w:hAnsi="Times New Roman" w:cs="Times New Roman"/>
          <w:sz w:val="24"/>
          <w:szCs w:val="24"/>
          <w:lang w:val="bg-BG"/>
        </w:rPr>
        <w:t xml:space="preserve"> </w:t>
      </w:r>
    </w:p>
    <w:p w14:paraId="137FDFA6" w14:textId="426DBDB3"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75" w:history="1">
        <w:r w:rsidR="00BE57CC" w:rsidRPr="00610B1B">
          <w:rPr>
            <w:rFonts w:ascii="Times New Roman" w:eastAsia="Times New Roman" w:hAnsi="Times New Roman" w:cs="Times New Roman"/>
            <w:color w:val="0000FF"/>
            <w:sz w:val="24"/>
            <w:szCs w:val="24"/>
            <w:u w:val="single"/>
            <w:lang w:val="bg-BG"/>
          </w:rPr>
          <w:t>http://eea.government.bg/bg/bio/opos/Finalni_rezultati_Deinost_6.pdf</w:t>
        </w:r>
      </w:hyperlink>
      <w:r w:rsidR="00D66FE0" w:rsidRPr="00610B1B">
        <w:rPr>
          <w:rFonts w:ascii="Times New Roman" w:eastAsia="Times New Roman" w:hAnsi="Times New Roman" w:cs="Times New Roman"/>
          <w:sz w:val="24"/>
          <w:szCs w:val="24"/>
          <w:lang w:val="bg-BG"/>
        </w:rPr>
        <w:t xml:space="preserve"> </w:t>
      </w:r>
    </w:p>
    <w:p w14:paraId="2BB3AD09" w14:textId="071341A4"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76" w:history="1">
        <w:r w:rsidR="00BE57CC" w:rsidRPr="00610B1B">
          <w:rPr>
            <w:rFonts w:ascii="Times New Roman" w:eastAsia="Times New Roman" w:hAnsi="Times New Roman" w:cs="Times New Roman"/>
            <w:color w:val="0000FF"/>
            <w:sz w:val="24"/>
            <w:szCs w:val="24"/>
            <w:u w:val="single"/>
            <w:lang w:val="bg-BG"/>
          </w:rPr>
          <w:t>http://eea.government.bg/bg/ecosystems/B9MARINE_BG_PRINT.pdf</w:t>
        </w:r>
      </w:hyperlink>
      <w:r w:rsidR="00D66FE0" w:rsidRPr="00610B1B">
        <w:rPr>
          <w:rFonts w:ascii="Times New Roman" w:eastAsia="Times New Roman" w:hAnsi="Times New Roman" w:cs="Times New Roman"/>
          <w:sz w:val="24"/>
          <w:szCs w:val="24"/>
          <w:lang w:val="bg-BG"/>
        </w:rPr>
        <w:t xml:space="preserve"> </w:t>
      </w:r>
    </w:p>
    <w:p w14:paraId="270201EC" w14:textId="08C9DA3E"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77" w:history="1">
        <w:r w:rsidR="00BE57CC" w:rsidRPr="00610B1B">
          <w:rPr>
            <w:rFonts w:ascii="Times New Roman" w:eastAsia="Times New Roman" w:hAnsi="Times New Roman" w:cs="Times New Roman"/>
            <w:color w:val="0000FF"/>
            <w:sz w:val="24"/>
            <w:szCs w:val="24"/>
            <w:u w:val="single"/>
            <w:lang w:val="bg-BG"/>
          </w:rPr>
          <w:t>http://eea.government.bg/bg/soer/2017/biodiversity-nem/promyana-v-chislenostta-i-sastoyanie-na-zimuvashtite-vodolyubivi-ptitsi-v-balgariya</w:t>
        </w:r>
      </w:hyperlink>
      <w:r w:rsidR="00C415D1" w:rsidRPr="00610B1B">
        <w:rPr>
          <w:rFonts w:ascii="Times New Roman" w:eastAsia="Times New Roman" w:hAnsi="Times New Roman" w:cs="Times New Roman"/>
          <w:sz w:val="24"/>
          <w:szCs w:val="24"/>
          <w:lang w:val="bg-BG"/>
        </w:rPr>
        <w:t xml:space="preserve"> </w:t>
      </w:r>
    </w:p>
    <w:p w14:paraId="1310716F" w14:textId="42C62FB3"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78" w:history="1">
        <w:r w:rsidR="00BE57CC" w:rsidRPr="00610B1B">
          <w:rPr>
            <w:rFonts w:ascii="Times New Roman" w:eastAsia="Times New Roman" w:hAnsi="Times New Roman" w:cs="Times New Roman"/>
            <w:color w:val="0000FF"/>
            <w:sz w:val="24"/>
            <w:szCs w:val="24"/>
            <w:u w:val="single"/>
            <w:lang w:val="bg-BG"/>
          </w:rPr>
          <w:t>http://eea.government.bg/zpo/bg/area.jsp?NEM_Partition=1&amp;categoryID=6&amp;areaID=145</w:t>
        </w:r>
      </w:hyperlink>
      <w:r w:rsidR="00D66FE0" w:rsidRPr="00610B1B">
        <w:rPr>
          <w:rFonts w:ascii="Times New Roman" w:eastAsia="Times New Roman" w:hAnsi="Times New Roman" w:cs="Times New Roman"/>
          <w:sz w:val="24"/>
          <w:szCs w:val="24"/>
          <w:lang w:val="bg-BG"/>
        </w:rPr>
        <w:t xml:space="preserve"> </w:t>
      </w:r>
    </w:p>
    <w:p w14:paraId="78DC79BA" w14:textId="4820C230"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79" w:history="1">
        <w:r w:rsidR="00BE57CC" w:rsidRPr="00610B1B">
          <w:rPr>
            <w:rFonts w:ascii="Times New Roman" w:eastAsia="Times New Roman" w:hAnsi="Times New Roman" w:cs="Times New Roman"/>
            <w:color w:val="0000FF"/>
            <w:sz w:val="24"/>
            <w:szCs w:val="24"/>
            <w:u w:val="single"/>
            <w:lang w:val="bg-BG"/>
          </w:rPr>
          <w:t>http://eur-lex.europa.eu/legal-content/BG/TXT/PDF/?uri=CELEX:32014L0089&amp;from=BG</w:t>
        </w:r>
      </w:hyperlink>
      <w:r w:rsidR="00C415D1" w:rsidRPr="00610B1B">
        <w:rPr>
          <w:rFonts w:ascii="Times New Roman" w:eastAsia="Times New Roman" w:hAnsi="Times New Roman" w:cs="Times New Roman"/>
          <w:sz w:val="24"/>
          <w:szCs w:val="24"/>
          <w:lang w:val="bg-BG"/>
        </w:rPr>
        <w:t xml:space="preserve"> </w:t>
      </w:r>
    </w:p>
    <w:p w14:paraId="3D36BC92" w14:textId="2BC69550"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80" w:history="1">
        <w:r w:rsidR="00BE57CC" w:rsidRPr="00610B1B">
          <w:rPr>
            <w:rFonts w:ascii="Times New Roman" w:eastAsia="Times New Roman" w:hAnsi="Times New Roman" w:cs="Times New Roman"/>
            <w:color w:val="0000FF"/>
            <w:sz w:val="24"/>
            <w:szCs w:val="24"/>
            <w:u w:val="single"/>
            <w:lang w:val="bg-BG"/>
          </w:rPr>
          <w:t>http://eurogoos.eu/ferrybox-task-team/</w:t>
        </w:r>
      </w:hyperlink>
      <w:r w:rsidR="00D66FE0" w:rsidRPr="00610B1B">
        <w:rPr>
          <w:rFonts w:ascii="Times New Roman" w:eastAsia="Times New Roman" w:hAnsi="Times New Roman" w:cs="Times New Roman"/>
          <w:sz w:val="24"/>
          <w:szCs w:val="24"/>
          <w:lang w:val="bg-BG"/>
        </w:rPr>
        <w:t xml:space="preserve"> </w:t>
      </w:r>
    </w:p>
    <w:p w14:paraId="77ED0B5F" w14:textId="7C5AEAC9"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81" w:history="1">
        <w:r w:rsidR="00BE57CC" w:rsidRPr="00610B1B">
          <w:rPr>
            <w:rFonts w:ascii="Times New Roman" w:eastAsia="Times New Roman" w:hAnsi="Times New Roman" w:cs="Times New Roman"/>
            <w:color w:val="0000FF"/>
            <w:sz w:val="24"/>
            <w:szCs w:val="24"/>
            <w:u w:val="single"/>
            <w:lang w:val="bg-BG"/>
          </w:rPr>
          <w:t>http://gz-varna.mrrb.government.bg/map/</w:t>
        </w:r>
      </w:hyperlink>
      <w:r w:rsidR="00D66FE0" w:rsidRPr="00610B1B">
        <w:rPr>
          <w:rFonts w:ascii="Times New Roman" w:eastAsia="Times New Roman" w:hAnsi="Times New Roman" w:cs="Times New Roman"/>
          <w:sz w:val="24"/>
          <w:szCs w:val="24"/>
          <w:lang w:val="bg-BG"/>
        </w:rPr>
        <w:t xml:space="preserve"> </w:t>
      </w:r>
    </w:p>
    <w:p w14:paraId="5BDA2FA6" w14:textId="46EE2139"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82" w:history="1">
        <w:r w:rsidR="00BE57CC" w:rsidRPr="00610B1B">
          <w:rPr>
            <w:rFonts w:ascii="Times New Roman" w:eastAsia="Times New Roman" w:hAnsi="Times New Roman" w:cs="Times New Roman"/>
            <w:color w:val="0000FF"/>
            <w:sz w:val="24"/>
            <w:szCs w:val="24"/>
            <w:u w:val="single"/>
            <w:lang w:val="bg-BG"/>
          </w:rPr>
          <w:t>http://icbss.org/</w:t>
        </w:r>
      </w:hyperlink>
      <w:r w:rsidR="00BE57CC" w:rsidRPr="00610B1B">
        <w:rPr>
          <w:rFonts w:ascii="Times New Roman" w:eastAsia="Times New Roman" w:hAnsi="Times New Roman" w:cs="Times New Roman"/>
          <w:sz w:val="24"/>
          <w:szCs w:val="24"/>
          <w:lang w:val="bg-BG"/>
        </w:rPr>
        <w:t xml:space="preserve"> </w:t>
      </w:r>
    </w:p>
    <w:p w14:paraId="5C62E21F" w14:textId="387D5974"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83" w:history="1">
        <w:r w:rsidR="00BE57CC" w:rsidRPr="00610B1B">
          <w:rPr>
            <w:rFonts w:ascii="Times New Roman" w:eastAsia="Times New Roman" w:hAnsi="Times New Roman" w:cs="Times New Roman"/>
            <w:color w:val="0000FF"/>
            <w:sz w:val="24"/>
            <w:szCs w:val="24"/>
            <w:u w:val="single"/>
            <w:lang w:val="bg-BG"/>
          </w:rPr>
          <w:t>http://mc.government.bg/files/5495_Strategy_culture_.pdf</w:t>
        </w:r>
      </w:hyperlink>
      <w:r w:rsidR="00D66FE0" w:rsidRPr="00610B1B">
        <w:rPr>
          <w:rFonts w:ascii="Times New Roman" w:eastAsia="Times New Roman" w:hAnsi="Times New Roman" w:cs="Times New Roman"/>
          <w:sz w:val="24"/>
          <w:szCs w:val="24"/>
          <w:lang w:val="bg-BG"/>
        </w:rPr>
        <w:t xml:space="preserve"> </w:t>
      </w:r>
    </w:p>
    <w:p w14:paraId="5889B1E7" w14:textId="3BDD9780" w:rsidR="00BE57CC" w:rsidRPr="00610B1B" w:rsidRDefault="002A152C" w:rsidP="00C4605F">
      <w:pPr>
        <w:numPr>
          <w:ilvl w:val="0"/>
          <w:numId w:val="99"/>
        </w:numPr>
        <w:spacing w:after="120"/>
        <w:ind w:right="-22"/>
        <w:jc w:val="both"/>
        <w:rPr>
          <w:rFonts w:ascii="Times New Roman" w:eastAsia="Times New Roman" w:hAnsi="Times New Roman" w:cs="Times New Roman"/>
          <w:sz w:val="24"/>
          <w:szCs w:val="24"/>
          <w:lang w:val="bg-BG"/>
        </w:rPr>
      </w:pPr>
      <w:hyperlink r:id="rId384" w:history="1">
        <w:r w:rsidR="00BE57CC" w:rsidRPr="00610B1B">
          <w:rPr>
            <w:rFonts w:ascii="Times New Roman" w:eastAsia="Times New Roman" w:hAnsi="Times New Roman" w:cs="Times New Roman"/>
            <w:color w:val="0000FF"/>
            <w:sz w:val="24"/>
            <w:szCs w:val="24"/>
            <w:u w:val="single"/>
            <w:lang w:val="bg-BG"/>
          </w:rPr>
          <w:t>http://publications.europa.eu/resource/cellar/f07ab00e-3795-4146-8739-07dc585b97ad.0008.01/DOC_1</w:t>
        </w:r>
      </w:hyperlink>
    </w:p>
    <w:p w14:paraId="357AC150" w14:textId="3F09D39B"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85" w:history="1">
        <w:r w:rsidR="00BE57CC" w:rsidRPr="00610B1B">
          <w:rPr>
            <w:rFonts w:ascii="Times New Roman" w:eastAsia="Times New Roman" w:hAnsi="Times New Roman" w:cs="Times New Roman"/>
            <w:color w:val="0000FF"/>
            <w:sz w:val="24"/>
            <w:szCs w:val="24"/>
            <w:u w:val="single"/>
            <w:lang w:val="bg-BG"/>
          </w:rPr>
          <w:t>http://publications.europa.eu/resource/cellar/f07ab00e-3795-4146-8739-07dc585b97ad.0008.01/DOC_1h</w:t>
        </w:r>
      </w:hyperlink>
      <w:r w:rsidR="00BE57CC" w:rsidRPr="00610B1B">
        <w:rPr>
          <w:rFonts w:ascii="Times New Roman" w:eastAsia="Times New Roman" w:hAnsi="Times New Roman" w:cs="Times New Roman"/>
          <w:sz w:val="24"/>
          <w:szCs w:val="24"/>
          <w:lang w:val="bg-BG"/>
        </w:rPr>
        <w:t xml:space="preserve"> </w:t>
      </w:r>
    </w:p>
    <w:p w14:paraId="4156DE19" w14:textId="7707AD6F"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86" w:history="1">
        <w:r w:rsidR="00BE57CC" w:rsidRPr="00610B1B">
          <w:rPr>
            <w:rFonts w:ascii="Times New Roman" w:eastAsia="Times New Roman" w:hAnsi="Times New Roman" w:cs="Times New Roman"/>
            <w:color w:val="0000FF"/>
            <w:sz w:val="24"/>
            <w:szCs w:val="24"/>
            <w:u w:val="single"/>
            <w:lang w:val="bg-BG"/>
          </w:rPr>
          <w:t>http://register.consilium.europa.eu/doc/srv?l=EN&amp;f=ST%2011205%202014%20INIT</w:t>
        </w:r>
      </w:hyperlink>
      <w:r w:rsidR="00D66FE0" w:rsidRPr="00610B1B">
        <w:rPr>
          <w:rFonts w:ascii="Times New Roman" w:eastAsia="Times New Roman" w:hAnsi="Times New Roman" w:cs="Times New Roman"/>
          <w:sz w:val="24"/>
          <w:szCs w:val="24"/>
          <w:lang w:val="bg-BG"/>
        </w:rPr>
        <w:t xml:space="preserve"> </w:t>
      </w:r>
    </w:p>
    <w:p w14:paraId="3C933C39" w14:textId="7C956A24"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87" w:history="1">
        <w:r w:rsidR="00BE57CC" w:rsidRPr="00610B1B">
          <w:rPr>
            <w:rFonts w:ascii="Times New Roman" w:eastAsia="Times New Roman" w:hAnsi="Times New Roman" w:cs="Times New Roman"/>
            <w:color w:val="0000FF"/>
            <w:sz w:val="24"/>
            <w:szCs w:val="24"/>
            <w:u w:val="single"/>
            <w:lang w:val="bg-BG"/>
          </w:rPr>
          <w:t>http://unesco-bg.org/file_store/konventsiya_podvoddno_nasledstvo.pdf</w:t>
        </w:r>
      </w:hyperlink>
      <w:r w:rsidR="00BE57CC" w:rsidRPr="00610B1B">
        <w:rPr>
          <w:rFonts w:ascii="Times New Roman" w:eastAsia="Times New Roman" w:hAnsi="Times New Roman" w:cs="Times New Roman"/>
          <w:sz w:val="24"/>
          <w:szCs w:val="24"/>
          <w:lang w:val="bg-BG"/>
        </w:rPr>
        <w:t xml:space="preserve"> </w:t>
      </w:r>
    </w:p>
    <w:p w14:paraId="777A3A0F" w14:textId="0B15D9CC"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88" w:history="1">
        <w:r w:rsidR="00BE57CC" w:rsidRPr="00610B1B">
          <w:rPr>
            <w:rFonts w:ascii="Times New Roman" w:eastAsia="Times New Roman" w:hAnsi="Times New Roman" w:cs="Times New Roman"/>
            <w:color w:val="0000FF"/>
            <w:sz w:val="24"/>
            <w:szCs w:val="24"/>
            <w:u w:val="single"/>
            <w:lang w:val="bg-BG"/>
          </w:rPr>
          <w:t>http://unesdoc.unesco.org/images/0018/001865/186559e.pdf</w:t>
        </w:r>
      </w:hyperlink>
      <w:r w:rsidR="00D66FE0" w:rsidRPr="00610B1B">
        <w:rPr>
          <w:rFonts w:ascii="Times New Roman" w:eastAsia="Times New Roman" w:hAnsi="Times New Roman" w:cs="Times New Roman"/>
          <w:sz w:val="24"/>
          <w:szCs w:val="24"/>
          <w:lang w:val="bg-BG"/>
        </w:rPr>
        <w:t xml:space="preserve"> </w:t>
      </w:r>
    </w:p>
    <w:p w14:paraId="27124C1C" w14:textId="60511E2E"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89" w:history="1">
        <w:r w:rsidR="00BE57CC" w:rsidRPr="00610B1B">
          <w:rPr>
            <w:rFonts w:ascii="Times New Roman" w:eastAsia="Times New Roman" w:hAnsi="Times New Roman" w:cs="Times New Roman"/>
            <w:color w:val="0000FF"/>
            <w:sz w:val="24"/>
            <w:szCs w:val="24"/>
            <w:u w:val="single"/>
            <w:lang w:val="bg-BG"/>
          </w:rPr>
          <w:t>http://uni-sz.bg/truni11/wp-content/uploads/biblioteka/file/TUNI10015968.pdf</w:t>
        </w:r>
      </w:hyperlink>
      <w:r w:rsidR="00BE57CC" w:rsidRPr="00610B1B">
        <w:rPr>
          <w:rFonts w:ascii="Times New Roman" w:eastAsia="Times New Roman" w:hAnsi="Times New Roman" w:cs="Times New Roman"/>
          <w:sz w:val="24"/>
          <w:szCs w:val="24"/>
          <w:lang w:val="bg-BG"/>
        </w:rPr>
        <w:t xml:space="preserve"> </w:t>
      </w:r>
    </w:p>
    <w:p w14:paraId="03FE8EFD" w14:textId="22FFB7F5"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90" w:history="1">
        <w:r w:rsidR="00BE57CC" w:rsidRPr="00610B1B">
          <w:rPr>
            <w:rFonts w:ascii="Times New Roman" w:eastAsia="Times New Roman" w:hAnsi="Times New Roman" w:cs="Times New Roman"/>
            <w:color w:val="0000FF"/>
            <w:sz w:val="24"/>
            <w:szCs w:val="24"/>
            <w:u w:val="single"/>
            <w:lang w:val="bg-BG"/>
          </w:rPr>
          <w:t>http://www.bgports.bg/bg/page/24</w:t>
        </w:r>
      </w:hyperlink>
      <w:r w:rsidR="00D66FE0" w:rsidRPr="00610B1B">
        <w:rPr>
          <w:rFonts w:ascii="Times New Roman" w:eastAsia="Times New Roman" w:hAnsi="Times New Roman" w:cs="Times New Roman"/>
          <w:sz w:val="24"/>
          <w:szCs w:val="24"/>
          <w:lang w:val="bg-BG"/>
        </w:rPr>
        <w:t xml:space="preserve"> </w:t>
      </w:r>
    </w:p>
    <w:p w14:paraId="57C037F5" w14:textId="47410566"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91" w:history="1">
        <w:r w:rsidR="00BE57CC" w:rsidRPr="00610B1B">
          <w:rPr>
            <w:rFonts w:ascii="Times New Roman" w:eastAsia="Times New Roman" w:hAnsi="Times New Roman" w:cs="Times New Roman"/>
            <w:color w:val="0000FF"/>
            <w:sz w:val="24"/>
            <w:szCs w:val="24"/>
            <w:u w:val="single"/>
            <w:lang w:val="bg-BG"/>
          </w:rPr>
          <w:t>http://www.blacksea-commission.org/</w:t>
        </w:r>
      </w:hyperlink>
      <w:r w:rsidR="00D66FE0" w:rsidRPr="00610B1B">
        <w:rPr>
          <w:rFonts w:ascii="Times New Roman" w:eastAsia="Times New Roman" w:hAnsi="Times New Roman" w:cs="Times New Roman"/>
          <w:sz w:val="24"/>
          <w:szCs w:val="24"/>
          <w:lang w:val="bg-BG"/>
        </w:rPr>
        <w:t xml:space="preserve"> </w:t>
      </w:r>
    </w:p>
    <w:p w14:paraId="042F86C0" w14:textId="2478FA44"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92" w:history="1">
        <w:r w:rsidR="00BE57CC" w:rsidRPr="00610B1B">
          <w:rPr>
            <w:rFonts w:ascii="Times New Roman" w:eastAsia="Times New Roman" w:hAnsi="Times New Roman" w:cs="Times New Roman"/>
            <w:color w:val="0000FF"/>
            <w:sz w:val="24"/>
            <w:szCs w:val="24"/>
            <w:u w:val="single"/>
            <w:lang w:val="bg-BG"/>
          </w:rPr>
          <w:t>http://www.blacksea-commission.org/</w:t>
        </w:r>
      </w:hyperlink>
      <w:r w:rsidR="00D66FE0" w:rsidRPr="00610B1B">
        <w:rPr>
          <w:rFonts w:ascii="Times New Roman" w:eastAsia="Times New Roman" w:hAnsi="Times New Roman" w:cs="Times New Roman"/>
          <w:sz w:val="24"/>
          <w:szCs w:val="24"/>
          <w:lang w:val="bg-BG"/>
        </w:rPr>
        <w:t xml:space="preserve"> </w:t>
      </w:r>
    </w:p>
    <w:p w14:paraId="2E5137F0" w14:textId="5025BEDF"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93" w:history="1">
        <w:r w:rsidR="00BE57CC" w:rsidRPr="00610B1B">
          <w:rPr>
            <w:rFonts w:ascii="Times New Roman" w:eastAsia="Times New Roman" w:hAnsi="Times New Roman" w:cs="Times New Roman"/>
            <w:color w:val="0000FF"/>
            <w:sz w:val="24"/>
            <w:szCs w:val="24"/>
            <w:u w:val="single"/>
            <w:lang w:val="bg-BG"/>
          </w:rPr>
          <w:t>http://www.blacksea-commission.org/_convention-fulltext.asp</w:t>
        </w:r>
      </w:hyperlink>
      <w:r w:rsidR="00D66FE0" w:rsidRPr="00610B1B">
        <w:rPr>
          <w:rFonts w:ascii="Times New Roman" w:eastAsia="Times New Roman" w:hAnsi="Times New Roman" w:cs="Times New Roman"/>
          <w:sz w:val="24"/>
          <w:szCs w:val="24"/>
          <w:lang w:val="bg-BG"/>
        </w:rPr>
        <w:t xml:space="preserve"> </w:t>
      </w:r>
    </w:p>
    <w:p w14:paraId="7CDBB0E6" w14:textId="53184561"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94" w:history="1">
        <w:r w:rsidR="00BE57CC" w:rsidRPr="00610B1B">
          <w:rPr>
            <w:rFonts w:ascii="Times New Roman" w:eastAsia="Times New Roman" w:hAnsi="Times New Roman" w:cs="Times New Roman"/>
            <w:color w:val="0000FF"/>
            <w:sz w:val="24"/>
            <w:szCs w:val="24"/>
            <w:u w:val="single"/>
            <w:lang w:val="bg-BG"/>
          </w:rPr>
          <w:t>http://www.blacksea-commission.org/_publications.asp</w:t>
        </w:r>
      </w:hyperlink>
      <w:r w:rsidR="00D66FE0" w:rsidRPr="00610B1B">
        <w:rPr>
          <w:rFonts w:ascii="Times New Roman" w:eastAsia="Times New Roman" w:hAnsi="Times New Roman" w:cs="Times New Roman"/>
          <w:sz w:val="24"/>
          <w:szCs w:val="24"/>
          <w:lang w:val="bg-BG"/>
        </w:rPr>
        <w:t xml:space="preserve"> </w:t>
      </w:r>
    </w:p>
    <w:p w14:paraId="131E6909" w14:textId="652A884E" w:rsidR="00BE57CC" w:rsidRPr="00610B1B" w:rsidRDefault="002A152C" w:rsidP="00C4605F">
      <w:pPr>
        <w:numPr>
          <w:ilvl w:val="0"/>
          <w:numId w:val="99"/>
        </w:numPr>
        <w:spacing w:after="120"/>
        <w:ind w:right="-306"/>
        <w:jc w:val="both"/>
        <w:rPr>
          <w:rFonts w:ascii="Times New Roman" w:eastAsia="Times New Roman" w:hAnsi="Times New Roman" w:cs="Times New Roman"/>
          <w:sz w:val="24"/>
          <w:szCs w:val="24"/>
          <w:lang w:val="bg-BG"/>
        </w:rPr>
      </w:pPr>
      <w:hyperlink r:id="rId395" w:history="1">
        <w:r w:rsidR="00BE57CC" w:rsidRPr="00610B1B">
          <w:rPr>
            <w:rFonts w:ascii="Times New Roman" w:eastAsia="Times New Roman" w:hAnsi="Times New Roman" w:cs="Times New Roman"/>
            <w:color w:val="0000FF"/>
            <w:sz w:val="24"/>
            <w:szCs w:val="24"/>
            <w:u w:val="single"/>
            <w:lang w:val="bg-BG"/>
          </w:rPr>
          <w:t>http://www.blacksea-commission.org/Official%20Documents/Black%20Sea%20Strategic%20Action%20Plan%202009/</w:t>
        </w:r>
      </w:hyperlink>
      <w:r w:rsidR="00BE57CC" w:rsidRPr="00610B1B">
        <w:rPr>
          <w:rFonts w:ascii="Times New Roman" w:eastAsia="Times New Roman" w:hAnsi="Times New Roman" w:cs="Times New Roman"/>
          <w:sz w:val="24"/>
          <w:szCs w:val="24"/>
          <w:lang w:val="bg-BG"/>
        </w:rPr>
        <w:t xml:space="preserve"> </w:t>
      </w:r>
    </w:p>
    <w:p w14:paraId="10B02CF4" w14:textId="2BBC1205"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96" w:history="1">
        <w:r w:rsidR="00BE57CC" w:rsidRPr="00610B1B">
          <w:rPr>
            <w:rFonts w:ascii="Times New Roman" w:eastAsia="Times New Roman" w:hAnsi="Times New Roman" w:cs="Times New Roman"/>
            <w:color w:val="0000FF"/>
            <w:sz w:val="24"/>
            <w:szCs w:val="24"/>
            <w:u w:val="single"/>
            <w:lang w:val="bg-BG"/>
          </w:rPr>
          <w:t>http://www.bsbd.org/bg/marine_env_assessment.html</w:t>
        </w:r>
      </w:hyperlink>
      <w:r w:rsidR="00D66FE0" w:rsidRPr="00610B1B">
        <w:rPr>
          <w:rFonts w:ascii="Times New Roman" w:eastAsia="Times New Roman" w:hAnsi="Times New Roman" w:cs="Times New Roman"/>
          <w:sz w:val="24"/>
          <w:szCs w:val="24"/>
          <w:lang w:val="bg-BG"/>
        </w:rPr>
        <w:t xml:space="preserve"> </w:t>
      </w:r>
    </w:p>
    <w:p w14:paraId="51B94656" w14:textId="690C230E"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97" w:history="1">
        <w:r w:rsidR="00BE57CC" w:rsidRPr="00610B1B">
          <w:rPr>
            <w:rFonts w:ascii="Times New Roman" w:eastAsia="Times New Roman" w:hAnsi="Times New Roman" w:cs="Times New Roman"/>
            <w:color w:val="0000FF"/>
            <w:sz w:val="24"/>
            <w:szCs w:val="24"/>
            <w:u w:val="single"/>
            <w:lang w:val="bg-BG"/>
          </w:rPr>
          <w:t>http://www.bsbd.org/bg/merki_13_rdms.html</w:t>
        </w:r>
      </w:hyperlink>
      <w:r w:rsidR="00D66FE0" w:rsidRPr="00610B1B">
        <w:rPr>
          <w:rFonts w:ascii="Times New Roman" w:eastAsia="Times New Roman" w:hAnsi="Times New Roman" w:cs="Times New Roman"/>
          <w:sz w:val="24"/>
          <w:szCs w:val="24"/>
          <w:lang w:val="bg-BG"/>
        </w:rPr>
        <w:t xml:space="preserve"> </w:t>
      </w:r>
    </w:p>
    <w:p w14:paraId="4BCC25D6" w14:textId="11A9B6BE"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98" w:history="1">
        <w:r w:rsidR="00BE57CC" w:rsidRPr="00610B1B">
          <w:rPr>
            <w:rFonts w:ascii="Times New Roman" w:eastAsia="Times New Roman" w:hAnsi="Times New Roman" w:cs="Times New Roman"/>
            <w:color w:val="0000FF"/>
            <w:sz w:val="24"/>
            <w:szCs w:val="24"/>
            <w:u w:val="single"/>
            <w:lang w:val="bg-BG"/>
          </w:rPr>
          <w:t>http://www.bsbd.org/bg/merki_13_rdms.html</w:t>
        </w:r>
      </w:hyperlink>
      <w:r w:rsidR="00D66FE0" w:rsidRPr="00610B1B">
        <w:rPr>
          <w:rFonts w:ascii="Times New Roman" w:eastAsia="Times New Roman" w:hAnsi="Times New Roman" w:cs="Times New Roman"/>
          <w:sz w:val="24"/>
          <w:szCs w:val="24"/>
          <w:lang w:val="bg-BG"/>
        </w:rPr>
        <w:t xml:space="preserve"> </w:t>
      </w:r>
    </w:p>
    <w:p w14:paraId="71D45F5A" w14:textId="36D444A8"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399" w:history="1">
        <w:r w:rsidR="00BE57CC" w:rsidRPr="00610B1B">
          <w:rPr>
            <w:rFonts w:ascii="Times New Roman" w:eastAsia="Times New Roman" w:hAnsi="Times New Roman" w:cs="Times New Roman"/>
            <w:color w:val="0000FF"/>
            <w:sz w:val="24"/>
            <w:szCs w:val="24"/>
            <w:u w:val="single"/>
            <w:lang w:val="bg-BG"/>
          </w:rPr>
          <w:t>http://www.bsbd.org/bg/msfd_monitoring.html</w:t>
        </w:r>
      </w:hyperlink>
      <w:r w:rsidR="00D66FE0" w:rsidRPr="00610B1B">
        <w:rPr>
          <w:rFonts w:ascii="Times New Roman" w:eastAsia="Times New Roman" w:hAnsi="Times New Roman" w:cs="Times New Roman"/>
          <w:sz w:val="24"/>
          <w:szCs w:val="24"/>
          <w:lang w:val="bg-BG"/>
        </w:rPr>
        <w:t xml:space="preserve"> </w:t>
      </w:r>
    </w:p>
    <w:p w14:paraId="7B5AED03" w14:textId="085AAC43"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00" w:history="1">
        <w:r w:rsidR="00BE57CC" w:rsidRPr="00610B1B">
          <w:rPr>
            <w:rFonts w:ascii="Times New Roman" w:eastAsia="Times New Roman" w:hAnsi="Times New Roman" w:cs="Times New Roman"/>
            <w:color w:val="0000FF"/>
            <w:sz w:val="24"/>
            <w:szCs w:val="24"/>
            <w:u w:val="single"/>
            <w:lang w:val="bg-BG"/>
          </w:rPr>
          <w:t>http://www.bsbd.org/bg/msfd_monitoring.html</w:t>
        </w:r>
      </w:hyperlink>
      <w:r w:rsidR="00D66FE0" w:rsidRPr="00610B1B">
        <w:rPr>
          <w:rFonts w:ascii="Times New Roman" w:eastAsia="Times New Roman" w:hAnsi="Times New Roman" w:cs="Times New Roman"/>
          <w:sz w:val="24"/>
          <w:szCs w:val="24"/>
          <w:lang w:val="bg-BG"/>
        </w:rPr>
        <w:t xml:space="preserve"> </w:t>
      </w:r>
    </w:p>
    <w:p w14:paraId="6A438CE4" w14:textId="198F47E8"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01" w:history="1">
        <w:r w:rsidR="00BE57CC" w:rsidRPr="00610B1B">
          <w:rPr>
            <w:rFonts w:ascii="Times New Roman" w:eastAsia="Times New Roman" w:hAnsi="Times New Roman" w:cs="Times New Roman"/>
            <w:color w:val="0000FF"/>
            <w:sz w:val="24"/>
            <w:szCs w:val="24"/>
            <w:u w:val="single"/>
            <w:lang w:val="bg-BG"/>
          </w:rPr>
          <w:t>http://www.bsbd.org/bg/page_1722859.html</w:t>
        </w:r>
      </w:hyperlink>
      <w:r w:rsidR="00D66FE0" w:rsidRPr="00610B1B">
        <w:rPr>
          <w:rFonts w:ascii="Times New Roman" w:eastAsia="Times New Roman" w:hAnsi="Times New Roman" w:cs="Times New Roman"/>
          <w:sz w:val="24"/>
          <w:szCs w:val="24"/>
          <w:lang w:val="bg-BG"/>
        </w:rPr>
        <w:t xml:space="preserve"> </w:t>
      </w:r>
    </w:p>
    <w:p w14:paraId="3C80E9F5" w14:textId="28C64049"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02" w:history="1">
        <w:r w:rsidR="00BE57CC" w:rsidRPr="00610B1B">
          <w:rPr>
            <w:rFonts w:ascii="Times New Roman" w:eastAsia="Times New Roman" w:hAnsi="Times New Roman" w:cs="Times New Roman"/>
            <w:color w:val="0000FF"/>
            <w:sz w:val="24"/>
            <w:szCs w:val="24"/>
            <w:u w:val="single"/>
            <w:lang w:val="bg-BG"/>
          </w:rPr>
          <w:t>http://www.bsbd.org/uk/MarineStrategy.html</w:t>
        </w:r>
      </w:hyperlink>
      <w:r w:rsidR="00D66FE0" w:rsidRPr="00610B1B">
        <w:rPr>
          <w:rFonts w:ascii="Times New Roman" w:eastAsia="Times New Roman" w:hAnsi="Times New Roman" w:cs="Times New Roman"/>
          <w:sz w:val="24"/>
          <w:szCs w:val="24"/>
          <w:lang w:val="bg-BG"/>
        </w:rPr>
        <w:t xml:space="preserve"> </w:t>
      </w:r>
    </w:p>
    <w:p w14:paraId="389C41C2" w14:textId="589D026A"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03" w:history="1">
        <w:r w:rsidR="00BE57CC" w:rsidRPr="00610B1B">
          <w:rPr>
            <w:rFonts w:ascii="Times New Roman" w:eastAsia="Times New Roman" w:hAnsi="Times New Roman" w:cs="Times New Roman"/>
            <w:color w:val="0000FF"/>
            <w:sz w:val="24"/>
            <w:szCs w:val="24"/>
            <w:u w:val="single"/>
            <w:lang w:val="bg-BG"/>
          </w:rPr>
          <w:t>http://www.bsec-organization.org/</w:t>
        </w:r>
      </w:hyperlink>
      <w:r w:rsidR="00D66FE0" w:rsidRPr="00610B1B">
        <w:rPr>
          <w:rFonts w:ascii="Times New Roman" w:eastAsia="Times New Roman" w:hAnsi="Times New Roman" w:cs="Times New Roman"/>
          <w:sz w:val="24"/>
          <w:szCs w:val="24"/>
          <w:lang w:val="bg-BG"/>
        </w:rPr>
        <w:t xml:space="preserve"> </w:t>
      </w:r>
    </w:p>
    <w:p w14:paraId="5D937C94" w14:textId="1A728ACE"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04" w:history="1">
        <w:r w:rsidR="00BE57CC" w:rsidRPr="00610B1B">
          <w:rPr>
            <w:rFonts w:ascii="Times New Roman" w:eastAsia="Times New Roman" w:hAnsi="Times New Roman" w:cs="Times New Roman"/>
            <w:color w:val="0000FF"/>
            <w:sz w:val="24"/>
            <w:szCs w:val="24"/>
            <w:u w:val="single"/>
            <w:lang w:val="bg-BG"/>
          </w:rPr>
          <w:t>http://www.bunarco.org/bg/dokladi.html</w:t>
        </w:r>
      </w:hyperlink>
      <w:r w:rsidR="00D66FE0" w:rsidRPr="00610B1B">
        <w:rPr>
          <w:rFonts w:ascii="Times New Roman" w:eastAsia="Times New Roman" w:hAnsi="Times New Roman" w:cs="Times New Roman"/>
          <w:sz w:val="24"/>
          <w:szCs w:val="24"/>
          <w:lang w:val="bg-BG"/>
        </w:rPr>
        <w:t xml:space="preserve"> </w:t>
      </w:r>
    </w:p>
    <w:p w14:paraId="7E1F1014" w14:textId="3743C2B3" w:rsidR="00BE57CC" w:rsidRPr="00610B1B" w:rsidRDefault="002A152C" w:rsidP="00C4605F">
      <w:pPr>
        <w:numPr>
          <w:ilvl w:val="0"/>
          <w:numId w:val="99"/>
        </w:numPr>
        <w:spacing w:after="120"/>
        <w:ind w:right="-589"/>
        <w:jc w:val="both"/>
        <w:rPr>
          <w:rFonts w:ascii="Times New Roman" w:eastAsia="Times New Roman" w:hAnsi="Times New Roman" w:cs="Times New Roman"/>
          <w:sz w:val="24"/>
          <w:szCs w:val="24"/>
          <w:lang w:val="bg-BG"/>
        </w:rPr>
      </w:pPr>
      <w:hyperlink r:id="rId405" w:history="1">
        <w:r w:rsidR="00BE57CC" w:rsidRPr="00610B1B">
          <w:rPr>
            <w:rFonts w:ascii="Times New Roman" w:eastAsia="Times New Roman" w:hAnsi="Times New Roman" w:cs="Times New Roman"/>
            <w:color w:val="0000FF"/>
            <w:sz w:val="24"/>
            <w:szCs w:val="24"/>
            <w:u w:val="single"/>
            <w:lang w:val="bg-BG"/>
          </w:rPr>
          <w:t>http://www.devotes-project.eu/wp-content/uploads/2014/06/DEVOTES-D1-1-ConceptualModels.pdf</w:t>
        </w:r>
      </w:hyperlink>
      <w:r w:rsidR="00D66FE0" w:rsidRPr="00610B1B">
        <w:rPr>
          <w:rFonts w:ascii="Times New Roman" w:eastAsia="Times New Roman" w:hAnsi="Times New Roman" w:cs="Times New Roman"/>
          <w:sz w:val="24"/>
          <w:szCs w:val="24"/>
          <w:lang w:val="bg-BG"/>
        </w:rPr>
        <w:t xml:space="preserve"> </w:t>
      </w:r>
    </w:p>
    <w:p w14:paraId="08B8D910" w14:textId="3D9119E7"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06" w:history="1">
        <w:r w:rsidR="00BE57CC" w:rsidRPr="00610B1B">
          <w:rPr>
            <w:rFonts w:ascii="Times New Roman" w:eastAsia="Times New Roman" w:hAnsi="Times New Roman" w:cs="Times New Roman"/>
            <w:color w:val="0000FF"/>
            <w:sz w:val="24"/>
            <w:szCs w:val="24"/>
            <w:u w:val="single"/>
            <w:lang w:val="bg-BG"/>
          </w:rPr>
          <w:t>http://www.fao.org/3/i3640e/i3640e.pdf</w:t>
        </w:r>
      </w:hyperlink>
      <w:r w:rsidR="00D66FE0" w:rsidRPr="00610B1B">
        <w:rPr>
          <w:rFonts w:ascii="Times New Roman" w:eastAsia="Times New Roman" w:hAnsi="Times New Roman" w:cs="Times New Roman"/>
          <w:sz w:val="24"/>
          <w:szCs w:val="24"/>
          <w:lang w:val="bg-BG"/>
        </w:rPr>
        <w:t xml:space="preserve"> </w:t>
      </w:r>
    </w:p>
    <w:p w14:paraId="366BEFCA" w14:textId="029B9AB3"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07" w:history="1">
        <w:r w:rsidR="00BE57CC" w:rsidRPr="00610B1B">
          <w:rPr>
            <w:rFonts w:ascii="Times New Roman" w:eastAsia="Times New Roman" w:hAnsi="Times New Roman" w:cs="Times New Roman"/>
            <w:color w:val="0000FF"/>
            <w:sz w:val="24"/>
            <w:szCs w:val="24"/>
            <w:u w:val="single"/>
            <w:lang w:val="bg-BG"/>
          </w:rPr>
          <w:t>http://www.fao.org/fishery/en</w:t>
        </w:r>
      </w:hyperlink>
      <w:r w:rsidR="00D66FE0" w:rsidRPr="00610B1B">
        <w:rPr>
          <w:rFonts w:ascii="Times New Roman" w:eastAsia="Times New Roman" w:hAnsi="Times New Roman" w:cs="Times New Roman"/>
          <w:sz w:val="24"/>
          <w:szCs w:val="24"/>
          <w:lang w:val="bg-BG"/>
        </w:rPr>
        <w:t xml:space="preserve"> </w:t>
      </w:r>
    </w:p>
    <w:p w14:paraId="65DADBF7" w14:textId="268A6818"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08" w:history="1">
        <w:r w:rsidR="00BE57CC" w:rsidRPr="00610B1B">
          <w:rPr>
            <w:rFonts w:ascii="Times New Roman" w:eastAsia="Times New Roman" w:hAnsi="Times New Roman" w:cs="Times New Roman"/>
            <w:color w:val="0000FF"/>
            <w:sz w:val="24"/>
            <w:szCs w:val="24"/>
            <w:u w:val="single"/>
            <w:lang w:val="bg-BG"/>
          </w:rPr>
          <w:t>http://www.iber.bas.bg/sites/default/files/2017/IPU_Kaliakra/IPU-Kaliakra-draft-26-06-2017.pdf</w:t>
        </w:r>
      </w:hyperlink>
      <w:r w:rsidR="00D66FE0" w:rsidRPr="00610B1B">
        <w:rPr>
          <w:rFonts w:ascii="Times New Roman" w:eastAsia="Times New Roman" w:hAnsi="Times New Roman" w:cs="Times New Roman"/>
          <w:sz w:val="24"/>
          <w:szCs w:val="24"/>
          <w:lang w:val="bg-BG"/>
        </w:rPr>
        <w:t xml:space="preserve"> </w:t>
      </w:r>
    </w:p>
    <w:p w14:paraId="18358CCB" w14:textId="26C83ADD"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09" w:history="1">
        <w:r w:rsidR="00BE57CC" w:rsidRPr="00610B1B">
          <w:rPr>
            <w:rFonts w:ascii="Times New Roman" w:eastAsia="Times New Roman" w:hAnsi="Times New Roman" w:cs="Times New Roman"/>
            <w:color w:val="0000FF"/>
            <w:sz w:val="24"/>
            <w:szCs w:val="24"/>
            <w:u w:val="single"/>
            <w:lang w:val="bg-BG"/>
          </w:rPr>
          <w:t>http://www.imo.org/en/about/conventions/listofconventions/pages/international-convention-for-the-prevention-of-pollution-from-ships-(marpol).aspx</w:t>
        </w:r>
      </w:hyperlink>
      <w:r w:rsidR="00C415D1" w:rsidRPr="00610B1B">
        <w:rPr>
          <w:rFonts w:ascii="Times New Roman" w:eastAsia="Times New Roman" w:hAnsi="Times New Roman" w:cs="Times New Roman"/>
          <w:sz w:val="24"/>
          <w:szCs w:val="24"/>
          <w:lang w:val="bg-BG"/>
        </w:rPr>
        <w:t xml:space="preserve"> </w:t>
      </w:r>
    </w:p>
    <w:p w14:paraId="5966F719" w14:textId="6A86E81B"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10" w:history="1">
        <w:r w:rsidR="00BE57CC" w:rsidRPr="00610B1B">
          <w:rPr>
            <w:rFonts w:ascii="Times New Roman" w:eastAsia="Times New Roman" w:hAnsi="Times New Roman" w:cs="Times New Roman"/>
            <w:color w:val="0000FF"/>
            <w:sz w:val="24"/>
            <w:szCs w:val="24"/>
            <w:u w:val="single"/>
            <w:lang w:val="bg-BG"/>
          </w:rPr>
          <w:t>http://www.interreg-balkanmed.eu/approved-project/9/</w:t>
        </w:r>
      </w:hyperlink>
      <w:r w:rsidR="00D66FE0" w:rsidRPr="00610B1B">
        <w:rPr>
          <w:rFonts w:ascii="Times New Roman" w:eastAsia="Times New Roman" w:hAnsi="Times New Roman" w:cs="Times New Roman"/>
          <w:sz w:val="24"/>
          <w:szCs w:val="24"/>
          <w:lang w:val="bg-BG"/>
        </w:rPr>
        <w:t xml:space="preserve"> </w:t>
      </w:r>
    </w:p>
    <w:p w14:paraId="5E22727E" w14:textId="54833A03"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11" w:history="1">
        <w:r w:rsidR="00BE57CC" w:rsidRPr="00610B1B">
          <w:rPr>
            <w:rFonts w:ascii="Times New Roman" w:eastAsia="Times New Roman" w:hAnsi="Times New Roman" w:cs="Times New Roman"/>
            <w:color w:val="0000FF"/>
            <w:sz w:val="24"/>
            <w:szCs w:val="24"/>
            <w:u w:val="single"/>
            <w:lang w:val="bg-BG"/>
          </w:rPr>
          <w:t>http://www.marineregions.org/gazetteer.php?p=details&amp;id=5672</w:t>
        </w:r>
      </w:hyperlink>
      <w:r w:rsidR="00BE57CC" w:rsidRPr="00610B1B">
        <w:rPr>
          <w:rFonts w:ascii="Times New Roman" w:eastAsia="Times New Roman" w:hAnsi="Times New Roman" w:cs="Times New Roman"/>
          <w:sz w:val="24"/>
          <w:szCs w:val="24"/>
          <w:lang w:val="bg-BG"/>
        </w:rPr>
        <w:t>)</w:t>
      </w:r>
      <w:r w:rsidR="00D66FE0" w:rsidRPr="00610B1B">
        <w:rPr>
          <w:rFonts w:ascii="Times New Roman" w:eastAsia="Times New Roman" w:hAnsi="Times New Roman" w:cs="Times New Roman"/>
          <w:sz w:val="24"/>
          <w:szCs w:val="24"/>
          <w:lang w:val="bg-BG"/>
        </w:rPr>
        <w:t xml:space="preserve"> </w:t>
      </w:r>
    </w:p>
    <w:p w14:paraId="6A8F21A4" w14:textId="495555A3"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12" w:history="1">
        <w:r w:rsidR="00BE57CC" w:rsidRPr="00610B1B">
          <w:rPr>
            <w:rFonts w:ascii="Times New Roman" w:eastAsia="Times New Roman" w:hAnsi="Times New Roman" w:cs="Times New Roman"/>
            <w:color w:val="0000FF"/>
            <w:sz w:val="24"/>
            <w:szCs w:val="24"/>
            <w:u w:val="single"/>
            <w:lang w:val="bg-BG"/>
          </w:rPr>
          <w:t>http://www.marsplan.ro/bg/</w:t>
        </w:r>
      </w:hyperlink>
      <w:r w:rsidR="00C415D1" w:rsidRPr="00610B1B">
        <w:rPr>
          <w:rFonts w:ascii="Times New Roman" w:eastAsia="Times New Roman" w:hAnsi="Times New Roman" w:cs="Times New Roman"/>
          <w:sz w:val="24"/>
          <w:szCs w:val="24"/>
          <w:lang w:val="bg-BG"/>
        </w:rPr>
        <w:t xml:space="preserve"> </w:t>
      </w:r>
    </w:p>
    <w:p w14:paraId="100A7091" w14:textId="69C3322B"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13" w:history="1">
        <w:r w:rsidR="00BE57CC" w:rsidRPr="00610B1B">
          <w:rPr>
            <w:rFonts w:ascii="Times New Roman" w:eastAsia="Times New Roman" w:hAnsi="Times New Roman" w:cs="Times New Roman"/>
            <w:color w:val="0000FF"/>
            <w:sz w:val="24"/>
            <w:szCs w:val="24"/>
            <w:u w:val="single"/>
            <w:lang w:val="bg-BG"/>
          </w:rPr>
          <w:t>http://www.marsplan.ro/bg/despre-proiectul-marsplan-%E2%80%93-bs-bg.html</w:t>
        </w:r>
      </w:hyperlink>
      <w:r w:rsidR="00D66FE0" w:rsidRPr="00610B1B">
        <w:rPr>
          <w:rFonts w:ascii="Times New Roman" w:eastAsia="Times New Roman" w:hAnsi="Times New Roman" w:cs="Times New Roman"/>
          <w:sz w:val="24"/>
          <w:szCs w:val="24"/>
          <w:lang w:val="bg-BG"/>
        </w:rPr>
        <w:t xml:space="preserve"> </w:t>
      </w:r>
    </w:p>
    <w:p w14:paraId="7B8D11EF" w14:textId="0068814E" w:rsidR="00BE57CC" w:rsidRPr="00610B1B" w:rsidRDefault="002A152C" w:rsidP="00BE57CC">
      <w:pPr>
        <w:numPr>
          <w:ilvl w:val="0"/>
          <w:numId w:val="99"/>
        </w:numPr>
        <w:spacing w:after="120"/>
        <w:ind w:right="-153"/>
        <w:jc w:val="both"/>
        <w:rPr>
          <w:rFonts w:ascii="Times New Roman" w:eastAsia="Times New Roman" w:hAnsi="Times New Roman" w:cs="Times New Roman"/>
          <w:sz w:val="24"/>
          <w:szCs w:val="24"/>
          <w:lang w:val="bg-BG"/>
        </w:rPr>
      </w:pPr>
      <w:hyperlink r:id="rId414" w:history="1">
        <w:r w:rsidR="00BE57CC" w:rsidRPr="00610B1B">
          <w:rPr>
            <w:rFonts w:ascii="Times New Roman" w:eastAsia="Times New Roman" w:hAnsi="Times New Roman" w:cs="Times New Roman"/>
            <w:color w:val="0000FF"/>
            <w:sz w:val="24"/>
            <w:szCs w:val="24"/>
            <w:u w:val="single"/>
            <w:lang w:val="bg-BG"/>
          </w:rPr>
          <w:t>http://www.marsplan.ro/en/results.html</w:t>
        </w:r>
      </w:hyperlink>
      <w:r w:rsidR="00D66FE0" w:rsidRPr="00610B1B">
        <w:rPr>
          <w:rFonts w:ascii="Times New Roman" w:eastAsia="Times New Roman" w:hAnsi="Times New Roman" w:cs="Times New Roman"/>
          <w:sz w:val="24"/>
          <w:szCs w:val="24"/>
          <w:lang w:val="bg-BG"/>
        </w:rPr>
        <w:t xml:space="preserve"> </w:t>
      </w:r>
    </w:p>
    <w:p w14:paraId="6DF604EB" w14:textId="44352D1B"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15" w:history="1">
        <w:r w:rsidR="00BE57CC" w:rsidRPr="00610B1B">
          <w:rPr>
            <w:rFonts w:ascii="Times New Roman" w:eastAsia="Times New Roman" w:hAnsi="Times New Roman" w:cs="Times New Roman"/>
            <w:color w:val="0000FF"/>
            <w:sz w:val="24"/>
            <w:szCs w:val="24"/>
            <w:u w:val="single"/>
            <w:lang w:val="bg-BG"/>
          </w:rPr>
          <w:t>http://www.marsplan.ro/en/results/case-study/432-bourgas.html</w:t>
        </w:r>
      </w:hyperlink>
      <w:r w:rsidR="00D66FE0" w:rsidRPr="00610B1B">
        <w:rPr>
          <w:rFonts w:ascii="Times New Roman" w:eastAsia="Times New Roman" w:hAnsi="Times New Roman" w:cs="Times New Roman"/>
          <w:sz w:val="24"/>
          <w:szCs w:val="24"/>
          <w:lang w:val="bg-BG"/>
        </w:rPr>
        <w:t xml:space="preserve"> </w:t>
      </w:r>
    </w:p>
    <w:p w14:paraId="12279865" w14:textId="47103F40"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16" w:history="1">
        <w:r w:rsidR="00BE57CC" w:rsidRPr="00610B1B">
          <w:rPr>
            <w:rFonts w:ascii="Times New Roman" w:eastAsia="Times New Roman" w:hAnsi="Times New Roman" w:cs="Times New Roman"/>
            <w:color w:val="0000FF"/>
            <w:sz w:val="24"/>
            <w:szCs w:val="24"/>
            <w:u w:val="single"/>
            <w:lang w:val="bg-BG"/>
          </w:rPr>
          <w:t>http://www.moew.government.bg/bg/vodi/morski-vodi/konvenciya-za-opazvane-na-cherno-more-ot-zamursyavane/</w:t>
        </w:r>
      </w:hyperlink>
      <w:r w:rsidR="00D66FE0" w:rsidRPr="00610B1B">
        <w:rPr>
          <w:rFonts w:ascii="Times New Roman" w:eastAsia="Times New Roman" w:hAnsi="Times New Roman" w:cs="Times New Roman"/>
          <w:sz w:val="24"/>
          <w:szCs w:val="24"/>
          <w:lang w:val="bg-BG"/>
        </w:rPr>
        <w:t xml:space="preserve"> </w:t>
      </w:r>
    </w:p>
    <w:p w14:paraId="140E1942" w14:textId="55574554"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17" w:history="1">
        <w:r w:rsidR="00BE57CC" w:rsidRPr="00610B1B">
          <w:rPr>
            <w:rFonts w:ascii="Times New Roman" w:eastAsia="Times New Roman" w:hAnsi="Times New Roman" w:cs="Times New Roman"/>
            <w:color w:val="0000FF"/>
            <w:sz w:val="24"/>
            <w:szCs w:val="24"/>
            <w:u w:val="single"/>
            <w:lang w:val="bg-BG"/>
          </w:rPr>
          <w:t>http://www.moew.government.bg/bg/vodi/morski-vodi/konvenciya-za-opazvane-na-cherno-more-ot-zamursyavane/</w:t>
        </w:r>
      </w:hyperlink>
      <w:r w:rsidR="00C415D1" w:rsidRPr="00610B1B">
        <w:rPr>
          <w:rFonts w:ascii="Times New Roman" w:eastAsia="Times New Roman" w:hAnsi="Times New Roman" w:cs="Times New Roman"/>
          <w:sz w:val="24"/>
          <w:szCs w:val="24"/>
          <w:lang w:val="bg-BG"/>
        </w:rPr>
        <w:t xml:space="preserve"> </w:t>
      </w:r>
    </w:p>
    <w:p w14:paraId="7BEBC626" w14:textId="100B8182"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18" w:history="1">
        <w:r w:rsidR="00BE57CC" w:rsidRPr="00610B1B">
          <w:rPr>
            <w:rFonts w:ascii="Times New Roman" w:eastAsia="Times New Roman" w:hAnsi="Times New Roman" w:cs="Times New Roman"/>
            <w:color w:val="0000FF"/>
            <w:sz w:val="24"/>
            <w:szCs w:val="24"/>
            <w:u w:val="single"/>
            <w:lang w:val="bg-BG"/>
          </w:rPr>
          <w:t>http://www.pabsec.org/page.asp?id=1&amp;hl=en</w:t>
        </w:r>
      </w:hyperlink>
      <w:r w:rsidR="00D66FE0" w:rsidRPr="00610B1B">
        <w:rPr>
          <w:rFonts w:ascii="Times New Roman" w:eastAsia="Times New Roman" w:hAnsi="Times New Roman" w:cs="Times New Roman"/>
          <w:sz w:val="24"/>
          <w:szCs w:val="24"/>
          <w:lang w:val="bg-BG"/>
        </w:rPr>
        <w:t xml:space="preserve"> </w:t>
      </w:r>
    </w:p>
    <w:p w14:paraId="1F1DA375" w14:textId="24741179"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19" w:history="1">
        <w:r w:rsidR="00BE57CC" w:rsidRPr="00610B1B">
          <w:rPr>
            <w:rFonts w:ascii="Times New Roman" w:eastAsia="Times New Roman" w:hAnsi="Times New Roman" w:cs="Times New Roman"/>
            <w:color w:val="0000FF"/>
            <w:sz w:val="24"/>
            <w:szCs w:val="24"/>
            <w:u w:val="single"/>
            <w:lang w:val="bg-BG"/>
          </w:rPr>
          <w:t>http://www.perseus-net.eu/site/content.php</w:t>
        </w:r>
      </w:hyperlink>
      <w:r w:rsidR="00D66FE0" w:rsidRPr="00610B1B">
        <w:rPr>
          <w:rFonts w:ascii="Times New Roman" w:eastAsia="Times New Roman" w:hAnsi="Times New Roman" w:cs="Times New Roman"/>
          <w:sz w:val="24"/>
          <w:szCs w:val="24"/>
          <w:lang w:val="bg-BG"/>
        </w:rPr>
        <w:t xml:space="preserve"> </w:t>
      </w:r>
    </w:p>
    <w:p w14:paraId="4F147886" w14:textId="13CF201B"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20" w:history="1">
        <w:r w:rsidR="00BE57CC" w:rsidRPr="00610B1B">
          <w:rPr>
            <w:rFonts w:ascii="Times New Roman" w:eastAsia="Times New Roman" w:hAnsi="Times New Roman" w:cs="Times New Roman"/>
            <w:color w:val="0000FF"/>
            <w:sz w:val="24"/>
            <w:szCs w:val="24"/>
            <w:u w:val="single"/>
            <w:lang w:val="bg-BG"/>
          </w:rPr>
          <w:t>http://www.strategy.bg/Publications/View.aspx?lang=bg-BG&amp;Id=90</w:t>
        </w:r>
      </w:hyperlink>
      <w:r w:rsidR="00D66FE0" w:rsidRPr="00610B1B">
        <w:rPr>
          <w:rFonts w:ascii="Times New Roman" w:eastAsia="Times New Roman" w:hAnsi="Times New Roman" w:cs="Times New Roman"/>
          <w:sz w:val="24"/>
          <w:szCs w:val="24"/>
          <w:lang w:val="bg-BG"/>
        </w:rPr>
        <w:t xml:space="preserve"> </w:t>
      </w:r>
    </w:p>
    <w:p w14:paraId="5F608F49" w14:textId="0C0F7AC9"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21" w:history="1">
        <w:r w:rsidR="00BE57CC" w:rsidRPr="00610B1B">
          <w:rPr>
            <w:rFonts w:ascii="Times New Roman" w:eastAsia="Times New Roman" w:hAnsi="Times New Roman" w:cs="Times New Roman"/>
            <w:color w:val="0000FF"/>
            <w:sz w:val="24"/>
            <w:szCs w:val="24"/>
            <w:u w:val="single"/>
            <w:lang w:val="bg-BG"/>
          </w:rPr>
          <w:t>http://www.strategy.bg/PublicConsultations/View.aspx?lang=bg-BG&amp;Id=2990</w:t>
        </w:r>
      </w:hyperlink>
      <w:r w:rsidR="00D66FE0" w:rsidRPr="00610B1B">
        <w:rPr>
          <w:rFonts w:ascii="Times New Roman" w:eastAsia="Times New Roman" w:hAnsi="Times New Roman" w:cs="Times New Roman"/>
          <w:sz w:val="24"/>
          <w:szCs w:val="24"/>
          <w:lang w:val="bg-BG"/>
        </w:rPr>
        <w:t xml:space="preserve"> </w:t>
      </w:r>
    </w:p>
    <w:p w14:paraId="1665BEDC" w14:textId="48E635BB"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22" w:history="1">
        <w:r w:rsidR="00BE57CC" w:rsidRPr="00610B1B">
          <w:rPr>
            <w:rFonts w:ascii="Times New Roman" w:eastAsia="Times New Roman" w:hAnsi="Times New Roman" w:cs="Times New Roman"/>
            <w:color w:val="0000FF"/>
            <w:sz w:val="24"/>
            <w:szCs w:val="24"/>
            <w:u w:val="single"/>
            <w:lang w:val="bg-BG"/>
          </w:rPr>
          <w:t>http://www.strategy.bg/StaticPages/CalculatingManual.aspx?guidanceType=2&amp;sectionName=PublicConsultationStandards</w:t>
        </w:r>
      </w:hyperlink>
      <w:r w:rsidR="00D66FE0" w:rsidRPr="00610B1B">
        <w:rPr>
          <w:rFonts w:ascii="Times New Roman" w:eastAsia="Times New Roman" w:hAnsi="Times New Roman" w:cs="Times New Roman"/>
          <w:sz w:val="24"/>
          <w:szCs w:val="24"/>
          <w:lang w:val="bg-BG"/>
        </w:rPr>
        <w:t xml:space="preserve"> </w:t>
      </w:r>
    </w:p>
    <w:p w14:paraId="5857C182" w14:textId="42A81010"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23" w:history="1">
        <w:r w:rsidR="00BE57CC" w:rsidRPr="00610B1B">
          <w:rPr>
            <w:rFonts w:ascii="Times New Roman" w:eastAsia="Times New Roman" w:hAnsi="Times New Roman" w:cs="Times New Roman"/>
            <w:color w:val="0000FF"/>
            <w:sz w:val="24"/>
            <w:szCs w:val="24"/>
            <w:u w:val="single"/>
            <w:lang w:val="bg-BG"/>
          </w:rPr>
          <w:t>http://www.strategy.bg/StrategicDocuments/View.aspx?lang=bg-BG&amp;Id=1231</w:t>
        </w:r>
      </w:hyperlink>
      <w:r w:rsidR="00D66FE0" w:rsidRPr="00610B1B">
        <w:rPr>
          <w:rFonts w:ascii="Times New Roman" w:eastAsia="Times New Roman" w:hAnsi="Times New Roman" w:cs="Times New Roman"/>
          <w:sz w:val="24"/>
          <w:szCs w:val="24"/>
          <w:lang w:val="bg-BG"/>
        </w:rPr>
        <w:t xml:space="preserve"> </w:t>
      </w:r>
    </w:p>
    <w:p w14:paraId="39A76BEC" w14:textId="447D1A71"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24" w:history="1">
        <w:r w:rsidR="00BE57CC" w:rsidRPr="00610B1B">
          <w:rPr>
            <w:rFonts w:ascii="Times New Roman" w:eastAsia="Times New Roman" w:hAnsi="Times New Roman" w:cs="Times New Roman"/>
            <w:color w:val="0000FF"/>
            <w:sz w:val="24"/>
            <w:szCs w:val="24"/>
            <w:u w:val="single"/>
            <w:lang w:val="bg-BG"/>
          </w:rPr>
          <w:t>http://www.strategy.bg/StrategicDocuments/View.aspx?lang=bg-BG&amp;Id=781</w:t>
        </w:r>
      </w:hyperlink>
      <w:r w:rsidR="00D66FE0" w:rsidRPr="00610B1B">
        <w:rPr>
          <w:rFonts w:ascii="Times New Roman" w:eastAsia="Times New Roman" w:hAnsi="Times New Roman" w:cs="Times New Roman"/>
          <w:sz w:val="24"/>
          <w:szCs w:val="24"/>
          <w:lang w:val="bg-BG"/>
        </w:rPr>
        <w:t xml:space="preserve"> </w:t>
      </w:r>
    </w:p>
    <w:p w14:paraId="66E41273" w14:textId="0E6C38B8"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25" w:history="1">
        <w:r w:rsidR="00BE57CC" w:rsidRPr="00610B1B">
          <w:rPr>
            <w:rFonts w:ascii="Times New Roman" w:eastAsia="Times New Roman" w:hAnsi="Times New Roman" w:cs="Times New Roman"/>
            <w:color w:val="0000FF"/>
            <w:sz w:val="24"/>
            <w:szCs w:val="24"/>
            <w:u w:val="single"/>
            <w:lang w:val="bg-BG"/>
          </w:rPr>
          <w:t>http://www.tourism.government.bg/</w:t>
        </w:r>
      </w:hyperlink>
      <w:r w:rsidR="00D66FE0" w:rsidRPr="00610B1B">
        <w:rPr>
          <w:rFonts w:ascii="Times New Roman" w:eastAsia="Times New Roman" w:hAnsi="Times New Roman" w:cs="Times New Roman"/>
          <w:sz w:val="24"/>
          <w:szCs w:val="24"/>
          <w:lang w:val="bg-BG"/>
        </w:rPr>
        <w:t xml:space="preserve"> </w:t>
      </w:r>
    </w:p>
    <w:p w14:paraId="56A4BE30" w14:textId="68C8B240"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26" w:history="1">
        <w:r w:rsidR="00BE57CC" w:rsidRPr="00610B1B">
          <w:rPr>
            <w:rFonts w:ascii="Times New Roman" w:eastAsia="Times New Roman" w:hAnsi="Times New Roman" w:cs="Times New Roman"/>
            <w:color w:val="0000FF"/>
            <w:sz w:val="24"/>
            <w:szCs w:val="24"/>
            <w:u w:val="single"/>
            <w:lang w:val="bg-BG"/>
          </w:rPr>
          <w:t>http://www.tourism.government.bg/sites/tourism.government.bg/files/documents/2018-01/nsurtb_2014-2030.pdf</w:t>
        </w:r>
      </w:hyperlink>
      <w:r w:rsidR="00D66FE0" w:rsidRPr="00610B1B">
        <w:rPr>
          <w:rFonts w:ascii="Times New Roman" w:eastAsia="Times New Roman" w:hAnsi="Times New Roman" w:cs="Times New Roman"/>
          <w:sz w:val="24"/>
          <w:szCs w:val="24"/>
          <w:lang w:val="bg-BG"/>
        </w:rPr>
        <w:t xml:space="preserve"> </w:t>
      </w:r>
    </w:p>
    <w:p w14:paraId="09210D4F" w14:textId="766B1F0F"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27" w:history="1">
        <w:r w:rsidR="00BE57CC" w:rsidRPr="00610B1B">
          <w:rPr>
            <w:rFonts w:ascii="Times New Roman" w:eastAsia="Times New Roman" w:hAnsi="Times New Roman" w:cs="Times New Roman"/>
            <w:color w:val="0000FF"/>
            <w:sz w:val="24"/>
            <w:szCs w:val="24"/>
            <w:u w:val="single"/>
            <w:lang w:val="bg-BG"/>
          </w:rPr>
          <w:t>http://www.un.org/depts/los/consultative_process/documents/A21-Ch17.htm</w:t>
        </w:r>
      </w:hyperlink>
      <w:r w:rsidR="00D66FE0" w:rsidRPr="00610B1B">
        <w:rPr>
          <w:rFonts w:ascii="Times New Roman" w:eastAsia="Times New Roman" w:hAnsi="Times New Roman" w:cs="Times New Roman"/>
          <w:sz w:val="24"/>
          <w:szCs w:val="24"/>
          <w:lang w:val="bg-BG"/>
        </w:rPr>
        <w:t xml:space="preserve"> </w:t>
      </w:r>
    </w:p>
    <w:p w14:paraId="54084951" w14:textId="06936C2D"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28" w:history="1">
        <w:r w:rsidR="00BE57CC" w:rsidRPr="00610B1B">
          <w:rPr>
            <w:rFonts w:ascii="Times New Roman" w:eastAsia="Times New Roman" w:hAnsi="Times New Roman" w:cs="Times New Roman"/>
            <w:color w:val="0000FF"/>
            <w:sz w:val="24"/>
            <w:szCs w:val="24"/>
            <w:u w:val="single"/>
            <w:lang w:val="bg-BG"/>
          </w:rPr>
          <w:t>http://www3.weforum.org/docs/WEF_TheGlobalCompetitivenessReport2019.pdf</w:t>
        </w:r>
      </w:hyperlink>
      <w:r w:rsidR="00D66FE0" w:rsidRPr="00610B1B">
        <w:rPr>
          <w:rFonts w:ascii="Times New Roman" w:eastAsia="Times New Roman" w:hAnsi="Times New Roman" w:cs="Times New Roman"/>
          <w:sz w:val="24"/>
          <w:szCs w:val="24"/>
          <w:lang w:val="bg-BG"/>
        </w:rPr>
        <w:t xml:space="preserve"> </w:t>
      </w:r>
    </w:p>
    <w:p w14:paraId="5CF19C6A" w14:textId="60A9B936"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29" w:history="1">
        <w:r w:rsidR="00BE57CC" w:rsidRPr="00610B1B">
          <w:rPr>
            <w:rFonts w:ascii="Times New Roman" w:eastAsia="Times New Roman" w:hAnsi="Times New Roman" w:cs="Times New Roman"/>
            <w:color w:val="0000FF"/>
            <w:sz w:val="24"/>
            <w:szCs w:val="24"/>
            <w:u w:val="single"/>
            <w:lang w:val="bg-BG"/>
          </w:rPr>
          <w:t>https://bbf.biodiversity.bg/bg/Uzunbudzhak.c254</w:t>
        </w:r>
      </w:hyperlink>
      <w:r w:rsidR="00D66FE0" w:rsidRPr="00610B1B">
        <w:rPr>
          <w:rFonts w:ascii="Times New Roman" w:eastAsia="Times New Roman" w:hAnsi="Times New Roman" w:cs="Times New Roman"/>
          <w:sz w:val="24"/>
          <w:szCs w:val="24"/>
          <w:lang w:val="bg-BG"/>
        </w:rPr>
        <w:t xml:space="preserve"> </w:t>
      </w:r>
    </w:p>
    <w:p w14:paraId="3C0A6F3E" w14:textId="6A3335AA"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30" w:history="1">
        <w:r w:rsidR="00BE57CC" w:rsidRPr="00610B1B">
          <w:rPr>
            <w:rFonts w:ascii="Times New Roman" w:eastAsia="Times New Roman" w:hAnsi="Times New Roman" w:cs="Times New Roman"/>
            <w:color w:val="0000FF"/>
            <w:sz w:val="24"/>
            <w:szCs w:val="24"/>
            <w:u w:val="single"/>
            <w:lang w:val="bg-BG"/>
          </w:rPr>
          <w:t>https://blacksea-cbc.net/</w:t>
        </w:r>
      </w:hyperlink>
      <w:r w:rsidR="00D66FE0" w:rsidRPr="00610B1B">
        <w:rPr>
          <w:rFonts w:ascii="Times New Roman" w:eastAsia="Times New Roman" w:hAnsi="Times New Roman" w:cs="Times New Roman"/>
          <w:sz w:val="24"/>
          <w:szCs w:val="24"/>
          <w:lang w:val="bg-BG"/>
        </w:rPr>
        <w:t xml:space="preserve"> </w:t>
      </w:r>
    </w:p>
    <w:p w14:paraId="775A641A" w14:textId="499EADEC"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31" w:history="1">
        <w:r w:rsidR="00BE57CC" w:rsidRPr="00610B1B">
          <w:rPr>
            <w:rFonts w:ascii="Times New Roman" w:eastAsia="Times New Roman" w:hAnsi="Times New Roman" w:cs="Times New Roman"/>
            <w:color w:val="0000FF"/>
            <w:sz w:val="24"/>
            <w:szCs w:val="24"/>
            <w:u w:val="single"/>
            <w:lang w:val="bg-BG"/>
          </w:rPr>
          <w:t>https://bsbd.org/bg/msfd_monitoring.html</w:t>
        </w:r>
      </w:hyperlink>
      <w:r w:rsidR="00D66FE0" w:rsidRPr="00610B1B">
        <w:rPr>
          <w:rFonts w:ascii="Times New Roman" w:eastAsia="Times New Roman" w:hAnsi="Times New Roman" w:cs="Times New Roman"/>
          <w:sz w:val="24"/>
          <w:szCs w:val="24"/>
          <w:lang w:val="bg-BG"/>
        </w:rPr>
        <w:t xml:space="preserve"> </w:t>
      </w:r>
    </w:p>
    <w:p w14:paraId="61BF3DB1" w14:textId="6783178A"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32" w:history="1">
        <w:r w:rsidR="00BE57CC" w:rsidRPr="00610B1B">
          <w:rPr>
            <w:rFonts w:ascii="Times New Roman" w:eastAsia="Times New Roman" w:hAnsi="Times New Roman" w:cs="Times New Roman"/>
            <w:color w:val="0000FF"/>
            <w:sz w:val="24"/>
            <w:szCs w:val="24"/>
            <w:u w:val="single"/>
            <w:lang w:val="bg-BG"/>
          </w:rPr>
          <w:t>https://bsbd.org/bg/register.html</w:t>
        </w:r>
      </w:hyperlink>
      <w:r w:rsidR="00D66FE0" w:rsidRPr="00610B1B">
        <w:rPr>
          <w:rFonts w:ascii="Times New Roman" w:eastAsia="Times New Roman" w:hAnsi="Times New Roman" w:cs="Times New Roman"/>
          <w:sz w:val="24"/>
          <w:szCs w:val="24"/>
          <w:lang w:val="bg-BG"/>
        </w:rPr>
        <w:t xml:space="preserve"> </w:t>
      </w:r>
    </w:p>
    <w:p w14:paraId="00AEA012" w14:textId="2B2AFD0C"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33" w:history="1">
        <w:r w:rsidR="00BE57CC" w:rsidRPr="00610B1B">
          <w:rPr>
            <w:rFonts w:ascii="Times New Roman" w:eastAsia="Times New Roman" w:hAnsi="Times New Roman" w:cs="Times New Roman"/>
            <w:color w:val="0000FF"/>
            <w:sz w:val="24"/>
            <w:szCs w:val="24"/>
            <w:u w:val="single"/>
            <w:lang w:val="bg-BG"/>
          </w:rPr>
          <w:t>https://bsbd.org/v2/bg/index_bg_2934486.html?URI=</w:t>
        </w:r>
      </w:hyperlink>
      <w:r w:rsidR="00D66FE0" w:rsidRPr="00610B1B">
        <w:rPr>
          <w:rFonts w:ascii="Times New Roman" w:eastAsia="Times New Roman" w:hAnsi="Times New Roman" w:cs="Times New Roman"/>
          <w:sz w:val="24"/>
          <w:szCs w:val="24"/>
          <w:lang w:val="bg-BG"/>
        </w:rPr>
        <w:t xml:space="preserve"> </w:t>
      </w:r>
    </w:p>
    <w:p w14:paraId="463F942D" w14:textId="2B3A8F20"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34" w:history="1">
        <w:r w:rsidR="00BE57CC" w:rsidRPr="00610B1B">
          <w:rPr>
            <w:rFonts w:ascii="Times New Roman" w:eastAsia="Times New Roman" w:hAnsi="Times New Roman" w:cs="Times New Roman"/>
            <w:color w:val="0000FF"/>
            <w:sz w:val="24"/>
            <w:szCs w:val="24"/>
            <w:u w:val="single"/>
            <w:lang w:val="bg-BG"/>
          </w:rPr>
          <w:t>https://ec.europa.eu/environment/iczm/pdf/LSI_FINAL20180417_digital.pdf</w:t>
        </w:r>
      </w:hyperlink>
      <w:r w:rsidR="00BE57CC" w:rsidRPr="00610B1B">
        <w:rPr>
          <w:rFonts w:ascii="Times New Roman" w:eastAsia="Times New Roman" w:hAnsi="Times New Roman" w:cs="Times New Roman"/>
          <w:sz w:val="24"/>
          <w:szCs w:val="24"/>
          <w:lang w:val="bg-BG"/>
        </w:rPr>
        <w:t xml:space="preserve"> </w:t>
      </w:r>
    </w:p>
    <w:p w14:paraId="102460B0" w14:textId="00918955"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35" w:history="1">
        <w:r w:rsidR="00BE57CC" w:rsidRPr="00610B1B">
          <w:rPr>
            <w:rFonts w:ascii="Times New Roman" w:eastAsia="Times New Roman" w:hAnsi="Times New Roman" w:cs="Times New Roman"/>
            <w:color w:val="0000FF"/>
            <w:sz w:val="24"/>
            <w:szCs w:val="24"/>
            <w:u w:val="single"/>
            <w:lang w:val="bg-BG"/>
          </w:rPr>
          <w:t>https://ec.europa.eu/eurostat/web/products-eurostat-news/-/DDN-20200513-2</w:t>
        </w:r>
      </w:hyperlink>
      <w:r w:rsidR="00D66FE0" w:rsidRPr="00610B1B">
        <w:rPr>
          <w:rFonts w:ascii="Times New Roman" w:eastAsia="Times New Roman" w:hAnsi="Times New Roman" w:cs="Times New Roman"/>
          <w:sz w:val="24"/>
          <w:szCs w:val="24"/>
          <w:lang w:val="bg-BG"/>
        </w:rPr>
        <w:t xml:space="preserve"> </w:t>
      </w:r>
    </w:p>
    <w:p w14:paraId="5E9DF2D0" w14:textId="6A4E3906"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36" w:history="1">
        <w:r w:rsidR="00BE57CC" w:rsidRPr="00610B1B">
          <w:rPr>
            <w:rFonts w:ascii="Times New Roman" w:eastAsia="Times New Roman" w:hAnsi="Times New Roman" w:cs="Times New Roman"/>
            <w:color w:val="0000FF"/>
            <w:sz w:val="24"/>
            <w:szCs w:val="24"/>
            <w:u w:val="single"/>
            <w:lang w:val="bg-BG"/>
          </w:rPr>
          <w:t>https://ec.europa.eu/maritimeaffairs/maritimeday/sites/mare-emd/files/burgas-visionpaper_en.pdf</w:t>
        </w:r>
      </w:hyperlink>
      <w:r w:rsidR="00C415D1" w:rsidRPr="00610B1B">
        <w:rPr>
          <w:rFonts w:ascii="Times New Roman" w:eastAsia="Times New Roman" w:hAnsi="Times New Roman" w:cs="Times New Roman"/>
          <w:sz w:val="24"/>
          <w:szCs w:val="24"/>
          <w:lang w:val="bg-BG"/>
        </w:rPr>
        <w:t xml:space="preserve"> </w:t>
      </w:r>
    </w:p>
    <w:p w14:paraId="6C78FC36" w14:textId="55EE8F65"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37" w:history="1">
        <w:r w:rsidR="00BE57CC" w:rsidRPr="00610B1B">
          <w:rPr>
            <w:rFonts w:ascii="Times New Roman" w:eastAsia="Times New Roman" w:hAnsi="Times New Roman" w:cs="Times New Roman"/>
            <w:color w:val="0000FF"/>
            <w:sz w:val="24"/>
            <w:szCs w:val="24"/>
            <w:u w:val="single"/>
            <w:lang w:val="bg-BG"/>
          </w:rPr>
          <w:t>https://ec.europa.eu/maritimeaffairs/policy/blue_growth_bg</w:t>
        </w:r>
      </w:hyperlink>
      <w:r w:rsidR="00D66FE0" w:rsidRPr="00610B1B">
        <w:rPr>
          <w:rFonts w:ascii="Times New Roman" w:eastAsia="Times New Roman" w:hAnsi="Times New Roman" w:cs="Times New Roman"/>
          <w:sz w:val="24"/>
          <w:szCs w:val="24"/>
          <w:lang w:val="bg-BG"/>
        </w:rPr>
        <w:t xml:space="preserve"> </w:t>
      </w:r>
    </w:p>
    <w:p w14:paraId="78709DF9" w14:textId="3BFFF06E"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38" w:history="1">
        <w:r w:rsidR="00BE57CC" w:rsidRPr="00610B1B">
          <w:rPr>
            <w:rFonts w:ascii="Times New Roman" w:eastAsia="Times New Roman" w:hAnsi="Times New Roman" w:cs="Times New Roman"/>
            <w:color w:val="0000FF"/>
            <w:sz w:val="24"/>
            <w:szCs w:val="24"/>
            <w:u w:val="single"/>
            <w:lang w:val="bg-BG"/>
          </w:rPr>
          <w:t>https://ec.europa.eu/maritimeaffairs/press/common-maritime-agenda-black-sea-motion_en</w:t>
        </w:r>
      </w:hyperlink>
      <w:r w:rsidR="00D66FE0" w:rsidRPr="00610B1B">
        <w:rPr>
          <w:rFonts w:ascii="Times New Roman" w:eastAsia="Times New Roman" w:hAnsi="Times New Roman" w:cs="Times New Roman"/>
          <w:sz w:val="24"/>
          <w:szCs w:val="24"/>
          <w:lang w:val="bg-BG"/>
        </w:rPr>
        <w:t xml:space="preserve"> </w:t>
      </w:r>
    </w:p>
    <w:p w14:paraId="13694B20" w14:textId="64B78486"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39" w:history="1">
        <w:r w:rsidR="00BE57CC" w:rsidRPr="00610B1B">
          <w:rPr>
            <w:rFonts w:ascii="Times New Roman" w:eastAsia="Times New Roman" w:hAnsi="Times New Roman" w:cs="Times New Roman"/>
            <w:color w:val="0000FF"/>
            <w:sz w:val="24"/>
            <w:szCs w:val="24"/>
            <w:u w:val="single"/>
            <w:lang w:val="bg-BG"/>
          </w:rPr>
          <w:t>https://ec.europa.eu/maritimeaffairs/sites/maritimeaffairs/files/2020_06_blueeconomy-2020-ld_final.pdf</w:t>
        </w:r>
      </w:hyperlink>
      <w:r w:rsidR="00D66FE0" w:rsidRPr="00610B1B">
        <w:rPr>
          <w:rFonts w:ascii="Times New Roman" w:eastAsia="Times New Roman" w:hAnsi="Times New Roman" w:cs="Times New Roman"/>
          <w:sz w:val="24"/>
          <w:szCs w:val="24"/>
          <w:lang w:val="bg-BG"/>
        </w:rPr>
        <w:t xml:space="preserve"> </w:t>
      </w:r>
    </w:p>
    <w:p w14:paraId="4973D33B" w14:textId="6F63FD57" w:rsidR="00BE57CC" w:rsidRPr="00610B1B" w:rsidRDefault="002A152C" w:rsidP="00C4605F">
      <w:pPr>
        <w:numPr>
          <w:ilvl w:val="0"/>
          <w:numId w:val="99"/>
        </w:numPr>
        <w:spacing w:after="120"/>
        <w:ind w:right="-448"/>
        <w:jc w:val="both"/>
        <w:rPr>
          <w:rFonts w:ascii="Times New Roman" w:eastAsia="Times New Roman" w:hAnsi="Times New Roman" w:cs="Times New Roman"/>
          <w:sz w:val="24"/>
          <w:szCs w:val="24"/>
          <w:lang w:val="bg-BG"/>
        </w:rPr>
      </w:pPr>
      <w:hyperlink r:id="rId440" w:history="1">
        <w:r w:rsidR="00BE57CC" w:rsidRPr="00610B1B">
          <w:rPr>
            <w:rFonts w:ascii="Times New Roman" w:eastAsia="Times New Roman" w:hAnsi="Times New Roman" w:cs="Times New Roman"/>
            <w:color w:val="0000FF"/>
            <w:sz w:val="24"/>
            <w:szCs w:val="24"/>
            <w:u w:val="single"/>
            <w:lang w:val="bg-BG"/>
          </w:rPr>
          <w:t>https://ec.europa.eu/maritimeaffairs/sites/maritimeaffairs/files/docs/publications/blue-growth_en.pdf</w:t>
        </w:r>
      </w:hyperlink>
    </w:p>
    <w:p w14:paraId="7B7B58A5" w14:textId="69FAEBB0"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41" w:history="1">
        <w:r w:rsidR="00BE57CC" w:rsidRPr="00610B1B">
          <w:rPr>
            <w:rFonts w:ascii="Times New Roman" w:eastAsia="Times New Roman" w:hAnsi="Times New Roman" w:cs="Times New Roman"/>
            <w:color w:val="0000FF"/>
            <w:sz w:val="24"/>
            <w:szCs w:val="24"/>
            <w:u w:val="single"/>
            <w:lang w:val="bg-BG"/>
          </w:rPr>
          <w:t>https://ec.europa.eu/regional_policy/en/information/maps/regional_competitiveness/</w:t>
        </w:r>
      </w:hyperlink>
      <w:r w:rsidR="00D66FE0" w:rsidRPr="00610B1B">
        <w:rPr>
          <w:rFonts w:ascii="Times New Roman" w:eastAsia="Times New Roman" w:hAnsi="Times New Roman" w:cs="Times New Roman"/>
          <w:sz w:val="24"/>
          <w:szCs w:val="24"/>
          <w:lang w:val="bg-BG"/>
        </w:rPr>
        <w:t xml:space="preserve"> </w:t>
      </w:r>
    </w:p>
    <w:p w14:paraId="4604A674" w14:textId="5A30AD28"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42" w:history="1">
        <w:r w:rsidR="00BE57CC" w:rsidRPr="00610B1B">
          <w:rPr>
            <w:rFonts w:ascii="Times New Roman" w:eastAsia="Times New Roman" w:hAnsi="Times New Roman" w:cs="Times New Roman"/>
            <w:color w:val="0000FF"/>
            <w:sz w:val="24"/>
            <w:szCs w:val="24"/>
            <w:u w:val="single"/>
            <w:lang w:val="bg-BG"/>
          </w:rPr>
          <w:t>https://epsg.io/7800</w:t>
        </w:r>
      </w:hyperlink>
      <w:r w:rsidR="00BE57CC" w:rsidRPr="00610B1B">
        <w:rPr>
          <w:rFonts w:ascii="Times New Roman" w:eastAsia="Times New Roman" w:hAnsi="Times New Roman" w:cs="Times New Roman"/>
          <w:sz w:val="24"/>
          <w:szCs w:val="24"/>
          <w:lang w:val="bg-BG"/>
        </w:rPr>
        <w:t xml:space="preserve"> </w:t>
      </w:r>
    </w:p>
    <w:p w14:paraId="3B729B5D" w14:textId="186FB8CA"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43" w:history="1">
        <w:r w:rsidR="00BE57CC" w:rsidRPr="00610B1B">
          <w:rPr>
            <w:rFonts w:ascii="Times New Roman" w:eastAsia="Times New Roman" w:hAnsi="Times New Roman" w:cs="Times New Roman"/>
            <w:color w:val="0000FF"/>
            <w:sz w:val="24"/>
            <w:szCs w:val="24"/>
            <w:u w:val="single"/>
            <w:lang w:val="bg-BG"/>
          </w:rPr>
          <w:t>https://eunis.eea.europa.eu/</w:t>
        </w:r>
      </w:hyperlink>
      <w:r w:rsidR="00D66FE0" w:rsidRPr="00610B1B">
        <w:rPr>
          <w:rFonts w:ascii="Times New Roman" w:eastAsia="Times New Roman" w:hAnsi="Times New Roman" w:cs="Times New Roman"/>
          <w:sz w:val="24"/>
          <w:szCs w:val="24"/>
          <w:lang w:val="bg-BG"/>
        </w:rPr>
        <w:t xml:space="preserve"> </w:t>
      </w:r>
    </w:p>
    <w:p w14:paraId="36BF15DA" w14:textId="1110EE62"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44" w:history="1">
        <w:r w:rsidR="00BE57CC" w:rsidRPr="00610B1B">
          <w:rPr>
            <w:rFonts w:ascii="Times New Roman" w:eastAsia="Times New Roman" w:hAnsi="Times New Roman" w:cs="Times New Roman"/>
            <w:color w:val="0000FF"/>
            <w:sz w:val="24"/>
            <w:szCs w:val="24"/>
            <w:u w:val="single"/>
            <w:lang w:val="bg-BG"/>
          </w:rPr>
          <w:t>https://eur-lex.europa.eu/legal-content/BG/TXT/?uri=CELEX%3A31992L0043</w:t>
        </w:r>
      </w:hyperlink>
      <w:r w:rsidR="00D66FE0" w:rsidRPr="00610B1B">
        <w:rPr>
          <w:rFonts w:ascii="Times New Roman" w:eastAsia="Times New Roman" w:hAnsi="Times New Roman" w:cs="Times New Roman"/>
          <w:sz w:val="24"/>
          <w:szCs w:val="24"/>
          <w:lang w:val="bg-BG"/>
        </w:rPr>
        <w:t xml:space="preserve"> </w:t>
      </w:r>
    </w:p>
    <w:p w14:paraId="5BB62895" w14:textId="5195E6A3"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45" w:history="1">
        <w:r w:rsidR="00BE57CC" w:rsidRPr="00610B1B">
          <w:rPr>
            <w:rFonts w:ascii="Times New Roman" w:eastAsia="Times New Roman" w:hAnsi="Times New Roman" w:cs="Times New Roman"/>
            <w:color w:val="0000FF"/>
            <w:sz w:val="24"/>
            <w:szCs w:val="24"/>
            <w:u w:val="single"/>
            <w:lang w:val="bg-BG"/>
          </w:rPr>
          <w:t>https://eur-lex.europa.eu/legal-content/BG/TXT/?uri=CELEX%3A32008L0056</w:t>
        </w:r>
      </w:hyperlink>
      <w:r w:rsidR="00D66FE0" w:rsidRPr="00610B1B">
        <w:rPr>
          <w:rFonts w:ascii="Times New Roman" w:eastAsia="Times New Roman" w:hAnsi="Times New Roman" w:cs="Times New Roman"/>
          <w:sz w:val="24"/>
          <w:szCs w:val="24"/>
          <w:lang w:val="bg-BG"/>
        </w:rPr>
        <w:t xml:space="preserve"> </w:t>
      </w:r>
    </w:p>
    <w:p w14:paraId="763FB48B" w14:textId="7EBDEE87" w:rsidR="00BE57CC" w:rsidRPr="00610B1B" w:rsidRDefault="002A152C" w:rsidP="00C4605F">
      <w:pPr>
        <w:numPr>
          <w:ilvl w:val="0"/>
          <w:numId w:val="99"/>
        </w:numPr>
        <w:spacing w:after="120"/>
        <w:ind w:right="-471"/>
        <w:jc w:val="both"/>
        <w:rPr>
          <w:rFonts w:ascii="Times New Roman" w:eastAsia="Times New Roman" w:hAnsi="Times New Roman" w:cs="Times New Roman"/>
          <w:sz w:val="24"/>
          <w:szCs w:val="24"/>
          <w:lang w:val="bg-BG"/>
        </w:rPr>
      </w:pPr>
      <w:hyperlink r:id="rId446" w:history="1">
        <w:r w:rsidR="00BE57CC" w:rsidRPr="00610B1B">
          <w:rPr>
            <w:rFonts w:ascii="Times New Roman" w:eastAsia="Times New Roman" w:hAnsi="Times New Roman" w:cs="Times New Roman"/>
            <w:color w:val="0000FF"/>
            <w:sz w:val="24"/>
            <w:szCs w:val="24"/>
            <w:u w:val="single"/>
            <w:lang w:val="bg-BG"/>
          </w:rPr>
          <w:t>https://eur-lex.europa.eu/legal-content/BG/TXT/PDF/?uri=CELEX:32000L0060&amp;from=BG</w:t>
        </w:r>
      </w:hyperlink>
      <w:r w:rsidR="00D66FE0" w:rsidRPr="00610B1B">
        <w:rPr>
          <w:rFonts w:ascii="Times New Roman" w:eastAsia="Times New Roman" w:hAnsi="Times New Roman" w:cs="Times New Roman"/>
          <w:sz w:val="24"/>
          <w:szCs w:val="24"/>
          <w:lang w:val="bg-BG"/>
        </w:rPr>
        <w:t xml:space="preserve"> </w:t>
      </w:r>
    </w:p>
    <w:p w14:paraId="04FE1F3A" w14:textId="57749FC9" w:rsidR="00BE57CC" w:rsidRPr="00610B1B" w:rsidRDefault="002A152C" w:rsidP="00C4605F">
      <w:pPr>
        <w:numPr>
          <w:ilvl w:val="0"/>
          <w:numId w:val="99"/>
        </w:numPr>
        <w:spacing w:after="120"/>
        <w:ind w:right="-471"/>
        <w:jc w:val="both"/>
        <w:rPr>
          <w:rFonts w:ascii="Times New Roman" w:eastAsia="Times New Roman" w:hAnsi="Times New Roman" w:cs="Times New Roman"/>
          <w:sz w:val="24"/>
          <w:szCs w:val="24"/>
          <w:lang w:val="bg-BG"/>
        </w:rPr>
      </w:pPr>
      <w:hyperlink r:id="rId447" w:history="1">
        <w:r w:rsidR="00BE57CC" w:rsidRPr="00610B1B">
          <w:rPr>
            <w:rFonts w:ascii="Times New Roman" w:eastAsia="Times New Roman" w:hAnsi="Times New Roman" w:cs="Times New Roman"/>
            <w:color w:val="0000FF"/>
            <w:sz w:val="24"/>
            <w:szCs w:val="24"/>
            <w:u w:val="single"/>
            <w:lang w:val="bg-BG"/>
          </w:rPr>
          <w:t>https://eur-lex.europa.eu/legal-content/BG/TXT/PDF/?uri=CELEX:32007L0060&amp;from=BG</w:t>
        </w:r>
      </w:hyperlink>
      <w:r w:rsidR="00D66FE0" w:rsidRPr="00610B1B">
        <w:rPr>
          <w:rFonts w:ascii="Times New Roman" w:eastAsia="Times New Roman" w:hAnsi="Times New Roman" w:cs="Times New Roman"/>
          <w:sz w:val="24"/>
          <w:szCs w:val="24"/>
          <w:lang w:val="bg-BG"/>
        </w:rPr>
        <w:t xml:space="preserve"> </w:t>
      </w:r>
    </w:p>
    <w:p w14:paraId="2400A8BF" w14:textId="3022CDD8" w:rsidR="00BE57CC" w:rsidRPr="00610B1B" w:rsidRDefault="002A152C" w:rsidP="00B86414">
      <w:pPr>
        <w:numPr>
          <w:ilvl w:val="0"/>
          <w:numId w:val="99"/>
        </w:numPr>
        <w:spacing w:after="120"/>
        <w:ind w:right="-153"/>
        <w:jc w:val="both"/>
        <w:rPr>
          <w:rFonts w:ascii="Times New Roman" w:eastAsia="Times New Roman" w:hAnsi="Times New Roman" w:cs="Times New Roman"/>
          <w:sz w:val="24"/>
          <w:szCs w:val="24"/>
          <w:lang w:val="bg-BG"/>
        </w:rPr>
      </w:pPr>
      <w:hyperlink r:id="rId448" w:history="1">
        <w:r w:rsidR="00BE57CC" w:rsidRPr="00610B1B">
          <w:rPr>
            <w:rFonts w:ascii="Times New Roman" w:eastAsia="Times New Roman" w:hAnsi="Times New Roman" w:cs="Times New Roman"/>
            <w:color w:val="0000FF"/>
            <w:sz w:val="24"/>
            <w:szCs w:val="24"/>
            <w:u w:val="single"/>
            <w:lang w:val="bg-BG"/>
          </w:rPr>
          <w:t>https://eur-lex.europa.eu/LexUriServ/LexUriServ.do?uri=COM:2008:0791:FIN:BG:PDF</w:t>
        </w:r>
      </w:hyperlink>
      <w:r w:rsidR="00D66FE0" w:rsidRPr="00610B1B">
        <w:rPr>
          <w:rFonts w:ascii="Times New Roman" w:eastAsia="Times New Roman" w:hAnsi="Times New Roman" w:cs="Times New Roman"/>
          <w:sz w:val="24"/>
          <w:szCs w:val="24"/>
          <w:lang w:val="bg-BG"/>
        </w:rPr>
        <w:t xml:space="preserve"> </w:t>
      </w:r>
    </w:p>
    <w:p w14:paraId="48567576" w14:textId="423F998E" w:rsidR="00BE57CC" w:rsidRPr="00610B1B" w:rsidRDefault="002A152C" w:rsidP="00C4605F">
      <w:pPr>
        <w:numPr>
          <w:ilvl w:val="0"/>
          <w:numId w:val="99"/>
        </w:numPr>
        <w:spacing w:after="120"/>
        <w:ind w:left="426" w:right="-471" w:hanging="426"/>
        <w:jc w:val="both"/>
        <w:rPr>
          <w:rFonts w:ascii="Times New Roman" w:eastAsia="Times New Roman" w:hAnsi="Times New Roman" w:cs="Times New Roman"/>
          <w:sz w:val="24"/>
          <w:szCs w:val="24"/>
          <w:lang w:val="bg-BG"/>
        </w:rPr>
      </w:pPr>
      <w:hyperlink r:id="rId449" w:history="1">
        <w:r w:rsidR="00BE57CC" w:rsidRPr="00610B1B">
          <w:rPr>
            <w:rFonts w:ascii="Times New Roman" w:eastAsia="Times New Roman" w:hAnsi="Times New Roman" w:cs="Times New Roman"/>
            <w:color w:val="0000FF"/>
            <w:sz w:val="24"/>
            <w:szCs w:val="24"/>
            <w:u w:val="single"/>
            <w:lang w:val="bg-BG"/>
          </w:rPr>
          <w:t>https://experience.bg/kude-da-akostirate-po-bulgarskoto-kraibrejie-chast-ii-iujno-chernomorie</w:t>
        </w:r>
      </w:hyperlink>
      <w:r w:rsidR="00BE57CC" w:rsidRPr="00610B1B">
        <w:rPr>
          <w:rFonts w:ascii="Times New Roman" w:eastAsia="Times New Roman" w:hAnsi="Times New Roman" w:cs="Times New Roman"/>
          <w:sz w:val="24"/>
          <w:szCs w:val="24"/>
          <w:lang w:val="bg-BG"/>
        </w:rPr>
        <w:t xml:space="preserve"> </w:t>
      </w:r>
    </w:p>
    <w:p w14:paraId="37E5140C" w14:textId="1CF2BE5F" w:rsidR="00BE57CC" w:rsidRPr="00610B1B" w:rsidRDefault="002A152C" w:rsidP="00C4605F">
      <w:pPr>
        <w:numPr>
          <w:ilvl w:val="0"/>
          <w:numId w:val="99"/>
        </w:numPr>
        <w:spacing w:after="120"/>
        <w:ind w:left="426" w:right="-754" w:hanging="426"/>
        <w:jc w:val="both"/>
        <w:rPr>
          <w:rFonts w:ascii="Times New Roman" w:eastAsia="Times New Roman" w:hAnsi="Times New Roman" w:cs="Times New Roman"/>
          <w:sz w:val="24"/>
          <w:szCs w:val="24"/>
          <w:lang w:val="bg-BG"/>
        </w:rPr>
      </w:pPr>
      <w:hyperlink r:id="rId450" w:history="1">
        <w:r w:rsidR="00BE57CC" w:rsidRPr="00610B1B">
          <w:rPr>
            <w:rFonts w:ascii="Times New Roman" w:eastAsia="Times New Roman" w:hAnsi="Times New Roman" w:cs="Times New Roman"/>
            <w:color w:val="0000FF"/>
            <w:sz w:val="24"/>
            <w:szCs w:val="24"/>
            <w:u w:val="single"/>
            <w:lang w:val="bg-BG"/>
          </w:rPr>
          <w:t>https://experience.bg/kude-da-akostirate-po-bulgarskoto-kraibrejie-chast-i-severno-chernomorie</w:t>
        </w:r>
      </w:hyperlink>
      <w:r w:rsidR="00BE57CC" w:rsidRPr="00610B1B">
        <w:rPr>
          <w:rFonts w:ascii="Times New Roman" w:eastAsia="Times New Roman" w:hAnsi="Times New Roman" w:cs="Times New Roman"/>
          <w:sz w:val="24"/>
          <w:szCs w:val="24"/>
          <w:lang w:val="bg-BG"/>
        </w:rPr>
        <w:t xml:space="preserve"> </w:t>
      </w:r>
    </w:p>
    <w:p w14:paraId="6A3EE494" w14:textId="277DF790" w:rsidR="00BE57CC" w:rsidRPr="00610B1B" w:rsidRDefault="002A152C" w:rsidP="00B86414">
      <w:pPr>
        <w:numPr>
          <w:ilvl w:val="0"/>
          <w:numId w:val="99"/>
        </w:numPr>
        <w:spacing w:after="120"/>
        <w:ind w:left="426" w:right="-153" w:hanging="426"/>
        <w:jc w:val="both"/>
        <w:rPr>
          <w:rFonts w:ascii="Times New Roman" w:eastAsia="Times New Roman" w:hAnsi="Times New Roman" w:cs="Times New Roman"/>
          <w:sz w:val="24"/>
          <w:szCs w:val="24"/>
          <w:lang w:val="bg-BG"/>
        </w:rPr>
      </w:pPr>
      <w:hyperlink r:id="rId451" w:history="1">
        <w:r w:rsidR="00BE57CC" w:rsidRPr="00610B1B">
          <w:rPr>
            <w:rFonts w:ascii="Times New Roman" w:eastAsia="Times New Roman" w:hAnsi="Times New Roman" w:cs="Times New Roman"/>
            <w:color w:val="0000FF"/>
            <w:sz w:val="24"/>
            <w:szCs w:val="24"/>
            <w:u w:val="single"/>
            <w:lang w:val="bg-BG"/>
          </w:rPr>
          <w:t>https://inspire.ec.europa.eu/id/document/tg/sr</w:t>
        </w:r>
      </w:hyperlink>
      <w:r w:rsidR="00D66FE0" w:rsidRPr="00610B1B">
        <w:rPr>
          <w:rFonts w:ascii="Times New Roman" w:eastAsia="Times New Roman" w:hAnsi="Times New Roman" w:cs="Times New Roman"/>
          <w:sz w:val="24"/>
          <w:szCs w:val="24"/>
          <w:lang w:val="bg-BG"/>
        </w:rPr>
        <w:t xml:space="preserve"> </w:t>
      </w:r>
    </w:p>
    <w:p w14:paraId="09D3E1E7" w14:textId="268F19DE" w:rsidR="00BE57CC" w:rsidRPr="00610B1B" w:rsidRDefault="002A152C" w:rsidP="00B86414">
      <w:pPr>
        <w:numPr>
          <w:ilvl w:val="0"/>
          <w:numId w:val="99"/>
        </w:numPr>
        <w:spacing w:after="120"/>
        <w:ind w:left="426" w:right="-153" w:hanging="426"/>
        <w:jc w:val="both"/>
        <w:rPr>
          <w:rFonts w:ascii="Times New Roman" w:eastAsia="Times New Roman" w:hAnsi="Times New Roman" w:cs="Times New Roman"/>
          <w:sz w:val="24"/>
          <w:szCs w:val="24"/>
          <w:lang w:val="bg-BG"/>
        </w:rPr>
      </w:pPr>
      <w:hyperlink r:id="rId452" w:history="1">
        <w:r w:rsidR="00BE57CC" w:rsidRPr="00610B1B">
          <w:rPr>
            <w:rFonts w:ascii="Times New Roman" w:eastAsia="Times New Roman" w:hAnsi="Times New Roman" w:cs="Times New Roman"/>
            <w:color w:val="0000FF"/>
            <w:sz w:val="24"/>
            <w:szCs w:val="24"/>
            <w:u w:val="single"/>
            <w:lang w:val="bg-BG"/>
          </w:rPr>
          <w:t>https://kais.cadastre.bg/bg/Map</w:t>
        </w:r>
      </w:hyperlink>
      <w:r w:rsidR="00BE57CC" w:rsidRPr="00610B1B">
        <w:rPr>
          <w:rFonts w:ascii="Times New Roman" w:eastAsia="Times New Roman" w:hAnsi="Times New Roman" w:cs="Times New Roman"/>
          <w:sz w:val="24"/>
          <w:szCs w:val="24"/>
          <w:lang w:val="bg-BG"/>
        </w:rPr>
        <w:t xml:space="preserve"> </w:t>
      </w:r>
    </w:p>
    <w:p w14:paraId="208E101F" w14:textId="5AE02939" w:rsidR="00BE57CC" w:rsidRPr="00610B1B" w:rsidRDefault="002A152C" w:rsidP="00B86414">
      <w:pPr>
        <w:numPr>
          <w:ilvl w:val="0"/>
          <w:numId w:val="99"/>
        </w:numPr>
        <w:spacing w:after="120"/>
        <w:ind w:left="426" w:right="-153" w:hanging="426"/>
        <w:jc w:val="both"/>
        <w:rPr>
          <w:rFonts w:ascii="Times New Roman" w:eastAsia="Times New Roman" w:hAnsi="Times New Roman" w:cs="Times New Roman"/>
          <w:sz w:val="24"/>
          <w:szCs w:val="24"/>
          <w:lang w:val="bg-BG"/>
        </w:rPr>
      </w:pPr>
      <w:hyperlink r:id="rId453" w:history="1">
        <w:r w:rsidR="00BE57CC" w:rsidRPr="00610B1B">
          <w:rPr>
            <w:rFonts w:ascii="Times New Roman" w:eastAsia="Times New Roman" w:hAnsi="Times New Roman" w:cs="Times New Roman"/>
            <w:color w:val="0000FF"/>
            <w:sz w:val="24"/>
            <w:szCs w:val="24"/>
            <w:u w:val="single"/>
            <w:lang w:val="bg-BG"/>
          </w:rPr>
          <w:t>https://kis-orca.eu/map/</w:t>
        </w:r>
      </w:hyperlink>
      <w:r w:rsidR="00C415D1" w:rsidRPr="00610B1B">
        <w:rPr>
          <w:rFonts w:ascii="Times New Roman" w:eastAsia="Times New Roman" w:hAnsi="Times New Roman" w:cs="Times New Roman"/>
          <w:sz w:val="24"/>
          <w:szCs w:val="24"/>
          <w:lang w:val="bg-BG"/>
        </w:rPr>
        <w:t xml:space="preserve"> </w:t>
      </w:r>
    </w:p>
    <w:p w14:paraId="050D2765" w14:textId="649A45CC"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54" w:history="1">
        <w:r w:rsidR="00BE57CC" w:rsidRPr="00610B1B">
          <w:rPr>
            <w:rFonts w:ascii="Times New Roman" w:eastAsia="Times New Roman" w:hAnsi="Times New Roman" w:cs="Times New Roman"/>
            <w:color w:val="0000FF"/>
            <w:sz w:val="24"/>
            <w:szCs w:val="24"/>
            <w:u w:val="single"/>
            <w:lang w:val="bg-BG"/>
          </w:rPr>
          <w:t>https://op.europa.eu/en/publication-detail/-/publication/676bbd4a-7dd9-11e9-9f05-01aa75ed71a1/language-en/</w:t>
        </w:r>
      </w:hyperlink>
      <w:r w:rsidR="00D66FE0" w:rsidRPr="00610B1B">
        <w:rPr>
          <w:rFonts w:ascii="Times New Roman" w:eastAsia="Times New Roman" w:hAnsi="Times New Roman" w:cs="Times New Roman"/>
          <w:sz w:val="24"/>
          <w:szCs w:val="24"/>
          <w:lang w:val="bg-BG"/>
        </w:rPr>
        <w:t xml:space="preserve"> </w:t>
      </w:r>
    </w:p>
    <w:p w14:paraId="64ACEEA8" w14:textId="0D749800"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55" w:history="1">
        <w:r w:rsidR="00BE57CC" w:rsidRPr="00610B1B">
          <w:rPr>
            <w:rFonts w:ascii="Times New Roman" w:eastAsia="Times New Roman" w:hAnsi="Times New Roman" w:cs="Times New Roman"/>
            <w:color w:val="0000FF"/>
            <w:sz w:val="24"/>
            <w:szCs w:val="24"/>
            <w:u w:val="single"/>
            <w:lang w:val="bg-BG"/>
          </w:rPr>
          <w:t>https://polishmsp.eu/</w:t>
        </w:r>
      </w:hyperlink>
      <w:r w:rsidR="00D66FE0" w:rsidRPr="00610B1B">
        <w:rPr>
          <w:rFonts w:ascii="Times New Roman" w:eastAsia="Times New Roman" w:hAnsi="Times New Roman" w:cs="Times New Roman"/>
          <w:sz w:val="24"/>
          <w:szCs w:val="24"/>
          <w:lang w:val="bg-BG"/>
        </w:rPr>
        <w:t xml:space="preserve"> </w:t>
      </w:r>
    </w:p>
    <w:p w14:paraId="594CA03C" w14:textId="4CF7F943"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56" w:anchor="economy=BGR" w:history="1">
        <w:r w:rsidR="00BE57CC" w:rsidRPr="00610B1B">
          <w:rPr>
            <w:rFonts w:ascii="Times New Roman" w:eastAsia="Times New Roman" w:hAnsi="Times New Roman" w:cs="Times New Roman"/>
            <w:color w:val="0000FF"/>
            <w:sz w:val="24"/>
            <w:szCs w:val="24"/>
            <w:u w:val="single"/>
            <w:lang w:val="bg-BG"/>
          </w:rPr>
          <w:t>https://reports.weforum.org/travel-and-tourism-competitiveness-report-2019/country-profiles/#economy=BGR</w:t>
        </w:r>
      </w:hyperlink>
      <w:r w:rsidR="00D66FE0" w:rsidRPr="00610B1B">
        <w:rPr>
          <w:rFonts w:ascii="Times New Roman" w:eastAsia="Times New Roman" w:hAnsi="Times New Roman" w:cs="Times New Roman"/>
          <w:sz w:val="24"/>
          <w:szCs w:val="24"/>
          <w:lang w:val="bg-BG"/>
        </w:rPr>
        <w:t xml:space="preserve"> </w:t>
      </w:r>
    </w:p>
    <w:p w14:paraId="6BAC0BA4" w14:textId="60226132"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57" w:history="1">
        <w:r w:rsidR="00BE57CC" w:rsidRPr="00610B1B">
          <w:rPr>
            <w:rFonts w:ascii="Times New Roman" w:eastAsia="Times New Roman" w:hAnsi="Times New Roman" w:cs="Times New Roman"/>
            <w:color w:val="0000FF"/>
            <w:sz w:val="24"/>
            <w:szCs w:val="24"/>
            <w:u w:val="single"/>
            <w:lang w:val="bg-BG"/>
          </w:rPr>
          <w:t>https://rm.coe.int/1680700173</w:t>
        </w:r>
      </w:hyperlink>
      <w:r w:rsidR="00D66FE0" w:rsidRPr="00610B1B">
        <w:rPr>
          <w:rFonts w:ascii="Times New Roman" w:eastAsia="Times New Roman" w:hAnsi="Times New Roman" w:cs="Times New Roman"/>
          <w:sz w:val="24"/>
          <w:szCs w:val="24"/>
          <w:lang w:val="bg-BG"/>
        </w:rPr>
        <w:t xml:space="preserve"> </w:t>
      </w:r>
    </w:p>
    <w:p w14:paraId="4247775B" w14:textId="21F79D8C" w:rsidR="00BE57CC" w:rsidRPr="00610B1B" w:rsidRDefault="002A152C" w:rsidP="009B6D1D">
      <w:pPr>
        <w:numPr>
          <w:ilvl w:val="0"/>
          <w:numId w:val="99"/>
        </w:numPr>
        <w:spacing w:after="120"/>
        <w:ind w:left="426" w:right="-448" w:hanging="567"/>
        <w:jc w:val="both"/>
        <w:rPr>
          <w:rFonts w:ascii="Times New Roman" w:eastAsia="Times New Roman" w:hAnsi="Times New Roman" w:cs="Times New Roman"/>
          <w:sz w:val="24"/>
          <w:szCs w:val="24"/>
          <w:lang w:val="bg-BG"/>
        </w:rPr>
      </w:pPr>
      <w:hyperlink r:id="rId458" w:history="1">
        <w:r w:rsidR="00BE57CC" w:rsidRPr="00610B1B">
          <w:rPr>
            <w:rFonts w:ascii="Times New Roman" w:eastAsia="Times New Roman" w:hAnsi="Times New Roman" w:cs="Times New Roman"/>
            <w:color w:val="0000FF"/>
            <w:sz w:val="24"/>
            <w:szCs w:val="24"/>
            <w:u w:val="single"/>
            <w:lang w:val="bg-BG"/>
          </w:rPr>
          <w:t>https://seenews.com/companies/company_profile/burgaski-korabostroitelnitsi-ad-non-existent-2835</w:t>
        </w:r>
      </w:hyperlink>
    </w:p>
    <w:p w14:paraId="4ABAC3BC" w14:textId="3363CA4B"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59" w:history="1">
        <w:r w:rsidR="00BE57CC" w:rsidRPr="00610B1B">
          <w:rPr>
            <w:rFonts w:ascii="Times New Roman" w:eastAsia="Times New Roman" w:hAnsi="Times New Roman" w:cs="Times New Roman"/>
            <w:color w:val="0000FF"/>
            <w:sz w:val="24"/>
            <w:szCs w:val="24"/>
            <w:u w:val="single"/>
            <w:lang w:val="bg-BG"/>
          </w:rPr>
          <w:t>https://unctad.org/en/PublicationsLibrary/ditctedinf2020d2_en.pdf</w:t>
        </w:r>
      </w:hyperlink>
      <w:r w:rsidR="00D66FE0" w:rsidRPr="00610B1B">
        <w:rPr>
          <w:rFonts w:ascii="Times New Roman" w:eastAsia="Times New Roman" w:hAnsi="Times New Roman" w:cs="Times New Roman"/>
          <w:sz w:val="24"/>
          <w:szCs w:val="24"/>
          <w:lang w:val="bg-BG"/>
        </w:rPr>
        <w:t xml:space="preserve"> </w:t>
      </w:r>
    </w:p>
    <w:p w14:paraId="79F3EFCA" w14:textId="16546F33"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60" w:history="1">
        <w:r w:rsidR="00BE57CC" w:rsidRPr="00610B1B">
          <w:rPr>
            <w:rFonts w:ascii="Times New Roman" w:eastAsia="Times New Roman" w:hAnsi="Times New Roman" w:cs="Times New Roman"/>
            <w:color w:val="0000FF"/>
            <w:sz w:val="24"/>
            <w:szCs w:val="24"/>
            <w:u w:val="single"/>
            <w:lang w:val="bg-BG"/>
          </w:rPr>
          <w:t>https://unesdoc.unesco.org/ark:/48223/pf0000186559</w:t>
        </w:r>
      </w:hyperlink>
      <w:r w:rsidR="00C415D1" w:rsidRPr="00610B1B">
        <w:rPr>
          <w:rFonts w:ascii="Times New Roman" w:eastAsia="Times New Roman" w:hAnsi="Times New Roman" w:cs="Times New Roman"/>
          <w:sz w:val="24"/>
          <w:szCs w:val="24"/>
          <w:lang w:val="bg-BG"/>
        </w:rPr>
        <w:t xml:space="preserve"> </w:t>
      </w:r>
    </w:p>
    <w:p w14:paraId="1E431930" w14:textId="403AA3BC"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61" w:anchor="%5B%7B%22num%22%3A343%2C%22gen%22%3A0%7D%2C%7B%22name%22%3A%22XYZ%22%7D%2C-94%2C599%2C0%5D" w:history="1">
        <w:r w:rsidR="00BE57CC" w:rsidRPr="00610B1B">
          <w:rPr>
            <w:rFonts w:ascii="Times New Roman" w:eastAsia="Times New Roman" w:hAnsi="Times New Roman" w:cs="Times New Roman"/>
            <w:color w:val="0000FF"/>
            <w:sz w:val="24"/>
            <w:szCs w:val="24"/>
            <w:u w:val="single"/>
            <w:lang w:val="bg-BG"/>
          </w:rPr>
          <w:t>https://unesdoc.unesco.org/in/documentViewer.xhtml?v=2.1.196&amp;id=p::usmarcdef_0000227779&amp;file=/in/rest/annotationSVC/DownloadWatermarkedAttachment/attach_import_acd86716-c5f8-432d-96bf-a42daa4dd6b0%3F_%3D227779eng.pdf&amp;locale=en&amp;multi=true&amp;ark=/ark:/48223/pf0000227779/PDF/227779eng.pdf#%5B%7B%22num%22%3A343%2C%22gen%22%3A0%7D%2C%7B%22name%22%3A%22XYZ%22%7D%2C-94%2C599%2C0%5D</w:t>
        </w:r>
      </w:hyperlink>
      <w:r w:rsidR="00D66FE0" w:rsidRPr="00610B1B">
        <w:rPr>
          <w:rFonts w:ascii="Times New Roman" w:eastAsia="Times New Roman" w:hAnsi="Times New Roman" w:cs="Times New Roman"/>
          <w:sz w:val="24"/>
          <w:szCs w:val="24"/>
          <w:lang w:val="bg-BG"/>
        </w:rPr>
        <w:t xml:space="preserve"> </w:t>
      </w:r>
    </w:p>
    <w:p w14:paraId="0F2A0335" w14:textId="24A84395"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62" w:history="1">
        <w:r w:rsidR="00B86414" w:rsidRPr="00610B1B">
          <w:rPr>
            <w:rStyle w:val="Hyperlink"/>
            <w:rFonts w:ascii="Times New Roman" w:eastAsia="Times New Roman" w:hAnsi="Times New Roman" w:cs="Times New Roman"/>
            <w:sz w:val="24"/>
            <w:szCs w:val="24"/>
            <w:lang w:val="bg-BG"/>
          </w:rPr>
          <w:t>https://unfccc.int/</w:t>
        </w:r>
      </w:hyperlink>
      <w:r w:rsidR="00D66FE0" w:rsidRPr="00610B1B">
        <w:rPr>
          <w:rFonts w:ascii="Times New Roman" w:eastAsia="Times New Roman" w:hAnsi="Times New Roman" w:cs="Times New Roman"/>
          <w:sz w:val="24"/>
          <w:szCs w:val="24"/>
          <w:lang w:val="bg-BG"/>
        </w:rPr>
        <w:t xml:space="preserve"> </w:t>
      </w:r>
    </w:p>
    <w:p w14:paraId="59C9C7A4" w14:textId="66356E43"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63" w:history="1">
        <w:r w:rsidR="00BE57CC" w:rsidRPr="00610B1B">
          <w:rPr>
            <w:rFonts w:ascii="Times New Roman" w:eastAsia="Times New Roman" w:hAnsi="Times New Roman" w:cs="Times New Roman"/>
            <w:color w:val="0000FF"/>
            <w:sz w:val="24"/>
            <w:szCs w:val="24"/>
            <w:u w:val="single"/>
            <w:lang w:val="bg-BG"/>
          </w:rPr>
          <w:t>https://water.europa.eu/marine</w:t>
        </w:r>
      </w:hyperlink>
      <w:r w:rsidR="00D66FE0" w:rsidRPr="00610B1B">
        <w:rPr>
          <w:rFonts w:ascii="Times New Roman" w:eastAsia="Times New Roman" w:hAnsi="Times New Roman" w:cs="Times New Roman"/>
          <w:sz w:val="24"/>
          <w:szCs w:val="24"/>
          <w:lang w:val="bg-BG"/>
        </w:rPr>
        <w:t xml:space="preserve"> </w:t>
      </w:r>
    </w:p>
    <w:p w14:paraId="2CFCD20B" w14:textId="2AD3F6F4"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64" w:history="1">
        <w:r w:rsidR="00BE57CC" w:rsidRPr="00610B1B">
          <w:rPr>
            <w:rFonts w:ascii="Times New Roman" w:eastAsia="Times New Roman" w:hAnsi="Times New Roman" w:cs="Times New Roman"/>
            <w:color w:val="0000FF"/>
            <w:sz w:val="24"/>
            <w:szCs w:val="24"/>
            <w:u w:val="single"/>
            <w:lang w:val="bg-BG"/>
          </w:rPr>
          <w:t>https://webunwto.s3.eu-west-1.amazonaws.com/s3fs-public/2020-04/COVID19_Recommendations_English_1.pdf</w:t>
        </w:r>
      </w:hyperlink>
      <w:r w:rsidR="00D66FE0" w:rsidRPr="00610B1B">
        <w:rPr>
          <w:rFonts w:ascii="Times New Roman" w:eastAsia="Times New Roman" w:hAnsi="Times New Roman" w:cs="Times New Roman"/>
          <w:sz w:val="24"/>
          <w:szCs w:val="24"/>
          <w:lang w:val="bg-BG"/>
        </w:rPr>
        <w:t xml:space="preserve"> </w:t>
      </w:r>
    </w:p>
    <w:p w14:paraId="7A12C64F" w14:textId="20B5B6B9"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65" w:history="1">
        <w:r w:rsidR="00BE57CC" w:rsidRPr="00610B1B">
          <w:rPr>
            <w:rFonts w:ascii="Times New Roman" w:eastAsia="Times New Roman" w:hAnsi="Times New Roman" w:cs="Times New Roman"/>
            <w:color w:val="0000FF"/>
            <w:sz w:val="24"/>
            <w:szCs w:val="24"/>
            <w:u w:val="single"/>
            <w:lang w:val="bg-BG"/>
          </w:rPr>
          <w:t>https://www.bsbd.org/UserFiles/File/Sea/Notice_E%D0%9E_MS&amp;PoM.pdf</w:t>
        </w:r>
      </w:hyperlink>
      <w:r w:rsidR="00C415D1" w:rsidRPr="00610B1B">
        <w:rPr>
          <w:rFonts w:ascii="Times New Roman" w:eastAsia="Times New Roman" w:hAnsi="Times New Roman" w:cs="Times New Roman"/>
          <w:sz w:val="24"/>
          <w:szCs w:val="24"/>
          <w:lang w:val="bg-BG"/>
        </w:rPr>
        <w:t xml:space="preserve"> </w:t>
      </w:r>
    </w:p>
    <w:p w14:paraId="3D4ECE7E" w14:textId="762FA701"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66" w:history="1">
        <w:r w:rsidR="00BE57CC" w:rsidRPr="00610B1B">
          <w:rPr>
            <w:rFonts w:ascii="Times New Roman" w:eastAsia="Times New Roman" w:hAnsi="Times New Roman" w:cs="Times New Roman"/>
            <w:color w:val="0000FF"/>
            <w:sz w:val="24"/>
            <w:szCs w:val="24"/>
            <w:u w:val="single"/>
            <w:lang w:val="bg-BG"/>
          </w:rPr>
          <w:t>https://www.bstdb.org/index.htm</w:t>
        </w:r>
      </w:hyperlink>
      <w:r w:rsidR="00D66FE0" w:rsidRPr="00610B1B">
        <w:rPr>
          <w:rFonts w:ascii="Times New Roman" w:eastAsia="Times New Roman" w:hAnsi="Times New Roman" w:cs="Times New Roman"/>
          <w:sz w:val="24"/>
          <w:szCs w:val="24"/>
          <w:lang w:val="bg-BG"/>
        </w:rPr>
        <w:t xml:space="preserve"> </w:t>
      </w:r>
    </w:p>
    <w:p w14:paraId="1354931D" w14:textId="1D26BC5D"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67" w:history="1">
        <w:r w:rsidR="00BE57CC" w:rsidRPr="00610B1B">
          <w:rPr>
            <w:rFonts w:ascii="Times New Roman" w:eastAsia="Times New Roman" w:hAnsi="Times New Roman" w:cs="Times New Roman"/>
            <w:color w:val="0000FF"/>
            <w:sz w:val="24"/>
            <w:szCs w:val="24"/>
            <w:u w:val="single"/>
            <w:lang w:val="bg-BG"/>
          </w:rPr>
          <w:t>https://www.buurtwijs.nl/sites/default/files/buurtwijs/bestanden/jane_jacobs_the_death_and_life_of_great_american.pdf</w:t>
        </w:r>
      </w:hyperlink>
      <w:r w:rsidR="00D66FE0" w:rsidRPr="00610B1B">
        <w:rPr>
          <w:rFonts w:ascii="Times New Roman" w:eastAsia="Times New Roman" w:hAnsi="Times New Roman" w:cs="Times New Roman"/>
          <w:sz w:val="24"/>
          <w:szCs w:val="24"/>
          <w:lang w:val="bg-BG"/>
        </w:rPr>
        <w:t xml:space="preserve"> </w:t>
      </w:r>
    </w:p>
    <w:p w14:paraId="2E9C831F" w14:textId="7214FDF2"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68" w:history="1">
        <w:r w:rsidR="00BE57CC" w:rsidRPr="00610B1B">
          <w:rPr>
            <w:rFonts w:ascii="Times New Roman" w:eastAsia="Times New Roman" w:hAnsi="Times New Roman" w:cs="Times New Roman"/>
            <w:color w:val="0000FF"/>
            <w:sz w:val="24"/>
            <w:szCs w:val="24"/>
            <w:u w:val="single"/>
            <w:lang w:val="bg-BG"/>
          </w:rPr>
          <w:t>https://www.cbd.int/ecosystem/</w:t>
        </w:r>
      </w:hyperlink>
      <w:r w:rsidR="00D66FE0" w:rsidRPr="00610B1B">
        <w:rPr>
          <w:rFonts w:ascii="Times New Roman" w:eastAsia="Times New Roman" w:hAnsi="Times New Roman" w:cs="Times New Roman"/>
          <w:sz w:val="24"/>
          <w:szCs w:val="24"/>
          <w:lang w:val="bg-BG"/>
        </w:rPr>
        <w:t xml:space="preserve"> </w:t>
      </w:r>
    </w:p>
    <w:p w14:paraId="455F0FF5" w14:textId="2A5F15AA" w:rsidR="00BE57CC" w:rsidRPr="00610B1B" w:rsidRDefault="002A152C" w:rsidP="009B6D1D">
      <w:pPr>
        <w:numPr>
          <w:ilvl w:val="0"/>
          <w:numId w:val="99"/>
        </w:numPr>
        <w:spacing w:after="120"/>
        <w:ind w:left="426" w:right="-448" w:hanging="567"/>
        <w:jc w:val="both"/>
        <w:rPr>
          <w:rFonts w:ascii="Times New Roman" w:eastAsia="Times New Roman" w:hAnsi="Times New Roman" w:cs="Times New Roman"/>
          <w:sz w:val="24"/>
          <w:szCs w:val="24"/>
          <w:lang w:val="bg-BG"/>
        </w:rPr>
      </w:pPr>
      <w:hyperlink r:id="rId469" w:history="1">
        <w:r w:rsidR="00BE57CC" w:rsidRPr="00610B1B">
          <w:rPr>
            <w:rFonts w:ascii="Times New Roman" w:eastAsia="Times New Roman" w:hAnsi="Times New Roman" w:cs="Times New Roman"/>
            <w:color w:val="0000FF"/>
            <w:sz w:val="24"/>
            <w:szCs w:val="24"/>
            <w:u w:val="single"/>
            <w:lang w:val="bg-BG"/>
          </w:rPr>
          <w:t>https://www.csis.org/analysis/covid-19-sea-impacts-blue-economy-ocean-health-and-ocean-security</w:t>
        </w:r>
      </w:hyperlink>
    </w:p>
    <w:p w14:paraId="6AF3FFB8" w14:textId="1CCEF234"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70" w:history="1">
        <w:r w:rsidR="00BE57CC" w:rsidRPr="00610B1B">
          <w:rPr>
            <w:rFonts w:ascii="Times New Roman" w:eastAsia="Times New Roman" w:hAnsi="Times New Roman" w:cs="Times New Roman"/>
            <w:color w:val="0000FF"/>
            <w:sz w:val="24"/>
            <w:szCs w:val="24"/>
            <w:u w:val="single"/>
            <w:lang w:val="bg-BG"/>
          </w:rPr>
          <w:t>https://www.ebrd.com/news/2020/ebrd-economies-seen-contracting-by-35-per-cent-in-2020-48-per-cent-rebound-in-2021.html</w:t>
        </w:r>
      </w:hyperlink>
      <w:r w:rsidR="00D66FE0" w:rsidRPr="00610B1B">
        <w:rPr>
          <w:rFonts w:ascii="Times New Roman" w:eastAsia="Times New Roman" w:hAnsi="Times New Roman" w:cs="Times New Roman"/>
          <w:sz w:val="24"/>
          <w:szCs w:val="24"/>
          <w:lang w:val="bg-BG"/>
        </w:rPr>
        <w:t xml:space="preserve"> </w:t>
      </w:r>
    </w:p>
    <w:p w14:paraId="2DA62E41" w14:textId="4A2E6764"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71" w:history="1">
        <w:r w:rsidR="00BE57CC" w:rsidRPr="00610B1B">
          <w:rPr>
            <w:rFonts w:ascii="Times New Roman" w:eastAsia="Times New Roman" w:hAnsi="Times New Roman" w:cs="Times New Roman"/>
            <w:color w:val="0000FF"/>
            <w:sz w:val="24"/>
            <w:szCs w:val="24"/>
            <w:u w:val="single"/>
            <w:lang w:val="bg-BG"/>
          </w:rPr>
          <w:t>https://www.eea.europa.eu/themes/water/europes-seas-and-coasts/europes-seas-and-coasts</w:t>
        </w:r>
      </w:hyperlink>
      <w:r w:rsidR="00D66FE0" w:rsidRPr="00610B1B">
        <w:rPr>
          <w:rFonts w:ascii="Times New Roman" w:eastAsia="Times New Roman" w:hAnsi="Times New Roman" w:cs="Times New Roman"/>
          <w:sz w:val="24"/>
          <w:szCs w:val="24"/>
          <w:lang w:val="bg-BG"/>
        </w:rPr>
        <w:t xml:space="preserve"> </w:t>
      </w:r>
    </w:p>
    <w:p w14:paraId="5B49498E" w14:textId="71415180"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72" w:history="1">
        <w:r w:rsidR="00BE57CC" w:rsidRPr="00610B1B">
          <w:rPr>
            <w:rFonts w:ascii="Times New Roman" w:eastAsia="Times New Roman" w:hAnsi="Times New Roman" w:cs="Times New Roman"/>
            <w:color w:val="0000FF"/>
            <w:sz w:val="24"/>
            <w:szCs w:val="24"/>
            <w:u w:val="single"/>
            <w:lang w:val="bg-BG"/>
          </w:rPr>
          <w:t>https://www.emodnet.eu/portals</w:t>
        </w:r>
      </w:hyperlink>
      <w:r w:rsidR="00D66FE0" w:rsidRPr="00610B1B">
        <w:rPr>
          <w:rFonts w:ascii="Times New Roman" w:eastAsia="Times New Roman" w:hAnsi="Times New Roman" w:cs="Times New Roman"/>
          <w:sz w:val="24"/>
          <w:szCs w:val="24"/>
          <w:lang w:val="bg-BG"/>
        </w:rPr>
        <w:t xml:space="preserve"> </w:t>
      </w:r>
    </w:p>
    <w:p w14:paraId="2597B38A" w14:textId="71E08419"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73" w:history="1">
        <w:r w:rsidR="00BE57CC" w:rsidRPr="00610B1B">
          <w:rPr>
            <w:rFonts w:ascii="Times New Roman" w:eastAsia="Times New Roman" w:hAnsi="Times New Roman" w:cs="Times New Roman"/>
            <w:color w:val="0000FF"/>
            <w:sz w:val="24"/>
            <w:szCs w:val="24"/>
            <w:u w:val="single"/>
            <w:lang w:val="bg-BG"/>
          </w:rPr>
          <w:t>https://www.environment.gov.au/marine/gbr/long-term-sustainability-plan</w:t>
        </w:r>
      </w:hyperlink>
      <w:r w:rsidR="00BE57CC" w:rsidRPr="00610B1B">
        <w:rPr>
          <w:rFonts w:ascii="Times New Roman" w:eastAsia="Times New Roman" w:hAnsi="Times New Roman" w:cs="Times New Roman"/>
          <w:sz w:val="24"/>
          <w:szCs w:val="24"/>
          <w:lang w:val="bg-BG"/>
        </w:rPr>
        <w:t xml:space="preserve"> </w:t>
      </w:r>
    </w:p>
    <w:p w14:paraId="47CF7EA3" w14:textId="4D38A2CD"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74" w:history="1">
        <w:r w:rsidR="00BE57CC" w:rsidRPr="00610B1B">
          <w:rPr>
            <w:rFonts w:ascii="Times New Roman" w:eastAsia="Times New Roman" w:hAnsi="Times New Roman" w:cs="Times New Roman"/>
            <w:color w:val="0000FF"/>
            <w:sz w:val="24"/>
            <w:szCs w:val="24"/>
            <w:u w:val="single"/>
            <w:lang w:val="bg-BG"/>
          </w:rPr>
          <w:t>https://www.eufunds.bg/sites/default/files/uploads/pmdr/docs/2020-07/Final%20Draft%20Analysis%20All%2030062020.pdf</w:t>
        </w:r>
      </w:hyperlink>
      <w:r w:rsidR="00D66FE0" w:rsidRPr="00610B1B">
        <w:rPr>
          <w:rFonts w:ascii="Times New Roman" w:eastAsia="Times New Roman" w:hAnsi="Times New Roman" w:cs="Times New Roman"/>
          <w:sz w:val="24"/>
          <w:szCs w:val="24"/>
          <w:lang w:val="bg-BG"/>
        </w:rPr>
        <w:t xml:space="preserve"> </w:t>
      </w:r>
    </w:p>
    <w:p w14:paraId="7E3A1452" w14:textId="10CA65B9"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75" w:history="1">
        <w:r w:rsidR="00BE57CC" w:rsidRPr="00610B1B">
          <w:rPr>
            <w:rFonts w:ascii="Times New Roman" w:eastAsia="Times New Roman" w:hAnsi="Times New Roman" w:cs="Times New Roman"/>
            <w:color w:val="0000FF"/>
            <w:sz w:val="24"/>
            <w:szCs w:val="24"/>
            <w:u w:val="single"/>
            <w:lang w:val="bg-BG"/>
          </w:rPr>
          <w:t>https://www.marad.bg/node/857</w:t>
        </w:r>
      </w:hyperlink>
      <w:r w:rsidR="00D66FE0" w:rsidRPr="00610B1B">
        <w:rPr>
          <w:rFonts w:ascii="Times New Roman" w:eastAsia="Times New Roman" w:hAnsi="Times New Roman" w:cs="Times New Roman"/>
          <w:sz w:val="24"/>
          <w:szCs w:val="24"/>
          <w:lang w:val="bg-BG"/>
        </w:rPr>
        <w:t xml:space="preserve"> </w:t>
      </w:r>
    </w:p>
    <w:p w14:paraId="152A7737" w14:textId="3FAD161E"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76" w:history="1">
        <w:r w:rsidR="00BE57CC" w:rsidRPr="00610B1B">
          <w:rPr>
            <w:rFonts w:ascii="Times New Roman" w:eastAsia="Times New Roman" w:hAnsi="Times New Roman" w:cs="Times New Roman"/>
            <w:color w:val="0000FF"/>
            <w:sz w:val="24"/>
            <w:szCs w:val="24"/>
            <w:u w:val="single"/>
            <w:lang w:val="bg-BG"/>
          </w:rPr>
          <w:t>https://www.me.government.bg/bg/themes/energiina-strategiya-na-republika-balgariya-do-2020-g-147-295.html</w:t>
        </w:r>
      </w:hyperlink>
      <w:r w:rsidR="00D66FE0" w:rsidRPr="00610B1B">
        <w:rPr>
          <w:rFonts w:ascii="Times New Roman" w:eastAsia="Times New Roman" w:hAnsi="Times New Roman" w:cs="Times New Roman"/>
          <w:sz w:val="24"/>
          <w:szCs w:val="24"/>
          <w:lang w:val="bg-BG"/>
        </w:rPr>
        <w:t xml:space="preserve"> </w:t>
      </w:r>
    </w:p>
    <w:p w14:paraId="192C4257" w14:textId="6E36414E"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77" w:history="1">
        <w:r w:rsidR="00BE57CC" w:rsidRPr="00610B1B">
          <w:rPr>
            <w:rFonts w:ascii="Times New Roman" w:eastAsia="Times New Roman" w:hAnsi="Times New Roman" w:cs="Times New Roman"/>
            <w:color w:val="0000FF"/>
            <w:sz w:val="24"/>
            <w:szCs w:val="24"/>
            <w:u w:val="single"/>
            <w:lang w:val="bg-BG"/>
          </w:rPr>
          <w:t>https://www.mi.government.bg/bg/themes/inovacionna-strategiya-za-inteligentna-specializaciya-na-republika-balgariya-2014-2020-g-1806-287.html</w:t>
        </w:r>
      </w:hyperlink>
      <w:r w:rsidR="00D66FE0" w:rsidRPr="00610B1B">
        <w:rPr>
          <w:rFonts w:ascii="Times New Roman" w:eastAsia="Times New Roman" w:hAnsi="Times New Roman" w:cs="Times New Roman"/>
          <w:sz w:val="24"/>
          <w:szCs w:val="24"/>
          <w:lang w:val="bg-BG"/>
        </w:rPr>
        <w:t xml:space="preserve"> </w:t>
      </w:r>
    </w:p>
    <w:p w14:paraId="51F9B069" w14:textId="32744752"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78" w:history="1">
        <w:r w:rsidR="00BE57CC" w:rsidRPr="00610B1B">
          <w:rPr>
            <w:rFonts w:ascii="Times New Roman" w:eastAsia="Times New Roman" w:hAnsi="Times New Roman" w:cs="Times New Roman"/>
            <w:color w:val="0000FF"/>
            <w:sz w:val="24"/>
            <w:szCs w:val="24"/>
            <w:u w:val="single"/>
            <w:lang w:val="bg-BG"/>
          </w:rPr>
          <w:t>https://www.moew.government.bg/bg/klimat/mejdunarodni-pregovori-i-adaptaciya/adaptaciya/</w:t>
        </w:r>
      </w:hyperlink>
      <w:r w:rsidR="00D66FE0" w:rsidRPr="00610B1B">
        <w:rPr>
          <w:rFonts w:ascii="Times New Roman" w:eastAsia="Times New Roman" w:hAnsi="Times New Roman" w:cs="Times New Roman"/>
          <w:sz w:val="24"/>
          <w:szCs w:val="24"/>
          <w:lang w:val="bg-BG"/>
        </w:rPr>
        <w:t xml:space="preserve"> </w:t>
      </w:r>
    </w:p>
    <w:p w14:paraId="72F19DCF" w14:textId="31E0E38A"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79" w:history="1">
        <w:r w:rsidR="00BE57CC" w:rsidRPr="00610B1B">
          <w:rPr>
            <w:rFonts w:ascii="Times New Roman" w:eastAsia="Times New Roman" w:hAnsi="Times New Roman" w:cs="Times New Roman"/>
            <w:color w:val="0000FF"/>
            <w:sz w:val="24"/>
            <w:szCs w:val="24"/>
            <w:u w:val="single"/>
            <w:lang w:val="bg-BG"/>
          </w:rPr>
          <w:t>https://www.moew.government.bg/static/media/ups/tiny/filebase/Nature/Natura%202000/RAMSAR/Black_Sea_Wet_Catalog-Final.pdf</w:t>
        </w:r>
      </w:hyperlink>
      <w:r w:rsidR="00C415D1" w:rsidRPr="00610B1B">
        <w:rPr>
          <w:rFonts w:ascii="Times New Roman" w:eastAsia="Times New Roman" w:hAnsi="Times New Roman" w:cs="Times New Roman"/>
          <w:sz w:val="24"/>
          <w:szCs w:val="24"/>
          <w:lang w:val="bg-BG"/>
        </w:rPr>
        <w:t xml:space="preserve"> </w:t>
      </w:r>
    </w:p>
    <w:p w14:paraId="3A3FFD18" w14:textId="1B85FB4E"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80" w:history="1">
        <w:r w:rsidR="00BE57CC" w:rsidRPr="00610B1B">
          <w:rPr>
            <w:rFonts w:ascii="Times New Roman" w:eastAsia="Times New Roman" w:hAnsi="Times New Roman" w:cs="Times New Roman"/>
            <w:color w:val="0000FF"/>
            <w:sz w:val="24"/>
            <w:szCs w:val="24"/>
            <w:u w:val="single"/>
            <w:lang w:val="bg-BG"/>
          </w:rPr>
          <w:t>https://www.moew.government.bg/static/media/ups/tiny/Press/Ramsar-knijka.pdf</w:t>
        </w:r>
      </w:hyperlink>
      <w:r w:rsidR="00C415D1" w:rsidRPr="00610B1B">
        <w:rPr>
          <w:rFonts w:ascii="Times New Roman" w:eastAsia="Times New Roman" w:hAnsi="Times New Roman" w:cs="Times New Roman"/>
          <w:sz w:val="24"/>
          <w:szCs w:val="24"/>
          <w:lang w:val="bg-BG"/>
        </w:rPr>
        <w:t xml:space="preserve"> </w:t>
      </w:r>
    </w:p>
    <w:p w14:paraId="43DD54F7" w14:textId="7E068E76" w:rsidR="00BE57CC" w:rsidRPr="00610B1B" w:rsidRDefault="002A152C" w:rsidP="009B6D1D">
      <w:pPr>
        <w:numPr>
          <w:ilvl w:val="0"/>
          <w:numId w:val="99"/>
        </w:numPr>
        <w:spacing w:after="120"/>
        <w:ind w:left="426" w:right="-329" w:hanging="567"/>
        <w:jc w:val="both"/>
        <w:rPr>
          <w:rFonts w:ascii="Times New Roman" w:eastAsia="Times New Roman" w:hAnsi="Times New Roman" w:cs="Times New Roman"/>
          <w:sz w:val="24"/>
          <w:szCs w:val="24"/>
          <w:lang w:val="bg-BG"/>
        </w:rPr>
      </w:pPr>
      <w:hyperlink r:id="rId481" w:history="1">
        <w:r w:rsidR="00BE57CC" w:rsidRPr="00610B1B">
          <w:rPr>
            <w:rFonts w:ascii="Times New Roman" w:eastAsia="Times New Roman" w:hAnsi="Times New Roman" w:cs="Times New Roman"/>
            <w:color w:val="0000FF"/>
            <w:sz w:val="24"/>
            <w:szCs w:val="24"/>
            <w:u w:val="single"/>
            <w:lang w:val="bg-BG"/>
          </w:rPr>
          <w:t>https://www.mrrb.bg/bg/nacionalna-programa-za-prevenciya-i-ogranichavane-na-svlachistata-na-teritoriyata-na-republika-bulgariya-eroziyata-i-abraziyata-po-dunavskoto-i-chernomorskoto-krajbrejie-2015-2020-g-i-dopulnenie-kum-neya-s-novovuzniknali-77199/</w:t>
        </w:r>
      </w:hyperlink>
      <w:r w:rsidR="00D66FE0" w:rsidRPr="00610B1B">
        <w:rPr>
          <w:rFonts w:ascii="Times New Roman" w:eastAsia="Times New Roman" w:hAnsi="Times New Roman" w:cs="Times New Roman"/>
          <w:sz w:val="24"/>
          <w:szCs w:val="24"/>
          <w:lang w:val="bg-BG"/>
        </w:rPr>
        <w:t xml:space="preserve"> </w:t>
      </w:r>
    </w:p>
    <w:p w14:paraId="1D115A01" w14:textId="5C944EBC"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82" w:history="1">
        <w:r w:rsidR="00BE57CC" w:rsidRPr="00610B1B">
          <w:rPr>
            <w:rFonts w:ascii="Times New Roman" w:eastAsia="Times New Roman" w:hAnsi="Times New Roman" w:cs="Times New Roman"/>
            <w:color w:val="0000FF"/>
            <w:sz w:val="24"/>
            <w:szCs w:val="24"/>
            <w:u w:val="single"/>
            <w:lang w:val="bg-BG"/>
          </w:rPr>
          <w:t>https://www.msp-platform.eu/projects/coconet-towards-coast-coast-networks-marine-protected-areas-shore-high-and-deep-sea</w:t>
        </w:r>
      </w:hyperlink>
      <w:r w:rsidR="00D66FE0" w:rsidRPr="00610B1B">
        <w:rPr>
          <w:rFonts w:ascii="Times New Roman" w:eastAsia="Times New Roman" w:hAnsi="Times New Roman" w:cs="Times New Roman"/>
          <w:sz w:val="24"/>
          <w:szCs w:val="24"/>
          <w:lang w:val="bg-BG"/>
        </w:rPr>
        <w:t xml:space="preserve"> </w:t>
      </w:r>
    </w:p>
    <w:p w14:paraId="3DB69CC6" w14:textId="409D6487"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83" w:history="1">
        <w:r w:rsidR="00BE57CC" w:rsidRPr="00610B1B">
          <w:rPr>
            <w:rFonts w:ascii="Times New Roman" w:eastAsia="Times New Roman" w:hAnsi="Times New Roman" w:cs="Times New Roman"/>
            <w:color w:val="0000FF"/>
            <w:sz w:val="24"/>
            <w:szCs w:val="24"/>
            <w:u w:val="single"/>
            <w:lang w:val="bg-BG"/>
          </w:rPr>
          <w:t>https://www.mtitc.government.bg/bg/category/42/integrirana-transportna-strategiya-v-perioda-do-2030-g</w:t>
        </w:r>
      </w:hyperlink>
      <w:r w:rsidR="00D66FE0" w:rsidRPr="00610B1B">
        <w:rPr>
          <w:rFonts w:ascii="Times New Roman" w:eastAsia="Times New Roman" w:hAnsi="Times New Roman" w:cs="Times New Roman"/>
          <w:sz w:val="24"/>
          <w:szCs w:val="24"/>
          <w:lang w:val="bg-BG"/>
        </w:rPr>
        <w:t xml:space="preserve"> </w:t>
      </w:r>
    </w:p>
    <w:p w14:paraId="21A92B8D" w14:textId="71266DE6"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84" w:history="1">
        <w:r w:rsidR="00BE57CC" w:rsidRPr="00610B1B">
          <w:rPr>
            <w:rFonts w:ascii="Times New Roman" w:eastAsia="Times New Roman" w:hAnsi="Times New Roman" w:cs="Times New Roman"/>
            <w:color w:val="0000FF"/>
            <w:sz w:val="24"/>
            <w:szCs w:val="24"/>
            <w:u w:val="single"/>
            <w:lang w:val="bg-BG"/>
          </w:rPr>
          <w:t>https://www.oecd-ilibrary.org/docserver/7969896b-еn.pdf?expires=1590396731&amp;id=id&amp;accname=guest&amp;checksum=1DB3B890EB67DAA0216A6F9DC2F08F30</w:t>
        </w:r>
      </w:hyperlink>
      <w:r w:rsidR="00D66FE0" w:rsidRPr="00610B1B">
        <w:rPr>
          <w:rFonts w:ascii="Times New Roman" w:eastAsia="Times New Roman" w:hAnsi="Times New Roman" w:cs="Times New Roman"/>
          <w:sz w:val="24"/>
          <w:szCs w:val="24"/>
          <w:lang w:val="bg-BG"/>
        </w:rPr>
        <w:t xml:space="preserve"> </w:t>
      </w:r>
    </w:p>
    <w:p w14:paraId="71F88EF8" w14:textId="6A530F1B" w:rsidR="00BE57CC" w:rsidRPr="00610B1B" w:rsidRDefault="002A152C" w:rsidP="009B6D1D">
      <w:pPr>
        <w:numPr>
          <w:ilvl w:val="0"/>
          <w:numId w:val="99"/>
        </w:numPr>
        <w:spacing w:after="120"/>
        <w:ind w:left="426" w:right="-153" w:hanging="567"/>
        <w:jc w:val="both"/>
        <w:rPr>
          <w:rFonts w:ascii="Times New Roman" w:eastAsia="Times New Roman" w:hAnsi="Times New Roman" w:cs="Times New Roman"/>
          <w:sz w:val="24"/>
          <w:szCs w:val="24"/>
          <w:lang w:val="bg-BG"/>
        </w:rPr>
      </w:pPr>
      <w:hyperlink r:id="rId485" w:history="1">
        <w:r w:rsidR="00BE57CC" w:rsidRPr="00610B1B">
          <w:rPr>
            <w:rFonts w:ascii="Times New Roman" w:eastAsia="Times New Roman" w:hAnsi="Times New Roman" w:cs="Times New Roman"/>
            <w:color w:val="0000FF"/>
            <w:sz w:val="24"/>
            <w:szCs w:val="24"/>
            <w:u w:val="single"/>
            <w:lang w:val="bg-BG"/>
          </w:rPr>
          <w:t>https://www.unicef.bg/assets/PDFs/WWL/Transforming_our_world_BG.pdf</w:t>
        </w:r>
      </w:hyperlink>
      <w:bookmarkEnd w:id="543"/>
      <w:r w:rsidR="00BE57CC" w:rsidRPr="00610B1B">
        <w:rPr>
          <w:rFonts w:ascii="Times New Roman" w:eastAsia="Times New Roman" w:hAnsi="Times New Roman" w:cs="Times New Roman"/>
          <w:sz w:val="24"/>
          <w:szCs w:val="24"/>
          <w:lang w:val="bg-BG"/>
        </w:rPr>
        <w:t xml:space="preserve"> </w:t>
      </w:r>
    </w:p>
    <w:p w14:paraId="38029642" w14:textId="77777777" w:rsidR="000D1D3C" w:rsidRPr="00610B1B" w:rsidRDefault="000D1D3C" w:rsidP="00D32D6A">
      <w:pPr>
        <w:spacing w:after="120"/>
        <w:rPr>
          <w:rFonts w:ascii="Times New Roman" w:eastAsia="Times New Roman" w:hAnsi="Times New Roman" w:cs="Times New Roman"/>
          <w:sz w:val="24"/>
          <w:szCs w:val="24"/>
          <w:lang w:val="bg-BG"/>
        </w:rPr>
      </w:pPr>
      <w:r w:rsidRPr="00610B1B">
        <w:rPr>
          <w:rFonts w:ascii="Times New Roman" w:hAnsi="Times New Roman" w:cs="Times New Roman"/>
          <w:lang w:val="bg-BG"/>
        </w:rPr>
        <w:br w:type="page"/>
      </w:r>
    </w:p>
    <w:p w14:paraId="2F3CF81E" w14:textId="77777777" w:rsidR="000D1D3C" w:rsidRPr="00610B1B" w:rsidRDefault="000D1D3C" w:rsidP="000B404C">
      <w:pPr>
        <w:pStyle w:val="Heading1"/>
        <w:tabs>
          <w:tab w:val="clear" w:pos="432"/>
          <w:tab w:val="num" w:pos="142"/>
        </w:tabs>
        <w:spacing w:before="0" w:line="276" w:lineRule="auto"/>
        <w:rPr>
          <w:rFonts w:cs="Times New Roman"/>
        </w:rPr>
      </w:pPr>
      <w:bookmarkStart w:id="544" w:name="_Toc41046223"/>
      <w:bookmarkStart w:id="545" w:name="_Toc83391463"/>
      <w:r w:rsidRPr="00610B1B">
        <w:rPr>
          <w:rFonts w:cs="Times New Roman"/>
        </w:rPr>
        <w:lastRenderedPageBreak/>
        <w:t>СПИСЪК НА ЕКСПЕРТИТЕ ЗА РАЗРАБОТВАНЕ НА МППРБ</w:t>
      </w:r>
      <w:bookmarkEnd w:id="544"/>
      <w:bookmarkEnd w:id="545"/>
    </w:p>
    <w:p w14:paraId="3615F9A1" w14:textId="77777777"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b/>
          <w:lang w:val="bg-BG"/>
        </w:rPr>
        <w:t>Ръководител</w:t>
      </w:r>
      <w:r w:rsidRPr="00610B1B">
        <w:rPr>
          <w:rFonts w:ascii="Times New Roman" w:hAnsi="Times New Roman" w:cs="Times New Roman"/>
          <w:lang w:val="bg-BG"/>
        </w:rPr>
        <w:t xml:space="preserve"> (Р) – проф. д-р арх. Веселина Русева Троева</w:t>
      </w:r>
    </w:p>
    <w:p w14:paraId="041658DA" w14:textId="77777777"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b/>
          <w:lang w:val="bg-BG"/>
        </w:rPr>
        <w:t>Ключов експерт 1 “Пространствено планиране“</w:t>
      </w:r>
      <w:r w:rsidRPr="00610B1B">
        <w:rPr>
          <w:rFonts w:ascii="Times New Roman" w:hAnsi="Times New Roman" w:cs="Times New Roman"/>
          <w:lang w:val="bg-BG"/>
        </w:rPr>
        <w:t xml:space="preserve"> (КЕ1) – арх. Иван Димчев Димчев </w:t>
      </w:r>
    </w:p>
    <w:p w14:paraId="685B61FC" w14:textId="135420CF"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b/>
          <w:lang w:val="bg-BG"/>
        </w:rPr>
        <w:t>Ключов експерт 2</w:t>
      </w:r>
      <w:r w:rsidR="00537D06" w:rsidRPr="00610B1B">
        <w:rPr>
          <w:rFonts w:ascii="Times New Roman" w:hAnsi="Times New Roman" w:cs="Times New Roman"/>
          <w:b/>
          <w:lang w:val="bg-BG"/>
        </w:rPr>
        <w:t> </w:t>
      </w:r>
      <w:r w:rsidRPr="00610B1B">
        <w:rPr>
          <w:rFonts w:ascii="Times New Roman" w:hAnsi="Times New Roman" w:cs="Times New Roman"/>
          <w:b/>
          <w:lang w:val="bg-BG"/>
        </w:rPr>
        <w:t>“Географски</w:t>
      </w:r>
      <w:r w:rsidR="00537D06" w:rsidRPr="00610B1B">
        <w:rPr>
          <w:rFonts w:ascii="Times New Roman" w:hAnsi="Times New Roman" w:cs="Times New Roman"/>
          <w:b/>
          <w:lang w:val="bg-BG"/>
        </w:rPr>
        <w:t> </w:t>
      </w:r>
      <w:r w:rsidRPr="00610B1B">
        <w:rPr>
          <w:rFonts w:ascii="Times New Roman" w:hAnsi="Times New Roman" w:cs="Times New Roman"/>
          <w:b/>
          <w:lang w:val="bg-BG"/>
        </w:rPr>
        <w:t>информационни</w:t>
      </w:r>
      <w:r w:rsidR="00537D06" w:rsidRPr="00610B1B">
        <w:rPr>
          <w:rFonts w:ascii="Times New Roman" w:hAnsi="Times New Roman" w:cs="Times New Roman"/>
          <w:b/>
          <w:lang w:val="bg-BG"/>
        </w:rPr>
        <w:t> </w:t>
      </w:r>
      <w:r w:rsidRPr="00610B1B">
        <w:rPr>
          <w:rFonts w:ascii="Times New Roman" w:hAnsi="Times New Roman" w:cs="Times New Roman"/>
          <w:b/>
          <w:lang w:val="bg-BG"/>
        </w:rPr>
        <w:t>системи”</w:t>
      </w:r>
      <w:r w:rsidR="00537D06" w:rsidRPr="00610B1B">
        <w:rPr>
          <w:rFonts w:ascii="Times New Roman" w:hAnsi="Times New Roman" w:cs="Times New Roman"/>
          <w:lang w:val="bg-BG"/>
        </w:rPr>
        <w:t> </w:t>
      </w:r>
      <w:r w:rsidRPr="00610B1B">
        <w:rPr>
          <w:rFonts w:ascii="Times New Roman" w:hAnsi="Times New Roman" w:cs="Times New Roman"/>
          <w:lang w:val="bg-BG"/>
        </w:rPr>
        <w:t>(КЕ2)</w:t>
      </w:r>
      <w:r w:rsidR="00537D06" w:rsidRPr="00610B1B">
        <w:rPr>
          <w:rFonts w:ascii="Times New Roman" w:hAnsi="Times New Roman" w:cs="Times New Roman"/>
          <w:lang w:val="bg-BG"/>
        </w:rPr>
        <w:t> </w:t>
      </w:r>
      <w:r w:rsidRPr="00610B1B">
        <w:rPr>
          <w:rFonts w:ascii="Times New Roman" w:hAnsi="Times New Roman" w:cs="Times New Roman"/>
          <w:lang w:val="bg-BG"/>
        </w:rPr>
        <w:t xml:space="preserve">– </w:t>
      </w:r>
      <w:r w:rsidRPr="00610B1B">
        <w:rPr>
          <w:rFonts w:ascii="Times New Roman" w:hAnsi="Times New Roman" w:cs="Times New Roman"/>
          <w:lang w:val="bg-BG"/>
        </w:rPr>
        <w:br/>
        <w:t xml:space="preserve">доц. д-р инж. Христо Милев Дечев, УАСГ </w:t>
      </w:r>
    </w:p>
    <w:p w14:paraId="14CAE2A2" w14:textId="664754F1"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b/>
          <w:lang w:val="bg-BG"/>
        </w:rPr>
        <w:t>Ключов експерт</w:t>
      </w:r>
      <w:r w:rsidRPr="00610B1B">
        <w:rPr>
          <w:rFonts w:ascii="Times New Roman" w:hAnsi="Times New Roman" w:cs="Times New Roman"/>
          <w:lang w:val="bg-BG"/>
        </w:rPr>
        <w:t> </w:t>
      </w:r>
      <w:r w:rsidRPr="00610B1B">
        <w:rPr>
          <w:rFonts w:ascii="Times New Roman" w:hAnsi="Times New Roman" w:cs="Times New Roman"/>
          <w:b/>
          <w:lang w:val="bg-BG"/>
        </w:rPr>
        <w:t>3</w:t>
      </w:r>
      <w:r w:rsidR="00537D06" w:rsidRPr="00610B1B">
        <w:rPr>
          <w:rFonts w:ascii="Times New Roman" w:hAnsi="Times New Roman" w:cs="Times New Roman"/>
          <w:b/>
          <w:lang w:val="bg-BG"/>
        </w:rPr>
        <w:t> </w:t>
      </w:r>
      <w:r w:rsidRPr="00610B1B">
        <w:rPr>
          <w:rFonts w:ascii="Times New Roman" w:hAnsi="Times New Roman" w:cs="Times New Roman"/>
          <w:b/>
          <w:lang w:val="bg-BG"/>
        </w:rPr>
        <w:t>“Геология/Хидрогелогия”</w:t>
      </w:r>
      <w:r w:rsidR="00537D06" w:rsidRPr="00610B1B">
        <w:rPr>
          <w:rFonts w:ascii="Times New Roman" w:hAnsi="Times New Roman" w:cs="Times New Roman"/>
          <w:b/>
          <w:lang w:val="bg-BG"/>
        </w:rPr>
        <w:t> </w:t>
      </w:r>
      <w:r w:rsidRPr="00610B1B">
        <w:rPr>
          <w:rFonts w:ascii="Times New Roman" w:hAnsi="Times New Roman" w:cs="Times New Roman"/>
          <w:lang w:val="bg-BG"/>
        </w:rPr>
        <w:t>(КЕ3),</w:t>
      </w:r>
      <w:r w:rsidR="00537D06" w:rsidRPr="00610B1B">
        <w:rPr>
          <w:rFonts w:ascii="Times New Roman" w:hAnsi="Times New Roman" w:cs="Times New Roman"/>
          <w:lang w:val="bg-BG"/>
        </w:rPr>
        <w:t> </w:t>
      </w:r>
      <w:r w:rsidRPr="00610B1B">
        <w:rPr>
          <w:rFonts w:ascii="Times New Roman" w:hAnsi="Times New Roman" w:cs="Times New Roman"/>
          <w:lang w:val="bg-BG"/>
        </w:rPr>
        <w:t>проучвания</w:t>
      </w:r>
      <w:r w:rsidR="00537D06" w:rsidRPr="00610B1B">
        <w:rPr>
          <w:rFonts w:ascii="Times New Roman" w:hAnsi="Times New Roman" w:cs="Times New Roman"/>
          <w:lang w:val="bg-BG"/>
        </w:rPr>
        <w:t> </w:t>
      </w:r>
      <w:r w:rsidRPr="00610B1B">
        <w:rPr>
          <w:rFonts w:ascii="Times New Roman" w:hAnsi="Times New Roman" w:cs="Times New Roman"/>
          <w:lang w:val="bg-BG"/>
        </w:rPr>
        <w:t>и</w:t>
      </w:r>
      <w:r w:rsidR="00537D06" w:rsidRPr="00610B1B">
        <w:rPr>
          <w:rFonts w:ascii="Times New Roman" w:hAnsi="Times New Roman" w:cs="Times New Roman"/>
          <w:lang w:val="bg-BG"/>
        </w:rPr>
        <w:t> </w:t>
      </w:r>
      <w:r w:rsidRPr="00610B1B">
        <w:rPr>
          <w:rFonts w:ascii="Times New Roman" w:hAnsi="Times New Roman" w:cs="Times New Roman"/>
          <w:lang w:val="bg-BG"/>
        </w:rPr>
        <w:t>добив</w:t>
      </w:r>
      <w:r w:rsidR="00537D06" w:rsidRPr="00610B1B">
        <w:rPr>
          <w:rFonts w:ascii="Times New Roman" w:hAnsi="Times New Roman" w:cs="Times New Roman"/>
          <w:lang w:val="bg-BG"/>
        </w:rPr>
        <w:t> </w:t>
      </w:r>
      <w:r w:rsidRPr="00610B1B">
        <w:rPr>
          <w:rFonts w:ascii="Times New Roman" w:hAnsi="Times New Roman" w:cs="Times New Roman"/>
          <w:lang w:val="bg-BG"/>
        </w:rPr>
        <w:t xml:space="preserve">– </w:t>
      </w:r>
      <w:r w:rsidRPr="00610B1B">
        <w:rPr>
          <w:rFonts w:ascii="Times New Roman" w:hAnsi="Times New Roman" w:cs="Times New Roman"/>
          <w:lang w:val="bg-BG"/>
        </w:rPr>
        <w:br/>
        <w:t>проф. д-р инж. Любомир Иванов Димитров, ИО-БАН</w:t>
      </w:r>
    </w:p>
    <w:p w14:paraId="46650B69" w14:textId="77777777"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b/>
          <w:lang w:val="bg-BG"/>
        </w:rPr>
        <w:t>Ключов експерт 4 „Еколог“</w:t>
      </w:r>
      <w:r w:rsidRPr="00610B1B">
        <w:rPr>
          <w:rFonts w:ascii="Times New Roman" w:hAnsi="Times New Roman" w:cs="Times New Roman"/>
          <w:lang w:val="bg-BG"/>
        </w:rPr>
        <w:t xml:space="preserve"> (КЕ4) – д-р Георги Димитров Пърличев, Център за брегови и морски изследвания </w:t>
      </w:r>
    </w:p>
    <w:p w14:paraId="2D739B94" w14:textId="77777777"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b/>
          <w:lang w:val="bg-BG"/>
        </w:rPr>
        <w:t>Ключов експерт 5</w:t>
      </w:r>
      <w:r w:rsidRPr="00610B1B">
        <w:rPr>
          <w:rFonts w:ascii="Times New Roman" w:hAnsi="Times New Roman" w:cs="Times New Roman"/>
          <w:lang w:val="bg-BG"/>
        </w:rPr>
        <w:t xml:space="preserve"> </w:t>
      </w:r>
      <w:r w:rsidRPr="00610B1B">
        <w:rPr>
          <w:rFonts w:ascii="Times New Roman" w:hAnsi="Times New Roman" w:cs="Times New Roman"/>
          <w:b/>
          <w:lang w:val="bg-BG"/>
        </w:rPr>
        <w:t>„М</w:t>
      </w:r>
      <w:r w:rsidRPr="00610B1B">
        <w:rPr>
          <w:rFonts w:ascii="Times New Roman" w:hAnsi="Times New Roman" w:cs="Times New Roman"/>
          <w:b/>
          <w:bCs/>
          <w:lang w:val="bg-BG"/>
        </w:rPr>
        <w:t>орска транспортна и техническа инфраструктура</w:t>
      </w:r>
      <w:r w:rsidRPr="00610B1B">
        <w:rPr>
          <w:rFonts w:ascii="Times New Roman" w:hAnsi="Times New Roman" w:cs="Times New Roman"/>
          <w:b/>
          <w:lang w:val="bg-BG"/>
        </w:rPr>
        <w:t>“</w:t>
      </w:r>
      <w:r w:rsidRPr="00610B1B">
        <w:rPr>
          <w:rFonts w:ascii="Times New Roman" w:hAnsi="Times New Roman" w:cs="Times New Roman"/>
          <w:lang w:val="bg-BG"/>
        </w:rPr>
        <w:t xml:space="preserve"> (КЕ5) – кап.д.п. Богдан Христев Богданов, Българска морска камара</w:t>
      </w:r>
    </w:p>
    <w:p w14:paraId="47244DD7" w14:textId="0C4F6482"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b/>
          <w:lang w:val="bg-BG"/>
        </w:rPr>
        <w:t>Ключов</w:t>
      </w:r>
      <w:r w:rsidR="000A795E" w:rsidRPr="00610B1B">
        <w:rPr>
          <w:rFonts w:ascii="Times New Roman" w:hAnsi="Times New Roman" w:cs="Times New Roman"/>
          <w:b/>
          <w:lang w:val="bg-BG"/>
        </w:rPr>
        <w:t> </w:t>
      </w:r>
      <w:r w:rsidRPr="00610B1B">
        <w:rPr>
          <w:rFonts w:ascii="Times New Roman" w:hAnsi="Times New Roman" w:cs="Times New Roman"/>
          <w:b/>
          <w:lang w:val="bg-BG"/>
        </w:rPr>
        <w:t>експерт</w:t>
      </w:r>
      <w:r w:rsidR="000A795E" w:rsidRPr="00610B1B">
        <w:rPr>
          <w:rFonts w:ascii="Times New Roman" w:hAnsi="Times New Roman" w:cs="Times New Roman"/>
          <w:b/>
          <w:lang w:val="bg-BG"/>
        </w:rPr>
        <w:t> </w:t>
      </w:r>
      <w:r w:rsidRPr="00610B1B">
        <w:rPr>
          <w:rFonts w:ascii="Times New Roman" w:hAnsi="Times New Roman" w:cs="Times New Roman"/>
          <w:b/>
          <w:lang w:val="bg-BG"/>
        </w:rPr>
        <w:t>6</w:t>
      </w:r>
      <w:r w:rsidR="000A795E" w:rsidRPr="00610B1B">
        <w:rPr>
          <w:rFonts w:ascii="Times New Roman" w:hAnsi="Times New Roman" w:cs="Times New Roman"/>
          <w:b/>
          <w:lang w:val="bg-BG"/>
        </w:rPr>
        <w:t> </w:t>
      </w:r>
      <w:r w:rsidRPr="00610B1B">
        <w:rPr>
          <w:rFonts w:ascii="Times New Roman" w:hAnsi="Times New Roman" w:cs="Times New Roman"/>
          <w:b/>
          <w:lang w:val="bg-BG"/>
        </w:rPr>
        <w:t>“Морски</w:t>
      </w:r>
      <w:r w:rsidR="000A795E" w:rsidRPr="00610B1B">
        <w:rPr>
          <w:rFonts w:ascii="Times New Roman" w:hAnsi="Times New Roman" w:cs="Times New Roman"/>
          <w:b/>
          <w:lang w:val="bg-BG"/>
        </w:rPr>
        <w:t> </w:t>
      </w:r>
      <w:r w:rsidRPr="00610B1B">
        <w:rPr>
          <w:rFonts w:ascii="Times New Roman" w:hAnsi="Times New Roman" w:cs="Times New Roman"/>
          <w:b/>
          <w:lang w:val="bg-BG"/>
        </w:rPr>
        <w:t>икономически</w:t>
      </w:r>
      <w:r w:rsidR="000A795E" w:rsidRPr="00610B1B">
        <w:rPr>
          <w:rFonts w:ascii="Times New Roman" w:hAnsi="Times New Roman" w:cs="Times New Roman"/>
          <w:b/>
          <w:lang w:val="bg-BG"/>
        </w:rPr>
        <w:t> </w:t>
      </w:r>
      <w:r w:rsidRPr="00610B1B">
        <w:rPr>
          <w:rFonts w:ascii="Times New Roman" w:hAnsi="Times New Roman" w:cs="Times New Roman"/>
          <w:b/>
          <w:lang w:val="bg-BG"/>
        </w:rPr>
        <w:t>сектори“</w:t>
      </w:r>
      <w:r w:rsidR="000A795E" w:rsidRPr="00610B1B">
        <w:rPr>
          <w:rFonts w:ascii="Times New Roman" w:hAnsi="Times New Roman" w:cs="Times New Roman"/>
          <w:b/>
          <w:lang w:val="bg-BG"/>
        </w:rPr>
        <w:t> </w:t>
      </w:r>
      <w:r w:rsidRPr="00610B1B">
        <w:rPr>
          <w:rFonts w:ascii="Times New Roman" w:hAnsi="Times New Roman" w:cs="Times New Roman"/>
          <w:lang w:val="bg-BG"/>
        </w:rPr>
        <w:t>(КЕ6)</w:t>
      </w:r>
      <w:r w:rsidR="000A795E" w:rsidRPr="00610B1B">
        <w:rPr>
          <w:rFonts w:ascii="Times New Roman" w:hAnsi="Times New Roman" w:cs="Times New Roman"/>
          <w:lang w:val="bg-BG"/>
        </w:rPr>
        <w:t> </w:t>
      </w:r>
      <w:r w:rsidRPr="00610B1B">
        <w:rPr>
          <w:rFonts w:ascii="Times New Roman" w:hAnsi="Times New Roman" w:cs="Times New Roman"/>
          <w:lang w:val="bg-BG"/>
        </w:rPr>
        <w:t xml:space="preserve">– </w:t>
      </w:r>
      <w:r w:rsidR="000A795E" w:rsidRPr="00610B1B">
        <w:rPr>
          <w:rFonts w:ascii="Times New Roman" w:hAnsi="Times New Roman" w:cs="Times New Roman"/>
          <w:lang w:val="bg-BG"/>
        </w:rPr>
        <w:br/>
      </w:r>
      <w:r w:rsidRPr="00610B1B">
        <w:rPr>
          <w:rFonts w:ascii="Times New Roman" w:hAnsi="Times New Roman" w:cs="Times New Roman"/>
          <w:lang w:val="bg-BG"/>
        </w:rPr>
        <w:t xml:space="preserve">ик. д-р Юлия Симеонова Спиридонова </w:t>
      </w:r>
    </w:p>
    <w:p w14:paraId="56CAF91C" w14:textId="77777777"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b/>
          <w:iCs/>
          <w:lang w:val="bg-BG"/>
        </w:rPr>
        <w:t xml:space="preserve">Допълнителен експерт 1 „Функционално зониране“ </w:t>
      </w:r>
      <w:r w:rsidRPr="00610B1B">
        <w:rPr>
          <w:rFonts w:ascii="Times New Roman" w:hAnsi="Times New Roman" w:cs="Times New Roman"/>
          <w:iCs/>
          <w:lang w:val="bg-BG"/>
        </w:rPr>
        <w:t xml:space="preserve">(ДЕ1), трансгранично сътрудничество – арх. Пламен Николайчов Ценов </w:t>
      </w:r>
    </w:p>
    <w:p w14:paraId="43C3965E" w14:textId="524A30F7"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b/>
          <w:iCs/>
          <w:lang w:val="bg-BG"/>
        </w:rPr>
        <w:t>Допълнителен експерт 2 „Географски информационни системи“</w:t>
      </w:r>
      <w:r w:rsidRPr="00610B1B">
        <w:rPr>
          <w:rFonts w:ascii="Times New Roman" w:hAnsi="Times New Roman" w:cs="Times New Roman"/>
          <w:iCs/>
          <w:lang w:val="bg-BG"/>
        </w:rPr>
        <w:t xml:space="preserve"> (ДЕ2),</w:t>
      </w:r>
      <w:r w:rsidR="00D66FE0" w:rsidRPr="00610B1B">
        <w:rPr>
          <w:rFonts w:ascii="Times New Roman" w:hAnsi="Times New Roman" w:cs="Times New Roman"/>
          <w:iCs/>
          <w:lang w:val="bg-BG"/>
        </w:rPr>
        <w:t xml:space="preserve"> </w:t>
      </w:r>
      <w:r w:rsidRPr="00610B1B">
        <w:rPr>
          <w:rFonts w:ascii="Times New Roman" w:hAnsi="Times New Roman" w:cs="Times New Roman"/>
          <w:iCs/>
          <w:lang w:val="bg-BG"/>
        </w:rPr>
        <w:t>урбанизация на крайбрежието, ГИС базирани графични приложения</w:t>
      </w:r>
      <w:r w:rsidR="009417C0" w:rsidRPr="00610B1B">
        <w:rPr>
          <w:rFonts w:ascii="Times New Roman" w:hAnsi="Times New Roman" w:cs="Times New Roman"/>
          <w:iCs/>
          <w:lang w:val="bg-BG"/>
        </w:rPr>
        <w:t xml:space="preserve"> – </w:t>
      </w:r>
      <w:r w:rsidRPr="00610B1B">
        <w:rPr>
          <w:rFonts w:ascii="Times New Roman" w:hAnsi="Times New Roman" w:cs="Times New Roman"/>
          <w:lang w:val="bg-BG"/>
        </w:rPr>
        <w:t>урб. Бойко Минчев Кермекчиев</w:t>
      </w:r>
      <w:r w:rsidRPr="00610B1B">
        <w:rPr>
          <w:rFonts w:ascii="Times New Roman" w:hAnsi="Times New Roman" w:cs="Times New Roman"/>
          <w:b/>
          <w:lang w:val="bg-BG"/>
        </w:rPr>
        <w:t xml:space="preserve"> </w:t>
      </w:r>
    </w:p>
    <w:p w14:paraId="416C5CE7" w14:textId="77777777"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b/>
          <w:iCs/>
          <w:lang w:val="bg-BG"/>
        </w:rPr>
        <w:t>Допълнителен експерт 3 „Взаимодействия море-суша“</w:t>
      </w:r>
      <w:r w:rsidRPr="00610B1B">
        <w:rPr>
          <w:rFonts w:ascii="Times New Roman" w:hAnsi="Times New Roman" w:cs="Times New Roman"/>
          <w:iCs/>
          <w:lang w:val="bg-BG"/>
        </w:rPr>
        <w:t xml:space="preserve"> (ДЕ3), Законодателна рамка – </w:t>
      </w:r>
      <w:r w:rsidRPr="00610B1B">
        <w:rPr>
          <w:rFonts w:ascii="Times New Roman" w:hAnsi="Times New Roman" w:cs="Times New Roman"/>
          <w:lang w:val="bg-BG"/>
        </w:rPr>
        <w:t xml:space="preserve">арх. Детелина Тотева Апостолова </w:t>
      </w:r>
    </w:p>
    <w:p w14:paraId="0B376273" w14:textId="37E8FBA0" w:rsidR="00BE57CC" w:rsidRPr="00610B1B" w:rsidRDefault="00BE57CC" w:rsidP="00E83677">
      <w:pPr>
        <w:pStyle w:val="ListParagraph"/>
        <w:numPr>
          <w:ilvl w:val="0"/>
          <w:numId w:val="73"/>
        </w:numPr>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b/>
          <w:iCs/>
          <w:lang w:val="bg-BG"/>
        </w:rPr>
        <w:t>Допълнителен експерт 4 „Екология“</w:t>
      </w:r>
      <w:r w:rsidRPr="00610B1B">
        <w:rPr>
          <w:rFonts w:ascii="Times New Roman" w:hAnsi="Times New Roman" w:cs="Times New Roman"/>
          <w:iCs/>
          <w:lang w:val="bg-BG"/>
        </w:rPr>
        <w:t xml:space="preserve"> (ДЕ4), защитени територии и защитени зони – </w:t>
      </w:r>
      <w:r w:rsidR="009417C0" w:rsidRPr="00610B1B">
        <w:rPr>
          <w:rFonts w:ascii="Times New Roman" w:hAnsi="Times New Roman" w:cs="Times New Roman"/>
          <w:iCs/>
          <w:lang w:val="bg-BG"/>
        </w:rPr>
        <w:br/>
      </w:r>
      <w:r w:rsidRPr="00610B1B">
        <w:rPr>
          <w:rFonts w:ascii="Times New Roman" w:hAnsi="Times New Roman" w:cs="Times New Roman"/>
          <w:iCs/>
          <w:lang w:val="bg-BG"/>
        </w:rPr>
        <w:t xml:space="preserve">ек. </w:t>
      </w:r>
      <w:r w:rsidRPr="00610B1B">
        <w:rPr>
          <w:rFonts w:ascii="Times New Roman" w:hAnsi="Times New Roman" w:cs="Times New Roman"/>
          <w:bCs/>
          <w:lang w:val="bg-BG"/>
        </w:rPr>
        <w:t>Емил Георгиев Никитов</w:t>
      </w:r>
    </w:p>
    <w:p w14:paraId="66C89B62" w14:textId="77777777"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spacing w:val="-3"/>
          <w:lang w:val="bg-BG" w:eastAsia="bg-BG"/>
        </w:rPr>
      </w:pPr>
      <w:r w:rsidRPr="00610B1B">
        <w:rPr>
          <w:rFonts w:ascii="Times New Roman" w:hAnsi="Times New Roman" w:cs="Times New Roman"/>
          <w:b/>
          <w:iCs/>
          <w:lang w:val="bg-BG"/>
        </w:rPr>
        <w:t>Допълнителен експерт 5 „Пристанищна инфраструктура“</w:t>
      </w:r>
      <w:r w:rsidRPr="00610B1B">
        <w:rPr>
          <w:rFonts w:ascii="Times New Roman" w:hAnsi="Times New Roman" w:cs="Times New Roman"/>
          <w:iCs/>
          <w:lang w:val="bg-BG"/>
        </w:rPr>
        <w:t xml:space="preserve"> (ДЕ5), културно наследство – </w:t>
      </w:r>
      <w:r w:rsidRPr="00610B1B">
        <w:rPr>
          <w:rFonts w:ascii="Times New Roman" w:hAnsi="Times New Roman" w:cs="Times New Roman"/>
          <w:lang w:val="bg-BG"/>
        </w:rPr>
        <w:t xml:space="preserve">урб. Милен Николаев Колев </w:t>
      </w:r>
    </w:p>
    <w:p w14:paraId="38FDF4FD" w14:textId="77777777"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iCs/>
          <w:lang w:val="bg-BG"/>
        </w:rPr>
      </w:pPr>
      <w:r w:rsidRPr="00610B1B">
        <w:rPr>
          <w:rFonts w:ascii="Times New Roman" w:hAnsi="Times New Roman" w:cs="Times New Roman"/>
          <w:b/>
          <w:lang w:val="bg-BG"/>
        </w:rPr>
        <w:t>Допълнителен експерт 6 „Рибарство и аквакултури“</w:t>
      </w:r>
      <w:r w:rsidRPr="00610B1B">
        <w:rPr>
          <w:rFonts w:ascii="Times New Roman" w:hAnsi="Times New Roman" w:cs="Times New Roman"/>
          <w:lang w:val="bg-BG"/>
        </w:rPr>
        <w:t xml:space="preserve"> (ДЕ6) – </w:t>
      </w:r>
      <w:r w:rsidRPr="00610B1B">
        <w:rPr>
          <w:rFonts w:ascii="Times New Roman" w:hAnsi="Times New Roman" w:cs="Times New Roman"/>
          <w:spacing w:val="-3"/>
          <w:lang w:val="bg-BG" w:eastAsia="bg-BG"/>
        </w:rPr>
        <w:t>Димитрина Чакърова, ИАРА</w:t>
      </w:r>
    </w:p>
    <w:p w14:paraId="01AC6774" w14:textId="160B1CB6"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iCs/>
          <w:lang w:val="bg-BG"/>
        </w:rPr>
      </w:pPr>
      <w:r w:rsidRPr="00610B1B">
        <w:rPr>
          <w:rFonts w:ascii="Times New Roman" w:hAnsi="Times New Roman" w:cs="Times New Roman"/>
          <w:b/>
          <w:lang w:val="bg-BG"/>
        </w:rPr>
        <w:t>Координатор –</w:t>
      </w:r>
      <w:r w:rsidR="00D66FE0" w:rsidRPr="00610B1B">
        <w:rPr>
          <w:rFonts w:ascii="Times New Roman" w:hAnsi="Times New Roman" w:cs="Times New Roman"/>
          <w:b/>
          <w:lang w:val="bg-BG"/>
        </w:rPr>
        <w:t xml:space="preserve"> </w:t>
      </w:r>
      <w:r w:rsidRPr="00610B1B">
        <w:rPr>
          <w:rFonts w:ascii="Times New Roman" w:hAnsi="Times New Roman" w:cs="Times New Roman"/>
          <w:lang w:val="bg-BG"/>
        </w:rPr>
        <w:t>инж. Тина Попова – публични консултации, връзки със заинтересовани страни</w:t>
      </w:r>
    </w:p>
    <w:p w14:paraId="4E0982F0" w14:textId="77777777"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iCs/>
          <w:lang w:val="bg-BG"/>
        </w:rPr>
      </w:pPr>
      <w:r w:rsidRPr="00610B1B">
        <w:rPr>
          <w:rFonts w:ascii="Times New Roman" w:hAnsi="Times New Roman" w:cs="Times New Roman"/>
          <w:b/>
          <w:lang w:val="bg-BG"/>
        </w:rPr>
        <w:t>Експерт „Културно наследство“</w:t>
      </w:r>
      <w:r w:rsidRPr="00610B1B">
        <w:rPr>
          <w:rFonts w:ascii="Times New Roman" w:hAnsi="Times New Roman" w:cs="Times New Roman"/>
          <w:lang w:val="bg-BG"/>
        </w:rPr>
        <w:t xml:space="preserve"> – доц. д-р арх. Велина Атанасова Панджарова, УАСГ </w:t>
      </w:r>
    </w:p>
    <w:p w14:paraId="5DF11B10" w14:textId="77777777"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iCs/>
          <w:lang w:val="bg-BG"/>
        </w:rPr>
      </w:pPr>
      <w:r w:rsidRPr="00610B1B">
        <w:rPr>
          <w:rFonts w:ascii="Times New Roman" w:hAnsi="Times New Roman" w:cs="Times New Roman"/>
          <w:b/>
          <w:lang w:val="bg-BG"/>
        </w:rPr>
        <w:t xml:space="preserve">Експерт „Подводно културно наследство“ – </w:t>
      </w:r>
      <w:r w:rsidRPr="00610B1B">
        <w:rPr>
          <w:rFonts w:ascii="Times New Roman" w:hAnsi="Times New Roman" w:cs="Times New Roman"/>
          <w:lang w:val="bg-BG"/>
        </w:rPr>
        <w:t>д-р Калин Димитров, ЦПА, АИМ-БАН</w:t>
      </w:r>
    </w:p>
    <w:p w14:paraId="05A8188C" w14:textId="100750A6"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iCs/>
          <w:lang w:val="bg-BG"/>
        </w:rPr>
      </w:pPr>
      <w:r w:rsidRPr="00610B1B">
        <w:rPr>
          <w:rFonts w:ascii="Times New Roman" w:hAnsi="Times New Roman" w:cs="Times New Roman"/>
          <w:b/>
          <w:lang w:val="bg-BG"/>
        </w:rPr>
        <w:t>Експерт</w:t>
      </w:r>
      <w:r w:rsidR="000A795E" w:rsidRPr="00610B1B">
        <w:rPr>
          <w:rFonts w:ascii="Times New Roman" w:hAnsi="Times New Roman" w:cs="Times New Roman"/>
          <w:b/>
          <w:lang w:val="bg-BG"/>
        </w:rPr>
        <w:t> </w:t>
      </w:r>
      <w:r w:rsidRPr="00610B1B">
        <w:rPr>
          <w:rFonts w:ascii="Times New Roman" w:hAnsi="Times New Roman" w:cs="Times New Roman"/>
          <w:b/>
          <w:lang w:val="bg-BG"/>
        </w:rPr>
        <w:t>„Социологически</w:t>
      </w:r>
      <w:r w:rsidR="000A795E" w:rsidRPr="00610B1B">
        <w:rPr>
          <w:rFonts w:ascii="Times New Roman" w:hAnsi="Times New Roman" w:cs="Times New Roman"/>
          <w:b/>
          <w:lang w:val="bg-BG"/>
        </w:rPr>
        <w:t> </w:t>
      </w:r>
      <w:r w:rsidRPr="00610B1B">
        <w:rPr>
          <w:rFonts w:ascii="Times New Roman" w:hAnsi="Times New Roman" w:cs="Times New Roman"/>
          <w:b/>
          <w:lang w:val="bg-BG"/>
        </w:rPr>
        <w:t>изследвания“</w:t>
      </w:r>
      <w:r w:rsidR="000A795E" w:rsidRPr="00610B1B">
        <w:rPr>
          <w:rFonts w:ascii="Times New Roman" w:hAnsi="Times New Roman" w:cs="Times New Roman"/>
          <w:b/>
          <w:lang w:val="bg-BG"/>
        </w:rPr>
        <w:t> </w:t>
      </w:r>
      <w:r w:rsidRPr="00610B1B">
        <w:rPr>
          <w:rFonts w:ascii="Times New Roman" w:hAnsi="Times New Roman" w:cs="Times New Roman"/>
          <w:b/>
          <w:lang w:val="bg-BG"/>
        </w:rPr>
        <w:t>и</w:t>
      </w:r>
      <w:r w:rsidR="000A795E" w:rsidRPr="00610B1B">
        <w:rPr>
          <w:rFonts w:ascii="Times New Roman" w:hAnsi="Times New Roman" w:cs="Times New Roman"/>
          <w:b/>
          <w:lang w:val="bg-BG"/>
        </w:rPr>
        <w:t> </w:t>
      </w:r>
      <w:r w:rsidRPr="00610B1B">
        <w:rPr>
          <w:rFonts w:ascii="Times New Roman" w:hAnsi="Times New Roman" w:cs="Times New Roman"/>
          <w:b/>
          <w:lang w:val="bg-BG"/>
        </w:rPr>
        <w:t>връзки</w:t>
      </w:r>
      <w:r w:rsidR="000A795E" w:rsidRPr="00610B1B">
        <w:rPr>
          <w:rFonts w:ascii="Times New Roman" w:hAnsi="Times New Roman" w:cs="Times New Roman"/>
          <w:b/>
          <w:lang w:val="bg-BG"/>
        </w:rPr>
        <w:t> </w:t>
      </w:r>
      <w:r w:rsidRPr="00610B1B">
        <w:rPr>
          <w:rFonts w:ascii="Times New Roman" w:hAnsi="Times New Roman" w:cs="Times New Roman"/>
          <w:b/>
          <w:lang w:val="bg-BG"/>
        </w:rPr>
        <w:t>с</w:t>
      </w:r>
      <w:r w:rsidR="000A795E" w:rsidRPr="00610B1B">
        <w:rPr>
          <w:rFonts w:ascii="Times New Roman" w:hAnsi="Times New Roman" w:cs="Times New Roman"/>
          <w:b/>
          <w:lang w:val="bg-BG"/>
        </w:rPr>
        <w:t> </w:t>
      </w:r>
      <w:r w:rsidRPr="00610B1B">
        <w:rPr>
          <w:rFonts w:ascii="Times New Roman" w:hAnsi="Times New Roman" w:cs="Times New Roman"/>
          <w:b/>
          <w:lang w:val="bg-BG"/>
        </w:rPr>
        <w:t>обществеността</w:t>
      </w:r>
      <w:r w:rsidR="000A795E" w:rsidRPr="00610B1B">
        <w:rPr>
          <w:rFonts w:ascii="Times New Roman" w:hAnsi="Times New Roman" w:cs="Times New Roman"/>
          <w:b/>
          <w:lang w:val="bg-BG"/>
        </w:rPr>
        <w:t> </w:t>
      </w:r>
      <w:r w:rsidRPr="00610B1B">
        <w:rPr>
          <w:rFonts w:ascii="Times New Roman" w:hAnsi="Times New Roman" w:cs="Times New Roman"/>
          <w:iCs/>
          <w:lang w:val="bg-BG"/>
        </w:rPr>
        <w:t xml:space="preserve">– </w:t>
      </w:r>
      <w:r w:rsidR="000A795E" w:rsidRPr="00610B1B">
        <w:rPr>
          <w:rFonts w:ascii="Times New Roman" w:hAnsi="Times New Roman" w:cs="Times New Roman"/>
          <w:iCs/>
          <w:lang w:val="bg-BG"/>
        </w:rPr>
        <w:br/>
      </w:r>
      <w:r w:rsidRPr="00610B1B">
        <w:rPr>
          <w:rFonts w:ascii="Times New Roman" w:hAnsi="Times New Roman" w:cs="Times New Roman"/>
          <w:iCs/>
          <w:lang w:val="bg-BG"/>
        </w:rPr>
        <w:t>соц. Павел Вълчев, АлфаРисърч ООД</w:t>
      </w:r>
    </w:p>
    <w:p w14:paraId="1CC25D45" w14:textId="39B3FEC3"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iCs/>
          <w:lang w:val="bg-BG"/>
        </w:rPr>
      </w:pPr>
      <w:r w:rsidRPr="00610B1B">
        <w:rPr>
          <w:rFonts w:ascii="Times New Roman" w:hAnsi="Times New Roman" w:cs="Times New Roman"/>
          <w:b/>
          <w:lang w:val="bg-BG"/>
        </w:rPr>
        <w:t xml:space="preserve">Експерти „Военни обекти и зони“ – </w:t>
      </w:r>
      <w:r w:rsidRPr="00610B1B">
        <w:rPr>
          <w:rFonts w:ascii="Times New Roman" w:hAnsi="Times New Roman" w:cs="Times New Roman"/>
          <w:lang w:val="bg-BG"/>
        </w:rPr>
        <w:t>представители на ВВМУ „Н.</w:t>
      </w:r>
      <w:r w:rsidR="00DE3A13" w:rsidRPr="00610B1B">
        <w:rPr>
          <w:rFonts w:ascii="Times New Roman" w:hAnsi="Times New Roman" w:cs="Times New Roman"/>
          <w:lang w:val="bg-BG"/>
        </w:rPr>
        <w:t xml:space="preserve"> ѝ.</w:t>
      </w:r>
      <w:r w:rsidRPr="00610B1B">
        <w:rPr>
          <w:rFonts w:ascii="Times New Roman" w:hAnsi="Times New Roman" w:cs="Times New Roman"/>
          <w:lang w:val="bg-BG"/>
        </w:rPr>
        <w:t xml:space="preserve"> Вапцаров“</w:t>
      </w:r>
    </w:p>
    <w:p w14:paraId="6780F28F" w14:textId="77777777" w:rsidR="00BE57CC" w:rsidRPr="00610B1B" w:rsidRDefault="00BE57CC" w:rsidP="00BE57CC">
      <w:pPr>
        <w:pStyle w:val="ListParagraph"/>
        <w:spacing w:after="120" w:line="240" w:lineRule="auto"/>
        <w:ind w:left="993" w:hanging="360"/>
        <w:contextualSpacing w:val="0"/>
        <w:rPr>
          <w:rFonts w:ascii="Times New Roman" w:hAnsi="Times New Roman" w:cs="Times New Roman"/>
          <w:iCs/>
          <w:lang w:val="bg-BG"/>
        </w:rPr>
      </w:pPr>
      <w:r w:rsidRPr="00610B1B">
        <w:rPr>
          <w:rFonts w:ascii="Times New Roman" w:hAnsi="Times New Roman" w:cs="Times New Roman"/>
          <w:iCs/>
          <w:lang w:val="bg-BG"/>
        </w:rPr>
        <w:t>Проф. д.в.н. Боян Кирилов Медникаров – Безопасност и сигурност</w:t>
      </w:r>
    </w:p>
    <w:p w14:paraId="58E657A0" w14:textId="77777777" w:rsidR="00BE57CC" w:rsidRPr="00610B1B" w:rsidRDefault="00BE57CC" w:rsidP="00BE57CC">
      <w:pPr>
        <w:pStyle w:val="ListParagraph"/>
        <w:spacing w:after="120" w:line="240" w:lineRule="auto"/>
        <w:ind w:left="993" w:hanging="360"/>
        <w:contextualSpacing w:val="0"/>
        <w:rPr>
          <w:rFonts w:ascii="Times New Roman" w:hAnsi="Times New Roman" w:cs="Times New Roman"/>
          <w:iCs/>
          <w:lang w:val="bg-BG"/>
        </w:rPr>
      </w:pPr>
      <w:r w:rsidRPr="00610B1B">
        <w:rPr>
          <w:rFonts w:ascii="Times New Roman" w:hAnsi="Times New Roman" w:cs="Times New Roman"/>
          <w:iCs/>
          <w:lang w:val="bg-BG"/>
        </w:rPr>
        <w:t>Проф. д-р Калин Спасов Калинов – краткосрочни и дългосрочни прогнози и сценарии</w:t>
      </w:r>
    </w:p>
    <w:p w14:paraId="17BC82BF" w14:textId="510C3DFA" w:rsidR="00BE57CC" w:rsidRPr="00610B1B" w:rsidRDefault="00BE57CC" w:rsidP="00BE57CC">
      <w:pPr>
        <w:pStyle w:val="ListParagraph"/>
        <w:spacing w:after="120" w:line="240" w:lineRule="auto"/>
        <w:ind w:left="993" w:hanging="360"/>
        <w:contextualSpacing w:val="0"/>
        <w:rPr>
          <w:rFonts w:ascii="Times New Roman" w:hAnsi="Times New Roman" w:cs="Times New Roman"/>
          <w:iCs/>
          <w:lang w:val="bg-BG"/>
        </w:rPr>
      </w:pPr>
      <w:r w:rsidRPr="00610B1B">
        <w:rPr>
          <w:rFonts w:ascii="Times New Roman" w:hAnsi="Times New Roman" w:cs="Times New Roman"/>
          <w:iCs/>
          <w:lang w:val="bg-BG"/>
        </w:rPr>
        <w:t>Проф. д-р Мирослав Йорданов Цветков – зони и маршрути</w:t>
      </w:r>
      <w:r w:rsidR="00D66FE0" w:rsidRPr="00610B1B">
        <w:rPr>
          <w:rFonts w:ascii="Times New Roman" w:hAnsi="Times New Roman" w:cs="Times New Roman"/>
          <w:iCs/>
          <w:lang w:val="bg-BG"/>
        </w:rPr>
        <w:t xml:space="preserve"> </w:t>
      </w:r>
      <w:r w:rsidRPr="00610B1B">
        <w:rPr>
          <w:rFonts w:ascii="Times New Roman" w:hAnsi="Times New Roman" w:cs="Times New Roman"/>
          <w:iCs/>
          <w:lang w:val="bg-BG"/>
        </w:rPr>
        <w:t xml:space="preserve">за военни учения </w:t>
      </w:r>
    </w:p>
    <w:p w14:paraId="35F0A943" w14:textId="77777777" w:rsidR="00BE57CC" w:rsidRPr="00610B1B" w:rsidRDefault="00BE57CC" w:rsidP="00BE57CC">
      <w:pPr>
        <w:pStyle w:val="ListParagraph"/>
        <w:spacing w:after="120" w:line="240" w:lineRule="auto"/>
        <w:ind w:left="993" w:hanging="360"/>
        <w:contextualSpacing w:val="0"/>
        <w:rPr>
          <w:rFonts w:ascii="Times New Roman" w:hAnsi="Times New Roman" w:cs="Times New Roman"/>
          <w:iCs/>
          <w:lang w:val="bg-BG"/>
        </w:rPr>
      </w:pPr>
      <w:r w:rsidRPr="00610B1B">
        <w:rPr>
          <w:rFonts w:ascii="Times New Roman" w:hAnsi="Times New Roman" w:cs="Times New Roman"/>
          <w:iCs/>
          <w:lang w:val="bg-BG"/>
        </w:rPr>
        <w:t>д-р Тодор Спасов Калинов – стратегии и прогнози</w:t>
      </w:r>
    </w:p>
    <w:p w14:paraId="6C9A3AF1" w14:textId="77777777" w:rsidR="00BE57CC" w:rsidRPr="00610B1B" w:rsidRDefault="00BE57CC" w:rsidP="00BE57CC">
      <w:pPr>
        <w:pStyle w:val="ListParagraph"/>
        <w:spacing w:after="120" w:line="240" w:lineRule="auto"/>
        <w:ind w:left="993" w:hanging="360"/>
        <w:contextualSpacing w:val="0"/>
        <w:rPr>
          <w:rFonts w:ascii="Times New Roman" w:hAnsi="Times New Roman" w:cs="Times New Roman"/>
          <w:iCs/>
          <w:lang w:val="bg-BG"/>
        </w:rPr>
      </w:pPr>
      <w:r w:rsidRPr="00610B1B">
        <w:rPr>
          <w:rFonts w:ascii="Times New Roman" w:hAnsi="Times New Roman" w:cs="Times New Roman"/>
          <w:iCs/>
          <w:lang w:val="bg-BG"/>
        </w:rPr>
        <w:t>доц. д-р Никола Людмилов Стоянов – военни пристанища и обекти</w:t>
      </w:r>
    </w:p>
    <w:p w14:paraId="73D413F4" w14:textId="77777777" w:rsidR="00BE57CC" w:rsidRPr="00610B1B" w:rsidRDefault="00BE57CC" w:rsidP="00BE57CC">
      <w:pPr>
        <w:pStyle w:val="ListParagraph"/>
        <w:spacing w:after="120" w:line="240" w:lineRule="auto"/>
        <w:ind w:left="993" w:hanging="360"/>
        <w:contextualSpacing w:val="0"/>
        <w:rPr>
          <w:rFonts w:ascii="Times New Roman" w:hAnsi="Times New Roman" w:cs="Times New Roman"/>
          <w:iCs/>
          <w:lang w:val="bg-BG"/>
        </w:rPr>
      </w:pPr>
      <w:r w:rsidRPr="00610B1B">
        <w:rPr>
          <w:rFonts w:ascii="Times New Roman" w:hAnsi="Times New Roman" w:cs="Times New Roman"/>
          <w:iCs/>
          <w:lang w:val="bg-BG"/>
        </w:rPr>
        <w:t>доц. д-р Валентин Симеонов Василев – военни полигони</w:t>
      </w:r>
    </w:p>
    <w:p w14:paraId="2A0E60C4" w14:textId="0009EA18" w:rsidR="00BE57CC" w:rsidRPr="00610B1B" w:rsidRDefault="00BE57CC" w:rsidP="00BE57CC">
      <w:pPr>
        <w:pStyle w:val="ListParagraph"/>
        <w:spacing w:after="120" w:line="240" w:lineRule="auto"/>
        <w:ind w:left="646" w:hanging="360"/>
        <w:contextualSpacing w:val="0"/>
        <w:rPr>
          <w:rFonts w:ascii="Times New Roman" w:hAnsi="Times New Roman" w:cs="Times New Roman"/>
          <w:iCs/>
          <w:lang w:val="bg-BG"/>
        </w:rPr>
      </w:pPr>
    </w:p>
    <w:p w14:paraId="17663A57" w14:textId="6BD1BD69" w:rsidR="009417C0" w:rsidRPr="00610B1B" w:rsidRDefault="009417C0" w:rsidP="00BE57CC">
      <w:pPr>
        <w:pStyle w:val="ListParagraph"/>
        <w:spacing w:after="120" w:line="240" w:lineRule="auto"/>
        <w:ind w:left="646" w:hanging="360"/>
        <w:contextualSpacing w:val="0"/>
        <w:rPr>
          <w:rFonts w:ascii="Times New Roman" w:hAnsi="Times New Roman" w:cs="Times New Roman"/>
          <w:iCs/>
          <w:lang w:val="bg-BG"/>
        </w:rPr>
      </w:pPr>
    </w:p>
    <w:p w14:paraId="685C50F7" w14:textId="77777777" w:rsidR="005C40FC" w:rsidRPr="00610B1B" w:rsidRDefault="005C40FC" w:rsidP="00BE57CC">
      <w:pPr>
        <w:pStyle w:val="ListParagraph"/>
        <w:spacing w:after="120" w:line="240" w:lineRule="auto"/>
        <w:ind w:left="646" w:hanging="360"/>
        <w:contextualSpacing w:val="0"/>
        <w:rPr>
          <w:rFonts w:ascii="Times New Roman" w:hAnsi="Times New Roman" w:cs="Times New Roman"/>
          <w:iCs/>
          <w:lang w:val="bg-BG"/>
        </w:rPr>
      </w:pPr>
    </w:p>
    <w:p w14:paraId="04A3130D" w14:textId="77777777"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iCs/>
          <w:lang w:val="bg-BG"/>
        </w:rPr>
      </w:pPr>
      <w:r w:rsidRPr="00610B1B">
        <w:rPr>
          <w:rFonts w:ascii="Times New Roman" w:hAnsi="Times New Roman" w:cs="Times New Roman"/>
          <w:b/>
          <w:lang w:val="bg-BG"/>
        </w:rPr>
        <w:lastRenderedPageBreak/>
        <w:t xml:space="preserve">Експерти „Защитени зони и биоразнообразие“ </w:t>
      </w:r>
      <w:r w:rsidRPr="00610B1B">
        <w:rPr>
          <w:rFonts w:ascii="Times New Roman" w:hAnsi="Times New Roman" w:cs="Times New Roman"/>
          <w:lang w:val="bg-BG"/>
        </w:rPr>
        <w:t>– представители на ИБЕИ – БАН</w:t>
      </w:r>
    </w:p>
    <w:p w14:paraId="7F1E9703" w14:textId="77777777" w:rsidR="00BE57CC" w:rsidRPr="00610B1B" w:rsidRDefault="00BE57CC" w:rsidP="00BE57CC">
      <w:pPr>
        <w:pStyle w:val="ListParagraph"/>
        <w:spacing w:after="120" w:line="240" w:lineRule="auto"/>
        <w:ind w:left="646" w:hanging="360"/>
        <w:contextualSpacing w:val="0"/>
        <w:rPr>
          <w:rFonts w:ascii="Times New Roman" w:hAnsi="Times New Roman" w:cs="Times New Roman"/>
          <w:iCs/>
          <w:lang w:val="bg-BG"/>
        </w:rPr>
      </w:pPr>
      <w:r w:rsidRPr="00610B1B">
        <w:rPr>
          <w:rFonts w:ascii="Times New Roman" w:hAnsi="Times New Roman" w:cs="Times New Roman"/>
          <w:bCs/>
          <w:lang w:val="bg-BG"/>
        </w:rPr>
        <w:t>д</w:t>
      </w:r>
      <w:r w:rsidRPr="00610B1B">
        <w:rPr>
          <w:rFonts w:ascii="Times New Roman" w:hAnsi="Times New Roman" w:cs="Times New Roman"/>
          <w:iCs/>
          <w:lang w:val="bg-BG"/>
        </w:rPr>
        <w:t>-р Димитър Николов Беров – фитобентос</w:t>
      </w:r>
    </w:p>
    <w:p w14:paraId="53943E42" w14:textId="77777777" w:rsidR="00BE57CC" w:rsidRPr="00610B1B" w:rsidRDefault="00BE57CC" w:rsidP="00BE57CC">
      <w:pPr>
        <w:pStyle w:val="ListParagraph"/>
        <w:spacing w:after="120" w:line="240" w:lineRule="auto"/>
        <w:ind w:left="646" w:hanging="360"/>
        <w:contextualSpacing w:val="0"/>
        <w:rPr>
          <w:rFonts w:ascii="Times New Roman" w:hAnsi="Times New Roman" w:cs="Times New Roman"/>
          <w:iCs/>
          <w:lang w:val="bg-BG"/>
        </w:rPr>
      </w:pPr>
      <w:r w:rsidRPr="00610B1B">
        <w:rPr>
          <w:rFonts w:ascii="Times New Roman" w:hAnsi="Times New Roman" w:cs="Times New Roman"/>
          <w:iCs/>
          <w:lang w:val="bg-BG"/>
        </w:rPr>
        <w:t>д-р Стефания Ласло Клайн – зообентос</w:t>
      </w:r>
    </w:p>
    <w:p w14:paraId="792540AA" w14:textId="77777777" w:rsidR="00BE57CC" w:rsidRPr="00610B1B" w:rsidRDefault="00BE57CC" w:rsidP="00BE57CC">
      <w:pPr>
        <w:pStyle w:val="ListParagraph"/>
        <w:spacing w:after="120" w:line="240" w:lineRule="auto"/>
        <w:ind w:left="646" w:hanging="360"/>
        <w:contextualSpacing w:val="0"/>
        <w:rPr>
          <w:rFonts w:ascii="Times New Roman" w:hAnsi="Times New Roman" w:cs="Times New Roman"/>
          <w:iCs/>
          <w:lang w:val="bg-BG"/>
        </w:rPr>
      </w:pPr>
      <w:r w:rsidRPr="00610B1B">
        <w:rPr>
          <w:rFonts w:ascii="Times New Roman" w:hAnsi="Times New Roman" w:cs="Times New Roman"/>
          <w:iCs/>
          <w:lang w:val="bg-BG"/>
        </w:rPr>
        <w:t>Николай Петров Караиванов – птици</w:t>
      </w:r>
    </w:p>
    <w:p w14:paraId="252EC008" w14:textId="77777777" w:rsidR="00BE57CC" w:rsidRPr="00610B1B" w:rsidRDefault="00BE57CC" w:rsidP="00BE57CC">
      <w:pPr>
        <w:pStyle w:val="ListParagraph"/>
        <w:numPr>
          <w:ilvl w:val="0"/>
          <w:numId w:val="73"/>
        </w:numPr>
        <w:tabs>
          <w:tab w:val="left" w:pos="360"/>
        </w:tabs>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lang w:val="bg-BG"/>
        </w:rPr>
        <w:t>арх. Стойчо Мотев Мотев – Туризъм, Стратегическа част</w:t>
      </w:r>
    </w:p>
    <w:p w14:paraId="0D89B991" w14:textId="77777777" w:rsidR="00BE57CC" w:rsidRPr="00610B1B" w:rsidRDefault="00BE57CC" w:rsidP="00BE57CC">
      <w:pPr>
        <w:pStyle w:val="ListParagraph"/>
        <w:numPr>
          <w:ilvl w:val="0"/>
          <w:numId w:val="73"/>
        </w:numPr>
        <w:tabs>
          <w:tab w:val="left" w:pos="360"/>
        </w:tabs>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lang w:val="bg-BG"/>
        </w:rPr>
        <w:t>мат. Мария Новакова – ГИС база данни и връзка с MARSPLAN BS II</w:t>
      </w:r>
    </w:p>
    <w:p w14:paraId="77A0AE2A" w14:textId="77777777" w:rsidR="00BE57CC" w:rsidRPr="00610B1B" w:rsidRDefault="00BE57CC" w:rsidP="00BE57CC">
      <w:pPr>
        <w:pStyle w:val="ListParagraph"/>
        <w:numPr>
          <w:ilvl w:val="0"/>
          <w:numId w:val="73"/>
        </w:numPr>
        <w:tabs>
          <w:tab w:val="left" w:pos="360"/>
        </w:tabs>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lang w:val="bg-BG"/>
        </w:rPr>
        <w:t>икон.геогр. Димитър Маринов Димитров – демографска динамика и работна сила</w:t>
      </w:r>
    </w:p>
    <w:p w14:paraId="6A466DD4" w14:textId="77777777" w:rsidR="00BE57CC" w:rsidRPr="00610B1B" w:rsidRDefault="00BE57CC" w:rsidP="00BE57CC">
      <w:pPr>
        <w:pStyle w:val="ListParagraph"/>
        <w:numPr>
          <w:ilvl w:val="0"/>
          <w:numId w:val="73"/>
        </w:numPr>
        <w:tabs>
          <w:tab w:val="left" w:pos="360"/>
        </w:tabs>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lang w:val="bg-BG"/>
        </w:rPr>
        <w:t>инж. урб. Диана Антонова – урбанизация на крайбрежието</w:t>
      </w:r>
    </w:p>
    <w:p w14:paraId="2AF03F80" w14:textId="77777777" w:rsidR="00BE57CC" w:rsidRPr="00610B1B" w:rsidRDefault="00BE57CC" w:rsidP="00BE57CC">
      <w:pPr>
        <w:pStyle w:val="ListParagraph"/>
        <w:numPr>
          <w:ilvl w:val="0"/>
          <w:numId w:val="73"/>
        </w:numPr>
        <w:tabs>
          <w:tab w:val="left" w:pos="360"/>
        </w:tabs>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lang w:val="bg-BG"/>
        </w:rPr>
        <w:t>арх. урб. Валерия Хитова – натиск върху акваторията, брегозащита</w:t>
      </w:r>
    </w:p>
    <w:p w14:paraId="5DC0D10A" w14:textId="777015FF" w:rsidR="00BE57CC" w:rsidRPr="00610B1B" w:rsidRDefault="00BE57CC" w:rsidP="00BE57CC">
      <w:pPr>
        <w:pStyle w:val="ListParagraph"/>
        <w:numPr>
          <w:ilvl w:val="0"/>
          <w:numId w:val="73"/>
        </w:numPr>
        <w:tabs>
          <w:tab w:val="left" w:pos="360"/>
        </w:tabs>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lang w:val="bg-BG"/>
        </w:rPr>
        <w:t>урб. Жозеф</w:t>
      </w:r>
      <w:r w:rsidR="00537D06" w:rsidRPr="00610B1B">
        <w:rPr>
          <w:rFonts w:ascii="Times New Roman" w:hAnsi="Times New Roman" w:cs="Times New Roman"/>
          <w:lang w:val="bg-BG"/>
        </w:rPr>
        <w:t xml:space="preserve"> Зен</w:t>
      </w:r>
      <w:r w:rsidRPr="00610B1B">
        <w:rPr>
          <w:rFonts w:ascii="Times New Roman" w:hAnsi="Times New Roman" w:cs="Times New Roman"/>
          <w:lang w:val="bg-BG"/>
        </w:rPr>
        <w:t xml:space="preserve"> Насер – трансгранични взаимодействия, делимитация</w:t>
      </w:r>
    </w:p>
    <w:p w14:paraId="492047AC" w14:textId="77777777" w:rsidR="00BE57CC" w:rsidRPr="00610B1B" w:rsidRDefault="00BE57CC" w:rsidP="00BE57CC">
      <w:pPr>
        <w:pStyle w:val="ListParagraph"/>
        <w:numPr>
          <w:ilvl w:val="0"/>
          <w:numId w:val="73"/>
        </w:numPr>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lang w:val="bg-BG"/>
        </w:rPr>
        <w:t>Мартин Христов – Рибарство и аквакултури, ИАРА</w:t>
      </w:r>
    </w:p>
    <w:p w14:paraId="766A5F8F" w14:textId="77777777" w:rsidR="00BE57CC" w:rsidRPr="00610B1B" w:rsidRDefault="00BE57CC" w:rsidP="00BE57CC">
      <w:pPr>
        <w:pStyle w:val="ListParagraph"/>
        <w:numPr>
          <w:ilvl w:val="0"/>
          <w:numId w:val="73"/>
        </w:numPr>
        <w:tabs>
          <w:tab w:val="left" w:pos="360"/>
        </w:tabs>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lang w:val="bg-BG"/>
        </w:rPr>
        <w:t>инж. урб. Илиана Антова – ГИС приложения</w:t>
      </w:r>
    </w:p>
    <w:p w14:paraId="69E0D520" w14:textId="77777777" w:rsidR="00BE57CC" w:rsidRPr="00610B1B" w:rsidRDefault="00BE57CC" w:rsidP="00BE57CC">
      <w:pPr>
        <w:pStyle w:val="ListParagraph"/>
        <w:numPr>
          <w:ilvl w:val="0"/>
          <w:numId w:val="73"/>
        </w:numPr>
        <w:tabs>
          <w:tab w:val="left" w:pos="360"/>
        </w:tabs>
        <w:spacing w:after="120" w:line="240" w:lineRule="auto"/>
        <w:ind w:left="646"/>
        <w:contextualSpacing w:val="0"/>
        <w:jc w:val="both"/>
        <w:rPr>
          <w:rFonts w:ascii="Times New Roman" w:hAnsi="Times New Roman" w:cs="Times New Roman"/>
          <w:lang w:val="bg-BG"/>
        </w:rPr>
      </w:pPr>
      <w:r w:rsidRPr="00610B1B">
        <w:rPr>
          <w:rFonts w:ascii="Times New Roman" w:hAnsi="Times New Roman" w:cs="Times New Roman"/>
          <w:lang w:val="bg-BG"/>
        </w:rPr>
        <w:t>Янко Янков – ГИС платформа</w:t>
      </w:r>
    </w:p>
    <w:p w14:paraId="2C036384" w14:textId="094EB25D" w:rsidR="000D1D3C" w:rsidRPr="00610B1B" w:rsidRDefault="00BE57CC" w:rsidP="00140F67">
      <w:pPr>
        <w:pStyle w:val="ListParagraph"/>
        <w:numPr>
          <w:ilvl w:val="0"/>
          <w:numId w:val="73"/>
        </w:numPr>
        <w:tabs>
          <w:tab w:val="left" w:pos="360"/>
        </w:tabs>
        <w:spacing w:after="120" w:line="240" w:lineRule="auto"/>
        <w:ind w:left="646"/>
        <w:contextualSpacing w:val="0"/>
        <w:jc w:val="both"/>
        <w:rPr>
          <w:rFonts w:ascii="Times New Roman" w:hAnsi="Times New Roman" w:cs="Times New Roman"/>
          <w:caps/>
          <w:lang w:val="bg-BG"/>
        </w:rPr>
      </w:pPr>
      <w:r w:rsidRPr="00610B1B">
        <w:rPr>
          <w:rFonts w:ascii="Times New Roman" w:hAnsi="Times New Roman" w:cs="Times New Roman"/>
          <w:lang w:val="bg-BG"/>
        </w:rPr>
        <w:t>юрист Елена Атанасова Панджарова – правни норми и режими</w:t>
      </w:r>
    </w:p>
    <w:p w14:paraId="2B1D4731" w14:textId="77777777" w:rsidR="008C58C9" w:rsidRPr="009918C6" w:rsidRDefault="008C58C9" w:rsidP="008C58C9">
      <w:pPr>
        <w:pStyle w:val="ListParagraph"/>
        <w:tabs>
          <w:tab w:val="left" w:pos="360"/>
        </w:tabs>
        <w:spacing w:after="120" w:line="240" w:lineRule="auto"/>
        <w:ind w:left="646"/>
        <w:contextualSpacing w:val="0"/>
        <w:jc w:val="both"/>
        <w:rPr>
          <w:rFonts w:ascii="Times New Roman" w:hAnsi="Times New Roman" w:cs="Times New Roman"/>
          <w:caps/>
          <w:lang w:val="bg-BG"/>
        </w:rPr>
      </w:pPr>
    </w:p>
    <w:sectPr w:rsidR="008C58C9" w:rsidRPr="009918C6" w:rsidSect="00C4605F">
      <w:pgSz w:w="11907" w:h="16839" w:code="9"/>
      <w:pgMar w:top="1134" w:right="85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003B9" w14:textId="77777777" w:rsidR="002A152C" w:rsidRDefault="002A152C" w:rsidP="00E23207">
      <w:pPr>
        <w:spacing w:after="0" w:line="240" w:lineRule="auto"/>
      </w:pPr>
      <w:r>
        <w:separator/>
      </w:r>
    </w:p>
  </w:endnote>
  <w:endnote w:type="continuationSeparator" w:id="0">
    <w:p w14:paraId="3324E7BC" w14:textId="77777777" w:rsidR="002A152C" w:rsidRDefault="002A152C" w:rsidP="00E23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Source Han Sans CN Regular">
    <w:charset w:val="00"/>
    <w:family w:val="auto"/>
    <w:pitch w:val="variable"/>
  </w:font>
  <w:font w:name="Lohit Devanagari">
    <w:altName w:val="Cambria"/>
    <w:charset w:val="00"/>
    <w:family w:val="auto"/>
    <w:pitch w:val="variable"/>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0">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bar">
    <w:altName w:val="Cambria"/>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Domkrat">
    <w:charset w:val="00"/>
    <w:family w:val="swiss"/>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T24o00">
    <w:panose1 w:val="00000000000000000000"/>
    <w:charset w:val="80"/>
    <w:family w:val="auto"/>
    <w:notTrueType/>
    <w:pitch w:val="default"/>
    <w:sig w:usb0="00000001" w:usb1="08070000" w:usb2="00000010" w:usb3="00000000" w:csb0="00020000" w:csb1="00000000"/>
  </w:font>
  <w:font w:name="Times New Roman,Bold">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88"/>
    <w:family w:val="auto"/>
    <w:notTrueType/>
    <w:pitch w:val="default"/>
    <w:sig w:usb0="00000003" w:usb1="080F0000" w:usb2="00000010" w:usb3="00000000" w:csb0="0012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113424259"/>
      <w:docPartObj>
        <w:docPartGallery w:val="Page Numbers (Bottom of Page)"/>
        <w:docPartUnique/>
      </w:docPartObj>
    </w:sdtPr>
    <w:sdtEndPr>
      <w:rPr>
        <w:noProof/>
      </w:rPr>
    </w:sdtEndPr>
    <w:sdtContent>
      <w:p w14:paraId="4CE4E680" w14:textId="066B3323" w:rsidR="00215C86" w:rsidRPr="006230C0" w:rsidRDefault="00215C86">
        <w:pPr>
          <w:pStyle w:val="Footer"/>
          <w:jc w:val="right"/>
          <w:rPr>
            <w:rFonts w:ascii="Times New Roman" w:hAnsi="Times New Roman" w:cs="Times New Roman"/>
          </w:rPr>
        </w:pPr>
        <w:r w:rsidRPr="006230C0">
          <w:rPr>
            <w:rFonts w:ascii="Times New Roman" w:hAnsi="Times New Roman" w:cs="Times New Roman"/>
          </w:rPr>
          <w:fldChar w:fldCharType="begin"/>
        </w:r>
        <w:r w:rsidRPr="006230C0">
          <w:rPr>
            <w:rFonts w:ascii="Times New Roman" w:hAnsi="Times New Roman" w:cs="Times New Roman"/>
          </w:rPr>
          <w:instrText xml:space="preserve"> PAGE   \* MERGEFORMAT </w:instrText>
        </w:r>
        <w:r w:rsidRPr="006230C0">
          <w:rPr>
            <w:rFonts w:ascii="Times New Roman" w:hAnsi="Times New Roman" w:cs="Times New Roman"/>
          </w:rPr>
          <w:fldChar w:fldCharType="separate"/>
        </w:r>
        <w:r w:rsidR="00FD7A4C">
          <w:rPr>
            <w:rFonts w:ascii="Times New Roman" w:hAnsi="Times New Roman" w:cs="Times New Roman"/>
            <w:noProof/>
          </w:rPr>
          <w:t>ii</w:t>
        </w:r>
        <w:r w:rsidRPr="006230C0">
          <w:rPr>
            <w:rFonts w:ascii="Times New Roman" w:hAnsi="Times New Roman" w:cs="Times New Roman"/>
            <w:noProof/>
          </w:rPr>
          <w:fldChar w:fldCharType="end"/>
        </w:r>
      </w:p>
    </w:sdtContent>
  </w:sdt>
  <w:p w14:paraId="046B9E36" w14:textId="6F8B82C4" w:rsidR="00215C86" w:rsidRPr="00595F51" w:rsidRDefault="00FD7A4C" w:rsidP="004B76D4">
    <w:pPr>
      <w:pStyle w:val="Footer"/>
      <w:ind w:right="360"/>
      <w:jc w:val="center"/>
      <w:rPr>
        <w:i/>
        <w:iCs/>
        <w:lang w:val="bg-BG"/>
      </w:rPr>
    </w:pPr>
    <w:r>
      <w:rPr>
        <w:rFonts w:ascii="Times New Roman" w:hAnsi="Times New Roman" w:cs="Times New Roman"/>
        <w:i/>
        <w:iCs/>
        <w:color w:val="0F243E" w:themeColor="text2" w:themeShade="80"/>
        <w:lang w:val="bg-BG"/>
      </w:rPr>
      <w:t>Февруа</w:t>
    </w:r>
    <w:r w:rsidR="00215C86">
      <w:rPr>
        <w:rFonts w:ascii="Times New Roman" w:hAnsi="Times New Roman" w:cs="Times New Roman"/>
        <w:i/>
        <w:iCs/>
        <w:color w:val="0F243E" w:themeColor="text2" w:themeShade="80"/>
        <w:lang w:val="bg-BG"/>
      </w:rPr>
      <w:t>ри 202</w:t>
    </w:r>
    <w:r>
      <w:rPr>
        <w:rFonts w:ascii="Times New Roman" w:hAnsi="Times New Roman" w:cs="Times New Roman"/>
        <w:i/>
        <w:iCs/>
        <w:color w:val="0F243E" w:themeColor="text2" w:themeShade="80"/>
        <w:lang w:val="bg-BG"/>
      </w:rPr>
      <w:t>3</w:t>
    </w:r>
    <w:r w:rsidR="00215C86">
      <w:rPr>
        <w:lang w:val="bg-BG"/>
      </w:rPr>
      <w:t xml:space="preserve"> </w:t>
    </w:r>
    <w:r w:rsidR="00215C86">
      <w:rPr>
        <w:i/>
        <w:iCs/>
        <w:lang w:val="bg-BG"/>
      </w:rPr>
      <w:t>г.</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50686096"/>
      <w:docPartObj>
        <w:docPartGallery w:val="Page Numbers (Bottom of Page)"/>
        <w:docPartUnique/>
      </w:docPartObj>
    </w:sdtPr>
    <w:sdtEndPr>
      <w:rPr>
        <w:noProof/>
        <w:color w:val="0F243E" w:themeColor="text2" w:themeShade="80"/>
      </w:rPr>
    </w:sdtEndPr>
    <w:sdtContent>
      <w:p w14:paraId="07E10F0B" w14:textId="7E494B4E" w:rsidR="00215C86" w:rsidRPr="006230C0" w:rsidRDefault="00215C86">
        <w:pPr>
          <w:pStyle w:val="Footer"/>
          <w:jc w:val="right"/>
          <w:rPr>
            <w:rFonts w:ascii="Times New Roman" w:hAnsi="Times New Roman" w:cs="Times New Roman"/>
          </w:rPr>
        </w:pPr>
        <w:r w:rsidRPr="006230C0">
          <w:rPr>
            <w:rFonts w:ascii="Times New Roman" w:hAnsi="Times New Roman" w:cs="Times New Roman"/>
          </w:rPr>
          <w:fldChar w:fldCharType="begin"/>
        </w:r>
        <w:r w:rsidRPr="006230C0">
          <w:rPr>
            <w:rFonts w:ascii="Times New Roman" w:hAnsi="Times New Roman" w:cs="Times New Roman"/>
          </w:rPr>
          <w:instrText xml:space="preserve"> PAGE   \* MERGEFORMAT </w:instrText>
        </w:r>
        <w:r w:rsidRPr="006230C0">
          <w:rPr>
            <w:rFonts w:ascii="Times New Roman" w:hAnsi="Times New Roman" w:cs="Times New Roman"/>
          </w:rPr>
          <w:fldChar w:fldCharType="separate"/>
        </w:r>
        <w:r w:rsidR="00FD7A4C">
          <w:rPr>
            <w:rFonts w:ascii="Times New Roman" w:hAnsi="Times New Roman" w:cs="Times New Roman"/>
            <w:noProof/>
          </w:rPr>
          <w:t>10</w:t>
        </w:r>
        <w:r w:rsidRPr="006230C0">
          <w:rPr>
            <w:rFonts w:ascii="Times New Roman" w:hAnsi="Times New Roman" w:cs="Times New Roman"/>
            <w:noProof/>
          </w:rPr>
          <w:fldChar w:fldCharType="end"/>
        </w:r>
      </w:p>
    </w:sdtContent>
  </w:sdt>
  <w:p w14:paraId="600ACF8B" w14:textId="335DF716" w:rsidR="00215C86" w:rsidRDefault="00215C86" w:rsidP="004B76D4">
    <w:pPr>
      <w:pStyle w:val="Footer"/>
      <w:ind w:right="360"/>
      <w:jc w:val="center"/>
    </w:pPr>
    <w:r>
      <w:rPr>
        <w:rFonts w:ascii="Times New Roman" w:hAnsi="Times New Roman" w:cs="Times New Roman"/>
        <w:i/>
        <w:iCs/>
        <w:color w:val="0F243E" w:themeColor="text2" w:themeShade="80"/>
        <w:lang w:val="bg-BG"/>
      </w:rPr>
      <w:t>Септември 2021 г.</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8C1CD" w14:textId="77777777" w:rsidR="002A152C" w:rsidRDefault="002A152C" w:rsidP="00E23207">
      <w:pPr>
        <w:spacing w:after="0" w:line="240" w:lineRule="auto"/>
      </w:pPr>
      <w:r>
        <w:separator/>
      </w:r>
    </w:p>
  </w:footnote>
  <w:footnote w:type="continuationSeparator" w:id="0">
    <w:p w14:paraId="22C93A5D" w14:textId="77777777" w:rsidR="002A152C" w:rsidRDefault="002A152C" w:rsidP="00E23207">
      <w:pPr>
        <w:spacing w:after="0" w:line="240" w:lineRule="auto"/>
      </w:pPr>
      <w:r>
        <w:continuationSeparator/>
      </w:r>
    </w:p>
  </w:footnote>
  <w:footnote w:id="1">
    <w:p w14:paraId="36ED7FEF" w14:textId="34B4EFCA" w:rsidR="00215C86" w:rsidRPr="00FD37F6" w:rsidRDefault="00215C86" w:rsidP="004050A5">
      <w:pPr>
        <w:pStyle w:val="FootnoteText"/>
        <w:spacing w:after="20"/>
        <w:ind w:right="-754"/>
        <w:rPr>
          <w:rFonts w:cs="Times New Roman"/>
          <w:sz w:val="20"/>
          <w:szCs w:val="20"/>
        </w:rPr>
      </w:pPr>
      <w:r w:rsidRPr="00FD37F6">
        <w:rPr>
          <w:rStyle w:val="FootnoteReference"/>
          <w:rFonts w:cs="Times New Roman"/>
          <w:sz w:val="20"/>
          <w:szCs w:val="20"/>
        </w:rPr>
        <w:footnoteRef/>
      </w:r>
      <w:r w:rsidRPr="00FD37F6">
        <w:rPr>
          <w:rFonts w:cs="Times New Roman"/>
          <w:sz w:val="20"/>
          <w:szCs w:val="20"/>
        </w:rPr>
        <w:t xml:space="preserve"> Директива 2014/89/ЕС на Европейския парламент и на Съвета за установяване на рамка за морско пространствено планиране </w:t>
      </w:r>
      <w:hyperlink r:id="rId1" w:history="1">
        <w:r w:rsidRPr="00FD37F6">
          <w:rPr>
            <w:rStyle w:val="Hyperlink"/>
            <w:rFonts w:cs="Times New Roman"/>
            <w:sz w:val="20"/>
            <w:szCs w:val="20"/>
          </w:rPr>
          <w:t>http://eur-lex.europa.eu/legal-content/BG/TXT/PDF/?uri=CELEX:32014L0089&amp;from=BG</w:t>
        </w:r>
      </w:hyperlink>
      <w:r w:rsidRPr="00FD37F6">
        <w:rPr>
          <w:rFonts w:cs="Times New Roman"/>
          <w:sz w:val="20"/>
          <w:szCs w:val="20"/>
        </w:rPr>
        <w:t xml:space="preserve"> </w:t>
      </w:r>
    </w:p>
  </w:footnote>
  <w:footnote w:id="2">
    <w:p w14:paraId="5051CD83" w14:textId="77777777" w:rsidR="00215C86" w:rsidRPr="00FD37F6" w:rsidRDefault="00215C86" w:rsidP="004050A5">
      <w:pPr>
        <w:pStyle w:val="FootnoteText"/>
        <w:spacing w:after="20"/>
        <w:ind w:left="284" w:hanging="284"/>
        <w:rPr>
          <w:rFonts w:cs="Times New Roman"/>
          <w:sz w:val="20"/>
          <w:szCs w:val="20"/>
        </w:rPr>
      </w:pPr>
      <w:r w:rsidRPr="00FD37F6">
        <w:rPr>
          <w:rStyle w:val="FootnoteReference"/>
          <w:rFonts w:cs="Times New Roman"/>
          <w:sz w:val="20"/>
          <w:szCs w:val="20"/>
        </w:rPr>
        <w:footnoteRef/>
      </w:r>
      <w:r w:rsidRPr="00FD37F6">
        <w:rPr>
          <w:rFonts w:cs="Times New Roman"/>
          <w:sz w:val="20"/>
          <w:szCs w:val="20"/>
        </w:rPr>
        <w:t xml:space="preserve"> Да преобразим нашия свят: програма за устойчиво развитие до 2030 година. Финален текст </w:t>
      </w:r>
      <w:hyperlink r:id="rId2" w:history="1">
        <w:r w:rsidRPr="00FD37F6">
          <w:rPr>
            <w:rStyle w:val="Hyperlink"/>
            <w:rFonts w:cs="Times New Roman"/>
            <w:sz w:val="20"/>
            <w:szCs w:val="20"/>
          </w:rPr>
          <w:t>https://www.unicef.bg/assets/PDFs/WWL/Transforming_our_world_BG.pdf</w:t>
        </w:r>
      </w:hyperlink>
      <w:r w:rsidRPr="00FD37F6">
        <w:rPr>
          <w:rFonts w:cs="Times New Roman"/>
          <w:sz w:val="20"/>
          <w:szCs w:val="20"/>
        </w:rPr>
        <w:t xml:space="preserve"> </w:t>
      </w:r>
    </w:p>
  </w:footnote>
  <w:footnote w:id="3">
    <w:p w14:paraId="6D4604B0" w14:textId="27E4E5FE"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3" w:history="1">
        <w:r w:rsidRPr="00FD37F6">
          <w:rPr>
            <w:rStyle w:val="Hyperlink"/>
            <w:rFonts w:cs="Times New Roman"/>
            <w:sz w:val="20"/>
            <w:szCs w:val="20"/>
          </w:rPr>
          <w:t>http://publications.europa.eu/resource/cellar/f07ab00e-3795-4146-8739-07dc585b97ad.0008.01/DOC_1</w:t>
        </w:r>
      </w:hyperlink>
      <w:r w:rsidRPr="00FD37F6">
        <w:rPr>
          <w:rFonts w:cs="Times New Roman"/>
          <w:sz w:val="20"/>
          <w:szCs w:val="20"/>
          <w:lang w:val="bg-BG"/>
        </w:rPr>
        <w:t xml:space="preserve"> </w:t>
      </w:r>
    </w:p>
  </w:footnote>
  <w:footnote w:id="4">
    <w:p w14:paraId="322EB592" w14:textId="77777777" w:rsidR="00215C86" w:rsidRPr="00FD37F6" w:rsidRDefault="00215C86" w:rsidP="004050A5">
      <w:pPr>
        <w:pStyle w:val="FootnoteText"/>
        <w:spacing w:after="20"/>
        <w:ind w:right="-612"/>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4"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moew</w:t>
        </w:r>
        <w:r w:rsidRPr="00FD37F6">
          <w:rPr>
            <w:rStyle w:val="Hyperlink"/>
            <w:rFonts w:cs="Times New Roman"/>
            <w:sz w:val="20"/>
            <w:szCs w:val="20"/>
            <w:lang w:val="bg-BG"/>
          </w:rPr>
          <w:t>.</w:t>
        </w:r>
        <w:r w:rsidRPr="00FD37F6">
          <w:rPr>
            <w:rStyle w:val="Hyperlink"/>
            <w:rFonts w:cs="Times New Roman"/>
            <w:sz w:val="20"/>
            <w:szCs w:val="20"/>
          </w:rPr>
          <w:t>government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vodi</w:t>
        </w:r>
        <w:r w:rsidRPr="00FD37F6">
          <w:rPr>
            <w:rStyle w:val="Hyperlink"/>
            <w:rFonts w:cs="Times New Roman"/>
            <w:sz w:val="20"/>
            <w:szCs w:val="20"/>
            <w:lang w:val="bg-BG"/>
          </w:rPr>
          <w:t>/</w:t>
        </w:r>
        <w:r w:rsidRPr="00FD37F6">
          <w:rPr>
            <w:rStyle w:val="Hyperlink"/>
            <w:rFonts w:cs="Times New Roman"/>
            <w:sz w:val="20"/>
            <w:szCs w:val="20"/>
          </w:rPr>
          <w:t>morski</w:t>
        </w:r>
        <w:r w:rsidRPr="00FD37F6">
          <w:rPr>
            <w:rStyle w:val="Hyperlink"/>
            <w:rFonts w:cs="Times New Roman"/>
            <w:sz w:val="20"/>
            <w:szCs w:val="20"/>
            <w:lang w:val="bg-BG"/>
          </w:rPr>
          <w:t>-</w:t>
        </w:r>
        <w:r w:rsidRPr="00FD37F6">
          <w:rPr>
            <w:rStyle w:val="Hyperlink"/>
            <w:rFonts w:cs="Times New Roman"/>
            <w:sz w:val="20"/>
            <w:szCs w:val="20"/>
          </w:rPr>
          <w:t>vodi</w:t>
        </w:r>
        <w:r w:rsidRPr="00FD37F6">
          <w:rPr>
            <w:rStyle w:val="Hyperlink"/>
            <w:rFonts w:cs="Times New Roman"/>
            <w:sz w:val="20"/>
            <w:szCs w:val="20"/>
            <w:lang w:val="bg-BG"/>
          </w:rPr>
          <w:t>/</w:t>
        </w:r>
        <w:r w:rsidRPr="00FD37F6">
          <w:rPr>
            <w:rStyle w:val="Hyperlink"/>
            <w:rFonts w:cs="Times New Roman"/>
            <w:sz w:val="20"/>
            <w:szCs w:val="20"/>
          </w:rPr>
          <w:t>konvenciya</w:t>
        </w:r>
        <w:r w:rsidRPr="00FD37F6">
          <w:rPr>
            <w:rStyle w:val="Hyperlink"/>
            <w:rFonts w:cs="Times New Roman"/>
            <w:sz w:val="20"/>
            <w:szCs w:val="20"/>
            <w:lang w:val="bg-BG"/>
          </w:rPr>
          <w:t>-</w:t>
        </w:r>
        <w:r w:rsidRPr="00FD37F6">
          <w:rPr>
            <w:rStyle w:val="Hyperlink"/>
            <w:rFonts w:cs="Times New Roman"/>
            <w:sz w:val="20"/>
            <w:szCs w:val="20"/>
          </w:rPr>
          <w:t>za</w:t>
        </w:r>
        <w:r w:rsidRPr="00FD37F6">
          <w:rPr>
            <w:rStyle w:val="Hyperlink"/>
            <w:rFonts w:cs="Times New Roman"/>
            <w:sz w:val="20"/>
            <w:szCs w:val="20"/>
            <w:lang w:val="bg-BG"/>
          </w:rPr>
          <w:t>-</w:t>
        </w:r>
        <w:r w:rsidRPr="00FD37F6">
          <w:rPr>
            <w:rStyle w:val="Hyperlink"/>
            <w:rFonts w:cs="Times New Roman"/>
            <w:sz w:val="20"/>
            <w:szCs w:val="20"/>
          </w:rPr>
          <w:t>opazvane</w:t>
        </w:r>
        <w:r w:rsidRPr="00FD37F6">
          <w:rPr>
            <w:rStyle w:val="Hyperlink"/>
            <w:rFonts w:cs="Times New Roman"/>
            <w:sz w:val="20"/>
            <w:szCs w:val="20"/>
            <w:lang w:val="bg-BG"/>
          </w:rPr>
          <w:t>-</w:t>
        </w:r>
        <w:r w:rsidRPr="00FD37F6">
          <w:rPr>
            <w:rStyle w:val="Hyperlink"/>
            <w:rFonts w:cs="Times New Roman"/>
            <w:sz w:val="20"/>
            <w:szCs w:val="20"/>
          </w:rPr>
          <w:t>na</w:t>
        </w:r>
        <w:r w:rsidRPr="00FD37F6">
          <w:rPr>
            <w:rStyle w:val="Hyperlink"/>
            <w:rFonts w:cs="Times New Roman"/>
            <w:sz w:val="20"/>
            <w:szCs w:val="20"/>
            <w:lang w:val="bg-BG"/>
          </w:rPr>
          <w:t>-</w:t>
        </w:r>
        <w:r w:rsidRPr="00FD37F6">
          <w:rPr>
            <w:rStyle w:val="Hyperlink"/>
            <w:rFonts w:cs="Times New Roman"/>
            <w:sz w:val="20"/>
            <w:szCs w:val="20"/>
          </w:rPr>
          <w:t>cherno</w:t>
        </w:r>
        <w:r w:rsidRPr="00FD37F6">
          <w:rPr>
            <w:rStyle w:val="Hyperlink"/>
            <w:rFonts w:cs="Times New Roman"/>
            <w:sz w:val="20"/>
            <w:szCs w:val="20"/>
            <w:lang w:val="bg-BG"/>
          </w:rPr>
          <w:t>-</w:t>
        </w:r>
        <w:r w:rsidRPr="00FD37F6">
          <w:rPr>
            <w:rStyle w:val="Hyperlink"/>
            <w:rFonts w:cs="Times New Roman"/>
            <w:sz w:val="20"/>
            <w:szCs w:val="20"/>
          </w:rPr>
          <w:t>more</w:t>
        </w:r>
        <w:r w:rsidRPr="00FD37F6">
          <w:rPr>
            <w:rStyle w:val="Hyperlink"/>
            <w:rFonts w:cs="Times New Roman"/>
            <w:sz w:val="20"/>
            <w:szCs w:val="20"/>
            <w:lang w:val="bg-BG"/>
          </w:rPr>
          <w:t>-</w:t>
        </w:r>
        <w:r w:rsidRPr="00FD37F6">
          <w:rPr>
            <w:rStyle w:val="Hyperlink"/>
            <w:rFonts w:cs="Times New Roman"/>
            <w:sz w:val="20"/>
            <w:szCs w:val="20"/>
          </w:rPr>
          <w:t>ot</w:t>
        </w:r>
        <w:r w:rsidRPr="00FD37F6">
          <w:rPr>
            <w:rStyle w:val="Hyperlink"/>
            <w:rFonts w:cs="Times New Roman"/>
            <w:sz w:val="20"/>
            <w:szCs w:val="20"/>
            <w:lang w:val="bg-BG"/>
          </w:rPr>
          <w:t>-</w:t>
        </w:r>
        <w:r w:rsidRPr="00FD37F6">
          <w:rPr>
            <w:rStyle w:val="Hyperlink"/>
            <w:rFonts w:cs="Times New Roman"/>
            <w:sz w:val="20"/>
            <w:szCs w:val="20"/>
          </w:rPr>
          <w:t>zamursyavane</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5">
    <w:p w14:paraId="1C0017EF" w14:textId="4518673B"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5" w:history="1">
        <w:r w:rsidRPr="00FD37F6">
          <w:rPr>
            <w:rFonts w:eastAsiaTheme="minorHAnsi" w:cs="Times New Roman"/>
            <w:color w:val="0000FF"/>
            <w:sz w:val="20"/>
            <w:szCs w:val="20"/>
            <w:u w:val="single"/>
            <w:lang w:eastAsia="en-US" w:bidi="ar-SA"/>
          </w:rPr>
          <w:t>https</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www</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eea</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europa</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eu</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themes</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water</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europes</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seas</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and</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coasts</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europes</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seas</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and</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coasts</w:t>
        </w:r>
      </w:hyperlink>
      <w:r w:rsidRPr="00FD37F6">
        <w:rPr>
          <w:rFonts w:eastAsiaTheme="minorHAnsi" w:cs="Times New Roman"/>
          <w:sz w:val="20"/>
          <w:szCs w:val="20"/>
          <w:lang w:val="bg-BG" w:eastAsia="en-US" w:bidi="ar-SA"/>
        </w:rPr>
        <w:t xml:space="preserve"> </w:t>
      </w:r>
    </w:p>
  </w:footnote>
  <w:footnote w:id="6">
    <w:p w14:paraId="4E364D75" w14:textId="0811E7C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rPr>
        <w:t xml:space="preserve"> Marine spatial planning. A Step-by-Step Approach toward Ecosystem-based Management, </w:t>
      </w:r>
      <w:r w:rsidRPr="00FD37F6">
        <w:rPr>
          <w:rFonts w:cs="Times New Roman"/>
          <w:sz w:val="20"/>
          <w:szCs w:val="20"/>
          <w:lang w:val="bg-BG"/>
        </w:rPr>
        <w:t xml:space="preserve">2009. </w:t>
      </w:r>
      <w:r w:rsidRPr="00FD37F6">
        <w:rPr>
          <w:rFonts w:cs="Times New Roman"/>
          <w:sz w:val="20"/>
          <w:szCs w:val="20"/>
          <w:lang w:val="en-US"/>
        </w:rPr>
        <w:t>IOC</w:t>
      </w:r>
      <w:r w:rsidRPr="00FD37F6">
        <w:rPr>
          <w:rFonts w:cs="Times New Roman"/>
          <w:sz w:val="20"/>
          <w:szCs w:val="20"/>
          <w:lang w:val="bg-BG"/>
        </w:rPr>
        <w:t xml:space="preserve">, </w:t>
      </w:r>
      <w:r w:rsidRPr="00FD37F6">
        <w:rPr>
          <w:rFonts w:cs="Times New Roman"/>
          <w:sz w:val="20"/>
          <w:szCs w:val="20"/>
          <w:lang w:val="en-US"/>
        </w:rPr>
        <w:t>MAB</w:t>
      </w:r>
      <w:r w:rsidRPr="00FD37F6">
        <w:rPr>
          <w:rFonts w:cs="Times New Roman"/>
          <w:sz w:val="20"/>
          <w:szCs w:val="20"/>
          <w:lang w:val="bg-BG"/>
        </w:rPr>
        <w:t xml:space="preserve"> </w:t>
      </w:r>
      <w:r w:rsidRPr="00FD37F6">
        <w:rPr>
          <w:rFonts w:cs="Times New Roman"/>
          <w:sz w:val="20"/>
          <w:szCs w:val="20"/>
          <w:lang w:val="en-US"/>
        </w:rPr>
        <w:t>UNESCO</w:t>
      </w:r>
      <w:r w:rsidRPr="00FD37F6">
        <w:rPr>
          <w:rFonts w:cs="Times New Roman"/>
          <w:sz w:val="20"/>
          <w:szCs w:val="20"/>
          <w:lang w:val="bg-BG"/>
        </w:rPr>
        <w:t xml:space="preserve"> </w:t>
      </w:r>
      <w:hyperlink r:id="rId6"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unesdoc</w:t>
        </w:r>
        <w:r w:rsidRPr="00FD37F6">
          <w:rPr>
            <w:rStyle w:val="Hyperlink"/>
            <w:rFonts w:cs="Times New Roman"/>
            <w:sz w:val="20"/>
            <w:szCs w:val="20"/>
            <w:lang w:val="bg-BG"/>
          </w:rPr>
          <w:t>.</w:t>
        </w:r>
        <w:r w:rsidRPr="00FD37F6">
          <w:rPr>
            <w:rStyle w:val="Hyperlink"/>
            <w:rFonts w:cs="Times New Roman"/>
            <w:sz w:val="20"/>
            <w:szCs w:val="20"/>
          </w:rPr>
          <w:t>unesco</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images</w:t>
        </w:r>
        <w:r w:rsidRPr="00FD37F6">
          <w:rPr>
            <w:rStyle w:val="Hyperlink"/>
            <w:rFonts w:cs="Times New Roman"/>
            <w:sz w:val="20"/>
            <w:szCs w:val="20"/>
            <w:lang w:val="bg-BG"/>
          </w:rPr>
          <w:t>/0018/001865/186559</w:t>
        </w:r>
        <w:r w:rsidRPr="00FD37F6">
          <w:rPr>
            <w:rStyle w:val="Hyperlink"/>
            <w:rFonts w:cs="Times New Roman"/>
            <w:sz w:val="20"/>
            <w:szCs w:val="20"/>
          </w:rPr>
          <w:t>e</w:t>
        </w:r>
        <w:r w:rsidRPr="00FD37F6">
          <w:rPr>
            <w:rStyle w:val="Hyperlink"/>
            <w:rFonts w:cs="Times New Roman"/>
            <w:sz w:val="20"/>
            <w:szCs w:val="20"/>
            <w:lang w:val="bg-BG"/>
          </w:rPr>
          <w:t>.</w:t>
        </w:r>
        <w:r w:rsidRPr="00FD37F6">
          <w:rPr>
            <w:rStyle w:val="Hyperlink"/>
            <w:rFonts w:cs="Times New Roman"/>
            <w:sz w:val="20"/>
            <w:szCs w:val="20"/>
          </w:rPr>
          <w:t>pdf</w:t>
        </w:r>
      </w:hyperlink>
      <w:r w:rsidRPr="00FD37F6">
        <w:rPr>
          <w:rFonts w:cs="Times New Roman"/>
          <w:sz w:val="20"/>
          <w:szCs w:val="20"/>
          <w:lang w:val="bg-BG"/>
        </w:rPr>
        <w:t xml:space="preserve"> </w:t>
      </w:r>
    </w:p>
  </w:footnote>
  <w:footnote w:id="7">
    <w:p w14:paraId="14466B75" w14:textId="34296F53" w:rsidR="00215C86" w:rsidRPr="00FD37F6" w:rsidRDefault="00215C86" w:rsidP="00A43DF1">
      <w:pPr>
        <w:pStyle w:val="FootnoteText"/>
        <w:spacing w:after="20"/>
        <w:ind w:right="-754"/>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Директива 2014/89/ЕС на Европейския парламент и на Съвета за установяване на рамка за морско пространствено планиране </w:t>
      </w:r>
      <w:hyperlink r:id="rId7"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eur</w:t>
        </w:r>
        <w:r w:rsidRPr="00FD37F6">
          <w:rPr>
            <w:rStyle w:val="Hyperlink"/>
            <w:rFonts w:cs="Times New Roman"/>
            <w:sz w:val="20"/>
            <w:szCs w:val="20"/>
            <w:lang w:val="bg-BG"/>
          </w:rPr>
          <w:t>-</w:t>
        </w:r>
        <w:r w:rsidRPr="00FD37F6">
          <w:rPr>
            <w:rStyle w:val="Hyperlink"/>
            <w:rFonts w:cs="Times New Roman"/>
            <w:sz w:val="20"/>
            <w:szCs w:val="20"/>
          </w:rPr>
          <w:t>lex</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legal</w:t>
        </w:r>
        <w:r w:rsidRPr="00FD37F6">
          <w:rPr>
            <w:rStyle w:val="Hyperlink"/>
            <w:rFonts w:cs="Times New Roman"/>
            <w:sz w:val="20"/>
            <w:szCs w:val="20"/>
            <w:lang w:val="bg-BG"/>
          </w:rPr>
          <w:t>-</w:t>
        </w:r>
        <w:r w:rsidRPr="00FD37F6">
          <w:rPr>
            <w:rStyle w:val="Hyperlink"/>
            <w:rFonts w:cs="Times New Roman"/>
            <w:sz w:val="20"/>
            <w:szCs w:val="20"/>
          </w:rPr>
          <w:t>content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TXT</w:t>
        </w:r>
        <w:r w:rsidRPr="00FD37F6">
          <w:rPr>
            <w:rStyle w:val="Hyperlink"/>
            <w:rFonts w:cs="Times New Roman"/>
            <w:sz w:val="20"/>
            <w:szCs w:val="20"/>
            <w:lang w:val="bg-BG"/>
          </w:rPr>
          <w:t>/</w:t>
        </w:r>
        <w:r w:rsidRPr="00FD37F6">
          <w:rPr>
            <w:rStyle w:val="Hyperlink"/>
            <w:rFonts w:cs="Times New Roman"/>
            <w:sz w:val="20"/>
            <w:szCs w:val="20"/>
          </w:rPr>
          <w:t>PDF</w:t>
        </w:r>
        <w:r w:rsidRPr="00FD37F6">
          <w:rPr>
            <w:rStyle w:val="Hyperlink"/>
            <w:rFonts w:cs="Times New Roman"/>
            <w:sz w:val="20"/>
            <w:szCs w:val="20"/>
            <w:lang w:val="bg-BG"/>
          </w:rPr>
          <w:t>/?</w:t>
        </w:r>
        <w:r w:rsidRPr="00FD37F6">
          <w:rPr>
            <w:rStyle w:val="Hyperlink"/>
            <w:rFonts w:cs="Times New Roman"/>
            <w:sz w:val="20"/>
            <w:szCs w:val="20"/>
          </w:rPr>
          <w:t>uri</w:t>
        </w:r>
        <w:r w:rsidRPr="00FD37F6">
          <w:rPr>
            <w:rStyle w:val="Hyperlink"/>
            <w:rFonts w:cs="Times New Roman"/>
            <w:sz w:val="20"/>
            <w:szCs w:val="20"/>
            <w:lang w:val="bg-BG"/>
          </w:rPr>
          <w:t>=</w:t>
        </w:r>
        <w:r w:rsidRPr="00FD37F6">
          <w:rPr>
            <w:rStyle w:val="Hyperlink"/>
            <w:rFonts w:cs="Times New Roman"/>
            <w:sz w:val="20"/>
            <w:szCs w:val="20"/>
          </w:rPr>
          <w:t>CELEX</w:t>
        </w:r>
        <w:r w:rsidRPr="00FD37F6">
          <w:rPr>
            <w:rStyle w:val="Hyperlink"/>
            <w:rFonts w:cs="Times New Roman"/>
            <w:sz w:val="20"/>
            <w:szCs w:val="20"/>
            <w:lang w:val="bg-BG"/>
          </w:rPr>
          <w:t>:32014</w:t>
        </w:r>
        <w:r w:rsidRPr="00FD37F6">
          <w:rPr>
            <w:rStyle w:val="Hyperlink"/>
            <w:rFonts w:cs="Times New Roman"/>
            <w:sz w:val="20"/>
            <w:szCs w:val="20"/>
          </w:rPr>
          <w:t>L</w:t>
        </w:r>
        <w:r w:rsidRPr="00FD37F6">
          <w:rPr>
            <w:rStyle w:val="Hyperlink"/>
            <w:rFonts w:cs="Times New Roman"/>
            <w:sz w:val="20"/>
            <w:szCs w:val="20"/>
            <w:lang w:val="bg-BG"/>
          </w:rPr>
          <w:t>0089&amp;</w:t>
        </w:r>
        <w:r w:rsidRPr="00FD37F6">
          <w:rPr>
            <w:rStyle w:val="Hyperlink"/>
            <w:rFonts w:cs="Times New Roman"/>
            <w:sz w:val="20"/>
            <w:szCs w:val="20"/>
          </w:rPr>
          <w:t>from</w:t>
        </w:r>
        <w:r w:rsidRPr="00FD37F6">
          <w:rPr>
            <w:rStyle w:val="Hyperlink"/>
            <w:rFonts w:cs="Times New Roman"/>
            <w:sz w:val="20"/>
            <w:szCs w:val="20"/>
            <w:lang w:val="bg-BG"/>
          </w:rPr>
          <w:t>=</w:t>
        </w:r>
        <w:r w:rsidRPr="00FD37F6">
          <w:rPr>
            <w:rStyle w:val="Hyperlink"/>
            <w:rFonts w:cs="Times New Roman"/>
            <w:sz w:val="20"/>
            <w:szCs w:val="20"/>
          </w:rPr>
          <w:t>BG</w:t>
        </w:r>
      </w:hyperlink>
      <w:r w:rsidRPr="00FD37F6">
        <w:rPr>
          <w:rFonts w:cs="Times New Roman"/>
          <w:sz w:val="20"/>
          <w:szCs w:val="20"/>
          <w:lang w:val="bg-BG"/>
        </w:rPr>
        <w:t xml:space="preserve"> </w:t>
      </w:r>
    </w:p>
  </w:footnote>
  <w:footnote w:id="8">
    <w:p w14:paraId="612D3AB9" w14:textId="4337414D"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8"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cbd</w:t>
        </w:r>
        <w:r w:rsidRPr="00FD37F6">
          <w:rPr>
            <w:rStyle w:val="Hyperlink"/>
            <w:rFonts w:cs="Times New Roman"/>
            <w:sz w:val="20"/>
            <w:szCs w:val="20"/>
            <w:lang w:val="bg-BG"/>
          </w:rPr>
          <w:t>.</w:t>
        </w:r>
        <w:r w:rsidRPr="00FD37F6">
          <w:rPr>
            <w:rStyle w:val="Hyperlink"/>
            <w:rFonts w:cs="Times New Roman"/>
            <w:sz w:val="20"/>
            <w:szCs w:val="20"/>
          </w:rPr>
          <w:t>int</w:t>
        </w:r>
        <w:r w:rsidRPr="00FD37F6">
          <w:rPr>
            <w:rStyle w:val="Hyperlink"/>
            <w:rFonts w:cs="Times New Roman"/>
            <w:sz w:val="20"/>
            <w:szCs w:val="20"/>
            <w:lang w:val="bg-BG"/>
          </w:rPr>
          <w:t>/</w:t>
        </w:r>
        <w:r w:rsidRPr="00FD37F6">
          <w:rPr>
            <w:rStyle w:val="Hyperlink"/>
            <w:rFonts w:cs="Times New Roman"/>
            <w:sz w:val="20"/>
            <w:szCs w:val="20"/>
          </w:rPr>
          <w:t>ecosystem</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9">
    <w:p w14:paraId="66464049" w14:textId="77777777" w:rsidR="00215C86" w:rsidRPr="00FD37F6" w:rsidRDefault="00215C86" w:rsidP="00A43DF1">
      <w:pPr>
        <w:pStyle w:val="FootnoteText"/>
        <w:spacing w:after="20"/>
        <w:ind w:right="-187"/>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9"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eur</w:t>
        </w:r>
        <w:r w:rsidRPr="00FD37F6">
          <w:rPr>
            <w:rStyle w:val="Hyperlink"/>
            <w:rFonts w:cs="Times New Roman"/>
            <w:sz w:val="20"/>
            <w:szCs w:val="20"/>
            <w:lang w:val="bg-BG"/>
          </w:rPr>
          <w:t>-</w:t>
        </w:r>
        <w:r w:rsidRPr="00FD37F6">
          <w:rPr>
            <w:rStyle w:val="Hyperlink"/>
            <w:rFonts w:cs="Times New Roman"/>
            <w:sz w:val="20"/>
            <w:szCs w:val="20"/>
          </w:rPr>
          <w:t>lex</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legal</w:t>
        </w:r>
        <w:r w:rsidRPr="00FD37F6">
          <w:rPr>
            <w:rStyle w:val="Hyperlink"/>
            <w:rFonts w:cs="Times New Roman"/>
            <w:sz w:val="20"/>
            <w:szCs w:val="20"/>
            <w:lang w:val="bg-BG"/>
          </w:rPr>
          <w:t>-</w:t>
        </w:r>
        <w:r w:rsidRPr="00FD37F6">
          <w:rPr>
            <w:rStyle w:val="Hyperlink"/>
            <w:rFonts w:cs="Times New Roman"/>
            <w:sz w:val="20"/>
            <w:szCs w:val="20"/>
          </w:rPr>
          <w:t>content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TXT</w:t>
        </w:r>
        <w:r w:rsidRPr="00FD37F6">
          <w:rPr>
            <w:rStyle w:val="Hyperlink"/>
            <w:rFonts w:cs="Times New Roman"/>
            <w:sz w:val="20"/>
            <w:szCs w:val="20"/>
            <w:lang w:val="bg-BG"/>
          </w:rPr>
          <w:t>/?</w:t>
        </w:r>
        <w:r w:rsidRPr="00FD37F6">
          <w:rPr>
            <w:rStyle w:val="Hyperlink"/>
            <w:rFonts w:cs="Times New Roman"/>
            <w:sz w:val="20"/>
            <w:szCs w:val="20"/>
          </w:rPr>
          <w:t>uri</w:t>
        </w:r>
        <w:r w:rsidRPr="00FD37F6">
          <w:rPr>
            <w:rStyle w:val="Hyperlink"/>
            <w:rFonts w:cs="Times New Roman"/>
            <w:sz w:val="20"/>
            <w:szCs w:val="20"/>
            <w:lang w:val="bg-BG"/>
          </w:rPr>
          <w:t>=</w:t>
        </w:r>
        <w:r w:rsidRPr="00FD37F6">
          <w:rPr>
            <w:rStyle w:val="Hyperlink"/>
            <w:rFonts w:cs="Times New Roman"/>
            <w:sz w:val="20"/>
            <w:szCs w:val="20"/>
          </w:rPr>
          <w:t>CELEX</w:t>
        </w:r>
        <w:r w:rsidRPr="00FD37F6">
          <w:rPr>
            <w:rStyle w:val="Hyperlink"/>
            <w:rFonts w:cs="Times New Roman"/>
            <w:sz w:val="20"/>
            <w:szCs w:val="20"/>
            <w:lang w:val="bg-BG"/>
          </w:rPr>
          <w:t>%3</w:t>
        </w:r>
        <w:r w:rsidRPr="00FD37F6">
          <w:rPr>
            <w:rStyle w:val="Hyperlink"/>
            <w:rFonts w:cs="Times New Roman"/>
            <w:sz w:val="20"/>
            <w:szCs w:val="20"/>
          </w:rPr>
          <w:t>A</w:t>
        </w:r>
        <w:r w:rsidRPr="00FD37F6">
          <w:rPr>
            <w:rStyle w:val="Hyperlink"/>
            <w:rFonts w:cs="Times New Roman"/>
            <w:sz w:val="20"/>
            <w:szCs w:val="20"/>
            <w:lang w:val="bg-BG"/>
          </w:rPr>
          <w:t>32008</w:t>
        </w:r>
        <w:r w:rsidRPr="00FD37F6">
          <w:rPr>
            <w:rStyle w:val="Hyperlink"/>
            <w:rFonts w:cs="Times New Roman"/>
            <w:sz w:val="20"/>
            <w:szCs w:val="20"/>
          </w:rPr>
          <w:t>L</w:t>
        </w:r>
        <w:r w:rsidRPr="00FD37F6">
          <w:rPr>
            <w:rStyle w:val="Hyperlink"/>
            <w:rFonts w:cs="Times New Roman"/>
            <w:sz w:val="20"/>
            <w:szCs w:val="20"/>
            <w:lang w:val="bg-BG"/>
          </w:rPr>
          <w:t>0056</w:t>
        </w:r>
      </w:hyperlink>
      <w:r w:rsidRPr="00FD37F6">
        <w:rPr>
          <w:rFonts w:cs="Times New Roman"/>
          <w:sz w:val="20"/>
          <w:szCs w:val="20"/>
          <w:lang w:val="bg-BG"/>
        </w:rPr>
        <w:t xml:space="preserve"> </w:t>
      </w:r>
    </w:p>
  </w:footnote>
  <w:footnote w:id="10">
    <w:p w14:paraId="6CCB2882" w14:textId="54B2DED2"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0"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eur</w:t>
        </w:r>
        <w:r w:rsidRPr="00FD37F6">
          <w:rPr>
            <w:rStyle w:val="Hyperlink"/>
            <w:rFonts w:cs="Times New Roman"/>
            <w:sz w:val="20"/>
            <w:szCs w:val="20"/>
            <w:lang w:val="bg-BG"/>
          </w:rPr>
          <w:t>-</w:t>
        </w:r>
        <w:r w:rsidRPr="00FD37F6">
          <w:rPr>
            <w:rStyle w:val="Hyperlink"/>
            <w:rFonts w:cs="Times New Roman"/>
            <w:sz w:val="20"/>
            <w:szCs w:val="20"/>
          </w:rPr>
          <w:t>lex</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LexUriServ</w:t>
        </w:r>
        <w:r w:rsidRPr="00FD37F6">
          <w:rPr>
            <w:rStyle w:val="Hyperlink"/>
            <w:rFonts w:cs="Times New Roman"/>
            <w:sz w:val="20"/>
            <w:szCs w:val="20"/>
            <w:lang w:val="bg-BG"/>
          </w:rPr>
          <w:t>/</w:t>
        </w:r>
        <w:r w:rsidRPr="00FD37F6">
          <w:rPr>
            <w:rStyle w:val="Hyperlink"/>
            <w:rFonts w:cs="Times New Roman"/>
            <w:sz w:val="20"/>
            <w:szCs w:val="20"/>
          </w:rPr>
          <w:t>LexUriServ</w:t>
        </w:r>
        <w:r w:rsidRPr="00FD37F6">
          <w:rPr>
            <w:rStyle w:val="Hyperlink"/>
            <w:rFonts w:cs="Times New Roman"/>
            <w:sz w:val="20"/>
            <w:szCs w:val="20"/>
            <w:lang w:val="bg-BG"/>
          </w:rPr>
          <w:t>.</w:t>
        </w:r>
        <w:r w:rsidRPr="00FD37F6">
          <w:rPr>
            <w:rStyle w:val="Hyperlink"/>
            <w:rFonts w:cs="Times New Roman"/>
            <w:sz w:val="20"/>
            <w:szCs w:val="20"/>
          </w:rPr>
          <w:t>do</w:t>
        </w:r>
        <w:r w:rsidRPr="00FD37F6">
          <w:rPr>
            <w:rStyle w:val="Hyperlink"/>
            <w:rFonts w:cs="Times New Roman"/>
            <w:sz w:val="20"/>
            <w:szCs w:val="20"/>
            <w:lang w:val="bg-BG"/>
          </w:rPr>
          <w:t>?</w:t>
        </w:r>
        <w:r w:rsidRPr="00FD37F6">
          <w:rPr>
            <w:rStyle w:val="Hyperlink"/>
            <w:rFonts w:cs="Times New Roman"/>
            <w:sz w:val="20"/>
            <w:szCs w:val="20"/>
          </w:rPr>
          <w:t>uri</w:t>
        </w:r>
        <w:r w:rsidRPr="00FD37F6">
          <w:rPr>
            <w:rStyle w:val="Hyperlink"/>
            <w:rFonts w:cs="Times New Roman"/>
            <w:sz w:val="20"/>
            <w:szCs w:val="20"/>
            <w:lang w:val="bg-BG"/>
          </w:rPr>
          <w:t>=</w:t>
        </w:r>
        <w:r w:rsidRPr="00FD37F6">
          <w:rPr>
            <w:rStyle w:val="Hyperlink"/>
            <w:rFonts w:cs="Times New Roman"/>
            <w:sz w:val="20"/>
            <w:szCs w:val="20"/>
          </w:rPr>
          <w:t>COM</w:t>
        </w:r>
        <w:r w:rsidRPr="00FD37F6">
          <w:rPr>
            <w:rStyle w:val="Hyperlink"/>
            <w:rFonts w:cs="Times New Roman"/>
            <w:sz w:val="20"/>
            <w:szCs w:val="20"/>
            <w:lang w:val="bg-BG"/>
          </w:rPr>
          <w:t>:2008:0791:</w:t>
        </w:r>
        <w:r w:rsidRPr="00FD37F6">
          <w:rPr>
            <w:rStyle w:val="Hyperlink"/>
            <w:rFonts w:cs="Times New Roman"/>
            <w:sz w:val="20"/>
            <w:szCs w:val="20"/>
          </w:rPr>
          <w:t>FIN</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PDF</w:t>
        </w:r>
      </w:hyperlink>
      <w:r w:rsidRPr="00FD37F6">
        <w:rPr>
          <w:rFonts w:cs="Times New Roman"/>
          <w:sz w:val="20"/>
          <w:szCs w:val="20"/>
          <w:lang w:val="bg-BG"/>
        </w:rPr>
        <w:t xml:space="preserve"> </w:t>
      </w:r>
    </w:p>
  </w:footnote>
  <w:footnote w:id="11">
    <w:p w14:paraId="365F111B" w14:textId="686E10AA"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1"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inspire</w:t>
        </w:r>
        <w:r w:rsidRPr="00FD37F6">
          <w:rPr>
            <w:rStyle w:val="Hyperlink"/>
            <w:rFonts w:cs="Times New Roman"/>
            <w:sz w:val="20"/>
            <w:szCs w:val="20"/>
            <w:lang w:val="bg-BG"/>
          </w:rPr>
          <w:t>.</w:t>
        </w:r>
        <w:r w:rsidRPr="00FD37F6">
          <w:rPr>
            <w:rStyle w:val="Hyperlink"/>
            <w:rFonts w:cs="Times New Roman"/>
            <w:sz w:val="20"/>
            <w:szCs w:val="20"/>
          </w:rPr>
          <w:t>ec</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id</w:t>
        </w:r>
        <w:r w:rsidRPr="00FD37F6">
          <w:rPr>
            <w:rStyle w:val="Hyperlink"/>
            <w:rFonts w:cs="Times New Roman"/>
            <w:sz w:val="20"/>
            <w:szCs w:val="20"/>
            <w:lang w:val="bg-BG"/>
          </w:rPr>
          <w:t>/</w:t>
        </w:r>
        <w:r w:rsidRPr="00FD37F6">
          <w:rPr>
            <w:rStyle w:val="Hyperlink"/>
            <w:rFonts w:cs="Times New Roman"/>
            <w:sz w:val="20"/>
            <w:szCs w:val="20"/>
          </w:rPr>
          <w:t>document</w:t>
        </w:r>
        <w:r w:rsidRPr="00FD37F6">
          <w:rPr>
            <w:rStyle w:val="Hyperlink"/>
            <w:rFonts w:cs="Times New Roman"/>
            <w:sz w:val="20"/>
            <w:szCs w:val="20"/>
            <w:lang w:val="bg-BG"/>
          </w:rPr>
          <w:t>/</w:t>
        </w:r>
        <w:r w:rsidRPr="00FD37F6">
          <w:rPr>
            <w:rStyle w:val="Hyperlink"/>
            <w:rFonts w:cs="Times New Roman"/>
            <w:sz w:val="20"/>
            <w:szCs w:val="20"/>
          </w:rPr>
          <w:t>tg</w:t>
        </w:r>
        <w:r w:rsidRPr="00FD37F6">
          <w:rPr>
            <w:rStyle w:val="Hyperlink"/>
            <w:rFonts w:cs="Times New Roman"/>
            <w:sz w:val="20"/>
            <w:szCs w:val="20"/>
            <w:lang w:val="bg-BG"/>
          </w:rPr>
          <w:t>/</w:t>
        </w:r>
        <w:r w:rsidRPr="00FD37F6">
          <w:rPr>
            <w:rStyle w:val="Hyperlink"/>
            <w:rFonts w:cs="Times New Roman"/>
            <w:sz w:val="20"/>
            <w:szCs w:val="20"/>
          </w:rPr>
          <w:t>sr</w:t>
        </w:r>
      </w:hyperlink>
      <w:r w:rsidRPr="00FD37F6">
        <w:rPr>
          <w:rFonts w:cs="Times New Roman"/>
          <w:sz w:val="20"/>
          <w:szCs w:val="20"/>
          <w:lang w:val="bg-BG"/>
        </w:rPr>
        <w:t xml:space="preserve"> </w:t>
      </w:r>
    </w:p>
  </w:footnote>
  <w:footnote w:id="12">
    <w:p w14:paraId="2FDE56AC"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2" w:history="1">
        <w:r w:rsidRPr="00FD37F6">
          <w:rPr>
            <w:rStyle w:val="Hyperlink"/>
            <w:rFonts w:cs="Times New Roman"/>
            <w:sz w:val="20"/>
            <w:szCs w:val="20"/>
            <w:lang w:val="bg-BG"/>
          </w:rPr>
          <w:t>https://epsg.io/7800</w:t>
        </w:r>
      </w:hyperlink>
    </w:p>
  </w:footnote>
  <w:footnote w:id="13">
    <w:p w14:paraId="1F8A1945" w14:textId="201F49E6"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3"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emodnet</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portals</w:t>
        </w:r>
      </w:hyperlink>
      <w:r w:rsidRPr="00FD37F6">
        <w:rPr>
          <w:rFonts w:cs="Times New Roman"/>
          <w:sz w:val="20"/>
          <w:szCs w:val="20"/>
          <w:lang w:val="bg-BG"/>
        </w:rPr>
        <w:t xml:space="preserve"> </w:t>
      </w:r>
    </w:p>
  </w:footnote>
  <w:footnote w:id="14">
    <w:p w14:paraId="60177940" w14:textId="11EF6D1C"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4"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eea</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themes</w:t>
        </w:r>
        <w:r w:rsidRPr="00FD37F6">
          <w:rPr>
            <w:rStyle w:val="Hyperlink"/>
            <w:rFonts w:cs="Times New Roman"/>
            <w:sz w:val="20"/>
            <w:szCs w:val="20"/>
            <w:lang w:val="bg-BG"/>
          </w:rPr>
          <w:t>/</w:t>
        </w:r>
        <w:r w:rsidRPr="00FD37F6">
          <w:rPr>
            <w:rStyle w:val="Hyperlink"/>
            <w:rFonts w:cs="Times New Roman"/>
            <w:sz w:val="20"/>
            <w:szCs w:val="20"/>
          </w:rPr>
          <w:t>water</w:t>
        </w:r>
        <w:r w:rsidRPr="00FD37F6">
          <w:rPr>
            <w:rStyle w:val="Hyperlink"/>
            <w:rFonts w:cs="Times New Roman"/>
            <w:sz w:val="20"/>
            <w:szCs w:val="20"/>
            <w:lang w:val="bg-BG"/>
          </w:rPr>
          <w:t>/</w:t>
        </w:r>
        <w:r w:rsidRPr="00FD37F6">
          <w:rPr>
            <w:rStyle w:val="Hyperlink"/>
            <w:rFonts w:cs="Times New Roman"/>
            <w:sz w:val="20"/>
            <w:szCs w:val="20"/>
          </w:rPr>
          <w:t>europes</w:t>
        </w:r>
        <w:r w:rsidRPr="00FD37F6">
          <w:rPr>
            <w:rStyle w:val="Hyperlink"/>
            <w:rFonts w:cs="Times New Roman"/>
            <w:sz w:val="20"/>
            <w:szCs w:val="20"/>
            <w:lang w:val="bg-BG"/>
          </w:rPr>
          <w:t>-</w:t>
        </w:r>
        <w:r w:rsidRPr="00FD37F6">
          <w:rPr>
            <w:rStyle w:val="Hyperlink"/>
            <w:rFonts w:cs="Times New Roman"/>
            <w:sz w:val="20"/>
            <w:szCs w:val="20"/>
          </w:rPr>
          <w:t>seas</w:t>
        </w:r>
        <w:r w:rsidRPr="00FD37F6">
          <w:rPr>
            <w:rStyle w:val="Hyperlink"/>
            <w:rFonts w:cs="Times New Roman"/>
            <w:sz w:val="20"/>
            <w:szCs w:val="20"/>
            <w:lang w:val="bg-BG"/>
          </w:rPr>
          <w:t>-</w:t>
        </w:r>
        <w:r w:rsidRPr="00FD37F6">
          <w:rPr>
            <w:rStyle w:val="Hyperlink"/>
            <w:rFonts w:cs="Times New Roman"/>
            <w:sz w:val="20"/>
            <w:szCs w:val="20"/>
          </w:rPr>
          <w:t>and</w:t>
        </w:r>
        <w:r w:rsidRPr="00FD37F6">
          <w:rPr>
            <w:rStyle w:val="Hyperlink"/>
            <w:rFonts w:cs="Times New Roman"/>
            <w:sz w:val="20"/>
            <w:szCs w:val="20"/>
            <w:lang w:val="bg-BG"/>
          </w:rPr>
          <w:t>-</w:t>
        </w:r>
        <w:r w:rsidRPr="00FD37F6">
          <w:rPr>
            <w:rStyle w:val="Hyperlink"/>
            <w:rFonts w:cs="Times New Roman"/>
            <w:sz w:val="20"/>
            <w:szCs w:val="20"/>
          </w:rPr>
          <w:t>coasts</w:t>
        </w:r>
      </w:hyperlink>
      <w:r w:rsidRPr="00FD37F6">
        <w:rPr>
          <w:rFonts w:cs="Times New Roman"/>
          <w:sz w:val="20"/>
          <w:szCs w:val="20"/>
          <w:lang w:val="bg-BG"/>
        </w:rPr>
        <w:t xml:space="preserve"> </w:t>
      </w:r>
    </w:p>
  </w:footnote>
  <w:footnote w:id="15">
    <w:p w14:paraId="7E0159D6" w14:textId="4BA3ABFF"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5"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water</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marine</w:t>
        </w:r>
      </w:hyperlink>
      <w:r w:rsidRPr="00FD37F6">
        <w:rPr>
          <w:rFonts w:cs="Times New Roman"/>
          <w:sz w:val="20"/>
          <w:szCs w:val="20"/>
          <w:lang w:val="bg-BG"/>
        </w:rPr>
        <w:t xml:space="preserve"> </w:t>
      </w:r>
    </w:p>
  </w:footnote>
  <w:footnote w:id="16">
    <w:p w14:paraId="08E412E9" w14:textId="6E910E78"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12/11.02.2000 г., изм. и доп. ДВ бр. 28/29.03.2018 г.</w:t>
      </w:r>
    </w:p>
  </w:footnote>
  <w:footnote w:id="17">
    <w:p w14:paraId="5E3C0723" w14:textId="1D85F17C"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6"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blacksea</w:t>
        </w:r>
        <w:r w:rsidRPr="00FD37F6">
          <w:rPr>
            <w:rStyle w:val="Hyperlink"/>
            <w:rFonts w:cs="Times New Roman"/>
            <w:sz w:val="20"/>
            <w:szCs w:val="20"/>
            <w:lang w:val="bg-BG"/>
          </w:rPr>
          <w:t>-</w:t>
        </w:r>
        <w:r w:rsidRPr="00FD37F6">
          <w:rPr>
            <w:rStyle w:val="Hyperlink"/>
            <w:rFonts w:cs="Times New Roman"/>
            <w:sz w:val="20"/>
            <w:szCs w:val="20"/>
          </w:rPr>
          <w:t>commission</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18">
    <w:p w14:paraId="48359DC9" w14:textId="6EF992C2"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7"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fao</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fishery</w:t>
        </w:r>
        <w:r w:rsidRPr="00FD37F6">
          <w:rPr>
            <w:rStyle w:val="Hyperlink"/>
            <w:rFonts w:cs="Times New Roman"/>
            <w:sz w:val="20"/>
            <w:szCs w:val="20"/>
            <w:lang w:val="bg-BG"/>
          </w:rPr>
          <w:t>/</w:t>
        </w:r>
        <w:r w:rsidRPr="00FD37F6">
          <w:rPr>
            <w:rStyle w:val="Hyperlink"/>
            <w:rFonts w:cs="Times New Roman"/>
            <w:sz w:val="20"/>
            <w:szCs w:val="20"/>
          </w:rPr>
          <w:t>en</w:t>
        </w:r>
      </w:hyperlink>
      <w:r w:rsidRPr="00FD37F6">
        <w:rPr>
          <w:rFonts w:cs="Times New Roman"/>
          <w:sz w:val="20"/>
          <w:szCs w:val="20"/>
          <w:lang w:val="bg-BG"/>
        </w:rPr>
        <w:t xml:space="preserve"> </w:t>
      </w:r>
    </w:p>
  </w:footnote>
  <w:footnote w:id="19">
    <w:p w14:paraId="3CE6929D" w14:textId="48A14D1E"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23/1999 г., доп. ДВ бр. 98/27.11.2018 г.</w:t>
      </w:r>
    </w:p>
  </w:footnote>
  <w:footnote w:id="20">
    <w:p w14:paraId="4AD28FBE" w14:textId="06919A8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96/2017 г., изм. ДВ бр.</w:t>
      </w:r>
      <w:r w:rsidRPr="00390518">
        <w:rPr>
          <w:rFonts w:cs="Times New Roman"/>
          <w:sz w:val="20"/>
          <w:szCs w:val="20"/>
          <w:lang w:val="bg-BG"/>
        </w:rPr>
        <w:t xml:space="preserve"> </w:t>
      </w:r>
      <w:r w:rsidRPr="00FD37F6">
        <w:rPr>
          <w:rFonts w:cs="Times New Roman"/>
          <w:sz w:val="20"/>
          <w:szCs w:val="20"/>
          <w:lang w:val="bg-BG"/>
        </w:rPr>
        <w:t>79/08.10.2019 г.</w:t>
      </w:r>
    </w:p>
  </w:footnote>
  <w:footnote w:id="21">
    <w:p w14:paraId="0E847644" w14:textId="1C23B426"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8"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emodnet</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portals</w:t>
        </w:r>
      </w:hyperlink>
      <w:r w:rsidRPr="00FD37F6">
        <w:rPr>
          <w:rFonts w:cs="Times New Roman"/>
          <w:sz w:val="20"/>
          <w:szCs w:val="20"/>
          <w:lang w:val="bg-BG"/>
        </w:rPr>
        <w:t xml:space="preserve"> </w:t>
      </w:r>
    </w:p>
  </w:footnote>
  <w:footnote w:id="22">
    <w:p w14:paraId="4ED4D345" w14:textId="53B33EE1"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Дневен ред 21. Глава 17, </w:t>
      </w:r>
      <w:hyperlink r:id="rId19"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un</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depts</w:t>
        </w:r>
        <w:r w:rsidRPr="00FD37F6">
          <w:rPr>
            <w:rStyle w:val="Hyperlink"/>
            <w:rFonts w:cs="Times New Roman"/>
            <w:sz w:val="20"/>
            <w:szCs w:val="20"/>
            <w:lang w:val="bg-BG"/>
          </w:rPr>
          <w:t>/</w:t>
        </w:r>
        <w:r w:rsidRPr="00FD37F6">
          <w:rPr>
            <w:rStyle w:val="Hyperlink"/>
            <w:rFonts w:cs="Times New Roman"/>
            <w:sz w:val="20"/>
            <w:szCs w:val="20"/>
          </w:rPr>
          <w:t>los</w:t>
        </w:r>
        <w:r w:rsidRPr="00FD37F6">
          <w:rPr>
            <w:rStyle w:val="Hyperlink"/>
            <w:rFonts w:cs="Times New Roman"/>
            <w:sz w:val="20"/>
            <w:szCs w:val="20"/>
            <w:lang w:val="bg-BG"/>
          </w:rPr>
          <w:t>/</w:t>
        </w:r>
        <w:r w:rsidRPr="00FD37F6">
          <w:rPr>
            <w:rStyle w:val="Hyperlink"/>
            <w:rFonts w:cs="Times New Roman"/>
            <w:sz w:val="20"/>
            <w:szCs w:val="20"/>
          </w:rPr>
          <w:t>consultative</w:t>
        </w:r>
        <w:r w:rsidRPr="00FD37F6">
          <w:rPr>
            <w:rStyle w:val="Hyperlink"/>
            <w:rFonts w:cs="Times New Roman"/>
            <w:sz w:val="20"/>
            <w:szCs w:val="20"/>
            <w:lang w:val="bg-BG"/>
          </w:rPr>
          <w:t>_</w:t>
        </w:r>
        <w:r w:rsidRPr="00FD37F6">
          <w:rPr>
            <w:rStyle w:val="Hyperlink"/>
            <w:rFonts w:cs="Times New Roman"/>
            <w:sz w:val="20"/>
            <w:szCs w:val="20"/>
          </w:rPr>
          <w:t>process</w:t>
        </w:r>
        <w:r w:rsidRPr="00FD37F6">
          <w:rPr>
            <w:rStyle w:val="Hyperlink"/>
            <w:rFonts w:cs="Times New Roman"/>
            <w:sz w:val="20"/>
            <w:szCs w:val="20"/>
            <w:lang w:val="bg-BG"/>
          </w:rPr>
          <w:t>/</w:t>
        </w:r>
        <w:r w:rsidRPr="00FD37F6">
          <w:rPr>
            <w:rStyle w:val="Hyperlink"/>
            <w:rFonts w:cs="Times New Roman"/>
            <w:sz w:val="20"/>
            <w:szCs w:val="20"/>
          </w:rPr>
          <w:t>documents</w:t>
        </w:r>
        <w:r w:rsidRPr="00FD37F6">
          <w:rPr>
            <w:rStyle w:val="Hyperlink"/>
            <w:rFonts w:cs="Times New Roman"/>
            <w:sz w:val="20"/>
            <w:szCs w:val="20"/>
            <w:lang w:val="bg-BG"/>
          </w:rPr>
          <w:t>/</w:t>
        </w:r>
        <w:r w:rsidRPr="00FD37F6">
          <w:rPr>
            <w:rStyle w:val="Hyperlink"/>
            <w:rFonts w:cs="Times New Roman"/>
            <w:sz w:val="20"/>
            <w:szCs w:val="20"/>
          </w:rPr>
          <w:t>A</w:t>
        </w:r>
        <w:r w:rsidRPr="00FD37F6">
          <w:rPr>
            <w:rStyle w:val="Hyperlink"/>
            <w:rFonts w:cs="Times New Roman"/>
            <w:sz w:val="20"/>
            <w:szCs w:val="20"/>
            <w:lang w:val="bg-BG"/>
          </w:rPr>
          <w:t>21-</w:t>
        </w:r>
        <w:r w:rsidRPr="00FD37F6">
          <w:rPr>
            <w:rStyle w:val="Hyperlink"/>
            <w:rFonts w:cs="Times New Roman"/>
            <w:sz w:val="20"/>
            <w:szCs w:val="20"/>
          </w:rPr>
          <w:t>Ch</w:t>
        </w:r>
        <w:r w:rsidRPr="00FD37F6">
          <w:rPr>
            <w:rStyle w:val="Hyperlink"/>
            <w:rFonts w:cs="Times New Roman"/>
            <w:sz w:val="20"/>
            <w:szCs w:val="20"/>
            <w:lang w:val="bg-BG"/>
          </w:rPr>
          <w:t>17.</w:t>
        </w:r>
        <w:r w:rsidRPr="00FD37F6">
          <w:rPr>
            <w:rStyle w:val="Hyperlink"/>
            <w:rFonts w:cs="Times New Roman"/>
            <w:sz w:val="20"/>
            <w:szCs w:val="20"/>
          </w:rPr>
          <w:t>htm</w:t>
        </w:r>
      </w:hyperlink>
      <w:r w:rsidRPr="00FD37F6">
        <w:rPr>
          <w:rFonts w:cs="Times New Roman"/>
          <w:sz w:val="20"/>
          <w:szCs w:val="20"/>
          <w:lang w:val="bg-BG"/>
        </w:rPr>
        <w:t xml:space="preserve"> </w:t>
      </w:r>
    </w:p>
  </w:footnote>
  <w:footnote w:id="23">
    <w:p w14:paraId="7A912663" w14:textId="77777777" w:rsidR="00215C86" w:rsidRPr="00FD37F6" w:rsidRDefault="00215C86" w:rsidP="00A43DF1">
      <w:pPr>
        <w:pStyle w:val="FootnoteText"/>
        <w:spacing w:after="20"/>
        <w:ind w:left="284" w:hanging="284"/>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Да преобразим нашия свят: програма за устойчиво развитие до 2030 година. Финален текст </w:t>
      </w:r>
      <w:hyperlink r:id="rId20"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unicef</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assets</w:t>
        </w:r>
        <w:r w:rsidRPr="00FD37F6">
          <w:rPr>
            <w:rStyle w:val="Hyperlink"/>
            <w:rFonts w:cs="Times New Roman"/>
            <w:sz w:val="20"/>
            <w:szCs w:val="20"/>
            <w:lang w:val="bg-BG"/>
          </w:rPr>
          <w:t>/</w:t>
        </w:r>
        <w:r w:rsidRPr="00FD37F6">
          <w:rPr>
            <w:rStyle w:val="Hyperlink"/>
            <w:rFonts w:cs="Times New Roman"/>
            <w:sz w:val="20"/>
            <w:szCs w:val="20"/>
          </w:rPr>
          <w:t>PDFs</w:t>
        </w:r>
        <w:r w:rsidRPr="00FD37F6">
          <w:rPr>
            <w:rStyle w:val="Hyperlink"/>
            <w:rFonts w:cs="Times New Roman"/>
            <w:sz w:val="20"/>
            <w:szCs w:val="20"/>
            <w:lang w:val="bg-BG"/>
          </w:rPr>
          <w:t>/</w:t>
        </w:r>
        <w:r w:rsidRPr="00FD37F6">
          <w:rPr>
            <w:rStyle w:val="Hyperlink"/>
            <w:rFonts w:cs="Times New Roman"/>
            <w:sz w:val="20"/>
            <w:szCs w:val="20"/>
          </w:rPr>
          <w:t>WWL</w:t>
        </w:r>
        <w:r w:rsidRPr="00FD37F6">
          <w:rPr>
            <w:rStyle w:val="Hyperlink"/>
            <w:rFonts w:cs="Times New Roman"/>
            <w:sz w:val="20"/>
            <w:szCs w:val="20"/>
            <w:lang w:val="bg-BG"/>
          </w:rPr>
          <w:t>/</w:t>
        </w:r>
        <w:r w:rsidRPr="00FD37F6">
          <w:rPr>
            <w:rStyle w:val="Hyperlink"/>
            <w:rFonts w:cs="Times New Roman"/>
            <w:sz w:val="20"/>
            <w:szCs w:val="20"/>
          </w:rPr>
          <w:t>Transforming</w:t>
        </w:r>
        <w:r w:rsidRPr="00FD37F6">
          <w:rPr>
            <w:rStyle w:val="Hyperlink"/>
            <w:rFonts w:cs="Times New Roman"/>
            <w:sz w:val="20"/>
            <w:szCs w:val="20"/>
            <w:lang w:val="bg-BG"/>
          </w:rPr>
          <w:t>_</w:t>
        </w:r>
        <w:r w:rsidRPr="00FD37F6">
          <w:rPr>
            <w:rStyle w:val="Hyperlink"/>
            <w:rFonts w:cs="Times New Roman"/>
            <w:sz w:val="20"/>
            <w:szCs w:val="20"/>
          </w:rPr>
          <w:t>our</w:t>
        </w:r>
        <w:r w:rsidRPr="00FD37F6">
          <w:rPr>
            <w:rStyle w:val="Hyperlink"/>
            <w:rFonts w:cs="Times New Roman"/>
            <w:sz w:val="20"/>
            <w:szCs w:val="20"/>
            <w:lang w:val="bg-BG"/>
          </w:rPr>
          <w:t>_</w:t>
        </w:r>
        <w:r w:rsidRPr="00FD37F6">
          <w:rPr>
            <w:rStyle w:val="Hyperlink"/>
            <w:rFonts w:cs="Times New Roman"/>
            <w:sz w:val="20"/>
            <w:szCs w:val="20"/>
          </w:rPr>
          <w:t>world</w:t>
        </w:r>
        <w:r w:rsidRPr="00FD37F6">
          <w:rPr>
            <w:rStyle w:val="Hyperlink"/>
            <w:rFonts w:cs="Times New Roman"/>
            <w:sz w:val="20"/>
            <w:szCs w:val="20"/>
            <w:lang w:val="bg-BG"/>
          </w:rPr>
          <w:t>_</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pdf</w:t>
        </w:r>
      </w:hyperlink>
      <w:r w:rsidRPr="00FD37F6">
        <w:rPr>
          <w:rFonts w:cs="Times New Roman"/>
          <w:sz w:val="20"/>
          <w:szCs w:val="20"/>
          <w:lang w:val="bg-BG"/>
        </w:rPr>
        <w:t xml:space="preserve"> </w:t>
      </w:r>
    </w:p>
  </w:footnote>
  <w:footnote w:id="24">
    <w:p w14:paraId="166B74BA" w14:textId="0D01D87F"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1"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publications</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resource</w:t>
        </w:r>
        <w:r w:rsidRPr="00FD37F6">
          <w:rPr>
            <w:rStyle w:val="Hyperlink"/>
            <w:rFonts w:cs="Times New Roman"/>
            <w:sz w:val="20"/>
            <w:szCs w:val="20"/>
            <w:lang w:val="bg-BG"/>
          </w:rPr>
          <w:t>/</w:t>
        </w:r>
        <w:r w:rsidRPr="00FD37F6">
          <w:rPr>
            <w:rStyle w:val="Hyperlink"/>
            <w:rFonts w:cs="Times New Roman"/>
            <w:sz w:val="20"/>
            <w:szCs w:val="20"/>
          </w:rPr>
          <w:t>cellar</w:t>
        </w:r>
        <w:r w:rsidRPr="00FD37F6">
          <w:rPr>
            <w:rStyle w:val="Hyperlink"/>
            <w:rFonts w:cs="Times New Roman"/>
            <w:sz w:val="20"/>
            <w:szCs w:val="20"/>
            <w:lang w:val="bg-BG"/>
          </w:rPr>
          <w:t>/</w:t>
        </w:r>
        <w:r w:rsidRPr="00FD37F6">
          <w:rPr>
            <w:rStyle w:val="Hyperlink"/>
            <w:rFonts w:cs="Times New Roman"/>
            <w:sz w:val="20"/>
            <w:szCs w:val="20"/>
          </w:rPr>
          <w:t>f</w:t>
        </w:r>
        <w:r w:rsidRPr="00FD37F6">
          <w:rPr>
            <w:rStyle w:val="Hyperlink"/>
            <w:rFonts w:cs="Times New Roman"/>
            <w:sz w:val="20"/>
            <w:szCs w:val="20"/>
            <w:lang w:val="bg-BG"/>
          </w:rPr>
          <w:t>07</w:t>
        </w:r>
        <w:r w:rsidRPr="00FD37F6">
          <w:rPr>
            <w:rStyle w:val="Hyperlink"/>
            <w:rFonts w:cs="Times New Roman"/>
            <w:sz w:val="20"/>
            <w:szCs w:val="20"/>
          </w:rPr>
          <w:t>ab</w:t>
        </w:r>
        <w:r w:rsidRPr="00FD37F6">
          <w:rPr>
            <w:rStyle w:val="Hyperlink"/>
            <w:rFonts w:cs="Times New Roman"/>
            <w:sz w:val="20"/>
            <w:szCs w:val="20"/>
            <w:lang w:val="bg-BG"/>
          </w:rPr>
          <w:t>00</w:t>
        </w:r>
        <w:r w:rsidRPr="00FD37F6">
          <w:rPr>
            <w:rStyle w:val="Hyperlink"/>
            <w:rFonts w:cs="Times New Roman"/>
            <w:sz w:val="20"/>
            <w:szCs w:val="20"/>
          </w:rPr>
          <w:t>e</w:t>
        </w:r>
        <w:r w:rsidRPr="00FD37F6">
          <w:rPr>
            <w:rStyle w:val="Hyperlink"/>
            <w:rFonts w:cs="Times New Roman"/>
            <w:sz w:val="20"/>
            <w:szCs w:val="20"/>
            <w:lang w:val="bg-BG"/>
          </w:rPr>
          <w:t>-3795-4146-8739-07</w:t>
        </w:r>
        <w:r w:rsidRPr="00FD37F6">
          <w:rPr>
            <w:rStyle w:val="Hyperlink"/>
            <w:rFonts w:cs="Times New Roman"/>
            <w:sz w:val="20"/>
            <w:szCs w:val="20"/>
          </w:rPr>
          <w:t>dc</w:t>
        </w:r>
        <w:r w:rsidRPr="00FD37F6">
          <w:rPr>
            <w:rStyle w:val="Hyperlink"/>
            <w:rFonts w:cs="Times New Roman"/>
            <w:sz w:val="20"/>
            <w:szCs w:val="20"/>
            <w:lang w:val="bg-BG"/>
          </w:rPr>
          <w:t>585</w:t>
        </w:r>
        <w:r w:rsidRPr="00FD37F6">
          <w:rPr>
            <w:rStyle w:val="Hyperlink"/>
            <w:rFonts w:cs="Times New Roman"/>
            <w:sz w:val="20"/>
            <w:szCs w:val="20"/>
          </w:rPr>
          <w:t>b</w:t>
        </w:r>
        <w:r w:rsidRPr="00FD37F6">
          <w:rPr>
            <w:rStyle w:val="Hyperlink"/>
            <w:rFonts w:cs="Times New Roman"/>
            <w:sz w:val="20"/>
            <w:szCs w:val="20"/>
            <w:lang w:val="bg-BG"/>
          </w:rPr>
          <w:t>97</w:t>
        </w:r>
        <w:r w:rsidRPr="00FD37F6">
          <w:rPr>
            <w:rStyle w:val="Hyperlink"/>
            <w:rFonts w:cs="Times New Roman"/>
            <w:sz w:val="20"/>
            <w:szCs w:val="20"/>
          </w:rPr>
          <w:t>ad</w:t>
        </w:r>
        <w:r w:rsidRPr="00FD37F6">
          <w:rPr>
            <w:rStyle w:val="Hyperlink"/>
            <w:rFonts w:cs="Times New Roman"/>
            <w:sz w:val="20"/>
            <w:szCs w:val="20"/>
            <w:lang w:val="bg-BG"/>
          </w:rPr>
          <w:t>.0008.01/</w:t>
        </w:r>
        <w:r w:rsidRPr="00FD37F6">
          <w:rPr>
            <w:rStyle w:val="Hyperlink"/>
            <w:rFonts w:cs="Times New Roman"/>
            <w:sz w:val="20"/>
            <w:szCs w:val="20"/>
          </w:rPr>
          <w:t>DOC</w:t>
        </w:r>
        <w:r w:rsidRPr="00FD37F6">
          <w:rPr>
            <w:rStyle w:val="Hyperlink"/>
            <w:rFonts w:cs="Times New Roman"/>
            <w:sz w:val="20"/>
            <w:szCs w:val="20"/>
            <w:lang w:val="bg-BG"/>
          </w:rPr>
          <w:t>_1</w:t>
        </w:r>
      </w:hyperlink>
      <w:r w:rsidRPr="00FD37F6">
        <w:rPr>
          <w:rFonts w:cs="Times New Roman"/>
          <w:sz w:val="20"/>
          <w:szCs w:val="20"/>
          <w:lang w:val="bg-BG"/>
        </w:rPr>
        <w:t xml:space="preserve"> </w:t>
      </w:r>
    </w:p>
  </w:footnote>
  <w:footnote w:id="25">
    <w:p w14:paraId="36E9BCBE" w14:textId="07B02E18"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12/11.02.2000 г., изм. и доп. ДВ бр. 28/29.03.2018 г.</w:t>
      </w:r>
    </w:p>
  </w:footnote>
  <w:footnote w:id="26">
    <w:p w14:paraId="02DF54FB"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2"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imo</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en</w:t>
        </w:r>
        <w:r w:rsidRPr="00FD37F6">
          <w:rPr>
            <w:rStyle w:val="Hyperlink"/>
            <w:rFonts w:cs="Times New Roman"/>
            <w:sz w:val="20"/>
            <w:szCs w:val="20"/>
            <w:lang w:val="bg-BG"/>
          </w:rPr>
          <w:t>/</w:t>
        </w:r>
        <w:r w:rsidRPr="00FD37F6">
          <w:rPr>
            <w:rStyle w:val="Hyperlink"/>
            <w:rFonts w:cs="Times New Roman"/>
            <w:sz w:val="20"/>
            <w:szCs w:val="20"/>
          </w:rPr>
          <w:t>about</w:t>
        </w:r>
        <w:r w:rsidRPr="00FD37F6">
          <w:rPr>
            <w:rStyle w:val="Hyperlink"/>
            <w:rFonts w:cs="Times New Roman"/>
            <w:sz w:val="20"/>
            <w:szCs w:val="20"/>
            <w:lang w:val="bg-BG"/>
          </w:rPr>
          <w:t>/</w:t>
        </w:r>
        <w:r w:rsidRPr="00FD37F6">
          <w:rPr>
            <w:rStyle w:val="Hyperlink"/>
            <w:rFonts w:cs="Times New Roman"/>
            <w:sz w:val="20"/>
            <w:szCs w:val="20"/>
          </w:rPr>
          <w:t>conventions</w:t>
        </w:r>
        <w:r w:rsidRPr="00FD37F6">
          <w:rPr>
            <w:rStyle w:val="Hyperlink"/>
            <w:rFonts w:cs="Times New Roman"/>
            <w:sz w:val="20"/>
            <w:szCs w:val="20"/>
            <w:lang w:val="bg-BG"/>
          </w:rPr>
          <w:t>/</w:t>
        </w:r>
        <w:r w:rsidRPr="00FD37F6">
          <w:rPr>
            <w:rStyle w:val="Hyperlink"/>
            <w:rFonts w:cs="Times New Roman"/>
            <w:sz w:val="20"/>
            <w:szCs w:val="20"/>
          </w:rPr>
          <w:t>listofconventions</w:t>
        </w:r>
        <w:r w:rsidRPr="00FD37F6">
          <w:rPr>
            <w:rStyle w:val="Hyperlink"/>
            <w:rFonts w:cs="Times New Roman"/>
            <w:sz w:val="20"/>
            <w:szCs w:val="20"/>
            <w:lang w:val="bg-BG"/>
          </w:rPr>
          <w:t>/</w:t>
        </w:r>
        <w:r w:rsidRPr="00FD37F6">
          <w:rPr>
            <w:rStyle w:val="Hyperlink"/>
            <w:rFonts w:cs="Times New Roman"/>
            <w:sz w:val="20"/>
            <w:szCs w:val="20"/>
          </w:rPr>
          <w:t>pages</w:t>
        </w:r>
        <w:r w:rsidRPr="00FD37F6">
          <w:rPr>
            <w:rStyle w:val="Hyperlink"/>
            <w:rFonts w:cs="Times New Roman"/>
            <w:sz w:val="20"/>
            <w:szCs w:val="20"/>
            <w:lang w:val="bg-BG"/>
          </w:rPr>
          <w:t>/</w:t>
        </w:r>
        <w:r w:rsidRPr="00FD37F6">
          <w:rPr>
            <w:rStyle w:val="Hyperlink"/>
            <w:rFonts w:cs="Times New Roman"/>
            <w:sz w:val="20"/>
            <w:szCs w:val="20"/>
          </w:rPr>
          <w:t>international</w:t>
        </w:r>
        <w:r w:rsidRPr="00FD37F6">
          <w:rPr>
            <w:rStyle w:val="Hyperlink"/>
            <w:rFonts w:cs="Times New Roman"/>
            <w:sz w:val="20"/>
            <w:szCs w:val="20"/>
            <w:lang w:val="bg-BG"/>
          </w:rPr>
          <w:t>-</w:t>
        </w:r>
        <w:r w:rsidRPr="00FD37F6">
          <w:rPr>
            <w:rStyle w:val="Hyperlink"/>
            <w:rFonts w:cs="Times New Roman"/>
            <w:sz w:val="20"/>
            <w:szCs w:val="20"/>
          </w:rPr>
          <w:t>convention</w:t>
        </w:r>
        <w:r w:rsidRPr="00FD37F6">
          <w:rPr>
            <w:rStyle w:val="Hyperlink"/>
            <w:rFonts w:cs="Times New Roman"/>
            <w:sz w:val="20"/>
            <w:szCs w:val="20"/>
            <w:lang w:val="bg-BG"/>
          </w:rPr>
          <w:t>-</w:t>
        </w:r>
        <w:r w:rsidRPr="00FD37F6">
          <w:rPr>
            <w:rStyle w:val="Hyperlink"/>
            <w:rFonts w:cs="Times New Roman"/>
            <w:sz w:val="20"/>
            <w:szCs w:val="20"/>
          </w:rPr>
          <w:t>for</w:t>
        </w:r>
        <w:r w:rsidRPr="00FD37F6">
          <w:rPr>
            <w:rStyle w:val="Hyperlink"/>
            <w:rFonts w:cs="Times New Roman"/>
            <w:sz w:val="20"/>
            <w:szCs w:val="20"/>
            <w:lang w:val="bg-BG"/>
          </w:rPr>
          <w:t>-</w:t>
        </w:r>
        <w:r w:rsidRPr="00FD37F6">
          <w:rPr>
            <w:rStyle w:val="Hyperlink"/>
            <w:rFonts w:cs="Times New Roman"/>
            <w:sz w:val="20"/>
            <w:szCs w:val="20"/>
          </w:rPr>
          <w:t>the</w:t>
        </w:r>
        <w:r w:rsidRPr="00FD37F6">
          <w:rPr>
            <w:rStyle w:val="Hyperlink"/>
            <w:rFonts w:cs="Times New Roman"/>
            <w:sz w:val="20"/>
            <w:szCs w:val="20"/>
            <w:lang w:val="bg-BG"/>
          </w:rPr>
          <w:t>-</w:t>
        </w:r>
        <w:r w:rsidRPr="00FD37F6">
          <w:rPr>
            <w:rStyle w:val="Hyperlink"/>
            <w:rFonts w:cs="Times New Roman"/>
            <w:sz w:val="20"/>
            <w:szCs w:val="20"/>
          </w:rPr>
          <w:t>prevention</w:t>
        </w:r>
        <w:r w:rsidRPr="00FD37F6">
          <w:rPr>
            <w:rStyle w:val="Hyperlink"/>
            <w:rFonts w:cs="Times New Roman"/>
            <w:sz w:val="20"/>
            <w:szCs w:val="20"/>
            <w:lang w:val="bg-BG"/>
          </w:rPr>
          <w:t>-</w:t>
        </w:r>
        <w:r w:rsidRPr="00FD37F6">
          <w:rPr>
            <w:rStyle w:val="Hyperlink"/>
            <w:rFonts w:cs="Times New Roman"/>
            <w:sz w:val="20"/>
            <w:szCs w:val="20"/>
          </w:rPr>
          <w:t>of</w:t>
        </w:r>
        <w:r w:rsidRPr="00FD37F6">
          <w:rPr>
            <w:rStyle w:val="Hyperlink"/>
            <w:rFonts w:cs="Times New Roman"/>
            <w:sz w:val="20"/>
            <w:szCs w:val="20"/>
            <w:lang w:val="bg-BG"/>
          </w:rPr>
          <w:t>-</w:t>
        </w:r>
        <w:r w:rsidRPr="00FD37F6">
          <w:rPr>
            <w:rStyle w:val="Hyperlink"/>
            <w:rFonts w:cs="Times New Roman"/>
            <w:sz w:val="20"/>
            <w:szCs w:val="20"/>
          </w:rPr>
          <w:t>pollution</w:t>
        </w:r>
        <w:r w:rsidRPr="00FD37F6">
          <w:rPr>
            <w:rStyle w:val="Hyperlink"/>
            <w:rFonts w:cs="Times New Roman"/>
            <w:sz w:val="20"/>
            <w:szCs w:val="20"/>
            <w:lang w:val="bg-BG"/>
          </w:rPr>
          <w:t>-</w:t>
        </w:r>
        <w:r w:rsidRPr="00FD37F6">
          <w:rPr>
            <w:rStyle w:val="Hyperlink"/>
            <w:rFonts w:cs="Times New Roman"/>
            <w:sz w:val="20"/>
            <w:szCs w:val="20"/>
          </w:rPr>
          <w:t>from</w:t>
        </w:r>
        <w:r w:rsidRPr="00FD37F6">
          <w:rPr>
            <w:rStyle w:val="Hyperlink"/>
            <w:rFonts w:cs="Times New Roman"/>
            <w:sz w:val="20"/>
            <w:szCs w:val="20"/>
            <w:lang w:val="bg-BG"/>
          </w:rPr>
          <w:t>-</w:t>
        </w:r>
        <w:r w:rsidRPr="00FD37F6">
          <w:rPr>
            <w:rStyle w:val="Hyperlink"/>
            <w:rFonts w:cs="Times New Roman"/>
            <w:sz w:val="20"/>
            <w:szCs w:val="20"/>
          </w:rPr>
          <w:t>ships</w:t>
        </w:r>
        <w:r w:rsidRPr="00FD37F6">
          <w:rPr>
            <w:rStyle w:val="Hyperlink"/>
            <w:rFonts w:cs="Times New Roman"/>
            <w:sz w:val="20"/>
            <w:szCs w:val="20"/>
            <w:lang w:val="bg-BG"/>
          </w:rPr>
          <w:t>-(</w:t>
        </w:r>
        <w:r w:rsidRPr="00FD37F6">
          <w:rPr>
            <w:rStyle w:val="Hyperlink"/>
            <w:rFonts w:cs="Times New Roman"/>
            <w:sz w:val="20"/>
            <w:szCs w:val="20"/>
          </w:rPr>
          <w:t>marpol</w:t>
        </w:r>
        <w:r w:rsidRPr="00FD37F6">
          <w:rPr>
            <w:rStyle w:val="Hyperlink"/>
            <w:rFonts w:cs="Times New Roman"/>
            <w:sz w:val="20"/>
            <w:szCs w:val="20"/>
            <w:lang w:val="bg-BG"/>
          </w:rPr>
          <w:t>).</w:t>
        </w:r>
        <w:r w:rsidRPr="00FD37F6">
          <w:rPr>
            <w:rStyle w:val="Hyperlink"/>
            <w:rFonts w:cs="Times New Roman"/>
            <w:sz w:val="20"/>
            <w:szCs w:val="20"/>
          </w:rPr>
          <w:t>aspx</w:t>
        </w:r>
      </w:hyperlink>
      <w:r w:rsidRPr="00FD37F6">
        <w:rPr>
          <w:rFonts w:cs="Times New Roman"/>
          <w:sz w:val="20"/>
          <w:szCs w:val="20"/>
          <w:lang w:val="bg-BG"/>
        </w:rPr>
        <w:t xml:space="preserve"> </w:t>
      </w:r>
    </w:p>
  </w:footnote>
  <w:footnote w:id="27">
    <w:p w14:paraId="1E78D5E4" w14:textId="0AC935B2"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3"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unesco</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file</w:t>
        </w:r>
        <w:r w:rsidRPr="00FD37F6">
          <w:rPr>
            <w:rStyle w:val="Hyperlink"/>
            <w:rFonts w:cs="Times New Roman"/>
            <w:sz w:val="20"/>
            <w:szCs w:val="20"/>
            <w:lang w:val="bg-BG"/>
          </w:rPr>
          <w:t>_</w:t>
        </w:r>
        <w:r w:rsidRPr="00FD37F6">
          <w:rPr>
            <w:rStyle w:val="Hyperlink"/>
            <w:rFonts w:cs="Times New Roman"/>
            <w:sz w:val="20"/>
            <w:szCs w:val="20"/>
          </w:rPr>
          <w:t>store</w:t>
        </w:r>
        <w:r w:rsidRPr="00FD37F6">
          <w:rPr>
            <w:rStyle w:val="Hyperlink"/>
            <w:rFonts w:cs="Times New Roman"/>
            <w:sz w:val="20"/>
            <w:szCs w:val="20"/>
            <w:lang w:val="bg-BG"/>
          </w:rPr>
          <w:t>/</w:t>
        </w:r>
        <w:r w:rsidRPr="00FD37F6">
          <w:rPr>
            <w:rStyle w:val="Hyperlink"/>
            <w:rFonts w:cs="Times New Roman"/>
            <w:sz w:val="20"/>
            <w:szCs w:val="20"/>
          </w:rPr>
          <w:t>konventsiya</w:t>
        </w:r>
        <w:r w:rsidRPr="00FD37F6">
          <w:rPr>
            <w:rStyle w:val="Hyperlink"/>
            <w:rFonts w:cs="Times New Roman"/>
            <w:sz w:val="20"/>
            <w:szCs w:val="20"/>
            <w:lang w:val="bg-BG"/>
          </w:rPr>
          <w:t>_</w:t>
        </w:r>
        <w:r w:rsidRPr="00FD37F6">
          <w:rPr>
            <w:rStyle w:val="Hyperlink"/>
            <w:rFonts w:cs="Times New Roman"/>
            <w:sz w:val="20"/>
            <w:szCs w:val="20"/>
          </w:rPr>
          <w:t>podvoddno</w:t>
        </w:r>
        <w:r w:rsidRPr="00FD37F6">
          <w:rPr>
            <w:rStyle w:val="Hyperlink"/>
            <w:rFonts w:cs="Times New Roman"/>
            <w:sz w:val="20"/>
            <w:szCs w:val="20"/>
            <w:lang w:val="bg-BG"/>
          </w:rPr>
          <w:t>_</w:t>
        </w:r>
        <w:r w:rsidRPr="00FD37F6">
          <w:rPr>
            <w:rStyle w:val="Hyperlink"/>
            <w:rFonts w:cs="Times New Roman"/>
            <w:sz w:val="20"/>
            <w:szCs w:val="20"/>
          </w:rPr>
          <w:t>nasledstvo</w:t>
        </w:r>
        <w:r w:rsidRPr="00FD37F6">
          <w:rPr>
            <w:rStyle w:val="Hyperlink"/>
            <w:rFonts w:cs="Times New Roman"/>
            <w:sz w:val="20"/>
            <w:szCs w:val="20"/>
            <w:lang w:val="bg-BG"/>
          </w:rPr>
          <w:t>.</w:t>
        </w:r>
        <w:r w:rsidRPr="00FD37F6">
          <w:rPr>
            <w:rStyle w:val="Hyperlink"/>
            <w:rFonts w:cs="Times New Roman"/>
            <w:sz w:val="20"/>
            <w:szCs w:val="20"/>
          </w:rPr>
          <w:t>pdf</w:t>
        </w:r>
      </w:hyperlink>
      <w:r w:rsidRPr="00FD37F6">
        <w:rPr>
          <w:rFonts w:cs="Times New Roman"/>
          <w:sz w:val="20"/>
          <w:szCs w:val="20"/>
          <w:lang w:val="bg-BG"/>
        </w:rPr>
        <w:t xml:space="preserve"> </w:t>
      </w:r>
    </w:p>
  </w:footnote>
  <w:footnote w:id="28">
    <w:p w14:paraId="1B7B5B7C" w14:textId="3920A909"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r w:rsidRPr="00FD37F6">
        <w:rPr>
          <w:rFonts w:eastAsia="Arial Unicode MS" w:cs="Times New Roman"/>
          <w:sz w:val="20"/>
          <w:szCs w:val="20"/>
          <w:lang w:val="bg-BG"/>
        </w:rPr>
        <w:t>Обн. ДВ бр. 19/13.03.2009 г.</w:t>
      </w:r>
    </w:p>
  </w:footnote>
  <w:footnote w:id="29">
    <w:p w14:paraId="4A661C6C" w14:textId="6E93FB48"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4"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unfccc</w:t>
        </w:r>
        <w:r w:rsidRPr="00FD37F6">
          <w:rPr>
            <w:rStyle w:val="Hyperlink"/>
            <w:rFonts w:cs="Times New Roman"/>
            <w:sz w:val="20"/>
            <w:szCs w:val="20"/>
            <w:lang w:val="bg-BG"/>
          </w:rPr>
          <w:t>.</w:t>
        </w:r>
        <w:r w:rsidRPr="00FD37F6">
          <w:rPr>
            <w:rStyle w:val="Hyperlink"/>
            <w:rFonts w:cs="Times New Roman"/>
            <w:sz w:val="20"/>
            <w:szCs w:val="20"/>
          </w:rPr>
          <w:t>int</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30">
    <w:p w14:paraId="77E96CF5" w14:textId="77777777" w:rsidR="00215C86" w:rsidRPr="00FD37F6" w:rsidRDefault="00215C86" w:rsidP="006665AB">
      <w:pPr>
        <w:pStyle w:val="FootnoteText"/>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Становище на ИАМА относно ДЕО, ДОСВ и МППРБ, изх. № 798/10.05.2021 г.</w:t>
      </w:r>
    </w:p>
  </w:footnote>
  <w:footnote w:id="31">
    <w:p w14:paraId="7FBB10DD" w14:textId="7212C061"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5"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bsbd</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msfd</w:t>
        </w:r>
        <w:r w:rsidRPr="00FD37F6">
          <w:rPr>
            <w:rStyle w:val="Hyperlink"/>
            <w:rFonts w:cs="Times New Roman"/>
            <w:sz w:val="20"/>
            <w:szCs w:val="20"/>
            <w:lang w:val="bg-BG"/>
          </w:rPr>
          <w:t>_</w:t>
        </w:r>
        <w:r w:rsidRPr="00FD37F6">
          <w:rPr>
            <w:rStyle w:val="Hyperlink"/>
            <w:rFonts w:cs="Times New Roman"/>
            <w:sz w:val="20"/>
            <w:szCs w:val="20"/>
          </w:rPr>
          <w:t>monitoring</w:t>
        </w:r>
        <w:r w:rsidRPr="00FD37F6">
          <w:rPr>
            <w:rStyle w:val="Hyperlink"/>
            <w:rFonts w:cs="Times New Roman"/>
            <w:sz w:val="20"/>
            <w:szCs w:val="20"/>
            <w:lang w:val="bg-BG"/>
          </w:rPr>
          <w:t>.</w:t>
        </w:r>
        <w:r w:rsidRPr="00FD37F6">
          <w:rPr>
            <w:rStyle w:val="Hyperlink"/>
            <w:rFonts w:cs="Times New Roman"/>
            <w:sz w:val="20"/>
            <w:szCs w:val="20"/>
          </w:rPr>
          <w:t>html</w:t>
        </w:r>
      </w:hyperlink>
      <w:r w:rsidRPr="00FD37F6">
        <w:rPr>
          <w:rFonts w:cs="Times New Roman"/>
          <w:sz w:val="20"/>
          <w:szCs w:val="20"/>
          <w:lang w:val="bg-BG"/>
        </w:rPr>
        <w:t xml:space="preserve">; </w:t>
      </w:r>
      <w:hyperlink r:id="rId26"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cdr</w:t>
        </w:r>
        <w:r w:rsidRPr="00FD37F6">
          <w:rPr>
            <w:rStyle w:val="Hyperlink"/>
            <w:rFonts w:cs="Times New Roman"/>
            <w:sz w:val="20"/>
            <w:szCs w:val="20"/>
            <w:lang w:val="bg-BG"/>
          </w:rPr>
          <w:t>.</w:t>
        </w:r>
        <w:r w:rsidRPr="00FD37F6">
          <w:rPr>
            <w:rStyle w:val="Hyperlink"/>
            <w:rFonts w:cs="Times New Roman"/>
            <w:sz w:val="20"/>
            <w:szCs w:val="20"/>
          </w:rPr>
          <w:t>eionet</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msfd</w:t>
        </w:r>
        <w:r w:rsidRPr="00FD37F6">
          <w:rPr>
            <w:rStyle w:val="Hyperlink"/>
            <w:rFonts w:cs="Times New Roman"/>
            <w:sz w:val="20"/>
            <w:szCs w:val="20"/>
            <w:lang w:val="bg-BG"/>
          </w:rPr>
          <w:t>_</w:t>
        </w:r>
        <w:r w:rsidRPr="00FD37F6">
          <w:rPr>
            <w:rStyle w:val="Hyperlink"/>
            <w:rFonts w:cs="Times New Roman"/>
            <w:sz w:val="20"/>
            <w:szCs w:val="20"/>
          </w:rPr>
          <w:t>mp</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32">
    <w:p w14:paraId="5818D83F" w14:textId="683DA9D9"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7"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bsbd</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msfd</w:t>
        </w:r>
        <w:r w:rsidRPr="00FD37F6">
          <w:rPr>
            <w:rStyle w:val="Hyperlink"/>
            <w:rFonts w:cs="Times New Roman"/>
            <w:sz w:val="20"/>
            <w:szCs w:val="20"/>
            <w:lang w:val="bg-BG"/>
          </w:rPr>
          <w:t>_</w:t>
        </w:r>
        <w:r w:rsidRPr="00FD37F6">
          <w:rPr>
            <w:rStyle w:val="Hyperlink"/>
            <w:rFonts w:cs="Times New Roman"/>
            <w:sz w:val="20"/>
            <w:szCs w:val="20"/>
          </w:rPr>
          <w:t>monitoring</w:t>
        </w:r>
        <w:r w:rsidRPr="00FD37F6">
          <w:rPr>
            <w:rStyle w:val="Hyperlink"/>
            <w:rFonts w:cs="Times New Roman"/>
            <w:sz w:val="20"/>
            <w:szCs w:val="20"/>
            <w:lang w:val="bg-BG"/>
          </w:rPr>
          <w:t>.</w:t>
        </w:r>
        <w:r w:rsidRPr="00FD37F6">
          <w:rPr>
            <w:rStyle w:val="Hyperlink"/>
            <w:rFonts w:cs="Times New Roman"/>
            <w:sz w:val="20"/>
            <w:szCs w:val="20"/>
          </w:rPr>
          <w:t>html</w:t>
        </w:r>
      </w:hyperlink>
      <w:r w:rsidRPr="00FD37F6">
        <w:rPr>
          <w:rFonts w:cs="Times New Roman"/>
          <w:sz w:val="20"/>
          <w:szCs w:val="20"/>
          <w:lang w:val="bg-BG"/>
        </w:rPr>
        <w:t xml:space="preserve">; </w:t>
      </w:r>
      <w:hyperlink r:id="rId28"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cdr</w:t>
        </w:r>
        <w:r w:rsidRPr="00FD37F6">
          <w:rPr>
            <w:rStyle w:val="Hyperlink"/>
            <w:rFonts w:cs="Times New Roman"/>
            <w:sz w:val="20"/>
            <w:szCs w:val="20"/>
            <w:lang w:val="bg-BG"/>
          </w:rPr>
          <w:t>.</w:t>
        </w:r>
        <w:r w:rsidRPr="00FD37F6">
          <w:rPr>
            <w:rStyle w:val="Hyperlink"/>
            <w:rFonts w:cs="Times New Roman"/>
            <w:sz w:val="20"/>
            <w:szCs w:val="20"/>
          </w:rPr>
          <w:t>eionet</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msfd</w:t>
        </w:r>
        <w:r w:rsidRPr="00FD37F6">
          <w:rPr>
            <w:rStyle w:val="Hyperlink"/>
            <w:rFonts w:cs="Times New Roman"/>
            <w:sz w:val="20"/>
            <w:szCs w:val="20"/>
            <w:lang w:val="bg-BG"/>
          </w:rPr>
          <w:t>_</w:t>
        </w:r>
        <w:r w:rsidRPr="00FD37F6">
          <w:rPr>
            <w:rStyle w:val="Hyperlink"/>
            <w:rFonts w:cs="Times New Roman"/>
            <w:sz w:val="20"/>
            <w:szCs w:val="20"/>
          </w:rPr>
          <w:t>mp</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33">
    <w:p w14:paraId="73DA8B14" w14:textId="051F72BE"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9"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bsbd</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merki</w:t>
        </w:r>
        <w:r w:rsidRPr="00FD37F6">
          <w:rPr>
            <w:rStyle w:val="Hyperlink"/>
            <w:rFonts w:cs="Times New Roman"/>
            <w:sz w:val="20"/>
            <w:szCs w:val="20"/>
            <w:lang w:val="bg-BG"/>
          </w:rPr>
          <w:t>_13_</w:t>
        </w:r>
        <w:r w:rsidRPr="00FD37F6">
          <w:rPr>
            <w:rStyle w:val="Hyperlink"/>
            <w:rFonts w:cs="Times New Roman"/>
            <w:sz w:val="20"/>
            <w:szCs w:val="20"/>
          </w:rPr>
          <w:t>rdms</w:t>
        </w:r>
        <w:r w:rsidRPr="00FD37F6">
          <w:rPr>
            <w:rStyle w:val="Hyperlink"/>
            <w:rFonts w:cs="Times New Roman"/>
            <w:sz w:val="20"/>
            <w:szCs w:val="20"/>
            <w:lang w:val="bg-BG"/>
          </w:rPr>
          <w:t>.</w:t>
        </w:r>
        <w:r w:rsidRPr="00FD37F6">
          <w:rPr>
            <w:rStyle w:val="Hyperlink"/>
            <w:rFonts w:cs="Times New Roman"/>
            <w:sz w:val="20"/>
            <w:szCs w:val="20"/>
          </w:rPr>
          <w:t>html</w:t>
        </w:r>
      </w:hyperlink>
      <w:r w:rsidRPr="00FD37F6">
        <w:rPr>
          <w:rFonts w:cs="Times New Roman"/>
          <w:sz w:val="20"/>
          <w:szCs w:val="20"/>
          <w:lang w:val="bg-BG"/>
        </w:rPr>
        <w:t xml:space="preserve">; </w:t>
      </w:r>
      <w:hyperlink r:id="rId30"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bsbd</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uk</w:t>
        </w:r>
        <w:r w:rsidRPr="00FD37F6">
          <w:rPr>
            <w:rStyle w:val="Hyperlink"/>
            <w:rFonts w:cs="Times New Roman"/>
            <w:sz w:val="20"/>
            <w:szCs w:val="20"/>
            <w:lang w:val="bg-BG"/>
          </w:rPr>
          <w:t>/</w:t>
        </w:r>
        <w:r w:rsidRPr="00FD37F6">
          <w:rPr>
            <w:rStyle w:val="Hyperlink"/>
            <w:rFonts w:cs="Times New Roman"/>
            <w:sz w:val="20"/>
            <w:szCs w:val="20"/>
          </w:rPr>
          <w:t>MarineStrategy</w:t>
        </w:r>
        <w:r w:rsidRPr="00FD37F6">
          <w:rPr>
            <w:rStyle w:val="Hyperlink"/>
            <w:rFonts w:cs="Times New Roman"/>
            <w:sz w:val="20"/>
            <w:szCs w:val="20"/>
            <w:lang w:val="bg-BG"/>
          </w:rPr>
          <w:t>.</w:t>
        </w:r>
        <w:r w:rsidRPr="00FD37F6">
          <w:rPr>
            <w:rStyle w:val="Hyperlink"/>
            <w:rFonts w:cs="Times New Roman"/>
            <w:sz w:val="20"/>
            <w:szCs w:val="20"/>
          </w:rPr>
          <w:t>html</w:t>
        </w:r>
      </w:hyperlink>
      <w:r w:rsidRPr="00FD37F6">
        <w:rPr>
          <w:rFonts w:cs="Times New Roman"/>
          <w:sz w:val="20"/>
          <w:szCs w:val="20"/>
          <w:lang w:val="bg-BG"/>
        </w:rPr>
        <w:t xml:space="preserve">  </w:t>
      </w:r>
    </w:p>
  </w:footnote>
  <w:footnote w:id="34">
    <w:p w14:paraId="2640F15B" w14:textId="34B33D7E"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31"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eur</w:t>
        </w:r>
        <w:r w:rsidRPr="00FD37F6">
          <w:rPr>
            <w:rStyle w:val="Hyperlink"/>
            <w:rFonts w:cs="Times New Roman"/>
            <w:sz w:val="20"/>
            <w:szCs w:val="20"/>
            <w:lang w:val="bg-BG"/>
          </w:rPr>
          <w:t>-</w:t>
        </w:r>
        <w:r w:rsidRPr="00FD37F6">
          <w:rPr>
            <w:rStyle w:val="Hyperlink"/>
            <w:rFonts w:cs="Times New Roman"/>
            <w:sz w:val="20"/>
            <w:szCs w:val="20"/>
          </w:rPr>
          <w:t>lex</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legal</w:t>
        </w:r>
        <w:r w:rsidRPr="00FD37F6">
          <w:rPr>
            <w:rStyle w:val="Hyperlink"/>
            <w:rFonts w:cs="Times New Roman"/>
            <w:sz w:val="20"/>
            <w:szCs w:val="20"/>
            <w:lang w:val="bg-BG"/>
          </w:rPr>
          <w:t>-</w:t>
        </w:r>
        <w:r w:rsidRPr="00FD37F6">
          <w:rPr>
            <w:rStyle w:val="Hyperlink"/>
            <w:rFonts w:cs="Times New Roman"/>
            <w:sz w:val="20"/>
            <w:szCs w:val="20"/>
          </w:rPr>
          <w:t>content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TXT</w:t>
        </w:r>
        <w:r w:rsidRPr="00FD37F6">
          <w:rPr>
            <w:rStyle w:val="Hyperlink"/>
            <w:rFonts w:cs="Times New Roman"/>
            <w:sz w:val="20"/>
            <w:szCs w:val="20"/>
            <w:lang w:val="bg-BG"/>
          </w:rPr>
          <w:t>/</w:t>
        </w:r>
        <w:r w:rsidRPr="00FD37F6">
          <w:rPr>
            <w:rStyle w:val="Hyperlink"/>
            <w:rFonts w:cs="Times New Roman"/>
            <w:sz w:val="20"/>
            <w:szCs w:val="20"/>
          </w:rPr>
          <w:t>PDF</w:t>
        </w:r>
        <w:r w:rsidRPr="00FD37F6">
          <w:rPr>
            <w:rStyle w:val="Hyperlink"/>
            <w:rFonts w:cs="Times New Roman"/>
            <w:sz w:val="20"/>
            <w:szCs w:val="20"/>
            <w:lang w:val="bg-BG"/>
          </w:rPr>
          <w:t>/?</w:t>
        </w:r>
        <w:r w:rsidRPr="00FD37F6">
          <w:rPr>
            <w:rStyle w:val="Hyperlink"/>
            <w:rFonts w:cs="Times New Roman"/>
            <w:sz w:val="20"/>
            <w:szCs w:val="20"/>
          </w:rPr>
          <w:t>uri</w:t>
        </w:r>
        <w:r w:rsidRPr="00FD37F6">
          <w:rPr>
            <w:rStyle w:val="Hyperlink"/>
            <w:rFonts w:cs="Times New Roman"/>
            <w:sz w:val="20"/>
            <w:szCs w:val="20"/>
            <w:lang w:val="bg-BG"/>
          </w:rPr>
          <w:t>=</w:t>
        </w:r>
        <w:r w:rsidRPr="00FD37F6">
          <w:rPr>
            <w:rStyle w:val="Hyperlink"/>
            <w:rFonts w:cs="Times New Roman"/>
            <w:sz w:val="20"/>
            <w:szCs w:val="20"/>
          </w:rPr>
          <w:t>CELEX</w:t>
        </w:r>
        <w:r w:rsidRPr="00FD37F6">
          <w:rPr>
            <w:rStyle w:val="Hyperlink"/>
            <w:rFonts w:cs="Times New Roman"/>
            <w:sz w:val="20"/>
            <w:szCs w:val="20"/>
            <w:lang w:val="bg-BG"/>
          </w:rPr>
          <w:t>:32000</w:t>
        </w:r>
        <w:r w:rsidRPr="00FD37F6">
          <w:rPr>
            <w:rStyle w:val="Hyperlink"/>
            <w:rFonts w:cs="Times New Roman"/>
            <w:sz w:val="20"/>
            <w:szCs w:val="20"/>
          </w:rPr>
          <w:t>L</w:t>
        </w:r>
        <w:r w:rsidRPr="00FD37F6">
          <w:rPr>
            <w:rStyle w:val="Hyperlink"/>
            <w:rFonts w:cs="Times New Roman"/>
            <w:sz w:val="20"/>
            <w:szCs w:val="20"/>
            <w:lang w:val="bg-BG"/>
          </w:rPr>
          <w:t>0060&amp;</w:t>
        </w:r>
        <w:r w:rsidRPr="00FD37F6">
          <w:rPr>
            <w:rStyle w:val="Hyperlink"/>
            <w:rFonts w:cs="Times New Roman"/>
            <w:sz w:val="20"/>
            <w:szCs w:val="20"/>
          </w:rPr>
          <w:t>from</w:t>
        </w:r>
        <w:r w:rsidRPr="00FD37F6">
          <w:rPr>
            <w:rStyle w:val="Hyperlink"/>
            <w:rFonts w:cs="Times New Roman"/>
            <w:sz w:val="20"/>
            <w:szCs w:val="20"/>
            <w:lang w:val="bg-BG"/>
          </w:rPr>
          <w:t>=</w:t>
        </w:r>
        <w:r w:rsidRPr="00FD37F6">
          <w:rPr>
            <w:rStyle w:val="Hyperlink"/>
            <w:rFonts w:cs="Times New Roman"/>
            <w:sz w:val="20"/>
            <w:szCs w:val="20"/>
          </w:rPr>
          <w:t>BG</w:t>
        </w:r>
      </w:hyperlink>
      <w:r w:rsidRPr="00FD37F6">
        <w:rPr>
          <w:rFonts w:cs="Times New Roman"/>
          <w:sz w:val="20"/>
          <w:szCs w:val="20"/>
          <w:lang w:val="bg-BG"/>
        </w:rPr>
        <w:t xml:space="preserve"> </w:t>
      </w:r>
    </w:p>
  </w:footnote>
  <w:footnote w:id="35">
    <w:p w14:paraId="6BD6F9BE"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32"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blacksea</w:t>
        </w:r>
        <w:r w:rsidRPr="00FD37F6">
          <w:rPr>
            <w:rStyle w:val="Hyperlink"/>
            <w:rFonts w:cs="Times New Roman"/>
            <w:sz w:val="20"/>
            <w:szCs w:val="20"/>
            <w:lang w:val="bg-BG"/>
          </w:rPr>
          <w:t>-</w:t>
        </w:r>
        <w:r w:rsidRPr="00FD37F6">
          <w:rPr>
            <w:rStyle w:val="Hyperlink"/>
            <w:rFonts w:cs="Times New Roman"/>
            <w:sz w:val="20"/>
            <w:szCs w:val="20"/>
          </w:rPr>
          <w:t>commission</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/_</w:t>
        </w:r>
        <w:r w:rsidRPr="00FD37F6">
          <w:rPr>
            <w:rStyle w:val="Hyperlink"/>
            <w:rFonts w:cs="Times New Roman"/>
            <w:sz w:val="20"/>
            <w:szCs w:val="20"/>
          </w:rPr>
          <w:t>convention</w:t>
        </w:r>
        <w:r w:rsidRPr="00FD37F6">
          <w:rPr>
            <w:rStyle w:val="Hyperlink"/>
            <w:rFonts w:cs="Times New Roman"/>
            <w:sz w:val="20"/>
            <w:szCs w:val="20"/>
            <w:lang w:val="bg-BG"/>
          </w:rPr>
          <w:t>-</w:t>
        </w:r>
        <w:r w:rsidRPr="00FD37F6">
          <w:rPr>
            <w:rStyle w:val="Hyperlink"/>
            <w:rFonts w:cs="Times New Roman"/>
            <w:sz w:val="20"/>
            <w:szCs w:val="20"/>
          </w:rPr>
          <w:t>fulltext</w:t>
        </w:r>
        <w:r w:rsidRPr="00FD37F6">
          <w:rPr>
            <w:rStyle w:val="Hyperlink"/>
            <w:rFonts w:cs="Times New Roman"/>
            <w:sz w:val="20"/>
            <w:szCs w:val="20"/>
            <w:lang w:val="bg-BG"/>
          </w:rPr>
          <w:t>.</w:t>
        </w:r>
        <w:r w:rsidRPr="00FD37F6">
          <w:rPr>
            <w:rStyle w:val="Hyperlink"/>
            <w:rFonts w:cs="Times New Roman"/>
            <w:sz w:val="20"/>
            <w:szCs w:val="20"/>
          </w:rPr>
          <w:t>asp</w:t>
        </w:r>
      </w:hyperlink>
      <w:r w:rsidRPr="00FD37F6">
        <w:rPr>
          <w:rFonts w:cs="Times New Roman"/>
          <w:sz w:val="20"/>
          <w:szCs w:val="20"/>
          <w:lang w:val="bg-BG"/>
        </w:rPr>
        <w:t xml:space="preserve"> </w:t>
      </w:r>
    </w:p>
  </w:footnote>
  <w:footnote w:id="36">
    <w:p w14:paraId="3137E982" w14:textId="77777777" w:rsidR="00215C86" w:rsidRPr="00FD37F6" w:rsidRDefault="00215C86" w:rsidP="00906585">
      <w:pPr>
        <w:pStyle w:val="FootnoteText"/>
        <w:spacing w:after="20"/>
        <w:ind w:right="-471"/>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33"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moew</w:t>
        </w:r>
        <w:r w:rsidRPr="00FD37F6">
          <w:rPr>
            <w:rStyle w:val="Hyperlink"/>
            <w:rFonts w:cs="Times New Roman"/>
            <w:sz w:val="20"/>
            <w:szCs w:val="20"/>
            <w:lang w:val="bg-BG"/>
          </w:rPr>
          <w:t>.</w:t>
        </w:r>
        <w:r w:rsidRPr="00FD37F6">
          <w:rPr>
            <w:rStyle w:val="Hyperlink"/>
            <w:rFonts w:cs="Times New Roman"/>
            <w:sz w:val="20"/>
            <w:szCs w:val="20"/>
          </w:rPr>
          <w:t>government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vodi</w:t>
        </w:r>
        <w:r w:rsidRPr="00FD37F6">
          <w:rPr>
            <w:rStyle w:val="Hyperlink"/>
            <w:rFonts w:cs="Times New Roman"/>
            <w:sz w:val="20"/>
            <w:szCs w:val="20"/>
            <w:lang w:val="bg-BG"/>
          </w:rPr>
          <w:t>/</w:t>
        </w:r>
        <w:r w:rsidRPr="00FD37F6">
          <w:rPr>
            <w:rStyle w:val="Hyperlink"/>
            <w:rFonts w:cs="Times New Roman"/>
            <w:sz w:val="20"/>
            <w:szCs w:val="20"/>
          </w:rPr>
          <w:t>morski</w:t>
        </w:r>
        <w:r w:rsidRPr="00FD37F6">
          <w:rPr>
            <w:rStyle w:val="Hyperlink"/>
            <w:rFonts w:cs="Times New Roman"/>
            <w:sz w:val="20"/>
            <w:szCs w:val="20"/>
            <w:lang w:val="bg-BG"/>
          </w:rPr>
          <w:t>-</w:t>
        </w:r>
        <w:r w:rsidRPr="00FD37F6">
          <w:rPr>
            <w:rStyle w:val="Hyperlink"/>
            <w:rFonts w:cs="Times New Roman"/>
            <w:sz w:val="20"/>
            <w:szCs w:val="20"/>
          </w:rPr>
          <w:t>vodi</w:t>
        </w:r>
        <w:r w:rsidRPr="00FD37F6">
          <w:rPr>
            <w:rStyle w:val="Hyperlink"/>
            <w:rFonts w:cs="Times New Roman"/>
            <w:sz w:val="20"/>
            <w:szCs w:val="20"/>
            <w:lang w:val="bg-BG"/>
          </w:rPr>
          <w:t>/</w:t>
        </w:r>
        <w:r w:rsidRPr="00FD37F6">
          <w:rPr>
            <w:rStyle w:val="Hyperlink"/>
            <w:rFonts w:cs="Times New Roman"/>
            <w:sz w:val="20"/>
            <w:szCs w:val="20"/>
          </w:rPr>
          <w:t>konvenciya</w:t>
        </w:r>
        <w:r w:rsidRPr="00FD37F6">
          <w:rPr>
            <w:rStyle w:val="Hyperlink"/>
            <w:rFonts w:cs="Times New Roman"/>
            <w:sz w:val="20"/>
            <w:szCs w:val="20"/>
            <w:lang w:val="bg-BG"/>
          </w:rPr>
          <w:t>-</w:t>
        </w:r>
        <w:r w:rsidRPr="00FD37F6">
          <w:rPr>
            <w:rStyle w:val="Hyperlink"/>
            <w:rFonts w:cs="Times New Roman"/>
            <w:sz w:val="20"/>
            <w:szCs w:val="20"/>
          </w:rPr>
          <w:t>za</w:t>
        </w:r>
        <w:r w:rsidRPr="00FD37F6">
          <w:rPr>
            <w:rStyle w:val="Hyperlink"/>
            <w:rFonts w:cs="Times New Roman"/>
            <w:sz w:val="20"/>
            <w:szCs w:val="20"/>
            <w:lang w:val="bg-BG"/>
          </w:rPr>
          <w:t>-</w:t>
        </w:r>
        <w:r w:rsidRPr="00FD37F6">
          <w:rPr>
            <w:rStyle w:val="Hyperlink"/>
            <w:rFonts w:cs="Times New Roman"/>
            <w:sz w:val="20"/>
            <w:szCs w:val="20"/>
          </w:rPr>
          <w:t>opazvane</w:t>
        </w:r>
        <w:r w:rsidRPr="00FD37F6">
          <w:rPr>
            <w:rStyle w:val="Hyperlink"/>
            <w:rFonts w:cs="Times New Roman"/>
            <w:sz w:val="20"/>
            <w:szCs w:val="20"/>
            <w:lang w:val="bg-BG"/>
          </w:rPr>
          <w:t>-</w:t>
        </w:r>
        <w:r w:rsidRPr="00FD37F6">
          <w:rPr>
            <w:rStyle w:val="Hyperlink"/>
            <w:rFonts w:cs="Times New Roman"/>
            <w:sz w:val="20"/>
            <w:szCs w:val="20"/>
          </w:rPr>
          <w:t>na</w:t>
        </w:r>
        <w:r w:rsidRPr="00FD37F6">
          <w:rPr>
            <w:rStyle w:val="Hyperlink"/>
            <w:rFonts w:cs="Times New Roman"/>
            <w:sz w:val="20"/>
            <w:szCs w:val="20"/>
            <w:lang w:val="bg-BG"/>
          </w:rPr>
          <w:t>-</w:t>
        </w:r>
        <w:r w:rsidRPr="00FD37F6">
          <w:rPr>
            <w:rStyle w:val="Hyperlink"/>
            <w:rFonts w:cs="Times New Roman"/>
            <w:sz w:val="20"/>
            <w:szCs w:val="20"/>
          </w:rPr>
          <w:t>cherno</w:t>
        </w:r>
        <w:r w:rsidRPr="00FD37F6">
          <w:rPr>
            <w:rStyle w:val="Hyperlink"/>
            <w:rFonts w:cs="Times New Roman"/>
            <w:sz w:val="20"/>
            <w:szCs w:val="20"/>
            <w:lang w:val="bg-BG"/>
          </w:rPr>
          <w:t>-</w:t>
        </w:r>
        <w:r w:rsidRPr="00FD37F6">
          <w:rPr>
            <w:rStyle w:val="Hyperlink"/>
            <w:rFonts w:cs="Times New Roman"/>
            <w:sz w:val="20"/>
            <w:szCs w:val="20"/>
          </w:rPr>
          <w:t>more</w:t>
        </w:r>
        <w:r w:rsidRPr="00FD37F6">
          <w:rPr>
            <w:rStyle w:val="Hyperlink"/>
            <w:rFonts w:cs="Times New Roman"/>
            <w:sz w:val="20"/>
            <w:szCs w:val="20"/>
            <w:lang w:val="bg-BG"/>
          </w:rPr>
          <w:t>-</w:t>
        </w:r>
        <w:r w:rsidRPr="00FD37F6">
          <w:rPr>
            <w:rStyle w:val="Hyperlink"/>
            <w:rFonts w:cs="Times New Roman"/>
            <w:sz w:val="20"/>
            <w:szCs w:val="20"/>
          </w:rPr>
          <w:t>ot</w:t>
        </w:r>
        <w:r w:rsidRPr="00FD37F6">
          <w:rPr>
            <w:rStyle w:val="Hyperlink"/>
            <w:rFonts w:cs="Times New Roman"/>
            <w:sz w:val="20"/>
            <w:szCs w:val="20"/>
            <w:lang w:val="bg-BG"/>
          </w:rPr>
          <w:t>-</w:t>
        </w:r>
        <w:r w:rsidRPr="00FD37F6">
          <w:rPr>
            <w:rStyle w:val="Hyperlink"/>
            <w:rFonts w:cs="Times New Roman"/>
            <w:sz w:val="20"/>
            <w:szCs w:val="20"/>
          </w:rPr>
          <w:t>zamursyavane</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37">
    <w:p w14:paraId="23EA80A0" w14:textId="6D331E82"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56 от 13.07.1991 г </w:t>
      </w:r>
    </w:p>
  </w:footnote>
  <w:footnote w:id="38">
    <w:p w14:paraId="458C2D97" w14:textId="6769060E"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12/2000 г., изм. и доп. ДВ бр. 28/29.03.2018 г. </w:t>
      </w:r>
    </w:p>
  </w:footnote>
  <w:footnote w:id="39">
    <w:p w14:paraId="7D863DB1" w14:textId="0B51339C"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96/01.12.2017 г., изм. и доп. ДВ бр. 79/08.10.2019 г.</w:t>
      </w:r>
    </w:p>
  </w:footnote>
  <w:footnote w:id="40">
    <w:p w14:paraId="6F665932" w14:textId="6720353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23/12.03.1999 г., доп. ДВ бр. 98/27.11.2018 г.</w:t>
      </w:r>
    </w:p>
  </w:footnote>
  <w:footnote w:id="41">
    <w:p w14:paraId="11B6624E" w14:textId="37105380"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бр.67/27.07.1999 г., изм. и доп. ДВ бр. 21/13.03.2020 г.</w:t>
      </w:r>
    </w:p>
  </w:footnote>
  <w:footnote w:id="42">
    <w:p w14:paraId="227D1EDA" w14:textId="2E241D59"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50/30.05.2008 г., изм. и доп. ДВ бр. 21/13.03.2020 г. </w:t>
      </w:r>
    </w:p>
  </w:footnote>
  <w:footnote w:id="43">
    <w:p w14:paraId="3821AF51" w14:textId="5740A728"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1/02.01.2001 г., изм и доп. ДВ бр. 62/14.07.2020 г.</w:t>
      </w:r>
    </w:p>
  </w:footnote>
  <w:footnote w:id="44">
    <w:p w14:paraId="5CE93DED" w14:textId="3A47F843"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48/2007 г., изм. ДВ бр. 21/13.032020 г. </w:t>
      </w:r>
    </w:p>
  </w:footnote>
  <w:footnote w:id="45">
    <w:p w14:paraId="7A9237D3" w14:textId="76E4552D"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77/2002 г., изм. ДВ бр. 98/27.11.2018 г.</w:t>
      </w:r>
    </w:p>
  </w:footnote>
  <w:footnote w:id="46">
    <w:p w14:paraId="0DE61533" w14:textId="11456D22"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133/1998 г., изм. и доп. ДВ бр. 1/03.01.2020 г.</w:t>
      </w:r>
    </w:p>
  </w:footnote>
  <w:footnote w:id="47">
    <w:p w14:paraId="12C62E3E" w14:textId="277BEA76"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23/1999 г. изм. и доп. ДВ бр. 98/27.11.2018 г.</w:t>
      </w:r>
    </w:p>
  </w:footnote>
  <w:footnote w:id="48">
    <w:p w14:paraId="7A29F942" w14:textId="6E9CC81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41/2001 г., изм. и доп. бр. 98/13.12.2019 г.</w:t>
      </w:r>
    </w:p>
  </w:footnote>
  <w:footnote w:id="49">
    <w:p w14:paraId="5C18D77E" w14:textId="58B11938"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70/2007 г., изм. бр. 85/24.10.2017 г.)</w:t>
      </w:r>
    </w:p>
  </w:footnote>
  <w:footnote w:id="50">
    <w:p w14:paraId="2A53779D" w14:textId="307B8D59"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бр.79/13.10.1987 г., изм. </w:t>
      </w:r>
      <w:r w:rsidRPr="00390518">
        <w:rPr>
          <w:rFonts w:cs="Times New Roman"/>
          <w:sz w:val="20"/>
          <w:szCs w:val="20"/>
          <w:lang w:val="bg-BG"/>
        </w:rPr>
        <w:t>ДВ бр.70/10.08.2004 г.</w:t>
      </w:r>
    </w:p>
  </w:footnote>
  <w:footnote w:id="51">
    <w:p w14:paraId="151A7F04" w14:textId="716A348A"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34"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bsbd</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UserFiles</w:t>
        </w:r>
        <w:r w:rsidRPr="00FD37F6">
          <w:rPr>
            <w:rStyle w:val="Hyperlink"/>
            <w:rFonts w:cs="Times New Roman"/>
            <w:sz w:val="20"/>
            <w:szCs w:val="20"/>
            <w:lang w:val="bg-BG"/>
          </w:rPr>
          <w:t>/</w:t>
        </w:r>
        <w:r w:rsidRPr="00FD37F6">
          <w:rPr>
            <w:rStyle w:val="Hyperlink"/>
            <w:rFonts w:cs="Times New Roman"/>
            <w:sz w:val="20"/>
            <w:szCs w:val="20"/>
          </w:rPr>
          <w:t>File</w:t>
        </w:r>
        <w:r w:rsidRPr="00FD37F6">
          <w:rPr>
            <w:rStyle w:val="Hyperlink"/>
            <w:rFonts w:cs="Times New Roman"/>
            <w:sz w:val="20"/>
            <w:szCs w:val="20"/>
            <w:lang w:val="bg-BG"/>
          </w:rPr>
          <w:t>/</w:t>
        </w:r>
        <w:r w:rsidRPr="00FD37F6">
          <w:rPr>
            <w:rStyle w:val="Hyperlink"/>
            <w:rFonts w:cs="Times New Roman"/>
            <w:sz w:val="20"/>
            <w:szCs w:val="20"/>
          </w:rPr>
          <w:t>Sea</w:t>
        </w:r>
        <w:r w:rsidRPr="00FD37F6">
          <w:rPr>
            <w:rStyle w:val="Hyperlink"/>
            <w:rFonts w:cs="Times New Roman"/>
            <w:sz w:val="20"/>
            <w:szCs w:val="20"/>
            <w:lang w:val="bg-BG"/>
          </w:rPr>
          <w:t>/</w:t>
        </w:r>
        <w:r w:rsidRPr="00FD37F6">
          <w:rPr>
            <w:rStyle w:val="Hyperlink"/>
            <w:rFonts w:cs="Times New Roman"/>
            <w:sz w:val="20"/>
            <w:szCs w:val="20"/>
          </w:rPr>
          <w:t>Notice</w:t>
        </w:r>
        <w:r w:rsidRPr="00FD37F6">
          <w:rPr>
            <w:rStyle w:val="Hyperlink"/>
            <w:rFonts w:cs="Times New Roman"/>
            <w:sz w:val="20"/>
            <w:szCs w:val="20"/>
            <w:lang w:val="bg-BG"/>
          </w:rPr>
          <w:t>_</w:t>
        </w:r>
        <w:r w:rsidRPr="00FD37F6">
          <w:rPr>
            <w:rStyle w:val="Hyperlink"/>
            <w:rFonts w:cs="Times New Roman"/>
            <w:sz w:val="20"/>
            <w:szCs w:val="20"/>
          </w:rPr>
          <w:t>E</w:t>
        </w:r>
        <w:r w:rsidRPr="00FD37F6">
          <w:rPr>
            <w:rStyle w:val="Hyperlink"/>
            <w:rFonts w:cs="Times New Roman"/>
            <w:sz w:val="20"/>
            <w:szCs w:val="20"/>
            <w:lang w:val="bg-BG"/>
          </w:rPr>
          <w:t>%</w:t>
        </w:r>
        <w:r w:rsidRPr="00FD37F6">
          <w:rPr>
            <w:rStyle w:val="Hyperlink"/>
            <w:rFonts w:cs="Times New Roman"/>
            <w:sz w:val="20"/>
            <w:szCs w:val="20"/>
          </w:rPr>
          <w:t>D</w:t>
        </w:r>
        <w:r w:rsidRPr="00FD37F6">
          <w:rPr>
            <w:rStyle w:val="Hyperlink"/>
            <w:rFonts w:cs="Times New Roman"/>
            <w:sz w:val="20"/>
            <w:szCs w:val="20"/>
            <w:lang w:val="bg-BG"/>
          </w:rPr>
          <w:t>0%9</w:t>
        </w:r>
        <w:r w:rsidRPr="00FD37F6">
          <w:rPr>
            <w:rStyle w:val="Hyperlink"/>
            <w:rFonts w:cs="Times New Roman"/>
            <w:sz w:val="20"/>
            <w:szCs w:val="20"/>
          </w:rPr>
          <w:t>E</w:t>
        </w:r>
        <w:r w:rsidRPr="00FD37F6">
          <w:rPr>
            <w:rStyle w:val="Hyperlink"/>
            <w:rFonts w:cs="Times New Roman"/>
            <w:sz w:val="20"/>
            <w:szCs w:val="20"/>
            <w:lang w:val="bg-BG"/>
          </w:rPr>
          <w:t>_</w:t>
        </w:r>
        <w:r w:rsidRPr="00FD37F6">
          <w:rPr>
            <w:rStyle w:val="Hyperlink"/>
            <w:rFonts w:cs="Times New Roman"/>
            <w:sz w:val="20"/>
            <w:szCs w:val="20"/>
          </w:rPr>
          <w:t>MS</w:t>
        </w:r>
        <w:r w:rsidRPr="00FD37F6">
          <w:rPr>
            <w:rStyle w:val="Hyperlink"/>
            <w:rFonts w:cs="Times New Roman"/>
            <w:sz w:val="20"/>
            <w:szCs w:val="20"/>
            <w:lang w:val="bg-BG"/>
          </w:rPr>
          <w:t>&amp;</w:t>
        </w:r>
        <w:r w:rsidRPr="00FD37F6">
          <w:rPr>
            <w:rStyle w:val="Hyperlink"/>
            <w:rFonts w:cs="Times New Roman"/>
            <w:sz w:val="20"/>
            <w:szCs w:val="20"/>
          </w:rPr>
          <w:t>PoM</w:t>
        </w:r>
        <w:r w:rsidRPr="00FD37F6">
          <w:rPr>
            <w:rStyle w:val="Hyperlink"/>
            <w:rFonts w:cs="Times New Roman"/>
            <w:sz w:val="20"/>
            <w:szCs w:val="20"/>
            <w:lang w:val="bg-BG"/>
          </w:rPr>
          <w:t>.</w:t>
        </w:r>
        <w:r w:rsidRPr="00FD37F6">
          <w:rPr>
            <w:rStyle w:val="Hyperlink"/>
            <w:rFonts w:cs="Times New Roman"/>
            <w:sz w:val="20"/>
            <w:szCs w:val="20"/>
          </w:rPr>
          <w:t>pdf</w:t>
        </w:r>
      </w:hyperlink>
      <w:r w:rsidRPr="00FD37F6">
        <w:rPr>
          <w:rFonts w:cs="Times New Roman"/>
          <w:sz w:val="20"/>
          <w:szCs w:val="20"/>
          <w:lang w:val="bg-BG"/>
        </w:rPr>
        <w:t xml:space="preserve"> </w:t>
      </w:r>
    </w:p>
  </w:footnote>
  <w:footnote w:id="52">
    <w:p w14:paraId="53642EF5" w14:textId="570BA50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25/2002 г., изм. ДВ. бр. 53/10.06.2008 г.</w:t>
      </w:r>
    </w:p>
  </w:footnote>
  <w:footnote w:id="53">
    <w:p w14:paraId="2BCAFC96" w14:textId="3203ABFF"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35" w:history="1">
        <w:r w:rsidRPr="00FD37F6">
          <w:rPr>
            <w:rStyle w:val="Hyperlink"/>
            <w:rFonts w:cs="Times New Roman"/>
            <w:sz w:val="20"/>
            <w:szCs w:val="20"/>
            <w:lang w:val="en-US"/>
          </w:rPr>
          <w:t>http</w:t>
        </w:r>
        <w:r w:rsidRPr="00FD37F6">
          <w:rPr>
            <w:rStyle w:val="Hyperlink"/>
            <w:rFonts w:cs="Times New Roman"/>
            <w:sz w:val="20"/>
            <w:szCs w:val="20"/>
            <w:lang w:val="bg-BG"/>
          </w:rPr>
          <w:t>://</w:t>
        </w:r>
        <w:r w:rsidRPr="00FD37F6">
          <w:rPr>
            <w:rStyle w:val="Hyperlink"/>
            <w:rFonts w:cs="Times New Roman"/>
            <w:sz w:val="20"/>
            <w:szCs w:val="20"/>
            <w:lang w:val="en-US"/>
          </w:rPr>
          <w:t>www</w:t>
        </w:r>
        <w:r w:rsidRPr="00FD37F6">
          <w:rPr>
            <w:rStyle w:val="Hyperlink"/>
            <w:rFonts w:cs="Times New Roman"/>
            <w:sz w:val="20"/>
            <w:szCs w:val="20"/>
            <w:lang w:val="bg-BG"/>
          </w:rPr>
          <w:t>.</w:t>
        </w:r>
        <w:r w:rsidRPr="00FD37F6">
          <w:rPr>
            <w:rStyle w:val="Hyperlink"/>
            <w:rFonts w:cs="Times New Roman"/>
            <w:sz w:val="20"/>
            <w:szCs w:val="20"/>
            <w:lang w:val="en-US"/>
          </w:rPr>
          <w:t>strategy</w:t>
        </w:r>
        <w:r w:rsidRPr="00FD37F6">
          <w:rPr>
            <w:rStyle w:val="Hyperlink"/>
            <w:rFonts w:cs="Times New Roman"/>
            <w:sz w:val="20"/>
            <w:szCs w:val="20"/>
            <w:lang w:val="bg-BG"/>
          </w:rPr>
          <w:t>.</w:t>
        </w:r>
        <w:r w:rsidRPr="00FD37F6">
          <w:rPr>
            <w:rStyle w:val="Hyperlink"/>
            <w:rFonts w:cs="Times New Roman"/>
            <w:sz w:val="20"/>
            <w:szCs w:val="20"/>
            <w:lang w:val="en-US"/>
          </w:rPr>
          <w:t>bg</w:t>
        </w:r>
        <w:r w:rsidRPr="00FD37F6">
          <w:rPr>
            <w:rStyle w:val="Hyperlink"/>
            <w:rFonts w:cs="Times New Roman"/>
            <w:sz w:val="20"/>
            <w:szCs w:val="20"/>
            <w:lang w:val="bg-BG"/>
          </w:rPr>
          <w:t>/</w:t>
        </w:r>
        <w:r w:rsidRPr="00FD37F6">
          <w:rPr>
            <w:rStyle w:val="Hyperlink"/>
            <w:rFonts w:cs="Times New Roman"/>
            <w:sz w:val="20"/>
            <w:szCs w:val="20"/>
            <w:lang w:val="en-US"/>
          </w:rPr>
          <w:t>Publications</w:t>
        </w:r>
        <w:r w:rsidRPr="00FD37F6">
          <w:rPr>
            <w:rStyle w:val="Hyperlink"/>
            <w:rFonts w:cs="Times New Roman"/>
            <w:sz w:val="20"/>
            <w:szCs w:val="20"/>
            <w:lang w:val="bg-BG"/>
          </w:rPr>
          <w:t>/</w:t>
        </w:r>
        <w:r w:rsidRPr="00FD37F6">
          <w:rPr>
            <w:rStyle w:val="Hyperlink"/>
            <w:rFonts w:cs="Times New Roman"/>
            <w:sz w:val="20"/>
            <w:szCs w:val="20"/>
            <w:lang w:val="en-US"/>
          </w:rPr>
          <w:t>View</w:t>
        </w:r>
        <w:r w:rsidRPr="00FD37F6">
          <w:rPr>
            <w:rStyle w:val="Hyperlink"/>
            <w:rFonts w:cs="Times New Roman"/>
            <w:sz w:val="20"/>
            <w:szCs w:val="20"/>
            <w:lang w:val="bg-BG"/>
          </w:rPr>
          <w:t>.</w:t>
        </w:r>
        <w:r w:rsidRPr="00FD37F6">
          <w:rPr>
            <w:rStyle w:val="Hyperlink"/>
            <w:rFonts w:cs="Times New Roman"/>
            <w:sz w:val="20"/>
            <w:szCs w:val="20"/>
            <w:lang w:val="en-US"/>
          </w:rPr>
          <w:t>aspx</w:t>
        </w:r>
        <w:r w:rsidRPr="00FD37F6">
          <w:rPr>
            <w:rStyle w:val="Hyperlink"/>
            <w:rFonts w:cs="Times New Roman"/>
            <w:sz w:val="20"/>
            <w:szCs w:val="20"/>
            <w:lang w:val="bg-BG"/>
          </w:rPr>
          <w:t>?</w:t>
        </w:r>
        <w:r w:rsidRPr="00FD37F6">
          <w:rPr>
            <w:rStyle w:val="Hyperlink"/>
            <w:rFonts w:cs="Times New Roman"/>
            <w:sz w:val="20"/>
            <w:szCs w:val="20"/>
            <w:lang w:val="en-US"/>
          </w:rPr>
          <w:t>lang</w:t>
        </w:r>
        <w:r w:rsidRPr="00FD37F6">
          <w:rPr>
            <w:rStyle w:val="Hyperlink"/>
            <w:rFonts w:cs="Times New Roman"/>
            <w:sz w:val="20"/>
            <w:szCs w:val="20"/>
            <w:lang w:val="bg-BG"/>
          </w:rPr>
          <w:t>=</w:t>
        </w:r>
        <w:r w:rsidRPr="00FD37F6">
          <w:rPr>
            <w:rStyle w:val="Hyperlink"/>
            <w:rFonts w:cs="Times New Roman"/>
            <w:sz w:val="20"/>
            <w:szCs w:val="20"/>
            <w:lang w:val="en-US"/>
          </w:rPr>
          <w:t>bg</w:t>
        </w:r>
        <w:r w:rsidRPr="00FD37F6">
          <w:rPr>
            <w:rStyle w:val="Hyperlink"/>
            <w:rFonts w:cs="Times New Roman"/>
            <w:sz w:val="20"/>
            <w:szCs w:val="20"/>
            <w:lang w:val="bg-BG"/>
          </w:rPr>
          <w:t>-</w:t>
        </w:r>
        <w:r w:rsidRPr="00FD37F6">
          <w:rPr>
            <w:rStyle w:val="Hyperlink"/>
            <w:rFonts w:cs="Times New Roman"/>
            <w:sz w:val="20"/>
            <w:szCs w:val="20"/>
            <w:lang w:val="en-US"/>
          </w:rPr>
          <w:t>BG</w:t>
        </w:r>
        <w:r w:rsidRPr="00FD37F6">
          <w:rPr>
            <w:rStyle w:val="Hyperlink"/>
            <w:rFonts w:cs="Times New Roman"/>
            <w:sz w:val="20"/>
            <w:szCs w:val="20"/>
            <w:lang w:val="bg-BG"/>
          </w:rPr>
          <w:t>&amp;</w:t>
        </w:r>
        <w:r w:rsidRPr="00FD37F6">
          <w:rPr>
            <w:rStyle w:val="Hyperlink"/>
            <w:rFonts w:cs="Times New Roman"/>
            <w:sz w:val="20"/>
            <w:szCs w:val="20"/>
            <w:lang w:val="en-US"/>
          </w:rPr>
          <w:t>Id</w:t>
        </w:r>
        <w:r w:rsidRPr="00FD37F6">
          <w:rPr>
            <w:rStyle w:val="Hyperlink"/>
            <w:rFonts w:cs="Times New Roman"/>
            <w:sz w:val="20"/>
            <w:szCs w:val="20"/>
            <w:lang w:val="bg-BG"/>
          </w:rPr>
          <w:t>=90</w:t>
        </w:r>
      </w:hyperlink>
      <w:r w:rsidRPr="00FD37F6">
        <w:rPr>
          <w:rFonts w:cs="Times New Roman"/>
          <w:sz w:val="20"/>
          <w:szCs w:val="20"/>
          <w:lang w:val="bg-BG"/>
        </w:rPr>
        <w:t xml:space="preserve"> </w:t>
      </w:r>
    </w:p>
  </w:footnote>
  <w:footnote w:id="54">
    <w:p w14:paraId="5A49A1C6" w14:textId="2C5FFDB8"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36"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unesdoc</w:t>
        </w:r>
        <w:r w:rsidRPr="00FD37F6">
          <w:rPr>
            <w:rStyle w:val="Hyperlink"/>
            <w:rFonts w:cs="Times New Roman"/>
            <w:sz w:val="20"/>
            <w:szCs w:val="20"/>
            <w:lang w:val="bg-BG"/>
          </w:rPr>
          <w:t>.</w:t>
        </w:r>
        <w:r w:rsidRPr="00FD37F6">
          <w:rPr>
            <w:rStyle w:val="Hyperlink"/>
            <w:rFonts w:cs="Times New Roman"/>
            <w:sz w:val="20"/>
            <w:szCs w:val="20"/>
          </w:rPr>
          <w:t>unesco</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ark</w:t>
        </w:r>
        <w:r w:rsidRPr="00FD37F6">
          <w:rPr>
            <w:rStyle w:val="Hyperlink"/>
            <w:rFonts w:cs="Times New Roman"/>
            <w:sz w:val="20"/>
            <w:szCs w:val="20"/>
            <w:lang w:val="bg-BG"/>
          </w:rPr>
          <w:t>:/48223/</w:t>
        </w:r>
        <w:r w:rsidRPr="00FD37F6">
          <w:rPr>
            <w:rStyle w:val="Hyperlink"/>
            <w:rFonts w:cs="Times New Roman"/>
            <w:sz w:val="20"/>
            <w:szCs w:val="20"/>
          </w:rPr>
          <w:t>pf</w:t>
        </w:r>
        <w:r w:rsidRPr="00FD37F6">
          <w:rPr>
            <w:rStyle w:val="Hyperlink"/>
            <w:rFonts w:cs="Times New Roman"/>
            <w:sz w:val="20"/>
            <w:szCs w:val="20"/>
            <w:lang w:val="bg-BG"/>
          </w:rPr>
          <w:t>0000186559</w:t>
        </w:r>
      </w:hyperlink>
      <w:r w:rsidRPr="00FD37F6">
        <w:rPr>
          <w:rFonts w:cs="Times New Roman"/>
          <w:sz w:val="20"/>
          <w:szCs w:val="20"/>
          <w:lang w:val="bg-BG"/>
        </w:rPr>
        <w:t xml:space="preserve"> </w:t>
      </w:r>
    </w:p>
  </w:footnote>
  <w:footnote w:id="55">
    <w:p w14:paraId="026E525E" w14:textId="164D7437" w:rsidR="00215C86" w:rsidRPr="00FD37F6" w:rsidRDefault="00215C86" w:rsidP="00A43DF1">
      <w:pPr>
        <w:pStyle w:val="FootnoteText"/>
        <w:spacing w:after="20"/>
        <w:ind w:left="284" w:right="-45" w:hanging="284"/>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rPr>
        <w:t xml:space="preserve"> </w:t>
      </w:r>
      <w:r w:rsidRPr="00FD37F6">
        <w:rPr>
          <w:rFonts w:cs="Times New Roman"/>
          <w:sz w:val="20"/>
          <w:szCs w:val="20"/>
          <w:lang w:val="bg-BG"/>
        </w:rPr>
        <w:t>Е</w:t>
      </w:r>
      <w:r w:rsidRPr="00FD37F6">
        <w:rPr>
          <w:rFonts w:cs="Times New Roman"/>
          <w:sz w:val="20"/>
          <w:szCs w:val="20"/>
          <w:lang w:val="en-US"/>
        </w:rPr>
        <w:t xml:space="preserve">ropean Maritime Security Strategy </w:t>
      </w:r>
      <w:hyperlink r:id="rId37" w:history="1">
        <w:r w:rsidRPr="00FD37F6">
          <w:rPr>
            <w:rStyle w:val="Hyperlink"/>
            <w:rFonts w:cs="Times New Roman"/>
            <w:sz w:val="20"/>
            <w:szCs w:val="20"/>
          </w:rPr>
          <w:t>http://register.consilium.europa.eu/doc/srv?l=EN&amp;f=ST%2011205%202014%20INIT</w:t>
        </w:r>
      </w:hyperlink>
      <w:r w:rsidRPr="00FD37F6">
        <w:rPr>
          <w:rFonts w:cs="Times New Roman"/>
          <w:sz w:val="20"/>
          <w:szCs w:val="20"/>
          <w:lang w:val="bg-BG"/>
        </w:rPr>
        <w:t xml:space="preserve"> </w:t>
      </w:r>
    </w:p>
  </w:footnote>
  <w:footnote w:id="56">
    <w:p w14:paraId="51F1358D" w14:textId="02C2291E"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38"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ec</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maritimeaffairs</w:t>
        </w:r>
        <w:r w:rsidRPr="00FD37F6">
          <w:rPr>
            <w:rStyle w:val="Hyperlink"/>
            <w:rFonts w:cs="Times New Roman"/>
            <w:sz w:val="20"/>
            <w:szCs w:val="20"/>
            <w:lang w:val="bg-BG"/>
          </w:rPr>
          <w:t>/</w:t>
        </w:r>
        <w:r w:rsidRPr="00FD37F6">
          <w:rPr>
            <w:rStyle w:val="Hyperlink"/>
            <w:rFonts w:cs="Times New Roman"/>
            <w:sz w:val="20"/>
            <w:szCs w:val="20"/>
          </w:rPr>
          <w:t>press</w:t>
        </w:r>
        <w:r w:rsidRPr="00FD37F6">
          <w:rPr>
            <w:rStyle w:val="Hyperlink"/>
            <w:rFonts w:cs="Times New Roman"/>
            <w:sz w:val="20"/>
            <w:szCs w:val="20"/>
            <w:lang w:val="bg-BG"/>
          </w:rPr>
          <w:t>/</w:t>
        </w:r>
        <w:r w:rsidRPr="00FD37F6">
          <w:rPr>
            <w:rStyle w:val="Hyperlink"/>
            <w:rFonts w:cs="Times New Roman"/>
            <w:sz w:val="20"/>
            <w:szCs w:val="20"/>
          </w:rPr>
          <w:t>common</w:t>
        </w:r>
        <w:r w:rsidRPr="00FD37F6">
          <w:rPr>
            <w:rStyle w:val="Hyperlink"/>
            <w:rFonts w:cs="Times New Roman"/>
            <w:sz w:val="20"/>
            <w:szCs w:val="20"/>
            <w:lang w:val="bg-BG"/>
          </w:rPr>
          <w:t>-</w:t>
        </w:r>
        <w:r w:rsidRPr="00FD37F6">
          <w:rPr>
            <w:rStyle w:val="Hyperlink"/>
            <w:rFonts w:cs="Times New Roman"/>
            <w:sz w:val="20"/>
            <w:szCs w:val="20"/>
          </w:rPr>
          <w:t>maritime</w:t>
        </w:r>
        <w:r w:rsidRPr="00FD37F6">
          <w:rPr>
            <w:rStyle w:val="Hyperlink"/>
            <w:rFonts w:cs="Times New Roman"/>
            <w:sz w:val="20"/>
            <w:szCs w:val="20"/>
            <w:lang w:val="bg-BG"/>
          </w:rPr>
          <w:t>-</w:t>
        </w:r>
        <w:r w:rsidRPr="00FD37F6">
          <w:rPr>
            <w:rStyle w:val="Hyperlink"/>
            <w:rFonts w:cs="Times New Roman"/>
            <w:sz w:val="20"/>
            <w:szCs w:val="20"/>
          </w:rPr>
          <w:t>agenda</w:t>
        </w:r>
        <w:r w:rsidRPr="00FD37F6">
          <w:rPr>
            <w:rStyle w:val="Hyperlink"/>
            <w:rFonts w:cs="Times New Roman"/>
            <w:sz w:val="20"/>
            <w:szCs w:val="20"/>
            <w:lang w:val="bg-BG"/>
          </w:rPr>
          <w:t>-</w:t>
        </w:r>
        <w:r w:rsidRPr="00FD37F6">
          <w:rPr>
            <w:rStyle w:val="Hyperlink"/>
            <w:rFonts w:cs="Times New Roman"/>
            <w:sz w:val="20"/>
            <w:szCs w:val="20"/>
          </w:rPr>
          <w:t>black</w:t>
        </w:r>
        <w:r w:rsidRPr="00FD37F6">
          <w:rPr>
            <w:rStyle w:val="Hyperlink"/>
            <w:rFonts w:cs="Times New Roman"/>
            <w:sz w:val="20"/>
            <w:szCs w:val="20"/>
            <w:lang w:val="bg-BG"/>
          </w:rPr>
          <w:t>-</w:t>
        </w:r>
        <w:r w:rsidRPr="00FD37F6">
          <w:rPr>
            <w:rStyle w:val="Hyperlink"/>
            <w:rFonts w:cs="Times New Roman"/>
            <w:sz w:val="20"/>
            <w:szCs w:val="20"/>
          </w:rPr>
          <w:t>sea</w:t>
        </w:r>
        <w:r w:rsidRPr="00FD37F6">
          <w:rPr>
            <w:rStyle w:val="Hyperlink"/>
            <w:rFonts w:cs="Times New Roman"/>
            <w:sz w:val="20"/>
            <w:szCs w:val="20"/>
            <w:lang w:val="bg-BG"/>
          </w:rPr>
          <w:t>-</w:t>
        </w:r>
        <w:r w:rsidRPr="00FD37F6">
          <w:rPr>
            <w:rStyle w:val="Hyperlink"/>
            <w:rFonts w:cs="Times New Roman"/>
            <w:sz w:val="20"/>
            <w:szCs w:val="20"/>
          </w:rPr>
          <w:t>motion</w:t>
        </w:r>
        <w:r w:rsidRPr="00FD37F6">
          <w:rPr>
            <w:rStyle w:val="Hyperlink"/>
            <w:rFonts w:cs="Times New Roman"/>
            <w:sz w:val="20"/>
            <w:szCs w:val="20"/>
            <w:lang w:val="bg-BG"/>
          </w:rPr>
          <w:t>_</w:t>
        </w:r>
        <w:r w:rsidRPr="00FD37F6">
          <w:rPr>
            <w:rStyle w:val="Hyperlink"/>
            <w:rFonts w:cs="Times New Roman"/>
            <w:sz w:val="20"/>
            <w:szCs w:val="20"/>
          </w:rPr>
          <w:t>en</w:t>
        </w:r>
      </w:hyperlink>
      <w:r w:rsidRPr="00FD37F6">
        <w:rPr>
          <w:rFonts w:cs="Times New Roman"/>
          <w:sz w:val="20"/>
          <w:szCs w:val="20"/>
          <w:lang w:val="bg-BG"/>
        </w:rPr>
        <w:t xml:space="preserve"> </w:t>
      </w:r>
    </w:p>
  </w:footnote>
  <w:footnote w:id="57">
    <w:p w14:paraId="78C0DEEF" w14:textId="4E3DCD71"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39"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bsbd</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page</w:t>
        </w:r>
        <w:r w:rsidRPr="00FD37F6">
          <w:rPr>
            <w:rStyle w:val="Hyperlink"/>
            <w:rFonts w:cs="Times New Roman"/>
            <w:sz w:val="20"/>
            <w:szCs w:val="20"/>
            <w:lang w:val="bg-BG"/>
          </w:rPr>
          <w:t>_1722859.</w:t>
        </w:r>
        <w:r w:rsidRPr="00FD37F6">
          <w:rPr>
            <w:rStyle w:val="Hyperlink"/>
            <w:rFonts w:cs="Times New Roman"/>
            <w:sz w:val="20"/>
            <w:szCs w:val="20"/>
          </w:rPr>
          <w:t>html</w:t>
        </w:r>
      </w:hyperlink>
      <w:r w:rsidRPr="00FD37F6">
        <w:rPr>
          <w:rFonts w:cs="Times New Roman"/>
          <w:sz w:val="20"/>
          <w:szCs w:val="20"/>
          <w:lang w:val="bg-BG"/>
        </w:rPr>
        <w:t xml:space="preserve"> </w:t>
      </w:r>
    </w:p>
  </w:footnote>
  <w:footnote w:id="58">
    <w:p w14:paraId="4CBE03F2" w14:textId="70CE8038"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40"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bsbd</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msfd</w:t>
        </w:r>
        <w:r w:rsidRPr="00FD37F6">
          <w:rPr>
            <w:rStyle w:val="Hyperlink"/>
            <w:rFonts w:cs="Times New Roman"/>
            <w:sz w:val="20"/>
            <w:szCs w:val="20"/>
            <w:lang w:val="bg-BG"/>
          </w:rPr>
          <w:t>_</w:t>
        </w:r>
        <w:r w:rsidRPr="00FD37F6">
          <w:rPr>
            <w:rStyle w:val="Hyperlink"/>
            <w:rFonts w:cs="Times New Roman"/>
            <w:sz w:val="20"/>
            <w:szCs w:val="20"/>
          </w:rPr>
          <w:t>monitoring</w:t>
        </w:r>
        <w:r w:rsidRPr="00FD37F6">
          <w:rPr>
            <w:rStyle w:val="Hyperlink"/>
            <w:rFonts w:cs="Times New Roman"/>
            <w:sz w:val="20"/>
            <w:szCs w:val="20"/>
            <w:lang w:val="bg-BG"/>
          </w:rPr>
          <w:t>.</w:t>
        </w:r>
        <w:r w:rsidRPr="00FD37F6">
          <w:rPr>
            <w:rStyle w:val="Hyperlink"/>
            <w:rFonts w:cs="Times New Roman"/>
            <w:sz w:val="20"/>
            <w:szCs w:val="20"/>
          </w:rPr>
          <w:t>html</w:t>
        </w:r>
      </w:hyperlink>
      <w:r w:rsidRPr="00FD37F6">
        <w:rPr>
          <w:rFonts w:cs="Times New Roman"/>
          <w:sz w:val="20"/>
          <w:szCs w:val="20"/>
          <w:lang w:val="bg-BG"/>
        </w:rPr>
        <w:t xml:space="preserve"> </w:t>
      </w:r>
    </w:p>
  </w:footnote>
  <w:footnote w:id="59">
    <w:p w14:paraId="2A083241" w14:textId="5CDE76E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41"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bsbd</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merki</w:t>
        </w:r>
        <w:r w:rsidRPr="00FD37F6">
          <w:rPr>
            <w:rStyle w:val="Hyperlink"/>
            <w:rFonts w:cs="Times New Roman"/>
            <w:sz w:val="20"/>
            <w:szCs w:val="20"/>
            <w:lang w:val="bg-BG"/>
          </w:rPr>
          <w:t>_13_</w:t>
        </w:r>
        <w:r w:rsidRPr="00FD37F6">
          <w:rPr>
            <w:rStyle w:val="Hyperlink"/>
            <w:rFonts w:cs="Times New Roman"/>
            <w:sz w:val="20"/>
            <w:szCs w:val="20"/>
          </w:rPr>
          <w:t>rdms</w:t>
        </w:r>
        <w:r w:rsidRPr="00FD37F6">
          <w:rPr>
            <w:rStyle w:val="Hyperlink"/>
            <w:rFonts w:cs="Times New Roman"/>
            <w:sz w:val="20"/>
            <w:szCs w:val="20"/>
            <w:lang w:val="bg-BG"/>
          </w:rPr>
          <w:t>.</w:t>
        </w:r>
        <w:r w:rsidRPr="00FD37F6">
          <w:rPr>
            <w:rStyle w:val="Hyperlink"/>
            <w:rFonts w:cs="Times New Roman"/>
            <w:sz w:val="20"/>
            <w:szCs w:val="20"/>
          </w:rPr>
          <w:t>html</w:t>
        </w:r>
      </w:hyperlink>
      <w:r w:rsidRPr="00FD37F6">
        <w:rPr>
          <w:rFonts w:cs="Times New Roman"/>
          <w:sz w:val="20"/>
          <w:szCs w:val="20"/>
          <w:lang w:val="bg-BG"/>
        </w:rPr>
        <w:t xml:space="preserve"> </w:t>
      </w:r>
    </w:p>
  </w:footnote>
  <w:footnote w:id="60">
    <w:p w14:paraId="40AD7B9B" w14:textId="0432BDF4"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42"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bsbd</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marine</w:t>
        </w:r>
        <w:r w:rsidRPr="00FD37F6">
          <w:rPr>
            <w:rStyle w:val="Hyperlink"/>
            <w:rFonts w:cs="Times New Roman"/>
            <w:sz w:val="20"/>
            <w:szCs w:val="20"/>
            <w:lang w:val="bg-BG"/>
          </w:rPr>
          <w:t>_</w:t>
        </w:r>
        <w:r w:rsidRPr="00FD37F6">
          <w:rPr>
            <w:rStyle w:val="Hyperlink"/>
            <w:rFonts w:cs="Times New Roman"/>
            <w:sz w:val="20"/>
            <w:szCs w:val="20"/>
          </w:rPr>
          <w:t>env</w:t>
        </w:r>
        <w:r w:rsidRPr="00FD37F6">
          <w:rPr>
            <w:rStyle w:val="Hyperlink"/>
            <w:rFonts w:cs="Times New Roman"/>
            <w:sz w:val="20"/>
            <w:szCs w:val="20"/>
            <w:lang w:val="bg-BG"/>
          </w:rPr>
          <w:t>_</w:t>
        </w:r>
        <w:r w:rsidRPr="00FD37F6">
          <w:rPr>
            <w:rStyle w:val="Hyperlink"/>
            <w:rFonts w:cs="Times New Roman"/>
            <w:sz w:val="20"/>
            <w:szCs w:val="20"/>
          </w:rPr>
          <w:t>assessment</w:t>
        </w:r>
        <w:r w:rsidRPr="00FD37F6">
          <w:rPr>
            <w:rStyle w:val="Hyperlink"/>
            <w:rFonts w:cs="Times New Roman"/>
            <w:sz w:val="20"/>
            <w:szCs w:val="20"/>
            <w:lang w:val="bg-BG"/>
          </w:rPr>
          <w:t>.</w:t>
        </w:r>
        <w:r w:rsidRPr="00FD37F6">
          <w:rPr>
            <w:rStyle w:val="Hyperlink"/>
            <w:rFonts w:cs="Times New Roman"/>
            <w:sz w:val="20"/>
            <w:szCs w:val="20"/>
          </w:rPr>
          <w:t>html</w:t>
        </w:r>
      </w:hyperlink>
      <w:r w:rsidRPr="00FD37F6">
        <w:rPr>
          <w:rFonts w:cs="Times New Roman"/>
          <w:sz w:val="20"/>
          <w:szCs w:val="20"/>
          <w:lang w:val="bg-BG"/>
        </w:rPr>
        <w:t xml:space="preserve">; </w:t>
      </w:r>
    </w:p>
  </w:footnote>
  <w:footnote w:id="61">
    <w:p w14:paraId="469E93DC" w14:textId="45AEB7AD"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57/2004 г., изм. и доп. бр. 67/23.08.2019 г.</w:t>
      </w:r>
    </w:p>
  </w:footnote>
  <w:footnote w:id="62">
    <w:p w14:paraId="0647A7DD" w14:textId="54437571" w:rsidR="00215C86" w:rsidRPr="00FD37F6" w:rsidRDefault="00215C86" w:rsidP="00F00BE8">
      <w:pPr>
        <w:pStyle w:val="FootnoteText"/>
        <w:spacing w:after="20"/>
        <w:rPr>
          <w:rFonts w:cs="Times New Roman"/>
          <w:sz w:val="20"/>
          <w:szCs w:val="20"/>
          <w:lang w:val="en-US"/>
        </w:rPr>
      </w:pPr>
      <w:r w:rsidRPr="00FD37F6">
        <w:rPr>
          <w:rStyle w:val="FootnoteReference"/>
          <w:rFonts w:cs="Times New Roman"/>
          <w:sz w:val="20"/>
          <w:szCs w:val="20"/>
        </w:rPr>
        <w:footnoteRef/>
      </w:r>
      <w:r w:rsidRPr="00FD37F6">
        <w:rPr>
          <w:rFonts w:cs="Times New Roman"/>
          <w:sz w:val="20"/>
          <w:szCs w:val="20"/>
        </w:rPr>
        <w:t xml:space="preserve"> Guiding Principles for Sustainable Spatial Development of the European Continent, CEMAT. 2000 </w:t>
      </w:r>
      <w:hyperlink r:id="rId43" w:history="1">
        <w:r w:rsidRPr="00FD37F6">
          <w:rPr>
            <w:rStyle w:val="Hyperlink"/>
            <w:rFonts w:cs="Times New Roman"/>
            <w:sz w:val="20"/>
            <w:szCs w:val="20"/>
          </w:rPr>
          <w:t>https://rm.coe.int/1680700173</w:t>
        </w:r>
      </w:hyperlink>
      <w:r w:rsidRPr="00FD37F6">
        <w:rPr>
          <w:rFonts w:cs="Times New Roman"/>
          <w:sz w:val="20"/>
          <w:szCs w:val="20"/>
        </w:rPr>
        <w:t xml:space="preserve"> </w:t>
      </w:r>
    </w:p>
  </w:footnote>
  <w:footnote w:id="63">
    <w:p w14:paraId="7998EEA9" w14:textId="7E4D5664" w:rsidR="00215C86" w:rsidRPr="00FD37F6" w:rsidRDefault="00215C86" w:rsidP="00901BE7">
      <w:pPr>
        <w:pStyle w:val="FootnoteText"/>
        <w:spacing w:after="20"/>
        <w:ind w:right="-329"/>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rPr>
        <w:t xml:space="preserve"> </w:t>
      </w:r>
      <w:hyperlink r:id="rId44" w:history="1">
        <w:r w:rsidRPr="00FD37F6">
          <w:rPr>
            <w:rStyle w:val="Hyperlink"/>
            <w:rFonts w:cs="Times New Roman"/>
            <w:sz w:val="20"/>
            <w:szCs w:val="20"/>
          </w:rPr>
          <w:t>http://www.tourism.government.bg/sites/tourism.government.bg/files/documents/2018-01/nsurtb_2014-2030.pdf</w:t>
        </w:r>
      </w:hyperlink>
      <w:r w:rsidRPr="00FD37F6">
        <w:rPr>
          <w:rFonts w:cs="Times New Roman"/>
          <w:sz w:val="20"/>
          <w:szCs w:val="20"/>
          <w:lang w:val="bg-BG"/>
        </w:rPr>
        <w:t xml:space="preserve"> </w:t>
      </w:r>
    </w:p>
  </w:footnote>
  <w:footnote w:id="64">
    <w:p w14:paraId="295951DC" w14:textId="31EE2CA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45"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mc</w:t>
        </w:r>
        <w:r w:rsidRPr="00FD37F6">
          <w:rPr>
            <w:rStyle w:val="Hyperlink"/>
            <w:rFonts w:cs="Times New Roman"/>
            <w:sz w:val="20"/>
            <w:szCs w:val="20"/>
            <w:lang w:val="bg-BG"/>
          </w:rPr>
          <w:t>.</w:t>
        </w:r>
        <w:r w:rsidRPr="00FD37F6">
          <w:rPr>
            <w:rStyle w:val="Hyperlink"/>
            <w:rFonts w:cs="Times New Roman"/>
            <w:sz w:val="20"/>
            <w:szCs w:val="20"/>
          </w:rPr>
          <w:t>government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files</w:t>
        </w:r>
        <w:r w:rsidRPr="00FD37F6">
          <w:rPr>
            <w:rStyle w:val="Hyperlink"/>
            <w:rFonts w:cs="Times New Roman"/>
            <w:sz w:val="20"/>
            <w:szCs w:val="20"/>
            <w:lang w:val="bg-BG"/>
          </w:rPr>
          <w:t>/5495_</w:t>
        </w:r>
        <w:r w:rsidRPr="00FD37F6">
          <w:rPr>
            <w:rStyle w:val="Hyperlink"/>
            <w:rFonts w:cs="Times New Roman"/>
            <w:sz w:val="20"/>
            <w:szCs w:val="20"/>
          </w:rPr>
          <w:t>Strategy</w:t>
        </w:r>
        <w:r w:rsidRPr="00FD37F6">
          <w:rPr>
            <w:rStyle w:val="Hyperlink"/>
            <w:rFonts w:cs="Times New Roman"/>
            <w:sz w:val="20"/>
            <w:szCs w:val="20"/>
            <w:lang w:val="bg-BG"/>
          </w:rPr>
          <w:t>_</w:t>
        </w:r>
        <w:r w:rsidRPr="00FD37F6">
          <w:rPr>
            <w:rStyle w:val="Hyperlink"/>
            <w:rFonts w:cs="Times New Roman"/>
            <w:sz w:val="20"/>
            <w:szCs w:val="20"/>
          </w:rPr>
          <w:t>culture</w:t>
        </w:r>
        <w:r w:rsidRPr="00FD37F6">
          <w:rPr>
            <w:rStyle w:val="Hyperlink"/>
            <w:rFonts w:cs="Times New Roman"/>
            <w:sz w:val="20"/>
            <w:szCs w:val="20"/>
            <w:lang w:val="bg-BG"/>
          </w:rPr>
          <w:t>_.</w:t>
        </w:r>
        <w:r w:rsidRPr="00FD37F6">
          <w:rPr>
            <w:rStyle w:val="Hyperlink"/>
            <w:rFonts w:cs="Times New Roman"/>
            <w:sz w:val="20"/>
            <w:szCs w:val="20"/>
          </w:rPr>
          <w:t>pdf</w:t>
        </w:r>
      </w:hyperlink>
      <w:r w:rsidRPr="00FD37F6">
        <w:rPr>
          <w:rFonts w:cs="Times New Roman"/>
          <w:sz w:val="20"/>
          <w:szCs w:val="20"/>
          <w:lang w:val="bg-BG"/>
        </w:rPr>
        <w:t xml:space="preserve"> </w:t>
      </w:r>
    </w:p>
  </w:footnote>
  <w:footnote w:id="65">
    <w:p w14:paraId="12686A20" w14:textId="455C1FC8"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46"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moew</w:t>
        </w:r>
        <w:r w:rsidRPr="00FD37F6">
          <w:rPr>
            <w:rStyle w:val="Hyperlink"/>
            <w:rFonts w:cs="Times New Roman"/>
            <w:sz w:val="20"/>
            <w:szCs w:val="20"/>
            <w:lang w:val="bg-BG"/>
          </w:rPr>
          <w:t>.</w:t>
        </w:r>
        <w:r w:rsidRPr="00FD37F6">
          <w:rPr>
            <w:rStyle w:val="Hyperlink"/>
            <w:rFonts w:cs="Times New Roman"/>
            <w:sz w:val="20"/>
            <w:szCs w:val="20"/>
          </w:rPr>
          <w:t>government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klimat</w:t>
        </w:r>
        <w:r w:rsidRPr="00FD37F6">
          <w:rPr>
            <w:rStyle w:val="Hyperlink"/>
            <w:rFonts w:cs="Times New Roman"/>
            <w:sz w:val="20"/>
            <w:szCs w:val="20"/>
            <w:lang w:val="bg-BG"/>
          </w:rPr>
          <w:t>/</w:t>
        </w:r>
        <w:r w:rsidRPr="00FD37F6">
          <w:rPr>
            <w:rStyle w:val="Hyperlink"/>
            <w:rFonts w:cs="Times New Roman"/>
            <w:sz w:val="20"/>
            <w:szCs w:val="20"/>
          </w:rPr>
          <w:t>mejdunarodni</w:t>
        </w:r>
        <w:r w:rsidRPr="00FD37F6">
          <w:rPr>
            <w:rStyle w:val="Hyperlink"/>
            <w:rFonts w:cs="Times New Roman"/>
            <w:sz w:val="20"/>
            <w:szCs w:val="20"/>
            <w:lang w:val="bg-BG"/>
          </w:rPr>
          <w:t>-</w:t>
        </w:r>
        <w:r w:rsidRPr="00FD37F6">
          <w:rPr>
            <w:rStyle w:val="Hyperlink"/>
            <w:rFonts w:cs="Times New Roman"/>
            <w:sz w:val="20"/>
            <w:szCs w:val="20"/>
          </w:rPr>
          <w:t>pregovori</w:t>
        </w:r>
        <w:r w:rsidRPr="00FD37F6">
          <w:rPr>
            <w:rStyle w:val="Hyperlink"/>
            <w:rFonts w:cs="Times New Roman"/>
            <w:sz w:val="20"/>
            <w:szCs w:val="20"/>
            <w:lang w:val="bg-BG"/>
          </w:rPr>
          <w:t>-</w:t>
        </w:r>
        <w:r w:rsidRPr="00FD37F6">
          <w:rPr>
            <w:rStyle w:val="Hyperlink"/>
            <w:rFonts w:cs="Times New Roman"/>
            <w:sz w:val="20"/>
            <w:szCs w:val="20"/>
          </w:rPr>
          <w:t>i</w:t>
        </w:r>
        <w:r w:rsidRPr="00FD37F6">
          <w:rPr>
            <w:rStyle w:val="Hyperlink"/>
            <w:rFonts w:cs="Times New Roman"/>
            <w:sz w:val="20"/>
            <w:szCs w:val="20"/>
            <w:lang w:val="bg-BG"/>
          </w:rPr>
          <w:t>-</w:t>
        </w:r>
        <w:r w:rsidRPr="00FD37F6">
          <w:rPr>
            <w:rStyle w:val="Hyperlink"/>
            <w:rFonts w:cs="Times New Roman"/>
            <w:sz w:val="20"/>
            <w:szCs w:val="20"/>
          </w:rPr>
          <w:t>adaptaciya</w:t>
        </w:r>
        <w:r w:rsidRPr="00FD37F6">
          <w:rPr>
            <w:rStyle w:val="Hyperlink"/>
            <w:rFonts w:cs="Times New Roman"/>
            <w:sz w:val="20"/>
            <w:szCs w:val="20"/>
            <w:lang w:val="bg-BG"/>
          </w:rPr>
          <w:t>/</w:t>
        </w:r>
        <w:r w:rsidRPr="00FD37F6">
          <w:rPr>
            <w:rStyle w:val="Hyperlink"/>
            <w:rFonts w:cs="Times New Roman"/>
            <w:sz w:val="20"/>
            <w:szCs w:val="20"/>
          </w:rPr>
          <w:t>adaptaciya</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66">
    <w:p w14:paraId="6855CC1C" w14:textId="59C1F323"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47"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mrrb</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nacionalna</w:t>
        </w:r>
        <w:r w:rsidRPr="00FD37F6">
          <w:rPr>
            <w:rStyle w:val="Hyperlink"/>
            <w:rFonts w:cs="Times New Roman"/>
            <w:sz w:val="20"/>
            <w:szCs w:val="20"/>
            <w:lang w:val="bg-BG"/>
          </w:rPr>
          <w:t>-</w:t>
        </w:r>
        <w:r w:rsidRPr="00FD37F6">
          <w:rPr>
            <w:rStyle w:val="Hyperlink"/>
            <w:rFonts w:cs="Times New Roman"/>
            <w:sz w:val="20"/>
            <w:szCs w:val="20"/>
          </w:rPr>
          <w:t>programa</w:t>
        </w:r>
        <w:r w:rsidRPr="00FD37F6">
          <w:rPr>
            <w:rStyle w:val="Hyperlink"/>
            <w:rFonts w:cs="Times New Roman"/>
            <w:sz w:val="20"/>
            <w:szCs w:val="20"/>
            <w:lang w:val="bg-BG"/>
          </w:rPr>
          <w:t>-</w:t>
        </w:r>
        <w:r w:rsidRPr="00FD37F6">
          <w:rPr>
            <w:rStyle w:val="Hyperlink"/>
            <w:rFonts w:cs="Times New Roman"/>
            <w:sz w:val="20"/>
            <w:szCs w:val="20"/>
          </w:rPr>
          <w:t>za</w:t>
        </w:r>
        <w:r w:rsidRPr="00FD37F6">
          <w:rPr>
            <w:rStyle w:val="Hyperlink"/>
            <w:rFonts w:cs="Times New Roman"/>
            <w:sz w:val="20"/>
            <w:szCs w:val="20"/>
            <w:lang w:val="bg-BG"/>
          </w:rPr>
          <w:t>-</w:t>
        </w:r>
        <w:r w:rsidRPr="00FD37F6">
          <w:rPr>
            <w:rStyle w:val="Hyperlink"/>
            <w:rFonts w:cs="Times New Roman"/>
            <w:sz w:val="20"/>
            <w:szCs w:val="20"/>
          </w:rPr>
          <w:t>prevenciya</w:t>
        </w:r>
        <w:r w:rsidRPr="00FD37F6">
          <w:rPr>
            <w:rStyle w:val="Hyperlink"/>
            <w:rFonts w:cs="Times New Roman"/>
            <w:sz w:val="20"/>
            <w:szCs w:val="20"/>
            <w:lang w:val="bg-BG"/>
          </w:rPr>
          <w:t>-</w:t>
        </w:r>
        <w:r w:rsidRPr="00FD37F6">
          <w:rPr>
            <w:rStyle w:val="Hyperlink"/>
            <w:rFonts w:cs="Times New Roman"/>
            <w:sz w:val="20"/>
            <w:szCs w:val="20"/>
          </w:rPr>
          <w:t>i</w:t>
        </w:r>
        <w:r w:rsidRPr="00FD37F6">
          <w:rPr>
            <w:rStyle w:val="Hyperlink"/>
            <w:rFonts w:cs="Times New Roman"/>
            <w:sz w:val="20"/>
            <w:szCs w:val="20"/>
            <w:lang w:val="bg-BG"/>
          </w:rPr>
          <w:t>-</w:t>
        </w:r>
        <w:r w:rsidRPr="00FD37F6">
          <w:rPr>
            <w:rStyle w:val="Hyperlink"/>
            <w:rFonts w:cs="Times New Roman"/>
            <w:sz w:val="20"/>
            <w:szCs w:val="20"/>
          </w:rPr>
          <w:t>ogranichavane</w:t>
        </w:r>
        <w:r w:rsidRPr="00FD37F6">
          <w:rPr>
            <w:rStyle w:val="Hyperlink"/>
            <w:rFonts w:cs="Times New Roman"/>
            <w:sz w:val="20"/>
            <w:szCs w:val="20"/>
            <w:lang w:val="bg-BG"/>
          </w:rPr>
          <w:t>-</w:t>
        </w:r>
        <w:r w:rsidRPr="00FD37F6">
          <w:rPr>
            <w:rStyle w:val="Hyperlink"/>
            <w:rFonts w:cs="Times New Roman"/>
            <w:sz w:val="20"/>
            <w:szCs w:val="20"/>
          </w:rPr>
          <w:t>na</w:t>
        </w:r>
        <w:r w:rsidRPr="00FD37F6">
          <w:rPr>
            <w:rStyle w:val="Hyperlink"/>
            <w:rFonts w:cs="Times New Roman"/>
            <w:sz w:val="20"/>
            <w:szCs w:val="20"/>
            <w:lang w:val="bg-BG"/>
          </w:rPr>
          <w:t>-</w:t>
        </w:r>
        <w:r w:rsidRPr="00FD37F6">
          <w:rPr>
            <w:rStyle w:val="Hyperlink"/>
            <w:rFonts w:cs="Times New Roman"/>
            <w:sz w:val="20"/>
            <w:szCs w:val="20"/>
          </w:rPr>
          <w:t>svlachistata</w:t>
        </w:r>
        <w:r w:rsidRPr="00FD37F6">
          <w:rPr>
            <w:rStyle w:val="Hyperlink"/>
            <w:rFonts w:cs="Times New Roman"/>
            <w:sz w:val="20"/>
            <w:szCs w:val="20"/>
            <w:lang w:val="bg-BG"/>
          </w:rPr>
          <w:t>-</w:t>
        </w:r>
        <w:r w:rsidRPr="00FD37F6">
          <w:rPr>
            <w:rStyle w:val="Hyperlink"/>
            <w:rFonts w:cs="Times New Roman"/>
            <w:sz w:val="20"/>
            <w:szCs w:val="20"/>
          </w:rPr>
          <w:t>na</w:t>
        </w:r>
        <w:r w:rsidRPr="00FD37F6">
          <w:rPr>
            <w:rStyle w:val="Hyperlink"/>
            <w:rFonts w:cs="Times New Roman"/>
            <w:sz w:val="20"/>
            <w:szCs w:val="20"/>
            <w:lang w:val="bg-BG"/>
          </w:rPr>
          <w:t>-</w:t>
        </w:r>
        <w:r w:rsidRPr="00FD37F6">
          <w:rPr>
            <w:rStyle w:val="Hyperlink"/>
            <w:rFonts w:cs="Times New Roman"/>
            <w:sz w:val="20"/>
            <w:szCs w:val="20"/>
          </w:rPr>
          <w:t>teritoriyata</w:t>
        </w:r>
        <w:r w:rsidRPr="00FD37F6">
          <w:rPr>
            <w:rStyle w:val="Hyperlink"/>
            <w:rFonts w:cs="Times New Roman"/>
            <w:sz w:val="20"/>
            <w:szCs w:val="20"/>
            <w:lang w:val="bg-BG"/>
          </w:rPr>
          <w:t>-</w:t>
        </w:r>
        <w:r w:rsidRPr="00FD37F6">
          <w:rPr>
            <w:rStyle w:val="Hyperlink"/>
            <w:rFonts w:cs="Times New Roman"/>
            <w:sz w:val="20"/>
            <w:szCs w:val="20"/>
          </w:rPr>
          <w:t>na</w:t>
        </w:r>
        <w:r w:rsidRPr="00FD37F6">
          <w:rPr>
            <w:rStyle w:val="Hyperlink"/>
            <w:rFonts w:cs="Times New Roman"/>
            <w:sz w:val="20"/>
            <w:szCs w:val="20"/>
            <w:lang w:val="bg-BG"/>
          </w:rPr>
          <w:t>-</w:t>
        </w:r>
        <w:r w:rsidRPr="00FD37F6">
          <w:rPr>
            <w:rStyle w:val="Hyperlink"/>
            <w:rFonts w:cs="Times New Roman"/>
            <w:sz w:val="20"/>
            <w:szCs w:val="20"/>
          </w:rPr>
          <w:t>republika</w:t>
        </w:r>
        <w:r w:rsidRPr="00FD37F6">
          <w:rPr>
            <w:rStyle w:val="Hyperlink"/>
            <w:rFonts w:cs="Times New Roman"/>
            <w:sz w:val="20"/>
            <w:szCs w:val="20"/>
            <w:lang w:val="bg-BG"/>
          </w:rPr>
          <w:t>-</w:t>
        </w:r>
        <w:r w:rsidRPr="00FD37F6">
          <w:rPr>
            <w:rStyle w:val="Hyperlink"/>
            <w:rFonts w:cs="Times New Roman"/>
            <w:sz w:val="20"/>
            <w:szCs w:val="20"/>
          </w:rPr>
          <w:t>bulgariya</w:t>
        </w:r>
        <w:r w:rsidRPr="00FD37F6">
          <w:rPr>
            <w:rStyle w:val="Hyperlink"/>
            <w:rFonts w:cs="Times New Roman"/>
            <w:sz w:val="20"/>
            <w:szCs w:val="20"/>
            <w:lang w:val="bg-BG"/>
          </w:rPr>
          <w:t>-</w:t>
        </w:r>
        <w:r w:rsidRPr="00FD37F6">
          <w:rPr>
            <w:rStyle w:val="Hyperlink"/>
            <w:rFonts w:cs="Times New Roman"/>
            <w:sz w:val="20"/>
            <w:szCs w:val="20"/>
          </w:rPr>
          <w:t>eroziyata</w:t>
        </w:r>
        <w:r w:rsidRPr="00FD37F6">
          <w:rPr>
            <w:rStyle w:val="Hyperlink"/>
            <w:rFonts w:cs="Times New Roman"/>
            <w:sz w:val="20"/>
            <w:szCs w:val="20"/>
            <w:lang w:val="bg-BG"/>
          </w:rPr>
          <w:t>-</w:t>
        </w:r>
        <w:r w:rsidRPr="00FD37F6">
          <w:rPr>
            <w:rStyle w:val="Hyperlink"/>
            <w:rFonts w:cs="Times New Roman"/>
            <w:sz w:val="20"/>
            <w:szCs w:val="20"/>
          </w:rPr>
          <w:t>i</w:t>
        </w:r>
        <w:r w:rsidRPr="00FD37F6">
          <w:rPr>
            <w:rStyle w:val="Hyperlink"/>
            <w:rFonts w:cs="Times New Roman"/>
            <w:sz w:val="20"/>
            <w:szCs w:val="20"/>
            <w:lang w:val="bg-BG"/>
          </w:rPr>
          <w:t>-</w:t>
        </w:r>
        <w:r w:rsidRPr="00FD37F6">
          <w:rPr>
            <w:rStyle w:val="Hyperlink"/>
            <w:rFonts w:cs="Times New Roman"/>
            <w:sz w:val="20"/>
            <w:szCs w:val="20"/>
          </w:rPr>
          <w:t>abraziyata</w:t>
        </w:r>
        <w:r w:rsidRPr="00FD37F6">
          <w:rPr>
            <w:rStyle w:val="Hyperlink"/>
            <w:rFonts w:cs="Times New Roman"/>
            <w:sz w:val="20"/>
            <w:szCs w:val="20"/>
            <w:lang w:val="bg-BG"/>
          </w:rPr>
          <w:t>-</w:t>
        </w:r>
        <w:r w:rsidRPr="00FD37F6">
          <w:rPr>
            <w:rStyle w:val="Hyperlink"/>
            <w:rFonts w:cs="Times New Roman"/>
            <w:sz w:val="20"/>
            <w:szCs w:val="20"/>
          </w:rPr>
          <w:t>po</w:t>
        </w:r>
        <w:r w:rsidRPr="00FD37F6">
          <w:rPr>
            <w:rStyle w:val="Hyperlink"/>
            <w:rFonts w:cs="Times New Roman"/>
            <w:sz w:val="20"/>
            <w:szCs w:val="20"/>
            <w:lang w:val="bg-BG"/>
          </w:rPr>
          <w:t>-</w:t>
        </w:r>
        <w:r w:rsidRPr="00FD37F6">
          <w:rPr>
            <w:rStyle w:val="Hyperlink"/>
            <w:rFonts w:cs="Times New Roman"/>
            <w:sz w:val="20"/>
            <w:szCs w:val="20"/>
          </w:rPr>
          <w:t>dunavskoto</w:t>
        </w:r>
        <w:r w:rsidRPr="00FD37F6">
          <w:rPr>
            <w:rStyle w:val="Hyperlink"/>
            <w:rFonts w:cs="Times New Roman"/>
            <w:sz w:val="20"/>
            <w:szCs w:val="20"/>
            <w:lang w:val="bg-BG"/>
          </w:rPr>
          <w:t>-</w:t>
        </w:r>
        <w:r w:rsidRPr="00FD37F6">
          <w:rPr>
            <w:rStyle w:val="Hyperlink"/>
            <w:rFonts w:cs="Times New Roman"/>
            <w:sz w:val="20"/>
            <w:szCs w:val="20"/>
          </w:rPr>
          <w:t>i</w:t>
        </w:r>
        <w:r w:rsidRPr="00FD37F6">
          <w:rPr>
            <w:rStyle w:val="Hyperlink"/>
            <w:rFonts w:cs="Times New Roman"/>
            <w:sz w:val="20"/>
            <w:szCs w:val="20"/>
            <w:lang w:val="bg-BG"/>
          </w:rPr>
          <w:t>-</w:t>
        </w:r>
        <w:r w:rsidRPr="00FD37F6">
          <w:rPr>
            <w:rStyle w:val="Hyperlink"/>
            <w:rFonts w:cs="Times New Roman"/>
            <w:sz w:val="20"/>
            <w:szCs w:val="20"/>
          </w:rPr>
          <w:t>chernomorskoto</w:t>
        </w:r>
        <w:r w:rsidRPr="00FD37F6">
          <w:rPr>
            <w:rStyle w:val="Hyperlink"/>
            <w:rFonts w:cs="Times New Roman"/>
            <w:sz w:val="20"/>
            <w:szCs w:val="20"/>
            <w:lang w:val="bg-BG"/>
          </w:rPr>
          <w:t>-</w:t>
        </w:r>
        <w:r w:rsidRPr="00FD37F6">
          <w:rPr>
            <w:rStyle w:val="Hyperlink"/>
            <w:rFonts w:cs="Times New Roman"/>
            <w:sz w:val="20"/>
            <w:szCs w:val="20"/>
          </w:rPr>
          <w:t>krajbrejie</w:t>
        </w:r>
        <w:r w:rsidRPr="00FD37F6">
          <w:rPr>
            <w:rStyle w:val="Hyperlink"/>
            <w:rFonts w:cs="Times New Roman"/>
            <w:sz w:val="20"/>
            <w:szCs w:val="20"/>
            <w:lang w:val="bg-BG"/>
          </w:rPr>
          <w:t>-2015-2020-</w:t>
        </w:r>
        <w:r w:rsidRPr="00FD37F6">
          <w:rPr>
            <w:rStyle w:val="Hyperlink"/>
            <w:rFonts w:cs="Times New Roman"/>
            <w:sz w:val="20"/>
            <w:szCs w:val="20"/>
          </w:rPr>
          <w:t>g</w:t>
        </w:r>
        <w:r w:rsidRPr="00FD37F6">
          <w:rPr>
            <w:rStyle w:val="Hyperlink"/>
            <w:rFonts w:cs="Times New Roman"/>
            <w:sz w:val="20"/>
            <w:szCs w:val="20"/>
            <w:lang w:val="bg-BG"/>
          </w:rPr>
          <w:t>-</w:t>
        </w:r>
        <w:r w:rsidRPr="00FD37F6">
          <w:rPr>
            <w:rStyle w:val="Hyperlink"/>
            <w:rFonts w:cs="Times New Roman"/>
            <w:sz w:val="20"/>
            <w:szCs w:val="20"/>
          </w:rPr>
          <w:t>i</w:t>
        </w:r>
        <w:r w:rsidRPr="00FD37F6">
          <w:rPr>
            <w:rStyle w:val="Hyperlink"/>
            <w:rFonts w:cs="Times New Roman"/>
            <w:sz w:val="20"/>
            <w:szCs w:val="20"/>
            <w:lang w:val="bg-BG"/>
          </w:rPr>
          <w:t>-</w:t>
        </w:r>
        <w:r w:rsidRPr="00FD37F6">
          <w:rPr>
            <w:rStyle w:val="Hyperlink"/>
            <w:rFonts w:cs="Times New Roman"/>
            <w:sz w:val="20"/>
            <w:szCs w:val="20"/>
          </w:rPr>
          <w:t>dopulnenie</w:t>
        </w:r>
        <w:r w:rsidRPr="00FD37F6">
          <w:rPr>
            <w:rStyle w:val="Hyperlink"/>
            <w:rFonts w:cs="Times New Roman"/>
            <w:sz w:val="20"/>
            <w:szCs w:val="20"/>
            <w:lang w:val="bg-BG"/>
          </w:rPr>
          <w:t>-</w:t>
        </w:r>
        <w:r w:rsidRPr="00FD37F6">
          <w:rPr>
            <w:rStyle w:val="Hyperlink"/>
            <w:rFonts w:cs="Times New Roman"/>
            <w:sz w:val="20"/>
            <w:szCs w:val="20"/>
          </w:rPr>
          <w:t>kum</w:t>
        </w:r>
        <w:r w:rsidRPr="00FD37F6">
          <w:rPr>
            <w:rStyle w:val="Hyperlink"/>
            <w:rFonts w:cs="Times New Roman"/>
            <w:sz w:val="20"/>
            <w:szCs w:val="20"/>
            <w:lang w:val="bg-BG"/>
          </w:rPr>
          <w:t>-</w:t>
        </w:r>
        <w:r w:rsidRPr="00FD37F6">
          <w:rPr>
            <w:rStyle w:val="Hyperlink"/>
            <w:rFonts w:cs="Times New Roman"/>
            <w:sz w:val="20"/>
            <w:szCs w:val="20"/>
          </w:rPr>
          <w:t>neya</w:t>
        </w:r>
        <w:r w:rsidRPr="00FD37F6">
          <w:rPr>
            <w:rStyle w:val="Hyperlink"/>
            <w:rFonts w:cs="Times New Roman"/>
            <w:sz w:val="20"/>
            <w:szCs w:val="20"/>
            <w:lang w:val="bg-BG"/>
          </w:rPr>
          <w:t>-</w:t>
        </w:r>
        <w:r w:rsidRPr="00FD37F6">
          <w:rPr>
            <w:rStyle w:val="Hyperlink"/>
            <w:rFonts w:cs="Times New Roman"/>
            <w:sz w:val="20"/>
            <w:szCs w:val="20"/>
          </w:rPr>
          <w:t>s</w:t>
        </w:r>
        <w:r w:rsidRPr="00FD37F6">
          <w:rPr>
            <w:rStyle w:val="Hyperlink"/>
            <w:rFonts w:cs="Times New Roman"/>
            <w:sz w:val="20"/>
            <w:szCs w:val="20"/>
            <w:lang w:val="bg-BG"/>
          </w:rPr>
          <w:t>-</w:t>
        </w:r>
        <w:r w:rsidRPr="00FD37F6">
          <w:rPr>
            <w:rStyle w:val="Hyperlink"/>
            <w:rFonts w:cs="Times New Roman"/>
            <w:sz w:val="20"/>
            <w:szCs w:val="20"/>
          </w:rPr>
          <w:t>novovuzniknali</w:t>
        </w:r>
        <w:r w:rsidRPr="00FD37F6">
          <w:rPr>
            <w:rStyle w:val="Hyperlink"/>
            <w:rFonts w:cs="Times New Roman"/>
            <w:sz w:val="20"/>
            <w:szCs w:val="20"/>
            <w:lang w:val="bg-BG"/>
          </w:rPr>
          <w:t>-77199/</w:t>
        </w:r>
      </w:hyperlink>
      <w:r w:rsidRPr="00FD37F6">
        <w:rPr>
          <w:rFonts w:cs="Times New Roman"/>
          <w:sz w:val="20"/>
          <w:szCs w:val="20"/>
          <w:lang w:val="bg-BG"/>
        </w:rPr>
        <w:t xml:space="preserve"> </w:t>
      </w:r>
    </w:p>
  </w:footnote>
  <w:footnote w:id="67">
    <w:p w14:paraId="4E5C5311" w14:textId="29BA522A" w:rsidR="00215C86" w:rsidRPr="00FD37F6" w:rsidRDefault="00215C86" w:rsidP="00901BE7">
      <w:pPr>
        <w:pStyle w:val="FootnoteText"/>
        <w:spacing w:after="20"/>
        <w:ind w:right="-187"/>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48"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me</w:t>
        </w:r>
        <w:r w:rsidRPr="00FD37F6">
          <w:rPr>
            <w:rStyle w:val="Hyperlink"/>
            <w:rFonts w:cs="Times New Roman"/>
            <w:sz w:val="20"/>
            <w:szCs w:val="20"/>
            <w:lang w:val="bg-BG"/>
          </w:rPr>
          <w:t>.</w:t>
        </w:r>
        <w:r w:rsidRPr="00FD37F6">
          <w:rPr>
            <w:rStyle w:val="Hyperlink"/>
            <w:rFonts w:cs="Times New Roman"/>
            <w:sz w:val="20"/>
            <w:szCs w:val="20"/>
          </w:rPr>
          <w:t>government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themes</w:t>
        </w:r>
        <w:r w:rsidRPr="00FD37F6">
          <w:rPr>
            <w:rStyle w:val="Hyperlink"/>
            <w:rFonts w:cs="Times New Roman"/>
            <w:sz w:val="20"/>
            <w:szCs w:val="20"/>
            <w:lang w:val="bg-BG"/>
          </w:rPr>
          <w:t>/</w:t>
        </w:r>
        <w:r w:rsidRPr="00FD37F6">
          <w:rPr>
            <w:rStyle w:val="Hyperlink"/>
            <w:rFonts w:cs="Times New Roman"/>
            <w:sz w:val="20"/>
            <w:szCs w:val="20"/>
          </w:rPr>
          <w:t>energiina</w:t>
        </w:r>
        <w:r w:rsidRPr="00FD37F6">
          <w:rPr>
            <w:rStyle w:val="Hyperlink"/>
            <w:rFonts w:cs="Times New Roman"/>
            <w:sz w:val="20"/>
            <w:szCs w:val="20"/>
            <w:lang w:val="bg-BG"/>
          </w:rPr>
          <w:t>-</w:t>
        </w:r>
        <w:r w:rsidRPr="00FD37F6">
          <w:rPr>
            <w:rStyle w:val="Hyperlink"/>
            <w:rFonts w:cs="Times New Roman"/>
            <w:sz w:val="20"/>
            <w:szCs w:val="20"/>
          </w:rPr>
          <w:t>strategiya</w:t>
        </w:r>
        <w:r w:rsidRPr="00FD37F6">
          <w:rPr>
            <w:rStyle w:val="Hyperlink"/>
            <w:rFonts w:cs="Times New Roman"/>
            <w:sz w:val="20"/>
            <w:szCs w:val="20"/>
            <w:lang w:val="bg-BG"/>
          </w:rPr>
          <w:t>-</w:t>
        </w:r>
        <w:r w:rsidRPr="00FD37F6">
          <w:rPr>
            <w:rStyle w:val="Hyperlink"/>
            <w:rFonts w:cs="Times New Roman"/>
            <w:sz w:val="20"/>
            <w:szCs w:val="20"/>
          </w:rPr>
          <w:t>na</w:t>
        </w:r>
        <w:r w:rsidRPr="00FD37F6">
          <w:rPr>
            <w:rStyle w:val="Hyperlink"/>
            <w:rFonts w:cs="Times New Roman"/>
            <w:sz w:val="20"/>
            <w:szCs w:val="20"/>
            <w:lang w:val="bg-BG"/>
          </w:rPr>
          <w:t>-</w:t>
        </w:r>
        <w:r w:rsidRPr="00FD37F6">
          <w:rPr>
            <w:rStyle w:val="Hyperlink"/>
            <w:rFonts w:cs="Times New Roman"/>
            <w:sz w:val="20"/>
            <w:szCs w:val="20"/>
          </w:rPr>
          <w:t>republika</w:t>
        </w:r>
        <w:r w:rsidRPr="00FD37F6">
          <w:rPr>
            <w:rStyle w:val="Hyperlink"/>
            <w:rFonts w:cs="Times New Roman"/>
            <w:sz w:val="20"/>
            <w:szCs w:val="20"/>
            <w:lang w:val="bg-BG"/>
          </w:rPr>
          <w:t>-</w:t>
        </w:r>
        <w:r w:rsidRPr="00FD37F6">
          <w:rPr>
            <w:rStyle w:val="Hyperlink"/>
            <w:rFonts w:cs="Times New Roman"/>
            <w:sz w:val="20"/>
            <w:szCs w:val="20"/>
          </w:rPr>
          <w:t>balgariya</w:t>
        </w:r>
        <w:r w:rsidRPr="00FD37F6">
          <w:rPr>
            <w:rStyle w:val="Hyperlink"/>
            <w:rFonts w:cs="Times New Roman"/>
            <w:sz w:val="20"/>
            <w:szCs w:val="20"/>
            <w:lang w:val="bg-BG"/>
          </w:rPr>
          <w:t>-</w:t>
        </w:r>
        <w:r w:rsidRPr="00FD37F6">
          <w:rPr>
            <w:rStyle w:val="Hyperlink"/>
            <w:rFonts w:cs="Times New Roman"/>
            <w:sz w:val="20"/>
            <w:szCs w:val="20"/>
          </w:rPr>
          <w:t>do</w:t>
        </w:r>
        <w:r w:rsidRPr="00FD37F6">
          <w:rPr>
            <w:rStyle w:val="Hyperlink"/>
            <w:rFonts w:cs="Times New Roman"/>
            <w:sz w:val="20"/>
            <w:szCs w:val="20"/>
            <w:lang w:val="bg-BG"/>
          </w:rPr>
          <w:t>-2020-</w:t>
        </w:r>
        <w:r w:rsidRPr="00FD37F6">
          <w:rPr>
            <w:rStyle w:val="Hyperlink"/>
            <w:rFonts w:cs="Times New Roman"/>
            <w:sz w:val="20"/>
            <w:szCs w:val="20"/>
          </w:rPr>
          <w:t>g</w:t>
        </w:r>
        <w:r w:rsidRPr="00FD37F6">
          <w:rPr>
            <w:rStyle w:val="Hyperlink"/>
            <w:rFonts w:cs="Times New Roman"/>
            <w:sz w:val="20"/>
            <w:szCs w:val="20"/>
            <w:lang w:val="bg-BG"/>
          </w:rPr>
          <w:t>-147-295.</w:t>
        </w:r>
        <w:r w:rsidRPr="00FD37F6">
          <w:rPr>
            <w:rStyle w:val="Hyperlink"/>
            <w:rFonts w:cs="Times New Roman"/>
            <w:sz w:val="20"/>
            <w:szCs w:val="20"/>
          </w:rPr>
          <w:t>html</w:t>
        </w:r>
      </w:hyperlink>
      <w:r w:rsidRPr="00FD37F6">
        <w:rPr>
          <w:rFonts w:cs="Times New Roman"/>
          <w:sz w:val="20"/>
          <w:szCs w:val="20"/>
          <w:lang w:val="bg-BG"/>
        </w:rPr>
        <w:t xml:space="preserve"> </w:t>
      </w:r>
    </w:p>
  </w:footnote>
  <w:footnote w:id="68">
    <w:p w14:paraId="5B120D73" w14:textId="73A3A43D"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49"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strategy</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PublicConsultations</w:t>
        </w:r>
        <w:r w:rsidRPr="00FD37F6">
          <w:rPr>
            <w:rStyle w:val="Hyperlink"/>
            <w:rFonts w:cs="Times New Roman"/>
            <w:sz w:val="20"/>
            <w:szCs w:val="20"/>
            <w:lang w:val="bg-BG"/>
          </w:rPr>
          <w:t>/</w:t>
        </w:r>
        <w:r w:rsidRPr="00FD37F6">
          <w:rPr>
            <w:rStyle w:val="Hyperlink"/>
            <w:rFonts w:cs="Times New Roman"/>
            <w:sz w:val="20"/>
            <w:szCs w:val="20"/>
          </w:rPr>
          <w:t>View</w:t>
        </w:r>
        <w:r w:rsidRPr="00FD37F6">
          <w:rPr>
            <w:rStyle w:val="Hyperlink"/>
            <w:rFonts w:cs="Times New Roman"/>
            <w:sz w:val="20"/>
            <w:szCs w:val="20"/>
            <w:lang w:val="bg-BG"/>
          </w:rPr>
          <w:t>.</w:t>
        </w:r>
        <w:r w:rsidRPr="00FD37F6">
          <w:rPr>
            <w:rStyle w:val="Hyperlink"/>
            <w:rFonts w:cs="Times New Roman"/>
            <w:sz w:val="20"/>
            <w:szCs w:val="20"/>
          </w:rPr>
          <w:t>aspx</w:t>
        </w:r>
        <w:r w:rsidRPr="00FD37F6">
          <w:rPr>
            <w:rStyle w:val="Hyperlink"/>
            <w:rFonts w:cs="Times New Roman"/>
            <w:sz w:val="20"/>
            <w:szCs w:val="20"/>
            <w:lang w:val="bg-BG"/>
          </w:rPr>
          <w:t>?</w:t>
        </w:r>
        <w:r w:rsidRPr="00FD37F6">
          <w:rPr>
            <w:rStyle w:val="Hyperlink"/>
            <w:rFonts w:cs="Times New Roman"/>
            <w:sz w:val="20"/>
            <w:szCs w:val="20"/>
          </w:rPr>
          <w:t>lang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&amp;</w:t>
        </w:r>
        <w:r w:rsidRPr="00FD37F6">
          <w:rPr>
            <w:rStyle w:val="Hyperlink"/>
            <w:rFonts w:cs="Times New Roman"/>
            <w:sz w:val="20"/>
            <w:szCs w:val="20"/>
          </w:rPr>
          <w:t>Id</w:t>
        </w:r>
        <w:r w:rsidRPr="00FD37F6">
          <w:rPr>
            <w:rStyle w:val="Hyperlink"/>
            <w:rFonts w:cs="Times New Roman"/>
            <w:sz w:val="20"/>
            <w:szCs w:val="20"/>
            <w:lang w:val="bg-BG"/>
          </w:rPr>
          <w:t>=2990</w:t>
        </w:r>
      </w:hyperlink>
      <w:r w:rsidRPr="00FD37F6">
        <w:rPr>
          <w:rFonts w:cs="Times New Roman"/>
          <w:sz w:val="20"/>
          <w:szCs w:val="20"/>
          <w:lang w:val="bg-BG"/>
        </w:rPr>
        <w:t xml:space="preserve"> </w:t>
      </w:r>
    </w:p>
  </w:footnote>
  <w:footnote w:id="69">
    <w:p w14:paraId="6400F7BF" w14:textId="60C33C51"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50"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strategy</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StrategicDocuments</w:t>
        </w:r>
        <w:r w:rsidRPr="00FD37F6">
          <w:rPr>
            <w:rStyle w:val="Hyperlink"/>
            <w:rFonts w:cs="Times New Roman"/>
            <w:sz w:val="20"/>
            <w:szCs w:val="20"/>
            <w:lang w:val="bg-BG"/>
          </w:rPr>
          <w:t>/</w:t>
        </w:r>
        <w:r w:rsidRPr="00FD37F6">
          <w:rPr>
            <w:rStyle w:val="Hyperlink"/>
            <w:rFonts w:cs="Times New Roman"/>
            <w:sz w:val="20"/>
            <w:szCs w:val="20"/>
          </w:rPr>
          <w:t>View</w:t>
        </w:r>
        <w:r w:rsidRPr="00FD37F6">
          <w:rPr>
            <w:rStyle w:val="Hyperlink"/>
            <w:rFonts w:cs="Times New Roman"/>
            <w:sz w:val="20"/>
            <w:szCs w:val="20"/>
            <w:lang w:val="bg-BG"/>
          </w:rPr>
          <w:t>.</w:t>
        </w:r>
        <w:r w:rsidRPr="00FD37F6">
          <w:rPr>
            <w:rStyle w:val="Hyperlink"/>
            <w:rFonts w:cs="Times New Roman"/>
            <w:sz w:val="20"/>
            <w:szCs w:val="20"/>
          </w:rPr>
          <w:t>aspx</w:t>
        </w:r>
        <w:r w:rsidRPr="00FD37F6">
          <w:rPr>
            <w:rStyle w:val="Hyperlink"/>
            <w:rFonts w:cs="Times New Roman"/>
            <w:sz w:val="20"/>
            <w:szCs w:val="20"/>
            <w:lang w:val="bg-BG"/>
          </w:rPr>
          <w:t>?</w:t>
        </w:r>
        <w:r w:rsidRPr="00FD37F6">
          <w:rPr>
            <w:rStyle w:val="Hyperlink"/>
            <w:rFonts w:cs="Times New Roman"/>
            <w:sz w:val="20"/>
            <w:szCs w:val="20"/>
          </w:rPr>
          <w:t>lang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&amp;</w:t>
        </w:r>
        <w:r w:rsidRPr="00FD37F6">
          <w:rPr>
            <w:rStyle w:val="Hyperlink"/>
            <w:rFonts w:cs="Times New Roman"/>
            <w:sz w:val="20"/>
            <w:szCs w:val="20"/>
          </w:rPr>
          <w:t>Id</w:t>
        </w:r>
        <w:r w:rsidRPr="00FD37F6">
          <w:rPr>
            <w:rStyle w:val="Hyperlink"/>
            <w:rFonts w:cs="Times New Roman"/>
            <w:sz w:val="20"/>
            <w:szCs w:val="20"/>
            <w:lang w:val="bg-BG"/>
          </w:rPr>
          <w:t>=781</w:t>
        </w:r>
      </w:hyperlink>
      <w:r w:rsidRPr="00FD37F6">
        <w:rPr>
          <w:rFonts w:cs="Times New Roman"/>
          <w:sz w:val="20"/>
          <w:szCs w:val="20"/>
          <w:lang w:val="bg-BG"/>
        </w:rPr>
        <w:t xml:space="preserve"> </w:t>
      </w:r>
    </w:p>
  </w:footnote>
  <w:footnote w:id="70">
    <w:p w14:paraId="48536494" w14:textId="2F3AE230"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51"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marsplan</w:t>
        </w:r>
        <w:r w:rsidRPr="00FD37F6">
          <w:rPr>
            <w:rStyle w:val="Hyperlink"/>
            <w:rFonts w:cs="Times New Roman"/>
            <w:sz w:val="20"/>
            <w:szCs w:val="20"/>
            <w:lang w:val="bg-BG"/>
          </w:rPr>
          <w:t>.</w:t>
        </w:r>
        <w:r w:rsidRPr="00FD37F6">
          <w:rPr>
            <w:rStyle w:val="Hyperlink"/>
            <w:rFonts w:cs="Times New Roman"/>
            <w:sz w:val="20"/>
            <w:szCs w:val="20"/>
          </w:rPr>
          <w:t>ro</w:t>
        </w:r>
        <w:r w:rsidRPr="00FD37F6">
          <w:rPr>
            <w:rStyle w:val="Hyperlink"/>
            <w:rFonts w:cs="Times New Roman"/>
            <w:sz w:val="20"/>
            <w:szCs w:val="20"/>
            <w:lang w:val="bg-BG"/>
          </w:rPr>
          <w:t>/</w:t>
        </w:r>
        <w:r w:rsidRPr="00FD37F6">
          <w:rPr>
            <w:rStyle w:val="Hyperlink"/>
            <w:rFonts w:cs="Times New Roman"/>
            <w:sz w:val="20"/>
            <w:szCs w:val="20"/>
          </w:rPr>
          <w:t>en</w:t>
        </w:r>
        <w:r w:rsidRPr="00FD37F6">
          <w:rPr>
            <w:rStyle w:val="Hyperlink"/>
            <w:rFonts w:cs="Times New Roman"/>
            <w:sz w:val="20"/>
            <w:szCs w:val="20"/>
            <w:lang w:val="bg-BG"/>
          </w:rPr>
          <w:t>/</w:t>
        </w:r>
        <w:r w:rsidRPr="00FD37F6">
          <w:rPr>
            <w:rStyle w:val="Hyperlink"/>
            <w:rFonts w:cs="Times New Roman"/>
            <w:sz w:val="20"/>
            <w:szCs w:val="20"/>
          </w:rPr>
          <w:t>results</w:t>
        </w:r>
        <w:r w:rsidRPr="00FD37F6">
          <w:rPr>
            <w:rStyle w:val="Hyperlink"/>
            <w:rFonts w:cs="Times New Roman"/>
            <w:sz w:val="20"/>
            <w:szCs w:val="20"/>
            <w:lang w:val="bg-BG"/>
          </w:rPr>
          <w:t>.</w:t>
        </w:r>
        <w:r w:rsidRPr="00FD37F6">
          <w:rPr>
            <w:rStyle w:val="Hyperlink"/>
            <w:rFonts w:cs="Times New Roman"/>
            <w:sz w:val="20"/>
            <w:szCs w:val="20"/>
          </w:rPr>
          <w:t>html</w:t>
        </w:r>
      </w:hyperlink>
      <w:r w:rsidRPr="00FD37F6">
        <w:rPr>
          <w:rFonts w:cs="Times New Roman"/>
          <w:sz w:val="20"/>
          <w:szCs w:val="20"/>
          <w:lang w:val="bg-BG"/>
        </w:rPr>
        <w:t xml:space="preserve"> </w:t>
      </w:r>
    </w:p>
  </w:footnote>
  <w:footnote w:id="71">
    <w:p w14:paraId="4AD112D5" w14:textId="6DB9F1FF"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86/1999 г., изм. </w:t>
      </w:r>
      <w:r w:rsidRPr="00390518">
        <w:rPr>
          <w:rFonts w:cs="Times New Roman"/>
          <w:sz w:val="20"/>
          <w:szCs w:val="20"/>
          <w:lang w:val="bg-BG"/>
        </w:rPr>
        <w:t>ДВ бр. 5/2018 г.</w:t>
      </w:r>
    </w:p>
  </w:footnote>
  <w:footnote w:id="72">
    <w:p w14:paraId="487EBB7A" w14:textId="3ABC6E5F"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w:t>
      </w:r>
      <w:hyperlink r:id="rId52" w:history="1">
        <w:r w:rsidRPr="00FD37F6">
          <w:rPr>
            <w:rStyle w:val="Hyperlink"/>
            <w:rFonts w:cs="Times New Roman"/>
            <w:sz w:val="20"/>
            <w:szCs w:val="20"/>
            <w:lang w:val="bg-BG"/>
          </w:rPr>
          <w:t>https://kais.cadastre.bg/bg/Map</w:t>
        </w:r>
      </w:hyperlink>
    </w:p>
  </w:footnote>
  <w:footnote w:id="73">
    <w:p w14:paraId="23A9C7A7" w14:textId="7C66CFE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53"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gz</w:t>
        </w:r>
        <w:r w:rsidRPr="00FD37F6">
          <w:rPr>
            <w:rStyle w:val="Hyperlink"/>
            <w:rFonts w:cs="Times New Roman"/>
            <w:sz w:val="20"/>
            <w:szCs w:val="20"/>
            <w:lang w:val="bg-BG"/>
          </w:rPr>
          <w:t>-</w:t>
        </w:r>
        <w:r w:rsidRPr="00FD37F6">
          <w:rPr>
            <w:rStyle w:val="Hyperlink"/>
            <w:rFonts w:cs="Times New Roman"/>
            <w:sz w:val="20"/>
            <w:szCs w:val="20"/>
          </w:rPr>
          <w:t>varna</w:t>
        </w:r>
        <w:r w:rsidRPr="00FD37F6">
          <w:rPr>
            <w:rStyle w:val="Hyperlink"/>
            <w:rFonts w:cs="Times New Roman"/>
            <w:sz w:val="20"/>
            <w:szCs w:val="20"/>
            <w:lang w:val="bg-BG"/>
          </w:rPr>
          <w:t>.</w:t>
        </w:r>
        <w:r w:rsidRPr="00FD37F6">
          <w:rPr>
            <w:rStyle w:val="Hyperlink"/>
            <w:rFonts w:cs="Times New Roman"/>
            <w:sz w:val="20"/>
            <w:szCs w:val="20"/>
          </w:rPr>
          <w:t>mrrb</w:t>
        </w:r>
        <w:r w:rsidRPr="00FD37F6">
          <w:rPr>
            <w:rStyle w:val="Hyperlink"/>
            <w:rFonts w:cs="Times New Roman"/>
            <w:sz w:val="20"/>
            <w:szCs w:val="20"/>
            <w:lang w:val="bg-BG"/>
          </w:rPr>
          <w:t>.</w:t>
        </w:r>
        <w:r w:rsidRPr="00FD37F6">
          <w:rPr>
            <w:rStyle w:val="Hyperlink"/>
            <w:rFonts w:cs="Times New Roman"/>
            <w:sz w:val="20"/>
            <w:szCs w:val="20"/>
          </w:rPr>
          <w:t>government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map</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74">
    <w:p w14:paraId="78227C6D" w14:textId="2CBCFE9A"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54"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marineregions</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gazetteer</w:t>
        </w:r>
        <w:r w:rsidRPr="00FD37F6">
          <w:rPr>
            <w:rStyle w:val="Hyperlink"/>
            <w:rFonts w:cs="Times New Roman"/>
            <w:sz w:val="20"/>
            <w:szCs w:val="20"/>
            <w:lang w:val="bg-BG"/>
          </w:rPr>
          <w:t>.</w:t>
        </w:r>
        <w:r w:rsidRPr="00FD37F6">
          <w:rPr>
            <w:rStyle w:val="Hyperlink"/>
            <w:rFonts w:cs="Times New Roman"/>
            <w:sz w:val="20"/>
            <w:szCs w:val="20"/>
          </w:rPr>
          <w:t>php</w:t>
        </w:r>
        <w:r w:rsidRPr="00FD37F6">
          <w:rPr>
            <w:rStyle w:val="Hyperlink"/>
            <w:rFonts w:cs="Times New Roman"/>
            <w:sz w:val="20"/>
            <w:szCs w:val="20"/>
            <w:lang w:val="bg-BG"/>
          </w:rPr>
          <w:t>?</w:t>
        </w:r>
        <w:r w:rsidRPr="00FD37F6">
          <w:rPr>
            <w:rStyle w:val="Hyperlink"/>
            <w:rFonts w:cs="Times New Roman"/>
            <w:sz w:val="20"/>
            <w:szCs w:val="20"/>
          </w:rPr>
          <w:t>p</w:t>
        </w:r>
        <w:r w:rsidRPr="00FD37F6">
          <w:rPr>
            <w:rStyle w:val="Hyperlink"/>
            <w:rFonts w:cs="Times New Roman"/>
            <w:sz w:val="20"/>
            <w:szCs w:val="20"/>
            <w:lang w:val="bg-BG"/>
          </w:rPr>
          <w:t>=</w:t>
        </w:r>
        <w:r w:rsidRPr="00FD37F6">
          <w:rPr>
            <w:rStyle w:val="Hyperlink"/>
            <w:rFonts w:cs="Times New Roman"/>
            <w:sz w:val="20"/>
            <w:szCs w:val="20"/>
          </w:rPr>
          <w:t>details</w:t>
        </w:r>
        <w:r w:rsidRPr="00FD37F6">
          <w:rPr>
            <w:rStyle w:val="Hyperlink"/>
            <w:rFonts w:cs="Times New Roman"/>
            <w:sz w:val="20"/>
            <w:szCs w:val="20"/>
            <w:lang w:val="bg-BG"/>
          </w:rPr>
          <w:t>&amp;</w:t>
        </w:r>
        <w:r w:rsidRPr="00FD37F6">
          <w:rPr>
            <w:rStyle w:val="Hyperlink"/>
            <w:rFonts w:cs="Times New Roman"/>
            <w:sz w:val="20"/>
            <w:szCs w:val="20"/>
          </w:rPr>
          <w:t>id</w:t>
        </w:r>
        <w:r w:rsidRPr="00FD37F6">
          <w:rPr>
            <w:rStyle w:val="Hyperlink"/>
            <w:rFonts w:cs="Times New Roman"/>
            <w:sz w:val="20"/>
            <w:szCs w:val="20"/>
            <w:lang w:val="bg-BG"/>
          </w:rPr>
          <w:t>=5672</w:t>
        </w:r>
      </w:hyperlink>
      <w:r w:rsidRPr="00FD37F6">
        <w:rPr>
          <w:rFonts w:cs="Times New Roman"/>
          <w:sz w:val="20"/>
          <w:szCs w:val="20"/>
          <w:lang w:val="bg-BG"/>
        </w:rPr>
        <w:t xml:space="preserve">) </w:t>
      </w:r>
    </w:p>
  </w:footnote>
  <w:footnote w:id="75">
    <w:p w14:paraId="710B07AF" w14:textId="1687FE29" w:rsidR="00215C86" w:rsidRPr="00FD37F6" w:rsidRDefault="00215C86">
      <w:pPr>
        <w:pStyle w:val="FootnoteText"/>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r w:rsidRPr="00FD37F6">
        <w:rPr>
          <w:rFonts w:cs="Times New Roman"/>
          <w:color w:val="000000"/>
          <w:sz w:val="20"/>
          <w:szCs w:val="20"/>
          <w:lang w:val="bg-BG"/>
        </w:rPr>
        <w:t xml:space="preserve">ПУРБ 2016-2021, БДЧР </w:t>
      </w:r>
      <w:hyperlink r:id="rId55" w:history="1">
        <w:r w:rsidRPr="00FD37F6">
          <w:rPr>
            <w:rStyle w:val="Hyperlink"/>
            <w:rFonts w:cs="Times New Roman"/>
            <w:sz w:val="20"/>
            <w:szCs w:val="20"/>
            <w:lang w:val="bg-BG"/>
          </w:rPr>
          <w:t>https://bsbd.org/bg/purn_2016-2021.html</w:t>
        </w:r>
      </w:hyperlink>
    </w:p>
  </w:footnote>
  <w:footnote w:id="76">
    <w:p w14:paraId="7D7DEEE3" w14:textId="25D047FB" w:rsidR="00215C86" w:rsidRPr="00FD37F6" w:rsidRDefault="00215C86">
      <w:pPr>
        <w:pStyle w:val="FootnoteText"/>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56" w:history="1">
        <w:r w:rsidRPr="00FD37F6">
          <w:rPr>
            <w:rStyle w:val="Hyperlink"/>
            <w:rFonts w:cs="Times New Roman"/>
            <w:sz w:val="20"/>
            <w:szCs w:val="20"/>
            <w:lang w:val="bg-BG"/>
          </w:rPr>
          <w:t>https://bsbd.org/registri/spisyk%20ezera%20blata.01.2014.pdf</w:t>
        </w:r>
      </w:hyperlink>
    </w:p>
  </w:footnote>
  <w:footnote w:id="77">
    <w:p w14:paraId="5EE1C750" w14:textId="2F7EB2C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eastAsiaTheme="minorHAnsi" w:cs="Times New Roman"/>
          <w:sz w:val="20"/>
          <w:szCs w:val="20"/>
          <w:lang w:val="bg-BG" w:eastAsia="en-US" w:bidi="ar-SA"/>
        </w:rPr>
        <w:t xml:space="preserve"> </w:t>
      </w:r>
      <w:hyperlink r:id="rId57" w:history="1">
        <w:r w:rsidRPr="00FD37F6">
          <w:rPr>
            <w:rFonts w:eastAsiaTheme="minorHAnsi" w:cs="Times New Roman"/>
            <w:color w:val="0000FF"/>
            <w:sz w:val="20"/>
            <w:szCs w:val="20"/>
            <w:u w:val="single"/>
            <w:lang w:eastAsia="en-US" w:bidi="ar-SA"/>
          </w:rPr>
          <w:t>https</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eur</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lex</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europa</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eu</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legal</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content</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BG</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TXT</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PDF</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uri</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CELEX</w:t>
        </w:r>
        <w:r w:rsidRPr="00FD37F6">
          <w:rPr>
            <w:rFonts w:eastAsiaTheme="minorHAnsi" w:cs="Times New Roman"/>
            <w:color w:val="0000FF"/>
            <w:sz w:val="20"/>
            <w:szCs w:val="20"/>
            <w:u w:val="single"/>
            <w:lang w:val="bg-BG" w:eastAsia="en-US" w:bidi="ar-SA"/>
          </w:rPr>
          <w:t>:32007</w:t>
        </w:r>
        <w:r w:rsidRPr="00FD37F6">
          <w:rPr>
            <w:rFonts w:eastAsiaTheme="minorHAnsi" w:cs="Times New Roman"/>
            <w:color w:val="0000FF"/>
            <w:sz w:val="20"/>
            <w:szCs w:val="20"/>
            <w:u w:val="single"/>
            <w:lang w:eastAsia="en-US" w:bidi="ar-SA"/>
          </w:rPr>
          <w:t>L</w:t>
        </w:r>
        <w:r w:rsidRPr="00FD37F6">
          <w:rPr>
            <w:rFonts w:eastAsiaTheme="minorHAnsi" w:cs="Times New Roman"/>
            <w:color w:val="0000FF"/>
            <w:sz w:val="20"/>
            <w:szCs w:val="20"/>
            <w:u w:val="single"/>
            <w:lang w:val="bg-BG" w:eastAsia="en-US" w:bidi="ar-SA"/>
          </w:rPr>
          <w:t>0060&amp;</w:t>
        </w:r>
        <w:r w:rsidRPr="00FD37F6">
          <w:rPr>
            <w:rFonts w:eastAsiaTheme="minorHAnsi" w:cs="Times New Roman"/>
            <w:color w:val="0000FF"/>
            <w:sz w:val="20"/>
            <w:szCs w:val="20"/>
            <w:u w:val="single"/>
            <w:lang w:eastAsia="en-US" w:bidi="ar-SA"/>
          </w:rPr>
          <w:t>from</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BG</w:t>
        </w:r>
      </w:hyperlink>
      <w:r w:rsidRPr="00FD37F6">
        <w:rPr>
          <w:rFonts w:cs="Times New Roman"/>
          <w:sz w:val="20"/>
          <w:szCs w:val="20"/>
          <w:lang w:val="bg-BG"/>
        </w:rPr>
        <w:t xml:space="preserve"> </w:t>
      </w:r>
    </w:p>
  </w:footnote>
  <w:footnote w:id="78">
    <w:p w14:paraId="285617E9" w14:textId="10430A92"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58"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bsbd</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v</w:t>
        </w:r>
        <w:r w:rsidRPr="00FD37F6">
          <w:rPr>
            <w:rStyle w:val="Hyperlink"/>
            <w:rFonts w:cs="Times New Roman"/>
            <w:sz w:val="20"/>
            <w:szCs w:val="20"/>
            <w:lang w:val="bg-BG"/>
          </w:rPr>
          <w:t>2/</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index</w:t>
        </w:r>
        <w:r w:rsidRPr="00FD37F6">
          <w:rPr>
            <w:rStyle w:val="Hyperlink"/>
            <w:rFonts w:cs="Times New Roman"/>
            <w:sz w:val="20"/>
            <w:szCs w:val="20"/>
            <w:lang w:val="bg-BG"/>
          </w:rPr>
          <w:t>_</w:t>
        </w:r>
        <w:r w:rsidRPr="00FD37F6">
          <w:rPr>
            <w:rStyle w:val="Hyperlink"/>
            <w:rFonts w:cs="Times New Roman"/>
            <w:sz w:val="20"/>
            <w:szCs w:val="20"/>
          </w:rPr>
          <w:t>bg</w:t>
        </w:r>
        <w:r w:rsidRPr="00FD37F6">
          <w:rPr>
            <w:rStyle w:val="Hyperlink"/>
            <w:rFonts w:cs="Times New Roman"/>
            <w:sz w:val="20"/>
            <w:szCs w:val="20"/>
            <w:lang w:val="bg-BG"/>
          </w:rPr>
          <w:t>_2934486.</w:t>
        </w:r>
        <w:r w:rsidRPr="00FD37F6">
          <w:rPr>
            <w:rStyle w:val="Hyperlink"/>
            <w:rFonts w:cs="Times New Roman"/>
            <w:sz w:val="20"/>
            <w:szCs w:val="20"/>
          </w:rPr>
          <w:t>html</w:t>
        </w:r>
        <w:r w:rsidRPr="00FD37F6">
          <w:rPr>
            <w:rStyle w:val="Hyperlink"/>
            <w:rFonts w:cs="Times New Roman"/>
            <w:sz w:val="20"/>
            <w:szCs w:val="20"/>
            <w:lang w:val="bg-BG"/>
          </w:rPr>
          <w:t>?</w:t>
        </w:r>
        <w:r w:rsidRPr="00FD37F6">
          <w:rPr>
            <w:rStyle w:val="Hyperlink"/>
            <w:rFonts w:cs="Times New Roman"/>
            <w:sz w:val="20"/>
            <w:szCs w:val="20"/>
          </w:rPr>
          <w:t>URI</w:t>
        </w:r>
      </w:hyperlink>
      <w:r w:rsidRPr="00FD37F6">
        <w:rPr>
          <w:rFonts w:cs="Times New Roman"/>
          <w:sz w:val="20"/>
          <w:szCs w:val="20"/>
          <w:lang w:val="bg-BG"/>
        </w:rPr>
        <w:t xml:space="preserve">= </w:t>
      </w:r>
    </w:p>
  </w:footnote>
  <w:footnote w:id="79">
    <w:p w14:paraId="7785F980" w14:textId="1EA7178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59"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eunis</w:t>
        </w:r>
        <w:r w:rsidRPr="00FD37F6">
          <w:rPr>
            <w:rStyle w:val="Hyperlink"/>
            <w:rFonts w:cs="Times New Roman"/>
            <w:sz w:val="20"/>
            <w:szCs w:val="20"/>
            <w:lang w:val="bg-BG"/>
          </w:rPr>
          <w:t>.</w:t>
        </w:r>
        <w:r w:rsidRPr="00FD37F6">
          <w:rPr>
            <w:rStyle w:val="Hyperlink"/>
            <w:rFonts w:cs="Times New Roman"/>
            <w:sz w:val="20"/>
            <w:szCs w:val="20"/>
          </w:rPr>
          <w:t>eea</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80">
    <w:p w14:paraId="23E05E02" w14:textId="521BFBB2" w:rsidR="00215C86" w:rsidRPr="00FD37F6" w:rsidRDefault="00215C86" w:rsidP="00C415D1">
      <w:pPr>
        <w:pStyle w:val="FootnoteText"/>
        <w:spacing w:after="20"/>
        <w:ind w:left="284" w:hanging="284"/>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60"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msp</w:t>
        </w:r>
        <w:r w:rsidRPr="00FD37F6">
          <w:rPr>
            <w:rStyle w:val="Hyperlink"/>
            <w:rFonts w:cs="Times New Roman"/>
            <w:sz w:val="20"/>
            <w:szCs w:val="20"/>
            <w:lang w:val="bg-BG"/>
          </w:rPr>
          <w:t>-</w:t>
        </w:r>
        <w:r w:rsidRPr="00FD37F6">
          <w:rPr>
            <w:rStyle w:val="Hyperlink"/>
            <w:rFonts w:cs="Times New Roman"/>
            <w:sz w:val="20"/>
            <w:szCs w:val="20"/>
          </w:rPr>
          <w:t>platform</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projects</w:t>
        </w:r>
        <w:r w:rsidRPr="00FD37F6">
          <w:rPr>
            <w:rStyle w:val="Hyperlink"/>
            <w:rFonts w:cs="Times New Roman"/>
            <w:sz w:val="20"/>
            <w:szCs w:val="20"/>
            <w:lang w:val="bg-BG"/>
          </w:rPr>
          <w:t>/</w:t>
        </w:r>
        <w:r w:rsidRPr="00FD37F6">
          <w:rPr>
            <w:rStyle w:val="Hyperlink"/>
            <w:rFonts w:cs="Times New Roman"/>
            <w:sz w:val="20"/>
            <w:szCs w:val="20"/>
          </w:rPr>
          <w:t>coconet</w:t>
        </w:r>
        <w:r w:rsidRPr="00FD37F6">
          <w:rPr>
            <w:rStyle w:val="Hyperlink"/>
            <w:rFonts w:cs="Times New Roman"/>
            <w:sz w:val="20"/>
            <w:szCs w:val="20"/>
            <w:lang w:val="bg-BG"/>
          </w:rPr>
          <w:t>-</w:t>
        </w:r>
        <w:r w:rsidRPr="00FD37F6">
          <w:rPr>
            <w:rStyle w:val="Hyperlink"/>
            <w:rFonts w:cs="Times New Roman"/>
            <w:sz w:val="20"/>
            <w:szCs w:val="20"/>
          </w:rPr>
          <w:t>towards</w:t>
        </w:r>
        <w:r w:rsidRPr="00FD37F6">
          <w:rPr>
            <w:rStyle w:val="Hyperlink"/>
            <w:rFonts w:cs="Times New Roman"/>
            <w:sz w:val="20"/>
            <w:szCs w:val="20"/>
            <w:lang w:val="bg-BG"/>
          </w:rPr>
          <w:t>-</w:t>
        </w:r>
        <w:r w:rsidRPr="00FD37F6">
          <w:rPr>
            <w:rStyle w:val="Hyperlink"/>
            <w:rFonts w:cs="Times New Roman"/>
            <w:sz w:val="20"/>
            <w:szCs w:val="20"/>
          </w:rPr>
          <w:t>coast</w:t>
        </w:r>
        <w:r w:rsidRPr="00FD37F6">
          <w:rPr>
            <w:rStyle w:val="Hyperlink"/>
            <w:rFonts w:cs="Times New Roman"/>
            <w:sz w:val="20"/>
            <w:szCs w:val="20"/>
            <w:lang w:val="bg-BG"/>
          </w:rPr>
          <w:t>-</w:t>
        </w:r>
        <w:r w:rsidRPr="00FD37F6">
          <w:rPr>
            <w:rStyle w:val="Hyperlink"/>
            <w:rFonts w:cs="Times New Roman"/>
            <w:sz w:val="20"/>
            <w:szCs w:val="20"/>
          </w:rPr>
          <w:t>coast</w:t>
        </w:r>
        <w:r w:rsidRPr="00FD37F6">
          <w:rPr>
            <w:rStyle w:val="Hyperlink"/>
            <w:rFonts w:cs="Times New Roman"/>
            <w:sz w:val="20"/>
            <w:szCs w:val="20"/>
            <w:lang w:val="bg-BG"/>
          </w:rPr>
          <w:t>-</w:t>
        </w:r>
        <w:r w:rsidRPr="00FD37F6">
          <w:rPr>
            <w:rStyle w:val="Hyperlink"/>
            <w:rFonts w:cs="Times New Roman"/>
            <w:sz w:val="20"/>
            <w:szCs w:val="20"/>
          </w:rPr>
          <w:t>networks</w:t>
        </w:r>
        <w:r w:rsidRPr="00FD37F6">
          <w:rPr>
            <w:rStyle w:val="Hyperlink"/>
            <w:rFonts w:cs="Times New Roman"/>
            <w:sz w:val="20"/>
            <w:szCs w:val="20"/>
            <w:lang w:val="bg-BG"/>
          </w:rPr>
          <w:t>-</w:t>
        </w:r>
        <w:r w:rsidRPr="00FD37F6">
          <w:rPr>
            <w:rStyle w:val="Hyperlink"/>
            <w:rFonts w:cs="Times New Roman"/>
            <w:sz w:val="20"/>
            <w:szCs w:val="20"/>
          </w:rPr>
          <w:t>marine</w:t>
        </w:r>
        <w:r w:rsidRPr="00FD37F6">
          <w:rPr>
            <w:rStyle w:val="Hyperlink"/>
            <w:rFonts w:cs="Times New Roman"/>
            <w:sz w:val="20"/>
            <w:szCs w:val="20"/>
            <w:lang w:val="bg-BG"/>
          </w:rPr>
          <w:t>-</w:t>
        </w:r>
        <w:r w:rsidRPr="00FD37F6">
          <w:rPr>
            <w:rStyle w:val="Hyperlink"/>
            <w:rFonts w:cs="Times New Roman"/>
            <w:sz w:val="20"/>
            <w:szCs w:val="20"/>
          </w:rPr>
          <w:t>protected</w:t>
        </w:r>
        <w:r w:rsidRPr="00FD37F6">
          <w:rPr>
            <w:rStyle w:val="Hyperlink"/>
            <w:rFonts w:cs="Times New Roman"/>
            <w:sz w:val="20"/>
            <w:szCs w:val="20"/>
            <w:lang w:val="bg-BG"/>
          </w:rPr>
          <w:t>-</w:t>
        </w:r>
        <w:r w:rsidRPr="00FD37F6">
          <w:rPr>
            <w:rStyle w:val="Hyperlink"/>
            <w:rFonts w:cs="Times New Roman"/>
            <w:sz w:val="20"/>
            <w:szCs w:val="20"/>
          </w:rPr>
          <w:t>areas</w:t>
        </w:r>
        <w:r w:rsidRPr="00FD37F6">
          <w:rPr>
            <w:rStyle w:val="Hyperlink"/>
            <w:rFonts w:cs="Times New Roman"/>
            <w:sz w:val="20"/>
            <w:szCs w:val="20"/>
            <w:lang w:val="bg-BG"/>
          </w:rPr>
          <w:t>-</w:t>
        </w:r>
        <w:r w:rsidRPr="00FD37F6">
          <w:rPr>
            <w:rStyle w:val="Hyperlink"/>
            <w:rFonts w:cs="Times New Roman"/>
            <w:sz w:val="20"/>
            <w:szCs w:val="20"/>
          </w:rPr>
          <w:t>shore</w:t>
        </w:r>
        <w:r w:rsidRPr="00FD37F6">
          <w:rPr>
            <w:rStyle w:val="Hyperlink"/>
            <w:rFonts w:cs="Times New Roman"/>
            <w:sz w:val="20"/>
            <w:szCs w:val="20"/>
            <w:lang w:val="bg-BG"/>
          </w:rPr>
          <w:t>-</w:t>
        </w:r>
        <w:r w:rsidRPr="00FD37F6">
          <w:rPr>
            <w:rStyle w:val="Hyperlink"/>
            <w:rFonts w:cs="Times New Roman"/>
            <w:sz w:val="20"/>
            <w:szCs w:val="20"/>
          </w:rPr>
          <w:t>high</w:t>
        </w:r>
        <w:r w:rsidRPr="00FD37F6">
          <w:rPr>
            <w:rStyle w:val="Hyperlink"/>
            <w:rFonts w:cs="Times New Roman"/>
            <w:sz w:val="20"/>
            <w:szCs w:val="20"/>
            <w:lang w:val="bg-BG"/>
          </w:rPr>
          <w:t>-</w:t>
        </w:r>
        <w:r w:rsidRPr="00FD37F6">
          <w:rPr>
            <w:rStyle w:val="Hyperlink"/>
            <w:rFonts w:cs="Times New Roman"/>
            <w:sz w:val="20"/>
            <w:szCs w:val="20"/>
          </w:rPr>
          <w:t>and</w:t>
        </w:r>
        <w:r w:rsidRPr="00FD37F6">
          <w:rPr>
            <w:rStyle w:val="Hyperlink"/>
            <w:rFonts w:cs="Times New Roman"/>
            <w:sz w:val="20"/>
            <w:szCs w:val="20"/>
            <w:lang w:val="bg-BG"/>
          </w:rPr>
          <w:t>-</w:t>
        </w:r>
        <w:r w:rsidRPr="00FD37F6">
          <w:rPr>
            <w:rStyle w:val="Hyperlink"/>
            <w:rFonts w:cs="Times New Roman"/>
            <w:sz w:val="20"/>
            <w:szCs w:val="20"/>
          </w:rPr>
          <w:t>deep</w:t>
        </w:r>
        <w:r w:rsidRPr="00FD37F6">
          <w:rPr>
            <w:rStyle w:val="Hyperlink"/>
            <w:rFonts w:cs="Times New Roman"/>
            <w:sz w:val="20"/>
            <w:szCs w:val="20"/>
            <w:lang w:val="bg-BG"/>
          </w:rPr>
          <w:t>-</w:t>
        </w:r>
        <w:r w:rsidRPr="00FD37F6">
          <w:rPr>
            <w:rStyle w:val="Hyperlink"/>
            <w:rFonts w:cs="Times New Roman"/>
            <w:sz w:val="20"/>
            <w:szCs w:val="20"/>
          </w:rPr>
          <w:t>sea</w:t>
        </w:r>
      </w:hyperlink>
      <w:r w:rsidRPr="00FD37F6">
        <w:rPr>
          <w:rFonts w:cs="Times New Roman"/>
          <w:sz w:val="20"/>
          <w:szCs w:val="20"/>
          <w:lang w:val="bg-BG"/>
        </w:rPr>
        <w:t xml:space="preserve"> </w:t>
      </w:r>
    </w:p>
  </w:footnote>
  <w:footnote w:id="81">
    <w:p w14:paraId="064DDF41" w14:textId="46E5D50E"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61"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perseus</w:t>
        </w:r>
        <w:r w:rsidRPr="00FD37F6">
          <w:rPr>
            <w:rStyle w:val="Hyperlink"/>
            <w:rFonts w:cs="Times New Roman"/>
            <w:sz w:val="20"/>
            <w:szCs w:val="20"/>
            <w:lang w:val="bg-BG"/>
          </w:rPr>
          <w:t>-</w:t>
        </w:r>
        <w:r w:rsidRPr="00FD37F6">
          <w:rPr>
            <w:rStyle w:val="Hyperlink"/>
            <w:rFonts w:cs="Times New Roman"/>
            <w:sz w:val="20"/>
            <w:szCs w:val="20"/>
          </w:rPr>
          <w:t>net</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site</w:t>
        </w:r>
        <w:r w:rsidRPr="00FD37F6">
          <w:rPr>
            <w:rStyle w:val="Hyperlink"/>
            <w:rFonts w:cs="Times New Roman"/>
            <w:sz w:val="20"/>
            <w:szCs w:val="20"/>
            <w:lang w:val="bg-BG"/>
          </w:rPr>
          <w:t>/</w:t>
        </w:r>
        <w:r w:rsidRPr="00FD37F6">
          <w:rPr>
            <w:rStyle w:val="Hyperlink"/>
            <w:rFonts w:cs="Times New Roman"/>
            <w:sz w:val="20"/>
            <w:szCs w:val="20"/>
          </w:rPr>
          <w:t>content</w:t>
        </w:r>
        <w:r w:rsidRPr="00FD37F6">
          <w:rPr>
            <w:rStyle w:val="Hyperlink"/>
            <w:rFonts w:cs="Times New Roman"/>
            <w:sz w:val="20"/>
            <w:szCs w:val="20"/>
            <w:lang w:val="bg-BG"/>
          </w:rPr>
          <w:t>.</w:t>
        </w:r>
        <w:r w:rsidRPr="00FD37F6">
          <w:rPr>
            <w:rStyle w:val="Hyperlink"/>
            <w:rFonts w:cs="Times New Roman"/>
            <w:sz w:val="20"/>
            <w:szCs w:val="20"/>
          </w:rPr>
          <w:t>php</w:t>
        </w:r>
      </w:hyperlink>
      <w:r w:rsidRPr="00FD37F6">
        <w:rPr>
          <w:rFonts w:cs="Times New Roman"/>
          <w:sz w:val="20"/>
          <w:szCs w:val="20"/>
          <w:lang w:val="bg-BG"/>
        </w:rPr>
        <w:t xml:space="preserve"> </w:t>
      </w:r>
    </w:p>
  </w:footnote>
  <w:footnote w:id="82">
    <w:p w14:paraId="2226FE37" w14:textId="3701ECB4"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62"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interreg</w:t>
        </w:r>
        <w:r w:rsidRPr="00FD37F6">
          <w:rPr>
            <w:rStyle w:val="Hyperlink"/>
            <w:rFonts w:cs="Times New Roman"/>
            <w:sz w:val="20"/>
            <w:szCs w:val="20"/>
            <w:lang w:val="bg-BG"/>
          </w:rPr>
          <w:t>-</w:t>
        </w:r>
        <w:r w:rsidRPr="00FD37F6">
          <w:rPr>
            <w:rStyle w:val="Hyperlink"/>
            <w:rFonts w:cs="Times New Roman"/>
            <w:sz w:val="20"/>
            <w:szCs w:val="20"/>
          </w:rPr>
          <w:t>balkanmed</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approved</w:t>
        </w:r>
        <w:r w:rsidRPr="00FD37F6">
          <w:rPr>
            <w:rStyle w:val="Hyperlink"/>
            <w:rFonts w:cs="Times New Roman"/>
            <w:sz w:val="20"/>
            <w:szCs w:val="20"/>
            <w:lang w:val="bg-BG"/>
          </w:rPr>
          <w:t>-</w:t>
        </w:r>
        <w:r w:rsidRPr="00FD37F6">
          <w:rPr>
            <w:rStyle w:val="Hyperlink"/>
            <w:rFonts w:cs="Times New Roman"/>
            <w:sz w:val="20"/>
            <w:szCs w:val="20"/>
          </w:rPr>
          <w:t>project</w:t>
        </w:r>
        <w:r w:rsidRPr="00FD37F6">
          <w:rPr>
            <w:rStyle w:val="Hyperlink"/>
            <w:rFonts w:cs="Times New Roman"/>
            <w:sz w:val="20"/>
            <w:szCs w:val="20"/>
            <w:lang w:val="bg-BG"/>
          </w:rPr>
          <w:t>/9/</w:t>
        </w:r>
      </w:hyperlink>
      <w:r w:rsidRPr="00FD37F6">
        <w:rPr>
          <w:rFonts w:cs="Times New Roman"/>
          <w:sz w:val="20"/>
          <w:szCs w:val="20"/>
          <w:lang w:val="bg-BG"/>
        </w:rPr>
        <w:t xml:space="preserve"> </w:t>
      </w:r>
    </w:p>
  </w:footnote>
  <w:footnote w:id="83">
    <w:p w14:paraId="03B8BEDA" w14:textId="7496D1F0"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63"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eur</w:t>
        </w:r>
        <w:r w:rsidRPr="00FD37F6">
          <w:rPr>
            <w:rStyle w:val="Hyperlink"/>
            <w:rFonts w:cs="Times New Roman"/>
            <w:sz w:val="20"/>
            <w:szCs w:val="20"/>
            <w:lang w:val="bg-BG"/>
          </w:rPr>
          <w:t>-</w:t>
        </w:r>
        <w:r w:rsidRPr="00FD37F6">
          <w:rPr>
            <w:rStyle w:val="Hyperlink"/>
            <w:rFonts w:cs="Times New Roman"/>
            <w:sz w:val="20"/>
            <w:szCs w:val="20"/>
          </w:rPr>
          <w:t>lex</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legal</w:t>
        </w:r>
        <w:r w:rsidRPr="00FD37F6">
          <w:rPr>
            <w:rStyle w:val="Hyperlink"/>
            <w:rFonts w:cs="Times New Roman"/>
            <w:sz w:val="20"/>
            <w:szCs w:val="20"/>
            <w:lang w:val="bg-BG"/>
          </w:rPr>
          <w:t>-</w:t>
        </w:r>
        <w:r w:rsidRPr="00FD37F6">
          <w:rPr>
            <w:rStyle w:val="Hyperlink"/>
            <w:rFonts w:cs="Times New Roman"/>
            <w:sz w:val="20"/>
            <w:szCs w:val="20"/>
          </w:rPr>
          <w:t>content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TXT</w:t>
        </w:r>
        <w:r w:rsidRPr="00FD37F6">
          <w:rPr>
            <w:rStyle w:val="Hyperlink"/>
            <w:rFonts w:cs="Times New Roman"/>
            <w:sz w:val="20"/>
            <w:szCs w:val="20"/>
            <w:lang w:val="bg-BG"/>
          </w:rPr>
          <w:t>/?</w:t>
        </w:r>
        <w:r w:rsidRPr="00FD37F6">
          <w:rPr>
            <w:rStyle w:val="Hyperlink"/>
            <w:rFonts w:cs="Times New Roman"/>
            <w:sz w:val="20"/>
            <w:szCs w:val="20"/>
          </w:rPr>
          <w:t>uri</w:t>
        </w:r>
        <w:r w:rsidRPr="00FD37F6">
          <w:rPr>
            <w:rStyle w:val="Hyperlink"/>
            <w:rFonts w:cs="Times New Roman"/>
            <w:sz w:val="20"/>
            <w:szCs w:val="20"/>
            <w:lang w:val="bg-BG"/>
          </w:rPr>
          <w:t>=</w:t>
        </w:r>
        <w:r w:rsidRPr="00FD37F6">
          <w:rPr>
            <w:rStyle w:val="Hyperlink"/>
            <w:rFonts w:cs="Times New Roman"/>
            <w:sz w:val="20"/>
            <w:szCs w:val="20"/>
          </w:rPr>
          <w:t>CELEX</w:t>
        </w:r>
        <w:r w:rsidRPr="00FD37F6">
          <w:rPr>
            <w:rStyle w:val="Hyperlink"/>
            <w:rFonts w:cs="Times New Roman"/>
            <w:sz w:val="20"/>
            <w:szCs w:val="20"/>
            <w:lang w:val="bg-BG"/>
          </w:rPr>
          <w:t>%3</w:t>
        </w:r>
        <w:r w:rsidRPr="00FD37F6">
          <w:rPr>
            <w:rStyle w:val="Hyperlink"/>
            <w:rFonts w:cs="Times New Roman"/>
            <w:sz w:val="20"/>
            <w:szCs w:val="20"/>
          </w:rPr>
          <w:t>A</w:t>
        </w:r>
        <w:r w:rsidRPr="00FD37F6">
          <w:rPr>
            <w:rStyle w:val="Hyperlink"/>
            <w:rFonts w:cs="Times New Roman"/>
            <w:sz w:val="20"/>
            <w:szCs w:val="20"/>
            <w:lang w:val="bg-BG"/>
          </w:rPr>
          <w:t>31992</w:t>
        </w:r>
        <w:r w:rsidRPr="00FD37F6">
          <w:rPr>
            <w:rStyle w:val="Hyperlink"/>
            <w:rFonts w:cs="Times New Roman"/>
            <w:sz w:val="20"/>
            <w:szCs w:val="20"/>
          </w:rPr>
          <w:t>L</w:t>
        </w:r>
        <w:r w:rsidRPr="00FD37F6">
          <w:rPr>
            <w:rStyle w:val="Hyperlink"/>
            <w:rFonts w:cs="Times New Roman"/>
            <w:sz w:val="20"/>
            <w:szCs w:val="20"/>
            <w:lang w:val="bg-BG"/>
          </w:rPr>
          <w:t>0043</w:t>
        </w:r>
      </w:hyperlink>
      <w:r w:rsidRPr="00FD37F6">
        <w:rPr>
          <w:rFonts w:cs="Times New Roman"/>
          <w:sz w:val="20"/>
          <w:szCs w:val="20"/>
          <w:lang w:val="bg-BG"/>
        </w:rPr>
        <w:t xml:space="preserve"> </w:t>
      </w:r>
    </w:p>
  </w:footnote>
  <w:footnote w:id="84">
    <w:p w14:paraId="4055055F" w14:textId="74CF06F5" w:rsidR="00215C86" w:rsidRPr="00FD37F6" w:rsidRDefault="00215C86" w:rsidP="00F00BE8">
      <w:pPr>
        <w:pStyle w:val="BodyText"/>
        <w:spacing w:before="0" w:after="20" w:line="240" w:lineRule="auto"/>
        <w:rPr>
          <w:rStyle w:val="FootnoteReference"/>
          <w:rFonts w:cs="Times New Roman"/>
          <w:sz w:val="20"/>
          <w:szCs w:val="20"/>
        </w:rPr>
      </w:pPr>
      <w:r w:rsidRPr="00FD37F6">
        <w:rPr>
          <w:rStyle w:val="FootnoteReference"/>
          <w:rFonts w:cs="Times New Roman"/>
          <w:sz w:val="20"/>
          <w:szCs w:val="20"/>
        </w:rPr>
        <w:footnoteRef/>
      </w:r>
      <w:r w:rsidRPr="00FD37F6">
        <w:rPr>
          <w:rFonts w:cs="Times New Roman"/>
          <w:sz w:val="20"/>
          <w:szCs w:val="20"/>
        </w:rPr>
        <w:t xml:space="preserve"> </w:t>
      </w:r>
      <w:hyperlink r:id="rId64" w:history="1">
        <w:r w:rsidRPr="00FD37F6">
          <w:rPr>
            <w:rStyle w:val="Hyperlink"/>
            <w:rFonts w:cs="Times New Roman"/>
            <w:sz w:val="20"/>
            <w:szCs w:val="20"/>
          </w:rPr>
          <w:t>http://eea.government.bg/bg/bio/opos/Finalni_rezultati_Deinost_6.pdf</w:t>
        </w:r>
      </w:hyperlink>
      <w:r w:rsidRPr="00FD37F6">
        <w:rPr>
          <w:rStyle w:val="FootnoteReference"/>
          <w:rFonts w:cs="Times New Roman"/>
          <w:sz w:val="20"/>
          <w:szCs w:val="20"/>
        </w:rPr>
        <w:t xml:space="preserve"> </w:t>
      </w:r>
    </w:p>
  </w:footnote>
  <w:footnote w:id="85">
    <w:p w14:paraId="4C219087" w14:textId="08A4FE6B" w:rsidR="00215C86" w:rsidRPr="00FD37F6" w:rsidRDefault="00215C86" w:rsidP="00F00BE8">
      <w:pPr>
        <w:pStyle w:val="FootnoteText"/>
        <w:spacing w:after="20"/>
        <w:rPr>
          <w:rFonts w:cs="Times New Roman"/>
          <w:sz w:val="20"/>
          <w:szCs w:val="20"/>
          <w:lang w:val="bg-BG"/>
        </w:rPr>
      </w:pPr>
      <w:r w:rsidRPr="00FD37F6">
        <w:rPr>
          <w:rStyle w:val="a5"/>
          <w:rFonts w:eastAsia="Times New Roman" w:cs="Times New Roman"/>
          <w:color w:val="000000"/>
          <w:sz w:val="20"/>
          <w:szCs w:val="20"/>
          <w:vertAlign w:val="superscript"/>
          <w:lang w:val="bg-BG" w:eastAsia="ar-SA"/>
        </w:rPr>
        <w:footnoteRef/>
      </w:r>
      <w:r w:rsidRPr="00FD37F6">
        <w:rPr>
          <w:rStyle w:val="a5"/>
          <w:rFonts w:eastAsia="Times New Roman" w:cs="Times New Roman"/>
          <w:color w:val="000000"/>
          <w:sz w:val="20"/>
          <w:szCs w:val="20"/>
          <w:vertAlign w:val="superscript"/>
          <w:lang w:val="bg-BG" w:eastAsia="ar-SA"/>
        </w:rPr>
        <w:t xml:space="preserve"> </w:t>
      </w:r>
      <w:hyperlink r:id="rId65" w:history="1">
        <w:r w:rsidRPr="00FD37F6">
          <w:rPr>
            <w:rStyle w:val="Hyperlink"/>
            <w:rFonts w:eastAsia="Times New Roman" w:cs="Times New Roman"/>
            <w:sz w:val="20"/>
            <w:szCs w:val="20"/>
            <w:lang w:eastAsia="ar-SA"/>
          </w:rPr>
          <w:t>http</w:t>
        </w:r>
        <w:r w:rsidRPr="00FD37F6">
          <w:rPr>
            <w:rStyle w:val="Hyperlink"/>
            <w:rFonts w:eastAsia="Times New Roman" w:cs="Times New Roman"/>
            <w:sz w:val="20"/>
            <w:szCs w:val="20"/>
            <w:lang w:val="bg-BG" w:eastAsia="ar-SA"/>
          </w:rPr>
          <w:t>://</w:t>
        </w:r>
        <w:r w:rsidRPr="00FD37F6">
          <w:rPr>
            <w:rStyle w:val="Hyperlink"/>
            <w:rFonts w:eastAsia="Times New Roman" w:cs="Times New Roman"/>
            <w:sz w:val="20"/>
            <w:szCs w:val="20"/>
            <w:lang w:eastAsia="ar-SA"/>
          </w:rPr>
          <w:t>www</w:t>
        </w:r>
        <w:r w:rsidRPr="00FD37F6">
          <w:rPr>
            <w:rStyle w:val="Hyperlink"/>
            <w:rFonts w:eastAsia="Times New Roman" w:cs="Times New Roman"/>
            <w:sz w:val="20"/>
            <w:szCs w:val="20"/>
            <w:lang w:val="bg-BG" w:eastAsia="ar-SA"/>
          </w:rPr>
          <w:t>.</w:t>
        </w:r>
        <w:r w:rsidRPr="00FD37F6">
          <w:rPr>
            <w:rStyle w:val="Hyperlink"/>
            <w:rFonts w:eastAsia="Times New Roman" w:cs="Times New Roman"/>
            <w:sz w:val="20"/>
            <w:szCs w:val="20"/>
            <w:lang w:eastAsia="ar-SA"/>
          </w:rPr>
          <w:t>bunarco</w:t>
        </w:r>
        <w:r w:rsidRPr="00FD37F6">
          <w:rPr>
            <w:rStyle w:val="Hyperlink"/>
            <w:rFonts w:eastAsia="Times New Roman" w:cs="Times New Roman"/>
            <w:sz w:val="20"/>
            <w:szCs w:val="20"/>
            <w:lang w:val="bg-BG" w:eastAsia="ar-SA"/>
          </w:rPr>
          <w:t>.</w:t>
        </w:r>
        <w:r w:rsidRPr="00FD37F6">
          <w:rPr>
            <w:rStyle w:val="Hyperlink"/>
            <w:rFonts w:eastAsia="Times New Roman" w:cs="Times New Roman"/>
            <w:sz w:val="20"/>
            <w:szCs w:val="20"/>
            <w:lang w:eastAsia="ar-SA"/>
          </w:rPr>
          <w:t>org</w:t>
        </w:r>
        <w:r w:rsidRPr="00FD37F6">
          <w:rPr>
            <w:rStyle w:val="Hyperlink"/>
            <w:rFonts w:eastAsia="Times New Roman" w:cs="Times New Roman"/>
            <w:sz w:val="20"/>
            <w:szCs w:val="20"/>
            <w:lang w:val="bg-BG" w:eastAsia="ar-SA"/>
          </w:rPr>
          <w:t>/</w:t>
        </w:r>
        <w:r w:rsidRPr="00FD37F6">
          <w:rPr>
            <w:rStyle w:val="Hyperlink"/>
            <w:rFonts w:eastAsia="Times New Roman" w:cs="Times New Roman"/>
            <w:sz w:val="20"/>
            <w:szCs w:val="20"/>
            <w:lang w:eastAsia="ar-SA"/>
          </w:rPr>
          <w:t>bg</w:t>
        </w:r>
        <w:r w:rsidRPr="00FD37F6">
          <w:rPr>
            <w:rStyle w:val="Hyperlink"/>
            <w:rFonts w:eastAsia="Times New Roman" w:cs="Times New Roman"/>
            <w:sz w:val="20"/>
            <w:szCs w:val="20"/>
            <w:lang w:val="bg-BG" w:eastAsia="ar-SA"/>
          </w:rPr>
          <w:t>/</w:t>
        </w:r>
        <w:r w:rsidRPr="00FD37F6">
          <w:rPr>
            <w:rStyle w:val="Hyperlink"/>
            <w:rFonts w:eastAsia="Times New Roman" w:cs="Times New Roman"/>
            <w:sz w:val="20"/>
            <w:szCs w:val="20"/>
            <w:lang w:eastAsia="ar-SA"/>
          </w:rPr>
          <w:t>dokladi</w:t>
        </w:r>
        <w:r w:rsidRPr="00FD37F6">
          <w:rPr>
            <w:rStyle w:val="Hyperlink"/>
            <w:rFonts w:eastAsia="Times New Roman" w:cs="Times New Roman"/>
            <w:sz w:val="20"/>
            <w:szCs w:val="20"/>
            <w:lang w:val="bg-BG" w:eastAsia="ar-SA"/>
          </w:rPr>
          <w:t>.</w:t>
        </w:r>
        <w:r w:rsidRPr="00FD37F6">
          <w:rPr>
            <w:rStyle w:val="Hyperlink"/>
            <w:rFonts w:eastAsia="Times New Roman" w:cs="Times New Roman"/>
            <w:sz w:val="20"/>
            <w:szCs w:val="20"/>
            <w:lang w:eastAsia="ar-SA"/>
          </w:rPr>
          <w:t>html</w:t>
        </w:r>
      </w:hyperlink>
      <w:r w:rsidRPr="00FD37F6">
        <w:rPr>
          <w:rFonts w:eastAsia="Times New Roman" w:cs="Times New Roman"/>
          <w:color w:val="000000"/>
          <w:sz w:val="20"/>
          <w:szCs w:val="20"/>
          <w:lang w:val="bg-BG" w:eastAsia="ar-SA"/>
        </w:rPr>
        <w:t xml:space="preserve"> </w:t>
      </w:r>
    </w:p>
  </w:footnote>
  <w:footnote w:id="86">
    <w:p w14:paraId="66C4CA97" w14:textId="7837D2C8"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66"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blacksea</w:t>
        </w:r>
        <w:r w:rsidRPr="00FD37F6">
          <w:rPr>
            <w:rStyle w:val="Hyperlink"/>
            <w:rFonts w:cs="Times New Roman"/>
            <w:sz w:val="20"/>
            <w:szCs w:val="20"/>
            <w:lang w:val="bg-BG"/>
          </w:rPr>
          <w:t>-</w:t>
        </w:r>
        <w:r w:rsidRPr="00FD37F6">
          <w:rPr>
            <w:rStyle w:val="Hyperlink"/>
            <w:rFonts w:cs="Times New Roman"/>
            <w:sz w:val="20"/>
            <w:szCs w:val="20"/>
          </w:rPr>
          <w:t>commission</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/_</w:t>
        </w:r>
        <w:r w:rsidRPr="00FD37F6">
          <w:rPr>
            <w:rStyle w:val="Hyperlink"/>
            <w:rFonts w:cs="Times New Roman"/>
            <w:sz w:val="20"/>
            <w:szCs w:val="20"/>
          </w:rPr>
          <w:t>publications</w:t>
        </w:r>
        <w:r w:rsidRPr="00FD37F6">
          <w:rPr>
            <w:rStyle w:val="Hyperlink"/>
            <w:rFonts w:cs="Times New Roman"/>
            <w:sz w:val="20"/>
            <w:szCs w:val="20"/>
            <w:lang w:val="bg-BG"/>
          </w:rPr>
          <w:t>.</w:t>
        </w:r>
        <w:r w:rsidRPr="00FD37F6">
          <w:rPr>
            <w:rStyle w:val="Hyperlink"/>
            <w:rFonts w:cs="Times New Roman"/>
            <w:sz w:val="20"/>
            <w:szCs w:val="20"/>
          </w:rPr>
          <w:t>asp</w:t>
        </w:r>
      </w:hyperlink>
      <w:r w:rsidRPr="00FD37F6">
        <w:rPr>
          <w:rFonts w:cs="Times New Roman"/>
          <w:sz w:val="20"/>
          <w:szCs w:val="20"/>
          <w:lang w:val="bg-BG"/>
        </w:rPr>
        <w:t xml:space="preserve"> </w:t>
      </w:r>
    </w:p>
  </w:footnote>
  <w:footnote w:id="87">
    <w:p w14:paraId="50DBFD95" w14:textId="62FD5EDC"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rPr>
        <w:footnoteRef/>
      </w:r>
      <w:r w:rsidRPr="00FD37F6">
        <w:rPr>
          <w:rFonts w:cs="Times New Roman"/>
          <w:sz w:val="20"/>
          <w:szCs w:val="20"/>
          <w:lang w:val="bg-BG"/>
        </w:rPr>
        <w:t xml:space="preserve"> Обн. ДВ. бр. 133/1998 г., доп. ДВ бр. 1/03.01.2019 г.</w:t>
      </w:r>
    </w:p>
  </w:footnote>
  <w:footnote w:id="88">
    <w:p w14:paraId="229C0FDA" w14:textId="3254B810"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rPr>
        <w:footnoteRef/>
      </w:r>
      <w:r w:rsidRPr="00FD37F6">
        <w:rPr>
          <w:rFonts w:cs="Times New Roman"/>
          <w:sz w:val="20"/>
          <w:szCs w:val="20"/>
          <w:lang w:val="bg-BG"/>
        </w:rPr>
        <w:t xml:space="preserve"> Обн. ДВ бр. 77/2002 г., изм. и доп. ДВ бр. 98/27.11.2018 г.</w:t>
      </w:r>
    </w:p>
  </w:footnote>
  <w:footnote w:id="89">
    <w:p w14:paraId="6F098EBF" w14:textId="2A4214A8"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Директива 92/43/ЕИО на Съвета от 21 май 1992 година за опазване на естествените местообитания и на дивата флора и фауна </w:t>
      </w:r>
    </w:p>
  </w:footnote>
  <w:footnote w:id="90">
    <w:p w14:paraId="5818E60D" w14:textId="0A57FF80"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rPr>
        <w:footnoteRef/>
      </w:r>
      <w:r w:rsidRPr="00FD37F6">
        <w:rPr>
          <w:rFonts w:cs="Times New Roman"/>
          <w:sz w:val="20"/>
          <w:szCs w:val="20"/>
          <w:vertAlign w:val="superscript"/>
          <w:lang w:val="bg-BG"/>
        </w:rPr>
        <w:t xml:space="preserve"> </w:t>
      </w:r>
      <w:r w:rsidRPr="00FD37F6">
        <w:rPr>
          <w:rFonts w:cs="Times New Roman"/>
          <w:sz w:val="20"/>
          <w:szCs w:val="20"/>
          <w:lang w:val="bg-BG"/>
        </w:rPr>
        <w:t>Директива 79/409/ЕИО на Съвета от 2 април 1979 г. за опазването на дивите птици</w:t>
      </w:r>
    </w:p>
  </w:footnote>
  <w:footnote w:id="91">
    <w:p w14:paraId="4A41AB2E" w14:textId="0F5154E8" w:rsidR="00215C86" w:rsidRPr="00FD37F6" w:rsidRDefault="00215C86" w:rsidP="00F00BE8">
      <w:pPr>
        <w:pStyle w:val="FootnoteText"/>
        <w:spacing w:after="20"/>
        <w:rPr>
          <w:rFonts w:cs="Times New Roman"/>
          <w:sz w:val="20"/>
          <w:szCs w:val="20"/>
          <w:lang w:val="bg-BG"/>
        </w:rPr>
      </w:pPr>
      <w:r w:rsidRPr="00FD37F6">
        <w:rPr>
          <w:rFonts w:cs="Times New Roman"/>
          <w:sz w:val="20"/>
          <w:szCs w:val="20"/>
        </w:rPr>
        <w:footnoteRef/>
      </w:r>
      <w:r w:rsidRPr="00FD37F6">
        <w:rPr>
          <w:rFonts w:cs="Times New Roman"/>
          <w:sz w:val="20"/>
          <w:szCs w:val="20"/>
          <w:lang w:val="bg-BG"/>
        </w:rPr>
        <w:t xml:space="preserve"> Приета на 2 февруари 1971 г. в град Рамсар, Иран. Подписана от България без задължение за ратификация в изпълнение на РМС № 389/18.11.1974 г., в сила от 24 януари 1976 г., изменена с Протокол от 3 декември 1982 г. </w:t>
      </w:r>
      <w:r w:rsidRPr="00FD37F6">
        <w:rPr>
          <w:rFonts w:cs="Times New Roman"/>
          <w:iCs/>
          <w:sz w:val="20"/>
          <w:szCs w:val="20"/>
          <w:lang w:val="bg-BG"/>
        </w:rPr>
        <w:t>(</w:t>
      </w:r>
      <w:r w:rsidRPr="00FD37F6">
        <w:rPr>
          <w:rFonts w:cs="Times New Roman"/>
          <w:sz w:val="20"/>
          <w:szCs w:val="20"/>
          <w:lang w:val="bg-BG"/>
        </w:rPr>
        <w:t>Париж</w:t>
      </w:r>
      <w:r w:rsidRPr="00FD37F6">
        <w:rPr>
          <w:rFonts w:cs="Times New Roman"/>
          <w:iCs/>
          <w:sz w:val="20"/>
          <w:szCs w:val="20"/>
          <w:lang w:val="bg-BG"/>
        </w:rPr>
        <w:t>),</w:t>
      </w:r>
      <w:r w:rsidRPr="00FD37F6">
        <w:rPr>
          <w:rFonts w:cs="Times New Roman"/>
          <w:sz w:val="20"/>
          <w:szCs w:val="20"/>
          <w:lang w:val="bg-BG"/>
        </w:rPr>
        <w:t xml:space="preserve"> влязъл в сила за България на 27 февруари 1986 г.</w:t>
      </w:r>
    </w:p>
  </w:footnote>
  <w:footnote w:id="92">
    <w:p w14:paraId="5450EB1C" w14:textId="0762C3E1"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rPr>
        <w:footnoteRef/>
      </w:r>
      <w:r w:rsidRPr="00FD37F6">
        <w:rPr>
          <w:rFonts w:cs="Times New Roman"/>
          <w:sz w:val="20"/>
          <w:szCs w:val="20"/>
          <w:lang w:val="bg-BG"/>
        </w:rPr>
        <w:t xml:space="preserve"> </w:t>
      </w:r>
      <w:hyperlink r:id="rId67" w:history="1">
        <w:r w:rsidRPr="00FD37F6">
          <w:rPr>
            <w:rStyle w:val="Hyperlink"/>
            <w:rFonts w:cs="Times New Roman"/>
            <w:sz w:val="20"/>
            <w:szCs w:val="20"/>
          </w:rPr>
          <w:t>https</w:t>
        </w:r>
        <w:r w:rsidRPr="00AA0892">
          <w:rPr>
            <w:rStyle w:val="Hyperlink"/>
            <w:rFonts w:cs="Times New Roman"/>
            <w:sz w:val="20"/>
            <w:szCs w:val="20"/>
            <w:lang w:val="bg-BG"/>
          </w:rPr>
          <w:t>://</w:t>
        </w:r>
        <w:r w:rsidRPr="00FD37F6">
          <w:rPr>
            <w:rStyle w:val="Hyperlink"/>
            <w:rFonts w:cs="Times New Roman"/>
            <w:sz w:val="20"/>
            <w:szCs w:val="20"/>
          </w:rPr>
          <w:t>www</w:t>
        </w:r>
        <w:r w:rsidRPr="00AA0892">
          <w:rPr>
            <w:rStyle w:val="Hyperlink"/>
            <w:rFonts w:cs="Times New Roman"/>
            <w:sz w:val="20"/>
            <w:szCs w:val="20"/>
            <w:lang w:val="bg-BG"/>
          </w:rPr>
          <w:t>.</w:t>
        </w:r>
        <w:r w:rsidRPr="00FD37F6">
          <w:rPr>
            <w:rStyle w:val="Hyperlink"/>
            <w:rFonts w:cs="Times New Roman"/>
            <w:sz w:val="20"/>
            <w:szCs w:val="20"/>
          </w:rPr>
          <w:t>moew</w:t>
        </w:r>
        <w:r w:rsidRPr="00AA0892">
          <w:rPr>
            <w:rStyle w:val="Hyperlink"/>
            <w:rFonts w:cs="Times New Roman"/>
            <w:sz w:val="20"/>
            <w:szCs w:val="20"/>
            <w:lang w:val="bg-BG"/>
          </w:rPr>
          <w:t>.</w:t>
        </w:r>
        <w:r w:rsidRPr="00FD37F6">
          <w:rPr>
            <w:rStyle w:val="Hyperlink"/>
            <w:rFonts w:cs="Times New Roman"/>
            <w:sz w:val="20"/>
            <w:szCs w:val="20"/>
          </w:rPr>
          <w:t>government</w:t>
        </w:r>
        <w:r w:rsidRPr="00AA0892">
          <w:rPr>
            <w:rStyle w:val="Hyperlink"/>
            <w:rFonts w:cs="Times New Roman"/>
            <w:sz w:val="20"/>
            <w:szCs w:val="20"/>
            <w:lang w:val="bg-BG"/>
          </w:rPr>
          <w:t>.</w:t>
        </w:r>
        <w:r w:rsidRPr="00FD37F6">
          <w:rPr>
            <w:rStyle w:val="Hyperlink"/>
            <w:rFonts w:cs="Times New Roman"/>
            <w:sz w:val="20"/>
            <w:szCs w:val="20"/>
          </w:rPr>
          <w:t>bg</w:t>
        </w:r>
        <w:r w:rsidRPr="00AA0892">
          <w:rPr>
            <w:rStyle w:val="Hyperlink"/>
            <w:rFonts w:cs="Times New Roman"/>
            <w:sz w:val="20"/>
            <w:szCs w:val="20"/>
            <w:lang w:val="bg-BG"/>
          </w:rPr>
          <w:t>/</w:t>
        </w:r>
        <w:r w:rsidRPr="00FD37F6">
          <w:rPr>
            <w:rStyle w:val="Hyperlink"/>
            <w:rFonts w:cs="Times New Roman"/>
            <w:sz w:val="20"/>
            <w:szCs w:val="20"/>
          </w:rPr>
          <w:t>static</w:t>
        </w:r>
        <w:r w:rsidRPr="00AA0892">
          <w:rPr>
            <w:rStyle w:val="Hyperlink"/>
            <w:rFonts w:cs="Times New Roman"/>
            <w:sz w:val="20"/>
            <w:szCs w:val="20"/>
            <w:lang w:val="bg-BG"/>
          </w:rPr>
          <w:t>/</w:t>
        </w:r>
        <w:r w:rsidRPr="00FD37F6">
          <w:rPr>
            <w:rStyle w:val="Hyperlink"/>
            <w:rFonts w:cs="Times New Roman"/>
            <w:sz w:val="20"/>
            <w:szCs w:val="20"/>
          </w:rPr>
          <w:t>media</w:t>
        </w:r>
        <w:r w:rsidRPr="00AA0892">
          <w:rPr>
            <w:rStyle w:val="Hyperlink"/>
            <w:rFonts w:cs="Times New Roman"/>
            <w:sz w:val="20"/>
            <w:szCs w:val="20"/>
            <w:lang w:val="bg-BG"/>
          </w:rPr>
          <w:t>/</w:t>
        </w:r>
        <w:r w:rsidRPr="00FD37F6">
          <w:rPr>
            <w:rStyle w:val="Hyperlink"/>
            <w:rFonts w:cs="Times New Roman"/>
            <w:sz w:val="20"/>
            <w:szCs w:val="20"/>
          </w:rPr>
          <w:t>ups</w:t>
        </w:r>
        <w:r w:rsidRPr="00AA0892">
          <w:rPr>
            <w:rStyle w:val="Hyperlink"/>
            <w:rFonts w:cs="Times New Roman"/>
            <w:sz w:val="20"/>
            <w:szCs w:val="20"/>
            <w:lang w:val="bg-BG"/>
          </w:rPr>
          <w:t>/</w:t>
        </w:r>
        <w:r w:rsidRPr="00FD37F6">
          <w:rPr>
            <w:rStyle w:val="Hyperlink"/>
            <w:rFonts w:cs="Times New Roman"/>
            <w:sz w:val="20"/>
            <w:szCs w:val="20"/>
          </w:rPr>
          <w:t>tiny</w:t>
        </w:r>
        <w:r w:rsidRPr="00AA0892">
          <w:rPr>
            <w:rStyle w:val="Hyperlink"/>
            <w:rFonts w:cs="Times New Roman"/>
            <w:sz w:val="20"/>
            <w:szCs w:val="20"/>
            <w:lang w:val="bg-BG"/>
          </w:rPr>
          <w:t>/</w:t>
        </w:r>
        <w:r w:rsidRPr="00FD37F6">
          <w:rPr>
            <w:rStyle w:val="Hyperlink"/>
            <w:rFonts w:cs="Times New Roman"/>
            <w:sz w:val="20"/>
            <w:szCs w:val="20"/>
          </w:rPr>
          <w:t>Press</w:t>
        </w:r>
        <w:r w:rsidRPr="00AA0892">
          <w:rPr>
            <w:rStyle w:val="Hyperlink"/>
            <w:rFonts w:cs="Times New Roman"/>
            <w:sz w:val="20"/>
            <w:szCs w:val="20"/>
            <w:lang w:val="bg-BG"/>
          </w:rPr>
          <w:t>/</w:t>
        </w:r>
        <w:r w:rsidRPr="00FD37F6">
          <w:rPr>
            <w:rStyle w:val="Hyperlink"/>
            <w:rFonts w:cs="Times New Roman"/>
            <w:sz w:val="20"/>
            <w:szCs w:val="20"/>
          </w:rPr>
          <w:t>Ramsar</w:t>
        </w:r>
        <w:r w:rsidRPr="00AA0892">
          <w:rPr>
            <w:rStyle w:val="Hyperlink"/>
            <w:rFonts w:cs="Times New Roman"/>
            <w:sz w:val="20"/>
            <w:szCs w:val="20"/>
            <w:lang w:val="bg-BG"/>
          </w:rPr>
          <w:t>-</w:t>
        </w:r>
        <w:r w:rsidRPr="00FD37F6">
          <w:rPr>
            <w:rStyle w:val="Hyperlink"/>
            <w:rFonts w:cs="Times New Roman"/>
            <w:sz w:val="20"/>
            <w:szCs w:val="20"/>
          </w:rPr>
          <w:t>knijka</w:t>
        </w:r>
        <w:r w:rsidRPr="00AA0892">
          <w:rPr>
            <w:rStyle w:val="Hyperlink"/>
            <w:rFonts w:cs="Times New Roman"/>
            <w:sz w:val="20"/>
            <w:szCs w:val="20"/>
            <w:lang w:val="bg-BG"/>
          </w:rPr>
          <w:t>.</w:t>
        </w:r>
        <w:r w:rsidRPr="00FD37F6">
          <w:rPr>
            <w:rStyle w:val="Hyperlink"/>
            <w:rFonts w:cs="Times New Roman"/>
            <w:sz w:val="20"/>
            <w:szCs w:val="20"/>
          </w:rPr>
          <w:t>pdf</w:t>
        </w:r>
      </w:hyperlink>
      <w:r w:rsidRPr="00FD37F6">
        <w:rPr>
          <w:rFonts w:cs="Times New Roman"/>
          <w:sz w:val="20"/>
          <w:szCs w:val="20"/>
          <w:lang w:val="bg-BG"/>
        </w:rPr>
        <w:t xml:space="preserve"> </w:t>
      </w:r>
    </w:p>
  </w:footnote>
  <w:footnote w:id="93">
    <w:p w14:paraId="3F58847D" w14:textId="33B20471"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rPr>
        <w:footnoteRef/>
      </w:r>
      <w:hyperlink r:id="rId68"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moew</w:t>
        </w:r>
        <w:r w:rsidRPr="00FD37F6">
          <w:rPr>
            <w:rStyle w:val="Hyperlink"/>
            <w:rFonts w:cs="Times New Roman"/>
            <w:sz w:val="20"/>
            <w:szCs w:val="20"/>
            <w:lang w:val="bg-BG"/>
          </w:rPr>
          <w:t>.</w:t>
        </w:r>
        <w:r w:rsidRPr="00FD37F6">
          <w:rPr>
            <w:rStyle w:val="Hyperlink"/>
            <w:rFonts w:cs="Times New Roman"/>
            <w:sz w:val="20"/>
            <w:szCs w:val="20"/>
          </w:rPr>
          <w:t>government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static</w:t>
        </w:r>
        <w:r w:rsidRPr="00FD37F6">
          <w:rPr>
            <w:rStyle w:val="Hyperlink"/>
            <w:rFonts w:cs="Times New Roman"/>
            <w:sz w:val="20"/>
            <w:szCs w:val="20"/>
            <w:lang w:val="bg-BG"/>
          </w:rPr>
          <w:t>/</w:t>
        </w:r>
        <w:r w:rsidRPr="00FD37F6">
          <w:rPr>
            <w:rStyle w:val="Hyperlink"/>
            <w:rFonts w:cs="Times New Roman"/>
            <w:sz w:val="20"/>
            <w:szCs w:val="20"/>
          </w:rPr>
          <w:t>media</w:t>
        </w:r>
        <w:r w:rsidRPr="00FD37F6">
          <w:rPr>
            <w:rStyle w:val="Hyperlink"/>
            <w:rFonts w:cs="Times New Roman"/>
            <w:sz w:val="20"/>
            <w:szCs w:val="20"/>
            <w:lang w:val="bg-BG"/>
          </w:rPr>
          <w:t>/</w:t>
        </w:r>
        <w:r w:rsidRPr="00FD37F6">
          <w:rPr>
            <w:rStyle w:val="Hyperlink"/>
            <w:rFonts w:cs="Times New Roman"/>
            <w:sz w:val="20"/>
            <w:szCs w:val="20"/>
          </w:rPr>
          <w:t>ups</w:t>
        </w:r>
        <w:r w:rsidRPr="00FD37F6">
          <w:rPr>
            <w:rStyle w:val="Hyperlink"/>
            <w:rFonts w:cs="Times New Roman"/>
            <w:sz w:val="20"/>
            <w:szCs w:val="20"/>
            <w:lang w:val="bg-BG"/>
          </w:rPr>
          <w:t>/</w:t>
        </w:r>
        <w:r w:rsidRPr="00FD37F6">
          <w:rPr>
            <w:rStyle w:val="Hyperlink"/>
            <w:rFonts w:cs="Times New Roman"/>
            <w:sz w:val="20"/>
            <w:szCs w:val="20"/>
          </w:rPr>
          <w:t>tiny</w:t>
        </w:r>
        <w:r w:rsidRPr="00FD37F6">
          <w:rPr>
            <w:rStyle w:val="Hyperlink"/>
            <w:rFonts w:cs="Times New Roman"/>
            <w:sz w:val="20"/>
            <w:szCs w:val="20"/>
            <w:lang w:val="bg-BG"/>
          </w:rPr>
          <w:t>/</w:t>
        </w:r>
        <w:r w:rsidRPr="00FD37F6">
          <w:rPr>
            <w:rStyle w:val="Hyperlink"/>
            <w:rFonts w:cs="Times New Roman"/>
            <w:sz w:val="20"/>
            <w:szCs w:val="20"/>
          </w:rPr>
          <w:t>filebase</w:t>
        </w:r>
        <w:r w:rsidRPr="00FD37F6">
          <w:rPr>
            <w:rStyle w:val="Hyperlink"/>
            <w:rFonts w:cs="Times New Roman"/>
            <w:sz w:val="20"/>
            <w:szCs w:val="20"/>
            <w:lang w:val="bg-BG"/>
          </w:rPr>
          <w:t>/</w:t>
        </w:r>
        <w:r w:rsidRPr="00FD37F6">
          <w:rPr>
            <w:rStyle w:val="Hyperlink"/>
            <w:rFonts w:cs="Times New Roman"/>
            <w:sz w:val="20"/>
            <w:szCs w:val="20"/>
          </w:rPr>
          <w:t>Nature</w:t>
        </w:r>
        <w:r w:rsidRPr="00FD37F6">
          <w:rPr>
            <w:rStyle w:val="Hyperlink"/>
            <w:rFonts w:cs="Times New Roman"/>
            <w:sz w:val="20"/>
            <w:szCs w:val="20"/>
            <w:lang w:val="bg-BG"/>
          </w:rPr>
          <w:t>/</w:t>
        </w:r>
        <w:r w:rsidRPr="00FD37F6">
          <w:rPr>
            <w:rStyle w:val="Hyperlink"/>
            <w:rFonts w:cs="Times New Roman"/>
            <w:sz w:val="20"/>
            <w:szCs w:val="20"/>
          </w:rPr>
          <w:t>Natura</w:t>
        </w:r>
        <w:r w:rsidRPr="00FD37F6">
          <w:rPr>
            <w:rStyle w:val="Hyperlink"/>
            <w:rFonts w:cs="Times New Roman"/>
            <w:sz w:val="20"/>
            <w:szCs w:val="20"/>
            <w:lang w:val="bg-BG"/>
          </w:rPr>
          <w:t>%202000/</w:t>
        </w:r>
        <w:r w:rsidRPr="00FD37F6">
          <w:rPr>
            <w:rStyle w:val="Hyperlink"/>
            <w:rFonts w:cs="Times New Roman"/>
            <w:sz w:val="20"/>
            <w:szCs w:val="20"/>
          </w:rPr>
          <w:t>RAMSAR</w:t>
        </w:r>
        <w:r w:rsidRPr="00FD37F6">
          <w:rPr>
            <w:rStyle w:val="Hyperlink"/>
            <w:rFonts w:cs="Times New Roman"/>
            <w:sz w:val="20"/>
            <w:szCs w:val="20"/>
            <w:lang w:val="bg-BG"/>
          </w:rPr>
          <w:t>/</w:t>
        </w:r>
        <w:r w:rsidRPr="00FD37F6">
          <w:rPr>
            <w:rStyle w:val="Hyperlink"/>
            <w:rFonts w:cs="Times New Roman"/>
            <w:sz w:val="20"/>
            <w:szCs w:val="20"/>
          </w:rPr>
          <w:t>Black</w:t>
        </w:r>
        <w:r w:rsidRPr="00FD37F6">
          <w:rPr>
            <w:rStyle w:val="Hyperlink"/>
            <w:rFonts w:cs="Times New Roman"/>
            <w:sz w:val="20"/>
            <w:szCs w:val="20"/>
            <w:lang w:val="bg-BG"/>
          </w:rPr>
          <w:t>_</w:t>
        </w:r>
        <w:r w:rsidRPr="00FD37F6">
          <w:rPr>
            <w:rStyle w:val="Hyperlink"/>
            <w:rFonts w:cs="Times New Roman"/>
            <w:sz w:val="20"/>
            <w:szCs w:val="20"/>
          </w:rPr>
          <w:t>Sea</w:t>
        </w:r>
        <w:r w:rsidRPr="00FD37F6">
          <w:rPr>
            <w:rStyle w:val="Hyperlink"/>
            <w:rFonts w:cs="Times New Roman"/>
            <w:sz w:val="20"/>
            <w:szCs w:val="20"/>
            <w:lang w:val="bg-BG"/>
          </w:rPr>
          <w:t>_</w:t>
        </w:r>
        <w:r w:rsidRPr="00FD37F6">
          <w:rPr>
            <w:rStyle w:val="Hyperlink"/>
            <w:rFonts w:cs="Times New Roman"/>
            <w:sz w:val="20"/>
            <w:szCs w:val="20"/>
          </w:rPr>
          <w:t>Wet</w:t>
        </w:r>
        <w:r w:rsidRPr="00FD37F6">
          <w:rPr>
            <w:rStyle w:val="Hyperlink"/>
            <w:rFonts w:cs="Times New Roman"/>
            <w:sz w:val="20"/>
            <w:szCs w:val="20"/>
            <w:lang w:val="bg-BG"/>
          </w:rPr>
          <w:t>_</w:t>
        </w:r>
        <w:r w:rsidRPr="00FD37F6">
          <w:rPr>
            <w:rStyle w:val="Hyperlink"/>
            <w:rFonts w:cs="Times New Roman"/>
            <w:sz w:val="20"/>
            <w:szCs w:val="20"/>
          </w:rPr>
          <w:t>Catalog</w:t>
        </w:r>
        <w:r w:rsidRPr="00FD37F6">
          <w:rPr>
            <w:rStyle w:val="Hyperlink"/>
            <w:rFonts w:cs="Times New Roman"/>
            <w:sz w:val="20"/>
            <w:szCs w:val="20"/>
            <w:lang w:val="bg-BG"/>
          </w:rPr>
          <w:t>-</w:t>
        </w:r>
        <w:r w:rsidRPr="00FD37F6">
          <w:rPr>
            <w:rStyle w:val="Hyperlink"/>
            <w:rFonts w:cs="Times New Roman"/>
            <w:sz w:val="20"/>
            <w:szCs w:val="20"/>
          </w:rPr>
          <w:t>Final</w:t>
        </w:r>
        <w:r w:rsidRPr="00FD37F6">
          <w:rPr>
            <w:rStyle w:val="Hyperlink"/>
            <w:rFonts w:cs="Times New Roman"/>
            <w:sz w:val="20"/>
            <w:szCs w:val="20"/>
            <w:lang w:val="bg-BG"/>
          </w:rPr>
          <w:t>.</w:t>
        </w:r>
        <w:r w:rsidRPr="00FD37F6">
          <w:rPr>
            <w:rStyle w:val="Hyperlink"/>
            <w:rFonts w:cs="Times New Roman"/>
            <w:sz w:val="20"/>
            <w:szCs w:val="20"/>
          </w:rPr>
          <w:t>pdf</w:t>
        </w:r>
      </w:hyperlink>
      <w:r w:rsidRPr="00FD37F6">
        <w:rPr>
          <w:rFonts w:cs="Times New Roman"/>
          <w:sz w:val="20"/>
          <w:szCs w:val="20"/>
          <w:lang w:val="bg-BG"/>
        </w:rPr>
        <w:t xml:space="preserve"> </w:t>
      </w:r>
    </w:p>
  </w:footnote>
  <w:footnote w:id="94">
    <w:p w14:paraId="41DF77CB" w14:textId="1D439941" w:rsidR="00215C86" w:rsidRPr="00FD37F6" w:rsidRDefault="002A152C" w:rsidP="00F00BE8">
      <w:pPr>
        <w:pStyle w:val="FootnoteText"/>
        <w:spacing w:after="20"/>
        <w:rPr>
          <w:rFonts w:cs="Times New Roman"/>
          <w:sz w:val="20"/>
          <w:szCs w:val="20"/>
        </w:rPr>
      </w:pPr>
      <w:hyperlink r:id="rId69" w:history="1">
        <w:r w:rsidR="00215C86" w:rsidRPr="00FD37F6">
          <w:rPr>
            <w:rStyle w:val="Hyperlink"/>
            <w:rFonts w:cs="Times New Roman"/>
            <w:color w:val="auto"/>
            <w:sz w:val="20"/>
            <w:szCs w:val="20"/>
            <w:u w:val="none"/>
            <w:vertAlign w:val="superscript"/>
          </w:rPr>
          <w:footnoteRef/>
        </w:r>
        <w:r w:rsidR="00215C86" w:rsidRPr="00FD37F6">
          <w:rPr>
            <w:rStyle w:val="Hyperlink"/>
            <w:rFonts w:cs="Times New Roman"/>
            <w:color w:val="auto"/>
            <w:sz w:val="20"/>
            <w:szCs w:val="20"/>
            <w:u w:val="none"/>
            <w:lang w:val="bg-BG"/>
          </w:rPr>
          <w:t xml:space="preserve"> </w:t>
        </w:r>
        <w:r w:rsidR="00215C86" w:rsidRPr="00FD37F6">
          <w:rPr>
            <w:rStyle w:val="Hyperlink"/>
            <w:rFonts w:cs="Times New Roman"/>
            <w:sz w:val="20"/>
            <w:szCs w:val="20"/>
          </w:rPr>
          <w:t>http</w:t>
        </w:r>
      </w:hyperlink>
      <w:hyperlink r:id="rId70">
        <w:r w:rsidR="00215C86" w:rsidRPr="00FD37F6">
          <w:rPr>
            <w:rStyle w:val="a1"/>
            <w:rFonts w:cs="Times New Roman"/>
            <w:color w:val="0000FF"/>
            <w:sz w:val="20"/>
            <w:szCs w:val="20"/>
            <w:lang w:val="bg-BG"/>
          </w:rPr>
          <w:t>://</w:t>
        </w:r>
      </w:hyperlink>
      <w:hyperlink r:id="rId71">
        <w:r w:rsidR="00215C86" w:rsidRPr="00FD37F6">
          <w:rPr>
            <w:rStyle w:val="a1"/>
            <w:rFonts w:cs="Times New Roman"/>
            <w:color w:val="0000FF"/>
            <w:sz w:val="20"/>
            <w:szCs w:val="20"/>
          </w:rPr>
          <w:t>bbf</w:t>
        </w:r>
      </w:hyperlink>
      <w:hyperlink r:id="rId72">
        <w:r w:rsidR="00215C86" w:rsidRPr="00FD37F6">
          <w:rPr>
            <w:rStyle w:val="a1"/>
            <w:rFonts w:cs="Times New Roman"/>
            <w:color w:val="0000FF"/>
            <w:sz w:val="20"/>
            <w:szCs w:val="20"/>
            <w:lang w:val="bg-BG"/>
          </w:rPr>
          <w:t>.</w:t>
        </w:r>
      </w:hyperlink>
      <w:hyperlink r:id="rId73">
        <w:r w:rsidR="00215C86" w:rsidRPr="00FD37F6">
          <w:rPr>
            <w:rStyle w:val="a1"/>
            <w:rFonts w:cs="Times New Roman"/>
            <w:color w:val="0000FF"/>
            <w:sz w:val="20"/>
            <w:szCs w:val="20"/>
          </w:rPr>
          <w:t>biodiversity</w:t>
        </w:r>
      </w:hyperlink>
      <w:hyperlink r:id="rId74">
        <w:r w:rsidR="00215C86" w:rsidRPr="00FD37F6">
          <w:rPr>
            <w:rStyle w:val="a1"/>
            <w:rFonts w:cs="Times New Roman"/>
            <w:color w:val="0000FF"/>
            <w:sz w:val="20"/>
            <w:szCs w:val="20"/>
            <w:lang w:val="bg-BG"/>
          </w:rPr>
          <w:t>.</w:t>
        </w:r>
      </w:hyperlink>
      <w:hyperlink r:id="rId75">
        <w:r w:rsidR="00215C86" w:rsidRPr="00FD37F6">
          <w:rPr>
            <w:rStyle w:val="a1"/>
            <w:rFonts w:cs="Times New Roman"/>
            <w:color w:val="0000FF"/>
            <w:sz w:val="20"/>
            <w:szCs w:val="20"/>
          </w:rPr>
          <w:t>bg</w:t>
        </w:r>
      </w:hyperlink>
      <w:hyperlink r:id="rId76">
        <w:r w:rsidR="00215C86" w:rsidRPr="00FD37F6">
          <w:rPr>
            <w:rStyle w:val="a1"/>
            <w:rFonts w:cs="Times New Roman"/>
            <w:color w:val="0000FF"/>
            <w:sz w:val="20"/>
            <w:szCs w:val="20"/>
            <w:lang w:val="bg-BG"/>
          </w:rPr>
          <w:t>/</w:t>
        </w:r>
      </w:hyperlink>
      <w:hyperlink r:id="rId77">
        <w:r w:rsidR="00215C86" w:rsidRPr="00FD37F6">
          <w:rPr>
            <w:rStyle w:val="a1"/>
            <w:rFonts w:cs="Times New Roman"/>
            <w:color w:val="0000FF"/>
            <w:sz w:val="20"/>
            <w:szCs w:val="20"/>
          </w:rPr>
          <w:t>bg</w:t>
        </w:r>
      </w:hyperlink>
      <w:hyperlink r:id="rId78">
        <w:r w:rsidR="00215C86" w:rsidRPr="00FD37F6">
          <w:rPr>
            <w:rStyle w:val="a1"/>
            <w:rFonts w:cs="Times New Roman"/>
            <w:color w:val="0000FF"/>
            <w:sz w:val="20"/>
            <w:szCs w:val="20"/>
            <w:lang w:val="bg-BG"/>
          </w:rPr>
          <w:t>/</w:t>
        </w:r>
      </w:hyperlink>
      <w:hyperlink r:id="rId79">
        <w:r w:rsidR="00215C86" w:rsidRPr="00FD37F6">
          <w:rPr>
            <w:rStyle w:val="a1"/>
            <w:rFonts w:cs="Times New Roman"/>
            <w:color w:val="0000FF"/>
            <w:sz w:val="20"/>
            <w:szCs w:val="20"/>
          </w:rPr>
          <w:t>Uzunbudzhak</w:t>
        </w:r>
      </w:hyperlink>
      <w:hyperlink r:id="rId80">
        <w:r w:rsidR="00215C86" w:rsidRPr="00FD37F6">
          <w:rPr>
            <w:rStyle w:val="a1"/>
            <w:rFonts w:cs="Times New Roman"/>
            <w:color w:val="0000FF"/>
            <w:sz w:val="20"/>
            <w:szCs w:val="20"/>
            <w:lang w:val="bg-BG"/>
          </w:rPr>
          <w:t>.</w:t>
        </w:r>
      </w:hyperlink>
      <w:hyperlink r:id="rId81">
        <w:r w:rsidR="00215C86" w:rsidRPr="00FD37F6">
          <w:rPr>
            <w:rStyle w:val="a1"/>
            <w:rFonts w:cs="Times New Roman"/>
            <w:color w:val="0000FF"/>
            <w:sz w:val="20"/>
            <w:szCs w:val="20"/>
          </w:rPr>
          <w:t>c</w:t>
        </w:r>
      </w:hyperlink>
      <w:hyperlink r:id="rId82">
        <w:r w:rsidR="00215C86" w:rsidRPr="00FD37F6">
          <w:rPr>
            <w:rStyle w:val="a1"/>
            <w:rFonts w:cs="Times New Roman"/>
            <w:color w:val="0000FF"/>
            <w:sz w:val="20"/>
            <w:szCs w:val="20"/>
          </w:rPr>
          <w:t>254</w:t>
        </w:r>
      </w:hyperlink>
    </w:p>
  </w:footnote>
  <w:footnote w:id="95">
    <w:p w14:paraId="35036C0E" w14:textId="14D8E28F" w:rsidR="00215C86" w:rsidRPr="00FD37F6" w:rsidRDefault="00215C86" w:rsidP="00F00BE8">
      <w:pPr>
        <w:pStyle w:val="FootnoteText"/>
        <w:spacing w:after="20"/>
        <w:rPr>
          <w:rFonts w:cs="Times New Roman"/>
          <w:sz w:val="20"/>
          <w:szCs w:val="20"/>
        </w:rPr>
      </w:pPr>
      <w:r w:rsidRPr="00FD37F6">
        <w:rPr>
          <w:rFonts w:cs="Times New Roman"/>
          <w:sz w:val="20"/>
          <w:szCs w:val="20"/>
          <w:vertAlign w:val="superscript"/>
        </w:rPr>
        <w:footnoteRef/>
      </w:r>
      <w:r w:rsidRPr="00FD37F6">
        <w:rPr>
          <w:rFonts w:cs="Times New Roman"/>
          <w:sz w:val="20"/>
          <w:szCs w:val="20"/>
          <w:vertAlign w:val="superscript"/>
          <w:lang w:val="bg-BG"/>
        </w:rPr>
        <w:t xml:space="preserve"> </w:t>
      </w:r>
      <w:r w:rsidRPr="00FD37F6">
        <w:rPr>
          <w:rFonts w:cs="Times New Roman"/>
          <w:sz w:val="20"/>
          <w:szCs w:val="20"/>
        </w:rPr>
        <w:t xml:space="preserve">БДЗП, 2007. Орнитологично важни места в България. Ред. Костадинова, И. и М. Граматиков. </w:t>
      </w:r>
      <w:hyperlink r:id="rId83">
        <w:r w:rsidRPr="00FD37F6">
          <w:rPr>
            <w:rStyle w:val="a1"/>
            <w:rFonts w:cs="Times New Roman"/>
            <w:color w:val="0000FF"/>
            <w:sz w:val="20"/>
            <w:szCs w:val="20"/>
          </w:rPr>
          <w:t>http</w:t>
        </w:r>
      </w:hyperlink>
      <w:hyperlink r:id="rId84">
        <w:r w:rsidRPr="00FD37F6">
          <w:rPr>
            <w:rStyle w:val="a1"/>
            <w:rFonts w:cs="Times New Roman"/>
            <w:color w:val="0000FF"/>
            <w:sz w:val="20"/>
            <w:szCs w:val="20"/>
          </w:rPr>
          <w:t>://</w:t>
        </w:r>
      </w:hyperlink>
      <w:hyperlink r:id="rId85">
        <w:r w:rsidRPr="00FD37F6">
          <w:rPr>
            <w:rStyle w:val="a1"/>
            <w:rFonts w:cs="Times New Roman"/>
            <w:color w:val="0000FF"/>
            <w:sz w:val="20"/>
            <w:szCs w:val="20"/>
          </w:rPr>
          <w:t>bspb</w:t>
        </w:r>
      </w:hyperlink>
      <w:hyperlink r:id="rId86">
        <w:r w:rsidRPr="00FD37F6">
          <w:rPr>
            <w:rStyle w:val="a1"/>
            <w:rFonts w:cs="Times New Roman"/>
            <w:color w:val="0000FF"/>
            <w:sz w:val="20"/>
            <w:szCs w:val="20"/>
          </w:rPr>
          <w:t>.</w:t>
        </w:r>
      </w:hyperlink>
      <w:hyperlink r:id="rId87">
        <w:r w:rsidRPr="00FD37F6">
          <w:rPr>
            <w:rStyle w:val="a1"/>
            <w:rFonts w:cs="Times New Roman"/>
            <w:color w:val="0000FF"/>
            <w:sz w:val="20"/>
            <w:szCs w:val="20"/>
          </w:rPr>
          <w:t>org</w:t>
        </w:r>
      </w:hyperlink>
      <w:hyperlink r:id="rId88">
        <w:r w:rsidRPr="00FD37F6">
          <w:rPr>
            <w:rStyle w:val="a1"/>
            <w:rFonts w:cs="Times New Roman"/>
            <w:color w:val="0000FF"/>
            <w:sz w:val="20"/>
            <w:szCs w:val="20"/>
          </w:rPr>
          <w:t>/</w:t>
        </w:r>
      </w:hyperlink>
      <w:hyperlink r:id="rId89">
        <w:r w:rsidRPr="00FD37F6">
          <w:rPr>
            <w:rStyle w:val="a1"/>
            <w:rFonts w:cs="Times New Roman"/>
            <w:color w:val="0000FF"/>
            <w:sz w:val="20"/>
            <w:szCs w:val="20"/>
          </w:rPr>
          <w:t>media</w:t>
        </w:r>
      </w:hyperlink>
      <w:hyperlink r:id="rId90">
        <w:r w:rsidRPr="00FD37F6">
          <w:rPr>
            <w:rStyle w:val="a1"/>
            <w:rFonts w:cs="Times New Roman"/>
            <w:color w:val="0000FF"/>
            <w:sz w:val="20"/>
            <w:szCs w:val="20"/>
          </w:rPr>
          <w:t>/</w:t>
        </w:r>
      </w:hyperlink>
      <w:hyperlink r:id="rId91">
        <w:r w:rsidRPr="00FD37F6">
          <w:rPr>
            <w:rStyle w:val="a1"/>
            <w:rFonts w:cs="Times New Roman"/>
            <w:color w:val="0000FF"/>
            <w:sz w:val="20"/>
            <w:szCs w:val="20"/>
          </w:rPr>
          <w:t>files</w:t>
        </w:r>
      </w:hyperlink>
      <w:hyperlink r:id="rId92">
        <w:r w:rsidRPr="00FD37F6">
          <w:rPr>
            <w:rStyle w:val="a1"/>
            <w:rFonts w:cs="Times New Roman"/>
            <w:color w:val="0000FF"/>
            <w:sz w:val="20"/>
            <w:szCs w:val="20"/>
          </w:rPr>
          <w:t>/</w:t>
        </w:r>
      </w:hyperlink>
      <w:hyperlink r:id="rId93">
        <w:r w:rsidRPr="00FD37F6">
          <w:rPr>
            <w:rStyle w:val="a1"/>
            <w:rFonts w:cs="Times New Roman"/>
            <w:color w:val="0000FF"/>
            <w:sz w:val="20"/>
            <w:szCs w:val="20"/>
          </w:rPr>
          <w:t>IBA_and_Natura_</w:t>
        </w:r>
      </w:hyperlink>
      <w:hyperlink r:id="rId94">
        <w:r w:rsidRPr="00FD37F6">
          <w:rPr>
            <w:rStyle w:val="a1"/>
            <w:rFonts w:cs="Times New Roman"/>
            <w:color w:val="0000FF"/>
            <w:sz w:val="20"/>
            <w:szCs w:val="20"/>
          </w:rPr>
          <w:t>2000</w:t>
        </w:r>
      </w:hyperlink>
      <w:hyperlink r:id="rId95">
        <w:r w:rsidRPr="00FD37F6">
          <w:rPr>
            <w:rStyle w:val="a1"/>
            <w:rFonts w:cs="Times New Roman"/>
            <w:color w:val="0000FF"/>
            <w:sz w:val="20"/>
            <w:szCs w:val="20"/>
          </w:rPr>
          <w:t>_Inventory_BG</w:t>
        </w:r>
      </w:hyperlink>
      <w:hyperlink r:id="rId96">
        <w:r w:rsidRPr="00FD37F6">
          <w:rPr>
            <w:rStyle w:val="a1"/>
            <w:rFonts w:cs="Times New Roman"/>
            <w:color w:val="0000FF"/>
            <w:sz w:val="20"/>
            <w:szCs w:val="20"/>
          </w:rPr>
          <w:t>.</w:t>
        </w:r>
      </w:hyperlink>
      <w:hyperlink r:id="rId97">
        <w:r w:rsidRPr="00FD37F6">
          <w:rPr>
            <w:rStyle w:val="a1"/>
            <w:rFonts w:cs="Times New Roman"/>
            <w:color w:val="0000FF"/>
            <w:sz w:val="20"/>
            <w:szCs w:val="20"/>
          </w:rPr>
          <w:t>pdf</w:t>
        </w:r>
      </w:hyperlink>
      <w:r w:rsidRPr="00FD37F6">
        <w:rPr>
          <w:rStyle w:val="a1"/>
          <w:rFonts w:cs="Times New Roman"/>
          <w:color w:val="0000FF"/>
          <w:sz w:val="20"/>
          <w:szCs w:val="20"/>
        </w:rPr>
        <w:t xml:space="preserve"> </w:t>
      </w:r>
    </w:p>
  </w:footnote>
  <w:footnote w:id="96">
    <w:p w14:paraId="5F552F99" w14:textId="4B125359" w:rsidR="00215C86" w:rsidRPr="00FD37F6" w:rsidRDefault="002A152C" w:rsidP="00F00BE8">
      <w:pPr>
        <w:pStyle w:val="FootnoteText"/>
        <w:spacing w:after="20"/>
        <w:rPr>
          <w:rFonts w:cs="Times New Roman"/>
          <w:sz w:val="20"/>
          <w:szCs w:val="20"/>
        </w:rPr>
      </w:pPr>
      <w:hyperlink r:id="rId98" w:history="1">
        <w:r w:rsidR="00215C86" w:rsidRPr="00FD37F6">
          <w:rPr>
            <w:rStyle w:val="Hyperlink"/>
            <w:rFonts w:cs="Times New Roman"/>
            <w:color w:val="auto"/>
            <w:sz w:val="20"/>
            <w:szCs w:val="20"/>
            <w:u w:val="none"/>
            <w:vertAlign w:val="superscript"/>
          </w:rPr>
          <w:footnoteRef/>
        </w:r>
        <w:r w:rsidR="00215C86" w:rsidRPr="00FD37F6">
          <w:rPr>
            <w:rStyle w:val="Hyperlink"/>
            <w:rFonts w:cs="Times New Roman"/>
            <w:color w:val="auto"/>
            <w:sz w:val="20"/>
            <w:szCs w:val="20"/>
            <w:u w:val="none"/>
            <w:vertAlign w:val="superscript"/>
            <w:lang w:val="bg-BG"/>
          </w:rPr>
          <w:t xml:space="preserve"> </w:t>
        </w:r>
        <w:r w:rsidR="00215C86" w:rsidRPr="00FD37F6">
          <w:rPr>
            <w:rStyle w:val="Hyperlink"/>
            <w:rFonts w:cs="Times New Roman"/>
            <w:sz w:val="20"/>
            <w:szCs w:val="20"/>
          </w:rPr>
          <w:t>http</w:t>
        </w:r>
      </w:hyperlink>
      <w:hyperlink r:id="rId99">
        <w:r w:rsidR="00215C86" w:rsidRPr="00FD37F6">
          <w:rPr>
            <w:rStyle w:val="a1"/>
            <w:rFonts w:cs="Times New Roman"/>
            <w:color w:val="0000FF"/>
            <w:sz w:val="20"/>
            <w:szCs w:val="20"/>
          </w:rPr>
          <w:t>://</w:t>
        </w:r>
      </w:hyperlink>
      <w:hyperlink r:id="rId100">
        <w:r w:rsidR="00215C86" w:rsidRPr="00FD37F6">
          <w:rPr>
            <w:rStyle w:val="a1"/>
            <w:rFonts w:cs="Times New Roman"/>
            <w:color w:val="0000FF"/>
            <w:sz w:val="20"/>
            <w:szCs w:val="20"/>
          </w:rPr>
          <w:t>eea</w:t>
        </w:r>
      </w:hyperlink>
      <w:hyperlink r:id="rId101">
        <w:r w:rsidR="00215C86" w:rsidRPr="00FD37F6">
          <w:rPr>
            <w:rStyle w:val="a1"/>
            <w:rFonts w:cs="Times New Roman"/>
            <w:color w:val="0000FF"/>
            <w:sz w:val="20"/>
            <w:szCs w:val="20"/>
          </w:rPr>
          <w:t>.</w:t>
        </w:r>
      </w:hyperlink>
      <w:hyperlink r:id="rId102">
        <w:r w:rsidR="00215C86" w:rsidRPr="00FD37F6">
          <w:rPr>
            <w:rStyle w:val="a1"/>
            <w:rFonts w:cs="Times New Roman"/>
            <w:color w:val="0000FF"/>
            <w:sz w:val="20"/>
            <w:szCs w:val="20"/>
          </w:rPr>
          <w:t>government</w:t>
        </w:r>
      </w:hyperlink>
      <w:hyperlink r:id="rId103">
        <w:r w:rsidR="00215C86" w:rsidRPr="00FD37F6">
          <w:rPr>
            <w:rStyle w:val="a1"/>
            <w:rFonts w:cs="Times New Roman"/>
            <w:color w:val="0000FF"/>
            <w:sz w:val="20"/>
            <w:szCs w:val="20"/>
          </w:rPr>
          <w:t>.</w:t>
        </w:r>
      </w:hyperlink>
      <w:hyperlink r:id="rId104">
        <w:r w:rsidR="00215C86" w:rsidRPr="00FD37F6">
          <w:rPr>
            <w:rStyle w:val="a1"/>
            <w:rFonts w:cs="Times New Roman"/>
            <w:color w:val="0000FF"/>
            <w:sz w:val="20"/>
            <w:szCs w:val="20"/>
          </w:rPr>
          <w:t>bg</w:t>
        </w:r>
      </w:hyperlink>
      <w:hyperlink r:id="rId105">
        <w:r w:rsidR="00215C86" w:rsidRPr="00FD37F6">
          <w:rPr>
            <w:rStyle w:val="a1"/>
            <w:rFonts w:cs="Times New Roman"/>
            <w:color w:val="0000FF"/>
            <w:sz w:val="20"/>
            <w:szCs w:val="20"/>
          </w:rPr>
          <w:t>/</w:t>
        </w:r>
      </w:hyperlink>
      <w:hyperlink r:id="rId106">
        <w:r w:rsidR="00215C86" w:rsidRPr="00FD37F6">
          <w:rPr>
            <w:rStyle w:val="a1"/>
            <w:rFonts w:cs="Times New Roman"/>
            <w:color w:val="0000FF"/>
            <w:sz w:val="20"/>
            <w:szCs w:val="20"/>
          </w:rPr>
          <w:t>bg</w:t>
        </w:r>
      </w:hyperlink>
      <w:hyperlink r:id="rId107">
        <w:r w:rsidR="00215C86" w:rsidRPr="00FD37F6">
          <w:rPr>
            <w:rStyle w:val="a1"/>
            <w:rFonts w:cs="Times New Roman"/>
            <w:color w:val="0000FF"/>
            <w:sz w:val="20"/>
            <w:szCs w:val="20"/>
          </w:rPr>
          <w:t>/</w:t>
        </w:r>
      </w:hyperlink>
      <w:hyperlink r:id="rId108">
        <w:r w:rsidR="00215C86" w:rsidRPr="00FD37F6">
          <w:rPr>
            <w:rStyle w:val="a1"/>
            <w:rFonts w:cs="Times New Roman"/>
            <w:color w:val="0000FF"/>
            <w:sz w:val="20"/>
            <w:szCs w:val="20"/>
          </w:rPr>
          <w:t>soer</w:t>
        </w:r>
      </w:hyperlink>
      <w:hyperlink r:id="rId109">
        <w:r w:rsidR="00215C86" w:rsidRPr="00FD37F6">
          <w:rPr>
            <w:rStyle w:val="a1"/>
            <w:rFonts w:cs="Times New Roman"/>
            <w:color w:val="0000FF"/>
            <w:sz w:val="20"/>
            <w:szCs w:val="20"/>
          </w:rPr>
          <w:t>/2017/</w:t>
        </w:r>
      </w:hyperlink>
      <w:hyperlink r:id="rId110">
        <w:r w:rsidR="00215C86" w:rsidRPr="00FD37F6">
          <w:rPr>
            <w:rStyle w:val="a1"/>
            <w:rFonts w:cs="Times New Roman"/>
            <w:color w:val="0000FF"/>
            <w:sz w:val="20"/>
            <w:szCs w:val="20"/>
          </w:rPr>
          <w:t>biodiversity</w:t>
        </w:r>
      </w:hyperlink>
      <w:hyperlink r:id="rId111">
        <w:r w:rsidR="00215C86" w:rsidRPr="00FD37F6">
          <w:rPr>
            <w:rStyle w:val="a1"/>
            <w:rFonts w:cs="Times New Roman"/>
            <w:color w:val="0000FF"/>
            <w:sz w:val="20"/>
            <w:szCs w:val="20"/>
          </w:rPr>
          <w:t>-</w:t>
        </w:r>
      </w:hyperlink>
      <w:hyperlink r:id="rId112">
        <w:r w:rsidR="00215C86" w:rsidRPr="00FD37F6">
          <w:rPr>
            <w:rStyle w:val="a1"/>
            <w:rFonts w:cs="Times New Roman"/>
            <w:color w:val="0000FF"/>
            <w:sz w:val="20"/>
            <w:szCs w:val="20"/>
          </w:rPr>
          <w:t>nem</w:t>
        </w:r>
      </w:hyperlink>
      <w:hyperlink r:id="rId113">
        <w:r w:rsidR="00215C86" w:rsidRPr="00FD37F6">
          <w:rPr>
            <w:rStyle w:val="a1"/>
            <w:rFonts w:cs="Times New Roman"/>
            <w:color w:val="0000FF"/>
            <w:sz w:val="20"/>
            <w:szCs w:val="20"/>
          </w:rPr>
          <w:t>/</w:t>
        </w:r>
      </w:hyperlink>
      <w:hyperlink r:id="rId114">
        <w:r w:rsidR="00215C86" w:rsidRPr="00FD37F6">
          <w:rPr>
            <w:rStyle w:val="a1"/>
            <w:rFonts w:cs="Times New Roman"/>
            <w:color w:val="0000FF"/>
            <w:sz w:val="20"/>
            <w:szCs w:val="20"/>
          </w:rPr>
          <w:t>promyana</w:t>
        </w:r>
      </w:hyperlink>
      <w:hyperlink r:id="rId115">
        <w:r w:rsidR="00215C86" w:rsidRPr="00FD37F6">
          <w:rPr>
            <w:rStyle w:val="a1"/>
            <w:rFonts w:cs="Times New Roman"/>
            <w:color w:val="0000FF"/>
            <w:sz w:val="20"/>
            <w:szCs w:val="20"/>
          </w:rPr>
          <w:t>-</w:t>
        </w:r>
      </w:hyperlink>
      <w:hyperlink r:id="rId116">
        <w:r w:rsidR="00215C86" w:rsidRPr="00FD37F6">
          <w:rPr>
            <w:rStyle w:val="a1"/>
            <w:rFonts w:cs="Times New Roman"/>
            <w:color w:val="0000FF"/>
            <w:sz w:val="20"/>
            <w:szCs w:val="20"/>
          </w:rPr>
          <w:t>v</w:t>
        </w:r>
      </w:hyperlink>
      <w:hyperlink r:id="rId117">
        <w:r w:rsidR="00215C86" w:rsidRPr="00FD37F6">
          <w:rPr>
            <w:rStyle w:val="a1"/>
            <w:rFonts w:cs="Times New Roman"/>
            <w:color w:val="0000FF"/>
            <w:sz w:val="20"/>
            <w:szCs w:val="20"/>
          </w:rPr>
          <w:t>-</w:t>
        </w:r>
      </w:hyperlink>
      <w:hyperlink r:id="rId118">
        <w:r w:rsidR="00215C86" w:rsidRPr="00FD37F6">
          <w:rPr>
            <w:rStyle w:val="a1"/>
            <w:rFonts w:cs="Times New Roman"/>
            <w:color w:val="0000FF"/>
            <w:sz w:val="20"/>
            <w:szCs w:val="20"/>
          </w:rPr>
          <w:t>chislenostta</w:t>
        </w:r>
      </w:hyperlink>
      <w:hyperlink r:id="rId119">
        <w:r w:rsidR="00215C86" w:rsidRPr="00FD37F6">
          <w:rPr>
            <w:rStyle w:val="a1"/>
            <w:rFonts w:cs="Times New Roman"/>
            <w:color w:val="0000FF"/>
            <w:sz w:val="20"/>
            <w:szCs w:val="20"/>
          </w:rPr>
          <w:t>-</w:t>
        </w:r>
      </w:hyperlink>
      <w:hyperlink r:id="rId120">
        <w:r w:rsidR="00215C86" w:rsidRPr="00FD37F6">
          <w:rPr>
            <w:rStyle w:val="a1"/>
            <w:rFonts w:cs="Times New Roman"/>
            <w:color w:val="0000FF"/>
            <w:sz w:val="20"/>
            <w:szCs w:val="20"/>
          </w:rPr>
          <w:t>i</w:t>
        </w:r>
      </w:hyperlink>
      <w:hyperlink r:id="rId121">
        <w:r w:rsidR="00215C86" w:rsidRPr="00FD37F6">
          <w:rPr>
            <w:rStyle w:val="a1"/>
            <w:rFonts w:cs="Times New Roman"/>
            <w:color w:val="0000FF"/>
            <w:sz w:val="20"/>
            <w:szCs w:val="20"/>
          </w:rPr>
          <w:t>-</w:t>
        </w:r>
      </w:hyperlink>
      <w:hyperlink r:id="rId122">
        <w:r w:rsidR="00215C86" w:rsidRPr="00FD37F6">
          <w:rPr>
            <w:rStyle w:val="a1"/>
            <w:rFonts w:cs="Times New Roman"/>
            <w:color w:val="0000FF"/>
            <w:sz w:val="20"/>
            <w:szCs w:val="20"/>
          </w:rPr>
          <w:t>sastoyanie</w:t>
        </w:r>
      </w:hyperlink>
      <w:hyperlink r:id="rId123">
        <w:r w:rsidR="00215C86" w:rsidRPr="00FD37F6">
          <w:rPr>
            <w:rStyle w:val="a1"/>
            <w:rFonts w:cs="Times New Roman"/>
            <w:color w:val="0000FF"/>
            <w:sz w:val="20"/>
            <w:szCs w:val="20"/>
          </w:rPr>
          <w:t>-</w:t>
        </w:r>
      </w:hyperlink>
      <w:hyperlink r:id="rId124">
        <w:r w:rsidR="00215C86" w:rsidRPr="00FD37F6">
          <w:rPr>
            <w:rStyle w:val="a1"/>
            <w:rFonts w:cs="Times New Roman"/>
            <w:color w:val="0000FF"/>
            <w:sz w:val="20"/>
            <w:szCs w:val="20"/>
          </w:rPr>
          <w:t>na</w:t>
        </w:r>
      </w:hyperlink>
      <w:hyperlink r:id="rId125">
        <w:r w:rsidR="00215C86" w:rsidRPr="00FD37F6">
          <w:rPr>
            <w:rStyle w:val="a1"/>
            <w:rFonts w:cs="Times New Roman"/>
            <w:color w:val="0000FF"/>
            <w:sz w:val="20"/>
            <w:szCs w:val="20"/>
          </w:rPr>
          <w:t>-</w:t>
        </w:r>
      </w:hyperlink>
      <w:hyperlink r:id="rId126">
        <w:r w:rsidR="00215C86" w:rsidRPr="00FD37F6">
          <w:rPr>
            <w:rStyle w:val="a1"/>
            <w:rFonts w:cs="Times New Roman"/>
            <w:color w:val="0000FF"/>
            <w:sz w:val="20"/>
            <w:szCs w:val="20"/>
          </w:rPr>
          <w:t>zimuvashtite</w:t>
        </w:r>
      </w:hyperlink>
      <w:hyperlink r:id="rId127">
        <w:r w:rsidR="00215C86" w:rsidRPr="00FD37F6">
          <w:rPr>
            <w:rStyle w:val="a1"/>
            <w:rFonts w:cs="Times New Roman"/>
            <w:color w:val="0000FF"/>
            <w:sz w:val="20"/>
            <w:szCs w:val="20"/>
          </w:rPr>
          <w:t>-</w:t>
        </w:r>
      </w:hyperlink>
      <w:hyperlink r:id="rId128">
        <w:r w:rsidR="00215C86" w:rsidRPr="00FD37F6">
          <w:rPr>
            <w:rStyle w:val="a1"/>
            <w:rFonts w:cs="Times New Roman"/>
            <w:color w:val="0000FF"/>
            <w:sz w:val="20"/>
            <w:szCs w:val="20"/>
          </w:rPr>
          <w:t>vodolyubivi</w:t>
        </w:r>
      </w:hyperlink>
      <w:hyperlink r:id="rId129">
        <w:r w:rsidR="00215C86" w:rsidRPr="00FD37F6">
          <w:rPr>
            <w:rStyle w:val="a1"/>
            <w:rFonts w:cs="Times New Roman"/>
            <w:color w:val="0000FF"/>
            <w:sz w:val="20"/>
            <w:szCs w:val="20"/>
          </w:rPr>
          <w:t>-</w:t>
        </w:r>
      </w:hyperlink>
      <w:hyperlink r:id="rId130">
        <w:r w:rsidR="00215C86" w:rsidRPr="00FD37F6">
          <w:rPr>
            <w:rStyle w:val="a1"/>
            <w:rFonts w:cs="Times New Roman"/>
            <w:color w:val="0000FF"/>
            <w:sz w:val="20"/>
            <w:szCs w:val="20"/>
          </w:rPr>
          <w:t>ptitsi</w:t>
        </w:r>
      </w:hyperlink>
      <w:hyperlink r:id="rId131">
        <w:r w:rsidR="00215C86" w:rsidRPr="00FD37F6">
          <w:rPr>
            <w:rStyle w:val="a1"/>
            <w:rFonts w:cs="Times New Roman"/>
            <w:color w:val="0000FF"/>
            <w:sz w:val="20"/>
            <w:szCs w:val="20"/>
          </w:rPr>
          <w:t>-</w:t>
        </w:r>
      </w:hyperlink>
      <w:hyperlink r:id="rId132">
        <w:r w:rsidR="00215C86" w:rsidRPr="00FD37F6">
          <w:rPr>
            <w:rStyle w:val="a1"/>
            <w:rFonts w:cs="Times New Roman"/>
            <w:color w:val="0000FF"/>
            <w:sz w:val="20"/>
            <w:szCs w:val="20"/>
          </w:rPr>
          <w:t>v</w:t>
        </w:r>
      </w:hyperlink>
      <w:hyperlink r:id="rId133">
        <w:r w:rsidR="00215C86" w:rsidRPr="00FD37F6">
          <w:rPr>
            <w:rStyle w:val="a1"/>
            <w:rFonts w:cs="Times New Roman"/>
            <w:color w:val="0000FF"/>
            <w:sz w:val="20"/>
            <w:szCs w:val="20"/>
          </w:rPr>
          <w:t>-</w:t>
        </w:r>
      </w:hyperlink>
      <w:hyperlink r:id="rId134">
        <w:r w:rsidR="00215C86" w:rsidRPr="00FD37F6">
          <w:rPr>
            <w:rStyle w:val="a1"/>
            <w:rFonts w:cs="Times New Roman"/>
            <w:color w:val="0000FF"/>
            <w:sz w:val="20"/>
            <w:szCs w:val="20"/>
          </w:rPr>
          <w:t>balgariya</w:t>
        </w:r>
      </w:hyperlink>
      <w:r w:rsidR="00215C86" w:rsidRPr="00FD37F6">
        <w:rPr>
          <w:rFonts w:cs="Times New Roman"/>
          <w:sz w:val="20"/>
          <w:szCs w:val="20"/>
        </w:rPr>
        <w:t xml:space="preserve"> </w:t>
      </w:r>
    </w:p>
  </w:footnote>
  <w:footnote w:id="97">
    <w:p w14:paraId="02888B83" w14:textId="7D9C7101" w:rsidR="00215C86" w:rsidRPr="00FD37F6" w:rsidRDefault="002A152C" w:rsidP="00F00BE8">
      <w:pPr>
        <w:pStyle w:val="FootnoteText"/>
        <w:spacing w:after="20"/>
        <w:rPr>
          <w:rStyle w:val="a1"/>
          <w:rFonts w:cs="Times New Roman"/>
          <w:color w:val="0000FF"/>
          <w:sz w:val="20"/>
          <w:szCs w:val="20"/>
        </w:rPr>
      </w:pPr>
      <w:hyperlink r:id="rId135" w:history="1">
        <w:r w:rsidR="00215C86" w:rsidRPr="00FD37F6">
          <w:rPr>
            <w:rStyle w:val="Hyperlink"/>
            <w:rFonts w:cs="Times New Roman"/>
            <w:color w:val="auto"/>
            <w:sz w:val="20"/>
            <w:szCs w:val="20"/>
            <w:u w:val="none"/>
            <w:vertAlign w:val="superscript"/>
          </w:rPr>
          <w:footnoteRef/>
        </w:r>
        <w:r w:rsidR="00215C86" w:rsidRPr="00FD37F6">
          <w:rPr>
            <w:rStyle w:val="Hyperlink"/>
            <w:rFonts w:cs="Times New Roman"/>
            <w:color w:val="auto"/>
            <w:sz w:val="20"/>
            <w:szCs w:val="20"/>
            <w:u w:val="none"/>
            <w:lang w:val="bg-BG"/>
          </w:rPr>
          <w:t xml:space="preserve"> </w:t>
        </w:r>
        <w:r w:rsidR="00215C86" w:rsidRPr="00FD37F6">
          <w:rPr>
            <w:rStyle w:val="Hyperlink"/>
            <w:rFonts w:cs="Times New Roman"/>
            <w:sz w:val="20"/>
            <w:szCs w:val="20"/>
          </w:rPr>
          <w:t>http</w:t>
        </w:r>
      </w:hyperlink>
      <w:hyperlink r:id="rId136">
        <w:r w:rsidR="00215C86" w:rsidRPr="00FD37F6">
          <w:rPr>
            <w:rStyle w:val="a1"/>
            <w:rFonts w:cs="Times New Roman"/>
            <w:color w:val="0000FF"/>
            <w:sz w:val="20"/>
            <w:szCs w:val="20"/>
          </w:rPr>
          <w:t>://</w:t>
        </w:r>
      </w:hyperlink>
      <w:hyperlink r:id="rId137">
        <w:r w:rsidR="00215C86" w:rsidRPr="00FD37F6">
          <w:rPr>
            <w:rStyle w:val="a1"/>
            <w:rFonts w:cs="Times New Roman"/>
            <w:color w:val="0000FF"/>
            <w:sz w:val="20"/>
            <w:szCs w:val="20"/>
          </w:rPr>
          <w:t>eea</w:t>
        </w:r>
      </w:hyperlink>
      <w:hyperlink r:id="rId138">
        <w:r w:rsidR="00215C86" w:rsidRPr="00FD37F6">
          <w:rPr>
            <w:rStyle w:val="a1"/>
            <w:rFonts w:cs="Times New Roman"/>
            <w:color w:val="0000FF"/>
            <w:sz w:val="20"/>
            <w:szCs w:val="20"/>
          </w:rPr>
          <w:t>.</w:t>
        </w:r>
      </w:hyperlink>
      <w:hyperlink r:id="rId139">
        <w:r w:rsidR="00215C86" w:rsidRPr="00FD37F6">
          <w:rPr>
            <w:rStyle w:val="a1"/>
            <w:rFonts w:cs="Times New Roman"/>
            <w:color w:val="0000FF"/>
            <w:sz w:val="20"/>
            <w:szCs w:val="20"/>
          </w:rPr>
          <w:t>government</w:t>
        </w:r>
      </w:hyperlink>
      <w:hyperlink r:id="rId140">
        <w:r w:rsidR="00215C86" w:rsidRPr="00FD37F6">
          <w:rPr>
            <w:rStyle w:val="a1"/>
            <w:rFonts w:cs="Times New Roman"/>
            <w:color w:val="0000FF"/>
            <w:sz w:val="20"/>
            <w:szCs w:val="20"/>
          </w:rPr>
          <w:t>.</w:t>
        </w:r>
      </w:hyperlink>
      <w:hyperlink r:id="rId141">
        <w:r w:rsidR="00215C86" w:rsidRPr="00FD37F6">
          <w:rPr>
            <w:rStyle w:val="a1"/>
            <w:rFonts w:cs="Times New Roman"/>
            <w:color w:val="0000FF"/>
            <w:sz w:val="20"/>
            <w:szCs w:val="20"/>
          </w:rPr>
          <w:t>bg</w:t>
        </w:r>
      </w:hyperlink>
      <w:hyperlink r:id="rId142">
        <w:r w:rsidR="00215C86" w:rsidRPr="00FD37F6">
          <w:rPr>
            <w:rStyle w:val="a1"/>
            <w:rFonts w:cs="Times New Roman"/>
            <w:color w:val="0000FF"/>
            <w:sz w:val="20"/>
            <w:szCs w:val="20"/>
          </w:rPr>
          <w:t>/</w:t>
        </w:r>
      </w:hyperlink>
      <w:hyperlink r:id="rId143">
        <w:r w:rsidR="00215C86" w:rsidRPr="00FD37F6">
          <w:rPr>
            <w:rStyle w:val="a1"/>
            <w:rFonts w:cs="Times New Roman"/>
            <w:color w:val="0000FF"/>
            <w:sz w:val="20"/>
            <w:szCs w:val="20"/>
          </w:rPr>
          <w:t>bg</w:t>
        </w:r>
      </w:hyperlink>
      <w:hyperlink r:id="rId144">
        <w:r w:rsidR="00215C86" w:rsidRPr="00FD37F6">
          <w:rPr>
            <w:rStyle w:val="a1"/>
            <w:rFonts w:cs="Times New Roman"/>
            <w:color w:val="0000FF"/>
            <w:sz w:val="20"/>
            <w:szCs w:val="20"/>
          </w:rPr>
          <w:t>/</w:t>
        </w:r>
      </w:hyperlink>
      <w:hyperlink r:id="rId145">
        <w:r w:rsidR="00215C86" w:rsidRPr="00FD37F6">
          <w:rPr>
            <w:rStyle w:val="a1"/>
            <w:rFonts w:cs="Times New Roman"/>
            <w:color w:val="0000FF"/>
            <w:sz w:val="20"/>
            <w:szCs w:val="20"/>
          </w:rPr>
          <w:t>soer</w:t>
        </w:r>
      </w:hyperlink>
      <w:hyperlink r:id="rId146">
        <w:r w:rsidR="00215C86" w:rsidRPr="00FD37F6">
          <w:rPr>
            <w:rStyle w:val="a1"/>
            <w:rFonts w:cs="Times New Roman"/>
            <w:color w:val="0000FF"/>
            <w:sz w:val="20"/>
            <w:szCs w:val="20"/>
          </w:rPr>
          <w:t>/2017/</w:t>
        </w:r>
      </w:hyperlink>
    </w:p>
  </w:footnote>
  <w:footnote w:id="98">
    <w:p w14:paraId="4B5CCC93" w14:textId="567FEBFD" w:rsidR="00215C86" w:rsidRPr="00FD37F6" w:rsidRDefault="002A152C" w:rsidP="00F00BE8">
      <w:pPr>
        <w:pStyle w:val="FootnoteText"/>
        <w:spacing w:after="20"/>
        <w:rPr>
          <w:rFonts w:cs="Times New Roman"/>
          <w:sz w:val="20"/>
          <w:szCs w:val="20"/>
        </w:rPr>
      </w:pPr>
      <w:hyperlink r:id="rId147" w:history="1">
        <w:r w:rsidR="00215C86" w:rsidRPr="00FD37F6">
          <w:rPr>
            <w:rStyle w:val="Hyperlink"/>
            <w:rFonts w:cs="Times New Roman"/>
            <w:color w:val="auto"/>
            <w:sz w:val="20"/>
            <w:szCs w:val="20"/>
            <w:u w:val="none"/>
            <w:vertAlign w:val="superscript"/>
          </w:rPr>
          <w:footnoteRef/>
        </w:r>
        <w:r w:rsidR="00215C86" w:rsidRPr="00FD37F6">
          <w:rPr>
            <w:rStyle w:val="Hyperlink"/>
            <w:rFonts w:cs="Times New Roman"/>
            <w:color w:val="auto"/>
            <w:sz w:val="20"/>
            <w:szCs w:val="20"/>
            <w:u w:val="none"/>
            <w:lang w:val="bg-BG"/>
          </w:rPr>
          <w:t xml:space="preserve"> </w:t>
        </w:r>
        <w:r w:rsidR="00215C86" w:rsidRPr="00FD37F6">
          <w:rPr>
            <w:rStyle w:val="Hyperlink"/>
            <w:rFonts w:cs="Times New Roman"/>
            <w:sz w:val="20"/>
            <w:szCs w:val="20"/>
          </w:rPr>
          <w:t>http</w:t>
        </w:r>
      </w:hyperlink>
      <w:hyperlink r:id="rId148">
        <w:r w:rsidR="00215C86" w:rsidRPr="00FD37F6">
          <w:rPr>
            <w:rStyle w:val="a1"/>
            <w:rFonts w:cs="Times New Roman"/>
            <w:color w:val="0000FF"/>
            <w:sz w:val="20"/>
            <w:szCs w:val="20"/>
          </w:rPr>
          <w:t>://</w:t>
        </w:r>
      </w:hyperlink>
      <w:hyperlink r:id="rId149">
        <w:r w:rsidR="00215C86" w:rsidRPr="00FD37F6">
          <w:rPr>
            <w:rStyle w:val="a1"/>
            <w:rFonts w:cs="Times New Roman"/>
            <w:color w:val="0000FF"/>
            <w:sz w:val="20"/>
            <w:szCs w:val="20"/>
          </w:rPr>
          <w:t>eea</w:t>
        </w:r>
      </w:hyperlink>
      <w:hyperlink r:id="rId150">
        <w:r w:rsidR="00215C86" w:rsidRPr="00FD37F6">
          <w:rPr>
            <w:rStyle w:val="a1"/>
            <w:rFonts w:cs="Times New Roman"/>
            <w:color w:val="0000FF"/>
            <w:sz w:val="20"/>
            <w:szCs w:val="20"/>
          </w:rPr>
          <w:t>.</w:t>
        </w:r>
      </w:hyperlink>
      <w:hyperlink r:id="rId151">
        <w:r w:rsidR="00215C86" w:rsidRPr="00FD37F6">
          <w:rPr>
            <w:rStyle w:val="a1"/>
            <w:rFonts w:cs="Times New Roman"/>
            <w:color w:val="0000FF"/>
            <w:sz w:val="20"/>
            <w:szCs w:val="20"/>
          </w:rPr>
          <w:t>government</w:t>
        </w:r>
      </w:hyperlink>
      <w:hyperlink r:id="rId152">
        <w:r w:rsidR="00215C86" w:rsidRPr="00FD37F6">
          <w:rPr>
            <w:rStyle w:val="a1"/>
            <w:rFonts w:cs="Times New Roman"/>
            <w:color w:val="0000FF"/>
            <w:sz w:val="20"/>
            <w:szCs w:val="20"/>
          </w:rPr>
          <w:t>.</w:t>
        </w:r>
      </w:hyperlink>
      <w:hyperlink r:id="rId153">
        <w:r w:rsidR="00215C86" w:rsidRPr="00FD37F6">
          <w:rPr>
            <w:rStyle w:val="a1"/>
            <w:rFonts w:cs="Times New Roman"/>
            <w:color w:val="0000FF"/>
            <w:sz w:val="20"/>
            <w:szCs w:val="20"/>
          </w:rPr>
          <w:t>bg</w:t>
        </w:r>
      </w:hyperlink>
      <w:hyperlink r:id="rId154">
        <w:r w:rsidR="00215C86" w:rsidRPr="00FD37F6">
          <w:rPr>
            <w:rStyle w:val="a1"/>
            <w:rFonts w:cs="Times New Roman"/>
            <w:color w:val="0000FF"/>
            <w:sz w:val="20"/>
            <w:szCs w:val="20"/>
          </w:rPr>
          <w:t>/</w:t>
        </w:r>
      </w:hyperlink>
      <w:hyperlink r:id="rId155">
        <w:r w:rsidR="00215C86" w:rsidRPr="00FD37F6">
          <w:rPr>
            <w:rStyle w:val="a1"/>
            <w:rFonts w:cs="Times New Roman"/>
            <w:color w:val="0000FF"/>
            <w:sz w:val="20"/>
            <w:szCs w:val="20"/>
          </w:rPr>
          <w:t>zpo</w:t>
        </w:r>
      </w:hyperlink>
      <w:hyperlink r:id="rId156">
        <w:r w:rsidR="00215C86" w:rsidRPr="00FD37F6">
          <w:rPr>
            <w:rStyle w:val="a1"/>
            <w:rFonts w:cs="Times New Roman"/>
            <w:color w:val="0000FF"/>
            <w:sz w:val="20"/>
            <w:szCs w:val="20"/>
          </w:rPr>
          <w:t>/</w:t>
        </w:r>
      </w:hyperlink>
      <w:hyperlink r:id="rId157">
        <w:r w:rsidR="00215C86" w:rsidRPr="00FD37F6">
          <w:rPr>
            <w:rStyle w:val="a1"/>
            <w:rFonts w:cs="Times New Roman"/>
            <w:color w:val="0000FF"/>
            <w:sz w:val="20"/>
            <w:szCs w:val="20"/>
          </w:rPr>
          <w:t>bg</w:t>
        </w:r>
      </w:hyperlink>
      <w:hyperlink r:id="rId158">
        <w:r w:rsidR="00215C86" w:rsidRPr="00FD37F6">
          <w:rPr>
            <w:rStyle w:val="a1"/>
            <w:rFonts w:cs="Times New Roman"/>
            <w:color w:val="0000FF"/>
            <w:sz w:val="20"/>
            <w:szCs w:val="20"/>
          </w:rPr>
          <w:t>/</w:t>
        </w:r>
      </w:hyperlink>
      <w:hyperlink r:id="rId159">
        <w:r w:rsidR="00215C86" w:rsidRPr="00FD37F6">
          <w:rPr>
            <w:rStyle w:val="a1"/>
            <w:rFonts w:cs="Times New Roman"/>
            <w:color w:val="0000FF"/>
            <w:sz w:val="20"/>
            <w:szCs w:val="20"/>
          </w:rPr>
          <w:t>result</w:t>
        </w:r>
      </w:hyperlink>
      <w:hyperlink r:id="rId160">
        <w:r w:rsidR="00215C86" w:rsidRPr="00FD37F6">
          <w:rPr>
            <w:rStyle w:val="a1"/>
            <w:rFonts w:cs="Times New Roman"/>
            <w:color w:val="0000FF"/>
            <w:sz w:val="20"/>
            <w:szCs w:val="20"/>
          </w:rPr>
          <w:t>1.</w:t>
        </w:r>
      </w:hyperlink>
      <w:hyperlink r:id="rId161">
        <w:r w:rsidR="00215C86" w:rsidRPr="00FD37F6">
          <w:rPr>
            <w:rStyle w:val="a1"/>
            <w:rFonts w:cs="Times New Roman"/>
            <w:color w:val="0000FF"/>
            <w:sz w:val="20"/>
            <w:szCs w:val="20"/>
          </w:rPr>
          <w:t>jsp</w:t>
        </w:r>
      </w:hyperlink>
      <w:r w:rsidR="00215C86" w:rsidRPr="00FD37F6">
        <w:rPr>
          <w:rFonts w:cs="Times New Roman"/>
          <w:sz w:val="20"/>
          <w:szCs w:val="20"/>
        </w:rPr>
        <w:t xml:space="preserve"> </w:t>
      </w:r>
    </w:p>
  </w:footnote>
  <w:footnote w:id="99">
    <w:p w14:paraId="0475552A" w14:textId="7B4D8263"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rPr>
        <w:footnoteRef/>
      </w:r>
      <w:r w:rsidRPr="00FD37F6">
        <w:rPr>
          <w:rFonts w:cs="Times New Roman"/>
          <w:sz w:val="20"/>
          <w:szCs w:val="20"/>
          <w:lang w:val="bg-BG"/>
        </w:rPr>
        <w:t xml:space="preserve"> </w:t>
      </w:r>
      <w:hyperlink r:id="rId162" w:history="1">
        <w:r w:rsidRPr="00FD37F6">
          <w:rPr>
            <w:rStyle w:val="Hyperlink"/>
            <w:rFonts w:cs="Times New Roman"/>
            <w:sz w:val="20"/>
            <w:szCs w:val="20"/>
          </w:rPr>
          <w:t>http://www.iber.bas.bg/sites/default/files/2017/IPU_Kaliakra/IPU-Kaliakra-draft-26-06-2017.pdf</w:t>
        </w:r>
      </w:hyperlink>
      <w:r w:rsidRPr="00FD37F6">
        <w:rPr>
          <w:rFonts w:cs="Times New Roman"/>
          <w:sz w:val="20"/>
          <w:szCs w:val="20"/>
          <w:lang w:val="bg-BG"/>
        </w:rPr>
        <w:t xml:space="preserve"> </w:t>
      </w:r>
    </w:p>
  </w:footnote>
  <w:footnote w:id="100">
    <w:p w14:paraId="7478E734" w14:textId="7AFF679F"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Чл.8. ал.1 от Закона за административно-териториално устройство на Република България (обн.ДВ бр.63/1995 г. изм. ДВ бр. 58/2017 г.) поставя като основно изискване за създаване на нова община наличие на население над 6000 души.</w:t>
      </w:r>
    </w:p>
  </w:footnote>
  <w:footnote w:id="101">
    <w:p w14:paraId="761EC659" w14:textId="7C3A76CD" w:rsidR="00215C86" w:rsidRPr="00FD37F6" w:rsidRDefault="00215C86" w:rsidP="00F00BE8">
      <w:pPr>
        <w:spacing w:after="20" w:line="240" w:lineRule="auto"/>
        <w:rPr>
          <w:rFonts w:ascii="Times New Roman" w:hAnsi="Times New Roman" w:cs="Times New Roman"/>
          <w:sz w:val="20"/>
          <w:szCs w:val="20"/>
          <w:lang w:val="bg-BG"/>
        </w:rPr>
      </w:pPr>
      <w:r w:rsidRPr="00FD37F6">
        <w:rPr>
          <w:rStyle w:val="FootnoteReference"/>
          <w:rFonts w:ascii="Times New Roman" w:hAnsi="Times New Roman" w:cs="Times New Roman"/>
          <w:sz w:val="20"/>
          <w:szCs w:val="20"/>
        </w:rPr>
        <w:footnoteRef/>
      </w:r>
      <w:r w:rsidRPr="00FD37F6">
        <w:rPr>
          <w:rFonts w:ascii="Times New Roman" w:hAnsi="Times New Roman" w:cs="Times New Roman"/>
          <w:sz w:val="20"/>
          <w:szCs w:val="20"/>
          <w:lang w:val="bg-BG"/>
        </w:rPr>
        <w:t xml:space="preserve"> Съгласно Наредба № 7 за правила и нормативи за устройство на отделните видове територии и устройствени зони, обн. ДВ бр. 3/13.01.2004 г., изм ДВ бр. 21/2013 г. </w:t>
      </w:r>
    </w:p>
  </w:footnote>
  <w:footnote w:id="102">
    <w:p w14:paraId="15AC40CA" w14:textId="3D8295C2"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Без селата Рудник и Черно море, закрити през 2015 г. </w:t>
      </w:r>
    </w:p>
  </w:footnote>
  <w:footnote w:id="103">
    <w:p w14:paraId="4E28B2C7" w14:textId="54F1CED7" w:rsidR="00215C86" w:rsidRPr="00FD37F6" w:rsidRDefault="00215C86" w:rsidP="00F00BE8">
      <w:pPr>
        <w:spacing w:after="20" w:line="240" w:lineRule="auto"/>
        <w:jc w:val="both"/>
        <w:rPr>
          <w:rFonts w:ascii="Times New Roman" w:hAnsi="Times New Roman" w:cs="Times New Roman"/>
          <w:sz w:val="20"/>
          <w:szCs w:val="20"/>
          <w:lang w:val="bg-BG"/>
        </w:rPr>
      </w:pPr>
      <w:r w:rsidRPr="00FD37F6">
        <w:rPr>
          <w:rStyle w:val="FootnoteReference"/>
          <w:rFonts w:ascii="Times New Roman" w:hAnsi="Times New Roman" w:cs="Times New Roman"/>
          <w:sz w:val="20"/>
          <w:szCs w:val="20"/>
        </w:rPr>
        <w:footnoteRef/>
      </w:r>
      <w:r w:rsidRPr="00FD37F6">
        <w:rPr>
          <w:rFonts w:ascii="Times New Roman" w:hAnsi="Times New Roman" w:cs="Times New Roman"/>
          <w:sz w:val="20"/>
          <w:szCs w:val="20"/>
          <w:lang w:val="bg-BG"/>
        </w:rPr>
        <w:t xml:space="preserve"> Съгласно Наредба № 7 за правила и нормативи за устройство на отделните видове територии и устройствени зони.</w:t>
      </w:r>
    </w:p>
  </w:footnote>
  <w:footnote w:id="104">
    <w:p w14:paraId="0A5F5A08" w14:textId="1EEB0348" w:rsidR="00215C86" w:rsidRPr="00FD37F6" w:rsidRDefault="00215C86" w:rsidP="001757A5">
      <w:pPr>
        <w:pStyle w:val="FootnoteText"/>
        <w:spacing w:after="20"/>
        <w:ind w:right="-612"/>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Разликата между броя на живородените и умрелите на 1000 души от средногодишния брой на населението. </w:t>
      </w:r>
    </w:p>
  </w:footnote>
  <w:footnote w:id="105">
    <w:p w14:paraId="070DA14D"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Списък на курортите в Република България, Решение на МС от 24 февруари 2012 г.</w:t>
      </w:r>
    </w:p>
  </w:footnote>
  <w:footnote w:id="106">
    <w:p w14:paraId="73EBA517" w14:textId="713E0F4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57/1999 г., изм. ДВ бр. 38/24.04.2020 г.</w:t>
      </w:r>
    </w:p>
  </w:footnote>
  <w:footnote w:id="107">
    <w:p w14:paraId="43AD34D0" w14:textId="27658329"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Прогнозите за населението на държавните-членки на ЕС на Евростат са до 2080 г.</w:t>
      </w:r>
    </w:p>
  </w:footnote>
  <w:footnote w:id="108">
    <w:p w14:paraId="4351B7A6" w14:textId="1C6AF913"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Европейски център за развитие на професионалното обучение (ЕЦРПО/</w:t>
      </w:r>
      <w:r w:rsidRPr="00FD37F6">
        <w:rPr>
          <w:rFonts w:cs="Times New Roman"/>
          <w:sz w:val="20"/>
          <w:szCs w:val="20"/>
        </w:rPr>
        <w:t>Cedefop</w:t>
      </w:r>
      <w:r w:rsidRPr="00FD37F6">
        <w:rPr>
          <w:rFonts w:cs="Times New Roman"/>
          <w:sz w:val="20"/>
          <w:szCs w:val="20"/>
          <w:lang w:val="bg-BG"/>
        </w:rPr>
        <w:t>).</w:t>
      </w:r>
    </w:p>
  </w:footnote>
  <w:footnote w:id="109">
    <w:p w14:paraId="520A7316" w14:textId="0FA86F7E"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63"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mtitc</w:t>
        </w:r>
        <w:r w:rsidRPr="00FD37F6">
          <w:rPr>
            <w:rStyle w:val="Hyperlink"/>
            <w:rFonts w:cs="Times New Roman"/>
            <w:sz w:val="20"/>
            <w:szCs w:val="20"/>
            <w:lang w:val="bg-BG"/>
          </w:rPr>
          <w:t>.</w:t>
        </w:r>
        <w:r w:rsidRPr="00FD37F6">
          <w:rPr>
            <w:rStyle w:val="Hyperlink"/>
            <w:rFonts w:cs="Times New Roman"/>
            <w:sz w:val="20"/>
            <w:szCs w:val="20"/>
          </w:rPr>
          <w:t>government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category</w:t>
        </w:r>
        <w:r w:rsidRPr="00FD37F6">
          <w:rPr>
            <w:rStyle w:val="Hyperlink"/>
            <w:rFonts w:cs="Times New Roman"/>
            <w:sz w:val="20"/>
            <w:szCs w:val="20"/>
            <w:lang w:val="bg-BG"/>
          </w:rPr>
          <w:t>/42/</w:t>
        </w:r>
        <w:r w:rsidRPr="00FD37F6">
          <w:rPr>
            <w:rStyle w:val="Hyperlink"/>
            <w:rFonts w:cs="Times New Roman"/>
            <w:sz w:val="20"/>
            <w:szCs w:val="20"/>
          </w:rPr>
          <w:t>integrirana</w:t>
        </w:r>
        <w:r w:rsidRPr="00FD37F6">
          <w:rPr>
            <w:rStyle w:val="Hyperlink"/>
            <w:rFonts w:cs="Times New Roman"/>
            <w:sz w:val="20"/>
            <w:szCs w:val="20"/>
            <w:lang w:val="bg-BG"/>
          </w:rPr>
          <w:t>-</w:t>
        </w:r>
        <w:r w:rsidRPr="00FD37F6">
          <w:rPr>
            <w:rStyle w:val="Hyperlink"/>
            <w:rFonts w:cs="Times New Roman"/>
            <w:sz w:val="20"/>
            <w:szCs w:val="20"/>
          </w:rPr>
          <w:t>transportna</w:t>
        </w:r>
        <w:r w:rsidRPr="00FD37F6">
          <w:rPr>
            <w:rStyle w:val="Hyperlink"/>
            <w:rFonts w:cs="Times New Roman"/>
            <w:sz w:val="20"/>
            <w:szCs w:val="20"/>
            <w:lang w:val="bg-BG"/>
          </w:rPr>
          <w:t>-</w:t>
        </w:r>
        <w:r w:rsidRPr="00FD37F6">
          <w:rPr>
            <w:rStyle w:val="Hyperlink"/>
            <w:rFonts w:cs="Times New Roman"/>
            <w:sz w:val="20"/>
            <w:szCs w:val="20"/>
          </w:rPr>
          <w:t>strategiya</w:t>
        </w:r>
        <w:r w:rsidRPr="00FD37F6">
          <w:rPr>
            <w:rStyle w:val="Hyperlink"/>
            <w:rFonts w:cs="Times New Roman"/>
            <w:sz w:val="20"/>
            <w:szCs w:val="20"/>
            <w:lang w:val="bg-BG"/>
          </w:rPr>
          <w:t>-</w:t>
        </w:r>
        <w:r w:rsidRPr="00FD37F6">
          <w:rPr>
            <w:rStyle w:val="Hyperlink"/>
            <w:rFonts w:cs="Times New Roman"/>
            <w:sz w:val="20"/>
            <w:szCs w:val="20"/>
          </w:rPr>
          <w:t>v</w:t>
        </w:r>
        <w:r w:rsidRPr="00FD37F6">
          <w:rPr>
            <w:rStyle w:val="Hyperlink"/>
            <w:rFonts w:cs="Times New Roman"/>
            <w:sz w:val="20"/>
            <w:szCs w:val="20"/>
            <w:lang w:val="bg-BG"/>
          </w:rPr>
          <w:t>-</w:t>
        </w:r>
        <w:r w:rsidRPr="00FD37F6">
          <w:rPr>
            <w:rStyle w:val="Hyperlink"/>
            <w:rFonts w:cs="Times New Roman"/>
            <w:sz w:val="20"/>
            <w:szCs w:val="20"/>
          </w:rPr>
          <w:t>perioda</w:t>
        </w:r>
        <w:r w:rsidRPr="00FD37F6">
          <w:rPr>
            <w:rStyle w:val="Hyperlink"/>
            <w:rFonts w:cs="Times New Roman"/>
            <w:sz w:val="20"/>
            <w:szCs w:val="20"/>
            <w:lang w:val="bg-BG"/>
          </w:rPr>
          <w:t>-</w:t>
        </w:r>
        <w:r w:rsidRPr="00FD37F6">
          <w:rPr>
            <w:rStyle w:val="Hyperlink"/>
            <w:rFonts w:cs="Times New Roman"/>
            <w:sz w:val="20"/>
            <w:szCs w:val="20"/>
          </w:rPr>
          <w:t>do</w:t>
        </w:r>
        <w:r w:rsidRPr="00FD37F6">
          <w:rPr>
            <w:rStyle w:val="Hyperlink"/>
            <w:rFonts w:cs="Times New Roman"/>
            <w:sz w:val="20"/>
            <w:szCs w:val="20"/>
            <w:lang w:val="bg-BG"/>
          </w:rPr>
          <w:t>-2030-</w:t>
        </w:r>
        <w:r w:rsidRPr="00FD37F6">
          <w:rPr>
            <w:rStyle w:val="Hyperlink"/>
            <w:rFonts w:cs="Times New Roman"/>
            <w:sz w:val="20"/>
            <w:szCs w:val="20"/>
          </w:rPr>
          <w:t>g</w:t>
        </w:r>
      </w:hyperlink>
      <w:r w:rsidRPr="00FD37F6">
        <w:rPr>
          <w:rFonts w:cs="Times New Roman"/>
          <w:sz w:val="20"/>
          <w:szCs w:val="20"/>
          <w:lang w:val="bg-BG"/>
        </w:rPr>
        <w:t xml:space="preserve"> </w:t>
      </w:r>
    </w:p>
  </w:footnote>
  <w:footnote w:id="110">
    <w:p w14:paraId="12D10E13" w14:textId="57FCDDC3"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бр.111/21.12.2004 г., изм. и доп. </w:t>
      </w:r>
      <w:r w:rsidRPr="00390518">
        <w:rPr>
          <w:rFonts w:cs="Times New Roman"/>
          <w:sz w:val="20"/>
          <w:szCs w:val="20"/>
          <w:lang w:val="bg-BG"/>
        </w:rPr>
        <w:t>ДВ. бр.85</w:t>
      </w:r>
      <w:r w:rsidRPr="00FD37F6">
        <w:rPr>
          <w:rFonts w:cs="Times New Roman"/>
          <w:sz w:val="20"/>
          <w:szCs w:val="20"/>
          <w:lang w:val="bg-BG"/>
        </w:rPr>
        <w:t>/</w:t>
      </w:r>
      <w:r w:rsidRPr="00390518">
        <w:rPr>
          <w:rFonts w:cs="Times New Roman"/>
          <w:sz w:val="20"/>
          <w:szCs w:val="20"/>
          <w:lang w:val="bg-BG"/>
        </w:rPr>
        <w:t>24</w:t>
      </w:r>
      <w:r w:rsidRPr="00FD37F6">
        <w:rPr>
          <w:rFonts w:cs="Times New Roman"/>
          <w:sz w:val="20"/>
          <w:szCs w:val="20"/>
          <w:lang w:val="bg-BG"/>
        </w:rPr>
        <w:t>.10.</w:t>
      </w:r>
      <w:r w:rsidRPr="00390518">
        <w:rPr>
          <w:rFonts w:cs="Times New Roman"/>
          <w:sz w:val="20"/>
          <w:szCs w:val="20"/>
          <w:lang w:val="bg-BG"/>
        </w:rPr>
        <w:t>2017 г.</w:t>
      </w:r>
    </w:p>
  </w:footnote>
  <w:footnote w:id="111">
    <w:p w14:paraId="63C4134F" w14:textId="545FCF78"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64"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marad</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node</w:t>
        </w:r>
        <w:r w:rsidRPr="00FD37F6">
          <w:rPr>
            <w:rStyle w:val="Hyperlink"/>
            <w:rFonts w:cs="Times New Roman"/>
            <w:sz w:val="20"/>
            <w:szCs w:val="20"/>
            <w:lang w:val="bg-BG"/>
          </w:rPr>
          <w:t>/857</w:t>
        </w:r>
      </w:hyperlink>
      <w:r w:rsidRPr="00FD37F6">
        <w:rPr>
          <w:rFonts w:cs="Times New Roman"/>
          <w:sz w:val="20"/>
          <w:szCs w:val="20"/>
          <w:lang w:val="bg-BG"/>
        </w:rPr>
        <w:t xml:space="preserve"> </w:t>
      </w:r>
    </w:p>
  </w:footnote>
  <w:footnote w:id="112">
    <w:p w14:paraId="7425A8D8" w14:textId="15036A4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65"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bgports</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page</w:t>
        </w:r>
        <w:r w:rsidRPr="00FD37F6">
          <w:rPr>
            <w:rStyle w:val="Hyperlink"/>
            <w:rFonts w:cs="Times New Roman"/>
            <w:sz w:val="20"/>
            <w:szCs w:val="20"/>
            <w:lang w:val="bg-BG"/>
          </w:rPr>
          <w:t>/24</w:t>
        </w:r>
      </w:hyperlink>
      <w:r w:rsidRPr="00FD37F6">
        <w:rPr>
          <w:rFonts w:cs="Times New Roman"/>
          <w:sz w:val="20"/>
          <w:szCs w:val="20"/>
          <w:lang w:val="bg-BG"/>
        </w:rPr>
        <w:t xml:space="preserve"> </w:t>
      </w:r>
    </w:p>
  </w:footnote>
  <w:footnote w:id="113">
    <w:p w14:paraId="63CB5CEE" w14:textId="6D0064D0"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66"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deloports</w:t>
        </w:r>
        <w:r w:rsidRPr="00FD37F6">
          <w:rPr>
            <w:rStyle w:val="Hyperlink"/>
            <w:rFonts w:cs="Times New Roman"/>
            <w:sz w:val="20"/>
            <w:szCs w:val="20"/>
            <w:lang w:val="bg-BG"/>
          </w:rPr>
          <w:t>.</w:t>
        </w:r>
        <w:r w:rsidRPr="00FD37F6">
          <w:rPr>
            <w:rStyle w:val="Hyperlink"/>
            <w:rFonts w:cs="Times New Roman"/>
            <w:sz w:val="20"/>
            <w:szCs w:val="20"/>
          </w:rPr>
          <w:t>com</w:t>
        </w:r>
        <w:r w:rsidRPr="00FD37F6">
          <w:rPr>
            <w:rStyle w:val="Hyperlink"/>
            <w:rFonts w:cs="Times New Roman"/>
            <w:sz w:val="20"/>
            <w:szCs w:val="20"/>
            <w:lang w:val="bg-BG"/>
          </w:rPr>
          <w:t>/</w:t>
        </w:r>
        <w:r w:rsidRPr="00FD37F6">
          <w:rPr>
            <w:rStyle w:val="Hyperlink"/>
            <w:rFonts w:cs="Times New Roman"/>
            <w:sz w:val="20"/>
            <w:szCs w:val="20"/>
          </w:rPr>
          <w:t>dock</w:t>
        </w:r>
        <w:r w:rsidRPr="00FD37F6">
          <w:rPr>
            <w:rStyle w:val="Hyperlink"/>
            <w:rFonts w:cs="Times New Roman"/>
            <w:sz w:val="20"/>
            <w:szCs w:val="20"/>
            <w:lang w:val="bg-BG"/>
          </w:rPr>
          <w:t>58/</w:t>
        </w:r>
      </w:hyperlink>
      <w:r w:rsidRPr="00FD37F6">
        <w:rPr>
          <w:rFonts w:cs="Times New Roman"/>
          <w:sz w:val="20"/>
          <w:szCs w:val="20"/>
          <w:lang w:val="bg-BG"/>
        </w:rPr>
        <w:t xml:space="preserve"> </w:t>
      </w:r>
    </w:p>
  </w:footnote>
  <w:footnote w:id="114">
    <w:p w14:paraId="759A1B51" w14:textId="508039E6" w:rsidR="00215C86" w:rsidRPr="00FD37F6" w:rsidRDefault="00215C86">
      <w:pPr>
        <w:pStyle w:val="FootnoteText"/>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67"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marad</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node</w:t>
        </w:r>
        <w:r w:rsidRPr="00FD37F6">
          <w:rPr>
            <w:rStyle w:val="Hyperlink"/>
            <w:rFonts w:cs="Times New Roman"/>
            <w:sz w:val="20"/>
            <w:szCs w:val="20"/>
            <w:lang w:val="bg-BG"/>
          </w:rPr>
          <w:t>/997</w:t>
        </w:r>
      </w:hyperlink>
    </w:p>
  </w:footnote>
  <w:footnote w:id="115">
    <w:p w14:paraId="245065BA" w14:textId="5E96B936" w:rsidR="00215C86" w:rsidRPr="00E04172" w:rsidRDefault="00215C86">
      <w:pPr>
        <w:pStyle w:val="FootnoteText"/>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r w:rsidRPr="00E04172">
        <w:rPr>
          <w:rFonts w:cs="Times New Roman"/>
          <w:sz w:val="20"/>
          <w:szCs w:val="20"/>
          <w:lang w:val="bg-BG"/>
        </w:rPr>
        <w:t>Пълен списък на пристанищата и пристанищните терминали съгласно официалния регистър на пристанищата на ИАМА е даден в Приложение 1 на Том 6 „Морски транспорт (</w:t>
      </w:r>
      <w:hyperlink r:id="rId168" w:history="1">
        <w:r w:rsidRPr="00FD37F6">
          <w:rPr>
            <w:rStyle w:val="Hyperlink"/>
            <w:rFonts w:cs="Times New Roman"/>
            <w:sz w:val="20"/>
            <w:szCs w:val="20"/>
            <w:lang w:val="bg-BG"/>
          </w:rPr>
          <w:t>https://www.marad.bg/bg/taxonomy/term/178</w:t>
        </w:r>
      </w:hyperlink>
      <w:r w:rsidRPr="00E04172">
        <w:rPr>
          <w:rFonts w:cs="Times New Roman"/>
          <w:sz w:val="20"/>
          <w:szCs w:val="20"/>
          <w:lang w:val="bg-BG"/>
        </w:rPr>
        <w:t>), а на инвестиционните намерения в Приложение 2 към същия.</w:t>
      </w:r>
    </w:p>
  </w:footnote>
  <w:footnote w:id="116">
    <w:p w14:paraId="651EB6AE"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4/2001 г., изм. и доп. ДВ бр. 98/13.12.2019 г. </w:t>
      </w:r>
    </w:p>
  </w:footnote>
  <w:footnote w:id="117">
    <w:p w14:paraId="673C69F2" w14:textId="6AB3D964"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Б. Калинков, П. Дойчев, Варна, 2017 г.</w:t>
      </w:r>
    </w:p>
  </w:footnote>
  <w:footnote w:id="118">
    <w:p w14:paraId="39F0B7FD" w14:textId="77777777" w:rsidR="00215C86" w:rsidRPr="00FD37F6" w:rsidRDefault="00215C86" w:rsidP="00F00BE8">
      <w:pPr>
        <w:pStyle w:val="FootnoteText"/>
        <w:spacing w:after="20"/>
        <w:ind w:right="-187"/>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Национална стратегия за устойчиво развитие на туризма в Р. България, 2014-2030 (актуализация 2017)</w:t>
      </w:r>
    </w:p>
  </w:footnote>
  <w:footnote w:id="119">
    <w:p w14:paraId="62CF31EF" w14:textId="77777777" w:rsidR="00215C86" w:rsidRPr="00AA0892"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AA0892">
        <w:rPr>
          <w:rFonts w:cs="Times New Roman"/>
          <w:sz w:val="20"/>
          <w:szCs w:val="20"/>
          <w:lang w:val="bg-BG"/>
        </w:rPr>
        <w:t xml:space="preserve"> </w:t>
      </w:r>
      <w:hyperlink r:id="rId169" w:history="1">
        <w:r w:rsidRPr="00FD37F6">
          <w:rPr>
            <w:rStyle w:val="Hyperlink"/>
            <w:rFonts w:cs="Times New Roman"/>
            <w:sz w:val="20"/>
            <w:szCs w:val="20"/>
          </w:rPr>
          <w:t>http</w:t>
        </w:r>
        <w:r w:rsidRPr="00AA0892">
          <w:rPr>
            <w:rStyle w:val="Hyperlink"/>
            <w:rFonts w:cs="Times New Roman"/>
            <w:sz w:val="20"/>
            <w:szCs w:val="20"/>
            <w:lang w:val="bg-BG"/>
          </w:rPr>
          <w:t>://</w:t>
        </w:r>
        <w:r w:rsidRPr="00FD37F6">
          <w:rPr>
            <w:rStyle w:val="Hyperlink"/>
            <w:rFonts w:cs="Times New Roman"/>
            <w:sz w:val="20"/>
            <w:szCs w:val="20"/>
          </w:rPr>
          <w:t>uni</w:t>
        </w:r>
        <w:r w:rsidRPr="00AA0892">
          <w:rPr>
            <w:rStyle w:val="Hyperlink"/>
            <w:rFonts w:cs="Times New Roman"/>
            <w:sz w:val="20"/>
            <w:szCs w:val="20"/>
            <w:lang w:val="bg-BG"/>
          </w:rPr>
          <w:t>-</w:t>
        </w:r>
        <w:r w:rsidRPr="00FD37F6">
          <w:rPr>
            <w:rStyle w:val="Hyperlink"/>
            <w:rFonts w:cs="Times New Roman"/>
            <w:sz w:val="20"/>
            <w:szCs w:val="20"/>
          </w:rPr>
          <w:t>sz</w:t>
        </w:r>
        <w:r w:rsidRPr="00AA0892">
          <w:rPr>
            <w:rStyle w:val="Hyperlink"/>
            <w:rFonts w:cs="Times New Roman"/>
            <w:sz w:val="20"/>
            <w:szCs w:val="20"/>
            <w:lang w:val="bg-BG"/>
          </w:rPr>
          <w:t>.</w:t>
        </w:r>
        <w:r w:rsidRPr="00FD37F6">
          <w:rPr>
            <w:rStyle w:val="Hyperlink"/>
            <w:rFonts w:cs="Times New Roman"/>
            <w:sz w:val="20"/>
            <w:szCs w:val="20"/>
          </w:rPr>
          <w:t>bg</w:t>
        </w:r>
        <w:r w:rsidRPr="00AA0892">
          <w:rPr>
            <w:rStyle w:val="Hyperlink"/>
            <w:rFonts w:cs="Times New Roman"/>
            <w:sz w:val="20"/>
            <w:szCs w:val="20"/>
            <w:lang w:val="bg-BG"/>
          </w:rPr>
          <w:t>/</w:t>
        </w:r>
        <w:r w:rsidRPr="00FD37F6">
          <w:rPr>
            <w:rStyle w:val="Hyperlink"/>
            <w:rFonts w:cs="Times New Roman"/>
            <w:sz w:val="20"/>
            <w:szCs w:val="20"/>
          </w:rPr>
          <w:t>truni</w:t>
        </w:r>
        <w:r w:rsidRPr="00AA0892">
          <w:rPr>
            <w:rStyle w:val="Hyperlink"/>
            <w:rFonts w:cs="Times New Roman"/>
            <w:sz w:val="20"/>
            <w:szCs w:val="20"/>
            <w:lang w:val="bg-BG"/>
          </w:rPr>
          <w:t>11/</w:t>
        </w:r>
        <w:r w:rsidRPr="00FD37F6">
          <w:rPr>
            <w:rStyle w:val="Hyperlink"/>
            <w:rFonts w:cs="Times New Roman"/>
            <w:sz w:val="20"/>
            <w:szCs w:val="20"/>
          </w:rPr>
          <w:t>wp</w:t>
        </w:r>
        <w:r w:rsidRPr="00AA0892">
          <w:rPr>
            <w:rStyle w:val="Hyperlink"/>
            <w:rFonts w:cs="Times New Roman"/>
            <w:sz w:val="20"/>
            <w:szCs w:val="20"/>
            <w:lang w:val="bg-BG"/>
          </w:rPr>
          <w:t>-</w:t>
        </w:r>
        <w:r w:rsidRPr="00FD37F6">
          <w:rPr>
            <w:rStyle w:val="Hyperlink"/>
            <w:rFonts w:cs="Times New Roman"/>
            <w:sz w:val="20"/>
            <w:szCs w:val="20"/>
          </w:rPr>
          <w:t>content</w:t>
        </w:r>
        <w:r w:rsidRPr="00AA0892">
          <w:rPr>
            <w:rStyle w:val="Hyperlink"/>
            <w:rFonts w:cs="Times New Roman"/>
            <w:sz w:val="20"/>
            <w:szCs w:val="20"/>
            <w:lang w:val="bg-BG"/>
          </w:rPr>
          <w:t>/</w:t>
        </w:r>
        <w:r w:rsidRPr="00FD37F6">
          <w:rPr>
            <w:rStyle w:val="Hyperlink"/>
            <w:rFonts w:cs="Times New Roman"/>
            <w:sz w:val="20"/>
            <w:szCs w:val="20"/>
          </w:rPr>
          <w:t>uploads</w:t>
        </w:r>
        <w:r w:rsidRPr="00AA0892">
          <w:rPr>
            <w:rStyle w:val="Hyperlink"/>
            <w:rFonts w:cs="Times New Roman"/>
            <w:sz w:val="20"/>
            <w:szCs w:val="20"/>
            <w:lang w:val="bg-BG"/>
          </w:rPr>
          <w:t>/</w:t>
        </w:r>
        <w:r w:rsidRPr="00FD37F6">
          <w:rPr>
            <w:rStyle w:val="Hyperlink"/>
            <w:rFonts w:cs="Times New Roman"/>
            <w:sz w:val="20"/>
            <w:szCs w:val="20"/>
          </w:rPr>
          <w:t>biblioteka</w:t>
        </w:r>
        <w:r w:rsidRPr="00AA0892">
          <w:rPr>
            <w:rStyle w:val="Hyperlink"/>
            <w:rFonts w:cs="Times New Roman"/>
            <w:sz w:val="20"/>
            <w:szCs w:val="20"/>
            <w:lang w:val="bg-BG"/>
          </w:rPr>
          <w:t>/</w:t>
        </w:r>
        <w:r w:rsidRPr="00FD37F6">
          <w:rPr>
            <w:rStyle w:val="Hyperlink"/>
            <w:rFonts w:cs="Times New Roman"/>
            <w:sz w:val="20"/>
            <w:szCs w:val="20"/>
          </w:rPr>
          <w:t>file</w:t>
        </w:r>
        <w:r w:rsidRPr="00AA0892">
          <w:rPr>
            <w:rStyle w:val="Hyperlink"/>
            <w:rFonts w:cs="Times New Roman"/>
            <w:sz w:val="20"/>
            <w:szCs w:val="20"/>
            <w:lang w:val="bg-BG"/>
          </w:rPr>
          <w:t>/</w:t>
        </w:r>
        <w:r w:rsidRPr="00FD37F6">
          <w:rPr>
            <w:rStyle w:val="Hyperlink"/>
            <w:rFonts w:cs="Times New Roman"/>
            <w:sz w:val="20"/>
            <w:szCs w:val="20"/>
          </w:rPr>
          <w:t>TUNI</w:t>
        </w:r>
        <w:r w:rsidRPr="00AA0892">
          <w:rPr>
            <w:rStyle w:val="Hyperlink"/>
            <w:rFonts w:cs="Times New Roman"/>
            <w:sz w:val="20"/>
            <w:szCs w:val="20"/>
            <w:lang w:val="bg-BG"/>
          </w:rPr>
          <w:t>10015968.</w:t>
        </w:r>
        <w:r w:rsidRPr="00FD37F6">
          <w:rPr>
            <w:rStyle w:val="Hyperlink"/>
            <w:rFonts w:cs="Times New Roman"/>
            <w:sz w:val="20"/>
            <w:szCs w:val="20"/>
          </w:rPr>
          <w:t>pdf</w:t>
        </w:r>
      </w:hyperlink>
    </w:p>
  </w:footnote>
  <w:footnote w:id="120">
    <w:p w14:paraId="639A9B3B" w14:textId="77777777"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Предлагане в места за настаняване под 10 легла не се следи от официалната статистика, но по емпирични проучвания на екипа, то е поне 2 пъти повече от първото, т.е. над 460 хил.</w:t>
      </w:r>
    </w:p>
  </w:footnote>
  <w:footnote w:id="121">
    <w:p w14:paraId="62085827" w14:textId="77777777" w:rsidR="00215C86" w:rsidRPr="00FD37F6" w:rsidRDefault="00215C86" w:rsidP="00677160">
      <w:pPr>
        <w:pStyle w:val="FootnoteText"/>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w:t>
      </w:r>
      <w:hyperlink r:id="rId170" w:history="1">
        <w:r w:rsidRPr="00FD37F6">
          <w:rPr>
            <w:rStyle w:val="Hyperlink"/>
            <w:rFonts w:cs="Times New Roman"/>
            <w:sz w:val="20"/>
            <w:szCs w:val="20"/>
          </w:rPr>
          <w:t>https</w:t>
        </w:r>
        <w:r w:rsidRPr="00390518">
          <w:rPr>
            <w:rStyle w:val="Hyperlink"/>
            <w:rFonts w:cs="Times New Roman"/>
            <w:sz w:val="20"/>
            <w:szCs w:val="20"/>
            <w:lang w:val="bg-BG"/>
          </w:rPr>
          <w:t>://</w:t>
        </w:r>
        <w:r w:rsidRPr="00FD37F6">
          <w:rPr>
            <w:rStyle w:val="Hyperlink"/>
            <w:rFonts w:cs="Times New Roman"/>
            <w:sz w:val="20"/>
            <w:szCs w:val="20"/>
          </w:rPr>
          <w:t>marad</w:t>
        </w:r>
        <w:r w:rsidRPr="00390518">
          <w:rPr>
            <w:rStyle w:val="Hyperlink"/>
            <w:rFonts w:cs="Times New Roman"/>
            <w:sz w:val="20"/>
            <w:szCs w:val="20"/>
            <w:lang w:val="bg-BG"/>
          </w:rPr>
          <w:t>.</w:t>
        </w:r>
        <w:r w:rsidRPr="00FD37F6">
          <w:rPr>
            <w:rStyle w:val="Hyperlink"/>
            <w:rFonts w:cs="Times New Roman"/>
            <w:sz w:val="20"/>
            <w:szCs w:val="20"/>
          </w:rPr>
          <w:t>bg</w:t>
        </w:r>
        <w:r w:rsidRPr="00390518">
          <w:rPr>
            <w:rStyle w:val="Hyperlink"/>
            <w:rFonts w:cs="Times New Roman"/>
            <w:sz w:val="20"/>
            <w:szCs w:val="20"/>
            <w:lang w:val="bg-BG"/>
          </w:rPr>
          <w:t>/</w:t>
        </w:r>
        <w:r w:rsidRPr="00FD37F6">
          <w:rPr>
            <w:rStyle w:val="Hyperlink"/>
            <w:rFonts w:cs="Times New Roman"/>
            <w:sz w:val="20"/>
            <w:szCs w:val="20"/>
          </w:rPr>
          <w:t>sites</w:t>
        </w:r>
        <w:r w:rsidRPr="00390518">
          <w:rPr>
            <w:rStyle w:val="Hyperlink"/>
            <w:rFonts w:cs="Times New Roman"/>
            <w:sz w:val="20"/>
            <w:szCs w:val="20"/>
            <w:lang w:val="bg-BG"/>
          </w:rPr>
          <w:t>/</w:t>
        </w:r>
        <w:r w:rsidRPr="00FD37F6">
          <w:rPr>
            <w:rStyle w:val="Hyperlink"/>
            <w:rFonts w:cs="Times New Roman"/>
            <w:sz w:val="20"/>
            <w:szCs w:val="20"/>
          </w:rPr>
          <w:t>default</w:t>
        </w:r>
        <w:r w:rsidRPr="00390518">
          <w:rPr>
            <w:rStyle w:val="Hyperlink"/>
            <w:rFonts w:cs="Times New Roman"/>
            <w:sz w:val="20"/>
            <w:szCs w:val="20"/>
            <w:lang w:val="bg-BG"/>
          </w:rPr>
          <w:t>/</w:t>
        </w:r>
        <w:r w:rsidRPr="00FD37F6">
          <w:rPr>
            <w:rStyle w:val="Hyperlink"/>
            <w:rFonts w:cs="Times New Roman"/>
            <w:sz w:val="20"/>
            <w:szCs w:val="20"/>
          </w:rPr>
          <w:t>files</w:t>
        </w:r>
        <w:r w:rsidRPr="00390518">
          <w:rPr>
            <w:rStyle w:val="Hyperlink"/>
            <w:rFonts w:cs="Times New Roman"/>
            <w:sz w:val="20"/>
            <w:szCs w:val="20"/>
            <w:lang w:val="bg-BG"/>
          </w:rPr>
          <w:t>/</w:t>
        </w:r>
        <w:r w:rsidRPr="00FD37F6">
          <w:rPr>
            <w:rStyle w:val="Hyperlink"/>
            <w:rFonts w:cs="Times New Roman"/>
            <w:sz w:val="20"/>
            <w:szCs w:val="20"/>
          </w:rPr>
          <w:t>upload</w:t>
        </w:r>
        <w:r w:rsidRPr="00390518">
          <w:rPr>
            <w:rStyle w:val="Hyperlink"/>
            <w:rFonts w:cs="Times New Roman"/>
            <w:sz w:val="20"/>
            <w:szCs w:val="20"/>
            <w:lang w:val="bg-BG"/>
          </w:rPr>
          <w:t>/</w:t>
        </w:r>
        <w:r w:rsidRPr="00FD37F6">
          <w:rPr>
            <w:rStyle w:val="Hyperlink"/>
            <w:rFonts w:cs="Times New Roman"/>
            <w:sz w:val="20"/>
            <w:szCs w:val="20"/>
          </w:rPr>
          <w:t>documents</w:t>
        </w:r>
        <w:r w:rsidRPr="00390518">
          <w:rPr>
            <w:rStyle w:val="Hyperlink"/>
            <w:rFonts w:cs="Times New Roman"/>
            <w:sz w:val="20"/>
            <w:szCs w:val="20"/>
            <w:lang w:val="bg-BG"/>
          </w:rPr>
          <w:t>/2021-03</w:t>
        </w:r>
      </w:hyperlink>
    </w:p>
  </w:footnote>
  <w:footnote w:id="122">
    <w:p w14:paraId="752AC700" w14:textId="77777777" w:rsidR="00215C86" w:rsidRPr="00FD37F6" w:rsidRDefault="00215C86" w:rsidP="00677160">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71"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experience</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kude</w:t>
        </w:r>
        <w:r w:rsidRPr="00FD37F6">
          <w:rPr>
            <w:rStyle w:val="Hyperlink"/>
            <w:rFonts w:cs="Times New Roman"/>
            <w:sz w:val="20"/>
            <w:szCs w:val="20"/>
            <w:lang w:val="bg-BG"/>
          </w:rPr>
          <w:t>-</w:t>
        </w:r>
        <w:r w:rsidRPr="00FD37F6">
          <w:rPr>
            <w:rStyle w:val="Hyperlink"/>
            <w:rFonts w:cs="Times New Roman"/>
            <w:sz w:val="20"/>
            <w:szCs w:val="20"/>
          </w:rPr>
          <w:t>da</w:t>
        </w:r>
        <w:r w:rsidRPr="00FD37F6">
          <w:rPr>
            <w:rStyle w:val="Hyperlink"/>
            <w:rFonts w:cs="Times New Roman"/>
            <w:sz w:val="20"/>
            <w:szCs w:val="20"/>
            <w:lang w:val="bg-BG"/>
          </w:rPr>
          <w:t>-</w:t>
        </w:r>
        <w:r w:rsidRPr="00FD37F6">
          <w:rPr>
            <w:rStyle w:val="Hyperlink"/>
            <w:rFonts w:cs="Times New Roman"/>
            <w:sz w:val="20"/>
            <w:szCs w:val="20"/>
          </w:rPr>
          <w:t>akostirate</w:t>
        </w:r>
        <w:r w:rsidRPr="00FD37F6">
          <w:rPr>
            <w:rStyle w:val="Hyperlink"/>
            <w:rFonts w:cs="Times New Roman"/>
            <w:sz w:val="20"/>
            <w:szCs w:val="20"/>
            <w:lang w:val="bg-BG"/>
          </w:rPr>
          <w:t>-</w:t>
        </w:r>
        <w:r w:rsidRPr="00FD37F6">
          <w:rPr>
            <w:rStyle w:val="Hyperlink"/>
            <w:rFonts w:cs="Times New Roman"/>
            <w:sz w:val="20"/>
            <w:szCs w:val="20"/>
          </w:rPr>
          <w:t>po</w:t>
        </w:r>
        <w:r w:rsidRPr="00FD37F6">
          <w:rPr>
            <w:rStyle w:val="Hyperlink"/>
            <w:rFonts w:cs="Times New Roman"/>
            <w:sz w:val="20"/>
            <w:szCs w:val="20"/>
            <w:lang w:val="bg-BG"/>
          </w:rPr>
          <w:t>-</w:t>
        </w:r>
        <w:r w:rsidRPr="00FD37F6">
          <w:rPr>
            <w:rStyle w:val="Hyperlink"/>
            <w:rFonts w:cs="Times New Roman"/>
            <w:sz w:val="20"/>
            <w:szCs w:val="20"/>
          </w:rPr>
          <w:t>bulgarskoto</w:t>
        </w:r>
        <w:r w:rsidRPr="00FD37F6">
          <w:rPr>
            <w:rStyle w:val="Hyperlink"/>
            <w:rFonts w:cs="Times New Roman"/>
            <w:sz w:val="20"/>
            <w:szCs w:val="20"/>
            <w:lang w:val="bg-BG"/>
          </w:rPr>
          <w:t>-</w:t>
        </w:r>
        <w:r w:rsidRPr="00FD37F6">
          <w:rPr>
            <w:rStyle w:val="Hyperlink"/>
            <w:rFonts w:cs="Times New Roman"/>
            <w:sz w:val="20"/>
            <w:szCs w:val="20"/>
          </w:rPr>
          <w:t>kraibrejie</w:t>
        </w:r>
        <w:r w:rsidRPr="00FD37F6">
          <w:rPr>
            <w:rStyle w:val="Hyperlink"/>
            <w:rFonts w:cs="Times New Roman"/>
            <w:sz w:val="20"/>
            <w:szCs w:val="20"/>
            <w:lang w:val="bg-BG"/>
          </w:rPr>
          <w:t>-</w:t>
        </w:r>
        <w:r w:rsidRPr="00FD37F6">
          <w:rPr>
            <w:rStyle w:val="Hyperlink"/>
            <w:rFonts w:cs="Times New Roman"/>
            <w:sz w:val="20"/>
            <w:szCs w:val="20"/>
          </w:rPr>
          <w:t>chast</w:t>
        </w:r>
        <w:r w:rsidRPr="00FD37F6">
          <w:rPr>
            <w:rStyle w:val="Hyperlink"/>
            <w:rFonts w:cs="Times New Roman"/>
            <w:sz w:val="20"/>
            <w:szCs w:val="20"/>
            <w:lang w:val="bg-BG"/>
          </w:rPr>
          <w:t>-</w:t>
        </w:r>
        <w:r w:rsidRPr="00FD37F6">
          <w:rPr>
            <w:rStyle w:val="Hyperlink"/>
            <w:rFonts w:cs="Times New Roman"/>
            <w:sz w:val="20"/>
            <w:szCs w:val="20"/>
          </w:rPr>
          <w:t>i</w:t>
        </w:r>
        <w:r w:rsidRPr="00FD37F6">
          <w:rPr>
            <w:rStyle w:val="Hyperlink"/>
            <w:rFonts w:cs="Times New Roman"/>
            <w:sz w:val="20"/>
            <w:szCs w:val="20"/>
            <w:lang w:val="bg-BG"/>
          </w:rPr>
          <w:t>-</w:t>
        </w:r>
        <w:r w:rsidRPr="00FD37F6">
          <w:rPr>
            <w:rStyle w:val="Hyperlink"/>
            <w:rFonts w:cs="Times New Roman"/>
            <w:sz w:val="20"/>
            <w:szCs w:val="20"/>
          </w:rPr>
          <w:t>severno</w:t>
        </w:r>
        <w:r w:rsidRPr="00FD37F6">
          <w:rPr>
            <w:rStyle w:val="Hyperlink"/>
            <w:rFonts w:cs="Times New Roman"/>
            <w:sz w:val="20"/>
            <w:szCs w:val="20"/>
            <w:lang w:val="bg-BG"/>
          </w:rPr>
          <w:t>-</w:t>
        </w:r>
        <w:r w:rsidRPr="00FD37F6">
          <w:rPr>
            <w:rStyle w:val="Hyperlink"/>
            <w:rFonts w:cs="Times New Roman"/>
            <w:sz w:val="20"/>
            <w:szCs w:val="20"/>
          </w:rPr>
          <w:t>chernomorie</w:t>
        </w:r>
      </w:hyperlink>
      <w:r w:rsidRPr="00FD37F6">
        <w:rPr>
          <w:rFonts w:cs="Times New Roman"/>
          <w:sz w:val="20"/>
          <w:szCs w:val="20"/>
          <w:lang w:val="bg-BG"/>
        </w:rPr>
        <w:t xml:space="preserve"> и </w:t>
      </w:r>
      <w:hyperlink r:id="rId172"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experience</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kude</w:t>
        </w:r>
        <w:r w:rsidRPr="00FD37F6">
          <w:rPr>
            <w:rStyle w:val="Hyperlink"/>
            <w:rFonts w:cs="Times New Roman"/>
            <w:sz w:val="20"/>
            <w:szCs w:val="20"/>
            <w:lang w:val="bg-BG"/>
          </w:rPr>
          <w:t>-</w:t>
        </w:r>
        <w:r w:rsidRPr="00FD37F6">
          <w:rPr>
            <w:rStyle w:val="Hyperlink"/>
            <w:rFonts w:cs="Times New Roman"/>
            <w:sz w:val="20"/>
            <w:szCs w:val="20"/>
          </w:rPr>
          <w:t>da</w:t>
        </w:r>
        <w:r w:rsidRPr="00FD37F6">
          <w:rPr>
            <w:rStyle w:val="Hyperlink"/>
            <w:rFonts w:cs="Times New Roman"/>
            <w:sz w:val="20"/>
            <w:szCs w:val="20"/>
            <w:lang w:val="bg-BG"/>
          </w:rPr>
          <w:t>-</w:t>
        </w:r>
        <w:r w:rsidRPr="00FD37F6">
          <w:rPr>
            <w:rStyle w:val="Hyperlink"/>
            <w:rFonts w:cs="Times New Roman"/>
            <w:sz w:val="20"/>
            <w:szCs w:val="20"/>
          </w:rPr>
          <w:t>akostirate</w:t>
        </w:r>
        <w:r w:rsidRPr="00FD37F6">
          <w:rPr>
            <w:rStyle w:val="Hyperlink"/>
            <w:rFonts w:cs="Times New Roman"/>
            <w:sz w:val="20"/>
            <w:szCs w:val="20"/>
            <w:lang w:val="bg-BG"/>
          </w:rPr>
          <w:t>-</w:t>
        </w:r>
        <w:r w:rsidRPr="00FD37F6">
          <w:rPr>
            <w:rStyle w:val="Hyperlink"/>
            <w:rFonts w:cs="Times New Roman"/>
            <w:sz w:val="20"/>
            <w:szCs w:val="20"/>
          </w:rPr>
          <w:t>po</w:t>
        </w:r>
        <w:r w:rsidRPr="00FD37F6">
          <w:rPr>
            <w:rStyle w:val="Hyperlink"/>
            <w:rFonts w:cs="Times New Roman"/>
            <w:sz w:val="20"/>
            <w:szCs w:val="20"/>
            <w:lang w:val="bg-BG"/>
          </w:rPr>
          <w:t>-</w:t>
        </w:r>
        <w:r w:rsidRPr="00FD37F6">
          <w:rPr>
            <w:rStyle w:val="Hyperlink"/>
            <w:rFonts w:cs="Times New Roman"/>
            <w:sz w:val="20"/>
            <w:szCs w:val="20"/>
          </w:rPr>
          <w:t>bulgarskoto</w:t>
        </w:r>
        <w:r w:rsidRPr="00FD37F6">
          <w:rPr>
            <w:rStyle w:val="Hyperlink"/>
            <w:rFonts w:cs="Times New Roman"/>
            <w:sz w:val="20"/>
            <w:szCs w:val="20"/>
            <w:lang w:val="bg-BG"/>
          </w:rPr>
          <w:t>-</w:t>
        </w:r>
        <w:r w:rsidRPr="00FD37F6">
          <w:rPr>
            <w:rStyle w:val="Hyperlink"/>
            <w:rFonts w:cs="Times New Roman"/>
            <w:sz w:val="20"/>
            <w:szCs w:val="20"/>
          </w:rPr>
          <w:t>kraibrejie</w:t>
        </w:r>
        <w:r w:rsidRPr="00FD37F6">
          <w:rPr>
            <w:rStyle w:val="Hyperlink"/>
            <w:rFonts w:cs="Times New Roman"/>
            <w:sz w:val="20"/>
            <w:szCs w:val="20"/>
            <w:lang w:val="bg-BG"/>
          </w:rPr>
          <w:t>-</w:t>
        </w:r>
        <w:r w:rsidRPr="00FD37F6">
          <w:rPr>
            <w:rStyle w:val="Hyperlink"/>
            <w:rFonts w:cs="Times New Roman"/>
            <w:sz w:val="20"/>
            <w:szCs w:val="20"/>
          </w:rPr>
          <w:t>chast</w:t>
        </w:r>
        <w:r w:rsidRPr="00FD37F6">
          <w:rPr>
            <w:rStyle w:val="Hyperlink"/>
            <w:rFonts w:cs="Times New Roman"/>
            <w:sz w:val="20"/>
            <w:szCs w:val="20"/>
            <w:lang w:val="bg-BG"/>
          </w:rPr>
          <w:t>-</w:t>
        </w:r>
        <w:r w:rsidRPr="00FD37F6">
          <w:rPr>
            <w:rStyle w:val="Hyperlink"/>
            <w:rFonts w:cs="Times New Roman"/>
            <w:sz w:val="20"/>
            <w:szCs w:val="20"/>
          </w:rPr>
          <w:t>ii</w:t>
        </w:r>
        <w:r w:rsidRPr="00FD37F6">
          <w:rPr>
            <w:rStyle w:val="Hyperlink"/>
            <w:rFonts w:cs="Times New Roman"/>
            <w:sz w:val="20"/>
            <w:szCs w:val="20"/>
            <w:lang w:val="bg-BG"/>
          </w:rPr>
          <w:t>-</w:t>
        </w:r>
        <w:r w:rsidRPr="00FD37F6">
          <w:rPr>
            <w:rStyle w:val="Hyperlink"/>
            <w:rFonts w:cs="Times New Roman"/>
            <w:sz w:val="20"/>
            <w:szCs w:val="20"/>
          </w:rPr>
          <w:t>iujno</w:t>
        </w:r>
        <w:r w:rsidRPr="00FD37F6">
          <w:rPr>
            <w:rStyle w:val="Hyperlink"/>
            <w:rFonts w:cs="Times New Roman"/>
            <w:sz w:val="20"/>
            <w:szCs w:val="20"/>
            <w:lang w:val="bg-BG"/>
          </w:rPr>
          <w:t>-</w:t>
        </w:r>
        <w:r w:rsidRPr="00FD37F6">
          <w:rPr>
            <w:rStyle w:val="Hyperlink"/>
            <w:rFonts w:cs="Times New Roman"/>
            <w:sz w:val="20"/>
            <w:szCs w:val="20"/>
          </w:rPr>
          <w:t>chernomorie</w:t>
        </w:r>
      </w:hyperlink>
    </w:p>
  </w:footnote>
  <w:footnote w:id="123">
    <w:p w14:paraId="137F5BC2"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r w:rsidRPr="00FD37F6">
        <w:rPr>
          <w:rFonts w:cs="Times New Roman"/>
          <w:sz w:val="20"/>
          <w:szCs w:val="20"/>
        </w:rPr>
        <w:t>World</w:t>
      </w:r>
      <w:r w:rsidRPr="00FD37F6">
        <w:rPr>
          <w:rFonts w:cs="Times New Roman"/>
          <w:sz w:val="20"/>
          <w:szCs w:val="20"/>
          <w:lang w:val="bg-BG"/>
        </w:rPr>
        <w:t xml:space="preserve"> </w:t>
      </w:r>
      <w:r w:rsidRPr="00FD37F6">
        <w:rPr>
          <w:rFonts w:cs="Times New Roman"/>
          <w:sz w:val="20"/>
          <w:szCs w:val="20"/>
        </w:rPr>
        <w:t>Travel</w:t>
      </w:r>
      <w:r w:rsidRPr="00FD37F6">
        <w:rPr>
          <w:rFonts w:cs="Times New Roman"/>
          <w:sz w:val="20"/>
          <w:szCs w:val="20"/>
          <w:lang w:val="bg-BG"/>
        </w:rPr>
        <w:t xml:space="preserve"> &amp; </w:t>
      </w:r>
      <w:r w:rsidRPr="00FD37F6">
        <w:rPr>
          <w:rFonts w:cs="Times New Roman"/>
          <w:sz w:val="20"/>
          <w:szCs w:val="20"/>
        </w:rPr>
        <w:t>Tourism</w:t>
      </w:r>
      <w:r w:rsidRPr="00FD37F6">
        <w:rPr>
          <w:rFonts w:cs="Times New Roman"/>
          <w:sz w:val="20"/>
          <w:szCs w:val="20"/>
          <w:lang w:val="bg-BG"/>
        </w:rPr>
        <w:t xml:space="preserve"> </w:t>
      </w:r>
      <w:r w:rsidRPr="00FD37F6">
        <w:rPr>
          <w:rFonts w:cs="Times New Roman"/>
          <w:sz w:val="20"/>
          <w:szCs w:val="20"/>
        </w:rPr>
        <w:t>Council</w:t>
      </w:r>
      <w:r w:rsidRPr="00FD37F6">
        <w:rPr>
          <w:rFonts w:cs="Times New Roman"/>
          <w:sz w:val="20"/>
          <w:szCs w:val="20"/>
          <w:lang w:val="bg-BG"/>
        </w:rPr>
        <w:t>, източник на информация, оценки и анализи на сектора</w:t>
      </w:r>
    </w:p>
  </w:footnote>
  <w:footnote w:id="124">
    <w:p w14:paraId="5E31E199" w14:textId="685BD9C1" w:rsidR="00215C86" w:rsidRPr="00FD37F6" w:rsidRDefault="00215C86" w:rsidP="00901BE7">
      <w:pPr>
        <w:pStyle w:val="FootnoteText"/>
        <w:spacing w:after="20"/>
        <w:ind w:right="-471"/>
        <w:rPr>
          <w:rFonts w:cs="Times New Roman"/>
          <w:sz w:val="20"/>
          <w:szCs w:val="20"/>
          <w:lang w:val="bg-BG"/>
        </w:rPr>
      </w:pPr>
      <w:r w:rsidRPr="00FD37F6">
        <w:rPr>
          <w:rStyle w:val="FootnoteReference"/>
          <w:rFonts w:cs="Times New Roman"/>
          <w:sz w:val="20"/>
          <w:szCs w:val="20"/>
        </w:rPr>
        <w:footnoteRef/>
      </w:r>
      <w:r w:rsidRPr="00AA0892">
        <w:rPr>
          <w:rFonts w:cs="Times New Roman"/>
          <w:sz w:val="20"/>
          <w:szCs w:val="20"/>
          <w:lang w:val="bg-BG"/>
        </w:rPr>
        <w:t xml:space="preserve"> </w:t>
      </w:r>
      <w:hyperlink r:id="rId173" w:history="1">
        <w:r w:rsidRPr="00FD37F6">
          <w:rPr>
            <w:rStyle w:val="Hyperlink"/>
            <w:rFonts w:cs="Times New Roman"/>
            <w:sz w:val="20"/>
            <w:szCs w:val="20"/>
          </w:rPr>
          <w:t>https</w:t>
        </w:r>
        <w:r w:rsidRPr="00AA0892">
          <w:rPr>
            <w:rStyle w:val="Hyperlink"/>
            <w:rFonts w:cs="Times New Roman"/>
            <w:sz w:val="20"/>
            <w:szCs w:val="20"/>
            <w:lang w:val="bg-BG"/>
          </w:rPr>
          <w:t>://</w:t>
        </w:r>
        <w:r w:rsidRPr="00FD37F6">
          <w:rPr>
            <w:rStyle w:val="Hyperlink"/>
            <w:rFonts w:cs="Times New Roman"/>
            <w:sz w:val="20"/>
            <w:szCs w:val="20"/>
          </w:rPr>
          <w:t>webunwto</w:t>
        </w:r>
        <w:r w:rsidRPr="00AA0892">
          <w:rPr>
            <w:rStyle w:val="Hyperlink"/>
            <w:rFonts w:cs="Times New Roman"/>
            <w:sz w:val="20"/>
            <w:szCs w:val="20"/>
            <w:lang w:val="bg-BG"/>
          </w:rPr>
          <w:t>.</w:t>
        </w:r>
        <w:r w:rsidRPr="00FD37F6">
          <w:rPr>
            <w:rStyle w:val="Hyperlink"/>
            <w:rFonts w:cs="Times New Roman"/>
            <w:sz w:val="20"/>
            <w:szCs w:val="20"/>
          </w:rPr>
          <w:t>s</w:t>
        </w:r>
        <w:r w:rsidRPr="00AA0892">
          <w:rPr>
            <w:rStyle w:val="Hyperlink"/>
            <w:rFonts w:cs="Times New Roman"/>
            <w:sz w:val="20"/>
            <w:szCs w:val="20"/>
            <w:lang w:val="bg-BG"/>
          </w:rPr>
          <w:t>3.</w:t>
        </w:r>
        <w:r w:rsidRPr="00FD37F6">
          <w:rPr>
            <w:rStyle w:val="Hyperlink"/>
            <w:rFonts w:cs="Times New Roman"/>
            <w:sz w:val="20"/>
            <w:szCs w:val="20"/>
          </w:rPr>
          <w:t>eu</w:t>
        </w:r>
        <w:r w:rsidRPr="00AA0892">
          <w:rPr>
            <w:rStyle w:val="Hyperlink"/>
            <w:rFonts w:cs="Times New Roman"/>
            <w:sz w:val="20"/>
            <w:szCs w:val="20"/>
            <w:lang w:val="bg-BG"/>
          </w:rPr>
          <w:t>-</w:t>
        </w:r>
        <w:r w:rsidRPr="00FD37F6">
          <w:rPr>
            <w:rStyle w:val="Hyperlink"/>
            <w:rFonts w:cs="Times New Roman"/>
            <w:sz w:val="20"/>
            <w:szCs w:val="20"/>
          </w:rPr>
          <w:t>west</w:t>
        </w:r>
        <w:r w:rsidRPr="00AA0892">
          <w:rPr>
            <w:rStyle w:val="Hyperlink"/>
            <w:rFonts w:cs="Times New Roman"/>
            <w:sz w:val="20"/>
            <w:szCs w:val="20"/>
            <w:lang w:val="bg-BG"/>
          </w:rPr>
          <w:t>-1.</w:t>
        </w:r>
        <w:r w:rsidRPr="00FD37F6">
          <w:rPr>
            <w:rStyle w:val="Hyperlink"/>
            <w:rFonts w:cs="Times New Roman"/>
            <w:sz w:val="20"/>
            <w:szCs w:val="20"/>
          </w:rPr>
          <w:t>amazonaws</w:t>
        </w:r>
        <w:r w:rsidRPr="00AA0892">
          <w:rPr>
            <w:rStyle w:val="Hyperlink"/>
            <w:rFonts w:cs="Times New Roman"/>
            <w:sz w:val="20"/>
            <w:szCs w:val="20"/>
            <w:lang w:val="bg-BG"/>
          </w:rPr>
          <w:t>.</w:t>
        </w:r>
        <w:r w:rsidRPr="00FD37F6">
          <w:rPr>
            <w:rStyle w:val="Hyperlink"/>
            <w:rFonts w:cs="Times New Roman"/>
            <w:sz w:val="20"/>
            <w:szCs w:val="20"/>
          </w:rPr>
          <w:t>com</w:t>
        </w:r>
        <w:r w:rsidRPr="00AA0892">
          <w:rPr>
            <w:rStyle w:val="Hyperlink"/>
            <w:rFonts w:cs="Times New Roman"/>
            <w:sz w:val="20"/>
            <w:szCs w:val="20"/>
            <w:lang w:val="bg-BG"/>
          </w:rPr>
          <w:t>/</w:t>
        </w:r>
        <w:r w:rsidRPr="00FD37F6">
          <w:rPr>
            <w:rStyle w:val="Hyperlink"/>
            <w:rFonts w:cs="Times New Roman"/>
            <w:sz w:val="20"/>
            <w:szCs w:val="20"/>
          </w:rPr>
          <w:t>s</w:t>
        </w:r>
        <w:r w:rsidRPr="00AA0892">
          <w:rPr>
            <w:rStyle w:val="Hyperlink"/>
            <w:rFonts w:cs="Times New Roman"/>
            <w:sz w:val="20"/>
            <w:szCs w:val="20"/>
            <w:lang w:val="bg-BG"/>
          </w:rPr>
          <w:t>3</w:t>
        </w:r>
        <w:r w:rsidRPr="00FD37F6">
          <w:rPr>
            <w:rStyle w:val="Hyperlink"/>
            <w:rFonts w:cs="Times New Roman"/>
            <w:sz w:val="20"/>
            <w:szCs w:val="20"/>
          </w:rPr>
          <w:t>fs</w:t>
        </w:r>
        <w:r w:rsidRPr="00AA0892">
          <w:rPr>
            <w:rStyle w:val="Hyperlink"/>
            <w:rFonts w:cs="Times New Roman"/>
            <w:sz w:val="20"/>
            <w:szCs w:val="20"/>
            <w:lang w:val="bg-BG"/>
          </w:rPr>
          <w:t>-</w:t>
        </w:r>
        <w:r w:rsidRPr="00FD37F6">
          <w:rPr>
            <w:rStyle w:val="Hyperlink"/>
            <w:rFonts w:cs="Times New Roman"/>
            <w:sz w:val="20"/>
            <w:szCs w:val="20"/>
          </w:rPr>
          <w:t>public</w:t>
        </w:r>
        <w:r w:rsidRPr="00AA0892">
          <w:rPr>
            <w:rStyle w:val="Hyperlink"/>
            <w:rFonts w:cs="Times New Roman"/>
            <w:sz w:val="20"/>
            <w:szCs w:val="20"/>
            <w:lang w:val="bg-BG"/>
          </w:rPr>
          <w:t>/2020</w:t>
        </w:r>
        <w:r w:rsidRPr="00FD37F6">
          <w:rPr>
            <w:rStyle w:val="Hyperlink"/>
            <w:rFonts w:cs="Times New Roman"/>
            <w:sz w:val="20"/>
            <w:szCs w:val="20"/>
            <w:lang w:val="bg-BG"/>
          </w:rPr>
          <w:t>-0</w:t>
        </w:r>
        <w:r w:rsidRPr="00AA0892">
          <w:rPr>
            <w:rStyle w:val="Hyperlink"/>
            <w:rFonts w:cs="Times New Roman"/>
            <w:sz w:val="20"/>
            <w:szCs w:val="20"/>
            <w:lang w:val="bg-BG"/>
          </w:rPr>
          <w:t>4/</w:t>
        </w:r>
        <w:r w:rsidRPr="00FD37F6">
          <w:rPr>
            <w:rStyle w:val="Hyperlink"/>
            <w:rFonts w:cs="Times New Roman"/>
            <w:sz w:val="20"/>
            <w:szCs w:val="20"/>
          </w:rPr>
          <w:t>COVID</w:t>
        </w:r>
        <w:r w:rsidRPr="00AA0892">
          <w:rPr>
            <w:rStyle w:val="Hyperlink"/>
            <w:rFonts w:cs="Times New Roman"/>
            <w:sz w:val="20"/>
            <w:szCs w:val="20"/>
            <w:lang w:val="bg-BG"/>
          </w:rPr>
          <w:t>19_</w:t>
        </w:r>
        <w:r w:rsidRPr="00FD37F6">
          <w:rPr>
            <w:rStyle w:val="Hyperlink"/>
            <w:rFonts w:cs="Times New Roman"/>
            <w:sz w:val="20"/>
            <w:szCs w:val="20"/>
          </w:rPr>
          <w:t>Recommendations</w:t>
        </w:r>
        <w:r w:rsidRPr="00AA0892">
          <w:rPr>
            <w:rStyle w:val="Hyperlink"/>
            <w:rFonts w:cs="Times New Roman"/>
            <w:sz w:val="20"/>
            <w:szCs w:val="20"/>
            <w:lang w:val="bg-BG"/>
          </w:rPr>
          <w:t>_</w:t>
        </w:r>
        <w:r w:rsidRPr="00FD37F6">
          <w:rPr>
            <w:rStyle w:val="Hyperlink"/>
            <w:rFonts w:cs="Times New Roman"/>
            <w:sz w:val="20"/>
            <w:szCs w:val="20"/>
          </w:rPr>
          <w:t>English</w:t>
        </w:r>
        <w:r w:rsidRPr="00AA0892">
          <w:rPr>
            <w:rStyle w:val="Hyperlink"/>
            <w:rFonts w:cs="Times New Roman"/>
            <w:sz w:val="20"/>
            <w:szCs w:val="20"/>
            <w:lang w:val="bg-BG"/>
          </w:rPr>
          <w:t>_1.</w:t>
        </w:r>
        <w:r w:rsidRPr="00FD37F6">
          <w:rPr>
            <w:rStyle w:val="Hyperlink"/>
            <w:rFonts w:cs="Times New Roman"/>
            <w:sz w:val="20"/>
            <w:szCs w:val="20"/>
          </w:rPr>
          <w:t>pdf</w:t>
        </w:r>
      </w:hyperlink>
      <w:r w:rsidRPr="00FD37F6">
        <w:rPr>
          <w:rFonts w:cs="Times New Roman"/>
          <w:sz w:val="20"/>
          <w:szCs w:val="20"/>
          <w:lang w:val="bg-BG"/>
        </w:rPr>
        <w:t xml:space="preserve"> </w:t>
      </w:r>
    </w:p>
  </w:footnote>
  <w:footnote w:id="125">
    <w:p w14:paraId="17EFCEA9" w14:textId="52AC56EE" w:rsidR="00215C86" w:rsidRPr="00FD37F6" w:rsidRDefault="00215C86" w:rsidP="00F00BE8">
      <w:pPr>
        <w:pStyle w:val="FootnoteText"/>
        <w:spacing w:after="20"/>
        <w:rPr>
          <w:rFonts w:cs="Times New Roman"/>
          <w:sz w:val="20"/>
          <w:szCs w:val="20"/>
        </w:rPr>
      </w:pPr>
      <w:r w:rsidRPr="00FD37F6">
        <w:rPr>
          <w:rStyle w:val="FootnoteReference"/>
          <w:rFonts w:cs="Times New Roman"/>
          <w:sz w:val="20"/>
          <w:szCs w:val="20"/>
        </w:rPr>
        <w:footnoteRef/>
      </w:r>
      <w:r w:rsidRPr="00FD37F6">
        <w:rPr>
          <w:rFonts w:cs="Times New Roman"/>
          <w:sz w:val="20"/>
          <w:szCs w:val="20"/>
        </w:rPr>
        <w:t xml:space="preserve"> Travel &amp; Tourism, Economic Impact 2019, Europe</w:t>
      </w:r>
    </w:p>
  </w:footnote>
  <w:footnote w:id="126">
    <w:p w14:paraId="210F6A97" w14:textId="40DC867A"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rPr>
        <w:t xml:space="preserve"> </w:t>
      </w:r>
      <w:hyperlink r:id="rId174" w:history="1">
        <w:r w:rsidRPr="00FD37F6">
          <w:rPr>
            <w:rStyle w:val="Hyperlink"/>
            <w:rFonts w:cs="Times New Roman"/>
            <w:sz w:val="20"/>
            <w:szCs w:val="20"/>
          </w:rPr>
          <w:t>https://ec.europa.eu/eurostat/web/products-eurostat-news/-/DDN-20200513-2</w:t>
        </w:r>
      </w:hyperlink>
      <w:r w:rsidRPr="00FD37F6">
        <w:rPr>
          <w:rFonts w:cs="Times New Roman"/>
          <w:sz w:val="20"/>
          <w:szCs w:val="20"/>
          <w:lang w:val="bg-BG"/>
        </w:rPr>
        <w:t xml:space="preserve"> </w:t>
      </w:r>
    </w:p>
  </w:footnote>
  <w:footnote w:id="127">
    <w:p w14:paraId="65D7F12D" w14:textId="61989830"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75"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tourism</w:t>
        </w:r>
        <w:r w:rsidRPr="00FD37F6">
          <w:rPr>
            <w:rStyle w:val="Hyperlink"/>
            <w:rFonts w:cs="Times New Roman"/>
            <w:sz w:val="20"/>
            <w:szCs w:val="20"/>
            <w:lang w:val="bg-BG"/>
          </w:rPr>
          <w:t>.</w:t>
        </w:r>
        <w:r w:rsidRPr="00FD37F6">
          <w:rPr>
            <w:rStyle w:val="Hyperlink"/>
            <w:rFonts w:cs="Times New Roman"/>
            <w:sz w:val="20"/>
            <w:szCs w:val="20"/>
          </w:rPr>
          <w:t>government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128">
    <w:p w14:paraId="1EB2DB29" w14:textId="0EFD62B4"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45/30.04.2002 г., изм и доп. ДВ бр. 60/07.07.2020 г.</w:t>
      </w:r>
    </w:p>
  </w:footnote>
  <w:footnote w:id="129">
    <w:p w14:paraId="00B257C5"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59/01.07.2008 г., изм. и доп. ДВ. бр.14/2014 г.</w:t>
      </w:r>
    </w:p>
  </w:footnote>
  <w:footnote w:id="130">
    <w:p w14:paraId="54DDCBB9" w14:textId="77777777" w:rsidR="00215C86" w:rsidRPr="00FD37F6" w:rsidRDefault="00215C86" w:rsidP="00F00BE8">
      <w:pPr>
        <w:pStyle w:val="FootnoteText"/>
        <w:spacing w:after="20"/>
        <w:jc w:val="both"/>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Наредбата забранява извършването на дейности за спорт, туризъм и развлечение в районите, обхванати от системата за движение в морските пространства на Република България. Там е указан и редът за обозначаване на водолазите и осигуряващите ги плавателни средства.</w:t>
      </w:r>
    </w:p>
  </w:footnote>
  <w:footnote w:id="131">
    <w:p w14:paraId="719DD29C" w14:textId="43D515B0"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AA0892">
        <w:rPr>
          <w:rFonts w:cs="Times New Roman"/>
          <w:sz w:val="20"/>
          <w:szCs w:val="20"/>
          <w:lang w:val="bg-BG"/>
        </w:rPr>
        <w:t xml:space="preserve"> </w:t>
      </w:r>
      <w:hyperlink r:id="rId176" w:history="1">
        <w:r w:rsidRPr="00FD37F6">
          <w:rPr>
            <w:rStyle w:val="Hyperlink"/>
            <w:rFonts w:cs="Times New Roman"/>
            <w:sz w:val="20"/>
            <w:szCs w:val="20"/>
          </w:rPr>
          <w:t>http</w:t>
        </w:r>
        <w:r w:rsidRPr="00AA0892">
          <w:rPr>
            <w:rStyle w:val="Hyperlink"/>
            <w:rFonts w:cs="Times New Roman"/>
            <w:sz w:val="20"/>
            <w:szCs w:val="20"/>
            <w:lang w:val="bg-BG"/>
          </w:rPr>
          <w:t>://</w:t>
        </w:r>
        <w:r w:rsidRPr="00FD37F6">
          <w:rPr>
            <w:rStyle w:val="Hyperlink"/>
            <w:rFonts w:cs="Times New Roman"/>
            <w:sz w:val="20"/>
            <w:szCs w:val="20"/>
          </w:rPr>
          <w:t>www</w:t>
        </w:r>
        <w:r w:rsidRPr="00AA0892">
          <w:rPr>
            <w:rStyle w:val="Hyperlink"/>
            <w:rFonts w:cs="Times New Roman"/>
            <w:sz w:val="20"/>
            <w:szCs w:val="20"/>
            <w:lang w:val="bg-BG"/>
          </w:rPr>
          <w:t>.</w:t>
        </w:r>
        <w:r w:rsidRPr="00FD37F6">
          <w:rPr>
            <w:rStyle w:val="Hyperlink"/>
            <w:rFonts w:cs="Times New Roman"/>
            <w:sz w:val="20"/>
            <w:szCs w:val="20"/>
          </w:rPr>
          <w:t>imo</w:t>
        </w:r>
        <w:r w:rsidRPr="00AA0892">
          <w:rPr>
            <w:rStyle w:val="Hyperlink"/>
            <w:rFonts w:cs="Times New Roman"/>
            <w:sz w:val="20"/>
            <w:szCs w:val="20"/>
            <w:lang w:val="bg-BG"/>
          </w:rPr>
          <w:t>.</w:t>
        </w:r>
        <w:r w:rsidRPr="00FD37F6">
          <w:rPr>
            <w:rStyle w:val="Hyperlink"/>
            <w:rFonts w:cs="Times New Roman"/>
            <w:sz w:val="20"/>
            <w:szCs w:val="20"/>
          </w:rPr>
          <w:t>org</w:t>
        </w:r>
        <w:r w:rsidRPr="00AA0892">
          <w:rPr>
            <w:rStyle w:val="Hyperlink"/>
            <w:rFonts w:cs="Times New Roman"/>
            <w:sz w:val="20"/>
            <w:szCs w:val="20"/>
            <w:lang w:val="bg-BG"/>
          </w:rPr>
          <w:t>/</w:t>
        </w:r>
        <w:r w:rsidRPr="00FD37F6">
          <w:rPr>
            <w:rStyle w:val="Hyperlink"/>
            <w:rFonts w:cs="Times New Roman"/>
            <w:sz w:val="20"/>
            <w:szCs w:val="20"/>
          </w:rPr>
          <w:t>en</w:t>
        </w:r>
        <w:r w:rsidRPr="00AA0892">
          <w:rPr>
            <w:rStyle w:val="Hyperlink"/>
            <w:rFonts w:cs="Times New Roman"/>
            <w:sz w:val="20"/>
            <w:szCs w:val="20"/>
            <w:lang w:val="bg-BG"/>
          </w:rPr>
          <w:t>/</w:t>
        </w:r>
        <w:r w:rsidRPr="00FD37F6">
          <w:rPr>
            <w:rStyle w:val="Hyperlink"/>
            <w:rFonts w:cs="Times New Roman"/>
            <w:sz w:val="20"/>
            <w:szCs w:val="20"/>
          </w:rPr>
          <w:t>About</w:t>
        </w:r>
        <w:r w:rsidRPr="00AA0892">
          <w:rPr>
            <w:rStyle w:val="Hyperlink"/>
            <w:rFonts w:cs="Times New Roman"/>
            <w:sz w:val="20"/>
            <w:szCs w:val="20"/>
            <w:lang w:val="bg-BG"/>
          </w:rPr>
          <w:t>/</w:t>
        </w:r>
        <w:r w:rsidRPr="00FD37F6">
          <w:rPr>
            <w:rStyle w:val="Hyperlink"/>
            <w:rFonts w:cs="Times New Roman"/>
            <w:sz w:val="20"/>
            <w:szCs w:val="20"/>
          </w:rPr>
          <w:t>Conventions</w:t>
        </w:r>
        <w:r w:rsidRPr="00AA0892">
          <w:rPr>
            <w:rStyle w:val="Hyperlink"/>
            <w:rFonts w:cs="Times New Roman"/>
            <w:sz w:val="20"/>
            <w:szCs w:val="20"/>
            <w:lang w:val="bg-BG"/>
          </w:rPr>
          <w:t>/</w:t>
        </w:r>
        <w:r w:rsidRPr="00FD37F6">
          <w:rPr>
            <w:rStyle w:val="Hyperlink"/>
            <w:rFonts w:cs="Times New Roman"/>
            <w:sz w:val="20"/>
            <w:szCs w:val="20"/>
          </w:rPr>
          <w:t>ListOfConventions</w:t>
        </w:r>
        <w:r w:rsidRPr="00AA0892">
          <w:rPr>
            <w:rStyle w:val="Hyperlink"/>
            <w:rFonts w:cs="Times New Roman"/>
            <w:sz w:val="20"/>
            <w:szCs w:val="20"/>
            <w:lang w:val="bg-BG"/>
          </w:rPr>
          <w:t>/</w:t>
        </w:r>
        <w:r w:rsidRPr="00FD37F6">
          <w:rPr>
            <w:rStyle w:val="Hyperlink"/>
            <w:rFonts w:cs="Times New Roman"/>
            <w:sz w:val="20"/>
            <w:szCs w:val="20"/>
          </w:rPr>
          <w:t>Pages</w:t>
        </w:r>
        <w:r w:rsidRPr="00AA0892">
          <w:rPr>
            <w:rStyle w:val="Hyperlink"/>
            <w:rFonts w:cs="Times New Roman"/>
            <w:sz w:val="20"/>
            <w:szCs w:val="20"/>
            <w:lang w:val="bg-BG"/>
          </w:rPr>
          <w:t>/</w:t>
        </w:r>
        <w:r w:rsidRPr="00FD37F6">
          <w:rPr>
            <w:rStyle w:val="Hyperlink"/>
            <w:rFonts w:cs="Times New Roman"/>
            <w:sz w:val="20"/>
            <w:szCs w:val="20"/>
          </w:rPr>
          <w:t>COLREG</w:t>
        </w:r>
        <w:r w:rsidRPr="00AA0892">
          <w:rPr>
            <w:rStyle w:val="Hyperlink"/>
            <w:rFonts w:cs="Times New Roman"/>
            <w:sz w:val="20"/>
            <w:szCs w:val="20"/>
            <w:lang w:val="bg-BG"/>
          </w:rPr>
          <w:t>.</w:t>
        </w:r>
        <w:r w:rsidRPr="00FD37F6">
          <w:rPr>
            <w:rStyle w:val="Hyperlink"/>
            <w:rFonts w:cs="Times New Roman"/>
            <w:sz w:val="20"/>
            <w:szCs w:val="20"/>
          </w:rPr>
          <w:t>aspx</w:t>
        </w:r>
      </w:hyperlink>
      <w:r w:rsidRPr="00AA0892">
        <w:rPr>
          <w:rFonts w:cs="Times New Roman"/>
          <w:sz w:val="20"/>
          <w:szCs w:val="20"/>
          <w:lang w:val="bg-BG"/>
        </w:rPr>
        <w:t xml:space="preserve"> </w:t>
      </w:r>
    </w:p>
  </w:footnote>
  <w:footnote w:id="132">
    <w:p w14:paraId="0376E3C4" w14:textId="77777777"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Доклад „Синята икономика на ЕС 2019” (</w:t>
      </w:r>
      <w:r w:rsidRPr="00FD37F6">
        <w:rPr>
          <w:rFonts w:cs="Times New Roman"/>
          <w:sz w:val="20"/>
          <w:szCs w:val="20"/>
        </w:rPr>
        <w:t>The</w:t>
      </w:r>
      <w:r w:rsidRPr="00390518">
        <w:rPr>
          <w:rFonts w:cs="Times New Roman"/>
          <w:sz w:val="20"/>
          <w:szCs w:val="20"/>
          <w:lang w:val="bg-BG"/>
        </w:rPr>
        <w:t xml:space="preserve"> </w:t>
      </w:r>
      <w:r w:rsidRPr="00FD37F6">
        <w:rPr>
          <w:rFonts w:cs="Times New Roman"/>
          <w:sz w:val="20"/>
          <w:szCs w:val="20"/>
        </w:rPr>
        <w:t>EU</w:t>
      </w:r>
      <w:r w:rsidRPr="00390518">
        <w:rPr>
          <w:rFonts w:cs="Times New Roman"/>
          <w:sz w:val="20"/>
          <w:szCs w:val="20"/>
          <w:lang w:val="bg-BG"/>
        </w:rPr>
        <w:t xml:space="preserve"> </w:t>
      </w:r>
      <w:r w:rsidRPr="00FD37F6">
        <w:rPr>
          <w:rFonts w:cs="Times New Roman"/>
          <w:sz w:val="20"/>
          <w:szCs w:val="20"/>
        </w:rPr>
        <w:t>Blue</w:t>
      </w:r>
      <w:r w:rsidRPr="00390518">
        <w:rPr>
          <w:rFonts w:cs="Times New Roman"/>
          <w:sz w:val="20"/>
          <w:szCs w:val="20"/>
          <w:lang w:val="bg-BG"/>
        </w:rPr>
        <w:t xml:space="preserve"> </w:t>
      </w:r>
      <w:r w:rsidRPr="00FD37F6">
        <w:rPr>
          <w:rFonts w:cs="Times New Roman"/>
          <w:sz w:val="20"/>
          <w:szCs w:val="20"/>
        </w:rPr>
        <w:t>Economy</w:t>
      </w:r>
      <w:r w:rsidRPr="00390518">
        <w:rPr>
          <w:rFonts w:cs="Times New Roman"/>
          <w:sz w:val="20"/>
          <w:szCs w:val="20"/>
          <w:lang w:val="bg-BG"/>
        </w:rPr>
        <w:t xml:space="preserve"> </w:t>
      </w:r>
      <w:r w:rsidRPr="00FD37F6">
        <w:rPr>
          <w:rFonts w:cs="Times New Roman"/>
          <w:sz w:val="20"/>
          <w:szCs w:val="20"/>
        </w:rPr>
        <w:t>Report</w:t>
      </w:r>
      <w:r w:rsidRPr="00390518">
        <w:rPr>
          <w:rFonts w:cs="Times New Roman"/>
          <w:sz w:val="20"/>
          <w:szCs w:val="20"/>
          <w:lang w:val="bg-BG"/>
        </w:rPr>
        <w:t xml:space="preserve">, 2019). </w:t>
      </w:r>
    </w:p>
  </w:footnote>
  <w:footnote w:id="133">
    <w:p w14:paraId="030C99CB" w14:textId="77777777"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Данните са от Търговския регистър от м. декември 2018 г.</w:t>
      </w:r>
    </w:p>
  </w:footnote>
  <w:footnote w:id="134">
    <w:p w14:paraId="1574AE15" w14:textId="77777777"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Пак там</w:t>
      </w:r>
    </w:p>
  </w:footnote>
  <w:footnote w:id="135">
    <w:p w14:paraId="38470AFD" w14:textId="2E94CD4E" w:rsidR="00215C86" w:rsidRPr="00390518" w:rsidRDefault="00215C86" w:rsidP="00F00BE8">
      <w:pPr>
        <w:pStyle w:val="FootnoteText"/>
        <w:spacing w:after="20"/>
        <w:jc w:val="both"/>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Посоченият брой Дни на море се определя от престоя на море на целия рибарски флот на страната. Приблизително 95% от регистрираните кораби са по-малки от 12 м. за този много нисък престой могат да се посочат редица причини. Дисбалансът между променливите разходи и текущите приходи, ниските покупателни възможности на населението, годишните миграции на част от видовете със стопанско значение, вариациите в цените на горивата, както и липсата на пазарен регулатор, гарантиращ еднакви нива на изкупните цени, са основните фактори, оказващи негативно влияние върху заетите с риболовна дейност риболовни съдове с обща дължина до 12 метра. Риболовът е допълнителна, а не основна дейност за този сегмент от риболовния флот.</w:t>
      </w:r>
    </w:p>
  </w:footnote>
  <w:footnote w:id="136">
    <w:p w14:paraId="187D4E99" w14:textId="77777777"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Възможно е тази картина да не е съвсем пълна, защото големи фирми, които имат и производство, са регистрирани като търговци</w:t>
      </w:r>
    </w:p>
  </w:footnote>
  <w:footnote w:id="137">
    <w:p w14:paraId="1A3D1063" w14:textId="77777777"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По данни на НСИ</w:t>
      </w:r>
    </w:p>
  </w:footnote>
  <w:footnote w:id="138">
    <w:p w14:paraId="33AA6069" w14:textId="77777777"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По данни от Доклад „Синята икономика на ЕС” 2019 г. (</w:t>
      </w:r>
      <w:r w:rsidRPr="00FD37F6">
        <w:rPr>
          <w:rFonts w:cs="Times New Roman"/>
          <w:sz w:val="20"/>
          <w:szCs w:val="20"/>
        </w:rPr>
        <w:t>The</w:t>
      </w:r>
      <w:r w:rsidRPr="00390518">
        <w:rPr>
          <w:rFonts w:cs="Times New Roman"/>
          <w:sz w:val="20"/>
          <w:szCs w:val="20"/>
          <w:lang w:val="bg-BG"/>
        </w:rPr>
        <w:t xml:space="preserve"> </w:t>
      </w:r>
      <w:r w:rsidRPr="00FD37F6">
        <w:rPr>
          <w:rFonts w:cs="Times New Roman"/>
          <w:sz w:val="20"/>
          <w:szCs w:val="20"/>
        </w:rPr>
        <w:t>EU</w:t>
      </w:r>
      <w:r w:rsidRPr="00390518">
        <w:rPr>
          <w:rFonts w:cs="Times New Roman"/>
          <w:sz w:val="20"/>
          <w:szCs w:val="20"/>
          <w:lang w:val="bg-BG"/>
        </w:rPr>
        <w:t xml:space="preserve"> </w:t>
      </w:r>
      <w:r w:rsidRPr="00FD37F6">
        <w:rPr>
          <w:rFonts w:cs="Times New Roman"/>
          <w:sz w:val="20"/>
          <w:szCs w:val="20"/>
        </w:rPr>
        <w:t>Blue</w:t>
      </w:r>
      <w:r w:rsidRPr="00390518">
        <w:rPr>
          <w:rFonts w:cs="Times New Roman"/>
          <w:sz w:val="20"/>
          <w:szCs w:val="20"/>
          <w:lang w:val="bg-BG"/>
        </w:rPr>
        <w:t xml:space="preserve"> </w:t>
      </w:r>
      <w:r w:rsidRPr="00FD37F6">
        <w:rPr>
          <w:rFonts w:cs="Times New Roman"/>
          <w:sz w:val="20"/>
          <w:szCs w:val="20"/>
        </w:rPr>
        <w:t>Economy</w:t>
      </w:r>
      <w:r w:rsidRPr="00390518">
        <w:rPr>
          <w:rFonts w:cs="Times New Roman"/>
          <w:sz w:val="20"/>
          <w:szCs w:val="20"/>
          <w:lang w:val="bg-BG"/>
        </w:rPr>
        <w:t xml:space="preserve"> </w:t>
      </w:r>
      <w:r w:rsidRPr="00FD37F6">
        <w:rPr>
          <w:rFonts w:cs="Times New Roman"/>
          <w:sz w:val="20"/>
          <w:szCs w:val="20"/>
        </w:rPr>
        <w:t>Report</w:t>
      </w:r>
      <w:r w:rsidRPr="00390518">
        <w:rPr>
          <w:rFonts w:cs="Times New Roman"/>
          <w:sz w:val="20"/>
          <w:szCs w:val="20"/>
          <w:lang w:val="bg-BG"/>
        </w:rPr>
        <w:t>, 2019)</w:t>
      </w:r>
    </w:p>
  </w:footnote>
  <w:footnote w:id="139">
    <w:p w14:paraId="2A4169B2" w14:textId="77777777"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Доклад за синята икономика на ЕС, 2019</w:t>
      </w:r>
    </w:p>
  </w:footnote>
  <w:footnote w:id="140">
    <w:p w14:paraId="2A80AB6E" w14:textId="77777777"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Според данни от Търговския регистър (съгл. КИД-2008 - Строителство на плавателни съдове, без тези за отдих)</w:t>
      </w:r>
    </w:p>
  </w:footnote>
  <w:footnote w:id="141">
    <w:p w14:paraId="253D65AB" w14:textId="77777777"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Според данни от Търговския регистър (брой социално осигурени лица за 2018 г.)</w:t>
      </w:r>
    </w:p>
  </w:footnote>
  <w:footnote w:id="142">
    <w:p w14:paraId="3F720845" w14:textId="77777777"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Пак там</w:t>
      </w:r>
    </w:p>
  </w:footnote>
  <w:footnote w:id="143">
    <w:p w14:paraId="14B40CEB" w14:textId="77777777"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Според данни от Търговския регистър (съгл. КИД-2008 - Ремонт и поддържане на плавателни съдове)</w:t>
      </w:r>
    </w:p>
  </w:footnote>
  <w:footnote w:id="144">
    <w:p w14:paraId="5A6062A5" w14:textId="77777777" w:rsidR="00215C86" w:rsidRPr="00390518"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390518">
        <w:rPr>
          <w:rFonts w:cs="Times New Roman"/>
          <w:sz w:val="20"/>
          <w:szCs w:val="20"/>
          <w:lang w:val="bg-BG"/>
        </w:rPr>
        <w:t xml:space="preserve"> Пак там</w:t>
      </w:r>
    </w:p>
  </w:footnote>
  <w:footnote w:id="145">
    <w:p w14:paraId="3EB53486" w14:textId="27428641" w:rsidR="00215C86" w:rsidRPr="00FD37F6" w:rsidRDefault="00215C86" w:rsidP="00F00BE8">
      <w:pPr>
        <w:spacing w:after="20" w:line="240" w:lineRule="auto"/>
        <w:rPr>
          <w:rFonts w:ascii="Times New Roman" w:hAnsi="Times New Roman" w:cs="Times New Roman"/>
          <w:sz w:val="20"/>
          <w:szCs w:val="20"/>
          <w:lang w:val="bg-BG"/>
        </w:rPr>
      </w:pPr>
      <w:r w:rsidRPr="00FD37F6">
        <w:rPr>
          <w:rStyle w:val="FootnoteReference"/>
          <w:rFonts w:ascii="Times New Roman" w:hAnsi="Times New Roman" w:cs="Times New Roman"/>
          <w:sz w:val="20"/>
          <w:szCs w:val="20"/>
        </w:rPr>
        <w:footnoteRef/>
      </w:r>
      <w:r w:rsidRPr="00390518">
        <w:rPr>
          <w:rFonts w:ascii="Times New Roman" w:hAnsi="Times New Roman" w:cs="Times New Roman"/>
          <w:sz w:val="20"/>
          <w:szCs w:val="20"/>
          <w:lang w:val="bg-BG"/>
        </w:rPr>
        <w:t xml:space="preserve"> Националната научна програма за здравословни храни за силна биоикономика и качество на живот </w:t>
      </w:r>
    </w:p>
  </w:footnote>
  <w:footnote w:id="146">
    <w:p w14:paraId="663B5224" w14:textId="2E15022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Липсва връзка между Закона за горите и Закона за културното наследство</w:t>
      </w:r>
    </w:p>
  </w:footnote>
  <w:footnote w:id="147">
    <w:p w14:paraId="2CD8FD10" w14:textId="5CF19076"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rPr>
        <w:t xml:space="preserve"> Special focus. A Shock Like No Other: The Impact of COVID-19 on Commodity Markets</w:t>
      </w:r>
      <w:r w:rsidRPr="00FD37F6">
        <w:rPr>
          <w:rFonts w:cs="Times New Roman"/>
          <w:sz w:val="20"/>
          <w:szCs w:val="20"/>
          <w:lang w:val="bg-BG"/>
        </w:rPr>
        <w:t xml:space="preserve">. </w:t>
      </w:r>
      <w:r w:rsidRPr="00FD37F6">
        <w:rPr>
          <w:rFonts w:cs="Times New Roman"/>
          <w:sz w:val="20"/>
          <w:szCs w:val="20"/>
          <w:lang w:val="en-US"/>
        </w:rPr>
        <w:t xml:space="preserve">Comodity Markets Outlook. April 2020 </w:t>
      </w:r>
      <w:hyperlink r:id="rId177" w:history="1">
        <w:r w:rsidRPr="00FD37F6">
          <w:rPr>
            <w:rStyle w:val="Hyperlink"/>
            <w:rFonts w:cs="Times New Roman"/>
            <w:sz w:val="20"/>
            <w:szCs w:val="20"/>
          </w:rPr>
          <w:t>http://pubdocs.worldbank.org/en/558261587395154178/CMO-April-2020-Special-Focus-1.pdf</w:t>
        </w:r>
      </w:hyperlink>
      <w:r w:rsidRPr="00FD37F6">
        <w:rPr>
          <w:rFonts w:cs="Times New Roman"/>
          <w:sz w:val="20"/>
          <w:szCs w:val="20"/>
          <w:lang w:val="bg-BG"/>
        </w:rPr>
        <w:t xml:space="preserve"> </w:t>
      </w:r>
    </w:p>
  </w:footnote>
  <w:footnote w:id="148">
    <w:p w14:paraId="1B7119BE" w14:textId="77777777" w:rsidR="00215C86" w:rsidRPr="00FD37F6" w:rsidRDefault="00215C86" w:rsidP="00F00BE8">
      <w:pPr>
        <w:pStyle w:val="FootnoteText"/>
        <w:spacing w:after="20"/>
        <w:rPr>
          <w:rFonts w:cs="Times New Roman"/>
          <w:sz w:val="20"/>
          <w:szCs w:val="20"/>
          <w:lang w:val="en-US"/>
        </w:rPr>
      </w:pPr>
      <w:r w:rsidRPr="00FD37F6">
        <w:rPr>
          <w:rStyle w:val="FootnoteReference"/>
          <w:rFonts w:cs="Times New Roman"/>
          <w:sz w:val="20"/>
          <w:szCs w:val="20"/>
        </w:rPr>
        <w:footnoteRef/>
      </w:r>
      <w:r w:rsidRPr="00FD37F6">
        <w:rPr>
          <w:rFonts w:cs="Times New Roman"/>
          <w:sz w:val="20"/>
          <w:szCs w:val="20"/>
        </w:rPr>
        <w:t xml:space="preserve"> </w:t>
      </w:r>
      <w:r w:rsidRPr="00FD37F6">
        <w:rPr>
          <w:rFonts w:cs="Times New Roman"/>
          <w:sz w:val="20"/>
          <w:szCs w:val="20"/>
          <w:lang w:val="en-US"/>
        </w:rPr>
        <w:t>EBRD</w:t>
      </w:r>
      <w:r w:rsidRPr="00FD37F6">
        <w:rPr>
          <w:rFonts w:cs="Times New Roman"/>
          <w:sz w:val="20"/>
          <w:szCs w:val="20"/>
          <w:lang w:val="bg-BG"/>
        </w:rPr>
        <w:t xml:space="preserve">, 2020. </w:t>
      </w:r>
      <w:r w:rsidRPr="00FD37F6">
        <w:rPr>
          <w:rFonts w:cs="Times New Roman"/>
          <w:sz w:val="20"/>
          <w:szCs w:val="20"/>
          <w:lang w:val="en-US"/>
        </w:rPr>
        <w:t xml:space="preserve">Regional Economic Prospects in the EBRD regions. </w:t>
      </w:r>
      <w:hyperlink r:id="rId178" w:history="1">
        <w:r w:rsidRPr="00FD37F6">
          <w:rPr>
            <w:rStyle w:val="Hyperlink"/>
            <w:rFonts w:cs="Times New Roman"/>
            <w:sz w:val="20"/>
            <w:szCs w:val="20"/>
            <w:lang w:val="en-US"/>
          </w:rPr>
          <w:t>https://www.ebrd.com/news/2020/ebrd-economies-seen-contracting-by-35-per-cent-in-2020-48-per-cent-rebound-in-2021.html</w:t>
        </w:r>
      </w:hyperlink>
      <w:r w:rsidRPr="00FD37F6">
        <w:rPr>
          <w:rFonts w:cs="Times New Roman"/>
          <w:sz w:val="20"/>
          <w:szCs w:val="20"/>
          <w:lang w:val="en-US"/>
        </w:rPr>
        <w:t xml:space="preserve"> </w:t>
      </w:r>
    </w:p>
  </w:footnote>
  <w:footnote w:id="149">
    <w:p w14:paraId="5CF55A13" w14:textId="77777777" w:rsidR="00215C86" w:rsidRPr="00FD37F6" w:rsidRDefault="00215C86" w:rsidP="00AE254B">
      <w:pPr>
        <w:pStyle w:val="FootnoteText"/>
        <w:spacing w:after="20"/>
        <w:ind w:right="-187"/>
        <w:rPr>
          <w:rFonts w:cs="Times New Roman"/>
          <w:sz w:val="20"/>
          <w:szCs w:val="20"/>
          <w:lang w:val="en-US"/>
        </w:rPr>
      </w:pPr>
      <w:r w:rsidRPr="00FD37F6">
        <w:rPr>
          <w:rStyle w:val="FootnoteReference"/>
          <w:rFonts w:cs="Times New Roman"/>
          <w:sz w:val="20"/>
          <w:szCs w:val="20"/>
        </w:rPr>
        <w:footnoteRef/>
      </w:r>
      <w:r w:rsidRPr="00FD37F6">
        <w:rPr>
          <w:rFonts w:cs="Times New Roman"/>
          <w:sz w:val="20"/>
          <w:szCs w:val="20"/>
        </w:rPr>
        <w:t xml:space="preserve"> </w:t>
      </w:r>
      <w:r w:rsidRPr="00FD37F6">
        <w:rPr>
          <w:rFonts w:cs="Times New Roman"/>
          <w:sz w:val="20"/>
          <w:szCs w:val="20"/>
          <w:lang w:val="en-US"/>
        </w:rPr>
        <w:t xml:space="preserve">The Sofia Globe. 2020. Covid-19 in Bulgaria: Roundup, April 9 – from the World Bank to checks on couriers. </w:t>
      </w:r>
    </w:p>
  </w:footnote>
  <w:footnote w:id="150">
    <w:p w14:paraId="4B8D72C1"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rPr>
        <w:t xml:space="preserve"> OECD </w:t>
      </w:r>
      <w:r w:rsidRPr="00FD37F6">
        <w:rPr>
          <w:rFonts w:cs="Times New Roman"/>
          <w:sz w:val="20"/>
          <w:szCs w:val="20"/>
          <w:lang w:val="bg-BG"/>
        </w:rPr>
        <w:t xml:space="preserve">2020. </w:t>
      </w:r>
      <w:r w:rsidRPr="00FD37F6">
        <w:rPr>
          <w:rFonts w:cs="Times New Roman"/>
          <w:sz w:val="20"/>
          <w:szCs w:val="20"/>
        </w:rPr>
        <w:t>Interim Economic Assessment</w:t>
      </w:r>
      <w:r w:rsidRPr="00FD37F6">
        <w:rPr>
          <w:rFonts w:cs="Times New Roman"/>
          <w:sz w:val="20"/>
          <w:szCs w:val="20"/>
          <w:lang w:val="bg-BG"/>
        </w:rPr>
        <w:t>.</w:t>
      </w:r>
      <w:r w:rsidRPr="00FD37F6">
        <w:rPr>
          <w:rFonts w:cs="Times New Roman"/>
          <w:sz w:val="20"/>
          <w:szCs w:val="20"/>
        </w:rPr>
        <w:t xml:space="preserve"> Coronavirus: The world economy at risk</w:t>
      </w:r>
      <w:r w:rsidRPr="00FD37F6">
        <w:rPr>
          <w:rFonts w:cs="Times New Roman"/>
          <w:sz w:val="20"/>
          <w:szCs w:val="20"/>
          <w:lang w:val="bg-BG"/>
        </w:rPr>
        <w:t xml:space="preserve">. </w:t>
      </w:r>
    </w:p>
    <w:p w14:paraId="0C782684" w14:textId="77777777" w:rsidR="00215C86" w:rsidRPr="00FD37F6" w:rsidRDefault="002A152C" w:rsidP="00F00BE8">
      <w:pPr>
        <w:pStyle w:val="FootnoteText"/>
        <w:spacing w:after="20"/>
        <w:rPr>
          <w:rFonts w:cs="Times New Roman"/>
          <w:sz w:val="20"/>
          <w:szCs w:val="20"/>
          <w:lang w:val="bg-BG"/>
        </w:rPr>
      </w:pPr>
      <w:hyperlink r:id="rId179" w:history="1">
        <w:r w:rsidR="00215C86" w:rsidRPr="00FD37F6">
          <w:rPr>
            <w:rStyle w:val="Hyperlink"/>
            <w:rFonts w:cs="Times New Roman"/>
            <w:sz w:val="20"/>
            <w:szCs w:val="20"/>
          </w:rPr>
          <w:t>https</w:t>
        </w:r>
        <w:r w:rsidR="00215C86" w:rsidRPr="00FD37F6">
          <w:rPr>
            <w:rStyle w:val="Hyperlink"/>
            <w:rFonts w:cs="Times New Roman"/>
            <w:sz w:val="20"/>
            <w:szCs w:val="20"/>
            <w:lang w:val="bg-BG"/>
          </w:rPr>
          <w:t>://</w:t>
        </w:r>
        <w:r w:rsidR="00215C86" w:rsidRPr="00FD37F6">
          <w:rPr>
            <w:rStyle w:val="Hyperlink"/>
            <w:rFonts w:cs="Times New Roman"/>
            <w:sz w:val="20"/>
            <w:szCs w:val="20"/>
          </w:rPr>
          <w:t>www</w:t>
        </w:r>
        <w:r w:rsidR="00215C86" w:rsidRPr="00FD37F6">
          <w:rPr>
            <w:rStyle w:val="Hyperlink"/>
            <w:rFonts w:cs="Times New Roman"/>
            <w:sz w:val="20"/>
            <w:szCs w:val="20"/>
            <w:lang w:val="bg-BG"/>
          </w:rPr>
          <w:t>.</w:t>
        </w:r>
        <w:r w:rsidR="00215C86" w:rsidRPr="00FD37F6">
          <w:rPr>
            <w:rStyle w:val="Hyperlink"/>
            <w:rFonts w:cs="Times New Roman"/>
            <w:sz w:val="20"/>
            <w:szCs w:val="20"/>
          </w:rPr>
          <w:t>oecd</w:t>
        </w:r>
        <w:r w:rsidR="00215C86" w:rsidRPr="00FD37F6">
          <w:rPr>
            <w:rStyle w:val="Hyperlink"/>
            <w:rFonts w:cs="Times New Roman"/>
            <w:sz w:val="20"/>
            <w:szCs w:val="20"/>
            <w:lang w:val="bg-BG"/>
          </w:rPr>
          <w:t>-</w:t>
        </w:r>
        <w:r w:rsidR="00215C86" w:rsidRPr="00FD37F6">
          <w:rPr>
            <w:rStyle w:val="Hyperlink"/>
            <w:rFonts w:cs="Times New Roman"/>
            <w:sz w:val="20"/>
            <w:szCs w:val="20"/>
          </w:rPr>
          <w:t>ilibrary</w:t>
        </w:r>
        <w:r w:rsidR="00215C86" w:rsidRPr="00FD37F6">
          <w:rPr>
            <w:rStyle w:val="Hyperlink"/>
            <w:rFonts w:cs="Times New Roman"/>
            <w:sz w:val="20"/>
            <w:szCs w:val="20"/>
            <w:lang w:val="bg-BG"/>
          </w:rPr>
          <w:t>.</w:t>
        </w:r>
        <w:r w:rsidR="00215C86" w:rsidRPr="00FD37F6">
          <w:rPr>
            <w:rStyle w:val="Hyperlink"/>
            <w:rFonts w:cs="Times New Roman"/>
            <w:sz w:val="20"/>
            <w:szCs w:val="20"/>
          </w:rPr>
          <w:t>org</w:t>
        </w:r>
        <w:r w:rsidR="00215C86" w:rsidRPr="00FD37F6">
          <w:rPr>
            <w:rStyle w:val="Hyperlink"/>
            <w:rFonts w:cs="Times New Roman"/>
            <w:sz w:val="20"/>
            <w:szCs w:val="20"/>
            <w:lang w:val="bg-BG"/>
          </w:rPr>
          <w:t>/</w:t>
        </w:r>
        <w:r w:rsidR="00215C86" w:rsidRPr="00FD37F6">
          <w:rPr>
            <w:rStyle w:val="Hyperlink"/>
            <w:rFonts w:cs="Times New Roman"/>
            <w:sz w:val="20"/>
            <w:szCs w:val="20"/>
          </w:rPr>
          <w:t>docserver</w:t>
        </w:r>
        <w:r w:rsidR="00215C86" w:rsidRPr="00FD37F6">
          <w:rPr>
            <w:rStyle w:val="Hyperlink"/>
            <w:rFonts w:cs="Times New Roman"/>
            <w:sz w:val="20"/>
            <w:szCs w:val="20"/>
            <w:lang w:val="bg-BG"/>
          </w:rPr>
          <w:t>/7969896</w:t>
        </w:r>
        <w:r w:rsidR="00215C86" w:rsidRPr="00FD37F6">
          <w:rPr>
            <w:rStyle w:val="Hyperlink"/>
            <w:rFonts w:cs="Times New Roman"/>
            <w:sz w:val="20"/>
            <w:szCs w:val="20"/>
          </w:rPr>
          <w:t>b</w:t>
        </w:r>
        <w:r w:rsidR="00215C86" w:rsidRPr="00FD37F6">
          <w:rPr>
            <w:rStyle w:val="Hyperlink"/>
            <w:rFonts w:cs="Times New Roman"/>
            <w:sz w:val="20"/>
            <w:szCs w:val="20"/>
            <w:lang w:val="bg-BG"/>
          </w:rPr>
          <w:t>-е</w:t>
        </w:r>
        <w:r w:rsidR="00215C86" w:rsidRPr="00FD37F6">
          <w:rPr>
            <w:rStyle w:val="Hyperlink"/>
            <w:rFonts w:cs="Times New Roman"/>
            <w:sz w:val="20"/>
            <w:szCs w:val="20"/>
          </w:rPr>
          <w:t>n</w:t>
        </w:r>
        <w:r w:rsidR="00215C86" w:rsidRPr="00FD37F6">
          <w:rPr>
            <w:rStyle w:val="Hyperlink"/>
            <w:rFonts w:cs="Times New Roman"/>
            <w:sz w:val="20"/>
            <w:szCs w:val="20"/>
            <w:lang w:val="bg-BG"/>
          </w:rPr>
          <w:t>.</w:t>
        </w:r>
        <w:r w:rsidR="00215C86" w:rsidRPr="00FD37F6">
          <w:rPr>
            <w:rStyle w:val="Hyperlink"/>
            <w:rFonts w:cs="Times New Roman"/>
            <w:sz w:val="20"/>
            <w:szCs w:val="20"/>
          </w:rPr>
          <w:t>pdf</w:t>
        </w:r>
        <w:r w:rsidR="00215C86" w:rsidRPr="00FD37F6">
          <w:rPr>
            <w:rStyle w:val="Hyperlink"/>
            <w:rFonts w:cs="Times New Roman"/>
            <w:sz w:val="20"/>
            <w:szCs w:val="20"/>
            <w:lang w:val="bg-BG"/>
          </w:rPr>
          <w:t>?</w:t>
        </w:r>
        <w:r w:rsidR="00215C86" w:rsidRPr="00FD37F6">
          <w:rPr>
            <w:rStyle w:val="Hyperlink"/>
            <w:rFonts w:cs="Times New Roman"/>
            <w:sz w:val="20"/>
            <w:szCs w:val="20"/>
          </w:rPr>
          <w:t>expires</w:t>
        </w:r>
        <w:r w:rsidR="00215C86" w:rsidRPr="00FD37F6">
          <w:rPr>
            <w:rStyle w:val="Hyperlink"/>
            <w:rFonts w:cs="Times New Roman"/>
            <w:sz w:val="20"/>
            <w:szCs w:val="20"/>
            <w:lang w:val="bg-BG"/>
          </w:rPr>
          <w:t>=1590396731&amp;</w:t>
        </w:r>
        <w:r w:rsidR="00215C86" w:rsidRPr="00FD37F6">
          <w:rPr>
            <w:rStyle w:val="Hyperlink"/>
            <w:rFonts w:cs="Times New Roman"/>
            <w:sz w:val="20"/>
            <w:szCs w:val="20"/>
          </w:rPr>
          <w:t>id</w:t>
        </w:r>
        <w:r w:rsidR="00215C86" w:rsidRPr="00FD37F6">
          <w:rPr>
            <w:rStyle w:val="Hyperlink"/>
            <w:rFonts w:cs="Times New Roman"/>
            <w:sz w:val="20"/>
            <w:szCs w:val="20"/>
            <w:lang w:val="bg-BG"/>
          </w:rPr>
          <w:t>=</w:t>
        </w:r>
        <w:r w:rsidR="00215C86" w:rsidRPr="00FD37F6">
          <w:rPr>
            <w:rStyle w:val="Hyperlink"/>
            <w:rFonts w:cs="Times New Roman"/>
            <w:sz w:val="20"/>
            <w:szCs w:val="20"/>
          </w:rPr>
          <w:t>id</w:t>
        </w:r>
        <w:r w:rsidR="00215C86" w:rsidRPr="00FD37F6">
          <w:rPr>
            <w:rStyle w:val="Hyperlink"/>
            <w:rFonts w:cs="Times New Roman"/>
            <w:sz w:val="20"/>
            <w:szCs w:val="20"/>
            <w:lang w:val="bg-BG"/>
          </w:rPr>
          <w:t>&amp;</w:t>
        </w:r>
        <w:r w:rsidR="00215C86" w:rsidRPr="00FD37F6">
          <w:rPr>
            <w:rStyle w:val="Hyperlink"/>
            <w:rFonts w:cs="Times New Roman"/>
            <w:sz w:val="20"/>
            <w:szCs w:val="20"/>
          </w:rPr>
          <w:t>accname</w:t>
        </w:r>
        <w:r w:rsidR="00215C86" w:rsidRPr="00FD37F6">
          <w:rPr>
            <w:rStyle w:val="Hyperlink"/>
            <w:rFonts w:cs="Times New Roman"/>
            <w:sz w:val="20"/>
            <w:szCs w:val="20"/>
            <w:lang w:val="bg-BG"/>
          </w:rPr>
          <w:t>=</w:t>
        </w:r>
        <w:r w:rsidR="00215C86" w:rsidRPr="00FD37F6">
          <w:rPr>
            <w:rStyle w:val="Hyperlink"/>
            <w:rFonts w:cs="Times New Roman"/>
            <w:sz w:val="20"/>
            <w:szCs w:val="20"/>
          </w:rPr>
          <w:t>guest</w:t>
        </w:r>
        <w:r w:rsidR="00215C86" w:rsidRPr="00FD37F6">
          <w:rPr>
            <w:rStyle w:val="Hyperlink"/>
            <w:rFonts w:cs="Times New Roman"/>
            <w:sz w:val="20"/>
            <w:szCs w:val="20"/>
            <w:lang w:val="bg-BG"/>
          </w:rPr>
          <w:t>&amp;</w:t>
        </w:r>
        <w:r w:rsidR="00215C86" w:rsidRPr="00FD37F6">
          <w:rPr>
            <w:rStyle w:val="Hyperlink"/>
            <w:rFonts w:cs="Times New Roman"/>
            <w:sz w:val="20"/>
            <w:szCs w:val="20"/>
          </w:rPr>
          <w:t>checksum</w:t>
        </w:r>
        <w:r w:rsidR="00215C86" w:rsidRPr="00FD37F6">
          <w:rPr>
            <w:rStyle w:val="Hyperlink"/>
            <w:rFonts w:cs="Times New Roman"/>
            <w:sz w:val="20"/>
            <w:szCs w:val="20"/>
            <w:lang w:val="bg-BG"/>
          </w:rPr>
          <w:t>=1</w:t>
        </w:r>
        <w:r w:rsidR="00215C86" w:rsidRPr="00FD37F6">
          <w:rPr>
            <w:rStyle w:val="Hyperlink"/>
            <w:rFonts w:cs="Times New Roman"/>
            <w:sz w:val="20"/>
            <w:szCs w:val="20"/>
          </w:rPr>
          <w:t>DB</w:t>
        </w:r>
        <w:r w:rsidR="00215C86" w:rsidRPr="00FD37F6">
          <w:rPr>
            <w:rStyle w:val="Hyperlink"/>
            <w:rFonts w:cs="Times New Roman"/>
            <w:sz w:val="20"/>
            <w:szCs w:val="20"/>
            <w:lang w:val="bg-BG"/>
          </w:rPr>
          <w:t>3</w:t>
        </w:r>
        <w:r w:rsidR="00215C86" w:rsidRPr="00FD37F6">
          <w:rPr>
            <w:rStyle w:val="Hyperlink"/>
            <w:rFonts w:cs="Times New Roman"/>
            <w:sz w:val="20"/>
            <w:szCs w:val="20"/>
          </w:rPr>
          <w:t>B</w:t>
        </w:r>
        <w:r w:rsidR="00215C86" w:rsidRPr="00FD37F6">
          <w:rPr>
            <w:rStyle w:val="Hyperlink"/>
            <w:rFonts w:cs="Times New Roman"/>
            <w:sz w:val="20"/>
            <w:szCs w:val="20"/>
            <w:lang w:val="bg-BG"/>
          </w:rPr>
          <w:t>890</w:t>
        </w:r>
        <w:r w:rsidR="00215C86" w:rsidRPr="00FD37F6">
          <w:rPr>
            <w:rStyle w:val="Hyperlink"/>
            <w:rFonts w:cs="Times New Roman"/>
            <w:sz w:val="20"/>
            <w:szCs w:val="20"/>
          </w:rPr>
          <w:t>EB</w:t>
        </w:r>
        <w:r w:rsidR="00215C86" w:rsidRPr="00FD37F6">
          <w:rPr>
            <w:rStyle w:val="Hyperlink"/>
            <w:rFonts w:cs="Times New Roman"/>
            <w:sz w:val="20"/>
            <w:szCs w:val="20"/>
            <w:lang w:val="bg-BG"/>
          </w:rPr>
          <w:t>67</w:t>
        </w:r>
        <w:r w:rsidR="00215C86" w:rsidRPr="00FD37F6">
          <w:rPr>
            <w:rStyle w:val="Hyperlink"/>
            <w:rFonts w:cs="Times New Roman"/>
            <w:sz w:val="20"/>
            <w:szCs w:val="20"/>
          </w:rPr>
          <w:t>DAA</w:t>
        </w:r>
        <w:r w:rsidR="00215C86" w:rsidRPr="00FD37F6">
          <w:rPr>
            <w:rStyle w:val="Hyperlink"/>
            <w:rFonts w:cs="Times New Roman"/>
            <w:sz w:val="20"/>
            <w:szCs w:val="20"/>
            <w:lang w:val="bg-BG"/>
          </w:rPr>
          <w:t>0216</w:t>
        </w:r>
        <w:r w:rsidR="00215C86" w:rsidRPr="00FD37F6">
          <w:rPr>
            <w:rStyle w:val="Hyperlink"/>
            <w:rFonts w:cs="Times New Roman"/>
            <w:sz w:val="20"/>
            <w:szCs w:val="20"/>
          </w:rPr>
          <w:t>A</w:t>
        </w:r>
        <w:r w:rsidR="00215C86" w:rsidRPr="00FD37F6">
          <w:rPr>
            <w:rStyle w:val="Hyperlink"/>
            <w:rFonts w:cs="Times New Roman"/>
            <w:sz w:val="20"/>
            <w:szCs w:val="20"/>
            <w:lang w:val="bg-BG"/>
          </w:rPr>
          <w:t>6</w:t>
        </w:r>
        <w:r w:rsidR="00215C86" w:rsidRPr="00FD37F6">
          <w:rPr>
            <w:rStyle w:val="Hyperlink"/>
            <w:rFonts w:cs="Times New Roman"/>
            <w:sz w:val="20"/>
            <w:szCs w:val="20"/>
          </w:rPr>
          <w:t>F</w:t>
        </w:r>
        <w:r w:rsidR="00215C86" w:rsidRPr="00FD37F6">
          <w:rPr>
            <w:rStyle w:val="Hyperlink"/>
            <w:rFonts w:cs="Times New Roman"/>
            <w:sz w:val="20"/>
            <w:szCs w:val="20"/>
            <w:lang w:val="bg-BG"/>
          </w:rPr>
          <w:t>9</w:t>
        </w:r>
        <w:r w:rsidR="00215C86" w:rsidRPr="00FD37F6">
          <w:rPr>
            <w:rStyle w:val="Hyperlink"/>
            <w:rFonts w:cs="Times New Roman"/>
            <w:sz w:val="20"/>
            <w:szCs w:val="20"/>
          </w:rPr>
          <w:t>DC</w:t>
        </w:r>
        <w:r w:rsidR="00215C86" w:rsidRPr="00FD37F6">
          <w:rPr>
            <w:rStyle w:val="Hyperlink"/>
            <w:rFonts w:cs="Times New Roman"/>
            <w:sz w:val="20"/>
            <w:szCs w:val="20"/>
            <w:lang w:val="bg-BG"/>
          </w:rPr>
          <w:t>2</w:t>
        </w:r>
        <w:r w:rsidR="00215C86" w:rsidRPr="00FD37F6">
          <w:rPr>
            <w:rStyle w:val="Hyperlink"/>
            <w:rFonts w:cs="Times New Roman"/>
            <w:sz w:val="20"/>
            <w:szCs w:val="20"/>
          </w:rPr>
          <w:t>F</w:t>
        </w:r>
        <w:r w:rsidR="00215C86" w:rsidRPr="00FD37F6">
          <w:rPr>
            <w:rStyle w:val="Hyperlink"/>
            <w:rFonts w:cs="Times New Roman"/>
            <w:sz w:val="20"/>
            <w:szCs w:val="20"/>
            <w:lang w:val="bg-BG"/>
          </w:rPr>
          <w:t>08</w:t>
        </w:r>
        <w:r w:rsidR="00215C86" w:rsidRPr="00FD37F6">
          <w:rPr>
            <w:rStyle w:val="Hyperlink"/>
            <w:rFonts w:cs="Times New Roman"/>
            <w:sz w:val="20"/>
            <w:szCs w:val="20"/>
          </w:rPr>
          <w:t>F</w:t>
        </w:r>
        <w:r w:rsidR="00215C86" w:rsidRPr="00FD37F6">
          <w:rPr>
            <w:rStyle w:val="Hyperlink"/>
            <w:rFonts w:cs="Times New Roman"/>
            <w:sz w:val="20"/>
            <w:szCs w:val="20"/>
            <w:lang w:val="bg-BG"/>
          </w:rPr>
          <w:t>30</w:t>
        </w:r>
      </w:hyperlink>
      <w:r w:rsidR="00215C86" w:rsidRPr="00FD37F6">
        <w:rPr>
          <w:rFonts w:cs="Times New Roman"/>
          <w:sz w:val="20"/>
          <w:szCs w:val="20"/>
          <w:lang w:val="bg-BG"/>
        </w:rPr>
        <w:t xml:space="preserve"> </w:t>
      </w:r>
    </w:p>
  </w:footnote>
  <w:footnote w:id="151">
    <w:p w14:paraId="786A459B" w14:textId="3F74BD66"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rPr>
        <w:t xml:space="preserve"> </w:t>
      </w:r>
      <w:r w:rsidRPr="00FD37F6">
        <w:rPr>
          <w:rFonts w:cs="Times New Roman"/>
          <w:sz w:val="20"/>
          <w:szCs w:val="20"/>
          <w:lang w:val="bg-BG"/>
        </w:rPr>
        <w:t>ЕС, 2012. Blue Growth. Opportunities for marine and maritime sustainable growth. COM(2012) 494 final</w:t>
      </w:r>
      <w:r w:rsidRPr="00FD37F6">
        <w:rPr>
          <w:rFonts w:cs="Times New Roman"/>
          <w:sz w:val="20"/>
          <w:szCs w:val="20"/>
        </w:rPr>
        <w:t xml:space="preserve"> </w:t>
      </w:r>
      <w:hyperlink r:id="rId180" w:history="1">
        <w:r w:rsidRPr="00FD37F6">
          <w:rPr>
            <w:rStyle w:val="Hyperlink"/>
            <w:rFonts w:cs="Times New Roman"/>
            <w:sz w:val="20"/>
            <w:szCs w:val="20"/>
            <w:lang w:val="bg-BG"/>
          </w:rPr>
          <w:t>https://ec.europa.eu/maritimeaffairs/sites/maritimeaffairs/files/docs/publications/blue-growth_en.pdf</w:t>
        </w:r>
      </w:hyperlink>
      <w:r w:rsidRPr="00FD37F6">
        <w:rPr>
          <w:rFonts w:cs="Times New Roman"/>
          <w:sz w:val="20"/>
          <w:szCs w:val="20"/>
          <w:lang w:val="bg-BG"/>
        </w:rPr>
        <w:t xml:space="preserve"> </w:t>
      </w:r>
    </w:p>
  </w:footnote>
  <w:footnote w:id="152">
    <w:p w14:paraId="1FFD393B" w14:textId="7BBD283F" w:rsidR="00215C86" w:rsidRPr="00FD37F6" w:rsidRDefault="00215C86" w:rsidP="00F00BE8">
      <w:pPr>
        <w:spacing w:after="20" w:line="240" w:lineRule="auto"/>
        <w:jc w:val="both"/>
        <w:rPr>
          <w:rFonts w:ascii="Times New Roman" w:hAnsi="Times New Roman" w:cs="Times New Roman"/>
          <w:sz w:val="20"/>
          <w:szCs w:val="20"/>
          <w:lang w:val="bg-BG"/>
        </w:rPr>
      </w:pPr>
      <w:r w:rsidRPr="00FD37F6">
        <w:rPr>
          <w:rStyle w:val="FootnoteReference"/>
          <w:rFonts w:ascii="Times New Roman" w:hAnsi="Times New Roman" w:cs="Times New Roman"/>
          <w:sz w:val="20"/>
          <w:szCs w:val="20"/>
        </w:rPr>
        <w:footnoteRef/>
      </w:r>
      <w:r w:rsidRPr="00FD37F6">
        <w:rPr>
          <w:rFonts w:ascii="Times New Roman" w:hAnsi="Times New Roman" w:cs="Times New Roman"/>
          <w:sz w:val="20"/>
          <w:szCs w:val="20"/>
          <w:lang w:val="bg-BG"/>
        </w:rPr>
        <w:t xml:space="preserve"> </w:t>
      </w:r>
      <w:r w:rsidRPr="00FD37F6">
        <w:rPr>
          <w:rFonts w:ascii="Times New Roman" w:hAnsi="Times New Roman" w:cs="Times New Roman"/>
          <w:bCs/>
          <w:i/>
          <w:sz w:val="20"/>
          <w:szCs w:val="20"/>
          <w:lang w:val="bg-BG"/>
        </w:rPr>
        <w:t>Високочестотни радари</w:t>
      </w:r>
      <w:r w:rsidRPr="00FD37F6">
        <w:rPr>
          <w:rFonts w:ascii="Times New Roman" w:hAnsi="Times New Roman" w:cs="Times New Roman"/>
          <w:bCs/>
          <w:sz w:val="20"/>
          <w:szCs w:val="20"/>
          <w:lang w:val="bg-BG"/>
        </w:rPr>
        <w:t xml:space="preserve"> – за измервания в рамките на голяма площ в помощ на морската навигация; </w:t>
      </w:r>
      <w:r w:rsidRPr="00FD37F6">
        <w:rPr>
          <w:rFonts w:ascii="Times New Roman" w:hAnsi="Times New Roman" w:cs="Times New Roman"/>
          <w:bCs/>
          <w:i/>
          <w:sz w:val="20"/>
          <w:szCs w:val="20"/>
          <w:lang w:val="bg-BG"/>
        </w:rPr>
        <w:t>морски глидери</w:t>
      </w:r>
      <w:r w:rsidRPr="00FD37F6">
        <w:rPr>
          <w:rFonts w:ascii="Times New Roman" w:hAnsi="Times New Roman" w:cs="Times New Roman"/>
          <w:bCs/>
          <w:sz w:val="20"/>
          <w:szCs w:val="20"/>
          <w:lang w:val="bg-BG"/>
        </w:rPr>
        <w:t xml:space="preserve"> - за дълги мисии като време и разстояние; </w:t>
      </w:r>
      <w:r w:rsidRPr="00FD37F6">
        <w:rPr>
          <w:rFonts w:ascii="Times New Roman" w:hAnsi="Times New Roman" w:cs="Times New Roman"/>
          <w:bCs/>
          <w:i/>
          <w:sz w:val="20"/>
          <w:szCs w:val="20"/>
          <w:lang w:val="bg-BG"/>
        </w:rPr>
        <w:t>телеметрия на животните</w:t>
      </w:r>
      <w:r w:rsidRPr="00FD37F6">
        <w:rPr>
          <w:rFonts w:ascii="Times New Roman" w:hAnsi="Times New Roman" w:cs="Times New Roman"/>
          <w:bCs/>
          <w:sz w:val="20"/>
          <w:szCs w:val="20"/>
          <w:lang w:val="bg-BG"/>
        </w:rPr>
        <w:t xml:space="preserve"> - събират информация, важна за изучаване на навиците и миграциите на животните; </w:t>
      </w:r>
      <w:r w:rsidRPr="00FD37F6">
        <w:rPr>
          <w:rFonts w:ascii="Times New Roman" w:hAnsi="Times New Roman" w:cs="Times New Roman"/>
          <w:bCs/>
          <w:i/>
          <w:sz w:val="20"/>
          <w:szCs w:val="20"/>
          <w:lang w:val="bg-BG"/>
        </w:rPr>
        <w:t>Системи от плаващи инструментални платформи – буйове</w:t>
      </w:r>
      <w:r w:rsidRPr="00FD37F6">
        <w:rPr>
          <w:rFonts w:ascii="Times New Roman" w:hAnsi="Times New Roman" w:cs="Times New Roman"/>
          <w:bCs/>
          <w:sz w:val="20"/>
          <w:szCs w:val="20"/>
          <w:lang w:val="bg-BG"/>
        </w:rPr>
        <w:t xml:space="preserve"> – събират данни за условията в морето чрез сензори; </w:t>
      </w:r>
      <w:r w:rsidRPr="00FD37F6">
        <w:rPr>
          <w:rFonts w:ascii="Times New Roman" w:hAnsi="Times New Roman" w:cs="Times New Roman"/>
          <w:bCs/>
          <w:i/>
          <w:sz w:val="20"/>
          <w:szCs w:val="20"/>
          <w:lang w:val="bg-BG"/>
        </w:rPr>
        <w:t>Дрифтери</w:t>
      </w:r>
      <w:r w:rsidRPr="00FD37F6">
        <w:rPr>
          <w:rFonts w:ascii="Times New Roman" w:hAnsi="Times New Roman" w:cs="Times New Roman"/>
          <w:bCs/>
          <w:sz w:val="20"/>
          <w:szCs w:val="20"/>
          <w:lang w:val="bg-BG"/>
        </w:rPr>
        <w:t xml:space="preserve"> - предоставят данни за морските течения и помагат за изготвянето на модели за циркулацията в океаните в реално време; </w:t>
      </w:r>
      <w:r w:rsidRPr="00FD37F6">
        <w:rPr>
          <w:rFonts w:ascii="Times New Roman" w:hAnsi="Times New Roman" w:cs="Times New Roman"/>
          <w:bCs/>
          <w:i/>
          <w:sz w:val="20"/>
          <w:szCs w:val="20"/>
          <w:lang w:val="bg-BG"/>
        </w:rPr>
        <w:t xml:space="preserve">Сонари - </w:t>
      </w:r>
      <w:r w:rsidRPr="00FD37F6">
        <w:rPr>
          <w:rFonts w:ascii="Times New Roman" w:hAnsi="Times New Roman" w:cs="Times New Roman"/>
          <w:bCs/>
          <w:sz w:val="20"/>
          <w:szCs w:val="20"/>
          <w:lang w:val="bg-BG"/>
        </w:rPr>
        <w:t xml:space="preserve">за намиране и идентифициране на обекти във водата; </w:t>
      </w:r>
      <w:r w:rsidRPr="00FD37F6">
        <w:rPr>
          <w:rFonts w:ascii="Times New Roman" w:hAnsi="Times New Roman" w:cs="Times New Roman"/>
          <w:bCs/>
          <w:i/>
          <w:sz w:val="20"/>
          <w:szCs w:val="20"/>
          <w:lang w:val="bg-BG"/>
        </w:rPr>
        <w:t>Сателитна океанография</w:t>
      </w:r>
      <w:r w:rsidRPr="00FD37F6">
        <w:rPr>
          <w:rFonts w:ascii="Times New Roman" w:hAnsi="Times New Roman" w:cs="Times New Roman"/>
          <w:bCs/>
          <w:sz w:val="20"/>
          <w:szCs w:val="20"/>
          <w:lang w:val="bg-BG"/>
        </w:rPr>
        <w:t xml:space="preserve"> - температура на морската повърхност, скорост и посока на вятъра, развитие на големи бури и урагани, коралови рифове и др. Чрез ГИС се събират, съхраняват и използват географски данни, чрез които се изработват виртуални модели на средата и се правят различни симулации.</w:t>
      </w:r>
    </w:p>
  </w:footnote>
  <w:footnote w:id="153">
    <w:p w14:paraId="41F47864" w14:textId="7A6F7880"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81"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ec</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maritimeaffairs</w:t>
        </w:r>
        <w:r w:rsidRPr="00FD37F6">
          <w:rPr>
            <w:rStyle w:val="Hyperlink"/>
            <w:rFonts w:cs="Times New Roman"/>
            <w:sz w:val="20"/>
            <w:szCs w:val="20"/>
            <w:lang w:val="bg-BG"/>
          </w:rPr>
          <w:t>/</w:t>
        </w:r>
        <w:r w:rsidRPr="00FD37F6">
          <w:rPr>
            <w:rStyle w:val="Hyperlink"/>
            <w:rFonts w:cs="Times New Roman"/>
            <w:sz w:val="20"/>
            <w:szCs w:val="20"/>
          </w:rPr>
          <w:t>sites</w:t>
        </w:r>
        <w:r w:rsidRPr="00FD37F6">
          <w:rPr>
            <w:rStyle w:val="Hyperlink"/>
            <w:rFonts w:cs="Times New Roman"/>
            <w:sz w:val="20"/>
            <w:szCs w:val="20"/>
            <w:lang w:val="bg-BG"/>
          </w:rPr>
          <w:t>/</w:t>
        </w:r>
        <w:r w:rsidRPr="00FD37F6">
          <w:rPr>
            <w:rStyle w:val="Hyperlink"/>
            <w:rFonts w:cs="Times New Roman"/>
            <w:sz w:val="20"/>
            <w:szCs w:val="20"/>
          </w:rPr>
          <w:t>maritimeaffairs</w:t>
        </w:r>
        <w:r w:rsidRPr="00FD37F6">
          <w:rPr>
            <w:rStyle w:val="Hyperlink"/>
            <w:rFonts w:cs="Times New Roman"/>
            <w:sz w:val="20"/>
            <w:szCs w:val="20"/>
            <w:lang w:val="bg-BG"/>
          </w:rPr>
          <w:t>/</w:t>
        </w:r>
        <w:r w:rsidRPr="00FD37F6">
          <w:rPr>
            <w:rStyle w:val="Hyperlink"/>
            <w:rFonts w:cs="Times New Roman"/>
            <w:sz w:val="20"/>
            <w:szCs w:val="20"/>
          </w:rPr>
          <w:t>files</w:t>
        </w:r>
        <w:r w:rsidRPr="00FD37F6">
          <w:rPr>
            <w:rStyle w:val="Hyperlink"/>
            <w:rFonts w:cs="Times New Roman"/>
            <w:sz w:val="20"/>
            <w:szCs w:val="20"/>
            <w:lang w:val="bg-BG"/>
          </w:rPr>
          <w:t>/2020_06_</w:t>
        </w:r>
        <w:r w:rsidRPr="00FD37F6">
          <w:rPr>
            <w:rStyle w:val="Hyperlink"/>
            <w:rFonts w:cs="Times New Roman"/>
            <w:sz w:val="20"/>
            <w:szCs w:val="20"/>
          </w:rPr>
          <w:t>blueeconomy</w:t>
        </w:r>
        <w:r w:rsidRPr="00FD37F6">
          <w:rPr>
            <w:rStyle w:val="Hyperlink"/>
            <w:rFonts w:cs="Times New Roman"/>
            <w:sz w:val="20"/>
            <w:szCs w:val="20"/>
            <w:lang w:val="bg-BG"/>
          </w:rPr>
          <w:t>-2020-</w:t>
        </w:r>
        <w:r w:rsidRPr="00FD37F6">
          <w:rPr>
            <w:rStyle w:val="Hyperlink"/>
            <w:rFonts w:cs="Times New Roman"/>
            <w:sz w:val="20"/>
            <w:szCs w:val="20"/>
          </w:rPr>
          <w:t>ld</w:t>
        </w:r>
        <w:r w:rsidRPr="00FD37F6">
          <w:rPr>
            <w:rStyle w:val="Hyperlink"/>
            <w:rFonts w:cs="Times New Roman"/>
            <w:sz w:val="20"/>
            <w:szCs w:val="20"/>
            <w:lang w:val="bg-BG"/>
          </w:rPr>
          <w:t>_</w:t>
        </w:r>
        <w:r w:rsidRPr="00FD37F6">
          <w:rPr>
            <w:rStyle w:val="Hyperlink"/>
            <w:rFonts w:cs="Times New Roman"/>
            <w:sz w:val="20"/>
            <w:szCs w:val="20"/>
          </w:rPr>
          <w:t>final</w:t>
        </w:r>
        <w:r w:rsidRPr="00FD37F6">
          <w:rPr>
            <w:rStyle w:val="Hyperlink"/>
            <w:rFonts w:cs="Times New Roman"/>
            <w:sz w:val="20"/>
            <w:szCs w:val="20"/>
            <w:lang w:val="bg-BG"/>
          </w:rPr>
          <w:t>.</w:t>
        </w:r>
        <w:r w:rsidRPr="00FD37F6">
          <w:rPr>
            <w:rStyle w:val="Hyperlink"/>
            <w:rFonts w:cs="Times New Roman"/>
            <w:sz w:val="20"/>
            <w:szCs w:val="20"/>
          </w:rPr>
          <w:t>pdf</w:t>
        </w:r>
      </w:hyperlink>
      <w:r w:rsidRPr="00FD37F6">
        <w:rPr>
          <w:rFonts w:cs="Times New Roman"/>
          <w:sz w:val="20"/>
          <w:szCs w:val="20"/>
          <w:lang w:val="bg-BG"/>
        </w:rPr>
        <w:t xml:space="preserve"> </w:t>
      </w:r>
    </w:p>
  </w:footnote>
  <w:footnote w:id="154">
    <w:p w14:paraId="0D761655" w14:textId="1301F6CE"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82"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devotes</w:t>
        </w:r>
        <w:r w:rsidRPr="00FD37F6">
          <w:rPr>
            <w:rStyle w:val="Hyperlink"/>
            <w:rFonts w:cs="Times New Roman"/>
            <w:sz w:val="20"/>
            <w:szCs w:val="20"/>
            <w:lang w:val="bg-BG"/>
          </w:rPr>
          <w:t>-</w:t>
        </w:r>
        <w:r w:rsidRPr="00FD37F6">
          <w:rPr>
            <w:rStyle w:val="Hyperlink"/>
            <w:rFonts w:cs="Times New Roman"/>
            <w:sz w:val="20"/>
            <w:szCs w:val="20"/>
          </w:rPr>
          <w:t>project</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wp</w:t>
        </w:r>
        <w:r w:rsidRPr="00FD37F6">
          <w:rPr>
            <w:rStyle w:val="Hyperlink"/>
            <w:rFonts w:cs="Times New Roman"/>
            <w:sz w:val="20"/>
            <w:szCs w:val="20"/>
            <w:lang w:val="bg-BG"/>
          </w:rPr>
          <w:t>-</w:t>
        </w:r>
        <w:r w:rsidRPr="00FD37F6">
          <w:rPr>
            <w:rStyle w:val="Hyperlink"/>
            <w:rFonts w:cs="Times New Roman"/>
            <w:sz w:val="20"/>
            <w:szCs w:val="20"/>
          </w:rPr>
          <w:t>content</w:t>
        </w:r>
        <w:r w:rsidRPr="00FD37F6">
          <w:rPr>
            <w:rStyle w:val="Hyperlink"/>
            <w:rFonts w:cs="Times New Roman"/>
            <w:sz w:val="20"/>
            <w:szCs w:val="20"/>
            <w:lang w:val="bg-BG"/>
          </w:rPr>
          <w:t>/</w:t>
        </w:r>
        <w:r w:rsidRPr="00FD37F6">
          <w:rPr>
            <w:rStyle w:val="Hyperlink"/>
            <w:rFonts w:cs="Times New Roman"/>
            <w:sz w:val="20"/>
            <w:szCs w:val="20"/>
          </w:rPr>
          <w:t>uploads</w:t>
        </w:r>
        <w:r w:rsidRPr="00FD37F6">
          <w:rPr>
            <w:rStyle w:val="Hyperlink"/>
            <w:rFonts w:cs="Times New Roman"/>
            <w:sz w:val="20"/>
            <w:szCs w:val="20"/>
            <w:lang w:val="bg-BG"/>
          </w:rPr>
          <w:t>/2014/06/</w:t>
        </w:r>
        <w:r w:rsidRPr="00FD37F6">
          <w:rPr>
            <w:rStyle w:val="Hyperlink"/>
            <w:rFonts w:cs="Times New Roman"/>
            <w:sz w:val="20"/>
            <w:szCs w:val="20"/>
          </w:rPr>
          <w:t>DEVOTES</w:t>
        </w:r>
        <w:r w:rsidRPr="00FD37F6">
          <w:rPr>
            <w:rStyle w:val="Hyperlink"/>
            <w:rFonts w:cs="Times New Roman"/>
            <w:sz w:val="20"/>
            <w:szCs w:val="20"/>
            <w:lang w:val="bg-BG"/>
          </w:rPr>
          <w:t>-</w:t>
        </w:r>
        <w:r w:rsidRPr="00FD37F6">
          <w:rPr>
            <w:rStyle w:val="Hyperlink"/>
            <w:rFonts w:cs="Times New Roman"/>
            <w:sz w:val="20"/>
            <w:szCs w:val="20"/>
          </w:rPr>
          <w:t>D</w:t>
        </w:r>
        <w:r w:rsidRPr="00FD37F6">
          <w:rPr>
            <w:rStyle w:val="Hyperlink"/>
            <w:rFonts w:cs="Times New Roman"/>
            <w:sz w:val="20"/>
            <w:szCs w:val="20"/>
            <w:lang w:val="bg-BG"/>
          </w:rPr>
          <w:t>1-1-</w:t>
        </w:r>
        <w:r w:rsidRPr="00FD37F6">
          <w:rPr>
            <w:rStyle w:val="Hyperlink"/>
            <w:rFonts w:cs="Times New Roman"/>
            <w:sz w:val="20"/>
            <w:szCs w:val="20"/>
          </w:rPr>
          <w:t>ConceptualModels</w:t>
        </w:r>
        <w:r w:rsidRPr="00FD37F6">
          <w:rPr>
            <w:rStyle w:val="Hyperlink"/>
            <w:rFonts w:cs="Times New Roman"/>
            <w:sz w:val="20"/>
            <w:szCs w:val="20"/>
            <w:lang w:val="bg-BG"/>
          </w:rPr>
          <w:t>.</w:t>
        </w:r>
        <w:r w:rsidRPr="00FD37F6">
          <w:rPr>
            <w:rStyle w:val="Hyperlink"/>
            <w:rFonts w:cs="Times New Roman"/>
            <w:sz w:val="20"/>
            <w:szCs w:val="20"/>
          </w:rPr>
          <w:t>pdf</w:t>
        </w:r>
      </w:hyperlink>
      <w:r w:rsidRPr="00FD37F6">
        <w:rPr>
          <w:rFonts w:cs="Times New Roman"/>
          <w:sz w:val="20"/>
          <w:szCs w:val="20"/>
          <w:lang w:val="bg-BG"/>
        </w:rPr>
        <w:t xml:space="preserve"> </w:t>
      </w:r>
    </w:p>
  </w:footnote>
  <w:footnote w:id="155">
    <w:p w14:paraId="508951E4" w14:textId="09EF0D21"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r w:rsidRPr="00FD37F6">
        <w:rPr>
          <w:rFonts w:cs="Times New Roman"/>
          <w:sz w:val="20"/>
          <w:szCs w:val="20"/>
        </w:rPr>
        <w:t xml:space="preserve">Burgas Vision Paper: </w:t>
      </w:r>
      <w:hyperlink r:id="rId183" w:history="1">
        <w:r w:rsidRPr="00FD37F6">
          <w:rPr>
            <w:rStyle w:val="Hyperlink"/>
            <w:rFonts w:cs="Times New Roman"/>
            <w:sz w:val="20"/>
            <w:szCs w:val="20"/>
          </w:rPr>
          <w:t>https://ec.europa.eu/maritimeaffairs/maritimeday/sites/mare-emd/files/burgas-visionpaper_en.pdf</w:t>
        </w:r>
      </w:hyperlink>
      <w:r w:rsidRPr="00FD37F6">
        <w:rPr>
          <w:rFonts w:cs="Times New Roman"/>
          <w:sz w:val="20"/>
          <w:szCs w:val="20"/>
          <w:lang w:val="bg-BG"/>
        </w:rPr>
        <w:t xml:space="preserve"> </w:t>
      </w:r>
      <w:r w:rsidRPr="00FD37F6">
        <w:rPr>
          <w:rFonts w:cs="Times New Roman"/>
          <w:sz w:val="20"/>
          <w:szCs w:val="20"/>
        </w:rPr>
        <w:t>European Maritime Day</w:t>
      </w:r>
      <w:r w:rsidRPr="00FD37F6">
        <w:rPr>
          <w:rFonts w:cs="Times New Roman"/>
          <w:sz w:val="20"/>
          <w:szCs w:val="20"/>
          <w:lang w:val="bg-BG"/>
        </w:rPr>
        <w:t xml:space="preserve">, </w:t>
      </w:r>
      <w:r w:rsidRPr="00FD37F6">
        <w:rPr>
          <w:rFonts w:cs="Times New Roman"/>
          <w:sz w:val="20"/>
          <w:szCs w:val="20"/>
        </w:rPr>
        <w:t xml:space="preserve">May 2018 </w:t>
      </w:r>
    </w:p>
  </w:footnote>
  <w:footnote w:id="156">
    <w:p w14:paraId="3F178047" w14:textId="0BCB6758" w:rsidR="00215C86" w:rsidRPr="00FD37F6" w:rsidRDefault="00215C86" w:rsidP="00F00BE8">
      <w:pPr>
        <w:pStyle w:val="FootnoteText"/>
        <w:spacing w:after="20"/>
        <w:rPr>
          <w:rFonts w:cs="Times New Roman"/>
          <w:sz w:val="20"/>
          <w:szCs w:val="20"/>
          <w:lang w:val="en-US"/>
        </w:rPr>
      </w:pPr>
      <w:r w:rsidRPr="00FD37F6">
        <w:rPr>
          <w:rStyle w:val="FootnoteReference"/>
          <w:rFonts w:cs="Times New Roman"/>
          <w:sz w:val="20"/>
          <w:szCs w:val="20"/>
        </w:rPr>
        <w:footnoteRef/>
      </w:r>
      <w:r w:rsidRPr="00FD37F6">
        <w:rPr>
          <w:rFonts w:cs="Times New Roman"/>
          <w:sz w:val="20"/>
          <w:szCs w:val="20"/>
        </w:rPr>
        <w:t xml:space="preserve"> </w:t>
      </w:r>
      <w:r w:rsidRPr="00FD37F6">
        <w:rPr>
          <w:rFonts w:cs="Times New Roman"/>
          <w:sz w:val="20"/>
          <w:szCs w:val="20"/>
          <w:lang w:val="en-US"/>
        </w:rPr>
        <w:t xml:space="preserve">UNCTAD. 2020. The Covid-19 pandemic and the Blue Economy. New challenges and prospects for recovery and resilience. </w:t>
      </w:r>
      <w:hyperlink r:id="rId184" w:history="1">
        <w:r w:rsidRPr="00FD37F6">
          <w:rPr>
            <w:rStyle w:val="Hyperlink"/>
            <w:rFonts w:cs="Times New Roman"/>
            <w:sz w:val="20"/>
            <w:szCs w:val="20"/>
            <w:lang w:val="en-US"/>
          </w:rPr>
          <w:t>https://unctad.org/en/PublicationsLibrary/ditctedinf2020d2_en.pdf</w:t>
        </w:r>
      </w:hyperlink>
      <w:r w:rsidRPr="00FD37F6">
        <w:rPr>
          <w:rFonts w:cs="Times New Roman"/>
          <w:sz w:val="20"/>
          <w:szCs w:val="20"/>
          <w:lang w:val="en-US"/>
        </w:rPr>
        <w:t xml:space="preserve"> </w:t>
      </w:r>
    </w:p>
  </w:footnote>
  <w:footnote w:id="157">
    <w:p w14:paraId="03A10594" w14:textId="632FFD74"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rPr>
        <w:t xml:space="preserve"> </w:t>
      </w:r>
      <w:hyperlink r:id="rId185" w:history="1">
        <w:r w:rsidRPr="00FD37F6">
          <w:rPr>
            <w:rStyle w:val="Hyperlink"/>
            <w:rFonts w:cs="Times New Roman"/>
            <w:sz w:val="20"/>
            <w:szCs w:val="20"/>
          </w:rPr>
          <w:t>https://www.csis.org/analysis/covid-19-sea-impacts-blue-economy-ocean-health-and-ocean-security</w:t>
        </w:r>
      </w:hyperlink>
      <w:r w:rsidRPr="00FD37F6">
        <w:rPr>
          <w:rFonts w:cs="Times New Roman"/>
          <w:sz w:val="20"/>
          <w:szCs w:val="20"/>
        </w:rPr>
        <w:t xml:space="preserve"> </w:t>
      </w:r>
    </w:p>
  </w:footnote>
  <w:footnote w:id="158">
    <w:p w14:paraId="535FB3D0"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Програма за морско дело и рибарство 2014-2020</w:t>
      </w:r>
    </w:p>
  </w:footnote>
  <w:footnote w:id="159">
    <w:p w14:paraId="1982237B" w14:textId="77777777" w:rsidR="00215C86" w:rsidRPr="00FD37F6" w:rsidRDefault="00215C86" w:rsidP="00F00BE8">
      <w:pPr>
        <w:pStyle w:val="FootnoteText"/>
        <w:spacing w:after="20"/>
        <w:rPr>
          <w:rFonts w:cs="Times New Roman"/>
          <w:sz w:val="20"/>
          <w:szCs w:val="20"/>
          <w:lang w:val="en-US"/>
        </w:rPr>
      </w:pPr>
      <w:r w:rsidRPr="00FD37F6">
        <w:rPr>
          <w:rStyle w:val="FootnoteReference"/>
          <w:rFonts w:cs="Times New Roman"/>
          <w:sz w:val="20"/>
          <w:szCs w:val="20"/>
        </w:rPr>
        <w:footnoteRef/>
      </w:r>
      <w:r w:rsidRPr="00FD37F6">
        <w:rPr>
          <w:rFonts w:cs="Times New Roman"/>
          <w:sz w:val="20"/>
          <w:szCs w:val="20"/>
        </w:rPr>
        <w:t xml:space="preserve"> </w:t>
      </w:r>
      <w:r w:rsidRPr="00FD37F6">
        <w:rPr>
          <w:rFonts w:cs="Times New Roman"/>
          <w:sz w:val="20"/>
          <w:szCs w:val="20"/>
          <w:lang w:val="en-US"/>
        </w:rPr>
        <w:t xml:space="preserve">World Bank Report 2013. FISH TO 2030 Prospects for Fisheries and Aquaculture. </w:t>
      </w:r>
      <w:hyperlink r:id="rId186" w:history="1">
        <w:r w:rsidRPr="00FD37F6">
          <w:rPr>
            <w:rStyle w:val="Hyperlink"/>
            <w:rFonts w:cs="Times New Roman"/>
            <w:sz w:val="20"/>
            <w:szCs w:val="20"/>
            <w:lang w:val="en-US"/>
          </w:rPr>
          <w:t>http://www.fao.org/3/i3640e/i3640e.pdf</w:t>
        </w:r>
      </w:hyperlink>
      <w:r w:rsidRPr="00FD37F6">
        <w:rPr>
          <w:rFonts w:cs="Times New Roman"/>
          <w:sz w:val="20"/>
          <w:szCs w:val="20"/>
          <w:lang w:val="en-US"/>
        </w:rPr>
        <w:t xml:space="preserve"> </w:t>
      </w:r>
    </w:p>
  </w:footnote>
  <w:footnote w:id="160">
    <w:p w14:paraId="3097F542" w14:textId="522C5B7C" w:rsidR="00215C86" w:rsidRPr="00FD37F6" w:rsidRDefault="00215C86" w:rsidP="00C3007B">
      <w:pPr>
        <w:pStyle w:val="FootnoteText"/>
        <w:spacing w:after="20"/>
        <w:ind w:left="284" w:hanging="284"/>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rPr>
        <w:t xml:space="preserve"> </w:t>
      </w:r>
      <w:r w:rsidRPr="00FD37F6">
        <w:rPr>
          <w:rFonts w:cs="Times New Roman"/>
          <w:sz w:val="20"/>
          <w:szCs w:val="20"/>
          <w:lang w:val="bg-BG"/>
        </w:rPr>
        <w:t xml:space="preserve">ЕС. The EU Blue Economy Report 2019 </w:t>
      </w:r>
      <w:hyperlink r:id="rId187" w:history="1">
        <w:r w:rsidRPr="00FD37F6">
          <w:rPr>
            <w:rStyle w:val="Hyperlink"/>
            <w:rFonts w:cs="Times New Roman"/>
            <w:sz w:val="20"/>
            <w:szCs w:val="20"/>
          </w:rPr>
          <w:t>https://op.europa.eu/en/publication-detail/-/publication/676bbd4a-7dd9-11e9-9f05-01aa75ed71a1/language-en/</w:t>
        </w:r>
      </w:hyperlink>
      <w:r w:rsidRPr="00FD37F6">
        <w:rPr>
          <w:rFonts w:cs="Times New Roman"/>
          <w:sz w:val="20"/>
          <w:szCs w:val="20"/>
          <w:lang w:val="bg-BG"/>
        </w:rPr>
        <w:t xml:space="preserve"> </w:t>
      </w:r>
    </w:p>
  </w:footnote>
  <w:footnote w:id="161">
    <w:p w14:paraId="50A8BB12" w14:textId="191311EA"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Цитат от визията на Национална стратегия за устойчиво развитие на туризма в Република България, 2014-2030 г. Актуализирана версия 2017 г. </w:t>
      </w:r>
    </w:p>
  </w:footnote>
  <w:footnote w:id="162">
    <w:p w14:paraId="79986783" w14:textId="3DF89D7C"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88"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kis</w:t>
        </w:r>
        <w:r w:rsidRPr="00FD37F6">
          <w:rPr>
            <w:rStyle w:val="Hyperlink"/>
            <w:rFonts w:cs="Times New Roman"/>
            <w:sz w:val="20"/>
            <w:szCs w:val="20"/>
            <w:lang w:val="bg-BG"/>
          </w:rPr>
          <w:t>-</w:t>
        </w:r>
        <w:r w:rsidRPr="00FD37F6">
          <w:rPr>
            <w:rStyle w:val="Hyperlink"/>
            <w:rFonts w:cs="Times New Roman"/>
            <w:sz w:val="20"/>
            <w:szCs w:val="20"/>
          </w:rPr>
          <w:t>orca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map</w:t>
        </w:r>
      </w:hyperlink>
      <w:r w:rsidRPr="00FD37F6">
        <w:rPr>
          <w:rFonts w:cs="Times New Roman"/>
          <w:sz w:val="20"/>
          <w:szCs w:val="20"/>
          <w:lang w:val="bg-BG"/>
        </w:rPr>
        <w:t xml:space="preserve"> /</w:t>
      </w:r>
    </w:p>
  </w:footnote>
  <w:footnote w:id="163">
    <w:p w14:paraId="1981B9CA" w14:textId="141584A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rPr>
        <w:t xml:space="preserve"> ENPI CBC </w:t>
      </w:r>
      <w:hyperlink r:id="rId189" w:history="1">
        <w:r w:rsidRPr="00FD37F6">
          <w:rPr>
            <w:rStyle w:val="Hyperlink"/>
            <w:rFonts w:cs="Times New Roman"/>
            <w:sz w:val="20"/>
            <w:szCs w:val="20"/>
          </w:rPr>
          <w:t>https://blacksea-cbc.net/</w:t>
        </w:r>
      </w:hyperlink>
      <w:r w:rsidRPr="00FD37F6">
        <w:rPr>
          <w:rFonts w:cs="Times New Roman"/>
          <w:sz w:val="20"/>
          <w:szCs w:val="20"/>
        </w:rPr>
        <w:t xml:space="preserve"> </w:t>
      </w:r>
    </w:p>
  </w:footnote>
  <w:footnote w:id="164">
    <w:p w14:paraId="28AAB5A7" w14:textId="41A6CAC3"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90"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bsec</w:t>
        </w:r>
        <w:r w:rsidRPr="00FD37F6">
          <w:rPr>
            <w:rStyle w:val="Hyperlink"/>
            <w:rFonts w:cs="Times New Roman"/>
            <w:sz w:val="20"/>
            <w:szCs w:val="20"/>
            <w:lang w:val="bg-BG"/>
          </w:rPr>
          <w:t>-</w:t>
        </w:r>
        <w:r w:rsidRPr="00FD37F6">
          <w:rPr>
            <w:rStyle w:val="Hyperlink"/>
            <w:rFonts w:cs="Times New Roman"/>
            <w:sz w:val="20"/>
            <w:szCs w:val="20"/>
          </w:rPr>
          <w:t>organization</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165">
    <w:p w14:paraId="2C70DCEF" w14:textId="77777777" w:rsidR="00215C86" w:rsidRPr="00FD37F6" w:rsidRDefault="00215C86" w:rsidP="00F00BE8">
      <w:pPr>
        <w:pStyle w:val="FootnoteText"/>
        <w:spacing w:after="20"/>
        <w:rPr>
          <w:rFonts w:cs="Times New Roman"/>
          <w:sz w:val="20"/>
          <w:szCs w:val="20"/>
          <w:lang w:val="en-US"/>
        </w:rPr>
      </w:pPr>
      <w:r w:rsidRPr="00FD37F6">
        <w:rPr>
          <w:rStyle w:val="FootnoteReference"/>
          <w:rFonts w:cs="Times New Roman"/>
          <w:sz w:val="20"/>
          <w:szCs w:val="20"/>
        </w:rPr>
        <w:footnoteRef/>
      </w:r>
      <w:r w:rsidRPr="00FD37F6">
        <w:rPr>
          <w:rFonts w:cs="Times New Roman"/>
          <w:sz w:val="20"/>
          <w:szCs w:val="20"/>
        </w:rPr>
        <w:t xml:space="preserve"> </w:t>
      </w:r>
      <w:r w:rsidRPr="00FD37F6">
        <w:rPr>
          <w:rFonts w:cs="Times New Roman"/>
          <w:sz w:val="20"/>
          <w:szCs w:val="20"/>
          <w:lang w:val="en-US"/>
        </w:rPr>
        <w:t xml:space="preserve">PABSEC </w:t>
      </w:r>
      <w:hyperlink r:id="rId191" w:history="1">
        <w:r w:rsidRPr="00FD37F6">
          <w:rPr>
            <w:rStyle w:val="Hyperlink"/>
            <w:rFonts w:cs="Times New Roman"/>
            <w:sz w:val="20"/>
            <w:szCs w:val="20"/>
            <w:lang w:val="en-US"/>
          </w:rPr>
          <w:t>http://www.pabsec.org/page.asp?id=1&amp;hl=en</w:t>
        </w:r>
      </w:hyperlink>
      <w:r w:rsidRPr="00FD37F6">
        <w:rPr>
          <w:rFonts w:cs="Times New Roman"/>
          <w:sz w:val="20"/>
          <w:szCs w:val="20"/>
          <w:lang w:val="en-US"/>
        </w:rPr>
        <w:t xml:space="preserve"> </w:t>
      </w:r>
    </w:p>
  </w:footnote>
  <w:footnote w:id="166">
    <w:p w14:paraId="00D8856F"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de-DE"/>
        </w:rPr>
        <w:t xml:space="preserve"> BSTDB</w:t>
      </w:r>
      <w:r w:rsidRPr="00FD37F6">
        <w:rPr>
          <w:rFonts w:cs="Times New Roman"/>
          <w:sz w:val="20"/>
          <w:szCs w:val="20"/>
          <w:lang w:val="bg-BG"/>
        </w:rPr>
        <w:t xml:space="preserve"> </w:t>
      </w:r>
      <w:hyperlink r:id="rId192" w:history="1">
        <w:r w:rsidRPr="00FD37F6">
          <w:rPr>
            <w:rStyle w:val="Hyperlink"/>
            <w:rFonts w:cs="Times New Roman"/>
            <w:sz w:val="20"/>
            <w:szCs w:val="20"/>
            <w:lang w:val="bg-BG"/>
          </w:rPr>
          <w:t>https://www.bstdb.org/index.htm</w:t>
        </w:r>
      </w:hyperlink>
      <w:r w:rsidRPr="00FD37F6">
        <w:rPr>
          <w:rFonts w:cs="Times New Roman"/>
          <w:sz w:val="20"/>
          <w:szCs w:val="20"/>
          <w:lang w:val="bg-BG"/>
        </w:rPr>
        <w:t xml:space="preserve"> </w:t>
      </w:r>
    </w:p>
  </w:footnote>
  <w:footnote w:id="167">
    <w:p w14:paraId="0EB13781" w14:textId="2D2D0A2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r w:rsidRPr="00FD37F6">
        <w:rPr>
          <w:rFonts w:cs="Times New Roman"/>
          <w:sz w:val="20"/>
          <w:szCs w:val="20"/>
          <w:lang w:val="en-US"/>
        </w:rPr>
        <w:t>ICBSS</w:t>
      </w:r>
      <w:r w:rsidRPr="00FD37F6">
        <w:rPr>
          <w:rFonts w:cs="Times New Roman"/>
          <w:sz w:val="20"/>
          <w:szCs w:val="20"/>
          <w:lang w:val="bg-BG"/>
        </w:rPr>
        <w:t xml:space="preserve"> </w:t>
      </w:r>
      <w:hyperlink r:id="rId193" w:history="1">
        <w:r w:rsidRPr="00FD37F6">
          <w:rPr>
            <w:rFonts w:cs="Times New Roman"/>
            <w:color w:val="0000FF"/>
            <w:sz w:val="20"/>
            <w:szCs w:val="20"/>
            <w:u w:val="single"/>
          </w:rPr>
          <w:t>http</w:t>
        </w:r>
        <w:r w:rsidRPr="00FD37F6">
          <w:rPr>
            <w:rFonts w:cs="Times New Roman"/>
            <w:color w:val="0000FF"/>
            <w:sz w:val="20"/>
            <w:szCs w:val="20"/>
            <w:u w:val="single"/>
            <w:lang w:val="bg-BG"/>
          </w:rPr>
          <w:t>://</w:t>
        </w:r>
        <w:r w:rsidRPr="00FD37F6">
          <w:rPr>
            <w:rFonts w:cs="Times New Roman"/>
            <w:color w:val="0000FF"/>
            <w:sz w:val="20"/>
            <w:szCs w:val="20"/>
            <w:u w:val="single"/>
          </w:rPr>
          <w:t>icbss</w:t>
        </w:r>
        <w:r w:rsidRPr="00FD37F6">
          <w:rPr>
            <w:rFonts w:cs="Times New Roman"/>
            <w:color w:val="0000FF"/>
            <w:sz w:val="20"/>
            <w:szCs w:val="20"/>
            <w:u w:val="single"/>
            <w:lang w:val="bg-BG"/>
          </w:rPr>
          <w:t>.</w:t>
        </w:r>
        <w:r w:rsidRPr="00FD37F6">
          <w:rPr>
            <w:rFonts w:cs="Times New Roman"/>
            <w:color w:val="0000FF"/>
            <w:sz w:val="20"/>
            <w:szCs w:val="20"/>
            <w:u w:val="single"/>
          </w:rPr>
          <w:t>org</w:t>
        </w:r>
        <w:r w:rsidRPr="00FD37F6">
          <w:rPr>
            <w:rFonts w:cs="Times New Roman"/>
            <w:color w:val="0000FF"/>
            <w:sz w:val="20"/>
            <w:szCs w:val="20"/>
            <w:u w:val="single"/>
            <w:lang w:val="bg-BG"/>
          </w:rPr>
          <w:t>/</w:t>
        </w:r>
      </w:hyperlink>
    </w:p>
  </w:footnote>
  <w:footnote w:id="168">
    <w:p w14:paraId="73FFFA45" w14:textId="61548B10"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94"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blacksea</w:t>
        </w:r>
        <w:r w:rsidRPr="00FD37F6">
          <w:rPr>
            <w:rStyle w:val="Hyperlink"/>
            <w:rFonts w:cs="Times New Roman"/>
            <w:sz w:val="20"/>
            <w:szCs w:val="20"/>
            <w:lang w:val="bg-BG"/>
          </w:rPr>
          <w:t>-</w:t>
        </w:r>
        <w:r w:rsidRPr="00FD37F6">
          <w:rPr>
            <w:rStyle w:val="Hyperlink"/>
            <w:rFonts w:cs="Times New Roman"/>
            <w:sz w:val="20"/>
            <w:szCs w:val="20"/>
          </w:rPr>
          <w:t>commission</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169">
    <w:p w14:paraId="4F3C6686" w14:textId="61E3B1DC"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r w:rsidRPr="00133B13">
        <w:rPr>
          <w:rFonts w:cs="Times New Roman"/>
          <w:sz w:val="20"/>
          <w:szCs w:val="20"/>
          <w:lang w:val="es-ES"/>
        </w:rPr>
        <w:t>MARSPLAN</w:t>
      </w:r>
      <w:r w:rsidRPr="00FD37F6">
        <w:rPr>
          <w:rFonts w:cs="Times New Roman"/>
          <w:sz w:val="20"/>
          <w:szCs w:val="20"/>
          <w:lang w:val="bg-BG"/>
        </w:rPr>
        <w:t xml:space="preserve"> </w:t>
      </w:r>
      <w:r w:rsidRPr="00133B13">
        <w:rPr>
          <w:rFonts w:cs="Times New Roman"/>
          <w:sz w:val="20"/>
          <w:szCs w:val="20"/>
          <w:lang w:val="es-ES"/>
        </w:rPr>
        <w:t>BS</w:t>
      </w:r>
      <w:r w:rsidRPr="00FD37F6">
        <w:rPr>
          <w:rFonts w:cs="Times New Roman"/>
          <w:sz w:val="20"/>
          <w:szCs w:val="20"/>
          <w:lang w:val="bg-BG"/>
        </w:rPr>
        <w:t xml:space="preserve"> </w:t>
      </w:r>
      <w:hyperlink r:id="rId195" w:history="1">
        <w:r w:rsidRPr="00133B13">
          <w:rPr>
            <w:rStyle w:val="Hyperlink"/>
            <w:rFonts w:cs="Times New Roman"/>
            <w:sz w:val="20"/>
            <w:szCs w:val="20"/>
            <w:lang w:val="es-ES"/>
          </w:rPr>
          <w:t>http</w:t>
        </w:r>
        <w:r w:rsidRPr="00FD37F6">
          <w:rPr>
            <w:rStyle w:val="Hyperlink"/>
            <w:rFonts w:cs="Times New Roman"/>
            <w:sz w:val="20"/>
            <w:szCs w:val="20"/>
            <w:lang w:val="bg-BG"/>
          </w:rPr>
          <w:t>://</w:t>
        </w:r>
        <w:r w:rsidRPr="00133B13">
          <w:rPr>
            <w:rStyle w:val="Hyperlink"/>
            <w:rFonts w:cs="Times New Roman"/>
            <w:sz w:val="20"/>
            <w:szCs w:val="20"/>
            <w:lang w:val="es-ES"/>
          </w:rPr>
          <w:t>www</w:t>
        </w:r>
        <w:r w:rsidRPr="00FD37F6">
          <w:rPr>
            <w:rStyle w:val="Hyperlink"/>
            <w:rFonts w:cs="Times New Roman"/>
            <w:sz w:val="20"/>
            <w:szCs w:val="20"/>
            <w:lang w:val="bg-BG"/>
          </w:rPr>
          <w:t>.</w:t>
        </w:r>
        <w:r w:rsidRPr="00133B13">
          <w:rPr>
            <w:rStyle w:val="Hyperlink"/>
            <w:rFonts w:cs="Times New Roman"/>
            <w:sz w:val="20"/>
            <w:szCs w:val="20"/>
            <w:lang w:val="es-ES"/>
          </w:rPr>
          <w:t>marsplan</w:t>
        </w:r>
        <w:r w:rsidRPr="00FD37F6">
          <w:rPr>
            <w:rStyle w:val="Hyperlink"/>
            <w:rFonts w:cs="Times New Roman"/>
            <w:sz w:val="20"/>
            <w:szCs w:val="20"/>
            <w:lang w:val="bg-BG"/>
          </w:rPr>
          <w:t>.</w:t>
        </w:r>
        <w:r w:rsidRPr="00133B13">
          <w:rPr>
            <w:rStyle w:val="Hyperlink"/>
            <w:rFonts w:cs="Times New Roman"/>
            <w:sz w:val="20"/>
            <w:szCs w:val="20"/>
            <w:lang w:val="es-ES"/>
          </w:rPr>
          <w:t>ro</w:t>
        </w:r>
        <w:r w:rsidRPr="00FD37F6">
          <w:rPr>
            <w:rStyle w:val="Hyperlink"/>
            <w:rFonts w:cs="Times New Roman"/>
            <w:sz w:val="20"/>
            <w:szCs w:val="20"/>
            <w:lang w:val="bg-BG"/>
          </w:rPr>
          <w:t>/</w:t>
        </w:r>
        <w:r w:rsidRPr="00133B13">
          <w:rPr>
            <w:rStyle w:val="Hyperlink"/>
            <w:rFonts w:cs="Times New Roman"/>
            <w:sz w:val="20"/>
            <w:szCs w:val="20"/>
            <w:lang w:val="es-ES"/>
          </w:rPr>
          <w:t>bg</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170">
    <w:p w14:paraId="26B65B02" w14:textId="09EA073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r w:rsidRPr="00133B13">
        <w:rPr>
          <w:rFonts w:cs="Times New Roman"/>
          <w:sz w:val="20"/>
          <w:szCs w:val="20"/>
          <w:lang w:val="es-ES"/>
        </w:rPr>
        <w:t>MARSPLAN</w:t>
      </w:r>
      <w:r w:rsidRPr="00FD37F6">
        <w:rPr>
          <w:rFonts w:cs="Times New Roman"/>
          <w:sz w:val="20"/>
          <w:szCs w:val="20"/>
          <w:lang w:val="bg-BG"/>
        </w:rPr>
        <w:t>-</w:t>
      </w:r>
      <w:r w:rsidRPr="00133B13">
        <w:rPr>
          <w:rFonts w:cs="Times New Roman"/>
          <w:sz w:val="20"/>
          <w:szCs w:val="20"/>
          <w:lang w:val="es-ES"/>
        </w:rPr>
        <w:t>BS</w:t>
      </w:r>
      <w:r w:rsidRPr="00FD37F6">
        <w:rPr>
          <w:rFonts w:cs="Times New Roman"/>
          <w:sz w:val="20"/>
          <w:szCs w:val="20"/>
          <w:lang w:val="bg-BG"/>
        </w:rPr>
        <w:t xml:space="preserve"> </w:t>
      </w:r>
      <w:r w:rsidRPr="00133B13">
        <w:rPr>
          <w:rFonts w:cs="Times New Roman"/>
          <w:sz w:val="20"/>
          <w:szCs w:val="20"/>
          <w:lang w:val="es-ES"/>
        </w:rPr>
        <w:t>II</w:t>
      </w:r>
      <w:r w:rsidRPr="00FD37F6">
        <w:rPr>
          <w:rFonts w:cs="Times New Roman"/>
          <w:sz w:val="20"/>
          <w:szCs w:val="20"/>
          <w:lang w:val="bg-BG"/>
        </w:rPr>
        <w:t xml:space="preserve"> </w:t>
      </w:r>
      <w:hyperlink r:id="rId196" w:history="1">
        <w:r w:rsidRPr="00133B13">
          <w:rPr>
            <w:rStyle w:val="Hyperlink"/>
            <w:rFonts w:cs="Times New Roman"/>
            <w:sz w:val="20"/>
            <w:szCs w:val="20"/>
            <w:lang w:val="es-ES"/>
          </w:rPr>
          <w:t>http</w:t>
        </w:r>
        <w:r w:rsidRPr="00FD37F6">
          <w:rPr>
            <w:rStyle w:val="Hyperlink"/>
            <w:rFonts w:cs="Times New Roman"/>
            <w:sz w:val="20"/>
            <w:szCs w:val="20"/>
            <w:lang w:val="bg-BG"/>
          </w:rPr>
          <w:t>://</w:t>
        </w:r>
        <w:r w:rsidRPr="00133B13">
          <w:rPr>
            <w:rStyle w:val="Hyperlink"/>
            <w:rFonts w:cs="Times New Roman"/>
            <w:sz w:val="20"/>
            <w:szCs w:val="20"/>
            <w:lang w:val="es-ES"/>
          </w:rPr>
          <w:t>www</w:t>
        </w:r>
        <w:r w:rsidRPr="00FD37F6">
          <w:rPr>
            <w:rStyle w:val="Hyperlink"/>
            <w:rFonts w:cs="Times New Roman"/>
            <w:sz w:val="20"/>
            <w:szCs w:val="20"/>
            <w:lang w:val="bg-BG"/>
          </w:rPr>
          <w:t>.</w:t>
        </w:r>
        <w:r w:rsidRPr="00133B13">
          <w:rPr>
            <w:rStyle w:val="Hyperlink"/>
            <w:rFonts w:cs="Times New Roman"/>
            <w:sz w:val="20"/>
            <w:szCs w:val="20"/>
            <w:lang w:val="es-ES"/>
          </w:rPr>
          <w:t>marsplan</w:t>
        </w:r>
        <w:r w:rsidRPr="00FD37F6">
          <w:rPr>
            <w:rStyle w:val="Hyperlink"/>
            <w:rFonts w:cs="Times New Roman"/>
            <w:sz w:val="20"/>
            <w:szCs w:val="20"/>
            <w:lang w:val="bg-BG"/>
          </w:rPr>
          <w:t>.</w:t>
        </w:r>
        <w:r w:rsidRPr="00133B13">
          <w:rPr>
            <w:rStyle w:val="Hyperlink"/>
            <w:rFonts w:cs="Times New Roman"/>
            <w:sz w:val="20"/>
            <w:szCs w:val="20"/>
            <w:lang w:val="es-ES"/>
          </w:rPr>
          <w:t>ro</w:t>
        </w:r>
        <w:r w:rsidRPr="00FD37F6">
          <w:rPr>
            <w:rStyle w:val="Hyperlink"/>
            <w:rFonts w:cs="Times New Roman"/>
            <w:sz w:val="20"/>
            <w:szCs w:val="20"/>
            <w:lang w:val="bg-BG"/>
          </w:rPr>
          <w:t>/</w:t>
        </w:r>
        <w:r w:rsidRPr="00133B13">
          <w:rPr>
            <w:rStyle w:val="Hyperlink"/>
            <w:rFonts w:cs="Times New Roman"/>
            <w:sz w:val="20"/>
            <w:szCs w:val="20"/>
            <w:lang w:val="es-ES"/>
          </w:rPr>
          <w:t>bg</w:t>
        </w:r>
        <w:r w:rsidRPr="00FD37F6">
          <w:rPr>
            <w:rStyle w:val="Hyperlink"/>
            <w:rFonts w:cs="Times New Roman"/>
            <w:sz w:val="20"/>
            <w:szCs w:val="20"/>
            <w:lang w:val="bg-BG"/>
          </w:rPr>
          <w:t>/</w:t>
        </w:r>
        <w:r w:rsidRPr="00133B13">
          <w:rPr>
            <w:rStyle w:val="Hyperlink"/>
            <w:rFonts w:cs="Times New Roman"/>
            <w:sz w:val="20"/>
            <w:szCs w:val="20"/>
            <w:lang w:val="es-ES"/>
          </w:rPr>
          <w:t>despre</w:t>
        </w:r>
        <w:r w:rsidRPr="00FD37F6">
          <w:rPr>
            <w:rStyle w:val="Hyperlink"/>
            <w:rFonts w:cs="Times New Roman"/>
            <w:sz w:val="20"/>
            <w:szCs w:val="20"/>
            <w:lang w:val="bg-BG"/>
          </w:rPr>
          <w:t>-</w:t>
        </w:r>
        <w:r w:rsidRPr="00133B13">
          <w:rPr>
            <w:rStyle w:val="Hyperlink"/>
            <w:rFonts w:cs="Times New Roman"/>
            <w:sz w:val="20"/>
            <w:szCs w:val="20"/>
            <w:lang w:val="es-ES"/>
          </w:rPr>
          <w:t>proiectul</w:t>
        </w:r>
        <w:r w:rsidRPr="00FD37F6">
          <w:rPr>
            <w:rStyle w:val="Hyperlink"/>
            <w:rFonts w:cs="Times New Roman"/>
            <w:sz w:val="20"/>
            <w:szCs w:val="20"/>
            <w:lang w:val="bg-BG"/>
          </w:rPr>
          <w:t>-</w:t>
        </w:r>
        <w:r w:rsidRPr="00133B13">
          <w:rPr>
            <w:rStyle w:val="Hyperlink"/>
            <w:rFonts w:cs="Times New Roman"/>
            <w:sz w:val="20"/>
            <w:szCs w:val="20"/>
            <w:lang w:val="es-ES"/>
          </w:rPr>
          <w:t>marsplan</w:t>
        </w:r>
        <w:r w:rsidRPr="00FD37F6">
          <w:rPr>
            <w:rStyle w:val="Hyperlink"/>
            <w:rFonts w:cs="Times New Roman"/>
            <w:sz w:val="20"/>
            <w:szCs w:val="20"/>
            <w:lang w:val="bg-BG"/>
          </w:rPr>
          <w:t>-%</w:t>
        </w:r>
        <w:r w:rsidRPr="00133B13">
          <w:rPr>
            <w:rStyle w:val="Hyperlink"/>
            <w:rFonts w:cs="Times New Roman"/>
            <w:sz w:val="20"/>
            <w:szCs w:val="20"/>
            <w:lang w:val="es-ES"/>
          </w:rPr>
          <w:t>E</w:t>
        </w:r>
        <w:r w:rsidRPr="00FD37F6">
          <w:rPr>
            <w:rStyle w:val="Hyperlink"/>
            <w:rFonts w:cs="Times New Roman"/>
            <w:sz w:val="20"/>
            <w:szCs w:val="20"/>
            <w:lang w:val="bg-BG"/>
          </w:rPr>
          <w:t>2%80%93-</w:t>
        </w:r>
        <w:r w:rsidRPr="00133B13">
          <w:rPr>
            <w:rStyle w:val="Hyperlink"/>
            <w:rFonts w:cs="Times New Roman"/>
            <w:sz w:val="20"/>
            <w:szCs w:val="20"/>
            <w:lang w:val="es-ES"/>
          </w:rPr>
          <w:t>bs</w:t>
        </w:r>
        <w:r w:rsidRPr="00FD37F6">
          <w:rPr>
            <w:rStyle w:val="Hyperlink"/>
            <w:rFonts w:cs="Times New Roman"/>
            <w:sz w:val="20"/>
            <w:szCs w:val="20"/>
            <w:lang w:val="bg-BG"/>
          </w:rPr>
          <w:t>-</w:t>
        </w:r>
        <w:r w:rsidRPr="00133B13">
          <w:rPr>
            <w:rStyle w:val="Hyperlink"/>
            <w:rFonts w:cs="Times New Roman"/>
            <w:sz w:val="20"/>
            <w:szCs w:val="20"/>
            <w:lang w:val="es-ES"/>
          </w:rPr>
          <w:t>bg</w:t>
        </w:r>
        <w:r w:rsidRPr="00FD37F6">
          <w:rPr>
            <w:rStyle w:val="Hyperlink"/>
            <w:rFonts w:cs="Times New Roman"/>
            <w:sz w:val="20"/>
            <w:szCs w:val="20"/>
            <w:lang w:val="bg-BG"/>
          </w:rPr>
          <w:t>.</w:t>
        </w:r>
        <w:r w:rsidRPr="00133B13">
          <w:rPr>
            <w:rStyle w:val="Hyperlink"/>
            <w:rFonts w:cs="Times New Roman"/>
            <w:sz w:val="20"/>
            <w:szCs w:val="20"/>
            <w:lang w:val="es-ES"/>
          </w:rPr>
          <w:t>html</w:t>
        </w:r>
      </w:hyperlink>
      <w:r w:rsidRPr="00FD37F6">
        <w:rPr>
          <w:rFonts w:cs="Times New Roman"/>
          <w:sz w:val="20"/>
          <w:szCs w:val="20"/>
          <w:lang w:val="bg-BG"/>
        </w:rPr>
        <w:t xml:space="preserve"> </w:t>
      </w:r>
    </w:p>
    <w:p w14:paraId="6136044D" w14:textId="46418841" w:rsidR="00215C86" w:rsidRPr="00FD37F6" w:rsidRDefault="00215C86" w:rsidP="00F00BE8">
      <w:pPr>
        <w:pStyle w:val="FootnoteText"/>
        <w:spacing w:after="20"/>
        <w:rPr>
          <w:rFonts w:cs="Times New Roman"/>
          <w:sz w:val="20"/>
          <w:szCs w:val="20"/>
          <w:lang w:val="bg-BG"/>
        </w:rPr>
      </w:pPr>
    </w:p>
  </w:footnote>
  <w:footnote w:id="171">
    <w:p w14:paraId="2B1E88B0" w14:textId="410E414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rPr>
        <w:t xml:space="preserve"> European Commission &amp; Joint Research Centre. (2018). Climate impacts in Europe: Final report of the JRC PESETA III project. </w:t>
      </w:r>
      <w:hyperlink r:id="rId197" w:history="1">
        <w:r w:rsidRPr="00FD37F6">
          <w:rPr>
            <w:rStyle w:val="Hyperlink"/>
            <w:rFonts w:cs="Times New Roman"/>
            <w:sz w:val="20"/>
            <w:szCs w:val="20"/>
          </w:rPr>
          <w:t>http://dx.publications.europa.eu/10.2760/93257</w:t>
        </w:r>
      </w:hyperlink>
      <w:r w:rsidRPr="00FD37F6">
        <w:rPr>
          <w:rFonts w:cs="Times New Roman"/>
          <w:sz w:val="20"/>
          <w:szCs w:val="20"/>
          <w:lang w:val="bg-BG"/>
        </w:rPr>
        <w:t xml:space="preserve"> </w:t>
      </w:r>
    </w:p>
  </w:footnote>
  <w:footnote w:id="172">
    <w:p w14:paraId="402314BF" w14:textId="3A6E8118"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r w:rsidRPr="00FD37F6">
        <w:rPr>
          <w:rFonts w:cs="Times New Roman"/>
          <w:sz w:val="20"/>
          <w:szCs w:val="20"/>
        </w:rPr>
        <w:t>STOWA</w:t>
      </w:r>
      <w:r w:rsidRPr="00FD37F6">
        <w:rPr>
          <w:rFonts w:cs="Times New Roman"/>
          <w:sz w:val="20"/>
          <w:szCs w:val="20"/>
          <w:lang w:val="bg-BG"/>
        </w:rPr>
        <w:t xml:space="preserve"> (Акроним за </w:t>
      </w:r>
      <w:r w:rsidRPr="00FD37F6">
        <w:rPr>
          <w:rFonts w:cs="Times New Roman"/>
          <w:sz w:val="20"/>
          <w:szCs w:val="20"/>
        </w:rPr>
        <w:t>Foundation</w:t>
      </w:r>
      <w:r w:rsidRPr="00FD37F6">
        <w:rPr>
          <w:rFonts w:cs="Times New Roman"/>
          <w:sz w:val="20"/>
          <w:szCs w:val="20"/>
          <w:lang w:val="bg-BG"/>
        </w:rPr>
        <w:t xml:space="preserve"> </w:t>
      </w:r>
      <w:r w:rsidRPr="00FD37F6">
        <w:rPr>
          <w:rFonts w:cs="Times New Roman"/>
          <w:sz w:val="20"/>
          <w:szCs w:val="20"/>
        </w:rPr>
        <w:t>for</w:t>
      </w:r>
      <w:r w:rsidRPr="00FD37F6">
        <w:rPr>
          <w:rFonts w:cs="Times New Roman"/>
          <w:sz w:val="20"/>
          <w:szCs w:val="20"/>
          <w:lang w:val="bg-BG"/>
        </w:rPr>
        <w:t xml:space="preserve"> </w:t>
      </w:r>
      <w:r w:rsidRPr="00FD37F6">
        <w:rPr>
          <w:rFonts w:cs="Times New Roman"/>
          <w:sz w:val="20"/>
          <w:szCs w:val="20"/>
        </w:rPr>
        <w:t>Applied</w:t>
      </w:r>
      <w:r w:rsidRPr="00FD37F6">
        <w:rPr>
          <w:rFonts w:cs="Times New Roman"/>
          <w:sz w:val="20"/>
          <w:szCs w:val="20"/>
          <w:lang w:val="bg-BG"/>
        </w:rPr>
        <w:t xml:space="preserve"> </w:t>
      </w:r>
      <w:r w:rsidRPr="00FD37F6">
        <w:rPr>
          <w:rFonts w:cs="Times New Roman"/>
          <w:sz w:val="20"/>
          <w:szCs w:val="20"/>
        </w:rPr>
        <w:t>Water</w:t>
      </w:r>
      <w:r w:rsidRPr="00FD37F6">
        <w:rPr>
          <w:rFonts w:cs="Times New Roman"/>
          <w:sz w:val="20"/>
          <w:szCs w:val="20"/>
          <w:lang w:val="bg-BG"/>
        </w:rPr>
        <w:t xml:space="preserve"> </w:t>
      </w:r>
      <w:r w:rsidRPr="00FD37F6">
        <w:rPr>
          <w:rFonts w:cs="Times New Roman"/>
          <w:sz w:val="20"/>
          <w:szCs w:val="20"/>
        </w:rPr>
        <w:t>Research</w:t>
      </w:r>
      <w:r w:rsidRPr="00FD37F6">
        <w:rPr>
          <w:rFonts w:cs="Times New Roman"/>
          <w:sz w:val="20"/>
          <w:szCs w:val="20"/>
          <w:lang w:val="bg-BG"/>
        </w:rPr>
        <w:t>) е център за експертиза на специалистите по регионално управление на водите (</w:t>
      </w:r>
      <w:r w:rsidRPr="00FD37F6">
        <w:rPr>
          <w:rFonts w:cs="Times New Roman"/>
          <w:sz w:val="20"/>
          <w:szCs w:val="20"/>
        </w:rPr>
        <w:t>the</w:t>
      </w:r>
      <w:r w:rsidRPr="00FD37F6">
        <w:rPr>
          <w:rFonts w:cs="Times New Roman"/>
          <w:sz w:val="20"/>
          <w:szCs w:val="20"/>
          <w:lang w:val="bg-BG"/>
        </w:rPr>
        <w:t xml:space="preserve"> </w:t>
      </w:r>
      <w:r w:rsidRPr="00FD37F6">
        <w:rPr>
          <w:rFonts w:cs="Times New Roman"/>
          <w:sz w:val="20"/>
          <w:szCs w:val="20"/>
        </w:rPr>
        <w:t>Dutch</w:t>
      </w:r>
      <w:r w:rsidRPr="00FD37F6">
        <w:rPr>
          <w:rFonts w:cs="Times New Roman"/>
          <w:sz w:val="20"/>
          <w:szCs w:val="20"/>
          <w:lang w:val="bg-BG"/>
        </w:rPr>
        <w:t xml:space="preserve"> </w:t>
      </w:r>
      <w:r w:rsidRPr="00FD37F6">
        <w:rPr>
          <w:rFonts w:cs="Times New Roman"/>
          <w:sz w:val="20"/>
          <w:szCs w:val="20"/>
        </w:rPr>
        <w:t>Water</w:t>
      </w:r>
      <w:r w:rsidRPr="00FD37F6">
        <w:rPr>
          <w:rFonts w:cs="Times New Roman"/>
          <w:sz w:val="20"/>
          <w:szCs w:val="20"/>
          <w:lang w:val="bg-BG"/>
        </w:rPr>
        <w:t xml:space="preserve"> </w:t>
      </w:r>
      <w:r w:rsidRPr="00FD37F6">
        <w:rPr>
          <w:rFonts w:cs="Times New Roman"/>
          <w:sz w:val="20"/>
          <w:szCs w:val="20"/>
        </w:rPr>
        <w:t>Authorities</w:t>
      </w:r>
      <w:r w:rsidRPr="00FD37F6">
        <w:rPr>
          <w:rFonts w:cs="Times New Roman"/>
          <w:sz w:val="20"/>
          <w:szCs w:val="20"/>
          <w:lang w:val="bg-BG"/>
        </w:rPr>
        <w:t xml:space="preserve">). </w:t>
      </w:r>
    </w:p>
  </w:footnote>
  <w:footnote w:id="173">
    <w:p w14:paraId="6F5F520E" w14:textId="402355B2"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133B13">
        <w:rPr>
          <w:rFonts w:cs="Times New Roman"/>
          <w:sz w:val="20"/>
          <w:szCs w:val="20"/>
          <w:lang w:val="bg-BG"/>
        </w:rPr>
        <w:t xml:space="preserve"> </w:t>
      </w:r>
      <w:hyperlink r:id="rId198" w:history="1">
        <w:r w:rsidRPr="00FD37F6">
          <w:rPr>
            <w:rStyle w:val="Hyperlink"/>
            <w:rFonts w:cs="Times New Roman"/>
            <w:sz w:val="20"/>
            <w:szCs w:val="20"/>
          </w:rPr>
          <w:t>http</w:t>
        </w:r>
        <w:r w:rsidRPr="00133B13">
          <w:rPr>
            <w:rStyle w:val="Hyperlink"/>
            <w:rFonts w:cs="Times New Roman"/>
            <w:sz w:val="20"/>
            <w:szCs w:val="20"/>
            <w:lang w:val="bg-BG"/>
          </w:rPr>
          <w:t>://</w:t>
        </w:r>
        <w:r w:rsidRPr="00FD37F6">
          <w:rPr>
            <w:rStyle w:val="Hyperlink"/>
            <w:rFonts w:cs="Times New Roman"/>
            <w:sz w:val="20"/>
            <w:szCs w:val="20"/>
          </w:rPr>
          <w:t>eea</w:t>
        </w:r>
        <w:r w:rsidRPr="00133B13">
          <w:rPr>
            <w:rStyle w:val="Hyperlink"/>
            <w:rFonts w:cs="Times New Roman"/>
            <w:sz w:val="20"/>
            <w:szCs w:val="20"/>
            <w:lang w:val="bg-BG"/>
          </w:rPr>
          <w:t>.</w:t>
        </w:r>
        <w:r w:rsidRPr="00FD37F6">
          <w:rPr>
            <w:rStyle w:val="Hyperlink"/>
            <w:rFonts w:cs="Times New Roman"/>
            <w:sz w:val="20"/>
            <w:szCs w:val="20"/>
          </w:rPr>
          <w:t>government</w:t>
        </w:r>
        <w:r w:rsidRPr="00133B13">
          <w:rPr>
            <w:rStyle w:val="Hyperlink"/>
            <w:rFonts w:cs="Times New Roman"/>
            <w:sz w:val="20"/>
            <w:szCs w:val="20"/>
            <w:lang w:val="bg-BG"/>
          </w:rPr>
          <w:t>.</w:t>
        </w:r>
        <w:r w:rsidRPr="00FD37F6">
          <w:rPr>
            <w:rStyle w:val="Hyperlink"/>
            <w:rFonts w:cs="Times New Roman"/>
            <w:sz w:val="20"/>
            <w:szCs w:val="20"/>
          </w:rPr>
          <w:t>bg</w:t>
        </w:r>
        <w:r w:rsidRPr="00133B13">
          <w:rPr>
            <w:rStyle w:val="Hyperlink"/>
            <w:rFonts w:cs="Times New Roman"/>
            <w:sz w:val="20"/>
            <w:szCs w:val="20"/>
            <w:lang w:val="bg-BG"/>
          </w:rPr>
          <w:t>/</w:t>
        </w:r>
        <w:r w:rsidRPr="00FD37F6">
          <w:rPr>
            <w:rStyle w:val="Hyperlink"/>
            <w:rFonts w:cs="Times New Roman"/>
            <w:sz w:val="20"/>
            <w:szCs w:val="20"/>
          </w:rPr>
          <w:t>bg</w:t>
        </w:r>
        <w:r w:rsidRPr="00133B13">
          <w:rPr>
            <w:rStyle w:val="Hyperlink"/>
            <w:rFonts w:cs="Times New Roman"/>
            <w:sz w:val="20"/>
            <w:szCs w:val="20"/>
            <w:lang w:val="bg-BG"/>
          </w:rPr>
          <w:t>/</w:t>
        </w:r>
        <w:r w:rsidRPr="00FD37F6">
          <w:rPr>
            <w:rStyle w:val="Hyperlink"/>
            <w:rFonts w:cs="Times New Roman"/>
            <w:sz w:val="20"/>
            <w:szCs w:val="20"/>
          </w:rPr>
          <w:t>ecosystems</w:t>
        </w:r>
        <w:r w:rsidRPr="00133B13">
          <w:rPr>
            <w:rStyle w:val="Hyperlink"/>
            <w:rFonts w:cs="Times New Roman"/>
            <w:sz w:val="20"/>
            <w:szCs w:val="20"/>
            <w:lang w:val="bg-BG"/>
          </w:rPr>
          <w:t>/</w:t>
        </w:r>
        <w:r w:rsidRPr="00FD37F6">
          <w:rPr>
            <w:rStyle w:val="Hyperlink"/>
            <w:rFonts w:cs="Times New Roman"/>
            <w:sz w:val="20"/>
            <w:szCs w:val="20"/>
          </w:rPr>
          <w:t>B</w:t>
        </w:r>
        <w:r w:rsidRPr="00133B13">
          <w:rPr>
            <w:rStyle w:val="Hyperlink"/>
            <w:rFonts w:cs="Times New Roman"/>
            <w:sz w:val="20"/>
            <w:szCs w:val="20"/>
            <w:lang w:val="bg-BG"/>
          </w:rPr>
          <w:t>9</w:t>
        </w:r>
        <w:r w:rsidRPr="00FD37F6">
          <w:rPr>
            <w:rStyle w:val="Hyperlink"/>
            <w:rFonts w:cs="Times New Roman"/>
            <w:sz w:val="20"/>
            <w:szCs w:val="20"/>
          </w:rPr>
          <w:t>MARINE</w:t>
        </w:r>
        <w:r w:rsidRPr="00133B13">
          <w:rPr>
            <w:rStyle w:val="Hyperlink"/>
            <w:rFonts w:cs="Times New Roman"/>
            <w:sz w:val="20"/>
            <w:szCs w:val="20"/>
            <w:lang w:val="bg-BG"/>
          </w:rPr>
          <w:t>_</w:t>
        </w:r>
        <w:r w:rsidRPr="00FD37F6">
          <w:rPr>
            <w:rStyle w:val="Hyperlink"/>
            <w:rFonts w:cs="Times New Roman"/>
            <w:sz w:val="20"/>
            <w:szCs w:val="20"/>
          </w:rPr>
          <w:t>BG</w:t>
        </w:r>
        <w:r w:rsidRPr="00133B13">
          <w:rPr>
            <w:rStyle w:val="Hyperlink"/>
            <w:rFonts w:cs="Times New Roman"/>
            <w:sz w:val="20"/>
            <w:szCs w:val="20"/>
            <w:lang w:val="bg-BG"/>
          </w:rPr>
          <w:t>_</w:t>
        </w:r>
        <w:r w:rsidRPr="00FD37F6">
          <w:rPr>
            <w:rStyle w:val="Hyperlink"/>
            <w:rFonts w:cs="Times New Roman"/>
            <w:sz w:val="20"/>
            <w:szCs w:val="20"/>
          </w:rPr>
          <w:t>PRINT</w:t>
        </w:r>
        <w:r w:rsidRPr="00133B13">
          <w:rPr>
            <w:rStyle w:val="Hyperlink"/>
            <w:rFonts w:cs="Times New Roman"/>
            <w:sz w:val="20"/>
            <w:szCs w:val="20"/>
            <w:lang w:val="bg-BG"/>
          </w:rPr>
          <w:t>.</w:t>
        </w:r>
        <w:r w:rsidRPr="00FD37F6">
          <w:rPr>
            <w:rStyle w:val="Hyperlink"/>
            <w:rFonts w:cs="Times New Roman"/>
            <w:sz w:val="20"/>
            <w:szCs w:val="20"/>
          </w:rPr>
          <w:t>pdf</w:t>
        </w:r>
      </w:hyperlink>
      <w:r w:rsidRPr="00FD37F6">
        <w:rPr>
          <w:rFonts w:cs="Times New Roman"/>
          <w:sz w:val="20"/>
          <w:szCs w:val="20"/>
          <w:lang w:val="bg-BG"/>
        </w:rPr>
        <w:t xml:space="preserve"> </w:t>
      </w:r>
    </w:p>
  </w:footnote>
  <w:footnote w:id="174">
    <w:p w14:paraId="6BB94034"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199"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ec</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maritimeaffairs</w:t>
        </w:r>
        <w:r w:rsidRPr="00FD37F6">
          <w:rPr>
            <w:rStyle w:val="Hyperlink"/>
            <w:rFonts w:cs="Times New Roman"/>
            <w:sz w:val="20"/>
            <w:szCs w:val="20"/>
            <w:lang w:val="bg-BG"/>
          </w:rPr>
          <w:t>/</w:t>
        </w:r>
        <w:r w:rsidRPr="00FD37F6">
          <w:rPr>
            <w:rStyle w:val="Hyperlink"/>
            <w:rFonts w:cs="Times New Roman"/>
            <w:sz w:val="20"/>
            <w:szCs w:val="20"/>
          </w:rPr>
          <w:t>policy</w:t>
        </w:r>
        <w:r w:rsidRPr="00FD37F6">
          <w:rPr>
            <w:rStyle w:val="Hyperlink"/>
            <w:rFonts w:cs="Times New Roman"/>
            <w:sz w:val="20"/>
            <w:szCs w:val="20"/>
            <w:lang w:val="bg-BG"/>
          </w:rPr>
          <w:t>/</w:t>
        </w:r>
        <w:r w:rsidRPr="00FD37F6">
          <w:rPr>
            <w:rStyle w:val="Hyperlink"/>
            <w:rFonts w:cs="Times New Roman"/>
            <w:sz w:val="20"/>
            <w:szCs w:val="20"/>
          </w:rPr>
          <w:t>blue</w:t>
        </w:r>
        <w:r w:rsidRPr="00FD37F6">
          <w:rPr>
            <w:rStyle w:val="Hyperlink"/>
            <w:rFonts w:cs="Times New Roman"/>
            <w:sz w:val="20"/>
            <w:szCs w:val="20"/>
            <w:lang w:val="bg-BG"/>
          </w:rPr>
          <w:t>_</w:t>
        </w:r>
        <w:r w:rsidRPr="00FD37F6">
          <w:rPr>
            <w:rStyle w:val="Hyperlink"/>
            <w:rFonts w:cs="Times New Roman"/>
            <w:sz w:val="20"/>
            <w:szCs w:val="20"/>
          </w:rPr>
          <w:t>growth</w:t>
        </w:r>
        <w:r w:rsidRPr="00FD37F6">
          <w:rPr>
            <w:rStyle w:val="Hyperlink"/>
            <w:rFonts w:cs="Times New Roman"/>
            <w:sz w:val="20"/>
            <w:szCs w:val="20"/>
            <w:lang w:val="bg-BG"/>
          </w:rPr>
          <w:t>_</w:t>
        </w:r>
        <w:r w:rsidRPr="00FD37F6">
          <w:rPr>
            <w:rStyle w:val="Hyperlink"/>
            <w:rFonts w:cs="Times New Roman"/>
            <w:sz w:val="20"/>
            <w:szCs w:val="20"/>
          </w:rPr>
          <w:t>bg</w:t>
        </w:r>
      </w:hyperlink>
      <w:r w:rsidRPr="00FD37F6">
        <w:rPr>
          <w:rFonts w:cs="Times New Roman"/>
          <w:sz w:val="20"/>
          <w:szCs w:val="20"/>
          <w:lang w:val="bg-BG"/>
        </w:rPr>
        <w:t xml:space="preserve"> </w:t>
      </w:r>
    </w:p>
  </w:footnote>
  <w:footnote w:id="175">
    <w:p w14:paraId="3CE0F151" w14:textId="77777777" w:rsidR="00215C86" w:rsidRPr="00FD37F6" w:rsidRDefault="00215C86" w:rsidP="00F00BE8">
      <w:pPr>
        <w:pStyle w:val="FootnoteText"/>
        <w:spacing w:after="20"/>
        <w:jc w:val="both"/>
        <w:rPr>
          <w:rFonts w:cs="Times New Roman"/>
          <w:color w:val="000000" w:themeColor="text1"/>
          <w:sz w:val="20"/>
          <w:szCs w:val="20"/>
          <w:lang w:val="bg-BG"/>
        </w:rPr>
      </w:pPr>
      <w:r w:rsidRPr="00FD37F6">
        <w:rPr>
          <w:rStyle w:val="FootnoteReference"/>
          <w:rFonts w:cs="Times New Roman"/>
          <w:color w:val="000000" w:themeColor="text1"/>
          <w:sz w:val="20"/>
          <w:szCs w:val="20"/>
        </w:rPr>
        <w:footnoteRef/>
      </w:r>
      <w:r w:rsidRPr="00FD37F6">
        <w:rPr>
          <w:rFonts w:cs="Times New Roman"/>
          <w:color w:val="000000" w:themeColor="text1"/>
          <w:sz w:val="20"/>
          <w:szCs w:val="20"/>
          <w:lang w:val="bg-BG"/>
        </w:rPr>
        <w:t xml:space="preserve"> Приоритет 4 на „България 2030“: „Ще бъдат въведени пазарни стимули за намаляване на разходването на енергия от бизнеса, включително чрез подпомагането на инвестициите в енергоефективно оборудване и строителство и създаването на предпоставки за разпространението и ефективното управление на </w:t>
      </w:r>
      <w:r w:rsidRPr="00FD37F6">
        <w:rPr>
          <w:rFonts w:cs="Times New Roman"/>
          <w:i/>
          <w:color w:val="000000" w:themeColor="text1"/>
          <w:sz w:val="20"/>
          <w:szCs w:val="20"/>
          <w:lang w:val="bg-BG"/>
        </w:rPr>
        <w:t>микромрежи за възобновяема енергия</w:t>
      </w:r>
      <w:r w:rsidRPr="00FD37F6">
        <w:rPr>
          <w:rFonts w:cs="Times New Roman"/>
          <w:color w:val="000000" w:themeColor="text1"/>
          <w:sz w:val="20"/>
          <w:szCs w:val="20"/>
          <w:lang w:val="bg-BG"/>
        </w:rPr>
        <w:t>.“</w:t>
      </w:r>
    </w:p>
  </w:footnote>
  <w:footnote w:id="176">
    <w:p w14:paraId="58039033" w14:textId="3112985E" w:rsidR="00215C86" w:rsidRPr="00FD37F6" w:rsidRDefault="00215C86" w:rsidP="00F00BE8">
      <w:pPr>
        <w:pStyle w:val="FootnoteText"/>
        <w:spacing w:after="20"/>
        <w:rPr>
          <w:rFonts w:cs="Times New Roman"/>
          <w:color w:val="000000" w:themeColor="text1"/>
          <w:sz w:val="20"/>
          <w:szCs w:val="20"/>
          <w:lang w:val="bg-BG"/>
        </w:rPr>
      </w:pPr>
      <w:r w:rsidRPr="00FD37F6">
        <w:rPr>
          <w:rStyle w:val="FootnoteReference"/>
          <w:rFonts w:cs="Times New Roman"/>
          <w:color w:val="000000" w:themeColor="text1"/>
          <w:sz w:val="20"/>
          <w:szCs w:val="20"/>
        </w:rPr>
        <w:footnoteRef/>
      </w:r>
      <w:r w:rsidRPr="00FD37F6">
        <w:rPr>
          <w:rFonts w:cs="Times New Roman"/>
          <w:color w:val="000000" w:themeColor="text1"/>
          <w:sz w:val="20"/>
          <w:szCs w:val="20"/>
          <w:lang w:val="bg-BG"/>
        </w:rPr>
        <w:t xml:space="preserve"> </w:t>
      </w:r>
      <w:hyperlink r:id="rId200"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ec</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maritimeaffairs</w:t>
        </w:r>
        <w:r w:rsidRPr="00FD37F6">
          <w:rPr>
            <w:rStyle w:val="Hyperlink"/>
            <w:rFonts w:cs="Times New Roman"/>
            <w:sz w:val="20"/>
            <w:szCs w:val="20"/>
            <w:lang w:val="bg-BG"/>
          </w:rPr>
          <w:t>/</w:t>
        </w:r>
        <w:r w:rsidRPr="00FD37F6">
          <w:rPr>
            <w:rStyle w:val="Hyperlink"/>
            <w:rFonts w:cs="Times New Roman"/>
            <w:sz w:val="20"/>
            <w:szCs w:val="20"/>
          </w:rPr>
          <w:t>policy</w:t>
        </w:r>
        <w:r w:rsidRPr="00FD37F6">
          <w:rPr>
            <w:rStyle w:val="Hyperlink"/>
            <w:rFonts w:cs="Times New Roman"/>
            <w:sz w:val="20"/>
            <w:szCs w:val="20"/>
            <w:lang w:val="bg-BG"/>
          </w:rPr>
          <w:t>/</w:t>
        </w:r>
        <w:r w:rsidRPr="00FD37F6">
          <w:rPr>
            <w:rStyle w:val="Hyperlink"/>
            <w:rFonts w:cs="Times New Roman"/>
            <w:sz w:val="20"/>
            <w:szCs w:val="20"/>
          </w:rPr>
          <w:t>blue</w:t>
        </w:r>
        <w:r w:rsidRPr="00FD37F6">
          <w:rPr>
            <w:rStyle w:val="Hyperlink"/>
            <w:rFonts w:cs="Times New Roman"/>
            <w:sz w:val="20"/>
            <w:szCs w:val="20"/>
            <w:lang w:val="bg-BG"/>
          </w:rPr>
          <w:t>_</w:t>
        </w:r>
        <w:r w:rsidRPr="00FD37F6">
          <w:rPr>
            <w:rStyle w:val="Hyperlink"/>
            <w:rFonts w:cs="Times New Roman"/>
            <w:sz w:val="20"/>
            <w:szCs w:val="20"/>
          </w:rPr>
          <w:t>growth</w:t>
        </w:r>
        <w:r w:rsidRPr="00FD37F6">
          <w:rPr>
            <w:rStyle w:val="Hyperlink"/>
            <w:rFonts w:cs="Times New Roman"/>
            <w:sz w:val="20"/>
            <w:szCs w:val="20"/>
            <w:lang w:val="bg-BG"/>
          </w:rPr>
          <w:t>_</w:t>
        </w:r>
        <w:r w:rsidRPr="00FD37F6">
          <w:rPr>
            <w:rStyle w:val="Hyperlink"/>
            <w:rFonts w:cs="Times New Roman"/>
            <w:sz w:val="20"/>
            <w:szCs w:val="20"/>
          </w:rPr>
          <w:t>bg</w:t>
        </w:r>
      </w:hyperlink>
      <w:r w:rsidRPr="00FD37F6">
        <w:rPr>
          <w:rFonts w:cs="Times New Roman"/>
          <w:color w:val="000000" w:themeColor="text1"/>
          <w:sz w:val="20"/>
          <w:szCs w:val="20"/>
          <w:lang w:val="bg-BG"/>
        </w:rPr>
        <w:t xml:space="preserve"> </w:t>
      </w:r>
    </w:p>
  </w:footnote>
  <w:footnote w:id="177">
    <w:p w14:paraId="526B2524" w14:textId="4EA67539" w:rsidR="00215C86" w:rsidRPr="00FD37F6" w:rsidRDefault="00215C86" w:rsidP="00F00BE8">
      <w:pPr>
        <w:pStyle w:val="FootnoteText"/>
        <w:spacing w:after="20"/>
        <w:rPr>
          <w:rStyle w:val="FootnoteReference"/>
          <w:rFonts w:cs="Times New Roman"/>
          <w:sz w:val="20"/>
          <w:szCs w:val="20"/>
          <w:vertAlign w:val="baseline"/>
          <w:lang w:val="bg-BG"/>
        </w:rPr>
      </w:pPr>
      <w:r w:rsidRPr="00FD37F6">
        <w:rPr>
          <w:rStyle w:val="FootnoteReference"/>
          <w:rFonts w:cs="Times New Roman"/>
          <w:sz w:val="20"/>
          <w:szCs w:val="20"/>
        </w:rPr>
        <w:footnoteRef/>
      </w:r>
      <w:r w:rsidRPr="00FD37F6">
        <w:rPr>
          <w:rFonts w:cs="Times New Roman"/>
          <w:sz w:val="20"/>
          <w:szCs w:val="20"/>
          <w:lang w:val="bg-BG"/>
        </w:rPr>
        <w:t xml:space="preserve"> По експертна оценка съотношение 35/47/18 съответно за Варианти № 1, 2 и 3 и резултати</w:t>
      </w:r>
      <w:r w:rsidRPr="00FD37F6">
        <w:rPr>
          <w:rStyle w:val="FootnoteReference"/>
          <w:rFonts w:cs="Times New Roman"/>
          <w:sz w:val="20"/>
          <w:szCs w:val="20"/>
          <w:lang w:val="bg-BG"/>
        </w:rPr>
        <w:t xml:space="preserve"> </w:t>
      </w:r>
      <w:r w:rsidRPr="00FD37F6">
        <w:rPr>
          <w:rStyle w:val="FootnoteReference"/>
          <w:rFonts w:cs="Times New Roman"/>
          <w:sz w:val="20"/>
          <w:szCs w:val="20"/>
          <w:vertAlign w:val="baseline"/>
          <w:lang w:val="bg-BG"/>
        </w:rPr>
        <w:t xml:space="preserve">от анкетното проучване </w:t>
      </w:r>
      <w:r w:rsidRPr="00FD37F6">
        <w:rPr>
          <w:rFonts w:cs="Times New Roman"/>
          <w:sz w:val="20"/>
          <w:szCs w:val="20"/>
          <w:lang w:val="bg-BG"/>
        </w:rPr>
        <w:t>34/17/49 в полза на последния вариант.</w:t>
      </w:r>
    </w:p>
  </w:footnote>
  <w:footnote w:id="178">
    <w:p w14:paraId="711854B6" w14:textId="2B786F6F"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Бургаски корабостроителници са отписани от Търговския регистър на 30 юни 2020 г. и не съществуват като юридическо лице. </w:t>
      </w:r>
      <w:hyperlink r:id="rId201" w:history="1">
        <w:r w:rsidRPr="00FD37F6">
          <w:rPr>
            <w:rStyle w:val="Hyperlink"/>
            <w:rFonts w:cs="Times New Roman"/>
            <w:sz w:val="20"/>
            <w:szCs w:val="20"/>
            <w:lang w:val="bg-BG"/>
          </w:rPr>
          <w:t>https://seenews.com/companies/company_profile/burgaski-korabostroitelnitsi-ad-non-existent-2835</w:t>
        </w:r>
      </w:hyperlink>
      <w:r w:rsidRPr="00FD37F6">
        <w:rPr>
          <w:rFonts w:cs="Times New Roman"/>
          <w:sz w:val="20"/>
          <w:szCs w:val="20"/>
          <w:lang w:val="bg-BG"/>
        </w:rPr>
        <w:t xml:space="preserve"> </w:t>
      </w:r>
    </w:p>
  </w:footnote>
  <w:footnote w:id="179">
    <w:p w14:paraId="755C4E99" w14:textId="0AD66A13"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02"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eufunds</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sites</w:t>
        </w:r>
        <w:r w:rsidRPr="00FD37F6">
          <w:rPr>
            <w:rStyle w:val="Hyperlink"/>
            <w:rFonts w:cs="Times New Roman"/>
            <w:sz w:val="20"/>
            <w:szCs w:val="20"/>
            <w:lang w:val="bg-BG"/>
          </w:rPr>
          <w:t>/</w:t>
        </w:r>
        <w:r w:rsidRPr="00FD37F6">
          <w:rPr>
            <w:rStyle w:val="Hyperlink"/>
            <w:rFonts w:cs="Times New Roman"/>
            <w:sz w:val="20"/>
            <w:szCs w:val="20"/>
          </w:rPr>
          <w:t>default</w:t>
        </w:r>
        <w:r w:rsidRPr="00FD37F6">
          <w:rPr>
            <w:rStyle w:val="Hyperlink"/>
            <w:rFonts w:cs="Times New Roman"/>
            <w:sz w:val="20"/>
            <w:szCs w:val="20"/>
            <w:lang w:val="bg-BG"/>
          </w:rPr>
          <w:t>/</w:t>
        </w:r>
        <w:r w:rsidRPr="00FD37F6">
          <w:rPr>
            <w:rStyle w:val="Hyperlink"/>
            <w:rFonts w:cs="Times New Roman"/>
            <w:sz w:val="20"/>
            <w:szCs w:val="20"/>
          </w:rPr>
          <w:t>files</w:t>
        </w:r>
        <w:r w:rsidRPr="00FD37F6">
          <w:rPr>
            <w:rStyle w:val="Hyperlink"/>
            <w:rFonts w:cs="Times New Roman"/>
            <w:sz w:val="20"/>
            <w:szCs w:val="20"/>
            <w:lang w:val="bg-BG"/>
          </w:rPr>
          <w:t>/</w:t>
        </w:r>
        <w:r w:rsidRPr="00FD37F6">
          <w:rPr>
            <w:rStyle w:val="Hyperlink"/>
            <w:rFonts w:cs="Times New Roman"/>
            <w:sz w:val="20"/>
            <w:szCs w:val="20"/>
          </w:rPr>
          <w:t>uploads</w:t>
        </w:r>
        <w:r w:rsidRPr="00FD37F6">
          <w:rPr>
            <w:rStyle w:val="Hyperlink"/>
            <w:rFonts w:cs="Times New Roman"/>
            <w:sz w:val="20"/>
            <w:szCs w:val="20"/>
            <w:lang w:val="bg-BG"/>
          </w:rPr>
          <w:t>/</w:t>
        </w:r>
        <w:r w:rsidRPr="00FD37F6">
          <w:rPr>
            <w:rStyle w:val="Hyperlink"/>
            <w:rFonts w:cs="Times New Roman"/>
            <w:sz w:val="20"/>
            <w:szCs w:val="20"/>
          </w:rPr>
          <w:t>pmdr</w:t>
        </w:r>
        <w:r w:rsidRPr="00FD37F6">
          <w:rPr>
            <w:rStyle w:val="Hyperlink"/>
            <w:rFonts w:cs="Times New Roman"/>
            <w:sz w:val="20"/>
            <w:szCs w:val="20"/>
            <w:lang w:val="bg-BG"/>
          </w:rPr>
          <w:t>/</w:t>
        </w:r>
        <w:r w:rsidRPr="00FD37F6">
          <w:rPr>
            <w:rStyle w:val="Hyperlink"/>
            <w:rFonts w:cs="Times New Roman"/>
            <w:sz w:val="20"/>
            <w:szCs w:val="20"/>
          </w:rPr>
          <w:t>docs</w:t>
        </w:r>
        <w:r w:rsidRPr="00FD37F6">
          <w:rPr>
            <w:rStyle w:val="Hyperlink"/>
            <w:rFonts w:cs="Times New Roman"/>
            <w:sz w:val="20"/>
            <w:szCs w:val="20"/>
            <w:lang w:val="bg-BG"/>
          </w:rPr>
          <w:t>/2020-07/</w:t>
        </w:r>
        <w:r w:rsidRPr="00FD37F6">
          <w:rPr>
            <w:rStyle w:val="Hyperlink"/>
            <w:rFonts w:cs="Times New Roman"/>
            <w:sz w:val="20"/>
            <w:szCs w:val="20"/>
          </w:rPr>
          <w:t>Final</w:t>
        </w:r>
        <w:r w:rsidRPr="00FD37F6">
          <w:rPr>
            <w:rStyle w:val="Hyperlink"/>
            <w:rFonts w:cs="Times New Roman"/>
            <w:sz w:val="20"/>
            <w:szCs w:val="20"/>
            <w:lang w:val="bg-BG"/>
          </w:rPr>
          <w:t>%20</w:t>
        </w:r>
        <w:r w:rsidRPr="00FD37F6">
          <w:rPr>
            <w:rStyle w:val="Hyperlink"/>
            <w:rFonts w:cs="Times New Roman"/>
            <w:sz w:val="20"/>
            <w:szCs w:val="20"/>
          </w:rPr>
          <w:t>Draft</w:t>
        </w:r>
        <w:r w:rsidRPr="00FD37F6">
          <w:rPr>
            <w:rStyle w:val="Hyperlink"/>
            <w:rFonts w:cs="Times New Roman"/>
            <w:sz w:val="20"/>
            <w:szCs w:val="20"/>
            <w:lang w:val="bg-BG"/>
          </w:rPr>
          <w:t>%20</w:t>
        </w:r>
        <w:r w:rsidRPr="00FD37F6">
          <w:rPr>
            <w:rStyle w:val="Hyperlink"/>
            <w:rFonts w:cs="Times New Roman"/>
            <w:sz w:val="20"/>
            <w:szCs w:val="20"/>
          </w:rPr>
          <w:t>Analysis</w:t>
        </w:r>
        <w:r w:rsidRPr="00FD37F6">
          <w:rPr>
            <w:rStyle w:val="Hyperlink"/>
            <w:rFonts w:cs="Times New Roman"/>
            <w:sz w:val="20"/>
            <w:szCs w:val="20"/>
            <w:lang w:val="bg-BG"/>
          </w:rPr>
          <w:t>%20</w:t>
        </w:r>
        <w:r w:rsidRPr="00FD37F6">
          <w:rPr>
            <w:rStyle w:val="Hyperlink"/>
            <w:rFonts w:cs="Times New Roman"/>
            <w:sz w:val="20"/>
            <w:szCs w:val="20"/>
          </w:rPr>
          <w:t>All</w:t>
        </w:r>
        <w:r w:rsidRPr="00FD37F6">
          <w:rPr>
            <w:rStyle w:val="Hyperlink"/>
            <w:rFonts w:cs="Times New Roman"/>
            <w:sz w:val="20"/>
            <w:szCs w:val="20"/>
            <w:lang w:val="bg-BG"/>
          </w:rPr>
          <w:t>%2030062020.</w:t>
        </w:r>
        <w:r w:rsidRPr="00FD37F6">
          <w:rPr>
            <w:rStyle w:val="Hyperlink"/>
            <w:rFonts w:cs="Times New Roman"/>
            <w:sz w:val="20"/>
            <w:szCs w:val="20"/>
          </w:rPr>
          <w:t>pdf</w:t>
        </w:r>
      </w:hyperlink>
      <w:r w:rsidRPr="00FD37F6">
        <w:rPr>
          <w:rFonts w:cs="Times New Roman"/>
          <w:sz w:val="20"/>
          <w:szCs w:val="20"/>
          <w:lang w:val="bg-BG"/>
        </w:rPr>
        <w:t xml:space="preserve"> </w:t>
      </w:r>
    </w:p>
  </w:footnote>
  <w:footnote w:id="180">
    <w:p w14:paraId="1A8A8F70" w14:textId="79067B85"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03"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mi</w:t>
        </w:r>
        <w:r w:rsidRPr="00FD37F6">
          <w:rPr>
            <w:rStyle w:val="Hyperlink"/>
            <w:rFonts w:cs="Times New Roman"/>
            <w:sz w:val="20"/>
            <w:szCs w:val="20"/>
            <w:lang w:val="bg-BG"/>
          </w:rPr>
          <w:t>.</w:t>
        </w:r>
        <w:r w:rsidRPr="00FD37F6">
          <w:rPr>
            <w:rStyle w:val="Hyperlink"/>
            <w:rFonts w:cs="Times New Roman"/>
            <w:sz w:val="20"/>
            <w:szCs w:val="20"/>
          </w:rPr>
          <w:t>government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themes</w:t>
        </w:r>
        <w:r w:rsidRPr="00FD37F6">
          <w:rPr>
            <w:rStyle w:val="Hyperlink"/>
            <w:rFonts w:cs="Times New Roman"/>
            <w:sz w:val="20"/>
            <w:szCs w:val="20"/>
            <w:lang w:val="bg-BG"/>
          </w:rPr>
          <w:t>/</w:t>
        </w:r>
        <w:r w:rsidRPr="00FD37F6">
          <w:rPr>
            <w:rStyle w:val="Hyperlink"/>
            <w:rFonts w:cs="Times New Roman"/>
            <w:sz w:val="20"/>
            <w:szCs w:val="20"/>
          </w:rPr>
          <w:t>inovacionna</w:t>
        </w:r>
        <w:r w:rsidRPr="00FD37F6">
          <w:rPr>
            <w:rStyle w:val="Hyperlink"/>
            <w:rFonts w:cs="Times New Roman"/>
            <w:sz w:val="20"/>
            <w:szCs w:val="20"/>
            <w:lang w:val="bg-BG"/>
          </w:rPr>
          <w:t>-</w:t>
        </w:r>
        <w:r w:rsidRPr="00FD37F6">
          <w:rPr>
            <w:rStyle w:val="Hyperlink"/>
            <w:rFonts w:cs="Times New Roman"/>
            <w:sz w:val="20"/>
            <w:szCs w:val="20"/>
          </w:rPr>
          <w:t>strategiya</w:t>
        </w:r>
        <w:r w:rsidRPr="00FD37F6">
          <w:rPr>
            <w:rStyle w:val="Hyperlink"/>
            <w:rFonts w:cs="Times New Roman"/>
            <w:sz w:val="20"/>
            <w:szCs w:val="20"/>
            <w:lang w:val="bg-BG"/>
          </w:rPr>
          <w:t>-</w:t>
        </w:r>
        <w:r w:rsidRPr="00FD37F6">
          <w:rPr>
            <w:rStyle w:val="Hyperlink"/>
            <w:rFonts w:cs="Times New Roman"/>
            <w:sz w:val="20"/>
            <w:szCs w:val="20"/>
          </w:rPr>
          <w:t>za</w:t>
        </w:r>
        <w:r w:rsidRPr="00FD37F6">
          <w:rPr>
            <w:rStyle w:val="Hyperlink"/>
            <w:rFonts w:cs="Times New Roman"/>
            <w:sz w:val="20"/>
            <w:szCs w:val="20"/>
            <w:lang w:val="bg-BG"/>
          </w:rPr>
          <w:t>-</w:t>
        </w:r>
        <w:r w:rsidRPr="00FD37F6">
          <w:rPr>
            <w:rStyle w:val="Hyperlink"/>
            <w:rFonts w:cs="Times New Roman"/>
            <w:sz w:val="20"/>
            <w:szCs w:val="20"/>
          </w:rPr>
          <w:t>inteligentna</w:t>
        </w:r>
        <w:r w:rsidRPr="00FD37F6">
          <w:rPr>
            <w:rStyle w:val="Hyperlink"/>
            <w:rFonts w:cs="Times New Roman"/>
            <w:sz w:val="20"/>
            <w:szCs w:val="20"/>
            <w:lang w:val="bg-BG"/>
          </w:rPr>
          <w:t>-</w:t>
        </w:r>
        <w:r w:rsidRPr="00FD37F6">
          <w:rPr>
            <w:rStyle w:val="Hyperlink"/>
            <w:rFonts w:cs="Times New Roman"/>
            <w:sz w:val="20"/>
            <w:szCs w:val="20"/>
          </w:rPr>
          <w:t>specializaciya</w:t>
        </w:r>
        <w:r w:rsidRPr="00FD37F6">
          <w:rPr>
            <w:rStyle w:val="Hyperlink"/>
            <w:rFonts w:cs="Times New Roman"/>
            <w:sz w:val="20"/>
            <w:szCs w:val="20"/>
            <w:lang w:val="bg-BG"/>
          </w:rPr>
          <w:t>-</w:t>
        </w:r>
        <w:r w:rsidRPr="00FD37F6">
          <w:rPr>
            <w:rStyle w:val="Hyperlink"/>
            <w:rFonts w:cs="Times New Roman"/>
            <w:sz w:val="20"/>
            <w:szCs w:val="20"/>
          </w:rPr>
          <w:t>na</w:t>
        </w:r>
        <w:r w:rsidRPr="00FD37F6">
          <w:rPr>
            <w:rStyle w:val="Hyperlink"/>
            <w:rFonts w:cs="Times New Roman"/>
            <w:sz w:val="20"/>
            <w:szCs w:val="20"/>
            <w:lang w:val="bg-BG"/>
          </w:rPr>
          <w:t>-</w:t>
        </w:r>
        <w:r w:rsidRPr="00FD37F6">
          <w:rPr>
            <w:rStyle w:val="Hyperlink"/>
            <w:rFonts w:cs="Times New Roman"/>
            <w:sz w:val="20"/>
            <w:szCs w:val="20"/>
          </w:rPr>
          <w:t>republika</w:t>
        </w:r>
        <w:r w:rsidRPr="00FD37F6">
          <w:rPr>
            <w:rStyle w:val="Hyperlink"/>
            <w:rFonts w:cs="Times New Roman"/>
            <w:sz w:val="20"/>
            <w:szCs w:val="20"/>
            <w:lang w:val="bg-BG"/>
          </w:rPr>
          <w:t>-</w:t>
        </w:r>
        <w:r w:rsidRPr="00FD37F6">
          <w:rPr>
            <w:rStyle w:val="Hyperlink"/>
            <w:rFonts w:cs="Times New Roman"/>
            <w:sz w:val="20"/>
            <w:szCs w:val="20"/>
          </w:rPr>
          <w:t>balgariya</w:t>
        </w:r>
        <w:r w:rsidRPr="00FD37F6">
          <w:rPr>
            <w:rStyle w:val="Hyperlink"/>
            <w:rFonts w:cs="Times New Roman"/>
            <w:sz w:val="20"/>
            <w:szCs w:val="20"/>
            <w:lang w:val="bg-BG"/>
          </w:rPr>
          <w:t>-2014-2020-</w:t>
        </w:r>
        <w:r w:rsidRPr="00FD37F6">
          <w:rPr>
            <w:rStyle w:val="Hyperlink"/>
            <w:rFonts w:cs="Times New Roman"/>
            <w:sz w:val="20"/>
            <w:szCs w:val="20"/>
          </w:rPr>
          <w:t>g</w:t>
        </w:r>
        <w:r w:rsidRPr="00FD37F6">
          <w:rPr>
            <w:rStyle w:val="Hyperlink"/>
            <w:rFonts w:cs="Times New Roman"/>
            <w:sz w:val="20"/>
            <w:szCs w:val="20"/>
            <w:lang w:val="bg-BG"/>
          </w:rPr>
          <w:t>-1806-287.</w:t>
        </w:r>
        <w:r w:rsidRPr="00FD37F6">
          <w:rPr>
            <w:rStyle w:val="Hyperlink"/>
            <w:rFonts w:cs="Times New Roman"/>
            <w:sz w:val="20"/>
            <w:szCs w:val="20"/>
          </w:rPr>
          <w:t>html</w:t>
        </w:r>
      </w:hyperlink>
      <w:r w:rsidRPr="00FD37F6">
        <w:rPr>
          <w:rFonts w:cs="Times New Roman"/>
          <w:sz w:val="20"/>
          <w:szCs w:val="20"/>
          <w:lang w:val="bg-BG"/>
        </w:rPr>
        <w:t xml:space="preserve"> </w:t>
      </w:r>
    </w:p>
  </w:footnote>
  <w:footnote w:id="181">
    <w:p w14:paraId="5CA92C13" w14:textId="154E8F03"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04"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strategy</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StrategicDocuments</w:t>
        </w:r>
        <w:r w:rsidRPr="00FD37F6">
          <w:rPr>
            <w:rStyle w:val="Hyperlink"/>
            <w:rFonts w:cs="Times New Roman"/>
            <w:sz w:val="20"/>
            <w:szCs w:val="20"/>
            <w:lang w:val="bg-BG"/>
          </w:rPr>
          <w:t>/</w:t>
        </w:r>
        <w:r w:rsidRPr="00FD37F6">
          <w:rPr>
            <w:rStyle w:val="Hyperlink"/>
            <w:rFonts w:cs="Times New Roman"/>
            <w:sz w:val="20"/>
            <w:szCs w:val="20"/>
          </w:rPr>
          <w:t>View</w:t>
        </w:r>
        <w:r w:rsidRPr="00FD37F6">
          <w:rPr>
            <w:rStyle w:val="Hyperlink"/>
            <w:rFonts w:cs="Times New Roman"/>
            <w:sz w:val="20"/>
            <w:szCs w:val="20"/>
            <w:lang w:val="bg-BG"/>
          </w:rPr>
          <w:t>.</w:t>
        </w:r>
        <w:r w:rsidRPr="00FD37F6">
          <w:rPr>
            <w:rStyle w:val="Hyperlink"/>
            <w:rFonts w:cs="Times New Roman"/>
            <w:sz w:val="20"/>
            <w:szCs w:val="20"/>
          </w:rPr>
          <w:t>aspx</w:t>
        </w:r>
        <w:r w:rsidRPr="00FD37F6">
          <w:rPr>
            <w:rStyle w:val="Hyperlink"/>
            <w:rFonts w:cs="Times New Roman"/>
            <w:sz w:val="20"/>
            <w:szCs w:val="20"/>
            <w:lang w:val="bg-BG"/>
          </w:rPr>
          <w:t>?</w:t>
        </w:r>
        <w:r w:rsidRPr="00FD37F6">
          <w:rPr>
            <w:rStyle w:val="Hyperlink"/>
            <w:rFonts w:cs="Times New Roman"/>
            <w:sz w:val="20"/>
            <w:szCs w:val="20"/>
          </w:rPr>
          <w:t>lang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&amp;</w:t>
        </w:r>
        <w:r w:rsidRPr="00FD37F6">
          <w:rPr>
            <w:rStyle w:val="Hyperlink"/>
            <w:rFonts w:cs="Times New Roman"/>
            <w:sz w:val="20"/>
            <w:szCs w:val="20"/>
          </w:rPr>
          <w:t>Id</w:t>
        </w:r>
        <w:r w:rsidRPr="00FD37F6">
          <w:rPr>
            <w:rStyle w:val="Hyperlink"/>
            <w:rFonts w:cs="Times New Roman"/>
            <w:sz w:val="20"/>
            <w:szCs w:val="20"/>
            <w:lang w:val="bg-BG"/>
          </w:rPr>
          <w:t>=1231</w:t>
        </w:r>
      </w:hyperlink>
      <w:r w:rsidRPr="00FD37F6">
        <w:rPr>
          <w:rFonts w:cs="Times New Roman"/>
          <w:sz w:val="20"/>
          <w:szCs w:val="20"/>
          <w:lang w:val="bg-BG"/>
        </w:rPr>
        <w:t xml:space="preserve"> </w:t>
      </w:r>
    </w:p>
  </w:footnote>
  <w:footnote w:id="182">
    <w:p w14:paraId="7BE1B7A1" w14:textId="7B3BEE6F" w:rsidR="00215C86" w:rsidRPr="00FD37F6" w:rsidRDefault="00215C86" w:rsidP="00140F67">
      <w:pPr>
        <w:pStyle w:val="FootnoteText"/>
        <w:spacing w:after="20"/>
        <w:ind w:right="-612"/>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rPr>
        <w:t xml:space="preserve"> </w:t>
      </w:r>
      <w:r w:rsidRPr="00FD37F6">
        <w:rPr>
          <w:rFonts w:cs="Times New Roman"/>
          <w:sz w:val="20"/>
          <w:szCs w:val="20"/>
          <w:lang w:val="en-US"/>
        </w:rPr>
        <w:t>Jacobs, J.</w:t>
      </w:r>
      <w:r w:rsidRPr="00FD37F6">
        <w:rPr>
          <w:rFonts w:cs="Times New Roman"/>
          <w:sz w:val="20"/>
          <w:szCs w:val="20"/>
          <w:lang w:val="bg-BG"/>
        </w:rPr>
        <w:t xml:space="preserve"> 1961</w:t>
      </w:r>
      <w:r w:rsidRPr="00FD37F6">
        <w:rPr>
          <w:rFonts w:cs="Times New Roman"/>
          <w:sz w:val="20"/>
          <w:szCs w:val="20"/>
          <w:lang w:val="en-US"/>
        </w:rPr>
        <w:t xml:space="preserve">. The Death and Life of Great American Cities. </w:t>
      </w:r>
      <w:hyperlink r:id="rId205" w:history="1">
        <w:r w:rsidRPr="00FD37F6">
          <w:rPr>
            <w:rStyle w:val="Hyperlink"/>
            <w:rFonts w:cs="Times New Roman"/>
            <w:sz w:val="20"/>
            <w:szCs w:val="20"/>
            <w:lang w:val="en-US"/>
          </w:rPr>
          <w:t>https://www.buurtwijs.nl/sites/default/files/buurtwijs/bestanden/jane_jacobs_the_death_and_life_of_great_american.pdf</w:t>
        </w:r>
      </w:hyperlink>
      <w:r w:rsidRPr="00FD37F6">
        <w:rPr>
          <w:rFonts w:cs="Times New Roman"/>
          <w:sz w:val="20"/>
          <w:szCs w:val="20"/>
          <w:lang w:val="bg-BG"/>
        </w:rPr>
        <w:t xml:space="preserve"> </w:t>
      </w:r>
    </w:p>
  </w:footnote>
  <w:footnote w:id="183">
    <w:p w14:paraId="4CB2BDF0" w14:textId="7BC76ECE" w:rsidR="00215C86" w:rsidRPr="00FD37F6" w:rsidRDefault="00215C86" w:rsidP="00140F67">
      <w:pPr>
        <w:pStyle w:val="FootnoteText"/>
        <w:spacing w:after="20"/>
        <w:ind w:right="-896"/>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06" w:history="1">
        <w:r w:rsidRPr="00FD37F6">
          <w:rPr>
            <w:rFonts w:eastAsiaTheme="minorHAnsi" w:cs="Times New Roman"/>
            <w:color w:val="0000FF"/>
            <w:sz w:val="20"/>
            <w:szCs w:val="20"/>
            <w:u w:val="single"/>
            <w:lang w:eastAsia="en-US" w:bidi="ar-SA"/>
          </w:rPr>
          <w:t>http</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www</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blacksea</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commission</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org</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Official</w:t>
        </w:r>
        <w:r w:rsidRPr="00FD37F6">
          <w:rPr>
            <w:rFonts w:eastAsiaTheme="minorHAnsi" w:cs="Times New Roman"/>
            <w:color w:val="0000FF"/>
            <w:sz w:val="20"/>
            <w:szCs w:val="20"/>
            <w:u w:val="single"/>
            <w:lang w:val="bg-BG" w:eastAsia="en-US" w:bidi="ar-SA"/>
          </w:rPr>
          <w:t>%20</w:t>
        </w:r>
        <w:r w:rsidRPr="00FD37F6">
          <w:rPr>
            <w:rFonts w:eastAsiaTheme="minorHAnsi" w:cs="Times New Roman"/>
            <w:color w:val="0000FF"/>
            <w:sz w:val="20"/>
            <w:szCs w:val="20"/>
            <w:u w:val="single"/>
            <w:lang w:eastAsia="en-US" w:bidi="ar-SA"/>
          </w:rPr>
          <w:t>Documents</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Black</w:t>
        </w:r>
        <w:r w:rsidRPr="00FD37F6">
          <w:rPr>
            <w:rFonts w:eastAsiaTheme="minorHAnsi" w:cs="Times New Roman"/>
            <w:color w:val="0000FF"/>
            <w:sz w:val="20"/>
            <w:szCs w:val="20"/>
            <w:u w:val="single"/>
            <w:lang w:val="bg-BG" w:eastAsia="en-US" w:bidi="ar-SA"/>
          </w:rPr>
          <w:t>%20</w:t>
        </w:r>
        <w:r w:rsidRPr="00FD37F6">
          <w:rPr>
            <w:rFonts w:eastAsiaTheme="minorHAnsi" w:cs="Times New Roman"/>
            <w:color w:val="0000FF"/>
            <w:sz w:val="20"/>
            <w:szCs w:val="20"/>
            <w:u w:val="single"/>
            <w:lang w:eastAsia="en-US" w:bidi="ar-SA"/>
          </w:rPr>
          <w:t>Sea</w:t>
        </w:r>
        <w:r w:rsidRPr="00FD37F6">
          <w:rPr>
            <w:rFonts w:eastAsiaTheme="minorHAnsi" w:cs="Times New Roman"/>
            <w:color w:val="0000FF"/>
            <w:sz w:val="20"/>
            <w:szCs w:val="20"/>
            <w:u w:val="single"/>
            <w:lang w:val="bg-BG" w:eastAsia="en-US" w:bidi="ar-SA"/>
          </w:rPr>
          <w:t>%20</w:t>
        </w:r>
        <w:r w:rsidRPr="00FD37F6">
          <w:rPr>
            <w:rFonts w:eastAsiaTheme="minorHAnsi" w:cs="Times New Roman"/>
            <w:color w:val="0000FF"/>
            <w:sz w:val="20"/>
            <w:szCs w:val="20"/>
            <w:u w:val="single"/>
            <w:lang w:eastAsia="en-US" w:bidi="ar-SA"/>
          </w:rPr>
          <w:t>Strategic</w:t>
        </w:r>
        <w:r w:rsidRPr="00FD37F6">
          <w:rPr>
            <w:rFonts w:eastAsiaTheme="minorHAnsi" w:cs="Times New Roman"/>
            <w:color w:val="0000FF"/>
            <w:sz w:val="20"/>
            <w:szCs w:val="20"/>
            <w:u w:val="single"/>
            <w:lang w:val="bg-BG" w:eastAsia="en-US" w:bidi="ar-SA"/>
          </w:rPr>
          <w:t>%20</w:t>
        </w:r>
        <w:r w:rsidRPr="00FD37F6">
          <w:rPr>
            <w:rFonts w:eastAsiaTheme="minorHAnsi" w:cs="Times New Roman"/>
            <w:color w:val="0000FF"/>
            <w:sz w:val="20"/>
            <w:szCs w:val="20"/>
            <w:u w:val="single"/>
            <w:lang w:eastAsia="en-US" w:bidi="ar-SA"/>
          </w:rPr>
          <w:t>Action</w:t>
        </w:r>
        <w:r w:rsidRPr="00FD37F6">
          <w:rPr>
            <w:rFonts w:eastAsiaTheme="minorHAnsi" w:cs="Times New Roman"/>
            <w:color w:val="0000FF"/>
            <w:sz w:val="20"/>
            <w:szCs w:val="20"/>
            <w:u w:val="single"/>
            <w:lang w:val="bg-BG" w:eastAsia="en-US" w:bidi="ar-SA"/>
          </w:rPr>
          <w:t>%20</w:t>
        </w:r>
        <w:r w:rsidRPr="00FD37F6">
          <w:rPr>
            <w:rFonts w:eastAsiaTheme="minorHAnsi" w:cs="Times New Roman"/>
            <w:color w:val="0000FF"/>
            <w:sz w:val="20"/>
            <w:szCs w:val="20"/>
            <w:u w:val="single"/>
            <w:lang w:eastAsia="en-US" w:bidi="ar-SA"/>
          </w:rPr>
          <w:t>Plan</w:t>
        </w:r>
        <w:r w:rsidRPr="00FD37F6">
          <w:rPr>
            <w:rFonts w:eastAsiaTheme="minorHAnsi" w:cs="Times New Roman"/>
            <w:color w:val="0000FF"/>
            <w:sz w:val="20"/>
            <w:szCs w:val="20"/>
            <w:u w:val="single"/>
            <w:lang w:val="bg-BG" w:eastAsia="en-US" w:bidi="ar-SA"/>
          </w:rPr>
          <w:t>%202009/</w:t>
        </w:r>
      </w:hyperlink>
    </w:p>
  </w:footnote>
  <w:footnote w:id="184">
    <w:p w14:paraId="0EEA8FF3" w14:textId="442029B5"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lang w:val="bg-BG"/>
        </w:rPr>
        <w:footnoteRef/>
      </w:r>
      <w:r w:rsidRPr="00FD37F6">
        <w:rPr>
          <w:rFonts w:cs="Times New Roman"/>
          <w:sz w:val="20"/>
          <w:szCs w:val="20"/>
          <w:lang w:val="bg-BG"/>
        </w:rPr>
        <w:t xml:space="preserve"> Ратифицирана с Указ № 461 от 6 март 1975 г. На Държавния съвет на Народна Република България, ДВ бр. 22 от 1975 г. В сила от 15 юни 1977 г.</w:t>
      </w:r>
    </w:p>
  </w:footnote>
  <w:footnote w:id="185">
    <w:p w14:paraId="57A12069" w14:textId="4BD201E2"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lang w:val="bg-BG"/>
        </w:rPr>
        <w:footnoteRef/>
      </w:r>
      <w:r w:rsidRPr="00FD37F6">
        <w:rPr>
          <w:rFonts w:cs="Times New Roman"/>
          <w:sz w:val="20"/>
          <w:szCs w:val="20"/>
          <w:lang w:val="bg-BG"/>
        </w:rPr>
        <w:t xml:space="preserve"> Наредба за изискванията за предотвратяване на аварии при търсене и проучване или проучване, или добив на подземни богатства – нефт и природен газ, в териториалното море, континенталния шелф и в изключителната икономическа зона на Република България в Черно море, Обн. ДВ бр. 103/27.12.2016 г.</w:t>
      </w:r>
    </w:p>
  </w:footnote>
  <w:footnote w:id="186">
    <w:p w14:paraId="5B6552C1" w14:textId="1436500A"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rPr>
        <w:footnoteRef/>
      </w:r>
      <w:r w:rsidRPr="00FD37F6">
        <w:rPr>
          <w:rFonts w:cs="Times New Roman"/>
          <w:sz w:val="20"/>
          <w:szCs w:val="20"/>
          <w:lang w:val="bg-BG"/>
        </w:rPr>
        <w:t xml:space="preserve"> Директива (ЕС) 2017/845 на Комисията от 17 май 2017 година за изменение на Директива 2008/56/ЕО на Европейския парламент и на Съвета по отношение на примерните списъци от елементи, които следва да се вземат предвид при подготовката на морски стратегии (Официален вестник на ЕС, </w:t>
      </w:r>
      <w:r w:rsidRPr="00FD37F6">
        <w:rPr>
          <w:rFonts w:cs="Times New Roman"/>
          <w:sz w:val="20"/>
          <w:szCs w:val="20"/>
        </w:rPr>
        <w:t>L</w:t>
      </w:r>
      <w:r w:rsidRPr="00FD37F6">
        <w:rPr>
          <w:rFonts w:cs="Times New Roman"/>
          <w:sz w:val="20"/>
          <w:szCs w:val="20"/>
          <w:lang w:val="bg-BG"/>
        </w:rPr>
        <w:t xml:space="preserve"> 125, с. 27).</w:t>
      </w:r>
    </w:p>
  </w:footnote>
  <w:footnote w:id="187">
    <w:p w14:paraId="5924A48E" w14:textId="6DFBB866" w:rsidR="00215C86" w:rsidRPr="00FD37F6" w:rsidRDefault="00215C86" w:rsidP="00F00BE8">
      <w:pPr>
        <w:pStyle w:val="FootnoteText"/>
        <w:spacing w:after="20"/>
        <w:rPr>
          <w:rFonts w:cs="Times New Roman"/>
          <w:sz w:val="20"/>
          <w:szCs w:val="20"/>
        </w:rPr>
      </w:pPr>
      <w:r w:rsidRPr="00FD37F6">
        <w:rPr>
          <w:rFonts w:cs="Times New Roman"/>
          <w:sz w:val="20"/>
          <w:szCs w:val="20"/>
          <w:vertAlign w:val="superscript"/>
        </w:rPr>
        <w:footnoteRef/>
      </w:r>
      <w:r w:rsidRPr="00FD37F6">
        <w:rPr>
          <w:rFonts w:cs="Times New Roman"/>
          <w:sz w:val="20"/>
          <w:szCs w:val="20"/>
        </w:rPr>
        <w:t xml:space="preserve"> Обн. ДВ. бр. 66</w:t>
      </w:r>
      <w:r w:rsidRPr="00FD37F6">
        <w:rPr>
          <w:rFonts w:cs="Times New Roman"/>
          <w:sz w:val="20"/>
          <w:szCs w:val="20"/>
          <w:lang w:val="bg-BG"/>
        </w:rPr>
        <w:t>/</w:t>
      </w:r>
      <w:r w:rsidRPr="00FD37F6">
        <w:rPr>
          <w:rFonts w:cs="Times New Roman"/>
          <w:sz w:val="20"/>
          <w:szCs w:val="20"/>
        </w:rPr>
        <w:t>25</w:t>
      </w:r>
      <w:r w:rsidRPr="00FD37F6">
        <w:rPr>
          <w:rFonts w:cs="Times New Roman"/>
          <w:sz w:val="20"/>
          <w:szCs w:val="20"/>
          <w:lang w:val="bg-BG"/>
        </w:rPr>
        <w:t>.07.</w:t>
      </w:r>
      <w:r w:rsidRPr="00FD37F6">
        <w:rPr>
          <w:rFonts w:cs="Times New Roman"/>
          <w:sz w:val="20"/>
          <w:szCs w:val="20"/>
        </w:rPr>
        <w:t>2003 г.</w:t>
      </w:r>
    </w:p>
  </w:footnote>
  <w:footnote w:id="188">
    <w:p w14:paraId="6DC9D1BF" w14:textId="24B4595F"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rPr>
        <w:footnoteRef/>
      </w:r>
      <w:r w:rsidRPr="00FD37F6">
        <w:rPr>
          <w:rFonts w:cs="Times New Roman"/>
          <w:sz w:val="20"/>
          <w:szCs w:val="20"/>
          <w:lang w:val="bg-BG"/>
        </w:rPr>
        <w:t xml:space="preserve"> </w:t>
      </w:r>
      <w:r w:rsidRPr="00FD37F6">
        <w:rPr>
          <w:rFonts w:cs="Times New Roman"/>
          <w:sz w:val="20"/>
          <w:szCs w:val="20"/>
        </w:rPr>
        <w:t xml:space="preserve">European Global Ocean Observation System: </w:t>
      </w:r>
      <w:hyperlink r:id="rId207" w:history="1">
        <w:r w:rsidRPr="00FD37F6">
          <w:rPr>
            <w:rStyle w:val="Hyperlink"/>
            <w:rFonts w:cs="Times New Roman"/>
            <w:sz w:val="20"/>
            <w:szCs w:val="20"/>
          </w:rPr>
          <w:t>http://eurogoos.eu/ferrybox-task-team/</w:t>
        </w:r>
      </w:hyperlink>
      <w:r w:rsidRPr="00FD37F6">
        <w:rPr>
          <w:rFonts w:cs="Times New Roman"/>
          <w:sz w:val="20"/>
          <w:szCs w:val="20"/>
          <w:lang w:val="bg-BG"/>
        </w:rPr>
        <w:t xml:space="preserve"> </w:t>
      </w:r>
    </w:p>
  </w:footnote>
  <w:footnote w:id="189">
    <w:p w14:paraId="72807762" w14:textId="2AFBDAD4"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rPr>
        <w:footnoteRef/>
      </w:r>
      <w:r w:rsidRPr="00FD37F6">
        <w:rPr>
          <w:rFonts w:cs="Times New Roman"/>
          <w:sz w:val="20"/>
          <w:szCs w:val="20"/>
          <w:vertAlign w:val="superscript"/>
          <w:lang w:val="bg-BG"/>
        </w:rPr>
        <w:t xml:space="preserve"> </w:t>
      </w:r>
      <w:r w:rsidRPr="00FD37F6">
        <w:rPr>
          <w:rFonts w:cs="Times New Roman"/>
          <w:sz w:val="20"/>
          <w:szCs w:val="20"/>
          <w:lang w:val="bg-BG"/>
        </w:rPr>
        <w:t xml:space="preserve">Програми за мониторинг по чл. 11 от РДМС: </w:t>
      </w:r>
      <w:hyperlink r:id="rId208"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lang w:val="en-US"/>
          </w:rPr>
          <w:t>www</w:t>
        </w:r>
        <w:r w:rsidRPr="00FD37F6">
          <w:rPr>
            <w:rStyle w:val="Hyperlink"/>
            <w:rFonts w:cs="Times New Roman"/>
            <w:sz w:val="20"/>
            <w:szCs w:val="20"/>
            <w:lang w:val="bg-BG"/>
          </w:rPr>
          <w:t>.</w:t>
        </w:r>
        <w:r w:rsidRPr="00FD37F6">
          <w:rPr>
            <w:rStyle w:val="Hyperlink"/>
            <w:rFonts w:cs="Times New Roman"/>
            <w:sz w:val="20"/>
            <w:szCs w:val="20"/>
          </w:rPr>
          <w:t>bsbd</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msfd</w:t>
        </w:r>
        <w:r w:rsidRPr="00FD37F6">
          <w:rPr>
            <w:rStyle w:val="Hyperlink"/>
            <w:rFonts w:cs="Times New Roman"/>
            <w:sz w:val="20"/>
            <w:szCs w:val="20"/>
            <w:lang w:val="bg-BG"/>
          </w:rPr>
          <w:t>_</w:t>
        </w:r>
        <w:r w:rsidRPr="00FD37F6">
          <w:rPr>
            <w:rStyle w:val="Hyperlink"/>
            <w:rFonts w:cs="Times New Roman"/>
            <w:sz w:val="20"/>
            <w:szCs w:val="20"/>
          </w:rPr>
          <w:t>monitoring</w:t>
        </w:r>
        <w:r w:rsidRPr="00FD37F6">
          <w:rPr>
            <w:rStyle w:val="Hyperlink"/>
            <w:rFonts w:cs="Times New Roman"/>
            <w:sz w:val="20"/>
            <w:szCs w:val="20"/>
            <w:lang w:val="bg-BG"/>
          </w:rPr>
          <w:t>.</w:t>
        </w:r>
        <w:r w:rsidRPr="00FD37F6">
          <w:rPr>
            <w:rStyle w:val="Hyperlink"/>
            <w:rFonts w:cs="Times New Roman"/>
            <w:sz w:val="20"/>
            <w:szCs w:val="20"/>
          </w:rPr>
          <w:t>html</w:t>
        </w:r>
      </w:hyperlink>
      <w:r w:rsidRPr="00FD37F6">
        <w:rPr>
          <w:rFonts w:cs="Times New Roman"/>
          <w:sz w:val="20"/>
          <w:szCs w:val="20"/>
          <w:lang w:val="bg-BG"/>
        </w:rPr>
        <w:t xml:space="preserve"> </w:t>
      </w:r>
    </w:p>
  </w:footnote>
  <w:footnote w:id="190">
    <w:p w14:paraId="4570D320" w14:textId="5460A009"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rPr>
        <w:footnoteRef/>
      </w:r>
      <w:r w:rsidRPr="00FD37F6">
        <w:rPr>
          <w:rFonts w:cs="Times New Roman"/>
          <w:sz w:val="20"/>
          <w:szCs w:val="20"/>
          <w:lang w:val="bg-BG"/>
        </w:rPr>
        <w:t xml:space="preserve"> Ползване на воден обект за други цели в Черно море: </w:t>
      </w:r>
      <w:r w:rsidRPr="00FD37F6">
        <w:rPr>
          <w:rFonts w:cs="Times New Roman"/>
          <w:sz w:val="20"/>
          <w:szCs w:val="20"/>
        </w:rPr>
        <w:t>https</w:t>
      </w:r>
      <w:r w:rsidRPr="00FD37F6">
        <w:rPr>
          <w:rFonts w:cs="Times New Roman"/>
          <w:sz w:val="20"/>
          <w:szCs w:val="20"/>
          <w:lang w:val="bg-BG"/>
        </w:rPr>
        <w:t>://</w:t>
      </w:r>
      <w:r w:rsidRPr="00FD37F6">
        <w:rPr>
          <w:rFonts w:cs="Times New Roman"/>
          <w:sz w:val="20"/>
          <w:szCs w:val="20"/>
        </w:rPr>
        <w:t>bsbd</w:t>
      </w:r>
      <w:r w:rsidRPr="00FD37F6">
        <w:rPr>
          <w:rFonts w:cs="Times New Roman"/>
          <w:sz w:val="20"/>
          <w:szCs w:val="20"/>
          <w:lang w:val="bg-BG"/>
        </w:rPr>
        <w:t>.</w:t>
      </w:r>
      <w:r w:rsidRPr="00FD37F6">
        <w:rPr>
          <w:rFonts w:cs="Times New Roman"/>
          <w:sz w:val="20"/>
          <w:szCs w:val="20"/>
        </w:rPr>
        <w:t>org</w:t>
      </w:r>
      <w:r w:rsidRPr="00FD37F6">
        <w:rPr>
          <w:rFonts w:cs="Times New Roman"/>
          <w:sz w:val="20"/>
          <w:szCs w:val="20"/>
          <w:lang w:val="bg-BG"/>
        </w:rPr>
        <w:t>/</w:t>
      </w:r>
      <w:r w:rsidRPr="00FD37F6">
        <w:rPr>
          <w:rFonts w:cs="Times New Roman"/>
          <w:sz w:val="20"/>
          <w:szCs w:val="20"/>
        </w:rPr>
        <w:t>bg</w:t>
      </w:r>
      <w:r w:rsidRPr="00FD37F6">
        <w:rPr>
          <w:rFonts w:cs="Times New Roman"/>
          <w:sz w:val="20"/>
          <w:szCs w:val="20"/>
          <w:lang w:val="bg-BG"/>
        </w:rPr>
        <w:t>/</w:t>
      </w:r>
      <w:r w:rsidRPr="00FD37F6">
        <w:rPr>
          <w:rFonts w:cs="Times New Roman"/>
          <w:sz w:val="20"/>
          <w:szCs w:val="20"/>
        </w:rPr>
        <w:t>register</w:t>
      </w:r>
      <w:r w:rsidRPr="00FD37F6">
        <w:rPr>
          <w:rFonts w:cs="Times New Roman"/>
          <w:sz w:val="20"/>
          <w:szCs w:val="20"/>
          <w:lang w:val="bg-BG"/>
        </w:rPr>
        <w:t>.</w:t>
      </w:r>
      <w:r w:rsidRPr="00FD37F6">
        <w:rPr>
          <w:rFonts w:cs="Times New Roman"/>
          <w:sz w:val="20"/>
          <w:szCs w:val="20"/>
        </w:rPr>
        <w:t>html</w:t>
      </w:r>
    </w:p>
  </w:footnote>
  <w:footnote w:id="191">
    <w:p w14:paraId="14605B74" w14:textId="18FB3895"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lang w:val="bg-BG"/>
        </w:rPr>
        <w:footnoteRef/>
      </w:r>
      <w:r w:rsidRPr="00FD37F6">
        <w:rPr>
          <w:rFonts w:cs="Times New Roman"/>
          <w:sz w:val="20"/>
          <w:szCs w:val="20"/>
          <w:lang w:val="bg-BG"/>
        </w:rPr>
        <w:t xml:space="preserve"> Наредба №1 от 11.04.2011 г. за мониторинг на водите, Обн. ДВ, бр. 34/29.04.2011 г.</w:t>
      </w:r>
    </w:p>
  </w:footnote>
  <w:footnote w:id="192">
    <w:p w14:paraId="4FA12909" w14:textId="7F2847C5" w:rsidR="00215C86" w:rsidRPr="00FD37F6" w:rsidRDefault="00215C86" w:rsidP="00F00BE8">
      <w:pPr>
        <w:pStyle w:val="FootnoteText"/>
        <w:spacing w:after="20"/>
        <w:rPr>
          <w:rFonts w:cs="Times New Roman"/>
          <w:sz w:val="20"/>
          <w:szCs w:val="20"/>
          <w:lang w:val="bg-BG"/>
        </w:rPr>
      </w:pPr>
      <w:r w:rsidRPr="00FD37F6">
        <w:rPr>
          <w:rFonts w:cs="Times New Roman"/>
          <w:sz w:val="20"/>
          <w:szCs w:val="20"/>
          <w:vertAlign w:val="superscript"/>
        </w:rPr>
        <w:footnoteRef/>
      </w:r>
      <w:r w:rsidRPr="00FD37F6">
        <w:rPr>
          <w:rFonts w:cs="Times New Roman"/>
          <w:sz w:val="20"/>
          <w:szCs w:val="20"/>
          <w:lang w:val="bg-BG"/>
        </w:rPr>
        <w:t xml:space="preserve"> Обн. ДВ. бр. 88/10.10.2008 г.</w:t>
      </w:r>
    </w:p>
  </w:footnote>
  <w:footnote w:id="193">
    <w:p w14:paraId="7B6B3F0E" w14:textId="5DF2044F"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133B13">
        <w:rPr>
          <w:rFonts w:cs="Times New Roman"/>
          <w:sz w:val="20"/>
          <w:szCs w:val="20"/>
          <w:lang w:val="bg-BG"/>
        </w:rPr>
        <w:t xml:space="preserve"> </w:t>
      </w:r>
      <w:hyperlink r:id="rId209" w:history="1">
        <w:r w:rsidRPr="00FD37F6">
          <w:rPr>
            <w:rStyle w:val="Hyperlink"/>
            <w:rFonts w:cs="Times New Roman"/>
            <w:sz w:val="20"/>
            <w:szCs w:val="20"/>
          </w:rPr>
          <w:t>https</w:t>
        </w:r>
        <w:r w:rsidRPr="00133B13">
          <w:rPr>
            <w:rStyle w:val="Hyperlink"/>
            <w:rFonts w:cs="Times New Roman"/>
            <w:sz w:val="20"/>
            <w:szCs w:val="20"/>
            <w:lang w:val="bg-BG"/>
          </w:rPr>
          <w:t>://</w:t>
        </w:r>
        <w:r w:rsidRPr="00FD37F6">
          <w:rPr>
            <w:rStyle w:val="Hyperlink"/>
            <w:rFonts w:cs="Times New Roman"/>
            <w:sz w:val="20"/>
            <w:szCs w:val="20"/>
          </w:rPr>
          <w:t>ec</w:t>
        </w:r>
        <w:r w:rsidRPr="00133B13">
          <w:rPr>
            <w:rStyle w:val="Hyperlink"/>
            <w:rFonts w:cs="Times New Roman"/>
            <w:sz w:val="20"/>
            <w:szCs w:val="20"/>
            <w:lang w:val="bg-BG"/>
          </w:rPr>
          <w:t>.</w:t>
        </w:r>
        <w:r w:rsidRPr="00FD37F6">
          <w:rPr>
            <w:rStyle w:val="Hyperlink"/>
            <w:rFonts w:cs="Times New Roman"/>
            <w:sz w:val="20"/>
            <w:szCs w:val="20"/>
          </w:rPr>
          <w:t>europa</w:t>
        </w:r>
        <w:r w:rsidRPr="00133B13">
          <w:rPr>
            <w:rStyle w:val="Hyperlink"/>
            <w:rFonts w:cs="Times New Roman"/>
            <w:sz w:val="20"/>
            <w:szCs w:val="20"/>
            <w:lang w:val="bg-BG"/>
          </w:rPr>
          <w:t>.</w:t>
        </w:r>
        <w:r w:rsidRPr="00FD37F6">
          <w:rPr>
            <w:rStyle w:val="Hyperlink"/>
            <w:rFonts w:cs="Times New Roman"/>
            <w:sz w:val="20"/>
            <w:szCs w:val="20"/>
          </w:rPr>
          <w:t>eu</w:t>
        </w:r>
        <w:r w:rsidRPr="00133B13">
          <w:rPr>
            <w:rStyle w:val="Hyperlink"/>
            <w:rFonts w:cs="Times New Roman"/>
            <w:sz w:val="20"/>
            <w:szCs w:val="20"/>
            <w:lang w:val="bg-BG"/>
          </w:rPr>
          <w:t>/</w:t>
        </w:r>
        <w:r w:rsidRPr="00FD37F6">
          <w:rPr>
            <w:rStyle w:val="Hyperlink"/>
            <w:rFonts w:cs="Times New Roman"/>
            <w:sz w:val="20"/>
            <w:szCs w:val="20"/>
          </w:rPr>
          <w:t>environment</w:t>
        </w:r>
        <w:r w:rsidRPr="00133B13">
          <w:rPr>
            <w:rStyle w:val="Hyperlink"/>
            <w:rFonts w:cs="Times New Roman"/>
            <w:sz w:val="20"/>
            <w:szCs w:val="20"/>
            <w:lang w:val="bg-BG"/>
          </w:rPr>
          <w:t>/</w:t>
        </w:r>
        <w:r w:rsidRPr="00FD37F6">
          <w:rPr>
            <w:rStyle w:val="Hyperlink"/>
            <w:rFonts w:cs="Times New Roman"/>
            <w:sz w:val="20"/>
            <w:szCs w:val="20"/>
          </w:rPr>
          <w:t>iczm</w:t>
        </w:r>
        <w:r w:rsidRPr="00133B13">
          <w:rPr>
            <w:rStyle w:val="Hyperlink"/>
            <w:rFonts w:cs="Times New Roman"/>
            <w:sz w:val="20"/>
            <w:szCs w:val="20"/>
            <w:lang w:val="bg-BG"/>
          </w:rPr>
          <w:t>/</w:t>
        </w:r>
        <w:r w:rsidRPr="00FD37F6">
          <w:rPr>
            <w:rStyle w:val="Hyperlink"/>
            <w:rFonts w:cs="Times New Roman"/>
            <w:sz w:val="20"/>
            <w:szCs w:val="20"/>
          </w:rPr>
          <w:t>pdf</w:t>
        </w:r>
        <w:r w:rsidRPr="00133B13">
          <w:rPr>
            <w:rStyle w:val="Hyperlink"/>
            <w:rFonts w:cs="Times New Roman"/>
            <w:sz w:val="20"/>
            <w:szCs w:val="20"/>
            <w:lang w:val="bg-BG"/>
          </w:rPr>
          <w:t>/</w:t>
        </w:r>
        <w:r w:rsidRPr="00FD37F6">
          <w:rPr>
            <w:rStyle w:val="Hyperlink"/>
            <w:rFonts w:cs="Times New Roman"/>
            <w:sz w:val="20"/>
            <w:szCs w:val="20"/>
          </w:rPr>
          <w:t>LSI</w:t>
        </w:r>
        <w:r w:rsidRPr="00133B13">
          <w:rPr>
            <w:rStyle w:val="Hyperlink"/>
            <w:rFonts w:cs="Times New Roman"/>
            <w:sz w:val="20"/>
            <w:szCs w:val="20"/>
            <w:lang w:val="bg-BG"/>
          </w:rPr>
          <w:t>_</w:t>
        </w:r>
        <w:r w:rsidRPr="00FD37F6">
          <w:rPr>
            <w:rStyle w:val="Hyperlink"/>
            <w:rFonts w:cs="Times New Roman"/>
            <w:sz w:val="20"/>
            <w:szCs w:val="20"/>
          </w:rPr>
          <w:t>FINAL</w:t>
        </w:r>
        <w:r w:rsidRPr="00133B13">
          <w:rPr>
            <w:rStyle w:val="Hyperlink"/>
            <w:rFonts w:cs="Times New Roman"/>
            <w:sz w:val="20"/>
            <w:szCs w:val="20"/>
            <w:lang w:val="bg-BG"/>
          </w:rPr>
          <w:t>20180417_</w:t>
        </w:r>
        <w:r w:rsidRPr="00FD37F6">
          <w:rPr>
            <w:rStyle w:val="Hyperlink"/>
            <w:rFonts w:cs="Times New Roman"/>
            <w:sz w:val="20"/>
            <w:szCs w:val="20"/>
          </w:rPr>
          <w:t>digital</w:t>
        </w:r>
        <w:r w:rsidRPr="00133B13">
          <w:rPr>
            <w:rStyle w:val="Hyperlink"/>
            <w:rFonts w:cs="Times New Roman"/>
            <w:sz w:val="20"/>
            <w:szCs w:val="20"/>
            <w:lang w:val="bg-BG"/>
          </w:rPr>
          <w:t>.</w:t>
        </w:r>
        <w:r w:rsidRPr="00FD37F6">
          <w:rPr>
            <w:rStyle w:val="Hyperlink"/>
            <w:rFonts w:cs="Times New Roman"/>
            <w:sz w:val="20"/>
            <w:szCs w:val="20"/>
          </w:rPr>
          <w:t>pdf</w:t>
        </w:r>
      </w:hyperlink>
      <w:r w:rsidRPr="00FD37F6">
        <w:rPr>
          <w:rFonts w:cs="Times New Roman"/>
          <w:sz w:val="20"/>
          <w:szCs w:val="20"/>
          <w:lang w:val="bg-BG"/>
        </w:rPr>
        <w:t xml:space="preserve"> </w:t>
      </w:r>
    </w:p>
  </w:footnote>
  <w:footnote w:id="194">
    <w:p w14:paraId="0F89CD32" w14:textId="0FB9A970"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10"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marsplan</w:t>
        </w:r>
        <w:r w:rsidRPr="00FD37F6">
          <w:rPr>
            <w:rStyle w:val="Hyperlink"/>
            <w:rFonts w:cs="Times New Roman"/>
            <w:sz w:val="20"/>
            <w:szCs w:val="20"/>
            <w:lang w:val="bg-BG"/>
          </w:rPr>
          <w:t>.</w:t>
        </w:r>
        <w:r w:rsidRPr="00FD37F6">
          <w:rPr>
            <w:rStyle w:val="Hyperlink"/>
            <w:rFonts w:cs="Times New Roman"/>
            <w:sz w:val="20"/>
            <w:szCs w:val="20"/>
          </w:rPr>
          <w:t>ro</w:t>
        </w:r>
        <w:r w:rsidRPr="00FD37F6">
          <w:rPr>
            <w:rStyle w:val="Hyperlink"/>
            <w:rFonts w:cs="Times New Roman"/>
            <w:sz w:val="20"/>
            <w:szCs w:val="20"/>
            <w:lang w:val="bg-BG"/>
          </w:rPr>
          <w:t>/</w:t>
        </w:r>
        <w:r w:rsidRPr="00FD37F6">
          <w:rPr>
            <w:rStyle w:val="Hyperlink"/>
            <w:rFonts w:cs="Times New Roman"/>
            <w:sz w:val="20"/>
            <w:szCs w:val="20"/>
          </w:rPr>
          <w:t>en</w:t>
        </w:r>
        <w:r w:rsidRPr="00FD37F6">
          <w:rPr>
            <w:rStyle w:val="Hyperlink"/>
            <w:rFonts w:cs="Times New Roman"/>
            <w:sz w:val="20"/>
            <w:szCs w:val="20"/>
            <w:lang w:val="bg-BG"/>
          </w:rPr>
          <w:t>/</w:t>
        </w:r>
        <w:r w:rsidRPr="00FD37F6">
          <w:rPr>
            <w:rStyle w:val="Hyperlink"/>
            <w:rFonts w:cs="Times New Roman"/>
            <w:sz w:val="20"/>
            <w:szCs w:val="20"/>
          </w:rPr>
          <w:t>results</w:t>
        </w:r>
        <w:r w:rsidRPr="00FD37F6">
          <w:rPr>
            <w:rStyle w:val="Hyperlink"/>
            <w:rFonts w:cs="Times New Roman"/>
            <w:sz w:val="20"/>
            <w:szCs w:val="20"/>
            <w:lang w:val="bg-BG"/>
          </w:rPr>
          <w:t>/</w:t>
        </w:r>
        <w:r w:rsidRPr="00FD37F6">
          <w:rPr>
            <w:rStyle w:val="Hyperlink"/>
            <w:rFonts w:cs="Times New Roman"/>
            <w:sz w:val="20"/>
            <w:szCs w:val="20"/>
          </w:rPr>
          <w:t>case</w:t>
        </w:r>
        <w:r w:rsidRPr="00FD37F6">
          <w:rPr>
            <w:rStyle w:val="Hyperlink"/>
            <w:rFonts w:cs="Times New Roman"/>
            <w:sz w:val="20"/>
            <w:szCs w:val="20"/>
            <w:lang w:val="bg-BG"/>
          </w:rPr>
          <w:t>-</w:t>
        </w:r>
        <w:r w:rsidRPr="00FD37F6">
          <w:rPr>
            <w:rStyle w:val="Hyperlink"/>
            <w:rFonts w:cs="Times New Roman"/>
            <w:sz w:val="20"/>
            <w:szCs w:val="20"/>
          </w:rPr>
          <w:t>study</w:t>
        </w:r>
        <w:r w:rsidRPr="00FD37F6">
          <w:rPr>
            <w:rStyle w:val="Hyperlink"/>
            <w:rFonts w:cs="Times New Roman"/>
            <w:sz w:val="20"/>
            <w:szCs w:val="20"/>
            <w:lang w:val="bg-BG"/>
          </w:rPr>
          <w:t>/432-</w:t>
        </w:r>
        <w:r w:rsidRPr="00FD37F6">
          <w:rPr>
            <w:rStyle w:val="Hyperlink"/>
            <w:rFonts w:cs="Times New Roman"/>
            <w:sz w:val="20"/>
            <w:szCs w:val="20"/>
          </w:rPr>
          <w:t>bourgas</w:t>
        </w:r>
        <w:r w:rsidRPr="00FD37F6">
          <w:rPr>
            <w:rStyle w:val="Hyperlink"/>
            <w:rFonts w:cs="Times New Roman"/>
            <w:sz w:val="20"/>
            <w:szCs w:val="20"/>
            <w:lang w:val="bg-BG"/>
          </w:rPr>
          <w:t>.</w:t>
        </w:r>
        <w:r w:rsidRPr="00FD37F6">
          <w:rPr>
            <w:rStyle w:val="Hyperlink"/>
            <w:rFonts w:cs="Times New Roman"/>
            <w:sz w:val="20"/>
            <w:szCs w:val="20"/>
          </w:rPr>
          <w:t>html</w:t>
        </w:r>
      </w:hyperlink>
      <w:r w:rsidRPr="00FD37F6">
        <w:rPr>
          <w:rFonts w:cs="Times New Roman"/>
          <w:sz w:val="20"/>
          <w:szCs w:val="20"/>
          <w:lang w:val="bg-BG"/>
        </w:rPr>
        <w:t xml:space="preserve"> </w:t>
      </w:r>
    </w:p>
  </w:footnote>
  <w:footnote w:id="195">
    <w:p w14:paraId="7D34D543" w14:textId="147BE501"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11" w:history="1">
        <w:r w:rsidRPr="00FD37F6">
          <w:rPr>
            <w:rFonts w:eastAsiaTheme="minorHAnsi" w:cs="Times New Roman"/>
            <w:color w:val="0000FF"/>
            <w:sz w:val="20"/>
            <w:szCs w:val="20"/>
            <w:u w:val="single"/>
            <w:lang w:eastAsia="en-US" w:bidi="ar-SA"/>
          </w:rPr>
          <w:t>https</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ec</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europa</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eu</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environment</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iczm</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pdf</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LSI</w:t>
        </w:r>
        <w:r w:rsidRPr="00FD37F6">
          <w:rPr>
            <w:rFonts w:eastAsiaTheme="minorHAnsi" w:cs="Times New Roman"/>
            <w:color w:val="0000FF"/>
            <w:sz w:val="20"/>
            <w:szCs w:val="20"/>
            <w:u w:val="single"/>
            <w:lang w:val="bg-BG" w:eastAsia="en-US" w:bidi="ar-SA"/>
          </w:rPr>
          <w:t>_</w:t>
        </w:r>
        <w:r w:rsidRPr="00FD37F6">
          <w:rPr>
            <w:rFonts w:eastAsiaTheme="minorHAnsi" w:cs="Times New Roman"/>
            <w:color w:val="0000FF"/>
            <w:sz w:val="20"/>
            <w:szCs w:val="20"/>
            <w:u w:val="single"/>
            <w:lang w:eastAsia="en-US" w:bidi="ar-SA"/>
          </w:rPr>
          <w:t>FINAL</w:t>
        </w:r>
        <w:r w:rsidRPr="00FD37F6">
          <w:rPr>
            <w:rFonts w:eastAsiaTheme="minorHAnsi" w:cs="Times New Roman"/>
            <w:color w:val="0000FF"/>
            <w:sz w:val="20"/>
            <w:szCs w:val="20"/>
            <w:u w:val="single"/>
            <w:lang w:val="bg-BG" w:eastAsia="en-US" w:bidi="ar-SA"/>
          </w:rPr>
          <w:t>20180417_</w:t>
        </w:r>
        <w:r w:rsidRPr="00FD37F6">
          <w:rPr>
            <w:rFonts w:eastAsiaTheme="minorHAnsi" w:cs="Times New Roman"/>
            <w:color w:val="0000FF"/>
            <w:sz w:val="20"/>
            <w:szCs w:val="20"/>
            <w:u w:val="single"/>
            <w:lang w:eastAsia="en-US" w:bidi="ar-SA"/>
          </w:rPr>
          <w:t>digital</w:t>
        </w:r>
        <w:r w:rsidRPr="00FD37F6">
          <w:rPr>
            <w:rFonts w:eastAsiaTheme="minorHAnsi" w:cs="Times New Roman"/>
            <w:color w:val="0000FF"/>
            <w:sz w:val="20"/>
            <w:szCs w:val="20"/>
            <w:u w:val="single"/>
            <w:lang w:val="bg-BG" w:eastAsia="en-US" w:bidi="ar-SA"/>
          </w:rPr>
          <w:t>.</w:t>
        </w:r>
        <w:r w:rsidRPr="00FD37F6">
          <w:rPr>
            <w:rFonts w:eastAsiaTheme="minorHAnsi" w:cs="Times New Roman"/>
            <w:color w:val="0000FF"/>
            <w:sz w:val="20"/>
            <w:szCs w:val="20"/>
            <w:u w:val="single"/>
            <w:lang w:eastAsia="en-US" w:bidi="ar-SA"/>
          </w:rPr>
          <w:t>pdf</w:t>
        </w:r>
      </w:hyperlink>
    </w:p>
  </w:footnote>
  <w:footnote w:id="196">
    <w:p w14:paraId="33398735" w14:textId="0666D3DE"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12"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balance</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xpdf</w:t>
        </w:r>
        <w:r w:rsidRPr="00FD37F6">
          <w:rPr>
            <w:rStyle w:val="Hyperlink"/>
            <w:rFonts w:cs="Times New Roman"/>
            <w:sz w:val="20"/>
            <w:szCs w:val="20"/>
            <w:lang w:val="bg-BG"/>
          </w:rPr>
          <w:t>/</w:t>
        </w:r>
        <w:r w:rsidRPr="00FD37F6">
          <w:rPr>
            <w:rStyle w:val="Hyperlink"/>
            <w:rFonts w:cs="Times New Roman"/>
            <w:sz w:val="20"/>
            <w:szCs w:val="20"/>
          </w:rPr>
          <w:t>balance</w:t>
        </w:r>
        <w:r w:rsidRPr="00FD37F6">
          <w:rPr>
            <w:rStyle w:val="Hyperlink"/>
            <w:rFonts w:cs="Times New Roman"/>
            <w:sz w:val="20"/>
            <w:szCs w:val="20"/>
            <w:lang w:val="bg-BG"/>
          </w:rPr>
          <w:t>-</w:t>
        </w:r>
        <w:r w:rsidRPr="00FD37F6">
          <w:rPr>
            <w:rStyle w:val="Hyperlink"/>
            <w:rFonts w:cs="Times New Roman"/>
            <w:sz w:val="20"/>
            <w:szCs w:val="20"/>
          </w:rPr>
          <w:t>technical</w:t>
        </w:r>
        <w:r w:rsidRPr="00FD37F6">
          <w:rPr>
            <w:rStyle w:val="Hyperlink"/>
            <w:rFonts w:cs="Times New Roman"/>
            <w:sz w:val="20"/>
            <w:szCs w:val="20"/>
            <w:lang w:val="bg-BG"/>
          </w:rPr>
          <w:t>-</w:t>
        </w:r>
        <w:r w:rsidRPr="00FD37F6">
          <w:rPr>
            <w:rStyle w:val="Hyperlink"/>
            <w:rFonts w:cs="Times New Roman"/>
            <w:sz w:val="20"/>
            <w:szCs w:val="20"/>
          </w:rPr>
          <w:t>summary</w:t>
        </w:r>
        <w:r w:rsidRPr="00FD37F6">
          <w:rPr>
            <w:rStyle w:val="Hyperlink"/>
            <w:rFonts w:cs="Times New Roman"/>
            <w:sz w:val="20"/>
            <w:szCs w:val="20"/>
            <w:lang w:val="bg-BG"/>
          </w:rPr>
          <w:t>-</w:t>
        </w:r>
        <w:r w:rsidRPr="00FD37F6">
          <w:rPr>
            <w:rStyle w:val="Hyperlink"/>
            <w:rFonts w:cs="Times New Roman"/>
            <w:sz w:val="20"/>
            <w:szCs w:val="20"/>
          </w:rPr>
          <w:t>report</w:t>
        </w:r>
        <w:r w:rsidRPr="00FD37F6">
          <w:rPr>
            <w:rStyle w:val="Hyperlink"/>
            <w:rFonts w:cs="Times New Roman"/>
            <w:sz w:val="20"/>
            <w:szCs w:val="20"/>
            <w:lang w:val="bg-BG"/>
          </w:rPr>
          <w:t>-</w:t>
        </w:r>
        <w:r w:rsidRPr="00FD37F6">
          <w:rPr>
            <w:rStyle w:val="Hyperlink"/>
            <w:rFonts w:cs="Times New Roman"/>
            <w:sz w:val="20"/>
            <w:szCs w:val="20"/>
          </w:rPr>
          <w:t>no</w:t>
        </w:r>
        <w:r w:rsidRPr="00FD37F6">
          <w:rPr>
            <w:rStyle w:val="Hyperlink"/>
            <w:rFonts w:cs="Times New Roman"/>
            <w:sz w:val="20"/>
            <w:szCs w:val="20"/>
            <w:lang w:val="bg-BG"/>
          </w:rPr>
          <w:t>-4-4.</w:t>
        </w:r>
        <w:r w:rsidRPr="00FD37F6">
          <w:rPr>
            <w:rStyle w:val="Hyperlink"/>
            <w:rFonts w:cs="Times New Roman"/>
            <w:sz w:val="20"/>
            <w:szCs w:val="20"/>
          </w:rPr>
          <w:t>pdf</w:t>
        </w:r>
      </w:hyperlink>
      <w:r w:rsidRPr="00FD37F6">
        <w:rPr>
          <w:rFonts w:cs="Times New Roman"/>
          <w:sz w:val="20"/>
          <w:szCs w:val="20"/>
          <w:lang w:val="bg-BG"/>
        </w:rPr>
        <w:t xml:space="preserve"> </w:t>
      </w:r>
    </w:p>
  </w:footnote>
  <w:footnote w:id="197">
    <w:p w14:paraId="4104D8B7"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13"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w:t>
        </w:r>
        <w:r w:rsidRPr="00FD37F6">
          <w:rPr>
            <w:rStyle w:val="Hyperlink"/>
            <w:rFonts w:cs="Times New Roman"/>
            <w:sz w:val="20"/>
            <w:szCs w:val="20"/>
          </w:rPr>
          <w:t>environment</w:t>
        </w:r>
        <w:r w:rsidRPr="00FD37F6">
          <w:rPr>
            <w:rStyle w:val="Hyperlink"/>
            <w:rFonts w:cs="Times New Roman"/>
            <w:sz w:val="20"/>
            <w:szCs w:val="20"/>
            <w:lang w:val="bg-BG"/>
          </w:rPr>
          <w:t>.</w:t>
        </w:r>
        <w:r w:rsidRPr="00FD37F6">
          <w:rPr>
            <w:rStyle w:val="Hyperlink"/>
            <w:rFonts w:cs="Times New Roman"/>
            <w:sz w:val="20"/>
            <w:szCs w:val="20"/>
          </w:rPr>
          <w:t>gov</w:t>
        </w:r>
        <w:r w:rsidRPr="00FD37F6">
          <w:rPr>
            <w:rStyle w:val="Hyperlink"/>
            <w:rFonts w:cs="Times New Roman"/>
            <w:sz w:val="20"/>
            <w:szCs w:val="20"/>
            <w:lang w:val="bg-BG"/>
          </w:rPr>
          <w:t>.</w:t>
        </w:r>
        <w:r w:rsidRPr="00FD37F6">
          <w:rPr>
            <w:rStyle w:val="Hyperlink"/>
            <w:rFonts w:cs="Times New Roman"/>
            <w:sz w:val="20"/>
            <w:szCs w:val="20"/>
          </w:rPr>
          <w:t>au</w:t>
        </w:r>
        <w:r w:rsidRPr="00FD37F6">
          <w:rPr>
            <w:rStyle w:val="Hyperlink"/>
            <w:rFonts w:cs="Times New Roman"/>
            <w:sz w:val="20"/>
            <w:szCs w:val="20"/>
            <w:lang w:val="bg-BG"/>
          </w:rPr>
          <w:t>/</w:t>
        </w:r>
        <w:r w:rsidRPr="00FD37F6">
          <w:rPr>
            <w:rStyle w:val="Hyperlink"/>
            <w:rFonts w:cs="Times New Roman"/>
            <w:sz w:val="20"/>
            <w:szCs w:val="20"/>
          </w:rPr>
          <w:t>marine</w:t>
        </w:r>
        <w:r w:rsidRPr="00FD37F6">
          <w:rPr>
            <w:rStyle w:val="Hyperlink"/>
            <w:rFonts w:cs="Times New Roman"/>
            <w:sz w:val="20"/>
            <w:szCs w:val="20"/>
            <w:lang w:val="bg-BG"/>
          </w:rPr>
          <w:t>/</w:t>
        </w:r>
        <w:r w:rsidRPr="00FD37F6">
          <w:rPr>
            <w:rStyle w:val="Hyperlink"/>
            <w:rFonts w:cs="Times New Roman"/>
            <w:sz w:val="20"/>
            <w:szCs w:val="20"/>
          </w:rPr>
          <w:t>gbr</w:t>
        </w:r>
        <w:r w:rsidRPr="00FD37F6">
          <w:rPr>
            <w:rStyle w:val="Hyperlink"/>
            <w:rFonts w:cs="Times New Roman"/>
            <w:sz w:val="20"/>
            <w:szCs w:val="20"/>
            <w:lang w:val="bg-BG"/>
          </w:rPr>
          <w:t>/</w:t>
        </w:r>
        <w:r w:rsidRPr="00FD37F6">
          <w:rPr>
            <w:rStyle w:val="Hyperlink"/>
            <w:rFonts w:cs="Times New Roman"/>
            <w:sz w:val="20"/>
            <w:szCs w:val="20"/>
          </w:rPr>
          <w:t>long</w:t>
        </w:r>
        <w:r w:rsidRPr="00FD37F6">
          <w:rPr>
            <w:rStyle w:val="Hyperlink"/>
            <w:rFonts w:cs="Times New Roman"/>
            <w:sz w:val="20"/>
            <w:szCs w:val="20"/>
            <w:lang w:val="bg-BG"/>
          </w:rPr>
          <w:t>-</w:t>
        </w:r>
        <w:r w:rsidRPr="00FD37F6">
          <w:rPr>
            <w:rStyle w:val="Hyperlink"/>
            <w:rFonts w:cs="Times New Roman"/>
            <w:sz w:val="20"/>
            <w:szCs w:val="20"/>
          </w:rPr>
          <w:t>term</w:t>
        </w:r>
        <w:r w:rsidRPr="00FD37F6">
          <w:rPr>
            <w:rStyle w:val="Hyperlink"/>
            <w:rFonts w:cs="Times New Roman"/>
            <w:sz w:val="20"/>
            <w:szCs w:val="20"/>
            <w:lang w:val="bg-BG"/>
          </w:rPr>
          <w:t>-</w:t>
        </w:r>
        <w:r w:rsidRPr="00FD37F6">
          <w:rPr>
            <w:rStyle w:val="Hyperlink"/>
            <w:rFonts w:cs="Times New Roman"/>
            <w:sz w:val="20"/>
            <w:szCs w:val="20"/>
          </w:rPr>
          <w:t>sustainability</w:t>
        </w:r>
        <w:r w:rsidRPr="00FD37F6">
          <w:rPr>
            <w:rStyle w:val="Hyperlink"/>
            <w:rFonts w:cs="Times New Roman"/>
            <w:sz w:val="20"/>
            <w:szCs w:val="20"/>
            <w:lang w:val="bg-BG"/>
          </w:rPr>
          <w:t>-</w:t>
        </w:r>
        <w:r w:rsidRPr="00FD37F6">
          <w:rPr>
            <w:rStyle w:val="Hyperlink"/>
            <w:rFonts w:cs="Times New Roman"/>
            <w:sz w:val="20"/>
            <w:szCs w:val="20"/>
          </w:rPr>
          <w:t>plan</w:t>
        </w:r>
      </w:hyperlink>
    </w:p>
  </w:footnote>
  <w:footnote w:id="198">
    <w:p w14:paraId="71FAC3DD" w14:textId="2A26105E"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14"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polishmsp</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199">
    <w:p w14:paraId="3C38D7E4"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59/01.07.2008 г., изм. и доп. ДВ бр. 14/18.02.2014 г.</w:t>
      </w:r>
    </w:p>
  </w:footnote>
  <w:footnote w:id="200">
    <w:p w14:paraId="6BBF212A"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 79/13.10.1987 г., изм. ДВ. бр.70/10.08.2004 г.</w:t>
      </w:r>
    </w:p>
  </w:footnote>
  <w:footnote w:id="201">
    <w:p w14:paraId="1E683235" w14:textId="7777777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Обн. ДВ. бр.99/15.12.2009 г., изм. и доп. </w:t>
      </w:r>
      <w:r w:rsidRPr="00390518">
        <w:rPr>
          <w:rFonts w:cs="Times New Roman"/>
          <w:sz w:val="20"/>
          <w:szCs w:val="20"/>
          <w:lang w:val="bg-BG"/>
        </w:rPr>
        <w:t>ДВ. бр.33/27.04.2012 г.</w:t>
      </w:r>
    </w:p>
  </w:footnote>
  <w:footnote w:id="202">
    <w:p w14:paraId="1E5AEF1A" w14:textId="1118710A"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15"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eea</w:t>
        </w:r>
        <w:r w:rsidRPr="00FD37F6">
          <w:rPr>
            <w:rStyle w:val="Hyperlink"/>
            <w:rFonts w:cs="Times New Roman"/>
            <w:sz w:val="20"/>
            <w:szCs w:val="20"/>
            <w:lang w:val="bg-BG"/>
          </w:rPr>
          <w:t>.</w:t>
        </w:r>
        <w:r w:rsidRPr="00FD37F6">
          <w:rPr>
            <w:rStyle w:val="Hyperlink"/>
            <w:rFonts w:cs="Times New Roman"/>
            <w:sz w:val="20"/>
            <w:szCs w:val="20"/>
          </w:rPr>
          <w:t>government</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zpo</w:t>
        </w:r>
        <w:r w:rsidRPr="00FD37F6">
          <w:rPr>
            <w:rStyle w:val="Hyperlink"/>
            <w:rFonts w:cs="Times New Roman"/>
            <w:sz w:val="20"/>
            <w:szCs w:val="20"/>
            <w:lang w:val="bg-BG"/>
          </w:rPr>
          <w:t>/</w:t>
        </w:r>
        <w:r w:rsidRPr="00FD37F6">
          <w:rPr>
            <w:rStyle w:val="Hyperlink"/>
            <w:rFonts w:cs="Times New Roman"/>
            <w:sz w:val="20"/>
            <w:szCs w:val="20"/>
          </w:rPr>
          <w:t>bg</w:t>
        </w:r>
        <w:r w:rsidRPr="00FD37F6">
          <w:rPr>
            <w:rStyle w:val="Hyperlink"/>
            <w:rFonts w:cs="Times New Roman"/>
            <w:sz w:val="20"/>
            <w:szCs w:val="20"/>
            <w:lang w:val="bg-BG"/>
          </w:rPr>
          <w:t>/</w:t>
        </w:r>
        <w:r w:rsidRPr="00FD37F6">
          <w:rPr>
            <w:rStyle w:val="Hyperlink"/>
            <w:rFonts w:cs="Times New Roman"/>
            <w:sz w:val="20"/>
            <w:szCs w:val="20"/>
          </w:rPr>
          <w:t>area</w:t>
        </w:r>
        <w:r w:rsidRPr="00FD37F6">
          <w:rPr>
            <w:rStyle w:val="Hyperlink"/>
            <w:rFonts w:cs="Times New Roman"/>
            <w:sz w:val="20"/>
            <w:szCs w:val="20"/>
            <w:lang w:val="bg-BG"/>
          </w:rPr>
          <w:t>.</w:t>
        </w:r>
        <w:r w:rsidRPr="00FD37F6">
          <w:rPr>
            <w:rStyle w:val="Hyperlink"/>
            <w:rFonts w:cs="Times New Roman"/>
            <w:sz w:val="20"/>
            <w:szCs w:val="20"/>
          </w:rPr>
          <w:t>jsp</w:t>
        </w:r>
        <w:r w:rsidRPr="00FD37F6">
          <w:rPr>
            <w:rStyle w:val="Hyperlink"/>
            <w:rFonts w:cs="Times New Roman"/>
            <w:sz w:val="20"/>
            <w:szCs w:val="20"/>
            <w:lang w:val="bg-BG"/>
          </w:rPr>
          <w:t>?</w:t>
        </w:r>
        <w:r w:rsidRPr="00FD37F6">
          <w:rPr>
            <w:rStyle w:val="Hyperlink"/>
            <w:rFonts w:cs="Times New Roman"/>
            <w:sz w:val="20"/>
            <w:szCs w:val="20"/>
          </w:rPr>
          <w:t>NEM</w:t>
        </w:r>
        <w:r w:rsidRPr="00FD37F6">
          <w:rPr>
            <w:rStyle w:val="Hyperlink"/>
            <w:rFonts w:cs="Times New Roman"/>
            <w:sz w:val="20"/>
            <w:szCs w:val="20"/>
            <w:lang w:val="bg-BG"/>
          </w:rPr>
          <w:t>_</w:t>
        </w:r>
        <w:r w:rsidRPr="00FD37F6">
          <w:rPr>
            <w:rStyle w:val="Hyperlink"/>
            <w:rFonts w:cs="Times New Roman"/>
            <w:sz w:val="20"/>
            <w:szCs w:val="20"/>
          </w:rPr>
          <w:t>Partition</w:t>
        </w:r>
        <w:r w:rsidRPr="00FD37F6">
          <w:rPr>
            <w:rStyle w:val="Hyperlink"/>
            <w:rFonts w:cs="Times New Roman"/>
            <w:sz w:val="20"/>
            <w:szCs w:val="20"/>
            <w:lang w:val="bg-BG"/>
          </w:rPr>
          <w:t>=1&amp;</w:t>
        </w:r>
        <w:r w:rsidRPr="00FD37F6">
          <w:rPr>
            <w:rStyle w:val="Hyperlink"/>
            <w:rFonts w:cs="Times New Roman"/>
            <w:sz w:val="20"/>
            <w:szCs w:val="20"/>
          </w:rPr>
          <w:t>categoryID</w:t>
        </w:r>
        <w:r w:rsidRPr="00FD37F6">
          <w:rPr>
            <w:rStyle w:val="Hyperlink"/>
            <w:rFonts w:cs="Times New Roman"/>
            <w:sz w:val="20"/>
            <w:szCs w:val="20"/>
            <w:lang w:val="bg-BG"/>
          </w:rPr>
          <w:t>=6&amp;</w:t>
        </w:r>
        <w:r w:rsidRPr="00FD37F6">
          <w:rPr>
            <w:rStyle w:val="Hyperlink"/>
            <w:rFonts w:cs="Times New Roman"/>
            <w:sz w:val="20"/>
            <w:szCs w:val="20"/>
          </w:rPr>
          <w:t>areaID</w:t>
        </w:r>
        <w:r w:rsidRPr="00FD37F6">
          <w:rPr>
            <w:rStyle w:val="Hyperlink"/>
            <w:rFonts w:cs="Times New Roman"/>
            <w:sz w:val="20"/>
            <w:szCs w:val="20"/>
            <w:lang w:val="bg-BG"/>
          </w:rPr>
          <w:t>=145</w:t>
        </w:r>
      </w:hyperlink>
      <w:r w:rsidRPr="00FD37F6">
        <w:rPr>
          <w:rFonts w:cs="Times New Roman"/>
          <w:sz w:val="20"/>
          <w:szCs w:val="20"/>
          <w:lang w:val="bg-BG"/>
        </w:rPr>
        <w:t xml:space="preserve"> </w:t>
      </w:r>
    </w:p>
  </w:footnote>
  <w:footnote w:id="203">
    <w:p w14:paraId="64DF0A81" w14:textId="77777777" w:rsidR="00215C86" w:rsidRPr="00FD37F6" w:rsidRDefault="00215C86" w:rsidP="00963B36">
      <w:pPr>
        <w:pStyle w:val="FootnoteText"/>
        <w:rPr>
          <w:rFonts w:cs="Times New Roman"/>
          <w:color w:val="FF0000"/>
          <w:sz w:val="20"/>
          <w:szCs w:val="20"/>
          <w:lang w:val="bg-BG"/>
        </w:rPr>
      </w:pPr>
      <w:r w:rsidRPr="003C41B4">
        <w:rPr>
          <w:rStyle w:val="FootnoteReference"/>
          <w:rFonts w:cs="Times New Roman"/>
          <w:sz w:val="20"/>
          <w:szCs w:val="20"/>
        </w:rPr>
        <w:footnoteRef/>
      </w:r>
      <w:r w:rsidRPr="003C41B4">
        <w:rPr>
          <w:rFonts w:cs="Times New Roman"/>
          <w:sz w:val="20"/>
          <w:szCs w:val="20"/>
          <w:lang w:val="bg-BG"/>
        </w:rPr>
        <w:t xml:space="preserve"> Обн. ДВ бр. 50/2009 г., изм. и доп. ДВ бр. 8/29 .01.2021 г.)</w:t>
      </w:r>
    </w:p>
  </w:footnote>
  <w:footnote w:id="204">
    <w:p w14:paraId="199CFB73" w14:textId="74A9E6FE"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Наредба за опазване на околната среда в морските води, обн. </w:t>
      </w:r>
      <w:r w:rsidRPr="00390518">
        <w:rPr>
          <w:rFonts w:cs="Times New Roman"/>
          <w:sz w:val="20"/>
          <w:szCs w:val="20"/>
          <w:lang w:val="bg-BG"/>
        </w:rPr>
        <w:t>ДВ бр. 94</w:t>
      </w:r>
      <w:r w:rsidRPr="00FD37F6">
        <w:rPr>
          <w:rFonts w:cs="Times New Roman"/>
          <w:sz w:val="20"/>
          <w:szCs w:val="20"/>
          <w:lang w:val="bg-BG"/>
        </w:rPr>
        <w:t>/</w:t>
      </w:r>
      <w:r w:rsidRPr="00390518">
        <w:rPr>
          <w:rFonts w:cs="Times New Roman"/>
          <w:sz w:val="20"/>
          <w:szCs w:val="20"/>
          <w:lang w:val="bg-BG"/>
        </w:rPr>
        <w:t>30.11.2010 г.</w:t>
      </w:r>
      <w:r w:rsidRPr="00FD37F6">
        <w:rPr>
          <w:rFonts w:cs="Times New Roman"/>
          <w:sz w:val="20"/>
          <w:szCs w:val="20"/>
          <w:lang w:val="bg-BG"/>
        </w:rPr>
        <w:t xml:space="preserve"> </w:t>
      </w:r>
    </w:p>
  </w:footnote>
  <w:footnote w:id="205">
    <w:p w14:paraId="38F1D34B" w14:textId="437D7FAB"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16" w:history="1">
        <w:r w:rsidRPr="00FD37F6">
          <w:rPr>
            <w:rStyle w:val="Hyperlink"/>
            <w:rFonts w:cs="Times New Roman"/>
            <w:sz w:val="20"/>
            <w:szCs w:val="20"/>
          </w:rPr>
          <w:t>http</w:t>
        </w:r>
        <w:r w:rsidRPr="00FD37F6">
          <w:rPr>
            <w:rStyle w:val="Hyperlink"/>
            <w:rFonts w:cs="Times New Roman"/>
            <w:sz w:val="20"/>
            <w:szCs w:val="20"/>
            <w:lang w:val="bg-BG"/>
          </w:rPr>
          <w:t>://</w:t>
        </w:r>
        <w:r w:rsidRPr="00FD37F6">
          <w:rPr>
            <w:rStyle w:val="Hyperlink"/>
            <w:rFonts w:cs="Times New Roman"/>
            <w:sz w:val="20"/>
            <w:szCs w:val="20"/>
          </w:rPr>
          <w:t>www</w:t>
        </w:r>
        <w:r w:rsidRPr="00FD37F6">
          <w:rPr>
            <w:rStyle w:val="Hyperlink"/>
            <w:rFonts w:cs="Times New Roman"/>
            <w:sz w:val="20"/>
            <w:szCs w:val="20"/>
            <w:lang w:val="bg-BG"/>
          </w:rPr>
          <w:t>3.</w:t>
        </w:r>
        <w:r w:rsidRPr="00FD37F6">
          <w:rPr>
            <w:rStyle w:val="Hyperlink"/>
            <w:rFonts w:cs="Times New Roman"/>
            <w:sz w:val="20"/>
            <w:szCs w:val="20"/>
          </w:rPr>
          <w:t>weforum</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docs</w:t>
        </w:r>
        <w:r w:rsidRPr="00FD37F6">
          <w:rPr>
            <w:rStyle w:val="Hyperlink"/>
            <w:rFonts w:cs="Times New Roman"/>
            <w:sz w:val="20"/>
            <w:szCs w:val="20"/>
            <w:lang w:val="bg-BG"/>
          </w:rPr>
          <w:t>/</w:t>
        </w:r>
        <w:r w:rsidRPr="00FD37F6">
          <w:rPr>
            <w:rStyle w:val="Hyperlink"/>
            <w:rFonts w:cs="Times New Roman"/>
            <w:sz w:val="20"/>
            <w:szCs w:val="20"/>
          </w:rPr>
          <w:t>WEF</w:t>
        </w:r>
        <w:r w:rsidRPr="00FD37F6">
          <w:rPr>
            <w:rStyle w:val="Hyperlink"/>
            <w:rFonts w:cs="Times New Roman"/>
            <w:sz w:val="20"/>
            <w:szCs w:val="20"/>
            <w:lang w:val="bg-BG"/>
          </w:rPr>
          <w:t>_</w:t>
        </w:r>
        <w:r w:rsidRPr="00FD37F6">
          <w:rPr>
            <w:rStyle w:val="Hyperlink"/>
            <w:rFonts w:cs="Times New Roman"/>
            <w:sz w:val="20"/>
            <w:szCs w:val="20"/>
          </w:rPr>
          <w:t>TheGlobalCompetitivenessReport</w:t>
        </w:r>
        <w:r w:rsidRPr="00FD37F6">
          <w:rPr>
            <w:rStyle w:val="Hyperlink"/>
            <w:rFonts w:cs="Times New Roman"/>
            <w:sz w:val="20"/>
            <w:szCs w:val="20"/>
            <w:lang w:val="bg-BG"/>
          </w:rPr>
          <w:t>2019.</w:t>
        </w:r>
        <w:r w:rsidRPr="00FD37F6">
          <w:rPr>
            <w:rStyle w:val="Hyperlink"/>
            <w:rFonts w:cs="Times New Roman"/>
            <w:sz w:val="20"/>
            <w:szCs w:val="20"/>
          </w:rPr>
          <w:t>pdf</w:t>
        </w:r>
      </w:hyperlink>
      <w:r w:rsidRPr="00FD37F6">
        <w:rPr>
          <w:rFonts w:cs="Times New Roman"/>
          <w:sz w:val="20"/>
          <w:szCs w:val="20"/>
          <w:lang w:val="bg-BG"/>
        </w:rPr>
        <w:t xml:space="preserve"> </w:t>
      </w:r>
    </w:p>
  </w:footnote>
  <w:footnote w:id="206">
    <w:p w14:paraId="0EF201E3" w14:textId="286E9AC4"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17"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ec</w:t>
        </w:r>
        <w:r w:rsidRPr="00FD37F6">
          <w:rPr>
            <w:rStyle w:val="Hyperlink"/>
            <w:rFonts w:cs="Times New Roman"/>
            <w:sz w:val="20"/>
            <w:szCs w:val="20"/>
            <w:lang w:val="bg-BG"/>
          </w:rPr>
          <w:t>.</w:t>
        </w:r>
        <w:r w:rsidRPr="00FD37F6">
          <w:rPr>
            <w:rStyle w:val="Hyperlink"/>
            <w:rFonts w:cs="Times New Roman"/>
            <w:sz w:val="20"/>
            <w:szCs w:val="20"/>
          </w:rPr>
          <w:t>europa</w:t>
        </w:r>
        <w:r w:rsidRPr="00FD37F6">
          <w:rPr>
            <w:rStyle w:val="Hyperlink"/>
            <w:rFonts w:cs="Times New Roman"/>
            <w:sz w:val="20"/>
            <w:szCs w:val="20"/>
            <w:lang w:val="bg-BG"/>
          </w:rPr>
          <w:t>.</w:t>
        </w:r>
        <w:r w:rsidRPr="00FD37F6">
          <w:rPr>
            <w:rStyle w:val="Hyperlink"/>
            <w:rFonts w:cs="Times New Roman"/>
            <w:sz w:val="20"/>
            <w:szCs w:val="20"/>
          </w:rPr>
          <w:t>eu</w:t>
        </w:r>
        <w:r w:rsidRPr="00FD37F6">
          <w:rPr>
            <w:rStyle w:val="Hyperlink"/>
            <w:rFonts w:cs="Times New Roman"/>
            <w:sz w:val="20"/>
            <w:szCs w:val="20"/>
            <w:lang w:val="bg-BG"/>
          </w:rPr>
          <w:t>/</w:t>
        </w:r>
        <w:r w:rsidRPr="00FD37F6">
          <w:rPr>
            <w:rStyle w:val="Hyperlink"/>
            <w:rFonts w:cs="Times New Roman"/>
            <w:sz w:val="20"/>
            <w:szCs w:val="20"/>
          </w:rPr>
          <w:t>regional</w:t>
        </w:r>
        <w:r w:rsidRPr="00FD37F6">
          <w:rPr>
            <w:rStyle w:val="Hyperlink"/>
            <w:rFonts w:cs="Times New Roman"/>
            <w:sz w:val="20"/>
            <w:szCs w:val="20"/>
            <w:lang w:val="bg-BG"/>
          </w:rPr>
          <w:t>_</w:t>
        </w:r>
        <w:r w:rsidRPr="00FD37F6">
          <w:rPr>
            <w:rStyle w:val="Hyperlink"/>
            <w:rFonts w:cs="Times New Roman"/>
            <w:sz w:val="20"/>
            <w:szCs w:val="20"/>
          </w:rPr>
          <w:t>policy</w:t>
        </w:r>
        <w:r w:rsidRPr="00FD37F6">
          <w:rPr>
            <w:rStyle w:val="Hyperlink"/>
            <w:rFonts w:cs="Times New Roman"/>
            <w:sz w:val="20"/>
            <w:szCs w:val="20"/>
            <w:lang w:val="bg-BG"/>
          </w:rPr>
          <w:t>/</w:t>
        </w:r>
        <w:r w:rsidRPr="00FD37F6">
          <w:rPr>
            <w:rStyle w:val="Hyperlink"/>
            <w:rFonts w:cs="Times New Roman"/>
            <w:sz w:val="20"/>
            <w:szCs w:val="20"/>
          </w:rPr>
          <w:t>en</w:t>
        </w:r>
        <w:r w:rsidRPr="00FD37F6">
          <w:rPr>
            <w:rStyle w:val="Hyperlink"/>
            <w:rFonts w:cs="Times New Roman"/>
            <w:sz w:val="20"/>
            <w:szCs w:val="20"/>
            <w:lang w:val="bg-BG"/>
          </w:rPr>
          <w:t>/</w:t>
        </w:r>
        <w:r w:rsidRPr="00FD37F6">
          <w:rPr>
            <w:rStyle w:val="Hyperlink"/>
            <w:rFonts w:cs="Times New Roman"/>
            <w:sz w:val="20"/>
            <w:szCs w:val="20"/>
          </w:rPr>
          <w:t>information</w:t>
        </w:r>
        <w:r w:rsidRPr="00FD37F6">
          <w:rPr>
            <w:rStyle w:val="Hyperlink"/>
            <w:rFonts w:cs="Times New Roman"/>
            <w:sz w:val="20"/>
            <w:szCs w:val="20"/>
            <w:lang w:val="bg-BG"/>
          </w:rPr>
          <w:t>/</w:t>
        </w:r>
        <w:r w:rsidRPr="00FD37F6">
          <w:rPr>
            <w:rStyle w:val="Hyperlink"/>
            <w:rFonts w:cs="Times New Roman"/>
            <w:sz w:val="20"/>
            <w:szCs w:val="20"/>
          </w:rPr>
          <w:t>maps</w:t>
        </w:r>
        <w:r w:rsidRPr="00FD37F6">
          <w:rPr>
            <w:rStyle w:val="Hyperlink"/>
            <w:rFonts w:cs="Times New Roman"/>
            <w:sz w:val="20"/>
            <w:szCs w:val="20"/>
            <w:lang w:val="bg-BG"/>
          </w:rPr>
          <w:t>/</w:t>
        </w:r>
        <w:r w:rsidRPr="00FD37F6">
          <w:rPr>
            <w:rStyle w:val="Hyperlink"/>
            <w:rFonts w:cs="Times New Roman"/>
            <w:sz w:val="20"/>
            <w:szCs w:val="20"/>
          </w:rPr>
          <w:t>regional</w:t>
        </w:r>
        <w:r w:rsidRPr="00FD37F6">
          <w:rPr>
            <w:rStyle w:val="Hyperlink"/>
            <w:rFonts w:cs="Times New Roman"/>
            <w:sz w:val="20"/>
            <w:szCs w:val="20"/>
            <w:lang w:val="bg-BG"/>
          </w:rPr>
          <w:t>_</w:t>
        </w:r>
        <w:r w:rsidRPr="00FD37F6">
          <w:rPr>
            <w:rStyle w:val="Hyperlink"/>
            <w:rFonts w:cs="Times New Roman"/>
            <w:sz w:val="20"/>
            <w:szCs w:val="20"/>
          </w:rPr>
          <w:t>competitiveness</w:t>
        </w:r>
        <w:r w:rsidRPr="00FD37F6">
          <w:rPr>
            <w:rStyle w:val="Hyperlink"/>
            <w:rFonts w:cs="Times New Roman"/>
            <w:sz w:val="20"/>
            <w:szCs w:val="20"/>
            <w:lang w:val="bg-BG"/>
          </w:rPr>
          <w:t>/</w:t>
        </w:r>
      </w:hyperlink>
      <w:r w:rsidRPr="00FD37F6">
        <w:rPr>
          <w:rFonts w:cs="Times New Roman"/>
          <w:sz w:val="20"/>
          <w:szCs w:val="20"/>
          <w:lang w:val="bg-BG"/>
        </w:rPr>
        <w:t xml:space="preserve"> </w:t>
      </w:r>
    </w:p>
  </w:footnote>
  <w:footnote w:id="207">
    <w:p w14:paraId="0A84B18C" w14:textId="4B2A46C7"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18" w:anchor="economy=BGR"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reports</w:t>
        </w:r>
        <w:r w:rsidRPr="00FD37F6">
          <w:rPr>
            <w:rStyle w:val="Hyperlink"/>
            <w:rFonts w:cs="Times New Roman"/>
            <w:sz w:val="20"/>
            <w:szCs w:val="20"/>
            <w:lang w:val="bg-BG"/>
          </w:rPr>
          <w:t>.</w:t>
        </w:r>
        <w:r w:rsidRPr="00FD37F6">
          <w:rPr>
            <w:rStyle w:val="Hyperlink"/>
            <w:rFonts w:cs="Times New Roman"/>
            <w:sz w:val="20"/>
            <w:szCs w:val="20"/>
          </w:rPr>
          <w:t>weforum</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travel</w:t>
        </w:r>
        <w:r w:rsidRPr="00FD37F6">
          <w:rPr>
            <w:rStyle w:val="Hyperlink"/>
            <w:rFonts w:cs="Times New Roman"/>
            <w:sz w:val="20"/>
            <w:szCs w:val="20"/>
            <w:lang w:val="bg-BG"/>
          </w:rPr>
          <w:t>-</w:t>
        </w:r>
        <w:r w:rsidRPr="00FD37F6">
          <w:rPr>
            <w:rStyle w:val="Hyperlink"/>
            <w:rFonts w:cs="Times New Roman"/>
            <w:sz w:val="20"/>
            <w:szCs w:val="20"/>
          </w:rPr>
          <w:t>and</w:t>
        </w:r>
        <w:r w:rsidRPr="00FD37F6">
          <w:rPr>
            <w:rStyle w:val="Hyperlink"/>
            <w:rFonts w:cs="Times New Roman"/>
            <w:sz w:val="20"/>
            <w:szCs w:val="20"/>
            <w:lang w:val="bg-BG"/>
          </w:rPr>
          <w:t>-</w:t>
        </w:r>
        <w:r w:rsidRPr="00FD37F6">
          <w:rPr>
            <w:rStyle w:val="Hyperlink"/>
            <w:rFonts w:cs="Times New Roman"/>
            <w:sz w:val="20"/>
            <w:szCs w:val="20"/>
          </w:rPr>
          <w:t>tourism</w:t>
        </w:r>
        <w:r w:rsidRPr="00FD37F6">
          <w:rPr>
            <w:rStyle w:val="Hyperlink"/>
            <w:rFonts w:cs="Times New Roman"/>
            <w:sz w:val="20"/>
            <w:szCs w:val="20"/>
            <w:lang w:val="bg-BG"/>
          </w:rPr>
          <w:t>-</w:t>
        </w:r>
        <w:r w:rsidRPr="00FD37F6">
          <w:rPr>
            <w:rStyle w:val="Hyperlink"/>
            <w:rFonts w:cs="Times New Roman"/>
            <w:sz w:val="20"/>
            <w:szCs w:val="20"/>
          </w:rPr>
          <w:t>competitiveness</w:t>
        </w:r>
        <w:r w:rsidRPr="00FD37F6">
          <w:rPr>
            <w:rStyle w:val="Hyperlink"/>
            <w:rFonts w:cs="Times New Roman"/>
            <w:sz w:val="20"/>
            <w:szCs w:val="20"/>
            <w:lang w:val="bg-BG"/>
          </w:rPr>
          <w:t>-</w:t>
        </w:r>
        <w:r w:rsidRPr="00FD37F6">
          <w:rPr>
            <w:rStyle w:val="Hyperlink"/>
            <w:rFonts w:cs="Times New Roman"/>
            <w:sz w:val="20"/>
            <w:szCs w:val="20"/>
          </w:rPr>
          <w:t>report</w:t>
        </w:r>
        <w:r w:rsidRPr="00FD37F6">
          <w:rPr>
            <w:rStyle w:val="Hyperlink"/>
            <w:rFonts w:cs="Times New Roman"/>
            <w:sz w:val="20"/>
            <w:szCs w:val="20"/>
            <w:lang w:val="bg-BG"/>
          </w:rPr>
          <w:t>-2019/</w:t>
        </w:r>
        <w:r w:rsidRPr="00FD37F6">
          <w:rPr>
            <w:rStyle w:val="Hyperlink"/>
            <w:rFonts w:cs="Times New Roman"/>
            <w:sz w:val="20"/>
            <w:szCs w:val="20"/>
          </w:rPr>
          <w:t>country</w:t>
        </w:r>
        <w:r w:rsidRPr="00FD37F6">
          <w:rPr>
            <w:rStyle w:val="Hyperlink"/>
            <w:rFonts w:cs="Times New Roman"/>
            <w:sz w:val="20"/>
            <w:szCs w:val="20"/>
            <w:lang w:val="bg-BG"/>
          </w:rPr>
          <w:t>-</w:t>
        </w:r>
        <w:r w:rsidRPr="00FD37F6">
          <w:rPr>
            <w:rStyle w:val="Hyperlink"/>
            <w:rFonts w:cs="Times New Roman"/>
            <w:sz w:val="20"/>
            <w:szCs w:val="20"/>
          </w:rPr>
          <w:t>profiles</w:t>
        </w:r>
        <w:r w:rsidRPr="00FD37F6">
          <w:rPr>
            <w:rStyle w:val="Hyperlink"/>
            <w:rFonts w:cs="Times New Roman"/>
            <w:sz w:val="20"/>
            <w:szCs w:val="20"/>
            <w:lang w:val="bg-BG"/>
          </w:rPr>
          <w:t>/#</w:t>
        </w:r>
        <w:r w:rsidRPr="00FD37F6">
          <w:rPr>
            <w:rStyle w:val="Hyperlink"/>
            <w:rFonts w:cs="Times New Roman"/>
            <w:sz w:val="20"/>
            <w:szCs w:val="20"/>
          </w:rPr>
          <w:t>economy</w:t>
        </w:r>
        <w:r w:rsidRPr="00FD37F6">
          <w:rPr>
            <w:rStyle w:val="Hyperlink"/>
            <w:rFonts w:cs="Times New Roman"/>
            <w:sz w:val="20"/>
            <w:szCs w:val="20"/>
            <w:lang w:val="bg-BG"/>
          </w:rPr>
          <w:t>=</w:t>
        </w:r>
        <w:r w:rsidRPr="00FD37F6">
          <w:rPr>
            <w:rStyle w:val="Hyperlink"/>
            <w:rFonts w:cs="Times New Roman"/>
            <w:sz w:val="20"/>
            <w:szCs w:val="20"/>
          </w:rPr>
          <w:t>BGR</w:t>
        </w:r>
      </w:hyperlink>
      <w:r w:rsidRPr="00FD37F6">
        <w:rPr>
          <w:rFonts w:cs="Times New Roman"/>
          <w:sz w:val="20"/>
          <w:szCs w:val="20"/>
          <w:lang w:val="bg-BG"/>
        </w:rPr>
        <w:t xml:space="preserve"> </w:t>
      </w:r>
    </w:p>
  </w:footnote>
  <w:footnote w:id="208">
    <w:p w14:paraId="16DE36D1" w14:textId="75FE18FE" w:rsidR="00215C86" w:rsidRPr="00FD37F6" w:rsidRDefault="00215C86" w:rsidP="00F00BE8">
      <w:pPr>
        <w:pStyle w:val="FootnoteText"/>
        <w:spacing w:after="20"/>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w:t>
      </w:r>
      <w:hyperlink r:id="rId219" w:history="1">
        <w:r w:rsidRPr="00FD37F6">
          <w:rPr>
            <w:rStyle w:val="Hyperlink"/>
            <w:rFonts w:cs="Times New Roman"/>
            <w:sz w:val="20"/>
            <w:szCs w:val="20"/>
          </w:rPr>
          <w:t>https</w:t>
        </w:r>
        <w:r w:rsidRPr="00FD37F6">
          <w:rPr>
            <w:rStyle w:val="Hyperlink"/>
            <w:rFonts w:cs="Times New Roman"/>
            <w:sz w:val="20"/>
            <w:szCs w:val="20"/>
            <w:lang w:val="bg-BG"/>
          </w:rPr>
          <w:t>://</w:t>
        </w:r>
        <w:r w:rsidRPr="00FD37F6">
          <w:rPr>
            <w:rStyle w:val="Hyperlink"/>
            <w:rFonts w:cs="Times New Roman"/>
            <w:sz w:val="20"/>
            <w:szCs w:val="20"/>
          </w:rPr>
          <w:t>unesdoc</w:t>
        </w:r>
        <w:r w:rsidRPr="00FD37F6">
          <w:rPr>
            <w:rStyle w:val="Hyperlink"/>
            <w:rFonts w:cs="Times New Roman"/>
            <w:sz w:val="20"/>
            <w:szCs w:val="20"/>
            <w:lang w:val="bg-BG"/>
          </w:rPr>
          <w:t>.</w:t>
        </w:r>
        <w:r w:rsidRPr="00FD37F6">
          <w:rPr>
            <w:rStyle w:val="Hyperlink"/>
            <w:rFonts w:cs="Times New Roman"/>
            <w:sz w:val="20"/>
            <w:szCs w:val="20"/>
          </w:rPr>
          <w:t>unesco</w:t>
        </w:r>
        <w:r w:rsidRPr="00FD37F6">
          <w:rPr>
            <w:rStyle w:val="Hyperlink"/>
            <w:rFonts w:cs="Times New Roman"/>
            <w:sz w:val="20"/>
            <w:szCs w:val="20"/>
            <w:lang w:val="bg-BG"/>
          </w:rPr>
          <w:t>.</w:t>
        </w:r>
        <w:r w:rsidRPr="00FD37F6">
          <w:rPr>
            <w:rStyle w:val="Hyperlink"/>
            <w:rFonts w:cs="Times New Roman"/>
            <w:sz w:val="20"/>
            <w:szCs w:val="20"/>
          </w:rPr>
          <w:t>org</w:t>
        </w:r>
        <w:r w:rsidRPr="00FD37F6">
          <w:rPr>
            <w:rStyle w:val="Hyperlink"/>
            <w:rFonts w:cs="Times New Roman"/>
            <w:sz w:val="20"/>
            <w:szCs w:val="20"/>
            <w:lang w:val="bg-BG"/>
          </w:rPr>
          <w:t>/</w:t>
        </w:r>
        <w:r w:rsidRPr="00FD37F6">
          <w:rPr>
            <w:rStyle w:val="Hyperlink"/>
            <w:rFonts w:cs="Times New Roman"/>
            <w:sz w:val="20"/>
            <w:szCs w:val="20"/>
          </w:rPr>
          <w:t>ark</w:t>
        </w:r>
        <w:r w:rsidRPr="00FD37F6">
          <w:rPr>
            <w:rStyle w:val="Hyperlink"/>
            <w:rFonts w:cs="Times New Roman"/>
            <w:sz w:val="20"/>
            <w:szCs w:val="20"/>
            <w:lang w:val="bg-BG"/>
          </w:rPr>
          <w:t>:/48223/</w:t>
        </w:r>
        <w:r w:rsidRPr="00FD37F6">
          <w:rPr>
            <w:rStyle w:val="Hyperlink"/>
            <w:rFonts w:cs="Times New Roman"/>
            <w:sz w:val="20"/>
            <w:szCs w:val="20"/>
          </w:rPr>
          <w:t>pf</w:t>
        </w:r>
        <w:r w:rsidRPr="00FD37F6">
          <w:rPr>
            <w:rStyle w:val="Hyperlink"/>
            <w:rFonts w:cs="Times New Roman"/>
            <w:sz w:val="20"/>
            <w:szCs w:val="20"/>
            <w:lang w:val="bg-BG"/>
          </w:rPr>
          <w:t>0000147313</w:t>
        </w:r>
      </w:hyperlink>
      <w:r w:rsidRPr="00FD37F6">
        <w:rPr>
          <w:rFonts w:cs="Times New Roman"/>
          <w:sz w:val="20"/>
          <w:szCs w:val="20"/>
          <w:lang w:val="bg-BG"/>
        </w:rPr>
        <w:t xml:space="preserve"> </w:t>
      </w:r>
    </w:p>
  </w:footnote>
  <w:footnote w:id="209">
    <w:p w14:paraId="480DD5CE" w14:textId="577FEF8E" w:rsidR="00215C86" w:rsidRPr="00963B36" w:rsidRDefault="00215C86" w:rsidP="00BE57CC">
      <w:pPr>
        <w:pStyle w:val="FootnoteText"/>
        <w:spacing w:after="20"/>
        <w:ind w:right="-896"/>
        <w:rPr>
          <w:rFonts w:cs="Times New Roman"/>
          <w:sz w:val="20"/>
          <w:szCs w:val="20"/>
          <w:lang w:val="bg-BG"/>
        </w:rPr>
      </w:pPr>
      <w:r w:rsidRPr="00FD37F6">
        <w:rPr>
          <w:rStyle w:val="FootnoteReference"/>
          <w:rFonts w:cs="Times New Roman"/>
          <w:sz w:val="20"/>
          <w:szCs w:val="20"/>
        </w:rPr>
        <w:footnoteRef/>
      </w:r>
      <w:r w:rsidRPr="00FD37F6">
        <w:rPr>
          <w:rFonts w:cs="Times New Roman"/>
          <w:sz w:val="20"/>
          <w:szCs w:val="20"/>
          <w:lang w:val="bg-BG"/>
        </w:rPr>
        <w:t xml:space="preserve"> Министерски съвет, 2009. Стандарти за провеждане на обществени консултации. </w:t>
      </w:r>
      <w:hyperlink r:id="rId220" w:history="1">
        <w:r w:rsidRPr="00FD37F6">
          <w:rPr>
            <w:rStyle w:val="Hyperlink"/>
            <w:rFonts w:cs="Times New Roman"/>
            <w:sz w:val="20"/>
            <w:szCs w:val="20"/>
          </w:rPr>
          <w:t>http</w:t>
        </w:r>
        <w:r w:rsidRPr="00133B13">
          <w:rPr>
            <w:rStyle w:val="Hyperlink"/>
            <w:rFonts w:cs="Times New Roman"/>
            <w:sz w:val="20"/>
            <w:szCs w:val="20"/>
            <w:lang w:val="bg-BG"/>
          </w:rPr>
          <w:t>://</w:t>
        </w:r>
        <w:r w:rsidRPr="00FD37F6">
          <w:rPr>
            <w:rStyle w:val="Hyperlink"/>
            <w:rFonts w:cs="Times New Roman"/>
            <w:sz w:val="20"/>
            <w:szCs w:val="20"/>
          </w:rPr>
          <w:t>www</w:t>
        </w:r>
        <w:r w:rsidRPr="00133B13">
          <w:rPr>
            <w:rStyle w:val="Hyperlink"/>
            <w:rFonts w:cs="Times New Roman"/>
            <w:sz w:val="20"/>
            <w:szCs w:val="20"/>
            <w:lang w:val="bg-BG"/>
          </w:rPr>
          <w:t>.</w:t>
        </w:r>
        <w:r w:rsidRPr="00FD37F6">
          <w:rPr>
            <w:rStyle w:val="Hyperlink"/>
            <w:rFonts w:cs="Times New Roman"/>
            <w:sz w:val="20"/>
            <w:szCs w:val="20"/>
          </w:rPr>
          <w:t>strategy</w:t>
        </w:r>
        <w:r w:rsidRPr="00133B13">
          <w:rPr>
            <w:rStyle w:val="Hyperlink"/>
            <w:rFonts w:cs="Times New Roman"/>
            <w:sz w:val="20"/>
            <w:szCs w:val="20"/>
            <w:lang w:val="bg-BG"/>
          </w:rPr>
          <w:t>.</w:t>
        </w:r>
        <w:r w:rsidRPr="00FD37F6">
          <w:rPr>
            <w:rStyle w:val="Hyperlink"/>
            <w:rFonts w:cs="Times New Roman"/>
            <w:sz w:val="20"/>
            <w:szCs w:val="20"/>
          </w:rPr>
          <w:t>bg</w:t>
        </w:r>
        <w:r w:rsidRPr="00133B13">
          <w:rPr>
            <w:rStyle w:val="Hyperlink"/>
            <w:rFonts w:cs="Times New Roman"/>
            <w:sz w:val="20"/>
            <w:szCs w:val="20"/>
            <w:lang w:val="bg-BG"/>
          </w:rPr>
          <w:t>/</w:t>
        </w:r>
        <w:r w:rsidRPr="00FD37F6">
          <w:rPr>
            <w:rStyle w:val="Hyperlink"/>
            <w:rFonts w:cs="Times New Roman"/>
            <w:sz w:val="20"/>
            <w:szCs w:val="20"/>
          </w:rPr>
          <w:t>StaticPages</w:t>
        </w:r>
        <w:r w:rsidRPr="00133B13">
          <w:rPr>
            <w:rStyle w:val="Hyperlink"/>
            <w:rFonts w:cs="Times New Roman"/>
            <w:sz w:val="20"/>
            <w:szCs w:val="20"/>
            <w:lang w:val="bg-BG"/>
          </w:rPr>
          <w:t>/</w:t>
        </w:r>
        <w:r w:rsidRPr="00FD37F6">
          <w:rPr>
            <w:rStyle w:val="Hyperlink"/>
            <w:rFonts w:cs="Times New Roman"/>
            <w:sz w:val="20"/>
            <w:szCs w:val="20"/>
          </w:rPr>
          <w:t>CalculatingManual</w:t>
        </w:r>
        <w:r w:rsidRPr="00133B13">
          <w:rPr>
            <w:rStyle w:val="Hyperlink"/>
            <w:rFonts w:cs="Times New Roman"/>
            <w:sz w:val="20"/>
            <w:szCs w:val="20"/>
            <w:lang w:val="bg-BG"/>
          </w:rPr>
          <w:t>.</w:t>
        </w:r>
        <w:r w:rsidRPr="00FD37F6">
          <w:rPr>
            <w:rStyle w:val="Hyperlink"/>
            <w:rFonts w:cs="Times New Roman"/>
            <w:sz w:val="20"/>
            <w:szCs w:val="20"/>
          </w:rPr>
          <w:t>aspx</w:t>
        </w:r>
        <w:r w:rsidRPr="00133B13">
          <w:rPr>
            <w:rStyle w:val="Hyperlink"/>
            <w:rFonts w:cs="Times New Roman"/>
            <w:sz w:val="20"/>
            <w:szCs w:val="20"/>
            <w:lang w:val="bg-BG"/>
          </w:rPr>
          <w:t>?</w:t>
        </w:r>
        <w:r w:rsidRPr="00FD37F6">
          <w:rPr>
            <w:rStyle w:val="Hyperlink"/>
            <w:rFonts w:cs="Times New Roman"/>
            <w:sz w:val="20"/>
            <w:szCs w:val="20"/>
          </w:rPr>
          <w:t>guidanceType</w:t>
        </w:r>
        <w:r w:rsidRPr="00133B13">
          <w:rPr>
            <w:rStyle w:val="Hyperlink"/>
            <w:rFonts w:cs="Times New Roman"/>
            <w:sz w:val="20"/>
            <w:szCs w:val="20"/>
            <w:lang w:val="bg-BG"/>
          </w:rPr>
          <w:t>=2&amp;</w:t>
        </w:r>
        <w:r w:rsidRPr="00FD37F6">
          <w:rPr>
            <w:rStyle w:val="Hyperlink"/>
            <w:rFonts w:cs="Times New Roman"/>
            <w:sz w:val="20"/>
            <w:szCs w:val="20"/>
          </w:rPr>
          <w:t>sectionName</w:t>
        </w:r>
        <w:r w:rsidRPr="00133B13">
          <w:rPr>
            <w:rStyle w:val="Hyperlink"/>
            <w:rFonts w:cs="Times New Roman"/>
            <w:sz w:val="20"/>
            <w:szCs w:val="20"/>
            <w:lang w:val="bg-BG"/>
          </w:rPr>
          <w:t>=</w:t>
        </w:r>
        <w:r w:rsidRPr="00FD37F6">
          <w:rPr>
            <w:rStyle w:val="Hyperlink"/>
            <w:rFonts w:cs="Times New Roman"/>
            <w:sz w:val="20"/>
            <w:szCs w:val="20"/>
          </w:rPr>
          <w:t>PublicConsultationStandards</w:t>
        </w:r>
      </w:hyperlink>
      <w:r w:rsidRPr="00133B13">
        <w:rPr>
          <w:rFonts w:cs="Times New Roman"/>
          <w:sz w:val="20"/>
          <w:szCs w:val="20"/>
          <w:lang w:val="bg-BG"/>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4FBD9" w14:textId="77777777" w:rsidR="00215C86" w:rsidRPr="009E6842" w:rsidRDefault="00215C86" w:rsidP="006230C0">
    <w:pPr>
      <w:spacing w:after="120"/>
      <w:ind w:right="-153"/>
      <w:jc w:val="center"/>
      <w:rPr>
        <w:rFonts w:ascii="Times New Roman" w:hAnsi="Times New Roman" w:cs="Times New Roman"/>
        <w:b/>
        <w:color w:val="0F243E" w:themeColor="text2" w:themeShade="80"/>
        <w:sz w:val="24"/>
        <w:szCs w:val="24"/>
        <w:lang w:val="bg-BG"/>
      </w:rPr>
    </w:pPr>
    <w:r w:rsidRPr="009E6842">
      <w:rPr>
        <w:rFonts w:ascii="Times New Roman" w:hAnsi="Times New Roman" w:cs="Times New Roman"/>
        <w:b/>
        <w:color w:val="0F243E" w:themeColor="text2" w:themeShade="80"/>
        <w:sz w:val="24"/>
        <w:szCs w:val="24"/>
        <w:lang w:val="bg-BG"/>
      </w:rPr>
      <w:t>МОРСКИ ПРОСТРАНСТВЕН ПЛАН НА РЕПУБЛИКА БЪЛГАРИЯ 2021-2035</w:t>
    </w:r>
  </w:p>
  <w:p w14:paraId="03F05686" w14:textId="77777777" w:rsidR="00215C86" w:rsidRDefault="00215C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BFF66" w14:textId="48D2775A" w:rsidR="00215C86" w:rsidRPr="009E6842" w:rsidRDefault="00215C86" w:rsidP="001E3FED">
    <w:pPr>
      <w:spacing w:after="120"/>
      <w:ind w:right="-153"/>
      <w:jc w:val="center"/>
      <w:rPr>
        <w:rFonts w:ascii="Times New Roman" w:hAnsi="Times New Roman" w:cs="Times New Roman"/>
        <w:b/>
        <w:color w:val="0F243E" w:themeColor="text2" w:themeShade="80"/>
        <w:sz w:val="24"/>
        <w:szCs w:val="24"/>
        <w:lang w:val="bg-BG"/>
      </w:rPr>
    </w:pPr>
    <w:r w:rsidRPr="009E6842">
      <w:rPr>
        <w:rFonts w:ascii="Times New Roman" w:hAnsi="Times New Roman" w:cs="Times New Roman"/>
        <w:b/>
        <w:color w:val="0F243E" w:themeColor="text2" w:themeShade="80"/>
        <w:sz w:val="24"/>
        <w:szCs w:val="24"/>
        <w:lang w:val="bg-BG"/>
      </w:rPr>
      <w:t>МОРСКИ ПРОСТРАНСТВЕН ПЛАН НА РЕПУБЛИКА БЪЛГАРИЯ 2021-2035</w:t>
    </w:r>
  </w:p>
  <w:p w14:paraId="4E71C2EF" w14:textId="6D4EDD1C" w:rsidR="00215C86" w:rsidRDefault="00215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1B8D"/>
    <w:multiLevelType w:val="hybridMultilevel"/>
    <w:tmpl w:val="6B10AA7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0294816"/>
    <w:multiLevelType w:val="hybridMultilevel"/>
    <w:tmpl w:val="71D8EB0A"/>
    <w:lvl w:ilvl="0" w:tplc="A5BA80BC">
      <w:start w:val="1"/>
      <w:numFmt w:val="bullet"/>
      <w:lvlText w:val=""/>
      <w:lvlJc w:val="left"/>
      <w:pPr>
        <w:ind w:left="420" w:hanging="360"/>
      </w:pPr>
      <w:rPr>
        <w:rFonts w:ascii="Wingdings" w:hAnsi="Wingdings" w:hint="default"/>
        <w:i w:val="0"/>
        <w:iCs/>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0AA1B08"/>
    <w:multiLevelType w:val="hybridMultilevel"/>
    <w:tmpl w:val="64347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EA503A"/>
    <w:multiLevelType w:val="hybridMultilevel"/>
    <w:tmpl w:val="288600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8501A6"/>
    <w:multiLevelType w:val="hybridMultilevel"/>
    <w:tmpl w:val="ED48AA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0F3B2E"/>
    <w:multiLevelType w:val="multilevel"/>
    <w:tmpl w:val="9C00328A"/>
    <w:lvl w:ilvl="0">
      <w:start w:val="1"/>
      <w:numFmt w:val="decimal"/>
      <w:lvlText w:val="%1."/>
      <w:lvlJc w:val="left"/>
      <w:pPr>
        <w:ind w:left="810" w:hanging="360"/>
      </w:pPr>
      <w:rPr>
        <w:rFonts w:cs="Times New Roman"/>
      </w:rPr>
    </w:lvl>
    <w:lvl w:ilvl="1">
      <w:start w:val="1"/>
      <w:numFmt w:val="decimal"/>
      <w:isLgl/>
      <w:lvlText w:val="%1.%2."/>
      <w:lvlJc w:val="left"/>
      <w:pPr>
        <w:ind w:left="855" w:hanging="405"/>
      </w:pPr>
      <w:rPr>
        <w:rFonts w:hint="default"/>
        <w:color w:val="000000"/>
      </w:rPr>
    </w:lvl>
    <w:lvl w:ilvl="2">
      <w:start w:val="1"/>
      <w:numFmt w:val="decimal"/>
      <w:isLgl/>
      <w:lvlText w:val="%1.%2.%3."/>
      <w:lvlJc w:val="left"/>
      <w:pPr>
        <w:ind w:left="1170" w:hanging="720"/>
      </w:pPr>
      <w:rPr>
        <w:rFonts w:hint="default"/>
        <w:color w:val="000000"/>
      </w:rPr>
    </w:lvl>
    <w:lvl w:ilvl="3">
      <w:start w:val="1"/>
      <w:numFmt w:val="decimal"/>
      <w:isLgl/>
      <w:lvlText w:val="%1.%2.%3.%4."/>
      <w:lvlJc w:val="left"/>
      <w:pPr>
        <w:ind w:left="1170" w:hanging="720"/>
      </w:pPr>
      <w:rPr>
        <w:rFonts w:hint="default"/>
        <w:color w:val="000000"/>
      </w:rPr>
    </w:lvl>
    <w:lvl w:ilvl="4">
      <w:start w:val="1"/>
      <w:numFmt w:val="decimal"/>
      <w:isLgl/>
      <w:lvlText w:val="%1.%2.%3.%4.%5."/>
      <w:lvlJc w:val="left"/>
      <w:pPr>
        <w:ind w:left="1530" w:hanging="1080"/>
      </w:pPr>
      <w:rPr>
        <w:rFonts w:hint="default"/>
        <w:color w:val="000000"/>
      </w:rPr>
    </w:lvl>
    <w:lvl w:ilvl="5">
      <w:start w:val="1"/>
      <w:numFmt w:val="decimal"/>
      <w:isLgl/>
      <w:lvlText w:val="%1.%2.%3.%4.%5.%6."/>
      <w:lvlJc w:val="left"/>
      <w:pPr>
        <w:ind w:left="1530" w:hanging="1080"/>
      </w:pPr>
      <w:rPr>
        <w:rFonts w:hint="default"/>
        <w:color w:val="000000"/>
      </w:rPr>
    </w:lvl>
    <w:lvl w:ilvl="6">
      <w:start w:val="1"/>
      <w:numFmt w:val="decimal"/>
      <w:isLgl/>
      <w:lvlText w:val="%1.%2.%3.%4.%5.%6.%7."/>
      <w:lvlJc w:val="left"/>
      <w:pPr>
        <w:ind w:left="1530" w:hanging="1080"/>
      </w:pPr>
      <w:rPr>
        <w:rFonts w:hint="default"/>
        <w:color w:val="000000"/>
      </w:rPr>
    </w:lvl>
    <w:lvl w:ilvl="7">
      <w:start w:val="1"/>
      <w:numFmt w:val="decimal"/>
      <w:isLgl/>
      <w:lvlText w:val="%1.%2.%3.%4.%5.%6.%7.%8."/>
      <w:lvlJc w:val="left"/>
      <w:pPr>
        <w:ind w:left="1890" w:hanging="1440"/>
      </w:pPr>
      <w:rPr>
        <w:rFonts w:hint="default"/>
        <w:color w:val="000000"/>
      </w:rPr>
    </w:lvl>
    <w:lvl w:ilvl="8">
      <w:start w:val="1"/>
      <w:numFmt w:val="decimal"/>
      <w:isLgl/>
      <w:lvlText w:val="%1.%2.%3.%4.%5.%6.%7.%8.%9."/>
      <w:lvlJc w:val="left"/>
      <w:pPr>
        <w:ind w:left="1890" w:hanging="1440"/>
      </w:pPr>
      <w:rPr>
        <w:rFonts w:hint="default"/>
        <w:color w:val="000000"/>
      </w:rPr>
    </w:lvl>
  </w:abstractNum>
  <w:abstractNum w:abstractNumId="6" w15:restartNumberingAfterBreak="0">
    <w:nsid w:val="032C5FED"/>
    <w:multiLevelType w:val="multilevel"/>
    <w:tmpl w:val="419EA1E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52D309B"/>
    <w:multiLevelType w:val="hybridMultilevel"/>
    <w:tmpl w:val="D65645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1508FE"/>
    <w:multiLevelType w:val="hybridMultilevel"/>
    <w:tmpl w:val="C1102A26"/>
    <w:lvl w:ilvl="0" w:tplc="356A6C34">
      <w:start w:val="1"/>
      <w:numFmt w:val="decimal"/>
      <w:lvlText w:val="%1."/>
      <w:lvlJc w:val="left"/>
      <w:pPr>
        <w:ind w:left="36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92249A"/>
    <w:multiLevelType w:val="multilevel"/>
    <w:tmpl w:val="A5260C5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347F6D"/>
    <w:multiLevelType w:val="hybridMultilevel"/>
    <w:tmpl w:val="E7541770"/>
    <w:lvl w:ilvl="0" w:tplc="0402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2840566"/>
    <w:multiLevelType w:val="hybridMultilevel"/>
    <w:tmpl w:val="979482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26695"/>
    <w:multiLevelType w:val="multilevel"/>
    <w:tmpl w:val="5EE8835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16D75D0B"/>
    <w:multiLevelType w:val="hybridMultilevel"/>
    <w:tmpl w:val="8A52D1CC"/>
    <w:lvl w:ilvl="0" w:tplc="04020005">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75374DD"/>
    <w:multiLevelType w:val="hybridMultilevel"/>
    <w:tmpl w:val="34F85FB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1778C650">
      <w:start w:val="1"/>
      <w:numFmt w:val="bullet"/>
      <w:pStyle w:val="romb"/>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8A76AD1"/>
    <w:multiLevelType w:val="hybridMultilevel"/>
    <w:tmpl w:val="4698B46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19342647"/>
    <w:multiLevelType w:val="hybridMultilevel"/>
    <w:tmpl w:val="4A9A6A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9157CC"/>
    <w:multiLevelType w:val="hybridMultilevel"/>
    <w:tmpl w:val="F43894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770A55"/>
    <w:multiLevelType w:val="hybridMultilevel"/>
    <w:tmpl w:val="03820E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C240FC"/>
    <w:multiLevelType w:val="hybridMultilevel"/>
    <w:tmpl w:val="8CD446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494A5A"/>
    <w:multiLevelType w:val="hybridMultilevel"/>
    <w:tmpl w:val="653AEB7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204E7EE4"/>
    <w:multiLevelType w:val="hybridMultilevel"/>
    <w:tmpl w:val="8FA66A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D46C56"/>
    <w:multiLevelType w:val="hybridMultilevel"/>
    <w:tmpl w:val="BED6CC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ED2D44"/>
    <w:multiLevelType w:val="hybridMultilevel"/>
    <w:tmpl w:val="987A21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3D29B7"/>
    <w:multiLevelType w:val="hybridMultilevel"/>
    <w:tmpl w:val="153A9F8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2401033C"/>
    <w:multiLevelType w:val="hybridMultilevel"/>
    <w:tmpl w:val="6A8628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AC0E92"/>
    <w:multiLevelType w:val="hybridMultilevel"/>
    <w:tmpl w:val="517EC3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6C615F"/>
    <w:multiLevelType w:val="hybridMultilevel"/>
    <w:tmpl w:val="47C0E552"/>
    <w:lvl w:ilvl="0" w:tplc="0402000D">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26F420F0"/>
    <w:multiLevelType w:val="multilevel"/>
    <w:tmpl w:val="7CD0B00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273545DE"/>
    <w:multiLevelType w:val="hybridMultilevel"/>
    <w:tmpl w:val="3B1AA4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0514E0"/>
    <w:multiLevelType w:val="hybridMultilevel"/>
    <w:tmpl w:val="2A14B2B4"/>
    <w:lvl w:ilvl="0" w:tplc="0409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82253F0"/>
    <w:multiLevelType w:val="hybridMultilevel"/>
    <w:tmpl w:val="E31C33D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28C30740"/>
    <w:multiLevelType w:val="hybridMultilevel"/>
    <w:tmpl w:val="80E687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FA7DF7"/>
    <w:multiLevelType w:val="hybridMultilevel"/>
    <w:tmpl w:val="A978EE78"/>
    <w:lvl w:ilvl="0" w:tplc="356A6C34">
      <w:start w:val="1"/>
      <w:numFmt w:val="decimal"/>
      <w:lvlText w:val="%1."/>
      <w:lvlJc w:val="left"/>
      <w:pPr>
        <w:ind w:left="36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07228F"/>
    <w:multiLevelType w:val="hybridMultilevel"/>
    <w:tmpl w:val="59B006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2D1C55BB"/>
    <w:multiLevelType w:val="multilevel"/>
    <w:tmpl w:val="BF4C5F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2D445450"/>
    <w:multiLevelType w:val="multilevel"/>
    <w:tmpl w:val="B6928D90"/>
    <w:lvl w:ilvl="0">
      <w:start w:val="13"/>
      <w:numFmt w:val="decimal"/>
      <w:lvlText w:val="%1."/>
      <w:lvlJc w:val="left"/>
      <w:pPr>
        <w:ind w:left="405" w:hanging="405"/>
      </w:pPr>
      <w:rPr>
        <w:rFonts w:hint="default"/>
      </w:rPr>
    </w:lvl>
    <w:lvl w:ilvl="1">
      <w:start w:val="9"/>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2D4B4F04"/>
    <w:multiLevelType w:val="hybridMultilevel"/>
    <w:tmpl w:val="FF146AD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81475F"/>
    <w:multiLevelType w:val="hybridMultilevel"/>
    <w:tmpl w:val="7C0A16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2E86097E"/>
    <w:multiLevelType w:val="multilevel"/>
    <w:tmpl w:val="419EA1E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2F701200"/>
    <w:multiLevelType w:val="hybridMultilevel"/>
    <w:tmpl w:val="73142066"/>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2FB023BF"/>
    <w:multiLevelType w:val="hybridMultilevel"/>
    <w:tmpl w:val="070A8DDC"/>
    <w:lvl w:ilvl="0" w:tplc="0409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30724300"/>
    <w:multiLevelType w:val="hybridMultilevel"/>
    <w:tmpl w:val="6A5CB71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18D28AA"/>
    <w:multiLevelType w:val="hybridMultilevel"/>
    <w:tmpl w:val="7F80E31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31DE57FE"/>
    <w:multiLevelType w:val="hybridMultilevel"/>
    <w:tmpl w:val="00CAC1F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1B5BD9"/>
    <w:multiLevelType w:val="hybridMultilevel"/>
    <w:tmpl w:val="CD2831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3596735B"/>
    <w:multiLevelType w:val="hybridMultilevel"/>
    <w:tmpl w:val="521689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AA61DE"/>
    <w:multiLevelType w:val="multilevel"/>
    <w:tmpl w:val="96D261C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384901E5"/>
    <w:multiLevelType w:val="hybridMultilevel"/>
    <w:tmpl w:val="ACAA81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E25896"/>
    <w:multiLevelType w:val="hybridMultilevel"/>
    <w:tmpl w:val="823482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935AA8"/>
    <w:multiLevelType w:val="hybridMultilevel"/>
    <w:tmpl w:val="A978EE78"/>
    <w:lvl w:ilvl="0" w:tplc="356A6C34">
      <w:start w:val="1"/>
      <w:numFmt w:val="decimal"/>
      <w:lvlText w:val="%1."/>
      <w:lvlJc w:val="left"/>
      <w:pPr>
        <w:ind w:left="36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1506D2"/>
    <w:multiLevelType w:val="multilevel"/>
    <w:tmpl w:val="BA862D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D860C7F"/>
    <w:multiLevelType w:val="hybridMultilevel"/>
    <w:tmpl w:val="A978EE78"/>
    <w:lvl w:ilvl="0" w:tplc="356A6C34">
      <w:start w:val="1"/>
      <w:numFmt w:val="decimal"/>
      <w:lvlText w:val="%1."/>
      <w:lvlJc w:val="left"/>
      <w:pPr>
        <w:ind w:left="36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E41E12"/>
    <w:multiLevelType w:val="hybridMultilevel"/>
    <w:tmpl w:val="9FC279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EDB1123"/>
    <w:multiLevelType w:val="hybridMultilevel"/>
    <w:tmpl w:val="199CC3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9E504C"/>
    <w:multiLevelType w:val="multilevel"/>
    <w:tmpl w:val="6FA8E1FE"/>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43C75AC5"/>
    <w:multiLevelType w:val="hybridMultilevel"/>
    <w:tmpl w:val="0F9082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48B5DD6"/>
    <w:multiLevelType w:val="hybridMultilevel"/>
    <w:tmpl w:val="530C58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0470AE"/>
    <w:multiLevelType w:val="hybridMultilevel"/>
    <w:tmpl w:val="41F6C8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6D3194"/>
    <w:multiLevelType w:val="hybridMultilevel"/>
    <w:tmpl w:val="53903E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223DAF"/>
    <w:multiLevelType w:val="hybridMultilevel"/>
    <w:tmpl w:val="E7483B7E"/>
    <w:lvl w:ilvl="0" w:tplc="F676B148">
      <w:start w:val="1"/>
      <w:numFmt w:val="decimal"/>
      <w:lvlText w:val="%1."/>
      <w:lvlJc w:val="left"/>
      <w:pPr>
        <w:ind w:left="644"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48250901"/>
    <w:multiLevelType w:val="hybridMultilevel"/>
    <w:tmpl w:val="241CCB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8A361FA"/>
    <w:multiLevelType w:val="hybridMultilevel"/>
    <w:tmpl w:val="5F86146E"/>
    <w:lvl w:ilvl="0" w:tplc="0409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9354565"/>
    <w:multiLevelType w:val="hybridMultilevel"/>
    <w:tmpl w:val="DD4C4E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958797C"/>
    <w:multiLevelType w:val="hybridMultilevel"/>
    <w:tmpl w:val="B434D160"/>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15:restartNumberingAfterBreak="0">
    <w:nsid w:val="4ADB7172"/>
    <w:multiLevelType w:val="hybridMultilevel"/>
    <w:tmpl w:val="A978EE78"/>
    <w:lvl w:ilvl="0" w:tplc="356A6C34">
      <w:start w:val="1"/>
      <w:numFmt w:val="decimal"/>
      <w:lvlText w:val="%1."/>
      <w:lvlJc w:val="left"/>
      <w:pPr>
        <w:ind w:left="36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B4B5203"/>
    <w:multiLevelType w:val="hybridMultilevel"/>
    <w:tmpl w:val="EB3E2A7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15:restartNumberingAfterBreak="0">
    <w:nsid w:val="4D020B6F"/>
    <w:multiLevelType w:val="multilevel"/>
    <w:tmpl w:val="BF4C5F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4DE872CD"/>
    <w:multiLevelType w:val="hybridMultilevel"/>
    <w:tmpl w:val="205602D6"/>
    <w:lvl w:ilvl="0" w:tplc="08090005">
      <w:start w:val="1"/>
      <w:numFmt w:val="bullet"/>
      <w:lvlText w:val=""/>
      <w:lvlJc w:val="left"/>
      <w:pPr>
        <w:ind w:left="720" w:hanging="360"/>
      </w:pPr>
      <w:rPr>
        <w:rFonts w:ascii="Wingdings" w:hAnsi="Wingdings" w:hint="default"/>
      </w:rPr>
    </w:lvl>
    <w:lvl w:ilvl="1" w:tplc="3960A82A">
      <w:numFmt w:val="bullet"/>
      <w:lvlText w:val="•"/>
      <w:lvlJc w:val="left"/>
      <w:pPr>
        <w:ind w:left="1665" w:hanging="585"/>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E7E6FC2"/>
    <w:multiLevelType w:val="multilevel"/>
    <w:tmpl w:val="44EA18F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0" w15:restartNumberingAfterBreak="0">
    <w:nsid w:val="4F1238CC"/>
    <w:multiLevelType w:val="hybridMultilevel"/>
    <w:tmpl w:val="4470FC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1" w15:restartNumberingAfterBreak="0">
    <w:nsid w:val="4F510A4C"/>
    <w:multiLevelType w:val="hybridMultilevel"/>
    <w:tmpl w:val="7F3483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11011C3"/>
    <w:multiLevelType w:val="multilevel"/>
    <w:tmpl w:val="A1E41306"/>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3" w15:restartNumberingAfterBreak="0">
    <w:nsid w:val="52194917"/>
    <w:multiLevelType w:val="hybridMultilevel"/>
    <w:tmpl w:val="918E9FA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15:restartNumberingAfterBreak="0">
    <w:nsid w:val="52A14025"/>
    <w:multiLevelType w:val="hybridMultilevel"/>
    <w:tmpl w:val="78BC26B8"/>
    <w:lvl w:ilvl="0" w:tplc="04090005">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Times New Roman"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Times New Roman"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Times New Roman"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3326D54"/>
    <w:multiLevelType w:val="hybridMultilevel"/>
    <w:tmpl w:val="DBDE7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F036E1"/>
    <w:multiLevelType w:val="hybridMultilevel"/>
    <w:tmpl w:val="4C4A39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779020D"/>
    <w:multiLevelType w:val="hybridMultilevel"/>
    <w:tmpl w:val="A9AE0F28"/>
    <w:lvl w:ilvl="0" w:tplc="04020005">
      <w:start w:val="1"/>
      <w:numFmt w:val="bullet"/>
      <w:lvlText w:val=""/>
      <w:lvlJc w:val="left"/>
      <w:pPr>
        <w:ind w:left="630" w:hanging="360"/>
      </w:pPr>
      <w:rPr>
        <w:rFonts w:ascii="Wingdings" w:hAnsi="Wingdings" w:hint="default"/>
      </w:rPr>
    </w:lvl>
    <w:lvl w:ilvl="1" w:tplc="04020003" w:tentative="1">
      <w:start w:val="1"/>
      <w:numFmt w:val="bullet"/>
      <w:lvlText w:val="o"/>
      <w:lvlJc w:val="left"/>
      <w:pPr>
        <w:ind w:left="1350" w:hanging="360"/>
      </w:pPr>
      <w:rPr>
        <w:rFonts w:ascii="Courier New" w:hAnsi="Courier New" w:cs="Courier New" w:hint="default"/>
      </w:rPr>
    </w:lvl>
    <w:lvl w:ilvl="2" w:tplc="04020005" w:tentative="1">
      <w:start w:val="1"/>
      <w:numFmt w:val="bullet"/>
      <w:lvlText w:val=""/>
      <w:lvlJc w:val="left"/>
      <w:pPr>
        <w:ind w:left="2070" w:hanging="360"/>
      </w:pPr>
      <w:rPr>
        <w:rFonts w:ascii="Wingdings" w:hAnsi="Wingdings" w:hint="default"/>
      </w:rPr>
    </w:lvl>
    <w:lvl w:ilvl="3" w:tplc="04020001" w:tentative="1">
      <w:start w:val="1"/>
      <w:numFmt w:val="bullet"/>
      <w:lvlText w:val=""/>
      <w:lvlJc w:val="left"/>
      <w:pPr>
        <w:ind w:left="2790" w:hanging="360"/>
      </w:pPr>
      <w:rPr>
        <w:rFonts w:ascii="Symbol" w:hAnsi="Symbol" w:hint="default"/>
      </w:rPr>
    </w:lvl>
    <w:lvl w:ilvl="4" w:tplc="04020003" w:tentative="1">
      <w:start w:val="1"/>
      <w:numFmt w:val="bullet"/>
      <w:lvlText w:val="o"/>
      <w:lvlJc w:val="left"/>
      <w:pPr>
        <w:ind w:left="3510" w:hanging="360"/>
      </w:pPr>
      <w:rPr>
        <w:rFonts w:ascii="Courier New" w:hAnsi="Courier New" w:cs="Courier New" w:hint="default"/>
      </w:rPr>
    </w:lvl>
    <w:lvl w:ilvl="5" w:tplc="04020005" w:tentative="1">
      <w:start w:val="1"/>
      <w:numFmt w:val="bullet"/>
      <w:lvlText w:val=""/>
      <w:lvlJc w:val="left"/>
      <w:pPr>
        <w:ind w:left="4230" w:hanging="360"/>
      </w:pPr>
      <w:rPr>
        <w:rFonts w:ascii="Wingdings" w:hAnsi="Wingdings" w:hint="default"/>
      </w:rPr>
    </w:lvl>
    <w:lvl w:ilvl="6" w:tplc="04020001" w:tentative="1">
      <w:start w:val="1"/>
      <w:numFmt w:val="bullet"/>
      <w:lvlText w:val=""/>
      <w:lvlJc w:val="left"/>
      <w:pPr>
        <w:ind w:left="4950" w:hanging="360"/>
      </w:pPr>
      <w:rPr>
        <w:rFonts w:ascii="Symbol" w:hAnsi="Symbol" w:hint="default"/>
      </w:rPr>
    </w:lvl>
    <w:lvl w:ilvl="7" w:tplc="04020003" w:tentative="1">
      <w:start w:val="1"/>
      <w:numFmt w:val="bullet"/>
      <w:lvlText w:val="o"/>
      <w:lvlJc w:val="left"/>
      <w:pPr>
        <w:ind w:left="5670" w:hanging="360"/>
      </w:pPr>
      <w:rPr>
        <w:rFonts w:ascii="Courier New" w:hAnsi="Courier New" w:cs="Courier New" w:hint="default"/>
      </w:rPr>
    </w:lvl>
    <w:lvl w:ilvl="8" w:tplc="04020005" w:tentative="1">
      <w:start w:val="1"/>
      <w:numFmt w:val="bullet"/>
      <w:lvlText w:val=""/>
      <w:lvlJc w:val="left"/>
      <w:pPr>
        <w:ind w:left="6390" w:hanging="360"/>
      </w:pPr>
      <w:rPr>
        <w:rFonts w:ascii="Wingdings" w:hAnsi="Wingdings" w:hint="default"/>
      </w:rPr>
    </w:lvl>
  </w:abstractNum>
  <w:abstractNum w:abstractNumId="78" w15:restartNumberingAfterBreak="0">
    <w:nsid w:val="57D72155"/>
    <w:multiLevelType w:val="hybridMultilevel"/>
    <w:tmpl w:val="DE0C32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02030E"/>
    <w:multiLevelType w:val="hybridMultilevel"/>
    <w:tmpl w:val="66A4FA8E"/>
    <w:lvl w:ilvl="0" w:tplc="356A6C34">
      <w:start w:val="1"/>
      <w:numFmt w:val="decimal"/>
      <w:lvlText w:val="%1."/>
      <w:lvlJc w:val="left"/>
      <w:pPr>
        <w:ind w:left="36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920BA4"/>
    <w:multiLevelType w:val="hybridMultilevel"/>
    <w:tmpl w:val="A3EC1A30"/>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1" w15:restartNumberingAfterBreak="0">
    <w:nsid w:val="5AAB09C3"/>
    <w:multiLevelType w:val="hybridMultilevel"/>
    <w:tmpl w:val="A978EE78"/>
    <w:lvl w:ilvl="0" w:tplc="356A6C34">
      <w:start w:val="1"/>
      <w:numFmt w:val="decimal"/>
      <w:lvlText w:val="%1."/>
      <w:lvlJc w:val="left"/>
      <w:pPr>
        <w:ind w:left="36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FAA56F3"/>
    <w:multiLevelType w:val="hybridMultilevel"/>
    <w:tmpl w:val="DE947E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32388A"/>
    <w:multiLevelType w:val="hybridMultilevel"/>
    <w:tmpl w:val="AACABC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2244A0A"/>
    <w:multiLevelType w:val="hybridMultilevel"/>
    <w:tmpl w:val="536016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405AE0"/>
    <w:multiLevelType w:val="hybridMultilevel"/>
    <w:tmpl w:val="2E2820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3C4287D"/>
    <w:multiLevelType w:val="hybridMultilevel"/>
    <w:tmpl w:val="F2A6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7" w15:restartNumberingAfterBreak="0">
    <w:nsid w:val="63CF3E44"/>
    <w:multiLevelType w:val="hybridMultilevel"/>
    <w:tmpl w:val="DF66ED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6324DA4"/>
    <w:multiLevelType w:val="hybridMultilevel"/>
    <w:tmpl w:val="9E9C7680"/>
    <w:lvl w:ilvl="0" w:tplc="04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66342AD8"/>
    <w:multiLevelType w:val="hybridMultilevel"/>
    <w:tmpl w:val="A978EE78"/>
    <w:lvl w:ilvl="0" w:tplc="356A6C34">
      <w:start w:val="1"/>
      <w:numFmt w:val="decimal"/>
      <w:lvlText w:val="%1."/>
      <w:lvlJc w:val="left"/>
      <w:pPr>
        <w:ind w:left="36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7FB63B8"/>
    <w:multiLevelType w:val="multilevel"/>
    <w:tmpl w:val="C51E9A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68F665F4"/>
    <w:multiLevelType w:val="hybridMultilevel"/>
    <w:tmpl w:val="2E4444A8"/>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2" w15:restartNumberingAfterBreak="0">
    <w:nsid w:val="6E417447"/>
    <w:multiLevelType w:val="hybridMultilevel"/>
    <w:tmpl w:val="3B8E37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A570D5"/>
    <w:multiLevelType w:val="hybridMultilevel"/>
    <w:tmpl w:val="EBBC1A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B4295A"/>
    <w:multiLevelType w:val="hybridMultilevel"/>
    <w:tmpl w:val="5ABAF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D34FB6"/>
    <w:multiLevelType w:val="hybridMultilevel"/>
    <w:tmpl w:val="99CA50B6"/>
    <w:lvl w:ilvl="0" w:tplc="04020005">
      <w:start w:val="1"/>
      <w:numFmt w:val="bullet"/>
      <w:lvlText w:val=""/>
      <w:lvlJc w:val="left"/>
      <w:pPr>
        <w:ind w:left="720" w:hanging="360"/>
      </w:pPr>
      <w:rPr>
        <w:rFonts w:ascii="Wingdings" w:hAnsi="Wingdings"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6" w15:restartNumberingAfterBreak="0">
    <w:nsid w:val="7196571C"/>
    <w:multiLevelType w:val="multilevel"/>
    <w:tmpl w:val="419EA1E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71B0444B"/>
    <w:multiLevelType w:val="hybridMultilevel"/>
    <w:tmpl w:val="7878FC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247278"/>
    <w:multiLevelType w:val="hybridMultilevel"/>
    <w:tmpl w:val="6E8EAC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9" w15:restartNumberingAfterBreak="0">
    <w:nsid w:val="748308DB"/>
    <w:multiLevelType w:val="hybridMultilevel"/>
    <w:tmpl w:val="DA7C40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2C57FE"/>
    <w:multiLevelType w:val="hybridMultilevel"/>
    <w:tmpl w:val="BF582F26"/>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1" w15:restartNumberingAfterBreak="0">
    <w:nsid w:val="79D531F1"/>
    <w:multiLevelType w:val="hybridMultilevel"/>
    <w:tmpl w:val="70747408"/>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2" w15:restartNumberingAfterBreak="0">
    <w:nsid w:val="7AD92267"/>
    <w:multiLevelType w:val="hybridMultilevel"/>
    <w:tmpl w:val="F2043B4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3" w15:restartNumberingAfterBreak="0">
    <w:nsid w:val="7AEA3AE1"/>
    <w:multiLevelType w:val="hybridMultilevel"/>
    <w:tmpl w:val="FE7C61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FA177D"/>
    <w:multiLevelType w:val="hybridMultilevel"/>
    <w:tmpl w:val="828CC8EC"/>
    <w:lvl w:ilvl="0" w:tplc="04090005">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C1C1439"/>
    <w:multiLevelType w:val="hybridMultilevel"/>
    <w:tmpl w:val="00B20C0E"/>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6" w15:restartNumberingAfterBreak="0">
    <w:nsid w:val="7D6F501B"/>
    <w:multiLevelType w:val="hybridMultilevel"/>
    <w:tmpl w:val="B708630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7" w15:restartNumberingAfterBreak="0">
    <w:nsid w:val="7F0A09E9"/>
    <w:multiLevelType w:val="hybridMultilevel"/>
    <w:tmpl w:val="A3ACADDC"/>
    <w:lvl w:ilvl="0" w:tplc="0402000D">
      <w:start w:val="1"/>
      <w:numFmt w:val="bullet"/>
      <w:lvlText w:val=""/>
      <w:lvlJc w:val="left"/>
      <w:pPr>
        <w:ind w:left="1571" w:hanging="360"/>
      </w:pPr>
      <w:rPr>
        <w:rFonts w:ascii="Wingdings" w:hAnsi="Wingdings" w:hint="default"/>
      </w:rPr>
    </w:lvl>
    <w:lvl w:ilvl="1" w:tplc="0402000D">
      <w:start w:val="1"/>
      <w:numFmt w:val="bullet"/>
      <w:lvlText w:val=""/>
      <w:lvlJc w:val="left"/>
      <w:pPr>
        <w:ind w:left="2291" w:hanging="360"/>
      </w:pPr>
      <w:rPr>
        <w:rFonts w:ascii="Wingdings" w:hAnsi="Wingdings"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num w:numId="1">
    <w:abstractNumId w:val="72"/>
  </w:num>
  <w:num w:numId="2">
    <w:abstractNumId w:val="23"/>
  </w:num>
  <w:num w:numId="3">
    <w:abstractNumId w:val="62"/>
  </w:num>
  <w:num w:numId="4">
    <w:abstractNumId w:val="74"/>
  </w:num>
  <w:num w:numId="5">
    <w:abstractNumId w:val="26"/>
  </w:num>
  <w:num w:numId="6">
    <w:abstractNumId w:val="45"/>
  </w:num>
  <w:num w:numId="7">
    <w:abstractNumId w:val="98"/>
  </w:num>
  <w:num w:numId="8">
    <w:abstractNumId w:val="48"/>
  </w:num>
  <w:num w:numId="9">
    <w:abstractNumId w:val="38"/>
  </w:num>
  <w:num w:numId="10">
    <w:abstractNumId w:val="86"/>
  </w:num>
  <w:num w:numId="11">
    <w:abstractNumId w:val="70"/>
  </w:num>
  <w:num w:numId="12">
    <w:abstractNumId w:val="88"/>
  </w:num>
  <w:num w:numId="13">
    <w:abstractNumId w:val="34"/>
  </w:num>
  <w:num w:numId="14">
    <w:abstractNumId w:val="14"/>
  </w:num>
  <w:num w:numId="15">
    <w:abstractNumId w:val="5"/>
  </w:num>
  <w:num w:numId="16">
    <w:abstractNumId w:val="68"/>
  </w:num>
  <w:num w:numId="17">
    <w:abstractNumId w:val="87"/>
  </w:num>
  <w:num w:numId="18">
    <w:abstractNumId w:val="15"/>
  </w:num>
  <w:num w:numId="19">
    <w:abstractNumId w:val="102"/>
  </w:num>
  <w:num w:numId="20">
    <w:abstractNumId w:val="0"/>
  </w:num>
  <w:num w:numId="21">
    <w:abstractNumId w:val="20"/>
  </w:num>
  <w:num w:numId="22">
    <w:abstractNumId w:val="16"/>
  </w:num>
  <w:num w:numId="23">
    <w:abstractNumId w:val="61"/>
  </w:num>
  <w:num w:numId="24">
    <w:abstractNumId w:val="78"/>
  </w:num>
  <w:num w:numId="25">
    <w:abstractNumId w:val="7"/>
  </w:num>
  <w:num w:numId="26">
    <w:abstractNumId w:val="32"/>
  </w:num>
  <w:num w:numId="27">
    <w:abstractNumId w:val="76"/>
  </w:num>
  <w:num w:numId="28">
    <w:abstractNumId w:val="44"/>
  </w:num>
  <w:num w:numId="29">
    <w:abstractNumId w:val="71"/>
  </w:num>
  <w:num w:numId="30">
    <w:abstractNumId w:val="18"/>
  </w:num>
  <w:num w:numId="31">
    <w:abstractNumId w:val="94"/>
  </w:num>
  <w:num w:numId="32">
    <w:abstractNumId w:val="84"/>
  </w:num>
  <w:num w:numId="33">
    <w:abstractNumId w:val="41"/>
  </w:num>
  <w:num w:numId="34">
    <w:abstractNumId w:val="99"/>
  </w:num>
  <w:num w:numId="35">
    <w:abstractNumId w:val="92"/>
  </w:num>
  <w:num w:numId="36">
    <w:abstractNumId w:val="53"/>
  </w:num>
  <w:num w:numId="37">
    <w:abstractNumId w:val="43"/>
  </w:num>
  <w:num w:numId="38">
    <w:abstractNumId w:val="82"/>
  </w:num>
  <w:num w:numId="39">
    <w:abstractNumId w:val="30"/>
  </w:num>
  <w:num w:numId="40">
    <w:abstractNumId w:val="24"/>
  </w:num>
  <w:num w:numId="41">
    <w:abstractNumId w:val="13"/>
  </w:num>
  <w:num w:numId="42">
    <w:abstractNumId w:val="80"/>
  </w:num>
  <w:num w:numId="43">
    <w:abstractNumId w:val="107"/>
  </w:num>
  <w:num w:numId="44">
    <w:abstractNumId w:val="106"/>
  </w:num>
  <w:num w:numId="45">
    <w:abstractNumId w:val="104"/>
  </w:num>
  <w:num w:numId="46">
    <w:abstractNumId w:val="31"/>
  </w:num>
  <w:num w:numId="47">
    <w:abstractNumId w:val="1"/>
  </w:num>
  <w:num w:numId="48">
    <w:abstractNumId w:val="25"/>
  </w:num>
  <w:num w:numId="49">
    <w:abstractNumId w:val="81"/>
  </w:num>
  <w:num w:numId="50">
    <w:abstractNumId w:val="103"/>
  </w:num>
  <w:num w:numId="51">
    <w:abstractNumId w:val="21"/>
  </w:num>
  <w:num w:numId="52">
    <w:abstractNumId w:val="85"/>
  </w:num>
  <w:num w:numId="53">
    <w:abstractNumId w:val="54"/>
  </w:num>
  <w:num w:numId="54">
    <w:abstractNumId w:val="3"/>
  </w:num>
  <w:num w:numId="55">
    <w:abstractNumId w:val="58"/>
  </w:num>
  <w:num w:numId="56">
    <w:abstractNumId w:val="17"/>
  </w:num>
  <w:num w:numId="57">
    <w:abstractNumId w:val="97"/>
  </w:num>
  <w:num w:numId="58">
    <w:abstractNumId w:val="2"/>
  </w:num>
  <w:num w:numId="59">
    <w:abstractNumId w:val="91"/>
  </w:num>
  <w:num w:numId="60">
    <w:abstractNumId w:val="40"/>
  </w:num>
  <w:num w:numId="61">
    <w:abstractNumId w:val="105"/>
  </w:num>
  <w:num w:numId="62">
    <w:abstractNumId w:val="73"/>
  </w:num>
  <w:num w:numId="63">
    <w:abstractNumId w:val="100"/>
  </w:num>
  <w:num w:numId="64">
    <w:abstractNumId w:val="27"/>
  </w:num>
  <w:num w:numId="65">
    <w:abstractNumId w:val="10"/>
  </w:num>
  <w:num w:numId="66">
    <w:abstractNumId w:val="11"/>
  </w:num>
  <w:num w:numId="67">
    <w:abstractNumId w:val="4"/>
  </w:num>
  <w:num w:numId="68">
    <w:abstractNumId w:val="59"/>
  </w:num>
  <w:num w:numId="69">
    <w:abstractNumId w:val="75"/>
  </w:num>
  <w:num w:numId="70">
    <w:abstractNumId w:val="93"/>
  </w:num>
  <w:num w:numId="71">
    <w:abstractNumId w:val="56"/>
  </w:num>
  <w:num w:numId="72">
    <w:abstractNumId w:val="29"/>
  </w:num>
  <w:num w:numId="73">
    <w:abstractNumId w:val="60"/>
  </w:num>
  <w:num w:numId="74">
    <w:abstractNumId w:val="9"/>
  </w:num>
  <w:num w:numId="75">
    <w:abstractNumId w:val="66"/>
  </w:num>
  <w:num w:numId="76">
    <w:abstractNumId w:val="101"/>
  </w:num>
  <w:num w:numId="77">
    <w:abstractNumId w:val="64"/>
  </w:num>
  <w:num w:numId="78">
    <w:abstractNumId w:val="57"/>
  </w:num>
  <w:num w:numId="79">
    <w:abstractNumId w:val="46"/>
  </w:num>
  <w:num w:numId="80">
    <w:abstractNumId w:val="63"/>
  </w:num>
  <w:num w:numId="81">
    <w:abstractNumId w:val="37"/>
  </w:num>
  <w:num w:numId="82">
    <w:abstractNumId w:val="12"/>
  </w:num>
  <w:num w:numId="83">
    <w:abstractNumId w:val="77"/>
  </w:num>
  <w:num w:numId="84">
    <w:abstractNumId w:val="49"/>
  </w:num>
  <w:num w:numId="85">
    <w:abstractNumId w:val="47"/>
  </w:num>
  <w:num w:numId="86">
    <w:abstractNumId w:val="67"/>
  </w:num>
  <w:num w:numId="87">
    <w:abstractNumId w:val="35"/>
  </w:num>
  <w:num w:numId="88">
    <w:abstractNumId w:val="96"/>
  </w:num>
  <w:num w:numId="89">
    <w:abstractNumId w:val="6"/>
  </w:num>
  <w:num w:numId="90">
    <w:abstractNumId w:val="39"/>
  </w:num>
  <w:num w:numId="91">
    <w:abstractNumId w:val="36"/>
  </w:num>
  <w:num w:numId="92">
    <w:abstractNumId w:val="55"/>
  </w:num>
  <w:num w:numId="93">
    <w:abstractNumId w:val="28"/>
  </w:num>
  <w:num w:numId="94">
    <w:abstractNumId w:val="8"/>
  </w:num>
  <w:num w:numId="95">
    <w:abstractNumId w:val="52"/>
  </w:num>
  <w:num w:numId="96">
    <w:abstractNumId w:val="33"/>
  </w:num>
  <w:num w:numId="97">
    <w:abstractNumId w:val="89"/>
  </w:num>
  <w:num w:numId="98">
    <w:abstractNumId w:val="50"/>
  </w:num>
  <w:num w:numId="99">
    <w:abstractNumId w:val="79"/>
  </w:num>
  <w:num w:numId="100">
    <w:abstractNumId w:val="42"/>
  </w:num>
  <w:num w:numId="101">
    <w:abstractNumId w:val="22"/>
  </w:num>
  <w:num w:numId="102">
    <w:abstractNumId w:val="90"/>
  </w:num>
  <w:num w:numId="103">
    <w:abstractNumId w:val="72"/>
  </w:num>
  <w:num w:numId="104">
    <w:abstractNumId w:val="72"/>
  </w:num>
  <w:num w:numId="105">
    <w:abstractNumId w:val="72"/>
  </w:num>
  <w:num w:numId="106">
    <w:abstractNumId w:val="72"/>
  </w:num>
  <w:num w:numId="107">
    <w:abstractNumId w:val="95"/>
  </w:num>
  <w:num w:numId="108">
    <w:abstractNumId w:val="83"/>
  </w:num>
  <w:num w:numId="109">
    <w:abstractNumId w:val="19"/>
  </w:num>
  <w:num w:numId="110">
    <w:abstractNumId w:val="65"/>
  </w:num>
  <w:num w:numId="111">
    <w:abstractNumId w:val="51"/>
  </w:num>
  <w:num w:numId="1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documentProtection w:edit="readOnly"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2CF"/>
    <w:rsid w:val="000006E3"/>
    <w:rsid w:val="00001C83"/>
    <w:rsid w:val="00001D34"/>
    <w:rsid w:val="00002A51"/>
    <w:rsid w:val="00004BA4"/>
    <w:rsid w:val="00004E6B"/>
    <w:rsid w:val="000064CC"/>
    <w:rsid w:val="00006A20"/>
    <w:rsid w:val="0000713E"/>
    <w:rsid w:val="0000740D"/>
    <w:rsid w:val="00007910"/>
    <w:rsid w:val="00007BFA"/>
    <w:rsid w:val="00010904"/>
    <w:rsid w:val="00010F9A"/>
    <w:rsid w:val="00011434"/>
    <w:rsid w:val="00011F0B"/>
    <w:rsid w:val="00012D1F"/>
    <w:rsid w:val="00013089"/>
    <w:rsid w:val="00013745"/>
    <w:rsid w:val="000139D5"/>
    <w:rsid w:val="00014204"/>
    <w:rsid w:val="00014D09"/>
    <w:rsid w:val="00015013"/>
    <w:rsid w:val="0001598E"/>
    <w:rsid w:val="0001651D"/>
    <w:rsid w:val="00016A5C"/>
    <w:rsid w:val="00016AB5"/>
    <w:rsid w:val="00016AE0"/>
    <w:rsid w:val="00017F59"/>
    <w:rsid w:val="000210AC"/>
    <w:rsid w:val="000212A3"/>
    <w:rsid w:val="00022803"/>
    <w:rsid w:val="00022EE3"/>
    <w:rsid w:val="00024ACE"/>
    <w:rsid w:val="00025817"/>
    <w:rsid w:val="00031379"/>
    <w:rsid w:val="00031DFD"/>
    <w:rsid w:val="00032F47"/>
    <w:rsid w:val="00033701"/>
    <w:rsid w:val="000337E8"/>
    <w:rsid w:val="00033AA4"/>
    <w:rsid w:val="00033EAD"/>
    <w:rsid w:val="000344BF"/>
    <w:rsid w:val="0003451C"/>
    <w:rsid w:val="0003485E"/>
    <w:rsid w:val="00035054"/>
    <w:rsid w:val="00035509"/>
    <w:rsid w:val="00037207"/>
    <w:rsid w:val="00037722"/>
    <w:rsid w:val="00037924"/>
    <w:rsid w:val="00041385"/>
    <w:rsid w:val="0004160B"/>
    <w:rsid w:val="00042919"/>
    <w:rsid w:val="00042A23"/>
    <w:rsid w:val="00042C3E"/>
    <w:rsid w:val="00043308"/>
    <w:rsid w:val="000434A3"/>
    <w:rsid w:val="0004579C"/>
    <w:rsid w:val="000463D1"/>
    <w:rsid w:val="00046646"/>
    <w:rsid w:val="00046B23"/>
    <w:rsid w:val="000472CD"/>
    <w:rsid w:val="00047817"/>
    <w:rsid w:val="00047852"/>
    <w:rsid w:val="00047F05"/>
    <w:rsid w:val="00051251"/>
    <w:rsid w:val="00051B0E"/>
    <w:rsid w:val="00052828"/>
    <w:rsid w:val="00052A22"/>
    <w:rsid w:val="0005362C"/>
    <w:rsid w:val="00053CAD"/>
    <w:rsid w:val="00054383"/>
    <w:rsid w:val="00054741"/>
    <w:rsid w:val="0005519C"/>
    <w:rsid w:val="0005678A"/>
    <w:rsid w:val="00056D53"/>
    <w:rsid w:val="00057D7B"/>
    <w:rsid w:val="0006067C"/>
    <w:rsid w:val="00060A03"/>
    <w:rsid w:val="00060F79"/>
    <w:rsid w:val="000610CF"/>
    <w:rsid w:val="00061406"/>
    <w:rsid w:val="00062DA1"/>
    <w:rsid w:val="00064F2D"/>
    <w:rsid w:val="00065180"/>
    <w:rsid w:val="00065426"/>
    <w:rsid w:val="0006569B"/>
    <w:rsid w:val="0006689E"/>
    <w:rsid w:val="000669A5"/>
    <w:rsid w:val="00066ABA"/>
    <w:rsid w:val="00066E8D"/>
    <w:rsid w:val="000677A5"/>
    <w:rsid w:val="00071B6B"/>
    <w:rsid w:val="00074716"/>
    <w:rsid w:val="000747BC"/>
    <w:rsid w:val="00075703"/>
    <w:rsid w:val="000765AE"/>
    <w:rsid w:val="00076EB3"/>
    <w:rsid w:val="000771A4"/>
    <w:rsid w:val="00077396"/>
    <w:rsid w:val="00077854"/>
    <w:rsid w:val="00080DB1"/>
    <w:rsid w:val="00081F8B"/>
    <w:rsid w:val="0008394A"/>
    <w:rsid w:val="0008419D"/>
    <w:rsid w:val="00084A45"/>
    <w:rsid w:val="00085647"/>
    <w:rsid w:val="0008574A"/>
    <w:rsid w:val="00086877"/>
    <w:rsid w:val="00087A20"/>
    <w:rsid w:val="00090867"/>
    <w:rsid w:val="00090FCB"/>
    <w:rsid w:val="00091235"/>
    <w:rsid w:val="000917AA"/>
    <w:rsid w:val="00091BE7"/>
    <w:rsid w:val="000929F1"/>
    <w:rsid w:val="000932C2"/>
    <w:rsid w:val="0009366F"/>
    <w:rsid w:val="00093752"/>
    <w:rsid w:val="00094654"/>
    <w:rsid w:val="00095524"/>
    <w:rsid w:val="00095F0C"/>
    <w:rsid w:val="0009742C"/>
    <w:rsid w:val="00097679"/>
    <w:rsid w:val="00097B37"/>
    <w:rsid w:val="000A0B20"/>
    <w:rsid w:val="000A1E1A"/>
    <w:rsid w:val="000A25AA"/>
    <w:rsid w:val="000A2F66"/>
    <w:rsid w:val="000A31CC"/>
    <w:rsid w:val="000A32C6"/>
    <w:rsid w:val="000A3416"/>
    <w:rsid w:val="000A381F"/>
    <w:rsid w:val="000A3D51"/>
    <w:rsid w:val="000A3DD3"/>
    <w:rsid w:val="000A4141"/>
    <w:rsid w:val="000A795E"/>
    <w:rsid w:val="000A7AFB"/>
    <w:rsid w:val="000B048C"/>
    <w:rsid w:val="000B05B7"/>
    <w:rsid w:val="000B1118"/>
    <w:rsid w:val="000B17D1"/>
    <w:rsid w:val="000B1E6E"/>
    <w:rsid w:val="000B29A9"/>
    <w:rsid w:val="000B2B0B"/>
    <w:rsid w:val="000B3682"/>
    <w:rsid w:val="000B3D99"/>
    <w:rsid w:val="000B404C"/>
    <w:rsid w:val="000B43FD"/>
    <w:rsid w:val="000B48B7"/>
    <w:rsid w:val="000B5FFA"/>
    <w:rsid w:val="000B71B9"/>
    <w:rsid w:val="000B73C4"/>
    <w:rsid w:val="000B7461"/>
    <w:rsid w:val="000B7E9C"/>
    <w:rsid w:val="000C019D"/>
    <w:rsid w:val="000C0A71"/>
    <w:rsid w:val="000C0B67"/>
    <w:rsid w:val="000C1420"/>
    <w:rsid w:val="000C40FB"/>
    <w:rsid w:val="000C428F"/>
    <w:rsid w:val="000C47C1"/>
    <w:rsid w:val="000C5716"/>
    <w:rsid w:val="000C5B22"/>
    <w:rsid w:val="000C6509"/>
    <w:rsid w:val="000C67F0"/>
    <w:rsid w:val="000C774E"/>
    <w:rsid w:val="000D13E1"/>
    <w:rsid w:val="000D1D3C"/>
    <w:rsid w:val="000D2175"/>
    <w:rsid w:val="000D2AAD"/>
    <w:rsid w:val="000D2FE8"/>
    <w:rsid w:val="000D40DA"/>
    <w:rsid w:val="000D5BF5"/>
    <w:rsid w:val="000D6378"/>
    <w:rsid w:val="000D7A35"/>
    <w:rsid w:val="000E0953"/>
    <w:rsid w:val="000E0A3F"/>
    <w:rsid w:val="000E2DE5"/>
    <w:rsid w:val="000E3B90"/>
    <w:rsid w:val="000E47EC"/>
    <w:rsid w:val="000E57B7"/>
    <w:rsid w:val="000E64B6"/>
    <w:rsid w:val="000E6BA7"/>
    <w:rsid w:val="000E7851"/>
    <w:rsid w:val="000E7C6A"/>
    <w:rsid w:val="000E7EC5"/>
    <w:rsid w:val="000F0DD4"/>
    <w:rsid w:val="000F1A0C"/>
    <w:rsid w:val="000F1C5C"/>
    <w:rsid w:val="000F26BE"/>
    <w:rsid w:val="000F2950"/>
    <w:rsid w:val="000F2BE5"/>
    <w:rsid w:val="000F3667"/>
    <w:rsid w:val="000F3849"/>
    <w:rsid w:val="000F4270"/>
    <w:rsid w:val="000F54F8"/>
    <w:rsid w:val="000F6B91"/>
    <w:rsid w:val="000F6CBC"/>
    <w:rsid w:val="000F6E27"/>
    <w:rsid w:val="000F727D"/>
    <w:rsid w:val="001025B6"/>
    <w:rsid w:val="0010314D"/>
    <w:rsid w:val="00103F1F"/>
    <w:rsid w:val="00104A46"/>
    <w:rsid w:val="00105A09"/>
    <w:rsid w:val="00105B23"/>
    <w:rsid w:val="00106945"/>
    <w:rsid w:val="00106D00"/>
    <w:rsid w:val="00107A8E"/>
    <w:rsid w:val="00107E3C"/>
    <w:rsid w:val="00110467"/>
    <w:rsid w:val="00110503"/>
    <w:rsid w:val="00110E77"/>
    <w:rsid w:val="00111024"/>
    <w:rsid w:val="001119B3"/>
    <w:rsid w:val="00111A49"/>
    <w:rsid w:val="00111F72"/>
    <w:rsid w:val="001122B3"/>
    <w:rsid w:val="001122D3"/>
    <w:rsid w:val="00112630"/>
    <w:rsid w:val="00112FEA"/>
    <w:rsid w:val="0011358A"/>
    <w:rsid w:val="00113EE1"/>
    <w:rsid w:val="001145F8"/>
    <w:rsid w:val="00115731"/>
    <w:rsid w:val="00115C71"/>
    <w:rsid w:val="00115C8D"/>
    <w:rsid w:val="00116976"/>
    <w:rsid w:val="00116A4A"/>
    <w:rsid w:val="00116E1E"/>
    <w:rsid w:val="001223CA"/>
    <w:rsid w:val="00124648"/>
    <w:rsid w:val="00124B49"/>
    <w:rsid w:val="00125BDB"/>
    <w:rsid w:val="00125EB4"/>
    <w:rsid w:val="00126AA7"/>
    <w:rsid w:val="00126C31"/>
    <w:rsid w:val="00126CF5"/>
    <w:rsid w:val="00130DCC"/>
    <w:rsid w:val="0013176E"/>
    <w:rsid w:val="001318DA"/>
    <w:rsid w:val="00131E8B"/>
    <w:rsid w:val="00133370"/>
    <w:rsid w:val="0013343B"/>
    <w:rsid w:val="00133B13"/>
    <w:rsid w:val="0013510D"/>
    <w:rsid w:val="001356EE"/>
    <w:rsid w:val="00135F86"/>
    <w:rsid w:val="001363AC"/>
    <w:rsid w:val="00136FB2"/>
    <w:rsid w:val="001377DF"/>
    <w:rsid w:val="001403D3"/>
    <w:rsid w:val="00140F67"/>
    <w:rsid w:val="001412C7"/>
    <w:rsid w:val="0014263F"/>
    <w:rsid w:val="001430C2"/>
    <w:rsid w:val="00143CBE"/>
    <w:rsid w:val="00144A0E"/>
    <w:rsid w:val="001454C5"/>
    <w:rsid w:val="00150F08"/>
    <w:rsid w:val="00151493"/>
    <w:rsid w:val="001514E1"/>
    <w:rsid w:val="00151853"/>
    <w:rsid w:val="00151973"/>
    <w:rsid w:val="0015205E"/>
    <w:rsid w:val="00152891"/>
    <w:rsid w:val="00152A3E"/>
    <w:rsid w:val="00153340"/>
    <w:rsid w:val="001537DF"/>
    <w:rsid w:val="001552E0"/>
    <w:rsid w:val="00155C52"/>
    <w:rsid w:val="00155FCD"/>
    <w:rsid w:val="00156DE9"/>
    <w:rsid w:val="00157F20"/>
    <w:rsid w:val="0016036F"/>
    <w:rsid w:val="00160777"/>
    <w:rsid w:val="00160C72"/>
    <w:rsid w:val="00162B7E"/>
    <w:rsid w:val="00163F41"/>
    <w:rsid w:val="0016487D"/>
    <w:rsid w:val="00164941"/>
    <w:rsid w:val="00164B8D"/>
    <w:rsid w:val="00164E27"/>
    <w:rsid w:val="00165537"/>
    <w:rsid w:val="001662DD"/>
    <w:rsid w:val="001662E7"/>
    <w:rsid w:val="00166AB2"/>
    <w:rsid w:val="00170C6D"/>
    <w:rsid w:val="00172ADA"/>
    <w:rsid w:val="00172D5E"/>
    <w:rsid w:val="00173C7E"/>
    <w:rsid w:val="001744D3"/>
    <w:rsid w:val="001748FA"/>
    <w:rsid w:val="00175199"/>
    <w:rsid w:val="001757A5"/>
    <w:rsid w:val="00175A82"/>
    <w:rsid w:val="00176171"/>
    <w:rsid w:val="001773B3"/>
    <w:rsid w:val="001802D1"/>
    <w:rsid w:val="001807DB"/>
    <w:rsid w:val="0018150C"/>
    <w:rsid w:val="00183FEA"/>
    <w:rsid w:val="00184BAA"/>
    <w:rsid w:val="00184F3D"/>
    <w:rsid w:val="001856E2"/>
    <w:rsid w:val="00185FE2"/>
    <w:rsid w:val="0018632B"/>
    <w:rsid w:val="0018725C"/>
    <w:rsid w:val="00187BC9"/>
    <w:rsid w:val="00187F5C"/>
    <w:rsid w:val="001906A6"/>
    <w:rsid w:val="00190E62"/>
    <w:rsid w:val="001912E5"/>
    <w:rsid w:val="001917E1"/>
    <w:rsid w:val="0019197F"/>
    <w:rsid w:val="00192031"/>
    <w:rsid w:val="001920BC"/>
    <w:rsid w:val="00192401"/>
    <w:rsid w:val="00192B75"/>
    <w:rsid w:val="00192D03"/>
    <w:rsid w:val="00193336"/>
    <w:rsid w:val="00193C0D"/>
    <w:rsid w:val="00194619"/>
    <w:rsid w:val="00194C18"/>
    <w:rsid w:val="00194F68"/>
    <w:rsid w:val="001958B4"/>
    <w:rsid w:val="00196EE1"/>
    <w:rsid w:val="001A042A"/>
    <w:rsid w:val="001A0866"/>
    <w:rsid w:val="001A1698"/>
    <w:rsid w:val="001A1BA2"/>
    <w:rsid w:val="001A2091"/>
    <w:rsid w:val="001A4286"/>
    <w:rsid w:val="001A4567"/>
    <w:rsid w:val="001A48D3"/>
    <w:rsid w:val="001A585E"/>
    <w:rsid w:val="001A58D0"/>
    <w:rsid w:val="001A625C"/>
    <w:rsid w:val="001A6AED"/>
    <w:rsid w:val="001A6B94"/>
    <w:rsid w:val="001B01A3"/>
    <w:rsid w:val="001B06F9"/>
    <w:rsid w:val="001B1364"/>
    <w:rsid w:val="001B2264"/>
    <w:rsid w:val="001B2B8B"/>
    <w:rsid w:val="001B3DB0"/>
    <w:rsid w:val="001B44D8"/>
    <w:rsid w:val="001B46F3"/>
    <w:rsid w:val="001B4765"/>
    <w:rsid w:val="001B64DC"/>
    <w:rsid w:val="001B78DC"/>
    <w:rsid w:val="001B7B97"/>
    <w:rsid w:val="001B7D8F"/>
    <w:rsid w:val="001B7FEF"/>
    <w:rsid w:val="001C14BD"/>
    <w:rsid w:val="001C154B"/>
    <w:rsid w:val="001C16D4"/>
    <w:rsid w:val="001C2964"/>
    <w:rsid w:val="001C54F7"/>
    <w:rsid w:val="001C58DB"/>
    <w:rsid w:val="001C6046"/>
    <w:rsid w:val="001C77B4"/>
    <w:rsid w:val="001D0AE8"/>
    <w:rsid w:val="001D18C9"/>
    <w:rsid w:val="001D3664"/>
    <w:rsid w:val="001D5354"/>
    <w:rsid w:val="001D56B2"/>
    <w:rsid w:val="001D583C"/>
    <w:rsid w:val="001D585B"/>
    <w:rsid w:val="001D5DB3"/>
    <w:rsid w:val="001D5E5A"/>
    <w:rsid w:val="001D6411"/>
    <w:rsid w:val="001D6B42"/>
    <w:rsid w:val="001D6C00"/>
    <w:rsid w:val="001D6DD8"/>
    <w:rsid w:val="001D6FBC"/>
    <w:rsid w:val="001E1A48"/>
    <w:rsid w:val="001E1EED"/>
    <w:rsid w:val="001E24FF"/>
    <w:rsid w:val="001E2ED7"/>
    <w:rsid w:val="001E3FED"/>
    <w:rsid w:val="001E4042"/>
    <w:rsid w:val="001E4316"/>
    <w:rsid w:val="001E44C8"/>
    <w:rsid w:val="001E46E8"/>
    <w:rsid w:val="001E4D9F"/>
    <w:rsid w:val="001E56D1"/>
    <w:rsid w:val="001E600B"/>
    <w:rsid w:val="001E6492"/>
    <w:rsid w:val="001E71AA"/>
    <w:rsid w:val="001F0427"/>
    <w:rsid w:val="001F08F0"/>
    <w:rsid w:val="001F1F61"/>
    <w:rsid w:val="001F24A9"/>
    <w:rsid w:val="001F36D2"/>
    <w:rsid w:val="001F56CC"/>
    <w:rsid w:val="001F7694"/>
    <w:rsid w:val="001F7EA6"/>
    <w:rsid w:val="00200B0D"/>
    <w:rsid w:val="002010C3"/>
    <w:rsid w:val="00201F98"/>
    <w:rsid w:val="002021A7"/>
    <w:rsid w:val="002022D3"/>
    <w:rsid w:val="00203212"/>
    <w:rsid w:val="002035B3"/>
    <w:rsid w:val="002045B4"/>
    <w:rsid w:val="00204AF3"/>
    <w:rsid w:val="0020521A"/>
    <w:rsid w:val="00205252"/>
    <w:rsid w:val="00207E29"/>
    <w:rsid w:val="002109C3"/>
    <w:rsid w:val="00210FAA"/>
    <w:rsid w:val="002111EF"/>
    <w:rsid w:val="002115E5"/>
    <w:rsid w:val="00212792"/>
    <w:rsid w:val="00212964"/>
    <w:rsid w:val="002129A9"/>
    <w:rsid w:val="0021340C"/>
    <w:rsid w:val="002134B1"/>
    <w:rsid w:val="00213DBF"/>
    <w:rsid w:val="002144F1"/>
    <w:rsid w:val="00214E2E"/>
    <w:rsid w:val="00214E8E"/>
    <w:rsid w:val="00214FFD"/>
    <w:rsid w:val="00215939"/>
    <w:rsid w:val="00215C86"/>
    <w:rsid w:val="00216DEF"/>
    <w:rsid w:val="00217EF5"/>
    <w:rsid w:val="00220BAE"/>
    <w:rsid w:val="00220E46"/>
    <w:rsid w:val="00220EA9"/>
    <w:rsid w:val="0022108C"/>
    <w:rsid w:val="00221514"/>
    <w:rsid w:val="00221AAF"/>
    <w:rsid w:val="00222641"/>
    <w:rsid w:val="00222D22"/>
    <w:rsid w:val="002230BB"/>
    <w:rsid w:val="00225025"/>
    <w:rsid w:val="00225D18"/>
    <w:rsid w:val="00225F69"/>
    <w:rsid w:val="00227363"/>
    <w:rsid w:val="002309DF"/>
    <w:rsid w:val="00230E7E"/>
    <w:rsid w:val="00232311"/>
    <w:rsid w:val="00232735"/>
    <w:rsid w:val="00233FA3"/>
    <w:rsid w:val="0023520B"/>
    <w:rsid w:val="00235374"/>
    <w:rsid w:val="0023542D"/>
    <w:rsid w:val="00237125"/>
    <w:rsid w:val="00240A2F"/>
    <w:rsid w:val="00240EBC"/>
    <w:rsid w:val="00240F11"/>
    <w:rsid w:val="002411EA"/>
    <w:rsid w:val="0024140D"/>
    <w:rsid w:val="002419AD"/>
    <w:rsid w:val="002419F5"/>
    <w:rsid w:val="00241C88"/>
    <w:rsid w:val="00242CA8"/>
    <w:rsid w:val="00243784"/>
    <w:rsid w:val="00244306"/>
    <w:rsid w:val="0024480A"/>
    <w:rsid w:val="00244AC4"/>
    <w:rsid w:val="00245184"/>
    <w:rsid w:val="00245C00"/>
    <w:rsid w:val="00246D46"/>
    <w:rsid w:val="00246EED"/>
    <w:rsid w:val="0024776B"/>
    <w:rsid w:val="002477EA"/>
    <w:rsid w:val="002478BD"/>
    <w:rsid w:val="00250448"/>
    <w:rsid w:val="002506B1"/>
    <w:rsid w:val="00250A42"/>
    <w:rsid w:val="00251E0D"/>
    <w:rsid w:val="00252141"/>
    <w:rsid w:val="002530F8"/>
    <w:rsid w:val="0025348F"/>
    <w:rsid w:val="00253E20"/>
    <w:rsid w:val="00254155"/>
    <w:rsid w:val="00254372"/>
    <w:rsid w:val="0025588B"/>
    <w:rsid w:val="002559FB"/>
    <w:rsid w:val="00255EC2"/>
    <w:rsid w:val="00256951"/>
    <w:rsid w:val="0025746D"/>
    <w:rsid w:val="002602C4"/>
    <w:rsid w:val="00260629"/>
    <w:rsid w:val="00260B7D"/>
    <w:rsid w:val="00261676"/>
    <w:rsid w:val="00261A06"/>
    <w:rsid w:val="00261BD3"/>
    <w:rsid w:val="00261EAE"/>
    <w:rsid w:val="00261F15"/>
    <w:rsid w:val="002629C4"/>
    <w:rsid w:val="00263420"/>
    <w:rsid w:val="00263517"/>
    <w:rsid w:val="0026412D"/>
    <w:rsid w:val="00264226"/>
    <w:rsid w:val="0026507E"/>
    <w:rsid w:val="002660ED"/>
    <w:rsid w:val="002664A0"/>
    <w:rsid w:val="00266EF8"/>
    <w:rsid w:val="00267B2D"/>
    <w:rsid w:val="00267BE0"/>
    <w:rsid w:val="0027057B"/>
    <w:rsid w:val="002711E8"/>
    <w:rsid w:val="00271565"/>
    <w:rsid w:val="00271C7A"/>
    <w:rsid w:val="002722B7"/>
    <w:rsid w:val="002745F2"/>
    <w:rsid w:val="00274B6D"/>
    <w:rsid w:val="00274C60"/>
    <w:rsid w:val="002754B9"/>
    <w:rsid w:val="00275F94"/>
    <w:rsid w:val="0027693E"/>
    <w:rsid w:val="00276A00"/>
    <w:rsid w:val="00281401"/>
    <w:rsid w:val="00281515"/>
    <w:rsid w:val="00281709"/>
    <w:rsid w:val="002820DA"/>
    <w:rsid w:val="00282315"/>
    <w:rsid w:val="00282A96"/>
    <w:rsid w:val="00283192"/>
    <w:rsid w:val="0028400F"/>
    <w:rsid w:val="00285023"/>
    <w:rsid w:val="00285B77"/>
    <w:rsid w:val="00287C4D"/>
    <w:rsid w:val="00290200"/>
    <w:rsid w:val="0029048A"/>
    <w:rsid w:val="002915C2"/>
    <w:rsid w:val="002918AA"/>
    <w:rsid w:val="0029238A"/>
    <w:rsid w:val="00292AFC"/>
    <w:rsid w:val="0029323A"/>
    <w:rsid w:val="002933FD"/>
    <w:rsid w:val="002939EC"/>
    <w:rsid w:val="002947B3"/>
    <w:rsid w:val="002949C6"/>
    <w:rsid w:val="00294C28"/>
    <w:rsid w:val="00295ABE"/>
    <w:rsid w:val="002960F3"/>
    <w:rsid w:val="00297176"/>
    <w:rsid w:val="002A02CC"/>
    <w:rsid w:val="002A152C"/>
    <w:rsid w:val="002A160F"/>
    <w:rsid w:val="002A1729"/>
    <w:rsid w:val="002A1892"/>
    <w:rsid w:val="002A1BEF"/>
    <w:rsid w:val="002A1DEE"/>
    <w:rsid w:val="002A2D48"/>
    <w:rsid w:val="002A3D39"/>
    <w:rsid w:val="002A4171"/>
    <w:rsid w:val="002A61A4"/>
    <w:rsid w:val="002A63A6"/>
    <w:rsid w:val="002A7344"/>
    <w:rsid w:val="002A78FB"/>
    <w:rsid w:val="002A7FB4"/>
    <w:rsid w:val="002B06AB"/>
    <w:rsid w:val="002B1ECB"/>
    <w:rsid w:val="002B2A19"/>
    <w:rsid w:val="002B3BC7"/>
    <w:rsid w:val="002B3D05"/>
    <w:rsid w:val="002B4107"/>
    <w:rsid w:val="002B4A06"/>
    <w:rsid w:val="002B6CAB"/>
    <w:rsid w:val="002B71BB"/>
    <w:rsid w:val="002B75E3"/>
    <w:rsid w:val="002C047B"/>
    <w:rsid w:val="002C0CEB"/>
    <w:rsid w:val="002C140A"/>
    <w:rsid w:val="002C3B05"/>
    <w:rsid w:val="002C3CC9"/>
    <w:rsid w:val="002C49BB"/>
    <w:rsid w:val="002C575F"/>
    <w:rsid w:val="002C5975"/>
    <w:rsid w:val="002C654B"/>
    <w:rsid w:val="002C7132"/>
    <w:rsid w:val="002D0A49"/>
    <w:rsid w:val="002D3E58"/>
    <w:rsid w:val="002D4035"/>
    <w:rsid w:val="002D53ED"/>
    <w:rsid w:val="002D5618"/>
    <w:rsid w:val="002D5B90"/>
    <w:rsid w:val="002D6459"/>
    <w:rsid w:val="002D662E"/>
    <w:rsid w:val="002D6F65"/>
    <w:rsid w:val="002D7650"/>
    <w:rsid w:val="002E027D"/>
    <w:rsid w:val="002E056C"/>
    <w:rsid w:val="002E288E"/>
    <w:rsid w:val="002E413F"/>
    <w:rsid w:val="002E5B20"/>
    <w:rsid w:val="002E7BED"/>
    <w:rsid w:val="002F1337"/>
    <w:rsid w:val="002F1BED"/>
    <w:rsid w:val="002F1FCE"/>
    <w:rsid w:val="002F2112"/>
    <w:rsid w:val="002F261E"/>
    <w:rsid w:val="002F26AA"/>
    <w:rsid w:val="002F2988"/>
    <w:rsid w:val="002F29DE"/>
    <w:rsid w:val="002F32F4"/>
    <w:rsid w:val="002F3575"/>
    <w:rsid w:val="002F377F"/>
    <w:rsid w:val="002F3A4A"/>
    <w:rsid w:val="002F4D16"/>
    <w:rsid w:val="002F6792"/>
    <w:rsid w:val="0030110A"/>
    <w:rsid w:val="0030291B"/>
    <w:rsid w:val="00305B8C"/>
    <w:rsid w:val="00306C98"/>
    <w:rsid w:val="00306F51"/>
    <w:rsid w:val="00307986"/>
    <w:rsid w:val="003079FF"/>
    <w:rsid w:val="00307D22"/>
    <w:rsid w:val="003103F7"/>
    <w:rsid w:val="00314D97"/>
    <w:rsid w:val="00315962"/>
    <w:rsid w:val="00315CCD"/>
    <w:rsid w:val="00315EBC"/>
    <w:rsid w:val="0031677A"/>
    <w:rsid w:val="003167C5"/>
    <w:rsid w:val="00317067"/>
    <w:rsid w:val="00317CAD"/>
    <w:rsid w:val="00317FF1"/>
    <w:rsid w:val="003209C9"/>
    <w:rsid w:val="00321B32"/>
    <w:rsid w:val="00321C9F"/>
    <w:rsid w:val="003233AE"/>
    <w:rsid w:val="0032460E"/>
    <w:rsid w:val="003248C4"/>
    <w:rsid w:val="00324B44"/>
    <w:rsid w:val="00325553"/>
    <w:rsid w:val="00325E25"/>
    <w:rsid w:val="0032612D"/>
    <w:rsid w:val="00327C16"/>
    <w:rsid w:val="00330627"/>
    <w:rsid w:val="003307B7"/>
    <w:rsid w:val="003308C9"/>
    <w:rsid w:val="00330C54"/>
    <w:rsid w:val="00331812"/>
    <w:rsid w:val="0033306F"/>
    <w:rsid w:val="003331E2"/>
    <w:rsid w:val="0033348A"/>
    <w:rsid w:val="0033375C"/>
    <w:rsid w:val="003339A8"/>
    <w:rsid w:val="00334A21"/>
    <w:rsid w:val="00334CB3"/>
    <w:rsid w:val="0033525D"/>
    <w:rsid w:val="003369A4"/>
    <w:rsid w:val="00336B78"/>
    <w:rsid w:val="00337D6F"/>
    <w:rsid w:val="00340BF8"/>
    <w:rsid w:val="00341579"/>
    <w:rsid w:val="003416A7"/>
    <w:rsid w:val="00341758"/>
    <w:rsid w:val="0034191D"/>
    <w:rsid w:val="0034205B"/>
    <w:rsid w:val="00342409"/>
    <w:rsid w:val="003425A0"/>
    <w:rsid w:val="00342BD5"/>
    <w:rsid w:val="00343145"/>
    <w:rsid w:val="00343828"/>
    <w:rsid w:val="00343993"/>
    <w:rsid w:val="00343A67"/>
    <w:rsid w:val="0034512A"/>
    <w:rsid w:val="00345474"/>
    <w:rsid w:val="00345A67"/>
    <w:rsid w:val="00345A8A"/>
    <w:rsid w:val="00345AB3"/>
    <w:rsid w:val="00345C8A"/>
    <w:rsid w:val="00346E69"/>
    <w:rsid w:val="003473EF"/>
    <w:rsid w:val="00347E6E"/>
    <w:rsid w:val="003502C5"/>
    <w:rsid w:val="00351625"/>
    <w:rsid w:val="003528BC"/>
    <w:rsid w:val="00352BBB"/>
    <w:rsid w:val="00353DD3"/>
    <w:rsid w:val="003542B5"/>
    <w:rsid w:val="003547AA"/>
    <w:rsid w:val="00354EFB"/>
    <w:rsid w:val="003556B4"/>
    <w:rsid w:val="00356E69"/>
    <w:rsid w:val="00356FA4"/>
    <w:rsid w:val="00357AC3"/>
    <w:rsid w:val="00360C03"/>
    <w:rsid w:val="00361ECE"/>
    <w:rsid w:val="00362739"/>
    <w:rsid w:val="00362E25"/>
    <w:rsid w:val="00362F07"/>
    <w:rsid w:val="003647CF"/>
    <w:rsid w:val="003659B5"/>
    <w:rsid w:val="00365A8D"/>
    <w:rsid w:val="003668A5"/>
    <w:rsid w:val="00366AFE"/>
    <w:rsid w:val="00370CEC"/>
    <w:rsid w:val="00371313"/>
    <w:rsid w:val="00371619"/>
    <w:rsid w:val="0037269C"/>
    <w:rsid w:val="00372811"/>
    <w:rsid w:val="00372D5F"/>
    <w:rsid w:val="00375B2C"/>
    <w:rsid w:val="003764FC"/>
    <w:rsid w:val="00376EA7"/>
    <w:rsid w:val="003776BC"/>
    <w:rsid w:val="00377CE0"/>
    <w:rsid w:val="003809B4"/>
    <w:rsid w:val="00381391"/>
    <w:rsid w:val="00382FAE"/>
    <w:rsid w:val="00385DA2"/>
    <w:rsid w:val="003862DF"/>
    <w:rsid w:val="00387017"/>
    <w:rsid w:val="0038752B"/>
    <w:rsid w:val="00387669"/>
    <w:rsid w:val="00390518"/>
    <w:rsid w:val="003906EE"/>
    <w:rsid w:val="003915DA"/>
    <w:rsid w:val="003915FD"/>
    <w:rsid w:val="00391E87"/>
    <w:rsid w:val="00391F0A"/>
    <w:rsid w:val="0039202C"/>
    <w:rsid w:val="003922DC"/>
    <w:rsid w:val="0039276B"/>
    <w:rsid w:val="00392A32"/>
    <w:rsid w:val="00393404"/>
    <w:rsid w:val="00393A65"/>
    <w:rsid w:val="00394C99"/>
    <w:rsid w:val="00395F83"/>
    <w:rsid w:val="00396157"/>
    <w:rsid w:val="003971F5"/>
    <w:rsid w:val="003A00D7"/>
    <w:rsid w:val="003A13CE"/>
    <w:rsid w:val="003A146E"/>
    <w:rsid w:val="003A2389"/>
    <w:rsid w:val="003A26CF"/>
    <w:rsid w:val="003A32AC"/>
    <w:rsid w:val="003A54F8"/>
    <w:rsid w:val="003A6812"/>
    <w:rsid w:val="003A6D4A"/>
    <w:rsid w:val="003B00FD"/>
    <w:rsid w:val="003B0BD5"/>
    <w:rsid w:val="003B3046"/>
    <w:rsid w:val="003B3126"/>
    <w:rsid w:val="003B4078"/>
    <w:rsid w:val="003B47D0"/>
    <w:rsid w:val="003B4C8A"/>
    <w:rsid w:val="003B538F"/>
    <w:rsid w:val="003B5D46"/>
    <w:rsid w:val="003B6F94"/>
    <w:rsid w:val="003C09AE"/>
    <w:rsid w:val="003C1648"/>
    <w:rsid w:val="003C16C6"/>
    <w:rsid w:val="003C1A1C"/>
    <w:rsid w:val="003C1AA7"/>
    <w:rsid w:val="003C238B"/>
    <w:rsid w:val="003C337B"/>
    <w:rsid w:val="003C41B4"/>
    <w:rsid w:val="003C533F"/>
    <w:rsid w:val="003C57C2"/>
    <w:rsid w:val="003D0949"/>
    <w:rsid w:val="003D1550"/>
    <w:rsid w:val="003D259F"/>
    <w:rsid w:val="003D2B62"/>
    <w:rsid w:val="003D39EA"/>
    <w:rsid w:val="003D4517"/>
    <w:rsid w:val="003D460D"/>
    <w:rsid w:val="003D57FE"/>
    <w:rsid w:val="003D5E23"/>
    <w:rsid w:val="003D7D4A"/>
    <w:rsid w:val="003E0FDD"/>
    <w:rsid w:val="003E1B55"/>
    <w:rsid w:val="003E218F"/>
    <w:rsid w:val="003E240D"/>
    <w:rsid w:val="003E24D9"/>
    <w:rsid w:val="003E2691"/>
    <w:rsid w:val="003E3350"/>
    <w:rsid w:val="003E38B0"/>
    <w:rsid w:val="003E3EE2"/>
    <w:rsid w:val="003E4039"/>
    <w:rsid w:val="003E4915"/>
    <w:rsid w:val="003E4E07"/>
    <w:rsid w:val="003E632F"/>
    <w:rsid w:val="003E66BB"/>
    <w:rsid w:val="003E6FF9"/>
    <w:rsid w:val="003F0443"/>
    <w:rsid w:val="003F1B54"/>
    <w:rsid w:val="003F1CBC"/>
    <w:rsid w:val="003F2FFE"/>
    <w:rsid w:val="003F31E1"/>
    <w:rsid w:val="003F3C59"/>
    <w:rsid w:val="003F5D95"/>
    <w:rsid w:val="003F61FA"/>
    <w:rsid w:val="003F6532"/>
    <w:rsid w:val="003F68E4"/>
    <w:rsid w:val="003F7344"/>
    <w:rsid w:val="003F7686"/>
    <w:rsid w:val="004035B4"/>
    <w:rsid w:val="00403E40"/>
    <w:rsid w:val="00403E90"/>
    <w:rsid w:val="004040E6"/>
    <w:rsid w:val="004050A5"/>
    <w:rsid w:val="00405E41"/>
    <w:rsid w:val="00406A3D"/>
    <w:rsid w:val="0040750C"/>
    <w:rsid w:val="00407772"/>
    <w:rsid w:val="00407C7C"/>
    <w:rsid w:val="00410372"/>
    <w:rsid w:val="00410897"/>
    <w:rsid w:val="004108C1"/>
    <w:rsid w:val="00410C5C"/>
    <w:rsid w:val="00411168"/>
    <w:rsid w:val="0041129F"/>
    <w:rsid w:val="00414348"/>
    <w:rsid w:val="00414E37"/>
    <w:rsid w:val="00414FA9"/>
    <w:rsid w:val="004150F6"/>
    <w:rsid w:val="00415B20"/>
    <w:rsid w:val="004165E4"/>
    <w:rsid w:val="00416BCA"/>
    <w:rsid w:val="004179F7"/>
    <w:rsid w:val="0042031F"/>
    <w:rsid w:val="00420A95"/>
    <w:rsid w:val="00421174"/>
    <w:rsid w:val="00421A32"/>
    <w:rsid w:val="00422374"/>
    <w:rsid w:val="00422FD8"/>
    <w:rsid w:val="00424F76"/>
    <w:rsid w:val="0042506B"/>
    <w:rsid w:val="0042507B"/>
    <w:rsid w:val="00425317"/>
    <w:rsid w:val="00425D9F"/>
    <w:rsid w:val="0042644C"/>
    <w:rsid w:val="00430786"/>
    <w:rsid w:val="004313B7"/>
    <w:rsid w:val="00431AD9"/>
    <w:rsid w:val="00432A60"/>
    <w:rsid w:val="00432EC5"/>
    <w:rsid w:val="004343F5"/>
    <w:rsid w:val="00434676"/>
    <w:rsid w:val="00434B1E"/>
    <w:rsid w:val="00434D52"/>
    <w:rsid w:val="00440761"/>
    <w:rsid w:val="00440CCA"/>
    <w:rsid w:val="00440FB7"/>
    <w:rsid w:val="004415EB"/>
    <w:rsid w:val="00441DF5"/>
    <w:rsid w:val="00442579"/>
    <w:rsid w:val="00442728"/>
    <w:rsid w:val="004430A8"/>
    <w:rsid w:val="004436CF"/>
    <w:rsid w:val="00443817"/>
    <w:rsid w:val="004444FD"/>
    <w:rsid w:val="00444977"/>
    <w:rsid w:val="00444F8C"/>
    <w:rsid w:val="00445217"/>
    <w:rsid w:val="00447637"/>
    <w:rsid w:val="004476C3"/>
    <w:rsid w:val="00447751"/>
    <w:rsid w:val="00447993"/>
    <w:rsid w:val="00447F5C"/>
    <w:rsid w:val="004503EB"/>
    <w:rsid w:val="00450A13"/>
    <w:rsid w:val="004517A7"/>
    <w:rsid w:val="004530E1"/>
    <w:rsid w:val="00453BA1"/>
    <w:rsid w:val="00453CE0"/>
    <w:rsid w:val="0045463D"/>
    <w:rsid w:val="00454E79"/>
    <w:rsid w:val="00454F11"/>
    <w:rsid w:val="004556AB"/>
    <w:rsid w:val="004557C3"/>
    <w:rsid w:val="00455B50"/>
    <w:rsid w:val="00455E78"/>
    <w:rsid w:val="004566C7"/>
    <w:rsid w:val="004567E9"/>
    <w:rsid w:val="00456EF6"/>
    <w:rsid w:val="00457431"/>
    <w:rsid w:val="00457CAE"/>
    <w:rsid w:val="00457E9C"/>
    <w:rsid w:val="004602C7"/>
    <w:rsid w:val="00461059"/>
    <w:rsid w:val="004617B8"/>
    <w:rsid w:val="00461A34"/>
    <w:rsid w:val="00462209"/>
    <w:rsid w:val="00462552"/>
    <w:rsid w:val="00463127"/>
    <w:rsid w:val="00463B1E"/>
    <w:rsid w:val="00463F0C"/>
    <w:rsid w:val="00463F1F"/>
    <w:rsid w:val="004640B2"/>
    <w:rsid w:val="00467630"/>
    <w:rsid w:val="00470AB5"/>
    <w:rsid w:val="00470C13"/>
    <w:rsid w:val="00471DF0"/>
    <w:rsid w:val="00471E34"/>
    <w:rsid w:val="00471EF8"/>
    <w:rsid w:val="004723EB"/>
    <w:rsid w:val="004724AF"/>
    <w:rsid w:val="00472E3F"/>
    <w:rsid w:val="00473177"/>
    <w:rsid w:val="00473AAA"/>
    <w:rsid w:val="0048018E"/>
    <w:rsid w:val="00480E02"/>
    <w:rsid w:val="0048259D"/>
    <w:rsid w:val="00482912"/>
    <w:rsid w:val="004829B2"/>
    <w:rsid w:val="00483373"/>
    <w:rsid w:val="004838DC"/>
    <w:rsid w:val="0048393E"/>
    <w:rsid w:val="00483F71"/>
    <w:rsid w:val="00484947"/>
    <w:rsid w:val="00485043"/>
    <w:rsid w:val="004873B2"/>
    <w:rsid w:val="004879EB"/>
    <w:rsid w:val="00490173"/>
    <w:rsid w:val="004901D7"/>
    <w:rsid w:val="004901F6"/>
    <w:rsid w:val="00490395"/>
    <w:rsid w:val="00490D5D"/>
    <w:rsid w:val="00491157"/>
    <w:rsid w:val="00491B07"/>
    <w:rsid w:val="00491DB7"/>
    <w:rsid w:val="00492F69"/>
    <w:rsid w:val="00493CF1"/>
    <w:rsid w:val="00493F95"/>
    <w:rsid w:val="00493FE8"/>
    <w:rsid w:val="004942EC"/>
    <w:rsid w:val="0049452E"/>
    <w:rsid w:val="004948F8"/>
    <w:rsid w:val="00494F47"/>
    <w:rsid w:val="00496361"/>
    <w:rsid w:val="0049641D"/>
    <w:rsid w:val="004965FA"/>
    <w:rsid w:val="00496963"/>
    <w:rsid w:val="004A1C5B"/>
    <w:rsid w:val="004A3399"/>
    <w:rsid w:val="004A3547"/>
    <w:rsid w:val="004A38CF"/>
    <w:rsid w:val="004A4473"/>
    <w:rsid w:val="004A4C3D"/>
    <w:rsid w:val="004A51AB"/>
    <w:rsid w:val="004A5F4D"/>
    <w:rsid w:val="004A73AB"/>
    <w:rsid w:val="004A7472"/>
    <w:rsid w:val="004B17B0"/>
    <w:rsid w:val="004B2858"/>
    <w:rsid w:val="004B3301"/>
    <w:rsid w:val="004B350D"/>
    <w:rsid w:val="004B3E87"/>
    <w:rsid w:val="004B4080"/>
    <w:rsid w:val="004B590E"/>
    <w:rsid w:val="004B6B3E"/>
    <w:rsid w:val="004B7385"/>
    <w:rsid w:val="004B73C5"/>
    <w:rsid w:val="004B76D4"/>
    <w:rsid w:val="004B76E6"/>
    <w:rsid w:val="004B7C18"/>
    <w:rsid w:val="004C08D4"/>
    <w:rsid w:val="004C177A"/>
    <w:rsid w:val="004C259A"/>
    <w:rsid w:val="004C27DF"/>
    <w:rsid w:val="004C382F"/>
    <w:rsid w:val="004C5740"/>
    <w:rsid w:val="004C5903"/>
    <w:rsid w:val="004C5EA4"/>
    <w:rsid w:val="004C5FB0"/>
    <w:rsid w:val="004C69F9"/>
    <w:rsid w:val="004C738A"/>
    <w:rsid w:val="004D0527"/>
    <w:rsid w:val="004D064A"/>
    <w:rsid w:val="004D1A76"/>
    <w:rsid w:val="004D1EEB"/>
    <w:rsid w:val="004D40B5"/>
    <w:rsid w:val="004D4768"/>
    <w:rsid w:val="004D4DE9"/>
    <w:rsid w:val="004D4F60"/>
    <w:rsid w:val="004D506A"/>
    <w:rsid w:val="004D5BE3"/>
    <w:rsid w:val="004D63BB"/>
    <w:rsid w:val="004D7064"/>
    <w:rsid w:val="004D724C"/>
    <w:rsid w:val="004D76ED"/>
    <w:rsid w:val="004D7FC7"/>
    <w:rsid w:val="004E02CD"/>
    <w:rsid w:val="004E14A2"/>
    <w:rsid w:val="004E16AF"/>
    <w:rsid w:val="004E20F4"/>
    <w:rsid w:val="004E2B62"/>
    <w:rsid w:val="004E2DE6"/>
    <w:rsid w:val="004E3310"/>
    <w:rsid w:val="004E40D4"/>
    <w:rsid w:val="004E4716"/>
    <w:rsid w:val="004E4CAD"/>
    <w:rsid w:val="004E5177"/>
    <w:rsid w:val="004E5C10"/>
    <w:rsid w:val="004E6850"/>
    <w:rsid w:val="004F0987"/>
    <w:rsid w:val="004F0E21"/>
    <w:rsid w:val="004F0EA1"/>
    <w:rsid w:val="004F1FAF"/>
    <w:rsid w:val="004F2A16"/>
    <w:rsid w:val="004F34DC"/>
    <w:rsid w:val="004F3808"/>
    <w:rsid w:val="004F39A8"/>
    <w:rsid w:val="004F3AE8"/>
    <w:rsid w:val="004F3FB3"/>
    <w:rsid w:val="004F5162"/>
    <w:rsid w:val="004F554A"/>
    <w:rsid w:val="004F621C"/>
    <w:rsid w:val="004F6A49"/>
    <w:rsid w:val="004F6CE6"/>
    <w:rsid w:val="004F72E6"/>
    <w:rsid w:val="00500E30"/>
    <w:rsid w:val="0050133F"/>
    <w:rsid w:val="0050166D"/>
    <w:rsid w:val="0050183D"/>
    <w:rsid w:val="005024ED"/>
    <w:rsid w:val="00502892"/>
    <w:rsid w:val="0050362A"/>
    <w:rsid w:val="00503A30"/>
    <w:rsid w:val="00504D15"/>
    <w:rsid w:val="00505DAF"/>
    <w:rsid w:val="00506659"/>
    <w:rsid w:val="00506859"/>
    <w:rsid w:val="00506FB0"/>
    <w:rsid w:val="00510B92"/>
    <w:rsid w:val="00511013"/>
    <w:rsid w:val="005118BB"/>
    <w:rsid w:val="005118F2"/>
    <w:rsid w:val="00511CA6"/>
    <w:rsid w:val="00511F88"/>
    <w:rsid w:val="00512B41"/>
    <w:rsid w:val="005134FE"/>
    <w:rsid w:val="00513974"/>
    <w:rsid w:val="00513BC5"/>
    <w:rsid w:val="00514248"/>
    <w:rsid w:val="00514936"/>
    <w:rsid w:val="0051579B"/>
    <w:rsid w:val="00515A32"/>
    <w:rsid w:val="00515BCA"/>
    <w:rsid w:val="0051606B"/>
    <w:rsid w:val="00516303"/>
    <w:rsid w:val="005170B1"/>
    <w:rsid w:val="00517675"/>
    <w:rsid w:val="00517C9F"/>
    <w:rsid w:val="005202E5"/>
    <w:rsid w:val="00521FE5"/>
    <w:rsid w:val="00522528"/>
    <w:rsid w:val="00523EAB"/>
    <w:rsid w:val="00524D30"/>
    <w:rsid w:val="00525DC8"/>
    <w:rsid w:val="00525E9A"/>
    <w:rsid w:val="00526628"/>
    <w:rsid w:val="00527038"/>
    <w:rsid w:val="00527A14"/>
    <w:rsid w:val="0053073F"/>
    <w:rsid w:val="005320C4"/>
    <w:rsid w:val="00532630"/>
    <w:rsid w:val="00532850"/>
    <w:rsid w:val="00532AA9"/>
    <w:rsid w:val="00532AF9"/>
    <w:rsid w:val="0053333F"/>
    <w:rsid w:val="005336A7"/>
    <w:rsid w:val="0053589E"/>
    <w:rsid w:val="00535909"/>
    <w:rsid w:val="00536709"/>
    <w:rsid w:val="00536C29"/>
    <w:rsid w:val="00537AFA"/>
    <w:rsid w:val="00537D06"/>
    <w:rsid w:val="005410E5"/>
    <w:rsid w:val="00541C0D"/>
    <w:rsid w:val="00543303"/>
    <w:rsid w:val="00543321"/>
    <w:rsid w:val="00543E0C"/>
    <w:rsid w:val="0054738A"/>
    <w:rsid w:val="00547E0C"/>
    <w:rsid w:val="005507B9"/>
    <w:rsid w:val="00550B9F"/>
    <w:rsid w:val="00551B0F"/>
    <w:rsid w:val="00551B98"/>
    <w:rsid w:val="00551D89"/>
    <w:rsid w:val="00551FA6"/>
    <w:rsid w:val="00552C23"/>
    <w:rsid w:val="00553559"/>
    <w:rsid w:val="00553BBF"/>
    <w:rsid w:val="005547A1"/>
    <w:rsid w:val="0055674E"/>
    <w:rsid w:val="00556BAC"/>
    <w:rsid w:val="00557B54"/>
    <w:rsid w:val="00557D0A"/>
    <w:rsid w:val="00557F63"/>
    <w:rsid w:val="0056086B"/>
    <w:rsid w:val="00560BE2"/>
    <w:rsid w:val="00560C72"/>
    <w:rsid w:val="0056125D"/>
    <w:rsid w:val="0056166E"/>
    <w:rsid w:val="00561A00"/>
    <w:rsid w:val="00561C1B"/>
    <w:rsid w:val="00562CBA"/>
    <w:rsid w:val="00562FDE"/>
    <w:rsid w:val="00563307"/>
    <w:rsid w:val="00563C85"/>
    <w:rsid w:val="00563D51"/>
    <w:rsid w:val="00564316"/>
    <w:rsid w:val="005644BF"/>
    <w:rsid w:val="00564BAD"/>
    <w:rsid w:val="00564F20"/>
    <w:rsid w:val="0056559B"/>
    <w:rsid w:val="00565DC5"/>
    <w:rsid w:val="00566026"/>
    <w:rsid w:val="005660C9"/>
    <w:rsid w:val="00566CC3"/>
    <w:rsid w:val="00567A0E"/>
    <w:rsid w:val="00570BB7"/>
    <w:rsid w:val="00570E43"/>
    <w:rsid w:val="00572C6B"/>
    <w:rsid w:val="0057566D"/>
    <w:rsid w:val="00575DBD"/>
    <w:rsid w:val="00577575"/>
    <w:rsid w:val="005805E7"/>
    <w:rsid w:val="00580BE9"/>
    <w:rsid w:val="00582427"/>
    <w:rsid w:val="00582735"/>
    <w:rsid w:val="005828EF"/>
    <w:rsid w:val="00582BDB"/>
    <w:rsid w:val="005839F9"/>
    <w:rsid w:val="005843B2"/>
    <w:rsid w:val="00584435"/>
    <w:rsid w:val="00584B96"/>
    <w:rsid w:val="0058548C"/>
    <w:rsid w:val="0058589D"/>
    <w:rsid w:val="00585C13"/>
    <w:rsid w:val="00586B90"/>
    <w:rsid w:val="00586E75"/>
    <w:rsid w:val="0058723E"/>
    <w:rsid w:val="00587B26"/>
    <w:rsid w:val="00590634"/>
    <w:rsid w:val="00590858"/>
    <w:rsid w:val="0059133E"/>
    <w:rsid w:val="00591575"/>
    <w:rsid w:val="005915F9"/>
    <w:rsid w:val="00591E6B"/>
    <w:rsid w:val="00592FD5"/>
    <w:rsid w:val="0059309D"/>
    <w:rsid w:val="005954F9"/>
    <w:rsid w:val="00595F51"/>
    <w:rsid w:val="00596AE6"/>
    <w:rsid w:val="00596BC1"/>
    <w:rsid w:val="00596FB5"/>
    <w:rsid w:val="005A0621"/>
    <w:rsid w:val="005A2402"/>
    <w:rsid w:val="005A24B3"/>
    <w:rsid w:val="005A2A99"/>
    <w:rsid w:val="005A2FDC"/>
    <w:rsid w:val="005A3291"/>
    <w:rsid w:val="005A32CE"/>
    <w:rsid w:val="005A4D1B"/>
    <w:rsid w:val="005A5833"/>
    <w:rsid w:val="005B0197"/>
    <w:rsid w:val="005B085B"/>
    <w:rsid w:val="005B352A"/>
    <w:rsid w:val="005B3535"/>
    <w:rsid w:val="005B47C1"/>
    <w:rsid w:val="005B5860"/>
    <w:rsid w:val="005B5A56"/>
    <w:rsid w:val="005C15C8"/>
    <w:rsid w:val="005C1935"/>
    <w:rsid w:val="005C1DD5"/>
    <w:rsid w:val="005C2AA5"/>
    <w:rsid w:val="005C2B9F"/>
    <w:rsid w:val="005C3375"/>
    <w:rsid w:val="005C345A"/>
    <w:rsid w:val="005C34D0"/>
    <w:rsid w:val="005C40FC"/>
    <w:rsid w:val="005C4A17"/>
    <w:rsid w:val="005C4C99"/>
    <w:rsid w:val="005C52CC"/>
    <w:rsid w:val="005C55F7"/>
    <w:rsid w:val="005C74E7"/>
    <w:rsid w:val="005C76F0"/>
    <w:rsid w:val="005D00D4"/>
    <w:rsid w:val="005D0808"/>
    <w:rsid w:val="005D147D"/>
    <w:rsid w:val="005D1B45"/>
    <w:rsid w:val="005D1D86"/>
    <w:rsid w:val="005D1FF6"/>
    <w:rsid w:val="005D581C"/>
    <w:rsid w:val="005D5EFC"/>
    <w:rsid w:val="005E0470"/>
    <w:rsid w:val="005E04E1"/>
    <w:rsid w:val="005E084F"/>
    <w:rsid w:val="005E0A54"/>
    <w:rsid w:val="005E0A6E"/>
    <w:rsid w:val="005E2899"/>
    <w:rsid w:val="005E308D"/>
    <w:rsid w:val="005E3F04"/>
    <w:rsid w:val="005E42BA"/>
    <w:rsid w:val="005E685F"/>
    <w:rsid w:val="005E79C7"/>
    <w:rsid w:val="005E7CAF"/>
    <w:rsid w:val="005E7D58"/>
    <w:rsid w:val="005E7E37"/>
    <w:rsid w:val="005F0F25"/>
    <w:rsid w:val="005F200C"/>
    <w:rsid w:val="005F21CD"/>
    <w:rsid w:val="005F22D9"/>
    <w:rsid w:val="005F2456"/>
    <w:rsid w:val="005F284F"/>
    <w:rsid w:val="005F2B92"/>
    <w:rsid w:val="005F300E"/>
    <w:rsid w:val="005F3062"/>
    <w:rsid w:val="005F3BE6"/>
    <w:rsid w:val="005F3D47"/>
    <w:rsid w:val="005F4023"/>
    <w:rsid w:val="005F6D43"/>
    <w:rsid w:val="005F6EAB"/>
    <w:rsid w:val="005F6F91"/>
    <w:rsid w:val="005F788F"/>
    <w:rsid w:val="005F7963"/>
    <w:rsid w:val="005F7D40"/>
    <w:rsid w:val="00600C58"/>
    <w:rsid w:val="00601122"/>
    <w:rsid w:val="006011C0"/>
    <w:rsid w:val="00601B87"/>
    <w:rsid w:val="00601DD5"/>
    <w:rsid w:val="00601EFD"/>
    <w:rsid w:val="0060293B"/>
    <w:rsid w:val="006044F5"/>
    <w:rsid w:val="00604E56"/>
    <w:rsid w:val="00604EF9"/>
    <w:rsid w:val="006052F8"/>
    <w:rsid w:val="00606663"/>
    <w:rsid w:val="006074B9"/>
    <w:rsid w:val="00607611"/>
    <w:rsid w:val="00607A22"/>
    <w:rsid w:val="00610177"/>
    <w:rsid w:val="00610B1B"/>
    <w:rsid w:val="00610C08"/>
    <w:rsid w:val="00610CA1"/>
    <w:rsid w:val="0061134F"/>
    <w:rsid w:val="00612496"/>
    <w:rsid w:val="00612EAA"/>
    <w:rsid w:val="00613998"/>
    <w:rsid w:val="00613E92"/>
    <w:rsid w:val="0061403C"/>
    <w:rsid w:val="006148F9"/>
    <w:rsid w:val="0061525D"/>
    <w:rsid w:val="0061567A"/>
    <w:rsid w:val="00615A13"/>
    <w:rsid w:val="00615E39"/>
    <w:rsid w:val="00616D6F"/>
    <w:rsid w:val="00616F33"/>
    <w:rsid w:val="00617C67"/>
    <w:rsid w:val="00620116"/>
    <w:rsid w:val="006204B2"/>
    <w:rsid w:val="00620E54"/>
    <w:rsid w:val="006210EB"/>
    <w:rsid w:val="006218CB"/>
    <w:rsid w:val="006227CB"/>
    <w:rsid w:val="00622D3E"/>
    <w:rsid w:val="006230C0"/>
    <w:rsid w:val="006237F3"/>
    <w:rsid w:val="00623CAA"/>
    <w:rsid w:val="00625373"/>
    <w:rsid w:val="00625391"/>
    <w:rsid w:val="0062582C"/>
    <w:rsid w:val="00625BCA"/>
    <w:rsid w:val="00625F7B"/>
    <w:rsid w:val="0062651E"/>
    <w:rsid w:val="00626735"/>
    <w:rsid w:val="006275FA"/>
    <w:rsid w:val="006278DC"/>
    <w:rsid w:val="00632B55"/>
    <w:rsid w:val="00632B7B"/>
    <w:rsid w:val="00633377"/>
    <w:rsid w:val="00634606"/>
    <w:rsid w:val="00634C54"/>
    <w:rsid w:val="00636DEB"/>
    <w:rsid w:val="00640060"/>
    <w:rsid w:val="00640742"/>
    <w:rsid w:val="00640C4F"/>
    <w:rsid w:val="006418C3"/>
    <w:rsid w:val="00641B2C"/>
    <w:rsid w:val="00641CDD"/>
    <w:rsid w:val="00643762"/>
    <w:rsid w:val="00643837"/>
    <w:rsid w:val="00644C11"/>
    <w:rsid w:val="00644CC8"/>
    <w:rsid w:val="006460E7"/>
    <w:rsid w:val="006463BC"/>
    <w:rsid w:val="00646512"/>
    <w:rsid w:val="0064716E"/>
    <w:rsid w:val="006471E2"/>
    <w:rsid w:val="006473F9"/>
    <w:rsid w:val="00647784"/>
    <w:rsid w:val="00647C34"/>
    <w:rsid w:val="00651060"/>
    <w:rsid w:val="006511A9"/>
    <w:rsid w:val="006528F0"/>
    <w:rsid w:val="00652999"/>
    <w:rsid w:val="00653FB2"/>
    <w:rsid w:val="00654188"/>
    <w:rsid w:val="0065428D"/>
    <w:rsid w:val="006543DF"/>
    <w:rsid w:val="00654BD7"/>
    <w:rsid w:val="0065508C"/>
    <w:rsid w:val="00656958"/>
    <w:rsid w:val="00656DFC"/>
    <w:rsid w:val="0065702F"/>
    <w:rsid w:val="00657128"/>
    <w:rsid w:val="0065726F"/>
    <w:rsid w:val="0065733D"/>
    <w:rsid w:val="006575D8"/>
    <w:rsid w:val="00657B78"/>
    <w:rsid w:val="00660473"/>
    <w:rsid w:val="006610D1"/>
    <w:rsid w:val="00661C06"/>
    <w:rsid w:val="00661E6A"/>
    <w:rsid w:val="0066270B"/>
    <w:rsid w:val="00663982"/>
    <w:rsid w:val="00664D72"/>
    <w:rsid w:val="00665626"/>
    <w:rsid w:val="00665654"/>
    <w:rsid w:val="00665AEC"/>
    <w:rsid w:val="00665C7D"/>
    <w:rsid w:val="006665AB"/>
    <w:rsid w:val="00667439"/>
    <w:rsid w:val="0066785F"/>
    <w:rsid w:val="006711BC"/>
    <w:rsid w:val="00671600"/>
    <w:rsid w:val="00671754"/>
    <w:rsid w:val="00672B6D"/>
    <w:rsid w:val="00673934"/>
    <w:rsid w:val="00673EC7"/>
    <w:rsid w:val="00673EFB"/>
    <w:rsid w:val="006746B0"/>
    <w:rsid w:val="0067505D"/>
    <w:rsid w:val="006752AF"/>
    <w:rsid w:val="00675515"/>
    <w:rsid w:val="0067611E"/>
    <w:rsid w:val="00677160"/>
    <w:rsid w:val="0067781E"/>
    <w:rsid w:val="00680B4B"/>
    <w:rsid w:val="00681162"/>
    <w:rsid w:val="0068147B"/>
    <w:rsid w:val="006821C5"/>
    <w:rsid w:val="0068338C"/>
    <w:rsid w:val="00683586"/>
    <w:rsid w:val="00683D30"/>
    <w:rsid w:val="00683DD9"/>
    <w:rsid w:val="006854A5"/>
    <w:rsid w:val="006858CE"/>
    <w:rsid w:val="006861EF"/>
    <w:rsid w:val="006861F7"/>
    <w:rsid w:val="00686CE6"/>
    <w:rsid w:val="00686D51"/>
    <w:rsid w:val="006875FD"/>
    <w:rsid w:val="006907C2"/>
    <w:rsid w:val="00691047"/>
    <w:rsid w:val="0069232A"/>
    <w:rsid w:val="00694464"/>
    <w:rsid w:val="00694DF5"/>
    <w:rsid w:val="00695267"/>
    <w:rsid w:val="006956E0"/>
    <w:rsid w:val="00695A4A"/>
    <w:rsid w:val="00695B14"/>
    <w:rsid w:val="00695BEA"/>
    <w:rsid w:val="00697416"/>
    <w:rsid w:val="006A05E6"/>
    <w:rsid w:val="006A1361"/>
    <w:rsid w:val="006A1AA3"/>
    <w:rsid w:val="006A2F4F"/>
    <w:rsid w:val="006A30BA"/>
    <w:rsid w:val="006A51B4"/>
    <w:rsid w:val="006A569B"/>
    <w:rsid w:val="006A5A3B"/>
    <w:rsid w:val="006A6784"/>
    <w:rsid w:val="006A7678"/>
    <w:rsid w:val="006B0C30"/>
    <w:rsid w:val="006B0C4A"/>
    <w:rsid w:val="006B1272"/>
    <w:rsid w:val="006B2281"/>
    <w:rsid w:val="006B2463"/>
    <w:rsid w:val="006B59C6"/>
    <w:rsid w:val="006B6474"/>
    <w:rsid w:val="006B65F8"/>
    <w:rsid w:val="006B6BE2"/>
    <w:rsid w:val="006B7E10"/>
    <w:rsid w:val="006C07D8"/>
    <w:rsid w:val="006C142E"/>
    <w:rsid w:val="006C1B95"/>
    <w:rsid w:val="006C33E4"/>
    <w:rsid w:val="006C5684"/>
    <w:rsid w:val="006C5D2B"/>
    <w:rsid w:val="006C6299"/>
    <w:rsid w:val="006C67DA"/>
    <w:rsid w:val="006D1542"/>
    <w:rsid w:val="006D1A06"/>
    <w:rsid w:val="006D3272"/>
    <w:rsid w:val="006D42BB"/>
    <w:rsid w:val="006D509C"/>
    <w:rsid w:val="006D51CB"/>
    <w:rsid w:val="006D52F4"/>
    <w:rsid w:val="006D54B4"/>
    <w:rsid w:val="006D7AA8"/>
    <w:rsid w:val="006D7D7D"/>
    <w:rsid w:val="006E03C8"/>
    <w:rsid w:val="006E1573"/>
    <w:rsid w:val="006E2A57"/>
    <w:rsid w:val="006E2B4B"/>
    <w:rsid w:val="006E2CB6"/>
    <w:rsid w:val="006E33CE"/>
    <w:rsid w:val="006E3575"/>
    <w:rsid w:val="006E3DC2"/>
    <w:rsid w:val="006E5961"/>
    <w:rsid w:val="006E609A"/>
    <w:rsid w:val="006F000C"/>
    <w:rsid w:val="006F076F"/>
    <w:rsid w:val="006F0B40"/>
    <w:rsid w:val="006F0D2A"/>
    <w:rsid w:val="006F1997"/>
    <w:rsid w:val="006F3411"/>
    <w:rsid w:val="006F3A6E"/>
    <w:rsid w:val="006F3D7F"/>
    <w:rsid w:val="006F4640"/>
    <w:rsid w:val="006F4739"/>
    <w:rsid w:val="006F4CEA"/>
    <w:rsid w:val="006F4D8F"/>
    <w:rsid w:val="006F4F8F"/>
    <w:rsid w:val="006F5000"/>
    <w:rsid w:val="006F5396"/>
    <w:rsid w:val="006F54EE"/>
    <w:rsid w:val="006F5FF5"/>
    <w:rsid w:val="006F7055"/>
    <w:rsid w:val="006F7DAF"/>
    <w:rsid w:val="007023E9"/>
    <w:rsid w:val="00703CD2"/>
    <w:rsid w:val="00704345"/>
    <w:rsid w:val="00705E9E"/>
    <w:rsid w:val="00706318"/>
    <w:rsid w:val="00706524"/>
    <w:rsid w:val="00706D7D"/>
    <w:rsid w:val="0071119F"/>
    <w:rsid w:val="007111D6"/>
    <w:rsid w:val="00711CC5"/>
    <w:rsid w:val="0071406A"/>
    <w:rsid w:val="00714646"/>
    <w:rsid w:val="007151FC"/>
    <w:rsid w:val="007155C9"/>
    <w:rsid w:val="007157A5"/>
    <w:rsid w:val="00717C53"/>
    <w:rsid w:val="007210E7"/>
    <w:rsid w:val="00722761"/>
    <w:rsid w:val="00722DFF"/>
    <w:rsid w:val="0072328E"/>
    <w:rsid w:val="00723622"/>
    <w:rsid w:val="00723FFF"/>
    <w:rsid w:val="00724BB7"/>
    <w:rsid w:val="00725023"/>
    <w:rsid w:val="00725373"/>
    <w:rsid w:val="007253B5"/>
    <w:rsid w:val="00725429"/>
    <w:rsid w:val="00725837"/>
    <w:rsid w:val="00725E9E"/>
    <w:rsid w:val="00727038"/>
    <w:rsid w:val="00727372"/>
    <w:rsid w:val="00727BAE"/>
    <w:rsid w:val="0073013D"/>
    <w:rsid w:val="007315C8"/>
    <w:rsid w:val="0073161F"/>
    <w:rsid w:val="007318D7"/>
    <w:rsid w:val="00731C0F"/>
    <w:rsid w:val="00731D3C"/>
    <w:rsid w:val="00732482"/>
    <w:rsid w:val="0073313F"/>
    <w:rsid w:val="00733333"/>
    <w:rsid w:val="00733CD9"/>
    <w:rsid w:val="00734FC2"/>
    <w:rsid w:val="007360D9"/>
    <w:rsid w:val="00737206"/>
    <w:rsid w:val="00737394"/>
    <w:rsid w:val="00740788"/>
    <w:rsid w:val="00740A1A"/>
    <w:rsid w:val="00741129"/>
    <w:rsid w:val="007415C7"/>
    <w:rsid w:val="007416A7"/>
    <w:rsid w:val="0074232E"/>
    <w:rsid w:val="007425A2"/>
    <w:rsid w:val="0074287E"/>
    <w:rsid w:val="00742EF7"/>
    <w:rsid w:val="007431DC"/>
    <w:rsid w:val="00743D33"/>
    <w:rsid w:val="007440F7"/>
    <w:rsid w:val="007444E2"/>
    <w:rsid w:val="007449C0"/>
    <w:rsid w:val="00744CB1"/>
    <w:rsid w:val="00744F8C"/>
    <w:rsid w:val="00745530"/>
    <w:rsid w:val="0074647C"/>
    <w:rsid w:val="0074775A"/>
    <w:rsid w:val="00747D13"/>
    <w:rsid w:val="007505F9"/>
    <w:rsid w:val="0075083C"/>
    <w:rsid w:val="0075098D"/>
    <w:rsid w:val="00751B5D"/>
    <w:rsid w:val="007520B0"/>
    <w:rsid w:val="00752989"/>
    <w:rsid w:val="00753FBA"/>
    <w:rsid w:val="00754371"/>
    <w:rsid w:val="00755752"/>
    <w:rsid w:val="0075654A"/>
    <w:rsid w:val="007570BD"/>
    <w:rsid w:val="00757306"/>
    <w:rsid w:val="00757909"/>
    <w:rsid w:val="00757A45"/>
    <w:rsid w:val="00757F22"/>
    <w:rsid w:val="00760598"/>
    <w:rsid w:val="00761215"/>
    <w:rsid w:val="00761260"/>
    <w:rsid w:val="007618A3"/>
    <w:rsid w:val="00761AFA"/>
    <w:rsid w:val="0076412F"/>
    <w:rsid w:val="00764A7C"/>
    <w:rsid w:val="00764A7D"/>
    <w:rsid w:val="00765AF8"/>
    <w:rsid w:val="00765BD4"/>
    <w:rsid w:val="00765BE6"/>
    <w:rsid w:val="007666BF"/>
    <w:rsid w:val="00767BA4"/>
    <w:rsid w:val="007706C4"/>
    <w:rsid w:val="00770DBA"/>
    <w:rsid w:val="0077136B"/>
    <w:rsid w:val="00771593"/>
    <w:rsid w:val="007716A9"/>
    <w:rsid w:val="007726D2"/>
    <w:rsid w:val="00772935"/>
    <w:rsid w:val="00772A7D"/>
    <w:rsid w:val="00772B9B"/>
    <w:rsid w:val="0077316D"/>
    <w:rsid w:val="00773225"/>
    <w:rsid w:val="00773484"/>
    <w:rsid w:val="00773C72"/>
    <w:rsid w:val="0077446E"/>
    <w:rsid w:val="00774CD7"/>
    <w:rsid w:val="00775368"/>
    <w:rsid w:val="0077553B"/>
    <w:rsid w:val="00775AE0"/>
    <w:rsid w:val="00776031"/>
    <w:rsid w:val="007763DD"/>
    <w:rsid w:val="00776513"/>
    <w:rsid w:val="00776CC6"/>
    <w:rsid w:val="0077776D"/>
    <w:rsid w:val="007779C5"/>
    <w:rsid w:val="00780137"/>
    <w:rsid w:val="00780DD5"/>
    <w:rsid w:val="007815F4"/>
    <w:rsid w:val="0078160F"/>
    <w:rsid w:val="00782B42"/>
    <w:rsid w:val="00782D1A"/>
    <w:rsid w:val="00784BBB"/>
    <w:rsid w:val="00785AEB"/>
    <w:rsid w:val="00787465"/>
    <w:rsid w:val="007876D1"/>
    <w:rsid w:val="007900CA"/>
    <w:rsid w:val="0079021B"/>
    <w:rsid w:val="00790420"/>
    <w:rsid w:val="00790ADF"/>
    <w:rsid w:val="00790D07"/>
    <w:rsid w:val="00790E40"/>
    <w:rsid w:val="00790F3C"/>
    <w:rsid w:val="007926B3"/>
    <w:rsid w:val="007927C6"/>
    <w:rsid w:val="00792FA7"/>
    <w:rsid w:val="0079319F"/>
    <w:rsid w:val="00794973"/>
    <w:rsid w:val="0079533D"/>
    <w:rsid w:val="00796354"/>
    <w:rsid w:val="00796C2C"/>
    <w:rsid w:val="00797122"/>
    <w:rsid w:val="007A095A"/>
    <w:rsid w:val="007A0F49"/>
    <w:rsid w:val="007A16BB"/>
    <w:rsid w:val="007A19D0"/>
    <w:rsid w:val="007A26A5"/>
    <w:rsid w:val="007A436D"/>
    <w:rsid w:val="007A467A"/>
    <w:rsid w:val="007A4FEC"/>
    <w:rsid w:val="007A51A3"/>
    <w:rsid w:val="007A590B"/>
    <w:rsid w:val="007A6FCF"/>
    <w:rsid w:val="007A72D9"/>
    <w:rsid w:val="007A7F54"/>
    <w:rsid w:val="007B00D8"/>
    <w:rsid w:val="007B20F2"/>
    <w:rsid w:val="007B2661"/>
    <w:rsid w:val="007B3865"/>
    <w:rsid w:val="007B3A20"/>
    <w:rsid w:val="007B3AAB"/>
    <w:rsid w:val="007B3AAC"/>
    <w:rsid w:val="007B3F70"/>
    <w:rsid w:val="007B4463"/>
    <w:rsid w:val="007B4888"/>
    <w:rsid w:val="007B4C57"/>
    <w:rsid w:val="007B5113"/>
    <w:rsid w:val="007B53D7"/>
    <w:rsid w:val="007B571B"/>
    <w:rsid w:val="007B64A7"/>
    <w:rsid w:val="007B6D77"/>
    <w:rsid w:val="007B7168"/>
    <w:rsid w:val="007B78A7"/>
    <w:rsid w:val="007C026D"/>
    <w:rsid w:val="007C06FF"/>
    <w:rsid w:val="007C0C9F"/>
    <w:rsid w:val="007C0D77"/>
    <w:rsid w:val="007C1E40"/>
    <w:rsid w:val="007C2753"/>
    <w:rsid w:val="007C3109"/>
    <w:rsid w:val="007C3D7E"/>
    <w:rsid w:val="007C43DB"/>
    <w:rsid w:val="007C476D"/>
    <w:rsid w:val="007C58CB"/>
    <w:rsid w:val="007C5993"/>
    <w:rsid w:val="007C60B4"/>
    <w:rsid w:val="007C6C3E"/>
    <w:rsid w:val="007D045E"/>
    <w:rsid w:val="007D2C48"/>
    <w:rsid w:val="007D3739"/>
    <w:rsid w:val="007D3FF2"/>
    <w:rsid w:val="007D6FA4"/>
    <w:rsid w:val="007D7678"/>
    <w:rsid w:val="007E01AB"/>
    <w:rsid w:val="007E056E"/>
    <w:rsid w:val="007E11E8"/>
    <w:rsid w:val="007E1218"/>
    <w:rsid w:val="007E18F8"/>
    <w:rsid w:val="007E28B9"/>
    <w:rsid w:val="007E31BD"/>
    <w:rsid w:val="007E336F"/>
    <w:rsid w:val="007E3467"/>
    <w:rsid w:val="007E3886"/>
    <w:rsid w:val="007E3A6B"/>
    <w:rsid w:val="007E5787"/>
    <w:rsid w:val="007E5DE6"/>
    <w:rsid w:val="007E61E6"/>
    <w:rsid w:val="007E674C"/>
    <w:rsid w:val="007E73F3"/>
    <w:rsid w:val="007F1AF6"/>
    <w:rsid w:val="007F21D9"/>
    <w:rsid w:val="007F261D"/>
    <w:rsid w:val="007F2CEB"/>
    <w:rsid w:val="007F3121"/>
    <w:rsid w:val="007F31E4"/>
    <w:rsid w:val="007F3E96"/>
    <w:rsid w:val="007F454B"/>
    <w:rsid w:val="007F4D0C"/>
    <w:rsid w:val="007F4D14"/>
    <w:rsid w:val="007F4E78"/>
    <w:rsid w:val="007F718F"/>
    <w:rsid w:val="0080016F"/>
    <w:rsid w:val="00800DA1"/>
    <w:rsid w:val="00801CB8"/>
    <w:rsid w:val="00802BCE"/>
    <w:rsid w:val="0080451D"/>
    <w:rsid w:val="00804BE2"/>
    <w:rsid w:val="008055A5"/>
    <w:rsid w:val="00805776"/>
    <w:rsid w:val="00805D7B"/>
    <w:rsid w:val="00806A94"/>
    <w:rsid w:val="008070E1"/>
    <w:rsid w:val="00807CD3"/>
    <w:rsid w:val="008107B9"/>
    <w:rsid w:val="00810A41"/>
    <w:rsid w:val="008116FE"/>
    <w:rsid w:val="00811DB7"/>
    <w:rsid w:val="00813473"/>
    <w:rsid w:val="0081367D"/>
    <w:rsid w:val="008152C1"/>
    <w:rsid w:val="00815A73"/>
    <w:rsid w:val="00815BC2"/>
    <w:rsid w:val="0081627B"/>
    <w:rsid w:val="008168EF"/>
    <w:rsid w:val="0081703D"/>
    <w:rsid w:val="00817C8F"/>
    <w:rsid w:val="00820006"/>
    <w:rsid w:val="0082227D"/>
    <w:rsid w:val="00822E31"/>
    <w:rsid w:val="00823A0B"/>
    <w:rsid w:val="00823BE7"/>
    <w:rsid w:val="00825967"/>
    <w:rsid w:val="00825BDE"/>
    <w:rsid w:val="00825C6F"/>
    <w:rsid w:val="00826228"/>
    <w:rsid w:val="00826709"/>
    <w:rsid w:val="00826726"/>
    <w:rsid w:val="00826B98"/>
    <w:rsid w:val="00827326"/>
    <w:rsid w:val="0083023B"/>
    <w:rsid w:val="008320F5"/>
    <w:rsid w:val="00832365"/>
    <w:rsid w:val="00832ADC"/>
    <w:rsid w:val="00832B62"/>
    <w:rsid w:val="00832FA5"/>
    <w:rsid w:val="00834542"/>
    <w:rsid w:val="00834867"/>
    <w:rsid w:val="00834C30"/>
    <w:rsid w:val="00834F65"/>
    <w:rsid w:val="008357D8"/>
    <w:rsid w:val="00835D89"/>
    <w:rsid w:val="0083641C"/>
    <w:rsid w:val="00836952"/>
    <w:rsid w:val="008371A2"/>
    <w:rsid w:val="00837C62"/>
    <w:rsid w:val="00840C04"/>
    <w:rsid w:val="00840EA7"/>
    <w:rsid w:val="0084164F"/>
    <w:rsid w:val="00841B6E"/>
    <w:rsid w:val="008421C8"/>
    <w:rsid w:val="008439BC"/>
    <w:rsid w:val="0084583B"/>
    <w:rsid w:val="00846269"/>
    <w:rsid w:val="00846281"/>
    <w:rsid w:val="008466D0"/>
    <w:rsid w:val="00847791"/>
    <w:rsid w:val="00850515"/>
    <w:rsid w:val="00850D1A"/>
    <w:rsid w:val="00850DB5"/>
    <w:rsid w:val="00851672"/>
    <w:rsid w:val="0085174B"/>
    <w:rsid w:val="00851776"/>
    <w:rsid w:val="00852405"/>
    <w:rsid w:val="00852978"/>
    <w:rsid w:val="00853347"/>
    <w:rsid w:val="008551F6"/>
    <w:rsid w:val="00857179"/>
    <w:rsid w:val="00857F73"/>
    <w:rsid w:val="008604A1"/>
    <w:rsid w:val="008604ED"/>
    <w:rsid w:val="00860503"/>
    <w:rsid w:val="0086117F"/>
    <w:rsid w:val="00861376"/>
    <w:rsid w:val="008629C3"/>
    <w:rsid w:val="00862D60"/>
    <w:rsid w:val="00863A36"/>
    <w:rsid w:val="00864D42"/>
    <w:rsid w:val="00864EC5"/>
    <w:rsid w:val="0086540F"/>
    <w:rsid w:val="008657F1"/>
    <w:rsid w:val="00865EAC"/>
    <w:rsid w:val="00866097"/>
    <w:rsid w:val="008670AC"/>
    <w:rsid w:val="00867495"/>
    <w:rsid w:val="00871ADB"/>
    <w:rsid w:val="008732E8"/>
    <w:rsid w:val="00873603"/>
    <w:rsid w:val="00873CE6"/>
    <w:rsid w:val="00873E4B"/>
    <w:rsid w:val="008753B6"/>
    <w:rsid w:val="008753EC"/>
    <w:rsid w:val="008756DB"/>
    <w:rsid w:val="00876AE6"/>
    <w:rsid w:val="00877E0C"/>
    <w:rsid w:val="00877E69"/>
    <w:rsid w:val="00880250"/>
    <w:rsid w:val="00880D07"/>
    <w:rsid w:val="00880FA7"/>
    <w:rsid w:val="0088169A"/>
    <w:rsid w:val="00881CF9"/>
    <w:rsid w:val="0088200F"/>
    <w:rsid w:val="008849C8"/>
    <w:rsid w:val="00885BF6"/>
    <w:rsid w:val="00885C17"/>
    <w:rsid w:val="008873BD"/>
    <w:rsid w:val="00887EDB"/>
    <w:rsid w:val="00890297"/>
    <w:rsid w:val="008918E6"/>
    <w:rsid w:val="008920B2"/>
    <w:rsid w:val="00892EA9"/>
    <w:rsid w:val="00893838"/>
    <w:rsid w:val="0089428A"/>
    <w:rsid w:val="008943EA"/>
    <w:rsid w:val="00895324"/>
    <w:rsid w:val="00896496"/>
    <w:rsid w:val="00896C45"/>
    <w:rsid w:val="00896DB9"/>
    <w:rsid w:val="008A031B"/>
    <w:rsid w:val="008A039D"/>
    <w:rsid w:val="008A182C"/>
    <w:rsid w:val="008A20A0"/>
    <w:rsid w:val="008A21C5"/>
    <w:rsid w:val="008A4842"/>
    <w:rsid w:val="008A49C4"/>
    <w:rsid w:val="008A4ECC"/>
    <w:rsid w:val="008A50EE"/>
    <w:rsid w:val="008A55CA"/>
    <w:rsid w:val="008A5A87"/>
    <w:rsid w:val="008A62D8"/>
    <w:rsid w:val="008A6718"/>
    <w:rsid w:val="008A6990"/>
    <w:rsid w:val="008A719B"/>
    <w:rsid w:val="008B08C2"/>
    <w:rsid w:val="008B0DF1"/>
    <w:rsid w:val="008B370D"/>
    <w:rsid w:val="008B3B5A"/>
    <w:rsid w:val="008B3DB9"/>
    <w:rsid w:val="008B508B"/>
    <w:rsid w:val="008B585D"/>
    <w:rsid w:val="008B5DA1"/>
    <w:rsid w:val="008B60FE"/>
    <w:rsid w:val="008B710B"/>
    <w:rsid w:val="008B7C57"/>
    <w:rsid w:val="008C034A"/>
    <w:rsid w:val="008C0BBF"/>
    <w:rsid w:val="008C1195"/>
    <w:rsid w:val="008C2231"/>
    <w:rsid w:val="008C3197"/>
    <w:rsid w:val="008C454A"/>
    <w:rsid w:val="008C4F3D"/>
    <w:rsid w:val="008C5142"/>
    <w:rsid w:val="008C58C9"/>
    <w:rsid w:val="008C59C2"/>
    <w:rsid w:val="008C6018"/>
    <w:rsid w:val="008C677A"/>
    <w:rsid w:val="008C6A3B"/>
    <w:rsid w:val="008C6B1F"/>
    <w:rsid w:val="008D04DD"/>
    <w:rsid w:val="008D08D5"/>
    <w:rsid w:val="008D26D8"/>
    <w:rsid w:val="008D2C29"/>
    <w:rsid w:val="008D2DCA"/>
    <w:rsid w:val="008D3D80"/>
    <w:rsid w:val="008D424F"/>
    <w:rsid w:val="008D4A00"/>
    <w:rsid w:val="008D4C1E"/>
    <w:rsid w:val="008D5400"/>
    <w:rsid w:val="008D6EE4"/>
    <w:rsid w:val="008D739F"/>
    <w:rsid w:val="008E37F5"/>
    <w:rsid w:val="008E4331"/>
    <w:rsid w:val="008E45AC"/>
    <w:rsid w:val="008E52A5"/>
    <w:rsid w:val="008E54C0"/>
    <w:rsid w:val="008E5D9F"/>
    <w:rsid w:val="008E6E49"/>
    <w:rsid w:val="008E7D9C"/>
    <w:rsid w:val="008F0F92"/>
    <w:rsid w:val="008F25A1"/>
    <w:rsid w:val="008F433B"/>
    <w:rsid w:val="008F4426"/>
    <w:rsid w:val="008F57C6"/>
    <w:rsid w:val="008F5CE7"/>
    <w:rsid w:val="008F61CB"/>
    <w:rsid w:val="008F72B8"/>
    <w:rsid w:val="008F79D5"/>
    <w:rsid w:val="008F7EA3"/>
    <w:rsid w:val="0090049C"/>
    <w:rsid w:val="00901BE7"/>
    <w:rsid w:val="009021CB"/>
    <w:rsid w:val="00903006"/>
    <w:rsid w:val="009030B4"/>
    <w:rsid w:val="009031A0"/>
    <w:rsid w:val="00903513"/>
    <w:rsid w:val="00903F05"/>
    <w:rsid w:val="0090444E"/>
    <w:rsid w:val="0090467F"/>
    <w:rsid w:val="00904FB2"/>
    <w:rsid w:val="009054C7"/>
    <w:rsid w:val="00905535"/>
    <w:rsid w:val="00906585"/>
    <w:rsid w:val="0090694C"/>
    <w:rsid w:val="00906C62"/>
    <w:rsid w:val="00907F26"/>
    <w:rsid w:val="00910F07"/>
    <w:rsid w:val="0091208B"/>
    <w:rsid w:val="00912DAB"/>
    <w:rsid w:val="009132A8"/>
    <w:rsid w:val="00914567"/>
    <w:rsid w:val="009147DA"/>
    <w:rsid w:val="009152FB"/>
    <w:rsid w:val="00916301"/>
    <w:rsid w:val="0091678D"/>
    <w:rsid w:val="00917918"/>
    <w:rsid w:val="00917E0C"/>
    <w:rsid w:val="00921474"/>
    <w:rsid w:val="009226DB"/>
    <w:rsid w:val="00922890"/>
    <w:rsid w:val="00923BBB"/>
    <w:rsid w:val="00923E90"/>
    <w:rsid w:val="00923F27"/>
    <w:rsid w:val="00924970"/>
    <w:rsid w:val="00924B42"/>
    <w:rsid w:val="00925561"/>
    <w:rsid w:val="009265C2"/>
    <w:rsid w:val="009278D0"/>
    <w:rsid w:val="00927AF9"/>
    <w:rsid w:val="0093089D"/>
    <w:rsid w:val="0093127F"/>
    <w:rsid w:val="009315E5"/>
    <w:rsid w:val="00931BE1"/>
    <w:rsid w:val="00931C12"/>
    <w:rsid w:val="009346C3"/>
    <w:rsid w:val="00935FA2"/>
    <w:rsid w:val="00936F67"/>
    <w:rsid w:val="0093725E"/>
    <w:rsid w:val="009373EC"/>
    <w:rsid w:val="00937850"/>
    <w:rsid w:val="009379D4"/>
    <w:rsid w:val="009402C6"/>
    <w:rsid w:val="0094158B"/>
    <w:rsid w:val="009417C0"/>
    <w:rsid w:val="00943C43"/>
    <w:rsid w:val="00944BC6"/>
    <w:rsid w:val="009450A4"/>
    <w:rsid w:val="009454AB"/>
    <w:rsid w:val="0094579C"/>
    <w:rsid w:val="009463FB"/>
    <w:rsid w:val="00950581"/>
    <w:rsid w:val="00950DC7"/>
    <w:rsid w:val="00951296"/>
    <w:rsid w:val="009515ED"/>
    <w:rsid w:val="0095196E"/>
    <w:rsid w:val="00951CE9"/>
    <w:rsid w:val="00953118"/>
    <w:rsid w:val="00953270"/>
    <w:rsid w:val="00953799"/>
    <w:rsid w:val="00954279"/>
    <w:rsid w:val="009543BA"/>
    <w:rsid w:val="00954840"/>
    <w:rsid w:val="009549BB"/>
    <w:rsid w:val="00956133"/>
    <w:rsid w:val="0095719A"/>
    <w:rsid w:val="009576A9"/>
    <w:rsid w:val="00961E08"/>
    <w:rsid w:val="009620CF"/>
    <w:rsid w:val="009627A7"/>
    <w:rsid w:val="00962DE7"/>
    <w:rsid w:val="00962F45"/>
    <w:rsid w:val="009634AE"/>
    <w:rsid w:val="00963B36"/>
    <w:rsid w:val="00964B3A"/>
    <w:rsid w:val="00964F8E"/>
    <w:rsid w:val="00965463"/>
    <w:rsid w:val="009656AE"/>
    <w:rsid w:val="00965CCD"/>
    <w:rsid w:val="00965D79"/>
    <w:rsid w:val="00965E0B"/>
    <w:rsid w:val="00966356"/>
    <w:rsid w:val="009679AE"/>
    <w:rsid w:val="00971318"/>
    <w:rsid w:val="00971BB5"/>
    <w:rsid w:val="009727F1"/>
    <w:rsid w:val="009738EB"/>
    <w:rsid w:val="00973C85"/>
    <w:rsid w:val="00974470"/>
    <w:rsid w:val="009746D6"/>
    <w:rsid w:val="00974E96"/>
    <w:rsid w:val="00976746"/>
    <w:rsid w:val="009768E1"/>
    <w:rsid w:val="00976C96"/>
    <w:rsid w:val="00977026"/>
    <w:rsid w:val="00977430"/>
    <w:rsid w:val="00977A5A"/>
    <w:rsid w:val="00977C9E"/>
    <w:rsid w:val="009802E0"/>
    <w:rsid w:val="009808D4"/>
    <w:rsid w:val="0098119F"/>
    <w:rsid w:val="009820F9"/>
    <w:rsid w:val="00982A83"/>
    <w:rsid w:val="00982C6F"/>
    <w:rsid w:val="0098375E"/>
    <w:rsid w:val="009842C3"/>
    <w:rsid w:val="0098466F"/>
    <w:rsid w:val="009848A7"/>
    <w:rsid w:val="00984D79"/>
    <w:rsid w:val="009879BF"/>
    <w:rsid w:val="00987A82"/>
    <w:rsid w:val="00987B10"/>
    <w:rsid w:val="00987E11"/>
    <w:rsid w:val="009907CE"/>
    <w:rsid w:val="00990859"/>
    <w:rsid w:val="009918C6"/>
    <w:rsid w:val="00991E30"/>
    <w:rsid w:val="00993306"/>
    <w:rsid w:val="009939C8"/>
    <w:rsid w:val="00993A3C"/>
    <w:rsid w:val="00994DE8"/>
    <w:rsid w:val="00994F47"/>
    <w:rsid w:val="0099505E"/>
    <w:rsid w:val="009967E2"/>
    <w:rsid w:val="00996F5A"/>
    <w:rsid w:val="009A010A"/>
    <w:rsid w:val="009A016D"/>
    <w:rsid w:val="009A114F"/>
    <w:rsid w:val="009A27CA"/>
    <w:rsid w:val="009A2898"/>
    <w:rsid w:val="009A3B23"/>
    <w:rsid w:val="009A4354"/>
    <w:rsid w:val="009A5A17"/>
    <w:rsid w:val="009A5AFE"/>
    <w:rsid w:val="009A6CF6"/>
    <w:rsid w:val="009A76C6"/>
    <w:rsid w:val="009A7D1B"/>
    <w:rsid w:val="009B0B1B"/>
    <w:rsid w:val="009B33B6"/>
    <w:rsid w:val="009B3738"/>
    <w:rsid w:val="009B3909"/>
    <w:rsid w:val="009B47D3"/>
    <w:rsid w:val="009B495E"/>
    <w:rsid w:val="009B4E26"/>
    <w:rsid w:val="009B501C"/>
    <w:rsid w:val="009B6D1D"/>
    <w:rsid w:val="009B79CD"/>
    <w:rsid w:val="009C0007"/>
    <w:rsid w:val="009C07C2"/>
    <w:rsid w:val="009C0D93"/>
    <w:rsid w:val="009C0F32"/>
    <w:rsid w:val="009C0F85"/>
    <w:rsid w:val="009C1D72"/>
    <w:rsid w:val="009C3D6C"/>
    <w:rsid w:val="009C40CD"/>
    <w:rsid w:val="009C4D65"/>
    <w:rsid w:val="009C6865"/>
    <w:rsid w:val="009D0D83"/>
    <w:rsid w:val="009D231E"/>
    <w:rsid w:val="009D32BB"/>
    <w:rsid w:val="009D4A0E"/>
    <w:rsid w:val="009D4F3B"/>
    <w:rsid w:val="009D5553"/>
    <w:rsid w:val="009D64F3"/>
    <w:rsid w:val="009D7337"/>
    <w:rsid w:val="009D7952"/>
    <w:rsid w:val="009D7C79"/>
    <w:rsid w:val="009E01EF"/>
    <w:rsid w:val="009E14CB"/>
    <w:rsid w:val="009E1C5C"/>
    <w:rsid w:val="009E1C66"/>
    <w:rsid w:val="009E1CCA"/>
    <w:rsid w:val="009E3665"/>
    <w:rsid w:val="009E37C8"/>
    <w:rsid w:val="009E381D"/>
    <w:rsid w:val="009E47BC"/>
    <w:rsid w:val="009E4FC1"/>
    <w:rsid w:val="009E50F2"/>
    <w:rsid w:val="009E6006"/>
    <w:rsid w:val="009E604E"/>
    <w:rsid w:val="009E6842"/>
    <w:rsid w:val="009E6FE1"/>
    <w:rsid w:val="009F0564"/>
    <w:rsid w:val="009F21A7"/>
    <w:rsid w:val="009F2BF6"/>
    <w:rsid w:val="009F304E"/>
    <w:rsid w:val="009F37A6"/>
    <w:rsid w:val="009F3C0B"/>
    <w:rsid w:val="009F3F53"/>
    <w:rsid w:val="009F4237"/>
    <w:rsid w:val="009F53C3"/>
    <w:rsid w:val="009F57D1"/>
    <w:rsid w:val="009F7507"/>
    <w:rsid w:val="009F7D22"/>
    <w:rsid w:val="00A007D8"/>
    <w:rsid w:val="00A02103"/>
    <w:rsid w:val="00A02128"/>
    <w:rsid w:val="00A02DDF"/>
    <w:rsid w:val="00A03FE9"/>
    <w:rsid w:val="00A0406F"/>
    <w:rsid w:val="00A04F91"/>
    <w:rsid w:val="00A05030"/>
    <w:rsid w:val="00A06087"/>
    <w:rsid w:val="00A065D0"/>
    <w:rsid w:val="00A0799A"/>
    <w:rsid w:val="00A102FE"/>
    <w:rsid w:val="00A10A70"/>
    <w:rsid w:val="00A11253"/>
    <w:rsid w:val="00A13509"/>
    <w:rsid w:val="00A1377C"/>
    <w:rsid w:val="00A14088"/>
    <w:rsid w:val="00A1764F"/>
    <w:rsid w:val="00A17F38"/>
    <w:rsid w:val="00A2160D"/>
    <w:rsid w:val="00A21981"/>
    <w:rsid w:val="00A220E8"/>
    <w:rsid w:val="00A221E9"/>
    <w:rsid w:val="00A22DF2"/>
    <w:rsid w:val="00A231F8"/>
    <w:rsid w:val="00A23366"/>
    <w:rsid w:val="00A23CF5"/>
    <w:rsid w:val="00A24087"/>
    <w:rsid w:val="00A2539B"/>
    <w:rsid w:val="00A2577F"/>
    <w:rsid w:val="00A2600B"/>
    <w:rsid w:val="00A264DA"/>
    <w:rsid w:val="00A30F28"/>
    <w:rsid w:val="00A319ED"/>
    <w:rsid w:val="00A3243C"/>
    <w:rsid w:val="00A333DA"/>
    <w:rsid w:val="00A33496"/>
    <w:rsid w:val="00A339D0"/>
    <w:rsid w:val="00A339EF"/>
    <w:rsid w:val="00A34F11"/>
    <w:rsid w:val="00A354F6"/>
    <w:rsid w:val="00A35EBA"/>
    <w:rsid w:val="00A36718"/>
    <w:rsid w:val="00A36D74"/>
    <w:rsid w:val="00A37913"/>
    <w:rsid w:val="00A40DA9"/>
    <w:rsid w:val="00A41F51"/>
    <w:rsid w:val="00A421AB"/>
    <w:rsid w:val="00A4263E"/>
    <w:rsid w:val="00A42AC5"/>
    <w:rsid w:val="00A43DF1"/>
    <w:rsid w:val="00A44877"/>
    <w:rsid w:val="00A450C2"/>
    <w:rsid w:val="00A4560E"/>
    <w:rsid w:val="00A45EF1"/>
    <w:rsid w:val="00A4626B"/>
    <w:rsid w:val="00A46DD3"/>
    <w:rsid w:val="00A508F7"/>
    <w:rsid w:val="00A50A50"/>
    <w:rsid w:val="00A50BF2"/>
    <w:rsid w:val="00A517CD"/>
    <w:rsid w:val="00A51C36"/>
    <w:rsid w:val="00A51DB4"/>
    <w:rsid w:val="00A523D4"/>
    <w:rsid w:val="00A52EE7"/>
    <w:rsid w:val="00A539B8"/>
    <w:rsid w:val="00A546A7"/>
    <w:rsid w:val="00A55C29"/>
    <w:rsid w:val="00A56360"/>
    <w:rsid w:val="00A56745"/>
    <w:rsid w:val="00A5699E"/>
    <w:rsid w:val="00A572F0"/>
    <w:rsid w:val="00A5784D"/>
    <w:rsid w:val="00A579CE"/>
    <w:rsid w:val="00A61A4E"/>
    <w:rsid w:val="00A625F5"/>
    <w:rsid w:val="00A640FE"/>
    <w:rsid w:val="00A643FE"/>
    <w:rsid w:val="00A64AE8"/>
    <w:rsid w:val="00A64FDC"/>
    <w:rsid w:val="00A65092"/>
    <w:rsid w:val="00A65862"/>
    <w:rsid w:val="00A65B0D"/>
    <w:rsid w:val="00A6640F"/>
    <w:rsid w:val="00A66678"/>
    <w:rsid w:val="00A6698C"/>
    <w:rsid w:val="00A6713C"/>
    <w:rsid w:val="00A67814"/>
    <w:rsid w:val="00A679CF"/>
    <w:rsid w:val="00A67B42"/>
    <w:rsid w:val="00A67B98"/>
    <w:rsid w:val="00A70213"/>
    <w:rsid w:val="00A70E5F"/>
    <w:rsid w:val="00A7173A"/>
    <w:rsid w:val="00A71967"/>
    <w:rsid w:val="00A71B9D"/>
    <w:rsid w:val="00A72142"/>
    <w:rsid w:val="00A72A41"/>
    <w:rsid w:val="00A7301D"/>
    <w:rsid w:val="00A73022"/>
    <w:rsid w:val="00A73032"/>
    <w:rsid w:val="00A742EC"/>
    <w:rsid w:val="00A74329"/>
    <w:rsid w:val="00A74792"/>
    <w:rsid w:val="00A747CE"/>
    <w:rsid w:val="00A74C29"/>
    <w:rsid w:val="00A75841"/>
    <w:rsid w:val="00A75CEC"/>
    <w:rsid w:val="00A7683E"/>
    <w:rsid w:val="00A77233"/>
    <w:rsid w:val="00A846D3"/>
    <w:rsid w:val="00A85910"/>
    <w:rsid w:val="00A85E4A"/>
    <w:rsid w:val="00A86A77"/>
    <w:rsid w:val="00A9007A"/>
    <w:rsid w:val="00A90803"/>
    <w:rsid w:val="00A90FD3"/>
    <w:rsid w:val="00A942A3"/>
    <w:rsid w:val="00A94A97"/>
    <w:rsid w:val="00A95442"/>
    <w:rsid w:val="00A959A4"/>
    <w:rsid w:val="00A959D9"/>
    <w:rsid w:val="00A97477"/>
    <w:rsid w:val="00A9753C"/>
    <w:rsid w:val="00A97E58"/>
    <w:rsid w:val="00AA0892"/>
    <w:rsid w:val="00AA0CC2"/>
    <w:rsid w:val="00AA1092"/>
    <w:rsid w:val="00AA191D"/>
    <w:rsid w:val="00AA2012"/>
    <w:rsid w:val="00AA27F1"/>
    <w:rsid w:val="00AA2E39"/>
    <w:rsid w:val="00AA3ED5"/>
    <w:rsid w:val="00AA78A6"/>
    <w:rsid w:val="00AB0916"/>
    <w:rsid w:val="00AB2BB0"/>
    <w:rsid w:val="00AB2DBE"/>
    <w:rsid w:val="00AB33BD"/>
    <w:rsid w:val="00AB3A6D"/>
    <w:rsid w:val="00AB3B7E"/>
    <w:rsid w:val="00AB46C3"/>
    <w:rsid w:val="00AB4C9E"/>
    <w:rsid w:val="00AB5F09"/>
    <w:rsid w:val="00AB6436"/>
    <w:rsid w:val="00AB7FDB"/>
    <w:rsid w:val="00AC025D"/>
    <w:rsid w:val="00AC1887"/>
    <w:rsid w:val="00AC2234"/>
    <w:rsid w:val="00AC2BA8"/>
    <w:rsid w:val="00AC39F3"/>
    <w:rsid w:val="00AC3F5F"/>
    <w:rsid w:val="00AC48C0"/>
    <w:rsid w:val="00AC4A7B"/>
    <w:rsid w:val="00AC5BD2"/>
    <w:rsid w:val="00AC5F2E"/>
    <w:rsid w:val="00AC64E1"/>
    <w:rsid w:val="00AC675D"/>
    <w:rsid w:val="00AD0CFF"/>
    <w:rsid w:val="00AD3365"/>
    <w:rsid w:val="00AD38A7"/>
    <w:rsid w:val="00AD74D0"/>
    <w:rsid w:val="00AD7E50"/>
    <w:rsid w:val="00AE054A"/>
    <w:rsid w:val="00AE1622"/>
    <w:rsid w:val="00AE1A36"/>
    <w:rsid w:val="00AE1E21"/>
    <w:rsid w:val="00AE254B"/>
    <w:rsid w:val="00AE2A4E"/>
    <w:rsid w:val="00AE3125"/>
    <w:rsid w:val="00AE376C"/>
    <w:rsid w:val="00AE48C5"/>
    <w:rsid w:val="00AE51A2"/>
    <w:rsid w:val="00AE549F"/>
    <w:rsid w:val="00AE66CD"/>
    <w:rsid w:val="00AE69E4"/>
    <w:rsid w:val="00AF035C"/>
    <w:rsid w:val="00AF057D"/>
    <w:rsid w:val="00AF2803"/>
    <w:rsid w:val="00AF286B"/>
    <w:rsid w:val="00AF2EB7"/>
    <w:rsid w:val="00AF41FD"/>
    <w:rsid w:val="00AF4C05"/>
    <w:rsid w:val="00AF508B"/>
    <w:rsid w:val="00AF5170"/>
    <w:rsid w:val="00AF5326"/>
    <w:rsid w:val="00AF5446"/>
    <w:rsid w:val="00AF6E4D"/>
    <w:rsid w:val="00AF7269"/>
    <w:rsid w:val="00AF76DE"/>
    <w:rsid w:val="00B00CF5"/>
    <w:rsid w:val="00B0133C"/>
    <w:rsid w:val="00B0139B"/>
    <w:rsid w:val="00B0273C"/>
    <w:rsid w:val="00B02A7D"/>
    <w:rsid w:val="00B0602F"/>
    <w:rsid w:val="00B0678F"/>
    <w:rsid w:val="00B06D8F"/>
    <w:rsid w:val="00B06F36"/>
    <w:rsid w:val="00B0756C"/>
    <w:rsid w:val="00B11603"/>
    <w:rsid w:val="00B116E1"/>
    <w:rsid w:val="00B123FC"/>
    <w:rsid w:val="00B12CCE"/>
    <w:rsid w:val="00B13BC8"/>
    <w:rsid w:val="00B13CFC"/>
    <w:rsid w:val="00B13E7A"/>
    <w:rsid w:val="00B14B6A"/>
    <w:rsid w:val="00B15D09"/>
    <w:rsid w:val="00B166AA"/>
    <w:rsid w:val="00B204C4"/>
    <w:rsid w:val="00B2105C"/>
    <w:rsid w:val="00B21160"/>
    <w:rsid w:val="00B21B7A"/>
    <w:rsid w:val="00B21D85"/>
    <w:rsid w:val="00B2201E"/>
    <w:rsid w:val="00B23091"/>
    <w:rsid w:val="00B2312E"/>
    <w:rsid w:val="00B232B2"/>
    <w:rsid w:val="00B23667"/>
    <w:rsid w:val="00B23E34"/>
    <w:rsid w:val="00B24265"/>
    <w:rsid w:val="00B24CAE"/>
    <w:rsid w:val="00B24CCA"/>
    <w:rsid w:val="00B24F63"/>
    <w:rsid w:val="00B267B4"/>
    <w:rsid w:val="00B26B59"/>
    <w:rsid w:val="00B26F02"/>
    <w:rsid w:val="00B2753E"/>
    <w:rsid w:val="00B300B3"/>
    <w:rsid w:val="00B3170A"/>
    <w:rsid w:val="00B3199A"/>
    <w:rsid w:val="00B328CF"/>
    <w:rsid w:val="00B32CA5"/>
    <w:rsid w:val="00B33136"/>
    <w:rsid w:val="00B332D1"/>
    <w:rsid w:val="00B33A02"/>
    <w:rsid w:val="00B345CA"/>
    <w:rsid w:val="00B34F4D"/>
    <w:rsid w:val="00B354DD"/>
    <w:rsid w:val="00B3557F"/>
    <w:rsid w:val="00B359D6"/>
    <w:rsid w:val="00B35A5F"/>
    <w:rsid w:val="00B35E5B"/>
    <w:rsid w:val="00B362E0"/>
    <w:rsid w:val="00B36ACE"/>
    <w:rsid w:val="00B36ECD"/>
    <w:rsid w:val="00B37E06"/>
    <w:rsid w:val="00B40160"/>
    <w:rsid w:val="00B4100D"/>
    <w:rsid w:val="00B4146C"/>
    <w:rsid w:val="00B41569"/>
    <w:rsid w:val="00B44959"/>
    <w:rsid w:val="00B45276"/>
    <w:rsid w:val="00B45669"/>
    <w:rsid w:val="00B45BA5"/>
    <w:rsid w:val="00B46189"/>
    <w:rsid w:val="00B463A7"/>
    <w:rsid w:val="00B4652F"/>
    <w:rsid w:val="00B50B76"/>
    <w:rsid w:val="00B50BB2"/>
    <w:rsid w:val="00B5159C"/>
    <w:rsid w:val="00B51F9D"/>
    <w:rsid w:val="00B52226"/>
    <w:rsid w:val="00B531D6"/>
    <w:rsid w:val="00B5450F"/>
    <w:rsid w:val="00B54660"/>
    <w:rsid w:val="00B5486D"/>
    <w:rsid w:val="00B55274"/>
    <w:rsid w:val="00B5638E"/>
    <w:rsid w:val="00B601CD"/>
    <w:rsid w:val="00B6024B"/>
    <w:rsid w:val="00B60338"/>
    <w:rsid w:val="00B6058C"/>
    <w:rsid w:val="00B605EB"/>
    <w:rsid w:val="00B61304"/>
    <w:rsid w:val="00B61843"/>
    <w:rsid w:val="00B61AC0"/>
    <w:rsid w:val="00B61E10"/>
    <w:rsid w:val="00B62269"/>
    <w:rsid w:val="00B6229C"/>
    <w:rsid w:val="00B62E54"/>
    <w:rsid w:val="00B6332F"/>
    <w:rsid w:val="00B633FB"/>
    <w:rsid w:val="00B63594"/>
    <w:rsid w:val="00B638D7"/>
    <w:rsid w:val="00B667FA"/>
    <w:rsid w:val="00B66FB4"/>
    <w:rsid w:val="00B673D6"/>
    <w:rsid w:val="00B7028B"/>
    <w:rsid w:val="00B7057E"/>
    <w:rsid w:val="00B70945"/>
    <w:rsid w:val="00B70ED4"/>
    <w:rsid w:val="00B70F3A"/>
    <w:rsid w:val="00B71A1C"/>
    <w:rsid w:val="00B71F43"/>
    <w:rsid w:val="00B720E4"/>
    <w:rsid w:val="00B72672"/>
    <w:rsid w:val="00B74621"/>
    <w:rsid w:val="00B7481D"/>
    <w:rsid w:val="00B75D36"/>
    <w:rsid w:val="00B7768B"/>
    <w:rsid w:val="00B81075"/>
    <w:rsid w:val="00B8154C"/>
    <w:rsid w:val="00B81DFE"/>
    <w:rsid w:val="00B81E4B"/>
    <w:rsid w:val="00B82500"/>
    <w:rsid w:val="00B82563"/>
    <w:rsid w:val="00B82791"/>
    <w:rsid w:val="00B8298C"/>
    <w:rsid w:val="00B82D21"/>
    <w:rsid w:val="00B833AC"/>
    <w:rsid w:val="00B848A8"/>
    <w:rsid w:val="00B855DA"/>
    <w:rsid w:val="00B862CF"/>
    <w:rsid w:val="00B86414"/>
    <w:rsid w:val="00B8686E"/>
    <w:rsid w:val="00B86940"/>
    <w:rsid w:val="00B86AB6"/>
    <w:rsid w:val="00B86E5F"/>
    <w:rsid w:val="00B878F1"/>
    <w:rsid w:val="00B9028E"/>
    <w:rsid w:val="00B91925"/>
    <w:rsid w:val="00B92570"/>
    <w:rsid w:val="00B92588"/>
    <w:rsid w:val="00B9353E"/>
    <w:rsid w:val="00B9407E"/>
    <w:rsid w:val="00B943B3"/>
    <w:rsid w:val="00B946F8"/>
    <w:rsid w:val="00B94FB1"/>
    <w:rsid w:val="00B95195"/>
    <w:rsid w:val="00B95206"/>
    <w:rsid w:val="00B953A7"/>
    <w:rsid w:val="00B95EA5"/>
    <w:rsid w:val="00B961B1"/>
    <w:rsid w:val="00B962BD"/>
    <w:rsid w:val="00B96A2C"/>
    <w:rsid w:val="00B96DCB"/>
    <w:rsid w:val="00B97066"/>
    <w:rsid w:val="00B97748"/>
    <w:rsid w:val="00BA01CF"/>
    <w:rsid w:val="00BA3267"/>
    <w:rsid w:val="00BA3583"/>
    <w:rsid w:val="00BA4E71"/>
    <w:rsid w:val="00BA5503"/>
    <w:rsid w:val="00BA5862"/>
    <w:rsid w:val="00BA5F20"/>
    <w:rsid w:val="00BA69EE"/>
    <w:rsid w:val="00BA76A2"/>
    <w:rsid w:val="00BB033C"/>
    <w:rsid w:val="00BB060D"/>
    <w:rsid w:val="00BB0D23"/>
    <w:rsid w:val="00BB14E8"/>
    <w:rsid w:val="00BB1991"/>
    <w:rsid w:val="00BB22A6"/>
    <w:rsid w:val="00BB28B8"/>
    <w:rsid w:val="00BB2D6E"/>
    <w:rsid w:val="00BB499D"/>
    <w:rsid w:val="00BB4AD6"/>
    <w:rsid w:val="00BB507E"/>
    <w:rsid w:val="00BB5787"/>
    <w:rsid w:val="00BB617E"/>
    <w:rsid w:val="00BB66EE"/>
    <w:rsid w:val="00BB67D1"/>
    <w:rsid w:val="00BB6D9A"/>
    <w:rsid w:val="00BB78A1"/>
    <w:rsid w:val="00BC0234"/>
    <w:rsid w:val="00BC053E"/>
    <w:rsid w:val="00BC088E"/>
    <w:rsid w:val="00BC1196"/>
    <w:rsid w:val="00BC1B1E"/>
    <w:rsid w:val="00BC2073"/>
    <w:rsid w:val="00BC2B4F"/>
    <w:rsid w:val="00BC2C93"/>
    <w:rsid w:val="00BC381D"/>
    <w:rsid w:val="00BC44C1"/>
    <w:rsid w:val="00BC4A2E"/>
    <w:rsid w:val="00BC571D"/>
    <w:rsid w:val="00BC6049"/>
    <w:rsid w:val="00BC605A"/>
    <w:rsid w:val="00BC6536"/>
    <w:rsid w:val="00BC752D"/>
    <w:rsid w:val="00BD144C"/>
    <w:rsid w:val="00BD18D3"/>
    <w:rsid w:val="00BD3321"/>
    <w:rsid w:val="00BD5690"/>
    <w:rsid w:val="00BD5F65"/>
    <w:rsid w:val="00BD6AF0"/>
    <w:rsid w:val="00BD6FD3"/>
    <w:rsid w:val="00BD75A7"/>
    <w:rsid w:val="00BE074C"/>
    <w:rsid w:val="00BE21FF"/>
    <w:rsid w:val="00BE3634"/>
    <w:rsid w:val="00BE3FFE"/>
    <w:rsid w:val="00BE41EE"/>
    <w:rsid w:val="00BE4E4C"/>
    <w:rsid w:val="00BE57CC"/>
    <w:rsid w:val="00BE5FB5"/>
    <w:rsid w:val="00BE6DD4"/>
    <w:rsid w:val="00BE7649"/>
    <w:rsid w:val="00BE77CF"/>
    <w:rsid w:val="00BF063E"/>
    <w:rsid w:val="00BF0D18"/>
    <w:rsid w:val="00BF1D76"/>
    <w:rsid w:val="00BF281A"/>
    <w:rsid w:val="00BF2A7D"/>
    <w:rsid w:val="00BF417A"/>
    <w:rsid w:val="00BF45B7"/>
    <w:rsid w:val="00BF58D9"/>
    <w:rsid w:val="00BF5F75"/>
    <w:rsid w:val="00BF6C28"/>
    <w:rsid w:val="00BF7495"/>
    <w:rsid w:val="00BF7836"/>
    <w:rsid w:val="00BF79BE"/>
    <w:rsid w:val="00C001AC"/>
    <w:rsid w:val="00C002BA"/>
    <w:rsid w:val="00C00782"/>
    <w:rsid w:val="00C00FC1"/>
    <w:rsid w:val="00C01AB6"/>
    <w:rsid w:val="00C03406"/>
    <w:rsid w:val="00C03BB3"/>
    <w:rsid w:val="00C03E62"/>
    <w:rsid w:val="00C04CC4"/>
    <w:rsid w:val="00C055CB"/>
    <w:rsid w:val="00C05A14"/>
    <w:rsid w:val="00C06AC4"/>
    <w:rsid w:val="00C076B6"/>
    <w:rsid w:val="00C07C46"/>
    <w:rsid w:val="00C10582"/>
    <w:rsid w:val="00C1107C"/>
    <w:rsid w:val="00C11A47"/>
    <w:rsid w:val="00C12C3D"/>
    <w:rsid w:val="00C14A7B"/>
    <w:rsid w:val="00C14AA0"/>
    <w:rsid w:val="00C1592B"/>
    <w:rsid w:val="00C1644A"/>
    <w:rsid w:val="00C1734D"/>
    <w:rsid w:val="00C1799D"/>
    <w:rsid w:val="00C17AAC"/>
    <w:rsid w:val="00C20596"/>
    <w:rsid w:val="00C208E2"/>
    <w:rsid w:val="00C21954"/>
    <w:rsid w:val="00C21C4B"/>
    <w:rsid w:val="00C21E97"/>
    <w:rsid w:val="00C22DD4"/>
    <w:rsid w:val="00C23F0D"/>
    <w:rsid w:val="00C2445D"/>
    <w:rsid w:val="00C24484"/>
    <w:rsid w:val="00C24BC4"/>
    <w:rsid w:val="00C25C13"/>
    <w:rsid w:val="00C25CC1"/>
    <w:rsid w:val="00C26352"/>
    <w:rsid w:val="00C26AAA"/>
    <w:rsid w:val="00C26B3C"/>
    <w:rsid w:val="00C26EB8"/>
    <w:rsid w:val="00C276E6"/>
    <w:rsid w:val="00C27865"/>
    <w:rsid w:val="00C27F5D"/>
    <w:rsid w:val="00C3007B"/>
    <w:rsid w:val="00C306D4"/>
    <w:rsid w:val="00C326DF"/>
    <w:rsid w:val="00C32833"/>
    <w:rsid w:val="00C32D10"/>
    <w:rsid w:val="00C334CF"/>
    <w:rsid w:val="00C346F9"/>
    <w:rsid w:val="00C35649"/>
    <w:rsid w:val="00C35CCD"/>
    <w:rsid w:val="00C360A4"/>
    <w:rsid w:val="00C369A0"/>
    <w:rsid w:val="00C375D2"/>
    <w:rsid w:val="00C37CA2"/>
    <w:rsid w:val="00C37F62"/>
    <w:rsid w:val="00C40FFC"/>
    <w:rsid w:val="00C415D1"/>
    <w:rsid w:val="00C416DC"/>
    <w:rsid w:val="00C4204D"/>
    <w:rsid w:val="00C422E6"/>
    <w:rsid w:val="00C42E17"/>
    <w:rsid w:val="00C4355F"/>
    <w:rsid w:val="00C46043"/>
    <w:rsid w:val="00C4605F"/>
    <w:rsid w:val="00C46405"/>
    <w:rsid w:val="00C47564"/>
    <w:rsid w:val="00C47DC9"/>
    <w:rsid w:val="00C509CC"/>
    <w:rsid w:val="00C519AD"/>
    <w:rsid w:val="00C52B23"/>
    <w:rsid w:val="00C5300D"/>
    <w:rsid w:val="00C531C9"/>
    <w:rsid w:val="00C534F3"/>
    <w:rsid w:val="00C54963"/>
    <w:rsid w:val="00C55992"/>
    <w:rsid w:val="00C57052"/>
    <w:rsid w:val="00C57F93"/>
    <w:rsid w:val="00C60496"/>
    <w:rsid w:val="00C6122B"/>
    <w:rsid w:val="00C619EB"/>
    <w:rsid w:val="00C62013"/>
    <w:rsid w:val="00C6211B"/>
    <w:rsid w:val="00C636FC"/>
    <w:rsid w:val="00C65778"/>
    <w:rsid w:val="00C659D2"/>
    <w:rsid w:val="00C65AB9"/>
    <w:rsid w:val="00C66154"/>
    <w:rsid w:val="00C668AE"/>
    <w:rsid w:val="00C66C9F"/>
    <w:rsid w:val="00C67FF1"/>
    <w:rsid w:val="00C704EE"/>
    <w:rsid w:val="00C70A89"/>
    <w:rsid w:val="00C713E8"/>
    <w:rsid w:val="00C714C3"/>
    <w:rsid w:val="00C71B7E"/>
    <w:rsid w:val="00C71E82"/>
    <w:rsid w:val="00C71FA3"/>
    <w:rsid w:val="00C73658"/>
    <w:rsid w:val="00C740FA"/>
    <w:rsid w:val="00C74B1F"/>
    <w:rsid w:val="00C75124"/>
    <w:rsid w:val="00C76F63"/>
    <w:rsid w:val="00C778B8"/>
    <w:rsid w:val="00C80294"/>
    <w:rsid w:val="00C80F0D"/>
    <w:rsid w:val="00C812E9"/>
    <w:rsid w:val="00C82519"/>
    <w:rsid w:val="00C83043"/>
    <w:rsid w:val="00C8621A"/>
    <w:rsid w:val="00C872DC"/>
    <w:rsid w:val="00C90090"/>
    <w:rsid w:val="00C91335"/>
    <w:rsid w:val="00C92E2E"/>
    <w:rsid w:val="00C93349"/>
    <w:rsid w:val="00C93A41"/>
    <w:rsid w:val="00C93B15"/>
    <w:rsid w:val="00C9400B"/>
    <w:rsid w:val="00C94107"/>
    <w:rsid w:val="00C942D5"/>
    <w:rsid w:val="00C94C31"/>
    <w:rsid w:val="00C971ED"/>
    <w:rsid w:val="00CA00F4"/>
    <w:rsid w:val="00CA0E47"/>
    <w:rsid w:val="00CA1297"/>
    <w:rsid w:val="00CA23CB"/>
    <w:rsid w:val="00CA375F"/>
    <w:rsid w:val="00CA427B"/>
    <w:rsid w:val="00CA540C"/>
    <w:rsid w:val="00CA65F9"/>
    <w:rsid w:val="00CA7213"/>
    <w:rsid w:val="00CA7AF8"/>
    <w:rsid w:val="00CA7E24"/>
    <w:rsid w:val="00CB0470"/>
    <w:rsid w:val="00CB0822"/>
    <w:rsid w:val="00CB0CC0"/>
    <w:rsid w:val="00CB17E0"/>
    <w:rsid w:val="00CB1910"/>
    <w:rsid w:val="00CB3618"/>
    <w:rsid w:val="00CB6466"/>
    <w:rsid w:val="00CB655F"/>
    <w:rsid w:val="00CB6867"/>
    <w:rsid w:val="00CB6AEC"/>
    <w:rsid w:val="00CB73C4"/>
    <w:rsid w:val="00CB7DFA"/>
    <w:rsid w:val="00CB7F09"/>
    <w:rsid w:val="00CC0C91"/>
    <w:rsid w:val="00CC0CB7"/>
    <w:rsid w:val="00CC1F25"/>
    <w:rsid w:val="00CC1F81"/>
    <w:rsid w:val="00CC2289"/>
    <w:rsid w:val="00CC2314"/>
    <w:rsid w:val="00CC25B0"/>
    <w:rsid w:val="00CC547B"/>
    <w:rsid w:val="00CC55C7"/>
    <w:rsid w:val="00CC58FA"/>
    <w:rsid w:val="00CC5D15"/>
    <w:rsid w:val="00CC5EB6"/>
    <w:rsid w:val="00CC761E"/>
    <w:rsid w:val="00CC76AB"/>
    <w:rsid w:val="00CC7A2B"/>
    <w:rsid w:val="00CD0CB4"/>
    <w:rsid w:val="00CD1214"/>
    <w:rsid w:val="00CD1714"/>
    <w:rsid w:val="00CD17AF"/>
    <w:rsid w:val="00CD1B77"/>
    <w:rsid w:val="00CD3368"/>
    <w:rsid w:val="00CD39D6"/>
    <w:rsid w:val="00CD3E68"/>
    <w:rsid w:val="00CD6099"/>
    <w:rsid w:val="00CD6DB2"/>
    <w:rsid w:val="00CD7942"/>
    <w:rsid w:val="00CE1E29"/>
    <w:rsid w:val="00CE28E6"/>
    <w:rsid w:val="00CE31A6"/>
    <w:rsid w:val="00CE3A92"/>
    <w:rsid w:val="00CE5067"/>
    <w:rsid w:val="00CE5BA3"/>
    <w:rsid w:val="00CE784E"/>
    <w:rsid w:val="00CF05D9"/>
    <w:rsid w:val="00CF0DBA"/>
    <w:rsid w:val="00CF18BE"/>
    <w:rsid w:val="00CF1D43"/>
    <w:rsid w:val="00CF208F"/>
    <w:rsid w:val="00CF2912"/>
    <w:rsid w:val="00CF31EC"/>
    <w:rsid w:val="00CF3674"/>
    <w:rsid w:val="00CF3856"/>
    <w:rsid w:val="00CF406C"/>
    <w:rsid w:val="00CF4A88"/>
    <w:rsid w:val="00CF53D2"/>
    <w:rsid w:val="00CF5953"/>
    <w:rsid w:val="00CF5B6B"/>
    <w:rsid w:val="00CF62C0"/>
    <w:rsid w:val="00CF7458"/>
    <w:rsid w:val="00D0096F"/>
    <w:rsid w:val="00D0108C"/>
    <w:rsid w:val="00D01A20"/>
    <w:rsid w:val="00D02C9F"/>
    <w:rsid w:val="00D02DCB"/>
    <w:rsid w:val="00D039AE"/>
    <w:rsid w:val="00D046DE"/>
    <w:rsid w:val="00D04DCD"/>
    <w:rsid w:val="00D05544"/>
    <w:rsid w:val="00D06882"/>
    <w:rsid w:val="00D06DF6"/>
    <w:rsid w:val="00D07268"/>
    <w:rsid w:val="00D07A65"/>
    <w:rsid w:val="00D07D69"/>
    <w:rsid w:val="00D106CF"/>
    <w:rsid w:val="00D10B41"/>
    <w:rsid w:val="00D11207"/>
    <w:rsid w:val="00D117C6"/>
    <w:rsid w:val="00D11F2C"/>
    <w:rsid w:val="00D12263"/>
    <w:rsid w:val="00D1295D"/>
    <w:rsid w:val="00D12A42"/>
    <w:rsid w:val="00D12E68"/>
    <w:rsid w:val="00D1311C"/>
    <w:rsid w:val="00D136B9"/>
    <w:rsid w:val="00D1437C"/>
    <w:rsid w:val="00D14B5D"/>
    <w:rsid w:val="00D14E10"/>
    <w:rsid w:val="00D14F3C"/>
    <w:rsid w:val="00D16E58"/>
    <w:rsid w:val="00D17085"/>
    <w:rsid w:val="00D201EA"/>
    <w:rsid w:val="00D203E9"/>
    <w:rsid w:val="00D20CE8"/>
    <w:rsid w:val="00D21736"/>
    <w:rsid w:val="00D221D6"/>
    <w:rsid w:val="00D22CE3"/>
    <w:rsid w:val="00D22EE5"/>
    <w:rsid w:val="00D23904"/>
    <w:rsid w:val="00D23EDE"/>
    <w:rsid w:val="00D248A1"/>
    <w:rsid w:val="00D25BCC"/>
    <w:rsid w:val="00D263C1"/>
    <w:rsid w:val="00D26DC3"/>
    <w:rsid w:val="00D276F1"/>
    <w:rsid w:val="00D305F0"/>
    <w:rsid w:val="00D30E1E"/>
    <w:rsid w:val="00D3151E"/>
    <w:rsid w:val="00D321B0"/>
    <w:rsid w:val="00D32A44"/>
    <w:rsid w:val="00D32D6A"/>
    <w:rsid w:val="00D349E6"/>
    <w:rsid w:val="00D34C79"/>
    <w:rsid w:val="00D34FF8"/>
    <w:rsid w:val="00D35E34"/>
    <w:rsid w:val="00D36276"/>
    <w:rsid w:val="00D36892"/>
    <w:rsid w:val="00D372F9"/>
    <w:rsid w:val="00D4156A"/>
    <w:rsid w:val="00D41A32"/>
    <w:rsid w:val="00D420BB"/>
    <w:rsid w:val="00D425D0"/>
    <w:rsid w:val="00D437D0"/>
    <w:rsid w:val="00D44027"/>
    <w:rsid w:val="00D44498"/>
    <w:rsid w:val="00D4500D"/>
    <w:rsid w:val="00D45F5A"/>
    <w:rsid w:val="00D50057"/>
    <w:rsid w:val="00D509CD"/>
    <w:rsid w:val="00D50BAF"/>
    <w:rsid w:val="00D50DD5"/>
    <w:rsid w:val="00D50F8D"/>
    <w:rsid w:val="00D5208C"/>
    <w:rsid w:val="00D520FA"/>
    <w:rsid w:val="00D52898"/>
    <w:rsid w:val="00D52D32"/>
    <w:rsid w:val="00D54308"/>
    <w:rsid w:val="00D549FE"/>
    <w:rsid w:val="00D551EE"/>
    <w:rsid w:val="00D5568E"/>
    <w:rsid w:val="00D5597E"/>
    <w:rsid w:val="00D5649F"/>
    <w:rsid w:val="00D56951"/>
    <w:rsid w:val="00D57741"/>
    <w:rsid w:val="00D57899"/>
    <w:rsid w:val="00D60074"/>
    <w:rsid w:val="00D603E3"/>
    <w:rsid w:val="00D60400"/>
    <w:rsid w:val="00D61D9F"/>
    <w:rsid w:val="00D62E87"/>
    <w:rsid w:val="00D63242"/>
    <w:rsid w:val="00D649FB"/>
    <w:rsid w:val="00D64FC1"/>
    <w:rsid w:val="00D65324"/>
    <w:rsid w:val="00D655DE"/>
    <w:rsid w:val="00D65E9D"/>
    <w:rsid w:val="00D66C5A"/>
    <w:rsid w:val="00D66FE0"/>
    <w:rsid w:val="00D70308"/>
    <w:rsid w:val="00D703D4"/>
    <w:rsid w:val="00D72982"/>
    <w:rsid w:val="00D730FD"/>
    <w:rsid w:val="00D735AF"/>
    <w:rsid w:val="00D75953"/>
    <w:rsid w:val="00D760AC"/>
    <w:rsid w:val="00D76D23"/>
    <w:rsid w:val="00D77217"/>
    <w:rsid w:val="00D8033B"/>
    <w:rsid w:val="00D80B15"/>
    <w:rsid w:val="00D811CA"/>
    <w:rsid w:val="00D813A6"/>
    <w:rsid w:val="00D8277D"/>
    <w:rsid w:val="00D82FF2"/>
    <w:rsid w:val="00D83525"/>
    <w:rsid w:val="00D83D51"/>
    <w:rsid w:val="00D83D9A"/>
    <w:rsid w:val="00D84E05"/>
    <w:rsid w:val="00D86805"/>
    <w:rsid w:val="00D86B15"/>
    <w:rsid w:val="00D86F72"/>
    <w:rsid w:val="00D91351"/>
    <w:rsid w:val="00D929DA"/>
    <w:rsid w:val="00D92A69"/>
    <w:rsid w:val="00D934B0"/>
    <w:rsid w:val="00D93652"/>
    <w:rsid w:val="00D93B8C"/>
    <w:rsid w:val="00D96E78"/>
    <w:rsid w:val="00D979CF"/>
    <w:rsid w:val="00D97D9C"/>
    <w:rsid w:val="00DA00DC"/>
    <w:rsid w:val="00DA0106"/>
    <w:rsid w:val="00DA01CC"/>
    <w:rsid w:val="00DA0827"/>
    <w:rsid w:val="00DA1734"/>
    <w:rsid w:val="00DA1A9B"/>
    <w:rsid w:val="00DA20C9"/>
    <w:rsid w:val="00DA2C5E"/>
    <w:rsid w:val="00DA2D41"/>
    <w:rsid w:val="00DA3310"/>
    <w:rsid w:val="00DA3588"/>
    <w:rsid w:val="00DA408B"/>
    <w:rsid w:val="00DA4A02"/>
    <w:rsid w:val="00DA54EA"/>
    <w:rsid w:val="00DA58A3"/>
    <w:rsid w:val="00DA5D69"/>
    <w:rsid w:val="00DA612C"/>
    <w:rsid w:val="00DB062B"/>
    <w:rsid w:val="00DB0EF5"/>
    <w:rsid w:val="00DB0FAB"/>
    <w:rsid w:val="00DB1201"/>
    <w:rsid w:val="00DB12D1"/>
    <w:rsid w:val="00DB13AB"/>
    <w:rsid w:val="00DB1747"/>
    <w:rsid w:val="00DB18C6"/>
    <w:rsid w:val="00DB2DA1"/>
    <w:rsid w:val="00DB5407"/>
    <w:rsid w:val="00DB5CC7"/>
    <w:rsid w:val="00DB64EE"/>
    <w:rsid w:val="00DB669C"/>
    <w:rsid w:val="00DB7CEE"/>
    <w:rsid w:val="00DC1E0D"/>
    <w:rsid w:val="00DC1E4E"/>
    <w:rsid w:val="00DC23F6"/>
    <w:rsid w:val="00DC3B09"/>
    <w:rsid w:val="00DC3F7B"/>
    <w:rsid w:val="00DC4656"/>
    <w:rsid w:val="00DC481F"/>
    <w:rsid w:val="00DC4938"/>
    <w:rsid w:val="00DC512E"/>
    <w:rsid w:val="00DC54A6"/>
    <w:rsid w:val="00DC5D6A"/>
    <w:rsid w:val="00DC6365"/>
    <w:rsid w:val="00DC6743"/>
    <w:rsid w:val="00DC7A74"/>
    <w:rsid w:val="00DD02B3"/>
    <w:rsid w:val="00DD3386"/>
    <w:rsid w:val="00DD35B2"/>
    <w:rsid w:val="00DD507D"/>
    <w:rsid w:val="00DD51C3"/>
    <w:rsid w:val="00DD593B"/>
    <w:rsid w:val="00DD62CE"/>
    <w:rsid w:val="00DD654A"/>
    <w:rsid w:val="00DD68AE"/>
    <w:rsid w:val="00DD6CD4"/>
    <w:rsid w:val="00DD6F02"/>
    <w:rsid w:val="00DD7129"/>
    <w:rsid w:val="00DD7B40"/>
    <w:rsid w:val="00DE0369"/>
    <w:rsid w:val="00DE07BA"/>
    <w:rsid w:val="00DE08C2"/>
    <w:rsid w:val="00DE1E57"/>
    <w:rsid w:val="00DE1E92"/>
    <w:rsid w:val="00DE2680"/>
    <w:rsid w:val="00DE2EB3"/>
    <w:rsid w:val="00DE3432"/>
    <w:rsid w:val="00DE3A13"/>
    <w:rsid w:val="00DE4B4C"/>
    <w:rsid w:val="00DE5152"/>
    <w:rsid w:val="00DE74DB"/>
    <w:rsid w:val="00DE7F8C"/>
    <w:rsid w:val="00DF16BB"/>
    <w:rsid w:val="00DF1FEE"/>
    <w:rsid w:val="00DF2908"/>
    <w:rsid w:val="00DF3365"/>
    <w:rsid w:val="00DF4C1E"/>
    <w:rsid w:val="00DF5070"/>
    <w:rsid w:val="00DF50FE"/>
    <w:rsid w:val="00DF5621"/>
    <w:rsid w:val="00DF6C3A"/>
    <w:rsid w:val="00DF6C73"/>
    <w:rsid w:val="00E00945"/>
    <w:rsid w:val="00E013DD"/>
    <w:rsid w:val="00E03101"/>
    <w:rsid w:val="00E031FD"/>
    <w:rsid w:val="00E0370F"/>
    <w:rsid w:val="00E03A23"/>
    <w:rsid w:val="00E03DEB"/>
    <w:rsid w:val="00E04172"/>
    <w:rsid w:val="00E0439B"/>
    <w:rsid w:val="00E0531B"/>
    <w:rsid w:val="00E057DD"/>
    <w:rsid w:val="00E07025"/>
    <w:rsid w:val="00E07927"/>
    <w:rsid w:val="00E100A6"/>
    <w:rsid w:val="00E10275"/>
    <w:rsid w:val="00E10F89"/>
    <w:rsid w:val="00E1365A"/>
    <w:rsid w:val="00E13D50"/>
    <w:rsid w:val="00E14A65"/>
    <w:rsid w:val="00E14FE4"/>
    <w:rsid w:val="00E15933"/>
    <w:rsid w:val="00E16001"/>
    <w:rsid w:val="00E1620B"/>
    <w:rsid w:val="00E16795"/>
    <w:rsid w:val="00E169D0"/>
    <w:rsid w:val="00E17264"/>
    <w:rsid w:val="00E174FA"/>
    <w:rsid w:val="00E17CC6"/>
    <w:rsid w:val="00E17EF6"/>
    <w:rsid w:val="00E20D38"/>
    <w:rsid w:val="00E2145D"/>
    <w:rsid w:val="00E216B5"/>
    <w:rsid w:val="00E21A4C"/>
    <w:rsid w:val="00E23207"/>
    <w:rsid w:val="00E248B8"/>
    <w:rsid w:val="00E24DBE"/>
    <w:rsid w:val="00E261CD"/>
    <w:rsid w:val="00E31502"/>
    <w:rsid w:val="00E331E1"/>
    <w:rsid w:val="00E34F7C"/>
    <w:rsid w:val="00E35EF8"/>
    <w:rsid w:val="00E37053"/>
    <w:rsid w:val="00E373EC"/>
    <w:rsid w:val="00E374C2"/>
    <w:rsid w:val="00E400E5"/>
    <w:rsid w:val="00E405D1"/>
    <w:rsid w:val="00E41333"/>
    <w:rsid w:val="00E4135B"/>
    <w:rsid w:val="00E425BA"/>
    <w:rsid w:val="00E428E6"/>
    <w:rsid w:val="00E42AC4"/>
    <w:rsid w:val="00E448CC"/>
    <w:rsid w:val="00E45540"/>
    <w:rsid w:val="00E45844"/>
    <w:rsid w:val="00E459E7"/>
    <w:rsid w:val="00E50494"/>
    <w:rsid w:val="00E50CF6"/>
    <w:rsid w:val="00E50DED"/>
    <w:rsid w:val="00E51B86"/>
    <w:rsid w:val="00E53C62"/>
    <w:rsid w:val="00E53E81"/>
    <w:rsid w:val="00E53F95"/>
    <w:rsid w:val="00E55D2B"/>
    <w:rsid w:val="00E5619C"/>
    <w:rsid w:val="00E56F25"/>
    <w:rsid w:val="00E57029"/>
    <w:rsid w:val="00E57141"/>
    <w:rsid w:val="00E57A82"/>
    <w:rsid w:val="00E60B83"/>
    <w:rsid w:val="00E619EF"/>
    <w:rsid w:val="00E6252F"/>
    <w:rsid w:val="00E62919"/>
    <w:rsid w:val="00E63187"/>
    <w:rsid w:val="00E63B89"/>
    <w:rsid w:val="00E6554B"/>
    <w:rsid w:val="00E65651"/>
    <w:rsid w:val="00E65BBF"/>
    <w:rsid w:val="00E66DAD"/>
    <w:rsid w:val="00E66E6C"/>
    <w:rsid w:val="00E7089E"/>
    <w:rsid w:val="00E71041"/>
    <w:rsid w:val="00E71B5C"/>
    <w:rsid w:val="00E72539"/>
    <w:rsid w:val="00E72C84"/>
    <w:rsid w:val="00E73424"/>
    <w:rsid w:val="00E7390B"/>
    <w:rsid w:val="00E73BAC"/>
    <w:rsid w:val="00E73CCD"/>
    <w:rsid w:val="00E750E4"/>
    <w:rsid w:val="00E779AD"/>
    <w:rsid w:val="00E8024B"/>
    <w:rsid w:val="00E806F6"/>
    <w:rsid w:val="00E80B32"/>
    <w:rsid w:val="00E80E6D"/>
    <w:rsid w:val="00E81C4F"/>
    <w:rsid w:val="00E82066"/>
    <w:rsid w:val="00E822EF"/>
    <w:rsid w:val="00E8347C"/>
    <w:rsid w:val="00E83677"/>
    <w:rsid w:val="00E8422F"/>
    <w:rsid w:val="00E85525"/>
    <w:rsid w:val="00E85735"/>
    <w:rsid w:val="00E85EA4"/>
    <w:rsid w:val="00E86199"/>
    <w:rsid w:val="00E864B5"/>
    <w:rsid w:val="00E9140D"/>
    <w:rsid w:val="00E9183F"/>
    <w:rsid w:val="00E9252C"/>
    <w:rsid w:val="00E927A9"/>
    <w:rsid w:val="00E93751"/>
    <w:rsid w:val="00E9389A"/>
    <w:rsid w:val="00E94973"/>
    <w:rsid w:val="00E949EE"/>
    <w:rsid w:val="00E9520D"/>
    <w:rsid w:val="00E956B6"/>
    <w:rsid w:val="00E960FA"/>
    <w:rsid w:val="00E965CA"/>
    <w:rsid w:val="00E9671C"/>
    <w:rsid w:val="00E96879"/>
    <w:rsid w:val="00E975CC"/>
    <w:rsid w:val="00E97886"/>
    <w:rsid w:val="00E978AD"/>
    <w:rsid w:val="00EA19F6"/>
    <w:rsid w:val="00EA2980"/>
    <w:rsid w:val="00EA2C8A"/>
    <w:rsid w:val="00EA44CF"/>
    <w:rsid w:val="00EA4600"/>
    <w:rsid w:val="00EA5059"/>
    <w:rsid w:val="00EA610C"/>
    <w:rsid w:val="00EA69BF"/>
    <w:rsid w:val="00EA7ED2"/>
    <w:rsid w:val="00EB0A4C"/>
    <w:rsid w:val="00EB0B29"/>
    <w:rsid w:val="00EB1AF3"/>
    <w:rsid w:val="00EB1BCB"/>
    <w:rsid w:val="00EB1C49"/>
    <w:rsid w:val="00EB1E26"/>
    <w:rsid w:val="00EB2472"/>
    <w:rsid w:val="00EB27A6"/>
    <w:rsid w:val="00EB27F4"/>
    <w:rsid w:val="00EB2995"/>
    <w:rsid w:val="00EB2E49"/>
    <w:rsid w:val="00EB3431"/>
    <w:rsid w:val="00EB5A70"/>
    <w:rsid w:val="00EB6226"/>
    <w:rsid w:val="00EB6719"/>
    <w:rsid w:val="00EB7679"/>
    <w:rsid w:val="00EB785E"/>
    <w:rsid w:val="00EB7874"/>
    <w:rsid w:val="00EB7F85"/>
    <w:rsid w:val="00EC097D"/>
    <w:rsid w:val="00EC0A5A"/>
    <w:rsid w:val="00EC141D"/>
    <w:rsid w:val="00EC1458"/>
    <w:rsid w:val="00EC1EB7"/>
    <w:rsid w:val="00EC20C3"/>
    <w:rsid w:val="00EC2FC2"/>
    <w:rsid w:val="00EC62EB"/>
    <w:rsid w:val="00EC62EC"/>
    <w:rsid w:val="00EC6CCA"/>
    <w:rsid w:val="00EC7555"/>
    <w:rsid w:val="00ED0123"/>
    <w:rsid w:val="00ED05E4"/>
    <w:rsid w:val="00ED118F"/>
    <w:rsid w:val="00ED19DF"/>
    <w:rsid w:val="00ED1BFE"/>
    <w:rsid w:val="00ED1D25"/>
    <w:rsid w:val="00ED26BD"/>
    <w:rsid w:val="00ED2E2E"/>
    <w:rsid w:val="00ED3341"/>
    <w:rsid w:val="00ED357B"/>
    <w:rsid w:val="00ED4054"/>
    <w:rsid w:val="00ED428F"/>
    <w:rsid w:val="00ED44FF"/>
    <w:rsid w:val="00ED4C62"/>
    <w:rsid w:val="00ED5DA6"/>
    <w:rsid w:val="00ED611F"/>
    <w:rsid w:val="00ED6D11"/>
    <w:rsid w:val="00ED6DFB"/>
    <w:rsid w:val="00ED6E4B"/>
    <w:rsid w:val="00ED74EC"/>
    <w:rsid w:val="00ED7944"/>
    <w:rsid w:val="00ED7AFA"/>
    <w:rsid w:val="00EE0185"/>
    <w:rsid w:val="00EE0736"/>
    <w:rsid w:val="00EE1976"/>
    <w:rsid w:val="00EE2296"/>
    <w:rsid w:val="00EE3466"/>
    <w:rsid w:val="00EE3D0D"/>
    <w:rsid w:val="00EE40AB"/>
    <w:rsid w:val="00EE4544"/>
    <w:rsid w:val="00EE59E1"/>
    <w:rsid w:val="00EE683C"/>
    <w:rsid w:val="00EE6959"/>
    <w:rsid w:val="00EF0966"/>
    <w:rsid w:val="00EF0AB0"/>
    <w:rsid w:val="00EF1EFD"/>
    <w:rsid w:val="00EF39A1"/>
    <w:rsid w:val="00EF3BBC"/>
    <w:rsid w:val="00EF4A50"/>
    <w:rsid w:val="00EF614D"/>
    <w:rsid w:val="00EF6BFD"/>
    <w:rsid w:val="00EF7660"/>
    <w:rsid w:val="00F00BE8"/>
    <w:rsid w:val="00F01154"/>
    <w:rsid w:val="00F02BF7"/>
    <w:rsid w:val="00F03345"/>
    <w:rsid w:val="00F04B0A"/>
    <w:rsid w:val="00F05DDE"/>
    <w:rsid w:val="00F05E77"/>
    <w:rsid w:val="00F063BB"/>
    <w:rsid w:val="00F06832"/>
    <w:rsid w:val="00F12B1F"/>
    <w:rsid w:val="00F12FBF"/>
    <w:rsid w:val="00F133A3"/>
    <w:rsid w:val="00F134BC"/>
    <w:rsid w:val="00F13837"/>
    <w:rsid w:val="00F13C45"/>
    <w:rsid w:val="00F15077"/>
    <w:rsid w:val="00F151C6"/>
    <w:rsid w:val="00F152CD"/>
    <w:rsid w:val="00F15A08"/>
    <w:rsid w:val="00F17BA3"/>
    <w:rsid w:val="00F20157"/>
    <w:rsid w:val="00F204D5"/>
    <w:rsid w:val="00F21D9C"/>
    <w:rsid w:val="00F22106"/>
    <w:rsid w:val="00F22221"/>
    <w:rsid w:val="00F230B6"/>
    <w:rsid w:val="00F23650"/>
    <w:rsid w:val="00F249B9"/>
    <w:rsid w:val="00F24CC3"/>
    <w:rsid w:val="00F250D0"/>
    <w:rsid w:val="00F2671E"/>
    <w:rsid w:val="00F26827"/>
    <w:rsid w:val="00F31824"/>
    <w:rsid w:val="00F31EA9"/>
    <w:rsid w:val="00F33CA9"/>
    <w:rsid w:val="00F33F2F"/>
    <w:rsid w:val="00F3404C"/>
    <w:rsid w:val="00F34641"/>
    <w:rsid w:val="00F357D2"/>
    <w:rsid w:val="00F35D14"/>
    <w:rsid w:val="00F36594"/>
    <w:rsid w:val="00F3669D"/>
    <w:rsid w:val="00F37354"/>
    <w:rsid w:val="00F373EE"/>
    <w:rsid w:val="00F37D59"/>
    <w:rsid w:val="00F40194"/>
    <w:rsid w:val="00F40505"/>
    <w:rsid w:val="00F4058D"/>
    <w:rsid w:val="00F40F71"/>
    <w:rsid w:val="00F41C4B"/>
    <w:rsid w:val="00F42362"/>
    <w:rsid w:val="00F437BF"/>
    <w:rsid w:val="00F4426F"/>
    <w:rsid w:val="00F443E2"/>
    <w:rsid w:val="00F44C92"/>
    <w:rsid w:val="00F46597"/>
    <w:rsid w:val="00F46876"/>
    <w:rsid w:val="00F502EE"/>
    <w:rsid w:val="00F50DDC"/>
    <w:rsid w:val="00F512B4"/>
    <w:rsid w:val="00F51E17"/>
    <w:rsid w:val="00F524A1"/>
    <w:rsid w:val="00F52575"/>
    <w:rsid w:val="00F529AD"/>
    <w:rsid w:val="00F52D77"/>
    <w:rsid w:val="00F5304A"/>
    <w:rsid w:val="00F5321F"/>
    <w:rsid w:val="00F53A42"/>
    <w:rsid w:val="00F557ED"/>
    <w:rsid w:val="00F55905"/>
    <w:rsid w:val="00F55A23"/>
    <w:rsid w:val="00F55BCD"/>
    <w:rsid w:val="00F55FFF"/>
    <w:rsid w:val="00F561A8"/>
    <w:rsid w:val="00F5747A"/>
    <w:rsid w:val="00F60ECD"/>
    <w:rsid w:val="00F611A4"/>
    <w:rsid w:val="00F63461"/>
    <w:rsid w:val="00F63700"/>
    <w:rsid w:val="00F64178"/>
    <w:rsid w:val="00F64674"/>
    <w:rsid w:val="00F64F87"/>
    <w:rsid w:val="00F6543A"/>
    <w:rsid w:val="00F6547A"/>
    <w:rsid w:val="00F66038"/>
    <w:rsid w:val="00F6658B"/>
    <w:rsid w:val="00F67FD1"/>
    <w:rsid w:val="00F71111"/>
    <w:rsid w:val="00F72D2B"/>
    <w:rsid w:val="00F72F09"/>
    <w:rsid w:val="00F73926"/>
    <w:rsid w:val="00F74239"/>
    <w:rsid w:val="00F74673"/>
    <w:rsid w:val="00F75D47"/>
    <w:rsid w:val="00F76609"/>
    <w:rsid w:val="00F767EC"/>
    <w:rsid w:val="00F76C91"/>
    <w:rsid w:val="00F772FC"/>
    <w:rsid w:val="00F77619"/>
    <w:rsid w:val="00F77CC3"/>
    <w:rsid w:val="00F805EC"/>
    <w:rsid w:val="00F80626"/>
    <w:rsid w:val="00F8079E"/>
    <w:rsid w:val="00F81A03"/>
    <w:rsid w:val="00F82C1E"/>
    <w:rsid w:val="00F82F66"/>
    <w:rsid w:val="00F830FB"/>
    <w:rsid w:val="00F8327A"/>
    <w:rsid w:val="00F83A25"/>
    <w:rsid w:val="00F85215"/>
    <w:rsid w:val="00F85461"/>
    <w:rsid w:val="00F85B17"/>
    <w:rsid w:val="00F85D31"/>
    <w:rsid w:val="00F8735E"/>
    <w:rsid w:val="00F876FC"/>
    <w:rsid w:val="00F87963"/>
    <w:rsid w:val="00F908E6"/>
    <w:rsid w:val="00F90A9B"/>
    <w:rsid w:val="00F90B52"/>
    <w:rsid w:val="00F91091"/>
    <w:rsid w:val="00F917D4"/>
    <w:rsid w:val="00F918D8"/>
    <w:rsid w:val="00F91E7B"/>
    <w:rsid w:val="00F92CF8"/>
    <w:rsid w:val="00F93631"/>
    <w:rsid w:val="00F947F1"/>
    <w:rsid w:val="00F94B32"/>
    <w:rsid w:val="00F95668"/>
    <w:rsid w:val="00F95A8A"/>
    <w:rsid w:val="00F95B14"/>
    <w:rsid w:val="00F95FDB"/>
    <w:rsid w:val="00F96DBA"/>
    <w:rsid w:val="00F96FFC"/>
    <w:rsid w:val="00F97044"/>
    <w:rsid w:val="00F973C7"/>
    <w:rsid w:val="00FA15BD"/>
    <w:rsid w:val="00FA15C3"/>
    <w:rsid w:val="00FA208D"/>
    <w:rsid w:val="00FA2174"/>
    <w:rsid w:val="00FA3A4A"/>
    <w:rsid w:val="00FA3E3F"/>
    <w:rsid w:val="00FA4BE4"/>
    <w:rsid w:val="00FA5B95"/>
    <w:rsid w:val="00FA6E07"/>
    <w:rsid w:val="00FA7D60"/>
    <w:rsid w:val="00FB0267"/>
    <w:rsid w:val="00FB035B"/>
    <w:rsid w:val="00FB070F"/>
    <w:rsid w:val="00FB0824"/>
    <w:rsid w:val="00FB0941"/>
    <w:rsid w:val="00FB17C1"/>
    <w:rsid w:val="00FB1BDA"/>
    <w:rsid w:val="00FB252D"/>
    <w:rsid w:val="00FB2736"/>
    <w:rsid w:val="00FB2A12"/>
    <w:rsid w:val="00FB2BB6"/>
    <w:rsid w:val="00FB3133"/>
    <w:rsid w:val="00FB4757"/>
    <w:rsid w:val="00FB556F"/>
    <w:rsid w:val="00FB58CD"/>
    <w:rsid w:val="00FB7400"/>
    <w:rsid w:val="00FB7CDE"/>
    <w:rsid w:val="00FC043B"/>
    <w:rsid w:val="00FC0783"/>
    <w:rsid w:val="00FC20A3"/>
    <w:rsid w:val="00FC2AB3"/>
    <w:rsid w:val="00FC36FA"/>
    <w:rsid w:val="00FC3BA2"/>
    <w:rsid w:val="00FC41E9"/>
    <w:rsid w:val="00FC431F"/>
    <w:rsid w:val="00FC501B"/>
    <w:rsid w:val="00FC5588"/>
    <w:rsid w:val="00FC612B"/>
    <w:rsid w:val="00FC616F"/>
    <w:rsid w:val="00FC6F37"/>
    <w:rsid w:val="00FD1919"/>
    <w:rsid w:val="00FD21EC"/>
    <w:rsid w:val="00FD37F6"/>
    <w:rsid w:val="00FD3F2A"/>
    <w:rsid w:val="00FD3F8A"/>
    <w:rsid w:val="00FD59A8"/>
    <w:rsid w:val="00FD6286"/>
    <w:rsid w:val="00FD6A58"/>
    <w:rsid w:val="00FD7124"/>
    <w:rsid w:val="00FD755D"/>
    <w:rsid w:val="00FD764E"/>
    <w:rsid w:val="00FD7863"/>
    <w:rsid w:val="00FD7A4C"/>
    <w:rsid w:val="00FD7CFF"/>
    <w:rsid w:val="00FE142D"/>
    <w:rsid w:val="00FE3E20"/>
    <w:rsid w:val="00FE4551"/>
    <w:rsid w:val="00FE47ED"/>
    <w:rsid w:val="00FE49AF"/>
    <w:rsid w:val="00FE4C06"/>
    <w:rsid w:val="00FE53D2"/>
    <w:rsid w:val="00FE5635"/>
    <w:rsid w:val="00FE5EEB"/>
    <w:rsid w:val="00FE664C"/>
    <w:rsid w:val="00FF0539"/>
    <w:rsid w:val="00FF126A"/>
    <w:rsid w:val="00FF16C0"/>
    <w:rsid w:val="00FF19B0"/>
    <w:rsid w:val="00FF1CC9"/>
    <w:rsid w:val="00FF44EF"/>
    <w:rsid w:val="00FF57C8"/>
    <w:rsid w:val="00FF610F"/>
    <w:rsid w:val="00FF6A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F6278"/>
  <w15:docId w15:val="{7B87F670-6AE2-4BBC-A024-CF2A9614F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76F"/>
    <w:rPr>
      <w:lang w:val="en-GB"/>
    </w:rPr>
  </w:style>
  <w:style w:type="paragraph" w:styleId="Heading1">
    <w:name w:val="heading 1"/>
    <w:basedOn w:val="a"/>
    <w:next w:val="BodyText"/>
    <w:link w:val="Heading1Char"/>
    <w:qFormat/>
    <w:rsid w:val="005A2FDC"/>
    <w:pPr>
      <w:numPr>
        <w:numId w:val="1"/>
      </w:numPr>
      <w:spacing w:after="240"/>
      <w:ind w:left="431" w:hanging="431"/>
      <w:outlineLvl w:val="0"/>
    </w:pPr>
    <w:rPr>
      <w:b/>
      <w:bCs/>
      <w:color w:val="0F243E" w:themeColor="text2" w:themeShade="80"/>
      <w:sz w:val="36"/>
      <w:szCs w:val="36"/>
      <w:lang w:val="bg-BG"/>
    </w:rPr>
  </w:style>
  <w:style w:type="paragraph" w:styleId="Heading2">
    <w:name w:val="heading 2"/>
    <w:basedOn w:val="a"/>
    <w:next w:val="BodyText"/>
    <w:link w:val="Heading2Char"/>
    <w:qFormat/>
    <w:rsid w:val="00873603"/>
    <w:pPr>
      <w:numPr>
        <w:ilvl w:val="1"/>
        <w:numId w:val="1"/>
      </w:numPr>
      <w:spacing w:before="200"/>
      <w:outlineLvl w:val="1"/>
    </w:pPr>
    <w:rPr>
      <w:b/>
      <w:bCs/>
      <w:color w:val="0F243E" w:themeColor="text2" w:themeShade="80"/>
      <w:sz w:val="32"/>
      <w:szCs w:val="32"/>
      <w:lang w:val="bg-BG"/>
    </w:rPr>
  </w:style>
  <w:style w:type="paragraph" w:styleId="Heading3">
    <w:name w:val="heading 3"/>
    <w:basedOn w:val="a"/>
    <w:next w:val="BodyText"/>
    <w:link w:val="Heading3Char"/>
    <w:qFormat/>
    <w:rsid w:val="00873603"/>
    <w:pPr>
      <w:numPr>
        <w:ilvl w:val="2"/>
        <w:numId w:val="1"/>
      </w:numPr>
      <w:spacing w:before="140"/>
      <w:ind w:left="0" w:firstLine="0"/>
      <w:outlineLvl w:val="2"/>
    </w:pPr>
    <w:rPr>
      <w:b/>
      <w:bCs/>
      <w:color w:val="0F243E" w:themeColor="text2" w:themeShade="80"/>
      <w:lang w:val="bg-BG"/>
    </w:rPr>
  </w:style>
  <w:style w:type="paragraph" w:styleId="Heading4">
    <w:name w:val="heading 4"/>
    <w:basedOn w:val="a"/>
    <w:next w:val="BodyText"/>
    <w:link w:val="Heading4Char"/>
    <w:qFormat/>
    <w:rsid w:val="00873603"/>
    <w:pPr>
      <w:numPr>
        <w:ilvl w:val="3"/>
        <w:numId w:val="1"/>
      </w:numPr>
      <w:spacing w:before="120"/>
      <w:outlineLvl w:val="3"/>
    </w:pPr>
    <w:rPr>
      <w:b/>
      <w:bCs/>
      <w:iCs/>
      <w:color w:val="0F243E" w:themeColor="text2" w:themeShade="80"/>
      <w:sz w:val="24"/>
      <w:szCs w:val="27"/>
      <w:lang w:val="bg-BG"/>
    </w:rPr>
  </w:style>
  <w:style w:type="paragraph" w:styleId="Heading5">
    <w:name w:val="heading 5"/>
    <w:basedOn w:val="a"/>
    <w:next w:val="BodyText"/>
    <w:link w:val="Heading5Char"/>
    <w:qFormat/>
    <w:rsid w:val="009D4A0E"/>
    <w:pPr>
      <w:numPr>
        <w:ilvl w:val="4"/>
        <w:numId w:val="1"/>
      </w:numPr>
      <w:spacing w:before="120" w:after="60"/>
      <w:outlineLvl w:val="4"/>
    </w:pPr>
    <w:rPr>
      <w:b/>
      <w:bCs/>
      <w:sz w:val="24"/>
      <w:szCs w:val="24"/>
    </w:rPr>
  </w:style>
  <w:style w:type="paragraph" w:styleId="Heading6">
    <w:name w:val="heading 6"/>
    <w:basedOn w:val="a"/>
    <w:next w:val="BodyText"/>
    <w:link w:val="Heading6Char"/>
    <w:qFormat/>
    <w:rsid w:val="009D4A0E"/>
    <w:pPr>
      <w:numPr>
        <w:ilvl w:val="5"/>
        <w:numId w:val="1"/>
      </w:numPr>
      <w:spacing w:before="60" w:after="60"/>
      <w:outlineLvl w:val="5"/>
    </w:pPr>
    <w:rPr>
      <w:b/>
      <w:bCs/>
      <w:i/>
      <w:iCs/>
      <w:sz w:val="24"/>
      <w:szCs w:val="24"/>
    </w:rPr>
  </w:style>
  <w:style w:type="paragraph" w:styleId="Heading7">
    <w:name w:val="heading 7"/>
    <w:basedOn w:val="a"/>
    <w:next w:val="BodyText"/>
    <w:link w:val="Heading7Char"/>
    <w:qFormat/>
    <w:rsid w:val="009D4A0E"/>
    <w:pPr>
      <w:numPr>
        <w:ilvl w:val="6"/>
        <w:numId w:val="1"/>
      </w:numPr>
      <w:spacing w:before="60" w:after="60"/>
      <w:outlineLvl w:val="6"/>
    </w:pPr>
    <w:rPr>
      <w:b/>
      <w:bCs/>
      <w:sz w:val="22"/>
      <w:szCs w:val="22"/>
    </w:rPr>
  </w:style>
  <w:style w:type="paragraph" w:styleId="Heading8">
    <w:name w:val="heading 8"/>
    <w:basedOn w:val="Normal"/>
    <w:next w:val="Normal"/>
    <w:link w:val="Heading8Char"/>
    <w:unhideWhenUsed/>
    <w:qFormat/>
    <w:rsid w:val="00796C2C"/>
    <w:pPr>
      <w:keepNext/>
      <w:keepLines/>
      <w:spacing w:before="80" w:after="0" w:line="264" w:lineRule="auto"/>
      <w:outlineLvl w:val="7"/>
    </w:pPr>
    <w:rPr>
      <w:rFonts w:asciiTheme="majorHAnsi" w:eastAsiaTheme="majorEastAsia" w:hAnsiTheme="majorHAnsi" w:cstheme="majorBidi"/>
      <w:smallCaps/>
      <w:color w:val="595959" w:themeColor="text1" w:themeTint="A6"/>
      <w:sz w:val="21"/>
      <w:szCs w:val="21"/>
      <w:lang w:val="bg-BG"/>
    </w:rPr>
  </w:style>
  <w:style w:type="paragraph" w:styleId="Heading9">
    <w:name w:val="heading 9"/>
    <w:basedOn w:val="Normal"/>
    <w:next w:val="Normal"/>
    <w:link w:val="Heading9Char"/>
    <w:unhideWhenUsed/>
    <w:qFormat/>
    <w:rsid w:val="00796C2C"/>
    <w:pPr>
      <w:keepNext/>
      <w:keepLines/>
      <w:spacing w:before="80" w:after="0" w:line="264" w:lineRule="auto"/>
      <w:outlineLvl w:val="8"/>
    </w:pPr>
    <w:rPr>
      <w:rFonts w:asciiTheme="majorHAnsi" w:eastAsiaTheme="majorEastAsia" w:hAnsiTheme="majorHAnsi" w:cstheme="majorBidi"/>
      <w:i/>
      <w:iCs/>
      <w:smallCaps/>
      <w:color w:val="595959" w:themeColor="text1" w:themeTint="A6"/>
      <w:sz w:val="21"/>
      <w:szCs w:val="21"/>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B862CF"/>
    <w:pPr>
      <w:ind w:left="720"/>
      <w:contextualSpacing/>
    </w:pPr>
  </w:style>
  <w:style w:type="paragraph" w:customStyle="1" w:styleId="Default">
    <w:name w:val="Default"/>
    <w:qFormat/>
    <w:rsid w:val="008C2231"/>
    <w:pPr>
      <w:autoSpaceDE w:val="0"/>
      <w:autoSpaceDN w:val="0"/>
      <w:adjustRightInd w:val="0"/>
      <w:spacing w:after="0" w:line="240" w:lineRule="auto"/>
    </w:pPr>
    <w:rPr>
      <w:rFonts w:ascii="Times New Roman" w:hAnsi="Times New Roman" w:cs="Calibri"/>
      <w:color w:val="000000"/>
      <w:sz w:val="24"/>
      <w:szCs w:val="24"/>
    </w:rPr>
  </w:style>
  <w:style w:type="paragraph" w:styleId="Header">
    <w:name w:val="header"/>
    <w:basedOn w:val="Normal"/>
    <w:link w:val="HeaderChar"/>
    <w:uiPriority w:val="99"/>
    <w:unhideWhenUsed/>
    <w:rsid w:val="00E23207"/>
    <w:pPr>
      <w:tabs>
        <w:tab w:val="center" w:pos="4703"/>
        <w:tab w:val="right" w:pos="9406"/>
      </w:tabs>
      <w:spacing w:after="0" w:line="240" w:lineRule="auto"/>
    </w:pPr>
  </w:style>
  <w:style w:type="character" w:customStyle="1" w:styleId="HeaderChar">
    <w:name w:val="Header Char"/>
    <w:basedOn w:val="DefaultParagraphFont"/>
    <w:link w:val="Header"/>
    <w:uiPriority w:val="99"/>
    <w:qFormat/>
    <w:rsid w:val="00E23207"/>
    <w:rPr>
      <w:lang w:val="en-GB"/>
    </w:rPr>
  </w:style>
  <w:style w:type="paragraph" w:styleId="Footer">
    <w:name w:val="footer"/>
    <w:basedOn w:val="Normal"/>
    <w:link w:val="FooterChar"/>
    <w:uiPriority w:val="99"/>
    <w:unhideWhenUsed/>
    <w:rsid w:val="00E23207"/>
    <w:pPr>
      <w:tabs>
        <w:tab w:val="center" w:pos="4703"/>
        <w:tab w:val="right" w:pos="9406"/>
      </w:tabs>
      <w:spacing w:after="0" w:line="240" w:lineRule="auto"/>
    </w:pPr>
  </w:style>
  <w:style w:type="character" w:customStyle="1" w:styleId="FooterChar">
    <w:name w:val="Footer Char"/>
    <w:basedOn w:val="DefaultParagraphFont"/>
    <w:link w:val="Footer"/>
    <w:uiPriority w:val="99"/>
    <w:qFormat/>
    <w:rsid w:val="00E23207"/>
    <w:rPr>
      <w:lang w:val="en-GB"/>
    </w:rPr>
  </w:style>
  <w:style w:type="paragraph" w:styleId="BalloonText">
    <w:name w:val="Balloon Text"/>
    <w:basedOn w:val="Normal"/>
    <w:link w:val="BalloonTextChar"/>
    <w:uiPriority w:val="99"/>
    <w:unhideWhenUsed/>
    <w:qFormat/>
    <w:rsid w:val="007155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7155C9"/>
    <w:rPr>
      <w:rFonts w:ascii="Segoe UI" w:hAnsi="Segoe UI" w:cs="Segoe UI"/>
      <w:sz w:val="18"/>
      <w:szCs w:val="18"/>
      <w:lang w:val="en-GB"/>
    </w:rPr>
  </w:style>
  <w:style w:type="paragraph" w:styleId="NormalWeb">
    <w:name w:val="Normal (Web)"/>
    <w:aliases w:val=" Char Char Char Char Char"/>
    <w:basedOn w:val="Normal"/>
    <w:link w:val="NormalWebChar"/>
    <w:uiPriority w:val="99"/>
    <w:unhideWhenUsed/>
    <w:qFormat/>
    <w:rsid w:val="009D4A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9D4A0E"/>
    <w:rPr>
      <w:color w:val="0000FF"/>
      <w:u w:val="single"/>
    </w:rPr>
  </w:style>
  <w:style w:type="character" w:customStyle="1" w:styleId="Heading1Char">
    <w:name w:val="Heading 1 Char"/>
    <w:basedOn w:val="DefaultParagraphFont"/>
    <w:link w:val="Heading1"/>
    <w:rsid w:val="005A2FDC"/>
    <w:rPr>
      <w:rFonts w:ascii="Times New Roman" w:eastAsia="Source Han Sans CN Regular" w:hAnsi="Times New Roman" w:cs="Lohit Devanagari"/>
      <w:b/>
      <w:bCs/>
      <w:color w:val="0F243E" w:themeColor="text2" w:themeShade="80"/>
      <w:sz w:val="36"/>
      <w:szCs w:val="36"/>
      <w:lang w:val="bg-BG" w:eastAsia="zh-CN" w:bidi="hi-IN"/>
    </w:rPr>
  </w:style>
  <w:style w:type="character" w:customStyle="1" w:styleId="Heading2Char">
    <w:name w:val="Heading 2 Char"/>
    <w:basedOn w:val="DefaultParagraphFont"/>
    <w:link w:val="Heading2"/>
    <w:rsid w:val="00873603"/>
    <w:rPr>
      <w:rFonts w:ascii="Times New Roman" w:eastAsia="Source Han Sans CN Regular" w:hAnsi="Times New Roman" w:cs="Lohit Devanagari"/>
      <w:b/>
      <w:bCs/>
      <w:color w:val="0F243E" w:themeColor="text2" w:themeShade="80"/>
      <w:sz w:val="32"/>
      <w:szCs w:val="32"/>
      <w:lang w:val="bg-BG" w:eastAsia="zh-CN" w:bidi="hi-IN"/>
    </w:rPr>
  </w:style>
  <w:style w:type="character" w:customStyle="1" w:styleId="Heading3Char">
    <w:name w:val="Heading 3 Char"/>
    <w:basedOn w:val="DefaultParagraphFont"/>
    <w:link w:val="Heading3"/>
    <w:qFormat/>
    <w:rsid w:val="00873603"/>
    <w:rPr>
      <w:rFonts w:ascii="Times New Roman" w:eastAsia="Source Han Sans CN Regular" w:hAnsi="Times New Roman" w:cs="Lohit Devanagari"/>
      <w:b/>
      <w:bCs/>
      <w:color w:val="0F243E" w:themeColor="text2" w:themeShade="80"/>
      <w:sz w:val="28"/>
      <w:szCs w:val="28"/>
      <w:lang w:val="bg-BG" w:eastAsia="zh-CN" w:bidi="hi-IN"/>
    </w:rPr>
  </w:style>
  <w:style w:type="character" w:customStyle="1" w:styleId="Heading4Char">
    <w:name w:val="Heading 4 Char"/>
    <w:basedOn w:val="DefaultParagraphFont"/>
    <w:link w:val="Heading4"/>
    <w:qFormat/>
    <w:rsid w:val="00873603"/>
    <w:rPr>
      <w:rFonts w:ascii="Times New Roman" w:eastAsia="Source Han Sans CN Regular" w:hAnsi="Times New Roman" w:cs="Lohit Devanagari"/>
      <w:b/>
      <w:bCs/>
      <w:iCs/>
      <w:color w:val="0F243E" w:themeColor="text2" w:themeShade="80"/>
      <w:sz w:val="24"/>
      <w:szCs w:val="27"/>
      <w:lang w:val="bg-BG" w:eastAsia="zh-CN" w:bidi="hi-IN"/>
    </w:rPr>
  </w:style>
  <w:style w:type="character" w:customStyle="1" w:styleId="Heading5Char">
    <w:name w:val="Heading 5 Char"/>
    <w:basedOn w:val="DefaultParagraphFont"/>
    <w:link w:val="Heading5"/>
    <w:rsid w:val="009D4A0E"/>
    <w:rPr>
      <w:rFonts w:ascii="Times New Roman" w:eastAsia="Source Han Sans CN Regular" w:hAnsi="Times New Roman" w:cs="Lohit Devanagari"/>
      <w:b/>
      <w:bCs/>
      <w:sz w:val="24"/>
      <w:szCs w:val="24"/>
      <w:lang w:val="en-GB" w:eastAsia="zh-CN" w:bidi="hi-IN"/>
    </w:rPr>
  </w:style>
  <w:style w:type="character" w:customStyle="1" w:styleId="Heading6Char">
    <w:name w:val="Heading 6 Char"/>
    <w:basedOn w:val="DefaultParagraphFont"/>
    <w:link w:val="Heading6"/>
    <w:rsid w:val="009D4A0E"/>
    <w:rPr>
      <w:rFonts w:ascii="Times New Roman" w:eastAsia="Source Han Sans CN Regular" w:hAnsi="Times New Roman" w:cs="Lohit Devanagari"/>
      <w:b/>
      <w:bCs/>
      <w:i/>
      <w:iCs/>
      <w:sz w:val="24"/>
      <w:szCs w:val="24"/>
      <w:lang w:val="en-GB" w:eastAsia="zh-CN" w:bidi="hi-IN"/>
    </w:rPr>
  </w:style>
  <w:style w:type="character" w:customStyle="1" w:styleId="Heading7Char">
    <w:name w:val="Heading 7 Char"/>
    <w:basedOn w:val="DefaultParagraphFont"/>
    <w:link w:val="Heading7"/>
    <w:rsid w:val="009D4A0E"/>
    <w:rPr>
      <w:rFonts w:ascii="Times New Roman" w:eastAsia="Source Han Sans CN Regular" w:hAnsi="Times New Roman" w:cs="Lohit Devanagari"/>
      <w:b/>
      <w:bCs/>
      <w:lang w:val="en-GB" w:eastAsia="zh-CN" w:bidi="hi-IN"/>
    </w:rPr>
  </w:style>
  <w:style w:type="character" w:customStyle="1" w:styleId="a0">
    <w:name w:val="Водачи"/>
    <w:qFormat/>
    <w:rsid w:val="009D4A0E"/>
    <w:rPr>
      <w:rFonts w:ascii="OpenSymbol" w:eastAsia="OpenSymbol" w:hAnsi="OpenSymbol" w:cs="OpenSymbol"/>
    </w:rPr>
  </w:style>
  <w:style w:type="character" w:customStyle="1" w:styleId="a1">
    <w:name w:val="Връзка към Интернет"/>
    <w:rsid w:val="009D4A0E"/>
    <w:rPr>
      <w:color w:val="000080"/>
      <w:u w:val="single"/>
    </w:rPr>
  </w:style>
  <w:style w:type="character" w:customStyle="1" w:styleId="ListLabel254">
    <w:name w:val="ListLabel 254"/>
    <w:qFormat/>
    <w:rsid w:val="009D4A0E"/>
    <w:rPr>
      <w:rFonts w:eastAsia="Wingdings"/>
    </w:rPr>
  </w:style>
  <w:style w:type="character" w:customStyle="1" w:styleId="ListLabel253">
    <w:name w:val="ListLabel 253"/>
    <w:qFormat/>
    <w:rsid w:val="009D4A0E"/>
    <w:rPr>
      <w:rFonts w:eastAsia="Courier New"/>
    </w:rPr>
  </w:style>
  <w:style w:type="character" w:customStyle="1" w:styleId="ListLabel252">
    <w:name w:val="ListLabel 252"/>
    <w:qFormat/>
    <w:rsid w:val="009D4A0E"/>
    <w:rPr>
      <w:rFonts w:eastAsia="Symbol"/>
    </w:rPr>
  </w:style>
  <w:style w:type="character" w:customStyle="1" w:styleId="ListLabel251">
    <w:name w:val="ListLabel 251"/>
    <w:qFormat/>
    <w:rsid w:val="009D4A0E"/>
    <w:rPr>
      <w:rFonts w:eastAsia="Wingdings"/>
    </w:rPr>
  </w:style>
  <w:style w:type="character" w:customStyle="1" w:styleId="ListLabel250">
    <w:name w:val="ListLabel 250"/>
    <w:qFormat/>
    <w:rsid w:val="009D4A0E"/>
    <w:rPr>
      <w:rFonts w:eastAsia="Courier New"/>
    </w:rPr>
  </w:style>
  <w:style w:type="character" w:customStyle="1" w:styleId="ListLabel249">
    <w:name w:val="ListLabel 249"/>
    <w:qFormat/>
    <w:rsid w:val="009D4A0E"/>
    <w:rPr>
      <w:rFonts w:eastAsia="Symbol"/>
    </w:rPr>
  </w:style>
  <w:style w:type="character" w:customStyle="1" w:styleId="ListLabel248">
    <w:name w:val="ListLabel 248"/>
    <w:qFormat/>
    <w:rsid w:val="009D4A0E"/>
    <w:rPr>
      <w:rFonts w:eastAsia="Wingdings"/>
    </w:rPr>
  </w:style>
  <w:style w:type="character" w:customStyle="1" w:styleId="ListLabel247">
    <w:name w:val="ListLabel 247"/>
    <w:qFormat/>
    <w:rsid w:val="009D4A0E"/>
    <w:rPr>
      <w:rFonts w:eastAsia="Courier New"/>
    </w:rPr>
  </w:style>
  <w:style w:type="character" w:customStyle="1" w:styleId="ListLabel246">
    <w:name w:val="ListLabel 246"/>
    <w:qFormat/>
    <w:rsid w:val="009D4A0E"/>
    <w:rPr>
      <w:rFonts w:eastAsia="Symbol"/>
    </w:rPr>
  </w:style>
  <w:style w:type="character" w:customStyle="1" w:styleId="ListLabel245">
    <w:name w:val="ListLabel 245"/>
    <w:qFormat/>
    <w:rsid w:val="009D4A0E"/>
    <w:rPr>
      <w:rFonts w:eastAsia="Wingdings"/>
    </w:rPr>
  </w:style>
  <w:style w:type="character" w:customStyle="1" w:styleId="ListLabel244">
    <w:name w:val="ListLabel 244"/>
    <w:qFormat/>
    <w:rsid w:val="009D4A0E"/>
    <w:rPr>
      <w:rFonts w:eastAsia="Courier New"/>
    </w:rPr>
  </w:style>
  <w:style w:type="character" w:customStyle="1" w:styleId="ListLabel243">
    <w:name w:val="ListLabel 243"/>
    <w:qFormat/>
    <w:rsid w:val="009D4A0E"/>
    <w:rPr>
      <w:rFonts w:eastAsia="Symbol"/>
    </w:rPr>
  </w:style>
  <w:style w:type="character" w:customStyle="1" w:styleId="ListLabel242">
    <w:name w:val="ListLabel 242"/>
    <w:qFormat/>
    <w:rsid w:val="009D4A0E"/>
    <w:rPr>
      <w:rFonts w:eastAsia="Wingdings"/>
    </w:rPr>
  </w:style>
  <w:style w:type="character" w:customStyle="1" w:styleId="ListLabel241">
    <w:name w:val="ListLabel 241"/>
    <w:qFormat/>
    <w:rsid w:val="009D4A0E"/>
    <w:rPr>
      <w:rFonts w:eastAsia="Courier New"/>
    </w:rPr>
  </w:style>
  <w:style w:type="character" w:customStyle="1" w:styleId="ListLabel240">
    <w:name w:val="ListLabel 240"/>
    <w:qFormat/>
    <w:rsid w:val="009D4A0E"/>
    <w:rPr>
      <w:rFonts w:eastAsia="Symbol"/>
    </w:rPr>
  </w:style>
  <w:style w:type="character" w:customStyle="1" w:styleId="ListLabel239">
    <w:name w:val="ListLabel 239"/>
    <w:qFormat/>
    <w:rsid w:val="009D4A0E"/>
    <w:rPr>
      <w:rFonts w:eastAsia="Wingdings"/>
    </w:rPr>
  </w:style>
  <w:style w:type="character" w:customStyle="1" w:styleId="ListLabel238">
    <w:name w:val="ListLabel 238"/>
    <w:qFormat/>
    <w:rsid w:val="009D4A0E"/>
    <w:rPr>
      <w:rFonts w:eastAsia="Courier New"/>
    </w:rPr>
  </w:style>
  <w:style w:type="character" w:customStyle="1" w:styleId="ListLabel237">
    <w:name w:val="ListLabel 237"/>
    <w:qFormat/>
    <w:rsid w:val="009D4A0E"/>
    <w:rPr>
      <w:rFonts w:eastAsia="Symbol"/>
    </w:rPr>
  </w:style>
  <w:style w:type="character" w:customStyle="1" w:styleId="ListLabel236">
    <w:name w:val="ListLabel 236"/>
    <w:qFormat/>
    <w:rsid w:val="009D4A0E"/>
    <w:rPr>
      <w:rFonts w:eastAsia="Wingdings"/>
    </w:rPr>
  </w:style>
  <w:style w:type="character" w:customStyle="1" w:styleId="ListLabel235">
    <w:name w:val="ListLabel 235"/>
    <w:qFormat/>
    <w:rsid w:val="009D4A0E"/>
    <w:rPr>
      <w:rFonts w:eastAsia="Courier New"/>
    </w:rPr>
  </w:style>
  <w:style w:type="character" w:customStyle="1" w:styleId="ListLabel234">
    <w:name w:val="ListLabel 234"/>
    <w:qFormat/>
    <w:rsid w:val="009D4A0E"/>
    <w:rPr>
      <w:rFonts w:eastAsia="Symbol"/>
    </w:rPr>
  </w:style>
  <w:style w:type="character" w:customStyle="1" w:styleId="ListLabel233">
    <w:name w:val="ListLabel 233"/>
    <w:qFormat/>
    <w:rsid w:val="009D4A0E"/>
    <w:rPr>
      <w:rFonts w:eastAsia="Wingdings"/>
    </w:rPr>
  </w:style>
  <w:style w:type="character" w:customStyle="1" w:styleId="ListLabel232">
    <w:name w:val="ListLabel 232"/>
    <w:qFormat/>
    <w:rsid w:val="009D4A0E"/>
    <w:rPr>
      <w:rFonts w:eastAsia="Courier New"/>
    </w:rPr>
  </w:style>
  <w:style w:type="character" w:customStyle="1" w:styleId="ListLabel231">
    <w:name w:val="ListLabel 231"/>
    <w:qFormat/>
    <w:rsid w:val="009D4A0E"/>
    <w:rPr>
      <w:rFonts w:eastAsia="Symbol"/>
    </w:rPr>
  </w:style>
  <w:style w:type="character" w:customStyle="1" w:styleId="ListLabel230">
    <w:name w:val="ListLabel 230"/>
    <w:qFormat/>
    <w:rsid w:val="009D4A0E"/>
    <w:rPr>
      <w:rFonts w:eastAsia="Wingdings"/>
    </w:rPr>
  </w:style>
  <w:style w:type="character" w:customStyle="1" w:styleId="ListLabel229">
    <w:name w:val="ListLabel 229"/>
    <w:qFormat/>
    <w:rsid w:val="009D4A0E"/>
    <w:rPr>
      <w:rFonts w:eastAsia="Courier New"/>
    </w:rPr>
  </w:style>
  <w:style w:type="character" w:customStyle="1" w:styleId="ListLabel228">
    <w:name w:val="ListLabel 228"/>
    <w:qFormat/>
    <w:rsid w:val="009D4A0E"/>
    <w:rPr>
      <w:rFonts w:eastAsia="Symbol"/>
    </w:rPr>
  </w:style>
  <w:style w:type="character" w:customStyle="1" w:styleId="ListLabel227">
    <w:name w:val="ListLabel 227"/>
    <w:qFormat/>
    <w:rsid w:val="009D4A0E"/>
    <w:rPr>
      <w:rFonts w:eastAsia="Wingdings"/>
    </w:rPr>
  </w:style>
  <w:style w:type="character" w:customStyle="1" w:styleId="ListLabel226">
    <w:name w:val="ListLabel 226"/>
    <w:qFormat/>
    <w:rsid w:val="009D4A0E"/>
    <w:rPr>
      <w:rFonts w:eastAsia="Courier New"/>
    </w:rPr>
  </w:style>
  <w:style w:type="character" w:customStyle="1" w:styleId="ListLabel225">
    <w:name w:val="ListLabel 225"/>
    <w:qFormat/>
    <w:rsid w:val="009D4A0E"/>
    <w:rPr>
      <w:rFonts w:eastAsia="Symbol"/>
    </w:rPr>
  </w:style>
  <w:style w:type="character" w:customStyle="1" w:styleId="ListLabel224">
    <w:name w:val="ListLabel 224"/>
    <w:qFormat/>
    <w:rsid w:val="009D4A0E"/>
    <w:rPr>
      <w:rFonts w:eastAsia="Wingdings"/>
    </w:rPr>
  </w:style>
  <w:style w:type="character" w:customStyle="1" w:styleId="ListLabel223">
    <w:name w:val="ListLabel 223"/>
    <w:qFormat/>
    <w:rsid w:val="009D4A0E"/>
    <w:rPr>
      <w:rFonts w:eastAsia="Courier New"/>
    </w:rPr>
  </w:style>
  <w:style w:type="character" w:customStyle="1" w:styleId="ListLabel222">
    <w:name w:val="ListLabel 222"/>
    <w:qFormat/>
    <w:rsid w:val="009D4A0E"/>
    <w:rPr>
      <w:rFonts w:eastAsia="Symbol"/>
    </w:rPr>
  </w:style>
  <w:style w:type="character" w:customStyle="1" w:styleId="ListLabel221">
    <w:name w:val="ListLabel 221"/>
    <w:qFormat/>
    <w:rsid w:val="009D4A0E"/>
    <w:rPr>
      <w:rFonts w:eastAsia="Wingdings"/>
    </w:rPr>
  </w:style>
  <w:style w:type="character" w:customStyle="1" w:styleId="ListLabel220">
    <w:name w:val="ListLabel 220"/>
    <w:qFormat/>
    <w:rsid w:val="009D4A0E"/>
    <w:rPr>
      <w:rFonts w:eastAsia="Courier New"/>
    </w:rPr>
  </w:style>
  <w:style w:type="character" w:customStyle="1" w:styleId="ListLabel219">
    <w:name w:val="ListLabel 219"/>
    <w:qFormat/>
    <w:rsid w:val="009D4A0E"/>
    <w:rPr>
      <w:rFonts w:eastAsia="Symbol"/>
    </w:rPr>
  </w:style>
  <w:style w:type="character" w:customStyle="1" w:styleId="ListLabel218">
    <w:name w:val="ListLabel 218"/>
    <w:qFormat/>
    <w:rsid w:val="009D4A0E"/>
    <w:rPr>
      <w:rFonts w:eastAsia="Wingdings"/>
    </w:rPr>
  </w:style>
  <w:style w:type="character" w:customStyle="1" w:styleId="ListLabel217">
    <w:name w:val="ListLabel 217"/>
    <w:qFormat/>
    <w:rsid w:val="009D4A0E"/>
    <w:rPr>
      <w:rFonts w:eastAsia="Courier New"/>
    </w:rPr>
  </w:style>
  <w:style w:type="character" w:customStyle="1" w:styleId="ListLabel216">
    <w:name w:val="ListLabel 216"/>
    <w:qFormat/>
    <w:rsid w:val="009D4A0E"/>
    <w:rPr>
      <w:rFonts w:eastAsia="Symbol"/>
    </w:rPr>
  </w:style>
  <w:style w:type="character" w:customStyle="1" w:styleId="ListLabel215">
    <w:name w:val="ListLabel 215"/>
    <w:qFormat/>
    <w:rsid w:val="009D4A0E"/>
    <w:rPr>
      <w:rFonts w:eastAsia="Wingdings"/>
    </w:rPr>
  </w:style>
  <w:style w:type="character" w:customStyle="1" w:styleId="ListLabel214">
    <w:name w:val="ListLabel 214"/>
    <w:qFormat/>
    <w:rsid w:val="009D4A0E"/>
    <w:rPr>
      <w:rFonts w:eastAsia="Courier New"/>
    </w:rPr>
  </w:style>
  <w:style w:type="character" w:customStyle="1" w:styleId="ListLabel213">
    <w:name w:val="ListLabel 213"/>
    <w:qFormat/>
    <w:rsid w:val="009D4A0E"/>
    <w:rPr>
      <w:rFonts w:eastAsia="Symbol"/>
    </w:rPr>
  </w:style>
  <w:style w:type="character" w:customStyle="1" w:styleId="ListLabel212">
    <w:name w:val="ListLabel 212"/>
    <w:qFormat/>
    <w:rsid w:val="009D4A0E"/>
    <w:rPr>
      <w:rFonts w:eastAsia="Wingdings"/>
    </w:rPr>
  </w:style>
  <w:style w:type="character" w:customStyle="1" w:styleId="ListLabel211">
    <w:name w:val="ListLabel 211"/>
    <w:qFormat/>
    <w:rsid w:val="009D4A0E"/>
    <w:rPr>
      <w:rFonts w:eastAsia="Courier New"/>
    </w:rPr>
  </w:style>
  <w:style w:type="character" w:customStyle="1" w:styleId="ListLabel210">
    <w:name w:val="ListLabel 210"/>
    <w:qFormat/>
    <w:rsid w:val="009D4A0E"/>
    <w:rPr>
      <w:rFonts w:eastAsia="Symbol"/>
    </w:rPr>
  </w:style>
  <w:style w:type="character" w:customStyle="1" w:styleId="ListLabel209">
    <w:name w:val="ListLabel 209"/>
    <w:qFormat/>
    <w:rsid w:val="009D4A0E"/>
    <w:rPr>
      <w:rFonts w:eastAsia="Wingdings"/>
    </w:rPr>
  </w:style>
  <w:style w:type="character" w:customStyle="1" w:styleId="ListLabel208">
    <w:name w:val="ListLabel 208"/>
    <w:qFormat/>
    <w:rsid w:val="009D4A0E"/>
    <w:rPr>
      <w:rFonts w:eastAsia="Courier New"/>
    </w:rPr>
  </w:style>
  <w:style w:type="character" w:customStyle="1" w:styleId="ListLabel207">
    <w:name w:val="ListLabel 207"/>
    <w:qFormat/>
    <w:rsid w:val="009D4A0E"/>
    <w:rPr>
      <w:rFonts w:eastAsia="Symbol"/>
    </w:rPr>
  </w:style>
  <w:style w:type="character" w:customStyle="1" w:styleId="ListLabel206">
    <w:name w:val="ListLabel 206"/>
    <w:qFormat/>
    <w:rsid w:val="009D4A0E"/>
    <w:rPr>
      <w:rFonts w:eastAsia="Wingdings"/>
    </w:rPr>
  </w:style>
  <w:style w:type="character" w:customStyle="1" w:styleId="ListLabel205">
    <w:name w:val="ListLabel 205"/>
    <w:qFormat/>
    <w:rsid w:val="009D4A0E"/>
    <w:rPr>
      <w:rFonts w:eastAsia="Courier New"/>
    </w:rPr>
  </w:style>
  <w:style w:type="character" w:customStyle="1" w:styleId="ListLabel204">
    <w:name w:val="ListLabel 204"/>
    <w:qFormat/>
    <w:rsid w:val="009D4A0E"/>
    <w:rPr>
      <w:rFonts w:eastAsia="Symbol"/>
    </w:rPr>
  </w:style>
  <w:style w:type="character" w:customStyle="1" w:styleId="ListLabel203">
    <w:name w:val="ListLabel 203"/>
    <w:qFormat/>
    <w:rsid w:val="009D4A0E"/>
    <w:rPr>
      <w:rFonts w:eastAsia="Wingdings"/>
    </w:rPr>
  </w:style>
  <w:style w:type="character" w:customStyle="1" w:styleId="ListLabel202">
    <w:name w:val="ListLabel 202"/>
    <w:qFormat/>
    <w:rsid w:val="009D4A0E"/>
    <w:rPr>
      <w:rFonts w:eastAsia="Courier New"/>
    </w:rPr>
  </w:style>
  <w:style w:type="character" w:customStyle="1" w:styleId="ListLabel201">
    <w:name w:val="ListLabel 201"/>
    <w:qFormat/>
    <w:rsid w:val="009D4A0E"/>
    <w:rPr>
      <w:rFonts w:eastAsia="Symbol"/>
    </w:rPr>
  </w:style>
  <w:style w:type="character" w:customStyle="1" w:styleId="ListLabel200">
    <w:name w:val="ListLabel 200"/>
    <w:qFormat/>
    <w:rsid w:val="009D4A0E"/>
    <w:rPr>
      <w:rFonts w:eastAsia="Wingdings"/>
    </w:rPr>
  </w:style>
  <w:style w:type="character" w:customStyle="1" w:styleId="ListLabel199">
    <w:name w:val="ListLabel 199"/>
    <w:qFormat/>
    <w:rsid w:val="009D4A0E"/>
    <w:rPr>
      <w:rFonts w:eastAsia="Courier New"/>
    </w:rPr>
  </w:style>
  <w:style w:type="character" w:customStyle="1" w:styleId="ListLabel198">
    <w:name w:val="ListLabel 198"/>
    <w:qFormat/>
    <w:rsid w:val="009D4A0E"/>
    <w:rPr>
      <w:rFonts w:eastAsia="Symbol"/>
    </w:rPr>
  </w:style>
  <w:style w:type="character" w:customStyle="1" w:styleId="ListLabel197">
    <w:name w:val="ListLabel 197"/>
    <w:qFormat/>
    <w:rsid w:val="009D4A0E"/>
    <w:rPr>
      <w:rFonts w:eastAsia="Wingdings"/>
    </w:rPr>
  </w:style>
  <w:style w:type="character" w:customStyle="1" w:styleId="ListLabel196">
    <w:name w:val="ListLabel 196"/>
    <w:qFormat/>
    <w:rsid w:val="009D4A0E"/>
    <w:rPr>
      <w:rFonts w:eastAsia="Courier New"/>
    </w:rPr>
  </w:style>
  <w:style w:type="character" w:customStyle="1" w:styleId="ListLabel195">
    <w:name w:val="ListLabel 195"/>
    <w:qFormat/>
    <w:rsid w:val="009D4A0E"/>
    <w:rPr>
      <w:rFonts w:eastAsia="Symbol"/>
    </w:rPr>
  </w:style>
  <w:style w:type="character" w:customStyle="1" w:styleId="ListLabel194">
    <w:name w:val="ListLabel 194"/>
    <w:qFormat/>
    <w:rsid w:val="009D4A0E"/>
    <w:rPr>
      <w:rFonts w:eastAsia="Wingdings"/>
    </w:rPr>
  </w:style>
  <w:style w:type="character" w:customStyle="1" w:styleId="ListLabel193">
    <w:name w:val="ListLabel 193"/>
    <w:qFormat/>
    <w:rsid w:val="009D4A0E"/>
    <w:rPr>
      <w:rFonts w:eastAsia="Courier New"/>
    </w:rPr>
  </w:style>
  <w:style w:type="character" w:customStyle="1" w:styleId="ListLabel192">
    <w:name w:val="ListLabel 192"/>
    <w:qFormat/>
    <w:rsid w:val="009D4A0E"/>
    <w:rPr>
      <w:rFonts w:eastAsia="Symbol"/>
    </w:rPr>
  </w:style>
  <w:style w:type="character" w:customStyle="1" w:styleId="ListLabel191">
    <w:name w:val="ListLabel 191"/>
    <w:qFormat/>
    <w:rsid w:val="009D4A0E"/>
    <w:rPr>
      <w:rFonts w:eastAsia="Wingdings"/>
    </w:rPr>
  </w:style>
  <w:style w:type="character" w:customStyle="1" w:styleId="ListLabel190">
    <w:name w:val="ListLabel 190"/>
    <w:qFormat/>
    <w:rsid w:val="009D4A0E"/>
    <w:rPr>
      <w:rFonts w:eastAsia="Courier New"/>
    </w:rPr>
  </w:style>
  <w:style w:type="character" w:customStyle="1" w:styleId="ListLabel189">
    <w:name w:val="ListLabel 189"/>
    <w:qFormat/>
    <w:rsid w:val="009D4A0E"/>
    <w:rPr>
      <w:rFonts w:eastAsia="Symbol"/>
    </w:rPr>
  </w:style>
  <w:style w:type="character" w:customStyle="1" w:styleId="ListLabel188">
    <w:name w:val="ListLabel 188"/>
    <w:qFormat/>
    <w:rsid w:val="009D4A0E"/>
    <w:rPr>
      <w:rFonts w:eastAsia="Wingdings"/>
    </w:rPr>
  </w:style>
  <w:style w:type="character" w:customStyle="1" w:styleId="ListLabel187">
    <w:name w:val="ListLabel 187"/>
    <w:qFormat/>
    <w:rsid w:val="009D4A0E"/>
    <w:rPr>
      <w:rFonts w:eastAsia="Courier New"/>
    </w:rPr>
  </w:style>
  <w:style w:type="character" w:customStyle="1" w:styleId="ListLabel186">
    <w:name w:val="ListLabel 186"/>
    <w:qFormat/>
    <w:rsid w:val="009D4A0E"/>
    <w:rPr>
      <w:rFonts w:eastAsia="Symbol"/>
    </w:rPr>
  </w:style>
  <w:style w:type="character" w:customStyle="1" w:styleId="ListLabel185">
    <w:name w:val="ListLabel 185"/>
    <w:qFormat/>
    <w:rsid w:val="009D4A0E"/>
    <w:rPr>
      <w:rFonts w:eastAsia="Wingdings"/>
    </w:rPr>
  </w:style>
  <w:style w:type="character" w:customStyle="1" w:styleId="ListLabel184">
    <w:name w:val="ListLabel 184"/>
    <w:qFormat/>
    <w:rsid w:val="009D4A0E"/>
    <w:rPr>
      <w:rFonts w:eastAsia="Courier New"/>
    </w:rPr>
  </w:style>
  <w:style w:type="character" w:customStyle="1" w:styleId="ListLabel183">
    <w:name w:val="ListLabel 183"/>
    <w:qFormat/>
    <w:rsid w:val="009D4A0E"/>
    <w:rPr>
      <w:rFonts w:eastAsia="Symbol"/>
    </w:rPr>
  </w:style>
  <w:style w:type="character" w:customStyle="1" w:styleId="ListLabel182">
    <w:name w:val="ListLabel 182"/>
    <w:qFormat/>
    <w:rsid w:val="009D4A0E"/>
    <w:rPr>
      <w:rFonts w:eastAsia="Wingdings"/>
    </w:rPr>
  </w:style>
  <w:style w:type="character" w:customStyle="1" w:styleId="ListLabel181">
    <w:name w:val="ListLabel 181"/>
    <w:qFormat/>
    <w:rsid w:val="009D4A0E"/>
    <w:rPr>
      <w:rFonts w:eastAsia="Courier New"/>
    </w:rPr>
  </w:style>
  <w:style w:type="character" w:customStyle="1" w:styleId="ListLabel180">
    <w:name w:val="ListLabel 180"/>
    <w:qFormat/>
    <w:rsid w:val="009D4A0E"/>
    <w:rPr>
      <w:rFonts w:eastAsia="Symbol"/>
    </w:rPr>
  </w:style>
  <w:style w:type="character" w:customStyle="1" w:styleId="ListLabel179">
    <w:name w:val="ListLabel 179"/>
    <w:qFormat/>
    <w:rsid w:val="009D4A0E"/>
    <w:rPr>
      <w:rFonts w:eastAsia="Wingdings"/>
    </w:rPr>
  </w:style>
  <w:style w:type="character" w:customStyle="1" w:styleId="ListLabel178">
    <w:name w:val="ListLabel 178"/>
    <w:qFormat/>
    <w:rsid w:val="009D4A0E"/>
    <w:rPr>
      <w:rFonts w:eastAsia="Courier New"/>
    </w:rPr>
  </w:style>
  <w:style w:type="character" w:customStyle="1" w:styleId="ListLabel177">
    <w:name w:val="ListLabel 177"/>
    <w:qFormat/>
    <w:rsid w:val="009D4A0E"/>
    <w:rPr>
      <w:rFonts w:eastAsia="Symbol"/>
    </w:rPr>
  </w:style>
  <w:style w:type="character" w:customStyle="1" w:styleId="ListLabel176">
    <w:name w:val="ListLabel 176"/>
    <w:qFormat/>
    <w:rsid w:val="009D4A0E"/>
    <w:rPr>
      <w:rFonts w:eastAsia="Wingdings"/>
    </w:rPr>
  </w:style>
  <w:style w:type="character" w:customStyle="1" w:styleId="ListLabel175">
    <w:name w:val="ListLabel 175"/>
    <w:qFormat/>
    <w:rsid w:val="009D4A0E"/>
    <w:rPr>
      <w:rFonts w:eastAsia="Courier New"/>
    </w:rPr>
  </w:style>
  <w:style w:type="character" w:customStyle="1" w:styleId="ListLabel174">
    <w:name w:val="ListLabel 174"/>
    <w:qFormat/>
    <w:rsid w:val="009D4A0E"/>
    <w:rPr>
      <w:rFonts w:eastAsia="Symbol"/>
    </w:rPr>
  </w:style>
  <w:style w:type="character" w:customStyle="1" w:styleId="ListLabel173">
    <w:name w:val="ListLabel 173"/>
    <w:qFormat/>
    <w:rsid w:val="009D4A0E"/>
    <w:rPr>
      <w:rFonts w:eastAsia="Wingdings"/>
    </w:rPr>
  </w:style>
  <w:style w:type="character" w:customStyle="1" w:styleId="ListLabel172">
    <w:name w:val="ListLabel 172"/>
    <w:qFormat/>
    <w:rsid w:val="009D4A0E"/>
    <w:rPr>
      <w:rFonts w:eastAsia="Courier New"/>
    </w:rPr>
  </w:style>
  <w:style w:type="character" w:customStyle="1" w:styleId="ListLabel171">
    <w:name w:val="ListLabel 171"/>
    <w:qFormat/>
    <w:rsid w:val="009D4A0E"/>
    <w:rPr>
      <w:rFonts w:eastAsia="Symbol"/>
    </w:rPr>
  </w:style>
  <w:style w:type="character" w:customStyle="1" w:styleId="ListLabel170">
    <w:name w:val="ListLabel 170"/>
    <w:qFormat/>
    <w:rsid w:val="009D4A0E"/>
    <w:rPr>
      <w:rFonts w:eastAsia="Wingdings"/>
    </w:rPr>
  </w:style>
  <w:style w:type="character" w:customStyle="1" w:styleId="ListLabel169">
    <w:name w:val="ListLabel 169"/>
    <w:qFormat/>
    <w:rsid w:val="009D4A0E"/>
    <w:rPr>
      <w:rFonts w:eastAsia="Courier New"/>
    </w:rPr>
  </w:style>
  <w:style w:type="character" w:customStyle="1" w:styleId="ListLabel168">
    <w:name w:val="ListLabel 168"/>
    <w:qFormat/>
    <w:rsid w:val="009D4A0E"/>
    <w:rPr>
      <w:rFonts w:eastAsia="Symbol"/>
    </w:rPr>
  </w:style>
  <w:style w:type="character" w:customStyle="1" w:styleId="ListLabel167">
    <w:name w:val="ListLabel 167"/>
    <w:qFormat/>
    <w:rsid w:val="009D4A0E"/>
    <w:rPr>
      <w:rFonts w:eastAsia="Wingdings"/>
    </w:rPr>
  </w:style>
  <w:style w:type="character" w:customStyle="1" w:styleId="ListLabel166">
    <w:name w:val="ListLabel 166"/>
    <w:qFormat/>
    <w:rsid w:val="009D4A0E"/>
    <w:rPr>
      <w:rFonts w:eastAsia="Courier New"/>
    </w:rPr>
  </w:style>
  <w:style w:type="character" w:customStyle="1" w:styleId="ListLabel165">
    <w:name w:val="ListLabel 165"/>
    <w:qFormat/>
    <w:rsid w:val="009D4A0E"/>
    <w:rPr>
      <w:rFonts w:eastAsia="Symbol"/>
    </w:rPr>
  </w:style>
  <w:style w:type="character" w:customStyle="1" w:styleId="ListLabel164">
    <w:name w:val="ListLabel 164"/>
    <w:qFormat/>
    <w:rsid w:val="009D4A0E"/>
    <w:rPr>
      <w:rFonts w:eastAsia="Wingdings"/>
    </w:rPr>
  </w:style>
  <w:style w:type="character" w:customStyle="1" w:styleId="ListLabel163">
    <w:name w:val="ListLabel 163"/>
    <w:qFormat/>
    <w:rsid w:val="009D4A0E"/>
    <w:rPr>
      <w:rFonts w:eastAsia="Courier New"/>
    </w:rPr>
  </w:style>
  <w:style w:type="character" w:customStyle="1" w:styleId="ListLabel162">
    <w:name w:val="ListLabel 162"/>
    <w:qFormat/>
    <w:rsid w:val="009D4A0E"/>
    <w:rPr>
      <w:rFonts w:eastAsia="Symbol"/>
    </w:rPr>
  </w:style>
  <w:style w:type="character" w:customStyle="1" w:styleId="ListLabel161">
    <w:name w:val="ListLabel 161"/>
    <w:qFormat/>
    <w:rsid w:val="009D4A0E"/>
    <w:rPr>
      <w:rFonts w:eastAsia="Wingdings"/>
    </w:rPr>
  </w:style>
  <w:style w:type="character" w:customStyle="1" w:styleId="ListLabel160">
    <w:name w:val="ListLabel 160"/>
    <w:qFormat/>
    <w:rsid w:val="009D4A0E"/>
    <w:rPr>
      <w:rFonts w:eastAsia="Courier New"/>
    </w:rPr>
  </w:style>
  <w:style w:type="character" w:customStyle="1" w:styleId="ListLabel159">
    <w:name w:val="ListLabel 159"/>
    <w:qFormat/>
    <w:rsid w:val="009D4A0E"/>
    <w:rPr>
      <w:rFonts w:eastAsia="Symbol"/>
    </w:rPr>
  </w:style>
  <w:style w:type="character" w:customStyle="1" w:styleId="ListLabel158">
    <w:name w:val="ListLabel 158"/>
    <w:qFormat/>
    <w:rsid w:val="009D4A0E"/>
    <w:rPr>
      <w:rFonts w:eastAsia="Wingdings"/>
    </w:rPr>
  </w:style>
  <w:style w:type="character" w:customStyle="1" w:styleId="ListLabel157">
    <w:name w:val="ListLabel 157"/>
    <w:qFormat/>
    <w:rsid w:val="009D4A0E"/>
    <w:rPr>
      <w:rFonts w:eastAsia="Courier New"/>
    </w:rPr>
  </w:style>
  <w:style w:type="character" w:customStyle="1" w:styleId="ListLabel156">
    <w:name w:val="ListLabel 156"/>
    <w:qFormat/>
    <w:rsid w:val="009D4A0E"/>
    <w:rPr>
      <w:rFonts w:eastAsia="Symbol"/>
    </w:rPr>
  </w:style>
  <w:style w:type="character" w:customStyle="1" w:styleId="ListLabel155">
    <w:name w:val="ListLabel 155"/>
    <w:qFormat/>
    <w:rsid w:val="009D4A0E"/>
    <w:rPr>
      <w:rFonts w:eastAsia="Wingdings"/>
    </w:rPr>
  </w:style>
  <w:style w:type="character" w:customStyle="1" w:styleId="ListLabel154">
    <w:name w:val="ListLabel 154"/>
    <w:qFormat/>
    <w:rsid w:val="009D4A0E"/>
    <w:rPr>
      <w:rFonts w:eastAsia="Courier New"/>
    </w:rPr>
  </w:style>
  <w:style w:type="character" w:customStyle="1" w:styleId="ListLabel153">
    <w:name w:val="ListLabel 153"/>
    <w:qFormat/>
    <w:rsid w:val="009D4A0E"/>
    <w:rPr>
      <w:rFonts w:eastAsia="Symbol"/>
    </w:rPr>
  </w:style>
  <w:style w:type="character" w:customStyle="1" w:styleId="ListLabel152">
    <w:name w:val="ListLabel 152"/>
    <w:qFormat/>
    <w:rsid w:val="009D4A0E"/>
    <w:rPr>
      <w:rFonts w:eastAsia="Wingdings"/>
    </w:rPr>
  </w:style>
  <w:style w:type="character" w:customStyle="1" w:styleId="ListLabel151">
    <w:name w:val="ListLabel 151"/>
    <w:qFormat/>
    <w:rsid w:val="009D4A0E"/>
    <w:rPr>
      <w:rFonts w:eastAsia="Courier New"/>
    </w:rPr>
  </w:style>
  <w:style w:type="character" w:customStyle="1" w:styleId="ListLabel150">
    <w:name w:val="ListLabel 150"/>
    <w:qFormat/>
    <w:rsid w:val="009D4A0E"/>
    <w:rPr>
      <w:rFonts w:eastAsia="Symbol"/>
    </w:rPr>
  </w:style>
  <w:style w:type="character" w:customStyle="1" w:styleId="ListLabel149">
    <w:name w:val="ListLabel 149"/>
    <w:qFormat/>
    <w:rsid w:val="009D4A0E"/>
    <w:rPr>
      <w:rFonts w:eastAsia="Wingdings"/>
    </w:rPr>
  </w:style>
  <w:style w:type="character" w:customStyle="1" w:styleId="ListLabel148">
    <w:name w:val="ListLabel 148"/>
    <w:qFormat/>
    <w:rsid w:val="009D4A0E"/>
    <w:rPr>
      <w:rFonts w:eastAsia="Courier New"/>
    </w:rPr>
  </w:style>
  <w:style w:type="character" w:customStyle="1" w:styleId="ListLabel147">
    <w:name w:val="ListLabel 147"/>
    <w:qFormat/>
    <w:rsid w:val="009D4A0E"/>
    <w:rPr>
      <w:rFonts w:eastAsia="Symbol"/>
    </w:rPr>
  </w:style>
  <w:style w:type="character" w:customStyle="1" w:styleId="ListLabel146">
    <w:name w:val="ListLabel 146"/>
    <w:qFormat/>
    <w:rsid w:val="009D4A0E"/>
    <w:rPr>
      <w:rFonts w:eastAsia="Wingdings"/>
    </w:rPr>
  </w:style>
  <w:style w:type="character" w:customStyle="1" w:styleId="ListLabel145">
    <w:name w:val="ListLabel 145"/>
    <w:qFormat/>
    <w:rsid w:val="009D4A0E"/>
    <w:rPr>
      <w:rFonts w:eastAsia="Courier New"/>
    </w:rPr>
  </w:style>
  <w:style w:type="character" w:customStyle="1" w:styleId="ListLabel144">
    <w:name w:val="ListLabel 144"/>
    <w:qFormat/>
    <w:rsid w:val="009D4A0E"/>
    <w:rPr>
      <w:rFonts w:eastAsia="Symbol"/>
    </w:rPr>
  </w:style>
  <w:style w:type="character" w:customStyle="1" w:styleId="ListLabel143">
    <w:name w:val="ListLabel 143"/>
    <w:qFormat/>
    <w:rsid w:val="009D4A0E"/>
    <w:rPr>
      <w:rFonts w:eastAsia="Wingdings"/>
    </w:rPr>
  </w:style>
  <w:style w:type="character" w:customStyle="1" w:styleId="ListLabel142">
    <w:name w:val="ListLabel 142"/>
    <w:qFormat/>
    <w:rsid w:val="009D4A0E"/>
    <w:rPr>
      <w:rFonts w:eastAsia="Courier New"/>
    </w:rPr>
  </w:style>
  <w:style w:type="character" w:customStyle="1" w:styleId="ListLabel141">
    <w:name w:val="ListLabel 141"/>
    <w:qFormat/>
    <w:rsid w:val="009D4A0E"/>
    <w:rPr>
      <w:rFonts w:eastAsia="Symbol"/>
    </w:rPr>
  </w:style>
  <w:style w:type="character" w:customStyle="1" w:styleId="ListLabel140">
    <w:name w:val="ListLabel 140"/>
    <w:qFormat/>
    <w:rsid w:val="009D4A0E"/>
    <w:rPr>
      <w:rFonts w:eastAsia="Wingdings"/>
    </w:rPr>
  </w:style>
  <w:style w:type="character" w:customStyle="1" w:styleId="ListLabel139">
    <w:name w:val="ListLabel 139"/>
    <w:qFormat/>
    <w:rsid w:val="009D4A0E"/>
    <w:rPr>
      <w:rFonts w:eastAsia="Courier New"/>
    </w:rPr>
  </w:style>
  <w:style w:type="character" w:customStyle="1" w:styleId="ListLabel138">
    <w:name w:val="ListLabel 138"/>
    <w:qFormat/>
    <w:rsid w:val="009D4A0E"/>
    <w:rPr>
      <w:rFonts w:eastAsia="Symbol"/>
    </w:rPr>
  </w:style>
  <w:style w:type="character" w:customStyle="1" w:styleId="ListLabel137">
    <w:name w:val="ListLabel 137"/>
    <w:qFormat/>
    <w:rsid w:val="009D4A0E"/>
    <w:rPr>
      <w:rFonts w:eastAsia="Wingdings"/>
    </w:rPr>
  </w:style>
  <w:style w:type="character" w:customStyle="1" w:styleId="ListLabel136">
    <w:name w:val="ListLabel 136"/>
    <w:qFormat/>
    <w:rsid w:val="009D4A0E"/>
    <w:rPr>
      <w:rFonts w:eastAsia="Courier New"/>
    </w:rPr>
  </w:style>
  <w:style w:type="character" w:customStyle="1" w:styleId="ListLabel135">
    <w:name w:val="ListLabel 135"/>
    <w:qFormat/>
    <w:rsid w:val="009D4A0E"/>
    <w:rPr>
      <w:rFonts w:eastAsia="Symbol"/>
    </w:rPr>
  </w:style>
  <w:style w:type="character" w:customStyle="1" w:styleId="ListLabel134">
    <w:name w:val="ListLabel 134"/>
    <w:qFormat/>
    <w:rsid w:val="009D4A0E"/>
    <w:rPr>
      <w:rFonts w:eastAsia="Wingdings"/>
    </w:rPr>
  </w:style>
  <w:style w:type="character" w:customStyle="1" w:styleId="ListLabel133">
    <w:name w:val="ListLabel 133"/>
    <w:qFormat/>
    <w:rsid w:val="009D4A0E"/>
    <w:rPr>
      <w:rFonts w:eastAsia="Courier New"/>
    </w:rPr>
  </w:style>
  <w:style w:type="character" w:customStyle="1" w:styleId="ListLabel132">
    <w:name w:val="ListLabel 132"/>
    <w:qFormat/>
    <w:rsid w:val="009D4A0E"/>
    <w:rPr>
      <w:rFonts w:eastAsia="Symbol"/>
    </w:rPr>
  </w:style>
  <w:style w:type="character" w:customStyle="1" w:styleId="ListLabel131">
    <w:name w:val="ListLabel 131"/>
    <w:qFormat/>
    <w:rsid w:val="009D4A0E"/>
    <w:rPr>
      <w:rFonts w:eastAsia="Wingdings"/>
    </w:rPr>
  </w:style>
  <w:style w:type="character" w:customStyle="1" w:styleId="ListLabel130">
    <w:name w:val="ListLabel 130"/>
    <w:qFormat/>
    <w:rsid w:val="009D4A0E"/>
    <w:rPr>
      <w:rFonts w:eastAsia="Courier New"/>
    </w:rPr>
  </w:style>
  <w:style w:type="character" w:customStyle="1" w:styleId="ListLabel129">
    <w:name w:val="ListLabel 129"/>
    <w:qFormat/>
    <w:rsid w:val="009D4A0E"/>
    <w:rPr>
      <w:rFonts w:eastAsia="Symbol"/>
    </w:rPr>
  </w:style>
  <w:style w:type="character" w:customStyle="1" w:styleId="ListLabel128">
    <w:name w:val="ListLabel 128"/>
    <w:qFormat/>
    <w:rsid w:val="009D4A0E"/>
    <w:rPr>
      <w:rFonts w:eastAsia="Wingdings"/>
    </w:rPr>
  </w:style>
  <w:style w:type="character" w:customStyle="1" w:styleId="ListLabel127">
    <w:name w:val="ListLabel 127"/>
    <w:qFormat/>
    <w:rsid w:val="009D4A0E"/>
    <w:rPr>
      <w:rFonts w:eastAsia="Courier New"/>
    </w:rPr>
  </w:style>
  <w:style w:type="character" w:customStyle="1" w:styleId="ListLabel126">
    <w:name w:val="ListLabel 126"/>
    <w:qFormat/>
    <w:rsid w:val="009D4A0E"/>
    <w:rPr>
      <w:rFonts w:eastAsia="Symbol"/>
    </w:rPr>
  </w:style>
  <w:style w:type="character" w:customStyle="1" w:styleId="ListLabel125">
    <w:name w:val="ListLabel 125"/>
    <w:qFormat/>
    <w:rsid w:val="009D4A0E"/>
    <w:rPr>
      <w:rFonts w:eastAsia="Wingdings"/>
    </w:rPr>
  </w:style>
  <w:style w:type="character" w:customStyle="1" w:styleId="ListLabel124">
    <w:name w:val="ListLabel 124"/>
    <w:qFormat/>
    <w:rsid w:val="009D4A0E"/>
    <w:rPr>
      <w:rFonts w:eastAsia="Courier New"/>
    </w:rPr>
  </w:style>
  <w:style w:type="character" w:customStyle="1" w:styleId="ListLabel123">
    <w:name w:val="ListLabel 123"/>
    <w:qFormat/>
    <w:rsid w:val="009D4A0E"/>
    <w:rPr>
      <w:rFonts w:eastAsia="Symbol"/>
    </w:rPr>
  </w:style>
  <w:style w:type="character" w:customStyle="1" w:styleId="ListLabel122">
    <w:name w:val="ListLabel 122"/>
    <w:qFormat/>
    <w:rsid w:val="009D4A0E"/>
    <w:rPr>
      <w:rFonts w:eastAsia="Wingdings"/>
    </w:rPr>
  </w:style>
  <w:style w:type="character" w:customStyle="1" w:styleId="ListLabel121">
    <w:name w:val="ListLabel 121"/>
    <w:qFormat/>
    <w:rsid w:val="009D4A0E"/>
    <w:rPr>
      <w:rFonts w:eastAsia="Courier New"/>
    </w:rPr>
  </w:style>
  <w:style w:type="character" w:customStyle="1" w:styleId="ListLabel120">
    <w:name w:val="ListLabel 120"/>
    <w:qFormat/>
    <w:rsid w:val="009D4A0E"/>
    <w:rPr>
      <w:rFonts w:eastAsia="Symbol"/>
    </w:rPr>
  </w:style>
  <w:style w:type="character" w:customStyle="1" w:styleId="ListLabel119">
    <w:name w:val="ListLabel 119"/>
    <w:qFormat/>
    <w:rsid w:val="009D4A0E"/>
    <w:rPr>
      <w:rFonts w:eastAsia="Wingdings"/>
    </w:rPr>
  </w:style>
  <w:style w:type="character" w:customStyle="1" w:styleId="ListLabel118">
    <w:name w:val="ListLabel 118"/>
    <w:qFormat/>
    <w:rsid w:val="009D4A0E"/>
    <w:rPr>
      <w:rFonts w:eastAsia="Courier New"/>
    </w:rPr>
  </w:style>
  <w:style w:type="character" w:customStyle="1" w:styleId="ListLabel117">
    <w:name w:val="ListLabel 117"/>
    <w:qFormat/>
    <w:rsid w:val="009D4A0E"/>
    <w:rPr>
      <w:rFonts w:eastAsia="Symbol"/>
    </w:rPr>
  </w:style>
  <w:style w:type="character" w:customStyle="1" w:styleId="ListLabel116">
    <w:name w:val="ListLabel 116"/>
    <w:qFormat/>
    <w:rsid w:val="009D4A0E"/>
    <w:rPr>
      <w:rFonts w:eastAsia="Wingdings"/>
    </w:rPr>
  </w:style>
  <w:style w:type="character" w:customStyle="1" w:styleId="ListLabel115">
    <w:name w:val="ListLabel 115"/>
    <w:qFormat/>
    <w:rsid w:val="009D4A0E"/>
    <w:rPr>
      <w:rFonts w:eastAsia="Courier New"/>
    </w:rPr>
  </w:style>
  <w:style w:type="character" w:customStyle="1" w:styleId="ListLabel114">
    <w:name w:val="ListLabel 114"/>
    <w:qFormat/>
    <w:rsid w:val="009D4A0E"/>
    <w:rPr>
      <w:rFonts w:eastAsia="Symbol"/>
    </w:rPr>
  </w:style>
  <w:style w:type="character" w:customStyle="1" w:styleId="ListLabel113">
    <w:name w:val="ListLabel 113"/>
    <w:qFormat/>
    <w:rsid w:val="009D4A0E"/>
    <w:rPr>
      <w:rFonts w:eastAsia="Wingdings"/>
    </w:rPr>
  </w:style>
  <w:style w:type="character" w:customStyle="1" w:styleId="ListLabel112">
    <w:name w:val="ListLabel 112"/>
    <w:qFormat/>
    <w:rsid w:val="009D4A0E"/>
    <w:rPr>
      <w:rFonts w:eastAsia="Courier New"/>
    </w:rPr>
  </w:style>
  <w:style w:type="character" w:customStyle="1" w:styleId="ListLabel111">
    <w:name w:val="ListLabel 111"/>
    <w:qFormat/>
    <w:rsid w:val="009D4A0E"/>
    <w:rPr>
      <w:rFonts w:eastAsia="Symbol"/>
    </w:rPr>
  </w:style>
  <w:style w:type="character" w:customStyle="1" w:styleId="ListLabel110">
    <w:name w:val="ListLabel 110"/>
    <w:qFormat/>
    <w:rsid w:val="009D4A0E"/>
    <w:rPr>
      <w:rFonts w:eastAsia="Wingdings"/>
    </w:rPr>
  </w:style>
  <w:style w:type="character" w:customStyle="1" w:styleId="ListLabel109">
    <w:name w:val="ListLabel 109"/>
    <w:qFormat/>
    <w:rsid w:val="009D4A0E"/>
    <w:rPr>
      <w:rFonts w:eastAsia="Courier New"/>
    </w:rPr>
  </w:style>
  <w:style w:type="character" w:customStyle="1" w:styleId="ListLabel108">
    <w:name w:val="ListLabel 108"/>
    <w:qFormat/>
    <w:rsid w:val="009D4A0E"/>
    <w:rPr>
      <w:rFonts w:eastAsia="Symbol"/>
    </w:rPr>
  </w:style>
  <w:style w:type="character" w:customStyle="1" w:styleId="ListLabel107">
    <w:name w:val="ListLabel 107"/>
    <w:qFormat/>
    <w:rsid w:val="009D4A0E"/>
    <w:rPr>
      <w:rFonts w:eastAsia="Wingdings"/>
    </w:rPr>
  </w:style>
  <w:style w:type="character" w:customStyle="1" w:styleId="ListLabel106">
    <w:name w:val="ListLabel 106"/>
    <w:qFormat/>
    <w:rsid w:val="009D4A0E"/>
    <w:rPr>
      <w:rFonts w:eastAsia="Courier New"/>
    </w:rPr>
  </w:style>
  <w:style w:type="character" w:customStyle="1" w:styleId="ListLabel105">
    <w:name w:val="ListLabel 105"/>
    <w:qFormat/>
    <w:rsid w:val="009D4A0E"/>
    <w:rPr>
      <w:rFonts w:eastAsia="Symbol"/>
    </w:rPr>
  </w:style>
  <w:style w:type="character" w:customStyle="1" w:styleId="ListLabel104">
    <w:name w:val="ListLabel 104"/>
    <w:qFormat/>
    <w:rsid w:val="009D4A0E"/>
    <w:rPr>
      <w:rFonts w:eastAsia="Wingdings"/>
    </w:rPr>
  </w:style>
  <w:style w:type="character" w:customStyle="1" w:styleId="ListLabel103">
    <w:name w:val="ListLabel 103"/>
    <w:qFormat/>
    <w:rsid w:val="009D4A0E"/>
    <w:rPr>
      <w:rFonts w:eastAsia="Courier New"/>
    </w:rPr>
  </w:style>
  <w:style w:type="character" w:customStyle="1" w:styleId="ListLabel102">
    <w:name w:val="ListLabel 102"/>
    <w:qFormat/>
    <w:rsid w:val="009D4A0E"/>
    <w:rPr>
      <w:rFonts w:eastAsia="Symbol"/>
    </w:rPr>
  </w:style>
  <w:style w:type="character" w:customStyle="1" w:styleId="ListLabel101">
    <w:name w:val="ListLabel 101"/>
    <w:qFormat/>
    <w:rsid w:val="009D4A0E"/>
    <w:rPr>
      <w:rFonts w:eastAsia="Wingdings"/>
    </w:rPr>
  </w:style>
  <w:style w:type="character" w:customStyle="1" w:styleId="ListLabel100">
    <w:name w:val="ListLabel 100"/>
    <w:qFormat/>
    <w:rsid w:val="009D4A0E"/>
    <w:rPr>
      <w:rFonts w:eastAsia="Courier New"/>
    </w:rPr>
  </w:style>
  <w:style w:type="character" w:customStyle="1" w:styleId="ListLabel99">
    <w:name w:val="ListLabel 99"/>
    <w:qFormat/>
    <w:rsid w:val="009D4A0E"/>
    <w:rPr>
      <w:rFonts w:eastAsia="Symbol"/>
    </w:rPr>
  </w:style>
  <w:style w:type="character" w:customStyle="1" w:styleId="ListLabel98">
    <w:name w:val="ListLabel 98"/>
    <w:qFormat/>
    <w:rsid w:val="009D4A0E"/>
    <w:rPr>
      <w:rFonts w:eastAsia="Wingdings"/>
    </w:rPr>
  </w:style>
  <w:style w:type="character" w:customStyle="1" w:styleId="ListLabel97">
    <w:name w:val="ListLabel 97"/>
    <w:qFormat/>
    <w:rsid w:val="009D4A0E"/>
    <w:rPr>
      <w:rFonts w:eastAsia="Courier New"/>
    </w:rPr>
  </w:style>
  <w:style w:type="character" w:customStyle="1" w:styleId="ListLabel96">
    <w:name w:val="ListLabel 96"/>
    <w:qFormat/>
    <w:rsid w:val="009D4A0E"/>
    <w:rPr>
      <w:rFonts w:eastAsia="Symbol"/>
    </w:rPr>
  </w:style>
  <w:style w:type="character" w:customStyle="1" w:styleId="ListLabel95">
    <w:name w:val="ListLabel 95"/>
    <w:qFormat/>
    <w:rsid w:val="009D4A0E"/>
    <w:rPr>
      <w:rFonts w:eastAsia="Wingdings"/>
    </w:rPr>
  </w:style>
  <w:style w:type="character" w:customStyle="1" w:styleId="ListLabel94">
    <w:name w:val="ListLabel 94"/>
    <w:qFormat/>
    <w:rsid w:val="009D4A0E"/>
    <w:rPr>
      <w:rFonts w:eastAsia="Courier New"/>
    </w:rPr>
  </w:style>
  <w:style w:type="character" w:customStyle="1" w:styleId="ListLabel93">
    <w:name w:val="ListLabel 93"/>
    <w:qFormat/>
    <w:rsid w:val="009D4A0E"/>
    <w:rPr>
      <w:rFonts w:eastAsia="Symbol"/>
    </w:rPr>
  </w:style>
  <w:style w:type="character" w:customStyle="1" w:styleId="ListLabel92">
    <w:name w:val="ListLabel 92"/>
    <w:qFormat/>
    <w:rsid w:val="009D4A0E"/>
    <w:rPr>
      <w:rFonts w:eastAsia="Wingdings"/>
    </w:rPr>
  </w:style>
  <w:style w:type="character" w:customStyle="1" w:styleId="ListLabel91">
    <w:name w:val="ListLabel 91"/>
    <w:qFormat/>
    <w:rsid w:val="009D4A0E"/>
    <w:rPr>
      <w:rFonts w:eastAsia="Courier New"/>
    </w:rPr>
  </w:style>
  <w:style w:type="character" w:customStyle="1" w:styleId="ListLabel90">
    <w:name w:val="ListLabel 90"/>
    <w:qFormat/>
    <w:rsid w:val="009D4A0E"/>
    <w:rPr>
      <w:rFonts w:eastAsia="Symbol"/>
    </w:rPr>
  </w:style>
  <w:style w:type="character" w:customStyle="1" w:styleId="ListLabel89">
    <w:name w:val="ListLabel 89"/>
    <w:qFormat/>
    <w:rsid w:val="009D4A0E"/>
    <w:rPr>
      <w:rFonts w:eastAsia="Wingdings"/>
    </w:rPr>
  </w:style>
  <w:style w:type="character" w:customStyle="1" w:styleId="ListLabel88">
    <w:name w:val="ListLabel 88"/>
    <w:qFormat/>
    <w:rsid w:val="009D4A0E"/>
    <w:rPr>
      <w:rFonts w:eastAsia="Courier New"/>
    </w:rPr>
  </w:style>
  <w:style w:type="character" w:customStyle="1" w:styleId="ListLabel87">
    <w:name w:val="ListLabel 87"/>
    <w:qFormat/>
    <w:rsid w:val="009D4A0E"/>
    <w:rPr>
      <w:rFonts w:eastAsia="Symbol"/>
    </w:rPr>
  </w:style>
  <w:style w:type="character" w:customStyle="1" w:styleId="ListLabel86">
    <w:name w:val="ListLabel 86"/>
    <w:qFormat/>
    <w:rsid w:val="009D4A0E"/>
    <w:rPr>
      <w:rFonts w:eastAsia="Wingdings"/>
    </w:rPr>
  </w:style>
  <w:style w:type="character" w:customStyle="1" w:styleId="ListLabel85">
    <w:name w:val="ListLabel 85"/>
    <w:qFormat/>
    <w:rsid w:val="009D4A0E"/>
    <w:rPr>
      <w:rFonts w:eastAsia="Courier New"/>
    </w:rPr>
  </w:style>
  <w:style w:type="character" w:customStyle="1" w:styleId="ListLabel84">
    <w:name w:val="ListLabel 84"/>
    <w:qFormat/>
    <w:rsid w:val="009D4A0E"/>
    <w:rPr>
      <w:rFonts w:eastAsia="Symbol"/>
    </w:rPr>
  </w:style>
  <w:style w:type="character" w:customStyle="1" w:styleId="ListLabel83">
    <w:name w:val="ListLabel 83"/>
    <w:qFormat/>
    <w:rsid w:val="009D4A0E"/>
    <w:rPr>
      <w:rFonts w:eastAsia="Wingdings"/>
    </w:rPr>
  </w:style>
  <w:style w:type="character" w:customStyle="1" w:styleId="ListLabel82">
    <w:name w:val="ListLabel 82"/>
    <w:qFormat/>
    <w:rsid w:val="009D4A0E"/>
    <w:rPr>
      <w:rFonts w:eastAsia="Courier New"/>
    </w:rPr>
  </w:style>
  <w:style w:type="character" w:customStyle="1" w:styleId="ListLabel81">
    <w:name w:val="ListLabel 81"/>
    <w:qFormat/>
    <w:rsid w:val="009D4A0E"/>
    <w:rPr>
      <w:rFonts w:eastAsia="Symbol"/>
    </w:rPr>
  </w:style>
  <w:style w:type="character" w:customStyle="1" w:styleId="ListLabel80">
    <w:name w:val="ListLabel 80"/>
    <w:qFormat/>
    <w:rsid w:val="009D4A0E"/>
    <w:rPr>
      <w:rFonts w:eastAsia="Wingdings"/>
    </w:rPr>
  </w:style>
  <w:style w:type="character" w:customStyle="1" w:styleId="ListLabel79">
    <w:name w:val="ListLabel 79"/>
    <w:qFormat/>
    <w:rsid w:val="009D4A0E"/>
    <w:rPr>
      <w:rFonts w:eastAsia="Courier New"/>
    </w:rPr>
  </w:style>
  <w:style w:type="character" w:customStyle="1" w:styleId="ListLabel78">
    <w:name w:val="ListLabel 78"/>
    <w:qFormat/>
    <w:rsid w:val="009D4A0E"/>
    <w:rPr>
      <w:rFonts w:eastAsia="Symbol"/>
    </w:rPr>
  </w:style>
  <w:style w:type="character" w:customStyle="1" w:styleId="ListLabel77">
    <w:name w:val="ListLabel 77"/>
    <w:qFormat/>
    <w:rsid w:val="009D4A0E"/>
    <w:rPr>
      <w:rFonts w:eastAsia="Wingdings"/>
    </w:rPr>
  </w:style>
  <w:style w:type="character" w:customStyle="1" w:styleId="ListLabel76">
    <w:name w:val="ListLabel 76"/>
    <w:qFormat/>
    <w:rsid w:val="009D4A0E"/>
    <w:rPr>
      <w:rFonts w:eastAsia="Courier New"/>
    </w:rPr>
  </w:style>
  <w:style w:type="character" w:customStyle="1" w:styleId="ListLabel75">
    <w:name w:val="ListLabel 75"/>
    <w:qFormat/>
    <w:rsid w:val="009D4A0E"/>
    <w:rPr>
      <w:rFonts w:eastAsia="Symbol"/>
    </w:rPr>
  </w:style>
  <w:style w:type="character" w:customStyle="1" w:styleId="ListLabel74">
    <w:name w:val="ListLabel 74"/>
    <w:qFormat/>
    <w:rsid w:val="009D4A0E"/>
    <w:rPr>
      <w:rFonts w:eastAsia="Wingdings"/>
    </w:rPr>
  </w:style>
  <w:style w:type="character" w:customStyle="1" w:styleId="ListLabel73">
    <w:name w:val="ListLabel 73"/>
    <w:qFormat/>
    <w:rsid w:val="009D4A0E"/>
    <w:rPr>
      <w:rFonts w:eastAsia="Courier New"/>
    </w:rPr>
  </w:style>
  <w:style w:type="character" w:customStyle="1" w:styleId="ListLabel72">
    <w:name w:val="ListLabel 72"/>
    <w:qFormat/>
    <w:rsid w:val="009D4A0E"/>
    <w:rPr>
      <w:rFonts w:eastAsia="Symbol"/>
    </w:rPr>
  </w:style>
  <w:style w:type="character" w:customStyle="1" w:styleId="ListLabel71">
    <w:name w:val="ListLabel 71"/>
    <w:qFormat/>
    <w:rsid w:val="009D4A0E"/>
    <w:rPr>
      <w:rFonts w:eastAsia="Wingdings"/>
    </w:rPr>
  </w:style>
  <w:style w:type="character" w:customStyle="1" w:styleId="ListLabel70">
    <w:name w:val="ListLabel 70"/>
    <w:qFormat/>
    <w:rsid w:val="009D4A0E"/>
    <w:rPr>
      <w:rFonts w:eastAsia="Courier New"/>
    </w:rPr>
  </w:style>
  <w:style w:type="character" w:customStyle="1" w:styleId="ListLabel69">
    <w:name w:val="ListLabel 69"/>
    <w:qFormat/>
    <w:rsid w:val="009D4A0E"/>
    <w:rPr>
      <w:rFonts w:eastAsia="Symbol"/>
    </w:rPr>
  </w:style>
  <w:style w:type="character" w:customStyle="1" w:styleId="ListLabel68">
    <w:name w:val="ListLabel 68"/>
    <w:qFormat/>
    <w:rsid w:val="009D4A0E"/>
    <w:rPr>
      <w:rFonts w:eastAsia="Wingdings"/>
    </w:rPr>
  </w:style>
  <w:style w:type="character" w:customStyle="1" w:styleId="ListLabel67">
    <w:name w:val="ListLabel 67"/>
    <w:qFormat/>
    <w:rsid w:val="009D4A0E"/>
    <w:rPr>
      <w:rFonts w:eastAsia="Courier New"/>
    </w:rPr>
  </w:style>
  <w:style w:type="character" w:customStyle="1" w:styleId="ListLabel66">
    <w:name w:val="ListLabel 66"/>
    <w:qFormat/>
    <w:rsid w:val="009D4A0E"/>
    <w:rPr>
      <w:rFonts w:eastAsia="Symbol"/>
    </w:rPr>
  </w:style>
  <w:style w:type="character" w:customStyle="1" w:styleId="ListLabel65">
    <w:name w:val="ListLabel 65"/>
    <w:qFormat/>
    <w:rsid w:val="009D4A0E"/>
    <w:rPr>
      <w:rFonts w:eastAsia="Wingdings"/>
    </w:rPr>
  </w:style>
  <w:style w:type="character" w:customStyle="1" w:styleId="ListLabel64">
    <w:name w:val="ListLabel 64"/>
    <w:qFormat/>
    <w:rsid w:val="009D4A0E"/>
    <w:rPr>
      <w:rFonts w:eastAsia="Courier New"/>
    </w:rPr>
  </w:style>
  <w:style w:type="character" w:customStyle="1" w:styleId="ListLabel63">
    <w:name w:val="ListLabel 63"/>
    <w:qFormat/>
    <w:rsid w:val="009D4A0E"/>
    <w:rPr>
      <w:rFonts w:eastAsia="Symbol"/>
    </w:rPr>
  </w:style>
  <w:style w:type="character" w:customStyle="1" w:styleId="ListLabel62">
    <w:name w:val="ListLabel 62"/>
    <w:qFormat/>
    <w:rsid w:val="009D4A0E"/>
    <w:rPr>
      <w:rFonts w:eastAsia="Wingdings"/>
    </w:rPr>
  </w:style>
  <w:style w:type="character" w:customStyle="1" w:styleId="ListLabel61">
    <w:name w:val="ListLabel 61"/>
    <w:qFormat/>
    <w:rsid w:val="009D4A0E"/>
    <w:rPr>
      <w:rFonts w:eastAsia="Courier New"/>
    </w:rPr>
  </w:style>
  <w:style w:type="character" w:customStyle="1" w:styleId="ListLabel60">
    <w:name w:val="ListLabel 60"/>
    <w:qFormat/>
    <w:rsid w:val="009D4A0E"/>
    <w:rPr>
      <w:rFonts w:eastAsia="Symbol"/>
    </w:rPr>
  </w:style>
  <w:style w:type="character" w:customStyle="1" w:styleId="ListLabel59">
    <w:name w:val="ListLabel 59"/>
    <w:qFormat/>
    <w:rsid w:val="009D4A0E"/>
    <w:rPr>
      <w:rFonts w:eastAsia="Wingdings"/>
    </w:rPr>
  </w:style>
  <w:style w:type="character" w:customStyle="1" w:styleId="ListLabel58">
    <w:name w:val="ListLabel 58"/>
    <w:qFormat/>
    <w:rsid w:val="009D4A0E"/>
    <w:rPr>
      <w:rFonts w:eastAsia="Courier New"/>
    </w:rPr>
  </w:style>
  <w:style w:type="character" w:customStyle="1" w:styleId="ListLabel57">
    <w:name w:val="ListLabel 57"/>
    <w:qFormat/>
    <w:rsid w:val="009D4A0E"/>
    <w:rPr>
      <w:rFonts w:eastAsia="Symbol"/>
    </w:rPr>
  </w:style>
  <w:style w:type="character" w:customStyle="1" w:styleId="ListLabel56">
    <w:name w:val="ListLabel 56"/>
    <w:qFormat/>
    <w:rsid w:val="009D4A0E"/>
    <w:rPr>
      <w:rFonts w:eastAsia="Wingdings"/>
    </w:rPr>
  </w:style>
  <w:style w:type="character" w:customStyle="1" w:styleId="ListLabel55">
    <w:name w:val="ListLabel 55"/>
    <w:qFormat/>
    <w:rsid w:val="009D4A0E"/>
    <w:rPr>
      <w:rFonts w:eastAsia="Courier New"/>
    </w:rPr>
  </w:style>
  <w:style w:type="character" w:customStyle="1" w:styleId="ListLabel54">
    <w:name w:val="ListLabel 54"/>
    <w:qFormat/>
    <w:rsid w:val="009D4A0E"/>
    <w:rPr>
      <w:rFonts w:eastAsia="Symbol"/>
    </w:rPr>
  </w:style>
  <w:style w:type="character" w:customStyle="1" w:styleId="ListLabel53">
    <w:name w:val="ListLabel 53"/>
    <w:qFormat/>
    <w:rsid w:val="009D4A0E"/>
    <w:rPr>
      <w:rFonts w:eastAsia="Wingdings"/>
    </w:rPr>
  </w:style>
  <w:style w:type="character" w:customStyle="1" w:styleId="ListLabel52">
    <w:name w:val="ListLabel 52"/>
    <w:qFormat/>
    <w:rsid w:val="009D4A0E"/>
    <w:rPr>
      <w:rFonts w:eastAsia="Courier New"/>
    </w:rPr>
  </w:style>
  <w:style w:type="character" w:customStyle="1" w:styleId="ListLabel51">
    <w:name w:val="ListLabel 51"/>
    <w:qFormat/>
    <w:rsid w:val="009D4A0E"/>
    <w:rPr>
      <w:rFonts w:eastAsia="Symbol"/>
    </w:rPr>
  </w:style>
  <w:style w:type="character" w:customStyle="1" w:styleId="ListLabel50">
    <w:name w:val="ListLabel 50"/>
    <w:qFormat/>
    <w:rsid w:val="009D4A0E"/>
    <w:rPr>
      <w:rFonts w:eastAsia="Wingdings"/>
    </w:rPr>
  </w:style>
  <w:style w:type="character" w:customStyle="1" w:styleId="ListLabel49">
    <w:name w:val="ListLabel 49"/>
    <w:qFormat/>
    <w:rsid w:val="009D4A0E"/>
    <w:rPr>
      <w:rFonts w:eastAsia="Courier New"/>
    </w:rPr>
  </w:style>
  <w:style w:type="character" w:customStyle="1" w:styleId="ListLabel48">
    <w:name w:val="ListLabel 48"/>
    <w:qFormat/>
    <w:rsid w:val="009D4A0E"/>
    <w:rPr>
      <w:rFonts w:eastAsia="Symbol"/>
    </w:rPr>
  </w:style>
  <w:style w:type="character" w:customStyle="1" w:styleId="ListLabel47">
    <w:name w:val="ListLabel 47"/>
    <w:qFormat/>
    <w:rsid w:val="009D4A0E"/>
    <w:rPr>
      <w:rFonts w:eastAsia="Wingdings"/>
    </w:rPr>
  </w:style>
  <w:style w:type="character" w:customStyle="1" w:styleId="ListLabel46">
    <w:name w:val="ListLabel 46"/>
    <w:qFormat/>
    <w:rsid w:val="009D4A0E"/>
    <w:rPr>
      <w:rFonts w:eastAsia="Courier New"/>
    </w:rPr>
  </w:style>
  <w:style w:type="character" w:customStyle="1" w:styleId="ListLabel45">
    <w:name w:val="ListLabel 45"/>
    <w:qFormat/>
    <w:rsid w:val="009D4A0E"/>
    <w:rPr>
      <w:rFonts w:eastAsia="Symbol"/>
    </w:rPr>
  </w:style>
  <w:style w:type="character" w:customStyle="1" w:styleId="ListLabel44">
    <w:name w:val="ListLabel 44"/>
    <w:qFormat/>
    <w:rsid w:val="009D4A0E"/>
    <w:rPr>
      <w:rFonts w:eastAsia="Wingdings"/>
    </w:rPr>
  </w:style>
  <w:style w:type="character" w:customStyle="1" w:styleId="ListLabel43">
    <w:name w:val="ListLabel 43"/>
    <w:qFormat/>
    <w:rsid w:val="009D4A0E"/>
    <w:rPr>
      <w:rFonts w:eastAsia="Courier New"/>
    </w:rPr>
  </w:style>
  <w:style w:type="character" w:customStyle="1" w:styleId="ListLabel42">
    <w:name w:val="ListLabel 42"/>
    <w:qFormat/>
    <w:rsid w:val="009D4A0E"/>
    <w:rPr>
      <w:rFonts w:eastAsia="Symbol"/>
    </w:rPr>
  </w:style>
  <w:style w:type="character" w:customStyle="1" w:styleId="ListLabel41">
    <w:name w:val="ListLabel 41"/>
    <w:qFormat/>
    <w:rsid w:val="009D4A0E"/>
    <w:rPr>
      <w:rFonts w:eastAsia="Wingdings"/>
    </w:rPr>
  </w:style>
  <w:style w:type="character" w:customStyle="1" w:styleId="ListLabel40">
    <w:name w:val="ListLabel 40"/>
    <w:qFormat/>
    <w:rsid w:val="009D4A0E"/>
    <w:rPr>
      <w:rFonts w:eastAsia="Courier New"/>
    </w:rPr>
  </w:style>
  <w:style w:type="character" w:customStyle="1" w:styleId="ListLabel39">
    <w:name w:val="ListLabel 39"/>
    <w:qFormat/>
    <w:rsid w:val="009D4A0E"/>
    <w:rPr>
      <w:rFonts w:eastAsia="Symbol"/>
    </w:rPr>
  </w:style>
  <w:style w:type="character" w:customStyle="1" w:styleId="ListLabel38">
    <w:name w:val="ListLabel 38"/>
    <w:qFormat/>
    <w:rsid w:val="009D4A0E"/>
    <w:rPr>
      <w:rFonts w:eastAsia="Courier New"/>
    </w:rPr>
  </w:style>
  <w:style w:type="character" w:customStyle="1" w:styleId="ListLabel37">
    <w:name w:val="ListLabel 37"/>
    <w:qFormat/>
    <w:rsid w:val="009D4A0E"/>
    <w:rPr>
      <w:rFonts w:eastAsia="Courier New"/>
    </w:rPr>
  </w:style>
  <w:style w:type="character" w:customStyle="1" w:styleId="ListLabel36">
    <w:name w:val="ListLabel 36"/>
    <w:qFormat/>
    <w:rsid w:val="009D4A0E"/>
    <w:rPr>
      <w:rFonts w:eastAsia="Courier New"/>
    </w:rPr>
  </w:style>
  <w:style w:type="character" w:customStyle="1" w:styleId="ListLabel35">
    <w:name w:val="ListLabel 35"/>
    <w:qFormat/>
    <w:rsid w:val="009D4A0E"/>
    <w:rPr>
      <w:rFonts w:eastAsia="Courier New"/>
    </w:rPr>
  </w:style>
  <w:style w:type="character" w:customStyle="1" w:styleId="ListLabel34">
    <w:name w:val="ListLabel 34"/>
    <w:qFormat/>
    <w:rsid w:val="009D4A0E"/>
    <w:rPr>
      <w:rFonts w:eastAsia="Courier New"/>
    </w:rPr>
  </w:style>
  <w:style w:type="character" w:customStyle="1" w:styleId="ListLabel33">
    <w:name w:val="ListLabel 33"/>
    <w:qFormat/>
    <w:rsid w:val="009D4A0E"/>
    <w:rPr>
      <w:rFonts w:eastAsia="Courier New"/>
    </w:rPr>
  </w:style>
  <w:style w:type="character" w:customStyle="1" w:styleId="ListLabel32">
    <w:name w:val="ListLabel 32"/>
    <w:qFormat/>
    <w:rsid w:val="009D4A0E"/>
    <w:rPr>
      <w:rFonts w:eastAsia="Courier New"/>
    </w:rPr>
  </w:style>
  <w:style w:type="character" w:customStyle="1" w:styleId="ListLabel31">
    <w:name w:val="ListLabel 31"/>
    <w:qFormat/>
    <w:rsid w:val="009D4A0E"/>
    <w:rPr>
      <w:rFonts w:eastAsia="Courier New"/>
    </w:rPr>
  </w:style>
  <w:style w:type="character" w:customStyle="1" w:styleId="ListLabel30">
    <w:name w:val="ListLabel 30"/>
    <w:qFormat/>
    <w:rsid w:val="009D4A0E"/>
    <w:rPr>
      <w:rFonts w:eastAsia="Courier New"/>
    </w:rPr>
  </w:style>
  <w:style w:type="character" w:customStyle="1" w:styleId="ListLabel29">
    <w:name w:val="ListLabel 29"/>
    <w:qFormat/>
    <w:rsid w:val="009D4A0E"/>
    <w:rPr>
      <w:rFonts w:eastAsia="Courier New"/>
    </w:rPr>
  </w:style>
  <w:style w:type="character" w:customStyle="1" w:styleId="ListLabel28">
    <w:name w:val="ListLabel 28"/>
    <w:qFormat/>
    <w:rsid w:val="009D4A0E"/>
    <w:rPr>
      <w:rFonts w:eastAsia="Courier New"/>
    </w:rPr>
  </w:style>
  <w:style w:type="character" w:customStyle="1" w:styleId="ListLabel27">
    <w:name w:val="ListLabel 27"/>
    <w:qFormat/>
    <w:rsid w:val="009D4A0E"/>
    <w:rPr>
      <w:rFonts w:eastAsia="Courier New"/>
    </w:rPr>
  </w:style>
  <w:style w:type="character" w:customStyle="1" w:styleId="ListLabel26">
    <w:name w:val="ListLabel 26"/>
    <w:qFormat/>
    <w:rsid w:val="009D4A0E"/>
    <w:rPr>
      <w:rFonts w:eastAsia="Wingdings"/>
    </w:rPr>
  </w:style>
  <w:style w:type="character" w:customStyle="1" w:styleId="ListLabel25">
    <w:name w:val="ListLabel 25"/>
    <w:qFormat/>
    <w:rsid w:val="009D4A0E"/>
    <w:rPr>
      <w:rFonts w:eastAsia="Courier New"/>
    </w:rPr>
  </w:style>
  <w:style w:type="character" w:customStyle="1" w:styleId="ListLabel24">
    <w:name w:val="ListLabel 24"/>
    <w:qFormat/>
    <w:rsid w:val="009D4A0E"/>
    <w:rPr>
      <w:rFonts w:eastAsia="Symbol"/>
    </w:rPr>
  </w:style>
  <w:style w:type="character" w:customStyle="1" w:styleId="ListLabel23">
    <w:name w:val="ListLabel 23"/>
    <w:qFormat/>
    <w:rsid w:val="009D4A0E"/>
    <w:rPr>
      <w:rFonts w:eastAsia="Wingdings"/>
    </w:rPr>
  </w:style>
  <w:style w:type="character" w:customStyle="1" w:styleId="ListLabel22">
    <w:name w:val="ListLabel 22"/>
    <w:qFormat/>
    <w:rsid w:val="009D4A0E"/>
    <w:rPr>
      <w:rFonts w:eastAsia="Courier New"/>
    </w:rPr>
  </w:style>
  <w:style w:type="character" w:customStyle="1" w:styleId="ListLabel21">
    <w:name w:val="ListLabel 21"/>
    <w:qFormat/>
    <w:rsid w:val="009D4A0E"/>
    <w:rPr>
      <w:rFonts w:eastAsia="Symbol"/>
    </w:rPr>
  </w:style>
  <w:style w:type="character" w:customStyle="1" w:styleId="ListLabel20">
    <w:name w:val="ListLabel 20"/>
    <w:qFormat/>
    <w:rsid w:val="009D4A0E"/>
    <w:rPr>
      <w:rFonts w:eastAsia="Wingdings"/>
    </w:rPr>
  </w:style>
  <w:style w:type="character" w:customStyle="1" w:styleId="ListLabel19">
    <w:name w:val="ListLabel 19"/>
    <w:qFormat/>
    <w:rsid w:val="009D4A0E"/>
    <w:rPr>
      <w:rFonts w:eastAsia="Courier New"/>
    </w:rPr>
  </w:style>
  <w:style w:type="character" w:customStyle="1" w:styleId="ListLabel18">
    <w:name w:val="ListLabel 18"/>
    <w:qFormat/>
    <w:rsid w:val="009D4A0E"/>
    <w:rPr>
      <w:rFonts w:eastAsia="Arial"/>
    </w:rPr>
  </w:style>
  <w:style w:type="character" w:customStyle="1" w:styleId="ListLabel17">
    <w:name w:val="ListLabel 17"/>
    <w:qFormat/>
    <w:rsid w:val="009D4A0E"/>
    <w:rPr>
      <w:rFonts w:eastAsia="Wingdings"/>
    </w:rPr>
  </w:style>
  <w:style w:type="character" w:customStyle="1" w:styleId="ListLabel16">
    <w:name w:val="ListLabel 16"/>
    <w:qFormat/>
    <w:rsid w:val="009D4A0E"/>
    <w:rPr>
      <w:rFonts w:eastAsia="Courier New"/>
    </w:rPr>
  </w:style>
  <w:style w:type="character" w:customStyle="1" w:styleId="ListLabel15">
    <w:name w:val="ListLabel 15"/>
    <w:qFormat/>
    <w:rsid w:val="009D4A0E"/>
    <w:rPr>
      <w:rFonts w:eastAsia="Symbol"/>
    </w:rPr>
  </w:style>
  <w:style w:type="character" w:customStyle="1" w:styleId="ListLabel14">
    <w:name w:val="ListLabel 14"/>
    <w:qFormat/>
    <w:rsid w:val="009D4A0E"/>
    <w:rPr>
      <w:rFonts w:eastAsia="Wingdings"/>
    </w:rPr>
  </w:style>
  <w:style w:type="character" w:customStyle="1" w:styleId="ListLabel13">
    <w:name w:val="ListLabel 13"/>
    <w:qFormat/>
    <w:rsid w:val="009D4A0E"/>
    <w:rPr>
      <w:rFonts w:eastAsia="Courier New"/>
    </w:rPr>
  </w:style>
  <w:style w:type="character" w:customStyle="1" w:styleId="ListLabel12">
    <w:name w:val="ListLabel 12"/>
    <w:qFormat/>
    <w:rsid w:val="009D4A0E"/>
    <w:rPr>
      <w:rFonts w:eastAsia="Symbol"/>
    </w:rPr>
  </w:style>
  <w:style w:type="character" w:customStyle="1" w:styleId="ListLabel11">
    <w:name w:val="ListLabel 11"/>
    <w:qFormat/>
    <w:rsid w:val="009D4A0E"/>
    <w:rPr>
      <w:rFonts w:eastAsia="Wingdings"/>
    </w:rPr>
  </w:style>
  <w:style w:type="character" w:customStyle="1" w:styleId="ListLabel10">
    <w:name w:val="ListLabel 10"/>
    <w:qFormat/>
    <w:rsid w:val="009D4A0E"/>
    <w:rPr>
      <w:rFonts w:eastAsia="Courier New"/>
    </w:rPr>
  </w:style>
  <w:style w:type="character" w:customStyle="1" w:styleId="ListLabel9">
    <w:name w:val="ListLabel 9"/>
    <w:qFormat/>
    <w:rsid w:val="009D4A0E"/>
    <w:rPr>
      <w:rFonts w:ascii="Arial" w:eastAsia="Arial" w:hAnsi="Arial"/>
    </w:rPr>
  </w:style>
  <w:style w:type="character" w:customStyle="1" w:styleId="EndnoteCharacters">
    <w:name w:val="Endnote Characters"/>
    <w:qFormat/>
    <w:rsid w:val="009D4A0E"/>
  </w:style>
  <w:style w:type="character" w:customStyle="1" w:styleId="EndnoteAnchor">
    <w:name w:val="Endnote Anchor"/>
    <w:qFormat/>
    <w:rsid w:val="009D4A0E"/>
    <w:rPr>
      <w:vertAlign w:val="superscript"/>
    </w:rPr>
  </w:style>
  <w:style w:type="character" w:customStyle="1" w:styleId="ListLabel8">
    <w:name w:val="ListLabel 8"/>
    <w:qFormat/>
    <w:rsid w:val="009D4A0E"/>
    <w:rPr>
      <w:rFonts w:eastAsia="Courier New"/>
    </w:rPr>
  </w:style>
  <w:style w:type="character" w:customStyle="1" w:styleId="ListLabel7">
    <w:name w:val="ListLabel 7"/>
    <w:qFormat/>
    <w:rsid w:val="009D4A0E"/>
    <w:rPr>
      <w:rFonts w:eastAsia="Courier New"/>
    </w:rPr>
  </w:style>
  <w:style w:type="character" w:customStyle="1" w:styleId="ListLabel6">
    <w:name w:val="ListLabel 6"/>
    <w:qFormat/>
    <w:rsid w:val="009D4A0E"/>
    <w:rPr>
      <w:rFonts w:eastAsia="Courier New"/>
    </w:rPr>
  </w:style>
  <w:style w:type="character" w:customStyle="1" w:styleId="ListLabel5">
    <w:name w:val="ListLabel 5"/>
    <w:qFormat/>
    <w:rsid w:val="009D4A0E"/>
    <w:rPr>
      <w:rFonts w:ascii="Arial" w:eastAsia="Arial" w:hAnsi="Arial"/>
    </w:rPr>
  </w:style>
  <w:style w:type="character" w:customStyle="1" w:styleId="ListLabel4">
    <w:name w:val="ListLabel 4"/>
    <w:qFormat/>
    <w:rsid w:val="009D4A0E"/>
    <w:rPr>
      <w:rFonts w:eastAsia="Courier New"/>
    </w:rPr>
  </w:style>
  <w:style w:type="character" w:customStyle="1" w:styleId="ListLabel3">
    <w:name w:val="ListLabel 3"/>
    <w:qFormat/>
    <w:rsid w:val="009D4A0E"/>
    <w:rPr>
      <w:rFonts w:eastAsia="Courier New"/>
    </w:rPr>
  </w:style>
  <w:style w:type="character" w:customStyle="1" w:styleId="ListLabel2">
    <w:name w:val="ListLabel 2"/>
    <w:qFormat/>
    <w:rsid w:val="009D4A0E"/>
    <w:rPr>
      <w:rFonts w:eastAsia="Courier New"/>
    </w:rPr>
  </w:style>
  <w:style w:type="character" w:customStyle="1" w:styleId="ListLabel1">
    <w:name w:val="ListLabel 1"/>
    <w:qFormat/>
    <w:rsid w:val="009D4A0E"/>
    <w:rPr>
      <w:rFonts w:eastAsia="Arial"/>
    </w:rPr>
  </w:style>
  <w:style w:type="character" w:customStyle="1" w:styleId="InternetLink">
    <w:name w:val="Internet Link"/>
    <w:qFormat/>
    <w:rsid w:val="009D4A0E"/>
    <w:rPr>
      <w:rFonts w:eastAsia="Times New Roman"/>
      <w:color w:val="0000FF"/>
      <w:u w:val="single"/>
    </w:rPr>
  </w:style>
  <w:style w:type="character" w:customStyle="1" w:styleId="FootnoteAnchor">
    <w:name w:val="Footnote Anchor"/>
    <w:qFormat/>
    <w:rsid w:val="009D4A0E"/>
    <w:rPr>
      <w:vertAlign w:val="superscript"/>
    </w:rPr>
  </w:style>
  <w:style w:type="character" w:customStyle="1" w:styleId="FootnoteCharacters">
    <w:name w:val="Footnote Characters"/>
    <w:qFormat/>
    <w:rsid w:val="009D4A0E"/>
    <w:rPr>
      <w:vertAlign w:val="superscript"/>
    </w:rPr>
  </w:style>
  <w:style w:type="character" w:customStyle="1" w:styleId="FootnoteTextChar">
    <w:name w:val="Footnote Text Char"/>
    <w:aliases w:val="Fußnotentext arial Char Char Char Char,stile 1 Char,Footnote1 Char,Footnote2 Char,Footnote3 Char,Footnote4 Char,Footnote5 Char,Footnote6 Char,Footnote7 Char,Footnote8 Char,Footnote9 Char,Footnote10 Char,Footnote11 Char,Footnote21 Char"/>
    <w:uiPriority w:val="99"/>
    <w:qFormat/>
    <w:rsid w:val="009D4A0E"/>
    <w:rPr>
      <w:rFonts w:ascii="Times New Roman" w:eastAsia="Times New Roman" w:hAnsi="Times New Roman"/>
      <w:sz w:val="20"/>
      <w:lang w:val="en-GB"/>
    </w:rPr>
  </w:style>
  <w:style w:type="character" w:styleId="PageNumber">
    <w:name w:val="page number"/>
    <w:qFormat/>
    <w:rsid w:val="009D4A0E"/>
  </w:style>
  <w:style w:type="character" w:customStyle="1" w:styleId="ListLabel255">
    <w:name w:val="ListLabel 255"/>
    <w:qFormat/>
    <w:rsid w:val="009D4A0E"/>
    <w:rPr>
      <w:rFonts w:eastAsia="Symbol"/>
    </w:rPr>
  </w:style>
  <w:style w:type="character" w:customStyle="1" w:styleId="ListLabel256">
    <w:name w:val="ListLabel 256"/>
    <w:qFormat/>
    <w:rsid w:val="009D4A0E"/>
    <w:rPr>
      <w:rFonts w:eastAsia="Courier New"/>
    </w:rPr>
  </w:style>
  <w:style w:type="character" w:customStyle="1" w:styleId="ListLabel257">
    <w:name w:val="ListLabel 257"/>
    <w:qFormat/>
    <w:rsid w:val="009D4A0E"/>
    <w:rPr>
      <w:rFonts w:eastAsia="Wingdings"/>
    </w:rPr>
  </w:style>
  <w:style w:type="character" w:customStyle="1" w:styleId="ListLabel258">
    <w:name w:val="ListLabel 258"/>
    <w:qFormat/>
    <w:rsid w:val="009D4A0E"/>
    <w:rPr>
      <w:rFonts w:eastAsia="Symbol"/>
    </w:rPr>
  </w:style>
  <w:style w:type="character" w:customStyle="1" w:styleId="ListLabel259">
    <w:name w:val="ListLabel 259"/>
    <w:qFormat/>
    <w:rsid w:val="009D4A0E"/>
    <w:rPr>
      <w:rFonts w:eastAsia="Courier New"/>
    </w:rPr>
  </w:style>
  <w:style w:type="character" w:customStyle="1" w:styleId="ListLabel260">
    <w:name w:val="ListLabel 260"/>
    <w:qFormat/>
    <w:rsid w:val="009D4A0E"/>
    <w:rPr>
      <w:rFonts w:eastAsia="Wingdings"/>
    </w:rPr>
  </w:style>
  <w:style w:type="character" w:customStyle="1" w:styleId="ListLabel261">
    <w:name w:val="ListLabel 261"/>
    <w:qFormat/>
    <w:rsid w:val="009D4A0E"/>
    <w:rPr>
      <w:rFonts w:eastAsia="Symbol"/>
    </w:rPr>
  </w:style>
  <w:style w:type="character" w:customStyle="1" w:styleId="ListLabel262">
    <w:name w:val="ListLabel 262"/>
    <w:qFormat/>
    <w:rsid w:val="009D4A0E"/>
    <w:rPr>
      <w:rFonts w:eastAsia="Courier New"/>
    </w:rPr>
  </w:style>
  <w:style w:type="character" w:customStyle="1" w:styleId="ListLabel263">
    <w:name w:val="ListLabel 263"/>
    <w:qFormat/>
    <w:rsid w:val="009D4A0E"/>
    <w:rPr>
      <w:rFonts w:eastAsia="Wingdings"/>
    </w:rPr>
  </w:style>
  <w:style w:type="character" w:customStyle="1" w:styleId="ListLabel264">
    <w:name w:val="ListLabel 264"/>
    <w:qFormat/>
    <w:rsid w:val="009D4A0E"/>
    <w:rPr>
      <w:rFonts w:eastAsia="Symbol"/>
    </w:rPr>
  </w:style>
  <w:style w:type="character" w:customStyle="1" w:styleId="ListLabel265">
    <w:name w:val="ListLabel 265"/>
    <w:qFormat/>
    <w:rsid w:val="009D4A0E"/>
    <w:rPr>
      <w:rFonts w:eastAsia="Courier New"/>
    </w:rPr>
  </w:style>
  <w:style w:type="character" w:customStyle="1" w:styleId="ListLabel266">
    <w:name w:val="ListLabel 266"/>
    <w:qFormat/>
    <w:rsid w:val="009D4A0E"/>
    <w:rPr>
      <w:rFonts w:eastAsia="Wingdings"/>
    </w:rPr>
  </w:style>
  <w:style w:type="character" w:customStyle="1" w:styleId="ListLabel267">
    <w:name w:val="ListLabel 267"/>
    <w:qFormat/>
    <w:rsid w:val="009D4A0E"/>
    <w:rPr>
      <w:rFonts w:eastAsia="Symbol"/>
    </w:rPr>
  </w:style>
  <w:style w:type="character" w:customStyle="1" w:styleId="ListLabel268">
    <w:name w:val="ListLabel 268"/>
    <w:qFormat/>
    <w:rsid w:val="009D4A0E"/>
    <w:rPr>
      <w:rFonts w:eastAsia="Courier New"/>
    </w:rPr>
  </w:style>
  <w:style w:type="character" w:customStyle="1" w:styleId="ListLabel269">
    <w:name w:val="ListLabel 269"/>
    <w:qFormat/>
    <w:rsid w:val="009D4A0E"/>
    <w:rPr>
      <w:rFonts w:eastAsia="Wingdings"/>
    </w:rPr>
  </w:style>
  <w:style w:type="character" w:customStyle="1" w:styleId="ListLabel270">
    <w:name w:val="ListLabel 270"/>
    <w:qFormat/>
    <w:rsid w:val="009D4A0E"/>
    <w:rPr>
      <w:rFonts w:eastAsia="Symbol"/>
    </w:rPr>
  </w:style>
  <w:style w:type="character" w:customStyle="1" w:styleId="ListLabel271">
    <w:name w:val="ListLabel 271"/>
    <w:qFormat/>
    <w:rsid w:val="009D4A0E"/>
    <w:rPr>
      <w:rFonts w:eastAsia="Courier New"/>
    </w:rPr>
  </w:style>
  <w:style w:type="character" w:customStyle="1" w:styleId="ListLabel272">
    <w:name w:val="ListLabel 272"/>
    <w:qFormat/>
    <w:rsid w:val="009D4A0E"/>
    <w:rPr>
      <w:rFonts w:eastAsia="Wingdings"/>
    </w:rPr>
  </w:style>
  <w:style w:type="character" w:customStyle="1" w:styleId="ListLabel273">
    <w:name w:val="ListLabel 273"/>
    <w:qFormat/>
    <w:rsid w:val="009D4A0E"/>
    <w:rPr>
      <w:rFonts w:eastAsia="Symbol"/>
    </w:rPr>
  </w:style>
  <w:style w:type="character" w:customStyle="1" w:styleId="ListLabel274">
    <w:name w:val="ListLabel 274"/>
    <w:qFormat/>
    <w:rsid w:val="009D4A0E"/>
    <w:rPr>
      <w:rFonts w:eastAsia="Courier New"/>
    </w:rPr>
  </w:style>
  <w:style w:type="character" w:customStyle="1" w:styleId="ListLabel275">
    <w:name w:val="ListLabel 275"/>
    <w:qFormat/>
    <w:rsid w:val="009D4A0E"/>
    <w:rPr>
      <w:rFonts w:eastAsia="Wingdings"/>
    </w:rPr>
  </w:style>
  <w:style w:type="character" w:customStyle="1" w:styleId="ListLabel276">
    <w:name w:val="ListLabel 276"/>
    <w:qFormat/>
    <w:rsid w:val="009D4A0E"/>
    <w:rPr>
      <w:rFonts w:eastAsia="Symbol"/>
    </w:rPr>
  </w:style>
  <w:style w:type="character" w:customStyle="1" w:styleId="ListLabel277">
    <w:name w:val="ListLabel 277"/>
    <w:qFormat/>
    <w:rsid w:val="009D4A0E"/>
    <w:rPr>
      <w:rFonts w:eastAsia="Courier New"/>
    </w:rPr>
  </w:style>
  <w:style w:type="character" w:customStyle="1" w:styleId="ListLabel278">
    <w:name w:val="ListLabel 278"/>
    <w:qFormat/>
    <w:rsid w:val="009D4A0E"/>
    <w:rPr>
      <w:rFonts w:eastAsia="Wingdings"/>
    </w:rPr>
  </w:style>
  <w:style w:type="character" w:customStyle="1" w:styleId="ListLabel279">
    <w:name w:val="ListLabel 279"/>
    <w:qFormat/>
    <w:rsid w:val="009D4A0E"/>
    <w:rPr>
      <w:rFonts w:eastAsia="Symbol"/>
    </w:rPr>
  </w:style>
  <w:style w:type="character" w:customStyle="1" w:styleId="ListLabel280">
    <w:name w:val="ListLabel 280"/>
    <w:qFormat/>
    <w:rsid w:val="009D4A0E"/>
    <w:rPr>
      <w:rFonts w:eastAsia="Courier New"/>
    </w:rPr>
  </w:style>
  <w:style w:type="character" w:customStyle="1" w:styleId="ListLabel281">
    <w:name w:val="ListLabel 281"/>
    <w:qFormat/>
    <w:rsid w:val="009D4A0E"/>
    <w:rPr>
      <w:rFonts w:eastAsia="Wingdings"/>
    </w:rPr>
  </w:style>
  <w:style w:type="character" w:customStyle="1" w:styleId="ListLabel282">
    <w:name w:val="ListLabel 282"/>
    <w:qFormat/>
    <w:rsid w:val="009D4A0E"/>
    <w:rPr>
      <w:rFonts w:eastAsia="Symbol"/>
    </w:rPr>
  </w:style>
  <w:style w:type="character" w:customStyle="1" w:styleId="ListLabel283">
    <w:name w:val="ListLabel 283"/>
    <w:qFormat/>
    <w:rsid w:val="009D4A0E"/>
    <w:rPr>
      <w:rFonts w:eastAsia="Courier New"/>
    </w:rPr>
  </w:style>
  <w:style w:type="character" w:customStyle="1" w:styleId="ListLabel284">
    <w:name w:val="ListLabel 284"/>
    <w:qFormat/>
    <w:rsid w:val="009D4A0E"/>
    <w:rPr>
      <w:rFonts w:eastAsia="Wingdings"/>
    </w:rPr>
  </w:style>
  <w:style w:type="character" w:customStyle="1" w:styleId="ListLabel285">
    <w:name w:val="ListLabel 285"/>
    <w:qFormat/>
    <w:rsid w:val="009D4A0E"/>
    <w:rPr>
      <w:rFonts w:eastAsia="Symbol"/>
    </w:rPr>
  </w:style>
  <w:style w:type="character" w:customStyle="1" w:styleId="ListLabel286">
    <w:name w:val="ListLabel 286"/>
    <w:qFormat/>
    <w:rsid w:val="009D4A0E"/>
    <w:rPr>
      <w:rFonts w:eastAsia="Courier New"/>
    </w:rPr>
  </w:style>
  <w:style w:type="character" w:customStyle="1" w:styleId="ListLabel287">
    <w:name w:val="ListLabel 287"/>
    <w:qFormat/>
    <w:rsid w:val="009D4A0E"/>
    <w:rPr>
      <w:rFonts w:eastAsia="Wingdings"/>
    </w:rPr>
  </w:style>
  <w:style w:type="character" w:customStyle="1" w:styleId="ListLabel288">
    <w:name w:val="ListLabel 288"/>
    <w:qFormat/>
    <w:rsid w:val="009D4A0E"/>
    <w:rPr>
      <w:rFonts w:eastAsia="Symbol"/>
    </w:rPr>
  </w:style>
  <w:style w:type="character" w:customStyle="1" w:styleId="ListLabel289">
    <w:name w:val="ListLabel 289"/>
    <w:qFormat/>
    <w:rsid w:val="009D4A0E"/>
    <w:rPr>
      <w:rFonts w:eastAsia="Courier New"/>
    </w:rPr>
  </w:style>
  <w:style w:type="character" w:customStyle="1" w:styleId="ListLabel290">
    <w:name w:val="ListLabel 290"/>
    <w:qFormat/>
    <w:rsid w:val="009D4A0E"/>
    <w:rPr>
      <w:rFonts w:eastAsia="Wingdings"/>
    </w:rPr>
  </w:style>
  <w:style w:type="character" w:customStyle="1" w:styleId="WW-EndnoteCharacters">
    <w:name w:val="WW-Endnote Characters"/>
    <w:qFormat/>
    <w:rsid w:val="009D4A0E"/>
  </w:style>
  <w:style w:type="character" w:customStyle="1" w:styleId="WW8Num2z8">
    <w:name w:val="WW8Num2z8"/>
    <w:qFormat/>
    <w:rsid w:val="009D4A0E"/>
  </w:style>
  <w:style w:type="character" w:customStyle="1" w:styleId="WW8Num2z7">
    <w:name w:val="WW8Num2z7"/>
    <w:qFormat/>
    <w:rsid w:val="009D4A0E"/>
  </w:style>
  <w:style w:type="character" w:customStyle="1" w:styleId="WW8Num2z6">
    <w:name w:val="WW8Num2z6"/>
    <w:qFormat/>
    <w:rsid w:val="009D4A0E"/>
  </w:style>
  <w:style w:type="character" w:customStyle="1" w:styleId="WW8Num2z5">
    <w:name w:val="WW8Num2z5"/>
    <w:qFormat/>
    <w:rsid w:val="009D4A0E"/>
  </w:style>
  <w:style w:type="character" w:customStyle="1" w:styleId="WW8Num2z4">
    <w:name w:val="WW8Num2z4"/>
    <w:qFormat/>
    <w:rsid w:val="009D4A0E"/>
  </w:style>
  <w:style w:type="character" w:customStyle="1" w:styleId="WW8Num2z3">
    <w:name w:val="WW8Num2z3"/>
    <w:qFormat/>
    <w:rsid w:val="009D4A0E"/>
  </w:style>
  <w:style w:type="character" w:customStyle="1" w:styleId="WW8Num2z2">
    <w:name w:val="WW8Num2z2"/>
    <w:qFormat/>
    <w:rsid w:val="009D4A0E"/>
  </w:style>
  <w:style w:type="character" w:customStyle="1" w:styleId="WW8Num2z1">
    <w:name w:val="WW8Num2z1"/>
    <w:qFormat/>
    <w:rsid w:val="009D4A0E"/>
  </w:style>
  <w:style w:type="character" w:customStyle="1" w:styleId="WW8Num2z0">
    <w:name w:val="WW8Num2z0"/>
    <w:qFormat/>
    <w:rsid w:val="009D4A0E"/>
  </w:style>
  <w:style w:type="character" w:customStyle="1" w:styleId="WW8Num1z3">
    <w:name w:val="WW8Num1z3"/>
    <w:qFormat/>
    <w:rsid w:val="009D4A0E"/>
    <w:rPr>
      <w:rFonts w:ascii="Symbol" w:eastAsia="Symbol" w:hAnsi="Symbol"/>
    </w:rPr>
  </w:style>
  <w:style w:type="character" w:customStyle="1" w:styleId="WW8Num1z2">
    <w:name w:val="WW8Num1z2"/>
    <w:qFormat/>
    <w:rsid w:val="009D4A0E"/>
    <w:rPr>
      <w:rFonts w:ascii="Wingdings" w:eastAsia="Wingdings" w:hAnsi="Wingdings"/>
    </w:rPr>
  </w:style>
  <w:style w:type="character" w:customStyle="1" w:styleId="WW8Num1z1">
    <w:name w:val="WW8Num1z1"/>
    <w:qFormat/>
    <w:rsid w:val="009D4A0E"/>
    <w:rPr>
      <w:rFonts w:ascii="Courier New" w:eastAsia="Courier New" w:hAnsi="Courier New"/>
    </w:rPr>
  </w:style>
  <w:style w:type="character" w:customStyle="1" w:styleId="WW8Num1z0">
    <w:name w:val="WW8Num1z0"/>
    <w:qFormat/>
    <w:rsid w:val="009D4A0E"/>
    <w:rPr>
      <w:rFonts w:ascii="Arial" w:eastAsia="Arial" w:hAnsi="Arial"/>
      <w:color w:val="00A65D"/>
      <w:highlight w:val="white"/>
    </w:rPr>
  </w:style>
  <w:style w:type="character" w:customStyle="1" w:styleId="ListLabel291">
    <w:name w:val="ListLabel 291"/>
    <w:qFormat/>
    <w:rsid w:val="009D4A0E"/>
    <w:rPr>
      <w:rFonts w:eastAsia="OpenSymbol"/>
    </w:rPr>
  </w:style>
  <w:style w:type="character" w:customStyle="1" w:styleId="ListLabel292">
    <w:name w:val="ListLabel 292"/>
    <w:qFormat/>
    <w:rsid w:val="009D4A0E"/>
    <w:rPr>
      <w:rFonts w:eastAsia="OpenSymbol"/>
    </w:rPr>
  </w:style>
  <w:style w:type="character" w:customStyle="1" w:styleId="ListLabel293">
    <w:name w:val="ListLabel 293"/>
    <w:qFormat/>
    <w:rsid w:val="009D4A0E"/>
    <w:rPr>
      <w:rFonts w:eastAsia="OpenSymbol"/>
    </w:rPr>
  </w:style>
  <w:style w:type="character" w:customStyle="1" w:styleId="ListLabel294">
    <w:name w:val="ListLabel 294"/>
    <w:qFormat/>
    <w:rsid w:val="009D4A0E"/>
    <w:rPr>
      <w:rFonts w:eastAsia="OpenSymbol"/>
    </w:rPr>
  </w:style>
  <w:style w:type="character" w:customStyle="1" w:styleId="ListLabel295">
    <w:name w:val="ListLabel 295"/>
    <w:qFormat/>
    <w:rsid w:val="009D4A0E"/>
    <w:rPr>
      <w:rFonts w:eastAsia="OpenSymbol"/>
    </w:rPr>
  </w:style>
  <w:style w:type="character" w:customStyle="1" w:styleId="ListLabel296">
    <w:name w:val="ListLabel 296"/>
    <w:qFormat/>
    <w:rsid w:val="009D4A0E"/>
    <w:rPr>
      <w:rFonts w:eastAsia="OpenSymbol"/>
    </w:rPr>
  </w:style>
  <w:style w:type="character" w:customStyle="1" w:styleId="ListLabel297">
    <w:name w:val="ListLabel 297"/>
    <w:qFormat/>
    <w:rsid w:val="009D4A0E"/>
    <w:rPr>
      <w:rFonts w:eastAsia="OpenSymbol"/>
    </w:rPr>
  </w:style>
  <w:style w:type="character" w:customStyle="1" w:styleId="ListLabel298">
    <w:name w:val="ListLabel 298"/>
    <w:qFormat/>
    <w:rsid w:val="009D4A0E"/>
    <w:rPr>
      <w:rFonts w:eastAsia="OpenSymbol"/>
    </w:rPr>
  </w:style>
  <w:style w:type="character" w:customStyle="1" w:styleId="ListLabel299">
    <w:name w:val="ListLabel 299"/>
    <w:qFormat/>
    <w:rsid w:val="009D4A0E"/>
    <w:rPr>
      <w:rFonts w:eastAsia="OpenSymbol"/>
    </w:rPr>
  </w:style>
  <w:style w:type="character" w:customStyle="1" w:styleId="ListLabel300">
    <w:name w:val="ListLabel 300"/>
    <w:qFormat/>
    <w:rsid w:val="009D4A0E"/>
    <w:rPr>
      <w:rFonts w:eastAsia="OpenSymbol"/>
    </w:rPr>
  </w:style>
  <w:style w:type="character" w:customStyle="1" w:styleId="ListLabel301">
    <w:name w:val="ListLabel 301"/>
    <w:qFormat/>
    <w:rsid w:val="009D4A0E"/>
    <w:rPr>
      <w:rFonts w:eastAsia="OpenSymbol"/>
    </w:rPr>
  </w:style>
  <w:style w:type="character" w:customStyle="1" w:styleId="ListLabel302">
    <w:name w:val="ListLabel 302"/>
    <w:qFormat/>
    <w:rsid w:val="009D4A0E"/>
    <w:rPr>
      <w:rFonts w:eastAsia="OpenSymbol"/>
    </w:rPr>
  </w:style>
  <w:style w:type="character" w:customStyle="1" w:styleId="ListLabel303">
    <w:name w:val="ListLabel 303"/>
    <w:qFormat/>
    <w:rsid w:val="009D4A0E"/>
    <w:rPr>
      <w:rFonts w:eastAsia="OpenSymbol"/>
    </w:rPr>
  </w:style>
  <w:style w:type="character" w:customStyle="1" w:styleId="ListLabel304">
    <w:name w:val="ListLabel 304"/>
    <w:qFormat/>
    <w:rsid w:val="009D4A0E"/>
    <w:rPr>
      <w:rFonts w:eastAsia="OpenSymbol"/>
    </w:rPr>
  </w:style>
  <w:style w:type="character" w:customStyle="1" w:styleId="ListLabel305">
    <w:name w:val="ListLabel 305"/>
    <w:qFormat/>
    <w:rsid w:val="009D4A0E"/>
    <w:rPr>
      <w:rFonts w:eastAsia="OpenSymbol"/>
    </w:rPr>
  </w:style>
  <w:style w:type="character" w:customStyle="1" w:styleId="ListLabel306">
    <w:name w:val="ListLabel 306"/>
    <w:qFormat/>
    <w:rsid w:val="009D4A0E"/>
    <w:rPr>
      <w:rFonts w:eastAsia="OpenSymbol"/>
    </w:rPr>
  </w:style>
  <w:style w:type="character" w:customStyle="1" w:styleId="ListLabel307">
    <w:name w:val="ListLabel 307"/>
    <w:qFormat/>
    <w:rsid w:val="009D4A0E"/>
    <w:rPr>
      <w:rFonts w:eastAsia="OpenSymbol"/>
    </w:rPr>
  </w:style>
  <w:style w:type="character" w:customStyle="1" w:styleId="ListLabel308">
    <w:name w:val="ListLabel 308"/>
    <w:qFormat/>
    <w:rsid w:val="009D4A0E"/>
    <w:rPr>
      <w:rFonts w:eastAsia="OpenSymbol"/>
    </w:rPr>
  </w:style>
  <w:style w:type="character" w:customStyle="1" w:styleId="ListLabel309">
    <w:name w:val="ListLabel 309"/>
    <w:qFormat/>
    <w:rsid w:val="009D4A0E"/>
    <w:rPr>
      <w:rFonts w:eastAsia="OpenSymbol"/>
      <w:b w:val="0"/>
    </w:rPr>
  </w:style>
  <w:style w:type="character" w:customStyle="1" w:styleId="ListLabel310">
    <w:name w:val="ListLabel 310"/>
    <w:qFormat/>
    <w:rsid w:val="009D4A0E"/>
    <w:rPr>
      <w:rFonts w:eastAsia="OpenSymbol"/>
    </w:rPr>
  </w:style>
  <w:style w:type="character" w:customStyle="1" w:styleId="ListLabel311">
    <w:name w:val="ListLabel 311"/>
    <w:qFormat/>
    <w:rsid w:val="009D4A0E"/>
    <w:rPr>
      <w:rFonts w:eastAsia="OpenSymbol"/>
    </w:rPr>
  </w:style>
  <w:style w:type="character" w:customStyle="1" w:styleId="ListLabel312">
    <w:name w:val="ListLabel 312"/>
    <w:qFormat/>
    <w:rsid w:val="009D4A0E"/>
    <w:rPr>
      <w:rFonts w:eastAsia="OpenSymbol"/>
    </w:rPr>
  </w:style>
  <w:style w:type="character" w:customStyle="1" w:styleId="ListLabel313">
    <w:name w:val="ListLabel 313"/>
    <w:qFormat/>
    <w:rsid w:val="009D4A0E"/>
    <w:rPr>
      <w:rFonts w:eastAsia="OpenSymbol"/>
    </w:rPr>
  </w:style>
  <w:style w:type="character" w:customStyle="1" w:styleId="ListLabel314">
    <w:name w:val="ListLabel 314"/>
    <w:qFormat/>
    <w:rsid w:val="009D4A0E"/>
    <w:rPr>
      <w:rFonts w:eastAsia="OpenSymbol"/>
    </w:rPr>
  </w:style>
  <w:style w:type="character" w:customStyle="1" w:styleId="ListLabel315">
    <w:name w:val="ListLabel 315"/>
    <w:qFormat/>
    <w:rsid w:val="009D4A0E"/>
    <w:rPr>
      <w:rFonts w:eastAsia="OpenSymbol"/>
    </w:rPr>
  </w:style>
  <w:style w:type="character" w:customStyle="1" w:styleId="ListLabel316">
    <w:name w:val="ListLabel 316"/>
    <w:qFormat/>
    <w:rsid w:val="009D4A0E"/>
    <w:rPr>
      <w:rFonts w:eastAsia="OpenSymbol"/>
    </w:rPr>
  </w:style>
  <w:style w:type="character" w:customStyle="1" w:styleId="ListLabel317">
    <w:name w:val="ListLabel 317"/>
    <w:qFormat/>
    <w:rsid w:val="009D4A0E"/>
    <w:rPr>
      <w:rFonts w:eastAsia="OpenSymbol"/>
    </w:rPr>
  </w:style>
  <w:style w:type="character" w:customStyle="1" w:styleId="ListLabel318">
    <w:name w:val="ListLabel 318"/>
    <w:qFormat/>
    <w:rsid w:val="009D4A0E"/>
    <w:rPr>
      <w:rFonts w:eastAsia="OpenSymbol"/>
    </w:rPr>
  </w:style>
  <w:style w:type="character" w:customStyle="1" w:styleId="ListLabel319">
    <w:name w:val="ListLabel 319"/>
    <w:qFormat/>
    <w:rsid w:val="009D4A0E"/>
    <w:rPr>
      <w:rFonts w:eastAsia="OpenSymbol"/>
    </w:rPr>
  </w:style>
  <w:style w:type="character" w:customStyle="1" w:styleId="ListLabel320">
    <w:name w:val="ListLabel 320"/>
    <w:qFormat/>
    <w:rsid w:val="009D4A0E"/>
    <w:rPr>
      <w:rFonts w:eastAsia="OpenSymbol"/>
    </w:rPr>
  </w:style>
  <w:style w:type="character" w:customStyle="1" w:styleId="ListLabel321">
    <w:name w:val="ListLabel 321"/>
    <w:qFormat/>
    <w:rsid w:val="009D4A0E"/>
    <w:rPr>
      <w:rFonts w:eastAsia="OpenSymbol"/>
    </w:rPr>
  </w:style>
  <w:style w:type="character" w:customStyle="1" w:styleId="ListLabel322">
    <w:name w:val="ListLabel 322"/>
    <w:qFormat/>
    <w:rsid w:val="009D4A0E"/>
    <w:rPr>
      <w:rFonts w:eastAsia="OpenSymbol"/>
    </w:rPr>
  </w:style>
  <w:style w:type="character" w:customStyle="1" w:styleId="ListLabel323">
    <w:name w:val="ListLabel 323"/>
    <w:qFormat/>
    <w:rsid w:val="009D4A0E"/>
    <w:rPr>
      <w:rFonts w:eastAsia="OpenSymbol"/>
    </w:rPr>
  </w:style>
  <w:style w:type="character" w:customStyle="1" w:styleId="ListLabel324">
    <w:name w:val="ListLabel 324"/>
    <w:qFormat/>
    <w:rsid w:val="009D4A0E"/>
    <w:rPr>
      <w:rFonts w:eastAsia="OpenSymbol"/>
    </w:rPr>
  </w:style>
  <w:style w:type="character" w:customStyle="1" w:styleId="ListLabel325">
    <w:name w:val="ListLabel 325"/>
    <w:qFormat/>
    <w:rsid w:val="009D4A0E"/>
    <w:rPr>
      <w:rFonts w:eastAsia="OpenSymbol"/>
    </w:rPr>
  </w:style>
  <w:style w:type="character" w:customStyle="1" w:styleId="ListLabel326">
    <w:name w:val="ListLabel 326"/>
    <w:qFormat/>
    <w:rsid w:val="009D4A0E"/>
    <w:rPr>
      <w:rFonts w:eastAsia="OpenSymbol"/>
    </w:rPr>
  </w:style>
  <w:style w:type="character" w:customStyle="1" w:styleId="ListLabel327">
    <w:name w:val="ListLabel 327"/>
    <w:qFormat/>
    <w:rsid w:val="009D4A0E"/>
    <w:rPr>
      <w:rFonts w:eastAsia="OpenSymbol"/>
    </w:rPr>
  </w:style>
  <w:style w:type="character" w:customStyle="1" w:styleId="ListLabel328">
    <w:name w:val="ListLabel 328"/>
    <w:qFormat/>
    <w:rsid w:val="009D4A0E"/>
    <w:rPr>
      <w:rFonts w:eastAsia="OpenSymbol"/>
    </w:rPr>
  </w:style>
  <w:style w:type="character" w:customStyle="1" w:styleId="ListLabel329">
    <w:name w:val="ListLabel 329"/>
    <w:qFormat/>
    <w:rsid w:val="009D4A0E"/>
    <w:rPr>
      <w:rFonts w:eastAsia="OpenSymbol"/>
    </w:rPr>
  </w:style>
  <w:style w:type="character" w:customStyle="1" w:styleId="ListLabel330">
    <w:name w:val="ListLabel 330"/>
    <w:qFormat/>
    <w:rsid w:val="009D4A0E"/>
    <w:rPr>
      <w:rFonts w:eastAsia="OpenSymbol"/>
    </w:rPr>
  </w:style>
  <w:style w:type="character" w:customStyle="1" w:styleId="ListLabel331">
    <w:name w:val="ListLabel 331"/>
    <w:qFormat/>
    <w:rsid w:val="009D4A0E"/>
    <w:rPr>
      <w:rFonts w:eastAsia="OpenSymbol"/>
    </w:rPr>
  </w:style>
  <w:style w:type="character" w:customStyle="1" w:styleId="ListLabel332">
    <w:name w:val="ListLabel 332"/>
    <w:qFormat/>
    <w:rsid w:val="009D4A0E"/>
    <w:rPr>
      <w:rFonts w:eastAsia="OpenSymbol"/>
    </w:rPr>
  </w:style>
  <w:style w:type="character" w:customStyle="1" w:styleId="ListLabel333">
    <w:name w:val="ListLabel 333"/>
    <w:qFormat/>
    <w:rsid w:val="009D4A0E"/>
    <w:rPr>
      <w:rFonts w:eastAsia="OpenSymbol"/>
    </w:rPr>
  </w:style>
  <w:style w:type="character" w:customStyle="1" w:styleId="ListLabel334">
    <w:name w:val="ListLabel 334"/>
    <w:qFormat/>
    <w:rsid w:val="009D4A0E"/>
    <w:rPr>
      <w:rFonts w:eastAsia="OpenSymbol"/>
    </w:rPr>
  </w:style>
  <w:style w:type="character" w:customStyle="1" w:styleId="ListLabel335">
    <w:name w:val="ListLabel 335"/>
    <w:qFormat/>
    <w:rsid w:val="009D4A0E"/>
    <w:rPr>
      <w:rFonts w:eastAsia="OpenSymbol"/>
    </w:rPr>
  </w:style>
  <w:style w:type="character" w:customStyle="1" w:styleId="ListLabel336">
    <w:name w:val="ListLabel 336"/>
    <w:qFormat/>
    <w:rsid w:val="009D4A0E"/>
    <w:rPr>
      <w:rFonts w:eastAsia="OpenSymbol"/>
    </w:rPr>
  </w:style>
  <w:style w:type="character" w:customStyle="1" w:styleId="ListLabel337">
    <w:name w:val="ListLabel 337"/>
    <w:qFormat/>
    <w:rsid w:val="009D4A0E"/>
    <w:rPr>
      <w:rFonts w:eastAsia="OpenSymbol"/>
    </w:rPr>
  </w:style>
  <w:style w:type="character" w:customStyle="1" w:styleId="ListLabel338">
    <w:name w:val="ListLabel 338"/>
    <w:qFormat/>
    <w:rsid w:val="009D4A0E"/>
    <w:rPr>
      <w:rFonts w:eastAsia="OpenSymbol"/>
    </w:rPr>
  </w:style>
  <w:style w:type="character" w:customStyle="1" w:styleId="ListLabel339">
    <w:name w:val="ListLabel 339"/>
    <w:qFormat/>
    <w:rsid w:val="009D4A0E"/>
    <w:rPr>
      <w:rFonts w:eastAsia="OpenSymbol"/>
    </w:rPr>
  </w:style>
  <w:style w:type="character" w:customStyle="1" w:styleId="ListLabel340">
    <w:name w:val="ListLabel 340"/>
    <w:qFormat/>
    <w:rsid w:val="009D4A0E"/>
    <w:rPr>
      <w:rFonts w:eastAsia="OpenSymbol"/>
    </w:rPr>
  </w:style>
  <w:style w:type="character" w:customStyle="1" w:styleId="ListLabel341">
    <w:name w:val="ListLabel 341"/>
    <w:qFormat/>
    <w:rsid w:val="009D4A0E"/>
    <w:rPr>
      <w:rFonts w:eastAsia="OpenSymbol"/>
    </w:rPr>
  </w:style>
  <w:style w:type="character" w:customStyle="1" w:styleId="ListLabel342">
    <w:name w:val="ListLabel 342"/>
    <w:qFormat/>
    <w:rsid w:val="009D4A0E"/>
    <w:rPr>
      <w:rFonts w:eastAsia="OpenSymbol"/>
    </w:rPr>
  </w:style>
  <w:style w:type="character" w:customStyle="1" w:styleId="ListLabel343">
    <w:name w:val="ListLabel 343"/>
    <w:qFormat/>
    <w:rsid w:val="009D4A0E"/>
    <w:rPr>
      <w:rFonts w:eastAsia="OpenSymbol"/>
    </w:rPr>
  </w:style>
  <w:style w:type="character" w:customStyle="1" w:styleId="ListLabel344">
    <w:name w:val="ListLabel 344"/>
    <w:qFormat/>
    <w:rsid w:val="009D4A0E"/>
    <w:rPr>
      <w:rFonts w:eastAsia="OpenSymbol"/>
    </w:rPr>
  </w:style>
  <w:style w:type="character" w:customStyle="1" w:styleId="ListLabel345">
    <w:name w:val="ListLabel 345"/>
    <w:qFormat/>
    <w:rsid w:val="009D4A0E"/>
    <w:rPr>
      <w:rFonts w:eastAsia="OpenSymbol"/>
      <w:b w:val="0"/>
      <w:sz w:val="24"/>
    </w:rPr>
  </w:style>
  <w:style w:type="character" w:customStyle="1" w:styleId="ListLabel346">
    <w:name w:val="ListLabel 346"/>
    <w:qFormat/>
    <w:rsid w:val="009D4A0E"/>
    <w:rPr>
      <w:rFonts w:eastAsia="OpenSymbol"/>
    </w:rPr>
  </w:style>
  <w:style w:type="character" w:customStyle="1" w:styleId="ListLabel347">
    <w:name w:val="ListLabel 347"/>
    <w:qFormat/>
    <w:rsid w:val="009D4A0E"/>
    <w:rPr>
      <w:rFonts w:eastAsia="OpenSymbol"/>
    </w:rPr>
  </w:style>
  <w:style w:type="character" w:customStyle="1" w:styleId="ListLabel348">
    <w:name w:val="ListLabel 348"/>
    <w:qFormat/>
    <w:rsid w:val="009D4A0E"/>
    <w:rPr>
      <w:rFonts w:eastAsia="OpenSymbol"/>
    </w:rPr>
  </w:style>
  <w:style w:type="character" w:customStyle="1" w:styleId="ListLabel349">
    <w:name w:val="ListLabel 349"/>
    <w:qFormat/>
    <w:rsid w:val="009D4A0E"/>
    <w:rPr>
      <w:rFonts w:eastAsia="OpenSymbol"/>
    </w:rPr>
  </w:style>
  <w:style w:type="character" w:customStyle="1" w:styleId="ListLabel350">
    <w:name w:val="ListLabel 350"/>
    <w:qFormat/>
    <w:rsid w:val="009D4A0E"/>
    <w:rPr>
      <w:rFonts w:eastAsia="OpenSymbol"/>
    </w:rPr>
  </w:style>
  <w:style w:type="character" w:customStyle="1" w:styleId="ListLabel351">
    <w:name w:val="ListLabel 351"/>
    <w:qFormat/>
    <w:rsid w:val="009D4A0E"/>
    <w:rPr>
      <w:rFonts w:eastAsia="OpenSymbol"/>
    </w:rPr>
  </w:style>
  <w:style w:type="character" w:customStyle="1" w:styleId="ListLabel352">
    <w:name w:val="ListLabel 352"/>
    <w:qFormat/>
    <w:rsid w:val="009D4A0E"/>
    <w:rPr>
      <w:rFonts w:eastAsia="OpenSymbol"/>
    </w:rPr>
  </w:style>
  <w:style w:type="character" w:customStyle="1" w:styleId="ListLabel353">
    <w:name w:val="ListLabel 353"/>
    <w:qFormat/>
    <w:rsid w:val="009D4A0E"/>
    <w:rPr>
      <w:rFonts w:eastAsia="OpenSymbol"/>
    </w:rPr>
  </w:style>
  <w:style w:type="character" w:customStyle="1" w:styleId="ListLabel354">
    <w:name w:val="ListLabel 354"/>
    <w:qFormat/>
    <w:rsid w:val="009D4A0E"/>
    <w:rPr>
      <w:rFonts w:eastAsia="OpenSymbol"/>
      <w:b w:val="0"/>
      <w:sz w:val="24"/>
    </w:rPr>
  </w:style>
  <w:style w:type="character" w:customStyle="1" w:styleId="ListLabel355">
    <w:name w:val="ListLabel 355"/>
    <w:qFormat/>
    <w:rsid w:val="009D4A0E"/>
    <w:rPr>
      <w:rFonts w:eastAsia="OpenSymbol"/>
    </w:rPr>
  </w:style>
  <w:style w:type="character" w:customStyle="1" w:styleId="ListLabel356">
    <w:name w:val="ListLabel 356"/>
    <w:qFormat/>
    <w:rsid w:val="009D4A0E"/>
    <w:rPr>
      <w:rFonts w:eastAsia="OpenSymbol"/>
    </w:rPr>
  </w:style>
  <w:style w:type="character" w:customStyle="1" w:styleId="ListLabel357">
    <w:name w:val="ListLabel 357"/>
    <w:qFormat/>
    <w:rsid w:val="009D4A0E"/>
    <w:rPr>
      <w:rFonts w:eastAsia="OpenSymbol"/>
    </w:rPr>
  </w:style>
  <w:style w:type="character" w:customStyle="1" w:styleId="ListLabel358">
    <w:name w:val="ListLabel 358"/>
    <w:qFormat/>
    <w:rsid w:val="009D4A0E"/>
    <w:rPr>
      <w:rFonts w:eastAsia="OpenSymbol"/>
    </w:rPr>
  </w:style>
  <w:style w:type="character" w:customStyle="1" w:styleId="ListLabel359">
    <w:name w:val="ListLabel 359"/>
    <w:qFormat/>
    <w:rsid w:val="009D4A0E"/>
    <w:rPr>
      <w:rFonts w:eastAsia="OpenSymbol"/>
    </w:rPr>
  </w:style>
  <w:style w:type="character" w:customStyle="1" w:styleId="ListLabel360">
    <w:name w:val="ListLabel 360"/>
    <w:qFormat/>
    <w:rsid w:val="009D4A0E"/>
    <w:rPr>
      <w:rFonts w:eastAsia="OpenSymbol"/>
    </w:rPr>
  </w:style>
  <w:style w:type="character" w:customStyle="1" w:styleId="ListLabel361">
    <w:name w:val="ListLabel 361"/>
    <w:qFormat/>
    <w:rsid w:val="009D4A0E"/>
    <w:rPr>
      <w:rFonts w:eastAsia="OpenSymbol"/>
    </w:rPr>
  </w:style>
  <w:style w:type="character" w:customStyle="1" w:styleId="ListLabel362">
    <w:name w:val="ListLabel 362"/>
    <w:qFormat/>
    <w:rsid w:val="009D4A0E"/>
    <w:rPr>
      <w:rFonts w:eastAsia="OpenSymbol"/>
    </w:rPr>
  </w:style>
  <w:style w:type="character" w:customStyle="1" w:styleId="a2">
    <w:name w:val="Акцентиран"/>
    <w:qFormat/>
    <w:rsid w:val="009D4A0E"/>
    <w:rPr>
      <w:i/>
      <w:iCs/>
    </w:rPr>
  </w:style>
  <w:style w:type="character" w:customStyle="1" w:styleId="a3">
    <w:name w:val="Цитат"/>
    <w:qFormat/>
    <w:rsid w:val="009D4A0E"/>
    <w:rPr>
      <w:i/>
      <w:iCs/>
    </w:rPr>
  </w:style>
  <w:style w:type="character" w:customStyle="1" w:styleId="a4">
    <w:name w:val="Котва на бележка под линия"/>
    <w:rsid w:val="009D4A0E"/>
    <w:rPr>
      <w:vertAlign w:val="superscript"/>
    </w:rPr>
  </w:style>
  <w:style w:type="character" w:customStyle="1" w:styleId="CommentSubjectChar">
    <w:name w:val="Comment Subject Char"/>
    <w:uiPriority w:val="99"/>
    <w:qFormat/>
    <w:rsid w:val="009D4A0E"/>
    <w:rPr>
      <w:b/>
    </w:rPr>
  </w:style>
  <w:style w:type="character" w:customStyle="1" w:styleId="CommentTextChar">
    <w:name w:val="Comment Text Char"/>
    <w:uiPriority w:val="99"/>
    <w:qFormat/>
    <w:rsid w:val="009D4A0E"/>
  </w:style>
  <w:style w:type="character" w:styleId="CommentReference">
    <w:name w:val="annotation reference"/>
    <w:qFormat/>
    <w:rsid w:val="009D4A0E"/>
    <w:rPr>
      <w:sz w:val="16"/>
    </w:rPr>
  </w:style>
  <w:style w:type="character" w:customStyle="1" w:styleId="Absatz-Standardschriftart">
    <w:name w:val="Absatz-Standardschriftart"/>
    <w:qFormat/>
    <w:rsid w:val="009D4A0E"/>
  </w:style>
  <w:style w:type="character" w:customStyle="1" w:styleId="WW8Num7z3">
    <w:name w:val="WW8Num7z3"/>
    <w:qFormat/>
    <w:rsid w:val="009D4A0E"/>
    <w:rPr>
      <w:rFonts w:ascii="Symbol" w:eastAsia="Symbol" w:hAnsi="Symbol"/>
    </w:rPr>
  </w:style>
  <w:style w:type="character" w:customStyle="1" w:styleId="WW8Num7z1">
    <w:name w:val="WW8Num7z1"/>
    <w:qFormat/>
    <w:rsid w:val="009D4A0E"/>
    <w:rPr>
      <w:rFonts w:ascii="Courier New" w:eastAsia="Courier New" w:hAnsi="Courier New"/>
    </w:rPr>
  </w:style>
  <w:style w:type="character" w:customStyle="1" w:styleId="WW8Num7z0">
    <w:name w:val="WW8Num7z0"/>
    <w:qFormat/>
    <w:rsid w:val="009D4A0E"/>
    <w:rPr>
      <w:rFonts w:ascii="Wingdings" w:eastAsia="Wingdings" w:hAnsi="Wingdings"/>
    </w:rPr>
  </w:style>
  <w:style w:type="character" w:customStyle="1" w:styleId="WW8Num6z3">
    <w:name w:val="WW8Num6z3"/>
    <w:qFormat/>
    <w:rsid w:val="009D4A0E"/>
    <w:rPr>
      <w:rFonts w:ascii="Symbol" w:eastAsia="Symbol" w:hAnsi="Symbol"/>
    </w:rPr>
  </w:style>
  <w:style w:type="character" w:customStyle="1" w:styleId="WW8Num6z1">
    <w:name w:val="WW8Num6z1"/>
    <w:qFormat/>
    <w:rsid w:val="009D4A0E"/>
    <w:rPr>
      <w:rFonts w:ascii="Courier New" w:eastAsia="Courier New" w:hAnsi="Courier New"/>
    </w:rPr>
  </w:style>
  <w:style w:type="character" w:customStyle="1" w:styleId="WW8Num6z0">
    <w:name w:val="WW8Num6z0"/>
    <w:qFormat/>
    <w:rsid w:val="009D4A0E"/>
    <w:rPr>
      <w:rFonts w:ascii="Wingdings" w:eastAsia="Wingdings" w:hAnsi="Wingdings"/>
    </w:rPr>
  </w:style>
  <w:style w:type="character" w:customStyle="1" w:styleId="WW8Num5z8">
    <w:name w:val="WW8Num5z8"/>
    <w:qFormat/>
    <w:rsid w:val="009D4A0E"/>
  </w:style>
  <w:style w:type="character" w:customStyle="1" w:styleId="WW8Num5z7">
    <w:name w:val="WW8Num5z7"/>
    <w:qFormat/>
    <w:rsid w:val="009D4A0E"/>
  </w:style>
  <w:style w:type="character" w:customStyle="1" w:styleId="WW8Num5z6">
    <w:name w:val="WW8Num5z6"/>
    <w:qFormat/>
    <w:rsid w:val="009D4A0E"/>
  </w:style>
  <w:style w:type="character" w:customStyle="1" w:styleId="WW8Num5z5">
    <w:name w:val="WW8Num5z5"/>
    <w:qFormat/>
    <w:rsid w:val="009D4A0E"/>
  </w:style>
  <w:style w:type="character" w:customStyle="1" w:styleId="WW8Num5z4">
    <w:name w:val="WW8Num5z4"/>
    <w:qFormat/>
    <w:rsid w:val="009D4A0E"/>
  </w:style>
  <w:style w:type="character" w:customStyle="1" w:styleId="WW8Num5z3">
    <w:name w:val="WW8Num5z3"/>
    <w:qFormat/>
    <w:rsid w:val="009D4A0E"/>
  </w:style>
  <w:style w:type="character" w:customStyle="1" w:styleId="WW8Num5z2">
    <w:name w:val="WW8Num5z2"/>
    <w:qFormat/>
    <w:rsid w:val="009D4A0E"/>
  </w:style>
  <w:style w:type="character" w:customStyle="1" w:styleId="WW8Num5z1">
    <w:name w:val="WW8Num5z1"/>
    <w:qFormat/>
    <w:rsid w:val="009D4A0E"/>
  </w:style>
  <w:style w:type="character" w:customStyle="1" w:styleId="WW8Num5z0">
    <w:name w:val="WW8Num5z0"/>
    <w:qFormat/>
    <w:rsid w:val="009D4A0E"/>
  </w:style>
  <w:style w:type="character" w:customStyle="1" w:styleId="WW8Num4z4">
    <w:name w:val="WW8Num4z4"/>
    <w:qFormat/>
    <w:rsid w:val="009D4A0E"/>
    <w:rPr>
      <w:rFonts w:ascii="Courier New" w:eastAsia="Courier New" w:hAnsi="Courier New"/>
    </w:rPr>
  </w:style>
  <w:style w:type="character" w:customStyle="1" w:styleId="WW8Num4z3">
    <w:name w:val="WW8Num4z3"/>
    <w:qFormat/>
    <w:rsid w:val="009D4A0E"/>
    <w:rPr>
      <w:rFonts w:ascii="Symbol" w:eastAsia="Symbol" w:hAnsi="Symbol"/>
    </w:rPr>
  </w:style>
  <w:style w:type="character" w:customStyle="1" w:styleId="WW8Num4z1">
    <w:name w:val="WW8Num4z1"/>
    <w:qFormat/>
    <w:rsid w:val="009D4A0E"/>
    <w:rPr>
      <w:rFonts w:ascii="Times New Roman" w:eastAsia="Times New Roman" w:hAnsi="Times New Roman"/>
    </w:rPr>
  </w:style>
  <w:style w:type="character" w:customStyle="1" w:styleId="WW8Num4z0">
    <w:name w:val="WW8Num4z0"/>
    <w:qFormat/>
    <w:rsid w:val="009D4A0E"/>
    <w:rPr>
      <w:rFonts w:ascii="Wingdings" w:eastAsia="Wingdings" w:hAnsi="Wingdings"/>
    </w:rPr>
  </w:style>
  <w:style w:type="character" w:customStyle="1" w:styleId="WW8Num3z8">
    <w:name w:val="WW8Num3z8"/>
    <w:qFormat/>
    <w:rsid w:val="009D4A0E"/>
  </w:style>
  <w:style w:type="character" w:customStyle="1" w:styleId="WW8Num3z7">
    <w:name w:val="WW8Num3z7"/>
    <w:qFormat/>
    <w:rsid w:val="009D4A0E"/>
  </w:style>
  <w:style w:type="character" w:customStyle="1" w:styleId="WW8Num3z6">
    <w:name w:val="WW8Num3z6"/>
    <w:qFormat/>
    <w:rsid w:val="009D4A0E"/>
  </w:style>
  <w:style w:type="character" w:customStyle="1" w:styleId="WW8Num3z5">
    <w:name w:val="WW8Num3z5"/>
    <w:qFormat/>
    <w:rsid w:val="009D4A0E"/>
  </w:style>
  <w:style w:type="character" w:customStyle="1" w:styleId="WW8Num3z4">
    <w:name w:val="WW8Num3z4"/>
    <w:qFormat/>
    <w:rsid w:val="009D4A0E"/>
  </w:style>
  <w:style w:type="character" w:customStyle="1" w:styleId="WW8Num3z3">
    <w:name w:val="WW8Num3z3"/>
    <w:qFormat/>
    <w:rsid w:val="009D4A0E"/>
  </w:style>
  <w:style w:type="character" w:customStyle="1" w:styleId="WW8Num3z2">
    <w:name w:val="WW8Num3z2"/>
    <w:qFormat/>
    <w:rsid w:val="009D4A0E"/>
  </w:style>
  <w:style w:type="character" w:customStyle="1" w:styleId="WW8Num3z1">
    <w:name w:val="WW8Num3z1"/>
    <w:qFormat/>
    <w:rsid w:val="009D4A0E"/>
  </w:style>
  <w:style w:type="character" w:customStyle="1" w:styleId="WW8Num3z0">
    <w:name w:val="WW8Num3z0"/>
    <w:qFormat/>
    <w:rsid w:val="009D4A0E"/>
  </w:style>
  <w:style w:type="character" w:customStyle="1" w:styleId="a5">
    <w:name w:val="Знаци за бележки под линия"/>
    <w:qFormat/>
    <w:rsid w:val="009D4A0E"/>
  </w:style>
  <w:style w:type="character" w:customStyle="1" w:styleId="WW-">
    <w:name w:val="WW-Знаци за бележки в края"/>
    <w:qFormat/>
    <w:rsid w:val="009D4A0E"/>
  </w:style>
  <w:style w:type="character" w:customStyle="1" w:styleId="WW8Num1z8">
    <w:name w:val="WW8Num1z8"/>
    <w:qFormat/>
    <w:rsid w:val="009D4A0E"/>
  </w:style>
  <w:style w:type="character" w:customStyle="1" w:styleId="WW8Num1z7">
    <w:name w:val="WW8Num1z7"/>
    <w:qFormat/>
    <w:rsid w:val="009D4A0E"/>
  </w:style>
  <w:style w:type="character" w:customStyle="1" w:styleId="WW8Num1z6">
    <w:name w:val="WW8Num1z6"/>
    <w:qFormat/>
    <w:rsid w:val="009D4A0E"/>
  </w:style>
  <w:style w:type="character" w:customStyle="1" w:styleId="WW8Num1z5">
    <w:name w:val="WW8Num1z5"/>
    <w:qFormat/>
    <w:rsid w:val="009D4A0E"/>
  </w:style>
  <w:style w:type="character" w:customStyle="1" w:styleId="WW8Num1z4">
    <w:name w:val="WW8Num1z4"/>
    <w:qFormat/>
    <w:rsid w:val="009D4A0E"/>
  </w:style>
  <w:style w:type="character" w:customStyle="1" w:styleId="a6">
    <w:name w:val="Посетена връзка към Интернет"/>
    <w:rsid w:val="009D4A0E"/>
    <w:rPr>
      <w:color w:val="800000"/>
      <w:u w:val="single"/>
    </w:rPr>
  </w:style>
  <w:style w:type="character" w:styleId="FootnoteReference">
    <w:name w:val="footnote reference"/>
    <w:aliases w:val="ftref Char1,BVI fnr Char2,Footnote symbol Char1,Footnote Char1,Appel note de bas de p Char1,Footnote Reference Number Char1,Footnote Reference_LVL6 Char1,Footnote Reference_LVL61 Char,Footnote Reference_LVL62 Char Char Char Char Char"/>
    <w:link w:val="FootnoteReferenceLVL62CharCharCharChar"/>
    <w:qFormat/>
    <w:rsid w:val="009D4A0E"/>
    <w:rPr>
      <w:vertAlign w:val="superscript"/>
    </w:rPr>
  </w:style>
  <w:style w:type="character" w:styleId="Strong">
    <w:name w:val="Strong"/>
    <w:uiPriority w:val="22"/>
    <w:qFormat/>
    <w:rsid w:val="009D4A0E"/>
    <w:rPr>
      <w:b/>
    </w:rPr>
  </w:style>
  <w:style w:type="character" w:customStyle="1" w:styleId="FontStyle19">
    <w:name w:val="Font Style19"/>
    <w:qFormat/>
    <w:rsid w:val="009D4A0E"/>
    <w:rPr>
      <w:rFonts w:ascii="Times New Roman" w:eastAsia="Times New Roman" w:hAnsi="Times New Roman"/>
      <w:sz w:val="22"/>
    </w:rPr>
  </w:style>
  <w:style w:type="character" w:customStyle="1" w:styleId="FontStyle18">
    <w:name w:val="Font Style18"/>
    <w:uiPriority w:val="99"/>
    <w:qFormat/>
    <w:rsid w:val="009D4A0E"/>
    <w:rPr>
      <w:rFonts w:ascii="Times New Roman" w:eastAsia="Times New Roman" w:hAnsi="Times New Roman"/>
      <w:b/>
      <w:sz w:val="22"/>
    </w:rPr>
  </w:style>
  <w:style w:type="character" w:customStyle="1" w:styleId="HTMLPreformattedChar">
    <w:name w:val="HTML Preformatted Char"/>
    <w:qFormat/>
    <w:rsid w:val="009D4A0E"/>
    <w:rPr>
      <w:rFonts w:ascii="Courier New" w:eastAsia="Courier New" w:hAnsi="Courier New"/>
      <w:sz w:val="20"/>
      <w:lang w:eastAsia="bg-BG"/>
    </w:rPr>
  </w:style>
  <w:style w:type="character" w:customStyle="1" w:styleId="FontStyle11">
    <w:name w:val="Font Style11"/>
    <w:qFormat/>
    <w:rsid w:val="009D4A0E"/>
    <w:rPr>
      <w:rFonts w:ascii="Times New Roman" w:eastAsia="Times New Roman" w:hAnsi="Times New Roman"/>
      <w:sz w:val="18"/>
    </w:rPr>
  </w:style>
  <w:style w:type="character" w:customStyle="1" w:styleId="FontStyle12">
    <w:name w:val="Font Style12"/>
    <w:qFormat/>
    <w:rsid w:val="00425D9F"/>
    <w:rPr>
      <w:rFonts w:ascii="Times New Roman" w:eastAsia="Times New Roman" w:hAnsi="Times New Roman"/>
      <w:i w:val="0"/>
      <w:sz w:val="24"/>
    </w:rPr>
  </w:style>
  <w:style w:type="character" w:customStyle="1" w:styleId="FontStyle14">
    <w:name w:val="Font Style14"/>
    <w:qFormat/>
    <w:rsid w:val="000210AC"/>
    <w:rPr>
      <w:rFonts w:ascii="Times New Roman" w:eastAsia="Times New Roman" w:hAnsi="Times New Roman"/>
      <w:b/>
      <w:sz w:val="24"/>
    </w:rPr>
  </w:style>
  <w:style w:type="character" w:customStyle="1" w:styleId="FontStyle13">
    <w:name w:val="Font Style13"/>
    <w:qFormat/>
    <w:rsid w:val="009D4A0E"/>
    <w:rPr>
      <w:rFonts w:ascii="Times New Roman" w:eastAsia="Times New Roman" w:hAnsi="Times New Roman"/>
      <w:sz w:val="22"/>
    </w:rPr>
  </w:style>
  <w:style w:type="character" w:customStyle="1" w:styleId="Character20style">
    <w:name w:val="Character_20_style"/>
    <w:qFormat/>
    <w:rsid w:val="009D4A0E"/>
  </w:style>
  <w:style w:type="character" w:customStyle="1" w:styleId="a7">
    <w:name w:val="Силно акцентиран"/>
    <w:qFormat/>
    <w:rsid w:val="009D4A0E"/>
    <w:rPr>
      <w:b/>
      <w:bCs/>
    </w:rPr>
  </w:style>
  <w:style w:type="character" w:customStyle="1" w:styleId="a8">
    <w:name w:val="Символи за номериране"/>
    <w:qFormat/>
    <w:rsid w:val="009D4A0E"/>
  </w:style>
  <w:style w:type="character" w:customStyle="1" w:styleId="a9">
    <w:name w:val="Котва на бележка в края"/>
    <w:rsid w:val="009D4A0E"/>
    <w:rPr>
      <w:vertAlign w:val="superscript"/>
    </w:rPr>
  </w:style>
  <w:style w:type="character" w:customStyle="1" w:styleId="aa">
    <w:name w:val="Знаци за бележки в края"/>
    <w:qFormat/>
    <w:rsid w:val="009D4A0E"/>
  </w:style>
  <w:style w:type="paragraph" w:customStyle="1" w:styleId="a">
    <w:name w:val="Заглавие"/>
    <w:basedOn w:val="Normal"/>
    <w:next w:val="BodyText"/>
    <w:qFormat/>
    <w:rsid w:val="009D4A0E"/>
    <w:pPr>
      <w:keepNext/>
      <w:widowControl w:val="0"/>
      <w:spacing w:before="240" w:after="120" w:line="240" w:lineRule="auto"/>
    </w:pPr>
    <w:rPr>
      <w:rFonts w:ascii="Times New Roman" w:eastAsia="Source Han Sans CN Regular" w:hAnsi="Times New Roman" w:cs="Lohit Devanagari"/>
      <w:sz w:val="28"/>
      <w:szCs w:val="28"/>
      <w:lang w:eastAsia="zh-CN" w:bidi="hi-IN"/>
    </w:rPr>
  </w:style>
  <w:style w:type="paragraph" w:styleId="BodyText">
    <w:name w:val="Body Text"/>
    <w:basedOn w:val="Normal"/>
    <w:link w:val="BodyTextChar"/>
    <w:rsid w:val="009D4A0E"/>
    <w:pPr>
      <w:widowControl w:val="0"/>
      <w:spacing w:before="113" w:after="57" w:line="288" w:lineRule="auto"/>
      <w:jc w:val="both"/>
    </w:pPr>
    <w:rPr>
      <w:rFonts w:ascii="Times New Roman" w:eastAsia="Source Han Sans CN Regular" w:hAnsi="Times New Roman" w:cs="Lohit Devanagari"/>
      <w:sz w:val="24"/>
      <w:szCs w:val="24"/>
      <w:lang w:val="bg-BG" w:eastAsia="zh-CN" w:bidi="hi-IN"/>
    </w:rPr>
  </w:style>
  <w:style w:type="character" w:customStyle="1" w:styleId="BodyTextChar">
    <w:name w:val="Body Text Char"/>
    <w:basedOn w:val="DefaultParagraphFont"/>
    <w:link w:val="BodyText"/>
    <w:qFormat/>
    <w:rsid w:val="009D4A0E"/>
    <w:rPr>
      <w:rFonts w:ascii="Times New Roman" w:eastAsia="Source Han Sans CN Regular" w:hAnsi="Times New Roman" w:cs="Lohit Devanagari"/>
      <w:sz w:val="24"/>
      <w:szCs w:val="24"/>
      <w:lang w:val="bg-BG" w:eastAsia="zh-CN" w:bidi="hi-IN"/>
    </w:rPr>
  </w:style>
  <w:style w:type="paragraph" w:styleId="List">
    <w:name w:val="List"/>
    <w:basedOn w:val="BodyText"/>
    <w:rsid w:val="009D4A0E"/>
  </w:style>
  <w:style w:type="paragraph" w:styleId="Caption">
    <w:name w:val="caption"/>
    <w:basedOn w:val="Normal"/>
    <w:qFormat/>
    <w:rsid w:val="00751B5D"/>
    <w:pPr>
      <w:spacing w:before="120" w:after="120" w:line="256" w:lineRule="auto"/>
    </w:pPr>
    <w:rPr>
      <w:rFonts w:ascii="Times New Roman" w:eastAsia="Lohit Devanagari" w:hAnsi="Times New Roman" w:cs="Lohit Devanagari"/>
      <w:color w:val="00000A"/>
      <w:sz w:val="24"/>
      <w:szCs w:val="24"/>
      <w:lang w:val="bg-BG" w:eastAsia="ar-SA" w:bidi="hi-IN"/>
    </w:rPr>
  </w:style>
  <w:style w:type="paragraph" w:customStyle="1" w:styleId="ab">
    <w:name w:val="Указател"/>
    <w:basedOn w:val="Normal"/>
    <w:qFormat/>
    <w:rsid w:val="009D4A0E"/>
    <w:pPr>
      <w:widowControl w:val="0"/>
      <w:suppressLineNumbers/>
      <w:spacing w:after="0" w:line="240" w:lineRule="auto"/>
    </w:pPr>
    <w:rPr>
      <w:rFonts w:ascii="Times New Roman" w:eastAsia="Source Han Sans CN Regular" w:hAnsi="Times New Roman" w:cs="Lohit Devanagari"/>
      <w:sz w:val="24"/>
      <w:szCs w:val="24"/>
      <w:lang w:eastAsia="zh-CN" w:bidi="hi-IN"/>
    </w:rPr>
  </w:style>
  <w:style w:type="paragraph" w:customStyle="1" w:styleId="Quotations">
    <w:name w:val="Quotations"/>
    <w:basedOn w:val="Normal"/>
    <w:qFormat/>
    <w:rsid w:val="009D4A0E"/>
    <w:pPr>
      <w:widowControl w:val="0"/>
      <w:spacing w:after="283" w:line="240" w:lineRule="auto"/>
      <w:ind w:left="567" w:right="567"/>
    </w:pPr>
    <w:rPr>
      <w:rFonts w:ascii="Times New Roman" w:eastAsia="Source Han Sans CN Regular" w:hAnsi="Times New Roman" w:cs="Lohit Devanagari"/>
      <w:sz w:val="24"/>
      <w:szCs w:val="24"/>
      <w:lang w:eastAsia="zh-CN" w:bidi="hi-IN"/>
    </w:rPr>
  </w:style>
  <w:style w:type="paragraph" w:styleId="Title">
    <w:name w:val="Title"/>
    <w:basedOn w:val="a"/>
    <w:next w:val="BodyText"/>
    <w:link w:val="TitleChar"/>
    <w:qFormat/>
    <w:rsid w:val="009D4A0E"/>
    <w:pPr>
      <w:jc w:val="center"/>
    </w:pPr>
    <w:rPr>
      <w:b/>
      <w:bCs/>
      <w:sz w:val="56"/>
      <w:szCs w:val="56"/>
    </w:rPr>
  </w:style>
  <w:style w:type="character" w:customStyle="1" w:styleId="TitleChar">
    <w:name w:val="Title Char"/>
    <w:basedOn w:val="DefaultParagraphFont"/>
    <w:link w:val="Title"/>
    <w:rsid w:val="009D4A0E"/>
    <w:rPr>
      <w:rFonts w:ascii="Times New Roman" w:eastAsia="Source Han Sans CN Regular" w:hAnsi="Times New Roman" w:cs="Lohit Devanagari"/>
      <w:b/>
      <w:bCs/>
      <w:sz w:val="56"/>
      <w:szCs w:val="56"/>
      <w:lang w:val="en-GB" w:eastAsia="zh-CN" w:bidi="hi-IN"/>
    </w:rPr>
  </w:style>
  <w:style w:type="paragraph" w:styleId="Subtitle">
    <w:name w:val="Subtitle"/>
    <w:basedOn w:val="a"/>
    <w:next w:val="BodyText"/>
    <w:link w:val="SubtitleChar"/>
    <w:qFormat/>
    <w:rsid w:val="009D4A0E"/>
    <w:pPr>
      <w:spacing w:before="60"/>
      <w:jc w:val="center"/>
    </w:pPr>
    <w:rPr>
      <w:sz w:val="36"/>
      <w:szCs w:val="36"/>
    </w:rPr>
  </w:style>
  <w:style w:type="character" w:customStyle="1" w:styleId="SubtitleChar">
    <w:name w:val="Subtitle Char"/>
    <w:basedOn w:val="DefaultParagraphFont"/>
    <w:link w:val="Subtitle"/>
    <w:rsid w:val="009D4A0E"/>
    <w:rPr>
      <w:rFonts w:ascii="Times New Roman" w:eastAsia="Source Han Sans CN Regular" w:hAnsi="Times New Roman" w:cs="Lohit Devanagari"/>
      <w:sz w:val="36"/>
      <w:szCs w:val="36"/>
      <w:lang w:val="en-GB" w:eastAsia="zh-CN" w:bidi="hi-IN"/>
    </w:rPr>
  </w:style>
  <w:style w:type="paragraph" w:customStyle="1" w:styleId="-">
    <w:name w:val="Таблица - съдържание"/>
    <w:basedOn w:val="Normal"/>
    <w:qFormat/>
    <w:rsid w:val="009D4A0E"/>
    <w:pPr>
      <w:widowControl w:val="0"/>
      <w:suppressLineNumbers/>
      <w:spacing w:after="0" w:line="240" w:lineRule="auto"/>
    </w:pPr>
    <w:rPr>
      <w:rFonts w:ascii="Times New Roman" w:eastAsia="Source Han Sans CN Regular" w:hAnsi="Times New Roman" w:cs="Lohit Devanagari"/>
      <w:sz w:val="24"/>
      <w:szCs w:val="24"/>
      <w:lang w:eastAsia="zh-CN" w:bidi="hi-IN"/>
    </w:rPr>
  </w:style>
  <w:style w:type="paragraph" w:customStyle="1" w:styleId="-0">
    <w:name w:val="Таблица - заглавие"/>
    <w:basedOn w:val="-"/>
    <w:qFormat/>
    <w:rsid w:val="009D4A0E"/>
    <w:pPr>
      <w:jc w:val="center"/>
    </w:pPr>
    <w:rPr>
      <w:b/>
      <w:bCs/>
    </w:rPr>
  </w:style>
  <w:style w:type="paragraph" w:styleId="BodyTextFirstIndent">
    <w:name w:val="Body Text First Indent"/>
    <w:basedOn w:val="BodyText"/>
    <w:link w:val="BodyTextFirstIndentChar"/>
    <w:rsid w:val="009D4A0E"/>
    <w:pPr>
      <w:ind w:firstLine="283"/>
    </w:pPr>
  </w:style>
  <w:style w:type="character" w:customStyle="1" w:styleId="BodyTextFirstIndentChar">
    <w:name w:val="Body Text First Indent Char"/>
    <w:basedOn w:val="BodyTextChar"/>
    <w:link w:val="BodyTextFirstIndent"/>
    <w:rsid w:val="009D4A0E"/>
    <w:rPr>
      <w:rFonts w:ascii="Times New Roman" w:eastAsia="Source Han Sans CN Regular" w:hAnsi="Times New Roman" w:cs="Lohit Devanagari"/>
      <w:sz w:val="24"/>
      <w:szCs w:val="24"/>
      <w:lang w:val="bg-BG" w:eastAsia="zh-CN" w:bidi="hi-IN"/>
    </w:rPr>
  </w:style>
  <w:style w:type="paragraph" w:styleId="FootnoteText">
    <w:name w:val="footnote text"/>
    <w:aliases w:val="Fußnotentext arial Char Char Char,stile 1,Footnote1,Footnote2,Footnote3,Footnote4,Footnote5,Footnote6,Footnote7,Footnote8,Footnote9,Footnote10,Footnote11,Footnote21,Footnote31,Footnote41,Footnote51,Footnote61,Footnote71 Char Char Char Char"/>
    <w:basedOn w:val="Normal"/>
    <w:link w:val="FootnoteTextChar1"/>
    <w:rsid w:val="009D4A0E"/>
    <w:pPr>
      <w:widowControl w:val="0"/>
      <w:spacing w:after="0" w:line="240" w:lineRule="auto"/>
    </w:pPr>
    <w:rPr>
      <w:rFonts w:ascii="Times New Roman" w:eastAsia="Source Han Sans CN Regular" w:hAnsi="Times New Roman" w:cs="Lohit Devanagari"/>
      <w:sz w:val="24"/>
      <w:szCs w:val="24"/>
      <w:lang w:eastAsia="zh-CN" w:bidi="hi-IN"/>
    </w:rPr>
  </w:style>
  <w:style w:type="character" w:customStyle="1" w:styleId="FootnoteTextChar1">
    <w:name w:val="Footnote Text Char1"/>
    <w:aliases w:val="Fußnotentext arial Char Char Char Char1,stile 1 Char1,Footnote1 Char1,Footnote2 Char1,Footnote3 Char1,Footnote4 Char1,Footnote5 Char1,Footnote6 Char1,Footnote7 Char1,Footnote8 Char1,Footnote9 Char1,Footnote10 Char1,Footnote11 Char1"/>
    <w:basedOn w:val="DefaultParagraphFont"/>
    <w:link w:val="FootnoteText"/>
    <w:rsid w:val="009D4A0E"/>
    <w:rPr>
      <w:rFonts w:ascii="Times New Roman" w:eastAsia="Source Han Sans CN Regular" w:hAnsi="Times New Roman" w:cs="Lohit Devanagari"/>
      <w:sz w:val="24"/>
      <w:szCs w:val="24"/>
      <w:lang w:val="en-GB" w:eastAsia="zh-CN" w:bidi="hi-IN"/>
    </w:rPr>
  </w:style>
  <w:style w:type="paragraph" w:customStyle="1" w:styleId="FrameContents">
    <w:name w:val="Frame Contents"/>
    <w:basedOn w:val="Normal"/>
    <w:qFormat/>
    <w:rsid w:val="009D4A0E"/>
    <w:pPr>
      <w:suppressAutoHyphens/>
      <w:spacing w:after="160" w:line="252" w:lineRule="auto"/>
    </w:pPr>
    <w:rPr>
      <w:rFonts w:ascii="Times New Roman" w:eastAsia="0" w:hAnsi="Times New Roman" w:cs="Lohit Devanagari"/>
      <w:color w:val="000000"/>
      <w:sz w:val="24"/>
      <w:szCs w:val="24"/>
      <w:lang w:val="bg-BG" w:eastAsia="ar-SA" w:bidi="hi-IN"/>
    </w:rPr>
  </w:style>
  <w:style w:type="paragraph" w:customStyle="1" w:styleId="ac">
    <w:name w:val="Фиг."/>
    <w:qFormat/>
    <w:rsid w:val="009D4A0E"/>
    <w:pPr>
      <w:suppressAutoHyphens/>
      <w:spacing w:before="120" w:after="120" w:line="252" w:lineRule="auto"/>
    </w:pPr>
    <w:rPr>
      <w:rFonts w:ascii="Times New Roman" w:eastAsia="Lohit Devanagari" w:hAnsi="Times New Roman" w:cs="Lohit Devanagari"/>
      <w:i/>
      <w:color w:val="000000"/>
      <w:sz w:val="24"/>
      <w:szCs w:val="24"/>
      <w:lang w:val="bg-BG" w:eastAsia="ar-SA" w:bidi="hi-IN"/>
    </w:rPr>
  </w:style>
  <w:style w:type="paragraph" w:customStyle="1" w:styleId="ad">
    <w:name w:val="Таблица"/>
    <w:basedOn w:val="Caption"/>
    <w:qFormat/>
    <w:rsid w:val="009D4A0E"/>
  </w:style>
  <w:style w:type="paragraph" w:customStyle="1" w:styleId="TableContents">
    <w:name w:val="Table Contents"/>
    <w:basedOn w:val="Normal"/>
    <w:qFormat/>
    <w:rsid w:val="009D4A0E"/>
    <w:pPr>
      <w:widowControl w:val="0"/>
      <w:suppressLineNumbers/>
      <w:spacing w:after="0" w:line="240" w:lineRule="auto"/>
    </w:pPr>
    <w:rPr>
      <w:rFonts w:ascii="Times New Roman" w:eastAsia="Source Han Sans CN Regular" w:hAnsi="Times New Roman" w:cs="Lohit Devanagari"/>
      <w:sz w:val="24"/>
      <w:szCs w:val="24"/>
      <w:lang w:eastAsia="zh-CN" w:bidi="hi-IN"/>
    </w:rPr>
  </w:style>
  <w:style w:type="paragraph" w:styleId="CommentText">
    <w:name w:val="annotation text"/>
    <w:basedOn w:val="Normal"/>
    <w:link w:val="CommentTextChar1"/>
    <w:unhideWhenUsed/>
    <w:qFormat/>
    <w:rsid w:val="009D4A0E"/>
    <w:pPr>
      <w:spacing w:line="240" w:lineRule="auto"/>
    </w:pPr>
    <w:rPr>
      <w:sz w:val="20"/>
      <w:szCs w:val="20"/>
    </w:rPr>
  </w:style>
  <w:style w:type="character" w:customStyle="1" w:styleId="CommentTextChar1">
    <w:name w:val="Comment Text Char1"/>
    <w:basedOn w:val="DefaultParagraphFont"/>
    <w:link w:val="CommentText"/>
    <w:uiPriority w:val="99"/>
    <w:rsid w:val="009D4A0E"/>
    <w:rPr>
      <w:sz w:val="20"/>
      <w:szCs w:val="20"/>
      <w:lang w:val="en-GB"/>
    </w:rPr>
  </w:style>
  <w:style w:type="paragraph" w:styleId="CommentSubject">
    <w:name w:val="annotation subject"/>
    <w:link w:val="CommentSubjectChar1"/>
    <w:qFormat/>
    <w:rsid w:val="009D4A0E"/>
    <w:pPr>
      <w:spacing w:after="0" w:line="240" w:lineRule="auto"/>
    </w:pPr>
    <w:rPr>
      <w:rFonts w:ascii="Times New Roman" w:eastAsia="Times New Roman" w:hAnsi="Times New Roman" w:cs="Lohit Devanagari"/>
      <w:b/>
      <w:color w:val="000000"/>
      <w:sz w:val="20"/>
      <w:szCs w:val="24"/>
      <w:lang w:val="bg-BG" w:eastAsia="ar-SA" w:bidi="hi-IN"/>
    </w:rPr>
  </w:style>
  <w:style w:type="character" w:customStyle="1" w:styleId="CommentSubjectChar1">
    <w:name w:val="Comment Subject Char1"/>
    <w:basedOn w:val="CommentTextChar1"/>
    <w:link w:val="CommentSubject"/>
    <w:qFormat/>
    <w:rsid w:val="009D4A0E"/>
    <w:rPr>
      <w:rFonts w:ascii="Times New Roman" w:eastAsia="Times New Roman" w:hAnsi="Times New Roman" w:cs="Lohit Devanagari"/>
      <w:b/>
      <w:color w:val="000000"/>
      <w:sz w:val="20"/>
      <w:szCs w:val="24"/>
      <w:lang w:val="bg-BG" w:eastAsia="ar-SA" w:bidi="hi-IN"/>
    </w:rPr>
  </w:style>
  <w:style w:type="paragraph" w:customStyle="1" w:styleId="ae">
    <w:name w:val="Илюстрация"/>
    <w:basedOn w:val="Caption"/>
    <w:qFormat/>
    <w:rsid w:val="009D4A0E"/>
  </w:style>
  <w:style w:type="paragraph" w:customStyle="1" w:styleId="mcorsiva">
    <w:name w:val="mcorsiva"/>
    <w:basedOn w:val="Normal"/>
    <w:qFormat/>
    <w:rsid w:val="009D4A0E"/>
    <w:pPr>
      <w:spacing w:before="280" w:after="280" w:line="240" w:lineRule="auto"/>
    </w:pPr>
    <w:rPr>
      <w:rFonts w:ascii="Times New Roman" w:eastAsia="Times New Roman" w:hAnsi="Times New Roman" w:cs="Lohit Devanagari"/>
      <w:sz w:val="24"/>
      <w:szCs w:val="24"/>
      <w:lang w:eastAsia="bg-BG" w:bidi="hi-IN"/>
    </w:rPr>
  </w:style>
  <w:style w:type="paragraph" w:customStyle="1" w:styleId="Style3">
    <w:name w:val="Style3"/>
    <w:basedOn w:val="Normal"/>
    <w:uiPriority w:val="99"/>
    <w:qFormat/>
    <w:rsid w:val="009D4A0E"/>
    <w:pPr>
      <w:widowControl w:val="0"/>
      <w:spacing w:after="0" w:line="240" w:lineRule="auto"/>
    </w:pPr>
    <w:rPr>
      <w:rFonts w:ascii="Times New Roman" w:eastAsia="Times New Roman" w:hAnsi="Times New Roman" w:cs="Lohit Devanagari"/>
      <w:sz w:val="24"/>
      <w:szCs w:val="24"/>
      <w:lang w:eastAsia="bg-BG" w:bidi="hi-IN"/>
    </w:rPr>
  </w:style>
  <w:style w:type="paragraph" w:customStyle="1" w:styleId="Style2">
    <w:name w:val="Style2"/>
    <w:basedOn w:val="Normal"/>
    <w:uiPriority w:val="99"/>
    <w:qFormat/>
    <w:rsid w:val="009D4A0E"/>
    <w:pPr>
      <w:widowControl w:val="0"/>
      <w:spacing w:after="0" w:line="274" w:lineRule="exact"/>
      <w:jc w:val="both"/>
    </w:pPr>
    <w:rPr>
      <w:rFonts w:ascii="Times New Roman" w:eastAsia="Times New Roman" w:hAnsi="Times New Roman" w:cs="Lohit Devanagari"/>
      <w:sz w:val="24"/>
      <w:szCs w:val="24"/>
      <w:lang w:eastAsia="bg-BG" w:bidi="hi-IN"/>
    </w:rPr>
  </w:style>
  <w:style w:type="paragraph" w:styleId="HTMLPreformatted">
    <w:name w:val="HTML Preformatted"/>
    <w:basedOn w:val="Normal"/>
    <w:link w:val="HTMLPreformattedChar1"/>
    <w:qFormat/>
    <w:rsid w:val="009D4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Lohit Devanagari"/>
      <w:sz w:val="20"/>
      <w:szCs w:val="24"/>
      <w:lang w:eastAsia="bg-BG" w:bidi="hi-IN"/>
    </w:rPr>
  </w:style>
  <w:style w:type="character" w:customStyle="1" w:styleId="HTMLPreformattedChar1">
    <w:name w:val="HTML Preformatted Char1"/>
    <w:basedOn w:val="DefaultParagraphFont"/>
    <w:link w:val="HTMLPreformatted"/>
    <w:rsid w:val="009D4A0E"/>
    <w:rPr>
      <w:rFonts w:ascii="Courier New" w:eastAsia="Courier New" w:hAnsi="Courier New" w:cs="Lohit Devanagari"/>
      <w:sz w:val="20"/>
      <w:szCs w:val="24"/>
      <w:lang w:val="en-GB" w:eastAsia="bg-BG" w:bidi="hi-IN"/>
    </w:rPr>
  </w:style>
  <w:style w:type="paragraph" w:customStyle="1" w:styleId="Style1">
    <w:name w:val="Style1"/>
    <w:basedOn w:val="Normal"/>
    <w:link w:val="Style1Char"/>
    <w:qFormat/>
    <w:rsid w:val="009D4A0E"/>
    <w:pPr>
      <w:widowControl w:val="0"/>
      <w:spacing w:after="0" w:line="276" w:lineRule="exact"/>
      <w:jc w:val="both"/>
    </w:pPr>
    <w:rPr>
      <w:rFonts w:ascii="Times New Roman" w:eastAsia="Times New Roman" w:hAnsi="Times New Roman" w:cs="Lohit Devanagari"/>
      <w:sz w:val="24"/>
      <w:szCs w:val="24"/>
      <w:lang w:eastAsia="bg-BG" w:bidi="hi-IN"/>
    </w:rPr>
  </w:style>
  <w:style w:type="paragraph" w:customStyle="1" w:styleId="Style7">
    <w:name w:val="Style7"/>
    <w:basedOn w:val="Normal"/>
    <w:qFormat/>
    <w:rsid w:val="009D4A0E"/>
    <w:pPr>
      <w:widowControl w:val="0"/>
      <w:spacing w:after="0" w:line="240" w:lineRule="auto"/>
      <w:jc w:val="both"/>
    </w:pPr>
    <w:rPr>
      <w:rFonts w:ascii="Times New Roman" w:eastAsia="Times New Roman" w:hAnsi="Times New Roman" w:cs="Lohit Devanagari"/>
      <w:sz w:val="24"/>
      <w:szCs w:val="24"/>
      <w:lang w:eastAsia="bg-BG" w:bidi="hi-IN"/>
    </w:rPr>
  </w:style>
  <w:style w:type="paragraph" w:customStyle="1" w:styleId="Style4">
    <w:name w:val="Style4"/>
    <w:basedOn w:val="Normal"/>
    <w:uiPriority w:val="99"/>
    <w:qFormat/>
    <w:rsid w:val="009D4A0E"/>
    <w:pPr>
      <w:widowControl w:val="0"/>
      <w:spacing w:after="0" w:line="276" w:lineRule="exact"/>
      <w:ind w:firstLine="706"/>
      <w:jc w:val="both"/>
    </w:pPr>
    <w:rPr>
      <w:rFonts w:ascii="Times New Roman" w:eastAsia="Times New Roman" w:hAnsi="Times New Roman" w:cs="Lohit Devanagari"/>
      <w:sz w:val="24"/>
      <w:szCs w:val="24"/>
      <w:lang w:eastAsia="bg-BG" w:bidi="hi-IN"/>
    </w:rPr>
  </w:style>
  <w:style w:type="paragraph" w:styleId="TableofFigures">
    <w:name w:val="table of figures"/>
    <w:basedOn w:val="Caption"/>
    <w:uiPriority w:val="99"/>
    <w:rsid w:val="009D4A0E"/>
  </w:style>
  <w:style w:type="paragraph" w:styleId="TableofAuthorities">
    <w:name w:val="table of authorities"/>
    <w:basedOn w:val="a"/>
    <w:rsid w:val="009D4A0E"/>
  </w:style>
  <w:style w:type="paragraph" w:styleId="List2">
    <w:name w:val="List 2"/>
    <w:basedOn w:val="List"/>
    <w:rsid w:val="009D4A0E"/>
  </w:style>
  <w:style w:type="paragraph" w:styleId="TOC1">
    <w:name w:val="toc 1"/>
    <w:basedOn w:val="ab"/>
    <w:uiPriority w:val="39"/>
    <w:rsid w:val="009D4A0E"/>
  </w:style>
  <w:style w:type="paragraph" w:styleId="ListBullet3">
    <w:name w:val="List Bullet 3"/>
    <w:basedOn w:val="List"/>
    <w:rsid w:val="009D4A0E"/>
  </w:style>
  <w:style w:type="paragraph" w:customStyle="1" w:styleId="2-">
    <w:name w:val="Списък 2 - край"/>
    <w:basedOn w:val="List"/>
    <w:qFormat/>
    <w:rsid w:val="009D4A0E"/>
  </w:style>
  <w:style w:type="paragraph" w:customStyle="1" w:styleId="-1">
    <w:name w:val="Рамка - съдържание"/>
    <w:basedOn w:val="Normal"/>
    <w:qFormat/>
    <w:rsid w:val="009D4A0E"/>
    <w:pPr>
      <w:widowControl w:val="0"/>
      <w:spacing w:after="0" w:line="240" w:lineRule="auto"/>
    </w:pPr>
    <w:rPr>
      <w:rFonts w:ascii="Times New Roman" w:eastAsia="Source Han Sans CN Regular" w:hAnsi="Times New Roman" w:cs="Lohit Devanagari"/>
      <w:sz w:val="24"/>
      <w:szCs w:val="24"/>
      <w:lang w:eastAsia="zh-CN" w:bidi="hi-IN"/>
    </w:rPr>
  </w:style>
  <w:style w:type="numbering" w:customStyle="1" w:styleId="WW8Num7">
    <w:name w:val="WW8Num7"/>
    <w:qFormat/>
    <w:rsid w:val="009D4A0E"/>
  </w:style>
  <w:style w:type="paragraph" w:customStyle="1" w:styleId="CharChar4CharChar">
    <w:name w:val="Char Char4 Знак Знак Char Char Знак Знак"/>
    <w:basedOn w:val="Normal"/>
    <w:rsid w:val="0082227D"/>
    <w:pPr>
      <w:tabs>
        <w:tab w:val="left" w:pos="709"/>
      </w:tabs>
      <w:spacing w:before="120" w:after="0" w:line="240" w:lineRule="auto"/>
      <w:ind w:firstLine="709"/>
      <w:jc w:val="both"/>
    </w:pPr>
    <w:rPr>
      <w:rFonts w:ascii="Tahoma" w:eastAsia="Times New Roman" w:hAnsi="Tahoma" w:cs="Times New Roman"/>
      <w:sz w:val="24"/>
      <w:szCs w:val="24"/>
      <w:lang w:val="pl-PL" w:eastAsia="pl-PL"/>
    </w:rPr>
  </w:style>
  <w:style w:type="paragraph" w:customStyle="1" w:styleId="FootnoteReferenceLVL62CharCharCharChar">
    <w:name w:val="Footnote Reference_LVL62 Char Char Char Char"/>
    <w:basedOn w:val="Normal"/>
    <w:link w:val="FootnoteReference"/>
    <w:rsid w:val="0082227D"/>
    <w:pPr>
      <w:spacing w:after="160" w:line="240" w:lineRule="exact"/>
      <w:jc w:val="both"/>
    </w:pPr>
    <w:rPr>
      <w:vertAlign w:val="superscript"/>
      <w:lang w:val="en-CA"/>
    </w:rPr>
  </w:style>
  <w:style w:type="character" w:customStyle="1" w:styleId="Footnote81CharChar">
    <w:name w:val="Footnote81 Char Char"/>
    <w:semiHidden/>
    <w:rsid w:val="0082227D"/>
    <w:rPr>
      <w:rFonts w:ascii="Verdana" w:hAnsi="Verdana"/>
      <w:sz w:val="24"/>
      <w:szCs w:val="24"/>
      <w:lang w:val="bg-BG" w:eastAsia="bg-BG" w:bidi="ar-SA"/>
    </w:rPr>
  </w:style>
  <w:style w:type="paragraph" w:customStyle="1" w:styleId="FootnoteReferenceLVL62CharCharChar">
    <w:name w:val="Footnote Reference_LVL62 Char Char Char"/>
    <w:basedOn w:val="Normal"/>
    <w:rsid w:val="0082227D"/>
    <w:pPr>
      <w:spacing w:after="160" w:line="240" w:lineRule="exact"/>
      <w:jc w:val="both"/>
    </w:pPr>
    <w:rPr>
      <w:rFonts w:ascii="Verdana" w:eastAsia="Times New Roman" w:hAnsi="Verdana" w:cs="Times New Roman"/>
      <w:sz w:val="24"/>
      <w:szCs w:val="24"/>
      <w:vertAlign w:val="superscript"/>
      <w:lang w:val="bg-BG" w:eastAsia="bg-BG"/>
    </w:rPr>
  </w:style>
  <w:style w:type="paragraph" w:customStyle="1" w:styleId="CharCharCharCharCharCharCharCharCharCharCharCharCharCharChar">
    <w:name w:val="Char Char Char Char Char Char Char Char Char Char Char Char Char Char Char"/>
    <w:basedOn w:val="Normal"/>
    <w:rsid w:val="0082227D"/>
    <w:pPr>
      <w:tabs>
        <w:tab w:val="left" w:pos="709"/>
      </w:tabs>
      <w:spacing w:after="0" w:line="240" w:lineRule="auto"/>
    </w:pPr>
    <w:rPr>
      <w:rFonts w:ascii="Tahoma" w:eastAsia="Times New Roman" w:hAnsi="Tahoma" w:cs="Times New Roman"/>
      <w:sz w:val="24"/>
      <w:szCs w:val="24"/>
      <w:lang w:val="pl-PL" w:eastAsia="pl-PL"/>
    </w:rPr>
  </w:style>
  <w:style w:type="character" w:customStyle="1" w:styleId="NormalWebChar">
    <w:name w:val="Normal (Web) Char"/>
    <w:aliases w:val=" Char Char Char Char Char Char"/>
    <w:link w:val="NormalWeb"/>
    <w:uiPriority w:val="99"/>
    <w:rsid w:val="0082227D"/>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796C2C"/>
    <w:rPr>
      <w:rFonts w:asciiTheme="majorHAnsi" w:eastAsiaTheme="majorEastAsia" w:hAnsiTheme="majorHAnsi" w:cstheme="majorBidi"/>
      <w:smallCaps/>
      <w:color w:val="595959" w:themeColor="text1" w:themeTint="A6"/>
      <w:sz w:val="21"/>
      <w:szCs w:val="21"/>
      <w:lang w:val="bg-BG"/>
    </w:rPr>
  </w:style>
  <w:style w:type="character" w:customStyle="1" w:styleId="Heading9Char">
    <w:name w:val="Heading 9 Char"/>
    <w:basedOn w:val="DefaultParagraphFont"/>
    <w:link w:val="Heading9"/>
    <w:rsid w:val="00796C2C"/>
    <w:rPr>
      <w:rFonts w:asciiTheme="majorHAnsi" w:eastAsiaTheme="majorEastAsia" w:hAnsiTheme="majorHAnsi" w:cstheme="majorBidi"/>
      <w:i/>
      <w:iCs/>
      <w:smallCaps/>
      <w:color w:val="595959" w:themeColor="text1" w:themeTint="A6"/>
      <w:sz w:val="21"/>
      <w:szCs w:val="21"/>
      <w:lang w:val="bg-BG"/>
    </w:rPr>
  </w:style>
  <w:style w:type="paragraph" w:styleId="NoSpacing">
    <w:name w:val="No Spacing"/>
    <w:link w:val="NoSpacingChar"/>
    <w:uiPriority w:val="1"/>
    <w:qFormat/>
    <w:rsid w:val="00796C2C"/>
    <w:pPr>
      <w:spacing w:after="0" w:line="240" w:lineRule="auto"/>
    </w:pPr>
    <w:rPr>
      <w:rFonts w:eastAsiaTheme="minorEastAsia"/>
      <w:sz w:val="21"/>
      <w:szCs w:val="21"/>
      <w:lang w:val="bg-BG"/>
    </w:rPr>
  </w:style>
  <w:style w:type="character" w:styleId="SubtleEmphasis">
    <w:name w:val="Subtle Emphasis"/>
    <w:basedOn w:val="DefaultParagraphFont"/>
    <w:uiPriority w:val="19"/>
    <w:qFormat/>
    <w:rsid w:val="00796C2C"/>
    <w:rPr>
      <w:i/>
      <w:iCs/>
      <w:color w:val="595959" w:themeColor="text1" w:themeTint="A6"/>
    </w:rPr>
  </w:style>
  <w:style w:type="character" w:styleId="Emphasis">
    <w:name w:val="Emphasis"/>
    <w:basedOn w:val="DefaultParagraphFont"/>
    <w:qFormat/>
    <w:rsid w:val="00796C2C"/>
    <w:rPr>
      <w:i/>
      <w:iCs/>
    </w:rPr>
  </w:style>
  <w:style w:type="paragraph" w:customStyle="1" w:styleId="Style10">
    <w:name w:val="Style10"/>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11">
    <w:name w:val="Style11"/>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18">
    <w:name w:val="Style18"/>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19">
    <w:name w:val="Style19"/>
    <w:basedOn w:val="Normal"/>
    <w:uiPriority w:val="99"/>
    <w:rsid w:val="00796C2C"/>
    <w:pPr>
      <w:widowControl w:val="0"/>
      <w:autoSpaceDE w:val="0"/>
      <w:autoSpaceDN w:val="0"/>
      <w:adjustRightInd w:val="0"/>
      <w:spacing w:after="0" w:line="269" w:lineRule="exact"/>
      <w:jc w:val="center"/>
    </w:pPr>
    <w:rPr>
      <w:rFonts w:ascii="Times New Roman" w:eastAsiaTheme="minorEastAsia" w:hAnsi="Times New Roman" w:cs="Times New Roman"/>
      <w:sz w:val="24"/>
      <w:szCs w:val="24"/>
      <w:lang w:val="bg-BG" w:eastAsia="bg-BG"/>
    </w:rPr>
  </w:style>
  <w:style w:type="paragraph" w:customStyle="1" w:styleId="Style21">
    <w:name w:val="Style21"/>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22">
    <w:name w:val="Style22"/>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23">
    <w:name w:val="Style23"/>
    <w:basedOn w:val="Normal"/>
    <w:uiPriority w:val="99"/>
    <w:rsid w:val="00796C2C"/>
    <w:pPr>
      <w:widowControl w:val="0"/>
      <w:autoSpaceDE w:val="0"/>
      <w:autoSpaceDN w:val="0"/>
      <w:adjustRightInd w:val="0"/>
      <w:spacing w:after="0" w:line="211" w:lineRule="exact"/>
      <w:ind w:hanging="1123"/>
    </w:pPr>
    <w:rPr>
      <w:rFonts w:ascii="Times New Roman" w:eastAsiaTheme="minorEastAsia" w:hAnsi="Times New Roman" w:cs="Times New Roman"/>
      <w:sz w:val="24"/>
      <w:szCs w:val="24"/>
      <w:lang w:val="bg-BG" w:eastAsia="bg-BG"/>
    </w:rPr>
  </w:style>
  <w:style w:type="paragraph" w:customStyle="1" w:styleId="Style24">
    <w:name w:val="Style24"/>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25">
    <w:name w:val="Style25"/>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27">
    <w:name w:val="Style27"/>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28">
    <w:name w:val="Style28"/>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30">
    <w:name w:val="Style30"/>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31">
    <w:name w:val="Style31"/>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32">
    <w:name w:val="Style32"/>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33">
    <w:name w:val="Style33"/>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34">
    <w:name w:val="Style34"/>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character" w:customStyle="1" w:styleId="FontStyle39">
    <w:name w:val="Font Style39"/>
    <w:basedOn w:val="DefaultParagraphFont"/>
    <w:uiPriority w:val="99"/>
    <w:rsid w:val="00796C2C"/>
    <w:rPr>
      <w:rFonts w:ascii="Times New Roman" w:hAnsi="Times New Roman" w:cs="Times New Roman"/>
      <w:sz w:val="22"/>
      <w:szCs w:val="22"/>
    </w:rPr>
  </w:style>
  <w:style w:type="character" w:customStyle="1" w:styleId="FontStyle42">
    <w:name w:val="Font Style42"/>
    <w:basedOn w:val="DefaultParagraphFont"/>
    <w:uiPriority w:val="99"/>
    <w:rsid w:val="00796C2C"/>
    <w:rPr>
      <w:rFonts w:ascii="Times New Roman" w:hAnsi="Times New Roman" w:cs="Times New Roman"/>
      <w:b/>
      <w:bCs/>
      <w:sz w:val="16"/>
      <w:szCs w:val="16"/>
    </w:rPr>
  </w:style>
  <w:style w:type="character" w:customStyle="1" w:styleId="FontStyle43">
    <w:name w:val="Font Style43"/>
    <w:basedOn w:val="DefaultParagraphFont"/>
    <w:uiPriority w:val="99"/>
    <w:rsid w:val="00796C2C"/>
    <w:rPr>
      <w:rFonts w:ascii="Times New Roman" w:hAnsi="Times New Roman" w:cs="Times New Roman"/>
      <w:b/>
      <w:bCs/>
      <w:sz w:val="18"/>
      <w:szCs w:val="18"/>
    </w:rPr>
  </w:style>
  <w:style w:type="character" w:customStyle="1" w:styleId="FontStyle44">
    <w:name w:val="Font Style44"/>
    <w:basedOn w:val="DefaultParagraphFont"/>
    <w:uiPriority w:val="99"/>
    <w:rsid w:val="00796C2C"/>
    <w:rPr>
      <w:rFonts w:ascii="Times New Roman" w:hAnsi="Times New Roman" w:cs="Times New Roman"/>
      <w:spacing w:val="10"/>
      <w:sz w:val="12"/>
      <w:szCs w:val="12"/>
    </w:rPr>
  </w:style>
  <w:style w:type="character" w:customStyle="1" w:styleId="FontStyle45">
    <w:name w:val="Font Style45"/>
    <w:basedOn w:val="DefaultParagraphFont"/>
    <w:uiPriority w:val="99"/>
    <w:rsid w:val="00796C2C"/>
    <w:rPr>
      <w:rFonts w:ascii="Times New Roman" w:hAnsi="Times New Roman" w:cs="Times New Roman"/>
      <w:b/>
      <w:bCs/>
      <w:spacing w:val="10"/>
      <w:sz w:val="12"/>
      <w:szCs w:val="12"/>
    </w:rPr>
  </w:style>
  <w:style w:type="character" w:customStyle="1" w:styleId="FontStyle46">
    <w:name w:val="Font Style46"/>
    <w:basedOn w:val="DefaultParagraphFont"/>
    <w:uiPriority w:val="99"/>
    <w:rsid w:val="00796C2C"/>
    <w:rPr>
      <w:rFonts w:ascii="Times New Roman" w:hAnsi="Times New Roman" w:cs="Times New Roman"/>
      <w:b/>
      <w:bCs/>
      <w:sz w:val="14"/>
      <w:szCs w:val="14"/>
    </w:rPr>
  </w:style>
  <w:style w:type="character" w:customStyle="1" w:styleId="FontStyle47">
    <w:name w:val="Font Style47"/>
    <w:basedOn w:val="DefaultParagraphFont"/>
    <w:uiPriority w:val="99"/>
    <w:rsid w:val="00796C2C"/>
    <w:rPr>
      <w:rFonts w:ascii="Times New Roman" w:hAnsi="Times New Roman" w:cs="Times New Roman"/>
      <w:spacing w:val="-20"/>
      <w:sz w:val="16"/>
      <w:szCs w:val="16"/>
    </w:rPr>
  </w:style>
  <w:style w:type="character" w:customStyle="1" w:styleId="FontStyle48">
    <w:name w:val="Font Style48"/>
    <w:basedOn w:val="DefaultParagraphFont"/>
    <w:uiPriority w:val="99"/>
    <w:rsid w:val="00796C2C"/>
    <w:rPr>
      <w:rFonts w:ascii="Times New Roman" w:hAnsi="Times New Roman" w:cs="Times New Roman"/>
      <w:b/>
      <w:bCs/>
      <w:spacing w:val="-10"/>
      <w:sz w:val="16"/>
      <w:szCs w:val="16"/>
    </w:rPr>
  </w:style>
  <w:style w:type="character" w:customStyle="1" w:styleId="FontStyle49">
    <w:name w:val="Font Style49"/>
    <w:basedOn w:val="DefaultParagraphFont"/>
    <w:uiPriority w:val="99"/>
    <w:rsid w:val="00796C2C"/>
    <w:rPr>
      <w:rFonts w:ascii="Consolas" w:hAnsi="Consolas" w:cs="Consolas"/>
      <w:b/>
      <w:bCs/>
      <w:i/>
      <w:iCs/>
      <w:sz w:val="28"/>
      <w:szCs w:val="28"/>
    </w:rPr>
  </w:style>
  <w:style w:type="character" w:customStyle="1" w:styleId="FontStyle50">
    <w:name w:val="Font Style50"/>
    <w:basedOn w:val="DefaultParagraphFont"/>
    <w:uiPriority w:val="99"/>
    <w:rsid w:val="00796C2C"/>
    <w:rPr>
      <w:rFonts w:ascii="Sylfaen" w:hAnsi="Sylfaen" w:cs="Sylfaen"/>
      <w:b/>
      <w:bCs/>
      <w:i/>
      <w:iCs/>
      <w:sz w:val="8"/>
      <w:szCs w:val="8"/>
    </w:rPr>
  </w:style>
  <w:style w:type="character" w:customStyle="1" w:styleId="FontStyle51">
    <w:name w:val="Font Style51"/>
    <w:basedOn w:val="DefaultParagraphFont"/>
    <w:uiPriority w:val="99"/>
    <w:rsid w:val="00796C2C"/>
    <w:rPr>
      <w:rFonts w:ascii="Times New Roman" w:hAnsi="Times New Roman" w:cs="Times New Roman"/>
      <w:sz w:val="14"/>
      <w:szCs w:val="14"/>
    </w:rPr>
  </w:style>
  <w:style w:type="character" w:customStyle="1" w:styleId="FontStyle52">
    <w:name w:val="Font Style52"/>
    <w:basedOn w:val="DefaultParagraphFont"/>
    <w:uiPriority w:val="99"/>
    <w:rsid w:val="00796C2C"/>
    <w:rPr>
      <w:rFonts w:ascii="Franklin Gothic Medium" w:hAnsi="Franklin Gothic Medium" w:cs="Franklin Gothic Medium"/>
      <w:b/>
      <w:bCs/>
      <w:i/>
      <w:iCs/>
      <w:spacing w:val="20"/>
      <w:sz w:val="10"/>
      <w:szCs w:val="10"/>
    </w:rPr>
  </w:style>
  <w:style w:type="character" w:customStyle="1" w:styleId="FontStyle53">
    <w:name w:val="Font Style53"/>
    <w:basedOn w:val="DefaultParagraphFont"/>
    <w:uiPriority w:val="99"/>
    <w:rsid w:val="00796C2C"/>
    <w:rPr>
      <w:rFonts w:ascii="Times New Roman" w:hAnsi="Times New Roman" w:cs="Times New Roman"/>
      <w:b/>
      <w:bCs/>
      <w:i/>
      <w:iCs/>
      <w:spacing w:val="20"/>
      <w:sz w:val="12"/>
      <w:szCs w:val="12"/>
    </w:rPr>
  </w:style>
  <w:style w:type="character" w:customStyle="1" w:styleId="FontStyle54">
    <w:name w:val="Font Style54"/>
    <w:basedOn w:val="DefaultParagraphFont"/>
    <w:uiPriority w:val="99"/>
    <w:rsid w:val="00796C2C"/>
    <w:rPr>
      <w:rFonts w:ascii="Times New Roman" w:hAnsi="Times New Roman" w:cs="Times New Roman"/>
      <w:b/>
      <w:bCs/>
      <w:spacing w:val="20"/>
      <w:sz w:val="14"/>
      <w:szCs w:val="14"/>
    </w:rPr>
  </w:style>
  <w:style w:type="character" w:customStyle="1" w:styleId="FontStyle55">
    <w:name w:val="Font Style55"/>
    <w:basedOn w:val="DefaultParagraphFont"/>
    <w:uiPriority w:val="99"/>
    <w:rsid w:val="00796C2C"/>
    <w:rPr>
      <w:rFonts w:ascii="Tahoma" w:hAnsi="Tahoma" w:cs="Tahoma"/>
      <w:b/>
      <w:bCs/>
      <w:sz w:val="10"/>
      <w:szCs w:val="10"/>
    </w:rPr>
  </w:style>
  <w:style w:type="character" w:customStyle="1" w:styleId="FontStyle56">
    <w:name w:val="Font Style56"/>
    <w:basedOn w:val="DefaultParagraphFont"/>
    <w:uiPriority w:val="99"/>
    <w:rsid w:val="00796C2C"/>
    <w:rPr>
      <w:rFonts w:ascii="Times New Roman" w:hAnsi="Times New Roman" w:cs="Times New Roman"/>
      <w:spacing w:val="10"/>
      <w:sz w:val="12"/>
      <w:szCs w:val="12"/>
    </w:rPr>
  </w:style>
  <w:style w:type="character" w:customStyle="1" w:styleId="FontStyle62">
    <w:name w:val="Font Style62"/>
    <w:basedOn w:val="DefaultParagraphFont"/>
    <w:uiPriority w:val="99"/>
    <w:rsid w:val="00796C2C"/>
    <w:rPr>
      <w:rFonts w:ascii="Times New Roman" w:hAnsi="Times New Roman" w:cs="Times New Roman"/>
      <w:b/>
      <w:bCs/>
      <w:sz w:val="22"/>
      <w:szCs w:val="22"/>
    </w:rPr>
  </w:style>
  <w:style w:type="paragraph" w:customStyle="1" w:styleId="Style8">
    <w:name w:val="Style8"/>
    <w:basedOn w:val="Normal"/>
    <w:uiPriority w:val="99"/>
    <w:rsid w:val="00796C2C"/>
    <w:pPr>
      <w:widowControl w:val="0"/>
      <w:autoSpaceDE w:val="0"/>
      <w:autoSpaceDN w:val="0"/>
      <w:adjustRightInd w:val="0"/>
      <w:spacing w:after="0" w:line="202" w:lineRule="exact"/>
      <w:jc w:val="center"/>
    </w:pPr>
    <w:rPr>
      <w:rFonts w:ascii="Times New Roman" w:eastAsiaTheme="minorEastAsia" w:hAnsi="Times New Roman" w:cs="Times New Roman"/>
      <w:sz w:val="24"/>
      <w:szCs w:val="24"/>
      <w:lang w:val="bg-BG" w:eastAsia="bg-BG"/>
    </w:rPr>
  </w:style>
  <w:style w:type="paragraph" w:customStyle="1" w:styleId="Style15">
    <w:name w:val="Style15"/>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16">
    <w:name w:val="Style16"/>
    <w:basedOn w:val="Normal"/>
    <w:uiPriority w:val="99"/>
    <w:rsid w:val="00796C2C"/>
    <w:pPr>
      <w:widowControl w:val="0"/>
      <w:autoSpaceDE w:val="0"/>
      <w:autoSpaceDN w:val="0"/>
      <w:adjustRightInd w:val="0"/>
      <w:spacing w:after="0" w:line="276" w:lineRule="exact"/>
      <w:jc w:val="center"/>
    </w:pPr>
    <w:rPr>
      <w:rFonts w:ascii="Times New Roman" w:eastAsiaTheme="minorEastAsia" w:hAnsi="Times New Roman" w:cs="Times New Roman"/>
      <w:sz w:val="24"/>
      <w:szCs w:val="24"/>
      <w:lang w:val="bg-BG" w:eastAsia="bg-BG"/>
    </w:rPr>
  </w:style>
  <w:style w:type="paragraph" w:customStyle="1" w:styleId="Style17">
    <w:name w:val="Style17"/>
    <w:basedOn w:val="Normal"/>
    <w:uiPriority w:val="99"/>
    <w:rsid w:val="00796C2C"/>
    <w:pPr>
      <w:widowControl w:val="0"/>
      <w:autoSpaceDE w:val="0"/>
      <w:autoSpaceDN w:val="0"/>
      <w:adjustRightInd w:val="0"/>
      <w:spacing w:after="0" w:line="274" w:lineRule="exact"/>
    </w:pPr>
    <w:rPr>
      <w:rFonts w:ascii="Times New Roman" w:eastAsiaTheme="minorEastAsia" w:hAnsi="Times New Roman" w:cs="Times New Roman"/>
      <w:sz w:val="24"/>
      <w:szCs w:val="24"/>
      <w:lang w:val="bg-BG" w:eastAsia="bg-BG"/>
    </w:rPr>
  </w:style>
  <w:style w:type="paragraph" w:customStyle="1" w:styleId="Style20">
    <w:name w:val="Style20"/>
    <w:basedOn w:val="Normal"/>
    <w:uiPriority w:val="99"/>
    <w:rsid w:val="00796C2C"/>
    <w:pPr>
      <w:widowControl w:val="0"/>
      <w:autoSpaceDE w:val="0"/>
      <w:autoSpaceDN w:val="0"/>
      <w:adjustRightInd w:val="0"/>
      <w:spacing w:after="0" w:line="211" w:lineRule="exact"/>
      <w:ind w:hanging="1066"/>
    </w:pPr>
    <w:rPr>
      <w:rFonts w:ascii="Times New Roman" w:eastAsiaTheme="minorEastAsia" w:hAnsi="Times New Roman" w:cs="Times New Roman"/>
      <w:sz w:val="24"/>
      <w:szCs w:val="24"/>
      <w:lang w:val="bg-BG" w:eastAsia="bg-BG"/>
    </w:rPr>
  </w:style>
  <w:style w:type="paragraph" w:customStyle="1" w:styleId="Style29">
    <w:name w:val="Style29"/>
    <w:basedOn w:val="Normal"/>
    <w:uiPriority w:val="99"/>
    <w:rsid w:val="00796C2C"/>
    <w:pPr>
      <w:widowControl w:val="0"/>
      <w:autoSpaceDE w:val="0"/>
      <w:autoSpaceDN w:val="0"/>
      <w:adjustRightInd w:val="0"/>
      <w:spacing w:after="0" w:line="1661" w:lineRule="exact"/>
      <w:jc w:val="center"/>
    </w:pPr>
    <w:rPr>
      <w:rFonts w:ascii="Times New Roman" w:eastAsiaTheme="minorEastAsia" w:hAnsi="Times New Roman" w:cs="Times New Roman"/>
      <w:sz w:val="24"/>
      <w:szCs w:val="24"/>
      <w:lang w:val="bg-BG" w:eastAsia="bg-BG"/>
    </w:rPr>
  </w:style>
  <w:style w:type="character" w:customStyle="1" w:styleId="FontStyle38">
    <w:name w:val="Font Style38"/>
    <w:basedOn w:val="DefaultParagraphFont"/>
    <w:uiPriority w:val="99"/>
    <w:rsid w:val="00796C2C"/>
    <w:rPr>
      <w:rFonts w:ascii="Times New Roman" w:hAnsi="Times New Roman" w:cs="Times New Roman"/>
      <w:b/>
      <w:bCs/>
      <w:sz w:val="22"/>
      <w:szCs w:val="22"/>
    </w:rPr>
  </w:style>
  <w:style w:type="character" w:customStyle="1" w:styleId="FontStyle40">
    <w:name w:val="Font Style40"/>
    <w:basedOn w:val="DefaultParagraphFont"/>
    <w:uiPriority w:val="99"/>
    <w:rsid w:val="00796C2C"/>
    <w:rPr>
      <w:rFonts w:ascii="Times New Roman" w:hAnsi="Times New Roman" w:cs="Times New Roman"/>
      <w:b/>
      <w:bCs/>
      <w:sz w:val="26"/>
      <w:szCs w:val="26"/>
    </w:rPr>
  </w:style>
  <w:style w:type="character" w:customStyle="1" w:styleId="FontStyle41">
    <w:name w:val="Font Style41"/>
    <w:basedOn w:val="DefaultParagraphFont"/>
    <w:uiPriority w:val="99"/>
    <w:rsid w:val="00796C2C"/>
    <w:rPr>
      <w:rFonts w:ascii="Times New Roman" w:hAnsi="Times New Roman" w:cs="Times New Roman"/>
      <w:b/>
      <w:bCs/>
      <w:sz w:val="22"/>
      <w:szCs w:val="22"/>
    </w:rPr>
  </w:style>
  <w:style w:type="paragraph" w:customStyle="1" w:styleId="Style9">
    <w:name w:val="Style9"/>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12">
    <w:name w:val="Style12"/>
    <w:basedOn w:val="Normal"/>
    <w:uiPriority w:val="99"/>
    <w:rsid w:val="00796C2C"/>
    <w:pPr>
      <w:widowControl w:val="0"/>
      <w:autoSpaceDE w:val="0"/>
      <w:autoSpaceDN w:val="0"/>
      <w:adjustRightInd w:val="0"/>
      <w:spacing w:after="0" w:line="269" w:lineRule="exact"/>
      <w:jc w:val="both"/>
    </w:pPr>
    <w:rPr>
      <w:rFonts w:ascii="Times New Roman" w:eastAsiaTheme="minorEastAsia" w:hAnsi="Times New Roman" w:cs="Times New Roman"/>
      <w:sz w:val="24"/>
      <w:szCs w:val="24"/>
      <w:lang w:val="bg-BG" w:eastAsia="bg-BG"/>
    </w:rPr>
  </w:style>
  <w:style w:type="paragraph" w:customStyle="1" w:styleId="Style13">
    <w:name w:val="Style13"/>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paragraph" w:customStyle="1" w:styleId="Style14">
    <w:name w:val="Style14"/>
    <w:basedOn w:val="Normal"/>
    <w:uiPriority w:val="99"/>
    <w:rsid w:val="00796C2C"/>
    <w:pPr>
      <w:widowControl w:val="0"/>
      <w:autoSpaceDE w:val="0"/>
      <w:autoSpaceDN w:val="0"/>
      <w:adjustRightInd w:val="0"/>
      <w:spacing w:after="0" w:line="240" w:lineRule="auto"/>
    </w:pPr>
    <w:rPr>
      <w:rFonts w:ascii="Times New Roman" w:eastAsiaTheme="minorEastAsia" w:hAnsi="Times New Roman" w:cs="Times New Roman"/>
      <w:sz w:val="24"/>
      <w:szCs w:val="24"/>
      <w:lang w:val="bg-BG" w:eastAsia="bg-BG"/>
    </w:rPr>
  </w:style>
  <w:style w:type="character" w:customStyle="1" w:styleId="FontStyle26">
    <w:name w:val="Font Style26"/>
    <w:basedOn w:val="DefaultParagraphFont"/>
    <w:uiPriority w:val="99"/>
    <w:rsid w:val="00796C2C"/>
    <w:rPr>
      <w:rFonts w:ascii="Times New Roman" w:hAnsi="Times New Roman" w:cs="Times New Roman"/>
      <w:i/>
      <w:iCs/>
      <w:sz w:val="22"/>
      <w:szCs w:val="22"/>
    </w:rPr>
  </w:style>
  <w:style w:type="character" w:customStyle="1" w:styleId="FontStyle27">
    <w:name w:val="Font Style27"/>
    <w:basedOn w:val="DefaultParagraphFont"/>
    <w:uiPriority w:val="99"/>
    <w:rsid w:val="00796C2C"/>
    <w:rPr>
      <w:rFonts w:ascii="Times New Roman" w:hAnsi="Times New Roman" w:cs="Times New Roman"/>
      <w:b/>
      <w:bCs/>
      <w:sz w:val="22"/>
      <w:szCs w:val="22"/>
    </w:rPr>
  </w:style>
  <w:style w:type="character" w:customStyle="1" w:styleId="FontStyle28">
    <w:name w:val="Font Style28"/>
    <w:basedOn w:val="DefaultParagraphFont"/>
    <w:uiPriority w:val="99"/>
    <w:rsid w:val="00796C2C"/>
    <w:rPr>
      <w:rFonts w:ascii="Times New Roman" w:hAnsi="Times New Roman" w:cs="Times New Roman"/>
      <w:sz w:val="22"/>
      <w:szCs w:val="22"/>
    </w:rPr>
  </w:style>
  <w:style w:type="character" w:customStyle="1" w:styleId="FontStyle29">
    <w:name w:val="Font Style29"/>
    <w:basedOn w:val="DefaultParagraphFont"/>
    <w:uiPriority w:val="99"/>
    <w:rsid w:val="00796C2C"/>
    <w:rPr>
      <w:rFonts w:ascii="Times New Roman" w:hAnsi="Times New Roman" w:cs="Times New Roman"/>
      <w:sz w:val="18"/>
      <w:szCs w:val="18"/>
    </w:rPr>
  </w:style>
  <w:style w:type="table" w:styleId="TableGrid">
    <w:name w:val="Table Grid"/>
    <w:basedOn w:val="TableNormal"/>
    <w:uiPriority w:val="39"/>
    <w:rsid w:val="00796C2C"/>
    <w:pPr>
      <w:spacing w:after="0" w:line="240" w:lineRule="auto"/>
    </w:pPr>
    <w:rPr>
      <w:rFonts w:eastAsiaTheme="minorEastAsia"/>
      <w:sz w:val="21"/>
      <w:szCs w:val="21"/>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uiPriority w:val="99"/>
    <w:rsid w:val="00796C2C"/>
    <w:pPr>
      <w:widowControl w:val="0"/>
      <w:autoSpaceDE w:val="0"/>
      <w:autoSpaceDN w:val="0"/>
      <w:adjustRightInd w:val="0"/>
      <w:spacing w:after="0" w:line="240" w:lineRule="auto"/>
    </w:pPr>
    <w:rPr>
      <w:rFonts w:ascii="Verdana" w:eastAsiaTheme="minorEastAsia" w:hAnsi="Verdana"/>
      <w:sz w:val="24"/>
      <w:szCs w:val="24"/>
      <w:lang w:val="bg-BG" w:eastAsia="bg-BG"/>
    </w:rPr>
  </w:style>
  <w:style w:type="character" w:customStyle="1" w:styleId="FontStyle15">
    <w:name w:val="Font Style15"/>
    <w:basedOn w:val="DefaultParagraphFont"/>
    <w:uiPriority w:val="99"/>
    <w:rsid w:val="00796C2C"/>
    <w:rPr>
      <w:rFonts w:ascii="Times New Roman" w:hAnsi="Times New Roman" w:cs="Times New Roman"/>
      <w:b/>
      <w:bCs/>
      <w:spacing w:val="10"/>
      <w:sz w:val="20"/>
      <w:szCs w:val="20"/>
    </w:rPr>
  </w:style>
  <w:style w:type="character" w:customStyle="1" w:styleId="FontStyle20">
    <w:name w:val="Font Style20"/>
    <w:basedOn w:val="DefaultParagraphFont"/>
    <w:uiPriority w:val="99"/>
    <w:rsid w:val="00796C2C"/>
    <w:rPr>
      <w:rFonts w:ascii="Times New Roman" w:hAnsi="Times New Roman" w:cs="Times New Roman"/>
      <w:sz w:val="20"/>
      <w:szCs w:val="20"/>
    </w:rPr>
  </w:style>
  <w:style w:type="character" w:customStyle="1" w:styleId="FontStyle21">
    <w:name w:val="Font Style21"/>
    <w:basedOn w:val="DefaultParagraphFont"/>
    <w:uiPriority w:val="99"/>
    <w:rsid w:val="00796C2C"/>
    <w:rPr>
      <w:rFonts w:ascii="Times New Roman" w:hAnsi="Times New Roman" w:cs="Times New Roman"/>
      <w:b/>
      <w:bCs/>
      <w:sz w:val="22"/>
      <w:szCs w:val="22"/>
    </w:rPr>
  </w:style>
  <w:style w:type="paragraph" w:styleId="Quote">
    <w:name w:val="Quote"/>
    <w:basedOn w:val="Normal"/>
    <w:next w:val="Normal"/>
    <w:link w:val="QuoteChar"/>
    <w:uiPriority w:val="29"/>
    <w:qFormat/>
    <w:rsid w:val="00796C2C"/>
    <w:pPr>
      <w:spacing w:before="240" w:after="240" w:line="252" w:lineRule="auto"/>
      <w:ind w:left="864" w:right="864"/>
      <w:jc w:val="center"/>
    </w:pPr>
    <w:rPr>
      <w:rFonts w:eastAsiaTheme="minorEastAsia"/>
      <w:i/>
      <w:iCs/>
      <w:sz w:val="21"/>
      <w:szCs w:val="21"/>
      <w:lang w:val="bg-BG"/>
    </w:rPr>
  </w:style>
  <w:style w:type="character" w:customStyle="1" w:styleId="QuoteChar">
    <w:name w:val="Quote Char"/>
    <w:basedOn w:val="DefaultParagraphFont"/>
    <w:link w:val="Quote"/>
    <w:uiPriority w:val="29"/>
    <w:rsid w:val="00796C2C"/>
    <w:rPr>
      <w:rFonts w:eastAsiaTheme="minorEastAsia"/>
      <w:i/>
      <w:iCs/>
      <w:sz w:val="21"/>
      <w:szCs w:val="21"/>
      <w:lang w:val="bg-BG"/>
    </w:rPr>
  </w:style>
  <w:style w:type="paragraph" w:styleId="IntenseQuote">
    <w:name w:val="Intense Quote"/>
    <w:basedOn w:val="Normal"/>
    <w:next w:val="Normal"/>
    <w:link w:val="IntenseQuoteChar"/>
    <w:uiPriority w:val="30"/>
    <w:qFormat/>
    <w:rsid w:val="00796C2C"/>
    <w:pPr>
      <w:spacing w:before="100" w:beforeAutospacing="1" w:after="240" w:line="264" w:lineRule="auto"/>
      <w:ind w:left="864" w:right="864"/>
      <w:jc w:val="center"/>
    </w:pPr>
    <w:rPr>
      <w:rFonts w:asciiTheme="majorHAnsi" w:eastAsiaTheme="majorEastAsia" w:hAnsiTheme="majorHAnsi" w:cstheme="majorBidi"/>
      <w:color w:val="4F81BD" w:themeColor="accent1"/>
      <w:sz w:val="28"/>
      <w:szCs w:val="28"/>
      <w:lang w:val="bg-BG"/>
    </w:rPr>
  </w:style>
  <w:style w:type="character" w:customStyle="1" w:styleId="IntenseQuoteChar">
    <w:name w:val="Intense Quote Char"/>
    <w:basedOn w:val="DefaultParagraphFont"/>
    <w:link w:val="IntenseQuote"/>
    <w:uiPriority w:val="30"/>
    <w:rsid w:val="00796C2C"/>
    <w:rPr>
      <w:rFonts w:asciiTheme="majorHAnsi" w:eastAsiaTheme="majorEastAsia" w:hAnsiTheme="majorHAnsi" w:cstheme="majorBidi"/>
      <w:color w:val="4F81BD" w:themeColor="accent1"/>
      <w:sz w:val="28"/>
      <w:szCs w:val="28"/>
      <w:lang w:val="bg-BG"/>
    </w:rPr>
  </w:style>
  <w:style w:type="character" w:styleId="IntenseEmphasis">
    <w:name w:val="Intense Emphasis"/>
    <w:basedOn w:val="DefaultParagraphFont"/>
    <w:uiPriority w:val="21"/>
    <w:qFormat/>
    <w:rsid w:val="00796C2C"/>
    <w:rPr>
      <w:b/>
      <w:bCs/>
      <w:i/>
      <w:iCs/>
    </w:rPr>
  </w:style>
  <w:style w:type="character" w:styleId="SubtleReference">
    <w:name w:val="Subtle Reference"/>
    <w:basedOn w:val="DefaultParagraphFont"/>
    <w:uiPriority w:val="31"/>
    <w:qFormat/>
    <w:rsid w:val="00796C2C"/>
    <w:rPr>
      <w:smallCaps/>
      <w:color w:val="404040" w:themeColor="text1" w:themeTint="BF"/>
    </w:rPr>
  </w:style>
  <w:style w:type="character" w:styleId="IntenseReference">
    <w:name w:val="Intense Reference"/>
    <w:basedOn w:val="DefaultParagraphFont"/>
    <w:uiPriority w:val="32"/>
    <w:qFormat/>
    <w:rsid w:val="00796C2C"/>
    <w:rPr>
      <w:b/>
      <w:bCs/>
      <w:smallCaps/>
      <w:u w:val="single"/>
    </w:rPr>
  </w:style>
  <w:style w:type="character" w:styleId="BookTitle">
    <w:name w:val="Book Title"/>
    <w:basedOn w:val="DefaultParagraphFont"/>
    <w:uiPriority w:val="33"/>
    <w:qFormat/>
    <w:rsid w:val="00796C2C"/>
    <w:rPr>
      <w:b/>
      <w:bCs/>
      <w:smallCaps/>
    </w:rPr>
  </w:style>
  <w:style w:type="paragraph" w:styleId="TOCHeading">
    <w:name w:val="TOC Heading"/>
    <w:basedOn w:val="Heading1"/>
    <w:next w:val="Normal"/>
    <w:uiPriority w:val="39"/>
    <w:unhideWhenUsed/>
    <w:qFormat/>
    <w:rsid w:val="00796C2C"/>
    <w:pPr>
      <w:keepLines/>
      <w:widowControl/>
      <w:numPr>
        <w:numId w:val="0"/>
      </w:numPr>
      <w:pBdr>
        <w:bottom w:val="single" w:sz="4" w:space="1" w:color="4F81BD" w:themeColor="accent1"/>
      </w:pBdr>
      <w:spacing w:before="400" w:after="40"/>
      <w:outlineLvl w:val="9"/>
    </w:pPr>
    <w:rPr>
      <w:rFonts w:asciiTheme="majorHAnsi" w:eastAsiaTheme="majorEastAsia" w:hAnsiTheme="majorHAnsi" w:cstheme="majorBidi"/>
      <w:b w:val="0"/>
      <w:bCs w:val="0"/>
      <w:color w:val="365F91" w:themeColor="accent1" w:themeShade="BF"/>
      <w:lang w:eastAsia="en-US" w:bidi="ar-SA"/>
    </w:rPr>
  </w:style>
  <w:style w:type="character" w:customStyle="1" w:styleId="NoSpacingChar">
    <w:name w:val="No Spacing Char"/>
    <w:basedOn w:val="DefaultParagraphFont"/>
    <w:link w:val="NoSpacing"/>
    <w:uiPriority w:val="1"/>
    <w:rsid w:val="00796C2C"/>
    <w:rPr>
      <w:rFonts w:eastAsiaTheme="minorEastAsia"/>
      <w:sz w:val="21"/>
      <w:szCs w:val="21"/>
      <w:lang w:val="bg-BG"/>
    </w:rPr>
  </w:style>
  <w:style w:type="paragraph" w:styleId="TOC2">
    <w:name w:val="toc 2"/>
    <w:basedOn w:val="Normal"/>
    <w:next w:val="Normal"/>
    <w:autoRedefine/>
    <w:uiPriority w:val="39"/>
    <w:unhideWhenUsed/>
    <w:rsid w:val="00342BD5"/>
    <w:pPr>
      <w:tabs>
        <w:tab w:val="right" w:leader="dot" w:pos="9017"/>
      </w:tabs>
      <w:spacing w:after="100" w:line="259" w:lineRule="auto"/>
      <w:ind w:left="220"/>
    </w:pPr>
    <w:rPr>
      <w:rFonts w:ascii="Times New Roman" w:eastAsia="Source Han Sans CN Regular" w:hAnsi="Times New Roman" w:cs="Times New Roman"/>
      <w:noProof/>
      <w:lang w:val="bg-BG" w:eastAsia="zh-CN" w:bidi="hi-IN"/>
    </w:rPr>
  </w:style>
  <w:style w:type="paragraph" w:styleId="TOC3">
    <w:name w:val="toc 3"/>
    <w:basedOn w:val="Normal"/>
    <w:next w:val="Normal"/>
    <w:autoRedefine/>
    <w:uiPriority w:val="39"/>
    <w:unhideWhenUsed/>
    <w:rsid w:val="00D22CE3"/>
    <w:pPr>
      <w:tabs>
        <w:tab w:val="right" w:leader="dot" w:pos="9017"/>
      </w:tabs>
      <w:spacing w:afterLines="60" w:after="144" w:line="259" w:lineRule="auto"/>
      <w:ind w:left="440"/>
    </w:pPr>
    <w:rPr>
      <w:rFonts w:eastAsiaTheme="minorEastAsia" w:cs="Times New Roman"/>
      <w:lang w:val="bg-BG" w:eastAsia="bg-BG"/>
    </w:rPr>
  </w:style>
  <w:style w:type="character" w:styleId="FollowedHyperlink">
    <w:name w:val="FollowedHyperlink"/>
    <w:basedOn w:val="DefaultParagraphFont"/>
    <w:uiPriority w:val="99"/>
    <w:unhideWhenUsed/>
    <w:rsid w:val="00796C2C"/>
    <w:rPr>
      <w:color w:val="800080" w:themeColor="followedHyperlink"/>
      <w:u w:val="single"/>
    </w:rPr>
  </w:style>
  <w:style w:type="paragraph" w:styleId="EndnoteText">
    <w:name w:val="endnote text"/>
    <w:basedOn w:val="Normal"/>
    <w:link w:val="EndnoteTextChar"/>
    <w:uiPriority w:val="99"/>
    <w:semiHidden/>
    <w:unhideWhenUsed/>
    <w:rsid w:val="00796C2C"/>
    <w:pPr>
      <w:spacing w:after="0" w:line="240" w:lineRule="auto"/>
    </w:pPr>
    <w:rPr>
      <w:rFonts w:eastAsiaTheme="minorEastAsia"/>
      <w:sz w:val="20"/>
      <w:szCs w:val="20"/>
      <w:lang w:val="bg-BG"/>
    </w:rPr>
  </w:style>
  <w:style w:type="character" w:customStyle="1" w:styleId="EndnoteTextChar">
    <w:name w:val="Endnote Text Char"/>
    <w:basedOn w:val="DefaultParagraphFont"/>
    <w:link w:val="EndnoteText"/>
    <w:uiPriority w:val="99"/>
    <w:semiHidden/>
    <w:rsid w:val="00796C2C"/>
    <w:rPr>
      <w:rFonts w:eastAsiaTheme="minorEastAsia"/>
      <w:sz w:val="20"/>
      <w:szCs w:val="20"/>
      <w:lang w:val="bg-BG"/>
    </w:rPr>
  </w:style>
  <w:style w:type="character" w:styleId="EndnoteReference">
    <w:name w:val="endnote reference"/>
    <w:basedOn w:val="DefaultParagraphFont"/>
    <w:uiPriority w:val="99"/>
    <w:semiHidden/>
    <w:unhideWhenUsed/>
    <w:rsid w:val="00796C2C"/>
    <w:rPr>
      <w:vertAlign w:val="superscript"/>
    </w:rPr>
  </w:style>
  <w:style w:type="character" w:customStyle="1" w:styleId="FontStyle17">
    <w:name w:val="Font Style17"/>
    <w:basedOn w:val="DefaultParagraphFont"/>
    <w:uiPriority w:val="99"/>
    <w:rsid w:val="00796C2C"/>
    <w:rPr>
      <w:rFonts w:ascii="Times New Roman" w:hAnsi="Times New Roman" w:cs="Times New Roman"/>
      <w:sz w:val="22"/>
      <w:szCs w:val="22"/>
    </w:rPr>
  </w:style>
  <w:style w:type="character" w:customStyle="1" w:styleId="gmail-msofootnotereference">
    <w:name w:val="gmail-msofootnotereference"/>
    <w:basedOn w:val="DefaultParagraphFont"/>
    <w:rsid w:val="002918AA"/>
  </w:style>
  <w:style w:type="paragraph" w:customStyle="1" w:styleId="doc-ti">
    <w:name w:val="doc-ti"/>
    <w:basedOn w:val="Normal"/>
    <w:rsid w:val="002918A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2918AA"/>
    <w:pPr>
      <w:spacing w:after="0" w:line="240" w:lineRule="auto"/>
    </w:pPr>
    <w:rPr>
      <w:lang w:val="bg-BG"/>
    </w:rPr>
  </w:style>
  <w:style w:type="numbering" w:customStyle="1" w:styleId="NoList1">
    <w:name w:val="No List1"/>
    <w:next w:val="NoList"/>
    <w:uiPriority w:val="99"/>
    <w:semiHidden/>
    <w:unhideWhenUsed/>
    <w:rsid w:val="00823BE7"/>
  </w:style>
  <w:style w:type="paragraph" w:customStyle="1" w:styleId="af">
    <w:name w:val="Оф.Текст"/>
    <w:basedOn w:val="Normal"/>
    <w:link w:val="af0"/>
    <w:qFormat/>
    <w:rsid w:val="00823BE7"/>
    <w:pPr>
      <w:spacing w:before="60" w:after="60" w:line="360" w:lineRule="auto"/>
      <w:ind w:firstLine="709"/>
      <w:jc w:val="both"/>
    </w:pPr>
    <w:rPr>
      <w:rFonts w:ascii="Times New Roman" w:hAnsi="Times New Roman"/>
      <w:sz w:val="24"/>
      <w:lang w:val="bg-BG"/>
    </w:rPr>
  </w:style>
  <w:style w:type="character" w:customStyle="1" w:styleId="af0">
    <w:name w:val="Оф.Текст Знак"/>
    <w:basedOn w:val="DefaultParagraphFont"/>
    <w:link w:val="af"/>
    <w:rsid w:val="00823BE7"/>
    <w:rPr>
      <w:rFonts w:ascii="Times New Roman" w:hAnsi="Times New Roman"/>
      <w:sz w:val="24"/>
      <w:lang w:val="bg-BG"/>
    </w:rPr>
  </w:style>
  <w:style w:type="table" w:customStyle="1" w:styleId="TableGrid1">
    <w:name w:val="Table Grid1"/>
    <w:basedOn w:val="TableNormal"/>
    <w:next w:val="TableGrid"/>
    <w:uiPriority w:val="59"/>
    <w:rsid w:val="00823BE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823BE7"/>
  </w:style>
  <w:style w:type="paragraph" w:customStyle="1" w:styleId="NormalAfter6ptChar">
    <w:name w:val="Normal + After:  6 pt Char"/>
    <w:basedOn w:val="Normal"/>
    <w:link w:val="NormalAfter6ptCharChar"/>
    <w:rsid w:val="00823BE7"/>
    <w:pPr>
      <w:spacing w:after="120" w:line="240" w:lineRule="auto"/>
      <w:jc w:val="both"/>
    </w:pPr>
    <w:rPr>
      <w:rFonts w:ascii="Times New Roman" w:eastAsia="Times New Roman" w:hAnsi="Times New Roman" w:cs="Times New Roman"/>
      <w:sz w:val="24"/>
      <w:szCs w:val="24"/>
      <w:lang w:val="en-US" w:eastAsia="ko-KR"/>
    </w:rPr>
  </w:style>
  <w:style w:type="character" w:customStyle="1" w:styleId="NormalAfter6ptCharChar">
    <w:name w:val="Normal + After:  6 pt Char Char"/>
    <w:link w:val="NormalAfter6ptChar"/>
    <w:rsid w:val="00823BE7"/>
    <w:rPr>
      <w:rFonts w:ascii="Times New Roman" w:eastAsia="Times New Roman" w:hAnsi="Times New Roman" w:cs="Times New Roman"/>
      <w:sz w:val="24"/>
      <w:szCs w:val="24"/>
      <w:lang w:val="en-US" w:eastAsia="ko-KR"/>
    </w:rPr>
  </w:style>
  <w:style w:type="paragraph" w:styleId="BodyText2">
    <w:name w:val="Body Text 2"/>
    <w:basedOn w:val="Normal"/>
    <w:link w:val="BodyText2Char"/>
    <w:unhideWhenUsed/>
    <w:rsid w:val="00823BE7"/>
    <w:pPr>
      <w:spacing w:after="120" w:line="480" w:lineRule="auto"/>
    </w:pPr>
    <w:rPr>
      <w:lang w:val="en-US"/>
    </w:rPr>
  </w:style>
  <w:style w:type="character" w:customStyle="1" w:styleId="BodyText2Char">
    <w:name w:val="Body Text 2 Char"/>
    <w:basedOn w:val="DefaultParagraphFont"/>
    <w:link w:val="BodyText2"/>
    <w:rsid w:val="00823BE7"/>
    <w:rPr>
      <w:lang w:val="en-US"/>
    </w:rPr>
  </w:style>
  <w:style w:type="paragraph" w:customStyle="1" w:styleId="Captionfigtabl">
    <w:name w:val="Caption fig tabl"/>
    <w:basedOn w:val="Normal"/>
    <w:link w:val="CaptionfigtablChar"/>
    <w:qFormat/>
    <w:rsid w:val="00823BE7"/>
    <w:pPr>
      <w:spacing w:before="120" w:after="120"/>
      <w:jc w:val="both"/>
    </w:pPr>
    <w:rPr>
      <w:rFonts w:ascii="Times New Roman" w:eastAsia="Calibri" w:hAnsi="Times New Roman" w:cs="Times New Roman"/>
      <w:i/>
      <w:spacing w:val="10"/>
      <w:sz w:val="24"/>
      <w:szCs w:val="24"/>
      <w:lang w:val="bg-BG"/>
    </w:rPr>
  </w:style>
  <w:style w:type="character" w:customStyle="1" w:styleId="CaptionfigtablChar">
    <w:name w:val="Caption fig tabl Char"/>
    <w:link w:val="Captionfigtabl"/>
    <w:rsid w:val="00823BE7"/>
    <w:rPr>
      <w:rFonts w:ascii="Times New Roman" w:eastAsia="Calibri" w:hAnsi="Times New Roman" w:cs="Times New Roman"/>
      <w:i/>
      <w:spacing w:val="10"/>
      <w:sz w:val="24"/>
      <w:szCs w:val="24"/>
      <w:lang w:val="bg-BG"/>
    </w:rPr>
  </w:style>
  <w:style w:type="numbering" w:customStyle="1" w:styleId="NoList2">
    <w:name w:val="No List2"/>
    <w:next w:val="NoList"/>
    <w:uiPriority w:val="99"/>
    <w:semiHidden/>
    <w:unhideWhenUsed/>
    <w:rsid w:val="00823BE7"/>
  </w:style>
  <w:style w:type="table" w:customStyle="1" w:styleId="TableGrid2">
    <w:name w:val="Table Grid2"/>
    <w:basedOn w:val="TableNormal"/>
    <w:next w:val="TableGrid"/>
    <w:uiPriority w:val="59"/>
    <w:rsid w:val="00823BE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
    <w:name w:val="Char Char Char Char Char Char Char Char Char Char Char Char Char Char Char Char"/>
    <w:basedOn w:val="Normal"/>
    <w:rsid w:val="00043308"/>
    <w:pPr>
      <w:tabs>
        <w:tab w:val="left" w:pos="709"/>
      </w:tabs>
      <w:spacing w:after="0" w:line="240" w:lineRule="auto"/>
    </w:pPr>
    <w:rPr>
      <w:rFonts w:ascii="Tahoma" w:eastAsia="Times New Roman" w:hAnsi="Tahoma" w:cs="Times New Roman"/>
      <w:sz w:val="24"/>
      <w:szCs w:val="24"/>
      <w:lang w:val="pl-PL" w:eastAsia="pl-PL"/>
    </w:rPr>
  </w:style>
  <w:style w:type="table" w:customStyle="1" w:styleId="TableStyle1NUTRVIT">
    <w:name w:val="Table Style1 NUTR&amp;VIT"/>
    <w:basedOn w:val="TableNormal"/>
    <w:rsid w:val="007E3886"/>
    <w:pPr>
      <w:spacing w:before="40" w:after="40" w:line="240" w:lineRule="auto"/>
    </w:pPr>
    <w:rPr>
      <w:rFonts w:ascii="Tahoma" w:eastAsia="Times New Roman" w:hAnsi="Tahoma" w:cs="Times New Roman"/>
      <w:sz w:val="20"/>
      <w:szCs w:val="20"/>
      <w:lang w:val="en-US"/>
    </w:rPr>
    <w:tblPr>
      <w:tblStyleRowBandSize w:val="1"/>
      <w:jc w:val="center"/>
    </w:tblPr>
    <w:trPr>
      <w:cantSplit/>
      <w:jc w:val="center"/>
    </w:trPr>
    <w:tblStylePr w:type="firstRow">
      <w:rPr>
        <w:b/>
      </w:rPr>
      <w:tblPr/>
      <w:trPr>
        <w:cantSplit/>
        <w:tblHeader/>
      </w:trPr>
      <w:tcPr>
        <w:tcBorders>
          <w:top w:val="nil"/>
          <w:left w:val="nil"/>
          <w:bottom w:val="nil"/>
          <w:right w:val="nil"/>
          <w:insideH w:val="nil"/>
          <w:insideV w:val="nil"/>
          <w:tl2br w:val="nil"/>
          <w:tr2bl w:val="nil"/>
        </w:tcBorders>
        <w:shd w:val="solid" w:color="008080" w:fill="auto"/>
      </w:tcPr>
    </w:tblStylePr>
    <w:tblStylePr w:type="band2Horz">
      <w:tblPr/>
      <w:tcPr>
        <w:tcBorders>
          <w:top w:val="nil"/>
          <w:left w:val="nil"/>
          <w:bottom w:val="nil"/>
          <w:right w:val="nil"/>
          <w:insideH w:val="nil"/>
          <w:insideV w:val="nil"/>
          <w:tl2br w:val="nil"/>
          <w:tr2bl w:val="nil"/>
        </w:tcBorders>
        <w:shd w:val="pct25" w:color="008080" w:fill="auto"/>
      </w:tcPr>
    </w:tblStylePr>
  </w:style>
  <w:style w:type="character" w:customStyle="1" w:styleId="130ptExact">
    <w:name w:val="Основной текст (13) + Интервал 0 pt Exact"/>
    <w:rsid w:val="007E3886"/>
    <w:rPr>
      <w:rFonts w:ascii="Franklin Gothic Book" w:hAnsi="Franklin Gothic Book"/>
      <w:color w:val="000000"/>
      <w:spacing w:val="1"/>
      <w:w w:val="100"/>
      <w:position w:val="0"/>
      <w:sz w:val="14"/>
      <w:szCs w:val="14"/>
      <w:lang w:bidi="ar-SA"/>
    </w:rPr>
  </w:style>
  <w:style w:type="character" w:customStyle="1" w:styleId="13Exact1">
    <w:name w:val="Основной текст (13) Exact1"/>
    <w:rsid w:val="007E3886"/>
    <w:rPr>
      <w:rFonts w:ascii="Franklin Gothic Book" w:hAnsi="Franklin Gothic Book"/>
      <w:color w:val="000000"/>
      <w:spacing w:val="3"/>
      <w:w w:val="100"/>
      <w:position w:val="0"/>
      <w:sz w:val="14"/>
      <w:szCs w:val="14"/>
      <w:lang w:bidi="ar-SA"/>
    </w:rPr>
  </w:style>
  <w:style w:type="character" w:customStyle="1" w:styleId="3Exact1">
    <w:name w:val="Подпись к картинке (3) Exact1"/>
    <w:rsid w:val="007E3886"/>
    <w:rPr>
      <w:rFonts w:ascii="Franklin Gothic Book" w:hAnsi="Franklin Gothic Book"/>
      <w:color w:val="000000"/>
      <w:spacing w:val="1"/>
      <w:w w:val="100"/>
      <w:position w:val="0"/>
      <w:sz w:val="14"/>
      <w:szCs w:val="14"/>
      <w:lang w:bidi="ar-SA"/>
    </w:rPr>
  </w:style>
  <w:style w:type="character" w:customStyle="1" w:styleId="3">
    <w:name w:val="Подпись к картинке (3)_"/>
    <w:link w:val="31"/>
    <w:rsid w:val="007E3886"/>
    <w:rPr>
      <w:rFonts w:ascii="Franklin Gothic Book" w:hAnsi="Franklin Gothic Book"/>
      <w:sz w:val="16"/>
      <w:szCs w:val="16"/>
      <w:shd w:val="clear" w:color="auto" w:fill="FFFFFF"/>
    </w:rPr>
  </w:style>
  <w:style w:type="paragraph" w:customStyle="1" w:styleId="31">
    <w:name w:val="Подпись к картинке (3)1"/>
    <w:basedOn w:val="Normal"/>
    <w:link w:val="3"/>
    <w:rsid w:val="007E3886"/>
    <w:pPr>
      <w:widowControl w:val="0"/>
      <w:shd w:val="clear" w:color="auto" w:fill="FFFFFF"/>
      <w:spacing w:before="60" w:after="60" w:line="240" w:lineRule="atLeast"/>
      <w:jc w:val="right"/>
    </w:pPr>
    <w:rPr>
      <w:rFonts w:ascii="Franklin Gothic Book" w:hAnsi="Franklin Gothic Book"/>
      <w:sz w:val="16"/>
      <w:szCs w:val="16"/>
      <w:lang w:val="en-CA"/>
    </w:rPr>
  </w:style>
  <w:style w:type="character" w:customStyle="1" w:styleId="6">
    <w:name w:val="Основной текст (6)_"/>
    <w:link w:val="61"/>
    <w:rsid w:val="007E3886"/>
    <w:rPr>
      <w:rFonts w:ascii="Franklin Gothic Book" w:hAnsi="Franklin Gothic Book"/>
      <w:sz w:val="12"/>
      <w:szCs w:val="12"/>
      <w:shd w:val="clear" w:color="auto" w:fill="FFFFFF"/>
    </w:rPr>
  </w:style>
  <w:style w:type="character" w:customStyle="1" w:styleId="6Exact3">
    <w:name w:val="Основной текст (6) Exact3"/>
    <w:rsid w:val="007E3886"/>
    <w:rPr>
      <w:rFonts w:ascii="Franklin Gothic Book" w:hAnsi="Franklin Gothic Book"/>
      <w:spacing w:val="3"/>
      <w:sz w:val="11"/>
      <w:szCs w:val="11"/>
      <w:lang w:bidi="ar-SA"/>
    </w:rPr>
  </w:style>
  <w:style w:type="paragraph" w:customStyle="1" w:styleId="61">
    <w:name w:val="Основной текст (6)1"/>
    <w:basedOn w:val="Normal"/>
    <w:link w:val="6"/>
    <w:rsid w:val="007E3886"/>
    <w:pPr>
      <w:widowControl w:val="0"/>
      <w:shd w:val="clear" w:color="auto" w:fill="FFFFFF"/>
      <w:spacing w:before="1440" w:after="0" w:line="274" w:lineRule="exact"/>
      <w:ind w:hanging="840"/>
    </w:pPr>
    <w:rPr>
      <w:rFonts w:ascii="Franklin Gothic Book" w:hAnsi="Franklin Gothic Book"/>
      <w:sz w:val="12"/>
      <w:szCs w:val="12"/>
      <w:lang w:val="en-CA"/>
    </w:rPr>
  </w:style>
  <w:style w:type="character" w:customStyle="1" w:styleId="6Exact1">
    <w:name w:val="Основной текст (6) Exact1"/>
    <w:rsid w:val="007E3886"/>
    <w:rPr>
      <w:rFonts w:ascii="Franklin Gothic Book" w:hAnsi="Franklin Gothic Book" w:cs="Franklin Gothic Book"/>
      <w:spacing w:val="3"/>
      <w:sz w:val="11"/>
      <w:szCs w:val="11"/>
      <w:u w:val="none"/>
      <w:lang w:bidi="ar-SA"/>
    </w:rPr>
  </w:style>
  <w:style w:type="character" w:customStyle="1" w:styleId="6Calibri">
    <w:name w:val="Основной текст (6) + Calibri"/>
    <w:aliases w:val="6 pt21,Интервал 0 pt Exact56"/>
    <w:rsid w:val="007E3886"/>
    <w:rPr>
      <w:rFonts w:ascii="Calibri" w:hAnsi="Calibri" w:cs="Calibri"/>
      <w:spacing w:val="5"/>
      <w:sz w:val="12"/>
      <w:szCs w:val="12"/>
      <w:u w:val="none"/>
      <w:lang w:bidi="ar-SA"/>
    </w:rPr>
  </w:style>
  <w:style w:type="character" w:customStyle="1" w:styleId="20ptExact">
    <w:name w:val="Подпись к картинке (2) + Интервал 0 pt Exact"/>
    <w:rsid w:val="007E3886"/>
    <w:rPr>
      <w:rFonts w:ascii="Franklin Gothic Book" w:hAnsi="Franklin Gothic Book"/>
      <w:color w:val="000000"/>
      <w:spacing w:val="1"/>
      <w:w w:val="100"/>
      <w:position w:val="0"/>
      <w:sz w:val="14"/>
      <w:szCs w:val="14"/>
      <w:lang w:bidi="ar-SA"/>
    </w:rPr>
  </w:style>
  <w:style w:type="character" w:customStyle="1" w:styleId="2Exact1">
    <w:name w:val="Подпись к картинке (2) Exact1"/>
    <w:rsid w:val="007E3886"/>
    <w:rPr>
      <w:rFonts w:ascii="Franklin Gothic Book" w:hAnsi="Franklin Gothic Book"/>
      <w:color w:val="000000"/>
      <w:spacing w:val="3"/>
      <w:w w:val="100"/>
      <w:position w:val="0"/>
      <w:sz w:val="14"/>
      <w:szCs w:val="14"/>
      <w:lang w:bidi="ar-SA"/>
    </w:rPr>
  </w:style>
  <w:style w:type="character" w:customStyle="1" w:styleId="2">
    <w:name w:val="Подпись к картинке (2)_"/>
    <w:link w:val="21"/>
    <w:rsid w:val="007E3886"/>
    <w:rPr>
      <w:rFonts w:ascii="Franklin Gothic Book" w:hAnsi="Franklin Gothic Book"/>
      <w:sz w:val="15"/>
      <w:szCs w:val="15"/>
      <w:shd w:val="clear" w:color="auto" w:fill="FFFFFF"/>
    </w:rPr>
  </w:style>
  <w:style w:type="paragraph" w:customStyle="1" w:styleId="21">
    <w:name w:val="Подпись к картинке (2)1"/>
    <w:basedOn w:val="Normal"/>
    <w:link w:val="2"/>
    <w:rsid w:val="007E3886"/>
    <w:pPr>
      <w:widowControl w:val="0"/>
      <w:shd w:val="clear" w:color="auto" w:fill="FFFFFF"/>
      <w:spacing w:after="60" w:line="240" w:lineRule="atLeast"/>
      <w:ind w:hanging="1660"/>
      <w:jc w:val="right"/>
    </w:pPr>
    <w:rPr>
      <w:rFonts w:ascii="Franklin Gothic Book" w:hAnsi="Franklin Gothic Book"/>
      <w:sz w:val="15"/>
      <w:szCs w:val="15"/>
      <w:lang w:val="en-CA"/>
    </w:rPr>
  </w:style>
  <w:style w:type="character" w:customStyle="1" w:styleId="Exact6">
    <w:name w:val="Подпись к картинке Exact6"/>
    <w:rsid w:val="007E3886"/>
    <w:rPr>
      <w:rFonts w:ascii="Franklin Gothic Book" w:hAnsi="Franklin Gothic Book"/>
      <w:color w:val="000000"/>
      <w:spacing w:val="3"/>
      <w:w w:val="100"/>
      <w:position w:val="0"/>
      <w:sz w:val="11"/>
      <w:szCs w:val="11"/>
      <w:lang w:bidi="ar-SA"/>
    </w:rPr>
  </w:style>
  <w:style w:type="character" w:customStyle="1" w:styleId="af1">
    <w:name w:val="Основной текст_"/>
    <w:link w:val="1"/>
    <w:rsid w:val="007E3886"/>
    <w:rPr>
      <w:rFonts w:ascii="Franklin Gothic Book" w:hAnsi="Franklin Gothic Book"/>
      <w:sz w:val="16"/>
      <w:szCs w:val="16"/>
      <w:shd w:val="clear" w:color="auto" w:fill="FFFFFF"/>
    </w:rPr>
  </w:style>
  <w:style w:type="paragraph" w:customStyle="1" w:styleId="1">
    <w:name w:val="Основной текст1"/>
    <w:basedOn w:val="Normal"/>
    <w:link w:val="af1"/>
    <w:rsid w:val="007E3886"/>
    <w:pPr>
      <w:widowControl w:val="0"/>
      <w:shd w:val="clear" w:color="auto" w:fill="FFFFFF"/>
      <w:spacing w:after="60" w:line="230" w:lineRule="exact"/>
      <w:ind w:hanging="220"/>
      <w:jc w:val="both"/>
    </w:pPr>
    <w:rPr>
      <w:rFonts w:ascii="Franklin Gothic Book" w:hAnsi="Franklin Gothic Book"/>
      <w:sz w:val="16"/>
      <w:szCs w:val="16"/>
      <w:lang w:val="en-CA"/>
    </w:rPr>
  </w:style>
  <w:style w:type="character" w:customStyle="1" w:styleId="af2">
    <w:name w:val="Подпись к картинке + Курсив"/>
    <w:aliases w:val="Интервал 0 pt Exact"/>
    <w:rsid w:val="007E3886"/>
    <w:rPr>
      <w:rFonts w:ascii="Franklin Gothic Book" w:hAnsi="Franklin Gothic Book" w:cs="Franklin Gothic Book"/>
      <w:i/>
      <w:iCs/>
      <w:color w:val="000000"/>
      <w:spacing w:val="-2"/>
      <w:w w:val="100"/>
      <w:position w:val="0"/>
      <w:sz w:val="11"/>
      <w:szCs w:val="11"/>
      <w:u w:val="none"/>
      <w:lang w:bidi="ar-SA"/>
    </w:rPr>
  </w:style>
  <w:style w:type="character" w:customStyle="1" w:styleId="Exact1">
    <w:name w:val="Основной текст Exact1"/>
    <w:rsid w:val="007E3886"/>
    <w:rPr>
      <w:rFonts w:ascii="Franklin Gothic Book" w:hAnsi="Franklin Gothic Book" w:cs="Franklin Gothic Book"/>
      <w:spacing w:val="1"/>
      <w:sz w:val="14"/>
      <w:szCs w:val="14"/>
      <w:u w:val="none"/>
      <w:lang w:bidi="ar-SA"/>
    </w:rPr>
  </w:style>
  <w:style w:type="character" w:customStyle="1" w:styleId="19Exact">
    <w:name w:val="Основной текст (19) Exact"/>
    <w:link w:val="19"/>
    <w:rsid w:val="007E3886"/>
    <w:rPr>
      <w:rFonts w:ascii="Franklin Gothic Book" w:hAnsi="Franklin Gothic Book"/>
      <w:b/>
      <w:bCs/>
      <w:spacing w:val="3"/>
      <w:sz w:val="12"/>
      <w:szCs w:val="12"/>
      <w:shd w:val="clear" w:color="auto" w:fill="FFFFFF"/>
    </w:rPr>
  </w:style>
  <w:style w:type="character" w:customStyle="1" w:styleId="19Exact2">
    <w:name w:val="Основной текст (19) Exact2"/>
    <w:basedOn w:val="19Exact"/>
    <w:rsid w:val="007E3886"/>
    <w:rPr>
      <w:rFonts w:ascii="Franklin Gothic Book" w:hAnsi="Franklin Gothic Book"/>
      <w:b/>
      <w:bCs/>
      <w:spacing w:val="3"/>
      <w:sz w:val="12"/>
      <w:szCs w:val="12"/>
      <w:shd w:val="clear" w:color="auto" w:fill="FFFFFF"/>
    </w:rPr>
  </w:style>
  <w:style w:type="paragraph" w:customStyle="1" w:styleId="19">
    <w:name w:val="Основной текст (19)"/>
    <w:basedOn w:val="Normal"/>
    <w:link w:val="19Exact"/>
    <w:rsid w:val="007E3886"/>
    <w:pPr>
      <w:widowControl w:val="0"/>
      <w:shd w:val="clear" w:color="auto" w:fill="FFFFFF"/>
      <w:spacing w:after="240" w:line="240" w:lineRule="atLeast"/>
    </w:pPr>
    <w:rPr>
      <w:rFonts w:ascii="Franklin Gothic Book" w:hAnsi="Franklin Gothic Book"/>
      <w:b/>
      <w:bCs/>
      <w:spacing w:val="3"/>
      <w:sz w:val="12"/>
      <w:szCs w:val="12"/>
      <w:lang w:val="en-CA"/>
    </w:rPr>
  </w:style>
  <w:style w:type="character" w:customStyle="1" w:styleId="7Exact1">
    <w:name w:val="Подпись к картинке (7) Exact1"/>
    <w:rsid w:val="007E3886"/>
    <w:rPr>
      <w:rFonts w:ascii="Franklin Gothic Book" w:hAnsi="Franklin Gothic Book"/>
      <w:b/>
      <w:bCs/>
      <w:color w:val="000000"/>
      <w:spacing w:val="3"/>
      <w:w w:val="100"/>
      <w:position w:val="0"/>
      <w:sz w:val="12"/>
      <w:szCs w:val="12"/>
      <w:lang w:bidi="ar-SA"/>
    </w:rPr>
  </w:style>
  <w:style w:type="character" w:customStyle="1" w:styleId="7">
    <w:name w:val="Подпись к картинке (7)_"/>
    <w:link w:val="71"/>
    <w:rsid w:val="007E3886"/>
    <w:rPr>
      <w:rFonts w:ascii="Franklin Gothic Book" w:hAnsi="Franklin Gothic Book"/>
      <w:b/>
      <w:bCs/>
      <w:sz w:val="13"/>
      <w:szCs w:val="13"/>
      <w:shd w:val="clear" w:color="auto" w:fill="FFFFFF"/>
    </w:rPr>
  </w:style>
  <w:style w:type="paragraph" w:customStyle="1" w:styleId="71">
    <w:name w:val="Подпись к картинке (7)1"/>
    <w:basedOn w:val="Normal"/>
    <w:link w:val="7"/>
    <w:rsid w:val="007E3886"/>
    <w:pPr>
      <w:widowControl w:val="0"/>
      <w:shd w:val="clear" w:color="auto" w:fill="FFFFFF"/>
      <w:spacing w:after="240" w:line="240" w:lineRule="atLeast"/>
    </w:pPr>
    <w:rPr>
      <w:rFonts w:ascii="Franklin Gothic Book" w:hAnsi="Franklin Gothic Book"/>
      <w:b/>
      <w:bCs/>
      <w:sz w:val="13"/>
      <w:szCs w:val="13"/>
      <w:lang w:val="en-CA"/>
    </w:rPr>
  </w:style>
  <w:style w:type="character" w:customStyle="1" w:styleId="af3">
    <w:name w:val="Подпись к картинке_"/>
    <w:link w:val="10"/>
    <w:rsid w:val="007E3886"/>
    <w:rPr>
      <w:rFonts w:ascii="Franklin Gothic Book" w:hAnsi="Franklin Gothic Book"/>
      <w:sz w:val="12"/>
      <w:szCs w:val="12"/>
      <w:shd w:val="clear" w:color="auto" w:fill="FFFFFF"/>
    </w:rPr>
  </w:style>
  <w:style w:type="paragraph" w:customStyle="1" w:styleId="10">
    <w:name w:val="Подпись к картинке1"/>
    <w:basedOn w:val="Normal"/>
    <w:link w:val="af3"/>
    <w:rsid w:val="007E3886"/>
    <w:pPr>
      <w:widowControl w:val="0"/>
      <w:shd w:val="clear" w:color="auto" w:fill="FFFFFF"/>
      <w:spacing w:after="0" w:line="158" w:lineRule="exact"/>
      <w:ind w:hanging="1360"/>
    </w:pPr>
    <w:rPr>
      <w:rFonts w:ascii="Franklin Gothic Book" w:hAnsi="Franklin Gothic Book"/>
      <w:sz w:val="12"/>
      <w:szCs w:val="12"/>
      <w:lang w:val="en-CA"/>
    </w:rPr>
  </w:style>
  <w:style w:type="character" w:customStyle="1" w:styleId="375pt4">
    <w:name w:val="Подпись к картинке (3) + 7.5 pt4"/>
    <w:aliases w:val="Интервал 0 pt Exact44"/>
    <w:rsid w:val="007E3886"/>
    <w:rPr>
      <w:rFonts w:ascii="Franklin Gothic Book" w:hAnsi="Franklin Gothic Book" w:cs="Franklin Gothic Book"/>
      <w:sz w:val="15"/>
      <w:szCs w:val="15"/>
      <w:u w:val="none"/>
      <w:lang w:bidi="ar-SA"/>
    </w:rPr>
  </w:style>
  <w:style w:type="character" w:customStyle="1" w:styleId="0ptExact9">
    <w:name w:val="Подпись к картинке + Интервал 0 pt Exact9"/>
    <w:rsid w:val="007E3886"/>
    <w:rPr>
      <w:rFonts w:ascii="Franklin Gothic Book" w:hAnsi="Franklin Gothic Book" w:cs="Franklin Gothic Book"/>
      <w:spacing w:val="2"/>
      <w:sz w:val="11"/>
      <w:szCs w:val="11"/>
      <w:u w:val="none"/>
      <w:lang w:bidi="ar-SA"/>
    </w:rPr>
  </w:style>
  <w:style w:type="character" w:customStyle="1" w:styleId="BookmanOldStyle">
    <w:name w:val="Основной текст + Bookman Old Style"/>
    <w:aliases w:val="7.5 pt40"/>
    <w:rsid w:val="007E3886"/>
    <w:rPr>
      <w:rFonts w:ascii="Bookman Old Style" w:hAnsi="Bookman Old Style" w:cs="Bookman Old Style"/>
      <w:sz w:val="15"/>
      <w:szCs w:val="15"/>
      <w:u w:val="none"/>
      <w:lang w:bidi="ar-SA"/>
    </w:rPr>
  </w:style>
  <w:style w:type="character" w:customStyle="1" w:styleId="ListParagraphChar">
    <w:name w:val="List Paragraph Char"/>
    <w:link w:val="ListParagraph"/>
    <w:locked/>
    <w:rsid w:val="007E3886"/>
    <w:rPr>
      <w:lang w:val="en-GB"/>
    </w:rPr>
  </w:style>
  <w:style w:type="character" w:customStyle="1" w:styleId="18">
    <w:name w:val="Основной текст (18)_"/>
    <w:link w:val="180"/>
    <w:rsid w:val="007E3886"/>
    <w:rPr>
      <w:sz w:val="23"/>
      <w:szCs w:val="23"/>
      <w:shd w:val="clear" w:color="auto" w:fill="FFFFFF"/>
    </w:rPr>
  </w:style>
  <w:style w:type="paragraph" w:customStyle="1" w:styleId="180">
    <w:name w:val="Основной текст (18)"/>
    <w:basedOn w:val="Normal"/>
    <w:link w:val="18"/>
    <w:rsid w:val="007E3886"/>
    <w:pPr>
      <w:widowControl w:val="0"/>
      <w:shd w:val="clear" w:color="auto" w:fill="FFFFFF"/>
      <w:spacing w:after="0" w:line="240" w:lineRule="atLeast"/>
      <w:jc w:val="both"/>
    </w:pPr>
    <w:rPr>
      <w:sz w:val="23"/>
      <w:szCs w:val="23"/>
      <w:lang w:val="en-CA"/>
    </w:rPr>
  </w:style>
  <w:style w:type="character" w:customStyle="1" w:styleId="18BookmanOldStyle">
    <w:name w:val="Основной текст (18) + Bookman Old Style"/>
    <w:aliases w:val="8.5 pt15,Интервал 0 pt68"/>
    <w:rsid w:val="007E3886"/>
    <w:rPr>
      <w:rFonts w:ascii="Bookman Old Style" w:hAnsi="Bookman Old Style" w:cs="Bookman Old Style"/>
      <w:spacing w:val="10"/>
      <w:sz w:val="17"/>
      <w:szCs w:val="17"/>
      <w:u w:val="none"/>
      <w:lang w:bidi="ar-SA"/>
    </w:rPr>
  </w:style>
  <w:style w:type="character" w:customStyle="1" w:styleId="CharChar">
    <w:name w:val="Char Char"/>
    <w:semiHidden/>
    <w:locked/>
    <w:rsid w:val="007E3886"/>
    <w:rPr>
      <w:lang w:val="bg-BG" w:eastAsia="bg-BG" w:bidi="ar-SA"/>
    </w:rPr>
  </w:style>
  <w:style w:type="paragraph" w:customStyle="1" w:styleId="Normal1">
    <w:name w:val="Normal1"/>
    <w:uiPriority w:val="99"/>
    <w:rsid w:val="00232311"/>
    <w:pPr>
      <w:spacing w:before="40" w:after="0" w:line="240" w:lineRule="auto"/>
    </w:pPr>
    <w:rPr>
      <w:rFonts w:ascii="Times New Roman" w:eastAsia="Times New Roman" w:hAnsi="Times New Roman" w:cs="Times New Roman"/>
      <w:lang w:val="bg-BG" w:eastAsia="bg-BG"/>
    </w:rPr>
  </w:style>
  <w:style w:type="paragraph" w:styleId="BodyTextIndent">
    <w:name w:val="Body Text Indent"/>
    <w:basedOn w:val="Normal"/>
    <w:link w:val="BodyTextIndentChar"/>
    <w:unhideWhenUsed/>
    <w:rsid w:val="00E013DD"/>
    <w:pPr>
      <w:spacing w:after="120"/>
      <w:ind w:left="283"/>
    </w:pPr>
  </w:style>
  <w:style w:type="character" w:customStyle="1" w:styleId="BodyTextIndentChar">
    <w:name w:val="Body Text Indent Char"/>
    <w:basedOn w:val="DefaultParagraphFont"/>
    <w:link w:val="BodyTextIndent"/>
    <w:rsid w:val="00E013DD"/>
    <w:rPr>
      <w:lang w:val="en-GB"/>
    </w:rPr>
  </w:style>
  <w:style w:type="paragraph" w:customStyle="1" w:styleId="20">
    <w:name w:val="2"/>
    <w:basedOn w:val="Normal"/>
    <w:rsid w:val="00E013DD"/>
    <w:pPr>
      <w:tabs>
        <w:tab w:val="left" w:pos="709"/>
      </w:tabs>
      <w:spacing w:after="0" w:line="240" w:lineRule="auto"/>
    </w:pPr>
    <w:rPr>
      <w:rFonts w:ascii="Tahoma" w:eastAsia="Times New Roman" w:hAnsi="Tahoma" w:cs="Times New Roman"/>
      <w:sz w:val="24"/>
      <w:szCs w:val="24"/>
      <w:lang w:val="pl-PL" w:eastAsia="pl-PL"/>
    </w:rPr>
  </w:style>
  <w:style w:type="paragraph" w:customStyle="1" w:styleId="ftrefChar1CharChar">
    <w:name w:val="ftref Char1 Char Char"/>
    <w:basedOn w:val="Normal"/>
    <w:rsid w:val="00065426"/>
    <w:pPr>
      <w:widowControl w:val="0"/>
      <w:spacing w:after="120" w:line="240" w:lineRule="exact"/>
      <w:jc w:val="both"/>
    </w:pPr>
    <w:rPr>
      <w:vertAlign w:val="superscript"/>
      <w:lang w:val="en-US"/>
    </w:rPr>
  </w:style>
  <w:style w:type="character" w:customStyle="1" w:styleId="UnresolvedMention1">
    <w:name w:val="Unresolved Mention1"/>
    <w:basedOn w:val="DefaultParagraphFont"/>
    <w:uiPriority w:val="99"/>
    <w:semiHidden/>
    <w:unhideWhenUsed/>
    <w:rsid w:val="0001651D"/>
    <w:rPr>
      <w:color w:val="605E5C"/>
      <w:shd w:val="clear" w:color="auto" w:fill="E1DFDD"/>
    </w:rPr>
  </w:style>
  <w:style w:type="character" w:customStyle="1" w:styleId="UnresolvedMention2">
    <w:name w:val="Unresolved Mention2"/>
    <w:basedOn w:val="DefaultParagraphFont"/>
    <w:uiPriority w:val="99"/>
    <w:semiHidden/>
    <w:unhideWhenUsed/>
    <w:rsid w:val="006460E7"/>
    <w:rPr>
      <w:color w:val="605E5C"/>
      <w:shd w:val="clear" w:color="auto" w:fill="E1DFDD"/>
    </w:rPr>
  </w:style>
  <w:style w:type="character" w:customStyle="1" w:styleId="UnresolvedMention3">
    <w:name w:val="Unresolved Mention3"/>
    <w:basedOn w:val="DefaultParagraphFont"/>
    <w:uiPriority w:val="99"/>
    <w:semiHidden/>
    <w:unhideWhenUsed/>
    <w:rsid w:val="005F7D40"/>
    <w:rPr>
      <w:color w:val="605E5C"/>
      <w:shd w:val="clear" w:color="auto" w:fill="E1DFDD"/>
    </w:rPr>
  </w:style>
  <w:style w:type="numbering" w:customStyle="1" w:styleId="NoList3">
    <w:name w:val="No List3"/>
    <w:next w:val="NoList"/>
    <w:uiPriority w:val="99"/>
    <w:semiHidden/>
    <w:unhideWhenUsed/>
    <w:rsid w:val="009C0D93"/>
  </w:style>
  <w:style w:type="paragraph" w:customStyle="1" w:styleId="msonormal0">
    <w:name w:val="msonormal"/>
    <w:basedOn w:val="Normal"/>
    <w:uiPriority w:val="99"/>
    <w:rsid w:val="009C0D93"/>
    <w:pPr>
      <w:spacing w:before="100" w:beforeAutospacing="1" w:after="100" w:afterAutospacing="1" w:line="240" w:lineRule="auto"/>
      <w:jc w:val="both"/>
    </w:pPr>
    <w:rPr>
      <w:rFonts w:ascii="Times New Roman" w:eastAsia="Times New Roman" w:hAnsi="Times New Roman" w:cs="Times New Roman"/>
      <w:sz w:val="24"/>
      <w:szCs w:val="24"/>
      <w:lang w:val="en-CA" w:eastAsia="en-CA"/>
    </w:rPr>
  </w:style>
  <w:style w:type="paragraph" w:styleId="TOC4">
    <w:name w:val="toc 4"/>
    <w:basedOn w:val="Normal"/>
    <w:next w:val="Normal"/>
    <w:autoRedefine/>
    <w:uiPriority w:val="39"/>
    <w:unhideWhenUsed/>
    <w:rsid w:val="009C0D93"/>
    <w:pPr>
      <w:spacing w:after="100"/>
      <w:ind w:left="660"/>
      <w:jc w:val="both"/>
    </w:pPr>
    <w:rPr>
      <w:rFonts w:ascii="Calibri" w:eastAsia="Times New Roman" w:hAnsi="Calibri" w:cs="Times New Roman"/>
      <w:lang w:val="en-CA" w:eastAsia="en-CA"/>
    </w:rPr>
  </w:style>
  <w:style w:type="paragraph" w:styleId="TOC5">
    <w:name w:val="toc 5"/>
    <w:basedOn w:val="Normal"/>
    <w:next w:val="Normal"/>
    <w:autoRedefine/>
    <w:uiPriority w:val="39"/>
    <w:unhideWhenUsed/>
    <w:rsid w:val="009C0D93"/>
    <w:pPr>
      <w:spacing w:after="100"/>
      <w:ind w:left="880"/>
      <w:jc w:val="both"/>
    </w:pPr>
    <w:rPr>
      <w:rFonts w:ascii="Calibri" w:eastAsia="Times New Roman" w:hAnsi="Calibri" w:cs="Times New Roman"/>
      <w:lang w:val="en-CA" w:eastAsia="en-CA"/>
    </w:rPr>
  </w:style>
  <w:style w:type="paragraph" w:styleId="TOC6">
    <w:name w:val="toc 6"/>
    <w:basedOn w:val="Normal"/>
    <w:next w:val="Normal"/>
    <w:autoRedefine/>
    <w:uiPriority w:val="39"/>
    <w:unhideWhenUsed/>
    <w:rsid w:val="009C0D93"/>
    <w:pPr>
      <w:spacing w:after="100"/>
      <w:ind w:left="1100"/>
      <w:jc w:val="both"/>
    </w:pPr>
    <w:rPr>
      <w:rFonts w:ascii="Calibri" w:eastAsia="Times New Roman" w:hAnsi="Calibri" w:cs="Times New Roman"/>
      <w:lang w:val="en-CA" w:eastAsia="en-CA"/>
    </w:rPr>
  </w:style>
  <w:style w:type="paragraph" w:styleId="TOC7">
    <w:name w:val="toc 7"/>
    <w:basedOn w:val="Normal"/>
    <w:next w:val="Normal"/>
    <w:autoRedefine/>
    <w:uiPriority w:val="39"/>
    <w:unhideWhenUsed/>
    <w:rsid w:val="009C0D93"/>
    <w:pPr>
      <w:spacing w:after="100"/>
      <w:ind w:left="1320"/>
      <w:jc w:val="both"/>
    </w:pPr>
    <w:rPr>
      <w:rFonts w:ascii="Calibri" w:eastAsia="Times New Roman" w:hAnsi="Calibri" w:cs="Times New Roman"/>
      <w:lang w:val="en-CA" w:eastAsia="en-CA"/>
    </w:rPr>
  </w:style>
  <w:style w:type="paragraph" w:styleId="TOC8">
    <w:name w:val="toc 8"/>
    <w:basedOn w:val="Normal"/>
    <w:next w:val="Normal"/>
    <w:autoRedefine/>
    <w:uiPriority w:val="39"/>
    <w:unhideWhenUsed/>
    <w:rsid w:val="009C0D93"/>
    <w:pPr>
      <w:spacing w:after="100"/>
      <w:ind w:left="1540"/>
      <w:jc w:val="both"/>
    </w:pPr>
    <w:rPr>
      <w:rFonts w:ascii="Calibri" w:eastAsia="Times New Roman" w:hAnsi="Calibri" w:cs="Times New Roman"/>
      <w:lang w:val="en-CA" w:eastAsia="en-CA"/>
    </w:rPr>
  </w:style>
  <w:style w:type="paragraph" w:styleId="TOC9">
    <w:name w:val="toc 9"/>
    <w:basedOn w:val="Normal"/>
    <w:next w:val="Normal"/>
    <w:autoRedefine/>
    <w:uiPriority w:val="39"/>
    <w:unhideWhenUsed/>
    <w:rsid w:val="009C0D93"/>
    <w:pPr>
      <w:spacing w:after="100"/>
      <w:ind w:left="1760"/>
      <w:jc w:val="both"/>
    </w:pPr>
    <w:rPr>
      <w:rFonts w:ascii="Calibri" w:eastAsia="Times New Roman" w:hAnsi="Calibri" w:cs="Times New Roman"/>
      <w:lang w:val="en-CA" w:eastAsia="en-CA"/>
    </w:rPr>
  </w:style>
  <w:style w:type="paragraph" w:styleId="ListBullet">
    <w:name w:val="List Bullet"/>
    <w:basedOn w:val="Normal"/>
    <w:autoRedefine/>
    <w:uiPriority w:val="99"/>
    <w:unhideWhenUsed/>
    <w:rsid w:val="009C0D93"/>
    <w:pPr>
      <w:spacing w:after="240" w:line="240" w:lineRule="auto"/>
      <w:jc w:val="both"/>
    </w:pPr>
    <w:rPr>
      <w:rFonts w:ascii="Times New Roman" w:eastAsia="Times New Roman" w:hAnsi="Times New Roman" w:cs="Times New Roman"/>
      <w:sz w:val="24"/>
      <w:szCs w:val="20"/>
    </w:rPr>
  </w:style>
  <w:style w:type="paragraph" w:styleId="BodyTextIndent3">
    <w:name w:val="Body Text Indent 3"/>
    <w:basedOn w:val="Normal"/>
    <w:link w:val="BodyTextIndent3Char"/>
    <w:unhideWhenUsed/>
    <w:rsid w:val="009C0D93"/>
    <w:pPr>
      <w:spacing w:after="0" w:line="240" w:lineRule="auto"/>
      <w:ind w:firstLine="851"/>
      <w:jc w:val="both"/>
    </w:pPr>
    <w:rPr>
      <w:rFonts w:ascii="Times New Roman" w:eastAsia="Times New Roman" w:hAnsi="Times New Roman" w:cs="Times New Roman"/>
      <w:sz w:val="26"/>
      <w:szCs w:val="20"/>
      <w:lang w:val="en-US"/>
    </w:rPr>
  </w:style>
  <w:style w:type="character" w:customStyle="1" w:styleId="BodyTextIndent3Char">
    <w:name w:val="Body Text Indent 3 Char"/>
    <w:basedOn w:val="DefaultParagraphFont"/>
    <w:link w:val="BodyTextIndent3"/>
    <w:rsid w:val="009C0D93"/>
    <w:rPr>
      <w:rFonts w:ascii="Times New Roman" w:eastAsia="Times New Roman" w:hAnsi="Times New Roman" w:cs="Times New Roman"/>
      <w:sz w:val="26"/>
      <w:szCs w:val="20"/>
      <w:lang w:val="en-US"/>
    </w:rPr>
  </w:style>
  <w:style w:type="paragraph" w:customStyle="1" w:styleId="BodyText21">
    <w:name w:val="Body Text 21"/>
    <w:basedOn w:val="Normal"/>
    <w:uiPriority w:val="99"/>
    <w:rsid w:val="009C0D93"/>
    <w:pPr>
      <w:widowControl w:val="0"/>
      <w:overflowPunct w:val="0"/>
      <w:autoSpaceDE w:val="0"/>
      <w:autoSpaceDN w:val="0"/>
      <w:adjustRightInd w:val="0"/>
      <w:spacing w:after="0" w:line="240" w:lineRule="auto"/>
      <w:jc w:val="center"/>
    </w:pPr>
    <w:rPr>
      <w:rFonts w:ascii="Times New Roman" w:eastAsia="Times New Roman" w:hAnsi="Times New Roman" w:cs="Times New Roman"/>
      <w:b/>
      <w:sz w:val="24"/>
      <w:szCs w:val="20"/>
      <w:lang w:val="en-US"/>
    </w:rPr>
  </w:style>
  <w:style w:type="character" w:customStyle="1" w:styleId="Style1Char">
    <w:name w:val="Style1 Char"/>
    <w:link w:val="Style1"/>
    <w:locked/>
    <w:rsid w:val="009C0D93"/>
    <w:rPr>
      <w:rFonts w:ascii="Times New Roman" w:eastAsia="Times New Roman" w:hAnsi="Times New Roman" w:cs="Lohit Devanagari"/>
      <w:sz w:val="24"/>
      <w:szCs w:val="24"/>
      <w:lang w:val="en-GB" w:eastAsia="bg-BG" w:bidi="hi-IN"/>
    </w:rPr>
  </w:style>
  <w:style w:type="paragraph" w:customStyle="1" w:styleId="buttons">
    <w:name w:val="buttons"/>
    <w:basedOn w:val="Normal"/>
    <w:uiPriority w:val="99"/>
    <w:rsid w:val="009C0D93"/>
    <w:pPr>
      <w:spacing w:before="100" w:beforeAutospacing="1" w:after="100" w:afterAutospacing="1" w:line="240" w:lineRule="auto"/>
      <w:jc w:val="both"/>
    </w:pPr>
    <w:rPr>
      <w:rFonts w:ascii="Times New Roman" w:eastAsia="Times New Roman" w:hAnsi="Times New Roman" w:cs="Times New Roman"/>
      <w:sz w:val="24"/>
      <w:szCs w:val="24"/>
      <w:lang w:val="en-CA" w:eastAsia="en-CA"/>
    </w:rPr>
  </w:style>
  <w:style w:type="paragraph" w:customStyle="1" w:styleId="CharCharChar2Char">
    <w:name w:val="Char Char Char2 Char"/>
    <w:basedOn w:val="Normal"/>
    <w:uiPriority w:val="99"/>
    <w:rsid w:val="009C0D93"/>
    <w:pPr>
      <w:tabs>
        <w:tab w:val="left" w:pos="709"/>
      </w:tabs>
      <w:spacing w:after="0" w:line="240" w:lineRule="auto"/>
      <w:jc w:val="both"/>
    </w:pPr>
    <w:rPr>
      <w:rFonts w:ascii="Tahoma" w:eastAsia="Times New Roman" w:hAnsi="Tahoma" w:cs="Times New Roman"/>
      <w:sz w:val="24"/>
      <w:szCs w:val="24"/>
      <w:lang w:val="pl-PL" w:eastAsia="pl-PL"/>
    </w:rPr>
  </w:style>
  <w:style w:type="paragraph" w:customStyle="1" w:styleId="entry-title">
    <w:name w:val="entry-title"/>
    <w:basedOn w:val="Normal"/>
    <w:uiPriority w:val="99"/>
    <w:rsid w:val="009C0D93"/>
    <w:pPr>
      <w:spacing w:before="100" w:beforeAutospacing="1" w:after="100" w:afterAutospacing="1" w:line="240" w:lineRule="auto"/>
      <w:jc w:val="both"/>
    </w:pPr>
    <w:rPr>
      <w:rFonts w:ascii="Times New Roman" w:eastAsia="Times New Roman" w:hAnsi="Times New Roman" w:cs="Times New Roman"/>
      <w:sz w:val="24"/>
      <w:szCs w:val="24"/>
      <w:lang w:val="en-CA" w:eastAsia="en-CA"/>
    </w:rPr>
  </w:style>
  <w:style w:type="character" w:customStyle="1" w:styleId="apple-converted-space">
    <w:name w:val="apple-converted-space"/>
    <w:uiPriority w:val="99"/>
    <w:rsid w:val="009C0D93"/>
  </w:style>
  <w:style w:type="character" w:customStyle="1" w:styleId="newdocreference">
    <w:name w:val="newdocreference"/>
    <w:uiPriority w:val="99"/>
    <w:rsid w:val="009C0D93"/>
  </w:style>
  <w:style w:type="character" w:customStyle="1" w:styleId="samedocreference">
    <w:name w:val="samedocreference"/>
    <w:uiPriority w:val="99"/>
    <w:rsid w:val="009C0D93"/>
  </w:style>
  <w:style w:type="table" w:customStyle="1" w:styleId="TableGrid3">
    <w:name w:val="Table Grid3"/>
    <w:basedOn w:val="TableNormal"/>
    <w:next w:val="TableGrid"/>
    <w:uiPriority w:val="59"/>
    <w:rsid w:val="009C0D9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99"/>
    <w:semiHidden/>
    <w:unhideWhenUsed/>
    <w:rsid w:val="009C0D9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pPr>
      <w:rPr>
        <w:rFonts w:ascii="Times New Roman" w:hAnsi="Times New Roman" w:cs="Times New Roman" w:hint="default"/>
        <w:b/>
        <w:bCs/>
        <w:color w:val="FFFFFF"/>
      </w:rPr>
      <w:tblPr/>
      <w:tcPr>
        <w:shd w:val="clear" w:color="auto" w:fill="4472C4"/>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top w:val="single" w:sz="8" w:space="0" w:color="4472C4"/>
          <w:left w:val="single" w:sz="8" w:space="0" w:color="4472C4"/>
          <w:bottom w:val="single" w:sz="8" w:space="0" w:color="4472C4"/>
          <w:right w:val="single" w:sz="8" w:space="0" w:color="4472C4"/>
        </w:tcBorders>
      </w:tcPr>
    </w:tblStylePr>
    <w:tblStylePr w:type="band1Horz">
      <w:rPr>
        <w:rFonts w:ascii="Times New Roman" w:hAnsi="Times New Roman" w:cs="Times New Roman" w:hint="default"/>
      </w:rPr>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51">
    <w:name w:val="Light Shading - Accent 51"/>
    <w:uiPriority w:val="99"/>
    <w:rsid w:val="009C0D93"/>
    <w:pPr>
      <w:spacing w:after="0" w:line="240" w:lineRule="auto"/>
    </w:pPr>
    <w:rPr>
      <w:rFonts w:ascii="Times New Roman" w:eastAsia="Times New Roman" w:hAnsi="Times New Roman" w:cs="Times New Roman"/>
      <w:color w:val="31849B"/>
      <w:sz w:val="20"/>
      <w:szCs w:val="20"/>
      <w:lang w:val="en-US"/>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List-Accent11">
    <w:name w:val="Light List - Accent 11"/>
    <w:uiPriority w:val="99"/>
    <w:rsid w:val="009C0D9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1">
    <w:name w:val="Light Grid - Accent 11"/>
    <w:uiPriority w:val="99"/>
    <w:rsid w:val="009C0D9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9C0D9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2-Accent11">
    <w:name w:val="Medium Shading 2 - Accent 11"/>
    <w:uiPriority w:val="99"/>
    <w:rsid w:val="009C0D9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eGrid11">
    <w:name w:val="Table Grid11"/>
    <w:uiPriority w:val="99"/>
    <w:rsid w:val="009C0D93"/>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2">
    <w:name w:val="Light Shading - Accent 52"/>
    <w:uiPriority w:val="99"/>
    <w:rsid w:val="009C0D93"/>
    <w:pPr>
      <w:spacing w:after="0" w:line="240" w:lineRule="auto"/>
    </w:pPr>
    <w:rPr>
      <w:rFonts w:ascii="Times New Roman" w:eastAsia="Times New Roman" w:hAnsi="Times New Roman" w:cs="Times New Roman"/>
      <w:color w:val="31849B"/>
      <w:sz w:val="20"/>
      <w:szCs w:val="20"/>
      <w:lang w:val="en-US"/>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List-Accent12">
    <w:name w:val="Light List - Accent 12"/>
    <w:uiPriority w:val="99"/>
    <w:rsid w:val="009C0D9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2">
    <w:name w:val="Light Grid - Accent 12"/>
    <w:uiPriority w:val="99"/>
    <w:rsid w:val="009C0D9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2">
    <w:name w:val="Medium Shading 1 - Accent 12"/>
    <w:uiPriority w:val="99"/>
    <w:rsid w:val="009C0D9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2-Accent12">
    <w:name w:val="Medium Shading 2 - Accent 12"/>
    <w:uiPriority w:val="99"/>
    <w:rsid w:val="009C0D9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77CE0"/>
  </w:style>
  <w:style w:type="table" w:customStyle="1" w:styleId="TableGrid4">
    <w:name w:val="Table Grid4"/>
    <w:basedOn w:val="TableNormal"/>
    <w:next w:val="TableGrid"/>
    <w:uiPriority w:val="99"/>
    <w:rsid w:val="00377CE0"/>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1">
    <w:name w:val="Light Shading - Accent 511"/>
    <w:uiPriority w:val="99"/>
    <w:rsid w:val="00377CE0"/>
    <w:pPr>
      <w:spacing w:after="0" w:line="240" w:lineRule="auto"/>
    </w:pPr>
    <w:rPr>
      <w:rFonts w:ascii="Times New Roman" w:eastAsia="Times New Roman" w:hAnsi="Times New Roman" w:cs="Times New Roman"/>
      <w:color w:val="31849B"/>
      <w:sz w:val="20"/>
      <w:szCs w:val="20"/>
      <w:lang w:val="bg-BG" w:eastAsia="bg-BG"/>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List-Accent111">
    <w:name w:val="Light List - Accent 111"/>
    <w:uiPriority w:val="99"/>
    <w:rsid w:val="00377CE0"/>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11">
    <w:name w:val="Light Grid - Accent 111"/>
    <w:uiPriority w:val="99"/>
    <w:rsid w:val="00377CE0"/>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11">
    <w:name w:val="Medium Shading 1 - Accent 111"/>
    <w:uiPriority w:val="99"/>
    <w:rsid w:val="00377CE0"/>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2-Accent111">
    <w:name w:val="Medium Shading 2 - Accent 111"/>
    <w:uiPriority w:val="99"/>
    <w:rsid w:val="00377CE0"/>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eGrid12">
    <w:name w:val="Table Grid12"/>
    <w:uiPriority w:val="99"/>
    <w:rsid w:val="00377CE0"/>
    <w:pPr>
      <w:spacing w:after="0" w:line="240" w:lineRule="auto"/>
    </w:pPr>
    <w:rPr>
      <w:rFonts w:ascii="Calibri" w:eastAsia="Times New Roman"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377CE0"/>
    <w:pPr>
      <w:spacing w:after="0" w:line="240" w:lineRule="auto"/>
    </w:pPr>
    <w:rPr>
      <w:rFonts w:ascii="Calibri" w:eastAsia="Times New Roman"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LightList-Accent5"/>
    <w:uiPriority w:val="99"/>
    <w:rsid w:val="00377CE0"/>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521">
    <w:name w:val="Light Shading - Accent 521"/>
    <w:uiPriority w:val="99"/>
    <w:rsid w:val="00377CE0"/>
    <w:pPr>
      <w:spacing w:after="0" w:line="240" w:lineRule="auto"/>
    </w:pPr>
    <w:rPr>
      <w:rFonts w:ascii="Times New Roman" w:eastAsia="Times New Roman" w:hAnsi="Times New Roman" w:cs="Times New Roman"/>
      <w:color w:val="31849B"/>
      <w:sz w:val="20"/>
      <w:szCs w:val="20"/>
      <w:lang w:val="bg-BG" w:eastAsia="bg-BG"/>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List-Accent121">
    <w:name w:val="Light List - Accent 121"/>
    <w:uiPriority w:val="99"/>
    <w:rsid w:val="00377CE0"/>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21">
    <w:name w:val="Light Grid - Accent 121"/>
    <w:uiPriority w:val="99"/>
    <w:rsid w:val="00377CE0"/>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21">
    <w:name w:val="Medium Shading 1 - Accent 121"/>
    <w:uiPriority w:val="99"/>
    <w:rsid w:val="00377CE0"/>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2-Accent121">
    <w:name w:val="Medium Shading 2 - Accent 121"/>
    <w:uiPriority w:val="99"/>
    <w:rsid w:val="00377CE0"/>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Style16ptJustified">
    <w:name w:val="Style 16 pt Justified"/>
    <w:basedOn w:val="Normal"/>
    <w:rsid w:val="00604EF9"/>
    <w:pPr>
      <w:widowControl w:val="0"/>
      <w:spacing w:after="0" w:line="240" w:lineRule="auto"/>
      <w:jc w:val="both"/>
    </w:pPr>
    <w:rPr>
      <w:rFonts w:ascii="Times New Roman" w:eastAsia="Times New Roman" w:hAnsi="Times New Roman" w:cs="Times New Roman"/>
      <w:sz w:val="32"/>
      <w:szCs w:val="20"/>
      <w:lang w:val="en-US" w:eastAsia="bg-BG"/>
    </w:rPr>
  </w:style>
  <w:style w:type="paragraph" w:styleId="BodyTextIndent2">
    <w:name w:val="Body Text Indent 2"/>
    <w:basedOn w:val="Normal"/>
    <w:link w:val="BodyTextIndent2Char"/>
    <w:rsid w:val="00604EF9"/>
    <w:pPr>
      <w:widowControl w:val="0"/>
      <w:overflowPunct w:val="0"/>
      <w:autoSpaceDE w:val="0"/>
      <w:autoSpaceDN w:val="0"/>
      <w:adjustRightInd w:val="0"/>
      <w:spacing w:after="120" w:line="480" w:lineRule="auto"/>
      <w:ind w:left="283"/>
      <w:textAlignment w:val="baseline"/>
    </w:pPr>
    <w:rPr>
      <w:rFonts w:ascii="Hebar" w:eastAsia="Times New Roman" w:hAnsi="Hebar" w:cs="Times New Roman"/>
      <w:sz w:val="24"/>
      <w:szCs w:val="20"/>
      <w:lang w:val="bg-BG"/>
    </w:rPr>
  </w:style>
  <w:style w:type="character" w:customStyle="1" w:styleId="BodyTextIndent2Char">
    <w:name w:val="Body Text Indent 2 Char"/>
    <w:basedOn w:val="DefaultParagraphFont"/>
    <w:link w:val="BodyTextIndent2"/>
    <w:rsid w:val="00604EF9"/>
    <w:rPr>
      <w:rFonts w:ascii="Hebar" w:eastAsia="Times New Roman" w:hAnsi="Hebar" w:cs="Times New Roman"/>
      <w:sz w:val="24"/>
      <w:szCs w:val="20"/>
      <w:lang w:val="bg-BG"/>
    </w:rPr>
  </w:style>
  <w:style w:type="paragraph" w:styleId="BlockText">
    <w:name w:val="Block Text"/>
    <w:basedOn w:val="Normal"/>
    <w:rsid w:val="00604EF9"/>
    <w:pPr>
      <w:overflowPunct w:val="0"/>
      <w:autoSpaceDE w:val="0"/>
      <w:autoSpaceDN w:val="0"/>
      <w:adjustRightInd w:val="0"/>
      <w:spacing w:after="0" w:line="240" w:lineRule="auto"/>
      <w:ind w:left="567" w:right="284" w:firstLine="720"/>
      <w:jc w:val="both"/>
      <w:textAlignment w:val="baseline"/>
    </w:pPr>
    <w:rPr>
      <w:rFonts w:ascii="Times New Roman" w:eastAsia="Times New Roman" w:hAnsi="Times New Roman" w:cs="Times New Roman"/>
      <w:color w:val="FF0000"/>
      <w:sz w:val="24"/>
      <w:szCs w:val="20"/>
      <w:lang w:val="bg-BG"/>
    </w:rPr>
  </w:style>
  <w:style w:type="paragraph" w:customStyle="1" w:styleId="StyleHeading1LeftLeft0cmHanging063cm">
    <w:name w:val="Style Heading 1 + Left Left:  0 cm Hanging:  063 cm"/>
    <w:basedOn w:val="Heading1"/>
    <w:rsid w:val="00604EF9"/>
    <w:pPr>
      <w:widowControl/>
      <w:numPr>
        <w:numId w:val="0"/>
      </w:numPr>
      <w:tabs>
        <w:tab w:val="num" w:pos="432"/>
      </w:tabs>
      <w:overflowPunct w:val="0"/>
      <w:autoSpaceDE w:val="0"/>
      <w:autoSpaceDN w:val="0"/>
      <w:adjustRightInd w:val="0"/>
      <w:spacing w:before="0" w:after="0"/>
      <w:ind w:left="357" w:hanging="357"/>
      <w:textAlignment w:val="baseline"/>
      <w:outlineLvl w:val="9"/>
    </w:pPr>
    <w:rPr>
      <w:rFonts w:eastAsia="Times New Roman" w:cs="Times New Roman"/>
      <w:bCs w:val="0"/>
      <w:sz w:val="28"/>
      <w:szCs w:val="20"/>
      <w:lang w:eastAsia="en-US" w:bidi="ar-SA"/>
    </w:rPr>
  </w:style>
  <w:style w:type="paragraph" w:customStyle="1" w:styleId="ChapterSubtitle">
    <w:name w:val="Chapter Subtitle"/>
    <w:basedOn w:val="Subtitle"/>
    <w:rsid w:val="00604EF9"/>
    <w:pPr>
      <w:widowControl/>
      <w:suppressLineNumbers/>
      <w:tabs>
        <w:tab w:val="left" w:pos="360"/>
      </w:tabs>
      <w:overflowPunct w:val="0"/>
      <w:autoSpaceDE w:val="0"/>
      <w:autoSpaceDN w:val="0"/>
      <w:adjustRightInd w:val="0"/>
      <w:spacing w:before="120"/>
      <w:textAlignment w:val="baseline"/>
    </w:pPr>
    <w:rPr>
      <w:rFonts w:eastAsia="Times New Roman" w:cs="Times New Roman"/>
      <w:b/>
      <w:spacing w:val="-16"/>
      <w:kern w:val="28"/>
      <w:sz w:val="32"/>
      <w:szCs w:val="20"/>
      <w:lang w:val="be-BY" w:eastAsia="en-US" w:bidi="ar-SA"/>
    </w:rPr>
  </w:style>
  <w:style w:type="paragraph" w:customStyle="1" w:styleId="bulleted1">
    <w:name w:val="bulleted1"/>
    <w:basedOn w:val="Normal"/>
    <w:rsid w:val="00604EF9"/>
    <w:pPr>
      <w:tabs>
        <w:tab w:val="left" w:pos="720"/>
      </w:tabs>
      <w:overflowPunct w:val="0"/>
      <w:autoSpaceDE w:val="0"/>
      <w:autoSpaceDN w:val="0"/>
      <w:adjustRightInd w:val="0"/>
      <w:spacing w:after="0" w:line="240" w:lineRule="auto"/>
      <w:ind w:left="720" w:hanging="363"/>
      <w:textAlignment w:val="baseline"/>
    </w:pPr>
    <w:rPr>
      <w:rFonts w:ascii="Times New Roman" w:eastAsia="Times New Roman" w:hAnsi="Times New Roman" w:cs="Times New Roman"/>
      <w:sz w:val="24"/>
      <w:szCs w:val="20"/>
      <w:lang w:val="bg-BG"/>
    </w:rPr>
  </w:style>
  <w:style w:type="paragraph" w:customStyle="1" w:styleId="Level1">
    <w:name w:val="Level 1"/>
    <w:rsid w:val="00604EF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before="100" w:after="100" w:line="240" w:lineRule="auto"/>
    </w:pPr>
    <w:rPr>
      <w:rFonts w:ascii="Arial" w:eastAsia="Times New Roman" w:hAnsi="Arial" w:cs="Arial"/>
      <w:lang w:val="en-US"/>
    </w:rPr>
  </w:style>
  <w:style w:type="paragraph" w:customStyle="1" w:styleId="Picture">
    <w:name w:val="Picture"/>
    <w:basedOn w:val="Normal"/>
    <w:next w:val="Caption"/>
    <w:rsid w:val="00604EF9"/>
    <w:pPr>
      <w:keepNext/>
      <w:suppressLineNumbers/>
      <w:tabs>
        <w:tab w:val="left" w:pos="360"/>
      </w:tabs>
      <w:spacing w:after="120" w:line="240" w:lineRule="auto"/>
      <w:ind w:firstLine="357"/>
      <w:jc w:val="both"/>
    </w:pPr>
    <w:rPr>
      <w:rFonts w:ascii="Times New Roman" w:eastAsia="Times New Roman" w:hAnsi="Times New Roman" w:cs="Times New Roman"/>
      <w:sz w:val="24"/>
      <w:szCs w:val="20"/>
      <w:lang w:val="en-US"/>
    </w:rPr>
  </w:style>
  <w:style w:type="paragraph" w:styleId="PlainText">
    <w:name w:val="Plain Text"/>
    <w:basedOn w:val="Normal"/>
    <w:link w:val="PlainTextChar"/>
    <w:rsid w:val="00604EF9"/>
    <w:pPr>
      <w:spacing w:after="0" w:line="320" w:lineRule="atLeast"/>
      <w:ind w:firstLine="720"/>
      <w:jc w:val="both"/>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604EF9"/>
    <w:rPr>
      <w:rFonts w:ascii="Courier New" w:eastAsia="Times New Roman" w:hAnsi="Courier New" w:cs="Times New Roman"/>
      <w:sz w:val="20"/>
      <w:szCs w:val="20"/>
      <w:lang w:val="en-US"/>
    </w:rPr>
  </w:style>
  <w:style w:type="paragraph" w:customStyle="1" w:styleId="Style">
    <w:name w:val="Style"/>
    <w:rsid w:val="00604EF9"/>
    <w:pPr>
      <w:spacing w:after="0" w:line="240" w:lineRule="auto"/>
      <w:ind w:left="140" w:right="140" w:firstLine="840"/>
      <w:jc w:val="both"/>
    </w:pPr>
    <w:rPr>
      <w:rFonts w:ascii="Times New Roman" w:eastAsia="Times New Roman" w:hAnsi="Times New Roman" w:cs="Times New Roman"/>
      <w:snapToGrid w:val="0"/>
      <w:sz w:val="24"/>
      <w:szCs w:val="20"/>
      <w:lang w:val="en-AU"/>
    </w:rPr>
  </w:style>
  <w:style w:type="paragraph" w:styleId="BodyText3">
    <w:name w:val="Body Text 3"/>
    <w:aliases w:val=" Char"/>
    <w:basedOn w:val="Normal"/>
    <w:link w:val="BodyText3Char"/>
    <w:rsid w:val="00604EF9"/>
    <w:pPr>
      <w:widowControl w:val="0"/>
      <w:spacing w:after="120" w:line="240" w:lineRule="auto"/>
    </w:pPr>
    <w:rPr>
      <w:rFonts w:ascii="Times New Roman" w:eastAsia="Times New Roman" w:hAnsi="Times New Roman" w:cs="Times New Roman"/>
      <w:sz w:val="16"/>
      <w:szCs w:val="16"/>
      <w:lang w:val="en-US" w:eastAsia="bg-BG"/>
    </w:rPr>
  </w:style>
  <w:style w:type="character" w:customStyle="1" w:styleId="BodyText3Char">
    <w:name w:val="Body Text 3 Char"/>
    <w:aliases w:val=" Char Char"/>
    <w:basedOn w:val="DefaultParagraphFont"/>
    <w:link w:val="BodyText3"/>
    <w:rsid w:val="00604EF9"/>
    <w:rPr>
      <w:rFonts w:ascii="Times New Roman" w:eastAsia="Times New Roman" w:hAnsi="Times New Roman" w:cs="Times New Roman"/>
      <w:sz w:val="16"/>
      <w:szCs w:val="16"/>
      <w:lang w:val="en-US" w:eastAsia="bg-BG"/>
    </w:rPr>
  </w:style>
  <w:style w:type="paragraph" w:customStyle="1" w:styleId="text">
    <w:name w:val="text"/>
    <w:basedOn w:val="Normal"/>
    <w:rsid w:val="00604EF9"/>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msiParagraph">
    <w:name w:val="msiParagraph"/>
    <w:basedOn w:val="Normal"/>
    <w:rsid w:val="00604EF9"/>
    <w:pPr>
      <w:spacing w:before="120" w:after="0" w:line="240" w:lineRule="auto"/>
    </w:pPr>
    <w:rPr>
      <w:rFonts w:ascii="Times New Roman" w:eastAsia="Times New Roman" w:hAnsi="Times New Roman" w:cs="Times New Roman"/>
      <w:sz w:val="24"/>
      <w:szCs w:val="20"/>
      <w:lang w:val="en-US"/>
    </w:rPr>
  </w:style>
  <w:style w:type="paragraph" w:customStyle="1" w:styleId="header1">
    <w:name w:val="header1"/>
    <w:basedOn w:val="Normal"/>
    <w:rsid w:val="00604EF9"/>
    <w:pPr>
      <w:spacing w:before="100" w:beforeAutospacing="1" w:after="100" w:afterAutospacing="1" w:line="240" w:lineRule="auto"/>
    </w:pPr>
    <w:rPr>
      <w:rFonts w:ascii="Arial" w:eastAsia="Times New Roman" w:hAnsi="Arial" w:cs="Arial"/>
      <w:b/>
      <w:bCs/>
      <w:color w:val="003399"/>
      <w:sz w:val="32"/>
      <w:szCs w:val="32"/>
      <w:lang w:val="en-US"/>
    </w:rPr>
  </w:style>
  <w:style w:type="paragraph" w:customStyle="1" w:styleId="FR2">
    <w:name w:val="FR2"/>
    <w:rsid w:val="00604EF9"/>
    <w:pPr>
      <w:widowControl w:val="0"/>
      <w:spacing w:before="1120" w:after="0" w:line="420" w:lineRule="auto"/>
      <w:ind w:right="600"/>
      <w:jc w:val="right"/>
    </w:pPr>
    <w:rPr>
      <w:rFonts w:ascii="Arial" w:eastAsia="Times New Roman" w:hAnsi="Arial" w:cs="Times New Roman"/>
      <w:snapToGrid w:val="0"/>
      <w:sz w:val="32"/>
      <w:szCs w:val="20"/>
      <w:lang w:val="bg-BG"/>
    </w:rPr>
  </w:style>
  <w:style w:type="paragraph" w:styleId="ListContinue2">
    <w:name w:val="List Continue 2"/>
    <w:basedOn w:val="Normal"/>
    <w:rsid w:val="00604EF9"/>
    <w:pPr>
      <w:widowControl w:val="0"/>
      <w:spacing w:after="120" w:line="240" w:lineRule="auto"/>
      <w:ind w:left="566"/>
    </w:pPr>
    <w:rPr>
      <w:rFonts w:ascii="Times New Roman" w:eastAsia="Times New Roman" w:hAnsi="Times New Roman" w:cs="Times New Roman"/>
      <w:sz w:val="20"/>
      <w:szCs w:val="20"/>
      <w:lang w:val="en-AU" w:eastAsia="bg-BG"/>
    </w:rPr>
  </w:style>
  <w:style w:type="paragraph" w:customStyle="1" w:styleId="article">
    <w:name w:val="article"/>
    <w:basedOn w:val="Normal"/>
    <w:rsid w:val="00604EF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romb">
    <w:name w:val="romb"/>
    <w:basedOn w:val="Normal"/>
    <w:rsid w:val="00604EF9"/>
    <w:pPr>
      <w:numPr>
        <w:ilvl w:val="2"/>
        <w:numId w:val="14"/>
      </w:numPr>
      <w:spacing w:before="240" w:after="120" w:line="240" w:lineRule="auto"/>
      <w:jc w:val="both"/>
    </w:pPr>
    <w:rPr>
      <w:rFonts w:ascii="Times New Roman" w:eastAsia="PMingLiU" w:hAnsi="Times New Roman" w:cs="Times New Roman"/>
      <w:sz w:val="24"/>
      <w:szCs w:val="24"/>
      <w:lang w:val="bg-BG" w:eastAsia="zh-TW"/>
    </w:rPr>
  </w:style>
  <w:style w:type="paragraph" w:customStyle="1" w:styleId="11">
    <w:name w:val="Заглавие1"/>
    <w:basedOn w:val="Normal"/>
    <w:uiPriority w:val="99"/>
    <w:rsid w:val="00604EF9"/>
    <w:pPr>
      <w:spacing w:before="100" w:beforeAutospacing="1" w:after="100" w:afterAutospacing="1" w:line="240" w:lineRule="auto"/>
    </w:pPr>
    <w:rPr>
      <w:rFonts w:ascii="Calibri" w:eastAsia="Calibri" w:hAnsi="Calibri" w:cs="Times New Roman"/>
      <w:sz w:val="24"/>
      <w:szCs w:val="24"/>
      <w:lang w:val="bg-BG" w:eastAsia="bg-BG"/>
    </w:rPr>
  </w:style>
  <w:style w:type="character" w:customStyle="1" w:styleId="BalloonTextChar1">
    <w:name w:val="Balloon Text Char1"/>
    <w:uiPriority w:val="99"/>
    <w:rsid w:val="00604EF9"/>
    <w:rPr>
      <w:rFonts w:ascii="Tahoma" w:eastAsia="MS Mincho" w:hAnsi="Tahoma" w:cs="Tahoma"/>
      <w:sz w:val="16"/>
      <w:szCs w:val="16"/>
      <w:lang w:val="bg-BG"/>
    </w:rPr>
  </w:style>
  <w:style w:type="character" w:customStyle="1" w:styleId="HeaderChar1">
    <w:name w:val="Header Char1"/>
    <w:uiPriority w:val="99"/>
    <w:rsid w:val="00604EF9"/>
    <w:rPr>
      <w:sz w:val="28"/>
      <w:lang w:val="en-GB"/>
    </w:rPr>
  </w:style>
  <w:style w:type="character" w:customStyle="1" w:styleId="FooterChar1">
    <w:name w:val="Footer Char1"/>
    <w:uiPriority w:val="99"/>
    <w:rsid w:val="00604EF9"/>
    <w:rPr>
      <w:rFonts w:ascii="Domkrat" w:hAnsi="Domkrat"/>
      <w:sz w:val="28"/>
    </w:rPr>
  </w:style>
  <w:style w:type="numbering" w:customStyle="1" w:styleId="12">
    <w:name w:val="Без списък1"/>
    <w:next w:val="NoList"/>
    <w:uiPriority w:val="99"/>
    <w:semiHidden/>
    <w:unhideWhenUsed/>
    <w:rsid w:val="00604EF9"/>
  </w:style>
  <w:style w:type="paragraph" w:customStyle="1" w:styleId="ListParagraph1">
    <w:name w:val="List Paragraph1"/>
    <w:basedOn w:val="Normal"/>
    <w:next w:val="ListParagraph"/>
    <w:uiPriority w:val="34"/>
    <w:qFormat/>
    <w:rsid w:val="00604EF9"/>
    <w:pPr>
      <w:ind w:left="720"/>
      <w:contextualSpacing/>
    </w:pPr>
    <w:rPr>
      <w:rFonts w:ascii="Calibri" w:eastAsia="Calibri" w:hAnsi="Calibri" w:cs="Times New Roman"/>
      <w:lang w:val="bg-BG"/>
    </w:rPr>
  </w:style>
  <w:style w:type="paragraph" w:customStyle="1" w:styleId="BalloonText1">
    <w:name w:val="Balloon Text1"/>
    <w:basedOn w:val="Normal"/>
    <w:next w:val="BalloonText"/>
    <w:uiPriority w:val="99"/>
    <w:semiHidden/>
    <w:unhideWhenUsed/>
    <w:rsid w:val="00604EF9"/>
    <w:pPr>
      <w:spacing w:after="0" w:line="240" w:lineRule="auto"/>
    </w:pPr>
    <w:rPr>
      <w:rFonts w:ascii="Segoe UI" w:eastAsia="Times New Roman" w:hAnsi="Segoe UI" w:cs="Segoe UI"/>
      <w:sz w:val="18"/>
      <w:szCs w:val="18"/>
      <w:lang w:val="en-US" w:eastAsia="bg-BG"/>
    </w:rPr>
  </w:style>
  <w:style w:type="paragraph" w:customStyle="1" w:styleId="Header10">
    <w:name w:val="Header1"/>
    <w:basedOn w:val="Normal"/>
    <w:next w:val="Header"/>
    <w:uiPriority w:val="99"/>
    <w:unhideWhenUsed/>
    <w:rsid w:val="00604EF9"/>
    <w:pPr>
      <w:tabs>
        <w:tab w:val="center" w:pos="4536"/>
        <w:tab w:val="right" w:pos="9072"/>
      </w:tabs>
      <w:spacing w:after="0" w:line="240" w:lineRule="auto"/>
    </w:pPr>
    <w:rPr>
      <w:rFonts w:ascii="Times New Roman" w:eastAsia="Times New Roman" w:hAnsi="Times New Roman" w:cs="Times New Roman"/>
      <w:sz w:val="24"/>
      <w:szCs w:val="20"/>
      <w:lang w:val="en-US" w:eastAsia="bg-BG"/>
    </w:rPr>
  </w:style>
  <w:style w:type="paragraph" w:customStyle="1" w:styleId="Footer1">
    <w:name w:val="Footer1"/>
    <w:basedOn w:val="Normal"/>
    <w:next w:val="Footer"/>
    <w:uiPriority w:val="99"/>
    <w:unhideWhenUsed/>
    <w:rsid w:val="00604EF9"/>
    <w:pPr>
      <w:tabs>
        <w:tab w:val="center" w:pos="4536"/>
        <w:tab w:val="right" w:pos="9072"/>
      </w:tabs>
      <w:spacing w:after="0" w:line="240" w:lineRule="auto"/>
    </w:pPr>
    <w:rPr>
      <w:rFonts w:ascii="Times New Roman" w:eastAsia="Times New Roman" w:hAnsi="Times New Roman" w:cs="Times New Roman"/>
      <w:sz w:val="24"/>
      <w:szCs w:val="20"/>
      <w:lang w:val="en-US" w:eastAsia="bg-BG"/>
    </w:rPr>
  </w:style>
  <w:style w:type="character" w:customStyle="1" w:styleId="UnresolvedMention4">
    <w:name w:val="Unresolved Mention4"/>
    <w:basedOn w:val="DefaultParagraphFont"/>
    <w:uiPriority w:val="99"/>
    <w:semiHidden/>
    <w:unhideWhenUsed/>
    <w:rsid w:val="00306F51"/>
    <w:rPr>
      <w:color w:val="605E5C"/>
      <w:shd w:val="clear" w:color="auto" w:fill="E1DFDD"/>
    </w:rPr>
  </w:style>
  <w:style w:type="numbering" w:customStyle="1" w:styleId="NoList5">
    <w:name w:val="No List5"/>
    <w:next w:val="NoList"/>
    <w:uiPriority w:val="99"/>
    <w:semiHidden/>
    <w:unhideWhenUsed/>
    <w:rsid w:val="00725023"/>
  </w:style>
  <w:style w:type="numbering" w:customStyle="1" w:styleId="WW8Num71">
    <w:name w:val="WW8Num71"/>
    <w:qFormat/>
    <w:rsid w:val="00725023"/>
  </w:style>
  <w:style w:type="table" w:customStyle="1" w:styleId="TableGrid5">
    <w:name w:val="Table Grid5"/>
    <w:basedOn w:val="TableNormal"/>
    <w:next w:val="TableGrid"/>
    <w:uiPriority w:val="59"/>
    <w:rsid w:val="00725023"/>
    <w:pPr>
      <w:spacing w:after="0" w:line="240" w:lineRule="auto"/>
    </w:pPr>
    <w:rPr>
      <w:rFonts w:eastAsiaTheme="minorEastAsia"/>
      <w:sz w:val="21"/>
      <w:szCs w:val="21"/>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25023"/>
  </w:style>
  <w:style w:type="table" w:customStyle="1" w:styleId="TableGrid13">
    <w:name w:val="Table Grid13"/>
    <w:basedOn w:val="TableNormal"/>
    <w:next w:val="TableGrid"/>
    <w:uiPriority w:val="59"/>
    <w:rsid w:val="0072502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725023"/>
  </w:style>
  <w:style w:type="table" w:customStyle="1" w:styleId="TableGrid21">
    <w:name w:val="Table Grid21"/>
    <w:basedOn w:val="TableNormal"/>
    <w:next w:val="TableGrid"/>
    <w:uiPriority w:val="59"/>
    <w:rsid w:val="0072502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NUTRVIT1">
    <w:name w:val="Table Style1 NUTR&amp;VIT1"/>
    <w:basedOn w:val="TableNormal"/>
    <w:locked/>
    <w:rsid w:val="00725023"/>
    <w:pPr>
      <w:spacing w:before="40" w:after="40" w:line="240" w:lineRule="auto"/>
    </w:pPr>
    <w:rPr>
      <w:rFonts w:ascii="Tahoma" w:eastAsia="Times New Roman" w:hAnsi="Tahoma" w:cs="Times New Roman"/>
      <w:sz w:val="20"/>
      <w:szCs w:val="20"/>
      <w:lang w:val="en-US"/>
    </w:rPr>
    <w:tblPr>
      <w:tblStyleRowBandSize w:val="1"/>
      <w:jc w:val="center"/>
    </w:tblPr>
    <w:trPr>
      <w:cantSplit/>
      <w:jc w:val="center"/>
    </w:trPr>
    <w:tblStylePr w:type="firstRow">
      <w:rPr>
        <w:b/>
      </w:rPr>
      <w:tblPr/>
      <w:trPr>
        <w:cantSplit/>
        <w:tblHeader/>
      </w:trPr>
      <w:tcPr>
        <w:tcBorders>
          <w:top w:val="nil"/>
          <w:left w:val="nil"/>
          <w:bottom w:val="nil"/>
          <w:right w:val="nil"/>
          <w:insideH w:val="nil"/>
          <w:insideV w:val="nil"/>
          <w:tl2br w:val="nil"/>
          <w:tr2bl w:val="nil"/>
        </w:tcBorders>
        <w:shd w:val="solid" w:color="008080" w:fill="auto"/>
      </w:tcPr>
    </w:tblStylePr>
    <w:tblStylePr w:type="band2Horz">
      <w:tblPr/>
      <w:tcPr>
        <w:tcBorders>
          <w:top w:val="nil"/>
          <w:left w:val="nil"/>
          <w:bottom w:val="nil"/>
          <w:right w:val="nil"/>
          <w:insideH w:val="nil"/>
          <w:insideV w:val="nil"/>
          <w:tl2br w:val="nil"/>
          <w:tr2bl w:val="nil"/>
        </w:tcBorders>
        <w:shd w:val="pct25" w:color="008080" w:fill="auto"/>
      </w:tcPr>
    </w:tblStylePr>
  </w:style>
  <w:style w:type="numbering" w:customStyle="1" w:styleId="NoList31">
    <w:name w:val="No List31"/>
    <w:next w:val="NoList"/>
    <w:uiPriority w:val="99"/>
    <w:semiHidden/>
    <w:unhideWhenUsed/>
    <w:rsid w:val="00725023"/>
  </w:style>
  <w:style w:type="table" w:customStyle="1" w:styleId="TableGrid31">
    <w:name w:val="Table Grid31"/>
    <w:basedOn w:val="TableNormal"/>
    <w:next w:val="TableGrid"/>
    <w:uiPriority w:val="59"/>
    <w:rsid w:val="0072502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99"/>
    <w:semiHidden/>
    <w:unhideWhenUsed/>
    <w:rsid w:val="0072502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pPr>
      <w:rPr>
        <w:rFonts w:ascii="Times New Roman" w:hAnsi="Times New Roman" w:cs="Times New Roman" w:hint="default"/>
        <w:b/>
        <w:bCs/>
        <w:color w:val="FFFFFF"/>
      </w:rPr>
      <w:tblPr/>
      <w:tcPr>
        <w:shd w:val="clear" w:color="auto" w:fill="4472C4"/>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top w:val="single" w:sz="8" w:space="0" w:color="4472C4"/>
          <w:left w:val="single" w:sz="8" w:space="0" w:color="4472C4"/>
          <w:bottom w:val="single" w:sz="8" w:space="0" w:color="4472C4"/>
          <w:right w:val="single" w:sz="8" w:space="0" w:color="4472C4"/>
        </w:tcBorders>
      </w:tcPr>
    </w:tblStylePr>
    <w:tblStylePr w:type="band1Horz">
      <w:rPr>
        <w:rFonts w:ascii="Times New Roman" w:hAnsi="Times New Roman" w:cs="Times New Roman" w:hint="default"/>
      </w:rPr>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512">
    <w:name w:val="Light Shading - Accent 512"/>
    <w:uiPriority w:val="99"/>
    <w:rsid w:val="00725023"/>
    <w:pPr>
      <w:spacing w:after="0" w:line="240" w:lineRule="auto"/>
    </w:pPr>
    <w:rPr>
      <w:rFonts w:ascii="Times New Roman" w:eastAsia="Times New Roman" w:hAnsi="Times New Roman" w:cs="Times New Roman"/>
      <w:color w:val="31849B"/>
      <w:sz w:val="20"/>
      <w:szCs w:val="20"/>
      <w:lang w:val="en-US"/>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List-Accent112">
    <w:name w:val="Light List - Accent 112"/>
    <w:uiPriority w:val="99"/>
    <w:rsid w:val="0072502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12">
    <w:name w:val="Light Grid - Accent 112"/>
    <w:uiPriority w:val="99"/>
    <w:rsid w:val="0072502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12">
    <w:name w:val="Medium Shading 1 - Accent 112"/>
    <w:uiPriority w:val="99"/>
    <w:rsid w:val="0072502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2-Accent112">
    <w:name w:val="Medium Shading 2 - Accent 112"/>
    <w:uiPriority w:val="99"/>
    <w:rsid w:val="0072502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eGrid112">
    <w:name w:val="Table Grid112"/>
    <w:uiPriority w:val="99"/>
    <w:rsid w:val="00725023"/>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22">
    <w:name w:val="Light Shading - Accent 522"/>
    <w:uiPriority w:val="99"/>
    <w:rsid w:val="00725023"/>
    <w:pPr>
      <w:spacing w:after="0" w:line="240" w:lineRule="auto"/>
    </w:pPr>
    <w:rPr>
      <w:rFonts w:ascii="Times New Roman" w:eastAsia="Times New Roman" w:hAnsi="Times New Roman" w:cs="Times New Roman"/>
      <w:color w:val="31849B"/>
      <w:sz w:val="20"/>
      <w:szCs w:val="20"/>
      <w:lang w:val="en-US"/>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List-Accent122">
    <w:name w:val="Light List - Accent 122"/>
    <w:uiPriority w:val="99"/>
    <w:rsid w:val="0072502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22">
    <w:name w:val="Light Grid - Accent 122"/>
    <w:uiPriority w:val="99"/>
    <w:rsid w:val="0072502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22">
    <w:name w:val="Medium Shading 1 - Accent 122"/>
    <w:uiPriority w:val="99"/>
    <w:rsid w:val="0072502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2-Accent122">
    <w:name w:val="Medium Shading 2 - Accent 122"/>
    <w:uiPriority w:val="99"/>
    <w:rsid w:val="0072502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725023"/>
  </w:style>
  <w:style w:type="table" w:customStyle="1" w:styleId="TableGrid41">
    <w:name w:val="Table Grid41"/>
    <w:basedOn w:val="TableNormal"/>
    <w:next w:val="TableGrid"/>
    <w:uiPriority w:val="99"/>
    <w:rsid w:val="00725023"/>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11">
    <w:name w:val="Light Shading - Accent 5111"/>
    <w:uiPriority w:val="99"/>
    <w:rsid w:val="00725023"/>
    <w:pPr>
      <w:spacing w:after="0" w:line="240" w:lineRule="auto"/>
    </w:pPr>
    <w:rPr>
      <w:rFonts w:ascii="Times New Roman" w:eastAsia="Times New Roman" w:hAnsi="Times New Roman" w:cs="Times New Roman"/>
      <w:color w:val="31849B"/>
      <w:sz w:val="20"/>
      <w:szCs w:val="20"/>
      <w:lang w:val="bg-BG" w:eastAsia="bg-BG"/>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List-Accent1111">
    <w:name w:val="Light List - Accent 1111"/>
    <w:uiPriority w:val="99"/>
    <w:rsid w:val="00725023"/>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111">
    <w:name w:val="Light Grid - Accent 1111"/>
    <w:uiPriority w:val="99"/>
    <w:rsid w:val="00725023"/>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111">
    <w:name w:val="Medium Shading 1 - Accent 1111"/>
    <w:uiPriority w:val="99"/>
    <w:rsid w:val="00725023"/>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2-Accent1111">
    <w:name w:val="Medium Shading 2 - Accent 1111"/>
    <w:uiPriority w:val="99"/>
    <w:rsid w:val="00725023"/>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eGrid121">
    <w:name w:val="Table Grid121"/>
    <w:uiPriority w:val="99"/>
    <w:rsid w:val="00725023"/>
    <w:pPr>
      <w:spacing w:after="0" w:line="240" w:lineRule="auto"/>
    </w:pPr>
    <w:rPr>
      <w:rFonts w:ascii="Calibri" w:eastAsia="Times New Roman"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uiPriority w:val="99"/>
    <w:rsid w:val="00725023"/>
    <w:pPr>
      <w:spacing w:after="0" w:line="240" w:lineRule="auto"/>
    </w:pPr>
    <w:rPr>
      <w:rFonts w:ascii="Calibri" w:eastAsia="Times New Roman"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1">
    <w:name w:val="Light List - Accent 511"/>
    <w:basedOn w:val="TableNormal"/>
    <w:next w:val="LightList-Accent5"/>
    <w:uiPriority w:val="99"/>
    <w:locked/>
    <w:rsid w:val="00725023"/>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5211">
    <w:name w:val="Light Shading - Accent 5211"/>
    <w:uiPriority w:val="99"/>
    <w:rsid w:val="00725023"/>
    <w:pPr>
      <w:spacing w:after="0" w:line="240" w:lineRule="auto"/>
    </w:pPr>
    <w:rPr>
      <w:rFonts w:ascii="Times New Roman" w:eastAsia="Times New Roman" w:hAnsi="Times New Roman" w:cs="Times New Roman"/>
      <w:color w:val="31849B"/>
      <w:sz w:val="20"/>
      <w:szCs w:val="20"/>
      <w:lang w:val="bg-BG" w:eastAsia="bg-BG"/>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List-Accent1211">
    <w:name w:val="Light List - Accent 1211"/>
    <w:uiPriority w:val="99"/>
    <w:rsid w:val="00725023"/>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211">
    <w:name w:val="Light Grid - Accent 1211"/>
    <w:uiPriority w:val="99"/>
    <w:rsid w:val="00725023"/>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211">
    <w:name w:val="Medium Shading 1 - Accent 1211"/>
    <w:uiPriority w:val="99"/>
    <w:rsid w:val="00725023"/>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2-Accent1211">
    <w:name w:val="Medium Shading 2 - Accent 1211"/>
    <w:uiPriority w:val="99"/>
    <w:rsid w:val="00725023"/>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numbering" w:customStyle="1" w:styleId="110">
    <w:name w:val="Без списък11"/>
    <w:next w:val="NoList"/>
    <w:uiPriority w:val="99"/>
    <w:semiHidden/>
    <w:unhideWhenUsed/>
    <w:rsid w:val="00725023"/>
  </w:style>
  <w:style w:type="character" w:customStyle="1" w:styleId="UnresolvedMention5">
    <w:name w:val="Unresolved Mention5"/>
    <w:basedOn w:val="DefaultParagraphFont"/>
    <w:uiPriority w:val="99"/>
    <w:semiHidden/>
    <w:unhideWhenUsed/>
    <w:rsid w:val="0094579C"/>
    <w:rPr>
      <w:color w:val="605E5C"/>
      <w:shd w:val="clear" w:color="auto" w:fill="E1DFDD"/>
    </w:rPr>
  </w:style>
  <w:style w:type="table" w:customStyle="1" w:styleId="TableGrid6">
    <w:name w:val="Table Grid6"/>
    <w:basedOn w:val="TableNormal"/>
    <w:next w:val="TableGrid"/>
    <w:uiPriority w:val="39"/>
    <w:rsid w:val="00155C52"/>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442579"/>
  </w:style>
  <w:style w:type="table" w:customStyle="1" w:styleId="TableGrid7">
    <w:name w:val="Table Grid7"/>
    <w:basedOn w:val="TableNormal"/>
    <w:next w:val="TableGrid"/>
    <w:uiPriority w:val="99"/>
    <w:rsid w:val="00442579"/>
    <w:pPr>
      <w:spacing w:after="0" w:line="240" w:lineRule="auto"/>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3">
    <w:name w:val="Light Shading - Accent 513"/>
    <w:uiPriority w:val="99"/>
    <w:rsid w:val="00442579"/>
    <w:pPr>
      <w:spacing w:after="0" w:line="240" w:lineRule="auto"/>
    </w:pPr>
    <w:rPr>
      <w:rFonts w:ascii="Times New Roman" w:eastAsia="Times New Roman" w:hAnsi="Times New Roman" w:cs="Times New Roman"/>
      <w:color w:val="31849B"/>
      <w:sz w:val="20"/>
      <w:szCs w:val="20"/>
      <w:lang w:val="bg-BG" w:eastAsia="bg-BG"/>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List-Accent113">
    <w:name w:val="Light List - Accent 113"/>
    <w:uiPriority w:val="99"/>
    <w:rsid w:val="00442579"/>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13">
    <w:name w:val="Light Grid - Accent 113"/>
    <w:uiPriority w:val="99"/>
    <w:rsid w:val="00442579"/>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13">
    <w:name w:val="Medium Shading 1 - Accent 113"/>
    <w:uiPriority w:val="99"/>
    <w:rsid w:val="00442579"/>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2-Accent113">
    <w:name w:val="Medium Shading 2 - Accent 113"/>
    <w:uiPriority w:val="99"/>
    <w:rsid w:val="00442579"/>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eGrid14">
    <w:name w:val="Table Grid14"/>
    <w:uiPriority w:val="99"/>
    <w:rsid w:val="00442579"/>
    <w:pPr>
      <w:spacing w:after="0" w:line="240" w:lineRule="auto"/>
    </w:pPr>
    <w:rPr>
      <w:rFonts w:ascii="Calibri" w:eastAsia="Times New Roman"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uiPriority w:val="99"/>
    <w:rsid w:val="00442579"/>
    <w:pPr>
      <w:spacing w:after="0" w:line="240" w:lineRule="auto"/>
    </w:pPr>
    <w:rPr>
      <w:rFonts w:ascii="Calibri" w:eastAsia="Times New Roman" w:hAnsi="Calibri" w:cs="Times New Roman"/>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3">
    <w:name w:val="Light List - Accent 53"/>
    <w:basedOn w:val="TableNormal"/>
    <w:next w:val="LightList-Accent5"/>
    <w:uiPriority w:val="99"/>
    <w:rsid w:val="00442579"/>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523">
    <w:name w:val="Light Shading - Accent 523"/>
    <w:uiPriority w:val="99"/>
    <w:rsid w:val="00442579"/>
    <w:pPr>
      <w:spacing w:after="0" w:line="240" w:lineRule="auto"/>
    </w:pPr>
    <w:rPr>
      <w:rFonts w:ascii="Times New Roman" w:eastAsia="Times New Roman" w:hAnsi="Times New Roman" w:cs="Times New Roman"/>
      <w:color w:val="31849B"/>
      <w:sz w:val="20"/>
      <w:szCs w:val="20"/>
      <w:lang w:val="bg-BG" w:eastAsia="bg-BG"/>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LightList-Accent123">
    <w:name w:val="Light List - Accent 123"/>
    <w:uiPriority w:val="99"/>
    <w:rsid w:val="00442579"/>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Grid-Accent123">
    <w:name w:val="Light Grid - Accent 123"/>
    <w:uiPriority w:val="99"/>
    <w:rsid w:val="00442579"/>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23">
    <w:name w:val="Medium Shading 1 - Accent 123"/>
    <w:uiPriority w:val="99"/>
    <w:rsid w:val="00442579"/>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2-Accent123">
    <w:name w:val="Medium Shading 2 - Accent 123"/>
    <w:uiPriority w:val="99"/>
    <w:rsid w:val="00442579"/>
    <w:pPr>
      <w:spacing w:after="0" w:line="240" w:lineRule="auto"/>
    </w:pPr>
    <w:rPr>
      <w:rFonts w:ascii="Times New Roman" w:eastAsia="Times New Roman" w:hAnsi="Times New Roman" w:cs="Times New Roman"/>
      <w:sz w:val="20"/>
      <w:szCs w:val="20"/>
      <w:lang w:val="bg-BG" w:eastAsia="bg-BG"/>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442579"/>
  </w:style>
  <w:style w:type="character" w:customStyle="1" w:styleId="UnresolvedMention6">
    <w:name w:val="Unresolved Mention6"/>
    <w:basedOn w:val="DefaultParagraphFont"/>
    <w:uiPriority w:val="99"/>
    <w:semiHidden/>
    <w:unhideWhenUsed/>
    <w:rsid w:val="00250A42"/>
    <w:rPr>
      <w:color w:val="605E5C"/>
      <w:shd w:val="clear" w:color="auto" w:fill="E1DFDD"/>
    </w:rPr>
  </w:style>
  <w:style w:type="character" w:customStyle="1" w:styleId="UnresolvedMention7">
    <w:name w:val="Unresolved Mention7"/>
    <w:basedOn w:val="DefaultParagraphFont"/>
    <w:uiPriority w:val="99"/>
    <w:semiHidden/>
    <w:unhideWhenUsed/>
    <w:rsid w:val="007023E9"/>
    <w:rPr>
      <w:color w:val="605E5C"/>
      <w:shd w:val="clear" w:color="auto" w:fill="E1DFDD"/>
    </w:rPr>
  </w:style>
  <w:style w:type="character" w:customStyle="1" w:styleId="UnresolvedMention8">
    <w:name w:val="Unresolved Mention8"/>
    <w:basedOn w:val="DefaultParagraphFont"/>
    <w:uiPriority w:val="99"/>
    <w:semiHidden/>
    <w:unhideWhenUsed/>
    <w:rsid w:val="00923F27"/>
    <w:rPr>
      <w:color w:val="605E5C"/>
      <w:shd w:val="clear" w:color="auto" w:fill="E1DFDD"/>
    </w:rPr>
  </w:style>
  <w:style w:type="character" w:customStyle="1" w:styleId="UnresolvedMention9">
    <w:name w:val="Unresolved Mention9"/>
    <w:basedOn w:val="DefaultParagraphFont"/>
    <w:uiPriority w:val="99"/>
    <w:semiHidden/>
    <w:unhideWhenUsed/>
    <w:rsid w:val="00CE784E"/>
    <w:rPr>
      <w:color w:val="605E5C"/>
      <w:shd w:val="clear" w:color="auto" w:fill="E1DFDD"/>
    </w:rPr>
  </w:style>
  <w:style w:type="character" w:customStyle="1" w:styleId="UnresolvedMention10">
    <w:name w:val="Unresolved Mention10"/>
    <w:basedOn w:val="DefaultParagraphFont"/>
    <w:uiPriority w:val="99"/>
    <w:semiHidden/>
    <w:unhideWhenUsed/>
    <w:rsid w:val="00B62269"/>
    <w:rPr>
      <w:color w:val="605E5C"/>
      <w:shd w:val="clear" w:color="auto" w:fill="E1DFDD"/>
    </w:rPr>
  </w:style>
  <w:style w:type="character" w:customStyle="1" w:styleId="UnresolvedMention11">
    <w:name w:val="Unresolved Mention11"/>
    <w:basedOn w:val="DefaultParagraphFont"/>
    <w:uiPriority w:val="99"/>
    <w:semiHidden/>
    <w:unhideWhenUsed/>
    <w:rsid w:val="00552C23"/>
    <w:rPr>
      <w:color w:val="605E5C"/>
      <w:shd w:val="clear" w:color="auto" w:fill="E1DFDD"/>
    </w:rPr>
  </w:style>
  <w:style w:type="character" w:customStyle="1" w:styleId="UnresolvedMention12">
    <w:name w:val="Unresolved Mention12"/>
    <w:basedOn w:val="DefaultParagraphFont"/>
    <w:uiPriority w:val="99"/>
    <w:semiHidden/>
    <w:unhideWhenUsed/>
    <w:rsid w:val="00220EA9"/>
    <w:rPr>
      <w:color w:val="605E5C"/>
      <w:shd w:val="clear" w:color="auto" w:fill="E1DFDD"/>
    </w:rPr>
  </w:style>
  <w:style w:type="character" w:customStyle="1" w:styleId="UnresolvedMention13">
    <w:name w:val="Unresolved Mention13"/>
    <w:basedOn w:val="DefaultParagraphFont"/>
    <w:uiPriority w:val="99"/>
    <w:semiHidden/>
    <w:unhideWhenUsed/>
    <w:rsid w:val="00FE47ED"/>
    <w:rPr>
      <w:color w:val="605E5C"/>
      <w:shd w:val="clear" w:color="auto" w:fill="E1DFDD"/>
    </w:rPr>
  </w:style>
  <w:style w:type="paragraph" w:customStyle="1" w:styleId="4">
    <w:name w:val="заглавие4"/>
    <w:basedOn w:val="Normal"/>
    <w:next w:val="Normal"/>
    <w:uiPriority w:val="99"/>
    <w:rsid w:val="00F36594"/>
    <w:pPr>
      <w:keepNext/>
      <w:keepLines/>
      <w:spacing w:before="120" w:after="0" w:line="360" w:lineRule="auto"/>
      <w:ind w:left="2492" w:hanging="648"/>
      <w:outlineLvl w:val="3"/>
    </w:pPr>
    <w:rPr>
      <w:rFonts w:ascii="Times New Roman" w:eastAsia="Calibri" w:hAnsi="Times New Roman" w:cs="Times New Roman"/>
      <w:b/>
      <w:bCs/>
      <w:sz w:val="24"/>
      <w:szCs w:val="24"/>
      <w:lang w:val="bg-BG"/>
    </w:rPr>
  </w:style>
  <w:style w:type="paragraph" w:customStyle="1" w:styleId="30">
    <w:name w:val="заглавие3"/>
    <w:basedOn w:val="Heading2"/>
    <w:uiPriority w:val="99"/>
    <w:rsid w:val="00F36594"/>
    <w:pPr>
      <w:keepLines/>
      <w:widowControl/>
      <w:numPr>
        <w:ilvl w:val="0"/>
        <w:numId w:val="0"/>
      </w:numPr>
      <w:spacing w:before="0" w:line="360" w:lineRule="atLeast"/>
      <w:ind w:left="646" w:hanging="504"/>
      <w:jc w:val="both"/>
    </w:pPr>
    <w:rPr>
      <w:rFonts w:eastAsia="Times New Roman" w:cs="Times New Roman"/>
      <w:sz w:val="24"/>
      <w:szCs w:val="24"/>
      <w:lang w:eastAsia="en-US" w:bidi="ar-SA"/>
    </w:rPr>
  </w:style>
  <w:style w:type="character" w:customStyle="1" w:styleId="UnresolvedMention14">
    <w:name w:val="Unresolved Mention14"/>
    <w:basedOn w:val="DefaultParagraphFont"/>
    <w:uiPriority w:val="99"/>
    <w:semiHidden/>
    <w:unhideWhenUsed/>
    <w:rsid w:val="00447F5C"/>
    <w:rPr>
      <w:color w:val="605E5C"/>
      <w:shd w:val="clear" w:color="auto" w:fill="E1DFDD"/>
    </w:rPr>
  </w:style>
  <w:style w:type="character" w:customStyle="1" w:styleId="Podrozdzia">
    <w:name w:val="Podrozdział"/>
    <w:aliases w:val="Footnote,Footnote71,Footnote81,Footnote91,single s Char"/>
    <w:locked/>
    <w:rsid w:val="00DF6C73"/>
    <w:rPr>
      <w:lang w:val="bg-BG" w:eastAsia="bg-BG" w:bidi="ar-SA"/>
    </w:rPr>
  </w:style>
  <w:style w:type="character" w:customStyle="1" w:styleId="UnresolvedMention15">
    <w:name w:val="Unresolved Mention15"/>
    <w:basedOn w:val="DefaultParagraphFont"/>
    <w:uiPriority w:val="99"/>
    <w:semiHidden/>
    <w:unhideWhenUsed/>
    <w:rsid w:val="004E3310"/>
    <w:rPr>
      <w:color w:val="605E5C"/>
      <w:shd w:val="clear" w:color="auto" w:fill="E1DFDD"/>
    </w:rPr>
  </w:style>
  <w:style w:type="character" w:customStyle="1" w:styleId="UnresolvedMention16">
    <w:name w:val="Unresolved Mention16"/>
    <w:basedOn w:val="DefaultParagraphFont"/>
    <w:uiPriority w:val="99"/>
    <w:semiHidden/>
    <w:unhideWhenUsed/>
    <w:rsid w:val="00873603"/>
    <w:rPr>
      <w:color w:val="605E5C"/>
      <w:shd w:val="clear" w:color="auto" w:fill="E1DFDD"/>
    </w:rPr>
  </w:style>
  <w:style w:type="character" w:customStyle="1" w:styleId="UnresolvedMention17">
    <w:name w:val="Unresolved Mention17"/>
    <w:basedOn w:val="DefaultParagraphFont"/>
    <w:uiPriority w:val="99"/>
    <w:semiHidden/>
    <w:unhideWhenUsed/>
    <w:rsid w:val="00DC4938"/>
    <w:rPr>
      <w:color w:val="605E5C"/>
      <w:shd w:val="clear" w:color="auto" w:fill="E1DFDD"/>
    </w:rPr>
  </w:style>
  <w:style w:type="character" w:customStyle="1" w:styleId="UnresolvedMention18">
    <w:name w:val="Unresolved Mention18"/>
    <w:basedOn w:val="DefaultParagraphFont"/>
    <w:uiPriority w:val="99"/>
    <w:semiHidden/>
    <w:unhideWhenUsed/>
    <w:rsid w:val="00EB3431"/>
    <w:rPr>
      <w:color w:val="605E5C"/>
      <w:shd w:val="clear" w:color="auto" w:fill="E1DFDD"/>
    </w:rPr>
  </w:style>
  <w:style w:type="character" w:customStyle="1" w:styleId="UnresolvedMention19">
    <w:name w:val="Unresolved Mention19"/>
    <w:basedOn w:val="DefaultParagraphFont"/>
    <w:uiPriority w:val="99"/>
    <w:semiHidden/>
    <w:unhideWhenUsed/>
    <w:rsid w:val="00E53F95"/>
    <w:rPr>
      <w:color w:val="605E5C"/>
      <w:shd w:val="clear" w:color="auto" w:fill="E1DFDD"/>
    </w:rPr>
  </w:style>
  <w:style w:type="character" w:customStyle="1" w:styleId="UnresolvedMention20">
    <w:name w:val="Unresolved Mention20"/>
    <w:basedOn w:val="DefaultParagraphFont"/>
    <w:uiPriority w:val="99"/>
    <w:semiHidden/>
    <w:unhideWhenUsed/>
    <w:rsid w:val="00794973"/>
    <w:rPr>
      <w:color w:val="605E5C"/>
      <w:shd w:val="clear" w:color="auto" w:fill="E1DFDD"/>
    </w:rPr>
  </w:style>
  <w:style w:type="character" w:customStyle="1" w:styleId="UnresolvedMention21">
    <w:name w:val="Unresolved Mention21"/>
    <w:basedOn w:val="DefaultParagraphFont"/>
    <w:uiPriority w:val="99"/>
    <w:semiHidden/>
    <w:unhideWhenUsed/>
    <w:rsid w:val="00954840"/>
    <w:rPr>
      <w:color w:val="605E5C"/>
      <w:shd w:val="clear" w:color="auto" w:fill="E1DFDD"/>
    </w:rPr>
  </w:style>
  <w:style w:type="character" w:customStyle="1" w:styleId="UnresolvedMention22">
    <w:name w:val="Unresolved Mention22"/>
    <w:basedOn w:val="DefaultParagraphFont"/>
    <w:uiPriority w:val="99"/>
    <w:semiHidden/>
    <w:unhideWhenUsed/>
    <w:rsid w:val="009A27CA"/>
    <w:rPr>
      <w:color w:val="605E5C"/>
      <w:shd w:val="clear" w:color="auto" w:fill="E1DFDD"/>
    </w:rPr>
  </w:style>
  <w:style w:type="character" w:customStyle="1" w:styleId="UnresolvedMention23">
    <w:name w:val="Unresolved Mention23"/>
    <w:basedOn w:val="DefaultParagraphFont"/>
    <w:uiPriority w:val="99"/>
    <w:semiHidden/>
    <w:unhideWhenUsed/>
    <w:rsid w:val="00962DE7"/>
    <w:rPr>
      <w:color w:val="605E5C"/>
      <w:shd w:val="clear" w:color="auto" w:fill="E1DFDD"/>
    </w:rPr>
  </w:style>
  <w:style w:type="character" w:customStyle="1" w:styleId="UnresolvedMention24">
    <w:name w:val="Unresolved Mention24"/>
    <w:basedOn w:val="DefaultParagraphFont"/>
    <w:uiPriority w:val="99"/>
    <w:semiHidden/>
    <w:unhideWhenUsed/>
    <w:rsid w:val="007763DD"/>
    <w:rPr>
      <w:color w:val="605E5C"/>
      <w:shd w:val="clear" w:color="auto" w:fill="E1DFDD"/>
    </w:rPr>
  </w:style>
  <w:style w:type="character" w:customStyle="1" w:styleId="UnresolvedMention25">
    <w:name w:val="Unresolved Mention25"/>
    <w:basedOn w:val="DefaultParagraphFont"/>
    <w:uiPriority w:val="99"/>
    <w:semiHidden/>
    <w:unhideWhenUsed/>
    <w:rsid w:val="00ED74EC"/>
    <w:rPr>
      <w:color w:val="605E5C"/>
      <w:shd w:val="clear" w:color="auto" w:fill="E1DFDD"/>
    </w:rPr>
  </w:style>
  <w:style w:type="character" w:customStyle="1" w:styleId="UnresolvedMention26">
    <w:name w:val="Unresolved Mention26"/>
    <w:basedOn w:val="DefaultParagraphFont"/>
    <w:uiPriority w:val="99"/>
    <w:semiHidden/>
    <w:unhideWhenUsed/>
    <w:rsid w:val="00566CC3"/>
    <w:rPr>
      <w:color w:val="605E5C"/>
      <w:shd w:val="clear" w:color="auto" w:fill="E1DFDD"/>
    </w:rPr>
  </w:style>
  <w:style w:type="character" w:customStyle="1" w:styleId="UnresolvedMention27">
    <w:name w:val="Unresolved Mention27"/>
    <w:basedOn w:val="DefaultParagraphFont"/>
    <w:uiPriority w:val="99"/>
    <w:semiHidden/>
    <w:unhideWhenUsed/>
    <w:rsid w:val="006F5FF5"/>
    <w:rPr>
      <w:color w:val="605E5C"/>
      <w:shd w:val="clear" w:color="auto" w:fill="E1DFDD"/>
    </w:rPr>
  </w:style>
  <w:style w:type="character" w:customStyle="1" w:styleId="UnresolvedMention28">
    <w:name w:val="Unresolved Mention28"/>
    <w:basedOn w:val="DefaultParagraphFont"/>
    <w:uiPriority w:val="99"/>
    <w:semiHidden/>
    <w:unhideWhenUsed/>
    <w:rsid w:val="009918C6"/>
    <w:rPr>
      <w:color w:val="605E5C"/>
      <w:shd w:val="clear" w:color="auto" w:fill="E1DFDD"/>
    </w:rPr>
  </w:style>
  <w:style w:type="character" w:customStyle="1" w:styleId="Bodytext2Italic">
    <w:name w:val="Body text (2) + Italic"/>
    <w:basedOn w:val="DefaultParagraphFont"/>
    <w:rsid w:val="001E1A48"/>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Bodytext20">
    <w:name w:val="Body text (2)_"/>
    <w:basedOn w:val="DefaultParagraphFont"/>
    <w:link w:val="Bodytext22"/>
    <w:rsid w:val="001773B3"/>
    <w:rPr>
      <w:rFonts w:ascii="Times New Roman" w:eastAsia="Times New Roman" w:hAnsi="Times New Roman" w:cs="Times New Roman"/>
      <w:shd w:val="clear" w:color="auto" w:fill="FFFFFF"/>
    </w:rPr>
  </w:style>
  <w:style w:type="paragraph" w:customStyle="1" w:styleId="Bodytext22">
    <w:name w:val="Body text (2)"/>
    <w:basedOn w:val="Normal"/>
    <w:link w:val="Bodytext20"/>
    <w:rsid w:val="001773B3"/>
    <w:pPr>
      <w:widowControl w:val="0"/>
      <w:shd w:val="clear" w:color="auto" w:fill="FFFFFF"/>
      <w:spacing w:before="360" w:after="480" w:line="315" w:lineRule="exact"/>
      <w:ind w:hanging="160"/>
      <w:jc w:val="both"/>
    </w:pPr>
    <w:rPr>
      <w:rFonts w:ascii="Times New Roman" w:eastAsia="Times New Roman" w:hAnsi="Times New Roman" w:cs="Times New Roman"/>
      <w:lang w:val="en-CA"/>
    </w:rPr>
  </w:style>
  <w:style w:type="character" w:customStyle="1" w:styleId="Bodytext2Constantia14ptItalicSpacing-1pt">
    <w:name w:val="Body text (2) + Constantia;14 pt;Italic;Spacing -1 pt"/>
    <w:basedOn w:val="Bodytext20"/>
    <w:rsid w:val="001E6492"/>
    <w:rPr>
      <w:rFonts w:ascii="Constantia" w:eastAsia="Constantia" w:hAnsi="Constantia" w:cs="Constantia"/>
      <w:b w:val="0"/>
      <w:bCs w:val="0"/>
      <w:i/>
      <w:iCs/>
      <w:smallCaps w:val="0"/>
      <w:strike w:val="0"/>
      <w:color w:val="000000"/>
      <w:spacing w:val="-30"/>
      <w:w w:val="100"/>
      <w:position w:val="0"/>
      <w:sz w:val="28"/>
      <w:szCs w:val="28"/>
      <w:u w:val="none"/>
      <w:shd w:val="clear" w:color="auto" w:fill="FFFFFF"/>
      <w:lang w:val="bg-BG" w:eastAsia="bg-BG" w:bidi="bg-BG"/>
    </w:rPr>
  </w:style>
  <w:style w:type="character" w:customStyle="1" w:styleId="Heading40">
    <w:name w:val="Heading #4_"/>
    <w:basedOn w:val="DefaultParagraphFont"/>
    <w:link w:val="Heading41"/>
    <w:rsid w:val="00A517CD"/>
    <w:rPr>
      <w:rFonts w:ascii="Times New Roman" w:eastAsia="Times New Roman" w:hAnsi="Times New Roman" w:cs="Times New Roman"/>
      <w:b/>
      <w:bCs/>
      <w:shd w:val="clear" w:color="auto" w:fill="FFFFFF"/>
    </w:rPr>
  </w:style>
  <w:style w:type="character" w:customStyle="1" w:styleId="Bodytext2Spacing1pt">
    <w:name w:val="Body text (2) + Spacing 1 pt"/>
    <w:basedOn w:val="Bodytext20"/>
    <w:rsid w:val="00A517CD"/>
    <w:rPr>
      <w:rFonts w:ascii="Times New Roman" w:eastAsia="Times New Roman" w:hAnsi="Times New Roman" w:cs="Times New Roman"/>
      <w:color w:val="000000"/>
      <w:spacing w:val="30"/>
      <w:w w:val="100"/>
      <w:position w:val="0"/>
      <w:sz w:val="24"/>
      <w:szCs w:val="24"/>
      <w:shd w:val="clear" w:color="auto" w:fill="FFFFFF"/>
      <w:lang w:val="bg-BG" w:eastAsia="bg-BG" w:bidi="bg-BG"/>
    </w:rPr>
  </w:style>
  <w:style w:type="paragraph" w:customStyle="1" w:styleId="Heading41">
    <w:name w:val="Heading #4"/>
    <w:basedOn w:val="Normal"/>
    <w:link w:val="Heading40"/>
    <w:rsid w:val="00A517CD"/>
    <w:pPr>
      <w:widowControl w:val="0"/>
      <w:shd w:val="clear" w:color="auto" w:fill="FFFFFF"/>
      <w:spacing w:before="360" w:after="360" w:line="0" w:lineRule="atLeast"/>
      <w:jc w:val="both"/>
      <w:outlineLvl w:val="3"/>
    </w:pPr>
    <w:rPr>
      <w:rFonts w:ascii="Times New Roman" w:eastAsia="Times New Roman" w:hAnsi="Times New Roman" w:cs="Times New Roman"/>
      <w:b/>
      <w:bCs/>
      <w:lang w:val="en-CA"/>
    </w:rPr>
  </w:style>
  <w:style w:type="character" w:customStyle="1" w:styleId="Bodytext2Bold">
    <w:name w:val="Body text (2) + Bold"/>
    <w:basedOn w:val="Bodytext20"/>
    <w:rsid w:val="00A517CD"/>
    <w:rPr>
      <w:rFonts w:ascii="Times New Roman" w:eastAsia="Times New Roman" w:hAnsi="Times New Roman" w:cs="Times New Roman"/>
      <w:b/>
      <w:bCs/>
      <w:color w:val="000000"/>
      <w:spacing w:val="0"/>
      <w:w w:val="100"/>
      <w:position w:val="0"/>
      <w:sz w:val="24"/>
      <w:szCs w:val="24"/>
      <w:shd w:val="clear" w:color="auto" w:fill="FFFFFF"/>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0500">
      <w:bodyDiv w:val="1"/>
      <w:marLeft w:val="0"/>
      <w:marRight w:val="0"/>
      <w:marTop w:val="0"/>
      <w:marBottom w:val="0"/>
      <w:divBdr>
        <w:top w:val="none" w:sz="0" w:space="0" w:color="auto"/>
        <w:left w:val="none" w:sz="0" w:space="0" w:color="auto"/>
        <w:bottom w:val="none" w:sz="0" w:space="0" w:color="auto"/>
        <w:right w:val="none" w:sz="0" w:space="0" w:color="auto"/>
      </w:divBdr>
    </w:div>
    <w:div w:id="137037277">
      <w:bodyDiv w:val="1"/>
      <w:marLeft w:val="0"/>
      <w:marRight w:val="0"/>
      <w:marTop w:val="0"/>
      <w:marBottom w:val="0"/>
      <w:divBdr>
        <w:top w:val="none" w:sz="0" w:space="0" w:color="auto"/>
        <w:left w:val="none" w:sz="0" w:space="0" w:color="auto"/>
        <w:bottom w:val="none" w:sz="0" w:space="0" w:color="auto"/>
        <w:right w:val="none" w:sz="0" w:space="0" w:color="auto"/>
      </w:divBdr>
    </w:div>
    <w:div w:id="141822181">
      <w:bodyDiv w:val="1"/>
      <w:marLeft w:val="0"/>
      <w:marRight w:val="0"/>
      <w:marTop w:val="0"/>
      <w:marBottom w:val="0"/>
      <w:divBdr>
        <w:top w:val="none" w:sz="0" w:space="0" w:color="auto"/>
        <w:left w:val="none" w:sz="0" w:space="0" w:color="auto"/>
        <w:bottom w:val="none" w:sz="0" w:space="0" w:color="auto"/>
        <w:right w:val="none" w:sz="0" w:space="0" w:color="auto"/>
      </w:divBdr>
    </w:div>
    <w:div w:id="167714312">
      <w:bodyDiv w:val="1"/>
      <w:marLeft w:val="0"/>
      <w:marRight w:val="0"/>
      <w:marTop w:val="0"/>
      <w:marBottom w:val="0"/>
      <w:divBdr>
        <w:top w:val="none" w:sz="0" w:space="0" w:color="auto"/>
        <w:left w:val="none" w:sz="0" w:space="0" w:color="auto"/>
        <w:bottom w:val="none" w:sz="0" w:space="0" w:color="auto"/>
        <w:right w:val="none" w:sz="0" w:space="0" w:color="auto"/>
      </w:divBdr>
      <w:divsChild>
        <w:div w:id="16199129">
          <w:marLeft w:val="0"/>
          <w:marRight w:val="0"/>
          <w:marTop w:val="0"/>
          <w:marBottom w:val="0"/>
          <w:divBdr>
            <w:top w:val="none" w:sz="0" w:space="0" w:color="auto"/>
            <w:left w:val="none" w:sz="0" w:space="0" w:color="auto"/>
            <w:bottom w:val="none" w:sz="0" w:space="0" w:color="auto"/>
            <w:right w:val="none" w:sz="0" w:space="0" w:color="auto"/>
          </w:divBdr>
        </w:div>
        <w:div w:id="103237297">
          <w:marLeft w:val="0"/>
          <w:marRight w:val="0"/>
          <w:marTop w:val="0"/>
          <w:marBottom w:val="0"/>
          <w:divBdr>
            <w:top w:val="none" w:sz="0" w:space="0" w:color="auto"/>
            <w:left w:val="none" w:sz="0" w:space="0" w:color="auto"/>
            <w:bottom w:val="none" w:sz="0" w:space="0" w:color="auto"/>
            <w:right w:val="none" w:sz="0" w:space="0" w:color="auto"/>
          </w:divBdr>
        </w:div>
        <w:div w:id="267735184">
          <w:marLeft w:val="0"/>
          <w:marRight w:val="0"/>
          <w:marTop w:val="0"/>
          <w:marBottom w:val="0"/>
          <w:divBdr>
            <w:top w:val="none" w:sz="0" w:space="0" w:color="auto"/>
            <w:left w:val="none" w:sz="0" w:space="0" w:color="auto"/>
            <w:bottom w:val="none" w:sz="0" w:space="0" w:color="auto"/>
            <w:right w:val="none" w:sz="0" w:space="0" w:color="auto"/>
          </w:divBdr>
        </w:div>
        <w:div w:id="736588114">
          <w:marLeft w:val="0"/>
          <w:marRight w:val="0"/>
          <w:marTop w:val="0"/>
          <w:marBottom w:val="0"/>
          <w:divBdr>
            <w:top w:val="none" w:sz="0" w:space="0" w:color="auto"/>
            <w:left w:val="none" w:sz="0" w:space="0" w:color="auto"/>
            <w:bottom w:val="none" w:sz="0" w:space="0" w:color="auto"/>
            <w:right w:val="none" w:sz="0" w:space="0" w:color="auto"/>
          </w:divBdr>
        </w:div>
        <w:div w:id="1467435384">
          <w:marLeft w:val="0"/>
          <w:marRight w:val="0"/>
          <w:marTop w:val="0"/>
          <w:marBottom w:val="0"/>
          <w:divBdr>
            <w:top w:val="none" w:sz="0" w:space="0" w:color="auto"/>
            <w:left w:val="none" w:sz="0" w:space="0" w:color="auto"/>
            <w:bottom w:val="none" w:sz="0" w:space="0" w:color="auto"/>
            <w:right w:val="none" w:sz="0" w:space="0" w:color="auto"/>
          </w:divBdr>
        </w:div>
      </w:divsChild>
    </w:div>
    <w:div w:id="209272617">
      <w:bodyDiv w:val="1"/>
      <w:marLeft w:val="0"/>
      <w:marRight w:val="0"/>
      <w:marTop w:val="0"/>
      <w:marBottom w:val="0"/>
      <w:divBdr>
        <w:top w:val="none" w:sz="0" w:space="0" w:color="auto"/>
        <w:left w:val="none" w:sz="0" w:space="0" w:color="auto"/>
        <w:bottom w:val="none" w:sz="0" w:space="0" w:color="auto"/>
        <w:right w:val="none" w:sz="0" w:space="0" w:color="auto"/>
      </w:divBdr>
    </w:div>
    <w:div w:id="216358578">
      <w:bodyDiv w:val="1"/>
      <w:marLeft w:val="0"/>
      <w:marRight w:val="0"/>
      <w:marTop w:val="0"/>
      <w:marBottom w:val="0"/>
      <w:divBdr>
        <w:top w:val="none" w:sz="0" w:space="0" w:color="auto"/>
        <w:left w:val="none" w:sz="0" w:space="0" w:color="auto"/>
        <w:bottom w:val="none" w:sz="0" w:space="0" w:color="auto"/>
        <w:right w:val="none" w:sz="0" w:space="0" w:color="auto"/>
      </w:divBdr>
      <w:divsChild>
        <w:div w:id="718478333">
          <w:marLeft w:val="0"/>
          <w:marRight w:val="0"/>
          <w:marTop w:val="0"/>
          <w:marBottom w:val="0"/>
          <w:divBdr>
            <w:top w:val="none" w:sz="0" w:space="0" w:color="auto"/>
            <w:left w:val="none" w:sz="0" w:space="0" w:color="auto"/>
            <w:bottom w:val="none" w:sz="0" w:space="0" w:color="auto"/>
            <w:right w:val="none" w:sz="0" w:space="0" w:color="auto"/>
          </w:divBdr>
          <w:divsChild>
            <w:div w:id="1125464870">
              <w:marLeft w:val="0"/>
              <w:marRight w:val="0"/>
              <w:marTop w:val="0"/>
              <w:marBottom w:val="0"/>
              <w:divBdr>
                <w:top w:val="none" w:sz="0" w:space="0" w:color="auto"/>
                <w:left w:val="none" w:sz="0" w:space="0" w:color="auto"/>
                <w:bottom w:val="none" w:sz="0" w:space="0" w:color="auto"/>
                <w:right w:val="none" w:sz="0" w:space="0" w:color="auto"/>
              </w:divBdr>
              <w:divsChild>
                <w:div w:id="519666802">
                  <w:marLeft w:val="0"/>
                  <w:marRight w:val="0"/>
                  <w:marTop w:val="0"/>
                  <w:marBottom w:val="0"/>
                  <w:divBdr>
                    <w:top w:val="none" w:sz="0" w:space="0" w:color="auto"/>
                    <w:left w:val="none" w:sz="0" w:space="0" w:color="auto"/>
                    <w:bottom w:val="none" w:sz="0" w:space="0" w:color="auto"/>
                    <w:right w:val="none" w:sz="0" w:space="0" w:color="auto"/>
                  </w:divBdr>
                  <w:divsChild>
                    <w:div w:id="116007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933755">
      <w:bodyDiv w:val="1"/>
      <w:marLeft w:val="0"/>
      <w:marRight w:val="0"/>
      <w:marTop w:val="0"/>
      <w:marBottom w:val="0"/>
      <w:divBdr>
        <w:top w:val="none" w:sz="0" w:space="0" w:color="auto"/>
        <w:left w:val="none" w:sz="0" w:space="0" w:color="auto"/>
        <w:bottom w:val="none" w:sz="0" w:space="0" w:color="auto"/>
        <w:right w:val="none" w:sz="0" w:space="0" w:color="auto"/>
      </w:divBdr>
    </w:div>
    <w:div w:id="417219208">
      <w:bodyDiv w:val="1"/>
      <w:marLeft w:val="0"/>
      <w:marRight w:val="0"/>
      <w:marTop w:val="0"/>
      <w:marBottom w:val="0"/>
      <w:divBdr>
        <w:top w:val="none" w:sz="0" w:space="0" w:color="auto"/>
        <w:left w:val="none" w:sz="0" w:space="0" w:color="auto"/>
        <w:bottom w:val="none" w:sz="0" w:space="0" w:color="auto"/>
        <w:right w:val="none" w:sz="0" w:space="0" w:color="auto"/>
      </w:divBdr>
    </w:div>
    <w:div w:id="438642398">
      <w:bodyDiv w:val="1"/>
      <w:marLeft w:val="0"/>
      <w:marRight w:val="0"/>
      <w:marTop w:val="0"/>
      <w:marBottom w:val="0"/>
      <w:divBdr>
        <w:top w:val="none" w:sz="0" w:space="0" w:color="auto"/>
        <w:left w:val="none" w:sz="0" w:space="0" w:color="auto"/>
        <w:bottom w:val="none" w:sz="0" w:space="0" w:color="auto"/>
        <w:right w:val="none" w:sz="0" w:space="0" w:color="auto"/>
      </w:divBdr>
      <w:divsChild>
        <w:div w:id="933780693">
          <w:marLeft w:val="0"/>
          <w:marRight w:val="0"/>
          <w:marTop w:val="0"/>
          <w:marBottom w:val="0"/>
          <w:divBdr>
            <w:top w:val="none" w:sz="0" w:space="0" w:color="auto"/>
            <w:left w:val="none" w:sz="0" w:space="0" w:color="auto"/>
            <w:bottom w:val="none" w:sz="0" w:space="0" w:color="auto"/>
            <w:right w:val="none" w:sz="0" w:space="0" w:color="auto"/>
          </w:divBdr>
        </w:div>
        <w:div w:id="1044334123">
          <w:marLeft w:val="0"/>
          <w:marRight w:val="0"/>
          <w:marTop w:val="0"/>
          <w:marBottom w:val="0"/>
          <w:divBdr>
            <w:top w:val="none" w:sz="0" w:space="0" w:color="auto"/>
            <w:left w:val="none" w:sz="0" w:space="0" w:color="auto"/>
            <w:bottom w:val="none" w:sz="0" w:space="0" w:color="auto"/>
            <w:right w:val="none" w:sz="0" w:space="0" w:color="auto"/>
          </w:divBdr>
        </w:div>
        <w:div w:id="1550337566">
          <w:marLeft w:val="0"/>
          <w:marRight w:val="0"/>
          <w:marTop w:val="0"/>
          <w:marBottom w:val="0"/>
          <w:divBdr>
            <w:top w:val="none" w:sz="0" w:space="0" w:color="auto"/>
            <w:left w:val="none" w:sz="0" w:space="0" w:color="auto"/>
            <w:bottom w:val="none" w:sz="0" w:space="0" w:color="auto"/>
            <w:right w:val="none" w:sz="0" w:space="0" w:color="auto"/>
          </w:divBdr>
        </w:div>
        <w:div w:id="1837646688">
          <w:marLeft w:val="0"/>
          <w:marRight w:val="0"/>
          <w:marTop w:val="0"/>
          <w:marBottom w:val="0"/>
          <w:divBdr>
            <w:top w:val="none" w:sz="0" w:space="0" w:color="auto"/>
            <w:left w:val="none" w:sz="0" w:space="0" w:color="auto"/>
            <w:bottom w:val="none" w:sz="0" w:space="0" w:color="auto"/>
            <w:right w:val="none" w:sz="0" w:space="0" w:color="auto"/>
          </w:divBdr>
        </w:div>
        <w:div w:id="1888374067">
          <w:marLeft w:val="0"/>
          <w:marRight w:val="0"/>
          <w:marTop w:val="0"/>
          <w:marBottom w:val="0"/>
          <w:divBdr>
            <w:top w:val="none" w:sz="0" w:space="0" w:color="auto"/>
            <w:left w:val="none" w:sz="0" w:space="0" w:color="auto"/>
            <w:bottom w:val="none" w:sz="0" w:space="0" w:color="auto"/>
            <w:right w:val="none" w:sz="0" w:space="0" w:color="auto"/>
          </w:divBdr>
        </w:div>
        <w:div w:id="1957518043">
          <w:marLeft w:val="0"/>
          <w:marRight w:val="0"/>
          <w:marTop w:val="0"/>
          <w:marBottom w:val="0"/>
          <w:divBdr>
            <w:top w:val="none" w:sz="0" w:space="0" w:color="auto"/>
            <w:left w:val="none" w:sz="0" w:space="0" w:color="auto"/>
            <w:bottom w:val="none" w:sz="0" w:space="0" w:color="auto"/>
            <w:right w:val="none" w:sz="0" w:space="0" w:color="auto"/>
          </w:divBdr>
        </w:div>
      </w:divsChild>
    </w:div>
    <w:div w:id="522550623">
      <w:bodyDiv w:val="1"/>
      <w:marLeft w:val="0"/>
      <w:marRight w:val="0"/>
      <w:marTop w:val="0"/>
      <w:marBottom w:val="0"/>
      <w:divBdr>
        <w:top w:val="none" w:sz="0" w:space="0" w:color="auto"/>
        <w:left w:val="none" w:sz="0" w:space="0" w:color="auto"/>
        <w:bottom w:val="none" w:sz="0" w:space="0" w:color="auto"/>
        <w:right w:val="none" w:sz="0" w:space="0" w:color="auto"/>
      </w:divBdr>
    </w:div>
    <w:div w:id="536432931">
      <w:bodyDiv w:val="1"/>
      <w:marLeft w:val="0"/>
      <w:marRight w:val="0"/>
      <w:marTop w:val="0"/>
      <w:marBottom w:val="0"/>
      <w:divBdr>
        <w:top w:val="none" w:sz="0" w:space="0" w:color="auto"/>
        <w:left w:val="none" w:sz="0" w:space="0" w:color="auto"/>
        <w:bottom w:val="none" w:sz="0" w:space="0" w:color="auto"/>
        <w:right w:val="none" w:sz="0" w:space="0" w:color="auto"/>
      </w:divBdr>
    </w:div>
    <w:div w:id="539828219">
      <w:bodyDiv w:val="1"/>
      <w:marLeft w:val="0"/>
      <w:marRight w:val="0"/>
      <w:marTop w:val="0"/>
      <w:marBottom w:val="0"/>
      <w:divBdr>
        <w:top w:val="none" w:sz="0" w:space="0" w:color="auto"/>
        <w:left w:val="none" w:sz="0" w:space="0" w:color="auto"/>
        <w:bottom w:val="none" w:sz="0" w:space="0" w:color="auto"/>
        <w:right w:val="none" w:sz="0" w:space="0" w:color="auto"/>
      </w:divBdr>
      <w:divsChild>
        <w:div w:id="464741691">
          <w:marLeft w:val="0"/>
          <w:marRight w:val="0"/>
          <w:marTop w:val="0"/>
          <w:marBottom w:val="0"/>
          <w:divBdr>
            <w:top w:val="none" w:sz="0" w:space="0" w:color="auto"/>
            <w:left w:val="none" w:sz="0" w:space="0" w:color="auto"/>
            <w:bottom w:val="none" w:sz="0" w:space="0" w:color="auto"/>
            <w:right w:val="none" w:sz="0" w:space="0" w:color="auto"/>
          </w:divBdr>
          <w:divsChild>
            <w:div w:id="165049756">
              <w:marLeft w:val="0"/>
              <w:marRight w:val="0"/>
              <w:marTop w:val="0"/>
              <w:marBottom w:val="0"/>
              <w:divBdr>
                <w:top w:val="none" w:sz="0" w:space="0" w:color="auto"/>
                <w:left w:val="none" w:sz="0" w:space="0" w:color="auto"/>
                <w:bottom w:val="none" w:sz="0" w:space="0" w:color="auto"/>
                <w:right w:val="none" w:sz="0" w:space="0" w:color="auto"/>
              </w:divBdr>
            </w:div>
            <w:div w:id="235406120">
              <w:marLeft w:val="0"/>
              <w:marRight w:val="0"/>
              <w:marTop w:val="0"/>
              <w:marBottom w:val="0"/>
              <w:divBdr>
                <w:top w:val="none" w:sz="0" w:space="0" w:color="auto"/>
                <w:left w:val="none" w:sz="0" w:space="0" w:color="auto"/>
                <w:bottom w:val="none" w:sz="0" w:space="0" w:color="auto"/>
                <w:right w:val="none" w:sz="0" w:space="0" w:color="auto"/>
              </w:divBdr>
            </w:div>
            <w:div w:id="293676912">
              <w:marLeft w:val="0"/>
              <w:marRight w:val="0"/>
              <w:marTop w:val="0"/>
              <w:marBottom w:val="0"/>
              <w:divBdr>
                <w:top w:val="none" w:sz="0" w:space="0" w:color="auto"/>
                <w:left w:val="none" w:sz="0" w:space="0" w:color="auto"/>
                <w:bottom w:val="none" w:sz="0" w:space="0" w:color="auto"/>
                <w:right w:val="none" w:sz="0" w:space="0" w:color="auto"/>
              </w:divBdr>
            </w:div>
            <w:div w:id="1895462384">
              <w:marLeft w:val="0"/>
              <w:marRight w:val="0"/>
              <w:marTop w:val="0"/>
              <w:marBottom w:val="0"/>
              <w:divBdr>
                <w:top w:val="none" w:sz="0" w:space="0" w:color="auto"/>
                <w:left w:val="none" w:sz="0" w:space="0" w:color="auto"/>
                <w:bottom w:val="none" w:sz="0" w:space="0" w:color="auto"/>
                <w:right w:val="none" w:sz="0" w:space="0" w:color="auto"/>
              </w:divBdr>
            </w:div>
          </w:divsChild>
        </w:div>
        <w:div w:id="1504859052">
          <w:marLeft w:val="0"/>
          <w:marRight w:val="0"/>
          <w:marTop w:val="0"/>
          <w:marBottom w:val="0"/>
          <w:divBdr>
            <w:top w:val="none" w:sz="0" w:space="0" w:color="auto"/>
            <w:left w:val="none" w:sz="0" w:space="0" w:color="auto"/>
            <w:bottom w:val="none" w:sz="0" w:space="0" w:color="auto"/>
            <w:right w:val="none" w:sz="0" w:space="0" w:color="auto"/>
          </w:divBdr>
        </w:div>
      </w:divsChild>
    </w:div>
    <w:div w:id="590505810">
      <w:bodyDiv w:val="1"/>
      <w:marLeft w:val="0"/>
      <w:marRight w:val="0"/>
      <w:marTop w:val="0"/>
      <w:marBottom w:val="0"/>
      <w:divBdr>
        <w:top w:val="none" w:sz="0" w:space="0" w:color="auto"/>
        <w:left w:val="none" w:sz="0" w:space="0" w:color="auto"/>
        <w:bottom w:val="none" w:sz="0" w:space="0" w:color="auto"/>
        <w:right w:val="none" w:sz="0" w:space="0" w:color="auto"/>
      </w:divBdr>
    </w:div>
    <w:div w:id="662054587">
      <w:bodyDiv w:val="1"/>
      <w:marLeft w:val="0"/>
      <w:marRight w:val="0"/>
      <w:marTop w:val="0"/>
      <w:marBottom w:val="0"/>
      <w:divBdr>
        <w:top w:val="none" w:sz="0" w:space="0" w:color="auto"/>
        <w:left w:val="none" w:sz="0" w:space="0" w:color="auto"/>
        <w:bottom w:val="none" w:sz="0" w:space="0" w:color="auto"/>
        <w:right w:val="none" w:sz="0" w:space="0" w:color="auto"/>
      </w:divBdr>
    </w:div>
    <w:div w:id="809900886">
      <w:bodyDiv w:val="1"/>
      <w:marLeft w:val="0"/>
      <w:marRight w:val="0"/>
      <w:marTop w:val="0"/>
      <w:marBottom w:val="0"/>
      <w:divBdr>
        <w:top w:val="none" w:sz="0" w:space="0" w:color="auto"/>
        <w:left w:val="none" w:sz="0" w:space="0" w:color="auto"/>
        <w:bottom w:val="none" w:sz="0" w:space="0" w:color="auto"/>
        <w:right w:val="none" w:sz="0" w:space="0" w:color="auto"/>
      </w:divBdr>
    </w:div>
    <w:div w:id="861087241">
      <w:bodyDiv w:val="1"/>
      <w:marLeft w:val="0"/>
      <w:marRight w:val="0"/>
      <w:marTop w:val="0"/>
      <w:marBottom w:val="0"/>
      <w:divBdr>
        <w:top w:val="none" w:sz="0" w:space="0" w:color="auto"/>
        <w:left w:val="none" w:sz="0" w:space="0" w:color="auto"/>
        <w:bottom w:val="none" w:sz="0" w:space="0" w:color="auto"/>
        <w:right w:val="none" w:sz="0" w:space="0" w:color="auto"/>
      </w:divBdr>
    </w:div>
    <w:div w:id="980887764">
      <w:bodyDiv w:val="1"/>
      <w:marLeft w:val="0"/>
      <w:marRight w:val="0"/>
      <w:marTop w:val="0"/>
      <w:marBottom w:val="0"/>
      <w:divBdr>
        <w:top w:val="none" w:sz="0" w:space="0" w:color="auto"/>
        <w:left w:val="none" w:sz="0" w:space="0" w:color="auto"/>
        <w:bottom w:val="none" w:sz="0" w:space="0" w:color="auto"/>
        <w:right w:val="none" w:sz="0" w:space="0" w:color="auto"/>
      </w:divBdr>
      <w:divsChild>
        <w:div w:id="1657952958">
          <w:marLeft w:val="0"/>
          <w:marRight w:val="0"/>
          <w:marTop w:val="0"/>
          <w:marBottom w:val="0"/>
          <w:divBdr>
            <w:top w:val="none" w:sz="0" w:space="0" w:color="auto"/>
            <w:left w:val="none" w:sz="0" w:space="0" w:color="auto"/>
            <w:bottom w:val="none" w:sz="0" w:space="0" w:color="auto"/>
            <w:right w:val="none" w:sz="0" w:space="0" w:color="auto"/>
          </w:divBdr>
        </w:div>
      </w:divsChild>
    </w:div>
    <w:div w:id="1073235868">
      <w:bodyDiv w:val="1"/>
      <w:marLeft w:val="0"/>
      <w:marRight w:val="0"/>
      <w:marTop w:val="0"/>
      <w:marBottom w:val="0"/>
      <w:divBdr>
        <w:top w:val="none" w:sz="0" w:space="0" w:color="auto"/>
        <w:left w:val="none" w:sz="0" w:space="0" w:color="auto"/>
        <w:bottom w:val="none" w:sz="0" w:space="0" w:color="auto"/>
        <w:right w:val="none" w:sz="0" w:space="0" w:color="auto"/>
      </w:divBdr>
    </w:div>
    <w:div w:id="1243294141">
      <w:bodyDiv w:val="1"/>
      <w:marLeft w:val="0"/>
      <w:marRight w:val="0"/>
      <w:marTop w:val="0"/>
      <w:marBottom w:val="0"/>
      <w:divBdr>
        <w:top w:val="none" w:sz="0" w:space="0" w:color="auto"/>
        <w:left w:val="none" w:sz="0" w:space="0" w:color="auto"/>
        <w:bottom w:val="none" w:sz="0" w:space="0" w:color="auto"/>
        <w:right w:val="none" w:sz="0" w:space="0" w:color="auto"/>
      </w:divBdr>
      <w:divsChild>
        <w:div w:id="920336206">
          <w:marLeft w:val="0"/>
          <w:marRight w:val="0"/>
          <w:marTop w:val="0"/>
          <w:marBottom w:val="0"/>
          <w:divBdr>
            <w:top w:val="none" w:sz="0" w:space="0" w:color="auto"/>
            <w:left w:val="none" w:sz="0" w:space="0" w:color="auto"/>
            <w:bottom w:val="none" w:sz="0" w:space="0" w:color="auto"/>
            <w:right w:val="none" w:sz="0" w:space="0" w:color="auto"/>
          </w:divBdr>
        </w:div>
      </w:divsChild>
    </w:div>
    <w:div w:id="1275362204">
      <w:bodyDiv w:val="1"/>
      <w:marLeft w:val="0"/>
      <w:marRight w:val="0"/>
      <w:marTop w:val="0"/>
      <w:marBottom w:val="0"/>
      <w:divBdr>
        <w:top w:val="none" w:sz="0" w:space="0" w:color="auto"/>
        <w:left w:val="none" w:sz="0" w:space="0" w:color="auto"/>
        <w:bottom w:val="none" w:sz="0" w:space="0" w:color="auto"/>
        <w:right w:val="none" w:sz="0" w:space="0" w:color="auto"/>
      </w:divBdr>
      <w:divsChild>
        <w:div w:id="659383388">
          <w:marLeft w:val="0"/>
          <w:marRight w:val="0"/>
          <w:marTop w:val="0"/>
          <w:marBottom w:val="0"/>
          <w:divBdr>
            <w:top w:val="none" w:sz="0" w:space="0" w:color="auto"/>
            <w:left w:val="none" w:sz="0" w:space="0" w:color="auto"/>
            <w:bottom w:val="none" w:sz="0" w:space="0" w:color="auto"/>
            <w:right w:val="none" w:sz="0" w:space="0" w:color="auto"/>
          </w:divBdr>
          <w:divsChild>
            <w:div w:id="1261376005">
              <w:marLeft w:val="0"/>
              <w:marRight w:val="0"/>
              <w:marTop w:val="0"/>
              <w:marBottom w:val="0"/>
              <w:divBdr>
                <w:top w:val="none" w:sz="0" w:space="0" w:color="auto"/>
                <w:left w:val="none" w:sz="0" w:space="0" w:color="auto"/>
                <w:bottom w:val="none" w:sz="0" w:space="0" w:color="auto"/>
                <w:right w:val="none" w:sz="0" w:space="0" w:color="auto"/>
              </w:divBdr>
            </w:div>
            <w:div w:id="1514949745">
              <w:marLeft w:val="0"/>
              <w:marRight w:val="0"/>
              <w:marTop w:val="0"/>
              <w:marBottom w:val="0"/>
              <w:divBdr>
                <w:top w:val="none" w:sz="0" w:space="0" w:color="auto"/>
                <w:left w:val="none" w:sz="0" w:space="0" w:color="auto"/>
                <w:bottom w:val="none" w:sz="0" w:space="0" w:color="auto"/>
                <w:right w:val="none" w:sz="0" w:space="0" w:color="auto"/>
              </w:divBdr>
            </w:div>
          </w:divsChild>
        </w:div>
        <w:div w:id="1392996505">
          <w:marLeft w:val="0"/>
          <w:marRight w:val="0"/>
          <w:marTop w:val="0"/>
          <w:marBottom w:val="0"/>
          <w:divBdr>
            <w:top w:val="none" w:sz="0" w:space="0" w:color="auto"/>
            <w:left w:val="none" w:sz="0" w:space="0" w:color="auto"/>
            <w:bottom w:val="none" w:sz="0" w:space="0" w:color="auto"/>
            <w:right w:val="none" w:sz="0" w:space="0" w:color="auto"/>
          </w:divBdr>
        </w:div>
        <w:div w:id="1682854359">
          <w:marLeft w:val="0"/>
          <w:marRight w:val="0"/>
          <w:marTop w:val="0"/>
          <w:marBottom w:val="0"/>
          <w:divBdr>
            <w:top w:val="none" w:sz="0" w:space="0" w:color="auto"/>
            <w:left w:val="none" w:sz="0" w:space="0" w:color="auto"/>
            <w:bottom w:val="none" w:sz="0" w:space="0" w:color="auto"/>
            <w:right w:val="none" w:sz="0" w:space="0" w:color="auto"/>
          </w:divBdr>
          <w:divsChild>
            <w:div w:id="142544671">
              <w:marLeft w:val="0"/>
              <w:marRight w:val="0"/>
              <w:marTop w:val="0"/>
              <w:marBottom w:val="0"/>
              <w:divBdr>
                <w:top w:val="none" w:sz="0" w:space="0" w:color="auto"/>
                <w:left w:val="none" w:sz="0" w:space="0" w:color="auto"/>
                <w:bottom w:val="none" w:sz="0" w:space="0" w:color="auto"/>
                <w:right w:val="none" w:sz="0" w:space="0" w:color="auto"/>
              </w:divBdr>
            </w:div>
            <w:div w:id="314995352">
              <w:marLeft w:val="0"/>
              <w:marRight w:val="0"/>
              <w:marTop w:val="0"/>
              <w:marBottom w:val="0"/>
              <w:divBdr>
                <w:top w:val="none" w:sz="0" w:space="0" w:color="auto"/>
                <w:left w:val="none" w:sz="0" w:space="0" w:color="auto"/>
                <w:bottom w:val="none" w:sz="0" w:space="0" w:color="auto"/>
                <w:right w:val="none" w:sz="0" w:space="0" w:color="auto"/>
              </w:divBdr>
            </w:div>
            <w:div w:id="547765486">
              <w:marLeft w:val="0"/>
              <w:marRight w:val="0"/>
              <w:marTop w:val="0"/>
              <w:marBottom w:val="0"/>
              <w:divBdr>
                <w:top w:val="none" w:sz="0" w:space="0" w:color="auto"/>
                <w:left w:val="none" w:sz="0" w:space="0" w:color="auto"/>
                <w:bottom w:val="none" w:sz="0" w:space="0" w:color="auto"/>
                <w:right w:val="none" w:sz="0" w:space="0" w:color="auto"/>
              </w:divBdr>
            </w:div>
            <w:div w:id="697662020">
              <w:marLeft w:val="0"/>
              <w:marRight w:val="0"/>
              <w:marTop w:val="0"/>
              <w:marBottom w:val="0"/>
              <w:divBdr>
                <w:top w:val="none" w:sz="0" w:space="0" w:color="auto"/>
                <w:left w:val="none" w:sz="0" w:space="0" w:color="auto"/>
                <w:bottom w:val="none" w:sz="0" w:space="0" w:color="auto"/>
                <w:right w:val="none" w:sz="0" w:space="0" w:color="auto"/>
              </w:divBdr>
            </w:div>
            <w:div w:id="737899702">
              <w:marLeft w:val="0"/>
              <w:marRight w:val="0"/>
              <w:marTop w:val="0"/>
              <w:marBottom w:val="0"/>
              <w:divBdr>
                <w:top w:val="none" w:sz="0" w:space="0" w:color="auto"/>
                <w:left w:val="none" w:sz="0" w:space="0" w:color="auto"/>
                <w:bottom w:val="none" w:sz="0" w:space="0" w:color="auto"/>
                <w:right w:val="none" w:sz="0" w:space="0" w:color="auto"/>
              </w:divBdr>
            </w:div>
            <w:div w:id="938486166">
              <w:marLeft w:val="0"/>
              <w:marRight w:val="0"/>
              <w:marTop w:val="0"/>
              <w:marBottom w:val="0"/>
              <w:divBdr>
                <w:top w:val="none" w:sz="0" w:space="0" w:color="auto"/>
                <w:left w:val="none" w:sz="0" w:space="0" w:color="auto"/>
                <w:bottom w:val="none" w:sz="0" w:space="0" w:color="auto"/>
                <w:right w:val="none" w:sz="0" w:space="0" w:color="auto"/>
              </w:divBdr>
            </w:div>
            <w:div w:id="1202281439">
              <w:marLeft w:val="0"/>
              <w:marRight w:val="0"/>
              <w:marTop w:val="0"/>
              <w:marBottom w:val="0"/>
              <w:divBdr>
                <w:top w:val="none" w:sz="0" w:space="0" w:color="auto"/>
                <w:left w:val="none" w:sz="0" w:space="0" w:color="auto"/>
                <w:bottom w:val="none" w:sz="0" w:space="0" w:color="auto"/>
                <w:right w:val="none" w:sz="0" w:space="0" w:color="auto"/>
              </w:divBdr>
            </w:div>
            <w:div w:id="15878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75874">
      <w:bodyDiv w:val="1"/>
      <w:marLeft w:val="0"/>
      <w:marRight w:val="0"/>
      <w:marTop w:val="0"/>
      <w:marBottom w:val="0"/>
      <w:divBdr>
        <w:top w:val="none" w:sz="0" w:space="0" w:color="auto"/>
        <w:left w:val="none" w:sz="0" w:space="0" w:color="auto"/>
        <w:bottom w:val="none" w:sz="0" w:space="0" w:color="auto"/>
        <w:right w:val="none" w:sz="0" w:space="0" w:color="auto"/>
      </w:divBdr>
    </w:div>
    <w:div w:id="1371111185">
      <w:bodyDiv w:val="1"/>
      <w:marLeft w:val="0"/>
      <w:marRight w:val="0"/>
      <w:marTop w:val="0"/>
      <w:marBottom w:val="0"/>
      <w:divBdr>
        <w:top w:val="none" w:sz="0" w:space="0" w:color="auto"/>
        <w:left w:val="none" w:sz="0" w:space="0" w:color="auto"/>
        <w:bottom w:val="none" w:sz="0" w:space="0" w:color="auto"/>
        <w:right w:val="none" w:sz="0" w:space="0" w:color="auto"/>
      </w:divBdr>
      <w:divsChild>
        <w:div w:id="66467147">
          <w:marLeft w:val="0"/>
          <w:marRight w:val="0"/>
          <w:marTop w:val="0"/>
          <w:marBottom w:val="0"/>
          <w:divBdr>
            <w:top w:val="none" w:sz="0" w:space="0" w:color="auto"/>
            <w:left w:val="none" w:sz="0" w:space="0" w:color="auto"/>
            <w:bottom w:val="none" w:sz="0" w:space="0" w:color="auto"/>
            <w:right w:val="none" w:sz="0" w:space="0" w:color="auto"/>
          </w:divBdr>
        </w:div>
        <w:div w:id="75521404">
          <w:marLeft w:val="0"/>
          <w:marRight w:val="0"/>
          <w:marTop w:val="0"/>
          <w:marBottom w:val="0"/>
          <w:divBdr>
            <w:top w:val="none" w:sz="0" w:space="0" w:color="auto"/>
            <w:left w:val="none" w:sz="0" w:space="0" w:color="auto"/>
            <w:bottom w:val="none" w:sz="0" w:space="0" w:color="auto"/>
            <w:right w:val="none" w:sz="0" w:space="0" w:color="auto"/>
          </w:divBdr>
        </w:div>
        <w:div w:id="370233516">
          <w:marLeft w:val="0"/>
          <w:marRight w:val="0"/>
          <w:marTop w:val="0"/>
          <w:marBottom w:val="0"/>
          <w:divBdr>
            <w:top w:val="none" w:sz="0" w:space="0" w:color="auto"/>
            <w:left w:val="none" w:sz="0" w:space="0" w:color="auto"/>
            <w:bottom w:val="none" w:sz="0" w:space="0" w:color="auto"/>
            <w:right w:val="none" w:sz="0" w:space="0" w:color="auto"/>
          </w:divBdr>
        </w:div>
        <w:div w:id="433593408">
          <w:marLeft w:val="0"/>
          <w:marRight w:val="0"/>
          <w:marTop w:val="0"/>
          <w:marBottom w:val="0"/>
          <w:divBdr>
            <w:top w:val="none" w:sz="0" w:space="0" w:color="auto"/>
            <w:left w:val="none" w:sz="0" w:space="0" w:color="auto"/>
            <w:bottom w:val="none" w:sz="0" w:space="0" w:color="auto"/>
            <w:right w:val="none" w:sz="0" w:space="0" w:color="auto"/>
          </w:divBdr>
        </w:div>
        <w:div w:id="477503384">
          <w:marLeft w:val="0"/>
          <w:marRight w:val="0"/>
          <w:marTop w:val="0"/>
          <w:marBottom w:val="0"/>
          <w:divBdr>
            <w:top w:val="none" w:sz="0" w:space="0" w:color="auto"/>
            <w:left w:val="none" w:sz="0" w:space="0" w:color="auto"/>
            <w:bottom w:val="none" w:sz="0" w:space="0" w:color="auto"/>
            <w:right w:val="none" w:sz="0" w:space="0" w:color="auto"/>
          </w:divBdr>
        </w:div>
        <w:div w:id="598759265">
          <w:marLeft w:val="0"/>
          <w:marRight w:val="0"/>
          <w:marTop w:val="0"/>
          <w:marBottom w:val="0"/>
          <w:divBdr>
            <w:top w:val="none" w:sz="0" w:space="0" w:color="auto"/>
            <w:left w:val="none" w:sz="0" w:space="0" w:color="auto"/>
            <w:bottom w:val="none" w:sz="0" w:space="0" w:color="auto"/>
            <w:right w:val="none" w:sz="0" w:space="0" w:color="auto"/>
          </w:divBdr>
        </w:div>
        <w:div w:id="698968129">
          <w:marLeft w:val="0"/>
          <w:marRight w:val="0"/>
          <w:marTop w:val="0"/>
          <w:marBottom w:val="0"/>
          <w:divBdr>
            <w:top w:val="none" w:sz="0" w:space="0" w:color="auto"/>
            <w:left w:val="none" w:sz="0" w:space="0" w:color="auto"/>
            <w:bottom w:val="none" w:sz="0" w:space="0" w:color="auto"/>
            <w:right w:val="none" w:sz="0" w:space="0" w:color="auto"/>
          </w:divBdr>
        </w:div>
        <w:div w:id="772827128">
          <w:marLeft w:val="0"/>
          <w:marRight w:val="0"/>
          <w:marTop w:val="0"/>
          <w:marBottom w:val="0"/>
          <w:divBdr>
            <w:top w:val="none" w:sz="0" w:space="0" w:color="auto"/>
            <w:left w:val="none" w:sz="0" w:space="0" w:color="auto"/>
            <w:bottom w:val="none" w:sz="0" w:space="0" w:color="auto"/>
            <w:right w:val="none" w:sz="0" w:space="0" w:color="auto"/>
          </w:divBdr>
        </w:div>
        <w:div w:id="989943457">
          <w:marLeft w:val="0"/>
          <w:marRight w:val="0"/>
          <w:marTop w:val="0"/>
          <w:marBottom w:val="0"/>
          <w:divBdr>
            <w:top w:val="none" w:sz="0" w:space="0" w:color="auto"/>
            <w:left w:val="none" w:sz="0" w:space="0" w:color="auto"/>
            <w:bottom w:val="none" w:sz="0" w:space="0" w:color="auto"/>
            <w:right w:val="none" w:sz="0" w:space="0" w:color="auto"/>
          </w:divBdr>
        </w:div>
        <w:div w:id="1068382043">
          <w:marLeft w:val="0"/>
          <w:marRight w:val="0"/>
          <w:marTop w:val="0"/>
          <w:marBottom w:val="0"/>
          <w:divBdr>
            <w:top w:val="none" w:sz="0" w:space="0" w:color="auto"/>
            <w:left w:val="none" w:sz="0" w:space="0" w:color="auto"/>
            <w:bottom w:val="none" w:sz="0" w:space="0" w:color="auto"/>
            <w:right w:val="none" w:sz="0" w:space="0" w:color="auto"/>
          </w:divBdr>
        </w:div>
        <w:div w:id="1280529459">
          <w:marLeft w:val="0"/>
          <w:marRight w:val="0"/>
          <w:marTop w:val="0"/>
          <w:marBottom w:val="0"/>
          <w:divBdr>
            <w:top w:val="none" w:sz="0" w:space="0" w:color="auto"/>
            <w:left w:val="none" w:sz="0" w:space="0" w:color="auto"/>
            <w:bottom w:val="none" w:sz="0" w:space="0" w:color="auto"/>
            <w:right w:val="none" w:sz="0" w:space="0" w:color="auto"/>
          </w:divBdr>
        </w:div>
        <w:div w:id="1780107170">
          <w:marLeft w:val="0"/>
          <w:marRight w:val="0"/>
          <w:marTop w:val="0"/>
          <w:marBottom w:val="0"/>
          <w:divBdr>
            <w:top w:val="none" w:sz="0" w:space="0" w:color="auto"/>
            <w:left w:val="none" w:sz="0" w:space="0" w:color="auto"/>
            <w:bottom w:val="none" w:sz="0" w:space="0" w:color="auto"/>
            <w:right w:val="none" w:sz="0" w:space="0" w:color="auto"/>
          </w:divBdr>
        </w:div>
      </w:divsChild>
    </w:div>
    <w:div w:id="1373840891">
      <w:bodyDiv w:val="1"/>
      <w:marLeft w:val="0"/>
      <w:marRight w:val="0"/>
      <w:marTop w:val="0"/>
      <w:marBottom w:val="0"/>
      <w:divBdr>
        <w:top w:val="none" w:sz="0" w:space="0" w:color="auto"/>
        <w:left w:val="none" w:sz="0" w:space="0" w:color="auto"/>
        <w:bottom w:val="none" w:sz="0" w:space="0" w:color="auto"/>
        <w:right w:val="none" w:sz="0" w:space="0" w:color="auto"/>
      </w:divBdr>
    </w:div>
    <w:div w:id="1426461350">
      <w:bodyDiv w:val="1"/>
      <w:marLeft w:val="0"/>
      <w:marRight w:val="0"/>
      <w:marTop w:val="0"/>
      <w:marBottom w:val="0"/>
      <w:divBdr>
        <w:top w:val="none" w:sz="0" w:space="0" w:color="auto"/>
        <w:left w:val="none" w:sz="0" w:space="0" w:color="auto"/>
        <w:bottom w:val="none" w:sz="0" w:space="0" w:color="auto"/>
        <w:right w:val="none" w:sz="0" w:space="0" w:color="auto"/>
      </w:divBdr>
    </w:div>
    <w:div w:id="1552108458">
      <w:bodyDiv w:val="1"/>
      <w:marLeft w:val="0"/>
      <w:marRight w:val="0"/>
      <w:marTop w:val="0"/>
      <w:marBottom w:val="0"/>
      <w:divBdr>
        <w:top w:val="none" w:sz="0" w:space="0" w:color="auto"/>
        <w:left w:val="none" w:sz="0" w:space="0" w:color="auto"/>
        <w:bottom w:val="none" w:sz="0" w:space="0" w:color="auto"/>
        <w:right w:val="none" w:sz="0" w:space="0" w:color="auto"/>
      </w:divBdr>
    </w:div>
    <w:div w:id="1717582151">
      <w:bodyDiv w:val="1"/>
      <w:marLeft w:val="0"/>
      <w:marRight w:val="0"/>
      <w:marTop w:val="0"/>
      <w:marBottom w:val="0"/>
      <w:divBdr>
        <w:top w:val="none" w:sz="0" w:space="0" w:color="auto"/>
        <w:left w:val="none" w:sz="0" w:space="0" w:color="auto"/>
        <w:bottom w:val="none" w:sz="0" w:space="0" w:color="auto"/>
        <w:right w:val="none" w:sz="0" w:space="0" w:color="auto"/>
      </w:divBdr>
    </w:div>
    <w:div w:id="1882017010">
      <w:bodyDiv w:val="1"/>
      <w:marLeft w:val="0"/>
      <w:marRight w:val="0"/>
      <w:marTop w:val="0"/>
      <w:marBottom w:val="0"/>
      <w:divBdr>
        <w:top w:val="none" w:sz="0" w:space="0" w:color="auto"/>
        <w:left w:val="none" w:sz="0" w:space="0" w:color="auto"/>
        <w:bottom w:val="none" w:sz="0" w:space="0" w:color="auto"/>
        <w:right w:val="none" w:sz="0" w:space="0" w:color="auto"/>
      </w:divBdr>
    </w:div>
    <w:div w:id="1896811800">
      <w:bodyDiv w:val="1"/>
      <w:marLeft w:val="0"/>
      <w:marRight w:val="0"/>
      <w:marTop w:val="0"/>
      <w:marBottom w:val="0"/>
      <w:divBdr>
        <w:top w:val="none" w:sz="0" w:space="0" w:color="auto"/>
        <w:left w:val="none" w:sz="0" w:space="0" w:color="auto"/>
        <w:bottom w:val="none" w:sz="0" w:space="0" w:color="auto"/>
        <w:right w:val="none" w:sz="0" w:space="0" w:color="auto"/>
      </w:divBdr>
      <w:divsChild>
        <w:div w:id="829635781">
          <w:marLeft w:val="0"/>
          <w:marRight w:val="0"/>
          <w:marTop w:val="0"/>
          <w:marBottom w:val="0"/>
          <w:divBdr>
            <w:top w:val="none" w:sz="0" w:space="0" w:color="auto"/>
            <w:left w:val="none" w:sz="0" w:space="0" w:color="auto"/>
            <w:bottom w:val="none" w:sz="0" w:space="0" w:color="auto"/>
            <w:right w:val="none" w:sz="0" w:space="0" w:color="auto"/>
          </w:divBdr>
        </w:div>
        <w:div w:id="1965847112">
          <w:marLeft w:val="0"/>
          <w:marRight w:val="0"/>
          <w:marTop w:val="0"/>
          <w:marBottom w:val="0"/>
          <w:divBdr>
            <w:top w:val="none" w:sz="0" w:space="0" w:color="auto"/>
            <w:left w:val="none" w:sz="0" w:space="0" w:color="auto"/>
            <w:bottom w:val="none" w:sz="0" w:space="0" w:color="auto"/>
            <w:right w:val="none" w:sz="0" w:space="0" w:color="auto"/>
          </w:divBdr>
        </w:div>
      </w:divsChild>
    </w:div>
    <w:div w:id="1940674308">
      <w:bodyDiv w:val="1"/>
      <w:marLeft w:val="0"/>
      <w:marRight w:val="0"/>
      <w:marTop w:val="0"/>
      <w:marBottom w:val="0"/>
      <w:divBdr>
        <w:top w:val="none" w:sz="0" w:space="0" w:color="auto"/>
        <w:left w:val="none" w:sz="0" w:space="0" w:color="auto"/>
        <w:bottom w:val="none" w:sz="0" w:space="0" w:color="auto"/>
        <w:right w:val="none" w:sz="0" w:space="0" w:color="auto"/>
      </w:divBdr>
    </w:div>
    <w:div w:id="2053117630">
      <w:bodyDiv w:val="1"/>
      <w:marLeft w:val="0"/>
      <w:marRight w:val="0"/>
      <w:marTop w:val="0"/>
      <w:marBottom w:val="0"/>
      <w:divBdr>
        <w:top w:val="none" w:sz="0" w:space="0" w:color="auto"/>
        <w:left w:val="none" w:sz="0" w:space="0" w:color="auto"/>
        <w:bottom w:val="none" w:sz="0" w:space="0" w:color="auto"/>
        <w:right w:val="none" w:sz="0" w:space="0" w:color="auto"/>
      </w:divBdr>
    </w:div>
    <w:div w:id="205920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sbd.org/bg/page_purn_bsbd.html" TargetMode="External"/><Relationship Id="rId299" Type="http://schemas.openxmlformats.org/officeDocument/2006/relationships/hyperlink" Target="http://iara.government.bg/wp-content/uploads/2017/10/Pelagic_Survey_2017_IO-BAS_BG.pdf" TargetMode="External"/><Relationship Id="rId21" Type="http://schemas.openxmlformats.org/officeDocument/2006/relationships/image" Target="media/image5.jpeg"/><Relationship Id="rId63" Type="http://schemas.openxmlformats.org/officeDocument/2006/relationships/image" Target="media/image36.jpeg"/><Relationship Id="rId159" Type="http://schemas.openxmlformats.org/officeDocument/2006/relationships/hyperlink" Target="https://www.south-stream-transport.com/project/document-library/" TargetMode="External"/><Relationship Id="rId324" Type="http://schemas.openxmlformats.org/officeDocument/2006/relationships/hyperlink" Target="http://bgodc.io-bas.bg/documents/2012/Final%20reports/Vol%203/REPORT-integrated-WFD-last%20all.pdf" TargetMode="External"/><Relationship Id="rId366" Type="http://schemas.openxmlformats.org/officeDocument/2006/relationships/hyperlink" Target="https://climate-adapt.eea.europa.eu/" TargetMode="External"/><Relationship Id="rId170" Type="http://schemas.openxmlformats.org/officeDocument/2006/relationships/hyperlink" Target="http://eea.government.bg/wp/publicregister/PWSRegisters.aspx" TargetMode="External"/><Relationship Id="rId226" Type="http://schemas.openxmlformats.org/officeDocument/2006/relationships/hyperlink" Target="http://iara.government.bg/wp-content/uploads/2017/10/Bulgarian_National-Bottom-Trawl-Survey-Spring-2016_Turbot_BG.pdf" TargetMode="External"/><Relationship Id="rId433" Type="http://schemas.openxmlformats.org/officeDocument/2006/relationships/hyperlink" Target="https://bsbd.org/v2/bg/index_bg_2934486.html?URI=" TargetMode="External"/><Relationship Id="rId268" Type="http://schemas.openxmlformats.org/officeDocument/2006/relationships/hyperlink" Target="http://eea.government.bg/bg/bio/opos/activities-results/CS_DD.pdf" TargetMode="External"/><Relationship Id="rId475" Type="http://schemas.openxmlformats.org/officeDocument/2006/relationships/hyperlink" Target="https://www.marad.bg/node/857" TargetMode="External"/><Relationship Id="rId32" Type="http://schemas.openxmlformats.org/officeDocument/2006/relationships/image" Target="media/image14.png"/><Relationship Id="rId74" Type="http://schemas.openxmlformats.org/officeDocument/2006/relationships/hyperlink" Target="http://www.blacksea-commission.org/_tda2008.asp" TargetMode="External"/><Relationship Id="rId128" Type="http://schemas.openxmlformats.org/officeDocument/2006/relationships/hyperlink" Target="http://bgodc.io-bas.bg/documents/" TargetMode="External"/><Relationship Id="rId335" Type="http://schemas.openxmlformats.org/officeDocument/2006/relationships/hyperlink" Target="http://bgodc.io-bas.bg/documents/2012/Final%20reports/Vol%203/REPORT-integrated-WFD-last%20all.pdf" TargetMode="External"/><Relationship Id="rId377" Type="http://schemas.openxmlformats.org/officeDocument/2006/relationships/hyperlink" Target="http://eea.government.bg/bg/soer/2017/biodiversity-nem/promyana-v-chislenostta-i-sastoyanie-na-zimuvashtite-vodolyubivi-ptitsi-v-balgariya" TargetMode="External"/><Relationship Id="rId5" Type="http://schemas.openxmlformats.org/officeDocument/2006/relationships/webSettings" Target="webSettings.xml"/><Relationship Id="rId181" Type="http://schemas.openxmlformats.org/officeDocument/2006/relationships/hyperlink" Target="http://eea.government.bg/wp/publicregister/PWSRegisters.aspx" TargetMode="External"/><Relationship Id="rId237" Type="http://schemas.openxmlformats.org/officeDocument/2006/relationships/hyperlink" Target="http://iara.government.bg/wp-content/uploads/2017/10/Bulgarian_National-Bottom-Trawl-Survey-2015_TURBOT_BG.pdf" TargetMode="External"/><Relationship Id="rId402" Type="http://schemas.openxmlformats.org/officeDocument/2006/relationships/hyperlink" Target="http://www.bsbd.org/uk/MarineStrategy.html" TargetMode="External"/><Relationship Id="rId279" Type="http://schemas.openxmlformats.org/officeDocument/2006/relationships/hyperlink" Target="http://eea.government.bg/bg/bio/opos/activities-results/CS_DD.pdf" TargetMode="External"/><Relationship Id="rId444" Type="http://schemas.openxmlformats.org/officeDocument/2006/relationships/hyperlink" Target="https://eur-lex.europa.eu/legal-content/BG/TXT/?uri=CELEX%3A31992L0043" TargetMode="External"/><Relationship Id="rId486" Type="http://schemas.openxmlformats.org/officeDocument/2006/relationships/fontTable" Target="fontTable.xml"/><Relationship Id="rId43" Type="http://schemas.openxmlformats.org/officeDocument/2006/relationships/image" Target="media/image25.emf"/><Relationship Id="rId139" Type="http://schemas.openxmlformats.org/officeDocument/2006/relationships/hyperlink" Target="https://bsbd.org/bg/index_bg_1668393.html" TargetMode="External"/><Relationship Id="rId290" Type="http://schemas.openxmlformats.org/officeDocument/2006/relationships/hyperlink" Target="http://iara.government.bg/wp-content/uploads/2017/10/Pelagic_Survey_2017_IO-BAS_BG.pdf" TargetMode="External"/><Relationship Id="rId304" Type="http://schemas.openxmlformats.org/officeDocument/2006/relationships/hyperlink" Target="http://iara.government.bg/wp-content/uploads/2017/10/Pelagic_Survey_2017_IO-BAS_BG.pdf" TargetMode="External"/><Relationship Id="rId346" Type="http://schemas.openxmlformats.org/officeDocument/2006/relationships/hyperlink" Target="https://doi.org/10.2175/106143013X13698672322949" TargetMode="External"/><Relationship Id="rId388" Type="http://schemas.openxmlformats.org/officeDocument/2006/relationships/hyperlink" Target="http://unesdoc.unesco.org/images/0018/001865/186559e.pdf" TargetMode="External"/><Relationship Id="rId85" Type="http://schemas.openxmlformats.org/officeDocument/2006/relationships/hyperlink" Target="http://eur-lex.europa.eu/legal-content/BG/ALL/?uri=celex:32005L0035" TargetMode="External"/><Relationship Id="rId150" Type="http://schemas.openxmlformats.org/officeDocument/2006/relationships/hyperlink" Target="https://www.south-stream-transport.com/project/document-library/" TargetMode="External"/><Relationship Id="rId192" Type="http://schemas.openxmlformats.org/officeDocument/2006/relationships/hyperlink" Target="http://eea.government.bg/bg/bio/opos/activities-results/CS_DD.pdf" TargetMode="External"/><Relationship Id="rId206" Type="http://schemas.openxmlformats.org/officeDocument/2006/relationships/hyperlink" Target="http://eea.government.bg/bg/bio/opos/activities-results/CS_DD.pdf" TargetMode="External"/><Relationship Id="rId413" Type="http://schemas.openxmlformats.org/officeDocument/2006/relationships/hyperlink" Target="http://www.marsplan.ro/bg/despre-proiectul-marsplan-%E2%80%93-bs-bg.html" TargetMode="External"/><Relationship Id="rId248" Type="http://schemas.openxmlformats.org/officeDocument/2006/relationships/hyperlink" Target="https://www.bsbd.org/UserFiles/File/projects/ISMEIMP/ISMEIMP%20Project%20Final%20Report.pdf" TargetMode="External"/><Relationship Id="rId455" Type="http://schemas.openxmlformats.org/officeDocument/2006/relationships/hyperlink" Target="https://polishmsp.eu/" TargetMode="External"/><Relationship Id="rId12" Type="http://schemas.openxmlformats.org/officeDocument/2006/relationships/header" Target="header1.xml"/><Relationship Id="rId108" Type="http://schemas.openxmlformats.org/officeDocument/2006/relationships/hyperlink" Target="http://www.avren.bg/assets/Obsavet%20AVREN/Naredbi/2014-2020%2008-2016.pdf" TargetMode="External"/><Relationship Id="rId315" Type="http://schemas.openxmlformats.org/officeDocument/2006/relationships/hyperlink" Target="http://bgodc.io-bas.bg/documents/2012/Final%20reports/Vol%203/REPORT-integrated-WFD-last%20all.pdf" TargetMode="External"/><Relationship Id="rId357" Type="http://schemas.openxmlformats.org/officeDocument/2006/relationships/hyperlink" Target="http://iara.government.bg/?page_id=11" TargetMode="External"/><Relationship Id="rId54" Type="http://schemas.openxmlformats.org/officeDocument/2006/relationships/hyperlink" Target="https://mnr.jncc.gov.uk/" TargetMode="External"/><Relationship Id="rId96" Type="http://schemas.openxmlformats.org/officeDocument/2006/relationships/hyperlink" Target="https://www.bsbd.org/bg/m_env_and_action.html" TargetMode="External"/><Relationship Id="rId161" Type="http://schemas.openxmlformats.org/officeDocument/2006/relationships/hyperlink" Target="https://www.south-stream-transport.com/project/document-library/" TargetMode="External"/><Relationship Id="rId217" Type="http://schemas.openxmlformats.org/officeDocument/2006/relationships/hyperlink" Target="http://iara.government.bg/wp-content/uploads/2017/10/Bulgarian_National-Bottom-Trawl-Survey-Spring-2016_Turbot_BG.pdf" TargetMode="External"/><Relationship Id="rId399" Type="http://schemas.openxmlformats.org/officeDocument/2006/relationships/hyperlink" Target="http://www.bsbd.org/bg/msfd_monitoring.html" TargetMode="External"/><Relationship Id="rId259" Type="http://schemas.openxmlformats.org/officeDocument/2006/relationships/hyperlink" Target="https://www.bsbd.org/UserFiles/File/projects/ISMEIMP/ISMEIMP%20Project%20Final%20Report.pdf" TargetMode="External"/><Relationship Id="rId424" Type="http://schemas.openxmlformats.org/officeDocument/2006/relationships/hyperlink" Target="http://www.strategy.bg/StrategicDocuments/View.aspx?lang=bg-BG&amp;Id=781" TargetMode="External"/><Relationship Id="rId466" Type="http://schemas.openxmlformats.org/officeDocument/2006/relationships/hyperlink" Target="https://www.bstdb.org/index.htm" TargetMode="External"/><Relationship Id="rId23" Type="http://schemas.openxmlformats.org/officeDocument/2006/relationships/image" Target="media/image7.png"/><Relationship Id="rId119" Type="http://schemas.openxmlformats.org/officeDocument/2006/relationships/hyperlink" Target="http://bgodc.io-bas.bg/documents/" TargetMode="External"/><Relationship Id="rId270" Type="http://schemas.openxmlformats.org/officeDocument/2006/relationships/hyperlink" Target="http://eea.government.bg/bg/bio/opos/activities-results/CS_DD.pdf" TargetMode="External"/><Relationship Id="rId326" Type="http://schemas.openxmlformats.org/officeDocument/2006/relationships/hyperlink" Target="http://bgodc.io-bas.bg/documents/2012/Final%20reports/Vol%203/REPORT-integrated-WFD-last%20all.pdf" TargetMode="External"/><Relationship Id="rId65" Type="http://schemas.openxmlformats.org/officeDocument/2006/relationships/footer" Target="footer2.xml"/><Relationship Id="rId130" Type="http://schemas.openxmlformats.org/officeDocument/2006/relationships/hyperlink" Target="https://www.mod.bg/bg/doc/strategicheski" TargetMode="External"/><Relationship Id="rId368" Type="http://schemas.openxmlformats.org/officeDocument/2006/relationships/hyperlink" Target="http://www.bsmou.org/about/" TargetMode="External"/><Relationship Id="rId172" Type="http://schemas.openxmlformats.org/officeDocument/2006/relationships/hyperlink" Target="http://eea.government.bg/wp/publicregister/PWSRegisters.aspx" TargetMode="External"/><Relationship Id="rId228" Type="http://schemas.openxmlformats.org/officeDocument/2006/relationships/hyperlink" Target="http://iara.government.bg/wp-content/uploads/2017/10/Bulgarian_National-Bottom-Trawl-Survey-Spring-2016_Turbot_BG.pdf" TargetMode="External"/><Relationship Id="rId435" Type="http://schemas.openxmlformats.org/officeDocument/2006/relationships/hyperlink" Target="https://ec.europa.eu/eurostat/web/products-eurostat-news/-/DDN-20200513-2" TargetMode="External"/><Relationship Id="rId477" Type="http://schemas.openxmlformats.org/officeDocument/2006/relationships/hyperlink" Target="https://www.mi.government.bg/bg/themes/inovacionna-strategiya-za-inteligentna-specializaciya-na-republika-balgariya-2014-2020-g-1806-287.html" TargetMode="External"/><Relationship Id="rId281" Type="http://schemas.openxmlformats.org/officeDocument/2006/relationships/hyperlink" Target="http://eea.government.bg/bg/bio/opos/activities-results/CS_DD.pdf" TargetMode="External"/><Relationship Id="rId337" Type="http://schemas.openxmlformats.org/officeDocument/2006/relationships/hyperlink" Target="https://www.bsbd.org/UserFiles/File/Initial%20Assessment.pdf" TargetMode="External"/><Relationship Id="rId34" Type="http://schemas.openxmlformats.org/officeDocument/2006/relationships/image" Target="media/image16.png"/><Relationship Id="rId76" Type="http://schemas.openxmlformats.org/officeDocument/2006/relationships/hyperlink" Target="http://www.fao.org/gfcm/data/capture-production" TargetMode="External"/><Relationship Id="rId141" Type="http://schemas.openxmlformats.org/officeDocument/2006/relationships/hyperlink" Target="https://bsbd.org/bg/index_bg_1668393.html" TargetMode="External"/><Relationship Id="rId379" Type="http://schemas.openxmlformats.org/officeDocument/2006/relationships/hyperlink" Target="http://eur-lex.europa.eu/legal-content/BG/TXT/PDF/?uri=CELEX:32014L0089&amp;from=BG" TargetMode="External"/><Relationship Id="rId7" Type="http://schemas.openxmlformats.org/officeDocument/2006/relationships/endnotes" Target="endnotes.xml"/><Relationship Id="rId183" Type="http://schemas.openxmlformats.org/officeDocument/2006/relationships/hyperlink" Target="http://www.eea.government.bg/zpo/bg/result1.jsp" TargetMode="External"/><Relationship Id="rId239" Type="http://schemas.openxmlformats.org/officeDocument/2006/relationships/hyperlink" Target="https://www.bsbd.org/UserFiles/File/projects/ISMEIMP/ISMEIMP%20Project%20Final%20Report.pdf" TargetMode="External"/><Relationship Id="rId390" Type="http://schemas.openxmlformats.org/officeDocument/2006/relationships/hyperlink" Target="http://www.bgports.bg/bg/page/24" TargetMode="External"/><Relationship Id="rId404" Type="http://schemas.openxmlformats.org/officeDocument/2006/relationships/hyperlink" Target="http://www.bunarco.org/bg/dokladi.html" TargetMode="External"/><Relationship Id="rId446" Type="http://schemas.openxmlformats.org/officeDocument/2006/relationships/hyperlink" Target="https://eur-lex.europa.eu/legal-content/BG/TXT/PDF/?uri=CELEX:32000L0060&amp;from=BG" TargetMode="External"/><Relationship Id="rId250" Type="http://schemas.openxmlformats.org/officeDocument/2006/relationships/hyperlink" Target="https://www.bsbd.org/UserFiles/File/projects/ISMEIMP/ISMEIMP%20Project%20Final%20Report.pdf" TargetMode="External"/><Relationship Id="rId292" Type="http://schemas.openxmlformats.org/officeDocument/2006/relationships/hyperlink" Target="http://iara.government.bg/wp-content/uploads/2017/10/Pelagic_Survey_2017_IO-BAS_BG.pdf" TargetMode="External"/><Relationship Id="rId306" Type="http://schemas.openxmlformats.org/officeDocument/2006/relationships/hyperlink" Target="http://iara.government.bg/wp-content/uploads/2017/10/Pelagic_Survey_2017_IO-BAS_BG.pdf" TargetMode="External"/><Relationship Id="rId45" Type="http://schemas.openxmlformats.org/officeDocument/2006/relationships/image" Target="media/image26.png"/><Relationship Id="rId87" Type="http://schemas.openxmlformats.org/officeDocument/2006/relationships/hyperlink" Target="https://eur-lex.europa.eu/legal-content/BG/TXT/HTML/?uri=CELEX:32009L0028&amp;from=BG" TargetMode="External"/><Relationship Id="rId110" Type="http://schemas.openxmlformats.org/officeDocument/2006/relationships/hyperlink" Target="https://www.burgas.bg/uploads/420728ff5d6e4c378b8e4bf1f7743829.pdf" TargetMode="External"/><Relationship Id="rId348" Type="http://schemas.openxmlformats.org/officeDocument/2006/relationships/hyperlink" Target="https://www.coastsandmarine.vic.gov.au/__data/assets/pdf_file/0022/65443/Marine-Coastal__Summary_Report_web.pdf" TargetMode="External"/><Relationship Id="rId152" Type="http://schemas.openxmlformats.org/officeDocument/2006/relationships/hyperlink" Target="https://www.south-stream-transport.com/project/document-library/" TargetMode="External"/><Relationship Id="rId194" Type="http://schemas.openxmlformats.org/officeDocument/2006/relationships/hyperlink" Target="http://eea.government.bg/bg/bio/opos/activities-results/CS_DD.pdf" TargetMode="External"/><Relationship Id="rId208" Type="http://schemas.openxmlformats.org/officeDocument/2006/relationships/hyperlink" Target="http://eea.government.bg/bg/bio/opos/activities-results/CS_DD.pdf" TargetMode="External"/><Relationship Id="rId415" Type="http://schemas.openxmlformats.org/officeDocument/2006/relationships/hyperlink" Target="http://www.marsplan.ro/en/results/case-study/432-bourgas.html" TargetMode="External"/><Relationship Id="rId457" Type="http://schemas.openxmlformats.org/officeDocument/2006/relationships/hyperlink" Target="https://rm.coe.int/1680700173" TargetMode="External"/><Relationship Id="rId261" Type="http://schemas.openxmlformats.org/officeDocument/2006/relationships/hyperlink" Target="https://www.bsbd.org/UserFiles/File/projects/ISMEIMP/ISMEIMP%20Project%20Final%20Report.pdf" TargetMode="External"/><Relationship Id="rId14" Type="http://schemas.openxmlformats.org/officeDocument/2006/relationships/diagramData" Target="diagrams/data1.xml"/><Relationship Id="rId56" Type="http://schemas.openxmlformats.org/officeDocument/2006/relationships/hyperlink" Target="https://www.me.government.bg/bg/themes/koncesii-za-dobiv-735-406.html" TargetMode="External"/><Relationship Id="rId317" Type="http://schemas.openxmlformats.org/officeDocument/2006/relationships/hyperlink" Target="http://bgodc.io-bas.bg/documents/2012/Final%20reports/Vol%203/REPORT-integrated-WFD-last%20all.pdf" TargetMode="External"/><Relationship Id="rId359" Type="http://schemas.openxmlformats.org/officeDocument/2006/relationships/hyperlink" Target="http://projects.nvna.eu/iissczm%20/" TargetMode="External"/><Relationship Id="rId98" Type="http://schemas.openxmlformats.org/officeDocument/2006/relationships/hyperlink" Target="http://www.aksakovo.net/section-156-obschinski_plan_za_razvi.html" TargetMode="External"/><Relationship Id="rId121" Type="http://schemas.openxmlformats.org/officeDocument/2006/relationships/hyperlink" Target="http://bgodc.io-bas.bg/documents/" TargetMode="External"/><Relationship Id="rId163" Type="http://schemas.openxmlformats.org/officeDocument/2006/relationships/hyperlink" Target="https://www.south-stream-transport.com/project/document-library/" TargetMode="External"/><Relationship Id="rId219" Type="http://schemas.openxmlformats.org/officeDocument/2006/relationships/hyperlink" Target="http://iara.government.bg/wp-content/uploads/2017/10/Bulgarian_National-Bottom-Trawl-Survey-Spring-2016_Turbot_BG.pdf" TargetMode="External"/><Relationship Id="rId370" Type="http://schemas.openxmlformats.org/officeDocument/2006/relationships/hyperlink" Target="https://wise-test.eionet.europa.eu/marine" TargetMode="External"/><Relationship Id="rId426" Type="http://schemas.openxmlformats.org/officeDocument/2006/relationships/hyperlink" Target="http://www.tourism.government.bg/sites/tourism.government.bg/files/documents/2018-01/nsurtb_2014-2030.pdf" TargetMode="External"/><Relationship Id="rId230" Type="http://schemas.openxmlformats.org/officeDocument/2006/relationships/hyperlink" Target="http://iara.government.bg/wp-content/uploads/2017/10/Bulgarian_National-Bottom-Trawl-Survey-Spring-2016_Turbot_BG.pdf" TargetMode="External"/><Relationship Id="rId468" Type="http://schemas.openxmlformats.org/officeDocument/2006/relationships/hyperlink" Target="https://www.cbd.int/ecosystem/" TargetMode="External"/><Relationship Id="rId25" Type="http://schemas.openxmlformats.org/officeDocument/2006/relationships/image" Target="media/image9.png"/><Relationship Id="rId67" Type="http://schemas.openxmlformats.org/officeDocument/2006/relationships/hyperlink" Target="http://www.niggg.bas.bg/" TargetMode="External"/><Relationship Id="rId272" Type="http://schemas.openxmlformats.org/officeDocument/2006/relationships/hyperlink" Target="http://eea.government.bg/bg/bio/opos/activities-results/CS_DD.pdf" TargetMode="External"/><Relationship Id="rId328" Type="http://schemas.openxmlformats.org/officeDocument/2006/relationships/hyperlink" Target="http://bgodc.io-bas.bg/documents/2012/Final%20reports/Vol%203/REPORT-integrated-WFD-last%20all.pdf" TargetMode="External"/><Relationship Id="rId132" Type="http://schemas.openxmlformats.org/officeDocument/2006/relationships/hyperlink" Target="http://www.mrrb.government.bg/bg/regionalni-planove-za-razvitie-na-rajonite-ot-nivo-2-za-perioda-2014-2020-g-prieti-s-reshenie-na-ms/" TargetMode="External"/><Relationship Id="rId174" Type="http://schemas.openxmlformats.org/officeDocument/2006/relationships/hyperlink" Target="http://eea.government.bg/wp/publicregister/PWSRegisters.aspx" TargetMode="External"/><Relationship Id="rId381" Type="http://schemas.openxmlformats.org/officeDocument/2006/relationships/hyperlink" Target="http://gz-varna.mrrb.government.bg/map/" TargetMode="External"/><Relationship Id="rId241" Type="http://schemas.openxmlformats.org/officeDocument/2006/relationships/hyperlink" Target="https://www.bsbd.org/UserFiles/File/projects/ISMEIMP/ISMEIMP%20Project%20Final%20Report.pdf" TargetMode="External"/><Relationship Id="rId437" Type="http://schemas.openxmlformats.org/officeDocument/2006/relationships/hyperlink" Target="https://ec.europa.eu/maritimeaffairs/policy/blue_growth_bg" TargetMode="External"/><Relationship Id="rId479" Type="http://schemas.openxmlformats.org/officeDocument/2006/relationships/hyperlink" Target="https://www.moew.government.bg/static/media/ups/tiny/filebase/Nature/Natura%202000/RAMSAR/Black_Sea_Wet_Catalog-Final.pdf" TargetMode="External"/><Relationship Id="rId36" Type="http://schemas.openxmlformats.org/officeDocument/2006/relationships/image" Target="media/image18.png"/><Relationship Id="rId283" Type="http://schemas.openxmlformats.org/officeDocument/2006/relationships/hyperlink" Target="http://eea.government.bg/bg/bio/opos/activities-results/CS_DD.pdf" TargetMode="External"/><Relationship Id="rId339" Type="http://schemas.openxmlformats.org/officeDocument/2006/relationships/hyperlink" Target="https://doi.org/10.12681/mms.18099" TargetMode="External"/><Relationship Id="rId78" Type="http://schemas.openxmlformats.org/officeDocument/2006/relationships/hyperlink" Target="https://doi.org/10.17895/ices.pub.5471" TargetMode="External"/><Relationship Id="rId101" Type="http://schemas.openxmlformats.org/officeDocument/2006/relationships/hyperlink" Target="https://www.mod.bg/bg/doc/strategicheski/20160419_Natsioanalna_otbranitelna_strategia_RMS_283_18.04.2016.pdf" TargetMode="External"/><Relationship Id="rId143" Type="http://schemas.openxmlformats.org/officeDocument/2006/relationships/hyperlink" Target="https://bsbd.org/bg/index_bg_1668393.html" TargetMode="External"/><Relationship Id="rId185" Type="http://schemas.openxmlformats.org/officeDocument/2006/relationships/hyperlink" Target="http://bsbd.org" TargetMode="External"/><Relationship Id="rId350" Type="http://schemas.openxmlformats.org/officeDocument/2006/relationships/hyperlink" Target="https://tethys.pnnl.gov/sites/default/files/publications/Marine-Scotland-2011_0115355.pdf" TargetMode="External"/><Relationship Id="rId406" Type="http://schemas.openxmlformats.org/officeDocument/2006/relationships/hyperlink" Target="http://www.fao.org/3/i3640e/i3640e.pdf" TargetMode="External"/><Relationship Id="rId9" Type="http://schemas.openxmlformats.org/officeDocument/2006/relationships/image" Target="media/image2.png"/><Relationship Id="rId210" Type="http://schemas.openxmlformats.org/officeDocument/2006/relationships/hyperlink" Target="http://iara.government.bg/wp-content/uploads/2017/10/Bulgarian_National-Bottom-Trawl-Survey-Spring-2016_Turbot_BG.pdf" TargetMode="External"/><Relationship Id="rId392" Type="http://schemas.openxmlformats.org/officeDocument/2006/relationships/hyperlink" Target="http://www.blacksea-commission.org/" TargetMode="External"/><Relationship Id="rId448" Type="http://schemas.openxmlformats.org/officeDocument/2006/relationships/hyperlink" Target="https://eur-lex.europa.eu/LexUriServ/LexUriServ.do?uri=COM:2008:0791:FIN:BG:PDF" TargetMode="External"/><Relationship Id="rId252" Type="http://schemas.openxmlformats.org/officeDocument/2006/relationships/hyperlink" Target="https://www.bsbd.org/UserFiles/File/projects/ISMEIMP/ISMEIMP%20Project%20Final%20Report.pdf" TargetMode="External"/><Relationship Id="rId294" Type="http://schemas.openxmlformats.org/officeDocument/2006/relationships/hyperlink" Target="http://iara.government.bg/wp-content/uploads/2017/10/Pelagic_Survey_2017_IO-BAS_BG.pdf" TargetMode="External"/><Relationship Id="rId308" Type="http://schemas.openxmlformats.org/officeDocument/2006/relationships/hyperlink" Target="http://bgodc.io-bas.bg/documents/2012/Final%20reports/Vol%203/REPORT-integrated-WFD-last%20all.pdf" TargetMode="External"/><Relationship Id="rId47" Type="http://schemas.openxmlformats.org/officeDocument/2006/relationships/image" Target="media/image28.emf"/><Relationship Id="rId89" Type="http://schemas.openxmlformats.org/officeDocument/2006/relationships/hyperlink" Target="http://eur-lex.europa.eu/legal-content/BG/TXT/?uri=CELEX%3A32014L0089" TargetMode="External"/><Relationship Id="rId112" Type="http://schemas.openxmlformats.org/officeDocument/2006/relationships/hyperlink" Target="http://www.varna.bg/bg/html" TargetMode="External"/><Relationship Id="rId154" Type="http://schemas.openxmlformats.org/officeDocument/2006/relationships/hyperlink" Target="https://www.south-stream-transport.com/project/document-library/" TargetMode="External"/><Relationship Id="rId361" Type="http://schemas.openxmlformats.org/officeDocument/2006/relationships/hyperlink" Target="http://www.bsbd.org/bg/index_bg_3907923.html" TargetMode="External"/><Relationship Id="rId196" Type="http://schemas.openxmlformats.org/officeDocument/2006/relationships/hyperlink" Target="http://eea.government.bg/bg/bio/opos/activities-results/CS_DD.pdf" TargetMode="External"/><Relationship Id="rId417" Type="http://schemas.openxmlformats.org/officeDocument/2006/relationships/hyperlink" Target="http://www.moew.government.bg/bg/vodi/morski-vodi/konvenciya-za-opazvane-na-cherno-more-ot-zamursyavane/" TargetMode="External"/><Relationship Id="rId459" Type="http://schemas.openxmlformats.org/officeDocument/2006/relationships/hyperlink" Target="https://unctad.org/en/PublicationsLibrary/ditctedinf2020d2_en.pdf" TargetMode="External"/><Relationship Id="rId16" Type="http://schemas.openxmlformats.org/officeDocument/2006/relationships/diagramQuickStyle" Target="diagrams/quickStyle1.xml"/><Relationship Id="rId221" Type="http://schemas.openxmlformats.org/officeDocument/2006/relationships/hyperlink" Target="http://iara.government.bg/wp-content/uploads/2017/10/Bulgarian_National-Bottom-Trawl-Survey-Spring-2016_Turbot_BG.pdf" TargetMode="External"/><Relationship Id="rId263" Type="http://schemas.openxmlformats.org/officeDocument/2006/relationships/hyperlink" Target="http://eea.government.bg/bg/bio/opos/activities-results/CS_DD.pdf" TargetMode="External"/><Relationship Id="rId319" Type="http://schemas.openxmlformats.org/officeDocument/2006/relationships/hyperlink" Target="http://bgodc.io-bas.bg/documents/2012/Final%20reports/Vol%203/REPORT-integrated-WFD-last%20all.pdf" TargetMode="External"/><Relationship Id="rId470" Type="http://schemas.openxmlformats.org/officeDocument/2006/relationships/hyperlink" Target="https://www.ebrd.com/news/2020/ebrd-economies-seen-contracting-by-35-per-cent-in-2020-48-per-cent-rebound-in-2021.html" TargetMode="External"/><Relationship Id="rId58" Type="http://schemas.openxmlformats.org/officeDocument/2006/relationships/hyperlink" Target="https://www.eea.europa.eu/data-and-maps/data/eea-coastline-for-analysis-2" TargetMode="External"/><Relationship Id="rId123" Type="http://schemas.openxmlformats.org/officeDocument/2006/relationships/hyperlink" Target="http://bgodc.io-bas.bg/documents/" TargetMode="External"/><Relationship Id="rId330" Type="http://schemas.openxmlformats.org/officeDocument/2006/relationships/hyperlink" Target="http://bgodc.io-bas.bg/documents/2012/Final%20reports/Vol%203/REPORT-integrated-WFD-last%20all.pdf" TargetMode="External"/><Relationship Id="rId165" Type="http://schemas.openxmlformats.org/officeDocument/2006/relationships/hyperlink" Target="https://www.south-stream-transport.com/project/document-library/" TargetMode="External"/><Relationship Id="rId372" Type="http://schemas.openxmlformats.org/officeDocument/2006/relationships/hyperlink" Target="http://cdr.eionet.europa.eu/bg/eu/msfd_mp/" TargetMode="External"/><Relationship Id="rId428" Type="http://schemas.openxmlformats.org/officeDocument/2006/relationships/hyperlink" Target="http://www3.weforum.org/docs/WEF_TheGlobalCompetitivenessReport2019.pdf" TargetMode="External"/><Relationship Id="rId232" Type="http://schemas.openxmlformats.org/officeDocument/2006/relationships/hyperlink" Target="http://iara.government.bg/wp-content/uploads/2017/10/Bulgarian_National-Bottom-Trawl-Survey-Spring-2016_Turbot_BG.pdf" TargetMode="External"/><Relationship Id="rId274" Type="http://schemas.openxmlformats.org/officeDocument/2006/relationships/hyperlink" Target="http://eea.government.bg/bg/bio/opos/activities-results/CS_DD.pdf" TargetMode="External"/><Relationship Id="rId481" Type="http://schemas.openxmlformats.org/officeDocument/2006/relationships/hyperlink" Target="https://www.mrrb.bg/bg/nacionalna-programa-za-prevenciya-i-ogranichavane-na-svlachistata-na-teritoriyata-na-republika-bulgariya-eroziyata-i-abraziyata-po-dunavskoto-i-chernomorskoto-krajbrejie-2015-2020-g-i-dopulnenie-kum-neya-s-novovuzniknali-77199/" TargetMode="External"/><Relationship Id="rId27" Type="http://schemas.openxmlformats.org/officeDocument/2006/relationships/hyperlink" Target="https://bg.wikipedia.org/wiki/%D0%A1%D0%BE%D1%84%D0%B8%D1%8F" TargetMode="External"/><Relationship Id="rId69" Type="http://schemas.openxmlformats.org/officeDocument/2006/relationships/image" Target="media/image37.png"/><Relationship Id="rId134" Type="http://schemas.openxmlformats.org/officeDocument/2006/relationships/hyperlink" Target="http://www.bsh.de/en/Marine_uses/Spatial_Planning_in_the_German_EEZ/documents2/Spatial_Plan_Baltic_Sea.pdf" TargetMode="External"/><Relationship Id="rId80" Type="http://schemas.openxmlformats.org/officeDocument/2006/relationships/hyperlink" Target="http://msp.ioc-unesco.org/msp-guides/msp-step-by-step-approach/" TargetMode="External"/><Relationship Id="rId176" Type="http://schemas.openxmlformats.org/officeDocument/2006/relationships/hyperlink" Target="http://eea.government.bg/wp/publicregister/PWSRegisters.aspx" TargetMode="External"/><Relationship Id="rId341" Type="http://schemas.openxmlformats.org/officeDocument/2006/relationships/hyperlink" Target="https://ec.europa.eu/info/sites/info/files/economy-finance/ip125_en.pdf" TargetMode="External"/><Relationship Id="rId383" Type="http://schemas.openxmlformats.org/officeDocument/2006/relationships/hyperlink" Target="http://mc.government.bg/files/5495_Strategy_culture_.pdf" TargetMode="External"/><Relationship Id="rId439" Type="http://schemas.openxmlformats.org/officeDocument/2006/relationships/hyperlink" Target="https://ec.europa.eu/maritimeaffairs/sites/maritimeaffairs/files/2020_06_blueeconomy-2020-ld_final.pdf" TargetMode="External"/><Relationship Id="rId201" Type="http://schemas.openxmlformats.org/officeDocument/2006/relationships/hyperlink" Target="http://eea.government.bg/bg/bio/opos/activities-results/CS_DD.pdf" TargetMode="External"/><Relationship Id="rId243" Type="http://schemas.openxmlformats.org/officeDocument/2006/relationships/hyperlink" Target="https://www.bsbd.org/UserFiles/File/projects/ISMEIMP/ISMEIMP%20Project%20Final%20Report.pdf" TargetMode="External"/><Relationship Id="rId285" Type="http://schemas.openxmlformats.org/officeDocument/2006/relationships/hyperlink" Target="https://www.bsbd.org/UserFiles/File/projects/ISMEIMP/ISMEIMP%20Project%20Final%20Report.pdf" TargetMode="External"/><Relationship Id="rId450" Type="http://schemas.openxmlformats.org/officeDocument/2006/relationships/hyperlink" Target="https://experience.bg/kude-da-akostirate-po-bulgarskoto-kraibrejie-chast-i-severno-chernomorie" TargetMode="External"/><Relationship Id="rId38" Type="http://schemas.openxmlformats.org/officeDocument/2006/relationships/image" Target="media/image20.png"/><Relationship Id="rId103" Type="http://schemas.openxmlformats.org/officeDocument/2006/relationships/hyperlink" Target="https://www.bsbd.org/bg/index_bg_5493788.html" TargetMode="External"/><Relationship Id="rId310" Type="http://schemas.openxmlformats.org/officeDocument/2006/relationships/hyperlink" Target="http://bgodc.io-bas.bg/documents/2012/Final%20reports/Vol%203/REPORT-integrated-WFD-last%20all.pdf" TargetMode="External"/><Relationship Id="rId91" Type="http://schemas.openxmlformats.org/officeDocument/2006/relationships/hyperlink" Target="http://eur-lex.europa.eu/legal-content/EN/TXT/HTML/?uri=LEGISSUM:l66029&amp;from=EN" TargetMode="External"/><Relationship Id="rId145" Type="http://schemas.openxmlformats.org/officeDocument/2006/relationships/hyperlink" Target="https://bsbd.org/bg/index_bg_1668393.html" TargetMode="External"/><Relationship Id="rId187" Type="http://schemas.openxmlformats.org/officeDocument/2006/relationships/hyperlink" Target="https://www.unicef.bg/assets/PDFs/WWL/Transforming_our_world_BG.pdf" TargetMode="External"/><Relationship Id="rId352" Type="http://schemas.openxmlformats.org/officeDocument/2006/relationships/hyperlink" Target="https://www.marineinsight.com/tech/11-technologies-that-are-used-to-study-and-understand-oceans/" TargetMode="External"/><Relationship Id="rId394" Type="http://schemas.openxmlformats.org/officeDocument/2006/relationships/hyperlink" Target="http://www.blacksea-commission.org/_publications.asp" TargetMode="External"/><Relationship Id="rId408" Type="http://schemas.openxmlformats.org/officeDocument/2006/relationships/hyperlink" Target="http://www.iber.bas.bg/sites/default/files/2017/IPU_Kaliakra/IPU-Kaliakra-draft-26-06-2017.pdf" TargetMode="External"/><Relationship Id="rId212" Type="http://schemas.openxmlformats.org/officeDocument/2006/relationships/hyperlink" Target="http://iara.government.bg/wp-content/uploads/2017/10/Bulgarian_National-Bottom-Trawl-Survey-Spring-2016_Turbot_BG.pdf" TargetMode="External"/><Relationship Id="rId254" Type="http://schemas.openxmlformats.org/officeDocument/2006/relationships/hyperlink" Target="https://www.bsbd.org/UserFiles/File/projects/ISMEIMP/ISMEIMP%20Project%20Final%20Report.pdf" TargetMode="External"/><Relationship Id="rId49" Type="http://schemas.openxmlformats.org/officeDocument/2006/relationships/image" Target="media/image30.png"/><Relationship Id="rId114" Type="http://schemas.openxmlformats.org/officeDocument/2006/relationships/hyperlink" Target="http://www.sozopol.bg/index.php?option=com_content&amp;view=article&amp;id=7504:-2014-2020&amp;catid=212:2012-04-13-05-05-04&amp;Itemid=91" TargetMode="External"/><Relationship Id="rId296" Type="http://schemas.openxmlformats.org/officeDocument/2006/relationships/hyperlink" Target="http://iara.government.bg/wp-content/uploads/2017/10/Pelagic_Survey_2017_IO-BAS_BG.pdf" TargetMode="External"/><Relationship Id="rId461" Type="http://schemas.openxmlformats.org/officeDocument/2006/relationships/hyperlink" Target="https://unesdoc.unesco.org/in/documentViewer.xhtml?v=2.1.196&amp;id=p::usmarcdef_0000227779&amp;file=/in/rest/annotationSVC/DownloadWatermarkedAttachment/attach_import_acd86716-c5f8-432d-96bf-a42daa4dd6b0%3F_%3D227779eng.pdf&amp;locale=en&amp;multi=true&amp;ark=/ark:/48223/pf0000227779/PDF/227779eng.pdf" TargetMode="External"/><Relationship Id="rId60" Type="http://schemas.openxmlformats.org/officeDocument/2006/relationships/image" Target="media/image33.jpeg"/><Relationship Id="rId156" Type="http://schemas.openxmlformats.org/officeDocument/2006/relationships/hyperlink" Target="https://www.south-stream-transport.com/project/document-library/" TargetMode="External"/><Relationship Id="rId198" Type="http://schemas.openxmlformats.org/officeDocument/2006/relationships/hyperlink" Target="http://eea.government.bg/bg/bio/opos/activities-results/CS_DD.pdf" TargetMode="External"/><Relationship Id="rId321" Type="http://schemas.openxmlformats.org/officeDocument/2006/relationships/hyperlink" Target="http://bgodc.io-bas.bg/documents/2012/Final%20reports/Vol%203/REPORT-integrated-WFD-last%20all.pdf" TargetMode="External"/><Relationship Id="rId363" Type="http://schemas.openxmlformats.org/officeDocument/2006/relationships/hyperlink" Target="http://www.bulris.bg/Main" TargetMode="External"/><Relationship Id="rId419" Type="http://schemas.openxmlformats.org/officeDocument/2006/relationships/hyperlink" Target="http://www.perseus-net.eu/site/content.php" TargetMode="External"/><Relationship Id="rId223" Type="http://schemas.openxmlformats.org/officeDocument/2006/relationships/hyperlink" Target="http://iara.government.bg/wp-content/uploads/2017/10/Bulgarian_National-Bottom-Trawl-Survey-Spring-2016_Turbot_BG.pdf" TargetMode="External"/><Relationship Id="rId430" Type="http://schemas.openxmlformats.org/officeDocument/2006/relationships/hyperlink" Target="https://blacksea-cbc.net/" TargetMode="External"/><Relationship Id="rId18" Type="http://schemas.microsoft.com/office/2007/relationships/diagramDrawing" Target="diagrams/drawing1.xml"/><Relationship Id="rId265" Type="http://schemas.openxmlformats.org/officeDocument/2006/relationships/hyperlink" Target="http://eea.government.bg/bg/bio/opos/activities-results/CS_DD.pdf" TargetMode="External"/><Relationship Id="rId472" Type="http://schemas.openxmlformats.org/officeDocument/2006/relationships/hyperlink" Target="https://www.emodnet.eu/portals" TargetMode="External"/><Relationship Id="rId125" Type="http://schemas.openxmlformats.org/officeDocument/2006/relationships/hyperlink" Target="http://bgodc.io-bas.bg/documents/" TargetMode="External"/><Relationship Id="rId167" Type="http://schemas.openxmlformats.org/officeDocument/2006/relationships/hyperlink" Target="http://www.bsbd.org/UserFiles/File/Initial%20Assessment_new.pdf" TargetMode="External"/><Relationship Id="rId332" Type="http://schemas.openxmlformats.org/officeDocument/2006/relationships/hyperlink" Target="http://bgodc.io-bas.bg/documents/2012/Final%20reports/Vol%203/REPORT-integrated-WFD-last%20all.pdf" TargetMode="External"/><Relationship Id="rId374" Type="http://schemas.openxmlformats.org/officeDocument/2006/relationships/hyperlink" Target="http://dx.publications.europa.eu/10.2760/93257" TargetMode="External"/><Relationship Id="rId71" Type="http://schemas.openxmlformats.org/officeDocument/2006/relationships/hyperlink" Target="http://www.imo.org/en/about/conventions/listofconventions/pages/international-convention-for-the-prevention-of-pollution-from-ships-(marpol).aspx" TargetMode="External"/><Relationship Id="rId234" Type="http://schemas.openxmlformats.org/officeDocument/2006/relationships/hyperlink" Target="http://iara.government.bg/wp-content/uploads/2017/10/Bulgarian_National-Bottom-Trawl-Survey-Spring-2016_Turbot_BG.pdf" TargetMode="External"/><Relationship Id="rId2" Type="http://schemas.openxmlformats.org/officeDocument/2006/relationships/numbering" Target="numbering.xml"/><Relationship Id="rId29" Type="http://schemas.openxmlformats.org/officeDocument/2006/relationships/image" Target="media/image11.png"/><Relationship Id="rId276" Type="http://schemas.openxmlformats.org/officeDocument/2006/relationships/hyperlink" Target="http://eea.government.bg/bg/bio/opos/activities-results/CS_DD.pdf" TargetMode="External"/><Relationship Id="rId441" Type="http://schemas.openxmlformats.org/officeDocument/2006/relationships/hyperlink" Target="https://ec.europa.eu/regional_policy/en/information/maps/regional_competitiveness/" TargetMode="External"/><Relationship Id="rId483" Type="http://schemas.openxmlformats.org/officeDocument/2006/relationships/hyperlink" Target="https://www.mtitc.government.bg/bg/category/42/integrirana-transportna-strategiya-v-perioda-do-2030-g" TargetMode="External"/><Relationship Id="rId40" Type="http://schemas.openxmlformats.org/officeDocument/2006/relationships/image" Target="media/image22.png"/><Relationship Id="rId136" Type="http://schemas.openxmlformats.org/officeDocument/2006/relationships/hyperlink" Target="http://bgodc.io-bas.bg/documents/2018/" TargetMode="External"/><Relationship Id="rId178" Type="http://schemas.openxmlformats.org/officeDocument/2006/relationships/hyperlink" Target="http://eea.government.bg/wp/publicregister/PWSRegisters.aspx" TargetMode="External"/><Relationship Id="rId301" Type="http://schemas.openxmlformats.org/officeDocument/2006/relationships/hyperlink" Target="http://iara.government.bg/wp-content/uploads/2017/10/Pelagic_Survey_2017_IO-BAS_BG.pdf" TargetMode="External"/><Relationship Id="rId343" Type="http://schemas.openxmlformats.org/officeDocument/2006/relationships/hyperlink" Target="https://www.ilo.org/wcmsp5/groups/public/@dgreports/@dcomm/documents/briefingnote/wcms_745337.pdf" TargetMode="External"/><Relationship Id="rId82" Type="http://schemas.openxmlformats.org/officeDocument/2006/relationships/hyperlink" Target="http://eur-lex.europa.eu/legal-content/BG/TXT/?uri=CELEX%3A32001L0042" TargetMode="External"/><Relationship Id="rId203" Type="http://schemas.openxmlformats.org/officeDocument/2006/relationships/hyperlink" Target="http://eea.government.bg/bg/bio/opos/activities-results/CS_DD.pdf" TargetMode="External"/><Relationship Id="rId385" Type="http://schemas.openxmlformats.org/officeDocument/2006/relationships/hyperlink" Target="http://publications.europa.eu/resource/cellar/f07ab00e-3795-4146-8739-07dc585b97ad.0008.01/DOC_1h" TargetMode="External"/><Relationship Id="rId245" Type="http://schemas.openxmlformats.org/officeDocument/2006/relationships/hyperlink" Target="https://www.bsbd.org/UserFiles/File/projects/ISMEIMP/ISMEIMP%20Project%20Final%20Report.pdf" TargetMode="External"/><Relationship Id="rId287" Type="http://schemas.openxmlformats.org/officeDocument/2006/relationships/hyperlink" Target="http://iara.government.bg/wp-content/uploads/2017/10/Pelagic_Survey_2017_IO-BAS_BG.pdf" TargetMode="External"/><Relationship Id="rId410" Type="http://schemas.openxmlformats.org/officeDocument/2006/relationships/hyperlink" Target="http://www.interreg-balkanmed.eu/approved-project/9/" TargetMode="External"/><Relationship Id="rId452" Type="http://schemas.openxmlformats.org/officeDocument/2006/relationships/hyperlink" Target="https://kais.cadastre.bg/bg/Map" TargetMode="External"/><Relationship Id="rId105" Type="http://schemas.openxmlformats.org/officeDocument/2006/relationships/hyperlink" Target="http://www.vn.government.bg/stranici/%CE%D1%D0%20%ED%E0%20%C2%E0%F0%ED%E5%ED%F1%EA%E0%20%EE%E1%EB%E0%F1%F2%202014-2020.pdf" TargetMode="External"/><Relationship Id="rId147" Type="http://schemas.openxmlformats.org/officeDocument/2006/relationships/hyperlink" Target="https://bsbd.org/bg/index_bg_1668393.html" TargetMode="External"/><Relationship Id="rId312" Type="http://schemas.openxmlformats.org/officeDocument/2006/relationships/hyperlink" Target="http://bgodc.io-bas.bg/documents/2012/Final%20reports/Vol%203/REPORT-integrated-WFD-last%20all.pdf" TargetMode="External"/><Relationship Id="rId354" Type="http://schemas.openxmlformats.org/officeDocument/2006/relationships/hyperlink" Target="https://www.researchgate.net/publication/279030409_The_Importance_of_Technology_for_the_Marine_and_Maritime_Sectors" TargetMode="External"/><Relationship Id="rId51" Type="http://schemas.openxmlformats.org/officeDocument/2006/relationships/image" Target="media/image32.emf"/><Relationship Id="rId93" Type="http://schemas.openxmlformats.org/officeDocument/2006/relationships/hyperlink" Target="http://www.europarl.europa.eu/RegData/docs_autres_institutions/commission_europeenne/com/2007/0575/COM_COM(2007)0575_BG.pdf" TargetMode="External"/><Relationship Id="rId189" Type="http://schemas.openxmlformats.org/officeDocument/2006/relationships/hyperlink" Target="http://eea.government.bg/bg/bio/opos/activities-results/CS_DD.pdf" TargetMode="External"/><Relationship Id="rId396" Type="http://schemas.openxmlformats.org/officeDocument/2006/relationships/hyperlink" Target="http://www.bsbd.org/bg/marine_env_assessment.html" TargetMode="External"/><Relationship Id="rId214" Type="http://schemas.openxmlformats.org/officeDocument/2006/relationships/hyperlink" Target="http://iara.government.bg/wp-content/uploads/2017/10/Bulgarian_National-Bottom-Trawl-Survey-Spring-2016_Turbot_BG.pdf" TargetMode="External"/><Relationship Id="rId256" Type="http://schemas.openxmlformats.org/officeDocument/2006/relationships/hyperlink" Target="https://www.bsbd.org/UserFiles/File/projects/ISMEIMP/ISMEIMP%20Project%20Final%20Report.pdf" TargetMode="External"/><Relationship Id="rId298" Type="http://schemas.openxmlformats.org/officeDocument/2006/relationships/hyperlink" Target="http://iara.government.bg/wp-content/uploads/2017/10/Pelagic_Survey_2017_IO-BAS_BG.pdf" TargetMode="External"/><Relationship Id="rId421" Type="http://schemas.openxmlformats.org/officeDocument/2006/relationships/hyperlink" Target="http://www.strategy.bg/PublicConsultations/View.aspx?lang=bg-BG&amp;Id=2990" TargetMode="External"/><Relationship Id="rId463" Type="http://schemas.openxmlformats.org/officeDocument/2006/relationships/hyperlink" Target="https://water.europa.eu/marine" TargetMode="External"/><Relationship Id="rId116" Type="http://schemas.openxmlformats.org/officeDocument/2006/relationships/hyperlink" Target="http://www.moew.government.bg/bg/vodi/planove-za-upravlenie/planove-za-upravlenie-na-rechnite-basejni-purb/" TargetMode="External"/><Relationship Id="rId137" Type="http://schemas.openxmlformats.org/officeDocument/2006/relationships/hyperlink" Target="http://eea.government.bg/bg/soer/2017" TargetMode="External"/><Relationship Id="rId158" Type="http://schemas.openxmlformats.org/officeDocument/2006/relationships/hyperlink" Target="https://www.south-stream-transport.com/project/document-library/" TargetMode="External"/><Relationship Id="rId302" Type="http://schemas.openxmlformats.org/officeDocument/2006/relationships/hyperlink" Target="http://iara.government.bg/wp-content/uploads/2017/10/Pelagic_Survey_2017_IO-BAS_BG.pdf" TargetMode="External"/><Relationship Id="rId323" Type="http://schemas.openxmlformats.org/officeDocument/2006/relationships/hyperlink" Target="http://bgodc.io-bas.bg/documents/2012/Final%20reports/Vol%203/REPORT-integrated-WFD-last%20all.pdf" TargetMode="External"/><Relationship Id="rId344" Type="http://schemas.openxmlformats.org/officeDocument/2006/relationships/hyperlink" Target="https://doi.org/10.1016/j.marpolbul.2012.09.012" TargetMode="Externa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image" Target="media/image35.jpeg"/><Relationship Id="rId83" Type="http://schemas.openxmlformats.org/officeDocument/2006/relationships/hyperlink" Target="http://eur-lex.europa.eu/legal-content/BG/ALL/?uri=CELEX:32002L0084" TargetMode="External"/><Relationship Id="rId179" Type="http://schemas.openxmlformats.org/officeDocument/2006/relationships/hyperlink" Target="http://eea.government.bg/wp/publicregister/PWSRegisters.aspx" TargetMode="External"/><Relationship Id="rId365" Type="http://schemas.openxmlformats.org/officeDocument/2006/relationships/hyperlink" Target="http://www.cross.bg/nablyudenie-sistemi-morsko-1531942.html" TargetMode="External"/><Relationship Id="rId386" Type="http://schemas.openxmlformats.org/officeDocument/2006/relationships/hyperlink" Target="http://register.consilium.europa.eu/doc/srv?l=EN&amp;f=ST%2011205%202014%20INIT" TargetMode="External"/><Relationship Id="rId190" Type="http://schemas.openxmlformats.org/officeDocument/2006/relationships/hyperlink" Target="http://eea.government.bg/bg/bio/opos/activities-results/CS_DD.pdf" TargetMode="External"/><Relationship Id="rId204" Type="http://schemas.openxmlformats.org/officeDocument/2006/relationships/hyperlink" Target="http://eea.government.bg/bg/bio/opos/activities-results/CS_DD.pdf" TargetMode="External"/><Relationship Id="rId225" Type="http://schemas.openxmlformats.org/officeDocument/2006/relationships/hyperlink" Target="http://iara.government.bg/wp-content/uploads/2017/10/Bulgarian_National-Bottom-Trawl-Survey-Spring-2016_Turbot_BG.pdf" TargetMode="External"/><Relationship Id="rId246" Type="http://schemas.openxmlformats.org/officeDocument/2006/relationships/hyperlink" Target="https://www.bsbd.org/UserFiles/File/projects/ISMEIMP/ISMEIMP%20Project%20Final%20Report.pdf" TargetMode="External"/><Relationship Id="rId267" Type="http://schemas.openxmlformats.org/officeDocument/2006/relationships/hyperlink" Target="http://eea.government.bg/bg/bio/opos/activities-results/CS_DD.pdf" TargetMode="External"/><Relationship Id="rId288" Type="http://schemas.openxmlformats.org/officeDocument/2006/relationships/hyperlink" Target="http://iara.government.bg/wp-content/uploads/2017/10/Pelagic_Survey_2017_IO-BAS_BG.pdf" TargetMode="External"/><Relationship Id="rId411" Type="http://schemas.openxmlformats.org/officeDocument/2006/relationships/hyperlink" Target="http://www.marineregions.org/gazetteer.php?p=details&amp;id=5672" TargetMode="External"/><Relationship Id="rId432" Type="http://schemas.openxmlformats.org/officeDocument/2006/relationships/hyperlink" Target="https://bsbd.org/bg/register.html" TargetMode="External"/><Relationship Id="rId453" Type="http://schemas.openxmlformats.org/officeDocument/2006/relationships/hyperlink" Target="https://kis-orca.eu/map/" TargetMode="External"/><Relationship Id="rId474" Type="http://schemas.openxmlformats.org/officeDocument/2006/relationships/hyperlink" Target="https://www.eufunds.bg/sites/default/files/uploads/pmdr/docs/2020-07/Final%20Draft%20Analysis%20All%2030062020.pdf" TargetMode="External"/><Relationship Id="rId106" Type="http://schemas.openxmlformats.org/officeDocument/2006/relationships/hyperlink" Target="http://dobrich.government.bg/ipage.php?id=320" TargetMode="External"/><Relationship Id="rId127" Type="http://schemas.openxmlformats.org/officeDocument/2006/relationships/hyperlink" Target="http://bgodc.io-bas.bg/documents/" TargetMode="External"/><Relationship Id="rId313" Type="http://schemas.openxmlformats.org/officeDocument/2006/relationships/hyperlink" Target="http://bgodc.io-bas.bg/documents/2012/Final%20reports/Vol%203/REPORT-integrated-WFD-last%20all.pdf" TargetMode="External"/><Relationship Id="rId10" Type="http://schemas.openxmlformats.org/officeDocument/2006/relationships/image" Target="media/image3.png"/><Relationship Id="rId31" Type="http://schemas.openxmlformats.org/officeDocument/2006/relationships/image" Target="media/image13.png"/><Relationship Id="rId52" Type="http://schemas.openxmlformats.org/officeDocument/2006/relationships/hyperlink" Target="https://www.me.government.bg/files/useruploads/files/karti/eve_wgs35_nefi&amp;gaz.pdf" TargetMode="External"/><Relationship Id="rId73" Type="http://schemas.openxmlformats.org/officeDocument/2006/relationships/hyperlink" Target="http://www.kantei.go.jp/jp/singi/kaiyou/konkyo5.pdf" TargetMode="External"/><Relationship Id="rId94" Type="http://schemas.openxmlformats.org/officeDocument/2006/relationships/hyperlink" Target="https://www.bsbd.org/bg/index_bg_5493788.html" TargetMode="External"/><Relationship Id="rId148" Type="http://schemas.openxmlformats.org/officeDocument/2006/relationships/hyperlink" Target="https://bsbd.org/bg/index_bg_1668393.html" TargetMode="External"/><Relationship Id="rId169" Type="http://schemas.openxmlformats.org/officeDocument/2006/relationships/hyperlink" Target="http://eea.government.bg/wp/publicregister/PWSRegisters.aspx" TargetMode="External"/><Relationship Id="rId334" Type="http://schemas.openxmlformats.org/officeDocument/2006/relationships/hyperlink" Target="http://bgodc.io-bas.bg/documents/2012/Final%20reports/Vol%203/REPORT-integrated-WFD-last%20all.pdf" TargetMode="External"/><Relationship Id="rId355" Type="http://schemas.openxmlformats.org/officeDocument/2006/relationships/hyperlink" Target="http://www.coconet-fp7.eu/images/sci-pub/118_Todorova_edited%20(2).pdf)" TargetMode="External"/><Relationship Id="rId376" Type="http://schemas.openxmlformats.org/officeDocument/2006/relationships/hyperlink" Target="http://eea.government.bg/bg/ecosystems/B9MARINE_BG_PRINT.pdf" TargetMode="External"/><Relationship Id="rId397" Type="http://schemas.openxmlformats.org/officeDocument/2006/relationships/hyperlink" Target="http://www.bsbd.org/bg/merki_13_rdms.html" TargetMode="External"/><Relationship Id="rId4" Type="http://schemas.openxmlformats.org/officeDocument/2006/relationships/settings" Target="settings.xml"/><Relationship Id="rId180" Type="http://schemas.openxmlformats.org/officeDocument/2006/relationships/hyperlink" Target="http://eea.government.bg/wp/publicregister/PWSRegisters.aspx" TargetMode="External"/><Relationship Id="rId215" Type="http://schemas.openxmlformats.org/officeDocument/2006/relationships/hyperlink" Target="http://iara.government.bg/wp-content/uploads/2017/10/Bulgarian_National-Bottom-Trawl-Survey-Spring-2016_Turbot_BG.pdf" TargetMode="External"/><Relationship Id="rId236" Type="http://schemas.openxmlformats.org/officeDocument/2006/relationships/hyperlink" Target="http://iara.government.bg/wp-content/uploads/2017/10/Bulgarian_National-Bottom-Trawl-Survey-Spring-2016_Turbot_BG.pdf" TargetMode="External"/><Relationship Id="rId257" Type="http://schemas.openxmlformats.org/officeDocument/2006/relationships/hyperlink" Target="https://www.bsbd.org/UserFiles/File/projects/ISMEIMP/ISMEIMP%20Project%20Final%20Report.pdf" TargetMode="External"/><Relationship Id="rId278" Type="http://schemas.openxmlformats.org/officeDocument/2006/relationships/hyperlink" Target="http://eea.government.bg/bg/bio/opos/activities-results/CS_DD.pdf" TargetMode="External"/><Relationship Id="rId401" Type="http://schemas.openxmlformats.org/officeDocument/2006/relationships/hyperlink" Target="http://www.bsbd.org/bg/page_1722859.html" TargetMode="External"/><Relationship Id="rId422" Type="http://schemas.openxmlformats.org/officeDocument/2006/relationships/hyperlink" Target="http://www.strategy.bg/StaticPages/CalculatingManual.aspx?guidanceType=2&amp;sectionName=PublicConsultationStandards" TargetMode="External"/><Relationship Id="rId443" Type="http://schemas.openxmlformats.org/officeDocument/2006/relationships/hyperlink" Target="https://eunis.eea.europa.eu/" TargetMode="External"/><Relationship Id="rId464" Type="http://schemas.openxmlformats.org/officeDocument/2006/relationships/hyperlink" Target="https://webunwto.s3.eu-west-1.amazonaws.com/s3fs-public/2020-04/COVID19_Recommendations_English_1.pdf" TargetMode="External"/><Relationship Id="rId303" Type="http://schemas.openxmlformats.org/officeDocument/2006/relationships/hyperlink" Target="http://iara.government.bg/wp-content/uploads/2017/10/Pelagic_Survey_2017_IO-BAS_BG.pdf" TargetMode="External"/><Relationship Id="rId485" Type="http://schemas.openxmlformats.org/officeDocument/2006/relationships/hyperlink" Target="https://www.unicef.bg/assets/PDFs/WWL/Transforming_our_world_BG.pdf" TargetMode="External"/><Relationship Id="rId42" Type="http://schemas.openxmlformats.org/officeDocument/2006/relationships/image" Target="media/image24.emf"/><Relationship Id="rId84" Type="http://schemas.openxmlformats.org/officeDocument/2006/relationships/hyperlink" Target="http://eur-lex.europa.eu/legal-content/BG/ALL/?uri=celex:32003L0035" TargetMode="External"/><Relationship Id="rId138" Type="http://schemas.openxmlformats.org/officeDocument/2006/relationships/hyperlink" Target="https://bsbd.org/bg/index_bg_1668393.html" TargetMode="External"/><Relationship Id="rId345" Type="http://schemas.openxmlformats.org/officeDocument/2006/relationships/hyperlink" Target="http://www.south-stream-offshore.com" TargetMode="External"/><Relationship Id="rId387" Type="http://schemas.openxmlformats.org/officeDocument/2006/relationships/hyperlink" Target="http://unesco-bg.org/file_store/konventsiya_podvoddno_nasledstvo.pdf" TargetMode="External"/><Relationship Id="rId191" Type="http://schemas.openxmlformats.org/officeDocument/2006/relationships/hyperlink" Target="http://eea.government.bg/bg/bio/opos/activities-results/CS_DD.pdf" TargetMode="External"/><Relationship Id="rId205" Type="http://schemas.openxmlformats.org/officeDocument/2006/relationships/hyperlink" Target="http://eea.government.bg/bg/bio/opos/activities-results/CS_DD.pdf" TargetMode="External"/><Relationship Id="rId247" Type="http://schemas.openxmlformats.org/officeDocument/2006/relationships/hyperlink" Target="https://www.bsbd.org/UserFiles/File/projects/ISMEIMP/ISMEIMP%20Project%20Final%20Report.pdf" TargetMode="External"/><Relationship Id="rId412" Type="http://schemas.openxmlformats.org/officeDocument/2006/relationships/hyperlink" Target="http://www.marsplan.ro/bg/" TargetMode="External"/><Relationship Id="rId107" Type="http://schemas.openxmlformats.org/officeDocument/2006/relationships/hyperlink" Target="http://www.strategy.bg/PublicConsultations/View.aspx?lang=bg-BG&amp;Id=1356" TargetMode="External"/><Relationship Id="rId289" Type="http://schemas.openxmlformats.org/officeDocument/2006/relationships/hyperlink" Target="http://iara.government.bg/wp-content/uploads/2017/10/Pelagic_Survey_2017_IO-BAS_BG.pdf" TargetMode="External"/><Relationship Id="rId454" Type="http://schemas.openxmlformats.org/officeDocument/2006/relationships/hyperlink" Target="https://op.europa.eu/en/publication-detail/-/publication/676bbd4a-7dd9-11e9-9f05-01aa75ed71a1/language-en/" TargetMode="External"/><Relationship Id="rId11" Type="http://schemas.openxmlformats.org/officeDocument/2006/relationships/image" Target="media/image2.jpeg"/><Relationship Id="rId53" Type="http://schemas.openxmlformats.org/officeDocument/2006/relationships/hyperlink" Target="https://www.me.government.bg/bg/themes/koncesii-za-dobiv-735-406.html" TargetMode="External"/><Relationship Id="rId149" Type="http://schemas.openxmlformats.org/officeDocument/2006/relationships/hyperlink" Target="https://www.south-stream-transport.com/project/document-library/" TargetMode="External"/><Relationship Id="rId314" Type="http://schemas.openxmlformats.org/officeDocument/2006/relationships/hyperlink" Target="http://bgodc.io-bas.bg/documents/2012/Final%20reports/Vol%203/REPORT-integrated-WFD-last%20all.pdf" TargetMode="External"/><Relationship Id="rId356" Type="http://schemas.openxmlformats.org/officeDocument/2006/relationships/hyperlink" Target="http://eea.government.bg/bg/opos_2014-2020/opos_os3" TargetMode="External"/><Relationship Id="rId398" Type="http://schemas.openxmlformats.org/officeDocument/2006/relationships/hyperlink" Target="http://www.bsbd.org/bg/merki_13_rdms.html" TargetMode="External"/><Relationship Id="rId95" Type="http://schemas.openxmlformats.org/officeDocument/2006/relationships/hyperlink" Target="https://www.bsbd.org/bg/index_bg_5493788.html" TargetMode="External"/><Relationship Id="rId160" Type="http://schemas.openxmlformats.org/officeDocument/2006/relationships/hyperlink" Target="https://www.south-stream-transport.com/project/document-library/" TargetMode="External"/><Relationship Id="rId216" Type="http://schemas.openxmlformats.org/officeDocument/2006/relationships/hyperlink" Target="http://iara.government.bg/wp-content/uploads/2017/10/Bulgarian_National-Bottom-Trawl-Survey-Spring-2016_Turbot_BG.pdf" TargetMode="External"/><Relationship Id="rId423" Type="http://schemas.openxmlformats.org/officeDocument/2006/relationships/hyperlink" Target="http://www.strategy.bg/StrategicDocuments/View.aspx?lang=bg-BG&amp;Id=1231" TargetMode="External"/><Relationship Id="rId258" Type="http://schemas.openxmlformats.org/officeDocument/2006/relationships/hyperlink" Target="https://www.bsbd.org/UserFiles/File/projects/ISMEIMP/ISMEIMP%20Project%20Final%20Report.pdf" TargetMode="External"/><Relationship Id="rId465" Type="http://schemas.openxmlformats.org/officeDocument/2006/relationships/hyperlink" Target="https://www.bsbd.org/UserFiles/File/Sea/Notice_E%D0%9E_MS&amp;PoM.pdf" TargetMode="External"/><Relationship Id="rId22" Type="http://schemas.openxmlformats.org/officeDocument/2006/relationships/image" Target="media/image6.png"/><Relationship Id="rId64" Type="http://schemas.openxmlformats.org/officeDocument/2006/relationships/header" Target="header2.xml"/><Relationship Id="rId118" Type="http://schemas.openxmlformats.org/officeDocument/2006/relationships/hyperlink" Target="file:///C:\Users\Vesselina\Downloads\http" TargetMode="External"/><Relationship Id="rId325" Type="http://schemas.openxmlformats.org/officeDocument/2006/relationships/hyperlink" Target="http://bgodc.io-bas.bg/documents/2012/Final%20reports/Vol%203/REPORT-integrated-WFD-last%20all.pdf" TargetMode="External"/><Relationship Id="rId367" Type="http://schemas.openxmlformats.org/officeDocument/2006/relationships/hyperlink" Target="https://ec.europa.eu/maritimeaffairs/atlas/maritime_atlas/" TargetMode="External"/><Relationship Id="rId171" Type="http://schemas.openxmlformats.org/officeDocument/2006/relationships/hyperlink" Target="http://eea.government.bg/wp/publicregister/PWSRegisters.aspx" TargetMode="External"/><Relationship Id="rId227" Type="http://schemas.openxmlformats.org/officeDocument/2006/relationships/hyperlink" Target="http://iara.government.bg/wp-content/uploads/2017/10/Bulgarian_National-Bottom-Trawl-Survey-Spring-2016_Turbot_BG.pdf" TargetMode="External"/><Relationship Id="rId269" Type="http://schemas.openxmlformats.org/officeDocument/2006/relationships/hyperlink" Target="http://eea.government.bg/bg/bio/opos/activities-results/CS_DD.pdf" TargetMode="External"/><Relationship Id="rId434" Type="http://schemas.openxmlformats.org/officeDocument/2006/relationships/hyperlink" Target="https://ec.europa.eu/environment/iczm/pdf/LSI_FINAL20180417_digital.pdf" TargetMode="External"/><Relationship Id="rId476" Type="http://schemas.openxmlformats.org/officeDocument/2006/relationships/hyperlink" Target="https://www.me.government.bg/bg/themes/energiina-strategiya-na-republika-balgariya-do-2020-g-147-295.html" TargetMode="External"/><Relationship Id="rId33" Type="http://schemas.openxmlformats.org/officeDocument/2006/relationships/image" Target="media/image15.png"/><Relationship Id="rId129" Type="http://schemas.openxmlformats.org/officeDocument/2006/relationships/hyperlink" Target="http://bgodc.io-bas.bg/documents/" TargetMode="External"/><Relationship Id="rId280" Type="http://schemas.openxmlformats.org/officeDocument/2006/relationships/hyperlink" Target="http://eea.government.bg/bg/bio/opos/activities-results/CS_DD.pdf" TargetMode="External"/><Relationship Id="rId336" Type="http://schemas.openxmlformats.org/officeDocument/2006/relationships/hyperlink" Target="http://bgodc.io-bas.bg/documents/2012/Final%20reports/Vol%203/REPORT-integrated-WFD-last%20all.pdf" TargetMode="External"/><Relationship Id="rId75" Type="http://schemas.openxmlformats.org/officeDocument/2006/relationships/hyperlink" Target="http://whc.unesco.org/en/conventiontext" TargetMode="External"/><Relationship Id="rId140" Type="http://schemas.openxmlformats.org/officeDocument/2006/relationships/hyperlink" Target="https://bsbd.org/bg/index_bg_1668393.html" TargetMode="External"/><Relationship Id="rId182" Type="http://schemas.openxmlformats.org/officeDocument/2006/relationships/hyperlink" Target="http://eea.government.bg/wp/publicregister/PWSRegisters.aspx" TargetMode="External"/><Relationship Id="rId378" Type="http://schemas.openxmlformats.org/officeDocument/2006/relationships/hyperlink" Target="http://eea.government.bg/zpo/bg/area.jsp?NEM_Partition=1&amp;categoryID=6&amp;areaID=145" TargetMode="External"/><Relationship Id="rId403" Type="http://schemas.openxmlformats.org/officeDocument/2006/relationships/hyperlink" Target="http://www.bsec-organization.org/" TargetMode="External"/><Relationship Id="rId6" Type="http://schemas.openxmlformats.org/officeDocument/2006/relationships/footnotes" Target="footnotes.xml"/><Relationship Id="rId238" Type="http://schemas.openxmlformats.org/officeDocument/2006/relationships/hyperlink" Target="http://iara.government.bg/wp-content/uploads/2017/10/Bulgarian-National-Bottom-Trawl-Survey-autumn_2016_Turbot_BG.pdf" TargetMode="External"/><Relationship Id="rId445" Type="http://schemas.openxmlformats.org/officeDocument/2006/relationships/hyperlink" Target="https://eur-lex.europa.eu/legal-content/BG/TXT/?uri=CELEX%3A32008L0056" TargetMode="External"/><Relationship Id="rId487" Type="http://schemas.openxmlformats.org/officeDocument/2006/relationships/theme" Target="theme/theme1.xml"/><Relationship Id="rId291" Type="http://schemas.openxmlformats.org/officeDocument/2006/relationships/hyperlink" Target="http://iara.government.bg/wp-content/uploads/2017/10/Pelagic_Survey_2017_IO-BAS_BG.pdf" TargetMode="External"/><Relationship Id="rId305" Type="http://schemas.openxmlformats.org/officeDocument/2006/relationships/hyperlink" Target="http://iara.government.bg/wp-content/uploads/2017/10/Pelagic_Survey_2017_IO-BAS_BG.pdf" TargetMode="External"/><Relationship Id="rId347" Type="http://schemas.openxmlformats.org/officeDocument/2006/relationships/hyperlink" Target="https://obamawhitehouse.archives.gov/sites/default/files/national_ocean_policy_implementation_plan.pdf" TargetMode="External"/><Relationship Id="rId44" Type="http://schemas.openxmlformats.org/officeDocument/2006/relationships/hyperlink" Target="https://en.wikipedia.org/wiki/Caucasus_Cable_System" TargetMode="External"/><Relationship Id="rId86" Type="http://schemas.openxmlformats.org/officeDocument/2006/relationships/hyperlink" Target="http://eur-lex.europa.eu/legal-content/BG/TXT/?uri=CELEX%3A32009L0017" TargetMode="External"/><Relationship Id="rId151" Type="http://schemas.openxmlformats.org/officeDocument/2006/relationships/hyperlink" Target="https://www.south-stream-transport.com/project/document-library/" TargetMode="External"/><Relationship Id="rId389" Type="http://schemas.openxmlformats.org/officeDocument/2006/relationships/hyperlink" Target="http://uni-sz.bg/truni11/wp-content/uploads/biblioteka/file/TUNI10015968.pdf" TargetMode="External"/><Relationship Id="rId193" Type="http://schemas.openxmlformats.org/officeDocument/2006/relationships/hyperlink" Target="http://eea.government.bg/bg/bio/opos/activities-results/CS_DD.pdf" TargetMode="External"/><Relationship Id="rId207" Type="http://schemas.openxmlformats.org/officeDocument/2006/relationships/hyperlink" Target="http://eea.government.bg/bg/bio/opos/activities-results/CS_DD.pdf" TargetMode="External"/><Relationship Id="rId249" Type="http://schemas.openxmlformats.org/officeDocument/2006/relationships/hyperlink" Target="https://www.bsbd.org/UserFiles/File/projects/ISMEIMP/ISMEIMP%20Project%20Final%20Report.pdf" TargetMode="External"/><Relationship Id="rId414" Type="http://schemas.openxmlformats.org/officeDocument/2006/relationships/hyperlink" Target="http://www.marsplan.ro/en/results.html" TargetMode="External"/><Relationship Id="rId456" Type="http://schemas.openxmlformats.org/officeDocument/2006/relationships/hyperlink" Target="https://reports.weforum.org/travel-and-tourism-competitiveness-report-2019/country-profiles/" TargetMode="External"/><Relationship Id="rId13" Type="http://schemas.openxmlformats.org/officeDocument/2006/relationships/footer" Target="footer1.xml"/><Relationship Id="rId109" Type="http://schemas.openxmlformats.org/officeDocument/2006/relationships/hyperlink" Target="http://www.aksakovo.net/section-156-obschinski_plan_za_razvi.html" TargetMode="External"/><Relationship Id="rId260" Type="http://schemas.openxmlformats.org/officeDocument/2006/relationships/hyperlink" Target="https://www.bsbd.org/UserFiles/File/projects/ISMEIMP/ISMEIMP%20Project%20Final%20Report.pdf" TargetMode="External"/><Relationship Id="rId316" Type="http://schemas.openxmlformats.org/officeDocument/2006/relationships/hyperlink" Target="http://bgodc.io-bas.bg/documents/2012/Final%20reports/Vol%203/REPORT-integrated-WFD-last%20all.pdf" TargetMode="External"/><Relationship Id="rId55" Type="http://schemas.openxmlformats.org/officeDocument/2006/relationships/hyperlink" Target="https://www.bsbd.org/registri/r/pvo_za_drugi_celi_black_sea.xlsx" TargetMode="External"/><Relationship Id="rId97" Type="http://schemas.openxmlformats.org/officeDocument/2006/relationships/hyperlink" Target="https://www.bsbd.org/UserFiles/File/Sea/Zad-MS-PoM.pdf" TargetMode="External"/><Relationship Id="rId120" Type="http://schemas.openxmlformats.org/officeDocument/2006/relationships/hyperlink" Target="http://bgodc.io-bas.bg/documents/" TargetMode="External"/><Relationship Id="rId358" Type="http://schemas.openxmlformats.org/officeDocument/2006/relationships/hyperlink" Target="https://www.moew.government.bg/bg/vodi/opazvane-na-vodite-ot-zamursyavane/kanalizacionni-sistemi/dokladi/" TargetMode="External"/><Relationship Id="rId162" Type="http://schemas.openxmlformats.org/officeDocument/2006/relationships/hyperlink" Target="https://www.south-stream-transport.com/project/document-library/" TargetMode="External"/><Relationship Id="rId218" Type="http://schemas.openxmlformats.org/officeDocument/2006/relationships/hyperlink" Target="http://iara.government.bg/wp-content/uploads/2017/10/Bulgarian_National-Bottom-Trawl-Survey-Spring-2016_Turbot_BG.pdf" TargetMode="External"/><Relationship Id="rId425" Type="http://schemas.openxmlformats.org/officeDocument/2006/relationships/hyperlink" Target="http://www.tourism.government.bg/" TargetMode="External"/><Relationship Id="rId467" Type="http://schemas.openxmlformats.org/officeDocument/2006/relationships/hyperlink" Target="https://www.buurtwijs.nl/sites/default/files/buurtwijs/bestanden/jane_jacobs_the_death_and_life_of_great_american.pdf" TargetMode="External"/><Relationship Id="rId271" Type="http://schemas.openxmlformats.org/officeDocument/2006/relationships/hyperlink" Target="http://eea.government.bg/bg/bio/opos/activities-results/CS_DD.pdf" TargetMode="External"/><Relationship Id="rId24" Type="http://schemas.openxmlformats.org/officeDocument/2006/relationships/image" Target="media/image8.jpeg"/><Relationship Id="rId66" Type="http://schemas.openxmlformats.org/officeDocument/2006/relationships/hyperlink" Target="http://www.iber.bas.bg/?q=bg/node/1" TargetMode="External"/><Relationship Id="rId131" Type="http://schemas.openxmlformats.org/officeDocument/2006/relationships/hyperlink" Target="http://www.mrrb.government.bg/bg/regionalni-planove-za-razvitie-na-rajonite-ot-nivo-2-za-perioda-2014-2020-g-prieti-s-reshenie-na-ms/" TargetMode="External"/><Relationship Id="rId327" Type="http://schemas.openxmlformats.org/officeDocument/2006/relationships/hyperlink" Target="http://bgodc.io-bas.bg/documents/2012/Final%20reports/Vol%203/REPORT-integrated-WFD-last%20all.pdf" TargetMode="External"/><Relationship Id="rId369" Type="http://schemas.openxmlformats.org/officeDocument/2006/relationships/hyperlink" Target="https://www.msp-platform.eu/countries/united-kingdom" TargetMode="External"/><Relationship Id="rId173" Type="http://schemas.openxmlformats.org/officeDocument/2006/relationships/hyperlink" Target="http://eea.government.bg/wp/publicregister/PWSRegisters.aspx" TargetMode="External"/><Relationship Id="rId229" Type="http://schemas.openxmlformats.org/officeDocument/2006/relationships/hyperlink" Target="http://iara.government.bg/wp-content/uploads/2017/10/Bulgarian_National-Bottom-Trawl-Survey-Spring-2016_Turbot_BG.pdf" TargetMode="External"/><Relationship Id="rId380" Type="http://schemas.openxmlformats.org/officeDocument/2006/relationships/hyperlink" Target="http://eurogoos.eu/ferrybox-task-team/" TargetMode="External"/><Relationship Id="rId436" Type="http://schemas.openxmlformats.org/officeDocument/2006/relationships/hyperlink" Target="https://ec.europa.eu/maritimeaffairs/maritimeday/sites/mare-emd/files/burgas-visionpaper_en.pdf" TargetMode="External"/><Relationship Id="rId240" Type="http://schemas.openxmlformats.org/officeDocument/2006/relationships/hyperlink" Target="https://www.bsbd.org/UserFiles/File/projects/ISMEIMP/ISMEIMP%20Project%20Final%20Report.pdf" TargetMode="External"/><Relationship Id="rId478" Type="http://schemas.openxmlformats.org/officeDocument/2006/relationships/hyperlink" Target="https://www.moew.government.bg/bg/klimat/mejdunarodni-pregovori-i-adaptaciya/adaptaciya/" TargetMode="External"/><Relationship Id="rId35" Type="http://schemas.openxmlformats.org/officeDocument/2006/relationships/image" Target="media/image17.png"/><Relationship Id="rId77" Type="http://schemas.openxmlformats.org/officeDocument/2006/relationships/hyperlink" Target="http://www.iucngisd.org/gisd/species.php?sc=95" TargetMode="External"/><Relationship Id="rId100" Type="http://schemas.openxmlformats.org/officeDocument/2006/relationships/hyperlink" Target="http://www.mrrb.government.bg/static/media/ups/articles/attachments/d747ca682ac1a70380428fd1dc664fb3.pdf" TargetMode="External"/><Relationship Id="rId282" Type="http://schemas.openxmlformats.org/officeDocument/2006/relationships/hyperlink" Target="http://eea.government.bg/bg/bio/opos/activities-results/CS_DD.pdf" TargetMode="External"/><Relationship Id="rId338" Type="http://schemas.openxmlformats.org/officeDocument/2006/relationships/hyperlink" Target="https://www.bsbd.org/UserFiles/File/projects/ISMEIMP/ISMEIMP%20Project%20Final%20Report.pdf" TargetMode="External"/><Relationship Id="rId8" Type="http://schemas.openxmlformats.org/officeDocument/2006/relationships/image" Target="media/image1.png"/><Relationship Id="rId142" Type="http://schemas.openxmlformats.org/officeDocument/2006/relationships/hyperlink" Target="https://bsbd.org/bg/index_bg_1668393.html" TargetMode="External"/><Relationship Id="rId184" Type="http://schemas.openxmlformats.org/officeDocument/2006/relationships/hyperlink" Target="https://www.riosv-varna.org/docs/RIOSV-Varna%20Doklad%20OS%202018.pdf" TargetMode="External"/><Relationship Id="rId391" Type="http://schemas.openxmlformats.org/officeDocument/2006/relationships/hyperlink" Target="http://www.blacksea-commission.org/" TargetMode="External"/><Relationship Id="rId405" Type="http://schemas.openxmlformats.org/officeDocument/2006/relationships/hyperlink" Target="http://www.devotes-project.eu/wp-content/uploads/2014/06/DEVOTES-D1-1-ConceptualModels.pdf" TargetMode="External"/><Relationship Id="rId447" Type="http://schemas.openxmlformats.org/officeDocument/2006/relationships/hyperlink" Target="https://eur-lex.europa.eu/legal-content/BG/TXT/PDF/?uri=CELEX:32007L0060&amp;from=BG" TargetMode="External"/><Relationship Id="rId251" Type="http://schemas.openxmlformats.org/officeDocument/2006/relationships/hyperlink" Target="https://www.bsbd.org/UserFiles/File/projects/ISMEIMP/ISMEIMP%20Project%20Final%20Report.pdf" TargetMode="External"/><Relationship Id="rId46" Type="http://schemas.openxmlformats.org/officeDocument/2006/relationships/image" Target="media/image27.emf"/><Relationship Id="rId293" Type="http://schemas.openxmlformats.org/officeDocument/2006/relationships/hyperlink" Target="http://iara.government.bg/wp-content/uploads/2017/10/Pelagic_Survey_2017_IO-BAS_BG.pdf" TargetMode="External"/><Relationship Id="rId307" Type="http://schemas.openxmlformats.org/officeDocument/2006/relationships/hyperlink" Target="http://iara.government.bg/wp-content/uploads/2017/10/Pelagic_Survey_2017_IO-BAS_BG.pdf" TargetMode="External"/><Relationship Id="rId349" Type="http://schemas.openxmlformats.org/officeDocument/2006/relationships/hyperlink" Target="http://www.msp-platform.eu/countries/netherlands" TargetMode="External"/><Relationship Id="rId88" Type="http://schemas.openxmlformats.org/officeDocument/2006/relationships/hyperlink" Target="http://eur-lex.europa.eu/legal-content/BG/TXT/?uri=uriserv%3AOJ.L_.2014.308.01.0082.01.BUL" TargetMode="External"/><Relationship Id="rId111" Type="http://schemas.openxmlformats.org/officeDocument/2006/relationships/hyperlink" Target="http://byala.bg/home/index.php/2014/01/27/plan-14-20/" TargetMode="External"/><Relationship Id="rId153" Type="http://schemas.openxmlformats.org/officeDocument/2006/relationships/hyperlink" Target="https://www.south-stream-transport.com/project/document-library/" TargetMode="External"/><Relationship Id="rId195" Type="http://schemas.openxmlformats.org/officeDocument/2006/relationships/hyperlink" Target="http://eea.government.bg/bg/bio/opos/activities-results/CS_DD.pdf" TargetMode="External"/><Relationship Id="rId209" Type="http://schemas.openxmlformats.org/officeDocument/2006/relationships/hyperlink" Target="http://www.io-bas.bg/downloads/Ocean_V4_12.pdf" TargetMode="External"/><Relationship Id="rId360" Type="http://schemas.openxmlformats.org/officeDocument/2006/relationships/hyperlink" Target="http://www.bgports.bg/bg/page/24" TargetMode="External"/><Relationship Id="rId416" Type="http://schemas.openxmlformats.org/officeDocument/2006/relationships/hyperlink" Target="http://www.moew.government.bg/bg/vodi/morski-vodi/konvenciya-za-opazvane-na-cherno-more-ot-zamursyavane/" TargetMode="External"/><Relationship Id="rId220" Type="http://schemas.openxmlformats.org/officeDocument/2006/relationships/hyperlink" Target="http://iara.government.bg/wp-content/uploads/2017/10/Bulgarian_National-Bottom-Trawl-Survey-Spring-2016_Turbot_BG.pdf" TargetMode="External"/><Relationship Id="rId458" Type="http://schemas.openxmlformats.org/officeDocument/2006/relationships/hyperlink" Target="https://seenews.com/companies/company_profile/burgaski-korabostroitelnitsi-ad-non-existent-2835" TargetMode="External"/><Relationship Id="rId15" Type="http://schemas.openxmlformats.org/officeDocument/2006/relationships/diagramLayout" Target="diagrams/layout1.xml"/><Relationship Id="rId57" Type="http://schemas.openxmlformats.org/officeDocument/2006/relationships/hyperlink" Target="https://www.moew.government.bg/bg/vodi/planove-za-upravlenie/planove-za-upravlenie-na-rechnite-basejni-purb/" TargetMode="External"/><Relationship Id="rId262" Type="http://schemas.openxmlformats.org/officeDocument/2006/relationships/hyperlink" Target="http://eea.government.bg/bg/bio/opos/activities-results/CS_TT.pdf" TargetMode="External"/><Relationship Id="rId318" Type="http://schemas.openxmlformats.org/officeDocument/2006/relationships/hyperlink" Target="http://bgodc.io-bas.bg/documents/2012/Final%20reports/Vol%203/REPORT-integrated-WFD-last%20all.pdf" TargetMode="External"/><Relationship Id="rId99" Type="http://schemas.openxmlformats.org/officeDocument/2006/relationships/hyperlink" Target="https://www.bsbd.org/UserFiles/bg/m_env_and_action.html" TargetMode="External"/><Relationship Id="rId122" Type="http://schemas.openxmlformats.org/officeDocument/2006/relationships/hyperlink" Target="http://bgodc.io-bas.bg/documents/" TargetMode="External"/><Relationship Id="rId164" Type="http://schemas.openxmlformats.org/officeDocument/2006/relationships/hyperlink" Target="https://www.south-stream-transport.com/project/document-library/" TargetMode="External"/><Relationship Id="rId371" Type="http://schemas.openxmlformats.org/officeDocument/2006/relationships/hyperlink" Target="http://eea.government.bg/zpo/bg/result1.jsp" TargetMode="External"/><Relationship Id="rId427" Type="http://schemas.openxmlformats.org/officeDocument/2006/relationships/hyperlink" Target="http://www.un.org/depts/los/consultative_process/documents/A21-Ch17.htm" TargetMode="External"/><Relationship Id="rId469" Type="http://schemas.openxmlformats.org/officeDocument/2006/relationships/hyperlink" Target="https://www.csis.org/analysis/covid-19-sea-impacts-blue-economy-ocean-health-and-ocean-security" TargetMode="External"/><Relationship Id="rId26" Type="http://schemas.openxmlformats.org/officeDocument/2006/relationships/hyperlink" Target="https://www.emodnet-humanactivities.eu/" TargetMode="External"/><Relationship Id="rId231" Type="http://schemas.openxmlformats.org/officeDocument/2006/relationships/hyperlink" Target="http://iara.government.bg/wp-content/uploads/2017/10/Bulgarian_National-Bottom-Trawl-Survey-Spring-2016_Turbot_BG.pdf" TargetMode="External"/><Relationship Id="rId273" Type="http://schemas.openxmlformats.org/officeDocument/2006/relationships/hyperlink" Target="http://eea.government.bg/bg/bio/opos/activities-results/CS_DD.pdf" TargetMode="External"/><Relationship Id="rId329" Type="http://schemas.openxmlformats.org/officeDocument/2006/relationships/hyperlink" Target="http://bgodc.io-bas.bg/documents/2012/Final%20reports/Vol%203/REPORT-integrated-WFD-last%20all.pdf" TargetMode="External"/><Relationship Id="rId480" Type="http://schemas.openxmlformats.org/officeDocument/2006/relationships/hyperlink" Target="https://www.moew.government.bg/static/media/ups/tiny/Press/Ramsar-knijka.pdf" TargetMode="External"/><Relationship Id="rId68" Type="http://schemas.openxmlformats.org/officeDocument/2006/relationships/hyperlink" Target="http://naim.bg/bg/content/category/100/32/" TargetMode="External"/><Relationship Id="rId133" Type="http://schemas.openxmlformats.org/officeDocument/2006/relationships/hyperlink" Target="http://www.marad.bg/upload/docs/SAR_Strategy.doc" TargetMode="External"/><Relationship Id="rId175" Type="http://schemas.openxmlformats.org/officeDocument/2006/relationships/hyperlink" Target="http://eea.government.bg/wp/publicregister/PWSRegisters.aspx" TargetMode="External"/><Relationship Id="rId340" Type="http://schemas.openxmlformats.org/officeDocument/2006/relationships/hyperlink" Target="https://doi.org/10.1016/j.marpolbul.2011.09.025" TargetMode="External"/><Relationship Id="rId200" Type="http://schemas.openxmlformats.org/officeDocument/2006/relationships/hyperlink" Target="http://eea.government.bg/bg/bio/opos/activities-results/CS_DD.pdf" TargetMode="External"/><Relationship Id="rId382" Type="http://schemas.openxmlformats.org/officeDocument/2006/relationships/hyperlink" Target="http://icbss.org/" TargetMode="External"/><Relationship Id="rId438" Type="http://schemas.openxmlformats.org/officeDocument/2006/relationships/hyperlink" Target="https://ec.europa.eu/maritimeaffairs/press/common-maritime-agenda-black-sea-motion_en" TargetMode="External"/><Relationship Id="rId242" Type="http://schemas.openxmlformats.org/officeDocument/2006/relationships/hyperlink" Target="https://www.bsbd.org/UserFiles/File/projects/ISMEIMP/ISMEIMP%20Project%20Final%20Report.pdf" TargetMode="External"/><Relationship Id="rId284" Type="http://schemas.openxmlformats.org/officeDocument/2006/relationships/hyperlink" Target="http://eea.government.bg/bg/bio/opos/activities-results/Doklad_Izhvyrleni_na_brega_kitopodobni.pdf" TargetMode="External"/><Relationship Id="rId37" Type="http://schemas.openxmlformats.org/officeDocument/2006/relationships/image" Target="media/image19.png"/><Relationship Id="rId79" Type="http://schemas.openxmlformats.org/officeDocument/2006/relationships/hyperlink" Target="http://msp.ioc-unesco.org/world-applications/americas/canada/" TargetMode="External"/><Relationship Id="rId102" Type="http://schemas.openxmlformats.org/officeDocument/2006/relationships/hyperlink" Target="http://www.mrrb.government.bg/static/media/ups/articles/attachments/9c601820f838fec4e00cb3332fab39d4.pdf" TargetMode="External"/><Relationship Id="rId144" Type="http://schemas.openxmlformats.org/officeDocument/2006/relationships/hyperlink" Target="https://bsbd.org/bg/index_bg_1668393.html" TargetMode="External"/><Relationship Id="rId90" Type="http://schemas.openxmlformats.org/officeDocument/2006/relationships/hyperlink" Target="http://eur-lex.europa.eu/legal-content/BG/TXT/?uri=CELEX%3A32015L2087" TargetMode="External"/><Relationship Id="rId186" Type="http://schemas.openxmlformats.org/officeDocument/2006/relationships/hyperlink" Target="http://e-ecodb.bas.bg/rdb/bg/vol2/" TargetMode="External"/><Relationship Id="rId351" Type="http://schemas.openxmlformats.org/officeDocument/2006/relationships/hyperlink" Target="http://e-ecodb.bas.bg/rdb/en/vol1/Genlutea.html" TargetMode="External"/><Relationship Id="rId393" Type="http://schemas.openxmlformats.org/officeDocument/2006/relationships/hyperlink" Target="http://www.blacksea-commission.org/_convention-fulltext.asp" TargetMode="External"/><Relationship Id="rId407" Type="http://schemas.openxmlformats.org/officeDocument/2006/relationships/hyperlink" Target="http://www.fao.org/fishery/en" TargetMode="External"/><Relationship Id="rId449" Type="http://schemas.openxmlformats.org/officeDocument/2006/relationships/hyperlink" Target="https://experience.bg/kude-da-akostirate-po-bulgarskoto-kraibrejie-chast-ii-iujno-chernomorie" TargetMode="External"/><Relationship Id="rId211" Type="http://schemas.openxmlformats.org/officeDocument/2006/relationships/hyperlink" Target="http://iara.government.bg/wp-content/uploads/2017/10/Bulgarian_National-Bottom-Trawl-Survey-Spring-2016_Turbot_BG.pdf" TargetMode="External"/><Relationship Id="rId253" Type="http://schemas.openxmlformats.org/officeDocument/2006/relationships/hyperlink" Target="https://www.bsbd.org/UserFiles/File/projects/ISMEIMP/ISMEIMP%20Project%20Final%20Report.pdf" TargetMode="External"/><Relationship Id="rId295" Type="http://schemas.openxmlformats.org/officeDocument/2006/relationships/hyperlink" Target="http://iara.government.bg/wp-content/uploads/2017/10/Pelagic_Survey_2017_IO-BAS_BG.pdf" TargetMode="External"/><Relationship Id="rId309" Type="http://schemas.openxmlformats.org/officeDocument/2006/relationships/hyperlink" Target="http://bgodc.io-bas.bg/documents/2012/Final%20reports/Vol%203/REPORT-integrated-WFD-last%20all.pdf" TargetMode="External"/><Relationship Id="rId460" Type="http://schemas.openxmlformats.org/officeDocument/2006/relationships/hyperlink" Target="https://unesdoc.unesco.org/ark:/48223/pf0000186559" TargetMode="External"/><Relationship Id="rId48" Type="http://schemas.openxmlformats.org/officeDocument/2006/relationships/image" Target="media/image29.png"/><Relationship Id="rId113" Type="http://schemas.openxmlformats.org/officeDocument/2006/relationships/hyperlink" Target="http://dolni-chiflik.acstre.com/assets/C/opr2014-2020.pdf" TargetMode="External"/><Relationship Id="rId320" Type="http://schemas.openxmlformats.org/officeDocument/2006/relationships/hyperlink" Target="http://bgodc.io-bas.bg/documents/2012/Final%20reports/Vol%203/REPORT-integrated-WFD-last%20all.pdf" TargetMode="External"/><Relationship Id="rId155" Type="http://schemas.openxmlformats.org/officeDocument/2006/relationships/hyperlink" Target="https://www.south-stream-transport.com/project/document-library/" TargetMode="External"/><Relationship Id="rId197" Type="http://schemas.openxmlformats.org/officeDocument/2006/relationships/hyperlink" Target="http://eea.government.bg/bg/bio/opos/activities-results/CS_DD.pdf" TargetMode="External"/><Relationship Id="rId362" Type="http://schemas.openxmlformats.org/officeDocument/2006/relationships/hyperlink" Target="http://www.bsbd.org/bg/msfd_monitoring.html" TargetMode="External"/><Relationship Id="rId418" Type="http://schemas.openxmlformats.org/officeDocument/2006/relationships/hyperlink" Target="http://www.pabsec.org/page.asp?id=1&amp;hl=en" TargetMode="External"/><Relationship Id="rId222" Type="http://schemas.openxmlformats.org/officeDocument/2006/relationships/hyperlink" Target="http://iara.government.bg/wp-content/uploads/2017/10/Bulgarian_National-Bottom-Trawl-Survey-Spring-2016_Turbot_BG.pdf" TargetMode="External"/><Relationship Id="rId264" Type="http://schemas.openxmlformats.org/officeDocument/2006/relationships/hyperlink" Target="http://eea.government.bg/bg/bio/opos/activities-results/CS_DD.pdf" TargetMode="External"/><Relationship Id="rId471" Type="http://schemas.openxmlformats.org/officeDocument/2006/relationships/hyperlink" Target="https://www.eea.europa.eu/themes/water/europes-seas-and-coasts/europes-seas-and-coasts" TargetMode="External"/><Relationship Id="rId17" Type="http://schemas.openxmlformats.org/officeDocument/2006/relationships/diagramColors" Target="diagrams/colors1.xml"/><Relationship Id="rId59" Type="http://schemas.openxmlformats.org/officeDocument/2006/relationships/hyperlink" Target="https://www.openstreetmap.org/" TargetMode="External"/><Relationship Id="rId124" Type="http://schemas.openxmlformats.org/officeDocument/2006/relationships/hyperlink" Target="http://bgodc.io-bas.bg/documents/" TargetMode="External"/><Relationship Id="rId70" Type="http://schemas.openxmlformats.org/officeDocument/2006/relationships/hyperlink" Target="http://www.blacksea-commission.org/_convention.asp" TargetMode="External"/><Relationship Id="rId166" Type="http://schemas.openxmlformats.org/officeDocument/2006/relationships/hyperlink" Target="https://www.south-stream-transport.com/project/document-library/" TargetMode="External"/><Relationship Id="rId331" Type="http://schemas.openxmlformats.org/officeDocument/2006/relationships/hyperlink" Target="http://bgodc.io-bas.bg/documents/2012/Final%20reports/Vol%203/REPORT-integrated-WFD-last%20all.pdf" TargetMode="External"/><Relationship Id="rId373" Type="http://schemas.openxmlformats.org/officeDocument/2006/relationships/hyperlink" Target="http://deloports.com/dock58/" TargetMode="External"/><Relationship Id="rId429" Type="http://schemas.openxmlformats.org/officeDocument/2006/relationships/hyperlink" Target="https://bbf.biodiversity.bg/bg/Uzunbudzhak.c254" TargetMode="External"/><Relationship Id="rId1" Type="http://schemas.openxmlformats.org/officeDocument/2006/relationships/customXml" Target="../customXml/item1.xml"/><Relationship Id="rId233" Type="http://schemas.openxmlformats.org/officeDocument/2006/relationships/hyperlink" Target="http://iara.government.bg/wp-content/uploads/2017/10/Bulgarian_National-Bottom-Trawl-Survey-Spring-2016_Turbot_BG.pdf" TargetMode="External"/><Relationship Id="rId440" Type="http://schemas.openxmlformats.org/officeDocument/2006/relationships/hyperlink" Target="https://ec.europa.eu/maritimeaffairs/sites/maritimeaffairs/files/docs/publications/blue-growth_en.pdf" TargetMode="External"/><Relationship Id="rId28" Type="http://schemas.openxmlformats.org/officeDocument/2006/relationships/image" Target="media/image10.png"/><Relationship Id="rId275" Type="http://schemas.openxmlformats.org/officeDocument/2006/relationships/hyperlink" Target="http://eea.government.bg/bg/bio/opos/activities-results/CS_DD.pdf" TargetMode="External"/><Relationship Id="rId300" Type="http://schemas.openxmlformats.org/officeDocument/2006/relationships/hyperlink" Target="http://iara.government.bg/wp-content/uploads/2017/10/Pelagic_Survey_2017_IO-BAS_BG.pdf" TargetMode="External"/><Relationship Id="rId482" Type="http://schemas.openxmlformats.org/officeDocument/2006/relationships/hyperlink" Target="https://www.msp-platform.eu/projects/coconet-towards-coast-coast-networks-marine-protected-areas-shore-high-and-deep-sea" TargetMode="External"/><Relationship Id="rId81" Type="http://schemas.openxmlformats.org/officeDocument/2006/relationships/hyperlink" Target="https://eur-lex.europa.eu/legal-content/BG/TXT/HTML/?uri=CELEX:32017L0845&amp;from=EN" TargetMode="External"/><Relationship Id="rId135" Type="http://schemas.openxmlformats.org/officeDocument/2006/relationships/hyperlink" Target="http://www.bsh.de/en/Marine_uses/Spatial_Planning_in_the_German_EEZ/documents2/Spatial_Plan_North_Sea.pdf" TargetMode="External"/><Relationship Id="rId177" Type="http://schemas.openxmlformats.org/officeDocument/2006/relationships/hyperlink" Target="http://eea.government.bg/wp/publicregister/PWSRegisters.aspx" TargetMode="External"/><Relationship Id="rId342" Type="http://schemas.openxmlformats.org/officeDocument/2006/relationships/hyperlink" Target="http://www.plancoast.eu/files/handbook_web.pdf" TargetMode="External"/><Relationship Id="rId384" Type="http://schemas.openxmlformats.org/officeDocument/2006/relationships/hyperlink" Target="http://publications.europa.eu/resource/cellar/f07ab00e-3795-4146-8739-07dc585b97ad.0008.01/DOC_1" TargetMode="External"/><Relationship Id="rId202" Type="http://schemas.openxmlformats.org/officeDocument/2006/relationships/hyperlink" Target="http://eea.government.bg/bg/bio/opos/activities-results/CS_DD.pdf" TargetMode="External"/><Relationship Id="rId244" Type="http://schemas.openxmlformats.org/officeDocument/2006/relationships/hyperlink" Target="https://www.bsbd.org/UserFiles/File/projects/ISMEIMP/ISMEIMP%20Project%20Final%20Report.pdf" TargetMode="External"/><Relationship Id="rId39" Type="http://schemas.openxmlformats.org/officeDocument/2006/relationships/image" Target="media/image21.png"/><Relationship Id="rId286" Type="http://schemas.openxmlformats.org/officeDocument/2006/relationships/hyperlink" Target="http://iara.government.bg/wp-content/uploads/2017/10/Sprat_SURVEY_2015_December_BG.pdf" TargetMode="External"/><Relationship Id="rId451" Type="http://schemas.openxmlformats.org/officeDocument/2006/relationships/hyperlink" Target="https://inspire.ec.europa.eu/id/document/tg/sr" TargetMode="External"/><Relationship Id="rId50" Type="http://schemas.openxmlformats.org/officeDocument/2006/relationships/image" Target="media/image31.png"/><Relationship Id="rId104" Type="http://schemas.openxmlformats.org/officeDocument/2006/relationships/hyperlink" Target="http://www.strategy.bg/StrategicDocuments/View.aspx?lang=bg-BG&amp;Id=1025" TargetMode="External"/><Relationship Id="rId146" Type="http://schemas.openxmlformats.org/officeDocument/2006/relationships/hyperlink" Target="https://bsbd.org/bg/index_bg_1668393.html" TargetMode="External"/><Relationship Id="rId188" Type="http://schemas.openxmlformats.org/officeDocument/2006/relationships/hyperlink" Target="http://eea.government.bg/bg/bio/opos/activities-results/CS_DD.pdf" TargetMode="External"/><Relationship Id="rId311" Type="http://schemas.openxmlformats.org/officeDocument/2006/relationships/hyperlink" Target="http://bgodc.io-bas.bg/documents/2012/Final%20reports/Vol%203/REPORT-integrated-WFD-last%20all.pdf" TargetMode="External"/><Relationship Id="rId353" Type="http://schemas.openxmlformats.org/officeDocument/2006/relationships/hyperlink" Target="https://cdr.eionet.europa.eu/bg/eu/msfd8910/" TargetMode="External"/><Relationship Id="rId395" Type="http://schemas.openxmlformats.org/officeDocument/2006/relationships/hyperlink" Target="http://www.blacksea-commission.org/Official%20Documents/Black%20Sea%20Strategic%20Action%20Plan%202009/" TargetMode="External"/><Relationship Id="rId409" Type="http://schemas.openxmlformats.org/officeDocument/2006/relationships/hyperlink" Target="http://www.imo.org/en/about/conventions/listofconventions/pages/international-convention-for-the-prevention-of-pollution-from-ships-(marpol).aspx" TargetMode="External"/><Relationship Id="rId92" Type="http://schemas.openxmlformats.org/officeDocument/2006/relationships/hyperlink" Target="https://eur-lex.europa.eu/legal-content/BG/TXT/PDF/?uri=CELEX:32017R0352&amp;from=BG" TargetMode="External"/><Relationship Id="rId213" Type="http://schemas.openxmlformats.org/officeDocument/2006/relationships/hyperlink" Target="http://iara.government.bg/wp-content/uploads/2017/10/Bulgarian_National-Bottom-Trawl-Survey-Spring-2016_Turbot_BG.pdf" TargetMode="External"/><Relationship Id="rId420" Type="http://schemas.openxmlformats.org/officeDocument/2006/relationships/hyperlink" Target="http://www.strategy.bg/Publications/View.aspx?lang=bg-BG&amp;Id=90" TargetMode="External"/><Relationship Id="rId255" Type="http://schemas.openxmlformats.org/officeDocument/2006/relationships/hyperlink" Target="https://www.bsbd.org/UserFiles/File/projects/ISMEIMP/ISMEIMP%20Project%20Final%20Report.pdf" TargetMode="External"/><Relationship Id="rId297" Type="http://schemas.openxmlformats.org/officeDocument/2006/relationships/hyperlink" Target="http://iara.government.bg/wp-content/uploads/2017/10/Pelagic_Survey_2017_IO-BAS_BG.pdf" TargetMode="External"/><Relationship Id="rId462" Type="http://schemas.openxmlformats.org/officeDocument/2006/relationships/hyperlink" Target="https://unfccc.int/" TargetMode="External"/><Relationship Id="rId115" Type="http://schemas.openxmlformats.org/officeDocument/2006/relationships/hyperlink" Target="https://www.mod.bg/bg/doc/strategicheski/20160128_Plan_za_razvitie_VS-2020.pdf" TargetMode="External"/><Relationship Id="rId157" Type="http://schemas.openxmlformats.org/officeDocument/2006/relationships/hyperlink" Target="https://www.south-stream-transport.com/project/document-library/" TargetMode="External"/><Relationship Id="rId322" Type="http://schemas.openxmlformats.org/officeDocument/2006/relationships/hyperlink" Target="http://bgodc.io-bas.bg/documents/2012/Final%20reports/Vol%203/REPORT-integrated-WFD-last%20all.pdf" TargetMode="External"/><Relationship Id="rId364" Type="http://schemas.openxmlformats.org/officeDocument/2006/relationships/hyperlink" Target="http://www.bunarco.org/bg/index.html" TargetMode="External"/><Relationship Id="rId61" Type="http://schemas.openxmlformats.org/officeDocument/2006/relationships/image" Target="media/image34.jpeg"/><Relationship Id="rId199" Type="http://schemas.openxmlformats.org/officeDocument/2006/relationships/hyperlink" Target="http://eea.government.bg/bg/bio/opos/activities-results/CS_DD.pdf" TargetMode="External"/><Relationship Id="rId19" Type="http://schemas.openxmlformats.org/officeDocument/2006/relationships/image" Target="media/image3.jpg"/><Relationship Id="rId224" Type="http://schemas.openxmlformats.org/officeDocument/2006/relationships/hyperlink" Target="http://iara.government.bg/wp-content/uploads/2017/10/Bulgarian_National-Bottom-Trawl-Survey-Spring-2016_Turbot_BG.pdf" TargetMode="External"/><Relationship Id="rId266" Type="http://schemas.openxmlformats.org/officeDocument/2006/relationships/hyperlink" Target="http://eea.government.bg/bg/bio/opos/activities-results/CS_DD.pdf" TargetMode="External"/><Relationship Id="rId431" Type="http://schemas.openxmlformats.org/officeDocument/2006/relationships/hyperlink" Target="https://bsbd.org/bg/msfd_monitoring.html" TargetMode="External"/><Relationship Id="rId473" Type="http://schemas.openxmlformats.org/officeDocument/2006/relationships/hyperlink" Target="https://www.environment.gov.au/marine/gbr/long-term-sustainability-plan" TargetMode="External"/><Relationship Id="rId30" Type="http://schemas.openxmlformats.org/officeDocument/2006/relationships/image" Target="media/image12.png"/><Relationship Id="rId126" Type="http://schemas.openxmlformats.org/officeDocument/2006/relationships/hyperlink" Target="http://bgodc.io-bas.bg/documents/" TargetMode="External"/><Relationship Id="rId168" Type="http://schemas.openxmlformats.org/officeDocument/2006/relationships/hyperlink" Target="http://eea.government.bg/wp/publicregister/PWSRegisters.aspx" TargetMode="External"/><Relationship Id="rId333" Type="http://schemas.openxmlformats.org/officeDocument/2006/relationships/hyperlink" Target="http://bgodc.io-bas.bg/documents/2012/Final%20reports/Vol%203/REPORT-integrated-WFD-last%20all.pdf" TargetMode="External"/><Relationship Id="rId72" Type="http://schemas.openxmlformats.org/officeDocument/2006/relationships/hyperlink" Target="http://www.un.org/depts/los/convention_agreements/texts/unclos/part2.htm" TargetMode="External"/><Relationship Id="rId375" Type="http://schemas.openxmlformats.org/officeDocument/2006/relationships/hyperlink" Target="http://eea.government.bg/bg/bio/opos/Finalni_rezultati_Deinost_6.pdf" TargetMode="External"/><Relationship Id="rId3" Type="http://schemas.openxmlformats.org/officeDocument/2006/relationships/styles" Target="styles.xml"/><Relationship Id="rId235" Type="http://schemas.openxmlformats.org/officeDocument/2006/relationships/hyperlink" Target="http://iara.government.bg/wp-content/uploads/2017/10/Bulgarian_National-Bottom-Trawl-Survey-Spring-2016_Turbot_BG.pdf" TargetMode="External"/><Relationship Id="rId277" Type="http://schemas.openxmlformats.org/officeDocument/2006/relationships/hyperlink" Target="http://eea.government.bg/bg/bio/opos/activities-results/CS_DD.pdf" TargetMode="External"/><Relationship Id="rId400" Type="http://schemas.openxmlformats.org/officeDocument/2006/relationships/hyperlink" Target="http://www.bsbd.org/bg/msfd_monitoring.html" TargetMode="External"/><Relationship Id="rId442" Type="http://schemas.openxmlformats.org/officeDocument/2006/relationships/hyperlink" Target="https://epsg.io/7800" TargetMode="External"/><Relationship Id="rId484" Type="http://schemas.openxmlformats.org/officeDocument/2006/relationships/hyperlink" Target="https://www.oecd-ilibrary.org/docserver/7969896b-&#1077;n.pdf?expires=1590396731&amp;id=id&amp;accname=guest&amp;checksum=1DB3B890EB67DAA0216A6F9DC2F08F30"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eea.government.bg/bg/soer/2017/biodiversity-nem/promyana-v-chislenostta-i-sastoyanie-na-zimuvashtite-vodolyubivi-ptitsi-v-balgariya" TargetMode="External"/><Relationship Id="rId21" Type="http://schemas.openxmlformats.org/officeDocument/2006/relationships/hyperlink" Target="http://publications.europa.eu/resource/cellar/f07ab00e-3795-4146-8739-07dc585b97ad.0008.01/DOC_1" TargetMode="External"/><Relationship Id="rId42" Type="http://schemas.openxmlformats.org/officeDocument/2006/relationships/hyperlink" Target="http://www.bsbd.org/bg/marine_env_assessment.html" TargetMode="External"/><Relationship Id="rId63" Type="http://schemas.openxmlformats.org/officeDocument/2006/relationships/hyperlink" Target="https://eur-lex.europa.eu/legal-content/BG/TXT/?uri=CELEX%3A31992L0043" TargetMode="External"/><Relationship Id="rId84" Type="http://schemas.openxmlformats.org/officeDocument/2006/relationships/hyperlink" Target="http://bspb.org/media/files/IBA_and_Natura_2000_Inventory_BG.pdf" TargetMode="External"/><Relationship Id="rId138" Type="http://schemas.openxmlformats.org/officeDocument/2006/relationships/hyperlink" Target="http://eea.government.bg/bg/soer/2017/" TargetMode="External"/><Relationship Id="rId159" Type="http://schemas.openxmlformats.org/officeDocument/2006/relationships/hyperlink" Target="http://eea.government.bg/zpo/bg/result1.jsp" TargetMode="External"/><Relationship Id="rId170" Type="http://schemas.openxmlformats.org/officeDocument/2006/relationships/hyperlink" Target="https://marad.bg/sites/default/files/upload/documents/2021-03" TargetMode="External"/><Relationship Id="rId191" Type="http://schemas.openxmlformats.org/officeDocument/2006/relationships/hyperlink" Target="http://www.pabsec.org/page.asp?id=1&amp;hl=en" TargetMode="External"/><Relationship Id="rId205" Type="http://schemas.openxmlformats.org/officeDocument/2006/relationships/hyperlink" Target="https://www.buurtwijs.nl/sites/default/files/buurtwijs/bestanden/jane_jacobs_the_death_and_life_of_great_american.pdf" TargetMode="External"/><Relationship Id="rId107" Type="http://schemas.openxmlformats.org/officeDocument/2006/relationships/hyperlink" Target="http://eea.government.bg/bg/soer/2017/biodiversity-nem/promyana-v-chislenostta-i-sastoyanie-na-zimuvashtite-vodolyubivi-ptitsi-v-balgariya" TargetMode="External"/><Relationship Id="rId11" Type="http://schemas.openxmlformats.org/officeDocument/2006/relationships/hyperlink" Target="https://inspire.ec.europa.eu/id/document/tg/sr" TargetMode="External"/><Relationship Id="rId32" Type="http://schemas.openxmlformats.org/officeDocument/2006/relationships/hyperlink" Target="http://www.blacksea-commission.org/_convention-fulltext.asp" TargetMode="External"/><Relationship Id="rId53" Type="http://schemas.openxmlformats.org/officeDocument/2006/relationships/hyperlink" Target="http://gz-varna.mrrb.government.bg/map/" TargetMode="External"/><Relationship Id="rId74" Type="http://schemas.openxmlformats.org/officeDocument/2006/relationships/hyperlink" Target="http://bbf.biodiversity.bg/bg/Uzunbudzhak.c254" TargetMode="External"/><Relationship Id="rId128" Type="http://schemas.openxmlformats.org/officeDocument/2006/relationships/hyperlink" Target="http://eea.government.bg/bg/soer/2017/biodiversity-nem/promyana-v-chislenostta-i-sastoyanie-na-zimuvashtite-vodolyubivi-ptitsi-v-balgariya" TargetMode="External"/><Relationship Id="rId149" Type="http://schemas.openxmlformats.org/officeDocument/2006/relationships/hyperlink" Target="http://eea.government.bg/zpo/bg/result1.jsp" TargetMode="External"/><Relationship Id="rId5" Type="http://schemas.openxmlformats.org/officeDocument/2006/relationships/hyperlink" Target="https://www.eea.europa.eu/themes/water/europes-seas-and-coasts/europes-seas-and-coasts" TargetMode="External"/><Relationship Id="rId95" Type="http://schemas.openxmlformats.org/officeDocument/2006/relationships/hyperlink" Target="http://bspb.org/media/files/IBA_and_Natura_2000_Inventory_BG.pdf" TargetMode="External"/><Relationship Id="rId160" Type="http://schemas.openxmlformats.org/officeDocument/2006/relationships/hyperlink" Target="http://eea.government.bg/zpo/bg/result1.jsp" TargetMode="External"/><Relationship Id="rId181" Type="http://schemas.openxmlformats.org/officeDocument/2006/relationships/hyperlink" Target="https://ec.europa.eu/maritimeaffairs/sites/maritimeaffairs/files/2020_06_blueeconomy-2020-ld_final.pdf" TargetMode="External"/><Relationship Id="rId216" Type="http://schemas.openxmlformats.org/officeDocument/2006/relationships/hyperlink" Target="http://www3.weforum.org/docs/WEF_TheGlobalCompetitivenessReport2019.pdf" TargetMode="External"/><Relationship Id="rId22" Type="http://schemas.openxmlformats.org/officeDocument/2006/relationships/hyperlink" Target="http://www.imo.org/en/about/conventions/listofconventions/pages/international-convention-for-the-prevention-of-pollution-from-ships-(marpol).aspx" TargetMode="External"/><Relationship Id="rId43" Type="http://schemas.openxmlformats.org/officeDocument/2006/relationships/hyperlink" Target="https://rm.coe.int/1680700173" TargetMode="External"/><Relationship Id="rId64" Type="http://schemas.openxmlformats.org/officeDocument/2006/relationships/hyperlink" Target="http://eea.government.bg/bg/bio/opos/Finalni_rezultati_Deinost_6.pdf" TargetMode="External"/><Relationship Id="rId118" Type="http://schemas.openxmlformats.org/officeDocument/2006/relationships/hyperlink" Target="http://eea.government.bg/bg/soer/2017/biodiversity-nem/promyana-v-chislenostta-i-sastoyanie-na-zimuvashtite-vodolyubivi-ptitsi-v-balgariya" TargetMode="External"/><Relationship Id="rId139" Type="http://schemas.openxmlformats.org/officeDocument/2006/relationships/hyperlink" Target="http://eea.government.bg/bg/soer/2017/" TargetMode="External"/><Relationship Id="rId85" Type="http://schemas.openxmlformats.org/officeDocument/2006/relationships/hyperlink" Target="http://bspb.org/media/files/IBA_and_Natura_2000_Inventory_BG.pdf" TargetMode="External"/><Relationship Id="rId150" Type="http://schemas.openxmlformats.org/officeDocument/2006/relationships/hyperlink" Target="http://eea.government.bg/zpo/bg/result1.jsp" TargetMode="External"/><Relationship Id="rId171" Type="http://schemas.openxmlformats.org/officeDocument/2006/relationships/hyperlink" Target="https://experience.bg/kude-da-akostirate-po-bulgarskoto-kraibrejie-chast-i-severno-chernomorie" TargetMode="External"/><Relationship Id="rId192" Type="http://schemas.openxmlformats.org/officeDocument/2006/relationships/hyperlink" Target="https://www.bstdb.org/index.htm" TargetMode="External"/><Relationship Id="rId206" Type="http://schemas.openxmlformats.org/officeDocument/2006/relationships/hyperlink" Target="http://www.blacksea-commission.org/Official%20Documents/Black%20Sea%20Strategic%20Action%20Plan%202009/" TargetMode="External"/><Relationship Id="rId12" Type="http://schemas.openxmlformats.org/officeDocument/2006/relationships/hyperlink" Target="https://epsg.io/7800" TargetMode="External"/><Relationship Id="rId33" Type="http://schemas.openxmlformats.org/officeDocument/2006/relationships/hyperlink" Target="http://www.moew.government.bg/bg/vodi/morski-vodi/konvenciya-za-opazvane-na-cherno-more-ot-zamursyavane/" TargetMode="External"/><Relationship Id="rId108" Type="http://schemas.openxmlformats.org/officeDocument/2006/relationships/hyperlink" Target="http://eea.government.bg/bg/soer/2017/biodiversity-nem/promyana-v-chislenostta-i-sastoyanie-na-zimuvashtite-vodolyubivi-ptitsi-v-balgariya" TargetMode="External"/><Relationship Id="rId129" Type="http://schemas.openxmlformats.org/officeDocument/2006/relationships/hyperlink" Target="http://eea.government.bg/bg/soer/2017/biodiversity-nem/promyana-v-chislenostta-i-sastoyanie-na-zimuvashtite-vodolyubivi-ptitsi-v-balgariya" TargetMode="External"/><Relationship Id="rId54" Type="http://schemas.openxmlformats.org/officeDocument/2006/relationships/hyperlink" Target="http://www.marineregions.org/gazetteer.php?p=details&amp;id=5672" TargetMode="External"/><Relationship Id="rId75" Type="http://schemas.openxmlformats.org/officeDocument/2006/relationships/hyperlink" Target="http://bbf.biodiversity.bg/bg/Uzunbudzhak.c254" TargetMode="External"/><Relationship Id="rId96" Type="http://schemas.openxmlformats.org/officeDocument/2006/relationships/hyperlink" Target="http://bspb.org/media/files/IBA_and_Natura_2000_Inventory_BG.pdf" TargetMode="External"/><Relationship Id="rId140" Type="http://schemas.openxmlformats.org/officeDocument/2006/relationships/hyperlink" Target="http://eea.government.bg/bg/soer/2017/" TargetMode="External"/><Relationship Id="rId161" Type="http://schemas.openxmlformats.org/officeDocument/2006/relationships/hyperlink" Target="http://eea.government.bg/zpo/bg/result1.jsp" TargetMode="External"/><Relationship Id="rId182" Type="http://schemas.openxmlformats.org/officeDocument/2006/relationships/hyperlink" Target="http://www.devotes-project.eu/wp-content/uploads/2014/06/DEVOTES-D1-1-ConceptualModels.pdf" TargetMode="External"/><Relationship Id="rId217" Type="http://schemas.openxmlformats.org/officeDocument/2006/relationships/hyperlink" Target="https://ec.europa.eu/regional_policy/en/information/maps/regional_competitiveness/" TargetMode="External"/><Relationship Id="rId6" Type="http://schemas.openxmlformats.org/officeDocument/2006/relationships/hyperlink" Target="http://unesdoc.unesco.org/images/0018/001865/186559e.pdf" TargetMode="External"/><Relationship Id="rId23" Type="http://schemas.openxmlformats.org/officeDocument/2006/relationships/hyperlink" Target="http://unesco-bg.org/file_store/konventsiya_podvoddno_nasledstvo.pdf" TargetMode="External"/><Relationship Id="rId119" Type="http://schemas.openxmlformats.org/officeDocument/2006/relationships/hyperlink" Target="http://eea.government.bg/bg/soer/2017/biodiversity-nem/promyana-v-chislenostta-i-sastoyanie-na-zimuvashtite-vodolyubivi-ptitsi-v-balgariya" TargetMode="External"/><Relationship Id="rId44" Type="http://schemas.openxmlformats.org/officeDocument/2006/relationships/hyperlink" Target="http://www.tourism.government.bg/sites/tourism.government.bg/files/documents/2018-01/nsurtb_2014-2030.pdf" TargetMode="External"/><Relationship Id="rId65" Type="http://schemas.openxmlformats.org/officeDocument/2006/relationships/hyperlink" Target="http://www.bunarco.org/bg/dokladi.html" TargetMode="External"/><Relationship Id="rId86" Type="http://schemas.openxmlformats.org/officeDocument/2006/relationships/hyperlink" Target="http://bspb.org/media/files/IBA_and_Natura_2000_Inventory_BG.pdf" TargetMode="External"/><Relationship Id="rId130" Type="http://schemas.openxmlformats.org/officeDocument/2006/relationships/hyperlink" Target="http://eea.government.bg/bg/soer/2017/biodiversity-nem/promyana-v-chislenostta-i-sastoyanie-na-zimuvashtite-vodolyubivi-ptitsi-v-balgariya" TargetMode="External"/><Relationship Id="rId151" Type="http://schemas.openxmlformats.org/officeDocument/2006/relationships/hyperlink" Target="http://eea.government.bg/zpo/bg/result1.jsp" TargetMode="External"/><Relationship Id="rId172" Type="http://schemas.openxmlformats.org/officeDocument/2006/relationships/hyperlink" Target="https://experience.bg/kude-da-akostirate-po-bulgarskoto-kraibrejie-chast-ii-iujno-chernomorie" TargetMode="External"/><Relationship Id="rId193" Type="http://schemas.openxmlformats.org/officeDocument/2006/relationships/hyperlink" Target="http://icbss.org/" TargetMode="External"/><Relationship Id="rId207" Type="http://schemas.openxmlformats.org/officeDocument/2006/relationships/hyperlink" Target="http://eurogoos.eu/ferrybox-task-team/" TargetMode="External"/><Relationship Id="rId13" Type="http://schemas.openxmlformats.org/officeDocument/2006/relationships/hyperlink" Target="https://www.emodnet.eu/portals" TargetMode="External"/><Relationship Id="rId109" Type="http://schemas.openxmlformats.org/officeDocument/2006/relationships/hyperlink" Target="http://eea.government.bg/bg/soer/2017/biodiversity-nem/promyana-v-chislenostta-i-sastoyanie-na-zimuvashtite-vodolyubivi-ptitsi-v-balgariya" TargetMode="External"/><Relationship Id="rId34" Type="http://schemas.openxmlformats.org/officeDocument/2006/relationships/hyperlink" Target="https://www.bsbd.org/UserFiles/File/Sea/Notice_E%D0%9E_MS&amp;PoM.pdf" TargetMode="External"/><Relationship Id="rId55" Type="http://schemas.openxmlformats.org/officeDocument/2006/relationships/hyperlink" Target="https://bsbd.org/bg/purn_2016-2021.html" TargetMode="External"/><Relationship Id="rId76" Type="http://schemas.openxmlformats.org/officeDocument/2006/relationships/hyperlink" Target="http://bbf.biodiversity.bg/bg/Uzunbudzhak.c254" TargetMode="External"/><Relationship Id="rId97" Type="http://schemas.openxmlformats.org/officeDocument/2006/relationships/hyperlink" Target="http://bspb.org/media/files/IBA_and_Natura_2000_Inventory_BG.pdf" TargetMode="External"/><Relationship Id="rId120" Type="http://schemas.openxmlformats.org/officeDocument/2006/relationships/hyperlink" Target="http://eea.government.bg/bg/soer/2017/biodiversity-nem/promyana-v-chislenostta-i-sastoyanie-na-zimuvashtite-vodolyubivi-ptitsi-v-balgariya" TargetMode="External"/><Relationship Id="rId141" Type="http://schemas.openxmlformats.org/officeDocument/2006/relationships/hyperlink" Target="http://eea.government.bg/bg/soer/2017/" TargetMode="External"/><Relationship Id="rId7" Type="http://schemas.openxmlformats.org/officeDocument/2006/relationships/hyperlink" Target="http://eur-lex.europa.eu/legal-content/BG/TXT/PDF/?uri=CELEX:32014L0089&amp;from=BG" TargetMode="External"/><Relationship Id="rId162" Type="http://schemas.openxmlformats.org/officeDocument/2006/relationships/hyperlink" Target="http://www.iber.bas.bg/sites/default/files/2017/IPU_Kaliakra/IPU-Kaliakra-draft-26-06-2017.pdf" TargetMode="External"/><Relationship Id="rId183" Type="http://schemas.openxmlformats.org/officeDocument/2006/relationships/hyperlink" Target="https://ec.europa.eu/maritimeaffairs/maritimeday/sites/mare-emd/files/burgas-visionpaper_en.pdf" TargetMode="External"/><Relationship Id="rId218" Type="http://schemas.openxmlformats.org/officeDocument/2006/relationships/hyperlink" Target="https://reports.weforum.org/travel-and-tourism-competitiveness-report-2019/country-profiles/" TargetMode="External"/><Relationship Id="rId24" Type="http://schemas.openxmlformats.org/officeDocument/2006/relationships/hyperlink" Target="https://unfccc.int/" TargetMode="External"/><Relationship Id="rId45" Type="http://schemas.openxmlformats.org/officeDocument/2006/relationships/hyperlink" Target="http://mc.government.bg/files/5495_Strategy_culture_.pdf" TargetMode="External"/><Relationship Id="rId66" Type="http://schemas.openxmlformats.org/officeDocument/2006/relationships/hyperlink" Target="http://www.blacksea-commission.org/_publications.asp" TargetMode="External"/><Relationship Id="rId87" Type="http://schemas.openxmlformats.org/officeDocument/2006/relationships/hyperlink" Target="http://bspb.org/media/files/IBA_and_Natura_2000_Inventory_BG.pdf" TargetMode="External"/><Relationship Id="rId110" Type="http://schemas.openxmlformats.org/officeDocument/2006/relationships/hyperlink" Target="http://eea.government.bg/bg/soer/2017/biodiversity-nem/promyana-v-chislenostta-i-sastoyanie-na-zimuvashtite-vodolyubivi-ptitsi-v-balgariya" TargetMode="External"/><Relationship Id="rId131" Type="http://schemas.openxmlformats.org/officeDocument/2006/relationships/hyperlink" Target="http://eea.government.bg/bg/soer/2017/biodiversity-nem/promyana-v-chislenostta-i-sastoyanie-na-zimuvashtite-vodolyubivi-ptitsi-v-balgariya" TargetMode="External"/><Relationship Id="rId152" Type="http://schemas.openxmlformats.org/officeDocument/2006/relationships/hyperlink" Target="http://eea.government.bg/zpo/bg/result1.jsp" TargetMode="External"/><Relationship Id="rId173" Type="http://schemas.openxmlformats.org/officeDocument/2006/relationships/hyperlink" Target="https://webunwto.s3.eu-west-1.amazonaws.com/s3fs-public/2020-04/COVID19_Recommendations_English_1.pdf" TargetMode="External"/><Relationship Id="rId194" Type="http://schemas.openxmlformats.org/officeDocument/2006/relationships/hyperlink" Target="http://www.blacksea-commission.org/" TargetMode="External"/><Relationship Id="rId208" Type="http://schemas.openxmlformats.org/officeDocument/2006/relationships/hyperlink" Target="https://www.bsbd.org/bg/msfd_monitoring.html" TargetMode="External"/><Relationship Id="rId14" Type="http://schemas.openxmlformats.org/officeDocument/2006/relationships/hyperlink" Target="https://www.eea.europa.eu/themes/water/europes-seas-and-coasts" TargetMode="External"/><Relationship Id="rId30" Type="http://schemas.openxmlformats.org/officeDocument/2006/relationships/hyperlink" Target="http://www.bsbd.org/uk/MarineStrategy.html" TargetMode="External"/><Relationship Id="rId35" Type="http://schemas.openxmlformats.org/officeDocument/2006/relationships/hyperlink" Target="http://www.strategy.bg/Publications/View.aspx?lang=bg-BG&amp;Id=90" TargetMode="External"/><Relationship Id="rId56" Type="http://schemas.openxmlformats.org/officeDocument/2006/relationships/hyperlink" Target="https://bsbd.org/registri/spisyk%20ezera%20blata.01.2014.pdf" TargetMode="External"/><Relationship Id="rId77" Type="http://schemas.openxmlformats.org/officeDocument/2006/relationships/hyperlink" Target="http://bbf.biodiversity.bg/bg/Uzunbudzhak.c254" TargetMode="External"/><Relationship Id="rId100" Type="http://schemas.openxmlformats.org/officeDocument/2006/relationships/hyperlink" Target="http://eea.government.bg/bg/soer/2017/biodiversity-nem/promyana-v-chislenostta-i-sastoyanie-na-zimuvashtite-vodolyubivi-ptitsi-v-balgariya" TargetMode="External"/><Relationship Id="rId105" Type="http://schemas.openxmlformats.org/officeDocument/2006/relationships/hyperlink" Target="http://eea.government.bg/bg/soer/2017/biodiversity-nem/promyana-v-chislenostta-i-sastoyanie-na-zimuvashtite-vodolyubivi-ptitsi-v-balgariya" TargetMode="External"/><Relationship Id="rId126" Type="http://schemas.openxmlformats.org/officeDocument/2006/relationships/hyperlink" Target="http://eea.government.bg/bg/soer/2017/biodiversity-nem/promyana-v-chislenostta-i-sastoyanie-na-zimuvashtite-vodolyubivi-ptitsi-v-balgariya" TargetMode="External"/><Relationship Id="rId147" Type="http://schemas.openxmlformats.org/officeDocument/2006/relationships/hyperlink" Target="file:///E:\2019_MRRB%20OFERTI\MSP\PRODUCT\%20http" TargetMode="External"/><Relationship Id="rId168" Type="http://schemas.openxmlformats.org/officeDocument/2006/relationships/hyperlink" Target="https://www.marad.bg/bg/taxonomy/term/178" TargetMode="External"/><Relationship Id="rId8" Type="http://schemas.openxmlformats.org/officeDocument/2006/relationships/hyperlink" Target="https://www.cbd.int/ecosystem/" TargetMode="External"/><Relationship Id="rId51" Type="http://schemas.openxmlformats.org/officeDocument/2006/relationships/hyperlink" Target="http://www.marsplan.ro/en/results.html" TargetMode="External"/><Relationship Id="rId72" Type="http://schemas.openxmlformats.org/officeDocument/2006/relationships/hyperlink" Target="http://bbf.biodiversity.bg/bg/Uzunbudzhak.c254" TargetMode="External"/><Relationship Id="rId93" Type="http://schemas.openxmlformats.org/officeDocument/2006/relationships/hyperlink" Target="http://bspb.org/media/files/IBA_and_Natura_2000_Inventory_BG.pdf" TargetMode="External"/><Relationship Id="rId98" Type="http://schemas.openxmlformats.org/officeDocument/2006/relationships/hyperlink" Target="file:///E:\2019_MRRB%20OFERTI\MSP\PRODUCT\%20http" TargetMode="External"/><Relationship Id="rId121" Type="http://schemas.openxmlformats.org/officeDocument/2006/relationships/hyperlink" Target="http://eea.government.bg/bg/soer/2017/biodiversity-nem/promyana-v-chislenostta-i-sastoyanie-na-zimuvashtite-vodolyubivi-ptitsi-v-balgariya" TargetMode="External"/><Relationship Id="rId142" Type="http://schemas.openxmlformats.org/officeDocument/2006/relationships/hyperlink" Target="http://eea.government.bg/bg/soer/2017/" TargetMode="External"/><Relationship Id="rId163" Type="http://schemas.openxmlformats.org/officeDocument/2006/relationships/hyperlink" Target="https://www.mtitc.government.bg/bg/category/42/integrirana-transportna-strategiya-v-perioda-do-2030-g" TargetMode="External"/><Relationship Id="rId184" Type="http://schemas.openxmlformats.org/officeDocument/2006/relationships/hyperlink" Target="https://unctad.org/en/PublicationsLibrary/ditctedinf2020d2_en.pdf" TargetMode="External"/><Relationship Id="rId189" Type="http://schemas.openxmlformats.org/officeDocument/2006/relationships/hyperlink" Target="https://blacksea-cbc.net/" TargetMode="External"/><Relationship Id="rId219" Type="http://schemas.openxmlformats.org/officeDocument/2006/relationships/hyperlink" Target="https://unesdoc.unesco.org/ark:/48223/pf0000147313" TargetMode="External"/><Relationship Id="rId3" Type="http://schemas.openxmlformats.org/officeDocument/2006/relationships/hyperlink" Target="http://publications.europa.eu/resource/cellar/f07ab00e-3795-4146-8739-07dc585b97ad.0008.01/DOC_1" TargetMode="External"/><Relationship Id="rId214" Type="http://schemas.openxmlformats.org/officeDocument/2006/relationships/hyperlink" Target="https://polishmsp.eu/" TargetMode="External"/><Relationship Id="rId25" Type="http://schemas.openxmlformats.org/officeDocument/2006/relationships/hyperlink" Target="http://www.bsbd.org/bg/msfd_monitoring.html" TargetMode="External"/><Relationship Id="rId46" Type="http://schemas.openxmlformats.org/officeDocument/2006/relationships/hyperlink" Target="https://www.moew.government.bg/bg/klimat/mejdunarodni-pregovori-i-adaptaciya/adaptaciya/" TargetMode="External"/><Relationship Id="rId67" Type="http://schemas.openxmlformats.org/officeDocument/2006/relationships/hyperlink" Target="https://www.moew.government.bg/static/media/ups/tiny/Press/Ramsar-knijka.pdf" TargetMode="External"/><Relationship Id="rId116" Type="http://schemas.openxmlformats.org/officeDocument/2006/relationships/hyperlink" Target="http://eea.government.bg/bg/soer/2017/biodiversity-nem/promyana-v-chislenostta-i-sastoyanie-na-zimuvashtite-vodolyubivi-ptitsi-v-balgariya" TargetMode="External"/><Relationship Id="rId137" Type="http://schemas.openxmlformats.org/officeDocument/2006/relationships/hyperlink" Target="http://eea.government.bg/bg/soer/2017/" TargetMode="External"/><Relationship Id="rId158" Type="http://schemas.openxmlformats.org/officeDocument/2006/relationships/hyperlink" Target="http://eea.government.bg/zpo/bg/result1.jsp" TargetMode="External"/><Relationship Id="rId20" Type="http://schemas.openxmlformats.org/officeDocument/2006/relationships/hyperlink" Target="https://www.unicef.bg/assets/PDFs/WWL/Transforming_our_world_BG.pdf" TargetMode="External"/><Relationship Id="rId41" Type="http://schemas.openxmlformats.org/officeDocument/2006/relationships/hyperlink" Target="http://www.bsbd.org/bg/merki_13_rdms.html" TargetMode="External"/><Relationship Id="rId62" Type="http://schemas.openxmlformats.org/officeDocument/2006/relationships/hyperlink" Target="http://www.interreg-balkanmed.eu/approved-project/9/" TargetMode="External"/><Relationship Id="rId83" Type="http://schemas.openxmlformats.org/officeDocument/2006/relationships/hyperlink" Target="http://bspb.org/media/files/IBA_and_Natura_2000_Inventory_BG.pdf" TargetMode="External"/><Relationship Id="rId88" Type="http://schemas.openxmlformats.org/officeDocument/2006/relationships/hyperlink" Target="http://bspb.org/media/files/IBA_and_Natura_2000_Inventory_BG.pdf" TargetMode="External"/><Relationship Id="rId111" Type="http://schemas.openxmlformats.org/officeDocument/2006/relationships/hyperlink" Target="http://eea.government.bg/bg/soer/2017/biodiversity-nem/promyana-v-chislenostta-i-sastoyanie-na-zimuvashtite-vodolyubivi-ptitsi-v-balgariya" TargetMode="External"/><Relationship Id="rId132" Type="http://schemas.openxmlformats.org/officeDocument/2006/relationships/hyperlink" Target="http://eea.government.bg/bg/soer/2017/biodiversity-nem/promyana-v-chislenostta-i-sastoyanie-na-zimuvashtite-vodolyubivi-ptitsi-v-balgariya" TargetMode="External"/><Relationship Id="rId153" Type="http://schemas.openxmlformats.org/officeDocument/2006/relationships/hyperlink" Target="http://eea.government.bg/zpo/bg/result1.jsp" TargetMode="External"/><Relationship Id="rId174" Type="http://schemas.openxmlformats.org/officeDocument/2006/relationships/hyperlink" Target="https://ec.europa.eu/eurostat/web/products-eurostat-news/-/DDN-20200513-2" TargetMode="External"/><Relationship Id="rId179" Type="http://schemas.openxmlformats.org/officeDocument/2006/relationships/hyperlink" Target="https://www.oecd-ilibrary.org/docserver/7969896b-&#1077;n.pdf?expires=1590396731&amp;id=id&amp;accname=guest&amp;checksum=1DB3B890EB67DAA0216A6F9DC2F08F30" TargetMode="External"/><Relationship Id="rId195" Type="http://schemas.openxmlformats.org/officeDocument/2006/relationships/hyperlink" Target="http://www.marsplan.ro/bg/" TargetMode="External"/><Relationship Id="rId209" Type="http://schemas.openxmlformats.org/officeDocument/2006/relationships/hyperlink" Target="https://ec.europa.eu/environment/iczm/pdf/LSI_FINAL20180417_digital.pdf" TargetMode="External"/><Relationship Id="rId190" Type="http://schemas.openxmlformats.org/officeDocument/2006/relationships/hyperlink" Target="http://www.bsec-organization.org/" TargetMode="External"/><Relationship Id="rId204" Type="http://schemas.openxmlformats.org/officeDocument/2006/relationships/hyperlink" Target="http://www.strategy.bg/StrategicDocuments/View.aspx?lang=bg-BG&amp;Id=1231" TargetMode="External"/><Relationship Id="rId220" Type="http://schemas.openxmlformats.org/officeDocument/2006/relationships/hyperlink" Target="http://www.strategy.bg/StaticPages/CalculatingManual.aspx?guidanceType=2&amp;sectionName=PublicConsultationStandards" TargetMode="External"/><Relationship Id="rId15" Type="http://schemas.openxmlformats.org/officeDocument/2006/relationships/hyperlink" Target="https://water.europa.eu/marine" TargetMode="External"/><Relationship Id="rId36" Type="http://schemas.openxmlformats.org/officeDocument/2006/relationships/hyperlink" Target="https://unesdoc.unesco.org/ark:/48223/pf0000186559" TargetMode="External"/><Relationship Id="rId57" Type="http://schemas.openxmlformats.org/officeDocument/2006/relationships/hyperlink" Target="https://eur-lex.europa.eu/legal-content/BG/TXT/PDF/?uri=CELEX:32007L0060&amp;from=BG" TargetMode="External"/><Relationship Id="rId106" Type="http://schemas.openxmlformats.org/officeDocument/2006/relationships/hyperlink" Target="http://eea.government.bg/bg/soer/2017/biodiversity-nem/promyana-v-chislenostta-i-sastoyanie-na-zimuvashtite-vodolyubivi-ptitsi-v-balgariya" TargetMode="External"/><Relationship Id="rId127" Type="http://schemas.openxmlformats.org/officeDocument/2006/relationships/hyperlink" Target="http://eea.government.bg/bg/soer/2017/biodiversity-nem/promyana-v-chislenostta-i-sastoyanie-na-zimuvashtite-vodolyubivi-ptitsi-v-balgariya" TargetMode="External"/><Relationship Id="rId10" Type="http://schemas.openxmlformats.org/officeDocument/2006/relationships/hyperlink" Target="https://eur-lex.europa.eu/LexUriServ/LexUriServ.do?uri=COM:2008:0791:FIN:BG:PDF" TargetMode="External"/><Relationship Id="rId31" Type="http://schemas.openxmlformats.org/officeDocument/2006/relationships/hyperlink" Target="https://eur-lex.europa.eu/legal-content/BG/TXT/PDF/?uri=CELEX:32000L0060&amp;from=BG" TargetMode="External"/><Relationship Id="rId52" Type="http://schemas.openxmlformats.org/officeDocument/2006/relationships/hyperlink" Target="https://kais.cadastre.bg/bg/Map" TargetMode="External"/><Relationship Id="rId73" Type="http://schemas.openxmlformats.org/officeDocument/2006/relationships/hyperlink" Target="http://bbf.biodiversity.bg/bg/Uzunbudzhak.c254" TargetMode="External"/><Relationship Id="rId78" Type="http://schemas.openxmlformats.org/officeDocument/2006/relationships/hyperlink" Target="http://bbf.biodiversity.bg/bg/Uzunbudzhak.c254" TargetMode="External"/><Relationship Id="rId94" Type="http://schemas.openxmlformats.org/officeDocument/2006/relationships/hyperlink" Target="http://bspb.org/media/files/IBA_and_Natura_2000_Inventory_BG.pdf" TargetMode="External"/><Relationship Id="rId99" Type="http://schemas.openxmlformats.org/officeDocument/2006/relationships/hyperlink" Target="http://eea.government.bg/bg/soer/2017/biodiversity-nem/promyana-v-chislenostta-i-sastoyanie-na-zimuvashtite-vodolyubivi-ptitsi-v-balgariya" TargetMode="External"/><Relationship Id="rId101" Type="http://schemas.openxmlformats.org/officeDocument/2006/relationships/hyperlink" Target="http://eea.government.bg/bg/soer/2017/biodiversity-nem/promyana-v-chislenostta-i-sastoyanie-na-zimuvashtite-vodolyubivi-ptitsi-v-balgariya" TargetMode="External"/><Relationship Id="rId122" Type="http://schemas.openxmlformats.org/officeDocument/2006/relationships/hyperlink" Target="http://eea.government.bg/bg/soer/2017/biodiversity-nem/promyana-v-chislenostta-i-sastoyanie-na-zimuvashtite-vodolyubivi-ptitsi-v-balgariya" TargetMode="External"/><Relationship Id="rId143" Type="http://schemas.openxmlformats.org/officeDocument/2006/relationships/hyperlink" Target="http://eea.government.bg/bg/soer/2017/" TargetMode="External"/><Relationship Id="rId148" Type="http://schemas.openxmlformats.org/officeDocument/2006/relationships/hyperlink" Target="http://eea.government.bg/zpo/bg/result1.jsp" TargetMode="External"/><Relationship Id="rId164" Type="http://schemas.openxmlformats.org/officeDocument/2006/relationships/hyperlink" Target="https://www.marad.bg/node/857" TargetMode="External"/><Relationship Id="rId169" Type="http://schemas.openxmlformats.org/officeDocument/2006/relationships/hyperlink" Target="http://uni-sz.bg/truni11/wp-content/uploads/biblioteka/file/TUNI10015968.pdf" TargetMode="External"/><Relationship Id="rId185" Type="http://schemas.openxmlformats.org/officeDocument/2006/relationships/hyperlink" Target="https://www.csis.org/analysis/covid-19-sea-impacts-blue-economy-ocean-health-and-ocean-security" TargetMode="External"/><Relationship Id="rId4" Type="http://schemas.openxmlformats.org/officeDocument/2006/relationships/hyperlink" Target="http://www.moew.government.bg/bg/vodi/morski-vodi/konvenciya-za-opazvane-na-cherno-more-ot-zamursyavane/" TargetMode="External"/><Relationship Id="rId9" Type="http://schemas.openxmlformats.org/officeDocument/2006/relationships/hyperlink" Target="https://eur-lex.europa.eu/legal-content/BG/TXT/?uri=CELEX%3A32008L0056" TargetMode="External"/><Relationship Id="rId180" Type="http://schemas.openxmlformats.org/officeDocument/2006/relationships/hyperlink" Target="https://ec.europa.eu/maritimeaffairs/sites/maritimeaffairs/files/docs/publications/blue-growth_en.pdf" TargetMode="External"/><Relationship Id="rId210" Type="http://schemas.openxmlformats.org/officeDocument/2006/relationships/hyperlink" Target="http://www.marsplan.ro/en/results/case-study/432-bourgas.html" TargetMode="External"/><Relationship Id="rId215" Type="http://schemas.openxmlformats.org/officeDocument/2006/relationships/hyperlink" Target="http://eea.government.bg/zpo/bg/area.jsp?NEM_Partition=1&amp;categoryID=6&amp;areaID=145" TargetMode="External"/><Relationship Id="rId26" Type="http://schemas.openxmlformats.org/officeDocument/2006/relationships/hyperlink" Target="http://cdr.eionet.europa.eu/bg/eu/msfd_mp/" TargetMode="External"/><Relationship Id="rId47" Type="http://schemas.openxmlformats.org/officeDocument/2006/relationships/hyperlink" Target="https://www.mrrb.bg/bg/nacionalna-programa-za-prevenciya-i-ogranichavane-na-svlachistata-na-teritoriyata-na-republika-bulgariya-eroziyata-i-abraziyata-po-dunavskoto-i-chernomorskoto-krajbrejie-2015-2020-g-i-dopulnenie-kum-neya-s-novovuzniknali-77199/" TargetMode="External"/><Relationship Id="rId68" Type="http://schemas.openxmlformats.org/officeDocument/2006/relationships/hyperlink" Target="https://www.moew.government.bg/static/media/ups/tiny/filebase/Nature/Natura%202000/RAMSAR/Black_Sea_Wet_Catalog-Final.pdf" TargetMode="External"/><Relationship Id="rId89" Type="http://schemas.openxmlformats.org/officeDocument/2006/relationships/hyperlink" Target="http://bspb.org/media/files/IBA_and_Natura_2000_Inventory_BG.pdf" TargetMode="External"/><Relationship Id="rId112" Type="http://schemas.openxmlformats.org/officeDocument/2006/relationships/hyperlink" Target="http://eea.government.bg/bg/soer/2017/biodiversity-nem/promyana-v-chislenostta-i-sastoyanie-na-zimuvashtite-vodolyubivi-ptitsi-v-balgariya" TargetMode="External"/><Relationship Id="rId133" Type="http://schemas.openxmlformats.org/officeDocument/2006/relationships/hyperlink" Target="http://eea.government.bg/bg/soer/2017/biodiversity-nem/promyana-v-chislenostta-i-sastoyanie-na-zimuvashtite-vodolyubivi-ptitsi-v-balgariya" TargetMode="External"/><Relationship Id="rId154" Type="http://schemas.openxmlformats.org/officeDocument/2006/relationships/hyperlink" Target="http://eea.government.bg/zpo/bg/result1.jsp" TargetMode="External"/><Relationship Id="rId175" Type="http://schemas.openxmlformats.org/officeDocument/2006/relationships/hyperlink" Target="http://www.tourism.government.bg/" TargetMode="External"/><Relationship Id="rId196" Type="http://schemas.openxmlformats.org/officeDocument/2006/relationships/hyperlink" Target="http://www.marsplan.ro/bg/despre-proiectul-marsplan-%E2%80%93-bs-bg.html" TargetMode="External"/><Relationship Id="rId200" Type="http://schemas.openxmlformats.org/officeDocument/2006/relationships/hyperlink" Target="https://ec.europa.eu/maritimeaffairs/policy/blue_growth_bg" TargetMode="External"/><Relationship Id="rId16" Type="http://schemas.openxmlformats.org/officeDocument/2006/relationships/hyperlink" Target="http://www.blacksea-commission.org/" TargetMode="External"/><Relationship Id="rId37" Type="http://schemas.openxmlformats.org/officeDocument/2006/relationships/hyperlink" Target="http://register.consilium.europa.eu/doc/srv?l=EN&amp;f=ST%2011205%202014%20INIT" TargetMode="External"/><Relationship Id="rId58" Type="http://schemas.openxmlformats.org/officeDocument/2006/relationships/hyperlink" Target="https://bsbd.org/v2/bg/index_bg_2934486.html?URI" TargetMode="External"/><Relationship Id="rId79" Type="http://schemas.openxmlformats.org/officeDocument/2006/relationships/hyperlink" Target="http://bbf.biodiversity.bg/bg/Uzunbudzhak.c254" TargetMode="External"/><Relationship Id="rId102" Type="http://schemas.openxmlformats.org/officeDocument/2006/relationships/hyperlink" Target="http://eea.government.bg/bg/soer/2017/biodiversity-nem/promyana-v-chislenostta-i-sastoyanie-na-zimuvashtite-vodolyubivi-ptitsi-v-balgariya" TargetMode="External"/><Relationship Id="rId123" Type="http://schemas.openxmlformats.org/officeDocument/2006/relationships/hyperlink" Target="http://eea.government.bg/bg/soer/2017/biodiversity-nem/promyana-v-chislenostta-i-sastoyanie-na-zimuvashtite-vodolyubivi-ptitsi-v-balgariya" TargetMode="External"/><Relationship Id="rId144" Type="http://schemas.openxmlformats.org/officeDocument/2006/relationships/hyperlink" Target="http://eea.government.bg/bg/soer/2017/" TargetMode="External"/><Relationship Id="rId90" Type="http://schemas.openxmlformats.org/officeDocument/2006/relationships/hyperlink" Target="http://bspb.org/media/files/IBA_and_Natura_2000_Inventory_BG.pdf" TargetMode="External"/><Relationship Id="rId165" Type="http://schemas.openxmlformats.org/officeDocument/2006/relationships/hyperlink" Target="http://www.bgports.bg/bg/page/24" TargetMode="External"/><Relationship Id="rId186" Type="http://schemas.openxmlformats.org/officeDocument/2006/relationships/hyperlink" Target="http://www.fao.org/3/i3640e/i3640e.pdf" TargetMode="External"/><Relationship Id="rId211" Type="http://schemas.openxmlformats.org/officeDocument/2006/relationships/hyperlink" Target="https://ec.europa.eu/environment/iczm/pdf/LSI_FINAL20180417_digital.pdf" TargetMode="External"/><Relationship Id="rId27" Type="http://schemas.openxmlformats.org/officeDocument/2006/relationships/hyperlink" Target="http://www.bsbd.org/bg/msfd_monitoring.html" TargetMode="External"/><Relationship Id="rId48" Type="http://schemas.openxmlformats.org/officeDocument/2006/relationships/hyperlink" Target="https://www.me.government.bg/bg/themes/energiina-strategiya-na-republika-balgariya-do-2020-g-147-295.html" TargetMode="External"/><Relationship Id="rId69" Type="http://schemas.openxmlformats.org/officeDocument/2006/relationships/hyperlink" Target="file:///E:\2019_MRRB%20OFERTI\MSP\PRODUCT\%20http" TargetMode="External"/><Relationship Id="rId113" Type="http://schemas.openxmlformats.org/officeDocument/2006/relationships/hyperlink" Target="http://eea.government.bg/bg/soer/2017/biodiversity-nem/promyana-v-chislenostta-i-sastoyanie-na-zimuvashtite-vodolyubivi-ptitsi-v-balgariya" TargetMode="External"/><Relationship Id="rId134" Type="http://schemas.openxmlformats.org/officeDocument/2006/relationships/hyperlink" Target="http://eea.government.bg/bg/soer/2017/biodiversity-nem/promyana-v-chislenostta-i-sastoyanie-na-zimuvashtite-vodolyubivi-ptitsi-v-balgariya" TargetMode="External"/><Relationship Id="rId80" Type="http://schemas.openxmlformats.org/officeDocument/2006/relationships/hyperlink" Target="http://bbf.biodiversity.bg/bg/Uzunbudzhak.c254" TargetMode="External"/><Relationship Id="rId155" Type="http://schemas.openxmlformats.org/officeDocument/2006/relationships/hyperlink" Target="http://eea.government.bg/zpo/bg/result1.jsp" TargetMode="External"/><Relationship Id="rId176" Type="http://schemas.openxmlformats.org/officeDocument/2006/relationships/hyperlink" Target="http://www.imo.org/en/About/Conventions/ListOfConventions/Pages/COLREG.aspx" TargetMode="External"/><Relationship Id="rId197" Type="http://schemas.openxmlformats.org/officeDocument/2006/relationships/hyperlink" Target="http://dx.publications.europa.eu/10.2760/93257" TargetMode="External"/><Relationship Id="rId201" Type="http://schemas.openxmlformats.org/officeDocument/2006/relationships/hyperlink" Target="https://seenews.com/companies/company_profile/burgaski-korabostroitelnitsi-ad-non-existent-2835" TargetMode="External"/><Relationship Id="rId17" Type="http://schemas.openxmlformats.org/officeDocument/2006/relationships/hyperlink" Target="http://www.fao.org/fishery/en" TargetMode="External"/><Relationship Id="rId38" Type="http://schemas.openxmlformats.org/officeDocument/2006/relationships/hyperlink" Target="https://ec.europa.eu/maritimeaffairs/press/common-maritime-agenda-black-sea-motion_en" TargetMode="External"/><Relationship Id="rId59" Type="http://schemas.openxmlformats.org/officeDocument/2006/relationships/hyperlink" Target="https://eunis.eea.europa.eu/" TargetMode="External"/><Relationship Id="rId103" Type="http://schemas.openxmlformats.org/officeDocument/2006/relationships/hyperlink" Target="http://eea.government.bg/bg/soer/2017/biodiversity-nem/promyana-v-chislenostta-i-sastoyanie-na-zimuvashtite-vodolyubivi-ptitsi-v-balgariya" TargetMode="External"/><Relationship Id="rId124" Type="http://schemas.openxmlformats.org/officeDocument/2006/relationships/hyperlink" Target="http://eea.government.bg/bg/soer/2017/biodiversity-nem/promyana-v-chislenostta-i-sastoyanie-na-zimuvashtite-vodolyubivi-ptitsi-v-balgariya" TargetMode="External"/><Relationship Id="rId70" Type="http://schemas.openxmlformats.org/officeDocument/2006/relationships/hyperlink" Target="http://bbf.biodiversity.bg/bg/Uzunbudzhak.c254" TargetMode="External"/><Relationship Id="rId91" Type="http://schemas.openxmlformats.org/officeDocument/2006/relationships/hyperlink" Target="http://bspb.org/media/files/IBA_and_Natura_2000_Inventory_BG.pdf" TargetMode="External"/><Relationship Id="rId145" Type="http://schemas.openxmlformats.org/officeDocument/2006/relationships/hyperlink" Target="http://eea.government.bg/bg/soer/2017/" TargetMode="External"/><Relationship Id="rId166" Type="http://schemas.openxmlformats.org/officeDocument/2006/relationships/hyperlink" Target="http://deloports.com/dock58/" TargetMode="External"/><Relationship Id="rId187" Type="http://schemas.openxmlformats.org/officeDocument/2006/relationships/hyperlink" Target="https://op.europa.eu/en/publication-detail/-/publication/676bbd4a-7dd9-11e9-9f05-01aa75ed71a1/language-en/" TargetMode="External"/><Relationship Id="rId1" Type="http://schemas.openxmlformats.org/officeDocument/2006/relationships/hyperlink" Target="http://eur-lex.europa.eu/legal-content/BG/TXT/PDF/?uri=CELEX:32014L0089&amp;from=BG" TargetMode="External"/><Relationship Id="rId212" Type="http://schemas.openxmlformats.org/officeDocument/2006/relationships/hyperlink" Target="https://balance-eu.org/xpdf/balance-technical-summary-report-no-4-4.pdf" TargetMode="External"/><Relationship Id="rId28" Type="http://schemas.openxmlformats.org/officeDocument/2006/relationships/hyperlink" Target="http://cdr.eionet.europa.eu/bg/eu/msfd_mp/" TargetMode="External"/><Relationship Id="rId49" Type="http://schemas.openxmlformats.org/officeDocument/2006/relationships/hyperlink" Target="http://www.strategy.bg/PublicConsultations/View.aspx?lang=bg-BG&amp;Id=2990" TargetMode="External"/><Relationship Id="rId114" Type="http://schemas.openxmlformats.org/officeDocument/2006/relationships/hyperlink" Target="http://eea.government.bg/bg/soer/2017/biodiversity-nem/promyana-v-chislenostta-i-sastoyanie-na-zimuvashtite-vodolyubivi-ptitsi-v-balgariya" TargetMode="External"/><Relationship Id="rId60" Type="http://schemas.openxmlformats.org/officeDocument/2006/relationships/hyperlink" Target="https://www.msp-platform.eu/projects/coconet-towards-coast-coast-networks-marine-protected-areas-shore-high-and-deep-sea" TargetMode="External"/><Relationship Id="rId81" Type="http://schemas.openxmlformats.org/officeDocument/2006/relationships/hyperlink" Target="http://bbf.biodiversity.bg/bg/Uzunbudzhak.c254" TargetMode="External"/><Relationship Id="rId135" Type="http://schemas.openxmlformats.org/officeDocument/2006/relationships/hyperlink" Target="file:///E:\2019_MRRB%20OFERTI\MSP\PRODUCT\%20http" TargetMode="External"/><Relationship Id="rId156" Type="http://schemas.openxmlformats.org/officeDocument/2006/relationships/hyperlink" Target="http://eea.government.bg/zpo/bg/result1.jsp" TargetMode="External"/><Relationship Id="rId177" Type="http://schemas.openxmlformats.org/officeDocument/2006/relationships/hyperlink" Target="http://pubdocs.worldbank.org/en/558261587395154178/CMO-April-2020-Special-Focus-1.pdf" TargetMode="External"/><Relationship Id="rId198" Type="http://schemas.openxmlformats.org/officeDocument/2006/relationships/hyperlink" Target="http://eea.government.bg/bg/ecosystems/B9MARINE_BG_PRINT.pdf" TargetMode="External"/><Relationship Id="rId202" Type="http://schemas.openxmlformats.org/officeDocument/2006/relationships/hyperlink" Target="https://www.eufunds.bg/sites/default/files/uploads/pmdr/docs/2020-07/Final%20Draft%20Analysis%20All%2030062020.pdf" TargetMode="External"/><Relationship Id="rId18" Type="http://schemas.openxmlformats.org/officeDocument/2006/relationships/hyperlink" Target="https://www.emodnet.eu/portals" TargetMode="External"/><Relationship Id="rId39" Type="http://schemas.openxmlformats.org/officeDocument/2006/relationships/hyperlink" Target="http://www.bsbd.org/bg/page_1722859.html" TargetMode="External"/><Relationship Id="rId50" Type="http://schemas.openxmlformats.org/officeDocument/2006/relationships/hyperlink" Target="http://www.strategy.bg/StrategicDocuments/View.aspx?lang=bg-BG&amp;Id=781" TargetMode="External"/><Relationship Id="rId104" Type="http://schemas.openxmlformats.org/officeDocument/2006/relationships/hyperlink" Target="http://eea.government.bg/bg/soer/2017/biodiversity-nem/promyana-v-chislenostta-i-sastoyanie-na-zimuvashtite-vodolyubivi-ptitsi-v-balgariya" TargetMode="External"/><Relationship Id="rId125" Type="http://schemas.openxmlformats.org/officeDocument/2006/relationships/hyperlink" Target="http://eea.government.bg/bg/soer/2017/biodiversity-nem/promyana-v-chislenostta-i-sastoyanie-na-zimuvashtite-vodolyubivi-ptitsi-v-balgariya" TargetMode="External"/><Relationship Id="rId146" Type="http://schemas.openxmlformats.org/officeDocument/2006/relationships/hyperlink" Target="http://eea.government.bg/bg/soer/2017/" TargetMode="External"/><Relationship Id="rId167" Type="http://schemas.openxmlformats.org/officeDocument/2006/relationships/hyperlink" Target="https://www.marad.bg/bg/node/997" TargetMode="External"/><Relationship Id="rId188" Type="http://schemas.openxmlformats.org/officeDocument/2006/relationships/hyperlink" Target="https://kis-orca.eu/map" TargetMode="External"/><Relationship Id="rId71" Type="http://schemas.openxmlformats.org/officeDocument/2006/relationships/hyperlink" Target="http://bbf.biodiversity.bg/bg/Uzunbudzhak.c254" TargetMode="External"/><Relationship Id="rId92" Type="http://schemas.openxmlformats.org/officeDocument/2006/relationships/hyperlink" Target="http://bspb.org/media/files/IBA_and_Natura_2000_Inventory_BG.pdf" TargetMode="External"/><Relationship Id="rId213" Type="http://schemas.openxmlformats.org/officeDocument/2006/relationships/hyperlink" Target="https://www.environment.gov.au/marine/gbr/long-term-sustainability-plan" TargetMode="External"/><Relationship Id="rId2" Type="http://schemas.openxmlformats.org/officeDocument/2006/relationships/hyperlink" Target="https://www.unicef.bg/assets/PDFs/WWL/Transforming_our_world_BG.pdf" TargetMode="External"/><Relationship Id="rId29" Type="http://schemas.openxmlformats.org/officeDocument/2006/relationships/hyperlink" Target="http://www.bsbd.org/bg/merki_13_rdms.html" TargetMode="External"/><Relationship Id="rId40" Type="http://schemas.openxmlformats.org/officeDocument/2006/relationships/hyperlink" Target="http://www.bsbd.org/bg/msfd_monitoring.html" TargetMode="External"/><Relationship Id="rId115" Type="http://schemas.openxmlformats.org/officeDocument/2006/relationships/hyperlink" Target="http://eea.government.bg/bg/soer/2017/biodiversity-nem/promyana-v-chislenostta-i-sastoyanie-na-zimuvashtite-vodolyubivi-ptitsi-v-balgariya" TargetMode="External"/><Relationship Id="rId136" Type="http://schemas.openxmlformats.org/officeDocument/2006/relationships/hyperlink" Target="http://eea.government.bg/bg/soer/2017/" TargetMode="External"/><Relationship Id="rId157" Type="http://schemas.openxmlformats.org/officeDocument/2006/relationships/hyperlink" Target="http://eea.government.bg/zpo/bg/result1.jsp" TargetMode="External"/><Relationship Id="rId178" Type="http://schemas.openxmlformats.org/officeDocument/2006/relationships/hyperlink" Target="https://www.ebrd.com/news/2020/ebrd-economies-seen-contracting-by-35-per-cent-in-2020-48-per-cent-rebound-in-2021.html" TargetMode="External"/><Relationship Id="rId61" Type="http://schemas.openxmlformats.org/officeDocument/2006/relationships/hyperlink" Target="http://www.perseus-net.eu/site/content.php" TargetMode="External"/><Relationship Id="rId82" Type="http://schemas.openxmlformats.org/officeDocument/2006/relationships/hyperlink" Target="http://bbf.biodiversity.bg/bg/Uzunbudzhak.c254" TargetMode="External"/><Relationship Id="rId199" Type="http://schemas.openxmlformats.org/officeDocument/2006/relationships/hyperlink" Target="https://ec.europa.eu/maritimeaffairs/policy/blue_growth_bg" TargetMode="External"/><Relationship Id="rId203" Type="http://schemas.openxmlformats.org/officeDocument/2006/relationships/hyperlink" Target="https://www.mi.government.bg/bg/themes/inovacionna-strategiya-za-inteligentna-specializaciya-na-republika-balgariya-2014-2020-g-1806-287.html" TargetMode="External"/><Relationship Id="rId19" Type="http://schemas.openxmlformats.org/officeDocument/2006/relationships/hyperlink" Target="http://www.un.org/depts/los/consultative_process/documents/A21-Ch17.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0C17D8-3A05-4775-A4AF-413E949B946B}"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2C4D1D2F-1811-424A-B824-9472A4BA4C29}">
      <dgm:prSet phldrT="[Text]" custT="1"/>
      <dgm:spPr>
        <a:solidFill>
          <a:srgbClr val="BEE6F0"/>
        </a:solidFill>
      </dgm:spPr>
      <dgm:t>
        <a:bodyPr/>
        <a:lstStyle/>
        <a:p>
          <a:r>
            <a:rPr lang="bg-BG" sz="1000">
              <a:latin typeface="Times New Roman" panose="02020603050405020304" pitchFamily="18" charset="0"/>
              <a:cs typeface="Times New Roman" panose="02020603050405020304" pitchFamily="18" charset="0"/>
            </a:rPr>
            <a:t>СЦ1. Регулиране и координиране на морските ползвания</a:t>
          </a:r>
          <a:endParaRPr lang="en-GB" sz="1000">
            <a:latin typeface="Times New Roman" panose="02020603050405020304" pitchFamily="18" charset="0"/>
            <a:cs typeface="Times New Roman" panose="02020603050405020304" pitchFamily="18" charset="0"/>
          </a:endParaRPr>
        </a:p>
      </dgm:t>
    </dgm:pt>
    <dgm:pt modelId="{B215B739-4615-4888-BC3B-439527BBEFBB}" type="parTrans" cxnId="{1E85CDF5-D6A1-4F92-90A5-946984349945}">
      <dgm:prSet/>
      <dgm:spPr/>
      <dgm:t>
        <a:bodyPr/>
        <a:lstStyle/>
        <a:p>
          <a:endParaRPr lang="en-GB">
            <a:latin typeface="Times New Roman" panose="02020603050405020304" pitchFamily="18" charset="0"/>
            <a:cs typeface="Times New Roman" panose="02020603050405020304" pitchFamily="18" charset="0"/>
          </a:endParaRPr>
        </a:p>
      </dgm:t>
    </dgm:pt>
    <dgm:pt modelId="{B6A33020-0B81-439A-BAC2-D3B7BCD253D6}" type="sibTrans" cxnId="{1E85CDF5-D6A1-4F92-90A5-946984349945}">
      <dgm:prSet/>
      <dgm:spPr/>
      <dgm:t>
        <a:bodyPr/>
        <a:lstStyle/>
        <a:p>
          <a:endParaRPr lang="en-GB">
            <a:latin typeface="Times New Roman" panose="02020603050405020304" pitchFamily="18" charset="0"/>
            <a:cs typeface="Times New Roman" panose="02020603050405020304" pitchFamily="18" charset="0"/>
          </a:endParaRPr>
        </a:p>
      </dgm:t>
    </dgm:pt>
    <dgm:pt modelId="{578DC743-887A-4FD5-BE36-7CB3BFECF8AB}">
      <dgm:prSet phldrT="[Tex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1.1. Функционално зониране на морското пространство </a:t>
          </a:r>
          <a:endParaRPr lang="en-GB" sz="1000">
            <a:latin typeface="Times New Roman" panose="02020603050405020304" pitchFamily="18" charset="0"/>
            <a:cs typeface="Times New Roman" panose="02020603050405020304" pitchFamily="18" charset="0"/>
          </a:endParaRPr>
        </a:p>
      </dgm:t>
    </dgm:pt>
    <dgm:pt modelId="{05BCBF47-5CB0-4478-898B-C4D08371BF74}" type="parTrans" cxnId="{FCE3329D-B8A6-4606-80B9-07805B94496C}">
      <dgm:prSet/>
      <dgm:spPr/>
      <dgm:t>
        <a:bodyPr/>
        <a:lstStyle/>
        <a:p>
          <a:endParaRPr lang="en-GB">
            <a:latin typeface="Times New Roman" panose="02020603050405020304" pitchFamily="18" charset="0"/>
            <a:cs typeface="Times New Roman" panose="02020603050405020304" pitchFamily="18" charset="0"/>
          </a:endParaRPr>
        </a:p>
      </dgm:t>
    </dgm:pt>
    <dgm:pt modelId="{A0355C52-F324-4CFC-A67F-B467A087154F}" type="sibTrans" cxnId="{FCE3329D-B8A6-4606-80B9-07805B94496C}">
      <dgm:prSet/>
      <dgm:spPr/>
      <dgm:t>
        <a:bodyPr/>
        <a:lstStyle/>
        <a:p>
          <a:endParaRPr lang="en-GB">
            <a:latin typeface="Times New Roman" panose="02020603050405020304" pitchFamily="18" charset="0"/>
            <a:cs typeface="Times New Roman" panose="02020603050405020304" pitchFamily="18" charset="0"/>
          </a:endParaRPr>
        </a:p>
      </dgm:t>
    </dgm:pt>
    <dgm:pt modelId="{F61AA200-E7EC-4D41-ACB9-CC958DC51703}">
      <dgm:prSet phldrT="[Tex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1.2. Постигане на консенсус между заинтересованите страни</a:t>
          </a:r>
          <a:endParaRPr lang="en-GB" sz="1000">
            <a:latin typeface="Times New Roman" panose="02020603050405020304" pitchFamily="18" charset="0"/>
            <a:cs typeface="Times New Roman" panose="02020603050405020304" pitchFamily="18" charset="0"/>
          </a:endParaRPr>
        </a:p>
      </dgm:t>
    </dgm:pt>
    <dgm:pt modelId="{BB01C05C-63B8-4CC5-85DD-F5653A78AD33}" type="parTrans" cxnId="{63AC6B57-AFA8-4059-BC90-DFE0034D7EBF}">
      <dgm:prSet/>
      <dgm:spPr/>
      <dgm:t>
        <a:bodyPr/>
        <a:lstStyle/>
        <a:p>
          <a:endParaRPr lang="en-GB">
            <a:latin typeface="Times New Roman" panose="02020603050405020304" pitchFamily="18" charset="0"/>
            <a:cs typeface="Times New Roman" panose="02020603050405020304" pitchFamily="18" charset="0"/>
          </a:endParaRPr>
        </a:p>
      </dgm:t>
    </dgm:pt>
    <dgm:pt modelId="{53FE1C82-FDB4-458F-8F23-A3EDDF53CE8A}" type="sibTrans" cxnId="{63AC6B57-AFA8-4059-BC90-DFE0034D7EBF}">
      <dgm:prSet/>
      <dgm:spPr/>
      <dgm:t>
        <a:bodyPr/>
        <a:lstStyle/>
        <a:p>
          <a:endParaRPr lang="en-GB">
            <a:latin typeface="Times New Roman" panose="02020603050405020304" pitchFamily="18" charset="0"/>
            <a:cs typeface="Times New Roman" panose="02020603050405020304" pitchFamily="18" charset="0"/>
          </a:endParaRPr>
        </a:p>
      </dgm:t>
    </dgm:pt>
    <dgm:pt modelId="{E8649623-B0E6-427E-9883-FB2498ABE4CE}">
      <dgm:prSet phldrT="[Tex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3.1. Развитие на научна инфраструктура и изследователски капацитет</a:t>
          </a:r>
          <a:endParaRPr lang="en-GB" sz="1000">
            <a:latin typeface="Times New Roman" panose="02020603050405020304" pitchFamily="18" charset="0"/>
            <a:cs typeface="Times New Roman" panose="02020603050405020304" pitchFamily="18" charset="0"/>
          </a:endParaRPr>
        </a:p>
      </dgm:t>
    </dgm:pt>
    <dgm:pt modelId="{353BB683-FBD3-42A5-BCF8-AAA36C3CA997}" type="parTrans" cxnId="{713721DF-4DE3-4C1E-BB92-78BC16D148FB}">
      <dgm:prSet/>
      <dgm:spPr/>
      <dgm:t>
        <a:bodyPr/>
        <a:lstStyle/>
        <a:p>
          <a:endParaRPr lang="en-GB">
            <a:latin typeface="Times New Roman" panose="02020603050405020304" pitchFamily="18" charset="0"/>
            <a:cs typeface="Times New Roman" panose="02020603050405020304" pitchFamily="18" charset="0"/>
          </a:endParaRPr>
        </a:p>
      </dgm:t>
    </dgm:pt>
    <dgm:pt modelId="{427B9B03-35CC-48AA-9294-E853818EE980}" type="sibTrans" cxnId="{713721DF-4DE3-4C1E-BB92-78BC16D148FB}">
      <dgm:prSet/>
      <dgm:spPr/>
      <dgm:t>
        <a:bodyPr/>
        <a:lstStyle/>
        <a:p>
          <a:endParaRPr lang="en-GB">
            <a:latin typeface="Times New Roman" panose="02020603050405020304" pitchFamily="18" charset="0"/>
            <a:cs typeface="Times New Roman" panose="02020603050405020304" pitchFamily="18" charset="0"/>
          </a:endParaRPr>
        </a:p>
      </dgm:t>
    </dgm:pt>
    <dgm:pt modelId="{F141DCC7-B22B-438D-8A54-111ECDA6ED18}">
      <dgm:prSet phldrT="[Tex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3.2. Подобряване на връзките на образованието и научно-изследователската дейност с бизнеса</a:t>
          </a:r>
          <a:endParaRPr lang="en-GB" sz="1000">
            <a:latin typeface="Times New Roman" panose="02020603050405020304" pitchFamily="18" charset="0"/>
            <a:cs typeface="Times New Roman" panose="02020603050405020304" pitchFamily="18" charset="0"/>
          </a:endParaRPr>
        </a:p>
      </dgm:t>
    </dgm:pt>
    <dgm:pt modelId="{B44C6FC5-A308-48FB-B73E-100486882354}" type="parTrans" cxnId="{CDB8C664-76CF-4EBB-8E61-E6C1C1F4A033}">
      <dgm:prSet/>
      <dgm:spPr/>
      <dgm:t>
        <a:bodyPr/>
        <a:lstStyle/>
        <a:p>
          <a:endParaRPr lang="en-GB">
            <a:latin typeface="Times New Roman" panose="02020603050405020304" pitchFamily="18" charset="0"/>
            <a:cs typeface="Times New Roman" panose="02020603050405020304" pitchFamily="18" charset="0"/>
          </a:endParaRPr>
        </a:p>
      </dgm:t>
    </dgm:pt>
    <dgm:pt modelId="{04BC12E9-E7E5-4723-B645-86AE3C112521}" type="sibTrans" cxnId="{CDB8C664-76CF-4EBB-8E61-E6C1C1F4A033}">
      <dgm:prSet/>
      <dgm:spPr/>
      <dgm:t>
        <a:bodyPr/>
        <a:lstStyle/>
        <a:p>
          <a:endParaRPr lang="en-GB">
            <a:latin typeface="Times New Roman" panose="02020603050405020304" pitchFamily="18" charset="0"/>
            <a:cs typeface="Times New Roman" panose="02020603050405020304" pitchFamily="18" charset="0"/>
          </a:endParaRPr>
        </a:p>
      </dgm:t>
    </dgm:pt>
    <dgm:pt modelId="{C0ECAF4F-2554-47F4-BC67-EA0D4675A481}">
      <dgm:prSet phldrT="[Text]" custT="1"/>
      <dgm:spPr>
        <a:solidFill>
          <a:srgbClr val="BEE6F0"/>
        </a:solidFill>
      </dgm:spPr>
      <dgm:t>
        <a:bodyPr/>
        <a:lstStyle/>
        <a:p>
          <a:r>
            <a:rPr lang="bg-BG" sz="1000">
              <a:latin typeface="Times New Roman" panose="02020603050405020304" pitchFamily="18" charset="0"/>
              <a:cs typeface="Times New Roman" panose="02020603050405020304" pitchFamily="18" charset="0"/>
            </a:rPr>
            <a:t>СЦ4. Международно и регионално сътрудничество за опазване и ползване на Черноморските ресурси </a:t>
          </a:r>
          <a:endParaRPr lang="en-GB" sz="1000">
            <a:latin typeface="Times New Roman" panose="02020603050405020304" pitchFamily="18" charset="0"/>
            <a:cs typeface="Times New Roman" panose="02020603050405020304" pitchFamily="18" charset="0"/>
          </a:endParaRPr>
        </a:p>
      </dgm:t>
    </dgm:pt>
    <dgm:pt modelId="{C20D9D63-6945-4C53-888D-5E3601643DE2}" type="parTrans" cxnId="{CAB8CE7D-556F-4783-B9A4-127C8DD362C5}">
      <dgm:prSet/>
      <dgm:spPr/>
      <dgm:t>
        <a:bodyPr/>
        <a:lstStyle/>
        <a:p>
          <a:endParaRPr lang="en-GB">
            <a:latin typeface="Times New Roman" panose="02020603050405020304" pitchFamily="18" charset="0"/>
            <a:cs typeface="Times New Roman" panose="02020603050405020304" pitchFamily="18" charset="0"/>
          </a:endParaRPr>
        </a:p>
      </dgm:t>
    </dgm:pt>
    <dgm:pt modelId="{DBF14B7B-8109-4370-9DCA-752273945B43}" type="sibTrans" cxnId="{CAB8CE7D-556F-4783-B9A4-127C8DD362C5}">
      <dgm:prSet/>
      <dgm:spPr/>
      <dgm:t>
        <a:bodyPr/>
        <a:lstStyle/>
        <a:p>
          <a:endParaRPr lang="en-GB">
            <a:latin typeface="Times New Roman" panose="02020603050405020304" pitchFamily="18" charset="0"/>
            <a:cs typeface="Times New Roman" panose="02020603050405020304" pitchFamily="18" charset="0"/>
          </a:endParaRPr>
        </a:p>
      </dgm:t>
    </dgm:pt>
    <dgm:pt modelId="{1DB7F2C9-FDCF-4FE6-B573-94FDCECFD28C}">
      <dgm:prSet phldrT="[Tex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4.1. Сътрудничество за намаляване нивата на замърсителите до безвредни за морските екосистеми стойности </a:t>
          </a:r>
          <a:endParaRPr lang="en-GB" sz="1000">
            <a:latin typeface="Times New Roman" panose="02020603050405020304" pitchFamily="18" charset="0"/>
            <a:cs typeface="Times New Roman" panose="02020603050405020304" pitchFamily="18" charset="0"/>
          </a:endParaRPr>
        </a:p>
      </dgm:t>
    </dgm:pt>
    <dgm:pt modelId="{6E2B12EB-1F24-4D2F-8070-4D7AB7E9C493}" type="parTrans" cxnId="{D3F9EE2C-A221-454D-80BB-203EDEE8D892}">
      <dgm:prSet/>
      <dgm:spPr/>
      <dgm:t>
        <a:bodyPr/>
        <a:lstStyle/>
        <a:p>
          <a:endParaRPr lang="en-GB">
            <a:latin typeface="Times New Roman" panose="02020603050405020304" pitchFamily="18" charset="0"/>
            <a:cs typeface="Times New Roman" panose="02020603050405020304" pitchFamily="18" charset="0"/>
          </a:endParaRPr>
        </a:p>
      </dgm:t>
    </dgm:pt>
    <dgm:pt modelId="{009825E4-2A6D-4CA3-AA34-8C0999A87934}" type="sibTrans" cxnId="{D3F9EE2C-A221-454D-80BB-203EDEE8D892}">
      <dgm:prSet/>
      <dgm:spPr/>
      <dgm:t>
        <a:bodyPr/>
        <a:lstStyle/>
        <a:p>
          <a:endParaRPr lang="en-GB">
            <a:latin typeface="Times New Roman" panose="02020603050405020304" pitchFamily="18" charset="0"/>
            <a:cs typeface="Times New Roman" panose="02020603050405020304" pitchFamily="18" charset="0"/>
          </a:endParaRPr>
        </a:p>
      </dgm:t>
    </dgm:pt>
    <dgm:pt modelId="{41B4BD45-9B59-49FA-8F51-8BCBD0FE27B0}">
      <dgm:prSet phldrT="[Tex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4.2. Сътрудничество за ефективно управление на риболова и прекратяване на свръхулова</a:t>
          </a:r>
          <a:endParaRPr lang="en-GB" sz="1000">
            <a:latin typeface="Times New Roman" panose="02020603050405020304" pitchFamily="18" charset="0"/>
            <a:cs typeface="Times New Roman" panose="02020603050405020304" pitchFamily="18" charset="0"/>
          </a:endParaRPr>
        </a:p>
      </dgm:t>
    </dgm:pt>
    <dgm:pt modelId="{B9A2E41A-2A64-43FD-B520-A0EF80659153}" type="parTrans" cxnId="{6F0B6249-7289-45C1-B882-12715D8101C2}">
      <dgm:prSet/>
      <dgm:spPr/>
      <dgm:t>
        <a:bodyPr/>
        <a:lstStyle/>
        <a:p>
          <a:endParaRPr lang="en-GB">
            <a:latin typeface="Times New Roman" panose="02020603050405020304" pitchFamily="18" charset="0"/>
            <a:cs typeface="Times New Roman" panose="02020603050405020304" pitchFamily="18" charset="0"/>
          </a:endParaRPr>
        </a:p>
      </dgm:t>
    </dgm:pt>
    <dgm:pt modelId="{2E3675C3-DB07-4A08-9CF4-29682D1500A6}" type="sibTrans" cxnId="{6F0B6249-7289-45C1-B882-12715D8101C2}">
      <dgm:prSet/>
      <dgm:spPr/>
      <dgm:t>
        <a:bodyPr/>
        <a:lstStyle/>
        <a:p>
          <a:endParaRPr lang="en-GB">
            <a:latin typeface="Times New Roman" panose="02020603050405020304" pitchFamily="18" charset="0"/>
            <a:cs typeface="Times New Roman" panose="02020603050405020304" pitchFamily="18" charset="0"/>
          </a:endParaRPr>
        </a:p>
      </dgm:t>
    </dgm:pt>
    <dgm:pt modelId="{F771A992-F51C-41C4-9DE6-14ED60133A40}">
      <dgm:prSet custT="1"/>
      <dgm:spPr>
        <a:solidFill>
          <a:srgbClr val="BEE6F0"/>
        </a:solidFill>
      </dgm:spPr>
      <dgm:t>
        <a:bodyPr/>
        <a:lstStyle/>
        <a:p>
          <a:r>
            <a:rPr lang="bg-BG" sz="1000">
              <a:latin typeface="Times New Roman" panose="02020603050405020304" pitchFamily="18" charset="0"/>
              <a:cs typeface="Times New Roman" panose="02020603050405020304" pitchFamily="18" charset="0"/>
            </a:rPr>
            <a:t>СЦ2. Изграждане на диверсифицирана и устойчива морска икономика и гизнени териториални общности</a:t>
          </a:r>
          <a:endParaRPr lang="en-GB" sz="1000">
            <a:latin typeface="Times New Roman" panose="02020603050405020304" pitchFamily="18" charset="0"/>
            <a:cs typeface="Times New Roman" panose="02020603050405020304" pitchFamily="18" charset="0"/>
          </a:endParaRPr>
        </a:p>
      </dgm:t>
    </dgm:pt>
    <dgm:pt modelId="{920D46B6-A1A0-4BC5-9C8A-6E495E78069C}" type="parTrans" cxnId="{72ECAEFB-203B-4345-814D-5037211DDFD5}">
      <dgm:prSet/>
      <dgm:spPr/>
      <dgm:t>
        <a:bodyPr/>
        <a:lstStyle/>
        <a:p>
          <a:endParaRPr lang="en-GB">
            <a:latin typeface="Times New Roman" panose="02020603050405020304" pitchFamily="18" charset="0"/>
            <a:cs typeface="Times New Roman" panose="02020603050405020304" pitchFamily="18" charset="0"/>
          </a:endParaRPr>
        </a:p>
      </dgm:t>
    </dgm:pt>
    <dgm:pt modelId="{106581B5-46F8-48DD-A84E-ACA6AF5B1E45}" type="sibTrans" cxnId="{72ECAEFB-203B-4345-814D-5037211DDFD5}">
      <dgm:prSet/>
      <dgm:spPr/>
      <dgm:t>
        <a:bodyPr/>
        <a:lstStyle/>
        <a:p>
          <a:endParaRPr lang="en-GB">
            <a:latin typeface="Times New Roman" panose="02020603050405020304" pitchFamily="18" charset="0"/>
            <a:cs typeface="Times New Roman" panose="02020603050405020304" pitchFamily="18" charset="0"/>
          </a:endParaRPr>
        </a:p>
      </dgm:t>
    </dgm:pt>
    <dgm:pt modelId="{386D4CED-A1A4-4E03-B66B-EFFC1AC1AD75}">
      <dgm:prSet phldrT="[Tex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1.3. Институционализация на МППРБ</a:t>
          </a:r>
          <a:endParaRPr lang="en-GB" sz="1000">
            <a:latin typeface="Times New Roman" panose="02020603050405020304" pitchFamily="18" charset="0"/>
            <a:cs typeface="Times New Roman" panose="02020603050405020304" pitchFamily="18" charset="0"/>
          </a:endParaRPr>
        </a:p>
      </dgm:t>
    </dgm:pt>
    <dgm:pt modelId="{9C4C0453-83F6-42AE-93EE-79E16AD7AB20}" type="parTrans" cxnId="{5C26CBEA-3720-48C2-9E52-E94E8A275734}">
      <dgm:prSet/>
      <dgm:spPr/>
      <dgm:t>
        <a:bodyPr/>
        <a:lstStyle/>
        <a:p>
          <a:endParaRPr lang="en-US">
            <a:latin typeface="Times New Roman" panose="02020603050405020304" pitchFamily="18" charset="0"/>
            <a:cs typeface="Times New Roman" panose="02020603050405020304" pitchFamily="18" charset="0"/>
          </a:endParaRPr>
        </a:p>
      </dgm:t>
    </dgm:pt>
    <dgm:pt modelId="{866ED4A0-A2DC-4757-92A7-5380FC0DD9C2}" type="sibTrans" cxnId="{5C26CBEA-3720-48C2-9E52-E94E8A275734}">
      <dgm:prSet/>
      <dgm:spPr/>
      <dgm:t>
        <a:bodyPr/>
        <a:lstStyle/>
        <a:p>
          <a:endParaRPr lang="en-US">
            <a:latin typeface="Times New Roman" panose="02020603050405020304" pitchFamily="18" charset="0"/>
            <a:cs typeface="Times New Roman" panose="02020603050405020304" pitchFamily="18" charset="0"/>
          </a:endParaRPr>
        </a:p>
      </dgm:t>
    </dgm:pt>
    <dgm:pt modelId="{716FD416-CE01-404A-8D6A-01CFA90C2C48}">
      <dgm:prSet phldrT="[Tex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1.4. Информационно осигуряване на процеса на прилагане и мониторинг на МППРБ</a:t>
          </a:r>
          <a:endParaRPr lang="en-GB" sz="1000">
            <a:latin typeface="Times New Roman" panose="02020603050405020304" pitchFamily="18" charset="0"/>
            <a:cs typeface="Times New Roman" panose="02020603050405020304" pitchFamily="18" charset="0"/>
          </a:endParaRPr>
        </a:p>
      </dgm:t>
    </dgm:pt>
    <dgm:pt modelId="{EA693796-CA61-40C6-B45A-107840D1AB3B}" type="parTrans" cxnId="{10A6C052-8FDB-463E-A330-154A7380DF42}">
      <dgm:prSet/>
      <dgm:spPr/>
      <dgm:t>
        <a:bodyPr/>
        <a:lstStyle/>
        <a:p>
          <a:endParaRPr lang="en-US">
            <a:latin typeface="Times New Roman" panose="02020603050405020304" pitchFamily="18" charset="0"/>
            <a:cs typeface="Times New Roman" panose="02020603050405020304" pitchFamily="18" charset="0"/>
          </a:endParaRPr>
        </a:p>
      </dgm:t>
    </dgm:pt>
    <dgm:pt modelId="{ACD7EFB8-7858-4334-98C3-8F81FBB85D05}" type="sibTrans" cxnId="{10A6C052-8FDB-463E-A330-154A7380DF42}">
      <dgm:prSet/>
      <dgm:spPr/>
      <dgm:t>
        <a:bodyPr/>
        <a:lstStyle/>
        <a:p>
          <a:endParaRPr lang="en-US">
            <a:latin typeface="Times New Roman" panose="02020603050405020304" pitchFamily="18" charset="0"/>
            <a:cs typeface="Times New Roman" panose="02020603050405020304" pitchFamily="18" charset="0"/>
          </a:endParaRPr>
        </a:p>
      </dgm:t>
    </dgm:pt>
    <dgm:pt modelId="{36CE141A-87DA-472C-86D3-C1FC47B036C0}">
      <dgm:prSet phldrT="[Tex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 СпЦ 3.3. Изграждане на база от знания и иновации за морска политика </a:t>
          </a:r>
          <a:endParaRPr lang="en-GB" sz="1000">
            <a:latin typeface="Times New Roman" panose="02020603050405020304" pitchFamily="18" charset="0"/>
            <a:cs typeface="Times New Roman" panose="02020603050405020304" pitchFamily="18" charset="0"/>
          </a:endParaRPr>
        </a:p>
      </dgm:t>
    </dgm:pt>
    <dgm:pt modelId="{34C78E12-72A2-470D-89D7-84ECB788E155}" type="parTrans" cxnId="{21CDBED2-EF13-48B8-98A9-FF50F7C0DD95}">
      <dgm:prSet/>
      <dgm:spPr/>
      <dgm:t>
        <a:bodyPr/>
        <a:lstStyle/>
        <a:p>
          <a:endParaRPr lang="en-US">
            <a:latin typeface="Times New Roman" panose="02020603050405020304" pitchFamily="18" charset="0"/>
            <a:cs typeface="Times New Roman" panose="02020603050405020304" pitchFamily="18" charset="0"/>
          </a:endParaRPr>
        </a:p>
      </dgm:t>
    </dgm:pt>
    <dgm:pt modelId="{09B7BF03-B52D-44DB-A94E-6A666F15B4E0}" type="sibTrans" cxnId="{21CDBED2-EF13-48B8-98A9-FF50F7C0DD95}">
      <dgm:prSet/>
      <dgm:spPr/>
      <dgm:t>
        <a:bodyPr/>
        <a:lstStyle/>
        <a:p>
          <a:endParaRPr lang="en-US">
            <a:latin typeface="Times New Roman" panose="02020603050405020304" pitchFamily="18" charset="0"/>
            <a:cs typeface="Times New Roman" panose="02020603050405020304" pitchFamily="18" charset="0"/>
          </a:endParaRPr>
        </a:p>
      </dgm:t>
    </dgm:pt>
    <dgm:pt modelId="{42E61B67-55D0-4961-8186-519EDC874C06}">
      <dgm:prSet phldrT="[Tex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3.4. Повишаване на екологичното възпитание и знание за морето </a:t>
          </a:r>
          <a:endParaRPr lang="en-GB" sz="1000">
            <a:latin typeface="Times New Roman" panose="02020603050405020304" pitchFamily="18" charset="0"/>
            <a:cs typeface="Times New Roman" panose="02020603050405020304" pitchFamily="18" charset="0"/>
          </a:endParaRPr>
        </a:p>
      </dgm:t>
    </dgm:pt>
    <dgm:pt modelId="{A6129779-21AD-47E8-B02A-D3474EE24883}" type="parTrans" cxnId="{2C121117-1246-4EFF-BE7A-EB94E3D61558}">
      <dgm:prSet/>
      <dgm:spPr/>
      <dgm:t>
        <a:bodyPr/>
        <a:lstStyle/>
        <a:p>
          <a:endParaRPr lang="en-US">
            <a:latin typeface="Times New Roman" panose="02020603050405020304" pitchFamily="18" charset="0"/>
            <a:cs typeface="Times New Roman" panose="02020603050405020304" pitchFamily="18" charset="0"/>
          </a:endParaRPr>
        </a:p>
      </dgm:t>
    </dgm:pt>
    <dgm:pt modelId="{E5AAC324-4A34-4F9F-BF48-D276CB5F4805}" type="sibTrans" cxnId="{2C121117-1246-4EFF-BE7A-EB94E3D61558}">
      <dgm:prSet/>
      <dgm:spPr/>
      <dgm:t>
        <a:bodyPr/>
        <a:lstStyle/>
        <a:p>
          <a:endParaRPr lang="en-US">
            <a:latin typeface="Times New Roman" panose="02020603050405020304" pitchFamily="18" charset="0"/>
            <a:cs typeface="Times New Roman" panose="02020603050405020304" pitchFamily="18" charset="0"/>
          </a:endParaRPr>
        </a:p>
      </dgm:t>
    </dgm:pt>
    <dgm:pt modelId="{D1EF163B-2DAC-4BE7-B572-3566B4B2D453}">
      <dgm:prSet phldrT="[Text]" custT="1"/>
      <dgm:spPr>
        <a:solidFill>
          <a:srgbClr val="BEE6F0"/>
        </a:solidFill>
      </dgm:spPr>
      <dgm:t>
        <a:bodyPr/>
        <a:lstStyle/>
        <a:p>
          <a:r>
            <a:rPr lang="bg-BG" sz="1000">
              <a:latin typeface="Times New Roman" panose="02020603050405020304" pitchFamily="18" charset="0"/>
              <a:cs typeface="Times New Roman" panose="02020603050405020304" pitchFamily="18" charset="0"/>
            </a:rPr>
            <a:t>СЦ3. Повишаване на морската култура, образование и знание</a:t>
          </a:r>
          <a:endParaRPr lang="en-GB" sz="1000">
            <a:latin typeface="Times New Roman" panose="02020603050405020304" pitchFamily="18" charset="0"/>
            <a:cs typeface="Times New Roman" panose="02020603050405020304" pitchFamily="18" charset="0"/>
          </a:endParaRPr>
        </a:p>
      </dgm:t>
    </dgm:pt>
    <dgm:pt modelId="{42C7A1F1-1533-412D-9F51-0AAA85159B37}" type="sibTrans" cxnId="{2605437D-A163-4580-8429-3199997290BE}">
      <dgm:prSet/>
      <dgm:spPr/>
      <dgm:t>
        <a:bodyPr/>
        <a:lstStyle/>
        <a:p>
          <a:endParaRPr lang="en-GB">
            <a:latin typeface="Times New Roman" panose="02020603050405020304" pitchFamily="18" charset="0"/>
            <a:cs typeface="Times New Roman" panose="02020603050405020304" pitchFamily="18" charset="0"/>
          </a:endParaRPr>
        </a:p>
      </dgm:t>
    </dgm:pt>
    <dgm:pt modelId="{44F7A9C2-C465-4A6B-A0E4-DB8458909B07}" type="parTrans" cxnId="{2605437D-A163-4580-8429-3199997290BE}">
      <dgm:prSet/>
      <dgm:spPr/>
      <dgm:t>
        <a:bodyPr/>
        <a:lstStyle/>
        <a:p>
          <a:endParaRPr lang="en-GB">
            <a:latin typeface="Times New Roman" panose="02020603050405020304" pitchFamily="18" charset="0"/>
            <a:cs typeface="Times New Roman" panose="02020603050405020304" pitchFamily="18" charset="0"/>
          </a:endParaRPr>
        </a:p>
      </dgm:t>
    </dgm:pt>
    <dgm:pt modelId="{A6AEDD3A-AE9C-40F5-908B-B8DDF89CEB41}">
      <dgm:prSet phldrT="[Tex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4.3. Сътрудничество за споделени услуги, работни места и трансгранични продукти</a:t>
          </a:r>
          <a:endParaRPr lang="en-GB" sz="1000">
            <a:latin typeface="Times New Roman" panose="02020603050405020304" pitchFamily="18" charset="0"/>
            <a:cs typeface="Times New Roman" panose="02020603050405020304" pitchFamily="18" charset="0"/>
          </a:endParaRPr>
        </a:p>
      </dgm:t>
    </dgm:pt>
    <dgm:pt modelId="{205B9D75-BF91-4496-A7EF-53A4E611E347}" type="parTrans" cxnId="{4CB45244-A7B4-4300-8528-0C52950574C4}">
      <dgm:prSet/>
      <dgm:spPr/>
      <dgm:t>
        <a:bodyPr/>
        <a:lstStyle/>
        <a:p>
          <a:endParaRPr lang="en-US">
            <a:latin typeface="Times New Roman" panose="02020603050405020304" pitchFamily="18" charset="0"/>
            <a:cs typeface="Times New Roman" panose="02020603050405020304" pitchFamily="18" charset="0"/>
          </a:endParaRPr>
        </a:p>
      </dgm:t>
    </dgm:pt>
    <dgm:pt modelId="{8FA9F9DC-9E21-425C-A4E6-CE6C19918DB0}" type="sibTrans" cxnId="{4CB45244-A7B4-4300-8528-0C52950574C4}">
      <dgm:prSet/>
      <dgm:spPr/>
      <dgm:t>
        <a:bodyPr/>
        <a:lstStyle/>
        <a:p>
          <a:endParaRPr lang="en-US">
            <a:latin typeface="Times New Roman" panose="02020603050405020304" pitchFamily="18" charset="0"/>
            <a:cs typeface="Times New Roman" panose="02020603050405020304" pitchFamily="18" charset="0"/>
          </a:endParaRPr>
        </a:p>
      </dgm:t>
    </dgm:pt>
    <dgm:pt modelId="{E4023C2B-EB6A-4E1C-819F-B8FA3BE81A03}">
      <dgm:prSe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2.1. Координация на секторните политики в синята икономика и подкрепа на Зелената сделка</a:t>
          </a:r>
          <a:endParaRPr lang="en-US" sz="1000">
            <a:latin typeface="Times New Roman" panose="02020603050405020304" pitchFamily="18" charset="0"/>
            <a:cs typeface="Times New Roman" panose="02020603050405020304" pitchFamily="18" charset="0"/>
          </a:endParaRPr>
        </a:p>
      </dgm:t>
    </dgm:pt>
    <dgm:pt modelId="{AC9189C3-9DF1-4703-9EBF-3B693F70AF5A}" type="parTrans" cxnId="{6781FC5D-DC87-4F03-91F5-C0ADF71BBC7B}">
      <dgm:prSet/>
      <dgm:spPr/>
      <dgm:t>
        <a:bodyPr/>
        <a:lstStyle/>
        <a:p>
          <a:endParaRPr lang="en-US">
            <a:latin typeface="Times New Roman" panose="02020603050405020304" pitchFamily="18" charset="0"/>
            <a:cs typeface="Times New Roman" panose="02020603050405020304" pitchFamily="18" charset="0"/>
          </a:endParaRPr>
        </a:p>
      </dgm:t>
    </dgm:pt>
    <dgm:pt modelId="{58DE8DC6-0452-41F4-AE9B-0936391EA268}" type="sibTrans" cxnId="{6781FC5D-DC87-4F03-91F5-C0ADF71BBC7B}">
      <dgm:prSet/>
      <dgm:spPr/>
      <dgm:t>
        <a:bodyPr/>
        <a:lstStyle/>
        <a:p>
          <a:endParaRPr lang="en-US">
            <a:latin typeface="Times New Roman" panose="02020603050405020304" pitchFamily="18" charset="0"/>
            <a:cs typeface="Times New Roman" panose="02020603050405020304" pitchFamily="18" charset="0"/>
          </a:endParaRPr>
        </a:p>
      </dgm:t>
    </dgm:pt>
    <dgm:pt modelId="{CC648B7B-3737-4139-A6E1-EC6622A70A66}">
      <dgm:prSe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2.3. Устойчиво развитие на корабоплаването и корабостроенето </a:t>
          </a:r>
          <a:endParaRPr lang="en-US" sz="1000">
            <a:latin typeface="Times New Roman" panose="02020603050405020304" pitchFamily="18" charset="0"/>
            <a:cs typeface="Times New Roman" panose="02020603050405020304" pitchFamily="18" charset="0"/>
          </a:endParaRPr>
        </a:p>
      </dgm:t>
    </dgm:pt>
    <dgm:pt modelId="{35272B71-BBED-4CF8-925F-F68A6DF2879E}" type="parTrans" cxnId="{DD09A5B9-CA7F-48CB-B6F3-E76DB650B7E6}">
      <dgm:prSet/>
      <dgm:spPr/>
      <dgm:t>
        <a:bodyPr/>
        <a:lstStyle/>
        <a:p>
          <a:endParaRPr lang="en-US">
            <a:latin typeface="Times New Roman" panose="02020603050405020304" pitchFamily="18" charset="0"/>
            <a:cs typeface="Times New Roman" panose="02020603050405020304" pitchFamily="18" charset="0"/>
          </a:endParaRPr>
        </a:p>
      </dgm:t>
    </dgm:pt>
    <dgm:pt modelId="{AF31D0DC-3698-448B-864D-446F8A2EB900}" type="sibTrans" cxnId="{DD09A5B9-CA7F-48CB-B6F3-E76DB650B7E6}">
      <dgm:prSet/>
      <dgm:spPr/>
      <dgm:t>
        <a:bodyPr/>
        <a:lstStyle/>
        <a:p>
          <a:endParaRPr lang="en-US">
            <a:latin typeface="Times New Roman" panose="02020603050405020304" pitchFamily="18" charset="0"/>
            <a:cs typeface="Times New Roman" panose="02020603050405020304" pitchFamily="18" charset="0"/>
          </a:endParaRPr>
        </a:p>
      </dgm:t>
    </dgm:pt>
    <dgm:pt modelId="{2FCF7F15-638F-41DD-9D6F-454B941D0E0A}">
      <dgm:prSe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2.2. Устойчиво развитие на крайбрежния и морски туризъм </a:t>
          </a:r>
          <a:endParaRPr lang="en-US" sz="1000">
            <a:latin typeface="Times New Roman" panose="02020603050405020304" pitchFamily="18" charset="0"/>
            <a:cs typeface="Times New Roman" panose="02020603050405020304" pitchFamily="18" charset="0"/>
          </a:endParaRPr>
        </a:p>
      </dgm:t>
    </dgm:pt>
    <dgm:pt modelId="{15E97936-7A6D-40B6-8110-06B24C0A5B45}" type="parTrans" cxnId="{6329F5BE-0F48-40CA-9FE6-9099D1284AFB}">
      <dgm:prSet/>
      <dgm:spPr/>
      <dgm:t>
        <a:bodyPr/>
        <a:lstStyle/>
        <a:p>
          <a:endParaRPr lang="en-US">
            <a:latin typeface="Times New Roman" panose="02020603050405020304" pitchFamily="18" charset="0"/>
            <a:cs typeface="Times New Roman" panose="02020603050405020304" pitchFamily="18" charset="0"/>
          </a:endParaRPr>
        </a:p>
      </dgm:t>
    </dgm:pt>
    <dgm:pt modelId="{BB736D8A-830F-4B53-B8B8-DCF6CC0B00B0}" type="sibTrans" cxnId="{6329F5BE-0F48-40CA-9FE6-9099D1284AFB}">
      <dgm:prSet/>
      <dgm:spPr/>
      <dgm:t>
        <a:bodyPr/>
        <a:lstStyle/>
        <a:p>
          <a:endParaRPr lang="en-US">
            <a:latin typeface="Times New Roman" panose="02020603050405020304" pitchFamily="18" charset="0"/>
            <a:cs typeface="Times New Roman" panose="02020603050405020304" pitchFamily="18" charset="0"/>
          </a:endParaRPr>
        </a:p>
      </dgm:t>
    </dgm:pt>
    <dgm:pt modelId="{6D007006-DA3B-403B-9E5F-F478CE7661A5}">
      <dgm:prSet custT="1"/>
      <dgm:spPr>
        <a:solidFill>
          <a:srgbClr val="196181"/>
        </a:solidFill>
        <a:ln>
          <a:noFill/>
        </a:ln>
      </dgm:spPr>
      <dgm:t>
        <a:bodyPr/>
        <a:lstStyle/>
        <a:p>
          <a:r>
            <a:rPr lang="bg-BG" sz="1000">
              <a:latin typeface="Times New Roman" panose="02020603050405020304" pitchFamily="18" charset="0"/>
              <a:cs typeface="Times New Roman" panose="02020603050405020304" pitchFamily="18" charset="0"/>
            </a:rPr>
            <a:t>СпЦ 2.4. Устойчиво развитие на сектор „Рибарство и аквакултури“ </a:t>
          </a:r>
          <a:endParaRPr lang="en-US" sz="1000">
            <a:latin typeface="Times New Roman" panose="02020603050405020304" pitchFamily="18" charset="0"/>
            <a:cs typeface="Times New Roman" panose="02020603050405020304" pitchFamily="18" charset="0"/>
          </a:endParaRPr>
        </a:p>
      </dgm:t>
    </dgm:pt>
    <dgm:pt modelId="{5BC10D31-7CAC-45D7-9DE5-FCFE189816EC}" type="parTrans" cxnId="{B380C1A5-9C0F-4E96-896B-416F92E8EF42}">
      <dgm:prSet/>
      <dgm:spPr/>
      <dgm:t>
        <a:bodyPr/>
        <a:lstStyle/>
        <a:p>
          <a:endParaRPr lang="en-US">
            <a:latin typeface="Times New Roman" panose="02020603050405020304" pitchFamily="18" charset="0"/>
            <a:cs typeface="Times New Roman" panose="02020603050405020304" pitchFamily="18" charset="0"/>
          </a:endParaRPr>
        </a:p>
      </dgm:t>
    </dgm:pt>
    <dgm:pt modelId="{91EB94C4-0871-4A58-82F1-DB15408D5E23}" type="sibTrans" cxnId="{B380C1A5-9C0F-4E96-896B-416F92E8EF42}">
      <dgm:prSet/>
      <dgm:spPr/>
      <dgm:t>
        <a:bodyPr/>
        <a:lstStyle/>
        <a:p>
          <a:endParaRPr lang="en-US">
            <a:latin typeface="Times New Roman" panose="02020603050405020304" pitchFamily="18" charset="0"/>
            <a:cs typeface="Times New Roman" panose="02020603050405020304" pitchFamily="18" charset="0"/>
          </a:endParaRPr>
        </a:p>
      </dgm:t>
    </dgm:pt>
    <dgm:pt modelId="{9FE1C0CF-E84F-4267-AF5C-F04B971CB3F2}" type="pres">
      <dgm:prSet presAssocID="{250C17D8-3A05-4775-A4AF-413E949B946B}" presName="theList" presStyleCnt="0">
        <dgm:presLayoutVars>
          <dgm:dir/>
          <dgm:animLvl val="lvl"/>
          <dgm:resizeHandles val="exact"/>
        </dgm:presLayoutVars>
      </dgm:prSet>
      <dgm:spPr/>
      <dgm:t>
        <a:bodyPr/>
        <a:lstStyle/>
        <a:p>
          <a:endParaRPr lang="en-US"/>
        </a:p>
      </dgm:t>
    </dgm:pt>
    <dgm:pt modelId="{E2175E94-6051-4D0A-8DDA-4A1B0081D800}" type="pres">
      <dgm:prSet presAssocID="{2C4D1D2F-1811-424A-B824-9472A4BA4C29}" presName="compNode" presStyleCnt="0"/>
      <dgm:spPr/>
    </dgm:pt>
    <dgm:pt modelId="{5A1FCAFA-A958-481F-880D-CD04F4330755}" type="pres">
      <dgm:prSet presAssocID="{2C4D1D2F-1811-424A-B824-9472A4BA4C29}" presName="aNode" presStyleLbl="bgShp" presStyleIdx="0" presStyleCnt="4" custLinFactNeighborX="-10230" custLinFactNeighborY="557"/>
      <dgm:spPr/>
      <dgm:t>
        <a:bodyPr/>
        <a:lstStyle/>
        <a:p>
          <a:endParaRPr lang="en-US"/>
        </a:p>
      </dgm:t>
    </dgm:pt>
    <dgm:pt modelId="{AD17B7BD-FA0D-437C-8E3B-BFFF41935ACB}" type="pres">
      <dgm:prSet presAssocID="{2C4D1D2F-1811-424A-B824-9472A4BA4C29}" presName="textNode" presStyleLbl="bgShp" presStyleIdx="0" presStyleCnt="4"/>
      <dgm:spPr/>
      <dgm:t>
        <a:bodyPr/>
        <a:lstStyle/>
        <a:p>
          <a:endParaRPr lang="en-US"/>
        </a:p>
      </dgm:t>
    </dgm:pt>
    <dgm:pt modelId="{AAB9EB0B-9825-41E4-925D-A22AD4891DED}" type="pres">
      <dgm:prSet presAssocID="{2C4D1D2F-1811-424A-B824-9472A4BA4C29}" presName="compChildNode" presStyleCnt="0"/>
      <dgm:spPr/>
    </dgm:pt>
    <dgm:pt modelId="{DFAEA74E-C294-44CF-ABE7-1684D30F4F9B}" type="pres">
      <dgm:prSet presAssocID="{2C4D1D2F-1811-424A-B824-9472A4BA4C29}" presName="theInnerList" presStyleCnt="0"/>
      <dgm:spPr/>
    </dgm:pt>
    <dgm:pt modelId="{618CBD18-DE87-43E9-B0F9-273D1A2219CA}" type="pres">
      <dgm:prSet presAssocID="{578DC743-887A-4FD5-BE36-7CB3BFECF8AB}" presName="childNode" presStyleLbl="node1" presStyleIdx="0" presStyleCnt="15" custScaleX="110795" custScaleY="97361" custLinFactY="-29848" custLinFactNeighborX="-657" custLinFactNeighborY="-100000">
        <dgm:presLayoutVars>
          <dgm:bulletEnabled val="1"/>
        </dgm:presLayoutVars>
      </dgm:prSet>
      <dgm:spPr/>
      <dgm:t>
        <a:bodyPr/>
        <a:lstStyle/>
        <a:p>
          <a:endParaRPr lang="en-US"/>
        </a:p>
      </dgm:t>
    </dgm:pt>
    <dgm:pt modelId="{1A53B552-D3BD-4FE3-B831-D02D4310EFF8}" type="pres">
      <dgm:prSet presAssocID="{578DC743-887A-4FD5-BE36-7CB3BFECF8AB}" presName="aSpace2" presStyleCnt="0"/>
      <dgm:spPr/>
    </dgm:pt>
    <dgm:pt modelId="{7FCEF541-530F-41BC-9345-821B20D5B2F6}" type="pres">
      <dgm:prSet presAssocID="{F61AA200-E7EC-4D41-ACB9-CC958DC51703}" presName="childNode" presStyleLbl="node1" presStyleIdx="1" presStyleCnt="15" custScaleX="110795" custScaleY="96099" custLinFactY="-28218" custLinFactNeighborY="-100000">
        <dgm:presLayoutVars>
          <dgm:bulletEnabled val="1"/>
        </dgm:presLayoutVars>
      </dgm:prSet>
      <dgm:spPr/>
      <dgm:t>
        <a:bodyPr/>
        <a:lstStyle/>
        <a:p>
          <a:endParaRPr lang="en-US"/>
        </a:p>
      </dgm:t>
    </dgm:pt>
    <dgm:pt modelId="{D2D22123-0ABE-41CA-B596-C24FE389BB28}" type="pres">
      <dgm:prSet presAssocID="{F61AA200-E7EC-4D41-ACB9-CC958DC51703}" presName="aSpace2" presStyleCnt="0"/>
      <dgm:spPr/>
    </dgm:pt>
    <dgm:pt modelId="{D51D869D-BCE2-4BDF-9D3D-873775402965}" type="pres">
      <dgm:prSet presAssocID="{386D4CED-A1A4-4E03-B66B-EFFC1AC1AD75}" presName="childNode" presStyleLbl="node1" presStyleIdx="2" presStyleCnt="15" custScaleX="110796" custLinFactY="-29323" custLinFactNeighborX="-1314" custLinFactNeighborY="-100000">
        <dgm:presLayoutVars>
          <dgm:bulletEnabled val="1"/>
        </dgm:presLayoutVars>
      </dgm:prSet>
      <dgm:spPr/>
      <dgm:t>
        <a:bodyPr/>
        <a:lstStyle/>
        <a:p>
          <a:endParaRPr lang="en-US"/>
        </a:p>
      </dgm:t>
    </dgm:pt>
    <dgm:pt modelId="{95CA2ABB-725A-4197-A3B6-ABEDDF24BCE0}" type="pres">
      <dgm:prSet presAssocID="{386D4CED-A1A4-4E03-B66B-EFFC1AC1AD75}" presName="aSpace2" presStyleCnt="0"/>
      <dgm:spPr/>
    </dgm:pt>
    <dgm:pt modelId="{5CC9BB53-F13B-49A4-A959-2CF3D307144C}" type="pres">
      <dgm:prSet presAssocID="{716FD416-CE01-404A-8D6A-01CFA90C2C48}" presName="childNode" presStyleLbl="node1" presStyleIdx="3" presStyleCnt="15" custScaleX="110795" custScaleY="139325" custLinFactY="-32649" custLinFactNeighborY="-100000">
        <dgm:presLayoutVars>
          <dgm:bulletEnabled val="1"/>
        </dgm:presLayoutVars>
      </dgm:prSet>
      <dgm:spPr/>
      <dgm:t>
        <a:bodyPr/>
        <a:lstStyle/>
        <a:p>
          <a:endParaRPr lang="en-US"/>
        </a:p>
      </dgm:t>
    </dgm:pt>
    <dgm:pt modelId="{B6ED9A21-EF58-4535-A69E-85F4D4773C0F}" type="pres">
      <dgm:prSet presAssocID="{2C4D1D2F-1811-424A-B824-9472A4BA4C29}" presName="aSpace" presStyleCnt="0"/>
      <dgm:spPr/>
    </dgm:pt>
    <dgm:pt modelId="{8A4BC7F7-AA75-4FB6-9F74-96097A5F22C5}" type="pres">
      <dgm:prSet presAssocID="{F771A992-F51C-41C4-9DE6-14ED60133A40}" presName="compNode" presStyleCnt="0"/>
      <dgm:spPr/>
    </dgm:pt>
    <dgm:pt modelId="{15C31490-9821-4292-94AB-2265C22381C2}" type="pres">
      <dgm:prSet presAssocID="{F771A992-F51C-41C4-9DE6-14ED60133A40}" presName="aNode" presStyleLbl="bgShp" presStyleIdx="1" presStyleCnt="4"/>
      <dgm:spPr/>
      <dgm:t>
        <a:bodyPr/>
        <a:lstStyle/>
        <a:p>
          <a:endParaRPr lang="en-US"/>
        </a:p>
      </dgm:t>
    </dgm:pt>
    <dgm:pt modelId="{C266EDB7-59A4-4372-B51C-CF996A274813}" type="pres">
      <dgm:prSet presAssocID="{F771A992-F51C-41C4-9DE6-14ED60133A40}" presName="textNode" presStyleLbl="bgShp" presStyleIdx="1" presStyleCnt="4"/>
      <dgm:spPr/>
      <dgm:t>
        <a:bodyPr/>
        <a:lstStyle/>
        <a:p>
          <a:endParaRPr lang="en-US"/>
        </a:p>
      </dgm:t>
    </dgm:pt>
    <dgm:pt modelId="{7D0C955B-D9A1-4357-A6A3-AD6B4AA4A0EA}" type="pres">
      <dgm:prSet presAssocID="{F771A992-F51C-41C4-9DE6-14ED60133A40}" presName="compChildNode" presStyleCnt="0"/>
      <dgm:spPr/>
    </dgm:pt>
    <dgm:pt modelId="{0176EA7C-1E17-424A-8EBD-BB2690132260}" type="pres">
      <dgm:prSet presAssocID="{F771A992-F51C-41C4-9DE6-14ED60133A40}" presName="theInnerList" presStyleCnt="0"/>
      <dgm:spPr/>
    </dgm:pt>
    <dgm:pt modelId="{8A6289E2-AD86-461F-B39F-2FC094D4CFA2}" type="pres">
      <dgm:prSet presAssocID="{E4023C2B-EB6A-4E1C-819F-B8FA3BE81A03}" presName="childNode" presStyleLbl="node1" presStyleIdx="4" presStyleCnt="15" custScaleX="111385" custScaleY="219352" custLinFactY="-49856" custLinFactNeighborX="-657" custLinFactNeighborY="-100000">
        <dgm:presLayoutVars>
          <dgm:bulletEnabled val="1"/>
        </dgm:presLayoutVars>
      </dgm:prSet>
      <dgm:spPr/>
      <dgm:t>
        <a:bodyPr/>
        <a:lstStyle/>
        <a:p>
          <a:endParaRPr lang="en-US"/>
        </a:p>
      </dgm:t>
    </dgm:pt>
    <dgm:pt modelId="{400ACCD2-9697-4330-999B-AC9E1F584308}" type="pres">
      <dgm:prSet presAssocID="{E4023C2B-EB6A-4E1C-819F-B8FA3BE81A03}" presName="aSpace2" presStyleCnt="0"/>
      <dgm:spPr/>
    </dgm:pt>
    <dgm:pt modelId="{5577D278-71D2-46F1-8390-C0891F7AFA08}" type="pres">
      <dgm:prSet presAssocID="{2FCF7F15-638F-41DD-9D6F-454B941D0E0A}" presName="childNode" presStyleLbl="node1" presStyleIdx="5" presStyleCnt="15" custScaleX="113395" custScaleY="158688" custLinFactY="-37423" custLinFactNeighborY="-100000">
        <dgm:presLayoutVars>
          <dgm:bulletEnabled val="1"/>
        </dgm:presLayoutVars>
      </dgm:prSet>
      <dgm:spPr/>
      <dgm:t>
        <a:bodyPr/>
        <a:lstStyle/>
        <a:p>
          <a:endParaRPr lang="en-US"/>
        </a:p>
      </dgm:t>
    </dgm:pt>
    <dgm:pt modelId="{14B830CA-8A71-43C3-BB83-A24E4C4B88FF}" type="pres">
      <dgm:prSet presAssocID="{2FCF7F15-638F-41DD-9D6F-454B941D0E0A}" presName="aSpace2" presStyleCnt="0"/>
      <dgm:spPr/>
    </dgm:pt>
    <dgm:pt modelId="{AE838385-E119-4815-A759-89C3EC7B47E1}" type="pres">
      <dgm:prSet presAssocID="{CC648B7B-3737-4139-A6E1-EC6622A70A66}" presName="childNode" presStyleLbl="node1" presStyleIdx="6" presStyleCnt="15" custScaleX="110767" custScaleY="174313" custLinFactY="-26667" custLinFactNeighborX="-640" custLinFactNeighborY="-100000">
        <dgm:presLayoutVars>
          <dgm:bulletEnabled val="1"/>
        </dgm:presLayoutVars>
      </dgm:prSet>
      <dgm:spPr/>
      <dgm:t>
        <a:bodyPr/>
        <a:lstStyle/>
        <a:p>
          <a:endParaRPr lang="en-US"/>
        </a:p>
      </dgm:t>
    </dgm:pt>
    <dgm:pt modelId="{B2DE4CF0-B8B0-472C-9F53-4D12E8C638A3}" type="pres">
      <dgm:prSet presAssocID="{CC648B7B-3737-4139-A6E1-EC6622A70A66}" presName="aSpace2" presStyleCnt="0"/>
      <dgm:spPr/>
    </dgm:pt>
    <dgm:pt modelId="{1F60DE90-A7F2-4A91-B116-06C08D6A63EA}" type="pres">
      <dgm:prSet presAssocID="{6D007006-DA3B-403B-9E5F-F478CE7661A5}" presName="childNode" presStyleLbl="node1" presStyleIdx="7" presStyleCnt="15" custScaleX="112700" custScaleY="172418" custLinFactY="-9672" custLinFactNeighborX="-1297" custLinFactNeighborY="-100000">
        <dgm:presLayoutVars>
          <dgm:bulletEnabled val="1"/>
        </dgm:presLayoutVars>
      </dgm:prSet>
      <dgm:spPr/>
      <dgm:t>
        <a:bodyPr/>
        <a:lstStyle/>
        <a:p>
          <a:endParaRPr lang="en-US"/>
        </a:p>
      </dgm:t>
    </dgm:pt>
    <dgm:pt modelId="{C5FF72F9-E48C-4318-A9B4-364584E80427}" type="pres">
      <dgm:prSet presAssocID="{F771A992-F51C-41C4-9DE6-14ED60133A40}" presName="aSpace" presStyleCnt="0"/>
      <dgm:spPr/>
    </dgm:pt>
    <dgm:pt modelId="{2A7C7330-16F3-476D-8657-8D064CB8854D}" type="pres">
      <dgm:prSet presAssocID="{D1EF163B-2DAC-4BE7-B572-3566B4B2D453}" presName="compNode" presStyleCnt="0"/>
      <dgm:spPr/>
    </dgm:pt>
    <dgm:pt modelId="{229CC9F2-6B58-4676-A496-7BF9F14D118B}" type="pres">
      <dgm:prSet presAssocID="{D1EF163B-2DAC-4BE7-B572-3566B4B2D453}" presName="aNode" presStyleLbl="bgShp" presStyleIdx="2" presStyleCnt="4"/>
      <dgm:spPr/>
      <dgm:t>
        <a:bodyPr/>
        <a:lstStyle/>
        <a:p>
          <a:endParaRPr lang="en-US"/>
        </a:p>
      </dgm:t>
    </dgm:pt>
    <dgm:pt modelId="{81CF4ED0-F9CB-4608-9B92-66672EAD3BB8}" type="pres">
      <dgm:prSet presAssocID="{D1EF163B-2DAC-4BE7-B572-3566B4B2D453}" presName="textNode" presStyleLbl="bgShp" presStyleIdx="2" presStyleCnt="4"/>
      <dgm:spPr/>
      <dgm:t>
        <a:bodyPr/>
        <a:lstStyle/>
        <a:p>
          <a:endParaRPr lang="en-US"/>
        </a:p>
      </dgm:t>
    </dgm:pt>
    <dgm:pt modelId="{8A6EBA2A-7063-4179-B737-BD09D6A0134F}" type="pres">
      <dgm:prSet presAssocID="{D1EF163B-2DAC-4BE7-B572-3566B4B2D453}" presName="compChildNode" presStyleCnt="0"/>
      <dgm:spPr/>
    </dgm:pt>
    <dgm:pt modelId="{E2691940-8E15-4A41-BF73-3BA1F48F52CD}" type="pres">
      <dgm:prSet presAssocID="{D1EF163B-2DAC-4BE7-B572-3566B4B2D453}" presName="theInnerList" presStyleCnt="0"/>
      <dgm:spPr/>
    </dgm:pt>
    <dgm:pt modelId="{DE129205-E8F8-4A3A-906B-E40F4B811CC9}" type="pres">
      <dgm:prSet presAssocID="{E8649623-B0E6-427E-9883-FB2498ABE4CE}" presName="childNode" presStyleLbl="node1" presStyleIdx="8" presStyleCnt="15" custScaleX="112806" custScaleY="573060" custLinFactY="-132208" custLinFactNeighborX="656" custLinFactNeighborY="-200000">
        <dgm:presLayoutVars>
          <dgm:bulletEnabled val="1"/>
        </dgm:presLayoutVars>
      </dgm:prSet>
      <dgm:spPr/>
      <dgm:t>
        <a:bodyPr/>
        <a:lstStyle/>
        <a:p>
          <a:endParaRPr lang="en-US"/>
        </a:p>
      </dgm:t>
    </dgm:pt>
    <dgm:pt modelId="{9DBFACFF-F50D-4FFD-8511-E7A8C3927901}" type="pres">
      <dgm:prSet presAssocID="{E8649623-B0E6-427E-9883-FB2498ABE4CE}" presName="aSpace2" presStyleCnt="0"/>
      <dgm:spPr/>
    </dgm:pt>
    <dgm:pt modelId="{C9E8A151-9D41-4A33-90C5-3A010FE1BB50}" type="pres">
      <dgm:prSet presAssocID="{F141DCC7-B22B-438D-8A54-111ECDA6ED18}" presName="childNode" presStyleLbl="node1" presStyleIdx="9" presStyleCnt="15" custScaleX="112806" custScaleY="615963" custLinFactY="-100000" custLinFactNeighborX="-1315" custLinFactNeighborY="-148624">
        <dgm:presLayoutVars>
          <dgm:bulletEnabled val="1"/>
        </dgm:presLayoutVars>
      </dgm:prSet>
      <dgm:spPr/>
      <dgm:t>
        <a:bodyPr/>
        <a:lstStyle/>
        <a:p>
          <a:endParaRPr lang="en-US"/>
        </a:p>
      </dgm:t>
    </dgm:pt>
    <dgm:pt modelId="{12536F92-096A-4FAF-9FC4-9662E4724FF1}" type="pres">
      <dgm:prSet presAssocID="{F141DCC7-B22B-438D-8A54-111ECDA6ED18}" presName="aSpace2" presStyleCnt="0"/>
      <dgm:spPr/>
    </dgm:pt>
    <dgm:pt modelId="{0C2D1862-E574-41FB-8BF5-60D329572AFF}" type="pres">
      <dgm:prSet presAssocID="{36CE141A-87DA-472C-86D3-C1FC47B036C0}" presName="childNode" presStyleLbl="node1" presStyleIdx="10" presStyleCnt="15" custScaleX="115918" custScaleY="425634" custLinFactY="-34186" custLinFactNeighborX="0" custLinFactNeighborY="-100000">
        <dgm:presLayoutVars>
          <dgm:bulletEnabled val="1"/>
        </dgm:presLayoutVars>
      </dgm:prSet>
      <dgm:spPr/>
      <dgm:t>
        <a:bodyPr/>
        <a:lstStyle/>
        <a:p>
          <a:endParaRPr lang="en-US"/>
        </a:p>
      </dgm:t>
    </dgm:pt>
    <dgm:pt modelId="{65DE7198-5F09-4686-85F0-AAEEDCAE8FBF}" type="pres">
      <dgm:prSet presAssocID="{36CE141A-87DA-472C-86D3-C1FC47B036C0}" presName="aSpace2" presStyleCnt="0"/>
      <dgm:spPr/>
    </dgm:pt>
    <dgm:pt modelId="{E52F88F4-6563-4025-931E-CB7ABD46998A}" type="pres">
      <dgm:prSet presAssocID="{42E61B67-55D0-4961-8186-519EDC874C06}" presName="childNode" presStyleLbl="node1" presStyleIdx="11" presStyleCnt="15" custScaleX="111975" custScaleY="443617" custLinFactY="4777" custLinFactNeighborX="-1315" custLinFactNeighborY="100000">
        <dgm:presLayoutVars>
          <dgm:bulletEnabled val="1"/>
        </dgm:presLayoutVars>
      </dgm:prSet>
      <dgm:spPr/>
      <dgm:t>
        <a:bodyPr/>
        <a:lstStyle/>
        <a:p>
          <a:endParaRPr lang="en-US"/>
        </a:p>
      </dgm:t>
    </dgm:pt>
    <dgm:pt modelId="{C25B57AD-E332-46C1-A3A7-4343F3739AAF}" type="pres">
      <dgm:prSet presAssocID="{D1EF163B-2DAC-4BE7-B572-3566B4B2D453}" presName="aSpace" presStyleCnt="0"/>
      <dgm:spPr/>
    </dgm:pt>
    <dgm:pt modelId="{411AAE47-AD4E-4D42-BCCC-96F9A37D565E}" type="pres">
      <dgm:prSet presAssocID="{C0ECAF4F-2554-47F4-BC67-EA0D4675A481}" presName="compNode" presStyleCnt="0"/>
      <dgm:spPr/>
    </dgm:pt>
    <dgm:pt modelId="{C1CD18B6-D61E-4813-BB51-A112E14F99A6}" type="pres">
      <dgm:prSet presAssocID="{C0ECAF4F-2554-47F4-BC67-EA0D4675A481}" presName="aNode" presStyleLbl="bgShp" presStyleIdx="3" presStyleCnt="4"/>
      <dgm:spPr/>
      <dgm:t>
        <a:bodyPr/>
        <a:lstStyle/>
        <a:p>
          <a:endParaRPr lang="en-US"/>
        </a:p>
      </dgm:t>
    </dgm:pt>
    <dgm:pt modelId="{F8E589C6-C9F4-47CB-84F1-A468B45A0517}" type="pres">
      <dgm:prSet presAssocID="{C0ECAF4F-2554-47F4-BC67-EA0D4675A481}" presName="textNode" presStyleLbl="bgShp" presStyleIdx="3" presStyleCnt="4"/>
      <dgm:spPr/>
      <dgm:t>
        <a:bodyPr/>
        <a:lstStyle/>
        <a:p>
          <a:endParaRPr lang="en-US"/>
        </a:p>
      </dgm:t>
    </dgm:pt>
    <dgm:pt modelId="{F65021A2-07E1-404F-9DE4-41D35FE5D5D6}" type="pres">
      <dgm:prSet presAssocID="{C0ECAF4F-2554-47F4-BC67-EA0D4675A481}" presName="compChildNode" presStyleCnt="0"/>
      <dgm:spPr/>
    </dgm:pt>
    <dgm:pt modelId="{5C16AD5F-D624-41E8-A62B-4B17B6AB2816}" type="pres">
      <dgm:prSet presAssocID="{C0ECAF4F-2554-47F4-BC67-EA0D4675A481}" presName="theInnerList" presStyleCnt="0"/>
      <dgm:spPr/>
    </dgm:pt>
    <dgm:pt modelId="{946E0432-50F6-4A8B-9380-06F4BE7A89D2}" type="pres">
      <dgm:prSet presAssocID="{1DB7F2C9-FDCF-4FE6-B573-94FDCECFD28C}" presName="childNode" presStyleLbl="node1" presStyleIdx="12" presStyleCnt="15" custScaleX="111252" custScaleY="185672" custLinFactY="-24685" custLinFactNeighborX="117" custLinFactNeighborY="-100000">
        <dgm:presLayoutVars>
          <dgm:bulletEnabled val="1"/>
        </dgm:presLayoutVars>
      </dgm:prSet>
      <dgm:spPr/>
      <dgm:t>
        <a:bodyPr/>
        <a:lstStyle/>
        <a:p>
          <a:endParaRPr lang="en-US"/>
        </a:p>
      </dgm:t>
    </dgm:pt>
    <dgm:pt modelId="{13C76366-1DBB-49D6-9908-B3314D50B1F2}" type="pres">
      <dgm:prSet presAssocID="{1DB7F2C9-FDCF-4FE6-B573-94FDCECFD28C}" presName="aSpace2" presStyleCnt="0"/>
      <dgm:spPr/>
    </dgm:pt>
    <dgm:pt modelId="{007E6977-91CF-4F9B-8E02-746F53A280AB}" type="pres">
      <dgm:prSet presAssocID="{41B4BD45-9B59-49FA-8F51-8BCBD0FE27B0}" presName="childNode" presStyleLbl="node1" presStyleIdx="13" presStyleCnt="15" custScaleX="111252" custScaleY="200009" custLinFactY="-27600" custLinFactNeighborX="216" custLinFactNeighborY="-100000">
        <dgm:presLayoutVars>
          <dgm:bulletEnabled val="1"/>
        </dgm:presLayoutVars>
      </dgm:prSet>
      <dgm:spPr/>
      <dgm:t>
        <a:bodyPr/>
        <a:lstStyle/>
        <a:p>
          <a:endParaRPr lang="en-US"/>
        </a:p>
      </dgm:t>
    </dgm:pt>
    <dgm:pt modelId="{457BF53E-2C82-465C-994E-128C0C1D9F3E}" type="pres">
      <dgm:prSet presAssocID="{41B4BD45-9B59-49FA-8F51-8BCBD0FE27B0}" presName="aSpace2" presStyleCnt="0"/>
      <dgm:spPr/>
    </dgm:pt>
    <dgm:pt modelId="{44E27403-0DE9-44DC-A6FF-D8566CDAF98B}" type="pres">
      <dgm:prSet presAssocID="{A6AEDD3A-AE9C-40F5-908B-B8DDF89CEB41}" presName="childNode" presStyleLbl="node1" presStyleIdx="14" presStyleCnt="15" custScaleX="109937" custScaleY="157936" custLinFactY="-18258" custLinFactNeighborY="-100000">
        <dgm:presLayoutVars>
          <dgm:bulletEnabled val="1"/>
        </dgm:presLayoutVars>
      </dgm:prSet>
      <dgm:spPr/>
      <dgm:t>
        <a:bodyPr/>
        <a:lstStyle/>
        <a:p>
          <a:endParaRPr lang="en-US"/>
        </a:p>
      </dgm:t>
    </dgm:pt>
  </dgm:ptLst>
  <dgm:cxnLst>
    <dgm:cxn modelId="{016BF670-CD50-489A-B5E7-89B0DC7EF1A8}" type="presOf" srcId="{E4023C2B-EB6A-4E1C-819F-B8FA3BE81A03}" destId="{8A6289E2-AD86-461F-B39F-2FC094D4CFA2}" srcOrd="0" destOrd="0" presId="urn:microsoft.com/office/officeart/2005/8/layout/lProcess2"/>
    <dgm:cxn modelId="{36994F31-908E-4A63-96B4-B53C8B5554D6}" type="presOf" srcId="{2FCF7F15-638F-41DD-9D6F-454B941D0E0A}" destId="{5577D278-71D2-46F1-8390-C0891F7AFA08}" srcOrd="0" destOrd="0" presId="urn:microsoft.com/office/officeart/2005/8/layout/lProcess2"/>
    <dgm:cxn modelId="{FCE3329D-B8A6-4606-80B9-07805B94496C}" srcId="{2C4D1D2F-1811-424A-B824-9472A4BA4C29}" destId="{578DC743-887A-4FD5-BE36-7CB3BFECF8AB}" srcOrd="0" destOrd="0" parTransId="{05BCBF47-5CB0-4478-898B-C4D08371BF74}" sibTransId="{A0355C52-F324-4CFC-A67F-B467A087154F}"/>
    <dgm:cxn modelId="{67255239-8538-47CD-8B69-21DBA02DE2D6}" type="presOf" srcId="{1DB7F2C9-FDCF-4FE6-B573-94FDCECFD28C}" destId="{946E0432-50F6-4A8B-9380-06F4BE7A89D2}" srcOrd="0" destOrd="0" presId="urn:microsoft.com/office/officeart/2005/8/layout/lProcess2"/>
    <dgm:cxn modelId="{63AC6B57-AFA8-4059-BC90-DFE0034D7EBF}" srcId="{2C4D1D2F-1811-424A-B824-9472A4BA4C29}" destId="{F61AA200-E7EC-4D41-ACB9-CC958DC51703}" srcOrd="1" destOrd="0" parTransId="{BB01C05C-63B8-4CC5-85DD-F5653A78AD33}" sibTransId="{53FE1C82-FDB4-458F-8F23-A3EDDF53CE8A}"/>
    <dgm:cxn modelId="{B380C1A5-9C0F-4E96-896B-416F92E8EF42}" srcId="{F771A992-F51C-41C4-9DE6-14ED60133A40}" destId="{6D007006-DA3B-403B-9E5F-F478CE7661A5}" srcOrd="3" destOrd="0" parTransId="{5BC10D31-7CAC-45D7-9DE5-FCFE189816EC}" sibTransId="{91EB94C4-0871-4A58-82F1-DB15408D5E23}"/>
    <dgm:cxn modelId="{6F0B6249-7289-45C1-B882-12715D8101C2}" srcId="{C0ECAF4F-2554-47F4-BC67-EA0D4675A481}" destId="{41B4BD45-9B59-49FA-8F51-8BCBD0FE27B0}" srcOrd="1" destOrd="0" parTransId="{B9A2E41A-2A64-43FD-B520-A0EF80659153}" sibTransId="{2E3675C3-DB07-4A08-9CF4-29682D1500A6}"/>
    <dgm:cxn modelId="{1ADD162E-BB90-4103-B3A8-FF04F28D47DC}" type="presOf" srcId="{A6AEDD3A-AE9C-40F5-908B-B8DDF89CEB41}" destId="{44E27403-0DE9-44DC-A6FF-D8566CDAF98B}" srcOrd="0" destOrd="0" presId="urn:microsoft.com/office/officeart/2005/8/layout/lProcess2"/>
    <dgm:cxn modelId="{5C26CBEA-3720-48C2-9E52-E94E8A275734}" srcId="{2C4D1D2F-1811-424A-B824-9472A4BA4C29}" destId="{386D4CED-A1A4-4E03-B66B-EFFC1AC1AD75}" srcOrd="2" destOrd="0" parTransId="{9C4C0453-83F6-42AE-93EE-79E16AD7AB20}" sibTransId="{866ED4A0-A2DC-4757-92A7-5380FC0DD9C2}"/>
    <dgm:cxn modelId="{2EAEC4BC-CA38-4FA1-9105-3956AFCBBF75}" type="presOf" srcId="{41B4BD45-9B59-49FA-8F51-8BCBD0FE27B0}" destId="{007E6977-91CF-4F9B-8E02-746F53A280AB}" srcOrd="0" destOrd="0" presId="urn:microsoft.com/office/officeart/2005/8/layout/lProcess2"/>
    <dgm:cxn modelId="{05F39FAD-A898-4CD7-94F7-E815FEF225C4}" type="presOf" srcId="{E8649623-B0E6-427E-9883-FB2498ABE4CE}" destId="{DE129205-E8F8-4A3A-906B-E40F4B811CC9}" srcOrd="0" destOrd="0" presId="urn:microsoft.com/office/officeart/2005/8/layout/lProcess2"/>
    <dgm:cxn modelId="{72ECAEFB-203B-4345-814D-5037211DDFD5}" srcId="{250C17D8-3A05-4775-A4AF-413E949B946B}" destId="{F771A992-F51C-41C4-9DE6-14ED60133A40}" srcOrd="1" destOrd="0" parTransId="{920D46B6-A1A0-4BC5-9C8A-6E495E78069C}" sibTransId="{106581B5-46F8-48DD-A84E-ACA6AF5B1E45}"/>
    <dgm:cxn modelId="{713721DF-4DE3-4C1E-BB92-78BC16D148FB}" srcId="{D1EF163B-2DAC-4BE7-B572-3566B4B2D453}" destId="{E8649623-B0E6-427E-9883-FB2498ABE4CE}" srcOrd="0" destOrd="0" parTransId="{353BB683-FBD3-42A5-BCF8-AAA36C3CA997}" sibTransId="{427B9B03-35CC-48AA-9294-E853818EE980}"/>
    <dgm:cxn modelId="{1FC7E2DE-CF61-42C1-8CED-172543238E63}" type="presOf" srcId="{42E61B67-55D0-4961-8186-519EDC874C06}" destId="{E52F88F4-6563-4025-931E-CB7ABD46998A}" srcOrd="0" destOrd="0" presId="urn:microsoft.com/office/officeart/2005/8/layout/lProcess2"/>
    <dgm:cxn modelId="{33610C9D-C0E7-4104-B56F-DD7B03F36507}" type="presOf" srcId="{D1EF163B-2DAC-4BE7-B572-3566B4B2D453}" destId="{229CC9F2-6B58-4676-A496-7BF9F14D118B}" srcOrd="0" destOrd="0" presId="urn:microsoft.com/office/officeart/2005/8/layout/lProcess2"/>
    <dgm:cxn modelId="{A0380F99-3F59-4657-B20A-3287D4D7B970}" type="presOf" srcId="{C0ECAF4F-2554-47F4-BC67-EA0D4675A481}" destId="{F8E589C6-C9F4-47CB-84F1-A468B45A0517}" srcOrd="1" destOrd="0" presId="urn:microsoft.com/office/officeart/2005/8/layout/lProcess2"/>
    <dgm:cxn modelId="{CDB8C664-76CF-4EBB-8E61-E6C1C1F4A033}" srcId="{D1EF163B-2DAC-4BE7-B572-3566B4B2D453}" destId="{F141DCC7-B22B-438D-8A54-111ECDA6ED18}" srcOrd="1" destOrd="0" parTransId="{B44C6FC5-A308-48FB-B73E-100486882354}" sibTransId="{04BC12E9-E7E5-4723-B645-86AE3C112521}"/>
    <dgm:cxn modelId="{10A6C052-8FDB-463E-A330-154A7380DF42}" srcId="{2C4D1D2F-1811-424A-B824-9472A4BA4C29}" destId="{716FD416-CE01-404A-8D6A-01CFA90C2C48}" srcOrd="3" destOrd="0" parTransId="{EA693796-CA61-40C6-B45A-107840D1AB3B}" sibTransId="{ACD7EFB8-7858-4334-98C3-8F81FBB85D05}"/>
    <dgm:cxn modelId="{F28E679C-EFAE-4D67-A908-171D54A23C88}" type="presOf" srcId="{F61AA200-E7EC-4D41-ACB9-CC958DC51703}" destId="{7FCEF541-530F-41BC-9345-821B20D5B2F6}" srcOrd="0" destOrd="0" presId="urn:microsoft.com/office/officeart/2005/8/layout/lProcess2"/>
    <dgm:cxn modelId="{06FEFBD5-1047-4C5E-B13F-9317B758D9AE}" type="presOf" srcId="{C0ECAF4F-2554-47F4-BC67-EA0D4675A481}" destId="{C1CD18B6-D61E-4813-BB51-A112E14F99A6}" srcOrd="0" destOrd="0" presId="urn:microsoft.com/office/officeart/2005/8/layout/lProcess2"/>
    <dgm:cxn modelId="{2BC86B3C-F329-408F-8B67-F35158F5225C}" type="presOf" srcId="{386D4CED-A1A4-4E03-B66B-EFFC1AC1AD75}" destId="{D51D869D-BCE2-4BDF-9D3D-873775402965}" srcOrd="0" destOrd="0" presId="urn:microsoft.com/office/officeart/2005/8/layout/lProcess2"/>
    <dgm:cxn modelId="{2F44D74B-AA5E-44B0-B128-F860F1C9E5A9}" type="presOf" srcId="{CC648B7B-3737-4139-A6E1-EC6622A70A66}" destId="{AE838385-E119-4815-A759-89C3EC7B47E1}" srcOrd="0" destOrd="0" presId="urn:microsoft.com/office/officeart/2005/8/layout/lProcess2"/>
    <dgm:cxn modelId="{D014DD33-2E8F-49DD-9228-4EC2BD13D050}" type="presOf" srcId="{F141DCC7-B22B-438D-8A54-111ECDA6ED18}" destId="{C9E8A151-9D41-4A33-90C5-3A010FE1BB50}" srcOrd="0" destOrd="0" presId="urn:microsoft.com/office/officeart/2005/8/layout/lProcess2"/>
    <dgm:cxn modelId="{15DEC686-B344-4040-8D3C-1366942C06E9}" type="presOf" srcId="{2C4D1D2F-1811-424A-B824-9472A4BA4C29}" destId="{AD17B7BD-FA0D-437C-8E3B-BFFF41935ACB}" srcOrd="1" destOrd="0" presId="urn:microsoft.com/office/officeart/2005/8/layout/lProcess2"/>
    <dgm:cxn modelId="{CAB8CE7D-556F-4783-B9A4-127C8DD362C5}" srcId="{250C17D8-3A05-4775-A4AF-413E949B946B}" destId="{C0ECAF4F-2554-47F4-BC67-EA0D4675A481}" srcOrd="3" destOrd="0" parTransId="{C20D9D63-6945-4C53-888D-5E3601643DE2}" sibTransId="{DBF14B7B-8109-4370-9DCA-752273945B43}"/>
    <dgm:cxn modelId="{2605437D-A163-4580-8429-3199997290BE}" srcId="{250C17D8-3A05-4775-A4AF-413E949B946B}" destId="{D1EF163B-2DAC-4BE7-B572-3566B4B2D453}" srcOrd="2" destOrd="0" parTransId="{44F7A9C2-C465-4A6B-A0E4-DB8458909B07}" sibTransId="{42C7A1F1-1533-412D-9F51-0AAA85159B37}"/>
    <dgm:cxn modelId="{759CB10E-4F59-4AFC-80B0-7E2963EB23B5}" type="presOf" srcId="{578DC743-887A-4FD5-BE36-7CB3BFECF8AB}" destId="{618CBD18-DE87-43E9-B0F9-273D1A2219CA}" srcOrd="0" destOrd="0" presId="urn:microsoft.com/office/officeart/2005/8/layout/lProcess2"/>
    <dgm:cxn modelId="{4CB45244-A7B4-4300-8528-0C52950574C4}" srcId="{C0ECAF4F-2554-47F4-BC67-EA0D4675A481}" destId="{A6AEDD3A-AE9C-40F5-908B-B8DDF89CEB41}" srcOrd="2" destOrd="0" parTransId="{205B9D75-BF91-4496-A7EF-53A4E611E347}" sibTransId="{8FA9F9DC-9E21-425C-A4E6-CE6C19918DB0}"/>
    <dgm:cxn modelId="{6329F5BE-0F48-40CA-9FE6-9099D1284AFB}" srcId="{F771A992-F51C-41C4-9DE6-14ED60133A40}" destId="{2FCF7F15-638F-41DD-9D6F-454B941D0E0A}" srcOrd="1" destOrd="0" parTransId="{15E97936-7A6D-40B6-8110-06B24C0A5B45}" sibTransId="{BB736D8A-830F-4B53-B8B8-DCF6CC0B00B0}"/>
    <dgm:cxn modelId="{D3F9EE2C-A221-454D-80BB-203EDEE8D892}" srcId="{C0ECAF4F-2554-47F4-BC67-EA0D4675A481}" destId="{1DB7F2C9-FDCF-4FE6-B573-94FDCECFD28C}" srcOrd="0" destOrd="0" parTransId="{6E2B12EB-1F24-4D2F-8070-4D7AB7E9C493}" sibTransId="{009825E4-2A6D-4CA3-AA34-8C0999A87934}"/>
    <dgm:cxn modelId="{FFBDAE45-4D20-43D3-8470-ED874AF26A9A}" type="presOf" srcId="{D1EF163B-2DAC-4BE7-B572-3566B4B2D453}" destId="{81CF4ED0-F9CB-4608-9B92-66672EAD3BB8}" srcOrd="1" destOrd="0" presId="urn:microsoft.com/office/officeart/2005/8/layout/lProcess2"/>
    <dgm:cxn modelId="{D6157D96-1A77-4B7E-941F-B30AB08CE889}" type="presOf" srcId="{250C17D8-3A05-4775-A4AF-413E949B946B}" destId="{9FE1C0CF-E84F-4267-AF5C-F04B971CB3F2}" srcOrd="0" destOrd="0" presId="urn:microsoft.com/office/officeart/2005/8/layout/lProcess2"/>
    <dgm:cxn modelId="{2C121117-1246-4EFF-BE7A-EB94E3D61558}" srcId="{D1EF163B-2DAC-4BE7-B572-3566B4B2D453}" destId="{42E61B67-55D0-4961-8186-519EDC874C06}" srcOrd="3" destOrd="0" parTransId="{A6129779-21AD-47E8-B02A-D3474EE24883}" sibTransId="{E5AAC324-4A34-4F9F-BF48-D276CB5F4805}"/>
    <dgm:cxn modelId="{1E85CDF5-D6A1-4F92-90A5-946984349945}" srcId="{250C17D8-3A05-4775-A4AF-413E949B946B}" destId="{2C4D1D2F-1811-424A-B824-9472A4BA4C29}" srcOrd="0" destOrd="0" parTransId="{B215B739-4615-4888-BC3B-439527BBEFBB}" sibTransId="{B6A33020-0B81-439A-BAC2-D3B7BCD253D6}"/>
    <dgm:cxn modelId="{21CDBED2-EF13-48B8-98A9-FF50F7C0DD95}" srcId="{D1EF163B-2DAC-4BE7-B572-3566B4B2D453}" destId="{36CE141A-87DA-472C-86D3-C1FC47B036C0}" srcOrd="2" destOrd="0" parTransId="{34C78E12-72A2-470D-89D7-84ECB788E155}" sibTransId="{09B7BF03-B52D-44DB-A94E-6A666F15B4E0}"/>
    <dgm:cxn modelId="{ADDE19CB-4774-4CBA-96C3-D4541D3DC0BB}" type="presOf" srcId="{6D007006-DA3B-403B-9E5F-F478CE7661A5}" destId="{1F60DE90-A7F2-4A91-B116-06C08D6A63EA}" srcOrd="0" destOrd="0" presId="urn:microsoft.com/office/officeart/2005/8/layout/lProcess2"/>
    <dgm:cxn modelId="{DD09A5B9-CA7F-48CB-B6F3-E76DB650B7E6}" srcId="{F771A992-F51C-41C4-9DE6-14ED60133A40}" destId="{CC648B7B-3737-4139-A6E1-EC6622A70A66}" srcOrd="2" destOrd="0" parTransId="{35272B71-BBED-4CF8-925F-F68A6DF2879E}" sibTransId="{AF31D0DC-3698-448B-864D-446F8A2EB900}"/>
    <dgm:cxn modelId="{6781FC5D-DC87-4F03-91F5-C0ADF71BBC7B}" srcId="{F771A992-F51C-41C4-9DE6-14ED60133A40}" destId="{E4023C2B-EB6A-4E1C-819F-B8FA3BE81A03}" srcOrd="0" destOrd="0" parTransId="{AC9189C3-9DF1-4703-9EBF-3B693F70AF5A}" sibTransId="{58DE8DC6-0452-41F4-AE9B-0936391EA268}"/>
    <dgm:cxn modelId="{43F0B617-B149-48DB-A9A7-754451E6C6C4}" type="presOf" srcId="{2C4D1D2F-1811-424A-B824-9472A4BA4C29}" destId="{5A1FCAFA-A958-481F-880D-CD04F4330755}" srcOrd="0" destOrd="0" presId="urn:microsoft.com/office/officeart/2005/8/layout/lProcess2"/>
    <dgm:cxn modelId="{CC531528-79C3-4BFA-AC75-CBF5C402CFE0}" type="presOf" srcId="{F771A992-F51C-41C4-9DE6-14ED60133A40}" destId="{15C31490-9821-4292-94AB-2265C22381C2}" srcOrd="0" destOrd="0" presId="urn:microsoft.com/office/officeart/2005/8/layout/lProcess2"/>
    <dgm:cxn modelId="{D070ADD7-1191-4815-A84A-C9D09F95F010}" type="presOf" srcId="{716FD416-CE01-404A-8D6A-01CFA90C2C48}" destId="{5CC9BB53-F13B-49A4-A959-2CF3D307144C}" srcOrd="0" destOrd="0" presId="urn:microsoft.com/office/officeart/2005/8/layout/lProcess2"/>
    <dgm:cxn modelId="{BBD70B80-7DAA-45DB-A0FF-F09276522AE5}" type="presOf" srcId="{36CE141A-87DA-472C-86D3-C1FC47B036C0}" destId="{0C2D1862-E574-41FB-8BF5-60D329572AFF}" srcOrd="0" destOrd="0" presId="urn:microsoft.com/office/officeart/2005/8/layout/lProcess2"/>
    <dgm:cxn modelId="{71584BF5-B7FC-4670-AF04-DEE0CA95FEC6}" type="presOf" srcId="{F771A992-F51C-41C4-9DE6-14ED60133A40}" destId="{C266EDB7-59A4-4372-B51C-CF996A274813}" srcOrd="1" destOrd="0" presId="urn:microsoft.com/office/officeart/2005/8/layout/lProcess2"/>
    <dgm:cxn modelId="{DF65017E-5F86-474C-9B04-1B8EA1AC523B}" type="presParOf" srcId="{9FE1C0CF-E84F-4267-AF5C-F04B971CB3F2}" destId="{E2175E94-6051-4D0A-8DDA-4A1B0081D800}" srcOrd="0" destOrd="0" presId="urn:microsoft.com/office/officeart/2005/8/layout/lProcess2"/>
    <dgm:cxn modelId="{AD40ED80-E3AC-43E2-BDC1-5EDBA8B7B1E4}" type="presParOf" srcId="{E2175E94-6051-4D0A-8DDA-4A1B0081D800}" destId="{5A1FCAFA-A958-481F-880D-CD04F4330755}" srcOrd="0" destOrd="0" presId="urn:microsoft.com/office/officeart/2005/8/layout/lProcess2"/>
    <dgm:cxn modelId="{FBBA9211-2725-488A-A8C3-FC5C00296632}" type="presParOf" srcId="{E2175E94-6051-4D0A-8DDA-4A1B0081D800}" destId="{AD17B7BD-FA0D-437C-8E3B-BFFF41935ACB}" srcOrd="1" destOrd="0" presId="urn:microsoft.com/office/officeart/2005/8/layout/lProcess2"/>
    <dgm:cxn modelId="{932013E9-A257-4555-BF1F-E6DA826B4E5A}" type="presParOf" srcId="{E2175E94-6051-4D0A-8DDA-4A1B0081D800}" destId="{AAB9EB0B-9825-41E4-925D-A22AD4891DED}" srcOrd="2" destOrd="0" presId="urn:microsoft.com/office/officeart/2005/8/layout/lProcess2"/>
    <dgm:cxn modelId="{97645749-DFBC-4F94-AF90-7BF34564639D}" type="presParOf" srcId="{AAB9EB0B-9825-41E4-925D-A22AD4891DED}" destId="{DFAEA74E-C294-44CF-ABE7-1684D30F4F9B}" srcOrd="0" destOrd="0" presId="urn:microsoft.com/office/officeart/2005/8/layout/lProcess2"/>
    <dgm:cxn modelId="{455D4D44-5772-4F7F-AE67-05019D149920}" type="presParOf" srcId="{DFAEA74E-C294-44CF-ABE7-1684D30F4F9B}" destId="{618CBD18-DE87-43E9-B0F9-273D1A2219CA}" srcOrd="0" destOrd="0" presId="urn:microsoft.com/office/officeart/2005/8/layout/lProcess2"/>
    <dgm:cxn modelId="{FB1A6AAE-6DE0-4660-A405-6402DD0DCD32}" type="presParOf" srcId="{DFAEA74E-C294-44CF-ABE7-1684D30F4F9B}" destId="{1A53B552-D3BD-4FE3-B831-D02D4310EFF8}" srcOrd="1" destOrd="0" presId="urn:microsoft.com/office/officeart/2005/8/layout/lProcess2"/>
    <dgm:cxn modelId="{466354BD-4913-4776-A55A-8EB810CD6F6B}" type="presParOf" srcId="{DFAEA74E-C294-44CF-ABE7-1684D30F4F9B}" destId="{7FCEF541-530F-41BC-9345-821B20D5B2F6}" srcOrd="2" destOrd="0" presId="urn:microsoft.com/office/officeart/2005/8/layout/lProcess2"/>
    <dgm:cxn modelId="{94C03B04-A7BC-4AA7-A9AE-B4DE98F7F56B}" type="presParOf" srcId="{DFAEA74E-C294-44CF-ABE7-1684D30F4F9B}" destId="{D2D22123-0ABE-41CA-B596-C24FE389BB28}" srcOrd="3" destOrd="0" presId="urn:microsoft.com/office/officeart/2005/8/layout/lProcess2"/>
    <dgm:cxn modelId="{211832E6-249E-4520-85B4-2108F1BE51BC}" type="presParOf" srcId="{DFAEA74E-C294-44CF-ABE7-1684D30F4F9B}" destId="{D51D869D-BCE2-4BDF-9D3D-873775402965}" srcOrd="4" destOrd="0" presId="urn:microsoft.com/office/officeart/2005/8/layout/lProcess2"/>
    <dgm:cxn modelId="{BC420BD4-8E3B-4F8C-9686-BF3A284DD9C3}" type="presParOf" srcId="{DFAEA74E-C294-44CF-ABE7-1684D30F4F9B}" destId="{95CA2ABB-725A-4197-A3B6-ABEDDF24BCE0}" srcOrd="5" destOrd="0" presId="urn:microsoft.com/office/officeart/2005/8/layout/lProcess2"/>
    <dgm:cxn modelId="{917A37A7-51FF-4665-A21A-1663590C108E}" type="presParOf" srcId="{DFAEA74E-C294-44CF-ABE7-1684D30F4F9B}" destId="{5CC9BB53-F13B-49A4-A959-2CF3D307144C}" srcOrd="6" destOrd="0" presId="urn:microsoft.com/office/officeart/2005/8/layout/lProcess2"/>
    <dgm:cxn modelId="{69907711-3A26-4965-B8BF-E6AB37F19DF2}" type="presParOf" srcId="{9FE1C0CF-E84F-4267-AF5C-F04B971CB3F2}" destId="{B6ED9A21-EF58-4535-A69E-85F4D4773C0F}" srcOrd="1" destOrd="0" presId="urn:microsoft.com/office/officeart/2005/8/layout/lProcess2"/>
    <dgm:cxn modelId="{B2324718-1799-4C1C-9709-A2D0BB9E3515}" type="presParOf" srcId="{9FE1C0CF-E84F-4267-AF5C-F04B971CB3F2}" destId="{8A4BC7F7-AA75-4FB6-9F74-96097A5F22C5}" srcOrd="2" destOrd="0" presId="urn:microsoft.com/office/officeart/2005/8/layout/lProcess2"/>
    <dgm:cxn modelId="{FAECF992-086F-433D-84A2-EC2A69CC3E4B}" type="presParOf" srcId="{8A4BC7F7-AA75-4FB6-9F74-96097A5F22C5}" destId="{15C31490-9821-4292-94AB-2265C22381C2}" srcOrd="0" destOrd="0" presId="urn:microsoft.com/office/officeart/2005/8/layout/lProcess2"/>
    <dgm:cxn modelId="{8BCCF5AA-7AB0-44B7-89D3-7D2D3A702256}" type="presParOf" srcId="{8A4BC7F7-AA75-4FB6-9F74-96097A5F22C5}" destId="{C266EDB7-59A4-4372-B51C-CF996A274813}" srcOrd="1" destOrd="0" presId="urn:microsoft.com/office/officeart/2005/8/layout/lProcess2"/>
    <dgm:cxn modelId="{676A3AF7-D009-465E-B46B-472821C49268}" type="presParOf" srcId="{8A4BC7F7-AA75-4FB6-9F74-96097A5F22C5}" destId="{7D0C955B-D9A1-4357-A6A3-AD6B4AA4A0EA}" srcOrd="2" destOrd="0" presId="urn:microsoft.com/office/officeart/2005/8/layout/lProcess2"/>
    <dgm:cxn modelId="{6B48A6FB-8763-41E7-A6CB-6C59A0AC5DFB}" type="presParOf" srcId="{7D0C955B-D9A1-4357-A6A3-AD6B4AA4A0EA}" destId="{0176EA7C-1E17-424A-8EBD-BB2690132260}" srcOrd="0" destOrd="0" presId="urn:microsoft.com/office/officeart/2005/8/layout/lProcess2"/>
    <dgm:cxn modelId="{5CFFE2FA-5C69-4DF0-8B69-9C12B610A3C9}" type="presParOf" srcId="{0176EA7C-1E17-424A-8EBD-BB2690132260}" destId="{8A6289E2-AD86-461F-B39F-2FC094D4CFA2}" srcOrd="0" destOrd="0" presId="urn:microsoft.com/office/officeart/2005/8/layout/lProcess2"/>
    <dgm:cxn modelId="{5A5EFFE6-8EA7-400F-8EC7-6CEC65EC9CC8}" type="presParOf" srcId="{0176EA7C-1E17-424A-8EBD-BB2690132260}" destId="{400ACCD2-9697-4330-999B-AC9E1F584308}" srcOrd="1" destOrd="0" presId="urn:microsoft.com/office/officeart/2005/8/layout/lProcess2"/>
    <dgm:cxn modelId="{88192731-D5C2-48A4-91D8-246810C1E952}" type="presParOf" srcId="{0176EA7C-1E17-424A-8EBD-BB2690132260}" destId="{5577D278-71D2-46F1-8390-C0891F7AFA08}" srcOrd="2" destOrd="0" presId="urn:microsoft.com/office/officeart/2005/8/layout/lProcess2"/>
    <dgm:cxn modelId="{E659F5CD-2386-4A4A-AAA4-ACCD3B8FADC3}" type="presParOf" srcId="{0176EA7C-1E17-424A-8EBD-BB2690132260}" destId="{14B830CA-8A71-43C3-BB83-A24E4C4B88FF}" srcOrd="3" destOrd="0" presId="urn:microsoft.com/office/officeart/2005/8/layout/lProcess2"/>
    <dgm:cxn modelId="{96F85CBD-7FC0-4E33-914A-C0149B6E484F}" type="presParOf" srcId="{0176EA7C-1E17-424A-8EBD-BB2690132260}" destId="{AE838385-E119-4815-A759-89C3EC7B47E1}" srcOrd="4" destOrd="0" presId="urn:microsoft.com/office/officeart/2005/8/layout/lProcess2"/>
    <dgm:cxn modelId="{56C710F2-2227-4A38-BBE6-FD8390F849D8}" type="presParOf" srcId="{0176EA7C-1E17-424A-8EBD-BB2690132260}" destId="{B2DE4CF0-B8B0-472C-9F53-4D12E8C638A3}" srcOrd="5" destOrd="0" presId="urn:microsoft.com/office/officeart/2005/8/layout/lProcess2"/>
    <dgm:cxn modelId="{4B03FB1C-8A3E-4FAC-95C5-B189B3363AD5}" type="presParOf" srcId="{0176EA7C-1E17-424A-8EBD-BB2690132260}" destId="{1F60DE90-A7F2-4A91-B116-06C08D6A63EA}" srcOrd="6" destOrd="0" presId="urn:microsoft.com/office/officeart/2005/8/layout/lProcess2"/>
    <dgm:cxn modelId="{48557148-6572-4107-B153-E0E5F57D6C76}" type="presParOf" srcId="{9FE1C0CF-E84F-4267-AF5C-F04B971CB3F2}" destId="{C5FF72F9-E48C-4318-A9B4-364584E80427}" srcOrd="3" destOrd="0" presId="urn:microsoft.com/office/officeart/2005/8/layout/lProcess2"/>
    <dgm:cxn modelId="{56538569-4A6D-40AB-9C3F-EF6852C9A63C}" type="presParOf" srcId="{9FE1C0CF-E84F-4267-AF5C-F04B971CB3F2}" destId="{2A7C7330-16F3-476D-8657-8D064CB8854D}" srcOrd="4" destOrd="0" presId="urn:microsoft.com/office/officeart/2005/8/layout/lProcess2"/>
    <dgm:cxn modelId="{0E9941C0-4283-48BD-B882-8A8FD03A4D8D}" type="presParOf" srcId="{2A7C7330-16F3-476D-8657-8D064CB8854D}" destId="{229CC9F2-6B58-4676-A496-7BF9F14D118B}" srcOrd="0" destOrd="0" presId="urn:microsoft.com/office/officeart/2005/8/layout/lProcess2"/>
    <dgm:cxn modelId="{B7993E67-7D15-4467-8C3E-14AF7073EA27}" type="presParOf" srcId="{2A7C7330-16F3-476D-8657-8D064CB8854D}" destId="{81CF4ED0-F9CB-4608-9B92-66672EAD3BB8}" srcOrd="1" destOrd="0" presId="urn:microsoft.com/office/officeart/2005/8/layout/lProcess2"/>
    <dgm:cxn modelId="{4211B0E1-39CF-4AE4-A99F-915C6CE231C1}" type="presParOf" srcId="{2A7C7330-16F3-476D-8657-8D064CB8854D}" destId="{8A6EBA2A-7063-4179-B737-BD09D6A0134F}" srcOrd="2" destOrd="0" presId="urn:microsoft.com/office/officeart/2005/8/layout/lProcess2"/>
    <dgm:cxn modelId="{87309BF8-BEEF-4860-8E50-FB930C2F4988}" type="presParOf" srcId="{8A6EBA2A-7063-4179-B737-BD09D6A0134F}" destId="{E2691940-8E15-4A41-BF73-3BA1F48F52CD}" srcOrd="0" destOrd="0" presId="urn:microsoft.com/office/officeart/2005/8/layout/lProcess2"/>
    <dgm:cxn modelId="{0B0ECD08-667A-4955-B337-0C54A6B04456}" type="presParOf" srcId="{E2691940-8E15-4A41-BF73-3BA1F48F52CD}" destId="{DE129205-E8F8-4A3A-906B-E40F4B811CC9}" srcOrd="0" destOrd="0" presId="urn:microsoft.com/office/officeart/2005/8/layout/lProcess2"/>
    <dgm:cxn modelId="{AEB73572-3036-45A7-A406-2F304902CE86}" type="presParOf" srcId="{E2691940-8E15-4A41-BF73-3BA1F48F52CD}" destId="{9DBFACFF-F50D-4FFD-8511-E7A8C3927901}" srcOrd="1" destOrd="0" presId="urn:microsoft.com/office/officeart/2005/8/layout/lProcess2"/>
    <dgm:cxn modelId="{DC4C2C39-2A1A-4A91-8735-75BFF18ABF1D}" type="presParOf" srcId="{E2691940-8E15-4A41-BF73-3BA1F48F52CD}" destId="{C9E8A151-9D41-4A33-90C5-3A010FE1BB50}" srcOrd="2" destOrd="0" presId="urn:microsoft.com/office/officeart/2005/8/layout/lProcess2"/>
    <dgm:cxn modelId="{2508D4BA-E41E-468E-A337-39F10B6E54D5}" type="presParOf" srcId="{E2691940-8E15-4A41-BF73-3BA1F48F52CD}" destId="{12536F92-096A-4FAF-9FC4-9662E4724FF1}" srcOrd="3" destOrd="0" presId="urn:microsoft.com/office/officeart/2005/8/layout/lProcess2"/>
    <dgm:cxn modelId="{FA8027C2-47F1-4B93-97F3-7D7DEB132757}" type="presParOf" srcId="{E2691940-8E15-4A41-BF73-3BA1F48F52CD}" destId="{0C2D1862-E574-41FB-8BF5-60D329572AFF}" srcOrd="4" destOrd="0" presId="urn:microsoft.com/office/officeart/2005/8/layout/lProcess2"/>
    <dgm:cxn modelId="{ADF12CA7-D6DE-4B3A-9874-3635A6A1ADA1}" type="presParOf" srcId="{E2691940-8E15-4A41-BF73-3BA1F48F52CD}" destId="{65DE7198-5F09-4686-85F0-AAEEDCAE8FBF}" srcOrd="5" destOrd="0" presId="urn:microsoft.com/office/officeart/2005/8/layout/lProcess2"/>
    <dgm:cxn modelId="{AF3CA643-D6B1-4C57-9431-2228A63DDA36}" type="presParOf" srcId="{E2691940-8E15-4A41-BF73-3BA1F48F52CD}" destId="{E52F88F4-6563-4025-931E-CB7ABD46998A}" srcOrd="6" destOrd="0" presId="urn:microsoft.com/office/officeart/2005/8/layout/lProcess2"/>
    <dgm:cxn modelId="{12890D16-15B0-4AB8-A4E7-0C39437F0CBA}" type="presParOf" srcId="{9FE1C0CF-E84F-4267-AF5C-F04B971CB3F2}" destId="{C25B57AD-E332-46C1-A3A7-4343F3739AAF}" srcOrd="5" destOrd="0" presId="urn:microsoft.com/office/officeart/2005/8/layout/lProcess2"/>
    <dgm:cxn modelId="{F2C3BCB5-8E9B-4ADB-ABBC-D00169FD38EB}" type="presParOf" srcId="{9FE1C0CF-E84F-4267-AF5C-F04B971CB3F2}" destId="{411AAE47-AD4E-4D42-BCCC-96F9A37D565E}" srcOrd="6" destOrd="0" presId="urn:microsoft.com/office/officeart/2005/8/layout/lProcess2"/>
    <dgm:cxn modelId="{E4B5DF92-68F2-4DE0-BA1F-D91056F51B87}" type="presParOf" srcId="{411AAE47-AD4E-4D42-BCCC-96F9A37D565E}" destId="{C1CD18B6-D61E-4813-BB51-A112E14F99A6}" srcOrd="0" destOrd="0" presId="urn:microsoft.com/office/officeart/2005/8/layout/lProcess2"/>
    <dgm:cxn modelId="{D7D3A114-B87D-47F7-8254-AE15A0EC8B53}" type="presParOf" srcId="{411AAE47-AD4E-4D42-BCCC-96F9A37D565E}" destId="{F8E589C6-C9F4-47CB-84F1-A468B45A0517}" srcOrd="1" destOrd="0" presId="urn:microsoft.com/office/officeart/2005/8/layout/lProcess2"/>
    <dgm:cxn modelId="{63DEAA1E-4A2E-40BD-89B8-73894058D746}" type="presParOf" srcId="{411AAE47-AD4E-4D42-BCCC-96F9A37D565E}" destId="{F65021A2-07E1-404F-9DE4-41D35FE5D5D6}" srcOrd="2" destOrd="0" presId="urn:microsoft.com/office/officeart/2005/8/layout/lProcess2"/>
    <dgm:cxn modelId="{57CB50FF-3690-48A7-BF9D-9EF56BBA5E55}" type="presParOf" srcId="{F65021A2-07E1-404F-9DE4-41D35FE5D5D6}" destId="{5C16AD5F-D624-41E8-A62B-4B17B6AB2816}" srcOrd="0" destOrd="0" presId="urn:microsoft.com/office/officeart/2005/8/layout/lProcess2"/>
    <dgm:cxn modelId="{7CD19FB5-E8C6-446D-8F20-755D6A0029A0}" type="presParOf" srcId="{5C16AD5F-D624-41E8-A62B-4B17B6AB2816}" destId="{946E0432-50F6-4A8B-9380-06F4BE7A89D2}" srcOrd="0" destOrd="0" presId="urn:microsoft.com/office/officeart/2005/8/layout/lProcess2"/>
    <dgm:cxn modelId="{18527FAC-B0D8-45E4-867A-574ECC50F53F}" type="presParOf" srcId="{5C16AD5F-D624-41E8-A62B-4B17B6AB2816}" destId="{13C76366-1DBB-49D6-9908-B3314D50B1F2}" srcOrd="1" destOrd="0" presId="urn:microsoft.com/office/officeart/2005/8/layout/lProcess2"/>
    <dgm:cxn modelId="{3138EB25-B022-4FAB-B497-DD8A7BE28DE5}" type="presParOf" srcId="{5C16AD5F-D624-41E8-A62B-4B17B6AB2816}" destId="{007E6977-91CF-4F9B-8E02-746F53A280AB}" srcOrd="2" destOrd="0" presId="urn:microsoft.com/office/officeart/2005/8/layout/lProcess2"/>
    <dgm:cxn modelId="{0EA9E9A3-0ACD-4E54-B46C-DD6C2C92E491}" type="presParOf" srcId="{5C16AD5F-D624-41E8-A62B-4B17B6AB2816}" destId="{457BF53E-2C82-465C-994E-128C0C1D9F3E}" srcOrd="3" destOrd="0" presId="urn:microsoft.com/office/officeart/2005/8/layout/lProcess2"/>
    <dgm:cxn modelId="{769FB0C2-44A0-40D1-A47F-00E2AF433698}" type="presParOf" srcId="{5C16AD5F-D624-41E8-A62B-4B17B6AB2816}" destId="{44E27403-0DE9-44DC-A6FF-D8566CDAF98B}" srcOrd="4" destOrd="0" presId="urn:microsoft.com/office/officeart/2005/8/layout/l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1FCAFA-A958-481F-880D-CD04F4330755}">
      <dsp:nvSpPr>
        <dsp:cNvPr id="0" name=""/>
        <dsp:cNvSpPr/>
      </dsp:nvSpPr>
      <dsp:spPr>
        <a:xfrm>
          <a:off x="0" y="0"/>
          <a:ext cx="1469034" cy="4330700"/>
        </a:xfrm>
        <a:prstGeom prst="roundRect">
          <a:avLst>
            <a:gd name="adj" fmla="val 10000"/>
          </a:avLst>
        </a:prstGeom>
        <a:solidFill>
          <a:srgbClr val="BEE6F0"/>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СЦ1. Регулиране и координиране на морските ползвания</a:t>
          </a:r>
          <a:endParaRPr lang="en-GB" sz="1000" kern="1200">
            <a:latin typeface="Times New Roman" panose="02020603050405020304" pitchFamily="18" charset="0"/>
            <a:cs typeface="Times New Roman" panose="02020603050405020304" pitchFamily="18" charset="0"/>
          </a:endParaRPr>
        </a:p>
      </dsp:txBody>
      <dsp:txXfrm>
        <a:off x="0" y="0"/>
        <a:ext cx="1469034" cy="1299210"/>
      </dsp:txXfrm>
    </dsp:sp>
    <dsp:sp modelId="{618CBD18-DE87-43E9-B0F9-273D1A2219CA}">
      <dsp:nvSpPr>
        <dsp:cNvPr id="0" name=""/>
        <dsp:cNvSpPr/>
      </dsp:nvSpPr>
      <dsp:spPr>
        <a:xfrm>
          <a:off x="77246" y="1033794"/>
          <a:ext cx="1302093" cy="572087"/>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1.1. Функционално зониране на морското пространство </a:t>
          </a:r>
          <a:endParaRPr lang="en-GB" sz="1000" kern="1200">
            <a:latin typeface="Times New Roman" panose="02020603050405020304" pitchFamily="18" charset="0"/>
            <a:cs typeface="Times New Roman" panose="02020603050405020304" pitchFamily="18" charset="0"/>
          </a:endParaRPr>
        </a:p>
      </dsp:txBody>
      <dsp:txXfrm>
        <a:off x="94002" y="1050550"/>
        <a:ext cx="1268581" cy="538575"/>
      </dsp:txXfrm>
    </dsp:sp>
    <dsp:sp modelId="{7FCEF541-530F-41BC-9345-821B20D5B2F6}">
      <dsp:nvSpPr>
        <dsp:cNvPr id="0" name=""/>
        <dsp:cNvSpPr/>
      </dsp:nvSpPr>
      <dsp:spPr>
        <a:xfrm>
          <a:off x="84967" y="1705859"/>
          <a:ext cx="1302093" cy="564672"/>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1.2. Постигане на консенсус между заинтересованите страни</a:t>
          </a:r>
          <a:endParaRPr lang="en-GB" sz="1000" kern="1200">
            <a:latin typeface="Times New Roman" panose="02020603050405020304" pitchFamily="18" charset="0"/>
            <a:cs typeface="Times New Roman" panose="02020603050405020304" pitchFamily="18" charset="0"/>
          </a:endParaRPr>
        </a:p>
      </dsp:txBody>
      <dsp:txXfrm>
        <a:off x="101506" y="1722398"/>
        <a:ext cx="1269015" cy="531594"/>
      </dsp:txXfrm>
    </dsp:sp>
    <dsp:sp modelId="{D51D869D-BCE2-4BDF-9D3D-873775402965}">
      <dsp:nvSpPr>
        <dsp:cNvPr id="0" name=""/>
        <dsp:cNvSpPr/>
      </dsp:nvSpPr>
      <dsp:spPr>
        <a:xfrm>
          <a:off x="69519" y="2354437"/>
          <a:ext cx="1302105" cy="587594"/>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1.3. Институционализация на МППРБ</a:t>
          </a:r>
          <a:endParaRPr lang="en-GB" sz="1000" kern="1200">
            <a:latin typeface="Times New Roman" panose="02020603050405020304" pitchFamily="18" charset="0"/>
            <a:cs typeface="Times New Roman" panose="02020603050405020304" pitchFamily="18" charset="0"/>
          </a:endParaRPr>
        </a:p>
      </dsp:txBody>
      <dsp:txXfrm>
        <a:off x="86729" y="2371647"/>
        <a:ext cx="1267685" cy="553174"/>
      </dsp:txXfrm>
    </dsp:sp>
    <dsp:sp modelId="{5CC9BB53-F13B-49A4-A959-2CF3D307144C}">
      <dsp:nvSpPr>
        <dsp:cNvPr id="0" name=""/>
        <dsp:cNvSpPr/>
      </dsp:nvSpPr>
      <dsp:spPr>
        <a:xfrm>
          <a:off x="84967" y="3012887"/>
          <a:ext cx="1302093" cy="818665"/>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1.4. Информационно осигуряване на процеса на прилагане и мониторинг на МППРБ</a:t>
          </a:r>
          <a:endParaRPr lang="en-GB" sz="1000" kern="1200">
            <a:latin typeface="Times New Roman" panose="02020603050405020304" pitchFamily="18" charset="0"/>
            <a:cs typeface="Times New Roman" panose="02020603050405020304" pitchFamily="18" charset="0"/>
          </a:endParaRPr>
        </a:p>
      </dsp:txBody>
      <dsp:txXfrm>
        <a:off x="108945" y="3036865"/>
        <a:ext cx="1254137" cy="770709"/>
      </dsp:txXfrm>
    </dsp:sp>
    <dsp:sp modelId="{15C31490-9821-4292-94AB-2265C22381C2}">
      <dsp:nvSpPr>
        <dsp:cNvPr id="0" name=""/>
        <dsp:cNvSpPr/>
      </dsp:nvSpPr>
      <dsp:spPr>
        <a:xfrm>
          <a:off x="1580709" y="0"/>
          <a:ext cx="1469034" cy="4330700"/>
        </a:xfrm>
        <a:prstGeom prst="roundRect">
          <a:avLst>
            <a:gd name="adj" fmla="val 10000"/>
          </a:avLst>
        </a:prstGeom>
        <a:solidFill>
          <a:srgbClr val="BEE6F0"/>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СЦ2. Изграждане на диверсифицирана и устойчива морска икономика и гизнени териториални общности</a:t>
          </a:r>
          <a:endParaRPr lang="en-GB" sz="1000" kern="1200">
            <a:latin typeface="Times New Roman" panose="02020603050405020304" pitchFamily="18" charset="0"/>
            <a:cs typeface="Times New Roman" panose="02020603050405020304" pitchFamily="18" charset="0"/>
          </a:endParaRPr>
        </a:p>
      </dsp:txBody>
      <dsp:txXfrm>
        <a:off x="1580709" y="0"/>
        <a:ext cx="1469034" cy="1299210"/>
      </dsp:txXfrm>
    </dsp:sp>
    <dsp:sp modelId="{8A6289E2-AD86-461F-B39F-2FC094D4CFA2}">
      <dsp:nvSpPr>
        <dsp:cNvPr id="0" name=""/>
        <dsp:cNvSpPr/>
      </dsp:nvSpPr>
      <dsp:spPr>
        <a:xfrm>
          <a:off x="1652991" y="1061950"/>
          <a:ext cx="1309027" cy="800474"/>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2.1. Координация на секторните политики в синята икономика и подкрепа на Зелената сделка</a:t>
          </a:r>
          <a:endParaRPr lang="en-US" sz="1000" kern="1200">
            <a:latin typeface="Times New Roman" panose="02020603050405020304" pitchFamily="18" charset="0"/>
            <a:cs typeface="Times New Roman" panose="02020603050405020304" pitchFamily="18" charset="0"/>
          </a:endParaRPr>
        </a:p>
      </dsp:txBody>
      <dsp:txXfrm>
        <a:off x="1676436" y="1085395"/>
        <a:ext cx="1262137" cy="753584"/>
      </dsp:txXfrm>
    </dsp:sp>
    <dsp:sp modelId="{5577D278-71D2-46F1-8390-C0891F7AFA08}">
      <dsp:nvSpPr>
        <dsp:cNvPr id="0" name=""/>
        <dsp:cNvSpPr/>
      </dsp:nvSpPr>
      <dsp:spPr>
        <a:xfrm>
          <a:off x="1648901" y="1963939"/>
          <a:ext cx="1332649" cy="579095"/>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2.2. Устойчиво развитие на крайбрежния и морски туризъм </a:t>
          </a:r>
          <a:endParaRPr lang="en-US" sz="1000" kern="1200">
            <a:latin typeface="Times New Roman" panose="02020603050405020304" pitchFamily="18" charset="0"/>
            <a:cs typeface="Times New Roman" panose="02020603050405020304" pitchFamily="18" charset="0"/>
          </a:endParaRPr>
        </a:p>
      </dsp:txBody>
      <dsp:txXfrm>
        <a:off x="1665862" y="1980900"/>
        <a:ext cx="1298727" cy="545173"/>
      </dsp:txXfrm>
    </dsp:sp>
    <dsp:sp modelId="{AE838385-E119-4815-A759-89C3EC7B47E1}">
      <dsp:nvSpPr>
        <dsp:cNvPr id="0" name=""/>
        <dsp:cNvSpPr/>
      </dsp:nvSpPr>
      <dsp:spPr>
        <a:xfrm>
          <a:off x="1656822" y="2638428"/>
          <a:ext cx="1301764" cy="636115"/>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2.3. Устойчиво развитие на корабоплаването и корабостроенето </a:t>
          </a:r>
          <a:endParaRPr lang="en-US" sz="1000" kern="1200">
            <a:latin typeface="Times New Roman" panose="02020603050405020304" pitchFamily="18" charset="0"/>
            <a:cs typeface="Times New Roman" panose="02020603050405020304" pitchFamily="18" charset="0"/>
          </a:endParaRPr>
        </a:p>
      </dsp:txBody>
      <dsp:txXfrm>
        <a:off x="1675453" y="2657059"/>
        <a:ext cx="1264502" cy="598853"/>
      </dsp:txXfrm>
    </dsp:sp>
    <dsp:sp modelId="{1F60DE90-A7F2-4A91-B116-06C08D6A63EA}">
      <dsp:nvSpPr>
        <dsp:cNvPr id="0" name=""/>
        <dsp:cNvSpPr/>
      </dsp:nvSpPr>
      <dsp:spPr>
        <a:xfrm>
          <a:off x="1637742" y="3392705"/>
          <a:ext cx="1324481" cy="629199"/>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2.4. Устойчиво развитие на сектор „Рибарство и аквакултури“ </a:t>
          </a:r>
          <a:endParaRPr lang="en-US" sz="1000" kern="1200">
            <a:latin typeface="Times New Roman" panose="02020603050405020304" pitchFamily="18" charset="0"/>
            <a:cs typeface="Times New Roman" panose="02020603050405020304" pitchFamily="18" charset="0"/>
          </a:endParaRPr>
        </a:p>
      </dsp:txBody>
      <dsp:txXfrm>
        <a:off x="1656171" y="3411134"/>
        <a:ext cx="1287623" cy="592341"/>
      </dsp:txXfrm>
    </dsp:sp>
    <dsp:sp modelId="{229CC9F2-6B58-4676-A496-7BF9F14D118B}">
      <dsp:nvSpPr>
        <dsp:cNvPr id="0" name=""/>
        <dsp:cNvSpPr/>
      </dsp:nvSpPr>
      <dsp:spPr>
        <a:xfrm>
          <a:off x="3159921" y="0"/>
          <a:ext cx="1469034" cy="4330700"/>
        </a:xfrm>
        <a:prstGeom prst="roundRect">
          <a:avLst>
            <a:gd name="adj" fmla="val 10000"/>
          </a:avLst>
        </a:prstGeom>
        <a:solidFill>
          <a:srgbClr val="BEE6F0"/>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СЦ3. Повишаване на морската култура, образование и знание</a:t>
          </a:r>
          <a:endParaRPr lang="en-GB" sz="1000" kern="1200">
            <a:latin typeface="Times New Roman" panose="02020603050405020304" pitchFamily="18" charset="0"/>
            <a:cs typeface="Times New Roman" panose="02020603050405020304" pitchFamily="18" charset="0"/>
          </a:endParaRPr>
        </a:p>
      </dsp:txBody>
      <dsp:txXfrm>
        <a:off x="3159921" y="0"/>
        <a:ext cx="1469034" cy="1299210"/>
      </dsp:txXfrm>
    </dsp:sp>
    <dsp:sp modelId="{DE129205-E8F8-4A3A-906B-E40F4B811CC9}">
      <dsp:nvSpPr>
        <dsp:cNvPr id="0" name=""/>
        <dsp:cNvSpPr/>
      </dsp:nvSpPr>
      <dsp:spPr>
        <a:xfrm>
          <a:off x="3239284" y="1082352"/>
          <a:ext cx="1325727" cy="766004"/>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3.1. Развитие на научна инфраструктура и изследователски капацитет</a:t>
          </a:r>
          <a:endParaRPr lang="en-GB" sz="1000" kern="1200">
            <a:latin typeface="Times New Roman" panose="02020603050405020304" pitchFamily="18" charset="0"/>
            <a:cs typeface="Times New Roman" panose="02020603050405020304" pitchFamily="18" charset="0"/>
          </a:endParaRPr>
        </a:p>
      </dsp:txBody>
      <dsp:txXfrm>
        <a:off x="3261719" y="1104787"/>
        <a:ext cx="1280857" cy="721134"/>
      </dsp:txXfrm>
    </dsp:sp>
    <dsp:sp modelId="{C9E8A151-9D41-4A33-90C5-3A010FE1BB50}">
      <dsp:nvSpPr>
        <dsp:cNvPr id="0" name=""/>
        <dsp:cNvSpPr/>
      </dsp:nvSpPr>
      <dsp:spPr>
        <a:xfrm>
          <a:off x="3216120" y="1922538"/>
          <a:ext cx="1325727" cy="823352"/>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3.2. Подобряване на връзките на образованието и научно-изследователската дейност с бизнеса</a:t>
          </a:r>
          <a:endParaRPr lang="en-GB" sz="1000" kern="1200">
            <a:latin typeface="Times New Roman" panose="02020603050405020304" pitchFamily="18" charset="0"/>
            <a:cs typeface="Times New Roman" panose="02020603050405020304" pitchFamily="18" charset="0"/>
          </a:endParaRPr>
        </a:p>
      </dsp:txBody>
      <dsp:txXfrm>
        <a:off x="3240235" y="1946653"/>
        <a:ext cx="1277497" cy="775122"/>
      </dsp:txXfrm>
    </dsp:sp>
    <dsp:sp modelId="{0C2D1862-E574-41FB-8BF5-60D329572AFF}">
      <dsp:nvSpPr>
        <dsp:cNvPr id="0" name=""/>
        <dsp:cNvSpPr/>
      </dsp:nvSpPr>
      <dsp:spPr>
        <a:xfrm>
          <a:off x="3213288" y="2864427"/>
          <a:ext cx="1362300" cy="568941"/>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 СпЦ 3.3. Изграждане на база от знания и иновации за морска политика </a:t>
          </a:r>
          <a:endParaRPr lang="en-GB" sz="1000" kern="1200">
            <a:latin typeface="Times New Roman" panose="02020603050405020304" pitchFamily="18" charset="0"/>
            <a:cs typeface="Times New Roman" panose="02020603050405020304" pitchFamily="18" charset="0"/>
          </a:endParaRPr>
        </a:p>
      </dsp:txBody>
      <dsp:txXfrm>
        <a:off x="3229952" y="2881091"/>
        <a:ext cx="1328972" cy="535613"/>
      </dsp:txXfrm>
    </dsp:sp>
    <dsp:sp modelId="{E52F88F4-6563-4025-931E-CB7ABD46998A}">
      <dsp:nvSpPr>
        <dsp:cNvPr id="0" name=""/>
        <dsp:cNvSpPr/>
      </dsp:nvSpPr>
      <dsp:spPr>
        <a:xfrm>
          <a:off x="3221003" y="3547143"/>
          <a:ext cx="1315961" cy="592978"/>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3.4. Повишаване на екологичното възпитание и знание за морето </a:t>
          </a:r>
          <a:endParaRPr lang="en-GB" sz="1000" kern="1200">
            <a:latin typeface="Times New Roman" panose="02020603050405020304" pitchFamily="18" charset="0"/>
            <a:cs typeface="Times New Roman" panose="02020603050405020304" pitchFamily="18" charset="0"/>
          </a:endParaRPr>
        </a:p>
      </dsp:txBody>
      <dsp:txXfrm>
        <a:off x="3238371" y="3564511"/>
        <a:ext cx="1281225" cy="558242"/>
      </dsp:txXfrm>
    </dsp:sp>
    <dsp:sp modelId="{C1CD18B6-D61E-4813-BB51-A112E14F99A6}">
      <dsp:nvSpPr>
        <dsp:cNvPr id="0" name=""/>
        <dsp:cNvSpPr/>
      </dsp:nvSpPr>
      <dsp:spPr>
        <a:xfrm>
          <a:off x="4739133" y="0"/>
          <a:ext cx="1469034" cy="4330700"/>
        </a:xfrm>
        <a:prstGeom prst="roundRect">
          <a:avLst>
            <a:gd name="adj" fmla="val 10000"/>
          </a:avLst>
        </a:prstGeom>
        <a:solidFill>
          <a:srgbClr val="BEE6F0"/>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СЦ4. Международно и регионално сътрудничество за опазване и ползване на Черноморските ресурси </a:t>
          </a:r>
          <a:endParaRPr lang="en-GB" sz="1000" kern="1200">
            <a:latin typeface="Times New Roman" panose="02020603050405020304" pitchFamily="18" charset="0"/>
            <a:cs typeface="Times New Roman" panose="02020603050405020304" pitchFamily="18" charset="0"/>
          </a:endParaRPr>
        </a:p>
      </dsp:txBody>
      <dsp:txXfrm>
        <a:off x="4739133" y="0"/>
        <a:ext cx="1469034" cy="1299210"/>
      </dsp:txXfrm>
    </dsp:sp>
    <dsp:sp modelId="{946E0432-50F6-4A8B-9380-06F4BE7A89D2}">
      <dsp:nvSpPr>
        <dsp:cNvPr id="0" name=""/>
        <dsp:cNvSpPr/>
      </dsp:nvSpPr>
      <dsp:spPr>
        <a:xfrm>
          <a:off x="4821293" y="1103081"/>
          <a:ext cx="1307464" cy="909803"/>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4.1. Сътрудничество за намаляване нивата на замърсителите до безвредни за морските екосистеми стойности </a:t>
          </a:r>
          <a:endParaRPr lang="en-GB" sz="1000" kern="1200">
            <a:latin typeface="Times New Roman" panose="02020603050405020304" pitchFamily="18" charset="0"/>
            <a:cs typeface="Times New Roman" panose="02020603050405020304" pitchFamily="18" charset="0"/>
          </a:endParaRPr>
        </a:p>
      </dsp:txBody>
      <dsp:txXfrm>
        <a:off x="4847940" y="1129728"/>
        <a:ext cx="1254170" cy="856509"/>
      </dsp:txXfrm>
    </dsp:sp>
    <dsp:sp modelId="{007E6977-91CF-4F9B-8E02-746F53A280AB}">
      <dsp:nvSpPr>
        <dsp:cNvPr id="0" name=""/>
        <dsp:cNvSpPr/>
      </dsp:nvSpPr>
      <dsp:spPr>
        <a:xfrm>
          <a:off x="4822457" y="2073986"/>
          <a:ext cx="1307464" cy="980055"/>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4.2. Сътрудничество за ефективно управление на риболова и прекратяване на свръхулова</a:t>
          </a:r>
          <a:endParaRPr lang="en-GB" sz="1000" kern="1200">
            <a:latin typeface="Times New Roman" panose="02020603050405020304" pitchFamily="18" charset="0"/>
            <a:cs typeface="Times New Roman" panose="02020603050405020304" pitchFamily="18" charset="0"/>
          </a:endParaRPr>
        </a:p>
      </dsp:txBody>
      <dsp:txXfrm>
        <a:off x="4851162" y="2102691"/>
        <a:ext cx="1250054" cy="922645"/>
      </dsp:txXfrm>
    </dsp:sp>
    <dsp:sp modelId="{44E27403-0DE9-44DC-A6FF-D8566CDAF98B}">
      <dsp:nvSpPr>
        <dsp:cNvPr id="0" name=""/>
        <dsp:cNvSpPr/>
      </dsp:nvSpPr>
      <dsp:spPr>
        <a:xfrm>
          <a:off x="4827645" y="3175203"/>
          <a:ext cx="1292009" cy="773895"/>
        </a:xfrm>
        <a:prstGeom prst="roundRect">
          <a:avLst>
            <a:gd name="adj" fmla="val 10000"/>
          </a:avLst>
        </a:prstGeom>
        <a:solidFill>
          <a:srgbClr val="19618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bg-BG" sz="1000" kern="1200">
              <a:latin typeface="Times New Roman" panose="02020603050405020304" pitchFamily="18" charset="0"/>
              <a:cs typeface="Times New Roman" panose="02020603050405020304" pitchFamily="18" charset="0"/>
            </a:rPr>
            <a:t>СпЦ 4.3. Сътрудничество за споделени услуги, работни места и трансгранични продукти</a:t>
          </a:r>
          <a:endParaRPr lang="en-GB" sz="1000" kern="1200">
            <a:latin typeface="Times New Roman" panose="02020603050405020304" pitchFamily="18" charset="0"/>
            <a:cs typeface="Times New Roman" panose="02020603050405020304" pitchFamily="18" charset="0"/>
          </a:endParaRPr>
        </a:p>
      </dsp:txBody>
      <dsp:txXfrm>
        <a:off x="4850312" y="3197870"/>
        <a:ext cx="1246675" cy="72856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5B9CD-E2FE-4AFF-9AED-4CA8AA9D2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430</Pages>
  <Words>176450</Words>
  <Characters>1005766</Characters>
  <Application>Microsoft Office Word</Application>
  <DocSecurity>0</DocSecurity>
  <Lines>8381</Lines>
  <Paragraphs>2359</Paragraphs>
  <ScaleCrop>false</ScaleCrop>
  <HeadingPairs>
    <vt:vector size="2" baseType="variant">
      <vt:variant>
        <vt:lpstr>Title</vt:lpstr>
      </vt:variant>
      <vt:variant>
        <vt:i4>1</vt:i4>
      </vt:variant>
    </vt:vector>
  </HeadingPairs>
  <TitlesOfParts>
    <vt:vector size="1" baseType="lpstr">
      <vt:lpstr>морски пространствен план на република българия
2021-2035</vt:lpstr>
    </vt:vector>
  </TitlesOfParts>
  <Company/>
  <LinksUpToDate>false</LinksUpToDate>
  <CharactersWithSpaces>1179857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морски пространствен план на република българия
2021-2035</dc:title>
  <dc:subject>Проект за обсъждане</dc:subject>
  <dc:creator>Vesselina Troeva</dc:creator>
  <cp:keywords/>
  <dc:description/>
  <cp:lastModifiedBy>STANISLAVA STOILOVA ATANASOVA</cp:lastModifiedBy>
  <cp:revision>3</cp:revision>
  <cp:lastPrinted>2021-03-29T09:43:00Z</cp:lastPrinted>
  <dcterms:created xsi:type="dcterms:W3CDTF">2023-01-30T14:22:00Z</dcterms:created>
  <dcterms:modified xsi:type="dcterms:W3CDTF">2023-03-14T15:25:00Z</dcterms:modified>
</cp:coreProperties>
</file>